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5450"/>
        <w:spacing w:before="78" w:line="1840" w:lineRule="exact"/>
        <w:rPr/>
      </w:pPr>
      <w:r>
        <mc:AlternateContent xmlns:mc="http://schemas.openxmlformats.org/markup-compatibility/2006">
          <mc:Choice Requires="wps">
            <w:drawing>
              <wp:anchor distT="0" distB="0" distL="0" distR="0" simplePos="0" relativeHeight="251668480" behindDoc="0" locked="0" layoutInCell="0" allowOverlap="1">
                <wp:simplePos x="0" y="0"/>
                <wp:positionH relativeFrom="page">
                  <wp:posOffset>48787</wp:posOffset>
                </wp:positionH>
                <wp:positionV relativeFrom="page">
                  <wp:posOffset>1553563</wp:posOffset>
                </wp:positionV>
                <wp:extent cx="105410" cy="217170"/>
                <wp:effectExtent l="0" t="0" r="0" b="0"/>
                <wp:wrapNone/>
                <wp:docPr id="2" name="TextBox 2"/>
                <wp:cNvGraphicFramePr/>
                <a:graphic>
                  <a:graphicData uri="http://schemas.microsoft.com/office/word/2010/wordprocessingShape">
                    <wps:wsp>
                      <wps:cNvSpPr txBox="1"/>
                      <wps:spPr>
                        <a:xfrm rot="16200000">
                          <a:off x="48787" y="1553563"/>
                          <a:ext cx="105410" cy="2171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00" w:line="221" w:lineRule="exact"/>
                              <w:rPr>
                                <w:rFonts w:ascii="SimSun" w:hAnsi="SimSun" w:eastAsia="SimSun" w:cs="SimSun"/>
                                <w:sz w:val="14"/>
                                <w:szCs w:val="14"/>
                              </w:rPr>
                            </w:pPr>
                            <w:r>
                              <w:rPr>
                                <w:rFonts w:ascii="SimSun" w:hAnsi="SimSun" w:eastAsia="SimSun" w:cs="SimSun"/>
                                <w:sz w:val="14"/>
                                <w:szCs w:val="14"/>
                                <w:position w:val="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3.84154pt;margin-top:122.328pt;mso-position-vertical-relative:page;mso-position-horizontal-relative:page;width:8.3pt;height:17.1pt;z-index:251668480;rotation:270;" o:allowincell="f" filled="false" stroked="false" type="#_x0000_t202">
                <v:fill on="false"/>
                <v:stroke on="false"/>
                <v:path/>
                <v:imagedata o:title=""/>
                <o:lock v:ext="edit" aspectratio="false"/>
                <v:textbox inset="0mm,0mm,0mm,0mm">
                  <w:txbxContent>
                    <w:p>
                      <w:pPr>
                        <w:ind w:left="20"/>
                        <w:spacing w:before="100" w:line="221" w:lineRule="exact"/>
                        <w:rPr>
                          <w:rFonts w:ascii="SimSun" w:hAnsi="SimSun" w:eastAsia="SimSun" w:cs="SimSun"/>
                          <w:sz w:val="14"/>
                          <w:szCs w:val="14"/>
                        </w:rPr>
                      </w:pPr>
                      <w:r>
                        <w:rPr>
                          <w:rFonts w:ascii="SimSun" w:hAnsi="SimSun" w:eastAsia="SimSun" w:cs="SimSun"/>
                          <w:sz w:val="14"/>
                          <w:szCs w:val="14"/>
                          <w:position w:val="2"/>
                        </w:rPr>
                        <w:t>…</w:t>
                      </w:r>
                    </w:p>
                  </w:txbxContent>
                </v:textbox>
              </v:shape>
            </w:pict>
          </mc:Fallback>
        </mc:AlternateContent>
      </w:r>
      <w:r>
        <w:drawing>
          <wp:anchor distT="0" distB="0" distL="0" distR="0" simplePos="0" relativeHeight="251659264" behindDoc="0" locked="0" layoutInCell="0" allowOverlap="1">
            <wp:simplePos x="0" y="0"/>
            <wp:positionH relativeFrom="page">
              <wp:posOffset>3784595</wp:posOffset>
            </wp:positionH>
            <wp:positionV relativeFrom="page">
              <wp:posOffset>3848124</wp:posOffset>
            </wp:positionV>
            <wp:extent cx="1435104" cy="1320747"/>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1435104" cy="1320747"/>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2216154</wp:posOffset>
            </wp:positionH>
            <wp:positionV relativeFrom="page">
              <wp:posOffset>6003907</wp:posOffset>
            </wp:positionV>
            <wp:extent cx="79391" cy="1876434"/>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79391" cy="1876434"/>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2755897</wp:posOffset>
            </wp:positionH>
            <wp:positionV relativeFrom="page">
              <wp:posOffset>5984888</wp:posOffset>
            </wp:positionV>
            <wp:extent cx="79365" cy="1895453"/>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79365" cy="1895453"/>
                    </a:xfrm>
                    <a:prstGeom prst="rect">
                      <a:avLst/>
                    </a:prstGeom>
                  </pic:spPr>
                </pic:pic>
              </a:graphicData>
            </a:graphic>
          </wp:anchor>
        </w:drawing>
      </w:r>
      <w:r>
        <w:drawing>
          <wp:anchor distT="0" distB="0" distL="0" distR="0" simplePos="0" relativeHeight="251665408" behindDoc="0" locked="0" layoutInCell="0" allowOverlap="1">
            <wp:simplePos x="0" y="0"/>
            <wp:positionH relativeFrom="page">
              <wp:posOffset>336566</wp:posOffset>
            </wp:positionH>
            <wp:positionV relativeFrom="page">
              <wp:posOffset>19020</wp:posOffset>
            </wp:positionV>
            <wp:extent cx="57155" cy="2235268"/>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57155" cy="2235268"/>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660396</wp:posOffset>
            </wp:positionH>
            <wp:positionV relativeFrom="page">
              <wp:posOffset>6340</wp:posOffset>
            </wp:positionV>
            <wp:extent cx="82575" cy="1708190"/>
            <wp:effectExtent l="0" t="0" r="0" b="0"/>
            <wp:wrapNone/>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82575" cy="1708190"/>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1162061</wp:posOffset>
            </wp:positionH>
            <wp:positionV relativeFrom="page">
              <wp:posOffset>127035</wp:posOffset>
            </wp:positionV>
            <wp:extent cx="63471" cy="1879603"/>
            <wp:effectExtent l="0" t="0" r="0" b="0"/>
            <wp:wrapNone/>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63471" cy="1879603"/>
                    </a:xfrm>
                    <a:prstGeom prst="rect">
                      <a:avLst/>
                    </a:prstGeom>
                  </pic:spPr>
                </pic:pic>
              </a:graphicData>
            </a:graphic>
          </wp:anchor>
        </w:drawing>
      </w:r>
      <w:r>
        <w:drawing>
          <wp:anchor distT="0" distB="0" distL="0" distR="0" simplePos="0" relativeHeight="251666432" behindDoc="0" locked="0" layoutInCell="0" allowOverlap="1">
            <wp:simplePos x="0" y="0"/>
            <wp:positionH relativeFrom="page">
              <wp:posOffset>1771670</wp:posOffset>
            </wp:positionH>
            <wp:positionV relativeFrom="page">
              <wp:posOffset>19019</wp:posOffset>
            </wp:positionV>
            <wp:extent cx="76155" cy="1568476"/>
            <wp:effectExtent l="0" t="0" r="0" b="0"/>
            <wp:wrapNone/>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76155" cy="1568476"/>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2425698</wp:posOffset>
            </wp:positionH>
            <wp:positionV relativeFrom="page">
              <wp:posOffset>0</wp:posOffset>
            </wp:positionV>
            <wp:extent cx="279410" cy="1358865"/>
            <wp:effectExtent l="0" t="0" r="0" b="0"/>
            <wp:wrapNone/>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279410" cy="1358865"/>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825495</wp:posOffset>
            </wp:positionH>
            <wp:positionV relativeFrom="page">
              <wp:posOffset>31779</wp:posOffset>
            </wp:positionV>
            <wp:extent cx="279410" cy="1936741"/>
            <wp:effectExtent l="0" t="0" r="0" b="0"/>
            <wp:wrapNone/>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279410" cy="1936741"/>
                    </a:xfrm>
                    <a:prstGeom prst="rect">
                      <a:avLst/>
                    </a:prstGeom>
                  </pic:spPr>
                </pic:pic>
              </a:graphicData>
            </a:graphic>
          </wp:anchor>
        </w:drawing>
      </w:r>
      <w:r>
        <w:rPr>
          <w:position w:val="-36"/>
        </w:rPr>
        <w:drawing>
          <wp:inline distT="0" distB="0" distL="0" distR="0">
            <wp:extent cx="1295372" cy="1168432"/>
            <wp:effectExtent l="0" t="0" r="0" b="0"/>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1295372" cy="1168432"/>
                    </a:xfrm>
                    <a:prstGeom prst="rect">
                      <a:avLst/>
                    </a:prstGeom>
                  </pic:spPr>
                </pic:pic>
              </a:graphicData>
            </a:graphic>
          </wp:inline>
        </w:drawing>
      </w:r>
    </w:p>
    <w:p>
      <w:pPr>
        <w:ind w:firstLine="6269"/>
        <w:spacing w:before="19" w:line="2040" w:lineRule="exact"/>
        <w:rPr/>
      </w:pPr>
      <w:r>
        <w:rPr>
          <w:position w:val="-40"/>
        </w:rPr>
        <w:drawing>
          <wp:inline distT="0" distB="0" distL="0" distR="0">
            <wp:extent cx="1187481" cy="1295387"/>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1187481" cy="1295387"/>
                    </a:xfrm>
                    <a:prstGeom prst="rect">
                      <a:avLst/>
                    </a:prstGeom>
                  </pic:spPr>
                </pic:pic>
              </a:graphicData>
            </a:graphic>
          </wp:inline>
        </w:drawing>
      </w:r>
    </w:p>
    <w:p>
      <w:pPr>
        <w:ind w:firstLine="4529"/>
        <w:spacing w:before="40" w:line="1960" w:lineRule="exact"/>
        <w:rPr/>
      </w:pPr>
      <w:r>
        <w:rPr>
          <w:position w:val="-39"/>
        </w:rPr>
        <w:drawing>
          <wp:inline distT="0" distB="0" distL="0" distR="0">
            <wp:extent cx="1517679" cy="1244589"/>
            <wp:effectExtent l="0" t="0" r="0" b="0"/>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1517679" cy="1244589"/>
                    </a:xfrm>
                    <a:prstGeom prst="rect">
                      <a:avLst/>
                    </a:prstGeom>
                  </pic:spPr>
                </pic:pic>
              </a:graphicData>
            </a:graphic>
          </wp:inline>
        </w:drawing>
      </w:r>
    </w:p>
    <w:p>
      <w:pPr>
        <w:ind w:left="49" w:right="5257"/>
        <w:spacing w:before="146" w:line="226" w:lineRule="auto"/>
        <w:outlineLvl w:val="0"/>
        <w:rPr>
          <w:rFonts w:ascii="SimHei" w:hAnsi="SimHei" w:eastAsia="SimHei" w:cs="SimHei"/>
          <w:sz w:val="60"/>
          <w:szCs w:val="60"/>
        </w:rPr>
      </w:pPr>
      <w:r>
        <w:drawing>
          <wp:anchor distT="0" distB="0" distL="0" distR="0" simplePos="0" relativeHeight="251658240" behindDoc="1" locked="0" layoutInCell="1" allowOverlap="1">
            <wp:simplePos x="0" y="0"/>
            <wp:positionH relativeFrom="column">
              <wp:posOffset>0</wp:posOffset>
            </wp:positionH>
            <wp:positionV relativeFrom="paragraph">
              <wp:posOffset>-3799181</wp:posOffset>
            </wp:positionV>
            <wp:extent cx="5219700" cy="7924800"/>
            <wp:effectExtent l="0" t="0" r="0" b="0"/>
            <wp:wrapNone/>
            <wp:docPr id="28" name="IM 28"/>
            <wp:cNvGraphicFramePr/>
            <a:graphic>
              <a:graphicData uri="http://schemas.openxmlformats.org/drawingml/2006/picture">
                <pic:pic>
                  <pic:nvPicPr>
                    <pic:cNvPr id="28" name="IM 28"/>
                    <pic:cNvPicPr/>
                  </pic:nvPicPr>
                  <pic:blipFill>
                    <a:blip r:embed="rId15"/>
                    <a:stretch>
                      <a:fillRect/>
                    </a:stretch>
                  </pic:blipFill>
                  <pic:spPr>
                    <a:xfrm rot="0">
                      <a:off x="0" y="0"/>
                      <a:ext cx="5219700" cy="7924800"/>
                    </a:xfrm>
                    <a:prstGeom prst="rect">
                      <a:avLst/>
                    </a:prstGeom>
                  </pic:spPr>
                </pic:pic>
              </a:graphicData>
            </a:graphic>
          </wp:anchor>
        </w:drawing>
      </w:r>
      <w:r>
        <w:rPr>
          <w:rFonts w:ascii="SimHei" w:hAnsi="SimHei" w:eastAsia="SimHei" w:cs="SimHei"/>
          <w:sz w:val="60"/>
          <w:szCs w:val="60"/>
          <w:color w:val="E54C00"/>
          <w:spacing w:val="-18"/>
        </w:rPr>
        <w:t>创新、治理</w:t>
      </w:r>
      <w:r>
        <w:rPr>
          <w:rFonts w:ascii="SimHei" w:hAnsi="SimHei" w:eastAsia="SimHei" w:cs="SimHei"/>
          <w:sz w:val="60"/>
          <w:szCs w:val="60"/>
          <w:color w:val="E54C00"/>
          <w:spacing w:val="1"/>
        </w:rPr>
        <w:t xml:space="preserve"> </w:t>
      </w:r>
      <w:r>
        <w:rPr>
          <w:rFonts w:ascii="SimHei" w:hAnsi="SimHei" w:eastAsia="SimHei" w:cs="SimHei"/>
          <w:sz w:val="60"/>
          <w:szCs w:val="60"/>
          <w:color w:val="E54C00"/>
          <w:spacing w:val="-11"/>
        </w:rPr>
        <w:t>与繁荣</w:t>
      </w:r>
    </w:p>
    <w:p>
      <w:pPr>
        <w:spacing w:line="333" w:lineRule="auto"/>
        <w:rPr>
          <w:rFonts w:ascii="Arial"/>
          <w:sz w:val="21"/>
        </w:rPr>
      </w:pPr>
      <w:r/>
    </w:p>
    <w:p>
      <w:pPr>
        <w:spacing w:line="333" w:lineRule="auto"/>
        <w:rPr>
          <w:rFonts w:ascii="Arial"/>
          <w:sz w:val="21"/>
        </w:rPr>
      </w:pPr>
      <w:r/>
    </w:p>
    <w:p>
      <w:pPr>
        <w:ind w:left="52"/>
        <w:spacing w:before="69" w:line="221" w:lineRule="auto"/>
        <w:rPr>
          <w:rFonts w:ascii="SimHei" w:hAnsi="SimHei" w:eastAsia="SimHei" w:cs="SimHei"/>
          <w:sz w:val="21"/>
          <w:szCs w:val="21"/>
        </w:rPr>
      </w:pPr>
      <w:r>
        <w:rPr>
          <w:rFonts w:ascii="SimHei" w:hAnsi="SimHei" w:eastAsia="SimHei" w:cs="SimHei"/>
          <w:sz w:val="21"/>
          <w:szCs w:val="21"/>
          <w:b/>
          <w:bCs/>
          <w:spacing w:val="-6"/>
        </w:rPr>
        <w:t>黄益平</w:t>
      </w:r>
      <w:r>
        <w:rPr>
          <w:rFonts w:ascii="SimHei" w:hAnsi="SimHei" w:eastAsia="SimHei" w:cs="SimHei"/>
          <w:sz w:val="21"/>
          <w:szCs w:val="21"/>
          <w:spacing w:val="47"/>
        </w:rPr>
        <w:t xml:space="preserve"> </w:t>
      </w:r>
      <w:r>
        <w:rPr>
          <w:rFonts w:ascii="SimHei" w:hAnsi="SimHei" w:eastAsia="SimHei" w:cs="SimHei"/>
          <w:sz w:val="21"/>
          <w:szCs w:val="21"/>
          <w:spacing w:val="-6"/>
        </w:rPr>
        <w:t>主编</w:t>
      </w:r>
    </w:p>
    <w:p>
      <w:pPr>
        <w:ind w:left="52"/>
        <w:spacing w:before="137" w:line="310" w:lineRule="exact"/>
        <w:rPr>
          <w:rFonts w:ascii="SimHei" w:hAnsi="SimHei" w:eastAsia="SimHei" w:cs="SimHei"/>
          <w:sz w:val="21"/>
          <w:szCs w:val="21"/>
        </w:rPr>
      </w:pPr>
      <w:r>
        <w:rPr>
          <w:rFonts w:ascii="SimHei" w:hAnsi="SimHei" w:eastAsia="SimHei" w:cs="SimHei"/>
          <w:sz w:val="21"/>
          <w:szCs w:val="21"/>
          <w:b/>
          <w:bCs/>
          <w:spacing w:val="-12"/>
          <w:position w:val="7"/>
        </w:rPr>
        <w:t>北京大学平台经济创新与治理</w:t>
      </w:r>
    </w:p>
    <w:p>
      <w:pPr>
        <w:ind w:left="52"/>
        <w:spacing w:before="1" w:line="220" w:lineRule="auto"/>
        <w:rPr>
          <w:rFonts w:ascii="SimHei" w:hAnsi="SimHei" w:eastAsia="SimHei" w:cs="SimHei"/>
          <w:sz w:val="21"/>
          <w:szCs w:val="21"/>
        </w:rPr>
      </w:pPr>
      <w:r>
        <w:rPr>
          <w:rFonts w:ascii="SimHei" w:hAnsi="SimHei" w:eastAsia="SimHei" w:cs="SimHei"/>
          <w:sz w:val="21"/>
          <w:szCs w:val="21"/>
          <w:b/>
          <w:bCs/>
          <w:spacing w:val="-9"/>
        </w:rPr>
        <w:t>课题组</w:t>
      </w:r>
      <w:r>
        <w:rPr>
          <w:rFonts w:ascii="SimHei" w:hAnsi="SimHei" w:eastAsia="SimHei" w:cs="SimHei"/>
          <w:sz w:val="21"/>
          <w:szCs w:val="21"/>
          <w:spacing w:val="-9"/>
        </w:rPr>
        <w:t xml:space="preserve">  </w:t>
      </w:r>
      <w:r>
        <w:rPr>
          <w:rFonts w:ascii="SimHei" w:hAnsi="SimHei" w:eastAsia="SimHei" w:cs="SimHei"/>
          <w:sz w:val="21"/>
          <w:szCs w:val="21"/>
          <w:b/>
          <w:bCs/>
          <w:spacing w:val="-9"/>
        </w:rPr>
        <w:t>著</w:t>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ind w:left="49"/>
        <w:spacing w:before="89" w:line="414" w:lineRule="exact"/>
        <w:rPr>
          <w:rFonts w:ascii="SimHei" w:hAnsi="SimHei" w:eastAsia="SimHei" w:cs="SimHei"/>
          <w:sz w:val="27"/>
          <w:szCs w:val="27"/>
        </w:rPr>
      </w:pPr>
      <w:r>
        <w:rPr>
          <w:rFonts w:ascii="SimHei" w:hAnsi="SimHei" w:eastAsia="SimHei" w:cs="SimHei"/>
          <w:sz w:val="27"/>
          <w:szCs w:val="27"/>
          <w:color w:val="C75600"/>
          <w:spacing w:val="-7"/>
          <w:position w:val="10"/>
        </w:rPr>
        <w:t>在规范中发展</w:t>
      </w:r>
    </w:p>
    <w:p>
      <w:pPr>
        <w:ind w:left="49"/>
        <w:spacing w:before="1" w:line="223" w:lineRule="auto"/>
        <w:rPr>
          <w:rFonts w:ascii="SimHei" w:hAnsi="SimHei" w:eastAsia="SimHei" w:cs="SimHei"/>
          <w:sz w:val="27"/>
          <w:szCs w:val="27"/>
        </w:rPr>
      </w:pPr>
      <w:r>
        <w:rPr>
          <w:rFonts w:ascii="SimHei" w:hAnsi="SimHei" w:eastAsia="SimHei" w:cs="SimHei"/>
          <w:sz w:val="27"/>
          <w:szCs w:val="27"/>
          <w:color w:val="C75600"/>
          <w:spacing w:val="-2"/>
        </w:rPr>
        <w:t>于有序中繁荣</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52"/>
        <w:spacing w:before="59" w:line="219" w:lineRule="auto"/>
        <w:rPr>
          <w:rFonts w:ascii="SimSun" w:hAnsi="SimSun" w:eastAsia="SimSun" w:cs="SimSun"/>
          <w:sz w:val="18"/>
          <w:szCs w:val="18"/>
        </w:rPr>
      </w:pPr>
      <w:r>
        <w:rPr>
          <w:rFonts w:ascii="SimSun" w:hAnsi="SimSun" w:eastAsia="SimSun" w:cs="SimSun"/>
          <w:sz w:val="18"/>
          <w:szCs w:val="18"/>
          <w:b/>
          <w:bCs/>
          <w:spacing w:val="-13"/>
        </w:rPr>
        <w:t>中信出版集团</w:t>
      </w:r>
    </w:p>
    <w:p>
      <w:pPr>
        <w:spacing w:line="219" w:lineRule="auto"/>
        <w:sectPr>
          <w:headerReference w:type="default" r:id="rId1"/>
          <w:footerReference w:type="default" r:id="rId2"/>
          <w:pgSz w:w="8220" w:h="12480"/>
          <w:pgMar w:top="1" w:right="0" w:bottom="1" w:left="0" w:header="0" w:footer="0" w:gutter="0"/>
        </w:sectPr>
        <w:rPr>
          <w:rFonts w:ascii="SimSun" w:hAnsi="SimSun" w:eastAsia="SimSun" w:cs="SimSun"/>
          <w:sz w:val="18"/>
          <w:szCs w:val="18"/>
        </w:rPr>
      </w:pP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7"/>
        <w:rPr/>
      </w:pPr>
      <w:r/>
    </w:p>
    <w:p>
      <w:pPr>
        <w:spacing w:before="6"/>
        <w:rPr/>
      </w:pPr>
      <w:r/>
    </w:p>
    <w:tbl>
      <w:tblPr>
        <w:tblStyle w:val="TableNormal"/>
        <w:tblW w:w="3130" w:type="dxa"/>
        <w:tblInd w:w="100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30"/>
      </w:tblGrid>
      <w:tr>
        <w:trPr>
          <w:trHeight w:val="1047" w:hRule="atLeast"/>
        </w:trPr>
        <w:tc>
          <w:tcPr>
            <w:tcW w:w="3130" w:type="dxa"/>
            <w:vAlign w:val="top"/>
            <w:tcBorders>
              <w:bottom w:val="single" w:color="000000" w:sz="2" w:space="0"/>
              <w:top w:val="single" w:color="000000" w:sz="2" w:space="0"/>
            </w:tcBorders>
          </w:tcPr>
          <w:p>
            <w:pPr>
              <w:ind w:right="1"/>
              <w:spacing w:before="127" w:line="218" w:lineRule="auto"/>
              <w:jc w:val="right"/>
              <w:rPr>
                <w:rFonts w:ascii="SimSun" w:hAnsi="SimSun" w:eastAsia="SimSun" w:cs="SimSun"/>
                <w:sz w:val="77"/>
                <w:szCs w:val="77"/>
              </w:rPr>
            </w:pPr>
            <w:r>
              <w:rPr>
                <w:rFonts w:ascii="SimSun" w:hAnsi="SimSun" w:eastAsia="SimSun" w:cs="SimSun"/>
                <w:sz w:val="77"/>
                <w:szCs w:val="77"/>
                <w:b/>
                <w:bCs/>
                <w:strike/>
                <w:spacing w:val="-2"/>
              </w:rPr>
              <w:t>平</w:t>
            </w:r>
            <w:r>
              <w:rPr>
                <w:rFonts w:ascii="SimSun" w:hAnsi="SimSun" w:eastAsia="SimSun" w:cs="SimSun"/>
                <w:sz w:val="77"/>
                <w:szCs w:val="77"/>
                <w:b/>
                <w:bCs/>
                <w:spacing w:val="-2"/>
              </w:rPr>
              <w:t>台经济</w:t>
            </w:r>
          </w:p>
        </w:tc>
      </w:tr>
      <w:tr>
        <w:trPr>
          <w:trHeight w:val="554" w:hRule="atLeast"/>
        </w:trPr>
        <w:tc>
          <w:tcPr>
            <w:tcW w:w="3130" w:type="dxa"/>
            <w:vAlign w:val="top"/>
            <w:tcBorders>
              <w:bottom w:val="single" w:color="000000" w:sz="2" w:space="0"/>
              <w:top w:val="single" w:color="000000" w:sz="2" w:space="0"/>
            </w:tcBorders>
          </w:tcPr>
          <w:p>
            <w:pPr>
              <w:ind w:left="15"/>
              <w:spacing w:before="79" w:line="221" w:lineRule="auto"/>
              <w:rPr>
                <w:rFonts w:ascii="SimHei" w:hAnsi="SimHei" w:eastAsia="SimHei" w:cs="SimHei"/>
                <w:sz w:val="38"/>
                <w:szCs w:val="38"/>
              </w:rPr>
            </w:pPr>
            <w:r>
              <w:rPr>
                <w:rFonts w:ascii="SimHei" w:hAnsi="SimHei" w:eastAsia="SimHei" w:cs="SimHei"/>
                <w:sz w:val="38"/>
                <w:szCs w:val="38"/>
                <w:b/>
                <w:bCs/>
                <w:spacing w:val="-6"/>
              </w:rPr>
              <w:t>创新、治理与繁荣</w:t>
            </w:r>
          </w:p>
        </w:tc>
      </w:tr>
      <w:tr>
        <w:trPr>
          <w:trHeight w:val="628" w:hRule="atLeast"/>
        </w:trPr>
        <w:tc>
          <w:tcPr>
            <w:tcW w:w="3130" w:type="dxa"/>
            <w:vAlign w:val="top"/>
            <w:tcBorders>
              <w:bottom w:val="single" w:color="000000" w:sz="2" w:space="0"/>
              <w:top w:val="single" w:color="000000" w:sz="2" w:space="0"/>
            </w:tcBorders>
          </w:tcPr>
          <w:p>
            <w:pPr>
              <w:rPr>
                <w:rFonts w:ascii="Arial"/>
                <w:sz w:val="21"/>
              </w:rPr>
            </w:pPr>
            <w:r/>
          </w:p>
          <w:p>
            <w:pPr>
              <w:ind w:left="980"/>
              <w:spacing w:before="69" w:line="221" w:lineRule="auto"/>
              <w:rPr>
                <w:rFonts w:ascii="SimHei" w:hAnsi="SimHei" w:eastAsia="SimHei" w:cs="SimHei"/>
                <w:sz w:val="21"/>
                <w:szCs w:val="21"/>
              </w:rPr>
            </w:pPr>
            <w:r>
              <w:rPr>
                <w:rFonts w:ascii="SimHei" w:hAnsi="SimHei" w:eastAsia="SimHei" w:cs="SimHei"/>
                <w:sz w:val="21"/>
                <w:szCs w:val="21"/>
                <w:spacing w:val="20"/>
              </w:rPr>
              <w:t>黄益平主编</w:t>
            </w:r>
          </w:p>
        </w:tc>
      </w:tr>
    </w:tbl>
    <w:p>
      <w:pPr>
        <w:ind w:left="1990" w:right="1021" w:hanging="980"/>
        <w:spacing w:before="98" w:line="247" w:lineRule="auto"/>
        <w:rPr>
          <w:rFonts w:ascii="SimHei" w:hAnsi="SimHei" w:eastAsia="SimHei" w:cs="SimHei"/>
          <w:sz w:val="25"/>
          <w:szCs w:val="25"/>
        </w:rPr>
      </w:pPr>
      <w:r>
        <w:rPr>
          <w:rFonts w:ascii="SimHei" w:hAnsi="SimHei" w:eastAsia="SimHei" w:cs="SimHei"/>
          <w:sz w:val="25"/>
          <w:szCs w:val="25"/>
          <w:spacing w:val="-12"/>
        </w:rPr>
        <w:t>北京大学平台经济创新与治理</w:t>
      </w:r>
      <w:r>
        <w:rPr>
          <w:rFonts w:ascii="SimHei" w:hAnsi="SimHei" w:eastAsia="SimHei" w:cs="SimHei"/>
          <w:sz w:val="25"/>
          <w:szCs w:val="25"/>
          <w:spacing w:val="4"/>
        </w:rPr>
        <w:t xml:space="preserve"> </w:t>
      </w:r>
      <w:r>
        <w:rPr>
          <w:rFonts w:ascii="SimHei" w:hAnsi="SimHei" w:eastAsia="SimHei" w:cs="SimHei"/>
          <w:sz w:val="25"/>
          <w:szCs w:val="25"/>
          <w:spacing w:val="-13"/>
        </w:rPr>
        <w:t>课题组</w:t>
      </w:r>
      <w:r>
        <w:rPr>
          <w:rFonts w:ascii="SimHei" w:hAnsi="SimHei" w:eastAsia="SimHei" w:cs="SimHei"/>
          <w:sz w:val="25"/>
          <w:szCs w:val="25"/>
          <w:spacing w:val="55"/>
        </w:rPr>
        <w:t xml:space="preserve"> </w:t>
      </w:r>
      <w:r>
        <w:rPr>
          <w:rFonts w:ascii="SimHei" w:hAnsi="SimHei" w:eastAsia="SimHei" w:cs="SimHei"/>
          <w:sz w:val="25"/>
          <w:szCs w:val="25"/>
          <w:spacing w:val="-13"/>
        </w:rPr>
        <w:t>著</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822"/>
        <w:spacing w:before="55" w:line="176" w:lineRule="auto"/>
        <w:rPr>
          <w:rFonts w:ascii="SimSun" w:hAnsi="SimSun" w:eastAsia="SimSun" w:cs="SimSun"/>
          <w:sz w:val="17"/>
          <w:szCs w:val="17"/>
        </w:rPr>
      </w:pPr>
      <w:r>
        <w:rPr>
          <w:rFonts w:ascii="SimSun" w:hAnsi="SimSun" w:eastAsia="SimSun" w:cs="SimSun"/>
          <w:sz w:val="17"/>
          <w:szCs w:val="17"/>
          <w:b/>
          <w:bCs/>
          <w:spacing w:val="-5"/>
        </w:rPr>
        <w:t>中信出版集团|北京</w:t>
      </w:r>
    </w:p>
    <w:p>
      <w:pPr>
        <w:spacing w:line="176" w:lineRule="auto"/>
        <w:sectPr>
          <w:pgSz w:w="7330" w:h="12480"/>
          <w:pgMar w:top="400" w:right="1099" w:bottom="221" w:left="1099" w:header="0" w:footer="0" w:gutter="0"/>
        </w:sectPr>
        <w:rPr>
          <w:rFonts w:ascii="SimSun" w:hAnsi="SimSun" w:eastAsia="SimSun" w:cs="SimSun"/>
          <w:sz w:val="17"/>
          <w:szCs w:val="17"/>
        </w:rPr>
      </w:pPr>
    </w:p>
    <w:p>
      <w:pPr>
        <w:pStyle w:val="BodyText"/>
        <w:spacing w:line="437" w:lineRule="auto"/>
        <w:rPr/>
      </w:pPr>
      <w:r/>
    </w:p>
    <w:p>
      <w:pPr>
        <w:ind w:left="320"/>
        <w:spacing w:before="55" w:line="221" w:lineRule="auto"/>
        <w:rPr>
          <w:rFonts w:ascii="SimHei" w:hAnsi="SimHei" w:eastAsia="SimHei" w:cs="SimHei"/>
          <w:sz w:val="17"/>
          <w:szCs w:val="17"/>
        </w:rPr>
      </w:pPr>
      <w:r>
        <w:rPr>
          <w:rFonts w:ascii="SimHei" w:hAnsi="SimHei" w:eastAsia="SimHei" w:cs="SimHei"/>
          <w:sz w:val="17"/>
          <w:szCs w:val="17"/>
          <w:spacing w:val="-5"/>
        </w:rPr>
        <w:t>图书在版编目</w:t>
      </w:r>
      <w:r>
        <w:rPr>
          <w:rFonts w:ascii="SimSun" w:hAnsi="SimSun" w:eastAsia="SimSun" w:cs="SimSun"/>
          <w:sz w:val="17"/>
          <w:szCs w:val="17"/>
          <w:spacing w:val="-5"/>
        </w:rPr>
        <w:t>(CIP)</w:t>
      </w:r>
      <w:r>
        <w:rPr>
          <w:rFonts w:ascii="SimSun" w:hAnsi="SimSun" w:eastAsia="SimSun" w:cs="SimSun"/>
          <w:sz w:val="17"/>
          <w:szCs w:val="17"/>
          <w:spacing w:val="80"/>
        </w:rPr>
        <w:t xml:space="preserve"> </w:t>
      </w:r>
      <w:r>
        <w:rPr>
          <w:rFonts w:ascii="SimHei" w:hAnsi="SimHei" w:eastAsia="SimHei" w:cs="SimHei"/>
          <w:sz w:val="17"/>
          <w:szCs w:val="17"/>
          <w:spacing w:val="-5"/>
        </w:rPr>
        <w:t>数据</w:t>
      </w:r>
    </w:p>
    <w:p>
      <w:pPr>
        <w:ind w:left="320"/>
        <w:spacing w:before="167" w:line="230" w:lineRule="exact"/>
        <w:rPr>
          <w:rFonts w:ascii="SimSun" w:hAnsi="SimSun" w:eastAsia="SimSun" w:cs="SimSun"/>
          <w:sz w:val="17"/>
          <w:szCs w:val="17"/>
        </w:rPr>
      </w:pPr>
      <w:r>
        <w:rPr>
          <w:rFonts w:ascii="SimSun" w:hAnsi="SimSun" w:eastAsia="SimSun" w:cs="SimSun"/>
          <w:sz w:val="17"/>
          <w:szCs w:val="17"/>
          <w:spacing w:val="-7"/>
          <w:position w:val="4"/>
        </w:rPr>
        <w:t>平台经济：创新、治理与繁荣/北京大学平台经济</w:t>
      </w:r>
    </w:p>
    <w:p>
      <w:pPr>
        <w:spacing w:line="219" w:lineRule="auto"/>
        <w:rPr>
          <w:rFonts w:ascii="SimSun" w:hAnsi="SimSun" w:eastAsia="SimSun" w:cs="SimSun"/>
          <w:sz w:val="17"/>
          <w:szCs w:val="17"/>
        </w:rPr>
      </w:pPr>
      <w:r>
        <w:rPr>
          <w:rFonts w:ascii="SimSun" w:hAnsi="SimSun" w:eastAsia="SimSun" w:cs="SimSun"/>
          <w:sz w:val="17"/>
          <w:szCs w:val="17"/>
          <w:spacing w:val="-4"/>
        </w:rPr>
        <w:t>创新与治理课题组著;黄益平主编.--北京：中信出</w:t>
      </w:r>
    </w:p>
    <w:p>
      <w:pPr>
        <w:spacing w:before="48" w:line="219" w:lineRule="auto"/>
        <w:rPr>
          <w:rFonts w:ascii="SimSun" w:hAnsi="SimSun" w:eastAsia="SimSun" w:cs="SimSun"/>
          <w:sz w:val="17"/>
          <w:szCs w:val="17"/>
        </w:rPr>
      </w:pPr>
      <w:r>
        <w:rPr>
          <w:rFonts w:ascii="SimSun" w:hAnsi="SimSun" w:eastAsia="SimSun" w:cs="SimSun"/>
          <w:sz w:val="17"/>
          <w:szCs w:val="17"/>
          <w:spacing w:val="-9"/>
        </w:rPr>
        <w:t>版社，2022.7</w:t>
      </w:r>
    </w:p>
    <w:p>
      <w:pPr>
        <w:ind w:left="320"/>
        <w:spacing w:before="61" w:line="182" w:lineRule="auto"/>
        <w:rPr>
          <w:rFonts w:ascii="SimSun" w:hAnsi="SimSun" w:eastAsia="SimSun" w:cs="SimSun"/>
          <w:sz w:val="17"/>
          <w:szCs w:val="17"/>
        </w:rPr>
      </w:pPr>
      <w:r>
        <w:rPr>
          <w:rFonts w:ascii="SimSun" w:hAnsi="SimSun" w:eastAsia="SimSun" w:cs="SimSun"/>
          <w:sz w:val="17"/>
          <w:szCs w:val="17"/>
          <w:spacing w:val="-5"/>
        </w:rPr>
        <w:t>ISBN 978-7-5217-4375-3</w:t>
      </w:r>
    </w:p>
    <w:p>
      <w:pPr>
        <w:pStyle w:val="BodyText"/>
        <w:rPr/>
      </w:pPr>
      <w:r/>
    </w:p>
    <w:p>
      <w:pPr>
        <w:ind w:left="370"/>
        <w:spacing w:before="56" w:line="230" w:lineRule="exact"/>
        <w:rPr>
          <w:rFonts w:ascii="SimSun" w:hAnsi="SimSun" w:eastAsia="SimSun" w:cs="SimSun"/>
          <w:sz w:val="17"/>
          <w:szCs w:val="17"/>
        </w:rPr>
      </w:pPr>
      <w:r>
        <w:rPr>
          <w:rFonts w:ascii="Times New Roman" w:hAnsi="Times New Roman" w:eastAsia="Times New Roman" w:cs="Times New Roman"/>
          <w:sz w:val="17"/>
          <w:szCs w:val="17"/>
          <w:spacing w:val="-5"/>
          <w:position w:val="4"/>
        </w:rPr>
        <w:t>I.</w:t>
      </w:r>
      <w:r>
        <w:rPr>
          <w:rFonts w:ascii="SimSun" w:hAnsi="SimSun" w:eastAsia="SimSun" w:cs="SimSun"/>
          <w:sz w:val="17"/>
          <w:szCs w:val="17"/>
          <w:spacing w:val="-5"/>
          <w:position w:val="4"/>
        </w:rPr>
        <w:t>① 平…</w:t>
      </w:r>
      <w:r>
        <w:rPr>
          <w:rFonts w:ascii="SimSun" w:hAnsi="SimSun" w:eastAsia="SimSun" w:cs="SimSun"/>
          <w:sz w:val="17"/>
          <w:szCs w:val="17"/>
          <w:spacing w:val="70"/>
          <w:position w:val="4"/>
        </w:rPr>
        <w:t xml:space="preserve"> </w:t>
      </w:r>
      <w:r>
        <w:rPr>
          <w:rFonts w:ascii="SimSun" w:hAnsi="SimSun" w:eastAsia="SimSun" w:cs="SimSun"/>
          <w:sz w:val="17"/>
          <w:szCs w:val="17"/>
          <w:spacing w:val="-5"/>
          <w:position w:val="4"/>
        </w:rPr>
        <w:t>Ⅱ.①北…②黄…  Ⅲ.①网络经济一研</w:t>
      </w:r>
    </w:p>
    <w:p>
      <w:pPr>
        <w:spacing w:line="217" w:lineRule="auto"/>
        <w:rPr>
          <w:rFonts w:ascii="SimSun" w:hAnsi="SimSun" w:eastAsia="SimSun" w:cs="SimSun"/>
          <w:sz w:val="17"/>
          <w:szCs w:val="17"/>
        </w:rPr>
      </w:pPr>
      <w:r>
        <w:rPr>
          <w:rFonts w:ascii="SimSun" w:hAnsi="SimSun" w:eastAsia="SimSun" w:cs="SimSun"/>
          <w:sz w:val="17"/>
          <w:szCs w:val="17"/>
          <w:spacing w:val="-2"/>
        </w:rPr>
        <w:t>究-</w:t>
      </w:r>
      <w:r>
        <w:rPr>
          <w:rFonts w:ascii="SimSun" w:hAnsi="SimSun" w:eastAsia="SimSun" w:cs="SimSun"/>
          <w:sz w:val="17"/>
          <w:szCs w:val="17"/>
          <w:spacing w:val="-32"/>
        </w:rPr>
        <w:t xml:space="preserve"> </w:t>
      </w:r>
      <w:r>
        <w:rPr>
          <w:rFonts w:ascii="SimSun" w:hAnsi="SimSun" w:eastAsia="SimSun" w:cs="SimSun"/>
          <w:sz w:val="17"/>
          <w:szCs w:val="17"/>
          <w:spacing w:val="-2"/>
        </w:rPr>
        <w:t>中国</w:t>
      </w:r>
      <w:r>
        <w:rPr>
          <w:rFonts w:ascii="SimSun" w:hAnsi="SimSun" w:eastAsia="SimSun" w:cs="SimSun"/>
          <w:sz w:val="17"/>
          <w:szCs w:val="17"/>
          <w:spacing w:val="58"/>
        </w:rPr>
        <w:t xml:space="preserve"> </w:t>
      </w:r>
      <w:r>
        <w:rPr>
          <w:rFonts w:ascii="SimSun" w:hAnsi="SimSun" w:eastAsia="SimSun" w:cs="SimSun"/>
          <w:sz w:val="17"/>
          <w:szCs w:val="17"/>
          <w:spacing w:val="-2"/>
        </w:rPr>
        <w:t>IV.①F492.3</w:t>
      </w:r>
    </w:p>
    <w:p>
      <w:pPr>
        <w:ind w:left="320"/>
        <w:spacing w:before="263" w:line="212" w:lineRule="auto"/>
        <w:rPr>
          <w:rFonts w:ascii="SimSun" w:hAnsi="SimSun" w:eastAsia="SimSun" w:cs="SimSun"/>
          <w:sz w:val="17"/>
          <w:szCs w:val="17"/>
        </w:rPr>
      </w:pPr>
      <w:r>
        <w:rPr>
          <w:rFonts w:ascii="SimSun" w:hAnsi="SimSun" w:eastAsia="SimSun" w:cs="SimSun"/>
          <w:sz w:val="17"/>
          <w:szCs w:val="17"/>
          <w:spacing w:val="2"/>
        </w:rPr>
        <w:t>中国版本图书馆</w:t>
      </w:r>
      <w:r>
        <w:rPr>
          <w:rFonts w:ascii="SimSun" w:hAnsi="SimSun" w:eastAsia="SimSun" w:cs="SimSun"/>
          <w:sz w:val="17"/>
          <w:szCs w:val="17"/>
          <w:spacing w:val="-42"/>
        </w:rPr>
        <w:t xml:space="preserve"> </w:t>
      </w:r>
      <w:r>
        <w:rPr>
          <w:rFonts w:ascii="Times New Roman" w:hAnsi="Times New Roman" w:eastAsia="Times New Roman" w:cs="Times New Roman"/>
          <w:sz w:val="17"/>
          <w:szCs w:val="17"/>
        </w:rPr>
        <w:t>CIP</w:t>
      </w:r>
      <w:r>
        <w:rPr>
          <w:rFonts w:ascii="Times New Roman" w:hAnsi="Times New Roman" w:eastAsia="Times New Roman" w:cs="Times New Roman"/>
          <w:sz w:val="17"/>
          <w:szCs w:val="17"/>
          <w:spacing w:val="-11"/>
        </w:rPr>
        <w:t xml:space="preserve"> </w:t>
      </w:r>
      <w:r>
        <w:rPr>
          <w:rFonts w:ascii="SimSun" w:hAnsi="SimSun" w:eastAsia="SimSun" w:cs="SimSun"/>
          <w:sz w:val="17"/>
          <w:szCs w:val="17"/>
          <w:spacing w:val="2"/>
        </w:rPr>
        <w:t>数据核字</w:t>
      </w:r>
      <w:r>
        <w:rPr>
          <w:rFonts w:ascii="SimSun" w:hAnsi="SimSun" w:eastAsia="SimSun" w:cs="SimSun"/>
          <w:sz w:val="17"/>
          <w:szCs w:val="17"/>
          <w:spacing w:val="-47"/>
        </w:rPr>
        <w:t xml:space="preserve"> </w:t>
      </w:r>
      <w:r>
        <w:rPr>
          <w:rFonts w:ascii="Times New Roman" w:hAnsi="Times New Roman" w:eastAsia="Times New Roman" w:cs="Times New Roman"/>
          <w:sz w:val="17"/>
          <w:szCs w:val="17"/>
          <w:spacing w:val="2"/>
        </w:rPr>
        <w:t>(202</w:t>
      </w:r>
      <w:r>
        <w:rPr>
          <w:rFonts w:ascii="Times New Roman" w:hAnsi="Times New Roman" w:eastAsia="Times New Roman" w:cs="Times New Roman"/>
          <w:sz w:val="17"/>
          <w:szCs w:val="17"/>
          <w:spacing w:val="13"/>
        </w:rPr>
        <w:t xml:space="preserve"> </w:t>
      </w:r>
      <w:r>
        <w:rPr>
          <w:rFonts w:ascii="SimSun" w:hAnsi="SimSun" w:eastAsia="SimSun" w:cs="SimSun"/>
          <w:sz w:val="17"/>
          <w:szCs w:val="17"/>
          <w:spacing w:val="2"/>
        </w:rPr>
        <w:t>2)第07</w:t>
      </w:r>
      <w:r>
        <w:rPr>
          <w:rFonts w:ascii="SimSun" w:hAnsi="SimSun" w:eastAsia="SimSun" w:cs="SimSun"/>
          <w:sz w:val="17"/>
          <w:szCs w:val="17"/>
          <w:spacing w:val="1"/>
        </w:rPr>
        <w:t>7883号</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56" w:line="219" w:lineRule="auto"/>
        <w:rPr>
          <w:rFonts w:ascii="SimSun" w:hAnsi="SimSun" w:eastAsia="SimSun" w:cs="SimSun"/>
          <w:sz w:val="17"/>
          <w:szCs w:val="17"/>
        </w:rPr>
      </w:pPr>
      <w:r>
        <w:rPr>
          <w:rFonts w:ascii="SimSun" w:hAnsi="SimSun" w:eastAsia="SimSun" w:cs="SimSun"/>
          <w:sz w:val="17"/>
          <w:szCs w:val="17"/>
          <w:spacing w:val="-10"/>
        </w:rPr>
        <w:t>平台经济——创新、治理与繁荣</w:t>
      </w:r>
    </w:p>
    <w:p>
      <w:pPr>
        <w:spacing w:before="38" w:line="219" w:lineRule="auto"/>
        <w:rPr>
          <w:rFonts w:ascii="SimSun" w:hAnsi="SimSun" w:eastAsia="SimSun" w:cs="SimSun"/>
          <w:sz w:val="17"/>
          <w:szCs w:val="17"/>
        </w:rPr>
      </w:pPr>
      <w:r>
        <w:rPr>
          <w:rFonts w:ascii="SimSun" w:hAnsi="SimSun" w:eastAsia="SimSun" w:cs="SimSun"/>
          <w:sz w:val="17"/>
          <w:szCs w:val="17"/>
          <w:spacing w:val="-13"/>
        </w:rPr>
        <w:t>著者：</w:t>
      </w:r>
      <w:r>
        <w:rPr>
          <w:rFonts w:ascii="SimSun" w:hAnsi="SimSun" w:eastAsia="SimSun" w:cs="SimSun"/>
          <w:sz w:val="17"/>
          <w:szCs w:val="17"/>
          <w:spacing w:val="7"/>
        </w:rPr>
        <w:t xml:space="preserve">    </w:t>
      </w:r>
      <w:r>
        <w:rPr>
          <w:rFonts w:ascii="SimSun" w:hAnsi="SimSun" w:eastAsia="SimSun" w:cs="SimSun"/>
          <w:sz w:val="17"/>
          <w:szCs w:val="17"/>
          <w:spacing w:val="-13"/>
        </w:rPr>
        <w:t>北京大学平台经济创新与治理课题组</w:t>
      </w:r>
    </w:p>
    <w:p>
      <w:pPr>
        <w:spacing w:before="38" w:line="219" w:lineRule="auto"/>
        <w:rPr>
          <w:rFonts w:ascii="SimSun" w:hAnsi="SimSun" w:eastAsia="SimSun" w:cs="SimSun"/>
          <w:sz w:val="17"/>
          <w:szCs w:val="17"/>
        </w:rPr>
      </w:pPr>
      <w:r>
        <w:rPr>
          <w:rFonts w:ascii="SimSun" w:hAnsi="SimSun" w:eastAsia="SimSun" w:cs="SimSun"/>
          <w:sz w:val="17"/>
          <w:szCs w:val="17"/>
          <w:spacing w:val="-19"/>
          <w:w w:val="99"/>
        </w:rPr>
        <w:t>主编：</w:t>
      </w:r>
      <w:r>
        <w:rPr>
          <w:rFonts w:ascii="SimSun" w:hAnsi="SimSun" w:eastAsia="SimSun" w:cs="SimSun"/>
          <w:sz w:val="17"/>
          <w:szCs w:val="17"/>
          <w:spacing w:val="8"/>
        </w:rPr>
        <w:t xml:space="preserve">    </w:t>
      </w:r>
      <w:r>
        <w:rPr>
          <w:rFonts w:ascii="SimSun" w:hAnsi="SimSun" w:eastAsia="SimSun" w:cs="SimSun"/>
          <w:sz w:val="17"/>
          <w:szCs w:val="17"/>
          <w:spacing w:val="-19"/>
          <w:w w:val="99"/>
        </w:rPr>
        <w:t>黄益平</w:t>
      </w:r>
    </w:p>
    <w:p>
      <w:pPr>
        <w:spacing w:before="49" w:line="219" w:lineRule="auto"/>
        <w:rPr>
          <w:rFonts w:ascii="SimSun" w:hAnsi="SimSun" w:eastAsia="SimSun" w:cs="SimSun"/>
          <w:sz w:val="17"/>
          <w:szCs w:val="17"/>
        </w:rPr>
      </w:pPr>
      <w:r>
        <w:rPr>
          <w:rFonts w:ascii="SimSun" w:hAnsi="SimSun" w:eastAsia="SimSun" w:cs="SimSun"/>
          <w:sz w:val="17"/>
          <w:szCs w:val="17"/>
          <w:spacing w:val="-9"/>
        </w:rPr>
        <w:t>出版发行：中信出版集团股份有限公司</w:t>
      </w:r>
    </w:p>
    <w:p>
      <w:pPr>
        <w:ind w:left="790"/>
        <w:spacing w:before="56" w:line="219" w:lineRule="auto"/>
        <w:rPr>
          <w:rFonts w:ascii="SimSun" w:hAnsi="SimSun" w:eastAsia="SimSun" w:cs="SimSun"/>
          <w:sz w:val="13"/>
          <w:szCs w:val="13"/>
        </w:rPr>
      </w:pPr>
      <w:r>
        <w:rPr>
          <w:rFonts w:ascii="SimSun" w:hAnsi="SimSun" w:eastAsia="SimSun" w:cs="SimSun"/>
          <w:sz w:val="13"/>
          <w:szCs w:val="13"/>
          <w:spacing w:val="5"/>
        </w:rPr>
        <w:t>(北京市朝阳区惠新东街甲4号富盛大厦2座</w:t>
      </w:r>
      <w:r>
        <w:rPr>
          <w:rFonts w:ascii="SimSun" w:hAnsi="SimSun" w:eastAsia="SimSun" w:cs="SimSun"/>
          <w:sz w:val="13"/>
          <w:szCs w:val="13"/>
          <w:spacing w:val="29"/>
        </w:rPr>
        <w:t xml:space="preserve"> </w:t>
      </w:r>
      <w:r>
        <w:rPr>
          <w:rFonts w:ascii="SimSun" w:hAnsi="SimSun" w:eastAsia="SimSun" w:cs="SimSun"/>
          <w:sz w:val="13"/>
          <w:szCs w:val="13"/>
          <w:spacing w:val="5"/>
        </w:rPr>
        <w:t>邮编10002</w:t>
      </w:r>
      <w:r>
        <w:rPr>
          <w:rFonts w:ascii="SimSun" w:hAnsi="SimSun" w:eastAsia="SimSun" w:cs="SimSun"/>
          <w:sz w:val="13"/>
          <w:szCs w:val="13"/>
          <w:spacing w:val="4"/>
        </w:rPr>
        <w:t>9)</w:t>
      </w:r>
    </w:p>
    <w:p>
      <w:pPr>
        <w:spacing w:before="58" w:line="230" w:lineRule="auto"/>
        <w:rPr>
          <w:rFonts w:ascii="SimSun" w:hAnsi="SimSun" w:eastAsia="SimSun" w:cs="SimSun"/>
          <w:sz w:val="17"/>
          <w:szCs w:val="17"/>
        </w:rPr>
      </w:pPr>
      <w:r>
        <w:rPr>
          <w:rFonts w:ascii="SimSun" w:hAnsi="SimSun" w:eastAsia="SimSun" w:cs="SimSun"/>
          <w:sz w:val="17"/>
          <w:szCs w:val="17"/>
          <w:spacing w:val="-5"/>
          <w:position w:val="1"/>
        </w:rPr>
        <w:t>承印者：</w:t>
      </w:r>
      <w:r>
        <w:rPr>
          <w:rFonts w:ascii="SimSun" w:hAnsi="SimSun" w:eastAsia="SimSun" w:cs="SimSun"/>
          <w:sz w:val="17"/>
          <w:szCs w:val="17"/>
          <w:spacing w:val="33"/>
          <w:position w:val="1"/>
        </w:rPr>
        <w:t xml:space="preserve">  </w:t>
      </w:r>
      <w:r>
        <w:rPr>
          <w:rFonts w:ascii="SimSun" w:hAnsi="SimSun" w:eastAsia="SimSun" w:cs="SimSun"/>
          <w:sz w:val="17"/>
          <w:szCs w:val="17"/>
          <w:spacing w:val="-5"/>
        </w:rPr>
        <w:t>宝蕾元仁浩(天津)印刷有限公司</w:t>
      </w:r>
    </w:p>
    <w:p>
      <w:pPr>
        <w:spacing w:before="2"/>
        <w:rPr/>
      </w:pPr>
      <w:r/>
    </w:p>
    <w:p>
      <w:pPr>
        <w:sectPr>
          <w:pgSz w:w="7330" w:h="12480"/>
          <w:pgMar w:top="400" w:right="1099" w:bottom="400" w:left="619" w:header="0" w:footer="0" w:gutter="0"/>
          <w:cols w:equalWidth="0" w:num="1">
            <w:col w:w="5611" w:space="0"/>
          </w:cols>
        </w:sectPr>
        <w:rPr/>
      </w:pPr>
    </w:p>
    <w:p>
      <w:pPr>
        <w:spacing w:before="33" w:line="219" w:lineRule="auto"/>
        <w:rPr>
          <w:rFonts w:ascii="SimSun" w:hAnsi="SimSun" w:eastAsia="SimSun" w:cs="SimSun"/>
          <w:sz w:val="17"/>
          <w:szCs w:val="17"/>
        </w:rPr>
      </w:pPr>
      <w:r>
        <w:rPr>
          <w:rFonts w:ascii="SimSun" w:hAnsi="SimSun" w:eastAsia="SimSun" w:cs="SimSun"/>
          <w:sz w:val="17"/>
          <w:szCs w:val="17"/>
          <w:spacing w:val="-3"/>
        </w:rPr>
        <w:t>开本：787mm×1092mm   1/16</w:t>
      </w:r>
    </w:p>
    <w:p>
      <w:pPr>
        <w:spacing w:before="40" w:line="219" w:lineRule="auto"/>
        <w:rPr>
          <w:rFonts w:ascii="SimSun" w:hAnsi="SimSun" w:eastAsia="SimSun" w:cs="SimSun"/>
          <w:sz w:val="17"/>
          <w:szCs w:val="17"/>
        </w:rPr>
      </w:pPr>
      <w:r>
        <w:rPr>
          <w:rFonts w:ascii="SimSun" w:hAnsi="SimSun" w:eastAsia="SimSun" w:cs="SimSun"/>
          <w:sz w:val="17"/>
          <w:szCs w:val="17"/>
          <w:spacing w:val="9"/>
        </w:rPr>
        <w:t>版次：2022年7月第1版</w:t>
      </w:r>
    </w:p>
    <w:p>
      <w:pPr>
        <w:spacing w:before="37" w:line="219" w:lineRule="auto"/>
        <w:rPr>
          <w:rFonts w:ascii="SimSun" w:hAnsi="SimSun" w:eastAsia="SimSun" w:cs="SimSun"/>
          <w:sz w:val="17"/>
          <w:szCs w:val="17"/>
        </w:rPr>
      </w:pPr>
      <w:r>
        <w:rPr>
          <w:rFonts w:ascii="SimSun" w:hAnsi="SimSun" w:eastAsia="SimSun" w:cs="SimSun"/>
          <w:sz w:val="17"/>
          <w:szCs w:val="17"/>
          <w:spacing w:val="-5"/>
        </w:rPr>
        <w:t>书号：ISBN</w:t>
      </w:r>
      <w:r>
        <w:rPr>
          <w:rFonts w:ascii="SimSun" w:hAnsi="SimSun" w:eastAsia="SimSun" w:cs="SimSun"/>
          <w:sz w:val="17"/>
          <w:szCs w:val="17"/>
          <w:spacing w:val="79"/>
        </w:rPr>
        <w:t xml:space="preserve"> </w:t>
      </w:r>
      <w:r>
        <w:rPr>
          <w:rFonts w:ascii="SimSun" w:hAnsi="SimSun" w:eastAsia="SimSun" w:cs="SimSun"/>
          <w:sz w:val="17"/>
          <w:szCs w:val="17"/>
          <w:spacing w:val="-5"/>
        </w:rPr>
        <w:t>978-7-5217-4375-3</w:t>
      </w:r>
    </w:p>
    <w:p>
      <w:pPr>
        <w:spacing w:before="49" w:line="184" w:lineRule="auto"/>
        <w:rPr>
          <w:rFonts w:ascii="SimSun" w:hAnsi="SimSun" w:eastAsia="SimSun" w:cs="SimSun"/>
          <w:sz w:val="17"/>
          <w:szCs w:val="17"/>
        </w:rPr>
      </w:pPr>
      <w:r>
        <w:rPr>
          <w:rFonts w:ascii="SimSun" w:hAnsi="SimSun" w:eastAsia="SimSun" w:cs="SimSun"/>
          <w:sz w:val="17"/>
          <w:szCs w:val="17"/>
          <w:spacing w:val="-3"/>
        </w:rPr>
        <w:t>定价：89.00元</w:t>
      </w:r>
    </w:p>
    <w:p>
      <w:pPr>
        <w:pStyle w:val="BodyText"/>
        <w:spacing w:line="14" w:lineRule="auto"/>
        <w:rPr>
          <w:sz w:val="2"/>
        </w:rPr>
      </w:pPr>
      <w:r>
        <w:rPr>
          <w:sz w:val="2"/>
          <w:szCs w:val="2"/>
        </w:rPr>
        <w:br w:type="column"/>
      </w:r>
    </w:p>
    <w:p>
      <w:pPr>
        <w:spacing w:before="33" w:line="219" w:lineRule="auto"/>
        <w:rPr>
          <w:rFonts w:ascii="SimSun" w:hAnsi="SimSun" w:eastAsia="SimSun" w:cs="SimSun"/>
          <w:sz w:val="17"/>
          <w:szCs w:val="17"/>
        </w:rPr>
      </w:pPr>
      <w:r>
        <w:rPr>
          <w:rFonts w:ascii="SimSun" w:hAnsi="SimSun" w:eastAsia="SimSun" w:cs="SimSun"/>
          <w:sz w:val="17"/>
          <w:szCs w:val="17"/>
          <w:spacing w:val="-4"/>
        </w:rPr>
        <w:t>印张：31</w:t>
      </w:r>
      <w:r>
        <w:rPr>
          <w:rFonts w:ascii="SimSun" w:hAnsi="SimSun" w:eastAsia="SimSun" w:cs="SimSun"/>
          <w:sz w:val="17"/>
          <w:szCs w:val="17"/>
          <w:spacing w:val="4"/>
        </w:rPr>
        <w:t xml:space="preserve">        </w:t>
      </w:r>
      <w:r>
        <w:rPr>
          <w:rFonts w:ascii="SimSun" w:hAnsi="SimSun" w:eastAsia="SimSun" w:cs="SimSun"/>
          <w:sz w:val="17"/>
          <w:szCs w:val="17"/>
          <w:spacing w:val="-4"/>
        </w:rPr>
        <w:t>字数：423千字</w:t>
      </w:r>
    </w:p>
    <w:p>
      <w:pPr>
        <w:ind w:left="9"/>
        <w:spacing w:before="39" w:line="219" w:lineRule="auto"/>
        <w:rPr>
          <w:rFonts w:ascii="SimSun" w:hAnsi="SimSun" w:eastAsia="SimSun" w:cs="SimSun"/>
          <w:sz w:val="17"/>
          <w:szCs w:val="17"/>
        </w:rPr>
      </w:pPr>
      <w:r>
        <w:rPr>
          <w:rFonts w:ascii="SimSun" w:hAnsi="SimSun" w:eastAsia="SimSun" w:cs="SimSun"/>
          <w:sz w:val="17"/>
          <w:szCs w:val="17"/>
          <w:spacing w:val="6"/>
        </w:rPr>
        <w:t>印次：2022年7月第1次印刷</w:t>
      </w:r>
    </w:p>
    <w:p>
      <w:pPr>
        <w:spacing w:line="219" w:lineRule="auto"/>
        <w:sectPr>
          <w:type w:val="continuous"/>
          <w:pgSz w:w="7330" w:h="12480"/>
          <w:pgMar w:top="400" w:right="1099" w:bottom="400" w:left="619" w:header="0" w:footer="0" w:gutter="0"/>
          <w:cols w:equalWidth="0" w:num="2">
            <w:col w:w="2731" w:space="100"/>
            <w:col w:w="2781" w:space="0"/>
          </w:cols>
        </w:sectPr>
        <w:rPr>
          <w:rFonts w:ascii="SimSun" w:hAnsi="SimSun" w:eastAsia="SimSun" w:cs="SimSun"/>
          <w:sz w:val="17"/>
          <w:szCs w:val="17"/>
        </w:rPr>
      </w:pPr>
    </w:p>
    <w:p>
      <w:pPr>
        <w:spacing w:before="290" w:line="219" w:lineRule="auto"/>
        <w:rPr>
          <w:rFonts w:ascii="SimSun" w:hAnsi="SimSun" w:eastAsia="SimSun" w:cs="SimSun"/>
          <w:sz w:val="17"/>
          <w:szCs w:val="17"/>
        </w:rPr>
      </w:pPr>
      <w:r>
        <w:rPr>
          <w:rFonts w:ascii="SimSun" w:hAnsi="SimSun" w:eastAsia="SimSun" w:cs="SimSun"/>
          <w:sz w:val="17"/>
          <w:szCs w:val="17"/>
          <w:spacing w:val="-17"/>
        </w:rPr>
        <w:t>版权所有·侵权必究</w:t>
      </w:r>
    </w:p>
    <w:p>
      <w:pPr>
        <w:spacing w:before="49" w:line="240" w:lineRule="exact"/>
        <w:rPr>
          <w:rFonts w:ascii="SimSun" w:hAnsi="SimSun" w:eastAsia="SimSun" w:cs="SimSun"/>
          <w:sz w:val="17"/>
          <w:szCs w:val="17"/>
        </w:rPr>
      </w:pPr>
      <w:r>
        <w:rPr>
          <w:rFonts w:ascii="SimSun" w:hAnsi="SimSun" w:eastAsia="SimSun" w:cs="SimSun"/>
          <w:sz w:val="17"/>
          <w:szCs w:val="17"/>
          <w:spacing w:val="-11"/>
          <w:position w:val="5"/>
        </w:rPr>
        <w:t>如有印刷、装订问题，本公司负责调换。</w:t>
      </w:r>
    </w:p>
    <w:p>
      <w:pPr>
        <w:spacing w:before="1" w:line="219" w:lineRule="auto"/>
        <w:rPr>
          <w:rFonts w:ascii="Times New Roman" w:hAnsi="Times New Roman" w:eastAsia="Times New Roman" w:cs="Times New Roman"/>
          <w:sz w:val="17"/>
          <w:szCs w:val="17"/>
        </w:rPr>
      </w:pPr>
      <w:r>
        <w:rPr>
          <w:rFonts w:ascii="SimSun" w:hAnsi="SimSun" w:eastAsia="SimSun" w:cs="SimSun"/>
          <w:sz w:val="17"/>
          <w:szCs w:val="17"/>
          <w:spacing w:val="-4"/>
        </w:rPr>
        <w:t>服务热线：400-600-809</w:t>
      </w:r>
      <w:r>
        <w:rPr>
          <w:rFonts w:ascii="Times New Roman" w:hAnsi="Times New Roman" w:eastAsia="Times New Roman" w:cs="Times New Roman"/>
          <w:sz w:val="17"/>
          <w:szCs w:val="17"/>
          <w:spacing w:val="-4"/>
        </w:rPr>
        <w:t>9</w:t>
      </w:r>
    </w:p>
    <w:p>
      <w:pPr>
        <w:spacing w:before="18" w:line="198" w:lineRule="auto"/>
        <w:rPr>
          <w:rFonts w:ascii="Times New Roman" w:hAnsi="Times New Roman" w:eastAsia="Times New Roman" w:cs="Times New Roman"/>
          <w:sz w:val="17"/>
          <w:szCs w:val="17"/>
        </w:rPr>
      </w:pPr>
      <w:r>
        <w:rPr>
          <w:rFonts w:ascii="SimSun" w:hAnsi="SimSun" w:eastAsia="SimSun" w:cs="SimSun"/>
          <w:sz w:val="17"/>
          <w:szCs w:val="17"/>
          <w:spacing w:val="-5"/>
        </w:rPr>
        <w:t>投稿邮箱：</w:t>
      </w:r>
      <w:r>
        <w:rPr>
          <w:rFonts w:ascii="SimSun" w:hAnsi="SimSun" w:eastAsia="SimSun" w:cs="SimSun"/>
          <w:sz w:val="17"/>
          <w:szCs w:val="17"/>
          <w:spacing w:val="-24"/>
        </w:rPr>
        <w:t xml:space="preserve"> </w:t>
      </w:r>
      <w:r>
        <w:rPr>
          <w:rFonts w:ascii="Times New Roman" w:hAnsi="Times New Roman" w:eastAsia="Times New Roman" w:cs="Times New Roman"/>
          <w:sz w:val="17"/>
          <w:szCs w:val="17"/>
          <w:spacing w:val="-5"/>
        </w:rPr>
        <w:t>author@citicpub.com</w:t>
      </w:r>
    </w:p>
    <w:p>
      <w:pPr>
        <w:spacing w:line="198" w:lineRule="auto"/>
        <w:sectPr>
          <w:type w:val="continuous"/>
          <w:pgSz w:w="7330" w:h="12480"/>
          <w:pgMar w:top="400" w:right="1099" w:bottom="400" w:left="619" w:header="0" w:footer="0" w:gutter="0"/>
          <w:cols w:equalWidth="0" w:num="1">
            <w:col w:w="5611" w:space="0"/>
          </w:cols>
        </w:sectPr>
        <w:rPr>
          <w:rFonts w:ascii="Times New Roman" w:hAnsi="Times New Roman" w:eastAsia="Times New Roman" w:cs="Times New Roman"/>
          <w:sz w:val="17"/>
          <w:szCs w:val="17"/>
        </w:rPr>
      </w:pP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2869"/>
        <w:spacing w:before="88" w:line="221" w:lineRule="auto"/>
        <w:rPr>
          <w:rFonts w:ascii="SimSun" w:hAnsi="SimSun" w:eastAsia="SimSun" w:cs="SimSun"/>
          <w:sz w:val="27"/>
          <w:szCs w:val="27"/>
        </w:rPr>
      </w:pPr>
      <w:r>
        <w:rPr>
          <w:rFonts w:ascii="SimSun" w:hAnsi="SimSun" w:eastAsia="SimSun" w:cs="SimSun"/>
          <w:sz w:val="27"/>
          <w:szCs w:val="27"/>
        </w:rPr>
        <w:t>序</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right="38" w:firstLine="419"/>
        <w:spacing w:before="69" w:line="293" w:lineRule="auto"/>
        <w:jc w:val="both"/>
        <w:rPr>
          <w:rFonts w:ascii="SimSun" w:hAnsi="SimSun" w:eastAsia="SimSun" w:cs="SimSun"/>
          <w:sz w:val="21"/>
          <w:szCs w:val="21"/>
        </w:rPr>
      </w:pPr>
      <w:r>
        <w:rPr>
          <w:rFonts w:ascii="SimSun" w:hAnsi="SimSun" w:eastAsia="SimSun" w:cs="SimSun"/>
          <w:sz w:val="21"/>
          <w:szCs w:val="21"/>
          <w:spacing w:val="-2"/>
        </w:rPr>
        <w:t>北京大学国家发展研究院(以下简称“国发院”)</w:t>
      </w:r>
      <w:r>
        <w:rPr>
          <w:rFonts w:ascii="SimSun" w:hAnsi="SimSun" w:eastAsia="SimSun" w:cs="SimSun"/>
          <w:sz w:val="21"/>
          <w:szCs w:val="21"/>
          <w:spacing w:val="-3"/>
        </w:rPr>
        <w:t>既是中国经济</w:t>
      </w:r>
      <w:r>
        <w:rPr>
          <w:rFonts w:ascii="SimSun" w:hAnsi="SimSun" w:eastAsia="SimSun" w:cs="SimSun"/>
          <w:sz w:val="21"/>
          <w:szCs w:val="21"/>
        </w:rPr>
        <w:t xml:space="preserve"> </w:t>
      </w:r>
      <w:r>
        <w:rPr>
          <w:rFonts w:ascii="SimSun" w:hAnsi="SimSun" w:eastAsia="SimSun" w:cs="SimSun"/>
          <w:sz w:val="21"/>
          <w:szCs w:val="21"/>
          <w:spacing w:val="-10"/>
        </w:rPr>
        <w:t>学教学和研究的一所重镇，也是国内一个重要的智库。国发院的</w:t>
      </w:r>
      <w:r>
        <w:rPr>
          <w:rFonts w:ascii="SimSun" w:hAnsi="SimSun" w:eastAsia="SimSun" w:cs="SimSun"/>
          <w:sz w:val="21"/>
          <w:szCs w:val="21"/>
          <w:spacing w:val="-11"/>
        </w:rPr>
        <w:t>学术</w:t>
      </w:r>
      <w:r>
        <w:rPr>
          <w:rFonts w:ascii="SimSun" w:hAnsi="SimSun" w:eastAsia="SimSun" w:cs="SimSun"/>
          <w:sz w:val="21"/>
          <w:szCs w:val="21"/>
        </w:rPr>
        <w:t xml:space="preserve"> </w:t>
      </w:r>
      <w:r>
        <w:rPr>
          <w:rFonts w:ascii="SimSun" w:hAnsi="SimSun" w:eastAsia="SimSun" w:cs="SimSun"/>
          <w:sz w:val="21"/>
          <w:szCs w:val="21"/>
          <w:spacing w:val="-3"/>
        </w:rPr>
        <w:t>研究坚持对中国有用、对理论有所贡献的价值取向，坚持</w:t>
      </w:r>
      <w:r>
        <w:rPr>
          <w:rFonts w:ascii="SimSun" w:hAnsi="SimSun" w:eastAsia="SimSun" w:cs="SimSun"/>
          <w:sz w:val="21"/>
          <w:szCs w:val="21"/>
          <w:spacing w:val="-4"/>
        </w:rPr>
        <w:t>做以问题</w:t>
      </w:r>
      <w:r>
        <w:rPr>
          <w:rFonts w:ascii="SimSun" w:hAnsi="SimSun" w:eastAsia="SimSun" w:cs="SimSun"/>
          <w:sz w:val="21"/>
          <w:szCs w:val="21"/>
        </w:rPr>
        <w:t xml:space="preserve"> </w:t>
      </w:r>
      <w:r>
        <w:rPr>
          <w:rFonts w:ascii="SimSun" w:hAnsi="SimSun" w:eastAsia="SimSun" w:cs="SimSun"/>
          <w:sz w:val="21"/>
          <w:szCs w:val="21"/>
          <w:spacing w:val="-10"/>
        </w:rPr>
        <w:t>为导向的研究。相应地，国发院的智库研究建立在学术研究</w:t>
      </w:r>
      <w:r>
        <w:rPr>
          <w:rFonts w:ascii="SimSun" w:hAnsi="SimSun" w:eastAsia="SimSun" w:cs="SimSun"/>
          <w:sz w:val="21"/>
          <w:szCs w:val="21"/>
          <w:spacing w:val="-11"/>
        </w:rPr>
        <w:t>的基础之</w:t>
      </w:r>
      <w:r>
        <w:rPr>
          <w:rFonts w:ascii="SimSun" w:hAnsi="SimSun" w:eastAsia="SimSun" w:cs="SimSun"/>
          <w:sz w:val="21"/>
          <w:szCs w:val="21"/>
        </w:rPr>
        <w:t xml:space="preserve"> </w:t>
      </w:r>
      <w:r>
        <w:rPr>
          <w:rFonts w:ascii="SimSun" w:hAnsi="SimSun" w:eastAsia="SimSun" w:cs="SimSun"/>
          <w:sz w:val="21"/>
          <w:szCs w:val="21"/>
          <w:spacing w:val="-9"/>
        </w:rPr>
        <w:t>上，深挖政策问题背后的经济逻辑，为公众和政策制定者提供全面和</w:t>
      </w:r>
      <w:r>
        <w:rPr>
          <w:rFonts w:ascii="SimSun" w:hAnsi="SimSun" w:eastAsia="SimSun" w:cs="SimSun"/>
          <w:sz w:val="21"/>
          <w:szCs w:val="21"/>
          <w:spacing w:val="5"/>
        </w:rPr>
        <w:t xml:space="preserve"> </w:t>
      </w:r>
      <w:r>
        <w:rPr>
          <w:rFonts w:ascii="SimSun" w:hAnsi="SimSun" w:eastAsia="SimSun" w:cs="SimSun"/>
          <w:sz w:val="21"/>
          <w:szCs w:val="21"/>
          <w:spacing w:val="-12"/>
        </w:rPr>
        <w:t>深入的研究成果。</w:t>
      </w:r>
    </w:p>
    <w:p>
      <w:pPr>
        <w:ind w:firstLine="399"/>
        <w:spacing w:before="150" w:line="318" w:lineRule="auto"/>
        <w:jc w:val="both"/>
        <w:rPr>
          <w:rFonts w:ascii="SimSun" w:hAnsi="SimSun" w:eastAsia="SimSun" w:cs="SimSun"/>
          <w:sz w:val="21"/>
          <w:szCs w:val="21"/>
        </w:rPr>
      </w:pPr>
      <w:r>
        <w:rPr>
          <w:rFonts w:ascii="SimSun" w:hAnsi="SimSun" w:eastAsia="SimSun" w:cs="SimSun"/>
          <w:sz w:val="21"/>
          <w:szCs w:val="21"/>
          <w:spacing w:val="-9"/>
        </w:rPr>
        <w:t>国发院的智库工作有三个层面的内容。第一个层面是教师和研究</w:t>
      </w:r>
      <w:r>
        <w:rPr>
          <w:rFonts w:ascii="SimSun" w:hAnsi="SimSun" w:eastAsia="SimSun" w:cs="SimSun"/>
          <w:sz w:val="21"/>
          <w:szCs w:val="21"/>
          <w:spacing w:val="2"/>
        </w:rPr>
        <w:t xml:space="preserve"> </w:t>
      </w:r>
      <w:r>
        <w:rPr>
          <w:rFonts w:ascii="SimSun" w:hAnsi="SimSun" w:eastAsia="SimSun" w:cs="SimSun"/>
          <w:sz w:val="21"/>
          <w:szCs w:val="21"/>
          <w:spacing w:val="-10"/>
        </w:rPr>
        <w:t>员个人基于自己的研究在公众媒体和政策界发声。国发院能够成为</w:t>
      </w:r>
      <w:r>
        <w:rPr>
          <w:rFonts w:ascii="SimSun" w:hAnsi="SimSun" w:eastAsia="SimSun" w:cs="SimSun"/>
          <w:sz w:val="21"/>
          <w:szCs w:val="21"/>
          <w:spacing w:val="-11"/>
        </w:rPr>
        <w:t>全 </w:t>
      </w:r>
      <w:r>
        <w:rPr>
          <w:rFonts w:ascii="SimSun" w:hAnsi="SimSun" w:eastAsia="SimSun" w:cs="SimSun"/>
          <w:sz w:val="21"/>
          <w:szCs w:val="21"/>
          <w:spacing w:val="-11"/>
        </w:rPr>
        <w:t>国乃至世界范围内的一个重要智库，得益于国发院前身</w:t>
      </w:r>
      <w:r>
        <w:rPr>
          <w:rFonts w:ascii="SimSun" w:hAnsi="SimSun" w:eastAsia="SimSun" w:cs="SimSun"/>
          <w:sz w:val="21"/>
          <w:szCs w:val="21"/>
          <w:spacing w:val="-89"/>
        </w:rPr>
        <w:t xml:space="preserve"> </w:t>
      </w:r>
      <w:r>
        <w:rPr>
          <w:rFonts w:ascii="SimSun" w:hAnsi="SimSun" w:eastAsia="SimSun" w:cs="SimSun"/>
          <w:sz w:val="21"/>
          <w:szCs w:val="21"/>
          <w:u w:val="single" w:color="auto"/>
        </w:rPr>
        <w:t xml:space="preserve">    </w:t>
      </w:r>
      <w:r>
        <w:rPr>
          <w:rFonts w:ascii="SimSun" w:hAnsi="SimSun" w:eastAsia="SimSun" w:cs="SimSun"/>
          <w:sz w:val="21"/>
          <w:szCs w:val="21"/>
          <w:spacing w:val="-85"/>
        </w:rPr>
        <w:t xml:space="preserve"> </w:t>
      </w:r>
      <w:r>
        <w:rPr>
          <w:rFonts w:ascii="SimSun" w:hAnsi="SimSun" w:eastAsia="SimSun" w:cs="SimSun"/>
          <w:sz w:val="21"/>
          <w:szCs w:val="21"/>
          <w:spacing w:val="-11"/>
        </w:rPr>
        <w:t>中国经济</w:t>
      </w:r>
      <w:r>
        <w:rPr>
          <w:rFonts w:ascii="SimSun" w:hAnsi="SimSun" w:eastAsia="SimSun" w:cs="SimSun"/>
          <w:sz w:val="21"/>
          <w:szCs w:val="21"/>
        </w:rPr>
        <w:t xml:space="preserve"> </w:t>
      </w:r>
      <w:r>
        <w:rPr>
          <w:rFonts w:ascii="SimSun" w:hAnsi="SimSun" w:eastAsia="SimSun" w:cs="SimSun"/>
          <w:sz w:val="21"/>
          <w:szCs w:val="21"/>
          <w:spacing w:val="-3"/>
        </w:rPr>
        <w:t>研究中心的老一代学者对现实问题的关注。他们从20世纪</w:t>
      </w:r>
      <w:r>
        <w:rPr>
          <w:rFonts w:ascii="SimSun" w:hAnsi="SimSun" w:eastAsia="SimSun" w:cs="SimSun"/>
          <w:sz w:val="21"/>
          <w:szCs w:val="21"/>
          <w:spacing w:val="-4"/>
        </w:rPr>
        <w:t>80年代初 </w:t>
      </w:r>
      <w:r>
        <w:rPr>
          <w:rFonts w:ascii="SimSun" w:hAnsi="SimSun" w:eastAsia="SimSun" w:cs="SimSun"/>
          <w:sz w:val="21"/>
          <w:szCs w:val="21"/>
          <w:spacing w:val="-10"/>
        </w:rPr>
        <w:t>就开始参与中国改革的讨论和方案设计，养成了做问题导向研究的</w:t>
      </w:r>
      <w:r>
        <w:rPr>
          <w:rFonts w:ascii="SimSun" w:hAnsi="SimSun" w:eastAsia="SimSun" w:cs="SimSun"/>
          <w:sz w:val="21"/>
          <w:szCs w:val="21"/>
          <w:spacing w:val="-11"/>
        </w:rPr>
        <w:t>学 </w:t>
      </w:r>
      <w:r>
        <w:rPr>
          <w:rFonts w:ascii="SimSun" w:hAnsi="SimSun" w:eastAsia="SimSun" w:cs="SimSun"/>
          <w:sz w:val="21"/>
          <w:szCs w:val="21"/>
          <w:spacing w:val="-8"/>
        </w:rPr>
        <w:t>风。这种学风在国发院薪火相传，成为每一代学者追循的学术道路。</w:t>
      </w:r>
    </w:p>
    <w:p>
      <w:pPr>
        <w:spacing w:line="218" w:lineRule="auto"/>
        <w:rPr>
          <w:rFonts w:ascii="SimSun" w:hAnsi="SimSun" w:eastAsia="SimSun" w:cs="SimSun"/>
          <w:sz w:val="21"/>
          <w:szCs w:val="21"/>
        </w:rPr>
      </w:pPr>
      <w:r>
        <w:rPr>
          <w:rFonts w:ascii="SimSun" w:hAnsi="SimSun" w:eastAsia="SimSun" w:cs="SimSun"/>
          <w:sz w:val="21"/>
          <w:szCs w:val="21"/>
          <w:spacing w:val="-10"/>
        </w:rPr>
        <w:t>第二个层面是学院接受各级政府的委托研究项目。国发院是首批国家</w:t>
      </w:r>
    </w:p>
    <w:p>
      <w:pPr>
        <w:spacing w:line="218" w:lineRule="auto"/>
        <w:sectPr>
          <w:pgSz w:w="7330" w:h="12480"/>
          <w:pgMar w:top="400" w:right="654" w:bottom="400" w:left="600" w:header="0"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right="9"/>
        <w:spacing w:before="68" w:line="308" w:lineRule="auto"/>
        <w:jc w:val="both"/>
        <w:rPr>
          <w:rFonts w:ascii="SimSun" w:hAnsi="SimSun" w:eastAsia="SimSun" w:cs="SimSun"/>
          <w:sz w:val="21"/>
          <w:szCs w:val="21"/>
        </w:rPr>
      </w:pPr>
      <w:r>
        <w:rPr>
          <w:rFonts w:ascii="SimSun" w:hAnsi="SimSun" w:eastAsia="SimSun" w:cs="SimSun"/>
          <w:sz w:val="21"/>
          <w:szCs w:val="21"/>
          <w:spacing w:val="-11"/>
        </w:rPr>
        <w:t>高端智库试点单位之一，每年接受中央单位委托的研究项目，其中许</w:t>
      </w:r>
      <w:r>
        <w:rPr>
          <w:rFonts w:ascii="SimSun" w:hAnsi="SimSun" w:eastAsia="SimSun" w:cs="SimSun"/>
          <w:sz w:val="21"/>
          <w:szCs w:val="21"/>
        </w:rPr>
        <w:t xml:space="preserve"> </w:t>
      </w:r>
      <w:r>
        <w:rPr>
          <w:rFonts w:ascii="SimSun" w:hAnsi="SimSun" w:eastAsia="SimSun" w:cs="SimSun"/>
          <w:sz w:val="21"/>
          <w:szCs w:val="21"/>
          <w:spacing w:val="-4"/>
        </w:rPr>
        <w:t>多成果被决策部门采纳。第三个层面是学院组织的大型报告。学院</w:t>
      </w:r>
      <w:r>
        <w:rPr>
          <w:rFonts w:ascii="SimSun" w:hAnsi="SimSun" w:eastAsia="SimSun" w:cs="SimSun"/>
          <w:sz w:val="21"/>
          <w:szCs w:val="21"/>
          <w:spacing w:val="7"/>
        </w:rPr>
        <w:t xml:space="preserve"> </w:t>
      </w:r>
      <w:r>
        <w:rPr>
          <w:rFonts w:ascii="SimSun" w:hAnsi="SimSun" w:eastAsia="SimSun" w:cs="SimSun"/>
          <w:sz w:val="21"/>
          <w:szCs w:val="21"/>
          <w:spacing w:val="-4"/>
        </w:rPr>
        <w:t>在2018年决定每年或每隔一年选择一两个重点课题，召集学院的教</w:t>
      </w:r>
      <w:r>
        <w:rPr>
          <w:rFonts w:ascii="SimSun" w:hAnsi="SimSun" w:eastAsia="SimSun" w:cs="SimSun"/>
          <w:sz w:val="21"/>
          <w:szCs w:val="21"/>
          <w:spacing w:val="11"/>
        </w:rPr>
        <w:t xml:space="preserve"> </w:t>
      </w:r>
      <w:r>
        <w:rPr>
          <w:rFonts w:ascii="SimSun" w:hAnsi="SimSun" w:eastAsia="SimSun" w:cs="SimSun"/>
          <w:sz w:val="21"/>
          <w:szCs w:val="21"/>
          <w:spacing w:val="-11"/>
        </w:rPr>
        <w:t>师和研究员以及一些外聘专家进行集体研究，目的是在一些重大现实</w:t>
      </w:r>
      <w:r>
        <w:rPr>
          <w:rFonts w:ascii="SimSun" w:hAnsi="SimSun" w:eastAsia="SimSun" w:cs="SimSun"/>
          <w:sz w:val="21"/>
          <w:szCs w:val="21"/>
          <w:spacing w:val="9"/>
        </w:rPr>
        <w:t xml:space="preserve"> </w:t>
      </w:r>
      <w:r>
        <w:rPr>
          <w:rFonts w:ascii="SimSun" w:hAnsi="SimSun" w:eastAsia="SimSun" w:cs="SimSun"/>
          <w:sz w:val="21"/>
          <w:szCs w:val="21"/>
          <w:spacing w:val="-3"/>
        </w:rPr>
        <w:t>问题上发出国发院的声音。2018年确定的题目</w:t>
      </w:r>
      <w:r>
        <w:rPr>
          <w:rFonts w:ascii="SimSun" w:hAnsi="SimSun" w:eastAsia="SimSun" w:cs="SimSun"/>
          <w:sz w:val="21"/>
          <w:szCs w:val="21"/>
          <w:spacing w:val="-4"/>
        </w:rPr>
        <w:t>是与世界上最大的智</w:t>
      </w:r>
      <w:r>
        <w:rPr>
          <w:rFonts w:ascii="SimSun" w:hAnsi="SimSun" w:eastAsia="SimSun" w:cs="SimSun"/>
          <w:sz w:val="21"/>
          <w:szCs w:val="21"/>
        </w:rPr>
        <w:t xml:space="preserve"> </w:t>
      </w:r>
      <w:r>
        <w:rPr>
          <w:rFonts w:ascii="SimSun" w:hAnsi="SimSun" w:eastAsia="SimSun" w:cs="SimSun"/>
          <w:sz w:val="21"/>
          <w:szCs w:val="21"/>
          <w:spacing w:val="-11"/>
        </w:rPr>
        <w:t>库美国布鲁金斯学会合作，研究我国实现第二个百年目标的机遇和挑</w:t>
      </w:r>
      <w:r>
        <w:rPr>
          <w:rFonts w:ascii="SimSun" w:hAnsi="SimSun" w:eastAsia="SimSun" w:cs="SimSun"/>
          <w:sz w:val="21"/>
          <w:szCs w:val="21"/>
          <w:spacing w:val="8"/>
        </w:rPr>
        <w:t xml:space="preserve"> </w:t>
      </w:r>
      <w:r>
        <w:rPr>
          <w:rFonts w:ascii="SimSun" w:hAnsi="SimSun" w:eastAsia="SimSun" w:cs="SimSun"/>
          <w:sz w:val="21"/>
          <w:szCs w:val="21"/>
        </w:rPr>
        <w:t>战，项目成果最终以《中国2049》为名出版了中英文专著,在国内</w:t>
      </w:r>
      <w:r>
        <w:rPr>
          <w:rFonts w:ascii="SimSun" w:hAnsi="SimSun" w:eastAsia="SimSun" w:cs="SimSun"/>
          <w:sz w:val="21"/>
          <w:szCs w:val="21"/>
          <w:spacing w:val="12"/>
        </w:rPr>
        <w:t xml:space="preserve"> </w:t>
      </w:r>
      <w:r>
        <w:rPr>
          <w:rFonts w:ascii="SimSun" w:hAnsi="SimSun" w:eastAsia="SimSun" w:cs="SimSun"/>
          <w:sz w:val="21"/>
          <w:szCs w:val="21"/>
          <w:spacing w:val="-10"/>
        </w:rPr>
        <w:t>外产生了广泛的影响。第二个项目仍然与布鲁</w:t>
      </w:r>
      <w:r>
        <w:rPr>
          <w:rFonts w:ascii="SimSun" w:hAnsi="SimSun" w:eastAsia="SimSun" w:cs="SimSun"/>
          <w:sz w:val="21"/>
          <w:szCs w:val="21"/>
          <w:spacing w:val="-11"/>
        </w:rPr>
        <w:t>金斯学会合作，研究中</w:t>
      </w:r>
      <w:r>
        <w:rPr>
          <w:rFonts w:ascii="SimSun" w:hAnsi="SimSun" w:eastAsia="SimSun" w:cs="SimSun"/>
          <w:sz w:val="21"/>
          <w:szCs w:val="21"/>
        </w:rPr>
        <w:t xml:space="preserve"> </w:t>
      </w:r>
      <w:r>
        <w:rPr>
          <w:rFonts w:ascii="SimSun" w:hAnsi="SimSun" w:eastAsia="SimSun" w:cs="SimSun"/>
          <w:sz w:val="21"/>
          <w:szCs w:val="21"/>
          <w:spacing w:val="-11"/>
        </w:rPr>
        <w:t>国的数字金融，项目成果《中国的数字金融革命》的中英文版本也已</w:t>
      </w:r>
      <w:r>
        <w:rPr>
          <w:rFonts w:ascii="SimSun" w:hAnsi="SimSun" w:eastAsia="SimSun" w:cs="SimSun"/>
          <w:sz w:val="21"/>
          <w:szCs w:val="21"/>
          <w:spacing w:val="12"/>
        </w:rPr>
        <w:t xml:space="preserve"> </w:t>
      </w:r>
      <w:r>
        <w:rPr>
          <w:rFonts w:ascii="SimSun" w:hAnsi="SimSun" w:eastAsia="SimSun" w:cs="SimSun"/>
          <w:sz w:val="21"/>
          <w:szCs w:val="21"/>
          <w:spacing w:val="-11"/>
        </w:rPr>
        <w:t>经出版。第三个项目研究平台经济的创新与治理问题，其成果就是读</w:t>
      </w:r>
      <w:r>
        <w:rPr>
          <w:rFonts w:ascii="SimSun" w:hAnsi="SimSun" w:eastAsia="SimSun" w:cs="SimSun"/>
          <w:sz w:val="21"/>
          <w:szCs w:val="21"/>
          <w:spacing w:val="9"/>
        </w:rPr>
        <w:t xml:space="preserve"> </w:t>
      </w:r>
      <w:r>
        <w:rPr>
          <w:rFonts w:ascii="SimSun" w:hAnsi="SimSun" w:eastAsia="SimSun" w:cs="SimSun"/>
          <w:sz w:val="21"/>
          <w:szCs w:val="21"/>
          <w:spacing w:val="-12"/>
        </w:rPr>
        <w:t>者手中的这本书。</w:t>
      </w:r>
    </w:p>
    <w:p>
      <w:pPr>
        <w:ind w:right="22" w:firstLine="420"/>
        <w:spacing w:before="108" w:line="306" w:lineRule="auto"/>
        <w:jc w:val="both"/>
        <w:rPr>
          <w:rFonts w:ascii="SimSun" w:hAnsi="SimSun" w:eastAsia="SimSun" w:cs="SimSun"/>
          <w:sz w:val="21"/>
          <w:szCs w:val="21"/>
        </w:rPr>
      </w:pPr>
      <w:r>
        <w:rPr>
          <w:rFonts w:ascii="SimSun" w:hAnsi="SimSun" w:eastAsia="SimSun" w:cs="SimSun"/>
          <w:sz w:val="21"/>
          <w:szCs w:val="21"/>
          <w:spacing w:val="4"/>
        </w:rPr>
        <w:t>平台经济是过去20年里发展起来的新经济形态</w:t>
      </w:r>
      <w:r>
        <w:rPr>
          <w:rFonts w:ascii="SimSun" w:hAnsi="SimSun" w:eastAsia="SimSun" w:cs="SimSun"/>
          <w:sz w:val="21"/>
          <w:szCs w:val="21"/>
          <w:spacing w:val="3"/>
        </w:rPr>
        <w:t>。经过20年的</w:t>
      </w:r>
      <w:r>
        <w:rPr>
          <w:rFonts w:ascii="SimSun" w:hAnsi="SimSun" w:eastAsia="SimSun" w:cs="SimSun"/>
          <w:sz w:val="21"/>
          <w:szCs w:val="21"/>
        </w:rPr>
        <w:t xml:space="preserve"> </w:t>
      </w:r>
      <w:r>
        <w:rPr>
          <w:rFonts w:ascii="SimSun" w:hAnsi="SimSun" w:eastAsia="SimSun" w:cs="SimSun"/>
          <w:sz w:val="21"/>
          <w:szCs w:val="21"/>
          <w:spacing w:val="-11"/>
        </w:rPr>
        <w:t>发展，它已经成为和每个人的日常生活息息相关的现实存在，也极大</w:t>
      </w:r>
      <w:r>
        <w:rPr>
          <w:rFonts w:ascii="SimSun" w:hAnsi="SimSun" w:eastAsia="SimSun" w:cs="SimSun"/>
          <w:sz w:val="21"/>
          <w:szCs w:val="21"/>
          <w:spacing w:val="8"/>
        </w:rPr>
        <w:t xml:space="preserve"> </w:t>
      </w:r>
      <w:r>
        <w:rPr>
          <w:rFonts w:ascii="SimSun" w:hAnsi="SimSun" w:eastAsia="SimSun" w:cs="SimSun"/>
          <w:sz w:val="21"/>
          <w:szCs w:val="21"/>
          <w:spacing w:val="-11"/>
        </w:rPr>
        <w:t>地促进了我国的技术进步。在日常生活层面，平台企业为普通人提供</w:t>
      </w:r>
      <w:r>
        <w:rPr>
          <w:rFonts w:ascii="SimSun" w:hAnsi="SimSun" w:eastAsia="SimSun" w:cs="SimSun"/>
          <w:sz w:val="21"/>
          <w:szCs w:val="21"/>
          <w:spacing w:val="5"/>
        </w:rPr>
        <w:t xml:space="preserve"> </w:t>
      </w:r>
      <w:r>
        <w:rPr>
          <w:rFonts w:ascii="SimSun" w:hAnsi="SimSun" w:eastAsia="SimSun" w:cs="SimSun"/>
          <w:sz w:val="21"/>
          <w:szCs w:val="21"/>
          <w:spacing w:val="-11"/>
        </w:rPr>
        <w:t>了巨大的生活便利，过去不敢想象的事情现在已然成为</w:t>
      </w:r>
      <w:r>
        <w:rPr>
          <w:rFonts w:ascii="SimSun" w:hAnsi="SimSun" w:eastAsia="SimSun" w:cs="SimSun"/>
          <w:sz w:val="21"/>
          <w:szCs w:val="21"/>
          <w:spacing w:val="-12"/>
        </w:rPr>
        <w:t>人们生活中的</w:t>
      </w:r>
      <w:r>
        <w:rPr>
          <w:rFonts w:ascii="SimSun" w:hAnsi="SimSun" w:eastAsia="SimSun" w:cs="SimSun"/>
          <w:sz w:val="21"/>
          <w:szCs w:val="21"/>
        </w:rPr>
        <w:t xml:space="preserve"> </w:t>
      </w:r>
      <w:r>
        <w:rPr>
          <w:rFonts w:ascii="SimSun" w:hAnsi="SimSun" w:eastAsia="SimSun" w:cs="SimSun"/>
          <w:sz w:val="21"/>
          <w:szCs w:val="21"/>
          <w:spacing w:val="-12"/>
        </w:rPr>
        <w:t>日常操作。另一方面，各类平台也为大众创业、万众创新提供了巨大</w:t>
      </w:r>
      <w:r>
        <w:rPr>
          <w:rFonts w:ascii="SimSun" w:hAnsi="SimSun" w:eastAsia="SimSun" w:cs="SimSun"/>
          <w:sz w:val="21"/>
          <w:szCs w:val="21"/>
          <w:spacing w:val="18"/>
        </w:rPr>
        <w:t xml:space="preserve"> </w:t>
      </w:r>
      <w:r>
        <w:rPr>
          <w:rFonts w:ascii="SimSun" w:hAnsi="SimSun" w:eastAsia="SimSun" w:cs="SimSun"/>
          <w:sz w:val="21"/>
          <w:szCs w:val="21"/>
          <w:spacing w:val="-11"/>
        </w:rPr>
        <w:t>的舞台，成为民众就业，以及企业，特别是中小微企业拓展市场的重</w:t>
      </w:r>
      <w:r>
        <w:rPr>
          <w:rFonts w:ascii="SimSun" w:hAnsi="SimSun" w:eastAsia="SimSun" w:cs="SimSun"/>
          <w:sz w:val="21"/>
          <w:szCs w:val="21"/>
          <w:spacing w:val="8"/>
        </w:rPr>
        <w:t xml:space="preserve"> </w:t>
      </w:r>
      <w:r>
        <w:rPr>
          <w:rFonts w:ascii="SimSun" w:hAnsi="SimSun" w:eastAsia="SimSun" w:cs="SimSun"/>
          <w:sz w:val="21"/>
          <w:szCs w:val="21"/>
          <w:spacing w:val="-11"/>
        </w:rPr>
        <w:t>要载体。在技术层面，平台经济极大地促进了我国人工智能技术的发</w:t>
      </w:r>
      <w:r>
        <w:rPr>
          <w:rFonts w:ascii="SimSun" w:hAnsi="SimSun" w:eastAsia="SimSun" w:cs="SimSun"/>
          <w:sz w:val="21"/>
          <w:szCs w:val="21"/>
          <w:spacing w:val="7"/>
        </w:rPr>
        <w:t xml:space="preserve"> </w:t>
      </w:r>
      <w:r>
        <w:rPr>
          <w:rFonts w:ascii="SimSun" w:hAnsi="SimSun" w:eastAsia="SimSun" w:cs="SimSun"/>
          <w:sz w:val="21"/>
          <w:szCs w:val="21"/>
          <w:spacing w:val="-11"/>
        </w:rPr>
        <w:t>展，让我国在人工智能方面成为与美国和日本并驾齐驱的世界三强之</w:t>
      </w:r>
      <w:r>
        <w:rPr>
          <w:rFonts w:ascii="SimSun" w:hAnsi="SimSun" w:eastAsia="SimSun" w:cs="SimSun"/>
          <w:sz w:val="21"/>
          <w:szCs w:val="21"/>
          <w:spacing w:val="6"/>
        </w:rPr>
        <w:t xml:space="preserve"> </w:t>
      </w:r>
      <w:r>
        <w:rPr>
          <w:rFonts w:ascii="SimSun" w:hAnsi="SimSun" w:eastAsia="SimSun" w:cs="SimSun"/>
          <w:sz w:val="21"/>
          <w:szCs w:val="21"/>
          <w:spacing w:val="-11"/>
        </w:rPr>
        <w:t>一。毫不夸张地说，没有平台经济就没有今天的中国经济。</w:t>
      </w:r>
    </w:p>
    <w:p>
      <w:pPr>
        <w:ind w:firstLine="420"/>
        <w:spacing w:before="107" w:line="303" w:lineRule="auto"/>
        <w:jc w:val="both"/>
        <w:rPr>
          <w:rFonts w:ascii="SimSun" w:hAnsi="SimSun" w:eastAsia="SimSun" w:cs="SimSun"/>
          <w:sz w:val="21"/>
          <w:szCs w:val="21"/>
        </w:rPr>
      </w:pPr>
      <w:r>
        <w:rPr>
          <w:rFonts w:ascii="SimSun" w:hAnsi="SimSun" w:eastAsia="SimSun" w:cs="SimSun"/>
          <w:sz w:val="21"/>
          <w:szCs w:val="21"/>
          <w:spacing w:val="-12"/>
        </w:rPr>
        <w:t>然</w:t>
      </w:r>
      <w:r>
        <w:rPr>
          <w:rFonts w:ascii="SimSun" w:hAnsi="SimSun" w:eastAsia="SimSun" w:cs="SimSun"/>
          <w:sz w:val="21"/>
          <w:szCs w:val="21"/>
          <w:spacing w:val="-11"/>
        </w:rPr>
        <w:t>而，平台经济的扩张也带来许多挑战。首先，凭借巨大的规</w:t>
      </w:r>
      <w:r>
        <w:rPr>
          <w:rFonts w:ascii="SimSun" w:hAnsi="SimSun" w:eastAsia="SimSun" w:cs="SimSun"/>
          <w:sz w:val="21"/>
          <w:szCs w:val="21"/>
          <w:spacing w:val="-10"/>
        </w:rPr>
        <w:t>模</w:t>
      </w:r>
      <w:r>
        <w:rPr>
          <w:rFonts w:ascii="SimSun" w:hAnsi="SimSun" w:eastAsia="SimSun" w:cs="SimSun"/>
          <w:sz w:val="21"/>
          <w:szCs w:val="21"/>
          <w:spacing w:val="15"/>
        </w:rPr>
        <w:t xml:space="preserve"> </w:t>
      </w:r>
      <w:r>
        <w:rPr>
          <w:rFonts w:ascii="SimSun" w:hAnsi="SimSun" w:eastAsia="SimSun" w:cs="SimSun"/>
          <w:sz w:val="21"/>
          <w:szCs w:val="21"/>
          <w:spacing w:val="-11"/>
        </w:rPr>
        <w:t>经济和范围经济，平台经济极大地改变了中国零售服务业和金融业的</w:t>
      </w:r>
      <w:r>
        <w:rPr>
          <w:rFonts w:ascii="SimSun" w:hAnsi="SimSun" w:eastAsia="SimSun" w:cs="SimSun"/>
          <w:sz w:val="21"/>
          <w:szCs w:val="21"/>
          <w:spacing w:val="14"/>
        </w:rPr>
        <w:t xml:space="preserve"> </w:t>
      </w:r>
      <w:r>
        <w:rPr>
          <w:rFonts w:ascii="SimSun" w:hAnsi="SimSun" w:eastAsia="SimSun" w:cs="SimSun"/>
          <w:sz w:val="21"/>
          <w:szCs w:val="21"/>
          <w:spacing w:val="-11"/>
        </w:rPr>
        <w:t>市场结构，传统零售服务企业和金融机构受到巨大的挑战。与此相关</w:t>
      </w:r>
      <w:r>
        <w:rPr>
          <w:rFonts w:ascii="SimSun" w:hAnsi="SimSun" w:eastAsia="SimSun" w:cs="SimSun"/>
          <w:sz w:val="21"/>
          <w:szCs w:val="21"/>
          <w:spacing w:val="8"/>
        </w:rPr>
        <w:t xml:space="preserve"> </w:t>
      </w:r>
      <w:r>
        <w:rPr>
          <w:rFonts w:ascii="SimSun" w:hAnsi="SimSun" w:eastAsia="SimSun" w:cs="SimSun"/>
          <w:sz w:val="21"/>
          <w:szCs w:val="21"/>
          <w:spacing w:val="-11"/>
        </w:rPr>
        <w:t>的一个问题是如何看待平台企业的规模和定价行为。如何确定一个平</w:t>
      </w:r>
      <w:r>
        <w:rPr>
          <w:rFonts w:ascii="SimSun" w:hAnsi="SimSun" w:eastAsia="SimSun" w:cs="SimSun"/>
          <w:sz w:val="21"/>
          <w:szCs w:val="21"/>
          <w:spacing w:val="8"/>
        </w:rPr>
        <w:t xml:space="preserve"> </w:t>
      </w:r>
      <w:r>
        <w:rPr>
          <w:rFonts w:ascii="SimSun" w:hAnsi="SimSun" w:eastAsia="SimSun" w:cs="SimSun"/>
          <w:sz w:val="21"/>
          <w:szCs w:val="21"/>
          <w:spacing w:val="-7"/>
        </w:rPr>
        <w:t>台企业是否实施了垄断行为?过去以消费者福利为基准</w:t>
      </w:r>
      <w:r>
        <w:rPr>
          <w:rFonts w:ascii="SimSun" w:hAnsi="SimSun" w:eastAsia="SimSun" w:cs="SimSun"/>
          <w:sz w:val="21"/>
          <w:szCs w:val="21"/>
          <w:spacing w:val="-8"/>
        </w:rPr>
        <w:t>的认定办法是</w:t>
      </w:r>
      <w:r>
        <w:rPr>
          <w:rFonts w:ascii="SimSun" w:hAnsi="SimSun" w:eastAsia="SimSun" w:cs="SimSun"/>
          <w:sz w:val="21"/>
          <w:szCs w:val="21"/>
        </w:rPr>
        <w:t xml:space="preserve"> </w:t>
      </w:r>
      <w:r>
        <w:rPr>
          <w:rFonts w:ascii="SimSun" w:hAnsi="SimSun" w:eastAsia="SimSun" w:cs="SimSun"/>
          <w:sz w:val="21"/>
          <w:szCs w:val="21"/>
          <w:spacing w:val="-4"/>
        </w:rPr>
        <w:t>否不再适用?规模是否可以成为识别垄断的唯一凭据?其次，平台经</w:t>
      </w:r>
      <w:r>
        <w:rPr>
          <w:rFonts w:ascii="SimSun" w:hAnsi="SimSun" w:eastAsia="SimSun" w:cs="SimSun"/>
          <w:sz w:val="21"/>
          <w:szCs w:val="21"/>
          <w:spacing w:val="7"/>
        </w:rPr>
        <w:t xml:space="preserve"> </w:t>
      </w:r>
      <w:r>
        <w:rPr>
          <w:rFonts w:ascii="SimSun" w:hAnsi="SimSun" w:eastAsia="SimSun" w:cs="SimSun"/>
          <w:sz w:val="21"/>
          <w:szCs w:val="21"/>
          <w:spacing w:val="-11"/>
        </w:rPr>
        <w:t>济的核心竞争力之一是算法，而算法的广泛应用对劳工标准、政治伦</w:t>
      </w:r>
    </w:p>
    <w:p>
      <w:pPr>
        <w:spacing w:line="303" w:lineRule="auto"/>
        <w:sectPr>
          <w:headerReference w:type="default" r:id="rId16"/>
          <w:pgSz w:w="7330" w:h="12480"/>
          <w:pgMar w:top="540" w:right="681" w:bottom="400" w:left="639" w:header="37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9"/>
        </w:rPr>
        <w:t>理乃至社会习俗都提出了严峻的挑战。如何看待“困在算法里的外卖 </w:t>
      </w:r>
      <w:r>
        <w:rPr>
          <w:rFonts w:ascii="SimSun" w:hAnsi="SimSun" w:eastAsia="SimSun" w:cs="SimSun"/>
          <w:sz w:val="19"/>
          <w:szCs w:val="19"/>
          <w:spacing w:val="16"/>
        </w:rPr>
        <w:t>小哥”?消费者在多大程度上可以接受算法的推荐?算法是否侵害了</w:t>
      </w:r>
      <w:r>
        <w:rPr>
          <w:rFonts w:ascii="SimSun" w:hAnsi="SimSun" w:eastAsia="SimSun" w:cs="SimSun"/>
          <w:sz w:val="19"/>
          <w:szCs w:val="19"/>
          <w:spacing w:val="13"/>
        </w:rPr>
        <w:t xml:space="preserve"> </w:t>
      </w:r>
      <w:r>
        <w:rPr>
          <w:rFonts w:ascii="SimSun" w:hAnsi="SimSun" w:eastAsia="SimSun" w:cs="SimSun"/>
          <w:sz w:val="19"/>
          <w:szCs w:val="19"/>
          <w:spacing w:val="15"/>
        </w:rPr>
        <w:t>个人隐私和私人空间?最后，社交媒体是平台经济的主要组成部分，</w:t>
      </w:r>
      <w:r>
        <w:rPr>
          <w:rFonts w:ascii="SimSun" w:hAnsi="SimSun" w:eastAsia="SimSun" w:cs="SimSun"/>
          <w:sz w:val="19"/>
          <w:szCs w:val="19"/>
        </w:rPr>
        <w:t xml:space="preserve"> </w:t>
      </w:r>
      <w:r>
        <w:rPr>
          <w:rFonts w:ascii="SimSun" w:hAnsi="SimSun" w:eastAsia="SimSun" w:cs="SimSun"/>
          <w:sz w:val="19"/>
          <w:szCs w:val="19"/>
          <w:spacing w:val="9"/>
        </w:rPr>
        <w:t>它在很大程度上替代了传统媒体，成为普通民众最为重要的新闻获取 </w:t>
      </w:r>
      <w:r>
        <w:rPr>
          <w:rFonts w:ascii="SimSun" w:hAnsi="SimSun" w:eastAsia="SimSun" w:cs="SimSun"/>
          <w:sz w:val="19"/>
          <w:szCs w:val="19"/>
          <w:spacing w:val="12"/>
        </w:rPr>
        <w:t>渠道和社交空间。社交媒体是价值中立的平台吗?社交媒体对用户的 </w:t>
      </w:r>
      <w:r>
        <w:rPr>
          <w:rFonts w:ascii="SimSun" w:hAnsi="SimSun" w:eastAsia="SimSun" w:cs="SimSun"/>
          <w:sz w:val="19"/>
          <w:szCs w:val="19"/>
          <w:spacing w:val="13"/>
        </w:rPr>
        <w:t>推送是否把用户困在了一个狭小的世界里?社交媒体是否应该对极端</w:t>
      </w:r>
    </w:p>
    <w:p>
      <w:pPr>
        <w:spacing w:line="219" w:lineRule="auto"/>
        <w:rPr>
          <w:rFonts w:ascii="SimSun" w:hAnsi="SimSun" w:eastAsia="SimSun" w:cs="SimSun"/>
          <w:sz w:val="19"/>
          <w:szCs w:val="19"/>
        </w:rPr>
      </w:pPr>
      <w:r>
        <w:rPr>
          <w:rFonts w:ascii="SimSun" w:hAnsi="SimSun" w:eastAsia="SimSun" w:cs="SimSun"/>
          <w:sz w:val="19"/>
          <w:szCs w:val="19"/>
          <w:spacing w:val="12"/>
        </w:rPr>
        <w:t>言论进行管控?这些问题困扰着每个国家的大众和监管部门。</w:t>
      </w:r>
    </w:p>
    <w:p>
      <w:pPr>
        <w:ind w:right="46" w:firstLine="389"/>
        <w:spacing w:before="122" w:line="350" w:lineRule="auto"/>
        <w:jc w:val="both"/>
        <w:rPr>
          <w:rFonts w:ascii="SimSun" w:hAnsi="SimSun" w:eastAsia="SimSun" w:cs="SimSun"/>
          <w:sz w:val="19"/>
          <w:szCs w:val="19"/>
        </w:rPr>
      </w:pPr>
      <w:r>
        <w:rPr>
          <w:rFonts w:ascii="SimSun" w:hAnsi="SimSun" w:eastAsia="SimSun" w:cs="SimSun"/>
          <w:sz w:val="19"/>
          <w:szCs w:val="19"/>
          <w:spacing w:val="15"/>
        </w:rPr>
        <w:t>自2020年以来，我国监管部门出台了一系列对平台经济实施强</w:t>
      </w:r>
      <w:r>
        <w:rPr>
          <w:rFonts w:ascii="SimSun" w:hAnsi="SimSun" w:eastAsia="SimSun" w:cs="SimSun"/>
          <w:sz w:val="19"/>
          <w:szCs w:val="19"/>
          <w:spacing w:val="13"/>
        </w:rPr>
        <w:t xml:space="preserve"> </w:t>
      </w:r>
      <w:r>
        <w:rPr>
          <w:rFonts w:ascii="SimSun" w:hAnsi="SimSun" w:eastAsia="SimSun" w:cs="SimSun"/>
          <w:sz w:val="19"/>
          <w:szCs w:val="19"/>
          <w:spacing w:val="9"/>
        </w:rPr>
        <w:t>监管的文件，社会上对平台经济的争论也达到一个新的高度。在这个</w:t>
      </w:r>
      <w:r>
        <w:rPr>
          <w:rFonts w:ascii="SimSun" w:hAnsi="SimSun" w:eastAsia="SimSun" w:cs="SimSun"/>
          <w:sz w:val="19"/>
          <w:szCs w:val="19"/>
          <w:spacing w:val="17"/>
        </w:rPr>
        <w:t xml:space="preserve"> </w:t>
      </w:r>
      <w:r>
        <w:rPr>
          <w:rFonts w:ascii="SimSun" w:hAnsi="SimSun" w:eastAsia="SimSun" w:cs="SimSun"/>
          <w:sz w:val="19"/>
          <w:szCs w:val="19"/>
          <w:spacing w:val="17"/>
        </w:rPr>
        <w:t>背景下，本书的出现恰逢其时。黄益平老师领导的研究团队以严谨</w:t>
      </w:r>
      <w:r>
        <w:rPr>
          <w:rFonts w:ascii="SimSun" w:hAnsi="SimSun" w:eastAsia="SimSun" w:cs="SimSun"/>
          <w:sz w:val="19"/>
          <w:szCs w:val="19"/>
          <w:spacing w:val="5"/>
        </w:rPr>
        <w:t xml:space="preserve"> </w:t>
      </w:r>
      <w:r>
        <w:rPr>
          <w:rFonts w:ascii="SimSun" w:hAnsi="SimSun" w:eastAsia="SimSun" w:cs="SimSun"/>
          <w:sz w:val="19"/>
          <w:szCs w:val="19"/>
          <w:spacing w:val="9"/>
        </w:rPr>
        <w:t>的学术态度，为公众和决策者提供了一项高水平的智库成果。本书呈</w:t>
      </w:r>
      <w:r>
        <w:rPr>
          <w:rFonts w:ascii="SimSun" w:hAnsi="SimSun" w:eastAsia="SimSun" w:cs="SimSun"/>
          <w:sz w:val="19"/>
          <w:szCs w:val="19"/>
          <w:spacing w:val="16"/>
        </w:rPr>
        <w:t xml:space="preserve"> </w:t>
      </w:r>
      <w:r>
        <w:rPr>
          <w:rFonts w:ascii="SimSun" w:hAnsi="SimSun" w:eastAsia="SimSun" w:cs="SimSun"/>
          <w:sz w:val="19"/>
          <w:szCs w:val="19"/>
          <w:spacing w:val="10"/>
        </w:rPr>
        <w:t>现的一些结论值得各方关注。比如，研究团队发现，我国的平台经济</w:t>
      </w:r>
      <w:r>
        <w:rPr>
          <w:rFonts w:ascii="SimSun" w:hAnsi="SimSun" w:eastAsia="SimSun" w:cs="SimSun"/>
          <w:sz w:val="19"/>
          <w:szCs w:val="19"/>
          <w:spacing w:val="7"/>
        </w:rPr>
        <w:t xml:space="preserve"> </w:t>
      </w:r>
      <w:r>
        <w:rPr>
          <w:rFonts w:ascii="SimSun" w:hAnsi="SimSun" w:eastAsia="SimSun" w:cs="SimSun"/>
          <w:sz w:val="19"/>
          <w:szCs w:val="19"/>
          <w:spacing w:val="13"/>
        </w:rPr>
        <w:t>领域确实存在不规范的市场行为，但对一些特定行为</w:t>
      </w:r>
      <w:r>
        <w:rPr>
          <w:rFonts w:ascii="SimSun" w:hAnsi="SimSun" w:eastAsia="SimSun" w:cs="SimSun"/>
          <w:sz w:val="19"/>
          <w:szCs w:val="19"/>
          <w:spacing w:val="12"/>
        </w:rPr>
        <w:t>(如排他性协议</w:t>
      </w:r>
      <w:r>
        <w:rPr>
          <w:rFonts w:ascii="SimSun" w:hAnsi="SimSun" w:eastAsia="SimSun" w:cs="SimSun"/>
          <w:sz w:val="19"/>
          <w:szCs w:val="19"/>
        </w:rPr>
        <w:t xml:space="preserve"> </w:t>
      </w:r>
      <w:r>
        <w:rPr>
          <w:rFonts w:ascii="SimSun" w:hAnsi="SimSun" w:eastAsia="SimSun" w:cs="SimSun"/>
          <w:sz w:val="19"/>
          <w:szCs w:val="19"/>
          <w:spacing w:val="13"/>
        </w:rPr>
        <w:t>和差异化定价)需要做具体分析；另外，平台经</w:t>
      </w:r>
      <w:r>
        <w:rPr>
          <w:rFonts w:ascii="SimSun" w:hAnsi="SimSun" w:eastAsia="SimSun" w:cs="SimSun"/>
          <w:sz w:val="19"/>
          <w:szCs w:val="19"/>
          <w:spacing w:val="12"/>
        </w:rPr>
        <w:t>济领域的竞争非常激</w:t>
      </w:r>
      <w:r>
        <w:rPr>
          <w:rFonts w:ascii="SimSun" w:hAnsi="SimSun" w:eastAsia="SimSun" w:cs="SimSun"/>
          <w:sz w:val="19"/>
          <w:szCs w:val="19"/>
        </w:rPr>
        <w:t xml:space="preserve"> </w:t>
      </w:r>
      <w:r>
        <w:rPr>
          <w:rFonts w:ascii="SimSun" w:hAnsi="SimSun" w:eastAsia="SimSun" w:cs="SimSun"/>
          <w:sz w:val="19"/>
          <w:szCs w:val="19"/>
          <w:spacing w:val="10"/>
        </w:rPr>
        <w:t>烈，许多市场不规范行为可以通过增强可竞</w:t>
      </w:r>
      <w:r>
        <w:rPr>
          <w:rFonts w:ascii="SimSun" w:hAnsi="SimSun" w:eastAsia="SimSun" w:cs="SimSun"/>
          <w:sz w:val="19"/>
          <w:szCs w:val="19"/>
          <w:spacing w:val="9"/>
        </w:rPr>
        <w:t>争性得到化解。研究团队</w:t>
      </w:r>
      <w:r>
        <w:rPr>
          <w:rFonts w:ascii="SimSun" w:hAnsi="SimSun" w:eastAsia="SimSun" w:cs="SimSun"/>
          <w:sz w:val="19"/>
          <w:szCs w:val="19"/>
        </w:rPr>
        <w:t xml:space="preserve"> </w:t>
      </w:r>
      <w:r>
        <w:rPr>
          <w:rFonts w:ascii="SimSun" w:hAnsi="SimSun" w:eastAsia="SimSun" w:cs="SimSun"/>
          <w:sz w:val="19"/>
          <w:szCs w:val="19"/>
          <w:spacing w:val="9"/>
        </w:rPr>
        <w:t>还认为，强监管已经带来负面效果，主管部门应该及时纠正监管执行</w:t>
      </w:r>
    </w:p>
    <w:p>
      <w:pPr>
        <w:spacing w:line="219" w:lineRule="auto"/>
        <w:rPr>
          <w:rFonts w:ascii="SimSun" w:hAnsi="SimSun" w:eastAsia="SimSun" w:cs="SimSun"/>
          <w:sz w:val="19"/>
          <w:szCs w:val="19"/>
        </w:rPr>
      </w:pPr>
      <w:r>
        <w:rPr>
          <w:rFonts w:ascii="SimSun" w:hAnsi="SimSun" w:eastAsia="SimSun" w:cs="SimSun"/>
          <w:sz w:val="19"/>
          <w:szCs w:val="19"/>
          <w:spacing w:val="4"/>
        </w:rPr>
        <w:t>过程中出现的偏差。</w:t>
      </w:r>
    </w:p>
    <w:p>
      <w:pPr>
        <w:ind w:right="52" w:firstLine="389"/>
        <w:spacing w:before="133" w:line="350" w:lineRule="auto"/>
        <w:jc w:val="both"/>
        <w:rPr>
          <w:rFonts w:ascii="SimSun" w:hAnsi="SimSun" w:eastAsia="SimSun" w:cs="SimSun"/>
          <w:sz w:val="19"/>
          <w:szCs w:val="19"/>
        </w:rPr>
      </w:pPr>
      <w:r>
        <w:rPr>
          <w:rFonts w:ascii="SimSun" w:hAnsi="SimSun" w:eastAsia="SimSun" w:cs="SimSun"/>
          <w:sz w:val="19"/>
          <w:szCs w:val="19"/>
          <w:spacing w:val="16"/>
        </w:rPr>
        <w:t>平台经济是少数我国企业能够与美国企业同台竞争的领域，但</w:t>
      </w:r>
      <w:r>
        <w:rPr>
          <w:rFonts w:ascii="SimSun" w:hAnsi="SimSun" w:eastAsia="SimSun" w:cs="SimSun"/>
          <w:sz w:val="19"/>
          <w:szCs w:val="19"/>
          <w:spacing w:val="15"/>
        </w:rPr>
        <w:t xml:space="preserve"> </w:t>
      </w:r>
      <w:r>
        <w:rPr>
          <w:rFonts w:ascii="SimSun" w:hAnsi="SimSun" w:eastAsia="SimSun" w:cs="SimSun"/>
          <w:sz w:val="19"/>
          <w:szCs w:val="19"/>
          <w:spacing w:val="10"/>
        </w:rPr>
        <w:t>近两年来我国的平台企业出现了落后的趋势。平台经济对各国都提出</w:t>
      </w:r>
      <w:r>
        <w:rPr>
          <w:rFonts w:ascii="SimSun" w:hAnsi="SimSun" w:eastAsia="SimSun" w:cs="SimSun"/>
          <w:sz w:val="19"/>
          <w:szCs w:val="19"/>
          <w:spacing w:val="2"/>
        </w:rPr>
        <w:t xml:space="preserve"> </w:t>
      </w:r>
      <w:r>
        <w:rPr>
          <w:rFonts w:ascii="SimSun" w:hAnsi="SimSun" w:eastAsia="SimSun" w:cs="SimSun"/>
          <w:sz w:val="19"/>
          <w:szCs w:val="19"/>
          <w:spacing w:val="9"/>
        </w:rPr>
        <w:t>了挑战，欧美都在探讨对平台企业的新的监管政策，但在</w:t>
      </w:r>
      <w:r>
        <w:rPr>
          <w:rFonts w:ascii="SimSun" w:hAnsi="SimSun" w:eastAsia="SimSun" w:cs="SimSun"/>
          <w:sz w:val="19"/>
          <w:szCs w:val="19"/>
          <w:spacing w:val="8"/>
        </w:rPr>
        <w:t>平台经济特</w:t>
      </w:r>
      <w:r>
        <w:rPr>
          <w:rFonts w:ascii="SimSun" w:hAnsi="SimSun" w:eastAsia="SimSun" w:cs="SimSun"/>
          <w:sz w:val="19"/>
          <w:szCs w:val="19"/>
        </w:rPr>
        <w:t xml:space="preserve"> </w:t>
      </w:r>
      <w:r>
        <w:rPr>
          <w:rFonts w:ascii="SimSun" w:hAnsi="SimSun" w:eastAsia="SimSun" w:cs="SimSun"/>
          <w:sz w:val="19"/>
          <w:szCs w:val="19"/>
          <w:spacing w:val="10"/>
        </w:rPr>
        <w:t>性尚不明朗的情况下，各国在出台新政方面都比较谨慎</w:t>
      </w:r>
      <w:r>
        <w:rPr>
          <w:rFonts w:ascii="SimSun" w:hAnsi="SimSun" w:eastAsia="SimSun" w:cs="SimSun"/>
          <w:sz w:val="19"/>
          <w:szCs w:val="19"/>
          <w:spacing w:val="9"/>
        </w:rPr>
        <w:t>。顺应世界潮</w:t>
      </w:r>
    </w:p>
    <w:p>
      <w:pPr>
        <w:spacing w:line="219" w:lineRule="auto"/>
        <w:rPr>
          <w:rFonts w:ascii="SimSun" w:hAnsi="SimSun" w:eastAsia="SimSun" w:cs="SimSun"/>
          <w:sz w:val="19"/>
          <w:szCs w:val="19"/>
        </w:rPr>
      </w:pPr>
      <w:r>
        <w:rPr>
          <w:rFonts w:ascii="SimSun" w:hAnsi="SimSun" w:eastAsia="SimSun" w:cs="SimSun"/>
          <w:sz w:val="19"/>
          <w:szCs w:val="19"/>
          <w:spacing w:val="9"/>
        </w:rPr>
        <w:t>流，维护我国在平台经济领域的优势，是我国监管政</w:t>
      </w:r>
      <w:r>
        <w:rPr>
          <w:rFonts w:ascii="SimSun" w:hAnsi="SimSun" w:eastAsia="SimSun" w:cs="SimSun"/>
          <w:sz w:val="19"/>
          <w:szCs w:val="19"/>
          <w:spacing w:val="8"/>
        </w:rPr>
        <w:t>策的应有之义。</w:t>
      </w:r>
    </w:p>
    <w:p>
      <w:pPr>
        <w:ind w:right="27" w:firstLine="389"/>
        <w:spacing w:before="132" w:line="350" w:lineRule="auto"/>
        <w:jc w:val="both"/>
        <w:rPr>
          <w:rFonts w:ascii="SimSun" w:hAnsi="SimSun" w:eastAsia="SimSun" w:cs="SimSun"/>
          <w:sz w:val="19"/>
          <w:szCs w:val="19"/>
        </w:rPr>
      </w:pPr>
      <w:r>
        <w:rPr>
          <w:rFonts w:ascii="SimSun" w:hAnsi="SimSun" w:eastAsia="SimSun" w:cs="SimSun"/>
          <w:sz w:val="19"/>
          <w:szCs w:val="19"/>
          <w:spacing w:val="17"/>
        </w:rPr>
        <w:t>本书对平台经济和监管给出了一个平衡而深入的研究报告，体</w:t>
      </w:r>
      <w:r>
        <w:rPr>
          <w:rFonts w:ascii="SimSun" w:hAnsi="SimSun" w:eastAsia="SimSun" w:cs="SimSun"/>
          <w:sz w:val="19"/>
          <w:szCs w:val="19"/>
          <w:spacing w:val="8"/>
        </w:rPr>
        <w:t xml:space="preserve"> </w:t>
      </w:r>
      <w:r>
        <w:rPr>
          <w:rFonts w:ascii="SimSun" w:hAnsi="SimSun" w:eastAsia="SimSun" w:cs="SimSun"/>
          <w:sz w:val="19"/>
          <w:szCs w:val="19"/>
          <w:spacing w:val="11"/>
        </w:rPr>
        <w:t>现了国发院的治学态度和价值取向。国发院的治学一向不唯上</w:t>
      </w:r>
      <w:r>
        <w:rPr>
          <w:rFonts w:ascii="SimSun" w:hAnsi="SimSun" w:eastAsia="SimSun" w:cs="SimSun"/>
          <w:sz w:val="19"/>
          <w:szCs w:val="19"/>
          <w:spacing w:val="10"/>
        </w:rPr>
        <w:t>、不跟</w:t>
      </w:r>
      <w:r>
        <w:rPr>
          <w:rFonts w:ascii="SimSun" w:hAnsi="SimSun" w:eastAsia="SimSun" w:cs="SimSun"/>
          <w:sz w:val="19"/>
          <w:szCs w:val="19"/>
        </w:rPr>
        <w:t xml:space="preserve"> </w:t>
      </w:r>
      <w:r>
        <w:rPr>
          <w:rFonts w:ascii="SimSun" w:hAnsi="SimSun" w:eastAsia="SimSun" w:cs="SimSun"/>
          <w:sz w:val="19"/>
          <w:szCs w:val="19"/>
          <w:spacing w:val="11"/>
        </w:rPr>
        <w:t>风，以学术的态度认识世界，并由此提出改造世界的主张。</w:t>
      </w:r>
      <w:r>
        <w:rPr>
          <w:rFonts w:ascii="SimSun" w:hAnsi="SimSun" w:eastAsia="SimSun" w:cs="SimSun"/>
          <w:sz w:val="19"/>
          <w:szCs w:val="19"/>
          <w:spacing w:val="10"/>
        </w:rPr>
        <w:t>作为高校</w:t>
      </w:r>
      <w:r>
        <w:rPr>
          <w:rFonts w:ascii="SimSun" w:hAnsi="SimSun" w:eastAsia="SimSun" w:cs="SimSun"/>
          <w:sz w:val="19"/>
          <w:szCs w:val="19"/>
        </w:rPr>
        <w:t xml:space="preserve"> </w:t>
      </w:r>
      <w:r>
        <w:rPr>
          <w:rFonts w:ascii="SimSun" w:hAnsi="SimSun" w:eastAsia="SimSun" w:cs="SimSun"/>
          <w:sz w:val="19"/>
          <w:szCs w:val="19"/>
          <w:spacing w:val="10"/>
        </w:rPr>
        <w:t>的智库，国发院的政策研究能够超脱部门利益和部分民众的</w:t>
      </w:r>
      <w:r>
        <w:rPr>
          <w:rFonts w:ascii="SimSun" w:hAnsi="SimSun" w:eastAsia="SimSun" w:cs="SimSun"/>
          <w:sz w:val="19"/>
          <w:szCs w:val="19"/>
          <w:spacing w:val="9"/>
        </w:rPr>
        <w:t>压力，以</w:t>
      </w:r>
    </w:p>
    <w:p>
      <w:pPr>
        <w:spacing w:before="1" w:line="218" w:lineRule="auto"/>
        <w:rPr>
          <w:rFonts w:ascii="SimSun" w:hAnsi="SimSun" w:eastAsia="SimSun" w:cs="SimSun"/>
          <w:sz w:val="19"/>
          <w:szCs w:val="19"/>
        </w:rPr>
      </w:pPr>
      <w:r>
        <w:rPr>
          <w:rFonts w:ascii="SimSun" w:hAnsi="SimSun" w:eastAsia="SimSun" w:cs="SimSun"/>
          <w:sz w:val="19"/>
          <w:szCs w:val="19"/>
          <w:spacing w:val="9"/>
        </w:rPr>
        <w:t>全社会的福祉为圭臬分析问题并提出解决方案。本书再次呈现了这样</w:t>
      </w:r>
    </w:p>
    <w:p>
      <w:pPr>
        <w:spacing w:line="218" w:lineRule="auto"/>
        <w:sectPr>
          <w:headerReference w:type="default" r:id="rId17"/>
          <w:pgSz w:w="7330" w:h="12480"/>
          <w:pgMar w:top="809" w:right="744" w:bottom="400" w:left="530" w:header="676" w:footer="0" w:gutter="0"/>
        </w:sectPr>
        <w:rPr>
          <w:rFonts w:ascii="SimSun" w:hAnsi="SimSun" w:eastAsia="SimSun" w:cs="SimSun"/>
          <w:sz w:val="19"/>
          <w:szCs w:val="19"/>
        </w:rPr>
      </w:pPr>
    </w:p>
    <w:p>
      <w:pPr>
        <w:spacing w:line="221" w:lineRule="auto"/>
        <w:rPr>
          <w:rFonts w:ascii="YouYuan" w:hAnsi="YouYuan" w:eastAsia="YouYuan" w:cs="YouYuan"/>
          <w:sz w:val="16"/>
          <w:szCs w:val="16"/>
        </w:rPr>
      </w:pPr>
      <w:r>
        <w:rPr>
          <w:rFonts w:ascii="Times New Roman" w:hAnsi="Times New Roman" w:eastAsia="Times New Roman" w:cs="Times New Roman"/>
          <w:sz w:val="21"/>
          <w:szCs w:val="21"/>
          <w:spacing w:val="-4"/>
          <w:position w:val="-4"/>
        </w:rPr>
        <w:t>VI                                  </w:t>
      </w:r>
      <w:r>
        <w:rPr>
          <w:rFonts w:ascii="YouYuan" w:hAnsi="YouYuan" w:eastAsia="YouYuan" w:cs="YouYuan"/>
          <w:sz w:val="16"/>
          <w:szCs w:val="16"/>
          <w:spacing w:val="-4"/>
        </w:rPr>
        <w:t>平台经济——创新、治理与繁荣</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spacing w:before="69" w:line="220" w:lineRule="auto"/>
        <w:rPr>
          <w:rFonts w:ascii="SimSun" w:hAnsi="SimSun" w:eastAsia="SimSun" w:cs="SimSun"/>
          <w:sz w:val="21"/>
          <w:szCs w:val="21"/>
        </w:rPr>
      </w:pPr>
      <w:r>
        <w:rPr>
          <w:rFonts w:ascii="SimSun" w:hAnsi="SimSun" w:eastAsia="SimSun" w:cs="SimSun"/>
          <w:sz w:val="21"/>
          <w:szCs w:val="21"/>
          <w:spacing w:val="-11"/>
        </w:rPr>
        <w:t>的气质。</w:t>
      </w:r>
    </w:p>
    <w:p>
      <w:pPr>
        <w:ind w:right="38" w:firstLine="420"/>
        <w:spacing w:before="66" w:line="326" w:lineRule="auto"/>
        <w:jc w:val="both"/>
        <w:rPr>
          <w:rFonts w:ascii="SimSun" w:hAnsi="SimSun" w:eastAsia="SimSun" w:cs="SimSun"/>
          <w:sz w:val="21"/>
          <w:szCs w:val="21"/>
        </w:rPr>
      </w:pPr>
      <w:r>
        <w:rPr>
          <w:rFonts w:ascii="SimSun" w:hAnsi="SimSun" w:eastAsia="SimSun" w:cs="SimSun"/>
          <w:sz w:val="21"/>
          <w:szCs w:val="21"/>
          <w:spacing w:val="-3"/>
        </w:rPr>
        <w:t>本书的研究团队已经就报告内容做了12场线上分享活动，总计</w:t>
      </w:r>
      <w:r>
        <w:rPr>
          <w:rFonts w:ascii="SimSun" w:hAnsi="SimSun" w:eastAsia="SimSun" w:cs="SimSun"/>
          <w:sz w:val="21"/>
          <w:szCs w:val="21"/>
          <w:spacing w:val="1"/>
        </w:rPr>
        <w:t xml:space="preserve"> </w:t>
      </w:r>
      <w:r>
        <w:rPr>
          <w:rFonts w:ascii="SimSun" w:hAnsi="SimSun" w:eastAsia="SimSun" w:cs="SimSun"/>
          <w:sz w:val="21"/>
          <w:szCs w:val="21"/>
          <w:spacing w:val="-3"/>
        </w:rPr>
        <w:t>吸引了1700多万观众在线收看，影响遍及全国。相信本书出版之后</w:t>
      </w:r>
      <w:r>
        <w:rPr>
          <w:rFonts w:ascii="SimSun" w:hAnsi="SimSun" w:eastAsia="SimSun" w:cs="SimSun"/>
          <w:sz w:val="21"/>
          <w:szCs w:val="21"/>
          <w:spacing w:val="17"/>
        </w:rPr>
        <w:t xml:space="preserve"> </w:t>
      </w:r>
      <w:r>
        <w:rPr>
          <w:rFonts w:ascii="SimSun" w:hAnsi="SimSun" w:eastAsia="SimSun" w:cs="SimSun"/>
          <w:sz w:val="21"/>
          <w:szCs w:val="21"/>
          <w:spacing w:val="-3"/>
        </w:rPr>
        <w:t>会继续产生影响，推进我国社会和监管部门更加理性地看待平台经</w:t>
      </w:r>
    </w:p>
    <w:p>
      <w:pPr>
        <w:spacing w:line="219" w:lineRule="auto"/>
        <w:rPr>
          <w:rFonts w:ascii="SimSun" w:hAnsi="SimSun" w:eastAsia="SimSun" w:cs="SimSun"/>
          <w:sz w:val="21"/>
          <w:szCs w:val="21"/>
        </w:rPr>
      </w:pPr>
      <w:r>
        <w:rPr>
          <w:rFonts w:ascii="SimSun" w:hAnsi="SimSun" w:eastAsia="SimSun" w:cs="SimSun"/>
          <w:sz w:val="21"/>
          <w:szCs w:val="21"/>
          <w:spacing w:val="-10"/>
        </w:rPr>
        <w:t>济。在此，我向黄益平老师领导的团队表示祝贺!</w:t>
      </w:r>
    </w:p>
    <w:p>
      <w:pPr>
        <w:pStyle w:val="BodyText"/>
        <w:spacing w:line="366" w:lineRule="auto"/>
        <w:rPr/>
      </w:pPr>
      <w:r/>
    </w:p>
    <w:p>
      <w:pPr>
        <w:ind w:left="5639" w:hanging="2179"/>
        <w:spacing w:before="68" w:line="270" w:lineRule="auto"/>
        <w:rPr>
          <w:rFonts w:ascii="KaiTi" w:hAnsi="KaiTi" w:eastAsia="KaiTi" w:cs="KaiTi"/>
          <w:sz w:val="21"/>
          <w:szCs w:val="21"/>
        </w:rPr>
      </w:pPr>
      <w:r>
        <w:rPr>
          <w:rFonts w:ascii="KaiTi" w:hAnsi="KaiTi" w:eastAsia="KaiTi" w:cs="KaiTi"/>
          <w:sz w:val="21"/>
          <w:szCs w:val="21"/>
          <w:spacing w:val="-14"/>
        </w:rPr>
        <w:t>北京大学国家发展研究院院长</w:t>
      </w:r>
      <w:r>
        <w:rPr>
          <w:rFonts w:ascii="KaiTi" w:hAnsi="KaiTi" w:eastAsia="KaiTi" w:cs="KaiTi"/>
          <w:sz w:val="21"/>
          <w:szCs w:val="21"/>
          <w:spacing w:val="2"/>
        </w:rPr>
        <w:t xml:space="preserve"> </w:t>
      </w:r>
      <w:r>
        <w:rPr>
          <w:rFonts w:ascii="KaiTi" w:hAnsi="KaiTi" w:eastAsia="KaiTi" w:cs="KaiTi"/>
          <w:sz w:val="21"/>
          <w:szCs w:val="21"/>
          <w:spacing w:val="-3"/>
        </w:rPr>
        <w:t>姚洋</w:t>
      </w:r>
    </w:p>
    <w:p>
      <w:pPr>
        <w:ind w:firstLine="4800"/>
        <w:spacing w:before="131" w:line="640" w:lineRule="exact"/>
        <w:rPr/>
      </w:pPr>
      <w:r>
        <w:rPr>
          <w:position w:val="-12"/>
        </w:rPr>
        <w:drawing>
          <wp:inline distT="0" distB="0" distL="0" distR="0">
            <wp:extent cx="781033" cy="406383"/>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781033" cy="406383"/>
                    </a:xfrm>
                    <a:prstGeom prst="rect">
                      <a:avLst/>
                    </a:prstGeom>
                  </pic:spPr>
                </pic:pic>
              </a:graphicData>
            </a:graphic>
          </wp:inline>
        </w:drawing>
      </w:r>
    </w:p>
    <w:p>
      <w:pPr>
        <w:ind w:right="1"/>
        <w:spacing w:before="116" w:line="225" w:lineRule="auto"/>
        <w:jc w:val="right"/>
        <w:rPr>
          <w:rFonts w:ascii="KaiTi" w:hAnsi="KaiTi" w:eastAsia="KaiTi" w:cs="KaiTi"/>
          <w:sz w:val="21"/>
          <w:szCs w:val="21"/>
        </w:rPr>
      </w:pPr>
      <w:r>
        <w:rPr>
          <w:rFonts w:ascii="KaiTi" w:hAnsi="KaiTi" w:eastAsia="KaiTi" w:cs="KaiTi"/>
          <w:sz w:val="21"/>
          <w:szCs w:val="21"/>
          <w:spacing w:val="18"/>
        </w:rPr>
        <w:t>2022年1月29日</w:t>
      </w:r>
    </w:p>
    <w:p>
      <w:pPr>
        <w:spacing w:line="225" w:lineRule="auto"/>
        <w:sectPr>
          <w:headerReference w:type="default" r:id="rId1"/>
          <w:pgSz w:w="7330" w:h="12480"/>
          <w:pgMar w:top="373" w:right="725" w:bottom="400" w:left="549" w:header="0" w:footer="0" w:gutter="0"/>
        </w:sectPr>
        <w:rPr>
          <w:rFonts w:ascii="KaiTi" w:hAnsi="KaiTi" w:eastAsia="KaiTi" w:cs="KaiTi"/>
          <w:sz w:val="21"/>
          <w:szCs w:val="21"/>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2773"/>
        <w:spacing w:before="87" w:line="221" w:lineRule="auto"/>
        <w:rPr>
          <w:rFonts w:ascii="SimSun" w:hAnsi="SimSun" w:eastAsia="SimSun" w:cs="SimSun"/>
          <w:sz w:val="27"/>
          <w:szCs w:val="27"/>
        </w:rPr>
      </w:pPr>
      <w:r>
        <w:rPr>
          <w:rFonts w:ascii="SimSun" w:hAnsi="SimSun" w:eastAsia="SimSun" w:cs="SimSun"/>
          <w:sz w:val="27"/>
          <w:szCs w:val="27"/>
          <w:b/>
          <w:bCs/>
          <w:spacing w:val="-34"/>
        </w:rPr>
        <w:t>目</w:t>
      </w:r>
      <w:r>
        <w:rPr>
          <w:rFonts w:ascii="SimSun" w:hAnsi="SimSun" w:eastAsia="SimSun" w:cs="SimSun"/>
          <w:sz w:val="27"/>
          <w:szCs w:val="27"/>
          <w:spacing w:val="-7"/>
        </w:rPr>
        <w:t xml:space="preserve"> </w:t>
      </w:r>
      <w:r>
        <w:rPr>
          <w:rFonts w:ascii="SimSun" w:hAnsi="SimSun" w:eastAsia="SimSun" w:cs="SimSun"/>
          <w:sz w:val="27"/>
          <w:szCs w:val="27"/>
          <w:b/>
          <w:bCs/>
          <w:spacing w:val="-34"/>
        </w:rPr>
        <w:t>录</w:t>
      </w:r>
    </w:p>
    <w:p>
      <w:pPr>
        <w:pStyle w:val="BodyText"/>
        <w:spacing w:line="304" w:lineRule="auto"/>
        <w:rPr/>
      </w:pPr>
      <w:r/>
    </w:p>
    <w:p>
      <w:pPr>
        <w:pStyle w:val="BodyText"/>
        <w:spacing w:line="305" w:lineRule="auto"/>
        <w:rPr/>
      </w:pPr>
      <w:r/>
    </w:p>
    <w:p>
      <w:pPr>
        <w:spacing w:before="87" w:line="224" w:lineRule="auto"/>
        <w:rPr>
          <w:rFonts w:ascii="SimSun" w:hAnsi="SimSun" w:eastAsia="SimSun" w:cs="SimSun"/>
          <w:sz w:val="27"/>
          <w:szCs w:val="27"/>
        </w:rPr>
      </w:pPr>
      <w:r>
        <w:rPr>
          <w:rFonts w:ascii="SimHei" w:hAnsi="SimHei" w:eastAsia="SimHei" w:cs="SimHei"/>
          <w:sz w:val="27"/>
          <w:szCs w:val="27"/>
          <w:spacing w:val="14"/>
        </w:rPr>
        <w:t>序/</w:t>
      </w:r>
      <w:r>
        <w:rPr>
          <w:rFonts w:ascii="SimHei" w:hAnsi="SimHei" w:eastAsia="SimHei" w:cs="SimHei"/>
          <w:sz w:val="27"/>
          <w:szCs w:val="27"/>
          <w:spacing w:val="-64"/>
        </w:rPr>
        <w:t xml:space="preserve"> </w:t>
      </w:r>
      <w:r>
        <w:rPr>
          <w:rFonts w:ascii="SimSun" w:hAnsi="SimSun" w:eastAsia="SimSun" w:cs="SimSun"/>
          <w:sz w:val="27"/>
          <w:szCs w:val="27"/>
          <w:spacing w:val="14"/>
        </w:rPr>
        <w:t>v</w:t>
      </w:r>
    </w:p>
    <w:p>
      <w:pPr>
        <w:pStyle w:val="BodyText"/>
        <w:spacing w:line="334" w:lineRule="auto"/>
        <w:rPr/>
      </w:pPr>
      <w:r/>
    </w:p>
    <w:p>
      <w:pPr>
        <w:pStyle w:val="BodyText"/>
        <w:spacing w:line="335" w:lineRule="auto"/>
        <w:rPr/>
      </w:pPr>
      <w:r/>
    </w:p>
    <w:p>
      <w:pPr>
        <w:ind w:left="1039"/>
        <w:spacing w:before="71" w:line="221" w:lineRule="auto"/>
        <w:rPr>
          <w:rFonts w:ascii="SimHei" w:hAnsi="SimHei" w:eastAsia="SimHei" w:cs="SimHei"/>
          <w:sz w:val="22"/>
          <w:szCs w:val="22"/>
        </w:rPr>
      </w:pPr>
      <w:r>
        <w:pict>
          <v:shape id="_x0000_s6" style="position:absolute;margin-left:-1pt;margin-top:3.03605pt;mso-position-vertical-relative:text;mso-position-horizontal-relative:text;width:25.85pt;height:12.25pt;z-index:25173094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9"/>
                    </w:rPr>
                    <w:t>第一章</w:t>
                  </w:r>
                </w:p>
              </w:txbxContent>
            </v:textbox>
          </v:shape>
        </w:pict>
      </w:r>
      <w:r>
        <w:rPr>
          <w:rFonts w:ascii="SimHei" w:hAnsi="SimHei" w:eastAsia="SimHei" w:cs="SimHei"/>
          <w:sz w:val="22"/>
          <w:szCs w:val="22"/>
          <w:spacing w:val="-1"/>
        </w:rPr>
        <w:t>重塑平台经济：走向有序发展与共同富裕</w:t>
      </w:r>
    </w:p>
    <w:p>
      <w:pPr>
        <w:pStyle w:val="BodyText"/>
        <w:spacing w:line="324" w:lineRule="auto"/>
        <w:rPr/>
      </w:pPr>
      <w:r/>
    </w:p>
    <w:p>
      <w:pPr>
        <w:pStyle w:val="BodyText"/>
        <w:ind w:left="1039"/>
        <w:spacing w:before="62" w:line="340" w:lineRule="exact"/>
        <w:rPr>
          <w:sz w:val="19"/>
          <w:szCs w:val="19"/>
        </w:rPr>
      </w:pPr>
      <w:r>
        <w:rPr>
          <w:rFonts w:ascii="SimSun" w:hAnsi="SimSun" w:eastAsia="SimSun" w:cs="SimSun"/>
          <w:sz w:val="19"/>
          <w:szCs w:val="19"/>
          <w:spacing w:val="-5"/>
          <w:position w:val="11"/>
        </w:rPr>
        <w:t>我国平台经济的兴起 </w:t>
      </w:r>
      <w:r>
        <w:rPr>
          <w:rFonts w:ascii="Times New Roman" w:hAnsi="Times New Roman" w:eastAsia="Times New Roman" w:cs="Times New Roman"/>
          <w:sz w:val="19"/>
          <w:szCs w:val="19"/>
          <w:spacing w:val="-5"/>
          <w:position w:val="11"/>
        </w:rPr>
        <w:t>/00</w:t>
      </w:r>
      <w:r>
        <w:rPr>
          <w:rFonts w:ascii="Times New Roman" w:hAnsi="Times New Roman" w:eastAsia="Times New Roman" w:cs="Times New Roman"/>
          <w:sz w:val="19"/>
          <w:szCs w:val="19"/>
          <w:spacing w:val="43"/>
          <w:w w:val="101"/>
          <w:position w:val="11"/>
        </w:rPr>
        <w:t xml:space="preserve"> </w:t>
      </w:r>
      <w:r>
        <w:rPr>
          <w:sz w:val="19"/>
          <w:szCs w:val="19"/>
          <w:spacing w:val="-5"/>
          <w:position w:val="11"/>
        </w:rPr>
        <w:t>6</w:t>
      </w:r>
    </w:p>
    <w:p>
      <w:pPr>
        <w:ind w:left="1039"/>
        <w:spacing w:line="220" w:lineRule="auto"/>
        <w:rPr>
          <w:rFonts w:ascii="SimSun" w:hAnsi="SimSun" w:eastAsia="SimSun" w:cs="SimSun"/>
          <w:sz w:val="19"/>
          <w:szCs w:val="19"/>
        </w:rPr>
      </w:pPr>
      <w:r>
        <w:rPr>
          <w:rFonts w:ascii="SimSun" w:hAnsi="SimSun" w:eastAsia="SimSun" w:cs="SimSun"/>
          <w:sz w:val="19"/>
          <w:szCs w:val="19"/>
          <w:spacing w:val="5"/>
        </w:rPr>
        <w:t>平台企业的经济效应/011</w:t>
      </w:r>
    </w:p>
    <w:p>
      <w:pPr>
        <w:ind w:left="1039"/>
        <w:spacing w:before="113" w:line="219" w:lineRule="auto"/>
        <w:rPr>
          <w:rFonts w:ascii="Times New Roman" w:hAnsi="Times New Roman" w:eastAsia="Times New Roman" w:cs="Times New Roman"/>
          <w:sz w:val="19"/>
          <w:szCs w:val="19"/>
        </w:rPr>
      </w:pPr>
      <w:r>
        <w:rPr>
          <w:rFonts w:ascii="SimSun" w:hAnsi="SimSun" w:eastAsia="SimSun" w:cs="SimSun"/>
          <w:sz w:val="19"/>
          <w:szCs w:val="19"/>
          <w:spacing w:val="-5"/>
        </w:rPr>
        <w:t>数字平台的新挑战</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5"/>
        </w:rPr>
        <w:t>/020</w:t>
      </w:r>
    </w:p>
    <w:p>
      <w:pPr>
        <w:ind w:left="1039"/>
        <w:spacing w:before="114" w:line="341" w:lineRule="exact"/>
        <w:rPr>
          <w:rFonts w:ascii="SimSun" w:hAnsi="SimSun" w:eastAsia="SimSun" w:cs="SimSun"/>
          <w:sz w:val="19"/>
          <w:szCs w:val="19"/>
        </w:rPr>
      </w:pPr>
      <w:r>
        <w:rPr>
          <w:rFonts w:ascii="SimSun" w:hAnsi="SimSun" w:eastAsia="SimSun" w:cs="SimSun"/>
          <w:sz w:val="19"/>
          <w:szCs w:val="19"/>
          <w:spacing w:val="3"/>
          <w:position w:val="11"/>
        </w:rPr>
        <w:t>平台监管与反垄断执法/030</w:t>
      </w:r>
    </w:p>
    <w:p>
      <w:pPr>
        <w:ind w:left="1039"/>
        <w:spacing w:line="220" w:lineRule="auto"/>
        <w:rPr>
          <w:rFonts w:ascii="Times New Roman" w:hAnsi="Times New Roman" w:eastAsia="Times New Roman" w:cs="Times New Roman"/>
          <w:sz w:val="19"/>
          <w:szCs w:val="19"/>
        </w:rPr>
      </w:pPr>
      <w:r>
        <w:rPr>
          <w:rFonts w:ascii="SimSun" w:hAnsi="SimSun" w:eastAsia="SimSun" w:cs="SimSun"/>
          <w:sz w:val="19"/>
          <w:szCs w:val="19"/>
          <w:spacing w:val="-7"/>
        </w:rPr>
        <w:t>主要结论与政策建议</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7"/>
        </w:rPr>
        <w:t>/042</w:t>
      </w:r>
    </w:p>
    <w:p>
      <w:pPr>
        <w:pStyle w:val="BodyText"/>
        <w:spacing w:line="248" w:lineRule="auto"/>
        <w:rPr/>
      </w:pPr>
      <w:r/>
    </w:p>
    <w:p>
      <w:pPr>
        <w:pStyle w:val="BodyText"/>
        <w:spacing w:line="248" w:lineRule="auto"/>
        <w:rPr/>
      </w:pPr>
      <w:r/>
    </w:p>
    <w:p>
      <w:pPr>
        <w:pStyle w:val="BodyText"/>
        <w:spacing w:line="248" w:lineRule="auto"/>
        <w:rPr/>
      </w:pPr>
      <w:r/>
    </w:p>
    <w:p>
      <w:pPr>
        <w:spacing w:before="72" w:line="224" w:lineRule="auto"/>
        <w:rPr>
          <w:rFonts w:ascii="SimHei" w:hAnsi="SimHei" w:eastAsia="SimHei" w:cs="SimHei"/>
          <w:sz w:val="22"/>
          <w:szCs w:val="22"/>
        </w:rPr>
      </w:pPr>
      <w:r>
        <w:rPr>
          <w:rFonts w:ascii="YouYuan" w:hAnsi="YouYuan" w:eastAsia="YouYuan" w:cs="YouYuan"/>
          <w:sz w:val="17"/>
          <w:szCs w:val="17"/>
          <w:spacing w:val="-3"/>
          <w:position w:val="4"/>
        </w:rPr>
        <w:t>第二章</w:t>
      </w:r>
      <w:r>
        <w:rPr>
          <w:rFonts w:ascii="YouYuan" w:hAnsi="YouYuan" w:eastAsia="YouYuan" w:cs="YouYuan"/>
          <w:sz w:val="17"/>
          <w:szCs w:val="17"/>
          <w:spacing w:val="10"/>
          <w:position w:val="4"/>
        </w:rPr>
        <w:t xml:space="preserve">      </w:t>
      </w:r>
      <w:r>
        <w:rPr>
          <w:rFonts w:ascii="SimHei" w:hAnsi="SimHei" w:eastAsia="SimHei" w:cs="SimHei"/>
          <w:sz w:val="22"/>
          <w:szCs w:val="22"/>
          <w:spacing w:val="-3"/>
        </w:rPr>
        <w:t>数字经济对中国经济增长的影响</w:t>
      </w:r>
    </w:p>
    <w:p>
      <w:pPr>
        <w:pStyle w:val="BodyText"/>
        <w:spacing w:line="331" w:lineRule="auto"/>
        <w:rPr/>
      </w:pPr>
      <w:r/>
    </w:p>
    <w:p>
      <w:pPr>
        <w:ind w:left="1039"/>
        <w:spacing w:before="63" w:line="219" w:lineRule="auto"/>
        <w:rPr>
          <w:rFonts w:ascii="Times New Roman" w:hAnsi="Times New Roman" w:eastAsia="Times New Roman" w:cs="Times New Roman"/>
          <w:sz w:val="19"/>
          <w:szCs w:val="19"/>
        </w:rPr>
      </w:pPr>
      <w:r>
        <w:rPr>
          <w:rFonts w:ascii="SimSun" w:hAnsi="SimSun" w:eastAsia="SimSun" w:cs="SimSun"/>
          <w:sz w:val="19"/>
          <w:szCs w:val="19"/>
          <w:spacing w:val="-7"/>
        </w:rPr>
        <w:t>数字经济的概念及其影响</w:t>
      </w:r>
      <w:r>
        <w:rPr>
          <w:rFonts w:ascii="SimSun" w:hAnsi="SimSun" w:eastAsia="SimSun" w:cs="SimSun"/>
          <w:sz w:val="19"/>
          <w:szCs w:val="19"/>
          <w:spacing w:val="58"/>
        </w:rPr>
        <w:t xml:space="preserve"> </w:t>
      </w:r>
      <w:r>
        <w:rPr>
          <w:rFonts w:ascii="Times New Roman" w:hAnsi="Times New Roman" w:eastAsia="Times New Roman" w:cs="Times New Roman"/>
          <w:sz w:val="19"/>
          <w:szCs w:val="19"/>
          <w:spacing w:val="-7"/>
        </w:rPr>
        <w:t>/055</w:t>
      </w:r>
    </w:p>
    <w:p>
      <w:pPr>
        <w:pStyle w:val="BodyText"/>
        <w:ind w:left="1039"/>
        <w:spacing w:before="113" w:line="219" w:lineRule="auto"/>
        <w:rPr>
          <w:rFonts w:ascii="Times New Roman" w:hAnsi="Times New Roman" w:eastAsia="Times New Roman" w:cs="Times New Roman"/>
          <w:sz w:val="19"/>
          <w:szCs w:val="19"/>
        </w:rPr>
      </w:pPr>
      <w:r>
        <w:rPr>
          <w:rFonts w:ascii="SimSun" w:hAnsi="SimSun" w:eastAsia="SimSun" w:cs="SimSun"/>
          <w:sz w:val="19"/>
          <w:szCs w:val="19"/>
          <w:spacing w:val="-8"/>
        </w:rPr>
        <w:t>中国数字经济发展：非系统、多角度的观察与问题</w:t>
      </w:r>
      <w:r>
        <w:rPr>
          <w:rFonts w:ascii="SimSun" w:hAnsi="SimSun" w:eastAsia="SimSun" w:cs="SimSun"/>
          <w:sz w:val="19"/>
          <w:szCs w:val="19"/>
          <w:spacing w:val="53"/>
        </w:rPr>
        <w:t xml:space="preserve"> </w:t>
      </w:r>
      <w:r>
        <w:rPr>
          <w:sz w:val="19"/>
          <w:szCs w:val="19"/>
          <w:spacing w:val="-8"/>
        </w:rPr>
        <w:t>/06 </w:t>
      </w:r>
      <w:r>
        <w:rPr>
          <w:rFonts w:ascii="Times New Roman" w:hAnsi="Times New Roman" w:eastAsia="Times New Roman" w:cs="Times New Roman"/>
          <w:sz w:val="19"/>
          <w:szCs w:val="19"/>
          <w:spacing w:val="-8"/>
        </w:rPr>
        <w:t>4</w:t>
      </w:r>
    </w:p>
    <w:p>
      <w:pPr>
        <w:pStyle w:val="BodyText"/>
        <w:ind w:left="1039"/>
        <w:spacing w:before="115" w:line="275" w:lineRule="auto"/>
        <w:rPr>
          <w:sz w:val="19"/>
          <w:szCs w:val="19"/>
        </w:rPr>
      </w:pPr>
      <w:r>
        <w:rPr>
          <w:rFonts w:ascii="SimSun" w:hAnsi="SimSun" w:eastAsia="SimSun" w:cs="SimSun"/>
          <w:sz w:val="19"/>
          <w:szCs w:val="19"/>
          <w:spacing w:val="-6"/>
        </w:rPr>
        <w:t>用于增长分析的基础数据、</w:t>
      </w:r>
      <w:r>
        <w:rPr>
          <w:rFonts w:ascii="Times New Roman" w:hAnsi="Times New Roman" w:eastAsia="Times New Roman" w:cs="Times New Roman"/>
          <w:sz w:val="19"/>
          <w:szCs w:val="19"/>
          <w:spacing w:val="-6"/>
        </w:rPr>
        <w:t>ICT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6"/>
        </w:rPr>
        <w:t>特征行业分组、时间分</w:t>
      </w:r>
      <w:r>
        <w:rPr>
          <w:rFonts w:ascii="SimSun" w:hAnsi="SimSun" w:eastAsia="SimSun" w:cs="SimSun"/>
          <w:sz w:val="19"/>
          <w:szCs w:val="19"/>
          <w:spacing w:val="-7"/>
        </w:rPr>
        <w:t>期 </w:t>
      </w:r>
      <w:r>
        <w:rPr>
          <w:rFonts w:ascii="Times New Roman" w:hAnsi="Times New Roman" w:eastAsia="Times New Roman" w:cs="Times New Roman"/>
          <w:sz w:val="19"/>
          <w:szCs w:val="19"/>
          <w:spacing w:val="-7"/>
        </w:rPr>
        <w:t>/071</w:t>
      </w:r>
      <w:r>
        <w:rPr>
          <w:rFonts w:ascii="Times New Roman" w:hAnsi="Times New Roman" w:eastAsia="Times New Roman" w:cs="Times New Roman"/>
          <w:sz w:val="19"/>
          <w:szCs w:val="19"/>
        </w:rPr>
        <w:t xml:space="preserve"> </w:t>
      </w:r>
      <w:r>
        <w:rPr>
          <w:rFonts w:ascii="SimSun" w:hAnsi="SimSun" w:eastAsia="SimSun" w:cs="SimSun"/>
          <w:sz w:val="19"/>
          <w:szCs w:val="19"/>
          <w:spacing w:val="-13"/>
        </w:rPr>
        <w:t>中国数字经济发展：</w:t>
      </w:r>
      <w:r>
        <w:rPr>
          <w:rFonts w:ascii="SimSun" w:hAnsi="SimSun" w:eastAsia="SimSun" w:cs="SimSun"/>
          <w:sz w:val="19"/>
          <w:szCs w:val="19"/>
          <w:spacing w:val="47"/>
        </w:rPr>
        <w:t xml:space="preserve"> </w:t>
      </w:r>
      <w:r>
        <w:rPr>
          <w:rFonts w:ascii="SimSun" w:hAnsi="SimSun" w:eastAsia="SimSun" w:cs="SimSun"/>
          <w:sz w:val="19"/>
          <w:szCs w:val="19"/>
          <w:spacing w:val="-13"/>
        </w:rPr>
        <w:t>一个系统的描述性统计</w:t>
      </w:r>
      <w:r>
        <w:rPr>
          <w:rFonts w:ascii="SimSun" w:hAnsi="SimSun" w:eastAsia="SimSun" w:cs="SimSun"/>
          <w:sz w:val="19"/>
          <w:szCs w:val="19"/>
          <w:spacing w:val="-14"/>
        </w:rPr>
        <w:t>观察</w:t>
      </w:r>
      <w:r>
        <w:rPr>
          <w:rFonts w:ascii="SimSun" w:hAnsi="SimSun" w:eastAsia="SimSun" w:cs="SimSun"/>
          <w:sz w:val="19"/>
          <w:szCs w:val="19"/>
          <w:spacing w:val="66"/>
        </w:rPr>
        <w:t xml:space="preserve"> </w:t>
      </w:r>
      <w:r>
        <w:rPr>
          <w:rFonts w:ascii="Times New Roman" w:hAnsi="Times New Roman" w:eastAsia="Times New Roman" w:cs="Times New Roman"/>
          <w:sz w:val="19"/>
          <w:szCs w:val="19"/>
          <w:spacing w:val="-14"/>
        </w:rPr>
        <w:t>/07 </w:t>
      </w:r>
      <w:r>
        <w:rPr>
          <w:sz w:val="19"/>
          <w:szCs w:val="19"/>
          <w:spacing w:val="-14"/>
        </w:rPr>
        <w:t>6</w:t>
      </w:r>
    </w:p>
    <w:p>
      <w:pPr>
        <w:ind w:left="1039"/>
        <w:spacing w:before="114" w:line="341" w:lineRule="exact"/>
        <w:rPr>
          <w:rFonts w:ascii="SimSun" w:hAnsi="SimSun" w:eastAsia="SimSun" w:cs="SimSun"/>
          <w:sz w:val="19"/>
          <w:szCs w:val="19"/>
        </w:rPr>
      </w:pPr>
      <w:r>
        <w:rPr>
          <w:rFonts w:ascii="SimSun" w:hAnsi="SimSun" w:eastAsia="SimSun" w:cs="SimSun"/>
          <w:sz w:val="19"/>
          <w:szCs w:val="19"/>
          <w:spacing w:val="-8"/>
          <w:position w:val="11"/>
        </w:rPr>
        <w:t>中国数字经济发展与全要素生产率</w:t>
      </w:r>
      <w:r>
        <w:rPr>
          <w:rFonts w:ascii="SimSun" w:hAnsi="SimSun" w:eastAsia="SimSun" w:cs="SimSun"/>
          <w:sz w:val="19"/>
          <w:szCs w:val="19"/>
          <w:spacing w:val="61"/>
          <w:position w:val="11"/>
        </w:rPr>
        <w:t xml:space="preserve"> </w:t>
      </w:r>
      <w:r>
        <w:rPr>
          <w:rFonts w:ascii="SimSun" w:hAnsi="SimSun" w:eastAsia="SimSun" w:cs="SimSun"/>
          <w:sz w:val="19"/>
          <w:szCs w:val="19"/>
          <w:spacing w:val="-8"/>
          <w:position w:val="11"/>
        </w:rPr>
        <w:t>/096</w:t>
      </w:r>
    </w:p>
    <w:p>
      <w:pPr>
        <w:ind w:left="1039"/>
        <w:spacing w:line="220" w:lineRule="auto"/>
        <w:rPr>
          <w:rFonts w:ascii="Times New Roman" w:hAnsi="Times New Roman" w:eastAsia="Times New Roman" w:cs="Times New Roman"/>
          <w:sz w:val="19"/>
          <w:szCs w:val="19"/>
        </w:rPr>
      </w:pPr>
      <w:r>
        <w:rPr>
          <w:rFonts w:ascii="SimSun" w:hAnsi="SimSun" w:eastAsia="SimSun" w:cs="SimSun"/>
          <w:sz w:val="19"/>
          <w:szCs w:val="19"/>
          <w:spacing w:val="-7"/>
        </w:rPr>
        <w:t>政策建议</w:t>
      </w:r>
      <w:r>
        <w:rPr>
          <w:rFonts w:ascii="SimSun" w:hAnsi="SimSun" w:eastAsia="SimSun" w:cs="SimSun"/>
          <w:sz w:val="19"/>
          <w:szCs w:val="19"/>
          <w:spacing w:val="49"/>
        </w:rPr>
        <w:t xml:space="preserve"> </w:t>
      </w:r>
      <w:r>
        <w:rPr>
          <w:rFonts w:ascii="Times New Roman" w:hAnsi="Times New Roman" w:eastAsia="Times New Roman" w:cs="Times New Roman"/>
          <w:sz w:val="19"/>
          <w:szCs w:val="19"/>
          <w:spacing w:val="-7"/>
        </w:rPr>
        <w:t>/107</w:t>
      </w:r>
    </w:p>
    <w:p>
      <w:pPr>
        <w:pStyle w:val="BodyText"/>
        <w:spacing w:line="245" w:lineRule="auto"/>
        <w:rPr/>
      </w:pPr>
      <w:r/>
    </w:p>
    <w:p>
      <w:pPr>
        <w:pStyle w:val="BodyText"/>
        <w:spacing w:line="245" w:lineRule="auto"/>
        <w:rPr/>
      </w:pPr>
      <w:r/>
    </w:p>
    <w:p>
      <w:pPr>
        <w:pStyle w:val="BodyText"/>
        <w:spacing w:line="246" w:lineRule="auto"/>
        <w:rPr/>
      </w:pPr>
      <w:r/>
    </w:p>
    <w:p>
      <w:pPr>
        <w:spacing w:before="72" w:line="221" w:lineRule="auto"/>
        <w:rPr>
          <w:rFonts w:ascii="SimHei" w:hAnsi="SimHei" w:eastAsia="SimHei" w:cs="SimHei"/>
          <w:sz w:val="22"/>
          <w:szCs w:val="22"/>
        </w:rPr>
      </w:pPr>
      <w:r>
        <w:rPr>
          <w:rFonts w:ascii="SimHei" w:hAnsi="SimHei" w:eastAsia="SimHei" w:cs="SimHei"/>
          <w:sz w:val="17"/>
          <w:szCs w:val="17"/>
          <w:spacing w:val="-3"/>
          <w:position w:val="2"/>
        </w:rPr>
        <w:t>第三章</w:t>
      </w:r>
      <w:r>
        <w:rPr>
          <w:rFonts w:ascii="SimHei" w:hAnsi="SimHei" w:eastAsia="SimHei" w:cs="SimHei"/>
          <w:sz w:val="17"/>
          <w:szCs w:val="17"/>
          <w:spacing w:val="9"/>
          <w:position w:val="2"/>
        </w:rPr>
        <w:t xml:space="preserve">      </w:t>
      </w:r>
      <w:r>
        <w:rPr>
          <w:rFonts w:ascii="SimHei" w:hAnsi="SimHei" w:eastAsia="SimHei" w:cs="SimHei"/>
          <w:sz w:val="22"/>
          <w:szCs w:val="22"/>
          <w:spacing w:val="-3"/>
        </w:rPr>
        <w:t>平台经济与平台企业的中美比较</w:t>
      </w:r>
    </w:p>
    <w:p>
      <w:pPr>
        <w:pStyle w:val="BodyText"/>
        <w:spacing w:line="323" w:lineRule="auto"/>
        <w:rPr/>
      </w:pPr>
      <w:r/>
    </w:p>
    <w:p>
      <w:pPr>
        <w:ind w:left="1039"/>
        <w:spacing w:before="62" w:line="219" w:lineRule="auto"/>
        <w:rPr>
          <w:rFonts w:ascii="Times New Roman" w:hAnsi="Times New Roman" w:eastAsia="Times New Roman" w:cs="Times New Roman"/>
          <w:sz w:val="19"/>
          <w:szCs w:val="19"/>
        </w:rPr>
      </w:pPr>
      <w:r>
        <w:rPr>
          <w:rFonts w:ascii="SimSun" w:hAnsi="SimSun" w:eastAsia="SimSun" w:cs="SimSun"/>
          <w:sz w:val="19"/>
          <w:szCs w:val="19"/>
          <w:spacing w:val="-6"/>
        </w:rPr>
        <w:t>数字时代的大国平台</w:t>
      </w:r>
      <w:r>
        <w:rPr>
          <w:rFonts w:ascii="SimSun" w:hAnsi="SimSun" w:eastAsia="SimSun" w:cs="SimSun"/>
          <w:sz w:val="19"/>
          <w:szCs w:val="19"/>
          <w:spacing w:val="61"/>
        </w:rPr>
        <w:t xml:space="preserve"> </w:t>
      </w:r>
      <w:r>
        <w:rPr>
          <w:rFonts w:ascii="Times New Roman" w:hAnsi="Times New Roman" w:eastAsia="Times New Roman" w:cs="Times New Roman"/>
          <w:sz w:val="19"/>
          <w:szCs w:val="19"/>
          <w:spacing w:val="-6"/>
        </w:rPr>
        <w:t>/115</w:t>
      </w:r>
    </w:p>
    <w:p>
      <w:pPr>
        <w:ind w:left="1039"/>
        <w:spacing w:before="125" w:line="219" w:lineRule="auto"/>
        <w:rPr>
          <w:rFonts w:ascii="SimSun" w:hAnsi="SimSun" w:eastAsia="SimSun" w:cs="SimSun"/>
          <w:sz w:val="19"/>
          <w:szCs w:val="19"/>
        </w:rPr>
      </w:pPr>
      <w:r>
        <w:rPr>
          <w:rFonts w:ascii="SimSun" w:hAnsi="SimSun" w:eastAsia="SimSun" w:cs="SimSun"/>
          <w:sz w:val="19"/>
          <w:szCs w:val="19"/>
          <w:spacing w:val="-1"/>
        </w:rPr>
        <w:t>中美平台经济和平台企业的发展概况/116</w:t>
      </w:r>
    </w:p>
    <w:p>
      <w:pPr>
        <w:spacing w:line="219" w:lineRule="auto"/>
        <w:sectPr>
          <w:pgSz w:w="7330" w:h="12480"/>
          <w:pgMar w:top="400" w:right="722" w:bottom="400" w:left="589" w:header="0" w:footer="0" w:gutter="0"/>
        </w:sectPr>
        <w:rPr>
          <w:rFonts w:ascii="SimSun" w:hAnsi="SimSun" w:eastAsia="SimSun" w:cs="SimSun"/>
          <w:sz w:val="19"/>
          <w:szCs w:val="19"/>
        </w:rPr>
      </w:pPr>
    </w:p>
    <w:p>
      <w:pPr>
        <w:ind w:left="49"/>
        <w:spacing w:line="212" w:lineRule="auto"/>
        <w:rPr>
          <w:rFonts w:ascii="SimSun" w:hAnsi="SimSun" w:eastAsia="SimSun" w:cs="SimSun"/>
          <w:sz w:val="18"/>
          <w:szCs w:val="18"/>
        </w:rPr>
      </w:pPr>
      <w:r>
        <w:rPr>
          <w:rFonts w:ascii="Times New Roman" w:hAnsi="Times New Roman" w:eastAsia="Times New Roman" w:cs="Times New Roman"/>
          <w:sz w:val="18"/>
          <w:szCs w:val="18"/>
          <w:spacing w:val="-13"/>
          <w:w w:val="93"/>
          <w:position w:val="-3"/>
        </w:rPr>
        <w:t>ll</w:t>
      </w:r>
      <w:r>
        <w:rPr>
          <w:rFonts w:ascii="Times New Roman" w:hAnsi="Times New Roman" w:eastAsia="Times New Roman" w:cs="Times New Roman"/>
          <w:sz w:val="18"/>
          <w:szCs w:val="18"/>
          <w:position w:val="-3"/>
        </w:rPr>
        <w:t xml:space="preserve">                                       </w:t>
      </w:r>
      <w:r>
        <w:rPr>
          <w:rFonts w:ascii="YouYuan" w:hAnsi="YouYuan" w:eastAsia="YouYuan" w:cs="YouYuan"/>
          <w:sz w:val="18"/>
          <w:szCs w:val="18"/>
          <w:spacing w:val="-13"/>
          <w:w w:val="93"/>
          <w:position w:val="1"/>
        </w:rPr>
        <w:t>平台经济</w:t>
      </w:r>
      <w:r>
        <w:rPr>
          <w:rFonts w:ascii="YouYuan" w:hAnsi="YouYuan" w:eastAsia="YouYuan" w:cs="YouYuan"/>
          <w:sz w:val="18"/>
          <w:szCs w:val="18"/>
          <w:u w:val="single" w:color="auto"/>
          <w:spacing w:val="14"/>
          <w:position w:val="1"/>
        </w:rPr>
        <w:t xml:space="preserve">   </w:t>
      </w:r>
      <w:r>
        <w:rPr>
          <w:rFonts w:ascii="YouYuan" w:hAnsi="YouYuan" w:eastAsia="YouYuan" w:cs="YouYuan"/>
          <w:sz w:val="18"/>
          <w:szCs w:val="18"/>
          <w:spacing w:val="-69"/>
          <w:position w:val="1"/>
        </w:rPr>
        <w:t xml:space="preserve"> </w:t>
      </w:r>
      <w:r>
        <w:rPr>
          <w:rFonts w:ascii="SimSun" w:hAnsi="SimSun" w:eastAsia="SimSun" w:cs="SimSun"/>
          <w:sz w:val="18"/>
          <w:szCs w:val="18"/>
          <w:spacing w:val="-13"/>
          <w:w w:val="93"/>
        </w:rPr>
        <w:t>创新、治理与繁荣</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left="1049"/>
        <w:spacing w:before="59" w:line="339" w:lineRule="exact"/>
        <w:rPr>
          <w:rFonts w:ascii="SimSun" w:hAnsi="SimSun" w:eastAsia="SimSun" w:cs="SimSun"/>
          <w:sz w:val="18"/>
          <w:szCs w:val="18"/>
        </w:rPr>
      </w:pPr>
      <w:r>
        <w:rPr>
          <w:rFonts w:ascii="SimSun" w:hAnsi="SimSun" w:eastAsia="SimSun" w:cs="SimSun"/>
          <w:sz w:val="18"/>
          <w:szCs w:val="18"/>
          <w:spacing w:val="1"/>
          <w:position w:val="12"/>
        </w:rPr>
        <w:t>中美平台经济的可竟争性对比</w:t>
      </w:r>
      <w:r>
        <w:rPr>
          <w:rFonts w:ascii="SimSun" w:hAnsi="SimSun" w:eastAsia="SimSun" w:cs="SimSun"/>
          <w:sz w:val="18"/>
          <w:szCs w:val="18"/>
          <w:spacing w:val="57"/>
          <w:position w:val="12"/>
        </w:rPr>
        <w:t xml:space="preserve"> </w:t>
      </w:r>
      <w:r>
        <w:rPr>
          <w:rFonts w:ascii="SimSun" w:hAnsi="SimSun" w:eastAsia="SimSun" w:cs="SimSun"/>
          <w:sz w:val="18"/>
          <w:szCs w:val="18"/>
          <w:spacing w:val="1"/>
          <w:position w:val="12"/>
        </w:rPr>
        <w:t>/127</w:t>
      </w:r>
    </w:p>
    <w:p>
      <w:pPr>
        <w:ind w:left="1049"/>
        <w:spacing w:line="218" w:lineRule="auto"/>
        <w:rPr>
          <w:rFonts w:ascii="SimSun" w:hAnsi="SimSun" w:eastAsia="SimSun" w:cs="SimSun"/>
          <w:sz w:val="18"/>
          <w:szCs w:val="18"/>
        </w:rPr>
      </w:pPr>
      <w:r>
        <w:rPr>
          <w:rFonts w:ascii="SimSun" w:hAnsi="SimSun" w:eastAsia="SimSun" w:cs="SimSun"/>
          <w:sz w:val="18"/>
          <w:szCs w:val="18"/>
          <w:spacing w:val="1"/>
        </w:rPr>
        <w:t>中美平台企业的科技实力对比</w:t>
      </w:r>
      <w:r>
        <w:rPr>
          <w:rFonts w:ascii="SimSun" w:hAnsi="SimSun" w:eastAsia="SimSun" w:cs="SimSun"/>
          <w:sz w:val="18"/>
          <w:szCs w:val="18"/>
          <w:spacing w:val="67"/>
        </w:rPr>
        <w:t xml:space="preserve"> </w:t>
      </w:r>
      <w:r>
        <w:rPr>
          <w:rFonts w:ascii="SimSun" w:hAnsi="SimSun" w:eastAsia="SimSun" w:cs="SimSun"/>
          <w:sz w:val="18"/>
          <w:szCs w:val="18"/>
          <w:spacing w:val="1"/>
        </w:rPr>
        <w:t>/138</w:t>
      </w:r>
    </w:p>
    <w:p>
      <w:pPr>
        <w:ind w:left="1049"/>
        <w:spacing w:before="128" w:line="220" w:lineRule="auto"/>
        <w:rPr>
          <w:rFonts w:ascii="SimSun" w:hAnsi="SimSun" w:eastAsia="SimSun" w:cs="SimSun"/>
          <w:sz w:val="18"/>
          <w:szCs w:val="18"/>
        </w:rPr>
      </w:pPr>
      <w:r>
        <w:rPr>
          <w:rFonts w:ascii="SimSun" w:hAnsi="SimSun" w:eastAsia="SimSun" w:cs="SimSun"/>
          <w:sz w:val="18"/>
          <w:szCs w:val="18"/>
          <w:spacing w:val="11"/>
        </w:rPr>
        <w:t>平台经济展望和政策建议/141</w:t>
      </w:r>
    </w:p>
    <w:p>
      <w:pPr>
        <w:pStyle w:val="BodyText"/>
        <w:spacing w:line="242" w:lineRule="auto"/>
        <w:rPr/>
      </w:pPr>
      <w:r/>
    </w:p>
    <w:p>
      <w:pPr>
        <w:pStyle w:val="BodyText"/>
        <w:spacing w:line="242" w:lineRule="auto"/>
        <w:rPr/>
      </w:pPr>
      <w:r/>
    </w:p>
    <w:p>
      <w:pPr>
        <w:pStyle w:val="BodyText"/>
        <w:spacing w:line="242" w:lineRule="auto"/>
        <w:rPr/>
      </w:pPr>
      <w:r/>
    </w:p>
    <w:p>
      <w:pPr>
        <w:spacing w:before="75" w:line="222" w:lineRule="auto"/>
        <w:rPr>
          <w:rFonts w:ascii="SimHei" w:hAnsi="SimHei" w:eastAsia="SimHei" w:cs="SimHei"/>
          <w:sz w:val="23"/>
          <w:szCs w:val="23"/>
        </w:rPr>
      </w:pPr>
      <w:r>
        <w:rPr>
          <w:rFonts w:ascii="YouYuan" w:hAnsi="YouYuan" w:eastAsia="YouYuan" w:cs="YouYuan"/>
          <w:sz w:val="18"/>
          <w:szCs w:val="18"/>
          <w:spacing w:val="-8"/>
          <w:position w:val="1"/>
        </w:rPr>
        <w:t>第四章</w:t>
      </w:r>
      <w:r>
        <w:rPr>
          <w:rFonts w:ascii="YouYuan" w:hAnsi="YouYuan" w:eastAsia="YouYuan" w:cs="YouYuan"/>
          <w:sz w:val="18"/>
          <w:szCs w:val="18"/>
          <w:spacing w:val="-8"/>
          <w:position w:val="1"/>
        </w:rPr>
        <w:t xml:space="preserve">      </w:t>
      </w:r>
      <w:r>
        <w:rPr>
          <w:rFonts w:ascii="SimHei" w:hAnsi="SimHei" w:eastAsia="SimHei" w:cs="SimHei"/>
          <w:sz w:val="23"/>
          <w:szCs w:val="23"/>
          <w:spacing w:val="-8"/>
        </w:rPr>
        <w:t>平台经济对劳动力市场和收入分配的影响</w:t>
      </w:r>
    </w:p>
    <w:p>
      <w:pPr>
        <w:pStyle w:val="BodyText"/>
        <w:spacing w:line="362" w:lineRule="auto"/>
        <w:rPr/>
      </w:pPr>
      <w:r/>
    </w:p>
    <w:p>
      <w:pPr>
        <w:ind w:left="1049"/>
        <w:spacing w:before="59" w:line="220" w:lineRule="auto"/>
        <w:rPr>
          <w:rFonts w:ascii="SimSun" w:hAnsi="SimSun" w:eastAsia="SimSun" w:cs="SimSun"/>
          <w:sz w:val="18"/>
          <w:szCs w:val="18"/>
        </w:rPr>
      </w:pPr>
      <w:r>
        <w:rPr>
          <w:rFonts w:ascii="SimSun" w:hAnsi="SimSun" w:eastAsia="SimSun" w:cs="SimSun"/>
          <w:sz w:val="18"/>
          <w:szCs w:val="18"/>
        </w:rPr>
        <w:t>平台经济发展对就业的影响</w:t>
      </w:r>
      <w:r>
        <w:rPr>
          <w:rFonts w:ascii="SimSun" w:hAnsi="SimSun" w:eastAsia="SimSun" w:cs="SimSun"/>
          <w:sz w:val="18"/>
          <w:szCs w:val="18"/>
          <w:spacing w:val="64"/>
        </w:rPr>
        <w:t xml:space="preserve"> </w:t>
      </w:r>
      <w:r>
        <w:rPr>
          <w:rFonts w:ascii="SimSun" w:hAnsi="SimSun" w:eastAsia="SimSun" w:cs="SimSun"/>
          <w:sz w:val="18"/>
          <w:szCs w:val="18"/>
        </w:rPr>
        <w:t>/148</w:t>
      </w:r>
    </w:p>
    <w:p>
      <w:pPr>
        <w:ind w:left="1049"/>
        <w:spacing w:before="105" w:line="350" w:lineRule="exact"/>
        <w:rPr>
          <w:rFonts w:ascii="SimSun" w:hAnsi="SimSun" w:eastAsia="SimSun" w:cs="SimSun"/>
          <w:sz w:val="18"/>
          <w:szCs w:val="18"/>
        </w:rPr>
      </w:pPr>
      <w:r>
        <w:rPr>
          <w:rFonts w:ascii="SimSun" w:hAnsi="SimSun" w:eastAsia="SimSun" w:cs="SimSun"/>
          <w:sz w:val="18"/>
          <w:szCs w:val="18"/>
          <w:spacing w:val="1"/>
          <w:position w:val="13"/>
        </w:rPr>
        <w:t>平台经济下的劳资关系与劳动者权益问题</w:t>
      </w:r>
      <w:r>
        <w:rPr>
          <w:rFonts w:ascii="SimSun" w:hAnsi="SimSun" w:eastAsia="SimSun" w:cs="SimSun"/>
          <w:sz w:val="18"/>
          <w:szCs w:val="18"/>
          <w:spacing w:val="62"/>
          <w:position w:val="13"/>
        </w:rPr>
        <w:t xml:space="preserve"> </w:t>
      </w:r>
      <w:r>
        <w:rPr>
          <w:rFonts w:ascii="SimSun" w:hAnsi="SimSun" w:eastAsia="SimSun" w:cs="SimSun"/>
          <w:sz w:val="18"/>
          <w:szCs w:val="18"/>
          <w:spacing w:val="1"/>
          <w:position w:val="13"/>
        </w:rPr>
        <w:t>/156</w:t>
      </w:r>
    </w:p>
    <w:p>
      <w:pPr>
        <w:ind w:left="1049"/>
        <w:spacing w:line="219" w:lineRule="auto"/>
        <w:rPr>
          <w:rFonts w:ascii="SimSun" w:hAnsi="SimSun" w:eastAsia="SimSun" w:cs="SimSun"/>
          <w:sz w:val="18"/>
          <w:szCs w:val="18"/>
        </w:rPr>
      </w:pPr>
      <w:r>
        <w:rPr>
          <w:rFonts w:ascii="SimSun" w:hAnsi="SimSun" w:eastAsia="SimSun" w:cs="SimSun"/>
          <w:sz w:val="18"/>
          <w:szCs w:val="18"/>
          <w:spacing w:val="8"/>
        </w:rPr>
        <w:t>平台经济崛起对收入分配的影响/164</w:t>
      </w:r>
    </w:p>
    <w:p>
      <w:pPr>
        <w:ind w:left="1049"/>
        <w:spacing w:before="137" w:line="220" w:lineRule="auto"/>
        <w:rPr>
          <w:rFonts w:ascii="Times New Roman" w:hAnsi="Times New Roman" w:eastAsia="Times New Roman" w:cs="Times New Roman"/>
          <w:sz w:val="18"/>
          <w:szCs w:val="18"/>
        </w:rPr>
      </w:pPr>
      <w:r>
        <w:rPr>
          <w:rFonts w:ascii="SimSun" w:hAnsi="SimSun" w:eastAsia="SimSun" w:cs="SimSun"/>
          <w:sz w:val="18"/>
          <w:szCs w:val="18"/>
          <w:spacing w:val="2"/>
        </w:rPr>
        <w:t>政策建议</w:t>
      </w:r>
      <w:r>
        <w:rPr>
          <w:rFonts w:ascii="SimSun" w:hAnsi="SimSun" w:eastAsia="SimSun" w:cs="SimSun"/>
          <w:sz w:val="18"/>
          <w:szCs w:val="18"/>
          <w:spacing w:val="52"/>
        </w:rPr>
        <w:t xml:space="preserve"> </w:t>
      </w:r>
      <w:r>
        <w:rPr>
          <w:rFonts w:ascii="Times New Roman" w:hAnsi="Times New Roman" w:eastAsia="Times New Roman" w:cs="Times New Roman"/>
          <w:sz w:val="18"/>
          <w:szCs w:val="18"/>
          <w:spacing w:val="2"/>
        </w:rPr>
        <w:t>/172</w:t>
      </w:r>
    </w:p>
    <w:p>
      <w:pPr>
        <w:pStyle w:val="BodyText"/>
        <w:spacing w:line="358" w:lineRule="auto"/>
        <w:rPr/>
      </w:pPr>
      <w:r/>
    </w:p>
    <w:p>
      <w:pPr>
        <w:pStyle w:val="BodyText"/>
        <w:spacing w:line="358" w:lineRule="auto"/>
        <w:rPr/>
      </w:pPr>
      <w:r/>
    </w:p>
    <w:p>
      <w:pPr>
        <w:spacing w:before="75" w:line="222" w:lineRule="auto"/>
        <w:rPr>
          <w:rFonts w:ascii="SimHei" w:hAnsi="SimHei" w:eastAsia="SimHei" w:cs="SimHei"/>
          <w:sz w:val="23"/>
          <w:szCs w:val="23"/>
        </w:rPr>
      </w:pPr>
      <w:r>
        <w:rPr>
          <w:rFonts w:ascii="SimHei" w:hAnsi="SimHei" w:eastAsia="SimHei" w:cs="SimHei"/>
          <w:sz w:val="18"/>
          <w:szCs w:val="18"/>
          <w:spacing w:val="-11"/>
          <w:position w:val="1"/>
        </w:rPr>
        <w:t>第五章</w:t>
      </w:r>
      <w:r>
        <w:rPr>
          <w:rFonts w:ascii="SimHei" w:hAnsi="SimHei" w:eastAsia="SimHei" w:cs="SimHei"/>
          <w:sz w:val="18"/>
          <w:szCs w:val="18"/>
          <w:spacing w:val="3"/>
          <w:position w:val="1"/>
        </w:rPr>
        <w:t xml:space="preserve">      </w:t>
      </w:r>
      <w:r>
        <w:rPr>
          <w:rFonts w:ascii="SimHei" w:hAnsi="SimHei" w:eastAsia="SimHei" w:cs="SimHei"/>
          <w:sz w:val="23"/>
          <w:szCs w:val="23"/>
          <w:spacing w:val="-11"/>
        </w:rPr>
        <w:t>平台经济和国家治理</w:t>
      </w:r>
    </w:p>
    <w:p>
      <w:pPr>
        <w:pStyle w:val="BodyText"/>
        <w:spacing w:line="351" w:lineRule="auto"/>
        <w:rPr/>
      </w:pPr>
      <w:r/>
    </w:p>
    <w:p>
      <w:pPr>
        <w:ind w:left="1049"/>
        <w:spacing w:before="59" w:line="330" w:lineRule="exact"/>
        <w:rPr>
          <w:rFonts w:ascii="SimSun" w:hAnsi="SimSun" w:eastAsia="SimSun" w:cs="SimSun"/>
          <w:sz w:val="18"/>
          <w:szCs w:val="18"/>
        </w:rPr>
      </w:pPr>
      <w:r>
        <w:rPr>
          <w:rFonts w:ascii="SimSun" w:hAnsi="SimSun" w:eastAsia="SimSun" w:cs="SimSun"/>
          <w:sz w:val="18"/>
          <w:szCs w:val="18"/>
          <w:spacing w:val="1"/>
          <w:position w:val="11"/>
        </w:rPr>
        <w:t>政府治理</w:t>
      </w:r>
      <w:r>
        <w:rPr>
          <w:rFonts w:ascii="SimSun" w:hAnsi="SimSun" w:eastAsia="SimSun" w:cs="SimSun"/>
          <w:sz w:val="18"/>
          <w:szCs w:val="18"/>
          <w:spacing w:val="66"/>
          <w:position w:val="11"/>
        </w:rPr>
        <w:t xml:space="preserve"> </w:t>
      </w:r>
      <w:r>
        <w:rPr>
          <w:rFonts w:ascii="SimSun" w:hAnsi="SimSun" w:eastAsia="SimSun" w:cs="SimSun"/>
          <w:sz w:val="18"/>
          <w:szCs w:val="18"/>
          <w:spacing w:val="1"/>
          <w:position w:val="11"/>
        </w:rPr>
        <w:t>/180</w:t>
      </w:r>
    </w:p>
    <w:p>
      <w:pPr>
        <w:ind w:left="1049"/>
        <w:spacing w:before="1" w:line="218" w:lineRule="auto"/>
        <w:rPr>
          <w:rFonts w:ascii="SimSun" w:hAnsi="SimSun" w:eastAsia="SimSun" w:cs="SimSun"/>
          <w:sz w:val="18"/>
          <w:szCs w:val="18"/>
        </w:rPr>
      </w:pPr>
      <w:r>
        <w:rPr>
          <w:rFonts w:ascii="SimSun" w:hAnsi="SimSun" w:eastAsia="SimSun" w:cs="SimSun"/>
          <w:sz w:val="18"/>
          <w:szCs w:val="18"/>
          <w:spacing w:val="1"/>
        </w:rPr>
        <w:t>社会治理</w:t>
      </w:r>
      <w:r>
        <w:rPr>
          <w:rFonts w:ascii="SimSun" w:hAnsi="SimSun" w:eastAsia="SimSun" w:cs="SimSun"/>
          <w:sz w:val="18"/>
          <w:szCs w:val="18"/>
          <w:spacing w:val="66"/>
        </w:rPr>
        <w:t xml:space="preserve"> </w:t>
      </w:r>
      <w:r>
        <w:rPr>
          <w:rFonts w:ascii="SimSun" w:hAnsi="SimSun" w:eastAsia="SimSun" w:cs="SimSun"/>
          <w:sz w:val="18"/>
          <w:szCs w:val="18"/>
          <w:spacing w:val="1"/>
        </w:rPr>
        <w:t>/185</w:t>
      </w:r>
    </w:p>
    <w:p>
      <w:pPr>
        <w:ind w:left="1049"/>
        <w:spacing w:before="126" w:line="218" w:lineRule="auto"/>
        <w:rPr>
          <w:rFonts w:ascii="SimSun" w:hAnsi="SimSun" w:eastAsia="SimSun" w:cs="SimSun"/>
          <w:sz w:val="18"/>
          <w:szCs w:val="18"/>
        </w:rPr>
      </w:pPr>
      <w:r>
        <w:rPr>
          <w:rFonts w:ascii="SimSun" w:hAnsi="SimSun" w:eastAsia="SimSun" w:cs="SimSun"/>
          <w:sz w:val="18"/>
          <w:szCs w:val="18"/>
          <w:spacing w:val="23"/>
        </w:rPr>
        <w:t>价值观念/191</w:t>
      </w:r>
    </w:p>
    <w:p>
      <w:pPr>
        <w:ind w:left="1049"/>
        <w:spacing w:before="139" w:line="219" w:lineRule="auto"/>
        <w:rPr>
          <w:rFonts w:ascii="SimSun" w:hAnsi="SimSun" w:eastAsia="SimSun" w:cs="SimSun"/>
          <w:sz w:val="18"/>
          <w:szCs w:val="18"/>
        </w:rPr>
      </w:pPr>
      <w:r>
        <w:rPr>
          <w:rFonts w:ascii="SimSun" w:hAnsi="SimSun" w:eastAsia="SimSun" w:cs="SimSun"/>
          <w:sz w:val="18"/>
          <w:szCs w:val="18"/>
          <w:spacing w:val="22"/>
        </w:rPr>
        <w:t>监管策略/194</w:t>
      </w:r>
    </w:p>
    <w:p>
      <w:pPr>
        <w:ind w:left="1049"/>
        <w:spacing w:before="127" w:line="220" w:lineRule="auto"/>
        <w:rPr>
          <w:rFonts w:ascii="SimSun" w:hAnsi="SimSun" w:eastAsia="SimSun" w:cs="SimSun"/>
          <w:sz w:val="18"/>
          <w:szCs w:val="18"/>
        </w:rPr>
      </w:pPr>
      <w:r>
        <w:rPr>
          <w:rFonts w:ascii="SimSun" w:hAnsi="SimSun" w:eastAsia="SimSun" w:cs="SimSun"/>
          <w:sz w:val="18"/>
          <w:szCs w:val="18"/>
          <w:spacing w:val="22"/>
        </w:rPr>
        <w:t>政策建议/196</w:t>
      </w:r>
    </w:p>
    <w:p>
      <w:pPr>
        <w:pStyle w:val="BodyText"/>
        <w:spacing w:line="351" w:lineRule="auto"/>
        <w:rPr/>
      </w:pPr>
      <w:r/>
    </w:p>
    <w:p>
      <w:pPr>
        <w:pStyle w:val="BodyText"/>
        <w:spacing w:line="351" w:lineRule="auto"/>
        <w:rPr/>
      </w:pPr>
      <w:r/>
    </w:p>
    <w:p>
      <w:pPr>
        <w:ind w:left="39"/>
        <w:spacing w:before="75" w:line="221" w:lineRule="auto"/>
        <w:rPr>
          <w:rFonts w:ascii="SimHei" w:hAnsi="SimHei" w:eastAsia="SimHei" w:cs="SimHei"/>
          <w:sz w:val="23"/>
          <w:szCs w:val="23"/>
        </w:rPr>
      </w:pPr>
      <w:r>
        <w:rPr>
          <w:rFonts w:ascii="SimHei" w:hAnsi="SimHei" w:eastAsia="SimHei" w:cs="SimHei"/>
          <w:sz w:val="18"/>
          <w:szCs w:val="18"/>
          <w:spacing w:val="-15"/>
        </w:rPr>
        <w:t>第六章</w:t>
      </w:r>
      <w:r>
        <w:rPr>
          <w:rFonts w:ascii="SimHei" w:hAnsi="SimHei" w:eastAsia="SimHei" w:cs="SimHei"/>
          <w:sz w:val="18"/>
          <w:szCs w:val="18"/>
          <w:spacing w:val="4"/>
        </w:rPr>
        <w:t xml:space="preserve">      </w:t>
      </w:r>
      <w:r>
        <w:rPr>
          <w:rFonts w:ascii="SimHei" w:hAnsi="SimHei" w:eastAsia="SimHei" w:cs="SimHei"/>
          <w:sz w:val="23"/>
          <w:szCs w:val="23"/>
          <w:b/>
          <w:bCs/>
          <w:spacing w:val="-15"/>
        </w:rPr>
        <w:t>数字金融平台的创新发展与监管</w:t>
      </w:r>
    </w:p>
    <w:p>
      <w:pPr>
        <w:pStyle w:val="BodyText"/>
        <w:spacing w:line="357" w:lineRule="auto"/>
        <w:rPr/>
      </w:pPr>
      <w:r/>
    </w:p>
    <w:p>
      <w:pPr>
        <w:ind w:left="1049"/>
        <w:spacing w:before="59" w:line="219" w:lineRule="auto"/>
        <w:rPr>
          <w:rFonts w:ascii="Times New Roman" w:hAnsi="Times New Roman" w:eastAsia="Times New Roman" w:cs="Times New Roman"/>
          <w:sz w:val="18"/>
          <w:szCs w:val="18"/>
        </w:rPr>
      </w:pPr>
      <w:r>
        <w:rPr>
          <w:rFonts w:ascii="SimSun" w:hAnsi="SimSun" w:eastAsia="SimSun" w:cs="SimSun"/>
          <w:sz w:val="18"/>
          <w:szCs w:val="18"/>
          <w:spacing w:val="1"/>
        </w:rPr>
        <w:t>中国数字金融平台的发展和特点</w:t>
      </w:r>
      <w:r>
        <w:rPr>
          <w:rFonts w:ascii="SimSun" w:hAnsi="SimSun" w:eastAsia="SimSun" w:cs="SimSun"/>
          <w:sz w:val="18"/>
          <w:szCs w:val="18"/>
          <w:spacing w:val="90"/>
        </w:rPr>
        <w:t xml:space="preserve"> </w:t>
      </w:r>
      <w:r>
        <w:rPr>
          <w:rFonts w:ascii="Times New Roman" w:hAnsi="Times New Roman" w:eastAsia="Times New Roman" w:cs="Times New Roman"/>
          <w:sz w:val="18"/>
          <w:szCs w:val="18"/>
          <w:spacing w:val="1"/>
        </w:rPr>
        <w:t>/202</w:t>
      </w:r>
    </w:p>
    <w:p>
      <w:pPr>
        <w:ind w:left="1049"/>
        <w:spacing w:before="106" w:line="350" w:lineRule="exact"/>
        <w:rPr>
          <w:rFonts w:ascii="Times New Roman" w:hAnsi="Times New Roman" w:eastAsia="Times New Roman" w:cs="Times New Roman"/>
          <w:sz w:val="18"/>
          <w:szCs w:val="18"/>
        </w:rPr>
      </w:pPr>
      <w:r>
        <w:rPr>
          <w:rFonts w:ascii="SimSun" w:hAnsi="SimSun" w:eastAsia="SimSun" w:cs="SimSun"/>
          <w:sz w:val="18"/>
          <w:szCs w:val="18"/>
          <w:spacing w:val="2"/>
          <w:position w:val="13"/>
        </w:rPr>
        <w:t>中国数字金融平台的积极作用：支持实体经济发展 </w:t>
      </w:r>
      <w:r>
        <w:rPr>
          <w:rFonts w:ascii="Times New Roman" w:hAnsi="Times New Roman" w:eastAsia="Times New Roman" w:cs="Times New Roman"/>
          <w:sz w:val="18"/>
          <w:szCs w:val="18"/>
          <w:spacing w:val="2"/>
          <w:position w:val="13"/>
        </w:rPr>
        <w:t>/207</w:t>
      </w:r>
    </w:p>
    <w:p>
      <w:pPr>
        <w:ind w:left="1049"/>
        <w:spacing w:before="1" w:line="219" w:lineRule="auto"/>
        <w:rPr>
          <w:rFonts w:ascii="Times New Roman" w:hAnsi="Times New Roman" w:eastAsia="Times New Roman" w:cs="Times New Roman"/>
          <w:sz w:val="18"/>
          <w:szCs w:val="18"/>
        </w:rPr>
      </w:pPr>
      <w:r>
        <w:rPr>
          <w:rFonts w:ascii="SimSun" w:hAnsi="SimSun" w:eastAsia="SimSun" w:cs="SimSun"/>
          <w:sz w:val="18"/>
          <w:szCs w:val="18"/>
          <w:spacing w:val="-1"/>
        </w:rPr>
        <w:t>数字金融平台的风险和问题</w:t>
      </w:r>
      <w:r>
        <w:rPr>
          <w:rFonts w:ascii="SimSun" w:hAnsi="SimSun" w:eastAsia="SimSun" w:cs="SimSun"/>
          <w:sz w:val="18"/>
          <w:szCs w:val="18"/>
          <w:spacing w:val="84"/>
        </w:rPr>
        <w:t xml:space="preserve"> </w:t>
      </w:r>
      <w:r>
        <w:rPr>
          <w:rFonts w:ascii="Times New Roman" w:hAnsi="Times New Roman" w:eastAsia="Times New Roman" w:cs="Times New Roman"/>
          <w:sz w:val="18"/>
          <w:szCs w:val="18"/>
          <w:spacing w:val="-1"/>
        </w:rPr>
        <w:t>/215</w:t>
      </w:r>
    </w:p>
    <w:p>
      <w:pPr>
        <w:ind w:left="1049"/>
        <w:spacing w:before="136" w:line="219" w:lineRule="auto"/>
        <w:rPr>
          <w:rFonts w:ascii="Times New Roman" w:hAnsi="Times New Roman" w:eastAsia="Times New Roman" w:cs="Times New Roman"/>
          <w:sz w:val="18"/>
          <w:szCs w:val="18"/>
        </w:rPr>
      </w:pPr>
      <w:r>
        <w:rPr>
          <w:rFonts w:ascii="SimSun" w:hAnsi="SimSun" w:eastAsia="SimSun" w:cs="SimSun"/>
          <w:sz w:val="18"/>
          <w:szCs w:val="18"/>
          <w:spacing w:val="1"/>
        </w:rPr>
        <w:t>数字金融平台的监管和政策建议</w:t>
      </w:r>
      <w:r>
        <w:rPr>
          <w:rFonts w:ascii="SimSun" w:hAnsi="SimSun" w:eastAsia="SimSun" w:cs="SimSun"/>
          <w:sz w:val="18"/>
          <w:szCs w:val="18"/>
          <w:spacing w:val="31"/>
        </w:rPr>
        <w:t xml:space="preserve"> </w:t>
      </w:r>
      <w:r>
        <w:rPr>
          <w:rFonts w:ascii="Times New Roman" w:hAnsi="Times New Roman" w:eastAsia="Times New Roman" w:cs="Times New Roman"/>
          <w:sz w:val="18"/>
          <w:szCs w:val="18"/>
          <w:spacing w:val="1"/>
        </w:rPr>
        <w:t>/221</w:t>
      </w:r>
    </w:p>
    <w:p>
      <w:pPr>
        <w:spacing w:line="219" w:lineRule="auto"/>
        <w:sectPr>
          <w:pgSz w:w="7470" w:h="12560"/>
          <w:pgMar w:top="244" w:right="1120" w:bottom="400" w:left="700" w:header="0" w:footer="0" w:gutter="0"/>
        </w:sectPr>
        <w:rPr>
          <w:rFonts w:ascii="Times New Roman" w:hAnsi="Times New Roman" w:eastAsia="Times New Roman" w:cs="Times New Roman"/>
          <w:sz w:val="18"/>
          <w:szCs w:val="18"/>
        </w:rPr>
      </w:pPr>
    </w:p>
    <w:p>
      <w:pPr>
        <w:spacing w:before="216" w:line="222" w:lineRule="auto"/>
        <w:jc w:val="right"/>
        <w:rPr>
          <w:sz w:val="18"/>
          <w:szCs w:val="18"/>
        </w:rPr>
      </w:pPr>
      <w:r>
        <w:rPr>
          <w:rFonts w:ascii="SimHei" w:hAnsi="SimHei" w:eastAsia="SimHei" w:cs="SimHei"/>
          <w:sz w:val="18"/>
          <w:szCs w:val="18"/>
          <w:spacing w:val="-31"/>
        </w:rPr>
        <w:t>目</w:t>
      </w:r>
      <w:r>
        <w:rPr>
          <w:rFonts w:ascii="SimHei" w:hAnsi="SimHei" w:eastAsia="SimHei" w:cs="SimHei"/>
          <w:sz w:val="18"/>
          <w:szCs w:val="18"/>
          <w:spacing w:val="-11"/>
        </w:rPr>
        <w:t xml:space="preserve"> </w:t>
      </w:r>
      <w:r>
        <w:rPr>
          <w:rFonts w:ascii="SimHei" w:hAnsi="SimHei" w:eastAsia="SimHei" w:cs="SimHei"/>
          <w:sz w:val="18"/>
          <w:szCs w:val="18"/>
          <w:spacing w:val="-31"/>
        </w:rPr>
        <w:t>录</w:t>
      </w:r>
      <w:r>
        <w:rPr>
          <w:rFonts w:ascii="SimHei" w:hAnsi="SimHei" w:eastAsia="SimHei" w:cs="SimHei"/>
          <w:sz w:val="18"/>
          <w:szCs w:val="18"/>
          <w:spacing w:val="1"/>
        </w:rPr>
        <w:t xml:space="preserve">                     </w:t>
      </w:r>
      <w:r>
        <w:rPr>
          <w:rFonts w:ascii="SimHei" w:hAnsi="SimHei" w:eastAsia="SimHei" w:cs="SimHei"/>
          <w:sz w:val="18"/>
          <w:szCs w:val="18"/>
        </w:rPr>
        <w:t xml:space="preserve">        </w:t>
      </w:r>
      <w:r>
        <w:rPr>
          <w:sz w:val="18"/>
          <w:szCs w:val="18"/>
          <w:position w:val="-1"/>
        </w:rPr>
        <w:drawing>
          <wp:inline distT="0" distB="0" distL="0" distR="0">
            <wp:extent cx="95243" cy="76204"/>
            <wp:effectExtent l="0" t="0" r="0" b="0"/>
            <wp:docPr id="32" name="IM 32"/>
            <wp:cNvGraphicFramePr/>
            <a:graphic>
              <a:graphicData uri="http://schemas.openxmlformats.org/drawingml/2006/picture">
                <pic:pic>
                  <pic:nvPicPr>
                    <pic:cNvPr id="32" name="IM 32"/>
                    <pic:cNvPicPr/>
                  </pic:nvPicPr>
                  <pic:blipFill>
                    <a:blip r:embed="rId19"/>
                    <a:stretch>
                      <a:fillRect/>
                    </a:stretch>
                  </pic:blipFill>
                  <pic:spPr>
                    <a:xfrm rot="0">
                      <a:off x="0" y="0"/>
                      <a:ext cx="95243" cy="76204"/>
                    </a:xfrm>
                    <a:prstGeom prst="rect">
                      <a:avLst/>
                    </a:prstGeom>
                  </pic:spPr>
                </pic:pic>
              </a:graphicData>
            </a:graphic>
          </wp:inline>
        </w:drawing>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059"/>
        <w:spacing w:before="72" w:line="221" w:lineRule="auto"/>
        <w:rPr>
          <w:rFonts w:ascii="SimHei" w:hAnsi="SimHei" w:eastAsia="SimHei" w:cs="SimHei"/>
          <w:sz w:val="22"/>
          <w:szCs w:val="22"/>
        </w:rPr>
      </w:pPr>
      <w:r>
        <w:pict>
          <v:shape id="_x0000_s8" style="position:absolute;margin-left:-1pt;margin-top:2.48355pt;mso-position-vertical-relative:text;mso-position-horizontal-relative:text;width:24.2pt;height:12.85pt;z-index:251753472;"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18"/>
                      <w:szCs w:val="18"/>
                    </w:rPr>
                  </w:pPr>
                  <w:r>
                    <w:rPr>
                      <w:rFonts w:ascii="YouYuan" w:hAnsi="YouYuan" w:eastAsia="YouYuan" w:cs="YouYuan"/>
                      <w:sz w:val="18"/>
                      <w:szCs w:val="18"/>
                      <w:spacing w:val="-5"/>
                      <w:w w:val="84"/>
                    </w:rPr>
                    <w:t>第七章</w:t>
                  </w:r>
                </w:p>
              </w:txbxContent>
            </v:textbox>
          </v:shape>
        </w:pict>
      </w:r>
      <w:r>
        <w:rPr>
          <w:rFonts w:ascii="SimHei" w:hAnsi="SimHei" w:eastAsia="SimHei" w:cs="SimHei"/>
          <w:sz w:val="22"/>
          <w:szCs w:val="22"/>
          <w:spacing w:val="1"/>
        </w:rPr>
        <w:t>数字经济治理：国际政治经济学视角</w:t>
      </w:r>
    </w:p>
    <w:p>
      <w:pPr>
        <w:pStyle w:val="BodyText"/>
        <w:spacing w:line="336" w:lineRule="auto"/>
        <w:rPr/>
      </w:pPr>
      <w:r/>
    </w:p>
    <w:p>
      <w:pPr>
        <w:ind w:left="1059"/>
        <w:spacing w:before="59" w:line="219" w:lineRule="auto"/>
        <w:rPr>
          <w:rFonts w:ascii="SimSun" w:hAnsi="SimSun" w:eastAsia="SimSun" w:cs="SimSun"/>
          <w:sz w:val="18"/>
          <w:szCs w:val="18"/>
        </w:rPr>
      </w:pPr>
      <w:r>
        <w:rPr>
          <w:rFonts w:ascii="SimSun" w:hAnsi="SimSun" w:eastAsia="SimSun" w:cs="SimSun"/>
          <w:sz w:val="18"/>
          <w:szCs w:val="18"/>
          <w:spacing w:val="13"/>
        </w:rPr>
        <w:t>数字经济的地缘政治/233</w:t>
      </w:r>
    </w:p>
    <w:p>
      <w:pPr>
        <w:ind w:left="1059"/>
        <w:spacing w:before="146" w:line="219" w:lineRule="auto"/>
        <w:rPr>
          <w:rFonts w:ascii="SimSun" w:hAnsi="SimSun" w:eastAsia="SimSun" w:cs="SimSun"/>
          <w:sz w:val="18"/>
          <w:szCs w:val="18"/>
        </w:rPr>
      </w:pPr>
      <w:r>
        <w:rPr>
          <w:rFonts w:ascii="SimSun" w:hAnsi="SimSun" w:eastAsia="SimSun" w:cs="SimSun"/>
          <w:sz w:val="18"/>
          <w:szCs w:val="18"/>
          <w:spacing w:val="-1"/>
        </w:rPr>
        <w:t>国际数字贸易规则</w:t>
      </w:r>
      <w:r>
        <w:rPr>
          <w:rFonts w:ascii="SimSun" w:hAnsi="SimSun" w:eastAsia="SimSun" w:cs="SimSun"/>
          <w:sz w:val="18"/>
          <w:szCs w:val="18"/>
          <w:spacing w:val="46"/>
        </w:rPr>
        <w:t xml:space="preserve"> </w:t>
      </w:r>
      <w:r>
        <w:rPr>
          <w:rFonts w:ascii="SimSun" w:hAnsi="SimSun" w:eastAsia="SimSun" w:cs="SimSun"/>
          <w:sz w:val="18"/>
          <w:szCs w:val="18"/>
          <w:spacing w:val="-1"/>
        </w:rPr>
        <w:t>/238</w:t>
      </w:r>
    </w:p>
    <w:p>
      <w:pPr>
        <w:ind w:left="1059"/>
        <w:spacing w:before="106" w:line="360" w:lineRule="exact"/>
        <w:rPr>
          <w:rFonts w:ascii="SimSun" w:hAnsi="SimSun" w:eastAsia="SimSun" w:cs="SimSun"/>
          <w:sz w:val="18"/>
          <w:szCs w:val="18"/>
        </w:rPr>
      </w:pPr>
      <w:r>
        <w:rPr>
          <w:rFonts w:ascii="SimSun" w:hAnsi="SimSun" w:eastAsia="SimSun" w:cs="SimSun"/>
          <w:sz w:val="18"/>
          <w:szCs w:val="18"/>
          <w:position w:val="13"/>
        </w:rPr>
        <w:t>发达国家的新一轮平台治理</w:t>
      </w:r>
      <w:r>
        <w:rPr>
          <w:rFonts w:ascii="SimSun" w:hAnsi="SimSun" w:eastAsia="SimSun" w:cs="SimSun"/>
          <w:sz w:val="18"/>
          <w:szCs w:val="18"/>
          <w:spacing w:val="84"/>
          <w:position w:val="13"/>
        </w:rPr>
        <w:t xml:space="preserve"> </w:t>
      </w:r>
      <w:r>
        <w:rPr>
          <w:rFonts w:ascii="SimSun" w:hAnsi="SimSun" w:eastAsia="SimSun" w:cs="SimSun"/>
          <w:sz w:val="18"/>
          <w:szCs w:val="18"/>
          <w:position w:val="13"/>
        </w:rPr>
        <w:t>/246</w:t>
      </w:r>
    </w:p>
    <w:p>
      <w:pPr>
        <w:ind w:left="1059"/>
        <w:spacing w:line="219" w:lineRule="auto"/>
        <w:rPr>
          <w:rFonts w:ascii="SimSun" w:hAnsi="SimSun" w:eastAsia="SimSun" w:cs="SimSun"/>
          <w:sz w:val="18"/>
          <w:szCs w:val="18"/>
        </w:rPr>
      </w:pPr>
      <w:r>
        <w:rPr>
          <w:rFonts w:ascii="SimSun" w:hAnsi="SimSun" w:eastAsia="SimSun" w:cs="SimSun"/>
          <w:sz w:val="18"/>
          <w:szCs w:val="18"/>
        </w:rPr>
        <w:t>中国数字经济治理的国际维度</w:t>
      </w:r>
      <w:r>
        <w:rPr>
          <w:rFonts w:ascii="SimSun" w:hAnsi="SimSun" w:eastAsia="SimSun" w:cs="SimSun"/>
          <w:sz w:val="18"/>
          <w:szCs w:val="18"/>
          <w:spacing w:val="54"/>
        </w:rPr>
        <w:t xml:space="preserve"> </w:t>
      </w:r>
      <w:r>
        <w:rPr>
          <w:rFonts w:ascii="SimSun" w:hAnsi="SimSun" w:eastAsia="SimSun" w:cs="SimSun"/>
          <w:sz w:val="18"/>
          <w:szCs w:val="18"/>
        </w:rPr>
        <w:t>/253</w:t>
      </w:r>
    </w:p>
    <w:p>
      <w:pPr>
        <w:pStyle w:val="BodyText"/>
        <w:spacing w:line="243" w:lineRule="auto"/>
        <w:rPr/>
      </w:pPr>
      <w:r/>
    </w:p>
    <w:p>
      <w:pPr>
        <w:pStyle w:val="BodyText"/>
        <w:spacing w:line="243" w:lineRule="auto"/>
        <w:rPr/>
      </w:pPr>
      <w:r/>
    </w:p>
    <w:p>
      <w:pPr>
        <w:pStyle w:val="BodyText"/>
        <w:spacing w:line="244" w:lineRule="auto"/>
        <w:rPr/>
      </w:pPr>
      <w:r/>
    </w:p>
    <w:p>
      <w:pPr>
        <w:ind w:left="1059"/>
        <w:spacing w:before="71" w:line="221" w:lineRule="auto"/>
        <w:rPr>
          <w:rFonts w:ascii="SimHei" w:hAnsi="SimHei" w:eastAsia="SimHei" w:cs="SimHei"/>
          <w:sz w:val="22"/>
          <w:szCs w:val="22"/>
        </w:rPr>
      </w:pPr>
      <w:r>
        <w:pict>
          <v:shape id="_x0000_s10" style="position:absolute;margin-left:0.499157pt;margin-top:2.94662pt;mso-position-vertical-relative:text;mso-position-horizontal-relative:text;width:25.2pt;height:12.85pt;z-index:251752448;"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18"/>
                      <w:szCs w:val="18"/>
                    </w:rPr>
                  </w:pPr>
                  <w:r>
                    <w:rPr>
                      <w:rFonts w:ascii="YouYuan" w:hAnsi="YouYuan" w:eastAsia="YouYuan" w:cs="YouYuan"/>
                      <w:sz w:val="18"/>
                      <w:szCs w:val="18"/>
                      <w:spacing w:val="-3"/>
                      <w:w w:val="87"/>
                    </w:rPr>
                    <w:t>第八章</w:t>
                  </w:r>
                </w:p>
              </w:txbxContent>
            </v:textbox>
          </v:shape>
        </w:pict>
      </w:r>
      <w:r>
        <w:rPr>
          <w:rFonts w:ascii="SimHei" w:hAnsi="SimHei" w:eastAsia="SimHei" w:cs="SimHei"/>
          <w:sz w:val="22"/>
          <w:szCs w:val="22"/>
          <w:spacing w:val="-2"/>
        </w:rPr>
        <w:t>平台的经济学分析</w:t>
      </w:r>
    </w:p>
    <w:p>
      <w:pPr>
        <w:pStyle w:val="BodyText"/>
        <w:spacing w:line="336" w:lineRule="auto"/>
        <w:rPr/>
      </w:pPr>
      <w:r/>
    </w:p>
    <w:p>
      <w:pPr>
        <w:ind w:left="1059"/>
        <w:spacing w:before="59" w:line="359" w:lineRule="exact"/>
        <w:rPr>
          <w:rFonts w:ascii="SimSun" w:hAnsi="SimSun" w:eastAsia="SimSun" w:cs="SimSun"/>
          <w:sz w:val="18"/>
          <w:szCs w:val="18"/>
        </w:rPr>
      </w:pPr>
      <w:r>
        <w:rPr>
          <w:rFonts w:ascii="SimSun" w:hAnsi="SimSun" w:eastAsia="SimSun" w:cs="SimSun"/>
          <w:sz w:val="18"/>
          <w:szCs w:val="18"/>
          <w:spacing w:val="12"/>
          <w:position w:val="13"/>
        </w:rPr>
        <w:t>关于平台的经济学理论/261</w:t>
      </w:r>
    </w:p>
    <w:p>
      <w:pPr>
        <w:ind w:left="1059"/>
        <w:spacing w:before="1" w:line="219" w:lineRule="auto"/>
        <w:rPr>
          <w:rFonts w:ascii="SimSun" w:hAnsi="SimSun" w:eastAsia="SimSun" w:cs="SimSun"/>
          <w:sz w:val="18"/>
          <w:szCs w:val="18"/>
        </w:rPr>
      </w:pPr>
      <w:r>
        <w:rPr>
          <w:rFonts w:ascii="SimSun" w:hAnsi="SimSun" w:eastAsia="SimSun" w:cs="SimSun"/>
          <w:sz w:val="18"/>
          <w:szCs w:val="18"/>
          <w:spacing w:val="-1"/>
        </w:rPr>
        <w:t>数字平台运行中的问题</w:t>
      </w:r>
      <w:r>
        <w:rPr>
          <w:rFonts w:ascii="SimSun" w:hAnsi="SimSun" w:eastAsia="SimSun" w:cs="SimSun"/>
          <w:sz w:val="18"/>
          <w:szCs w:val="18"/>
          <w:spacing w:val="78"/>
        </w:rPr>
        <w:t xml:space="preserve"> </w:t>
      </w:r>
      <w:r>
        <w:rPr>
          <w:rFonts w:ascii="SimSun" w:hAnsi="SimSun" w:eastAsia="SimSun" w:cs="SimSun"/>
          <w:sz w:val="18"/>
          <w:szCs w:val="18"/>
          <w:spacing w:val="-1"/>
        </w:rPr>
        <w:t>/275</w:t>
      </w:r>
    </w:p>
    <w:p>
      <w:pPr>
        <w:ind w:left="1059"/>
        <w:spacing w:before="115" w:line="361" w:lineRule="exact"/>
        <w:rPr>
          <w:rFonts w:ascii="SimSun" w:hAnsi="SimSun" w:eastAsia="SimSun" w:cs="SimSun"/>
          <w:sz w:val="18"/>
          <w:szCs w:val="18"/>
        </w:rPr>
      </w:pPr>
      <w:r>
        <w:rPr>
          <w:rFonts w:ascii="SimSun" w:hAnsi="SimSun" w:eastAsia="SimSun" w:cs="SimSun"/>
          <w:sz w:val="18"/>
          <w:szCs w:val="18"/>
          <w:spacing w:val="9"/>
          <w:position w:val="13"/>
        </w:rPr>
        <w:t>数字平台反垄断与规制中的几个问题/283</w:t>
      </w:r>
    </w:p>
    <w:p>
      <w:pPr>
        <w:ind w:left="1059"/>
        <w:spacing w:before="1" w:line="220" w:lineRule="auto"/>
        <w:rPr>
          <w:rFonts w:ascii="Times New Roman" w:hAnsi="Times New Roman" w:eastAsia="Times New Roman" w:cs="Times New Roman"/>
          <w:sz w:val="18"/>
          <w:szCs w:val="18"/>
        </w:rPr>
      </w:pPr>
      <w:r>
        <w:rPr>
          <w:rFonts w:ascii="SimSun" w:hAnsi="SimSun" w:eastAsia="SimSun" w:cs="SimSun"/>
          <w:sz w:val="18"/>
          <w:szCs w:val="18"/>
          <w:spacing w:val="3"/>
        </w:rPr>
        <w:t>政策建议</w:t>
      </w:r>
      <w:r>
        <w:rPr>
          <w:rFonts w:ascii="SimSun" w:hAnsi="SimSun" w:eastAsia="SimSun" w:cs="SimSun"/>
          <w:sz w:val="18"/>
          <w:szCs w:val="18"/>
          <w:spacing w:val="44"/>
        </w:rPr>
        <w:t xml:space="preserve"> </w:t>
      </w:r>
      <w:r>
        <w:rPr>
          <w:rFonts w:ascii="Times New Roman" w:hAnsi="Times New Roman" w:eastAsia="Times New Roman" w:cs="Times New Roman"/>
          <w:sz w:val="18"/>
          <w:szCs w:val="18"/>
          <w:spacing w:val="3"/>
        </w:rPr>
        <w:t>/300</w:t>
      </w:r>
    </w:p>
    <w:p>
      <w:pPr>
        <w:pStyle w:val="BodyText"/>
        <w:spacing w:line="359" w:lineRule="auto"/>
        <w:rPr/>
      </w:pPr>
      <w:r/>
    </w:p>
    <w:p>
      <w:pPr>
        <w:pStyle w:val="BodyText"/>
        <w:spacing w:line="360" w:lineRule="auto"/>
        <w:rPr/>
      </w:pPr>
      <w:r/>
    </w:p>
    <w:p>
      <w:pPr>
        <w:ind w:left="29"/>
        <w:spacing w:before="71" w:line="222" w:lineRule="auto"/>
        <w:rPr>
          <w:rFonts w:ascii="SimHei" w:hAnsi="SimHei" w:eastAsia="SimHei" w:cs="SimHei"/>
          <w:sz w:val="22"/>
          <w:szCs w:val="22"/>
        </w:rPr>
      </w:pPr>
      <w:r>
        <w:rPr>
          <w:rFonts w:ascii="YouYuan" w:hAnsi="YouYuan" w:eastAsia="YouYuan" w:cs="YouYuan"/>
          <w:sz w:val="18"/>
          <w:szCs w:val="18"/>
          <w:spacing w:val="-7"/>
          <w:position w:val="2"/>
        </w:rPr>
        <w:t>第九章</w:t>
      </w:r>
      <w:r>
        <w:rPr>
          <w:rFonts w:ascii="YouYuan" w:hAnsi="YouYuan" w:eastAsia="YouYuan" w:cs="YouYuan"/>
          <w:sz w:val="18"/>
          <w:szCs w:val="18"/>
          <w:spacing w:val="4"/>
          <w:position w:val="2"/>
        </w:rPr>
        <w:t xml:space="preserve">      </w:t>
      </w:r>
      <w:r>
        <w:rPr>
          <w:rFonts w:ascii="SimHei" w:hAnsi="SimHei" w:eastAsia="SimHei" w:cs="SimHei"/>
          <w:sz w:val="22"/>
          <w:szCs w:val="22"/>
          <w:spacing w:val="-7"/>
        </w:rPr>
        <w:t>平台经济中的数据治理</w:t>
      </w:r>
    </w:p>
    <w:p>
      <w:pPr>
        <w:pStyle w:val="BodyText"/>
        <w:spacing w:line="334" w:lineRule="auto"/>
        <w:rPr/>
      </w:pPr>
      <w:r/>
    </w:p>
    <w:p>
      <w:pPr>
        <w:pStyle w:val="BodyText"/>
        <w:ind w:left="1059"/>
        <w:spacing w:before="60" w:line="219" w:lineRule="auto"/>
        <w:rPr>
          <w:sz w:val="18"/>
          <w:szCs w:val="18"/>
        </w:rPr>
      </w:pPr>
      <w:r>
        <w:rPr>
          <w:rFonts w:ascii="SimSun" w:hAnsi="SimSun" w:eastAsia="SimSun" w:cs="SimSun"/>
          <w:sz w:val="18"/>
          <w:szCs w:val="18"/>
          <w:spacing w:val="1"/>
        </w:rPr>
        <w:t>数据生产要素的治理</w:t>
      </w:r>
      <w:r>
        <w:rPr>
          <w:rFonts w:ascii="SimSun" w:hAnsi="SimSun" w:eastAsia="SimSun" w:cs="SimSun"/>
          <w:sz w:val="18"/>
          <w:szCs w:val="18"/>
          <w:spacing w:val="55"/>
        </w:rPr>
        <w:t xml:space="preserve"> </w:t>
      </w:r>
      <w:r>
        <w:rPr>
          <w:rFonts w:ascii="Times New Roman" w:hAnsi="Times New Roman" w:eastAsia="Times New Roman" w:cs="Times New Roman"/>
          <w:sz w:val="18"/>
          <w:szCs w:val="18"/>
          <w:spacing w:val="1"/>
        </w:rPr>
        <w:t>/30</w:t>
      </w:r>
      <w:r>
        <w:rPr>
          <w:rFonts w:ascii="Times New Roman" w:hAnsi="Times New Roman" w:eastAsia="Times New Roman" w:cs="Times New Roman"/>
          <w:sz w:val="18"/>
          <w:szCs w:val="18"/>
          <w:spacing w:val="16"/>
        </w:rPr>
        <w:t xml:space="preserve"> </w:t>
      </w:r>
      <w:r>
        <w:rPr>
          <w:sz w:val="18"/>
          <w:szCs w:val="18"/>
          <w:spacing w:val="1"/>
        </w:rPr>
        <w:t>5</w:t>
      </w:r>
    </w:p>
    <w:p>
      <w:pPr>
        <w:ind w:left="1059"/>
        <w:spacing w:before="156" w:line="219" w:lineRule="auto"/>
        <w:rPr>
          <w:rFonts w:ascii="SimSun" w:hAnsi="SimSun" w:eastAsia="SimSun" w:cs="SimSun"/>
          <w:sz w:val="18"/>
          <w:szCs w:val="18"/>
        </w:rPr>
      </w:pPr>
      <w:r>
        <w:rPr>
          <w:rFonts w:ascii="SimSun" w:hAnsi="SimSun" w:eastAsia="SimSun" w:cs="SimSun"/>
          <w:sz w:val="18"/>
          <w:szCs w:val="18"/>
          <w:spacing w:val="-2"/>
        </w:rPr>
        <w:t>算法治理</w:t>
      </w:r>
      <w:r>
        <w:rPr>
          <w:rFonts w:ascii="SimSun" w:hAnsi="SimSun" w:eastAsia="SimSun" w:cs="SimSun"/>
          <w:sz w:val="18"/>
          <w:szCs w:val="18"/>
          <w:spacing w:val="70"/>
        </w:rPr>
        <w:t xml:space="preserve"> </w:t>
      </w:r>
      <w:r>
        <w:rPr>
          <w:rFonts w:ascii="SimSun" w:hAnsi="SimSun" w:eastAsia="SimSun" w:cs="SimSun"/>
          <w:sz w:val="18"/>
          <w:szCs w:val="18"/>
          <w:spacing w:val="-2"/>
        </w:rPr>
        <w:t>/311</w:t>
      </w:r>
    </w:p>
    <w:p>
      <w:pPr>
        <w:pStyle w:val="BodyText"/>
        <w:ind w:left="1059"/>
        <w:spacing w:before="96" w:line="350" w:lineRule="exact"/>
        <w:rPr>
          <w:rFonts w:ascii="Times New Roman" w:hAnsi="Times New Roman" w:eastAsia="Times New Roman" w:cs="Times New Roman"/>
          <w:sz w:val="18"/>
          <w:szCs w:val="18"/>
        </w:rPr>
      </w:pPr>
      <w:r>
        <w:rPr>
          <w:rFonts w:ascii="SimSun" w:hAnsi="SimSun" w:eastAsia="SimSun" w:cs="SimSun"/>
          <w:sz w:val="18"/>
          <w:szCs w:val="18"/>
          <w:spacing w:val="1"/>
          <w:position w:val="13"/>
        </w:rPr>
        <w:t>个人信息保护和数据安全</w:t>
      </w:r>
      <w:r>
        <w:rPr>
          <w:rFonts w:ascii="SimSun" w:hAnsi="SimSun" w:eastAsia="SimSun" w:cs="SimSun"/>
          <w:sz w:val="18"/>
          <w:szCs w:val="18"/>
          <w:spacing w:val="52"/>
          <w:position w:val="13"/>
        </w:rPr>
        <w:t xml:space="preserve"> </w:t>
      </w:r>
      <w:r>
        <w:rPr>
          <w:sz w:val="18"/>
          <w:szCs w:val="18"/>
          <w:spacing w:val="1"/>
          <w:position w:val="13"/>
        </w:rPr>
        <w:t>/32 </w:t>
      </w:r>
      <w:r>
        <w:rPr>
          <w:rFonts w:ascii="Times New Roman" w:hAnsi="Times New Roman" w:eastAsia="Times New Roman" w:cs="Times New Roman"/>
          <w:sz w:val="18"/>
          <w:szCs w:val="18"/>
          <w:spacing w:val="1"/>
          <w:position w:val="13"/>
        </w:rPr>
        <w:t>3</w:t>
      </w:r>
    </w:p>
    <w:p>
      <w:pPr>
        <w:ind w:left="1059"/>
        <w:spacing w:line="219" w:lineRule="auto"/>
        <w:rPr>
          <w:rFonts w:ascii="Times New Roman" w:hAnsi="Times New Roman" w:eastAsia="Times New Roman" w:cs="Times New Roman"/>
          <w:sz w:val="18"/>
          <w:szCs w:val="18"/>
        </w:rPr>
      </w:pPr>
      <w:r>
        <w:rPr>
          <w:rFonts w:ascii="SimSun" w:hAnsi="SimSun" w:eastAsia="SimSun" w:cs="SimSun"/>
          <w:sz w:val="18"/>
          <w:szCs w:val="18"/>
          <w:spacing w:val="1"/>
        </w:rPr>
        <w:t>数据治理的综合政策建议</w:t>
      </w:r>
      <w:r>
        <w:rPr>
          <w:rFonts w:ascii="SimSun" w:hAnsi="SimSun" w:eastAsia="SimSun" w:cs="SimSun"/>
          <w:sz w:val="18"/>
          <w:szCs w:val="18"/>
          <w:spacing w:val="43"/>
        </w:rPr>
        <w:t xml:space="preserve"> </w:t>
      </w:r>
      <w:r>
        <w:rPr>
          <w:rFonts w:ascii="Times New Roman" w:hAnsi="Times New Roman" w:eastAsia="Times New Roman" w:cs="Times New Roman"/>
          <w:sz w:val="18"/>
          <w:szCs w:val="18"/>
          <w:spacing w:val="1"/>
        </w:rPr>
        <w:t>/331</w:t>
      </w:r>
    </w:p>
    <w:p>
      <w:pPr>
        <w:pStyle w:val="BodyText"/>
        <w:spacing w:line="262" w:lineRule="auto"/>
        <w:rPr/>
      </w:pPr>
      <w:r/>
    </w:p>
    <w:p>
      <w:pPr>
        <w:pStyle w:val="BodyText"/>
        <w:spacing w:line="263" w:lineRule="auto"/>
        <w:rPr/>
      </w:pPr>
      <w:r/>
    </w:p>
    <w:p>
      <w:pPr>
        <w:pStyle w:val="BodyText"/>
        <w:spacing w:line="263" w:lineRule="auto"/>
        <w:rPr/>
      </w:pPr>
      <w:r/>
    </w:p>
    <w:p>
      <w:pPr>
        <w:ind w:left="1062"/>
        <w:spacing w:before="60" w:line="221" w:lineRule="auto"/>
        <w:rPr>
          <w:rFonts w:ascii="SimHei" w:hAnsi="SimHei" w:eastAsia="SimHei" w:cs="SimHei"/>
          <w:sz w:val="18"/>
          <w:szCs w:val="18"/>
        </w:rPr>
      </w:pPr>
      <w:r>
        <w:pict>
          <v:shape id="_x0000_s12" style="position:absolute;margin-left:0.499157pt;margin-top:0.532032pt;mso-position-vertical-relative:text;mso-position-horizontal-relative:text;width:25.2pt;height:12.85pt;z-index:251751424;" filled="false" stroked="false" type="#_x0000_t202">
            <v:fill on="false"/>
            <v:stroke on="false"/>
            <v:path/>
            <v:imagedata o:title=""/>
            <o:lock v:ext="edit" aspectratio="false"/>
            <v:textbox inset="0mm,0mm,0mm,0mm">
              <w:txbxContent>
                <w:p>
                  <w:pPr>
                    <w:spacing w:before="20" w:line="222" w:lineRule="auto"/>
                    <w:jc w:val="right"/>
                    <w:rPr>
                      <w:rFonts w:ascii="YouYuan" w:hAnsi="YouYuan" w:eastAsia="YouYuan" w:cs="YouYuan"/>
                      <w:sz w:val="18"/>
                      <w:szCs w:val="18"/>
                    </w:rPr>
                  </w:pPr>
                  <w:r>
                    <w:rPr>
                      <w:rFonts w:ascii="YouYuan" w:hAnsi="YouYuan" w:eastAsia="YouYuan" w:cs="YouYuan"/>
                      <w:sz w:val="18"/>
                      <w:szCs w:val="18"/>
                      <w:spacing w:val="-2"/>
                      <w:w w:val="86"/>
                    </w:rPr>
                    <w:t>第十章</w:t>
                  </w:r>
                </w:p>
              </w:txbxContent>
            </v:textbox>
          </v:shape>
        </w:pict>
      </w:r>
      <w:r>
        <w:rPr>
          <w:rFonts w:ascii="SimHei" w:hAnsi="SimHei" w:eastAsia="SimHei" w:cs="SimHei"/>
          <w:sz w:val="18"/>
          <w:szCs w:val="18"/>
          <w:b/>
          <w:bCs/>
          <w:spacing w:val="37"/>
        </w:rPr>
        <w:t>平台创新治理的数据与算法维度</w:t>
      </w:r>
    </w:p>
    <w:p>
      <w:pPr>
        <w:pStyle w:val="BodyText"/>
        <w:spacing w:line="347" w:lineRule="auto"/>
        <w:rPr/>
      </w:pPr>
      <w:r/>
    </w:p>
    <w:p>
      <w:pPr>
        <w:ind w:left="1059"/>
        <w:spacing w:before="59" w:line="370" w:lineRule="exact"/>
        <w:rPr>
          <w:rFonts w:ascii="SimSun" w:hAnsi="SimSun" w:eastAsia="SimSun" w:cs="SimSun"/>
          <w:sz w:val="18"/>
          <w:szCs w:val="18"/>
        </w:rPr>
      </w:pPr>
      <w:r>
        <w:rPr>
          <w:rFonts w:ascii="SimSun" w:hAnsi="SimSun" w:eastAsia="SimSun" w:cs="SimSun"/>
          <w:sz w:val="18"/>
          <w:szCs w:val="18"/>
          <w:spacing w:val="8"/>
          <w:position w:val="14"/>
        </w:rPr>
        <w:t>数字时代平台经济的创新发展与法律挑战/337</w:t>
      </w:r>
    </w:p>
    <w:p>
      <w:pPr>
        <w:ind w:left="1059"/>
        <w:spacing w:before="1" w:line="219" w:lineRule="auto"/>
        <w:rPr>
          <w:rFonts w:ascii="SimSun" w:hAnsi="SimSun" w:eastAsia="SimSun" w:cs="SimSun"/>
          <w:sz w:val="18"/>
          <w:szCs w:val="18"/>
        </w:rPr>
      </w:pPr>
      <w:r>
        <w:rPr>
          <w:rFonts w:ascii="SimSun" w:hAnsi="SimSun" w:eastAsia="SimSun" w:cs="SimSun"/>
          <w:sz w:val="18"/>
          <w:szCs w:val="18"/>
        </w:rPr>
        <w:t>平台经济中数据的法律治理</w:t>
      </w:r>
      <w:r>
        <w:rPr>
          <w:rFonts w:ascii="SimSun" w:hAnsi="SimSun" w:eastAsia="SimSun" w:cs="SimSun"/>
          <w:sz w:val="18"/>
          <w:szCs w:val="18"/>
          <w:spacing w:val="64"/>
        </w:rPr>
        <w:t xml:space="preserve"> </w:t>
      </w:r>
      <w:r>
        <w:rPr>
          <w:rFonts w:ascii="SimSun" w:hAnsi="SimSun" w:eastAsia="SimSun" w:cs="SimSun"/>
          <w:sz w:val="18"/>
          <w:szCs w:val="18"/>
        </w:rPr>
        <w:t>/345</w:t>
      </w:r>
    </w:p>
    <w:p>
      <w:pPr>
        <w:spacing w:line="219" w:lineRule="auto"/>
        <w:sectPr>
          <w:pgSz w:w="7440" w:h="12540"/>
          <w:pgMar w:top="400" w:right="859" w:bottom="400" w:left="610" w:header="0" w:footer="0" w:gutter="0"/>
        </w:sectPr>
        <w:rPr>
          <w:rFonts w:ascii="SimSun" w:hAnsi="SimSun" w:eastAsia="SimSun" w:cs="SimSun"/>
          <w:sz w:val="18"/>
          <w:szCs w:val="18"/>
        </w:rPr>
      </w:pPr>
    </w:p>
    <w:p>
      <w:pPr>
        <w:ind w:left="81"/>
        <w:spacing w:line="220" w:lineRule="auto"/>
        <w:rPr>
          <w:rFonts w:ascii="YouYuan" w:hAnsi="YouYuan" w:eastAsia="YouYuan" w:cs="YouYuan"/>
          <w:sz w:val="16"/>
          <w:szCs w:val="16"/>
        </w:rPr>
      </w:pPr>
      <w:r>
        <mc:AlternateContent xmlns:mc="http://schemas.openxmlformats.org/markup-compatibility/2006">
          <mc:Choice Requires="wps">
            <w:drawing>
              <wp:anchor distT="0" distB="0" distL="0" distR="0" simplePos="0" relativeHeight="251762688" behindDoc="0" locked="0" layoutInCell="0" allowOverlap="1">
                <wp:simplePos x="0" y="0"/>
                <wp:positionH relativeFrom="page">
                  <wp:posOffset>547940</wp:posOffset>
                </wp:positionH>
                <wp:positionV relativeFrom="page">
                  <wp:posOffset>5124263</wp:posOffset>
                </wp:positionV>
                <wp:extent cx="62864" cy="75564"/>
                <wp:effectExtent l="0" t="0" r="0" b="0"/>
                <wp:wrapNone/>
                <wp:docPr id="34" name="TextBox 34"/>
                <wp:cNvGraphicFramePr/>
                <a:graphic>
                  <a:graphicData uri="http://schemas.microsoft.com/office/word/2010/wordprocessingShape">
                    <wps:wsp>
                      <wps:cNvSpPr txBox="1"/>
                      <wps:spPr>
                        <a:xfrm rot="5400000">
                          <a:off x="547940" y="5124263"/>
                          <a:ext cx="62864" cy="755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8" w:line="40" w:lineRule="exact"/>
                              <w:rPr>
                                <w:rFonts w:ascii="SimSun" w:hAnsi="SimSun" w:eastAsia="SimSun" w:cs="SimSun"/>
                                <w:sz w:val="6"/>
                                <w:szCs w:val="6"/>
                              </w:rPr>
                            </w:pPr>
                            <w:r>
                              <w:rPr>
                                <w:rFonts w:ascii="SimSun" w:hAnsi="SimSun" w:eastAsia="SimSun" w:cs="SimSun"/>
                                <w:sz w:val="6"/>
                                <w:szCs w:val="6"/>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43.1449pt;margin-top:403.485pt;mso-position-vertical-relative:page;mso-position-horizontal-relative:page;width:4.95pt;height:5.95pt;z-index:251762688;rotation:90;" o:allowincell="f" filled="false" stroked="false" type="#_x0000_t202">
                <v:fill on="false"/>
                <v:stroke on="false"/>
                <v:path/>
                <v:imagedata o:title=""/>
                <o:lock v:ext="edit" aspectratio="false"/>
                <v:textbox inset="0mm,0mm,0mm,0mm">
                  <w:txbxContent>
                    <w:p>
                      <w:pPr>
                        <w:ind w:left="20"/>
                        <w:spacing w:before="58" w:line="40" w:lineRule="exact"/>
                        <w:rPr>
                          <w:rFonts w:ascii="SimSun" w:hAnsi="SimSun" w:eastAsia="SimSun" w:cs="SimSun"/>
                          <w:sz w:val="6"/>
                          <w:szCs w:val="6"/>
                        </w:rPr>
                      </w:pPr>
                      <w:r>
                        <w:rPr>
                          <w:rFonts w:ascii="SimSun" w:hAnsi="SimSun" w:eastAsia="SimSun" w:cs="SimSun"/>
                          <w:sz w:val="6"/>
                          <w:szCs w:val="6"/>
                          <w:position w:val="-1"/>
                        </w:rPr>
                        <w:t>—</w:t>
                      </w:r>
                    </w:p>
                  </w:txbxContent>
                </v:textbox>
              </v:shape>
            </w:pict>
          </mc:Fallback>
        </mc:AlternateContent>
      </w:r>
      <w:r>
        <w:rPr>
          <w:rFonts w:ascii="Times New Roman" w:hAnsi="Times New Roman" w:eastAsia="Times New Roman" w:cs="Times New Roman"/>
          <w:sz w:val="16"/>
          <w:szCs w:val="16"/>
          <w:spacing w:val="-2"/>
          <w:position w:val="-2"/>
        </w:rPr>
        <w:t>IV                                   </w:t>
      </w:r>
      <w:r>
        <w:rPr>
          <w:rFonts w:ascii="Times New Roman" w:hAnsi="Times New Roman" w:eastAsia="Times New Roman" w:cs="Times New Roman"/>
          <w:sz w:val="16"/>
          <w:szCs w:val="16"/>
          <w:spacing w:val="-3"/>
          <w:position w:val="-2"/>
        </w:rPr>
        <w:t xml:space="preserve">          </w:t>
      </w:r>
      <w:r>
        <w:rPr>
          <w:rFonts w:ascii="YouYuan" w:hAnsi="YouYuan" w:eastAsia="YouYuan" w:cs="YouYuan"/>
          <w:sz w:val="16"/>
          <w:szCs w:val="16"/>
          <w:spacing w:val="-3"/>
        </w:rPr>
        <w:t>平台经济——创新、治理与繁荣</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151"/>
        <w:spacing w:before="62" w:line="351" w:lineRule="exact"/>
        <w:rPr>
          <w:rFonts w:ascii="SimSun" w:hAnsi="SimSun" w:eastAsia="SimSun" w:cs="SimSun"/>
          <w:sz w:val="19"/>
          <w:szCs w:val="19"/>
        </w:rPr>
      </w:pPr>
      <w:r>
        <w:rPr>
          <w:rFonts w:ascii="SimSun" w:hAnsi="SimSun" w:eastAsia="SimSun" w:cs="SimSun"/>
          <w:sz w:val="19"/>
          <w:szCs w:val="19"/>
          <w:spacing w:val="1"/>
          <w:position w:val="12"/>
        </w:rPr>
        <w:t>平台经济中算法的法律治理/354</w:t>
      </w:r>
    </w:p>
    <w:p>
      <w:pPr>
        <w:ind w:left="1151"/>
        <w:spacing w:line="220" w:lineRule="auto"/>
        <w:rPr>
          <w:rFonts w:ascii="SimSun" w:hAnsi="SimSun" w:eastAsia="SimSun" w:cs="SimSun"/>
          <w:sz w:val="19"/>
          <w:szCs w:val="19"/>
        </w:rPr>
      </w:pPr>
      <w:r>
        <w:rPr>
          <w:rFonts w:ascii="SimSun" w:hAnsi="SimSun" w:eastAsia="SimSun" w:cs="SimSun"/>
          <w:sz w:val="19"/>
          <w:szCs w:val="19"/>
          <w:spacing w:val="-8"/>
        </w:rPr>
        <w:t>方案与对策</w:t>
      </w:r>
      <w:r>
        <w:rPr>
          <w:rFonts w:ascii="SimSun" w:hAnsi="SimSun" w:eastAsia="SimSun" w:cs="SimSun"/>
          <w:sz w:val="19"/>
          <w:szCs w:val="19"/>
          <w:spacing w:val="51"/>
        </w:rPr>
        <w:t xml:space="preserve"> </w:t>
      </w:r>
      <w:r>
        <w:rPr>
          <w:rFonts w:ascii="SimSun" w:hAnsi="SimSun" w:eastAsia="SimSun" w:cs="SimSun"/>
          <w:sz w:val="19"/>
          <w:szCs w:val="19"/>
          <w:spacing w:val="-8"/>
        </w:rPr>
        <w:t>/362</w:t>
      </w:r>
    </w:p>
    <w:p>
      <w:pPr>
        <w:pStyle w:val="BodyText"/>
        <w:spacing w:line="258" w:lineRule="auto"/>
        <w:rPr/>
      </w:pPr>
      <w:r/>
    </w:p>
    <w:p>
      <w:pPr>
        <w:pStyle w:val="BodyText"/>
        <w:spacing w:line="258" w:lineRule="auto"/>
        <w:rPr/>
      </w:pPr>
      <w:r/>
    </w:p>
    <w:p>
      <w:pPr>
        <w:pStyle w:val="BodyText"/>
        <w:spacing w:line="258" w:lineRule="auto"/>
        <w:rPr/>
      </w:pPr>
      <w:r/>
    </w:p>
    <w:p>
      <w:pPr>
        <w:ind w:left="1151"/>
        <w:spacing w:before="62" w:line="221" w:lineRule="auto"/>
        <w:rPr>
          <w:rFonts w:ascii="SimHei" w:hAnsi="SimHei" w:eastAsia="SimHei" w:cs="SimHei"/>
          <w:sz w:val="19"/>
          <w:szCs w:val="19"/>
        </w:rPr>
      </w:pPr>
      <w:r>
        <w:pict>
          <v:shape id="_x0000_s16" style="position:absolute;margin-left:3.074pt;margin-top:1.56974pt;mso-position-vertical-relative:text;mso-position-horizontal-relative:text;width:33.95pt;height:11.65pt;z-index:251761664;" filled="false" stroked="false" type="#_x0000_t202">
            <v:fill on="false"/>
            <v:stroke on="false"/>
            <v:path/>
            <v:imagedata o:title=""/>
            <o:lock v:ext="edit" aspectratio="false"/>
            <v:textbox inset="0mm,0mm,0mm,0mm">
              <w:txbxContent>
                <w:p>
                  <w:pPr>
                    <w:ind w:left="20"/>
                    <w:spacing w:before="20" w:line="222" w:lineRule="auto"/>
                    <w:rPr>
                      <w:rFonts w:ascii="YouYuan" w:hAnsi="YouYuan" w:eastAsia="YouYuan" w:cs="YouYuan"/>
                      <w:sz w:val="16"/>
                      <w:szCs w:val="16"/>
                    </w:rPr>
                  </w:pPr>
                  <w:r>
                    <w:rPr>
                      <w:rFonts w:ascii="YouYuan" w:hAnsi="YouYuan" w:eastAsia="YouYuan" w:cs="YouYuan"/>
                      <w:sz w:val="16"/>
                      <w:szCs w:val="16"/>
                      <w:spacing w:val="-1"/>
                    </w:rPr>
                    <w:t>第十一章</w:t>
                  </w:r>
                </w:p>
              </w:txbxContent>
            </v:textbox>
          </v:shape>
        </w:pict>
      </w:r>
      <w:r>
        <w:rPr>
          <w:rFonts w:ascii="SimHei" w:hAnsi="SimHei" w:eastAsia="SimHei" w:cs="SimHei"/>
          <w:sz w:val="19"/>
          <w:szCs w:val="19"/>
          <w:spacing w:val="28"/>
        </w:rPr>
        <w:t>平台的挑战与失焦的监管</w:t>
      </w:r>
    </w:p>
    <w:p>
      <w:pPr>
        <w:pStyle w:val="BodyText"/>
        <w:spacing w:line="330" w:lineRule="auto"/>
        <w:rPr/>
      </w:pPr>
      <w:r/>
    </w:p>
    <w:p>
      <w:pPr>
        <w:ind w:left="1151"/>
        <w:spacing w:before="62" w:line="219" w:lineRule="auto"/>
        <w:rPr>
          <w:rFonts w:ascii="Times New Roman" w:hAnsi="Times New Roman" w:eastAsia="Times New Roman" w:cs="Times New Roman"/>
          <w:sz w:val="19"/>
          <w:szCs w:val="19"/>
        </w:rPr>
      </w:pPr>
      <w:r>
        <w:rPr>
          <w:rFonts w:ascii="SimSun" w:hAnsi="SimSun" w:eastAsia="SimSun" w:cs="SimSun"/>
          <w:sz w:val="19"/>
          <w:szCs w:val="19"/>
          <w:spacing w:val="-8"/>
        </w:rPr>
        <w:t>平台现行的多维度、多部门监管现状</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8"/>
        </w:rPr>
        <w:t>/373</w:t>
      </w:r>
    </w:p>
    <w:p>
      <w:pPr>
        <w:ind w:left="1151"/>
        <w:spacing w:before="114" w:line="340" w:lineRule="exact"/>
        <w:rPr>
          <w:rFonts w:ascii="SimSun" w:hAnsi="SimSun" w:eastAsia="SimSun" w:cs="SimSun"/>
          <w:sz w:val="19"/>
          <w:szCs w:val="19"/>
        </w:rPr>
      </w:pPr>
      <w:r>
        <w:rPr>
          <w:rFonts w:ascii="SimSun" w:hAnsi="SimSun" w:eastAsia="SimSun" w:cs="SimSun"/>
          <w:sz w:val="19"/>
          <w:szCs w:val="19"/>
          <w:spacing w:val="1"/>
          <w:position w:val="11"/>
        </w:rPr>
        <w:t>平台反垄断的执法现状和焦点/391</w:t>
      </w:r>
    </w:p>
    <w:p>
      <w:pPr>
        <w:ind w:left="1151"/>
        <w:spacing w:line="219" w:lineRule="auto"/>
        <w:rPr>
          <w:rFonts w:ascii="SimSun" w:hAnsi="SimSun" w:eastAsia="SimSun" w:cs="SimSun"/>
          <w:sz w:val="19"/>
          <w:szCs w:val="19"/>
        </w:rPr>
      </w:pPr>
      <w:r>
        <w:rPr>
          <w:rFonts w:ascii="SimSun" w:hAnsi="SimSun" w:eastAsia="SimSun" w:cs="SimSun"/>
          <w:sz w:val="19"/>
          <w:szCs w:val="19"/>
          <w:spacing w:val="-1"/>
        </w:rPr>
        <w:t>平台对监管与反垄断二分的挑战/400</w:t>
      </w:r>
    </w:p>
    <w:p>
      <w:pPr>
        <w:ind w:left="1151"/>
        <w:spacing w:before="115" w:line="220" w:lineRule="auto"/>
        <w:rPr>
          <w:rFonts w:ascii="SimSun" w:hAnsi="SimSun" w:eastAsia="SimSun" w:cs="SimSun"/>
          <w:sz w:val="19"/>
          <w:szCs w:val="19"/>
        </w:rPr>
      </w:pPr>
      <w:r>
        <w:rPr>
          <w:rFonts w:ascii="SimSun" w:hAnsi="SimSun" w:eastAsia="SimSun" w:cs="SimSun"/>
          <w:sz w:val="19"/>
          <w:szCs w:val="19"/>
          <w:spacing w:val="-8"/>
        </w:rPr>
        <w:t>结论与建议</w:t>
      </w:r>
      <w:r>
        <w:rPr>
          <w:rFonts w:ascii="SimSun" w:hAnsi="SimSun" w:eastAsia="SimSun" w:cs="SimSun"/>
          <w:sz w:val="19"/>
          <w:szCs w:val="19"/>
          <w:spacing w:val="51"/>
        </w:rPr>
        <w:t xml:space="preserve"> </w:t>
      </w:r>
      <w:r>
        <w:rPr>
          <w:rFonts w:ascii="SimSun" w:hAnsi="SimSun" w:eastAsia="SimSun" w:cs="SimSun"/>
          <w:sz w:val="19"/>
          <w:szCs w:val="19"/>
          <w:spacing w:val="-8"/>
        </w:rPr>
        <w:t>/405</w:t>
      </w:r>
    </w:p>
    <w:p>
      <w:pPr>
        <w:spacing w:before="23"/>
        <w:rPr/>
      </w:pPr>
      <w:r/>
    </w:p>
    <w:p>
      <w:pPr>
        <w:spacing w:before="22"/>
        <w:rPr/>
      </w:pPr>
      <w:r/>
    </w:p>
    <w:p>
      <w:pPr>
        <w:spacing w:before="22"/>
        <w:rPr/>
      </w:pPr>
      <w:r/>
    </w:p>
    <w:p>
      <w:pPr>
        <w:sectPr>
          <w:pgSz w:w="7330" w:h="12480"/>
          <w:pgMar w:top="313" w:right="1099" w:bottom="400" w:left="498" w:header="0" w:footer="0" w:gutter="0"/>
          <w:cols w:equalWidth="0" w:num="1">
            <w:col w:w="5732" w:space="0"/>
          </w:cols>
        </w:sectPr>
        <w:rPr/>
      </w:pPr>
    </w:p>
    <w:p>
      <w:pPr>
        <w:ind w:left="81"/>
        <w:spacing w:before="39" w:line="222" w:lineRule="auto"/>
        <w:rPr>
          <w:rFonts w:ascii="YouYuan" w:hAnsi="YouYuan" w:eastAsia="YouYuan" w:cs="YouYuan"/>
          <w:sz w:val="16"/>
          <w:szCs w:val="16"/>
        </w:rPr>
      </w:pPr>
      <w:r>
        <w:rPr>
          <w:rFonts w:ascii="YouYuan" w:hAnsi="YouYuan" w:eastAsia="YouYuan" w:cs="YouYuan"/>
          <w:sz w:val="16"/>
          <w:szCs w:val="16"/>
          <w:spacing w:val="-1"/>
        </w:rPr>
        <w:t>第十二章</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81"/>
        <w:spacing w:before="53" w:line="222" w:lineRule="auto"/>
        <w:rPr>
          <w:rFonts w:ascii="SimHei" w:hAnsi="SimHei" w:eastAsia="SimHei" w:cs="SimHei"/>
          <w:sz w:val="16"/>
          <w:szCs w:val="16"/>
        </w:rPr>
      </w:pPr>
      <w:r>
        <w:rPr>
          <w:rFonts w:ascii="SimHei" w:hAnsi="SimHei" w:eastAsia="SimHei" w:cs="SimHei"/>
          <w:sz w:val="16"/>
          <w:szCs w:val="16"/>
          <w:spacing w:val="-2"/>
        </w:rPr>
        <w:t>第十三章</w:t>
      </w:r>
    </w:p>
    <w:p>
      <w:pPr>
        <w:pStyle w:val="BodyText"/>
        <w:spacing w:line="14" w:lineRule="auto"/>
        <w:rPr>
          <w:sz w:val="2"/>
        </w:rPr>
      </w:pPr>
      <w:r>
        <w:rPr>
          <w:sz w:val="2"/>
          <w:szCs w:val="2"/>
        </w:rPr>
        <w:br w:type="column"/>
      </w:r>
    </w:p>
    <w:p>
      <w:pPr>
        <w:spacing w:before="60" w:line="222" w:lineRule="auto"/>
        <w:rPr>
          <w:rFonts w:ascii="SimHei" w:hAnsi="SimHei" w:eastAsia="SimHei" w:cs="SimHei"/>
          <w:sz w:val="19"/>
          <w:szCs w:val="19"/>
        </w:rPr>
      </w:pPr>
      <w:r>
        <w:rPr>
          <w:rFonts w:ascii="SimHei" w:hAnsi="SimHei" w:eastAsia="SimHei" w:cs="SimHei"/>
          <w:sz w:val="19"/>
          <w:szCs w:val="19"/>
          <w:spacing w:val="29"/>
        </w:rPr>
        <w:t>平台的反垄断挑战</w:t>
      </w:r>
    </w:p>
    <w:p>
      <w:pPr>
        <w:pStyle w:val="BodyText"/>
        <w:spacing w:line="327" w:lineRule="auto"/>
        <w:rPr/>
      </w:pPr>
      <w:r/>
    </w:p>
    <w:p>
      <w:pPr>
        <w:spacing w:before="63" w:line="219" w:lineRule="auto"/>
        <w:rPr>
          <w:rFonts w:ascii="SimSun" w:hAnsi="SimSun" w:eastAsia="SimSun" w:cs="SimSun"/>
          <w:sz w:val="19"/>
          <w:szCs w:val="19"/>
        </w:rPr>
      </w:pPr>
      <w:r>
        <w:rPr>
          <w:rFonts w:ascii="SimSun" w:hAnsi="SimSun" w:eastAsia="SimSun" w:cs="SimSun"/>
          <w:sz w:val="19"/>
          <w:szCs w:val="19"/>
          <w:spacing w:val="7"/>
        </w:rPr>
        <w:t>平台的竞争特点/413</w:t>
      </w:r>
    </w:p>
    <w:p>
      <w:pPr>
        <w:spacing w:before="114" w:line="340" w:lineRule="exact"/>
        <w:rPr>
          <w:rFonts w:ascii="SimSun" w:hAnsi="SimSun" w:eastAsia="SimSun" w:cs="SimSun"/>
          <w:sz w:val="19"/>
          <w:szCs w:val="19"/>
        </w:rPr>
      </w:pPr>
      <w:r>
        <w:rPr>
          <w:rFonts w:ascii="SimSun" w:hAnsi="SimSun" w:eastAsia="SimSun" w:cs="SimSun"/>
          <w:sz w:val="19"/>
          <w:szCs w:val="19"/>
          <w:spacing w:val="4"/>
          <w:position w:val="11"/>
        </w:rPr>
        <w:t>反垄断法下的平台竞争/418</w:t>
      </w:r>
    </w:p>
    <w:p>
      <w:pPr>
        <w:spacing w:line="219" w:lineRule="auto"/>
        <w:rPr>
          <w:rFonts w:ascii="SimSun" w:hAnsi="SimSun" w:eastAsia="SimSun" w:cs="SimSun"/>
          <w:sz w:val="19"/>
          <w:szCs w:val="19"/>
        </w:rPr>
      </w:pPr>
      <w:r>
        <w:rPr>
          <w:rFonts w:ascii="SimSun" w:hAnsi="SimSun" w:eastAsia="SimSun" w:cs="SimSun"/>
          <w:sz w:val="19"/>
          <w:szCs w:val="19"/>
          <w:spacing w:val="-8"/>
        </w:rPr>
        <w:t>平台领域的合并控制</w:t>
      </w:r>
      <w:r>
        <w:rPr>
          <w:rFonts w:ascii="SimSun" w:hAnsi="SimSun" w:eastAsia="SimSun" w:cs="SimSun"/>
          <w:sz w:val="19"/>
          <w:szCs w:val="19"/>
          <w:spacing w:val="43"/>
        </w:rPr>
        <w:t xml:space="preserve"> </w:t>
      </w:r>
      <w:r>
        <w:rPr>
          <w:rFonts w:ascii="SimSun" w:hAnsi="SimSun" w:eastAsia="SimSun" w:cs="SimSun"/>
          <w:sz w:val="19"/>
          <w:szCs w:val="19"/>
          <w:spacing w:val="-8"/>
        </w:rPr>
        <w:t>/435</w:t>
      </w:r>
    </w:p>
    <w:p>
      <w:pPr>
        <w:spacing w:before="115" w:line="220" w:lineRule="auto"/>
        <w:rPr>
          <w:rFonts w:ascii="SimSun" w:hAnsi="SimSun" w:eastAsia="SimSun" w:cs="SimSun"/>
          <w:sz w:val="19"/>
          <w:szCs w:val="19"/>
        </w:rPr>
      </w:pPr>
      <w:r>
        <w:rPr>
          <w:rFonts w:ascii="SimSun" w:hAnsi="SimSun" w:eastAsia="SimSun" w:cs="SimSun"/>
          <w:sz w:val="19"/>
          <w:szCs w:val="19"/>
          <w:spacing w:val="-8"/>
        </w:rPr>
        <w:t>结论与建议</w:t>
      </w:r>
      <w:r>
        <w:rPr>
          <w:rFonts w:ascii="SimSun" w:hAnsi="SimSun" w:eastAsia="SimSun" w:cs="SimSun"/>
          <w:sz w:val="19"/>
          <w:szCs w:val="19"/>
          <w:spacing w:val="60"/>
          <w:w w:val="101"/>
        </w:rPr>
        <w:t xml:space="preserve"> </w:t>
      </w:r>
      <w:r>
        <w:rPr>
          <w:rFonts w:ascii="SimSun" w:hAnsi="SimSun" w:eastAsia="SimSun" w:cs="SimSun"/>
          <w:sz w:val="19"/>
          <w:szCs w:val="19"/>
          <w:spacing w:val="-8"/>
        </w:rPr>
        <w:t>/442</w:t>
      </w:r>
    </w:p>
    <w:p>
      <w:pPr>
        <w:pStyle w:val="BodyText"/>
        <w:spacing w:line="258" w:lineRule="auto"/>
        <w:rPr/>
      </w:pPr>
      <w:r/>
    </w:p>
    <w:p>
      <w:pPr>
        <w:pStyle w:val="BodyText"/>
        <w:spacing w:line="258" w:lineRule="auto"/>
        <w:rPr/>
      </w:pPr>
      <w:r/>
    </w:p>
    <w:p>
      <w:pPr>
        <w:pStyle w:val="BodyText"/>
        <w:spacing w:line="259" w:lineRule="auto"/>
        <w:rPr/>
      </w:pPr>
      <w:r/>
    </w:p>
    <w:p>
      <w:pPr>
        <w:spacing w:before="62" w:line="222" w:lineRule="auto"/>
        <w:rPr>
          <w:rFonts w:ascii="SimHei" w:hAnsi="SimHei" w:eastAsia="SimHei" w:cs="SimHei"/>
          <w:sz w:val="19"/>
          <w:szCs w:val="19"/>
        </w:rPr>
      </w:pPr>
      <w:r>
        <w:rPr>
          <w:rFonts w:ascii="SimHei" w:hAnsi="SimHei" w:eastAsia="SimHei" w:cs="SimHei"/>
          <w:sz w:val="19"/>
          <w:szCs w:val="19"/>
          <w:spacing w:val="29"/>
        </w:rPr>
        <w:t>回应型监管和未来数字经济法的框架</w:t>
      </w:r>
    </w:p>
    <w:p>
      <w:pPr>
        <w:pStyle w:val="BodyText"/>
        <w:spacing w:line="339"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8"/>
        </w:rPr>
        <w:t>域外平台监管模式汇总</w:t>
      </w:r>
      <w:r>
        <w:rPr>
          <w:rFonts w:ascii="SimSun" w:hAnsi="SimSun" w:eastAsia="SimSun" w:cs="SimSun"/>
          <w:sz w:val="19"/>
          <w:szCs w:val="19"/>
          <w:spacing w:val="51"/>
        </w:rPr>
        <w:t xml:space="preserve"> </w:t>
      </w:r>
      <w:r>
        <w:rPr>
          <w:rFonts w:ascii="SimSun" w:hAnsi="SimSun" w:eastAsia="SimSun" w:cs="SimSun"/>
          <w:sz w:val="19"/>
          <w:szCs w:val="19"/>
          <w:spacing w:val="-8"/>
        </w:rPr>
        <w:t>/447</w:t>
      </w:r>
    </w:p>
    <w:p>
      <w:pPr>
        <w:spacing w:before="104" w:line="350" w:lineRule="exact"/>
        <w:rPr>
          <w:rFonts w:ascii="SimSun" w:hAnsi="SimSun" w:eastAsia="SimSun" w:cs="SimSun"/>
          <w:sz w:val="19"/>
          <w:szCs w:val="19"/>
        </w:rPr>
      </w:pPr>
      <w:r>
        <w:rPr>
          <w:rFonts w:ascii="SimSun" w:hAnsi="SimSun" w:eastAsia="SimSun" w:cs="SimSun"/>
          <w:sz w:val="19"/>
          <w:szCs w:val="19"/>
          <w:spacing w:val="-1"/>
          <w:position w:val="12"/>
        </w:rPr>
        <w:t>平台监管权力的横向和纵向配置/458</w:t>
      </w:r>
    </w:p>
    <w:p>
      <w:pPr>
        <w:spacing w:before="1" w:line="219" w:lineRule="auto"/>
        <w:rPr>
          <w:rFonts w:ascii="SimSun" w:hAnsi="SimSun" w:eastAsia="SimSun" w:cs="SimSun"/>
          <w:sz w:val="19"/>
          <w:szCs w:val="19"/>
        </w:rPr>
      </w:pPr>
      <w:r>
        <w:rPr>
          <w:rFonts w:ascii="SimSun" w:hAnsi="SimSun" w:eastAsia="SimSun" w:cs="SimSun"/>
          <w:sz w:val="19"/>
          <w:szCs w:val="19"/>
          <w:spacing w:val="-2"/>
        </w:rPr>
        <w:t>回应型监管、反垄断和数字经济法/469</w:t>
      </w:r>
    </w:p>
    <w:p>
      <w:pPr>
        <w:spacing w:before="125" w:line="184" w:lineRule="auto"/>
        <w:rPr>
          <w:rFonts w:ascii="Times New Roman" w:hAnsi="Times New Roman" w:eastAsia="Times New Roman" w:cs="Times New Roman"/>
          <w:sz w:val="19"/>
          <w:szCs w:val="19"/>
        </w:rPr>
      </w:pPr>
      <w:r>
        <w:rPr>
          <w:rFonts w:ascii="SimSun" w:hAnsi="SimSun" w:eastAsia="SimSun" w:cs="SimSun"/>
          <w:sz w:val="19"/>
          <w:szCs w:val="19"/>
          <w:spacing w:val="-7"/>
        </w:rPr>
        <w:t>结论与建议</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7"/>
        </w:rPr>
        <w:t>/483</w:t>
      </w:r>
    </w:p>
    <w:p>
      <w:pPr>
        <w:spacing w:line="184" w:lineRule="auto"/>
        <w:sectPr>
          <w:type w:val="continuous"/>
          <w:pgSz w:w="7330" w:h="12480"/>
          <w:pgMar w:top="313" w:right="1099" w:bottom="400" w:left="498" w:header="0" w:footer="0" w:gutter="0"/>
          <w:cols w:equalWidth="0" w:num="2">
            <w:col w:w="1052" w:space="100"/>
            <w:col w:w="4581" w:space="0"/>
          </w:cols>
        </w:sectPr>
        <w:rPr>
          <w:rFonts w:ascii="Times New Roman" w:hAnsi="Times New Roman" w:eastAsia="Times New Roman" w:cs="Times New Roman"/>
          <w:sz w:val="19"/>
          <w:szCs w:val="19"/>
        </w:rPr>
      </w:pPr>
    </w:p>
    <w:p>
      <w:pPr>
        <w:pStyle w:val="BodyText"/>
        <w:spacing w:line="274" w:lineRule="auto"/>
        <w:rPr/>
      </w:pPr>
      <w:r>
        <w:drawing>
          <wp:anchor distT="0" distB="0" distL="0" distR="0" simplePos="0" relativeHeight="251771904" behindDoc="0" locked="0" layoutInCell="0" allowOverlap="1">
            <wp:simplePos x="0" y="0"/>
            <wp:positionH relativeFrom="page">
              <wp:posOffset>400058</wp:posOffset>
            </wp:positionH>
            <wp:positionV relativeFrom="page">
              <wp:posOffset>6889737</wp:posOffset>
            </wp:positionV>
            <wp:extent cx="1174761" cy="6350"/>
            <wp:effectExtent l="0" t="0" r="0" b="0"/>
            <wp:wrapNone/>
            <wp:docPr id="36" name="IM 36"/>
            <wp:cNvGraphicFramePr/>
            <a:graphic>
              <a:graphicData uri="http://schemas.openxmlformats.org/drawingml/2006/picture">
                <pic:pic>
                  <pic:nvPicPr>
                    <pic:cNvPr id="36" name="IM 36"/>
                    <pic:cNvPicPr/>
                  </pic:nvPicPr>
                  <pic:blipFill>
                    <a:blip r:embed="rId20"/>
                    <a:stretch>
                      <a:fillRect/>
                    </a:stretch>
                  </pic:blipFill>
                  <pic:spPr>
                    <a:xfrm rot="0">
                      <a:off x="0" y="0"/>
                      <a:ext cx="1174761" cy="6350"/>
                    </a:xfrm>
                    <a:prstGeom prst="rect">
                      <a:avLst/>
                    </a:prstGeom>
                  </pic:spPr>
                </pic:pic>
              </a:graphicData>
            </a:graphic>
          </wp:anchor>
        </w:drawing>
      </w: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firstLine="869"/>
        <w:spacing w:line="3650" w:lineRule="exact"/>
        <w:rPr/>
      </w:pPr>
      <w:r>
        <w:rPr>
          <w:position w:val="-73"/>
        </w:rPr>
        <w:drawing>
          <wp:inline distT="0" distB="0" distL="0" distR="0">
            <wp:extent cx="2863851" cy="2317765"/>
            <wp:effectExtent l="0" t="0" r="0" b="0"/>
            <wp:docPr id="38" name="IM 38"/>
            <wp:cNvGraphicFramePr/>
            <a:graphic>
              <a:graphicData uri="http://schemas.openxmlformats.org/drawingml/2006/picture">
                <pic:pic>
                  <pic:nvPicPr>
                    <pic:cNvPr id="38" name="IM 38"/>
                    <pic:cNvPicPr/>
                  </pic:nvPicPr>
                  <pic:blipFill>
                    <a:blip r:embed="rId21"/>
                    <a:stretch>
                      <a:fillRect/>
                    </a:stretch>
                  </pic:blipFill>
                  <pic:spPr>
                    <a:xfrm rot="0">
                      <a:off x="0" y="0"/>
                      <a:ext cx="2863851" cy="2317765"/>
                    </a:xfrm>
                    <a:prstGeom prst="rect">
                      <a:avLst/>
                    </a:prstGeom>
                  </pic:spPr>
                </pic:pic>
              </a:graphicData>
            </a:graphic>
          </wp:inline>
        </w:drawing>
      </w:r>
    </w:p>
    <w:p>
      <w:pPr>
        <w:ind w:left="1199"/>
        <w:spacing w:before="265" w:line="222" w:lineRule="auto"/>
        <w:tabs>
          <w:tab w:val="left" w:pos="2598"/>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40"/>
        </w:rPr>
        <w:t xml:space="preserve"> </w:t>
      </w:r>
      <w:r>
        <w:rPr>
          <w:rFonts w:ascii="SimHei" w:hAnsi="SimHei" w:eastAsia="SimHei" w:cs="SimHei"/>
          <w:sz w:val="29"/>
          <w:szCs w:val="29"/>
          <w:b/>
          <w:bCs/>
          <w:spacing w:val="-7"/>
        </w:rPr>
        <w:t>第一章</w:t>
      </w:r>
      <w:r>
        <w:rPr>
          <w:rFonts w:ascii="SimHei" w:hAnsi="SimHei" w:eastAsia="SimHei" w:cs="SimHei"/>
          <w:sz w:val="29"/>
          <w:szCs w:val="29"/>
          <w:spacing w:val="-68"/>
        </w:rPr>
        <w:t xml:space="preserve"> </w:t>
      </w:r>
      <w:r>
        <w:rPr>
          <w:rFonts w:ascii="SimHei" w:hAnsi="SimHei" w:eastAsia="SimHei" w:cs="SimHei"/>
          <w:sz w:val="29"/>
          <w:szCs w:val="29"/>
          <w:strike/>
        </w:rPr>
        <w:t xml:space="preserve">          </w:t>
      </w:r>
    </w:p>
    <w:p>
      <w:pPr>
        <w:pStyle w:val="BodyText"/>
        <w:spacing w:line="307" w:lineRule="auto"/>
        <w:rPr/>
      </w:pPr>
      <w:r/>
    </w:p>
    <w:p>
      <w:pPr>
        <w:ind w:left="1885"/>
        <w:spacing w:before="117" w:line="220" w:lineRule="auto"/>
        <w:rPr>
          <w:rFonts w:ascii="SimSun" w:hAnsi="SimSun" w:eastAsia="SimSun" w:cs="SimSun"/>
          <w:sz w:val="36"/>
          <w:szCs w:val="36"/>
        </w:rPr>
      </w:pPr>
      <w:r>
        <w:rPr>
          <w:rFonts w:ascii="SimSun" w:hAnsi="SimSun" w:eastAsia="SimSun" w:cs="SimSun"/>
          <w:sz w:val="36"/>
          <w:szCs w:val="36"/>
          <w:b/>
          <w:bCs/>
          <w:spacing w:val="-16"/>
        </w:rPr>
        <w:t>重塑平台经济：</w:t>
      </w:r>
    </w:p>
    <w:p>
      <w:pPr>
        <w:ind w:left="955"/>
        <w:spacing w:before="50" w:line="219" w:lineRule="auto"/>
        <w:rPr>
          <w:rFonts w:ascii="SimSun" w:hAnsi="SimSun" w:eastAsia="SimSun" w:cs="SimSun"/>
          <w:sz w:val="36"/>
          <w:szCs w:val="36"/>
        </w:rPr>
      </w:pPr>
      <w:r>
        <w:rPr>
          <w:rFonts w:ascii="SimSun" w:hAnsi="SimSun" w:eastAsia="SimSun" w:cs="SimSun"/>
          <w:sz w:val="36"/>
          <w:szCs w:val="36"/>
          <w:b/>
          <w:bCs/>
          <w:spacing w:val="-6"/>
        </w:rPr>
        <w:t>走向有序发展与共同富裕</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339" w:hanging="339"/>
        <w:spacing w:before="55" w:line="266" w:lineRule="auto"/>
        <w:rPr>
          <w:rFonts w:ascii="KaiTi" w:hAnsi="KaiTi" w:eastAsia="KaiTi" w:cs="KaiTi"/>
          <w:sz w:val="17"/>
          <w:szCs w:val="17"/>
        </w:rPr>
      </w:pPr>
      <w:r>
        <w:rPr>
          <w:rFonts w:ascii="SimSun" w:hAnsi="SimSun" w:eastAsia="SimSun" w:cs="SimSun"/>
          <w:sz w:val="17"/>
          <w:szCs w:val="17"/>
          <w:spacing w:val="-7"/>
        </w:rPr>
        <w:t>①</w:t>
      </w:r>
      <w:r>
        <w:rPr>
          <w:rFonts w:ascii="SimSun" w:hAnsi="SimSun" w:eastAsia="SimSun" w:cs="SimSun"/>
          <w:sz w:val="17"/>
          <w:szCs w:val="17"/>
          <w:spacing w:val="79"/>
        </w:rPr>
        <w:t xml:space="preserve"> </w:t>
      </w:r>
      <w:r>
        <w:rPr>
          <w:rFonts w:ascii="KaiTi" w:hAnsi="KaiTi" w:eastAsia="KaiTi" w:cs="KaiTi"/>
          <w:sz w:val="17"/>
          <w:szCs w:val="17"/>
          <w:spacing w:val="-7"/>
        </w:rPr>
        <w:t>本章内容为国发院课题组撰写的“平台经济创新与治理”课题综合报告，作者为</w:t>
      </w:r>
      <w:r>
        <w:rPr>
          <w:rFonts w:ascii="KaiTi" w:hAnsi="KaiTi" w:eastAsia="KaiTi" w:cs="KaiTi"/>
          <w:sz w:val="17"/>
          <w:szCs w:val="17"/>
        </w:rPr>
        <w:t xml:space="preserve"> </w:t>
      </w:r>
      <w:r>
        <w:rPr>
          <w:rFonts w:ascii="KaiTi" w:hAnsi="KaiTi" w:eastAsia="KaiTi" w:cs="KaiTi"/>
          <w:sz w:val="17"/>
          <w:szCs w:val="17"/>
          <w:spacing w:val="-13"/>
        </w:rPr>
        <w:t>黄益平、邓峰、沈艳、汪浩。</w:t>
      </w:r>
    </w:p>
    <w:p>
      <w:pPr>
        <w:spacing w:line="266" w:lineRule="auto"/>
        <w:sectPr>
          <w:pgSz w:w="7330" w:h="12480"/>
          <w:pgMar w:top="400" w:right="666" w:bottom="400" w:left="630" w:header="0" w:footer="0" w:gutter="0"/>
        </w:sectPr>
        <w:rPr>
          <w:rFonts w:ascii="KaiTi" w:hAnsi="KaiTi" w:eastAsia="KaiTi" w:cs="KaiTi"/>
          <w:sz w:val="17"/>
          <w:szCs w:val="17"/>
        </w:rPr>
      </w:pP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1" w:lineRule="auto"/>
        <w:rPr/>
      </w:pPr>
      <w:r/>
    </w:p>
    <w:p>
      <w:pPr>
        <w:ind w:firstLine="480"/>
        <w:spacing w:line="2760" w:lineRule="exact"/>
        <w:rPr/>
      </w:pPr>
      <w:r>
        <w:rPr>
          <w:position w:val="-55"/>
        </w:rPr>
        <w:drawing>
          <wp:inline distT="0" distB="0" distL="0" distR="0">
            <wp:extent cx="2279658" cy="1752568"/>
            <wp:effectExtent l="0" t="0" r="0" b="0"/>
            <wp:docPr id="40" name="IM 40"/>
            <wp:cNvGraphicFramePr/>
            <a:graphic>
              <a:graphicData uri="http://schemas.openxmlformats.org/drawingml/2006/picture">
                <pic:pic>
                  <pic:nvPicPr>
                    <pic:cNvPr id="40" name="IM 40"/>
                    <pic:cNvPicPr/>
                  </pic:nvPicPr>
                  <pic:blipFill>
                    <a:blip r:embed="rId22"/>
                    <a:stretch>
                      <a:fillRect/>
                    </a:stretch>
                  </pic:blipFill>
                  <pic:spPr>
                    <a:xfrm rot="0">
                      <a:off x="0" y="0"/>
                      <a:ext cx="2279658" cy="1752568"/>
                    </a:xfrm>
                    <a:prstGeom prst="rect">
                      <a:avLst/>
                    </a:prstGeom>
                  </pic:spPr>
                </pic:pic>
              </a:graphicData>
            </a:graphic>
          </wp:inline>
        </w:drawing>
      </w:r>
    </w:p>
    <w:p>
      <w:pPr>
        <w:spacing w:line="2760" w:lineRule="exact"/>
        <w:sectPr>
          <w:pgSz w:w="7330" w:h="12480"/>
          <w:pgMar w:top="400" w:right="1099" w:bottom="400" w:left="1099" w:header="0" w:footer="0" w:gutter="0"/>
        </w:sectPr>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right="85" w:firstLine="399"/>
        <w:spacing w:before="68" w:line="307" w:lineRule="auto"/>
        <w:jc w:val="both"/>
        <w:rPr>
          <w:rFonts w:ascii="SimSun" w:hAnsi="SimSun" w:eastAsia="SimSun" w:cs="SimSun"/>
          <w:sz w:val="21"/>
          <w:szCs w:val="21"/>
        </w:rPr>
      </w:pPr>
      <w:r>
        <w:rPr>
          <w:rFonts w:ascii="SimSun" w:hAnsi="SimSun" w:eastAsia="SimSun" w:cs="SimSun"/>
          <w:sz w:val="21"/>
          <w:szCs w:val="21"/>
          <w:spacing w:val="-3"/>
        </w:rPr>
        <w:t>平台经济是指依托云、网、端等网络基础设施，并利用人工智</w:t>
      </w:r>
      <w:r>
        <w:rPr>
          <w:rFonts w:ascii="SimSun" w:hAnsi="SimSun" w:eastAsia="SimSun" w:cs="SimSun"/>
          <w:sz w:val="21"/>
          <w:szCs w:val="21"/>
          <w:spacing w:val="9"/>
        </w:rPr>
        <w:t xml:space="preserve"> </w:t>
      </w:r>
      <w:r>
        <w:rPr>
          <w:rFonts w:ascii="SimSun" w:hAnsi="SimSun" w:eastAsia="SimSun" w:cs="SimSun"/>
          <w:sz w:val="21"/>
          <w:szCs w:val="21"/>
          <w:spacing w:val="-11"/>
        </w:rPr>
        <w:t>能、大数据分析、区块链等数字技术工具撮合交易、传输内容、管理</w:t>
      </w:r>
      <w:r>
        <w:rPr>
          <w:rFonts w:ascii="SimSun" w:hAnsi="SimSun" w:eastAsia="SimSun" w:cs="SimSun"/>
          <w:sz w:val="21"/>
          <w:szCs w:val="21"/>
          <w:spacing w:val="16"/>
        </w:rPr>
        <w:t xml:space="preserve"> </w:t>
      </w:r>
      <w:r>
        <w:rPr>
          <w:rFonts w:ascii="SimSun" w:hAnsi="SimSun" w:eastAsia="SimSun" w:cs="SimSun"/>
          <w:sz w:val="21"/>
          <w:szCs w:val="21"/>
          <w:spacing w:val="-10"/>
        </w:rPr>
        <w:t>流程的新经济模式。这种新的业务形态是随着以数</w:t>
      </w:r>
      <w:r>
        <w:rPr>
          <w:rFonts w:ascii="SimSun" w:hAnsi="SimSun" w:eastAsia="SimSun" w:cs="SimSun"/>
          <w:sz w:val="21"/>
          <w:szCs w:val="21"/>
          <w:spacing w:val="-11"/>
        </w:rPr>
        <w:t>字技术为核心的第</w:t>
      </w:r>
      <w:r>
        <w:rPr>
          <w:rFonts w:ascii="SimSun" w:hAnsi="SimSun" w:eastAsia="SimSun" w:cs="SimSun"/>
          <w:sz w:val="21"/>
          <w:szCs w:val="21"/>
        </w:rPr>
        <w:t xml:space="preserve"> </w:t>
      </w:r>
      <w:r>
        <w:rPr>
          <w:rFonts w:ascii="SimSun" w:hAnsi="SimSun" w:eastAsia="SimSun" w:cs="SimSun"/>
          <w:sz w:val="21"/>
          <w:szCs w:val="21"/>
          <w:spacing w:val="-4"/>
        </w:rPr>
        <w:t>四次工业革命的步伐形成发展的，是经济数字化、智能化的重要体</w:t>
      </w:r>
      <w:r>
        <w:rPr>
          <w:rFonts w:ascii="SimSun" w:hAnsi="SimSun" w:eastAsia="SimSun" w:cs="SimSun"/>
          <w:sz w:val="21"/>
          <w:szCs w:val="21"/>
          <w:spacing w:val="13"/>
        </w:rPr>
        <w:t xml:space="preserve"> </w:t>
      </w:r>
      <w:r>
        <w:rPr>
          <w:rFonts w:ascii="SimSun" w:hAnsi="SimSun" w:eastAsia="SimSun" w:cs="SimSun"/>
          <w:sz w:val="21"/>
          <w:szCs w:val="21"/>
          <w:spacing w:val="-3"/>
        </w:rPr>
        <w:t>现。早期的平台企业大多是在20世纪90年代</w:t>
      </w:r>
      <w:r>
        <w:rPr>
          <w:rFonts w:ascii="SimSun" w:hAnsi="SimSun" w:eastAsia="SimSun" w:cs="SimSun"/>
          <w:sz w:val="21"/>
          <w:szCs w:val="21"/>
          <w:spacing w:val="-4"/>
        </w:rPr>
        <w:t>后期建立的，但这个领</w:t>
      </w:r>
      <w:r>
        <w:rPr>
          <w:rFonts w:ascii="SimSun" w:hAnsi="SimSun" w:eastAsia="SimSun" w:cs="SimSun"/>
          <w:sz w:val="21"/>
          <w:szCs w:val="21"/>
        </w:rPr>
        <w:t xml:space="preserve"> </w:t>
      </w:r>
      <w:r>
        <w:rPr>
          <w:rFonts w:ascii="SimSun" w:hAnsi="SimSun" w:eastAsia="SimSun" w:cs="SimSun"/>
          <w:sz w:val="21"/>
          <w:szCs w:val="21"/>
          <w:spacing w:val="-11"/>
        </w:rPr>
        <w:t>域一直保持着很强的生机，生长、更替都很活跃，部分头部平台的发</w:t>
      </w:r>
      <w:r>
        <w:rPr>
          <w:rFonts w:ascii="SimSun" w:hAnsi="SimSun" w:eastAsia="SimSun" w:cs="SimSun"/>
          <w:sz w:val="21"/>
          <w:szCs w:val="21"/>
          <w:spacing w:val="17"/>
        </w:rPr>
        <w:t xml:space="preserve"> </w:t>
      </w:r>
      <w:r>
        <w:rPr>
          <w:rFonts w:ascii="SimSun" w:hAnsi="SimSun" w:eastAsia="SimSun" w:cs="SimSun"/>
          <w:sz w:val="21"/>
          <w:szCs w:val="21"/>
          <w:spacing w:val="-11"/>
        </w:rPr>
        <w:t>展历史并不长。值得指出的是，在前三次工业革命期间，我国的技术</w:t>
      </w:r>
      <w:r>
        <w:rPr>
          <w:rFonts w:ascii="SimSun" w:hAnsi="SimSun" w:eastAsia="SimSun" w:cs="SimSun"/>
          <w:sz w:val="21"/>
          <w:szCs w:val="21"/>
          <w:spacing w:val="18"/>
        </w:rPr>
        <w:t xml:space="preserve"> </w:t>
      </w:r>
      <w:r>
        <w:rPr>
          <w:rFonts w:ascii="SimSun" w:hAnsi="SimSun" w:eastAsia="SimSun" w:cs="SimSun"/>
          <w:sz w:val="21"/>
          <w:szCs w:val="21"/>
          <w:spacing w:val="-10"/>
        </w:rPr>
        <w:t>应用都是显著滞后的，但在第四次工业革命期间</w:t>
      </w:r>
      <w:r>
        <w:rPr>
          <w:rFonts w:ascii="SimSun" w:hAnsi="SimSun" w:eastAsia="SimSun" w:cs="SimSun"/>
          <w:sz w:val="21"/>
          <w:szCs w:val="21"/>
          <w:spacing w:val="-11"/>
        </w:rPr>
        <w:t>，我国的数字经济产</w:t>
      </w:r>
      <w:r>
        <w:rPr>
          <w:rFonts w:ascii="SimSun" w:hAnsi="SimSun" w:eastAsia="SimSun" w:cs="SimSun"/>
          <w:sz w:val="21"/>
          <w:szCs w:val="21"/>
        </w:rPr>
        <w:t xml:space="preserve"> </w:t>
      </w:r>
      <w:r>
        <w:rPr>
          <w:rFonts w:ascii="SimSun" w:hAnsi="SimSun" w:eastAsia="SimSun" w:cs="SimSun"/>
          <w:sz w:val="21"/>
          <w:szCs w:val="21"/>
          <w:spacing w:val="-10"/>
        </w:rPr>
        <w:t>业一直紧随领先国家往前赶，平台经济的发展</w:t>
      </w:r>
      <w:r>
        <w:rPr>
          <w:rFonts w:ascii="SimSun" w:hAnsi="SimSun" w:eastAsia="SimSun" w:cs="SimSun"/>
          <w:sz w:val="21"/>
          <w:szCs w:val="21"/>
          <w:spacing w:val="-11"/>
        </w:rPr>
        <w:t>就是一个例证，我国一</w:t>
      </w:r>
      <w:r>
        <w:rPr>
          <w:rFonts w:ascii="SimSun" w:hAnsi="SimSun" w:eastAsia="SimSun" w:cs="SimSun"/>
          <w:sz w:val="21"/>
          <w:szCs w:val="21"/>
        </w:rPr>
        <w:t xml:space="preserve"> </w:t>
      </w:r>
      <w:r>
        <w:rPr>
          <w:rFonts w:ascii="SimSun" w:hAnsi="SimSun" w:eastAsia="SimSun" w:cs="SimSun"/>
          <w:sz w:val="21"/>
          <w:szCs w:val="21"/>
          <w:spacing w:val="-12"/>
        </w:rPr>
        <w:t>些头部平台在国际上的排名也是非常靠前的。</w:t>
      </w:r>
    </w:p>
    <w:p>
      <w:pPr>
        <w:ind w:firstLine="399"/>
        <w:spacing w:before="96" w:line="307" w:lineRule="auto"/>
        <w:jc w:val="both"/>
        <w:rPr>
          <w:rFonts w:ascii="SimSun" w:hAnsi="SimSun" w:eastAsia="SimSun" w:cs="SimSun"/>
          <w:sz w:val="21"/>
          <w:szCs w:val="21"/>
        </w:rPr>
      </w:pPr>
      <w:r>
        <w:rPr>
          <w:rFonts w:ascii="SimSun" w:hAnsi="SimSun" w:eastAsia="SimSun" w:cs="SimSun"/>
          <w:sz w:val="21"/>
          <w:szCs w:val="21"/>
          <w:spacing w:val="-11"/>
        </w:rPr>
        <w:t>我国平台经济快速发展，既是技术进步的产物，也是产业结构演</w:t>
      </w:r>
      <w:r>
        <w:rPr>
          <w:rFonts w:ascii="SimSun" w:hAnsi="SimSun" w:eastAsia="SimSun" w:cs="SimSun"/>
          <w:sz w:val="21"/>
          <w:szCs w:val="21"/>
          <w:spacing w:val="9"/>
        </w:rPr>
        <w:t xml:space="preserve">  </w:t>
      </w:r>
      <w:r>
        <w:rPr>
          <w:rFonts w:ascii="SimSun" w:hAnsi="SimSun" w:eastAsia="SimSun" w:cs="SimSun"/>
          <w:sz w:val="21"/>
          <w:szCs w:val="21"/>
          <w:spacing w:val="-10"/>
        </w:rPr>
        <w:t>变的体现，更是市场化改革的重大成就。几</w:t>
      </w:r>
      <w:r>
        <w:rPr>
          <w:rFonts w:ascii="SimSun" w:hAnsi="SimSun" w:eastAsia="SimSun" w:cs="SimSun"/>
          <w:sz w:val="21"/>
          <w:szCs w:val="21"/>
          <w:spacing w:val="-11"/>
        </w:rPr>
        <w:t>乎所有成规模的平台都是</w:t>
      </w:r>
      <w:r>
        <w:rPr>
          <w:rFonts w:ascii="SimSun" w:hAnsi="SimSun" w:eastAsia="SimSun" w:cs="SimSun"/>
          <w:sz w:val="21"/>
          <w:szCs w:val="21"/>
        </w:rPr>
        <w:t xml:space="preserve">  </w:t>
      </w:r>
      <w:r>
        <w:rPr>
          <w:rFonts w:ascii="SimSun" w:hAnsi="SimSun" w:eastAsia="SimSun" w:cs="SimSun"/>
          <w:sz w:val="21"/>
          <w:szCs w:val="21"/>
          <w:spacing w:val="-3"/>
        </w:rPr>
        <w:t>民营企业，它们在短短的20年间，从白手起家到叱咤风云，给中国</w:t>
      </w:r>
      <w:r>
        <w:rPr>
          <w:rFonts w:ascii="SimSun" w:hAnsi="SimSun" w:eastAsia="SimSun" w:cs="SimSun"/>
          <w:sz w:val="21"/>
          <w:szCs w:val="21"/>
        </w:rPr>
        <w:t xml:space="preserve"> </w:t>
      </w:r>
      <w:r>
        <w:rPr>
          <w:rFonts w:ascii="SimSun" w:hAnsi="SimSun" w:eastAsia="SimSun" w:cs="SimSun"/>
          <w:sz w:val="21"/>
          <w:szCs w:val="21"/>
          <w:spacing w:val="-7"/>
        </w:rPr>
        <w:t>经济带来了许多翻天覆地的改变。像购物、买机票、订</w:t>
      </w:r>
      <w:r>
        <w:rPr>
          <w:rFonts w:ascii="SimSun" w:hAnsi="SimSun" w:eastAsia="SimSun" w:cs="SimSun"/>
          <w:sz w:val="21"/>
          <w:szCs w:val="21"/>
          <w:spacing w:val="-8"/>
        </w:rPr>
        <w:t>酒店、约车、</w:t>
      </w:r>
      <w:r>
        <w:rPr>
          <w:rFonts w:ascii="SimSun" w:hAnsi="SimSun" w:eastAsia="SimSun" w:cs="SimSun"/>
          <w:sz w:val="21"/>
          <w:szCs w:val="21"/>
        </w:rPr>
        <w:t xml:space="preserve"> </w:t>
      </w:r>
      <w:r>
        <w:rPr>
          <w:rFonts w:ascii="SimSun" w:hAnsi="SimSun" w:eastAsia="SimSun" w:cs="SimSun"/>
          <w:sz w:val="21"/>
          <w:szCs w:val="21"/>
          <w:spacing w:val="-10"/>
        </w:rPr>
        <w:t>会谈、教学、观影等过去需要来回跑的事情，</w:t>
      </w:r>
      <w:r>
        <w:rPr>
          <w:rFonts w:ascii="SimSun" w:hAnsi="SimSun" w:eastAsia="SimSun" w:cs="SimSun"/>
          <w:sz w:val="21"/>
          <w:szCs w:val="21"/>
          <w:spacing w:val="-11"/>
        </w:rPr>
        <w:t>现在都可以轻松地在移</w:t>
      </w:r>
      <w:r>
        <w:rPr>
          <w:rFonts w:ascii="SimSun" w:hAnsi="SimSun" w:eastAsia="SimSun" w:cs="SimSun"/>
          <w:sz w:val="21"/>
          <w:szCs w:val="21"/>
        </w:rPr>
        <w:t xml:space="preserve">  </w:t>
      </w:r>
      <w:r>
        <w:rPr>
          <w:rFonts w:ascii="SimSun" w:hAnsi="SimSun" w:eastAsia="SimSun" w:cs="SimSun"/>
          <w:sz w:val="21"/>
          <w:szCs w:val="21"/>
          <w:spacing w:val="-10"/>
        </w:rPr>
        <w:t>动终端上搞定。这些新业务不但帮助节省时间</w:t>
      </w:r>
      <w:r>
        <w:rPr>
          <w:rFonts w:ascii="SimSun" w:hAnsi="SimSun" w:eastAsia="SimSun" w:cs="SimSun"/>
          <w:sz w:val="21"/>
          <w:szCs w:val="21"/>
          <w:spacing w:val="-11"/>
        </w:rPr>
        <w:t>，覆盖大量过去无法触</w:t>
      </w:r>
      <w:r>
        <w:rPr>
          <w:rFonts w:ascii="SimSun" w:hAnsi="SimSun" w:eastAsia="SimSun" w:cs="SimSun"/>
          <w:sz w:val="21"/>
          <w:szCs w:val="21"/>
        </w:rPr>
        <w:t xml:space="preserve">  </w:t>
      </w:r>
      <w:r>
        <w:rPr>
          <w:rFonts w:ascii="SimSun" w:hAnsi="SimSun" w:eastAsia="SimSun" w:cs="SimSun"/>
          <w:sz w:val="21"/>
          <w:szCs w:val="21"/>
          <w:spacing w:val="-7"/>
        </w:rPr>
        <w:t>达的客户，还可以提升运营效率。许多原先在线下没能</w:t>
      </w:r>
      <w:r>
        <w:rPr>
          <w:rFonts w:ascii="SimSun" w:hAnsi="SimSun" w:eastAsia="SimSun" w:cs="SimSun"/>
          <w:sz w:val="21"/>
          <w:szCs w:val="21"/>
          <w:spacing w:val="-8"/>
        </w:rPr>
        <w:t>做成的事情，</w:t>
      </w:r>
      <w:r>
        <w:rPr>
          <w:rFonts w:ascii="SimSun" w:hAnsi="SimSun" w:eastAsia="SimSun" w:cs="SimSun"/>
          <w:sz w:val="21"/>
          <w:szCs w:val="21"/>
        </w:rPr>
        <w:t xml:space="preserve"> </w:t>
      </w:r>
      <w:r>
        <w:rPr>
          <w:rFonts w:ascii="SimSun" w:hAnsi="SimSun" w:eastAsia="SimSun" w:cs="SimSun"/>
          <w:sz w:val="21"/>
          <w:szCs w:val="21"/>
          <w:spacing w:val="-10"/>
        </w:rPr>
        <w:t>在线上实现了，在线上开店、办公司的门槛要比线下</w:t>
      </w:r>
      <w:r>
        <w:rPr>
          <w:rFonts w:ascii="SimSun" w:hAnsi="SimSun" w:eastAsia="SimSun" w:cs="SimSun"/>
          <w:sz w:val="21"/>
          <w:szCs w:val="21"/>
          <w:spacing w:val="-11"/>
        </w:rPr>
        <w:t>低很多，同时线</w:t>
      </w:r>
      <w:r>
        <w:rPr>
          <w:rFonts w:ascii="SimSun" w:hAnsi="SimSun" w:eastAsia="SimSun" w:cs="SimSun"/>
          <w:sz w:val="21"/>
          <w:szCs w:val="21"/>
        </w:rPr>
        <w:t xml:space="preserve">  </w:t>
      </w:r>
      <w:r>
        <w:rPr>
          <w:rFonts w:ascii="SimSun" w:hAnsi="SimSun" w:eastAsia="SimSun" w:cs="SimSun"/>
          <w:sz w:val="21"/>
          <w:szCs w:val="21"/>
          <w:spacing w:val="-10"/>
        </w:rPr>
        <w:t>上还提供了很多灵活就业的机会。在一些平台上</w:t>
      </w:r>
      <w:r>
        <w:rPr>
          <w:rFonts w:ascii="SimSun" w:hAnsi="SimSun" w:eastAsia="SimSun" w:cs="SimSun"/>
          <w:sz w:val="21"/>
          <w:szCs w:val="21"/>
          <w:spacing w:val="-11"/>
        </w:rPr>
        <w:t>，企业不但可以把产</w:t>
      </w:r>
      <w:r>
        <w:rPr>
          <w:rFonts w:ascii="SimSun" w:hAnsi="SimSun" w:eastAsia="SimSun" w:cs="SimSun"/>
          <w:sz w:val="21"/>
          <w:szCs w:val="21"/>
        </w:rPr>
        <w:t xml:space="preserve">  </w:t>
      </w:r>
      <w:r>
        <w:rPr>
          <w:rFonts w:ascii="SimSun" w:hAnsi="SimSun" w:eastAsia="SimSun" w:cs="SimSun"/>
          <w:sz w:val="21"/>
          <w:szCs w:val="21"/>
          <w:spacing w:val="-11"/>
        </w:rPr>
        <w:t>品精准地营销给潜在客户，甚至可以根据消费者的偏好定制产品。</w:t>
      </w:r>
    </w:p>
    <w:p>
      <w:pPr>
        <w:ind w:firstLine="399"/>
        <w:spacing w:before="112" w:line="292" w:lineRule="auto"/>
        <w:jc w:val="both"/>
        <w:rPr>
          <w:rFonts w:ascii="SimSun" w:hAnsi="SimSun" w:eastAsia="SimSun" w:cs="SimSun"/>
          <w:sz w:val="21"/>
          <w:szCs w:val="21"/>
        </w:rPr>
      </w:pPr>
      <w:r>
        <w:rPr>
          <w:rFonts w:ascii="SimSun" w:hAnsi="SimSun" w:eastAsia="SimSun" w:cs="SimSun"/>
          <w:sz w:val="21"/>
          <w:szCs w:val="21"/>
          <w:spacing w:val="4"/>
        </w:rPr>
        <w:t>平台经济在2021年迎来了“强监管”政策的元年。2020年12  </w:t>
      </w:r>
      <w:r>
        <w:rPr>
          <w:rFonts w:ascii="SimSun" w:hAnsi="SimSun" w:eastAsia="SimSun" w:cs="SimSun"/>
          <w:sz w:val="21"/>
          <w:szCs w:val="21"/>
          <w:spacing w:val="-11"/>
        </w:rPr>
        <w:t>月召开的中共中央政治局会议和中央经济工作会议均明确提出要“强</w:t>
      </w:r>
      <w:r>
        <w:rPr>
          <w:rFonts w:ascii="SimSun" w:hAnsi="SimSun" w:eastAsia="SimSun" w:cs="SimSun"/>
          <w:sz w:val="21"/>
          <w:szCs w:val="21"/>
        </w:rPr>
        <w:t xml:space="preserve">  </w:t>
      </w:r>
      <w:r>
        <w:rPr>
          <w:rFonts w:ascii="SimSun" w:hAnsi="SimSun" w:eastAsia="SimSun" w:cs="SimSun"/>
          <w:sz w:val="21"/>
          <w:szCs w:val="21"/>
          <w:spacing w:val="3"/>
        </w:rPr>
        <w:t>化反垄断和防止资本无序扩张”,吹响了“强监管”政策动员号。</w:t>
      </w:r>
      <w:r>
        <w:rPr>
          <w:rFonts w:ascii="SimSun" w:hAnsi="SimSun" w:eastAsia="SimSun" w:cs="SimSun"/>
          <w:sz w:val="21"/>
          <w:szCs w:val="21"/>
          <w:spacing w:val="11"/>
        </w:rPr>
        <w:t xml:space="preserve"> </w:t>
      </w:r>
      <w:r>
        <w:rPr>
          <w:rFonts w:ascii="SimSun" w:hAnsi="SimSun" w:eastAsia="SimSun" w:cs="SimSun"/>
          <w:sz w:val="21"/>
          <w:szCs w:val="21"/>
          <w:spacing w:val="-3"/>
        </w:rPr>
        <w:t>2021年，中共中央办公厅、国务院办公厅印发《建设高标准市场体</w:t>
      </w:r>
    </w:p>
    <w:p>
      <w:pPr>
        <w:spacing w:line="292" w:lineRule="auto"/>
        <w:sectPr>
          <w:pgSz w:w="7330" w:h="12480"/>
          <w:pgMar w:top="400" w:right="694" w:bottom="400" w:left="549" w:header="0" w:footer="0" w:gutter="0"/>
        </w:sectPr>
        <w:rPr>
          <w:rFonts w:ascii="SimSun" w:hAnsi="SimSun" w:eastAsia="SimSun" w:cs="SimSun"/>
          <w:sz w:val="21"/>
          <w:szCs w:val="21"/>
        </w:rPr>
      </w:pPr>
    </w:p>
    <w:p>
      <w:pPr>
        <w:pStyle w:val="BodyText"/>
        <w:spacing w:line="249" w:lineRule="auto"/>
        <w:rPr/>
      </w:pPr>
      <w:r>
        <w:drawing>
          <wp:anchor distT="0" distB="0" distL="0" distR="0" simplePos="0" relativeHeight="251802624" behindDoc="0" locked="0" layoutInCell="0" allowOverlap="1">
            <wp:simplePos x="0" y="0"/>
            <wp:positionH relativeFrom="page">
              <wp:posOffset>361937</wp:posOffset>
            </wp:positionH>
            <wp:positionV relativeFrom="page">
              <wp:posOffset>6718323</wp:posOffset>
            </wp:positionV>
            <wp:extent cx="1174761" cy="6350"/>
            <wp:effectExtent l="0" t="0" r="0" b="0"/>
            <wp:wrapNone/>
            <wp:docPr id="42" name="IM 42"/>
            <wp:cNvGraphicFramePr/>
            <a:graphic>
              <a:graphicData uri="http://schemas.openxmlformats.org/drawingml/2006/picture">
                <pic:pic>
                  <pic:nvPicPr>
                    <pic:cNvPr id="42" name="IM 42"/>
                    <pic:cNvPicPr/>
                  </pic:nvPicPr>
                  <pic:blipFill>
                    <a:blip r:embed="rId24"/>
                    <a:stretch>
                      <a:fillRect/>
                    </a:stretch>
                  </pic:blipFill>
                  <pic:spPr>
                    <a:xfrm rot="0">
                      <a:off x="0" y="0"/>
                      <a:ext cx="1174761" cy="6350"/>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right="84" w:firstLine="104"/>
        <w:spacing w:before="68" w:line="293" w:lineRule="auto"/>
        <w:jc w:val="both"/>
        <w:rPr>
          <w:rFonts w:ascii="SimSun" w:hAnsi="SimSun" w:eastAsia="SimSun" w:cs="SimSun"/>
          <w:sz w:val="21"/>
          <w:szCs w:val="21"/>
        </w:rPr>
      </w:pPr>
      <w:r>
        <w:rPr>
          <w:rFonts w:ascii="SimSun" w:hAnsi="SimSun" w:eastAsia="SimSun" w:cs="SimSun"/>
          <w:sz w:val="21"/>
          <w:szCs w:val="21"/>
          <w:spacing w:val="-7"/>
        </w:rPr>
        <w:t>系行动方案》,中央政法工作会议提出“加强反垄断和反不正当竞争</w:t>
      </w:r>
      <w:r>
        <w:rPr>
          <w:rFonts w:ascii="SimSun" w:hAnsi="SimSun" w:eastAsia="SimSun" w:cs="SimSun"/>
          <w:sz w:val="21"/>
          <w:szCs w:val="21"/>
          <w:spacing w:val="2"/>
        </w:rPr>
        <w:t xml:space="preserve"> </w:t>
      </w:r>
      <w:r>
        <w:rPr>
          <w:rFonts w:ascii="SimSun" w:hAnsi="SimSun" w:eastAsia="SimSun" w:cs="SimSun"/>
          <w:sz w:val="21"/>
          <w:szCs w:val="21"/>
          <w:spacing w:val="-4"/>
        </w:rPr>
        <w:t>执法司法”,国务院反垄断委员会制定发布《国务院反垄断委员会关</w:t>
      </w:r>
      <w:r>
        <w:rPr>
          <w:rFonts w:ascii="SimSun" w:hAnsi="SimSun" w:eastAsia="SimSun" w:cs="SimSun"/>
          <w:sz w:val="21"/>
          <w:szCs w:val="21"/>
          <w:spacing w:val="18"/>
        </w:rPr>
        <w:t xml:space="preserve"> </w:t>
      </w:r>
      <w:r>
        <w:rPr>
          <w:rFonts w:ascii="SimSun" w:hAnsi="SimSun" w:eastAsia="SimSun" w:cs="SimSun"/>
          <w:sz w:val="21"/>
          <w:szCs w:val="21"/>
          <w:spacing w:val="3"/>
        </w:rPr>
        <w:t>于平台经济领域的反垄断指南》,国家市场监督管理总局陆续发布</w:t>
      </w:r>
      <w:r>
        <w:rPr>
          <w:rFonts w:ascii="SimSun" w:hAnsi="SimSun" w:eastAsia="SimSun" w:cs="SimSun"/>
          <w:sz w:val="21"/>
          <w:szCs w:val="21"/>
          <w:spacing w:val="5"/>
        </w:rPr>
        <w:t xml:space="preserve"> </w:t>
      </w:r>
      <w:r>
        <w:rPr>
          <w:rFonts w:ascii="SimSun" w:hAnsi="SimSun" w:eastAsia="SimSun" w:cs="SimSun"/>
          <w:sz w:val="21"/>
          <w:szCs w:val="21"/>
          <w:spacing w:val="-6"/>
        </w:rPr>
        <w:t>《禁止网络不正当竞争行为规定(公开征求意见稿)》等文件，人社部</w:t>
      </w:r>
      <w:r>
        <w:rPr>
          <w:rFonts w:ascii="SimSun" w:hAnsi="SimSun" w:eastAsia="SimSun" w:cs="SimSun"/>
          <w:sz w:val="21"/>
          <w:szCs w:val="21"/>
          <w:spacing w:val="9"/>
        </w:rPr>
        <w:t xml:space="preserve"> </w:t>
      </w:r>
      <w:r>
        <w:rPr>
          <w:rFonts w:ascii="SimSun" w:hAnsi="SimSun" w:eastAsia="SimSun" w:cs="SimSun"/>
          <w:sz w:val="21"/>
          <w:szCs w:val="21"/>
          <w:spacing w:val="-7"/>
        </w:rPr>
        <w:t>等八部门也联合印发了《关于维护新就业形态劳动者劳动保障权益的</w:t>
      </w:r>
      <w:r>
        <w:rPr>
          <w:rFonts w:ascii="SimSun" w:hAnsi="SimSun" w:eastAsia="SimSun" w:cs="SimSun"/>
          <w:sz w:val="21"/>
          <w:szCs w:val="21"/>
          <w:spacing w:val="9"/>
        </w:rPr>
        <w:t xml:space="preserve"> </w:t>
      </w:r>
      <w:r>
        <w:rPr>
          <w:rFonts w:ascii="SimSun" w:hAnsi="SimSun" w:eastAsia="SimSun" w:cs="SimSun"/>
          <w:sz w:val="21"/>
          <w:szCs w:val="21"/>
          <w:spacing w:val="-10"/>
        </w:rPr>
        <w:t>指导意见》。决策部门“重塑平台经济”的政策意图一目了然。</w:t>
      </w:r>
    </w:p>
    <w:p>
      <w:pPr>
        <w:ind w:left="104" w:firstLine="344"/>
        <w:spacing w:before="154" w:line="306" w:lineRule="auto"/>
        <w:jc w:val="both"/>
        <w:rPr>
          <w:rFonts w:ascii="SimSun" w:hAnsi="SimSun" w:eastAsia="SimSun" w:cs="SimSun"/>
          <w:sz w:val="21"/>
          <w:szCs w:val="21"/>
        </w:rPr>
      </w:pPr>
      <w:r>
        <w:rPr>
          <w:rFonts w:ascii="SimSun" w:hAnsi="SimSun" w:eastAsia="SimSun" w:cs="SimSun"/>
          <w:sz w:val="21"/>
          <w:szCs w:val="21"/>
          <w:spacing w:val="-12"/>
        </w:rPr>
        <w:t>“强监管”政策的起因很清楚。平台经济在取得巨大成绩的同时，</w:t>
      </w:r>
      <w:r>
        <w:rPr>
          <w:rFonts w:ascii="SimSun" w:hAnsi="SimSun" w:eastAsia="SimSun" w:cs="SimSun"/>
          <w:sz w:val="21"/>
          <w:szCs w:val="21"/>
          <w:spacing w:val="16"/>
        </w:rPr>
        <w:t xml:space="preserve"> </w:t>
      </w:r>
      <w:r>
        <w:rPr>
          <w:rFonts w:ascii="SimSun" w:hAnsi="SimSun" w:eastAsia="SimSun" w:cs="SimSun"/>
          <w:sz w:val="21"/>
          <w:szCs w:val="21"/>
          <w:spacing w:val="-10"/>
        </w:rPr>
        <w:t>也出现了不少问题。数字技术的一些基本特性，比</w:t>
      </w:r>
      <w:r>
        <w:rPr>
          <w:rFonts w:ascii="SimSun" w:hAnsi="SimSun" w:eastAsia="SimSun" w:cs="SimSun"/>
          <w:sz w:val="21"/>
          <w:szCs w:val="21"/>
          <w:spacing w:val="-11"/>
        </w:rPr>
        <w:t>如长尾效应，决定</w:t>
      </w:r>
      <w:r>
        <w:rPr>
          <w:rFonts w:ascii="SimSun" w:hAnsi="SimSun" w:eastAsia="SimSun" w:cs="SimSun"/>
          <w:sz w:val="21"/>
          <w:szCs w:val="21"/>
        </w:rPr>
        <w:t xml:space="preserve">  </w:t>
      </w:r>
      <w:r>
        <w:rPr>
          <w:rFonts w:ascii="SimSun" w:hAnsi="SimSun" w:eastAsia="SimSun" w:cs="SimSun"/>
          <w:sz w:val="21"/>
          <w:szCs w:val="21"/>
          <w:spacing w:val="-16"/>
        </w:rPr>
        <w:t>了平台经济较高的集中度，</w:t>
      </w:r>
      <w:r>
        <w:rPr>
          <w:rFonts w:ascii="SimSun" w:hAnsi="SimSun" w:eastAsia="SimSun" w:cs="SimSun"/>
          <w:sz w:val="21"/>
          <w:szCs w:val="21"/>
          <w:spacing w:val="64"/>
        </w:rPr>
        <w:t xml:space="preserve"> </w:t>
      </w:r>
      <w:r>
        <w:rPr>
          <w:rFonts w:ascii="SimSun" w:hAnsi="SimSun" w:eastAsia="SimSun" w:cs="SimSun"/>
          <w:sz w:val="21"/>
          <w:szCs w:val="21"/>
          <w:spacing w:val="-16"/>
        </w:rPr>
        <w:t>一些平台就可能利用其强大的市场势力实</w:t>
      </w:r>
      <w:r>
        <w:rPr>
          <w:rFonts w:ascii="SimSun" w:hAnsi="SimSun" w:eastAsia="SimSun" w:cs="SimSun"/>
          <w:sz w:val="21"/>
          <w:szCs w:val="21"/>
        </w:rPr>
        <w:t xml:space="preserve">  </w:t>
      </w:r>
      <w:r>
        <w:rPr>
          <w:rFonts w:ascii="SimSun" w:hAnsi="SimSun" w:eastAsia="SimSun" w:cs="SimSun"/>
          <w:sz w:val="21"/>
          <w:szCs w:val="21"/>
          <w:spacing w:val="-10"/>
        </w:rPr>
        <w:t>施反竞争的商业策略，排他性协议和差异化定价等做法</w:t>
      </w:r>
      <w:r>
        <w:rPr>
          <w:rFonts w:ascii="SimSun" w:hAnsi="SimSun" w:eastAsia="SimSun" w:cs="SimSun"/>
          <w:sz w:val="21"/>
          <w:szCs w:val="21"/>
          <w:spacing w:val="-11"/>
        </w:rPr>
        <w:t>引发了广泛的</w:t>
      </w:r>
      <w:r>
        <w:rPr>
          <w:rFonts w:ascii="SimSun" w:hAnsi="SimSun" w:eastAsia="SimSun" w:cs="SimSun"/>
          <w:sz w:val="21"/>
          <w:szCs w:val="21"/>
        </w:rPr>
        <w:t xml:space="preserve">  </w:t>
      </w:r>
      <w:r>
        <w:rPr>
          <w:rFonts w:ascii="SimSun" w:hAnsi="SimSun" w:eastAsia="SimSun" w:cs="SimSun"/>
          <w:sz w:val="21"/>
          <w:szCs w:val="21"/>
          <w:spacing w:val="-11"/>
        </w:rPr>
        <w:t>争议，部分“零工”就业条件较差和财富过度集中等现象也受到了普</w:t>
      </w:r>
      <w:r>
        <w:rPr>
          <w:rFonts w:ascii="SimSun" w:hAnsi="SimSun" w:eastAsia="SimSun" w:cs="SimSun"/>
          <w:sz w:val="21"/>
          <w:szCs w:val="21"/>
          <w:spacing w:val="8"/>
        </w:rPr>
        <w:t xml:space="preserve">  </w:t>
      </w:r>
      <w:r>
        <w:rPr>
          <w:rFonts w:ascii="SimSun" w:hAnsi="SimSun" w:eastAsia="SimSun" w:cs="SimSun"/>
          <w:sz w:val="21"/>
          <w:szCs w:val="21"/>
          <w:spacing w:val="-10"/>
        </w:rPr>
        <w:t>遍的关注。但加强平台经济治理的目的并非</w:t>
      </w:r>
      <w:r>
        <w:rPr>
          <w:rFonts w:ascii="SimSun" w:hAnsi="SimSun" w:eastAsia="SimSun" w:cs="SimSun"/>
          <w:sz w:val="21"/>
          <w:szCs w:val="21"/>
          <w:spacing w:val="-11"/>
        </w:rPr>
        <w:t>要整垮平台企业，而是要</w:t>
      </w:r>
      <w:r>
        <w:rPr>
          <w:rFonts w:ascii="SimSun" w:hAnsi="SimSun" w:eastAsia="SimSun" w:cs="SimSun"/>
          <w:sz w:val="21"/>
          <w:szCs w:val="21"/>
        </w:rPr>
        <w:t xml:space="preserve">  </w:t>
      </w:r>
      <w:r>
        <w:rPr>
          <w:rFonts w:ascii="SimSun" w:hAnsi="SimSun" w:eastAsia="SimSun" w:cs="SimSun"/>
          <w:sz w:val="21"/>
          <w:szCs w:val="21"/>
          <w:spacing w:val="-13"/>
        </w:rPr>
        <w:t>通过完善规则、矫正行为，“强化反垄断和防止资本无序扩张”,更好</w:t>
      </w:r>
      <w:r>
        <w:rPr>
          <w:rFonts w:ascii="SimSun" w:hAnsi="SimSun" w:eastAsia="SimSun" w:cs="SimSun"/>
          <w:sz w:val="21"/>
          <w:szCs w:val="21"/>
          <w:spacing w:val="2"/>
        </w:rPr>
        <w:t xml:space="preserve">  </w:t>
      </w:r>
      <w:r>
        <w:rPr>
          <w:rFonts w:ascii="SimSun" w:hAnsi="SimSun" w:eastAsia="SimSun" w:cs="SimSun"/>
          <w:sz w:val="21"/>
          <w:szCs w:val="21"/>
          <w:spacing w:val="-10"/>
        </w:rPr>
        <w:t>地发挥其正面、积极因素的作用，实现平台经</w:t>
      </w:r>
      <w:r>
        <w:rPr>
          <w:rFonts w:ascii="SimSun" w:hAnsi="SimSun" w:eastAsia="SimSun" w:cs="SimSun"/>
          <w:sz w:val="21"/>
          <w:szCs w:val="21"/>
          <w:spacing w:val="-11"/>
        </w:rPr>
        <w:t>济健康、有序发展。正</w:t>
      </w:r>
      <w:r>
        <w:rPr>
          <w:rFonts w:ascii="SimSun" w:hAnsi="SimSun" w:eastAsia="SimSun" w:cs="SimSun"/>
          <w:sz w:val="21"/>
          <w:szCs w:val="21"/>
        </w:rPr>
        <w:t xml:space="preserve">  </w:t>
      </w:r>
      <w:r>
        <w:rPr>
          <w:rFonts w:ascii="SimSun" w:hAnsi="SimSun" w:eastAsia="SimSun" w:cs="SimSun"/>
          <w:sz w:val="21"/>
          <w:szCs w:val="21"/>
          <w:spacing w:val="-11"/>
        </w:rPr>
        <w:t>如习近平总书记所提出的，“要坚持促进发展和监管规范两手抓、两</w:t>
      </w:r>
      <w:r>
        <w:rPr>
          <w:rFonts w:ascii="SimSun" w:hAnsi="SimSun" w:eastAsia="SimSun" w:cs="SimSun"/>
          <w:sz w:val="21"/>
          <w:szCs w:val="21"/>
          <w:spacing w:val="9"/>
        </w:rPr>
        <w:t xml:space="preserve">  </w:t>
      </w:r>
      <w:r>
        <w:rPr>
          <w:rFonts w:ascii="SimSun" w:hAnsi="SimSun" w:eastAsia="SimSun" w:cs="SimSun"/>
          <w:sz w:val="21"/>
          <w:szCs w:val="21"/>
          <w:spacing w:val="-14"/>
        </w:rPr>
        <w:t>手都要硬，在发展中规范、在规范中发展”①。</w:t>
      </w:r>
    </w:p>
    <w:p>
      <w:pPr>
        <w:ind w:left="104" w:right="39" w:firstLine="440"/>
        <w:spacing w:before="122" w:line="297" w:lineRule="auto"/>
        <w:jc w:val="both"/>
        <w:rPr>
          <w:rFonts w:ascii="SimSun" w:hAnsi="SimSun" w:eastAsia="SimSun" w:cs="SimSun"/>
          <w:sz w:val="21"/>
          <w:szCs w:val="21"/>
        </w:rPr>
      </w:pPr>
      <w:r>
        <w:rPr>
          <w:rFonts w:ascii="SimSun" w:hAnsi="SimSun" w:eastAsia="SimSun" w:cs="SimSun"/>
          <w:sz w:val="21"/>
          <w:szCs w:val="21"/>
          <w:spacing w:val="-11"/>
        </w:rPr>
        <w:t>但事实上，目前“强监管”式的“规范”已经给平台经济的发展</w:t>
      </w:r>
      <w:r>
        <w:rPr>
          <w:rFonts w:ascii="SimSun" w:hAnsi="SimSun" w:eastAsia="SimSun" w:cs="SimSun"/>
          <w:sz w:val="21"/>
          <w:szCs w:val="21"/>
          <w:spacing w:val="17"/>
        </w:rPr>
        <w:t xml:space="preserve"> </w:t>
      </w:r>
      <w:r>
        <w:rPr>
          <w:rFonts w:ascii="SimSun" w:hAnsi="SimSun" w:eastAsia="SimSun" w:cs="SimSun"/>
          <w:sz w:val="21"/>
          <w:szCs w:val="21"/>
          <w:spacing w:val="-4"/>
        </w:rPr>
        <w:t>带来了不小的冲击。自2021年初以来，许多平台企业都在裁员，从 </w:t>
      </w:r>
      <w:r>
        <w:rPr>
          <w:rFonts w:ascii="SimSun" w:hAnsi="SimSun" w:eastAsia="SimSun" w:cs="SimSun"/>
          <w:sz w:val="21"/>
          <w:szCs w:val="21"/>
          <w:spacing w:val="-10"/>
        </w:rPr>
        <w:t>业人员的职业自豪感显著减弱，投资者信心也</w:t>
      </w:r>
      <w:r>
        <w:rPr>
          <w:rFonts w:ascii="SimSun" w:hAnsi="SimSun" w:eastAsia="SimSun" w:cs="SimSun"/>
          <w:sz w:val="21"/>
          <w:szCs w:val="21"/>
          <w:spacing w:val="-11"/>
        </w:rPr>
        <w:t>明显下降，平台经济的 </w:t>
      </w:r>
      <w:r>
        <w:rPr>
          <w:rFonts w:ascii="SimSun" w:hAnsi="SimSun" w:eastAsia="SimSun" w:cs="SimSun"/>
          <w:sz w:val="21"/>
          <w:szCs w:val="21"/>
          <w:spacing w:val="-16"/>
        </w:rPr>
        <w:t>融资规模持续收缩，</w:t>
      </w:r>
      <w:r>
        <w:rPr>
          <w:rFonts w:ascii="SimSun" w:hAnsi="SimSun" w:eastAsia="SimSun" w:cs="SimSun"/>
          <w:sz w:val="21"/>
          <w:szCs w:val="21"/>
          <w:spacing w:val="61"/>
        </w:rPr>
        <w:t xml:space="preserve"> </w:t>
      </w:r>
      <w:r>
        <w:rPr>
          <w:rFonts w:ascii="SimSun" w:hAnsi="SimSun" w:eastAsia="SimSun" w:cs="SimSun"/>
          <w:sz w:val="21"/>
          <w:szCs w:val="21"/>
          <w:spacing w:val="-16"/>
        </w:rPr>
        <w:t>一些平台企业创始人纷纷选择退居二线甚至直接</w:t>
      </w:r>
      <w:r>
        <w:rPr>
          <w:rFonts w:ascii="SimSun" w:hAnsi="SimSun" w:eastAsia="SimSun" w:cs="SimSun"/>
          <w:sz w:val="21"/>
          <w:szCs w:val="21"/>
        </w:rPr>
        <w:t xml:space="preserve"> </w:t>
      </w:r>
      <w:r>
        <w:rPr>
          <w:rFonts w:ascii="SimSun" w:hAnsi="SimSun" w:eastAsia="SimSun" w:cs="SimSun"/>
          <w:sz w:val="21"/>
          <w:szCs w:val="21"/>
          <w:spacing w:val="-8"/>
        </w:rPr>
        <w:t>退休，我国平台企业在全球市场的相对地位也有所下滑。客观地说，</w:t>
      </w:r>
      <w:r>
        <w:rPr>
          <w:rFonts w:ascii="SimSun" w:hAnsi="SimSun" w:eastAsia="SimSun" w:cs="SimSun"/>
          <w:sz w:val="21"/>
          <w:szCs w:val="21"/>
          <w:spacing w:val="4"/>
        </w:rPr>
        <w:t xml:space="preserve"> </w:t>
      </w:r>
      <w:r>
        <w:rPr>
          <w:rFonts w:ascii="SimSun" w:hAnsi="SimSun" w:eastAsia="SimSun" w:cs="SimSun"/>
          <w:sz w:val="21"/>
          <w:szCs w:val="21"/>
          <w:spacing w:val="-10"/>
        </w:rPr>
        <w:t>在加强治理时，平台的经营活动信心转弱，</w:t>
      </w:r>
      <w:r>
        <w:rPr>
          <w:rFonts w:ascii="SimSun" w:hAnsi="SimSun" w:eastAsia="SimSun" w:cs="SimSun"/>
          <w:sz w:val="21"/>
          <w:szCs w:val="21"/>
          <w:spacing w:val="-11"/>
        </w:rPr>
        <w:t>这很正常，但不能让这些 </w:t>
      </w:r>
      <w:r>
        <w:rPr>
          <w:rFonts w:ascii="SimSun" w:hAnsi="SimSun" w:eastAsia="SimSun" w:cs="SimSun"/>
          <w:sz w:val="21"/>
          <w:szCs w:val="21"/>
          <w:spacing w:val="-10"/>
        </w:rPr>
        <w:t>短期的震荡演变成长期的趋势。相信当前的</w:t>
      </w:r>
      <w:r>
        <w:rPr>
          <w:rFonts w:ascii="SimSun" w:hAnsi="SimSun" w:eastAsia="SimSun" w:cs="SimSun"/>
          <w:sz w:val="21"/>
          <w:szCs w:val="21"/>
          <w:spacing w:val="-11"/>
        </w:rPr>
        <w:t>这些问题是执行中的一些 </w:t>
      </w:r>
      <w:r>
        <w:rPr>
          <w:rFonts w:ascii="SimSun" w:hAnsi="SimSun" w:eastAsia="SimSun" w:cs="SimSun"/>
          <w:sz w:val="21"/>
          <w:szCs w:val="21"/>
          <w:spacing w:val="-10"/>
        </w:rPr>
        <w:t>偏误导致的，并非政策的初衷。这就要求我们对“强监管”的一些不</w:t>
      </w:r>
    </w:p>
    <w:p>
      <w:pPr>
        <w:pStyle w:val="BodyText"/>
        <w:spacing w:line="304" w:lineRule="auto"/>
        <w:rPr/>
      </w:pPr>
      <w:r/>
    </w:p>
    <w:p>
      <w:pPr>
        <w:pStyle w:val="BodyText"/>
        <w:spacing w:line="305" w:lineRule="auto"/>
        <w:rPr/>
      </w:pPr>
      <w:r/>
    </w:p>
    <w:p>
      <w:pPr>
        <w:ind w:left="423" w:right="98" w:hanging="319"/>
        <w:spacing w:before="52" w:line="259" w:lineRule="auto"/>
        <w:rPr>
          <w:rFonts w:ascii="Times New Roman" w:hAnsi="Times New Roman" w:eastAsia="Times New Roman" w:cs="Times New Roman"/>
          <w:sz w:val="16"/>
          <w:szCs w:val="16"/>
        </w:rPr>
      </w:pPr>
      <w:r>
        <w:rPr>
          <w:rFonts w:ascii="KaiTi" w:hAnsi="KaiTi" w:eastAsia="KaiTi" w:cs="KaiTi"/>
          <w:sz w:val="16"/>
          <w:szCs w:val="16"/>
          <w:spacing w:val="7"/>
        </w:rPr>
        <w:t>①</w:t>
      </w:r>
      <w:r>
        <w:rPr>
          <w:rFonts w:ascii="KaiTi" w:hAnsi="KaiTi" w:eastAsia="KaiTi" w:cs="KaiTi"/>
          <w:sz w:val="16"/>
          <w:szCs w:val="16"/>
          <w:spacing w:val="73"/>
        </w:rPr>
        <w:t xml:space="preserve"> </w:t>
      </w:r>
      <w:r>
        <w:rPr>
          <w:rFonts w:ascii="KaiTi" w:hAnsi="KaiTi" w:eastAsia="KaiTi" w:cs="KaiTi"/>
          <w:sz w:val="16"/>
          <w:szCs w:val="16"/>
          <w:spacing w:val="7"/>
        </w:rPr>
        <w:t>习近平.把握数字经济发展趋势和规律推动我国数字经济健康发展(在中共中央</w:t>
      </w:r>
      <w:r>
        <w:rPr>
          <w:rFonts w:ascii="KaiTi" w:hAnsi="KaiTi" w:eastAsia="KaiTi" w:cs="KaiTi"/>
          <w:sz w:val="16"/>
          <w:szCs w:val="16"/>
        </w:rPr>
        <w:t xml:space="preserve"> </w:t>
      </w:r>
      <w:r>
        <w:rPr>
          <w:rFonts w:ascii="KaiTi" w:hAnsi="KaiTi" w:eastAsia="KaiTi" w:cs="KaiTi"/>
          <w:sz w:val="16"/>
          <w:szCs w:val="16"/>
          <w:spacing w:val="6"/>
        </w:rPr>
        <w:t>政治局第三十四次集体学习时的讲话).人民日报，2021-10</w:t>
      </w:r>
      <w:r>
        <w:rPr>
          <w:rFonts w:ascii="KaiTi" w:hAnsi="KaiTi" w:eastAsia="KaiTi" w:cs="KaiTi"/>
          <w:sz w:val="16"/>
          <w:szCs w:val="16"/>
          <w:spacing w:val="5"/>
        </w:rPr>
        <w:t>-20(01</w:t>
      </w:r>
      <w:r>
        <w:rPr>
          <w:rFonts w:ascii="Times New Roman" w:hAnsi="Times New Roman" w:eastAsia="Times New Roman" w:cs="Times New Roman"/>
          <w:sz w:val="16"/>
          <w:szCs w:val="16"/>
          <w:spacing w:val="5"/>
        </w:rPr>
        <w:t>)</w:t>
      </w:r>
    </w:p>
    <w:p>
      <w:pPr>
        <w:spacing w:line="259" w:lineRule="auto"/>
        <w:sectPr>
          <w:headerReference w:type="default" r:id="rId23"/>
          <w:pgSz w:w="7330" w:h="12480"/>
          <w:pgMar w:top="577" w:right="665" w:bottom="400" w:left="455" w:header="415" w:footer="0" w:gutter="0"/>
        </w:sectPr>
        <w:rPr>
          <w:rFonts w:ascii="Times New Roman" w:hAnsi="Times New Roman" w:eastAsia="Times New Roman" w:cs="Times New Roman"/>
          <w:sz w:val="16"/>
          <w:szCs w:val="16"/>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88"/>
        <w:spacing w:before="68" w:line="285" w:lineRule="auto"/>
        <w:jc w:val="both"/>
        <w:rPr>
          <w:rFonts w:ascii="SimSun" w:hAnsi="SimSun" w:eastAsia="SimSun" w:cs="SimSun"/>
          <w:sz w:val="21"/>
          <w:szCs w:val="21"/>
        </w:rPr>
      </w:pPr>
      <w:r>
        <w:rPr>
          <w:rFonts w:ascii="SimSun" w:hAnsi="SimSun" w:eastAsia="SimSun" w:cs="SimSun"/>
          <w:sz w:val="21"/>
          <w:szCs w:val="21"/>
          <w:spacing w:val="-11"/>
        </w:rPr>
        <w:t>恰当做法进行纠偏。我国平台企业经过多年的努力才建立起一点有限</w:t>
      </w:r>
      <w:r>
        <w:rPr>
          <w:rFonts w:ascii="SimSun" w:hAnsi="SimSun" w:eastAsia="SimSun" w:cs="SimSun"/>
          <w:sz w:val="21"/>
          <w:szCs w:val="21"/>
          <w:spacing w:val="9"/>
        </w:rPr>
        <w:t xml:space="preserve"> </w:t>
      </w:r>
      <w:r>
        <w:rPr>
          <w:rFonts w:ascii="SimSun" w:hAnsi="SimSun" w:eastAsia="SimSun" w:cs="SimSun"/>
          <w:sz w:val="21"/>
          <w:szCs w:val="21"/>
          <w:spacing w:val="-4"/>
        </w:rPr>
        <w:t>的相对优势，如果因治理措施而丧失活力，将会是一件令人扼腕的</w:t>
      </w:r>
      <w:r>
        <w:rPr>
          <w:rFonts w:ascii="SimSun" w:hAnsi="SimSun" w:eastAsia="SimSun" w:cs="SimSun"/>
          <w:sz w:val="21"/>
          <w:szCs w:val="21"/>
          <w:spacing w:val="11"/>
        </w:rPr>
        <w:t xml:space="preserve"> </w:t>
      </w:r>
      <w:r>
        <w:rPr>
          <w:rFonts w:ascii="SimSun" w:hAnsi="SimSun" w:eastAsia="SimSun" w:cs="SimSun"/>
          <w:sz w:val="21"/>
          <w:szCs w:val="21"/>
          <w:spacing w:val="-9"/>
        </w:rPr>
        <w:t>事情。</w:t>
      </w:r>
    </w:p>
    <w:p>
      <w:pPr>
        <w:ind w:firstLine="409"/>
        <w:spacing w:before="112" w:line="317" w:lineRule="auto"/>
        <w:jc w:val="both"/>
        <w:rPr>
          <w:rFonts w:ascii="SimSun" w:hAnsi="SimSun" w:eastAsia="SimSun" w:cs="SimSun"/>
          <w:sz w:val="21"/>
          <w:szCs w:val="21"/>
        </w:rPr>
      </w:pPr>
      <w:r>
        <w:rPr>
          <w:rFonts w:ascii="SimSun" w:hAnsi="SimSun" w:eastAsia="SimSun" w:cs="SimSun"/>
          <w:sz w:val="21"/>
          <w:szCs w:val="21"/>
          <w:spacing w:val="-11"/>
        </w:rPr>
        <w:t>本书对我国的平台经济发展与监管政策做一个评估，并在此基础 </w:t>
      </w:r>
      <w:r>
        <w:rPr>
          <w:rFonts w:ascii="SimSun" w:hAnsi="SimSun" w:eastAsia="SimSun" w:cs="SimSun"/>
          <w:sz w:val="21"/>
          <w:szCs w:val="21"/>
          <w:spacing w:val="-11"/>
        </w:rPr>
        <w:t>上提出一些政策建议。具体来说，将聚焦如下五个问题：第一，从全</w:t>
      </w:r>
      <w:r>
        <w:rPr>
          <w:rFonts w:ascii="SimSun" w:hAnsi="SimSun" w:eastAsia="SimSun" w:cs="SimSun"/>
          <w:sz w:val="21"/>
          <w:szCs w:val="21"/>
        </w:rPr>
        <w:t xml:space="preserve">  </w:t>
      </w:r>
      <w:r>
        <w:rPr>
          <w:rFonts w:ascii="SimSun" w:hAnsi="SimSun" w:eastAsia="SimSun" w:cs="SimSun"/>
          <w:sz w:val="21"/>
          <w:szCs w:val="21"/>
          <w:spacing w:val="-7"/>
        </w:rPr>
        <w:t>球市场看，当前我国平台经济发展处在什么水平?特别</w:t>
      </w:r>
      <w:r>
        <w:rPr>
          <w:rFonts w:ascii="SimSun" w:hAnsi="SimSun" w:eastAsia="SimSun" w:cs="SimSun"/>
          <w:sz w:val="21"/>
          <w:szCs w:val="21"/>
          <w:spacing w:val="-8"/>
        </w:rPr>
        <w:t>值得关注的是</w:t>
      </w:r>
      <w:r>
        <w:rPr>
          <w:rFonts w:ascii="SimSun" w:hAnsi="SimSun" w:eastAsia="SimSun" w:cs="SimSun"/>
          <w:sz w:val="21"/>
          <w:szCs w:val="21"/>
        </w:rPr>
        <w:t xml:space="preserve">  </w:t>
      </w:r>
      <w:r>
        <w:rPr>
          <w:rFonts w:ascii="SimSun" w:hAnsi="SimSun" w:eastAsia="SimSun" w:cs="SimSun"/>
          <w:sz w:val="21"/>
          <w:szCs w:val="21"/>
          <w:spacing w:val="-11"/>
        </w:rPr>
        <w:t>助力我国平台经济发展的那些主要因素。第二，平台经济的发展究竟</w:t>
      </w:r>
      <w:r>
        <w:rPr>
          <w:rFonts w:ascii="SimSun" w:hAnsi="SimSun" w:eastAsia="SimSun" w:cs="SimSun"/>
          <w:sz w:val="21"/>
          <w:szCs w:val="21"/>
          <w:spacing w:val="3"/>
        </w:rPr>
        <w:t xml:space="preserve">  </w:t>
      </w:r>
      <w:r>
        <w:rPr>
          <w:rFonts w:ascii="SimSun" w:hAnsi="SimSun" w:eastAsia="SimSun" w:cs="SimSun"/>
          <w:sz w:val="21"/>
          <w:szCs w:val="21"/>
          <w:spacing w:val="-7"/>
        </w:rPr>
        <w:t>给我国的经济带来了什么益处?平台企业影响经济增长、普惠金融和 </w:t>
      </w:r>
      <w:r>
        <w:rPr>
          <w:rFonts w:ascii="SimSun" w:hAnsi="SimSun" w:eastAsia="SimSun" w:cs="SimSun"/>
          <w:sz w:val="21"/>
          <w:szCs w:val="21"/>
          <w:spacing w:val="-11"/>
        </w:rPr>
        <w:t>经济稳定的效果与机制特别值得深入探究。第三，平台经济在发展过</w:t>
      </w:r>
      <w:r>
        <w:rPr>
          <w:rFonts w:ascii="SimSun" w:hAnsi="SimSun" w:eastAsia="SimSun" w:cs="SimSun"/>
          <w:sz w:val="21"/>
          <w:szCs w:val="21"/>
          <w:spacing w:val="3"/>
        </w:rPr>
        <w:t xml:space="preserve">  </w:t>
      </w:r>
      <w:r>
        <w:rPr>
          <w:rFonts w:ascii="SimSun" w:hAnsi="SimSun" w:eastAsia="SimSun" w:cs="SimSun"/>
          <w:sz w:val="21"/>
          <w:szCs w:val="21"/>
          <w:spacing w:val="-4"/>
        </w:rPr>
        <w:t>程中带来了哪些新的挑战?平台在治理功能、创新能力、收入分配、</w:t>
      </w:r>
      <w:r>
        <w:rPr>
          <w:rFonts w:ascii="SimSun" w:hAnsi="SimSun" w:eastAsia="SimSun" w:cs="SimSun"/>
          <w:sz w:val="21"/>
          <w:szCs w:val="21"/>
        </w:rPr>
        <w:t xml:space="preserve"> </w:t>
      </w:r>
      <w:r>
        <w:rPr>
          <w:rFonts w:ascii="SimSun" w:hAnsi="SimSun" w:eastAsia="SimSun" w:cs="SimSun"/>
          <w:sz w:val="21"/>
          <w:szCs w:val="21"/>
          <w:spacing w:val="-11"/>
        </w:rPr>
        <w:t>数据分析和竞争行为等方面都是既有机会也有挑战，好处很明显，矛</w:t>
      </w:r>
      <w:r>
        <w:rPr>
          <w:rFonts w:ascii="SimSun" w:hAnsi="SimSun" w:eastAsia="SimSun" w:cs="SimSun"/>
          <w:sz w:val="21"/>
          <w:szCs w:val="21"/>
          <w:spacing w:val="6"/>
        </w:rPr>
        <w:t xml:space="preserve">  </w:t>
      </w:r>
      <w:r>
        <w:rPr>
          <w:rFonts w:ascii="SimSun" w:hAnsi="SimSun" w:eastAsia="SimSun" w:cs="SimSun"/>
          <w:sz w:val="21"/>
          <w:szCs w:val="21"/>
          <w:spacing w:val="-7"/>
        </w:rPr>
        <w:t>盾也很突出。第四，应该如何看待平台经济的反垄断</w:t>
      </w:r>
      <w:r>
        <w:rPr>
          <w:rFonts w:ascii="SimSun" w:hAnsi="SimSun" w:eastAsia="SimSun" w:cs="SimSun"/>
          <w:sz w:val="21"/>
          <w:szCs w:val="21"/>
          <w:spacing w:val="-8"/>
        </w:rPr>
        <w:t>执法?平台经济</w:t>
      </w:r>
      <w:r>
        <w:rPr>
          <w:rFonts w:ascii="SimSun" w:hAnsi="SimSun" w:eastAsia="SimSun" w:cs="SimSun"/>
          <w:sz w:val="21"/>
          <w:szCs w:val="21"/>
        </w:rPr>
        <w:t xml:space="preserve">  </w:t>
      </w:r>
      <w:r>
        <w:rPr>
          <w:rFonts w:ascii="SimSun" w:hAnsi="SimSun" w:eastAsia="SimSun" w:cs="SimSun"/>
          <w:sz w:val="21"/>
          <w:szCs w:val="21"/>
          <w:spacing w:val="-11"/>
        </w:rPr>
        <w:t>的特性可能与传统的反垄断政策框架特别是市场份额和分拆手段等并</w:t>
      </w:r>
      <w:r>
        <w:rPr>
          <w:rFonts w:ascii="SimSun" w:hAnsi="SimSun" w:eastAsia="SimSun" w:cs="SimSun"/>
          <w:sz w:val="21"/>
          <w:szCs w:val="21"/>
          <w:spacing w:val="3"/>
        </w:rPr>
        <w:t xml:space="preserve">  </w:t>
      </w:r>
      <w:r>
        <w:rPr>
          <w:rFonts w:ascii="SimSun" w:hAnsi="SimSun" w:eastAsia="SimSun" w:cs="SimSun"/>
          <w:sz w:val="21"/>
          <w:szCs w:val="21"/>
          <w:spacing w:val="-11"/>
        </w:rPr>
        <w:t>不匹配。第五，我国应该建立一个什么样的平台监管与反垄断执法体</w:t>
      </w:r>
    </w:p>
    <w:p>
      <w:pPr>
        <w:spacing w:line="219" w:lineRule="auto"/>
        <w:rPr>
          <w:rFonts w:ascii="SimSun" w:hAnsi="SimSun" w:eastAsia="SimSun" w:cs="SimSun"/>
          <w:sz w:val="21"/>
          <w:szCs w:val="21"/>
        </w:rPr>
      </w:pPr>
      <w:r>
        <w:rPr>
          <w:rFonts w:ascii="SimSun" w:hAnsi="SimSun" w:eastAsia="SimSun" w:cs="SimSun"/>
          <w:sz w:val="21"/>
          <w:szCs w:val="21"/>
          <w:spacing w:val="-7"/>
        </w:rPr>
        <w:t>系?政策应该为平台经济健康发展创造良好的环境。</w:t>
      </w:r>
    </w:p>
    <w:p>
      <w:pPr>
        <w:ind w:firstLine="409"/>
        <w:spacing w:before="105" w:line="308" w:lineRule="auto"/>
        <w:jc w:val="both"/>
        <w:rPr>
          <w:rFonts w:ascii="SimSun" w:hAnsi="SimSun" w:eastAsia="SimSun" w:cs="SimSun"/>
          <w:sz w:val="21"/>
          <w:szCs w:val="21"/>
        </w:rPr>
      </w:pPr>
      <w:r>
        <w:rPr>
          <w:rFonts w:ascii="SimSun" w:hAnsi="SimSun" w:eastAsia="SimSun" w:cs="SimSun"/>
          <w:sz w:val="21"/>
          <w:szCs w:val="21"/>
          <w:spacing w:val="-9"/>
        </w:rPr>
        <w:t>我们得出了如下几个值得重视的结论：</w:t>
      </w:r>
      <w:r>
        <w:rPr>
          <w:rFonts w:ascii="SimSun" w:hAnsi="SimSun" w:eastAsia="SimSun" w:cs="SimSun"/>
          <w:sz w:val="21"/>
          <w:szCs w:val="21"/>
          <w:spacing w:val="58"/>
        </w:rPr>
        <w:t xml:space="preserve"> </w:t>
      </w:r>
      <w:r>
        <w:rPr>
          <w:rFonts w:ascii="SimSun" w:hAnsi="SimSun" w:eastAsia="SimSun" w:cs="SimSun"/>
          <w:sz w:val="21"/>
          <w:szCs w:val="21"/>
          <w:spacing w:val="-9"/>
        </w:rPr>
        <w:t>一是虽然我国的平台</w:t>
      </w:r>
      <w:r>
        <w:rPr>
          <w:rFonts w:ascii="SimSun" w:hAnsi="SimSun" w:eastAsia="SimSun" w:cs="SimSun"/>
          <w:sz w:val="21"/>
          <w:szCs w:val="21"/>
          <w:spacing w:val="-10"/>
        </w:rPr>
        <w:t>企 </w:t>
      </w:r>
      <w:r>
        <w:rPr>
          <w:rFonts w:ascii="SimSun" w:hAnsi="SimSun" w:eastAsia="SimSun" w:cs="SimSun"/>
          <w:sz w:val="21"/>
          <w:szCs w:val="21"/>
          <w:spacing w:val="-11"/>
        </w:rPr>
        <w:t>业规模做得非常大，但大多并不拥有技术优势，国际业务收入占比也</w:t>
      </w:r>
      <w:r>
        <w:rPr>
          <w:rFonts w:ascii="SimSun" w:hAnsi="SimSun" w:eastAsia="SimSun" w:cs="SimSun"/>
          <w:sz w:val="21"/>
          <w:szCs w:val="21"/>
          <w:spacing w:val="5"/>
        </w:rPr>
        <w:t xml:space="preserve">  </w:t>
      </w:r>
      <w:r>
        <w:rPr>
          <w:rFonts w:ascii="SimSun" w:hAnsi="SimSun" w:eastAsia="SimSun" w:cs="SimSun"/>
          <w:sz w:val="21"/>
          <w:szCs w:val="21"/>
          <w:spacing w:val="-10"/>
        </w:rPr>
        <w:t>非常低，所以只有持续创新，才有可能保持持</w:t>
      </w:r>
      <w:r>
        <w:rPr>
          <w:rFonts w:ascii="SimSun" w:hAnsi="SimSun" w:eastAsia="SimSun" w:cs="SimSun"/>
          <w:sz w:val="21"/>
          <w:szCs w:val="21"/>
          <w:spacing w:val="-11"/>
        </w:rPr>
        <w:t>续的竞争力；二是平台</w:t>
      </w:r>
      <w:r>
        <w:rPr>
          <w:rFonts w:ascii="SimSun" w:hAnsi="SimSun" w:eastAsia="SimSun" w:cs="SimSun"/>
          <w:sz w:val="21"/>
          <w:szCs w:val="21"/>
        </w:rPr>
        <w:t xml:space="preserve"> </w:t>
      </w:r>
      <w:r>
        <w:rPr>
          <w:rFonts w:ascii="SimSun" w:hAnsi="SimSun" w:eastAsia="SimSun" w:cs="SimSun"/>
          <w:sz w:val="21"/>
          <w:szCs w:val="21"/>
          <w:spacing w:val="-4"/>
        </w:rPr>
        <w:t>经济正在从多个方面改造经济模式与生活方式，提升经济发展的质 </w:t>
      </w:r>
      <w:r>
        <w:rPr>
          <w:rFonts w:ascii="SimSun" w:hAnsi="SimSun" w:eastAsia="SimSun" w:cs="SimSun"/>
          <w:sz w:val="21"/>
          <w:szCs w:val="21"/>
          <w:spacing w:val="-10"/>
        </w:rPr>
        <w:t>量，对经济增长、普惠金融和经济稳定的贡献尤其突出；三是我国</w:t>
      </w:r>
      <w:r>
        <w:rPr>
          <w:rFonts w:ascii="SimSun" w:hAnsi="SimSun" w:eastAsia="SimSun" w:cs="SimSun"/>
          <w:sz w:val="21"/>
          <w:szCs w:val="21"/>
          <w:spacing w:val="-11"/>
        </w:rPr>
        <w:t>的 </w:t>
      </w:r>
      <w:r>
        <w:rPr>
          <w:rFonts w:ascii="SimSun" w:hAnsi="SimSun" w:eastAsia="SimSun" w:cs="SimSun"/>
          <w:sz w:val="21"/>
          <w:szCs w:val="21"/>
          <w:spacing w:val="-8"/>
        </w:rPr>
        <w:t>平台经济领域确实有不少不规范的行为，因此有必要加强监管规范，</w:t>
      </w:r>
      <w:r>
        <w:rPr>
          <w:rFonts w:ascii="SimSun" w:hAnsi="SimSun" w:eastAsia="SimSun" w:cs="SimSun"/>
          <w:sz w:val="21"/>
          <w:szCs w:val="21"/>
          <w:spacing w:val="13"/>
        </w:rPr>
        <w:t xml:space="preserve"> </w:t>
      </w:r>
      <w:r>
        <w:rPr>
          <w:rFonts w:ascii="SimSun" w:hAnsi="SimSun" w:eastAsia="SimSun" w:cs="SimSun"/>
          <w:sz w:val="21"/>
          <w:szCs w:val="21"/>
          <w:spacing w:val="-11"/>
        </w:rPr>
        <w:t>但对一些所谓的不正当行为，如排他性协议和差异化定价，需要具体</w:t>
      </w:r>
      <w:r>
        <w:rPr>
          <w:rFonts w:ascii="SimSun" w:hAnsi="SimSun" w:eastAsia="SimSun" w:cs="SimSun"/>
          <w:sz w:val="21"/>
          <w:szCs w:val="21"/>
          <w:spacing w:val="3"/>
        </w:rPr>
        <w:t xml:space="preserve">  </w:t>
      </w:r>
      <w:r>
        <w:rPr>
          <w:rFonts w:ascii="SimSun" w:hAnsi="SimSun" w:eastAsia="SimSun" w:cs="SimSun"/>
          <w:sz w:val="21"/>
          <w:szCs w:val="21"/>
          <w:spacing w:val="-11"/>
        </w:rPr>
        <w:t>情况具体分析，不宜采取“一刀切”的做法；四是范围经济的特性有</w:t>
      </w:r>
      <w:r>
        <w:rPr>
          <w:rFonts w:ascii="SimSun" w:hAnsi="SimSun" w:eastAsia="SimSun" w:cs="SimSun"/>
          <w:sz w:val="21"/>
          <w:szCs w:val="21"/>
          <w:spacing w:val="4"/>
        </w:rPr>
        <w:t xml:space="preserve">  </w:t>
      </w:r>
      <w:r>
        <w:rPr>
          <w:rFonts w:ascii="SimSun" w:hAnsi="SimSun" w:eastAsia="SimSun" w:cs="SimSun"/>
          <w:sz w:val="21"/>
          <w:szCs w:val="21"/>
          <w:spacing w:val="-11"/>
        </w:rPr>
        <w:t>可能调和充分竞争与规模经济之间的矛盾，不能简单地认为“大就是</w:t>
      </w:r>
      <w:r>
        <w:rPr>
          <w:rFonts w:ascii="SimSun" w:hAnsi="SimSun" w:eastAsia="SimSun" w:cs="SimSun"/>
          <w:sz w:val="21"/>
          <w:szCs w:val="21"/>
          <w:spacing w:val="4"/>
        </w:rPr>
        <w:t xml:space="preserve">  </w:t>
      </w:r>
      <w:r>
        <w:rPr>
          <w:rFonts w:ascii="SimSun" w:hAnsi="SimSun" w:eastAsia="SimSun" w:cs="SimSun"/>
          <w:sz w:val="21"/>
          <w:szCs w:val="21"/>
          <w:spacing w:val="-7"/>
        </w:rPr>
        <w:t>问题”,目前我国平台经济领域的竞争程度还比较</w:t>
      </w:r>
      <w:r>
        <w:rPr>
          <w:rFonts w:ascii="SimSun" w:hAnsi="SimSun" w:eastAsia="SimSun" w:cs="SimSun"/>
          <w:sz w:val="21"/>
          <w:szCs w:val="21"/>
          <w:spacing w:val="-8"/>
        </w:rPr>
        <w:t>高，政策的重点应</w:t>
      </w:r>
      <w:r>
        <w:rPr>
          <w:rFonts w:ascii="SimSun" w:hAnsi="SimSun" w:eastAsia="SimSun" w:cs="SimSun"/>
          <w:sz w:val="21"/>
          <w:szCs w:val="21"/>
        </w:rPr>
        <w:t xml:space="preserve">  </w:t>
      </w:r>
      <w:r>
        <w:rPr>
          <w:rFonts w:ascii="SimSun" w:hAnsi="SimSun" w:eastAsia="SimSun" w:cs="SimSun"/>
          <w:sz w:val="21"/>
          <w:szCs w:val="21"/>
          <w:spacing w:val="-13"/>
        </w:rPr>
        <w:t>该是增强可竞争性；五是“强监管”的初衷是实现“在规范中发展”, </w:t>
      </w:r>
      <w:r>
        <w:rPr>
          <w:rFonts w:ascii="SimSun" w:hAnsi="SimSun" w:eastAsia="SimSun" w:cs="SimSun"/>
          <w:sz w:val="21"/>
          <w:szCs w:val="21"/>
          <w:spacing w:val="-10"/>
        </w:rPr>
        <w:t>但运动式监管与监管竞争在短期内对平台经济的活力与信心都造成了</w:t>
      </w:r>
    </w:p>
    <w:p>
      <w:pPr>
        <w:spacing w:line="308" w:lineRule="auto"/>
        <w:sectPr>
          <w:headerReference w:type="default" r:id="rId25"/>
          <w:pgSz w:w="7330" w:h="12480"/>
          <w:pgMar w:top="779" w:right="654" w:bottom="400" w:left="600" w:header="600"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left="105" w:right="96"/>
        <w:spacing w:before="68" w:line="264" w:lineRule="auto"/>
        <w:rPr>
          <w:rFonts w:ascii="SimSun" w:hAnsi="SimSun" w:eastAsia="SimSun" w:cs="SimSun"/>
          <w:sz w:val="21"/>
          <w:szCs w:val="21"/>
        </w:rPr>
      </w:pPr>
      <w:r>
        <w:rPr>
          <w:rFonts w:ascii="SimSun" w:hAnsi="SimSun" w:eastAsia="SimSun" w:cs="SimSun"/>
          <w:sz w:val="21"/>
          <w:szCs w:val="21"/>
          <w:spacing w:val="-11"/>
        </w:rPr>
        <w:t>不小的冲击，应尽快纠正一些执行中的偏误，尤其要避免对“资本无</w:t>
      </w:r>
      <w:r>
        <w:rPr>
          <w:rFonts w:ascii="SimSun" w:hAnsi="SimSun" w:eastAsia="SimSun" w:cs="SimSun"/>
          <w:sz w:val="21"/>
          <w:szCs w:val="21"/>
          <w:spacing w:val="17"/>
        </w:rPr>
        <w:t xml:space="preserve"> </w:t>
      </w:r>
      <w:r>
        <w:rPr>
          <w:rFonts w:ascii="SimSun" w:hAnsi="SimSun" w:eastAsia="SimSun" w:cs="SimSun"/>
          <w:sz w:val="21"/>
          <w:szCs w:val="21"/>
          <w:spacing w:val="-11"/>
        </w:rPr>
        <w:t>序扩张”做扩大化的解读，支持平台经济持续、健康发展。</w:t>
      </w:r>
    </w:p>
    <w:p>
      <w:pPr>
        <w:ind w:left="105" w:firstLine="419"/>
        <w:spacing w:before="112" w:line="300" w:lineRule="auto"/>
        <w:jc w:val="both"/>
        <w:rPr>
          <w:rFonts w:ascii="SimSun" w:hAnsi="SimSun" w:eastAsia="SimSun" w:cs="SimSun"/>
          <w:sz w:val="21"/>
          <w:szCs w:val="21"/>
        </w:rPr>
      </w:pPr>
      <w:r>
        <w:rPr>
          <w:rFonts w:ascii="SimSun" w:hAnsi="SimSun" w:eastAsia="SimSun" w:cs="SimSun"/>
          <w:sz w:val="21"/>
          <w:szCs w:val="21"/>
          <w:spacing w:val="-11"/>
        </w:rPr>
        <w:t>本章将具体介绍我国平台经济发展的过程、当前的水平，以及促 </w:t>
      </w:r>
      <w:r>
        <w:rPr>
          <w:rFonts w:ascii="SimSun" w:hAnsi="SimSun" w:eastAsia="SimSun" w:cs="SimSun"/>
          <w:sz w:val="21"/>
          <w:szCs w:val="21"/>
          <w:spacing w:val="-11"/>
        </w:rPr>
        <w:t>成发展的几个重要因素；在介绍平台经济的一些基本特性之后，分析</w:t>
      </w:r>
      <w:r>
        <w:rPr>
          <w:rFonts w:ascii="SimSun" w:hAnsi="SimSun" w:eastAsia="SimSun" w:cs="SimSun"/>
          <w:sz w:val="21"/>
          <w:szCs w:val="21"/>
          <w:spacing w:val="8"/>
        </w:rPr>
        <w:t xml:space="preserve">  </w:t>
      </w:r>
      <w:r>
        <w:rPr>
          <w:rFonts w:ascii="SimSun" w:hAnsi="SimSun" w:eastAsia="SimSun" w:cs="SimSun"/>
          <w:sz w:val="21"/>
          <w:szCs w:val="21"/>
          <w:spacing w:val="-7"/>
        </w:rPr>
        <w:t>其对经济增长、普惠金融和经济稳定的影响；提出平</w:t>
      </w:r>
      <w:r>
        <w:rPr>
          <w:rFonts w:ascii="SimSun" w:hAnsi="SimSun" w:eastAsia="SimSun" w:cs="SimSun"/>
          <w:sz w:val="21"/>
          <w:szCs w:val="21"/>
          <w:spacing w:val="-8"/>
        </w:rPr>
        <w:t>台企业在治理、</w:t>
      </w:r>
      <w:r>
        <w:rPr>
          <w:rFonts w:ascii="SimSun" w:hAnsi="SimSun" w:eastAsia="SimSun" w:cs="SimSun"/>
          <w:sz w:val="21"/>
          <w:szCs w:val="21"/>
        </w:rPr>
        <w:t xml:space="preserve"> </w:t>
      </w:r>
      <w:r>
        <w:rPr>
          <w:rFonts w:ascii="SimSun" w:hAnsi="SimSun" w:eastAsia="SimSun" w:cs="SimSun"/>
          <w:sz w:val="21"/>
          <w:szCs w:val="21"/>
          <w:spacing w:val="-10"/>
        </w:rPr>
        <w:t>创新、收入分配、数据分析和竞争行为等方面面临的一些新挑战；回</w:t>
      </w:r>
      <w:r>
        <w:rPr>
          <w:rFonts w:ascii="SimSun" w:hAnsi="SimSun" w:eastAsia="SimSun" w:cs="SimSun"/>
          <w:sz w:val="21"/>
          <w:szCs w:val="21"/>
        </w:rPr>
        <w:t xml:space="preserve"> </w:t>
      </w:r>
      <w:r>
        <w:rPr>
          <w:rFonts w:ascii="SimSun" w:hAnsi="SimSun" w:eastAsia="SimSun" w:cs="SimSun"/>
          <w:sz w:val="21"/>
          <w:szCs w:val="21"/>
          <w:spacing w:val="-4"/>
        </w:rPr>
        <w:t>顾美国反垄断政策思路演变，反思我国当前的平台监管与反垄断执</w:t>
      </w:r>
      <w:r>
        <w:rPr>
          <w:rFonts w:ascii="SimSun" w:hAnsi="SimSun" w:eastAsia="SimSun" w:cs="SimSun"/>
          <w:sz w:val="21"/>
          <w:szCs w:val="21"/>
          <w:spacing w:val="6"/>
        </w:rPr>
        <w:t xml:space="preserve">  </w:t>
      </w:r>
      <w:r>
        <w:rPr>
          <w:rFonts w:ascii="SimSun" w:hAnsi="SimSun" w:eastAsia="SimSun" w:cs="SimSun"/>
          <w:sz w:val="21"/>
          <w:szCs w:val="21"/>
          <w:spacing w:val="-11"/>
        </w:rPr>
        <w:t>法；最后总结关于平台经济的主要结论并提出相应的政策建议。</w:t>
      </w:r>
    </w:p>
    <w:p>
      <w:pPr>
        <w:pStyle w:val="BodyText"/>
        <w:spacing w:line="365" w:lineRule="auto"/>
        <w:rPr/>
      </w:pPr>
      <w:r/>
    </w:p>
    <w:p>
      <w:pPr>
        <w:ind w:left="1719"/>
        <w:spacing w:before="104" w:line="220" w:lineRule="auto"/>
        <w:rPr>
          <w:rFonts w:ascii="SimSun" w:hAnsi="SimSun" w:eastAsia="SimSun" w:cs="SimSun"/>
          <w:sz w:val="32"/>
          <w:szCs w:val="32"/>
        </w:rPr>
      </w:pPr>
      <w:r>
        <w:rPr>
          <w:rFonts w:ascii="SimSun" w:hAnsi="SimSun" w:eastAsia="SimSun" w:cs="SimSun"/>
          <w:sz w:val="32"/>
          <w:szCs w:val="32"/>
          <w:b/>
          <w:bCs/>
          <w:spacing w:val="-7"/>
        </w:rPr>
        <w:t>我国平台经济的兴起</w:t>
      </w:r>
    </w:p>
    <w:p>
      <w:pPr>
        <w:pStyle w:val="BodyText"/>
        <w:spacing w:line="261" w:lineRule="auto"/>
        <w:rPr/>
      </w:pPr>
      <w:r/>
    </w:p>
    <w:p>
      <w:pPr>
        <w:ind w:firstLine="419"/>
        <w:spacing w:before="68" w:line="301" w:lineRule="auto"/>
        <w:jc w:val="both"/>
        <w:rPr>
          <w:rFonts w:ascii="SimSun" w:hAnsi="SimSun" w:eastAsia="SimSun" w:cs="SimSun"/>
          <w:sz w:val="21"/>
          <w:szCs w:val="21"/>
        </w:rPr>
      </w:pPr>
      <w:r>
        <w:rPr>
          <w:rFonts w:ascii="SimSun" w:hAnsi="SimSun" w:eastAsia="SimSun" w:cs="SimSun"/>
          <w:sz w:val="21"/>
          <w:szCs w:val="21"/>
          <w:spacing w:val="-4"/>
        </w:rPr>
        <w:t>“数字经济”的概念是唐·泰普斯科特</w:t>
      </w:r>
      <w:r>
        <w:rPr>
          <w:rFonts w:ascii="Times New Roman" w:hAnsi="Times New Roman" w:eastAsia="Times New Roman" w:cs="Times New Roman"/>
          <w:sz w:val="21"/>
          <w:szCs w:val="21"/>
          <w:spacing w:val="-4"/>
        </w:rPr>
        <w:t>(Don</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4"/>
        </w:rPr>
        <w:t>Tapscott)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在其畅销 </w:t>
      </w:r>
      <w:r>
        <w:rPr>
          <w:rFonts w:ascii="SimSun" w:hAnsi="SimSun" w:eastAsia="SimSun" w:cs="SimSun"/>
          <w:sz w:val="21"/>
          <w:szCs w:val="21"/>
          <w:spacing w:val="-7"/>
        </w:rPr>
        <w:t>书《数据时代的经济学：对网络智能时代机遇和风险的再思考》中首</w:t>
      </w:r>
      <w:r>
        <w:rPr>
          <w:rFonts w:ascii="SimSun" w:hAnsi="SimSun" w:eastAsia="SimSun" w:cs="SimSun"/>
          <w:sz w:val="21"/>
          <w:szCs w:val="21"/>
          <w:spacing w:val="2"/>
        </w:rPr>
        <w:t xml:space="preserve">  </w:t>
      </w:r>
      <w:r>
        <w:rPr>
          <w:rFonts w:ascii="SimSun" w:hAnsi="SimSun" w:eastAsia="SimSun" w:cs="SimSun"/>
          <w:sz w:val="21"/>
          <w:szCs w:val="21"/>
          <w:spacing w:val="2"/>
        </w:rPr>
        <w:t>先提出的。作者后来在一系列著作中预测了数字经济的12个特点，</w:t>
      </w:r>
      <w:r>
        <w:rPr>
          <w:rFonts w:ascii="SimSun" w:hAnsi="SimSun" w:eastAsia="SimSun" w:cs="SimSun"/>
          <w:sz w:val="21"/>
          <w:szCs w:val="21"/>
          <w:spacing w:val="18"/>
        </w:rPr>
        <w:t xml:space="preserve"> </w:t>
      </w:r>
      <w:r>
        <w:rPr>
          <w:rFonts w:ascii="SimSun" w:hAnsi="SimSun" w:eastAsia="SimSun" w:cs="SimSun"/>
          <w:sz w:val="21"/>
          <w:szCs w:val="21"/>
          <w:spacing w:val="-7"/>
        </w:rPr>
        <w:t>即知识驱动、数字化、虚拟化、分子化、集成互联、去中介、通信汇</w:t>
      </w:r>
      <w:r>
        <w:rPr>
          <w:rFonts w:ascii="SimSun" w:hAnsi="SimSun" w:eastAsia="SimSun" w:cs="SimSun"/>
          <w:sz w:val="21"/>
          <w:szCs w:val="21"/>
          <w:spacing w:val="2"/>
        </w:rPr>
        <w:t xml:space="preserve">  </w:t>
      </w:r>
      <w:r>
        <w:rPr>
          <w:rFonts w:ascii="SimSun" w:hAnsi="SimSun" w:eastAsia="SimSun" w:cs="SimSun"/>
          <w:sz w:val="21"/>
          <w:szCs w:val="21"/>
          <w:spacing w:val="-7"/>
        </w:rPr>
        <w:t>流、创新、产销合一、即时性、全球化和冲突性。不</w:t>
      </w:r>
      <w:r>
        <w:rPr>
          <w:rFonts w:ascii="SimSun" w:hAnsi="SimSun" w:eastAsia="SimSun" w:cs="SimSun"/>
          <w:sz w:val="21"/>
          <w:szCs w:val="21"/>
          <w:spacing w:val="-8"/>
        </w:rPr>
        <w:t>同国家或国际组</w:t>
      </w:r>
      <w:r>
        <w:rPr>
          <w:rFonts w:ascii="SimSun" w:hAnsi="SimSun" w:eastAsia="SimSun" w:cs="SimSun"/>
          <w:sz w:val="21"/>
          <w:szCs w:val="21"/>
        </w:rPr>
        <w:t xml:space="preserve">  </w:t>
      </w:r>
      <w:r>
        <w:rPr>
          <w:rFonts w:ascii="SimSun" w:hAnsi="SimSun" w:eastAsia="SimSun" w:cs="SimSun"/>
          <w:sz w:val="21"/>
          <w:szCs w:val="21"/>
        </w:rPr>
        <w:t>织对“数字经济”的范畴有不同界定，国务院在2021年12月发布的</w:t>
      </w:r>
      <w:r>
        <w:rPr>
          <w:rFonts w:ascii="SimSun" w:hAnsi="SimSun" w:eastAsia="SimSun" w:cs="SimSun"/>
          <w:sz w:val="21"/>
          <w:szCs w:val="21"/>
          <w:spacing w:val="5"/>
        </w:rPr>
        <w:t xml:space="preserve">  </w:t>
      </w:r>
      <w:r>
        <w:rPr>
          <w:rFonts w:ascii="SimSun" w:hAnsi="SimSun" w:eastAsia="SimSun" w:cs="SimSun"/>
          <w:sz w:val="21"/>
          <w:szCs w:val="21"/>
          <w:spacing w:val="-12"/>
        </w:rPr>
        <w:t>《“十四五”数字经济发展规划》中提供了一个定义，即“数</w:t>
      </w:r>
      <w:r>
        <w:rPr>
          <w:rFonts w:ascii="SimSun" w:hAnsi="SimSun" w:eastAsia="SimSun" w:cs="SimSun"/>
          <w:sz w:val="21"/>
          <w:szCs w:val="21"/>
          <w:spacing w:val="-13"/>
        </w:rPr>
        <w:t>字经济是</w:t>
      </w:r>
      <w:r>
        <w:rPr>
          <w:rFonts w:ascii="SimSun" w:hAnsi="SimSun" w:eastAsia="SimSun" w:cs="SimSun"/>
          <w:sz w:val="21"/>
          <w:szCs w:val="21"/>
        </w:rPr>
        <w:t xml:space="preserve"> </w:t>
      </w:r>
      <w:r>
        <w:rPr>
          <w:rFonts w:ascii="SimSun" w:hAnsi="SimSun" w:eastAsia="SimSun" w:cs="SimSun"/>
          <w:sz w:val="21"/>
          <w:szCs w:val="21"/>
          <w:spacing w:val="-7"/>
        </w:rPr>
        <w:t>继农业经济、工业经济之后的主要经济形态，是以数据资源为关键要</w:t>
      </w:r>
      <w:r>
        <w:rPr>
          <w:rFonts w:ascii="SimSun" w:hAnsi="SimSun" w:eastAsia="SimSun" w:cs="SimSun"/>
          <w:sz w:val="21"/>
          <w:szCs w:val="21"/>
          <w:spacing w:val="2"/>
        </w:rPr>
        <w:t xml:space="preserve">  </w:t>
      </w:r>
      <w:r>
        <w:rPr>
          <w:rFonts w:ascii="SimSun" w:hAnsi="SimSun" w:eastAsia="SimSun" w:cs="SimSun"/>
          <w:sz w:val="21"/>
          <w:szCs w:val="21"/>
          <w:spacing w:val="-7"/>
        </w:rPr>
        <w:t>素，以现代信息网络为主要载体，以信息通信技术融合应用、全要素</w:t>
      </w:r>
      <w:r>
        <w:rPr>
          <w:rFonts w:ascii="SimSun" w:hAnsi="SimSun" w:eastAsia="SimSun" w:cs="SimSun"/>
          <w:sz w:val="21"/>
          <w:szCs w:val="21"/>
          <w:spacing w:val="1"/>
        </w:rPr>
        <w:t xml:space="preserve">  </w:t>
      </w:r>
      <w:r>
        <w:rPr>
          <w:rFonts w:ascii="SimSun" w:hAnsi="SimSun" w:eastAsia="SimSun" w:cs="SimSun"/>
          <w:sz w:val="21"/>
          <w:szCs w:val="21"/>
          <w:spacing w:val="-10"/>
        </w:rPr>
        <w:t>数字化转型为重要推动力，促进公平与效率</w:t>
      </w:r>
      <w:r>
        <w:rPr>
          <w:rFonts w:ascii="SimSun" w:hAnsi="SimSun" w:eastAsia="SimSun" w:cs="SimSun"/>
          <w:sz w:val="21"/>
          <w:szCs w:val="21"/>
          <w:spacing w:val="-11"/>
        </w:rPr>
        <w:t>更加统一的新经济形态”。</w:t>
      </w:r>
    </w:p>
    <w:p>
      <w:pPr>
        <w:ind w:left="105" w:firstLine="419"/>
        <w:spacing w:before="184" w:line="300" w:lineRule="auto"/>
        <w:jc w:val="both"/>
        <w:rPr>
          <w:rFonts w:ascii="SimSun" w:hAnsi="SimSun" w:eastAsia="SimSun" w:cs="SimSun"/>
          <w:sz w:val="21"/>
          <w:szCs w:val="21"/>
        </w:rPr>
      </w:pPr>
      <w:r>
        <w:rPr>
          <w:rFonts w:ascii="SimSun" w:hAnsi="SimSun" w:eastAsia="SimSun" w:cs="SimSun"/>
          <w:sz w:val="21"/>
          <w:szCs w:val="21"/>
          <w:spacing w:val="-11"/>
        </w:rPr>
        <w:t>平台经济是数字经济的一种特殊形态，通常具有颠覆式创新、多 </w:t>
      </w:r>
      <w:r>
        <w:rPr>
          <w:rFonts w:ascii="SimSun" w:hAnsi="SimSun" w:eastAsia="SimSun" w:cs="SimSun"/>
          <w:sz w:val="21"/>
          <w:szCs w:val="21"/>
          <w:spacing w:val="-10"/>
        </w:rPr>
        <w:t>边市场、跨界竞争及线上线下能力整合等特征</w:t>
      </w:r>
      <w:r>
        <w:rPr>
          <w:rFonts w:ascii="SimSun" w:hAnsi="SimSun" w:eastAsia="SimSun" w:cs="SimSun"/>
          <w:sz w:val="21"/>
          <w:szCs w:val="21"/>
          <w:spacing w:val="-11"/>
        </w:rPr>
        <w:t>。国务院办公厅《关于</w:t>
      </w:r>
      <w:r>
        <w:rPr>
          <w:rFonts w:ascii="SimSun" w:hAnsi="SimSun" w:eastAsia="SimSun" w:cs="SimSun"/>
          <w:sz w:val="21"/>
          <w:szCs w:val="21"/>
        </w:rPr>
        <w:t xml:space="preserve">  </w:t>
      </w:r>
      <w:r>
        <w:rPr>
          <w:rFonts w:ascii="SimSun" w:hAnsi="SimSun" w:eastAsia="SimSun" w:cs="SimSun"/>
          <w:sz w:val="21"/>
          <w:szCs w:val="21"/>
          <w:spacing w:val="-10"/>
        </w:rPr>
        <w:t>促进平台经济规范健康发展的指导意见》(2019)指出，“互联网平台</w:t>
      </w:r>
      <w:r>
        <w:rPr>
          <w:rFonts w:ascii="SimSun" w:hAnsi="SimSun" w:eastAsia="SimSun" w:cs="SimSun"/>
          <w:sz w:val="21"/>
          <w:szCs w:val="21"/>
          <w:spacing w:val="5"/>
        </w:rPr>
        <w:t xml:space="preserve">  </w:t>
      </w:r>
      <w:r>
        <w:rPr>
          <w:rFonts w:ascii="SimSun" w:hAnsi="SimSun" w:eastAsia="SimSun" w:cs="SimSun"/>
          <w:sz w:val="21"/>
          <w:szCs w:val="21"/>
          <w:spacing w:val="-7"/>
        </w:rPr>
        <w:t>经济是生产力新的组织方式，是经济发展新动能，对</w:t>
      </w:r>
      <w:r>
        <w:rPr>
          <w:rFonts w:ascii="SimSun" w:hAnsi="SimSun" w:eastAsia="SimSun" w:cs="SimSun"/>
          <w:sz w:val="21"/>
          <w:szCs w:val="21"/>
          <w:spacing w:val="-8"/>
        </w:rPr>
        <w:t>优化资源配置、</w:t>
      </w:r>
      <w:r>
        <w:rPr>
          <w:rFonts w:ascii="SimSun" w:hAnsi="SimSun" w:eastAsia="SimSun" w:cs="SimSun"/>
          <w:sz w:val="21"/>
          <w:szCs w:val="21"/>
        </w:rPr>
        <w:t xml:space="preserve"> </w:t>
      </w:r>
      <w:r>
        <w:rPr>
          <w:rFonts w:ascii="SimSun" w:hAnsi="SimSun" w:eastAsia="SimSun" w:cs="SimSun"/>
          <w:sz w:val="21"/>
          <w:szCs w:val="21"/>
          <w:spacing w:val="-10"/>
        </w:rPr>
        <w:t>促进跨界融通发展和大众创业万众创新、推动</w:t>
      </w:r>
      <w:r>
        <w:rPr>
          <w:rFonts w:ascii="SimSun" w:hAnsi="SimSun" w:eastAsia="SimSun" w:cs="SimSun"/>
          <w:sz w:val="21"/>
          <w:szCs w:val="21"/>
          <w:spacing w:val="-11"/>
        </w:rPr>
        <w:t>产业升级、拓展消费市</w:t>
      </w:r>
      <w:r>
        <w:rPr>
          <w:rFonts w:ascii="SimSun" w:hAnsi="SimSun" w:eastAsia="SimSun" w:cs="SimSun"/>
          <w:sz w:val="21"/>
          <w:szCs w:val="21"/>
        </w:rPr>
        <w:t xml:space="preserve">  </w:t>
      </w:r>
      <w:r>
        <w:rPr>
          <w:rFonts w:ascii="SimSun" w:hAnsi="SimSun" w:eastAsia="SimSun" w:cs="SimSun"/>
          <w:sz w:val="21"/>
          <w:szCs w:val="21"/>
          <w:spacing w:val="-17"/>
        </w:rPr>
        <w:t>场尤其是增加就业，都有重要作用”。</w:t>
      </w:r>
    </w:p>
    <w:p>
      <w:pPr>
        <w:spacing w:line="300" w:lineRule="auto"/>
        <w:sectPr>
          <w:headerReference w:type="default" r:id="rId26"/>
          <w:pgSz w:w="7330" w:h="12480"/>
          <w:pgMar w:top="485" w:right="715" w:bottom="400" w:left="425" w:header="322"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19" w:firstLine="410"/>
        <w:spacing w:before="69" w:line="303" w:lineRule="auto"/>
        <w:rPr>
          <w:rFonts w:ascii="SimSun" w:hAnsi="SimSun" w:eastAsia="SimSun" w:cs="SimSun"/>
          <w:sz w:val="21"/>
          <w:szCs w:val="21"/>
        </w:rPr>
      </w:pPr>
      <w:r>
        <w:rPr>
          <w:rFonts w:ascii="SimSun" w:hAnsi="SimSun" w:eastAsia="SimSun" w:cs="SimSun"/>
          <w:sz w:val="21"/>
          <w:szCs w:val="21"/>
          <w:spacing w:val="-11"/>
        </w:rPr>
        <w:t>平台经济并不是一种全新的业务形态，在传统经济中，平台企业 </w:t>
      </w:r>
      <w:r>
        <w:rPr>
          <w:rFonts w:ascii="SimSun" w:hAnsi="SimSun" w:eastAsia="SimSun" w:cs="SimSun"/>
          <w:sz w:val="21"/>
          <w:szCs w:val="21"/>
          <w:spacing w:val="-11"/>
        </w:rPr>
        <w:t>也很常见，例如百货大楼、农贸市场、出租车公司以及学校。本书讨</w:t>
      </w:r>
      <w:r>
        <w:rPr>
          <w:rFonts w:ascii="SimSun" w:hAnsi="SimSun" w:eastAsia="SimSun" w:cs="SimSun"/>
          <w:sz w:val="21"/>
          <w:szCs w:val="21"/>
          <w:spacing w:val="5"/>
        </w:rPr>
        <w:t xml:space="preserve">  </w:t>
      </w:r>
      <w:r>
        <w:rPr>
          <w:rFonts w:ascii="SimSun" w:hAnsi="SimSun" w:eastAsia="SimSun" w:cs="SimSun"/>
          <w:sz w:val="21"/>
          <w:szCs w:val="21"/>
          <w:spacing w:val="-11"/>
        </w:rPr>
        <w:t>论的平台是运用诸如互联网、人工智能、大数据、云计算等技术的数</w:t>
      </w:r>
      <w:r>
        <w:rPr>
          <w:rFonts w:ascii="SimSun" w:hAnsi="SimSun" w:eastAsia="SimSun" w:cs="SimSun"/>
          <w:sz w:val="21"/>
          <w:szCs w:val="21"/>
          <w:spacing w:val="3"/>
        </w:rPr>
        <w:t xml:space="preserve">  </w:t>
      </w:r>
      <w:r>
        <w:rPr>
          <w:rFonts w:ascii="SimSun" w:hAnsi="SimSun" w:eastAsia="SimSun" w:cs="SimSun"/>
          <w:sz w:val="21"/>
          <w:szCs w:val="21"/>
          <w:spacing w:val="-8"/>
        </w:rPr>
        <w:t>字平台，它们虽然与传统平台有许多相似之处，但差异也显而易见。</w:t>
      </w:r>
      <w:r>
        <w:rPr>
          <w:rFonts w:ascii="SimSun" w:hAnsi="SimSun" w:eastAsia="SimSun" w:cs="SimSun"/>
          <w:sz w:val="21"/>
          <w:szCs w:val="21"/>
          <w:spacing w:val="14"/>
        </w:rPr>
        <w:t xml:space="preserve"> </w:t>
      </w:r>
      <w:r>
        <w:rPr>
          <w:rFonts w:ascii="SimSun" w:hAnsi="SimSun" w:eastAsia="SimSun" w:cs="SimSun"/>
          <w:sz w:val="21"/>
          <w:szCs w:val="21"/>
          <w:spacing w:val="-11"/>
        </w:rPr>
        <w:t>数字平台通过创新技术产品、业务流程与商业模式，突破传统平台面</w:t>
      </w:r>
      <w:r>
        <w:rPr>
          <w:rFonts w:ascii="SimSun" w:hAnsi="SimSun" w:eastAsia="SimSun" w:cs="SimSun"/>
          <w:sz w:val="21"/>
          <w:szCs w:val="21"/>
          <w:spacing w:val="3"/>
        </w:rPr>
        <w:t xml:space="preserve">  </w:t>
      </w:r>
      <w:r>
        <w:rPr>
          <w:rFonts w:ascii="SimSun" w:hAnsi="SimSun" w:eastAsia="SimSun" w:cs="SimSun"/>
          <w:sz w:val="21"/>
          <w:szCs w:val="21"/>
          <w:spacing w:val="-10"/>
        </w:rPr>
        <w:t>临的地域、时间、交易规模、信息沟通等方面的约束，获得全新的规 </w:t>
      </w:r>
      <w:r>
        <w:rPr>
          <w:rFonts w:ascii="SimSun" w:hAnsi="SimSun" w:eastAsia="SimSun" w:cs="SimSun"/>
          <w:sz w:val="21"/>
          <w:szCs w:val="21"/>
          <w:spacing w:val="-12"/>
        </w:rPr>
        <w:t>模、内涵、效率和影响力。</w:t>
      </w:r>
    </w:p>
    <w:p>
      <w:pPr>
        <w:ind w:right="19" w:firstLine="410"/>
        <w:spacing w:before="101" w:line="300" w:lineRule="auto"/>
        <w:rPr>
          <w:rFonts w:ascii="SimSun" w:hAnsi="SimSun" w:eastAsia="SimSun" w:cs="SimSun"/>
          <w:sz w:val="21"/>
          <w:szCs w:val="21"/>
        </w:rPr>
      </w:pPr>
      <w:r>
        <w:rPr>
          <w:rFonts w:ascii="SimSun" w:hAnsi="SimSun" w:eastAsia="SimSun" w:cs="SimSun"/>
          <w:sz w:val="21"/>
          <w:szCs w:val="21"/>
          <w:spacing w:val="-8"/>
        </w:rPr>
        <w:t>平台经济包括电商、网络约车、文娱、社交、搜索、数字金融、</w:t>
      </w:r>
      <w:r>
        <w:rPr>
          <w:rFonts w:ascii="SimSun" w:hAnsi="SimSun" w:eastAsia="SimSun" w:cs="SimSun"/>
          <w:sz w:val="21"/>
          <w:szCs w:val="21"/>
          <w:spacing w:val="8"/>
        </w:rPr>
        <w:t xml:space="preserve"> </w:t>
      </w:r>
      <w:r>
        <w:rPr>
          <w:rFonts w:ascii="SimSun" w:hAnsi="SimSun" w:eastAsia="SimSun" w:cs="SimSun"/>
          <w:sz w:val="21"/>
          <w:szCs w:val="21"/>
          <w:spacing w:val="-10"/>
        </w:rPr>
        <w:t>工具、门户、共享、服务、物流等业务类型。</w:t>
      </w:r>
      <w:r>
        <w:rPr>
          <w:rFonts w:ascii="SimSun" w:hAnsi="SimSun" w:eastAsia="SimSun" w:cs="SimSun"/>
          <w:sz w:val="21"/>
          <w:szCs w:val="21"/>
          <w:spacing w:val="-11"/>
        </w:rPr>
        <w:t>按功能看，可以将平台</w:t>
      </w:r>
      <w:r>
        <w:rPr>
          <w:rFonts w:ascii="SimSun" w:hAnsi="SimSun" w:eastAsia="SimSun" w:cs="SimSun"/>
          <w:sz w:val="21"/>
          <w:szCs w:val="21"/>
        </w:rPr>
        <w:t xml:space="preserve"> </w:t>
      </w:r>
      <w:r>
        <w:rPr>
          <w:rFonts w:ascii="SimSun" w:hAnsi="SimSun" w:eastAsia="SimSun" w:cs="SimSun"/>
          <w:sz w:val="21"/>
          <w:szCs w:val="21"/>
          <w:spacing w:val="-10"/>
        </w:rPr>
        <w:t>划分为交易促成型和内容传输型两类。交易促</w:t>
      </w:r>
      <w:r>
        <w:rPr>
          <w:rFonts w:ascii="SimSun" w:hAnsi="SimSun" w:eastAsia="SimSun" w:cs="SimSun"/>
          <w:sz w:val="21"/>
          <w:szCs w:val="21"/>
          <w:spacing w:val="-11"/>
        </w:rPr>
        <w:t>成型平台旨在传递交易</w:t>
      </w:r>
      <w:r>
        <w:rPr>
          <w:rFonts w:ascii="SimSun" w:hAnsi="SimSun" w:eastAsia="SimSun" w:cs="SimSun"/>
          <w:sz w:val="21"/>
          <w:szCs w:val="21"/>
        </w:rPr>
        <w:t xml:space="preserve"> </w:t>
      </w:r>
      <w:r>
        <w:rPr>
          <w:rFonts w:ascii="SimSun" w:hAnsi="SimSun" w:eastAsia="SimSun" w:cs="SimSun"/>
          <w:sz w:val="21"/>
          <w:szCs w:val="21"/>
          <w:spacing w:val="-10"/>
        </w:rPr>
        <w:t>信息，促成交易达成，又可细分为电商平台、</w:t>
      </w:r>
      <w:r>
        <w:rPr>
          <w:rFonts w:ascii="SimSun" w:hAnsi="SimSun" w:eastAsia="SimSun" w:cs="SimSun"/>
          <w:sz w:val="21"/>
          <w:szCs w:val="21"/>
          <w:spacing w:val="-11"/>
        </w:rPr>
        <w:t>支付平台、网约车平台</w:t>
      </w:r>
      <w:r>
        <w:rPr>
          <w:rFonts w:ascii="SimSun" w:hAnsi="SimSun" w:eastAsia="SimSun" w:cs="SimSun"/>
          <w:sz w:val="21"/>
          <w:szCs w:val="21"/>
        </w:rPr>
        <w:t xml:space="preserve"> </w:t>
      </w:r>
      <w:r>
        <w:rPr>
          <w:rFonts w:ascii="SimSun" w:hAnsi="SimSun" w:eastAsia="SimSun" w:cs="SimSun"/>
          <w:sz w:val="21"/>
          <w:szCs w:val="21"/>
          <w:spacing w:val="-11"/>
        </w:rPr>
        <w:t>和外卖平台等；内容传输型平台则传输新闻、观点、通信、娱乐、金</w:t>
      </w:r>
      <w:r>
        <w:rPr>
          <w:rFonts w:ascii="SimSun" w:hAnsi="SimSun" w:eastAsia="SimSun" w:cs="SimSun"/>
          <w:sz w:val="21"/>
          <w:szCs w:val="21"/>
          <w:spacing w:val="3"/>
        </w:rPr>
        <w:t xml:space="preserve">  </w:t>
      </w:r>
      <w:r>
        <w:rPr>
          <w:rFonts w:ascii="SimSun" w:hAnsi="SimSun" w:eastAsia="SimSun" w:cs="SimSun"/>
          <w:sz w:val="21"/>
          <w:szCs w:val="21"/>
          <w:spacing w:val="-10"/>
        </w:rPr>
        <w:t>融、科学技术等信息，促进内容分享，如社交平台、短视频平台等。</w:t>
      </w:r>
    </w:p>
    <w:p>
      <w:pPr>
        <w:ind w:firstLine="410"/>
        <w:spacing w:before="113" w:line="318" w:lineRule="auto"/>
        <w:rPr>
          <w:rFonts w:ascii="SimSun" w:hAnsi="SimSun" w:eastAsia="SimSun" w:cs="SimSun"/>
          <w:sz w:val="21"/>
          <w:szCs w:val="21"/>
        </w:rPr>
      </w:pPr>
      <w:r>
        <w:rPr>
          <w:rFonts w:ascii="SimSun" w:hAnsi="SimSun" w:eastAsia="SimSun" w:cs="SimSun"/>
          <w:sz w:val="21"/>
          <w:szCs w:val="21"/>
          <w:spacing w:val="7"/>
        </w:rPr>
        <w:t>中国一些早期的平台企业是从20世纪90年代末开始孕育的。</w:t>
      </w:r>
      <w:r>
        <w:rPr>
          <w:rFonts w:ascii="SimSun" w:hAnsi="SimSun" w:eastAsia="SimSun" w:cs="SimSun"/>
          <w:sz w:val="21"/>
          <w:szCs w:val="21"/>
          <w:spacing w:val="8"/>
        </w:rPr>
        <w:t xml:space="preserve"> </w:t>
      </w:r>
      <w:r>
        <w:rPr>
          <w:rFonts w:ascii="SimSun" w:hAnsi="SimSun" w:eastAsia="SimSun" w:cs="SimSun"/>
          <w:sz w:val="21"/>
          <w:szCs w:val="21"/>
          <w:spacing w:val="-11"/>
        </w:rPr>
        <w:t>1998年，搜狐创始人张朝阳入选《时代》杂志评选的“全球数字精英</w:t>
      </w:r>
      <w:r>
        <w:rPr>
          <w:rFonts w:ascii="SimSun" w:hAnsi="SimSun" w:eastAsia="SimSun" w:cs="SimSun"/>
          <w:sz w:val="21"/>
          <w:szCs w:val="21"/>
          <w:spacing w:val="5"/>
        </w:rPr>
        <w:t xml:space="preserve">  </w:t>
      </w:r>
      <w:r>
        <w:rPr>
          <w:rFonts w:ascii="SimSun" w:hAnsi="SimSun" w:eastAsia="SimSun" w:cs="SimSun"/>
          <w:sz w:val="21"/>
          <w:szCs w:val="21"/>
          <w:spacing w:val="-5"/>
        </w:rPr>
        <w:t>50人”。1999年，马云创办了全球企</w:t>
      </w:r>
      <w:r>
        <w:rPr>
          <w:rFonts w:ascii="SimSun" w:hAnsi="SimSun" w:eastAsia="SimSun" w:cs="SimSun"/>
          <w:sz w:val="21"/>
          <w:szCs w:val="21"/>
          <w:spacing w:val="-6"/>
        </w:rPr>
        <w:t>业间(B2B)  电子商务品牌1688.</w:t>
      </w:r>
      <w:r>
        <w:rPr>
          <w:rFonts w:ascii="SimSun" w:hAnsi="SimSun" w:eastAsia="SimSun" w:cs="SimSun"/>
          <w:sz w:val="21"/>
          <w:szCs w:val="21"/>
        </w:rPr>
        <w:t xml:space="preserve"> </w:t>
      </w:r>
      <w:r>
        <w:rPr>
          <w:rFonts w:ascii="SimSun" w:hAnsi="SimSun" w:eastAsia="SimSun" w:cs="SimSun"/>
          <w:sz w:val="21"/>
          <w:szCs w:val="21"/>
          <w:spacing w:val="-6"/>
        </w:rPr>
        <w:t>com。2003年6月，非典疫情刚刚结束，马云就推出了电商平台淘</w:t>
      </w:r>
      <w:r>
        <w:rPr>
          <w:rFonts w:ascii="SimSun" w:hAnsi="SimSun" w:eastAsia="SimSun" w:cs="SimSun"/>
          <w:sz w:val="21"/>
          <w:szCs w:val="21"/>
          <w:spacing w:val="-7"/>
        </w:rPr>
        <w:t>宝；</w:t>
      </w:r>
      <w:r>
        <w:rPr>
          <w:rFonts w:ascii="SimSun" w:hAnsi="SimSun" w:eastAsia="SimSun" w:cs="SimSun"/>
          <w:sz w:val="21"/>
          <w:szCs w:val="21"/>
        </w:rPr>
        <w:t xml:space="preserve"> </w:t>
      </w:r>
      <w:r>
        <w:rPr>
          <w:rFonts w:ascii="SimSun" w:hAnsi="SimSun" w:eastAsia="SimSun" w:cs="SimSun"/>
          <w:sz w:val="21"/>
          <w:szCs w:val="21"/>
          <w:spacing w:val="-4"/>
        </w:rPr>
        <w:t>2004年1月，刘强东的京东多媒体网站也正式上线。过去二十几年，</w:t>
      </w:r>
    </w:p>
    <w:p>
      <w:pPr>
        <w:spacing w:line="219" w:lineRule="auto"/>
        <w:rPr>
          <w:rFonts w:ascii="SimSun" w:hAnsi="SimSun" w:eastAsia="SimSun" w:cs="SimSun"/>
          <w:sz w:val="21"/>
          <w:szCs w:val="21"/>
        </w:rPr>
      </w:pPr>
      <w:r>
        <w:rPr>
          <w:rFonts w:ascii="SimSun" w:hAnsi="SimSun" w:eastAsia="SimSun" w:cs="SimSun"/>
          <w:sz w:val="21"/>
          <w:szCs w:val="21"/>
          <w:spacing w:val="-5"/>
        </w:rPr>
        <w:t>平台经济的发展过程大致可以分为如下六个阶段(见图1-1):</w:t>
      </w:r>
    </w:p>
    <w:p>
      <w:pPr>
        <w:pStyle w:val="BodyText"/>
        <w:spacing w:line="395" w:lineRule="auto"/>
        <w:rPr/>
      </w:pPr>
      <w:r/>
    </w:p>
    <w:p>
      <w:pPr>
        <w:ind w:left="410"/>
        <w:spacing w:before="68" w:line="224" w:lineRule="auto"/>
        <w:rPr>
          <w:rFonts w:ascii="KaiTi" w:hAnsi="KaiTi" w:eastAsia="KaiTi" w:cs="KaiTi"/>
          <w:sz w:val="21"/>
          <w:szCs w:val="21"/>
        </w:rPr>
      </w:pPr>
      <w:r>
        <w:rPr>
          <w:rFonts w:ascii="KaiTi" w:hAnsi="KaiTi" w:eastAsia="KaiTi" w:cs="KaiTi"/>
          <w:sz w:val="21"/>
          <w:szCs w:val="21"/>
          <w:spacing w:val="-11"/>
        </w:rPr>
        <w:t>·1994—1997年：探索阶段</w:t>
      </w:r>
    </w:p>
    <w:p>
      <w:pPr>
        <w:ind w:left="410"/>
        <w:spacing w:before="105" w:line="341" w:lineRule="exact"/>
        <w:rPr>
          <w:rFonts w:ascii="KaiTi" w:hAnsi="KaiTi" w:eastAsia="KaiTi" w:cs="KaiTi"/>
          <w:sz w:val="21"/>
          <w:szCs w:val="21"/>
        </w:rPr>
      </w:pPr>
      <w:r>
        <w:rPr>
          <w:rFonts w:ascii="KaiTi" w:hAnsi="KaiTi" w:eastAsia="KaiTi" w:cs="KaiTi"/>
          <w:sz w:val="21"/>
          <w:szCs w:val="21"/>
          <w:spacing w:val="-10"/>
          <w:position w:val="9"/>
        </w:rPr>
        <w:t>·1998—2007年：平台起步</w:t>
      </w:r>
    </w:p>
    <w:p>
      <w:pPr>
        <w:ind w:left="410"/>
        <w:spacing w:line="224" w:lineRule="auto"/>
        <w:rPr>
          <w:rFonts w:ascii="KaiTi" w:hAnsi="KaiTi" w:eastAsia="KaiTi" w:cs="KaiTi"/>
          <w:sz w:val="21"/>
          <w:szCs w:val="21"/>
        </w:rPr>
      </w:pPr>
      <w:r>
        <w:rPr>
          <w:rFonts w:ascii="KaiTi" w:hAnsi="KaiTi" w:eastAsia="KaiTi" w:cs="KaiTi"/>
          <w:sz w:val="21"/>
          <w:szCs w:val="21"/>
          <w:spacing w:val="-11"/>
        </w:rPr>
        <w:t>·2008—2015年：爆发式增长</w:t>
      </w:r>
    </w:p>
    <w:p>
      <w:pPr>
        <w:ind w:left="410"/>
        <w:spacing w:before="116" w:line="225" w:lineRule="auto"/>
        <w:rPr>
          <w:rFonts w:ascii="KaiTi" w:hAnsi="KaiTi" w:eastAsia="KaiTi" w:cs="KaiTi"/>
          <w:sz w:val="21"/>
          <w:szCs w:val="21"/>
        </w:rPr>
      </w:pPr>
      <w:r>
        <w:rPr>
          <w:rFonts w:ascii="Times New Roman" w:hAnsi="Times New Roman" w:eastAsia="Times New Roman" w:cs="Times New Roman"/>
          <w:sz w:val="21"/>
          <w:szCs w:val="21"/>
          <w:spacing w:val="-5"/>
        </w:rPr>
        <w:t>·2016 </w:t>
      </w:r>
      <w:r>
        <w:rPr>
          <w:rFonts w:ascii="KaiTi" w:hAnsi="KaiTi" w:eastAsia="KaiTi" w:cs="KaiTi"/>
          <w:sz w:val="21"/>
          <w:szCs w:val="21"/>
          <w:spacing w:val="-5"/>
        </w:rPr>
        <w:t>—2019年：竞争加剧</w:t>
      </w:r>
    </w:p>
    <w:p>
      <w:pPr>
        <w:ind w:left="410"/>
        <w:spacing w:before="114" w:line="225" w:lineRule="auto"/>
        <w:rPr>
          <w:rFonts w:ascii="KaiTi" w:hAnsi="KaiTi" w:eastAsia="KaiTi" w:cs="KaiTi"/>
          <w:sz w:val="21"/>
          <w:szCs w:val="21"/>
        </w:rPr>
      </w:pPr>
      <w:r>
        <w:rPr>
          <w:rFonts w:ascii="KaiTi" w:hAnsi="KaiTi" w:eastAsia="KaiTi" w:cs="KaiTi"/>
          <w:sz w:val="21"/>
          <w:szCs w:val="21"/>
          <w:spacing w:val="-12"/>
        </w:rPr>
        <w:t>·2020年：新冠疫情冲击</w:t>
      </w:r>
    </w:p>
    <w:p>
      <w:pPr>
        <w:ind w:left="410"/>
        <w:spacing w:before="84" w:line="225" w:lineRule="auto"/>
        <w:rPr>
          <w:rFonts w:ascii="KaiTi" w:hAnsi="KaiTi" w:eastAsia="KaiTi" w:cs="KaiTi"/>
          <w:sz w:val="21"/>
          <w:szCs w:val="21"/>
        </w:rPr>
      </w:pPr>
      <w:r>
        <w:rPr>
          <w:rFonts w:ascii="KaiTi" w:hAnsi="KaiTi" w:eastAsia="KaiTi" w:cs="KaiTi"/>
          <w:sz w:val="21"/>
          <w:szCs w:val="21"/>
          <w:spacing w:val="-11"/>
        </w:rPr>
        <w:t>·2021年至今：全面治理</w:t>
      </w:r>
    </w:p>
    <w:p>
      <w:pPr>
        <w:spacing w:line="225" w:lineRule="auto"/>
        <w:sectPr>
          <w:headerReference w:type="default" r:id="rId27"/>
          <w:pgSz w:w="7330" w:h="12480"/>
          <w:pgMar w:top="763" w:right="685" w:bottom="400" w:left="549" w:header="590" w:footer="0" w:gutter="0"/>
        </w:sectPr>
        <w:rPr>
          <w:rFonts w:ascii="KaiTi" w:hAnsi="KaiTi" w:eastAsia="KaiTi" w:cs="KaiTi"/>
          <w:sz w:val="21"/>
          <w:szCs w:val="21"/>
        </w:rPr>
      </w:pPr>
    </w:p>
    <w:p>
      <w:pPr>
        <w:spacing w:line="220" w:lineRule="auto"/>
        <w:rPr>
          <w:rFonts w:ascii="YouYuan" w:hAnsi="YouYuan" w:eastAsia="YouYuan" w:cs="YouYuan"/>
          <w:sz w:val="16"/>
          <w:szCs w:val="16"/>
        </w:rPr>
      </w:pPr>
      <w:r>
        <w:rPr>
          <w:rFonts w:ascii="SimSun" w:hAnsi="SimSun" w:eastAsia="SimSun" w:cs="SimSun"/>
          <w:sz w:val="12"/>
          <w:szCs w:val="12"/>
          <w:spacing w:val="-2"/>
          <w:position w:val="-2"/>
        </w:rPr>
        <w:t>008                             </w:t>
      </w:r>
      <w:r>
        <w:rPr>
          <w:rFonts w:ascii="SimSun" w:hAnsi="SimSun" w:eastAsia="SimSun" w:cs="SimSun"/>
          <w:sz w:val="12"/>
          <w:szCs w:val="12"/>
          <w:spacing w:val="-3"/>
          <w:position w:val="-2"/>
        </w:rPr>
        <w:t xml:space="preserve"> </w:t>
      </w:r>
      <w:r>
        <w:rPr>
          <w:rFonts w:ascii="YouYuan" w:hAnsi="YouYuan" w:eastAsia="YouYuan" w:cs="YouYuan"/>
          <w:sz w:val="16"/>
          <w:szCs w:val="16"/>
          <w:spacing w:val="-3"/>
        </w:rPr>
        <w:t>平台经济——创新、治理与繁荣</w:t>
      </w:r>
    </w:p>
    <w:p>
      <w:pPr>
        <w:spacing w:before="19"/>
        <w:rPr/>
      </w:pPr>
      <w:r/>
    </w:p>
    <w:p>
      <w:pPr>
        <w:spacing w:before="19"/>
        <w:rPr/>
      </w:pPr>
      <w:r/>
    </w:p>
    <w:p>
      <w:pPr>
        <w:spacing w:before="19"/>
        <w:rPr/>
      </w:pPr>
      <w:r/>
    </w:p>
    <w:p>
      <w:pPr>
        <w:spacing w:before="18"/>
        <w:rPr/>
      </w:pPr>
      <w:r/>
    </w:p>
    <w:tbl>
      <w:tblPr>
        <w:tblStyle w:val="TableNormal"/>
        <w:tblW w:w="6010"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19"/>
        <w:gridCol w:w="3291"/>
      </w:tblGrid>
      <w:tr>
        <w:trPr>
          <w:trHeight w:val="1368" w:hRule="atLeast"/>
        </w:trPr>
        <w:tc>
          <w:tcPr>
            <w:tcW w:w="6010" w:type="dxa"/>
            <w:vAlign w:val="top"/>
            <w:gridSpan w:val="2"/>
            <w:tcBorders>
              <w:bottom w:val="nil"/>
            </w:tcBorders>
          </w:tcPr>
          <w:p>
            <w:pPr>
              <w:pStyle w:val="TableText"/>
              <w:ind w:left="35" w:firstLine="238"/>
              <w:spacing w:before="110" w:line="219" w:lineRule="auto"/>
              <w:rPr/>
            </w:pPr>
            <w:r>
              <w:rPr>
                <w:spacing w:val="-1"/>
              </w:rPr>
              <w:t>探索阶段</w:t>
            </w:r>
            <w:r>
              <w:rPr>
                <w:spacing w:val="13"/>
              </w:rPr>
              <w:t xml:space="preserve">    </w:t>
            </w:r>
            <w:r>
              <w:rPr>
                <w:spacing w:val="-1"/>
              </w:rPr>
              <w:t>平台起步    爆发式增长    竞争</w:t>
            </w:r>
            <w:r>
              <w:rPr>
                <w:spacing w:val="-2"/>
              </w:rPr>
              <w:t>加剧  疫情冲击   全面治理</w:t>
            </w:r>
            <w:r>
              <w:rPr>
                <w:spacing w:val="2"/>
              </w:rPr>
              <w:t xml:space="preserve"> </w:t>
            </w:r>
            <w:r>
              <w:rPr>
                <w:spacing w:val="-8"/>
              </w:rPr>
              <w:t>(1994—1997年)(1998—2007年)(2008—2015年)(2016—2019年)(2020年)(2021年至今)</w:t>
            </w:r>
          </w:p>
          <w:p>
            <w:pPr>
              <w:pStyle w:val="TableText"/>
              <w:ind w:left="1524"/>
              <w:spacing w:before="157" w:line="219" w:lineRule="auto"/>
              <w:rPr/>
            </w:pPr>
            <w:r>
              <w:rPr>
                <w:spacing w:val="3"/>
              </w:rPr>
              <w:t>京东多媒体(2004年)</w:t>
            </w:r>
          </w:p>
          <w:p>
            <w:pPr>
              <w:pStyle w:val="TableText"/>
              <w:ind w:left="1524"/>
              <w:spacing w:before="29" w:line="260" w:lineRule="exact"/>
              <w:rPr/>
            </w:pPr>
            <w:r>
              <w:rPr>
                <w:spacing w:val="2"/>
                <w:position w:val="6"/>
              </w:rPr>
              <w:t>蚂蚁集团(支付宝)(2004年)</w:t>
            </w:r>
          </w:p>
          <w:p>
            <w:pPr>
              <w:pStyle w:val="TableText"/>
              <w:ind w:left="1364"/>
              <w:spacing w:line="213" w:lineRule="auto"/>
              <w:rPr/>
            </w:pPr>
            <w:r>
              <w:rPr>
                <w:spacing w:val="3"/>
              </w:rPr>
              <w:t>淘宝网(2003年)</w:t>
            </w:r>
          </w:p>
        </w:tc>
      </w:tr>
      <w:tr>
        <w:trPr>
          <w:trHeight w:val="2008" w:hRule="atLeast"/>
        </w:trPr>
        <w:tc>
          <w:tcPr>
            <w:tcW w:w="2719" w:type="dxa"/>
            <w:vAlign w:val="top"/>
            <w:tcBorders>
              <w:right w:val="nil"/>
              <w:top w:val="nil"/>
            </w:tcBorders>
          </w:tcPr>
          <w:p>
            <w:pPr>
              <w:pStyle w:val="TableText"/>
              <w:ind w:left="1194"/>
              <w:spacing w:before="44" w:line="219" w:lineRule="auto"/>
              <w:rPr/>
            </w:pPr>
            <w:r>
              <w:rPr>
                <w:spacing w:val="4"/>
              </w:rPr>
              <w:t>百度(2000年)</w:t>
            </w:r>
          </w:p>
          <w:p>
            <w:pPr>
              <w:pStyle w:val="TableText"/>
              <w:ind w:left="855" w:right="291" w:firstLine="169"/>
              <w:spacing w:before="27" w:line="235" w:lineRule="auto"/>
              <w:rPr/>
            </w:pPr>
            <w:r>
              <w:rPr>
                <w:spacing w:val="3"/>
              </w:rPr>
              <w:t>阿里巴巴(1999年) </w:t>
            </w:r>
            <w:r>
              <w:rPr>
                <w:spacing w:val="4"/>
              </w:rPr>
              <w:t>腾讯(1998年)</w:t>
            </w:r>
          </w:p>
          <w:p>
            <w:pPr>
              <w:pStyle w:val="TableText"/>
              <w:ind w:left="855"/>
              <w:spacing w:before="38" w:line="240" w:lineRule="exact"/>
              <w:rPr/>
            </w:pPr>
            <w:r>
              <w:rPr>
                <w:spacing w:val="4"/>
                <w:position w:val="5"/>
              </w:rPr>
              <w:t>新浪(1998年)</w:t>
            </w:r>
          </w:p>
          <w:p>
            <w:pPr>
              <w:pStyle w:val="TableText"/>
              <w:ind w:left="675"/>
              <w:spacing w:line="219" w:lineRule="auto"/>
              <w:rPr/>
            </w:pPr>
            <w:r>
              <w:rPr>
                <w:spacing w:val="4"/>
              </w:rPr>
              <w:t>网易(1997年)</w:t>
            </w:r>
          </w:p>
          <w:p>
            <w:pPr>
              <w:pStyle w:val="TableText"/>
              <w:ind w:left="345" w:right="471" w:firstLine="160"/>
              <w:spacing w:before="48" w:line="229" w:lineRule="auto"/>
              <w:rPr/>
            </w:pPr>
            <w:r>
              <w:rPr>
                <w:spacing w:val="2"/>
              </w:rPr>
              <w:t>搜狐(爱特信)(1996年)</w:t>
            </w:r>
            <w:r>
              <w:rPr>
                <w:spacing w:val="8"/>
              </w:rPr>
              <w:t xml:space="preserve"> </w:t>
            </w:r>
            <w:r>
              <w:rPr>
                <w:spacing w:val="3"/>
              </w:rPr>
              <w:t>瀛海威(1995年)</w:t>
            </w:r>
          </w:p>
          <w:p>
            <w:pPr>
              <w:pStyle w:val="TableText"/>
              <w:ind w:left="205"/>
              <w:spacing w:before="38" w:line="219" w:lineRule="auto"/>
              <w:rPr/>
            </w:pPr>
            <w:r>
              <w:rPr>
                <w:spacing w:val="3"/>
              </w:rPr>
              <w:t>接入互联网(1994年)</w:t>
            </w:r>
          </w:p>
        </w:tc>
        <w:tc>
          <w:tcPr>
            <w:tcW w:w="3291" w:type="dxa"/>
            <w:vAlign w:val="top"/>
            <w:tcBorders>
              <w:left w:val="nil"/>
              <w:top w:val="nil"/>
            </w:tcBorders>
          </w:tcPr>
          <w:p>
            <w:pPr>
              <w:pStyle w:val="TableText"/>
              <w:ind w:left="781" w:right="247" w:firstLine="9"/>
              <w:spacing w:before="183"/>
              <w:rPr/>
            </w:pPr>
            <w:r>
              <w:rPr>
                <w:spacing w:val="2"/>
              </w:rPr>
              <w:t>阿里本地生活(口碑)(2015年) </w:t>
            </w:r>
            <w:r>
              <w:rPr>
                <w:spacing w:val="3"/>
              </w:rPr>
              <w:t>拼多多(2015年)</w:t>
            </w:r>
          </w:p>
          <w:p>
            <w:pPr>
              <w:pStyle w:val="TableText"/>
              <w:ind w:left="600"/>
              <w:spacing w:before="67" w:line="240" w:lineRule="exact"/>
              <w:rPr/>
            </w:pPr>
            <w:r>
              <w:rPr>
                <w:spacing w:val="3"/>
                <w:position w:val="5"/>
              </w:rPr>
              <w:t>字节跳动(2012年)</w:t>
            </w:r>
          </w:p>
          <w:p>
            <w:pPr>
              <w:pStyle w:val="TableText"/>
              <w:ind w:left="600"/>
              <w:spacing w:line="219" w:lineRule="auto"/>
              <w:rPr/>
            </w:pPr>
            <w:r>
              <w:rPr>
                <w:spacing w:val="3"/>
              </w:rPr>
              <w:t>滴滴打车(2012年)</w:t>
            </w:r>
          </w:p>
          <w:p>
            <w:pPr>
              <w:pStyle w:val="TableText"/>
              <w:ind w:left="440"/>
              <w:spacing w:before="68" w:line="219" w:lineRule="auto"/>
              <w:rPr/>
            </w:pPr>
            <w:r>
              <w:rPr>
                <w:spacing w:val="3"/>
              </w:rPr>
              <w:t>陆金所(2011年)</w:t>
            </w:r>
          </w:p>
          <w:p>
            <w:pPr>
              <w:pStyle w:val="TableText"/>
              <w:ind w:left="440"/>
              <w:spacing w:before="28" w:line="260" w:lineRule="exact"/>
              <w:rPr/>
            </w:pPr>
            <w:r>
              <w:rPr>
                <w:spacing w:val="4"/>
                <w:position w:val="6"/>
              </w:rPr>
              <w:t>微信(2011年)</w:t>
            </w:r>
          </w:p>
          <w:p>
            <w:pPr>
              <w:pStyle w:val="TableText"/>
              <w:ind w:left="290"/>
              <w:spacing w:line="219" w:lineRule="auto"/>
              <w:rPr/>
            </w:pPr>
            <w:r>
              <w:rPr>
                <w:spacing w:val="4"/>
              </w:rPr>
              <w:t>美团(2010年)</w:t>
            </w:r>
          </w:p>
        </w:tc>
      </w:tr>
      <w:tr>
        <w:trPr>
          <w:trHeight w:val="414" w:hRule="atLeast"/>
        </w:trPr>
        <w:tc>
          <w:tcPr>
            <w:tcW w:w="6010" w:type="dxa"/>
            <w:vAlign w:val="top"/>
            <w:gridSpan w:val="2"/>
          </w:tcPr>
          <w:p>
            <w:pPr>
              <w:pStyle w:val="TableText"/>
              <w:spacing w:before="126" w:line="219" w:lineRule="auto"/>
              <w:jc w:val="right"/>
              <w:rPr/>
            </w:pPr>
            <w:r>
              <w:rPr>
                <w:spacing w:val="-3"/>
              </w:rPr>
              <w:t>1990</w:t>
            </w:r>
            <w:r>
              <w:rPr>
                <w:spacing w:val="9"/>
              </w:rPr>
              <w:t xml:space="preserve">      </w:t>
            </w:r>
            <w:r>
              <w:rPr>
                <w:spacing w:val="-3"/>
              </w:rPr>
              <w:t>1995</w:t>
            </w:r>
            <w:r>
              <w:rPr>
                <w:spacing w:val="6"/>
              </w:rPr>
              <w:t xml:space="preserve">      </w:t>
            </w:r>
            <w:r>
              <w:rPr>
                <w:spacing w:val="-3"/>
              </w:rPr>
              <w:t>2000       2005</w:t>
            </w:r>
            <w:r>
              <w:rPr>
                <w:spacing w:val="6"/>
              </w:rPr>
              <w:t xml:space="preserve">      </w:t>
            </w:r>
            <w:r>
              <w:rPr>
                <w:spacing w:val="-3"/>
              </w:rPr>
              <w:t>2010</w:t>
            </w:r>
            <w:r>
              <w:rPr>
                <w:spacing w:val="6"/>
              </w:rPr>
              <w:t xml:space="preserve">      </w:t>
            </w:r>
            <w:r>
              <w:rPr>
                <w:spacing w:val="-3"/>
              </w:rPr>
              <w:t>2015</w:t>
            </w:r>
            <w:r>
              <w:rPr>
                <w:spacing w:val="9"/>
              </w:rPr>
              <w:t xml:space="preserve">     </w:t>
            </w:r>
            <w:r>
              <w:rPr>
                <w:spacing w:val="-3"/>
              </w:rPr>
              <w:t>2020(年)</w:t>
            </w:r>
          </w:p>
        </w:tc>
      </w:tr>
    </w:tbl>
    <w:p>
      <w:pPr>
        <w:ind w:left="1862"/>
        <w:spacing w:before="148" w:line="221" w:lineRule="auto"/>
        <w:rPr>
          <w:rFonts w:ascii="SimHei" w:hAnsi="SimHei" w:eastAsia="SimHei" w:cs="SimHei"/>
          <w:sz w:val="18"/>
          <w:szCs w:val="18"/>
        </w:rPr>
      </w:pPr>
      <w:r>
        <w:rPr>
          <w:rFonts w:ascii="SimHei" w:hAnsi="SimHei" w:eastAsia="SimHei" w:cs="SimHei"/>
          <w:sz w:val="18"/>
          <w:szCs w:val="18"/>
          <w:b/>
          <w:bCs/>
          <w:spacing w:val="-1"/>
        </w:rPr>
        <w:t>图1-</w:t>
      </w:r>
      <w:r>
        <w:rPr>
          <w:rFonts w:ascii="SimHei" w:hAnsi="SimHei" w:eastAsia="SimHei" w:cs="SimHei"/>
          <w:sz w:val="18"/>
          <w:szCs w:val="18"/>
          <w:spacing w:val="-51"/>
        </w:rPr>
        <w:t xml:space="preserve"> </w:t>
      </w:r>
      <w:r>
        <w:rPr>
          <w:rFonts w:ascii="SimHei" w:hAnsi="SimHei" w:eastAsia="SimHei" w:cs="SimHei"/>
          <w:sz w:val="18"/>
          <w:szCs w:val="18"/>
          <w:b/>
          <w:bCs/>
          <w:spacing w:val="-1"/>
        </w:rPr>
        <w:t>1</w:t>
      </w:r>
      <w:r>
        <w:rPr>
          <w:rFonts w:ascii="SimHei" w:hAnsi="SimHei" w:eastAsia="SimHei" w:cs="SimHei"/>
          <w:sz w:val="18"/>
          <w:szCs w:val="18"/>
          <w:spacing w:val="78"/>
        </w:rPr>
        <w:t xml:space="preserve"> </w:t>
      </w:r>
      <w:r>
        <w:rPr>
          <w:rFonts w:ascii="SimHei" w:hAnsi="SimHei" w:eastAsia="SimHei" w:cs="SimHei"/>
          <w:sz w:val="18"/>
          <w:szCs w:val="18"/>
          <w:b/>
          <w:bCs/>
          <w:spacing w:val="-1"/>
        </w:rPr>
        <w:t>中国平台经济发展历程</w:t>
      </w:r>
    </w:p>
    <w:p>
      <w:pPr>
        <w:pStyle w:val="BodyText"/>
        <w:spacing w:line="384" w:lineRule="auto"/>
        <w:rPr/>
      </w:pPr>
      <w:r/>
    </w:p>
    <w:p>
      <w:pPr>
        <w:ind w:left="80" w:firstLine="409"/>
        <w:spacing w:before="69" w:line="308" w:lineRule="auto"/>
        <w:jc w:val="both"/>
        <w:rPr>
          <w:rFonts w:ascii="SimSun" w:hAnsi="SimSun" w:eastAsia="SimSun" w:cs="SimSun"/>
          <w:sz w:val="21"/>
          <w:szCs w:val="21"/>
        </w:rPr>
      </w:pPr>
      <w:r>
        <w:rPr>
          <w:rFonts w:ascii="Times New Roman" w:hAnsi="Times New Roman" w:eastAsia="Times New Roman" w:cs="Times New Roman"/>
          <w:sz w:val="21"/>
          <w:szCs w:val="21"/>
          <w:spacing w:val="-3"/>
        </w:rPr>
        <w:t>202</w:t>
      </w:r>
      <w:r>
        <w:rPr>
          <w:rFonts w:ascii="SimSun" w:hAnsi="SimSun" w:eastAsia="SimSun" w:cs="SimSun"/>
          <w:sz w:val="21"/>
          <w:szCs w:val="21"/>
          <w:spacing w:val="-3"/>
        </w:rPr>
        <w:t>0年，中国经济遭受百年不遇的新冠疫情的冲击，对经济活</w:t>
      </w:r>
      <w:r>
        <w:rPr>
          <w:rFonts w:ascii="SimSun" w:hAnsi="SimSun" w:eastAsia="SimSun" w:cs="SimSun"/>
          <w:sz w:val="21"/>
          <w:szCs w:val="21"/>
          <w:spacing w:val="4"/>
        </w:rPr>
        <w:t xml:space="preserve"> </w:t>
      </w:r>
      <w:r>
        <w:rPr>
          <w:rFonts w:ascii="SimSun" w:hAnsi="SimSun" w:eastAsia="SimSun" w:cs="SimSun"/>
          <w:sz w:val="21"/>
          <w:szCs w:val="21"/>
          <w:spacing w:val="-10"/>
        </w:rPr>
        <w:t>动造成重大影响，但同时也加速了平台经济的创新与发展。在</w:t>
      </w:r>
      <w:r>
        <w:rPr>
          <w:rFonts w:ascii="SimSun" w:hAnsi="SimSun" w:eastAsia="SimSun" w:cs="SimSun"/>
          <w:sz w:val="21"/>
          <w:szCs w:val="21"/>
          <w:spacing w:val="-11"/>
        </w:rPr>
        <w:t>疫苗获</w:t>
      </w:r>
      <w:r>
        <w:rPr>
          <w:rFonts w:ascii="SimSun" w:hAnsi="SimSun" w:eastAsia="SimSun" w:cs="SimSun"/>
          <w:sz w:val="21"/>
          <w:szCs w:val="21"/>
        </w:rPr>
        <w:t xml:space="preserve"> </w:t>
      </w:r>
      <w:r>
        <w:rPr>
          <w:rFonts w:ascii="SimSun" w:hAnsi="SimSun" w:eastAsia="SimSun" w:cs="SimSun"/>
          <w:sz w:val="21"/>
          <w:szCs w:val="21"/>
          <w:spacing w:val="-10"/>
        </w:rPr>
        <w:t>准使用之前，隔离和封城是控制疫情传播的唯一有效手段，</w:t>
      </w:r>
      <w:r>
        <w:rPr>
          <w:rFonts w:ascii="SimSun" w:hAnsi="SimSun" w:eastAsia="SimSun" w:cs="SimSun"/>
          <w:sz w:val="21"/>
          <w:szCs w:val="21"/>
          <w:spacing w:val="-11"/>
        </w:rPr>
        <w:t>线下的旅</w:t>
      </w:r>
      <w:r>
        <w:rPr>
          <w:rFonts w:ascii="SimSun" w:hAnsi="SimSun" w:eastAsia="SimSun" w:cs="SimSun"/>
          <w:sz w:val="21"/>
          <w:szCs w:val="21"/>
        </w:rPr>
        <w:t xml:space="preserve"> </w:t>
      </w:r>
      <w:r>
        <w:rPr>
          <w:rFonts w:ascii="SimSun" w:hAnsi="SimSun" w:eastAsia="SimSun" w:cs="SimSun"/>
          <w:sz w:val="21"/>
          <w:szCs w:val="21"/>
          <w:spacing w:val="-10"/>
        </w:rPr>
        <w:t>行与交流受到了限制，但平台经济活动却充分发挥了其不需</w:t>
      </w:r>
      <w:r>
        <w:rPr>
          <w:rFonts w:ascii="SimSun" w:hAnsi="SimSun" w:eastAsia="SimSun" w:cs="SimSun"/>
          <w:sz w:val="21"/>
          <w:szCs w:val="21"/>
          <w:spacing w:val="-11"/>
        </w:rPr>
        <w:t>要很多接</w:t>
      </w:r>
      <w:r>
        <w:rPr>
          <w:rFonts w:ascii="SimSun" w:hAnsi="SimSun" w:eastAsia="SimSun" w:cs="SimSun"/>
          <w:sz w:val="21"/>
          <w:szCs w:val="21"/>
        </w:rPr>
        <w:t xml:space="preserve"> </w:t>
      </w:r>
      <w:r>
        <w:rPr>
          <w:rFonts w:ascii="SimSun" w:hAnsi="SimSun" w:eastAsia="SimSun" w:cs="SimSun"/>
          <w:sz w:val="21"/>
          <w:szCs w:val="21"/>
          <w:spacing w:val="-8"/>
        </w:rPr>
        <w:t>触就能完成交易的优势，不仅在疫情期间持续支持生活</w:t>
      </w:r>
      <w:r>
        <w:rPr>
          <w:rFonts w:ascii="SimSun" w:hAnsi="SimSun" w:eastAsia="SimSun" w:cs="SimSun"/>
          <w:sz w:val="21"/>
          <w:szCs w:val="21"/>
          <w:spacing w:val="-9"/>
        </w:rPr>
        <w:t>与生产活动，</w:t>
      </w:r>
      <w:r>
        <w:rPr>
          <w:rFonts w:ascii="SimSun" w:hAnsi="SimSun" w:eastAsia="SimSun" w:cs="SimSun"/>
          <w:sz w:val="21"/>
          <w:szCs w:val="21"/>
        </w:rPr>
        <w:t xml:space="preserve"> </w:t>
      </w:r>
      <w:r>
        <w:rPr>
          <w:rFonts w:ascii="SimSun" w:hAnsi="SimSun" w:eastAsia="SimSun" w:cs="SimSun"/>
          <w:sz w:val="21"/>
          <w:szCs w:val="21"/>
          <w:spacing w:val="-10"/>
        </w:rPr>
        <w:t>还催生了许多新的线上活动。学校将课堂移到了线上，很多</w:t>
      </w:r>
      <w:r>
        <w:rPr>
          <w:rFonts w:ascii="SimSun" w:hAnsi="SimSun" w:eastAsia="SimSun" w:cs="SimSun"/>
          <w:sz w:val="21"/>
          <w:szCs w:val="21"/>
          <w:spacing w:val="-11"/>
        </w:rPr>
        <w:t>机构、组</w:t>
      </w:r>
      <w:r>
        <w:rPr>
          <w:rFonts w:ascii="SimSun" w:hAnsi="SimSun" w:eastAsia="SimSun" w:cs="SimSun"/>
          <w:sz w:val="21"/>
          <w:szCs w:val="21"/>
        </w:rPr>
        <w:t xml:space="preserve"> </w:t>
      </w:r>
      <w:r>
        <w:rPr>
          <w:rFonts w:ascii="SimSun" w:hAnsi="SimSun" w:eastAsia="SimSun" w:cs="SimSun"/>
          <w:sz w:val="21"/>
          <w:szCs w:val="21"/>
          <w:spacing w:val="-10"/>
        </w:rPr>
        <w:t>织的会议与讨论也转到了线上，等等。甚至可以说，疫情的发生反而</w:t>
      </w:r>
      <w:r>
        <w:rPr>
          <w:rFonts w:ascii="SimSun" w:hAnsi="SimSun" w:eastAsia="SimSun" w:cs="SimSun"/>
          <w:sz w:val="21"/>
          <w:szCs w:val="21"/>
        </w:rPr>
        <w:t xml:space="preserve"> </w:t>
      </w:r>
      <w:r>
        <w:rPr>
          <w:rFonts w:ascii="SimSun" w:hAnsi="SimSun" w:eastAsia="SimSun" w:cs="SimSun"/>
          <w:sz w:val="21"/>
          <w:szCs w:val="21"/>
          <w:spacing w:val="-9"/>
        </w:rPr>
        <w:t>变成了数字经济、平台经济进一步活跃的重要促成因素。以</w:t>
      </w:r>
      <w:r>
        <w:rPr>
          <w:rFonts w:ascii="Times New Roman" w:hAnsi="Times New Roman" w:eastAsia="Times New Roman" w:cs="Times New Roman"/>
          <w:sz w:val="21"/>
          <w:szCs w:val="21"/>
          <w:spacing w:val="-9"/>
        </w:rPr>
        <w:t>BAT</w:t>
      </w:r>
      <w:r>
        <w:rPr>
          <w:rFonts w:ascii="SimSun" w:hAnsi="SimSun" w:eastAsia="SimSun" w:cs="SimSun"/>
          <w:sz w:val="21"/>
          <w:szCs w:val="21"/>
          <w:spacing w:val="-9"/>
        </w:rPr>
        <w:t>(</w:t>
      </w:r>
      <w:r>
        <w:rPr>
          <w:rFonts w:ascii="SimSun" w:hAnsi="SimSun" w:eastAsia="SimSun" w:cs="SimSun"/>
          <w:sz w:val="21"/>
          <w:szCs w:val="21"/>
          <w:spacing w:val="-18"/>
        </w:rPr>
        <w:t xml:space="preserve"> </w:t>
      </w:r>
      <w:r>
        <w:rPr>
          <w:rFonts w:ascii="SimSun" w:hAnsi="SimSun" w:eastAsia="SimSun" w:cs="SimSun"/>
          <w:sz w:val="21"/>
          <w:szCs w:val="21"/>
          <w:spacing w:val="-9"/>
        </w:rPr>
        <w:t>百</w:t>
      </w:r>
      <w:r>
        <w:rPr>
          <w:rFonts w:ascii="SimSun" w:hAnsi="SimSun" w:eastAsia="SimSun" w:cs="SimSun"/>
          <w:sz w:val="21"/>
          <w:szCs w:val="21"/>
        </w:rPr>
        <w:t xml:space="preserve"> </w:t>
      </w:r>
      <w:r>
        <w:rPr>
          <w:rFonts w:ascii="SimSun" w:hAnsi="SimSun" w:eastAsia="SimSun" w:cs="SimSun"/>
          <w:sz w:val="21"/>
          <w:szCs w:val="21"/>
        </w:rPr>
        <w:t>度、阿里巴巴和腾讯)为例，三家企业的总利润在2020年一季度显</w:t>
      </w:r>
      <w:r>
        <w:rPr>
          <w:rFonts w:ascii="SimSun" w:hAnsi="SimSun" w:eastAsia="SimSun" w:cs="SimSun"/>
          <w:sz w:val="21"/>
          <w:szCs w:val="21"/>
          <w:spacing w:val="18"/>
        </w:rPr>
        <w:t xml:space="preserve"> </w:t>
      </w:r>
      <w:r>
        <w:rPr>
          <w:rFonts w:ascii="SimSun" w:hAnsi="SimSun" w:eastAsia="SimSun" w:cs="SimSun"/>
          <w:sz w:val="21"/>
          <w:szCs w:val="21"/>
          <w:spacing w:val="-3"/>
        </w:rPr>
        <w:t>著减少之后迅速反弹，四季度利润同比增长约100%。它们的市值也</w:t>
      </w:r>
      <w:r>
        <w:rPr>
          <w:rFonts w:ascii="SimSun" w:hAnsi="SimSun" w:eastAsia="SimSun" w:cs="SimSun"/>
          <w:sz w:val="21"/>
          <w:szCs w:val="21"/>
          <w:spacing w:val="4"/>
        </w:rPr>
        <w:t xml:space="preserve"> </w:t>
      </w:r>
      <w:r>
        <w:rPr>
          <w:rFonts w:ascii="SimSun" w:hAnsi="SimSun" w:eastAsia="SimSun" w:cs="SimSun"/>
          <w:sz w:val="21"/>
          <w:szCs w:val="21"/>
          <w:spacing w:val="6"/>
        </w:rPr>
        <w:t>从2019年的280亿美元增长到2020年的480亿美元。</w:t>
      </w:r>
    </w:p>
    <w:p>
      <w:pPr>
        <w:ind w:left="80" w:right="42" w:firstLine="399"/>
        <w:spacing w:before="100" w:line="284" w:lineRule="auto"/>
        <w:jc w:val="both"/>
        <w:rPr>
          <w:rFonts w:ascii="SimSun" w:hAnsi="SimSun" w:eastAsia="SimSun" w:cs="SimSun"/>
          <w:sz w:val="21"/>
          <w:szCs w:val="21"/>
        </w:rPr>
      </w:pPr>
      <w:r>
        <w:rPr>
          <w:rFonts w:ascii="SimSun" w:hAnsi="SimSun" w:eastAsia="SimSun" w:cs="SimSun"/>
          <w:sz w:val="21"/>
          <w:szCs w:val="21"/>
          <w:spacing w:val="-3"/>
        </w:rPr>
        <w:t>到目前为止，我国的平台经济主要集中在消费互联网，特别是</w:t>
      </w:r>
      <w:r>
        <w:rPr>
          <w:rFonts w:ascii="SimSun" w:hAnsi="SimSun" w:eastAsia="SimSun" w:cs="SimSun"/>
          <w:sz w:val="21"/>
          <w:szCs w:val="21"/>
          <w:spacing w:val="10"/>
        </w:rPr>
        <w:t xml:space="preserve"> </w:t>
      </w:r>
      <w:r>
        <w:rPr>
          <w:rFonts w:ascii="SimSun" w:hAnsi="SimSun" w:eastAsia="SimSun" w:cs="SimSun"/>
          <w:sz w:val="21"/>
          <w:szCs w:val="21"/>
          <w:spacing w:val="-3"/>
        </w:rPr>
        <w:t>社交、电商、网约车、搜索、外卖等(详见第三章)。未来这些平台</w:t>
      </w:r>
      <w:r>
        <w:rPr>
          <w:rFonts w:ascii="SimSun" w:hAnsi="SimSun" w:eastAsia="SimSun" w:cs="SimSun"/>
          <w:sz w:val="21"/>
          <w:szCs w:val="21"/>
          <w:spacing w:val="11"/>
        </w:rPr>
        <w:t xml:space="preserve"> </w:t>
      </w:r>
      <w:r>
        <w:rPr>
          <w:rFonts w:ascii="SimSun" w:hAnsi="SimSun" w:eastAsia="SimSun" w:cs="SimSun"/>
          <w:sz w:val="21"/>
          <w:szCs w:val="21"/>
          <w:spacing w:val="-10"/>
        </w:rPr>
        <w:t>经济还可以在纵向和横向两个维度继续大步发展，尤其是在学习、医</w:t>
      </w:r>
    </w:p>
    <w:p>
      <w:pPr>
        <w:spacing w:line="284" w:lineRule="auto"/>
        <w:sectPr>
          <w:headerReference w:type="default" r:id="rId1"/>
          <w:pgSz w:w="7330" w:h="12480"/>
          <w:pgMar w:top="343" w:right="574" w:bottom="400" w:left="619" w:header="0" w:footer="0" w:gutter="0"/>
        </w:sectPr>
        <w:rPr>
          <w:rFonts w:ascii="SimSun" w:hAnsi="SimSun" w:eastAsia="SimSun" w:cs="SimSun"/>
          <w:sz w:val="21"/>
          <w:szCs w:val="21"/>
        </w:rPr>
      </w:pPr>
    </w:p>
    <w:p>
      <w:pPr>
        <w:pStyle w:val="BodyText"/>
        <w:spacing w:line="251" w:lineRule="auto"/>
        <w:rPr/>
      </w:pPr>
      <w:r>
        <w:drawing>
          <wp:anchor distT="0" distB="0" distL="0" distR="0" simplePos="0" relativeHeight="251853824" behindDoc="0" locked="0" layoutInCell="0" allowOverlap="1">
            <wp:simplePos x="0" y="0"/>
            <wp:positionH relativeFrom="page">
              <wp:posOffset>374644</wp:posOffset>
            </wp:positionH>
            <wp:positionV relativeFrom="page">
              <wp:posOffset>6889737</wp:posOffset>
            </wp:positionV>
            <wp:extent cx="1168384" cy="6350"/>
            <wp:effectExtent l="0" t="0" r="0" b="0"/>
            <wp:wrapNone/>
            <wp:docPr id="44" name="IM 44"/>
            <wp:cNvGraphicFramePr/>
            <a:graphic>
              <a:graphicData uri="http://schemas.openxmlformats.org/drawingml/2006/picture">
                <pic:pic>
                  <pic:nvPicPr>
                    <pic:cNvPr id="44" name="IM 44"/>
                    <pic:cNvPicPr/>
                  </pic:nvPicPr>
                  <pic:blipFill>
                    <a:blip r:embed="rId29"/>
                    <a:stretch>
                      <a:fillRect/>
                    </a:stretch>
                  </pic:blipFill>
                  <pic:spPr>
                    <a:xfrm rot="0">
                      <a:off x="0" y="0"/>
                      <a:ext cx="1168384"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right="73"/>
        <w:spacing w:before="68" w:line="300" w:lineRule="auto"/>
        <w:jc w:val="both"/>
        <w:rPr>
          <w:rFonts w:ascii="SimSun" w:hAnsi="SimSun" w:eastAsia="SimSun" w:cs="SimSun"/>
          <w:sz w:val="21"/>
          <w:szCs w:val="21"/>
        </w:rPr>
      </w:pPr>
      <w:r>
        <w:rPr>
          <w:rFonts w:ascii="SimSun" w:hAnsi="SimSun" w:eastAsia="SimSun" w:cs="SimSun"/>
          <w:sz w:val="21"/>
          <w:szCs w:val="21"/>
          <w:spacing w:val="-15"/>
        </w:rPr>
        <w:t>疗、文化、传媒、家居、穿戴、交通等领域。比如，</w:t>
      </w:r>
      <w:r>
        <w:rPr>
          <w:rFonts w:ascii="SimSun" w:hAnsi="SimSun" w:eastAsia="SimSun" w:cs="SimSun"/>
          <w:sz w:val="21"/>
          <w:szCs w:val="21"/>
          <w:spacing w:val="51"/>
        </w:rPr>
        <w:t xml:space="preserve"> </w:t>
      </w:r>
      <w:r>
        <w:rPr>
          <w:rFonts w:ascii="SimSun" w:hAnsi="SimSun" w:eastAsia="SimSun" w:cs="SimSun"/>
          <w:sz w:val="21"/>
          <w:szCs w:val="21"/>
          <w:spacing w:val="-15"/>
        </w:rPr>
        <w:t>一</w:t>
      </w:r>
      <w:r>
        <w:rPr>
          <w:rFonts w:ascii="SimSun" w:hAnsi="SimSun" w:eastAsia="SimSun" w:cs="SimSun"/>
          <w:sz w:val="21"/>
          <w:szCs w:val="21"/>
          <w:spacing w:val="-16"/>
        </w:rPr>
        <w:t>些电商平台一</w:t>
      </w:r>
      <w:r>
        <w:rPr>
          <w:rFonts w:ascii="SimSun" w:hAnsi="SimSun" w:eastAsia="SimSun" w:cs="SimSun"/>
          <w:sz w:val="21"/>
          <w:szCs w:val="21"/>
        </w:rPr>
        <w:t xml:space="preserve"> </w:t>
      </w:r>
      <w:r>
        <w:rPr>
          <w:rFonts w:ascii="SimSun" w:hAnsi="SimSun" w:eastAsia="SimSun" w:cs="SimSun"/>
          <w:sz w:val="21"/>
          <w:szCs w:val="21"/>
          <w:spacing w:val="-10"/>
        </w:rPr>
        <w:t>方面进入批发、零售领域，直接参与线下经营，另一方面又推动智能</w:t>
      </w:r>
      <w:r>
        <w:rPr>
          <w:rFonts w:ascii="SimSun" w:hAnsi="SimSun" w:eastAsia="SimSun" w:cs="SimSun"/>
          <w:sz w:val="21"/>
          <w:szCs w:val="21"/>
        </w:rPr>
        <w:t xml:space="preserve"> </w:t>
      </w:r>
      <w:r>
        <w:rPr>
          <w:rFonts w:ascii="SimSun" w:hAnsi="SimSun" w:eastAsia="SimSun" w:cs="SimSun"/>
          <w:sz w:val="21"/>
          <w:szCs w:val="21"/>
          <w:spacing w:val="-10"/>
        </w:rPr>
        <w:t>制造，将无数制造企业纳入平台的生态系统，直接对接消费者</w:t>
      </w:r>
      <w:r>
        <w:rPr>
          <w:rFonts w:ascii="SimSun" w:hAnsi="SimSun" w:eastAsia="SimSun" w:cs="SimSun"/>
          <w:sz w:val="21"/>
          <w:szCs w:val="21"/>
          <w:spacing w:val="-11"/>
        </w:rPr>
        <w:t>。未来</w:t>
      </w:r>
      <w:r>
        <w:rPr>
          <w:rFonts w:ascii="SimSun" w:hAnsi="SimSun" w:eastAsia="SimSun" w:cs="SimSun"/>
          <w:sz w:val="21"/>
          <w:szCs w:val="21"/>
        </w:rPr>
        <w:t xml:space="preserve"> </w:t>
      </w:r>
      <w:r>
        <w:rPr>
          <w:rFonts w:ascii="SimSun" w:hAnsi="SimSun" w:eastAsia="SimSun" w:cs="SimSun"/>
          <w:sz w:val="21"/>
          <w:szCs w:val="21"/>
          <w:spacing w:val="-5"/>
        </w:rPr>
        <w:t>的平台经济可能会实现线上线下的高度融合。更重要的是，随着5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0"/>
        </w:rPr>
        <w:t>带动高通量、低延时的万物互联落地，产业互联网的发展可能成为未</w:t>
      </w:r>
      <w:r>
        <w:rPr>
          <w:rFonts w:ascii="SimSun" w:hAnsi="SimSun" w:eastAsia="SimSun" w:cs="SimSun"/>
          <w:sz w:val="21"/>
          <w:szCs w:val="21"/>
        </w:rPr>
        <w:t xml:space="preserve"> </w:t>
      </w:r>
      <w:r>
        <w:rPr>
          <w:rFonts w:ascii="SimSun" w:hAnsi="SimSun" w:eastAsia="SimSun" w:cs="SimSun"/>
          <w:sz w:val="21"/>
          <w:szCs w:val="21"/>
          <w:spacing w:val="-11"/>
        </w:rPr>
        <w:t>来新的热点，相信也会催生许多新型平台企业。</w:t>
      </w:r>
    </w:p>
    <w:p>
      <w:pPr>
        <w:ind w:right="63" w:firstLine="409"/>
        <w:spacing w:before="117" w:line="308" w:lineRule="auto"/>
        <w:jc w:val="both"/>
        <w:rPr>
          <w:rFonts w:ascii="SimSun" w:hAnsi="SimSun" w:eastAsia="SimSun" w:cs="SimSun"/>
          <w:sz w:val="21"/>
          <w:szCs w:val="21"/>
        </w:rPr>
      </w:pPr>
      <w:r>
        <w:rPr>
          <w:rFonts w:ascii="SimSun" w:hAnsi="SimSun" w:eastAsia="SimSun" w:cs="SimSun"/>
          <w:sz w:val="21"/>
          <w:szCs w:val="21"/>
          <w:spacing w:val="-3"/>
        </w:rPr>
        <w:t>全球平台经济主要有三大市场——美国、中国与其他地区</w:t>
      </w:r>
      <w:r>
        <w:rPr>
          <w:rFonts w:ascii="SimSun" w:hAnsi="SimSun" w:eastAsia="SimSun" w:cs="SimSun"/>
          <w:sz w:val="21"/>
          <w:szCs w:val="21"/>
          <w:spacing w:val="-4"/>
        </w:rPr>
        <w:t>，但</w:t>
      </w:r>
      <w:r>
        <w:rPr>
          <w:rFonts w:ascii="SimSun" w:hAnsi="SimSun" w:eastAsia="SimSun" w:cs="SimSun"/>
          <w:sz w:val="21"/>
          <w:szCs w:val="21"/>
        </w:rPr>
        <w:t xml:space="preserve"> </w:t>
      </w:r>
      <w:r>
        <w:rPr>
          <w:rFonts w:ascii="SimSun" w:hAnsi="SimSun" w:eastAsia="SimSun" w:cs="SimSun"/>
          <w:sz w:val="21"/>
          <w:szCs w:val="21"/>
          <w:spacing w:val="1"/>
        </w:rPr>
        <w:t>由于其他地区基本上也由美国的四大平台企业</w:t>
      </w:r>
      <w:r>
        <w:rPr>
          <w:rFonts w:ascii="SimSun" w:hAnsi="SimSun" w:eastAsia="SimSun" w:cs="SimSun"/>
          <w:sz w:val="21"/>
          <w:szCs w:val="21"/>
        </w:rPr>
        <w:t>GAFA</w:t>
      </w:r>
      <w:r>
        <w:rPr>
          <w:rFonts w:ascii="SimSun" w:hAnsi="SimSun" w:eastAsia="SimSun" w:cs="SimSun"/>
          <w:sz w:val="21"/>
          <w:szCs w:val="21"/>
          <w:spacing w:val="102"/>
        </w:rPr>
        <w:t xml:space="preserve"> </w:t>
      </w:r>
      <w:r>
        <w:rPr>
          <w:rFonts w:ascii="SimSun" w:hAnsi="SimSun" w:eastAsia="SimSun" w:cs="SimSun"/>
          <w:sz w:val="21"/>
          <w:szCs w:val="21"/>
          <w:spacing w:val="1"/>
        </w:rPr>
        <w:t>(谷歌、亚马</w:t>
      </w:r>
      <w:r>
        <w:rPr>
          <w:rFonts w:ascii="SimSun" w:hAnsi="SimSun" w:eastAsia="SimSun" w:cs="SimSun"/>
          <w:sz w:val="21"/>
          <w:szCs w:val="21"/>
        </w:rPr>
        <w:t xml:space="preserve"> </w:t>
      </w:r>
      <w:r>
        <w:rPr>
          <w:rFonts w:ascii="SimSun" w:hAnsi="SimSun" w:eastAsia="SimSun" w:cs="SimSun"/>
          <w:sz w:val="21"/>
          <w:szCs w:val="21"/>
        </w:rPr>
        <w:t>逊、脸书和苹果)主导，所以到目前为止全球平台经济实际只有两</w:t>
      </w:r>
      <w:r>
        <w:rPr>
          <w:rFonts w:ascii="SimSun" w:hAnsi="SimSun" w:eastAsia="SimSun" w:cs="SimSun"/>
          <w:sz w:val="21"/>
          <w:szCs w:val="21"/>
          <w:spacing w:val="13"/>
        </w:rPr>
        <w:t xml:space="preserve"> </w:t>
      </w:r>
      <w:r>
        <w:rPr>
          <w:rFonts w:ascii="SimSun" w:hAnsi="SimSun" w:eastAsia="SimSun" w:cs="SimSun"/>
          <w:sz w:val="21"/>
          <w:szCs w:val="21"/>
          <w:spacing w:val="4"/>
        </w:rPr>
        <w:t>大主力，最大的发达经济体美国和最大的发展中经济体中国。根</w:t>
      </w:r>
      <w:r>
        <w:rPr>
          <w:rFonts w:ascii="SimSun" w:hAnsi="SimSun" w:eastAsia="SimSun" w:cs="SimSun"/>
          <w:sz w:val="21"/>
          <w:szCs w:val="21"/>
          <w:spacing w:val="5"/>
        </w:rPr>
        <w:t xml:space="preserve"> </w:t>
      </w:r>
      <w:r>
        <w:rPr>
          <w:rFonts w:ascii="SimSun" w:hAnsi="SimSun" w:eastAsia="SimSun" w:cs="SimSun"/>
          <w:sz w:val="21"/>
          <w:szCs w:val="21"/>
          <w:spacing w:val="4"/>
        </w:rPr>
        <w:t>据工信部的数据，2019年中国数字经济规模达到35.8万亿元</w:t>
      </w:r>
      <w:r>
        <w:rPr>
          <w:rFonts w:ascii="SimSun" w:hAnsi="SimSun" w:eastAsia="SimSun" w:cs="SimSun"/>
          <w:sz w:val="21"/>
          <w:szCs w:val="21"/>
          <w:spacing w:val="3"/>
        </w:rPr>
        <w:t>，占</w:t>
      </w:r>
      <w:r>
        <w:rPr>
          <w:rFonts w:ascii="SimSun" w:hAnsi="SimSun" w:eastAsia="SimSun" w:cs="SimSun"/>
          <w:sz w:val="21"/>
          <w:szCs w:val="21"/>
        </w:rPr>
        <w:t xml:space="preserve"> </w:t>
      </w:r>
      <w:r>
        <w:rPr>
          <w:rFonts w:ascii="SimSun" w:hAnsi="SimSun" w:eastAsia="SimSun" w:cs="SimSun"/>
          <w:sz w:val="21"/>
          <w:szCs w:val="21"/>
        </w:rPr>
        <w:t>GDP</w:t>
      </w:r>
      <w:r>
        <w:rPr>
          <w:rFonts w:ascii="SimSun" w:hAnsi="SimSun" w:eastAsia="SimSun" w:cs="SimSun"/>
          <w:sz w:val="21"/>
          <w:szCs w:val="21"/>
          <w:spacing w:val="42"/>
        </w:rPr>
        <w:t xml:space="preserve"> </w:t>
      </w:r>
      <w:r>
        <w:rPr>
          <w:rFonts w:ascii="SimSun" w:hAnsi="SimSun" w:eastAsia="SimSun" w:cs="SimSun"/>
          <w:sz w:val="21"/>
          <w:szCs w:val="21"/>
          <w:spacing w:val="6"/>
        </w:rPr>
        <w:t>(国内生产总值)的36.2%。到2025年，这个比例有可能达到</w:t>
      </w:r>
      <w:r>
        <w:rPr>
          <w:rFonts w:ascii="SimSun" w:hAnsi="SimSun" w:eastAsia="SimSun" w:cs="SimSun"/>
          <w:sz w:val="21"/>
          <w:szCs w:val="21"/>
        </w:rPr>
        <w:t xml:space="preserve"> </w:t>
      </w:r>
      <w:r>
        <w:rPr>
          <w:rFonts w:ascii="SimSun" w:hAnsi="SimSun" w:eastAsia="SimSun" w:cs="SimSun"/>
          <w:sz w:val="21"/>
          <w:szCs w:val="21"/>
          <w:spacing w:val="-3"/>
        </w:rPr>
        <w:t>50%。①2019年，全球市场价值超过100亿美元的数字平台企业总共</w:t>
      </w:r>
      <w:r>
        <w:rPr>
          <w:rFonts w:ascii="SimSun" w:hAnsi="SimSun" w:eastAsia="SimSun" w:cs="SimSun"/>
          <w:sz w:val="21"/>
          <w:szCs w:val="21"/>
          <w:spacing w:val="9"/>
        </w:rPr>
        <w:t xml:space="preserve"> </w:t>
      </w:r>
      <w:r>
        <w:rPr>
          <w:rFonts w:ascii="SimSun" w:hAnsi="SimSun" w:eastAsia="SimSun" w:cs="SimSun"/>
          <w:sz w:val="21"/>
          <w:szCs w:val="21"/>
          <w:spacing w:val="4"/>
        </w:rPr>
        <w:t>有74家，美国和中国分别有35家和30家。按市值或者</w:t>
      </w:r>
      <w:r>
        <w:rPr>
          <w:rFonts w:ascii="SimSun" w:hAnsi="SimSun" w:eastAsia="SimSun" w:cs="SimSun"/>
          <w:sz w:val="21"/>
          <w:szCs w:val="21"/>
          <w:spacing w:val="3"/>
        </w:rPr>
        <w:t>估值看，美</w:t>
      </w:r>
      <w:r>
        <w:rPr>
          <w:rFonts w:ascii="SimSun" w:hAnsi="SimSun" w:eastAsia="SimSun" w:cs="SimSun"/>
          <w:sz w:val="21"/>
          <w:szCs w:val="21"/>
        </w:rPr>
        <w:t xml:space="preserve"> </w:t>
      </w:r>
      <w:r>
        <w:rPr>
          <w:rFonts w:ascii="SimSun" w:hAnsi="SimSun" w:eastAsia="SimSun" w:cs="SimSun"/>
          <w:sz w:val="21"/>
          <w:szCs w:val="21"/>
          <w:spacing w:val="4"/>
        </w:rPr>
        <w:t>国数字平台的总价值达6.65万亿美元，占全球总量的74.1%;</w:t>
      </w:r>
      <w:r>
        <w:rPr>
          <w:rFonts w:ascii="SimSun" w:hAnsi="SimSun" w:eastAsia="SimSun" w:cs="SimSun"/>
          <w:sz w:val="21"/>
          <w:szCs w:val="21"/>
          <w:spacing w:val="3"/>
        </w:rPr>
        <w:t>中国</w:t>
      </w:r>
      <w:r>
        <w:rPr>
          <w:rFonts w:ascii="SimSun" w:hAnsi="SimSun" w:eastAsia="SimSun" w:cs="SimSun"/>
          <w:sz w:val="21"/>
          <w:szCs w:val="21"/>
        </w:rPr>
        <w:t xml:space="preserve"> </w:t>
      </w:r>
      <w:r>
        <w:rPr>
          <w:rFonts w:ascii="SimSun" w:hAnsi="SimSun" w:eastAsia="SimSun" w:cs="SimSun"/>
          <w:sz w:val="21"/>
          <w:szCs w:val="21"/>
        </w:rPr>
        <w:t>数字平台总价值为2.02万亿美元，占全球总量的22.5%。但近期尤</w:t>
      </w:r>
      <w:r>
        <w:rPr>
          <w:rFonts w:ascii="SimSun" w:hAnsi="SimSun" w:eastAsia="SimSun" w:cs="SimSun"/>
          <w:sz w:val="21"/>
          <w:szCs w:val="21"/>
          <w:spacing w:val="12"/>
        </w:rPr>
        <w:t xml:space="preserve"> </w:t>
      </w:r>
      <w:r>
        <w:rPr>
          <w:rFonts w:ascii="SimSun" w:hAnsi="SimSun" w:eastAsia="SimSun" w:cs="SimSun"/>
          <w:sz w:val="21"/>
          <w:szCs w:val="21"/>
          <w:spacing w:val="-3"/>
        </w:rPr>
        <w:t>其是自2020年起，这个格局已经在逐步</w:t>
      </w:r>
      <w:r>
        <w:rPr>
          <w:rFonts w:ascii="SimSun" w:hAnsi="SimSun" w:eastAsia="SimSun" w:cs="SimSun"/>
          <w:sz w:val="21"/>
          <w:szCs w:val="21"/>
          <w:spacing w:val="-4"/>
        </w:rPr>
        <w:t>发生变化，不但中美之间的</w:t>
      </w:r>
      <w:r>
        <w:rPr>
          <w:rFonts w:ascii="SimSun" w:hAnsi="SimSun" w:eastAsia="SimSun" w:cs="SimSun"/>
          <w:sz w:val="21"/>
          <w:szCs w:val="21"/>
        </w:rPr>
        <w:t xml:space="preserve"> </w:t>
      </w:r>
      <w:r>
        <w:rPr>
          <w:rFonts w:ascii="SimSun" w:hAnsi="SimSun" w:eastAsia="SimSun" w:cs="SimSun"/>
          <w:sz w:val="21"/>
          <w:szCs w:val="21"/>
          <w:spacing w:val="-11"/>
        </w:rPr>
        <w:t>差距有扩大的趋势，欧洲的一些平台企业也在快速成长。</w:t>
      </w:r>
    </w:p>
    <w:p>
      <w:pPr>
        <w:ind w:firstLine="420"/>
        <w:spacing w:before="112" w:line="300" w:lineRule="auto"/>
        <w:jc w:val="both"/>
        <w:rPr>
          <w:rFonts w:ascii="SimSun" w:hAnsi="SimSun" w:eastAsia="SimSun" w:cs="SimSun"/>
          <w:sz w:val="21"/>
          <w:szCs w:val="21"/>
        </w:rPr>
      </w:pPr>
      <w:r>
        <w:rPr>
          <w:rFonts w:ascii="SimSun" w:hAnsi="SimSun" w:eastAsia="SimSun" w:cs="SimSun"/>
          <w:sz w:val="21"/>
          <w:szCs w:val="21"/>
          <w:spacing w:val="-8"/>
        </w:rPr>
        <w:t>投资界还有一个“独角兽公司”的概念，</w:t>
      </w:r>
      <w:r>
        <w:rPr>
          <w:rFonts w:ascii="SimSun" w:hAnsi="SimSun" w:eastAsia="SimSun" w:cs="SimSun"/>
          <w:sz w:val="21"/>
          <w:szCs w:val="21"/>
          <w:spacing w:val="68"/>
        </w:rPr>
        <w:t xml:space="preserve"> </w:t>
      </w:r>
      <w:r>
        <w:rPr>
          <w:rFonts w:ascii="SimSun" w:hAnsi="SimSun" w:eastAsia="SimSun" w:cs="SimSun"/>
          <w:sz w:val="21"/>
          <w:szCs w:val="21"/>
          <w:spacing w:val="-8"/>
        </w:rPr>
        <w:t>一般指成立不超过10</w:t>
      </w:r>
      <w:r>
        <w:rPr>
          <w:rFonts w:ascii="SimSun" w:hAnsi="SimSun" w:eastAsia="SimSun" w:cs="SimSun"/>
          <w:sz w:val="21"/>
          <w:szCs w:val="21"/>
        </w:rPr>
        <w:t xml:space="preserve"> </w:t>
      </w:r>
      <w:r>
        <w:rPr>
          <w:rFonts w:ascii="SimSun" w:hAnsi="SimSun" w:eastAsia="SimSun" w:cs="SimSun"/>
          <w:sz w:val="21"/>
          <w:szCs w:val="21"/>
          <w:spacing w:val="3"/>
        </w:rPr>
        <w:t>年、估值超过10亿美元的新兴企业。独角兽公司并不特指科技公 </w:t>
      </w:r>
      <w:r>
        <w:rPr>
          <w:rFonts w:ascii="SimSun" w:hAnsi="SimSun" w:eastAsia="SimSun" w:cs="SimSun"/>
          <w:sz w:val="21"/>
          <w:szCs w:val="21"/>
          <w:spacing w:val="-11"/>
        </w:rPr>
        <w:t>司，但绝大多数独角兽公司都是平台企业，它们通常具有市场潜力巨</w:t>
      </w:r>
      <w:r>
        <w:rPr>
          <w:rFonts w:ascii="SimSun" w:hAnsi="SimSun" w:eastAsia="SimSun" w:cs="SimSun"/>
          <w:sz w:val="21"/>
          <w:szCs w:val="21"/>
          <w:spacing w:val="5"/>
        </w:rPr>
        <w:t xml:space="preserve">  </w:t>
      </w:r>
      <w:r>
        <w:rPr>
          <w:rFonts w:ascii="SimSun" w:hAnsi="SimSun" w:eastAsia="SimSun" w:cs="SimSun"/>
          <w:sz w:val="21"/>
          <w:szCs w:val="21"/>
          <w:spacing w:val="-4"/>
        </w:rPr>
        <w:t>大、商业模式难以复制等特点。2020年初，在全球独角兽公司的前</w:t>
      </w:r>
      <w:r>
        <w:rPr>
          <w:rFonts w:ascii="SimSun" w:hAnsi="SimSun" w:eastAsia="SimSun" w:cs="SimSun"/>
          <w:sz w:val="21"/>
          <w:szCs w:val="21"/>
          <w:spacing w:val="6"/>
        </w:rPr>
        <w:t xml:space="preserve">  </w:t>
      </w:r>
      <w:r>
        <w:rPr>
          <w:rFonts w:ascii="SimSun" w:hAnsi="SimSun" w:eastAsia="SimSun" w:cs="SimSun"/>
          <w:sz w:val="21"/>
          <w:szCs w:val="21"/>
          <w:spacing w:val="3"/>
        </w:rPr>
        <w:t>10名中，中美各占5席，中国的独角兽包括蚂蚁集团(金</w:t>
      </w:r>
      <w:r>
        <w:rPr>
          <w:rFonts w:ascii="SimSun" w:hAnsi="SimSun" w:eastAsia="SimSun" w:cs="SimSun"/>
          <w:sz w:val="21"/>
          <w:szCs w:val="21"/>
          <w:spacing w:val="2"/>
        </w:rPr>
        <w:t>融服务)、</w:t>
      </w:r>
      <w:r>
        <w:rPr>
          <w:rFonts w:ascii="SimSun" w:hAnsi="SimSun" w:eastAsia="SimSun" w:cs="SimSun"/>
          <w:sz w:val="21"/>
          <w:szCs w:val="21"/>
        </w:rPr>
        <w:t xml:space="preserve"> </w:t>
      </w:r>
      <w:r>
        <w:rPr>
          <w:rFonts w:ascii="SimSun" w:hAnsi="SimSun" w:eastAsia="SimSun" w:cs="SimSun"/>
          <w:sz w:val="21"/>
          <w:szCs w:val="21"/>
        </w:rPr>
        <w:t>字节跳动(消费互联网)、滴滴出行(消费互联网)、陆金所(金融服</w:t>
      </w:r>
    </w:p>
    <w:p>
      <w:pPr>
        <w:pStyle w:val="BodyText"/>
        <w:spacing w:line="244" w:lineRule="auto"/>
        <w:rPr/>
      </w:pPr>
      <w:r/>
    </w:p>
    <w:p>
      <w:pPr>
        <w:pStyle w:val="BodyText"/>
        <w:spacing w:line="245" w:lineRule="auto"/>
        <w:rPr/>
      </w:pPr>
      <w:r/>
    </w:p>
    <w:p>
      <w:pPr>
        <w:spacing w:before="52" w:line="365" w:lineRule="exact"/>
        <w:jc w:val="right"/>
        <w:rPr>
          <w:rFonts w:ascii="SimSun" w:hAnsi="SimSun" w:eastAsia="SimSun" w:cs="SimSun"/>
          <w:sz w:val="16"/>
          <w:szCs w:val="16"/>
        </w:rPr>
      </w:pPr>
      <w:r>
        <w:rPr>
          <w:rFonts w:ascii="SimSun" w:hAnsi="SimSun" w:eastAsia="SimSun" w:cs="SimSun"/>
          <w:sz w:val="16"/>
          <w:szCs w:val="16"/>
          <w:spacing w:val="6"/>
          <w:position w:val="15"/>
        </w:rPr>
        <w:t>①</w:t>
      </w:r>
      <w:r>
        <w:rPr>
          <w:rFonts w:ascii="SimSun" w:hAnsi="SimSun" w:eastAsia="SimSun" w:cs="SimSun"/>
          <w:sz w:val="16"/>
          <w:szCs w:val="16"/>
          <w:spacing w:val="75"/>
          <w:w w:val="101"/>
          <w:position w:val="15"/>
        </w:rPr>
        <w:t xml:space="preserve"> </w:t>
      </w:r>
      <w:r>
        <w:rPr>
          <w:rFonts w:ascii="KaiTi" w:hAnsi="KaiTi" w:eastAsia="KaiTi" w:cs="KaiTi"/>
          <w:sz w:val="16"/>
          <w:szCs w:val="16"/>
          <w:spacing w:val="6"/>
          <w:position w:val="15"/>
        </w:rPr>
        <w:t>江小消.《新京报》贝壳财经夏季峰会“数字经济：通往未来</w:t>
      </w:r>
      <w:r>
        <w:rPr>
          <w:rFonts w:ascii="KaiTi" w:hAnsi="KaiTi" w:eastAsia="KaiTi" w:cs="KaiTi"/>
          <w:sz w:val="16"/>
          <w:szCs w:val="16"/>
          <w:spacing w:val="5"/>
          <w:position w:val="15"/>
        </w:rPr>
        <w:t>之路”上的演讲</w:t>
      </w:r>
      <w:r>
        <w:rPr>
          <w:rFonts w:ascii="SimSun" w:hAnsi="SimSun" w:eastAsia="SimSun" w:cs="SimSun"/>
          <w:sz w:val="16"/>
          <w:szCs w:val="16"/>
          <w:spacing w:val="5"/>
          <w:position w:val="15"/>
        </w:rPr>
        <w:t>，</w:t>
      </w:r>
    </w:p>
    <w:p>
      <w:pPr>
        <w:ind w:left="309"/>
        <w:spacing w:line="183" w:lineRule="auto"/>
        <w:rPr>
          <w:rFonts w:ascii="SimSun" w:hAnsi="SimSun" w:eastAsia="SimSun" w:cs="SimSun"/>
          <w:sz w:val="16"/>
          <w:szCs w:val="16"/>
        </w:rPr>
      </w:pPr>
      <w:r>
        <w:rPr>
          <w:rFonts w:ascii="SimSun" w:hAnsi="SimSun" w:eastAsia="SimSun" w:cs="SimSun"/>
          <w:sz w:val="16"/>
          <w:szCs w:val="16"/>
          <w:spacing w:val="-1"/>
        </w:rPr>
        <w:t>2021-08-05.</w:t>
      </w:r>
    </w:p>
    <w:p>
      <w:pPr>
        <w:spacing w:line="183" w:lineRule="auto"/>
        <w:sectPr>
          <w:headerReference w:type="default" r:id="rId28"/>
          <w:pgSz w:w="7330" w:h="12480"/>
          <w:pgMar w:top="829" w:right="675" w:bottom="400" w:left="580" w:header="663" w:footer="0" w:gutter="0"/>
        </w:sectPr>
        <w:rPr>
          <w:rFonts w:ascii="SimSun" w:hAnsi="SimSun" w:eastAsia="SimSun" w:cs="SimSun"/>
          <w:sz w:val="16"/>
          <w:szCs w:val="16"/>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68" w:line="283" w:lineRule="auto"/>
        <w:jc w:val="both"/>
        <w:rPr>
          <w:rFonts w:ascii="SimSun" w:hAnsi="SimSun" w:eastAsia="SimSun" w:cs="SimSun"/>
          <w:sz w:val="21"/>
          <w:szCs w:val="21"/>
        </w:rPr>
      </w:pPr>
      <w:r>
        <w:rPr>
          <w:rFonts w:ascii="SimSun" w:hAnsi="SimSun" w:eastAsia="SimSun" w:cs="SimSun"/>
          <w:sz w:val="21"/>
          <w:szCs w:val="21"/>
          <w:spacing w:val="2"/>
        </w:rPr>
        <w:t>务)和阿里本地生活(餐饮)。值得关注的是，从2017年到2021年，</w:t>
      </w:r>
      <w:r>
        <w:rPr>
          <w:rFonts w:ascii="SimSun" w:hAnsi="SimSun" w:eastAsia="SimSun" w:cs="SimSun"/>
          <w:sz w:val="21"/>
          <w:szCs w:val="21"/>
          <w:spacing w:val="10"/>
        </w:rPr>
        <w:t xml:space="preserve"> </w:t>
      </w:r>
      <w:r>
        <w:rPr>
          <w:rFonts w:ascii="SimSun" w:hAnsi="SimSun" w:eastAsia="SimSun" w:cs="SimSun"/>
          <w:sz w:val="21"/>
          <w:szCs w:val="21"/>
          <w:spacing w:val="-1"/>
        </w:rPr>
        <w:t>中国公司在全球独角兽公司总数中的比重逐年下降，分别为</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2"/>
        </w:rPr>
        <w:t>5.%</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rPr>
        <w:t>37.2%、17.4%、12.3%和9.6%。</w:t>
      </w:r>
    </w:p>
    <w:p>
      <w:pPr>
        <w:ind w:right="52" w:firstLine="439"/>
        <w:spacing w:before="110" w:line="297" w:lineRule="auto"/>
        <w:jc w:val="both"/>
        <w:rPr>
          <w:rFonts w:ascii="SimSun" w:hAnsi="SimSun" w:eastAsia="SimSun" w:cs="SimSun"/>
          <w:sz w:val="21"/>
          <w:szCs w:val="21"/>
        </w:rPr>
      </w:pPr>
      <w:r>
        <w:rPr>
          <w:rFonts w:ascii="SimSun" w:hAnsi="SimSun" w:eastAsia="SimSun" w:cs="SimSun"/>
          <w:sz w:val="21"/>
          <w:szCs w:val="21"/>
          <w:spacing w:val="-4"/>
        </w:rPr>
        <w:t>目前中国的平台企业能在全球市场占据一席之地，是一个了不</w:t>
      </w:r>
      <w:r>
        <w:rPr>
          <w:rFonts w:ascii="SimSun" w:hAnsi="SimSun" w:eastAsia="SimSun" w:cs="SimSun"/>
          <w:sz w:val="21"/>
          <w:szCs w:val="21"/>
          <w:spacing w:val="18"/>
        </w:rPr>
        <w:t xml:space="preserve"> </w:t>
      </w:r>
      <w:r>
        <w:rPr>
          <w:rFonts w:ascii="SimSun" w:hAnsi="SimSun" w:eastAsia="SimSun" w:cs="SimSun"/>
          <w:sz w:val="21"/>
          <w:szCs w:val="21"/>
          <w:spacing w:val="-10"/>
        </w:rPr>
        <w:t>起的成就。这首先归功于数字平台的创办者、经营者、投</w:t>
      </w:r>
      <w:r>
        <w:rPr>
          <w:rFonts w:ascii="SimSun" w:hAnsi="SimSun" w:eastAsia="SimSun" w:cs="SimSun"/>
          <w:sz w:val="21"/>
          <w:szCs w:val="21"/>
          <w:spacing w:val="-11"/>
        </w:rPr>
        <w:t>资者与参与</w:t>
      </w:r>
      <w:r>
        <w:rPr>
          <w:rFonts w:ascii="SimSun" w:hAnsi="SimSun" w:eastAsia="SimSun" w:cs="SimSun"/>
          <w:sz w:val="21"/>
          <w:szCs w:val="21"/>
        </w:rPr>
        <w:t xml:space="preserve"> </w:t>
      </w:r>
      <w:r>
        <w:rPr>
          <w:rFonts w:ascii="SimSun" w:hAnsi="SimSun" w:eastAsia="SimSun" w:cs="SimSun"/>
          <w:sz w:val="21"/>
          <w:szCs w:val="21"/>
          <w:spacing w:val="-11"/>
        </w:rPr>
        <w:t>者，没有他们的远见、创新与付出，中国不可能有如此众多在国际上</w:t>
      </w:r>
      <w:r>
        <w:rPr>
          <w:rFonts w:ascii="SimSun" w:hAnsi="SimSun" w:eastAsia="SimSun" w:cs="SimSun"/>
          <w:sz w:val="21"/>
          <w:szCs w:val="21"/>
          <w:spacing w:val="17"/>
        </w:rPr>
        <w:t xml:space="preserve"> </w:t>
      </w:r>
      <w:r>
        <w:rPr>
          <w:rFonts w:ascii="SimSun" w:hAnsi="SimSun" w:eastAsia="SimSun" w:cs="SimSun"/>
          <w:sz w:val="21"/>
          <w:szCs w:val="21"/>
        </w:rPr>
        <w:t>立得起来的平台企业。虽然2021年中国的人均</w:t>
      </w:r>
      <w:r>
        <w:rPr>
          <w:rFonts w:ascii="Times New Roman" w:hAnsi="Times New Roman" w:eastAsia="Times New Roman" w:cs="Times New Roman"/>
          <w:sz w:val="21"/>
          <w:szCs w:val="21"/>
        </w:rPr>
        <w:t>GDP</w:t>
      </w:r>
      <w:r>
        <w:rPr>
          <w:rFonts w:ascii="SimSun" w:hAnsi="SimSun" w:eastAsia="SimSun" w:cs="SimSun"/>
          <w:sz w:val="21"/>
          <w:szCs w:val="21"/>
        </w:rPr>
        <w:t>已经超过12000</w:t>
      </w:r>
      <w:r>
        <w:rPr>
          <w:rFonts w:ascii="SimSun" w:hAnsi="SimSun" w:eastAsia="SimSun" w:cs="SimSun"/>
          <w:sz w:val="21"/>
          <w:szCs w:val="21"/>
          <w:spacing w:val="4"/>
        </w:rPr>
        <w:t xml:space="preserve"> </w:t>
      </w:r>
      <w:r>
        <w:rPr>
          <w:rFonts w:ascii="SimSun" w:hAnsi="SimSun" w:eastAsia="SimSun" w:cs="SimSun"/>
          <w:sz w:val="21"/>
          <w:szCs w:val="21"/>
          <w:spacing w:val="-10"/>
        </w:rPr>
        <w:t>美元，离世界银行设定的高收入经济体门槛只有一步之遥，但</w:t>
      </w:r>
      <w:r>
        <w:rPr>
          <w:rFonts w:ascii="SimSun" w:hAnsi="SimSun" w:eastAsia="SimSun" w:cs="SimSun"/>
          <w:sz w:val="21"/>
          <w:szCs w:val="21"/>
          <w:spacing w:val="-11"/>
        </w:rPr>
        <w:t>与众多</w:t>
      </w:r>
      <w:r>
        <w:rPr>
          <w:rFonts w:ascii="SimSun" w:hAnsi="SimSun" w:eastAsia="SimSun" w:cs="SimSun"/>
          <w:sz w:val="21"/>
          <w:szCs w:val="21"/>
        </w:rPr>
        <w:t xml:space="preserve"> </w:t>
      </w:r>
      <w:r>
        <w:rPr>
          <w:rFonts w:ascii="SimSun" w:hAnsi="SimSun" w:eastAsia="SimSun" w:cs="SimSun"/>
          <w:sz w:val="21"/>
          <w:szCs w:val="21"/>
          <w:spacing w:val="-10"/>
        </w:rPr>
        <w:t>的发达经济体相比，中国在经济、技术发展</w:t>
      </w:r>
      <w:r>
        <w:rPr>
          <w:rFonts w:ascii="SimSun" w:hAnsi="SimSun" w:eastAsia="SimSun" w:cs="SimSun"/>
          <w:sz w:val="21"/>
          <w:szCs w:val="21"/>
          <w:spacing w:val="-11"/>
        </w:rPr>
        <w:t>水平方面依然有巨大的差</w:t>
      </w:r>
      <w:r>
        <w:rPr>
          <w:rFonts w:ascii="SimSun" w:hAnsi="SimSun" w:eastAsia="SimSun" w:cs="SimSun"/>
          <w:sz w:val="21"/>
          <w:szCs w:val="21"/>
        </w:rPr>
        <w:t xml:space="preserve"> </w:t>
      </w:r>
      <w:r>
        <w:rPr>
          <w:rFonts w:ascii="SimSun" w:hAnsi="SimSun" w:eastAsia="SimSun" w:cs="SimSun"/>
          <w:sz w:val="21"/>
          <w:szCs w:val="21"/>
          <w:spacing w:val="-10"/>
        </w:rPr>
        <w:t>距，其在平台经济领域的成功也是后来居上、弯道</w:t>
      </w:r>
      <w:r>
        <w:rPr>
          <w:rFonts w:ascii="SimSun" w:hAnsi="SimSun" w:eastAsia="SimSun" w:cs="SimSun"/>
          <w:sz w:val="21"/>
          <w:szCs w:val="21"/>
          <w:spacing w:val="-11"/>
        </w:rPr>
        <w:t>超车的结果。从宏</w:t>
      </w:r>
      <w:r>
        <w:rPr>
          <w:rFonts w:ascii="SimSun" w:hAnsi="SimSun" w:eastAsia="SimSun" w:cs="SimSun"/>
          <w:sz w:val="21"/>
          <w:szCs w:val="21"/>
        </w:rPr>
        <w:t xml:space="preserve"> </w:t>
      </w:r>
      <w:r>
        <w:rPr>
          <w:rFonts w:ascii="SimSun" w:hAnsi="SimSun" w:eastAsia="SimSun" w:cs="SimSun"/>
          <w:sz w:val="21"/>
          <w:szCs w:val="21"/>
          <w:spacing w:val="-10"/>
        </w:rPr>
        <w:t>观层面看，有四个因素对中国平台经济的崛起发挥</w:t>
      </w:r>
      <w:r>
        <w:rPr>
          <w:rFonts w:ascii="SimSun" w:hAnsi="SimSun" w:eastAsia="SimSun" w:cs="SimSun"/>
          <w:sz w:val="21"/>
          <w:szCs w:val="21"/>
          <w:spacing w:val="-11"/>
        </w:rPr>
        <w:t>了重要作用。</w:t>
      </w:r>
    </w:p>
    <w:p>
      <w:pPr>
        <w:ind w:right="55" w:firstLine="439"/>
        <w:spacing w:before="167" w:line="301" w:lineRule="auto"/>
        <w:jc w:val="both"/>
        <w:rPr>
          <w:rFonts w:ascii="SimSun" w:hAnsi="SimSun" w:eastAsia="SimSun" w:cs="SimSun"/>
          <w:sz w:val="21"/>
          <w:szCs w:val="21"/>
        </w:rPr>
      </w:pPr>
      <w:r>
        <w:rPr>
          <w:rFonts w:ascii="SimSun" w:hAnsi="SimSun" w:eastAsia="SimSun" w:cs="SimSun"/>
          <w:sz w:val="21"/>
          <w:szCs w:val="21"/>
          <w:spacing w:val="-16"/>
        </w:rPr>
        <w:t>第一，良好的创新环境与数字基础设施。</w:t>
      </w:r>
      <w:r>
        <w:rPr>
          <w:rFonts w:ascii="SimSun" w:hAnsi="SimSun" w:eastAsia="SimSun" w:cs="SimSun"/>
          <w:sz w:val="21"/>
          <w:szCs w:val="21"/>
          <w:spacing w:val="39"/>
        </w:rPr>
        <w:t xml:space="preserve"> </w:t>
      </w:r>
      <w:r>
        <w:rPr>
          <w:rFonts w:ascii="SimSun" w:hAnsi="SimSun" w:eastAsia="SimSun" w:cs="SimSun"/>
          <w:sz w:val="21"/>
          <w:szCs w:val="21"/>
          <w:spacing w:val="-16"/>
        </w:rPr>
        <w:t>一方面，政府与企业持</w:t>
      </w:r>
      <w:r>
        <w:rPr>
          <w:rFonts w:ascii="SimSun" w:hAnsi="SimSun" w:eastAsia="SimSun" w:cs="SimSun"/>
          <w:sz w:val="21"/>
          <w:szCs w:val="21"/>
        </w:rPr>
        <w:t xml:space="preserve"> </w:t>
      </w:r>
      <w:r>
        <w:rPr>
          <w:rFonts w:ascii="SimSun" w:hAnsi="SimSun" w:eastAsia="SimSun" w:cs="SimSun"/>
          <w:sz w:val="21"/>
          <w:szCs w:val="21"/>
          <w:spacing w:val="-6"/>
        </w:rPr>
        <w:t>续、大规模地建设信息与通信系统，推动3</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4G</w:t>
      </w:r>
      <w:r>
        <w:rPr>
          <w:rFonts w:ascii="SimSun" w:hAnsi="SimSun" w:eastAsia="SimSun" w:cs="SimSun"/>
          <w:sz w:val="21"/>
          <w:szCs w:val="21"/>
          <w:spacing w:val="-6"/>
        </w:rPr>
        <w:t>和</w:t>
      </w:r>
      <w:r>
        <w:rPr>
          <w:rFonts w:ascii="SimSun" w:hAnsi="SimSun" w:eastAsia="SimSun" w:cs="SimSun"/>
          <w:sz w:val="21"/>
          <w:szCs w:val="21"/>
          <w:spacing w:val="-26"/>
        </w:rPr>
        <w:t xml:space="preserve"> </w:t>
      </w:r>
      <w:r>
        <w:rPr>
          <w:rFonts w:ascii="SimSun" w:hAnsi="SimSun" w:eastAsia="SimSun" w:cs="SimSun"/>
          <w:sz w:val="21"/>
          <w:szCs w:val="21"/>
          <w:spacing w:val="-6"/>
        </w:rPr>
        <w:t>5</w:t>
      </w:r>
      <w:r>
        <w:rPr>
          <w:rFonts w:ascii="Times New Roman" w:hAnsi="Times New Roman" w:eastAsia="Times New Roman" w:cs="Times New Roman"/>
          <w:sz w:val="21"/>
          <w:szCs w:val="21"/>
          <w:spacing w:val="-6"/>
        </w:rPr>
        <w:t>G </w:t>
      </w:r>
      <w:r>
        <w:rPr>
          <w:rFonts w:ascii="SimSun" w:hAnsi="SimSun" w:eastAsia="SimSun" w:cs="SimSun"/>
          <w:sz w:val="21"/>
          <w:szCs w:val="21"/>
          <w:spacing w:val="-6"/>
        </w:rPr>
        <w:t>移动通信技</w:t>
      </w:r>
      <w:r>
        <w:rPr>
          <w:rFonts w:ascii="SimSun" w:hAnsi="SimSun" w:eastAsia="SimSun" w:cs="SimSun"/>
          <w:sz w:val="21"/>
          <w:szCs w:val="21"/>
        </w:rPr>
        <w:t xml:space="preserve"> </w:t>
      </w:r>
      <w:r>
        <w:rPr>
          <w:rFonts w:ascii="SimSun" w:hAnsi="SimSun" w:eastAsia="SimSun" w:cs="SimSun"/>
          <w:sz w:val="21"/>
          <w:szCs w:val="21"/>
          <w:spacing w:val="-10"/>
        </w:rPr>
        <w:t>术的落地，大幅提高互联网和智能手机的渗</w:t>
      </w:r>
      <w:r>
        <w:rPr>
          <w:rFonts w:ascii="SimSun" w:hAnsi="SimSun" w:eastAsia="SimSun" w:cs="SimSun"/>
          <w:sz w:val="21"/>
          <w:szCs w:val="21"/>
          <w:spacing w:val="-11"/>
        </w:rPr>
        <w:t>透率，为平台经济的发展</w:t>
      </w:r>
      <w:r>
        <w:rPr>
          <w:rFonts w:ascii="SimSun" w:hAnsi="SimSun" w:eastAsia="SimSun" w:cs="SimSun"/>
          <w:sz w:val="21"/>
          <w:szCs w:val="21"/>
        </w:rPr>
        <w:t xml:space="preserve"> </w:t>
      </w:r>
      <w:r>
        <w:rPr>
          <w:rFonts w:ascii="SimSun" w:hAnsi="SimSun" w:eastAsia="SimSun" w:cs="SimSun"/>
          <w:sz w:val="21"/>
          <w:szCs w:val="21"/>
          <w:spacing w:val="-11"/>
        </w:rPr>
        <w:t>创造了有利的硬件条件。另一方面，各级政府特别是杭州、深圳等地</w:t>
      </w:r>
      <w:r>
        <w:rPr>
          <w:rFonts w:ascii="SimSun" w:hAnsi="SimSun" w:eastAsia="SimSun" w:cs="SimSun"/>
          <w:sz w:val="21"/>
          <w:szCs w:val="21"/>
          <w:spacing w:val="16"/>
        </w:rPr>
        <w:t xml:space="preserve"> </w:t>
      </w:r>
      <w:r>
        <w:rPr>
          <w:rFonts w:ascii="SimSun" w:hAnsi="SimSun" w:eastAsia="SimSun" w:cs="SimSun"/>
          <w:sz w:val="21"/>
          <w:szCs w:val="21"/>
          <w:spacing w:val="-11"/>
        </w:rPr>
        <w:t>的政府，主动支持平台企业的建立与发展，为平台经济的发展创造了</w:t>
      </w:r>
      <w:r>
        <w:rPr>
          <w:rFonts w:ascii="SimSun" w:hAnsi="SimSun" w:eastAsia="SimSun" w:cs="SimSun"/>
          <w:sz w:val="21"/>
          <w:szCs w:val="21"/>
          <w:spacing w:val="15"/>
        </w:rPr>
        <w:t xml:space="preserve"> </w:t>
      </w:r>
      <w:r>
        <w:rPr>
          <w:rFonts w:ascii="SimSun" w:hAnsi="SimSun" w:eastAsia="SimSun" w:cs="SimSun"/>
          <w:sz w:val="21"/>
          <w:szCs w:val="21"/>
          <w:spacing w:val="-12"/>
        </w:rPr>
        <w:t>有利的软环境。</w:t>
      </w:r>
    </w:p>
    <w:p>
      <w:pPr>
        <w:ind w:right="81" w:firstLine="439"/>
        <w:spacing w:before="96" w:line="294" w:lineRule="auto"/>
        <w:jc w:val="both"/>
        <w:rPr>
          <w:rFonts w:ascii="SimSun" w:hAnsi="SimSun" w:eastAsia="SimSun" w:cs="SimSun"/>
          <w:sz w:val="21"/>
          <w:szCs w:val="21"/>
        </w:rPr>
      </w:pPr>
      <w:r>
        <w:rPr>
          <w:rFonts w:ascii="SimSun" w:hAnsi="SimSun" w:eastAsia="SimSun" w:cs="SimSun"/>
          <w:sz w:val="21"/>
          <w:szCs w:val="21"/>
          <w:spacing w:val="-12"/>
        </w:rPr>
        <w:t>第二，巨大的人口与市场规模。中国不仅是一个人口大国，同时</w:t>
      </w:r>
      <w:r>
        <w:rPr>
          <w:rFonts w:ascii="SimSun" w:hAnsi="SimSun" w:eastAsia="SimSun" w:cs="SimSun"/>
          <w:sz w:val="21"/>
          <w:szCs w:val="21"/>
          <w:spacing w:val="6"/>
        </w:rPr>
        <w:t xml:space="preserve"> </w:t>
      </w:r>
      <w:r>
        <w:rPr>
          <w:rFonts w:ascii="SimSun" w:hAnsi="SimSun" w:eastAsia="SimSun" w:cs="SimSun"/>
          <w:sz w:val="21"/>
          <w:szCs w:val="21"/>
          <w:spacing w:val="-3"/>
        </w:rPr>
        <w:t>还拥有发达的通信基础设施和庞大的互联网群体，网</w:t>
      </w:r>
      <w:r>
        <w:rPr>
          <w:rFonts w:ascii="SimSun" w:hAnsi="SimSun" w:eastAsia="SimSun" w:cs="SimSun"/>
          <w:sz w:val="21"/>
          <w:szCs w:val="21"/>
          <w:spacing w:val="-4"/>
        </w:rPr>
        <w:t>民人数从2010</w:t>
      </w:r>
      <w:r>
        <w:rPr>
          <w:rFonts w:ascii="SimSun" w:hAnsi="SimSun" w:eastAsia="SimSun" w:cs="SimSun"/>
          <w:sz w:val="21"/>
          <w:szCs w:val="21"/>
        </w:rPr>
        <w:t xml:space="preserve"> </w:t>
      </w:r>
      <w:r>
        <w:rPr>
          <w:rFonts w:ascii="SimSun" w:hAnsi="SimSun" w:eastAsia="SimSun" w:cs="SimSun"/>
          <w:sz w:val="21"/>
          <w:szCs w:val="21"/>
          <w:spacing w:val="-3"/>
        </w:rPr>
        <w:t>年的5.6亿增加到2020年的9.9亿。巨大的市场规模为业务创新</w:t>
      </w:r>
      <w:r>
        <w:rPr>
          <w:rFonts w:ascii="SimSun" w:hAnsi="SimSun" w:eastAsia="SimSun" w:cs="SimSun"/>
          <w:sz w:val="21"/>
          <w:szCs w:val="21"/>
          <w:spacing w:val="-4"/>
        </w:rPr>
        <w:t>提供</w:t>
      </w:r>
      <w:r>
        <w:rPr>
          <w:rFonts w:ascii="SimSun" w:hAnsi="SimSun" w:eastAsia="SimSun" w:cs="SimSun"/>
          <w:sz w:val="21"/>
          <w:szCs w:val="21"/>
        </w:rPr>
        <w:t xml:space="preserve"> </w:t>
      </w:r>
      <w:r>
        <w:rPr>
          <w:rFonts w:ascii="SimSun" w:hAnsi="SimSun" w:eastAsia="SimSun" w:cs="SimSun"/>
          <w:sz w:val="21"/>
          <w:szCs w:val="21"/>
          <w:spacing w:val="-11"/>
        </w:rPr>
        <w:t>了良好的条件，同时，数字技术与数字平台的一些基本优势，</w:t>
      </w:r>
      <w:r>
        <w:rPr>
          <w:rFonts w:ascii="SimSun" w:hAnsi="SimSun" w:eastAsia="SimSun" w:cs="SimSun"/>
          <w:sz w:val="21"/>
          <w:szCs w:val="21"/>
          <w:spacing w:val="-12"/>
        </w:rPr>
        <w:t>比如规</w:t>
      </w:r>
      <w:r>
        <w:rPr>
          <w:rFonts w:ascii="SimSun" w:hAnsi="SimSun" w:eastAsia="SimSun" w:cs="SimSun"/>
          <w:sz w:val="21"/>
          <w:szCs w:val="21"/>
        </w:rPr>
        <w:t xml:space="preserve"> </w:t>
      </w:r>
      <w:r>
        <w:rPr>
          <w:rFonts w:ascii="SimSun" w:hAnsi="SimSun" w:eastAsia="SimSun" w:cs="SimSun"/>
          <w:sz w:val="21"/>
          <w:szCs w:val="21"/>
          <w:spacing w:val="-11"/>
        </w:rPr>
        <w:t>模经济、范围经济等，也能得到极大的发挥。</w:t>
      </w:r>
    </w:p>
    <w:p>
      <w:pPr>
        <w:ind w:right="54" w:firstLine="439"/>
        <w:spacing w:before="129" w:line="297" w:lineRule="auto"/>
        <w:jc w:val="both"/>
        <w:rPr>
          <w:rFonts w:ascii="SimSun" w:hAnsi="SimSun" w:eastAsia="SimSun" w:cs="SimSun"/>
          <w:sz w:val="21"/>
          <w:szCs w:val="21"/>
        </w:rPr>
      </w:pPr>
      <w:r>
        <w:rPr>
          <w:rFonts w:ascii="SimSun" w:hAnsi="SimSun" w:eastAsia="SimSun" w:cs="SimSun"/>
          <w:sz w:val="21"/>
          <w:szCs w:val="21"/>
          <w:spacing w:val="-4"/>
        </w:rPr>
        <w:t>第三，较弱的个人权益保护。客观地说，我国过去对于平台经</w:t>
      </w:r>
      <w:r>
        <w:rPr>
          <w:rFonts w:ascii="SimSun" w:hAnsi="SimSun" w:eastAsia="SimSun" w:cs="SimSun"/>
          <w:sz w:val="21"/>
          <w:szCs w:val="21"/>
          <w:spacing w:val="15"/>
        </w:rPr>
        <w:t xml:space="preserve"> </w:t>
      </w:r>
      <w:r>
        <w:rPr>
          <w:rFonts w:ascii="SimSun" w:hAnsi="SimSun" w:eastAsia="SimSun" w:cs="SimSun"/>
          <w:sz w:val="21"/>
          <w:szCs w:val="21"/>
          <w:spacing w:val="-11"/>
        </w:rPr>
        <w:t>济领域的权益保护和数据治理相对滞后，出现了一定程度的“野蛮生</w:t>
      </w:r>
      <w:r>
        <w:rPr>
          <w:rFonts w:ascii="SimSun" w:hAnsi="SimSun" w:eastAsia="SimSun" w:cs="SimSun"/>
          <w:sz w:val="21"/>
          <w:szCs w:val="21"/>
          <w:spacing w:val="18"/>
        </w:rPr>
        <w:t xml:space="preserve"> </w:t>
      </w:r>
      <w:r>
        <w:rPr>
          <w:rFonts w:ascii="SimSun" w:hAnsi="SimSun" w:eastAsia="SimSun" w:cs="SimSun"/>
          <w:sz w:val="21"/>
          <w:szCs w:val="21"/>
          <w:spacing w:val="-10"/>
        </w:rPr>
        <w:t>长”现象。从积极的方面看，以大数据收集、整理、</w:t>
      </w:r>
      <w:r>
        <w:rPr>
          <w:rFonts w:ascii="SimSun" w:hAnsi="SimSun" w:eastAsia="SimSun" w:cs="SimSun"/>
          <w:sz w:val="21"/>
          <w:szCs w:val="21"/>
          <w:spacing w:val="-11"/>
        </w:rPr>
        <w:t>分析为基础的创</w:t>
      </w:r>
      <w:r>
        <w:rPr>
          <w:rFonts w:ascii="SimSun" w:hAnsi="SimSun" w:eastAsia="SimSun" w:cs="SimSun"/>
          <w:sz w:val="21"/>
          <w:szCs w:val="21"/>
        </w:rPr>
        <w:t xml:space="preserve"> </w:t>
      </w:r>
      <w:r>
        <w:rPr>
          <w:rFonts w:ascii="SimSun" w:hAnsi="SimSun" w:eastAsia="SimSun" w:cs="SimSun"/>
          <w:sz w:val="21"/>
          <w:szCs w:val="21"/>
          <w:spacing w:val="-11"/>
        </w:rPr>
        <w:t>新活动十分活跃。从消极的角度看，侵犯隐私、滥用数据的现象十分</w:t>
      </w:r>
      <w:r>
        <w:rPr>
          <w:rFonts w:ascii="SimSun" w:hAnsi="SimSun" w:eastAsia="SimSun" w:cs="SimSun"/>
          <w:sz w:val="21"/>
          <w:szCs w:val="21"/>
          <w:spacing w:val="17"/>
        </w:rPr>
        <w:t xml:space="preserve"> </w:t>
      </w:r>
      <w:r>
        <w:rPr>
          <w:rFonts w:ascii="SimSun" w:hAnsi="SimSun" w:eastAsia="SimSun" w:cs="SimSun"/>
          <w:sz w:val="21"/>
          <w:szCs w:val="21"/>
          <w:spacing w:val="-10"/>
        </w:rPr>
        <w:t>普遍，甚至造成了重大风险事件。所以现在政府开始采取措施，加强</w:t>
      </w:r>
    </w:p>
    <w:p>
      <w:pPr>
        <w:spacing w:line="297" w:lineRule="auto"/>
        <w:sectPr>
          <w:headerReference w:type="default" r:id="rId30"/>
          <w:pgSz w:w="7330" w:h="12480"/>
          <w:pgMar w:top="569" w:right="746" w:bottom="400" w:left="510" w:header="402"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spacing w:before="69" w:line="220" w:lineRule="auto"/>
        <w:rPr>
          <w:rFonts w:ascii="SimSun" w:hAnsi="SimSun" w:eastAsia="SimSun" w:cs="SimSun"/>
          <w:sz w:val="21"/>
          <w:szCs w:val="21"/>
        </w:rPr>
      </w:pPr>
      <w:r>
        <w:rPr>
          <w:rFonts w:ascii="SimSun" w:hAnsi="SimSun" w:eastAsia="SimSun" w:cs="SimSun"/>
          <w:sz w:val="21"/>
          <w:szCs w:val="21"/>
          <w:spacing w:val="-13"/>
        </w:rPr>
        <w:t>平台经济的治理，这是十分必要的。</w:t>
      </w:r>
    </w:p>
    <w:p>
      <w:pPr>
        <w:ind w:right="56" w:firstLine="410"/>
        <w:spacing w:before="109" w:line="297" w:lineRule="auto"/>
        <w:jc w:val="both"/>
        <w:rPr>
          <w:rFonts w:ascii="SimSun" w:hAnsi="SimSun" w:eastAsia="SimSun" w:cs="SimSun"/>
          <w:sz w:val="21"/>
          <w:szCs w:val="21"/>
        </w:rPr>
      </w:pPr>
      <w:r>
        <w:rPr>
          <w:rFonts w:ascii="SimSun" w:hAnsi="SimSun" w:eastAsia="SimSun" w:cs="SimSun"/>
          <w:sz w:val="21"/>
          <w:szCs w:val="21"/>
          <w:spacing w:val="-11"/>
        </w:rPr>
        <w:t>第四，与国际市场相对分隔。在平台经济领域，中国市场与国际</w:t>
      </w:r>
      <w:r>
        <w:rPr>
          <w:rFonts w:ascii="SimSun" w:hAnsi="SimSun" w:eastAsia="SimSun" w:cs="SimSun"/>
          <w:sz w:val="21"/>
          <w:szCs w:val="21"/>
          <w:spacing w:val="5"/>
        </w:rPr>
        <w:t xml:space="preserve"> </w:t>
      </w:r>
      <w:r>
        <w:rPr>
          <w:rFonts w:ascii="SimSun" w:hAnsi="SimSun" w:eastAsia="SimSun" w:cs="SimSun"/>
          <w:sz w:val="21"/>
          <w:szCs w:val="21"/>
          <w:spacing w:val="-10"/>
        </w:rPr>
        <w:t>市场基本上是分隔的，进入国内市场的国际平台企业非常少，业务规</w:t>
      </w:r>
      <w:r>
        <w:rPr>
          <w:rFonts w:ascii="SimSun" w:hAnsi="SimSun" w:eastAsia="SimSun" w:cs="SimSun"/>
          <w:sz w:val="21"/>
          <w:szCs w:val="21"/>
          <w:spacing w:val="7"/>
        </w:rPr>
        <w:t xml:space="preserve"> </w:t>
      </w:r>
      <w:r>
        <w:rPr>
          <w:rFonts w:ascii="SimSun" w:hAnsi="SimSun" w:eastAsia="SimSun" w:cs="SimSun"/>
          <w:sz w:val="21"/>
          <w:szCs w:val="21"/>
          <w:spacing w:val="-11"/>
        </w:rPr>
        <w:t>模也微不足道。同样，除了字节跳动，中国平台企业鲜少有大规模开</w:t>
      </w:r>
      <w:r>
        <w:rPr>
          <w:rFonts w:ascii="SimSun" w:hAnsi="SimSun" w:eastAsia="SimSun" w:cs="SimSun"/>
          <w:sz w:val="21"/>
          <w:szCs w:val="21"/>
          <w:spacing w:val="17"/>
        </w:rPr>
        <w:t xml:space="preserve"> </w:t>
      </w:r>
      <w:r>
        <w:rPr>
          <w:rFonts w:ascii="SimSun" w:hAnsi="SimSun" w:eastAsia="SimSun" w:cs="SimSun"/>
          <w:sz w:val="21"/>
          <w:szCs w:val="21"/>
          <w:spacing w:val="-10"/>
        </w:rPr>
        <w:t>拓海外市场的，即便有，基本上也是作为战略投资者，很少有把海内</w:t>
      </w:r>
      <w:r>
        <w:rPr>
          <w:rFonts w:ascii="SimSun" w:hAnsi="SimSun" w:eastAsia="SimSun" w:cs="SimSun"/>
          <w:sz w:val="21"/>
          <w:szCs w:val="21"/>
          <w:spacing w:val="6"/>
        </w:rPr>
        <w:t xml:space="preserve"> </w:t>
      </w:r>
      <w:r>
        <w:rPr>
          <w:rFonts w:ascii="SimSun" w:hAnsi="SimSun" w:eastAsia="SimSun" w:cs="SimSun"/>
          <w:sz w:val="21"/>
          <w:szCs w:val="21"/>
          <w:spacing w:val="-13"/>
        </w:rPr>
        <w:t>外业务真正融为一体的。</w:t>
      </w:r>
    </w:p>
    <w:p>
      <w:pPr>
        <w:ind w:firstLine="410"/>
        <w:spacing w:before="116" w:line="308" w:lineRule="auto"/>
        <w:jc w:val="both"/>
        <w:rPr>
          <w:rFonts w:ascii="SimSun" w:hAnsi="SimSun" w:eastAsia="SimSun" w:cs="SimSun"/>
          <w:sz w:val="21"/>
          <w:szCs w:val="21"/>
        </w:rPr>
      </w:pPr>
      <w:r>
        <w:rPr>
          <w:rFonts w:ascii="SimSun" w:hAnsi="SimSun" w:eastAsia="SimSun" w:cs="SimSun"/>
          <w:sz w:val="21"/>
          <w:szCs w:val="21"/>
          <w:spacing w:val="-3"/>
        </w:rPr>
        <w:t>总之，中国在过去约20年间成功地建立起一批可以与国际领先</w:t>
      </w:r>
      <w:r>
        <w:rPr>
          <w:rFonts w:ascii="SimSun" w:hAnsi="SimSun" w:eastAsia="SimSun" w:cs="SimSun"/>
          <w:sz w:val="21"/>
          <w:szCs w:val="21"/>
          <w:spacing w:val="14"/>
        </w:rPr>
        <w:t xml:space="preserve"> </w:t>
      </w:r>
      <w:r>
        <w:rPr>
          <w:rFonts w:ascii="SimSun" w:hAnsi="SimSun" w:eastAsia="SimSun" w:cs="SimSun"/>
          <w:sz w:val="21"/>
          <w:szCs w:val="21"/>
          <w:spacing w:val="-10"/>
        </w:rPr>
        <w:t>平台比肩的企业，对一个发展中国家而言，这</w:t>
      </w:r>
      <w:r>
        <w:rPr>
          <w:rFonts w:ascii="SimSun" w:hAnsi="SimSun" w:eastAsia="SimSun" w:cs="SimSun"/>
          <w:sz w:val="21"/>
          <w:szCs w:val="21"/>
          <w:spacing w:val="-11"/>
        </w:rPr>
        <w:t>是一个十分了不起的成 </w:t>
      </w:r>
      <w:r>
        <w:rPr>
          <w:rFonts w:ascii="SimSun" w:hAnsi="SimSun" w:eastAsia="SimSun" w:cs="SimSun"/>
          <w:sz w:val="21"/>
          <w:szCs w:val="21"/>
          <w:spacing w:val="-8"/>
        </w:rPr>
        <w:t>就。与此同时，我国平台经济的发展也面临不少严峻的挑战。首先，</w:t>
      </w:r>
      <w:r>
        <w:rPr>
          <w:rFonts w:ascii="SimSun" w:hAnsi="SimSun" w:eastAsia="SimSun" w:cs="SimSun"/>
          <w:sz w:val="21"/>
          <w:szCs w:val="21"/>
          <w:spacing w:val="4"/>
        </w:rPr>
        <w:t xml:space="preserve"> </w:t>
      </w:r>
      <w:r>
        <w:rPr>
          <w:rFonts w:ascii="SimSun" w:hAnsi="SimSun" w:eastAsia="SimSun" w:cs="SimSun"/>
          <w:sz w:val="21"/>
          <w:szCs w:val="21"/>
          <w:spacing w:val="-10"/>
        </w:rPr>
        <w:t>平台经济领域已经出现了非常多的问题，比如</w:t>
      </w:r>
      <w:r>
        <w:rPr>
          <w:rFonts w:ascii="SimSun" w:hAnsi="SimSun" w:eastAsia="SimSun" w:cs="SimSun"/>
          <w:sz w:val="21"/>
          <w:szCs w:val="21"/>
          <w:spacing w:val="-11"/>
        </w:rPr>
        <w:t>以“二选一”为代表的 </w:t>
      </w:r>
      <w:r>
        <w:rPr>
          <w:rFonts w:ascii="SimSun" w:hAnsi="SimSun" w:eastAsia="SimSun" w:cs="SimSun"/>
          <w:sz w:val="21"/>
          <w:szCs w:val="21"/>
          <w:spacing w:val="-10"/>
        </w:rPr>
        <w:t>反竞争行为和以大数据杀熟为代表的算法歧视、算法黑箱等，这些问</w:t>
      </w:r>
      <w:r>
        <w:rPr>
          <w:rFonts w:ascii="SimSun" w:hAnsi="SimSun" w:eastAsia="SimSun" w:cs="SimSun"/>
          <w:sz w:val="21"/>
          <w:szCs w:val="21"/>
          <w:spacing w:val="2"/>
        </w:rPr>
        <w:t xml:space="preserve"> </w:t>
      </w:r>
      <w:r>
        <w:rPr>
          <w:rFonts w:ascii="SimSun" w:hAnsi="SimSun" w:eastAsia="SimSun" w:cs="SimSun"/>
          <w:sz w:val="21"/>
          <w:szCs w:val="21"/>
          <w:spacing w:val="-6"/>
        </w:rPr>
        <w:t>题若不能及时得到解决，必然会影响平台经济的可持续发展(</w:t>
      </w:r>
      <w:r>
        <w:rPr>
          <w:rFonts w:ascii="SimSun" w:hAnsi="SimSun" w:eastAsia="SimSun" w:cs="SimSun"/>
          <w:sz w:val="21"/>
          <w:szCs w:val="21"/>
          <w:spacing w:val="-7"/>
        </w:rPr>
        <w:t>详见第</w:t>
      </w:r>
      <w:r>
        <w:rPr>
          <w:rFonts w:ascii="SimSun" w:hAnsi="SimSun" w:eastAsia="SimSun" w:cs="SimSun"/>
          <w:sz w:val="21"/>
          <w:szCs w:val="21"/>
        </w:rPr>
        <w:t xml:space="preserve"> </w:t>
      </w:r>
      <w:r>
        <w:rPr>
          <w:rFonts w:ascii="SimSun" w:hAnsi="SimSun" w:eastAsia="SimSun" w:cs="SimSun"/>
          <w:sz w:val="21"/>
          <w:szCs w:val="21"/>
          <w:spacing w:val="-7"/>
        </w:rPr>
        <w:t>八章、第九章)。其次，绝大部分中国的平台企业都没有参与国际竞 </w:t>
      </w:r>
      <w:r>
        <w:rPr>
          <w:rFonts w:ascii="SimSun" w:hAnsi="SimSun" w:eastAsia="SimSun" w:cs="SimSun"/>
          <w:sz w:val="21"/>
          <w:szCs w:val="21"/>
          <w:spacing w:val="-6"/>
        </w:rPr>
        <w:t>争的经历，过去内外市场的分隔为它们的发展创造了一个“温室”,</w:t>
      </w:r>
      <w:r>
        <w:rPr>
          <w:rFonts w:ascii="SimSun" w:hAnsi="SimSun" w:eastAsia="SimSun" w:cs="SimSun"/>
          <w:sz w:val="21"/>
          <w:szCs w:val="21"/>
          <w:spacing w:val="7"/>
        </w:rPr>
        <w:t xml:space="preserve"> </w:t>
      </w:r>
      <w:r>
        <w:rPr>
          <w:rFonts w:ascii="SimSun" w:hAnsi="SimSun" w:eastAsia="SimSun" w:cs="SimSun"/>
          <w:sz w:val="21"/>
          <w:szCs w:val="21"/>
          <w:spacing w:val="-4"/>
        </w:rPr>
        <w:t>但这个“温室”环境终究不可能长期持续(详见第七章)。最后，与 </w:t>
      </w:r>
      <w:r>
        <w:rPr>
          <w:rFonts w:ascii="SimSun" w:hAnsi="SimSun" w:eastAsia="SimSun" w:cs="SimSun"/>
          <w:sz w:val="21"/>
          <w:szCs w:val="21"/>
          <w:spacing w:val="-10"/>
        </w:rPr>
        <w:t>国际领先平台相比，国内的平台企业并不具备明显的技术优势，将来</w:t>
      </w:r>
      <w:r>
        <w:rPr>
          <w:rFonts w:ascii="SimSun" w:hAnsi="SimSun" w:eastAsia="SimSun" w:cs="SimSun"/>
          <w:sz w:val="21"/>
          <w:szCs w:val="21"/>
          <w:spacing w:val="7"/>
        </w:rPr>
        <w:t xml:space="preserve"> </w:t>
      </w:r>
      <w:r>
        <w:rPr>
          <w:rFonts w:ascii="SimSun" w:hAnsi="SimSun" w:eastAsia="SimSun" w:cs="SimSun"/>
          <w:sz w:val="21"/>
          <w:szCs w:val="21"/>
          <w:spacing w:val="-10"/>
        </w:rPr>
        <w:t>一旦内外两个市场相互开放，国内这些平台是</w:t>
      </w:r>
      <w:r>
        <w:rPr>
          <w:rFonts w:ascii="SimSun" w:hAnsi="SimSun" w:eastAsia="SimSun" w:cs="SimSun"/>
          <w:sz w:val="21"/>
          <w:szCs w:val="21"/>
          <w:spacing w:val="-11"/>
        </w:rPr>
        <w:t>否具有国际竞争力还很 </w:t>
      </w:r>
      <w:r>
        <w:rPr>
          <w:rFonts w:ascii="SimSun" w:hAnsi="SimSun" w:eastAsia="SimSun" w:cs="SimSun"/>
          <w:sz w:val="21"/>
          <w:szCs w:val="21"/>
          <w:spacing w:val="1"/>
        </w:rPr>
        <w:t>难预料。以中美各自最大的10家准独角兽公司为例，中国</w:t>
      </w:r>
      <w:r>
        <w:rPr>
          <w:rFonts w:ascii="SimSun" w:hAnsi="SimSun" w:eastAsia="SimSun" w:cs="SimSun"/>
          <w:sz w:val="21"/>
          <w:szCs w:val="21"/>
        </w:rPr>
        <w:t>除了3家 </w:t>
      </w:r>
      <w:r>
        <w:rPr>
          <w:rFonts w:ascii="SimSun" w:hAnsi="SimSun" w:eastAsia="SimSun" w:cs="SimSun"/>
          <w:sz w:val="21"/>
          <w:szCs w:val="21"/>
          <w:spacing w:val="-4"/>
        </w:rPr>
        <w:t>以技术驱动以外，其余7家均以商业驱动，而美国则是7家以技术驱 </w:t>
      </w:r>
      <w:r>
        <w:rPr>
          <w:rFonts w:ascii="SimSun" w:hAnsi="SimSun" w:eastAsia="SimSun" w:cs="SimSun"/>
          <w:sz w:val="21"/>
          <w:szCs w:val="21"/>
          <w:spacing w:val="-7"/>
        </w:rPr>
        <w:t>动、3家以商业驱动。</w:t>
      </w:r>
    </w:p>
    <w:p>
      <w:pPr>
        <w:pStyle w:val="BodyText"/>
        <w:spacing w:line="373" w:lineRule="auto"/>
        <w:rPr/>
      </w:pPr>
      <w:r/>
    </w:p>
    <w:p>
      <w:pPr>
        <w:ind w:left="1604"/>
        <w:spacing w:before="104" w:line="706" w:lineRule="exact"/>
        <w:rPr>
          <w:rFonts w:ascii="SimSun" w:hAnsi="SimSun" w:eastAsia="SimSun" w:cs="SimSun"/>
          <w:sz w:val="32"/>
          <w:szCs w:val="32"/>
        </w:rPr>
      </w:pPr>
      <w:r>
        <w:rPr>
          <w:rFonts w:ascii="SimSun" w:hAnsi="SimSun" w:eastAsia="SimSun" w:cs="SimSun"/>
          <w:sz w:val="32"/>
          <w:szCs w:val="32"/>
          <w:b/>
          <w:bCs/>
          <w:spacing w:val="-8"/>
          <w:position w:val="29"/>
        </w:rPr>
        <w:t>平台企业的经济效应</w:t>
      </w:r>
    </w:p>
    <w:p>
      <w:pPr>
        <w:ind w:left="3"/>
        <w:spacing w:line="221" w:lineRule="auto"/>
        <w:rPr>
          <w:rFonts w:ascii="SimHei" w:hAnsi="SimHei" w:eastAsia="SimHei" w:cs="SimHei"/>
          <w:sz w:val="25"/>
          <w:szCs w:val="25"/>
        </w:rPr>
      </w:pPr>
      <w:r>
        <w:rPr>
          <w:rFonts w:ascii="SimHei" w:hAnsi="SimHei" w:eastAsia="SimHei" w:cs="SimHei"/>
          <w:sz w:val="25"/>
          <w:szCs w:val="25"/>
          <w:b/>
          <w:bCs/>
          <w:spacing w:val="-12"/>
        </w:rPr>
        <w:t>数字平台的基本特性</w:t>
      </w:r>
    </w:p>
    <w:p>
      <w:pPr>
        <w:pStyle w:val="BodyText"/>
        <w:spacing w:line="352" w:lineRule="auto"/>
        <w:rPr/>
      </w:pPr>
      <w:r/>
    </w:p>
    <w:p>
      <w:pPr>
        <w:ind w:left="410"/>
        <w:spacing w:before="69" w:line="380" w:lineRule="exact"/>
        <w:rPr>
          <w:rFonts w:ascii="SimSun" w:hAnsi="SimSun" w:eastAsia="SimSun" w:cs="SimSun"/>
          <w:sz w:val="21"/>
          <w:szCs w:val="21"/>
        </w:rPr>
      </w:pPr>
      <w:r>
        <w:rPr>
          <w:rFonts w:ascii="SimSun" w:hAnsi="SimSun" w:eastAsia="SimSun" w:cs="SimSun"/>
          <w:sz w:val="21"/>
          <w:szCs w:val="21"/>
          <w:spacing w:val="-11"/>
          <w:position w:val="12"/>
        </w:rPr>
        <w:t>平台经济既是第四次工业革命的产物，也是伴随中国经济进入新</w:t>
      </w:r>
    </w:p>
    <w:p>
      <w:pPr>
        <w:spacing w:line="219" w:lineRule="auto"/>
        <w:rPr>
          <w:rFonts w:ascii="SimSun" w:hAnsi="SimSun" w:eastAsia="SimSun" w:cs="SimSun"/>
          <w:sz w:val="21"/>
          <w:szCs w:val="21"/>
        </w:rPr>
      </w:pPr>
      <w:r>
        <w:rPr>
          <w:rFonts w:ascii="SimSun" w:hAnsi="SimSun" w:eastAsia="SimSun" w:cs="SimSun"/>
          <w:sz w:val="21"/>
          <w:szCs w:val="21"/>
          <w:spacing w:val="-3"/>
        </w:rPr>
        <w:t>发展阶段而形成的。从1978年前以农业为主，到</w:t>
      </w:r>
      <w:r>
        <w:rPr>
          <w:rFonts w:ascii="SimSun" w:hAnsi="SimSun" w:eastAsia="SimSun" w:cs="SimSun"/>
          <w:sz w:val="21"/>
          <w:szCs w:val="21"/>
          <w:spacing w:val="-4"/>
        </w:rPr>
        <w:t>改革开放前期工业</w:t>
      </w:r>
    </w:p>
    <w:p>
      <w:pPr>
        <w:spacing w:line="219" w:lineRule="auto"/>
        <w:sectPr>
          <w:headerReference w:type="default" r:id="rId31"/>
          <w:pgSz w:w="7330" w:h="12480"/>
          <w:pgMar w:top="849" w:right="694" w:bottom="400" w:left="569" w:header="676" w:footer="0" w:gutter="0"/>
        </w:sectPr>
        <w:rPr>
          <w:rFonts w:ascii="SimSun" w:hAnsi="SimSun" w:eastAsia="SimSun" w:cs="SimSun"/>
          <w:sz w:val="21"/>
          <w:szCs w:val="21"/>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3"/>
        </w:rPr>
        <w:t>崛起，再到2012年以后服务业后来居上，中国经济经</w:t>
      </w:r>
      <w:r>
        <w:rPr>
          <w:rFonts w:ascii="SimSun" w:hAnsi="SimSun" w:eastAsia="SimSun" w:cs="SimSun"/>
          <w:sz w:val="21"/>
          <w:szCs w:val="21"/>
          <w:spacing w:val="-4"/>
        </w:rPr>
        <w:t>历了重要的结</w:t>
      </w:r>
      <w:r>
        <w:rPr>
          <w:rFonts w:ascii="SimSun" w:hAnsi="SimSun" w:eastAsia="SimSun" w:cs="SimSun"/>
          <w:sz w:val="21"/>
          <w:szCs w:val="21"/>
        </w:rPr>
        <w:t xml:space="preserve"> </w:t>
      </w:r>
      <w:r>
        <w:rPr>
          <w:rFonts w:ascii="SimSun" w:hAnsi="SimSun" w:eastAsia="SimSun" w:cs="SimSun"/>
          <w:sz w:val="21"/>
          <w:szCs w:val="21"/>
          <w:spacing w:val="-11"/>
        </w:rPr>
        <w:t>构变迁。平台经济的崛起，主要得益于过去十几年间数字技术突飞猛 </w:t>
      </w:r>
      <w:r>
        <w:rPr>
          <w:rFonts w:ascii="SimSun" w:hAnsi="SimSun" w:eastAsia="SimSun" w:cs="SimSun"/>
          <w:sz w:val="21"/>
          <w:szCs w:val="21"/>
          <w:spacing w:val="3"/>
        </w:rPr>
        <w:t>进的发展。除了互联网技术的快速发展，从2007年1月9日乔布斯</w:t>
      </w:r>
      <w:r>
        <w:rPr>
          <w:rFonts w:ascii="SimSun" w:hAnsi="SimSun" w:eastAsia="SimSun" w:cs="SimSun"/>
          <w:sz w:val="21"/>
          <w:szCs w:val="21"/>
          <w:spacing w:val="15"/>
        </w:rPr>
        <w:t xml:space="preserve"> </w:t>
      </w:r>
      <w:r>
        <w:rPr>
          <w:rFonts w:ascii="SimSun" w:hAnsi="SimSun" w:eastAsia="SimSun" w:cs="SimSun"/>
          <w:sz w:val="21"/>
          <w:szCs w:val="21"/>
          <w:spacing w:val="-6"/>
        </w:rPr>
        <w:t>宣布推出第一代苹果智能手机，到3</w:t>
      </w:r>
      <w:r>
        <w:rPr>
          <w:rFonts w:ascii="Times New Roman" w:hAnsi="Times New Roman" w:eastAsia="Times New Roman" w:cs="Times New Roman"/>
          <w:sz w:val="21"/>
          <w:szCs w:val="21"/>
          <w:spacing w:val="-6"/>
        </w:rPr>
        <w:t>G</w:t>
      </w:r>
      <w:r>
        <w:rPr>
          <w:rFonts w:ascii="SimSun" w:hAnsi="SimSun" w:eastAsia="SimSun" w:cs="SimSun"/>
          <w:sz w:val="21"/>
          <w:szCs w:val="21"/>
          <w:spacing w:val="-6"/>
        </w:rPr>
        <w:t>以及4</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6"/>
        </w:rPr>
        <w:t>移</w:t>
      </w:r>
      <w:r>
        <w:rPr>
          <w:rFonts w:ascii="SimSun" w:hAnsi="SimSun" w:eastAsia="SimSun" w:cs="SimSun"/>
          <w:sz w:val="21"/>
          <w:szCs w:val="21"/>
          <w:spacing w:val="-7"/>
        </w:rPr>
        <w:t>动通信技术的普及，</w:t>
      </w:r>
      <w:r>
        <w:rPr>
          <w:rFonts w:ascii="SimSun" w:hAnsi="SimSun" w:eastAsia="SimSun" w:cs="SimSun"/>
          <w:sz w:val="21"/>
          <w:szCs w:val="21"/>
        </w:rPr>
        <w:t xml:space="preserve"> </w:t>
      </w:r>
      <w:r>
        <w:rPr>
          <w:rFonts w:ascii="SimSun" w:hAnsi="SimSun" w:eastAsia="SimSun" w:cs="SimSun"/>
          <w:sz w:val="21"/>
          <w:szCs w:val="21"/>
          <w:spacing w:val="-11"/>
        </w:rPr>
        <w:t>高效、快速的移动互联成为可能。继前三次工业革命推动产业的机械 </w:t>
      </w:r>
      <w:r>
        <w:rPr>
          <w:rFonts w:ascii="SimSun" w:hAnsi="SimSun" w:eastAsia="SimSun" w:cs="SimSun"/>
          <w:sz w:val="21"/>
          <w:szCs w:val="21"/>
          <w:spacing w:val="-11"/>
        </w:rPr>
        <w:t>化、电器化和自动化之后，第四次工业革命正在助力产业智能化。</w:t>
      </w:r>
    </w:p>
    <w:p>
      <w:pPr>
        <w:ind w:right="18" w:firstLine="450"/>
        <w:spacing w:before="119" w:line="297" w:lineRule="auto"/>
        <w:jc w:val="both"/>
        <w:rPr>
          <w:rFonts w:ascii="SimSun" w:hAnsi="SimSun" w:eastAsia="SimSun" w:cs="SimSun"/>
          <w:sz w:val="21"/>
          <w:szCs w:val="21"/>
        </w:rPr>
      </w:pPr>
      <w:r>
        <w:rPr>
          <w:rFonts w:ascii="SimSun" w:hAnsi="SimSun" w:eastAsia="SimSun" w:cs="SimSun"/>
          <w:sz w:val="21"/>
          <w:szCs w:val="21"/>
          <w:spacing w:val="-11"/>
        </w:rPr>
        <w:t>数字技术使平台经济拥有了一些突出的运行特征，从而使经济与</w:t>
      </w:r>
      <w:r>
        <w:rPr>
          <w:rFonts w:ascii="SimSun" w:hAnsi="SimSun" w:eastAsia="SimSun" w:cs="SimSun"/>
          <w:sz w:val="21"/>
          <w:szCs w:val="21"/>
          <w:spacing w:val="13"/>
        </w:rPr>
        <w:t xml:space="preserve"> </w:t>
      </w:r>
      <w:r>
        <w:rPr>
          <w:rFonts w:ascii="SimSun" w:hAnsi="SimSun" w:eastAsia="SimSun" w:cs="SimSun"/>
          <w:sz w:val="21"/>
          <w:szCs w:val="21"/>
          <w:spacing w:val="-10"/>
        </w:rPr>
        <w:t>市场的运行方式发生了部分改变。其中有一些特性，如网</w:t>
      </w:r>
      <w:r>
        <w:rPr>
          <w:rFonts w:ascii="SimSun" w:hAnsi="SimSun" w:eastAsia="SimSun" w:cs="SimSun"/>
          <w:sz w:val="21"/>
          <w:szCs w:val="21"/>
          <w:spacing w:val="-11"/>
        </w:rPr>
        <w:t>络外部性和</w:t>
      </w:r>
      <w:r>
        <w:rPr>
          <w:rFonts w:ascii="SimSun" w:hAnsi="SimSun" w:eastAsia="SimSun" w:cs="SimSun"/>
          <w:sz w:val="21"/>
          <w:szCs w:val="21"/>
        </w:rPr>
        <w:t xml:space="preserve"> </w:t>
      </w:r>
      <w:r>
        <w:rPr>
          <w:rFonts w:ascii="SimSun" w:hAnsi="SimSun" w:eastAsia="SimSun" w:cs="SimSun"/>
          <w:sz w:val="21"/>
          <w:szCs w:val="21"/>
          <w:spacing w:val="-10"/>
        </w:rPr>
        <w:t>多边市场等，在传统平台也存在，只是在数</w:t>
      </w:r>
      <w:r>
        <w:rPr>
          <w:rFonts w:ascii="SimSun" w:hAnsi="SimSun" w:eastAsia="SimSun" w:cs="SimSun"/>
          <w:sz w:val="21"/>
          <w:szCs w:val="21"/>
          <w:spacing w:val="-11"/>
        </w:rPr>
        <w:t>字平台变得更加突出。有</w:t>
      </w:r>
      <w:r>
        <w:rPr>
          <w:rFonts w:ascii="SimSun" w:hAnsi="SimSun" w:eastAsia="SimSun" w:cs="SimSun"/>
          <w:sz w:val="21"/>
          <w:szCs w:val="21"/>
        </w:rPr>
        <w:t xml:space="preserve"> </w:t>
      </w:r>
      <w:r>
        <w:rPr>
          <w:rFonts w:ascii="SimSun" w:hAnsi="SimSun" w:eastAsia="SimSun" w:cs="SimSun"/>
          <w:sz w:val="21"/>
          <w:szCs w:val="21"/>
          <w:spacing w:val="-4"/>
        </w:rPr>
        <w:t>一些特性如规模经济和范围经济等，则在数字平台表现得相对独特</w:t>
      </w:r>
      <w:r>
        <w:rPr>
          <w:rFonts w:ascii="SimSun" w:hAnsi="SimSun" w:eastAsia="SimSun" w:cs="SimSun"/>
          <w:sz w:val="21"/>
          <w:szCs w:val="21"/>
          <w:spacing w:val="12"/>
        </w:rPr>
        <w:t xml:space="preserve"> </w:t>
      </w:r>
      <w:r>
        <w:rPr>
          <w:rFonts w:ascii="SimSun" w:hAnsi="SimSun" w:eastAsia="SimSun" w:cs="SimSun"/>
          <w:sz w:val="21"/>
          <w:szCs w:val="21"/>
          <w:spacing w:val="-9"/>
        </w:rPr>
        <w:t>(详见第八章)。</w:t>
      </w:r>
    </w:p>
    <w:p>
      <w:pPr>
        <w:ind w:right="27" w:firstLine="450"/>
        <w:spacing w:before="110" w:line="306" w:lineRule="auto"/>
        <w:jc w:val="both"/>
        <w:rPr>
          <w:rFonts w:ascii="SimSun" w:hAnsi="SimSun" w:eastAsia="SimSun" w:cs="SimSun"/>
          <w:sz w:val="21"/>
          <w:szCs w:val="21"/>
        </w:rPr>
      </w:pPr>
      <w:r>
        <w:rPr>
          <w:rFonts w:ascii="SimSun" w:hAnsi="SimSun" w:eastAsia="SimSun" w:cs="SimSun"/>
          <w:sz w:val="21"/>
          <w:szCs w:val="21"/>
          <w:spacing w:val="-4"/>
        </w:rPr>
        <w:t>规模经济意味着较高的产量对应较低的平均成本，因此大企业</w:t>
      </w:r>
      <w:r>
        <w:rPr>
          <w:rFonts w:ascii="SimSun" w:hAnsi="SimSun" w:eastAsia="SimSun" w:cs="SimSun"/>
          <w:sz w:val="21"/>
          <w:szCs w:val="21"/>
          <w:spacing w:val="14"/>
        </w:rPr>
        <w:t xml:space="preserve"> </w:t>
      </w:r>
      <w:r>
        <w:rPr>
          <w:rFonts w:ascii="SimSun" w:hAnsi="SimSun" w:eastAsia="SimSun" w:cs="SimSun"/>
          <w:sz w:val="21"/>
          <w:szCs w:val="21"/>
          <w:spacing w:val="-11"/>
        </w:rPr>
        <w:t>的生产效率往往较高，竞争力也较强。科技平台往往具有所谓的长尾</w:t>
      </w:r>
      <w:r>
        <w:rPr>
          <w:rFonts w:ascii="SimSun" w:hAnsi="SimSun" w:eastAsia="SimSun" w:cs="SimSun"/>
          <w:sz w:val="21"/>
          <w:szCs w:val="21"/>
          <w:spacing w:val="17"/>
        </w:rPr>
        <w:t xml:space="preserve"> </w:t>
      </w:r>
      <w:r>
        <w:rPr>
          <w:rFonts w:ascii="SimSun" w:hAnsi="SimSun" w:eastAsia="SimSun" w:cs="SimSun"/>
          <w:sz w:val="21"/>
          <w:szCs w:val="21"/>
          <w:spacing w:val="-10"/>
        </w:rPr>
        <w:t>效应，它是指那些原来不受重视的销量小但种</w:t>
      </w:r>
      <w:r>
        <w:rPr>
          <w:rFonts w:ascii="SimSun" w:hAnsi="SimSun" w:eastAsia="SimSun" w:cs="SimSun"/>
          <w:sz w:val="21"/>
          <w:szCs w:val="21"/>
          <w:spacing w:val="-11"/>
        </w:rPr>
        <w:t>类多的产品或服务由于</w:t>
      </w:r>
      <w:r>
        <w:rPr>
          <w:rFonts w:ascii="SimSun" w:hAnsi="SimSun" w:eastAsia="SimSun" w:cs="SimSun"/>
          <w:sz w:val="21"/>
          <w:szCs w:val="21"/>
        </w:rPr>
        <w:t xml:space="preserve"> </w:t>
      </w:r>
      <w:r>
        <w:rPr>
          <w:rFonts w:ascii="SimSun" w:hAnsi="SimSun" w:eastAsia="SimSun" w:cs="SimSun"/>
          <w:sz w:val="21"/>
          <w:szCs w:val="21"/>
          <w:spacing w:val="-11"/>
        </w:rPr>
        <w:t>总量巨大，累积起来的总收益超过主流产品的现象。与长尾效应相对</w:t>
      </w:r>
      <w:r>
        <w:rPr>
          <w:rFonts w:ascii="SimSun" w:hAnsi="SimSun" w:eastAsia="SimSun" w:cs="SimSun"/>
          <w:sz w:val="21"/>
          <w:szCs w:val="21"/>
          <w:spacing w:val="17"/>
        </w:rPr>
        <w:t xml:space="preserve"> </w:t>
      </w:r>
      <w:r>
        <w:rPr>
          <w:rFonts w:ascii="SimSun" w:hAnsi="SimSun" w:eastAsia="SimSun" w:cs="SimSun"/>
          <w:sz w:val="21"/>
          <w:szCs w:val="21"/>
          <w:spacing w:val="3"/>
        </w:rPr>
        <w:t>应的是帕累托法则，即80%的企业业绩来自20%的产品。平台企业</w:t>
      </w:r>
      <w:r>
        <w:rPr>
          <w:rFonts w:ascii="SimSun" w:hAnsi="SimSun" w:eastAsia="SimSun" w:cs="SimSun"/>
          <w:sz w:val="21"/>
          <w:szCs w:val="21"/>
          <w:spacing w:val="13"/>
        </w:rPr>
        <w:t xml:space="preserve"> </w:t>
      </w:r>
      <w:r>
        <w:rPr>
          <w:rFonts w:ascii="SimSun" w:hAnsi="SimSun" w:eastAsia="SimSun" w:cs="SimSun"/>
          <w:sz w:val="21"/>
          <w:szCs w:val="21"/>
          <w:spacing w:val="-10"/>
        </w:rPr>
        <w:t>形成长尾效应的一个技术原因是，在平台建立以后，扩</w:t>
      </w:r>
      <w:r>
        <w:rPr>
          <w:rFonts w:ascii="SimSun" w:hAnsi="SimSun" w:eastAsia="SimSun" w:cs="SimSun"/>
          <w:sz w:val="21"/>
          <w:szCs w:val="21"/>
          <w:spacing w:val="-11"/>
        </w:rPr>
        <w:t>大业务规模的</w:t>
      </w:r>
      <w:r>
        <w:rPr>
          <w:rFonts w:ascii="SimSun" w:hAnsi="SimSun" w:eastAsia="SimSun" w:cs="SimSun"/>
          <w:sz w:val="21"/>
          <w:szCs w:val="21"/>
        </w:rPr>
        <w:t xml:space="preserve"> </w:t>
      </w:r>
      <w:r>
        <w:rPr>
          <w:rFonts w:ascii="SimSun" w:hAnsi="SimSun" w:eastAsia="SimSun" w:cs="SimSun"/>
          <w:sz w:val="21"/>
          <w:szCs w:val="21"/>
        </w:rPr>
        <w:t>边际成本几乎为零。这样，提供剩下的80%的</w:t>
      </w:r>
      <w:r>
        <w:rPr>
          <w:rFonts w:ascii="SimSun" w:hAnsi="SimSun" w:eastAsia="SimSun" w:cs="SimSun"/>
          <w:sz w:val="21"/>
          <w:szCs w:val="21"/>
          <w:spacing w:val="-1"/>
        </w:rPr>
        <w:t>产品或者覆盖剩下的</w:t>
      </w:r>
      <w:r>
        <w:rPr>
          <w:rFonts w:ascii="SimSun" w:hAnsi="SimSun" w:eastAsia="SimSun" w:cs="SimSun"/>
          <w:sz w:val="21"/>
          <w:szCs w:val="21"/>
        </w:rPr>
        <w:t xml:space="preserve"> </w:t>
      </w:r>
      <w:r>
        <w:rPr>
          <w:rFonts w:ascii="SimSun" w:hAnsi="SimSun" w:eastAsia="SimSun" w:cs="SimSun"/>
          <w:sz w:val="21"/>
          <w:szCs w:val="21"/>
        </w:rPr>
        <w:t>80%的客户不仅可行，而且有利可图。202</w:t>
      </w:r>
      <w:r>
        <w:rPr>
          <w:rFonts w:ascii="SimSun" w:hAnsi="SimSun" w:eastAsia="SimSun" w:cs="SimSun"/>
          <w:sz w:val="21"/>
          <w:szCs w:val="21"/>
          <w:spacing w:val="-1"/>
        </w:rPr>
        <w:t>1年二季度，微信的月活</w:t>
      </w:r>
      <w:r>
        <w:rPr>
          <w:rFonts w:ascii="SimSun" w:hAnsi="SimSun" w:eastAsia="SimSun" w:cs="SimSun"/>
          <w:sz w:val="21"/>
          <w:szCs w:val="21"/>
        </w:rPr>
        <w:t xml:space="preserve"> </w:t>
      </w:r>
      <w:r>
        <w:rPr>
          <w:rFonts w:ascii="SimSun" w:hAnsi="SimSun" w:eastAsia="SimSun" w:cs="SimSun"/>
          <w:sz w:val="21"/>
          <w:szCs w:val="21"/>
          <w:spacing w:val="-3"/>
        </w:rPr>
        <w:t>跃用户达到了12.25亿人，抖音的日活跃用户超过了6.8亿人，京东</w:t>
      </w:r>
      <w:r>
        <w:rPr>
          <w:rFonts w:ascii="SimSun" w:hAnsi="SimSun" w:eastAsia="SimSun" w:cs="SimSun"/>
          <w:sz w:val="21"/>
          <w:szCs w:val="21"/>
          <w:spacing w:val="6"/>
        </w:rPr>
        <w:t xml:space="preserve"> </w:t>
      </w:r>
      <w:r>
        <w:rPr>
          <w:rFonts w:ascii="SimSun" w:hAnsi="SimSun" w:eastAsia="SimSun" w:cs="SimSun"/>
          <w:sz w:val="21"/>
          <w:szCs w:val="21"/>
          <w:spacing w:val="-8"/>
        </w:rPr>
        <w:t>的活跃用户也有5.5亿人，规模效应显著。</w:t>
      </w:r>
    </w:p>
    <w:p>
      <w:pPr>
        <w:ind w:right="22" w:firstLine="450"/>
        <w:spacing w:before="110" w:line="300" w:lineRule="auto"/>
        <w:jc w:val="both"/>
        <w:rPr>
          <w:rFonts w:ascii="SimSun" w:hAnsi="SimSun" w:eastAsia="SimSun" w:cs="SimSun"/>
          <w:sz w:val="21"/>
          <w:szCs w:val="21"/>
        </w:rPr>
      </w:pPr>
      <w:r>
        <w:rPr>
          <w:rFonts w:ascii="SimSun" w:hAnsi="SimSun" w:eastAsia="SimSun" w:cs="SimSun"/>
          <w:sz w:val="21"/>
          <w:szCs w:val="21"/>
          <w:spacing w:val="-11"/>
        </w:rPr>
        <w:t>范围经济则是指同时生产多种产品的总成本低于分别生产各个产</w:t>
      </w:r>
      <w:r>
        <w:rPr>
          <w:rFonts w:ascii="SimSun" w:hAnsi="SimSun" w:eastAsia="SimSun" w:cs="SimSun"/>
          <w:sz w:val="21"/>
          <w:szCs w:val="21"/>
          <w:spacing w:val="9"/>
        </w:rPr>
        <w:t xml:space="preserve"> </w:t>
      </w:r>
      <w:r>
        <w:rPr>
          <w:rFonts w:ascii="SimSun" w:hAnsi="SimSun" w:eastAsia="SimSun" w:cs="SimSun"/>
          <w:sz w:val="21"/>
          <w:szCs w:val="21"/>
          <w:spacing w:val="-11"/>
        </w:rPr>
        <w:t>品的成本之和。因此，特定范围的多产品企业比单一产品企业效率更</w:t>
      </w:r>
      <w:r>
        <w:rPr>
          <w:rFonts w:ascii="SimSun" w:hAnsi="SimSun" w:eastAsia="SimSun" w:cs="SimSun"/>
          <w:sz w:val="21"/>
          <w:szCs w:val="21"/>
          <w:spacing w:val="18"/>
        </w:rPr>
        <w:t xml:space="preserve"> </w:t>
      </w:r>
      <w:r>
        <w:rPr>
          <w:rFonts w:ascii="SimSun" w:hAnsi="SimSun" w:eastAsia="SimSun" w:cs="SimSun"/>
          <w:sz w:val="21"/>
          <w:szCs w:val="21"/>
          <w:spacing w:val="-11"/>
        </w:rPr>
        <w:t>高，这实际上也是规模效应在横向产品、服务或市场层面的反映。其</w:t>
      </w:r>
      <w:r>
        <w:rPr>
          <w:rFonts w:ascii="SimSun" w:hAnsi="SimSun" w:eastAsia="SimSun" w:cs="SimSun"/>
          <w:sz w:val="21"/>
          <w:szCs w:val="21"/>
          <w:spacing w:val="17"/>
        </w:rPr>
        <w:t xml:space="preserve"> </w:t>
      </w:r>
      <w:r>
        <w:rPr>
          <w:rFonts w:ascii="SimSun" w:hAnsi="SimSun" w:eastAsia="SimSun" w:cs="SimSun"/>
          <w:sz w:val="21"/>
          <w:szCs w:val="21"/>
          <w:spacing w:val="-9"/>
        </w:rPr>
        <w:t>基本原理是，</w:t>
      </w:r>
      <w:r>
        <w:rPr>
          <w:rFonts w:ascii="SimSun" w:hAnsi="SimSun" w:eastAsia="SimSun" w:cs="SimSun"/>
          <w:sz w:val="21"/>
          <w:szCs w:val="21"/>
          <w:spacing w:val="58"/>
        </w:rPr>
        <w:t xml:space="preserve"> </w:t>
      </w:r>
      <w:r>
        <w:rPr>
          <w:rFonts w:ascii="SimSun" w:hAnsi="SimSun" w:eastAsia="SimSun" w:cs="SimSun"/>
          <w:sz w:val="21"/>
          <w:szCs w:val="21"/>
          <w:spacing w:val="-9"/>
        </w:rPr>
        <w:t>一旦一项业务建立起来，有了客户与数据，跨界经营</w:t>
      </w:r>
      <w:r>
        <w:rPr>
          <w:rFonts w:ascii="SimSun" w:hAnsi="SimSun" w:eastAsia="SimSun" w:cs="SimSun"/>
          <w:sz w:val="21"/>
          <w:szCs w:val="21"/>
        </w:rPr>
        <w:t xml:space="preserve"> </w:t>
      </w:r>
      <w:r>
        <w:rPr>
          <w:rFonts w:ascii="SimSun" w:hAnsi="SimSun" w:eastAsia="SimSun" w:cs="SimSun"/>
          <w:sz w:val="21"/>
          <w:szCs w:val="21"/>
          <w:spacing w:val="-10"/>
        </w:rPr>
        <w:t>就变得相对容易。范围经济现象在中国的平台经</w:t>
      </w:r>
      <w:r>
        <w:rPr>
          <w:rFonts w:ascii="SimSun" w:hAnsi="SimSun" w:eastAsia="SimSun" w:cs="SimSun"/>
          <w:sz w:val="21"/>
          <w:szCs w:val="21"/>
          <w:spacing w:val="-11"/>
        </w:rPr>
        <w:t>济领域非常普遍，比</w:t>
      </w:r>
      <w:r>
        <w:rPr>
          <w:rFonts w:ascii="SimSun" w:hAnsi="SimSun" w:eastAsia="SimSun" w:cs="SimSun"/>
          <w:sz w:val="21"/>
          <w:szCs w:val="21"/>
        </w:rPr>
        <w:t xml:space="preserve"> </w:t>
      </w:r>
      <w:r>
        <w:rPr>
          <w:rFonts w:ascii="SimSun" w:hAnsi="SimSun" w:eastAsia="SimSun" w:cs="SimSun"/>
          <w:sz w:val="21"/>
          <w:szCs w:val="21"/>
          <w:spacing w:val="-10"/>
        </w:rPr>
        <w:t>如腾讯在社交媒体微信的基础上开办了新型互联网银行微众银行</w:t>
      </w:r>
      <w:r>
        <w:rPr>
          <w:rFonts w:ascii="SimSun" w:hAnsi="SimSun" w:eastAsia="SimSun" w:cs="SimSun"/>
          <w:sz w:val="21"/>
          <w:szCs w:val="21"/>
          <w:spacing w:val="-11"/>
        </w:rPr>
        <w:t>。阿</w:t>
      </w:r>
    </w:p>
    <w:p>
      <w:pPr>
        <w:spacing w:line="300" w:lineRule="auto"/>
        <w:sectPr>
          <w:headerReference w:type="default" r:id="rId32"/>
          <w:pgSz w:w="7330" w:h="12480"/>
          <w:pgMar w:top="569" w:right="724" w:bottom="400" w:left="549" w:header="402" w:footer="0" w:gutter="0"/>
        </w:sectPr>
        <w:rPr>
          <w:rFonts w:ascii="SimSun" w:hAnsi="SimSun" w:eastAsia="SimSun" w:cs="SimSun"/>
          <w:sz w:val="21"/>
          <w:szCs w:val="21"/>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89"/>
        <w:spacing w:before="68" w:line="284" w:lineRule="auto"/>
        <w:jc w:val="both"/>
        <w:rPr>
          <w:rFonts w:ascii="SimSun" w:hAnsi="SimSun" w:eastAsia="SimSun" w:cs="SimSun"/>
          <w:sz w:val="21"/>
          <w:szCs w:val="21"/>
        </w:rPr>
      </w:pPr>
      <w:r>
        <w:rPr>
          <w:rFonts w:ascii="SimSun" w:hAnsi="SimSun" w:eastAsia="SimSun" w:cs="SimSun"/>
          <w:sz w:val="21"/>
          <w:szCs w:val="21"/>
          <w:spacing w:val="-11"/>
        </w:rPr>
        <w:t>里巴巴在电商平台淘宝和移动支付平台支付宝的基础上开发了覆盖餐</w:t>
      </w:r>
      <w:r>
        <w:rPr>
          <w:rFonts w:ascii="SimSun" w:hAnsi="SimSun" w:eastAsia="SimSun" w:cs="SimSun"/>
          <w:sz w:val="21"/>
          <w:szCs w:val="21"/>
          <w:spacing w:val="6"/>
        </w:rPr>
        <w:t xml:space="preserve"> </w:t>
      </w:r>
      <w:r>
        <w:rPr>
          <w:rFonts w:ascii="SimSun" w:hAnsi="SimSun" w:eastAsia="SimSun" w:cs="SimSun"/>
          <w:sz w:val="21"/>
          <w:szCs w:val="21"/>
          <w:spacing w:val="-11"/>
        </w:rPr>
        <w:t>饮、超市、便利店、外卖、商圈、机场、美容美发、电影院等场景的</w:t>
      </w:r>
      <w:r>
        <w:rPr>
          <w:rFonts w:ascii="SimSun" w:hAnsi="SimSun" w:eastAsia="SimSun" w:cs="SimSun"/>
          <w:sz w:val="21"/>
          <w:szCs w:val="21"/>
          <w:spacing w:val="14"/>
        </w:rPr>
        <w:t xml:space="preserve"> </w:t>
      </w:r>
      <w:r>
        <w:rPr>
          <w:rFonts w:ascii="SimSun" w:hAnsi="SimSun" w:eastAsia="SimSun" w:cs="SimSun"/>
          <w:sz w:val="21"/>
          <w:szCs w:val="21"/>
          <w:spacing w:val="-12"/>
        </w:rPr>
        <w:t>阿里本地生活。</w:t>
      </w:r>
    </w:p>
    <w:p>
      <w:pPr>
        <w:ind w:firstLine="410"/>
        <w:spacing w:before="118" w:line="297" w:lineRule="auto"/>
        <w:jc w:val="both"/>
        <w:rPr>
          <w:rFonts w:ascii="SimSun" w:hAnsi="SimSun" w:eastAsia="SimSun" w:cs="SimSun"/>
          <w:sz w:val="21"/>
          <w:szCs w:val="21"/>
        </w:rPr>
      </w:pPr>
      <w:r>
        <w:rPr>
          <w:rFonts w:ascii="SimSun" w:hAnsi="SimSun" w:eastAsia="SimSun" w:cs="SimSun"/>
          <w:sz w:val="21"/>
          <w:szCs w:val="21"/>
          <w:spacing w:val="-10"/>
        </w:rPr>
        <w:t>网络外部性相当于需求端的规模经济，即消费者越多，人均使用</w:t>
      </w:r>
      <w:r>
        <w:rPr>
          <w:rFonts w:ascii="SimSun" w:hAnsi="SimSun" w:eastAsia="SimSun" w:cs="SimSun"/>
          <w:sz w:val="21"/>
          <w:szCs w:val="21"/>
          <w:spacing w:val="3"/>
        </w:rPr>
        <w:t xml:space="preserve"> </w:t>
      </w:r>
      <w:r>
        <w:rPr>
          <w:rFonts w:ascii="SimSun" w:hAnsi="SimSun" w:eastAsia="SimSun" w:cs="SimSun"/>
          <w:sz w:val="21"/>
          <w:szCs w:val="21"/>
          <w:spacing w:val="-11"/>
        </w:rPr>
        <w:t>价值越高。也就是说，网络用户数量的增长，可能会带动用户总所得</w:t>
      </w:r>
      <w:r>
        <w:rPr>
          <w:rFonts w:ascii="SimSun" w:hAnsi="SimSun" w:eastAsia="SimSun" w:cs="SimSun"/>
          <w:sz w:val="21"/>
          <w:szCs w:val="21"/>
          <w:spacing w:val="3"/>
        </w:rPr>
        <w:t xml:space="preserve">  </w:t>
      </w:r>
      <w:r>
        <w:rPr>
          <w:rFonts w:ascii="SimSun" w:hAnsi="SimSun" w:eastAsia="SimSun" w:cs="SimSun"/>
          <w:sz w:val="21"/>
          <w:szCs w:val="21"/>
          <w:spacing w:val="-8"/>
        </w:rPr>
        <w:t>效用的几何级增长。网络外部性可以分为直接外部性和间接外部性，</w:t>
      </w:r>
      <w:r>
        <w:rPr>
          <w:rFonts w:ascii="SimSun" w:hAnsi="SimSun" w:eastAsia="SimSun" w:cs="SimSun"/>
          <w:sz w:val="21"/>
          <w:szCs w:val="21"/>
          <w:spacing w:val="13"/>
        </w:rPr>
        <w:t xml:space="preserve"> </w:t>
      </w:r>
      <w:r>
        <w:rPr>
          <w:rFonts w:ascii="SimSun" w:hAnsi="SimSun" w:eastAsia="SimSun" w:cs="SimSun"/>
          <w:sz w:val="21"/>
          <w:szCs w:val="21"/>
          <w:spacing w:val="-11"/>
        </w:rPr>
        <w:t>前者指消费相同产品的用户数量增加所导致的产品价值的增加，后者</w:t>
      </w:r>
      <w:r>
        <w:rPr>
          <w:rFonts w:ascii="SimSun" w:hAnsi="SimSun" w:eastAsia="SimSun" w:cs="SimSun"/>
          <w:sz w:val="21"/>
          <w:szCs w:val="21"/>
          <w:spacing w:val="4"/>
        </w:rPr>
        <w:t xml:space="preserve">  </w:t>
      </w:r>
      <w:r>
        <w:rPr>
          <w:rFonts w:ascii="SimSun" w:hAnsi="SimSun" w:eastAsia="SimSun" w:cs="SimSun"/>
          <w:sz w:val="21"/>
          <w:szCs w:val="21"/>
          <w:spacing w:val="-11"/>
        </w:rPr>
        <w:t>则是随着产品使用者数量的增加，该产品的互补品数量增多、价格降</w:t>
      </w:r>
      <w:r>
        <w:rPr>
          <w:rFonts w:ascii="SimSun" w:hAnsi="SimSun" w:eastAsia="SimSun" w:cs="SimSun"/>
          <w:sz w:val="21"/>
          <w:szCs w:val="21"/>
          <w:spacing w:val="4"/>
        </w:rPr>
        <w:t xml:space="preserve">  </w:t>
      </w:r>
      <w:r>
        <w:rPr>
          <w:rFonts w:ascii="SimSun" w:hAnsi="SimSun" w:eastAsia="SimSun" w:cs="SimSun"/>
          <w:sz w:val="21"/>
          <w:szCs w:val="21"/>
          <w:spacing w:val="-11"/>
        </w:rPr>
        <w:t>低而产生的产品价值增加。网络外部性在现实生活中可以非常直观地</w:t>
      </w:r>
      <w:r>
        <w:rPr>
          <w:rFonts w:ascii="SimSun" w:hAnsi="SimSun" w:eastAsia="SimSun" w:cs="SimSun"/>
          <w:sz w:val="21"/>
          <w:szCs w:val="21"/>
          <w:spacing w:val="3"/>
        </w:rPr>
        <w:t xml:space="preserve">  </w:t>
      </w:r>
      <w:r>
        <w:rPr>
          <w:rFonts w:ascii="SimSun" w:hAnsi="SimSun" w:eastAsia="SimSun" w:cs="SimSun"/>
          <w:sz w:val="21"/>
          <w:szCs w:val="21"/>
          <w:spacing w:val="-4"/>
        </w:rPr>
        <w:t>被感受到，就是一个平台(比如淘宝或者美团)的用户越多，产品或</w:t>
      </w:r>
      <w:r>
        <w:rPr>
          <w:rFonts w:ascii="SimSun" w:hAnsi="SimSun" w:eastAsia="SimSun" w:cs="SimSun"/>
          <w:sz w:val="21"/>
          <w:szCs w:val="21"/>
          <w:spacing w:val="4"/>
        </w:rPr>
        <w:t xml:space="preserve">  </w:t>
      </w:r>
      <w:r>
        <w:rPr>
          <w:rFonts w:ascii="SimSun" w:hAnsi="SimSun" w:eastAsia="SimSun" w:cs="SimSun"/>
          <w:sz w:val="21"/>
          <w:szCs w:val="21"/>
          <w:spacing w:val="-12"/>
        </w:rPr>
        <w:t>服务的质量就可能越好，种类可能越丰富。</w:t>
      </w:r>
    </w:p>
    <w:p>
      <w:pPr>
        <w:ind w:right="20" w:firstLine="410"/>
        <w:spacing w:before="183" w:line="296" w:lineRule="auto"/>
        <w:jc w:val="both"/>
        <w:rPr>
          <w:rFonts w:ascii="SimSun" w:hAnsi="SimSun" w:eastAsia="SimSun" w:cs="SimSun"/>
          <w:sz w:val="21"/>
          <w:szCs w:val="21"/>
        </w:rPr>
      </w:pPr>
      <w:r>
        <w:rPr>
          <w:rFonts w:ascii="SimSun" w:hAnsi="SimSun" w:eastAsia="SimSun" w:cs="SimSun"/>
          <w:sz w:val="21"/>
          <w:szCs w:val="21"/>
          <w:spacing w:val="-3"/>
        </w:rPr>
        <w:t>双(多)边市场是指互相提供网络收益的独立用户群体的经济网</w:t>
      </w:r>
      <w:r>
        <w:rPr>
          <w:rFonts w:ascii="SimSun" w:hAnsi="SimSun" w:eastAsia="SimSun" w:cs="SimSun"/>
          <w:sz w:val="21"/>
          <w:szCs w:val="21"/>
          <w:spacing w:val="13"/>
        </w:rPr>
        <w:t xml:space="preserve"> </w:t>
      </w:r>
      <w:r>
        <w:rPr>
          <w:rFonts w:ascii="SimSun" w:hAnsi="SimSun" w:eastAsia="SimSun" w:cs="SimSun"/>
          <w:sz w:val="21"/>
          <w:szCs w:val="21"/>
          <w:spacing w:val="-3"/>
        </w:rPr>
        <w:t>络或平台。平台通过适当从各方收取费用，使双</w:t>
      </w:r>
      <w:r>
        <w:rPr>
          <w:rFonts w:ascii="SimSun" w:hAnsi="SimSun" w:eastAsia="SimSun" w:cs="SimSun"/>
          <w:sz w:val="21"/>
          <w:szCs w:val="21"/>
          <w:spacing w:val="-4"/>
        </w:rPr>
        <w:t>(多)边保留在平台</w:t>
      </w:r>
      <w:r>
        <w:rPr>
          <w:rFonts w:ascii="SimSun" w:hAnsi="SimSun" w:eastAsia="SimSun" w:cs="SimSun"/>
          <w:sz w:val="21"/>
          <w:szCs w:val="21"/>
        </w:rPr>
        <w:t xml:space="preserve"> </w:t>
      </w:r>
      <w:r>
        <w:rPr>
          <w:rFonts w:ascii="SimSun" w:hAnsi="SimSun" w:eastAsia="SimSun" w:cs="SimSun"/>
          <w:sz w:val="21"/>
          <w:szCs w:val="21"/>
          <w:spacing w:val="-11"/>
        </w:rPr>
        <w:t>上，而且一组参与者加入平台的收益取决于加入该平台的</w:t>
      </w:r>
      <w:r>
        <w:rPr>
          <w:rFonts w:ascii="SimSun" w:hAnsi="SimSun" w:eastAsia="SimSun" w:cs="SimSun"/>
          <w:sz w:val="21"/>
          <w:szCs w:val="21"/>
          <w:spacing w:val="-12"/>
        </w:rPr>
        <w:t>另一组参与</w:t>
      </w:r>
      <w:r>
        <w:rPr>
          <w:rFonts w:ascii="SimSun" w:hAnsi="SimSun" w:eastAsia="SimSun" w:cs="SimSun"/>
          <w:sz w:val="21"/>
          <w:szCs w:val="21"/>
        </w:rPr>
        <w:t xml:space="preserve">  </w:t>
      </w:r>
      <w:r>
        <w:rPr>
          <w:rFonts w:ascii="SimSun" w:hAnsi="SimSun" w:eastAsia="SimSun" w:cs="SimSun"/>
          <w:sz w:val="21"/>
          <w:szCs w:val="21"/>
          <w:spacing w:val="-8"/>
        </w:rPr>
        <w:t>者的数量。因此，平台对一方的定价需要考虑对另一</w:t>
      </w:r>
      <w:r>
        <w:rPr>
          <w:rFonts w:ascii="SimSun" w:hAnsi="SimSun" w:eastAsia="SimSun" w:cs="SimSun"/>
          <w:sz w:val="21"/>
          <w:szCs w:val="21"/>
          <w:spacing w:val="-9"/>
        </w:rPr>
        <w:t>方的外部影响。</w:t>
      </w:r>
      <w:r>
        <w:rPr>
          <w:rFonts w:ascii="SimSun" w:hAnsi="SimSun" w:eastAsia="SimSun" w:cs="SimSun"/>
          <w:sz w:val="21"/>
          <w:szCs w:val="21"/>
        </w:rPr>
        <w:t xml:space="preserve"> </w:t>
      </w:r>
      <w:r>
        <w:rPr>
          <w:rFonts w:ascii="SimSun" w:hAnsi="SimSun" w:eastAsia="SimSun" w:cs="SimSun"/>
          <w:sz w:val="21"/>
          <w:szCs w:val="21"/>
          <w:spacing w:val="-11"/>
        </w:rPr>
        <w:t>一个典型的例子是电商平台，卖家越多，买家就越容易找到想要的产 </w:t>
      </w:r>
      <w:r>
        <w:rPr>
          <w:rFonts w:ascii="SimSun" w:hAnsi="SimSun" w:eastAsia="SimSun" w:cs="SimSun"/>
          <w:sz w:val="21"/>
          <w:szCs w:val="21"/>
          <w:spacing w:val="-4"/>
        </w:rPr>
        <w:t>品，反之买家越多，卖家也越容易将自己的独特产品销售出去。因</w:t>
      </w:r>
      <w:r>
        <w:rPr>
          <w:rFonts w:ascii="SimSun" w:hAnsi="SimSun" w:eastAsia="SimSun" w:cs="SimSun"/>
          <w:sz w:val="21"/>
          <w:szCs w:val="21"/>
          <w:spacing w:val="16"/>
        </w:rPr>
        <w:t xml:space="preserve"> </w:t>
      </w:r>
      <w:r>
        <w:rPr>
          <w:rFonts w:ascii="SimSun" w:hAnsi="SimSun" w:eastAsia="SimSun" w:cs="SimSun"/>
          <w:sz w:val="21"/>
          <w:szCs w:val="21"/>
          <w:spacing w:val="-11"/>
        </w:rPr>
        <w:t>此，平台服务对买卖双方的价值是相互促进的，平台的定价通常也包 </w:t>
      </w:r>
      <w:r>
        <w:rPr>
          <w:rFonts w:ascii="SimSun" w:hAnsi="SimSun" w:eastAsia="SimSun" w:cs="SimSun"/>
          <w:sz w:val="21"/>
          <w:szCs w:val="21"/>
          <w:spacing w:val="-11"/>
        </w:rPr>
        <w:t>括分别面向买方和卖方的两个价格。</w:t>
      </w:r>
    </w:p>
    <w:p>
      <w:pPr>
        <w:ind w:firstLine="410"/>
        <w:spacing w:before="173" w:line="304" w:lineRule="auto"/>
        <w:jc w:val="both"/>
        <w:rPr>
          <w:rFonts w:ascii="SimSun" w:hAnsi="SimSun" w:eastAsia="SimSun" w:cs="SimSun"/>
          <w:sz w:val="21"/>
          <w:szCs w:val="21"/>
        </w:rPr>
      </w:pPr>
      <w:r>
        <w:rPr>
          <w:rFonts w:ascii="SimSun" w:hAnsi="SimSun" w:eastAsia="SimSun" w:cs="SimSun"/>
          <w:sz w:val="21"/>
          <w:szCs w:val="21"/>
          <w:spacing w:val="-11"/>
        </w:rPr>
        <w:t>最后，大数据分析是平台经济的一个关键性元素，“数</w:t>
      </w:r>
      <w:r>
        <w:rPr>
          <w:rFonts w:ascii="SimSun" w:hAnsi="SimSun" w:eastAsia="SimSun" w:cs="SimSun"/>
          <w:sz w:val="21"/>
          <w:szCs w:val="21"/>
          <w:spacing w:val="-12"/>
        </w:rPr>
        <w:t>据是数字</w:t>
      </w:r>
      <w:r>
        <w:rPr>
          <w:rFonts w:ascii="SimSun" w:hAnsi="SimSun" w:eastAsia="SimSun" w:cs="SimSun"/>
          <w:sz w:val="21"/>
          <w:szCs w:val="21"/>
        </w:rPr>
        <w:t xml:space="preserve">  </w:t>
      </w:r>
      <w:r>
        <w:rPr>
          <w:rFonts w:ascii="SimSun" w:hAnsi="SimSun" w:eastAsia="SimSun" w:cs="SimSun"/>
          <w:sz w:val="21"/>
          <w:szCs w:val="21"/>
          <w:spacing w:val="-7"/>
        </w:rPr>
        <w:t>经济的石油”,没有数据也就不会有平台经济。所谓的</w:t>
      </w:r>
      <w:r>
        <w:rPr>
          <w:rFonts w:ascii="SimSun" w:hAnsi="SimSun" w:eastAsia="SimSun" w:cs="SimSun"/>
          <w:sz w:val="21"/>
          <w:szCs w:val="21"/>
          <w:spacing w:val="-8"/>
        </w:rPr>
        <w:t>大数据，具有</w:t>
      </w:r>
      <w:r>
        <w:rPr>
          <w:rFonts w:ascii="SimSun" w:hAnsi="SimSun" w:eastAsia="SimSun" w:cs="SimSun"/>
          <w:sz w:val="21"/>
          <w:szCs w:val="21"/>
        </w:rPr>
        <w:t xml:space="preserve">  </w:t>
      </w:r>
      <w:r>
        <w:rPr>
          <w:rFonts w:ascii="SimSun" w:hAnsi="SimSun" w:eastAsia="SimSun" w:cs="SimSun"/>
          <w:sz w:val="21"/>
          <w:szCs w:val="21"/>
          <w:spacing w:val="-8"/>
        </w:rPr>
        <w:t>五个方面的特征，即数据量大、速度快、类型多、价值性和真实性。</w:t>
      </w:r>
      <w:r>
        <w:rPr>
          <w:rFonts w:ascii="SimSun" w:hAnsi="SimSun" w:eastAsia="SimSun" w:cs="SimSun"/>
          <w:sz w:val="21"/>
          <w:szCs w:val="21"/>
          <w:spacing w:val="14"/>
        </w:rPr>
        <w:t xml:space="preserve"> </w:t>
      </w:r>
      <w:r>
        <w:rPr>
          <w:rFonts w:ascii="SimSun" w:hAnsi="SimSun" w:eastAsia="SimSun" w:cs="SimSun"/>
          <w:sz w:val="21"/>
          <w:szCs w:val="21"/>
          <w:spacing w:val="-10"/>
        </w:rPr>
        <w:t>不过在平台经济中，大数据通常是指平台特有的庞大的数据体系。大 </w:t>
      </w:r>
      <w:r>
        <w:rPr>
          <w:rFonts w:ascii="SimSun" w:hAnsi="SimSun" w:eastAsia="SimSun" w:cs="SimSun"/>
          <w:sz w:val="21"/>
          <w:szCs w:val="21"/>
          <w:spacing w:val="-8"/>
        </w:rPr>
        <w:t>数据分析可以支持需求预测、风险缓冲、精准营销及改善客户体验，</w:t>
      </w:r>
      <w:r>
        <w:rPr>
          <w:rFonts w:ascii="SimSun" w:hAnsi="SimSun" w:eastAsia="SimSun" w:cs="SimSun"/>
          <w:sz w:val="21"/>
          <w:szCs w:val="21"/>
          <w:spacing w:val="13"/>
        </w:rPr>
        <w:t xml:space="preserve"> </w:t>
      </w:r>
      <w:r>
        <w:rPr>
          <w:rFonts w:ascii="SimSun" w:hAnsi="SimSun" w:eastAsia="SimSun" w:cs="SimSun"/>
          <w:sz w:val="21"/>
          <w:szCs w:val="21"/>
          <w:spacing w:val="-11"/>
        </w:rPr>
        <w:t>比如，字节跳动利用算法为用户推送个性化的内容，滴滴出行对乘客</w:t>
      </w:r>
      <w:r>
        <w:rPr>
          <w:rFonts w:ascii="SimSun" w:hAnsi="SimSun" w:eastAsia="SimSun" w:cs="SimSun"/>
          <w:sz w:val="21"/>
          <w:szCs w:val="21"/>
          <w:spacing w:val="4"/>
        </w:rPr>
        <w:t xml:space="preserve">  </w:t>
      </w:r>
      <w:r>
        <w:rPr>
          <w:rFonts w:ascii="SimSun" w:hAnsi="SimSun" w:eastAsia="SimSun" w:cs="SimSun"/>
          <w:sz w:val="21"/>
          <w:szCs w:val="21"/>
          <w:spacing w:val="-11"/>
        </w:rPr>
        <w:t>实行差异化定价，以及微众银行和网商银行等形成的大数据信用风险</w:t>
      </w:r>
      <w:r>
        <w:rPr>
          <w:rFonts w:ascii="SimSun" w:hAnsi="SimSun" w:eastAsia="SimSun" w:cs="SimSun"/>
          <w:sz w:val="21"/>
          <w:szCs w:val="21"/>
          <w:spacing w:val="3"/>
        </w:rPr>
        <w:t xml:space="preserve">  </w:t>
      </w:r>
      <w:r>
        <w:rPr>
          <w:rFonts w:ascii="SimSun" w:hAnsi="SimSun" w:eastAsia="SimSun" w:cs="SimSun"/>
          <w:sz w:val="21"/>
          <w:szCs w:val="21"/>
          <w:spacing w:val="-5"/>
        </w:rPr>
        <w:t>评估模型，等等(详见第六章)。</w:t>
      </w:r>
    </w:p>
    <w:p>
      <w:pPr>
        <w:spacing w:line="304" w:lineRule="auto"/>
        <w:sectPr>
          <w:headerReference w:type="default" r:id="rId33"/>
          <w:pgSz w:w="7330" w:h="12480"/>
          <w:pgMar w:top="793" w:right="664" w:bottom="400" w:left="589" w:header="633" w:footer="0" w:gutter="0"/>
        </w:sectPr>
        <w:rPr>
          <w:rFonts w:ascii="SimSun" w:hAnsi="SimSun" w:eastAsia="SimSun" w:cs="SimSun"/>
          <w:sz w:val="21"/>
          <w:szCs w:val="21"/>
        </w:rPr>
      </w:pPr>
    </w:p>
    <w:p>
      <w:pPr>
        <w:pStyle w:val="BodyText"/>
        <w:spacing w:line="246" w:lineRule="auto"/>
        <w:rPr/>
      </w:pPr>
      <w:r>
        <w:drawing>
          <wp:anchor distT="0" distB="0" distL="0" distR="0" simplePos="0" relativeHeight="251905024" behindDoc="0" locked="0" layoutInCell="0" allowOverlap="1">
            <wp:simplePos x="0" y="0"/>
            <wp:positionH relativeFrom="page">
              <wp:posOffset>355607</wp:posOffset>
            </wp:positionH>
            <wp:positionV relativeFrom="page">
              <wp:posOffset>6680204</wp:posOffset>
            </wp:positionV>
            <wp:extent cx="1181092" cy="6350"/>
            <wp:effectExtent l="0" t="0" r="0" b="0"/>
            <wp:wrapNone/>
            <wp:docPr id="46" name="IM 46"/>
            <wp:cNvGraphicFramePr/>
            <a:graphic>
              <a:graphicData uri="http://schemas.openxmlformats.org/drawingml/2006/picture">
                <pic:pic>
                  <pic:nvPicPr>
                    <pic:cNvPr id="46" name="IM 46"/>
                    <pic:cNvPicPr/>
                  </pic:nvPicPr>
                  <pic:blipFill>
                    <a:blip r:embed="rId35"/>
                    <a:stretch>
                      <a:fillRect/>
                    </a:stretch>
                  </pic:blipFill>
                  <pic:spPr>
                    <a:xfrm rot="0">
                      <a:off x="0" y="0"/>
                      <a:ext cx="1181092"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ind w:left="469"/>
        <w:spacing w:before="68" w:line="371" w:lineRule="exact"/>
        <w:rPr>
          <w:rFonts w:ascii="SimSun" w:hAnsi="SimSun" w:eastAsia="SimSun" w:cs="SimSun"/>
          <w:sz w:val="21"/>
          <w:szCs w:val="21"/>
        </w:rPr>
      </w:pPr>
      <w:r>
        <w:rPr>
          <w:rFonts w:ascii="SimSun" w:hAnsi="SimSun" w:eastAsia="SimSun" w:cs="SimSun"/>
          <w:sz w:val="21"/>
          <w:szCs w:val="21"/>
          <w:spacing w:val="-10"/>
          <w:position w:val="12"/>
        </w:rPr>
        <w:t>这些数字平台的基本特性有可能导致经济的运行特点甚至规律发</w:t>
      </w:r>
    </w:p>
    <w:p>
      <w:pPr>
        <w:ind w:left="79"/>
        <w:spacing w:line="219" w:lineRule="auto"/>
        <w:rPr>
          <w:rFonts w:ascii="SimSun" w:hAnsi="SimSun" w:eastAsia="SimSun" w:cs="SimSun"/>
          <w:sz w:val="21"/>
          <w:szCs w:val="21"/>
        </w:rPr>
      </w:pPr>
      <w:r>
        <w:rPr>
          <w:rFonts w:ascii="SimSun" w:hAnsi="SimSun" w:eastAsia="SimSun" w:cs="SimSun"/>
          <w:sz w:val="21"/>
          <w:szCs w:val="21"/>
          <w:spacing w:val="-17"/>
        </w:rPr>
        <w:t>生改变，具体可以概括为“三升三降”。</w:t>
      </w:r>
    </w:p>
    <w:p>
      <w:pPr>
        <w:pStyle w:val="BodyText"/>
        <w:spacing w:line="367" w:lineRule="auto"/>
        <w:rPr/>
      </w:pPr>
      <w:r/>
    </w:p>
    <w:p>
      <w:pPr>
        <w:ind w:left="469"/>
        <w:spacing w:before="69" w:line="225" w:lineRule="auto"/>
        <w:rPr>
          <w:rFonts w:ascii="KaiTi" w:hAnsi="KaiTi" w:eastAsia="KaiTi" w:cs="KaiTi"/>
          <w:sz w:val="21"/>
          <w:szCs w:val="21"/>
        </w:rPr>
      </w:pPr>
      <w:r>
        <w:rPr>
          <w:rFonts w:ascii="KaiTi" w:hAnsi="KaiTi" w:eastAsia="KaiTi" w:cs="KaiTi"/>
          <w:sz w:val="21"/>
          <w:szCs w:val="21"/>
          <w:spacing w:val="-14"/>
        </w:rPr>
        <w:t>·扩大规模：长尾效应放大规模经济、范围经济。</w:t>
      </w:r>
    </w:p>
    <w:p>
      <w:pPr>
        <w:ind w:left="469" w:right="355"/>
        <w:spacing w:before="111" w:line="271" w:lineRule="auto"/>
        <w:rPr>
          <w:rFonts w:ascii="KaiTi" w:hAnsi="KaiTi" w:eastAsia="KaiTi" w:cs="KaiTi"/>
          <w:sz w:val="21"/>
          <w:szCs w:val="21"/>
        </w:rPr>
      </w:pPr>
      <w:r>
        <w:rPr>
          <w:rFonts w:ascii="KaiTi" w:hAnsi="KaiTi" w:eastAsia="KaiTi" w:cs="KaiTi"/>
          <w:sz w:val="21"/>
          <w:szCs w:val="21"/>
          <w:spacing w:val="-14"/>
        </w:rPr>
        <w:t>·提高效率：5</w:t>
      </w:r>
      <w:r>
        <w:rPr>
          <w:rFonts w:ascii="Times New Roman" w:hAnsi="Times New Roman" w:eastAsia="Times New Roman" w:cs="Times New Roman"/>
          <w:sz w:val="21"/>
          <w:szCs w:val="21"/>
          <w:spacing w:val="-14"/>
        </w:rPr>
        <w:t>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4"/>
        </w:rPr>
        <w:t>、</w:t>
      </w:r>
      <w:r>
        <w:rPr>
          <w:rFonts w:ascii="KaiTi" w:hAnsi="KaiTi" w:eastAsia="KaiTi" w:cs="KaiTi"/>
          <w:sz w:val="21"/>
          <w:szCs w:val="21"/>
          <w:spacing w:val="-14"/>
        </w:rPr>
        <w:t>大数据、人工智能与云计算加快运</w:t>
      </w:r>
      <w:r>
        <w:rPr>
          <w:rFonts w:ascii="KaiTi" w:hAnsi="KaiTi" w:eastAsia="KaiTi" w:cs="KaiTi"/>
          <w:sz w:val="21"/>
          <w:szCs w:val="21"/>
          <w:spacing w:val="-15"/>
        </w:rPr>
        <w:t>行速度。</w:t>
      </w:r>
      <w:r>
        <w:rPr>
          <w:rFonts w:ascii="KaiTi" w:hAnsi="KaiTi" w:eastAsia="KaiTi" w:cs="KaiTi"/>
          <w:sz w:val="21"/>
          <w:szCs w:val="21"/>
        </w:rPr>
        <w:t xml:space="preserve"> </w:t>
      </w:r>
      <w:r>
        <w:rPr>
          <w:rFonts w:ascii="KaiTi" w:hAnsi="KaiTi" w:eastAsia="KaiTi" w:cs="KaiTi"/>
          <w:sz w:val="21"/>
          <w:szCs w:val="21"/>
          <w:spacing w:val="-14"/>
        </w:rPr>
        <w:t>·改善体验：低时延、高效率的个性化服务。</w:t>
      </w:r>
    </w:p>
    <w:p>
      <w:pPr>
        <w:ind w:left="469"/>
        <w:spacing w:before="105" w:line="225" w:lineRule="auto"/>
        <w:rPr>
          <w:rFonts w:ascii="KaiTi" w:hAnsi="KaiTi" w:eastAsia="KaiTi" w:cs="KaiTi"/>
          <w:sz w:val="21"/>
          <w:szCs w:val="21"/>
        </w:rPr>
      </w:pPr>
      <w:r>
        <w:rPr>
          <w:rFonts w:ascii="KaiTi" w:hAnsi="KaiTi" w:eastAsia="KaiTi" w:cs="KaiTi"/>
          <w:sz w:val="21"/>
          <w:szCs w:val="21"/>
          <w:spacing w:val="-14"/>
        </w:rPr>
        <w:t>·降低成本：包括搜寻、复制、运输、追踪和验证等成本。</w:t>
      </w:r>
    </w:p>
    <w:p>
      <w:pPr>
        <w:ind w:left="469" w:right="405"/>
        <w:spacing w:before="103" w:line="274" w:lineRule="auto"/>
        <w:rPr>
          <w:rFonts w:ascii="KaiTi" w:hAnsi="KaiTi" w:eastAsia="KaiTi" w:cs="KaiTi"/>
          <w:sz w:val="21"/>
          <w:szCs w:val="21"/>
        </w:rPr>
      </w:pPr>
      <w:r>
        <w:rPr>
          <w:rFonts w:ascii="KaiTi" w:hAnsi="KaiTi" w:eastAsia="KaiTi" w:cs="KaiTi"/>
          <w:sz w:val="21"/>
          <w:szCs w:val="21"/>
          <w:spacing w:val="-14"/>
        </w:rPr>
        <w:t>·控制风险：主要手段是实时监测、交叉验证、大数据分析。</w:t>
      </w:r>
      <w:r>
        <w:rPr>
          <w:rFonts w:ascii="KaiTi" w:hAnsi="KaiTi" w:eastAsia="KaiTi" w:cs="KaiTi"/>
          <w:sz w:val="21"/>
          <w:szCs w:val="21"/>
          <w:spacing w:val="1"/>
        </w:rPr>
        <w:t xml:space="preserve"> </w:t>
      </w:r>
      <w:r>
        <w:rPr>
          <w:rFonts w:ascii="KaiTi" w:hAnsi="KaiTi" w:eastAsia="KaiTi" w:cs="KaiTi"/>
          <w:sz w:val="21"/>
          <w:szCs w:val="21"/>
          <w:spacing w:val="-18"/>
        </w:rPr>
        <w:t>·减少接触：无接触交易。</w:t>
      </w:r>
    </w:p>
    <w:p>
      <w:pPr>
        <w:pStyle w:val="BodyText"/>
        <w:spacing w:line="362" w:lineRule="auto"/>
        <w:rPr/>
      </w:pPr>
      <w:r/>
    </w:p>
    <w:p>
      <w:pPr>
        <w:ind w:left="83"/>
        <w:spacing w:before="82" w:line="222" w:lineRule="auto"/>
        <w:rPr>
          <w:rFonts w:ascii="SimHei" w:hAnsi="SimHei" w:eastAsia="SimHei" w:cs="SimHei"/>
          <w:sz w:val="25"/>
          <w:szCs w:val="25"/>
        </w:rPr>
      </w:pPr>
      <w:r>
        <w:rPr>
          <w:rFonts w:ascii="SimHei" w:hAnsi="SimHei" w:eastAsia="SimHei" w:cs="SimHei"/>
          <w:sz w:val="25"/>
          <w:szCs w:val="25"/>
          <w:b/>
          <w:bCs/>
          <w:spacing w:val="-11"/>
        </w:rPr>
        <w:t>经济增长与生产率</w:t>
      </w:r>
    </w:p>
    <w:p>
      <w:pPr>
        <w:pStyle w:val="BodyText"/>
        <w:spacing w:line="359" w:lineRule="auto"/>
        <w:rPr/>
      </w:pPr>
      <w:r/>
    </w:p>
    <w:p>
      <w:pPr>
        <w:ind w:left="79" w:right="5" w:firstLine="390"/>
        <w:spacing w:before="68" w:line="297" w:lineRule="auto"/>
        <w:jc w:val="both"/>
        <w:rPr>
          <w:rFonts w:ascii="SimSun" w:hAnsi="SimSun" w:eastAsia="SimSun" w:cs="SimSun"/>
          <w:sz w:val="21"/>
          <w:szCs w:val="21"/>
        </w:rPr>
      </w:pPr>
      <w:r>
        <w:rPr>
          <w:rFonts w:ascii="SimSun" w:hAnsi="SimSun" w:eastAsia="SimSun" w:cs="SimSun"/>
          <w:sz w:val="21"/>
          <w:szCs w:val="21"/>
          <w:spacing w:val="-11"/>
        </w:rPr>
        <w:t>平台经济已经触达经济的方方面面，深刻地改变着</w:t>
      </w:r>
      <w:r>
        <w:rPr>
          <w:rFonts w:ascii="SimSun" w:hAnsi="SimSun" w:eastAsia="SimSun" w:cs="SimSun"/>
          <w:sz w:val="21"/>
          <w:szCs w:val="21"/>
          <w:spacing w:val="-12"/>
        </w:rPr>
        <w:t>生产与生活方</w:t>
      </w:r>
      <w:r>
        <w:rPr>
          <w:rFonts w:ascii="SimSun" w:hAnsi="SimSun" w:eastAsia="SimSun" w:cs="SimSun"/>
          <w:sz w:val="21"/>
          <w:szCs w:val="21"/>
        </w:rPr>
        <w:t xml:space="preserve">  </w:t>
      </w:r>
      <w:r>
        <w:rPr>
          <w:rFonts w:ascii="SimSun" w:hAnsi="SimSun" w:eastAsia="SimSun" w:cs="SimSun"/>
          <w:sz w:val="21"/>
          <w:szCs w:val="21"/>
          <w:spacing w:val="-10"/>
        </w:rPr>
        <w:t>式。老百姓几乎每天都能感受到平台经济带来</w:t>
      </w:r>
      <w:r>
        <w:rPr>
          <w:rFonts w:ascii="SimSun" w:hAnsi="SimSun" w:eastAsia="SimSun" w:cs="SimSun"/>
          <w:sz w:val="21"/>
          <w:szCs w:val="21"/>
          <w:spacing w:val="-11"/>
        </w:rPr>
        <w:t>的“生活便利”,购物、</w:t>
      </w:r>
      <w:r>
        <w:rPr>
          <w:rFonts w:ascii="SimSun" w:hAnsi="SimSun" w:eastAsia="SimSun" w:cs="SimSun"/>
          <w:sz w:val="21"/>
          <w:szCs w:val="21"/>
        </w:rPr>
        <w:t xml:space="preserve"> </w:t>
      </w:r>
      <w:r>
        <w:rPr>
          <w:rFonts w:ascii="SimSun" w:hAnsi="SimSun" w:eastAsia="SimSun" w:cs="SimSun"/>
          <w:sz w:val="21"/>
          <w:szCs w:val="21"/>
          <w:spacing w:val="-11"/>
        </w:rPr>
        <w:t>点餐、约车、订酒店，都可以在线上完成，既减少了时间投入，往往</w:t>
      </w:r>
      <w:r>
        <w:rPr>
          <w:rFonts w:ascii="SimSun" w:hAnsi="SimSun" w:eastAsia="SimSun" w:cs="SimSun"/>
          <w:sz w:val="21"/>
          <w:szCs w:val="21"/>
          <w:spacing w:val="8"/>
        </w:rPr>
        <w:t xml:space="preserve">  </w:t>
      </w:r>
      <w:r>
        <w:rPr>
          <w:rFonts w:ascii="SimSun" w:hAnsi="SimSun" w:eastAsia="SimSun" w:cs="SimSun"/>
          <w:sz w:val="21"/>
          <w:szCs w:val="21"/>
          <w:spacing w:val="-11"/>
        </w:rPr>
        <w:t>还能节省成本。平台大幅降低了交易成本，显著提升市场的“撮合效</w:t>
      </w:r>
      <w:r>
        <w:rPr>
          <w:rFonts w:ascii="SimSun" w:hAnsi="SimSun" w:eastAsia="SimSun" w:cs="SimSun"/>
          <w:sz w:val="21"/>
          <w:szCs w:val="21"/>
          <w:spacing w:val="8"/>
        </w:rPr>
        <w:t xml:space="preserve">  </w:t>
      </w:r>
      <w:r>
        <w:rPr>
          <w:rFonts w:ascii="SimSun" w:hAnsi="SimSun" w:eastAsia="SimSun" w:cs="SimSun"/>
          <w:sz w:val="21"/>
          <w:szCs w:val="21"/>
          <w:spacing w:val="-14"/>
        </w:rPr>
        <w:t>率”,既可以实现精准营销，还能为消费群体“定制”。平台经济也为</w:t>
      </w:r>
      <w:r>
        <w:rPr>
          <w:rFonts w:ascii="SimSun" w:hAnsi="SimSun" w:eastAsia="SimSun" w:cs="SimSun"/>
          <w:sz w:val="21"/>
          <w:szCs w:val="21"/>
          <w:spacing w:val="9"/>
        </w:rPr>
        <w:t xml:space="preserve">  </w:t>
      </w:r>
      <w:r>
        <w:rPr>
          <w:rFonts w:ascii="SimSun" w:hAnsi="SimSun" w:eastAsia="SimSun" w:cs="SimSun"/>
          <w:sz w:val="21"/>
          <w:szCs w:val="21"/>
          <w:spacing w:val="-7"/>
        </w:rPr>
        <w:t>大量的创新、创业与就业“降低门槛”,在线上办一个企业、开一家</w:t>
      </w:r>
      <w:r>
        <w:rPr>
          <w:rFonts w:ascii="SimSun" w:hAnsi="SimSun" w:eastAsia="SimSun" w:cs="SimSun"/>
          <w:sz w:val="21"/>
          <w:szCs w:val="21"/>
          <w:spacing w:val="3"/>
        </w:rPr>
        <w:t xml:space="preserve">  </w:t>
      </w:r>
      <w:r>
        <w:rPr>
          <w:rFonts w:ascii="SimSun" w:hAnsi="SimSun" w:eastAsia="SimSun" w:cs="SimSun"/>
          <w:sz w:val="21"/>
          <w:szCs w:val="21"/>
          <w:spacing w:val="-10"/>
        </w:rPr>
        <w:t>门店、找一个兼职，成本远低于线下，而且</w:t>
      </w:r>
      <w:r>
        <w:rPr>
          <w:rFonts w:ascii="SimSun" w:hAnsi="SimSun" w:eastAsia="SimSun" w:cs="SimSun"/>
          <w:sz w:val="21"/>
          <w:szCs w:val="21"/>
          <w:spacing w:val="-11"/>
        </w:rPr>
        <w:t>时间相对灵活，因而具有</w:t>
      </w:r>
      <w:r>
        <w:rPr>
          <w:rFonts w:ascii="SimSun" w:hAnsi="SimSun" w:eastAsia="SimSun" w:cs="SimSun"/>
          <w:sz w:val="21"/>
          <w:szCs w:val="21"/>
        </w:rPr>
        <w:t xml:space="preserve">  </w:t>
      </w:r>
      <w:r>
        <w:rPr>
          <w:rFonts w:ascii="SimSun" w:hAnsi="SimSun" w:eastAsia="SimSun" w:cs="SimSun"/>
          <w:sz w:val="21"/>
          <w:szCs w:val="21"/>
          <w:spacing w:val="-20"/>
        </w:rPr>
        <w:t>很强的“普惠特性”。</w:t>
      </w:r>
    </w:p>
    <w:p>
      <w:pPr>
        <w:ind w:left="79" w:right="99" w:firstLine="390"/>
        <w:spacing w:before="167" w:line="293" w:lineRule="auto"/>
        <w:jc w:val="both"/>
        <w:rPr>
          <w:rFonts w:ascii="SimSun" w:hAnsi="SimSun" w:eastAsia="SimSun" w:cs="SimSun"/>
          <w:sz w:val="21"/>
          <w:szCs w:val="21"/>
        </w:rPr>
      </w:pPr>
      <w:r>
        <w:rPr>
          <w:rFonts w:ascii="SimSun" w:hAnsi="SimSun" w:eastAsia="SimSun" w:cs="SimSun"/>
          <w:sz w:val="21"/>
          <w:szCs w:val="21"/>
          <w:spacing w:val="-10"/>
        </w:rPr>
        <w:t>不过，评估经济效应的第一个障碍是如何准确地测算数字经</w:t>
      </w:r>
      <w:r>
        <w:rPr>
          <w:rFonts w:ascii="SimSun" w:hAnsi="SimSun" w:eastAsia="SimSun" w:cs="SimSun"/>
          <w:sz w:val="21"/>
          <w:szCs w:val="21"/>
          <w:spacing w:val="-11"/>
        </w:rPr>
        <w:t>济或</w:t>
      </w:r>
      <w:r>
        <w:rPr>
          <w:rFonts w:ascii="SimSun" w:hAnsi="SimSun" w:eastAsia="SimSun" w:cs="SimSun"/>
          <w:sz w:val="21"/>
          <w:szCs w:val="21"/>
        </w:rPr>
        <w:t xml:space="preserve"> </w:t>
      </w:r>
      <w:r>
        <w:rPr>
          <w:rFonts w:ascii="SimSun" w:hAnsi="SimSun" w:eastAsia="SimSun" w:cs="SimSun"/>
          <w:sz w:val="21"/>
          <w:szCs w:val="21"/>
          <w:spacing w:val="-7"/>
        </w:rPr>
        <w:t>平台经济。①首先，如何界定数字经济?虽然数字经济的定义相对清</w:t>
      </w:r>
      <w:r>
        <w:rPr>
          <w:rFonts w:ascii="SimSun" w:hAnsi="SimSun" w:eastAsia="SimSun" w:cs="SimSun"/>
          <w:sz w:val="21"/>
          <w:szCs w:val="21"/>
          <w:spacing w:val="4"/>
        </w:rPr>
        <w:t xml:space="preserve"> </w:t>
      </w:r>
      <w:r>
        <w:rPr>
          <w:rFonts w:ascii="SimSun" w:hAnsi="SimSun" w:eastAsia="SimSun" w:cs="SimSun"/>
          <w:sz w:val="21"/>
          <w:szCs w:val="21"/>
          <w:spacing w:val="-11"/>
        </w:rPr>
        <w:t>晰，但统计界定并不容易，不但传统产业与数字经济的融合程度日益</w:t>
      </w:r>
      <w:r>
        <w:rPr>
          <w:rFonts w:ascii="SimSun" w:hAnsi="SimSun" w:eastAsia="SimSun" w:cs="SimSun"/>
          <w:sz w:val="21"/>
          <w:szCs w:val="21"/>
          <w:spacing w:val="18"/>
        </w:rPr>
        <w:t xml:space="preserve"> </w:t>
      </w:r>
      <w:r>
        <w:rPr>
          <w:rFonts w:ascii="SimSun" w:hAnsi="SimSun" w:eastAsia="SimSun" w:cs="SimSun"/>
          <w:sz w:val="21"/>
          <w:szCs w:val="21"/>
          <w:spacing w:val="-11"/>
        </w:rPr>
        <w:t>加深，数字经济的业态也日新月异。这个问题在行业和产品层面也都</w:t>
      </w:r>
    </w:p>
    <w:p>
      <w:pPr>
        <w:pStyle w:val="BodyText"/>
        <w:spacing w:line="268" w:lineRule="auto"/>
        <w:rPr/>
      </w:pPr>
      <w:r/>
    </w:p>
    <w:p>
      <w:pPr>
        <w:pStyle w:val="BodyText"/>
        <w:spacing w:line="268" w:lineRule="auto"/>
        <w:rPr/>
      </w:pPr>
      <w:r/>
    </w:p>
    <w:p>
      <w:pPr>
        <w:ind w:left="429" w:hanging="350"/>
        <w:spacing w:before="53" w:line="272" w:lineRule="auto"/>
        <w:rPr>
          <w:rFonts w:ascii="SimSun" w:hAnsi="SimSun" w:eastAsia="SimSun" w:cs="SimSun"/>
          <w:sz w:val="16"/>
          <w:szCs w:val="16"/>
        </w:rPr>
      </w:pPr>
      <w:r>
        <w:rPr>
          <w:rFonts w:ascii="SimSun" w:hAnsi="SimSun" w:eastAsia="SimSun" w:cs="SimSun"/>
          <w:sz w:val="16"/>
          <w:szCs w:val="16"/>
          <w:spacing w:val="5"/>
        </w:rPr>
        <w:t>①</w:t>
      </w:r>
      <w:r>
        <w:rPr>
          <w:rFonts w:ascii="SimSun" w:hAnsi="SimSun" w:eastAsia="SimSun" w:cs="SimSun"/>
          <w:sz w:val="16"/>
          <w:szCs w:val="16"/>
          <w:spacing w:val="64"/>
        </w:rPr>
        <w:t xml:space="preserve"> </w:t>
      </w:r>
      <w:r>
        <w:rPr>
          <w:rFonts w:ascii="KaiTi" w:hAnsi="KaiTi" w:eastAsia="KaiTi" w:cs="KaiTi"/>
          <w:sz w:val="16"/>
          <w:szCs w:val="16"/>
          <w:spacing w:val="5"/>
        </w:rPr>
        <w:t>许宪春，张美慧，张钟文.数字化转型与经济社会统计的挑战和创新.统计研究，</w:t>
      </w:r>
      <w:r>
        <w:rPr>
          <w:rFonts w:ascii="KaiTi" w:hAnsi="KaiTi" w:eastAsia="KaiTi" w:cs="KaiTi"/>
          <w:sz w:val="16"/>
          <w:szCs w:val="16"/>
        </w:rPr>
        <w:t xml:space="preserve"> </w:t>
      </w:r>
      <w:r>
        <w:rPr>
          <w:rFonts w:ascii="SimSun" w:hAnsi="SimSun" w:eastAsia="SimSun" w:cs="SimSun"/>
          <w:sz w:val="16"/>
          <w:szCs w:val="16"/>
        </w:rPr>
        <w:t>2021(1):15-26.</w:t>
      </w:r>
    </w:p>
    <w:p>
      <w:pPr>
        <w:spacing w:line="272" w:lineRule="auto"/>
        <w:sectPr>
          <w:headerReference w:type="default" r:id="rId34"/>
          <w:pgSz w:w="7330" w:h="12480"/>
          <w:pgMar w:top="529" w:right="699" w:bottom="400" w:left="460" w:header="365" w:footer="0" w:gutter="0"/>
        </w:sectPr>
        <w:rPr>
          <w:rFonts w:ascii="SimSun" w:hAnsi="SimSun" w:eastAsia="SimSun" w:cs="SimSun"/>
          <w:sz w:val="16"/>
          <w:szCs w:val="16"/>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39"/>
        <w:spacing w:before="69" w:line="301" w:lineRule="auto"/>
        <w:jc w:val="both"/>
        <w:rPr>
          <w:rFonts w:ascii="SimSun" w:hAnsi="SimSun" w:eastAsia="SimSun" w:cs="SimSun"/>
          <w:sz w:val="21"/>
          <w:szCs w:val="21"/>
        </w:rPr>
      </w:pPr>
      <w:r>
        <w:rPr>
          <w:rFonts w:ascii="SimSun" w:hAnsi="SimSun" w:eastAsia="SimSun" w:cs="SimSun"/>
          <w:sz w:val="21"/>
          <w:szCs w:val="21"/>
          <w:spacing w:val="-7"/>
        </w:rPr>
        <w:t>存在。其次，如何估计数据的价值?作为一种新的</w:t>
      </w:r>
      <w:r>
        <w:rPr>
          <w:rFonts w:ascii="SimSun" w:hAnsi="SimSun" w:eastAsia="SimSun" w:cs="SimSun"/>
          <w:sz w:val="21"/>
          <w:szCs w:val="21"/>
          <w:spacing w:val="-8"/>
        </w:rPr>
        <w:t>生产要素，数据的 </w:t>
      </w:r>
      <w:r>
        <w:rPr>
          <w:rFonts w:ascii="SimSun" w:hAnsi="SimSun" w:eastAsia="SimSun" w:cs="SimSun"/>
          <w:sz w:val="21"/>
          <w:szCs w:val="21"/>
          <w:spacing w:val="-11"/>
        </w:rPr>
        <w:t>价值要体现在生产、收入、消费和投资等领域，但现在的问题是数据 </w:t>
      </w:r>
      <w:r>
        <w:rPr>
          <w:rFonts w:ascii="SimSun" w:hAnsi="SimSun" w:eastAsia="SimSun" w:cs="SimSun"/>
          <w:sz w:val="21"/>
          <w:szCs w:val="21"/>
          <w:spacing w:val="-8"/>
        </w:rPr>
        <w:t>确权、定价、交易等缺乏被广泛接受的市场机制或治理</w:t>
      </w:r>
      <w:r>
        <w:rPr>
          <w:rFonts w:ascii="SimSun" w:hAnsi="SimSun" w:eastAsia="SimSun" w:cs="SimSun"/>
          <w:sz w:val="21"/>
          <w:szCs w:val="21"/>
          <w:spacing w:val="-9"/>
        </w:rPr>
        <w:t>框架。最后，</w:t>
      </w:r>
      <w:r>
        <w:rPr>
          <w:rFonts w:ascii="SimSun" w:hAnsi="SimSun" w:eastAsia="SimSun" w:cs="SimSun"/>
          <w:sz w:val="21"/>
          <w:szCs w:val="21"/>
        </w:rPr>
        <w:t xml:space="preserve"> </w:t>
      </w:r>
      <w:r>
        <w:rPr>
          <w:rFonts w:ascii="SimSun" w:hAnsi="SimSun" w:eastAsia="SimSun" w:cs="SimSun"/>
          <w:sz w:val="21"/>
          <w:szCs w:val="21"/>
          <w:spacing w:val="-1"/>
        </w:rPr>
        <w:t>如何获得调查数据?统计部门传统的做法是依靠企业与住户调查数 </w:t>
      </w:r>
      <w:r>
        <w:rPr>
          <w:rFonts w:ascii="SimSun" w:hAnsi="SimSun" w:eastAsia="SimSun" w:cs="SimSun"/>
          <w:sz w:val="21"/>
          <w:szCs w:val="21"/>
          <w:spacing w:val="-11"/>
        </w:rPr>
        <w:t>据，但这样的做法可能会遗漏许多线上的经济活动。因此，数字经济 </w:t>
      </w:r>
      <w:r>
        <w:rPr>
          <w:rFonts w:ascii="SimSun" w:hAnsi="SimSun" w:eastAsia="SimSun" w:cs="SimSun"/>
          <w:sz w:val="21"/>
          <w:szCs w:val="21"/>
          <w:spacing w:val="-11"/>
        </w:rPr>
        <w:t>和平台经济的发展也迫切呼唤经济统计方法的创</w:t>
      </w:r>
      <w:r>
        <w:rPr>
          <w:rFonts w:ascii="SimSun" w:hAnsi="SimSun" w:eastAsia="SimSun" w:cs="SimSun"/>
          <w:sz w:val="21"/>
          <w:szCs w:val="21"/>
          <w:spacing w:val="-12"/>
        </w:rPr>
        <w:t>新。</w:t>
      </w:r>
    </w:p>
    <w:p>
      <w:pPr>
        <w:ind w:right="19" w:firstLine="420"/>
        <w:spacing w:before="106" w:line="305" w:lineRule="auto"/>
        <w:jc w:val="both"/>
        <w:rPr>
          <w:rFonts w:ascii="SimSun" w:hAnsi="SimSun" w:eastAsia="SimSun" w:cs="SimSun"/>
          <w:sz w:val="21"/>
          <w:szCs w:val="21"/>
        </w:rPr>
      </w:pPr>
      <w:r>
        <w:rPr>
          <w:rFonts w:ascii="SimSun" w:hAnsi="SimSun" w:eastAsia="SimSun" w:cs="SimSun"/>
          <w:sz w:val="21"/>
          <w:szCs w:val="21"/>
          <w:spacing w:val="-11"/>
        </w:rPr>
        <w:t>本书用于评估数字经济增长效应的基础数据来自基于哈佛大学乔 </w:t>
      </w:r>
      <w:r>
        <w:rPr>
          <w:rFonts w:ascii="SimSun" w:hAnsi="SimSun" w:eastAsia="SimSun" w:cs="SimSun"/>
          <w:sz w:val="21"/>
          <w:szCs w:val="21"/>
          <w:spacing w:val="-7"/>
        </w:rPr>
        <w:t>根森教授提出的“理论-方法-数据-测算”一致原则建立的中国经济</w:t>
      </w:r>
      <w:r>
        <w:rPr>
          <w:rFonts w:ascii="SimSun" w:hAnsi="SimSun" w:eastAsia="SimSun" w:cs="SimSun"/>
          <w:sz w:val="21"/>
          <w:szCs w:val="21"/>
        </w:rPr>
        <w:t xml:space="preserve">  </w:t>
      </w:r>
      <w:r>
        <w:rPr>
          <w:rFonts w:ascii="SimSun" w:hAnsi="SimSun" w:eastAsia="SimSun" w:cs="SimSun"/>
          <w:sz w:val="21"/>
          <w:szCs w:val="21"/>
          <w:spacing w:val="-4"/>
        </w:rPr>
        <w:t>分行业生产率数据库，并按与数字经济的相关性将数据库中的37个</w:t>
      </w:r>
      <w:r>
        <w:rPr>
          <w:rFonts w:ascii="SimSun" w:hAnsi="SimSun" w:eastAsia="SimSun" w:cs="SimSun"/>
          <w:sz w:val="21"/>
          <w:szCs w:val="21"/>
          <w:spacing w:val="3"/>
        </w:rPr>
        <w:t xml:space="preserve">  </w:t>
      </w:r>
      <w:r>
        <w:rPr>
          <w:rFonts w:ascii="SimSun" w:hAnsi="SimSun" w:eastAsia="SimSun" w:cs="SimSun"/>
          <w:sz w:val="21"/>
          <w:szCs w:val="21"/>
          <w:spacing w:val="8"/>
        </w:rPr>
        <w:t>行业分成9个行业组：(1)</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8"/>
        </w:rPr>
        <w:t>(信息与通信技术)生产行业；(2)</w:t>
      </w:r>
      <w:r>
        <w:rPr>
          <w:rFonts w:ascii="SimSun" w:hAnsi="SimSun" w:eastAsia="SimSun" w:cs="SimSun"/>
          <w:sz w:val="21"/>
          <w:szCs w:val="21"/>
        </w:rPr>
        <w:t xml:space="preserve"> </w:t>
      </w:r>
      <w:r>
        <w:rPr>
          <w:rFonts w:ascii="Times New Roman" w:hAnsi="Times New Roman" w:eastAsia="Times New Roman" w:cs="Times New Roman"/>
          <w:sz w:val="21"/>
          <w:szCs w:val="21"/>
        </w:rPr>
        <w:t>ICT</w:t>
      </w:r>
      <w:r>
        <w:rPr>
          <w:rFonts w:ascii="SimSun" w:hAnsi="SimSun" w:eastAsia="SimSun" w:cs="SimSun"/>
          <w:sz w:val="21"/>
          <w:szCs w:val="21"/>
          <w:spacing w:val="9"/>
        </w:rPr>
        <w:t>集约使用制造业；(3)</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集约使用服务业；(4)非</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集约</w:t>
      </w:r>
      <w:r>
        <w:rPr>
          <w:rFonts w:ascii="SimSun" w:hAnsi="SimSun" w:eastAsia="SimSun" w:cs="SimSun"/>
          <w:sz w:val="21"/>
          <w:szCs w:val="21"/>
        </w:rPr>
        <w:t xml:space="preserve">  </w:t>
      </w:r>
      <w:r>
        <w:rPr>
          <w:rFonts w:ascii="SimSun" w:hAnsi="SimSun" w:eastAsia="SimSun" w:cs="SimSun"/>
          <w:sz w:val="21"/>
          <w:szCs w:val="21"/>
          <w:spacing w:val="4"/>
        </w:rPr>
        <w:t>使用制造业；(5)非</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4"/>
        </w:rPr>
        <w:t>集约使用服务业；(6)农业；(7)建筑业；</w:t>
      </w:r>
      <w:r>
        <w:rPr>
          <w:rFonts w:ascii="SimSun" w:hAnsi="SimSun" w:eastAsia="SimSun" w:cs="SimSun"/>
          <w:sz w:val="21"/>
          <w:szCs w:val="21"/>
        </w:rPr>
        <w:t xml:space="preserve"> </w:t>
      </w:r>
      <w:r>
        <w:rPr>
          <w:rFonts w:ascii="SimSun" w:hAnsi="SimSun" w:eastAsia="SimSun" w:cs="SimSun"/>
          <w:sz w:val="21"/>
          <w:szCs w:val="21"/>
          <w:spacing w:val="-3"/>
        </w:rPr>
        <w:t>(8)采掘业；(9)非市场服务业。需要指出的是，这个数据库并没</w:t>
      </w:r>
      <w:r>
        <w:rPr>
          <w:rFonts w:ascii="SimSun" w:hAnsi="SimSun" w:eastAsia="SimSun" w:cs="SimSun"/>
          <w:sz w:val="21"/>
          <w:szCs w:val="21"/>
          <w:spacing w:val="-4"/>
        </w:rPr>
        <w:t>有 </w:t>
      </w:r>
      <w:r>
        <w:rPr>
          <w:rFonts w:ascii="SimSun" w:hAnsi="SimSun" w:eastAsia="SimSun" w:cs="SimSun"/>
          <w:sz w:val="21"/>
          <w:szCs w:val="21"/>
          <w:spacing w:val="-4"/>
        </w:rPr>
        <w:t>准确的数字经济分类。本研究将前三组产业笼统地视为数字经济部</w:t>
      </w:r>
      <w:r>
        <w:rPr>
          <w:rFonts w:ascii="SimSun" w:hAnsi="SimSun" w:eastAsia="SimSun" w:cs="SimSun"/>
          <w:sz w:val="21"/>
          <w:szCs w:val="21"/>
          <w:spacing w:val="3"/>
        </w:rPr>
        <w:t xml:space="preserve">  </w:t>
      </w:r>
      <w:r>
        <w:rPr>
          <w:rFonts w:ascii="SimSun" w:hAnsi="SimSun" w:eastAsia="SimSun" w:cs="SimSun"/>
          <w:sz w:val="21"/>
          <w:szCs w:val="21"/>
          <w:spacing w:val="-8"/>
        </w:rPr>
        <w:t>门，其中第三组可能最接近平台经济部门(详见第二章)。</w:t>
      </w:r>
    </w:p>
    <w:p>
      <w:pPr>
        <w:ind w:firstLine="420"/>
        <w:spacing w:before="122" w:line="297" w:lineRule="auto"/>
        <w:jc w:val="both"/>
        <w:rPr>
          <w:rFonts w:ascii="SimSun" w:hAnsi="SimSun" w:eastAsia="SimSun" w:cs="SimSun"/>
          <w:sz w:val="21"/>
          <w:szCs w:val="21"/>
        </w:rPr>
      </w:pPr>
      <w:r>
        <w:rPr>
          <w:rFonts w:ascii="SimSun" w:hAnsi="SimSun" w:eastAsia="SimSun" w:cs="SimSun"/>
          <w:sz w:val="21"/>
          <w:szCs w:val="21"/>
          <w:spacing w:val="-7"/>
        </w:rPr>
        <w:t>2001—2018年，数字经济部门是我国经济增长最重要的贡献者。</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2"/>
        </w:rPr>
        <w:t>2012—</w:t>
      </w:r>
      <w:r>
        <w:rPr>
          <w:rFonts w:ascii="SimSun" w:hAnsi="SimSun" w:eastAsia="SimSun" w:cs="SimSun"/>
          <w:sz w:val="21"/>
          <w:szCs w:val="21"/>
          <w:spacing w:val="2"/>
        </w:rPr>
        <w:t>2018年，这个部门对</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增长的贡献达到了74.4%。不过，</w:t>
      </w:r>
      <w:r>
        <w:rPr>
          <w:rFonts w:ascii="SimSun" w:hAnsi="SimSun" w:eastAsia="SimSun" w:cs="SimSun"/>
          <w:sz w:val="21"/>
          <w:szCs w:val="21"/>
        </w:rPr>
        <w:t xml:space="preserve"> </w:t>
      </w:r>
      <w:r>
        <w:rPr>
          <w:rFonts w:ascii="SimSun" w:hAnsi="SimSun" w:eastAsia="SimSun" w:cs="SimSun"/>
          <w:sz w:val="21"/>
          <w:szCs w:val="21"/>
          <w:spacing w:val="-4"/>
        </w:rPr>
        <w:t>近20年间，对经济增长最大的贡献来自资本投入，劳动投入的贡献</w:t>
      </w:r>
      <w:r>
        <w:rPr>
          <w:rFonts w:ascii="SimSun" w:hAnsi="SimSun" w:eastAsia="SimSun" w:cs="SimSun"/>
          <w:sz w:val="21"/>
          <w:szCs w:val="21"/>
          <w:spacing w:val="3"/>
        </w:rPr>
        <w:t xml:space="preserve">  </w:t>
      </w:r>
      <w:r>
        <w:rPr>
          <w:rFonts w:ascii="SimSun" w:hAnsi="SimSun" w:eastAsia="SimSun" w:cs="SimSun"/>
          <w:sz w:val="21"/>
          <w:szCs w:val="21"/>
          <w:spacing w:val="-8"/>
        </w:rPr>
        <w:t>已经很小。更值得关注的是，全球金融危机以来，</w:t>
      </w:r>
      <w:r>
        <w:rPr>
          <w:rFonts w:ascii="Times New Roman" w:hAnsi="Times New Roman" w:eastAsia="Times New Roman" w:cs="Times New Roman"/>
          <w:sz w:val="21"/>
          <w:szCs w:val="21"/>
          <w:spacing w:val="-8"/>
        </w:rPr>
        <w:t>TFP</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8"/>
        </w:rPr>
        <w:t>(全要素生产</w:t>
      </w:r>
      <w:r>
        <w:rPr>
          <w:rFonts w:ascii="SimSun" w:hAnsi="SimSun" w:eastAsia="SimSun" w:cs="SimSun"/>
          <w:sz w:val="21"/>
          <w:szCs w:val="21"/>
        </w:rPr>
        <w:t xml:space="preserve">  </w:t>
      </w:r>
      <w:r>
        <w:rPr>
          <w:rFonts w:ascii="SimSun" w:hAnsi="SimSun" w:eastAsia="SimSun" w:cs="SimSun"/>
          <w:sz w:val="21"/>
          <w:szCs w:val="21"/>
          <w:spacing w:val="-7"/>
        </w:rPr>
        <w:t>率)对经济增长的贡献几乎微不足道甚至为负。①</w:t>
      </w:r>
      <w:r>
        <w:rPr>
          <w:rFonts w:ascii="SimSun" w:hAnsi="SimSun" w:eastAsia="SimSun" w:cs="SimSun"/>
          <w:sz w:val="21"/>
          <w:szCs w:val="21"/>
          <w:spacing w:val="-8"/>
        </w:rPr>
        <w:t>数字经济部门对经</w:t>
      </w:r>
      <w:r>
        <w:rPr>
          <w:rFonts w:ascii="SimSun" w:hAnsi="SimSun" w:eastAsia="SimSun" w:cs="SimSun"/>
          <w:sz w:val="21"/>
          <w:szCs w:val="21"/>
        </w:rPr>
        <w:t xml:space="preserve">  </w:t>
      </w:r>
      <w:r>
        <w:rPr>
          <w:rFonts w:ascii="SimSun" w:hAnsi="SimSun" w:eastAsia="SimSun" w:cs="SimSun"/>
          <w:sz w:val="21"/>
          <w:szCs w:val="21"/>
          <w:spacing w:val="-10"/>
        </w:rPr>
        <w:t>济增长的重要性不断上升，</w:t>
      </w:r>
      <w:r>
        <w:rPr>
          <w:rFonts w:ascii="Times New Roman" w:hAnsi="Times New Roman" w:eastAsia="Times New Roman" w:cs="Times New Roman"/>
          <w:sz w:val="21"/>
          <w:szCs w:val="21"/>
          <w:spacing w:val="-10"/>
        </w:rPr>
        <w:t>TFP </w:t>
      </w:r>
      <w:r>
        <w:rPr>
          <w:rFonts w:ascii="SimSun" w:hAnsi="SimSun" w:eastAsia="SimSun" w:cs="SimSun"/>
          <w:sz w:val="21"/>
          <w:szCs w:val="21"/>
          <w:spacing w:val="-10"/>
        </w:rPr>
        <w:t>对经济增长的贡献却持续减弱，初看</w:t>
      </w:r>
      <w:r>
        <w:rPr>
          <w:rFonts w:ascii="SimSun" w:hAnsi="SimSun" w:eastAsia="SimSun" w:cs="SimSun"/>
          <w:sz w:val="21"/>
          <w:szCs w:val="21"/>
          <w:spacing w:val="1"/>
        </w:rPr>
        <w:t xml:space="preserve">  </w:t>
      </w:r>
      <w:r>
        <w:rPr>
          <w:rFonts w:ascii="SimSun" w:hAnsi="SimSun" w:eastAsia="SimSun" w:cs="SimSun"/>
          <w:sz w:val="21"/>
          <w:szCs w:val="21"/>
          <w:spacing w:val="-11"/>
        </w:rPr>
        <w:t>起来这两者似乎是互相矛盾的，那是不是因为数字经济部门的生产率</w:t>
      </w:r>
      <w:r>
        <w:rPr>
          <w:rFonts w:ascii="SimSun" w:hAnsi="SimSun" w:eastAsia="SimSun" w:cs="SimSun"/>
          <w:sz w:val="21"/>
          <w:szCs w:val="21"/>
          <w:spacing w:val="4"/>
        </w:rPr>
        <w:t xml:space="preserve">  </w:t>
      </w:r>
      <w:r>
        <w:rPr>
          <w:rFonts w:ascii="SimSun" w:hAnsi="SimSun" w:eastAsia="SimSun" w:cs="SimSun"/>
          <w:sz w:val="21"/>
          <w:szCs w:val="21"/>
          <w:spacing w:val="-10"/>
        </w:rPr>
        <w:t>比较低呢?</w:t>
      </w:r>
    </w:p>
    <w:p>
      <w:pPr>
        <w:ind w:left="420"/>
        <w:spacing w:before="186" w:line="219" w:lineRule="auto"/>
        <w:rPr>
          <w:rFonts w:ascii="SimSun" w:hAnsi="SimSun" w:eastAsia="SimSun" w:cs="SimSun"/>
          <w:sz w:val="21"/>
          <w:szCs w:val="21"/>
        </w:rPr>
      </w:pPr>
      <w:r>
        <w:rPr>
          <w:rFonts w:ascii="SimSun" w:hAnsi="SimSun" w:eastAsia="SimSun" w:cs="SimSun"/>
          <w:sz w:val="21"/>
          <w:szCs w:val="21"/>
          <w:spacing w:val="-9"/>
        </w:rPr>
        <w:t>从行业组的数据看，全球金融危机以后，ICT 生产行业和ICT</w:t>
      </w:r>
      <w:r>
        <w:rPr>
          <w:rFonts w:ascii="SimSun" w:hAnsi="SimSun" w:eastAsia="SimSun" w:cs="SimSun"/>
          <w:sz w:val="21"/>
          <w:szCs w:val="21"/>
          <w:spacing w:val="-23"/>
        </w:rPr>
        <w:t xml:space="preserve"> </w:t>
      </w:r>
      <w:r>
        <w:rPr>
          <w:rFonts w:ascii="SimSun" w:hAnsi="SimSun" w:eastAsia="SimSun" w:cs="SimSun"/>
          <w:sz w:val="21"/>
          <w:szCs w:val="21"/>
          <w:spacing w:val="-9"/>
        </w:rPr>
        <w:t>集</w:t>
      </w:r>
    </w:p>
    <w:p>
      <w:pPr>
        <w:pStyle w:val="BodyText"/>
        <w:spacing w:line="250" w:lineRule="auto"/>
        <w:rPr/>
      </w:pPr>
      <w:r/>
    </w:p>
    <w:p>
      <w:pPr>
        <w:spacing w:before="52" w:line="220" w:lineRule="auto"/>
        <w:rPr>
          <w:rFonts w:ascii="KaiTi" w:hAnsi="KaiTi" w:eastAsia="KaiTi" w:cs="KaiTi"/>
          <w:sz w:val="16"/>
          <w:szCs w:val="16"/>
        </w:rPr>
      </w:pPr>
      <w:r>
        <w:rPr>
          <w:rFonts w:ascii="SimSun" w:hAnsi="SimSun" w:eastAsia="SimSun" w:cs="SimSun"/>
          <w:sz w:val="7"/>
          <w:szCs w:val="7"/>
          <w:spacing w:val="6"/>
          <w:position w:val="2"/>
        </w:rPr>
        <w:t>①</w:t>
      </w:r>
      <w:r>
        <w:rPr>
          <w:rFonts w:ascii="SimSun" w:hAnsi="SimSun" w:eastAsia="SimSun" w:cs="SimSun"/>
          <w:sz w:val="7"/>
          <w:szCs w:val="7"/>
          <w:spacing w:val="27"/>
          <w:w w:val="102"/>
          <w:position w:val="2"/>
        </w:rPr>
        <w:t xml:space="preserve"> </w:t>
      </w:r>
      <w:r>
        <w:rPr>
          <w:rFonts w:ascii="KaiTi" w:hAnsi="KaiTi" w:eastAsia="KaiTi" w:cs="KaiTi"/>
          <w:sz w:val="16"/>
          <w:szCs w:val="16"/>
          <w:spacing w:val="6"/>
        </w:rPr>
        <w:t>)</w:t>
      </w:r>
      <w:r>
        <w:rPr>
          <w:rFonts w:ascii="KaiTi" w:hAnsi="KaiTi" w:eastAsia="KaiTi" w:cs="KaiTi"/>
          <w:sz w:val="16"/>
          <w:szCs w:val="16"/>
          <w:spacing w:val="6"/>
        </w:rPr>
        <w:t xml:space="preserve"> </w:t>
      </w:r>
      <w:r>
        <w:rPr>
          <w:rFonts w:ascii="KaiTi" w:hAnsi="KaiTi" w:eastAsia="KaiTi" w:cs="KaiTi"/>
          <w:sz w:val="16"/>
          <w:szCs w:val="16"/>
          <w:spacing w:val="6"/>
        </w:rPr>
        <w:t>需要说明的是，本研究得出的</w:t>
      </w:r>
      <w:r>
        <w:rPr>
          <w:rFonts w:ascii="Times New Roman" w:hAnsi="Times New Roman" w:eastAsia="Times New Roman" w:cs="Times New Roman"/>
          <w:sz w:val="16"/>
          <w:szCs w:val="16"/>
        </w:rPr>
        <w:t>GDP</w:t>
      </w:r>
      <w:r>
        <w:rPr>
          <w:rFonts w:ascii="Times New Roman" w:hAnsi="Times New Roman" w:eastAsia="Times New Roman" w:cs="Times New Roman"/>
          <w:sz w:val="16"/>
          <w:szCs w:val="16"/>
          <w:spacing w:val="15"/>
          <w:w w:val="101"/>
        </w:rPr>
        <w:t xml:space="preserve"> </w:t>
      </w:r>
      <w:r>
        <w:rPr>
          <w:rFonts w:ascii="KaiTi" w:hAnsi="KaiTi" w:eastAsia="KaiTi" w:cs="KaiTi"/>
          <w:sz w:val="16"/>
          <w:szCs w:val="16"/>
          <w:spacing w:val="6"/>
        </w:rPr>
        <w:t>与</w:t>
      </w:r>
      <w:r>
        <w:rPr>
          <w:rFonts w:ascii="KaiTi" w:hAnsi="KaiTi" w:eastAsia="KaiTi" w:cs="KaiTi"/>
          <w:sz w:val="16"/>
          <w:szCs w:val="16"/>
          <w:spacing w:val="-26"/>
        </w:rPr>
        <w:t xml:space="preserve"> </w:t>
      </w:r>
      <w:r>
        <w:rPr>
          <w:rFonts w:ascii="Times New Roman" w:hAnsi="Times New Roman" w:eastAsia="Times New Roman" w:cs="Times New Roman"/>
          <w:sz w:val="16"/>
          <w:szCs w:val="16"/>
        </w:rPr>
        <w:t>TFP</w:t>
      </w:r>
      <w:r>
        <w:rPr>
          <w:rFonts w:ascii="Times New Roman" w:hAnsi="Times New Roman" w:eastAsia="Times New Roman" w:cs="Times New Roman"/>
          <w:sz w:val="16"/>
          <w:szCs w:val="16"/>
          <w:spacing w:val="6"/>
        </w:rPr>
        <w:t xml:space="preserve"> </w:t>
      </w:r>
      <w:r>
        <w:rPr>
          <w:rFonts w:ascii="KaiTi" w:hAnsi="KaiTi" w:eastAsia="KaiTi" w:cs="KaiTi"/>
          <w:sz w:val="16"/>
          <w:szCs w:val="16"/>
          <w:spacing w:val="6"/>
        </w:rPr>
        <w:t>增长的估计</w:t>
      </w:r>
      <w:r>
        <w:rPr>
          <w:rFonts w:ascii="KaiTi" w:hAnsi="KaiTi" w:eastAsia="KaiTi" w:cs="KaiTi"/>
          <w:sz w:val="16"/>
          <w:szCs w:val="16"/>
          <w:spacing w:val="5"/>
        </w:rPr>
        <w:t>值可能与其他研究的结论</w:t>
      </w:r>
    </w:p>
    <w:p>
      <w:pPr>
        <w:ind w:left="329" w:right="24"/>
        <w:spacing w:before="58" w:line="297" w:lineRule="auto"/>
        <w:rPr>
          <w:rFonts w:ascii="KaiTi" w:hAnsi="KaiTi" w:eastAsia="KaiTi" w:cs="KaiTi"/>
          <w:sz w:val="16"/>
          <w:szCs w:val="16"/>
        </w:rPr>
      </w:pPr>
      <w:r>
        <w:rPr>
          <w:rFonts w:ascii="KaiTi" w:hAnsi="KaiTi" w:eastAsia="KaiTi" w:cs="KaiTi"/>
          <w:sz w:val="16"/>
          <w:szCs w:val="16"/>
          <w:spacing w:val="4"/>
        </w:rPr>
        <w:t>有一定的差异，这是因为本研究运用的乔根森方法考虑了行业和要素的异质性，</w:t>
      </w:r>
      <w:r>
        <w:rPr>
          <w:rFonts w:ascii="KaiTi" w:hAnsi="KaiTi" w:eastAsia="KaiTi" w:cs="KaiTi"/>
          <w:sz w:val="16"/>
          <w:szCs w:val="16"/>
        </w:rPr>
        <w:t xml:space="preserve"> </w:t>
      </w:r>
      <w:r>
        <w:rPr>
          <w:rFonts w:ascii="KaiTi" w:hAnsi="KaiTi" w:eastAsia="KaiTi" w:cs="KaiTi"/>
          <w:sz w:val="16"/>
          <w:szCs w:val="16"/>
          <w:spacing w:val="-1"/>
        </w:rPr>
        <w:t>而且在估计实际产出时采用了价格双平减方法和</w:t>
      </w:r>
      <w:r>
        <w:rPr>
          <w:rFonts w:ascii="SimSun" w:hAnsi="SimSun" w:eastAsia="SimSun" w:cs="SimSun"/>
          <w:sz w:val="16"/>
          <w:szCs w:val="16"/>
          <w:spacing w:val="-1"/>
        </w:rPr>
        <w:t>TOrnqvist</w:t>
      </w:r>
      <w:r>
        <w:rPr>
          <w:rFonts w:ascii="KaiTi" w:hAnsi="KaiTi" w:eastAsia="KaiTi" w:cs="KaiTi"/>
          <w:sz w:val="16"/>
          <w:szCs w:val="16"/>
          <w:spacing w:val="-2"/>
        </w:rPr>
        <w:t>加总方法。</w:t>
      </w:r>
    </w:p>
    <w:p>
      <w:pPr>
        <w:spacing w:line="297" w:lineRule="auto"/>
        <w:sectPr>
          <w:headerReference w:type="default" r:id="rId36"/>
          <w:pgSz w:w="7330" w:h="12480"/>
          <w:pgMar w:top="805" w:right="695" w:bottom="400" w:left="540" w:header="642" w:footer="0" w:gutter="0"/>
        </w:sectPr>
        <w:rPr>
          <w:rFonts w:ascii="KaiTi" w:hAnsi="KaiTi" w:eastAsia="KaiTi" w:cs="KaiTi"/>
          <w:sz w:val="16"/>
          <w:szCs w:val="16"/>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61" w:line="350" w:lineRule="auto"/>
        <w:jc w:val="both"/>
        <w:rPr>
          <w:rFonts w:ascii="SimSun" w:hAnsi="SimSun" w:eastAsia="SimSun" w:cs="SimSun"/>
          <w:sz w:val="19"/>
          <w:szCs w:val="19"/>
        </w:rPr>
      </w:pPr>
      <w:r>
        <w:rPr>
          <w:rFonts w:ascii="SimSun" w:hAnsi="SimSun" w:eastAsia="SimSun" w:cs="SimSun"/>
          <w:sz w:val="19"/>
          <w:szCs w:val="19"/>
          <w:spacing w:val="13"/>
        </w:rPr>
        <w:t>约使用服务业对</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的贡献确实有所下降， </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13"/>
        </w:rPr>
        <w:t>集约使用制造业的</w:t>
      </w:r>
      <w:r>
        <w:rPr>
          <w:rFonts w:ascii="SimSun" w:hAnsi="SimSun" w:eastAsia="SimSun" w:cs="SimSun"/>
          <w:sz w:val="19"/>
          <w:szCs w:val="19"/>
        </w:rPr>
        <w:t xml:space="preserve"> </w:t>
      </w:r>
      <w:r>
        <w:rPr>
          <w:rFonts w:ascii="SimSun" w:hAnsi="SimSun" w:eastAsia="SimSun" w:cs="SimSun"/>
          <w:sz w:val="19"/>
          <w:szCs w:val="19"/>
          <w:spacing w:val="15"/>
        </w:rPr>
        <w:t>贡献还在上升。但在过去近20年间，数字经济部门仍然是</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增长</w:t>
      </w:r>
      <w:r>
        <w:rPr>
          <w:rFonts w:ascii="SimSun" w:hAnsi="SimSun" w:eastAsia="SimSun" w:cs="SimSun"/>
          <w:sz w:val="19"/>
          <w:szCs w:val="19"/>
        </w:rPr>
        <w:t xml:space="preserve">  </w:t>
      </w:r>
      <w:r>
        <w:rPr>
          <w:rFonts w:ascii="SimSun" w:hAnsi="SimSun" w:eastAsia="SimSun" w:cs="SimSun"/>
          <w:sz w:val="19"/>
          <w:szCs w:val="19"/>
          <w:spacing w:val="13"/>
        </w:rPr>
        <w:t>最重要的贡献者，拖后腿的是非市场服务业(行政管</w:t>
      </w:r>
      <w:r>
        <w:rPr>
          <w:rFonts w:ascii="SimSun" w:hAnsi="SimSun" w:eastAsia="SimSun" w:cs="SimSun"/>
          <w:sz w:val="19"/>
          <w:szCs w:val="19"/>
          <w:spacing w:val="12"/>
        </w:rPr>
        <w:t>理、教育、卫生</w:t>
      </w:r>
      <w:r>
        <w:rPr>
          <w:rFonts w:ascii="SimSun" w:hAnsi="SimSun" w:eastAsia="SimSun" w:cs="SimSun"/>
          <w:sz w:val="19"/>
          <w:szCs w:val="19"/>
        </w:rPr>
        <w:t xml:space="preserve">  </w:t>
      </w:r>
      <w:r>
        <w:rPr>
          <w:rFonts w:ascii="SimSun" w:hAnsi="SimSun" w:eastAsia="SimSun" w:cs="SimSun"/>
          <w:sz w:val="19"/>
          <w:szCs w:val="19"/>
          <w:spacing w:val="16"/>
        </w:rPr>
        <w:t>和社会福利等)。不过，数字经济部门所贡献的</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16"/>
        </w:rPr>
        <w:t>增长持续减少，</w:t>
      </w:r>
      <w:r>
        <w:rPr>
          <w:rFonts w:ascii="SimSun" w:hAnsi="SimSun" w:eastAsia="SimSun" w:cs="SimSun"/>
          <w:sz w:val="19"/>
          <w:szCs w:val="19"/>
        </w:rPr>
        <w:t xml:space="preserve"> </w:t>
      </w:r>
      <w:r>
        <w:rPr>
          <w:rFonts w:ascii="SimSun" w:hAnsi="SimSun" w:eastAsia="SimSun" w:cs="SimSun"/>
          <w:sz w:val="19"/>
          <w:szCs w:val="19"/>
          <w:spacing w:val="10"/>
        </w:rPr>
        <w:t>这个趋势值得重视。究竟是因为技术应用进入</w:t>
      </w:r>
      <w:r>
        <w:rPr>
          <w:rFonts w:ascii="SimSun" w:hAnsi="SimSun" w:eastAsia="SimSun" w:cs="SimSun"/>
          <w:sz w:val="19"/>
          <w:szCs w:val="19"/>
          <w:spacing w:val="9"/>
        </w:rPr>
        <w:t>了平台期，还是因为市</w:t>
      </w:r>
      <w:r>
        <w:rPr>
          <w:rFonts w:ascii="SimSun" w:hAnsi="SimSun" w:eastAsia="SimSun" w:cs="SimSun"/>
          <w:sz w:val="19"/>
          <w:szCs w:val="19"/>
        </w:rPr>
        <w:t xml:space="preserve">  </w:t>
      </w:r>
      <w:r>
        <w:rPr>
          <w:rFonts w:ascii="SimSun" w:hAnsi="SimSun" w:eastAsia="SimSun" w:cs="SimSun"/>
          <w:sz w:val="19"/>
          <w:szCs w:val="19"/>
          <w:spacing w:val="16"/>
        </w:rPr>
        <w:t>场结构发生了变化?还有一个重要的发现，即在2012</w:t>
      </w:r>
      <w:r>
        <w:rPr>
          <w:rFonts w:ascii="SimSun" w:hAnsi="SimSun" w:eastAsia="SimSun" w:cs="SimSun"/>
          <w:sz w:val="19"/>
          <w:szCs w:val="19"/>
          <w:spacing w:val="-71"/>
        </w:rPr>
        <w:t xml:space="preserve"> </w:t>
      </w:r>
      <w:r>
        <w:rPr>
          <w:rFonts w:ascii="SimSun" w:hAnsi="SimSun" w:eastAsia="SimSun" w:cs="SimSun"/>
          <w:sz w:val="19"/>
          <w:szCs w:val="19"/>
          <w:spacing w:val="16"/>
        </w:rPr>
        <w:t>—</w:t>
      </w:r>
      <w:r>
        <w:rPr>
          <w:rFonts w:ascii="SimSun" w:hAnsi="SimSun" w:eastAsia="SimSun" w:cs="SimSun"/>
          <w:sz w:val="19"/>
          <w:szCs w:val="19"/>
          <w:spacing w:val="-67"/>
        </w:rPr>
        <w:t xml:space="preserve"> </w:t>
      </w:r>
      <w:r>
        <w:rPr>
          <w:rFonts w:ascii="SimSun" w:hAnsi="SimSun" w:eastAsia="SimSun" w:cs="SimSun"/>
          <w:sz w:val="19"/>
          <w:szCs w:val="19"/>
          <w:spacing w:val="16"/>
        </w:rPr>
        <w:t>2</w:t>
      </w:r>
      <w:r>
        <w:rPr>
          <w:rFonts w:ascii="SimSun" w:hAnsi="SimSun" w:eastAsia="SimSun" w:cs="SimSun"/>
          <w:sz w:val="19"/>
          <w:szCs w:val="19"/>
          <w:spacing w:val="15"/>
        </w:rPr>
        <w:t>018年，劳</w:t>
      </w:r>
      <w:r>
        <w:rPr>
          <w:rFonts w:ascii="SimSun" w:hAnsi="SimSun" w:eastAsia="SimSun" w:cs="SimSun"/>
          <w:sz w:val="19"/>
          <w:szCs w:val="19"/>
        </w:rPr>
        <w:t xml:space="preserve">  </w:t>
      </w:r>
      <w:r>
        <w:rPr>
          <w:rFonts w:ascii="SimSun" w:hAnsi="SimSun" w:eastAsia="SimSun" w:cs="SimSun"/>
          <w:sz w:val="19"/>
          <w:szCs w:val="19"/>
          <w:spacing w:val="19"/>
        </w:rPr>
        <w:t>动力配置对</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9"/>
        </w:rPr>
        <w:t>增长的贡献是正的，但资本配置的</w:t>
      </w:r>
      <w:r>
        <w:rPr>
          <w:rFonts w:ascii="SimSun" w:hAnsi="SimSun" w:eastAsia="SimSun" w:cs="SimSun"/>
          <w:sz w:val="19"/>
          <w:szCs w:val="19"/>
          <w:spacing w:val="18"/>
        </w:rPr>
        <w:t>贡献却是负的。</w:t>
      </w:r>
      <w:r>
        <w:rPr>
          <w:rFonts w:ascii="SimSun" w:hAnsi="SimSun" w:eastAsia="SimSun" w:cs="SimSun"/>
          <w:sz w:val="19"/>
          <w:szCs w:val="19"/>
        </w:rPr>
        <w:t xml:space="preserve"> </w:t>
      </w:r>
      <w:r>
        <w:rPr>
          <w:rFonts w:ascii="SimSun" w:hAnsi="SimSun" w:eastAsia="SimSun" w:cs="SimSun"/>
          <w:sz w:val="19"/>
          <w:szCs w:val="19"/>
          <w:spacing w:val="12"/>
        </w:rPr>
        <w:t>这说明，虽然劳动力市场仍然存在诸如户口和社保等</w:t>
      </w:r>
      <w:r>
        <w:rPr>
          <w:rFonts w:ascii="SimSun" w:hAnsi="SimSun" w:eastAsia="SimSun" w:cs="SimSun"/>
          <w:sz w:val="19"/>
          <w:szCs w:val="19"/>
          <w:spacing w:val="11"/>
        </w:rPr>
        <w:t>的制度性扭曲，</w:t>
      </w:r>
      <w:r>
        <w:rPr>
          <w:rFonts w:ascii="SimSun" w:hAnsi="SimSun" w:eastAsia="SimSun" w:cs="SimSun"/>
          <w:sz w:val="19"/>
          <w:szCs w:val="19"/>
        </w:rPr>
        <w:t xml:space="preserve"> </w:t>
      </w:r>
      <w:r>
        <w:rPr>
          <w:rFonts w:ascii="SimSun" w:hAnsi="SimSun" w:eastAsia="SimSun" w:cs="SimSun"/>
          <w:sz w:val="19"/>
          <w:szCs w:val="19"/>
          <w:spacing w:val="9"/>
        </w:rPr>
        <w:t>但劳动力市场的资源配置功能是正常的，资本市场却没有同样的配置</w:t>
      </w:r>
    </w:p>
    <w:p>
      <w:pPr>
        <w:spacing w:line="219" w:lineRule="auto"/>
        <w:rPr>
          <w:rFonts w:ascii="SimSun" w:hAnsi="SimSun" w:eastAsia="SimSun" w:cs="SimSun"/>
          <w:sz w:val="19"/>
          <w:szCs w:val="19"/>
        </w:rPr>
      </w:pPr>
      <w:r>
        <w:rPr>
          <w:rFonts w:ascii="SimSun" w:hAnsi="SimSun" w:eastAsia="SimSun" w:cs="SimSun"/>
          <w:sz w:val="19"/>
          <w:szCs w:val="19"/>
          <w:spacing w:val="8"/>
        </w:rPr>
        <w:t>功能，这就凸显了进一步推进金融改革的迫切性。</w:t>
      </w:r>
    </w:p>
    <w:p>
      <w:pPr>
        <w:ind w:right="20" w:firstLine="440"/>
        <w:spacing w:before="125" w:line="340" w:lineRule="auto"/>
        <w:jc w:val="both"/>
        <w:rPr>
          <w:rFonts w:ascii="SimSun" w:hAnsi="SimSun" w:eastAsia="SimSun" w:cs="SimSun"/>
          <w:sz w:val="19"/>
          <w:szCs w:val="19"/>
        </w:rPr>
      </w:pPr>
      <w:r>
        <w:rPr>
          <w:rFonts w:ascii="SimSun" w:hAnsi="SimSun" w:eastAsia="SimSun" w:cs="SimSun"/>
          <w:sz w:val="19"/>
          <w:szCs w:val="19"/>
          <w:spacing w:val="10"/>
        </w:rPr>
        <w:t>总之，数字经济部门对我国的宏观经济具有非常</w:t>
      </w:r>
      <w:r>
        <w:rPr>
          <w:rFonts w:ascii="SimSun" w:hAnsi="SimSun" w:eastAsia="SimSun" w:cs="SimSun"/>
          <w:sz w:val="19"/>
          <w:szCs w:val="19"/>
          <w:spacing w:val="9"/>
        </w:rPr>
        <w:t>重要的意义，它</w:t>
      </w:r>
      <w:r>
        <w:rPr>
          <w:rFonts w:ascii="SimSun" w:hAnsi="SimSun" w:eastAsia="SimSun" w:cs="SimSun"/>
          <w:sz w:val="19"/>
          <w:szCs w:val="19"/>
        </w:rPr>
        <w:t xml:space="preserve"> </w:t>
      </w:r>
      <w:r>
        <w:rPr>
          <w:rFonts w:ascii="SimSun" w:hAnsi="SimSun" w:eastAsia="SimSun" w:cs="SimSun"/>
          <w:sz w:val="19"/>
          <w:szCs w:val="19"/>
          <w:spacing w:val="13"/>
        </w:rPr>
        <w:t>既是</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34"/>
          <w:w w:val="101"/>
        </w:rPr>
        <w:t xml:space="preserve"> </w:t>
      </w:r>
      <w:r>
        <w:rPr>
          <w:rFonts w:ascii="SimSun" w:hAnsi="SimSun" w:eastAsia="SimSun" w:cs="SimSun"/>
          <w:sz w:val="19"/>
          <w:szCs w:val="19"/>
          <w:spacing w:val="13"/>
        </w:rPr>
        <w:t>增长的主要贡献者，也是</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41"/>
        </w:rPr>
        <w:t xml:space="preserve"> </w:t>
      </w:r>
      <w:r>
        <w:rPr>
          <w:rFonts w:ascii="SimSun" w:hAnsi="SimSun" w:eastAsia="SimSun" w:cs="SimSun"/>
          <w:sz w:val="19"/>
          <w:szCs w:val="19"/>
          <w:spacing w:val="13"/>
        </w:rPr>
        <w:t>增长最主要的来源。但近20 </w:t>
      </w:r>
      <w:r>
        <w:rPr>
          <w:rFonts w:ascii="SimSun" w:hAnsi="SimSun" w:eastAsia="SimSun" w:cs="SimSun"/>
          <w:sz w:val="19"/>
          <w:szCs w:val="19"/>
          <w:spacing w:val="11"/>
        </w:rPr>
        <w:t>年来数字经济部门贡献的</w:t>
      </w:r>
      <w:r>
        <w:rPr>
          <w:rFonts w:ascii="SimSun" w:hAnsi="SimSun" w:eastAsia="SimSun" w:cs="SimSun"/>
          <w:sz w:val="19"/>
          <w:szCs w:val="19"/>
          <w:spacing w:val="-50"/>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增长在不断减少，这个趋势</w:t>
      </w:r>
      <w:r>
        <w:rPr>
          <w:rFonts w:ascii="SimSun" w:hAnsi="SimSun" w:eastAsia="SimSun" w:cs="SimSun"/>
          <w:sz w:val="19"/>
          <w:szCs w:val="19"/>
          <w:spacing w:val="10"/>
        </w:rPr>
        <w:t>值得关注。</w:t>
      </w:r>
      <w:r>
        <w:rPr>
          <w:rFonts w:ascii="SimSun" w:hAnsi="SimSun" w:eastAsia="SimSun" w:cs="SimSun"/>
          <w:sz w:val="19"/>
          <w:szCs w:val="19"/>
        </w:rPr>
        <w:t xml:space="preserve"> </w:t>
      </w:r>
      <w:r>
        <w:rPr>
          <w:rFonts w:ascii="SimSun" w:hAnsi="SimSun" w:eastAsia="SimSun" w:cs="SimSun"/>
          <w:sz w:val="19"/>
          <w:szCs w:val="19"/>
          <w:spacing w:val="9"/>
        </w:rPr>
        <w:t>因为数字经济的健康发展，对于我国实现可持续的经济增长具</w:t>
      </w:r>
      <w:r>
        <w:rPr>
          <w:rFonts w:ascii="SimSun" w:hAnsi="SimSun" w:eastAsia="SimSun" w:cs="SimSun"/>
          <w:sz w:val="19"/>
          <w:szCs w:val="19"/>
          <w:spacing w:val="8"/>
        </w:rPr>
        <w:t>有十分</w:t>
      </w:r>
    </w:p>
    <w:p>
      <w:pPr>
        <w:spacing w:line="220" w:lineRule="auto"/>
        <w:rPr>
          <w:rFonts w:ascii="SimSun" w:hAnsi="SimSun" w:eastAsia="SimSun" w:cs="SimSun"/>
          <w:sz w:val="19"/>
          <w:szCs w:val="19"/>
        </w:rPr>
      </w:pPr>
      <w:r>
        <w:rPr>
          <w:rFonts w:ascii="SimSun" w:hAnsi="SimSun" w:eastAsia="SimSun" w:cs="SimSun"/>
          <w:sz w:val="19"/>
          <w:szCs w:val="19"/>
          <w:spacing w:val="5"/>
        </w:rPr>
        <w:t>重要的意义。</w:t>
      </w:r>
    </w:p>
    <w:p>
      <w:pPr>
        <w:pStyle w:val="BodyText"/>
        <w:spacing w:line="442" w:lineRule="auto"/>
        <w:rPr/>
      </w:pPr>
      <w:r/>
    </w:p>
    <w:p>
      <w:pPr>
        <w:ind w:left="3"/>
        <w:spacing w:before="75" w:line="222" w:lineRule="auto"/>
        <w:rPr>
          <w:rFonts w:ascii="SimHei" w:hAnsi="SimHei" w:eastAsia="SimHei" w:cs="SimHei"/>
          <w:sz w:val="23"/>
          <w:szCs w:val="23"/>
        </w:rPr>
      </w:pPr>
      <w:r>
        <w:rPr>
          <w:rFonts w:ascii="SimHei" w:hAnsi="SimHei" w:eastAsia="SimHei" w:cs="SimHei"/>
          <w:sz w:val="23"/>
          <w:szCs w:val="23"/>
          <w:b/>
          <w:bCs/>
          <w:spacing w:val="7"/>
        </w:rPr>
        <w:t>数字普惠金融</w:t>
      </w:r>
    </w:p>
    <w:p>
      <w:pPr>
        <w:pStyle w:val="BodyText"/>
        <w:spacing w:line="370" w:lineRule="auto"/>
        <w:rPr/>
      </w:pPr>
      <w:r/>
    </w:p>
    <w:p>
      <w:pPr>
        <w:ind w:firstLine="440"/>
        <w:spacing w:before="61" w:line="350" w:lineRule="auto"/>
        <w:jc w:val="both"/>
        <w:rPr>
          <w:rFonts w:ascii="SimSun" w:hAnsi="SimSun" w:eastAsia="SimSun" w:cs="SimSun"/>
          <w:sz w:val="19"/>
          <w:szCs w:val="19"/>
        </w:rPr>
      </w:pPr>
      <w:r>
        <w:rPr>
          <w:rFonts w:ascii="SimSun" w:hAnsi="SimSun" w:eastAsia="SimSun" w:cs="SimSun"/>
          <w:sz w:val="19"/>
          <w:szCs w:val="19"/>
          <w:spacing w:val="10"/>
        </w:rPr>
        <w:t>除了电商、网约车、外卖、社交等，我国还有一个做得比较突出</w:t>
      </w:r>
      <w:r>
        <w:rPr>
          <w:rFonts w:ascii="SimSun" w:hAnsi="SimSun" w:eastAsia="SimSun" w:cs="SimSun"/>
          <w:sz w:val="19"/>
          <w:szCs w:val="19"/>
          <w:spacing w:val="2"/>
        </w:rPr>
        <w:t xml:space="preserve"> </w:t>
      </w:r>
      <w:r>
        <w:rPr>
          <w:rFonts w:ascii="SimSun" w:hAnsi="SimSun" w:eastAsia="SimSun" w:cs="SimSun"/>
          <w:sz w:val="19"/>
          <w:szCs w:val="19"/>
          <w:spacing w:val="9"/>
        </w:rPr>
        <w:t>的平台经济领域，就是数字金融，即利用数字技术创新金融产品、业</w:t>
      </w:r>
      <w:r>
        <w:rPr>
          <w:rFonts w:ascii="SimSun" w:hAnsi="SimSun" w:eastAsia="SimSun" w:cs="SimSun"/>
          <w:sz w:val="19"/>
          <w:szCs w:val="19"/>
          <w:spacing w:val="7"/>
        </w:rPr>
        <w:t xml:space="preserve">  </w:t>
      </w:r>
      <w:r>
        <w:rPr>
          <w:rFonts w:ascii="SimSun" w:hAnsi="SimSun" w:eastAsia="SimSun" w:cs="SimSun"/>
          <w:sz w:val="19"/>
          <w:szCs w:val="19"/>
          <w:spacing w:val="16"/>
        </w:rPr>
        <w:t>务流程和商业模式(详见第六章)。在“十三五”期间</w:t>
      </w:r>
      <w:r>
        <w:rPr>
          <w:rFonts w:ascii="SimSun" w:hAnsi="SimSun" w:eastAsia="SimSun" w:cs="SimSun"/>
          <w:sz w:val="19"/>
          <w:szCs w:val="19"/>
          <w:spacing w:val="15"/>
        </w:rPr>
        <w:t>，我国的普惠 </w:t>
      </w:r>
      <w:r>
        <w:rPr>
          <w:rFonts w:ascii="SimSun" w:hAnsi="SimSun" w:eastAsia="SimSun" w:cs="SimSun"/>
          <w:sz w:val="19"/>
          <w:szCs w:val="19"/>
          <w:spacing w:val="12"/>
        </w:rPr>
        <w:t>金融发展取得了突破性的进展，而突破主要就发生在数字金融领域。</w:t>
      </w:r>
      <w:r>
        <w:rPr>
          <w:rFonts w:ascii="SimSun" w:hAnsi="SimSun" w:eastAsia="SimSun" w:cs="SimSun"/>
          <w:sz w:val="19"/>
          <w:szCs w:val="19"/>
          <w:spacing w:val="14"/>
        </w:rPr>
        <w:t xml:space="preserve"> </w:t>
      </w:r>
      <w:r>
        <w:rPr>
          <w:rFonts w:ascii="SimSun" w:hAnsi="SimSun" w:eastAsia="SimSun" w:cs="SimSun"/>
          <w:sz w:val="19"/>
          <w:szCs w:val="19"/>
          <w:spacing w:val="10"/>
        </w:rPr>
        <w:t>为普惠金融的客户即低收入人群、中小微企业</w:t>
      </w:r>
      <w:r>
        <w:rPr>
          <w:rFonts w:ascii="SimSun" w:hAnsi="SimSun" w:eastAsia="SimSun" w:cs="SimSun"/>
          <w:sz w:val="19"/>
          <w:szCs w:val="19"/>
          <w:spacing w:val="9"/>
        </w:rPr>
        <w:t>和农村经济主体提供金 </w:t>
      </w:r>
      <w:r>
        <w:rPr>
          <w:rFonts w:ascii="SimSun" w:hAnsi="SimSun" w:eastAsia="SimSun" w:cs="SimSun"/>
          <w:sz w:val="19"/>
          <w:szCs w:val="19"/>
          <w:spacing w:val="10"/>
        </w:rPr>
        <w:t>融服务很难，主要反映在“获客难”和“风控</w:t>
      </w:r>
      <w:r>
        <w:rPr>
          <w:rFonts w:ascii="SimSun" w:hAnsi="SimSun" w:eastAsia="SimSun" w:cs="SimSun"/>
          <w:sz w:val="19"/>
          <w:szCs w:val="19"/>
          <w:spacing w:val="9"/>
        </w:rPr>
        <w:t>难”两个方面。普惠金 </w:t>
      </w:r>
      <w:r>
        <w:rPr>
          <w:rFonts w:ascii="SimSun" w:hAnsi="SimSun" w:eastAsia="SimSun" w:cs="SimSun"/>
          <w:sz w:val="19"/>
          <w:szCs w:val="19"/>
          <w:spacing w:val="10"/>
        </w:rPr>
        <w:t>融客户的特点是数量大、规模小、不确定性高</w:t>
      </w:r>
      <w:r>
        <w:rPr>
          <w:rFonts w:ascii="SimSun" w:hAnsi="SimSun" w:eastAsia="SimSun" w:cs="SimSun"/>
          <w:sz w:val="19"/>
          <w:szCs w:val="19"/>
          <w:spacing w:val="9"/>
        </w:rPr>
        <w:t>、地域分散，触达的成 </w:t>
      </w:r>
      <w:r>
        <w:rPr>
          <w:rFonts w:ascii="SimSun" w:hAnsi="SimSun" w:eastAsia="SimSun" w:cs="SimSun"/>
          <w:sz w:val="19"/>
          <w:szCs w:val="19"/>
          <w:spacing w:val="10"/>
        </w:rPr>
        <w:t>本很高。另外，这些客户往往也缺乏可以支持信用风</w:t>
      </w:r>
      <w:r>
        <w:rPr>
          <w:rFonts w:ascii="SimSun" w:hAnsi="SimSun" w:eastAsia="SimSun" w:cs="SimSun"/>
          <w:sz w:val="19"/>
          <w:szCs w:val="19"/>
          <w:spacing w:val="9"/>
        </w:rPr>
        <w:t>险评估的基本资</w:t>
      </w:r>
    </w:p>
    <w:p>
      <w:pPr>
        <w:spacing w:before="1" w:line="218" w:lineRule="auto"/>
        <w:rPr>
          <w:rFonts w:ascii="SimSun" w:hAnsi="SimSun" w:eastAsia="SimSun" w:cs="SimSun"/>
          <w:sz w:val="19"/>
          <w:szCs w:val="19"/>
        </w:rPr>
      </w:pPr>
      <w:r>
        <w:rPr>
          <w:rFonts w:ascii="SimSun" w:hAnsi="SimSun" w:eastAsia="SimSun" w:cs="SimSun"/>
          <w:sz w:val="19"/>
          <w:szCs w:val="19"/>
          <w:spacing w:val="9"/>
        </w:rPr>
        <w:t>质，比如财务数据或者抵押资产。所以说，发展普惠金融几乎是一个</w:t>
      </w:r>
    </w:p>
    <w:p>
      <w:pPr>
        <w:spacing w:line="218" w:lineRule="auto"/>
        <w:sectPr>
          <w:headerReference w:type="default" r:id="rId37"/>
          <w:pgSz w:w="7330" w:h="12480"/>
          <w:pgMar w:top="527" w:right="684" w:bottom="400" w:left="569" w:header="365" w:footer="0" w:gutter="0"/>
        </w:sectPr>
        <w:rPr>
          <w:rFonts w:ascii="SimSun" w:hAnsi="SimSun" w:eastAsia="SimSun" w:cs="SimSun"/>
          <w:sz w:val="19"/>
          <w:szCs w:val="19"/>
        </w:rPr>
      </w:pPr>
    </w:p>
    <w:p>
      <w:pPr>
        <w:ind w:left="1292"/>
        <w:spacing w:before="138" w:line="219" w:lineRule="auto"/>
        <w:rPr>
          <w:rFonts w:ascii="SimSun" w:hAnsi="SimSun" w:eastAsia="SimSun" w:cs="SimSun"/>
          <w:sz w:val="12"/>
          <w:szCs w:val="12"/>
        </w:rPr>
      </w:pPr>
      <w:r>
        <w:drawing>
          <wp:anchor distT="0" distB="0" distL="0" distR="0" simplePos="0" relativeHeight="251935744" behindDoc="0" locked="0" layoutInCell="0" allowOverlap="1">
            <wp:simplePos x="0" y="0"/>
            <wp:positionH relativeFrom="page">
              <wp:posOffset>374644</wp:posOffset>
            </wp:positionH>
            <wp:positionV relativeFrom="page">
              <wp:posOffset>6832598</wp:posOffset>
            </wp:positionV>
            <wp:extent cx="1168384" cy="6350"/>
            <wp:effectExtent l="0" t="0" r="0" b="0"/>
            <wp:wrapNone/>
            <wp:docPr id="48" name="IM 48"/>
            <wp:cNvGraphicFramePr/>
            <a:graphic>
              <a:graphicData uri="http://schemas.openxmlformats.org/drawingml/2006/picture">
                <pic:pic>
                  <pic:nvPicPr>
                    <pic:cNvPr id="48" name="IM 48"/>
                    <pic:cNvPicPr/>
                  </pic:nvPicPr>
                  <pic:blipFill>
                    <a:blip r:embed="rId38"/>
                    <a:stretch>
                      <a:fillRect/>
                    </a:stretch>
                  </pic:blipFill>
                  <pic:spPr>
                    <a:xfrm rot="0">
                      <a:off x="0" y="0"/>
                      <a:ext cx="1168384" cy="6350"/>
                    </a:xfrm>
                    <a:prstGeom prst="rect">
                      <a:avLst/>
                    </a:prstGeom>
                  </pic:spPr>
                </pic:pic>
              </a:graphicData>
            </a:graphic>
          </wp:anchor>
        </w:drawing>
      </w:r>
      <w:r>
        <w:rPr>
          <w:rFonts w:ascii="YouYuan" w:hAnsi="YouYuan" w:eastAsia="YouYuan" w:cs="YouYuan"/>
          <w:sz w:val="19"/>
          <w:szCs w:val="19"/>
          <w:b/>
          <w:bCs/>
          <w:spacing w:val="-15"/>
          <w:w w:val="88"/>
        </w:rPr>
        <w:t>第一章</w:t>
      </w:r>
      <w:r>
        <w:rPr>
          <w:rFonts w:ascii="YouYuan" w:hAnsi="YouYuan" w:eastAsia="YouYuan" w:cs="YouYuan"/>
          <w:sz w:val="19"/>
          <w:szCs w:val="19"/>
          <w:spacing w:val="-15"/>
          <w:w w:val="88"/>
        </w:rPr>
        <w:t xml:space="preserve">  </w:t>
      </w:r>
      <w:r>
        <w:rPr>
          <w:rFonts w:ascii="YouYuan" w:hAnsi="YouYuan" w:eastAsia="YouYuan" w:cs="YouYuan"/>
          <w:sz w:val="19"/>
          <w:szCs w:val="19"/>
          <w:b/>
          <w:bCs/>
          <w:spacing w:val="-15"/>
          <w:w w:val="88"/>
        </w:rPr>
        <w:t>重塑平台经济：走向有序发展与共同富裕</w:t>
      </w:r>
      <w:r>
        <w:rPr>
          <w:rFonts w:ascii="YouYuan" w:hAnsi="YouYuan" w:eastAsia="YouYuan" w:cs="YouYuan"/>
          <w:sz w:val="19"/>
          <w:szCs w:val="19"/>
          <w:spacing w:val="1"/>
        </w:rPr>
        <w:t xml:space="preserve">           </w:t>
      </w:r>
      <w:r>
        <w:rPr>
          <w:rFonts w:ascii="SimSun" w:hAnsi="SimSun" w:eastAsia="SimSun" w:cs="SimSun"/>
          <w:sz w:val="12"/>
          <w:szCs w:val="12"/>
          <w:spacing w:val="-1"/>
          <w:position w:val="-3"/>
        </w:rPr>
        <w:t>017</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spacing w:before="61" w:line="221" w:lineRule="auto"/>
        <w:rPr>
          <w:rFonts w:ascii="SimSun" w:hAnsi="SimSun" w:eastAsia="SimSun" w:cs="SimSun"/>
          <w:sz w:val="19"/>
          <w:szCs w:val="19"/>
        </w:rPr>
      </w:pPr>
      <w:r>
        <w:rPr>
          <w:rFonts w:ascii="SimSun" w:hAnsi="SimSun" w:eastAsia="SimSun" w:cs="SimSun"/>
          <w:sz w:val="19"/>
          <w:szCs w:val="19"/>
          <w:spacing w:val="3"/>
        </w:rPr>
        <w:t>世界性的难题。</w:t>
      </w:r>
    </w:p>
    <w:p>
      <w:pPr>
        <w:ind w:right="22" w:firstLine="410"/>
        <w:spacing w:before="129" w:line="350" w:lineRule="auto"/>
        <w:jc w:val="both"/>
        <w:rPr>
          <w:rFonts w:ascii="SimSun" w:hAnsi="SimSun" w:eastAsia="SimSun" w:cs="SimSun"/>
          <w:sz w:val="19"/>
          <w:szCs w:val="19"/>
        </w:rPr>
      </w:pPr>
      <w:r>
        <w:rPr>
          <w:rFonts w:ascii="SimSun" w:hAnsi="SimSun" w:eastAsia="SimSun" w:cs="SimSun"/>
          <w:sz w:val="19"/>
          <w:szCs w:val="19"/>
          <w:spacing w:val="9"/>
        </w:rPr>
        <w:t>但平台经济的兴起为突破这个难关提供了可能性。长尾效应意味</w:t>
      </w:r>
      <w:r>
        <w:rPr>
          <w:rFonts w:ascii="SimSun" w:hAnsi="SimSun" w:eastAsia="SimSun" w:cs="SimSun"/>
          <w:sz w:val="19"/>
          <w:szCs w:val="19"/>
          <w:spacing w:val="14"/>
        </w:rPr>
        <w:t xml:space="preserve"> </w:t>
      </w:r>
      <w:r>
        <w:rPr>
          <w:rFonts w:ascii="SimSun" w:hAnsi="SimSun" w:eastAsia="SimSun" w:cs="SimSun"/>
          <w:sz w:val="19"/>
          <w:szCs w:val="19"/>
          <w:spacing w:val="9"/>
        </w:rPr>
        <w:t>着平台可以快速、“低成本”地触达海量的用户，实现规模经济。平</w:t>
      </w:r>
      <w:r>
        <w:rPr>
          <w:rFonts w:ascii="SimSun" w:hAnsi="SimSun" w:eastAsia="SimSun" w:cs="SimSun"/>
          <w:sz w:val="19"/>
          <w:szCs w:val="19"/>
          <w:spacing w:val="8"/>
        </w:rPr>
        <w:t xml:space="preserve"> </w:t>
      </w:r>
      <w:r>
        <w:rPr>
          <w:rFonts w:ascii="SimSun" w:hAnsi="SimSun" w:eastAsia="SimSun" w:cs="SimSun"/>
          <w:sz w:val="19"/>
          <w:szCs w:val="19"/>
          <w:spacing w:val="9"/>
        </w:rPr>
        <w:t>台就可以为这些用户提供包括移动支付在内的金融与非金融服务。在 </w:t>
      </w:r>
      <w:r>
        <w:rPr>
          <w:rFonts w:ascii="SimSun" w:hAnsi="SimSun" w:eastAsia="SimSun" w:cs="SimSun"/>
          <w:sz w:val="19"/>
          <w:szCs w:val="19"/>
          <w:spacing w:val="10"/>
        </w:rPr>
        <w:t>使用这些服务的时候，用户就会留下很多数字</w:t>
      </w:r>
      <w:r>
        <w:rPr>
          <w:rFonts w:ascii="SimSun" w:hAnsi="SimSun" w:eastAsia="SimSun" w:cs="SimSun"/>
          <w:sz w:val="19"/>
          <w:szCs w:val="19"/>
          <w:spacing w:val="9"/>
        </w:rPr>
        <w:t>足迹，这些数字足迹累</w:t>
      </w:r>
      <w:r>
        <w:rPr>
          <w:rFonts w:ascii="SimSun" w:hAnsi="SimSun" w:eastAsia="SimSun" w:cs="SimSun"/>
          <w:sz w:val="19"/>
          <w:szCs w:val="19"/>
        </w:rPr>
        <w:t xml:space="preserve"> </w:t>
      </w:r>
      <w:r>
        <w:rPr>
          <w:rFonts w:ascii="SimSun" w:hAnsi="SimSun" w:eastAsia="SimSun" w:cs="SimSun"/>
          <w:sz w:val="19"/>
          <w:szCs w:val="19"/>
          <w:spacing w:val="9"/>
        </w:rPr>
        <w:t>积起来构成大数据，既可以帮助平台对用户进行实时监测，还可以支 </w:t>
      </w:r>
      <w:r>
        <w:rPr>
          <w:rFonts w:ascii="SimSun" w:hAnsi="SimSun" w:eastAsia="SimSun" w:cs="SimSun"/>
          <w:sz w:val="19"/>
          <w:szCs w:val="19"/>
          <w:spacing w:val="9"/>
        </w:rPr>
        <w:t>持大数据信用风险评估，并在此基础上发放贷款。因此，平台为一些</w:t>
      </w:r>
    </w:p>
    <w:p>
      <w:pPr>
        <w:spacing w:line="218" w:lineRule="auto"/>
        <w:rPr>
          <w:rFonts w:ascii="SimSun" w:hAnsi="SimSun" w:eastAsia="SimSun" w:cs="SimSun"/>
          <w:sz w:val="19"/>
          <w:szCs w:val="19"/>
        </w:rPr>
      </w:pPr>
      <w:r>
        <w:rPr>
          <w:rFonts w:ascii="SimSun" w:hAnsi="SimSun" w:eastAsia="SimSun" w:cs="SimSun"/>
          <w:sz w:val="19"/>
          <w:szCs w:val="19"/>
          <w:spacing w:val="8"/>
        </w:rPr>
        <w:t>过去很难实现的金融服务提供了可能的解决方案。</w:t>
      </w:r>
    </w:p>
    <w:p>
      <w:pPr>
        <w:ind w:right="22" w:firstLine="410"/>
        <w:spacing w:before="122" w:line="350" w:lineRule="auto"/>
        <w:jc w:val="both"/>
        <w:rPr>
          <w:rFonts w:ascii="SimSun" w:hAnsi="SimSun" w:eastAsia="SimSun" w:cs="SimSun"/>
          <w:sz w:val="19"/>
          <w:szCs w:val="19"/>
        </w:rPr>
      </w:pPr>
      <w:r>
        <w:rPr>
          <w:rFonts w:ascii="SimSun" w:hAnsi="SimSun" w:eastAsia="SimSun" w:cs="SimSun"/>
          <w:sz w:val="19"/>
          <w:szCs w:val="19"/>
          <w:spacing w:val="16"/>
        </w:rPr>
        <w:t>根据北京大学数字普惠金融指数，在2011年</w:t>
      </w:r>
      <w:r>
        <w:rPr>
          <w:rFonts w:ascii="SimSun" w:hAnsi="SimSun" w:eastAsia="SimSun" w:cs="SimSun"/>
          <w:sz w:val="19"/>
          <w:szCs w:val="19"/>
          <w:spacing w:val="15"/>
        </w:rPr>
        <w:t>，全国只有沿海几</w:t>
      </w:r>
      <w:r>
        <w:rPr>
          <w:rFonts w:ascii="SimSun" w:hAnsi="SimSun" w:eastAsia="SimSun" w:cs="SimSun"/>
          <w:sz w:val="19"/>
          <w:szCs w:val="19"/>
        </w:rPr>
        <w:t xml:space="preserve"> </w:t>
      </w:r>
      <w:r>
        <w:rPr>
          <w:rFonts w:ascii="SimSun" w:hAnsi="SimSun" w:eastAsia="SimSun" w:cs="SimSun"/>
          <w:sz w:val="19"/>
          <w:szCs w:val="19"/>
          <w:spacing w:val="9"/>
        </w:rPr>
        <w:t>个城市的数字普惠金融做得相对比较好，大部分地区基本上是数字普</w:t>
      </w:r>
      <w:r>
        <w:rPr>
          <w:rFonts w:ascii="SimSun" w:hAnsi="SimSun" w:eastAsia="SimSun" w:cs="SimSun"/>
          <w:sz w:val="19"/>
          <w:szCs w:val="19"/>
          <w:spacing w:val="6"/>
        </w:rPr>
        <w:t xml:space="preserve"> </w:t>
      </w:r>
      <w:r>
        <w:rPr>
          <w:rFonts w:ascii="SimSun" w:hAnsi="SimSun" w:eastAsia="SimSun" w:cs="SimSun"/>
          <w:sz w:val="19"/>
          <w:szCs w:val="19"/>
          <w:spacing w:val="15"/>
        </w:rPr>
        <w:t>惠金融空白地带。到2020年，虽然沿海一些城市的数字普惠金融依</w:t>
      </w:r>
      <w:r>
        <w:rPr>
          <w:rFonts w:ascii="SimSun" w:hAnsi="SimSun" w:eastAsia="SimSun" w:cs="SimSun"/>
          <w:sz w:val="19"/>
          <w:szCs w:val="19"/>
          <w:spacing w:val="5"/>
        </w:rPr>
        <w:t xml:space="preserve"> </w:t>
      </w:r>
      <w:r>
        <w:rPr>
          <w:rFonts w:ascii="SimSun" w:hAnsi="SimSun" w:eastAsia="SimSun" w:cs="SimSun"/>
          <w:sz w:val="19"/>
          <w:szCs w:val="19"/>
          <w:spacing w:val="9"/>
        </w:rPr>
        <w:t>然领先全国，但其他地区已经在快速地追赶，地区之间的差异在明显</w:t>
      </w:r>
      <w:r>
        <w:rPr>
          <w:rFonts w:ascii="SimSun" w:hAnsi="SimSun" w:eastAsia="SimSun" w:cs="SimSun"/>
          <w:sz w:val="19"/>
          <w:szCs w:val="19"/>
          <w:spacing w:val="11"/>
        </w:rPr>
        <w:t xml:space="preserve"> </w:t>
      </w:r>
      <w:r>
        <w:rPr>
          <w:rFonts w:ascii="SimSun" w:hAnsi="SimSun" w:eastAsia="SimSun" w:cs="SimSun"/>
          <w:sz w:val="19"/>
          <w:szCs w:val="19"/>
          <w:spacing w:val="9"/>
        </w:rPr>
        <w:t>缩小。这其实正是好的普惠金融应该有的样子。建立在以云、网、端</w:t>
      </w:r>
      <w:r>
        <w:rPr>
          <w:rFonts w:ascii="SimSun" w:hAnsi="SimSun" w:eastAsia="SimSun" w:cs="SimSun"/>
          <w:sz w:val="19"/>
          <w:szCs w:val="19"/>
          <w:spacing w:val="8"/>
        </w:rPr>
        <w:t xml:space="preserve"> </w:t>
      </w:r>
      <w:r>
        <w:rPr>
          <w:rFonts w:ascii="SimSun" w:hAnsi="SimSun" w:eastAsia="SimSun" w:cs="SimSun"/>
          <w:sz w:val="19"/>
          <w:szCs w:val="19"/>
          <w:spacing w:val="9"/>
        </w:rPr>
        <w:t>为基础的数字技术之上的数字金融，使得任何一个国人，只要有智能</w:t>
      </w:r>
    </w:p>
    <w:p>
      <w:pPr>
        <w:spacing w:before="1" w:line="217" w:lineRule="auto"/>
        <w:rPr>
          <w:rFonts w:ascii="SimSun" w:hAnsi="SimSun" w:eastAsia="SimSun" w:cs="SimSun"/>
          <w:sz w:val="19"/>
          <w:szCs w:val="19"/>
        </w:rPr>
      </w:pPr>
      <w:r>
        <w:rPr>
          <w:rFonts w:ascii="SimSun" w:hAnsi="SimSun" w:eastAsia="SimSun" w:cs="SimSun"/>
          <w:sz w:val="19"/>
          <w:szCs w:val="19"/>
          <w:spacing w:val="3"/>
        </w:rPr>
        <w:t>手机、移动信号，不管身处何处，都能享受差不多的数字金融服务。①</w:t>
      </w:r>
    </w:p>
    <w:p>
      <w:pPr>
        <w:ind w:right="36" w:firstLine="410"/>
        <w:spacing w:before="136" w:line="350" w:lineRule="auto"/>
        <w:jc w:val="both"/>
        <w:rPr>
          <w:rFonts w:ascii="SimSun" w:hAnsi="SimSun" w:eastAsia="SimSun" w:cs="SimSun"/>
          <w:sz w:val="19"/>
          <w:szCs w:val="19"/>
        </w:rPr>
      </w:pPr>
      <w:r>
        <w:rPr>
          <w:rFonts w:ascii="SimSun" w:hAnsi="SimSun" w:eastAsia="SimSun" w:cs="SimSun"/>
          <w:sz w:val="19"/>
          <w:szCs w:val="19"/>
          <w:spacing w:val="9"/>
        </w:rPr>
        <w:t>到目前为止，我国最为普及的数字金融业务是移动支付，</w:t>
      </w:r>
      <w:r>
        <w:rPr>
          <w:rFonts w:ascii="SimSun" w:hAnsi="SimSun" w:eastAsia="SimSun" w:cs="SimSun"/>
          <w:sz w:val="19"/>
          <w:szCs w:val="19"/>
          <w:spacing w:val="8"/>
        </w:rPr>
        <w:t>依托于</w:t>
      </w:r>
      <w:r>
        <w:rPr>
          <w:rFonts w:ascii="SimSun" w:hAnsi="SimSun" w:eastAsia="SimSun" w:cs="SimSun"/>
          <w:sz w:val="19"/>
          <w:szCs w:val="19"/>
        </w:rPr>
        <w:t xml:space="preserve"> </w:t>
      </w:r>
      <w:r>
        <w:rPr>
          <w:rFonts w:ascii="SimSun" w:hAnsi="SimSun" w:eastAsia="SimSun" w:cs="SimSun"/>
          <w:sz w:val="19"/>
          <w:szCs w:val="19"/>
          <w:spacing w:val="9"/>
        </w:rPr>
        <w:t>科技平台和大数据的大科技信贷在全球也居于领先地位。另外，线上</w:t>
      </w:r>
      <w:r>
        <w:rPr>
          <w:rFonts w:ascii="SimSun" w:hAnsi="SimSun" w:eastAsia="SimSun" w:cs="SimSun"/>
          <w:sz w:val="19"/>
          <w:szCs w:val="19"/>
          <w:spacing w:val="6"/>
        </w:rPr>
        <w:t xml:space="preserve"> </w:t>
      </w:r>
      <w:r>
        <w:rPr>
          <w:rFonts w:ascii="SimSun" w:hAnsi="SimSun" w:eastAsia="SimSun" w:cs="SimSun"/>
          <w:sz w:val="19"/>
          <w:szCs w:val="19"/>
          <w:spacing w:val="9"/>
        </w:rPr>
        <w:t>投资和数字保险业务也达到了一定的规模。不过目前数字普惠金融正</w:t>
      </w:r>
      <w:r>
        <w:rPr>
          <w:rFonts w:ascii="SimSun" w:hAnsi="SimSun" w:eastAsia="SimSun" w:cs="SimSun"/>
          <w:sz w:val="19"/>
          <w:szCs w:val="19"/>
          <w:spacing w:val="10"/>
        </w:rPr>
        <w:t xml:space="preserve"> </w:t>
      </w:r>
      <w:r>
        <w:rPr>
          <w:rFonts w:ascii="SimSun" w:hAnsi="SimSun" w:eastAsia="SimSun" w:cs="SimSun"/>
          <w:sz w:val="19"/>
          <w:szCs w:val="19"/>
          <w:spacing w:val="9"/>
        </w:rPr>
        <w:t>处于一个重要的转型期。第一，数字金融可能从野蛮生长走向有序发</w:t>
      </w:r>
      <w:r>
        <w:rPr>
          <w:rFonts w:ascii="SimSun" w:hAnsi="SimSun" w:eastAsia="SimSun" w:cs="SimSun"/>
          <w:sz w:val="19"/>
          <w:szCs w:val="19"/>
        </w:rPr>
        <w:t xml:space="preserve"> </w:t>
      </w:r>
      <w:r>
        <w:rPr>
          <w:rFonts w:ascii="SimSun" w:hAnsi="SimSun" w:eastAsia="SimSun" w:cs="SimSun"/>
          <w:sz w:val="19"/>
          <w:szCs w:val="19"/>
          <w:spacing w:val="14"/>
        </w:rPr>
        <w:t>展。过去诸如</w:t>
      </w:r>
      <w:r>
        <w:rPr>
          <w:rFonts w:ascii="Times New Roman" w:hAnsi="Times New Roman" w:eastAsia="Times New Roman" w:cs="Times New Roman"/>
          <w:sz w:val="19"/>
          <w:szCs w:val="19"/>
          <w:spacing w:val="14"/>
        </w:rPr>
        <w:t>P2P</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4"/>
        </w:rPr>
        <w:t>(互联网金融点对点借贷平台)等业务模式没有受</w:t>
      </w:r>
      <w:r>
        <w:rPr>
          <w:rFonts w:ascii="SimSun" w:hAnsi="SimSun" w:eastAsia="SimSun" w:cs="SimSun"/>
          <w:sz w:val="19"/>
          <w:szCs w:val="19"/>
          <w:spacing w:val="1"/>
        </w:rPr>
        <w:t xml:space="preserve"> </w:t>
      </w:r>
      <w:r>
        <w:rPr>
          <w:rFonts w:ascii="SimSun" w:hAnsi="SimSun" w:eastAsia="SimSun" w:cs="SimSun"/>
          <w:sz w:val="19"/>
          <w:szCs w:val="19"/>
          <w:spacing w:val="9"/>
        </w:rPr>
        <w:t>到良好的监管，造成了不少风险，现在要对所有的数字金融交易做到</w:t>
      </w:r>
      <w:r>
        <w:rPr>
          <w:rFonts w:ascii="SimSun" w:hAnsi="SimSun" w:eastAsia="SimSun" w:cs="SimSun"/>
          <w:sz w:val="19"/>
          <w:szCs w:val="19"/>
          <w:spacing w:val="12"/>
        </w:rPr>
        <w:t xml:space="preserve"> </w:t>
      </w:r>
      <w:r>
        <w:rPr>
          <w:rFonts w:ascii="SimSun" w:hAnsi="SimSun" w:eastAsia="SimSun" w:cs="SimSun"/>
          <w:sz w:val="19"/>
          <w:szCs w:val="19"/>
          <w:spacing w:val="9"/>
        </w:rPr>
        <w:t>监管全覆盖。第二，过去数字金融创新的主力是科技公司，现在正逐</w:t>
      </w:r>
      <w:r>
        <w:rPr>
          <w:rFonts w:ascii="SimSun" w:hAnsi="SimSun" w:eastAsia="SimSun" w:cs="SimSun"/>
          <w:sz w:val="19"/>
          <w:szCs w:val="19"/>
          <w:spacing w:val="6"/>
        </w:rPr>
        <w:t xml:space="preserve"> </w:t>
      </w:r>
      <w:r>
        <w:rPr>
          <w:rFonts w:ascii="SimSun" w:hAnsi="SimSun" w:eastAsia="SimSun" w:cs="SimSun"/>
          <w:sz w:val="19"/>
          <w:szCs w:val="19"/>
          <w:spacing w:val="4"/>
        </w:rPr>
        <w:t>步变成持牌金融机构，这也是“监管全覆盖”的要求。当然，</w:t>
      </w:r>
      <w:r>
        <w:rPr>
          <w:rFonts w:ascii="SimSun" w:hAnsi="SimSun" w:eastAsia="SimSun" w:cs="SimSun"/>
          <w:sz w:val="19"/>
          <w:szCs w:val="19"/>
          <w:spacing w:val="62"/>
        </w:rPr>
        <w:t xml:space="preserve"> </w:t>
      </w:r>
      <w:r>
        <w:rPr>
          <w:rFonts w:ascii="SimSun" w:hAnsi="SimSun" w:eastAsia="SimSun" w:cs="SimSun"/>
          <w:sz w:val="19"/>
          <w:szCs w:val="19"/>
          <w:spacing w:val="4"/>
        </w:rPr>
        <w:t>一部分</w:t>
      </w:r>
    </w:p>
    <w:p>
      <w:pPr>
        <w:spacing w:before="1" w:line="218" w:lineRule="auto"/>
        <w:rPr>
          <w:rFonts w:ascii="SimSun" w:hAnsi="SimSun" w:eastAsia="SimSun" w:cs="SimSun"/>
          <w:sz w:val="19"/>
          <w:szCs w:val="19"/>
        </w:rPr>
      </w:pPr>
      <w:r>
        <w:rPr>
          <w:rFonts w:ascii="SimSun" w:hAnsi="SimSun" w:eastAsia="SimSun" w:cs="SimSun"/>
          <w:sz w:val="19"/>
          <w:szCs w:val="19"/>
          <w:spacing w:val="9"/>
        </w:rPr>
        <w:t>符合资质的科技公司也可能会获得金融牌照。第三，过去的数字金融</w:t>
      </w:r>
    </w:p>
    <w:p>
      <w:pPr>
        <w:pStyle w:val="BodyText"/>
        <w:spacing w:line="261" w:lineRule="auto"/>
        <w:rPr/>
      </w:pPr>
      <w:r/>
    </w:p>
    <w:p>
      <w:pPr>
        <w:pStyle w:val="BodyText"/>
        <w:spacing w:line="261" w:lineRule="auto"/>
        <w:rPr/>
      </w:pPr>
      <w:r/>
    </w:p>
    <w:p>
      <w:pPr>
        <w:ind w:left="329" w:hanging="329"/>
        <w:spacing w:before="62" w:line="243" w:lineRule="auto"/>
        <w:rPr>
          <w:rFonts w:ascii="KaiTi" w:hAnsi="KaiTi" w:eastAsia="KaiTi" w:cs="KaiTi"/>
          <w:sz w:val="19"/>
          <w:szCs w:val="19"/>
        </w:rPr>
      </w:pPr>
      <w:r>
        <w:rPr>
          <w:rFonts w:ascii="SimSun" w:hAnsi="SimSun" w:eastAsia="SimSun" w:cs="SimSun"/>
          <w:sz w:val="19"/>
          <w:szCs w:val="19"/>
          <w:spacing w:val="-23"/>
          <w:w w:val="98"/>
        </w:rPr>
        <w:t>①</w:t>
      </w:r>
      <w:r>
        <w:rPr>
          <w:rFonts w:ascii="SimSun" w:hAnsi="SimSun" w:eastAsia="SimSun" w:cs="SimSun"/>
          <w:sz w:val="19"/>
          <w:szCs w:val="19"/>
          <w:spacing w:val="40"/>
          <w:w w:val="101"/>
        </w:rPr>
        <w:t xml:space="preserve"> </w:t>
      </w:r>
      <w:r>
        <w:rPr>
          <w:rFonts w:ascii="KaiTi" w:hAnsi="KaiTi" w:eastAsia="KaiTi" w:cs="KaiTi"/>
          <w:sz w:val="19"/>
          <w:szCs w:val="19"/>
          <w:spacing w:val="-23"/>
          <w:w w:val="98"/>
        </w:rPr>
        <w:t>郭峰，王靖一，王芳，</w:t>
      </w:r>
      <w:r>
        <w:rPr>
          <w:rFonts w:ascii="KaiTi" w:hAnsi="KaiTi" w:eastAsia="KaiTi" w:cs="KaiTi"/>
          <w:sz w:val="19"/>
          <w:szCs w:val="19"/>
          <w:spacing w:val="-22"/>
          <w:w w:val="98"/>
        </w:rPr>
        <w:t>等.测度中国数字普惠金融发展：指数编制与</w:t>
      </w:r>
      <w:r>
        <w:rPr>
          <w:rFonts w:ascii="KaiTi" w:hAnsi="KaiTi" w:eastAsia="KaiTi" w:cs="KaiTi"/>
          <w:sz w:val="19"/>
          <w:szCs w:val="19"/>
          <w:spacing w:val="-23"/>
          <w:w w:val="98"/>
        </w:rPr>
        <w:t>空间特征.</w:t>
      </w:r>
      <w:r>
        <w:rPr>
          <w:rFonts w:ascii="KaiTi" w:hAnsi="KaiTi" w:eastAsia="KaiTi" w:cs="KaiTi"/>
          <w:sz w:val="19"/>
          <w:szCs w:val="19"/>
          <w:spacing w:val="-12"/>
          <w:w w:val="98"/>
        </w:rPr>
        <w:t>经</w:t>
      </w:r>
      <w:r>
        <w:rPr>
          <w:rFonts w:ascii="KaiTi" w:hAnsi="KaiTi" w:eastAsia="KaiTi" w:cs="KaiTi"/>
          <w:sz w:val="19"/>
          <w:szCs w:val="19"/>
        </w:rPr>
        <w:t xml:space="preserve"> </w:t>
      </w:r>
      <w:r>
        <w:rPr>
          <w:rFonts w:ascii="KaiTi" w:hAnsi="KaiTi" w:eastAsia="KaiTi" w:cs="KaiTi"/>
          <w:sz w:val="19"/>
          <w:szCs w:val="19"/>
          <w:spacing w:val="-1"/>
        </w:rPr>
        <w:t>济学(季刊),2020,19(4):1</w:t>
      </w:r>
      <w:r>
        <w:rPr>
          <w:rFonts w:ascii="KaiTi" w:hAnsi="KaiTi" w:eastAsia="KaiTi" w:cs="KaiTi"/>
          <w:sz w:val="19"/>
          <w:szCs w:val="19"/>
          <w:spacing w:val="-2"/>
        </w:rPr>
        <w:t>401-1418.</w:t>
      </w:r>
    </w:p>
    <w:p>
      <w:pPr>
        <w:spacing w:line="243" w:lineRule="auto"/>
        <w:sectPr>
          <w:headerReference w:type="default" r:id="rId1"/>
          <w:pgSz w:w="7330" w:h="12480"/>
          <w:pgMar w:top="400" w:right="719" w:bottom="400" w:left="589" w:header="0" w:footer="0" w:gutter="0"/>
        </w:sectPr>
        <w:rPr>
          <w:rFonts w:ascii="KaiTi" w:hAnsi="KaiTi" w:eastAsia="KaiTi" w:cs="KaiTi"/>
          <w:sz w:val="19"/>
          <w:szCs w:val="19"/>
        </w:rPr>
      </w:pPr>
    </w:p>
    <w:p>
      <w:pPr>
        <w:spacing w:line="222" w:lineRule="auto"/>
        <w:rPr>
          <w:rFonts w:ascii="SimHei" w:hAnsi="SimHei" w:eastAsia="SimHei" w:cs="SimHei"/>
          <w:sz w:val="20"/>
          <w:szCs w:val="20"/>
        </w:rPr>
      </w:pPr>
      <w:r>
        <w:drawing>
          <wp:anchor distT="0" distB="0" distL="0" distR="0" simplePos="0" relativeHeight="251945984" behindDoc="0" locked="0" layoutInCell="0" allowOverlap="1">
            <wp:simplePos x="0" y="0"/>
            <wp:positionH relativeFrom="page">
              <wp:posOffset>444510</wp:posOffset>
            </wp:positionH>
            <wp:positionV relativeFrom="page">
              <wp:posOffset>6959632</wp:posOffset>
            </wp:positionV>
            <wp:extent cx="1174761" cy="6350"/>
            <wp:effectExtent l="0" t="0" r="0" b="0"/>
            <wp:wrapNone/>
            <wp:docPr id="50" name="IM 50"/>
            <wp:cNvGraphicFramePr/>
            <a:graphic>
              <a:graphicData uri="http://schemas.openxmlformats.org/drawingml/2006/picture">
                <pic:pic>
                  <pic:nvPicPr>
                    <pic:cNvPr id="50" name="IM 50"/>
                    <pic:cNvPicPr/>
                  </pic:nvPicPr>
                  <pic:blipFill>
                    <a:blip r:embed="rId39"/>
                    <a:stretch>
                      <a:fillRect/>
                    </a:stretch>
                  </pic:blipFill>
                  <pic:spPr>
                    <a:xfrm rot="0">
                      <a:off x="0" y="0"/>
                      <a:ext cx="1174761" cy="6350"/>
                    </a:xfrm>
                    <a:prstGeom prst="rect">
                      <a:avLst/>
                    </a:prstGeom>
                  </pic:spPr>
                </pic:pic>
              </a:graphicData>
            </a:graphic>
          </wp:anchor>
        </w:drawing>
      </w:r>
      <w:r>
        <w:rPr>
          <w:rFonts w:ascii="SimSun" w:hAnsi="SimSun" w:eastAsia="SimSun" w:cs="SimSun"/>
          <w:sz w:val="12"/>
          <w:szCs w:val="12"/>
          <w:spacing w:val="-2"/>
          <w:position w:val="-3"/>
        </w:rPr>
        <w:t>018</w:t>
      </w:r>
      <w:r>
        <w:rPr>
          <w:rFonts w:ascii="SimSun" w:hAnsi="SimSun" w:eastAsia="SimSun" w:cs="SimSun"/>
          <w:sz w:val="12"/>
          <w:szCs w:val="12"/>
          <w:spacing w:val="1"/>
          <w:position w:val="-3"/>
        </w:rPr>
        <w:t xml:space="preserve">                             </w:t>
      </w:r>
      <w:r>
        <w:rPr>
          <w:rFonts w:ascii="SimHei" w:hAnsi="SimHei" w:eastAsia="SimHei" w:cs="SimHei"/>
          <w:sz w:val="20"/>
          <w:szCs w:val="20"/>
          <w:spacing w:val="-16"/>
          <w:w w:val="86"/>
        </w:rPr>
        <w:t>平台经济——创新、治理与繁荣</w:t>
      </w:r>
    </w:p>
    <w:p>
      <w:pPr>
        <w:pStyle w:val="BodyText"/>
        <w:rPr/>
      </w:pPr>
      <w:r/>
    </w:p>
    <w:p>
      <w:pPr>
        <w:pStyle w:val="BodyText"/>
        <w:rPr/>
      </w:pPr>
      <w:r/>
    </w:p>
    <w:p>
      <w:pPr>
        <w:pStyle w:val="BodyText"/>
        <w:rPr/>
      </w:pPr>
      <w:r/>
    </w:p>
    <w:p>
      <w:pPr>
        <w:pStyle w:val="BodyText"/>
        <w:rPr/>
      </w:pPr>
      <w:r/>
    </w:p>
    <w:p>
      <w:pPr>
        <w:ind w:right="137"/>
        <w:spacing w:before="65" w:line="342" w:lineRule="auto"/>
        <w:jc w:val="both"/>
        <w:rPr>
          <w:rFonts w:ascii="SimSun" w:hAnsi="SimSun" w:eastAsia="SimSun" w:cs="SimSun"/>
          <w:sz w:val="20"/>
          <w:szCs w:val="20"/>
        </w:rPr>
      </w:pPr>
      <w:r>
        <w:rPr>
          <w:rFonts w:ascii="SimSun" w:hAnsi="SimSun" w:eastAsia="SimSun" w:cs="SimSun"/>
          <w:sz w:val="20"/>
          <w:szCs w:val="20"/>
          <w:spacing w:val="3"/>
        </w:rPr>
        <w:t>业务主要依托于消费互联网，随着高通量、低时延的</w:t>
      </w:r>
      <w:r>
        <w:rPr>
          <w:rFonts w:ascii="SimSun" w:hAnsi="SimSun" w:eastAsia="SimSun" w:cs="SimSun"/>
          <w:sz w:val="20"/>
          <w:szCs w:val="20"/>
          <w:spacing w:val="2"/>
        </w:rPr>
        <w:t>5</w:t>
      </w:r>
      <w:r>
        <w:rPr>
          <w:rFonts w:ascii="Times New Roman" w:hAnsi="Times New Roman" w:eastAsia="Times New Roman" w:cs="Times New Roman"/>
          <w:sz w:val="20"/>
          <w:szCs w:val="20"/>
          <w:spacing w:val="2"/>
        </w:rPr>
        <w:t>G </w:t>
      </w:r>
      <w:r>
        <w:rPr>
          <w:rFonts w:ascii="SimSun" w:hAnsi="SimSun" w:eastAsia="SimSun" w:cs="SimSun"/>
          <w:sz w:val="20"/>
          <w:szCs w:val="20"/>
          <w:spacing w:val="2"/>
        </w:rPr>
        <w:t>技术全面落</w:t>
      </w:r>
      <w:r>
        <w:rPr>
          <w:rFonts w:ascii="SimSun" w:hAnsi="SimSun" w:eastAsia="SimSun" w:cs="SimSun"/>
          <w:sz w:val="20"/>
          <w:szCs w:val="20"/>
        </w:rPr>
        <w:t xml:space="preserve"> </w:t>
      </w:r>
      <w:r>
        <w:rPr>
          <w:rFonts w:ascii="SimSun" w:hAnsi="SimSun" w:eastAsia="SimSun" w:cs="SimSun"/>
          <w:sz w:val="20"/>
          <w:szCs w:val="20"/>
        </w:rPr>
        <w:t>地，万物互联成为可能，依托于产业互联网、物</w:t>
      </w:r>
      <w:r>
        <w:rPr>
          <w:rFonts w:ascii="SimSun" w:hAnsi="SimSun" w:eastAsia="SimSun" w:cs="SimSun"/>
          <w:sz w:val="20"/>
          <w:szCs w:val="20"/>
          <w:spacing w:val="-1"/>
        </w:rPr>
        <w:t>联网的金融业务发展</w:t>
      </w:r>
    </w:p>
    <w:p>
      <w:pPr>
        <w:spacing w:line="218" w:lineRule="auto"/>
        <w:rPr>
          <w:rFonts w:ascii="SimSun" w:hAnsi="SimSun" w:eastAsia="SimSun" w:cs="SimSun"/>
          <w:sz w:val="20"/>
          <w:szCs w:val="20"/>
        </w:rPr>
      </w:pPr>
      <w:r>
        <w:rPr>
          <w:rFonts w:ascii="SimSun" w:hAnsi="SimSun" w:eastAsia="SimSun" w:cs="SimSun"/>
          <w:sz w:val="20"/>
          <w:szCs w:val="20"/>
          <w:spacing w:val="-4"/>
        </w:rPr>
        <w:t>可能会进入快车道。</w:t>
      </w:r>
    </w:p>
    <w:p>
      <w:pPr>
        <w:pStyle w:val="BodyText"/>
        <w:spacing w:line="387"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2"/>
        </w:rPr>
        <w:t>经济与金融稳定</w:t>
      </w:r>
    </w:p>
    <w:p>
      <w:pPr>
        <w:pStyle w:val="BodyText"/>
        <w:spacing w:line="338" w:lineRule="auto"/>
        <w:rPr/>
      </w:pPr>
      <w:r/>
    </w:p>
    <w:p>
      <w:pPr>
        <w:ind w:firstLine="449"/>
        <w:spacing w:before="65" w:line="316" w:lineRule="auto"/>
        <w:jc w:val="both"/>
        <w:rPr>
          <w:rFonts w:ascii="SimSun" w:hAnsi="SimSun" w:eastAsia="SimSun" w:cs="SimSun"/>
          <w:sz w:val="20"/>
          <w:szCs w:val="20"/>
        </w:rPr>
      </w:pPr>
      <w:r>
        <w:rPr>
          <w:rFonts w:ascii="SimSun" w:hAnsi="SimSun" w:eastAsia="SimSun" w:cs="SimSun"/>
          <w:sz w:val="20"/>
          <w:szCs w:val="20"/>
          <w:spacing w:val="9"/>
        </w:rPr>
        <w:t>过去20年间，我国生产价格指数</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PPI</w:t>
      </w:r>
      <w:r>
        <w:rPr>
          <w:rFonts w:ascii="Times New Roman" w:hAnsi="Times New Roman" w:eastAsia="Times New Roman" w:cs="Times New Roman"/>
          <w:sz w:val="20"/>
          <w:szCs w:val="20"/>
          <w:spacing w:val="9"/>
        </w:rPr>
        <w:t>)   </w:t>
      </w:r>
      <w:r>
        <w:rPr>
          <w:rFonts w:ascii="SimSun" w:hAnsi="SimSun" w:eastAsia="SimSun" w:cs="SimSun"/>
          <w:sz w:val="20"/>
          <w:szCs w:val="20"/>
          <w:spacing w:val="9"/>
        </w:rPr>
        <w:t>的波动性一</w:t>
      </w:r>
      <w:r>
        <w:rPr>
          <w:rFonts w:ascii="SimSun" w:hAnsi="SimSun" w:eastAsia="SimSun" w:cs="SimSun"/>
          <w:sz w:val="20"/>
          <w:szCs w:val="20"/>
          <w:spacing w:val="8"/>
        </w:rPr>
        <w:t>直比较大，</w:t>
      </w:r>
      <w:r>
        <w:rPr>
          <w:rFonts w:ascii="SimSun" w:hAnsi="SimSun" w:eastAsia="SimSun" w:cs="SimSun"/>
          <w:sz w:val="20"/>
          <w:szCs w:val="20"/>
        </w:rPr>
        <w:t xml:space="preserve"> </w:t>
      </w:r>
      <w:r>
        <w:rPr>
          <w:rFonts w:ascii="SimSun" w:hAnsi="SimSun" w:eastAsia="SimSun" w:cs="SimSun"/>
          <w:sz w:val="20"/>
          <w:szCs w:val="20"/>
          <w:spacing w:val="7"/>
        </w:rPr>
        <w:t>但消费价格指数(</w:t>
      </w:r>
      <w:r>
        <w:rPr>
          <w:rFonts w:ascii="SimSun" w:hAnsi="SimSun" w:eastAsia="SimSun" w:cs="SimSun"/>
          <w:sz w:val="20"/>
          <w:szCs w:val="20"/>
        </w:rPr>
        <w:t>CPI</w:t>
      </w:r>
      <w:r>
        <w:rPr>
          <w:rFonts w:ascii="SimSun" w:hAnsi="SimSun" w:eastAsia="SimSun" w:cs="SimSun"/>
          <w:sz w:val="20"/>
          <w:szCs w:val="20"/>
          <w:spacing w:val="7"/>
        </w:rPr>
        <w:t>)</w:t>
      </w:r>
      <w:r>
        <w:rPr>
          <w:rFonts w:ascii="SimSun" w:hAnsi="SimSun" w:eastAsia="SimSun" w:cs="SimSun"/>
          <w:sz w:val="20"/>
          <w:szCs w:val="20"/>
          <w:spacing w:val="89"/>
        </w:rPr>
        <w:t xml:space="preserve"> </w:t>
      </w:r>
      <w:r>
        <w:rPr>
          <w:rFonts w:ascii="SimSun" w:hAnsi="SimSun" w:eastAsia="SimSun" w:cs="SimSun"/>
          <w:sz w:val="20"/>
          <w:szCs w:val="20"/>
          <w:spacing w:val="7"/>
        </w:rPr>
        <w:t>却在2013年之后稳定性突然提高了许多(见</w:t>
      </w:r>
      <w:r>
        <w:rPr>
          <w:rFonts w:ascii="SimSun" w:hAnsi="SimSun" w:eastAsia="SimSun" w:cs="SimSun"/>
          <w:sz w:val="20"/>
          <w:szCs w:val="20"/>
        </w:rPr>
        <w:t xml:space="preserve">  </w:t>
      </w:r>
      <w:r>
        <w:rPr>
          <w:rFonts w:ascii="SimSun" w:hAnsi="SimSun" w:eastAsia="SimSun" w:cs="SimSun"/>
          <w:sz w:val="20"/>
          <w:szCs w:val="20"/>
          <w:spacing w:val="10"/>
        </w:rPr>
        <w:t>图1-2),而平台经济发展很可能就是导致这个结构性变</w:t>
      </w:r>
      <w:r>
        <w:rPr>
          <w:rFonts w:ascii="SimSun" w:hAnsi="SimSun" w:eastAsia="SimSun" w:cs="SimSun"/>
          <w:sz w:val="20"/>
          <w:szCs w:val="20"/>
          <w:spacing w:val="9"/>
        </w:rPr>
        <w:t>化的主要原</w:t>
      </w:r>
      <w:r>
        <w:rPr>
          <w:rFonts w:ascii="SimSun" w:hAnsi="SimSun" w:eastAsia="SimSun" w:cs="SimSun"/>
          <w:sz w:val="20"/>
          <w:szCs w:val="20"/>
        </w:rPr>
        <w:t xml:space="preserve">  </w:t>
      </w:r>
      <w:r>
        <w:rPr>
          <w:rFonts w:ascii="SimSun" w:hAnsi="SimSun" w:eastAsia="SimSun" w:cs="SimSun"/>
          <w:sz w:val="20"/>
          <w:szCs w:val="20"/>
          <w:spacing w:val="6"/>
        </w:rPr>
        <w:t>因。2013年之前，电商的销售额在社会零售总额中的比重一直比较</w:t>
      </w:r>
      <w:r>
        <w:rPr>
          <w:rFonts w:ascii="SimSun" w:hAnsi="SimSun" w:eastAsia="SimSun" w:cs="SimSun"/>
          <w:sz w:val="20"/>
          <w:szCs w:val="20"/>
          <w:spacing w:val="5"/>
        </w:rPr>
        <w:t xml:space="preserve">  </w:t>
      </w:r>
      <w:r>
        <w:rPr>
          <w:rFonts w:ascii="SimSun" w:hAnsi="SimSun" w:eastAsia="SimSun" w:cs="SimSun"/>
          <w:sz w:val="20"/>
          <w:szCs w:val="20"/>
        </w:rPr>
        <w:t>低，之后这一比重开始大幅上升。当然，电商的</w:t>
      </w:r>
      <w:r>
        <w:rPr>
          <w:rFonts w:ascii="SimSun" w:hAnsi="SimSun" w:eastAsia="SimSun" w:cs="SimSun"/>
          <w:sz w:val="20"/>
          <w:szCs w:val="20"/>
          <w:spacing w:val="-1"/>
        </w:rPr>
        <w:t>发展是与物流、快递</w:t>
      </w:r>
      <w:r>
        <w:rPr>
          <w:rFonts w:ascii="SimSun" w:hAnsi="SimSun" w:eastAsia="SimSun" w:cs="SimSun"/>
          <w:sz w:val="20"/>
          <w:szCs w:val="20"/>
        </w:rPr>
        <w:t xml:space="preserve">  </w:t>
      </w:r>
      <w:r>
        <w:rPr>
          <w:rFonts w:ascii="SimSun" w:hAnsi="SimSun" w:eastAsia="SimSun" w:cs="SimSun"/>
          <w:sz w:val="20"/>
          <w:szCs w:val="20"/>
          <w:spacing w:val="7"/>
        </w:rPr>
        <w:t>的发展同步的，而这就极大地提升了全国各地区市</w:t>
      </w:r>
      <w:r>
        <w:rPr>
          <w:rFonts w:ascii="SimSun" w:hAnsi="SimSun" w:eastAsia="SimSun" w:cs="SimSun"/>
          <w:sz w:val="20"/>
          <w:szCs w:val="20"/>
          <w:spacing w:val="6"/>
        </w:rPr>
        <w:t>场之间的融合程</w:t>
      </w:r>
      <w:r>
        <w:rPr>
          <w:rFonts w:ascii="SimSun" w:hAnsi="SimSun" w:eastAsia="SimSun" w:cs="SimSun"/>
          <w:sz w:val="20"/>
          <w:szCs w:val="20"/>
        </w:rPr>
        <w:t xml:space="preserve">  </w:t>
      </w:r>
      <w:r>
        <w:rPr>
          <w:rFonts w:ascii="SimSun" w:hAnsi="SimSun" w:eastAsia="SimSun" w:cs="SimSun"/>
          <w:sz w:val="20"/>
          <w:szCs w:val="20"/>
          <w:spacing w:val="2"/>
        </w:rPr>
        <w:t>度，从而降低了</w:t>
      </w:r>
      <w:r>
        <w:rPr>
          <w:rFonts w:ascii="Times New Roman" w:hAnsi="Times New Roman" w:eastAsia="Times New Roman" w:cs="Times New Roman"/>
          <w:sz w:val="20"/>
          <w:szCs w:val="20"/>
        </w:rPr>
        <w:t>CPI</w:t>
      </w:r>
      <w:r>
        <w:rPr>
          <w:rFonts w:ascii="SimSun" w:hAnsi="SimSun" w:eastAsia="SimSun" w:cs="SimSun"/>
          <w:sz w:val="20"/>
          <w:szCs w:val="20"/>
          <w:spacing w:val="2"/>
        </w:rPr>
        <w:t>的波动性。但</w:t>
      </w:r>
      <w:r>
        <w:rPr>
          <w:rFonts w:ascii="Times New Roman" w:hAnsi="Times New Roman" w:eastAsia="Times New Roman" w:cs="Times New Roman"/>
          <w:sz w:val="20"/>
          <w:szCs w:val="20"/>
        </w:rPr>
        <w:t>PPI</w:t>
      </w:r>
      <w:r>
        <w:rPr>
          <w:rFonts w:ascii="SimSun" w:hAnsi="SimSun" w:eastAsia="SimSun" w:cs="SimSun"/>
          <w:sz w:val="20"/>
          <w:szCs w:val="20"/>
          <w:spacing w:val="2"/>
        </w:rPr>
        <w:t>的统计对象则包</w:t>
      </w:r>
      <w:r>
        <w:rPr>
          <w:rFonts w:ascii="SimSun" w:hAnsi="SimSun" w:eastAsia="SimSun" w:cs="SimSun"/>
          <w:sz w:val="20"/>
          <w:szCs w:val="20"/>
          <w:spacing w:val="1"/>
        </w:rPr>
        <w:t>括石油、钢铁、 </w:t>
      </w:r>
      <w:r>
        <w:rPr>
          <w:rFonts w:ascii="SimSun" w:hAnsi="SimSun" w:eastAsia="SimSun" w:cs="SimSun"/>
          <w:sz w:val="20"/>
          <w:szCs w:val="20"/>
          <w:spacing w:val="7"/>
        </w:rPr>
        <w:t>煤炭等大宗商品和投资品，其波动性受国际市场的影响，</w:t>
      </w:r>
      <w:r>
        <w:rPr>
          <w:rFonts w:ascii="SimSun" w:hAnsi="SimSun" w:eastAsia="SimSun" w:cs="SimSun"/>
          <w:sz w:val="20"/>
          <w:szCs w:val="20"/>
          <w:spacing w:val="6"/>
        </w:rPr>
        <w:t>因此，在</w:t>
      </w:r>
      <w:r>
        <w:rPr>
          <w:rFonts w:ascii="SimSun" w:hAnsi="SimSun" w:eastAsia="SimSun" w:cs="SimSun"/>
          <w:sz w:val="20"/>
          <w:szCs w:val="20"/>
        </w:rPr>
        <w:t xml:space="preserve">  </w:t>
      </w:r>
      <w:r>
        <w:rPr>
          <w:rFonts w:ascii="Times New Roman" w:hAnsi="Times New Roman" w:eastAsia="Times New Roman" w:cs="Times New Roman"/>
          <w:sz w:val="20"/>
          <w:szCs w:val="20"/>
          <w:spacing w:val="2"/>
        </w:rPr>
        <w:t>201</w:t>
      </w:r>
      <w:r>
        <w:rPr>
          <w:rFonts w:ascii="SimSun" w:hAnsi="SimSun" w:eastAsia="SimSun" w:cs="SimSun"/>
          <w:sz w:val="20"/>
          <w:szCs w:val="20"/>
          <w:spacing w:val="2"/>
        </w:rPr>
        <w:t>3年之后并没有发生类似于</w:t>
      </w:r>
      <w:r>
        <w:rPr>
          <w:rFonts w:ascii="SimSun" w:hAnsi="SimSun" w:eastAsia="SimSun" w:cs="SimSun"/>
          <w:sz w:val="20"/>
          <w:szCs w:val="20"/>
        </w:rPr>
        <w:t>CPI</w:t>
      </w:r>
      <w:r>
        <w:rPr>
          <w:rFonts w:ascii="SimSun" w:hAnsi="SimSun" w:eastAsia="SimSun" w:cs="SimSun"/>
          <w:sz w:val="20"/>
          <w:szCs w:val="20"/>
          <w:spacing w:val="-43"/>
        </w:rPr>
        <w:t xml:space="preserve"> </w:t>
      </w:r>
      <w:r>
        <w:rPr>
          <w:rFonts w:ascii="SimSun" w:hAnsi="SimSun" w:eastAsia="SimSun" w:cs="SimSun"/>
          <w:sz w:val="20"/>
          <w:szCs w:val="20"/>
          <w:spacing w:val="2"/>
        </w:rPr>
        <w:t>那样的变化。①即便如此，全球金</w:t>
      </w:r>
      <w:r>
        <w:rPr>
          <w:rFonts w:ascii="SimSun" w:hAnsi="SimSun" w:eastAsia="SimSun" w:cs="SimSun"/>
          <w:sz w:val="20"/>
          <w:szCs w:val="20"/>
        </w:rPr>
        <w:t xml:space="preserve">  </w:t>
      </w:r>
      <w:r>
        <w:rPr>
          <w:rFonts w:ascii="SimSun" w:hAnsi="SimSun" w:eastAsia="SimSun" w:cs="SimSun"/>
          <w:sz w:val="20"/>
          <w:szCs w:val="20"/>
          <w:spacing w:val="-2"/>
        </w:rPr>
        <w:t>融危机以来，我国</w:t>
      </w:r>
      <w:r>
        <w:rPr>
          <w:rFonts w:ascii="SimSun" w:hAnsi="SimSun" w:eastAsia="SimSun" w:cs="SimSun"/>
          <w:sz w:val="20"/>
          <w:szCs w:val="20"/>
          <w:spacing w:val="-29"/>
        </w:rPr>
        <w:t xml:space="preserve"> </w:t>
      </w:r>
      <w:r>
        <w:rPr>
          <w:rFonts w:ascii="Times New Roman" w:hAnsi="Times New Roman" w:eastAsia="Times New Roman" w:cs="Times New Roman"/>
          <w:sz w:val="20"/>
          <w:szCs w:val="20"/>
          <w:spacing w:val="-2"/>
        </w:rPr>
        <w:t>PPI </w:t>
      </w:r>
      <w:r>
        <w:rPr>
          <w:rFonts w:ascii="SimSun" w:hAnsi="SimSun" w:eastAsia="SimSun" w:cs="SimSun"/>
          <w:sz w:val="20"/>
          <w:szCs w:val="20"/>
          <w:spacing w:val="-2"/>
        </w:rPr>
        <w:t>的省际差异也已经明显下降。</w:t>
      </w:r>
    </w:p>
    <w:p>
      <w:pPr>
        <w:ind w:firstLine="649"/>
        <w:spacing w:before="156" w:line="2608" w:lineRule="exact"/>
        <w:rPr/>
      </w:pPr>
      <w:r>
        <w:rPr>
          <w:position w:val="-52"/>
        </w:rPr>
        <w:drawing>
          <wp:inline distT="0" distB="0" distL="0" distR="0">
            <wp:extent cx="2889265" cy="1656041"/>
            <wp:effectExtent l="0" t="0" r="0" b="0"/>
            <wp:docPr id="52" name="IM 52"/>
            <wp:cNvGraphicFramePr/>
            <a:graphic>
              <a:graphicData uri="http://schemas.openxmlformats.org/drawingml/2006/picture">
                <pic:pic>
                  <pic:nvPicPr>
                    <pic:cNvPr id="52" name="IM 52"/>
                    <pic:cNvPicPr/>
                  </pic:nvPicPr>
                  <pic:blipFill>
                    <a:blip r:embed="rId40"/>
                    <a:stretch>
                      <a:fillRect/>
                    </a:stretch>
                  </pic:blipFill>
                  <pic:spPr>
                    <a:xfrm rot="0">
                      <a:off x="0" y="0"/>
                      <a:ext cx="2889265" cy="1656041"/>
                    </a:xfrm>
                    <a:prstGeom prst="rect">
                      <a:avLst/>
                    </a:prstGeom>
                  </pic:spPr>
                </pic:pic>
              </a:graphicData>
            </a:graphic>
          </wp:inline>
        </w:drawing>
      </w:r>
    </w:p>
    <w:p>
      <w:pPr>
        <w:ind w:left="829"/>
        <w:spacing w:line="223" w:lineRule="auto"/>
        <w:rPr>
          <w:rFonts w:ascii="KaiTi" w:hAnsi="KaiTi" w:eastAsia="KaiTi" w:cs="KaiTi"/>
          <w:sz w:val="20"/>
          <w:szCs w:val="20"/>
        </w:rPr>
      </w:pPr>
      <w:r>
        <w:rPr>
          <w:rFonts w:ascii="KaiTi" w:hAnsi="KaiTi" w:eastAsia="KaiTi" w:cs="KaiTi"/>
          <w:sz w:val="20"/>
          <w:szCs w:val="20"/>
          <w:spacing w:val="8"/>
        </w:rPr>
        <w:t>2001200320052007200920112013201520172019(年)</w:t>
      </w:r>
    </w:p>
    <w:p>
      <w:pPr>
        <w:ind w:left="1212"/>
        <w:spacing w:before="74" w:line="218" w:lineRule="auto"/>
        <w:rPr>
          <w:rFonts w:ascii="SimSun" w:hAnsi="SimSun" w:eastAsia="SimSun" w:cs="SimSun"/>
          <w:sz w:val="20"/>
          <w:szCs w:val="20"/>
        </w:rPr>
      </w:pPr>
      <w:r>
        <w:rPr>
          <w:rFonts w:ascii="SimSun" w:hAnsi="SimSun" w:eastAsia="SimSun" w:cs="SimSun"/>
          <w:sz w:val="20"/>
          <w:szCs w:val="20"/>
          <w:b/>
          <w:bCs/>
          <w:spacing w:val="-3"/>
        </w:rPr>
        <w:t>图1-2</w:t>
      </w:r>
      <w:r>
        <w:rPr>
          <w:rFonts w:ascii="SimSun" w:hAnsi="SimSun" w:eastAsia="SimSun" w:cs="SimSun"/>
          <w:sz w:val="20"/>
          <w:szCs w:val="20"/>
          <w:spacing w:val="72"/>
        </w:rPr>
        <w:t xml:space="preserve"> </w:t>
      </w:r>
      <w:r>
        <w:rPr>
          <w:rFonts w:ascii="SimSun" w:hAnsi="SimSun" w:eastAsia="SimSun" w:cs="SimSun"/>
          <w:sz w:val="20"/>
          <w:szCs w:val="20"/>
          <w:b/>
          <w:bCs/>
          <w:spacing w:val="-3"/>
        </w:rPr>
        <w:t>我国价格指数的变化(2001—2020年)</w:t>
      </w:r>
    </w:p>
    <w:p>
      <w:pPr>
        <w:ind w:left="440"/>
        <w:spacing w:before="166" w:line="224" w:lineRule="auto"/>
        <w:rPr>
          <w:rFonts w:ascii="KaiTi" w:hAnsi="KaiTi" w:eastAsia="KaiTi" w:cs="KaiTi"/>
          <w:sz w:val="20"/>
          <w:szCs w:val="20"/>
        </w:rPr>
      </w:pPr>
      <w:r>
        <w:rPr>
          <w:rFonts w:ascii="KaiTi" w:hAnsi="KaiTi" w:eastAsia="KaiTi" w:cs="KaiTi"/>
          <w:sz w:val="20"/>
          <w:szCs w:val="20"/>
          <w:spacing w:val="-22"/>
          <w:w w:val="97"/>
        </w:rPr>
        <w:t>资料来源：陈歆昱等(2021)。</w:t>
      </w:r>
    </w:p>
    <w:p>
      <w:pPr>
        <w:ind w:left="409" w:right="178" w:hanging="409"/>
        <w:spacing w:before="252" w:line="244" w:lineRule="auto"/>
        <w:rPr>
          <w:rFonts w:ascii="KaiTi" w:hAnsi="KaiTi" w:eastAsia="KaiTi" w:cs="KaiTi"/>
          <w:sz w:val="20"/>
          <w:szCs w:val="20"/>
        </w:rPr>
      </w:pPr>
      <w:r>
        <w:rPr>
          <w:rFonts w:ascii="KaiTi" w:hAnsi="KaiTi" w:eastAsia="KaiTi" w:cs="KaiTi"/>
          <w:sz w:val="20"/>
          <w:szCs w:val="20"/>
          <w:spacing w:val="-18"/>
          <w:w w:val="92"/>
        </w:rPr>
        <w:t>①</w:t>
      </w:r>
      <w:r>
        <w:rPr>
          <w:rFonts w:ascii="KaiTi" w:hAnsi="KaiTi" w:eastAsia="KaiTi" w:cs="KaiTi"/>
          <w:sz w:val="20"/>
          <w:szCs w:val="20"/>
          <w:spacing w:val="58"/>
        </w:rPr>
        <w:t xml:space="preserve"> </w:t>
      </w:r>
      <w:r>
        <w:rPr>
          <w:rFonts w:ascii="KaiTi" w:hAnsi="KaiTi" w:eastAsia="KaiTi" w:cs="KaiTi"/>
          <w:sz w:val="20"/>
          <w:szCs w:val="20"/>
          <w:spacing w:val="-18"/>
          <w:w w:val="92"/>
        </w:rPr>
        <w:t>陈歆昱，黄益平，邱晗.电商市场是否会促进价格水平的稳定?来自纯牛奶商品</w:t>
      </w:r>
      <w:r>
        <w:rPr>
          <w:rFonts w:ascii="KaiTi" w:hAnsi="KaiTi" w:eastAsia="KaiTi" w:cs="KaiTi"/>
          <w:sz w:val="20"/>
          <w:szCs w:val="20"/>
        </w:rPr>
        <w:t xml:space="preserve"> </w:t>
      </w:r>
      <w:r>
        <w:rPr>
          <w:rFonts w:ascii="KaiTi" w:hAnsi="KaiTi" w:eastAsia="KaiTi" w:cs="KaiTi"/>
          <w:sz w:val="20"/>
          <w:szCs w:val="20"/>
          <w:spacing w:val="-19"/>
          <w:w w:val="92"/>
        </w:rPr>
        <w:t>的实证证据.北京大学数字金融研究中心论文，2021.</w:t>
      </w:r>
    </w:p>
    <w:p>
      <w:pPr>
        <w:spacing w:line="244" w:lineRule="auto"/>
        <w:sectPr>
          <w:pgSz w:w="7330" w:h="12480"/>
          <w:pgMar w:top="256" w:right="570" w:bottom="400" w:left="630" w:header="0" w:footer="0" w:gutter="0"/>
        </w:sectPr>
        <w:rPr>
          <w:rFonts w:ascii="KaiTi" w:hAnsi="KaiTi" w:eastAsia="KaiTi" w:cs="KaiTi"/>
          <w:sz w:val="20"/>
          <w:szCs w:val="20"/>
        </w:rPr>
      </w:pPr>
    </w:p>
    <w:p>
      <w:pPr>
        <w:ind w:left="1322"/>
        <w:spacing w:before="128" w:line="219" w:lineRule="auto"/>
        <w:rPr>
          <w:rFonts w:ascii="SimSun" w:hAnsi="SimSun" w:eastAsia="SimSun" w:cs="SimSun"/>
          <w:sz w:val="12"/>
          <w:szCs w:val="12"/>
        </w:rPr>
      </w:pPr>
      <w:r>
        <w:drawing>
          <wp:anchor distT="0" distB="0" distL="0" distR="0" simplePos="0" relativeHeight="251956224" behindDoc="0" locked="0" layoutInCell="0" allowOverlap="1">
            <wp:simplePos x="0" y="0"/>
            <wp:positionH relativeFrom="page">
              <wp:posOffset>336570</wp:posOffset>
            </wp:positionH>
            <wp:positionV relativeFrom="page">
              <wp:posOffset>7010431</wp:posOffset>
            </wp:positionV>
            <wp:extent cx="1168384" cy="6350"/>
            <wp:effectExtent l="0" t="0" r="0" b="0"/>
            <wp:wrapNone/>
            <wp:docPr id="54" name="IM 54"/>
            <wp:cNvGraphicFramePr/>
            <a:graphic>
              <a:graphicData uri="http://schemas.openxmlformats.org/drawingml/2006/picture">
                <pic:pic>
                  <pic:nvPicPr>
                    <pic:cNvPr id="54" name="IM 54"/>
                    <pic:cNvPicPr/>
                  </pic:nvPicPr>
                  <pic:blipFill>
                    <a:blip r:embed="rId41"/>
                    <a:stretch>
                      <a:fillRect/>
                    </a:stretch>
                  </pic:blipFill>
                  <pic:spPr>
                    <a:xfrm rot="0">
                      <a:off x="0" y="0"/>
                      <a:ext cx="1168384" cy="6350"/>
                    </a:xfrm>
                    <a:prstGeom prst="rect">
                      <a:avLst/>
                    </a:prstGeom>
                  </pic:spPr>
                </pic:pic>
              </a:graphicData>
            </a:graphic>
          </wp:anchor>
        </w:drawing>
      </w:r>
      <w:r>
        <w:rPr>
          <w:rFonts w:ascii="YouYuan" w:hAnsi="YouYuan" w:eastAsia="YouYuan" w:cs="YouYuan"/>
          <w:sz w:val="19"/>
          <w:szCs w:val="19"/>
          <w:b/>
          <w:bCs/>
          <w:spacing w:val="-14"/>
          <w:w w:val="87"/>
        </w:rPr>
        <w:t>第一章</w:t>
      </w:r>
      <w:r>
        <w:rPr>
          <w:rFonts w:ascii="YouYuan" w:hAnsi="YouYuan" w:eastAsia="YouYuan" w:cs="YouYuan"/>
          <w:sz w:val="19"/>
          <w:szCs w:val="19"/>
          <w:spacing w:val="-14"/>
          <w:w w:val="87"/>
        </w:rPr>
        <w:t xml:space="preserve">  </w:t>
      </w:r>
      <w:r>
        <w:rPr>
          <w:rFonts w:ascii="YouYuan" w:hAnsi="YouYuan" w:eastAsia="YouYuan" w:cs="YouYuan"/>
          <w:sz w:val="19"/>
          <w:szCs w:val="19"/>
          <w:b/>
          <w:bCs/>
          <w:spacing w:val="-14"/>
          <w:w w:val="87"/>
        </w:rPr>
        <w:t>重塑平台经济：走向有序发展与共同富裕</w:t>
      </w:r>
      <w:r>
        <w:rPr>
          <w:rFonts w:ascii="YouYuan" w:hAnsi="YouYuan" w:eastAsia="YouYuan" w:cs="YouYuan"/>
          <w:sz w:val="19"/>
          <w:szCs w:val="19"/>
        </w:rPr>
        <w:t xml:space="preserve">           </w:t>
      </w:r>
      <w:r>
        <w:rPr>
          <w:rFonts w:ascii="SimSun" w:hAnsi="SimSun" w:eastAsia="SimSun" w:cs="SimSun"/>
          <w:sz w:val="12"/>
          <w:szCs w:val="12"/>
          <w:spacing w:val="2"/>
          <w:position w:val="-3"/>
        </w:rPr>
        <w:t>019</w:t>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87" w:firstLine="410"/>
        <w:spacing w:before="62" w:line="350" w:lineRule="auto"/>
        <w:jc w:val="both"/>
        <w:rPr>
          <w:rFonts w:ascii="SimSun" w:hAnsi="SimSun" w:eastAsia="SimSun" w:cs="SimSun"/>
          <w:sz w:val="19"/>
          <w:szCs w:val="19"/>
        </w:rPr>
      </w:pPr>
      <w:r>
        <w:rPr>
          <w:rFonts w:ascii="SimSun" w:hAnsi="SimSun" w:eastAsia="SimSun" w:cs="SimSun"/>
          <w:sz w:val="19"/>
          <w:szCs w:val="19"/>
          <w:spacing w:val="9"/>
        </w:rPr>
        <w:t>综合以上证据，可以得出一个初步结论，即平台经</w:t>
      </w:r>
      <w:r>
        <w:rPr>
          <w:rFonts w:ascii="SimSun" w:hAnsi="SimSun" w:eastAsia="SimSun" w:cs="SimSun"/>
          <w:sz w:val="19"/>
          <w:szCs w:val="19"/>
          <w:spacing w:val="8"/>
        </w:rPr>
        <w:t>济的发展提高</w:t>
      </w:r>
      <w:r>
        <w:rPr>
          <w:rFonts w:ascii="SimSun" w:hAnsi="SimSun" w:eastAsia="SimSun" w:cs="SimSun"/>
          <w:sz w:val="19"/>
          <w:szCs w:val="19"/>
        </w:rPr>
        <w:t xml:space="preserve"> </w:t>
      </w:r>
      <w:r>
        <w:rPr>
          <w:rFonts w:ascii="SimSun" w:hAnsi="SimSun" w:eastAsia="SimSun" w:cs="SimSun"/>
          <w:sz w:val="19"/>
          <w:szCs w:val="19"/>
          <w:spacing w:val="9"/>
        </w:rPr>
        <w:t>了通货膨胀率的稳定性。如果这个结论成立，那么</w:t>
      </w:r>
      <w:r>
        <w:rPr>
          <w:rFonts w:ascii="SimSun" w:hAnsi="SimSun" w:eastAsia="SimSun" w:cs="SimSun"/>
          <w:sz w:val="19"/>
          <w:szCs w:val="19"/>
          <w:spacing w:val="8"/>
        </w:rPr>
        <w:t>它就有可能会对宏</w:t>
      </w:r>
    </w:p>
    <w:p>
      <w:pPr>
        <w:spacing w:line="219" w:lineRule="auto"/>
        <w:rPr>
          <w:rFonts w:ascii="SimSun" w:hAnsi="SimSun" w:eastAsia="SimSun" w:cs="SimSun"/>
          <w:sz w:val="19"/>
          <w:szCs w:val="19"/>
        </w:rPr>
      </w:pPr>
      <w:r>
        <w:rPr>
          <w:rFonts w:ascii="SimSun" w:hAnsi="SimSun" w:eastAsia="SimSun" w:cs="SimSun"/>
          <w:sz w:val="19"/>
          <w:szCs w:val="19"/>
          <w:spacing w:val="8"/>
        </w:rPr>
        <w:t>观经济格局甚至宏观经济政策的制定产生重大的影响。</w:t>
      </w:r>
    </w:p>
    <w:p>
      <w:pPr>
        <w:ind w:firstLine="420"/>
        <w:spacing w:before="130" w:line="350" w:lineRule="auto"/>
        <w:jc w:val="both"/>
        <w:rPr>
          <w:rFonts w:ascii="SimSun" w:hAnsi="SimSun" w:eastAsia="SimSun" w:cs="SimSun"/>
          <w:sz w:val="19"/>
          <w:szCs w:val="19"/>
        </w:rPr>
      </w:pPr>
      <w:r>
        <w:rPr>
          <w:rFonts w:ascii="SimSun" w:hAnsi="SimSun" w:eastAsia="SimSun" w:cs="SimSun"/>
          <w:sz w:val="19"/>
          <w:szCs w:val="19"/>
          <w:spacing w:val="11"/>
        </w:rPr>
        <w:t>已有的研究还发现，数字金融中的大科技信贷以数据替代抵押，</w:t>
      </w:r>
      <w:r>
        <w:rPr>
          <w:rFonts w:ascii="SimSun" w:hAnsi="SimSun" w:eastAsia="SimSun" w:cs="SimSun"/>
          <w:sz w:val="19"/>
          <w:szCs w:val="19"/>
          <w:spacing w:val="15"/>
        </w:rPr>
        <w:t xml:space="preserve"> </w:t>
      </w:r>
      <w:r>
        <w:rPr>
          <w:rFonts w:ascii="SimSun" w:hAnsi="SimSun" w:eastAsia="SimSun" w:cs="SimSun"/>
          <w:sz w:val="19"/>
          <w:szCs w:val="19"/>
          <w:spacing w:val="9"/>
        </w:rPr>
        <w:t>很可能会弱化金融加速器中资产价格渠道的作用。金融加速器的概念</w:t>
      </w:r>
      <w:r>
        <w:rPr>
          <w:rFonts w:ascii="SimSun" w:hAnsi="SimSun" w:eastAsia="SimSun" w:cs="SimSun"/>
          <w:sz w:val="19"/>
          <w:szCs w:val="19"/>
          <w:spacing w:val="3"/>
        </w:rPr>
        <w:t xml:space="preserve">  </w:t>
      </w:r>
      <w:r>
        <w:rPr>
          <w:rFonts w:ascii="SimSun" w:hAnsi="SimSun" w:eastAsia="SimSun" w:cs="SimSun"/>
          <w:sz w:val="19"/>
          <w:szCs w:val="19"/>
          <w:spacing w:val="18"/>
        </w:rPr>
        <w:t>是美联储前主席伯南克与其合作者在20年前提出来的，他们发现，</w:t>
      </w:r>
      <w:r>
        <w:rPr>
          <w:rFonts w:ascii="SimSun" w:hAnsi="SimSun" w:eastAsia="SimSun" w:cs="SimSun"/>
          <w:sz w:val="19"/>
          <w:szCs w:val="19"/>
          <w:spacing w:val="14"/>
        </w:rPr>
        <w:t xml:space="preserve"> </w:t>
      </w:r>
      <w:r>
        <w:rPr>
          <w:rFonts w:ascii="SimSun" w:hAnsi="SimSun" w:eastAsia="SimSun" w:cs="SimSun"/>
          <w:sz w:val="19"/>
          <w:szCs w:val="19"/>
          <w:spacing w:val="9"/>
        </w:rPr>
        <w:t>银行的中小企业贷款大多以房地产做抵押，这样就在房价与信贷之间 </w:t>
      </w:r>
      <w:r>
        <w:rPr>
          <w:rFonts w:ascii="SimSun" w:hAnsi="SimSun" w:eastAsia="SimSun" w:cs="SimSun"/>
          <w:sz w:val="19"/>
          <w:szCs w:val="19"/>
          <w:spacing w:val="9"/>
        </w:rPr>
        <w:t>形成了一个正向反馈机制，即房价越高，信贷越宽松，反过来又推动</w:t>
      </w:r>
      <w:r>
        <w:rPr>
          <w:rFonts w:ascii="SimSun" w:hAnsi="SimSun" w:eastAsia="SimSun" w:cs="SimSun"/>
          <w:sz w:val="19"/>
          <w:szCs w:val="19"/>
          <w:spacing w:val="6"/>
        </w:rPr>
        <w:t xml:space="preserve">  </w:t>
      </w:r>
      <w:r>
        <w:rPr>
          <w:rFonts w:ascii="SimSun" w:hAnsi="SimSun" w:eastAsia="SimSun" w:cs="SimSun"/>
          <w:sz w:val="19"/>
          <w:szCs w:val="19"/>
          <w:spacing w:val="9"/>
        </w:rPr>
        <w:t>房价的进一步上升。当然，房价下跌时也会形成加速器机制。但大科</w:t>
      </w:r>
      <w:r>
        <w:rPr>
          <w:rFonts w:ascii="SimSun" w:hAnsi="SimSun" w:eastAsia="SimSun" w:cs="SimSun"/>
          <w:sz w:val="19"/>
          <w:szCs w:val="19"/>
          <w:spacing w:val="2"/>
        </w:rPr>
        <w:t xml:space="preserve">  </w:t>
      </w:r>
      <w:r>
        <w:rPr>
          <w:rFonts w:ascii="SimSun" w:hAnsi="SimSun" w:eastAsia="SimSun" w:cs="SimSun"/>
          <w:sz w:val="19"/>
          <w:szCs w:val="19"/>
          <w:spacing w:val="11"/>
        </w:rPr>
        <w:t>技信贷主要依靠大数据信用风险评估模型而不是抵押品做信贷决策，</w:t>
      </w:r>
      <w:r>
        <w:rPr>
          <w:rFonts w:ascii="SimSun" w:hAnsi="SimSun" w:eastAsia="SimSun" w:cs="SimSun"/>
          <w:sz w:val="19"/>
          <w:szCs w:val="19"/>
          <w:spacing w:val="14"/>
        </w:rPr>
        <w:t xml:space="preserve"> </w:t>
      </w:r>
      <w:r>
        <w:rPr>
          <w:rFonts w:ascii="SimSun" w:hAnsi="SimSun" w:eastAsia="SimSun" w:cs="SimSun"/>
          <w:sz w:val="19"/>
          <w:szCs w:val="19"/>
          <w:spacing w:val="9"/>
        </w:rPr>
        <w:t>相当于取消了信贷与房价之间的加速器机制，这样就有可能提高金融 </w:t>
      </w:r>
      <w:r>
        <w:rPr>
          <w:rFonts w:ascii="SimSun" w:hAnsi="SimSun" w:eastAsia="SimSun" w:cs="SimSun"/>
          <w:sz w:val="19"/>
          <w:szCs w:val="19"/>
          <w:spacing w:val="9"/>
        </w:rPr>
        <w:t>体系的稳定性。这个假说得到了实证数据的支持，抵押贷款与房价之</w:t>
      </w:r>
      <w:r>
        <w:rPr>
          <w:rFonts w:ascii="SimSun" w:hAnsi="SimSun" w:eastAsia="SimSun" w:cs="SimSun"/>
          <w:sz w:val="19"/>
          <w:szCs w:val="19"/>
          <w:spacing w:val="3"/>
        </w:rPr>
        <w:t xml:space="preserve">  </w:t>
      </w:r>
      <w:r>
        <w:rPr>
          <w:rFonts w:ascii="SimSun" w:hAnsi="SimSun" w:eastAsia="SimSun" w:cs="SimSun"/>
          <w:sz w:val="19"/>
          <w:szCs w:val="19"/>
          <w:spacing w:val="18"/>
        </w:rPr>
        <w:t>间存在显著的弹性系数(0.58),而大科</w:t>
      </w:r>
      <w:r>
        <w:rPr>
          <w:rFonts w:ascii="SimSun" w:hAnsi="SimSun" w:eastAsia="SimSun" w:cs="SimSun"/>
          <w:sz w:val="19"/>
          <w:szCs w:val="19"/>
          <w:spacing w:val="17"/>
        </w:rPr>
        <w:t>技信贷与房价之间就不存在</w:t>
      </w:r>
    </w:p>
    <w:p>
      <w:pPr>
        <w:spacing w:line="217" w:lineRule="auto"/>
        <w:rPr>
          <w:rFonts w:ascii="SimSun" w:hAnsi="SimSun" w:eastAsia="SimSun" w:cs="SimSun"/>
          <w:sz w:val="19"/>
          <w:szCs w:val="19"/>
        </w:rPr>
      </w:pPr>
      <w:r>
        <w:rPr>
          <w:rFonts w:ascii="SimSun" w:hAnsi="SimSun" w:eastAsia="SimSun" w:cs="SimSun"/>
          <w:sz w:val="19"/>
          <w:szCs w:val="19"/>
          <w:spacing w:val="10"/>
        </w:rPr>
        <w:t>这样的关系(见图1-3)。①</w:t>
      </w:r>
    </w:p>
    <w:p>
      <w:pPr>
        <w:ind w:firstLine="370"/>
        <w:spacing w:before="60" w:line="2239" w:lineRule="exact"/>
        <w:rPr/>
      </w:pPr>
      <w:r>
        <w:rPr>
          <w:position w:val="-44"/>
        </w:rPr>
        <w:drawing>
          <wp:inline distT="0" distB="0" distL="0" distR="0">
            <wp:extent cx="3321020" cy="1421467"/>
            <wp:effectExtent l="0" t="0" r="0" b="0"/>
            <wp:docPr id="56" name="IM 56"/>
            <wp:cNvGraphicFramePr/>
            <a:graphic>
              <a:graphicData uri="http://schemas.openxmlformats.org/drawingml/2006/picture">
                <pic:pic>
                  <pic:nvPicPr>
                    <pic:cNvPr id="56" name="IM 56"/>
                    <pic:cNvPicPr/>
                  </pic:nvPicPr>
                  <pic:blipFill>
                    <a:blip r:embed="rId42"/>
                    <a:stretch>
                      <a:fillRect/>
                    </a:stretch>
                  </pic:blipFill>
                  <pic:spPr>
                    <a:xfrm rot="0">
                      <a:off x="0" y="0"/>
                      <a:ext cx="3321020" cy="1421467"/>
                    </a:xfrm>
                    <a:prstGeom prst="rect">
                      <a:avLst/>
                    </a:prstGeom>
                  </pic:spPr>
                </pic:pic>
              </a:graphicData>
            </a:graphic>
          </wp:inline>
        </w:drawing>
      </w:r>
    </w:p>
    <w:p>
      <w:pPr>
        <w:ind w:left="1249"/>
        <w:spacing w:line="208" w:lineRule="auto"/>
        <w:rPr>
          <w:rFonts w:ascii="SimSun" w:hAnsi="SimSun" w:eastAsia="SimSun" w:cs="SimSun"/>
          <w:sz w:val="19"/>
          <w:szCs w:val="19"/>
        </w:rPr>
      </w:pPr>
      <w:r>
        <w:rPr>
          <w:rFonts w:ascii="SimSun" w:hAnsi="SimSun" w:eastAsia="SimSun" w:cs="SimSun"/>
          <w:sz w:val="19"/>
          <w:szCs w:val="19"/>
          <w:spacing w:val="-24"/>
        </w:rPr>
        <w:t>大科技信贷</w:t>
      </w:r>
      <w:r>
        <w:rPr>
          <w:rFonts w:ascii="SimSun" w:hAnsi="SimSun" w:eastAsia="SimSun" w:cs="SimSun"/>
          <w:sz w:val="19"/>
          <w:szCs w:val="19"/>
          <w:spacing w:val="3"/>
        </w:rPr>
        <w:t xml:space="preserve">       </w:t>
      </w:r>
      <w:r>
        <w:rPr>
          <w:rFonts w:ascii="SimSun" w:hAnsi="SimSun" w:eastAsia="SimSun" w:cs="SimSun"/>
          <w:sz w:val="19"/>
          <w:szCs w:val="19"/>
          <w:spacing w:val="-24"/>
        </w:rPr>
        <w:t>银行抵押贷款       银行信用贷款</w:t>
      </w:r>
    </w:p>
    <w:p>
      <w:pPr>
        <w:ind w:left="1059"/>
        <w:spacing w:before="174" w:line="228" w:lineRule="auto"/>
        <w:rPr>
          <w:rFonts w:ascii="SimSun" w:hAnsi="SimSun" w:eastAsia="SimSun" w:cs="SimSun"/>
          <w:sz w:val="19"/>
          <w:szCs w:val="19"/>
        </w:rPr>
      </w:pPr>
      <w:r>
        <w:rPr>
          <w:rFonts w:ascii="SimSun" w:hAnsi="SimSun" w:eastAsia="SimSun" w:cs="SimSun"/>
          <w:sz w:val="19"/>
          <w:szCs w:val="19"/>
          <w:spacing w:val="-23"/>
        </w:rPr>
        <w:t>■信贷对房价的弹性系数     ■信贷对</w:t>
      </w:r>
      <w:r>
        <w:rPr>
          <w:rFonts w:ascii="Times New Roman" w:hAnsi="Times New Roman" w:eastAsia="Times New Roman" w:cs="Times New Roman"/>
          <w:sz w:val="19"/>
          <w:szCs w:val="19"/>
          <w:spacing w:val="-23"/>
        </w:rPr>
        <w:t>GDP</w:t>
      </w:r>
      <w:r>
        <w:rPr>
          <w:rFonts w:ascii="SimSun" w:hAnsi="SimSun" w:eastAsia="SimSun" w:cs="SimSun"/>
          <w:sz w:val="19"/>
          <w:szCs w:val="19"/>
          <w:spacing w:val="-23"/>
        </w:rPr>
        <w:t>的弹性系数</w:t>
      </w:r>
    </w:p>
    <w:p>
      <w:pPr>
        <w:ind w:left="1272"/>
        <w:spacing w:before="92" w:line="218" w:lineRule="auto"/>
        <w:rPr>
          <w:rFonts w:ascii="SimSun" w:hAnsi="SimSun" w:eastAsia="SimSun" w:cs="SimSun"/>
          <w:sz w:val="19"/>
          <w:szCs w:val="19"/>
        </w:rPr>
      </w:pPr>
      <w:r>
        <w:rPr>
          <w:rFonts w:ascii="SimSun" w:hAnsi="SimSun" w:eastAsia="SimSun" w:cs="SimSun"/>
          <w:sz w:val="19"/>
          <w:szCs w:val="19"/>
          <w:b/>
          <w:bCs/>
          <w:spacing w:val="-6"/>
        </w:rPr>
        <w:t>图1-3</w:t>
      </w:r>
      <w:r>
        <w:rPr>
          <w:rFonts w:ascii="SimSun" w:hAnsi="SimSun" w:eastAsia="SimSun" w:cs="SimSun"/>
          <w:sz w:val="19"/>
          <w:szCs w:val="19"/>
          <w:spacing w:val="69"/>
        </w:rPr>
        <w:t xml:space="preserve"> </w:t>
      </w:r>
      <w:r>
        <w:rPr>
          <w:rFonts w:ascii="SimSun" w:hAnsi="SimSun" w:eastAsia="SimSun" w:cs="SimSun"/>
          <w:sz w:val="19"/>
          <w:szCs w:val="19"/>
          <w:b/>
          <w:bCs/>
          <w:spacing w:val="-6"/>
        </w:rPr>
        <w:t>信贷与房价及</w:t>
      </w:r>
      <w:r>
        <w:rPr>
          <w:rFonts w:ascii="SimSun" w:hAnsi="SimSun" w:eastAsia="SimSun" w:cs="SimSun"/>
          <w:sz w:val="19"/>
          <w:szCs w:val="19"/>
          <w:spacing w:val="-50"/>
        </w:rPr>
        <w:t xml:space="preserve"> </w:t>
      </w:r>
      <w:r>
        <w:rPr>
          <w:rFonts w:ascii="SimSun" w:hAnsi="SimSun" w:eastAsia="SimSun" w:cs="SimSun"/>
          <w:sz w:val="19"/>
          <w:szCs w:val="19"/>
          <w:b/>
          <w:bCs/>
          <w:spacing w:val="-6"/>
        </w:rPr>
        <w:t>GDP</w:t>
      </w:r>
      <w:r>
        <w:rPr>
          <w:rFonts w:ascii="SimSun" w:hAnsi="SimSun" w:eastAsia="SimSun" w:cs="SimSun"/>
          <w:sz w:val="19"/>
          <w:szCs w:val="19"/>
          <w:spacing w:val="65"/>
        </w:rPr>
        <w:t xml:space="preserve"> </w:t>
      </w:r>
      <w:r>
        <w:rPr>
          <w:rFonts w:ascii="SimSun" w:hAnsi="SimSun" w:eastAsia="SimSun" w:cs="SimSun"/>
          <w:sz w:val="19"/>
          <w:szCs w:val="19"/>
          <w:b/>
          <w:bCs/>
          <w:spacing w:val="-6"/>
        </w:rPr>
        <w:t>之间的弹性系数</w:t>
      </w:r>
    </w:p>
    <w:p>
      <w:pPr>
        <w:ind w:right="51" w:firstLine="359"/>
        <w:spacing w:before="158" w:line="237" w:lineRule="auto"/>
        <w:rPr>
          <w:rFonts w:ascii="KaiTi" w:hAnsi="KaiTi" w:eastAsia="KaiTi" w:cs="KaiTi"/>
          <w:sz w:val="19"/>
          <w:szCs w:val="19"/>
        </w:rPr>
      </w:pPr>
      <w:r>
        <w:rPr>
          <w:rFonts w:ascii="KaiTi" w:hAnsi="KaiTi" w:eastAsia="KaiTi" w:cs="KaiTi"/>
          <w:sz w:val="19"/>
          <w:szCs w:val="19"/>
          <w:spacing w:val="-19"/>
          <w:w w:val="99"/>
        </w:rPr>
        <w:t>注：弹性系数表示如果房价(或</w:t>
      </w:r>
      <w:r>
        <w:rPr>
          <w:rFonts w:ascii="Times New Roman" w:hAnsi="Times New Roman" w:eastAsia="Times New Roman" w:cs="Times New Roman"/>
          <w:sz w:val="19"/>
          <w:szCs w:val="19"/>
          <w:spacing w:val="-19"/>
          <w:w w:val="99"/>
        </w:rPr>
        <w:t>GDP)</w:t>
      </w:r>
      <w:r>
        <w:rPr>
          <w:rFonts w:ascii="Times New Roman" w:hAnsi="Times New Roman" w:eastAsia="Times New Roman" w:cs="Times New Roman"/>
          <w:sz w:val="19"/>
          <w:szCs w:val="19"/>
          <w:spacing w:val="19"/>
        </w:rPr>
        <w:t xml:space="preserve"> </w:t>
      </w:r>
      <w:r>
        <w:rPr>
          <w:rFonts w:ascii="KaiTi" w:hAnsi="KaiTi" w:eastAsia="KaiTi" w:cs="KaiTi"/>
          <w:sz w:val="19"/>
          <w:szCs w:val="19"/>
          <w:spacing w:val="-19"/>
          <w:w w:val="99"/>
        </w:rPr>
        <w:t>提高1个百分点，相应的信贷增加或减少</w:t>
      </w:r>
      <w:r>
        <w:rPr>
          <w:rFonts w:ascii="KaiTi" w:hAnsi="KaiTi" w:eastAsia="KaiTi" w:cs="KaiTi"/>
          <w:sz w:val="19"/>
          <w:szCs w:val="19"/>
        </w:rPr>
        <w:t xml:space="preserve"> </w:t>
      </w:r>
      <w:r>
        <w:rPr>
          <w:rFonts w:ascii="KaiTi" w:hAnsi="KaiTi" w:eastAsia="KaiTi" w:cs="KaiTi"/>
          <w:sz w:val="19"/>
          <w:szCs w:val="19"/>
          <w:spacing w:val="-15"/>
        </w:rPr>
        <w:t>几个百分点。***和**分别表示统计分析结果在1%和5%的水平上显著。</w:t>
      </w:r>
    </w:p>
    <w:p>
      <w:pPr>
        <w:ind w:left="359"/>
        <w:spacing w:before="63" w:line="212" w:lineRule="auto"/>
        <w:rPr>
          <w:rFonts w:ascii="SimSun" w:hAnsi="SimSun" w:eastAsia="SimSun" w:cs="SimSun"/>
          <w:sz w:val="19"/>
          <w:szCs w:val="19"/>
        </w:rPr>
      </w:pPr>
      <w:r>
        <w:rPr>
          <w:rFonts w:ascii="KaiTi" w:hAnsi="KaiTi" w:eastAsia="KaiTi" w:cs="KaiTi"/>
          <w:sz w:val="19"/>
          <w:szCs w:val="19"/>
          <w:spacing w:val="-12"/>
        </w:rPr>
        <w:t>资料来源：</w:t>
      </w:r>
      <w:r>
        <w:rPr>
          <w:rFonts w:ascii="Times New Roman" w:hAnsi="Times New Roman" w:eastAsia="Times New Roman" w:cs="Times New Roman"/>
          <w:sz w:val="19"/>
          <w:szCs w:val="19"/>
          <w:spacing w:val="-12"/>
        </w:rPr>
        <w:t>Gambacorta</w:t>
      </w:r>
      <w:r>
        <w:rPr>
          <w:rFonts w:ascii="SimSun" w:hAnsi="SimSun" w:eastAsia="SimSun" w:cs="SimSun"/>
          <w:sz w:val="19"/>
          <w:szCs w:val="19"/>
          <w:spacing w:val="-12"/>
        </w:rPr>
        <w:t>等</w:t>
      </w:r>
      <w:r>
        <w:rPr>
          <w:rFonts w:ascii="Times New Roman" w:hAnsi="Times New Roman" w:eastAsia="Times New Roman" w:cs="Times New Roman"/>
          <w:sz w:val="19"/>
          <w:szCs w:val="19"/>
          <w:spacing w:val="-12"/>
        </w:rPr>
        <w:t>(2020)</w:t>
      </w:r>
      <w:r>
        <w:rPr>
          <w:rFonts w:ascii="SimSun" w:hAnsi="SimSun" w:eastAsia="SimSun" w:cs="SimSun"/>
          <w:sz w:val="19"/>
          <w:szCs w:val="19"/>
          <w:spacing w:val="-12"/>
        </w:rPr>
        <w:t>。</w:t>
      </w:r>
    </w:p>
    <w:p>
      <w:pPr>
        <w:ind w:left="300" w:right="48" w:hanging="300"/>
        <w:spacing w:before="290" w:line="250" w:lineRule="auto"/>
        <w:rPr>
          <w:rFonts w:ascii="Times New Roman" w:hAnsi="Times New Roman" w:eastAsia="Times New Roman" w:cs="Times New Roman"/>
          <w:sz w:val="19"/>
          <w:szCs w:val="19"/>
        </w:rPr>
      </w:pPr>
      <w:r>
        <w:rPr>
          <w:rFonts w:ascii="SimSun" w:hAnsi="SimSun" w:eastAsia="SimSun" w:cs="SimSun"/>
          <w:sz w:val="19"/>
          <w:szCs w:val="19"/>
          <w:spacing w:val="-8"/>
        </w:rPr>
        <w:t>①</w:t>
      </w:r>
      <w:r>
        <w:rPr>
          <w:rFonts w:ascii="SimSun" w:hAnsi="SimSun" w:eastAsia="SimSun" w:cs="SimSun"/>
          <w:sz w:val="19"/>
          <w:szCs w:val="19"/>
          <w:spacing w:val="33"/>
        </w:rPr>
        <w:t xml:space="preserve"> </w:t>
      </w:r>
      <w:r>
        <w:rPr>
          <w:rFonts w:ascii="Times New Roman" w:hAnsi="Times New Roman" w:eastAsia="Times New Roman" w:cs="Times New Roman"/>
          <w:sz w:val="19"/>
          <w:szCs w:val="19"/>
          <w:spacing w:val="-8"/>
        </w:rPr>
        <w:t>Leonardo Gambacorta,Yiping Huang,Zhenhua Li,Han Qiu and Shu</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8"/>
        </w:rPr>
        <w:t>Chen,“Data vs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0"/>
        </w:rPr>
        <w:t>Collateral",BIS Working Paper</w:t>
      </w:r>
      <w:r>
        <w:rPr>
          <w:rFonts w:ascii="Times New Roman" w:hAnsi="Times New Roman" w:eastAsia="Times New Roman" w:cs="Times New Roman"/>
          <w:sz w:val="19"/>
          <w:szCs w:val="19"/>
          <w:spacing w:val="-11"/>
        </w:rPr>
        <w:t xml:space="preserve"> #881,Bank for International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1"/>
        </w:rPr>
        <w:t>Settlements,Basel,2021.</w:t>
      </w:r>
    </w:p>
    <w:p>
      <w:pPr>
        <w:spacing w:line="250" w:lineRule="auto"/>
        <w:sectPr>
          <w:pgSz w:w="7330" w:h="12480"/>
          <w:pgMar w:top="400" w:right="744" w:bottom="400" w:left="519" w:header="0" w:footer="0" w:gutter="0"/>
        </w:sectPr>
        <w:rPr>
          <w:rFonts w:ascii="Times New Roman" w:hAnsi="Times New Roman" w:eastAsia="Times New Roman" w:cs="Times New Roman"/>
          <w:sz w:val="19"/>
          <w:szCs w:val="19"/>
        </w:rPr>
      </w:pPr>
    </w:p>
    <w:p>
      <w:pPr>
        <w:pStyle w:val="BodyText"/>
        <w:spacing w:line="316" w:lineRule="auto"/>
        <w:rPr/>
      </w:pPr>
      <w:r/>
    </w:p>
    <w:p>
      <w:pPr>
        <w:pStyle w:val="BodyText"/>
        <w:spacing w:line="316" w:lineRule="auto"/>
        <w:rPr/>
      </w:pPr>
      <w:r/>
    </w:p>
    <w:p>
      <w:pPr>
        <w:pStyle w:val="BodyText"/>
        <w:spacing w:line="316" w:lineRule="auto"/>
        <w:rPr/>
      </w:pPr>
      <w:r/>
    </w:p>
    <w:p>
      <w:pPr>
        <w:ind w:left="1774"/>
        <w:spacing w:before="107" w:line="219" w:lineRule="auto"/>
        <w:rPr>
          <w:rFonts w:ascii="SimSun" w:hAnsi="SimSun" w:eastAsia="SimSun" w:cs="SimSun"/>
          <w:sz w:val="33"/>
          <w:szCs w:val="33"/>
        </w:rPr>
      </w:pPr>
      <w:r>
        <w:rPr>
          <w:rFonts w:ascii="SimSun" w:hAnsi="SimSun" w:eastAsia="SimSun" w:cs="SimSun"/>
          <w:sz w:val="33"/>
          <w:szCs w:val="33"/>
          <w:b/>
          <w:bCs/>
          <w:spacing w:val="-15"/>
        </w:rPr>
        <w:t>数字平台的新挑战</w:t>
      </w:r>
    </w:p>
    <w:p>
      <w:pPr>
        <w:pStyle w:val="BodyText"/>
        <w:spacing w:line="266" w:lineRule="auto"/>
        <w:rPr/>
      </w:pPr>
      <w:r/>
    </w:p>
    <w:p>
      <w:pPr>
        <w:ind w:right="73" w:firstLine="419"/>
        <w:spacing w:before="68" w:line="293" w:lineRule="auto"/>
        <w:jc w:val="both"/>
        <w:rPr>
          <w:rFonts w:ascii="SimSun" w:hAnsi="SimSun" w:eastAsia="SimSun" w:cs="SimSun"/>
          <w:sz w:val="21"/>
          <w:szCs w:val="21"/>
        </w:rPr>
      </w:pPr>
      <w:r>
        <w:rPr>
          <w:rFonts w:ascii="SimSun" w:hAnsi="SimSun" w:eastAsia="SimSun" w:cs="SimSun"/>
          <w:sz w:val="21"/>
          <w:szCs w:val="21"/>
          <w:spacing w:val="-11"/>
        </w:rPr>
        <w:t>平台经济的效应也有两面性，它既可能提高效率、改善服务，也</w:t>
      </w:r>
      <w:r>
        <w:rPr>
          <w:rFonts w:ascii="SimSun" w:hAnsi="SimSun" w:eastAsia="SimSun" w:cs="SimSun"/>
          <w:sz w:val="21"/>
          <w:szCs w:val="21"/>
          <w:spacing w:val="8"/>
        </w:rPr>
        <w:t xml:space="preserve"> </w:t>
      </w:r>
      <w:r>
        <w:rPr>
          <w:rFonts w:ascii="SimSun" w:hAnsi="SimSun" w:eastAsia="SimSun" w:cs="SimSun"/>
          <w:sz w:val="21"/>
          <w:szCs w:val="21"/>
          <w:spacing w:val="-3"/>
        </w:rPr>
        <w:t>可能遏制竞争、降低福利。近年来，公众对平台企业的抱怨</w:t>
      </w:r>
      <w:r>
        <w:rPr>
          <w:rFonts w:ascii="SimSun" w:hAnsi="SimSun" w:eastAsia="SimSun" w:cs="SimSun"/>
          <w:sz w:val="21"/>
          <w:szCs w:val="21"/>
          <w:spacing w:val="-4"/>
        </w:rPr>
        <w:t>确实不</w:t>
      </w:r>
      <w:r>
        <w:rPr>
          <w:rFonts w:ascii="SimSun" w:hAnsi="SimSun" w:eastAsia="SimSun" w:cs="SimSun"/>
          <w:sz w:val="21"/>
          <w:szCs w:val="21"/>
        </w:rPr>
        <w:t xml:space="preserve"> </w:t>
      </w:r>
      <w:r>
        <w:rPr>
          <w:rFonts w:ascii="SimSun" w:hAnsi="SimSun" w:eastAsia="SimSun" w:cs="SimSun"/>
          <w:sz w:val="21"/>
          <w:szCs w:val="21"/>
          <w:spacing w:val="-10"/>
        </w:rPr>
        <w:t>少，诸如反竞争行为、大数据滥用、歧视性定价等已经成为</w:t>
      </w:r>
      <w:r>
        <w:rPr>
          <w:rFonts w:ascii="SimSun" w:hAnsi="SimSun" w:eastAsia="SimSun" w:cs="SimSun"/>
          <w:sz w:val="21"/>
          <w:szCs w:val="21"/>
          <w:spacing w:val="-11"/>
        </w:rPr>
        <w:t>非常普遍</w:t>
      </w:r>
      <w:r>
        <w:rPr>
          <w:rFonts w:ascii="SimSun" w:hAnsi="SimSun" w:eastAsia="SimSun" w:cs="SimSun"/>
          <w:sz w:val="21"/>
          <w:szCs w:val="21"/>
        </w:rPr>
        <w:t xml:space="preserve"> </w:t>
      </w:r>
      <w:r>
        <w:rPr>
          <w:rFonts w:ascii="SimSun" w:hAnsi="SimSun" w:eastAsia="SimSun" w:cs="SimSun"/>
          <w:sz w:val="21"/>
          <w:szCs w:val="21"/>
          <w:spacing w:val="-10"/>
        </w:rPr>
        <w:t>的现象。如何扬长避短，更好地发挥平台经济在促进经济增长、改善</w:t>
      </w:r>
      <w:r>
        <w:rPr>
          <w:rFonts w:ascii="SimSun" w:hAnsi="SimSun" w:eastAsia="SimSun" w:cs="SimSun"/>
          <w:sz w:val="21"/>
          <w:szCs w:val="21"/>
        </w:rPr>
        <w:t xml:space="preserve"> </w:t>
      </w:r>
      <w:r>
        <w:rPr>
          <w:rFonts w:ascii="SimSun" w:hAnsi="SimSun" w:eastAsia="SimSun" w:cs="SimSun"/>
          <w:sz w:val="21"/>
          <w:szCs w:val="21"/>
          <w:spacing w:val="-11"/>
        </w:rPr>
        <w:t>人民生活方面的积极作用，对政府、对平台来说都是一个值得深入研</w:t>
      </w:r>
      <w:r>
        <w:rPr>
          <w:rFonts w:ascii="SimSun" w:hAnsi="SimSun" w:eastAsia="SimSun" w:cs="SimSun"/>
          <w:sz w:val="21"/>
          <w:szCs w:val="21"/>
          <w:spacing w:val="7"/>
        </w:rPr>
        <w:t xml:space="preserve"> </w:t>
      </w:r>
      <w:r>
        <w:rPr>
          <w:rFonts w:ascii="SimSun" w:hAnsi="SimSun" w:eastAsia="SimSun" w:cs="SimSun"/>
          <w:sz w:val="21"/>
          <w:szCs w:val="21"/>
          <w:spacing w:val="-8"/>
        </w:rPr>
        <w:t>究的课题。</w:t>
      </w:r>
    </w:p>
    <w:p>
      <w:pPr>
        <w:pStyle w:val="BodyText"/>
        <w:spacing w:line="424"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9"/>
        </w:rPr>
        <w:t>治理功能</w:t>
      </w:r>
    </w:p>
    <w:p>
      <w:pPr>
        <w:pStyle w:val="BodyText"/>
        <w:spacing w:line="346" w:lineRule="auto"/>
        <w:rPr/>
      </w:pPr>
      <w:r/>
    </w:p>
    <w:p>
      <w:pPr>
        <w:ind w:right="66" w:firstLine="419"/>
        <w:spacing w:before="68" w:line="308" w:lineRule="auto"/>
        <w:jc w:val="both"/>
        <w:rPr>
          <w:rFonts w:ascii="SimSun" w:hAnsi="SimSun" w:eastAsia="SimSun" w:cs="SimSun"/>
          <w:sz w:val="21"/>
          <w:szCs w:val="21"/>
        </w:rPr>
      </w:pPr>
      <w:r>
        <w:rPr>
          <w:rFonts w:ascii="SimSun" w:hAnsi="SimSun" w:eastAsia="SimSun" w:cs="SimSun"/>
          <w:sz w:val="21"/>
          <w:szCs w:val="21"/>
          <w:spacing w:val="-3"/>
        </w:rPr>
        <w:t>在一个传统经济中，企业、市场与政府分别发挥经营</w:t>
      </w:r>
      <w:r>
        <w:rPr>
          <w:rFonts w:ascii="SimSun" w:hAnsi="SimSun" w:eastAsia="SimSun" w:cs="SimSun"/>
          <w:sz w:val="21"/>
          <w:szCs w:val="21"/>
          <w:spacing w:val="-4"/>
        </w:rPr>
        <w:t>、交易与</w:t>
      </w:r>
      <w:r>
        <w:rPr>
          <w:rFonts w:ascii="SimSun" w:hAnsi="SimSun" w:eastAsia="SimSun" w:cs="SimSun"/>
          <w:sz w:val="21"/>
          <w:szCs w:val="21"/>
        </w:rPr>
        <w:t xml:space="preserve"> </w:t>
      </w:r>
      <w:r>
        <w:rPr>
          <w:rFonts w:ascii="SimSun" w:hAnsi="SimSun" w:eastAsia="SimSun" w:cs="SimSun"/>
          <w:sz w:val="21"/>
          <w:szCs w:val="21"/>
          <w:spacing w:val="-10"/>
        </w:rPr>
        <w:t>调控的功能。但平台企业打破了上述三者之间的分工边界，它</w:t>
      </w:r>
      <w:r>
        <w:rPr>
          <w:rFonts w:ascii="SimSun" w:hAnsi="SimSun" w:eastAsia="SimSun" w:cs="SimSun"/>
          <w:sz w:val="21"/>
          <w:szCs w:val="21"/>
          <w:spacing w:val="-11"/>
        </w:rPr>
        <w:t>既是经</w:t>
      </w:r>
      <w:r>
        <w:rPr>
          <w:rFonts w:ascii="SimSun" w:hAnsi="SimSun" w:eastAsia="SimSun" w:cs="SimSun"/>
          <w:sz w:val="21"/>
          <w:szCs w:val="21"/>
        </w:rPr>
        <w:t xml:space="preserve"> </w:t>
      </w:r>
      <w:r>
        <w:rPr>
          <w:rFonts w:ascii="SimSun" w:hAnsi="SimSun" w:eastAsia="SimSun" w:cs="SimSun"/>
          <w:sz w:val="21"/>
          <w:szCs w:val="21"/>
          <w:spacing w:val="-3"/>
        </w:rPr>
        <w:t>营主体，又是交易场所，同时还发挥一定的调控作用</w:t>
      </w:r>
      <w:r>
        <w:rPr>
          <w:rFonts w:ascii="SimSun" w:hAnsi="SimSun" w:eastAsia="SimSun" w:cs="SimSun"/>
          <w:sz w:val="21"/>
          <w:szCs w:val="21"/>
          <w:spacing w:val="-4"/>
        </w:rPr>
        <w:t>。平台兼具经</w:t>
      </w:r>
      <w:r>
        <w:rPr>
          <w:rFonts w:ascii="SimSun" w:hAnsi="SimSun" w:eastAsia="SimSun" w:cs="SimSun"/>
          <w:sz w:val="21"/>
          <w:szCs w:val="21"/>
        </w:rPr>
        <w:t xml:space="preserve"> </w:t>
      </w:r>
      <w:r>
        <w:rPr>
          <w:rFonts w:ascii="SimSun" w:hAnsi="SimSun" w:eastAsia="SimSun" w:cs="SimSun"/>
          <w:sz w:val="21"/>
          <w:szCs w:val="21"/>
          <w:spacing w:val="-10"/>
        </w:rPr>
        <w:t>营、交易和调控功能可能导致的一个问题是平台既做裁判员</w:t>
      </w:r>
      <w:r>
        <w:rPr>
          <w:rFonts w:ascii="SimSun" w:hAnsi="SimSun" w:eastAsia="SimSun" w:cs="SimSun"/>
          <w:sz w:val="21"/>
          <w:szCs w:val="21"/>
          <w:spacing w:val="-11"/>
        </w:rPr>
        <w:t>，又当运</w:t>
      </w:r>
      <w:r>
        <w:rPr>
          <w:rFonts w:ascii="SimSun" w:hAnsi="SimSun" w:eastAsia="SimSun" w:cs="SimSun"/>
          <w:sz w:val="21"/>
          <w:szCs w:val="21"/>
        </w:rPr>
        <w:t xml:space="preserve"> </w:t>
      </w:r>
      <w:r>
        <w:rPr>
          <w:rFonts w:ascii="SimSun" w:hAnsi="SimSun" w:eastAsia="SimSun" w:cs="SimSun"/>
          <w:sz w:val="21"/>
          <w:szCs w:val="21"/>
          <w:spacing w:val="-10"/>
        </w:rPr>
        <w:t>动员，实行“自我优待”的做法，包括以平台利润为目标做</w:t>
      </w:r>
      <w:r>
        <w:rPr>
          <w:rFonts w:ascii="SimSun" w:hAnsi="SimSun" w:eastAsia="SimSun" w:cs="SimSun"/>
          <w:sz w:val="21"/>
          <w:szCs w:val="21"/>
          <w:spacing w:val="-11"/>
        </w:rPr>
        <w:t>导流、搜</w:t>
      </w:r>
      <w:r>
        <w:rPr>
          <w:rFonts w:ascii="SimSun" w:hAnsi="SimSun" w:eastAsia="SimSun" w:cs="SimSun"/>
          <w:sz w:val="21"/>
          <w:szCs w:val="21"/>
        </w:rPr>
        <w:t xml:space="preserve"> </w:t>
      </w:r>
      <w:r>
        <w:rPr>
          <w:rFonts w:ascii="SimSun" w:hAnsi="SimSun" w:eastAsia="SimSun" w:cs="SimSun"/>
          <w:sz w:val="21"/>
          <w:szCs w:val="21"/>
          <w:spacing w:val="-10"/>
        </w:rPr>
        <w:t>索，这样就会破坏市场秩序，造成不公平竞争，损害消费者利益。当</w:t>
      </w:r>
      <w:r>
        <w:rPr>
          <w:rFonts w:ascii="SimSun" w:hAnsi="SimSun" w:eastAsia="SimSun" w:cs="SimSun"/>
          <w:sz w:val="21"/>
          <w:szCs w:val="21"/>
          <w:spacing w:val="7"/>
        </w:rPr>
        <w:t xml:space="preserve"> </w:t>
      </w:r>
      <w:r>
        <w:rPr>
          <w:rFonts w:ascii="SimSun" w:hAnsi="SimSun" w:eastAsia="SimSun" w:cs="SimSun"/>
          <w:sz w:val="21"/>
          <w:szCs w:val="21"/>
          <w:spacing w:val="-10"/>
        </w:rPr>
        <w:t>然，这种突破边界的现象并不是第一次出现，传统经济中百货公司和</w:t>
      </w:r>
      <w:r>
        <w:rPr>
          <w:rFonts w:ascii="SimSun" w:hAnsi="SimSun" w:eastAsia="SimSun" w:cs="SimSun"/>
          <w:sz w:val="21"/>
          <w:szCs w:val="21"/>
          <w:spacing w:val="5"/>
        </w:rPr>
        <w:t xml:space="preserve"> </w:t>
      </w:r>
      <w:r>
        <w:rPr>
          <w:rFonts w:ascii="SimSun" w:hAnsi="SimSun" w:eastAsia="SimSun" w:cs="SimSun"/>
          <w:sz w:val="21"/>
          <w:szCs w:val="21"/>
          <w:spacing w:val="-3"/>
        </w:rPr>
        <w:t>农贸市场的经营主体也有类似的功能，只是因为它们</w:t>
      </w:r>
      <w:r>
        <w:rPr>
          <w:rFonts w:ascii="SimSun" w:hAnsi="SimSun" w:eastAsia="SimSun" w:cs="SimSun"/>
          <w:sz w:val="21"/>
          <w:szCs w:val="21"/>
          <w:spacing w:val="-4"/>
        </w:rPr>
        <w:t>都是在线下经</w:t>
      </w:r>
      <w:r>
        <w:rPr>
          <w:rFonts w:ascii="SimSun" w:hAnsi="SimSun" w:eastAsia="SimSun" w:cs="SimSun"/>
          <w:sz w:val="21"/>
          <w:szCs w:val="21"/>
        </w:rPr>
        <w:t xml:space="preserve"> </w:t>
      </w:r>
      <w:r>
        <w:rPr>
          <w:rFonts w:ascii="SimSun" w:hAnsi="SimSun" w:eastAsia="SimSun" w:cs="SimSun"/>
          <w:sz w:val="21"/>
          <w:szCs w:val="21"/>
          <w:spacing w:val="-3"/>
        </w:rPr>
        <w:t>营，规模相对有限。而平台企业动辄涉及数百万家企</w:t>
      </w:r>
      <w:r>
        <w:rPr>
          <w:rFonts w:ascii="SimSun" w:hAnsi="SimSun" w:eastAsia="SimSun" w:cs="SimSun"/>
          <w:sz w:val="21"/>
          <w:szCs w:val="21"/>
          <w:spacing w:val="-4"/>
        </w:rPr>
        <w:t>业、十几亿个</w:t>
      </w:r>
      <w:r>
        <w:rPr>
          <w:rFonts w:ascii="SimSun" w:hAnsi="SimSun" w:eastAsia="SimSun" w:cs="SimSun"/>
          <w:sz w:val="21"/>
          <w:szCs w:val="21"/>
        </w:rPr>
        <w:t xml:space="preserve"> </w:t>
      </w:r>
      <w:r>
        <w:rPr>
          <w:rFonts w:ascii="SimSun" w:hAnsi="SimSun" w:eastAsia="SimSun" w:cs="SimSun"/>
          <w:sz w:val="21"/>
          <w:szCs w:val="21"/>
          <w:spacing w:val="-4"/>
        </w:rPr>
        <w:t>人用户，再加上大数据分析的应用，很容易放大平台上的一些潜在</w:t>
      </w:r>
      <w:r>
        <w:rPr>
          <w:rFonts w:ascii="SimSun" w:hAnsi="SimSun" w:eastAsia="SimSun" w:cs="SimSun"/>
          <w:sz w:val="21"/>
          <w:szCs w:val="21"/>
          <w:spacing w:val="6"/>
        </w:rPr>
        <w:t xml:space="preserve"> </w:t>
      </w:r>
      <w:r>
        <w:rPr>
          <w:rFonts w:ascii="SimSun" w:hAnsi="SimSun" w:eastAsia="SimSun" w:cs="SimSun"/>
          <w:sz w:val="21"/>
          <w:szCs w:val="21"/>
          <w:spacing w:val="-9"/>
        </w:rPr>
        <w:t>矛盾。</w:t>
      </w:r>
    </w:p>
    <w:p>
      <w:pPr>
        <w:ind w:firstLine="419"/>
        <w:spacing w:before="100" w:line="284" w:lineRule="auto"/>
        <w:jc w:val="both"/>
        <w:rPr>
          <w:rFonts w:ascii="SimSun" w:hAnsi="SimSun" w:eastAsia="SimSun" w:cs="SimSun"/>
          <w:sz w:val="21"/>
          <w:szCs w:val="21"/>
        </w:rPr>
      </w:pPr>
      <w:r>
        <w:rPr>
          <w:rFonts w:ascii="SimSun" w:hAnsi="SimSun" w:eastAsia="SimSun" w:cs="SimSun"/>
          <w:sz w:val="21"/>
          <w:szCs w:val="21"/>
          <w:spacing w:val="-14"/>
        </w:rPr>
        <w:t>这里讨论的平台经济治理包含两个层面的内容：</w:t>
      </w:r>
      <w:r>
        <w:rPr>
          <w:rFonts w:ascii="SimSun" w:hAnsi="SimSun" w:eastAsia="SimSun" w:cs="SimSun"/>
          <w:sz w:val="21"/>
          <w:szCs w:val="21"/>
          <w:spacing w:val="61"/>
        </w:rPr>
        <w:t xml:space="preserve"> </w:t>
      </w:r>
      <w:r>
        <w:rPr>
          <w:rFonts w:ascii="SimSun" w:hAnsi="SimSun" w:eastAsia="SimSun" w:cs="SimSun"/>
          <w:sz w:val="21"/>
          <w:szCs w:val="21"/>
          <w:spacing w:val="-14"/>
        </w:rPr>
        <w:t>一是平台治理；</w:t>
      </w:r>
      <w:r>
        <w:rPr>
          <w:rFonts w:ascii="SimSun" w:hAnsi="SimSun" w:eastAsia="SimSun" w:cs="SimSun"/>
          <w:sz w:val="21"/>
          <w:szCs w:val="21"/>
        </w:rPr>
        <w:t xml:space="preserve"> </w:t>
      </w:r>
      <w:r>
        <w:rPr>
          <w:rFonts w:ascii="SimSun" w:hAnsi="SimSun" w:eastAsia="SimSun" w:cs="SimSun"/>
          <w:sz w:val="21"/>
          <w:szCs w:val="21"/>
          <w:spacing w:val="-11"/>
        </w:rPr>
        <w:t>二是公共治理，包括政府治理。前者关注平台如何处理平台与用户以</w:t>
      </w:r>
      <w:r>
        <w:rPr>
          <w:rFonts w:ascii="SimSun" w:hAnsi="SimSun" w:eastAsia="SimSun" w:cs="SimSun"/>
          <w:sz w:val="21"/>
          <w:szCs w:val="21"/>
          <w:spacing w:val="8"/>
        </w:rPr>
        <w:t xml:space="preserve">  </w:t>
      </w:r>
      <w:r>
        <w:rPr>
          <w:rFonts w:ascii="SimSun" w:hAnsi="SimSun" w:eastAsia="SimSun" w:cs="SimSun"/>
          <w:sz w:val="21"/>
          <w:szCs w:val="21"/>
          <w:spacing w:val="-10"/>
        </w:rPr>
        <w:t>及用户之间的关系，而后者则涉及平台在社会治</w:t>
      </w:r>
      <w:r>
        <w:rPr>
          <w:rFonts w:ascii="SimSun" w:hAnsi="SimSun" w:eastAsia="SimSun" w:cs="SimSun"/>
          <w:sz w:val="21"/>
          <w:szCs w:val="21"/>
          <w:spacing w:val="-11"/>
        </w:rPr>
        <w:t>理中的作用。</w:t>
      </w:r>
    </w:p>
    <w:p>
      <w:pPr>
        <w:ind w:right="68" w:firstLine="419"/>
        <w:spacing w:before="111" w:line="268" w:lineRule="auto"/>
        <w:jc w:val="both"/>
        <w:rPr>
          <w:rFonts w:ascii="SimSun" w:hAnsi="SimSun" w:eastAsia="SimSun" w:cs="SimSun"/>
          <w:sz w:val="21"/>
          <w:szCs w:val="21"/>
        </w:rPr>
      </w:pPr>
      <w:r>
        <w:rPr>
          <w:rFonts w:ascii="SimSun" w:hAnsi="SimSun" w:eastAsia="SimSun" w:cs="SimSun"/>
          <w:sz w:val="21"/>
          <w:szCs w:val="21"/>
          <w:spacing w:val="-4"/>
        </w:rPr>
        <w:t>平台作为企业要接受政府的调控，但平台也要发挥一定的调控</w:t>
      </w:r>
      <w:r>
        <w:rPr>
          <w:rFonts w:ascii="SimSun" w:hAnsi="SimSun" w:eastAsia="SimSun" w:cs="SimSun"/>
          <w:sz w:val="21"/>
          <w:szCs w:val="21"/>
          <w:spacing w:val="15"/>
        </w:rPr>
        <w:t xml:space="preserve"> </w:t>
      </w:r>
      <w:r>
        <w:rPr>
          <w:rFonts w:ascii="SimSun" w:hAnsi="SimSun" w:eastAsia="SimSun" w:cs="SimSun"/>
          <w:sz w:val="21"/>
          <w:szCs w:val="21"/>
          <w:spacing w:val="-6"/>
        </w:rPr>
        <w:t>功能。 一方面，平台可以发挥辅助政府治理</w:t>
      </w:r>
      <w:r>
        <w:rPr>
          <w:rFonts w:ascii="SimSun" w:hAnsi="SimSun" w:eastAsia="SimSun" w:cs="SimSun"/>
          <w:sz w:val="21"/>
          <w:szCs w:val="21"/>
          <w:spacing w:val="-7"/>
        </w:rPr>
        <w:t>的积极作用，包括参与</w:t>
      </w:r>
    </w:p>
    <w:p>
      <w:pPr>
        <w:spacing w:line="268" w:lineRule="auto"/>
        <w:sectPr>
          <w:headerReference w:type="default" r:id="rId43"/>
          <w:pgSz w:w="7330" w:h="12480"/>
          <w:pgMar w:top="467" w:right="584" w:bottom="400" w:left="670" w:header="305"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left="104"/>
        <w:spacing w:before="68" w:line="307" w:lineRule="auto"/>
        <w:jc w:val="both"/>
        <w:rPr>
          <w:rFonts w:ascii="SimSun" w:hAnsi="SimSun" w:eastAsia="SimSun" w:cs="SimSun"/>
          <w:sz w:val="21"/>
          <w:szCs w:val="21"/>
        </w:rPr>
      </w:pPr>
      <w:r>
        <w:rPr>
          <w:rFonts w:ascii="SimSun" w:hAnsi="SimSun" w:eastAsia="SimSun" w:cs="SimSun"/>
          <w:sz w:val="21"/>
          <w:szCs w:val="21"/>
          <w:spacing w:val="-4"/>
        </w:rPr>
        <w:t>电子政务、数字政府、城市大脑、金融信息等公共服务平台的建设</w:t>
      </w:r>
      <w:r>
        <w:rPr>
          <w:rFonts w:ascii="SimSun" w:hAnsi="SimSun" w:eastAsia="SimSun" w:cs="SimSun"/>
          <w:sz w:val="21"/>
          <w:szCs w:val="21"/>
          <w:spacing w:val="14"/>
        </w:rPr>
        <w:t xml:space="preserve"> </w:t>
      </w:r>
      <w:r>
        <w:rPr>
          <w:rFonts w:ascii="SimSun" w:hAnsi="SimSun" w:eastAsia="SimSun" w:cs="SimSun"/>
          <w:sz w:val="21"/>
          <w:szCs w:val="21"/>
          <w:spacing w:val="-9"/>
        </w:rPr>
        <w:t>(详见第五章)。比如在新冠疫情期间，电信部门提供数据验证“健康</w:t>
      </w:r>
      <w:r>
        <w:rPr>
          <w:rFonts w:ascii="SimSun" w:hAnsi="SimSun" w:eastAsia="SimSun" w:cs="SimSun"/>
          <w:sz w:val="21"/>
          <w:szCs w:val="21"/>
          <w:spacing w:val="7"/>
        </w:rPr>
        <w:t xml:space="preserve"> </w:t>
      </w:r>
      <w:r>
        <w:rPr>
          <w:rFonts w:ascii="SimSun" w:hAnsi="SimSun" w:eastAsia="SimSun" w:cs="SimSun"/>
          <w:sz w:val="21"/>
          <w:szCs w:val="21"/>
          <w:spacing w:val="-14"/>
        </w:rPr>
        <w:t>码”“行程码”,为控制病毒传播和重启经济活动做出了重要贡献。移</w:t>
      </w:r>
      <w:r>
        <w:rPr>
          <w:rFonts w:ascii="SimSun" w:hAnsi="SimSun" w:eastAsia="SimSun" w:cs="SimSun"/>
          <w:sz w:val="21"/>
          <w:szCs w:val="21"/>
          <w:spacing w:val="18"/>
        </w:rPr>
        <w:t xml:space="preserve"> </w:t>
      </w:r>
      <w:r>
        <w:rPr>
          <w:rFonts w:ascii="SimSun" w:hAnsi="SimSun" w:eastAsia="SimSun" w:cs="SimSun"/>
          <w:sz w:val="21"/>
          <w:szCs w:val="21"/>
          <w:spacing w:val="-10"/>
        </w:rPr>
        <w:t>动支付工具支持一些地方政府发放消费券，起到了</w:t>
      </w:r>
      <w:r>
        <w:rPr>
          <w:rFonts w:ascii="SimSun" w:hAnsi="SimSun" w:eastAsia="SimSun" w:cs="SimSun"/>
          <w:sz w:val="21"/>
          <w:szCs w:val="21"/>
          <w:spacing w:val="-11"/>
        </w:rPr>
        <w:t>直达消费者、稳定</w:t>
      </w:r>
      <w:r>
        <w:rPr>
          <w:rFonts w:ascii="SimSun" w:hAnsi="SimSun" w:eastAsia="SimSun" w:cs="SimSun"/>
          <w:sz w:val="21"/>
          <w:szCs w:val="21"/>
        </w:rPr>
        <w:t xml:space="preserve"> </w:t>
      </w:r>
      <w:r>
        <w:rPr>
          <w:rFonts w:ascii="SimSun" w:hAnsi="SimSun" w:eastAsia="SimSun" w:cs="SimSun"/>
          <w:sz w:val="21"/>
          <w:szCs w:val="21"/>
          <w:spacing w:val="-11"/>
        </w:rPr>
        <w:t>老百姓生活的作用。这些都是平台支持社会治理的成功案例。另一方</w:t>
      </w:r>
      <w:r>
        <w:rPr>
          <w:rFonts w:ascii="SimSun" w:hAnsi="SimSun" w:eastAsia="SimSun" w:cs="SimSun"/>
          <w:sz w:val="21"/>
          <w:szCs w:val="21"/>
          <w:spacing w:val="16"/>
        </w:rPr>
        <w:t xml:space="preserve"> </w:t>
      </w:r>
      <w:r>
        <w:rPr>
          <w:rFonts w:ascii="SimSun" w:hAnsi="SimSun" w:eastAsia="SimSun" w:cs="SimSun"/>
          <w:sz w:val="21"/>
          <w:szCs w:val="21"/>
          <w:spacing w:val="-11"/>
        </w:rPr>
        <w:t>面，平台和政府在发挥调控功能方面如何分工、配合，确实是一个比</w:t>
      </w:r>
      <w:r>
        <w:rPr>
          <w:rFonts w:ascii="SimSun" w:hAnsi="SimSun" w:eastAsia="SimSun" w:cs="SimSun"/>
          <w:sz w:val="21"/>
          <w:szCs w:val="21"/>
          <w:spacing w:val="1"/>
        </w:rPr>
        <w:t xml:space="preserve"> </w:t>
      </w:r>
      <w:r>
        <w:rPr>
          <w:rFonts w:ascii="SimSun" w:hAnsi="SimSun" w:eastAsia="SimSun" w:cs="SimSun"/>
          <w:sz w:val="21"/>
          <w:szCs w:val="21"/>
          <w:spacing w:val="-11"/>
        </w:rPr>
        <w:t>较敏感的问题。比如，假如电商出售假冒伪劣产品，这个问题的治理</w:t>
      </w:r>
      <w:r>
        <w:rPr>
          <w:rFonts w:ascii="SimSun" w:hAnsi="SimSun" w:eastAsia="SimSun" w:cs="SimSun"/>
          <w:sz w:val="21"/>
          <w:szCs w:val="21"/>
          <w:spacing w:val="15"/>
        </w:rPr>
        <w:t xml:space="preserve"> </w:t>
      </w:r>
      <w:r>
        <w:rPr>
          <w:rFonts w:ascii="SimSun" w:hAnsi="SimSun" w:eastAsia="SimSun" w:cs="SimSun"/>
          <w:sz w:val="21"/>
          <w:szCs w:val="21"/>
          <w:spacing w:val="-7"/>
        </w:rPr>
        <w:t>责任主要在平台还是在政府?再比如，假如约车平台上出租车司机与</w:t>
      </w:r>
      <w:r>
        <w:rPr>
          <w:rFonts w:ascii="SimSun" w:hAnsi="SimSun" w:eastAsia="SimSun" w:cs="SimSun"/>
          <w:sz w:val="21"/>
          <w:szCs w:val="21"/>
          <w:spacing w:val="10"/>
        </w:rPr>
        <w:t xml:space="preserve"> </w:t>
      </w:r>
      <w:r>
        <w:rPr>
          <w:rFonts w:ascii="SimSun" w:hAnsi="SimSun" w:eastAsia="SimSun" w:cs="SimSun"/>
          <w:sz w:val="21"/>
          <w:szCs w:val="21"/>
          <w:spacing w:val="-15"/>
        </w:rPr>
        <w:t>乘客发生纠纷，</w:t>
      </w:r>
      <w:r>
        <w:rPr>
          <w:rFonts w:ascii="SimSun" w:hAnsi="SimSun" w:eastAsia="SimSun" w:cs="SimSun"/>
          <w:sz w:val="21"/>
          <w:szCs w:val="21"/>
          <w:spacing w:val="34"/>
        </w:rPr>
        <w:t xml:space="preserve"> </w:t>
      </w:r>
      <w:r>
        <w:rPr>
          <w:rFonts w:ascii="SimSun" w:hAnsi="SimSun" w:eastAsia="SimSun" w:cs="SimSun"/>
          <w:sz w:val="21"/>
          <w:szCs w:val="21"/>
          <w:spacing w:val="-15"/>
        </w:rPr>
        <w:t>一般的理解是应该由平台设法解决，但如果纠纷的一</w:t>
      </w:r>
      <w:r>
        <w:rPr>
          <w:rFonts w:ascii="SimSun" w:hAnsi="SimSun" w:eastAsia="SimSun" w:cs="SimSun"/>
          <w:sz w:val="21"/>
          <w:szCs w:val="21"/>
        </w:rPr>
        <w:t xml:space="preserve"> </w:t>
      </w:r>
      <w:r>
        <w:rPr>
          <w:rFonts w:ascii="SimSun" w:hAnsi="SimSun" w:eastAsia="SimSun" w:cs="SimSun"/>
          <w:sz w:val="21"/>
          <w:szCs w:val="21"/>
          <w:spacing w:val="-10"/>
        </w:rPr>
        <w:t>方对平台的处理方案有异议，能否以既定的程序要求政府部门介入?</w:t>
      </w:r>
    </w:p>
    <w:p>
      <w:pPr>
        <w:ind w:right="38" w:firstLine="514"/>
        <w:spacing w:before="121" w:line="296" w:lineRule="auto"/>
        <w:jc w:val="both"/>
        <w:rPr>
          <w:rFonts w:ascii="SimSun" w:hAnsi="SimSun" w:eastAsia="SimSun" w:cs="SimSun"/>
          <w:sz w:val="21"/>
          <w:szCs w:val="21"/>
        </w:rPr>
      </w:pPr>
      <w:r>
        <w:rPr>
          <w:rFonts w:ascii="SimSun" w:hAnsi="SimSun" w:eastAsia="SimSun" w:cs="SimSun"/>
          <w:sz w:val="21"/>
          <w:szCs w:val="21"/>
          <w:spacing w:val="-11"/>
        </w:rPr>
        <w:t>但其实最为敏感的还是平台企业在社会治理中扮演的角色，尤其</w:t>
      </w:r>
      <w:r>
        <w:rPr>
          <w:rFonts w:ascii="SimSun" w:hAnsi="SimSun" w:eastAsia="SimSun" w:cs="SimSun"/>
          <w:sz w:val="21"/>
          <w:szCs w:val="21"/>
          <w:spacing w:val="5"/>
        </w:rPr>
        <w:t xml:space="preserve"> </w:t>
      </w:r>
      <w:r>
        <w:rPr>
          <w:rFonts w:ascii="SimSun" w:hAnsi="SimSun" w:eastAsia="SimSun" w:cs="SimSun"/>
          <w:sz w:val="21"/>
          <w:szCs w:val="21"/>
          <w:spacing w:val="-7"/>
        </w:rPr>
        <w:t>是涉及政治与意识形态话题时，相信这也是监管部门关注“资本无序</w:t>
      </w:r>
      <w:r>
        <w:rPr>
          <w:rFonts w:ascii="SimSun" w:hAnsi="SimSun" w:eastAsia="SimSun" w:cs="SimSun"/>
          <w:sz w:val="21"/>
          <w:szCs w:val="21"/>
          <w:spacing w:val="5"/>
        </w:rPr>
        <w:t xml:space="preserve"> </w:t>
      </w:r>
      <w:r>
        <w:rPr>
          <w:rFonts w:ascii="SimSun" w:hAnsi="SimSun" w:eastAsia="SimSun" w:cs="SimSun"/>
          <w:sz w:val="21"/>
          <w:szCs w:val="21"/>
          <w:spacing w:val="-7"/>
        </w:rPr>
        <w:t>扩张”的主要指向。在国外已经有平台干政的先例，比如利用脸书数</w:t>
      </w:r>
      <w:r>
        <w:rPr>
          <w:rFonts w:ascii="SimSun" w:hAnsi="SimSun" w:eastAsia="SimSun" w:cs="SimSun"/>
          <w:sz w:val="21"/>
          <w:szCs w:val="21"/>
          <w:spacing w:val="2"/>
        </w:rPr>
        <w:t xml:space="preserve"> </w:t>
      </w:r>
      <w:r>
        <w:rPr>
          <w:rFonts w:ascii="SimSun" w:hAnsi="SimSun" w:eastAsia="SimSun" w:cs="SimSun"/>
          <w:sz w:val="21"/>
          <w:szCs w:val="21"/>
          <w:spacing w:val="-7"/>
        </w:rPr>
        <w:t>据影响总统大选，推特禁言时任美国总统特朗普也属史无前例。这些</w:t>
      </w:r>
      <w:r>
        <w:rPr>
          <w:rFonts w:ascii="SimSun" w:hAnsi="SimSun" w:eastAsia="SimSun" w:cs="SimSun"/>
          <w:sz w:val="21"/>
          <w:szCs w:val="21"/>
          <w:spacing w:val="4"/>
        </w:rPr>
        <w:t xml:space="preserve"> </w:t>
      </w:r>
      <w:r>
        <w:rPr>
          <w:rFonts w:ascii="SimSun" w:hAnsi="SimSun" w:eastAsia="SimSun" w:cs="SimSun"/>
          <w:sz w:val="21"/>
          <w:szCs w:val="21"/>
          <w:spacing w:val="-7"/>
        </w:rPr>
        <w:t>风险都值得密切关注。不过课题组认为，我国在防范这类问题方面有</w:t>
      </w:r>
      <w:r>
        <w:rPr>
          <w:rFonts w:ascii="SimSun" w:hAnsi="SimSun" w:eastAsia="SimSun" w:cs="SimSun"/>
          <w:sz w:val="21"/>
          <w:szCs w:val="21"/>
          <w:spacing w:val="4"/>
        </w:rPr>
        <w:t xml:space="preserve"> </w:t>
      </w:r>
      <w:r>
        <w:rPr>
          <w:rFonts w:ascii="SimSun" w:hAnsi="SimSun" w:eastAsia="SimSun" w:cs="SimSun"/>
          <w:sz w:val="21"/>
          <w:szCs w:val="21"/>
          <w:spacing w:val="-7"/>
        </w:rPr>
        <w:t>制度性的优势，采取管理措施的障碍也相对小一些，因此不太可能造</w:t>
      </w:r>
      <w:r>
        <w:rPr>
          <w:rFonts w:ascii="SimSun" w:hAnsi="SimSun" w:eastAsia="SimSun" w:cs="SimSun"/>
          <w:sz w:val="21"/>
          <w:szCs w:val="21"/>
          <w:spacing w:val="1"/>
        </w:rPr>
        <w:t xml:space="preserve"> </w:t>
      </w:r>
      <w:r>
        <w:rPr>
          <w:rFonts w:ascii="SimSun" w:hAnsi="SimSun" w:eastAsia="SimSun" w:cs="SimSun"/>
          <w:sz w:val="21"/>
          <w:szCs w:val="21"/>
          <w:spacing w:val="-7"/>
        </w:rPr>
        <w:t>成大的风险。当然，平台经济时代信息传播速度非常快，也容易造成</w:t>
      </w:r>
      <w:r>
        <w:rPr>
          <w:rFonts w:ascii="SimSun" w:hAnsi="SimSun" w:eastAsia="SimSun" w:cs="SimSun"/>
          <w:sz w:val="21"/>
          <w:szCs w:val="21"/>
          <w:spacing w:val="3"/>
        </w:rPr>
        <w:t xml:space="preserve"> </w:t>
      </w:r>
      <w:r>
        <w:rPr>
          <w:rFonts w:ascii="SimSun" w:hAnsi="SimSun" w:eastAsia="SimSun" w:cs="SimSun"/>
          <w:sz w:val="21"/>
          <w:szCs w:val="21"/>
          <w:spacing w:val="-11"/>
        </w:rPr>
        <w:t>“信息茧房”,而且数据算法很容易助长民意的极端化。</w:t>
      </w:r>
    </w:p>
    <w:p>
      <w:pPr>
        <w:ind w:left="104" w:firstLine="429"/>
        <w:spacing w:before="185" w:line="306" w:lineRule="auto"/>
        <w:jc w:val="both"/>
        <w:rPr>
          <w:rFonts w:ascii="SimSun" w:hAnsi="SimSun" w:eastAsia="SimSun" w:cs="SimSun"/>
          <w:sz w:val="21"/>
          <w:szCs w:val="21"/>
        </w:rPr>
      </w:pPr>
      <w:r>
        <w:rPr>
          <w:rFonts w:ascii="SimSun" w:hAnsi="SimSun" w:eastAsia="SimSun" w:cs="SimSun"/>
          <w:sz w:val="21"/>
          <w:szCs w:val="21"/>
          <w:spacing w:val="-10"/>
        </w:rPr>
        <w:t>总之，平台治理的目标应该是公平、公正、透明。平台企业既然</w:t>
      </w:r>
      <w:r>
        <w:rPr>
          <w:rFonts w:ascii="SimSun" w:hAnsi="SimSun" w:eastAsia="SimSun" w:cs="SimSun"/>
          <w:sz w:val="21"/>
          <w:szCs w:val="21"/>
        </w:rPr>
        <w:t xml:space="preserve"> </w:t>
      </w:r>
      <w:r>
        <w:rPr>
          <w:rFonts w:ascii="SimSun" w:hAnsi="SimSun" w:eastAsia="SimSun" w:cs="SimSun"/>
          <w:sz w:val="21"/>
          <w:szCs w:val="21"/>
          <w:spacing w:val="-10"/>
        </w:rPr>
        <w:t>已经突破了一般企业的范畴，就应该主动承担一些</w:t>
      </w:r>
      <w:r>
        <w:rPr>
          <w:rFonts w:ascii="SimSun" w:hAnsi="SimSun" w:eastAsia="SimSun" w:cs="SimSun"/>
          <w:sz w:val="21"/>
          <w:szCs w:val="21"/>
          <w:spacing w:val="-11"/>
        </w:rPr>
        <w:t>社会责任，做负责</w:t>
      </w:r>
      <w:r>
        <w:rPr>
          <w:rFonts w:ascii="SimSun" w:hAnsi="SimSun" w:eastAsia="SimSun" w:cs="SimSun"/>
          <w:sz w:val="21"/>
          <w:szCs w:val="21"/>
        </w:rPr>
        <w:t xml:space="preserve"> </w:t>
      </w:r>
      <w:r>
        <w:rPr>
          <w:rFonts w:ascii="SimSun" w:hAnsi="SimSun" w:eastAsia="SimSun" w:cs="SimSun"/>
          <w:sz w:val="21"/>
          <w:szCs w:val="21"/>
          <w:spacing w:val="-13"/>
        </w:rPr>
        <w:t>任的平台企业。在平台治理的过程中，既要限制平台过度“谋私利”,</w:t>
      </w:r>
      <w:r>
        <w:rPr>
          <w:rFonts w:ascii="SimSun" w:hAnsi="SimSun" w:eastAsia="SimSun" w:cs="SimSun"/>
          <w:sz w:val="21"/>
          <w:szCs w:val="21"/>
          <w:spacing w:val="18"/>
        </w:rPr>
        <w:t xml:space="preserve"> </w:t>
      </w:r>
      <w:r>
        <w:rPr>
          <w:rFonts w:ascii="SimSun" w:hAnsi="SimSun" w:eastAsia="SimSun" w:cs="SimSun"/>
          <w:sz w:val="21"/>
          <w:szCs w:val="21"/>
          <w:spacing w:val="-11"/>
        </w:rPr>
        <w:t>又要保障平台合作者之间的公平竞争，同时还要保护消费者利益。政</w:t>
      </w:r>
      <w:r>
        <w:rPr>
          <w:rFonts w:ascii="SimSun" w:hAnsi="SimSun" w:eastAsia="SimSun" w:cs="SimSun"/>
          <w:sz w:val="21"/>
          <w:szCs w:val="21"/>
          <w:spacing w:val="17"/>
        </w:rPr>
        <w:t xml:space="preserve"> </w:t>
      </w:r>
      <w:r>
        <w:rPr>
          <w:rFonts w:ascii="SimSun" w:hAnsi="SimSun" w:eastAsia="SimSun" w:cs="SimSun"/>
          <w:sz w:val="21"/>
          <w:szCs w:val="21"/>
          <w:spacing w:val="-10"/>
        </w:rPr>
        <w:t>府也应尽可能清晰地为平台指明作用空间与</w:t>
      </w:r>
      <w:r>
        <w:rPr>
          <w:rFonts w:ascii="SimSun" w:hAnsi="SimSun" w:eastAsia="SimSun" w:cs="SimSun"/>
          <w:sz w:val="21"/>
          <w:szCs w:val="21"/>
          <w:spacing w:val="-11"/>
        </w:rPr>
        <w:t>规则，该由政府做的，要</w:t>
      </w:r>
      <w:r>
        <w:rPr>
          <w:rFonts w:ascii="SimSun" w:hAnsi="SimSun" w:eastAsia="SimSun" w:cs="SimSun"/>
          <w:sz w:val="21"/>
          <w:szCs w:val="21"/>
        </w:rPr>
        <w:t xml:space="preserve"> </w:t>
      </w:r>
      <w:r>
        <w:rPr>
          <w:rFonts w:ascii="SimSun" w:hAnsi="SimSun" w:eastAsia="SimSun" w:cs="SimSun"/>
          <w:sz w:val="21"/>
          <w:szCs w:val="21"/>
          <w:spacing w:val="-11"/>
        </w:rPr>
        <w:t>主动作为，该让平台承担的，也要明确目标、规则与后果。当然，平</w:t>
      </w:r>
      <w:r>
        <w:rPr>
          <w:rFonts w:ascii="SimSun" w:hAnsi="SimSun" w:eastAsia="SimSun" w:cs="SimSun"/>
          <w:sz w:val="21"/>
          <w:szCs w:val="21"/>
          <w:spacing w:val="18"/>
        </w:rPr>
        <w:t xml:space="preserve"> </w:t>
      </w:r>
      <w:r>
        <w:rPr>
          <w:rFonts w:ascii="SimSun" w:hAnsi="SimSun" w:eastAsia="SimSun" w:cs="SimSun"/>
          <w:sz w:val="21"/>
          <w:szCs w:val="21"/>
          <w:spacing w:val="-4"/>
        </w:rPr>
        <w:t>台经济是一个新生事物，政府与平台在治理方面的分工也会是动态</w:t>
      </w:r>
      <w:r>
        <w:rPr>
          <w:rFonts w:ascii="SimSun" w:hAnsi="SimSun" w:eastAsia="SimSun" w:cs="SimSun"/>
          <w:sz w:val="21"/>
          <w:szCs w:val="21"/>
          <w:spacing w:val="15"/>
        </w:rPr>
        <w:t xml:space="preserve"> </w:t>
      </w:r>
      <w:r>
        <w:rPr>
          <w:rFonts w:ascii="SimSun" w:hAnsi="SimSun" w:eastAsia="SimSun" w:cs="SimSun"/>
          <w:sz w:val="21"/>
          <w:szCs w:val="21"/>
          <w:spacing w:val="-10"/>
        </w:rPr>
        <w:t>的，最好的做法是保持日常性沟通与交流，根</w:t>
      </w:r>
      <w:r>
        <w:rPr>
          <w:rFonts w:ascii="SimSun" w:hAnsi="SimSun" w:eastAsia="SimSun" w:cs="SimSun"/>
          <w:sz w:val="21"/>
          <w:szCs w:val="21"/>
          <w:spacing w:val="-11"/>
        </w:rPr>
        <w:t>据新的情况灵活调整双</w:t>
      </w:r>
      <w:r>
        <w:rPr>
          <w:rFonts w:ascii="SimSun" w:hAnsi="SimSun" w:eastAsia="SimSun" w:cs="SimSun"/>
          <w:sz w:val="21"/>
          <w:szCs w:val="21"/>
        </w:rPr>
        <w:t xml:space="preserve"> </w:t>
      </w:r>
      <w:r>
        <w:rPr>
          <w:rFonts w:ascii="SimSun" w:hAnsi="SimSun" w:eastAsia="SimSun" w:cs="SimSun"/>
          <w:sz w:val="21"/>
          <w:szCs w:val="21"/>
          <w:spacing w:val="-12"/>
        </w:rPr>
        <w:t>方的功能，实现平台经济的有序发展。</w:t>
      </w:r>
    </w:p>
    <w:p>
      <w:pPr>
        <w:spacing w:line="306" w:lineRule="auto"/>
        <w:sectPr>
          <w:headerReference w:type="default" r:id="rId44"/>
          <w:pgSz w:w="7330" w:h="12480"/>
          <w:pgMar w:top="785" w:right="699" w:bottom="400" w:left="495" w:header="622" w:footer="0" w:gutter="0"/>
        </w:sectPr>
        <w:rPr>
          <w:rFonts w:ascii="SimSun" w:hAnsi="SimSun" w:eastAsia="SimSun" w:cs="SimSun"/>
          <w:sz w:val="21"/>
          <w:szCs w:val="21"/>
        </w:rPr>
      </w:pP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9"/>
        </w:rPr>
        <w:t>创</w:t>
      </w:r>
      <w:r>
        <w:rPr>
          <w:rFonts w:ascii="SimHei" w:hAnsi="SimHei" w:eastAsia="SimHei" w:cs="SimHei"/>
          <w:sz w:val="19"/>
          <w:szCs w:val="19"/>
          <w:spacing w:val="-18"/>
        </w:rPr>
        <w:t xml:space="preserve"> </w:t>
      </w:r>
      <w:r>
        <w:rPr>
          <w:rFonts w:ascii="SimHei" w:hAnsi="SimHei" w:eastAsia="SimHei" w:cs="SimHei"/>
          <w:sz w:val="19"/>
          <w:szCs w:val="19"/>
          <w:b/>
          <w:bCs/>
          <w:spacing w:val="-9"/>
        </w:rPr>
        <w:t>新</w:t>
      </w:r>
      <w:r>
        <w:rPr>
          <w:rFonts w:ascii="SimHei" w:hAnsi="SimHei" w:eastAsia="SimHei" w:cs="SimHei"/>
          <w:sz w:val="19"/>
          <w:szCs w:val="19"/>
          <w:spacing w:val="-13"/>
        </w:rPr>
        <w:t xml:space="preserve"> </w:t>
      </w:r>
      <w:r>
        <w:rPr>
          <w:rFonts w:ascii="SimHei" w:hAnsi="SimHei" w:eastAsia="SimHei" w:cs="SimHei"/>
          <w:sz w:val="19"/>
          <w:szCs w:val="19"/>
          <w:b/>
          <w:bCs/>
          <w:spacing w:val="-9"/>
        </w:rPr>
        <w:t>能</w:t>
      </w:r>
      <w:r>
        <w:rPr>
          <w:rFonts w:ascii="SimHei" w:hAnsi="SimHei" w:eastAsia="SimHei" w:cs="SimHei"/>
          <w:sz w:val="19"/>
          <w:szCs w:val="19"/>
          <w:spacing w:val="-13"/>
        </w:rPr>
        <w:t xml:space="preserve"> </w:t>
      </w:r>
      <w:r>
        <w:rPr>
          <w:rFonts w:ascii="SimHei" w:hAnsi="SimHei" w:eastAsia="SimHei" w:cs="SimHei"/>
          <w:sz w:val="19"/>
          <w:szCs w:val="19"/>
          <w:b/>
          <w:bCs/>
          <w:spacing w:val="-9"/>
        </w:rPr>
        <w:t>力</w:t>
      </w:r>
    </w:p>
    <w:p>
      <w:pPr>
        <w:pStyle w:val="BodyText"/>
        <w:spacing w:line="370" w:lineRule="auto"/>
        <w:rPr/>
      </w:pPr>
      <w:r/>
    </w:p>
    <w:p>
      <w:pPr>
        <w:ind w:right="99" w:firstLine="459"/>
        <w:spacing w:before="62" w:line="350" w:lineRule="auto"/>
        <w:rPr>
          <w:rFonts w:ascii="SimSun" w:hAnsi="SimSun" w:eastAsia="SimSun" w:cs="SimSun"/>
          <w:sz w:val="19"/>
          <w:szCs w:val="19"/>
        </w:rPr>
      </w:pPr>
      <w:r>
        <w:rPr>
          <w:rFonts w:ascii="SimSun" w:hAnsi="SimSun" w:eastAsia="SimSun" w:cs="SimSun"/>
          <w:sz w:val="19"/>
          <w:szCs w:val="19"/>
          <w:spacing w:val="16"/>
        </w:rPr>
        <w:t>平台企业几乎无一例外都是创新型企业。当然，创新能力差异</w:t>
      </w:r>
      <w:r>
        <w:rPr>
          <w:rFonts w:ascii="SimSun" w:hAnsi="SimSun" w:eastAsia="SimSun" w:cs="SimSun"/>
          <w:sz w:val="19"/>
          <w:szCs w:val="19"/>
          <w:spacing w:val="8"/>
        </w:rPr>
        <w:t xml:space="preserve"> </w:t>
      </w:r>
      <w:r>
        <w:rPr>
          <w:rFonts w:ascii="SimSun" w:hAnsi="SimSun" w:eastAsia="SimSun" w:cs="SimSun"/>
          <w:sz w:val="19"/>
          <w:szCs w:val="19"/>
          <w:spacing w:val="15"/>
        </w:rPr>
        <w:t>也很大。那些成功的平台企业在不到20年的时间里白手起家，没有</w:t>
      </w:r>
      <w:r>
        <w:rPr>
          <w:rFonts w:ascii="SimSun" w:hAnsi="SimSun" w:eastAsia="SimSun" w:cs="SimSun"/>
          <w:sz w:val="19"/>
          <w:szCs w:val="19"/>
          <w:spacing w:val="9"/>
        </w:rPr>
        <w:t xml:space="preserve">  </w:t>
      </w:r>
      <w:r>
        <w:rPr>
          <w:rFonts w:ascii="SimSun" w:hAnsi="SimSun" w:eastAsia="SimSun" w:cs="SimSun"/>
          <w:sz w:val="19"/>
          <w:szCs w:val="19"/>
          <w:spacing w:val="15"/>
        </w:rPr>
        <w:t>创新能力，不可能取得这么大的成就。以支付宝为例，2010年每秒 </w:t>
      </w:r>
      <w:r>
        <w:rPr>
          <w:rFonts w:ascii="SimSun" w:hAnsi="SimSun" w:eastAsia="SimSun" w:cs="SimSun"/>
          <w:sz w:val="19"/>
          <w:szCs w:val="19"/>
          <w:spacing w:val="16"/>
        </w:rPr>
        <w:t>钟可以处理300笔交易，2019年“双十一</w:t>
      </w:r>
      <w:r>
        <w:rPr>
          <w:rFonts w:ascii="SimSun" w:hAnsi="SimSun" w:eastAsia="SimSun" w:cs="SimSun"/>
          <w:sz w:val="19"/>
          <w:szCs w:val="19"/>
          <w:spacing w:val="-49"/>
        </w:rPr>
        <w:t xml:space="preserve"> </w:t>
      </w:r>
      <w:r>
        <w:rPr>
          <w:rFonts w:ascii="SimSun" w:hAnsi="SimSun" w:eastAsia="SimSun" w:cs="SimSun"/>
          <w:sz w:val="19"/>
          <w:szCs w:val="19"/>
          <w:spacing w:val="16"/>
        </w:rPr>
        <w:t>”期间，其分布式数据库 </w:t>
      </w:r>
      <w:r>
        <w:rPr>
          <w:rFonts w:ascii="SimSun" w:hAnsi="SimSun" w:eastAsia="SimSun" w:cs="SimSun"/>
          <w:sz w:val="19"/>
          <w:szCs w:val="19"/>
          <w:spacing w:val="15"/>
        </w:rPr>
        <w:t>每秒处理交易达到6100万次。没有如此惊人的进步，移动支付不可</w:t>
      </w:r>
      <w:r>
        <w:rPr>
          <w:rFonts w:ascii="SimSun" w:hAnsi="SimSun" w:eastAsia="SimSun" w:cs="SimSun"/>
          <w:sz w:val="19"/>
          <w:szCs w:val="19"/>
          <w:spacing w:val="1"/>
        </w:rPr>
        <w:t xml:space="preserve">  </w:t>
      </w:r>
      <w:r>
        <w:rPr>
          <w:rFonts w:ascii="SimSun" w:hAnsi="SimSun" w:eastAsia="SimSun" w:cs="SimSun"/>
          <w:sz w:val="19"/>
          <w:szCs w:val="19"/>
          <w:spacing w:val="9"/>
        </w:rPr>
        <w:t>能成为老百姓随时随地都可以使用的方便可靠的支付工具。中国在全</w:t>
      </w:r>
      <w:r>
        <w:rPr>
          <w:rFonts w:ascii="SimSun" w:hAnsi="SimSun" w:eastAsia="SimSun" w:cs="SimSun"/>
          <w:sz w:val="19"/>
          <w:szCs w:val="19"/>
          <w:spacing w:val="3"/>
        </w:rPr>
        <w:t xml:space="preserve">  </w:t>
      </w:r>
      <w:r>
        <w:rPr>
          <w:rFonts w:ascii="SimSun" w:hAnsi="SimSun" w:eastAsia="SimSun" w:cs="SimSun"/>
          <w:sz w:val="19"/>
          <w:szCs w:val="19"/>
          <w:spacing w:val="18"/>
        </w:rPr>
        <w:t>球区块链专利中的地位也非常重要，截至2021年8月，中国企业</w:t>
      </w:r>
      <w:r>
        <w:rPr>
          <w:rFonts w:ascii="SimSun" w:hAnsi="SimSun" w:eastAsia="SimSun" w:cs="SimSun"/>
          <w:sz w:val="19"/>
          <w:szCs w:val="19"/>
          <w:spacing w:val="17"/>
        </w:rPr>
        <w:t>占 </w:t>
      </w:r>
      <w:r>
        <w:rPr>
          <w:rFonts w:ascii="SimSun" w:hAnsi="SimSun" w:eastAsia="SimSun" w:cs="SimSun"/>
          <w:sz w:val="19"/>
          <w:szCs w:val="19"/>
          <w:spacing w:val="17"/>
        </w:rPr>
        <w:t>全球区块链专利申请数的63.5%,第二</w:t>
      </w:r>
      <w:r>
        <w:rPr>
          <w:rFonts w:ascii="SimSun" w:hAnsi="SimSun" w:eastAsia="SimSun" w:cs="SimSun"/>
          <w:sz w:val="19"/>
          <w:szCs w:val="19"/>
          <w:spacing w:val="16"/>
        </w:rPr>
        <w:t>名美国占15.4%。中国排在前</w:t>
      </w:r>
      <w:r>
        <w:rPr>
          <w:rFonts w:ascii="SimSun" w:hAnsi="SimSun" w:eastAsia="SimSun" w:cs="SimSun"/>
          <w:sz w:val="19"/>
          <w:szCs w:val="19"/>
        </w:rPr>
        <w:t xml:space="preserve">  </w:t>
      </w:r>
      <w:r>
        <w:rPr>
          <w:rFonts w:ascii="SimSun" w:hAnsi="SimSun" w:eastAsia="SimSun" w:cs="SimSun"/>
          <w:sz w:val="19"/>
          <w:szCs w:val="19"/>
          <w:spacing w:val="12"/>
        </w:rPr>
        <w:t>面的企业有阿里巴巴(支付宝)、腾讯科技、平安科</w:t>
      </w:r>
      <w:r>
        <w:rPr>
          <w:rFonts w:ascii="SimSun" w:hAnsi="SimSun" w:eastAsia="SimSun" w:cs="SimSun"/>
          <w:sz w:val="19"/>
          <w:szCs w:val="19"/>
          <w:spacing w:val="11"/>
        </w:rPr>
        <w:t>技、深圳壹账通、</w:t>
      </w:r>
    </w:p>
    <w:p>
      <w:pPr>
        <w:spacing w:line="218" w:lineRule="auto"/>
        <w:rPr>
          <w:rFonts w:ascii="SimSun" w:hAnsi="SimSun" w:eastAsia="SimSun" w:cs="SimSun"/>
          <w:sz w:val="19"/>
          <w:szCs w:val="19"/>
        </w:rPr>
      </w:pPr>
      <w:r>
        <w:rPr>
          <w:rFonts w:ascii="SimSun" w:hAnsi="SimSun" w:eastAsia="SimSun" w:cs="SimSun"/>
          <w:sz w:val="19"/>
          <w:szCs w:val="19"/>
          <w:spacing w:val="8"/>
        </w:rPr>
        <w:t>中国联通、北京瑞策科技和杭州复杂美科技。</w:t>
      </w:r>
    </w:p>
    <w:p>
      <w:pPr>
        <w:ind w:right="82" w:firstLine="499"/>
        <w:spacing w:before="124" w:line="350" w:lineRule="auto"/>
        <w:rPr>
          <w:rFonts w:ascii="SimSun" w:hAnsi="SimSun" w:eastAsia="SimSun" w:cs="SimSun"/>
          <w:sz w:val="19"/>
          <w:szCs w:val="19"/>
        </w:rPr>
      </w:pPr>
      <w:r>
        <w:rPr>
          <w:rFonts w:ascii="SimSun" w:hAnsi="SimSun" w:eastAsia="SimSun" w:cs="SimSun"/>
          <w:sz w:val="19"/>
          <w:szCs w:val="19"/>
          <w:spacing w:val="9"/>
        </w:rPr>
        <w:t>与此同时，平台还有支持平台上企业创新发展的“类孵化器”作 </w:t>
      </w:r>
      <w:r>
        <w:rPr>
          <w:rFonts w:ascii="SimSun" w:hAnsi="SimSun" w:eastAsia="SimSun" w:cs="SimSun"/>
          <w:sz w:val="19"/>
          <w:szCs w:val="19"/>
          <w:spacing w:val="9"/>
        </w:rPr>
        <w:t>用。对于平台上的一些企业、商店，平台也会提供辅导与支持，这与</w:t>
      </w:r>
      <w:r>
        <w:rPr>
          <w:rFonts w:ascii="SimSun" w:hAnsi="SimSun" w:eastAsia="SimSun" w:cs="SimSun"/>
          <w:sz w:val="19"/>
          <w:szCs w:val="19"/>
          <w:spacing w:val="7"/>
        </w:rPr>
        <w:t xml:space="preserve">  </w:t>
      </w:r>
      <w:r>
        <w:rPr>
          <w:rFonts w:ascii="SimSun" w:hAnsi="SimSun" w:eastAsia="SimSun" w:cs="SimSun"/>
          <w:sz w:val="19"/>
          <w:szCs w:val="19"/>
          <w:spacing w:val="9"/>
        </w:rPr>
        <w:t>创投、私募基金的做法类似，扶持线上企业的发展。差别在于平台通</w:t>
      </w:r>
      <w:r>
        <w:rPr>
          <w:rFonts w:ascii="SimSun" w:hAnsi="SimSun" w:eastAsia="SimSun" w:cs="SimSun"/>
          <w:sz w:val="19"/>
          <w:szCs w:val="19"/>
          <w:spacing w:val="3"/>
        </w:rPr>
        <w:t xml:space="preserve">  </w:t>
      </w:r>
      <w:r>
        <w:rPr>
          <w:rFonts w:ascii="SimSun" w:hAnsi="SimSun" w:eastAsia="SimSun" w:cs="SimSun"/>
          <w:sz w:val="19"/>
          <w:szCs w:val="19"/>
          <w:spacing w:val="11"/>
        </w:rPr>
        <w:t>常不在企业占股，所提供的支持也不一定是“一对一”设计的方案，</w:t>
      </w:r>
      <w:r>
        <w:rPr>
          <w:rFonts w:ascii="SimSun" w:hAnsi="SimSun" w:eastAsia="SimSun" w:cs="SimSun"/>
          <w:sz w:val="19"/>
          <w:szCs w:val="19"/>
          <w:spacing w:val="13"/>
        </w:rPr>
        <w:t xml:space="preserve"> </w:t>
      </w:r>
      <w:r>
        <w:rPr>
          <w:rFonts w:ascii="SimSun" w:hAnsi="SimSun" w:eastAsia="SimSun" w:cs="SimSun"/>
          <w:sz w:val="19"/>
          <w:szCs w:val="19"/>
          <w:spacing w:val="9"/>
        </w:rPr>
        <w:t>更多的是普惠性服务，比如提供培训课程或者线上工具。如果企业的</w:t>
      </w:r>
      <w:r>
        <w:rPr>
          <w:rFonts w:ascii="SimSun" w:hAnsi="SimSun" w:eastAsia="SimSun" w:cs="SimSun"/>
          <w:sz w:val="19"/>
          <w:szCs w:val="19"/>
          <w:spacing w:val="6"/>
        </w:rPr>
        <w:t xml:space="preserve">  </w:t>
      </w:r>
      <w:r>
        <w:rPr>
          <w:rFonts w:ascii="SimSun" w:hAnsi="SimSun" w:eastAsia="SimSun" w:cs="SimSun"/>
          <w:sz w:val="19"/>
          <w:szCs w:val="19"/>
          <w:spacing w:val="4"/>
        </w:rPr>
        <w:t>业务做起来了，平台一样可以通过流水、分成的增加等获益。</w:t>
      </w:r>
      <w:r>
        <w:rPr>
          <w:rFonts w:ascii="SimSun" w:hAnsi="SimSun" w:eastAsia="SimSun" w:cs="SimSun"/>
          <w:sz w:val="19"/>
          <w:szCs w:val="19"/>
          <w:spacing w:val="65"/>
        </w:rPr>
        <w:t xml:space="preserve"> </w:t>
      </w:r>
      <w:r>
        <w:rPr>
          <w:rFonts w:ascii="SimSun" w:hAnsi="SimSun" w:eastAsia="SimSun" w:cs="SimSun"/>
          <w:sz w:val="19"/>
          <w:szCs w:val="19"/>
          <w:spacing w:val="4"/>
        </w:rPr>
        <w:t>一些电</w:t>
      </w:r>
      <w:r>
        <w:rPr>
          <w:rFonts w:ascii="SimSun" w:hAnsi="SimSun" w:eastAsia="SimSun" w:cs="SimSun"/>
          <w:sz w:val="19"/>
          <w:szCs w:val="19"/>
        </w:rPr>
        <w:t xml:space="preserve">  </w:t>
      </w:r>
      <w:r>
        <w:rPr>
          <w:rFonts w:ascii="SimSun" w:hAnsi="SimSun" w:eastAsia="SimSun" w:cs="SimSun"/>
          <w:sz w:val="19"/>
          <w:szCs w:val="19"/>
          <w:spacing w:val="9"/>
        </w:rPr>
        <w:t>商平台提供中介服务，直接对接消费者与生产者，支持产业带的形成</w:t>
      </w:r>
      <w:r>
        <w:rPr>
          <w:rFonts w:ascii="SimSun" w:hAnsi="SimSun" w:eastAsia="SimSun" w:cs="SimSun"/>
          <w:sz w:val="19"/>
          <w:szCs w:val="19"/>
          <w:spacing w:val="3"/>
        </w:rPr>
        <w:t xml:space="preserve">  </w:t>
      </w:r>
      <w:r>
        <w:rPr>
          <w:rFonts w:ascii="SimSun" w:hAnsi="SimSun" w:eastAsia="SimSun" w:cs="SimSun"/>
          <w:sz w:val="19"/>
          <w:szCs w:val="19"/>
          <w:spacing w:val="9"/>
        </w:rPr>
        <w:t>与发展，帮助生产者根据市场需要提升产品质量。这些都有利于经济</w:t>
      </w:r>
    </w:p>
    <w:p>
      <w:pPr>
        <w:spacing w:line="220" w:lineRule="auto"/>
        <w:rPr>
          <w:rFonts w:ascii="SimSun" w:hAnsi="SimSun" w:eastAsia="SimSun" w:cs="SimSun"/>
          <w:sz w:val="19"/>
          <w:szCs w:val="19"/>
        </w:rPr>
      </w:pPr>
      <w:r>
        <w:rPr>
          <w:rFonts w:ascii="SimSun" w:hAnsi="SimSun" w:eastAsia="SimSun" w:cs="SimSun"/>
          <w:sz w:val="19"/>
          <w:szCs w:val="19"/>
          <w:spacing w:val="-2"/>
        </w:rPr>
        <w:t>创新。</w:t>
      </w:r>
    </w:p>
    <w:p>
      <w:pPr>
        <w:ind w:firstLine="499"/>
        <w:spacing w:before="121" w:line="350" w:lineRule="auto"/>
        <w:rPr>
          <w:rFonts w:ascii="SimSun" w:hAnsi="SimSun" w:eastAsia="SimSun" w:cs="SimSun"/>
          <w:sz w:val="19"/>
          <w:szCs w:val="19"/>
        </w:rPr>
      </w:pPr>
      <w:r>
        <w:rPr>
          <w:rFonts w:ascii="SimSun" w:hAnsi="SimSun" w:eastAsia="SimSun" w:cs="SimSun"/>
          <w:sz w:val="19"/>
          <w:szCs w:val="19"/>
          <w:spacing w:val="11"/>
        </w:rPr>
        <w:t>但数字经济部门对</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增长的贡献确实呈现了一个下降的趋势。</w:t>
      </w:r>
      <w:r>
        <w:rPr>
          <w:rFonts w:ascii="SimSun" w:hAnsi="SimSun" w:eastAsia="SimSun" w:cs="SimSun"/>
          <w:sz w:val="19"/>
          <w:szCs w:val="19"/>
        </w:rPr>
        <w:t xml:space="preserve"> </w:t>
      </w:r>
      <w:r>
        <w:rPr>
          <w:rFonts w:ascii="SimSun" w:hAnsi="SimSun" w:eastAsia="SimSun" w:cs="SimSun"/>
          <w:sz w:val="19"/>
          <w:szCs w:val="19"/>
          <w:spacing w:val="16"/>
        </w:rPr>
        <w:t>在2001—2007年、2007—2012年和2012—2018年，数字经济部门  </w:t>
      </w:r>
      <w:r>
        <w:rPr>
          <w:rFonts w:ascii="SimSun" w:hAnsi="SimSun" w:eastAsia="SimSun" w:cs="SimSun"/>
          <w:sz w:val="19"/>
          <w:szCs w:val="19"/>
          <w:spacing w:val="14"/>
        </w:rPr>
        <w:t>对</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4"/>
        </w:rPr>
        <w:t>年增长率的贡献分别为2.5、1.31和0.71个百分点(分别约占  </w:t>
      </w:r>
      <w:r>
        <w:rPr>
          <w:rFonts w:ascii="SimSun" w:hAnsi="SimSun" w:eastAsia="SimSun" w:cs="SimSun"/>
          <w:sz w:val="19"/>
          <w:szCs w:val="19"/>
          <w:spacing w:val="23"/>
        </w:rPr>
        <w:t>同期</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23"/>
        </w:rPr>
        <w:t>增速的23%、16%和13%)。考虑到数字经济部门在经济  </w:t>
      </w:r>
      <w:r>
        <w:rPr>
          <w:rFonts w:ascii="SimSun" w:hAnsi="SimSun" w:eastAsia="SimSun" w:cs="SimSun"/>
          <w:sz w:val="19"/>
          <w:szCs w:val="19"/>
          <w:spacing w:val="11"/>
        </w:rPr>
        <w:t>中的比重在稳步上升，其对生产率贡献的下降确实令人担忧。其中，</w:t>
      </w:r>
    </w:p>
    <w:p>
      <w:pPr>
        <w:spacing w:line="219" w:lineRule="auto"/>
        <w:rPr>
          <w:rFonts w:ascii="SimSun" w:hAnsi="SimSun" w:eastAsia="SimSun" w:cs="SimSun"/>
          <w:sz w:val="19"/>
          <w:szCs w:val="19"/>
        </w:rPr>
      </w:pP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集约使用服务业与平台经济的相关度最高，但这个行业在上述三</w:t>
      </w:r>
    </w:p>
    <w:p>
      <w:pPr>
        <w:spacing w:line="219" w:lineRule="auto"/>
        <w:sectPr>
          <w:headerReference w:type="default" r:id="rId45"/>
          <w:pgSz w:w="7330" w:h="12480"/>
          <w:pgMar w:top="527" w:right="584" w:bottom="400" w:left="580" w:header="353" w:footer="0"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93"/>
        <w:spacing w:before="68" w:line="267" w:lineRule="auto"/>
        <w:rPr>
          <w:rFonts w:ascii="SimSun" w:hAnsi="SimSun" w:eastAsia="SimSun" w:cs="SimSun"/>
          <w:sz w:val="21"/>
          <w:szCs w:val="21"/>
        </w:rPr>
      </w:pPr>
      <w:r>
        <w:rPr>
          <w:rFonts w:ascii="SimSun" w:hAnsi="SimSun" w:eastAsia="SimSun" w:cs="SimSun"/>
          <w:sz w:val="21"/>
          <w:szCs w:val="21"/>
          <w:spacing w:val="-2"/>
        </w:rPr>
        <w:t>个时期对</w:t>
      </w:r>
      <w:r>
        <w:rPr>
          <w:rFonts w:ascii="Times New Roman" w:hAnsi="Times New Roman" w:eastAsia="Times New Roman" w:cs="Times New Roman"/>
          <w:sz w:val="21"/>
          <w:szCs w:val="21"/>
          <w:spacing w:val="-2"/>
        </w:rPr>
        <w:t>TFP </w:t>
      </w:r>
      <w:r>
        <w:rPr>
          <w:rFonts w:ascii="SimSun" w:hAnsi="SimSun" w:eastAsia="SimSun" w:cs="SimSun"/>
          <w:sz w:val="21"/>
          <w:szCs w:val="21"/>
          <w:spacing w:val="-2"/>
        </w:rPr>
        <w:t>增长的贡献分别为1.17、</w:t>
      </w:r>
      <w:r>
        <w:rPr>
          <w:rFonts w:ascii="SimSun" w:hAnsi="SimSun" w:eastAsia="SimSun" w:cs="SimSun"/>
          <w:sz w:val="21"/>
          <w:szCs w:val="21"/>
          <w:spacing w:val="-28"/>
        </w:rPr>
        <w:t xml:space="preserve"> </w:t>
      </w:r>
      <w:r>
        <w:rPr>
          <w:rFonts w:ascii="SimSun" w:hAnsi="SimSun" w:eastAsia="SimSun" w:cs="SimSun"/>
          <w:sz w:val="21"/>
          <w:szCs w:val="21"/>
          <w:spacing w:val="-2"/>
        </w:rPr>
        <w:t>-0.13和-0.64个百分点(详</w:t>
      </w:r>
      <w:r>
        <w:rPr>
          <w:rFonts w:ascii="SimSun" w:hAnsi="SimSun" w:eastAsia="SimSun" w:cs="SimSun"/>
          <w:sz w:val="21"/>
          <w:szCs w:val="21"/>
        </w:rPr>
        <w:t xml:space="preserve"> </w:t>
      </w:r>
      <w:r>
        <w:rPr>
          <w:rFonts w:ascii="SimSun" w:hAnsi="SimSun" w:eastAsia="SimSun" w:cs="SimSun"/>
          <w:sz w:val="21"/>
          <w:szCs w:val="21"/>
          <w:spacing w:val="-10"/>
        </w:rPr>
        <w:t>见第二章)。</w:t>
      </w:r>
    </w:p>
    <w:p>
      <w:pPr>
        <w:ind w:right="90" w:firstLine="410"/>
        <w:spacing w:before="112" w:line="284" w:lineRule="auto"/>
        <w:jc w:val="both"/>
        <w:rPr>
          <w:rFonts w:ascii="SimSun" w:hAnsi="SimSun" w:eastAsia="SimSun" w:cs="SimSun"/>
          <w:sz w:val="21"/>
          <w:szCs w:val="21"/>
        </w:rPr>
      </w:pPr>
      <w:r>
        <w:rPr>
          <w:rFonts w:ascii="SimSun" w:hAnsi="SimSun" w:eastAsia="SimSun" w:cs="SimSun"/>
          <w:sz w:val="21"/>
          <w:szCs w:val="21"/>
          <w:spacing w:val="-11"/>
        </w:rPr>
        <w:t>上述测算结果提出一个很严肃的问题：平台经济的创新步伐是否</w:t>
      </w:r>
      <w:r>
        <w:rPr>
          <w:rFonts w:ascii="SimSun" w:hAnsi="SimSun" w:eastAsia="SimSun" w:cs="SimSun"/>
          <w:sz w:val="21"/>
          <w:szCs w:val="21"/>
          <w:spacing w:val="1"/>
        </w:rPr>
        <w:t xml:space="preserve"> </w:t>
      </w:r>
      <w:r>
        <w:rPr>
          <w:rFonts w:ascii="SimSun" w:hAnsi="SimSun" w:eastAsia="SimSun" w:cs="SimSun"/>
          <w:sz w:val="21"/>
          <w:szCs w:val="21"/>
        </w:rPr>
        <w:t>在最近10年显著放缓了?更重要的是，如何才</w:t>
      </w:r>
      <w:r>
        <w:rPr>
          <w:rFonts w:ascii="SimSun" w:hAnsi="SimSun" w:eastAsia="SimSun" w:cs="SimSun"/>
          <w:sz w:val="21"/>
          <w:szCs w:val="21"/>
          <w:spacing w:val="-1"/>
        </w:rPr>
        <w:t>能保证这个行业保持</w:t>
      </w:r>
      <w:r>
        <w:rPr>
          <w:rFonts w:ascii="SimSun" w:hAnsi="SimSun" w:eastAsia="SimSun" w:cs="SimSun"/>
          <w:sz w:val="21"/>
          <w:szCs w:val="21"/>
        </w:rPr>
        <w:t xml:space="preserve"> </w:t>
      </w:r>
      <w:r>
        <w:rPr>
          <w:rFonts w:ascii="SimSun" w:hAnsi="SimSun" w:eastAsia="SimSun" w:cs="SimSun"/>
          <w:sz w:val="21"/>
          <w:szCs w:val="21"/>
          <w:spacing w:val="-11"/>
        </w:rPr>
        <w:t>持续创新的能力，推动我国生产率的稳步提升?</w:t>
      </w:r>
    </w:p>
    <w:p>
      <w:pPr>
        <w:ind w:firstLine="410"/>
        <w:spacing w:before="106" w:line="308" w:lineRule="auto"/>
        <w:jc w:val="both"/>
        <w:rPr>
          <w:rFonts w:ascii="SimSun" w:hAnsi="SimSun" w:eastAsia="SimSun" w:cs="SimSun"/>
          <w:sz w:val="21"/>
          <w:szCs w:val="21"/>
        </w:rPr>
      </w:pPr>
      <w:r>
        <w:rPr>
          <w:rFonts w:ascii="SimSun" w:hAnsi="SimSun" w:eastAsia="SimSun" w:cs="SimSun"/>
          <w:sz w:val="21"/>
          <w:szCs w:val="21"/>
          <w:spacing w:val="-15"/>
        </w:rPr>
        <w:t>造成平台经济创新活动放缓的可能性因素很多。</w:t>
      </w:r>
      <w:r>
        <w:rPr>
          <w:rFonts w:ascii="SimSun" w:hAnsi="SimSun" w:eastAsia="SimSun" w:cs="SimSun"/>
          <w:sz w:val="21"/>
          <w:szCs w:val="21"/>
          <w:spacing w:val="41"/>
        </w:rPr>
        <w:t xml:space="preserve"> </w:t>
      </w:r>
      <w:r>
        <w:rPr>
          <w:rFonts w:ascii="SimSun" w:hAnsi="SimSun" w:eastAsia="SimSun" w:cs="SimSun"/>
          <w:sz w:val="21"/>
          <w:szCs w:val="21"/>
          <w:spacing w:val="-15"/>
        </w:rPr>
        <w:t>一家平台的用户</w:t>
      </w:r>
      <w:r>
        <w:rPr>
          <w:rFonts w:ascii="SimSun" w:hAnsi="SimSun" w:eastAsia="SimSun" w:cs="SimSun"/>
          <w:sz w:val="21"/>
          <w:szCs w:val="21"/>
        </w:rPr>
        <w:t xml:space="preserve"> </w:t>
      </w:r>
      <w:r>
        <w:rPr>
          <w:rFonts w:ascii="SimSun" w:hAnsi="SimSun" w:eastAsia="SimSun" w:cs="SimSun"/>
          <w:sz w:val="21"/>
          <w:szCs w:val="21"/>
          <w:spacing w:val="-7"/>
        </w:rPr>
        <w:t>从1人提高到10亿人，这显然是一个革命性的创新过程。但在平</w:t>
      </w:r>
      <w:r>
        <w:rPr>
          <w:rFonts w:ascii="SimSun" w:hAnsi="SimSun" w:eastAsia="SimSun" w:cs="SimSun"/>
          <w:sz w:val="21"/>
          <w:szCs w:val="21"/>
          <w:spacing w:val="-8"/>
        </w:rPr>
        <w:t>台达</w:t>
      </w:r>
      <w:r>
        <w:rPr>
          <w:rFonts w:ascii="SimSun" w:hAnsi="SimSun" w:eastAsia="SimSun" w:cs="SimSun"/>
          <w:sz w:val="21"/>
          <w:szCs w:val="21"/>
        </w:rPr>
        <w:t xml:space="preserve">  </w:t>
      </w:r>
      <w:r>
        <w:rPr>
          <w:rFonts w:ascii="SimSun" w:hAnsi="SimSun" w:eastAsia="SimSun" w:cs="SimSun"/>
          <w:sz w:val="21"/>
          <w:szCs w:val="21"/>
          <w:spacing w:val="-11"/>
        </w:rPr>
        <w:t>到基本的规模之后，创新的压力与空间也许就会减小。如果平台真的</w:t>
      </w:r>
      <w:r>
        <w:rPr>
          <w:rFonts w:ascii="SimSun" w:hAnsi="SimSun" w:eastAsia="SimSun" w:cs="SimSun"/>
          <w:sz w:val="21"/>
          <w:szCs w:val="21"/>
          <w:spacing w:val="7"/>
        </w:rPr>
        <w:t xml:space="preserve">  </w:t>
      </w:r>
      <w:r>
        <w:rPr>
          <w:rFonts w:ascii="SimSun" w:hAnsi="SimSun" w:eastAsia="SimSun" w:cs="SimSun"/>
          <w:sz w:val="21"/>
          <w:szCs w:val="21"/>
          <w:spacing w:val="-11"/>
        </w:rPr>
        <w:t>拥有了很强的市场势力，创新的动力也可能减弱。许多大型平台企业</w:t>
      </w:r>
      <w:r>
        <w:rPr>
          <w:rFonts w:ascii="SimSun" w:hAnsi="SimSun" w:eastAsia="SimSun" w:cs="SimSun"/>
          <w:sz w:val="21"/>
          <w:szCs w:val="21"/>
          <w:spacing w:val="2"/>
        </w:rPr>
        <w:t xml:space="preserve">  </w:t>
      </w:r>
      <w:r>
        <w:rPr>
          <w:rFonts w:ascii="SimSun" w:hAnsi="SimSun" w:eastAsia="SimSun" w:cs="SimSun"/>
          <w:sz w:val="21"/>
          <w:szCs w:val="21"/>
          <w:spacing w:val="-11"/>
        </w:rPr>
        <w:t>都有非常活跃的创投机构，利用充裕的现金流，投资甚至直接并购一</w:t>
      </w:r>
      <w:r>
        <w:rPr>
          <w:rFonts w:ascii="SimSun" w:hAnsi="SimSun" w:eastAsia="SimSun" w:cs="SimSun"/>
          <w:sz w:val="21"/>
          <w:szCs w:val="21"/>
          <w:spacing w:val="5"/>
        </w:rPr>
        <w:t xml:space="preserve">  </w:t>
      </w:r>
      <w:r>
        <w:rPr>
          <w:rFonts w:ascii="SimSun" w:hAnsi="SimSun" w:eastAsia="SimSun" w:cs="SimSun"/>
          <w:sz w:val="21"/>
          <w:szCs w:val="21"/>
          <w:spacing w:val="-8"/>
        </w:rPr>
        <w:t>些初创型企业，有些被并购的企业在母公司的支持下快</w:t>
      </w:r>
      <w:r>
        <w:rPr>
          <w:rFonts w:ascii="SimSun" w:hAnsi="SimSun" w:eastAsia="SimSun" w:cs="SimSun"/>
          <w:sz w:val="21"/>
          <w:szCs w:val="21"/>
          <w:spacing w:val="-9"/>
        </w:rPr>
        <w:t>速拓展业务，</w:t>
      </w:r>
      <w:r>
        <w:rPr>
          <w:rFonts w:ascii="SimSun" w:hAnsi="SimSun" w:eastAsia="SimSun" w:cs="SimSun"/>
          <w:sz w:val="21"/>
          <w:szCs w:val="21"/>
        </w:rPr>
        <w:t xml:space="preserve"> </w:t>
      </w:r>
      <w:r>
        <w:rPr>
          <w:rFonts w:ascii="SimSun" w:hAnsi="SimSun" w:eastAsia="SimSun" w:cs="SimSun"/>
          <w:sz w:val="21"/>
          <w:szCs w:val="21"/>
          <w:spacing w:val="-7"/>
        </w:rPr>
        <w:t>还有一些则直接被“冷藏”,以减少母公司的潜在</w:t>
      </w:r>
      <w:r>
        <w:rPr>
          <w:rFonts w:ascii="SimSun" w:hAnsi="SimSun" w:eastAsia="SimSun" w:cs="SimSun"/>
          <w:sz w:val="21"/>
          <w:szCs w:val="21"/>
          <w:spacing w:val="-8"/>
        </w:rPr>
        <w:t>竞争对手。后一类</w:t>
      </w:r>
      <w:r>
        <w:rPr>
          <w:rFonts w:ascii="SimSun" w:hAnsi="SimSun" w:eastAsia="SimSun" w:cs="SimSun"/>
          <w:sz w:val="21"/>
          <w:szCs w:val="21"/>
        </w:rPr>
        <w:t xml:space="preserve">  </w:t>
      </w:r>
      <w:r>
        <w:rPr>
          <w:rFonts w:ascii="SimSun" w:hAnsi="SimSun" w:eastAsia="SimSun" w:cs="SimSun"/>
          <w:sz w:val="21"/>
          <w:szCs w:val="21"/>
          <w:spacing w:val="-10"/>
        </w:rPr>
        <w:t>通常被称为“猎杀式并购”,显然是不利于创新</w:t>
      </w:r>
      <w:r>
        <w:rPr>
          <w:rFonts w:ascii="SimSun" w:hAnsi="SimSun" w:eastAsia="SimSun" w:cs="SimSun"/>
          <w:sz w:val="21"/>
          <w:szCs w:val="21"/>
          <w:spacing w:val="-11"/>
        </w:rPr>
        <w:t>活动的(详见第八章)。</w:t>
      </w:r>
      <w:r>
        <w:rPr>
          <w:rFonts w:ascii="SimSun" w:hAnsi="SimSun" w:eastAsia="SimSun" w:cs="SimSun"/>
          <w:sz w:val="21"/>
          <w:szCs w:val="21"/>
        </w:rPr>
        <w:t xml:space="preserve"> </w:t>
      </w:r>
      <w:r>
        <w:rPr>
          <w:rFonts w:ascii="SimSun" w:hAnsi="SimSun" w:eastAsia="SimSun" w:cs="SimSun"/>
          <w:sz w:val="21"/>
          <w:szCs w:val="21"/>
          <w:spacing w:val="-15"/>
        </w:rPr>
        <w:t>平台经济还有一个十分常见的业务扩张模式，就是“烧钱模式”,通过</w:t>
      </w:r>
      <w:r>
        <w:rPr>
          <w:rFonts w:ascii="SimSun" w:hAnsi="SimSun" w:eastAsia="SimSun" w:cs="SimSun"/>
          <w:sz w:val="21"/>
          <w:szCs w:val="21"/>
          <w:spacing w:val="8"/>
        </w:rPr>
        <w:t xml:space="preserve">  </w:t>
      </w:r>
      <w:r>
        <w:rPr>
          <w:rFonts w:ascii="SimSun" w:hAnsi="SimSun" w:eastAsia="SimSun" w:cs="SimSun"/>
          <w:sz w:val="21"/>
          <w:szCs w:val="21"/>
          <w:spacing w:val="-11"/>
        </w:rPr>
        <w:t>大量的补贴迅速做大市场。有的做成了，比如滴滴出行</w:t>
      </w:r>
      <w:r>
        <w:rPr>
          <w:rFonts w:ascii="SimSun" w:hAnsi="SimSun" w:eastAsia="SimSun" w:cs="SimSun"/>
          <w:sz w:val="21"/>
          <w:szCs w:val="21"/>
          <w:spacing w:val="-12"/>
        </w:rPr>
        <w:t>、美团，有的</w:t>
      </w:r>
      <w:r>
        <w:rPr>
          <w:rFonts w:ascii="SimSun" w:hAnsi="SimSun" w:eastAsia="SimSun" w:cs="SimSun"/>
          <w:sz w:val="21"/>
          <w:szCs w:val="21"/>
        </w:rPr>
        <w:t xml:space="preserve">  </w:t>
      </w:r>
      <w:r>
        <w:rPr>
          <w:rFonts w:ascii="SimSun" w:hAnsi="SimSun" w:eastAsia="SimSun" w:cs="SimSun"/>
          <w:sz w:val="21"/>
          <w:szCs w:val="21"/>
          <w:spacing w:val="-14"/>
        </w:rPr>
        <w:t>则失败了，比如摩拜。这类业务模式的技术含量相对</w:t>
      </w:r>
      <w:r>
        <w:rPr>
          <w:rFonts w:ascii="SimSun" w:hAnsi="SimSun" w:eastAsia="SimSun" w:cs="SimSun"/>
          <w:sz w:val="21"/>
          <w:szCs w:val="21"/>
          <w:spacing w:val="-15"/>
        </w:rPr>
        <w:t>低一些。</w:t>
      </w:r>
    </w:p>
    <w:p>
      <w:pPr>
        <w:ind w:right="74" w:firstLine="410"/>
        <w:spacing w:before="109" w:line="284" w:lineRule="auto"/>
        <w:jc w:val="both"/>
        <w:rPr>
          <w:rFonts w:ascii="SimSun" w:hAnsi="SimSun" w:eastAsia="SimSun" w:cs="SimSun"/>
          <w:sz w:val="21"/>
          <w:szCs w:val="21"/>
        </w:rPr>
      </w:pPr>
      <w:r>
        <w:rPr>
          <w:rFonts w:ascii="SimSun" w:hAnsi="SimSun" w:eastAsia="SimSun" w:cs="SimSun"/>
          <w:sz w:val="21"/>
          <w:szCs w:val="21"/>
          <w:spacing w:val="-11"/>
        </w:rPr>
        <w:t>总之，如何保持持续的创新能力，是当前平台经济发展面临的一</w:t>
      </w:r>
      <w:r>
        <w:rPr>
          <w:rFonts w:ascii="SimSun" w:hAnsi="SimSun" w:eastAsia="SimSun" w:cs="SimSun"/>
          <w:sz w:val="21"/>
          <w:szCs w:val="21"/>
          <w:spacing w:val="17"/>
        </w:rPr>
        <w:t xml:space="preserve"> </w:t>
      </w:r>
      <w:r>
        <w:rPr>
          <w:rFonts w:ascii="SimSun" w:hAnsi="SimSun" w:eastAsia="SimSun" w:cs="SimSun"/>
          <w:sz w:val="21"/>
          <w:szCs w:val="21"/>
          <w:spacing w:val="-16"/>
        </w:rPr>
        <w:t>个重大挑战。方便生活当然很重要，但归根结底，</w:t>
      </w:r>
      <w:r>
        <w:rPr>
          <w:rFonts w:ascii="SimSun" w:hAnsi="SimSun" w:eastAsia="SimSun" w:cs="SimSun"/>
          <w:sz w:val="21"/>
          <w:szCs w:val="21"/>
          <w:spacing w:val="51"/>
        </w:rPr>
        <w:t xml:space="preserve"> </w:t>
      </w:r>
      <w:r>
        <w:rPr>
          <w:rFonts w:ascii="SimSun" w:hAnsi="SimSun" w:eastAsia="SimSun" w:cs="SimSun"/>
          <w:sz w:val="21"/>
          <w:szCs w:val="21"/>
          <w:spacing w:val="-16"/>
        </w:rPr>
        <w:t>一个经济只有通过</w:t>
      </w:r>
      <w:r>
        <w:rPr>
          <w:rFonts w:ascii="SimSun" w:hAnsi="SimSun" w:eastAsia="SimSun" w:cs="SimSun"/>
          <w:sz w:val="21"/>
          <w:szCs w:val="21"/>
        </w:rPr>
        <w:t xml:space="preserve"> </w:t>
      </w:r>
      <w:r>
        <w:rPr>
          <w:rFonts w:ascii="SimSun" w:hAnsi="SimSun" w:eastAsia="SimSun" w:cs="SimSun"/>
          <w:sz w:val="21"/>
          <w:szCs w:val="21"/>
          <w:spacing w:val="-11"/>
        </w:rPr>
        <w:t>持续的技术进步和生产率提升，才能实现长期增</w:t>
      </w:r>
      <w:r>
        <w:rPr>
          <w:rFonts w:ascii="SimSun" w:hAnsi="SimSun" w:eastAsia="SimSun" w:cs="SimSun"/>
          <w:sz w:val="21"/>
          <w:szCs w:val="21"/>
          <w:spacing w:val="-12"/>
        </w:rPr>
        <w:t>长。</w:t>
      </w:r>
    </w:p>
    <w:p>
      <w:pPr>
        <w:pStyle w:val="BodyText"/>
        <w:spacing w:line="376"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12"/>
        </w:rPr>
        <w:t>收入分配</w:t>
      </w:r>
    </w:p>
    <w:p>
      <w:pPr>
        <w:pStyle w:val="BodyText"/>
        <w:spacing w:line="350" w:lineRule="auto"/>
        <w:rPr/>
      </w:pPr>
      <w:r/>
    </w:p>
    <w:p>
      <w:pPr>
        <w:ind w:firstLine="410"/>
        <w:spacing w:before="69" w:line="297" w:lineRule="auto"/>
        <w:jc w:val="both"/>
        <w:rPr>
          <w:rFonts w:ascii="SimSun" w:hAnsi="SimSun" w:eastAsia="SimSun" w:cs="SimSun"/>
          <w:sz w:val="21"/>
          <w:szCs w:val="21"/>
        </w:rPr>
      </w:pPr>
      <w:r>
        <w:rPr>
          <w:rFonts w:ascii="SimSun" w:hAnsi="SimSun" w:eastAsia="SimSun" w:cs="SimSun"/>
          <w:sz w:val="21"/>
          <w:szCs w:val="21"/>
          <w:spacing w:val="-8"/>
        </w:rPr>
        <w:t>平台经济对收入分配的影响也具有很强的两面性(详见第四章)。</w:t>
      </w:r>
      <w:r>
        <w:rPr>
          <w:rFonts w:ascii="SimSun" w:hAnsi="SimSun" w:eastAsia="SimSun" w:cs="SimSun"/>
          <w:sz w:val="21"/>
          <w:szCs w:val="21"/>
          <w:spacing w:val="15"/>
        </w:rPr>
        <w:t xml:space="preserve"> </w:t>
      </w:r>
      <w:r>
        <w:rPr>
          <w:rFonts w:ascii="SimSun" w:hAnsi="SimSun" w:eastAsia="SimSun" w:cs="SimSun"/>
          <w:sz w:val="21"/>
          <w:szCs w:val="21"/>
          <w:spacing w:val="-11"/>
        </w:rPr>
        <w:t>一方面，平台本身的包容性和普惠性都很突出，所以应该有利于促进</w:t>
      </w:r>
      <w:r>
        <w:rPr>
          <w:rFonts w:ascii="SimSun" w:hAnsi="SimSun" w:eastAsia="SimSun" w:cs="SimSun"/>
          <w:sz w:val="21"/>
          <w:szCs w:val="21"/>
          <w:spacing w:val="3"/>
        </w:rPr>
        <w:t xml:space="preserve">  </w:t>
      </w:r>
      <w:r>
        <w:rPr>
          <w:rFonts w:ascii="SimSun" w:hAnsi="SimSun" w:eastAsia="SimSun" w:cs="SimSun"/>
          <w:sz w:val="21"/>
          <w:szCs w:val="21"/>
          <w:spacing w:val="-11"/>
        </w:rPr>
        <w:t>收入、财富与机会的平等。第一，几家大平台的用户动辄几亿，</w:t>
      </w:r>
      <w:r>
        <w:rPr>
          <w:rFonts w:ascii="SimSun" w:hAnsi="SimSun" w:eastAsia="SimSun" w:cs="SimSun"/>
          <w:sz w:val="21"/>
          <w:szCs w:val="21"/>
          <w:spacing w:val="-12"/>
        </w:rPr>
        <w:t>说明</w:t>
      </w:r>
      <w:r>
        <w:rPr>
          <w:rFonts w:ascii="SimSun" w:hAnsi="SimSun" w:eastAsia="SimSun" w:cs="SimSun"/>
          <w:sz w:val="21"/>
          <w:szCs w:val="21"/>
        </w:rPr>
        <w:t xml:space="preserve">  </w:t>
      </w:r>
      <w:r>
        <w:rPr>
          <w:rFonts w:ascii="SimSun" w:hAnsi="SimSun" w:eastAsia="SimSun" w:cs="SimSun"/>
          <w:sz w:val="21"/>
          <w:szCs w:val="21"/>
          <w:spacing w:val="-10"/>
        </w:rPr>
        <w:t>平台经济所提供的低成本产品与服务真正惠及了普</w:t>
      </w:r>
      <w:r>
        <w:rPr>
          <w:rFonts w:ascii="SimSun" w:hAnsi="SimSun" w:eastAsia="SimSun" w:cs="SimSun"/>
          <w:sz w:val="21"/>
          <w:szCs w:val="21"/>
          <w:spacing w:val="-11"/>
        </w:rPr>
        <w:t>罗大众。第二，由</w:t>
      </w:r>
      <w:r>
        <w:rPr>
          <w:rFonts w:ascii="SimSun" w:hAnsi="SimSun" w:eastAsia="SimSun" w:cs="SimSun"/>
          <w:sz w:val="21"/>
          <w:szCs w:val="21"/>
        </w:rPr>
        <w:t xml:space="preserve"> </w:t>
      </w:r>
      <w:r>
        <w:rPr>
          <w:rFonts w:ascii="SimSun" w:hAnsi="SimSun" w:eastAsia="SimSun" w:cs="SimSun"/>
          <w:sz w:val="21"/>
          <w:szCs w:val="21"/>
          <w:spacing w:val="-10"/>
        </w:rPr>
        <w:t>于平台企业降低了创新创业的门槛，有利于一大批小微企业与个体户</w:t>
      </w:r>
    </w:p>
    <w:p>
      <w:pPr>
        <w:spacing w:line="297" w:lineRule="auto"/>
        <w:sectPr>
          <w:headerReference w:type="default" r:id="rId46"/>
          <w:pgSz w:w="7330" w:h="12480"/>
          <w:pgMar w:top="829" w:right="755" w:bottom="400" w:left="499" w:header="665" w:footer="0" w:gutter="0"/>
        </w:sectPr>
        <w:rPr>
          <w:rFonts w:ascii="SimSun" w:hAnsi="SimSun" w:eastAsia="SimSun" w:cs="SimSun"/>
          <w:sz w:val="21"/>
          <w:szCs w:val="21"/>
        </w:rPr>
      </w:pPr>
    </w:p>
    <w:p>
      <w:pPr>
        <w:pStyle w:val="BodyText"/>
        <w:spacing w:line="241" w:lineRule="auto"/>
        <w:rPr/>
      </w:pPr>
      <w:r>
        <w:drawing>
          <wp:anchor distT="0" distB="0" distL="0" distR="0" simplePos="0" relativeHeight="252007424" behindDoc="0" locked="0" layoutInCell="0" allowOverlap="1">
            <wp:simplePos x="0" y="0"/>
            <wp:positionH relativeFrom="page">
              <wp:posOffset>520705</wp:posOffset>
            </wp:positionH>
            <wp:positionV relativeFrom="page">
              <wp:posOffset>6705569</wp:posOffset>
            </wp:positionV>
            <wp:extent cx="1181092" cy="6418"/>
            <wp:effectExtent l="0" t="0" r="0" b="0"/>
            <wp:wrapNone/>
            <wp:docPr id="58" name="IM 58"/>
            <wp:cNvGraphicFramePr/>
            <a:graphic>
              <a:graphicData uri="http://schemas.openxmlformats.org/drawingml/2006/picture">
                <pic:pic>
                  <pic:nvPicPr>
                    <pic:cNvPr id="58" name="IM 58"/>
                    <pic:cNvPicPr/>
                  </pic:nvPicPr>
                  <pic:blipFill>
                    <a:blip r:embed="rId48"/>
                    <a:stretch>
                      <a:fillRect/>
                    </a:stretch>
                  </pic:blipFill>
                  <pic:spPr>
                    <a:xfrm rot="0">
                      <a:off x="0" y="0"/>
                      <a:ext cx="1181092" cy="6418"/>
                    </a:xfrm>
                    <a:prstGeom prst="rect">
                      <a:avLst/>
                    </a:prstGeom>
                  </pic:spPr>
                </pic:pic>
              </a:graphicData>
            </a:graphic>
          </wp:anchor>
        </w:drawing>
      </w:r>
      <w:r/>
    </w:p>
    <w:p>
      <w:pPr>
        <w:pStyle w:val="BodyText"/>
        <w:spacing w:line="241" w:lineRule="auto"/>
        <w:rPr/>
      </w:pPr>
      <w:r/>
    </w:p>
    <w:p>
      <w:pPr>
        <w:pStyle w:val="BodyText"/>
        <w:spacing w:line="241" w:lineRule="auto"/>
        <w:rPr/>
      </w:pPr>
      <w:r/>
    </w:p>
    <w:p>
      <w:pPr>
        <w:pStyle w:val="BodyText"/>
        <w:spacing w:line="242" w:lineRule="auto"/>
        <w:rPr/>
      </w:pPr>
      <w:r/>
    </w:p>
    <w:p>
      <w:pPr>
        <w:ind w:right="49"/>
        <w:spacing w:before="69" w:line="303" w:lineRule="auto"/>
        <w:jc w:val="both"/>
        <w:rPr>
          <w:rFonts w:ascii="SimSun" w:hAnsi="SimSun" w:eastAsia="SimSun" w:cs="SimSun"/>
          <w:sz w:val="21"/>
          <w:szCs w:val="21"/>
        </w:rPr>
      </w:pPr>
      <w:r>
        <w:rPr>
          <w:rFonts w:ascii="SimSun" w:hAnsi="SimSun" w:eastAsia="SimSun" w:cs="SimSun"/>
          <w:sz w:val="21"/>
          <w:szCs w:val="21"/>
          <w:spacing w:val="-8"/>
        </w:rPr>
        <w:t>的生存与发展。某电商平台提出“让天下没有难做的生意”的初衷，</w:t>
      </w:r>
      <w:r>
        <w:rPr>
          <w:rFonts w:ascii="SimSun" w:hAnsi="SimSun" w:eastAsia="SimSun" w:cs="SimSun"/>
          <w:sz w:val="21"/>
          <w:szCs w:val="21"/>
          <w:spacing w:val="13"/>
        </w:rPr>
        <w:t xml:space="preserve"> </w:t>
      </w:r>
      <w:r>
        <w:rPr>
          <w:rFonts w:ascii="SimSun" w:hAnsi="SimSun" w:eastAsia="SimSun" w:cs="SimSun"/>
          <w:sz w:val="21"/>
          <w:szCs w:val="21"/>
          <w:spacing w:val="-11"/>
        </w:rPr>
        <w:t>也是为了降低做生意的门槛。微信支付和支付宝利用二维码支付支持</w:t>
      </w:r>
      <w:r>
        <w:rPr>
          <w:rFonts w:ascii="SimSun" w:hAnsi="SimSun" w:eastAsia="SimSun" w:cs="SimSun"/>
          <w:sz w:val="21"/>
          <w:szCs w:val="21"/>
          <w:spacing w:val="3"/>
        </w:rPr>
        <w:t xml:space="preserve">  </w:t>
      </w:r>
      <w:r>
        <w:rPr>
          <w:rFonts w:ascii="SimSun" w:hAnsi="SimSun" w:eastAsia="SimSun" w:cs="SimSun"/>
          <w:sz w:val="21"/>
          <w:szCs w:val="21"/>
          <w:spacing w:val="-4"/>
        </w:rPr>
        <w:t>的线下商店、企业多达1亿，几乎覆盖了所有的小微企业和个体</w:t>
      </w:r>
      <w:r>
        <w:rPr>
          <w:rFonts w:ascii="SimSun" w:hAnsi="SimSun" w:eastAsia="SimSun" w:cs="SimSun"/>
          <w:sz w:val="21"/>
          <w:szCs w:val="21"/>
          <w:spacing w:val="-5"/>
        </w:rPr>
        <w:t>户。</w:t>
      </w:r>
      <w:r>
        <w:rPr>
          <w:rFonts w:ascii="SimSun" w:hAnsi="SimSun" w:eastAsia="SimSun" w:cs="SimSun"/>
          <w:sz w:val="21"/>
          <w:szCs w:val="21"/>
        </w:rPr>
        <w:t xml:space="preserve"> </w:t>
      </w:r>
      <w:r>
        <w:rPr>
          <w:rFonts w:ascii="SimSun" w:hAnsi="SimSun" w:eastAsia="SimSun" w:cs="SimSun"/>
          <w:sz w:val="21"/>
          <w:szCs w:val="21"/>
          <w:spacing w:val="-4"/>
        </w:rPr>
        <w:t>第三，平台企业还提供了无数灵活就业的机会，既有诸如翻译、咨</w:t>
      </w:r>
      <w:r>
        <w:rPr>
          <w:rFonts w:ascii="SimSun" w:hAnsi="SimSun" w:eastAsia="SimSun" w:cs="SimSun"/>
          <w:sz w:val="21"/>
          <w:szCs w:val="21"/>
          <w:spacing w:val="2"/>
        </w:rPr>
        <w:t xml:space="preserve">  </w:t>
      </w:r>
      <w:r>
        <w:rPr>
          <w:rFonts w:ascii="SimSun" w:hAnsi="SimSun" w:eastAsia="SimSun" w:cs="SimSun"/>
          <w:sz w:val="21"/>
          <w:szCs w:val="21"/>
          <w:spacing w:val="-11"/>
        </w:rPr>
        <w:t>询、编程和直播带货等，也有诸如网约车、外卖、维修、代驾等。据</w:t>
      </w:r>
      <w:r>
        <w:rPr>
          <w:rFonts w:ascii="SimSun" w:hAnsi="SimSun" w:eastAsia="SimSun" w:cs="SimSun"/>
          <w:sz w:val="21"/>
          <w:szCs w:val="21"/>
          <w:spacing w:val="5"/>
        </w:rPr>
        <w:t xml:space="preserve">  </w:t>
      </w:r>
      <w:r>
        <w:rPr>
          <w:rFonts w:ascii="SimSun" w:hAnsi="SimSun" w:eastAsia="SimSun" w:cs="SimSun"/>
          <w:sz w:val="21"/>
          <w:szCs w:val="21"/>
          <w:spacing w:val="-4"/>
        </w:rPr>
        <w:t>估计，2019年，阿里巴巴平台直接或间接创造的就业岗位总数超过</w:t>
      </w:r>
      <w:r>
        <w:rPr>
          <w:rFonts w:ascii="SimSun" w:hAnsi="SimSun" w:eastAsia="SimSun" w:cs="SimSun"/>
          <w:sz w:val="21"/>
          <w:szCs w:val="21"/>
          <w:spacing w:val="5"/>
        </w:rPr>
        <w:t xml:space="preserve">  </w:t>
      </w:r>
      <w:r>
        <w:rPr>
          <w:rFonts w:ascii="SimSun" w:hAnsi="SimSun" w:eastAsia="SimSun" w:cs="SimSun"/>
          <w:sz w:val="21"/>
          <w:szCs w:val="21"/>
        </w:rPr>
        <w:t>了5000万。同年，全国的外卖员总数突破了700</w:t>
      </w:r>
      <w:r>
        <w:rPr>
          <w:rFonts w:ascii="SimSun" w:hAnsi="SimSun" w:eastAsia="SimSun" w:cs="SimSun"/>
          <w:sz w:val="21"/>
          <w:szCs w:val="21"/>
          <w:spacing w:val="-1"/>
        </w:rPr>
        <w:t>万人。①这些岗位</w:t>
      </w:r>
      <w:r>
        <w:rPr>
          <w:rFonts w:ascii="SimSun" w:hAnsi="SimSun" w:eastAsia="SimSun" w:cs="SimSun"/>
          <w:sz w:val="21"/>
          <w:szCs w:val="21"/>
        </w:rPr>
        <w:t xml:space="preserve">  </w:t>
      </w:r>
      <w:r>
        <w:rPr>
          <w:rFonts w:ascii="SimSun" w:hAnsi="SimSun" w:eastAsia="SimSun" w:cs="SimSun"/>
          <w:sz w:val="21"/>
          <w:szCs w:val="21"/>
          <w:spacing w:val="-11"/>
        </w:rPr>
        <w:t>不仅规模巨大，许多岗位的门槛也比较低，工作时间比较灵活，成为</w:t>
      </w:r>
      <w:r>
        <w:rPr>
          <w:rFonts w:ascii="SimSun" w:hAnsi="SimSun" w:eastAsia="SimSun" w:cs="SimSun"/>
          <w:sz w:val="21"/>
          <w:szCs w:val="21"/>
          <w:spacing w:val="4"/>
        </w:rPr>
        <w:t xml:space="preserve">  </w:t>
      </w:r>
      <w:r>
        <w:rPr>
          <w:rFonts w:ascii="SimSun" w:hAnsi="SimSun" w:eastAsia="SimSun" w:cs="SimSun"/>
          <w:sz w:val="21"/>
          <w:szCs w:val="21"/>
          <w:spacing w:val="-12"/>
        </w:rPr>
        <w:t>正规就业的重要补充。</w:t>
      </w:r>
    </w:p>
    <w:p>
      <w:pPr>
        <w:ind w:right="55" w:firstLine="480"/>
        <w:spacing w:before="165" w:line="299" w:lineRule="auto"/>
        <w:jc w:val="both"/>
        <w:rPr>
          <w:rFonts w:ascii="SimSun" w:hAnsi="SimSun" w:eastAsia="SimSun" w:cs="SimSun"/>
          <w:sz w:val="21"/>
          <w:szCs w:val="21"/>
        </w:rPr>
      </w:pPr>
      <w:r>
        <w:rPr>
          <w:rFonts w:ascii="SimSun" w:hAnsi="SimSun" w:eastAsia="SimSun" w:cs="SimSun"/>
          <w:sz w:val="21"/>
          <w:szCs w:val="21"/>
          <w:spacing w:val="-3"/>
        </w:rPr>
        <w:t>另一方面，平台经济的发展也产生了不少不利于收入分配</w:t>
      </w:r>
      <w:r>
        <w:rPr>
          <w:rFonts w:ascii="SimSun" w:hAnsi="SimSun" w:eastAsia="SimSun" w:cs="SimSun"/>
          <w:sz w:val="21"/>
          <w:szCs w:val="21"/>
          <w:spacing w:val="-4"/>
        </w:rPr>
        <w:t>的变</w:t>
      </w:r>
      <w:r>
        <w:rPr>
          <w:rFonts w:ascii="SimSun" w:hAnsi="SimSun" w:eastAsia="SimSun" w:cs="SimSun"/>
          <w:sz w:val="21"/>
          <w:szCs w:val="21"/>
        </w:rPr>
        <w:t xml:space="preserve"> </w:t>
      </w:r>
      <w:r>
        <w:rPr>
          <w:rFonts w:ascii="SimSun" w:hAnsi="SimSun" w:eastAsia="SimSun" w:cs="SimSun"/>
          <w:sz w:val="21"/>
          <w:szCs w:val="21"/>
          <w:spacing w:val="-10"/>
        </w:rPr>
        <w:t>化。其一，平台企业在创造了许多新的就业岗位的同时，也造成了许</w:t>
      </w:r>
      <w:r>
        <w:rPr>
          <w:rFonts w:ascii="SimSun" w:hAnsi="SimSun" w:eastAsia="SimSun" w:cs="SimSun"/>
          <w:sz w:val="21"/>
          <w:szCs w:val="21"/>
          <w:spacing w:val="9"/>
        </w:rPr>
        <w:t xml:space="preserve"> </w:t>
      </w:r>
      <w:r>
        <w:rPr>
          <w:rFonts w:ascii="SimSun" w:hAnsi="SimSun" w:eastAsia="SimSun" w:cs="SimSun"/>
          <w:sz w:val="21"/>
          <w:szCs w:val="21"/>
          <w:spacing w:val="-11"/>
        </w:rPr>
        <w:t>多原有就业机会的消失，比较集中的是线下商店的雇员。穿梭在城市</w:t>
      </w:r>
      <w:r>
        <w:rPr>
          <w:rFonts w:ascii="SimSun" w:hAnsi="SimSun" w:eastAsia="SimSun" w:cs="SimSun"/>
          <w:sz w:val="21"/>
          <w:szCs w:val="21"/>
          <w:spacing w:val="5"/>
        </w:rPr>
        <w:t xml:space="preserve">  </w:t>
      </w:r>
      <w:r>
        <w:rPr>
          <w:rFonts w:ascii="SimSun" w:hAnsi="SimSun" w:eastAsia="SimSun" w:cs="SimSun"/>
          <w:sz w:val="21"/>
          <w:szCs w:val="21"/>
          <w:spacing w:val="-10"/>
        </w:rPr>
        <w:t>街道的众多外卖员中，既有年纪小、文化低的农村青</w:t>
      </w:r>
      <w:r>
        <w:rPr>
          <w:rFonts w:ascii="SimSun" w:hAnsi="SimSun" w:eastAsia="SimSun" w:cs="SimSun"/>
          <w:sz w:val="21"/>
          <w:szCs w:val="21"/>
          <w:spacing w:val="-11"/>
        </w:rPr>
        <w:t>年，也有不少曾 </w:t>
      </w:r>
      <w:r>
        <w:rPr>
          <w:rFonts w:ascii="SimSun" w:hAnsi="SimSun" w:eastAsia="SimSun" w:cs="SimSun"/>
          <w:sz w:val="21"/>
          <w:szCs w:val="21"/>
          <w:spacing w:val="-10"/>
        </w:rPr>
        <w:t>经的白领、店员、小企业主以及课外辅导老师，可能</w:t>
      </w:r>
      <w:r>
        <w:rPr>
          <w:rFonts w:ascii="SimSun" w:hAnsi="SimSun" w:eastAsia="SimSun" w:cs="SimSun"/>
          <w:sz w:val="21"/>
          <w:szCs w:val="21"/>
          <w:spacing w:val="-11"/>
        </w:rPr>
        <w:t>还有很多受到平 </w:t>
      </w:r>
      <w:r>
        <w:rPr>
          <w:rFonts w:ascii="SimSun" w:hAnsi="SimSun" w:eastAsia="SimSun" w:cs="SimSun"/>
          <w:sz w:val="21"/>
          <w:szCs w:val="21"/>
          <w:spacing w:val="-11"/>
        </w:rPr>
        <w:t>台经济冲击后尚未找到合适新工作的失业人员。对这批人来说，无论</w:t>
      </w:r>
      <w:r>
        <w:rPr>
          <w:rFonts w:ascii="SimSun" w:hAnsi="SimSun" w:eastAsia="SimSun" w:cs="SimSun"/>
          <w:sz w:val="21"/>
          <w:szCs w:val="21"/>
          <w:spacing w:val="4"/>
        </w:rPr>
        <w:t xml:space="preserve">  </w:t>
      </w:r>
      <w:r>
        <w:rPr>
          <w:rFonts w:ascii="SimSun" w:hAnsi="SimSun" w:eastAsia="SimSun" w:cs="SimSun"/>
          <w:sz w:val="21"/>
          <w:szCs w:val="21"/>
          <w:spacing w:val="-11"/>
        </w:rPr>
        <w:t>是否找到新的工作，无论收入是否上涨，他们总体上可能感觉工作与</w:t>
      </w:r>
      <w:r>
        <w:rPr>
          <w:rFonts w:ascii="SimSun" w:hAnsi="SimSun" w:eastAsia="SimSun" w:cs="SimSun"/>
          <w:sz w:val="21"/>
          <w:szCs w:val="21"/>
          <w:spacing w:val="15"/>
        </w:rPr>
        <w:t xml:space="preserve"> </w:t>
      </w:r>
      <w:r>
        <w:rPr>
          <w:rFonts w:ascii="SimSun" w:hAnsi="SimSun" w:eastAsia="SimSun" w:cs="SimSun"/>
          <w:sz w:val="21"/>
          <w:szCs w:val="21"/>
          <w:spacing w:val="-11"/>
        </w:rPr>
        <w:t>生活的质量下降了。当然，我们相信平台经济所创造的新就业总数远</w:t>
      </w:r>
      <w:r>
        <w:rPr>
          <w:rFonts w:ascii="SimSun" w:hAnsi="SimSun" w:eastAsia="SimSun" w:cs="SimSun"/>
          <w:sz w:val="21"/>
          <w:szCs w:val="21"/>
          <w:spacing w:val="3"/>
        </w:rPr>
        <w:t xml:space="preserve">  </w:t>
      </w:r>
      <w:r>
        <w:rPr>
          <w:rFonts w:ascii="SimSun" w:hAnsi="SimSun" w:eastAsia="SimSun" w:cs="SimSun"/>
          <w:sz w:val="21"/>
          <w:szCs w:val="21"/>
          <w:spacing w:val="-10"/>
        </w:rPr>
        <w:t>远超过传统行业消失的就业总数，但经济创新与发展</w:t>
      </w:r>
      <w:r>
        <w:rPr>
          <w:rFonts w:ascii="SimSun" w:hAnsi="SimSun" w:eastAsia="SimSun" w:cs="SimSun"/>
          <w:sz w:val="21"/>
          <w:szCs w:val="21"/>
          <w:spacing w:val="-11"/>
        </w:rPr>
        <w:t>所带来的就业市 </w:t>
      </w:r>
      <w:r>
        <w:rPr>
          <w:rFonts w:ascii="SimSun" w:hAnsi="SimSun" w:eastAsia="SimSun" w:cs="SimSun"/>
          <w:sz w:val="21"/>
          <w:szCs w:val="21"/>
          <w:spacing w:val="-10"/>
        </w:rPr>
        <w:t>场的结构性调整，不仅可能影响收入分配，还有可能加剧社会矛盾。</w:t>
      </w:r>
    </w:p>
    <w:p>
      <w:pPr>
        <w:ind w:firstLine="510"/>
        <w:spacing w:before="172" w:line="297" w:lineRule="auto"/>
        <w:rPr>
          <w:rFonts w:ascii="SimSun" w:hAnsi="SimSun" w:eastAsia="SimSun" w:cs="SimSun"/>
          <w:sz w:val="21"/>
          <w:szCs w:val="21"/>
        </w:rPr>
      </w:pPr>
      <w:r>
        <w:rPr>
          <w:rFonts w:ascii="SimSun" w:hAnsi="SimSun" w:eastAsia="SimSun" w:cs="SimSun"/>
          <w:sz w:val="21"/>
          <w:szCs w:val="21"/>
          <w:spacing w:val="-2"/>
        </w:rPr>
        <w:t>其二，平台虽然创造了许多就业机会，但也形成了许多</w:t>
      </w:r>
      <w:r>
        <w:rPr>
          <w:rFonts w:ascii="SimSun" w:hAnsi="SimSun" w:eastAsia="SimSun" w:cs="SimSun"/>
          <w:sz w:val="21"/>
          <w:szCs w:val="21"/>
          <w:spacing w:val="-3"/>
        </w:rPr>
        <w:t>新的问</w:t>
      </w:r>
      <w:r>
        <w:rPr>
          <w:rFonts w:ascii="SimSun" w:hAnsi="SimSun" w:eastAsia="SimSun" w:cs="SimSun"/>
          <w:sz w:val="21"/>
          <w:szCs w:val="21"/>
        </w:rPr>
        <w:t xml:space="preserve"> </w:t>
      </w:r>
      <w:r>
        <w:rPr>
          <w:rFonts w:ascii="SimSun" w:hAnsi="SimSun" w:eastAsia="SimSun" w:cs="SimSun"/>
          <w:sz w:val="21"/>
          <w:szCs w:val="21"/>
          <w:spacing w:val="-8"/>
        </w:rPr>
        <w:t>题。比如，平台就业人员特别是外卖员的抱怨，包括工作环境恶劣、</w:t>
      </w:r>
      <w:r>
        <w:rPr>
          <w:rFonts w:ascii="SimSun" w:hAnsi="SimSun" w:eastAsia="SimSun" w:cs="SimSun"/>
          <w:sz w:val="21"/>
          <w:szCs w:val="21"/>
          <w:spacing w:val="14"/>
        </w:rPr>
        <w:t xml:space="preserve"> </w:t>
      </w:r>
      <w:r>
        <w:rPr>
          <w:rFonts w:ascii="SimSun" w:hAnsi="SimSun" w:eastAsia="SimSun" w:cs="SimSun"/>
          <w:sz w:val="21"/>
          <w:szCs w:val="21"/>
          <w:spacing w:val="-11"/>
        </w:rPr>
        <w:t>工作节奏受算法控制、在劳动收入上缺乏与平台谈判的能力以及没有</w:t>
      </w:r>
      <w:r>
        <w:rPr>
          <w:rFonts w:ascii="SimSun" w:hAnsi="SimSun" w:eastAsia="SimSun" w:cs="SimSun"/>
          <w:sz w:val="21"/>
          <w:szCs w:val="21"/>
          <w:spacing w:val="4"/>
        </w:rPr>
        <w:t xml:space="preserve">  </w:t>
      </w:r>
      <w:r>
        <w:rPr>
          <w:rFonts w:ascii="SimSun" w:hAnsi="SimSun" w:eastAsia="SimSun" w:cs="SimSun"/>
          <w:sz w:val="21"/>
          <w:szCs w:val="21"/>
          <w:spacing w:val="-11"/>
        </w:rPr>
        <w:t>很好地被保险与保障覆盖。平台经济中的灵活就业打破了传统的“劳</w:t>
      </w:r>
      <w:r>
        <w:rPr>
          <w:rFonts w:ascii="SimSun" w:hAnsi="SimSun" w:eastAsia="SimSun" w:cs="SimSun"/>
          <w:sz w:val="21"/>
          <w:szCs w:val="21"/>
          <w:spacing w:val="4"/>
        </w:rPr>
        <w:t xml:space="preserve">  </w:t>
      </w:r>
      <w:r>
        <w:rPr>
          <w:rFonts w:ascii="SimSun" w:hAnsi="SimSun" w:eastAsia="SimSun" w:cs="SimSun"/>
          <w:sz w:val="21"/>
          <w:szCs w:val="21"/>
          <w:spacing w:val="-7"/>
        </w:rPr>
        <w:t>动二分法框架”:要么是雇佣关系，那就签订劳动合同，适用于《劳</w:t>
      </w:r>
    </w:p>
    <w:p>
      <w:pPr>
        <w:pStyle w:val="BodyText"/>
        <w:spacing w:line="264" w:lineRule="auto"/>
        <w:rPr/>
      </w:pPr>
      <w:r/>
    </w:p>
    <w:p>
      <w:pPr>
        <w:pStyle w:val="BodyText"/>
        <w:spacing w:line="264" w:lineRule="auto"/>
        <w:rPr/>
      </w:pPr>
      <w:r/>
    </w:p>
    <w:p>
      <w:pPr>
        <w:ind w:left="410" w:right="114" w:hanging="410"/>
        <w:spacing w:before="52" w:line="282" w:lineRule="auto"/>
        <w:rPr>
          <w:rFonts w:ascii="KaiTi" w:hAnsi="KaiTi" w:eastAsia="KaiTi" w:cs="KaiTi"/>
          <w:sz w:val="16"/>
          <w:szCs w:val="16"/>
        </w:rPr>
      </w:pPr>
      <w:r>
        <w:rPr>
          <w:rFonts w:ascii="KaiTi" w:hAnsi="KaiTi" w:eastAsia="KaiTi" w:cs="KaiTi"/>
          <w:sz w:val="16"/>
          <w:szCs w:val="16"/>
          <w:spacing w:val="4"/>
        </w:rPr>
        <w:t>①</w:t>
      </w:r>
      <w:r>
        <w:rPr>
          <w:rFonts w:ascii="KaiTi" w:hAnsi="KaiTi" w:eastAsia="KaiTi" w:cs="KaiTi"/>
          <w:sz w:val="16"/>
          <w:szCs w:val="16"/>
          <w:spacing w:val="89"/>
        </w:rPr>
        <w:t xml:space="preserve"> </w:t>
      </w:r>
      <w:r>
        <w:rPr>
          <w:rFonts w:ascii="KaiTi" w:hAnsi="KaiTi" w:eastAsia="KaiTi" w:cs="KaiTi"/>
          <w:sz w:val="16"/>
          <w:szCs w:val="16"/>
          <w:spacing w:val="4"/>
        </w:rPr>
        <w:t>中国产业研究院.2020—2025年中国餐饮行业深度发展研究与“十四五”企业投</w:t>
      </w:r>
      <w:r>
        <w:rPr>
          <w:rFonts w:ascii="KaiTi" w:hAnsi="KaiTi" w:eastAsia="KaiTi" w:cs="KaiTi"/>
          <w:sz w:val="16"/>
          <w:szCs w:val="16"/>
        </w:rPr>
        <w:t xml:space="preserve"> </w:t>
      </w:r>
      <w:r>
        <w:rPr>
          <w:rFonts w:ascii="KaiTi" w:hAnsi="KaiTi" w:eastAsia="KaiTi" w:cs="KaiTi"/>
          <w:sz w:val="16"/>
          <w:szCs w:val="16"/>
          <w:spacing w:val="5"/>
        </w:rPr>
        <w:t>资战略规划报告.中研普华，2020.</w:t>
      </w:r>
    </w:p>
    <w:p>
      <w:pPr>
        <w:spacing w:line="282" w:lineRule="auto"/>
        <w:sectPr>
          <w:headerReference w:type="default" r:id="rId47"/>
          <w:pgSz w:w="7330" w:h="12480"/>
          <w:pgMar w:top="567" w:right="475" w:bottom="400" w:left="729" w:header="405" w:footer="0" w:gutter="0"/>
        </w:sectPr>
        <w:rPr>
          <w:rFonts w:ascii="KaiTi" w:hAnsi="KaiTi" w:eastAsia="KaiTi" w:cs="KaiTi"/>
          <w:sz w:val="16"/>
          <w:szCs w:val="16"/>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104" w:right="93"/>
        <w:spacing w:before="69" w:line="321" w:lineRule="auto"/>
        <w:jc w:val="both"/>
        <w:rPr>
          <w:rFonts w:ascii="SimSun" w:hAnsi="SimSun" w:eastAsia="SimSun" w:cs="SimSun"/>
          <w:sz w:val="21"/>
          <w:szCs w:val="21"/>
        </w:rPr>
      </w:pPr>
      <w:r>
        <w:rPr>
          <w:rFonts w:ascii="SimSun" w:hAnsi="SimSun" w:eastAsia="SimSun" w:cs="SimSun"/>
          <w:sz w:val="21"/>
          <w:szCs w:val="21"/>
          <w:spacing w:val="-10"/>
        </w:rPr>
        <w:t>动法》;要么是劳务关系，那就签订劳务合同</w:t>
      </w:r>
      <w:r>
        <w:rPr>
          <w:rFonts w:ascii="SimSun" w:hAnsi="SimSun" w:eastAsia="SimSun" w:cs="SimSun"/>
          <w:sz w:val="21"/>
          <w:szCs w:val="21"/>
          <w:spacing w:val="-11"/>
        </w:rPr>
        <w:t>，适用于《民法》(详见</w:t>
      </w:r>
      <w:r>
        <w:rPr>
          <w:rFonts w:ascii="SimSun" w:hAnsi="SimSun" w:eastAsia="SimSun" w:cs="SimSun"/>
          <w:sz w:val="21"/>
          <w:szCs w:val="21"/>
        </w:rPr>
        <w:t xml:space="preserve"> </w:t>
      </w:r>
      <w:r>
        <w:rPr>
          <w:rFonts w:ascii="SimSun" w:hAnsi="SimSun" w:eastAsia="SimSun" w:cs="SimSun"/>
          <w:sz w:val="21"/>
          <w:szCs w:val="21"/>
          <w:spacing w:val="-7"/>
        </w:rPr>
        <w:t>第四章)。这种新型的灵活就业形态还缺乏成熟的政策框架，有可能</w:t>
      </w:r>
      <w:r>
        <w:rPr>
          <w:rFonts w:ascii="SimSun" w:hAnsi="SimSun" w:eastAsia="SimSun" w:cs="SimSun"/>
          <w:sz w:val="21"/>
          <w:szCs w:val="21"/>
          <w:spacing w:val="14"/>
        </w:rPr>
        <w:t xml:space="preserve"> </w:t>
      </w:r>
      <w:r>
        <w:rPr>
          <w:rFonts w:ascii="SimSun" w:hAnsi="SimSun" w:eastAsia="SimSun" w:cs="SimSun"/>
          <w:sz w:val="21"/>
          <w:szCs w:val="21"/>
          <w:spacing w:val="-10"/>
        </w:rPr>
        <w:t>对劳动者造成不利影响。灵活就业者与平台之间的关系不对等，如果</w:t>
      </w:r>
      <w:r>
        <w:rPr>
          <w:rFonts w:ascii="SimSun" w:hAnsi="SimSun" w:eastAsia="SimSun" w:cs="SimSun"/>
          <w:sz w:val="21"/>
          <w:szCs w:val="21"/>
        </w:rPr>
        <w:t xml:space="preserve"> </w:t>
      </w:r>
      <w:r>
        <w:rPr>
          <w:rFonts w:ascii="SimSun" w:hAnsi="SimSun" w:eastAsia="SimSun" w:cs="SimSun"/>
          <w:sz w:val="21"/>
          <w:szCs w:val="21"/>
          <w:spacing w:val="-11"/>
        </w:rPr>
        <w:t>平台利用其强大的市场势力确定劳动价格，就有可能损害劳动者的权</w:t>
      </w:r>
    </w:p>
    <w:p>
      <w:pPr>
        <w:ind w:left="104"/>
        <w:spacing w:line="218" w:lineRule="auto"/>
        <w:rPr>
          <w:rFonts w:ascii="SimSun" w:hAnsi="SimSun" w:eastAsia="SimSun" w:cs="SimSun"/>
          <w:sz w:val="21"/>
          <w:szCs w:val="21"/>
        </w:rPr>
      </w:pPr>
      <w:r>
        <w:rPr>
          <w:rFonts w:ascii="SimSun" w:hAnsi="SimSun" w:eastAsia="SimSun" w:cs="SimSun"/>
          <w:sz w:val="21"/>
          <w:szCs w:val="21"/>
          <w:spacing w:val="-11"/>
        </w:rPr>
        <w:t>益。另外，灵活就业者往往也无法享受好的社会保障。</w:t>
      </w:r>
    </w:p>
    <w:p>
      <w:pPr>
        <w:ind w:left="104" w:right="39" w:firstLine="420"/>
        <w:spacing w:before="97" w:line="305" w:lineRule="auto"/>
        <w:jc w:val="both"/>
        <w:rPr>
          <w:rFonts w:ascii="SimSun" w:hAnsi="SimSun" w:eastAsia="SimSun" w:cs="SimSun"/>
          <w:sz w:val="21"/>
          <w:szCs w:val="21"/>
        </w:rPr>
      </w:pPr>
      <w:r>
        <w:rPr>
          <w:rFonts w:ascii="SimSun" w:hAnsi="SimSun" w:eastAsia="SimSun" w:cs="SimSun"/>
          <w:sz w:val="21"/>
          <w:szCs w:val="21"/>
          <w:spacing w:val="-11"/>
        </w:rPr>
        <w:t>其三，与上述两条有关，平台的长尾效应也有可能导致收入与财</w:t>
      </w:r>
      <w:r>
        <w:rPr>
          <w:rFonts w:ascii="SimSun" w:hAnsi="SimSun" w:eastAsia="SimSun" w:cs="SimSun"/>
          <w:sz w:val="21"/>
          <w:szCs w:val="21"/>
          <w:spacing w:val="4"/>
        </w:rPr>
        <w:t xml:space="preserve"> </w:t>
      </w:r>
      <w:r>
        <w:rPr>
          <w:rFonts w:ascii="SimSun" w:hAnsi="SimSun" w:eastAsia="SimSun" w:cs="SimSun"/>
          <w:sz w:val="21"/>
          <w:szCs w:val="21"/>
          <w:spacing w:val="-15"/>
        </w:rPr>
        <w:t>富的过度集中。</w:t>
      </w:r>
      <w:r>
        <w:rPr>
          <w:rFonts w:ascii="SimSun" w:hAnsi="SimSun" w:eastAsia="SimSun" w:cs="SimSun"/>
          <w:sz w:val="21"/>
          <w:szCs w:val="21"/>
          <w:spacing w:val="42"/>
        </w:rPr>
        <w:t xml:space="preserve"> </w:t>
      </w:r>
      <w:r>
        <w:rPr>
          <w:rFonts w:ascii="SimSun" w:hAnsi="SimSun" w:eastAsia="SimSun" w:cs="SimSun"/>
          <w:sz w:val="21"/>
          <w:szCs w:val="21"/>
          <w:spacing w:val="-15"/>
        </w:rPr>
        <w:t>一家平台同时服务数亿用户，其边际成本非常低，这</w:t>
      </w:r>
      <w:r>
        <w:rPr>
          <w:rFonts w:ascii="SimSun" w:hAnsi="SimSun" w:eastAsia="SimSun" w:cs="SimSun"/>
          <w:sz w:val="21"/>
          <w:szCs w:val="21"/>
        </w:rPr>
        <w:t xml:space="preserve"> </w:t>
      </w:r>
      <w:r>
        <w:rPr>
          <w:rFonts w:ascii="SimSun" w:hAnsi="SimSun" w:eastAsia="SimSun" w:cs="SimSun"/>
          <w:sz w:val="21"/>
          <w:szCs w:val="21"/>
          <w:spacing w:val="-10"/>
        </w:rPr>
        <w:t>样才能够形成规模经济与范围经济，但也很容易造成财富过度集中的</w:t>
      </w:r>
      <w:r>
        <w:rPr>
          <w:rFonts w:ascii="SimSun" w:hAnsi="SimSun" w:eastAsia="SimSun" w:cs="SimSun"/>
          <w:sz w:val="21"/>
          <w:szCs w:val="21"/>
          <w:spacing w:val="4"/>
        </w:rPr>
        <w:t xml:space="preserve"> </w:t>
      </w:r>
      <w:r>
        <w:rPr>
          <w:rFonts w:ascii="SimSun" w:hAnsi="SimSun" w:eastAsia="SimSun" w:cs="SimSun"/>
          <w:sz w:val="21"/>
          <w:szCs w:val="21"/>
          <w:spacing w:val="-10"/>
        </w:rPr>
        <w:t>现象。看中美两国的富豪排行榜，平台企业的创始人、投资人</w:t>
      </w:r>
      <w:r>
        <w:rPr>
          <w:rFonts w:ascii="SimSun" w:hAnsi="SimSun" w:eastAsia="SimSun" w:cs="SimSun"/>
          <w:sz w:val="21"/>
          <w:szCs w:val="21"/>
          <w:spacing w:val="-11"/>
        </w:rPr>
        <w:t>甚至经</w:t>
      </w:r>
      <w:r>
        <w:rPr>
          <w:rFonts w:ascii="SimSun" w:hAnsi="SimSun" w:eastAsia="SimSun" w:cs="SimSun"/>
          <w:sz w:val="21"/>
          <w:szCs w:val="21"/>
        </w:rPr>
        <w:t xml:space="preserve"> </w:t>
      </w:r>
      <w:r>
        <w:rPr>
          <w:rFonts w:ascii="SimSun" w:hAnsi="SimSun" w:eastAsia="SimSun" w:cs="SimSun"/>
          <w:sz w:val="21"/>
          <w:szCs w:val="21"/>
          <w:spacing w:val="-10"/>
        </w:rPr>
        <w:t>营者往往都会排在前面。这样的财富集中，有多少是个人禀赋与努力</w:t>
      </w:r>
      <w:r>
        <w:rPr>
          <w:rFonts w:ascii="SimSun" w:hAnsi="SimSun" w:eastAsia="SimSun" w:cs="SimSun"/>
          <w:sz w:val="21"/>
          <w:szCs w:val="21"/>
          <w:spacing w:val="6"/>
        </w:rPr>
        <w:t xml:space="preserve"> </w:t>
      </w:r>
      <w:r>
        <w:rPr>
          <w:rFonts w:ascii="SimSun" w:hAnsi="SimSun" w:eastAsia="SimSun" w:cs="SimSun"/>
          <w:sz w:val="21"/>
          <w:szCs w:val="21"/>
          <w:spacing w:val="-1"/>
        </w:rPr>
        <w:t>决定的?又有多少是技术因素带来的?不管哪个渠道发</w:t>
      </w:r>
      <w:r>
        <w:rPr>
          <w:rFonts w:ascii="SimSun" w:hAnsi="SimSun" w:eastAsia="SimSun" w:cs="SimSun"/>
          <w:sz w:val="21"/>
          <w:szCs w:val="21"/>
          <w:spacing w:val="-2"/>
        </w:rPr>
        <w:t>挥主要作用，</w:t>
      </w:r>
      <w:r>
        <w:rPr>
          <w:rFonts w:ascii="SimSun" w:hAnsi="SimSun" w:eastAsia="SimSun" w:cs="SimSun"/>
          <w:sz w:val="21"/>
          <w:szCs w:val="21"/>
        </w:rPr>
        <w:t xml:space="preserve"> </w:t>
      </w:r>
      <w:r>
        <w:rPr>
          <w:rFonts w:ascii="SimSun" w:hAnsi="SimSun" w:eastAsia="SimSun" w:cs="SimSun"/>
          <w:sz w:val="21"/>
          <w:szCs w:val="21"/>
          <w:spacing w:val="-3"/>
        </w:rPr>
        <w:t>收入分配不平等肯定不利于社会和谐，也不利于平台企业</w:t>
      </w:r>
      <w:r>
        <w:rPr>
          <w:rFonts w:ascii="SimSun" w:hAnsi="SimSun" w:eastAsia="SimSun" w:cs="SimSun"/>
          <w:sz w:val="21"/>
          <w:szCs w:val="21"/>
          <w:spacing w:val="-4"/>
        </w:rPr>
        <w:t>的可持续</w:t>
      </w:r>
      <w:r>
        <w:rPr>
          <w:rFonts w:ascii="SimSun" w:hAnsi="SimSun" w:eastAsia="SimSun" w:cs="SimSun"/>
          <w:sz w:val="21"/>
          <w:szCs w:val="21"/>
        </w:rPr>
        <w:t xml:space="preserve"> </w:t>
      </w:r>
      <w:r>
        <w:rPr>
          <w:rFonts w:ascii="SimSun" w:hAnsi="SimSun" w:eastAsia="SimSun" w:cs="SimSun"/>
          <w:sz w:val="21"/>
          <w:szCs w:val="21"/>
          <w:spacing w:val="-17"/>
        </w:rPr>
        <w:t>发展。</w:t>
      </w:r>
    </w:p>
    <w:p>
      <w:pPr>
        <w:ind w:left="104" w:firstLine="420"/>
        <w:spacing w:before="101" w:line="304" w:lineRule="auto"/>
        <w:jc w:val="both"/>
        <w:rPr>
          <w:rFonts w:ascii="SimSun" w:hAnsi="SimSun" w:eastAsia="SimSun" w:cs="SimSun"/>
          <w:sz w:val="21"/>
          <w:szCs w:val="21"/>
        </w:rPr>
      </w:pPr>
      <w:r>
        <w:rPr>
          <w:rFonts w:ascii="SimSun" w:hAnsi="SimSun" w:eastAsia="SimSun" w:cs="SimSun"/>
          <w:sz w:val="21"/>
          <w:szCs w:val="21"/>
          <w:spacing w:val="-8"/>
        </w:rPr>
        <w:t>还有一个因素目前尚未发挥作用，但将来可能会产生巨大影响，</w:t>
      </w:r>
      <w:r>
        <w:rPr>
          <w:rFonts w:ascii="SimSun" w:hAnsi="SimSun" w:eastAsia="SimSun" w:cs="SimSun"/>
          <w:sz w:val="21"/>
          <w:szCs w:val="21"/>
          <w:spacing w:val="18"/>
        </w:rPr>
        <w:t xml:space="preserve"> </w:t>
      </w:r>
      <w:r>
        <w:rPr>
          <w:rFonts w:ascii="SimSun" w:hAnsi="SimSun" w:eastAsia="SimSun" w:cs="SimSun"/>
          <w:sz w:val="21"/>
          <w:szCs w:val="21"/>
          <w:spacing w:val="-10"/>
        </w:rPr>
        <w:t>就是数据收入的分配与数字税的征收。中央提出将数据作为新的生产</w:t>
      </w:r>
      <w:r>
        <w:rPr>
          <w:rFonts w:ascii="SimSun" w:hAnsi="SimSun" w:eastAsia="SimSun" w:cs="SimSun"/>
          <w:sz w:val="21"/>
          <w:szCs w:val="21"/>
        </w:rPr>
        <w:t xml:space="preserve">  </w:t>
      </w:r>
      <w:r>
        <w:rPr>
          <w:rFonts w:ascii="SimSun" w:hAnsi="SimSun" w:eastAsia="SimSun" w:cs="SimSun"/>
          <w:sz w:val="21"/>
          <w:szCs w:val="21"/>
          <w:spacing w:val="-4"/>
        </w:rPr>
        <w:t>要素，如果将它与劳动力、资本和土地一起写入生产函数，可能会</w:t>
      </w:r>
      <w:r>
        <w:rPr>
          <w:rFonts w:ascii="SimSun" w:hAnsi="SimSun" w:eastAsia="SimSun" w:cs="SimSun"/>
          <w:sz w:val="21"/>
          <w:szCs w:val="21"/>
          <w:spacing w:val="1"/>
        </w:rPr>
        <w:t xml:space="preserve">  </w:t>
      </w:r>
      <w:r>
        <w:rPr>
          <w:rFonts w:ascii="SimSun" w:hAnsi="SimSun" w:eastAsia="SimSun" w:cs="SimSun"/>
          <w:sz w:val="21"/>
          <w:szCs w:val="21"/>
          <w:spacing w:val="-10"/>
        </w:rPr>
        <w:t>改变经济增长的方式，比如劳动力与资本积累只能通过渐进的过程实</w:t>
      </w:r>
      <w:r>
        <w:rPr>
          <w:rFonts w:ascii="SimSun" w:hAnsi="SimSun" w:eastAsia="SimSun" w:cs="SimSun"/>
          <w:sz w:val="21"/>
          <w:szCs w:val="21"/>
        </w:rPr>
        <w:t xml:space="preserve">  </w:t>
      </w:r>
      <w:r>
        <w:rPr>
          <w:rFonts w:ascii="SimSun" w:hAnsi="SimSun" w:eastAsia="SimSun" w:cs="SimSun"/>
          <w:sz w:val="21"/>
          <w:szCs w:val="21"/>
          <w:spacing w:val="-10"/>
        </w:rPr>
        <w:t>现。但数据要素的积累有可能走快车道，为发展中国家的经济</w:t>
      </w:r>
      <w:r>
        <w:rPr>
          <w:rFonts w:ascii="SimSun" w:hAnsi="SimSun" w:eastAsia="SimSun" w:cs="SimSun"/>
          <w:sz w:val="21"/>
          <w:szCs w:val="21"/>
          <w:spacing w:val="-11"/>
        </w:rPr>
        <w:t>发展提</w:t>
      </w:r>
      <w:r>
        <w:rPr>
          <w:rFonts w:ascii="SimSun" w:hAnsi="SimSun" w:eastAsia="SimSun" w:cs="SimSun"/>
          <w:sz w:val="21"/>
          <w:szCs w:val="21"/>
        </w:rPr>
        <w:t xml:space="preserve">  </w:t>
      </w:r>
      <w:r>
        <w:rPr>
          <w:rFonts w:ascii="SimSun" w:hAnsi="SimSun" w:eastAsia="SimSun" w:cs="SimSun"/>
          <w:sz w:val="21"/>
          <w:szCs w:val="21"/>
          <w:spacing w:val="-10"/>
        </w:rPr>
        <w:t>供弯道超车的机会。如果数据可以产生经济回报，并且政府对</w:t>
      </w:r>
      <w:r>
        <w:rPr>
          <w:rFonts w:ascii="SimSun" w:hAnsi="SimSun" w:eastAsia="SimSun" w:cs="SimSun"/>
          <w:sz w:val="21"/>
          <w:szCs w:val="21"/>
          <w:spacing w:val="-11"/>
        </w:rPr>
        <w:t>平台经</w:t>
      </w:r>
      <w:r>
        <w:rPr>
          <w:rFonts w:ascii="SimSun" w:hAnsi="SimSun" w:eastAsia="SimSun" w:cs="SimSun"/>
          <w:sz w:val="21"/>
          <w:szCs w:val="21"/>
        </w:rPr>
        <w:t xml:space="preserve">  </w:t>
      </w:r>
      <w:r>
        <w:rPr>
          <w:rFonts w:ascii="SimSun" w:hAnsi="SimSun" w:eastAsia="SimSun" w:cs="SimSun"/>
          <w:sz w:val="21"/>
          <w:szCs w:val="21"/>
          <w:spacing w:val="-10"/>
        </w:rPr>
        <w:t>济活动征收数字税，那么收入分配的格局一定会发生大的改变，只是</w:t>
      </w:r>
      <w:r>
        <w:rPr>
          <w:rFonts w:ascii="SimSun" w:hAnsi="SimSun" w:eastAsia="SimSun" w:cs="SimSun"/>
          <w:sz w:val="21"/>
          <w:szCs w:val="21"/>
        </w:rPr>
        <w:t xml:space="preserve">  </w:t>
      </w:r>
      <w:r>
        <w:rPr>
          <w:rFonts w:ascii="SimSun" w:hAnsi="SimSun" w:eastAsia="SimSun" w:cs="SimSun"/>
          <w:sz w:val="21"/>
          <w:szCs w:val="21"/>
          <w:spacing w:val="-14"/>
        </w:rPr>
        <w:t>目前还很难预测改变的方向与程度。</w:t>
      </w:r>
    </w:p>
    <w:p>
      <w:pPr>
        <w:pStyle w:val="BodyText"/>
        <w:spacing w:line="362" w:lineRule="auto"/>
        <w:rPr/>
      </w:pPr>
      <w:r/>
    </w:p>
    <w:p>
      <w:pPr>
        <w:ind w:left="108"/>
        <w:spacing w:before="85" w:line="222" w:lineRule="auto"/>
        <w:rPr>
          <w:rFonts w:ascii="SimHei" w:hAnsi="SimHei" w:eastAsia="SimHei" w:cs="SimHei"/>
          <w:sz w:val="26"/>
          <w:szCs w:val="26"/>
        </w:rPr>
      </w:pPr>
      <w:r>
        <w:rPr>
          <w:rFonts w:ascii="SimHei" w:hAnsi="SimHei" w:eastAsia="SimHei" w:cs="SimHei"/>
          <w:sz w:val="26"/>
          <w:szCs w:val="26"/>
          <w:b/>
          <w:bCs/>
          <w:spacing w:val="-18"/>
        </w:rPr>
        <w:t>数据分析</w:t>
      </w:r>
    </w:p>
    <w:p>
      <w:pPr>
        <w:pStyle w:val="BodyText"/>
        <w:spacing w:line="358" w:lineRule="auto"/>
        <w:rPr/>
      </w:pPr>
      <w:r/>
    </w:p>
    <w:p>
      <w:pPr>
        <w:ind w:left="104" w:right="86" w:firstLine="420"/>
        <w:spacing w:before="69" w:line="325" w:lineRule="auto"/>
        <w:jc w:val="both"/>
        <w:rPr>
          <w:rFonts w:ascii="SimSun" w:hAnsi="SimSun" w:eastAsia="SimSun" w:cs="SimSun"/>
          <w:sz w:val="21"/>
          <w:szCs w:val="21"/>
        </w:rPr>
      </w:pPr>
      <w:r>
        <w:rPr>
          <w:rFonts w:ascii="SimSun" w:hAnsi="SimSun" w:eastAsia="SimSun" w:cs="SimSun"/>
          <w:sz w:val="21"/>
          <w:szCs w:val="21"/>
          <w:spacing w:val="-3"/>
        </w:rPr>
        <w:t>数据的重要性可以从流行的说法“数据就是新的石油”得</w:t>
      </w:r>
      <w:r>
        <w:rPr>
          <w:rFonts w:ascii="SimSun" w:hAnsi="SimSun" w:eastAsia="SimSun" w:cs="SimSun"/>
          <w:sz w:val="21"/>
          <w:szCs w:val="21"/>
          <w:spacing w:val="-4"/>
        </w:rPr>
        <w:t>到印</w:t>
      </w:r>
      <w:r>
        <w:rPr>
          <w:rFonts w:ascii="SimSun" w:hAnsi="SimSun" w:eastAsia="SimSun" w:cs="SimSun"/>
          <w:sz w:val="21"/>
          <w:szCs w:val="21"/>
        </w:rPr>
        <w:t xml:space="preserve"> </w:t>
      </w:r>
      <w:r>
        <w:rPr>
          <w:rFonts w:ascii="SimSun" w:hAnsi="SimSun" w:eastAsia="SimSun" w:cs="SimSun"/>
          <w:sz w:val="21"/>
          <w:szCs w:val="21"/>
          <w:spacing w:val="-3"/>
        </w:rPr>
        <w:t>证。不过，曾担任亚马逊机器学习团队负责人的尼尔·劳伦斯认为</w:t>
      </w:r>
    </w:p>
    <w:p>
      <w:pPr>
        <w:spacing w:line="219" w:lineRule="auto"/>
        <w:rPr>
          <w:rFonts w:ascii="SimSun" w:hAnsi="SimSun" w:eastAsia="SimSun" w:cs="SimSun"/>
          <w:sz w:val="21"/>
          <w:szCs w:val="21"/>
        </w:rPr>
      </w:pPr>
      <w:r>
        <w:rPr>
          <w:rFonts w:ascii="SimSun" w:hAnsi="SimSun" w:eastAsia="SimSun" w:cs="SimSun"/>
          <w:sz w:val="21"/>
          <w:szCs w:val="21"/>
          <w:spacing w:val="-6"/>
        </w:rPr>
        <w:t>“数据就是新的煤炭”的说法更加贴切，因为第一</w:t>
      </w:r>
      <w:r>
        <w:rPr>
          <w:rFonts w:ascii="SimSun" w:hAnsi="SimSun" w:eastAsia="SimSun" w:cs="SimSun"/>
          <w:sz w:val="21"/>
          <w:szCs w:val="21"/>
          <w:spacing w:val="-7"/>
        </w:rPr>
        <w:t>次工业革命时的蒸</w:t>
      </w:r>
    </w:p>
    <w:p>
      <w:pPr>
        <w:spacing w:line="219" w:lineRule="auto"/>
        <w:sectPr>
          <w:headerReference w:type="default" r:id="rId49"/>
          <w:pgSz w:w="7330" w:h="12480"/>
          <w:pgMar w:top="839" w:right="854" w:bottom="400" w:left="274" w:header="660"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left="49" w:right="60"/>
        <w:spacing w:before="69" w:line="292" w:lineRule="auto"/>
        <w:jc w:val="both"/>
        <w:rPr>
          <w:rFonts w:ascii="SimSun" w:hAnsi="SimSun" w:eastAsia="SimSun" w:cs="SimSun"/>
          <w:sz w:val="21"/>
          <w:szCs w:val="21"/>
        </w:rPr>
      </w:pPr>
      <w:r>
        <w:rPr>
          <w:rFonts w:ascii="SimSun" w:hAnsi="SimSun" w:eastAsia="SimSun" w:cs="SimSun"/>
          <w:sz w:val="21"/>
          <w:szCs w:val="21"/>
          <w:spacing w:val="-11"/>
        </w:rPr>
        <w:t>汽机对那些拥有大量煤炭的人更有用。没有数据，也就不会有平台经</w:t>
      </w:r>
      <w:r>
        <w:rPr>
          <w:rFonts w:ascii="SimSun" w:hAnsi="SimSun" w:eastAsia="SimSun" w:cs="SimSun"/>
          <w:sz w:val="21"/>
          <w:szCs w:val="21"/>
          <w:spacing w:val="7"/>
        </w:rPr>
        <w:t xml:space="preserve"> </w:t>
      </w:r>
      <w:r>
        <w:rPr>
          <w:rFonts w:ascii="SimSun" w:hAnsi="SimSun" w:eastAsia="SimSun" w:cs="SimSun"/>
          <w:sz w:val="21"/>
          <w:szCs w:val="21"/>
          <w:spacing w:val="-4"/>
        </w:rPr>
        <w:t>济。党的十九届四中全会首次提出将数据作为生产要素参与收益分</w:t>
      </w:r>
      <w:r>
        <w:rPr>
          <w:rFonts w:ascii="SimSun" w:hAnsi="SimSun" w:eastAsia="SimSun" w:cs="SimSun"/>
          <w:sz w:val="21"/>
          <w:szCs w:val="21"/>
          <w:spacing w:val="3"/>
        </w:rPr>
        <w:t xml:space="preserve"> </w:t>
      </w:r>
      <w:r>
        <w:rPr>
          <w:rFonts w:ascii="SimSun" w:hAnsi="SimSun" w:eastAsia="SimSun" w:cs="SimSun"/>
          <w:sz w:val="21"/>
          <w:szCs w:val="21"/>
          <w:spacing w:val="-11"/>
        </w:rPr>
        <w:t>配，这是一次重大的理论创新，标志着数据从技术要素中独立出来成</w:t>
      </w:r>
      <w:r>
        <w:rPr>
          <w:rFonts w:ascii="SimSun" w:hAnsi="SimSun" w:eastAsia="SimSun" w:cs="SimSun"/>
          <w:sz w:val="21"/>
          <w:szCs w:val="21"/>
          <w:spacing w:val="8"/>
        </w:rPr>
        <w:t xml:space="preserve"> </w:t>
      </w:r>
      <w:r>
        <w:rPr>
          <w:rFonts w:ascii="SimSun" w:hAnsi="SimSun" w:eastAsia="SimSun" w:cs="SimSun"/>
          <w:sz w:val="21"/>
          <w:szCs w:val="21"/>
          <w:spacing w:val="-12"/>
        </w:rPr>
        <w:t>为单独的生产要素。</w:t>
      </w:r>
    </w:p>
    <w:p>
      <w:pPr>
        <w:ind w:left="49" w:right="41" w:firstLine="429"/>
        <w:spacing w:before="105" w:line="306" w:lineRule="auto"/>
        <w:jc w:val="both"/>
        <w:rPr>
          <w:rFonts w:ascii="SimSun" w:hAnsi="SimSun" w:eastAsia="SimSun" w:cs="SimSun"/>
          <w:sz w:val="21"/>
          <w:szCs w:val="21"/>
        </w:rPr>
      </w:pPr>
      <w:r>
        <w:rPr>
          <w:rFonts w:ascii="SimSun" w:hAnsi="SimSun" w:eastAsia="SimSun" w:cs="SimSun"/>
          <w:sz w:val="21"/>
          <w:szCs w:val="21"/>
          <w:spacing w:val="-11"/>
        </w:rPr>
        <w:t>数据分析的功效已经在平台经济领域得到充分展示：</w:t>
      </w:r>
      <w:r>
        <w:rPr>
          <w:rFonts w:ascii="SimSun" w:hAnsi="SimSun" w:eastAsia="SimSun" w:cs="SimSun"/>
          <w:sz w:val="21"/>
          <w:szCs w:val="21"/>
          <w:spacing w:val="-12"/>
        </w:rPr>
        <w:t>约车平台可</w:t>
      </w:r>
      <w:r>
        <w:rPr>
          <w:rFonts w:ascii="SimSun" w:hAnsi="SimSun" w:eastAsia="SimSun" w:cs="SimSun"/>
          <w:sz w:val="21"/>
          <w:szCs w:val="21"/>
        </w:rPr>
        <w:t xml:space="preserve"> </w:t>
      </w:r>
      <w:r>
        <w:rPr>
          <w:rFonts w:ascii="SimSun" w:hAnsi="SimSun" w:eastAsia="SimSun" w:cs="SimSun"/>
          <w:sz w:val="21"/>
          <w:szCs w:val="21"/>
          <w:spacing w:val="-11"/>
        </w:rPr>
        <w:t>以以最低的成本、最短的时间匹配出租车与乘客；外卖平台可以保证</w:t>
      </w:r>
      <w:r>
        <w:rPr>
          <w:rFonts w:ascii="SimSun" w:hAnsi="SimSun" w:eastAsia="SimSun" w:cs="SimSun"/>
          <w:sz w:val="21"/>
          <w:szCs w:val="21"/>
          <w:spacing w:val="7"/>
        </w:rPr>
        <w:t xml:space="preserve"> </w:t>
      </w:r>
      <w:r>
        <w:rPr>
          <w:rFonts w:ascii="SimSun" w:hAnsi="SimSun" w:eastAsia="SimSun" w:cs="SimSun"/>
          <w:sz w:val="21"/>
          <w:szCs w:val="21"/>
          <w:spacing w:val="-10"/>
        </w:rPr>
        <w:t>外卖员以最快的速度将多份食物从餐馆送到点</w:t>
      </w:r>
      <w:r>
        <w:rPr>
          <w:rFonts w:ascii="SimSun" w:hAnsi="SimSun" w:eastAsia="SimSun" w:cs="SimSun"/>
          <w:sz w:val="21"/>
          <w:szCs w:val="21"/>
          <w:spacing w:val="-11"/>
        </w:rPr>
        <w:t>餐人手中；短视频平台</w:t>
      </w:r>
      <w:r>
        <w:rPr>
          <w:rFonts w:ascii="SimSun" w:hAnsi="SimSun" w:eastAsia="SimSun" w:cs="SimSun"/>
          <w:sz w:val="21"/>
          <w:szCs w:val="21"/>
        </w:rPr>
        <w:t xml:space="preserve"> </w:t>
      </w:r>
      <w:r>
        <w:rPr>
          <w:rFonts w:ascii="SimSun" w:hAnsi="SimSun" w:eastAsia="SimSun" w:cs="SimSun"/>
          <w:sz w:val="21"/>
          <w:szCs w:val="21"/>
          <w:spacing w:val="-11"/>
        </w:rPr>
        <w:t>可以随时将体现个人偏好的短视频推送到相关的移动终端；数字金融</w:t>
      </w:r>
      <w:r>
        <w:rPr>
          <w:rFonts w:ascii="SimSun" w:hAnsi="SimSun" w:eastAsia="SimSun" w:cs="SimSun"/>
          <w:sz w:val="21"/>
          <w:szCs w:val="21"/>
          <w:spacing w:val="9"/>
        </w:rPr>
        <w:t xml:space="preserve"> </w:t>
      </w:r>
      <w:r>
        <w:rPr>
          <w:rFonts w:ascii="SimSun" w:hAnsi="SimSun" w:eastAsia="SimSun" w:cs="SimSun"/>
          <w:sz w:val="21"/>
          <w:szCs w:val="21"/>
          <w:spacing w:val="-10"/>
        </w:rPr>
        <w:t>平台可以通过分析用户的网购、社交等数字足迹，提供信贷服</w:t>
      </w:r>
      <w:r>
        <w:rPr>
          <w:rFonts w:ascii="SimSun" w:hAnsi="SimSun" w:eastAsia="SimSun" w:cs="SimSun"/>
          <w:sz w:val="21"/>
          <w:szCs w:val="21"/>
          <w:spacing w:val="-11"/>
        </w:rPr>
        <w:t>务，控</w:t>
      </w:r>
      <w:r>
        <w:rPr>
          <w:rFonts w:ascii="SimSun" w:hAnsi="SimSun" w:eastAsia="SimSun" w:cs="SimSun"/>
          <w:sz w:val="21"/>
          <w:szCs w:val="21"/>
        </w:rPr>
        <w:t xml:space="preserve"> </w:t>
      </w:r>
      <w:r>
        <w:rPr>
          <w:rFonts w:ascii="SimSun" w:hAnsi="SimSun" w:eastAsia="SimSun" w:cs="SimSun"/>
          <w:sz w:val="21"/>
          <w:szCs w:val="21"/>
          <w:spacing w:val="-11"/>
        </w:rPr>
        <w:t>制信用风险。除此之外，数据分析还可以帮助优化城市交通管理、识</w:t>
      </w:r>
      <w:r>
        <w:rPr>
          <w:rFonts w:ascii="SimSun" w:hAnsi="SimSun" w:eastAsia="SimSun" w:cs="SimSun"/>
          <w:sz w:val="21"/>
          <w:szCs w:val="21"/>
          <w:spacing w:val="10"/>
        </w:rPr>
        <w:t xml:space="preserve"> </w:t>
      </w:r>
      <w:r>
        <w:rPr>
          <w:rFonts w:ascii="SimSun" w:hAnsi="SimSun" w:eastAsia="SimSun" w:cs="SimSun"/>
          <w:sz w:val="21"/>
          <w:szCs w:val="21"/>
          <w:spacing w:val="-11"/>
        </w:rPr>
        <w:t>别新冠病毒的密接人群，甚至追踪犯罪分子。总之，数据分析可以帮</w:t>
      </w:r>
      <w:r>
        <w:rPr>
          <w:rFonts w:ascii="SimSun" w:hAnsi="SimSun" w:eastAsia="SimSun" w:cs="SimSun"/>
          <w:sz w:val="21"/>
          <w:szCs w:val="21"/>
          <w:spacing w:val="15"/>
        </w:rPr>
        <w:t xml:space="preserve"> </w:t>
      </w:r>
      <w:r>
        <w:rPr>
          <w:rFonts w:ascii="SimSun" w:hAnsi="SimSun" w:eastAsia="SimSun" w:cs="SimSun"/>
          <w:sz w:val="21"/>
          <w:szCs w:val="21"/>
          <w:spacing w:val="-7"/>
        </w:rPr>
        <w:t>助平台企业提高运行效率，改变业务模式，增强个性化服务(</w:t>
      </w:r>
      <w:r>
        <w:rPr>
          <w:rFonts w:ascii="SimSun" w:hAnsi="SimSun" w:eastAsia="SimSun" w:cs="SimSun"/>
          <w:sz w:val="21"/>
          <w:szCs w:val="21"/>
          <w:spacing w:val="-8"/>
        </w:rPr>
        <w:t>详见第</w:t>
      </w:r>
      <w:r>
        <w:rPr>
          <w:rFonts w:ascii="SimSun" w:hAnsi="SimSun" w:eastAsia="SimSun" w:cs="SimSun"/>
          <w:sz w:val="21"/>
          <w:szCs w:val="21"/>
        </w:rPr>
        <w:t xml:space="preserve"> </w:t>
      </w:r>
      <w:r>
        <w:rPr>
          <w:rFonts w:ascii="SimSun" w:hAnsi="SimSun" w:eastAsia="SimSun" w:cs="SimSun"/>
          <w:sz w:val="21"/>
          <w:szCs w:val="21"/>
          <w:spacing w:val="-8"/>
        </w:rPr>
        <w:t>九章)。</w:t>
      </w:r>
    </w:p>
    <w:p>
      <w:pPr>
        <w:ind w:left="49" w:right="28" w:firstLine="429"/>
        <w:spacing w:before="97" w:line="305" w:lineRule="auto"/>
        <w:jc w:val="both"/>
        <w:rPr>
          <w:rFonts w:ascii="SimSun" w:hAnsi="SimSun" w:eastAsia="SimSun" w:cs="SimSun"/>
          <w:sz w:val="21"/>
          <w:szCs w:val="21"/>
        </w:rPr>
      </w:pPr>
      <w:r>
        <w:rPr>
          <w:rFonts w:ascii="SimSun" w:hAnsi="SimSun" w:eastAsia="SimSun" w:cs="SimSun"/>
          <w:sz w:val="21"/>
          <w:szCs w:val="21"/>
          <w:spacing w:val="-11"/>
        </w:rPr>
        <w:t>但目前离数据成为生产要素还有很远的距离。第一，需要明确数</w:t>
      </w:r>
      <w:r>
        <w:rPr>
          <w:rFonts w:ascii="SimSun" w:hAnsi="SimSun" w:eastAsia="SimSun" w:cs="SimSun"/>
          <w:sz w:val="21"/>
          <w:szCs w:val="21"/>
          <w:spacing w:val="7"/>
        </w:rPr>
        <w:t xml:space="preserve"> </w:t>
      </w:r>
      <w:r>
        <w:rPr>
          <w:rFonts w:ascii="SimSun" w:hAnsi="SimSun" w:eastAsia="SimSun" w:cs="SimSun"/>
          <w:sz w:val="21"/>
          <w:szCs w:val="21"/>
          <w:spacing w:val="-11"/>
        </w:rPr>
        <w:t>据的权属关系，包括所有权与使用权。但与传统生产要素不同，对数</w:t>
      </w:r>
      <w:r>
        <w:rPr>
          <w:rFonts w:ascii="SimSun" w:hAnsi="SimSun" w:eastAsia="SimSun" w:cs="SimSun"/>
          <w:sz w:val="21"/>
          <w:szCs w:val="21"/>
          <w:spacing w:val="7"/>
        </w:rPr>
        <w:t xml:space="preserve"> </w:t>
      </w:r>
      <w:r>
        <w:rPr>
          <w:rFonts w:ascii="SimSun" w:hAnsi="SimSun" w:eastAsia="SimSun" w:cs="SimSun"/>
          <w:sz w:val="21"/>
          <w:szCs w:val="21"/>
          <w:spacing w:val="-10"/>
        </w:rPr>
        <w:t>据做清晰的所有权、使用权界定非常困难。数据本身具有私人、平台</w:t>
      </w:r>
      <w:r>
        <w:rPr>
          <w:rFonts w:ascii="SimSun" w:hAnsi="SimSun" w:eastAsia="SimSun" w:cs="SimSun"/>
          <w:sz w:val="21"/>
          <w:szCs w:val="21"/>
          <w:spacing w:val="10"/>
        </w:rPr>
        <w:t xml:space="preserve"> </w:t>
      </w:r>
      <w:r>
        <w:rPr>
          <w:rFonts w:ascii="SimSun" w:hAnsi="SimSun" w:eastAsia="SimSun" w:cs="SimSun"/>
          <w:sz w:val="21"/>
          <w:szCs w:val="21"/>
          <w:spacing w:val="-11"/>
        </w:rPr>
        <w:t>和公共三重属性。目前各平台应用的主要是“特有”数据，而非严格</w:t>
      </w:r>
      <w:r>
        <w:rPr>
          <w:rFonts w:ascii="SimSun" w:hAnsi="SimSun" w:eastAsia="SimSun" w:cs="SimSun"/>
          <w:sz w:val="21"/>
          <w:szCs w:val="21"/>
          <w:spacing w:val="7"/>
        </w:rPr>
        <w:t xml:space="preserve"> </w:t>
      </w:r>
      <w:r>
        <w:rPr>
          <w:rFonts w:ascii="SimSun" w:hAnsi="SimSun" w:eastAsia="SimSun" w:cs="SimSun"/>
          <w:sz w:val="21"/>
          <w:szCs w:val="21"/>
          <w:spacing w:val="-11"/>
        </w:rPr>
        <w:t>意义上的大数据，形成大数据的关键是打破孤岛、实现共享。与传统</w:t>
      </w:r>
      <w:r>
        <w:rPr>
          <w:rFonts w:ascii="SimSun" w:hAnsi="SimSun" w:eastAsia="SimSun" w:cs="SimSun"/>
          <w:sz w:val="21"/>
          <w:szCs w:val="21"/>
          <w:spacing w:val="8"/>
        </w:rPr>
        <w:t xml:space="preserve"> </w:t>
      </w:r>
      <w:r>
        <w:rPr>
          <w:rFonts w:ascii="SimSun" w:hAnsi="SimSun" w:eastAsia="SimSun" w:cs="SimSun"/>
          <w:sz w:val="21"/>
          <w:szCs w:val="21"/>
          <w:spacing w:val="-11"/>
        </w:rPr>
        <w:t>要素相比，数据要素在配置中的优点是可以重复使用，缺点也是可以</w:t>
      </w:r>
      <w:r>
        <w:rPr>
          <w:rFonts w:ascii="SimSun" w:hAnsi="SimSun" w:eastAsia="SimSun" w:cs="SimSun"/>
          <w:sz w:val="21"/>
          <w:szCs w:val="21"/>
          <w:spacing w:val="16"/>
        </w:rPr>
        <w:t xml:space="preserve"> </w:t>
      </w:r>
      <w:r>
        <w:rPr>
          <w:rFonts w:ascii="SimSun" w:hAnsi="SimSun" w:eastAsia="SimSun" w:cs="SimSun"/>
          <w:sz w:val="21"/>
          <w:szCs w:val="21"/>
          <w:spacing w:val="-14"/>
        </w:rPr>
        <w:t>重复使用。 一套数据谁都可以使用，不具有稀缺性，但又涉及复杂的</w:t>
      </w:r>
      <w:r>
        <w:rPr>
          <w:rFonts w:ascii="SimSun" w:hAnsi="SimSun" w:eastAsia="SimSun" w:cs="SimSun"/>
          <w:sz w:val="21"/>
          <w:szCs w:val="21"/>
          <w:spacing w:val="13"/>
        </w:rPr>
        <w:t xml:space="preserve"> </w:t>
      </w:r>
      <w:r>
        <w:rPr>
          <w:rFonts w:ascii="SimSun" w:hAnsi="SimSun" w:eastAsia="SimSun" w:cs="SimSun"/>
          <w:sz w:val="21"/>
          <w:szCs w:val="21"/>
          <w:spacing w:val="-11"/>
        </w:rPr>
        <w:t>利益博弈，给交易和定价造成困难，反过来会影响数据的收集与分析</w:t>
      </w:r>
      <w:r>
        <w:rPr>
          <w:rFonts w:ascii="SimSun" w:hAnsi="SimSun" w:eastAsia="SimSun" w:cs="SimSun"/>
          <w:sz w:val="21"/>
          <w:szCs w:val="21"/>
          <w:spacing w:val="7"/>
        </w:rPr>
        <w:t xml:space="preserve"> </w:t>
      </w:r>
      <w:r>
        <w:rPr>
          <w:rFonts w:ascii="SimSun" w:hAnsi="SimSun" w:eastAsia="SimSun" w:cs="SimSun"/>
          <w:sz w:val="21"/>
          <w:szCs w:val="21"/>
          <w:spacing w:val="-9"/>
        </w:rPr>
        <w:t>(详见第十章)。</w:t>
      </w:r>
    </w:p>
    <w:p>
      <w:pPr>
        <w:ind w:left="49" w:firstLine="429"/>
        <w:spacing w:before="140" w:line="290" w:lineRule="auto"/>
        <w:jc w:val="both"/>
        <w:rPr>
          <w:rFonts w:ascii="SimSun" w:hAnsi="SimSun" w:eastAsia="SimSun" w:cs="SimSun"/>
          <w:sz w:val="21"/>
          <w:szCs w:val="21"/>
        </w:rPr>
      </w:pPr>
      <w:r>
        <w:rPr>
          <w:rFonts w:ascii="SimSun" w:hAnsi="SimSun" w:eastAsia="SimSun" w:cs="SimSun"/>
          <w:sz w:val="21"/>
          <w:szCs w:val="21"/>
          <w:spacing w:val="-10"/>
        </w:rPr>
        <w:t>过去我国没有形成一套完善的数据治理框架，平台企业收集、使</w:t>
      </w:r>
      <w:r>
        <w:rPr>
          <w:rFonts w:ascii="SimSun" w:hAnsi="SimSun" w:eastAsia="SimSun" w:cs="SimSun"/>
          <w:sz w:val="21"/>
          <w:szCs w:val="21"/>
          <w:spacing w:val="9"/>
        </w:rPr>
        <w:t xml:space="preserve"> </w:t>
      </w:r>
      <w:r>
        <w:rPr>
          <w:rFonts w:ascii="SimSun" w:hAnsi="SimSun" w:eastAsia="SimSun" w:cs="SimSun"/>
          <w:sz w:val="21"/>
          <w:szCs w:val="21"/>
          <w:spacing w:val="-10"/>
        </w:rPr>
        <w:t>用数据的自由度比较大，好处是各种利用大数据分析的创新活动非常</w:t>
      </w:r>
      <w:r>
        <w:rPr>
          <w:rFonts w:ascii="SimSun" w:hAnsi="SimSun" w:eastAsia="SimSun" w:cs="SimSun"/>
          <w:sz w:val="21"/>
          <w:szCs w:val="21"/>
        </w:rPr>
        <w:t xml:space="preserve"> </w:t>
      </w:r>
      <w:r>
        <w:rPr>
          <w:rFonts w:ascii="SimSun" w:hAnsi="SimSun" w:eastAsia="SimSun" w:cs="SimSun"/>
          <w:sz w:val="21"/>
          <w:szCs w:val="21"/>
          <w:spacing w:val="-10"/>
        </w:rPr>
        <w:t>活跃，坏处是侵犯个人权益、破坏竞争秩序等现象非常普遍。</w:t>
      </w:r>
      <w:r>
        <w:rPr>
          <w:rFonts w:ascii="SimSun" w:hAnsi="SimSun" w:eastAsia="SimSun" w:cs="SimSun"/>
          <w:sz w:val="21"/>
          <w:szCs w:val="21"/>
          <w:spacing w:val="-11"/>
        </w:rPr>
        <w:t>概括起</w:t>
      </w:r>
      <w:r>
        <w:rPr>
          <w:rFonts w:ascii="SimSun" w:hAnsi="SimSun" w:eastAsia="SimSun" w:cs="SimSun"/>
          <w:sz w:val="21"/>
          <w:szCs w:val="21"/>
        </w:rPr>
        <w:t xml:space="preserve"> </w:t>
      </w:r>
      <w:r>
        <w:rPr>
          <w:rFonts w:ascii="SimSun" w:hAnsi="SimSun" w:eastAsia="SimSun" w:cs="SimSun"/>
          <w:sz w:val="21"/>
          <w:szCs w:val="21"/>
          <w:spacing w:val="-11"/>
        </w:rPr>
        <w:t>来，数据分析方面存在如下三大类问题。第一，个人隐私与</w:t>
      </w:r>
      <w:r>
        <w:rPr>
          <w:rFonts w:ascii="SimSun" w:hAnsi="SimSun" w:eastAsia="SimSun" w:cs="SimSun"/>
          <w:sz w:val="21"/>
          <w:szCs w:val="21"/>
          <w:spacing w:val="-12"/>
        </w:rPr>
        <w:t>权利没有 </w:t>
      </w:r>
      <w:r>
        <w:rPr>
          <w:rFonts w:ascii="SimSun" w:hAnsi="SimSun" w:eastAsia="SimSun" w:cs="SimSun"/>
          <w:sz w:val="21"/>
          <w:szCs w:val="21"/>
          <w:spacing w:val="-10"/>
        </w:rPr>
        <w:t>得到必要的保护。平台企业及其他平台服务提供商肆意扒取其他网站</w:t>
      </w:r>
    </w:p>
    <w:p>
      <w:pPr>
        <w:spacing w:line="290" w:lineRule="auto"/>
        <w:sectPr>
          <w:headerReference w:type="default" r:id="rId50"/>
          <w:pgSz w:w="7330" w:h="12480"/>
          <w:pgMar w:top="559" w:right="539" w:bottom="400" w:left="700" w:header="373"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46" w:firstLine="104"/>
        <w:spacing w:before="68" w:line="302" w:lineRule="auto"/>
        <w:jc w:val="both"/>
        <w:rPr>
          <w:rFonts w:ascii="SimSun" w:hAnsi="SimSun" w:eastAsia="SimSun" w:cs="SimSun"/>
          <w:sz w:val="21"/>
          <w:szCs w:val="21"/>
        </w:rPr>
      </w:pPr>
      <w:r>
        <w:rPr>
          <w:rFonts w:ascii="SimSun" w:hAnsi="SimSun" w:eastAsia="SimSun" w:cs="SimSun"/>
          <w:sz w:val="21"/>
          <w:szCs w:val="21"/>
          <w:spacing w:val="-11"/>
        </w:rPr>
        <w:t>的数据、收集手机用户的个人信息，甚至未经许可私自开启手机麦克</w:t>
      </w:r>
      <w:r>
        <w:rPr>
          <w:rFonts w:ascii="SimSun" w:hAnsi="SimSun" w:eastAsia="SimSun" w:cs="SimSun"/>
          <w:sz w:val="21"/>
          <w:szCs w:val="21"/>
          <w:spacing w:val="10"/>
        </w:rPr>
        <w:t xml:space="preserve"> </w:t>
      </w:r>
      <w:r>
        <w:rPr>
          <w:rFonts w:ascii="SimSun" w:hAnsi="SimSun" w:eastAsia="SimSun" w:cs="SimSun"/>
          <w:sz w:val="21"/>
          <w:szCs w:val="21"/>
          <w:spacing w:val="4"/>
        </w:rPr>
        <w:t>风、偷听谈话，这些都属于违法行为。2021年8月</w:t>
      </w:r>
      <w:r>
        <w:rPr>
          <w:rFonts w:ascii="SimSun" w:hAnsi="SimSun" w:eastAsia="SimSun" w:cs="SimSun"/>
          <w:sz w:val="21"/>
          <w:szCs w:val="21"/>
          <w:spacing w:val="3"/>
        </w:rPr>
        <w:t>全国人大通过了</w:t>
      </w:r>
      <w:r>
        <w:rPr>
          <w:rFonts w:ascii="SimSun" w:hAnsi="SimSun" w:eastAsia="SimSun" w:cs="SimSun"/>
          <w:sz w:val="21"/>
          <w:szCs w:val="21"/>
        </w:rPr>
        <w:t xml:space="preserve"> </w:t>
      </w:r>
      <w:r>
        <w:rPr>
          <w:rFonts w:ascii="SimSun" w:hAnsi="SimSun" w:eastAsia="SimSun" w:cs="SimSun"/>
          <w:sz w:val="21"/>
          <w:szCs w:val="21"/>
          <w:spacing w:val="-10"/>
        </w:rPr>
        <w:t>《中华人民共和国个人信息保护法》,相信我国在个人数据保护方面会</w:t>
      </w:r>
      <w:r>
        <w:rPr>
          <w:rFonts w:ascii="SimSun" w:hAnsi="SimSun" w:eastAsia="SimSun" w:cs="SimSun"/>
          <w:sz w:val="21"/>
          <w:szCs w:val="21"/>
        </w:rPr>
        <w:t xml:space="preserve"> </w:t>
      </w:r>
      <w:r>
        <w:rPr>
          <w:rFonts w:ascii="SimSun" w:hAnsi="SimSun" w:eastAsia="SimSun" w:cs="SimSun"/>
          <w:sz w:val="21"/>
          <w:szCs w:val="21"/>
          <w:spacing w:val="-7"/>
        </w:rPr>
        <w:t>发生巨大的改变。但当前一个更大的挑战是如何</w:t>
      </w:r>
      <w:r>
        <w:rPr>
          <w:rFonts w:ascii="SimSun" w:hAnsi="SimSun" w:eastAsia="SimSun" w:cs="SimSun"/>
          <w:sz w:val="21"/>
          <w:szCs w:val="21"/>
          <w:spacing w:val="-8"/>
        </w:rPr>
        <w:t>在保护必要的个人权</w:t>
      </w:r>
      <w:r>
        <w:rPr>
          <w:rFonts w:ascii="SimSun" w:hAnsi="SimSun" w:eastAsia="SimSun" w:cs="SimSun"/>
          <w:sz w:val="21"/>
          <w:szCs w:val="21"/>
        </w:rPr>
        <w:t xml:space="preserve"> </w:t>
      </w:r>
      <w:r>
        <w:rPr>
          <w:rFonts w:ascii="SimSun" w:hAnsi="SimSun" w:eastAsia="SimSun" w:cs="SimSun"/>
          <w:sz w:val="21"/>
          <w:szCs w:val="21"/>
          <w:spacing w:val="-7"/>
        </w:rPr>
        <w:t>利的同时，继续在数据的积累和分析之间取得好的平衡。</w:t>
      </w:r>
      <w:r>
        <w:rPr>
          <w:rFonts w:ascii="SimSun" w:hAnsi="SimSun" w:eastAsia="SimSun" w:cs="SimSun"/>
          <w:sz w:val="21"/>
          <w:szCs w:val="21"/>
          <w:spacing w:val="-8"/>
        </w:rPr>
        <w:t>过去的无序</w:t>
      </w:r>
      <w:r>
        <w:rPr>
          <w:rFonts w:ascii="SimSun" w:hAnsi="SimSun" w:eastAsia="SimSun" w:cs="SimSun"/>
          <w:sz w:val="21"/>
          <w:szCs w:val="21"/>
        </w:rPr>
        <w:t xml:space="preserve"> </w:t>
      </w:r>
      <w:r>
        <w:rPr>
          <w:rFonts w:ascii="SimSun" w:hAnsi="SimSun" w:eastAsia="SimSun" w:cs="SimSun"/>
          <w:sz w:val="21"/>
          <w:szCs w:val="21"/>
        </w:rPr>
        <w:t>现象固然需要改变，但如果采取十分严厉的保护措</w:t>
      </w:r>
      <w:r>
        <w:rPr>
          <w:rFonts w:ascii="SimSun" w:hAnsi="SimSun" w:eastAsia="SimSun" w:cs="SimSun"/>
          <w:sz w:val="21"/>
          <w:szCs w:val="21"/>
          <w:spacing w:val="-1"/>
        </w:rPr>
        <w:t>施导致数字经济</w:t>
      </w:r>
      <w:r>
        <w:rPr>
          <w:rFonts w:ascii="SimSun" w:hAnsi="SimSun" w:eastAsia="SimSun" w:cs="SimSun"/>
          <w:sz w:val="21"/>
          <w:szCs w:val="21"/>
        </w:rPr>
        <w:t xml:space="preserve"> </w:t>
      </w:r>
      <w:r>
        <w:rPr>
          <w:rFonts w:ascii="SimSun" w:hAnsi="SimSun" w:eastAsia="SimSun" w:cs="SimSun"/>
          <w:sz w:val="21"/>
          <w:szCs w:val="21"/>
          <w:spacing w:val="-1"/>
        </w:rPr>
        <w:t>(包括平台经济)萎缩，也不是理想的结果。</w:t>
      </w:r>
    </w:p>
    <w:p>
      <w:pPr>
        <w:ind w:left="104" w:firstLine="429"/>
        <w:spacing w:before="117" w:line="308" w:lineRule="auto"/>
        <w:jc w:val="both"/>
        <w:rPr>
          <w:rFonts w:ascii="SimSun" w:hAnsi="SimSun" w:eastAsia="SimSun" w:cs="SimSun"/>
          <w:sz w:val="21"/>
          <w:szCs w:val="21"/>
        </w:rPr>
      </w:pPr>
      <w:r>
        <w:rPr>
          <w:rFonts w:ascii="SimSun" w:hAnsi="SimSun" w:eastAsia="SimSun" w:cs="SimSun"/>
          <w:sz w:val="21"/>
          <w:szCs w:val="21"/>
          <w:spacing w:val="-3"/>
        </w:rPr>
        <w:t>第二，数据作为生产要素进行配置，尚需要完整的政策框架支</w:t>
      </w:r>
      <w:r>
        <w:rPr>
          <w:rFonts w:ascii="SimSun" w:hAnsi="SimSun" w:eastAsia="SimSun" w:cs="SimSun"/>
          <w:sz w:val="21"/>
          <w:szCs w:val="21"/>
          <w:spacing w:val="1"/>
        </w:rPr>
        <w:t xml:space="preserve"> </w:t>
      </w:r>
      <w:r>
        <w:rPr>
          <w:rFonts w:ascii="SimSun" w:hAnsi="SimSun" w:eastAsia="SimSun" w:cs="SimSun"/>
          <w:sz w:val="21"/>
          <w:szCs w:val="21"/>
          <w:spacing w:val="-10"/>
        </w:rPr>
        <w:t>持。目前所谓的大数据，基本上是几家大平</w:t>
      </w:r>
      <w:r>
        <w:rPr>
          <w:rFonts w:ascii="SimSun" w:hAnsi="SimSun" w:eastAsia="SimSun" w:cs="SimSun"/>
          <w:sz w:val="21"/>
          <w:szCs w:val="21"/>
          <w:spacing w:val="-11"/>
        </w:rPr>
        <w:t>台企业自有的数据，但即</w:t>
      </w:r>
      <w:r>
        <w:rPr>
          <w:rFonts w:ascii="SimSun" w:hAnsi="SimSun" w:eastAsia="SimSun" w:cs="SimSun"/>
          <w:sz w:val="21"/>
          <w:szCs w:val="21"/>
        </w:rPr>
        <w:t xml:space="preserve"> </w:t>
      </w:r>
      <w:r>
        <w:rPr>
          <w:rFonts w:ascii="SimSun" w:hAnsi="SimSun" w:eastAsia="SimSun" w:cs="SimSun"/>
          <w:sz w:val="21"/>
          <w:szCs w:val="21"/>
          <w:spacing w:val="-7"/>
        </w:rPr>
        <w:t>便是这样有限的“大数据”,也已经发挥了非常大的作用</w:t>
      </w:r>
      <w:r>
        <w:rPr>
          <w:rFonts w:ascii="SimSun" w:hAnsi="SimSun" w:eastAsia="SimSun" w:cs="SimSun"/>
          <w:sz w:val="21"/>
          <w:szCs w:val="21"/>
          <w:spacing w:val="-8"/>
        </w:rPr>
        <w:t>。那么数据</w:t>
      </w:r>
      <w:r>
        <w:rPr>
          <w:rFonts w:ascii="SimSun" w:hAnsi="SimSun" w:eastAsia="SimSun" w:cs="SimSun"/>
          <w:sz w:val="21"/>
          <w:szCs w:val="21"/>
        </w:rPr>
        <w:t xml:space="preserve"> </w:t>
      </w:r>
      <w:r>
        <w:rPr>
          <w:rFonts w:ascii="SimSun" w:hAnsi="SimSun" w:eastAsia="SimSun" w:cs="SimSun"/>
          <w:sz w:val="21"/>
          <w:szCs w:val="21"/>
          <w:spacing w:val="-7"/>
        </w:rPr>
        <w:t>究竟是分散在不同的平台企业好，还是集中起来好?如果数据集中的</w:t>
      </w:r>
      <w:r>
        <w:rPr>
          <w:rFonts w:ascii="SimSun" w:hAnsi="SimSun" w:eastAsia="SimSun" w:cs="SimSun"/>
          <w:sz w:val="21"/>
          <w:szCs w:val="21"/>
        </w:rPr>
        <w:t xml:space="preserve"> </w:t>
      </w:r>
      <w:r>
        <w:rPr>
          <w:rFonts w:ascii="SimSun" w:hAnsi="SimSun" w:eastAsia="SimSun" w:cs="SimSun"/>
          <w:sz w:val="21"/>
          <w:szCs w:val="21"/>
          <w:spacing w:val="-16"/>
        </w:rPr>
        <w:t>可行性不高，那就得考虑有效共享的问题。事实上，</w:t>
      </w:r>
      <w:r>
        <w:rPr>
          <w:rFonts w:ascii="SimSun" w:hAnsi="SimSun" w:eastAsia="SimSun" w:cs="SimSun"/>
          <w:sz w:val="21"/>
          <w:szCs w:val="21"/>
          <w:spacing w:val="50"/>
        </w:rPr>
        <w:t xml:space="preserve"> </w:t>
      </w:r>
      <w:r>
        <w:rPr>
          <w:rFonts w:ascii="SimSun" w:hAnsi="SimSun" w:eastAsia="SimSun" w:cs="SimSun"/>
          <w:sz w:val="21"/>
          <w:szCs w:val="21"/>
          <w:spacing w:val="-16"/>
        </w:rPr>
        <w:t>一些静态的数据 </w:t>
      </w:r>
      <w:r>
        <w:rPr>
          <w:rFonts w:ascii="SimSun" w:hAnsi="SimSun" w:eastAsia="SimSun" w:cs="SimSun"/>
          <w:sz w:val="21"/>
          <w:szCs w:val="21"/>
          <w:spacing w:val="-11"/>
        </w:rPr>
        <w:t>比如税收、房租、水电费等，只要本人授权，共享相对比较容易，使 </w:t>
      </w:r>
      <w:r>
        <w:rPr>
          <w:rFonts w:ascii="SimSun" w:hAnsi="SimSun" w:eastAsia="SimSun" w:cs="SimSun"/>
          <w:sz w:val="21"/>
          <w:szCs w:val="21"/>
          <w:spacing w:val="-11"/>
        </w:rPr>
        <w:t>用起来也简单。而一些动态的数据如购物、社交、搜索数据等，本来 </w:t>
      </w:r>
      <w:r>
        <w:rPr>
          <w:rFonts w:ascii="SimSun" w:hAnsi="SimSun" w:eastAsia="SimSun" w:cs="SimSun"/>
          <w:sz w:val="21"/>
          <w:szCs w:val="21"/>
          <w:spacing w:val="-11"/>
        </w:rPr>
        <w:t>就是非标准信息，本人也不见得完全了解信息的内容，共享、使用的</w:t>
      </w:r>
      <w:r>
        <w:rPr>
          <w:rFonts w:ascii="SimSun" w:hAnsi="SimSun" w:eastAsia="SimSun" w:cs="SimSun"/>
          <w:sz w:val="21"/>
          <w:szCs w:val="21"/>
          <w:spacing w:val="14"/>
        </w:rPr>
        <w:t xml:space="preserve"> </w:t>
      </w:r>
      <w:r>
        <w:rPr>
          <w:rFonts w:ascii="SimSun" w:hAnsi="SimSun" w:eastAsia="SimSun" w:cs="SimSun"/>
          <w:sz w:val="21"/>
          <w:szCs w:val="21"/>
          <w:spacing w:val="-4"/>
        </w:rPr>
        <w:t>难度就很高。其实，目前已经有成熟技术可以在保护隐私的前提下</w:t>
      </w:r>
      <w:r>
        <w:rPr>
          <w:rFonts w:ascii="SimSun" w:hAnsi="SimSun" w:eastAsia="SimSun" w:cs="SimSun"/>
          <w:sz w:val="21"/>
          <w:szCs w:val="21"/>
          <w:spacing w:val="8"/>
        </w:rPr>
        <w:t xml:space="preserve"> </w:t>
      </w:r>
      <w:r>
        <w:rPr>
          <w:rFonts w:ascii="SimSun" w:hAnsi="SimSun" w:eastAsia="SimSun" w:cs="SimSun"/>
          <w:sz w:val="21"/>
          <w:szCs w:val="21"/>
          <w:spacing w:val="-4"/>
        </w:rPr>
        <w:t>支持数据的共享与使用，比如联邦算法等。但更大的挑战是政策层</w:t>
      </w:r>
      <w:r>
        <w:rPr>
          <w:rFonts w:ascii="SimSun" w:hAnsi="SimSun" w:eastAsia="SimSun" w:cs="SimSun"/>
          <w:sz w:val="21"/>
          <w:szCs w:val="21"/>
          <w:spacing w:val="7"/>
        </w:rPr>
        <w:t xml:space="preserve"> </w:t>
      </w:r>
      <w:r>
        <w:rPr>
          <w:rFonts w:ascii="SimSun" w:hAnsi="SimSun" w:eastAsia="SimSun" w:cs="SimSun"/>
          <w:sz w:val="21"/>
          <w:szCs w:val="21"/>
          <w:spacing w:val="-9"/>
        </w:rPr>
        <w:t>面的：比如确权，数据究竟归谁；比如定价，如何评估数据的价值；</w:t>
      </w:r>
      <w:r>
        <w:rPr>
          <w:rFonts w:ascii="SimSun" w:hAnsi="SimSun" w:eastAsia="SimSun" w:cs="SimSun"/>
          <w:sz w:val="21"/>
          <w:szCs w:val="21"/>
          <w:spacing w:val="14"/>
        </w:rPr>
        <w:t xml:space="preserve"> </w:t>
      </w:r>
      <w:r>
        <w:rPr>
          <w:rFonts w:ascii="SimSun" w:hAnsi="SimSun" w:eastAsia="SimSun" w:cs="SimSun"/>
          <w:sz w:val="21"/>
          <w:szCs w:val="21"/>
          <w:spacing w:val="-9"/>
        </w:rPr>
        <w:t>等等。</w:t>
      </w:r>
    </w:p>
    <w:p>
      <w:pPr>
        <w:ind w:left="104" w:right="25" w:firstLine="440"/>
        <w:spacing w:before="113" w:line="304" w:lineRule="auto"/>
        <w:jc w:val="both"/>
        <w:rPr>
          <w:rFonts w:ascii="SimSun" w:hAnsi="SimSun" w:eastAsia="SimSun" w:cs="SimSun"/>
          <w:sz w:val="21"/>
          <w:szCs w:val="21"/>
        </w:rPr>
      </w:pPr>
      <w:r>
        <w:rPr>
          <w:rFonts w:ascii="SimSun" w:hAnsi="SimSun" w:eastAsia="SimSun" w:cs="SimSun"/>
          <w:sz w:val="21"/>
          <w:szCs w:val="21"/>
          <w:spacing w:val="-11"/>
        </w:rPr>
        <w:t>第三，算法的运用也需要一套能被各方接受的规则。应该说，大</w:t>
      </w:r>
      <w:r>
        <w:rPr>
          <w:rFonts w:ascii="SimSun" w:hAnsi="SimSun" w:eastAsia="SimSun" w:cs="SimSun"/>
          <w:sz w:val="21"/>
          <w:szCs w:val="21"/>
          <w:spacing w:val="6"/>
        </w:rPr>
        <w:t xml:space="preserve"> </w:t>
      </w:r>
      <w:r>
        <w:rPr>
          <w:rFonts w:ascii="SimSun" w:hAnsi="SimSun" w:eastAsia="SimSun" w:cs="SimSun"/>
          <w:sz w:val="21"/>
          <w:szCs w:val="21"/>
          <w:spacing w:val="-11"/>
        </w:rPr>
        <w:t>数据算法其实是平台经济生产力的一个重要源泉。有了好的算法，才</w:t>
      </w:r>
      <w:r>
        <w:rPr>
          <w:rFonts w:ascii="SimSun" w:hAnsi="SimSun" w:eastAsia="SimSun" w:cs="SimSun"/>
          <w:sz w:val="21"/>
          <w:szCs w:val="21"/>
          <w:spacing w:val="7"/>
        </w:rPr>
        <w:t xml:space="preserve"> </w:t>
      </w:r>
      <w:r>
        <w:rPr>
          <w:rFonts w:ascii="SimSun" w:hAnsi="SimSun" w:eastAsia="SimSun" w:cs="SimSun"/>
          <w:sz w:val="21"/>
          <w:szCs w:val="21"/>
          <w:spacing w:val="-11"/>
        </w:rPr>
        <w:t>有可能精准营销、控制风险、改善用户体验。数字金融中的大科技信</w:t>
      </w:r>
      <w:r>
        <w:rPr>
          <w:rFonts w:ascii="SimSun" w:hAnsi="SimSun" w:eastAsia="SimSun" w:cs="SimSun"/>
          <w:sz w:val="21"/>
          <w:szCs w:val="21"/>
          <w:spacing w:val="12"/>
        </w:rPr>
        <w:t xml:space="preserve"> </w:t>
      </w:r>
      <w:r>
        <w:rPr>
          <w:rFonts w:ascii="SimSun" w:hAnsi="SimSun" w:eastAsia="SimSun" w:cs="SimSun"/>
          <w:sz w:val="21"/>
          <w:szCs w:val="21"/>
          <w:spacing w:val="-11"/>
        </w:rPr>
        <w:t>贷就是利用大数据和算法进行信用风险评估，为缺乏财务数据和抵押</w:t>
      </w:r>
      <w:r>
        <w:rPr>
          <w:rFonts w:ascii="SimSun" w:hAnsi="SimSun" w:eastAsia="SimSun" w:cs="SimSun"/>
          <w:sz w:val="21"/>
          <w:szCs w:val="21"/>
          <w:spacing w:val="15"/>
        </w:rPr>
        <w:t xml:space="preserve"> </w:t>
      </w:r>
      <w:r>
        <w:rPr>
          <w:rFonts w:ascii="SimSun" w:hAnsi="SimSun" w:eastAsia="SimSun" w:cs="SimSun"/>
          <w:sz w:val="21"/>
          <w:szCs w:val="21"/>
          <w:spacing w:val="-11"/>
        </w:rPr>
        <w:t>资产的企业与个人发放贷款。但数据算法也有不少问题，遭受最大诟</w:t>
      </w:r>
      <w:r>
        <w:rPr>
          <w:rFonts w:ascii="SimSun" w:hAnsi="SimSun" w:eastAsia="SimSun" w:cs="SimSun"/>
          <w:sz w:val="21"/>
          <w:szCs w:val="21"/>
          <w:spacing w:val="9"/>
        </w:rPr>
        <w:t xml:space="preserve"> </w:t>
      </w:r>
      <w:r>
        <w:rPr>
          <w:rFonts w:ascii="SimSun" w:hAnsi="SimSun" w:eastAsia="SimSun" w:cs="SimSun"/>
          <w:sz w:val="21"/>
          <w:szCs w:val="21"/>
          <w:spacing w:val="1"/>
        </w:rPr>
        <w:t>病的是算法黑箱(不透明的算法目标、意图</w:t>
      </w:r>
      <w:r>
        <w:rPr>
          <w:rFonts w:ascii="SimSun" w:hAnsi="SimSun" w:eastAsia="SimSun" w:cs="SimSun"/>
          <w:sz w:val="21"/>
          <w:szCs w:val="21"/>
        </w:rPr>
        <w:t>和责任)和算法歧视(利 </w:t>
      </w:r>
      <w:r>
        <w:rPr>
          <w:rFonts w:ascii="SimSun" w:hAnsi="SimSun" w:eastAsia="SimSun" w:cs="SimSun"/>
          <w:sz w:val="21"/>
          <w:szCs w:val="21"/>
          <w:spacing w:val="-12"/>
        </w:rPr>
        <w:t>用算法自动实现差别对待)。</w:t>
      </w:r>
      <w:r>
        <w:rPr>
          <w:rFonts w:ascii="SimSun" w:hAnsi="SimSun" w:eastAsia="SimSun" w:cs="SimSun"/>
          <w:sz w:val="21"/>
          <w:szCs w:val="21"/>
          <w:spacing w:val="41"/>
        </w:rPr>
        <w:t xml:space="preserve"> </w:t>
      </w:r>
      <w:r>
        <w:rPr>
          <w:rFonts w:ascii="SimSun" w:hAnsi="SimSun" w:eastAsia="SimSun" w:cs="SimSun"/>
          <w:sz w:val="21"/>
          <w:szCs w:val="21"/>
          <w:spacing w:val="-12"/>
        </w:rPr>
        <w:t>一个客观问题是，虽然大数据可以帮助</w:t>
      </w:r>
      <w:r>
        <w:rPr>
          <w:rFonts w:ascii="SimSun" w:hAnsi="SimSun" w:eastAsia="SimSun" w:cs="SimSun"/>
          <w:sz w:val="21"/>
          <w:szCs w:val="21"/>
        </w:rPr>
        <w:t xml:space="preserve"> </w:t>
      </w:r>
      <w:r>
        <w:rPr>
          <w:rFonts w:ascii="SimSun" w:hAnsi="SimSun" w:eastAsia="SimSun" w:cs="SimSun"/>
          <w:sz w:val="21"/>
          <w:szCs w:val="21"/>
          <w:spacing w:val="-10"/>
        </w:rPr>
        <w:t>平台降低信息不对称的程度，从而更好地优化流程、匹配交</w:t>
      </w:r>
      <w:r>
        <w:rPr>
          <w:rFonts w:ascii="SimSun" w:hAnsi="SimSun" w:eastAsia="SimSun" w:cs="SimSun"/>
          <w:sz w:val="21"/>
          <w:szCs w:val="21"/>
          <w:spacing w:val="-11"/>
        </w:rPr>
        <w:t>易、控制</w:t>
      </w:r>
    </w:p>
    <w:p>
      <w:pPr>
        <w:spacing w:line="304" w:lineRule="auto"/>
        <w:sectPr>
          <w:headerReference w:type="default" r:id="rId51"/>
          <w:pgSz w:w="7330" w:h="12480"/>
          <w:pgMar w:top="869" w:right="814" w:bottom="400" w:left="364" w:header="702"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105" w:right="100"/>
        <w:spacing w:before="69" w:line="297" w:lineRule="auto"/>
        <w:jc w:val="both"/>
        <w:rPr>
          <w:rFonts w:ascii="SimSun" w:hAnsi="SimSun" w:eastAsia="SimSun" w:cs="SimSun"/>
          <w:sz w:val="21"/>
          <w:szCs w:val="21"/>
        </w:rPr>
      </w:pPr>
      <w:r>
        <w:rPr>
          <w:rFonts w:ascii="SimSun" w:hAnsi="SimSun" w:eastAsia="SimSun" w:cs="SimSun"/>
          <w:sz w:val="21"/>
          <w:szCs w:val="21"/>
          <w:spacing w:val="-10"/>
        </w:rPr>
        <w:t>风险，但对平台参与者，包括电商、出租车司机、外卖员和消</w:t>
      </w:r>
      <w:r>
        <w:rPr>
          <w:rFonts w:ascii="SimSun" w:hAnsi="SimSun" w:eastAsia="SimSun" w:cs="SimSun"/>
          <w:sz w:val="21"/>
          <w:szCs w:val="21"/>
          <w:spacing w:val="-11"/>
        </w:rPr>
        <w:t>费者来</w:t>
      </w:r>
      <w:r>
        <w:rPr>
          <w:rFonts w:ascii="SimSun" w:hAnsi="SimSun" w:eastAsia="SimSun" w:cs="SimSun"/>
          <w:sz w:val="21"/>
          <w:szCs w:val="21"/>
        </w:rPr>
        <w:t xml:space="preserve"> </w:t>
      </w:r>
      <w:r>
        <w:rPr>
          <w:rFonts w:ascii="SimSun" w:hAnsi="SimSun" w:eastAsia="SimSun" w:cs="SimSun"/>
          <w:sz w:val="21"/>
          <w:szCs w:val="21"/>
          <w:spacing w:val="-9"/>
        </w:rPr>
        <w:t>说，信息不对称的程度可能反而提高了。这</w:t>
      </w:r>
      <w:r>
        <w:rPr>
          <w:rFonts w:ascii="SimSun" w:hAnsi="SimSun" w:eastAsia="SimSun" w:cs="SimSun"/>
          <w:sz w:val="21"/>
          <w:szCs w:val="21"/>
          <w:spacing w:val="-10"/>
        </w:rPr>
        <w:t>样一来，平台对用户实行</w:t>
      </w:r>
      <w:r>
        <w:rPr>
          <w:rFonts w:ascii="SimSun" w:hAnsi="SimSun" w:eastAsia="SimSun" w:cs="SimSun"/>
          <w:sz w:val="21"/>
          <w:szCs w:val="21"/>
        </w:rPr>
        <w:t xml:space="preserve"> </w:t>
      </w:r>
      <w:r>
        <w:rPr>
          <w:rFonts w:ascii="SimSun" w:hAnsi="SimSun" w:eastAsia="SimSun" w:cs="SimSun"/>
          <w:sz w:val="21"/>
          <w:szCs w:val="21"/>
          <w:spacing w:val="-10"/>
        </w:rPr>
        <w:t>千人千面的定价策略，很容易引发消费者关于歧视性定价的猜测，而</w:t>
      </w:r>
      <w:r>
        <w:rPr>
          <w:rFonts w:ascii="SimSun" w:hAnsi="SimSun" w:eastAsia="SimSun" w:cs="SimSun"/>
          <w:sz w:val="21"/>
          <w:szCs w:val="21"/>
        </w:rPr>
        <w:t xml:space="preserve"> </w:t>
      </w:r>
      <w:r>
        <w:rPr>
          <w:rFonts w:ascii="SimSun" w:hAnsi="SimSun" w:eastAsia="SimSun" w:cs="SimSun"/>
          <w:sz w:val="21"/>
          <w:szCs w:val="21"/>
          <w:spacing w:val="-3"/>
        </w:rPr>
        <w:t>这极可能是因为算法黑箱，也可能是因为算法歧视，或者</w:t>
      </w:r>
      <w:r>
        <w:rPr>
          <w:rFonts w:ascii="SimSun" w:hAnsi="SimSun" w:eastAsia="SimSun" w:cs="SimSun"/>
          <w:sz w:val="21"/>
          <w:szCs w:val="21"/>
          <w:spacing w:val="-4"/>
        </w:rPr>
        <w:t>两者兼而</w:t>
      </w:r>
      <w:r>
        <w:rPr>
          <w:rFonts w:ascii="SimSun" w:hAnsi="SimSun" w:eastAsia="SimSun" w:cs="SimSun"/>
          <w:sz w:val="21"/>
          <w:szCs w:val="21"/>
        </w:rPr>
        <w:t xml:space="preserve"> </w:t>
      </w:r>
      <w:r>
        <w:rPr>
          <w:rFonts w:ascii="SimSun" w:hAnsi="SimSun" w:eastAsia="SimSun" w:cs="SimSun"/>
          <w:sz w:val="21"/>
          <w:szCs w:val="21"/>
          <w:spacing w:val="-9"/>
        </w:rPr>
        <w:t>有之。</w:t>
      </w:r>
    </w:p>
    <w:p>
      <w:pPr>
        <w:ind w:left="105" w:right="50" w:firstLine="480"/>
        <w:spacing w:before="109" w:line="297" w:lineRule="auto"/>
        <w:jc w:val="both"/>
        <w:rPr>
          <w:rFonts w:ascii="SimSun" w:hAnsi="SimSun" w:eastAsia="SimSun" w:cs="SimSun"/>
          <w:sz w:val="21"/>
          <w:szCs w:val="21"/>
        </w:rPr>
      </w:pPr>
      <w:r>
        <w:rPr>
          <w:rFonts w:ascii="SimSun" w:hAnsi="SimSun" w:eastAsia="SimSun" w:cs="SimSun"/>
          <w:sz w:val="21"/>
          <w:szCs w:val="21"/>
          <w:spacing w:val="-3"/>
        </w:rPr>
        <w:t>最近几年，政府相关部门正在抓紧完善数据治理的政策，这是</w:t>
      </w:r>
      <w:r>
        <w:rPr>
          <w:rFonts w:ascii="SimSun" w:hAnsi="SimSun" w:eastAsia="SimSun" w:cs="SimSun"/>
          <w:sz w:val="21"/>
          <w:szCs w:val="21"/>
        </w:rPr>
        <w:t xml:space="preserve"> </w:t>
      </w:r>
      <w:r>
        <w:rPr>
          <w:rFonts w:ascii="SimSun" w:hAnsi="SimSun" w:eastAsia="SimSun" w:cs="SimSun"/>
          <w:sz w:val="21"/>
          <w:szCs w:val="21"/>
          <w:spacing w:val="-10"/>
        </w:rPr>
        <w:t>对过去几乎放任自流现象的纠正，但构建数据治理政策框</w:t>
      </w:r>
      <w:r>
        <w:rPr>
          <w:rFonts w:ascii="SimSun" w:hAnsi="SimSun" w:eastAsia="SimSun" w:cs="SimSun"/>
          <w:sz w:val="21"/>
          <w:szCs w:val="21"/>
          <w:spacing w:val="-11"/>
        </w:rPr>
        <w:t>架的努力可 </w:t>
      </w:r>
      <w:r>
        <w:rPr>
          <w:rFonts w:ascii="SimSun" w:hAnsi="SimSun" w:eastAsia="SimSun" w:cs="SimSun"/>
          <w:sz w:val="21"/>
          <w:szCs w:val="21"/>
          <w:spacing w:val="-10"/>
        </w:rPr>
        <w:t>能才刚刚开始。最大的挑战是如何建立一个务实的框架，</w:t>
      </w:r>
      <w:r>
        <w:rPr>
          <w:rFonts w:ascii="SimSun" w:hAnsi="SimSun" w:eastAsia="SimSun" w:cs="SimSun"/>
          <w:sz w:val="21"/>
          <w:szCs w:val="21"/>
          <w:spacing w:val="-11"/>
        </w:rPr>
        <w:t>既能保护权 </w:t>
      </w:r>
      <w:r>
        <w:rPr>
          <w:rFonts w:ascii="SimSun" w:hAnsi="SimSun" w:eastAsia="SimSun" w:cs="SimSun"/>
          <w:sz w:val="21"/>
          <w:szCs w:val="21"/>
          <w:spacing w:val="-10"/>
        </w:rPr>
        <w:t>益，又能发挥效率，走极端不是好的选择。不保护数据，</w:t>
      </w:r>
      <w:r>
        <w:rPr>
          <w:rFonts w:ascii="SimSun" w:hAnsi="SimSun" w:eastAsia="SimSun" w:cs="SimSun"/>
          <w:sz w:val="21"/>
          <w:szCs w:val="21"/>
          <w:spacing w:val="-11"/>
        </w:rPr>
        <w:t>容易造成一 </w:t>
      </w:r>
      <w:r>
        <w:rPr>
          <w:rFonts w:ascii="SimSun" w:hAnsi="SimSun" w:eastAsia="SimSun" w:cs="SimSun"/>
          <w:sz w:val="21"/>
          <w:szCs w:val="21"/>
          <w:spacing w:val="-11"/>
        </w:rPr>
        <w:t>片混乱；保护过度，则有可能扼杀创新活动。</w:t>
      </w:r>
    </w:p>
    <w:p>
      <w:pPr>
        <w:pStyle w:val="BodyText"/>
        <w:spacing w:line="383" w:lineRule="auto"/>
        <w:rPr/>
      </w:pPr>
      <w:r/>
    </w:p>
    <w:p>
      <w:pPr>
        <w:ind w:left="108"/>
        <w:spacing w:before="81" w:line="222" w:lineRule="auto"/>
        <w:rPr>
          <w:rFonts w:ascii="SimHei" w:hAnsi="SimHei" w:eastAsia="SimHei" w:cs="SimHei"/>
          <w:sz w:val="25"/>
          <w:szCs w:val="25"/>
        </w:rPr>
      </w:pPr>
      <w:r>
        <w:rPr>
          <w:rFonts w:ascii="SimHei" w:hAnsi="SimHei" w:eastAsia="SimHei" w:cs="SimHei"/>
          <w:sz w:val="25"/>
          <w:szCs w:val="25"/>
          <w:b/>
          <w:bCs/>
          <w:spacing w:val="-12"/>
        </w:rPr>
        <w:t>不规范行为</w:t>
      </w:r>
    </w:p>
    <w:p>
      <w:pPr>
        <w:pStyle w:val="BodyText"/>
        <w:spacing w:line="344" w:lineRule="auto"/>
        <w:rPr/>
      </w:pPr>
      <w:r/>
    </w:p>
    <w:p>
      <w:pPr>
        <w:ind w:left="105" w:right="2" w:firstLine="519"/>
        <w:spacing w:before="68" w:line="300" w:lineRule="auto"/>
        <w:rPr>
          <w:rFonts w:ascii="SimSun" w:hAnsi="SimSun" w:eastAsia="SimSun" w:cs="SimSun"/>
          <w:sz w:val="21"/>
          <w:szCs w:val="21"/>
        </w:rPr>
      </w:pPr>
      <w:r>
        <w:rPr>
          <w:rFonts w:ascii="SimSun" w:hAnsi="SimSun" w:eastAsia="SimSun" w:cs="SimSun"/>
          <w:sz w:val="21"/>
          <w:szCs w:val="21"/>
          <w:spacing w:val="-10"/>
        </w:rPr>
        <w:t>在平台经济治理的过程中，出现最多的一个名词是“垄断</w:t>
      </w:r>
      <w:r>
        <w:rPr>
          <w:rFonts w:ascii="SimSun" w:hAnsi="SimSun" w:eastAsia="SimSun" w:cs="SimSun"/>
          <w:sz w:val="21"/>
          <w:szCs w:val="21"/>
          <w:spacing w:val="-11"/>
        </w:rPr>
        <w:t>”。这</w:t>
      </w:r>
      <w:r>
        <w:rPr>
          <w:rFonts w:ascii="SimSun" w:hAnsi="SimSun" w:eastAsia="SimSun" w:cs="SimSun"/>
          <w:sz w:val="21"/>
          <w:szCs w:val="21"/>
        </w:rPr>
        <w:t xml:space="preserve"> </w:t>
      </w:r>
      <w:r>
        <w:rPr>
          <w:rFonts w:ascii="SimSun" w:hAnsi="SimSun" w:eastAsia="SimSun" w:cs="SimSun"/>
          <w:sz w:val="21"/>
          <w:szCs w:val="21"/>
          <w:spacing w:val="-10"/>
        </w:rPr>
        <w:t>在直观上非常容易理解，成功的平台基本上都是超大规模的企</w:t>
      </w:r>
      <w:r>
        <w:rPr>
          <w:rFonts w:ascii="SimSun" w:hAnsi="SimSun" w:eastAsia="SimSun" w:cs="SimSun"/>
          <w:sz w:val="21"/>
          <w:szCs w:val="21"/>
          <w:spacing w:val="-11"/>
        </w:rPr>
        <w:t>业，再</w:t>
      </w:r>
      <w:r>
        <w:rPr>
          <w:rFonts w:ascii="SimSun" w:hAnsi="SimSun" w:eastAsia="SimSun" w:cs="SimSun"/>
          <w:sz w:val="21"/>
          <w:szCs w:val="21"/>
        </w:rPr>
        <w:t xml:space="preserve">  </w:t>
      </w:r>
      <w:r>
        <w:rPr>
          <w:rFonts w:ascii="SimSun" w:hAnsi="SimSun" w:eastAsia="SimSun" w:cs="SimSun"/>
          <w:sz w:val="21"/>
          <w:szCs w:val="21"/>
          <w:spacing w:val="-3"/>
        </w:rPr>
        <w:t>加上平台企业的网络效应、规模经济和范围经济等</w:t>
      </w:r>
      <w:r>
        <w:rPr>
          <w:rFonts w:ascii="SimSun" w:hAnsi="SimSun" w:eastAsia="SimSun" w:cs="SimSun"/>
          <w:sz w:val="21"/>
          <w:szCs w:val="21"/>
          <w:spacing w:val="-4"/>
        </w:rPr>
        <w:t>特性，平台企业</w:t>
      </w:r>
      <w:r>
        <w:rPr>
          <w:rFonts w:ascii="SimSun" w:hAnsi="SimSun" w:eastAsia="SimSun" w:cs="SimSun"/>
          <w:sz w:val="21"/>
          <w:szCs w:val="21"/>
        </w:rPr>
        <w:t xml:space="preserve">  </w:t>
      </w:r>
      <w:r>
        <w:rPr>
          <w:rFonts w:ascii="SimSun" w:hAnsi="SimSun" w:eastAsia="SimSun" w:cs="SimSun"/>
          <w:sz w:val="21"/>
          <w:szCs w:val="21"/>
          <w:spacing w:val="-10"/>
        </w:rPr>
        <w:t>较容易形成很强的市场势力并滥用这个势力获取超额利润。不过，如</w:t>
      </w:r>
      <w:r>
        <w:rPr>
          <w:rFonts w:ascii="SimSun" w:hAnsi="SimSun" w:eastAsia="SimSun" w:cs="SimSun"/>
          <w:sz w:val="21"/>
          <w:szCs w:val="21"/>
          <w:spacing w:val="1"/>
        </w:rPr>
        <w:t xml:space="preserve">  </w:t>
      </w:r>
      <w:r>
        <w:rPr>
          <w:rFonts w:ascii="SimSun" w:hAnsi="SimSun" w:eastAsia="SimSun" w:cs="SimSun"/>
          <w:sz w:val="21"/>
          <w:szCs w:val="21"/>
          <w:spacing w:val="-10"/>
        </w:rPr>
        <w:t>果仔细推敲，可以发现公众对平台企业抱怨更多的是不规范的市场行</w:t>
      </w:r>
      <w:r>
        <w:rPr>
          <w:rFonts w:ascii="SimSun" w:hAnsi="SimSun" w:eastAsia="SimSun" w:cs="SimSun"/>
          <w:sz w:val="21"/>
          <w:szCs w:val="21"/>
        </w:rPr>
        <w:t xml:space="preserve">  </w:t>
      </w:r>
      <w:r>
        <w:rPr>
          <w:rFonts w:ascii="SimSun" w:hAnsi="SimSun" w:eastAsia="SimSun" w:cs="SimSun"/>
          <w:sz w:val="21"/>
          <w:szCs w:val="21"/>
          <w:spacing w:val="-11"/>
        </w:rPr>
        <w:t>为，而不一定是严格意义上的垄断行为。</w:t>
      </w:r>
    </w:p>
    <w:p>
      <w:pPr>
        <w:ind w:firstLine="635"/>
        <w:spacing w:before="110" w:line="304" w:lineRule="auto"/>
        <w:rPr>
          <w:rFonts w:ascii="SimSun" w:hAnsi="SimSun" w:eastAsia="SimSun" w:cs="SimSun"/>
          <w:sz w:val="21"/>
          <w:szCs w:val="21"/>
        </w:rPr>
      </w:pPr>
      <w:r>
        <w:rPr>
          <w:rFonts w:ascii="SimSun" w:hAnsi="SimSun" w:eastAsia="SimSun" w:cs="SimSun"/>
          <w:sz w:val="21"/>
          <w:szCs w:val="21"/>
          <w:spacing w:val="-11"/>
        </w:rPr>
        <w:t>关于什么是垄断，特别是如何判断平台经济中的垄断，下文将展</w:t>
      </w:r>
      <w:r>
        <w:rPr>
          <w:rFonts w:ascii="SimSun" w:hAnsi="SimSun" w:eastAsia="SimSun" w:cs="SimSun"/>
          <w:sz w:val="21"/>
          <w:szCs w:val="21"/>
          <w:spacing w:val="17"/>
        </w:rPr>
        <w:t xml:space="preserve"> </w:t>
      </w:r>
      <w:r>
        <w:rPr>
          <w:rFonts w:ascii="SimSun" w:hAnsi="SimSun" w:eastAsia="SimSun" w:cs="SimSun"/>
          <w:sz w:val="21"/>
          <w:szCs w:val="21"/>
          <w:spacing w:val="-9"/>
        </w:rPr>
        <w:t>开专门的讨论，</w:t>
      </w:r>
      <w:r>
        <w:rPr>
          <w:rFonts w:ascii="SimSun" w:hAnsi="SimSun" w:eastAsia="SimSun" w:cs="SimSun"/>
          <w:sz w:val="21"/>
          <w:szCs w:val="21"/>
          <w:spacing w:val="-31"/>
        </w:rPr>
        <w:t xml:space="preserve"> </w:t>
      </w:r>
      <w:r>
        <w:rPr>
          <w:rFonts w:ascii="SimSun" w:hAnsi="SimSun" w:eastAsia="SimSun" w:cs="SimSun"/>
          <w:sz w:val="21"/>
          <w:szCs w:val="21"/>
          <w:u w:val="single" w:color="auto"/>
          <w:spacing w:val="-9"/>
        </w:rPr>
        <w:t>这里</w:t>
      </w:r>
      <w:r>
        <w:rPr>
          <w:rFonts w:ascii="SimSun" w:hAnsi="SimSun" w:eastAsia="SimSun" w:cs="SimSun"/>
          <w:sz w:val="21"/>
          <w:szCs w:val="21"/>
          <w:spacing w:val="-9"/>
        </w:rPr>
        <w:t>关注的主要是不规范的市场行为。之所以有必要</w:t>
      </w:r>
      <w:r>
        <w:rPr>
          <w:rFonts w:ascii="SimSun" w:hAnsi="SimSun" w:eastAsia="SimSun" w:cs="SimSun"/>
          <w:sz w:val="21"/>
          <w:szCs w:val="21"/>
        </w:rPr>
        <w:t xml:space="preserve">  </w:t>
      </w:r>
      <w:r>
        <w:rPr>
          <w:rFonts w:ascii="SimSun" w:hAnsi="SimSun" w:eastAsia="SimSun" w:cs="SimSun"/>
          <w:sz w:val="21"/>
          <w:szCs w:val="21"/>
          <w:spacing w:val="-4"/>
        </w:rPr>
        <w:t>区分垄断行为与不规范行为，是因为公众容易混淆两者之间的关</w:t>
      </w:r>
      <w:r>
        <w:rPr>
          <w:rFonts w:ascii="SimSun" w:hAnsi="SimSun" w:eastAsia="SimSun" w:cs="SimSun"/>
          <w:sz w:val="21"/>
          <w:szCs w:val="21"/>
          <w:spacing w:val="-5"/>
        </w:rPr>
        <w:t>系，</w:t>
      </w:r>
      <w:r>
        <w:rPr>
          <w:rFonts w:ascii="SimSun" w:hAnsi="SimSun" w:eastAsia="SimSun" w:cs="SimSun"/>
          <w:sz w:val="21"/>
          <w:szCs w:val="21"/>
        </w:rPr>
        <w:t xml:space="preserve"> </w:t>
      </w:r>
      <w:r>
        <w:rPr>
          <w:rFonts w:ascii="SimSun" w:hAnsi="SimSun" w:eastAsia="SimSun" w:cs="SimSun"/>
          <w:sz w:val="21"/>
          <w:szCs w:val="21"/>
          <w:spacing w:val="-7"/>
        </w:rPr>
        <w:t>虽然它们的定义泾渭分明。举个例子，农贸市场里的一个</w:t>
      </w:r>
      <w:r>
        <w:rPr>
          <w:rFonts w:ascii="SimSun" w:hAnsi="SimSun" w:eastAsia="SimSun" w:cs="SimSun"/>
          <w:sz w:val="21"/>
          <w:szCs w:val="21"/>
          <w:spacing w:val="-8"/>
        </w:rPr>
        <w:t>肉贩“挂羊</w:t>
      </w:r>
      <w:r>
        <w:rPr>
          <w:rFonts w:ascii="SimSun" w:hAnsi="SimSun" w:eastAsia="SimSun" w:cs="SimSun"/>
          <w:sz w:val="21"/>
          <w:szCs w:val="21"/>
        </w:rPr>
        <w:t xml:space="preserve">  </w:t>
      </w:r>
      <w:r>
        <w:rPr>
          <w:rFonts w:ascii="SimSun" w:hAnsi="SimSun" w:eastAsia="SimSun" w:cs="SimSun"/>
          <w:sz w:val="21"/>
          <w:szCs w:val="21"/>
          <w:spacing w:val="-3"/>
        </w:rPr>
        <w:t>头卖狗肉”,以次充好，牟取暴利，这种行为是商业欺诈，是</w:t>
      </w:r>
      <w:r>
        <w:rPr>
          <w:rFonts w:ascii="SimSun" w:hAnsi="SimSun" w:eastAsia="SimSun" w:cs="SimSun"/>
          <w:sz w:val="21"/>
          <w:szCs w:val="21"/>
          <w:spacing w:val="-4"/>
        </w:rPr>
        <w:t>需要规</w:t>
      </w:r>
      <w:r>
        <w:rPr>
          <w:rFonts w:ascii="SimSun" w:hAnsi="SimSun" w:eastAsia="SimSun" w:cs="SimSun"/>
          <w:sz w:val="21"/>
          <w:szCs w:val="21"/>
        </w:rPr>
        <w:t xml:space="preserve">  </w:t>
      </w:r>
      <w:r>
        <w:rPr>
          <w:rFonts w:ascii="SimSun" w:hAnsi="SimSun" w:eastAsia="SimSun" w:cs="SimSun"/>
          <w:sz w:val="21"/>
          <w:szCs w:val="21"/>
          <w:spacing w:val="-5"/>
        </w:rPr>
        <w:t>范的行为，但并不是垄断行为。如果一个肉贩利用其市场优</w:t>
      </w:r>
      <w:r>
        <w:rPr>
          <w:rFonts w:ascii="SimSun" w:hAnsi="SimSun" w:eastAsia="SimSun" w:cs="SimSun"/>
          <w:sz w:val="21"/>
          <w:szCs w:val="21"/>
          <w:spacing w:val="-6"/>
        </w:rPr>
        <w:t>势地位， </w:t>
      </w:r>
      <w:r>
        <w:rPr>
          <w:rFonts w:ascii="SimSun" w:hAnsi="SimSun" w:eastAsia="SimSun" w:cs="SimSun"/>
          <w:sz w:val="21"/>
          <w:szCs w:val="21"/>
          <w:spacing w:val="-7"/>
        </w:rPr>
        <w:t>“打击”较弱小的竞争对手，例如要求农贸市场不给其他肉贩提供摊</w:t>
      </w:r>
      <w:r>
        <w:rPr>
          <w:rFonts w:ascii="SimSun" w:hAnsi="SimSun" w:eastAsia="SimSun" w:cs="SimSun"/>
          <w:sz w:val="21"/>
          <w:szCs w:val="21"/>
          <w:spacing w:val="5"/>
        </w:rPr>
        <w:t xml:space="preserve">  </w:t>
      </w:r>
      <w:r>
        <w:rPr>
          <w:rFonts w:ascii="SimSun" w:hAnsi="SimSun" w:eastAsia="SimSun" w:cs="SimSun"/>
          <w:sz w:val="21"/>
          <w:szCs w:val="21"/>
          <w:spacing w:val="-6"/>
        </w:rPr>
        <w:t>位，同时大幅提高销售价格，那就是垄断行为。</w:t>
      </w:r>
    </w:p>
    <w:p>
      <w:pPr>
        <w:spacing w:line="304" w:lineRule="auto"/>
        <w:sectPr>
          <w:headerReference w:type="default" r:id="rId52"/>
          <w:pgSz w:w="7330" w:h="12480"/>
          <w:pgMar w:top="609" w:right="498" w:bottom="400" w:left="604" w:header="44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69" w:firstLine="409"/>
        <w:spacing w:before="61" w:line="350" w:lineRule="auto"/>
        <w:jc w:val="both"/>
        <w:rPr>
          <w:rFonts w:ascii="SimSun" w:hAnsi="SimSun" w:eastAsia="SimSun" w:cs="SimSun"/>
          <w:sz w:val="19"/>
          <w:szCs w:val="19"/>
        </w:rPr>
      </w:pPr>
      <w:r>
        <w:rPr>
          <w:rFonts w:ascii="SimSun" w:hAnsi="SimSun" w:eastAsia="SimSun" w:cs="SimSun"/>
          <w:sz w:val="19"/>
          <w:szCs w:val="19"/>
          <w:spacing w:val="9"/>
        </w:rPr>
        <w:t>有两种平台经济治理的思路，第一种思路是专注治理头部平台的</w:t>
      </w:r>
      <w:r>
        <w:rPr>
          <w:rFonts w:ascii="SimSun" w:hAnsi="SimSun" w:eastAsia="SimSun" w:cs="SimSun"/>
          <w:sz w:val="19"/>
          <w:szCs w:val="19"/>
          <w:spacing w:val="12"/>
        </w:rPr>
        <w:t xml:space="preserve"> </w:t>
      </w:r>
      <w:r>
        <w:rPr>
          <w:rFonts w:ascii="SimSun" w:hAnsi="SimSun" w:eastAsia="SimSun" w:cs="SimSun"/>
          <w:sz w:val="19"/>
          <w:szCs w:val="19"/>
          <w:spacing w:val="9"/>
        </w:rPr>
        <w:t>行为，中小平台的行为规范化则会水到渠成，第二种思路是同时关注</w:t>
      </w:r>
      <w:r>
        <w:rPr>
          <w:rFonts w:ascii="SimSun" w:hAnsi="SimSun" w:eastAsia="SimSun" w:cs="SimSun"/>
          <w:sz w:val="19"/>
          <w:szCs w:val="19"/>
          <w:spacing w:val="18"/>
        </w:rPr>
        <w:t xml:space="preserve"> </w:t>
      </w:r>
      <w:r>
        <w:rPr>
          <w:rFonts w:ascii="SimSun" w:hAnsi="SimSun" w:eastAsia="SimSun" w:cs="SimSun"/>
          <w:sz w:val="19"/>
          <w:szCs w:val="19"/>
          <w:spacing w:val="21"/>
        </w:rPr>
        <w:t>大、中、小平台的行为。在2021年10月24日于上海</w:t>
      </w:r>
      <w:r>
        <w:rPr>
          <w:rFonts w:ascii="SimSun" w:hAnsi="SimSun" w:eastAsia="SimSun" w:cs="SimSun"/>
          <w:sz w:val="19"/>
          <w:szCs w:val="19"/>
          <w:spacing w:val="20"/>
        </w:rPr>
        <w:t>举行的外滩金</w:t>
      </w:r>
      <w:r>
        <w:rPr>
          <w:rFonts w:ascii="SimSun" w:hAnsi="SimSun" w:eastAsia="SimSun" w:cs="SimSun"/>
          <w:sz w:val="19"/>
          <w:szCs w:val="19"/>
        </w:rPr>
        <w:t xml:space="preserve"> </w:t>
      </w:r>
      <w:r>
        <w:rPr>
          <w:rFonts w:ascii="SimSun" w:hAnsi="SimSun" w:eastAsia="SimSun" w:cs="SimSun"/>
          <w:sz w:val="19"/>
          <w:szCs w:val="19"/>
          <w:spacing w:val="9"/>
        </w:rPr>
        <w:t>融峰会“数字经济与金融科技：效率、稳定与公平”分会上，哈佛大</w:t>
      </w:r>
      <w:r>
        <w:rPr>
          <w:rFonts w:ascii="SimSun" w:hAnsi="SimSun" w:eastAsia="SimSun" w:cs="SimSun"/>
          <w:sz w:val="19"/>
          <w:szCs w:val="19"/>
          <w:spacing w:val="18"/>
        </w:rPr>
        <w:t xml:space="preserve"> </w:t>
      </w:r>
      <w:r>
        <w:rPr>
          <w:rFonts w:ascii="SimSun" w:hAnsi="SimSun" w:eastAsia="SimSun" w:cs="SimSun"/>
          <w:sz w:val="19"/>
          <w:szCs w:val="19"/>
          <w:spacing w:val="11"/>
        </w:rPr>
        <w:t>学的贾森·弗曼</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Jason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Furman</w:t>
      </w:r>
      <w:r>
        <w:rPr>
          <w:rFonts w:ascii="Times New Roman" w:hAnsi="Times New Roman" w:eastAsia="Times New Roman" w:cs="Times New Roman"/>
          <w:sz w:val="19"/>
          <w:szCs w:val="19"/>
          <w:spacing w:val="11"/>
        </w:rPr>
        <w:t>) </w:t>
      </w:r>
      <w:r>
        <w:rPr>
          <w:rFonts w:ascii="SimSun" w:hAnsi="SimSun" w:eastAsia="SimSun" w:cs="SimSun"/>
          <w:sz w:val="19"/>
          <w:szCs w:val="19"/>
          <w:spacing w:val="11"/>
        </w:rPr>
        <w:t>教授赞成第一种思路，而北京大学</w:t>
      </w:r>
      <w:r>
        <w:rPr>
          <w:rFonts w:ascii="SimSun" w:hAnsi="SimSun" w:eastAsia="SimSun" w:cs="SimSun"/>
          <w:sz w:val="19"/>
          <w:szCs w:val="19"/>
        </w:rPr>
        <w:t xml:space="preserve"> </w:t>
      </w:r>
      <w:r>
        <w:rPr>
          <w:rFonts w:ascii="SimSun" w:hAnsi="SimSun" w:eastAsia="SimSun" w:cs="SimSun"/>
          <w:sz w:val="19"/>
          <w:szCs w:val="19"/>
          <w:spacing w:val="10"/>
        </w:rPr>
        <w:t>的黄益平教授则支持第二种思路。中美学者观点不同，很可能反映了</w:t>
      </w:r>
      <w:r>
        <w:rPr>
          <w:rFonts w:ascii="SimSun" w:hAnsi="SimSun" w:eastAsia="SimSun" w:cs="SimSun"/>
          <w:sz w:val="19"/>
          <w:szCs w:val="19"/>
          <w:spacing w:val="4"/>
        </w:rPr>
        <w:t xml:space="preserve"> </w:t>
      </w:r>
      <w:r>
        <w:rPr>
          <w:rFonts w:ascii="SimSun" w:hAnsi="SimSun" w:eastAsia="SimSun" w:cs="SimSun"/>
          <w:sz w:val="19"/>
          <w:szCs w:val="19"/>
          <w:spacing w:val="9"/>
        </w:rPr>
        <w:t>两国平台市场成熟度的差异。平台经济中的不规范行为可以有多种起</w:t>
      </w:r>
      <w:r>
        <w:rPr>
          <w:rFonts w:ascii="SimSun" w:hAnsi="SimSun" w:eastAsia="SimSun" w:cs="SimSun"/>
          <w:sz w:val="19"/>
          <w:szCs w:val="19"/>
          <w:spacing w:val="17"/>
        </w:rPr>
        <w:t xml:space="preserve"> </w:t>
      </w:r>
      <w:r>
        <w:rPr>
          <w:rFonts w:ascii="SimSun" w:hAnsi="SimSun" w:eastAsia="SimSun" w:cs="SimSun"/>
          <w:sz w:val="19"/>
          <w:szCs w:val="19"/>
          <w:spacing w:val="6"/>
        </w:rPr>
        <w:t>源： 一是垄断导致的反竞争行为，二是数字技术的运用为不规范行为</w:t>
      </w:r>
      <w:r>
        <w:rPr>
          <w:rFonts w:ascii="SimSun" w:hAnsi="SimSun" w:eastAsia="SimSun" w:cs="SimSun"/>
          <w:sz w:val="19"/>
          <w:szCs w:val="19"/>
          <w:spacing w:val="7"/>
        </w:rPr>
        <w:t xml:space="preserve"> </w:t>
      </w:r>
      <w:r>
        <w:rPr>
          <w:rFonts w:ascii="SimSun" w:hAnsi="SimSun" w:eastAsia="SimSun" w:cs="SimSun"/>
          <w:sz w:val="19"/>
          <w:szCs w:val="19"/>
          <w:spacing w:val="10"/>
        </w:rPr>
        <w:t>创造了新的空间，三是纯粹的欺诈行为。在</w:t>
      </w:r>
      <w:r>
        <w:rPr>
          <w:rFonts w:ascii="SimSun" w:hAnsi="SimSun" w:eastAsia="SimSun" w:cs="SimSun"/>
          <w:sz w:val="19"/>
          <w:szCs w:val="19"/>
          <w:spacing w:val="9"/>
        </w:rPr>
        <w:t>美国，因为市场监管框架</w:t>
      </w:r>
      <w:r>
        <w:rPr>
          <w:rFonts w:ascii="SimSun" w:hAnsi="SimSun" w:eastAsia="SimSun" w:cs="SimSun"/>
          <w:sz w:val="19"/>
          <w:szCs w:val="19"/>
        </w:rPr>
        <w:t xml:space="preserve"> </w:t>
      </w:r>
      <w:r>
        <w:rPr>
          <w:rFonts w:ascii="SimSun" w:hAnsi="SimSun" w:eastAsia="SimSun" w:cs="SimSun"/>
          <w:sz w:val="19"/>
          <w:szCs w:val="19"/>
          <w:spacing w:val="9"/>
        </w:rPr>
        <w:t>相对成熟，对于后面两类行为有日常性的应对机制，所以政策重点放</w:t>
      </w:r>
      <w:r>
        <w:rPr>
          <w:rFonts w:ascii="SimSun" w:hAnsi="SimSun" w:eastAsia="SimSun" w:cs="SimSun"/>
          <w:sz w:val="19"/>
          <w:szCs w:val="19"/>
          <w:spacing w:val="16"/>
        </w:rPr>
        <w:t xml:space="preserve"> </w:t>
      </w:r>
      <w:r>
        <w:rPr>
          <w:rFonts w:ascii="SimSun" w:hAnsi="SimSun" w:eastAsia="SimSun" w:cs="SimSun"/>
          <w:sz w:val="19"/>
          <w:szCs w:val="19"/>
          <w:spacing w:val="10"/>
        </w:rPr>
        <w:t>在了对头部平台的反垄断上。而在中国，平</w:t>
      </w:r>
      <w:r>
        <w:rPr>
          <w:rFonts w:ascii="SimSun" w:hAnsi="SimSun" w:eastAsia="SimSun" w:cs="SimSun"/>
          <w:sz w:val="19"/>
          <w:szCs w:val="19"/>
          <w:spacing w:val="9"/>
        </w:rPr>
        <w:t>台经济治理刚刚开始，不</w:t>
      </w:r>
      <w:r>
        <w:rPr>
          <w:rFonts w:ascii="SimSun" w:hAnsi="SimSun" w:eastAsia="SimSun" w:cs="SimSun"/>
          <w:sz w:val="19"/>
          <w:szCs w:val="19"/>
        </w:rPr>
        <w:t xml:space="preserve"> </w:t>
      </w:r>
      <w:r>
        <w:rPr>
          <w:rFonts w:ascii="SimSun" w:hAnsi="SimSun" w:eastAsia="SimSun" w:cs="SimSun"/>
          <w:sz w:val="19"/>
          <w:szCs w:val="19"/>
          <w:spacing w:val="9"/>
        </w:rPr>
        <w:t>规范的行为还比较普遍，所以规范市场行为需要对大、中、小平台全</w:t>
      </w:r>
    </w:p>
    <w:p>
      <w:pPr>
        <w:spacing w:line="219" w:lineRule="auto"/>
        <w:rPr>
          <w:rFonts w:ascii="SimSun" w:hAnsi="SimSun" w:eastAsia="SimSun" w:cs="SimSun"/>
          <w:sz w:val="19"/>
          <w:szCs w:val="19"/>
        </w:rPr>
      </w:pPr>
      <w:r>
        <w:rPr>
          <w:rFonts w:ascii="SimSun" w:hAnsi="SimSun" w:eastAsia="SimSun" w:cs="SimSun"/>
          <w:sz w:val="19"/>
          <w:szCs w:val="19"/>
          <w:spacing w:val="9"/>
        </w:rPr>
        <w:t>面铺开。在现阶段，规范市场行为的紧迫性甚至</w:t>
      </w:r>
      <w:r>
        <w:rPr>
          <w:rFonts w:ascii="SimSun" w:hAnsi="SimSun" w:eastAsia="SimSun" w:cs="SimSun"/>
          <w:sz w:val="19"/>
          <w:szCs w:val="19"/>
          <w:spacing w:val="8"/>
        </w:rPr>
        <w:t>可能超过反垄断。</w:t>
      </w:r>
    </w:p>
    <w:p>
      <w:pPr>
        <w:ind w:firstLine="314"/>
        <w:spacing w:before="155" w:line="348" w:lineRule="auto"/>
        <w:jc w:val="both"/>
        <w:rPr>
          <w:rFonts w:ascii="SimSun" w:hAnsi="SimSun" w:eastAsia="SimSun" w:cs="SimSun"/>
          <w:sz w:val="19"/>
          <w:szCs w:val="19"/>
        </w:rPr>
      </w:pPr>
      <w:r>
        <w:rPr>
          <w:rFonts w:ascii="SimSun" w:hAnsi="SimSun" w:eastAsia="SimSun" w:cs="SimSun"/>
          <w:sz w:val="19"/>
          <w:szCs w:val="19"/>
          <w:spacing w:val="12"/>
        </w:rPr>
        <w:t>“大数据杀熟”不仅仅是一种差别定价行为，也常常是一种不规</w:t>
      </w:r>
      <w:r>
        <w:rPr>
          <w:rFonts w:ascii="SimSun" w:hAnsi="SimSun" w:eastAsia="SimSun" w:cs="SimSun"/>
          <w:sz w:val="19"/>
          <w:szCs w:val="19"/>
          <w:spacing w:val="8"/>
        </w:rPr>
        <w:t xml:space="preserve">  </w:t>
      </w:r>
      <w:r>
        <w:rPr>
          <w:rFonts w:ascii="SimSun" w:hAnsi="SimSun" w:eastAsia="SimSun" w:cs="SimSun"/>
          <w:sz w:val="19"/>
          <w:szCs w:val="19"/>
          <w:spacing w:val="16"/>
        </w:rPr>
        <w:t>范行为(详见第九章)。其实，根据不同的情形实行“动态定价</w:t>
      </w:r>
      <w:r>
        <w:rPr>
          <w:rFonts w:ascii="SimSun" w:hAnsi="SimSun" w:eastAsia="SimSun" w:cs="SimSun"/>
          <w:sz w:val="19"/>
          <w:szCs w:val="19"/>
          <w:spacing w:val="15"/>
        </w:rPr>
        <w:t>”是</w:t>
      </w:r>
      <w:r>
        <w:rPr>
          <w:rFonts w:ascii="SimSun" w:hAnsi="SimSun" w:eastAsia="SimSun" w:cs="SimSun"/>
          <w:sz w:val="19"/>
          <w:szCs w:val="19"/>
        </w:rPr>
        <w:t xml:space="preserve">  </w:t>
      </w:r>
      <w:r>
        <w:rPr>
          <w:rFonts w:ascii="SimSun" w:hAnsi="SimSun" w:eastAsia="SimSun" w:cs="SimSun"/>
          <w:sz w:val="19"/>
          <w:szCs w:val="19"/>
          <w:spacing w:val="12"/>
        </w:rPr>
        <w:t>一个常见的商业策略。这个策略既可能合理，也可能不合理。比如，</w:t>
      </w:r>
      <w:r>
        <w:rPr>
          <w:rFonts w:ascii="SimSun" w:hAnsi="SimSun" w:eastAsia="SimSun" w:cs="SimSun"/>
          <w:sz w:val="19"/>
          <w:szCs w:val="19"/>
          <w:spacing w:val="14"/>
        </w:rPr>
        <w:t xml:space="preserve"> </w:t>
      </w:r>
      <w:r>
        <w:rPr>
          <w:rFonts w:ascii="SimSun" w:hAnsi="SimSun" w:eastAsia="SimSun" w:cs="SimSun"/>
          <w:sz w:val="19"/>
          <w:szCs w:val="19"/>
          <w:spacing w:val="16"/>
        </w:rPr>
        <w:t>一个乘客在同一条路上通过网约车平台叫车，但几次的价格都不一</w:t>
      </w:r>
      <w:r>
        <w:rPr>
          <w:rFonts w:ascii="SimSun" w:hAnsi="SimSun" w:eastAsia="SimSun" w:cs="SimSun"/>
          <w:sz w:val="19"/>
          <w:szCs w:val="19"/>
          <w:spacing w:val="7"/>
        </w:rPr>
        <w:t xml:space="preserve">  </w:t>
      </w:r>
      <w:r>
        <w:rPr>
          <w:rFonts w:ascii="SimSun" w:hAnsi="SimSun" w:eastAsia="SimSun" w:cs="SimSun"/>
          <w:sz w:val="19"/>
          <w:szCs w:val="19"/>
          <w:spacing w:val="9"/>
        </w:rPr>
        <w:t>样。如果一次用车是在平常时间，另一次是在交通高峰期，那么高峰</w:t>
      </w:r>
      <w:r>
        <w:rPr>
          <w:rFonts w:ascii="SimSun" w:hAnsi="SimSun" w:eastAsia="SimSun" w:cs="SimSun"/>
          <w:sz w:val="19"/>
          <w:szCs w:val="19"/>
          <w:spacing w:val="8"/>
        </w:rPr>
        <w:t xml:space="preserve">  </w:t>
      </w:r>
      <w:r>
        <w:rPr>
          <w:rFonts w:ascii="SimSun" w:hAnsi="SimSun" w:eastAsia="SimSun" w:cs="SimSun"/>
          <w:sz w:val="19"/>
          <w:szCs w:val="19"/>
          <w:spacing w:val="9"/>
        </w:rPr>
        <w:t>期费用高一点，似乎也正常。但高出部分究竟是否合理，可能需要看</w:t>
      </w:r>
      <w:r>
        <w:rPr>
          <w:rFonts w:ascii="SimSun" w:hAnsi="SimSun" w:eastAsia="SimSun" w:cs="SimSun"/>
          <w:sz w:val="19"/>
          <w:szCs w:val="19"/>
          <w:spacing w:val="8"/>
        </w:rPr>
        <w:t xml:space="preserve">  </w:t>
      </w:r>
      <w:r>
        <w:rPr>
          <w:rFonts w:ascii="SimSun" w:hAnsi="SimSun" w:eastAsia="SimSun" w:cs="SimSun"/>
          <w:sz w:val="19"/>
          <w:szCs w:val="19"/>
          <w:spacing w:val="4"/>
        </w:rPr>
        <w:t>计算加价的规则。显然， </w:t>
      </w:r>
      <w:r>
        <w:rPr>
          <w:rFonts w:ascii="SimSun" w:hAnsi="SimSun" w:eastAsia="SimSun" w:cs="SimSun"/>
          <w:sz w:val="19"/>
          <w:szCs w:val="19"/>
          <w:u w:val="single" w:color="auto"/>
          <w:spacing w:val="4"/>
        </w:rPr>
        <w:t>这</w:t>
      </w:r>
      <w:r>
        <w:rPr>
          <w:rFonts w:ascii="SimSun" w:hAnsi="SimSun" w:eastAsia="SimSun" w:cs="SimSun"/>
          <w:sz w:val="19"/>
          <w:szCs w:val="19"/>
          <w:u w:val="single" w:color="auto"/>
          <w:spacing w:val="-39"/>
        </w:rPr>
        <w:t xml:space="preserve"> </w:t>
      </w:r>
      <w:r>
        <w:rPr>
          <w:rFonts w:ascii="SimSun" w:hAnsi="SimSun" w:eastAsia="SimSun" w:cs="SimSun"/>
          <w:sz w:val="19"/>
          <w:szCs w:val="19"/>
          <w:u w:val="single" w:color="auto"/>
          <w:spacing w:val="4"/>
        </w:rPr>
        <w:t>里</w:t>
      </w:r>
      <w:r>
        <w:rPr>
          <w:rFonts w:ascii="SimSun" w:hAnsi="SimSun" w:eastAsia="SimSun" w:cs="SimSun"/>
          <w:sz w:val="19"/>
          <w:szCs w:val="19"/>
          <w:spacing w:val="4"/>
        </w:rPr>
        <w:t>既要看产生价差的原因，又要看价</w:t>
      </w:r>
      <w:r>
        <w:rPr>
          <w:rFonts w:ascii="SimSun" w:hAnsi="SimSun" w:eastAsia="SimSun" w:cs="SimSun"/>
          <w:sz w:val="19"/>
          <w:szCs w:val="19"/>
          <w:spacing w:val="3"/>
        </w:rPr>
        <w:t>差的</w:t>
      </w:r>
      <w:r>
        <w:rPr>
          <w:rFonts w:ascii="SimSun" w:hAnsi="SimSun" w:eastAsia="SimSun" w:cs="SimSun"/>
          <w:sz w:val="19"/>
          <w:szCs w:val="19"/>
        </w:rPr>
        <w:t xml:space="preserve">  </w:t>
      </w:r>
      <w:r>
        <w:rPr>
          <w:rFonts w:ascii="SimSun" w:hAnsi="SimSun" w:eastAsia="SimSun" w:cs="SimSun"/>
          <w:sz w:val="19"/>
          <w:szCs w:val="19"/>
          <w:spacing w:val="9"/>
        </w:rPr>
        <w:t>程度，两者综合起来才能判断是否合理。困难在于，用车的乘客自己  </w:t>
      </w:r>
      <w:r>
        <w:rPr>
          <w:rFonts w:ascii="SimSun" w:hAnsi="SimSun" w:eastAsia="SimSun" w:cs="SimSun"/>
          <w:sz w:val="19"/>
          <w:szCs w:val="19"/>
          <w:spacing w:val="12"/>
        </w:rPr>
        <w:t>很难判断网约车平台的加价是否合理，因而需要引入</w:t>
      </w:r>
      <w:r>
        <w:rPr>
          <w:rFonts w:ascii="SimSun" w:hAnsi="SimSun" w:eastAsia="SimSun" w:cs="SimSun"/>
          <w:sz w:val="19"/>
          <w:szCs w:val="19"/>
          <w:spacing w:val="11"/>
        </w:rPr>
        <w:t>外部判断机制，</w:t>
      </w:r>
      <w:r>
        <w:rPr>
          <w:rFonts w:ascii="SimSun" w:hAnsi="SimSun" w:eastAsia="SimSun" w:cs="SimSun"/>
          <w:sz w:val="19"/>
          <w:szCs w:val="19"/>
        </w:rPr>
        <w:t xml:space="preserve"> </w:t>
      </w:r>
      <w:r>
        <w:rPr>
          <w:rFonts w:ascii="SimSun" w:hAnsi="SimSun" w:eastAsia="SimSun" w:cs="SimSun"/>
          <w:sz w:val="19"/>
          <w:szCs w:val="19"/>
          <w:spacing w:val="10"/>
        </w:rPr>
        <w:t>可以是监管部门，也可以是第三方独立机构</w:t>
      </w:r>
      <w:r>
        <w:rPr>
          <w:rFonts w:ascii="SimSun" w:hAnsi="SimSun" w:eastAsia="SimSun" w:cs="SimSun"/>
          <w:sz w:val="19"/>
          <w:szCs w:val="19"/>
          <w:spacing w:val="9"/>
        </w:rPr>
        <w:t>。平台还经常在消费者不</w:t>
      </w:r>
      <w:r>
        <w:rPr>
          <w:rFonts w:ascii="SimSun" w:hAnsi="SimSun" w:eastAsia="SimSun" w:cs="SimSun"/>
          <w:sz w:val="19"/>
          <w:szCs w:val="19"/>
        </w:rPr>
        <w:t xml:space="preserve">  </w:t>
      </w:r>
      <w:r>
        <w:rPr>
          <w:rFonts w:ascii="SimSun" w:hAnsi="SimSun" w:eastAsia="SimSun" w:cs="SimSun"/>
          <w:sz w:val="19"/>
          <w:szCs w:val="19"/>
          <w:spacing w:val="13"/>
        </w:rPr>
        <w:t>知情的情况下实施这种“动态定价”,消费者只能</w:t>
      </w:r>
      <w:r>
        <w:rPr>
          <w:rFonts w:ascii="SimSun" w:hAnsi="SimSun" w:eastAsia="SimSun" w:cs="SimSun"/>
          <w:sz w:val="19"/>
          <w:szCs w:val="19"/>
          <w:spacing w:val="12"/>
        </w:rPr>
        <w:t>在事后了解被收取</w:t>
      </w:r>
      <w:r>
        <w:rPr>
          <w:rFonts w:ascii="SimSun" w:hAnsi="SimSun" w:eastAsia="SimSun" w:cs="SimSun"/>
          <w:sz w:val="19"/>
          <w:szCs w:val="19"/>
        </w:rPr>
        <w:t xml:space="preserve">  </w:t>
      </w:r>
      <w:r>
        <w:rPr>
          <w:rFonts w:ascii="SimSun" w:hAnsi="SimSun" w:eastAsia="SimSun" w:cs="SimSun"/>
          <w:sz w:val="19"/>
          <w:szCs w:val="19"/>
          <w:spacing w:val="9"/>
        </w:rPr>
        <w:t>较高的价格，这样就会产生非常不好的体验。如果消费者提前知道平</w:t>
      </w:r>
    </w:p>
    <w:p>
      <w:pPr>
        <w:spacing w:line="217" w:lineRule="auto"/>
        <w:rPr>
          <w:rFonts w:ascii="SimSun" w:hAnsi="SimSun" w:eastAsia="SimSun" w:cs="SimSun"/>
          <w:sz w:val="19"/>
          <w:szCs w:val="19"/>
        </w:rPr>
      </w:pPr>
      <w:r>
        <w:rPr>
          <w:rFonts w:ascii="SimSun" w:hAnsi="SimSun" w:eastAsia="SimSun" w:cs="SimSun"/>
          <w:sz w:val="19"/>
          <w:szCs w:val="19"/>
          <w:spacing w:val="8"/>
        </w:rPr>
        <w:t>台的定价策略，那么可能会做出不同的消费</w:t>
      </w:r>
      <w:r>
        <w:rPr>
          <w:rFonts w:ascii="SimSun" w:hAnsi="SimSun" w:eastAsia="SimSun" w:cs="SimSun"/>
          <w:sz w:val="19"/>
          <w:szCs w:val="19"/>
          <w:spacing w:val="7"/>
        </w:rPr>
        <w:t>选择。</w:t>
      </w:r>
    </w:p>
    <w:p>
      <w:pPr>
        <w:ind w:left="409"/>
        <w:spacing w:before="177" w:line="219" w:lineRule="auto"/>
        <w:rPr>
          <w:rFonts w:ascii="SimSun" w:hAnsi="SimSun" w:eastAsia="SimSun" w:cs="SimSun"/>
          <w:sz w:val="19"/>
          <w:szCs w:val="19"/>
        </w:rPr>
      </w:pPr>
      <w:r>
        <w:rPr>
          <w:rFonts w:ascii="SimSun" w:hAnsi="SimSun" w:eastAsia="SimSun" w:cs="SimSun"/>
          <w:sz w:val="19"/>
          <w:szCs w:val="19"/>
          <w:spacing w:val="10"/>
        </w:rPr>
        <w:t>总之，当前我国平台经济市场尚未成熟，如何规范所有平台</w:t>
      </w:r>
      <w:r>
        <w:rPr>
          <w:rFonts w:ascii="SimSun" w:hAnsi="SimSun" w:eastAsia="SimSun" w:cs="SimSun"/>
          <w:sz w:val="19"/>
          <w:szCs w:val="19"/>
          <w:spacing w:val="9"/>
        </w:rPr>
        <w:t>的行</w:t>
      </w:r>
    </w:p>
    <w:p>
      <w:pPr>
        <w:spacing w:line="219" w:lineRule="auto"/>
        <w:sectPr>
          <w:headerReference w:type="default" r:id="rId53"/>
          <w:pgSz w:w="7330" w:h="12480"/>
          <w:pgMar w:top="808" w:right="794" w:bottom="400" w:left="460" w:header="630" w:footer="0"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104" w:right="173"/>
        <w:spacing w:before="68" w:line="297" w:lineRule="auto"/>
        <w:jc w:val="both"/>
        <w:rPr>
          <w:rFonts w:ascii="SimSun" w:hAnsi="SimSun" w:eastAsia="SimSun" w:cs="SimSun"/>
          <w:sz w:val="21"/>
          <w:szCs w:val="21"/>
        </w:rPr>
      </w:pPr>
      <w:r>
        <w:rPr>
          <w:rFonts w:ascii="SimSun" w:hAnsi="SimSun" w:eastAsia="SimSun" w:cs="SimSun"/>
          <w:sz w:val="21"/>
          <w:szCs w:val="21"/>
          <w:spacing w:val="-11"/>
        </w:rPr>
        <w:t>为，实现有序发展，是一个重大挑战，可以通过建立和完善平台经济</w:t>
      </w:r>
      <w:r>
        <w:rPr>
          <w:rFonts w:ascii="SimSun" w:hAnsi="SimSun" w:eastAsia="SimSun" w:cs="SimSun"/>
          <w:sz w:val="21"/>
          <w:szCs w:val="21"/>
          <w:spacing w:val="8"/>
        </w:rPr>
        <w:t xml:space="preserve"> </w:t>
      </w:r>
      <w:r>
        <w:rPr>
          <w:rFonts w:ascii="SimSun" w:hAnsi="SimSun" w:eastAsia="SimSun" w:cs="SimSun"/>
          <w:sz w:val="21"/>
          <w:szCs w:val="21"/>
          <w:spacing w:val="-11"/>
        </w:rPr>
        <w:t>的监管框架来实现。但基于平台经济的许多特性，对平台行为的判断</w:t>
      </w:r>
      <w:r>
        <w:rPr>
          <w:rFonts w:ascii="SimSun" w:hAnsi="SimSun" w:eastAsia="SimSun" w:cs="SimSun"/>
          <w:sz w:val="21"/>
          <w:szCs w:val="21"/>
          <w:spacing w:val="7"/>
        </w:rPr>
        <w:t xml:space="preserve"> </w:t>
      </w:r>
      <w:r>
        <w:rPr>
          <w:rFonts w:ascii="SimSun" w:hAnsi="SimSun" w:eastAsia="SimSun" w:cs="SimSun"/>
          <w:sz w:val="21"/>
          <w:szCs w:val="21"/>
          <w:spacing w:val="-11"/>
        </w:rPr>
        <w:t>也应该基于认真的经济学分析，这样才能判断出哪些行为符合市场规</w:t>
      </w:r>
      <w:r>
        <w:rPr>
          <w:rFonts w:ascii="SimSun" w:hAnsi="SimSun" w:eastAsia="SimSun" w:cs="SimSun"/>
          <w:sz w:val="21"/>
          <w:szCs w:val="21"/>
          <w:spacing w:val="7"/>
        </w:rPr>
        <w:t xml:space="preserve"> </w:t>
      </w:r>
      <w:r>
        <w:rPr>
          <w:rFonts w:ascii="SimSun" w:hAnsi="SimSun" w:eastAsia="SimSun" w:cs="SimSun"/>
          <w:sz w:val="21"/>
          <w:szCs w:val="21"/>
          <w:spacing w:val="-11"/>
        </w:rPr>
        <w:t>律，哪些是反市场的，需要予以规范与纠正，从而实现平台经济的健</w:t>
      </w:r>
      <w:r>
        <w:rPr>
          <w:rFonts w:ascii="SimSun" w:hAnsi="SimSun" w:eastAsia="SimSun" w:cs="SimSun"/>
          <w:sz w:val="21"/>
          <w:szCs w:val="21"/>
          <w:spacing w:val="6"/>
        </w:rPr>
        <w:t xml:space="preserve"> </w:t>
      </w:r>
      <w:r>
        <w:rPr>
          <w:rFonts w:ascii="SimSun" w:hAnsi="SimSun" w:eastAsia="SimSun" w:cs="SimSun"/>
          <w:sz w:val="21"/>
          <w:szCs w:val="21"/>
          <w:spacing w:val="-12"/>
        </w:rPr>
        <w:t>康、有序发展。</w:t>
      </w:r>
    </w:p>
    <w:p>
      <w:pPr>
        <w:pStyle w:val="BodyText"/>
        <w:spacing w:line="354" w:lineRule="auto"/>
        <w:rPr/>
      </w:pPr>
      <w:r/>
    </w:p>
    <w:p>
      <w:pPr>
        <w:ind w:left="1579"/>
        <w:spacing w:before="104" w:line="219" w:lineRule="auto"/>
        <w:rPr>
          <w:rFonts w:ascii="SimSun" w:hAnsi="SimSun" w:eastAsia="SimSun" w:cs="SimSun"/>
          <w:sz w:val="32"/>
          <w:szCs w:val="32"/>
        </w:rPr>
      </w:pPr>
      <w:r>
        <w:rPr>
          <w:rFonts w:ascii="SimSun" w:hAnsi="SimSun" w:eastAsia="SimSun" w:cs="SimSun"/>
          <w:sz w:val="32"/>
          <w:szCs w:val="32"/>
          <w:b/>
          <w:bCs/>
          <w:spacing w:val="-7"/>
        </w:rPr>
        <w:t>平台监管与反垄断执法</w:t>
      </w:r>
    </w:p>
    <w:p>
      <w:pPr>
        <w:pStyle w:val="BodyText"/>
        <w:spacing w:line="261" w:lineRule="auto"/>
        <w:rPr/>
      </w:pPr>
      <w:r/>
    </w:p>
    <w:p>
      <w:pPr>
        <w:ind w:left="104" w:right="97" w:firstLine="439"/>
        <w:spacing w:before="69" w:line="304" w:lineRule="auto"/>
        <w:jc w:val="both"/>
        <w:rPr>
          <w:rFonts w:ascii="SimSun" w:hAnsi="SimSun" w:eastAsia="SimSun" w:cs="SimSun"/>
          <w:sz w:val="21"/>
          <w:szCs w:val="21"/>
        </w:rPr>
      </w:pPr>
      <w:r>
        <w:rPr>
          <w:rFonts w:ascii="SimSun" w:hAnsi="SimSun" w:eastAsia="SimSun" w:cs="SimSun"/>
          <w:sz w:val="21"/>
          <w:szCs w:val="21"/>
          <w:spacing w:val="-3"/>
        </w:rPr>
        <w:t>2021年2月7日，《国务院反垄断委员会关于平台经济领域的反</w:t>
      </w:r>
      <w:r>
        <w:rPr>
          <w:rFonts w:ascii="SimSun" w:hAnsi="SimSun" w:eastAsia="SimSun" w:cs="SimSun"/>
          <w:sz w:val="21"/>
          <w:szCs w:val="21"/>
          <w:spacing w:val="6"/>
        </w:rPr>
        <w:t xml:space="preserve"> </w:t>
      </w:r>
      <w:r>
        <w:rPr>
          <w:rFonts w:ascii="SimSun" w:hAnsi="SimSun" w:eastAsia="SimSun" w:cs="SimSun"/>
          <w:sz w:val="21"/>
          <w:szCs w:val="21"/>
          <w:spacing w:val="-11"/>
        </w:rPr>
        <w:t>垄断指南》发布，这是我国第一份关于平台经济反垄断政策的完整框 </w:t>
      </w:r>
      <w:r>
        <w:rPr>
          <w:rFonts w:ascii="SimSun" w:hAnsi="SimSun" w:eastAsia="SimSun" w:cs="SimSun"/>
          <w:sz w:val="21"/>
          <w:szCs w:val="21"/>
        </w:rPr>
        <w:t>架。4月10日，国家市场监管总局对阿里巴巴的“二选一”行为做</w:t>
      </w:r>
      <w:r>
        <w:rPr>
          <w:rFonts w:ascii="SimSun" w:hAnsi="SimSun" w:eastAsia="SimSun" w:cs="SimSun"/>
          <w:sz w:val="21"/>
          <w:szCs w:val="21"/>
          <w:spacing w:val="14"/>
        </w:rPr>
        <w:t xml:space="preserve"> </w:t>
      </w:r>
      <w:r>
        <w:rPr>
          <w:rFonts w:ascii="SimSun" w:hAnsi="SimSun" w:eastAsia="SimSun" w:cs="SimSun"/>
          <w:sz w:val="21"/>
          <w:szCs w:val="21"/>
          <w:spacing w:val="-1"/>
        </w:rPr>
        <w:t>出处罚，这是我国平台经济领域的第一张反垄断罚单。1</w:t>
      </w:r>
      <w:r>
        <w:rPr>
          <w:rFonts w:ascii="SimSun" w:hAnsi="SimSun" w:eastAsia="SimSun" w:cs="SimSun"/>
          <w:sz w:val="21"/>
          <w:szCs w:val="21"/>
          <w:spacing w:val="-2"/>
        </w:rPr>
        <w:t>1月18日，</w:t>
      </w:r>
      <w:r>
        <w:rPr>
          <w:rFonts w:ascii="SimSun" w:hAnsi="SimSun" w:eastAsia="SimSun" w:cs="SimSun"/>
          <w:sz w:val="21"/>
          <w:szCs w:val="21"/>
        </w:rPr>
        <w:t xml:space="preserve"> </w:t>
      </w:r>
      <w:r>
        <w:rPr>
          <w:rFonts w:ascii="SimSun" w:hAnsi="SimSun" w:eastAsia="SimSun" w:cs="SimSun"/>
          <w:sz w:val="21"/>
          <w:szCs w:val="21"/>
          <w:spacing w:val="-11"/>
        </w:rPr>
        <w:t>国家反垄断局正式挂牌，标志着我国反垄断政策特别是平台经济领域 </w:t>
      </w:r>
      <w:r>
        <w:rPr>
          <w:rFonts w:ascii="SimSun" w:hAnsi="SimSun" w:eastAsia="SimSun" w:cs="SimSun"/>
          <w:sz w:val="21"/>
          <w:szCs w:val="21"/>
          <w:spacing w:val="-4"/>
        </w:rPr>
        <w:t>的反垄断政策走入全新的阶段。但在平台经济领域如何判定垄断</w:t>
      </w:r>
      <w:r>
        <w:rPr>
          <w:rFonts w:ascii="SimSun" w:hAnsi="SimSun" w:eastAsia="SimSun" w:cs="SimSun"/>
          <w:sz w:val="21"/>
          <w:szCs w:val="21"/>
          <w:spacing w:val="-5"/>
        </w:rPr>
        <w:t>行 </w:t>
      </w:r>
      <w:r>
        <w:rPr>
          <w:rFonts w:ascii="SimSun" w:hAnsi="SimSun" w:eastAsia="SimSun" w:cs="SimSun"/>
          <w:sz w:val="21"/>
          <w:szCs w:val="21"/>
          <w:spacing w:val="-4"/>
        </w:rPr>
        <w:t>为?什么是好的平台经济领域反垄断措施?目前对这些尚未形成完全 </w:t>
      </w:r>
      <w:r>
        <w:rPr>
          <w:rFonts w:ascii="SimSun" w:hAnsi="SimSun" w:eastAsia="SimSun" w:cs="SimSun"/>
          <w:sz w:val="21"/>
          <w:szCs w:val="21"/>
          <w:spacing w:val="-6"/>
        </w:rPr>
        <w:t>一致的看法，值得进一步探讨(详见第十二章)。</w:t>
      </w:r>
    </w:p>
    <w:p>
      <w:pPr>
        <w:pStyle w:val="BodyText"/>
        <w:spacing w:line="404" w:lineRule="auto"/>
        <w:rPr/>
      </w:pPr>
      <w:r/>
    </w:p>
    <w:p>
      <w:pPr>
        <w:ind w:left="108"/>
        <w:spacing w:before="81" w:line="221" w:lineRule="auto"/>
        <w:rPr>
          <w:rFonts w:ascii="SimHei" w:hAnsi="SimHei" w:eastAsia="SimHei" w:cs="SimHei"/>
          <w:sz w:val="25"/>
          <w:szCs w:val="25"/>
        </w:rPr>
      </w:pPr>
      <w:r>
        <w:rPr>
          <w:rFonts w:ascii="SimHei" w:hAnsi="SimHei" w:eastAsia="SimHei" w:cs="SimHei"/>
          <w:sz w:val="25"/>
          <w:szCs w:val="25"/>
          <w:b/>
          <w:bCs/>
          <w:spacing w:val="-12"/>
        </w:rPr>
        <w:t>美国反垄断政策思路的演变</w:t>
      </w:r>
    </w:p>
    <w:p>
      <w:pPr>
        <w:pStyle w:val="BodyText"/>
        <w:spacing w:line="347" w:lineRule="auto"/>
        <w:rPr/>
      </w:pPr>
      <w:r/>
    </w:p>
    <w:p>
      <w:pPr>
        <w:ind w:firstLine="564"/>
        <w:spacing w:before="68" w:line="304" w:lineRule="auto"/>
        <w:jc w:val="both"/>
        <w:rPr>
          <w:rFonts w:ascii="SimSun" w:hAnsi="SimSun" w:eastAsia="SimSun" w:cs="SimSun"/>
          <w:sz w:val="21"/>
          <w:szCs w:val="21"/>
        </w:rPr>
      </w:pPr>
      <w:r>
        <w:rPr>
          <w:rFonts w:ascii="SimSun" w:hAnsi="SimSun" w:eastAsia="SimSun" w:cs="SimSun"/>
          <w:sz w:val="21"/>
          <w:szCs w:val="21"/>
          <w:spacing w:val="-10"/>
        </w:rPr>
        <w:t>美国的反垄断政策起步于1890年制定的《</w:t>
      </w:r>
      <w:r>
        <w:rPr>
          <w:rFonts w:ascii="SimSun" w:hAnsi="SimSun" w:eastAsia="SimSun" w:cs="SimSun"/>
          <w:sz w:val="21"/>
          <w:szCs w:val="21"/>
          <w:spacing w:val="-11"/>
        </w:rPr>
        <w:t>谢尔曼法》。在南北战</w:t>
      </w:r>
      <w:r>
        <w:rPr>
          <w:rFonts w:ascii="SimSun" w:hAnsi="SimSun" w:eastAsia="SimSun" w:cs="SimSun"/>
          <w:sz w:val="21"/>
          <w:szCs w:val="21"/>
        </w:rPr>
        <w:t xml:space="preserve">  </w:t>
      </w:r>
      <w:r>
        <w:rPr>
          <w:rFonts w:ascii="SimSun" w:hAnsi="SimSun" w:eastAsia="SimSun" w:cs="SimSun"/>
          <w:sz w:val="21"/>
          <w:szCs w:val="21"/>
          <w:spacing w:val="2"/>
        </w:rPr>
        <w:t>争之后19世纪的最后30年，即马克·吐温所称的“镀金时代”,随  </w:t>
      </w:r>
      <w:r>
        <w:rPr>
          <w:rFonts w:ascii="SimSun" w:hAnsi="SimSun" w:eastAsia="SimSun" w:cs="SimSun"/>
          <w:sz w:val="21"/>
          <w:szCs w:val="21"/>
          <w:spacing w:val="-7"/>
        </w:rPr>
        <w:t>着自由市场的高速发展，美国出现了洛克菲勒、卡</w:t>
      </w:r>
      <w:r>
        <w:rPr>
          <w:rFonts w:ascii="SimSun" w:hAnsi="SimSun" w:eastAsia="SimSun" w:cs="SimSun"/>
          <w:sz w:val="21"/>
          <w:szCs w:val="21"/>
          <w:spacing w:val="-8"/>
        </w:rPr>
        <w:t>内基和摩根等诸多  </w:t>
      </w:r>
      <w:r>
        <w:rPr>
          <w:rFonts w:ascii="SimSun" w:hAnsi="SimSun" w:eastAsia="SimSun" w:cs="SimSun"/>
          <w:sz w:val="21"/>
          <w:szCs w:val="21"/>
          <w:spacing w:val="3"/>
        </w:rPr>
        <w:t>寡头。与此同时，贫富差距也显著扩大。美</w:t>
      </w:r>
      <w:r>
        <w:rPr>
          <w:rFonts w:ascii="SimSun" w:hAnsi="SimSun" w:eastAsia="SimSun" w:cs="SimSun"/>
          <w:sz w:val="21"/>
          <w:szCs w:val="21"/>
          <w:spacing w:val="2"/>
        </w:rPr>
        <w:t>国民众对大企业(托拉  </w:t>
      </w:r>
      <w:r>
        <w:rPr>
          <w:rFonts w:ascii="SimSun" w:hAnsi="SimSun" w:eastAsia="SimSun" w:cs="SimSun"/>
          <w:sz w:val="21"/>
          <w:szCs w:val="21"/>
          <w:spacing w:val="-4"/>
        </w:rPr>
        <w:t>斯)的反感情绪日益高涨，民粹主义盛行。因此，《谢尔曼法》明确  </w:t>
      </w:r>
      <w:r>
        <w:rPr>
          <w:rFonts w:ascii="SimSun" w:hAnsi="SimSun" w:eastAsia="SimSun" w:cs="SimSun"/>
          <w:sz w:val="21"/>
          <w:szCs w:val="21"/>
          <w:spacing w:val="-1"/>
        </w:rPr>
        <w:t>指出，联合共谋是违法的，企图支配市场就是犯罪。在20世纪初的  </w:t>
      </w:r>
      <w:r>
        <w:rPr>
          <w:rFonts w:ascii="SimSun" w:hAnsi="SimSun" w:eastAsia="SimSun" w:cs="SimSun"/>
          <w:sz w:val="21"/>
          <w:szCs w:val="21"/>
          <w:spacing w:val="-5"/>
        </w:rPr>
        <w:t>“进步时期”(20世纪初到一战时期),美国监管部门试图区别“好的”</w:t>
      </w:r>
      <w:r>
        <w:rPr>
          <w:rFonts w:ascii="SimSun" w:hAnsi="SimSun" w:eastAsia="SimSun" w:cs="SimSun"/>
          <w:sz w:val="21"/>
          <w:szCs w:val="21"/>
          <w:spacing w:val="16"/>
        </w:rPr>
        <w:t xml:space="preserve"> </w:t>
      </w:r>
      <w:r>
        <w:rPr>
          <w:rFonts w:ascii="SimSun" w:hAnsi="SimSun" w:eastAsia="SimSun" w:cs="SimSun"/>
          <w:sz w:val="21"/>
          <w:szCs w:val="21"/>
          <w:spacing w:val="-7"/>
        </w:rPr>
        <w:t>与“坏的”托拉斯，但在实际经济生活中，区分企业以反竞争为目的</w:t>
      </w:r>
    </w:p>
    <w:p>
      <w:pPr>
        <w:spacing w:line="304" w:lineRule="auto"/>
        <w:sectPr>
          <w:headerReference w:type="default" r:id="rId54"/>
          <w:pgSz w:w="7330" w:h="12480"/>
          <w:pgMar w:top="539" w:right="247" w:bottom="400" w:left="825" w:header="375" w:footer="0" w:gutter="0"/>
        </w:sectPr>
        <w:rPr>
          <w:rFonts w:ascii="SimSun" w:hAnsi="SimSun" w:eastAsia="SimSun" w:cs="SimSun"/>
          <w:sz w:val="21"/>
          <w:szCs w:val="21"/>
        </w:rPr>
      </w:pPr>
    </w:p>
    <w:p>
      <w:pPr>
        <w:pStyle w:val="BodyText"/>
        <w:spacing w:line="249" w:lineRule="auto"/>
        <w:rPr/>
      </w:pPr>
      <w:r>
        <w:drawing>
          <wp:anchor distT="0" distB="0" distL="0" distR="0" simplePos="0" relativeHeight="252079104" behindDoc="0" locked="0" layoutInCell="0" allowOverlap="1">
            <wp:simplePos x="0" y="0"/>
            <wp:positionH relativeFrom="page">
              <wp:posOffset>323863</wp:posOffset>
            </wp:positionH>
            <wp:positionV relativeFrom="page">
              <wp:posOffset>6921515</wp:posOffset>
            </wp:positionV>
            <wp:extent cx="1174715" cy="6350"/>
            <wp:effectExtent l="0" t="0" r="0" b="0"/>
            <wp:wrapNone/>
            <wp:docPr id="60" name="IM 60"/>
            <wp:cNvGraphicFramePr/>
            <a:graphic>
              <a:graphicData uri="http://schemas.openxmlformats.org/drawingml/2006/picture">
                <pic:pic>
                  <pic:nvPicPr>
                    <pic:cNvPr id="60" name="IM 60"/>
                    <pic:cNvPicPr/>
                  </pic:nvPicPr>
                  <pic:blipFill>
                    <a:blip r:embed="rId56"/>
                    <a:stretch>
                      <a:fillRect/>
                    </a:stretch>
                  </pic:blipFill>
                  <pic:spPr>
                    <a:xfrm rot="0">
                      <a:off x="0" y="0"/>
                      <a:ext cx="1174715"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ind w:left="104"/>
        <w:spacing w:before="68" w:line="219" w:lineRule="auto"/>
        <w:rPr>
          <w:rFonts w:ascii="SimSun" w:hAnsi="SimSun" w:eastAsia="SimSun" w:cs="SimSun"/>
          <w:sz w:val="21"/>
          <w:szCs w:val="21"/>
        </w:rPr>
      </w:pPr>
      <w:r>
        <w:rPr>
          <w:rFonts w:ascii="SimSun" w:hAnsi="SimSun" w:eastAsia="SimSun" w:cs="SimSun"/>
          <w:sz w:val="21"/>
          <w:szCs w:val="21"/>
          <w:spacing w:val="-12"/>
        </w:rPr>
        <w:t>的策略和以改进生产率为目的的策略十分困难。</w:t>
      </w:r>
    </w:p>
    <w:p>
      <w:pPr>
        <w:ind w:right="69" w:firstLine="535"/>
        <w:spacing w:before="105" w:line="306" w:lineRule="auto"/>
        <w:jc w:val="both"/>
        <w:rPr>
          <w:rFonts w:ascii="SimSun" w:hAnsi="SimSun" w:eastAsia="SimSun" w:cs="SimSun"/>
          <w:sz w:val="21"/>
          <w:szCs w:val="21"/>
        </w:rPr>
      </w:pPr>
      <w:r>
        <w:rPr>
          <w:rFonts w:ascii="SimSun" w:hAnsi="SimSun" w:eastAsia="SimSun" w:cs="SimSun"/>
          <w:sz w:val="21"/>
          <w:szCs w:val="21"/>
          <w:spacing w:val="-11"/>
        </w:rPr>
        <w:t>1911年，大法官布兰迪斯指出：“第一，一个公司如果太大，可</w:t>
      </w:r>
      <w:r>
        <w:rPr>
          <w:rFonts w:ascii="SimSun" w:hAnsi="SimSun" w:eastAsia="SimSun" w:cs="SimSun"/>
          <w:sz w:val="21"/>
          <w:szCs w:val="21"/>
          <w:spacing w:val="17"/>
        </w:rPr>
        <w:t xml:space="preserve"> </w:t>
      </w:r>
      <w:r>
        <w:rPr>
          <w:rFonts w:ascii="SimSun" w:hAnsi="SimSun" w:eastAsia="SimSun" w:cs="SimSun"/>
          <w:sz w:val="21"/>
          <w:szCs w:val="21"/>
        </w:rPr>
        <w:t>能已经不是最有效率的生产和分配模式；第二，无论公司是否超过</w:t>
      </w:r>
      <w:r>
        <w:rPr>
          <w:rFonts w:ascii="SimSun" w:hAnsi="SimSun" w:eastAsia="SimSun" w:cs="SimSun"/>
          <w:sz w:val="21"/>
          <w:szCs w:val="21"/>
          <w:spacing w:val="12"/>
        </w:rPr>
        <w:t xml:space="preserve"> </w:t>
      </w:r>
      <w:r>
        <w:rPr>
          <w:rFonts w:ascii="SimSun" w:hAnsi="SimSun" w:eastAsia="SimSun" w:cs="SimSun"/>
          <w:sz w:val="21"/>
          <w:szCs w:val="21"/>
        </w:rPr>
        <w:t>了最优规模，对那些向往自由的人而言，(太大的</w:t>
      </w:r>
      <w:r>
        <w:rPr>
          <w:rFonts w:ascii="SimSun" w:hAnsi="SimSun" w:eastAsia="SimSun" w:cs="SimSun"/>
          <w:sz w:val="21"/>
          <w:szCs w:val="21"/>
          <w:spacing w:val="-1"/>
        </w:rPr>
        <w:t>)公司可能都是无</w:t>
      </w:r>
      <w:r>
        <w:rPr>
          <w:rFonts w:ascii="SimSun" w:hAnsi="SimSun" w:eastAsia="SimSun" w:cs="SimSun"/>
          <w:sz w:val="21"/>
          <w:szCs w:val="21"/>
        </w:rPr>
        <w:t xml:space="preserve"> </w:t>
      </w:r>
      <w:r>
        <w:rPr>
          <w:rFonts w:ascii="SimSun" w:hAnsi="SimSun" w:eastAsia="SimSun" w:cs="SimSun"/>
          <w:sz w:val="21"/>
          <w:szCs w:val="21"/>
          <w:spacing w:val="-13"/>
        </w:rPr>
        <w:t>法容忍的。”①布兰迪斯主义的重要性在于，</w:t>
      </w:r>
      <w:r>
        <w:rPr>
          <w:rFonts w:ascii="SimSun" w:hAnsi="SimSun" w:eastAsia="SimSun" w:cs="SimSun"/>
          <w:sz w:val="21"/>
          <w:szCs w:val="21"/>
          <w:spacing w:val="69"/>
        </w:rPr>
        <w:t xml:space="preserve"> </w:t>
      </w:r>
      <w:r>
        <w:rPr>
          <w:rFonts w:ascii="SimSun" w:hAnsi="SimSun" w:eastAsia="SimSun" w:cs="SimSun"/>
          <w:sz w:val="21"/>
          <w:szCs w:val="21"/>
          <w:spacing w:val="-13"/>
        </w:rPr>
        <w:t>一是它反对的不仅仅是</w:t>
      </w:r>
      <w:r>
        <w:rPr>
          <w:rFonts w:ascii="SimSun" w:hAnsi="SimSun" w:eastAsia="SimSun" w:cs="SimSun"/>
          <w:sz w:val="21"/>
          <w:szCs w:val="21"/>
        </w:rPr>
        <w:t xml:space="preserve"> </w:t>
      </w:r>
      <w:r>
        <w:rPr>
          <w:rFonts w:ascii="SimSun" w:hAnsi="SimSun" w:eastAsia="SimSun" w:cs="SimSun"/>
          <w:sz w:val="21"/>
          <w:szCs w:val="21"/>
        </w:rPr>
        <w:t>垄断，而是庞大；二是它的出发点不仅仅是经济视角。同年，依据</w:t>
      </w:r>
      <w:r>
        <w:rPr>
          <w:rFonts w:ascii="SimSun" w:hAnsi="SimSun" w:eastAsia="SimSun" w:cs="SimSun"/>
          <w:sz w:val="21"/>
          <w:szCs w:val="21"/>
          <w:spacing w:val="16"/>
        </w:rPr>
        <w:t xml:space="preserve"> </w:t>
      </w:r>
      <w:r>
        <w:rPr>
          <w:rFonts w:ascii="SimSun" w:hAnsi="SimSun" w:eastAsia="SimSun" w:cs="SimSun"/>
          <w:sz w:val="21"/>
          <w:szCs w:val="21"/>
          <w:spacing w:val="-3"/>
        </w:rPr>
        <w:t>《谢尔曼法》,标准石油被认定为垄断公司，当时它在美国国内石油</w:t>
      </w:r>
      <w:r>
        <w:rPr>
          <w:rFonts w:ascii="SimSun" w:hAnsi="SimSun" w:eastAsia="SimSun" w:cs="SimSun"/>
          <w:sz w:val="21"/>
          <w:szCs w:val="21"/>
          <w:spacing w:val="9"/>
        </w:rPr>
        <w:t xml:space="preserve"> </w:t>
      </w:r>
      <w:r>
        <w:rPr>
          <w:rFonts w:ascii="SimSun" w:hAnsi="SimSun" w:eastAsia="SimSun" w:cs="SimSun"/>
          <w:sz w:val="21"/>
          <w:szCs w:val="21"/>
          <w:spacing w:val="7"/>
        </w:rPr>
        <w:t>市场的份额已经高达90%,因而被分拆为3</w:t>
      </w:r>
      <w:r>
        <w:rPr>
          <w:rFonts w:ascii="SimSun" w:hAnsi="SimSun" w:eastAsia="SimSun" w:cs="SimSun"/>
          <w:sz w:val="21"/>
          <w:szCs w:val="21"/>
          <w:spacing w:val="6"/>
        </w:rPr>
        <w:t>4家地区性石油公司。据</w:t>
      </w:r>
      <w:r>
        <w:rPr>
          <w:rFonts w:ascii="SimSun" w:hAnsi="SimSun" w:eastAsia="SimSun" w:cs="SimSun"/>
          <w:sz w:val="21"/>
          <w:szCs w:val="21"/>
        </w:rPr>
        <w:t xml:space="preserve"> </w:t>
      </w:r>
      <w:r>
        <w:rPr>
          <w:rFonts w:ascii="SimSun" w:hAnsi="SimSun" w:eastAsia="SimSun" w:cs="SimSun"/>
          <w:sz w:val="21"/>
          <w:szCs w:val="21"/>
        </w:rPr>
        <w:t>说当时西奥多·罗斯福总统也给了洛克菲勒另一个选项，就是将标</w:t>
      </w:r>
      <w:r>
        <w:rPr>
          <w:rFonts w:ascii="SimSun" w:hAnsi="SimSun" w:eastAsia="SimSun" w:cs="SimSun"/>
          <w:sz w:val="21"/>
          <w:szCs w:val="21"/>
          <w:spacing w:val="12"/>
        </w:rPr>
        <w:t xml:space="preserve"> </w:t>
      </w:r>
      <w:r>
        <w:rPr>
          <w:rFonts w:ascii="SimSun" w:hAnsi="SimSun" w:eastAsia="SimSun" w:cs="SimSun"/>
          <w:sz w:val="21"/>
          <w:szCs w:val="21"/>
          <w:spacing w:val="-5"/>
        </w:rPr>
        <w:t>准石油变为一个接受政府管理的公司，但显然洛克菲勒没有接受。</w:t>
      </w:r>
    </w:p>
    <w:p>
      <w:pPr>
        <w:ind w:right="62" w:firstLine="535"/>
        <w:spacing w:before="122" w:line="297" w:lineRule="auto"/>
        <w:jc w:val="both"/>
        <w:rPr>
          <w:rFonts w:ascii="SimSun" w:hAnsi="SimSun" w:eastAsia="SimSun" w:cs="SimSun"/>
          <w:sz w:val="21"/>
          <w:szCs w:val="21"/>
        </w:rPr>
      </w:pPr>
      <w:r>
        <w:rPr>
          <w:rFonts w:ascii="SimSun" w:hAnsi="SimSun" w:eastAsia="SimSun" w:cs="SimSun"/>
          <w:sz w:val="21"/>
          <w:szCs w:val="21"/>
          <w:spacing w:val="4"/>
        </w:rPr>
        <w:t>随后，美国反垄断的法律框架进一步完善，在1914年发布了</w:t>
      </w:r>
      <w:r>
        <w:rPr>
          <w:rFonts w:ascii="SimSun" w:hAnsi="SimSun" w:eastAsia="SimSun" w:cs="SimSun"/>
          <w:sz w:val="21"/>
          <w:szCs w:val="21"/>
          <w:spacing w:val="14"/>
        </w:rPr>
        <w:t xml:space="preserve"> </w:t>
      </w:r>
      <w:r>
        <w:rPr>
          <w:rFonts w:ascii="SimSun" w:hAnsi="SimSun" w:eastAsia="SimSun" w:cs="SimSun"/>
          <w:sz w:val="21"/>
          <w:szCs w:val="21"/>
          <w:spacing w:val="-13"/>
        </w:rPr>
        <w:t>《克莱顿法》和《联邦贸易委员会法》,这两部法律与《谢尔曼法》 一</w:t>
      </w:r>
      <w:r>
        <w:rPr>
          <w:rFonts w:ascii="SimSun" w:hAnsi="SimSun" w:eastAsia="SimSun" w:cs="SimSun"/>
          <w:sz w:val="21"/>
          <w:szCs w:val="21"/>
          <w:spacing w:val="11"/>
        </w:rPr>
        <w:t xml:space="preserve"> </w:t>
      </w:r>
      <w:r>
        <w:rPr>
          <w:rFonts w:ascii="SimSun" w:hAnsi="SimSun" w:eastAsia="SimSun" w:cs="SimSun"/>
          <w:sz w:val="21"/>
          <w:szCs w:val="21"/>
          <w:spacing w:val="-6"/>
        </w:rPr>
        <w:t>起构成了美国反垄断的基本法。《克莱顿法</w:t>
      </w:r>
      <w:r>
        <w:rPr>
          <w:rFonts w:ascii="SimSun" w:hAnsi="SimSun" w:eastAsia="SimSun" w:cs="SimSun"/>
          <w:sz w:val="21"/>
          <w:szCs w:val="21"/>
          <w:spacing w:val="-7"/>
        </w:rPr>
        <w:t>》对兼并做了一些明确的</w:t>
      </w:r>
      <w:r>
        <w:rPr>
          <w:rFonts w:ascii="SimSun" w:hAnsi="SimSun" w:eastAsia="SimSun" w:cs="SimSun"/>
          <w:sz w:val="21"/>
          <w:szCs w:val="21"/>
        </w:rPr>
        <w:t xml:space="preserve"> </w:t>
      </w:r>
      <w:r>
        <w:rPr>
          <w:rFonts w:ascii="SimSun" w:hAnsi="SimSun" w:eastAsia="SimSun" w:cs="SimSun"/>
          <w:sz w:val="21"/>
          <w:szCs w:val="21"/>
          <w:spacing w:val="-4"/>
        </w:rPr>
        <w:t>规定，主要是确定了一个所谓的“早期原则”,即只要有形成垄断的</w:t>
      </w:r>
      <w:r>
        <w:rPr>
          <w:rFonts w:ascii="SimSun" w:hAnsi="SimSun" w:eastAsia="SimSun" w:cs="SimSun"/>
          <w:sz w:val="21"/>
          <w:szCs w:val="21"/>
          <w:spacing w:val="14"/>
        </w:rPr>
        <w:t xml:space="preserve"> </w:t>
      </w:r>
      <w:r>
        <w:rPr>
          <w:rFonts w:ascii="SimSun" w:hAnsi="SimSun" w:eastAsia="SimSun" w:cs="SimSun"/>
          <w:sz w:val="21"/>
          <w:szCs w:val="21"/>
          <w:spacing w:val="-4"/>
        </w:rPr>
        <w:t>可能性，就可以被认定为违法。</w:t>
      </w:r>
    </w:p>
    <w:p>
      <w:pPr>
        <w:ind w:left="104" w:right="5" w:firstLine="430"/>
        <w:spacing w:before="105" w:line="306" w:lineRule="auto"/>
        <w:jc w:val="both"/>
        <w:rPr>
          <w:rFonts w:ascii="SimSun" w:hAnsi="SimSun" w:eastAsia="SimSun" w:cs="SimSun"/>
          <w:sz w:val="21"/>
          <w:szCs w:val="21"/>
        </w:rPr>
      </w:pPr>
      <w:r>
        <w:rPr>
          <w:rFonts w:ascii="SimSun" w:hAnsi="SimSun" w:eastAsia="SimSun" w:cs="SimSun"/>
          <w:sz w:val="21"/>
          <w:szCs w:val="21"/>
          <w:spacing w:val="-11"/>
        </w:rPr>
        <w:t>在过去很长的一段时期，消费者福利成为判定是否存在垄断的一</w:t>
      </w:r>
      <w:r>
        <w:rPr>
          <w:rFonts w:ascii="SimSun" w:hAnsi="SimSun" w:eastAsia="SimSun" w:cs="SimSun"/>
          <w:sz w:val="21"/>
          <w:szCs w:val="21"/>
          <w:spacing w:val="17"/>
        </w:rPr>
        <w:t xml:space="preserve"> </w:t>
      </w:r>
      <w:r>
        <w:rPr>
          <w:rFonts w:ascii="SimSun" w:hAnsi="SimSun" w:eastAsia="SimSun" w:cs="SimSun"/>
          <w:sz w:val="21"/>
          <w:szCs w:val="21"/>
          <w:spacing w:val="-10"/>
        </w:rPr>
        <w:t>个重要标准，而反映消费者福利的一个重要指标是价格，即是否存</w:t>
      </w:r>
      <w:r>
        <w:rPr>
          <w:rFonts w:ascii="SimSun" w:hAnsi="SimSun" w:eastAsia="SimSun" w:cs="SimSun"/>
          <w:sz w:val="21"/>
          <w:szCs w:val="21"/>
          <w:spacing w:val="-11"/>
        </w:rPr>
        <w:t>在 </w:t>
      </w:r>
      <w:r>
        <w:rPr>
          <w:rFonts w:ascii="SimSun" w:hAnsi="SimSun" w:eastAsia="SimSun" w:cs="SimSun"/>
          <w:sz w:val="21"/>
          <w:szCs w:val="21"/>
          <w:spacing w:val="-10"/>
        </w:rPr>
        <w:t>超高价格形成垄断利润。因此，现有的反垄断调查似乎对巨型互联</w:t>
      </w:r>
      <w:r>
        <w:rPr>
          <w:rFonts w:ascii="SimSun" w:hAnsi="SimSun" w:eastAsia="SimSun" w:cs="SimSun"/>
          <w:sz w:val="21"/>
          <w:szCs w:val="21"/>
          <w:spacing w:val="-11"/>
        </w:rPr>
        <w:t>网 </w:t>
      </w:r>
      <w:r>
        <w:rPr>
          <w:rFonts w:ascii="SimSun" w:hAnsi="SimSun" w:eastAsia="SimSun" w:cs="SimSun"/>
          <w:sz w:val="21"/>
          <w:szCs w:val="21"/>
          <w:spacing w:val="-10"/>
        </w:rPr>
        <w:t>公司的兴起和这些公司明显的垄断或者反竞争行为无能为力。许多</w:t>
      </w:r>
      <w:r>
        <w:rPr>
          <w:rFonts w:ascii="SimSun" w:hAnsi="SimSun" w:eastAsia="SimSun" w:cs="SimSun"/>
          <w:sz w:val="21"/>
          <w:szCs w:val="21"/>
          <w:spacing w:val="-11"/>
        </w:rPr>
        <w:t>平 </w:t>
      </w:r>
      <w:r>
        <w:rPr>
          <w:rFonts w:ascii="SimSun" w:hAnsi="SimSun" w:eastAsia="SimSun" w:cs="SimSun"/>
          <w:sz w:val="21"/>
          <w:szCs w:val="21"/>
          <w:spacing w:val="-8"/>
        </w:rPr>
        <w:t>台企业不仅没有提高消费者价格，反而压低价格甚至提供免费服务。</w:t>
      </w:r>
      <w:r>
        <w:rPr>
          <w:rFonts w:ascii="SimSun" w:hAnsi="SimSun" w:eastAsia="SimSun" w:cs="SimSun"/>
          <w:sz w:val="21"/>
          <w:szCs w:val="21"/>
          <w:spacing w:val="13"/>
        </w:rPr>
        <w:t xml:space="preserve"> </w:t>
      </w:r>
      <w:r>
        <w:rPr>
          <w:rFonts w:ascii="SimSun" w:hAnsi="SimSun" w:eastAsia="SimSun" w:cs="SimSun"/>
          <w:sz w:val="21"/>
          <w:szCs w:val="21"/>
          <w:spacing w:val="-4"/>
        </w:rPr>
        <w:t>但平台经济的多边市场与网络效应等特性表明，为用户提供免费的 </w:t>
      </w:r>
      <w:r>
        <w:rPr>
          <w:rFonts w:ascii="SimSun" w:hAnsi="SimSun" w:eastAsia="SimSun" w:cs="SimSun"/>
          <w:sz w:val="21"/>
          <w:szCs w:val="21"/>
          <w:spacing w:val="-6"/>
        </w:rPr>
        <w:t>(社交、搜索、音乐等)服务并不一定意味着“免费”,也并不一定意</w:t>
      </w:r>
      <w:r>
        <w:rPr>
          <w:rFonts w:ascii="SimSun" w:hAnsi="SimSun" w:eastAsia="SimSun" w:cs="SimSun"/>
          <w:sz w:val="21"/>
          <w:szCs w:val="21"/>
          <w:spacing w:val="13"/>
        </w:rPr>
        <w:t xml:space="preserve"> </w:t>
      </w:r>
      <w:r>
        <w:rPr>
          <w:rFonts w:ascii="SimSun" w:hAnsi="SimSun" w:eastAsia="SimSun" w:cs="SimSun"/>
          <w:sz w:val="21"/>
          <w:szCs w:val="21"/>
          <w:spacing w:val="-10"/>
        </w:rPr>
        <w:t>味着这些平台企业不拥有垄断地位。在商业实践中，补贴多边市场中</w:t>
      </w:r>
      <w:r>
        <w:rPr>
          <w:rFonts w:ascii="SimSun" w:hAnsi="SimSun" w:eastAsia="SimSun" w:cs="SimSun"/>
          <w:sz w:val="21"/>
          <w:szCs w:val="21"/>
          <w:spacing w:val="10"/>
        </w:rPr>
        <w:t xml:space="preserve"> </w:t>
      </w:r>
      <w:r>
        <w:rPr>
          <w:rFonts w:ascii="SimSun" w:hAnsi="SimSun" w:eastAsia="SimSun" w:cs="SimSun"/>
          <w:sz w:val="21"/>
          <w:szCs w:val="21"/>
          <w:spacing w:val="-10"/>
        </w:rPr>
        <w:t>的用户端以扩大市场规模，恰恰是平台经常采取的提高营业收入甚至</w:t>
      </w:r>
    </w:p>
    <w:p>
      <w:pPr>
        <w:pStyle w:val="BodyText"/>
        <w:spacing w:line="241" w:lineRule="auto"/>
        <w:rPr/>
      </w:pPr>
      <w:r/>
    </w:p>
    <w:p>
      <w:pPr>
        <w:pStyle w:val="BodyText"/>
        <w:spacing w:line="241" w:lineRule="auto"/>
        <w:rPr/>
      </w:pPr>
      <w:r/>
    </w:p>
    <w:p>
      <w:pPr>
        <w:spacing w:before="59" w:line="367" w:lineRule="exact"/>
        <w:jc w:val="right"/>
        <w:rPr>
          <w:rFonts w:ascii="KaiTi" w:hAnsi="KaiTi" w:eastAsia="KaiTi" w:cs="KaiTi"/>
          <w:sz w:val="18"/>
          <w:szCs w:val="18"/>
        </w:rPr>
      </w:pPr>
      <w:r>
        <w:rPr>
          <w:rFonts w:ascii="SimSun" w:hAnsi="SimSun" w:eastAsia="SimSun" w:cs="SimSun"/>
          <w:sz w:val="18"/>
          <w:szCs w:val="18"/>
          <w:spacing w:val="-10"/>
          <w:position w:val="14"/>
        </w:rPr>
        <w:t>①</w:t>
      </w:r>
      <w:r>
        <w:rPr>
          <w:rFonts w:ascii="SimSun" w:hAnsi="SimSun" w:eastAsia="SimSun" w:cs="SimSun"/>
          <w:sz w:val="18"/>
          <w:szCs w:val="18"/>
          <w:spacing w:val="55"/>
          <w:w w:val="101"/>
          <w:position w:val="14"/>
        </w:rPr>
        <w:t xml:space="preserve"> </w:t>
      </w:r>
      <w:r>
        <w:rPr>
          <w:rFonts w:ascii="KaiTi" w:hAnsi="KaiTi" w:eastAsia="KaiTi" w:cs="KaiTi"/>
          <w:sz w:val="18"/>
          <w:szCs w:val="18"/>
          <w:spacing w:val="-10"/>
          <w:position w:val="14"/>
        </w:rPr>
        <w:t>郭凯.反垄断不只有经济视角——一篇读书笔记.中国金融四十</w:t>
      </w:r>
      <w:r>
        <w:rPr>
          <w:rFonts w:ascii="KaiTi" w:hAnsi="KaiTi" w:eastAsia="KaiTi" w:cs="KaiTi"/>
          <w:sz w:val="18"/>
          <w:szCs w:val="18"/>
          <w:spacing w:val="-11"/>
          <w:position w:val="14"/>
        </w:rPr>
        <w:t>人论坛公众号，</w:t>
      </w:r>
    </w:p>
    <w:p>
      <w:pPr>
        <w:ind w:left="445"/>
        <w:spacing w:line="183" w:lineRule="auto"/>
        <w:rPr>
          <w:rFonts w:ascii="SimSun" w:hAnsi="SimSun" w:eastAsia="SimSun" w:cs="SimSun"/>
          <w:sz w:val="16"/>
          <w:szCs w:val="16"/>
        </w:rPr>
      </w:pPr>
      <w:r>
        <w:rPr>
          <w:rFonts w:ascii="SimSun" w:hAnsi="SimSun" w:eastAsia="SimSun" w:cs="SimSun"/>
          <w:sz w:val="16"/>
          <w:szCs w:val="16"/>
          <w:spacing w:val="-1"/>
        </w:rPr>
        <w:t>2021-05-15.</w:t>
      </w:r>
    </w:p>
    <w:p>
      <w:pPr>
        <w:spacing w:line="183" w:lineRule="auto"/>
        <w:sectPr>
          <w:headerReference w:type="default" r:id="rId55"/>
          <w:pgSz w:w="7330" w:h="12480"/>
          <w:pgMar w:top="875" w:right="750" w:bottom="400" w:left="394" w:header="712" w:footer="0" w:gutter="0"/>
        </w:sectPr>
        <w:rPr>
          <w:rFonts w:ascii="SimSun" w:hAnsi="SimSun" w:eastAsia="SimSun" w:cs="SimSun"/>
          <w:sz w:val="16"/>
          <w:szCs w:val="16"/>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形成市场势力的重要策略。</w:t>
      </w:r>
    </w:p>
    <w:p>
      <w:pPr>
        <w:ind w:right="56" w:firstLine="449"/>
        <w:spacing w:before="122" w:line="304" w:lineRule="auto"/>
        <w:jc w:val="both"/>
        <w:rPr>
          <w:rFonts w:ascii="SimSun" w:hAnsi="SimSun" w:eastAsia="SimSun" w:cs="SimSun"/>
          <w:sz w:val="21"/>
          <w:szCs w:val="21"/>
        </w:rPr>
      </w:pPr>
      <w:r>
        <w:rPr>
          <w:rFonts w:ascii="SimSun" w:hAnsi="SimSun" w:eastAsia="SimSun" w:cs="SimSun"/>
          <w:sz w:val="21"/>
          <w:szCs w:val="21"/>
          <w:spacing w:val="-3"/>
        </w:rPr>
        <w:t>消费者福利标准无法有效判断平台经济领域的垄断现象，</w:t>
      </w:r>
      <w:r>
        <w:rPr>
          <w:rFonts w:ascii="SimSun" w:hAnsi="SimSun" w:eastAsia="SimSun" w:cs="SimSun"/>
          <w:sz w:val="21"/>
          <w:szCs w:val="21"/>
          <w:spacing w:val="-4"/>
        </w:rPr>
        <w:t>直接</w:t>
      </w:r>
      <w:r>
        <w:rPr>
          <w:rFonts w:ascii="SimSun" w:hAnsi="SimSun" w:eastAsia="SimSun" w:cs="SimSun"/>
          <w:sz w:val="21"/>
          <w:szCs w:val="21"/>
        </w:rPr>
        <w:t xml:space="preserve"> </w:t>
      </w:r>
      <w:r>
        <w:rPr>
          <w:rFonts w:ascii="SimSun" w:hAnsi="SimSun" w:eastAsia="SimSun" w:cs="SimSun"/>
          <w:sz w:val="21"/>
          <w:szCs w:val="21"/>
          <w:spacing w:val="-10"/>
        </w:rPr>
        <w:t>推动了布兰迪斯主义在美国的重生。预示新布兰迪斯主义将</w:t>
      </w:r>
      <w:r>
        <w:rPr>
          <w:rFonts w:ascii="SimSun" w:hAnsi="SimSun" w:eastAsia="SimSun" w:cs="SimSun"/>
          <w:sz w:val="21"/>
          <w:szCs w:val="21"/>
          <w:spacing w:val="-11"/>
        </w:rPr>
        <w:t>对美国反</w:t>
      </w:r>
      <w:r>
        <w:rPr>
          <w:rFonts w:ascii="SimSun" w:hAnsi="SimSun" w:eastAsia="SimSun" w:cs="SimSun"/>
          <w:sz w:val="21"/>
          <w:szCs w:val="21"/>
        </w:rPr>
        <w:t xml:space="preserve"> </w:t>
      </w:r>
      <w:r>
        <w:rPr>
          <w:rFonts w:ascii="SimSun" w:hAnsi="SimSun" w:eastAsia="SimSun" w:cs="SimSun"/>
          <w:sz w:val="21"/>
          <w:szCs w:val="21"/>
          <w:spacing w:val="-15"/>
        </w:rPr>
        <w:t>垄断政策产生影响的，是两个标志性事件：</w:t>
      </w:r>
      <w:r>
        <w:rPr>
          <w:rFonts w:ascii="SimSun" w:hAnsi="SimSun" w:eastAsia="SimSun" w:cs="SimSun"/>
          <w:sz w:val="21"/>
          <w:szCs w:val="21"/>
          <w:spacing w:val="52"/>
        </w:rPr>
        <w:t xml:space="preserve"> </w:t>
      </w:r>
      <w:r>
        <w:rPr>
          <w:rFonts w:ascii="SimSun" w:hAnsi="SimSun" w:eastAsia="SimSun" w:cs="SimSun"/>
          <w:sz w:val="21"/>
          <w:szCs w:val="21"/>
          <w:spacing w:val="-15"/>
        </w:rPr>
        <w:t>一是哥伦</w:t>
      </w:r>
      <w:r>
        <w:rPr>
          <w:rFonts w:ascii="SimSun" w:hAnsi="SimSun" w:eastAsia="SimSun" w:cs="SimSun"/>
          <w:sz w:val="21"/>
          <w:szCs w:val="21"/>
          <w:spacing w:val="-16"/>
        </w:rPr>
        <w:t>比亚大学法学院</w:t>
      </w:r>
      <w:r>
        <w:rPr>
          <w:rFonts w:ascii="SimSun" w:hAnsi="SimSun" w:eastAsia="SimSun" w:cs="SimSun"/>
          <w:sz w:val="21"/>
          <w:szCs w:val="21"/>
        </w:rPr>
        <w:t xml:space="preserve"> </w:t>
      </w:r>
      <w:r>
        <w:rPr>
          <w:rFonts w:ascii="SimSun" w:hAnsi="SimSun" w:eastAsia="SimSun" w:cs="SimSun"/>
          <w:sz w:val="21"/>
          <w:szCs w:val="21"/>
          <w:spacing w:val="4"/>
        </w:rPr>
        <w:t>教授吴修铭于2021年3月5日被拜登总统延揽入美国国家经济委员</w:t>
      </w:r>
      <w:r>
        <w:rPr>
          <w:rFonts w:ascii="SimSun" w:hAnsi="SimSun" w:eastAsia="SimSun" w:cs="SimSun"/>
          <w:sz w:val="21"/>
          <w:szCs w:val="21"/>
          <w:spacing w:val="13"/>
        </w:rPr>
        <w:t xml:space="preserve"> </w:t>
      </w:r>
      <w:r>
        <w:rPr>
          <w:rFonts w:ascii="SimSun" w:hAnsi="SimSun" w:eastAsia="SimSun" w:cs="SimSun"/>
          <w:sz w:val="21"/>
          <w:szCs w:val="21"/>
          <w:spacing w:val="-10"/>
        </w:rPr>
        <w:t>会，成为技术与竞争策略总统特别助理；二是哥伦比亚大学法学院副</w:t>
      </w:r>
      <w:r>
        <w:rPr>
          <w:rFonts w:ascii="SimSun" w:hAnsi="SimSun" w:eastAsia="SimSun" w:cs="SimSun"/>
          <w:sz w:val="21"/>
          <w:szCs w:val="21"/>
          <w:spacing w:val="6"/>
        </w:rPr>
        <w:t xml:space="preserve"> </w:t>
      </w:r>
      <w:r>
        <w:rPr>
          <w:rFonts w:ascii="SimSun" w:hAnsi="SimSun" w:eastAsia="SimSun" w:cs="SimSun"/>
          <w:sz w:val="21"/>
          <w:szCs w:val="21"/>
          <w:spacing w:val="1"/>
        </w:rPr>
        <w:t>教授莉娜·可汗于2021年6月15日被拜登总统任命为联邦贸易委员</w:t>
      </w:r>
      <w:r>
        <w:rPr>
          <w:rFonts w:ascii="SimSun" w:hAnsi="SimSun" w:eastAsia="SimSun" w:cs="SimSun"/>
          <w:sz w:val="21"/>
          <w:szCs w:val="21"/>
        </w:rPr>
        <w:t xml:space="preserve"> </w:t>
      </w:r>
      <w:r>
        <w:rPr>
          <w:rFonts w:ascii="SimSun" w:hAnsi="SimSun" w:eastAsia="SimSun" w:cs="SimSun"/>
          <w:sz w:val="21"/>
          <w:szCs w:val="21"/>
          <w:spacing w:val="-6"/>
        </w:rPr>
        <w:t>会</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6"/>
        </w:rPr>
        <w:t>(FTC)   </w:t>
      </w:r>
      <w:r>
        <w:rPr>
          <w:rFonts w:ascii="SimSun" w:hAnsi="SimSun" w:eastAsia="SimSun" w:cs="SimSun"/>
          <w:sz w:val="21"/>
          <w:szCs w:val="21"/>
          <w:spacing w:val="-6"/>
        </w:rPr>
        <w:t>主席。两人均为新布兰迪斯主义的代表性人物，莉娜·可</w:t>
      </w:r>
      <w:r>
        <w:rPr>
          <w:rFonts w:ascii="SimSun" w:hAnsi="SimSun" w:eastAsia="SimSun" w:cs="SimSun"/>
          <w:sz w:val="21"/>
          <w:szCs w:val="21"/>
        </w:rPr>
        <w:t xml:space="preserve"> </w:t>
      </w:r>
      <w:r>
        <w:rPr>
          <w:rFonts w:ascii="SimSun" w:hAnsi="SimSun" w:eastAsia="SimSun" w:cs="SimSun"/>
          <w:sz w:val="21"/>
          <w:szCs w:val="21"/>
          <w:spacing w:val="-12"/>
        </w:rPr>
        <w:t>汗的代表作是其学生时代的论文《亚马逊的反垄断悖论》(“Amazon's</w:t>
      </w:r>
    </w:p>
    <w:p>
      <w:pPr>
        <w:pStyle w:val="BodyText"/>
        <w:spacing w:before="109" w:line="216" w:lineRule="auto"/>
        <w:rPr/>
      </w:pPr>
      <w:r>
        <w:rPr>
          <w:rFonts w:ascii="Times New Roman" w:hAnsi="Times New Roman" w:eastAsia="Times New Roman" w:cs="Times New Roman"/>
        </w:rPr>
        <w:t>Antitrust Parado</w:t>
      </w:r>
      <w:r>
        <w:rPr>
          <w:rFonts w:ascii="SimSun" w:hAnsi="SimSun" w:eastAsia="SimSun" w:cs="SimSun"/>
        </w:rPr>
        <w:t>x”),</w:t>
      </w:r>
      <w:r>
        <w:rPr>
          <w:rFonts w:ascii="SimSun" w:hAnsi="SimSun" w:eastAsia="SimSun" w:cs="SimSun"/>
          <w:spacing w:val="-39"/>
        </w:rPr>
        <w:t xml:space="preserve"> </w:t>
      </w:r>
      <w:r>
        <w:rPr>
          <w:rFonts w:ascii="SimSun" w:hAnsi="SimSun" w:eastAsia="SimSun" w:cs="SimSun"/>
        </w:rPr>
        <w:t>吴修铭的代表作则是《大企业的诅咒》(Th</w:t>
      </w:r>
      <w:r>
        <w:rPr>
          <w:rFonts w:ascii="SimSun" w:hAnsi="SimSun" w:eastAsia="SimSun" w:cs="SimSun"/>
          <w:spacing w:val="-35"/>
        </w:rPr>
        <w:t xml:space="preserve"> </w:t>
      </w:r>
      <w:r>
        <w:rPr/>
        <w:t>e</w:t>
      </w:r>
    </w:p>
    <w:p>
      <w:pPr>
        <w:spacing w:before="58" w:line="298" w:lineRule="exact"/>
        <w:rPr>
          <w:rFonts w:ascii="SimSun" w:hAnsi="SimSun" w:eastAsia="SimSun" w:cs="SimSun"/>
          <w:sz w:val="22"/>
          <w:szCs w:val="22"/>
        </w:rPr>
      </w:pPr>
      <w:r>
        <w:rPr>
          <w:rFonts w:ascii="Times New Roman" w:hAnsi="Times New Roman" w:eastAsia="Times New Roman" w:cs="Times New Roman"/>
          <w:sz w:val="21"/>
          <w:szCs w:val="21"/>
          <w:i/>
          <w:iCs/>
          <w:spacing w:val="-2"/>
          <w:position w:val="4"/>
        </w:rPr>
        <w:t>Curse of</w:t>
      </w:r>
      <w:r>
        <w:rPr>
          <w:rFonts w:ascii="Times New Roman" w:hAnsi="Times New Roman" w:eastAsia="Times New Roman" w:cs="Times New Roman"/>
          <w:sz w:val="21"/>
          <w:szCs w:val="21"/>
          <w:i/>
          <w:iCs/>
          <w:spacing w:val="-30"/>
          <w:position w:val="4"/>
        </w:rPr>
        <w:t xml:space="preserve"> </w:t>
      </w:r>
      <w:r>
        <w:rPr>
          <w:rFonts w:ascii="Times New Roman" w:hAnsi="Times New Roman" w:eastAsia="Times New Roman" w:cs="Times New Roman"/>
          <w:sz w:val="21"/>
          <w:szCs w:val="21"/>
          <w:i/>
          <w:iCs/>
          <w:spacing w:val="-2"/>
          <w:position w:val="4"/>
        </w:rPr>
        <w:t>Bigness:Antitrust in the New</w:t>
      </w:r>
      <w:r>
        <w:rPr>
          <w:rFonts w:ascii="Times New Roman" w:hAnsi="Times New Roman" w:eastAsia="Times New Roman" w:cs="Times New Roman"/>
          <w:sz w:val="21"/>
          <w:szCs w:val="21"/>
          <w:i/>
          <w:iCs/>
          <w:spacing w:val="13"/>
          <w:w w:val="101"/>
          <w:position w:val="4"/>
        </w:rPr>
        <w:t xml:space="preserve"> </w:t>
      </w:r>
      <w:r>
        <w:rPr>
          <w:rFonts w:ascii="Times New Roman" w:hAnsi="Times New Roman" w:eastAsia="Times New Roman" w:cs="Times New Roman"/>
          <w:sz w:val="21"/>
          <w:szCs w:val="21"/>
          <w:i/>
          <w:iCs/>
          <w:spacing w:val="-2"/>
          <w:position w:val="4"/>
        </w:rPr>
        <w:t>Gilded</w:t>
      </w:r>
      <w:r>
        <w:rPr>
          <w:rFonts w:ascii="Times New Roman" w:hAnsi="Times New Roman" w:eastAsia="Times New Roman" w:cs="Times New Roman"/>
          <w:sz w:val="21"/>
          <w:szCs w:val="21"/>
          <w:i/>
          <w:iCs/>
          <w:spacing w:val="-20"/>
          <w:position w:val="4"/>
        </w:rPr>
        <w:t xml:space="preserve"> </w:t>
      </w:r>
      <w:r>
        <w:rPr>
          <w:rFonts w:ascii="Times New Roman" w:hAnsi="Times New Roman" w:eastAsia="Times New Roman" w:cs="Times New Roman"/>
          <w:sz w:val="21"/>
          <w:szCs w:val="21"/>
          <w:i/>
          <w:iCs/>
          <w:spacing w:val="-2"/>
          <w:position w:val="4"/>
        </w:rPr>
        <w:t>Age)</w:t>
      </w:r>
      <w:r>
        <w:rPr>
          <w:rFonts w:ascii="SimSun" w:hAnsi="SimSun" w:eastAsia="SimSun" w:cs="SimSun"/>
          <w:sz w:val="22"/>
          <w:szCs w:val="22"/>
          <w:i/>
          <w:iCs/>
          <w:spacing w:val="-2"/>
          <w:position w:val="4"/>
        </w:rPr>
        <w:t>。</w:t>
      </w:r>
    </w:p>
    <w:p>
      <w:pPr>
        <w:ind w:firstLine="449"/>
        <w:spacing w:before="108" w:line="298" w:lineRule="auto"/>
        <w:jc w:val="both"/>
        <w:rPr>
          <w:rFonts w:ascii="SimSun" w:hAnsi="SimSun" w:eastAsia="SimSun" w:cs="SimSun"/>
          <w:sz w:val="21"/>
          <w:szCs w:val="21"/>
        </w:rPr>
      </w:pPr>
      <w:r>
        <w:rPr>
          <w:rFonts w:ascii="SimSun" w:hAnsi="SimSun" w:eastAsia="SimSun" w:cs="SimSun"/>
          <w:sz w:val="21"/>
          <w:szCs w:val="21"/>
          <w:spacing w:val="-10"/>
        </w:rPr>
        <w:t>两个人均主张放弃“消费者福利”这个标准。莉娜·可汗认真地</w:t>
      </w:r>
      <w:r>
        <w:rPr>
          <w:rFonts w:ascii="SimSun" w:hAnsi="SimSun" w:eastAsia="SimSun" w:cs="SimSun"/>
          <w:sz w:val="21"/>
          <w:szCs w:val="21"/>
          <w:spacing w:val="6"/>
        </w:rPr>
        <w:t xml:space="preserve"> </w:t>
      </w:r>
      <w:r>
        <w:rPr>
          <w:rFonts w:ascii="SimSun" w:hAnsi="SimSun" w:eastAsia="SimSun" w:cs="SimSun"/>
          <w:sz w:val="21"/>
          <w:szCs w:val="21"/>
          <w:spacing w:val="-10"/>
        </w:rPr>
        <w:t>研究了亚马逊案例，认为亚马逊作为线上平台有“球员兼裁判”的利</w:t>
      </w:r>
      <w:r>
        <w:rPr>
          <w:rFonts w:ascii="SimSun" w:hAnsi="SimSun" w:eastAsia="SimSun" w:cs="SimSun"/>
          <w:sz w:val="21"/>
          <w:szCs w:val="21"/>
          <w:spacing w:val="1"/>
        </w:rPr>
        <w:t xml:space="preserve">  </w:t>
      </w:r>
      <w:r>
        <w:rPr>
          <w:rFonts w:ascii="SimSun" w:hAnsi="SimSun" w:eastAsia="SimSun" w:cs="SimSun"/>
          <w:sz w:val="21"/>
          <w:szCs w:val="21"/>
          <w:spacing w:val="-7"/>
        </w:rPr>
        <w:t>益冲突问题，她还发现亚马逊不仅采用掠夺性定价与垂直整合策略，</w:t>
      </w:r>
      <w:r>
        <w:rPr>
          <w:rFonts w:ascii="SimSun" w:hAnsi="SimSun" w:eastAsia="SimSun" w:cs="SimSun"/>
          <w:sz w:val="21"/>
          <w:szCs w:val="21"/>
          <w:spacing w:val="3"/>
        </w:rPr>
        <w:t xml:space="preserve"> </w:t>
      </w:r>
      <w:r>
        <w:rPr>
          <w:rFonts w:ascii="SimSun" w:hAnsi="SimSun" w:eastAsia="SimSun" w:cs="SimSun"/>
          <w:sz w:val="21"/>
          <w:szCs w:val="21"/>
          <w:spacing w:val="-10"/>
        </w:rPr>
        <w:t>而且这两者与亚马逊如何获得市场垄断力息息相关。她因此主张不能</w:t>
      </w:r>
      <w:r>
        <w:rPr>
          <w:rFonts w:ascii="SimSun" w:hAnsi="SimSun" w:eastAsia="SimSun" w:cs="SimSun"/>
          <w:sz w:val="21"/>
          <w:szCs w:val="21"/>
        </w:rPr>
        <w:t xml:space="preserve">  </w:t>
      </w:r>
      <w:r>
        <w:rPr>
          <w:rFonts w:ascii="SimSun" w:hAnsi="SimSun" w:eastAsia="SimSun" w:cs="SimSun"/>
          <w:sz w:val="21"/>
          <w:szCs w:val="21"/>
          <w:spacing w:val="-11"/>
        </w:rPr>
        <w:t>以传统狭隘的竞争结果理解科技巨头平台，而必须考虑到企业结构与</w:t>
      </w:r>
      <w:r>
        <w:rPr>
          <w:rFonts w:ascii="SimSun" w:hAnsi="SimSun" w:eastAsia="SimSun" w:cs="SimSun"/>
          <w:sz w:val="21"/>
          <w:szCs w:val="21"/>
          <w:spacing w:val="7"/>
        </w:rPr>
        <w:t xml:space="preserve">  </w:t>
      </w:r>
      <w:r>
        <w:rPr>
          <w:rFonts w:ascii="SimSun" w:hAnsi="SimSun" w:eastAsia="SimSun" w:cs="SimSun"/>
          <w:sz w:val="21"/>
          <w:szCs w:val="21"/>
          <w:spacing w:val="-10"/>
        </w:rPr>
        <w:t>市场的动态竞争过程。吴修铭也主张抛弃以消费者福利衡量反</w:t>
      </w:r>
      <w:r>
        <w:rPr>
          <w:rFonts w:ascii="SimSun" w:hAnsi="SimSun" w:eastAsia="SimSun" w:cs="SimSun"/>
          <w:sz w:val="21"/>
          <w:szCs w:val="21"/>
          <w:spacing w:val="-11"/>
        </w:rPr>
        <w:t>托拉斯</w:t>
      </w:r>
      <w:r>
        <w:rPr>
          <w:rFonts w:ascii="SimSun" w:hAnsi="SimSun" w:eastAsia="SimSun" w:cs="SimSun"/>
          <w:sz w:val="21"/>
          <w:szCs w:val="21"/>
        </w:rPr>
        <w:t xml:space="preserve">  </w:t>
      </w:r>
      <w:r>
        <w:rPr>
          <w:rFonts w:ascii="SimSun" w:hAnsi="SimSun" w:eastAsia="SimSun" w:cs="SimSun"/>
          <w:sz w:val="21"/>
          <w:szCs w:val="21"/>
          <w:spacing w:val="-10"/>
        </w:rPr>
        <w:t>法的做法，应该由法院评估目标行为是促进竞争还是压抑甚至摧毁竞</w:t>
      </w:r>
      <w:r>
        <w:rPr>
          <w:rFonts w:ascii="SimSun" w:hAnsi="SimSun" w:eastAsia="SimSun" w:cs="SimSun"/>
          <w:sz w:val="21"/>
          <w:szCs w:val="21"/>
        </w:rPr>
        <w:t xml:space="preserve">  </w:t>
      </w:r>
      <w:r>
        <w:rPr>
          <w:rFonts w:ascii="SimSun" w:hAnsi="SimSun" w:eastAsia="SimSun" w:cs="SimSun"/>
          <w:sz w:val="21"/>
          <w:szCs w:val="21"/>
          <w:spacing w:val="-10"/>
        </w:rPr>
        <w:t>争，重点在于对竞争过程的保护，而非价值的最大化，因</w:t>
      </w:r>
      <w:r>
        <w:rPr>
          <w:rFonts w:ascii="SimSun" w:hAnsi="SimSun" w:eastAsia="SimSun" w:cs="SimSun"/>
          <w:sz w:val="21"/>
          <w:szCs w:val="21"/>
          <w:spacing w:val="-11"/>
        </w:rPr>
        <w:t>而应该以反</w:t>
      </w:r>
      <w:r>
        <w:rPr>
          <w:rFonts w:ascii="SimSun" w:hAnsi="SimSun" w:eastAsia="SimSun" w:cs="SimSun"/>
          <w:sz w:val="21"/>
          <w:szCs w:val="21"/>
        </w:rPr>
        <w:t xml:space="preserve">  </w:t>
      </w:r>
      <w:r>
        <w:rPr>
          <w:rFonts w:ascii="SimSun" w:hAnsi="SimSun" w:eastAsia="SimSun" w:cs="SimSun"/>
          <w:sz w:val="21"/>
          <w:szCs w:val="21"/>
          <w:spacing w:val="-11"/>
        </w:rPr>
        <w:t>垄断法分拆科技巨头。</w:t>
      </w:r>
    </w:p>
    <w:p>
      <w:pPr>
        <w:ind w:right="49" w:firstLine="449"/>
        <w:spacing w:before="188" w:line="303" w:lineRule="auto"/>
        <w:jc w:val="both"/>
        <w:rPr>
          <w:rFonts w:ascii="SimSun" w:hAnsi="SimSun" w:eastAsia="SimSun" w:cs="SimSun"/>
          <w:sz w:val="21"/>
          <w:szCs w:val="21"/>
        </w:rPr>
      </w:pPr>
      <w:r>
        <w:rPr>
          <w:rFonts w:ascii="SimSun" w:hAnsi="SimSun" w:eastAsia="SimSun" w:cs="SimSun"/>
          <w:sz w:val="21"/>
          <w:szCs w:val="21"/>
          <w:spacing w:val="-10"/>
        </w:rPr>
        <w:t>简单的“消费者福利”是否已经不再适用于判断平</w:t>
      </w:r>
      <w:r>
        <w:rPr>
          <w:rFonts w:ascii="SimSun" w:hAnsi="SimSun" w:eastAsia="SimSun" w:cs="SimSun"/>
          <w:sz w:val="21"/>
          <w:szCs w:val="21"/>
          <w:spacing w:val="-11"/>
        </w:rPr>
        <w:t>台经济领域的</w:t>
      </w:r>
      <w:r>
        <w:rPr>
          <w:rFonts w:ascii="SimSun" w:hAnsi="SimSun" w:eastAsia="SimSun" w:cs="SimSun"/>
          <w:sz w:val="21"/>
          <w:szCs w:val="21"/>
        </w:rPr>
        <w:t xml:space="preserve"> </w:t>
      </w:r>
      <w:r>
        <w:rPr>
          <w:rFonts w:ascii="SimSun" w:hAnsi="SimSun" w:eastAsia="SimSun" w:cs="SimSun"/>
          <w:sz w:val="21"/>
          <w:szCs w:val="21"/>
          <w:spacing w:val="-6"/>
        </w:rPr>
        <w:t>垄断?这个问题其实值得进一步讨论。在平</w:t>
      </w:r>
      <w:r>
        <w:rPr>
          <w:rFonts w:ascii="SimSun" w:hAnsi="SimSun" w:eastAsia="SimSun" w:cs="SimSun"/>
          <w:sz w:val="21"/>
          <w:szCs w:val="21"/>
          <w:spacing w:val="-7"/>
        </w:rPr>
        <w:t>台经济领域，如果继续简</w:t>
      </w:r>
      <w:r>
        <w:rPr>
          <w:rFonts w:ascii="SimSun" w:hAnsi="SimSun" w:eastAsia="SimSun" w:cs="SimSun"/>
          <w:sz w:val="21"/>
          <w:szCs w:val="21"/>
        </w:rPr>
        <w:t xml:space="preserve"> </w:t>
      </w:r>
      <w:r>
        <w:rPr>
          <w:rFonts w:ascii="SimSun" w:hAnsi="SimSun" w:eastAsia="SimSun" w:cs="SimSun"/>
          <w:sz w:val="21"/>
          <w:szCs w:val="21"/>
          <w:spacing w:val="-11"/>
        </w:rPr>
        <w:t>单地因为看到平台降低了消费者价格而判定不存在垄断，那么这个做 </w:t>
      </w:r>
      <w:r>
        <w:rPr>
          <w:rFonts w:ascii="SimSun" w:hAnsi="SimSun" w:eastAsia="SimSun" w:cs="SimSun"/>
          <w:sz w:val="21"/>
          <w:szCs w:val="21"/>
          <w:spacing w:val="-10"/>
        </w:rPr>
        <w:t>法可能不再合适。因为在平台经济中，消费者的付出是多方面的</w:t>
      </w:r>
      <w:r>
        <w:rPr>
          <w:rFonts w:ascii="SimSun" w:hAnsi="SimSun" w:eastAsia="SimSun" w:cs="SimSun"/>
          <w:sz w:val="21"/>
          <w:szCs w:val="21"/>
          <w:spacing w:val="-11"/>
        </w:rPr>
        <w:t>，包</w:t>
      </w:r>
      <w:r>
        <w:rPr>
          <w:rFonts w:ascii="SimSun" w:hAnsi="SimSun" w:eastAsia="SimSun" w:cs="SimSun"/>
          <w:sz w:val="21"/>
          <w:szCs w:val="21"/>
        </w:rPr>
        <w:t xml:space="preserve"> </w:t>
      </w:r>
      <w:r>
        <w:rPr>
          <w:rFonts w:ascii="SimSun" w:hAnsi="SimSun" w:eastAsia="SimSun" w:cs="SimSun"/>
          <w:sz w:val="21"/>
          <w:szCs w:val="21"/>
          <w:spacing w:val="-10"/>
        </w:rPr>
        <w:t>括扩大平台市场和提供用户数据等。这就意味着“免费”服务很可能</w:t>
      </w:r>
      <w:r>
        <w:rPr>
          <w:rFonts w:ascii="SimSun" w:hAnsi="SimSun" w:eastAsia="SimSun" w:cs="SimSun"/>
          <w:sz w:val="21"/>
          <w:szCs w:val="21"/>
        </w:rPr>
        <w:t xml:space="preserve"> </w:t>
      </w:r>
      <w:r>
        <w:rPr>
          <w:rFonts w:ascii="SimSun" w:hAnsi="SimSun" w:eastAsia="SimSun" w:cs="SimSun"/>
          <w:sz w:val="21"/>
          <w:szCs w:val="21"/>
          <w:spacing w:val="-10"/>
        </w:rPr>
        <w:t>并不是免费的。特别值得关注的是，平台企业可能会通过交叉补贴做</w:t>
      </w:r>
      <w:r>
        <w:rPr>
          <w:rFonts w:ascii="SimSun" w:hAnsi="SimSun" w:eastAsia="SimSun" w:cs="SimSun"/>
          <w:sz w:val="21"/>
          <w:szCs w:val="21"/>
        </w:rPr>
        <w:t xml:space="preserve"> </w:t>
      </w:r>
      <w:r>
        <w:rPr>
          <w:rFonts w:ascii="SimSun" w:hAnsi="SimSun" w:eastAsia="SimSun" w:cs="SimSun"/>
          <w:sz w:val="21"/>
          <w:szCs w:val="21"/>
          <w:spacing w:val="-10"/>
        </w:rPr>
        <w:t>大市场甚至改变市场结构，最终形成强大的市场势力。但这并不意味</w:t>
      </w:r>
    </w:p>
    <w:p>
      <w:pPr>
        <w:spacing w:line="303" w:lineRule="auto"/>
        <w:sectPr>
          <w:headerReference w:type="default" r:id="rId57"/>
          <w:pgSz w:w="7330" w:h="12480"/>
          <w:pgMar w:top="607" w:right="444" w:bottom="400" w:left="790" w:header="445" w:footer="0" w:gutter="0"/>
        </w:sectPr>
        <w:rPr>
          <w:rFonts w:ascii="SimSun" w:hAnsi="SimSun" w:eastAsia="SimSun" w:cs="SimSun"/>
          <w:sz w:val="21"/>
          <w:szCs w:val="21"/>
        </w:rPr>
      </w:pPr>
    </w:p>
    <w:p>
      <w:pPr>
        <w:pStyle w:val="BodyText"/>
        <w:spacing w:line="248" w:lineRule="auto"/>
        <w:rPr/>
      </w:pPr>
      <w:r>
        <w:drawing>
          <wp:anchor distT="0" distB="0" distL="0" distR="0" simplePos="0" relativeHeight="252099584" behindDoc="0" locked="0" layoutInCell="0" allowOverlap="1">
            <wp:simplePos x="0" y="0"/>
            <wp:positionH relativeFrom="page">
              <wp:posOffset>349230</wp:posOffset>
            </wp:positionH>
            <wp:positionV relativeFrom="page">
              <wp:posOffset>7054815</wp:posOffset>
            </wp:positionV>
            <wp:extent cx="1168431" cy="6418"/>
            <wp:effectExtent l="0" t="0" r="0" b="0"/>
            <wp:wrapNone/>
            <wp:docPr id="62" name="IM 62"/>
            <wp:cNvGraphicFramePr/>
            <a:graphic>
              <a:graphicData uri="http://schemas.openxmlformats.org/drawingml/2006/picture">
                <pic:pic>
                  <pic:nvPicPr>
                    <pic:cNvPr id="62" name="IM 62"/>
                    <pic:cNvPicPr/>
                  </pic:nvPicPr>
                  <pic:blipFill>
                    <a:blip r:embed="rId59"/>
                    <a:stretch>
                      <a:fillRect/>
                    </a:stretch>
                  </pic:blipFill>
                  <pic:spPr>
                    <a:xfrm rot="0">
                      <a:off x="0" y="0"/>
                      <a:ext cx="1168431" cy="6418"/>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right="37"/>
        <w:spacing w:before="69" w:line="292" w:lineRule="auto"/>
        <w:jc w:val="both"/>
        <w:rPr>
          <w:rFonts w:ascii="SimSun" w:hAnsi="SimSun" w:eastAsia="SimSun" w:cs="SimSun"/>
          <w:sz w:val="21"/>
          <w:szCs w:val="21"/>
        </w:rPr>
      </w:pPr>
      <w:r>
        <w:rPr>
          <w:rFonts w:ascii="SimSun" w:hAnsi="SimSun" w:eastAsia="SimSun" w:cs="SimSun"/>
          <w:sz w:val="21"/>
          <w:szCs w:val="21"/>
          <w:spacing w:val="-11"/>
        </w:rPr>
        <w:t>着必须抛弃“消费者福利”的分析框架，需要改变的可能是适合平台</w:t>
      </w:r>
      <w:r>
        <w:rPr>
          <w:rFonts w:ascii="SimSun" w:hAnsi="SimSun" w:eastAsia="SimSun" w:cs="SimSun"/>
          <w:sz w:val="21"/>
          <w:szCs w:val="21"/>
          <w:spacing w:val="10"/>
        </w:rPr>
        <w:t xml:space="preserve"> </w:t>
      </w:r>
      <w:r>
        <w:rPr>
          <w:rFonts w:ascii="SimSun" w:hAnsi="SimSun" w:eastAsia="SimSun" w:cs="SimSun"/>
          <w:sz w:val="21"/>
          <w:szCs w:val="21"/>
          <w:spacing w:val="-10"/>
        </w:rPr>
        <w:t>经济的分析方法，因为在平台经济中，成本</w:t>
      </w:r>
      <w:r>
        <w:rPr>
          <w:rFonts w:ascii="SimSun" w:hAnsi="SimSun" w:eastAsia="SimSun" w:cs="SimSun"/>
          <w:sz w:val="21"/>
          <w:szCs w:val="21"/>
          <w:spacing w:val="-11"/>
        </w:rPr>
        <w:t>和福利的计算都变得更为</w:t>
      </w:r>
      <w:r>
        <w:rPr>
          <w:rFonts w:ascii="SimSun" w:hAnsi="SimSun" w:eastAsia="SimSun" w:cs="SimSun"/>
          <w:sz w:val="21"/>
          <w:szCs w:val="21"/>
        </w:rPr>
        <w:t xml:space="preserve"> </w:t>
      </w:r>
      <w:r>
        <w:rPr>
          <w:rFonts w:ascii="SimSun" w:hAnsi="SimSun" w:eastAsia="SimSun" w:cs="SimSun"/>
          <w:sz w:val="21"/>
          <w:szCs w:val="21"/>
          <w:spacing w:val="-10"/>
        </w:rPr>
        <w:t>复杂。美国到底会怎么做，是否真的会像吴修</w:t>
      </w:r>
      <w:r>
        <w:rPr>
          <w:rFonts w:ascii="SimSun" w:hAnsi="SimSun" w:eastAsia="SimSun" w:cs="SimSun"/>
          <w:sz w:val="21"/>
          <w:szCs w:val="21"/>
          <w:spacing w:val="-11"/>
        </w:rPr>
        <w:t>铭建议的那样，由法院</w:t>
      </w:r>
      <w:r>
        <w:rPr>
          <w:rFonts w:ascii="SimSun" w:hAnsi="SimSun" w:eastAsia="SimSun" w:cs="SimSun"/>
          <w:sz w:val="21"/>
          <w:szCs w:val="21"/>
        </w:rPr>
        <w:t xml:space="preserve"> </w:t>
      </w:r>
      <w:r>
        <w:rPr>
          <w:rFonts w:ascii="SimSun" w:hAnsi="SimSun" w:eastAsia="SimSun" w:cs="SimSun"/>
          <w:sz w:val="21"/>
          <w:szCs w:val="21"/>
          <w:spacing w:val="-12"/>
        </w:rPr>
        <w:t>判定分拆科技巨头，我们只能拭目以待。</w:t>
      </w:r>
    </w:p>
    <w:p>
      <w:pPr>
        <w:ind w:right="33" w:firstLine="419"/>
        <w:spacing w:before="122" w:line="278" w:lineRule="auto"/>
        <w:jc w:val="both"/>
        <w:rPr>
          <w:rFonts w:ascii="SimSun" w:hAnsi="SimSun" w:eastAsia="SimSun" w:cs="SimSun"/>
          <w:sz w:val="21"/>
          <w:szCs w:val="21"/>
        </w:rPr>
      </w:pPr>
      <w:r>
        <w:rPr>
          <w:rFonts w:ascii="SimSun" w:hAnsi="SimSun" w:eastAsia="SimSun" w:cs="SimSun"/>
          <w:sz w:val="21"/>
          <w:szCs w:val="21"/>
          <w:spacing w:val="-7"/>
        </w:rPr>
        <w:t>另外，纵观美国100多年的反垄断历史，可以发现反垄断政策的</w:t>
      </w:r>
      <w:r>
        <w:rPr>
          <w:rFonts w:ascii="SimSun" w:hAnsi="SimSun" w:eastAsia="SimSun" w:cs="SimSun"/>
          <w:sz w:val="21"/>
          <w:szCs w:val="21"/>
          <w:spacing w:val="2"/>
        </w:rPr>
        <w:t xml:space="preserve"> </w:t>
      </w:r>
      <w:r>
        <w:rPr>
          <w:rFonts w:ascii="SimSun" w:hAnsi="SimSun" w:eastAsia="SimSun" w:cs="SimSun"/>
          <w:sz w:val="21"/>
          <w:szCs w:val="21"/>
          <w:spacing w:val="-11"/>
        </w:rPr>
        <w:t>活跃往往与三个事件同步发生：经济增长持续减速、行业集中度大幅</w:t>
      </w:r>
      <w:r>
        <w:rPr>
          <w:rFonts w:ascii="SimSun" w:hAnsi="SimSun" w:eastAsia="SimSun" w:cs="SimSun"/>
          <w:sz w:val="21"/>
          <w:szCs w:val="21"/>
          <w:spacing w:val="18"/>
        </w:rPr>
        <w:t xml:space="preserve"> </w:t>
      </w:r>
      <w:r>
        <w:rPr>
          <w:rFonts w:ascii="SimSun" w:hAnsi="SimSun" w:eastAsia="SimSun" w:cs="SimSun"/>
          <w:sz w:val="21"/>
          <w:szCs w:val="21"/>
          <w:spacing w:val="-12"/>
        </w:rPr>
        <w:t>提高和收入分配恶化。</w:t>
      </w:r>
    </w:p>
    <w:p>
      <w:pPr>
        <w:ind w:right="15" w:firstLine="419"/>
        <w:spacing w:before="127" w:line="307" w:lineRule="auto"/>
        <w:jc w:val="both"/>
        <w:rPr>
          <w:rFonts w:ascii="SimSun" w:hAnsi="SimSun" w:eastAsia="SimSun" w:cs="SimSun"/>
          <w:sz w:val="21"/>
          <w:szCs w:val="21"/>
        </w:rPr>
      </w:pPr>
      <w:r>
        <w:rPr>
          <w:rFonts w:ascii="SimSun" w:hAnsi="SimSun" w:eastAsia="SimSun" w:cs="SimSun"/>
          <w:sz w:val="21"/>
          <w:szCs w:val="21"/>
          <w:spacing w:val="-3"/>
        </w:rPr>
        <w:t>显然，在这样的经济大环境里，公众对大公司的喜好程度会显</w:t>
      </w:r>
      <w:r>
        <w:rPr>
          <w:rFonts w:ascii="SimSun" w:hAnsi="SimSun" w:eastAsia="SimSun" w:cs="SimSun"/>
          <w:sz w:val="21"/>
          <w:szCs w:val="21"/>
          <w:spacing w:val="3"/>
        </w:rPr>
        <w:t xml:space="preserve"> </w:t>
      </w:r>
      <w:r>
        <w:rPr>
          <w:rFonts w:ascii="SimSun" w:hAnsi="SimSun" w:eastAsia="SimSun" w:cs="SimSun"/>
          <w:sz w:val="21"/>
          <w:szCs w:val="21"/>
          <w:spacing w:val="-10"/>
        </w:rPr>
        <w:t>著下降。紧随“镀金时代”之后，大公司越来越大，贫</w:t>
      </w:r>
      <w:r>
        <w:rPr>
          <w:rFonts w:ascii="SimSun" w:hAnsi="SimSun" w:eastAsia="SimSun" w:cs="SimSun"/>
          <w:sz w:val="21"/>
          <w:szCs w:val="21"/>
          <w:spacing w:val="-11"/>
        </w:rPr>
        <w:t>富差距明显加</w:t>
      </w:r>
      <w:r>
        <w:rPr>
          <w:rFonts w:ascii="SimSun" w:hAnsi="SimSun" w:eastAsia="SimSun" w:cs="SimSun"/>
          <w:sz w:val="21"/>
          <w:szCs w:val="21"/>
        </w:rPr>
        <w:t xml:space="preserve"> </w:t>
      </w:r>
      <w:r>
        <w:rPr>
          <w:rFonts w:ascii="SimSun" w:hAnsi="SimSun" w:eastAsia="SimSun" w:cs="SimSun"/>
          <w:sz w:val="21"/>
          <w:szCs w:val="21"/>
          <w:spacing w:val="-10"/>
        </w:rPr>
        <w:t>大，经济增速一旦回落，各种社会、经济矛</w:t>
      </w:r>
      <w:r>
        <w:rPr>
          <w:rFonts w:ascii="SimSun" w:hAnsi="SimSun" w:eastAsia="SimSun" w:cs="SimSun"/>
          <w:sz w:val="21"/>
          <w:szCs w:val="21"/>
          <w:spacing w:val="-11"/>
        </w:rPr>
        <w:t>盾就变得非常突出。现在</w:t>
      </w:r>
      <w:r>
        <w:rPr>
          <w:rFonts w:ascii="SimSun" w:hAnsi="SimSun" w:eastAsia="SimSun" w:cs="SimSun"/>
          <w:sz w:val="21"/>
          <w:szCs w:val="21"/>
        </w:rPr>
        <w:t xml:space="preserve"> </w:t>
      </w:r>
      <w:r>
        <w:rPr>
          <w:rFonts w:ascii="SimSun" w:hAnsi="SimSun" w:eastAsia="SimSun" w:cs="SimSun"/>
          <w:sz w:val="21"/>
          <w:szCs w:val="21"/>
          <w:spacing w:val="-7"/>
        </w:rPr>
        <w:t>美国的经济大环境与120年前有许多惊人的相似之处，刚刚经历了全</w:t>
      </w:r>
      <w:r>
        <w:rPr>
          <w:rFonts w:ascii="SimSun" w:hAnsi="SimSun" w:eastAsia="SimSun" w:cs="SimSun"/>
          <w:sz w:val="21"/>
          <w:szCs w:val="21"/>
          <w:spacing w:val="10"/>
        </w:rPr>
        <w:t xml:space="preserve"> </w:t>
      </w:r>
      <w:r>
        <w:rPr>
          <w:rFonts w:ascii="SimSun" w:hAnsi="SimSun" w:eastAsia="SimSun" w:cs="SimSun"/>
          <w:sz w:val="21"/>
          <w:szCs w:val="21"/>
          <w:spacing w:val="-7"/>
        </w:rPr>
        <w:t>球化时期所谓的“新镀金时代”,亚马逊、谷歌、苹果、脸书等科技</w:t>
      </w:r>
      <w:r>
        <w:rPr>
          <w:rFonts w:ascii="SimSun" w:hAnsi="SimSun" w:eastAsia="SimSun" w:cs="SimSun"/>
          <w:sz w:val="21"/>
          <w:szCs w:val="21"/>
          <w:spacing w:val="2"/>
        </w:rPr>
        <w:t xml:space="preserve"> </w:t>
      </w:r>
      <w:r>
        <w:rPr>
          <w:rFonts w:ascii="SimSun" w:hAnsi="SimSun" w:eastAsia="SimSun" w:cs="SimSun"/>
          <w:sz w:val="21"/>
          <w:szCs w:val="21"/>
          <w:spacing w:val="-10"/>
        </w:rPr>
        <w:t>巨头在美国经济甚至全球经济中的主导性越来越强，</w:t>
      </w:r>
      <w:r>
        <w:rPr>
          <w:rFonts w:ascii="SimSun" w:hAnsi="SimSun" w:eastAsia="SimSun" w:cs="SimSun"/>
          <w:sz w:val="21"/>
          <w:szCs w:val="21"/>
          <w:spacing w:val="-11"/>
        </w:rPr>
        <w:t>收入分配的矛盾</w:t>
      </w:r>
      <w:r>
        <w:rPr>
          <w:rFonts w:ascii="SimSun" w:hAnsi="SimSun" w:eastAsia="SimSun" w:cs="SimSun"/>
          <w:sz w:val="21"/>
          <w:szCs w:val="21"/>
        </w:rPr>
        <w:t xml:space="preserve"> </w:t>
      </w:r>
      <w:r>
        <w:rPr>
          <w:rFonts w:ascii="SimSun" w:hAnsi="SimSun" w:eastAsia="SimSun" w:cs="SimSun"/>
          <w:sz w:val="21"/>
          <w:szCs w:val="21"/>
          <w:spacing w:val="-3"/>
        </w:rPr>
        <w:t>也非常突出。与此同时，2008年金融危机以来，美国经济的趋</w:t>
      </w:r>
      <w:r>
        <w:rPr>
          <w:rFonts w:ascii="SimSun" w:hAnsi="SimSun" w:eastAsia="SimSun" w:cs="SimSun"/>
          <w:sz w:val="21"/>
          <w:szCs w:val="21"/>
          <w:spacing w:val="-4"/>
        </w:rPr>
        <w:t>势增</w:t>
      </w:r>
      <w:r>
        <w:rPr>
          <w:rFonts w:ascii="SimSun" w:hAnsi="SimSun" w:eastAsia="SimSun" w:cs="SimSun"/>
          <w:sz w:val="21"/>
          <w:szCs w:val="21"/>
        </w:rPr>
        <w:t xml:space="preserve"> </w:t>
      </w:r>
      <w:r>
        <w:rPr>
          <w:rFonts w:ascii="SimSun" w:hAnsi="SimSun" w:eastAsia="SimSun" w:cs="SimSun"/>
          <w:sz w:val="21"/>
          <w:szCs w:val="21"/>
          <w:spacing w:val="-1"/>
        </w:rPr>
        <w:t>长水平降低了1个百分点以上。上述三个方面的变化，对于理解近</w:t>
      </w:r>
      <w:r>
        <w:rPr>
          <w:rFonts w:ascii="SimSun" w:hAnsi="SimSun" w:eastAsia="SimSun" w:cs="SimSun"/>
          <w:sz w:val="21"/>
          <w:szCs w:val="21"/>
          <w:spacing w:val="18"/>
        </w:rPr>
        <w:t xml:space="preserve"> </w:t>
      </w:r>
      <w:r>
        <w:rPr>
          <w:rFonts w:ascii="SimSun" w:hAnsi="SimSun" w:eastAsia="SimSun" w:cs="SimSun"/>
          <w:sz w:val="21"/>
          <w:szCs w:val="21"/>
          <w:spacing w:val="-4"/>
        </w:rPr>
        <w:t>期我国公众对大公司态度的变化以及监管部门政策的收紧，也应有</w:t>
      </w:r>
      <w:r>
        <w:rPr>
          <w:rFonts w:ascii="SimSun" w:hAnsi="SimSun" w:eastAsia="SimSun" w:cs="SimSun"/>
          <w:sz w:val="21"/>
          <w:szCs w:val="21"/>
          <w:spacing w:val="15"/>
        </w:rPr>
        <w:t xml:space="preserve"> </w:t>
      </w:r>
      <w:r>
        <w:rPr>
          <w:rFonts w:ascii="SimSun" w:hAnsi="SimSun" w:eastAsia="SimSun" w:cs="SimSun"/>
          <w:sz w:val="21"/>
          <w:szCs w:val="21"/>
          <w:spacing w:val="-15"/>
        </w:rPr>
        <w:t>帮助。</w:t>
      </w:r>
    </w:p>
    <w:p>
      <w:pPr>
        <w:pStyle w:val="BodyText"/>
        <w:spacing w:line="375" w:lineRule="auto"/>
        <w:rPr/>
      </w:pPr>
      <w:r/>
    </w:p>
    <w:p>
      <w:pPr>
        <w:ind w:left="3"/>
        <w:spacing w:before="81" w:line="219" w:lineRule="auto"/>
        <w:rPr>
          <w:rFonts w:ascii="SimSun" w:hAnsi="SimSun" w:eastAsia="SimSun" w:cs="SimSun"/>
          <w:sz w:val="25"/>
          <w:szCs w:val="25"/>
        </w:rPr>
      </w:pPr>
      <w:r>
        <w:rPr>
          <w:rFonts w:ascii="SimSun" w:hAnsi="SimSun" w:eastAsia="SimSun" w:cs="SimSun"/>
          <w:sz w:val="25"/>
          <w:szCs w:val="25"/>
          <w:b/>
          <w:bCs/>
          <w:spacing w:val="-12"/>
        </w:rPr>
        <w:t>可竞争性</w:t>
      </w:r>
    </w:p>
    <w:p>
      <w:pPr>
        <w:pStyle w:val="BodyText"/>
        <w:spacing w:line="365" w:lineRule="auto"/>
        <w:rPr/>
      </w:pPr>
      <w:r/>
    </w:p>
    <w:p>
      <w:pPr>
        <w:ind w:firstLine="419"/>
        <w:spacing w:before="69" w:line="296" w:lineRule="auto"/>
        <w:jc w:val="both"/>
        <w:rPr>
          <w:rFonts w:ascii="SimSun" w:hAnsi="SimSun" w:eastAsia="SimSun" w:cs="SimSun"/>
          <w:sz w:val="21"/>
          <w:szCs w:val="21"/>
        </w:rPr>
      </w:pPr>
      <w:r>
        <w:rPr>
          <w:rFonts w:ascii="SimSun" w:hAnsi="SimSun" w:eastAsia="SimSun" w:cs="SimSun"/>
          <w:sz w:val="21"/>
          <w:szCs w:val="21"/>
          <w:spacing w:val="-2"/>
        </w:rPr>
        <w:t>国内学术界对平台经济反垄断问题也有不少</w:t>
      </w:r>
      <w:r>
        <w:rPr>
          <w:rFonts w:ascii="SimSun" w:hAnsi="SimSun" w:eastAsia="SimSun" w:cs="SimSun"/>
          <w:sz w:val="21"/>
          <w:szCs w:val="21"/>
          <w:spacing w:val="-3"/>
        </w:rPr>
        <w:t>讨论，有两种比较</w:t>
      </w:r>
      <w:r>
        <w:rPr>
          <w:rFonts w:ascii="SimSun" w:hAnsi="SimSun" w:eastAsia="SimSun" w:cs="SimSun"/>
          <w:sz w:val="21"/>
          <w:szCs w:val="21"/>
        </w:rPr>
        <w:t xml:space="preserve"> </w:t>
      </w:r>
      <w:r>
        <w:rPr>
          <w:rFonts w:ascii="SimSun" w:hAnsi="SimSun" w:eastAsia="SimSun" w:cs="SimSun"/>
          <w:sz w:val="21"/>
          <w:szCs w:val="21"/>
          <w:spacing w:val="-3"/>
        </w:rPr>
        <w:t>鲜明且有代表性的观点。第一种观点认为平台经济反垄断是大势所</w:t>
      </w:r>
      <w:r>
        <w:rPr>
          <w:rFonts w:ascii="SimSun" w:hAnsi="SimSun" w:eastAsia="SimSun" w:cs="SimSun"/>
          <w:sz w:val="21"/>
          <w:szCs w:val="21"/>
          <w:spacing w:val="3"/>
        </w:rPr>
        <w:t xml:space="preserve"> </w:t>
      </w:r>
      <w:r>
        <w:rPr>
          <w:rFonts w:ascii="SimSun" w:hAnsi="SimSun" w:eastAsia="SimSun" w:cs="SimSun"/>
          <w:sz w:val="21"/>
          <w:szCs w:val="21"/>
          <w:spacing w:val="-10"/>
        </w:rPr>
        <w:t>趋，因为平台经济具有规模效应、长尾效应，会产生网</w:t>
      </w:r>
      <w:r>
        <w:rPr>
          <w:rFonts w:ascii="SimSun" w:hAnsi="SimSun" w:eastAsia="SimSun" w:cs="SimSun"/>
          <w:sz w:val="21"/>
          <w:szCs w:val="21"/>
          <w:spacing w:val="-11"/>
        </w:rPr>
        <w:t>络效应和财富</w:t>
      </w:r>
      <w:r>
        <w:rPr>
          <w:rFonts w:ascii="SimSun" w:hAnsi="SimSun" w:eastAsia="SimSun" w:cs="SimSun"/>
          <w:sz w:val="21"/>
          <w:szCs w:val="21"/>
        </w:rPr>
        <w:t xml:space="preserve"> </w:t>
      </w:r>
      <w:r>
        <w:rPr>
          <w:rFonts w:ascii="SimSun" w:hAnsi="SimSun" w:eastAsia="SimSun" w:cs="SimSun"/>
          <w:sz w:val="21"/>
          <w:szCs w:val="21"/>
          <w:spacing w:val="-11"/>
        </w:rPr>
        <w:t>效应，并容易形成赢者通吃和大到不能倒的局面，所以垄断行为很难</w:t>
      </w:r>
      <w:r>
        <w:rPr>
          <w:rFonts w:ascii="SimSun" w:hAnsi="SimSun" w:eastAsia="SimSun" w:cs="SimSun"/>
          <w:sz w:val="21"/>
          <w:szCs w:val="21"/>
          <w:spacing w:val="17"/>
        </w:rPr>
        <w:t xml:space="preserve"> </w:t>
      </w:r>
      <w:r>
        <w:rPr>
          <w:rFonts w:ascii="SimSun" w:hAnsi="SimSun" w:eastAsia="SimSun" w:cs="SimSun"/>
          <w:sz w:val="21"/>
          <w:szCs w:val="21"/>
          <w:spacing w:val="-9"/>
        </w:rPr>
        <w:t>避免。①另一种则认为所谓的垄断行为，恰恰是企业</w:t>
      </w:r>
      <w:r>
        <w:rPr>
          <w:rFonts w:ascii="SimSun" w:hAnsi="SimSun" w:eastAsia="SimSun" w:cs="SimSun"/>
          <w:sz w:val="21"/>
          <w:szCs w:val="21"/>
          <w:spacing w:val="-10"/>
        </w:rPr>
        <w:t>参与市场竞争的</w:t>
      </w:r>
    </w:p>
    <w:p>
      <w:pPr>
        <w:pStyle w:val="BodyText"/>
        <w:spacing w:line="472" w:lineRule="auto"/>
        <w:rPr/>
      </w:pPr>
      <w:r/>
    </w:p>
    <w:p>
      <w:pPr>
        <w:spacing w:before="52" w:line="220" w:lineRule="auto"/>
        <w:rPr>
          <w:rFonts w:ascii="KaiTi" w:hAnsi="KaiTi" w:eastAsia="KaiTi" w:cs="KaiTi"/>
          <w:sz w:val="16"/>
          <w:szCs w:val="16"/>
        </w:rPr>
      </w:pPr>
      <w:r>
        <w:rPr>
          <w:rFonts w:ascii="KaiTi" w:hAnsi="KaiTi" w:eastAsia="KaiTi" w:cs="KaiTi"/>
          <w:sz w:val="16"/>
          <w:szCs w:val="16"/>
          <w:spacing w:val="7"/>
        </w:rPr>
        <w:t>①</w:t>
      </w:r>
      <w:r>
        <w:rPr>
          <w:rFonts w:ascii="KaiTi" w:hAnsi="KaiTi" w:eastAsia="KaiTi" w:cs="KaiTi"/>
          <w:sz w:val="16"/>
          <w:szCs w:val="16"/>
          <w:spacing w:val="62"/>
        </w:rPr>
        <w:t xml:space="preserve"> </w:t>
      </w:r>
      <w:r>
        <w:rPr>
          <w:rFonts w:ascii="KaiTi" w:hAnsi="KaiTi" w:eastAsia="KaiTi" w:cs="KaiTi"/>
          <w:sz w:val="16"/>
          <w:szCs w:val="16"/>
          <w:spacing w:val="7"/>
        </w:rPr>
        <w:t>刘英.坚持平台经济反垄断.中国纪检监察报，2021-03-11(07).</w:t>
      </w:r>
    </w:p>
    <w:p>
      <w:pPr>
        <w:spacing w:line="220" w:lineRule="auto"/>
        <w:sectPr>
          <w:headerReference w:type="default" r:id="rId58"/>
          <w:pgSz w:w="7330" w:h="12480"/>
          <w:pgMar w:top="807" w:right="771" w:bottom="400" w:left="530" w:header="645" w:footer="0" w:gutter="0"/>
        </w:sectPr>
        <w:rPr>
          <w:rFonts w:ascii="KaiTi" w:hAnsi="KaiTi" w:eastAsia="KaiTi" w:cs="KaiTi"/>
          <w:sz w:val="16"/>
          <w:szCs w:val="16"/>
        </w:rPr>
      </w:pPr>
    </w:p>
    <w:p>
      <w:pPr>
        <w:pStyle w:val="BodyText"/>
        <w:spacing w:line="252" w:lineRule="auto"/>
        <w:rPr/>
      </w:pPr>
      <w:r>
        <w:drawing>
          <wp:anchor distT="0" distB="0" distL="0" distR="0" simplePos="0" relativeHeight="252109824" behindDoc="0" locked="0" layoutInCell="0" allowOverlap="1">
            <wp:simplePos x="0" y="0"/>
            <wp:positionH relativeFrom="page">
              <wp:posOffset>507997</wp:posOffset>
            </wp:positionH>
            <wp:positionV relativeFrom="page">
              <wp:posOffset>6857962</wp:posOffset>
            </wp:positionV>
            <wp:extent cx="1174761" cy="6418"/>
            <wp:effectExtent l="0" t="0" r="0" b="0"/>
            <wp:wrapNone/>
            <wp:docPr id="64" name="IM 64"/>
            <wp:cNvGraphicFramePr/>
            <a:graphic>
              <a:graphicData uri="http://schemas.openxmlformats.org/drawingml/2006/picture">
                <pic:pic>
                  <pic:nvPicPr>
                    <pic:cNvPr id="64" name="IM 64"/>
                    <pic:cNvPicPr/>
                  </pic:nvPicPr>
                  <pic:blipFill>
                    <a:blip r:embed="rId61"/>
                    <a:stretch>
                      <a:fillRect/>
                    </a:stretch>
                  </pic:blipFill>
                  <pic:spPr>
                    <a:xfrm rot="0">
                      <a:off x="0" y="0"/>
                      <a:ext cx="1174761" cy="6418"/>
                    </a:xfrm>
                    <a:prstGeom prst="rect">
                      <a:avLst/>
                    </a:prstGeom>
                  </pic:spPr>
                </pic:pic>
              </a:graphicData>
            </a:graphic>
          </wp:anchor>
        </w:drawing>
      </w:r>
      <w:r/>
    </w:p>
    <w:p>
      <w:pPr>
        <w:pStyle w:val="BodyText"/>
        <w:spacing w:line="253" w:lineRule="auto"/>
        <w:rPr/>
      </w:pPr>
      <w:r/>
    </w:p>
    <w:p>
      <w:pPr>
        <w:pStyle w:val="BodyText"/>
        <w:spacing w:line="253" w:lineRule="auto"/>
        <w:rPr/>
      </w:pPr>
      <w:r/>
    </w:p>
    <w:p>
      <w:pPr>
        <w:pStyle w:val="BodyText"/>
        <w:spacing w:line="253" w:lineRule="auto"/>
        <w:rPr/>
      </w:pPr>
      <w:r/>
    </w:p>
    <w:p>
      <w:pPr>
        <w:ind w:right="52" w:firstLine="95"/>
        <w:spacing w:before="62" w:line="350" w:lineRule="auto"/>
        <w:jc w:val="both"/>
        <w:rPr>
          <w:rFonts w:ascii="SimSun" w:hAnsi="SimSun" w:eastAsia="SimSun" w:cs="SimSun"/>
          <w:sz w:val="19"/>
          <w:szCs w:val="19"/>
        </w:rPr>
      </w:pPr>
      <w:r>
        <w:rPr>
          <w:rFonts w:ascii="SimSun" w:hAnsi="SimSun" w:eastAsia="SimSun" w:cs="SimSun"/>
          <w:sz w:val="19"/>
          <w:szCs w:val="19"/>
          <w:spacing w:val="10"/>
        </w:rPr>
        <w:t>重要表现，生产出与竞争对手不同的产品，以质量或信誉保持客户忠</w:t>
      </w:r>
      <w:r>
        <w:rPr>
          <w:rFonts w:ascii="SimSun" w:hAnsi="SimSun" w:eastAsia="SimSun" w:cs="SimSun"/>
          <w:sz w:val="19"/>
          <w:szCs w:val="19"/>
          <w:spacing w:val="1"/>
        </w:rPr>
        <w:t xml:space="preserve"> </w:t>
      </w:r>
      <w:r>
        <w:rPr>
          <w:rFonts w:ascii="SimSun" w:hAnsi="SimSun" w:eastAsia="SimSun" w:cs="SimSun"/>
          <w:sz w:val="19"/>
          <w:szCs w:val="19"/>
          <w:spacing w:val="12"/>
        </w:rPr>
        <w:t>诚度，这样的问题可以通过市场解决。</w:t>
      </w:r>
      <w:r>
        <w:rPr>
          <w:rFonts w:ascii="SimSun" w:hAnsi="SimSun" w:eastAsia="SimSun" w:cs="SimSun"/>
          <w:sz w:val="19"/>
          <w:szCs w:val="19"/>
          <w:spacing w:val="42"/>
        </w:rPr>
        <w:t xml:space="preserve">  </w:t>
      </w:r>
      <w:r>
        <w:rPr>
          <w:rFonts w:ascii="SimSun" w:hAnsi="SimSun" w:eastAsia="SimSun" w:cs="SimSun"/>
          <w:sz w:val="19"/>
          <w:szCs w:val="19"/>
          <w:spacing w:val="12"/>
        </w:rPr>
        <w:t>我们对上述两种观点都不太</w:t>
      </w:r>
      <w:r>
        <w:rPr>
          <w:rFonts w:ascii="SimSun" w:hAnsi="SimSun" w:eastAsia="SimSun" w:cs="SimSun"/>
          <w:sz w:val="19"/>
          <w:szCs w:val="19"/>
        </w:rPr>
        <w:t xml:space="preserve"> </w:t>
      </w:r>
      <w:r>
        <w:rPr>
          <w:rFonts w:ascii="SimSun" w:hAnsi="SimSun" w:eastAsia="SimSun" w:cs="SimSun"/>
          <w:sz w:val="19"/>
          <w:szCs w:val="19"/>
          <w:spacing w:val="13"/>
        </w:rPr>
        <w:t>赞同。平台经济的基本特性容易造成行业较高的集中度，但规模大并</w:t>
      </w:r>
      <w:r>
        <w:rPr>
          <w:rFonts w:ascii="SimSun" w:hAnsi="SimSun" w:eastAsia="SimSun" w:cs="SimSun"/>
          <w:sz w:val="19"/>
          <w:szCs w:val="19"/>
          <w:spacing w:val="2"/>
        </w:rPr>
        <w:t xml:space="preserve"> </w:t>
      </w:r>
      <w:r>
        <w:rPr>
          <w:rFonts w:ascii="SimSun" w:hAnsi="SimSun" w:eastAsia="SimSun" w:cs="SimSun"/>
          <w:sz w:val="19"/>
          <w:szCs w:val="19"/>
          <w:spacing w:val="12"/>
        </w:rPr>
        <w:t>不一定意味着存在垄断。另外，在数据与算法成为重要的进入门槛之</w:t>
      </w:r>
      <w:r>
        <w:rPr>
          <w:rFonts w:ascii="SimSun" w:hAnsi="SimSun" w:eastAsia="SimSun" w:cs="SimSun"/>
          <w:sz w:val="19"/>
          <w:szCs w:val="19"/>
          <w:spacing w:val="11"/>
        </w:rPr>
        <w:t xml:space="preserve"> </w:t>
      </w:r>
      <w:r>
        <w:rPr>
          <w:rFonts w:ascii="SimSun" w:hAnsi="SimSun" w:eastAsia="SimSun" w:cs="SimSun"/>
          <w:sz w:val="19"/>
          <w:szCs w:val="19"/>
          <w:spacing w:val="20"/>
        </w:rPr>
        <w:t>后，纯粹意义上的市场竞争并不一定能彻底消除垄断行为。我国的</w:t>
      </w:r>
      <w:r>
        <w:rPr>
          <w:rFonts w:ascii="SimSun" w:hAnsi="SimSun" w:eastAsia="SimSun" w:cs="SimSun"/>
          <w:sz w:val="19"/>
          <w:szCs w:val="19"/>
          <w:spacing w:val="9"/>
        </w:rPr>
        <w:t xml:space="preserve"> </w:t>
      </w:r>
      <w:r>
        <w:rPr>
          <w:rFonts w:ascii="SimSun" w:hAnsi="SimSun" w:eastAsia="SimSun" w:cs="SimSun"/>
          <w:sz w:val="19"/>
          <w:szCs w:val="19"/>
          <w:spacing w:val="13"/>
        </w:rPr>
        <w:t>《反垄断法》明确了四类垄断行为，即经营者达成垄断协议、滥用市</w:t>
      </w:r>
      <w:r>
        <w:rPr>
          <w:rFonts w:ascii="SimSun" w:hAnsi="SimSun" w:eastAsia="SimSun" w:cs="SimSun"/>
          <w:sz w:val="19"/>
          <w:szCs w:val="19"/>
          <w:spacing w:val="14"/>
        </w:rPr>
        <w:t xml:space="preserve"> </w:t>
      </w:r>
      <w:r>
        <w:rPr>
          <w:rFonts w:ascii="SimSun" w:hAnsi="SimSun" w:eastAsia="SimSun" w:cs="SimSun"/>
          <w:sz w:val="19"/>
          <w:szCs w:val="19"/>
          <w:spacing w:val="14"/>
        </w:rPr>
        <w:t>场支配地位、经营者集中，以及滥用行政权</w:t>
      </w:r>
      <w:r>
        <w:rPr>
          <w:rFonts w:ascii="SimSun" w:hAnsi="SimSun" w:eastAsia="SimSun" w:cs="SimSun"/>
          <w:sz w:val="19"/>
          <w:szCs w:val="19"/>
          <w:spacing w:val="13"/>
        </w:rPr>
        <w:t>力排除、限制竞争。除了</w:t>
      </w:r>
      <w:r>
        <w:rPr>
          <w:rFonts w:ascii="SimSun" w:hAnsi="SimSun" w:eastAsia="SimSun" w:cs="SimSun"/>
          <w:sz w:val="19"/>
          <w:szCs w:val="19"/>
        </w:rPr>
        <w:t xml:space="preserve"> </w:t>
      </w:r>
      <w:r>
        <w:rPr>
          <w:rFonts w:ascii="SimSun" w:hAnsi="SimSun" w:eastAsia="SimSun" w:cs="SimSun"/>
          <w:sz w:val="19"/>
          <w:szCs w:val="19"/>
          <w:spacing w:val="13"/>
        </w:rPr>
        <w:t>最后的行政性垄断，前面三类都需要具体问题具体分析，但要防范或</w:t>
      </w:r>
    </w:p>
    <w:p>
      <w:pPr>
        <w:ind w:left="94"/>
        <w:spacing w:line="218" w:lineRule="auto"/>
        <w:rPr>
          <w:rFonts w:ascii="SimSun" w:hAnsi="SimSun" w:eastAsia="SimSun" w:cs="SimSun"/>
          <w:sz w:val="19"/>
          <w:szCs w:val="19"/>
        </w:rPr>
      </w:pPr>
      <w:r>
        <w:rPr>
          <w:rFonts w:ascii="SimSun" w:hAnsi="SimSun" w:eastAsia="SimSun" w:cs="SimSun"/>
          <w:sz w:val="19"/>
          <w:szCs w:val="19"/>
          <w:spacing w:val="9"/>
        </w:rPr>
        <w:t>者消除的是滥用市场支配地位的行为，让市场机</w:t>
      </w:r>
      <w:r>
        <w:rPr>
          <w:rFonts w:ascii="SimSun" w:hAnsi="SimSun" w:eastAsia="SimSun" w:cs="SimSun"/>
          <w:sz w:val="19"/>
          <w:szCs w:val="19"/>
          <w:spacing w:val="8"/>
        </w:rPr>
        <w:t>制恢复有效运行。</w:t>
      </w:r>
    </w:p>
    <w:p>
      <w:pPr>
        <w:ind w:left="95" w:right="3" w:firstLine="480"/>
        <w:spacing w:before="121" w:line="340" w:lineRule="auto"/>
        <w:rPr>
          <w:rFonts w:ascii="SimSun" w:hAnsi="SimSun" w:eastAsia="SimSun" w:cs="SimSun"/>
          <w:sz w:val="19"/>
          <w:szCs w:val="19"/>
        </w:rPr>
      </w:pPr>
      <w:r>
        <w:rPr>
          <w:rFonts w:ascii="SimSun" w:hAnsi="SimSun" w:eastAsia="SimSun" w:cs="SimSun"/>
          <w:sz w:val="19"/>
          <w:szCs w:val="19"/>
          <w:spacing w:val="17"/>
        </w:rPr>
        <w:t>美国反垄断政策思路的演变，给我国的政策讨论提供了重要启 </w:t>
      </w:r>
      <w:r>
        <w:rPr>
          <w:rFonts w:ascii="SimSun" w:hAnsi="SimSun" w:eastAsia="SimSun" w:cs="SimSun"/>
          <w:sz w:val="19"/>
          <w:szCs w:val="19"/>
          <w:spacing w:val="10"/>
        </w:rPr>
        <w:t>示。但我国是不是要跟随这套所谓的新布兰迪斯主义的主张，特</w:t>
      </w:r>
      <w:r>
        <w:rPr>
          <w:rFonts w:ascii="SimSun" w:hAnsi="SimSun" w:eastAsia="SimSun" w:cs="SimSun"/>
          <w:sz w:val="19"/>
          <w:szCs w:val="19"/>
          <w:spacing w:val="9"/>
        </w:rPr>
        <w:t>别是</w:t>
      </w:r>
      <w:r>
        <w:rPr>
          <w:rFonts w:ascii="SimSun" w:hAnsi="SimSun" w:eastAsia="SimSun" w:cs="SimSun"/>
          <w:sz w:val="19"/>
          <w:szCs w:val="19"/>
        </w:rPr>
        <w:t xml:space="preserve">  </w:t>
      </w:r>
      <w:r>
        <w:rPr>
          <w:rFonts w:ascii="SimSun" w:hAnsi="SimSun" w:eastAsia="SimSun" w:cs="SimSun"/>
          <w:sz w:val="19"/>
          <w:szCs w:val="19"/>
          <w:spacing w:val="13"/>
        </w:rPr>
        <w:t>接受“大就是问题”的视角?本书的回答是</w:t>
      </w:r>
      <w:r>
        <w:rPr>
          <w:rFonts w:ascii="SimSun" w:hAnsi="SimSun" w:eastAsia="SimSun" w:cs="SimSun"/>
          <w:sz w:val="19"/>
          <w:szCs w:val="19"/>
          <w:spacing w:val="12"/>
        </w:rPr>
        <w:t>“不应该”。过去近20年</w:t>
      </w:r>
      <w:r>
        <w:rPr>
          <w:rFonts w:ascii="SimSun" w:hAnsi="SimSun" w:eastAsia="SimSun" w:cs="SimSun"/>
          <w:sz w:val="19"/>
          <w:szCs w:val="19"/>
        </w:rPr>
        <w:t xml:space="preserve">  </w:t>
      </w:r>
      <w:r>
        <w:rPr>
          <w:rFonts w:ascii="SimSun" w:hAnsi="SimSun" w:eastAsia="SimSun" w:cs="SimSun"/>
          <w:sz w:val="19"/>
          <w:szCs w:val="19"/>
          <w:spacing w:val="17"/>
        </w:rPr>
        <w:t>间，美国的四家头部机构</w:t>
      </w:r>
      <w:r>
        <w:rPr>
          <w:rFonts w:ascii="Times New Roman" w:hAnsi="Times New Roman" w:eastAsia="Times New Roman" w:cs="Times New Roman"/>
          <w:sz w:val="19"/>
          <w:szCs w:val="19"/>
        </w:rPr>
        <w:t>GAFA</w:t>
      </w:r>
      <w:r>
        <w:rPr>
          <w:rFonts w:ascii="Times New Roman" w:hAnsi="Times New Roman" w:eastAsia="Times New Roman" w:cs="Times New Roman"/>
          <w:sz w:val="19"/>
          <w:szCs w:val="19"/>
          <w:spacing w:val="47"/>
          <w:w w:val="101"/>
        </w:rPr>
        <w:t xml:space="preserve"> </w:t>
      </w:r>
      <w:r>
        <w:rPr>
          <w:rFonts w:ascii="SimSun" w:hAnsi="SimSun" w:eastAsia="SimSun" w:cs="SimSun"/>
          <w:sz w:val="19"/>
          <w:szCs w:val="19"/>
          <w:spacing w:val="17"/>
        </w:rPr>
        <w:t>各自主导的领域一直比较稳定。因 </w:t>
      </w:r>
      <w:r>
        <w:rPr>
          <w:rFonts w:ascii="SimSun" w:hAnsi="SimSun" w:eastAsia="SimSun" w:cs="SimSun"/>
          <w:sz w:val="19"/>
          <w:szCs w:val="19"/>
          <w:spacing w:val="10"/>
        </w:rPr>
        <w:t>此，也许有一些理由相信美国的这些巨头已经在各自的领域形</w:t>
      </w:r>
      <w:r>
        <w:rPr>
          <w:rFonts w:ascii="SimSun" w:hAnsi="SimSun" w:eastAsia="SimSun" w:cs="SimSun"/>
          <w:sz w:val="19"/>
          <w:szCs w:val="19"/>
          <w:spacing w:val="9"/>
        </w:rPr>
        <w:t>成了较</w:t>
      </w:r>
      <w:r>
        <w:rPr>
          <w:rFonts w:ascii="SimSun" w:hAnsi="SimSun" w:eastAsia="SimSun" w:cs="SimSun"/>
          <w:sz w:val="19"/>
          <w:szCs w:val="19"/>
        </w:rPr>
        <w:t xml:space="preserve">  </w:t>
      </w:r>
      <w:r>
        <w:rPr>
          <w:rFonts w:ascii="SimSun" w:hAnsi="SimSun" w:eastAsia="SimSun" w:cs="SimSun"/>
          <w:sz w:val="19"/>
          <w:szCs w:val="19"/>
          <w:spacing w:val="10"/>
        </w:rPr>
        <w:t>强的市场势力，取得了一定的垄断地位。相比之下，中国平台</w:t>
      </w:r>
      <w:r>
        <w:rPr>
          <w:rFonts w:ascii="SimSun" w:hAnsi="SimSun" w:eastAsia="SimSun" w:cs="SimSun"/>
          <w:sz w:val="19"/>
          <w:szCs w:val="19"/>
          <w:spacing w:val="9"/>
        </w:rPr>
        <w:t>经济领</w:t>
      </w:r>
      <w:r>
        <w:rPr>
          <w:rFonts w:ascii="SimSun" w:hAnsi="SimSun" w:eastAsia="SimSun" w:cs="SimSun"/>
          <w:sz w:val="19"/>
          <w:szCs w:val="19"/>
        </w:rPr>
        <w:t xml:space="preserve">  </w:t>
      </w:r>
      <w:r>
        <w:rPr>
          <w:rFonts w:ascii="SimSun" w:hAnsi="SimSun" w:eastAsia="SimSun" w:cs="SimSun"/>
          <w:sz w:val="19"/>
          <w:szCs w:val="19"/>
          <w:spacing w:val="10"/>
        </w:rPr>
        <w:t>域的状态则更加活跃、动态，头部机构数量较多，变化也大。除</w:t>
      </w:r>
      <w:r>
        <w:rPr>
          <w:rFonts w:ascii="SimSun" w:hAnsi="SimSun" w:eastAsia="SimSun" w:cs="SimSun"/>
          <w:sz w:val="19"/>
          <w:szCs w:val="19"/>
          <w:spacing w:val="9"/>
        </w:rPr>
        <w:t>了传</w:t>
      </w:r>
      <w:r>
        <w:rPr>
          <w:rFonts w:ascii="SimSun" w:hAnsi="SimSun" w:eastAsia="SimSun" w:cs="SimSun"/>
          <w:sz w:val="19"/>
          <w:szCs w:val="19"/>
        </w:rPr>
        <w:t xml:space="preserve">  </w:t>
      </w:r>
      <w:r>
        <w:rPr>
          <w:rFonts w:ascii="SimSun" w:hAnsi="SimSun" w:eastAsia="SimSun" w:cs="SimSun"/>
          <w:sz w:val="19"/>
          <w:szCs w:val="19"/>
          <w:spacing w:val="16"/>
        </w:rPr>
        <w:t>统的三大机构</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BAT</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6"/>
        </w:rPr>
        <w:t>京东、拼多多、美团、滴滴出行</w:t>
      </w:r>
      <w:r>
        <w:rPr>
          <w:rFonts w:ascii="SimSun" w:hAnsi="SimSun" w:eastAsia="SimSun" w:cs="SimSun"/>
          <w:sz w:val="19"/>
          <w:szCs w:val="19"/>
          <w:spacing w:val="15"/>
        </w:rPr>
        <w:t>、字节跳动等</w:t>
      </w:r>
      <w:r>
        <w:rPr>
          <w:rFonts w:ascii="SimSun" w:hAnsi="SimSun" w:eastAsia="SimSun" w:cs="SimSun"/>
          <w:sz w:val="19"/>
          <w:szCs w:val="19"/>
        </w:rPr>
        <w:t xml:space="preserve">  </w:t>
      </w:r>
      <w:r>
        <w:rPr>
          <w:rFonts w:ascii="SimSun" w:hAnsi="SimSun" w:eastAsia="SimSun" w:cs="SimSun"/>
          <w:sz w:val="19"/>
          <w:szCs w:val="19"/>
          <w:spacing w:val="10"/>
        </w:rPr>
        <w:t>也很活跃，而且发展很快。可见，中美平台经济可能处在不同的发展</w:t>
      </w:r>
      <w:r>
        <w:rPr>
          <w:rFonts w:ascii="SimSun" w:hAnsi="SimSun" w:eastAsia="SimSun" w:cs="SimSun"/>
          <w:sz w:val="19"/>
          <w:szCs w:val="19"/>
        </w:rPr>
        <w:t xml:space="preserve">  </w:t>
      </w:r>
      <w:r>
        <w:rPr>
          <w:rFonts w:ascii="SimSun" w:hAnsi="SimSun" w:eastAsia="SimSun" w:cs="SimSun"/>
          <w:sz w:val="19"/>
          <w:szCs w:val="19"/>
          <w:spacing w:val="5"/>
        </w:rPr>
        <w:t>阶段，美国相对成熟，接近长期均衡状态，而中国则更加动态</w:t>
      </w:r>
      <w:r>
        <w:rPr>
          <w:rFonts w:ascii="SimSun" w:hAnsi="SimSun" w:eastAsia="SimSun" w:cs="SimSun"/>
          <w:sz w:val="19"/>
          <w:szCs w:val="19"/>
          <w:spacing w:val="4"/>
        </w:rPr>
        <w:t>，</w:t>
      </w:r>
      <w:r>
        <w:rPr>
          <w:rFonts w:ascii="SimSun" w:hAnsi="SimSun" w:eastAsia="SimSun" w:cs="SimSun"/>
          <w:sz w:val="19"/>
          <w:szCs w:val="19"/>
          <w:spacing w:val="65"/>
        </w:rPr>
        <w:t xml:space="preserve"> </w:t>
      </w:r>
      <w:r>
        <w:rPr>
          <w:rFonts w:ascii="SimSun" w:hAnsi="SimSun" w:eastAsia="SimSun" w:cs="SimSun"/>
          <w:sz w:val="19"/>
          <w:szCs w:val="19"/>
          <w:spacing w:val="4"/>
        </w:rPr>
        <w:t>一定 </w:t>
      </w:r>
      <w:r>
        <w:rPr>
          <w:rFonts w:ascii="SimSun" w:hAnsi="SimSun" w:eastAsia="SimSun" w:cs="SimSun"/>
          <w:sz w:val="19"/>
          <w:szCs w:val="19"/>
          <w:spacing w:val="10"/>
        </w:rPr>
        <w:t>程度上还处在探索发展方向阶段。另外，从平台规模来看，中美的差</w:t>
      </w:r>
      <w:r>
        <w:rPr>
          <w:rFonts w:ascii="SimSun" w:hAnsi="SimSun" w:eastAsia="SimSun" w:cs="SimSun"/>
          <w:sz w:val="19"/>
          <w:szCs w:val="19"/>
        </w:rPr>
        <w:t xml:space="preserve">  </w:t>
      </w:r>
      <w:r>
        <w:rPr>
          <w:rFonts w:ascii="SimSun" w:hAnsi="SimSun" w:eastAsia="SimSun" w:cs="SimSun"/>
          <w:sz w:val="19"/>
          <w:szCs w:val="19"/>
          <w:spacing w:val="5"/>
        </w:rPr>
        <w:t>距非常大，近年来还有扩大的趋势，</w:t>
      </w:r>
      <w:r>
        <w:rPr>
          <w:rFonts w:ascii="SimSun" w:hAnsi="SimSun" w:eastAsia="SimSun" w:cs="SimSun"/>
          <w:sz w:val="19"/>
          <w:szCs w:val="19"/>
          <w:spacing w:val="63"/>
        </w:rPr>
        <w:t xml:space="preserve"> </w:t>
      </w:r>
      <w:r>
        <w:rPr>
          <w:rFonts w:ascii="SimSun" w:hAnsi="SimSun" w:eastAsia="SimSun" w:cs="SimSun"/>
          <w:sz w:val="19"/>
          <w:szCs w:val="19"/>
          <w:spacing w:val="5"/>
        </w:rPr>
        <w:t>一个平</w:t>
      </w:r>
      <w:r>
        <w:rPr>
          <w:rFonts w:ascii="SimSun" w:hAnsi="SimSun" w:eastAsia="SimSun" w:cs="SimSun"/>
          <w:sz w:val="19"/>
          <w:szCs w:val="19"/>
          <w:spacing w:val="4"/>
        </w:rPr>
        <w:t>台放在国内市场看，规模</w:t>
      </w:r>
      <w:r>
        <w:rPr>
          <w:rFonts w:ascii="SimSun" w:hAnsi="SimSun" w:eastAsia="SimSun" w:cs="SimSun"/>
          <w:sz w:val="19"/>
          <w:szCs w:val="19"/>
        </w:rPr>
        <w:t xml:space="preserve">  </w:t>
      </w:r>
      <w:r>
        <w:rPr>
          <w:rFonts w:ascii="SimSun" w:hAnsi="SimSun" w:eastAsia="SimSun" w:cs="SimSun"/>
          <w:sz w:val="19"/>
          <w:szCs w:val="19"/>
          <w:spacing w:val="13"/>
        </w:rPr>
        <w:t>非常大，但如果放到国际市场看，可能就不那么突出了。这</w:t>
      </w:r>
      <w:r>
        <w:rPr>
          <w:rFonts w:ascii="SimSun" w:hAnsi="SimSun" w:eastAsia="SimSun" w:cs="SimSun"/>
          <w:sz w:val="19"/>
          <w:szCs w:val="19"/>
          <w:spacing w:val="12"/>
        </w:rPr>
        <w:t>是其一。</w:t>
      </w:r>
      <w:r>
        <w:rPr>
          <w:rFonts w:ascii="SimSun" w:hAnsi="SimSun" w:eastAsia="SimSun" w:cs="SimSun"/>
          <w:sz w:val="19"/>
          <w:szCs w:val="19"/>
        </w:rPr>
        <w:t xml:space="preserve"> </w:t>
      </w:r>
      <w:r>
        <w:rPr>
          <w:rFonts w:ascii="SimSun" w:hAnsi="SimSun" w:eastAsia="SimSun" w:cs="SimSun"/>
          <w:sz w:val="19"/>
          <w:szCs w:val="19"/>
          <w:spacing w:val="15"/>
        </w:rPr>
        <w:t>(详见第三章)</w:t>
      </w:r>
    </w:p>
    <w:p>
      <w:pPr>
        <w:spacing w:before="135" w:line="370" w:lineRule="exact"/>
        <w:jc w:val="right"/>
        <w:rPr>
          <w:rFonts w:ascii="SimSun" w:hAnsi="SimSun" w:eastAsia="SimSun" w:cs="SimSun"/>
          <w:sz w:val="19"/>
          <w:szCs w:val="19"/>
        </w:rPr>
      </w:pPr>
      <w:r>
        <w:rPr>
          <w:rFonts w:ascii="SimSun" w:hAnsi="SimSun" w:eastAsia="SimSun" w:cs="SimSun"/>
          <w:sz w:val="19"/>
          <w:szCs w:val="19"/>
          <w:spacing w:val="18"/>
          <w:position w:val="13"/>
        </w:rPr>
        <w:t>其二，简单的“大就是问题”的理念与平台经</w:t>
      </w:r>
      <w:r>
        <w:rPr>
          <w:rFonts w:ascii="SimSun" w:hAnsi="SimSun" w:eastAsia="SimSun" w:cs="SimSun"/>
          <w:sz w:val="19"/>
          <w:szCs w:val="19"/>
          <w:spacing w:val="17"/>
          <w:position w:val="13"/>
        </w:rPr>
        <w:t>济甚至第四次工</w:t>
      </w:r>
    </w:p>
    <w:p>
      <w:pPr>
        <w:ind w:left="95"/>
        <w:spacing w:line="218" w:lineRule="auto"/>
        <w:rPr>
          <w:rFonts w:ascii="SimSun" w:hAnsi="SimSun" w:eastAsia="SimSun" w:cs="SimSun"/>
          <w:sz w:val="19"/>
          <w:szCs w:val="19"/>
        </w:rPr>
      </w:pPr>
      <w:r>
        <w:rPr>
          <w:rFonts w:ascii="SimSun" w:hAnsi="SimSun" w:eastAsia="SimSun" w:cs="SimSun"/>
          <w:sz w:val="19"/>
          <w:szCs w:val="19"/>
          <w:spacing w:val="10"/>
        </w:rPr>
        <w:t>业革命的特点背道而驰。传统经济学理论认为，市场势力</w:t>
      </w:r>
      <w:r>
        <w:rPr>
          <w:rFonts w:ascii="SimSun" w:hAnsi="SimSun" w:eastAsia="SimSun" w:cs="SimSun"/>
          <w:sz w:val="19"/>
          <w:szCs w:val="19"/>
          <w:spacing w:val="9"/>
        </w:rPr>
        <w:t>越大，企业</w:t>
      </w:r>
    </w:p>
    <w:p>
      <w:pPr>
        <w:pStyle w:val="BodyText"/>
        <w:spacing w:line="453" w:lineRule="auto"/>
        <w:rPr/>
      </w:pPr>
      <w:r/>
    </w:p>
    <w:p>
      <w:pPr>
        <w:pStyle w:val="BodyText"/>
        <w:ind w:left="95"/>
        <w:spacing w:before="52" w:line="220" w:lineRule="auto"/>
        <w:rPr>
          <w:sz w:val="16"/>
          <w:szCs w:val="16"/>
        </w:rPr>
      </w:pPr>
      <w:r>
        <w:rPr>
          <w:rFonts w:ascii="SimSun" w:hAnsi="SimSun" w:eastAsia="SimSun" w:cs="SimSun"/>
          <w:sz w:val="16"/>
          <w:szCs w:val="16"/>
          <w:spacing w:val="2"/>
        </w:rPr>
        <w:t>①</w:t>
      </w:r>
      <w:r>
        <w:rPr>
          <w:rFonts w:ascii="SimSun" w:hAnsi="SimSun" w:eastAsia="SimSun" w:cs="SimSun"/>
          <w:sz w:val="16"/>
          <w:szCs w:val="16"/>
          <w:spacing w:val="72"/>
          <w:w w:val="101"/>
        </w:rPr>
        <w:t xml:space="preserve"> </w:t>
      </w:r>
      <w:r>
        <w:rPr>
          <w:rFonts w:ascii="KaiTi" w:hAnsi="KaiTi" w:eastAsia="KaiTi" w:cs="KaiTi"/>
          <w:sz w:val="16"/>
          <w:szCs w:val="16"/>
          <w:spacing w:val="2"/>
        </w:rPr>
        <w:t>张维迎.经济学的垄断概念是错误的，反的是真竞争.经济观察报，2013-12-0</w:t>
      </w:r>
      <w:r>
        <w:rPr>
          <w:sz w:val="16"/>
          <w:szCs w:val="16"/>
          <w:spacing w:val="2"/>
        </w:rPr>
        <w:t>9.</w:t>
      </w:r>
    </w:p>
    <w:p>
      <w:pPr>
        <w:spacing w:line="220" w:lineRule="auto"/>
        <w:sectPr>
          <w:headerReference w:type="default" r:id="rId60"/>
          <w:pgSz w:w="7330" w:h="12480"/>
          <w:pgMar w:top="535" w:right="509" w:bottom="400" w:left="634" w:header="373" w:footer="0" w:gutter="0"/>
        </w:sectPr>
        <w:rPr>
          <w:sz w:val="16"/>
          <w:szCs w:val="16"/>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94" w:right="66"/>
        <w:spacing w:before="61" w:line="350" w:lineRule="auto"/>
        <w:jc w:val="both"/>
        <w:rPr>
          <w:rFonts w:ascii="SimSun" w:hAnsi="SimSun" w:eastAsia="SimSun" w:cs="SimSun"/>
          <w:sz w:val="19"/>
          <w:szCs w:val="19"/>
        </w:rPr>
      </w:pPr>
      <w:r>
        <w:rPr>
          <w:rFonts w:ascii="SimSun" w:hAnsi="SimSun" w:eastAsia="SimSun" w:cs="SimSun"/>
          <w:sz w:val="19"/>
          <w:szCs w:val="19"/>
          <w:spacing w:val="9"/>
        </w:rPr>
        <w:t>的价格就越高，“无谓损失”或福利净损失就越大。但平台经济最重</w:t>
      </w:r>
      <w:r>
        <w:rPr>
          <w:rFonts w:ascii="SimSun" w:hAnsi="SimSun" w:eastAsia="SimSun" w:cs="SimSun"/>
          <w:sz w:val="19"/>
          <w:szCs w:val="19"/>
          <w:spacing w:val="8"/>
        </w:rPr>
        <w:t xml:space="preserve"> </w:t>
      </w:r>
      <w:r>
        <w:rPr>
          <w:rFonts w:ascii="SimSun" w:hAnsi="SimSun" w:eastAsia="SimSun" w:cs="SimSun"/>
          <w:sz w:val="19"/>
          <w:szCs w:val="19"/>
          <w:spacing w:val="9"/>
        </w:rPr>
        <w:t>要的特性之一是长尾效应、规模经济，平台企业要做好，必须做大规</w:t>
      </w:r>
      <w:r>
        <w:rPr>
          <w:rFonts w:ascii="SimSun" w:hAnsi="SimSun" w:eastAsia="SimSun" w:cs="SimSun"/>
          <w:sz w:val="19"/>
          <w:szCs w:val="19"/>
          <w:spacing w:val="7"/>
        </w:rPr>
        <w:t xml:space="preserve"> </w:t>
      </w:r>
      <w:r>
        <w:rPr>
          <w:rFonts w:ascii="SimSun" w:hAnsi="SimSun" w:eastAsia="SimSun" w:cs="SimSun"/>
          <w:sz w:val="19"/>
          <w:szCs w:val="19"/>
          <w:spacing w:val="10"/>
        </w:rPr>
        <w:t>模，才有可能提高效率、降低成本、改善回报。如果规模不够大</w:t>
      </w:r>
      <w:r>
        <w:rPr>
          <w:rFonts w:ascii="SimSun" w:hAnsi="SimSun" w:eastAsia="SimSun" w:cs="SimSun"/>
          <w:sz w:val="19"/>
          <w:szCs w:val="19"/>
          <w:spacing w:val="9"/>
        </w:rPr>
        <w:t>，平</w:t>
      </w:r>
      <w:r>
        <w:rPr>
          <w:rFonts w:ascii="SimSun" w:hAnsi="SimSun" w:eastAsia="SimSun" w:cs="SimSun"/>
          <w:sz w:val="19"/>
          <w:szCs w:val="19"/>
        </w:rPr>
        <w:t xml:space="preserve"> </w:t>
      </w:r>
      <w:r>
        <w:rPr>
          <w:rFonts w:ascii="SimSun" w:hAnsi="SimSun" w:eastAsia="SimSun" w:cs="SimSun"/>
          <w:sz w:val="19"/>
          <w:szCs w:val="19"/>
          <w:spacing w:val="4"/>
        </w:rPr>
        <w:t>台可能很难生存。这样就形成一个矛盾：平台企业要么做不起来，</w:t>
      </w:r>
      <w:r>
        <w:rPr>
          <w:rFonts w:ascii="SimSun" w:hAnsi="SimSun" w:eastAsia="SimSun" w:cs="SimSun"/>
          <w:sz w:val="19"/>
          <w:szCs w:val="19"/>
          <w:spacing w:val="64"/>
        </w:rPr>
        <w:t xml:space="preserve"> </w:t>
      </w:r>
      <w:r>
        <w:rPr>
          <w:rFonts w:ascii="SimSun" w:hAnsi="SimSun" w:eastAsia="SimSun" w:cs="SimSun"/>
          <w:sz w:val="19"/>
          <w:szCs w:val="19"/>
          <w:spacing w:val="4"/>
        </w:rPr>
        <w:t>一</w:t>
      </w:r>
      <w:r>
        <w:rPr>
          <w:rFonts w:ascii="SimSun" w:hAnsi="SimSun" w:eastAsia="SimSun" w:cs="SimSun"/>
          <w:sz w:val="19"/>
          <w:szCs w:val="19"/>
        </w:rPr>
        <w:t xml:space="preserve"> </w:t>
      </w:r>
      <w:r>
        <w:rPr>
          <w:rFonts w:ascii="SimSun" w:hAnsi="SimSun" w:eastAsia="SimSun" w:cs="SimSun"/>
          <w:sz w:val="19"/>
          <w:szCs w:val="19"/>
          <w:spacing w:val="9"/>
        </w:rPr>
        <w:t>旦做大，就很可能被反垄断、被分拆，那么平台经济就永远都无法发</w:t>
      </w:r>
      <w:r>
        <w:rPr>
          <w:rFonts w:ascii="SimSun" w:hAnsi="SimSun" w:eastAsia="SimSun" w:cs="SimSun"/>
          <w:sz w:val="19"/>
          <w:szCs w:val="19"/>
          <w:spacing w:val="7"/>
        </w:rPr>
        <w:t xml:space="preserve"> </w:t>
      </w:r>
      <w:r>
        <w:rPr>
          <w:rFonts w:ascii="SimSun" w:hAnsi="SimSun" w:eastAsia="SimSun" w:cs="SimSun"/>
          <w:sz w:val="19"/>
          <w:szCs w:val="19"/>
          <w:spacing w:val="9"/>
        </w:rPr>
        <w:t>展。莉娜·可汗对“消费者福利”标准有所批评，值得借鉴。虽然低</w:t>
      </w:r>
      <w:r>
        <w:rPr>
          <w:rFonts w:ascii="SimSun" w:hAnsi="SimSun" w:eastAsia="SimSun" w:cs="SimSun"/>
          <w:sz w:val="19"/>
          <w:szCs w:val="19"/>
          <w:spacing w:val="11"/>
        </w:rPr>
        <w:t xml:space="preserve"> </w:t>
      </w:r>
      <w:r>
        <w:rPr>
          <w:rFonts w:ascii="SimSun" w:hAnsi="SimSun" w:eastAsia="SimSun" w:cs="SimSun"/>
          <w:sz w:val="19"/>
          <w:szCs w:val="19"/>
          <w:spacing w:val="9"/>
        </w:rPr>
        <w:t>价或者免费的产品与服务在短期内对消费者是有利的，但如果这个商</w:t>
      </w:r>
      <w:r>
        <w:rPr>
          <w:rFonts w:ascii="SimSun" w:hAnsi="SimSun" w:eastAsia="SimSun" w:cs="SimSun"/>
          <w:sz w:val="19"/>
          <w:szCs w:val="19"/>
          <w:spacing w:val="11"/>
        </w:rPr>
        <w:t xml:space="preserve"> </w:t>
      </w:r>
      <w:r>
        <w:rPr>
          <w:rFonts w:ascii="SimSun" w:hAnsi="SimSun" w:eastAsia="SimSun" w:cs="SimSun"/>
          <w:sz w:val="19"/>
          <w:szCs w:val="19"/>
          <w:spacing w:val="10"/>
        </w:rPr>
        <w:t>业策略的目的是做大规模，改变市场结构，最终获取垄</w:t>
      </w:r>
      <w:r>
        <w:rPr>
          <w:rFonts w:ascii="SimSun" w:hAnsi="SimSun" w:eastAsia="SimSun" w:cs="SimSun"/>
          <w:sz w:val="19"/>
          <w:szCs w:val="19"/>
          <w:spacing w:val="9"/>
        </w:rPr>
        <w:t>断地位，那么</w:t>
      </w:r>
      <w:r>
        <w:rPr>
          <w:rFonts w:ascii="SimSun" w:hAnsi="SimSun" w:eastAsia="SimSun" w:cs="SimSun"/>
          <w:sz w:val="19"/>
          <w:szCs w:val="19"/>
        </w:rPr>
        <w:t xml:space="preserve"> </w:t>
      </w:r>
      <w:r>
        <w:rPr>
          <w:rFonts w:ascii="SimSun" w:hAnsi="SimSun" w:eastAsia="SimSun" w:cs="SimSun"/>
          <w:sz w:val="19"/>
          <w:szCs w:val="19"/>
          <w:spacing w:val="9"/>
        </w:rPr>
        <w:t>从长期看，对消费者是不利的。所以，关键还是要看是否存在形成垄</w:t>
      </w:r>
    </w:p>
    <w:p>
      <w:pPr>
        <w:ind w:left="94"/>
        <w:spacing w:line="219" w:lineRule="auto"/>
        <w:rPr>
          <w:rFonts w:ascii="SimSun" w:hAnsi="SimSun" w:eastAsia="SimSun" w:cs="SimSun"/>
          <w:sz w:val="19"/>
          <w:szCs w:val="19"/>
        </w:rPr>
      </w:pPr>
      <w:r>
        <w:rPr>
          <w:rFonts w:ascii="SimSun" w:hAnsi="SimSun" w:eastAsia="SimSun" w:cs="SimSun"/>
          <w:sz w:val="19"/>
          <w:szCs w:val="19"/>
          <w:spacing w:val="10"/>
        </w:rPr>
        <w:t>断的倾向。</w:t>
      </w:r>
    </w:p>
    <w:p>
      <w:pPr>
        <w:ind w:left="94" w:right="37" w:firstLine="429"/>
        <w:spacing w:before="132" w:line="350" w:lineRule="auto"/>
        <w:jc w:val="both"/>
        <w:rPr>
          <w:rFonts w:ascii="SimSun" w:hAnsi="SimSun" w:eastAsia="SimSun" w:cs="SimSun"/>
          <w:sz w:val="19"/>
          <w:szCs w:val="19"/>
        </w:rPr>
      </w:pPr>
      <w:r>
        <w:rPr>
          <w:rFonts w:ascii="SimSun" w:hAnsi="SimSun" w:eastAsia="SimSun" w:cs="SimSun"/>
          <w:sz w:val="19"/>
          <w:szCs w:val="19"/>
          <w:spacing w:val="9"/>
        </w:rPr>
        <w:t>其三，平台经济的范围经济特性也许可以让充分竞争与规模经济</w:t>
      </w:r>
      <w:r>
        <w:rPr>
          <w:rFonts w:ascii="SimSun" w:hAnsi="SimSun" w:eastAsia="SimSun" w:cs="SimSun"/>
          <w:sz w:val="19"/>
          <w:szCs w:val="19"/>
          <w:spacing w:val="15"/>
        </w:rPr>
        <w:t xml:space="preserve"> </w:t>
      </w:r>
      <w:r>
        <w:rPr>
          <w:rFonts w:ascii="SimSun" w:hAnsi="SimSun" w:eastAsia="SimSun" w:cs="SimSun"/>
          <w:sz w:val="19"/>
          <w:szCs w:val="19"/>
          <w:spacing w:val="10"/>
        </w:rPr>
        <w:t>在一定程度上实现共存。不喜欢大的企业规模或者高的市场份额，主</w:t>
      </w:r>
      <w:r>
        <w:rPr>
          <w:rFonts w:ascii="SimSun" w:hAnsi="SimSun" w:eastAsia="SimSun" w:cs="SimSun"/>
          <w:sz w:val="19"/>
          <w:szCs w:val="19"/>
        </w:rPr>
        <w:t xml:space="preserve"> </w:t>
      </w:r>
      <w:r>
        <w:rPr>
          <w:rFonts w:ascii="SimSun" w:hAnsi="SimSun" w:eastAsia="SimSun" w:cs="SimSun"/>
          <w:sz w:val="19"/>
          <w:szCs w:val="19"/>
          <w:spacing w:val="9"/>
        </w:rPr>
        <w:t>要还是担心造成“赢者通吃”的局面。但这是传统经济的理念，比如</w:t>
      </w:r>
      <w:r>
        <w:rPr>
          <w:rFonts w:ascii="SimSun" w:hAnsi="SimSun" w:eastAsia="SimSun" w:cs="SimSun"/>
          <w:sz w:val="19"/>
          <w:szCs w:val="19"/>
          <w:spacing w:val="13"/>
        </w:rPr>
        <w:t xml:space="preserve"> </w:t>
      </w:r>
      <w:r>
        <w:rPr>
          <w:rFonts w:ascii="SimSun" w:hAnsi="SimSun" w:eastAsia="SimSun" w:cs="SimSun"/>
          <w:sz w:val="19"/>
          <w:szCs w:val="19"/>
          <w:spacing w:val="16"/>
        </w:rPr>
        <w:t>在电力行业或者钢铁行业。平台经济领域存在很强的范围经济，即</w:t>
      </w:r>
      <w:r>
        <w:rPr>
          <w:rFonts w:ascii="SimSun" w:hAnsi="SimSun" w:eastAsia="SimSun" w:cs="SimSun"/>
          <w:sz w:val="19"/>
          <w:szCs w:val="19"/>
          <w:spacing w:val="14"/>
        </w:rPr>
        <w:t xml:space="preserve"> </w:t>
      </w:r>
      <w:r>
        <w:rPr>
          <w:rFonts w:ascii="SimSun" w:hAnsi="SimSun" w:eastAsia="SimSun" w:cs="SimSun"/>
          <w:sz w:val="19"/>
          <w:szCs w:val="19"/>
          <w:spacing w:val="9"/>
        </w:rPr>
        <w:t>平台企业一旦在一个行业做大，很容易实施跨行业竞争。国内市场上</w:t>
      </w:r>
      <w:r>
        <w:rPr>
          <w:rFonts w:ascii="SimSun" w:hAnsi="SimSun" w:eastAsia="SimSun" w:cs="SimSun"/>
          <w:sz w:val="19"/>
          <w:szCs w:val="19"/>
          <w:spacing w:val="7"/>
        </w:rPr>
        <w:t xml:space="preserve"> </w:t>
      </w:r>
      <w:r>
        <w:rPr>
          <w:rFonts w:ascii="SimSun" w:hAnsi="SimSun" w:eastAsia="SimSun" w:cs="SimSun"/>
          <w:sz w:val="19"/>
          <w:szCs w:val="19"/>
          <w:spacing w:val="9"/>
        </w:rPr>
        <w:t>这样的例子很多，比如抖音做外卖、微信做搜索、美团做金融。这就</w:t>
      </w:r>
      <w:r>
        <w:rPr>
          <w:rFonts w:ascii="SimSun" w:hAnsi="SimSun" w:eastAsia="SimSun" w:cs="SimSun"/>
          <w:sz w:val="19"/>
          <w:szCs w:val="19"/>
          <w:spacing w:val="7"/>
        </w:rPr>
        <w:t xml:space="preserve"> </w:t>
      </w:r>
      <w:r>
        <w:rPr>
          <w:rFonts w:ascii="SimSun" w:hAnsi="SimSun" w:eastAsia="SimSun" w:cs="SimSun"/>
          <w:sz w:val="19"/>
          <w:szCs w:val="19"/>
          <w:spacing w:val="16"/>
        </w:rPr>
        <w:t>意味着做大并不一定能够独霸市场。在2013年，阿里巴巴的淘</w:t>
      </w:r>
      <w:r>
        <w:rPr>
          <w:rFonts w:ascii="SimSun" w:hAnsi="SimSun" w:eastAsia="SimSun" w:cs="SimSun"/>
          <w:sz w:val="19"/>
          <w:szCs w:val="19"/>
          <w:spacing w:val="15"/>
        </w:rPr>
        <w:t>宝和</w:t>
      </w:r>
      <w:r>
        <w:rPr>
          <w:rFonts w:ascii="SimSun" w:hAnsi="SimSun" w:eastAsia="SimSun" w:cs="SimSun"/>
          <w:sz w:val="19"/>
          <w:szCs w:val="19"/>
        </w:rPr>
        <w:t xml:space="preserve"> </w:t>
      </w:r>
      <w:r>
        <w:rPr>
          <w:rFonts w:ascii="SimSun" w:hAnsi="SimSun" w:eastAsia="SimSun" w:cs="SimSun"/>
          <w:sz w:val="19"/>
          <w:szCs w:val="19"/>
          <w:spacing w:val="20"/>
        </w:rPr>
        <w:t>天猫在全国电商市场的份额达到92%,到2020年，这个份额降到了</w:t>
      </w:r>
      <w:r>
        <w:rPr>
          <w:rFonts w:ascii="SimSun" w:hAnsi="SimSun" w:eastAsia="SimSun" w:cs="SimSun"/>
          <w:sz w:val="19"/>
          <w:szCs w:val="19"/>
          <w:spacing w:val="14"/>
        </w:rPr>
        <w:t xml:space="preserve"> </w:t>
      </w:r>
      <w:r>
        <w:rPr>
          <w:rFonts w:ascii="SimSun" w:hAnsi="SimSun" w:eastAsia="SimSun" w:cs="SimSun"/>
          <w:sz w:val="19"/>
          <w:szCs w:val="19"/>
          <w:spacing w:val="13"/>
        </w:rPr>
        <w:t>42%。除了原有的竞争对手京东的市场份</w:t>
      </w:r>
      <w:r>
        <w:rPr>
          <w:rFonts w:ascii="SimSun" w:hAnsi="SimSun" w:eastAsia="SimSun" w:cs="SimSun"/>
          <w:sz w:val="19"/>
          <w:szCs w:val="19"/>
          <w:spacing w:val="12"/>
        </w:rPr>
        <w:t>额翻了一番，还涌现了一批</w:t>
      </w:r>
      <w:r>
        <w:rPr>
          <w:rFonts w:ascii="SimSun" w:hAnsi="SimSun" w:eastAsia="SimSun" w:cs="SimSun"/>
          <w:sz w:val="19"/>
          <w:szCs w:val="19"/>
        </w:rPr>
        <w:t xml:space="preserve"> </w:t>
      </w:r>
      <w:r>
        <w:rPr>
          <w:rFonts w:ascii="SimSun" w:hAnsi="SimSun" w:eastAsia="SimSun" w:cs="SimSun"/>
          <w:sz w:val="19"/>
          <w:szCs w:val="19"/>
          <w:spacing w:val="11"/>
        </w:rPr>
        <w:t>新的电商，如拼多多、微信小程序、抖音电商等，而这些新</w:t>
      </w:r>
      <w:r>
        <w:rPr>
          <w:rFonts w:ascii="SimSun" w:hAnsi="SimSun" w:eastAsia="SimSun" w:cs="SimSun"/>
          <w:sz w:val="19"/>
          <w:szCs w:val="19"/>
          <w:spacing w:val="10"/>
        </w:rPr>
        <w:t>电商大多</w:t>
      </w:r>
      <w:r>
        <w:rPr>
          <w:rFonts w:ascii="SimSun" w:hAnsi="SimSun" w:eastAsia="SimSun" w:cs="SimSun"/>
          <w:sz w:val="19"/>
          <w:szCs w:val="19"/>
        </w:rPr>
        <w:t xml:space="preserve"> </w:t>
      </w:r>
      <w:r>
        <w:rPr>
          <w:rFonts w:ascii="SimSun" w:hAnsi="SimSun" w:eastAsia="SimSun" w:cs="SimSun"/>
          <w:sz w:val="19"/>
          <w:szCs w:val="19"/>
          <w:spacing w:val="15"/>
        </w:rPr>
        <w:t>是借助已有平台跨行业进入。可见，虽然阿里巴巴在2013年占据的</w:t>
      </w:r>
    </w:p>
    <w:p>
      <w:pPr>
        <w:ind w:left="94"/>
        <w:spacing w:line="219" w:lineRule="auto"/>
        <w:rPr>
          <w:rFonts w:ascii="SimSun" w:hAnsi="SimSun" w:eastAsia="SimSun" w:cs="SimSun"/>
          <w:sz w:val="19"/>
          <w:szCs w:val="19"/>
        </w:rPr>
      </w:pPr>
      <w:r>
        <w:rPr>
          <w:rFonts w:ascii="SimSun" w:hAnsi="SimSun" w:eastAsia="SimSun" w:cs="SimSun"/>
          <w:sz w:val="19"/>
          <w:szCs w:val="19"/>
          <w:spacing w:val="6"/>
        </w:rPr>
        <w:t>市场份额非常大，但它显然并不拥有垄断地位。</w:t>
      </w:r>
    </w:p>
    <w:p>
      <w:pPr>
        <w:ind w:firstLine="555"/>
        <w:spacing w:before="123" w:line="350" w:lineRule="auto"/>
        <w:jc w:val="both"/>
        <w:rPr>
          <w:rFonts w:ascii="SimSun" w:hAnsi="SimSun" w:eastAsia="SimSun" w:cs="SimSun"/>
          <w:sz w:val="19"/>
          <w:szCs w:val="19"/>
        </w:rPr>
      </w:pPr>
      <w:r>
        <w:rPr>
          <w:rFonts w:ascii="SimSun" w:hAnsi="SimSun" w:eastAsia="SimSun" w:cs="SimSun"/>
          <w:sz w:val="19"/>
          <w:szCs w:val="19"/>
          <w:spacing w:val="10"/>
        </w:rPr>
        <w:t>因此，判断平台经济领域垄断的标准，既不应该</w:t>
      </w:r>
      <w:r>
        <w:rPr>
          <w:rFonts w:ascii="SimSun" w:hAnsi="SimSun" w:eastAsia="SimSun" w:cs="SimSun"/>
          <w:sz w:val="19"/>
          <w:szCs w:val="19"/>
          <w:spacing w:val="9"/>
        </w:rPr>
        <w:t>是过于简单化的</w:t>
      </w:r>
      <w:r>
        <w:rPr>
          <w:rFonts w:ascii="SimSun" w:hAnsi="SimSun" w:eastAsia="SimSun" w:cs="SimSun"/>
          <w:sz w:val="19"/>
          <w:szCs w:val="19"/>
        </w:rPr>
        <w:t xml:space="preserve"> </w:t>
      </w:r>
      <w:r>
        <w:rPr>
          <w:rFonts w:ascii="SimSun" w:hAnsi="SimSun" w:eastAsia="SimSun" w:cs="SimSun"/>
          <w:sz w:val="19"/>
          <w:szCs w:val="19"/>
          <w:spacing w:val="12"/>
        </w:rPr>
        <w:t>“消费者福利”度量，更不应该是单纯的“平台规模”指标。而“可</w:t>
      </w:r>
      <w:r>
        <w:rPr>
          <w:rFonts w:ascii="SimSun" w:hAnsi="SimSun" w:eastAsia="SimSun" w:cs="SimSun"/>
          <w:sz w:val="19"/>
          <w:szCs w:val="19"/>
          <w:spacing w:val="6"/>
        </w:rPr>
        <w:t xml:space="preserve">  </w:t>
      </w:r>
      <w:r>
        <w:rPr>
          <w:rFonts w:ascii="SimSun" w:hAnsi="SimSun" w:eastAsia="SimSun" w:cs="SimSun"/>
          <w:sz w:val="19"/>
          <w:szCs w:val="19"/>
          <w:spacing w:val="17"/>
        </w:rPr>
        <w:t>竞争性”可能是一个值得重视的经济概念。1981年12月普林斯顿大</w:t>
      </w:r>
      <w:r>
        <w:rPr>
          <w:rFonts w:ascii="SimSun" w:hAnsi="SimSun" w:eastAsia="SimSun" w:cs="SimSun"/>
          <w:sz w:val="19"/>
          <w:szCs w:val="19"/>
          <w:spacing w:val="9"/>
        </w:rPr>
        <w:t xml:space="preserve">  </w:t>
      </w:r>
      <w:r>
        <w:rPr>
          <w:rFonts w:ascii="SimSun" w:hAnsi="SimSun" w:eastAsia="SimSun" w:cs="SimSun"/>
          <w:sz w:val="19"/>
          <w:szCs w:val="19"/>
          <w:spacing w:val="15"/>
        </w:rPr>
        <w:t>学教授威廉·鲍莫尔在美国经济学会年会上做了题为“可竞争市场：</w:t>
      </w:r>
    </w:p>
    <w:p>
      <w:pPr>
        <w:ind w:left="95"/>
        <w:spacing w:line="219" w:lineRule="auto"/>
        <w:rPr>
          <w:rFonts w:ascii="SimSun" w:hAnsi="SimSun" w:eastAsia="SimSun" w:cs="SimSun"/>
          <w:sz w:val="19"/>
          <w:szCs w:val="19"/>
        </w:rPr>
      </w:pPr>
      <w:r>
        <w:rPr>
          <w:rFonts w:ascii="SimSun" w:hAnsi="SimSun" w:eastAsia="SimSun" w:cs="SimSun"/>
          <w:sz w:val="19"/>
          <w:szCs w:val="19"/>
          <w:spacing w:val="12"/>
        </w:rPr>
        <w:t>产业结构理论的一次革命”的发言，正式提出可竞争市场理论(又称</w:t>
      </w:r>
    </w:p>
    <w:p>
      <w:pPr>
        <w:spacing w:line="219" w:lineRule="auto"/>
        <w:sectPr>
          <w:headerReference w:type="default" r:id="rId62"/>
          <w:pgSz w:w="7330" w:h="12480"/>
          <w:pgMar w:top="823" w:right="794" w:bottom="400" w:left="374" w:header="671" w:footer="0" w:gutter="0"/>
        </w:sectPr>
        <w:rPr>
          <w:rFonts w:ascii="SimSun" w:hAnsi="SimSun" w:eastAsia="SimSun" w:cs="SimSun"/>
          <w:sz w:val="19"/>
          <w:szCs w:val="19"/>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35"/>
        <w:spacing w:before="69" w:line="299" w:lineRule="auto"/>
        <w:jc w:val="both"/>
        <w:rPr>
          <w:rFonts w:ascii="SimSun" w:hAnsi="SimSun" w:eastAsia="SimSun" w:cs="SimSun"/>
          <w:sz w:val="21"/>
          <w:szCs w:val="21"/>
        </w:rPr>
      </w:pPr>
      <w:r>
        <w:rPr>
          <w:rFonts w:ascii="SimSun" w:hAnsi="SimSun" w:eastAsia="SimSun" w:cs="SimSun"/>
          <w:sz w:val="21"/>
          <w:szCs w:val="21"/>
          <w:spacing w:val="-7"/>
        </w:rPr>
        <w:t>可竞争性理论)。可竞争市场的一个基本假设是，企业进入和退出市 </w:t>
      </w:r>
      <w:r>
        <w:rPr>
          <w:rFonts w:ascii="SimSun" w:hAnsi="SimSun" w:eastAsia="SimSun" w:cs="SimSun"/>
          <w:sz w:val="21"/>
          <w:szCs w:val="21"/>
          <w:spacing w:val="-3"/>
        </w:rPr>
        <w:t>场或产业是完全自由的，相对于现有企业，潜在的进入者在生产环</w:t>
      </w:r>
      <w:r>
        <w:rPr>
          <w:rFonts w:ascii="SimSun" w:hAnsi="SimSun" w:eastAsia="SimSun" w:cs="SimSun"/>
          <w:sz w:val="21"/>
          <w:szCs w:val="21"/>
          <w:spacing w:val="16"/>
        </w:rPr>
        <w:t xml:space="preserve"> </w:t>
      </w:r>
      <w:r>
        <w:rPr>
          <w:rFonts w:ascii="SimSun" w:hAnsi="SimSun" w:eastAsia="SimSun" w:cs="SimSun"/>
          <w:sz w:val="21"/>
          <w:szCs w:val="21"/>
          <w:spacing w:val="-10"/>
        </w:rPr>
        <w:t>节、产品质量和成本等方面不存在劣势。这样，即便行业只是由一家 </w:t>
      </w:r>
      <w:r>
        <w:rPr>
          <w:rFonts w:ascii="SimSun" w:hAnsi="SimSun" w:eastAsia="SimSun" w:cs="SimSun"/>
          <w:sz w:val="21"/>
          <w:szCs w:val="21"/>
          <w:spacing w:val="-10"/>
        </w:rPr>
        <w:t>或少数几家企业组成，由于担心局外竞争者的进入，在位企业也会维 </w:t>
      </w:r>
      <w:r>
        <w:rPr>
          <w:rFonts w:ascii="SimSun" w:hAnsi="SimSun" w:eastAsia="SimSun" w:cs="SimSun"/>
          <w:sz w:val="21"/>
          <w:szCs w:val="21"/>
          <w:spacing w:val="-10"/>
        </w:rPr>
        <w:t>持反映生产成本的价格并保持高效率的生产，以获取平均利润，而不 </w:t>
      </w:r>
      <w:r>
        <w:rPr>
          <w:rFonts w:ascii="SimSun" w:hAnsi="SimSun" w:eastAsia="SimSun" w:cs="SimSun"/>
          <w:sz w:val="21"/>
          <w:szCs w:val="21"/>
          <w:spacing w:val="-3"/>
        </w:rPr>
        <w:t>是制定垄断性高价。换句话说，只要满足具</w:t>
      </w:r>
      <w:r>
        <w:rPr>
          <w:rFonts w:ascii="SimSun" w:hAnsi="SimSun" w:eastAsia="SimSun" w:cs="SimSun"/>
          <w:sz w:val="21"/>
          <w:szCs w:val="21"/>
          <w:spacing w:val="-4"/>
        </w:rPr>
        <w:t>有“可竞争性”这一条 </w:t>
      </w:r>
      <w:r>
        <w:rPr>
          <w:rFonts w:ascii="SimSun" w:hAnsi="SimSun" w:eastAsia="SimSun" w:cs="SimSun"/>
          <w:sz w:val="21"/>
          <w:szCs w:val="21"/>
          <w:spacing w:val="-8"/>
        </w:rPr>
        <w:t>件，即使规模很大的平台也不会轻易形成垄断。需要特别指出的是，</w:t>
      </w:r>
      <w:r>
        <w:rPr>
          <w:rFonts w:ascii="SimSun" w:hAnsi="SimSun" w:eastAsia="SimSun" w:cs="SimSun"/>
          <w:sz w:val="21"/>
          <w:szCs w:val="21"/>
          <w:spacing w:val="14"/>
        </w:rPr>
        <w:t xml:space="preserve"> </w:t>
      </w:r>
      <w:r>
        <w:rPr>
          <w:rFonts w:ascii="SimSun" w:hAnsi="SimSun" w:eastAsia="SimSun" w:cs="SimSun"/>
          <w:sz w:val="21"/>
          <w:szCs w:val="21"/>
          <w:spacing w:val="-10"/>
        </w:rPr>
        <w:t>可竞争性的关键因素是潜在竞争者进入的沉没成本，不仅仅指营业牌 </w:t>
      </w:r>
      <w:r>
        <w:rPr>
          <w:rFonts w:ascii="SimSun" w:hAnsi="SimSun" w:eastAsia="SimSun" w:cs="SimSun"/>
          <w:sz w:val="21"/>
          <w:szCs w:val="21"/>
          <w:spacing w:val="-10"/>
        </w:rPr>
        <w:t>照。同时，较强的可竞争性也不必然导致较高的竞争程度，但可以阻 </w:t>
      </w:r>
      <w:r>
        <w:rPr>
          <w:rFonts w:ascii="SimSun" w:hAnsi="SimSun" w:eastAsia="SimSun" w:cs="SimSun"/>
          <w:sz w:val="21"/>
          <w:szCs w:val="21"/>
          <w:spacing w:val="-4"/>
        </w:rPr>
        <w:t>止在位竞争者实施垄断行为(详见第八章)。</w:t>
      </w:r>
    </w:p>
    <w:p>
      <w:pPr>
        <w:ind w:right="31" w:firstLine="385"/>
        <w:spacing w:before="203" w:line="286" w:lineRule="auto"/>
        <w:rPr>
          <w:rFonts w:ascii="SimSun" w:hAnsi="SimSun" w:eastAsia="SimSun" w:cs="SimSun"/>
          <w:sz w:val="21"/>
          <w:szCs w:val="21"/>
        </w:rPr>
      </w:pPr>
      <w:r>
        <w:rPr>
          <w:rFonts w:ascii="SimSun" w:hAnsi="SimSun" w:eastAsia="SimSun" w:cs="SimSun"/>
          <w:sz w:val="21"/>
          <w:szCs w:val="21"/>
          <w:spacing w:val="-7"/>
        </w:rPr>
        <w:t>“可竞争性”可能并不适合构建判定垄断的量化指标，却是一个</w:t>
      </w:r>
      <w:r>
        <w:rPr>
          <w:rFonts w:ascii="SimSun" w:hAnsi="SimSun" w:eastAsia="SimSun" w:cs="SimSun"/>
          <w:sz w:val="21"/>
          <w:szCs w:val="21"/>
          <w:spacing w:val="8"/>
        </w:rPr>
        <w:t xml:space="preserve"> </w:t>
      </w:r>
      <w:r>
        <w:rPr>
          <w:rFonts w:ascii="SimSun" w:hAnsi="SimSun" w:eastAsia="SimSun" w:cs="SimSun"/>
          <w:sz w:val="21"/>
          <w:szCs w:val="21"/>
          <w:spacing w:val="-10"/>
        </w:rPr>
        <w:t>有价值的指导监管与反垄断政策的经济学概念。用“可竞争性</w:t>
      </w:r>
      <w:r>
        <w:rPr>
          <w:rFonts w:ascii="SimSun" w:hAnsi="SimSun" w:eastAsia="SimSun" w:cs="SimSun"/>
          <w:sz w:val="21"/>
          <w:szCs w:val="21"/>
          <w:spacing w:val="-11"/>
        </w:rPr>
        <w:t>”的分</w:t>
      </w:r>
      <w:r>
        <w:rPr>
          <w:rFonts w:ascii="SimSun" w:hAnsi="SimSun" w:eastAsia="SimSun" w:cs="SimSun"/>
          <w:sz w:val="21"/>
          <w:szCs w:val="21"/>
        </w:rPr>
        <w:t xml:space="preserve"> </w:t>
      </w:r>
      <w:r>
        <w:rPr>
          <w:rFonts w:ascii="SimSun" w:hAnsi="SimSun" w:eastAsia="SimSun" w:cs="SimSun"/>
          <w:sz w:val="21"/>
          <w:szCs w:val="21"/>
          <w:spacing w:val="-10"/>
        </w:rPr>
        <w:t>析框架来讨论我国平台经济领域的反垄断问题，至少可以提</w:t>
      </w:r>
      <w:r>
        <w:rPr>
          <w:rFonts w:ascii="SimSun" w:hAnsi="SimSun" w:eastAsia="SimSun" w:cs="SimSun"/>
          <w:sz w:val="21"/>
          <w:szCs w:val="21"/>
          <w:spacing w:val="-11"/>
        </w:rPr>
        <w:t>供两个方</w:t>
      </w:r>
      <w:r>
        <w:rPr>
          <w:rFonts w:ascii="SimSun" w:hAnsi="SimSun" w:eastAsia="SimSun" w:cs="SimSun"/>
          <w:sz w:val="21"/>
          <w:szCs w:val="21"/>
        </w:rPr>
        <w:t xml:space="preserve"> </w:t>
      </w:r>
      <w:r>
        <w:rPr>
          <w:rFonts w:ascii="SimSun" w:hAnsi="SimSun" w:eastAsia="SimSun" w:cs="SimSun"/>
          <w:sz w:val="21"/>
          <w:szCs w:val="21"/>
          <w:spacing w:val="-7"/>
        </w:rPr>
        <w:t>面的启示。</w:t>
      </w:r>
    </w:p>
    <w:p>
      <w:pPr>
        <w:ind w:right="29" w:firstLine="480"/>
        <w:spacing w:before="127" w:line="290" w:lineRule="auto"/>
        <w:rPr>
          <w:rFonts w:ascii="SimSun" w:hAnsi="SimSun" w:eastAsia="SimSun" w:cs="SimSun"/>
          <w:sz w:val="21"/>
          <w:szCs w:val="21"/>
        </w:rPr>
      </w:pPr>
      <w:r>
        <w:rPr>
          <w:rFonts w:ascii="SimSun" w:hAnsi="SimSun" w:eastAsia="SimSun" w:cs="SimSun"/>
          <w:sz w:val="21"/>
          <w:szCs w:val="21"/>
          <w:spacing w:val="-3"/>
        </w:rPr>
        <w:t>一是与美国相比，我国平台经济领域的竞争程度似乎要高一些</w:t>
      </w:r>
      <w:r>
        <w:rPr>
          <w:rFonts w:ascii="SimSun" w:hAnsi="SimSun" w:eastAsia="SimSun" w:cs="SimSun"/>
          <w:sz w:val="21"/>
          <w:szCs w:val="21"/>
          <w:spacing w:val="10"/>
        </w:rPr>
        <w:t xml:space="preserve"> </w:t>
      </w:r>
      <w:r>
        <w:rPr>
          <w:rFonts w:ascii="SimSun" w:hAnsi="SimSun" w:eastAsia="SimSun" w:cs="SimSun"/>
          <w:sz w:val="21"/>
          <w:szCs w:val="21"/>
          <w:spacing w:val="-6"/>
        </w:rPr>
        <w:t>(见表1-1)。在美国，四家头部平台长期主导一些行业，确实需要担</w:t>
      </w:r>
      <w:r>
        <w:rPr>
          <w:rFonts w:ascii="SimSun" w:hAnsi="SimSun" w:eastAsia="SimSun" w:cs="SimSun"/>
          <w:sz w:val="21"/>
          <w:szCs w:val="21"/>
          <w:spacing w:val="15"/>
        </w:rPr>
        <w:t xml:space="preserve"> </w:t>
      </w:r>
      <w:r>
        <w:rPr>
          <w:rFonts w:ascii="SimSun" w:hAnsi="SimSun" w:eastAsia="SimSun" w:cs="SimSun"/>
          <w:sz w:val="21"/>
          <w:szCs w:val="21"/>
          <w:spacing w:val="-10"/>
        </w:rPr>
        <w:t>心垄断的问题。为什么美国平台企业跨行业经营的现象相对少一些?  </w:t>
      </w:r>
      <w:r>
        <w:rPr>
          <w:rFonts w:ascii="SimSun" w:hAnsi="SimSun" w:eastAsia="SimSun" w:cs="SimSun"/>
          <w:sz w:val="21"/>
          <w:szCs w:val="21"/>
          <w:spacing w:val="-10"/>
        </w:rPr>
        <w:t>一种解释是美国较为严厉的监管限制，另一种解释是数据与人工智能</w:t>
      </w:r>
    </w:p>
    <w:p>
      <w:pPr>
        <w:pStyle w:val="BodyText"/>
        <w:spacing w:line="375" w:lineRule="auto"/>
        <w:rPr/>
      </w:pPr>
      <w:r/>
    </w:p>
    <w:p>
      <w:pPr>
        <w:ind w:left="1203"/>
        <w:spacing w:before="68" w:line="221" w:lineRule="auto"/>
        <w:rPr>
          <w:rFonts w:ascii="SimHei" w:hAnsi="SimHei" w:eastAsia="SimHei" w:cs="SimHei"/>
          <w:sz w:val="21"/>
          <w:szCs w:val="21"/>
        </w:rPr>
      </w:pPr>
      <w:r>
        <w:rPr>
          <w:rFonts w:ascii="SimHei" w:hAnsi="SimHei" w:eastAsia="SimHei" w:cs="SimHei"/>
          <w:sz w:val="21"/>
          <w:szCs w:val="21"/>
          <w:b/>
          <w:bCs/>
          <w:spacing w:val="-24"/>
        </w:rPr>
        <w:t>表1-1</w:t>
      </w:r>
      <w:r>
        <w:rPr>
          <w:rFonts w:ascii="SimHei" w:hAnsi="SimHei" w:eastAsia="SimHei" w:cs="SimHei"/>
          <w:sz w:val="21"/>
          <w:szCs w:val="21"/>
          <w:spacing w:val="41"/>
        </w:rPr>
        <w:t xml:space="preserve"> </w:t>
      </w:r>
      <w:r>
        <w:rPr>
          <w:rFonts w:ascii="SimHei" w:hAnsi="SimHei" w:eastAsia="SimHei" w:cs="SimHei"/>
          <w:sz w:val="21"/>
          <w:szCs w:val="21"/>
          <w:b/>
          <w:bCs/>
          <w:spacing w:val="-24"/>
        </w:rPr>
        <w:t>中国的头部平台在不同行业的业务分布</w:t>
      </w:r>
    </w:p>
    <w:p>
      <w:pPr>
        <w:spacing w:line="49" w:lineRule="exact"/>
        <w:rPr/>
      </w:pPr>
      <w:r/>
    </w:p>
    <w:tbl>
      <w:tblPr>
        <w:tblStyle w:val="TableNormal"/>
        <w:tblW w:w="6040" w:type="dxa"/>
        <w:tblInd w:w="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02"/>
        <w:gridCol w:w="1069"/>
        <w:gridCol w:w="1224"/>
        <w:gridCol w:w="820"/>
        <w:gridCol w:w="1125"/>
      </w:tblGrid>
      <w:tr>
        <w:trPr>
          <w:trHeight w:val="353" w:hRule="atLeast"/>
        </w:trPr>
        <w:tc>
          <w:tcPr>
            <w:tcW w:w="1802" w:type="dxa"/>
            <w:vAlign w:val="top"/>
            <w:tcBorders>
              <w:bottom w:val="single" w:color="000000" w:sz="4" w:space="0"/>
              <w:top w:val="single" w:color="000000" w:sz="4" w:space="0"/>
            </w:tcBorders>
          </w:tcPr>
          <w:p>
            <w:pPr>
              <w:rPr>
                <w:rFonts w:ascii="Arial"/>
                <w:sz w:val="21"/>
              </w:rPr>
            </w:pPr>
            <w:r/>
          </w:p>
        </w:tc>
        <w:tc>
          <w:tcPr>
            <w:tcW w:w="1069" w:type="dxa"/>
            <w:vAlign w:val="top"/>
            <w:tcBorders>
              <w:bottom w:val="single" w:color="000000" w:sz="4" w:space="0"/>
              <w:top w:val="single" w:color="000000" w:sz="4" w:space="0"/>
            </w:tcBorders>
          </w:tcPr>
          <w:p>
            <w:pPr>
              <w:pStyle w:val="TableText"/>
              <w:ind w:left="440"/>
              <w:spacing w:before="149" w:line="210" w:lineRule="auto"/>
              <w:rPr/>
            </w:pPr>
            <w:r>
              <w:rPr>
                <w:b/>
                <w:bCs/>
                <w:spacing w:val="-5"/>
              </w:rPr>
              <w:t>百度</w:t>
            </w:r>
          </w:p>
        </w:tc>
        <w:tc>
          <w:tcPr>
            <w:tcW w:w="1224" w:type="dxa"/>
            <w:vAlign w:val="top"/>
            <w:tcBorders>
              <w:bottom w:val="single" w:color="000000" w:sz="4" w:space="0"/>
              <w:top w:val="single" w:color="000000" w:sz="4" w:space="0"/>
            </w:tcBorders>
          </w:tcPr>
          <w:p>
            <w:pPr>
              <w:pStyle w:val="TableText"/>
              <w:ind w:left="311"/>
              <w:spacing w:before="151" w:line="208" w:lineRule="auto"/>
              <w:rPr/>
            </w:pPr>
            <w:r>
              <w:rPr>
                <w:b/>
                <w:bCs/>
                <w:spacing w:val="-5"/>
              </w:rPr>
              <w:t>阿里巴巴</w:t>
            </w:r>
          </w:p>
        </w:tc>
        <w:tc>
          <w:tcPr>
            <w:tcW w:w="820" w:type="dxa"/>
            <w:vAlign w:val="top"/>
            <w:tcBorders>
              <w:bottom w:val="single" w:color="000000" w:sz="4" w:space="0"/>
              <w:top w:val="single" w:color="000000" w:sz="4" w:space="0"/>
            </w:tcBorders>
          </w:tcPr>
          <w:p>
            <w:pPr>
              <w:pStyle w:val="TableText"/>
              <w:ind w:left="257"/>
              <w:spacing w:before="140" w:line="220" w:lineRule="auto"/>
              <w:rPr/>
            </w:pPr>
            <w:r>
              <w:rPr>
                <w:b/>
                <w:bCs/>
                <w:spacing w:val="-4"/>
              </w:rPr>
              <w:t>腾讯</w:t>
            </w:r>
          </w:p>
        </w:tc>
        <w:tc>
          <w:tcPr>
            <w:tcW w:w="1125" w:type="dxa"/>
            <w:vAlign w:val="top"/>
            <w:tcBorders>
              <w:bottom w:val="single" w:color="000000" w:sz="4" w:space="0"/>
              <w:top w:val="single" w:color="000000" w:sz="4" w:space="0"/>
            </w:tcBorders>
          </w:tcPr>
          <w:p>
            <w:pPr>
              <w:pStyle w:val="TableText"/>
              <w:ind w:left="237"/>
              <w:spacing w:before="149" w:line="210" w:lineRule="auto"/>
              <w:rPr/>
            </w:pPr>
            <w:r>
              <w:rPr>
                <w:b/>
                <w:bCs/>
                <w:spacing w:val="-4"/>
              </w:rPr>
              <w:t>字节跳动</w:t>
            </w:r>
          </w:p>
        </w:tc>
      </w:tr>
      <w:tr>
        <w:trPr>
          <w:trHeight w:val="339" w:hRule="atLeast"/>
        </w:trPr>
        <w:tc>
          <w:tcPr>
            <w:tcW w:w="1802" w:type="dxa"/>
            <w:vAlign w:val="top"/>
            <w:tcBorders>
              <w:top w:val="single" w:color="000000" w:sz="4" w:space="0"/>
            </w:tcBorders>
          </w:tcPr>
          <w:p>
            <w:pPr>
              <w:pStyle w:val="TableText"/>
              <w:ind w:left="100"/>
              <w:spacing w:before="89" w:line="220" w:lineRule="auto"/>
              <w:rPr/>
            </w:pPr>
            <w:r>
              <w:rPr>
                <w:spacing w:val="2"/>
              </w:rPr>
              <w:t>搜索/浏览/新闻</w:t>
            </w:r>
          </w:p>
        </w:tc>
        <w:tc>
          <w:tcPr>
            <w:tcW w:w="1069" w:type="dxa"/>
            <w:vAlign w:val="top"/>
            <w:tcBorders>
              <w:top w:val="single" w:color="000000" w:sz="4" w:space="0"/>
            </w:tcBorders>
          </w:tcPr>
          <w:p>
            <w:pPr>
              <w:pStyle w:val="TableText"/>
              <w:ind w:left="558"/>
              <w:spacing w:before="133" w:line="182" w:lineRule="auto"/>
              <w:rPr/>
            </w:pPr>
            <w:r>
              <w:rPr/>
              <w:t>V</w:t>
            </w:r>
          </w:p>
        </w:tc>
        <w:tc>
          <w:tcPr>
            <w:tcW w:w="1224" w:type="dxa"/>
            <w:vAlign w:val="top"/>
            <w:tcBorders>
              <w:top w:val="single" w:color="000000" w:sz="4" w:space="0"/>
            </w:tcBorders>
          </w:tcPr>
          <w:p>
            <w:pPr>
              <w:pStyle w:val="TableText"/>
              <w:ind w:left="599"/>
              <w:spacing w:before="133" w:line="182" w:lineRule="auto"/>
              <w:rPr/>
            </w:pPr>
            <w:r>
              <w:rPr/>
              <w:t>V</w:t>
            </w:r>
          </w:p>
        </w:tc>
        <w:tc>
          <w:tcPr>
            <w:tcW w:w="820" w:type="dxa"/>
            <w:vAlign w:val="top"/>
            <w:tcBorders>
              <w:top w:val="single" w:color="000000" w:sz="4" w:space="0"/>
            </w:tcBorders>
          </w:tcPr>
          <w:p>
            <w:pPr>
              <w:pStyle w:val="TableText"/>
              <w:ind w:left="335"/>
              <w:spacing w:before="106" w:line="238" w:lineRule="auto"/>
              <w:rPr/>
            </w:pPr>
            <w:r>
              <w:rPr/>
              <w:t>√</w:t>
            </w:r>
          </w:p>
        </w:tc>
        <w:tc>
          <w:tcPr>
            <w:tcW w:w="1125" w:type="dxa"/>
            <w:vAlign w:val="top"/>
            <w:tcBorders>
              <w:top w:val="single" w:color="000000" w:sz="4" w:space="0"/>
            </w:tcBorders>
          </w:tcPr>
          <w:p>
            <w:pPr>
              <w:pStyle w:val="TableText"/>
              <w:ind w:left="525"/>
              <w:spacing w:before="133" w:line="182" w:lineRule="auto"/>
              <w:rPr/>
            </w:pPr>
            <w:r>
              <w:rPr/>
              <w:t>V</w:t>
            </w:r>
          </w:p>
        </w:tc>
      </w:tr>
      <w:tr>
        <w:trPr>
          <w:trHeight w:val="333" w:hRule="atLeast"/>
        </w:trPr>
        <w:tc>
          <w:tcPr>
            <w:tcW w:w="1802" w:type="dxa"/>
            <w:vAlign w:val="top"/>
          </w:tcPr>
          <w:p>
            <w:pPr>
              <w:pStyle w:val="TableText"/>
              <w:ind w:left="120"/>
              <w:spacing w:before="90" w:line="220" w:lineRule="auto"/>
              <w:rPr/>
            </w:pPr>
            <w:r>
              <w:rPr>
                <w:spacing w:val="2"/>
              </w:rPr>
              <w:t>电商购物</w:t>
            </w:r>
          </w:p>
        </w:tc>
        <w:tc>
          <w:tcPr>
            <w:tcW w:w="1069" w:type="dxa"/>
            <w:vAlign w:val="top"/>
          </w:tcPr>
          <w:p>
            <w:pPr>
              <w:rPr>
                <w:rFonts w:ascii="Arial"/>
                <w:sz w:val="21"/>
              </w:rPr>
            </w:pPr>
            <w:r/>
          </w:p>
        </w:tc>
        <w:tc>
          <w:tcPr>
            <w:tcW w:w="1224" w:type="dxa"/>
            <w:vAlign w:val="top"/>
          </w:tcPr>
          <w:p>
            <w:pPr>
              <w:pStyle w:val="TableText"/>
              <w:ind w:left="599"/>
              <w:spacing w:before="134" w:line="182" w:lineRule="auto"/>
              <w:rPr/>
            </w:pPr>
            <w:r>
              <w:rPr/>
              <w:t>V</w:t>
            </w:r>
          </w:p>
        </w:tc>
        <w:tc>
          <w:tcPr>
            <w:tcW w:w="820" w:type="dxa"/>
            <w:vAlign w:val="top"/>
          </w:tcPr>
          <w:p>
            <w:pPr>
              <w:pStyle w:val="TableText"/>
              <w:ind w:left="375"/>
              <w:spacing w:before="134" w:line="182" w:lineRule="auto"/>
              <w:rPr/>
            </w:pPr>
            <w:r>
              <w:rPr/>
              <w:t>V</w:t>
            </w:r>
          </w:p>
        </w:tc>
        <w:tc>
          <w:tcPr>
            <w:tcW w:w="1125" w:type="dxa"/>
            <w:vAlign w:val="top"/>
          </w:tcPr>
          <w:p>
            <w:pPr>
              <w:pStyle w:val="TableText"/>
              <w:ind w:left="525"/>
              <w:spacing w:before="134" w:line="182" w:lineRule="auto"/>
              <w:rPr/>
            </w:pPr>
            <w:r>
              <w:rPr/>
              <w:t>V</w:t>
            </w:r>
          </w:p>
        </w:tc>
      </w:tr>
      <w:tr>
        <w:trPr>
          <w:trHeight w:val="329" w:hRule="atLeast"/>
        </w:trPr>
        <w:tc>
          <w:tcPr>
            <w:tcW w:w="1802" w:type="dxa"/>
            <w:vAlign w:val="top"/>
          </w:tcPr>
          <w:p>
            <w:pPr>
              <w:pStyle w:val="TableText"/>
              <w:ind w:left="100"/>
              <w:spacing w:before="87" w:line="220" w:lineRule="auto"/>
              <w:rPr/>
            </w:pPr>
            <w:r>
              <w:rPr>
                <w:spacing w:val="-1"/>
              </w:rPr>
              <w:t>在线视频/短视频</w:t>
            </w:r>
          </w:p>
        </w:tc>
        <w:tc>
          <w:tcPr>
            <w:tcW w:w="1069" w:type="dxa"/>
            <w:vAlign w:val="top"/>
          </w:tcPr>
          <w:p>
            <w:pPr>
              <w:pStyle w:val="TableText"/>
              <w:ind w:left="558"/>
              <w:spacing w:before="131" w:line="182" w:lineRule="auto"/>
              <w:rPr/>
            </w:pPr>
            <w:r>
              <w:rPr/>
              <w:t>V</w:t>
            </w:r>
          </w:p>
        </w:tc>
        <w:tc>
          <w:tcPr>
            <w:tcW w:w="1224" w:type="dxa"/>
            <w:vAlign w:val="top"/>
          </w:tcPr>
          <w:p>
            <w:pPr>
              <w:pStyle w:val="TableText"/>
              <w:ind w:left="599"/>
              <w:spacing w:before="131" w:line="182" w:lineRule="auto"/>
              <w:rPr/>
            </w:pPr>
            <w:r>
              <w:rPr/>
              <w:t>V</w:t>
            </w:r>
          </w:p>
        </w:tc>
        <w:tc>
          <w:tcPr>
            <w:tcW w:w="820" w:type="dxa"/>
            <w:vAlign w:val="top"/>
          </w:tcPr>
          <w:p>
            <w:pPr>
              <w:rPr>
                <w:rFonts w:ascii="Arial"/>
                <w:sz w:val="21"/>
              </w:rPr>
            </w:pPr>
            <w:r/>
          </w:p>
        </w:tc>
        <w:tc>
          <w:tcPr>
            <w:tcW w:w="1125" w:type="dxa"/>
            <w:vAlign w:val="top"/>
          </w:tcPr>
          <w:p>
            <w:pPr>
              <w:rPr>
                <w:rFonts w:ascii="Arial"/>
                <w:sz w:val="21"/>
              </w:rPr>
            </w:pPr>
            <w:r/>
          </w:p>
        </w:tc>
      </w:tr>
      <w:tr>
        <w:trPr>
          <w:trHeight w:val="329" w:hRule="atLeast"/>
        </w:trPr>
        <w:tc>
          <w:tcPr>
            <w:tcW w:w="1802" w:type="dxa"/>
            <w:vAlign w:val="top"/>
          </w:tcPr>
          <w:p>
            <w:pPr>
              <w:pStyle w:val="TableText"/>
              <w:ind w:left="120"/>
              <w:spacing w:before="88" w:line="220" w:lineRule="auto"/>
              <w:rPr/>
            </w:pPr>
            <w:r>
              <w:rPr>
                <w:spacing w:val="-2"/>
              </w:rPr>
              <w:t>快递/外卖</w:t>
            </w:r>
          </w:p>
        </w:tc>
        <w:tc>
          <w:tcPr>
            <w:tcW w:w="1069" w:type="dxa"/>
            <w:vAlign w:val="top"/>
          </w:tcPr>
          <w:p>
            <w:pPr>
              <w:rPr>
                <w:rFonts w:ascii="Arial"/>
                <w:sz w:val="21"/>
              </w:rPr>
            </w:pPr>
            <w:r/>
          </w:p>
        </w:tc>
        <w:tc>
          <w:tcPr>
            <w:tcW w:w="1224" w:type="dxa"/>
            <w:vAlign w:val="top"/>
          </w:tcPr>
          <w:p>
            <w:pPr>
              <w:pStyle w:val="TableText"/>
              <w:ind w:left="599"/>
              <w:spacing w:before="132" w:line="182" w:lineRule="auto"/>
              <w:rPr/>
            </w:pPr>
            <w:r>
              <w:rPr/>
              <w:t>V</w:t>
            </w:r>
          </w:p>
        </w:tc>
        <w:tc>
          <w:tcPr>
            <w:tcW w:w="820" w:type="dxa"/>
            <w:vAlign w:val="top"/>
          </w:tcPr>
          <w:p>
            <w:pPr>
              <w:rPr>
                <w:rFonts w:ascii="Arial"/>
                <w:sz w:val="21"/>
              </w:rPr>
            </w:pPr>
            <w:r/>
          </w:p>
        </w:tc>
        <w:tc>
          <w:tcPr>
            <w:tcW w:w="1125" w:type="dxa"/>
            <w:vAlign w:val="top"/>
          </w:tcPr>
          <w:p>
            <w:pPr>
              <w:rPr>
                <w:rFonts w:ascii="Arial"/>
                <w:sz w:val="21"/>
              </w:rPr>
            </w:pPr>
            <w:r/>
          </w:p>
        </w:tc>
      </w:tr>
      <w:tr>
        <w:trPr>
          <w:trHeight w:val="323" w:hRule="atLeast"/>
        </w:trPr>
        <w:tc>
          <w:tcPr>
            <w:tcW w:w="1802" w:type="dxa"/>
            <w:vAlign w:val="top"/>
          </w:tcPr>
          <w:p>
            <w:pPr>
              <w:pStyle w:val="TableText"/>
              <w:ind w:left="100"/>
              <w:spacing w:before="89" w:line="220" w:lineRule="auto"/>
              <w:rPr/>
            </w:pPr>
            <w:r>
              <w:rPr>
                <w:spacing w:val="-2"/>
              </w:rPr>
              <w:t>旅行</w:t>
            </w:r>
          </w:p>
        </w:tc>
        <w:tc>
          <w:tcPr>
            <w:tcW w:w="1069" w:type="dxa"/>
            <w:vAlign w:val="top"/>
          </w:tcPr>
          <w:p>
            <w:pPr>
              <w:pStyle w:val="TableText"/>
              <w:ind w:left="558"/>
              <w:spacing w:before="133" w:line="182" w:lineRule="auto"/>
              <w:rPr/>
            </w:pPr>
            <w:r>
              <w:rPr/>
              <w:t>V</w:t>
            </w:r>
          </w:p>
        </w:tc>
        <w:tc>
          <w:tcPr>
            <w:tcW w:w="1224" w:type="dxa"/>
            <w:vAlign w:val="top"/>
          </w:tcPr>
          <w:p>
            <w:pPr>
              <w:pStyle w:val="TableText"/>
              <w:ind w:left="599"/>
              <w:spacing w:before="133" w:line="182" w:lineRule="auto"/>
              <w:rPr/>
            </w:pPr>
            <w:r>
              <w:rPr/>
              <w:t>V</w:t>
            </w:r>
          </w:p>
        </w:tc>
        <w:tc>
          <w:tcPr>
            <w:tcW w:w="820" w:type="dxa"/>
            <w:vAlign w:val="top"/>
          </w:tcPr>
          <w:p>
            <w:pPr>
              <w:rPr>
                <w:rFonts w:ascii="Arial"/>
                <w:sz w:val="21"/>
              </w:rPr>
            </w:pPr>
            <w:r/>
          </w:p>
        </w:tc>
        <w:tc>
          <w:tcPr>
            <w:tcW w:w="1125" w:type="dxa"/>
            <w:vAlign w:val="top"/>
          </w:tcPr>
          <w:p>
            <w:pPr>
              <w:rPr>
                <w:rFonts w:ascii="Arial"/>
                <w:sz w:val="21"/>
              </w:rPr>
            </w:pPr>
            <w:r/>
          </w:p>
        </w:tc>
      </w:tr>
      <w:tr>
        <w:trPr>
          <w:trHeight w:val="323" w:hRule="atLeast"/>
        </w:trPr>
        <w:tc>
          <w:tcPr>
            <w:tcW w:w="1802" w:type="dxa"/>
            <w:vAlign w:val="top"/>
            <w:tcBorders>
              <w:bottom w:val="single" w:color="000000" w:sz="4" w:space="0"/>
            </w:tcBorders>
          </w:tcPr>
          <w:p>
            <w:pPr>
              <w:pStyle w:val="TableText"/>
              <w:ind w:left="120"/>
              <w:spacing w:before="86" w:line="219" w:lineRule="auto"/>
              <w:rPr/>
            </w:pPr>
            <w:r>
              <w:rPr>
                <w:spacing w:val="-1"/>
              </w:rPr>
              <w:t>教育/社交/游戏</w:t>
            </w:r>
          </w:p>
        </w:tc>
        <w:tc>
          <w:tcPr>
            <w:tcW w:w="1069" w:type="dxa"/>
            <w:vAlign w:val="top"/>
            <w:tcBorders>
              <w:bottom w:val="single" w:color="000000" w:sz="4" w:space="0"/>
            </w:tcBorders>
          </w:tcPr>
          <w:p>
            <w:pPr>
              <w:rPr>
                <w:rFonts w:ascii="Arial"/>
                <w:sz w:val="21"/>
              </w:rPr>
            </w:pPr>
            <w:r/>
          </w:p>
        </w:tc>
        <w:tc>
          <w:tcPr>
            <w:tcW w:w="1224" w:type="dxa"/>
            <w:vAlign w:val="top"/>
            <w:tcBorders>
              <w:bottom w:val="single" w:color="000000" w:sz="4" w:space="0"/>
            </w:tcBorders>
          </w:tcPr>
          <w:p>
            <w:pPr>
              <w:rPr>
                <w:rFonts w:ascii="Arial"/>
                <w:sz w:val="21"/>
              </w:rPr>
            </w:pPr>
            <w:r/>
          </w:p>
        </w:tc>
        <w:tc>
          <w:tcPr>
            <w:tcW w:w="820" w:type="dxa"/>
            <w:vAlign w:val="top"/>
            <w:tcBorders>
              <w:bottom w:val="single" w:color="000000" w:sz="4" w:space="0"/>
            </w:tcBorders>
          </w:tcPr>
          <w:p>
            <w:pPr>
              <w:rPr>
                <w:rFonts w:ascii="Arial"/>
                <w:sz w:val="21"/>
              </w:rPr>
            </w:pPr>
            <w:r/>
          </w:p>
        </w:tc>
        <w:tc>
          <w:tcPr>
            <w:tcW w:w="1125" w:type="dxa"/>
            <w:vAlign w:val="top"/>
            <w:tcBorders>
              <w:bottom w:val="single" w:color="000000" w:sz="4" w:space="0"/>
            </w:tcBorders>
          </w:tcPr>
          <w:p>
            <w:pPr>
              <w:pStyle w:val="TableText"/>
              <w:ind w:left="525"/>
              <w:spacing w:before="103" w:line="228" w:lineRule="auto"/>
              <w:rPr/>
            </w:pPr>
            <w:r>
              <w:rPr/>
              <w:t>√</w:t>
            </w:r>
          </w:p>
        </w:tc>
      </w:tr>
    </w:tbl>
    <w:p>
      <w:pPr>
        <w:pStyle w:val="BodyText"/>
        <w:rPr/>
      </w:pPr>
      <w:r/>
    </w:p>
    <w:p>
      <w:pPr>
        <w:sectPr>
          <w:headerReference w:type="default" r:id="rId63"/>
          <w:pgSz w:w="7330" w:h="12480"/>
          <w:pgMar w:top="549" w:right="479" w:bottom="400" w:left="739" w:header="375" w:footer="0" w:gutter="0"/>
        </w:sectPr>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116"/>
        <w:spacing w:before="69" w:line="292" w:lineRule="auto"/>
        <w:jc w:val="both"/>
        <w:rPr>
          <w:rFonts w:ascii="SimSun" w:hAnsi="SimSun" w:eastAsia="SimSun" w:cs="SimSun"/>
          <w:sz w:val="21"/>
          <w:szCs w:val="21"/>
        </w:rPr>
      </w:pPr>
      <w:r>
        <w:rPr>
          <w:rFonts w:ascii="SimSun" w:hAnsi="SimSun" w:eastAsia="SimSun" w:cs="SimSun"/>
          <w:sz w:val="21"/>
          <w:szCs w:val="21"/>
          <w:spacing w:val="-10"/>
        </w:rPr>
        <w:t>的应用提高了平台经济不同行业的进入门槛，还有一种解</w:t>
      </w:r>
      <w:r>
        <w:rPr>
          <w:rFonts w:ascii="SimSun" w:hAnsi="SimSun" w:eastAsia="SimSun" w:cs="SimSun"/>
          <w:sz w:val="21"/>
          <w:szCs w:val="21"/>
          <w:spacing w:val="-11"/>
        </w:rPr>
        <w:t>释是“心照</w:t>
      </w:r>
      <w:r>
        <w:rPr>
          <w:rFonts w:ascii="SimSun" w:hAnsi="SimSun" w:eastAsia="SimSun" w:cs="SimSun"/>
          <w:sz w:val="21"/>
          <w:szCs w:val="21"/>
        </w:rPr>
        <w:t xml:space="preserve"> </w:t>
      </w:r>
      <w:r>
        <w:rPr>
          <w:rFonts w:ascii="SimSun" w:hAnsi="SimSun" w:eastAsia="SimSun" w:cs="SimSun"/>
          <w:sz w:val="21"/>
          <w:szCs w:val="21"/>
          <w:spacing w:val="-7"/>
        </w:rPr>
        <w:t>不宣的合谋”,最后一种解释也可能是较低的“可竞争性”条件。比</w:t>
      </w:r>
      <w:r>
        <w:rPr>
          <w:rFonts w:ascii="SimSun" w:hAnsi="SimSun" w:eastAsia="SimSun" w:cs="SimSun"/>
          <w:sz w:val="21"/>
          <w:szCs w:val="21"/>
          <w:spacing w:val="6"/>
        </w:rPr>
        <w:t xml:space="preserve"> </w:t>
      </w:r>
      <w:r>
        <w:rPr>
          <w:rFonts w:ascii="SimSun" w:hAnsi="SimSun" w:eastAsia="SimSun" w:cs="SimSun"/>
          <w:sz w:val="21"/>
          <w:szCs w:val="21"/>
          <w:spacing w:val="-10"/>
        </w:rPr>
        <w:t>较而言，目前我国平台经济的跨行业竞争现象十分普遍，竞争程度较</w:t>
      </w:r>
      <w:r>
        <w:rPr>
          <w:rFonts w:ascii="SimSun" w:hAnsi="SimSun" w:eastAsia="SimSun" w:cs="SimSun"/>
          <w:sz w:val="21"/>
          <w:szCs w:val="21"/>
          <w:spacing w:val="7"/>
        </w:rPr>
        <w:t xml:space="preserve"> </w:t>
      </w:r>
      <w:r>
        <w:rPr>
          <w:rFonts w:ascii="SimSun" w:hAnsi="SimSun" w:eastAsia="SimSun" w:cs="SimSun"/>
          <w:sz w:val="21"/>
          <w:szCs w:val="21"/>
          <w:spacing w:val="-10"/>
        </w:rPr>
        <w:t>高。因此，反垄断的迫切性可能并没有美国那么突出。</w:t>
      </w:r>
    </w:p>
    <w:p>
      <w:pPr>
        <w:ind w:firstLine="399"/>
        <w:spacing w:before="125" w:line="308" w:lineRule="auto"/>
        <w:jc w:val="both"/>
        <w:rPr>
          <w:rFonts w:ascii="SimSun" w:hAnsi="SimSun" w:eastAsia="SimSun" w:cs="SimSun"/>
          <w:sz w:val="21"/>
          <w:szCs w:val="21"/>
        </w:rPr>
      </w:pPr>
      <w:r>
        <w:rPr>
          <w:rFonts w:ascii="SimSun" w:hAnsi="SimSun" w:eastAsia="SimSun" w:cs="SimSun"/>
          <w:sz w:val="21"/>
          <w:szCs w:val="21"/>
          <w:spacing w:val="-10"/>
        </w:rPr>
        <w:t>二是平台经济领域的反垄断政策应关注行业“可竞</w:t>
      </w:r>
      <w:r>
        <w:rPr>
          <w:rFonts w:ascii="SimSun" w:hAnsi="SimSun" w:eastAsia="SimSun" w:cs="SimSun"/>
          <w:sz w:val="21"/>
          <w:szCs w:val="21"/>
          <w:spacing w:val="-11"/>
        </w:rPr>
        <w:t>争性”条件的</w:t>
      </w:r>
      <w:r>
        <w:rPr>
          <w:rFonts w:ascii="SimSun" w:hAnsi="SimSun" w:eastAsia="SimSun" w:cs="SimSun"/>
          <w:sz w:val="21"/>
          <w:szCs w:val="21"/>
        </w:rPr>
        <w:t xml:space="preserve">  </w:t>
      </w:r>
      <w:r>
        <w:rPr>
          <w:rFonts w:ascii="SimSun" w:hAnsi="SimSun" w:eastAsia="SimSun" w:cs="SimSun"/>
          <w:sz w:val="21"/>
          <w:szCs w:val="21"/>
          <w:spacing w:val="-17"/>
        </w:rPr>
        <w:t>改善。目前我国平台经济领域的竞争总体上比较充分，但并不意味着反</w:t>
      </w:r>
      <w:r>
        <w:rPr>
          <w:rFonts w:ascii="SimSun" w:hAnsi="SimSun" w:eastAsia="SimSun" w:cs="SimSun"/>
          <w:sz w:val="21"/>
          <w:szCs w:val="21"/>
          <w:spacing w:val="1"/>
        </w:rPr>
        <w:t xml:space="preserve">  </w:t>
      </w:r>
      <w:r>
        <w:rPr>
          <w:rFonts w:ascii="SimSun" w:hAnsi="SimSun" w:eastAsia="SimSun" w:cs="SimSun"/>
          <w:sz w:val="21"/>
          <w:szCs w:val="21"/>
          <w:spacing w:val="-17"/>
        </w:rPr>
        <w:t>垄断政策不重要。如果反垄断的目的是维持正常的竞争秩序，保护消费</w:t>
      </w:r>
      <w:r>
        <w:rPr>
          <w:rFonts w:ascii="SimSun" w:hAnsi="SimSun" w:eastAsia="SimSun" w:cs="SimSun"/>
          <w:sz w:val="21"/>
          <w:szCs w:val="21"/>
          <w:spacing w:val="4"/>
        </w:rPr>
        <w:t xml:space="preserve">  </w:t>
      </w:r>
      <w:r>
        <w:rPr>
          <w:rFonts w:ascii="SimSun" w:hAnsi="SimSun" w:eastAsia="SimSun" w:cs="SimSun"/>
          <w:sz w:val="21"/>
          <w:szCs w:val="21"/>
          <w:spacing w:val="-13"/>
        </w:rPr>
        <w:t>者利益，那么,关键的手段应该是减少潜在进入</w:t>
      </w:r>
      <w:r>
        <w:rPr>
          <w:rFonts w:ascii="SimSun" w:hAnsi="SimSun" w:eastAsia="SimSun" w:cs="SimSun"/>
          <w:sz w:val="21"/>
          <w:szCs w:val="21"/>
          <w:spacing w:val="-14"/>
        </w:rPr>
        <w:t>企业的沉没成本，降低</w:t>
      </w:r>
      <w:r>
        <w:rPr>
          <w:rFonts w:ascii="SimSun" w:hAnsi="SimSun" w:eastAsia="SimSun" w:cs="SimSun"/>
          <w:sz w:val="21"/>
          <w:szCs w:val="21"/>
        </w:rPr>
        <w:t xml:space="preserve">  </w:t>
      </w:r>
      <w:r>
        <w:rPr>
          <w:rFonts w:ascii="SimSun" w:hAnsi="SimSun" w:eastAsia="SimSun" w:cs="SimSun"/>
          <w:sz w:val="21"/>
          <w:szCs w:val="21"/>
          <w:spacing w:val="-17"/>
        </w:rPr>
        <w:t>进入与退出的门槛，而不是分拆。如果用户人数是重要门槛，也许可以</w:t>
      </w:r>
      <w:r>
        <w:rPr>
          <w:rFonts w:ascii="SimSun" w:hAnsi="SimSun" w:eastAsia="SimSun" w:cs="SimSun"/>
          <w:sz w:val="21"/>
          <w:szCs w:val="21"/>
          <w:spacing w:val="6"/>
        </w:rPr>
        <w:t xml:space="preserve">  </w:t>
      </w:r>
      <w:r>
        <w:rPr>
          <w:rFonts w:ascii="SimSun" w:hAnsi="SimSun" w:eastAsia="SimSun" w:cs="SimSun"/>
          <w:sz w:val="21"/>
          <w:szCs w:val="21"/>
          <w:spacing w:val="-13"/>
        </w:rPr>
        <w:t>考虑在不同平台之间实现联通，就像电信网络，只要有手机，能联网，</w:t>
      </w:r>
      <w:r>
        <w:rPr>
          <w:rFonts w:ascii="SimSun" w:hAnsi="SimSun" w:eastAsia="SimSun" w:cs="SimSun"/>
          <w:sz w:val="21"/>
          <w:szCs w:val="21"/>
          <w:spacing w:val="17"/>
        </w:rPr>
        <w:t xml:space="preserve"> </w:t>
      </w:r>
      <w:r>
        <w:rPr>
          <w:rFonts w:ascii="SimSun" w:hAnsi="SimSun" w:eastAsia="SimSun" w:cs="SimSun"/>
          <w:sz w:val="21"/>
          <w:szCs w:val="21"/>
          <w:spacing w:val="-17"/>
        </w:rPr>
        <w:t>就可以联系到所有人，而不取决于用户加入的电信系统的大小。如果数</w:t>
      </w:r>
      <w:r>
        <w:rPr>
          <w:rFonts w:ascii="SimSun" w:hAnsi="SimSun" w:eastAsia="SimSun" w:cs="SimSun"/>
          <w:sz w:val="21"/>
          <w:szCs w:val="21"/>
          <w:spacing w:val="2"/>
        </w:rPr>
        <w:t xml:space="preserve">  </w:t>
      </w:r>
      <w:r>
        <w:rPr>
          <w:rFonts w:ascii="SimSun" w:hAnsi="SimSun" w:eastAsia="SimSun" w:cs="SimSun"/>
          <w:sz w:val="21"/>
          <w:szCs w:val="21"/>
          <w:spacing w:val="-17"/>
        </w:rPr>
        <w:t>据是主要成本，也许可以考虑允许用户携带数据或者数据在不同平台之</w:t>
      </w:r>
      <w:r>
        <w:rPr>
          <w:rFonts w:ascii="SimSun" w:hAnsi="SimSun" w:eastAsia="SimSun" w:cs="SimSun"/>
          <w:sz w:val="21"/>
          <w:szCs w:val="21"/>
          <w:spacing w:val="1"/>
        </w:rPr>
        <w:t xml:space="preserve">  </w:t>
      </w:r>
      <w:r>
        <w:rPr>
          <w:rFonts w:ascii="SimSun" w:hAnsi="SimSun" w:eastAsia="SimSun" w:cs="SimSun"/>
          <w:sz w:val="21"/>
          <w:szCs w:val="21"/>
          <w:spacing w:val="-17"/>
        </w:rPr>
        <w:t>间实现某种形式的共享。当然，这些措施不可能彻底消除那些大平台的</w:t>
      </w:r>
      <w:r>
        <w:rPr>
          <w:rFonts w:ascii="SimSun" w:hAnsi="SimSun" w:eastAsia="SimSun" w:cs="SimSun"/>
          <w:sz w:val="21"/>
          <w:szCs w:val="21"/>
          <w:spacing w:val="5"/>
        </w:rPr>
        <w:t xml:space="preserve">  </w:t>
      </w:r>
      <w:r>
        <w:rPr>
          <w:rFonts w:ascii="SimSun" w:hAnsi="SimSun" w:eastAsia="SimSun" w:cs="SimSun"/>
          <w:sz w:val="21"/>
          <w:szCs w:val="21"/>
          <w:spacing w:val="-17"/>
        </w:rPr>
        <w:t>相对优势，也不应该无视头部平台在做了大量投资以后获取一定回报的</w:t>
      </w:r>
      <w:r>
        <w:rPr>
          <w:rFonts w:ascii="SimSun" w:hAnsi="SimSun" w:eastAsia="SimSun" w:cs="SimSun"/>
          <w:sz w:val="21"/>
          <w:szCs w:val="21"/>
          <w:spacing w:val="5"/>
        </w:rPr>
        <w:t xml:space="preserve">  </w:t>
      </w:r>
      <w:r>
        <w:rPr>
          <w:rFonts w:ascii="SimSun" w:hAnsi="SimSun" w:eastAsia="SimSun" w:cs="SimSun"/>
          <w:sz w:val="21"/>
          <w:szCs w:val="21"/>
          <w:spacing w:val="-17"/>
        </w:rPr>
        <w:t>正当要求。采取政策措施保障一定程度“可竞争性”条件的目的是防范</w:t>
      </w:r>
      <w:r>
        <w:rPr>
          <w:rFonts w:ascii="SimSun" w:hAnsi="SimSun" w:eastAsia="SimSun" w:cs="SimSun"/>
          <w:sz w:val="21"/>
          <w:szCs w:val="21"/>
          <w:spacing w:val="3"/>
        </w:rPr>
        <w:t xml:space="preserve">  </w:t>
      </w:r>
      <w:r>
        <w:rPr>
          <w:rFonts w:ascii="SimSun" w:hAnsi="SimSun" w:eastAsia="SimSun" w:cs="SimSun"/>
          <w:sz w:val="21"/>
          <w:szCs w:val="21"/>
          <w:spacing w:val="-18"/>
        </w:rPr>
        <w:t>出现垄断行为，而不是盲目地追求平台之间的绝对平等。</w:t>
      </w:r>
    </w:p>
    <w:p>
      <w:pPr>
        <w:ind w:right="59" w:firstLine="410"/>
        <w:spacing w:before="96" w:line="308" w:lineRule="auto"/>
        <w:jc w:val="both"/>
        <w:rPr>
          <w:rFonts w:ascii="SimSun" w:hAnsi="SimSun" w:eastAsia="SimSun" w:cs="SimSun"/>
          <w:sz w:val="21"/>
          <w:szCs w:val="21"/>
        </w:rPr>
      </w:pPr>
      <w:r>
        <w:rPr>
          <w:rFonts w:ascii="SimSun" w:hAnsi="SimSun" w:eastAsia="SimSun" w:cs="SimSun"/>
          <w:sz w:val="21"/>
          <w:szCs w:val="21"/>
          <w:spacing w:val="-15"/>
        </w:rPr>
        <w:t>我国的平台经济领域还有一个现象值得关注。</w:t>
      </w:r>
      <w:r>
        <w:rPr>
          <w:rFonts w:ascii="SimSun" w:hAnsi="SimSun" w:eastAsia="SimSun" w:cs="SimSun"/>
          <w:sz w:val="21"/>
          <w:szCs w:val="21"/>
          <w:spacing w:val="35"/>
        </w:rPr>
        <w:t xml:space="preserve"> </w:t>
      </w:r>
      <w:r>
        <w:rPr>
          <w:rFonts w:ascii="SimSun" w:hAnsi="SimSun" w:eastAsia="SimSun" w:cs="SimSun"/>
          <w:sz w:val="21"/>
          <w:szCs w:val="21"/>
          <w:spacing w:val="-15"/>
        </w:rPr>
        <w:t>一方面</w:t>
      </w:r>
      <w:r>
        <w:rPr>
          <w:rFonts w:ascii="SimSun" w:hAnsi="SimSun" w:eastAsia="SimSun" w:cs="SimSun"/>
          <w:sz w:val="21"/>
          <w:szCs w:val="21"/>
          <w:spacing w:val="-16"/>
        </w:rPr>
        <w:t>，平台企业</w:t>
      </w:r>
      <w:r>
        <w:rPr>
          <w:rFonts w:ascii="SimSun" w:hAnsi="SimSun" w:eastAsia="SimSun" w:cs="SimSun"/>
          <w:sz w:val="21"/>
          <w:szCs w:val="21"/>
        </w:rPr>
        <w:t xml:space="preserve"> </w:t>
      </w:r>
      <w:r>
        <w:rPr>
          <w:rFonts w:ascii="SimSun" w:hAnsi="SimSun" w:eastAsia="SimSun" w:cs="SimSun"/>
          <w:sz w:val="21"/>
          <w:szCs w:val="21"/>
          <w:spacing w:val="-10"/>
        </w:rPr>
        <w:t>积极利用范围经济的优势，使得充分竞争与规</w:t>
      </w:r>
      <w:r>
        <w:rPr>
          <w:rFonts w:ascii="SimSun" w:hAnsi="SimSun" w:eastAsia="SimSun" w:cs="SimSun"/>
          <w:sz w:val="21"/>
          <w:szCs w:val="21"/>
          <w:spacing w:val="-11"/>
        </w:rPr>
        <w:t>模经济在一定程度上实 </w:t>
      </w:r>
      <w:r>
        <w:rPr>
          <w:rFonts w:ascii="SimSun" w:hAnsi="SimSun" w:eastAsia="SimSun" w:cs="SimSun"/>
          <w:sz w:val="21"/>
          <w:szCs w:val="21"/>
          <w:spacing w:val="-10"/>
        </w:rPr>
        <w:t>现共存，保证了大多数行业较高的竞争程度。另一方面，几乎所有在</w:t>
      </w:r>
      <w:r>
        <w:rPr>
          <w:rFonts w:ascii="SimSun" w:hAnsi="SimSun" w:eastAsia="SimSun" w:cs="SimSun"/>
          <w:sz w:val="21"/>
          <w:szCs w:val="21"/>
          <w:spacing w:val="10"/>
        </w:rPr>
        <w:t xml:space="preserve"> </w:t>
      </w:r>
      <w:r>
        <w:rPr>
          <w:rFonts w:ascii="SimSun" w:hAnsi="SimSun" w:eastAsia="SimSun" w:cs="SimSun"/>
          <w:sz w:val="21"/>
          <w:szCs w:val="21"/>
          <w:spacing w:val="-10"/>
        </w:rPr>
        <w:t>细分行业能够排得上号的平台，都与几家头部</w:t>
      </w:r>
      <w:r>
        <w:rPr>
          <w:rFonts w:ascii="SimSun" w:hAnsi="SimSun" w:eastAsia="SimSun" w:cs="SimSun"/>
          <w:sz w:val="21"/>
          <w:szCs w:val="21"/>
          <w:spacing w:val="-11"/>
        </w:rPr>
        <w:t>平台有直接或间接的关 </w:t>
      </w:r>
      <w:r>
        <w:rPr>
          <w:rFonts w:ascii="SimSun" w:hAnsi="SimSun" w:eastAsia="SimSun" w:cs="SimSun"/>
          <w:sz w:val="21"/>
          <w:szCs w:val="21"/>
          <w:spacing w:val="-8"/>
        </w:rPr>
        <w:t>系。比如：在电商领域，拼多多和京东都与腾讯有关；在视频领域，</w:t>
      </w:r>
      <w:r>
        <w:rPr>
          <w:rFonts w:ascii="SimSun" w:hAnsi="SimSun" w:eastAsia="SimSun" w:cs="SimSun"/>
          <w:sz w:val="21"/>
          <w:szCs w:val="21"/>
          <w:spacing w:val="4"/>
        </w:rPr>
        <w:t xml:space="preserve"> </w:t>
      </w:r>
      <w:r>
        <w:rPr>
          <w:rFonts w:ascii="SimSun" w:hAnsi="SimSun" w:eastAsia="SimSun" w:cs="SimSun"/>
          <w:sz w:val="21"/>
          <w:szCs w:val="21"/>
          <w:spacing w:val="-10"/>
        </w:rPr>
        <w:t>有与百度有关的爱奇艺、与阿里巴巴有关的优酷和与腾讯有关的腾讯</w:t>
      </w:r>
      <w:r>
        <w:rPr>
          <w:rFonts w:ascii="SimSun" w:hAnsi="SimSun" w:eastAsia="SimSun" w:cs="SimSun"/>
          <w:sz w:val="21"/>
          <w:szCs w:val="21"/>
          <w:spacing w:val="8"/>
        </w:rPr>
        <w:t xml:space="preserve"> </w:t>
      </w:r>
      <w:r>
        <w:rPr>
          <w:rFonts w:ascii="SimSun" w:hAnsi="SimSun" w:eastAsia="SimSun" w:cs="SimSun"/>
          <w:sz w:val="21"/>
          <w:szCs w:val="21"/>
          <w:spacing w:val="-10"/>
        </w:rPr>
        <w:t>视频。也就是说，几乎在每一个细分领域，都</w:t>
      </w:r>
      <w:r>
        <w:rPr>
          <w:rFonts w:ascii="SimSun" w:hAnsi="SimSun" w:eastAsia="SimSun" w:cs="SimSun"/>
          <w:sz w:val="21"/>
          <w:szCs w:val="21"/>
          <w:spacing w:val="-11"/>
        </w:rPr>
        <w:t>是几家头部平台的代表 </w:t>
      </w:r>
      <w:r>
        <w:rPr>
          <w:rFonts w:ascii="SimSun" w:hAnsi="SimSun" w:eastAsia="SimSun" w:cs="SimSun"/>
          <w:sz w:val="21"/>
          <w:szCs w:val="21"/>
          <w:spacing w:val="-7"/>
        </w:rPr>
        <w:t>在相互竞争。这种状况对于市场的“可竞争性”意味着什么,值得进 </w:t>
      </w:r>
      <w:r>
        <w:rPr>
          <w:rFonts w:ascii="SimSun" w:hAnsi="SimSun" w:eastAsia="SimSun" w:cs="SimSun"/>
          <w:sz w:val="21"/>
          <w:szCs w:val="21"/>
          <w:spacing w:val="-10"/>
        </w:rPr>
        <w:t>一步分析与观察。起码有一个问题需要思考，</w:t>
      </w:r>
      <w:r>
        <w:rPr>
          <w:rFonts w:ascii="SimSun" w:hAnsi="SimSun" w:eastAsia="SimSun" w:cs="SimSun"/>
          <w:sz w:val="21"/>
          <w:szCs w:val="21"/>
          <w:spacing w:val="-11"/>
        </w:rPr>
        <w:t>就是如何防备少数几家 </w:t>
      </w:r>
      <w:r>
        <w:rPr>
          <w:rFonts w:ascii="SimSun" w:hAnsi="SimSun" w:eastAsia="SimSun" w:cs="SimSun"/>
          <w:sz w:val="21"/>
          <w:szCs w:val="21"/>
          <w:spacing w:val="-8"/>
        </w:rPr>
        <w:t>头部平台在许多细分行业实行共谋。目前看来，这个矛盾还不突出，</w:t>
      </w:r>
      <w:r>
        <w:rPr>
          <w:rFonts w:ascii="SimSun" w:hAnsi="SimSun" w:eastAsia="SimSun" w:cs="SimSun"/>
          <w:sz w:val="21"/>
          <w:szCs w:val="21"/>
          <w:spacing w:val="4"/>
        </w:rPr>
        <w:t xml:space="preserve"> </w:t>
      </w:r>
      <w:r>
        <w:rPr>
          <w:rFonts w:ascii="SimSun" w:hAnsi="SimSun" w:eastAsia="SimSun" w:cs="SimSun"/>
          <w:sz w:val="21"/>
          <w:szCs w:val="21"/>
          <w:spacing w:val="-11"/>
        </w:rPr>
        <w:t>但这肯定是监管部门需要关注的一个问题。</w:t>
      </w:r>
    </w:p>
    <w:p>
      <w:pPr>
        <w:spacing w:line="308" w:lineRule="auto"/>
        <w:sectPr>
          <w:headerReference w:type="default" r:id="rId64"/>
          <w:pgSz w:w="7330" w:h="12480"/>
          <w:pgMar w:top="808" w:right="584" w:bottom="400" w:left="619" w:header="630" w:footer="0" w:gutter="0"/>
        </w:sectPr>
        <w:rPr>
          <w:rFonts w:ascii="SimSun" w:hAnsi="SimSun" w:eastAsia="SimSun" w:cs="SimSun"/>
          <w:sz w:val="21"/>
          <w:szCs w:val="21"/>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26"/>
        </w:rPr>
        <w:t>对我国“强监管”政策的反思</w:t>
      </w:r>
    </w:p>
    <w:p>
      <w:pPr>
        <w:pStyle w:val="BodyText"/>
        <w:spacing w:line="349" w:lineRule="auto"/>
        <w:rPr/>
      </w:pPr>
      <w:r/>
    </w:p>
    <w:p>
      <w:pPr>
        <w:ind w:right="2" w:firstLine="450"/>
        <w:spacing w:before="69" w:line="301" w:lineRule="auto"/>
        <w:jc w:val="both"/>
        <w:rPr>
          <w:rFonts w:ascii="SimSun" w:hAnsi="SimSun" w:eastAsia="SimSun" w:cs="SimSun"/>
          <w:sz w:val="21"/>
          <w:szCs w:val="21"/>
        </w:rPr>
      </w:pPr>
      <w:r>
        <w:rPr>
          <w:rFonts w:ascii="SimSun" w:hAnsi="SimSun" w:eastAsia="SimSun" w:cs="SimSun"/>
          <w:sz w:val="21"/>
          <w:szCs w:val="21"/>
          <w:spacing w:val="-3"/>
        </w:rPr>
        <w:t>我国现行监管和反垄断制度作为经济法的组成部分，具有</w:t>
      </w:r>
      <w:r>
        <w:rPr>
          <w:rFonts w:ascii="SimSun" w:hAnsi="SimSun" w:eastAsia="SimSun" w:cs="SimSun"/>
          <w:sz w:val="21"/>
          <w:szCs w:val="21"/>
          <w:spacing w:val="-4"/>
        </w:rPr>
        <w:t>三个</w:t>
      </w:r>
      <w:r>
        <w:rPr>
          <w:rFonts w:ascii="SimSun" w:hAnsi="SimSun" w:eastAsia="SimSun" w:cs="SimSun"/>
          <w:sz w:val="21"/>
          <w:szCs w:val="21"/>
        </w:rPr>
        <w:t xml:space="preserve"> </w:t>
      </w:r>
      <w:r>
        <w:rPr>
          <w:rFonts w:ascii="SimSun" w:hAnsi="SimSun" w:eastAsia="SimSun" w:cs="SimSun"/>
          <w:sz w:val="21"/>
          <w:szCs w:val="21"/>
          <w:spacing w:val="-8"/>
        </w:rPr>
        <w:t>突出的特点。</w:t>
      </w:r>
      <w:r>
        <w:rPr>
          <w:rFonts w:ascii="SimSun" w:hAnsi="SimSun" w:eastAsia="SimSun" w:cs="SimSun"/>
          <w:sz w:val="21"/>
          <w:szCs w:val="21"/>
          <w:spacing w:val="40"/>
        </w:rPr>
        <w:t xml:space="preserve"> </w:t>
      </w:r>
      <w:r>
        <w:rPr>
          <w:rFonts w:ascii="SimSun" w:hAnsi="SimSun" w:eastAsia="SimSun" w:cs="SimSun"/>
          <w:sz w:val="21"/>
          <w:szCs w:val="21"/>
          <w:spacing w:val="-8"/>
        </w:rPr>
        <w:t>一是延续了19世纪60年代由美国确立并随着二</w:t>
      </w:r>
      <w:r>
        <w:rPr>
          <w:rFonts w:ascii="SimSun" w:hAnsi="SimSun" w:eastAsia="SimSun" w:cs="SimSun"/>
          <w:sz w:val="21"/>
          <w:szCs w:val="21"/>
          <w:spacing w:val="-9"/>
        </w:rPr>
        <w:t>战胜利</w:t>
      </w:r>
      <w:r>
        <w:rPr>
          <w:rFonts w:ascii="SimSun" w:hAnsi="SimSun" w:eastAsia="SimSun" w:cs="SimSun"/>
          <w:sz w:val="21"/>
          <w:szCs w:val="21"/>
        </w:rPr>
        <w:t xml:space="preserve"> </w:t>
      </w:r>
      <w:r>
        <w:rPr>
          <w:rFonts w:ascii="SimSun" w:hAnsi="SimSun" w:eastAsia="SimSun" w:cs="SimSun"/>
          <w:sz w:val="21"/>
          <w:szCs w:val="21"/>
          <w:spacing w:val="-11"/>
        </w:rPr>
        <w:t>而被各国普遍采用的方式，对涉及公共领域的问题实行经济监管，对</w:t>
      </w:r>
      <w:r>
        <w:rPr>
          <w:rFonts w:ascii="SimSun" w:hAnsi="SimSun" w:eastAsia="SimSun" w:cs="SimSun"/>
          <w:sz w:val="21"/>
          <w:szCs w:val="21"/>
          <w:spacing w:val="7"/>
        </w:rPr>
        <w:t xml:space="preserve"> </w:t>
      </w:r>
      <w:r>
        <w:rPr>
          <w:rFonts w:ascii="SimSun" w:hAnsi="SimSun" w:eastAsia="SimSun" w:cs="SimSun"/>
          <w:sz w:val="21"/>
          <w:szCs w:val="21"/>
          <w:spacing w:val="-11"/>
        </w:rPr>
        <w:t>涉及私人领域的问题采用反垄断，并且监管权限主要以产业链条进行</w:t>
      </w:r>
      <w:r>
        <w:rPr>
          <w:rFonts w:ascii="SimSun" w:hAnsi="SimSun" w:eastAsia="SimSun" w:cs="SimSun"/>
          <w:sz w:val="21"/>
          <w:szCs w:val="21"/>
          <w:spacing w:val="9"/>
        </w:rPr>
        <w:t xml:space="preserve"> </w:t>
      </w:r>
      <w:r>
        <w:rPr>
          <w:rFonts w:ascii="SimSun" w:hAnsi="SimSun" w:eastAsia="SimSun" w:cs="SimSun"/>
          <w:sz w:val="21"/>
          <w:szCs w:val="21"/>
          <w:spacing w:val="-11"/>
        </w:rPr>
        <w:t>划分。当然，我国在沿袭这一框架的基础上，也融入了一些自己的特</w:t>
      </w:r>
      <w:r>
        <w:rPr>
          <w:rFonts w:ascii="SimSun" w:hAnsi="SimSun" w:eastAsia="SimSun" w:cs="SimSun"/>
          <w:sz w:val="21"/>
          <w:szCs w:val="21"/>
          <w:spacing w:val="5"/>
        </w:rPr>
        <w:t xml:space="preserve"> </w:t>
      </w:r>
      <w:r>
        <w:rPr>
          <w:rFonts w:ascii="SimSun" w:hAnsi="SimSun" w:eastAsia="SimSun" w:cs="SimSun"/>
          <w:sz w:val="21"/>
          <w:szCs w:val="21"/>
          <w:spacing w:val="-11"/>
        </w:rPr>
        <w:t>色。二是我国从计划经济走向社会主义市场经济，在转轨过程中很多</w:t>
      </w:r>
      <w:r>
        <w:rPr>
          <w:rFonts w:ascii="SimSun" w:hAnsi="SimSun" w:eastAsia="SimSun" w:cs="SimSun"/>
          <w:sz w:val="21"/>
          <w:szCs w:val="21"/>
          <w:spacing w:val="17"/>
        </w:rPr>
        <w:t xml:space="preserve"> </w:t>
      </w:r>
      <w:r>
        <w:rPr>
          <w:rFonts w:ascii="SimSun" w:hAnsi="SimSun" w:eastAsia="SimSun" w:cs="SimSun"/>
          <w:sz w:val="21"/>
          <w:szCs w:val="21"/>
          <w:spacing w:val="-7"/>
        </w:rPr>
        <w:t>监管不断放松，多种监管模式层叠式存在，比如</w:t>
      </w:r>
      <w:r>
        <w:rPr>
          <w:rFonts w:ascii="SimSun" w:hAnsi="SimSun" w:eastAsia="SimSun" w:cs="SimSun"/>
          <w:sz w:val="21"/>
          <w:szCs w:val="21"/>
          <w:spacing w:val="-8"/>
        </w:rPr>
        <w:t>既有产业监管(交通</w:t>
      </w:r>
      <w:r>
        <w:rPr>
          <w:rFonts w:ascii="SimSun" w:hAnsi="SimSun" w:eastAsia="SimSun" w:cs="SimSun"/>
          <w:sz w:val="21"/>
          <w:szCs w:val="21"/>
        </w:rPr>
        <w:t xml:space="preserve"> </w:t>
      </w:r>
      <w:r>
        <w:rPr>
          <w:rFonts w:ascii="SimSun" w:hAnsi="SimSun" w:eastAsia="SimSun" w:cs="SimSun"/>
          <w:sz w:val="21"/>
          <w:szCs w:val="21"/>
          <w:spacing w:val="4"/>
        </w:rPr>
        <w:t>运输部、工信部、人民银行等),又有重大投资监管(发改委)和一</w:t>
      </w:r>
      <w:r>
        <w:rPr>
          <w:rFonts w:ascii="SimSun" w:hAnsi="SimSun" w:eastAsia="SimSun" w:cs="SimSun"/>
          <w:sz w:val="21"/>
          <w:szCs w:val="21"/>
          <w:spacing w:val="10"/>
        </w:rPr>
        <w:t xml:space="preserve"> </w:t>
      </w:r>
      <w:r>
        <w:rPr>
          <w:rFonts w:ascii="SimSun" w:hAnsi="SimSun" w:eastAsia="SimSun" w:cs="SimSun"/>
          <w:sz w:val="21"/>
          <w:szCs w:val="21"/>
          <w:spacing w:val="3"/>
        </w:rPr>
        <w:t>般市场监管(市场监督管理总局)。三是从2004年施行《行政许可</w:t>
      </w:r>
      <w:r>
        <w:rPr>
          <w:rFonts w:ascii="SimSun" w:hAnsi="SimSun" w:eastAsia="SimSun" w:cs="SimSun"/>
          <w:sz w:val="21"/>
          <w:szCs w:val="21"/>
          <w:spacing w:val="4"/>
        </w:rPr>
        <w:t xml:space="preserve"> </w:t>
      </w:r>
      <w:r>
        <w:rPr>
          <w:rFonts w:ascii="SimSun" w:hAnsi="SimSun" w:eastAsia="SimSun" w:cs="SimSun"/>
          <w:sz w:val="21"/>
          <w:szCs w:val="21"/>
          <w:spacing w:val="-14"/>
        </w:rPr>
        <w:t>法》以后，行政法强调控权、“放管服”,带有很强的行政色彩，和经</w:t>
      </w:r>
      <w:r>
        <w:rPr>
          <w:rFonts w:ascii="SimSun" w:hAnsi="SimSun" w:eastAsia="SimSun" w:cs="SimSun"/>
          <w:sz w:val="21"/>
          <w:szCs w:val="21"/>
          <w:spacing w:val="6"/>
        </w:rPr>
        <w:t xml:space="preserve"> </w:t>
      </w:r>
      <w:r>
        <w:rPr>
          <w:rFonts w:ascii="SimSun" w:hAnsi="SimSun" w:eastAsia="SimSun" w:cs="SimSun"/>
          <w:sz w:val="21"/>
          <w:szCs w:val="21"/>
          <w:spacing w:val="-11"/>
        </w:rPr>
        <w:t>济法中要求的经济监管、注重市场、注重效果还存在一定的差距。但</w:t>
      </w:r>
      <w:r>
        <w:rPr>
          <w:rFonts w:ascii="SimSun" w:hAnsi="SimSun" w:eastAsia="SimSun" w:cs="SimSun"/>
          <w:sz w:val="21"/>
          <w:szCs w:val="21"/>
          <w:spacing w:val="7"/>
        </w:rPr>
        <w:t xml:space="preserve"> </w:t>
      </w:r>
      <w:r>
        <w:rPr>
          <w:rFonts w:ascii="SimSun" w:hAnsi="SimSun" w:eastAsia="SimSun" w:cs="SimSun"/>
          <w:sz w:val="21"/>
          <w:szCs w:val="21"/>
          <w:spacing w:val="-11"/>
        </w:rPr>
        <w:t>是平台的网络外部性、双边或者多边市场、跨界经营等模糊了公私界</w:t>
      </w:r>
      <w:r>
        <w:rPr>
          <w:rFonts w:ascii="SimSun" w:hAnsi="SimSun" w:eastAsia="SimSun" w:cs="SimSun"/>
          <w:sz w:val="21"/>
          <w:szCs w:val="21"/>
          <w:spacing w:val="7"/>
        </w:rPr>
        <w:t xml:space="preserve"> </w:t>
      </w:r>
      <w:r>
        <w:rPr>
          <w:rFonts w:ascii="SimSun" w:hAnsi="SimSun" w:eastAsia="SimSun" w:cs="SimSun"/>
          <w:sz w:val="21"/>
          <w:szCs w:val="21"/>
          <w:spacing w:val="-7"/>
        </w:rPr>
        <w:t>限、产业划分以及经济/社会的划分，从而对现有的监管体系构成了</w:t>
      </w:r>
    </w:p>
    <w:p>
      <w:pPr>
        <w:spacing w:before="220" w:line="219" w:lineRule="auto"/>
        <w:rPr>
          <w:rFonts w:ascii="SimSun" w:hAnsi="SimSun" w:eastAsia="SimSun" w:cs="SimSun"/>
          <w:sz w:val="21"/>
          <w:szCs w:val="21"/>
        </w:rPr>
      </w:pPr>
      <w:r>
        <w:rPr>
          <w:rFonts w:ascii="SimSun" w:hAnsi="SimSun" w:eastAsia="SimSun" w:cs="SimSun"/>
          <w:sz w:val="21"/>
          <w:szCs w:val="21"/>
          <w:spacing w:val="-2"/>
        </w:rPr>
        <w:t>挑战和冲突(详见第十一章)。</w:t>
      </w:r>
    </w:p>
    <w:p>
      <w:pPr>
        <w:ind w:firstLine="450"/>
        <w:spacing w:before="120" w:line="299" w:lineRule="auto"/>
        <w:jc w:val="both"/>
        <w:rPr>
          <w:rFonts w:ascii="SimSun" w:hAnsi="SimSun" w:eastAsia="SimSun" w:cs="SimSun"/>
          <w:sz w:val="21"/>
          <w:szCs w:val="21"/>
        </w:rPr>
      </w:pPr>
      <w:r>
        <w:rPr>
          <w:rFonts w:ascii="SimSun" w:hAnsi="SimSun" w:eastAsia="SimSun" w:cs="SimSun"/>
          <w:sz w:val="21"/>
          <w:szCs w:val="21"/>
          <w:spacing w:val="-3"/>
        </w:rPr>
        <w:t>2021年以来实行的“强监管”的核心是“加强反垄断执法，防</w:t>
      </w:r>
      <w:r>
        <w:rPr>
          <w:rFonts w:ascii="SimSun" w:hAnsi="SimSun" w:eastAsia="SimSun" w:cs="SimSun"/>
          <w:sz w:val="21"/>
          <w:szCs w:val="21"/>
          <w:spacing w:val="7"/>
        </w:rPr>
        <w:t xml:space="preserve"> </w:t>
      </w:r>
      <w:r>
        <w:rPr>
          <w:rFonts w:ascii="SimSun" w:hAnsi="SimSun" w:eastAsia="SimSun" w:cs="SimSun"/>
          <w:sz w:val="21"/>
          <w:szCs w:val="21"/>
          <w:spacing w:val="-11"/>
        </w:rPr>
        <w:t>止资本无序扩张”。其中，加强反垄断执法是非常清晰的，而防止资</w:t>
      </w:r>
      <w:r>
        <w:rPr>
          <w:rFonts w:ascii="SimSun" w:hAnsi="SimSun" w:eastAsia="SimSun" w:cs="SimSun"/>
          <w:sz w:val="21"/>
          <w:szCs w:val="21"/>
          <w:spacing w:val="13"/>
        </w:rPr>
        <w:t xml:space="preserve"> </w:t>
      </w:r>
      <w:r>
        <w:rPr>
          <w:rFonts w:ascii="SimSun" w:hAnsi="SimSun" w:eastAsia="SimSun" w:cs="SimSun"/>
          <w:sz w:val="21"/>
          <w:szCs w:val="21"/>
          <w:spacing w:val="-3"/>
        </w:rPr>
        <w:t>本无序扩张则并不一定限于反垄断，涵盖的范围相对广</w:t>
      </w:r>
      <w:r>
        <w:rPr>
          <w:rFonts w:ascii="SimSun" w:hAnsi="SimSun" w:eastAsia="SimSun" w:cs="SimSun"/>
          <w:sz w:val="21"/>
          <w:szCs w:val="21"/>
          <w:spacing w:val="-4"/>
        </w:rPr>
        <w:t>泛。自2021</w:t>
      </w:r>
      <w:r>
        <w:rPr>
          <w:rFonts w:ascii="SimSun" w:hAnsi="SimSun" w:eastAsia="SimSun" w:cs="SimSun"/>
          <w:sz w:val="21"/>
          <w:szCs w:val="21"/>
        </w:rPr>
        <w:t xml:space="preserve"> </w:t>
      </w:r>
      <w:r>
        <w:rPr>
          <w:rFonts w:ascii="SimSun" w:hAnsi="SimSun" w:eastAsia="SimSun" w:cs="SimSun"/>
          <w:sz w:val="21"/>
          <w:szCs w:val="21"/>
          <w:spacing w:val="-11"/>
        </w:rPr>
        <w:t>年中以来，监管部门针对平台经济中的大型科技公司加强了执法，增</w:t>
      </w:r>
      <w:r>
        <w:rPr>
          <w:rFonts w:ascii="SimSun" w:hAnsi="SimSun" w:eastAsia="SimSun" w:cs="SimSun"/>
          <w:sz w:val="21"/>
          <w:szCs w:val="21"/>
          <w:spacing w:val="15"/>
        </w:rPr>
        <w:t xml:space="preserve"> </w:t>
      </w:r>
      <w:r>
        <w:rPr>
          <w:rFonts w:ascii="SimSun" w:hAnsi="SimSun" w:eastAsia="SimSun" w:cs="SimSun"/>
          <w:sz w:val="21"/>
          <w:szCs w:val="21"/>
          <w:spacing w:val="-11"/>
        </w:rPr>
        <w:t>加了处罚。反垄断举措应该是在《反垄断法》框架下的执法，</w:t>
      </w:r>
      <w:r>
        <w:rPr>
          <w:rFonts w:ascii="SimSun" w:hAnsi="SimSun" w:eastAsia="SimSun" w:cs="SimSun"/>
          <w:sz w:val="21"/>
          <w:szCs w:val="21"/>
          <w:spacing w:val="-12"/>
        </w:rPr>
        <w:t>需要符 </w:t>
      </w:r>
      <w:r>
        <w:rPr>
          <w:rFonts w:ascii="SimSun" w:hAnsi="SimSun" w:eastAsia="SimSun" w:cs="SimSun"/>
          <w:sz w:val="21"/>
          <w:szCs w:val="21"/>
          <w:spacing w:val="-11"/>
        </w:rPr>
        <w:t>合法律对执法目标、机制和责任的规定。但从目前的情况看，</w:t>
      </w:r>
      <w:r>
        <w:rPr>
          <w:rFonts w:ascii="SimSun" w:hAnsi="SimSun" w:eastAsia="SimSun" w:cs="SimSun"/>
          <w:sz w:val="21"/>
          <w:szCs w:val="21"/>
          <w:spacing w:val="-12"/>
        </w:rPr>
        <w:t>各个监 </w:t>
      </w:r>
      <w:r>
        <w:rPr>
          <w:rFonts w:ascii="SimSun" w:hAnsi="SimSun" w:eastAsia="SimSun" w:cs="SimSun"/>
          <w:sz w:val="21"/>
          <w:szCs w:val="21"/>
          <w:spacing w:val="-11"/>
        </w:rPr>
        <w:t>管机关存在明显的“监管竞争”现象，而且都在“反垄断”的名义下</w:t>
      </w:r>
      <w:r>
        <w:rPr>
          <w:rFonts w:ascii="SimSun" w:hAnsi="SimSun" w:eastAsia="SimSun" w:cs="SimSun"/>
          <w:sz w:val="21"/>
          <w:szCs w:val="21"/>
          <w:spacing w:val="12"/>
        </w:rPr>
        <w:t xml:space="preserve"> </w:t>
      </w:r>
      <w:r>
        <w:rPr>
          <w:rFonts w:ascii="SimSun" w:hAnsi="SimSun" w:eastAsia="SimSun" w:cs="SimSun"/>
          <w:sz w:val="21"/>
          <w:szCs w:val="21"/>
          <w:spacing w:val="-4"/>
        </w:rPr>
        <w:t>采取各种措施，无论是监管部门还是反垄断机构都在积极地采取行</w:t>
      </w:r>
      <w:r>
        <w:rPr>
          <w:rFonts w:ascii="SimSun" w:hAnsi="SimSun" w:eastAsia="SimSun" w:cs="SimSun"/>
          <w:sz w:val="21"/>
          <w:szCs w:val="21"/>
          <w:spacing w:val="5"/>
        </w:rPr>
        <w:t xml:space="preserve"> </w:t>
      </w:r>
      <w:r>
        <w:rPr>
          <w:rFonts w:ascii="SimSun" w:hAnsi="SimSun" w:eastAsia="SimSun" w:cs="SimSun"/>
          <w:sz w:val="21"/>
          <w:szCs w:val="21"/>
          <w:spacing w:val="-11"/>
        </w:rPr>
        <w:t>动，从行政立法到执法，从行政处罚到进驻企业整顿，还有很</w:t>
      </w:r>
      <w:r>
        <w:rPr>
          <w:rFonts w:ascii="SimSun" w:hAnsi="SimSun" w:eastAsia="SimSun" w:cs="SimSun"/>
          <w:sz w:val="21"/>
          <w:szCs w:val="21"/>
          <w:spacing w:val="-12"/>
        </w:rPr>
        <w:t>多联合 </w:t>
      </w:r>
      <w:r>
        <w:rPr>
          <w:rFonts w:ascii="SimSun" w:hAnsi="SimSun" w:eastAsia="SimSun" w:cs="SimSun"/>
          <w:sz w:val="21"/>
          <w:szCs w:val="21"/>
          <w:spacing w:val="-7"/>
        </w:rPr>
        <w:t>执法行动。</w:t>
      </w:r>
    </w:p>
    <w:p>
      <w:pPr>
        <w:spacing w:before="209" w:line="219" w:lineRule="auto"/>
        <w:jc w:val="right"/>
        <w:rPr>
          <w:rFonts w:ascii="SimSun" w:hAnsi="SimSun" w:eastAsia="SimSun" w:cs="SimSun"/>
          <w:sz w:val="21"/>
          <w:szCs w:val="21"/>
        </w:rPr>
      </w:pPr>
      <w:r>
        <w:rPr>
          <w:rFonts w:ascii="SimSun" w:hAnsi="SimSun" w:eastAsia="SimSun" w:cs="SimSun"/>
          <w:sz w:val="21"/>
          <w:szCs w:val="21"/>
          <w:spacing w:val="-12"/>
        </w:rPr>
        <w:t>以</w:t>
      </w:r>
      <w:r>
        <w:rPr>
          <w:rFonts w:ascii="SimSun" w:hAnsi="SimSun" w:eastAsia="SimSun" w:cs="SimSun"/>
          <w:sz w:val="21"/>
          <w:szCs w:val="21"/>
          <w:spacing w:val="-11"/>
        </w:rPr>
        <w:t>反垄断为目标的高调监管借用了经济监管的名义，实际上采</w:t>
      </w:r>
      <w:r>
        <w:rPr>
          <w:rFonts w:ascii="SimSun" w:hAnsi="SimSun" w:eastAsia="SimSun" w:cs="SimSun"/>
          <w:sz w:val="21"/>
          <w:szCs w:val="21"/>
          <w:spacing w:val="-10"/>
        </w:rPr>
        <w:t>取</w:t>
      </w:r>
    </w:p>
    <w:p>
      <w:pPr>
        <w:spacing w:line="219" w:lineRule="auto"/>
        <w:sectPr>
          <w:headerReference w:type="default" r:id="rId65"/>
          <w:pgSz w:w="7330" w:h="12480"/>
          <w:pgMar w:top="519" w:right="528" w:bottom="400" w:left="759" w:header="355" w:footer="0" w:gutter="0"/>
        </w:sectPr>
        <w:rPr>
          <w:rFonts w:ascii="SimSun" w:hAnsi="SimSun" w:eastAsia="SimSun" w:cs="SimSun"/>
          <w:sz w:val="21"/>
          <w:szCs w:val="21"/>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312" w:lineRule="auto"/>
        <w:jc w:val="both"/>
        <w:rPr>
          <w:rFonts w:ascii="SimSun" w:hAnsi="SimSun" w:eastAsia="SimSun" w:cs="SimSun"/>
          <w:sz w:val="21"/>
          <w:szCs w:val="21"/>
        </w:rPr>
      </w:pPr>
      <w:r>
        <w:rPr>
          <w:rFonts w:ascii="SimSun" w:hAnsi="SimSun" w:eastAsia="SimSun" w:cs="SimSun"/>
          <w:sz w:val="21"/>
          <w:szCs w:val="21"/>
          <w:spacing w:val="-4"/>
        </w:rPr>
        <w:t>的却是各种行政监管手段。这种不对称的局面造成了2021年的行政 </w:t>
      </w:r>
      <w:r>
        <w:rPr>
          <w:rFonts w:ascii="SimSun" w:hAnsi="SimSun" w:eastAsia="SimSun" w:cs="SimSun"/>
          <w:sz w:val="21"/>
          <w:szCs w:val="21"/>
          <w:spacing w:val="-11"/>
        </w:rPr>
        <w:t>监管仍然主要是对原来的市场准入、行为要求和退出方面的标准进行 </w:t>
      </w:r>
      <w:r>
        <w:rPr>
          <w:rFonts w:ascii="SimSun" w:hAnsi="SimSun" w:eastAsia="SimSun" w:cs="SimSun"/>
          <w:sz w:val="21"/>
          <w:szCs w:val="21"/>
          <w:spacing w:val="-11"/>
        </w:rPr>
        <w:t>调整，以往不断提高市场准入门槛、限制企业行为而忽略退出机制造 </w:t>
      </w:r>
      <w:r>
        <w:rPr>
          <w:rFonts w:ascii="SimSun" w:hAnsi="SimSun" w:eastAsia="SimSun" w:cs="SimSun"/>
          <w:sz w:val="21"/>
          <w:szCs w:val="21"/>
          <w:spacing w:val="-16"/>
        </w:rPr>
        <w:t>成的弊端也持续存在。从理论上来说，</w:t>
      </w:r>
      <w:r>
        <w:rPr>
          <w:rFonts w:ascii="SimSun" w:hAnsi="SimSun" w:eastAsia="SimSun" w:cs="SimSun"/>
          <w:sz w:val="21"/>
          <w:szCs w:val="21"/>
          <w:spacing w:val="60"/>
        </w:rPr>
        <w:t xml:space="preserve"> </w:t>
      </w:r>
      <w:r>
        <w:rPr>
          <w:rFonts w:ascii="SimSun" w:hAnsi="SimSun" w:eastAsia="SimSun" w:cs="SimSun"/>
          <w:sz w:val="21"/>
          <w:szCs w:val="21"/>
          <w:spacing w:val="-16"/>
        </w:rPr>
        <w:t>一些监管部门总是以“公平竞 </w:t>
      </w:r>
      <w:r>
        <w:rPr>
          <w:rFonts w:ascii="SimSun" w:hAnsi="SimSun" w:eastAsia="SimSun" w:cs="SimSun"/>
          <w:sz w:val="21"/>
          <w:szCs w:val="21"/>
          <w:spacing w:val="-11"/>
        </w:rPr>
        <w:t>争”“消费者权利保护”等作为目标，但其监管实践往往忽略了市场 </w:t>
      </w:r>
      <w:r>
        <w:rPr>
          <w:rFonts w:ascii="SimSun" w:hAnsi="SimSun" w:eastAsia="SimSun" w:cs="SimSun"/>
          <w:sz w:val="21"/>
          <w:szCs w:val="21"/>
          <w:spacing w:val="-11"/>
        </w:rPr>
        <w:t>本身的作用，也忽略了对经济学一般原理的运用。这可能是因为行政 </w:t>
      </w:r>
      <w:r>
        <w:rPr>
          <w:rFonts w:ascii="SimSun" w:hAnsi="SimSun" w:eastAsia="SimSun" w:cs="SimSun"/>
          <w:sz w:val="21"/>
          <w:szCs w:val="21"/>
          <w:spacing w:val="-11"/>
        </w:rPr>
        <w:t>监管主要关心市场准入的升降、损益，而不关心监管效果或者市场状 </w:t>
      </w:r>
      <w:r>
        <w:rPr>
          <w:rFonts w:ascii="SimSun" w:hAnsi="SimSun" w:eastAsia="SimSun" w:cs="SimSun"/>
          <w:sz w:val="21"/>
          <w:szCs w:val="21"/>
          <w:spacing w:val="-11"/>
        </w:rPr>
        <w:t>态，特别是市场竞争动态。其中一个典型的例子是七部门联合约谈网 </w:t>
      </w:r>
      <w:r>
        <w:rPr>
          <w:rFonts w:ascii="SimSun" w:hAnsi="SimSun" w:eastAsia="SimSun" w:cs="SimSun"/>
          <w:sz w:val="21"/>
          <w:szCs w:val="21"/>
          <w:spacing w:val="-11"/>
        </w:rPr>
        <w:t>约车平台，根据媒体的报道，会议对网约车平台提出了一些要求，主 </w:t>
      </w:r>
      <w:r>
        <w:rPr>
          <w:rFonts w:ascii="SimSun" w:hAnsi="SimSun" w:eastAsia="SimSun" w:cs="SimSun"/>
          <w:sz w:val="21"/>
          <w:szCs w:val="21"/>
          <w:spacing w:val="-11"/>
        </w:rPr>
        <w:t>要是“合规”要求，但会议采用的主题是“公平竞争”。当时的实际 </w:t>
      </w:r>
      <w:r>
        <w:rPr>
          <w:rFonts w:ascii="SimSun" w:hAnsi="SimSun" w:eastAsia="SimSun" w:cs="SimSun"/>
          <w:sz w:val="21"/>
          <w:szCs w:val="21"/>
          <w:spacing w:val="-11"/>
        </w:rPr>
        <w:t>背景是滴滴出行因为赴美上市违反信息安全要求而受到监管，而其他 </w:t>
      </w:r>
      <w:r>
        <w:rPr>
          <w:rFonts w:ascii="SimSun" w:hAnsi="SimSun" w:eastAsia="SimSun" w:cs="SimSun"/>
          <w:sz w:val="21"/>
          <w:szCs w:val="21"/>
          <w:spacing w:val="-9"/>
        </w:rPr>
        <w:t>网约车平台在滴滴</w:t>
      </w:r>
      <w:r>
        <w:rPr>
          <w:rFonts w:ascii="Times New Roman" w:hAnsi="Times New Roman" w:eastAsia="Times New Roman" w:cs="Times New Roman"/>
          <w:sz w:val="21"/>
          <w:szCs w:val="21"/>
          <w:spacing w:val="-9"/>
        </w:rPr>
        <w:t>App</w:t>
      </w:r>
      <w:r>
        <w:rPr>
          <w:rFonts w:ascii="SimSun" w:hAnsi="SimSun" w:eastAsia="SimSun" w:cs="SimSun"/>
          <w:sz w:val="21"/>
          <w:szCs w:val="21"/>
          <w:spacing w:val="-9"/>
        </w:rPr>
        <w:t>下架的情况下，采用了与滴滴很多年前扩张市 </w:t>
      </w:r>
      <w:r>
        <w:rPr>
          <w:rFonts w:ascii="SimSun" w:hAnsi="SimSun" w:eastAsia="SimSun" w:cs="SimSun"/>
          <w:sz w:val="21"/>
          <w:szCs w:val="21"/>
          <w:spacing w:val="-8"/>
        </w:rPr>
        <w:t>场类似的方法去抢夺市场。在合规的情况下，竞争环境</w:t>
      </w:r>
      <w:r>
        <w:rPr>
          <w:rFonts w:ascii="SimSun" w:hAnsi="SimSun" w:eastAsia="SimSun" w:cs="SimSun"/>
          <w:sz w:val="21"/>
          <w:szCs w:val="21"/>
          <w:spacing w:val="-9"/>
        </w:rPr>
        <w:t>发生了变化，</w:t>
      </w:r>
      <w:r>
        <w:rPr>
          <w:rFonts w:ascii="SimSun" w:hAnsi="SimSun" w:eastAsia="SimSun" w:cs="SimSun"/>
          <w:sz w:val="21"/>
          <w:szCs w:val="21"/>
        </w:rPr>
        <w:t xml:space="preserve"> </w:t>
      </w:r>
      <w:r>
        <w:rPr>
          <w:rFonts w:ascii="SimSun" w:hAnsi="SimSun" w:eastAsia="SimSun" w:cs="SimSun"/>
          <w:sz w:val="21"/>
          <w:szCs w:val="21"/>
          <w:spacing w:val="-11"/>
        </w:rPr>
        <w:t>所有人都有权参与竞争，但这么明显地对滴滴出行的竞争对手主张合 </w:t>
      </w:r>
      <w:r>
        <w:rPr>
          <w:rFonts w:ascii="SimSun" w:hAnsi="SimSun" w:eastAsia="SimSun" w:cs="SimSun"/>
          <w:sz w:val="21"/>
          <w:szCs w:val="21"/>
          <w:spacing w:val="-7"/>
        </w:rPr>
        <w:t>规之外的“公平竞争”,会造成名义上维护公平竞</w:t>
      </w:r>
      <w:r>
        <w:rPr>
          <w:rFonts w:ascii="SimSun" w:hAnsi="SimSun" w:eastAsia="SimSun" w:cs="SimSun"/>
          <w:sz w:val="21"/>
          <w:szCs w:val="21"/>
          <w:spacing w:val="-8"/>
        </w:rPr>
        <w:t>争，但实际上却维 </w:t>
      </w:r>
      <w:r>
        <w:rPr>
          <w:rFonts w:ascii="SimSun" w:hAnsi="SimSun" w:eastAsia="SimSun" w:cs="SimSun"/>
          <w:sz w:val="21"/>
          <w:szCs w:val="21"/>
          <w:spacing w:val="-10"/>
        </w:rPr>
        <w:t>护甚至强化现有市场结构的效果。另一个例子是基于消</w:t>
      </w:r>
      <w:r>
        <w:rPr>
          <w:rFonts w:ascii="SimSun" w:hAnsi="SimSun" w:eastAsia="SimSun" w:cs="SimSun"/>
          <w:sz w:val="21"/>
          <w:szCs w:val="21"/>
          <w:spacing w:val="-11"/>
        </w:rPr>
        <w:t>费者权利，召</w:t>
      </w:r>
      <w:r>
        <w:rPr>
          <w:rFonts w:ascii="SimSun" w:hAnsi="SimSun" w:eastAsia="SimSun" w:cs="SimSun"/>
          <w:sz w:val="21"/>
          <w:szCs w:val="21"/>
        </w:rPr>
        <w:t xml:space="preserve"> </w:t>
      </w:r>
      <w:r>
        <w:rPr>
          <w:rFonts w:ascii="SimSun" w:hAnsi="SimSun" w:eastAsia="SimSun" w:cs="SimSun"/>
          <w:sz w:val="21"/>
          <w:szCs w:val="21"/>
          <w:spacing w:val="-7"/>
        </w:rPr>
        <w:t>开“屏蔽网址链接问题行政指导会”,要求平台实</w:t>
      </w:r>
      <w:r>
        <w:rPr>
          <w:rFonts w:ascii="SimSun" w:hAnsi="SimSun" w:eastAsia="SimSun" w:cs="SimSun"/>
          <w:sz w:val="21"/>
          <w:szCs w:val="21"/>
          <w:spacing w:val="-8"/>
        </w:rPr>
        <w:t>现所谓的“互联互 </w:t>
      </w:r>
      <w:r>
        <w:rPr>
          <w:rFonts w:ascii="SimSun" w:hAnsi="SimSun" w:eastAsia="SimSun" w:cs="SimSun"/>
          <w:sz w:val="21"/>
          <w:szCs w:val="21"/>
          <w:spacing w:val="-7"/>
        </w:rPr>
        <w:t>通”,但这种多一个操作步骤的动作并不属于法律</w:t>
      </w:r>
      <w:r>
        <w:rPr>
          <w:rFonts w:ascii="SimSun" w:hAnsi="SimSun" w:eastAsia="SimSun" w:cs="SimSun"/>
          <w:sz w:val="21"/>
          <w:szCs w:val="21"/>
          <w:spacing w:val="-8"/>
        </w:rPr>
        <w:t>上消费者权利的范 </w:t>
      </w:r>
      <w:r>
        <w:rPr>
          <w:rFonts w:ascii="SimSun" w:hAnsi="SimSun" w:eastAsia="SimSun" w:cs="SimSun"/>
          <w:sz w:val="21"/>
          <w:szCs w:val="21"/>
          <w:spacing w:val="-11"/>
        </w:rPr>
        <w:t>围，会议也没有要求其他企业之间实现“互联互通”。实际上，要求 </w:t>
      </w:r>
      <w:r>
        <w:rPr>
          <w:rFonts w:ascii="SimSun" w:hAnsi="SimSun" w:eastAsia="SimSun" w:cs="SimSun"/>
          <w:sz w:val="21"/>
          <w:szCs w:val="21"/>
          <w:spacing w:val="-11"/>
        </w:rPr>
        <w:t>高科技平台的头部公司互联互通，最大的可能是增强现有市场领先者 </w:t>
      </w:r>
      <w:r>
        <w:rPr>
          <w:rFonts w:ascii="SimSun" w:hAnsi="SimSun" w:eastAsia="SimSun" w:cs="SimSun"/>
          <w:sz w:val="21"/>
          <w:szCs w:val="21"/>
          <w:spacing w:val="-12"/>
        </w:rPr>
        <w:t>的优势，反而形成垄断的固化，而不是反垄断。</w:t>
      </w:r>
    </w:p>
    <w:p>
      <w:pPr>
        <w:ind w:right="35" w:firstLine="420"/>
        <w:spacing w:before="112" w:line="297" w:lineRule="auto"/>
        <w:jc w:val="both"/>
        <w:rPr>
          <w:rFonts w:ascii="SimSun" w:hAnsi="SimSun" w:eastAsia="SimSun" w:cs="SimSun"/>
          <w:sz w:val="21"/>
          <w:szCs w:val="21"/>
        </w:rPr>
      </w:pPr>
      <w:r>
        <w:rPr>
          <w:rFonts w:ascii="SimSun" w:hAnsi="SimSun" w:eastAsia="SimSun" w:cs="SimSun"/>
          <w:sz w:val="21"/>
          <w:szCs w:val="21"/>
          <w:spacing w:val="-10"/>
        </w:rPr>
        <w:t>反垄断的具体执法必须经过对市场结构、行为和效果的考察</w:t>
      </w:r>
      <w:r>
        <w:rPr>
          <w:rFonts w:ascii="SimSun" w:hAnsi="SimSun" w:eastAsia="SimSun" w:cs="SimSun"/>
          <w:sz w:val="21"/>
          <w:szCs w:val="21"/>
          <w:spacing w:val="-11"/>
        </w:rPr>
        <w:t>，关</w:t>
      </w:r>
      <w:r>
        <w:rPr>
          <w:rFonts w:ascii="SimSun" w:hAnsi="SimSun" w:eastAsia="SimSun" w:cs="SimSun"/>
          <w:sz w:val="21"/>
          <w:szCs w:val="21"/>
        </w:rPr>
        <w:t xml:space="preserve"> </w:t>
      </w:r>
      <w:r>
        <w:rPr>
          <w:rFonts w:ascii="SimSun" w:hAnsi="SimSun" w:eastAsia="SimSun" w:cs="SimSun"/>
          <w:sz w:val="21"/>
          <w:szCs w:val="21"/>
          <w:spacing w:val="-11"/>
        </w:rPr>
        <w:t>注竞争状态的恢复。当然，实际上是否能够达成这些效果，需要事后</w:t>
      </w:r>
      <w:r>
        <w:rPr>
          <w:rFonts w:ascii="SimSun" w:hAnsi="SimSun" w:eastAsia="SimSun" w:cs="SimSun"/>
          <w:sz w:val="21"/>
          <w:szCs w:val="21"/>
          <w:spacing w:val="13"/>
        </w:rPr>
        <w:t xml:space="preserve"> </w:t>
      </w:r>
      <w:r>
        <w:rPr>
          <w:rFonts w:ascii="SimSun" w:hAnsi="SimSun" w:eastAsia="SimSun" w:cs="SimSun"/>
          <w:sz w:val="21"/>
          <w:szCs w:val="21"/>
          <w:spacing w:val="-11"/>
        </w:rPr>
        <w:t>评估，目前国家反垄断局也在开展这项工作。比如对腾讯的处罚，直</w:t>
      </w:r>
      <w:r>
        <w:rPr>
          <w:rFonts w:ascii="SimSun" w:hAnsi="SimSun" w:eastAsia="SimSun" w:cs="SimSun"/>
          <w:sz w:val="21"/>
          <w:szCs w:val="21"/>
          <w:spacing w:val="8"/>
        </w:rPr>
        <w:t xml:space="preserve"> </w:t>
      </w:r>
      <w:r>
        <w:rPr>
          <w:rFonts w:ascii="SimSun" w:hAnsi="SimSun" w:eastAsia="SimSun" w:cs="SimSun"/>
          <w:sz w:val="21"/>
          <w:szCs w:val="21"/>
          <w:spacing w:val="-11"/>
        </w:rPr>
        <w:t>接要求其解除独家音乐版权协议，恢复市场竞争状态，这是一个很好</w:t>
      </w:r>
      <w:r>
        <w:rPr>
          <w:rFonts w:ascii="SimSun" w:hAnsi="SimSun" w:eastAsia="SimSun" w:cs="SimSun"/>
          <w:sz w:val="21"/>
          <w:szCs w:val="21"/>
          <w:spacing w:val="6"/>
        </w:rPr>
        <w:t xml:space="preserve"> </w:t>
      </w:r>
      <w:r>
        <w:rPr>
          <w:rFonts w:ascii="SimSun" w:hAnsi="SimSun" w:eastAsia="SimSun" w:cs="SimSun"/>
          <w:sz w:val="21"/>
          <w:szCs w:val="21"/>
          <w:spacing w:val="-11"/>
        </w:rPr>
        <w:t>的例子。</w:t>
      </w:r>
    </w:p>
    <w:p>
      <w:pPr>
        <w:ind w:right="16"/>
        <w:spacing w:before="107" w:line="219" w:lineRule="auto"/>
        <w:jc w:val="right"/>
        <w:rPr>
          <w:rFonts w:ascii="SimSun" w:hAnsi="SimSun" w:eastAsia="SimSun" w:cs="SimSun"/>
          <w:sz w:val="21"/>
          <w:szCs w:val="21"/>
        </w:rPr>
      </w:pPr>
      <w:r>
        <w:rPr>
          <w:rFonts w:ascii="SimSun" w:hAnsi="SimSun" w:eastAsia="SimSun" w:cs="SimSun"/>
          <w:sz w:val="21"/>
          <w:szCs w:val="21"/>
          <w:spacing w:val="-10"/>
        </w:rPr>
        <w:t>对平台经济行为一定要做深入细致的分析，而不能简单地搞一刀</w:t>
      </w:r>
    </w:p>
    <w:p>
      <w:pPr>
        <w:spacing w:line="219" w:lineRule="auto"/>
        <w:sectPr>
          <w:headerReference w:type="default" r:id="rId66"/>
          <w:pgSz w:w="7330" w:h="12480"/>
          <w:pgMar w:top="795" w:right="725" w:bottom="400" w:left="549" w:header="632"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right="20"/>
        <w:spacing w:before="68" w:line="307" w:lineRule="auto"/>
        <w:jc w:val="both"/>
        <w:rPr>
          <w:rFonts w:ascii="SimSun" w:hAnsi="SimSun" w:eastAsia="SimSun" w:cs="SimSun"/>
          <w:sz w:val="21"/>
          <w:szCs w:val="21"/>
        </w:rPr>
      </w:pPr>
      <w:r>
        <w:rPr>
          <w:rFonts w:ascii="SimSun" w:hAnsi="SimSun" w:eastAsia="SimSun" w:cs="SimSun"/>
          <w:sz w:val="21"/>
          <w:szCs w:val="21"/>
          <w:spacing w:val="-11"/>
        </w:rPr>
        <w:t>切式的判断。比如说，通常的看法是，“二选一”就是排他的垄断行</w:t>
      </w:r>
      <w:r>
        <w:rPr>
          <w:rFonts w:ascii="SimSun" w:hAnsi="SimSun" w:eastAsia="SimSun" w:cs="SimSun"/>
          <w:sz w:val="21"/>
          <w:szCs w:val="21"/>
          <w:spacing w:val="4"/>
        </w:rPr>
        <w:t xml:space="preserve">  </w:t>
      </w:r>
      <w:r>
        <w:rPr>
          <w:rFonts w:ascii="SimSun" w:hAnsi="SimSun" w:eastAsia="SimSun" w:cs="SimSun"/>
          <w:sz w:val="21"/>
          <w:szCs w:val="21"/>
          <w:spacing w:val="-11"/>
        </w:rPr>
        <w:t>为，因为不允许合作伙伴或者企业跟竞争对手做交易。市场监管总局</w:t>
      </w:r>
      <w:r>
        <w:rPr>
          <w:rFonts w:ascii="SimSun" w:hAnsi="SimSun" w:eastAsia="SimSun" w:cs="SimSun"/>
          <w:sz w:val="21"/>
          <w:szCs w:val="21"/>
          <w:spacing w:val="8"/>
        </w:rPr>
        <w:t xml:space="preserve">  </w:t>
      </w:r>
      <w:r>
        <w:rPr>
          <w:rFonts w:ascii="SimSun" w:hAnsi="SimSun" w:eastAsia="SimSun" w:cs="SimSun"/>
          <w:sz w:val="21"/>
          <w:szCs w:val="21"/>
          <w:spacing w:val="-4"/>
        </w:rPr>
        <w:t>也在2021年对阿里巴巴之前的“二选一”行为做了处罚。不过，正</w:t>
      </w:r>
      <w:r>
        <w:rPr>
          <w:rFonts w:ascii="SimSun" w:hAnsi="SimSun" w:eastAsia="SimSun" w:cs="SimSun"/>
          <w:sz w:val="21"/>
          <w:szCs w:val="21"/>
          <w:spacing w:val="7"/>
        </w:rPr>
        <w:t xml:space="preserve">  </w:t>
      </w:r>
      <w:r>
        <w:rPr>
          <w:rFonts w:ascii="SimSun" w:hAnsi="SimSun" w:eastAsia="SimSun" w:cs="SimSun"/>
          <w:sz w:val="21"/>
          <w:szCs w:val="21"/>
          <w:spacing w:val="-3"/>
        </w:rPr>
        <w:t>如《国务院反垄断委员会关于平台经济领域</w:t>
      </w:r>
      <w:r>
        <w:rPr>
          <w:rFonts w:ascii="SimSun" w:hAnsi="SimSun" w:eastAsia="SimSun" w:cs="SimSun"/>
          <w:sz w:val="21"/>
          <w:szCs w:val="21"/>
          <w:spacing w:val="-4"/>
        </w:rPr>
        <w:t>的反垄断指南》所指出 </w:t>
      </w:r>
      <w:r>
        <w:rPr>
          <w:rFonts w:ascii="SimSun" w:hAnsi="SimSun" w:eastAsia="SimSun" w:cs="SimSun"/>
          <w:sz w:val="21"/>
          <w:szCs w:val="21"/>
          <w:spacing w:val="-8"/>
        </w:rPr>
        <w:t>的，判断“二选一”是不是垄断行为，还要具体看其理由是否合理。</w:t>
      </w:r>
      <w:r>
        <w:rPr>
          <w:rFonts w:ascii="SimSun" w:hAnsi="SimSun" w:eastAsia="SimSun" w:cs="SimSun"/>
          <w:sz w:val="21"/>
          <w:szCs w:val="21"/>
          <w:spacing w:val="14"/>
        </w:rPr>
        <w:t xml:space="preserve"> </w:t>
      </w:r>
      <w:r>
        <w:rPr>
          <w:rFonts w:ascii="SimSun" w:hAnsi="SimSun" w:eastAsia="SimSun" w:cs="SimSun"/>
          <w:sz w:val="21"/>
          <w:szCs w:val="21"/>
          <w:spacing w:val="-11"/>
        </w:rPr>
        <w:t>纯粹利用特有的市场势力排除竞争对手，当然是垄断行为；但如果签</w:t>
      </w:r>
      <w:r>
        <w:rPr>
          <w:rFonts w:ascii="SimSun" w:hAnsi="SimSun" w:eastAsia="SimSun" w:cs="SimSun"/>
          <w:sz w:val="21"/>
          <w:szCs w:val="21"/>
          <w:spacing w:val="3"/>
        </w:rPr>
        <w:t xml:space="preserve">  </w:t>
      </w:r>
      <w:r>
        <w:rPr>
          <w:rFonts w:ascii="SimSun" w:hAnsi="SimSun" w:eastAsia="SimSun" w:cs="SimSun"/>
          <w:sz w:val="21"/>
          <w:szCs w:val="21"/>
          <w:spacing w:val="-11"/>
        </w:rPr>
        <w:t>约一方确实对业务有较大的投入，比如一个新产品或者新业务的区域</w:t>
      </w:r>
      <w:r>
        <w:rPr>
          <w:rFonts w:ascii="SimSun" w:hAnsi="SimSun" w:eastAsia="SimSun" w:cs="SimSun"/>
          <w:sz w:val="21"/>
          <w:szCs w:val="21"/>
          <w:spacing w:val="3"/>
        </w:rPr>
        <w:t xml:space="preserve">  </w:t>
      </w:r>
      <w:r>
        <w:rPr>
          <w:rFonts w:ascii="SimSun" w:hAnsi="SimSun" w:eastAsia="SimSun" w:cs="SimSun"/>
          <w:sz w:val="21"/>
          <w:szCs w:val="21"/>
          <w:spacing w:val="-11"/>
        </w:rPr>
        <w:t>性代理需要投入很多的财力、物力、精力去开拓市场，提升产品的接</w:t>
      </w:r>
      <w:r>
        <w:rPr>
          <w:rFonts w:ascii="SimSun" w:hAnsi="SimSun" w:eastAsia="SimSun" w:cs="SimSun"/>
          <w:sz w:val="21"/>
          <w:szCs w:val="21"/>
          <w:spacing w:val="3"/>
        </w:rPr>
        <w:t xml:space="preserve">  </w:t>
      </w:r>
      <w:r>
        <w:rPr>
          <w:rFonts w:ascii="SimSun" w:hAnsi="SimSun" w:eastAsia="SimSun" w:cs="SimSun"/>
          <w:sz w:val="21"/>
          <w:szCs w:val="21"/>
          <w:spacing w:val="-11"/>
        </w:rPr>
        <w:t>受度，要求签订一段时期的排他性代理协议也是合情合理的。这跟保</w:t>
      </w:r>
      <w:r>
        <w:rPr>
          <w:rFonts w:ascii="SimSun" w:hAnsi="SimSun" w:eastAsia="SimSun" w:cs="SimSun"/>
          <w:sz w:val="21"/>
          <w:szCs w:val="21"/>
          <w:spacing w:val="2"/>
        </w:rPr>
        <w:t xml:space="preserve">  </w:t>
      </w:r>
      <w:r>
        <w:rPr>
          <w:rFonts w:ascii="SimSun" w:hAnsi="SimSun" w:eastAsia="SimSun" w:cs="SimSun"/>
          <w:sz w:val="21"/>
          <w:szCs w:val="21"/>
          <w:spacing w:val="-12"/>
        </w:rPr>
        <w:t>护知识产权的道理非常类似。</w:t>
      </w:r>
    </w:p>
    <w:p>
      <w:pPr>
        <w:ind w:firstLine="429"/>
        <w:spacing w:before="107" w:line="301" w:lineRule="auto"/>
        <w:jc w:val="both"/>
        <w:rPr>
          <w:rFonts w:ascii="SimSun" w:hAnsi="SimSun" w:eastAsia="SimSun" w:cs="SimSun"/>
          <w:sz w:val="21"/>
          <w:szCs w:val="21"/>
        </w:rPr>
      </w:pPr>
      <w:r>
        <w:rPr>
          <w:rFonts w:ascii="SimSun" w:hAnsi="SimSun" w:eastAsia="SimSun" w:cs="SimSun"/>
          <w:sz w:val="21"/>
          <w:szCs w:val="21"/>
        </w:rPr>
        <w:t>世界各国公认的反垄断法基本目标，在优先顺</w:t>
      </w:r>
      <w:r>
        <w:rPr>
          <w:rFonts w:ascii="SimSun" w:hAnsi="SimSun" w:eastAsia="SimSun" w:cs="SimSun"/>
          <w:sz w:val="21"/>
          <w:szCs w:val="21"/>
          <w:spacing w:val="-1"/>
        </w:rPr>
        <w:t>序上，依次是：</w:t>
      </w:r>
      <w:r>
        <w:rPr>
          <w:rFonts w:ascii="SimSun" w:hAnsi="SimSun" w:eastAsia="SimSun" w:cs="SimSun"/>
          <w:sz w:val="21"/>
          <w:szCs w:val="21"/>
        </w:rPr>
        <w:t xml:space="preserve"> </w:t>
      </w:r>
      <w:r>
        <w:rPr>
          <w:rFonts w:ascii="SimSun" w:hAnsi="SimSun" w:eastAsia="SimSun" w:cs="SimSun"/>
          <w:sz w:val="21"/>
          <w:szCs w:val="21"/>
        </w:rPr>
        <w:t>(1)保护市场机制；(2)保障消费者福利，尤其是长期福利；(3)促</w:t>
      </w:r>
      <w:r>
        <w:rPr>
          <w:rFonts w:ascii="SimSun" w:hAnsi="SimSun" w:eastAsia="SimSun" w:cs="SimSun"/>
          <w:sz w:val="21"/>
          <w:szCs w:val="21"/>
          <w:spacing w:val="6"/>
        </w:rPr>
        <w:t xml:space="preserve">  </w:t>
      </w:r>
      <w:r>
        <w:rPr>
          <w:rFonts w:ascii="SimSun" w:hAnsi="SimSun" w:eastAsia="SimSun" w:cs="SimSun"/>
          <w:sz w:val="21"/>
          <w:szCs w:val="21"/>
          <w:spacing w:val="-3"/>
        </w:rPr>
        <w:t>进创新和技术过程；(4)保护个别企业不受压迫；(5)促进市场主体</w:t>
      </w:r>
      <w:r>
        <w:rPr>
          <w:rFonts w:ascii="SimSun" w:hAnsi="SimSun" w:eastAsia="SimSun" w:cs="SimSun"/>
          <w:sz w:val="21"/>
          <w:szCs w:val="21"/>
          <w:spacing w:val="1"/>
        </w:rPr>
        <w:t xml:space="preserve">  </w:t>
      </w:r>
      <w:r>
        <w:rPr>
          <w:rFonts w:ascii="SimSun" w:hAnsi="SimSun" w:eastAsia="SimSun" w:cs="SimSun"/>
          <w:sz w:val="21"/>
          <w:szCs w:val="21"/>
          <w:spacing w:val="-11"/>
        </w:rPr>
        <w:t>的平等，包括扶持小企业。最后这一个是有争议的，美国在历史上偶</w:t>
      </w:r>
      <w:r>
        <w:rPr>
          <w:rFonts w:ascii="SimSun" w:hAnsi="SimSun" w:eastAsia="SimSun" w:cs="SimSun"/>
          <w:sz w:val="21"/>
          <w:szCs w:val="21"/>
          <w:spacing w:val="6"/>
        </w:rPr>
        <w:t xml:space="preserve">  </w:t>
      </w:r>
      <w:r>
        <w:rPr>
          <w:rFonts w:ascii="SimSun" w:hAnsi="SimSun" w:eastAsia="SimSun" w:cs="SimSun"/>
          <w:sz w:val="21"/>
          <w:szCs w:val="21"/>
          <w:spacing w:val="-4"/>
        </w:rPr>
        <w:t>尔采用，欧盟竞争法受到自由秩序经济学理论(欧洲奥地利学派)的</w:t>
      </w:r>
      <w:r>
        <w:rPr>
          <w:rFonts w:ascii="SimSun" w:hAnsi="SimSun" w:eastAsia="SimSun" w:cs="SimSun"/>
          <w:sz w:val="21"/>
          <w:szCs w:val="21"/>
          <w:spacing w:val="7"/>
        </w:rPr>
        <w:t xml:space="preserve">  </w:t>
      </w:r>
      <w:r>
        <w:rPr>
          <w:rFonts w:ascii="SimSun" w:hAnsi="SimSun" w:eastAsia="SimSun" w:cs="SimSun"/>
          <w:sz w:val="21"/>
          <w:szCs w:val="21"/>
          <w:spacing w:val="-10"/>
        </w:rPr>
        <w:t>影响，认为中小企业越多，市场就越健康，所以反垄断执法比美</w:t>
      </w:r>
      <w:r>
        <w:rPr>
          <w:rFonts w:ascii="SimSun" w:hAnsi="SimSun" w:eastAsia="SimSun" w:cs="SimSun"/>
          <w:sz w:val="21"/>
          <w:szCs w:val="21"/>
          <w:spacing w:val="-11"/>
        </w:rPr>
        <w:t>国更</w:t>
      </w:r>
      <w:r>
        <w:rPr>
          <w:rFonts w:ascii="SimSun" w:hAnsi="SimSun" w:eastAsia="SimSun" w:cs="SimSun"/>
          <w:sz w:val="21"/>
          <w:szCs w:val="21"/>
        </w:rPr>
        <w:t xml:space="preserve">  </w:t>
      </w:r>
      <w:r>
        <w:rPr>
          <w:rFonts w:ascii="SimSun" w:hAnsi="SimSun" w:eastAsia="SimSun" w:cs="SimSun"/>
          <w:sz w:val="21"/>
          <w:szCs w:val="21"/>
          <w:spacing w:val="-11"/>
        </w:rPr>
        <w:t>为严格。中国的《反垄断法》更接近欧盟，但是在平台经济领域，尤</w:t>
      </w:r>
      <w:r>
        <w:rPr>
          <w:rFonts w:ascii="SimSun" w:hAnsi="SimSun" w:eastAsia="SimSun" w:cs="SimSun"/>
          <w:sz w:val="21"/>
          <w:szCs w:val="21"/>
          <w:spacing w:val="3"/>
        </w:rPr>
        <w:t xml:space="preserve">  </w:t>
      </w:r>
      <w:r>
        <w:rPr>
          <w:rFonts w:ascii="SimSun" w:hAnsi="SimSun" w:eastAsia="SimSun" w:cs="SimSun"/>
          <w:sz w:val="21"/>
          <w:szCs w:val="21"/>
          <w:spacing w:val="-11"/>
        </w:rPr>
        <w:t>其由于大型高科技平台公司的发展，中国和美国成为全球两强，这与</w:t>
      </w:r>
      <w:r>
        <w:rPr>
          <w:rFonts w:ascii="SimSun" w:hAnsi="SimSun" w:eastAsia="SimSun" w:cs="SimSun"/>
          <w:sz w:val="21"/>
          <w:szCs w:val="21"/>
          <w:spacing w:val="7"/>
        </w:rPr>
        <w:t xml:space="preserve">  </w:t>
      </w:r>
      <w:r>
        <w:rPr>
          <w:rFonts w:ascii="SimSun" w:hAnsi="SimSun" w:eastAsia="SimSun" w:cs="SimSun"/>
          <w:sz w:val="21"/>
          <w:szCs w:val="21"/>
          <w:spacing w:val="-5"/>
        </w:rPr>
        <w:t>欧盟的经济模式和市场结构并不相同(详见</w:t>
      </w:r>
      <w:r>
        <w:rPr>
          <w:rFonts w:ascii="SimSun" w:hAnsi="SimSun" w:eastAsia="SimSun" w:cs="SimSun"/>
          <w:sz w:val="21"/>
          <w:szCs w:val="21"/>
          <w:spacing w:val="-6"/>
        </w:rPr>
        <w:t>第十二章)。</w:t>
      </w:r>
    </w:p>
    <w:p>
      <w:pPr>
        <w:ind w:firstLine="440"/>
        <w:spacing w:before="164" w:line="304" w:lineRule="auto"/>
        <w:jc w:val="both"/>
        <w:rPr>
          <w:rFonts w:ascii="SimSun" w:hAnsi="SimSun" w:eastAsia="SimSun" w:cs="SimSun"/>
          <w:sz w:val="21"/>
          <w:szCs w:val="21"/>
        </w:rPr>
      </w:pPr>
      <w:r>
        <w:rPr>
          <w:rFonts w:ascii="SimSun" w:hAnsi="SimSun" w:eastAsia="SimSun" w:cs="SimSun"/>
          <w:sz w:val="21"/>
          <w:szCs w:val="21"/>
          <w:spacing w:val="-3"/>
        </w:rPr>
        <w:t>需要指出的是，反垄断法中的正式表述是消费者利益，并没有</w:t>
      </w:r>
      <w:r>
        <w:rPr>
          <w:rFonts w:ascii="SimSun" w:hAnsi="SimSun" w:eastAsia="SimSun" w:cs="SimSun"/>
          <w:sz w:val="21"/>
          <w:szCs w:val="21"/>
        </w:rPr>
        <w:t xml:space="preserve"> </w:t>
      </w:r>
      <w:r>
        <w:rPr>
          <w:rFonts w:ascii="SimSun" w:hAnsi="SimSun" w:eastAsia="SimSun" w:cs="SimSun"/>
          <w:sz w:val="21"/>
          <w:szCs w:val="21"/>
          <w:spacing w:val="-11"/>
        </w:rPr>
        <w:t>直接采用福利经济学中“消费者福利”的表达，但实际上反垄断法的</w:t>
      </w:r>
      <w:r>
        <w:rPr>
          <w:rFonts w:ascii="SimSun" w:hAnsi="SimSun" w:eastAsia="SimSun" w:cs="SimSun"/>
          <w:sz w:val="21"/>
          <w:szCs w:val="21"/>
          <w:spacing w:val="7"/>
        </w:rPr>
        <w:t xml:space="preserve">  </w:t>
      </w:r>
      <w:r>
        <w:rPr>
          <w:rFonts w:ascii="SimSun" w:hAnsi="SimSun" w:eastAsia="SimSun" w:cs="SimSun"/>
          <w:sz w:val="21"/>
          <w:szCs w:val="21"/>
          <w:spacing w:val="-4"/>
        </w:rPr>
        <w:t>分析框架就是以追求消费者福利为理论标准的。我国各监管部门在</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7"/>
        </w:rPr>
        <w:t>202</w:t>
      </w:r>
      <w:r>
        <w:rPr>
          <w:rFonts w:ascii="SimSun" w:hAnsi="SimSun" w:eastAsia="SimSun" w:cs="SimSun"/>
          <w:sz w:val="21"/>
          <w:szCs w:val="21"/>
          <w:spacing w:val="-7"/>
        </w:rPr>
        <w:t>1年实行“强监管”,纷纷用维护“公平竞争”“消费者权利”的</w:t>
      </w:r>
      <w:r>
        <w:rPr>
          <w:rFonts w:ascii="SimSun" w:hAnsi="SimSun" w:eastAsia="SimSun" w:cs="SimSun"/>
          <w:sz w:val="21"/>
          <w:szCs w:val="21"/>
          <w:spacing w:val="6"/>
        </w:rPr>
        <w:t xml:space="preserve">  </w:t>
      </w:r>
      <w:r>
        <w:rPr>
          <w:rFonts w:ascii="SimSun" w:hAnsi="SimSun" w:eastAsia="SimSun" w:cs="SimSun"/>
          <w:sz w:val="21"/>
          <w:szCs w:val="21"/>
          <w:spacing w:val="-8"/>
        </w:rPr>
        <w:t>名义，不仅不受市场分析的约束，而且越过了保护市</w:t>
      </w:r>
      <w:r>
        <w:rPr>
          <w:rFonts w:ascii="SimSun" w:hAnsi="SimSun" w:eastAsia="SimSun" w:cs="SimSun"/>
          <w:sz w:val="21"/>
          <w:szCs w:val="21"/>
          <w:spacing w:val="-9"/>
        </w:rPr>
        <w:t>场机制的目标。</w:t>
      </w:r>
      <w:r>
        <w:rPr>
          <w:rFonts w:ascii="SimSun" w:hAnsi="SimSun" w:eastAsia="SimSun" w:cs="SimSun"/>
          <w:sz w:val="21"/>
          <w:szCs w:val="21"/>
        </w:rPr>
        <w:t xml:space="preserve"> </w:t>
      </w:r>
      <w:r>
        <w:rPr>
          <w:rFonts w:ascii="SimSun" w:hAnsi="SimSun" w:eastAsia="SimSun" w:cs="SimSun"/>
          <w:sz w:val="21"/>
          <w:szCs w:val="21"/>
          <w:spacing w:val="-11"/>
        </w:rPr>
        <w:t>以消费者权利为目标的监管，不仅仅包括产业监管，也包括了《消费</w:t>
      </w:r>
      <w:r>
        <w:rPr>
          <w:rFonts w:ascii="SimSun" w:hAnsi="SimSun" w:eastAsia="SimSun" w:cs="SimSun"/>
          <w:sz w:val="21"/>
          <w:szCs w:val="21"/>
          <w:spacing w:val="5"/>
        </w:rPr>
        <w:t xml:space="preserve">  </w:t>
      </w:r>
      <w:r>
        <w:rPr>
          <w:rFonts w:ascii="SimSun" w:hAnsi="SimSun" w:eastAsia="SimSun" w:cs="SimSun"/>
          <w:sz w:val="21"/>
          <w:szCs w:val="21"/>
          <w:spacing w:val="-10"/>
        </w:rPr>
        <w:t>者权益保护法》《电子商务法》《反不正当竞争法》,甚至《价格法》</w:t>
      </w:r>
      <w:r>
        <w:rPr>
          <w:rFonts w:ascii="SimSun" w:hAnsi="SimSun" w:eastAsia="SimSun" w:cs="SimSun"/>
          <w:sz w:val="21"/>
          <w:szCs w:val="21"/>
        </w:rPr>
        <w:t xml:space="preserve"> </w:t>
      </w:r>
      <w:r>
        <w:rPr>
          <w:rFonts w:ascii="SimSun" w:hAnsi="SimSun" w:eastAsia="SimSun" w:cs="SimSun"/>
          <w:sz w:val="21"/>
          <w:szCs w:val="21"/>
          <w:spacing w:val="-10"/>
        </w:rPr>
        <w:t>的监管方式。但在“强监管”中，有些监管部门所追求的目标扩大了</w:t>
      </w:r>
    </w:p>
    <w:p>
      <w:pPr>
        <w:spacing w:line="304" w:lineRule="auto"/>
        <w:sectPr>
          <w:headerReference w:type="default" r:id="rId67"/>
          <w:pgSz w:w="7330" w:h="12480"/>
          <w:pgMar w:top="529" w:right="384" w:bottom="400" w:left="849" w:header="363"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105" w:right="25"/>
        <w:spacing w:before="68" w:line="292" w:lineRule="auto"/>
        <w:jc w:val="both"/>
        <w:rPr>
          <w:rFonts w:ascii="SimSun" w:hAnsi="SimSun" w:eastAsia="SimSun" w:cs="SimSun"/>
          <w:sz w:val="21"/>
          <w:szCs w:val="21"/>
        </w:rPr>
      </w:pPr>
      <w:r>
        <w:rPr>
          <w:rFonts w:ascii="SimSun" w:hAnsi="SimSun" w:eastAsia="SimSun" w:cs="SimSun"/>
          <w:sz w:val="21"/>
          <w:szCs w:val="21"/>
          <w:spacing w:val="-3"/>
        </w:rPr>
        <w:t>消费者权利的外延。2021年的实践和我国这个领域</w:t>
      </w:r>
      <w:r>
        <w:rPr>
          <w:rFonts w:ascii="SimSun" w:hAnsi="SimSun" w:eastAsia="SimSun" w:cs="SimSun"/>
          <w:sz w:val="21"/>
          <w:szCs w:val="21"/>
          <w:spacing w:val="-4"/>
        </w:rPr>
        <w:t>的法律既有实践</w:t>
      </w:r>
      <w:r>
        <w:rPr>
          <w:rFonts w:ascii="SimSun" w:hAnsi="SimSun" w:eastAsia="SimSun" w:cs="SimSun"/>
          <w:sz w:val="21"/>
          <w:szCs w:val="21"/>
        </w:rPr>
        <w:t xml:space="preserve"> </w:t>
      </w:r>
      <w:r>
        <w:rPr>
          <w:rFonts w:ascii="SimSun" w:hAnsi="SimSun" w:eastAsia="SimSun" w:cs="SimSun"/>
          <w:sz w:val="21"/>
          <w:szCs w:val="21"/>
          <w:spacing w:val="-16"/>
        </w:rPr>
        <w:t>一样，存在着两种话语体系：</w:t>
      </w:r>
      <w:r>
        <w:rPr>
          <w:rFonts w:ascii="SimSun" w:hAnsi="SimSun" w:eastAsia="SimSun" w:cs="SimSun"/>
          <w:sz w:val="21"/>
          <w:szCs w:val="21"/>
          <w:spacing w:val="62"/>
        </w:rPr>
        <w:t xml:space="preserve"> </w:t>
      </w:r>
      <w:r>
        <w:rPr>
          <w:rFonts w:ascii="SimSun" w:hAnsi="SimSun" w:eastAsia="SimSun" w:cs="SimSun"/>
          <w:sz w:val="21"/>
          <w:szCs w:val="21"/>
          <w:spacing w:val="-16"/>
        </w:rPr>
        <w:t>一种是以市场效率和经济学分析为出发</w:t>
      </w:r>
      <w:r>
        <w:rPr>
          <w:rFonts w:ascii="SimSun" w:hAnsi="SimSun" w:eastAsia="SimSun" w:cs="SimSun"/>
          <w:sz w:val="21"/>
          <w:szCs w:val="21"/>
        </w:rPr>
        <w:t xml:space="preserve"> </w:t>
      </w:r>
      <w:r>
        <w:rPr>
          <w:rFonts w:ascii="SimSun" w:hAnsi="SimSun" w:eastAsia="SimSun" w:cs="SimSun"/>
          <w:sz w:val="21"/>
          <w:szCs w:val="21"/>
          <w:spacing w:val="-16"/>
        </w:rPr>
        <w:t>点，注重竞争效果的反垄断法框架；</w:t>
      </w:r>
      <w:r>
        <w:rPr>
          <w:rFonts w:ascii="SimSun" w:hAnsi="SimSun" w:eastAsia="SimSun" w:cs="SimSun"/>
          <w:sz w:val="21"/>
          <w:szCs w:val="21"/>
          <w:spacing w:val="63"/>
        </w:rPr>
        <w:t xml:space="preserve"> </w:t>
      </w:r>
      <w:r>
        <w:rPr>
          <w:rFonts w:ascii="SimSun" w:hAnsi="SimSun" w:eastAsia="SimSun" w:cs="SimSun"/>
          <w:sz w:val="21"/>
          <w:szCs w:val="21"/>
          <w:spacing w:val="-16"/>
        </w:rPr>
        <w:t>一种是以保护个别企业或者扩大</w:t>
      </w:r>
      <w:r>
        <w:rPr>
          <w:rFonts w:ascii="SimSun" w:hAnsi="SimSun" w:eastAsia="SimSun" w:cs="SimSun"/>
          <w:sz w:val="21"/>
          <w:szCs w:val="21"/>
        </w:rPr>
        <w:t xml:space="preserve"> </w:t>
      </w:r>
      <w:r>
        <w:rPr>
          <w:rFonts w:ascii="SimSun" w:hAnsi="SimSun" w:eastAsia="SimSun" w:cs="SimSun"/>
          <w:sz w:val="21"/>
          <w:szCs w:val="21"/>
          <w:spacing w:val="-11"/>
        </w:rPr>
        <w:t>消费者权利范围为目的的不对等限制的公平竞争执法模式。</w:t>
      </w:r>
    </w:p>
    <w:p>
      <w:pPr>
        <w:ind w:right="9" w:firstLine="525"/>
        <w:spacing w:before="136" w:line="301" w:lineRule="auto"/>
        <w:jc w:val="both"/>
        <w:rPr>
          <w:rFonts w:ascii="SimSun" w:hAnsi="SimSun" w:eastAsia="SimSun" w:cs="SimSun"/>
          <w:sz w:val="21"/>
          <w:szCs w:val="21"/>
        </w:rPr>
      </w:pPr>
      <w:r>
        <w:rPr>
          <w:rFonts w:ascii="SimSun" w:hAnsi="SimSun" w:eastAsia="SimSun" w:cs="SimSun"/>
          <w:sz w:val="21"/>
          <w:szCs w:val="21"/>
          <w:spacing w:val="-11"/>
        </w:rPr>
        <w:t>因此，在下一步的监管之中，应当区分经济监管和反垄断</w:t>
      </w:r>
      <w:r>
        <w:rPr>
          <w:rFonts w:ascii="SimSun" w:hAnsi="SimSun" w:eastAsia="SimSun" w:cs="SimSun"/>
          <w:sz w:val="21"/>
          <w:szCs w:val="21"/>
          <w:spacing w:val="-12"/>
        </w:rPr>
        <w:t>两种不</w:t>
      </w:r>
      <w:r>
        <w:rPr>
          <w:rFonts w:ascii="SimSun" w:hAnsi="SimSun" w:eastAsia="SimSun" w:cs="SimSun"/>
          <w:sz w:val="21"/>
          <w:szCs w:val="21"/>
        </w:rPr>
        <w:t xml:space="preserve"> </w:t>
      </w:r>
      <w:r>
        <w:rPr>
          <w:rFonts w:ascii="SimSun" w:hAnsi="SimSun" w:eastAsia="SimSun" w:cs="SimSun"/>
          <w:sz w:val="21"/>
          <w:szCs w:val="21"/>
          <w:spacing w:val="-7"/>
        </w:rPr>
        <w:t>同性质的市场调控方式。两者的目标、手段存在着根本性的差异，应</w:t>
      </w:r>
      <w:r>
        <w:rPr>
          <w:rFonts w:ascii="SimSun" w:hAnsi="SimSun" w:eastAsia="SimSun" w:cs="SimSun"/>
          <w:sz w:val="21"/>
          <w:szCs w:val="21"/>
          <w:spacing w:val="2"/>
        </w:rPr>
        <w:t xml:space="preserve"> </w:t>
      </w:r>
      <w:r>
        <w:rPr>
          <w:rFonts w:ascii="SimSun" w:hAnsi="SimSun" w:eastAsia="SimSun" w:cs="SimSun"/>
          <w:sz w:val="21"/>
          <w:szCs w:val="21"/>
        </w:rPr>
        <w:t>让反垄断的权力归于反垄断执法部门，不应当用“公平竞争”替代</w:t>
      </w:r>
      <w:r>
        <w:rPr>
          <w:rFonts w:ascii="SimSun" w:hAnsi="SimSun" w:eastAsia="SimSun" w:cs="SimSun"/>
          <w:sz w:val="21"/>
          <w:szCs w:val="21"/>
          <w:spacing w:val="4"/>
        </w:rPr>
        <w:t xml:space="preserve"> </w:t>
      </w:r>
      <w:r>
        <w:rPr>
          <w:rFonts w:ascii="SimSun" w:hAnsi="SimSun" w:eastAsia="SimSun" w:cs="SimSun"/>
          <w:sz w:val="21"/>
          <w:szCs w:val="21"/>
          <w:spacing w:val="-10"/>
        </w:rPr>
        <w:t>“反垄断”,用行政监管去替代反垄断执法。同时，应当在立法</w:t>
      </w:r>
      <w:r>
        <w:rPr>
          <w:rFonts w:ascii="SimSun" w:hAnsi="SimSun" w:eastAsia="SimSun" w:cs="SimSun"/>
          <w:sz w:val="21"/>
          <w:szCs w:val="21"/>
          <w:spacing w:val="-11"/>
        </w:rPr>
        <w:t>中将监</w:t>
      </w:r>
      <w:r>
        <w:rPr>
          <w:rFonts w:ascii="SimSun" w:hAnsi="SimSun" w:eastAsia="SimSun" w:cs="SimSun"/>
          <w:sz w:val="21"/>
          <w:szCs w:val="21"/>
        </w:rPr>
        <w:t xml:space="preserve"> </w:t>
      </w:r>
      <w:r>
        <w:rPr>
          <w:rFonts w:ascii="SimSun" w:hAnsi="SimSun" w:eastAsia="SimSun" w:cs="SimSun"/>
          <w:sz w:val="21"/>
          <w:szCs w:val="21"/>
          <w:spacing w:val="-7"/>
        </w:rPr>
        <w:t>管和反垄断的关系做出明确的界定。各国对此采用了不同的模式。无</w:t>
      </w:r>
      <w:r>
        <w:rPr>
          <w:rFonts w:ascii="SimSun" w:hAnsi="SimSun" w:eastAsia="SimSun" w:cs="SimSun"/>
          <w:sz w:val="21"/>
          <w:szCs w:val="21"/>
          <w:spacing w:val="2"/>
        </w:rPr>
        <w:t xml:space="preserve"> </w:t>
      </w:r>
      <w:r>
        <w:rPr>
          <w:rFonts w:ascii="SimSun" w:hAnsi="SimSun" w:eastAsia="SimSun" w:cs="SimSun"/>
          <w:sz w:val="21"/>
          <w:szCs w:val="21"/>
          <w:spacing w:val="-8"/>
        </w:rPr>
        <w:t>论哪一种模式，都需要在大型科技平台、数字经济的时代重新构造这</w:t>
      </w:r>
      <w:r>
        <w:rPr>
          <w:rFonts w:ascii="SimSun" w:hAnsi="SimSun" w:eastAsia="SimSun" w:cs="SimSun"/>
          <w:sz w:val="21"/>
          <w:szCs w:val="21"/>
          <w:spacing w:val="12"/>
        </w:rPr>
        <w:t xml:space="preserve"> </w:t>
      </w:r>
      <w:r>
        <w:rPr>
          <w:rFonts w:ascii="SimSun" w:hAnsi="SimSun" w:eastAsia="SimSun" w:cs="SimSun"/>
          <w:sz w:val="21"/>
          <w:szCs w:val="21"/>
          <w:spacing w:val="1"/>
        </w:rPr>
        <w:t>种关系和各自的管辖权。但是目前我国的《反垄</w:t>
      </w:r>
      <w:r>
        <w:rPr>
          <w:rFonts w:ascii="SimSun" w:hAnsi="SimSun" w:eastAsia="SimSun" w:cs="SimSun"/>
          <w:sz w:val="21"/>
          <w:szCs w:val="21"/>
        </w:rPr>
        <w:t>断法》已经拥有了 </w:t>
      </w:r>
      <w:r>
        <w:rPr>
          <w:rFonts w:ascii="SimSun" w:hAnsi="SimSun" w:eastAsia="SimSun" w:cs="SimSun"/>
          <w:sz w:val="21"/>
          <w:szCs w:val="21"/>
          <w:spacing w:val="-3"/>
        </w:rPr>
        <w:t>“行政垄断”的调控权力(针对具体的监管行</w:t>
      </w:r>
      <w:r>
        <w:rPr>
          <w:rFonts w:ascii="SimSun" w:hAnsi="SimSun" w:eastAsia="SimSun" w:cs="SimSun"/>
          <w:sz w:val="21"/>
          <w:szCs w:val="21"/>
          <w:spacing w:val="-4"/>
        </w:rPr>
        <w:t>为),即将修订的法律之</w:t>
      </w:r>
      <w:r>
        <w:rPr>
          <w:rFonts w:ascii="SimSun" w:hAnsi="SimSun" w:eastAsia="SimSun" w:cs="SimSun"/>
          <w:sz w:val="21"/>
          <w:szCs w:val="21"/>
        </w:rPr>
        <w:t xml:space="preserve"> </w:t>
      </w:r>
      <w:r>
        <w:rPr>
          <w:rFonts w:ascii="SimSun" w:hAnsi="SimSun" w:eastAsia="SimSun" w:cs="SimSun"/>
          <w:sz w:val="21"/>
          <w:szCs w:val="21"/>
        </w:rPr>
        <w:t>中还加入了“公平竞争审查”(针对监管文件的内容)的权力，如果</w:t>
      </w:r>
      <w:r>
        <w:rPr>
          <w:rFonts w:ascii="SimSun" w:hAnsi="SimSun" w:eastAsia="SimSun" w:cs="SimSun"/>
          <w:sz w:val="21"/>
          <w:szCs w:val="21"/>
          <w:spacing w:val="6"/>
        </w:rPr>
        <w:t xml:space="preserve"> </w:t>
      </w:r>
      <w:r>
        <w:rPr>
          <w:rFonts w:ascii="SimSun" w:hAnsi="SimSun" w:eastAsia="SimSun" w:cs="SimSun"/>
          <w:sz w:val="21"/>
          <w:szCs w:val="21"/>
        </w:rPr>
        <w:t>将来再加上“营商环境评估”(针对政府整体法律系统的评估)的执</w:t>
      </w:r>
      <w:r>
        <w:rPr>
          <w:rFonts w:ascii="SimSun" w:hAnsi="SimSun" w:eastAsia="SimSun" w:cs="SimSun"/>
          <w:sz w:val="21"/>
          <w:szCs w:val="21"/>
          <w:spacing w:val="2"/>
        </w:rPr>
        <w:t xml:space="preserve"> </w:t>
      </w:r>
      <w:r>
        <w:rPr>
          <w:rFonts w:ascii="SimSun" w:hAnsi="SimSun" w:eastAsia="SimSun" w:cs="SimSun"/>
          <w:sz w:val="21"/>
          <w:szCs w:val="21"/>
          <w:spacing w:val="-7"/>
        </w:rPr>
        <w:t>法权力，那么我国有望形成世界上最为强大的反垄断制度，至少在制</w:t>
      </w:r>
      <w:r>
        <w:rPr>
          <w:rFonts w:ascii="SimSun" w:hAnsi="SimSun" w:eastAsia="SimSun" w:cs="SimSun"/>
          <w:sz w:val="21"/>
          <w:szCs w:val="21"/>
          <w:spacing w:val="11"/>
        </w:rPr>
        <w:t xml:space="preserve"> </w:t>
      </w:r>
      <w:r>
        <w:rPr>
          <w:rFonts w:ascii="SimSun" w:hAnsi="SimSun" w:eastAsia="SimSun" w:cs="SimSun"/>
          <w:sz w:val="21"/>
          <w:szCs w:val="21"/>
        </w:rPr>
        <w:t>度与规则上是如此。当然，目前国家反垄断局的权力虽然在2021年</w:t>
      </w:r>
      <w:r>
        <w:rPr>
          <w:rFonts w:ascii="SimSun" w:hAnsi="SimSun" w:eastAsia="SimSun" w:cs="SimSun"/>
          <w:sz w:val="21"/>
          <w:szCs w:val="21"/>
          <w:spacing w:val="2"/>
        </w:rPr>
        <w:t xml:space="preserve"> </w:t>
      </w:r>
      <w:r>
        <w:rPr>
          <w:rFonts w:ascii="SimSun" w:hAnsi="SimSun" w:eastAsia="SimSun" w:cs="SimSun"/>
          <w:sz w:val="21"/>
          <w:szCs w:val="21"/>
          <w:spacing w:val="-7"/>
        </w:rPr>
        <w:t>得到了加强，也扩展到了三个司并挂牌，但仍然有待于更大的职权提</w:t>
      </w:r>
      <w:r>
        <w:rPr>
          <w:rFonts w:ascii="SimSun" w:hAnsi="SimSun" w:eastAsia="SimSun" w:cs="SimSun"/>
          <w:sz w:val="21"/>
          <w:szCs w:val="21"/>
          <w:spacing w:val="2"/>
        </w:rPr>
        <w:t xml:space="preserve"> </w:t>
      </w:r>
      <w:r>
        <w:rPr>
          <w:rFonts w:ascii="SimSun" w:hAnsi="SimSun" w:eastAsia="SimSun" w:cs="SimSun"/>
          <w:sz w:val="21"/>
          <w:szCs w:val="21"/>
          <w:spacing w:val="-6"/>
        </w:rPr>
        <w:t>升，实现在法律制度上被赋予权力。</w:t>
      </w:r>
    </w:p>
    <w:p>
      <w:pPr>
        <w:ind w:left="105" w:firstLine="420"/>
        <w:spacing w:before="215" w:line="306" w:lineRule="auto"/>
        <w:jc w:val="both"/>
        <w:rPr>
          <w:rFonts w:ascii="SimSun" w:hAnsi="SimSun" w:eastAsia="SimSun" w:cs="SimSun"/>
          <w:sz w:val="21"/>
          <w:szCs w:val="21"/>
        </w:rPr>
      </w:pPr>
      <w:r>
        <w:rPr>
          <w:rFonts w:ascii="SimSun" w:hAnsi="SimSun" w:eastAsia="SimSun" w:cs="SimSun"/>
          <w:sz w:val="21"/>
          <w:szCs w:val="21"/>
          <w:spacing w:val="-10"/>
        </w:rPr>
        <w:t>至于反垄断法框架内的面向平台经济的调整，国家反垄</w:t>
      </w:r>
      <w:r>
        <w:rPr>
          <w:rFonts w:ascii="SimSun" w:hAnsi="SimSun" w:eastAsia="SimSun" w:cs="SimSun"/>
          <w:sz w:val="21"/>
          <w:szCs w:val="21"/>
          <w:spacing w:val="-11"/>
        </w:rPr>
        <w:t>断部门制</w:t>
      </w:r>
      <w:r>
        <w:rPr>
          <w:rFonts w:ascii="SimSun" w:hAnsi="SimSun" w:eastAsia="SimSun" w:cs="SimSun"/>
          <w:sz w:val="21"/>
          <w:szCs w:val="21"/>
        </w:rPr>
        <w:t xml:space="preserve"> </w:t>
      </w:r>
      <w:r>
        <w:rPr>
          <w:rFonts w:ascii="SimSun" w:hAnsi="SimSun" w:eastAsia="SimSun" w:cs="SimSun"/>
          <w:sz w:val="21"/>
          <w:szCs w:val="21"/>
          <w:spacing w:val="-11"/>
        </w:rPr>
        <w:t>定了相关指南，但该指南仅仅是一个非正式的官方文件，过于强调平</w:t>
      </w:r>
      <w:r>
        <w:rPr>
          <w:rFonts w:ascii="SimSun" w:hAnsi="SimSun" w:eastAsia="SimSun" w:cs="SimSun"/>
          <w:sz w:val="21"/>
          <w:szCs w:val="21"/>
          <w:spacing w:val="18"/>
        </w:rPr>
        <w:t xml:space="preserve"> </w:t>
      </w:r>
      <w:r>
        <w:rPr>
          <w:rFonts w:ascii="SimSun" w:hAnsi="SimSun" w:eastAsia="SimSun" w:cs="SimSun"/>
          <w:sz w:val="21"/>
          <w:szCs w:val="21"/>
          <w:spacing w:val="-10"/>
        </w:rPr>
        <w:t>台经济、大型科技平台企业的特殊性。现在</w:t>
      </w:r>
      <w:r>
        <w:rPr>
          <w:rFonts w:ascii="SimSun" w:hAnsi="SimSun" w:eastAsia="SimSun" w:cs="SimSun"/>
          <w:sz w:val="21"/>
          <w:szCs w:val="21"/>
          <w:spacing w:val="-11"/>
        </w:rPr>
        <w:t>公众中流行的一些被认为</w:t>
      </w:r>
      <w:r>
        <w:rPr>
          <w:rFonts w:ascii="SimSun" w:hAnsi="SimSun" w:eastAsia="SimSun" w:cs="SimSun"/>
          <w:sz w:val="21"/>
          <w:szCs w:val="21"/>
        </w:rPr>
        <w:t xml:space="preserve"> </w:t>
      </w:r>
      <w:r>
        <w:rPr>
          <w:rFonts w:ascii="SimSun" w:hAnsi="SimSun" w:eastAsia="SimSun" w:cs="SimSun"/>
          <w:sz w:val="21"/>
          <w:szCs w:val="21"/>
          <w:spacing w:val="-11"/>
        </w:rPr>
        <w:t>是平台经济特有的竞争特点，实际上都颇有值得推敲之处。对“二选</w:t>
      </w:r>
      <w:r>
        <w:rPr>
          <w:rFonts w:ascii="SimSun" w:hAnsi="SimSun" w:eastAsia="SimSun" w:cs="SimSun"/>
          <w:sz w:val="21"/>
          <w:szCs w:val="21"/>
          <w:spacing w:val="16"/>
        </w:rPr>
        <w:t xml:space="preserve"> </w:t>
      </w:r>
      <w:r>
        <w:rPr>
          <w:rFonts w:ascii="SimSun" w:hAnsi="SimSun" w:eastAsia="SimSun" w:cs="SimSun"/>
          <w:sz w:val="21"/>
          <w:szCs w:val="21"/>
          <w:spacing w:val="-10"/>
        </w:rPr>
        <w:t>—”“大数据杀熟”等所谓的特有行为进行认真考察就会发现，实际</w:t>
      </w:r>
      <w:r>
        <w:rPr>
          <w:rFonts w:ascii="SimSun" w:hAnsi="SimSun" w:eastAsia="SimSun" w:cs="SimSun"/>
          <w:sz w:val="21"/>
          <w:szCs w:val="21"/>
          <w:spacing w:val="7"/>
        </w:rPr>
        <w:t xml:space="preserve"> </w:t>
      </w:r>
      <w:r>
        <w:rPr>
          <w:rFonts w:ascii="SimSun" w:hAnsi="SimSun" w:eastAsia="SimSun" w:cs="SimSun"/>
          <w:sz w:val="21"/>
          <w:szCs w:val="21"/>
          <w:spacing w:val="-11"/>
        </w:rPr>
        <w:t>上用传统的反垄断法框架就能分析和执法。理查德·波斯纳法官很早</w:t>
      </w:r>
      <w:r>
        <w:rPr>
          <w:rFonts w:ascii="SimSun" w:hAnsi="SimSun" w:eastAsia="SimSun" w:cs="SimSun"/>
          <w:sz w:val="21"/>
          <w:szCs w:val="21"/>
          <w:spacing w:val="18"/>
        </w:rPr>
        <w:t xml:space="preserve"> </w:t>
      </w:r>
      <w:r>
        <w:rPr>
          <w:rFonts w:ascii="SimSun" w:hAnsi="SimSun" w:eastAsia="SimSun" w:cs="SimSun"/>
          <w:sz w:val="21"/>
          <w:szCs w:val="21"/>
          <w:spacing w:val="-11"/>
        </w:rPr>
        <w:t>就指出，新经济并不构成对反垄断法框架的挑战。平台带来的挑战更</w:t>
      </w:r>
      <w:r>
        <w:rPr>
          <w:rFonts w:ascii="SimSun" w:hAnsi="SimSun" w:eastAsia="SimSun" w:cs="SimSun"/>
          <w:sz w:val="21"/>
          <w:szCs w:val="21"/>
          <w:spacing w:val="18"/>
        </w:rPr>
        <w:t xml:space="preserve"> </w:t>
      </w:r>
      <w:r>
        <w:rPr>
          <w:rFonts w:ascii="SimSun" w:hAnsi="SimSun" w:eastAsia="SimSun" w:cs="SimSun"/>
          <w:sz w:val="21"/>
          <w:szCs w:val="21"/>
          <w:spacing w:val="-11"/>
        </w:rPr>
        <w:t>多是建立在经济测量、成本收益分析、市场界定之上的，这些本来就</w:t>
      </w:r>
      <w:r>
        <w:rPr>
          <w:rFonts w:ascii="SimSun" w:hAnsi="SimSun" w:eastAsia="SimSun" w:cs="SimSun"/>
          <w:sz w:val="21"/>
          <w:szCs w:val="21"/>
          <w:spacing w:val="18"/>
        </w:rPr>
        <w:t xml:space="preserve"> </w:t>
      </w:r>
      <w:r>
        <w:rPr>
          <w:rFonts w:ascii="SimSun" w:hAnsi="SimSun" w:eastAsia="SimSun" w:cs="SimSun"/>
          <w:sz w:val="21"/>
          <w:szCs w:val="21"/>
          <w:spacing w:val="-10"/>
        </w:rPr>
        <w:t>是反垄断法持续面对的问题，并不会因为平台的出现而发生根本性的</w:t>
      </w:r>
    </w:p>
    <w:p>
      <w:pPr>
        <w:spacing w:line="306" w:lineRule="auto"/>
        <w:sectPr>
          <w:headerReference w:type="default" r:id="rId68"/>
          <w:pgSz w:w="7330" w:h="12480"/>
          <w:pgMar w:top="795" w:right="802" w:bottom="400" w:left="405" w:header="632"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15"/>
        <w:spacing w:before="68" w:line="293" w:lineRule="auto"/>
        <w:jc w:val="both"/>
        <w:rPr>
          <w:rFonts w:ascii="SimSun" w:hAnsi="SimSun" w:eastAsia="SimSun" w:cs="SimSun"/>
          <w:sz w:val="21"/>
          <w:szCs w:val="21"/>
        </w:rPr>
      </w:pPr>
      <w:r>
        <w:rPr>
          <w:rFonts w:ascii="SimSun" w:hAnsi="SimSun" w:eastAsia="SimSun" w:cs="SimSun"/>
          <w:sz w:val="21"/>
          <w:szCs w:val="21"/>
          <w:spacing w:val="-8"/>
        </w:rPr>
        <w:t>动摇。度量问题实际上是一个信息和情报收集问题，</w:t>
      </w:r>
      <w:r>
        <w:rPr>
          <w:rFonts w:ascii="SimSun" w:hAnsi="SimSun" w:eastAsia="SimSun" w:cs="SimSun"/>
          <w:sz w:val="21"/>
          <w:szCs w:val="21"/>
          <w:spacing w:val="-9"/>
        </w:rPr>
        <w:t>而非理论问题。</w:t>
      </w:r>
      <w:r>
        <w:rPr>
          <w:rFonts w:ascii="SimSun" w:hAnsi="SimSun" w:eastAsia="SimSun" w:cs="SimSun"/>
          <w:sz w:val="21"/>
          <w:szCs w:val="21"/>
        </w:rPr>
        <w:t xml:space="preserve"> </w:t>
      </w:r>
      <w:r>
        <w:rPr>
          <w:rFonts w:ascii="SimSun" w:hAnsi="SimSun" w:eastAsia="SimSun" w:cs="SimSun"/>
          <w:sz w:val="21"/>
          <w:szCs w:val="21"/>
          <w:spacing w:val="-11"/>
        </w:rPr>
        <w:t>而随着近年来产业组织理论和反垄断经济学的发展，传统</w:t>
      </w:r>
      <w:r>
        <w:rPr>
          <w:rFonts w:ascii="SimSun" w:hAnsi="SimSun" w:eastAsia="SimSun" w:cs="SimSun"/>
          <w:sz w:val="21"/>
          <w:szCs w:val="21"/>
          <w:spacing w:val="-12"/>
        </w:rPr>
        <w:t>经济分析和</w:t>
      </w:r>
      <w:r>
        <w:rPr>
          <w:rFonts w:ascii="SimSun" w:hAnsi="SimSun" w:eastAsia="SimSun" w:cs="SimSun"/>
          <w:sz w:val="21"/>
          <w:szCs w:val="21"/>
        </w:rPr>
        <w:t xml:space="preserve">  </w:t>
      </w:r>
      <w:r>
        <w:rPr>
          <w:rFonts w:ascii="SimSun" w:hAnsi="SimSun" w:eastAsia="SimSun" w:cs="SimSun"/>
          <w:sz w:val="21"/>
          <w:szCs w:val="21"/>
          <w:spacing w:val="-8"/>
        </w:rPr>
        <w:t>市场-产业组织理论框架下已经发展出较为成熟的具有可操作性的分</w:t>
      </w:r>
      <w:r>
        <w:rPr>
          <w:rFonts w:ascii="SimSun" w:hAnsi="SimSun" w:eastAsia="SimSun" w:cs="SimSun"/>
          <w:sz w:val="21"/>
          <w:szCs w:val="21"/>
          <w:spacing w:val="1"/>
        </w:rPr>
        <w:t xml:space="preserve">  </w:t>
      </w:r>
      <w:r>
        <w:rPr>
          <w:rFonts w:ascii="SimSun" w:hAnsi="SimSun" w:eastAsia="SimSun" w:cs="SimSun"/>
          <w:sz w:val="21"/>
          <w:szCs w:val="21"/>
          <w:spacing w:val="-8"/>
        </w:rPr>
        <w:t>析方法。</w:t>
      </w:r>
    </w:p>
    <w:p>
      <w:pPr>
        <w:ind w:right="15" w:firstLine="449"/>
        <w:spacing w:before="105" w:line="301" w:lineRule="auto"/>
        <w:jc w:val="both"/>
        <w:rPr>
          <w:rFonts w:ascii="SimSun" w:hAnsi="SimSun" w:eastAsia="SimSun" w:cs="SimSun"/>
          <w:sz w:val="21"/>
          <w:szCs w:val="21"/>
        </w:rPr>
      </w:pPr>
      <w:r>
        <w:rPr>
          <w:rFonts w:ascii="SimSun" w:hAnsi="SimSun" w:eastAsia="SimSun" w:cs="SimSun"/>
          <w:sz w:val="21"/>
          <w:szCs w:val="21"/>
          <w:spacing w:val="-3"/>
        </w:rPr>
        <w:t>在数字经济时代，面向大型科技平台企业，我国2021年的“强</w:t>
      </w:r>
      <w:r>
        <w:rPr>
          <w:rFonts w:ascii="SimSun" w:hAnsi="SimSun" w:eastAsia="SimSun" w:cs="SimSun"/>
          <w:sz w:val="21"/>
          <w:szCs w:val="21"/>
          <w:spacing w:val="6"/>
        </w:rPr>
        <w:t xml:space="preserve"> </w:t>
      </w:r>
      <w:r>
        <w:rPr>
          <w:rFonts w:ascii="SimSun" w:hAnsi="SimSun" w:eastAsia="SimSun" w:cs="SimSun"/>
          <w:sz w:val="21"/>
          <w:szCs w:val="21"/>
          <w:spacing w:val="-8"/>
        </w:rPr>
        <w:t>监管”出现了重复监管、监管竞争、运动式执法和联</w:t>
      </w:r>
      <w:r>
        <w:rPr>
          <w:rFonts w:ascii="SimSun" w:hAnsi="SimSun" w:eastAsia="SimSun" w:cs="SimSun"/>
          <w:sz w:val="21"/>
          <w:szCs w:val="21"/>
          <w:spacing w:val="-9"/>
        </w:rPr>
        <w:t>合执法等现象，</w:t>
      </w:r>
      <w:r>
        <w:rPr>
          <w:rFonts w:ascii="SimSun" w:hAnsi="SimSun" w:eastAsia="SimSun" w:cs="SimSun"/>
          <w:sz w:val="21"/>
          <w:szCs w:val="21"/>
        </w:rPr>
        <w:t xml:space="preserve"> </w:t>
      </w:r>
      <w:r>
        <w:rPr>
          <w:rFonts w:ascii="SimSun" w:hAnsi="SimSun" w:eastAsia="SimSun" w:cs="SimSun"/>
          <w:sz w:val="21"/>
          <w:szCs w:val="21"/>
          <w:spacing w:val="-12"/>
        </w:rPr>
        <w:t>但是对行政监管的依赖并没有改变。就监管的任务而言，未来“防止</w:t>
      </w:r>
      <w:r>
        <w:rPr>
          <w:rFonts w:ascii="SimSun" w:hAnsi="SimSun" w:eastAsia="SimSun" w:cs="SimSun"/>
          <w:sz w:val="21"/>
          <w:szCs w:val="21"/>
          <w:spacing w:val="9"/>
        </w:rPr>
        <w:t xml:space="preserve">  </w:t>
      </w:r>
      <w:r>
        <w:rPr>
          <w:rFonts w:ascii="SimSun" w:hAnsi="SimSun" w:eastAsia="SimSun" w:cs="SimSun"/>
          <w:sz w:val="21"/>
          <w:szCs w:val="21"/>
          <w:spacing w:val="-11"/>
        </w:rPr>
        <w:t>资本无序扩张”的目标也不仅仅是反垄断部门的，更多</w:t>
      </w:r>
      <w:r>
        <w:rPr>
          <w:rFonts w:ascii="SimSun" w:hAnsi="SimSun" w:eastAsia="SimSun" w:cs="SimSun"/>
          <w:sz w:val="21"/>
          <w:szCs w:val="21"/>
          <w:spacing w:val="-12"/>
        </w:rPr>
        <w:t>是监管部门的</w:t>
      </w:r>
      <w:r>
        <w:rPr>
          <w:rFonts w:ascii="SimSun" w:hAnsi="SimSun" w:eastAsia="SimSun" w:cs="SimSun"/>
          <w:sz w:val="21"/>
          <w:szCs w:val="21"/>
        </w:rPr>
        <w:t xml:space="preserve">  </w:t>
      </w:r>
      <w:r>
        <w:rPr>
          <w:rFonts w:ascii="SimSun" w:hAnsi="SimSun" w:eastAsia="SimSun" w:cs="SimSun"/>
          <w:sz w:val="21"/>
          <w:szCs w:val="21"/>
          <w:spacing w:val="-11"/>
        </w:rPr>
        <w:t>职责。同时，与“防止资本无序扩张”相对应的应当是“推动有序增 </w:t>
      </w:r>
      <w:r>
        <w:rPr>
          <w:rFonts w:ascii="SimSun" w:hAnsi="SimSun" w:eastAsia="SimSun" w:cs="SimSun"/>
          <w:sz w:val="21"/>
          <w:szCs w:val="21"/>
          <w:spacing w:val="-11"/>
        </w:rPr>
        <w:t>长”,而这就意味着监管升级的内在需要。针</w:t>
      </w:r>
      <w:r>
        <w:rPr>
          <w:rFonts w:ascii="SimSun" w:hAnsi="SimSun" w:eastAsia="SimSun" w:cs="SimSun"/>
          <w:sz w:val="21"/>
          <w:szCs w:val="21"/>
          <w:spacing w:val="-12"/>
        </w:rPr>
        <w:t>对平台经济的好的监管，</w:t>
      </w:r>
      <w:r>
        <w:rPr>
          <w:rFonts w:ascii="SimSun" w:hAnsi="SimSun" w:eastAsia="SimSun" w:cs="SimSun"/>
          <w:sz w:val="21"/>
          <w:szCs w:val="21"/>
        </w:rPr>
        <w:t xml:space="preserve"> </w:t>
      </w:r>
      <w:r>
        <w:rPr>
          <w:rFonts w:ascii="SimSun" w:hAnsi="SimSun" w:eastAsia="SimSun" w:cs="SimSun"/>
          <w:sz w:val="21"/>
          <w:szCs w:val="21"/>
          <w:spacing w:val="-8"/>
        </w:rPr>
        <w:t>应当是法治下的监管，也应当是“回应型监管”,对结果负责，更好</w:t>
      </w:r>
      <w:r>
        <w:rPr>
          <w:rFonts w:ascii="SimSun" w:hAnsi="SimSun" w:eastAsia="SimSun" w:cs="SimSun"/>
          <w:sz w:val="21"/>
          <w:szCs w:val="21"/>
        </w:rPr>
        <w:t xml:space="preserve">  </w:t>
      </w:r>
      <w:r>
        <w:rPr>
          <w:rFonts w:ascii="SimSun" w:hAnsi="SimSun" w:eastAsia="SimSun" w:cs="SimSun"/>
          <w:sz w:val="21"/>
          <w:szCs w:val="21"/>
          <w:spacing w:val="-11"/>
        </w:rPr>
        <w:t>地利用各种市场、中间层机制，更快对企业行为的边</w:t>
      </w:r>
      <w:r>
        <w:rPr>
          <w:rFonts w:ascii="SimSun" w:hAnsi="SimSun" w:eastAsia="SimSun" w:cs="SimSun"/>
          <w:sz w:val="21"/>
          <w:szCs w:val="21"/>
          <w:spacing w:val="-12"/>
        </w:rPr>
        <w:t>界做出反馈，利</w:t>
      </w:r>
      <w:r>
        <w:rPr>
          <w:rFonts w:ascii="SimSun" w:hAnsi="SimSun" w:eastAsia="SimSun" w:cs="SimSun"/>
          <w:sz w:val="21"/>
          <w:szCs w:val="21"/>
        </w:rPr>
        <w:t xml:space="preserve">  </w:t>
      </w:r>
      <w:r>
        <w:rPr>
          <w:rFonts w:ascii="SimSun" w:hAnsi="SimSun" w:eastAsia="SimSun" w:cs="SimSun"/>
          <w:sz w:val="21"/>
          <w:szCs w:val="21"/>
          <w:spacing w:val="-11"/>
        </w:rPr>
        <w:t>用常规化执法引导企业的有序增长。同时，</w:t>
      </w:r>
      <w:r>
        <w:rPr>
          <w:rFonts w:ascii="SimSun" w:hAnsi="SimSun" w:eastAsia="SimSun" w:cs="SimSun"/>
          <w:sz w:val="21"/>
          <w:szCs w:val="21"/>
          <w:spacing w:val="-12"/>
        </w:rPr>
        <w:t>针对未来产业划分给监管</w:t>
      </w:r>
      <w:r>
        <w:rPr>
          <w:rFonts w:ascii="SimSun" w:hAnsi="SimSun" w:eastAsia="SimSun" w:cs="SimSun"/>
          <w:sz w:val="21"/>
          <w:szCs w:val="21"/>
        </w:rPr>
        <w:t xml:space="preserve">  </w:t>
      </w:r>
      <w:r>
        <w:rPr>
          <w:rFonts w:ascii="SimSun" w:hAnsi="SimSun" w:eastAsia="SimSun" w:cs="SimSun"/>
          <w:sz w:val="21"/>
          <w:szCs w:val="21"/>
          <w:spacing w:val="-11"/>
        </w:rPr>
        <w:t>权力划分带来的挑战，建议将“数字经济法</w:t>
      </w:r>
      <w:r>
        <w:rPr>
          <w:rFonts w:ascii="SimSun" w:hAnsi="SimSun" w:eastAsia="SimSun" w:cs="SimSun"/>
          <w:sz w:val="21"/>
          <w:szCs w:val="21"/>
          <w:spacing w:val="-12"/>
        </w:rPr>
        <w:t>”的制定提上日程，尽管</w:t>
      </w:r>
      <w:r>
        <w:rPr>
          <w:rFonts w:ascii="SimSun" w:hAnsi="SimSun" w:eastAsia="SimSun" w:cs="SimSun"/>
          <w:sz w:val="21"/>
          <w:szCs w:val="21"/>
        </w:rPr>
        <w:t xml:space="preserve">  </w:t>
      </w:r>
      <w:r>
        <w:rPr>
          <w:rFonts w:ascii="SimSun" w:hAnsi="SimSun" w:eastAsia="SimSun" w:cs="SimSun"/>
          <w:sz w:val="21"/>
          <w:szCs w:val="21"/>
          <w:spacing w:val="-12"/>
        </w:rPr>
        <w:t>许多具体的问题在快速演化的数字经济面前未必能很快形成很强的共</w:t>
      </w:r>
      <w:r>
        <w:rPr>
          <w:rFonts w:ascii="SimSun" w:hAnsi="SimSun" w:eastAsia="SimSun" w:cs="SimSun"/>
          <w:sz w:val="21"/>
          <w:szCs w:val="21"/>
          <w:spacing w:val="8"/>
        </w:rPr>
        <w:t xml:space="preserve">  </w:t>
      </w:r>
      <w:r>
        <w:rPr>
          <w:rFonts w:ascii="SimSun" w:hAnsi="SimSun" w:eastAsia="SimSun" w:cs="SimSun"/>
          <w:sz w:val="21"/>
          <w:szCs w:val="21"/>
          <w:spacing w:val="-12"/>
        </w:rPr>
        <w:t>识和理论基础，但这样的立法规划可以将大型科技平台监管中的具体</w:t>
      </w:r>
      <w:r>
        <w:rPr>
          <w:rFonts w:ascii="SimSun" w:hAnsi="SimSun" w:eastAsia="SimSun" w:cs="SimSun"/>
          <w:sz w:val="21"/>
          <w:szCs w:val="21"/>
          <w:spacing w:val="8"/>
        </w:rPr>
        <w:t xml:space="preserve">  </w:t>
      </w:r>
      <w:r>
        <w:rPr>
          <w:rFonts w:ascii="SimSun" w:hAnsi="SimSun" w:eastAsia="SimSun" w:cs="SimSun"/>
          <w:sz w:val="21"/>
          <w:szCs w:val="21"/>
          <w:spacing w:val="-5"/>
        </w:rPr>
        <w:t>问题纳入公开讨论(详见第十三章)。</w:t>
      </w:r>
    </w:p>
    <w:p>
      <w:pPr>
        <w:pStyle w:val="BodyText"/>
        <w:spacing w:line="476" w:lineRule="auto"/>
        <w:rPr/>
      </w:pPr>
      <w:r/>
    </w:p>
    <w:p>
      <w:pPr>
        <w:ind w:left="1664"/>
        <w:spacing w:before="104" w:line="707" w:lineRule="exact"/>
        <w:rPr>
          <w:rFonts w:ascii="SimSun" w:hAnsi="SimSun" w:eastAsia="SimSun" w:cs="SimSun"/>
          <w:sz w:val="32"/>
          <w:szCs w:val="32"/>
        </w:rPr>
      </w:pPr>
      <w:r>
        <w:rPr>
          <w:rFonts w:ascii="SimSun" w:hAnsi="SimSun" w:eastAsia="SimSun" w:cs="SimSun"/>
          <w:sz w:val="32"/>
          <w:szCs w:val="32"/>
          <w:b/>
          <w:bCs/>
          <w:spacing w:val="-8"/>
          <w:position w:val="29"/>
        </w:rPr>
        <w:t>主要结论与政策建议</w:t>
      </w:r>
    </w:p>
    <w:p>
      <w:pPr>
        <w:ind w:left="3"/>
        <w:spacing w:line="222" w:lineRule="auto"/>
        <w:rPr>
          <w:rFonts w:ascii="SimHei" w:hAnsi="SimHei" w:eastAsia="SimHei" w:cs="SimHei"/>
          <w:sz w:val="25"/>
          <w:szCs w:val="25"/>
        </w:rPr>
      </w:pPr>
      <w:r>
        <w:rPr>
          <w:rFonts w:ascii="SimHei" w:hAnsi="SimHei" w:eastAsia="SimHei" w:cs="SimHei"/>
          <w:sz w:val="25"/>
          <w:szCs w:val="25"/>
          <w:b/>
          <w:bCs/>
          <w:spacing w:val="-13"/>
        </w:rPr>
        <w:t>几点主要结论</w:t>
      </w:r>
    </w:p>
    <w:p>
      <w:pPr>
        <w:pStyle w:val="BodyText"/>
        <w:spacing w:line="360" w:lineRule="auto"/>
        <w:rPr/>
      </w:pPr>
      <w:r/>
    </w:p>
    <w:p>
      <w:pPr>
        <w:ind w:firstLine="460"/>
        <w:spacing w:before="69" w:line="297" w:lineRule="auto"/>
        <w:rPr>
          <w:rFonts w:ascii="SimSun" w:hAnsi="SimSun" w:eastAsia="SimSun" w:cs="SimSun"/>
          <w:sz w:val="21"/>
          <w:szCs w:val="21"/>
        </w:rPr>
      </w:pPr>
      <w:r>
        <w:rPr>
          <w:rFonts w:ascii="SimSun" w:hAnsi="SimSun" w:eastAsia="SimSun" w:cs="SimSun"/>
          <w:sz w:val="21"/>
          <w:szCs w:val="21"/>
          <w:spacing w:val="-13"/>
        </w:rPr>
        <w:t>一 、我国的平台经济规模名列全球第二，但技术优势不突出，国</w:t>
      </w:r>
      <w:r>
        <w:rPr>
          <w:rFonts w:ascii="SimSun" w:hAnsi="SimSun" w:eastAsia="SimSun" w:cs="SimSun"/>
          <w:sz w:val="21"/>
          <w:szCs w:val="21"/>
          <w:spacing w:val="1"/>
        </w:rPr>
        <w:t xml:space="preserve"> </w:t>
      </w:r>
      <w:r>
        <w:rPr>
          <w:rFonts w:ascii="SimSun" w:hAnsi="SimSun" w:eastAsia="SimSun" w:cs="SimSun"/>
          <w:sz w:val="21"/>
          <w:szCs w:val="21"/>
          <w:spacing w:val="-11"/>
        </w:rPr>
        <w:t>际化程度较低，而且近年还出现了明显的下滑趋势。我国平台经济的</w:t>
      </w:r>
      <w:r>
        <w:rPr>
          <w:rFonts w:ascii="SimSun" w:hAnsi="SimSun" w:eastAsia="SimSun" w:cs="SimSun"/>
          <w:sz w:val="21"/>
          <w:szCs w:val="21"/>
          <w:spacing w:val="7"/>
        </w:rPr>
        <w:t xml:space="preserve">  </w:t>
      </w:r>
      <w:r>
        <w:rPr>
          <w:rFonts w:ascii="SimSun" w:hAnsi="SimSun" w:eastAsia="SimSun" w:cs="SimSun"/>
          <w:sz w:val="21"/>
          <w:szCs w:val="21"/>
          <w:spacing w:val="-8"/>
        </w:rPr>
        <w:t>发展，主要得益于四个重要的条件，即较为有利的政</w:t>
      </w:r>
      <w:r>
        <w:rPr>
          <w:rFonts w:ascii="SimSun" w:hAnsi="SimSun" w:eastAsia="SimSun" w:cs="SimSun"/>
          <w:sz w:val="21"/>
          <w:szCs w:val="21"/>
          <w:spacing w:val="-9"/>
        </w:rPr>
        <w:t>策与硬件环境、</w:t>
      </w:r>
      <w:r>
        <w:rPr>
          <w:rFonts w:ascii="SimSun" w:hAnsi="SimSun" w:eastAsia="SimSun" w:cs="SimSun"/>
          <w:sz w:val="21"/>
          <w:szCs w:val="21"/>
        </w:rPr>
        <w:t xml:space="preserve"> </w:t>
      </w:r>
      <w:r>
        <w:rPr>
          <w:rFonts w:ascii="SimSun" w:hAnsi="SimSun" w:eastAsia="SimSun" w:cs="SimSun"/>
          <w:sz w:val="21"/>
          <w:szCs w:val="21"/>
          <w:spacing w:val="-11"/>
        </w:rPr>
        <w:t>庞大的国内市场、较低的个人权益保护意识，以及与国际市场相对分</w:t>
      </w:r>
      <w:r>
        <w:rPr>
          <w:rFonts w:ascii="SimSun" w:hAnsi="SimSun" w:eastAsia="SimSun" w:cs="SimSun"/>
          <w:sz w:val="21"/>
          <w:szCs w:val="21"/>
          <w:spacing w:val="3"/>
        </w:rPr>
        <w:t xml:space="preserve">  </w:t>
      </w:r>
      <w:r>
        <w:rPr>
          <w:rFonts w:ascii="SimSun" w:hAnsi="SimSun" w:eastAsia="SimSun" w:cs="SimSun"/>
          <w:sz w:val="21"/>
          <w:szCs w:val="21"/>
          <w:spacing w:val="-11"/>
        </w:rPr>
        <w:t>隔。与美国的同行相比，无论是规模还是技术，我国的平台经济</w:t>
      </w:r>
      <w:r>
        <w:rPr>
          <w:rFonts w:ascii="SimSun" w:hAnsi="SimSun" w:eastAsia="SimSun" w:cs="SimSun"/>
          <w:sz w:val="21"/>
          <w:szCs w:val="21"/>
          <w:spacing w:val="-12"/>
        </w:rPr>
        <w:t>都存</w:t>
      </w:r>
    </w:p>
    <w:p>
      <w:pPr>
        <w:spacing w:line="297" w:lineRule="auto"/>
        <w:sectPr>
          <w:headerReference w:type="default" r:id="rId69"/>
          <w:pgSz w:w="7330" w:h="12480"/>
          <w:pgMar w:top="535" w:right="389" w:bottom="400" w:left="869" w:header="373"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91"/>
        <w:spacing w:before="68" w:line="297" w:lineRule="auto"/>
        <w:jc w:val="both"/>
        <w:rPr>
          <w:rFonts w:ascii="SimSun" w:hAnsi="SimSun" w:eastAsia="SimSun" w:cs="SimSun"/>
          <w:sz w:val="21"/>
          <w:szCs w:val="21"/>
        </w:rPr>
      </w:pPr>
      <w:r>
        <w:rPr>
          <w:rFonts w:ascii="SimSun" w:hAnsi="SimSun" w:eastAsia="SimSun" w:cs="SimSun"/>
          <w:sz w:val="21"/>
          <w:szCs w:val="21"/>
          <w:spacing w:val="-4"/>
        </w:rPr>
        <w:t>在较大的差距，而且近年差距还有所扩大，数字经济部门对</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4"/>
        </w:rPr>
        <w:t>TFP</w:t>
      </w:r>
      <w:r>
        <w:rPr>
          <w:rFonts w:ascii="SimSun" w:hAnsi="SimSun" w:eastAsia="SimSun" w:cs="SimSun"/>
          <w:sz w:val="21"/>
          <w:szCs w:val="21"/>
          <w:spacing w:val="-4"/>
        </w:rPr>
        <w:t>增</w:t>
      </w:r>
      <w:r>
        <w:rPr>
          <w:rFonts w:ascii="SimSun" w:hAnsi="SimSun" w:eastAsia="SimSun" w:cs="SimSun"/>
          <w:sz w:val="21"/>
          <w:szCs w:val="21"/>
        </w:rPr>
        <w:t xml:space="preserve"> </w:t>
      </w:r>
      <w:r>
        <w:rPr>
          <w:rFonts w:ascii="SimSun" w:hAnsi="SimSun" w:eastAsia="SimSun" w:cs="SimSun"/>
          <w:sz w:val="21"/>
          <w:szCs w:val="21"/>
          <w:spacing w:val="-11"/>
        </w:rPr>
        <w:t>长的贡献也出现了减弱的趋势。平台经济发展相对转弱，既有平台企</w:t>
      </w:r>
      <w:r>
        <w:rPr>
          <w:rFonts w:ascii="SimSun" w:hAnsi="SimSun" w:eastAsia="SimSun" w:cs="SimSun"/>
          <w:sz w:val="21"/>
          <w:szCs w:val="21"/>
          <w:spacing w:val="7"/>
        </w:rPr>
        <w:t xml:space="preserve"> </w:t>
      </w:r>
      <w:r>
        <w:rPr>
          <w:rFonts w:ascii="SimSun" w:hAnsi="SimSun" w:eastAsia="SimSun" w:cs="SimSun"/>
          <w:sz w:val="21"/>
          <w:szCs w:val="21"/>
          <w:spacing w:val="-11"/>
        </w:rPr>
        <w:t>业的原因，也有政策层面的因素。因此，增强平台经济的创新能力已</w:t>
      </w:r>
      <w:r>
        <w:rPr>
          <w:rFonts w:ascii="SimSun" w:hAnsi="SimSun" w:eastAsia="SimSun" w:cs="SimSun"/>
          <w:sz w:val="21"/>
          <w:szCs w:val="21"/>
          <w:spacing w:val="12"/>
        </w:rPr>
        <w:t xml:space="preserve"> </w:t>
      </w:r>
      <w:r>
        <w:rPr>
          <w:rFonts w:ascii="SimSun" w:hAnsi="SimSun" w:eastAsia="SimSun" w:cs="SimSun"/>
          <w:sz w:val="21"/>
          <w:szCs w:val="21"/>
          <w:spacing w:val="-11"/>
        </w:rPr>
        <w:t>经成为十分迫切的任务。唯有如此，我国的平台企业将来才有可能从</w:t>
      </w:r>
      <w:r>
        <w:rPr>
          <w:rFonts w:ascii="SimSun" w:hAnsi="SimSun" w:eastAsia="SimSun" w:cs="SimSun"/>
          <w:sz w:val="21"/>
          <w:szCs w:val="21"/>
          <w:spacing w:val="6"/>
        </w:rPr>
        <w:t xml:space="preserve"> </w:t>
      </w:r>
      <w:r>
        <w:rPr>
          <w:rFonts w:ascii="SimSun" w:hAnsi="SimSun" w:eastAsia="SimSun" w:cs="SimSun"/>
          <w:sz w:val="21"/>
          <w:szCs w:val="21"/>
          <w:spacing w:val="-14"/>
        </w:rPr>
        <w:t>容应对国际竞争。</w:t>
      </w:r>
    </w:p>
    <w:p>
      <w:pPr>
        <w:pStyle w:val="BodyText"/>
        <w:ind w:firstLine="399"/>
        <w:spacing w:before="106" w:line="305" w:lineRule="auto"/>
        <w:jc w:val="both"/>
        <w:rPr>
          <w:rFonts w:ascii="SimSun" w:hAnsi="SimSun" w:eastAsia="SimSun" w:cs="SimSun"/>
        </w:rPr>
      </w:pPr>
      <w:r>
        <w:rPr>
          <w:rFonts w:ascii="SimSun" w:hAnsi="SimSun" w:eastAsia="SimSun" w:cs="SimSun"/>
          <w:spacing w:val="-11"/>
        </w:rPr>
        <w:t>二、平台经济发展既提升了服务的普惠性，又降低了创新、创业</w:t>
      </w:r>
      <w:r>
        <w:rPr>
          <w:rFonts w:ascii="SimSun" w:hAnsi="SimSun" w:eastAsia="SimSun" w:cs="SimSun"/>
          <w:spacing w:val="2"/>
        </w:rPr>
        <w:t xml:space="preserve">  </w:t>
      </w:r>
      <w:r>
        <w:rPr>
          <w:rFonts w:ascii="SimSun" w:hAnsi="SimSun" w:eastAsia="SimSun" w:cs="SimSun"/>
          <w:spacing w:val="-8"/>
        </w:rPr>
        <w:t>的门槛，有力地支持了创新活动和经济增长。长尾效应、网络效应、</w:t>
      </w:r>
      <w:r>
        <w:rPr>
          <w:rFonts w:ascii="SimSun" w:hAnsi="SimSun" w:eastAsia="SimSun" w:cs="SimSun"/>
          <w:spacing w:val="14"/>
        </w:rPr>
        <w:t xml:space="preserve"> </w:t>
      </w:r>
      <w:r>
        <w:rPr>
          <w:rFonts w:ascii="SimSun" w:hAnsi="SimSun" w:eastAsia="SimSun" w:cs="SimSun"/>
          <w:spacing w:val="-11"/>
        </w:rPr>
        <w:t>规模经济和范围经济等特性使平台可以覆盖海量的用户并快速提供个</w:t>
      </w:r>
      <w:r>
        <w:rPr>
          <w:rFonts w:ascii="SimSun" w:hAnsi="SimSun" w:eastAsia="SimSun" w:cs="SimSun"/>
          <w:spacing w:val="3"/>
        </w:rPr>
        <w:t xml:space="preserve">  </w:t>
      </w:r>
      <w:r>
        <w:rPr>
          <w:rFonts w:ascii="SimSun" w:hAnsi="SimSun" w:eastAsia="SimSun" w:cs="SimSun"/>
          <w:spacing w:val="-4"/>
        </w:rPr>
        <w:t>性化的产品与服务。平台还大大降低了创业的门槛，大量原先无法</w:t>
      </w:r>
      <w:r>
        <w:rPr>
          <w:rFonts w:ascii="SimSun" w:hAnsi="SimSun" w:eastAsia="SimSun" w:cs="SimSun"/>
          <w:spacing w:val="1"/>
        </w:rPr>
        <w:t xml:space="preserve">  </w:t>
      </w:r>
      <w:r>
        <w:rPr>
          <w:rFonts w:ascii="SimSun" w:hAnsi="SimSun" w:eastAsia="SimSun" w:cs="SimSun"/>
          <w:spacing w:val="-11"/>
        </w:rPr>
        <w:t>在线下创业的人士在线上开办了企业与商店。同时平台还在一定程度</w:t>
      </w:r>
      <w:r>
        <w:rPr>
          <w:rFonts w:ascii="SimSun" w:hAnsi="SimSun" w:eastAsia="SimSun" w:cs="SimSun"/>
          <w:spacing w:val="5"/>
        </w:rPr>
        <w:t xml:space="preserve">  </w:t>
      </w:r>
      <w:r>
        <w:rPr>
          <w:rFonts w:ascii="SimSun" w:hAnsi="SimSun" w:eastAsia="SimSun" w:cs="SimSun"/>
          <w:spacing w:val="-12"/>
        </w:rPr>
        <w:t>上发挥孵化器的功能，提供融资、辅导、撮合等服务，支持线上企业</w:t>
      </w:r>
      <w:r>
        <w:rPr>
          <w:rFonts w:ascii="SimSun" w:hAnsi="SimSun" w:eastAsia="SimSun" w:cs="SimSun"/>
          <w:spacing w:val="7"/>
        </w:rPr>
        <w:t xml:space="preserve">  </w:t>
      </w:r>
      <w:r>
        <w:rPr>
          <w:rFonts w:ascii="SimSun" w:hAnsi="SimSun" w:eastAsia="SimSun" w:cs="SimSun"/>
          <w:spacing w:val="2"/>
        </w:rPr>
        <w:t>的成长。目前数字经济部门的增加值占</w:t>
      </w:r>
      <w:r>
        <w:rPr>
          <w:rFonts w:ascii="SimSun" w:hAnsi="SimSun" w:eastAsia="SimSun" w:cs="SimSun"/>
        </w:rPr>
        <w:t>GDP</w:t>
      </w:r>
      <w:r>
        <w:rPr>
          <w:rFonts w:ascii="SimSun" w:hAnsi="SimSun" w:eastAsia="SimSun" w:cs="SimSun"/>
          <w:spacing w:val="42"/>
        </w:rPr>
        <w:t xml:space="preserve"> </w:t>
      </w:r>
      <w:r>
        <w:rPr>
          <w:rFonts w:ascii="SimSun" w:hAnsi="SimSun" w:eastAsia="SimSun" w:cs="SimSun"/>
          <w:spacing w:val="2"/>
        </w:rPr>
        <w:t>之比已经超过1/3,对</w:t>
      </w:r>
      <w:r>
        <w:rPr>
          <w:rFonts w:ascii="SimSun" w:hAnsi="SimSun" w:eastAsia="SimSun" w:cs="SimSun"/>
        </w:rPr>
        <w:t xml:space="preserve">  </w:t>
      </w:r>
      <w:r>
        <w:rPr>
          <w:rFonts w:ascii="Times New Roman" w:hAnsi="Times New Roman" w:eastAsia="Times New Roman" w:cs="Times New Roman"/>
          <w:spacing w:val="-4"/>
        </w:rPr>
        <w:t>GDP</w:t>
      </w:r>
      <w:r>
        <w:rPr>
          <w:rFonts w:ascii="SimSun" w:hAnsi="SimSun" w:eastAsia="SimSun" w:cs="SimSun"/>
          <w:spacing w:val="-4"/>
        </w:rPr>
        <w:t>增长的贡献已经接近</w:t>
      </w:r>
      <w:r>
        <w:rPr>
          <w:spacing w:val="-4"/>
        </w:rPr>
        <w:t>3/4</w:t>
      </w:r>
      <w:r>
        <w:rPr>
          <w:rFonts w:ascii="SimSun" w:hAnsi="SimSun" w:eastAsia="SimSun" w:cs="SimSun"/>
          <w:spacing w:val="-4"/>
        </w:rPr>
        <w:t>。</w:t>
      </w:r>
    </w:p>
    <w:p>
      <w:pPr>
        <w:ind w:right="75" w:firstLine="399"/>
        <w:spacing w:before="111" w:line="304" w:lineRule="auto"/>
        <w:jc w:val="both"/>
        <w:rPr>
          <w:rFonts w:ascii="SimSun" w:hAnsi="SimSun" w:eastAsia="SimSun" w:cs="SimSun"/>
          <w:sz w:val="21"/>
          <w:szCs w:val="21"/>
        </w:rPr>
      </w:pPr>
      <w:r>
        <w:rPr>
          <w:rFonts w:ascii="SimSun" w:hAnsi="SimSun" w:eastAsia="SimSun" w:cs="SimSun"/>
          <w:sz w:val="21"/>
          <w:szCs w:val="21"/>
          <w:spacing w:val="-10"/>
        </w:rPr>
        <w:t>三、平台企业在创造数以亿计的灵活就业机会的同时</w:t>
      </w:r>
      <w:r>
        <w:rPr>
          <w:rFonts w:ascii="SimSun" w:hAnsi="SimSun" w:eastAsia="SimSun" w:cs="SimSun"/>
          <w:sz w:val="21"/>
          <w:szCs w:val="21"/>
          <w:spacing w:val="-11"/>
        </w:rPr>
        <w:t>，也冲击了</w:t>
      </w:r>
      <w:r>
        <w:rPr>
          <w:rFonts w:ascii="SimSun" w:hAnsi="SimSun" w:eastAsia="SimSun" w:cs="SimSun"/>
          <w:sz w:val="21"/>
          <w:szCs w:val="21"/>
        </w:rPr>
        <w:t xml:space="preserve"> </w:t>
      </w:r>
      <w:r>
        <w:rPr>
          <w:rFonts w:ascii="SimSun" w:hAnsi="SimSun" w:eastAsia="SimSun" w:cs="SimSun"/>
          <w:sz w:val="21"/>
          <w:szCs w:val="21"/>
          <w:spacing w:val="-11"/>
        </w:rPr>
        <w:t>一些原有的工作岗位，许多“零工”劳动者还缺乏完善的福利体系保</w:t>
      </w:r>
      <w:r>
        <w:rPr>
          <w:rFonts w:ascii="SimSun" w:hAnsi="SimSun" w:eastAsia="SimSun" w:cs="SimSun"/>
          <w:sz w:val="21"/>
          <w:szCs w:val="21"/>
          <w:spacing w:val="5"/>
        </w:rPr>
        <w:t xml:space="preserve"> </w:t>
      </w:r>
      <w:r>
        <w:rPr>
          <w:rFonts w:ascii="SimSun" w:hAnsi="SimSun" w:eastAsia="SimSun" w:cs="SimSun"/>
          <w:sz w:val="21"/>
          <w:szCs w:val="21"/>
          <w:spacing w:val="-11"/>
        </w:rPr>
        <w:t>障。平台经济使得许多工作发生了从线下到线上、从固定到灵活、从</w:t>
      </w:r>
      <w:r>
        <w:rPr>
          <w:rFonts w:ascii="SimSun" w:hAnsi="SimSun" w:eastAsia="SimSun" w:cs="SimSun"/>
          <w:sz w:val="21"/>
          <w:szCs w:val="21"/>
          <w:spacing w:val="6"/>
        </w:rPr>
        <w:t xml:space="preserve"> </w:t>
      </w:r>
      <w:r>
        <w:rPr>
          <w:rFonts w:ascii="SimSun" w:hAnsi="SimSun" w:eastAsia="SimSun" w:cs="SimSun"/>
          <w:sz w:val="21"/>
          <w:szCs w:val="21"/>
          <w:spacing w:val="-11"/>
        </w:rPr>
        <w:t>单一到多元的转变，“零工”的比例大幅上升，改变了</w:t>
      </w:r>
      <w:r>
        <w:rPr>
          <w:rFonts w:ascii="SimSun" w:hAnsi="SimSun" w:eastAsia="SimSun" w:cs="SimSun"/>
          <w:sz w:val="21"/>
          <w:szCs w:val="21"/>
          <w:spacing w:val="-12"/>
        </w:rPr>
        <w:t>劳动力市场的</w:t>
      </w:r>
      <w:r>
        <w:rPr>
          <w:rFonts w:ascii="SimSun" w:hAnsi="SimSun" w:eastAsia="SimSun" w:cs="SimSun"/>
          <w:sz w:val="21"/>
          <w:szCs w:val="21"/>
        </w:rPr>
        <w:t xml:space="preserve"> </w:t>
      </w:r>
      <w:r>
        <w:rPr>
          <w:rFonts w:ascii="SimSun" w:hAnsi="SimSun" w:eastAsia="SimSun" w:cs="SimSun"/>
          <w:sz w:val="21"/>
          <w:szCs w:val="21"/>
          <w:spacing w:val="-10"/>
        </w:rPr>
        <w:t>格局。由于门槛降低、工作时间灵活，“零工”劳动者获得了新</w:t>
      </w:r>
      <w:r>
        <w:rPr>
          <w:rFonts w:ascii="SimSun" w:hAnsi="SimSun" w:eastAsia="SimSun" w:cs="SimSun"/>
          <w:sz w:val="21"/>
          <w:szCs w:val="21"/>
          <w:spacing w:val="-11"/>
        </w:rPr>
        <w:t>的就</w:t>
      </w:r>
      <w:r>
        <w:rPr>
          <w:rFonts w:ascii="SimSun" w:hAnsi="SimSun" w:eastAsia="SimSun" w:cs="SimSun"/>
          <w:sz w:val="21"/>
          <w:szCs w:val="21"/>
        </w:rPr>
        <w:t xml:space="preserve"> </w:t>
      </w:r>
      <w:r>
        <w:rPr>
          <w:rFonts w:ascii="SimSun" w:hAnsi="SimSun" w:eastAsia="SimSun" w:cs="SimSun"/>
          <w:sz w:val="21"/>
          <w:szCs w:val="21"/>
          <w:spacing w:val="-4"/>
        </w:rPr>
        <w:t>业机会与收入。但其中一部分劳动者的工作条件不好、福利保障缺</w:t>
      </w:r>
      <w:r>
        <w:rPr>
          <w:rFonts w:ascii="SimSun" w:hAnsi="SimSun" w:eastAsia="SimSun" w:cs="SimSun"/>
          <w:sz w:val="21"/>
          <w:szCs w:val="21"/>
          <w:spacing w:val="3"/>
        </w:rPr>
        <w:t xml:space="preserve"> </w:t>
      </w:r>
      <w:r>
        <w:rPr>
          <w:rFonts w:ascii="SimSun" w:hAnsi="SimSun" w:eastAsia="SimSun" w:cs="SimSun"/>
          <w:sz w:val="21"/>
          <w:szCs w:val="21"/>
          <w:spacing w:val="-11"/>
        </w:rPr>
        <w:t>乏，劳动者与平台之间不对等，平台特性容易导致收入与财富过度集</w:t>
      </w:r>
      <w:r>
        <w:rPr>
          <w:rFonts w:ascii="SimSun" w:hAnsi="SimSun" w:eastAsia="SimSun" w:cs="SimSun"/>
          <w:sz w:val="21"/>
          <w:szCs w:val="21"/>
          <w:spacing w:val="6"/>
        </w:rPr>
        <w:t xml:space="preserve"> </w:t>
      </w:r>
      <w:r>
        <w:rPr>
          <w:rFonts w:ascii="SimSun" w:hAnsi="SimSun" w:eastAsia="SimSun" w:cs="SimSun"/>
          <w:sz w:val="21"/>
          <w:szCs w:val="21"/>
          <w:spacing w:val="-12"/>
        </w:rPr>
        <w:t>中，这些可能对收入分配产生不利的影响。</w:t>
      </w:r>
    </w:p>
    <w:p>
      <w:pPr>
        <w:ind w:firstLine="399"/>
        <w:spacing w:before="117" w:line="299" w:lineRule="auto"/>
        <w:jc w:val="both"/>
        <w:rPr>
          <w:rFonts w:ascii="SimSun" w:hAnsi="SimSun" w:eastAsia="SimSun" w:cs="SimSun"/>
          <w:sz w:val="21"/>
          <w:szCs w:val="21"/>
        </w:rPr>
      </w:pPr>
      <w:r>
        <w:rPr>
          <w:rFonts w:ascii="SimSun" w:hAnsi="SimSun" w:eastAsia="SimSun" w:cs="SimSun"/>
          <w:sz w:val="21"/>
          <w:szCs w:val="21"/>
          <w:spacing w:val="-8"/>
        </w:rPr>
        <w:t>四、平台经济有助于提升国家治理能力，但同时平台身兼经营、</w:t>
      </w:r>
      <w:r>
        <w:rPr>
          <w:rFonts w:ascii="SimSun" w:hAnsi="SimSun" w:eastAsia="SimSun" w:cs="SimSun"/>
          <w:sz w:val="21"/>
          <w:szCs w:val="21"/>
          <w:spacing w:val="18"/>
        </w:rPr>
        <w:t xml:space="preserve"> </w:t>
      </w:r>
      <w:r>
        <w:rPr>
          <w:rFonts w:ascii="SimSun" w:hAnsi="SimSun" w:eastAsia="SimSun" w:cs="SimSun"/>
          <w:sz w:val="21"/>
          <w:szCs w:val="21"/>
          <w:spacing w:val="-4"/>
        </w:rPr>
        <w:t>撮合和调控的功能，有发生利益冲突的潜在风险。平台经济在帮助</w:t>
      </w:r>
      <w:r>
        <w:rPr>
          <w:rFonts w:ascii="SimSun" w:hAnsi="SimSun" w:eastAsia="SimSun" w:cs="SimSun"/>
          <w:sz w:val="21"/>
          <w:szCs w:val="21"/>
          <w:spacing w:val="3"/>
        </w:rPr>
        <w:t xml:space="preserve">  </w:t>
      </w:r>
      <w:r>
        <w:rPr>
          <w:rFonts w:ascii="SimSun" w:hAnsi="SimSun" w:eastAsia="SimSun" w:cs="SimSun"/>
          <w:sz w:val="21"/>
          <w:szCs w:val="21"/>
          <w:spacing w:val="-3"/>
        </w:rPr>
        <w:t>改善国家治理方面发挥了积极的作用，许多</w:t>
      </w:r>
      <w:r>
        <w:rPr>
          <w:rFonts w:ascii="SimSun" w:hAnsi="SimSun" w:eastAsia="SimSun" w:cs="SimSun"/>
          <w:sz w:val="21"/>
          <w:szCs w:val="21"/>
          <w:spacing w:val="-4"/>
        </w:rPr>
        <w:t>地方的电子政务、数字 </w:t>
      </w:r>
      <w:r>
        <w:rPr>
          <w:rFonts w:ascii="SimSun" w:hAnsi="SimSun" w:eastAsia="SimSun" w:cs="SimSun"/>
          <w:sz w:val="21"/>
          <w:szCs w:val="21"/>
          <w:spacing w:val="-4"/>
        </w:rPr>
        <w:t>政府、城市大脑等做得有声有色，新冠肺炎疫情期间开发的“健康</w:t>
      </w:r>
      <w:r>
        <w:rPr>
          <w:rFonts w:ascii="SimSun" w:hAnsi="SimSun" w:eastAsia="SimSun" w:cs="SimSun"/>
          <w:sz w:val="21"/>
          <w:szCs w:val="21"/>
          <w:spacing w:val="2"/>
        </w:rPr>
        <w:t xml:space="preserve">  </w:t>
      </w:r>
      <w:r>
        <w:rPr>
          <w:rFonts w:ascii="SimSun" w:hAnsi="SimSun" w:eastAsia="SimSun" w:cs="SimSun"/>
          <w:sz w:val="21"/>
          <w:szCs w:val="21"/>
          <w:spacing w:val="-8"/>
        </w:rPr>
        <w:t>码”“行程码”为控制疫情传播、保障生产生活发挥了关键性作用，</w:t>
      </w:r>
      <w:r>
        <w:rPr>
          <w:rFonts w:ascii="SimSun" w:hAnsi="SimSun" w:eastAsia="SimSun" w:cs="SimSun"/>
          <w:sz w:val="21"/>
          <w:szCs w:val="21"/>
          <w:spacing w:val="13"/>
        </w:rPr>
        <w:t xml:space="preserve"> </w:t>
      </w:r>
      <w:r>
        <w:rPr>
          <w:rFonts w:ascii="SimSun" w:hAnsi="SimSun" w:eastAsia="SimSun" w:cs="SimSun"/>
          <w:sz w:val="21"/>
          <w:szCs w:val="21"/>
          <w:spacing w:val="-11"/>
        </w:rPr>
        <w:t>而且我国在保证平台发挥积极的社会功能方面有体制性优势。但如何</w:t>
      </w:r>
    </w:p>
    <w:p>
      <w:pPr>
        <w:spacing w:line="299" w:lineRule="auto"/>
        <w:sectPr>
          <w:headerReference w:type="default" r:id="rId70"/>
          <w:pgSz w:w="7330" w:h="12480"/>
          <w:pgMar w:top="799" w:right="805" w:bottom="400" w:left="449" w:header="632"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04" w:right="63"/>
        <w:spacing w:before="68" w:line="284" w:lineRule="auto"/>
        <w:jc w:val="both"/>
        <w:rPr>
          <w:rFonts w:ascii="SimSun" w:hAnsi="SimSun" w:eastAsia="SimSun" w:cs="SimSun"/>
          <w:sz w:val="21"/>
          <w:szCs w:val="21"/>
        </w:rPr>
      </w:pPr>
      <w:r>
        <w:rPr>
          <w:rFonts w:ascii="SimSun" w:hAnsi="SimSun" w:eastAsia="SimSun" w:cs="SimSun"/>
          <w:sz w:val="21"/>
          <w:szCs w:val="21"/>
          <w:spacing w:val="-10"/>
        </w:rPr>
        <w:t>做到平台本身治理功能的公平、公正，特别是在导流、搜索等活动中</w:t>
      </w:r>
      <w:r>
        <w:rPr>
          <w:rFonts w:ascii="SimSun" w:hAnsi="SimSun" w:eastAsia="SimSun" w:cs="SimSun"/>
          <w:sz w:val="21"/>
          <w:szCs w:val="21"/>
          <w:spacing w:val="10"/>
        </w:rPr>
        <w:t xml:space="preserve"> </w:t>
      </w:r>
      <w:r>
        <w:rPr>
          <w:rFonts w:ascii="SimSun" w:hAnsi="SimSun" w:eastAsia="SimSun" w:cs="SimSun"/>
          <w:sz w:val="21"/>
          <w:szCs w:val="21"/>
          <w:spacing w:val="-10"/>
        </w:rPr>
        <w:t>避免因“运动员兼裁判员”等产生利益冲突，有待进一步探索，需要</w:t>
      </w:r>
      <w:r>
        <w:rPr>
          <w:rFonts w:ascii="SimSun" w:hAnsi="SimSun" w:eastAsia="SimSun" w:cs="SimSun"/>
          <w:sz w:val="21"/>
          <w:szCs w:val="21"/>
        </w:rPr>
        <w:t xml:space="preserve"> </w:t>
      </w:r>
      <w:r>
        <w:rPr>
          <w:rFonts w:ascii="SimSun" w:hAnsi="SimSun" w:eastAsia="SimSun" w:cs="SimSun"/>
          <w:sz w:val="21"/>
          <w:szCs w:val="21"/>
          <w:spacing w:val="-11"/>
        </w:rPr>
        <w:t>建立有效的平台企业行为规范，同时让平台承担更多的社会责任。</w:t>
      </w:r>
    </w:p>
    <w:p>
      <w:pPr>
        <w:ind w:left="104" w:firstLine="449"/>
        <w:spacing w:before="116" w:line="296" w:lineRule="auto"/>
        <w:jc w:val="both"/>
        <w:rPr>
          <w:rFonts w:ascii="SimSun" w:hAnsi="SimSun" w:eastAsia="SimSun" w:cs="SimSun"/>
          <w:sz w:val="21"/>
          <w:szCs w:val="21"/>
        </w:rPr>
      </w:pPr>
      <w:r>
        <w:rPr>
          <w:rFonts w:ascii="SimSun" w:hAnsi="SimSun" w:eastAsia="SimSun" w:cs="SimSun"/>
          <w:sz w:val="21"/>
          <w:szCs w:val="21"/>
          <w:spacing w:val="-11"/>
        </w:rPr>
        <w:t>五、由于具有网络效应和规模经济等特性，平台经济天然具有较</w:t>
      </w:r>
      <w:r>
        <w:rPr>
          <w:rFonts w:ascii="SimSun" w:hAnsi="SimSun" w:eastAsia="SimSun" w:cs="SimSun"/>
          <w:sz w:val="21"/>
          <w:szCs w:val="21"/>
          <w:spacing w:val="15"/>
        </w:rPr>
        <w:t xml:space="preserve"> </w:t>
      </w:r>
      <w:r>
        <w:rPr>
          <w:rFonts w:ascii="SimSun" w:hAnsi="SimSun" w:eastAsia="SimSun" w:cs="SimSun"/>
          <w:sz w:val="21"/>
          <w:szCs w:val="21"/>
          <w:spacing w:val="-10"/>
        </w:rPr>
        <w:t>高的集中度，但“大就是问题”的简单化思维不一定适用于平台经</w:t>
      </w:r>
      <w:r>
        <w:rPr>
          <w:rFonts w:ascii="SimSun" w:hAnsi="SimSun" w:eastAsia="SimSun" w:cs="SimSun"/>
          <w:sz w:val="21"/>
          <w:szCs w:val="21"/>
          <w:spacing w:val="-11"/>
        </w:rPr>
        <w:t>济 </w:t>
      </w:r>
      <w:r>
        <w:rPr>
          <w:rFonts w:ascii="SimSun" w:hAnsi="SimSun" w:eastAsia="SimSun" w:cs="SimSun"/>
          <w:sz w:val="21"/>
          <w:szCs w:val="21"/>
          <w:spacing w:val="-10"/>
        </w:rPr>
        <w:t>领域。由于存在范围经济，平台经济领域有可能在规模经济与充分</w:t>
      </w:r>
      <w:r>
        <w:rPr>
          <w:rFonts w:ascii="SimSun" w:hAnsi="SimSun" w:eastAsia="SimSun" w:cs="SimSun"/>
          <w:sz w:val="21"/>
          <w:szCs w:val="21"/>
          <w:spacing w:val="-11"/>
        </w:rPr>
        <w:t>竞 </w:t>
      </w:r>
      <w:r>
        <w:rPr>
          <w:rFonts w:ascii="SimSun" w:hAnsi="SimSun" w:eastAsia="SimSun" w:cs="SimSun"/>
          <w:sz w:val="21"/>
          <w:szCs w:val="21"/>
          <w:spacing w:val="-10"/>
        </w:rPr>
        <w:t>争之间实现调和。关键是要降低潜在竞争者的进入门槛，保证可竞</w:t>
      </w:r>
      <w:r>
        <w:rPr>
          <w:rFonts w:ascii="SimSun" w:hAnsi="SimSun" w:eastAsia="SimSun" w:cs="SimSun"/>
          <w:sz w:val="21"/>
          <w:szCs w:val="21"/>
          <w:spacing w:val="-11"/>
        </w:rPr>
        <w:t>争 </w:t>
      </w:r>
      <w:r>
        <w:rPr>
          <w:rFonts w:ascii="SimSun" w:hAnsi="SimSun" w:eastAsia="SimSun" w:cs="SimSun"/>
          <w:sz w:val="21"/>
          <w:szCs w:val="21"/>
          <w:spacing w:val="-11"/>
        </w:rPr>
        <w:t>性。另外，我国具有大市场优势，在多数领域可以容纳多个平台“同</w:t>
      </w:r>
      <w:r>
        <w:rPr>
          <w:rFonts w:ascii="SimSun" w:hAnsi="SimSun" w:eastAsia="SimSun" w:cs="SimSun"/>
          <w:sz w:val="21"/>
          <w:szCs w:val="21"/>
          <w:spacing w:val="8"/>
        </w:rPr>
        <w:t xml:space="preserve">  </w:t>
      </w:r>
      <w:r>
        <w:rPr>
          <w:rFonts w:ascii="SimSun" w:hAnsi="SimSun" w:eastAsia="SimSun" w:cs="SimSun"/>
          <w:sz w:val="21"/>
          <w:szCs w:val="21"/>
          <w:spacing w:val="-8"/>
        </w:rPr>
        <w:t>台竞技”。总体看来，目前我国平台经济领域的竞争程度还比较高。</w:t>
      </w:r>
      <w:r>
        <w:rPr>
          <w:rFonts w:ascii="SimSun" w:hAnsi="SimSun" w:eastAsia="SimSun" w:cs="SimSun"/>
          <w:sz w:val="21"/>
          <w:szCs w:val="21"/>
          <w:spacing w:val="13"/>
        </w:rPr>
        <w:t xml:space="preserve"> </w:t>
      </w:r>
      <w:r>
        <w:rPr>
          <w:rFonts w:ascii="SimSun" w:hAnsi="SimSun" w:eastAsia="SimSun" w:cs="SimSun"/>
          <w:sz w:val="21"/>
          <w:szCs w:val="21"/>
          <w:spacing w:val="-10"/>
        </w:rPr>
        <w:t>如果将传统产业依靠司法程序规范行为、以分拆方式进行反垄断等</w:t>
      </w:r>
      <w:r>
        <w:rPr>
          <w:rFonts w:ascii="SimSun" w:hAnsi="SimSun" w:eastAsia="SimSun" w:cs="SimSun"/>
          <w:sz w:val="21"/>
          <w:szCs w:val="21"/>
          <w:spacing w:val="-11"/>
        </w:rPr>
        <w:t>做 </w:t>
      </w:r>
      <w:r>
        <w:rPr>
          <w:rFonts w:ascii="SimSun" w:hAnsi="SimSun" w:eastAsia="SimSun" w:cs="SimSun"/>
          <w:sz w:val="21"/>
          <w:szCs w:val="21"/>
          <w:spacing w:val="-11"/>
        </w:rPr>
        <w:t>法机械地套用到平台经济领域，可能会有问题。</w:t>
      </w:r>
    </w:p>
    <w:p>
      <w:pPr>
        <w:ind w:left="104" w:firstLine="449"/>
        <w:spacing w:before="170" w:line="299" w:lineRule="auto"/>
        <w:jc w:val="both"/>
        <w:rPr>
          <w:rFonts w:ascii="SimSun" w:hAnsi="SimSun" w:eastAsia="SimSun" w:cs="SimSun"/>
          <w:sz w:val="21"/>
          <w:szCs w:val="21"/>
        </w:rPr>
      </w:pPr>
      <w:r>
        <w:rPr>
          <w:rFonts w:ascii="SimSun" w:hAnsi="SimSun" w:eastAsia="SimSun" w:cs="SimSun"/>
          <w:sz w:val="21"/>
          <w:szCs w:val="21"/>
          <w:spacing w:val="-3"/>
        </w:rPr>
        <w:t>六、数字技术不一定会改变应用于平台经济监管与反垄</w:t>
      </w:r>
      <w:r>
        <w:rPr>
          <w:rFonts w:ascii="SimSun" w:hAnsi="SimSun" w:eastAsia="SimSun" w:cs="SimSun"/>
          <w:sz w:val="21"/>
          <w:szCs w:val="21"/>
          <w:spacing w:val="-4"/>
        </w:rPr>
        <w:t>断执法</w:t>
      </w:r>
      <w:r>
        <w:rPr>
          <w:rFonts w:ascii="SimSun" w:hAnsi="SimSun" w:eastAsia="SimSun" w:cs="SimSun"/>
          <w:sz w:val="21"/>
          <w:szCs w:val="21"/>
        </w:rPr>
        <w:t xml:space="preserve"> </w:t>
      </w:r>
      <w:r>
        <w:rPr>
          <w:rFonts w:ascii="SimSun" w:hAnsi="SimSun" w:eastAsia="SimSun" w:cs="SimSun"/>
          <w:sz w:val="21"/>
          <w:szCs w:val="21"/>
          <w:spacing w:val="-10"/>
        </w:rPr>
        <w:t>的分析框架，但一些计算方法可能会变得更加复杂。在传统产业反垄 </w:t>
      </w:r>
      <w:r>
        <w:rPr>
          <w:rFonts w:ascii="SimSun" w:hAnsi="SimSun" w:eastAsia="SimSun" w:cs="SimSun"/>
          <w:sz w:val="21"/>
          <w:szCs w:val="21"/>
          <w:spacing w:val="-10"/>
        </w:rPr>
        <w:t>断，通常以价格水平来衡量消费者福利或权益。在平台经济中，因为 </w:t>
      </w:r>
      <w:r>
        <w:rPr>
          <w:rFonts w:ascii="SimSun" w:hAnsi="SimSun" w:eastAsia="SimSun" w:cs="SimSun"/>
          <w:sz w:val="21"/>
          <w:szCs w:val="21"/>
          <w:spacing w:val="-8"/>
        </w:rPr>
        <w:t>存在交叉补贴和掠夺性定价等做法，简单地看价格水平不一定靠谱。</w:t>
      </w:r>
      <w:r>
        <w:rPr>
          <w:rFonts w:ascii="SimSun" w:hAnsi="SimSun" w:eastAsia="SimSun" w:cs="SimSun"/>
          <w:sz w:val="21"/>
          <w:szCs w:val="21"/>
          <w:spacing w:val="14"/>
        </w:rPr>
        <w:t xml:space="preserve"> </w:t>
      </w:r>
      <w:r>
        <w:rPr>
          <w:rFonts w:ascii="SimSun" w:hAnsi="SimSun" w:eastAsia="SimSun" w:cs="SimSun"/>
          <w:sz w:val="21"/>
          <w:szCs w:val="21"/>
          <w:spacing w:val="-8"/>
        </w:rPr>
        <w:t>因此，衡量消费者福利，需要更为全面地考虑消费者</w:t>
      </w:r>
      <w:r>
        <w:rPr>
          <w:rFonts w:ascii="SimSun" w:hAnsi="SimSun" w:eastAsia="SimSun" w:cs="SimSun"/>
          <w:sz w:val="21"/>
          <w:szCs w:val="21"/>
          <w:spacing w:val="-9"/>
        </w:rPr>
        <w:t>的付出与收益，</w:t>
      </w:r>
      <w:r>
        <w:rPr>
          <w:rFonts w:ascii="SimSun" w:hAnsi="SimSun" w:eastAsia="SimSun" w:cs="SimSun"/>
          <w:sz w:val="21"/>
          <w:szCs w:val="21"/>
        </w:rPr>
        <w:t xml:space="preserve"> </w:t>
      </w:r>
      <w:r>
        <w:rPr>
          <w:rFonts w:ascii="SimSun" w:hAnsi="SimSun" w:eastAsia="SimSun" w:cs="SimSun"/>
          <w:sz w:val="21"/>
          <w:szCs w:val="21"/>
          <w:spacing w:val="-10"/>
        </w:rPr>
        <w:t>包括消费者对平台贡献的时间、数据、市场规模等。同样，签订一些 </w:t>
      </w:r>
      <w:r>
        <w:rPr>
          <w:rFonts w:ascii="SimSun" w:hAnsi="SimSun" w:eastAsia="SimSun" w:cs="SimSun"/>
          <w:sz w:val="21"/>
          <w:szCs w:val="21"/>
          <w:spacing w:val="-10"/>
        </w:rPr>
        <w:t>排他性协议，既可能是垄断行为，也可能是正常的商业安排，关键看 </w:t>
      </w:r>
      <w:r>
        <w:rPr>
          <w:rFonts w:ascii="SimSun" w:hAnsi="SimSun" w:eastAsia="SimSun" w:cs="SimSun"/>
          <w:sz w:val="21"/>
          <w:szCs w:val="21"/>
          <w:spacing w:val="-10"/>
        </w:rPr>
        <w:t>签约一方有没有对产品的营销、品牌的影响和市场的扩大投入相应的 </w:t>
      </w:r>
      <w:r>
        <w:rPr>
          <w:rFonts w:ascii="SimSun" w:hAnsi="SimSun" w:eastAsia="SimSun" w:cs="SimSun"/>
          <w:sz w:val="21"/>
          <w:szCs w:val="21"/>
          <w:spacing w:val="-11"/>
        </w:rPr>
        <w:t>资源，是否单纯为了排挤竞争对手。</w:t>
      </w:r>
    </w:p>
    <w:p>
      <w:pPr>
        <w:ind w:firstLine="554"/>
        <w:spacing w:before="183" w:line="302" w:lineRule="auto"/>
        <w:jc w:val="both"/>
        <w:rPr>
          <w:rFonts w:ascii="SimSun" w:hAnsi="SimSun" w:eastAsia="SimSun" w:cs="SimSun"/>
          <w:sz w:val="21"/>
          <w:szCs w:val="21"/>
        </w:rPr>
      </w:pPr>
      <w:r>
        <w:rPr>
          <w:rFonts w:ascii="SimSun" w:hAnsi="SimSun" w:eastAsia="SimSun" w:cs="SimSun"/>
          <w:sz w:val="21"/>
          <w:szCs w:val="21"/>
          <w:spacing w:val="-3"/>
        </w:rPr>
        <w:t>七、大数据分析是平台经济发展的原动力，但也引发了算</w:t>
      </w:r>
      <w:r>
        <w:rPr>
          <w:rFonts w:ascii="SimSun" w:hAnsi="SimSun" w:eastAsia="SimSun" w:cs="SimSun"/>
          <w:sz w:val="21"/>
          <w:szCs w:val="21"/>
          <w:spacing w:val="-4"/>
        </w:rPr>
        <w:t>法歧</w:t>
      </w:r>
      <w:r>
        <w:rPr>
          <w:rFonts w:ascii="SimSun" w:hAnsi="SimSun" w:eastAsia="SimSun" w:cs="SimSun"/>
          <w:sz w:val="21"/>
          <w:szCs w:val="21"/>
        </w:rPr>
        <w:t xml:space="preserve"> </w:t>
      </w:r>
      <w:r>
        <w:rPr>
          <w:rFonts w:ascii="SimSun" w:hAnsi="SimSun" w:eastAsia="SimSun" w:cs="SimSun"/>
          <w:sz w:val="21"/>
          <w:szCs w:val="21"/>
          <w:spacing w:val="-7"/>
        </w:rPr>
        <w:t>视、算法黑箱等问题，构建数据治理框架仍然任重</w:t>
      </w:r>
      <w:r>
        <w:rPr>
          <w:rFonts w:ascii="SimSun" w:hAnsi="SimSun" w:eastAsia="SimSun" w:cs="SimSun"/>
          <w:sz w:val="21"/>
          <w:szCs w:val="21"/>
          <w:spacing w:val="-8"/>
        </w:rPr>
        <w:t>道远。数据分析可</w:t>
      </w:r>
      <w:r>
        <w:rPr>
          <w:rFonts w:ascii="SimSun" w:hAnsi="SimSun" w:eastAsia="SimSun" w:cs="SimSun"/>
          <w:sz w:val="21"/>
          <w:szCs w:val="21"/>
        </w:rPr>
        <w:t xml:space="preserve">  </w:t>
      </w:r>
      <w:r>
        <w:rPr>
          <w:rFonts w:ascii="SimSun" w:hAnsi="SimSun" w:eastAsia="SimSun" w:cs="SimSun"/>
          <w:sz w:val="21"/>
          <w:szCs w:val="21"/>
          <w:spacing w:val="-6"/>
        </w:rPr>
        <w:t>以帮助平台企业提高运行效率，改变业务模式，增强个性化服务，但</w:t>
      </w:r>
      <w:r>
        <w:rPr>
          <w:rFonts w:ascii="SimSun" w:hAnsi="SimSun" w:eastAsia="SimSun" w:cs="SimSun"/>
          <w:sz w:val="21"/>
          <w:szCs w:val="21"/>
          <w:spacing w:val="2"/>
        </w:rPr>
        <w:t xml:space="preserve"> </w:t>
      </w:r>
      <w:r>
        <w:rPr>
          <w:rFonts w:ascii="SimSun" w:hAnsi="SimSun" w:eastAsia="SimSun" w:cs="SimSun"/>
          <w:sz w:val="21"/>
          <w:szCs w:val="21"/>
        </w:rPr>
        <w:t>数据所引发的问题也层出不穷，擅自收集、分析数据的侵权行为和 </w:t>
      </w:r>
      <w:r>
        <w:rPr>
          <w:rFonts w:ascii="SimSun" w:hAnsi="SimSun" w:eastAsia="SimSun" w:cs="SimSun"/>
          <w:sz w:val="21"/>
          <w:szCs w:val="21"/>
          <w:spacing w:val="-7"/>
        </w:rPr>
        <w:t>“大数据杀熟”现象十分普遍。大数据在为平台降低信息不对称程度 </w:t>
      </w:r>
      <w:r>
        <w:rPr>
          <w:rFonts w:ascii="SimSun" w:hAnsi="SimSun" w:eastAsia="SimSun" w:cs="SimSun"/>
          <w:sz w:val="21"/>
          <w:szCs w:val="21"/>
          <w:spacing w:val="-7"/>
        </w:rPr>
        <w:t>的同时，可能反而提高了其他平台使用者的信息不对称程度。数据成 </w:t>
      </w:r>
      <w:r>
        <w:rPr>
          <w:rFonts w:ascii="SimSun" w:hAnsi="SimSun" w:eastAsia="SimSun" w:cs="SimSun"/>
          <w:sz w:val="21"/>
          <w:szCs w:val="21"/>
          <w:spacing w:val="-4"/>
        </w:rPr>
        <w:t>为新的生产要素，将给经济发展模式带来颠覆性改变，但如何确</w:t>
      </w:r>
      <w:r>
        <w:rPr>
          <w:rFonts w:ascii="SimSun" w:hAnsi="SimSun" w:eastAsia="SimSun" w:cs="SimSun"/>
          <w:sz w:val="21"/>
          <w:szCs w:val="21"/>
          <w:spacing w:val="-5"/>
        </w:rPr>
        <w:t>权、</w:t>
      </w:r>
    </w:p>
    <w:p>
      <w:pPr>
        <w:spacing w:line="302" w:lineRule="auto"/>
        <w:sectPr>
          <w:headerReference w:type="default" r:id="rId71"/>
          <w:pgSz w:w="7330" w:h="12480"/>
          <w:pgMar w:top="509" w:right="484" w:bottom="400" w:left="665" w:header="342"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spacing w:before="68" w:line="218" w:lineRule="auto"/>
        <w:rPr>
          <w:rFonts w:ascii="SimSun" w:hAnsi="SimSun" w:eastAsia="SimSun" w:cs="SimSun"/>
          <w:sz w:val="21"/>
          <w:szCs w:val="21"/>
        </w:rPr>
      </w:pPr>
      <w:r>
        <w:rPr>
          <w:rFonts w:ascii="SimSun" w:hAnsi="SimSun" w:eastAsia="SimSun" w:cs="SimSun"/>
          <w:sz w:val="21"/>
          <w:szCs w:val="21"/>
          <w:spacing w:val="-12"/>
        </w:rPr>
        <w:t>交易和定价，目前还没有切实可行的解决方案。</w:t>
      </w:r>
    </w:p>
    <w:p>
      <w:pPr>
        <w:ind w:right="156" w:firstLine="399"/>
        <w:spacing w:before="117" w:line="305" w:lineRule="auto"/>
        <w:jc w:val="both"/>
        <w:rPr>
          <w:rFonts w:ascii="SimSun" w:hAnsi="SimSun" w:eastAsia="SimSun" w:cs="SimSun"/>
          <w:sz w:val="21"/>
          <w:szCs w:val="21"/>
        </w:rPr>
      </w:pPr>
      <w:r>
        <w:rPr>
          <w:rFonts w:ascii="SimSun" w:hAnsi="SimSun" w:eastAsia="SimSun" w:cs="SimSun"/>
          <w:sz w:val="21"/>
          <w:szCs w:val="21"/>
          <w:spacing w:val="-11"/>
        </w:rPr>
        <w:t>八、“强监管”政策已经给我国平台经济发展造成了一些不利影</w:t>
      </w:r>
      <w:r>
        <w:rPr>
          <w:rFonts w:ascii="SimSun" w:hAnsi="SimSun" w:eastAsia="SimSun" w:cs="SimSun"/>
          <w:sz w:val="21"/>
          <w:szCs w:val="21"/>
          <w:spacing w:val="15"/>
        </w:rPr>
        <w:t xml:space="preserve"> </w:t>
      </w:r>
      <w:r>
        <w:rPr>
          <w:rFonts w:ascii="SimSun" w:hAnsi="SimSun" w:eastAsia="SimSun" w:cs="SimSun"/>
          <w:sz w:val="21"/>
          <w:szCs w:val="21"/>
          <w:spacing w:val="-4"/>
        </w:rPr>
        <w:t>响，如果不能及时纠正，可能会违背“在发展中规范、在规范中发</w:t>
      </w:r>
      <w:r>
        <w:rPr>
          <w:rFonts w:ascii="SimSun" w:hAnsi="SimSun" w:eastAsia="SimSun" w:cs="SimSun"/>
          <w:sz w:val="21"/>
          <w:szCs w:val="21"/>
          <w:spacing w:val="13"/>
        </w:rPr>
        <w:t xml:space="preserve"> </w:t>
      </w:r>
      <w:r>
        <w:rPr>
          <w:rFonts w:ascii="SimSun" w:hAnsi="SimSun" w:eastAsia="SimSun" w:cs="SimSun"/>
          <w:sz w:val="21"/>
          <w:szCs w:val="21"/>
          <w:spacing w:val="-11"/>
        </w:rPr>
        <w:t>展”的初衷。治理政策的初衷很好，但执行中的偏差也不少，缺乏对</w:t>
      </w:r>
      <w:r>
        <w:rPr>
          <w:rFonts w:ascii="SimSun" w:hAnsi="SimSun" w:eastAsia="SimSun" w:cs="SimSun"/>
          <w:sz w:val="21"/>
          <w:szCs w:val="21"/>
          <w:spacing w:val="17"/>
        </w:rPr>
        <w:t xml:space="preserve"> </w:t>
      </w:r>
      <w:r>
        <w:rPr>
          <w:rFonts w:ascii="SimSun" w:hAnsi="SimSun" w:eastAsia="SimSun" w:cs="SimSun"/>
          <w:sz w:val="21"/>
          <w:szCs w:val="21"/>
          <w:spacing w:val="-11"/>
        </w:rPr>
        <w:t>治理效果特别是市场竞争程度的关注，监管政策缺乏统筹协调，各监</w:t>
      </w:r>
      <w:r>
        <w:rPr>
          <w:rFonts w:ascii="SimSun" w:hAnsi="SimSun" w:eastAsia="SimSun" w:cs="SimSun"/>
          <w:sz w:val="21"/>
          <w:szCs w:val="21"/>
          <w:spacing w:val="17"/>
        </w:rPr>
        <w:t xml:space="preserve"> </w:t>
      </w:r>
      <w:r>
        <w:rPr>
          <w:rFonts w:ascii="SimSun" w:hAnsi="SimSun" w:eastAsia="SimSun" w:cs="SimSun"/>
          <w:sz w:val="21"/>
          <w:szCs w:val="21"/>
          <w:spacing w:val="-11"/>
        </w:rPr>
        <w:t>管部门在短期内竞相出台“强监管”措施，而且以调整准入门槛、征</w:t>
      </w:r>
      <w:r>
        <w:rPr>
          <w:rFonts w:ascii="SimSun" w:hAnsi="SimSun" w:eastAsia="SimSun" w:cs="SimSun"/>
          <w:sz w:val="21"/>
          <w:szCs w:val="21"/>
          <w:spacing w:val="18"/>
        </w:rPr>
        <w:t xml:space="preserve"> </w:t>
      </w:r>
      <w:r>
        <w:rPr>
          <w:rFonts w:ascii="SimSun" w:hAnsi="SimSun" w:eastAsia="SimSun" w:cs="SimSun"/>
          <w:sz w:val="21"/>
          <w:szCs w:val="21"/>
          <w:spacing w:val="-10"/>
        </w:rPr>
        <w:t>收罚款等行政性手段为主，要么不出手，要么出重拳。被监管对象只</w:t>
      </w:r>
      <w:r>
        <w:rPr>
          <w:rFonts w:ascii="SimSun" w:hAnsi="SimSun" w:eastAsia="SimSun" w:cs="SimSun"/>
          <w:sz w:val="21"/>
          <w:szCs w:val="21"/>
          <w:spacing w:val="8"/>
        </w:rPr>
        <w:t xml:space="preserve"> </w:t>
      </w:r>
      <w:r>
        <w:rPr>
          <w:rFonts w:ascii="SimSun" w:hAnsi="SimSun" w:eastAsia="SimSun" w:cs="SimSun"/>
          <w:sz w:val="21"/>
          <w:szCs w:val="21"/>
          <w:spacing w:val="-11"/>
        </w:rPr>
        <w:t>能被动接受处罚决定，缺乏必要的申诉渠道。这些在客观上会加大经</w:t>
      </w:r>
      <w:r>
        <w:rPr>
          <w:rFonts w:ascii="SimSun" w:hAnsi="SimSun" w:eastAsia="SimSun" w:cs="SimSun"/>
          <w:sz w:val="21"/>
          <w:szCs w:val="21"/>
          <w:spacing w:val="17"/>
        </w:rPr>
        <w:t xml:space="preserve"> </w:t>
      </w:r>
      <w:r>
        <w:rPr>
          <w:rFonts w:ascii="SimSun" w:hAnsi="SimSun" w:eastAsia="SimSun" w:cs="SimSun"/>
          <w:sz w:val="21"/>
          <w:szCs w:val="21"/>
          <w:spacing w:val="-10"/>
        </w:rPr>
        <w:t>营环境的不确定性，影响投资者信心，不利于平台经济的健康发展。</w:t>
      </w:r>
    </w:p>
    <w:p>
      <w:pPr>
        <w:ind w:firstLine="399"/>
        <w:spacing w:before="109" w:line="306" w:lineRule="auto"/>
        <w:jc w:val="both"/>
        <w:rPr>
          <w:rFonts w:ascii="SimSun" w:hAnsi="SimSun" w:eastAsia="SimSun" w:cs="SimSun"/>
          <w:sz w:val="21"/>
          <w:szCs w:val="21"/>
        </w:rPr>
      </w:pPr>
      <w:r>
        <w:rPr>
          <w:rFonts w:ascii="SimSun" w:hAnsi="SimSun" w:eastAsia="SimSun" w:cs="SimSun"/>
          <w:sz w:val="21"/>
          <w:szCs w:val="21"/>
          <w:spacing w:val="-10"/>
        </w:rPr>
        <w:t>九、我国平台经济的国际化程度非常低，参与构建数字经</w:t>
      </w:r>
      <w:r>
        <w:rPr>
          <w:rFonts w:ascii="SimSun" w:hAnsi="SimSun" w:eastAsia="SimSun" w:cs="SimSun"/>
          <w:sz w:val="21"/>
          <w:szCs w:val="21"/>
          <w:spacing w:val="-11"/>
        </w:rPr>
        <w:t>济国际  </w:t>
      </w:r>
      <w:r>
        <w:rPr>
          <w:rFonts w:ascii="SimSun" w:hAnsi="SimSun" w:eastAsia="SimSun" w:cs="SimSun"/>
          <w:sz w:val="21"/>
          <w:szCs w:val="21"/>
          <w:spacing w:val="-10"/>
        </w:rPr>
        <w:t>规则的努力刚刚开始。到目前为止，中外平台经济市场基本上</w:t>
      </w:r>
      <w:r>
        <w:rPr>
          <w:rFonts w:ascii="SimSun" w:hAnsi="SimSun" w:eastAsia="SimSun" w:cs="SimSun"/>
          <w:sz w:val="21"/>
          <w:szCs w:val="21"/>
          <w:spacing w:val="-11"/>
        </w:rPr>
        <w:t>是分隔  </w:t>
      </w:r>
      <w:r>
        <w:rPr>
          <w:rFonts w:ascii="SimSun" w:hAnsi="SimSun" w:eastAsia="SimSun" w:cs="SimSun"/>
          <w:sz w:val="21"/>
          <w:szCs w:val="21"/>
          <w:spacing w:val="-10"/>
        </w:rPr>
        <w:t>的。但国际社会已经在努力构建数字经济的国际规则，美国对</w:t>
      </w:r>
      <w:r>
        <w:rPr>
          <w:rFonts w:ascii="SimSun" w:hAnsi="SimSun" w:eastAsia="SimSun" w:cs="SimSun"/>
          <w:sz w:val="21"/>
          <w:szCs w:val="21"/>
          <w:spacing w:val="-11"/>
        </w:rPr>
        <w:t>“数字  </w:t>
      </w:r>
      <w:r>
        <w:rPr>
          <w:rFonts w:ascii="SimSun" w:hAnsi="SimSun" w:eastAsia="SimSun" w:cs="SimSun"/>
          <w:sz w:val="21"/>
          <w:szCs w:val="21"/>
          <w:spacing w:val="-11"/>
        </w:rPr>
        <w:t>贸易”规则的诉求包括数据跨境自由流动、非属地化限制、取消</w:t>
      </w:r>
      <w:r>
        <w:rPr>
          <w:rFonts w:ascii="SimSun" w:hAnsi="SimSun" w:eastAsia="SimSun" w:cs="SimSun"/>
          <w:sz w:val="21"/>
          <w:szCs w:val="21"/>
          <w:spacing w:val="-12"/>
        </w:rPr>
        <w:t>数字</w:t>
      </w:r>
      <w:r>
        <w:rPr>
          <w:rFonts w:ascii="SimSun" w:hAnsi="SimSun" w:eastAsia="SimSun" w:cs="SimSun"/>
          <w:sz w:val="21"/>
          <w:szCs w:val="21"/>
        </w:rPr>
        <w:t xml:space="preserve">   </w:t>
      </w:r>
      <w:r>
        <w:rPr>
          <w:rFonts w:ascii="SimSun" w:hAnsi="SimSun" w:eastAsia="SimSun" w:cs="SimSun"/>
          <w:sz w:val="21"/>
          <w:szCs w:val="21"/>
          <w:spacing w:val="-10"/>
        </w:rPr>
        <w:t>灌水和知识产权保护，而欧盟则主张数据跨境自由流动、消费</w:t>
      </w:r>
      <w:r>
        <w:rPr>
          <w:rFonts w:ascii="SimSun" w:hAnsi="SimSun" w:eastAsia="SimSun" w:cs="SimSun"/>
          <w:sz w:val="21"/>
          <w:szCs w:val="21"/>
          <w:spacing w:val="-11"/>
        </w:rPr>
        <w:t>者隐私  </w:t>
      </w:r>
      <w:r>
        <w:rPr>
          <w:rFonts w:ascii="SimSun" w:hAnsi="SimSun" w:eastAsia="SimSun" w:cs="SimSun"/>
          <w:sz w:val="21"/>
          <w:szCs w:val="21"/>
          <w:spacing w:val="-10"/>
        </w:rPr>
        <w:t>保护、反垄断和征收数字税。我国尚未清楚地提出主张，但已</w:t>
      </w:r>
      <w:r>
        <w:rPr>
          <w:rFonts w:ascii="SimSun" w:hAnsi="SimSun" w:eastAsia="SimSun" w:cs="SimSun"/>
          <w:sz w:val="21"/>
          <w:szCs w:val="21"/>
          <w:spacing w:val="-11"/>
        </w:rPr>
        <w:t>经申请  </w:t>
      </w:r>
      <w:r>
        <w:rPr>
          <w:rFonts w:ascii="SimSun" w:hAnsi="SimSun" w:eastAsia="SimSun" w:cs="SimSun"/>
          <w:sz w:val="21"/>
          <w:szCs w:val="21"/>
        </w:rPr>
        <w:t>加入新加坡、新西兰和智利于2020年6月签署的</w:t>
      </w:r>
      <w:r>
        <w:rPr>
          <w:rFonts w:ascii="SimSun" w:hAnsi="SimSun" w:eastAsia="SimSun" w:cs="SimSun"/>
          <w:sz w:val="21"/>
          <w:szCs w:val="21"/>
          <w:spacing w:val="-1"/>
        </w:rPr>
        <w:t>《数字经济伙伴关  </w:t>
      </w:r>
      <w:r>
        <w:rPr>
          <w:rFonts w:ascii="SimSun" w:hAnsi="SimSun" w:eastAsia="SimSun" w:cs="SimSun"/>
          <w:sz w:val="21"/>
          <w:szCs w:val="21"/>
        </w:rPr>
        <w:t>系协定》</w:t>
      </w:r>
      <w:r>
        <w:rPr>
          <w:rFonts w:ascii="Times New Roman" w:hAnsi="Times New Roman" w:eastAsia="Times New Roman" w:cs="Times New Roman"/>
          <w:sz w:val="21"/>
          <w:szCs w:val="21"/>
        </w:rPr>
        <w:t>(DEPA),   </w:t>
      </w:r>
      <w:r>
        <w:rPr>
          <w:rFonts w:ascii="SimSun" w:hAnsi="SimSun" w:eastAsia="SimSun" w:cs="SimSun"/>
          <w:sz w:val="21"/>
          <w:szCs w:val="21"/>
        </w:rPr>
        <w:t>也签署了应对经济数字化税收挑战的“双支柱”</w:t>
      </w:r>
      <w:r>
        <w:rPr>
          <w:rFonts w:ascii="SimSun" w:hAnsi="SimSun" w:eastAsia="SimSun" w:cs="SimSun"/>
          <w:sz w:val="21"/>
          <w:szCs w:val="21"/>
          <w:spacing w:val="16"/>
        </w:rPr>
        <w:t xml:space="preserve"> </w:t>
      </w:r>
      <w:r>
        <w:rPr>
          <w:rFonts w:ascii="SimSun" w:hAnsi="SimSun" w:eastAsia="SimSun" w:cs="SimSun"/>
          <w:sz w:val="21"/>
          <w:szCs w:val="21"/>
          <w:spacing w:val="-9"/>
        </w:rPr>
        <w:t>方案。</w:t>
      </w:r>
    </w:p>
    <w:p>
      <w:pPr>
        <w:pStyle w:val="BodyText"/>
        <w:spacing w:line="381"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15"/>
        </w:rPr>
        <w:t>对平台经济治理的建议</w:t>
      </w:r>
    </w:p>
    <w:p>
      <w:pPr>
        <w:pStyle w:val="BodyText"/>
        <w:spacing w:line="342" w:lineRule="auto"/>
        <w:rPr/>
      </w:pPr>
      <w:r/>
    </w:p>
    <w:p>
      <w:pPr>
        <w:ind w:right="156" w:firstLine="399"/>
        <w:spacing w:before="69" w:line="300" w:lineRule="auto"/>
        <w:jc w:val="both"/>
        <w:rPr>
          <w:rFonts w:ascii="SimSun" w:hAnsi="SimSun" w:eastAsia="SimSun" w:cs="SimSun"/>
          <w:sz w:val="21"/>
          <w:szCs w:val="21"/>
        </w:rPr>
      </w:pPr>
      <w:r>
        <w:rPr>
          <w:rFonts w:ascii="SimSun" w:hAnsi="SimSun" w:eastAsia="SimSun" w:cs="SimSun"/>
          <w:sz w:val="21"/>
          <w:szCs w:val="21"/>
          <w:spacing w:val="-10"/>
        </w:rPr>
        <w:t>一、加速我国经济特别是金融业的市场化改革进程，为平台经济</w:t>
      </w:r>
      <w:r>
        <w:rPr>
          <w:rFonts w:ascii="SimSun" w:hAnsi="SimSun" w:eastAsia="SimSun" w:cs="SimSun"/>
          <w:sz w:val="21"/>
          <w:szCs w:val="21"/>
          <w:spacing w:val="8"/>
        </w:rPr>
        <w:t xml:space="preserve"> </w:t>
      </w:r>
      <w:r>
        <w:rPr>
          <w:rFonts w:ascii="SimSun" w:hAnsi="SimSun" w:eastAsia="SimSun" w:cs="SimSun"/>
          <w:sz w:val="21"/>
          <w:szCs w:val="21"/>
          <w:spacing w:val="-9"/>
        </w:rPr>
        <w:t>创新与发展创造更为有利的政策与市场环境。</w:t>
      </w:r>
      <w:r>
        <w:rPr>
          <w:rFonts w:ascii="SimSun" w:hAnsi="SimSun" w:eastAsia="SimSun" w:cs="SimSun"/>
          <w:sz w:val="21"/>
          <w:szCs w:val="21"/>
          <w:spacing w:val="56"/>
        </w:rPr>
        <w:t xml:space="preserve"> </w:t>
      </w:r>
      <w:r>
        <w:rPr>
          <w:rFonts w:ascii="SimSun" w:hAnsi="SimSun" w:eastAsia="SimSun" w:cs="SimSun"/>
          <w:sz w:val="21"/>
          <w:szCs w:val="21"/>
          <w:spacing w:val="-9"/>
        </w:rPr>
        <w:t>一批民营平台企业在</w:t>
      </w:r>
      <w:r>
        <w:rPr>
          <w:rFonts w:ascii="SimSun" w:hAnsi="SimSun" w:eastAsia="SimSun" w:cs="SimSun"/>
          <w:sz w:val="21"/>
          <w:szCs w:val="21"/>
        </w:rPr>
        <w:t xml:space="preserve"> </w:t>
      </w:r>
      <w:r>
        <w:rPr>
          <w:rFonts w:ascii="SimSun" w:hAnsi="SimSun" w:eastAsia="SimSun" w:cs="SimSun"/>
          <w:sz w:val="21"/>
          <w:szCs w:val="21"/>
          <w:spacing w:val="-10"/>
        </w:rPr>
        <w:t>短短几年间从初创企业成长为全球大公司，是我国市场</w:t>
      </w:r>
      <w:r>
        <w:rPr>
          <w:rFonts w:ascii="SimSun" w:hAnsi="SimSun" w:eastAsia="SimSun" w:cs="SimSun"/>
          <w:sz w:val="21"/>
          <w:szCs w:val="21"/>
          <w:spacing w:val="-11"/>
        </w:rPr>
        <w:t>化改革成果的</w:t>
      </w:r>
      <w:r>
        <w:rPr>
          <w:rFonts w:ascii="SimSun" w:hAnsi="SimSun" w:eastAsia="SimSun" w:cs="SimSun"/>
          <w:sz w:val="21"/>
          <w:szCs w:val="21"/>
        </w:rPr>
        <w:t xml:space="preserve"> </w:t>
      </w:r>
      <w:r>
        <w:rPr>
          <w:rFonts w:ascii="SimSun" w:hAnsi="SimSun" w:eastAsia="SimSun" w:cs="SimSun"/>
          <w:sz w:val="21"/>
          <w:szCs w:val="21"/>
          <w:spacing w:val="-10"/>
        </w:rPr>
        <w:t>最佳体现。平台经济的进一步发展同样需要</w:t>
      </w:r>
      <w:r>
        <w:rPr>
          <w:rFonts w:ascii="SimSun" w:hAnsi="SimSun" w:eastAsia="SimSun" w:cs="SimSun"/>
          <w:sz w:val="21"/>
          <w:szCs w:val="21"/>
          <w:spacing w:val="-11"/>
        </w:rPr>
        <w:t>良好的政策环境，尤其是</w:t>
      </w:r>
      <w:r>
        <w:rPr>
          <w:rFonts w:ascii="SimSun" w:hAnsi="SimSun" w:eastAsia="SimSun" w:cs="SimSun"/>
          <w:sz w:val="21"/>
          <w:szCs w:val="21"/>
        </w:rPr>
        <w:t xml:space="preserve"> </w:t>
      </w:r>
      <w:r>
        <w:rPr>
          <w:rFonts w:ascii="SimSun" w:hAnsi="SimSun" w:eastAsia="SimSun" w:cs="SimSun"/>
          <w:sz w:val="21"/>
          <w:szCs w:val="21"/>
          <w:spacing w:val="-10"/>
        </w:rPr>
        <w:t>在当前不规范行为频发和平台经济发展放缓的情况下。除了完善平台</w:t>
      </w:r>
      <w:r>
        <w:rPr>
          <w:rFonts w:ascii="SimSun" w:hAnsi="SimSun" w:eastAsia="SimSun" w:cs="SimSun"/>
          <w:sz w:val="21"/>
          <w:szCs w:val="21"/>
        </w:rPr>
        <w:t xml:space="preserve"> </w:t>
      </w:r>
      <w:r>
        <w:rPr>
          <w:rFonts w:ascii="SimSun" w:hAnsi="SimSun" w:eastAsia="SimSun" w:cs="SimSun"/>
          <w:sz w:val="21"/>
          <w:szCs w:val="21"/>
          <w:spacing w:val="-4"/>
        </w:rPr>
        <w:t>经济的治理体系，政府也应进一步加大市场化改革的力度。如何保</w:t>
      </w:r>
    </w:p>
    <w:p>
      <w:pPr>
        <w:spacing w:line="300" w:lineRule="auto"/>
        <w:sectPr>
          <w:headerReference w:type="default" r:id="rId72"/>
          <w:pgSz w:w="7330" w:h="12480"/>
          <w:pgMar w:top="843" w:right="603" w:bottom="400" w:left="560" w:header="670" w:footer="0" w:gutter="0"/>
        </w:sectPr>
        <w:rPr>
          <w:rFonts w:ascii="SimSun" w:hAnsi="SimSun" w:eastAsia="SimSun" w:cs="SimSun"/>
          <w:sz w:val="21"/>
          <w:szCs w:val="21"/>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right="133"/>
        <w:spacing w:before="69" w:line="301" w:lineRule="auto"/>
        <w:jc w:val="both"/>
        <w:rPr>
          <w:rFonts w:ascii="SimSun" w:hAnsi="SimSun" w:eastAsia="SimSun" w:cs="SimSun"/>
          <w:sz w:val="21"/>
          <w:szCs w:val="21"/>
        </w:rPr>
      </w:pPr>
      <w:r>
        <w:rPr>
          <w:rFonts w:ascii="SimSun" w:hAnsi="SimSun" w:eastAsia="SimSun" w:cs="SimSun"/>
          <w:sz w:val="21"/>
          <w:szCs w:val="21"/>
          <w:spacing w:val="-3"/>
        </w:rPr>
        <w:t>障包括平台企业在内的民营企业在资源配置与市场竞争中的平等地</w:t>
      </w:r>
      <w:r>
        <w:rPr>
          <w:rFonts w:ascii="SimSun" w:hAnsi="SimSun" w:eastAsia="SimSun" w:cs="SimSun"/>
          <w:sz w:val="21"/>
          <w:szCs w:val="21"/>
          <w:spacing w:val="4"/>
        </w:rPr>
        <w:t xml:space="preserve"> </w:t>
      </w:r>
      <w:r>
        <w:rPr>
          <w:rFonts w:ascii="SimSun" w:hAnsi="SimSun" w:eastAsia="SimSun" w:cs="SimSun"/>
          <w:sz w:val="21"/>
          <w:szCs w:val="21"/>
          <w:spacing w:val="-3"/>
        </w:rPr>
        <w:t>位，已经成为关系我国经济增长可持续性的头等大事。最近10年我</w:t>
      </w:r>
      <w:r>
        <w:rPr>
          <w:rFonts w:ascii="SimSun" w:hAnsi="SimSun" w:eastAsia="SimSun" w:cs="SimSun"/>
          <w:sz w:val="21"/>
          <w:szCs w:val="21"/>
          <w:spacing w:val="7"/>
        </w:rPr>
        <w:t xml:space="preserve"> </w:t>
      </w:r>
      <w:r>
        <w:rPr>
          <w:rFonts w:ascii="SimSun" w:hAnsi="SimSun" w:eastAsia="SimSun" w:cs="SimSun"/>
          <w:sz w:val="21"/>
          <w:szCs w:val="21"/>
          <w:spacing w:val="-3"/>
        </w:rPr>
        <w:t>国的</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TFP</w:t>
      </w:r>
      <w:r>
        <w:rPr>
          <w:rFonts w:ascii="SimSun" w:hAnsi="SimSun" w:eastAsia="SimSun" w:cs="SimSun"/>
          <w:sz w:val="21"/>
          <w:szCs w:val="21"/>
          <w:spacing w:val="-3"/>
        </w:rPr>
        <w:t>下降，其中劳动力在行业间配置的贡献为正，但资金</w:t>
      </w:r>
      <w:r>
        <w:rPr>
          <w:rFonts w:ascii="SimSun" w:hAnsi="SimSun" w:eastAsia="SimSun" w:cs="SimSun"/>
          <w:sz w:val="21"/>
          <w:szCs w:val="21"/>
          <w:spacing w:val="-4"/>
        </w:rPr>
        <w:t>在行</w:t>
      </w:r>
      <w:r>
        <w:rPr>
          <w:rFonts w:ascii="SimSun" w:hAnsi="SimSun" w:eastAsia="SimSun" w:cs="SimSun"/>
          <w:sz w:val="21"/>
          <w:szCs w:val="21"/>
        </w:rPr>
        <w:t xml:space="preserve"> </w:t>
      </w:r>
      <w:r>
        <w:rPr>
          <w:rFonts w:ascii="SimSun" w:hAnsi="SimSun" w:eastAsia="SimSun" w:cs="SimSun"/>
          <w:sz w:val="21"/>
          <w:szCs w:val="21"/>
          <w:spacing w:val="-11"/>
        </w:rPr>
        <w:t>业间配置的贡献为负，说明金融部门已经成为拖累经济效率提升的重</w:t>
      </w:r>
      <w:r>
        <w:rPr>
          <w:rFonts w:ascii="SimSun" w:hAnsi="SimSun" w:eastAsia="SimSun" w:cs="SimSun"/>
          <w:sz w:val="21"/>
          <w:szCs w:val="21"/>
          <w:spacing w:val="18"/>
        </w:rPr>
        <w:t xml:space="preserve"> </w:t>
      </w:r>
      <w:r>
        <w:rPr>
          <w:rFonts w:ascii="SimSun" w:hAnsi="SimSun" w:eastAsia="SimSun" w:cs="SimSun"/>
          <w:sz w:val="21"/>
          <w:szCs w:val="21"/>
          <w:spacing w:val="-10"/>
        </w:rPr>
        <w:t>要制约，金融资源配置与风险定价等方面的金融市场化改革已经迫在</w:t>
      </w:r>
      <w:r>
        <w:rPr>
          <w:rFonts w:ascii="SimSun" w:hAnsi="SimSun" w:eastAsia="SimSun" w:cs="SimSun"/>
          <w:sz w:val="21"/>
          <w:szCs w:val="21"/>
          <w:spacing w:val="10"/>
        </w:rPr>
        <w:t xml:space="preserve"> </w:t>
      </w:r>
      <w:r>
        <w:rPr>
          <w:rFonts w:ascii="SimSun" w:hAnsi="SimSun" w:eastAsia="SimSun" w:cs="SimSun"/>
          <w:sz w:val="21"/>
          <w:szCs w:val="21"/>
          <w:spacing w:val="-9"/>
        </w:rPr>
        <w:t>眉睫。</w:t>
      </w:r>
    </w:p>
    <w:p>
      <w:pPr>
        <w:ind w:right="95" w:firstLine="459"/>
        <w:spacing w:before="104" w:line="300" w:lineRule="auto"/>
        <w:jc w:val="both"/>
        <w:rPr>
          <w:rFonts w:ascii="SimSun" w:hAnsi="SimSun" w:eastAsia="SimSun" w:cs="SimSun"/>
          <w:sz w:val="21"/>
          <w:szCs w:val="21"/>
        </w:rPr>
      </w:pPr>
      <w:r>
        <w:rPr>
          <w:rFonts w:ascii="SimSun" w:hAnsi="SimSun" w:eastAsia="SimSun" w:cs="SimSun"/>
          <w:sz w:val="21"/>
          <w:szCs w:val="21"/>
          <w:spacing w:val="-6"/>
        </w:rPr>
        <w:t>二</w:t>
      </w:r>
      <w:r>
        <w:rPr>
          <w:rFonts w:ascii="SimSun" w:hAnsi="SimSun" w:eastAsia="SimSun" w:cs="SimSun"/>
          <w:sz w:val="21"/>
          <w:szCs w:val="21"/>
          <w:spacing w:val="-25"/>
        </w:rPr>
        <w:t xml:space="preserve"> </w:t>
      </w:r>
      <w:r>
        <w:rPr>
          <w:rFonts w:ascii="SimSun" w:hAnsi="SimSun" w:eastAsia="SimSun" w:cs="SimSun"/>
          <w:sz w:val="21"/>
          <w:szCs w:val="21"/>
          <w:spacing w:val="-6"/>
        </w:rPr>
        <w:t>、完善数字经济领域的法律体系，将制定数字经济法提上议</w:t>
      </w:r>
      <w:r>
        <w:rPr>
          <w:rFonts w:ascii="SimSun" w:hAnsi="SimSun" w:eastAsia="SimSun" w:cs="SimSun"/>
          <w:sz w:val="21"/>
          <w:szCs w:val="21"/>
        </w:rPr>
        <w:t xml:space="preserve"> </w:t>
      </w:r>
      <w:r>
        <w:rPr>
          <w:rFonts w:ascii="SimSun" w:hAnsi="SimSun" w:eastAsia="SimSun" w:cs="SimSun"/>
          <w:sz w:val="21"/>
          <w:szCs w:val="21"/>
          <w:spacing w:val="-10"/>
        </w:rPr>
        <w:t>事日程，为平台经济治理提供系统性的法律</w:t>
      </w:r>
      <w:r>
        <w:rPr>
          <w:rFonts w:ascii="SimSun" w:hAnsi="SimSun" w:eastAsia="SimSun" w:cs="SimSun"/>
          <w:sz w:val="21"/>
          <w:szCs w:val="21"/>
          <w:spacing w:val="-11"/>
        </w:rPr>
        <w:t>依据。我国已经颁布了不</w:t>
      </w:r>
      <w:r>
        <w:rPr>
          <w:rFonts w:ascii="SimSun" w:hAnsi="SimSun" w:eastAsia="SimSun" w:cs="SimSun"/>
          <w:sz w:val="21"/>
          <w:szCs w:val="21"/>
        </w:rPr>
        <w:t xml:space="preserve"> </w:t>
      </w:r>
      <w:r>
        <w:rPr>
          <w:rFonts w:ascii="SimSun" w:hAnsi="SimSun" w:eastAsia="SimSun" w:cs="SimSun"/>
          <w:sz w:val="21"/>
          <w:szCs w:val="21"/>
          <w:spacing w:val="-17"/>
        </w:rPr>
        <w:t>少与数字经济治理有关的法律法规，包括《消费者权益保护法》、《电</w:t>
      </w:r>
      <w:r>
        <w:rPr>
          <w:rFonts w:ascii="SimSun" w:hAnsi="SimSun" w:eastAsia="SimSun" w:cs="SimSun"/>
          <w:sz w:val="21"/>
          <w:szCs w:val="21"/>
          <w:spacing w:val="7"/>
        </w:rPr>
        <w:t xml:space="preserve"> </w:t>
      </w:r>
      <w:r>
        <w:rPr>
          <w:rFonts w:ascii="SimSun" w:hAnsi="SimSun" w:eastAsia="SimSun" w:cs="SimSun"/>
          <w:sz w:val="21"/>
          <w:szCs w:val="21"/>
          <w:spacing w:val="-26"/>
          <w:w w:val="96"/>
        </w:rPr>
        <w:t>子商务法》、《反不正当竞争法》、《反垄断法》、《网络安全法》、《数据</w:t>
      </w:r>
      <w:r>
        <w:rPr>
          <w:rFonts w:ascii="SimSun" w:hAnsi="SimSun" w:eastAsia="SimSun" w:cs="SimSun"/>
          <w:sz w:val="21"/>
          <w:szCs w:val="21"/>
          <w:spacing w:val="18"/>
        </w:rPr>
        <w:t xml:space="preserve"> </w:t>
      </w:r>
      <w:r>
        <w:rPr>
          <w:rFonts w:ascii="SimSun" w:hAnsi="SimSun" w:eastAsia="SimSun" w:cs="SimSun"/>
          <w:sz w:val="21"/>
          <w:szCs w:val="21"/>
          <w:spacing w:val="-10"/>
        </w:rPr>
        <w:t>安全法》和《个人信息保护法》等。建议全</w:t>
      </w:r>
      <w:r>
        <w:rPr>
          <w:rFonts w:ascii="SimSun" w:hAnsi="SimSun" w:eastAsia="SimSun" w:cs="SimSun"/>
          <w:sz w:val="21"/>
          <w:szCs w:val="21"/>
          <w:spacing w:val="-11"/>
        </w:rPr>
        <w:t>国人大尽快推动制定一部</w:t>
      </w:r>
      <w:r>
        <w:rPr>
          <w:rFonts w:ascii="SimSun" w:hAnsi="SimSun" w:eastAsia="SimSun" w:cs="SimSun"/>
          <w:sz w:val="21"/>
          <w:szCs w:val="21"/>
        </w:rPr>
        <w:t xml:space="preserve"> </w:t>
      </w:r>
      <w:r>
        <w:rPr>
          <w:rFonts w:ascii="SimSun" w:hAnsi="SimSun" w:eastAsia="SimSun" w:cs="SimSun"/>
          <w:sz w:val="21"/>
          <w:szCs w:val="21"/>
          <w:spacing w:val="-11"/>
        </w:rPr>
        <w:t>能够覆盖所有数字经济领域的数字经济法，改善各已有法律之间的衔</w:t>
      </w:r>
      <w:r>
        <w:rPr>
          <w:rFonts w:ascii="SimSun" w:hAnsi="SimSun" w:eastAsia="SimSun" w:cs="SimSun"/>
          <w:sz w:val="21"/>
          <w:szCs w:val="21"/>
          <w:spacing w:val="16"/>
        </w:rPr>
        <w:t xml:space="preserve"> </w:t>
      </w:r>
      <w:r>
        <w:rPr>
          <w:rFonts w:ascii="SimSun" w:hAnsi="SimSun" w:eastAsia="SimSun" w:cs="SimSun"/>
          <w:sz w:val="21"/>
          <w:szCs w:val="21"/>
          <w:spacing w:val="-10"/>
        </w:rPr>
        <w:t>接，同时明确必要的法律界限，特别要阐释</w:t>
      </w:r>
      <w:r>
        <w:rPr>
          <w:rFonts w:ascii="SimSun" w:hAnsi="SimSun" w:eastAsia="SimSun" w:cs="SimSun"/>
          <w:sz w:val="21"/>
          <w:szCs w:val="21"/>
          <w:spacing w:val="-11"/>
        </w:rPr>
        <w:t>一些数字经济领域的重要</w:t>
      </w:r>
      <w:r>
        <w:rPr>
          <w:rFonts w:ascii="SimSun" w:hAnsi="SimSun" w:eastAsia="SimSun" w:cs="SimSun"/>
          <w:sz w:val="21"/>
          <w:szCs w:val="21"/>
        </w:rPr>
        <w:t xml:space="preserve"> </w:t>
      </w:r>
      <w:r>
        <w:rPr>
          <w:rFonts w:ascii="SimSun" w:hAnsi="SimSun" w:eastAsia="SimSun" w:cs="SimSun"/>
          <w:sz w:val="21"/>
          <w:szCs w:val="21"/>
          <w:spacing w:val="-10"/>
        </w:rPr>
        <w:t>概念，明确界定“资本无序扩张”的含义，避免一些行政部门根据自</w:t>
      </w:r>
      <w:r>
        <w:rPr>
          <w:rFonts w:ascii="SimSun" w:hAnsi="SimSun" w:eastAsia="SimSun" w:cs="SimSun"/>
          <w:sz w:val="21"/>
          <w:szCs w:val="21"/>
          <w:spacing w:val="12"/>
        </w:rPr>
        <w:t xml:space="preserve"> </w:t>
      </w:r>
      <w:r>
        <w:rPr>
          <w:rFonts w:ascii="SimSun" w:hAnsi="SimSun" w:eastAsia="SimSun" w:cs="SimSun"/>
          <w:sz w:val="21"/>
          <w:szCs w:val="21"/>
          <w:spacing w:val="-11"/>
        </w:rPr>
        <w:t>己的意愿在经济领域做扩大化的解读。将来，数字经济法可以作为数</w:t>
      </w:r>
      <w:r>
        <w:rPr>
          <w:rFonts w:ascii="SimSun" w:hAnsi="SimSun" w:eastAsia="SimSun" w:cs="SimSun"/>
          <w:sz w:val="21"/>
          <w:szCs w:val="21"/>
          <w:spacing w:val="17"/>
        </w:rPr>
        <w:t xml:space="preserve"> </w:t>
      </w:r>
      <w:r>
        <w:rPr>
          <w:rFonts w:ascii="SimSun" w:hAnsi="SimSun" w:eastAsia="SimSun" w:cs="SimSun"/>
          <w:sz w:val="21"/>
          <w:szCs w:val="21"/>
          <w:spacing w:val="-11"/>
        </w:rPr>
        <w:t>字经济领域的基本法，统领平台经济治理实践。</w:t>
      </w:r>
    </w:p>
    <w:p>
      <w:pPr>
        <w:ind w:right="97" w:firstLine="459"/>
        <w:spacing w:before="179" w:line="307" w:lineRule="auto"/>
        <w:jc w:val="both"/>
        <w:rPr>
          <w:rFonts w:ascii="SimSun" w:hAnsi="SimSun" w:eastAsia="SimSun" w:cs="SimSun"/>
          <w:sz w:val="21"/>
          <w:szCs w:val="21"/>
        </w:rPr>
      </w:pPr>
      <w:r>
        <w:rPr>
          <w:rFonts w:ascii="SimSun" w:hAnsi="SimSun" w:eastAsia="SimSun" w:cs="SimSun"/>
          <w:sz w:val="21"/>
          <w:szCs w:val="21"/>
          <w:spacing w:val="-11"/>
        </w:rPr>
        <w:t>三、平台经济治理应以保障充分竞争、支持创新、保护消费者权</w:t>
      </w:r>
      <w:r>
        <w:rPr>
          <w:rFonts w:ascii="SimSun" w:hAnsi="SimSun" w:eastAsia="SimSun" w:cs="SimSun"/>
          <w:sz w:val="21"/>
          <w:szCs w:val="21"/>
          <w:spacing w:val="14"/>
        </w:rPr>
        <w:t xml:space="preserve"> </w:t>
      </w:r>
      <w:r>
        <w:rPr>
          <w:rFonts w:ascii="SimSun" w:hAnsi="SimSun" w:eastAsia="SimSun" w:cs="SimSun"/>
          <w:sz w:val="21"/>
          <w:szCs w:val="21"/>
          <w:spacing w:val="-11"/>
        </w:rPr>
        <w:t>益为目标。保障充分竞争的目的是维持市场的有效运行，以市场效率</w:t>
      </w:r>
      <w:r>
        <w:rPr>
          <w:rFonts w:ascii="SimSun" w:hAnsi="SimSun" w:eastAsia="SimSun" w:cs="SimSun"/>
          <w:sz w:val="21"/>
          <w:szCs w:val="21"/>
          <w:spacing w:val="18"/>
        </w:rPr>
        <w:t xml:space="preserve"> </w:t>
      </w:r>
      <w:r>
        <w:rPr>
          <w:rFonts w:ascii="SimSun" w:hAnsi="SimSun" w:eastAsia="SimSun" w:cs="SimSun"/>
          <w:sz w:val="21"/>
          <w:szCs w:val="21"/>
          <w:spacing w:val="-11"/>
        </w:rPr>
        <w:t>为导向，让市场参与者能自由、充分地参与竞争。创新是平</w:t>
      </w:r>
      <w:r>
        <w:rPr>
          <w:rFonts w:ascii="SimSun" w:hAnsi="SimSun" w:eastAsia="SimSun" w:cs="SimSun"/>
          <w:sz w:val="21"/>
          <w:szCs w:val="21"/>
          <w:spacing w:val="-12"/>
        </w:rPr>
        <w:t>台经济持</w:t>
      </w:r>
      <w:r>
        <w:rPr>
          <w:rFonts w:ascii="SimSun" w:hAnsi="SimSun" w:eastAsia="SimSun" w:cs="SimSun"/>
          <w:sz w:val="21"/>
          <w:szCs w:val="21"/>
        </w:rPr>
        <w:t xml:space="preserve"> </w:t>
      </w:r>
      <w:r>
        <w:rPr>
          <w:rFonts w:ascii="SimSun" w:hAnsi="SimSun" w:eastAsia="SimSun" w:cs="SimSun"/>
          <w:sz w:val="21"/>
          <w:szCs w:val="21"/>
          <w:spacing w:val="-11"/>
        </w:rPr>
        <w:t>续保持活力的基本前提，我国平台经济发展的成绩主要体现在市场规</w:t>
      </w:r>
      <w:r>
        <w:rPr>
          <w:rFonts w:ascii="SimSun" w:hAnsi="SimSun" w:eastAsia="SimSun" w:cs="SimSun"/>
          <w:sz w:val="21"/>
          <w:szCs w:val="21"/>
          <w:spacing w:val="17"/>
        </w:rPr>
        <w:t xml:space="preserve"> </w:t>
      </w:r>
      <w:r>
        <w:rPr>
          <w:rFonts w:ascii="SimSun" w:hAnsi="SimSun" w:eastAsia="SimSun" w:cs="SimSun"/>
          <w:sz w:val="21"/>
          <w:szCs w:val="21"/>
          <w:spacing w:val="-11"/>
        </w:rPr>
        <w:t>模而不是技术优势，最近平台经济的生产率转弱，很可能是因为创新</w:t>
      </w:r>
      <w:r>
        <w:rPr>
          <w:rFonts w:ascii="SimSun" w:hAnsi="SimSun" w:eastAsia="SimSun" w:cs="SimSun"/>
          <w:sz w:val="21"/>
          <w:szCs w:val="21"/>
          <w:spacing w:val="17"/>
        </w:rPr>
        <w:t xml:space="preserve"> </w:t>
      </w:r>
      <w:r>
        <w:rPr>
          <w:rFonts w:ascii="SimSun" w:hAnsi="SimSun" w:eastAsia="SimSun" w:cs="SimSun"/>
          <w:sz w:val="21"/>
          <w:szCs w:val="21"/>
          <w:spacing w:val="-11"/>
        </w:rPr>
        <w:t>活力有所下降。另外，中外平台经济市场分隔的局面可能只是一个阶</w:t>
      </w:r>
      <w:r>
        <w:rPr>
          <w:rFonts w:ascii="SimSun" w:hAnsi="SimSun" w:eastAsia="SimSun" w:cs="SimSun"/>
          <w:sz w:val="21"/>
          <w:szCs w:val="21"/>
          <w:spacing w:val="17"/>
        </w:rPr>
        <w:t xml:space="preserve"> </w:t>
      </w:r>
      <w:r>
        <w:rPr>
          <w:rFonts w:ascii="SimSun" w:hAnsi="SimSun" w:eastAsia="SimSun" w:cs="SimSun"/>
          <w:sz w:val="21"/>
          <w:szCs w:val="21"/>
          <w:spacing w:val="-10"/>
        </w:rPr>
        <w:t>段性现象，只有保持强劲的创新能力，我国</w:t>
      </w:r>
      <w:r>
        <w:rPr>
          <w:rFonts w:ascii="SimSun" w:hAnsi="SimSun" w:eastAsia="SimSun" w:cs="SimSun"/>
          <w:sz w:val="21"/>
          <w:szCs w:val="21"/>
          <w:spacing w:val="-11"/>
        </w:rPr>
        <w:t>的平台企业才有可能持续</w:t>
      </w:r>
      <w:r>
        <w:rPr>
          <w:rFonts w:ascii="SimSun" w:hAnsi="SimSun" w:eastAsia="SimSun" w:cs="SimSun"/>
          <w:sz w:val="21"/>
          <w:szCs w:val="21"/>
        </w:rPr>
        <w:t xml:space="preserve"> </w:t>
      </w:r>
      <w:r>
        <w:rPr>
          <w:rFonts w:ascii="SimSun" w:hAnsi="SimSun" w:eastAsia="SimSun" w:cs="SimSun"/>
          <w:sz w:val="21"/>
          <w:szCs w:val="21"/>
          <w:spacing w:val="-11"/>
        </w:rPr>
        <w:t>健康地发展，未来也才有可能从容地应对国际竞争。消费者权益是经</w:t>
      </w:r>
      <w:r>
        <w:rPr>
          <w:rFonts w:ascii="SimSun" w:hAnsi="SimSun" w:eastAsia="SimSun" w:cs="SimSun"/>
          <w:sz w:val="21"/>
          <w:szCs w:val="21"/>
          <w:spacing w:val="17"/>
        </w:rPr>
        <w:t xml:space="preserve"> </w:t>
      </w:r>
      <w:r>
        <w:rPr>
          <w:rFonts w:ascii="SimSun" w:hAnsi="SimSun" w:eastAsia="SimSun" w:cs="SimSun"/>
          <w:sz w:val="21"/>
          <w:szCs w:val="21"/>
          <w:spacing w:val="-11"/>
        </w:rPr>
        <w:t>济活动的终极目的，归根结底，平台经济的价值也要体现在能够满足</w:t>
      </w:r>
      <w:r>
        <w:rPr>
          <w:rFonts w:ascii="SimSun" w:hAnsi="SimSun" w:eastAsia="SimSun" w:cs="SimSun"/>
          <w:sz w:val="21"/>
          <w:szCs w:val="21"/>
          <w:spacing w:val="17"/>
        </w:rPr>
        <w:t xml:space="preserve"> </w:t>
      </w:r>
      <w:r>
        <w:rPr>
          <w:rFonts w:ascii="SimSun" w:hAnsi="SimSun" w:eastAsia="SimSun" w:cs="SimSun"/>
          <w:sz w:val="21"/>
          <w:szCs w:val="21"/>
          <w:spacing w:val="-12"/>
        </w:rPr>
        <w:t>人民群众不断增长的对美好生活的需要。</w:t>
      </w:r>
    </w:p>
    <w:p>
      <w:pPr>
        <w:spacing w:before="109" w:line="219" w:lineRule="auto"/>
        <w:jc w:val="right"/>
        <w:rPr>
          <w:rFonts w:ascii="SimSun" w:hAnsi="SimSun" w:eastAsia="SimSun" w:cs="SimSun"/>
          <w:sz w:val="21"/>
          <w:szCs w:val="21"/>
        </w:rPr>
      </w:pPr>
      <w:r>
        <w:rPr>
          <w:rFonts w:ascii="SimSun" w:hAnsi="SimSun" w:eastAsia="SimSun" w:cs="SimSun"/>
          <w:sz w:val="21"/>
          <w:szCs w:val="21"/>
          <w:spacing w:val="-11"/>
        </w:rPr>
        <w:t>四 、改善平台经济治理政策的协调，短期内尽量明晰机构分工、</w:t>
      </w:r>
    </w:p>
    <w:p>
      <w:pPr>
        <w:spacing w:line="219" w:lineRule="auto"/>
        <w:sectPr>
          <w:headerReference w:type="default" r:id="rId73"/>
          <w:pgSz w:w="7330" w:h="12480"/>
          <w:pgMar w:top="559" w:right="464" w:bottom="400" w:left="720" w:header="392" w:footer="0" w:gutter="0"/>
        </w:sectPr>
        <w:rPr>
          <w:rFonts w:ascii="SimSun" w:hAnsi="SimSun" w:eastAsia="SimSun" w:cs="SimSun"/>
          <w:sz w:val="21"/>
          <w:szCs w:val="21"/>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96"/>
        <w:spacing w:before="68" w:line="307" w:lineRule="auto"/>
        <w:jc w:val="both"/>
        <w:rPr>
          <w:rFonts w:ascii="SimSun" w:hAnsi="SimSun" w:eastAsia="SimSun" w:cs="SimSun"/>
          <w:sz w:val="21"/>
          <w:szCs w:val="21"/>
        </w:rPr>
      </w:pPr>
      <w:r>
        <w:rPr>
          <w:rFonts w:ascii="SimSun" w:hAnsi="SimSun" w:eastAsia="SimSun" w:cs="SimSun"/>
          <w:sz w:val="21"/>
          <w:szCs w:val="21"/>
          <w:spacing w:val="-11"/>
        </w:rPr>
        <w:t>增强政策统筹，长期可考虑建立综合性平台经济治理机构。我国的平</w:t>
      </w:r>
      <w:r>
        <w:rPr>
          <w:rFonts w:ascii="SimSun" w:hAnsi="SimSun" w:eastAsia="SimSun" w:cs="SimSun"/>
          <w:sz w:val="21"/>
          <w:szCs w:val="21"/>
          <w:spacing w:val="8"/>
        </w:rPr>
        <w:t xml:space="preserve"> </w:t>
      </w:r>
      <w:r>
        <w:rPr>
          <w:rFonts w:ascii="SimSun" w:hAnsi="SimSun" w:eastAsia="SimSun" w:cs="SimSun"/>
          <w:sz w:val="21"/>
          <w:szCs w:val="21"/>
          <w:spacing w:val="-4"/>
        </w:rPr>
        <w:t>台经济监管，既有行业监管部门，比如交通运输部、人民银行和工</w:t>
      </w:r>
      <w:r>
        <w:rPr>
          <w:rFonts w:ascii="SimSun" w:hAnsi="SimSun" w:eastAsia="SimSun" w:cs="SimSun"/>
          <w:sz w:val="21"/>
          <w:szCs w:val="21"/>
          <w:spacing w:val="6"/>
        </w:rPr>
        <w:t xml:space="preserve"> </w:t>
      </w:r>
      <w:r>
        <w:rPr>
          <w:rFonts w:ascii="SimSun" w:hAnsi="SimSun" w:eastAsia="SimSun" w:cs="SimSun"/>
          <w:sz w:val="21"/>
          <w:szCs w:val="21"/>
          <w:spacing w:val="-10"/>
        </w:rPr>
        <w:t>信部，又有一般性的监管部门，如市场监管总局。它们既管理</w:t>
      </w:r>
      <w:r>
        <w:rPr>
          <w:rFonts w:ascii="SimSun" w:hAnsi="SimSun" w:eastAsia="SimSun" w:cs="SimSun"/>
          <w:sz w:val="21"/>
          <w:szCs w:val="21"/>
          <w:spacing w:val="-11"/>
        </w:rPr>
        <w:t>市场秩</w:t>
      </w:r>
      <w:r>
        <w:rPr>
          <w:rFonts w:ascii="SimSun" w:hAnsi="SimSun" w:eastAsia="SimSun" w:cs="SimSun"/>
          <w:sz w:val="21"/>
          <w:szCs w:val="21"/>
        </w:rPr>
        <w:t xml:space="preserve"> </w:t>
      </w:r>
      <w:r>
        <w:rPr>
          <w:rFonts w:ascii="SimSun" w:hAnsi="SimSun" w:eastAsia="SimSun" w:cs="SimSun"/>
          <w:sz w:val="21"/>
          <w:szCs w:val="21"/>
          <w:spacing w:val="-11"/>
        </w:rPr>
        <w:t>序，又负责反垄断执法，还制定数据治理规则。但各机构之间的分工</w:t>
      </w:r>
      <w:r>
        <w:rPr>
          <w:rFonts w:ascii="SimSun" w:hAnsi="SimSun" w:eastAsia="SimSun" w:cs="SimSun"/>
          <w:sz w:val="21"/>
          <w:szCs w:val="21"/>
          <w:spacing w:val="9"/>
        </w:rPr>
        <w:t xml:space="preserve"> </w:t>
      </w:r>
      <w:r>
        <w:rPr>
          <w:rFonts w:ascii="SimSun" w:hAnsi="SimSun" w:eastAsia="SimSun" w:cs="SimSun"/>
          <w:sz w:val="21"/>
          <w:szCs w:val="21"/>
          <w:spacing w:val="-11"/>
        </w:rPr>
        <w:t>不是很清晰，也缺乏有效的协调，容易造成监管竞争的局面。首先可</w:t>
      </w:r>
      <w:r>
        <w:rPr>
          <w:rFonts w:ascii="SimSun" w:hAnsi="SimSun" w:eastAsia="SimSun" w:cs="SimSun"/>
          <w:sz w:val="21"/>
          <w:szCs w:val="21"/>
          <w:spacing w:val="7"/>
        </w:rPr>
        <w:t xml:space="preserve"> </w:t>
      </w:r>
      <w:r>
        <w:rPr>
          <w:rFonts w:ascii="SimSun" w:hAnsi="SimSun" w:eastAsia="SimSun" w:cs="SimSun"/>
          <w:sz w:val="21"/>
          <w:szCs w:val="21"/>
          <w:spacing w:val="-11"/>
        </w:rPr>
        <w:t>以考虑在国务院层面设立一个协调机制，既要消除监管空白，也要防</w:t>
      </w:r>
      <w:r>
        <w:rPr>
          <w:rFonts w:ascii="SimSun" w:hAnsi="SimSun" w:eastAsia="SimSun" w:cs="SimSun"/>
          <w:sz w:val="21"/>
          <w:szCs w:val="21"/>
          <w:spacing w:val="10"/>
        </w:rPr>
        <w:t xml:space="preserve"> </w:t>
      </w:r>
      <w:r>
        <w:rPr>
          <w:rFonts w:ascii="SimSun" w:hAnsi="SimSun" w:eastAsia="SimSun" w:cs="SimSun"/>
          <w:sz w:val="21"/>
          <w:szCs w:val="21"/>
          <w:spacing w:val="-11"/>
        </w:rPr>
        <w:t>止重复施政，同时控制新政的节奏，尽量争取平稳过渡</w:t>
      </w:r>
      <w:r>
        <w:rPr>
          <w:rFonts w:ascii="SimSun" w:hAnsi="SimSun" w:eastAsia="SimSun" w:cs="SimSun"/>
          <w:sz w:val="21"/>
          <w:szCs w:val="21"/>
          <w:spacing w:val="-12"/>
        </w:rPr>
        <w:t>。平台经济的</w:t>
      </w:r>
      <w:r>
        <w:rPr>
          <w:rFonts w:ascii="SimSun" w:hAnsi="SimSun" w:eastAsia="SimSun" w:cs="SimSun"/>
          <w:sz w:val="21"/>
          <w:szCs w:val="21"/>
        </w:rPr>
        <w:t xml:space="preserve"> </w:t>
      </w:r>
      <w:r>
        <w:rPr>
          <w:rFonts w:ascii="SimSun" w:hAnsi="SimSun" w:eastAsia="SimSun" w:cs="SimSun"/>
          <w:sz w:val="21"/>
          <w:szCs w:val="21"/>
          <w:spacing w:val="-11"/>
        </w:rPr>
        <w:t>范围经济特性意味着传统的行业监管体系不一定有效。从长远看，还</w:t>
      </w:r>
      <w:r>
        <w:rPr>
          <w:rFonts w:ascii="SimSun" w:hAnsi="SimSun" w:eastAsia="SimSun" w:cs="SimSun"/>
          <w:sz w:val="21"/>
          <w:szCs w:val="21"/>
          <w:spacing w:val="7"/>
        </w:rPr>
        <w:t xml:space="preserve"> </w:t>
      </w:r>
      <w:r>
        <w:rPr>
          <w:rFonts w:ascii="SimSun" w:hAnsi="SimSun" w:eastAsia="SimSun" w:cs="SimSun"/>
          <w:sz w:val="21"/>
          <w:szCs w:val="21"/>
          <w:spacing w:val="-11"/>
        </w:rPr>
        <w:t>是应该考虑建立综合性平台经济治理机构，这样才能全面地评估综合</w:t>
      </w:r>
      <w:r>
        <w:rPr>
          <w:rFonts w:ascii="SimSun" w:hAnsi="SimSun" w:eastAsia="SimSun" w:cs="SimSun"/>
          <w:sz w:val="21"/>
          <w:szCs w:val="21"/>
          <w:spacing w:val="7"/>
        </w:rPr>
        <w:t xml:space="preserve"> </w:t>
      </w:r>
      <w:r>
        <w:rPr>
          <w:rFonts w:ascii="SimSun" w:hAnsi="SimSun" w:eastAsia="SimSun" w:cs="SimSun"/>
          <w:sz w:val="21"/>
          <w:szCs w:val="21"/>
          <w:spacing w:val="-10"/>
        </w:rPr>
        <w:t>性平台的行为与效果。</w:t>
      </w:r>
    </w:p>
    <w:p>
      <w:pPr>
        <w:ind w:right="87" w:firstLine="409"/>
        <w:spacing w:before="114" w:line="308" w:lineRule="auto"/>
        <w:jc w:val="both"/>
        <w:rPr>
          <w:rFonts w:ascii="SimSun" w:hAnsi="SimSun" w:eastAsia="SimSun" w:cs="SimSun"/>
          <w:sz w:val="21"/>
          <w:szCs w:val="21"/>
        </w:rPr>
      </w:pPr>
      <w:r>
        <w:rPr>
          <w:rFonts w:ascii="SimSun" w:hAnsi="SimSun" w:eastAsia="SimSun" w:cs="SimSun"/>
          <w:sz w:val="21"/>
          <w:szCs w:val="21"/>
          <w:spacing w:val="-3"/>
        </w:rPr>
        <w:t>五、平台经济监管和反垄断执法最好能分开，同时尽量采取日</w:t>
      </w:r>
      <w:r>
        <w:rPr>
          <w:rFonts w:ascii="SimSun" w:hAnsi="SimSun" w:eastAsia="SimSun" w:cs="SimSun"/>
          <w:sz w:val="21"/>
          <w:szCs w:val="21"/>
          <w:spacing w:val="7"/>
        </w:rPr>
        <w:t xml:space="preserve"> </w:t>
      </w:r>
      <w:r>
        <w:rPr>
          <w:rFonts w:ascii="SimSun" w:hAnsi="SimSun" w:eastAsia="SimSun" w:cs="SimSun"/>
          <w:sz w:val="21"/>
          <w:szCs w:val="21"/>
          <w:spacing w:val="-11"/>
        </w:rPr>
        <w:t>常性、回应型、适应平台经济特性的监管方式。平台经济监管关注的</w:t>
      </w:r>
      <w:r>
        <w:rPr>
          <w:rFonts w:ascii="SimSun" w:hAnsi="SimSun" w:eastAsia="SimSun" w:cs="SimSun"/>
          <w:sz w:val="21"/>
          <w:szCs w:val="21"/>
          <w:spacing w:val="14"/>
        </w:rPr>
        <w:t xml:space="preserve"> </w:t>
      </w:r>
      <w:r>
        <w:rPr>
          <w:rFonts w:ascii="SimSun" w:hAnsi="SimSun" w:eastAsia="SimSun" w:cs="SimSun"/>
          <w:sz w:val="21"/>
          <w:szCs w:val="21"/>
          <w:spacing w:val="-11"/>
        </w:rPr>
        <w:t>是维持市场秩序，反垄断执法看重的是恢复市场效率。当前应特别重</w:t>
      </w:r>
      <w:r>
        <w:rPr>
          <w:rFonts w:ascii="SimSun" w:hAnsi="SimSun" w:eastAsia="SimSun" w:cs="SimSun"/>
          <w:sz w:val="21"/>
          <w:szCs w:val="21"/>
          <w:spacing w:val="8"/>
        </w:rPr>
        <w:t xml:space="preserve"> </w:t>
      </w:r>
      <w:r>
        <w:rPr>
          <w:rFonts w:ascii="SimSun" w:hAnsi="SimSun" w:eastAsia="SimSun" w:cs="SimSun"/>
          <w:sz w:val="21"/>
          <w:szCs w:val="21"/>
          <w:spacing w:val="-11"/>
        </w:rPr>
        <w:t>视监管的作用，增强市场的有效性和可竞争性。运动式监管的冲击过</w:t>
      </w:r>
      <w:r>
        <w:rPr>
          <w:rFonts w:ascii="SimSun" w:hAnsi="SimSun" w:eastAsia="SimSun" w:cs="SimSun"/>
          <w:sz w:val="21"/>
          <w:szCs w:val="21"/>
          <w:spacing w:val="6"/>
        </w:rPr>
        <w:t xml:space="preserve"> </w:t>
      </w:r>
      <w:r>
        <w:rPr>
          <w:rFonts w:ascii="SimSun" w:hAnsi="SimSun" w:eastAsia="SimSun" w:cs="SimSun"/>
          <w:sz w:val="21"/>
          <w:szCs w:val="21"/>
          <w:spacing w:val="-11"/>
        </w:rPr>
        <w:t>大，效果也不好。平台经济本来就是一个新生事物，监管部门与平台</w:t>
      </w:r>
      <w:r>
        <w:rPr>
          <w:rFonts w:ascii="SimSun" w:hAnsi="SimSun" w:eastAsia="SimSun" w:cs="SimSun"/>
          <w:sz w:val="21"/>
          <w:szCs w:val="21"/>
        </w:rPr>
        <w:t xml:space="preserve"> </w:t>
      </w:r>
      <w:r>
        <w:rPr>
          <w:rFonts w:ascii="SimSun" w:hAnsi="SimSun" w:eastAsia="SimSun" w:cs="SimSun"/>
          <w:sz w:val="21"/>
          <w:szCs w:val="21"/>
          <w:spacing w:val="-11"/>
        </w:rPr>
        <w:t>企业应该保持日常性沟通，这样才能及时发现问题、化解问题。也可</w:t>
      </w:r>
      <w:r>
        <w:rPr>
          <w:rFonts w:ascii="SimSun" w:hAnsi="SimSun" w:eastAsia="SimSun" w:cs="SimSun"/>
          <w:sz w:val="21"/>
          <w:szCs w:val="21"/>
          <w:spacing w:val="7"/>
        </w:rPr>
        <w:t xml:space="preserve"> </w:t>
      </w:r>
      <w:r>
        <w:rPr>
          <w:rFonts w:ascii="SimSun" w:hAnsi="SimSun" w:eastAsia="SimSun" w:cs="SimSun"/>
          <w:sz w:val="21"/>
          <w:szCs w:val="21"/>
          <w:spacing w:val="-4"/>
        </w:rPr>
        <w:t>以采取“监管沙盒”的做法，在有监管的前提下测试新的产品与服</w:t>
      </w:r>
      <w:r>
        <w:rPr>
          <w:rFonts w:ascii="SimSun" w:hAnsi="SimSun" w:eastAsia="SimSun" w:cs="SimSun"/>
          <w:sz w:val="21"/>
          <w:szCs w:val="21"/>
          <w:spacing w:val="3"/>
        </w:rPr>
        <w:t xml:space="preserve"> </w:t>
      </w:r>
      <w:r>
        <w:rPr>
          <w:rFonts w:ascii="SimSun" w:hAnsi="SimSun" w:eastAsia="SimSun" w:cs="SimSun"/>
          <w:sz w:val="21"/>
          <w:szCs w:val="21"/>
          <w:spacing w:val="-10"/>
        </w:rPr>
        <w:t>务。同时，在采取监管措施的时候，也要给予</w:t>
      </w:r>
      <w:r>
        <w:rPr>
          <w:rFonts w:ascii="SimSun" w:hAnsi="SimSun" w:eastAsia="SimSun" w:cs="SimSun"/>
          <w:sz w:val="21"/>
          <w:szCs w:val="21"/>
          <w:spacing w:val="-11"/>
        </w:rPr>
        <w:t>被监管对象申诉、说明</w:t>
      </w:r>
      <w:r>
        <w:rPr>
          <w:rFonts w:ascii="SimSun" w:hAnsi="SimSun" w:eastAsia="SimSun" w:cs="SimSun"/>
          <w:sz w:val="21"/>
          <w:szCs w:val="21"/>
        </w:rPr>
        <w:t xml:space="preserve"> </w:t>
      </w:r>
      <w:r>
        <w:rPr>
          <w:rFonts w:ascii="SimSun" w:hAnsi="SimSun" w:eastAsia="SimSun" w:cs="SimSun"/>
          <w:sz w:val="21"/>
          <w:szCs w:val="21"/>
          <w:spacing w:val="-11"/>
        </w:rPr>
        <w:t>的机会。最后，在平台经济领域，许多平台之间有千丝万缕的投资与</w:t>
      </w:r>
      <w:r>
        <w:rPr>
          <w:rFonts w:ascii="SimSun" w:hAnsi="SimSun" w:eastAsia="SimSun" w:cs="SimSun"/>
          <w:sz w:val="21"/>
          <w:szCs w:val="21"/>
          <w:spacing w:val="15"/>
        </w:rPr>
        <w:t xml:space="preserve"> </w:t>
      </w:r>
      <w:r>
        <w:rPr>
          <w:rFonts w:ascii="SimSun" w:hAnsi="SimSun" w:eastAsia="SimSun" w:cs="SimSun"/>
          <w:sz w:val="21"/>
          <w:szCs w:val="21"/>
          <w:spacing w:val="-11"/>
        </w:rPr>
        <w:t>业务关系，出现了集团化、产融结合等新现象，因此有必要研究制定</w:t>
      </w:r>
      <w:r>
        <w:rPr>
          <w:rFonts w:ascii="SimSun" w:hAnsi="SimSun" w:eastAsia="SimSun" w:cs="SimSun"/>
          <w:sz w:val="21"/>
          <w:szCs w:val="21"/>
          <w:spacing w:val="12"/>
        </w:rPr>
        <w:t xml:space="preserve"> </w:t>
      </w:r>
      <w:r>
        <w:rPr>
          <w:rFonts w:ascii="SimSun" w:hAnsi="SimSun" w:eastAsia="SimSun" w:cs="SimSun"/>
          <w:sz w:val="21"/>
          <w:szCs w:val="21"/>
          <w:spacing w:val="-12"/>
        </w:rPr>
        <w:t>与限制、规范企业集团相关的监管制度和政</w:t>
      </w:r>
      <w:r>
        <w:rPr>
          <w:rFonts w:ascii="SimSun" w:hAnsi="SimSun" w:eastAsia="SimSun" w:cs="SimSun"/>
          <w:sz w:val="21"/>
          <w:szCs w:val="21"/>
          <w:spacing w:val="-13"/>
        </w:rPr>
        <w:t>策。</w:t>
      </w:r>
    </w:p>
    <w:p>
      <w:pPr>
        <w:ind w:firstLine="429"/>
        <w:spacing w:before="102" w:line="300" w:lineRule="auto"/>
        <w:jc w:val="both"/>
        <w:rPr>
          <w:rFonts w:ascii="SimSun" w:hAnsi="SimSun" w:eastAsia="SimSun" w:cs="SimSun"/>
          <w:sz w:val="21"/>
          <w:szCs w:val="21"/>
        </w:rPr>
      </w:pPr>
      <w:r>
        <w:rPr>
          <w:rFonts w:ascii="SimSun" w:hAnsi="SimSun" w:eastAsia="SimSun" w:cs="SimSun"/>
          <w:sz w:val="21"/>
          <w:szCs w:val="21"/>
          <w:spacing w:val="-8"/>
        </w:rPr>
        <w:t>六、建议成立数据治理委员会，创新性地制定、协调数据政策，</w:t>
      </w:r>
      <w:r>
        <w:rPr>
          <w:rFonts w:ascii="SimSun" w:hAnsi="SimSun" w:eastAsia="SimSun" w:cs="SimSun"/>
          <w:sz w:val="21"/>
          <w:szCs w:val="21"/>
          <w:spacing w:val="8"/>
        </w:rPr>
        <w:t xml:space="preserve"> </w:t>
      </w:r>
      <w:r>
        <w:rPr>
          <w:rFonts w:ascii="SimSun" w:hAnsi="SimSun" w:eastAsia="SimSun" w:cs="SimSun"/>
          <w:sz w:val="21"/>
          <w:szCs w:val="21"/>
          <w:spacing w:val="-11"/>
        </w:rPr>
        <w:t>同时推行算法审计，不要简单地套用传统要素的治理思路。基于数据</w:t>
      </w:r>
      <w:r>
        <w:rPr>
          <w:rFonts w:ascii="SimSun" w:hAnsi="SimSun" w:eastAsia="SimSun" w:cs="SimSun"/>
          <w:sz w:val="21"/>
          <w:szCs w:val="21"/>
          <w:spacing w:val="5"/>
        </w:rPr>
        <w:t xml:space="preserve">  </w:t>
      </w:r>
      <w:r>
        <w:rPr>
          <w:rFonts w:ascii="SimSun" w:hAnsi="SimSun" w:eastAsia="SimSun" w:cs="SimSun"/>
          <w:sz w:val="21"/>
          <w:szCs w:val="21"/>
          <w:spacing w:val="-11"/>
        </w:rPr>
        <w:t>作为准公共品的非竞争性和部分排他性等特征，先确权、再交易的传</w:t>
      </w:r>
      <w:r>
        <w:rPr>
          <w:rFonts w:ascii="SimSun" w:hAnsi="SimSun" w:eastAsia="SimSun" w:cs="SimSun"/>
          <w:sz w:val="21"/>
          <w:szCs w:val="21"/>
          <w:spacing w:val="4"/>
        </w:rPr>
        <w:t xml:space="preserve">  </w:t>
      </w:r>
      <w:r>
        <w:rPr>
          <w:rFonts w:ascii="SimSun" w:hAnsi="SimSun" w:eastAsia="SimSun" w:cs="SimSun"/>
          <w:sz w:val="21"/>
          <w:szCs w:val="21"/>
          <w:spacing w:val="-11"/>
        </w:rPr>
        <w:t>统方法不再适用。建议成立一个高规格、跨部门、政企结合的数据治</w:t>
      </w:r>
      <w:r>
        <w:rPr>
          <w:rFonts w:ascii="SimSun" w:hAnsi="SimSun" w:eastAsia="SimSun" w:cs="SimSun"/>
          <w:sz w:val="21"/>
          <w:szCs w:val="21"/>
          <w:spacing w:val="8"/>
        </w:rPr>
        <w:t xml:space="preserve">  </w:t>
      </w:r>
      <w:r>
        <w:rPr>
          <w:rFonts w:ascii="SimSun" w:hAnsi="SimSun" w:eastAsia="SimSun" w:cs="SimSun"/>
          <w:sz w:val="21"/>
          <w:szCs w:val="21"/>
          <w:spacing w:val="-10"/>
        </w:rPr>
        <w:t>理委员会，统筹数据政策。包括：制定数据生产要素的交易范围</w:t>
      </w:r>
      <w:r>
        <w:rPr>
          <w:rFonts w:ascii="SimSun" w:hAnsi="SimSun" w:eastAsia="SimSun" w:cs="SimSun"/>
          <w:sz w:val="21"/>
          <w:szCs w:val="21"/>
          <w:spacing w:val="-11"/>
        </w:rPr>
        <w:t>、算</w:t>
      </w:r>
      <w:r>
        <w:rPr>
          <w:rFonts w:ascii="SimSun" w:hAnsi="SimSun" w:eastAsia="SimSun" w:cs="SimSun"/>
          <w:sz w:val="21"/>
          <w:szCs w:val="21"/>
        </w:rPr>
        <w:t xml:space="preserve">  </w:t>
      </w:r>
      <w:r>
        <w:rPr>
          <w:rFonts w:ascii="SimSun" w:hAnsi="SimSun" w:eastAsia="SimSun" w:cs="SimSun"/>
          <w:sz w:val="21"/>
          <w:szCs w:val="21"/>
          <w:spacing w:val="-10"/>
        </w:rPr>
        <w:t>法治理、个人信息保护与数据安全等方面的指南；执行数据牌照的申</w:t>
      </w:r>
    </w:p>
    <w:p>
      <w:pPr>
        <w:spacing w:line="300" w:lineRule="auto"/>
        <w:sectPr>
          <w:headerReference w:type="default" r:id="rId74"/>
          <w:pgSz w:w="7330" w:h="12480"/>
          <w:pgMar w:top="783" w:right="704" w:bottom="400" w:left="530" w:header="610"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91"/>
        <w:spacing w:before="69" w:line="298" w:lineRule="auto"/>
        <w:jc w:val="both"/>
        <w:rPr>
          <w:rFonts w:ascii="SimSun" w:hAnsi="SimSun" w:eastAsia="SimSun" w:cs="SimSun"/>
          <w:sz w:val="21"/>
          <w:szCs w:val="21"/>
        </w:rPr>
      </w:pPr>
      <w:r>
        <w:rPr>
          <w:rFonts w:ascii="SimSun" w:hAnsi="SimSun" w:eastAsia="SimSun" w:cs="SimSun"/>
          <w:sz w:val="21"/>
          <w:szCs w:val="21"/>
          <w:spacing w:val="-10"/>
        </w:rPr>
        <w:t>请、审核、发放、限制使用和吊销；推动算法审计；协调</w:t>
      </w:r>
      <w:r>
        <w:rPr>
          <w:rFonts w:ascii="SimSun" w:hAnsi="SimSun" w:eastAsia="SimSun" w:cs="SimSun"/>
          <w:sz w:val="21"/>
          <w:szCs w:val="21"/>
          <w:spacing w:val="-11"/>
        </w:rPr>
        <w:t>个人信息保</w:t>
      </w:r>
      <w:r>
        <w:rPr>
          <w:rFonts w:ascii="SimSun" w:hAnsi="SimSun" w:eastAsia="SimSun" w:cs="SimSun"/>
          <w:sz w:val="21"/>
          <w:szCs w:val="21"/>
        </w:rPr>
        <w:t xml:space="preserve"> </w:t>
      </w:r>
      <w:r>
        <w:rPr>
          <w:rFonts w:ascii="SimSun" w:hAnsi="SimSun" w:eastAsia="SimSun" w:cs="SimSun"/>
          <w:sz w:val="21"/>
          <w:szCs w:val="21"/>
          <w:spacing w:val="-10"/>
        </w:rPr>
        <w:t>护和数据安全方面的工作；设定争端解决与协调机制；等等。建议算</w:t>
      </w:r>
      <w:r>
        <w:rPr>
          <w:rFonts w:ascii="SimSun" w:hAnsi="SimSun" w:eastAsia="SimSun" w:cs="SimSun"/>
          <w:sz w:val="21"/>
          <w:szCs w:val="21"/>
          <w:spacing w:val="18"/>
        </w:rPr>
        <w:t xml:space="preserve"> </w:t>
      </w:r>
      <w:r>
        <w:rPr>
          <w:rFonts w:ascii="SimSun" w:hAnsi="SimSun" w:eastAsia="SimSun" w:cs="SimSun"/>
          <w:sz w:val="21"/>
          <w:szCs w:val="21"/>
          <w:spacing w:val="-11"/>
        </w:rPr>
        <w:t>法审计以要求相关企业报告输入输出和进行结果评估为重点。报告输</w:t>
      </w:r>
      <w:r>
        <w:rPr>
          <w:rFonts w:ascii="SimSun" w:hAnsi="SimSun" w:eastAsia="SimSun" w:cs="SimSun"/>
          <w:sz w:val="21"/>
          <w:szCs w:val="21"/>
          <w:spacing w:val="6"/>
        </w:rPr>
        <w:t xml:space="preserve"> </w:t>
      </w:r>
      <w:r>
        <w:rPr>
          <w:rFonts w:ascii="SimSun" w:hAnsi="SimSun" w:eastAsia="SimSun" w:cs="SimSun"/>
          <w:sz w:val="21"/>
          <w:szCs w:val="21"/>
          <w:spacing w:val="-11"/>
        </w:rPr>
        <w:t>入输出是指要求平台对不同利益相关方明确报告算法训练、算法评估</w:t>
      </w:r>
      <w:r>
        <w:rPr>
          <w:rFonts w:ascii="SimSun" w:hAnsi="SimSun" w:eastAsia="SimSun" w:cs="SimSun"/>
          <w:sz w:val="21"/>
          <w:szCs w:val="21"/>
          <w:spacing w:val="8"/>
        </w:rPr>
        <w:t xml:space="preserve"> </w:t>
      </w:r>
      <w:r>
        <w:rPr>
          <w:rFonts w:ascii="SimSun" w:hAnsi="SimSun" w:eastAsia="SimSun" w:cs="SimSun"/>
          <w:sz w:val="21"/>
          <w:szCs w:val="21"/>
          <w:spacing w:val="-11"/>
        </w:rPr>
        <w:t>及算法选择中用到的数据来源和质量，算法预测或优化目标，算法使</w:t>
      </w:r>
      <w:r>
        <w:rPr>
          <w:rFonts w:ascii="SimSun" w:hAnsi="SimSun" w:eastAsia="SimSun" w:cs="SimSun"/>
          <w:sz w:val="21"/>
          <w:szCs w:val="21"/>
          <w:spacing w:val="9"/>
        </w:rPr>
        <w:t xml:space="preserve"> </w:t>
      </w:r>
      <w:r>
        <w:rPr>
          <w:rFonts w:ascii="SimSun" w:hAnsi="SimSun" w:eastAsia="SimSun" w:cs="SimSun"/>
          <w:sz w:val="21"/>
          <w:szCs w:val="21"/>
          <w:spacing w:val="-11"/>
        </w:rPr>
        <w:t>用的技术，算法运行效果，等等。结果评估则可包含对是否歧视、有</w:t>
      </w:r>
      <w:r>
        <w:rPr>
          <w:rFonts w:ascii="SimSun" w:hAnsi="SimSun" w:eastAsia="SimSun" w:cs="SimSun"/>
          <w:sz w:val="21"/>
          <w:szCs w:val="21"/>
          <w:spacing w:val="9"/>
        </w:rPr>
        <w:t xml:space="preserve"> </w:t>
      </w:r>
      <w:r>
        <w:rPr>
          <w:rFonts w:ascii="SimSun" w:hAnsi="SimSun" w:eastAsia="SimSun" w:cs="SimSun"/>
          <w:sz w:val="21"/>
          <w:szCs w:val="21"/>
          <w:spacing w:val="-11"/>
        </w:rPr>
        <w:t>效性、透明度、安全性和可获得性等的评估。算法治理的目标是既要</w:t>
      </w:r>
      <w:r>
        <w:rPr>
          <w:rFonts w:ascii="SimSun" w:hAnsi="SimSun" w:eastAsia="SimSun" w:cs="SimSun"/>
          <w:sz w:val="21"/>
          <w:szCs w:val="21"/>
          <w:spacing w:val="9"/>
        </w:rPr>
        <w:t xml:space="preserve"> </w:t>
      </w:r>
      <w:r>
        <w:rPr>
          <w:rFonts w:ascii="SimSun" w:hAnsi="SimSun" w:eastAsia="SimSun" w:cs="SimSun"/>
          <w:sz w:val="21"/>
          <w:szCs w:val="21"/>
          <w:spacing w:val="-11"/>
        </w:rPr>
        <w:t>加强算法的可解释性，同时也要推动平台公布相关规则，减少信息不</w:t>
      </w:r>
      <w:r>
        <w:rPr>
          <w:rFonts w:ascii="SimSun" w:hAnsi="SimSun" w:eastAsia="SimSun" w:cs="SimSun"/>
          <w:sz w:val="21"/>
          <w:szCs w:val="21"/>
          <w:spacing w:val="9"/>
        </w:rPr>
        <w:t xml:space="preserve"> </w:t>
      </w:r>
      <w:r>
        <w:rPr>
          <w:rFonts w:ascii="SimSun" w:hAnsi="SimSun" w:eastAsia="SimSun" w:cs="SimSun"/>
          <w:sz w:val="21"/>
          <w:szCs w:val="21"/>
          <w:spacing w:val="-8"/>
        </w:rPr>
        <w:t>对称性。</w:t>
      </w:r>
    </w:p>
    <w:p>
      <w:pPr>
        <w:ind w:right="39" w:firstLine="479"/>
        <w:spacing w:before="173" w:line="306" w:lineRule="auto"/>
        <w:rPr>
          <w:rFonts w:ascii="SimSun" w:hAnsi="SimSun" w:eastAsia="SimSun" w:cs="SimSun"/>
          <w:sz w:val="21"/>
          <w:szCs w:val="21"/>
        </w:rPr>
      </w:pPr>
      <w:r>
        <w:rPr>
          <w:rFonts w:ascii="SimSun" w:hAnsi="SimSun" w:eastAsia="SimSun" w:cs="SimSun"/>
          <w:sz w:val="21"/>
          <w:szCs w:val="21"/>
          <w:spacing w:val="-11"/>
        </w:rPr>
        <w:t>七、</w:t>
      </w:r>
      <w:r>
        <w:rPr>
          <w:rFonts w:ascii="SimSun" w:hAnsi="SimSun" w:eastAsia="SimSun" w:cs="SimSun"/>
          <w:sz w:val="21"/>
          <w:szCs w:val="21"/>
          <w:u w:val="single" w:color="auto"/>
          <w:spacing w:val="-11"/>
        </w:rPr>
        <w:t>建立适应</w:t>
      </w:r>
      <w:r>
        <w:rPr>
          <w:rFonts w:ascii="SimSun" w:hAnsi="SimSun" w:eastAsia="SimSun" w:cs="SimSun"/>
          <w:sz w:val="21"/>
          <w:szCs w:val="21"/>
          <w:spacing w:val="-11"/>
        </w:rPr>
        <w:t>平台经济的劳动者权益保障体系，成立平台行业协</w:t>
      </w:r>
      <w:r>
        <w:rPr>
          <w:rFonts w:ascii="SimSun" w:hAnsi="SimSun" w:eastAsia="SimSun" w:cs="SimSun"/>
          <w:sz w:val="21"/>
          <w:szCs w:val="21"/>
          <w:spacing w:val="18"/>
        </w:rPr>
        <w:t xml:space="preserve"> </w:t>
      </w:r>
      <w:r>
        <w:rPr>
          <w:rFonts w:ascii="SimSun" w:hAnsi="SimSun" w:eastAsia="SimSun" w:cs="SimSun"/>
          <w:sz w:val="21"/>
          <w:szCs w:val="21"/>
          <w:spacing w:val="-11"/>
        </w:rPr>
        <w:t>会和零工工会，从市场、政策、平台三个层面助力国家的共同富裕政</w:t>
      </w:r>
      <w:r>
        <w:rPr>
          <w:rFonts w:ascii="SimSun" w:hAnsi="SimSun" w:eastAsia="SimSun" w:cs="SimSun"/>
          <w:sz w:val="21"/>
          <w:szCs w:val="21"/>
          <w:spacing w:val="3"/>
        </w:rPr>
        <w:t xml:space="preserve">  </w:t>
      </w:r>
      <w:r>
        <w:rPr>
          <w:rFonts w:ascii="SimSun" w:hAnsi="SimSun" w:eastAsia="SimSun" w:cs="SimSun"/>
          <w:sz w:val="21"/>
          <w:szCs w:val="21"/>
          <w:spacing w:val="-11"/>
        </w:rPr>
        <w:t>策。在平台经济领域，技术进步带来了劳资关系的变化，但现行的劳</w:t>
      </w:r>
      <w:r>
        <w:rPr>
          <w:rFonts w:ascii="SimSun" w:hAnsi="SimSun" w:eastAsia="SimSun" w:cs="SimSun"/>
          <w:sz w:val="21"/>
          <w:szCs w:val="21"/>
          <w:spacing w:val="4"/>
        </w:rPr>
        <w:t xml:space="preserve">  </w:t>
      </w:r>
      <w:r>
        <w:rPr>
          <w:rFonts w:ascii="SimSun" w:hAnsi="SimSun" w:eastAsia="SimSun" w:cs="SimSun"/>
          <w:sz w:val="21"/>
          <w:szCs w:val="21"/>
          <w:spacing w:val="-11"/>
        </w:rPr>
        <w:t>动者权益保护体系已不能适应新的变化，应该考虑将保险保障和劳动</w:t>
      </w:r>
      <w:r>
        <w:rPr>
          <w:rFonts w:ascii="SimSun" w:hAnsi="SimSun" w:eastAsia="SimSun" w:cs="SimSun"/>
          <w:sz w:val="21"/>
          <w:szCs w:val="21"/>
          <w:spacing w:val="6"/>
        </w:rPr>
        <w:t xml:space="preserve">  </w:t>
      </w:r>
      <w:r>
        <w:rPr>
          <w:rFonts w:ascii="SimSun" w:hAnsi="SimSun" w:eastAsia="SimSun" w:cs="SimSun"/>
          <w:sz w:val="21"/>
          <w:szCs w:val="21"/>
          <w:spacing w:val="-11"/>
        </w:rPr>
        <w:t>关系解绑，完善劳动者权益保障体系。建议成立平台行业协会和零工</w:t>
      </w:r>
      <w:r>
        <w:rPr>
          <w:rFonts w:ascii="SimSun" w:hAnsi="SimSun" w:eastAsia="SimSun" w:cs="SimSun"/>
          <w:sz w:val="21"/>
          <w:szCs w:val="21"/>
          <w:spacing w:val="5"/>
        </w:rPr>
        <w:t xml:space="preserve">  </w:t>
      </w:r>
      <w:r>
        <w:rPr>
          <w:rFonts w:ascii="SimSun" w:hAnsi="SimSun" w:eastAsia="SimSun" w:cs="SimSun"/>
          <w:sz w:val="21"/>
          <w:szCs w:val="21"/>
          <w:spacing w:val="-8"/>
        </w:rPr>
        <w:t>工会，以多元治理缓解社会矛盾，同时建立相应的政</w:t>
      </w:r>
      <w:r>
        <w:rPr>
          <w:rFonts w:ascii="SimSun" w:hAnsi="SimSun" w:eastAsia="SimSun" w:cs="SimSun"/>
          <w:sz w:val="21"/>
          <w:szCs w:val="21"/>
          <w:spacing w:val="-9"/>
        </w:rPr>
        <w:t>策与社会机制，</w:t>
      </w:r>
      <w:r>
        <w:rPr>
          <w:rFonts w:ascii="SimSun" w:hAnsi="SimSun" w:eastAsia="SimSun" w:cs="SimSun"/>
          <w:sz w:val="21"/>
          <w:szCs w:val="21"/>
        </w:rPr>
        <w:t xml:space="preserve"> </w:t>
      </w:r>
      <w:r>
        <w:rPr>
          <w:rFonts w:ascii="SimSun" w:hAnsi="SimSun" w:eastAsia="SimSun" w:cs="SimSun"/>
          <w:sz w:val="21"/>
          <w:szCs w:val="21"/>
          <w:spacing w:val="-11"/>
        </w:rPr>
        <w:t>帮助在平台经济发展中利益受损的群体。充分发挥有效市场的一次分</w:t>
      </w:r>
      <w:r>
        <w:rPr>
          <w:rFonts w:ascii="SimSun" w:hAnsi="SimSun" w:eastAsia="SimSun" w:cs="SimSun"/>
          <w:sz w:val="21"/>
          <w:szCs w:val="21"/>
          <w:spacing w:val="3"/>
        </w:rPr>
        <w:t xml:space="preserve">  </w:t>
      </w:r>
      <w:r>
        <w:rPr>
          <w:rFonts w:ascii="SimSun" w:hAnsi="SimSun" w:eastAsia="SimSun" w:cs="SimSun"/>
          <w:sz w:val="21"/>
          <w:szCs w:val="21"/>
          <w:spacing w:val="-11"/>
        </w:rPr>
        <w:t>配、税收政策的二次分配，以及平台社会责任和公益活动的三次分配</w:t>
      </w:r>
      <w:r>
        <w:rPr>
          <w:rFonts w:ascii="SimSun" w:hAnsi="SimSun" w:eastAsia="SimSun" w:cs="SimSun"/>
          <w:sz w:val="21"/>
          <w:szCs w:val="21"/>
          <w:spacing w:val="3"/>
        </w:rPr>
        <w:t xml:space="preserve">  </w:t>
      </w:r>
      <w:r>
        <w:rPr>
          <w:rFonts w:ascii="SimSun" w:hAnsi="SimSun" w:eastAsia="SimSun" w:cs="SimSun"/>
          <w:sz w:val="21"/>
          <w:szCs w:val="21"/>
          <w:spacing w:val="-11"/>
        </w:rPr>
        <w:t>作用，平台经济也可以助力共同富裕政策。</w:t>
      </w:r>
    </w:p>
    <w:p>
      <w:pPr>
        <w:ind w:firstLine="499"/>
        <w:spacing w:before="95" w:line="306" w:lineRule="auto"/>
        <w:rPr>
          <w:rFonts w:ascii="SimSun" w:hAnsi="SimSun" w:eastAsia="SimSun" w:cs="SimSun"/>
          <w:sz w:val="21"/>
          <w:szCs w:val="21"/>
        </w:rPr>
      </w:pPr>
      <w:r>
        <w:rPr>
          <w:rFonts w:ascii="SimSun" w:hAnsi="SimSun" w:eastAsia="SimSun" w:cs="SimSun"/>
          <w:sz w:val="21"/>
          <w:szCs w:val="21"/>
          <w:spacing w:val="-12"/>
        </w:rPr>
        <w:t>八、</w:t>
      </w:r>
      <w:r>
        <w:rPr>
          <w:rFonts w:ascii="SimSun" w:hAnsi="SimSun" w:eastAsia="SimSun" w:cs="SimSun"/>
          <w:sz w:val="21"/>
          <w:szCs w:val="21"/>
          <w:spacing w:val="-40"/>
        </w:rPr>
        <w:t xml:space="preserve"> </w:t>
      </w:r>
      <w:r>
        <w:rPr>
          <w:rFonts w:ascii="SimSun" w:hAnsi="SimSun" w:eastAsia="SimSun" w:cs="SimSun"/>
          <w:sz w:val="21"/>
          <w:szCs w:val="21"/>
          <w:u w:val="single" w:color="auto"/>
          <w:spacing w:val="-12"/>
        </w:rPr>
        <w:t>建立</w:t>
      </w:r>
      <w:r>
        <w:rPr>
          <w:rFonts w:ascii="SimSun" w:hAnsi="SimSun" w:eastAsia="SimSun" w:cs="SimSun"/>
          <w:sz w:val="21"/>
          <w:szCs w:val="21"/>
          <w:spacing w:val="-12"/>
        </w:rPr>
        <w:t>并完善数字经济税收体系，先行在国内试行已经达成国</w:t>
      </w:r>
      <w:r>
        <w:rPr>
          <w:rFonts w:ascii="SimSun" w:hAnsi="SimSun" w:eastAsia="SimSun" w:cs="SimSun"/>
          <w:sz w:val="21"/>
          <w:szCs w:val="21"/>
        </w:rPr>
        <w:t xml:space="preserve"> </w:t>
      </w:r>
      <w:r>
        <w:rPr>
          <w:rFonts w:ascii="SimSun" w:hAnsi="SimSun" w:eastAsia="SimSun" w:cs="SimSun"/>
          <w:sz w:val="21"/>
          <w:szCs w:val="21"/>
          <w:spacing w:val="-8"/>
        </w:rPr>
        <w:t>际共识的数字税“双支柱”方案。平台经济是一个新兴的经济领域，</w:t>
      </w:r>
      <w:r>
        <w:rPr>
          <w:rFonts w:ascii="SimSun" w:hAnsi="SimSun" w:eastAsia="SimSun" w:cs="SimSun"/>
          <w:sz w:val="21"/>
          <w:szCs w:val="21"/>
          <w:spacing w:val="14"/>
        </w:rPr>
        <w:t xml:space="preserve"> </w:t>
      </w:r>
      <w:r>
        <w:rPr>
          <w:rFonts w:ascii="SimSun" w:hAnsi="SimSun" w:eastAsia="SimSun" w:cs="SimSun"/>
          <w:sz w:val="21"/>
          <w:szCs w:val="21"/>
          <w:spacing w:val="-10"/>
        </w:rPr>
        <w:t>一些经济活动没有被纳入正规的统计体系，征税的难度也比较大。最</w:t>
      </w:r>
      <w:r>
        <w:rPr>
          <w:rFonts w:ascii="SimSun" w:hAnsi="SimSun" w:eastAsia="SimSun" w:cs="SimSun"/>
          <w:sz w:val="21"/>
          <w:szCs w:val="21"/>
        </w:rPr>
        <w:t xml:space="preserve">  </w:t>
      </w:r>
      <w:r>
        <w:rPr>
          <w:rFonts w:ascii="SimSun" w:hAnsi="SimSun" w:eastAsia="SimSun" w:cs="SimSun"/>
          <w:sz w:val="21"/>
          <w:szCs w:val="21"/>
          <w:spacing w:val="-10"/>
        </w:rPr>
        <w:t>近税务部门已经加大了对平台企业、网络直播等的偷漏税行为的处罚</w:t>
      </w:r>
      <w:r>
        <w:rPr>
          <w:rFonts w:ascii="SimSun" w:hAnsi="SimSun" w:eastAsia="SimSun" w:cs="SimSun"/>
          <w:sz w:val="21"/>
          <w:szCs w:val="21"/>
          <w:spacing w:val="6"/>
        </w:rPr>
        <w:t xml:space="preserve">  </w:t>
      </w:r>
      <w:r>
        <w:rPr>
          <w:rFonts w:ascii="SimSun" w:hAnsi="SimSun" w:eastAsia="SimSun" w:cs="SimSun"/>
          <w:sz w:val="21"/>
          <w:szCs w:val="21"/>
          <w:spacing w:val="-11"/>
        </w:rPr>
        <w:t>力度，平等纳税是所有经济主体的责任。建议尽快推动数字税“双支</w:t>
      </w:r>
      <w:r>
        <w:rPr>
          <w:rFonts w:ascii="SimSun" w:hAnsi="SimSun" w:eastAsia="SimSun" w:cs="SimSun"/>
          <w:sz w:val="21"/>
          <w:szCs w:val="21"/>
          <w:spacing w:val="5"/>
        </w:rPr>
        <w:t xml:space="preserve">  </w:t>
      </w:r>
      <w:r>
        <w:rPr>
          <w:rFonts w:ascii="SimSun" w:hAnsi="SimSun" w:eastAsia="SimSun" w:cs="SimSun"/>
          <w:sz w:val="21"/>
          <w:szCs w:val="21"/>
          <w:spacing w:val="-8"/>
        </w:rPr>
        <w:t>柱”方案在国内平台经济领域的实施，这既能让税收分配更加合理，</w:t>
      </w:r>
      <w:r>
        <w:rPr>
          <w:rFonts w:ascii="SimSun" w:hAnsi="SimSun" w:eastAsia="SimSun" w:cs="SimSun"/>
          <w:sz w:val="21"/>
          <w:szCs w:val="21"/>
          <w:spacing w:val="13"/>
        </w:rPr>
        <w:t xml:space="preserve"> </w:t>
      </w:r>
      <w:r>
        <w:rPr>
          <w:rFonts w:ascii="SimSun" w:hAnsi="SimSun" w:eastAsia="SimSun" w:cs="SimSun"/>
          <w:sz w:val="21"/>
          <w:szCs w:val="21"/>
          <w:spacing w:val="-11"/>
        </w:rPr>
        <w:t>同时也能促进与国际接轨。比如，目前平台企业的税收集中在注册地</w:t>
      </w:r>
      <w:r>
        <w:rPr>
          <w:rFonts w:ascii="SimSun" w:hAnsi="SimSun" w:eastAsia="SimSun" w:cs="SimSun"/>
          <w:sz w:val="21"/>
          <w:szCs w:val="21"/>
          <w:spacing w:val="3"/>
        </w:rPr>
        <w:t xml:space="preserve">  </w:t>
      </w:r>
      <w:r>
        <w:rPr>
          <w:rFonts w:ascii="SimSun" w:hAnsi="SimSun" w:eastAsia="SimSun" w:cs="SimSun"/>
          <w:sz w:val="21"/>
          <w:szCs w:val="21"/>
          <w:spacing w:val="-10"/>
        </w:rPr>
        <w:t>缴纳，但平台企业的经济活动实际上是在全国开展的，当前的</w:t>
      </w:r>
      <w:r>
        <w:rPr>
          <w:rFonts w:ascii="SimSun" w:hAnsi="SimSun" w:eastAsia="SimSun" w:cs="SimSun"/>
          <w:sz w:val="21"/>
          <w:szCs w:val="21"/>
          <w:spacing w:val="-11"/>
        </w:rPr>
        <w:t>做法对</w:t>
      </w:r>
      <w:r>
        <w:rPr>
          <w:rFonts w:ascii="SimSun" w:hAnsi="SimSun" w:eastAsia="SimSun" w:cs="SimSun"/>
          <w:sz w:val="21"/>
          <w:szCs w:val="21"/>
        </w:rPr>
        <w:t xml:space="preserve">  </w:t>
      </w:r>
      <w:r>
        <w:rPr>
          <w:rFonts w:ascii="SimSun" w:hAnsi="SimSun" w:eastAsia="SimSun" w:cs="SimSun"/>
          <w:sz w:val="21"/>
          <w:szCs w:val="21"/>
          <w:spacing w:val="-10"/>
        </w:rPr>
        <w:t>于非注册地并不公平，会加大地区经济发展不平</w:t>
      </w:r>
      <w:r>
        <w:rPr>
          <w:rFonts w:ascii="SimSun" w:hAnsi="SimSun" w:eastAsia="SimSun" w:cs="SimSun"/>
          <w:sz w:val="21"/>
          <w:szCs w:val="21"/>
          <w:spacing w:val="-11"/>
        </w:rPr>
        <w:t>等的程度，也不利于</w:t>
      </w:r>
    </w:p>
    <w:p>
      <w:pPr>
        <w:spacing w:line="306" w:lineRule="auto"/>
        <w:sectPr>
          <w:headerReference w:type="default" r:id="rId75"/>
          <w:pgSz w:w="7330" w:h="12480"/>
          <w:pgMar w:top="509" w:right="549" w:bottom="400" w:left="670" w:header="342"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right="50"/>
        <w:spacing w:before="65" w:line="342" w:lineRule="auto"/>
        <w:jc w:val="both"/>
        <w:rPr>
          <w:rFonts w:ascii="SimSun" w:hAnsi="SimSun" w:eastAsia="SimSun" w:cs="SimSun"/>
          <w:sz w:val="20"/>
          <w:szCs w:val="20"/>
        </w:rPr>
      </w:pPr>
      <w:r>
        <w:rPr>
          <w:rFonts w:ascii="SimSun" w:hAnsi="SimSun" w:eastAsia="SimSun" w:cs="SimSun"/>
          <w:sz w:val="20"/>
          <w:szCs w:val="20"/>
          <w:spacing w:val="-1"/>
        </w:rPr>
        <w:t>实现共同富裕。可以参照“双支柱”方案，根据各地平台经济活动的</w:t>
      </w:r>
      <w:r>
        <w:rPr>
          <w:rFonts w:ascii="SimSun" w:hAnsi="SimSun" w:eastAsia="SimSun" w:cs="SimSun"/>
          <w:sz w:val="20"/>
          <w:szCs w:val="20"/>
          <w:spacing w:val="16"/>
        </w:rPr>
        <w:t xml:space="preserve"> </w:t>
      </w:r>
      <w:r>
        <w:rPr>
          <w:rFonts w:ascii="SimSun" w:hAnsi="SimSun" w:eastAsia="SimSun" w:cs="SimSun"/>
          <w:sz w:val="20"/>
          <w:szCs w:val="20"/>
        </w:rPr>
        <w:t>水平分配超大平台的税收收入，同时确定最低实际税率水平，避免各</w:t>
      </w:r>
    </w:p>
    <w:p>
      <w:pPr>
        <w:spacing w:line="219" w:lineRule="auto"/>
        <w:rPr>
          <w:rFonts w:ascii="SimSun" w:hAnsi="SimSun" w:eastAsia="SimSun" w:cs="SimSun"/>
          <w:sz w:val="20"/>
          <w:szCs w:val="20"/>
        </w:rPr>
      </w:pPr>
      <w:r>
        <w:rPr>
          <w:rFonts w:ascii="SimSun" w:hAnsi="SimSun" w:eastAsia="SimSun" w:cs="SimSun"/>
          <w:sz w:val="20"/>
          <w:szCs w:val="20"/>
          <w:spacing w:val="-3"/>
        </w:rPr>
        <w:t>地恶性争夺平台企业总部。</w:t>
      </w:r>
    </w:p>
    <w:p>
      <w:pPr>
        <w:ind w:right="70" w:firstLine="389"/>
        <w:spacing w:before="116" w:line="332" w:lineRule="auto"/>
        <w:jc w:val="both"/>
        <w:rPr>
          <w:rFonts w:ascii="SimSun" w:hAnsi="SimSun" w:eastAsia="SimSun" w:cs="SimSun"/>
          <w:sz w:val="20"/>
          <w:szCs w:val="20"/>
        </w:rPr>
      </w:pPr>
      <w:r>
        <w:rPr>
          <w:rFonts w:ascii="SimSun" w:hAnsi="SimSun" w:eastAsia="SimSun" w:cs="SimSun"/>
          <w:sz w:val="20"/>
          <w:szCs w:val="20"/>
          <w:spacing w:val="8"/>
        </w:rPr>
        <w:t>九、积极参与国际数字贸易规则的制定，推</w:t>
      </w:r>
      <w:r>
        <w:rPr>
          <w:rFonts w:ascii="SimSun" w:hAnsi="SimSun" w:eastAsia="SimSun" w:cs="SimSun"/>
          <w:sz w:val="20"/>
          <w:szCs w:val="20"/>
          <w:spacing w:val="7"/>
        </w:rPr>
        <w:t>动我国经济实现更</w:t>
      </w:r>
      <w:r>
        <w:rPr>
          <w:rFonts w:ascii="SimSun" w:hAnsi="SimSun" w:eastAsia="SimSun" w:cs="SimSun"/>
          <w:sz w:val="20"/>
          <w:szCs w:val="20"/>
        </w:rPr>
        <w:t xml:space="preserve"> </w:t>
      </w:r>
      <w:r>
        <w:rPr>
          <w:rFonts w:ascii="SimSun" w:hAnsi="SimSun" w:eastAsia="SimSun" w:cs="SimSun"/>
          <w:sz w:val="20"/>
          <w:szCs w:val="20"/>
          <w:spacing w:val="-1"/>
        </w:rPr>
        <w:t>高水平的开放，同时也为平台企业融入国际市场创造条件。数字经济</w:t>
      </w:r>
      <w:r>
        <w:rPr>
          <w:rFonts w:ascii="SimSun" w:hAnsi="SimSun" w:eastAsia="SimSun" w:cs="SimSun"/>
          <w:sz w:val="20"/>
          <w:szCs w:val="20"/>
          <w:spacing w:val="15"/>
        </w:rPr>
        <w:t xml:space="preserve"> </w:t>
      </w:r>
      <w:r>
        <w:rPr>
          <w:rFonts w:ascii="SimSun" w:hAnsi="SimSun" w:eastAsia="SimSun" w:cs="SimSun"/>
          <w:sz w:val="20"/>
          <w:szCs w:val="20"/>
        </w:rPr>
        <w:t>领域的开放应该是我国高水平开放政策的重要组</w:t>
      </w:r>
      <w:r>
        <w:rPr>
          <w:rFonts w:ascii="SimSun" w:hAnsi="SimSun" w:eastAsia="SimSun" w:cs="SimSun"/>
          <w:sz w:val="20"/>
          <w:szCs w:val="20"/>
          <w:spacing w:val="-1"/>
        </w:rPr>
        <w:t>成部分。目前美国与</w:t>
      </w:r>
      <w:r>
        <w:rPr>
          <w:rFonts w:ascii="SimSun" w:hAnsi="SimSun" w:eastAsia="SimSun" w:cs="SimSun"/>
          <w:sz w:val="20"/>
          <w:szCs w:val="20"/>
        </w:rPr>
        <w:t xml:space="preserve"> </w:t>
      </w:r>
      <w:r>
        <w:rPr>
          <w:rFonts w:ascii="SimSun" w:hAnsi="SimSun" w:eastAsia="SimSun" w:cs="SimSun"/>
          <w:sz w:val="20"/>
          <w:szCs w:val="20"/>
          <w:spacing w:val="-1"/>
        </w:rPr>
        <w:t>欧盟分别提出了对数字贸易规则的诉求，除了数据跨境自由流动这一</w:t>
      </w:r>
      <w:r>
        <w:rPr>
          <w:rFonts w:ascii="SimSun" w:hAnsi="SimSun" w:eastAsia="SimSun" w:cs="SimSun"/>
          <w:sz w:val="20"/>
          <w:szCs w:val="20"/>
          <w:spacing w:val="14"/>
        </w:rPr>
        <w:t xml:space="preserve"> </w:t>
      </w:r>
      <w:r>
        <w:rPr>
          <w:rFonts w:ascii="SimSun" w:hAnsi="SimSun" w:eastAsia="SimSun" w:cs="SimSun"/>
          <w:sz w:val="20"/>
          <w:szCs w:val="20"/>
        </w:rPr>
        <w:t>共同要求，它们的重点也各不相同。作为平台经</w:t>
      </w:r>
      <w:r>
        <w:rPr>
          <w:rFonts w:ascii="SimSun" w:hAnsi="SimSun" w:eastAsia="SimSun" w:cs="SimSun"/>
          <w:sz w:val="20"/>
          <w:szCs w:val="20"/>
          <w:spacing w:val="-1"/>
        </w:rPr>
        <w:t>济大国，我国表达了</w:t>
      </w:r>
      <w:r>
        <w:rPr>
          <w:rFonts w:ascii="SimSun" w:hAnsi="SimSun" w:eastAsia="SimSun" w:cs="SimSun"/>
          <w:sz w:val="20"/>
          <w:szCs w:val="20"/>
        </w:rPr>
        <w:t xml:space="preserve"> </w:t>
      </w:r>
      <w:r>
        <w:rPr>
          <w:rFonts w:ascii="SimSun" w:hAnsi="SimSun" w:eastAsia="SimSun" w:cs="SimSun"/>
          <w:sz w:val="20"/>
          <w:szCs w:val="20"/>
        </w:rPr>
        <w:t>尽快制定规则的立场，但尚未提出清晰的诉求</w:t>
      </w:r>
      <w:r>
        <w:rPr>
          <w:rFonts w:ascii="SimSun" w:hAnsi="SimSun" w:eastAsia="SimSun" w:cs="SimSun"/>
          <w:sz w:val="20"/>
          <w:szCs w:val="20"/>
          <w:spacing w:val="-1"/>
        </w:rPr>
        <w:t>。建议政府在制定国内</w:t>
      </w:r>
      <w:r>
        <w:rPr>
          <w:rFonts w:ascii="SimSun" w:hAnsi="SimSun" w:eastAsia="SimSun" w:cs="SimSun"/>
          <w:sz w:val="20"/>
          <w:szCs w:val="20"/>
        </w:rPr>
        <w:t xml:space="preserve"> </w:t>
      </w:r>
      <w:r>
        <w:rPr>
          <w:rFonts w:ascii="SimSun" w:hAnsi="SimSun" w:eastAsia="SimSun" w:cs="SimSun"/>
          <w:sz w:val="20"/>
          <w:szCs w:val="20"/>
          <w:spacing w:val="-1"/>
        </w:rPr>
        <w:t>治理政策的同时，明确提出关于跨境数据流动、知识产权、消费者隐</w:t>
      </w:r>
      <w:r>
        <w:rPr>
          <w:rFonts w:ascii="SimSun" w:hAnsi="SimSun" w:eastAsia="SimSun" w:cs="SimSun"/>
          <w:sz w:val="20"/>
          <w:szCs w:val="20"/>
          <w:spacing w:val="16"/>
        </w:rPr>
        <w:t xml:space="preserve"> </w:t>
      </w:r>
      <w:r>
        <w:rPr>
          <w:rFonts w:ascii="SimSun" w:hAnsi="SimSun" w:eastAsia="SimSun" w:cs="SimSun"/>
          <w:sz w:val="20"/>
          <w:szCs w:val="20"/>
        </w:rPr>
        <w:t>私、属地限制、垄断和数字税等的主张，积极</w:t>
      </w:r>
      <w:r>
        <w:rPr>
          <w:rFonts w:ascii="SimSun" w:hAnsi="SimSun" w:eastAsia="SimSun" w:cs="SimSun"/>
          <w:sz w:val="20"/>
          <w:szCs w:val="20"/>
          <w:spacing w:val="-1"/>
        </w:rPr>
        <w:t>加入《全面与进步跨太</w:t>
      </w:r>
      <w:r>
        <w:rPr>
          <w:rFonts w:ascii="SimSun" w:hAnsi="SimSun" w:eastAsia="SimSun" w:cs="SimSun"/>
          <w:sz w:val="20"/>
          <w:szCs w:val="20"/>
        </w:rPr>
        <w:t xml:space="preserve"> </w:t>
      </w:r>
      <w:r>
        <w:rPr>
          <w:rFonts w:ascii="SimSun" w:hAnsi="SimSun" w:eastAsia="SimSun" w:cs="SimSun"/>
          <w:sz w:val="20"/>
          <w:szCs w:val="20"/>
          <w:spacing w:val="2"/>
        </w:rPr>
        <w:t>平洋伙伴关系协定》</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CPTPP</w:t>
      </w:r>
      <w:r>
        <w:rPr>
          <w:rFonts w:ascii="Times New Roman" w:hAnsi="Times New Roman" w:eastAsia="Times New Roman" w:cs="Times New Roman"/>
          <w:sz w:val="20"/>
          <w:szCs w:val="20"/>
          <w:spacing w:val="2"/>
        </w:rPr>
        <w:t>)</w:t>
      </w:r>
      <w:r>
        <w:rPr>
          <w:rFonts w:ascii="SimSun" w:hAnsi="SimSun" w:eastAsia="SimSun" w:cs="SimSun"/>
          <w:sz w:val="20"/>
          <w:szCs w:val="20"/>
          <w:spacing w:val="2"/>
        </w:rPr>
        <w:t>、《数字经济伙伴关系协定》等多边协</w:t>
      </w:r>
      <w:r>
        <w:rPr>
          <w:rFonts w:ascii="SimSun" w:hAnsi="SimSun" w:eastAsia="SimSun" w:cs="SimSun"/>
          <w:sz w:val="20"/>
          <w:szCs w:val="20"/>
          <w:spacing w:val="1"/>
        </w:rPr>
        <w:t xml:space="preserve"> </w:t>
      </w:r>
      <w:r>
        <w:rPr>
          <w:rFonts w:ascii="SimSun" w:hAnsi="SimSun" w:eastAsia="SimSun" w:cs="SimSun"/>
          <w:sz w:val="20"/>
          <w:szCs w:val="20"/>
          <w:spacing w:val="-1"/>
        </w:rPr>
        <w:t>定，尽可能与数字技术较发达的欧美国家接轨，避免被排除在新规则</w:t>
      </w:r>
      <w:r>
        <w:rPr>
          <w:rFonts w:ascii="SimSun" w:hAnsi="SimSun" w:eastAsia="SimSun" w:cs="SimSun"/>
          <w:sz w:val="20"/>
          <w:szCs w:val="20"/>
          <w:spacing w:val="16"/>
        </w:rPr>
        <w:t xml:space="preserve"> </w:t>
      </w:r>
      <w:r>
        <w:rPr>
          <w:rFonts w:ascii="SimSun" w:hAnsi="SimSun" w:eastAsia="SimSun" w:cs="SimSun"/>
          <w:sz w:val="20"/>
          <w:szCs w:val="20"/>
        </w:rPr>
        <w:t>制定过程之外。与此同时，可以基于上述主张</w:t>
      </w:r>
      <w:r>
        <w:rPr>
          <w:rFonts w:ascii="SimSun" w:hAnsi="SimSun" w:eastAsia="SimSun" w:cs="SimSun"/>
          <w:sz w:val="20"/>
          <w:szCs w:val="20"/>
          <w:spacing w:val="-1"/>
        </w:rPr>
        <w:t>推动数字贸易，特别是</w:t>
      </w:r>
      <w:r>
        <w:rPr>
          <w:rFonts w:ascii="SimSun" w:hAnsi="SimSun" w:eastAsia="SimSun" w:cs="SimSun"/>
          <w:sz w:val="20"/>
          <w:szCs w:val="20"/>
        </w:rPr>
        <w:t xml:space="preserve"> </w:t>
      </w:r>
      <w:r>
        <w:rPr>
          <w:rFonts w:ascii="SimSun" w:hAnsi="SimSun" w:eastAsia="SimSun" w:cs="SimSun"/>
          <w:sz w:val="20"/>
          <w:szCs w:val="20"/>
          <w:spacing w:val="-1"/>
        </w:rPr>
        <w:t>与“一带一路”国家之间的数字贸易，边实践，边完善规则，辅助我</w:t>
      </w:r>
    </w:p>
    <w:p>
      <w:pPr>
        <w:spacing w:line="219" w:lineRule="auto"/>
        <w:rPr>
          <w:rFonts w:ascii="SimSun" w:hAnsi="SimSun" w:eastAsia="SimSun" w:cs="SimSun"/>
          <w:sz w:val="20"/>
          <w:szCs w:val="20"/>
        </w:rPr>
      </w:pPr>
      <w:r>
        <w:rPr>
          <w:rFonts w:ascii="SimSun" w:hAnsi="SimSun" w:eastAsia="SimSun" w:cs="SimSun"/>
          <w:sz w:val="20"/>
          <w:szCs w:val="20"/>
          <w:spacing w:val="-5"/>
        </w:rPr>
        <w:t>国平台经济的平稳开放。</w:t>
      </w:r>
    </w:p>
    <w:p>
      <w:pPr>
        <w:ind w:firstLine="429"/>
        <w:spacing w:before="106" w:line="322" w:lineRule="auto"/>
        <w:jc w:val="both"/>
        <w:rPr>
          <w:rFonts w:ascii="SimSun" w:hAnsi="SimSun" w:eastAsia="SimSun" w:cs="SimSun"/>
          <w:sz w:val="20"/>
          <w:szCs w:val="20"/>
        </w:rPr>
      </w:pPr>
      <w:r>
        <w:rPr>
          <w:rFonts w:ascii="SimSun" w:hAnsi="SimSun" w:eastAsia="SimSun" w:cs="SimSun"/>
          <w:sz w:val="20"/>
          <w:szCs w:val="20"/>
          <w:spacing w:val="7"/>
        </w:rPr>
        <w:t>十、在制定与执行平台经济治理政策的过程中，要高度重</w:t>
      </w:r>
      <w:r>
        <w:rPr>
          <w:rFonts w:ascii="SimSun" w:hAnsi="SimSun" w:eastAsia="SimSun" w:cs="SimSun"/>
          <w:sz w:val="20"/>
          <w:szCs w:val="20"/>
          <w:spacing w:val="6"/>
        </w:rPr>
        <w:t>视经</w:t>
      </w:r>
      <w:r>
        <w:rPr>
          <w:rFonts w:ascii="SimSun" w:hAnsi="SimSun" w:eastAsia="SimSun" w:cs="SimSun"/>
          <w:sz w:val="20"/>
          <w:szCs w:val="20"/>
        </w:rPr>
        <w:t xml:space="preserve"> </w:t>
      </w:r>
      <w:r>
        <w:rPr>
          <w:rFonts w:ascii="SimSun" w:hAnsi="SimSun" w:eastAsia="SimSun" w:cs="SimSun"/>
          <w:sz w:val="20"/>
          <w:szCs w:val="20"/>
          <w:spacing w:val="6"/>
        </w:rPr>
        <w:t>济学分析的作用。平台经济拥有许多独有的特性，但这些不一定会</w:t>
      </w:r>
      <w:r>
        <w:rPr>
          <w:rFonts w:ascii="SimSun" w:hAnsi="SimSun" w:eastAsia="SimSun" w:cs="SimSun"/>
          <w:sz w:val="20"/>
          <w:szCs w:val="20"/>
          <w:spacing w:val="1"/>
        </w:rPr>
        <w:t xml:space="preserve">  </w:t>
      </w:r>
      <w:r>
        <w:rPr>
          <w:rFonts w:ascii="SimSun" w:hAnsi="SimSun" w:eastAsia="SimSun" w:cs="SimSun"/>
          <w:sz w:val="20"/>
          <w:szCs w:val="20"/>
          <w:spacing w:val="6"/>
        </w:rPr>
        <w:t>改变政策规则，只是一些经济指标的度量和成本收益的分析会变得</w:t>
      </w:r>
      <w:r>
        <w:rPr>
          <w:rFonts w:ascii="SimSun" w:hAnsi="SimSun" w:eastAsia="SimSun" w:cs="SimSun"/>
          <w:sz w:val="20"/>
          <w:szCs w:val="20"/>
          <w:spacing w:val="1"/>
        </w:rPr>
        <w:t xml:space="preserve">  </w:t>
      </w:r>
      <w:r>
        <w:rPr>
          <w:rFonts w:ascii="SimSun" w:hAnsi="SimSun" w:eastAsia="SimSun" w:cs="SimSun"/>
          <w:sz w:val="20"/>
          <w:szCs w:val="20"/>
          <w:spacing w:val="6"/>
        </w:rPr>
        <w:t>更加复杂，因而需要借助严谨的经济学分析。高市场份额是否意味 </w:t>
      </w:r>
      <w:r>
        <w:rPr>
          <w:rFonts w:ascii="SimSun" w:hAnsi="SimSun" w:eastAsia="SimSun" w:cs="SimSun"/>
          <w:sz w:val="20"/>
          <w:szCs w:val="20"/>
        </w:rPr>
        <w:t>着垄断权力、“二选一”与差异化定价是不</w:t>
      </w:r>
      <w:r>
        <w:rPr>
          <w:rFonts w:ascii="SimSun" w:hAnsi="SimSun" w:eastAsia="SimSun" w:cs="SimSun"/>
          <w:sz w:val="20"/>
          <w:szCs w:val="20"/>
          <w:spacing w:val="-1"/>
        </w:rPr>
        <w:t>是反竞争行为等问题也需 </w:t>
      </w:r>
      <w:r>
        <w:rPr>
          <w:rFonts w:ascii="SimSun" w:hAnsi="SimSun" w:eastAsia="SimSun" w:cs="SimSun"/>
          <w:sz w:val="20"/>
          <w:szCs w:val="20"/>
          <w:spacing w:val="8"/>
        </w:rPr>
        <w:t>要在深入分析的基础上得到回答。如果平台单纯滥用其市场势力，</w:t>
      </w:r>
      <w:r>
        <w:rPr>
          <w:rFonts w:ascii="SimSun" w:hAnsi="SimSun" w:eastAsia="SimSun" w:cs="SimSun"/>
          <w:sz w:val="20"/>
          <w:szCs w:val="20"/>
          <w:spacing w:val="16"/>
        </w:rPr>
        <w:t xml:space="preserve"> </w:t>
      </w:r>
      <w:r>
        <w:rPr>
          <w:rFonts w:ascii="SimSun" w:hAnsi="SimSun" w:eastAsia="SimSun" w:cs="SimSun"/>
          <w:sz w:val="20"/>
          <w:szCs w:val="20"/>
          <w:spacing w:val="9"/>
        </w:rPr>
        <w:t>采取“二选一”的做法排挤竞争对手，监管部门就可以予以纠正；</w:t>
      </w:r>
      <w:r>
        <w:rPr>
          <w:rFonts w:ascii="SimSun" w:hAnsi="SimSun" w:eastAsia="SimSun" w:cs="SimSun"/>
          <w:sz w:val="20"/>
          <w:szCs w:val="20"/>
          <w:spacing w:val="7"/>
        </w:rPr>
        <w:t xml:space="preserve"> </w:t>
      </w:r>
      <w:r>
        <w:rPr>
          <w:rFonts w:ascii="SimSun" w:hAnsi="SimSun" w:eastAsia="SimSun" w:cs="SimSun"/>
          <w:sz w:val="20"/>
          <w:szCs w:val="20"/>
          <w:spacing w:val="6"/>
        </w:rPr>
        <w:t>但如果排除性协议是基于平台在扶持品牌、开拓市场方面所做的大</w:t>
      </w:r>
      <w:r>
        <w:rPr>
          <w:rFonts w:ascii="SimSun" w:hAnsi="SimSun" w:eastAsia="SimSun" w:cs="SimSun"/>
          <w:sz w:val="20"/>
          <w:szCs w:val="20"/>
          <w:spacing w:val="2"/>
        </w:rPr>
        <w:t xml:space="preserve">  </w:t>
      </w:r>
      <w:r>
        <w:rPr>
          <w:rFonts w:ascii="SimSun" w:hAnsi="SimSun" w:eastAsia="SimSun" w:cs="SimSun"/>
          <w:sz w:val="20"/>
          <w:szCs w:val="20"/>
          <w:spacing w:val="6"/>
        </w:rPr>
        <w:t>量投入，那就应该被视为合理要求。同样，平台利用充裕的现金流</w:t>
      </w:r>
      <w:r>
        <w:rPr>
          <w:rFonts w:ascii="SimSun" w:hAnsi="SimSun" w:eastAsia="SimSun" w:cs="SimSun"/>
          <w:sz w:val="20"/>
          <w:szCs w:val="20"/>
          <w:spacing w:val="1"/>
        </w:rPr>
        <w:t xml:space="preserve">  </w:t>
      </w:r>
      <w:r>
        <w:rPr>
          <w:rFonts w:ascii="SimSun" w:hAnsi="SimSun" w:eastAsia="SimSun" w:cs="SimSun"/>
          <w:sz w:val="20"/>
          <w:szCs w:val="20"/>
          <w:spacing w:val="8"/>
        </w:rPr>
        <w:t>投资大量的初创企业，如果是为了支持创新活</w:t>
      </w:r>
      <w:r>
        <w:rPr>
          <w:rFonts w:ascii="SimSun" w:hAnsi="SimSun" w:eastAsia="SimSun" w:cs="SimSun"/>
          <w:sz w:val="20"/>
          <w:szCs w:val="20"/>
          <w:spacing w:val="7"/>
        </w:rPr>
        <w:t>动，就是合理的，如</w:t>
      </w:r>
      <w:r>
        <w:rPr>
          <w:rFonts w:ascii="SimSun" w:hAnsi="SimSun" w:eastAsia="SimSun" w:cs="SimSun"/>
          <w:sz w:val="20"/>
          <w:szCs w:val="20"/>
        </w:rPr>
        <w:t xml:space="preserve"> </w:t>
      </w:r>
      <w:r>
        <w:rPr>
          <w:rFonts w:ascii="SimSun" w:hAnsi="SimSun" w:eastAsia="SimSun" w:cs="SimSun"/>
          <w:sz w:val="20"/>
          <w:szCs w:val="20"/>
          <w:spacing w:val="2"/>
        </w:rPr>
        <w:t>果是为了消灭潜在竞争对手的“猎杀式并购”,那就是不合理的。鼓</w:t>
      </w:r>
    </w:p>
    <w:p>
      <w:pPr>
        <w:spacing w:line="322" w:lineRule="auto"/>
        <w:sectPr>
          <w:headerReference w:type="default" r:id="rId76"/>
          <w:pgSz w:w="7330" w:h="12480"/>
          <w:pgMar w:top="814" w:right="750" w:bottom="400" w:left="510" w:header="672" w:footer="0" w:gutter="0"/>
        </w:sectPr>
        <w:rPr>
          <w:rFonts w:ascii="SimSun" w:hAnsi="SimSun" w:eastAsia="SimSun" w:cs="SimSun"/>
          <w:sz w:val="20"/>
          <w:szCs w:val="20"/>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spacing w:before="68" w:line="286" w:lineRule="auto"/>
        <w:jc w:val="both"/>
        <w:rPr>
          <w:rFonts w:ascii="SimSun" w:hAnsi="SimSun" w:eastAsia="SimSun" w:cs="SimSun"/>
          <w:sz w:val="21"/>
          <w:szCs w:val="21"/>
        </w:rPr>
      </w:pPr>
      <w:r>
        <w:rPr>
          <w:rFonts w:ascii="SimSun" w:hAnsi="SimSun" w:eastAsia="SimSun" w:cs="SimSun"/>
          <w:sz w:val="21"/>
          <w:szCs w:val="21"/>
          <w:spacing w:val="-3"/>
        </w:rPr>
        <w:t>励平台经济中的竞争不能采用传统思维，简单地将平台</w:t>
      </w:r>
      <w:r>
        <w:rPr>
          <w:rFonts w:ascii="SimSun" w:hAnsi="SimSun" w:eastAsia="SimSun" w:cs="SimSun"/>
          <w:sz w:val="21"/>
          <w:szCs w:val="21"/>
          <w:spacing w:val="-4"/>
        </w:rPr>
        <w:t>拆分或禁止</w:t>
      </w:r>
      <w:r>
        <w:rPr>
          <w:rFonts w:ascii="SimSun" w:hAnsi="SimSun" w:eastAsia="SimSun" w:cs="SimSun"/>
          <w:sz w:val="21"/>
          <w:szCs w:val="21"/>
        </w:rPr>
        <w:t xml:space="preserve">  </w:t>
      </w:r>
      <w:r>
        <w:rPr>
          <w:rFonts w:ascii="SimSun" w:hAnsi="SimSun" w:eastAsia="SimSun" w:cs="SimSun"/>
          <w:sz w:val="21"/>
          <w:szCs w:val="21"/>
        </w:rPr>
        <w:t>平台扩张不是科学的规制方式。应探索在保持平台规模的前提下，</w:t>
      </w:r>
      <w:r>
        <w:rPr>
          <w:rFonts w:ascii="SimSun" w:hAnsi="SimSun" w:eastAsia="SimSun" w:cs="SimSun"/>
          <w:sz w:val="21"/>
          <w:szCs w:val="21"/>
          <w:spacing w:val="4"/>
        </w:rPr>
        <w:t xml:space="preserve"> </w:t>
      </w:r>
      <w:r>
        <w:rPr>
          <w:rFonts w:ascii="SimSun" w:hAnsi="SimSun" w:eastAsia="SimSun" w:cs="SimSun"/>
          <w:sz w:val="21"/>
          <w:szCs w:val="21"/>
          <w:spacing w:val="-3"/>
        </w:rPr>
        <w:t>实现平台之间的充分竞争，包括降低市场准入门槛、提高</w:t>
      </w:r>
      <w:r>
        <w:rPr>
          <w:rFonts w:ascii="SimSun" w:hAnsi="SimSun" w:eastAsia="SimSun" w:cs="SimSun"/>
          <w:sz w:val="21"/>
          <w:szCs w:val="21"/>
          <w:spacing w:val="-4"/>
        </w:rPr>
        <w:t>市场可竞</w:t>
      </w:r>
      <w:r>
        <w:rPr>
          <w:rFonts w:ascii="SimSun" w:hAnsi="SimSun" w:eastAsia="SimSun" w:cs="SimSun"/>
          <w:sz w:val="21"/>
          <w:szCs w:val="21"/>
        </w:rPr>
        <w:t xml:space="preserve">  </w:t>
      </w:r>
      <w:r>
        <w:rPr>
          <w:rFonts w:ascii="SimSun" w:hAnsi="SimSun" w:eastAsia="SimSun" w:cs="SimSun"/>
          <w:sz w:val="21"/>
          <w:szCs w:val="21"/>
          <w:spacing w:val="-9"/>
        </w:rPr>
        <w:t>争性、推动平台开放等。</w:t>
      </w:r>
    </w:p>
    <w:p>
      <w:pPr>
        <w:spacing w:line="286" w:lineRule="auto"/>
        <w:sectPr>
          <w:headerReference w:type="default" r:id="rId77"/>
          <w:pgSz w:w="7330" w:h="12480"/>
          <w:pgMar w:top="518" w:right="524" w:bottom="400" w:left="709" w:header="354" w:footer="0" w:gutter="0"/>
        </w:sectPr>
        <w:rPr>
          <w:rFonts w:ascii="SimSun" w:hAnsi="SimSun" w:eastAsia="SimSun" w:cs="SimSun"/>
          <w:sz w:val="21"/>
          <w:szCs w:val="21"/>
        </w:rPr>
      </w:pPr>
    </w:p>
    <w:p>
      <w:pPr>
        <w:pStyle w:val="BodyText"/>
        <w:spacing w:line="268" w:lineRule="auto"/>
        <w:rPr/>
      </w:pPr>
      <w:r>
        <w:drawing>
          <wp:anchor distT="0" distB="0" distL="0" distR="0" simplePos="0" relativeHeight="252283904" behindDoc="0" locked="0" layoutInCell="0" allowOverlap="1">
            <wp:simplePos x="0" y="0"/>
            <wp:positionH relativeFrom="page">
              <wp:posOffset>368313</wp:posOffset>
            </wp:positionH>
            <wp:positionV relativeFrom="page">
              <wp:posOffset>7042131</wp:posOffset>
            </wp:positionV>
            <wp:extent cx="1168384" cy="6350"/>
            <wp:effectExtent l="0" t="0" r="0" b="0"/>
            <wp:wrapNone/>
            <wp:docPr id="66" name="IM 66"/>
            <wp:cNvGraphicFramePr/>
            <a:graphic>
              <a:graphicData uri="http://schemas.openxmlformats.org/drawingml/2006/picture">
                <pic:pic>
                  <pic:nvPicPr>
                    <pic:cNvPr id="66" name="IM 66"/>
                    <pic:cNvPicPr/>
                  </pic:nvPicPr>
                  <pic:blipFill>
                    <a:blip r:embed="rId78"/>
                    <a:stretch>
                      <a:fillRect/>
                    </a:stretch>
                  </pic:blipFill>
                  <pic:spPr>
                    <a:xfrm rot="0">
                      <a:off x="0" y="0"/>
                      <a:ext cx="1168384" cy="6350"/>
                    </a:xfrm>
                    <a:prstGeom prst="rect">
                      <a:avLst/>
                    </a:prstGeom>
                  </pic:spPr>
                </pic:pic>
              </a:graphicData>
            </a:graphic>
          </wp:anchor>
        </w:drawing>
      </w: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ind w:firstLine="879"/>
        <w:spacing w:line="3640" w:lineRule="exact"/>
        <w:rPr/>
      </w:pPr>
      <w:r>
        <w:rPr>
          <w:position w:val="-72"/>
        </w:rPr>
        <w:drawing>
          <wp:inline distT="0" distB="0" distL="0" distR="0">
            <wp:extent cx="2870228" cy="2311426"/>
            <wp:effectExtent l="0" t="0" r="0" b="0"/>
            <wp:docPr id="68" name="IM 68"/>
            <wp:cNvGraphicFramePr/>
            <a:graphic>
              <a:graphicData uri="http://schemas.openxmlformats.org/drawingml/2006/picture">
                <pic:pic>
                  <pic:nvPicPr>
                    <pic:cNvPr id="68" name="IM 68"/>
                    <pic:cNvPicPr/>
                  </pic:nvPicPr>
                  <pic:blipFill>
                    <a:blip r:embed="rId79"/>
                    <a:stretch>
                      <a:fillRect/>
                    </a:stretch>
                  </pic:blipFill>
                  <pic:spPr>
                    <a:xfrm rot="0">
                      <a:off x="0" y="0"/>
                      <a:ext cx="2870228" cy="2311426"/>
                    </a:xfrm>
                    <a:prstGeom prst="rect">
                      <a:avLst/>
                    </a:prstGeom>
                  </pic:spPr>
                </pic:pic>
              </a:graphicData>
            </a:graphic>
          </wp:inline>
        </w:drawing>
      </w:r>
    </w:p>
    <w:p>
      <w:pPr>
        <w:ind w:left="1209"/>
        <w:spacing w:before="266" w:line="222" w:lineRule="auto"/>
        <w:tabs>
          <w:tab w:val="left" w:pos="2608"/>
        </w:tabs>
        <w:rPr>
          <w:rFonts w:ascii="SimHei" w:hAnsi="SimHei" w:eastAsia="SimHei" w:cs="SimHei"/>
          <w:sz w:val="30"/>
          <w:szCs w:val="30"/>
        </w:rPr>
      </w:pPr>
      <w:r>
        <w:rPr>
          <w:rFonts w:ascii="SimHei" w:hAnsi="SimHei" w:eastAsia="SimHei" w:cs="SimHei"/>
          <w:sz w:val="30"/>
          <w:szCs w:val="30"/>
          <w:strike/>
        </w:rPr>
        <w:tab/>
      </w:r>
      <w:r>
        <w:rPr>
          <w:rFonts w:ascii="SimHei" w:hAnsi="SimHei" w:eastAsia="SimHei" w:cs="SimHei"/>
          <w:sz w:val="30"/>
          <w:szCs w:val="30"/>
          <w:spacing w:val="-55"/>
        </w:rPr>
        <w:t xml:space="preserve"> </w:t>
      </w:r>
      <w:r>
        <w:rPr>
          <w:rFonts w:ascii="SimHei" w:hAnsi="SimHei" w:eastAsia="SimHei" w:cs="SimHei"/>
          <w:sz w:val="30"/>
          <w:szCs w:val="30"/>
          <w:b/>
          <w:bCs/>
          <w:spacing w:val="-16"/>
        </w:rPr>
        <w:t>第二章</w:t>
      </w:r>
      <w:r>
        <w:rPr>
          <w:rFonts w:ascii="SimHei" w:hAnsi="SimHei" w:eastAsia="SimHei" w:cs="SimHei"/>
          <w:sz w:val="30"/>
          <w:szCs w:val="30"/>
          <w:spacing w:val="-77"/>
        </w:rPr>
        <w:t xml:space="preserve"> </w:t>
      </w:r>
      <w:r>
        <w:rPr>
          <w:rFonts w:ascii="SimHei" w:hAnsi="SimHei" w:eastAsia="SimHei" w:cs="SimHei"/>
          <w:sz w:val="30"/>
          <w:szCs w:val="30"/>
          <w:strike/>
        </w:rPr>
        <w:t xml:space="preserve">          </w:t>
      </w:r>
    </w:p>
    <w:p>
      <w:pPr>
        <w:pStyle w:val="BodyText"/>
        <w:spacing w:line="304" w:lineRule="auto"/>
        <w:rPr/>
      </w:pPr>
      <w:r/>
    </w:p>
    <w:p>
      <w:pPr>
        <w:ind w:left="2315"/>
        <w:spacing w:before="117" w:line="219" w:lineRule="auto"/>
        <w:rPr>
          <w:rFonts w:ascii="SimSun" w:hAnsi="SimSun" w:eastAsia="SimSun" w:cs="SimSun"/>
          <w:sz w:val="36"/>
          <w:szCs w:val="36"/>
        </w:rPr>
      </w:pPr>
      <w:r>
        <w:rPr>
          <w:rFonts w:ascii="SimSun" w:hAnsi="SimSun" w:eastAsia="SimSun" w:cs="SimSun"/>
          <w:sz w:val="36"/>
          <w:szCs w:val="36"/>
          <w:b/>
          <w:bCs/>
          <w:spacing w:val="-7"/>
        </w:rPr>
        <w:t>数字经济</w:t>
      </w:r>
    </w:p>
    <w:p>
      <w:pPr>
        <w:ind w:left="1155"/>
        <w:spacing w:before="53" w:line="220" w:lineRule="auto"/>
        <w:rPr>
          <w:rFonts w:ascii="SimSun" w:hAnsi="SimSun" w:eastAsia="SimSun" w:cs="SimSun"/>
          <w:sz w:val="36"/>
          <w:szCs w:val="36"/>
        </w:rPr>
      </w:pPr>
      <w:r>
        <w:rPr>
          <w:rFonts w:ascii="SimSun" w:hAnsi="SimSun" w:eastAsia="SimSun" w:cs="SimSun"/>
          <w:sz w:val="36"/>
          <w:szCs w:val="36"/>
          <w:b/>
          <w:bCs/>
          <w:spacing w:val="-5"/>
        </w:rPr>
        <w:t>对中国经济增长的影响</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56" w:line="223" w:lineRule="auto"/>
        <w:rPr>
          <w:rFonts w:ascii="KaiTi" w:hAnsi="KaiTi" w:eastAsia="KaiTi" w:cs="KaiTi"/>
          <w:sz w:val="17"/>
          <w:szCs w:val="17"/>
        </w:rPr>
      </w:pPr>
      <w:r>
        <w:rPr>
          <w:rFonts w:ascii="KaiTi" w:hAnsi="KaiTi" w:eastAsia="KaiTi" w:cs="KaiTi"/>
          <w:sz w:val="17"/>
          <w:szCs w:val="17"/>
          <w:spacing w:val="-11"/>
        </w:rPr>
        <w:t>①</w:t>
      </w:r>
      <w:r>
        <w:rPr>
          <w:rFonts w:ascii="KaiTi" w:hAnsi="KaiTi" w:eastAsia="KaiTi" w:cs="KaiTi"/>
          <w:sz w:val="17"/>
          <w:szCs w:val="17"/>
          <w:spacing w:val="74"/>
        </w:rPr>
        <w:t xml:space="preserve"> </w:t>
      </w:r>
      <w:r>
        <w:rPr>
          <w:rFonts w:ascii="KaiTi" w:hAnsi="KaiTi" w:eastAsia="KaiTi" w:cs="KaiTi"/>
          <w:sz w:val="17"/>
          <w:szCs w:val="17"/>
          <w:spacing w:val="-11"/>
        </w:rPr>
        <w:t>本章作者为伍晓鹰、余昌华。</w:t>
      </w:r>
    </w:p>
    <w:p>
      <w:pPr>
        <w:spacing w:line="223" w:lineRule="auto"/>
        <w:sectPr>
          <w:headerReference w:type="default" r:id="rId1"/>
          <w:pgSz w:w="7330" w:h="12480"/>
          <w:pgMar w:top="400" w:right="1099" w:bottom="400" w:left="560" w:header="0" w:footer="0" w:gutter="0"/>
        </w:sectPr>
        <w:rPr>
          <w:rFonts w:ascii="KaiTi" w:hAnsi="KaiTi" w:eastAsia="KaiTi" w:cs="KaiTi"/>
          <w:sz w:val="17"/>
          <w:szCs w:val="17"/>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firstLine="910"/>
        <w:spacing w:line="2830" w:lineRule="exact"/>
        <w:rPr/>
      </w:pPr>
      <w:r>
        <w:rPr>
          <w:position w:val="-56"/>
        </w:rPr>
        <w:drawing>
          <wp:inline distT="0" distB="0" distL="0" distR="0">
            <wp:extent cx="2292319" cy="1797027"/>
            <wp:effectExtent l="0" t="0" r="0" b="0"/>
            <wp:docPr id="70" name="IM 70"/>
            <wp:cNvGraphicFramePr/>
            <a:graphic>
              <a:graphicData uri="http://schemas.openxmlformats.org/drawingml/2006/picture">
                <pic:pic>
                  <pic:nvPicPr>
                    <pic:cNvPr id="70" name="IM 70"/>
                    <pic:cNvPicPr/>
                  </pic:nvPicPr>
                  <pic:blipFill>
                    <a:blip r:embed="rId80"/>
                    <a:stretch>
                      <a:fillRect/>
                    </a:stretch>
                  </pic:blipFill>
                  <pic:spPr>
                    <a:xfrm rot="0">
                      <a:off x="0" y="0"/>
                      <a:ext cx="2292319" cy="1797027"/>
                    </a:xfrm>
                    <a:prstGeom prst="rect">
                      <a:avLst/>
                    </a:prstGeom>
                  </pic:spPr>
                </pic:pic>
              </a:graphicData>
            </a:graphic>
          </wp:inline>
        </w:drawing>
      </w:r>
    </w:p>
    <w:p>
      <w:pPr>
        <w:spacing w:line="2830" w:lineRule="exact"/>
        <w:sectPr>
          <w:pgSz w:w="7330" w:h="12480"/>
          <w:pgMar w:top="400" w:right="1099" w:bottom="400" w:left="1099" w:header="0" w:footer="0" w:gutter="0"/>
        </w:sectPr>
        <w:rPr/>
      </w:pP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90" w:firstLine="410"/>
        <w:spacing w:before="69" w:line="295" w:lineRule="auto"/>
        <w:jc w:val="both"/>
        <w:rPr>
          <w:rFonts w:ascii="SimSun" w:hAnsi="SimSun" w:eastAsia="SimSun" w:cs="SimSun"/>
          <w:sz w:val="21"/>
          <w:szCs w:val="21"/>
        </w:rPr>
      </w:pPr>
      <w:r>
        <w:rPr>
          <w:rFonts w:ascii="SimSun" w:hAnsi="SimSun" w:eastAsia="SimSun" w:cs="SimSun"/>
          <w:sz w:val="21"/>
          <w:szCs w:val="21"/>
          <w:spacing w:val="-3"/>
        </w:rPr>
        <w:t>人类已经进入了一个数字经济的时代，整个生活正在被数字技</w:t>
      </w:r>
      <w:r>
        <w:rPr>
          <w:rFonts w:ascii="SimSun" w:hAnsi="SimSun" w:eastAsia="SimSun" w:cs="SimSun"/>
          <w:sz w:val="21"/>
          <w:szCs w:val="21"/>
          <w:spacing w:val="8"/>
        </w:rPr>
        <w:t xml:space="preserve"> </w:t>
      </w:r>
      <w:r>
        <w:rPr>
          <w:rFonts w:ascii="SimSun" w:hAnsi="SimSun" w:eastAsia="SimSun" w:cs="SimSun"/>
          <w:sz w:val="21"/>
          <w:szCs w:val="21"/>
          <w:spacing w:val="-13"/>
        </w:rPr>
        <w:t>术迅速、革命性地改变。中国通过融入世界市场， </w:t>
      </w:r>
      <w:r>
        <w:rPr>
          <w:rFonts w:ascii="SimSun" w:hAnsi="SimSun" w:eastAsia="SimSun" w:cs="SimSun"/>
          <w:sz w:val="21"/>
          <w:szCs w:val="21"/>
          <w:u w:val="single" w:color="auto"/>
          <w:spacing w:val="-13"/>
        </w:rPr>
        <w:t>迅速建立起</w:t>
      </w:r>
      <w:r>
        <w:rPr>
          <w:rFonts w:ascii="SimSun" w:hAnsi="SimSun" w:eastAsia="SimSun" w:cs="SimSun"/>
          <w:sz w:val="21"/>
          <w:szCs w:val="21"/>
          <w:spacing w:val="-13"/>
        </w:rPr>
        <w:t>以成熟</w:t>
      </w:r>
      <w:r>
        <w:rPr>
          <w:rFonts w:ascii="SimSun" w:hAnsi="SimSun" w:eastAsia="SimSun" w:cs="SimSun"/>
          <w:sz w:val="21"/>
          <w:szCs w:val="21"/>
          <w:spacing w:val="5"/>
        </w:rPr>
        <w:t xml:space="preserve"> </w:t>
      </w:r>
      <w:r>
        <w:rPr>
          <w:rFonts w:ascii="SimSun" w:hAnsi="SimSun" w:eastAsia="SimSun" w:cs="SimSun"/>
          <w:sz w:val="21"/>
          <w:szCs w:val="21"/>
          <w:spacing w:val="-10"/>
        </w:rPr>
        <w:t>技术为基础的完整制造体系，同时，中国的“数字平台”也在很多领</w:t>
      </w:r>
      <w:r>
        <w:rPr>
          <w:rFonts w:ascii="SimSun" w:hAnsi="SimSun" w:eastAsia="SimSun" w:cs="SimSun"/>
          <w:sz w:val="21"/>
          <w:szCs w:val="21"/>
          <w:spacing w:val="7"/>
        </w:rPr>
        <w:t xml:space="preserve"> </w:t>
      </w:r>
      <w:r>
        <w:rPr>
          <w:rFonts w:ascii="SimSun" w:hAnsi="SimSun" w:eastAsia="SimSun" w:cs="SimSun"/>
          <w:sz w:val="21"/>
          <w:szCs w:val="21"/>
          <w:spacing w:val="-10"/>
        </w:rPr>
        <w:t>域捷足先登，正在将复杂的经济、社会和政治活动通过大数据连接起</w:t>
      </w:r>
      <w:r>
        <w:rPr>
          <w:rFonts w:ascii="SimSun" w:hAnsi="SimSun" w:eastAsia="SimSun" w:cs="SimSun"/>
          <w:sz w:val="21"/>
          <w:szCs w:val="21"/>
          <w:spacing w:val="7"/>
        </w:rPr>
        <w:t xml:space="preserve"> </w:t>
      </w:r>
      <w:r>
        <w:rPr>
          <w:rFonts w:ascii="SimSun" w:hAnsi="SimSun" w:eastAsia="SimSun" w:cs="SimSun"/>
          <w:sz w:val="21"/>
          <w:szCs w:val="21"/>
          <w:spacing w:val="-10"/>
        </w:rPr>
        <w:t>来，对生产、消费以及生活产生重大的影响，也提出了新问题。从宏</w:t>
      </w:r>
      <w:r>
        <w:rPr>
          <w:rFonts w:ascii="SimSun" w:hAnsi="SimSun" w:eastAsia="SimSun" w:cs="SimSun"/>
          <w:sz w:val="21"/>
          <w:szCs w:val="21"/>
          <w:spacing w:val="13"/>
        </w:rPr>
        <w:t xml:space="preserve"> </w:t>
      </w:r>
      <w:r>
        <w:rPr>
          <w:rFonts w:ascii="SimSun" w:hAnsi="SimSun" w:eastAsia="SimSun" w:cs="SimSun"/>
          <w:sz w:val="21"/>
          <w:szCs w:val="21"/>
          <w:spacing w:val="-15"/>
        </w:rPr>
        <w:t>观的、长期增长的视角来看，</w:t>
      </w:r>
      <w:r>
        <w:rPr>
          <w:rFonts w:ascii="SimSun" w:hAnsi="SimSun" w:eastAsia="SimSun" w:cs="SimSun"/>
          <w:sz w:val="21"/>
          <w:szCs w:val="21"/>
          <w:spacing w:val="53"/>
        </w:rPr>
        <w:t xml:space="preserve"> </w:t>
      </w:r>
      <w:r>
        <w:rPr>
          <w:rFonts w:ascii="SimSun" w:hAnsi="SimSun" w:eastAsia="SimSun" w:cs="SimSun"/>
          <w:sz w:val="21"/>
          <w:szCs w:val="21"/>
          <w:spacing w:val="-15"/>
        </w:rPr>
        <w:t>一个最重要的问题就是数字经济对经济</w:t>
      </w:r>
      <w:r>
        <w:rPr>
          <w:rFonts w:ascii="SimSun" w:hAnsi="SimSun" w:eastAsia="SimSun" w:cs="SimSun"/>
          <w:sz w:val="21"/>
          <w:szCs w:val="21"/>
        </w:rPr>
        <w:t xml:space="preserve"> </w:t>
      </w:r>
      <w:r>
        <w:rPr>
          <w:rFonts w:ascii="SimSun" w:hAnsi="SimSun" w:eastAsia="SimSun" w:cs="SimSun"/>
          <w:sz w:val="21"/>
          <w:szCs w:val="21"/>
          <w:spacing w:val="-11"/>
        </w:rPr>
        <w:t>增长的影响。</w:t>
      </w:r>
    </w:p>
    <w:p>
      <w:pPr>
        <w:ind w:firstLine="399"/>
        <w:spacing w:before="175" w:line="310" w:lineRule="auto"/>
        <w:jc w:val="both"/>
        <w:rPr>
          <w:rFonts w:ascii="SimSun" w:hAnsi="SimSun" w:eastAsia="SimSun" w:cs="SimSun"/>
          <w:sz w:val="21"/>
          <w:szCs w:val="21"/>
        </w:rPr>
      </w:pPr>
      <w:r>
        <w:rPr>
          <w:rFonts w:ascii="SimSun" w:hAnsi="SimSun" w:eastAsia="SimSun" w:cs="SimSun"/>
          <w:sz w:val="21"/>
          <w:szCs w:val="21"/>
          <w:spacing w:val="-2"/>
        </w:rPr>
        <w:t>经济得以持续增长的一个根本因素就是效率</w:t>
      </w:r>
      <w:r>
        <w:rPr>
          <w:rFonts w:ascii="SimSun" w:hAnsi="SimSun" w:eastAsia="SimSun" w:cs="SimSun"/>
          <w:sz w:val="21"/>
          <w:szCs w:val="21"/>
          <w:spacing w:val="-3"/>
        </w:rPr>
        <w:t>。和所有技术创新</w:t>
      </w:r>
      <w:r>
        <w:rPr>
          <w:rFonts w:ascii="SimSun" w:hAnsi="SimSun" w:eastAsia="SimSun" w:cs="SimSun"/>
          <w:sz w:val="21"/>
          <w:szCs w:val="21"/>
        </w:rPr>
        <w:t xml:space="preserve">  </w:t>
      </w:r>
      <w:r>
        <w:rPr>
          <w:rFonts w:ascii="SimSun" w:hAnsi="SimSun" w:eastAsia="SimSun" w:cs="SimSun"/>
          <w:sz w:val="21"/>
          <w:szCs w:val="21"/>
          <w:spacing w:val="-10"/>
        </w:rPr>
        <w:t>一样，数字技术的出现和迅速发展都源自市场竞争对效率的追求。从</w:t>
      </w:r>
      <w:r>
        <w:rPr>
          <w:rFonts w:ascii="SimSun" w:hAnsi="SimSun" w:eastAsia="SimSun" w:cs="SimSun"/>
          <w:sz w:val="21"/>
          <w:szCs w:val="21"/>
          <w:spacing w:val="3"/>
        </w:rPr>
        <w:t xml:space="preserve">  </w:t>
      </w:r>
      <w:r>
        <w:rPr>
          <w:rFonts w:ascii="SimSun" w:hAnsi="SimSun" w:eastAsia="SimSun" w:cs="SimSun"/>
          <w:sz w:val="21"/>
          <w:szCs w:val="21"/>
          <w:spacing w:val="-10"/>
        </w:rPr>
        <w:t>这个意义上说，数字经济再一次有力地说明了维护自由竞争市场经济</w:t>
      </w:r>
      <w:r>
        <w:rPr>
          <w:rFonts w:ascii="SimSun" w:hAnsi="SimSun" w:eastAsia="SimSun" w:cs="SimSun"/>
          <w:sz w:val="21"/>
          <w:szCs w:val="21"/>
          <w:spacing w:val="4"/>
        </w:rPr>
        <w:t xml:space="preserve">  </w:t>
      </w:r>
      <w:r>
        <w:rPr>
          <w:rFonts w:ascii="SimSun" w:hAnsi="SimSun" w:eastAsia="SimSun" w:cs="SimSun"/>
          <w:sz w:val="21"/>
          <w:szCs w:val="21"/>
          <w:spacing w:val="-10"/>
        </w:rPr>
        <w:t>制度的必要性。数字经济引起的真正冲击并不是人工智能、大数据等</w:t>
      </w:r>
      <w:r>
        <w:rPr>
          <w:rFonts w:ascii="SimSun" w:hAnsi="SimSun" w:eastAsia="SimSun" w:cs="SimSun"/>
          <w:sz w:val="21"/>
          <w:szCs w:val="21"/>
          <w:spacing w:val="4"/>
        </w:rPr>
        <w:t xml:space="preserve">  </w:t>
      </w:r>
      <w:r>
        <w:rPr>
          <w:rFonts w:ascii="SimSun" w:hAnsi="SimSun" w:eastAsia="SimSun" w:cs="SimSun"/>
          <w:sz w:val="21"/>
          <w:szCs w:val="21"/>
          <w:spacing w:val="-10"/>
        </w:rPr>
        <w:t>可以替代所有人类工作，而是数字技术进步的“摩尔速度”或“超摩</w:t>
      </w:r>
      <w:r>
        <w:rPr>
          <w:rFonts w:ascii="SimSun" w:hAnsi="SimSun" w:eastAsia="SimSun" w:cs="SimSun"/>
          <w:sz w:val="21"/>
          <w:szCs w:val="21"/>
          <w:spacing w:val="5"/>
        </w:rPr>
        <w:t xml:space="preserve">  </w:t>
      </w:r>
      <w:r>
        <w:rPr>
          <w:rFonts w:ascii="SimSun" w:hAnsi="SimSun" w:eastAsia="SimSun" w:cs="SimSun"/>
          <w:sz w:val="21"/>
          <w:szCs w:val="21"/>
          <w:spacing w:val="-6"/>
        </w:rPr>
        <w:t>尔速度”,以及按照摩尔定律假定不变但事实上飞</w:t>
      </w:r>
      <w:r>
        <w:rPr>
          <w:rFonts w:ascii="SimSun" w:hAnsi="SimSun" w:eastAsia="SimSun" w:cs="SimSun"/>
          <w:sz w:val="21"/>
          <w:szCs w:val="21"/>
          <w:spacing w:val="-7"/>
        </w:rPr>
        <w:t>速下降的“技术价</w:t>
      </w:r>
      <w:r>
        <w:rPr>
          <w:rFonts w:ascii="SimSun" w:hAnsi="SimSun" w:eastAsia="SimSun" w:cs="SimSun"/>
          <w:sz w:val="21"/>
          <w:szCs w:val="21"/>
        </w:rPr>
        <w:t xml:space="preserve">  </w:t>
      </w:r>
      <w:r>
        <w:rPr>
          <w:rFonts w:ascii="SimSun" w:hAnsi="SimSun" w:eastAsia="SimSun" w:cs="SimSun"/>
          <w:sz w:val="21"/>
          <w:szCs w:val="21"/>
          <w:spacing w:val="-4"/>
        </w:rPr>
        <w:t>格”,如芯片和以芯片为核心的</w:t>
      </w:r>
      <w:r>
        <w:rPr>
          <w:rFonts w:ascii="Times New Roman" w:hAnsi="Times New Roman" w:eastAsia="Times New Roman" w:cs="Times New Roman"/>
          <w:sz w:val="21"/>
          <w:szCs w:val="21"/>
          <w:spacing w:val="-4"/>
        </w:rPr>
        <w:t>ICT</w:t>
      </w:r>
      <w:r>
        <w:rPr>
          <w:rFonts w:ascii="SimSun" w:hAnsi="SimSun" w:eastAsia="SimSun" w:cs="SimSun"/>
          <w:sz w:val="21"/>
          <w:szCs w:val="21"/>
          <w:spacing w:val="-4"/>
        </w:rPr>
        <w:t>设备的价格。正是这两个因素共</w:t>
      </w:r>
      <w:r>
        <w:rPr>
          <w:rFonts w:ascii="SimSun" w:hAnsi="SimSun" w:eastAsia="SimSun" w:cs="SimSun"/>
          <w:sz w:val="21"/>
          <w:szCs w:val="21"/>
          <w:spacing w:val="9"/>
        </w:rPr>
        <w:t xml:space="preserve">  </w:t>
      </w:r>
      <w:r>
        <w:rPr>
          <w:rFonts w:ascii="SimSun" w:hAnsi="SimSun" w:eastAsia="SimSun" w:cs="SimSun"/>
          <w:sz w:val="21"/>
          <w:szCs w:val="21"/>
          <w:spacing w:val="-10"/>
        </w:rPr>
        <w:t>同作用产生的极大的不确定性，迫使投资者努力在难以预测的更便宜</w:t>
      </w:r>
      <w:r>
        <w:rPr>
          <w:rFonts w:ascii="SimSun" w:hAnsi="SimSun" w:eastAsia="SimSun" w:cs="SimSun"/>
          <w:sz w:val="21"/>
          <w:szCs w:val="21"/>
          <w:spacing w:val="5"/>
        </w:rPr>
        <w:t xml:space="preserve">  </w:t>
      </w:r>
      <w:r>
        <w:rPr>
          <w:rFonts w:ascii="SimSun" w:hAnsi="SimSun" w:eastAsia="SimSun" w:cs="SimSun"/>
          <w:sz w:val="21"/>
          <w:szCs w:val="21"/>
          <w:spacing w:val="-10"/>
        </w:rPr>
        <w:t>却更有效率的设备出现之前，实现其现有投资的利润最大化，因此不</w:t>
      </w:r>
      <w:r>
        <w:rPr>
          <w:rFonts w:ascii="SimSun" w:hAnsi="SimSun" w:eastAsia="SimSun" w:cs="SimSun"/>
          <w:sz w:val="21"/>
          <w:szCs w:val="21"/>
          <w:spacing w:val="5"/>
        </w:rPr>
        <w:t xml:space="preserve">  </w:t>
      </w:r>
      <w:r>
        <w:rPr>
          <w:rFonts w:ascii="SimSun" w:hAnsi="SimSun" w:eastAsia="SimSun" w:cs="SimSun"/>
          <w:sz w:val="21"/>
          <w:szCs w:val="21"/>
          <w:spacing w:val="-10"/>
        </w:rPr>
        <w:t>断强化和深化市场竞争。不仅技术领先行业的技术扩散方向和扩散速</w:t>
      </w:r>
      <w:r>
        <w:rPr>
          <w:rFonts w:ascii="SimSun" w:hAnsi="SimSun" w:eastAsia="SimSun" w:cs="SimSun"/>
          <w:sz w:val="21"/>
          <w:szCs w:val="21"/>
          <w:spacing w:val="3"/>
        </w:rPr>
        <w:t xml:space="preserve">  </w:t>
      </w:r>
      <w:r>
        <w:rPr>
          <w:rFonts w:ascii="SimSun" w:hAnsi="SimSun" w:eastAsia="SimSun" w:cs="SimSun"/>
          <w:sz w:val="21"/>
          <w:szCs w:val="21"/>
          <w:spacing w:val="-10"/>
        </w:rPr>
        <w:t>度难以预测，这些行业与技术落后行业之间的相对价格变化也难以预</w:t>
      </w:r>
      <w:r>
        <w:rPr>
          <w:rFonts w:ascii="SimSun" w:hAnsi="SimSun" w:eastAsia="SimSun" w:cs="SimSun"/>
          <w:sz w:val="21"/>
          <w:szCs w:val="21"/>
          <w:spacing w:val="3"/>
        </w:rPr>
        <w:t xml:space="preserve">  </w:t>
      </w:r>
      <w:r>
        <w:rPr>
          <w:rFonts w:ascii="SimSun" w:hAnsi="SimSun" w:eastAsia="SimSun" w:cs="SimSun"/>
          <w:sz w:val="21"/>
          <w:szCs w:val="21"/>
          <w:spacing w:val="-7"/>
        </w:rPr>
        <w:t>测。数字技术进步导致的市场不确定性越大，行业间在技术、效率、</w:t>
      </w:r>
      <w:r>
        <w:rPr>
          <w:rFonts w:ascii="SimSun" w:hAnsi="SimSun" w:eastAsia="SimSun" w:cs="SimSun"/>
          <w:sz w:val="21"/>
          <w:szCs w:val="21"/>
          <w:spacing w:val="14"/>
        </w:rPr>
        <w:t xml:space="preserve"> </w:t>
      </w:r>
      <w:r>
        <w:rPr>
          <w:rFonts w:ascii="SimSun" w:hAnsi="SimSun" w:eastAsia="SimSun" w:cs="SimSun"/>
          <w:sz w:val="21"/>
          <w:szCs w:val="21"/>
          <w:spacing w:val="-10"/>
        </w:rPr>
        <w:t>成本上的差异也就越大，因此越需要资源更快、更自由地流动。正是</w:t>
      </w:r>
      <w:r>
        <w:rPr>
          <w:rFonts w:ascii="SimSun" w:hAnsi="SimSun" w:eastAsia="SimSun" w:cs="SimSun"/>
          <w:sz w:val="21"/>
          <w:szCs w:val="21"/>
          <w:spacing w:val="4"/>
        </w:rPr>
        <w:t xml:space="preserve">  </w:t>
      </w:r>
      <w:r>
        <w:rPr>
          <w:rFonts w:ascii="SimSun" w:hAnsi="SimSun" w:eastAsia="SimSun" w:cs="SimSun"/>
          <w:sz w:val="21"/>
          <w:szCs w:val="21"/>
          <w:spacing w:val="-10"/>
        </w:rPr>
        <w:t>这种竞争性的资源配置和再配置通过“创造性破坏”成就了创新，成</w:t>
      </w:r>
      <w:r>
        <w:rPr>
          <w:rFonts w:ascii="SimSun" w:hAnsi="SimSun" w:eastAsia="SimSun" w:cs="SimSun"/>
          <w:sz w:val="21"/>
          <w:szCs w:val="21"/>
          <w:spacing w:val="4"/>
        </w:rPr>
        <w:t xml:space="preserve">  </w:t>
      </w:r>
      <w:r>
        <w:rPr>
          <w:rFonts w:ascii="SimSun" w:hAnsi="SimSun" w:eastAsia="SimSun" w:cs="SimSun"/>
          <w:sz w:val="21"/>
          <w:szCs w:val="21"/>
          <w:spacing w:val="-10"/>
        </w:rPr>
        <w:t>就了数字技术。认识数字经济条件下市场机制的重要性对于增长因素</w:t>
      </w:r>
      <w:r>
        <w:rPr>
          <w:rFonts w:ascii="SimSun" w:hAnsi="SimSun" w:eastAsia="SimSun" w:cs="SimSun"/>
          <w:sz w:val="21"/>
          <w:szCs w:val="21"/>
          <w:spacing w:val="4"/>
        </w:rPr>
        <w:t xml:space="preserve">  </w:t>
      </w:r>
      <w:r>
        <w:rPr>
          <w:rFonts w:ascii="SimSun" w:hAnsi="SimSun" w:eastAsia="SimSun" w:cs="SimSun"/>
          <w:sz w:val="21"/>
          <w:szCs w:val="21"/>
          <w:spacing w:val="1"/>
        </w:rPr>
        <w:t>解析工作很重要，因为在准确测算投入的前提下(这是</w:t>
      </w:r>
      <w:r>
        <w:rPr>
          <w:rFonts w:ascii="SimSun" w:hAnsi="SimSun" w:eastAsia="SimSun" w:cs="SimSun"/>
          <w:sz w:val="21"/>
          <w:szCs w:val="21"/>
        </w:rPr>
        <w:t>理论所要求  </w:t>
      </w:r>
      <w:r>
        <w:rPr>
          <w:rFonts w:ascii="SimSun" w:hAnsi="SimSun" w:eastAsia="SimSun" w:cs="SimSun"/>
          <w:sz w:val="21"/>
          <w:szCs w:val="21"/>
          <w:spacing w:val="-3"/>
        </w:rPr>
        <w:t>的，也是我们的方法所追求的),全要素生产率的波动可以反映一个</w:t>
      </w:r>
    </w:p>
    <w:p>
      <w:pPr>
        <w:spacing w:line="310" w:lineRule="auto"/>
        <w:sectPr>
          <w:pgSz w:w="7330" w:h="12480"/>
          <w:pgMar w:top="400" w:right="724" w:bottom="400" w:left="499" w:header="0" w:footer="0" w:gutter="0"/>
        </w:sectPr>
        <w:rPr>
          <w:rFonts w:ascii="SimSun" w:hAnsi="SimSun" w:eastAsia="SimSun" w:cs="SimSun"/>
          <w:sz w:val="21"/>
          <w:szCs w:val="21"/>
        </w:rPr>
      </w:pPr>
    </w:p>
    <w:p>
      <w:pPr>
        <w:spacing w:line="214" w:lineRule="auto"/>
        <w:rPr>
          <w:rFonts w:ascii="SimHei" w:hAnsi="SimHei" w:eastAsia="SimHei" w:cs="SimHei"/>
          <w:sz w:val="20"/>
          <w:szCs w:val="20"/>
        </w:rPr>
      </w:pPr>
      <w:r>
        <w:rPr>
          <w:rFonts w:ascii="SimSun" w:hAnsi="SimSun" w:eastAsia="SimSun" w:cs="SimSun"/>
          <w:sz w:val="13"/>
          <w:szCs w:val="13"/>
          <w:spacing w:val="-2"/>
          <w:position w:val="-3"/>
        </w:rPr>
        <w:t>054                            </w:t>
      </w:r>
      <w:r>
        <w:rPr>
          <w:rFonts w:ascii="SimHei" w:hAnsi="SimHei" w:eastAsia="SimHei" w:cs="SimHei"/>
          <w:sz w:val="20"/>
          <w:szCs w:val="20"/>
          <w:spacing w:val="-17"/>
          <w:w w:val="87"/>
        </w:rPr>
        <w:t>平台经济——创新、治理与繁荣</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spacing w:before="65" w:line="370" w:lineRule="exact"/>
        <w:rPr>
          <w:rFonts w:ascii="SimSun" w:hAnsi="SimSun" w:eastAsia="SimSun" w:cs="SimSun"/>
          <w:sz w:val="20"/>
          <w:szCs w:val="20"/>
        </w:rPr>
      </w:pPr>
      <w:r>
        <w:rPr>
          <w:rFonts w:ascii="SimSun" w:hAnsi="SimSun" w:eastAsia="SimSun" w:cs="SimSun"/>
          <w:sz w:val="20"/>
          <w:szCs w:val="20"/>
          <w:spacing w:val="8"/>
          <w:position w:val="12"/>
        </w:rPr>
        <w:t>经济体(特别是发展中经济体)中影响资源</w:t>
      </w:r>
      <w:r>
        <w:rPr>
          <w:rFonts w:ascii="SimSun" w:hAnsi="SimSun" w:eastAsia="SimSun" w:cs="SimSun"/>
          <w:sz w:val="20"/>
          <w:szCs w:val="20"/>
          <w:spacing w:val="7"/>
          <w:position w:val="12"/>
        </w:rPr>
        <w:t>配置的制度条件的变化，</w:t>
      </w:r>
    </w:p>
    <w:p>
      <w:pPr>
        <w:spacing w:line="219" w:lineRule="auto"/>
        <w:rPr>
          <w:rFonts w:ascii="SimSun" w:hAnsi="SimSun" w:eastAsia="SimSun" w:cs="SimSun"/>
          <w:sz w:val="20"/>
          <w:szCs w:val="20"/>
        </w:rPr>
      </w:pPr>
      <w:r>
        <w:rPr>
          <w:rFonts w:ascii="SimSun" w:hAnsi="SimSun" w:eastAsia="SimSun" w:cs="SimSun"/>
          <w:sz w:val="20"/>
          <w:szCs w:val="20"/>
          <w:spacing w:val="-2"/>
        </w:rPr>
        <w:t>这种变化影响数字经济的外溢或正外部性。</w:t>
      </w:r>
    </w:p>
    <w:p>
      <w:pPr>
        <w:ind w:firstLine="350"/>
        <w:spacing w:before="114" w:line="332" w:lineRule="auto"/>
        <w:jc w:val="both"/>
        <w:rPr>
          <w:rFonts w:ascii="SimSun" w:hAnsi="SimSun" w:eastAsia="SimSun" w:cs="SimSun"/>
          <w:sz w:val="20"/>
          <w:szCs w:val="20"/>
        </w:rPr>
      </w:pPr>
      <w:r>
        <w:rPr>
          <w:rFonts w:ascii="SimSun" w:hAnsi="SimSun" w:eastAsia="SimSun" w:cs="SimSun"/>
          <w:sz w:val="20"/>
          <w:szCs w:val="20"/>
          <w:spacing w:val="12"/>
        </w:rPr>
        <w:t>“数字经济”这一名词在20世纪90年代初</w:t>
      </w:r>
      <w:r>
        <w:rPr>
          <w:rFonts w:ascii="SimSun" w:hAnsi="SimSun" w:eastAsia="SimSun" w:cs="SimSun"/>
          <w:sz w:val="20"/>
          <w:szCs w:val="20"/>
          <w:spacing w:val="11"/>
        </w:rPr>
        <w:t>期由日本学者提出，</w:t>
      </w:r>
      <w:r>
        <w:rPr>
          <w:rFonts w:ascii="SimSun" w:hAnsi="SimSun" w:eastAsia="SimSun" w:cs="SimSun"/>
          <w:sz w:val="20"/>
          <w:szCs w:val="20"/>
        </w:rPr>
        <w:t xml:space="preserve"> </w:t>
      </w:r>
      <w:r>
        <w:rPr>
          <w:rFonts w:ascii="SimSun" w:hAnsi="SimSun" w:eastAsia="SimSun" w:cs="SimSun"/>
          <w:sz w:val="20"/>
          <w:szCs w:val="20"/>
          <w:spacing w:val="6"/>
        </w:rPr>
        <w:t>唐·泰普斯科特于1995年正式将数字经济和互联网联系起来</w:t>
      </w:r>
      <w:r>
        <w:rPr>
          <w:rFonts w:ascii="SimSun" w:hAnsi="SimSun" w:eastAsia="SimSun" w:cs="SimSun"/>
          <w:sz w:val="20"/>
          <w:szCs w:val="20"/>
          <w:spacing w:val="5"/>
        </w:rPr>
        <w:t>，之后</w:t>
      </w:r>
      <w:r>
        <w:rPr>
          <w:rFonts w:ascii="SimSun" w:hAnsi="SimSun" w:eastAsia="SimSun" w:cs="SimSun"/>
          <w:sz w:val="20"/>
          <w:szCs w:val="20"/>
        </w:rPr>
        <w:t xml:space="preserve">  </w:t>
      </w:r>
      <w:r>
        <w:rPr>
          <w:rFonts w:ascii="SimSun" w:hAnsi="SimSun" w:eastAsia="SimSun" w:cs="SimSun"/>
          <w:sz w:val="20"/>
          <w:szCs w:val="20"/>
        </w:rPr>
        <w:t>数字经济逐步进入了公众与决策部门的视野</w:t>
      </w:r>
      <w:r>
        <w:rPr>
          <w:rFonts w:ascii="SimSun" w:hAnsi="SimSun" w:eastAsia="SimSun" w:cs="SimSun"/>
          <w:sz w:val="20"/>
          <w:szCs w:val="20"/>
          <w:spacing w:val="-1"/>
        </w:rPr>
        <w:t>。作为数字经济的核心部</w:t>
      </w:r>
      <w:r>
        <w:rPr>
          <w:rFonts w:ascii="SimSun" w:hAnsi="SimSun" w:eastAsia="SimSun" w:cs="SimSun"/>
          <w:sz w:val="20"/>
          <w:szCs w:val="20"/>
        </w:rPr>
        <w:t xml:space="preserve">  </w:t>
      </w:r>
      <w:r>
        <w:rPr>
          <w:rFonts w:ascii="SimSun" w:hAnsi="SimSun" w:eastAsia="SimSun" w:cs="SimSun"/>
          <w:sz w:val="20"/>
          <w:szCs w:val="20"/>
          <w:spacing w:val="6"/>
        </w:rPr>
        <w:t>门，</w:t>
      </w:r>
      <w:r>
        <w:rPr>
          <w:rFonts w:ascii="SimSun" w:hAnsi="SimSun" w:eastAsia="SimSun" w:cs="SimSun"/>
          <w:sz w:val="20"/>
          <w:szCs w:val="20"/>
        </w:rPr>
        <w:t>ICT</w:t>
      </w:r>
      <w:r>
        <w:rPr>
          <w:rFonts w:ascii="SimSun" w:hAnsi="SimSun" w:eastAsia="SimSun" w:cs="SimSun"/>
          <w:sz w:val="20"/>
          <w:szCs w:val="20"/>
          <w:spacing w:val="6"/>
        </w:rPr>
        <w:t xml:space="preserve"> 在20世纪80年代就被广泛关注。随着</w:t>
      </w:r>
      <w:r>
        <w:rPr>
          <w:rFonts w:ascii="SimSun" w:hAnsi="SimSun" w:eastAsia="SimSun" w:cs="SimSun"/>
          <w:sz w:val="20"/>
          <w:szCs w:val="20"/>
        </w:rPr>
        <w:t>ICT</w:t>
      </w:r>
      <w:r>
        <w:rPr>
          <w:rFonts w:ascii="SimSun" w:hAnsi="SimSun" w:eastAsia="SimSun" w:cs="SimSun"/>
          <w:sz w:val="20"/>
          <w:szCs w:val="20"/>
          <w:spacing w:val="6"/>
        </w:rPr>
        <w:t xml:space="preserve"> 的进步、互联网</w:t>
      </w:r>
      <w:r>
        <w:rPr>
          <w:rFonts w:ascii="SimSun" w:hAnsi="SimSun" w:eastAsia="SimSun" w:cs="SimSun"/>
          <w:sz w:val="20"/>
          <w:szCs w:val="20"/>
          <w:spacing w:val="7"/>
        </w:rPr>
        <w:t xml:space="preserve">  </w:t>
      </w:r>
      <w:r>
        <w:rPr>
          <w:rFonts w:ascii="SimSun" w:hAnsi="SimSun" w:eastAsia="SimSun" w:cs="SimSun"/>
          <w:sz w:val="20"/>
          <w:szCs w:val="20"/>
          <w:spacing w:val="-1"/>
        </w:rPr>
        <w:t>的兴起与蓬勃发展，进而到人工智能的异军突起，数字经济的内涵不</w:t>
      </w:r>
      <w:r>
        <w:rPr>
          <w:rFonts w:ascii="SimSun" w:hAnsi="SimSun" w:eastAsia="SimSun" w:cs="SimSun"/>
          <w:sz w:val="20"/>
          <w:szCs w:val="20"/>
          <w:spacing w:val="2"/>
        </w:rPr>
        <w:t xml:space="preserve">  </w:t>
      </w:r>
      <w:r>
        <w:rPr>
          <w:rFonts w:ascii="SimSun" w:hAnsi="SimSun" w:eastAsia="SimSun" w:cs="SimSun"/>
          <w:sz w:val="20"/>
          <w:szCs w:val="20"/>
          <w:spacing w:val="6"/>
        </w:rPr>
        <w:t>断扩大，从早期传统的</w:t>
      </w:r>
      <w:r>
        <w:rPr>
          <w:rFonts w:ascii="SimSun" w:hAnsi="SimSun" w:eastAsia="SimSun" w:cs="SimSun"/>
          <w:sz w:val="20"/>
          <w:szCs w:val="20"/>
        </w:rPr>
        <w:t>ICT</w:t>
      </w:r>
      <w:r>
        <w:rPr>
          <w:rFonts w:ascii="SimSun" w:hAnsi="SimSun" w:eastAsia="SimSun" w:cs="SimSun"/>
          <w:sz w:val="20"/>
          <w:szCs w:val="20"/>
          <w:spacing w:val="6"/>
        </w:rPr>
        <w:t xml:space="preserve"> 产品生产与服务，到今天蓬勃发展的数</w:t>
      </w:r>
      <w:r>
        <w:rPr>
          <w:rFonts w:ascii="SimSun" w:hAnsi="SimSun" w:eastAsia="SimSun" w:cs="SimSun"/>
          <w:sz w:val="20"/>
          <w:szCs w:val="20"/>
          <w:spacing w:val="4"/>
        </w:rPr>
        <w:t xml:space="preserve">  </w:t>
      </w:r>
      <w:r>
        <w:rPr>
          <w:rFonts w:ascii="SimSun" w:hAnsi="SimSun" w:eastAsia="SimSun" w:cs="SimSun"/>
          <w:sz w:val="20"/>
          <w:szCs w:val="20"/>
        </w:rPr>
        <w:t>字生态，数字科技的发展正在推动社会各行各</w:t>
      </w:r>
      <w:r>
        <w:rPr>
          <w:rFonts w:ascii="SimSun" w:hAnsi="SimSun" w:eastAsia="SimSun" w:cs="SimSun"/>
          <w:sz w:val="20"/>
          <w:szCs w:val="20"/>
          <w:spacing w:val="-1"/>
        </w:rPr>
        <w:t>业发生巨大的变化，甚</w:t>
      </w:r>
    </w:p>
    <w:p>
      <w:pPr>
        <w:spacing w:line="218" w:lineRule="auto"/>
        <w:rPr>
          <w:rFonts w:ascii="SimSun" w:hAnsi="SimSun" w:eastAsia="SimSun" w:cs="SimSun"/>
          <w:sz w:val="20"/>
          <w:szCs w:val="20"/>
        </w:rPr>
      </w:pPr>
      <w:r>
        <w:rPr>
          <w:rFonts w:ascii="SimSun" w:hAnsi="SimSun" w:eastAsia="SimSun" w:cs="SimSun"/>
          <w:sz w:val="20"/>
          <w:szCs w:val="20"/>
          <w:spacing w:val="-4"/>
        </w:rPr>
        <w:t>至是颠覆性的改变。</w:t>
      </w:r>
    </w:p>
    <w:p>
      <w:pPr>
        <w:ind w:right="59" w:firstLine="450"/>
        <w:spacing w:before="125" w:line="332" w:lineRule="auto"/>
        <w:jc w:val="both"/>
        <w:rPr>
          <w:rFonts w:ascii="SimSun" w:hAnsi="SimSun" w:eastAsia="SimSun" w:cs="SimSun"/>
          <w:sz w:val="20"/>
          <w:szCs w:val="20"/>
        </w:rPr>
      </w:pPr>
      <w:r>
        <w:rPr>
          <w:rFonts w:ascii="SimSun" w:hAnsi="SimSun" w:eastAsia="SimSun" w:cs="SimSun"/>
          <w:sz w:val="20"/>
          <w:szCs w:val="20"/>
          <w:spacing w:val="6"/>
        </w:rPr>
        <w:t>中国的数字经济在过去20年经历了快速的发展，数字经济在国</w:t>
      </w:r>
      <w:r>
        <w:rPr>
          <w:rFonts w:ascii="SimSun" w:hAnsi="SimSun" w:eastAsia="SimSun" w:cs="SimSun"/>
          <w:sz w:val="20"/>
          <w:szCs w:val="20"/>
          <w:spacing w:val="11"/>
        </w:rPr>
        <w:t xml:space="preserve"> </w:t>
      </w:r>
      <w:r>
        <w:rPr>
          <w:rFonts w:ascii="SimSun" w:hAnsi="SimSun" w:eastAsia="SimSun" w:cs="SimSun"/>
          <w:sz w:val="20"/>
          <w:szCs w:val="20"/>
          <w:spacing w:val="-1"/>
        </w:rPr>
        <w:t>民经济中发挥着越来越重要的作用。数字科技和数字生产要素的广泛</w:t>
      </w:r>
      <w:r>
        <w:rPr>
          <w:rFonts w:ascii="SimSun" w:hAnsi="SimSun" w:eastAsia="SimSun" w:cs="SimSun"/>
          <w:sz w:val="20"/>
          <w:szCs w:val="20"/>
          <w:spacing w:val="1"/>
        </w:rPr>
        <w:t xml:space="preserve"> </w:t>
      </w:r>
      <w:r>
        <w:rPr>
          <w:rFonts w:ascii="SimSun" w:hAnsi="SimSun" w:eastAsia="SimSun" w:cs="SimSun"/>
          <w:sz w:val="20"/>
          <w:szCs w:val="20"/>
        </w:rPr>
        <w:t>使用促进了以新产业、新业态、新商业模式为</w:t>
      </w:r>
      <w:r>
        <w:rPr>
          <w:rFonts w:ascii="SimSun" w:hAnsi="SimSun" w:eastAsia="SimSun" w:cs="SimSun"/>
          <w:sz w:val="20"/>
          <w:szCs w:val="20"/>
          <w:spacing w:val="-1"/>
        </w:rPr>
        <w:t>核心内容的“三新”经</w:t>
      </w:r>
      <w:r>
        <w:rPr>
          <w:rFonts w:ascii="SimSun" w:hAnsi="SimSun" w:eastAsia="SimSun" w:cs="SimSun"/>
          <w:sz w:val="20"/>
          <w:szCs w:val="20"/>
        </w:rPr>
        <w:t xml:space="preserve"> </w:t>
      </w:r>
      <w:r>
        <w:rPr>
          <w:rFonts w:ascii="SimSun" w:hAnsi="SimSun" w:eastAsia="SimSun" w:cs="SimSun"/>
          <w:sz w:val="20"/>
          <w:szCs w:val="20"/>
          <w:spacing w:val="6"/>
        </w:rPr>
        <w:t>济活动的蓬勃发展。截至2020年底，中国的“三新”经济增加值约</w:t>
      </w:r>
      <w:r>
        <w:rPr>
          <w:rFonts w:ascii="SimSun" w:hAnsi="SimSun" w:eastAsia="SimSun" w:cs="SimSun"/>
          <w:sz w:val="20"/>
          <w:szCs w:val="20"/>
          <w:spacing w:val="1"/>
        </w:rPr>
        <w:t xml:space="preserve"> </w:t>
      </w:r>
      <w:r>
        <w:rPr>
          <w:rFonts w:ascii="SimSun" w:hAnsi="SimSun" w:eastAsia="SimSun" w:cs="SimSun"/>
          <w:sz w:val="20"/>
          <w:szCs w:val="20"/>
          <w:spacing w:val="9"/>
        </w:rPr>
        <w:t>占</w:t>
      </w:r>
      <w:r>
        <w:rPr>
          <w:rFonts w:ascii="SimSun" w:hAnsi="SimSun" w:eastAsia="SimSun" w:cs="SimSun"/>
          <w:sz w:val="20"/>
          <w:szCs w:val="20"/>
          <w:spacing w:val="-60"/>
        </w:rPr>
        <w:t xml:space="preserve"> </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9"/>
        </w:rPr>
        <w:t>的17%,“三新”经济活动主要集中在工业和服务业，</w:t>
      </w:r>
      <w:r>
        <w:rPr>
          <w:rFonts w:ascii="SimSun" w:hAnsi="SimSun" w:eastAsia="SimSun" w:cs="SimSun"/>
          <w:sz w:val="20"/>
          <w:szCs w:val="20"/>
          <w:spacing w:val="8"/>
        </w:rPr>
        <w:t>尤其</w:t>
      </w:r>
    </w:p>
    <w:p>
      <w:pPr>
        <w:spacing w:line="219" w:lineRule="auto"/>
        <w:rPr>
          <w:rFonts w:ascii="SimSun" w:hAnsi="SimSun" w:eastAsia="SimSun" w:cs="SimSun"/>
          <w:sz w:val="20"/>
          <w:szCs w:val="20"/>
        </w:rPr>
      </w:pPr>
      <w:r>
        <w:rPr>
          <w:rFonts w:ascii="SimSun" w:hAnsi="SimSun" w:eastAsia="SimSun" w:cs="SimSun"/>
          <w:sz w:val="20"/>
          <w:szCs w:val="20"/>
          <w:spacing w:val="9"/>
        </w:rPr>
        <w:t>是服务业(见图2-1)。</w:t>
      </w:r>
    </w:p>
    <w:p>
      <w:pPr>
        <w:ind w:left="620"/>
        <w:spacing w:before="84" w:line="220" w:lineRule="auto"/>
        <w:rPr>
          <w:rFonts w:ascii="SimSun" w:hAnsi="SimSun" w:eastAsia="SimSun" w:cs="SimSun"/>
          <w:sz w:val="20"/>
          <w:szCs w:val="20"/>
        </w:rPr>
      </w:pPr>
      <w:r>
        <w:drawing>
          <wp:anchor distT="0" distB="0" distL="0" distR="0" simplePos="0" relativeHeight="252314624" behindDoc="0" locked="0" layoutInCell="1" allowOverlap="1">
            <wp:simplePos x="0" y="0"/>
            <wp:positionH relativeFrom="column">
              <wp:posOffset>374644</wp:posOffset>
            </wp:positionH>
            <wp:positionV relativeFrom="paragraph">
              <wp:posOffset>174266</wp:posOffset>
            </wp:positionV>
            <wp:extent cx="3168677" cy="1911382"/>
            <wp:effectExtent l="0" t="0" r="0" b="0"/>
            <wp:wrapNone/>
            <wp:docPr id="72" name="IM 72"/>
            <wp:cNvGraphicFramePr/>
            <a:graphic>
              <a:graphicData uri="http://schemas.openxmlformats.org/drawingml/2006/picture">
                <pic:pic>
                  <pic:nvPicPr>
                    <pic:cNvPr id="72" name="IM 72"/>
                    <pic:cNvPicPr/>
                  </pic:nvPicPr>
                  <pic:blipFill>
                    <a:blip r:embed="rId81"/>
                    <a:stretch>
                      <a:fillRect/>
                    </a:stretch>
                  </pic:blipFill>
                  <pic:spPr>
                    <a:xfrm rot="0">
                      <a:off x="0" y="0"/>
                      <a:ext cx="3168677" cy="1911382"/>
                    </a:xfrm>
                    <a:prstGeom prst="rect">
                      <a:avLst/>
                    </a:prstGeom>
                  </pic:spPr>
                </pic:pic>
              </a:graphicData>
            </a:graphic>
          </wp:anchor>
        </w:drawing>
      </w:r>
      <w:r>
        <w:rPr>
          <w:rFonts w:ascii="SimSun" w:hAnsi="SimSun" w:eastAsia="SimSun" w:cs="SimSun"/>
          <w:sz w:val="20"/>
          <w:szCs w:val="20"/>
          <w:spacing w:val="-17"/>
          <w:w w:val="99"/>
        </w:rPr>
        <w:t>(千亿元)</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870"/>
        <w:spacing w:before="65" w:line="219" w:lineRule="auto"/>
        <w:rPr>
          <w:rFonts w:ascii="SimSun" w:hAnsi="SimSun" w:eastAsia="SimSun" w:cs="SimSun"/>
          <w:sz w:val="20"/>
          <w:szCs w:val="20"/>
        </w:rPr>
      </w:pPr>
      <w:r>
        <w:rPr>
          <w:rFonts w:ascii="SimSun" w:hAnsi="SimSun" w:eastAsia="SimSun" w:cs="SimSun"/>
          <w:sz w:val="20"/>
          <w:szCs w:val="20"/>
          <w:spacing w:val="-31"/>
          <w:w w:val="98"/>
        </w:rPr>
        <w:t>■第一产业</w:t>
      </w:r>
      <w:r>
        <w:rPr>
          <w:rFonts w:ascii="SimSun" w:hAnsi="SimSun" w:eastAsia="SimSun" w:cs="SimSun"/>
          <w:sz w:val="20"/>
          <w:szCs w:val="20"/>
          <w:spacing w:val="11"/>
        </w:rPr>
        <w:t xml:space="preserve">  </w:t>
      </w:r>
      <w:r>
        <w:rPr>
          <w:rFonts w:ascii="SimSun" w:hAnsi="SimSun" w:eastAsia="SimSun" w:cs="SimSun"/>
          <w:sz w:val="20"/>
          <w:szCs w:val="20"/>
          <w:spacing w:val="-31"/>
          <w:w w:val="98"/>
        </w:rPr>
        <w:t>■第二产业    第三产业</w:t>
      </w:r>
    </w:p>
    <w:p>
      <w:pPr>
        <w:ind w:left="2022"/>
        <w:spacing w:before="98" w:line="221" w:lineRule="auto"/>
        <w:rPr>
          <w:rFonts w:ascii="SimHei" w:hAnsi="SimHei" w:eastAsia="SimHei" w:cs="SimHei"/>
          <w:sz w:val="20"/>
          <w:szCs w:val="20"/>
        </w:rPr>
      </w:pPr>
      <w:r>
        <w:rPr>
          <w:rFonts w:ascii="SimHei" w:hAnsi="SimHei" w:eastAsia="SimHei" w:cs="SimHei"/>
          <w:sz w:val="20"/>
          <w:szCs w:val="20"/>
          <w:b/>
          <w:bCs/>
          <w:spacing w:val="-18"/>
        </w:rPr>
        <w:t>图2-1</w:t>
      </w:r>
      <w:r>
        <w:rPr>
          <w:rFonts w:ascii="SimHei" w:hAnsi="SimHei" w:eastAsia="SimHei" w:cs="SimHei"/>
          <w:sz w:val="20"/>
          <w:szCs w:val="20"/>
          <w:spacing w:val="25"/>
        </w:rPr>
        <w:t xml:space="preserve"> </w:t>
      </w:r>
      <w:r>
        <w:rPr>
          <w:rFonts w:ascii="SimHei" w:hAnsi="SimHei" w:eastAsia="SimHei" w:cs="SimHei"/>
          <w:sz w:val="20"/>
          <w:szCs w:val="20"/>
          <w:b/>
          <w:bCs/>
          <w:spacing w:val="-18"/>
        </w:rPr>
        <w:t>“三新”经济增加值</w:t>
      </w:r>
    </w:p>
    <w:p>
      <w:pPr>
        <w:ind w:left="450"/>
        <w:spacing w:before="148" w:line="221" w:lineRule="auto"/>
        <w:rPr>
          <w:rFonts w:ascii="KaiTi" w:hAnsi="KaiTi" w:eastAsia="KaiTi" w:cs="KaiTi"/>
          <w:sz w:val="20"/>
          <w:szCs w:val="20"/>
        </w:rPr>
      </w:pPr>
      <w:r>
        <w:rPr>
          <w:rFonts w:ascii="KaiTi" w:hAnsi="KaiTi" w:eastAsia="KaiTi" w:cs="KaiTi"/>
          <w:sz w:val="20"/>
          <w:szCs w:val="20"/>
          <w:spacing w:val="-21"/>
          <w:w w:val="92"/>
        </w:rPr>
        <w:t>数据来源：</w:t>
      </w:r>
      <w:r>
        <w:rPr>
          <w:rFonts w:ascii="Times New Roman" w:hAnsi="Times New Roman" w:eastAsia="Times New Roman" w:cs="Times New Roman"/>
          <w:sz w:val="20"/>
          <w:szCs w:val="20"/>
          <w:spacing w:val="-21"/>
          <w:w w:val="92"/>
        </w:rPr>
        <w:t>CEIC</w:t>
      </w:r>
      <w:r>
        <w:rPr>
          <w:rFonts w:ascii="Times New Roman" w:hAnsi="Times New Roman" w:eastAsia="Times New Roman" w:cs="Times New Roman"/>
          <w:sz w:val="20"/>
          <w:szCs w:val="20"/>
          <w:spacing w:val="14"/>
          <w:w w:val="101"/>
        </w:rPr>
        <w:t xml:space="preserve"> </w:t>
      </w:r>
      <w:r>
        <w:rPr>
          <w:rFonts w:ascii="KaiTi" w:hAnsi="KaiTi" w:eastAsia="KaiTi" w:cs="KaiTi"/>
          <w:sz w:val="20"/>
          <w:szCs w:val="20"/>
          <w:spacing w:val="-21"/>
          <w:w w:val="92"/>
        </w:rPr>
        <w:t>中国经济数据库。</w:t>
      </w:r>
    </w:p>
    <w:p>
      <w:pPr>
        <w:spacing w:line="221" w:lineRule="auto"/>
        <w:sectPr>
          <w:pgSz w:w="7330" w:h="12480"/>
          <w:pgMar w:top="316" w:right="549" w:bottom="400" w:left="689" w:header="0" w:footer="0" w:gutter="0"/>
        </w:sectPr>
        <w:rPr>
          <w:rFonts w:ascii="KaiTi" w:hAnsi="KaiTi" w:eastAsia="KaiTi" w:cs="KaiTi"/>
          <w:sz w:val="20"/>
          <w:szCs w:val="20"/>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right="63" w:firstLine="410"/>
        <w:spacing w:before="68" w:line="307" w:lineRule="auto"/>
        <w:jc w:val="both"/>
        <w:rPr>
          <w:rFonts w:ascii="SimSun" w:hAnsi="SimSun" w:eastAsia="SimSun" w:cs="SimSun"/>
          <w:sz w:val="21"/>
          <w:szCs w:val="21"/>
        </w:rPr>
      </w:pPr>
      <w:r>
        <w:rPr>
          <w:rFonts w:ascii="SimSun" w:hAnsi="SimSun" w:eastAsia="SimSun" w:cs="SimSun"/>
          <w:sz w:val="21"/>
          <w:szCs w:val="21"/>
          <w:spacing w:val="-11"/>
        </w:rPr>
        <w:t>如何系统性地衡量数字经济对中国经济增长的贡献，尤其是对中</w:t>
      </w:r>
      <w:r>
        <w:rPr>
          <w:rFonts w:ascii="SimSun" w:hAnsi="SimSun" w:eastAsia="SimSun" w:cs="SimSun"/>
          <w:sz w:val="21"/>
          <w:szCs w:val="21"/>
          <w:spacing w:val="18"/>
        </w:rPr>
        <w:t xml:space="preserve"> </w:t>
      </w:r>
      <w:r>
        <w:rPr>
          <w:rFonts w:ascii="SimSun" w:hAnsi="SimSun" w:eastAsia="SimSun" w:cs="SimSun"/>
          <w:sz w:val="21"/>
          <w:szCs w:val="21"/>
        </w:rPr>
        <w:t>国加入世界贸易组织</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(WTO)   </w:t>
      </w:r>
      <w:r>
        <w:rPr>
          <w:rFonts w:ascii="SimSun" w:hAnsi="SimSun" w:eastAsia="SimSun" w:cs="SimSun"/>
          <w:sz w:val="21"/>
          <w:szCs w:val="21"/>
        </w:rPr>
        <w:t>后至今20年经济增长的贡献?数字经 </w:t>
      </w:r>
      <w:r>
        <w:rPr>
          <w:rFonts w:ascii="SimSun" w:hAnsi="SimSun" w:eastAsia="SimSun" w:cs="SimSun"/>
          <w:sz w:val="21"/>
          <w:szCs w:val="21"/>
          <w:spacing w:val="-7"/>
        </w:rPr>
        <w:t>济的发展是否促进了中国全要素生产率的提升?回答这些问题需要有</w:t>
      </w:r>
      <w:r>
        <w:rPr>
          <w:rFonts w:ascii="SimSun" w:hAnsi="SimSun" w:eastAsia="SimSun" w:cs="SimSun"/>
          <w:sz w:val="21"/>
          <w:szCs w:val="21"/>
          <w:spacing w:val="4"/>
        </w:rPr>
        <w:t xml:space="preserve"> </w:t>
      </w:r>
      <w:r>
        <w:rPr>
          <w:rFonts w:ascii="SimSun" w:hAnsi="SimSun" w:eastAsia="SimSun" w:cs="SimSun"/>
          <w:sz w:val="21"/>
          <w:szCs w:val="21"/>
          <w:spacing w:val="-11"/>
        </w:rPr>
        <w:t>一个系统性的经济增长核算分析框架，同时需要界定和度量数字经济</w:t>
      </w:r>
      <w:r>
        <w:rPr>
          <w:rFonts w:ascii="SimSun" w:hAnsi="SimSun" w:eastAsia="SimSun" w:cs="SimSun"/>
          <w:sz w:val="21"/>
          <w:szCs w:val="21"/>
          <w:spacing w:val="18"/>
        </w:rPr>
        <w:t xml:space="preserve"> </w:t>
      </w:r>
      <w:r>
        <w:rPr>
          <w:rFonts w:ascii="SimSun" w:hAnsi="SimSun" w:eastAsia="SimSun" w:cs="SimSun"/>
          <w:sz w:val="21"/>
          <w:szCs w:val="21"/>
          <w:spacing w:val="-10"/>
        </w:rPr>
        <w:t>的内涵。本章将从数字经济的相关概念出发</w:t>
      </w:r>
      <w:r>
        <w:rPr>
          <w:rFonts w:ascii="SimSun" w:hAnsi="SimSun" w:eastAsia="SimSun" w:cs="SimSun"/>
          <w:sz w:val="21"/>
          <w:szCs w:val="21"/>
          <w:spacing w:val="-11"/>
        </w:rPr>
        <w:t>，在一个可以系统整合行</w:t>
      </w:r>
      <w:r>
        <w:rPr>
          <w:rFonts w:ascii="SimSun" w:hAnsi="SimSun" w:eastAsia="SimSun" w:cs="SimSun"/>
          <w:sz w:val="21"/>
          <w:szCs w:val="21"/>
        </w:rPr>
        <w:t xml:space="preserve"> </w:t>
      </w:r>
      <w:r>
        <w:rPr>
          <w:rFonts w:ascii="SimSun" w:hAnsi="SimSun" w:eastAsia="SimSun" w:cs="SimSun"/>
          <w:sz w:val="21"/>
          <w:szCs w:val="21"/>
          <w:spacing w:val="-10"/>
        </w:rPr>
        <w:t>业经济活动的总量生产函数框架内，通过要素的投入、产出、</w:t>
      </w:r>
      <w:r>
        <w:rPr>
          <w:rFonts w:ascii="SimSun" w:hAnsi="SimSun" w:eastAsia="SimSun" w:cs="SimSun"/>
          <w:sz w:val="21"/>
          <w:szCs w:val="21"/>
          <w:spacing w:val="-11"/>
        </w:rPr>
        <w:t>效率以</w:t>
      </w:r>
      <w:r>
        <w:rPr>
          <w:rFonts w:ascii="SimSun" w:hAnsi="SimSun" w:eastAsia="SimSun" w:cs="SimSun"/>
          <w:sz w:val="21"/>
          <w:szCs w:val="21"/>
        </w:rPr>
        <w:t xml:space="preserve"> </w:t>
      </w:r>
      <w:r>
        <w:rPr>
          <w:rFonts w:ascii="SimSun" w:hAnsi="SimSun" w:eastAsia="SimSun" w:cs="SimSun"/>
          <w:sz w:val="21"/>
          <w:szCs w:val="21"/>
          <w:spacing w:val="-3"/>
        </w:rPr>
        <w:t>及其他相关指标的变化，分析自加入世界贸易组织以来</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发展对</w:t>
      </w:r>
      <w:r>
        <w:rPr>
          <w:rFonts w:ascii="SimSun" w:hAnsi="SimSun" w:eastAsia="SimSun" w:cs="SimSun"/>
          <w:sz w:val="21"/>
          <w:szCs w:val="21"/>
          <w:spacing w:val="9"/>
        </w:rPr>
        <w:t xml:space="preserve"> </w:t>
      </w:r>
      <w:r>
        <w:rPr>
          <w:rFonts w:ascii="SimSun" w:hAnsi="SimSun" w:eastAsia="SimSun" w:cs="SimSun"/>
          <w:sz w:val="21"/>
          <w:szCs w:val="21"/>
          <w:spacing w:val="-10"/>
        </w:rPr>
        <w:t>中国经济增长的影响，同时探索性地提出这些</w:t>
      </w:r>
      <w:r>
        <w:rPr>
          <w:rFonts w:ascii="SimSun" w:hAnsi="SimSun" w:eastAsia="SimSun" w:cs="SimSun"/>
          <w:sz w:val="21"/>
          <w:szCs w:val="21"/>
          <w:spacing w:val="-11"/>
        </w:rPr>
        <w:t>变化成因假说，并进一</w:t>
      </w:r>
      <w:r>
        <w:rPr>
          <w:rFonts w:ascii="SimSun" w:hAnsi="SimSun" w:eastAsia="SimSun" w:cs="SimSun"/>
          <w:sz w:val="21"/>
          <w:szCs w:val="21"/>
        </w:rPr>
        <w:t xml:space="preserve"> </w:t>
      </w:r>
      <w:r>
        <w:rPr>
          <w:rFonts w:ascii="SimSun" w:hAnsi="SimSun" w:eastAsia="SimSun" w:cs="SimSun"/>
          <w:sz w:val="21"/>
          <w:szCs w:val="21"/>
          <w:spacing w:val="-10"/>
        </w:rPr>
        <w:t>步分析数字经济对经济增长可能的影响渠道，为“平台经济</w:t>
      </w:r>
      <w:r>
        <w:rPr>
          <w:rFonts w:ascii="SimSun" w:hAnsi="SimSun" w:eastAsia="SimSun" w:cs="SimSun"/>
          <w:sz w:val="21"/>
          <w:szCs w:val="21"/>
          <w:spacing w:val="-11"/>
        </w:rPr>
        <w:t>创新与治</w:t>
      </w:r>
      <w:r>
        <w:rPr>
          <w:rFonts w:ascii="SimSun" w:hAnsi="SimSun" w:eastAsia="SimSun" w:cs="SimSun"/>
          <w:sz w:val="21"/>
          <w:szCs w:val="21"/>
        </w:rPr>
        <w:t xml:space="preserve"> </w:t>
      </w:r>
      <w:r>
        <w:rPr>
          <w:rFonts w:ascii="SimSun" w:hAnsi="SimSun" w:eastAsia="SimSun" w:cs="SimSun"/>
          <w:sz w:val="21"/>
          <w:szCs w:val="21"/>
          <w:spacing w:val="-12"/>
        </w:rPr>
        <w:t>理”课题提供一个宏观经济背景。</w:t>
      </w:r>
    </w:p>
    <w:p>
      <w:pPr>
        <w:ind w:firstLine="410"/>
        <w:spacing w:before="108" w:line="303" w:lineRule="auto"/>
        <w:jc w:val="both"/>
        <w:rPr>
          <w:rFonts w:ascii="SimSun" w:hAnsi="SimSun" w:eastAsia="SimSun" w:cs="SimSun"/>
          <w:sz w:val="21"/>
          <w:szCs w:val="21"/>
        </w:rPr>
      </w:pPr>
      <w:r>
        <w:rPr>
          <w:rFonts w:ascii="SimSun" w:hAnsi="SimSun" w:eastAsia="SimSun" w:cs="SimSun"/>
          <w:sz w:val="21"/>
          <w:szCs w:val="21"/>
          <w:spacing w:val="-11"/>
        </w:rPr>
        <w:t>本章的内容安排如下：第一节简要分析数字科技对经济活动影响 </w:t>
      </w:r>
      <w:r>
        <w:rPr>
          <w:rFonts w:ascii="SimSun" w:hAnsi="SimSun" w:eastAsia="SimSun" w:cs="SimSun"/>
          <w:sz w:val="21"/>
          <w:szCs w:val="21"/>
          <w:spacing w:val="-10"/>
        </w:rPr>
        <w:t>的潜在渠道，并简单回顾相关研究；第二节根</w:t>
      </w:r>
      <w:r>
        <w:rPr>
          <w:rFonts w:ascii="SimSun" w:hAnsi="SimSun" w:eastAsia="SimSun" w:cs="SimSun"/>
          <w:sz w:val="21"/>
          <w:szCs w:val="21"/>
          <w:spacing w:val="-11"/>
        </w:rPr>
        <w:t>据数据简要描述中国数 </w:t>
      </w:r>
      <w:r>
        <w:rPr>
          <w:rFonts w:ascii="SimSun" w:hAnsi="SimSun" w:eastAsia="SimSun" w:cs="SimSun"/>
          <w:sz w:val="21"/>
          <w:szCs w:val="21"/>
          <w:spacing w:val="-8"/>
        </w:rPr>
        <w:t>字经济发展状况；第三节简要阐述本章所使用的基础数据，根据</w:t>
      </w:r>
      <w:r>
        <w:rPr>
          <w:rFonts w:ascii="Times New Roman" w:hAnsi="Times New Roman" w:eastAsia="Times New Roman" w:cs="Times New Roman"/>
          <w:sz w:val="21"/>
          <w:szCs w:val="21"/>
          <w:spacing w:val="-8"/>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0"/>
        </w:rPr>
        <w:t>特征进行的行业分组与时间分期；第四节系统</w:t>
      </w:r>
      <w:r>
        <w:rPr>
          <w:rFonts w:ascii="SimSun" w:hAnsi="SimSun" w:eastAsia="SimSun" w:cs="SimSun"/>
          <w:sz w:val="21"/>
          <w:szCs w:val="21"/>
          <w:spacing w:val="-11"/>
        </w:rPr>
        <w:t>地描述中国数字经济发 </w:t>
      </w:r>
      <w:r>
        <w:rPr>
          <w:rFonts w:ascii="SimSun" w:hAnsi="SimSun" w:eastAsia="SimSun" w:cs="SimSun"/>
          <w:sz w:val="21"/>
          <w:szCs w:val="21"/>
          <w:spacing w:val="-8"/>
        </w:rPr>
        <w:t>展的特征；第五节基于系统整合行业经济活动的总量生产函数框架，</w:t>
      </w:r>
      <w:r>
        <w:rPr>
          <w:rFonts w:ascii="SimSun" w:hAnsi="SimSun" w:eastAsia="SimSun" w:cs="SimSun"/>
          <w:sz w:val="21"/>
          <w:szCs w:val="21"/>
          <w:spacing w:val="4"/>
        </w:rPr>
        <w:t xml:space="preserve"> </w:t>
      </w:r>
      <w:r>
        <w:rPr>
          <w:rFonts w:ascii="SimSun" w:hAnsi="SimSun" w:eastAsia="SimSun" w:cs="SimSun"/>
          <w:sz w:val="21"/>
          <w:szCs w:val="21"/>
          <w:spacing w:val="-4"/>
        </w:rPr>
        <w:t>深入分析过去20年数字经济发展对中国经济增长和全要素生产率的 </w:t>
      </w:r>
      <w:r>
        <w:rPr>
          <w:rFonts w:ascii="SimSun" w:hAnsi="SimSun" w:eastAsia="SimSun" w:cs="SimSun"/>
          <w:sz w:val="21"/>
          <w:szCs w:val="21"/>
          <w:spacing w:val="-12"/>
        </w:rPr>
        <w:t>贡献；最后一节提出相关政策建议。</w:t>
      </w:r>
    </w:p>
    <w:p>
      <w:pPr>
        <w:pStyle w:val="BodyText"/>
        <w:spacing w:line="351" w:lineRule="auto"/>
        <w:rPr/>
      </w:pPr>
      <w:r/>
    </w:p>
    <w:p>
      <w:pPr>
        <w:ind w:left="1254"/>
        <w:spacing w:before="107" w:line="219" w:lineRule="auto"/>
        <w:rPr>
          <w:rFonts w:ascii="SimSun" w:hAnsi="SimSun" w:eastAsia="SimSun" w:cs="SimSun"/>
          <w:sz w:val="33"/>
          <w:szCs w:val="33"/>
        </w:rPr>
      </w:pPr>
      <w:r>
        <w:rPr>
          <w:rFonts w:ascii="SimSun" w:hAnsi="SimSun" w:eastAsia="SimSun" w:cs="SimSun"/>
          <w:sz w:val="33"/>
          <w:szCs w:val="33"/>
          <w:b/>
          <w:bCs/>
          <w:spacing w:val="-13"/>
        </w:rPr>
        <w:t>数字经济的概念及其影响</w:t>
      </w:r>
    </w:p>
    <w:p>
      <w:pPr>
        <w:pStyle w:val="BodyText"/>
        <w:spacing w:line="268" w:lineRule="auto"/>
        <w:rPr/>
      </w:pPr>
      <w:r/>
    </w:p>
    <w:p>
      <w:pPr>
        <w:ind w:right="75" w:firstLine="410"/>
        <w:spacing w:before="69" w:line="292" w:lineRule="auto"/>
        <w:jc w:val="both"/>
        <w:rPr>
          <w:rFonts w:ascii="SimSun" w:hAnsi="SimSun" w:eastAsia="SimSun" w:cs="SimSun"/>
          <w:sz w:val="21"/>
          <w:szCs w:val="21"/>
        </w:rPr>
      </w:pPr>
      <w:r>
        <w:rPr>
          <w:rFonts w:ascii="SimSun" w:hAnsi="SimSun" w:eastAsia="SimSun" w:cs="SimSun"/>
          <w:sz w:val="21"/>
          <w:szCs w:val="21"/>
          <w:spacing w:val="-11"/>
        </w:rPr>
        <w:t>根据20国集团的定义，数字经济通常指以数字作为生产要素或者</w:t>
      </w:r>
      <w:r>
        <w:rPr>
          <w:rFonts w:ascii="SimSun" w:hAnsi="SimSun" w:eastAsia="SimSun" w:cs="SimSun"/>
          <w:sz w:val="21"/>
          <w:szCs w:val="21"/>
          <w:spacing w:val="17"/>
        </w:rPr>
        <w:t xml:space="preserve"> </w:t>
      </w:r>
      <w:r>
        <w:rPr>
          <w:rFonts w:ascii="SimSun" w:hAnsi="SimSun" w:eastAsia="SimSun" w:cs="SimSun"/>
          <w:sz w:val="21"/>
          <w:szCs w:val="21"/>
          <w:spacing w:val="-7"/>
        </w:rPr>
        <w:t>借助于数字要素的经济行为。①国家统计局2021年5月发布的《数字</w:t>
      </w:r>
      <w:r>
        <w:rPr>
          <w:rFonts w:ascii="SimSun" w:hAnsi="SimSun" w:eastAsia="SimSun" w:cs="SimSun"/>
          <w:sz w:val="21"/>
          <w:szCs w:val="21"/>
          <w:spacing w:val="17"/>
        </w:rPr>
        <w:t xml:space="preserve"> </w:t>
      </w:r>
      <w:r>
        <w:rPr>
          <w:rFonts w:ascii="SimSun" w:hAnsi="SimSun" w:eastAsia="SimSun" w:cs="SimSun"/>
          <w:sz w:val="21"/>
          <w:szCs w:val="21"/>
          <w:spacing w:val="-10"/>
        </w:rPr>
        <w:t>经济及其核心产业统计分类(2021)》将数字经济定义为“以数据资源</w:t>
      </w:r>
      <w:r>
        <w:rPr>
          <w:rFonts w:ascii="SimSun" w:hAnsi="SimSun" w:eastAsia="SimSun" w:cs="SimSun"/>
          <w:sz w:val="21"/>
          <w:szCs w:val="21"/>
          <w:spacing w:val="17"/>
        </w:rPr>
        <w:t xml:space="preserve"> </w:t>
      </w:r>
      <w:r>
        <w:rPr>
          <w:rFonts w:ascii="SimSun" w:hAnsi="SimSun" w:eastAsia="SimSun" w:cs="SimSun"/>
          <w:sz w:val="21"/>
          <w:szCs w:val="21"/>
          <w:spacing w:val="-11"/>
        </w:rPr>
        <w:t>作为关键生产要素、以现代信息网络作为重要载体、以信息通信技术</w:t>
      </w:r>
    </w:p>
    <w:p>
      <w:pPr>
        <w:pStyle w:val="BodyText"/>
        <w:spacing w:line="247" w:lineRule="auto"/>
        <w:rPr/>
      </w:pPr>
      <w:r/>
    </w:p>
    <w:p>
      <w:pPr>
        <w:ind w:left="289" w:right="26" w:hanging="289"/>
        <w:spacing w:before="53" w:line="313"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56"/>
        </w:rPr>
        <w:t xml:space="preserve"> </w:t>
      </w:r>
      <w:r>
        <w:rPr>
          <w:rFonts w:ascii="Times New Roman" w:hAnsi="Times New Roman" w:eastAsia="Times New Roman" w:cs="Times New Roman"/>
          <w:sz w:val="16"/>
          <w:szCs w:val="16"/>
        </w:rPr>
        <w:t>OECD,“A Roadmap toward a Common Framework for Measuring the </w:t>
      </w:r>
      <w:r>
        <w:rPr>
          <w:rFonts w:ascii="Times New Roman" w:hAnsi="Times New Roman" w:eastAsia="Times New Roman" w:cs="Times New Roman"/>
          <w:sz w:val="16"/>
          <w:szCs w:val="16"/>
          <w:spacing w:val="-1"/>
        </w:rPr>
        <w:t>Digital Economy”,</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Report for the G20 Digital Economy Task Force,2020,</w:t>
      </w:r>
      <w:hyperlink w:history="true" r:id="rId83">
        <w:r>
          <w:rPr>
            <w:rFonts w:ascii="Times New Roman" w:hAnsi="Times New Roman" w:eastAsia="Times New Roman" w:cs="Times New Roman"/>
            <w:sz w:val="16"/>
            <w:szCs w:val="16"/>
          </w:rPr>
          <w:t>https://www.</w:t>
        </w:r>
        <w:r>
          <w:rPr>
            <w:rFonts w:ascii="Times New Roman" w:hAnsi="Times New Roman" w:eastAsia="Times New Roman" w:cs="Times New Roman"/>
            <w:sz w:val="16"/>
            <w:szCs w:val="16"/>
            <w:spacing w:val="-1"/>
          </w:rPr>
          <w:t>oecd.org/sti/roadmap</w:t>
        </w:r>
      </w:hyperlink>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toward-a-common-framework-for-measuring-the-digital-ec</w:t>
      </w:r>
      <w:r>
        <w:rPr>
          <w:rFonts w:ascii="Times New Roman" w:hAnsi="Times New Roman" w:eastAsia="Times New Roman" w:cs="Times New Roman"/>
          <w:sz w:val="16"/>
          <w:szCs w:val="16"/>
          <w:spacing w:val="-2"/>
        </w:rPr>
        <w:t>onomy.pdf.</w:t>
      </w:r>
    </w:p>
    <w:p>
      <w:pPr>
        <w:spacing w:line="313" w:lineRule="auto"/>
        <w:sectPr>
          <w:headerReference w:type="default" r:id="rId82"/>
          <w:pgSz w:w="7330" w:h="12480"/>
          <w:pgMar w:top="817" w:right="814" w:bottom="400" w:left="449" w:header="643" w:footer="0" w:gutter="0"/>
        </w:sectPr>
        <w:rPr>
          <w:rFonts w:ascii="Times New Roman" w:hAnsi="Times New Roman" w:eastAsia="Times New Roman" w:cs="Times New Roman"/>
          <w:sz w:val="16"/>
          <w:szCs w:val="16"/>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right="101"/>
        <w:spacing w:before="69" w:line="306" w:lineRule="auto"/>
        <w:jc w:val="both"/>
        <w:rPr>
          <w:rFonts w:ascii="SimSun" w:hAnsi="SimSun" w:eastAsia="SimSun" w:cs="SimSun"/>
          <w:sz w:val="21"/>
          <w:szCs w:val="21"/>
        </w:rPr>
      </w:pPr>
      <w:r>
        <w:rPr>
          <w:rFonts w:ascii="SimSun" w:hAnsi="SimSun" w:eastAsia="SimSun" w:cs="SimSun"/>
          <w:sz w:val="21"/>
          <w:szCs w:val="21"/>
          <w:spacing w:val="-11"/>
        </w:rPr>
        <w:t>的有效使用作为效率提升和经济结构优化的重要推动力的一系列经济</w:t>
      </w:r>
      <w:r>
        <w:rPr>
          <w:rFonts w:ascii="SimSun" w:hAnsi="SimSun" w:eastAsia="SimSun" w:cs="SimSun"/>
          <w:sz w:val="21"/>
          <w:szCs w:val="21"/>
          <w:spacing w:val="8"/>
        </w:rPr>
        <w:t xml:space="preserve"> </w:t>
      </w:r>
      <w:r>
        <w:rPr>
          <w:rFonts w:ascii="SimSun" w:hAnsi="SimSun" w:eastAsia="SimSun" w:cs="SimSun"/>
          <w:sz w:val="21"/>
          <w:szCs w:val="21"/>
          <w:spacing w:val="-17"/>
        </w:rPr>
        <w:t>活动”。数字经济囊括了所有使用数字要素的经济活动参与</w:t>
      </w:r>
      <w:r>
        <w:rPr>
          <w:rFonts w:ascii="SimSun" w:hAnsi="SimSun" w:eastAsia="SimSun" w:cs="SimSun"/>
          <w:sz w:val="21"/>
          <w:szCs w:val="21"/>
          <w:spacing w:val="-18"/>
        </w:rPr>
        <w:t>者，包括生</w:t>
      </w:r>
      <w:r>
        <w:rPr>
          <w:rFonts w:ascii="SimSun" w:hAnsi="SimSun" w:eastAsia="SimSun" w:cs="SimSun"/>
          <w:sz w:val="21"/>
          <w:szCs w:val="21"/>
        </w:rPr>
        <w:t xml:space="preserve"> </w:t>
      </w:r>
      <w:r>
        <w:rPr>
          <w:rFonts w:ascii="SimSun" w:hAnsi="SimSun" w:eastAsia="SimSun" w:cs="SimSun"/>
          <w:sz w:val="21"/>
          <w:szCs w:val="21"/>
          <w:spacing w:val="-11"/>
        </w:rPr>
        <w:t>产者、消费者以及政府部门。数字经济的度量分为四个逐步扩大的层</w:t>
      </w:r>
      <w:r>
        <w:rPr>
          <w:rFonts w:ascii="SimSun" w:hAnsi="SimSun" w:eastAsia="SimSun" w:cs="SimSun"/>
          <w:sz w:val="21"/>
          <w:szCs w:val="21"/>
          <w:spacing w:val="10"/>
        </w:rPr>
        <w:t xml:space="preserve"> </w:t>
      </w:r>
      <w:r>
        <w:rPr>
          <w:rFonts w:ascii="SimSun" w:hAnsi="SimSun" w:eastAsia="SimSun" w:cs="SimSun"/>
          <w:sz w:val="21"/>
          <w:szCs w:val="21"/>
          <w:spacing w:val="-11"/>
        </w:rPr>
        <w:t>次：核心度量、狭义度量、广义度量以及数字社会。数字经济的核心</w:t>
      </w:r>
      <w:r>
        <w:rPr>
          <w:rFonts w:ascii="SimSun" w:hAnsi="SimSun" w:eastAsia="SimSun" w:cs="SimSun"/>
          <w:sz w:val="21"/>
          <w:szCs w:val="21"/>
          <w:spacing w:val="12"/>
        </w:rPr>
        <w:t xml:space="preserve"> </w:t>
      </w:r>
      <w:r>
        <w:rPr>
          <w:rFonts w:ascii="SimSun" w:hAnsi="SimSun" w:eastAsia="SimSun" w:cs="SimSun"/>
          <w:sz w:val="21"/>
          <w:szCs w:val="21"/>
          <w:spacing w:val="-9"/>
        </w:rPr>
        <w:t>度量仅仅考虑数字内容的生产、</w:t>
      </w:r>
      <w:r>
        <w:rPr>
          <w:rFonts w:ascii="Times New Roman" w:hAnsi="Times New Roman" w:eastAsia="Times New Roman" w:cs="Times New Roman"/>
          <w:sz w:val="21"/>
          <w:szCs w:val="21"/>
          <w:spacing w:val="-9"/>
        </w:rPr>
        <w:t>ICT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9"/>
        </w:rPr>
        <w:t>产品与服务。数字经济的狭义度</w:t>
      </w:r>
      <w:r>
        <w:rPr>
          <w:rFonts w:ascii="SimSun" w:hAnsi="SimSun" w:eastAsia="SimSun" w:cs="SimSun"/>
          <w:sz w:val="21"/>
          <w:szCs w:val="21"/>
        </w:rPr>
        <w:t xml:space="preserve"> </w:t>
      </w:r>
      <w:r>
        <w:rPr>
          <w:rFonts w:ascii="SimSun" w:hAnsi="SimSun" w:eastAsia="SimSun" w:cs="SimSun"/>
          <w:sz w:val="21"/>
          <w:szCs w:val="21"/>
          <w:spacing w:val="-11"/>
        </w:rPr>
        <w:t>量不仅包含核心度量的经济行为，而且增加了以数字作为生产要素的</w:t>
      </w:r>
      <w:r>
        <w:rPr>
          <w:rFonts w:ascii="SimSun" w:hAnsi="SimSun" w:eastAsia="SimSun" w:cs="SimSun"/>
          <w:sz w:val="21"/>
          <w:szCs w:val="21"/>
          <w:spacing w:val="14"/>
        </w:rPr>
        <w:t xml:space="preserve"> </w:t>
      </w:r>
      <w:r>
        <w:rPr>
          <w:rFonts w:ascii="SimSun" w:hAnsi="SimSun" w:eastAsia="SimSun" w:cs="SimSun"/>
          <w:sz w:val="21"/>
          <w:szCs w:val="21"/>
          <w:spacing w:val="-11"/>
        </w:rPr>
        <w:t>企业经济活动。数字经济的广义度量则进一步将借助于数字要素的经</w:t>
      </w:r>
      <w:r>
        <w:rPr>
          <w:rFonts w:ascii="SimSun" w:hAnsi="SimSun" w:eastAsia="SimSun" w:cs="SimSun"/>
          <w:sz w:val="21"/>
          <w:szCs w:val="21"/>
          <w:spacing w:val="7"/>
        </w:rPr>
        <w:t xml:space="preserve"> </w:t>
      </w:r>
      <w:r>
        <w:rPr>
          <w:rFonts w:ascii="SimSun" w:hAnsi="SimSun" w:eastAsia="SimSun" w:cs="SimSun"/>
          <w:sz w:val="21"/>
          <w:szCs w:val="21"/>
          <w:spacing w:val="-11"/>
        </w:rPr>
        <w:t>济活动也纳入其中。数字经济更一般性的定义——数字社会则包括所</w:t>
      </w:r>
      <w:r>
        <w:rPr>
          <w:rFonts w:ascii="SimSun" w:hAnsi="SimSun" w:eastAsia="SimSun" w:cs="SimSun"/>
          <w:sz w:val="21"/>
          <w:szCs w:val="21"/>
          <w:spacing w:val="6"/>
        </w:rPr>
        <w:t xml:space="preserve"> </w:t>
      </w:r>
      <w:r>
        <w:rPr>
          <w:rFonts w:ascii="SimSun" w:hAnsi="SimSun" w:eastAsia="SimSun" w:cs="SimSun"/>
          <w:sz w:val="21"/>
          <w:szCs w:val="21"/>
          <w:spacing w:val="-15"/>
        </w:rPr>
        <w:t>有与数字化相关的活动，比如数字化互动与行为、数字化投递等等。</w:t>
      </w:r>
    </w:p>
    <w:p>
      <w:pPr>
        <w:ind w:right="12" w:firstLine="469"/>
        <w:spacing w:before="126" w:line="301" w:lineRule="auto"/>
        <w:jc w:val="both"/>
        <w:rPr>
          <w:rFonts w:ascii="SimSun" w:hAnsi="SimSun" w:eastAsia="SimSun" w:cs="SimSun"/>
          <w:sz w:val="21"/>
          <w:szCs w:val="21"/>
        </w:rPr>
      </w:pPr>
      <w:r>
        <w:rPr>
          <w:rFonts w:ascii="SimSun" w:hAnsi="SimSun" w:eastAsia="SimSun" w:cs="SimSun"/>
          <w:sz w:val="21"/>
          <w:szCs w:val="21"/>
          <w:spacing w:val="-11"/>
        </w:rPr>
        <w:t>通信技术和信息网络的广泛应用使“数字平台”每天都会产生海</w:t>
      </w:r>
      <w:r>
        <w:rPr>
          <w:rFonts w:ascii="SimSun" w:hAnsi="SimSun" w:eastAsia="SimSun" w:cs="SimSun"/>
          <w:sz w:val="21"/>
          <w:szCs w:val="21"/>
          <w:spacing w:val="15"/>
        </w:rPr>
        <w:t xml:space="preserve"> </w:t>
      </w:r>
      <w:r>
        <w:rPr>
          <w:rFonts w:ascii="SimSun" w:hAnsi="SimSun" w:eastAsia="SimSun" w:cs="SimSun"/>
          <w:sz w:val="21"/>
          <w:szCs w:val="21"/>
          <w:spacing w:val="-11"/>
        </w:rPr>
        <w:t>量的数据。这些原始数据自身可能是杂乱无章的，并不能够直接产生</w:t>
      </w:r>
      <w:r>
        <w:rPr>
          <w:rFonts w:ascii="SimSun" w:hAnsi="SimSun" w:eastAsia="SimSun" w:cs="SimSun"/>
          <w:sz w:val="21"/>
          <w:szCs w:val="21"/>
          <w:spacing w:val="4"/>
        </w:rPr>
        <w:t xml:space="preserve">  </w:t>
      </w:r>
      <w:r>
        <w:rPr>
          <w:rFonts w:ascii="SimSun" w:hAnsi="SimSun" w:eastAsia="SimSun" w:cs="SimSun"/>
          <w:sz w:val="21"/>
          <w:szCs w:val="21"/>
          <w:spacing w:val="-11"/>
        </w:rPr>
        <w:t>经济价值。数字或者数据资源要成为一种关键性的生产要素，需要经</w:t>
      </w:r>
      <w:r>
        <w:rPr>
          <w:rFonts w:ascii="SimSun" w:hAnsi="SimSun" w:eastAsia="SimSun" w:cs="SimSun"/>
          <w:sz w:val="21"/>
          <w:szCs w:val="21"/>
          <w:spacing w:val="3"/>
        </w:rPr>
        <w:t xml:space="preserve">  </w:t>
      </w:r>
      <w:r>
        <w:rPr>
          <w:rFonts w:ascii="SimSun" w:hAnsi="SimSun" w:eastAsia="SimSun" w:cs="SimSun"/>
          <w:sz w:val="21"/>
          <w:szCs w:val="21"/>
          <w:spacing w:val="-16"/>
        </w:rPr>
        <w:t>过系统的数据收集、存储、传输、处理与分析。“数</w:t>
      </w:r>
      <w:r>
        <w:rPr>
          <w:rFonts w:ascii="SimSun" w:hAnsi="SimSun" w:eastAsia="SimSun" w:cs="SimSun"/>
          <w:sz w:val="21"/>
          <w:szCs w:val="21"/>
          <w:spacing w:val="-17"/>
        </w:rPr>
        <w:t>据金字塔”的最底 </w:t>
      </w:r>
      <w:r>
        <w:rPr>
          <w:rFonts w:ascii="SimSun" w:hAnsi="SimSun" w:eastAsia="SimSun" w:cs="SimSun"/>
          <w:sz w:val="21"/>
          <w:szCs w:val="21"/>
          <w:spacing w:val="-11"/>
        </w:rPr>
        <w:t>层是原始数据的收集，比如数字平台记录用户浏览过的网页、各类应</w:t>
      </w:r>
      <w:r>
        <w:rPr>
          <w:rFonts w:ascii="SimSun" w:hAnsi="SimSun" w:eastAsia="SimSun" w:cs="SimSun"/>
          <w:sz w:val="21"/>
          <w:szCs w:val="21"/>
          <w:spacing w:val="3"/>
        </w:rPr>
        <w:t xml:space="preserve">  </w:t>
      </w:r>
      <w:r>
        <w:rPr>
          <w:rFonts w:ascii="SimSun" w:hAnsi="SimSun" w:eastAsia="SimSun" w:cs="SimSun"/>
          <w:sz w:val="21"/>
          <w:szCs w:val="21"/>
          <w:spacing w:val="-11"/>
        </w:rPr>
        <w:t>用程序后台记录的用户访问与使用产品和服务等各类数字足迹、各类</w:t>
      </w:r>
      <w:r>
        <w:rPr>
          <w:rFonts w:ascii="SimSun" w:hAnsi="SimSun" w:eastAsia="SimSun" w:cs="SimSun"/>
          <w:sz w:val="21"/>
          <w:szCs w:val="21"/>
          <w:spacing w:val="3"/>
        </w:rPr>
        <w:t xml:space="preserve">  </w:t>
      </w:r>
      <w:r>
        <w:rPr>
          <w:rFonts w:ascii="SimSun" w:hAnsi="SimSun" w:eastAsia="SimSun" w:cs="SimSun"/>
          <w:sz w:val="21"/>
          <w:szCs w:val="21"/>
          <w:spacing w:val="-14"/>
        </w:rPr>
        <w:t>平台记录的各类交易信息等等。基于原始数据可以初步分析4</w:t>
      </w:r>
      <w:r>
        <w:rPr>
          <w:rFonts w:ascii="Times New Roman" w:hAnsi="Times New Roman" w:eastAsia="Times New Roman" w:cs="Times New Roman"/>
          <w:sz w:val="21"/>
          <w:szCs w:val="21"/>
          <w:spacing w:val="-14"/>
        </w:rPr>
        <w:t>W——</w:t>
      </w:r>
      <w:r>
        <w:rPr>
          <w:rFonts w:ascii="SimSun" w:hAnsi="SimSun" w:eastAsia="SimSun" w:cs="SimSun"/>
          <w:sz w:val="21"/>
          <w:szCs w:val="21"/>
          <w:spacing w:val="-14"/>
        </w:rPr>
        <w:t>哪</w:t>
      </w:r>
      <w:r>
        <w:rPr>
          <w:rFonts w:ascii="SimSun" w:hAnsi="SimSun" w:eastAsia="SimSun" w:cs="SimSun"/>
          <w:sz w:val="21"/>
          <w:szCs w:val="21"/>
          <w:spacing w:val="2"/>
        </w:rPr>
        <w:t xml:space="preserve">  </w:t>
      </w:r>
      <w:r>
        <w:rPr>
          <w:rFonts w:ascii="SimSun" w:hAnsi="SimSun" w:eastAsia="SimSun" w:cs="SimSun"/>
          <w:sz w:val="21"/>
          <w:szCs w:val="21"/>
          <w:spacing w:val="3"/>
        </w:rPr>
        <w:t>些用户</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who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在什么时间</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when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、什么地点</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where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浏览/购买</w:t>
      </w:r>
      <w:r>
        <w:rPr>
          <w:rFonts w:ascii="SimSun" w:hAnsi="SimSun" w:eastAsia="SimSun" w:cs="SimSun"/>
          <w:sz w:val="21"/>
          <w:szCs w:val="21"/>
          <w:spacing w:val="2"/>
        </w:rPr>
        <w:t>/ </w:t>
      </w:r>
      <w:r>
        <w:rPr>
          <w:rFonts w:ascii="SimSun" w:hAnsi="SimSun" w:eastAsia="SimSun" w:cs="SimSun"/>
          <w:sz w:val="21"/>
          <w:szCs w:val="21"/>
          <w:spacing w:val="-1"/>
        </w:rPr>
        <w:t>使用哪些产品</w:t>
      </w:r>
      <w:r>
        <w:rPr>
          <w:rFonts w:ascii="Times New Roman" w:hAnsi="Times New Roman" w:eastAsia="Times New Roman" w:cs="Times New Roman"/>
          <w:sz w:val="21"/>
          <w:szCs w:val="21"/>
          <w:spacing w:val="-1"/>
        </w:rPr>
        <w:t>(what),   </w:t>
      </w:r>
      <w:r>
        <w:rPr>
          <w:rFonts w:ascii="SimSun" w:hAnsi="SimSun" w:eastAsia="SimSun" w:cs="SimSun"/>
          <w:sz w:val="21"/>
          <w:szCs w:val="21"/>
          <w:spacing w:val="-1"/>
        </w:rPr>
        <w:t>从而建立一些有用的信息。基于这些数据信</w:t>
      </w:r>
      <w:r>
        <w:rPr>
          <w:rFonts w:ascii="SimSun" w:hAnsi="SimSun" w:eastAsia="SimSun" w:cs="SimSun"/>
          <w:sz w:val="21"/>
          <w:szCs w:val="21"/>
          <w:spacing w:val="5"/>
        </w:rPr>
        <w:t xml:space="preserve">  </w:t>
      </w:r>
      <w:r>
        <w:rPr>
          <w:rFonts w:ascii="SimSun" w:hAnsi="SimSun" w:eastAsia="SimSun" w:cs="SimSun"/>
          <w:sz w:val="21"/>
          <w:szCs w:val="21"/>
          <w:spacing w:val="-5"/>
        </w:rPr>
        <w:t>息，进一步分析用户行为，回答第五个W——为什么(why),</w:t>
      </w:r>
      <w:r>
        <w:rPr>
          <w:rFonts w:ascii="SimSun" w:hAnsi="SimSun" w:eastAsia="SimSun" w:cs="SimSun"/>
          <w:sz w:val="21"/>
          <w:szCs w:val="21"/>
          <w:spacing w:val="64"/>
        </w:rPr>
        <w:t xml:space="preserve"> </w:t>
      </w:r>
      <w:r>
        <w:rPr>
          <w:rFonts w:ascii="SimSun" w:hAnsi="SimSun" w:eastAsia="SimSun" w:cs="SimSun"/>
          <w:sz w:val="21"/>
          <w:szCs w:val="21"/>
          <w:spacing w:val="-5"/>
        </w:rPr>
        <w:t>形成关 </w:t>
      </w:r>
      <w:r>
        <w:rPr>
          <w:rFonts w:ascii="SimSun" w:hAnsi="SimSun" w:eastAsia="SimSun" w:cs="SimSun"/>
          <w:sz w:val="21"/>
          <w:szCs w:val="21"/>
          <w:spacing w:val="-10"/>
        </w:rPr>
        <w:t>于这些信息的相关知识，比如什么特征的用</w:t>
      </w:r>
      <w:r>
        <w:rPr>
          <w:rFonts w:ascii="SimSun" w:hAnsi="SimSun" w:eastAsia="SimSun" w:cs="SimSun"/>
          <w:sz w:val="21"/>
          <w:szCs w:val="21"/>
          <w:spacing w:val="-11"/>
        </w:rPr>
        <w:t>户在什么时间对哪些产品</w:t>
      </w:r>
      <w:r>
        <w:rPr>
          <w:rFonts w:ascii="SimSun" w:hAnsi="SimSun" w:eastAsia="SimSun" w:cs="SimSun"/>
          <w:sz w:val="21"/>
          <w:szCs w:val="21"/>
        </w:rPr>
        <w:t xml:space="preserve"> </w:t>
      </w:r>
      <w:r>
        <w:rPr>
          <w:rFonts w:ascii="SimSun" w:hAnsi="SimSun" w:eastAsia="SimSun" w:cs="SimSun"/>
          <w:sz w:val="21"/>
          <w:szCs w:val="21"/>
          <w:spacing w:val="-20"/>
        </w:rPr>
        <w:t>价格更敏感等。“数据金字塔”最顶端是高水平知识和解决</w:t>
      </w:r>
      <w:r>
        <w:rPr>
          <w:rFonts w:ascii="SimSun" w:hAnsi="SimSun" w:eastAsia="SimSun" w:cs="SimSun"/>
          <w:sz w:val="21"/>
          <w:szCs w:val="21"/>
          <w:spacing w:val="-21"/>
        </w:rPr>
        <w:t>问题的能力，</w:t>
      </w:r>
      <w:r>
        <w:rPr>
          <w:rFonts w:ascii="SimSun" w:hAnsi="SimSun" w:eastAsia="SimSun" w:cs="SimSun"/>
          <w:sz w:val="21"/>
          <w:szCs w:val="21"/>
        </w:rPr>
        <w:t xml:space="preserve"> </w:t>
      </w:r>
      <w:r>
        <w:rPr>
          <w:rFonts w:ascii="SimSun" w:hAnsi="SimSun" w:eastAsia="SimSun" w:cs="SimSun"/>
          <w:sz w:val="21"/>
          <w:szCs w:val="21"/>
          <w:spacing w:val="-11"/>
        </w:rPr>
        <w:t>或者称为智慧，比如数字平台如何设定最优产品价格、最优广告投放</w:t>
      </w:r>
      <w:r>
        <w:rPr>
          <w:rFonts w:ascii="SimSun" w:hAnsi="SimSun" w:eastAsia="SimSun" w:cs="SimSun"/>
          <w:sz w:val="21"/>
          <w:szCs w:val="21"/>
          <w:spacing w:val="3"/>
        </w:rPr>
        <w:t xml:space="preserve">  </w:t>
      </w:r>
      <w:r>
        <w:rPr>
          <w:rFonts w:ascii="SimSun" w:hAnsi="SimSun" w:eastAsia="SimSun" w:cs="SimSun"/>
          <w:sz w:val="21"/>
          <w:szCs w:val="21"/>
          <w:spacing w:val="-14"/>
        </w:rPr>
        <w:t>方式，企业如何根据数据资源决定最优生产与经营决策，等等。</w:t>
      </w:r>
    </w:p>
    <w:p>
      <w:pPr>
        <w:ind w:firstLine="490"/>
        <w:spacing w:before="229" w:line="292" w:lineRule="auto"/>
        <w:rPr>
          <w:rFonts w:ascii="SimSun" w:hAnsi="SimSun" w:eastAsia="SimSun" w:cs="SimSun"/>
          <w:sz w:val="21"/>
          <w:szCs w:val="21"/>
        </w:rPr>
      </w:pPr>
      <w:r>
        <w:rPr>
          <w:rFonts w:ascii="SimSun" w:hAnsi="SimSun" w:eastAsia="SimSun" w:cs="SimSun"/>
          <w:sz w:val="21"/>
          <w:szCs w:val="21"/>
          <w:spacing w:val="-3"/>
        </w:rPr>
        <w:t>数字经济涉及数字科技的投资与使用，有可能促进经济增长和</w:t>
      </w:r>
      <w:r>
        <w:rPr>
          <w:rFonts w:ascii="SimSun" w:hAnsi="SimSun" w:eastAsia="SimSun" w:cs="SimSun"/>
          <w:sz w:val="21"/>
          <w:szCs w:val="21"/>
          <w:spacing w:val="7"/>
        </w:rPr>
        <w:t xml:space="preserve"> </w:t>
      </w:r>
      <w:r>
        <w:rPr>
          <w:rFonts w:ascii="SimSun" w:hAnsi="SimSun" w:eastAsia="SimSun" w:cs="SimSun"/>
          <w:sz w:val="21"/>
          <w:szCs w:val="21"/>
          <w:spacing w:val="-7"/>
        </w:rPr>
        <w:t>全要素生产率的提高。数字经济影响实体经济的途</w:t>
      </w:r>
      <w:r>
        <w:rPr>
          <w:rFonts w:ascii="SimSun" w:hAnsi="SimSun" w:eastAsia="SimSun" w:cs="SimSun"/>
          <w:sz w:val="21"/>
          <w:szCs w:val="21"/>
          <w:spacing w:val="-8"/>
        </w:rPr>
        <w:t>径有哪些呢?一般</w:t>
      </w:r>
      <w:r>
        <w:rPr>
          <w:rFonts w:ascii="SimSun" w:hAnsi="SimSun" w:eastAsia="SimSun" w:cs="SimSun"/>
          <w:sz w:val="21"/>
          <w:szCs w:val="21"/>
        </w:rPr>
        <w:t xml:space="preserve">  </w:t>
      </w:r>
      <w:r>
        <w:rPr>
          <w:rFonts w:ascii="SimSun" w:hAnsi="SimSun" w:eastAsia="SimSun" w:cs="SimSun"/>
          <w:sz w:val="21"/>
          <w:szCs w:val="21"/>
          <w:spacing w:val="-11"/>
        </w:rPr>
        <w:t>而言，数字经济在降低搜寻成本、复制成本、运输成本、追踪成本和</w:t>
      </w:r>
      <w:r>
        <w:rPr>
          <w:rFonts w:ascii="SimSun" w:hAnsi="SimSun" w:eastAsia="SimSun" w:cs="SimSun"/>
          <w:sz w:val="21"/>
          <w:szCs w:val="21"/>
          <w:spacing w:val="7"/>
        </w:rPr>
        <w:t xml:space="preserve">  </w:t>
      </w:r>
      <w:r>
        <w:rPr>
          <w:rFonts w:ascii="SimSun" w:hAnsi="SimSun" w:eastAsia="SimSun" w:cs="SimSun"/>
          <w:sz w:val="21"/>
          <w:szCs w:val="21"/>
          <w:spacing w:val="-11"/>
        </w:rPr>
        <w:t>验证成本等方面起到了重要作用，从而促进了经济增长和生产率的提</w:t>
      </w:r>
    </w:p>
    <w:p>
      <w:pPr>
        <w:spacing w:line="292" w:lineRule="auto"/>
        <w:sectPr>
          <w:headerReference w:type="default" r:id="rId84"/>
          <w:pgSz w:w="7330" w:h="12480"/>
          <w:pgMar w:top="549" w:right="432" w:bottom="400" w:left="809" w:header="375" w:footer="0" w:gutter="0"/>
        </w:sectPr>
        <w:rPr>
          <w:rFonts w:ascii="SimSun" w:hAnsi="SimSun" w:eastAsia="SimSun" w:cs="SimSun"/>
          <w:sz w:val="21"/>
          <w:szCs w:val="21"/>
        </w:rPr>
      </w:pP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spacing w:before="61" w:line="350" w:lineRule="auto"/>
        <w:jc w:val="both"/>
        <w:rPr>
          <w:rFonts w:ascii="SimSun" w:hAnsi="SimSun" w:eastAsia="SimSun" w:cs="SimSun"/>
          <w:sz w:val="19"/>
          <w:szCs w:val="19"/>
        </w:rPr>
      </w:pPr>
      <w:r>
        <w:rPr>
          <w:rFonts w:ascii="SimSun" w:hAnsi="SimSun" w:eastAsia="SimSun" w:cs="SimSun"/>
          <w:sz w:val="19"/>
          <w:szCs w:val="19"/>
          <w:spacing w:val="9"/>
        </w:rPr>
        <w:t>高。搜寻成本通常是指交易双方寻找交易对象的成本，比如电子商务  </w:t>
      </w:r>
      <w:r>
        <w:rPr>
          <w:rFonts w:ascii="SimSun" w:hAnsi="SimSun" w:eastAsia="SimSun" w:cs="SimSun"/>
          <w:sz w:val="19"/>
          <w:szCs w:val="19"/>
          <w:spacing w:val="10"/>
        </w:rPr>
        <w:t>的兴起降低了买家寻找卖家以及卖家寻找客</w:t>
      </w:r>
      <w:r>
        <w:rPr>
          <w:rFonts w:ascii="SimSun" w:hAnsi="SimSun" w:eastAsia="SimSun" w:cs="SimSun"/>
          <w:sz w:val="19"/>
          <w:szCs w:val="19"/>
          <w:spacing w:val="9"/>
        </w:rPr>
        <w:t>户的成本，以大数据为基 </w:t>
      </w:r>
      <w:r>
        <w:rPr>
          <w:rFonts w:ascii="SimSun" w:hAnsi="SimSun" w:eastAsia="SimSun" w:cs="SimSun"/>
          <w:sz w:val="19"/>
          <w:szCs w:val="19"/>
          <w:spacing w:val="10"/>
        </w:rPr>
        <w:t>础的深度分析与云计算提升了企业产品精准服务</w:t>
      </w:r>
      <w:r>
        <w:rPr>
          <w:rFonts w:ascii="SimSun" w:hAnsi="SimSun" w:eastAsia="SimSun" w:cs="SimSun"/>
          <w:sz w:val="19"/>
          <w:szCs w:val="19"/>
          <w:spacing w:val="9"/>
        </w:rPr>
        <w:t>定位。复制成本是指</w:t>
      </w:r>
      <w:r>
        <w:rPr>
          <w:rFonts w:ascii="SimSun" w:hAnsi="SimSun" w:eastAsia="SimSun" w:cs="SimSun"/>
          <w:sz w:val="19"/>
          <w:szCs w:val="19"/>
        </w:rPr>
        <w:t xml:space="preserve">  </w:t>
      </w:r>
      <w:r>
        <w:rPr>
          <w:rFonts w:ascii="SimSun" w:hAnsi="SimSun" w:eastAsia="SimSun" w:cs="SimSun"/>
          <w:sz w:val="19"/>
          <w:szCs w:val="19"/>
          <w:spacing w:val="9"/>
        </w:rPr>
        <w:t>数字信息容易被复制、被广泛传播，比如社交平台发布的信息在一些  </w:t>
      </w:r>
      <w:r>
        <w:rPr>
          <w:rFonts w:ascii="SimSun" w:hAnsi="SimSun" w:eastAsia="SimSun" w:cs="SimSun"/>
          <w:sz w:val="19"/>
          <w:szCs w:val="19"/>
          <w:spacing w:val="16"/>
        </w:rPr>
        <w:t>场景下很容易被广泛传播。较低的复制成本也有利于知识的广泛传</w:t>
      </w:r>
      <w:r>
        <w:rPr>
          <w:rFonts w:ascii="SimSun" w:hAnsi="SimSun" w:eastAsia="SimSun" w:cs="SimSun"/>
          <w:sz w:val="19"/>
          <w:szCs w:val="19"/>
          <w:spacing w:val="7"/>
        </w:rPr>
        <w:t xml:space="preserve">  </w:t>
      </w:r>
      <w:r>
        <w:rPr>
          <w:rFonts w:ascii="SimSun" w:hAnsi="SimSun" w:eastAsia="SimSun" w:cs="SimSun"/>
          <w:sz w:val="19"/>
          <w:szCs w:val="19"/>
          <w:spacing w:val="9"/>
        </w:rPr>
        <w:t>播，促进社会人力资本的提升和生产技术的快速扩散。数字经济也会</w:t>
      </w:r>
      <w:r>
        <w:rPr>
          <w:rFonts w:ascii="SimSun" w:hAnsi="SimSun" w:eastAsia="SimSun" w:cs="SimSun"/>
          <w:sz w:val="19"/>
          <w:szCs w:val="19"/>
          <w:spacing w:val="8"/>
        </w:rPr>
        <w:t xml:space="preserve">  </w:t>
      </w:r>
      <w:r>
        <w:rPr>
          <w:rFonts w:ascii="SimSun" w:hAnsi="SimSun" w:eastAsia="SimSun" w:cs="SimSun"/>
          <w:sz w:val="19"/>
          <w:szCs w:val="19"/>
          <w:spacing w:val="13"/>
        </w:rPr>
        <w:t>降低运输成本，比如</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13"/>
        </w:rPr>
        <w:t>的使用，降低了交通、仓储、批发、零售、</w:t>
      </w:r>
      <w:r>
        <w:rPr>
          <w:rFonts w:ascii="SimSun" w:hAnsi="SimSun" w:eastAsia="SimSun" w:cs="SimSun"/>
          <w:sz w:val="19"/>
          <w:szCs w:val="19"/>
        </w:rPr>
        <w:t xml:space="preserve"> </w:t>
      </w:r>
      <w:r>
        <w:rPr>
          <w:rFonts w:ascii="SimSun" w:hAnsi="SimSun" w:eastAsia="SimSun" w:cs="SimSun"/>
          <w:sz w:val="19"/>
          <w:szCs w:val="19"/>
          <w:spacing w:val="9"/>
        </w:rPr>
        <w:t>通信、邮政等行业的运营成本，提升了行业生产效率，使万物互联成</w:t>
      </w:r>
      <w:r>
        <w:rPr>
          <w:rFonts w:ascii="SimSun" w:hAnsi="SimSun" w:eastAsia="SimSun" w:cs="SimSun"/>
          <w:sz w:val="19"/>
          <w:szCs w:val="19"/>
          <w:spacing w:val="8"/>
        </w:rPr>
        <w:t xml:space="preserve">  </w:t>
      </w:r>
      <w:r>
        <w:rPr>
          <w:rFonts w:ascii="SimSun" w:hAnsi="SimSun" w:eastAsia="SimSun" w:cs="SimSun"/>
          <w:sz w:val="19"/>
          <w:szCs w:val="19"/>
          <w:spacing w:val="9"/>
        </w:rPr>
        <w:t>为可能。数字科技的发展使得经济、社会活动留下的数字足迹追踪成  </w:t>
      </w:r>
      <w:r>
        <w:rPr>
          <w:rFonts w:ascii="SimSun" w:hAnsi="SimSun" w:eastAsia="SimSun" w:cs="SimSun"/>
          <w:sz w:val="19"/>
          <w:szCs w:val="19"/>
          <w:spacing w:val="10"/>
        </w:rPr>
        <w:t>为可能，比如物流追踪、第三方支付、大数</w:t>
      </w:r>
      <w:r>
        <w:rPr>
          <w:rFonts w:ascii="SimSun" w:hAnsi="SimSun" w:eastAsia="SimSun" w:cs="SimSun"/>
          <w:sz w:val="19"/>
          <w:szCs w:val="19"/>
          <w:spacing w:val="9"/>
        </w:rPr>
        <w:t>据信贷、产品精准定价和 </w:t>
      </w:r>
      <w:r>
        <w:rPr>
          <w:rFonts w:ascii="SimSun" w:hAnsi="SimSun" w:eastAsia="SimSun" w:cs="SimSun"/>
          <w:sz w:val="19"/>
          <w:szCs w:val="19"/>
          <w:spacing w:val="10"/>
        </w:rPr>
        <w:t>广告精准投放等。当追踪成本降低时，企业</w:t>
      </w:r>
      <w:r>
        <w:rPr>
          <w:rFonts w:ascii="SimSun" w:hAnsi="SimSun" w:eastAsia="SimSun" w:cs="SimSun"/>
          <w:sz w:val="19"/>
          <w:szCs w:val="19"/>
          <w:spacing w:val="9"/>
        </w:rPr>
        <w:t>面临的交易成本、交易风 </w:t>
      </w:r>
      <w:r>
        <w:rPr>
          <w:rFonts w:ascii="SimSun" w:hAnsi="SimSun" w:eastAsia="SimSun" w:cs="SimSun"/>
          <w:sz w:val="19"/>
          <w:szCs w:val="19"/>
          <w:spacing w:val="9"/>
        </w:rPr>
        <w:t>险有可能下降，从而使企业可以更好地规划生产经营活动，提升企业</w:t>
      </w:r>
      <w:r>
        <w:rPr>
          <w:rFonts w:ascii="SimSun" w:hAnsi="SimSun" w:eastAsia="SimSun" w:cs="SimSun"/>
          <w:sz w:val="19"/>
          <w:szCs w:val="19"/>
          <w:spacing w:val="7"/>
        </w:rPr>
        <w:t xml:space="preserve">  </w:t>
      </w:r>
      <w:r>
        <w:rPr>
          <w:rFonts w:ascii="SimSun" w:hAnsi="SimSun" w:eastAsia="SimSun" w:cs="SimSun"/>
          <w:sz w:val="19"/>
          <w:szCs w:val="19"/>
          <w:spacing w:val="9"/>
        </w:rPr>
        <w:t>生产经营效率。数字科技的发展也降低了验证成本。身份验证成本降  </w:t>
      </w:r>
      <w:r>
        <w:rPr>
          <w:rFonts w:ascii="SimSun" w:hAnsi="SimSun" w:eastAsia="SimSun" w:cs="SimSun"/>
          <w:sz w:val="19"/>
          <w:szCs w:val="19"/>
          <w:spacing w:val="10"/>
        </w:rPr>
        <w:t>低使信用在交易中发挥重要作用，降低了交</w:t>
      </w:r>
      <w:r>
        <w:rPr>
          <w:rFonts w:ascii="SimSun" w:hAnsi="SimSun" w:eastAsia="SimSun" w:cs="SimSun"/>
          <w:sz w:val="19"/>
          <w:szCs w:val="19"/>
          <w:spacing w:val="9"/>
        </w:rPr>
        <w:t>易风险和成本，比如金融</w:t>
      </w:r>
      <w:r>
        <w:rPr>
          <w:rFonts w:ascii="SimSun" w:hAnsi="SimSun" w:eastAsia="SimSun" w:cs="SimSun"/>
          <w:sz w:val="19"/>
          <w:szCs w:val="19"/>
        </w:rPr>
        <w:t xml:space="preserve">  </w:t>
      </w:r>
      <w:r>
        <w:rPr>
          <w:rFonts w:ascii="SimSun" w:hAnsi="SimSun" w:eastAsia="SimSun" w:cs="SimSun"/>
          <w:sz w:val="19"/>
          <w:szCs w:val="19"/>
          <w:spacing w:val="10"/>
        </w:rPr>
        <w:t>科技催生的数字支付广泛使用使匿名交易效率显著提升，从而提升了</w:t>
      </w:r>
    </w:p>
    <w:p>
      <w:pPr>
        <w:spacing w:line="219" w:lineRule="auto"/>
        <w:rPr>
          <w:rFonts w:ascii="SimSun" w:hAnsi="SimSun" w:eastAsia="SimSun" w:cs="SimSun"/>
          <w:sz w:val="19"/>
          <w:szCs w:val="19"/>
        </w:rPr>
      </w:pPr>
      <w:r>
        <w:rPr>
          <w:rFonts w:ascii="SimSun" w:hAnsi="SimSun" w:eastAsia="SimSun" w:cs="SimSun"/>
          <w:sz w:val="19"/>
          <w:szCs w:val="19"/>
          <w:spacing w:val="5"/>
        </w:rPr>
        <w:t>金融市场的效率。</w:t>
      </w:r>
    </w:p>
    <w:p>
      <w:pPr>
        <w:ind w:right="66" w:firstLine="420"/>
        <w:spacing w:before="122" w:line="360" w:lineRule="auto"/>
        <w:jc w:val="both"/>
        <w:rPr>
          <w:rFonts w:ascii="SimSun" w:hAnsi="SimSun" w:eastAsia="SimSun" w:cs="SimSun"/>
          <w:sz w:val="19"/>
          <w:szCs w:val="19"/>
        </w:rPr>
      </w:pPr>
      <w:r>
        <w:rPr>
          <w:rFonts w:ascii="SimSun" w:hAnsi="SimSun" w:eastAsia="SimSun" w:cs="SimSun"/>
          <w:sz w:val="19"/>
          <w:szCs w:val="19"/>
          <w:spacing w:val="17"/>
        </w:rPr>
        <w:t>需要指出的是，数字科技影响经济社会活动的途径可能是</w:t>
      </w:r>
      <w:r>
        <w:rPr>
          <w:rFonts w:ascii="SimSun" w:hAnsi="SimSun" w:eastAsia="SimSun" w:cs="SimSun"/>
          <w:sz w:val="19"/>
          <w:szCs w:val="19"/>
          <w:spacing w:val="16"/>
        </w:rPr>
        <w:t>多重</w:t>
      </w:r>
      <w:r>
        <w:rPr>
          <w:rFonts w:ascii="SimSun" w:hAnsi="SimSun" w:eastAsia="SimSun" w:cs="SimSun"/>
          <w:sz w:val="19"/>
          <w:szCs w:val="19"/>
        </w:rPr>
        <w:t xml:space="preserve"> </w:t>
      </w:r>
      <w:r>
        <w:rPr>
          <w:rFonts w:ascii="SimSun" w:hAnsi="SimSun" w:eastAsia="SimSun" w:cs="SimSun"/>
          <w:sz w:val="19"/>
          <w:szCs w:val="19"/>
          <w:spacing w:val="9"/>
        </w:rPr>
        <w:t>的，这些渠道有可能相互影响、相互作用。本章将简要梳理现有数字</w:t>
      </w:r>
    </w:p>
    <w:p>
      <w:pPr>
        <w:spacing w:line="218" w:lineRule="auto"/>
        <w:rPr>
          <w:rFonts w:ascii="SimSun" w:hAnsi="SimSun" w:eastAsia="SimSun" w:cs="SimSun"/>
          <w:sz w:val="19"/>
          <w:szCs w:val="19"/>
        </w:rPr>
      </w:pPr>
      <w:r>
        <w:rPr>
          <w:rFonts w:ascii="SimSun" w:hAnsi="SimSun" w:eastAsia="SimSun" w:cs="SimSun"/>
          <w:sz w:val="19"/>
          <w:szCs w:val="19"/>
          <w:spacing w:val="9"/>
        </w:rPr>
        <w:t>经济的相关研究，分析数字经济对经济增长</w:t>
      </w:r>
      <w:r>
        <w:rPr>
          <w:rFonts w:ascii="SimSun" w:hAnsi="SimSun" w:eastAsia="SimSun" w:cs="SimSun"/>
          <w:sz w:val="19"/>
          <w:szCs w:val="19"/>
          <w:spacing w:val="8"/>
        </w:rPr>
        <w:t>和经济发展的影响。</w:t>
      </w:r>
    </w:p>
    <w:p>
      <w:pPr>
        <w:ind w:firstLine="420"/>
        <w:spacing w:before="126" w:line="349" w:lineRule="auto"/>
        <w:jc w:val="both"/>
        <w:rPr>
          <w:rFonts w:ascii="SimSun" w:hAnsi="SimSun" w:eastAsia="SimSun" w:cs="SimSun"/>
          <w:sz w:val="19"/>
          <w:szCs w:val="19"/>
        </w:rPr>
      </w:pPr>
      <w:r>
        <w:rPr>
          <w:rFonts w:ascii="SimSun" w:hAnsi="SimSun" w:eastAsia="SimSun" w:cs="SimSun"/>
          <w:sz w:val="19"/>
          <w:szCs w:val="19"/>
          <w:spacing w:val="12"/>
        </w:rPr>
        <w:t>数字经济的核心是</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8"/>
          <w:w w:val="101"/>
        </w:rPr>
        <w:t xml:space="preserve"> </w:t>
      </w:r>
      <w:r>
        <w:rPr>
          <w:rFonts w:ascii="SimSun" w:hAnsi="SimSun" w:eastAsia="SimSun" w:cs="SimSun"/>
          <w:sz w:val="19"/>
          <w:szCs w:val="19"/>
          <w:spacing w:val="12"/>
        </w:rPr>
        <w:t>的发展及其带来的影响。现有研究发现，</w:t>
      </w:r>
      <w:r>
        <w:rPr>
          <w:rFonts w:ascii="SimSun" w:hAnsi="SimSun" w:eastAsia="SimSun" w:cs="SimSun"/>
          <w:sz w:val="19"/>
          <w:szCs w:val="19"/>
        </w:rPr>
        <w:t xml:space="preserve"> </w:t>
      </w:r>
      <w:r>
        <w:rPr>
          <w:rFonts w:ascii="SimSun" w:hAnsi="SimSun" w:eastAsia="SimSun" w:cs="SimSun"/>
          <w:sz w:val="19"/>
          <w:szCs w:val="19"/>
          <w:spacing w:val="9"/>
        </w:rPr>
        <w:t>中国信息化进程对拉动经济增长有促进作用，互联网促进了中国经济  </w:t>
      </w:r>
      <w:r>
        <w:rPr>
          <w:rFonts w:ascii="SimSun" w:hAnsi="SimSun" w:eastAsia="SimSun" w:cs="SimSun"/>
          <w:sz w:val="19"/>
          <w:szCs w:val="19"/>
          <w:spacing w:val="10"/>
        </w:rPr>
        <w:t>高质量发展，这些促进作用存在着空间溢出效应。①</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4"/>
        </w:rPr>
        <w:t xml:space="preserve"> </w:t>
      </w:r>
      <w:r>
        <w:rPr>
          <w:rFonts w:ascii="SimSun" w:hAnsi="SimSun" w:eastAsia="SimSun" w:cs="SimSun"/>
          <w:sz w:val="19"/>
          <w:szCs w:val="19"/>
          <w:spacing w:val="10"/>
        </w:rPr>
        <w:t>对经济增长</w:t>
      </w:r>
    </w:p>
    <w:p>
      <w:pPr>
        <w:spacing w:line="217" w:lineRule="auto"/>
        <w:rPr>
          <w:rFonts w:ascii="SimSun" w:hAnsi="SimSun" w:eastAsia="SimSun" w:cs="SimSun"/>
          <w:sz w:val="19"/>
          <w:szCs w:val="19"/>
        </w:rPr>
      </w:pPr>
      <w:r>
        <w:rPr>
          <w:rFonts w:ascii="SimSun" w:hAnsi="SimSun" w:eastAsia="SimSun" w:cs="SimSun"/>
          <w:sz w:val="19"/>
          <w:szCs w:val="19"/>
          <w:spacing w:val="9"/>
        </w:rPr>
        <w:t>的影响可以分为替代效应和渗透效应。②替代效应指由技术进步导致</w:t>
      </w:r>
    </w:p>
    <w:p>
      <w:pPr>
        <w:ind w:right="45"/>
        <w:spacing w:before="266" w:line="292" w:lineRule="auto"/>
        <w:jc w:val="right"/>
        <w:rPr>
          <w:rFonts w:ascii="KaiTi" w:hAnsi="KaiTi" w:eastAsia="KaiTi" w:cs="KaiTi"/>
          <w:sz w:val="14"/>
          <w:szCs w:val="14"/>
        </w:rPr>
      </w:pPr>
      <w:r>
        <w:rPr>
          <w:rFonts w:ascii="KaiTi" w:hAnsi="KaiTi" w:eastAsia="KaiTi" w:cs="KaiTi"/>
          <w:sz w:val="19"/>
          <w:szCs w:val="19"/>
          <w:spacing w:val="-7"/>
        </w:rPr>
        <w:t>①</w:t>
      </w:r>
      <w:r>
        <w:rPr>
          <w:rFonts w:ascii="KaiTi" w:hAnsi="KaiTi" w:eastAsia="KaiTi" w:cs="KaiTi"/>
          <w:sz w:val="19"/>
          <w:szCs w:val="19"/>
          <w:spacing w:val="22"/>
        </w:rPr>
        <w:t xml:space="preserve"> </w:t>
      </w:r>
      <w:r>
        <w:rPr>
          <w:rFonts w:ascii="KaiTi" w:hAnsi="KaiTi" w:eastAsia="KaiTi" w:cs="KaiTi"/>
          <w:sz w:val="19"/>
          <w:szCs w:val="19"/>
          <w:spacing w:val="-7"/>
        </w:rPr>
        <w:t>徐瑾.地区信息化对经济增长的影响分析</w:t>
      </w:r>
      <w:r>
        <w:rPr>
          <w:rFonts w:ascii="KaiTi" w:hAnsi="KaiTi" w:eastAsia="KaiTi" w:cs="KaiTi"/>
          <w:sz w:val="19"/>
          <w:szCs w:val="19"/>
          <w:spacing w:val="-8"/>
        </w:rPr>
        <w:t>，统计研究，2010,27(5):7</w:t>
      </w:r>
      <w:r>
        <w:rPr>
          <w:rFonts w:ascii="Times New Roman" w:hAnsi="Times New Roman" w:eastAsia="Times New Roman" w:cs="Times New Roman"/>
          <w:sz w:val="19"/>
          <w:szCs w:val="19"/>
          <w:spacing w:val="-8"/>
        </w:rPr>
        <w:t>4-80;</w:t>
      </w:r>
      <w:r>
        <w:rPr>
          <w:rFonts w:ascii="Times New Roman" w:hAnsi="Times New Roman" w:eastAsia="Times New Roman" w:cs="Times New Roman"/>
          <w:sz w:val="19"/>
          <w:szCs w:val="19"/>
        </w:rPr>
        <w:t xml:space="preserve">  </w:t>
      </w:r>
      <w:r>
        <w:rPr>
          <w:rFonts w:ascii="KaiTi" w:hAnsi="KaiTi" w:eastAsia="KaiTi" w:cs="KaiTi"/>
          <w:sz w:val="14"/>
          <w:szCs w:val="14"/>
          <w:spacing w:val="22"/>
        </w:rPr>
        <w:t>杨慧梅，江璐</w:t>
      </w:r>
      <w:r>
        <w:rPr>
          <w:rFonts w:ascii="KaiTi" w:hAnsi="KaiTi" w:eastAsia="KaiTi" w:cs="KaiTi"/>
          <w:sz w:val="14"/>
          <w:szCs w:val="14"/>
          <w:spacing w:val="-27"/>
        </w:rPr>
        <w:t xml:space="preserve"> </w:t>
      </w:r>
      <w:r>
        <w:rPr>
          <w:rFonts w:ascii="KaiTi" w:hAnsi="KaiTi" w:eastAsia="KaiTi" w:cs="KaiTi"/>
          <w:sz w:val="14"/>
          <w:szCs w:val="14"/>
          <w:spacing w:val="22"/>
        </w:rPr>
        <w:t>.</w:t>
      </w:r>
      <w:r>
        <w:rPr>
          <w:rFonts w:ascii="KaiTi" w:hAnsi="KaiTi" w:eastAsia="KaiTi" w:cs="KaiTi"/>
          <w:sz w:val="14"/>
          <w:szCs w:val="14"/>
          <w:spacing w:val="-40"/>
        </w:rPr>
        <w:t xml:space="preserve"> </w:t>
      </w:r>
      <w:r>
        <w:rPr>
          <w:rFonts w:ascii="KaiTi" w:hAnsi="KaiTi" w:eastAsia="KaiTi" w:cs="KaiTi"/>
          <w:sz w:val="14"/>
          <w:szCs w:val="14"/>
          <w:spacing w:val="22"/>
        </w:rPr>
        <w:t>数字经济、空间效应与全要素生产率</w:t>
      </w:r>
      <w:r>
        <w:rPr>
          <w:rFonts w:ascii="KaiTi" w:hAnsi="KaiTi" w:eastAsia="KaiTi" w:cs="KaiTi"/>
          <w:sz w:val="14"/>
          <w:szCs w:val="14"/>
          <w:spacing w:val="-34"/>
        </w:rPr>
        <w:t xml:space="preserve"> </w:t>
      </w:r>
      <w:r>
        <w:rPr>
          <w:rFonts w:ascii="KaiTi" w:hAnsi="KaiTi" w:eastAsia="KaiTi" w:cs="KaiTi"/>
          <w:sz w:val="14"/>
          <w:szCs w:val="14"/>
          <w:spacing w:val="22"/>
        </w:rPr>
        <w:t>.</w:t>
      </w:r>
      <w:r>
        <w:rPr>
          <w:rFonts w:ascii="KaiTi" w:hAnsi="KaiTi" w:eastAsia="KaiTi" w:cs="KaiTi"/>
          <w:sz w:val="14"/>
          <w:szCs w:val="14"/>
          <w:spacing w:val="-31"/>
        </w:rPr>
        <w:t xml:space="preserve"> </w:t>
      </w:r>
      <w:r>
        <w:rPr>
          <w:rFonts w:ascii="KaiTi" w:hAnsi="KaiTi" w:eastAsia="KaiTi" w:cs="KaiTi"/>
          <w:sz w:val="14"/>
          <w:szCs w:val="14"/>
          <w:spacing w:val="22"/>
        </w:rPr>
        <w:t>统计研究，2021,38(4):</w:t>
      </w:r>
    </w:p>
    <w:p>
      <w:pPr>
        <w:ind w:left="309"/>
        <w:spacing w:before="124" w:line="184" w:lineRule="auto"/>
        <w:rPr>
          <w:rFonts w:ascii="SimSun" w:hAnsi="SimSun" w:eastAsia="SimSun" w:cs="SimSun"/>
          <w:sz w:val="14"/>
          <w:szCs w:val="14"/>
        </w:rPr>
      </w:pPr>
      <w:r>
        <w:rPr>
          <w:rFonts w:ascii="SimSun" w:hAnsi="SimSun" w:eastAsia="SimSun" w:cs="SimSun"/>
          <w:sz w:val="14"/>
          <w:szCs w:val="14"/>
          <w:spacing w:val="-2"/>
        </w:rPr>
        <w:t>3-15.</w:t>
      </w:r>
    </w:p>
    <w:p>
      <w:pPr>
        <w:ind w:left="309" w:right="5" w:hanging="309"/>
        <w:spacing w:before="129" w:line="289" w:lineRule="auto"/>
        <w:rPr>
          <w:rFonts w:ascii="SimSun" w:hAnsi="SimSun" w:eastAsia="SimSun" w:cs="SimSun"/>
          <w:sz w:val="14"/>
          <w:szCs w:val="14"/>
        </w:rPr>
      </w:pPr>
      <w:r>
        <w:rPr>
          <w:rFonts w:ascii="KaiTi" w:hAnsi="KaiTi" w:eastAsia="KaiTi" w:cs="KaiTi"/>
          <w:sz w:val="14"/>
          <w:szCs w:val="14"/>
          <w:spacing w:val="17"/>
        </w:rPr>
        <w:t>②</w:t>
      </w:r>
      <w:r>
        <w:rPr>
          <w:rFonts w:ascii="KaiTi" w:hAnsi="KaiTi" w:eastAsia="KaiTi" w:cs="KaiTi"/>
          <w:sz w:val="14"/>
          <w:szCs w:val="14"/>
          <w:spacing w:val="7"/>
        </w:rPr>
        <w:t xml:space="preserve">  </w:t>
      </w:r>
      <w:r>
        <w:rPr>
          <w:rFonts w:ascii="KaiTi" w:hAnsi="KaiTi" w:eastAsia="KaiTi" w:cs="KaiTi"/>
          <w:sz w:val="14"/>
          <w:szCs w:val="14"/>
          <w:spacing w:val="17"/>
        </w:rPr>
        <w:t>蔡跃洲，张钩南</w:t>
      </w:r>
      <w:r>
        <w:rPr>
          <w:rFonts w:ascii="KaiTi" w:hAnsi="KaiTi" w:eastAsia="KaiTi" w:cs="KaiTi"/>
          <w:sz w:val="14"/>
          <w:szCs w:val="14"/>
          <w:spacing w:val="-40"/>
        </w:rPr>
        <w:t xml:space="preserve"> </w:t>
      </w:r>
      <w:r>
        <w:rPr>
          <w:rFonts w:ascii="KaiTi" w:hAnsi="KaiTi" w:eastAsia="KaiTi" w:cs="KaiTi"/>
          <w:sz w:val="14"/>
          <w:szCs w:val="14"/>
          <w:spacing w:val="17"/>
        </w:rPr>
        <w:t>.信息通信技术对中国经济增长的替代效</w:t>
      </w:r>
      <w:r>
        <w:rPr>
          <w:rFonts w:ascii="KaiTi" w:hAnsi="KaiTi" w:eastAsia="KaiTi" w:cs="KaiTi"/>
          <w:sz w:val="14"/>
          <w:szCs w:val="14"/>
          <w:spacing w:val="16"/>
        </w:rPr>
        <w:t>应与渗透效应，经济研究，</w:t>
      </w:r>
      <w:r>
        <w:rPr>
          <w:rFonts w:ascii="KaiTi" w:hAnsi="KaiTi" w:eastAsia="KaiTi" w:cs="KaiTi"/>
          <w:sz w:val="14"/>
          <w:szCs w:val="14"/>
        </w:rPr>
        <w:t xml:space="preserve"> </w:t>
      </w:r>
      <w:r>
        <w:rPr>
          <w:rFonts w:ascii="SimSun" w:hAnsi="SimSun" w:eastAsia="SimSun" w:cs="SimSun"/>
          <w:sz w:val="14"/>
          <w:szCs w:val="14"/>
          <w:spacing w:val="-1"/>
        </w:rPr>
        <w:t>2015,50(12):100-114.</w:t>
      </w:r>
    </w:p>
    <w:p>
      <w:pPr>
        <w:spacing w:line="289" w:lineRule="auto"/>
        <w:sectPr>
          <w:headerReference w:type="default" r:id="rId85"/>
          <w:pgSz w:w="7330" w:h="12480"/>
          <w:pgMar w:top="845" w:right="784" w:bottom="400" w:left="469" w:header="703" w:footer="0" w:gutter="0"/>
        </w:sectPr>
        <w:rPr>
          <w:rFonts w:ascii="SimSun" w:hAnsi="SimSun" w:eastAsia="SimSun" w:cs="SimSun"/>
          <w:sz w:val="14"/>
          <w:szCs w:val="14"/>
        </w:rPr>
      </w:pPr>
    </w:p>
    <w:p>
      <w:pPr>
        <w:spacing w:line="221" w:lineRule="auto"/>
        <w:rPr>
          <w:rFonts w:ascii="SimHei" w:hAnsi="SimHei" w:eastAsia="SimHei" w:cs="SimHei"/>
          <w:sz w:val="17"/>
          <w:szCs w:val="17"/>
        </w:rPr>
      </w:pPr>
      <w:r>
        <w:rPr>
          <w:rFonts w:ascii="SimSun" w:hAnsi="SimSun" w:eastAsia="SimSun" w:cs="SimSun"/>
          <w:sz w:val="12"/>
          <w:szCs w:val="12"/>
          <w:spacing w:val="-7"/>
          <w:position w:val="-2"/>
        </w:rPr>
        <w:t>058                                </w:t>
      </w:r>
      <w:r>
        <w:rPr>
          <w:rFonts w:ascii="SimHei" w:hAnsi="SimHei" w:eastAsia="SimHei" w:cs="SimHei"/>
          <w:sz w:val="17"/>
          <w:szCs w:val="17"/>
          <w:spacing w:val="-8"/>
        </w:rPr>
        <w:t>平台经济——创新、治理与繁荣</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10"/>
        <w:spacing w:before="68" w:line="302" w:lineRule="auto"/>
        <w:jc w:val="both"/>
        <w:rPr>
          <w:rFonts w:ascii="SimSun" w:hAnsi="SimSun" w:eastAsia="SimSun" w:cs="SimSun"/>
          <w:sz w:val="21"/>
          <w:szCs w:val="21"/>
        </w:rPr>
      </w:pPr>
      <w:r>
        <w:rPr>
          <w:rFonts w:ascii="Times New Roman" w:hAnsi="Times New Roman" w:eastAsia="Times New Roman" w:cs="Times New Roman"/>
          <w:sz w:val="21"/>
          <w:szCs w:val="21"/>
          <w:spacing w:val="-6"/>
        </w:rPr>
        <w:t>ICT</w:t>
      </w:r>
      <w:r>
        <w:rPr>
          <w:rFonts w:ascii="SimSun" w:hAnsi="SimSun" w:eastAsia="SimSun" w:cs="SimSun"/>
          <w:sz w:val="21"/>
          <w:szCs w:val="21"/>
          <w:spacing w:val="-6"/>
        </w:rPr>
        <w:t>产品价格下降，实现</w:t>
      </w:r>
      <w:r>
        <w:rPr>
          <w:rFonts w:ascii="Times New Roman" w:hAnsi="Times New Roman" w:eastAsia="Times New Roman" w:cs="Times New Roman"/>
          <w:sz w:val="21"/>
          <w:szCs w:val="21"/>
          <w:spacing w:val="-6"/>
        </w:rPr>
        <w:t>ICT </w:t>
      </w:r>
      <w:r>
        <w:rPr>
          <w:rFonts w:ascii="SimSun" w:hAnsi="SimSun" w:eastAsia="SimSun" w:cs="SimSun"/>
          <w:sz w:val="21"/>
          <w:szCs w:val="21"/>
          <w:spacing w:val="-6"/>
        </w:rPr>
        <w:t>资本对其他资本的替代，进而直接支撑 </w:t>
      </w:r>
      <w:r>
        <w:rPr>
          <w:rFonts w:ascii="SimSun" w:hAnsi="SimSun" w:eastAsia="SimSun" w:cs="SimSun"/>
          <w:sz w:val="21"/>
          <w:szCs w:val="21"/>
          <w:spacing w:val="-2"/>
        </w:rPr>
        <w:t>经济增长；渗透效应指</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作为通用目的技术渗透</w:t>
      </w:r>
      <w:r>
        <w:rPr>
          <w:rFonts w:ascii="SimSun" w:hAnsi="SimSun" w:eastAsia="SimSun" w:cs="SimSun"/>
          <w:sz w:val="21"/>
          <w:szCs w:val="21"/>
          <w:spacing w:val="-3"/>
        </w:rPr>
        <w:t>和应用于各产业 </w:t>
      </w:r>
      <w:r>
        <w:rPr>
          <w:rFonts w:ascii="SimSun" w:hAnsi="SimSun" w:eastAsia="SimSun" w:cs="SimSun"/>
          <w:sz w:val="21"/>
          <w:szCs w:val="21"/>
          <w:spacing w:val="-10"/>
        </w:rPr>
        <w:t>部门，提高其全要素生产率，进而间接促进经济增长。信息化对中国 </w:t>
      </w:r>
      <w:r>
        <w:rPr>
          <w:rFonts w:ascii="SimSun" w:hAnsi="SimSun" w:eastAsia="SimSun" w:cs="SimSun"/>
          <w:sz w:val="21"/>
          <w:szCs w:val="21"/>
          <w:spacing w:val="-2"/>
        </w:rPr>
        <w:t>经济增长的贡献主要体现为</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资本深化以及</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制造业的全要素 </w:t>
      </w:r>
      <w:r>
        <w:rPr>
          <w:rFonts w:ascii="SimSun" w:hAnsi="SimSun" w:eastAsia="SimSun" w:cs="SimSun"/>
          <w:sz w:val="21"/>
          <w:szCs w:val="21"/>
          <w:spacing w:val="-9"/>
        </w:rPr>
        <w:t>生产率改进。①</w:t>
      </w:r>
      <w:r>
        <w:rPr>
          <w:rFonts w:ascii="Times New Roman" w:hAnsi="Times New Roman" w:eastAsia="Times New Roman" w:cs="Times New Roman"/>
          <w:sz w:val="21"/>
          <w:szCs w:val="21"/>
          <w:spacing w:val="-9"/>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9"/>
        </w:rPr>
        <w:t>和互联网的发展刺激创业，推</w:t>
      </w:r>
      <w:r>
        <w:rPr>
          <w:rFonts w:ascii="SimSun" w:hAnsi="SimSun" w:eastAsia="SimSun" w:cs="SimSun"/>
          <w:sz w:val="21"/>
          <w:szCs w:val="21"/>
          <w:spacing w:val="-10"/>
        </w:rPr>
        <w:t>动技术进步，降低 </w:t>
      </w:r>
      <w:r>
        <w:rPr>
          <w:rFonts w:ascii="SimSun" w:hAnsi="SimSun" w:eastAsia="SimSun" w:cs="SimSun"/>
          <w:sz w:val="21"/>
          <w:szCs w:val="21"/>
          <w:spacing w:val="-8"/>
        </w:rPr>
        <w:t>企业搜寻成本，减少信息不对称程度，优化资源配置并提升生产率，</w:t>
      </w:r>
      <w:r>
        <w:rPr>
          <w:rFonts w:ascii="SimSun" w:hAnsi="SimSun" w:eastAsia="SimSun" w:cs="SimSun"/>
          <w:sz w:val="21"/>
          <w:szCs w:val="21"/>
          <w:spacing w:val="14"/>
        </w:rPr>
        <w:t xml:space="preserve"> </w:t>
      </w:r>
      <w:r>
        <w:rPr>
          <w:rFonts w:ascii="SimSun" w:hAnsi="SimSun" w:eastAsia="SimSun" w:cs="SimSun"/>
          <w:sz w:val="21"/>
          <w:szCs w:val="21"/>
          <w:spacing w:val="-12"/>
        </w:rPr>
        <w:t>全方位激发了企业、产业、工业的生产、运营与销售活力。②</w:t>
      </w:r>
    </w:p>
    <w:p>
      <w:pPr>
        <w:ind w:left="10" w:firstLine="439"/>
        <w:spacing w:before="117" w:line="300" w:lineRule="auto"/>
        <w:jc w:val="both"/>
        <w:rPr>
          <w:rFonts w:ascii="SimSun" w:hAnsi="SimSun" w:eastAsia="SimSun" w:cs="SimSun"/>
          <w:sz w:val="21"/>
          <w:szCs w:val="21"/>
        </w:rPr>
      </w:pPr>
      <w:r>
        <w:rPr>
          <w:rFonts w:ascii="SimSun" w:hAnsi="SimSun" w:eastAsia="SimSun" w:cs="SimSun"/>
          <w:sz w:val="21"/>
          <w:szCs w:val="21"/>
          <w:spacing w:val="-9"/>
        </w:rPr>
        <w:t>从微观层面来看，</w:t>
      </w:r>
      <w:r>
        <w:rPr>
          <w:rFonts w:ascii="Times New Roman" w:hAnsi="Times New Roman" w:eastAsia="Times New Roman" w:cs="Times New Roman"/>
          <w:sz w:val="21"/>
          <w:szCs w:val="21"/>
          <w:spacing w:val="-9"/>
        </w:rPr>
        <w:t>ICT </w:t>
      </w:r>
      <w:r>
        <w:rPr>
          <w:rFonts w:ascii="SimSun" w:hAnsi="SimSun" w:eastAsia="SimSun" w:cs="SimSun"/>
          <w:sz w:val="21"/>
          <w:szCs w:val="21"/>
          <w:spacing w:val="-9"/>
        </w:rPr>
        <w:t>对企业的微观活动有着重要影响。在创新</w:t>
      </w:r>
      <w:r>
        <w:rPr>
          <w:rFonts w:ascii="SimSun" w:hAnsi="SimSun" w:eastAsia="SimSun" w:cs="SimSun"/>
          <w:sz w:val="21"/>
          <w:szCs w:val="21"/>
          <w:spacing w:val="16"/>
        </w:rPr>
        <w:t xml:space="preserve"> </w:t>
      </w:r>
      <w:r>
        <w:rPr>
          <w:rFonts w:ascii="SimSun" w:hAnsi="SimSun" w:eastAsia="SimSun" w:cs="SimSun"/>
          <w:sz w:val="21"/>
          <w:szCs w:val="21"/>
          <w:spacing w:val="-2"/>
        </w:rPr>
        <w:t>方面，董祺指出</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投入对企业规模、利润和创新成果增长存在显 </w:t>
      </w:r>
      <w:r>
        <w:rPr>
          <w:rFonts w:ascii="SimSun" w:hAnsi="SimSun" w:eastAsia="SimSun" w:cs="SimSun"/>
          <w:sz w:val="21"/>
          <w:szCs w:val="21"/>
          <w:spacing w:val="-8"/>
        </w:rPr>
        <w:t>著的正向影响，但和研发投入之间存在负的交互效应而非协同效应，</w:t>
      </w:r>
      <w:r>
        <w:rPr>
          <w:rFonts w:ascii="SimSun" w:hAnsi="SimSun" w:eastAsia="SimSun" w:cs="SimSun"/>
          <w:sz w:val="21"/>
          <w:szCs w:val="21"/>
          <w:spacing w:val="14"/>
        </w:rPr>
        <w:t xml:space="preserve"> </w:t>
      </w:r>
      <w:r>
        <w:rPr>
          <w:rFonts w:ascii="SimSun" w:hAnsi="SimSun" w:eastAsia="SimSun" w:cs="SimSun"/>
          <w:sz w:val="21"/>
          <w:szCs w:val="21"/>
          <w:spacing w:val="-9"/>
        </w:rPr>
        <w:t>认为</w:t>
      </w:r>
      <w:r>
        <w:rPr>
          <w:rFonts w:ascii="Times New Roman" w:hAnsi="Times New Roman" w:eastAsia="Times New Roman" w:cs="Times New Roman"/>
          <w:sz w:val="21"/>
          <w:szCs w:val="21"/>
          <w:spacing w:val="-9"/>
        </w:rPr>
        <w:t>ICT </w:t>
      </w:r>
      <w:r>
        <w:rPr>
          <w:rFonts w:ascii="SimSun" w:hAnsi="SimSun" w:eastAsia="SimSun" w:cs="SimSun"/>
          <w:sz w:val="21"/>
          <w:szCs w:val="21"/>
          <w:spacing w:val="-9"/>
        </w:rPr>
        <w:t>领军企业在资源统筹管理利用方面的能力仍有不足。③在人 </w:t>
      </w:r>
      <w:r>
        <w:rPr>
          <w:rFonts w:ascii="SimSun" w:hAnsi="SimSun" w:eastAsia="SimSun" w:cs="SimSun"/>
          <w:sz w:val="21"/>
          <w:szCs w:val="21"/>
          <w:spacing w:val="-4"/>
        </w:rPr>
        <w:t>力资本方面，邵文波和盛丹发现信息化会导致劳动收入占比普遍下</w:t>
      </w:r>
      <w:r>
        <w:rPr>
          <w:rFonts w:ascii="SimSun" w:hAnsi="SimSun" w:eastAsia="SimSun" w:cs="SimSun"/>
          <w:sz w:val="21"/>
          <w:szCs w:val="21"/>
          <w:spacing w:val="4"/>
        </w:rPr>
        <w:t xml:space="preserve">  </w:t>
      </w:r>
      <w:r>
        <w:rPr>
          <w:rFonts w:ascii="SimSun" w:hAnsi="SimSun" w:eastAsia="SimSun" w:cs="SimSun"/>
          <w:sz w:val="21"/>
          <w:szCs w:val="21"/>
          <w:spacing w:val="-15"/>
        </w:rPr>
        <w:t>降，开放市场竞争则可缓解企业就业吸纳能力的下降。</w:t>
      </w:r>
      <w:r>
        <w:rPr>
          <w:rFonts w:ascii="SimSun" w:hAnsi="SimSun" w:eastAsia="SimSun" w:cs="SimSun"/>
          <w:sz w:val="21"/>
          <w:szCs w:val="21"/>
          <w:spacing w:val="56"/>
        </w:rPr>
        <w:t xml:space="preserve"> </w:t>
      </w:r>
      <w:r>
        <w:rPr>
          <w:rFonts w:ascii="SimSun" w:hAnsi="SimSun" w:eastAsia="SimSun" w:cs="SimSun"/>
          <w:sz w:val="21"/>
          <w:szCs w:val="21"/>
          <w:spacing w:val="-15"/>
        </w:rPr>
        <w:t>●何小钢等指</w:t>
      </w:r>
    </w:p>
    <w:p>
      <w:pPr>
        <w:pStyle w:val="BodyText"/>
        <w:spacing w:line="275" w:lineRule="auto"/>
        <w:rPr/>
      </w:pPr>
      <w:r/>
    </w:p>
    <w:p>
      <w:pPr>
        <w:ind w:left="319" w:right="61" w:hanging="309"/>
        <w:spacing w:before="55" w:line="276" w:lineRule="auto"/>
        <w:rPr>
          <w:rFonts w:ascii="KaiTi" w:hAnsi="KaiTi" w:eastAsia="KaiTi" w:cs="KaiTi"/>
          <w:sz w:val="17"/>
          <w:szCs w:val="17"/>
        </w:rPr>
      </w:pPr>
      <w:r>
        <w:rPr>
          <w:rFonts w:ascii="KaiTi" w:hAnsi="KaiTi" w:eastAsia="KaiTi" w:cs="KaiTi"/>
          <w:sz w:val="17"/>
          <w:szCs w:val="17"/>
          <w:spacing w:val="-4"/>
        </w:rPr>
        <w:t>①</w:t>
      </w:r>
      <w:r>
        <w:rPr>
          <w:rFonts w:ascii="KaiTi" w:hAnsi="KaiTi" w:eastAsia="KaiTi" w:cs="KaiTi"/>
          <w:sz w:val="17"/>
          <w:szCs w:val="17"/>
          <w:spacing w:val="41"/>
        </w:rPr>
        <w:t xml:space="preserve"> </w:t>
      </w:r>
      <w:r>
        <w:rPr>
          <w:rFonts w:ascii="KaiTi" w:hAnsi="KaiTi" w:eastAsia="KaiTi" w:cs="KaiTi"/>
          <w:sz w:val="17"/>
          <w:szCs w:val="17"/>
          <w:spacing w:val="-4"/>
        </w:rPr>
        <w:t>孙琳琳，郑海涛，任若恩.信息化对中国经济增长的贡献：行业面板</w:t>
      </w:r>
      <w:r>
        <w:rPr>
          <w:rFonts w:ascii="KaiTi" w:hAnsi="KaiTi" w:eastAsia="KaiTi" w:cs="KaiTi"/>
          <w:sz w:val="17"/>
          <w:szCs w:val="17"/>
          <w:spacing w:val="-5"/>
        </w:rPr>
        <w:t>数据的经验</w:t>
      </w:r>
      <w:r>
        <w:rPr>
          <w:rFonts w:ascii="KaiTi" w:hAnsi="KaiTi" w:eastAsia="KaiTi" w:cs="KaiTi"/>
          <w:sz w:val="17"/>
          <w:szCs w:val="17"/>
        </w:rPr>
        <w:t xml:space="preserve"> </w:t>
      </w:r>
      <w:r>
        <w:rPr>
          <w:rFonts w:ascii="KaiTi" w:hAnsi="KaiTi" w:eastAsia="KaiTi" w:cs="KaiTi"/>
          <w:sz w:val="17"/>
          <w:szCs w:val="17"/>
          <w:spacing w:val="3"/>
        </w:rPr>
        <w:t>证据.世界经济，2012,35(2):3-25;郭美晨，杜传忠.</w:t>
      </w:r>
      <w:r>
        <w:rPr>
          <w:rFonts w:ascii="Times New Roman" w:hAnsi="Times New Roman" w:eastAsia="Times New Roman" w:cs="Times New Roman"/>
          <w:sz w:val="17"/>
          <w:szCs w:val="17"/>
        </w:rPr>
        <w:t>ICT</w:t>
      </w:r>
      <w:r>
        <w:rPr>
          <w:rFonts w:ascii="Times New Roman" w:hAnsi="Times New Roman" w:eastAsia="Times New Roman" w:cs="Times New Roman"/>
          <w:sz w:val="17"/>
          <w:szCs w:val="17"/>
          <w:spacing w:val="-11"/>
        </w:rPr>
        <w:t xml:space="preserve"> </w:t>
      </w:r>
      <w:r>
        <w:rPr>
          <w:rFonts w:ascii="KaiTi" w:hAnsi="KaiTi" w:eastAsia="KaiTi" w:cs="KaiTi"/>
          <w:sz w:val="17"/>
          <w:szCs w:val="17"/>
          <w:spacing w:val="3"/>
        </w:rPr>
        <w:t>提</w:t>
      </w:r>
      <w:r>
        <w:rPr>
          <w:rFonts w:ascii="KaiTi" w:hAnsi="KaiTi" w:eastAsia="KaiTi" w:cs="KaiTi"/>
          <w:sz w:val="17"/>
          <w:szCs w:val="17"/>
          <w:spacing w:val="2"/>
        </w:rPr>
        <w:t>升中国经济增长</w:t>
      </w:r>
      <w:r>
        <w:rPr>
          <w:rFonts w:ascii="KaiTi" w:hAnsi="KaiTi" w:eastAsia="KaiTi" w:cs="KaiTi"/>
          <w:sz w:val="17"/>
          <w:szCs w:val="17"/>
        </w:rPr>
        <w:t xml:space="preserve"> </w:t>
      </w:r>
      <w:r>
        <w:rPr>
          <w:rFonts w:ascii="KaiTi" w:hAnsi="KaiTi" w:eastAsia="KaiTi" w:cs="KaiTi"/>
          <w:sz w:val="17"/>
          <w:szCs w:val="17"/>
          <w:spacing w:val="3"/>
        </w:rPr>
        <w:t>质量的机理与效应分析.统计研究，2019,36(3):3-16.</w:t>
      </w:r>
    </w:p>
    <w:p>
      <w:pPr>
        <w:ind w:left="319" w:hanging="309"/>
        <w:spacing w:before="86" w:line="297" w:lineRule="auto"/>
        <w:rPr>
          <w:rFonts w:ascii="SimSun" w:hAnsi="SimSun" w:eastAsia="SimSun" w:cs="SimSun"/>
          <w:sz w:val="17"/>
          <w:szCs w:val="17"/>
        </w:rPr>
      </w:pPr>
      <w:r>
        <w:rPr>
          <w:rFonts w:ascii="SimSun" w:hAnsi="SimSun" w:eastAsia="SimSun" w:cs="SimSun"/>
          <w:sz w:val="17"/>
          <w:szCs w:val="17"/>
          <w:spacing w:val="-5"/>
        </w:rPr>
        <w:t>②</w:t>
      </w:r>
      <w:r>
        <w:rPr>
          <w:rFonts w:ascii="SimSun" w:hAnsi="SimSun" w:eastAsia="SimSun" w:cs="SimSun"/>
          <w:sz w:val="17"/>
          <w:szCs w:val="17"/>
          <w:spacing w:val="63"/>
        </w:rPr>
        <w:t xml:space="preserve"> </w:t>
      </w:r>
      <w:r>
        <w:rPr>
          <w:rFonts w:ascii="KaiTi" w:hAnsi="KaiTi" w:eastAsia="KaiTi" w:cs="KaiTi"/>
          <w:sz w:val="17"/>
          <w:szCs w:val="17"/>
          <w:spacing w:val="-5"/>
        </w:rPr>
        <w:t>赵涛，张智，梁上坤.数字经济、创业活跃度与高质量发展</w:t>
      </w:r>
      <w:r>
        <w:rPr>
          <w:rFonts w:ascii="KaiTi" w:hAnsi="KaiTi" w:eastAsia="KaiTi" w:cs="KaiTi"/>
          <w:sz w:val="17"/>
          <w:szCs w:val="17"/>
          <w:u w:val="single" w:color="auto"/>
          <w:spacing w:val="-5"/>
        </w:rPr>
        <w:t>——</w:t>
      </w:r>
      <w:r>
        <w:rPr>
          <w:rFonts w:ascii="KaiTi" w:hAnsi="KaiTi" w:eastAsia="KaiTi" w:cs="KaiTi"/>
          <w:sz w:val="17"/>
          <w:szCs w:val="17"/>
          <w:spacing w:val="-5"/>
        </w:rPr>
        <w:t>来</w:t>
      </w:r>
      <w:r>
        <w:rPr>
          <w:rFonts w:ascii="KaiTi" w:hAnsi="KaiTi" w:eastAsia="KaiTi" w:cs="KaiTi"/>
          <w:sz w:val="17"/>
          <w:szCs w:val="17"/>
          <w:spacing w:val="-43"/>
        </w:rPr>
        <w:t xml:space="preserve"> </w:t>
      </w:r>
      <w:r>
        <w:rPr>
          <w:rFonts w:ascii="KaiTi" w:hAnsi="KaiTi" w:eastAsia="KaiTi" w:cs="KaiTi"/>
          <w:sz w:val="17"/>
          <w:szCs w:val="17"/>
          <w:spacing w:val="-5"/>
        </w:rPr>
        <w:t>自中国城市的</w:t>
      </w:r>
      <w:r>
        <w:rPr>
          <w:rFonts w:ascii="KaiTi" w:hAnsi="KaiTi" w:eastAsia="KaiTi" w:cs="KaiTi"/>
          <w:sz w:val="17"/>
          <w:szCs w:val="17"/>
        </w:rPr>
        <w:t xml:space="preserve"> </w:t>
      </w:r>
      <w:r>
        <w:rPr>
          <w:rFonts w:ascii="KaiTi" w:hAnsi="KaiTi" w:eastAsia="KaiTi" w:cs="KaiTi"/>
          <w:sz w:val="17"/>
          <w:szCs w:val="17"/>
          <w:spacing w:val="6"/>
        </w:rPr>
        <w:t>经验证据.管理世界，2020,36(10):65-76;王文涛，曹丹丹.互联网资本与</w:t>
      </w:r>
      <w:r>
        <w:rPr>
          <w:rFonts w:ascii="KaiTi" w:hAnsi="KaiTi" w:eastAsia="KaiTi" w:cs="KaiTi"/>
          <w:sz w:val="17"/>
          <w:szCs w:val="17"/>
          <w:spacing w:val="6"/>
        </w:rPr>
        <w:t xml:space="preserve"> </w:t>
      </w:r>
      <w:r>
        <w:rPr>
          <w:rFonts w:ascii="KaiTi" w:hAnsi="KaiTi" w:eastAsia="KaiTi" w:cs="KaiTi"/>
          <w:sz w:val="17"/>
          <w:szCs w:val="17"/>
          <w:spacing w:val="1"/>
        </w:rPr>
        <w:t>民营经济高质量发展：基于企业创新驱动路</w:t>
      </w:r>
      <w:r>
        <w:rPr>
          <w:rFonts w:ascii="KaiTi" w:hAnsi="KaiTi" w:eastAsia="KaiTi" w:cs="KaiTi"/>
          <w:sz w:val="17"/>
          <w:szCs w:val="17"/>
        </w:rPr>
        <w:t>径视角，统计研究，2020,37(3):</w:t>
      </w:r>
      <w:r>
        <w:rPr>
          <w:rFonts w:ascii="KaiTi" w:hAnsi="KaiTi" w:eastAsia="KaiTi" w:cs="KaiTi"/>
          <w:sz w:val="17"/>
          <w:szCs w:val="17"/>
        </w:rPr>
        <w:t xml:space="preserve"> </w:t>
      </w:r>
      <w:r>
        <w:rPr>
          <w:rFonts w:ascii="KaiTi" w:hAnsi="KaiTi" w:eastAsia="KaiTi" w:cs="KaiTi"/>
          <w:sz w:val="17"/>
          <w:szCs w:val="17"/>
          <w:spacing w:val="-3"/>
        </w:rPr>
        <w:t>72-84;郭家堂，骆品亮.互联网对中国全要素生产率有促进作用吗?.管理世界，</w:t>
      </w:r>
      <w:r>
        <w:rPr>
          <w:rFonts w:ascii="KaiTi" w:hAnsi="KaiTi" w:eastAsia="KaiTi" w:cs="KaiTi"/>
          <w:sz w:val="17"/>
          <w:szCs w:val="17"/>
          <w:spacing w:val="16"/>
        </w:rPr>
        <w:t xml:space="preserve"> </w:t>
      </w:r>
      <w:r>
        <w:rPr>
          <w:rFonts w:ascii="KaiTi" w:hAnsi="KaiTi" w:eastAsia="KaiTi" w:cs="KaiTi"/>
          <w:sz w:val="17"/>
          <w:szCs w:val="17"/>
          <w:spacing w:val="6"/>
        </w:rPr>
        <w:t>2016(10):34-49;刘刚，张泠然，梁晗，等.互联网创业的信息分享机制研</w:t>
      </w:r>
      <w:r>
        <w:rPr>
          <w:rFonts w:ascii="KaiTi" w:hAnsi="KaiTi" w:eastAsia="KaiTi" w:cs="KaiTi"/>
          <w:sz w:val="17"/>
          <w:szCs w:val="17"/>
          <w:spacing w:val="6"/>
        </w:rPr>
        <w:t xml:space="preserve"> </w:t>
      </w:r>
      <w:r>
        <w:rPr>
          <w:rFonts w:ascii="KaiTi" w:hAnsi="KaiTi" w:eastAsia="KaiTi" w:cs="KaiTi"/>
          <w:sz w:val="17"/>
          <w:szCs w:val="17"/>
          <w:spacing w:val="3"/>
        </w:rPr>
        <w:t>究——一个整合网络众筹与社交数据的双阶段模型.管理世</w:t>
      </w:r>
      <w:r>
        <w:rPr>
          <w:rFonts w:ascii="KaiTi" w:hAnsi="KaiTi" w:eastAsia="KaiTi" w:cs="KaiTi"/>
          <w:sz w:val="17"/>
          <w:szCs w:val="17"/>
          <w:spacing w:val="2"/>
        </w:rPr>
        <w:t>界，2021,37(2):</w:t>
      </w:r>
      <w:r>
        <w:rPr>
          <w:rFonts w:ascii="KaiTi" w:hAnsi="KaiTi" w:eastAsia="KaiTi" w:cs="KaiTi"/>
          <w:sz w:val="17"/>
          <w:szCs w:val="17"/>
        </w:rPr>
        <w:t xml:space="preserve"> </w:t>
      </w:r>
      <w:r>
        <w:rPr>
          <w:rFonts w:ascii="KaiTi" w:hAnsi="KaiTi" w:eastAsia="KaiTi" w:cs="KaiTi"/>
          <w:sz w:val="17"/>
          <w:szCs w:val="17"/>
          <w:spacing w:val="-5"/>
        </w:rPr>
        <w:t>107-125,9;吴非，胡慧芷，林慧妍，等.企业数字化转型与资本市场表现——来</w:t>
      </w:r>
      <w:r>
        <w:rPr>
          <w:rFonts w:ascii="KaiTi" w:hAnsi="KaiTi" w:eastAsia="KaiTi" w:cs="KaiTi"/>
          <w:sz w:val="17"/>
          <w:szCs w:val="17"/>
          <w:spacing w:val="8"/>
        </w:rPr>
        <w:t xml:space="preserve">  </w:t>
      </w:r>
      <w:r>
        <w:rPr>
          <w:rFonts w:ascii="KaiTi" w:hAnsi="KaiTi" w:eastAsia="KaiTi" w:cs="KaiTi"/>
          <w:sz w:val="17"/>
          <w:szCs w:val="17"/>
          <w:spacing w:val="4"/>
        </w:rPr>
        <w:t>自股票流动性的经验证据.管理世界，2021,37(7)</w:t>
      </w:r>
      <w:r>
        <w:rPr>
          <w:rFonts w:ascii="Times New Roman" w:hAnsi="Times New Roman" w:eastAsia="Times New Roman" w:cs="Times New Roman"/>
          <w:sz w:val="17"/>
          <w:szCs w:val="17"/>
          <w:spacing w:val="4"/>
        </w:rPr>
        <w:t>:130-1   </w:t>
      </w:r>
      <w:r>
        <w:rPr>
          <w:rFonts w:ascii="KaiTi" w:hAnsi="KaiTi" w:eastAsia="KaiTi" w:cs="KaiTi"/>
          <w:sz w:val="17"/>
          <w:szCs w:val="17"/>
          <w:spacing w:val="4"/>
        </w:rPr>
        <w:t>44,10;许家</w:t>
      </w:r>
      <w:r>
        <w:rPr>
          <w:rFonts w:ascii="KaiTi" w:hAnsi="KaiTi" w:eastAsia="KaiTi" w:cs="KaiTi"/>
          <w:sz w:val="17"/>
          <w:szCs w:val="17"/>
          <w:spacing w:val="3"/>
        </w:rPr>
        <w:t>云.互</w:t>
      </w:r>
      <w:r>
        <w:rPr>
          <w:rFonts w:ascii="KaiTi" w:hAnsi="KaiTi" w:eastAsia="KaiTi" w:cs="KaiTi"/>
          <w:sz w:val="17"/>
          <w:szCs w:val="17"/>
        </w:rPr>
        <w:t xml:space="preserve">  </w:t>
      </w:r>
      <w:r>
        <w:rPr>
          <w:rFonts w:ascii="KaiTi" w:hAnsi="KaiTi" w:eastAsia="KaiTi" w:cs="KaiTi"/>
          <w:sz w:val="17"/>
          <w:szCs w:val="17"/>
          <w:spacing w:val="-3"/>
        </w:rPr>
        <w:t>联网如何影响工业结构升级?——基于互联网商用的自然实验.统计研究，2</w:t>
      </w:r>
      <w:r>
        <w:rPr>
          <w:rFonts w:ascii="KaiTi" w:hAnsi="KaiTi" w:eastAsia="KaiTi" w:cs="KaiTi"/>
          <w:sz w:val="17"/>
          <w:szCs w:val="17"/>
          <w:spacing w:val="-4"/>
        </w:rPr>
        <w:t>019,</w:t>
      </w:r>
      <w:r>
        <w:rPr>
          <w:rFonts w:ascii="KaiTi" w:hAnsi="KaiTi" w:eastAsia="KaiTi" w:cs="KaiTi"/>
          <w:sz w:val="17"/>
          <w:szCs w:val="17"/>
        </w:rPr>
        <w:t xml:space="preserve"> </w:t>
      </w:r>
      <w:r>
        <w:rPr>
          <w:rFonts w:ascii="SimSun" w:hAnsi="SimSun" w:eastAsia="SimSun" w:cs="SimSun"/>
          <w:sz w:val="17"/>
          <w:szCs w:val="17"/>
        </w:rPr>
        <w:t>36(12):55-67.</w:t>
      </w:r>
    </w:p>
    <w:p>
      <w:pPr>
        <w:ind w:left="319" w:right="57" w:hanging="309"/>
        <w:spacing w:before="80" w:line="260" w:lineRule="auto"/>
        <w:rPr>
          <w:rFonts w:ascii="KaiTi" w:hAnsi="KaiTi" w:eastAsia="KaiTi" w:cs="KaiTi"/>
          <w:sz w:val="17"/>
          <w:szCs w:val="17"/>
        </w:rPr>
      </w:pPr>
      <w:r>
        <w:rPr>
          <w:rFonts w:ascii="KaiTi" w:hAnsi="KaiTi" w:eastAsia="KaiTi" w:cs="KaiTi"/>
          <w:sz w:val="17"/>
          <w:szCs w:val="17"/>
          <w:spacing w:val="-2"/>
        </w:rPr>
        <w:t>③</w:t>
      </w:r>
      <w:r>
        <w:rPr>
          <w:rFonts w:ascii="KaiTi" w:hAnsi="KaiTi" w:eastAsia="KaiTi" w:cs="KaiTi"/>
          <w:sz w:val="17"/>
          <w:szCs w:val="17"/>
          <w:spacing w:val="53"/>
        </w:rPr>
        <w:t xml:space="preserve"> </w:t>
      </w:r>
      <w:r>
        <w:rPr>
          <w:rFonts w:ascii="KaiTi" w:hAnsi="KaiTi" w:eastAsia="KaiTi" w:cs="KaiTi"/>
          <w:sz w:val="17"/>
          <w:szCs w:val="17"/>
          <w:spacing w:val="-2"/>
        </w:rPr>
        <w:t>董祺.中国企业信息化创新之路有多远?——基于电子信息企业面板数据的实证</w:t>
      </w:r>
      <w:r>
        <w:rPr>
          <w:rFonts w:ascii="KaiTi" w:hAnsi="KaiTi" w:eastAsia="KaiTi" w:cs="KaiTi"/>
          <w:sz w:val="17"/>
          <w:szCs w:val="17"/>
        </w:rPr>
        <w:t xml:space="preserve"> </w:t>
      </w:r>
      <w:r>
        <w:rPr>
          <w:rFonts w:ascii="KaiTi" w:hAnsi="KaiTi" w:eastAsia="KaiTi" w:cs="KaiTi"/>
          <w:sz w:val="17"/>
          <w:szCs w:val="17"/>
          <w:spacing w:val="8"/>
        </w:rPr>
        <w:t>研究.管理世界，2013,29(7):123-129,171.</w:t>
      </w:r>
    </w:p>
    <w:p>
      <w:pPr>
        <w:ind w:left="319" w:right="62" w:hanging="309"/>
        <w:spacing w:before="67" w:line="260" w:lineRule="auto"/>
        <w:rPr>
          <w:rFonts w:ascii="SimSun" w:hAnsi="SimSun" w:eastAsia="SimSun" w:cs="SimSun"/>
          <w:sz w:val="17"/>
          <w:szCs w:val="17"/>
        </w:rPr>
      </w:pPr>
      <w:r>
        <w:rPr>
          <w:rFonts w:ascii="KaiTi" w:hAnsi="KaiTi" w:eastAsia="KaiTi" w:cs="KaiTi"/>
          <w:sz w:val="17"/>
          <w:szCs w:val="17"/>
        </w:rPr>
        <w:t>④</w:t>
      </w:r>
      <w:r>
        <w:rPr>
          <w:rFonts w:ascii="KaiTi" w:hAnsi="KaiTi" w:eastAsia="KaiTi" w:cs="KaiTi"/>
          <w:sz w:val="17"/>
          <w:szCs w:val="17"/>
          <w:spacing w:val="71"/>
          <w:w w:val="101"/>
        </w:rPr>
        <w:t xml:space="preserve"> </w:t>
      </w:r>
      <w:r>
        <w:rPr>
          <w:rFonts w:ascii="KaiTi" w:hAnsi="KaiTi" w:eastAsia="KaiTi" w:cs="KaiTi"/>
          <w:sz w:val="17"/>
          <w:szCs w:val="17"/>
        </w:rPr>
        <w:t>邵文波，盛丹.信息化与中国企业就业吸纳下降之谜.经济研究，2</w:t>
      </w:r>
      <w:r>
        <w:rPr>
          <w:rFonts w:ascii="KaiTi" w:hAnsi="KaiTi" w:eastAsia="KaiTi" w:cs="KaiTi"/>
          <w:sz w:val="17"/>
          <w:szCs w:val="17"/>
          <w:spacing w:val="-1"/>
        </w:rPr>
        <w:t>017,52(6):</w:t>
      </w:r>
      <w:r>
        <w:rPr>
          <w:rFonts w:ascii="KaiTi" w:hAnsi="KaiTi" w:eastAsia="KaiTi" w:cs="KaiTi"/>
          <w:sz w:val="17"/>
          <w:szCs w:val="17"/>
        </w:rPr>
        <w:t xml:space="preserve"> </w:t>
      </w:r>
      <w:r>
        <w:rPr>
          <w:rFonts w:ascii="SimSun" w:hAnsi="SimSun" w:eastAsia="SimSun" w:cs="SimSun"/>
          <w:sz w:val="17"/>
          <w:szCs w:val="17"/>
          <w:spacing w:val="-3"/>
        </w:rPr>
        <w:t>120-136.</w:t>
      </w:r>
    </w:p>
    <w:p>
      <w:pPr>
        <w:spacing w:line="260" w:lineRule="auto"/>
        <w:sectPr>
          <w:headerReference w:type="default" r:id="rId1"/>
          <w:pgSz w:w="7330" w:h="12480"/>
          <w:pgMar w:top="385" w:right="414" w:bottom="400" w:left="829" w:header="0" w:footer="0" w:gutter="0"/>
        </w:sectPr>
        <w:rPr>
          <w:rFonts w:ascii="SimSun" w:hAnsi="SimSun" w:eastAsia="SimSun" w:cs="SimSun"/>
          <w:sz w:val="17"/>
          <w:szCs w:val="17"/>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right="66"/>
        <w:spacing w:before="68" w:line="305" w:lineRule="auto"/>
        <w:jc w:val="both"/>
        <w:rPr>
          <w:rFonts w:ascii="SimSun" w:hAnsi="SimSun" w:eastAsia="SimSun" w:cs="SimSun"/>
          <w:sz w:val="21"/>
          <w:szCs w:val="21"/>
        </w:rPr>
      </w:pPr>
      <w:r>
        <w:rPr>
          <w:rFonts w:ascii="SimSun" w:hAnsi="SimSun" w:eastAsia="SimSun" w:cs="SimSun"/>
          <w:sz w:val="21"/>
          <w:szCs w:val="21"/>
          <w:spacing w:val="-2"/>
        </w:rPr>
        <w:t>出，高技能劳动力能有效匹配ICT</w:t>
      </w:r>
      <w:r>
        <w:rPr>
          <w:rFonts w:ascii="SimSun" w:hAnsi="SimSun" w:eastAsia="SimSun" w:cs="SimSun"/>
          <w:sz w:val="21"/>
          <w:szCs w:val="21"/>
          <w:spacing w:val="-31"/>
        </w:rPr>
        <w:t xml:space="preserve"> </w:t>
      </w:r>
      <w:r>
        <w:rPr>
          <w:rFonts w:ascii="SimSun" w:hAnsi="SimSun" w:eastAsia="SimSun" w:cs="SimSun"/>
          <w:sz w:val="21"/>
          <w:szCs w:val="21"/>
          <w:spacing w:val="-2"/>
        </w:rPr>
        <w:t>应用带来的</w:t>
      </w:r>
      <w:r>
        <w:rPr>
          <w:rFonts w:ascii="SimSun" w:hAnsi="SimSun" w:eastAsia="SimSun" w:cs="SimSun"/>
          <w:sz w:val="21"/>
          <w:szCs w:val="21"/>
          <w:spacing w:val="-3"/>
        </w:rPr>
        <w:t>生产方式与组织结构</w:t>
      </w:r>
      <w:r>
        <w:rPr>
          <w:rFonts w:ascii="SimSun" w:hAnsi="SimSun" w:eastAsia="SimSun" w:cs="SimSun"/>
          <w:sz w:val="21"/>
          <w:szCs w:val="21"/>
        </w:rPr>
        <w:t xml:space="preserve"> </w:t>
      </w:r>
      <w:r>
        <w:rPr>
          <w:rFonts w:ascii="SimSun" w:hAnsi="SimSun" w:eastAsia="SimSun" w:cs="SimSun"/>
          <w:sz w:val="21"/>
          <w:szCs w:val="21"/>
          <w:spacing w:val="-2"/>
        </w:rPr>
        <w:t>变革，而长期雇员则提升了企业对</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应用导致</w:t>
      </w:r>
      <w:r>
        <w:rPr>
          <w:rFonts w:ascii="SimSun" w:hAnsi="SimSun" w:eastAsia="SimSun" w:cs="SimSun"/>
          <w:sz w:val="21"/>
          <w:szCs w:val="21"/>
          <w:spacing w:val="-3"/>
        </w:rPr>
        <w:t>的生产柔性与分工</w:t>
      </w:r>
      <w:r>
        <w:rPr>
          <w:rFonts w:ascii="SimSun" w:hAnsi="SimSun" w:eastAsia="SimSun" w:cs="SimSun"/>
          <w:sz w:val="21"/>
          <w:szCs w:val="21"/>
        </w:rPr>
        <w:t xml:space="preserve"> </w:t>
      </w:r>
      <w:r>
        <w:rPr>
          <w:rFonts w:ascii="SimSun" w:hAnsi="SimSun" w:eastAsia="SimSun" w:cs="SimSun"/>
          <w:sz w:val="21"/>
          <w:szCs w:val="21"/>
          <w:spacing w:val="-3"/>
        </w:rPr>
        <w:t>深化的适应能力，进一步强化了</w:t>
      </w:r>
      <w:r>
        <w:rPr>
          <w:rFonts w:ascii="Times New Roman" w:hAnsi="Times New Roman" w:eastAsia="Times New Roman" w:cs="Times New Roman"/>
          <w:sz w:val="21"/>
          <w:szCs w:val="21"/>
          <w:spacing w:val="-3"/>
        </w:rPr>
        <w:t>ICT</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3"/>
        </w:rPr>
        <w:t>生产率，两类员工之间的互补</w:t>
      </w:r>
      <w:r>
        <w:rPr>
          <w:rFonts w:ascii="SimSun" w:hAnsi="SimSun" w:eastAsia="SimSun" w:cs="SimSun"/>
          <w:sz w:val="21"/>
          <w:szCs w:val="21"/>
        </w:rPr>
        <w:t xml:space="preserve"> </w:t>
      </w:r>
      <w:r>
        <w:rPr>
          <w:rFonts w:ascii="SimSun" w:hAnsi="SimSun" w:eastAsia="SimSun" w:cs="SimSun"/>
          <w:sz w:val="21"/>
          <w:szCs w:val="21"/>
          <w:spacing w:val="-10"/>
        </w:rPr>
        <w:t>效应在市场化程度更高的地区、程序化任务密度更</w:t>
      </w:r>
      <w:r>
        <w:rPr>
          <w:rFonts w:ascii="SimSun" w:hAnsi="SimSun" w:eastAsia="SimSun" w:cs="SimSun"/>
          <w:sz w:val="21"/>
          <w:szCs w:val="21"/>
          <w:spacing w:val="-11"/>
        </w:rPr>
        <w:t>大以及技术密集型</w:t>
      </w:r>
      <w:r>
        <w:rPr>
          <w:rFonts w:ascii="SimSun" w:hAnsi="SimSun" w:eastAsia="SimSun" w:cs="SimSun"/>
          <w:sz w:val="21"/>
          <w:szCs w:val="21"/>
        </w:rPr>
        <w:t xml:space="preserve"> </w:t>
      </w:r>
      <w:r>
        <w:rPr>
          <w:rFonts w:ascii="SimSun" w:hAnsi="SimSun" w:eastAsia="SimSun" w:cs="SimSun"/>
          <w:sz w:val="21"/>
          <w:szCs w:val="21"/>
          <w:spacing w:val="-2"/>
        </w:rPr>
        <w:t>行业呈现出显著增强的特征，并且规模越大的企业互补效应越强。</w:t>
      </w:r>
      <w:r>
        <w:rPr>
          <w:rFonts w:ascii="SimSun" w:hAnsi="SimSun" w:eastAsia="SimSun" w:cs="SimSun"/>
          <w:sz w:val="21"/>
          <w:szCs w:val="21"/>
          <w:spacing w:val="14"/>
        </w:rPr>
        <w:t xml:space="preserve"> </w:t>
      </w:r>
      <w:r>
        <w:rPr>
          <w:rFonts w:ascii="SimSun" w:hAnsi="SimSun" w:eastAsia="SimSun" w:cs="SimSun"/>
          <w:sz w:val="21"/>
          <w:szCs w:val="21"/>
          <w:spacing w:val="-2"/>
        </w:rPr>
        <w:t>在能源方面，樊茂清等发现</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资本投入有效降低</w:t>
      </w:r>
      <w:r>
        <w:rPr>
          <w:rFonts w:ascii="SimSun" w:hAnsi="SimSun" w:eastAsia="SimSun" w:cs="SimSun"/>
          <w:sz w:val="21"/>
          <w:szCs w:val="21"/>
          <w:spacing w:val="-3"/>
        </w:rPr>
        <w:t>了中国大部分部</w:t>
      </w:r>
      <w:r>
        <w:rPr>
          <w:rFonts w:ascii="SimSun" w:hAnsi="SimSun" w:eastAsia="SimSun" w:cs="SimSun"/>
          <w:sz w:val="21"/>
          <w:szCs w:val="21"/>
        </w:rPr>
        <w:t xml:space="preserve"> </w:t>
      </w:r>
      <w:r>
        <w:rPr>
          <w:rFonts w:ascii="SimSun" w:hAnsi="SimSun" w:eastAsia="SimSun" w:cs="SimSun"/>
          <w:sz w:val="21"/>
          <w:szCs w:val="21"/>
          <w:spacing w:val="-10"/>
        </w:rPr>
        <w:t>门的能源强度②,张三峰和魏下海对此做出进一步解释：企业应用</w:t>
      </w:r>
      <w:r>
        <w:rPr>
          <w:rFonts w:ascii="Times New Roman" w:hAnsi="Times New Roman" w:eastAsia="Times New Roman" w:cs="Times New Roman"/>
          <w:sz w:val="21"/>
          <w:szCs w:val="21"/>
          <w:spacing w:val="-10"/>
        </w:rPr>
        <w:t>I</w:t>
      </w:r>
      <w:r>
        <w:rPr>
          <w:rFonts w:ascii="Times New Roman" w:hAnsi="Times New Roman" w:eastAsia="Times New Roman" w:cs="Times New Roman"/>
          <w:sz w:val="21"/>
          <w:szCs w:val="21"/>
          <w:spacing w:val="-11"/>
        </w:rPr>
        <w:t>CT</w:t>
      </w:r>
      <w:r>
        <w:rPr>
          <w:rFonts w:ascii="Times New Roman" w:hAnsi="Times New Roman" w:eastAsia="Times New Roman" w:cs="Times New Roman"/>
          <w:sz w:val="21"/>
          <w:szCs w:val="21"/>
        </w:rPr>
        <w:t xml:space="preserve">  </w:t>
      </w:r>
      <w:r>
        <w:rPr>
          <w:rFonts w:ascii="SimSun" w:hAnsi="SimSun" w:eastAsia="SimSun" w:cs="SimSun"/>
          <w:sz w:val="21"/>
          <w:szCs w:val="21"/>
          <w:spacing w:val="-11"/>
        </w:rPr>
        <w:t>会通过促进企业技术、机器设备的更新和提升生产制造的柔性，引致</w:t>
      </w:r>
      <w:r>
        <w:rPr>
          <w:rFonts w:ascii="SimSun" w:hAnsi="SimSun" w:eastAsia="SimSun" w:cs="SimSun"/>
          <w:sz w:val="21"/>
          <w:szCs w:val="21"/>
          <w:spacing w:val="16"/>
        </w:rPr>
        <w:t xml:space="preserve"> </w:t>
      </w:r>
      <w:r>
        <w:rPr>
          <w:rFonts w:ascii="SimSun" w:hAnsi="SimSun" w:eastAsia="SimSun" w:cs="SimSun"/>
          <w:sz w:val="21"/>
          <w:szCs w:val="21"/>
          <w:spacing w:val="-13"/>
        </w:rPr>
        <w:t>技术进步和结构优化，进而降低企业能源强度。③</w:t>
      </w:r>
    </w:p>
    <w:p>
      <w:pPr>
        <w:ind w:firstLine="440"/>
        <w:spacing w:before="110" w:line="297" w:lineRule="auto"/>
        <w:jc w:val="both"/>
        <w:rPr>
          <w:rFonts w:ascii="SimSun" w:hAnsi="SimSun" w:eastAsia="SimSun" w:cs="SimSun"/>
          <w:sz w:val="21"/>
          <w:szCs w:val="21"/>
        </w:rPr>
      </w:pPr>
      <w:r>
        <w:rPr>
          <w:rFonts w:ascii="SimSun" w:hAnsi="SimSun" w:eastAsia="SimSun" w:cs="SimSun"/>
          <w:sz w:val="21"/>
          <w:szCs w:val="21"/>
          <w:spacing w:val="-8"/>
        </w:rPr>
        <w:t>数字经济中的数字通信可能会影响数字和实物商品的国际贸易。</w:t>
      </w:r>
      <w:r>
        <w:rPr>
          <w:rFonts w:ascii="SimSun" w:hAnsi="SimSun" w:eastAsia="SimSun" w:cs="SimSun"/>
          <w:sz w:val="21"/>
          <w:szCs w:val="21"/>
          <w:spacing w:val="17"/>
        </w:rPr>
        <w:t xml:space="preserve"> </w:t>
      </w:r>
      <w:r>
        <w:rPr>
          <w:rFonts w:ascii="SimSun" w:hAnsi="SimSun" w:eastAsia="SimSun" w:cs="SimSun"/>
          <w:sz w:val="21"/>
          <w:szCs w:val="21"/>
          <w:spacing w:val="-10"/>
        </w:rPr>
        <w:t>研究表明，国际通信成本降低推动了通过互联网渠道进行的实物商品</w:t>
      </w:r>
      <w:r>
        <w:rPr>
          <w:rFonts w:ascii="SimSun" w:hAnsi="SimSun" w:eastAsia="SimSun" w:cs="SimSun"/>
          <w:sz w:val="21"/>
          <w:szCs w:val="21"/>
        </w:rPr>
        <w:t xml:space="preserve">  </w:t>
      </w:r>
      <w:r>
        <w:rPr>
          <w:rFonts w:ascii="SimSun" w:hAnsi="SimSun" w:eastAsia="SimSun" w:cs="SimSun"/>
          <w:sz w:val="21"/>
          <w:szCs w:val="21"/>
          <w:spacing w:val="-10"/>
        </w:rPr>
        <w:t>贸易。◎互联网和信息化发展促进了中国的出口增长</w:t>
      </w:r>
      <w:r>
        <w:rPr>
          <w:rFonts w:ascii="SimSun" w:hAnsi="SimSun" w:eastAsia="SimSun" w:cs="SimSun"/>
          <w:sz w:val="21"/>
          <w:szCs w:val="21"/>
          <w:spacing w:val="-11"/>
        </w:rPr>
        <w:t>。李坤望等称信</w:t>
      </w:r>
      <w:r>
        <w:rPr>
          <w:rFonts w:ascii="SimSun" w:hAnsi="SimSun" w:eastAsia="SimSun" w:cs="SimSun"/>
          <w:sz w:val="21"/>
          <w:szCs w:val="21"/>
        </w:rPr>
        <w:t xml:space="preserve">  </w:t>
      </w:r>
      <w:r>
        <w:rPr>
          <w:rFonts w:ascii="SimSun" w:hAnsi="SimSun" w:eastAsia="SimSun" w:cs="SimSun"/>
          <w:sz w:val="21"/>
          <w:szCs w:val="21"/>
          <w:spacing w:val="-7"/>
        </w:rPr>
        <w:t>息化是比较优势新的来源，提升信息基础设施会改善一</w:t>
      </w:r>
      <w:r>
        <w:rPr>
          <w:rFonts w:ascii="SimSun" w:hAnsi="SimSun" w:eastAsia="SimSun" w:cs="SimSun"/>
          <w:sz w:val="21"/>
          <w:szCs w:val="21"/>
          <w:spacing w:val="-8"/>
        </w:rPr>
        <w:t>国出口绩效，</w:t>
      </w:r>
      <w:r>
        <w:rPr>
          <w:rFonts w:ascii="SimSun" w:hAnsi="SimSun" w:eastAsia="SimSun" w:cs="SimSun"/>
          <w:sz w:val="21"/>
          <w:szCs w:val="21"/>
        </w:rPr>
        <w:t xml:space="preserve"> </w:t>
      </w:r>
      <w:r>
        <w:rPr>
          <w:rFonts w:ascii="SimSun" w:hAnsi="SimSun" w:eastAsia="SimSun" w:cs="SimSun"/>
          <w:sz w:val="21"/>
          <w:szCs w:val="21"/>
          <w:spacing w:val="-10"/>
        </w:rPr>
        <w:t>信息化密度大的企业具有更高的出口倾向。⑤刘瑶和丁妍则指出中国</w:t>
      </w:r>
      <w:r>
        <w:rPr>
          <w:rFonts w:ascii="SimSun" w:hAnsi="SimSun" w:eastAsia="SimSun" w:cs="SimSun"/>
          <w:sz w:val="21"/>
          <w:szCs w:val="21"/>
        </w:rPr>
        <w:t xml:space="preserve">  </w:t>
      </w:r>
      <w:r>
        <w:rPr>
          <w:rFonts w:ascii="Times New Roman" w:hAnsi="Times New Roman" w:eastAsia="Times New Roman" w:cs="Times New Roman"/>
          <w:sz w:val="21"/>
          <w:szCs w:val="21"/>
          <w:spacing w:val="-8"/>
        </w:rPr>
        <w:t>ICT</w:t>
      </w:r>
      <w:r>
        <w:rPr>
          <w:rFonts w:ascii="SimSun" w:hAnsi="SimSun" w:eastAsia="SimSun" w:cs="SimSun"/>
          <w:sz w:val="21"/>
          <w:szCs w:val="21"/>
          <w:spacing w:val="-8"/>
        </w:rPr>
        <w:t>产品的出口增长正在从低质量低价格的“数量拉动”向高质量高</w:t>
      </w:r>
      <w:r>
        <w:rPr>
          <w:rFonts w:ascii="SimSun" w:hAnsi="SimSun" w:eastAsia="SimSun" w:cs="SimSun"/>
          <w:sz w:val="21"/>
          <w:szCs w:val="21"/>
          <w:spacing w:val="8"/>
        </w:rPr>
        <w:t xml:space="preserve">  </w:t>
      </w:r>
      <w:r>
        <w:rPr>
          <w:rFonts w:ascii="SimSun" w:hAnsi="SimSun" w:eastAsia="SimSun" w:cs="SimSun"/>
          <w:sz w:val="21"/>
          <w:szCs w:val="21"/>
          <w:spacing w:val="-10"/>
        </w:rPr>
        <w:t>价格的“价格拉动”转变，数量增长和价格提</w:t>
      </w:r>
      <w:r>
        <w:rPr>
          <w:rFonts w:ascii="SimSun" w:hAnsi="SimSun" w:eastAsia="SimSun" w:cs="SimSun"/>
          <w:sz w:val="21"/>
          <w:szCs w:val="21"/>
          <w:spacing w:val="-11"/>
        </w:rPr>
        <w:t>升并重。◎从信息角度</w:t>
      </w:r>
      <w:r>
        <w:rPr>
          <w:rFonts w:ascii="SimSun" w:hAnsi="SimSun" w:eastAsia="SimSun" w:cs="SimSun"/>
          <w:sz w:val="21"/>
          <w:szCs w:val="21"/>
        </w:rPr>
        <w:t xml:space="preserve">  </w:t>
      </w:r>
      <w:r>
        <w:rPr>
          <w:rFonts w:ascii="SimSun" w:hAnsi="SimSun" w:eastAsia="SimSun" w:cs="SimSun"/>
          <w:sz w:val="21"/>
          <w:szCs w:val="21"/>
          <w:spacing w:val="-10"/>
        </w:rPr>
        <w:t>来看，赵瑞丽等指出，互联网深化带来的信息溢出效应会修正企</w:t>
      </w:r>
      <w:r>
        <w:rPr>
          <w:rFonts w:ascii="SimSun" w:hAnsi="SimSun" w:eastAsia="SimSun" w:cs="SimSun"/>
          <w:sz w:val="21"/>
          <w:szCs w:val="21"/>
          <w:spacing w:val="-11"/>
        </w:rPr>
        <w:t>业对</w:t>
      </w:r>
    </w:p>
    <w:p>
      <w:pPr>
        <w:pStyle w:val="BodyText"/>
        <w:spacing w:line="316" w:lineRule="auto"/>
        <w:rPr/>
      </w:pPr>
      <w:r/>
    </w:p>
    <w:p>
      <w:pPr>
        <w:ind w:left="300" w:right="92" w:hanging="300"/>
        <w:spacing w:before="55" w:line="262" w:lineRule="auto"/>
        <w:rPr>
          <w:rFonts w:ascii="KaiTi" w:hAnsi="KaiTi" w:eastAsia="KaiTi" w:cs="KaiTi"/>
          <w:sz w:val="17"/>
          <w:szCs w:val="17"/>
        </w:rPr>
      </w:pPr>
      <w:r>
        <w:rPr>
          <w:rFonts w:ascii="KaiTi" w:hAnsi="KaiTi" w:eastAsia="KaiTi" w:cs="KaiTi"/>
          <w:sz w:val="17"/>
          <w:szCs w:val="17"/>
          <w:spacing w:val="-4"/>
        </w:rPr>
        <w:t>①</w:t>
      </w:r>
      <w:r>
        <w:rPr>
          <w:rFonts w:ascii="KaiTi" w:hAnsi="KaiTi" w:eastAsia="KaiTi" w:cs="KaiTi"/>
          <w:sz w:val="17"/>
          <w:szCs w:val="17"/>
          <w:spacing w:val="45"/>
          <w:w w:val="101"/>
        </w:rPr>
        <w:t xml:space="preserve"> </w:t>
      </w:r>
      <w:r>
        <w:rPr>
          <w:rFonts w:ascii="KaiTi" w:hAnsi="KaiTi" w:eastAsia="KaiTi" w:cs="KaiTi"/>
          <w:sz w:val="17"/>
          <w:szCs w:val="17"/>
          <w:spacing w:val="-4"/>
        </w:rPr>
        <w:t>何小钢，梁权熙，王善骝.信息技术、劳动力结构与企业生产率——破解“信息</w:t>
      </w:r>
      <w:r>
        <w:rPr>
          <w:rFonts w:ascii="KaiTi" w:hAnsi="KaiTi" w:eastAsia="KaiTi" w:cs="KaiTi"/>
          <w:sz w:val="17"/>
          <w:szCs w:val="17"/>
        </w:rPr>
        <w:t xml:space="preserve"> </w:t>
      </w:r>
      <w:r>
        <w:rPr>
          <w:rFonts w:ascii="KaiTi" w:hAnsi="KaiTi" w:eastAsia="KaiTi" w:cs="KaiTi"/>
          <w:sz w:val="17"/>
          <w:szCs w:val="17"/>
          <w:spacing w:val="4"/>
        </w:rPr>
        <w:t>技术生产率悖论”之谜.管理世界，2019,35(9)</w:t>
      </w:r>
      <w:r>
        <w:rPr>
          <w:rFonts w:ascii="KaiTi" w:hAnsi="KaiTi" w:eastAsia="KaiTi" w:cs="KaiTi"/>
          <w:sz w:val="17"/>
          <w:szCs w:val="17"/>
          <w:spacing w:val="3"/>
        </w:rPr>
        <w:t>:65-80.</w:t>
      </w:r>
    </w:p>
    <w:p>
      <w:pPr>
        <w:ind w:left="300" w:right="91" w:hanging="300"/>
        <w:spacing w:before="77" w:line="257" w:lineRule="auto"/>
        <w:rPr>
          <w:rFonts w:ascii="KaiTi" w:hAnsi="KaiTi" w:eastAsia="KaiTi" w:cs="KaiTi"/>
          <w:sz w:val="17"/>
          <w:szCs w:val="17"/>
        </w:rPr>
      </w:pPr>
      <w:r>
        <w:rPr>
          <w:rFonts w:ascii="KaiTi" w:hAnsi="KaiTi" w:eastAsia="KaiTi" w:cs="KaiTi"/>
          <w:sz w:val="17"/>
          <w:szCs w:val="17"/>
          <w:spacing w:val="-6"/>
        </w:rPr>
        <w:t>②</w:t>
      </w:r>
      <w:r>
        <w:rPr>
          <w:rFonts w:ascii="KaiTi" w:hAnsi="KaiTi" w:eastAsia="KaiTi" w:cs="KaiTi"/>
          <w:sz w:val="17"/>
          <w:szCs w:val="17"/>
          <w:spacing w:val="42"/>
        </w:rPr>
        <w:t xml:space="preserve"> </w:t>
      </w:r>
      <w:r>
        <w:rPr>
          <w:rFonts w:ascii="KaiTi" w:hAnsi="KaiTi" w:eastAsia="KaiTi" w:cs="KaiTi"/>
          <w:sz w:val="17"/>
          <w:szCs w:val="17"/>
          <w:spacing w:val="-6"/>
        </w:rPr>
        <w:t>樊茂清，郑海涛，孙琳琳，等，能源价格、技术变化和信息</w:t>
      </w:r>
      <w:r>
        <w:rPr>
          <w:rFonts w:ascii="KaiTi" w:hAnsi="KaiTi" w:eastAsia="KaiTi" w:cs="KaiTi"/>
          <w:sz w:val="17"/>
          <w:szCs w:val="17"/>
          <w:spacing w:val="-7"/>
        </w:rPr>
        <w:t>化投资对部门能源强</w:t>
      </w:r>
      <w:r>
        <w:rPr>
          <w:rFonts w:ascii="KaiTi" w:hAnsi="KaiTi" w:eastAsia="KaiTi" w:cs="KaiTi"/>
          <w:sz w:val="17"/>
          <w:szCs w:val="17"/>
        </w:rPr>
        <w:t xml:space="preserve"> </w:t>
      </w:r>
      <w:r>
        <w:rPr>
          <w:rFonts w:ascii="KaiTi" w:hAnsi="KaiTi" w:eastAsia="KaiTi" w:cs="KaiTi"/>
          <w:sz w:val="17"/>
          <w:szCs w:val="17"/>
          <w:spacing w:val="6"/>
        </w:rPr>
        <w:t>度的影响.世界经济，2012,35(5):22-45.</w:t>
      </w:r>
    </w:p>
    <w:p>
      <w:pPr>
        <w:ind w:left="300" w:right="94" w:hanging="300"/>
        <w:spacing w:before="87" w:line="262" w:lineRule="auto"/>
        <w:rPr>
          <w:rFonts w:ascii="KaiTi" w:hAnsi="KaiTi" w:eastAsia="KaiTi" w:cs="KaiTi"/>
          <w:sz w:val="17"/>
          <w:szCs w:val="17"/>
        </w:rPr>
      </w:pPr>
      <w:r>
        <w:rPr>
          <w:rFonts w:ascii="KaiTi" w:hAnsi="KaiTi" w:eastAsia="KaiTi" w:cs="KaiTi"/>
          <w:sz w:val="17"/>
          <w:szCs w:val="17"/>
          <w:spacing w:val="-4"/>
        </w:rPr>
        <w:t>③</w:t>
      </w:r>
      <w:r>
        <w:rPr>
          <w:rFonts w:ascii="KaiTi" w:hAnsi="KaiTi" w:eastAsia="KaiTi" w:cs="KaiTi"/>
          <w:sz w:val="17"/>
          <w:szCs w:val="17"/>
          <w:spacing w:val="52"/>
        </w:rPr>
        <w:t xml:space="preserve"> </w:t>
      </w:r>
      <w:r>
        <w:rPr>
          <w:rFonts w:ascii="KaiTi" w:hAnsi="KaiTi" w:eastAsia="KaiTi" w:cs="KaiTi"/>
          <w:sz w:val="17"/>
          <w:szCs w:val="17"/>
          <w:spacing w:val="-4"/>
        </w:rPr>
        <w:t>张三峰，魏下海.信息与通信技术是否降低了企业能源消耗</w:t>
      </w:r>
      <w:r>
        <w:rPr>
          <w:rFonts w:ascii="KaiTi" w:hAnsi="KaiTi" w:eastAsia="KaiTi" w:cs="KaiTi"/>
          <w:sz w:val="17"/>
          <w:szCs w:val="17"/>
          <w:spacing w:val="-5"/>
        </w:rPr>
        <w:t>——来自中国制造业</w:t>
      </w:r>
      <w:r>
        <w:rPr>
          <w:rFonts w:ascii="KaiTi" w:hAnsi="KaiTi" w:eastAsia="KaiTi" w:cs="KaiTi"/>
          <w:sz w:val="17"/>
          <w:szCs w:val="17"/>
        </w:rPr>
        <w:t xml:space="preserve"> </w:t>
      </w:r>
      <w:r>
        <w:rPr>
          <w:rFonts w:ascii="KaiTi" w:hAnsi="KaiTi" w:eastAsia="KaiTi" w:cs="KaiTi"/>
          <w:sz w:val="17"/>
          <w:szCs w:val="17"/>
          <w:spacing w:val="1"/>
        </w:rPr>
        <w:t>企业调查数据的证据.中国工业经济，2019(2):155-173.</w:t>
      </w:r>
    </w:p>
    <w:p>
      <w:pPr>
        <w:spacing w:before="73" w:line="212" w:lineRule="auto"/>
        <w:rPr>
          <w:rFonts w:ascii="Times New Roman" w:hAnsi="Times New Roman" w:eastAsia="Times New Roman" w:cs="Times New Roman"/>
          <w:sz w:val="17"/>
          <w:szCs w:val="17"/>
        </w:rPr>
      </w:pPr>
      <w:r>
        <w:rPr>
          <w:rFonts w:ascii="SimSun" w:hAnsi="SimSun" w:eastAsia="SimSun" w:cs="SimSun"/>
          <w:sz w:val="17"/>
          <w:szCs w:val="17"/>
          <w:spacing w:val="-2"/>
        </w:rPr>
        <w:t>④</w:t>
      </w:r>
      <w:r>
        <w:rPr>
          <w:rFonts w:ascii="SimSun" w:hAnsi="SimSun" w:eastAsia="SimSun" w:cs="SimSun"/>
          <w:sz w:val="17"/>
          <w:szCs w:val="17"/>
          <w:spacing w:val="30"/>
          <w:w w:val="101"/>
        </w:rPr>
        <w:t xml:space="preserve"> </w:t>
      </w:r>
      <w:r>
        <w:rPr>
          <w:rFonts w:ascii="Times New Roman" w:hAnsi="Times New Roman" w:eastAsia="Times New Roman" w:cs="Times New Roman"/>
          <w:sz w:val="17"/>
          <w:szCs w:val="17"/>
          <w:spacing w:val="-2"/>
        </w:rPr>
        <w:t>Caroline L.Freund,Diana Weinhold,“The Effect of</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2"/>
        </w:rPr>
        <w:t>the Internet o</w:t>
      </w:r>
      <w:r>
        <w:rPr>
          <w:rFonts w:ascii="Times New Roman" w:hAnsi="Times New Roman" w:eastAsia="Times New Roman" w:cs="Times New Roman"/>
          <w:sz w:val="17"/>
          <w:szCs w:val="17"/>
          <w:spacing w:val="-3"/>
        </w:rPr>
        <w:t>n International Trade”,</w:t>
      </w:r>
    </w:p>
    <w:p>
      <w:pPr>
        <w:ind w:left="300"/>
        <w:spacing w:before="3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Journal of</w:t>
      </w:r>
      <w:r>
        <w:rPr>
          <w:rFonts w:ascii="Times New Roman" w:hAnsi="Times New Roman" w:eastAsia="Times New Roman" w:cs="Times New Roman"/>
          <w:sz w:val="17"/>
          <w:szCs w:val="17"/>
          <w:i/>
          <w:iCs/>
          <w:spacing w:val="-25"/>
          <w:position w:val="3"/>
        </w:rPr>
        <w:t xml:space="preserve"> </w:t>
      </w:r>
      <w:r>
        <w:rPr>
          <w:rFonts w:ascii="Times New Roman" w:hAnsi="Times New Roman" w:eastAsia="Times New Roman" w:cs="Times New Roman"/>
          <w:sz w:val="17"/>
          <w:szCs w:val="17"/>
          <w:i/>
          <w:iCs/>
          <w:position w:val="3"/>
        </w:rPr>
        <w:t>International</w:t>
      </w:r>
      <w:r>
        <w:rPr>
          <w:rFonts w:ascii="Times New Roman" w:hAnsi="Times New Roman" w:eastAsia="Times New Roman" w:cs="Times New Roman"/>
          <w:sz w:val="17"/>
          <w:szCs w:val="17"/>
          <w:i/>
          <w:iCs/>
          <w:spacing w:val="-7"/>
          <w:position w:val="3"/>
        </w:rPr>
        <w:t xml:space="preserve"> </w:t>
      </w:r>
      <w:r>
        <w:rPr>
          <w:rFonts w:ascii="Times New Roman" w:hAnsi="Times New Roman" w:eastAsia="Times New Roman" w:cs="Times New Roman"/>
          <w:sz w:val="17"/>
          <w:szCs w:val="17"/>
          <w:i/>
          <w:iCs/>
          <w:position w:val="3"/>
        </w:rPr>
        <w:t>Economics,2004,62(1):171-189.</w:t>
      </w:r>
    </w:p>
    <w:p>
      <w:pPr>
        <w:ind w:left="300" w:right="91" w:hanging="300"/>
        <w:spacing w:before="93" w:line="268" w:lineRule="auto"/>
        <w:rPr>
          <w:rFonts w:ascii="KaiTi" w:hAnsi="KaiTi" w:eastAsia="KaiTi" w:cs="KaiTi"/>
          <w:sz w:val="17"/>
          <w:szCs w:val="17"/>
        </w:rPr>
      </w:pPr>
      <w:r>
        <w:rPr>
          <w:rFonts w:ascii="KaiTi" w:hAnsi="KaiTi" w:eastAsia="KaiTi" w:cs="KaiTi"/>
          <w:sz w:val="17"/>
          <w:szCs w:val="17"/>
          <w:spacing w:val="-4"/>
        </w:rPr>
        <w:t>⑤</w:t>
      </w:r>
      <w:r>
        <w:rPr>
          <w:rFonts w:ascii="KaiTi" w:hAnsi="KaiTi" w:eastAsia="KaiTi" w:cs="KaiTi"/>
          <w:sz w:val="17"/>
          <w:szCs w:val="17"/>
          <w:spacing w:val="52"/>
        </w:rPr>
        <w:t xml:space="preserve"> </w:t>
      </w:r>
      <w:r>
        <w:rPr>
          <w:rFonts w:ascii="KaiTi" w:hAnsi="KaiTi" w:eastAsia="KaiTi" w:cs="KaiTi"/>
          <w:sz w:val="17"/>
          <w:szCs w:val="17"/>
          <w:spacing w:val="-4"/>
        </w:rPr>
        <w:t>李坤望，邵文波，王永进.信息化密度、信息基础设施与企业出口</w:t>
      </w:r>
      <w:r>
        <w:rPr>
          <w:rFonts w:ascii="KaiTi" w:hAnsi="KaiTi" w:eastAsia="KaiTi" w:cs="KaiTi"/>
          <w:sz w:val="17"/>
          <w:szCs w:val="17"/>
          <w:spacing w:val="-5"/>
        </w:rPr>
        <w:t>绩效——基于</w:t>
      </w:r>
      <w:r>
        <w:rPr>
          <w:rFonts w:ascii="KaiTi" w:hAnsi="KaiTi" w:eastAsia="KaiTi" w:cs="KaiTi"/>
          <w:sz w:val="17"/>
          <w:szCs w:val="17"/>
        </w:rPr>
        <w:t xml:space="preserve"> </w:t>
      </w:r>
      <w:r>
        <w:rPr>
          <w:rFonts w:ascii="KaiTi" w:hAnsi="KaiTi" w:eastAsia="KaiTi" w:cs="KaiTi"/>
          <w:sz w:val="17"/>
          <w:szCs w:val="17"/>
          <w:spacing w:val="2"/>
        </w:rPr>
        <w:t>企业异质性的理论与实证分析.管理世界，2015,31(4)</w:t>
      </w:r>
      <w:r>
        <w:rPr>
          <w:rFonts w:ascii="KaiTi" w:hAnsi="KaiTi" w:eastAsia="KaiTi" w:cs="KaiTi"/>
          <w:sz w:val="17"/>
          <w:szCs w:val="17"/>
          <w:spacing w:val="1"/>
        </w:rPr>
        <w:t>:52-65.</w:t>
      </w:r>
    </w:p>
    <w:p>
      <w:pPr>
        <w:ind w:left="300" w:right="103" w:hanging="300"/>
        <w:spacing w:before="77" w:line="257" w:lineRule="auto"/>
        <w:rPr>
          <w:rFonts w:ascii="Times New Roman" w:hAnsi="Times New Roman" w:eastAsia="Times New Roman" w:cs="Times New Roman"/>
          <w:sz w:val="17"/>
          <w:szCs w:val="17"/>
        </w:rPr>
      </w:pPr>
      <w:r>
        <w:rPr>
          <w:rFonts w:ascii="KaiTi" w:hAnsi="KaiTi" w:eastAsia="KaiTi" w:cs="KaiTi"/>
          <w:sz w:val="17"/>
          <w:szCs w:val="17"/>
          <w:spacing w:val="-3"/>
        </w:rPr>
        <w:t>⑥</w:t>
      </w:r>
      <w:r>
        <w:rPr>
          <w:rFonts w:ascii="KaiTi" w:hAnsi="KaiTi" w:eastAsia="KaiTi" w:cs="KaiTi"/>
          <w:sz w:val="17"/>
          <w:szCs w:val="17"/>
          <w:spacing w:val="51"/>
        </w:rPr>
        <w:t xml:space="preserve"> </w:t>
      </w:r>
      <w:r>
        <w:rPr>
          <w:rFonts w:ascii="KaiTi" w:hAnsi="KaiTi" w:eastAsia="KaiTi" w:cs="KaiTi"/>
          <w:sz w:val="17"/>
          <w:szCs w:val="17"/>
          <w:spacing w:val="-3"/>
        </w:rPr>
        <w:t>刘瑶，丁妍.中国</w:t>
      </w:r>
      <w:r>
        <w:rPr>
          <w:rFonts w:ascii="Times New Roman" w:hAnsi="Times New Roman" w:eastAsia="Times New Roman" w:cs="Times New Roman"/>
          <w:sz w:val="17"/>
          <w:szCs w:val="17"/>
          <w:spacing w:val="-3"/>
        </w:rPr>
        <w:t>ICT</w:t>
      </w:r>
      <w:r>
        <w:rPr>
          <w:rFonts w:ascii="Times New Roman" w:hAnsi="Times New Roman" w:eastAsia="Times New Roman" w:cs="Times New Roman"/>
          <w:sz w:val="17"/>
          <w:szCs w:val="17"/>
          <w:spacing w:val="-12"/>
        </w:rPr>
        <w:t xml:space="preserve"> </w:t>
      </w:r>
      <w:r>
        <w:rPr>
          <w:rFonts w:ascii="KaiTi" w:hAnsi="KaiTi" w:eastAsia="KaiTi" w:cs="KaiTi"/>
          <w:sz w:val="17"/>
          <w:szCs w:val="17"/>
          <w:spacing w:val="-3"/>
        </w:rPr>
        <w:t>产品的出口增长是否实</w:t>
      </w:r>
      <w:r>
        <w:rPr>
          <w:rFonts w:ascii="KaiTi" w:hAnsi="KaiTi" w:eastAsia="KaiTi" w:cs="KaiTi"/>
          <w:sz w:val="17"/>
          <w:szCs w:val="17"/>
          <w:spacing w:val="-4"/>
        </w:rPr>
        <w:t>现了以质取胜——基于三元分解及</w:t>
      </w:r>
      <w:r>
        <w:rPr>
          <w:rFonts w:ascii="KaiTi" w:hAnsi="KaiTi" w:eastAsia="KaiTi" w:cs="KaiTi"/>
          <w:sz w:val="17"/>
          <w:szCs w:val="17"/>
        </w:rPr>
        <w:t xml:space="preserve"> </w:t>
      </w:r>
      <w:r>
        <w:rPr>
          <w:rFonts w:ascii="KaiTi" w:hAnsi="KaiTi" w:eastAsia="KaiTi" w:cs="KaiTi"/>
          <w:sz w:val="17"/>
          <w:szCs w:val="17"/>
          <w:spacing w:val="-1"/>
        </w:rPr>
        <w:t>引力模型的实证研究.中国工业经济，2015(1):</w:t>
      </w:r>
      <w:r>
        <w:rPr>
          <w:rFonts w:ascii="Times New Roman" w:hAnsi="Times New Roman" w:eastAsia="Times New Roman" w:cs="Times New Roman"/>
          <w:sz w:val="17"/>
          <w:szCs w:val="17"/>
          <w:spacing w:val="-1"/>
        </w:rPr>
        <w:t>52-64.</w:t>
      </w:r>
    </w:p>
    <w:p>
      <w:pPr>
        <w:spacing w:line="257" w:lineRule="auto"/>
        <w:sectPr>
          <w:headerReference w:type="default" r:id="rId86"/>
          <w:pgSz w:w="7330" w:h="12480"/>
          <w:pgMar w:top="815" w:right="875" w:bottom="400" w:left="339" w:header="631" w:footer="0" w:gutter="0"/>
        </w:sectPr>
        <w:rPr>
          <w:rFonts w:ascii="Times New Roman" w:hAnsi="Times New Roman" w:eastAsia="Times New Roman" w:cs="Times New Roman"/>
          <w:sz w:val="17"/>
          <w:szCs w:val="17"/>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right="39"/>
        <w:spacing w:before="65" w:line="313" w:lineRule="auto"/>
        <w:jc w:val="both"/>
        <w:rPr>
          <w:rFonts w:ascii="SimSun" w:hAnsi="SimSun" w:eastAsia="SimSun" w:cs="SimSun"/>
          <w:sz w:val="20"/>
          <w:szCs w:val="20"/>
        </w:rPr>
      </w:pPr>
      <w:r>
        <w:rPr>
          <w:rFonts w:ascii="SimSun" w:hAnsi="SimSun" w:eastAsia="SimSun" w:cs="SimSun"/>
          <w:sz w:val="20"/>
          <w:szCs w:val="20"/>
          <w:spacing w:val="2"/>
        </w:rPr>
        <w:t>国际市场不确定性的预期，提高对目的国市场成本冲击的估计精度，</w:t>
      </w:r>
      <w:r>
        <w:rPr>
          <w:rFonts w:ascii="SimSun" w:hAnsi="SimSun" w:eastAsia="SimSun" w:cs="SimSun"/>
          <w:sz w:val="20"/>
          <w:szCs w:val="20"/>
          <w:spacing w:val="9"/>
        </w:rPr>
        <w:t xml:space="preserve"> </w:t>
      </w:r>
      <w:r>
        <w:rPr>
          <w:rFonts w:ascii="SimSun" w:hAnsi="SimSun" w:eastAsia="SimSun" w:cs="SimSun"/>
          <w:sz w:val="20"/>
          <w:szCs w:val="20"/>
        </w:rPr>
        <w:t>进而提高出口参与度和出口稳定性。①刘海洋等则认为互联网使间接</w:t>
      </w:r>
      <w:r>
        <w:rPr>
          <w:rFonts w:ascii="SimSun" w:hAnsi="SimSun" w:eastAsia="SimSun" w:cs="SimSun"/>
          <w:sz w:val="20"/>
          <w:szCs w:val="20"/>
          <w:spacing w:val="16"/>
        </w:rPr>
        <w:t xml:space="preserve"> </w:t>
      </w:r>
      <w:r>
        <w:rPr>
          <w:rFonts w:ascii="SimSun" w:hAnsi="SimSun" w:eastAsia="SimSun" w:cs="SimSun"/>
          <w:sz w:val="20"/>
          <w:szCs w:val="20"/>
          <w:spacing w:val="-1"/>
        </w:rPr>
        <w:t>出口变为直接出口，促使企业摆脱贸易中介，因此提高了出口规模和</w:t>
      </w:r>
      <w:r>
        <w:rPr>
          <w:rFonts w:ascii="SimSun" w:hAnsi="SimSun" w:eastAsia="SimSun" w:cs="SimSun"/>
          <w:sz w:val="20"/>
          <w:szCs w:val="20"/>
          <w:spacing w:val="1"/>
        </w:rPr>
        <w:t xml:space="preserve">  </w:t>
      </w:r>
      <w:r>
        <w:rPr>
          <w:rFonts w:ascii="SimSun" w:hAnsi="SimSun" w:eastAsia="SimSun" w:cs="SimSun"/>
          <w:sz w:val="20"/>
          <w:szCs w:val="20"/>
          <w:spacing w:val="-1"/>
        </w:rPr>
        <w:t>出口利润。②从创新角度看，沈国兵和袁征宇指出，互联网促使企业</w:t>
      </w:r>
      <w:r>
        <w:rPr>
          <w:rFonts w:ascii="SimSun" w:hAnsi="SimSun" w:eastAsia="SimSun" w:cs="SimSun"/>
          <w:sz w:val="20"/>
          <w:szCs w:val="20"/>
          <w:spacing w:val="1"/>
        </w:rPr>
        <w:t xml:space="preserve">  </w:t>
      </w:r>
      <w:r>
        <w:rPr>
          <w:rFonts w:ascii="SimSun" w:hAnsi="SimSun" w:eastAsia="SimSun" w:cs="SimSun"/>
          <w:sz w:val="20"/>
          <w:szCs w:val="20"/>
        </w:rPr>
        <w:t>提升创新能力，进而增加企业出口。③另一方面，加强创新保护会激</w:t>
      </w:r>
      <w:r>
        <w:rPr>
          <w:rFonts w:ascii="SimSun" w:hAnsi="SimSun" w:eastAsia="SimSun" w:cs="SimSun"/>
          <w:sz w:val="20"/>
          <w:szCs w:val="20"/>
          <w:spacing w:val="16"/>
        </w:rPr>
        <w:t xml:space="preserve"> </w:t>
      </w:r>
      <w:r>
        <w:rPr>
          <w:rFonts w:ascii="SimSun" w:hAnsi="SimSun" w:eastAsia="SimSun" w:cs="SimSun"/>
          <w:sz w:val="20"/>
          <w:szCs w:val="20"/>
        </w:rPr>
        <w:t>励企业提高中间投入品质量，促进企业出口产</w:t>
      </w:r>
      <w:r>
        <w:rPr>
          <w:rFonts w:ascii="SimSun" w:hAnsi="SimSun" w:eastAsia="SimSun" w:cs="SimSun"/>
          <w:sz w:val="20"/>
          <w:szCs w:val="20"/>
          <w:spacing w:val="-1"/>
        </w:rPr>
        <w:t>品质量的提升，而互联 </w:t>
      </w:r>
      <w:r>
        <w:rPr>
          <w:rFonts w:ascii="SimSun" w:hAnsi="SimSun" w:eastAsia="SimSun" w:cs="SimSun"/>
          <w:sz w:val="20"/>
          <w:szCs w:val="20"/>
          <w:spacing w:val="-1"/>
        </w:rPr>
        <w:t>网化引致的产品管理能力提高能加强创新保护，从而提升企业出口产</w:t>
      </w:r>
      <w:r>
        <w:rPr>
          <w:rFonts w:ascii="SimSun" w:hAnsi="SimSun" w:eastAsia="SimSun" w:cs="SimSun"/>
          <w:sz w:val="20"/>
          <w:szCs w:val="20"/>
          <w:spacing w:val="2"/>
        </w:rPr>
        <w:t xml:space="preserve">  </w:t>
      </w:r>
      <w:r>
        <w:rPr>
          <w:rFonts w:ascii="SimSun" w:hAnsi="SimSun" w:eastAsia="SimSun" w:cs="SimSun"/>
          <w:sz w:val="20"/>
          <w:szCs w:val="20"/>
          <w:spacing w:val="-1"/>
        </w:rPr>
        <w:t>品质量。④戴美虹则发现互联网还会通过促使企业内的资源重置进而</w:t>
      </w:r>
      <w:r>
        <w:rPr>
          <w:rFonts w:ascii="SimSun" w:hAnsi="SimSun" w:eastAsia="SimSun" w:cs="SimSun"/>
          <w:sz w:val="20"/>
          <w:szCs w:val="20"/>
          <w:spacing w:val="2"/>
        </w:rPr>
        <w:t xml:space="preserve">  </w:t>
      </w:r>
      <w:r>
        <w:rPr>
          <w:rFonts w:ascii="SimSun" w:hAnsi="SimSun" w:eastAsia="SimSun" w:cs="SimSun"/>
          <w:sz w:val="20"/>
          <w:szCs w:val="20"/>
        </w:rPr>
        <w:t>促进出口企业创新。⑤此外，互联网也将通过</w:t>
      </w:r>
      <w:r>
        <w:rPr>
          <w:rFonts w:ascii="SimSun" w:hAnsi="SimSun" w:eastAsia="SimSun" w:cs="SimSun"/>
          <w:sz w:val="20"/>
          <w:szCs w:val="20"/>
          <w:spacing w:val="-1"/>
        </w:rPr>
        <w:t>贸易可变成本、进口价 </w:t>
      </w:r>
      <w:r>
        <w:rPr>
          <w:rFonts w:ascii="SimSun" w:hAnsi="SimSun" w:eastAsia="SimSun" w:cs="SimSun"/>
          <w:sz w:val="20"/>
          <w:szCs w:val="20"/>
          <w:spacing w:val="-4"/>
        </w:rPr>
        <w:t>格及其离散度影响企业进口绩效。◎</w:t>
      </w:r>
    </w:p>
    <w:p>
      <w:pPr>
        <w:ind w:right="85" w:firstLine="439"/>
        <w:spacing w:before="214" w:line="332" w:lineRule="auto"/>
        <w:jc w:val="both"/>
        <w:rPr>
          <w:rFonts w:ascii="SimSun" w:hAnsi="SimSun" w:eastAsia="SimSun" w:cs="SimSun"/>
          <w:sz w:val="20"/>
          <w:szCs w:val="20"/>
        </w:rPr>
      </w:pPr>
      <w:r>
        <w:rPr>
          <w:rFonts w:ascii="SimSun" w:hAnsi="SimSun" w:eastAsia="SimSun" w:cs="SimSun"/>
          <w:sz w:val="20"/>
          <w:szCs w:val="20"/>
          <w:spacing w:val="7"/>
        </w:rPr>
        <w:t>数字经济在城乡之间的发展不平衡，可能影响城</w:t>
      </w:r>
      <w:r>
        <w:rPr>
          <w:rFonts w:ascii="SimSun" w:hAnsi="SimSun" w:eastAsia="SimSun" w:cs="SimSun"/>
          <w:sz w:val="20"/>
          <w:szCs w:val="20"/>
          <w:spacing w:val="6"/>
        </w:rPr>
        <w:t>乡之间经济利</w:t>
      </w:r>
      <w:r>
        <w:rPr>
          <w:rFonts w:ascii="SimSun" w:hAnsi="SimSun" w:eastAsia="SimSun" w:cs="SimSun"/>
          <w:sz w:val="20"/>
          <w:szCs w:val="20"/>
        </w:rPr>
        <w:t xml:space="preserve"> </w:t>
      </w:r>
      <w:r>
        <w:rPr>
          <w:rFonts w:ascii="SimSun" w:hAnsi="SimSun" w:eastAsia="SimSun" w:cs="SimSun"/>
          <w:sz w:val="20"/>
          <w:szCs w:val="20"/>
        </w:rPr>
        <w:t>益的重新分配。有学者指出，数字通信可以</w:t>
      </w:r>
      <w:r>
        <w:rPr>
          <w:rFonts w:ascii="SimSun" w:hAnsi="SimSun" w:eastAsia="SimSun" w:cs="SimSun"/>
          <w:sz w:val="20"/>
          <w:szCs w:val="20"/>
          <w:spacing w:val="-1"/>
        </w:rPr>
        <w:t>替代或补充城市的很多功</w:t>
      </w:r>
      <w:r>
        <w:rPr>
          <w:rFonts w:ascii="SimSun" w:hAnsi="SimSun" w:eastAsia="SimSun" w:cs="SimSun"/>
          <w:sz w:val="20"/>
          <w:szCs w:val="20"/>
        </w:rPr>
        <w:t xml:space="preserve"> </w:t>
      </w:r>
      <w:r>
        <w:rPr>
          <w:rFonts w:ascii="SimSun" w:hAnsi="SimSun" w:eastAsia="SimSun" w:cs="SimSun"/>
          <w:sz w:val="20"/>
          <w:szCs w:val="20"/>
        </w:rPr>
        <w:t>能。②总体而言，现有研究表明数字技术和数据的最大受益者是大城</w:t>
      </w:r>
      <w:r>
        <w:rPr>
          <w:rFonts w:ascii="SimSun" w:hAnsi="SimSun" w:eastAsia="SimSun" w:cs="SimSun"/>
          <w:sz w:val="20"/>
          <w:szCs w:val="20"/>
          <w:spacing w:val="18"/>
        </w:rPr>
        <w:t xml:space="preserve"> </w:t>
      </w:r>
      <w:r>
        <w:rPr>
          <w:rFonts w:ascii="SimSun" w:hAnsi="SimSun" w:eastAsia="SimSun" w:cs="SimSun"/>
          <w:sz w:val="20"/>
          <w:szCs w:val="20"/>
          <w:spacing w:val="-1"/>
        </w:rPr>
        <w:t>市。相比于农村地区而言，城市受益的机制主要取决于集聚效应，特</w:t>
      </w:r>
      <w:r>
        <w:rPr>
          <w:rFonts w:ascii="SimSun" w:hAnsi="SimSun" w:eastAsia="SimSun" w:cs="SimSun"/>
          <w:sz w:val="20"/>
          <w:szCs w:val="20"/>
          <w:spacing w:val="15"/>
        </w:rPr>
        <w:t xml:space="preserve"> </w:t>
      </w:r>
      <w:r>
        <w:rPr>
          <w:rFonts w:ascii="SimSun" w:hAnsi="SimSun" w:eastAsia="SimSun" w:cs="SimSun"/>
          <w:sz w:val="20"/>
          <w:szCs w:val="20"/>
        </w:rPr>
        <w:t>别是当地劳动力市场的技术人才储备。研究</w:t>
      </w:r>
      <w:r>
        <w:rPr>
          <w:rFonts w:ascii="SimSun" w:hAnsi="SimSun" w:eastAsia="SimSun" w:cs="SimSun"/>
          <w:sz w:val="20"/>
          <w:szCs w:val="20"/>
          <w:spacing w:val="-1"/>
        </w:rPr>
        <w:t>发现，城市中的企业和大</w:t>
      </w:r>
    </w:p>
    <w:p>
      <w:pPr>
        <w:spacing w:line="219" w:lineRule="auto"/>
        <w:rPr>
          <w:rFonts w:ascii="SimSun" w:hAnsi="SimSun" w:eastAsia="SimSun" w:cs="SimSun"/>
          <w:sz w:val="20"/>
          <w:szCs w:val="20"/>
        </w:rPr>
      </w:pPr>
      <w:r>
        <w:rPr>
          <w:rFonts w:ascii="SimSun" w:hAnsi="SimSun" w:eastAsia="SimSun" w:cs="SimSun"/>
          <w:sz w:val="20"/>
          <w:szCs w:val="20"/>
          <w:spacing w:val="6"/>
        </w:rPr>
        <w:t>公司互联网使用率更高，但与城市或大公司的相关优势是相互替代</w:t>
      </w:r>
    </w:p>
    <w:p>
      <w:pPr>
        <w:pStyle w:val="BodyText"/>
        <w:spacing w:line="329" w:lineRule="auto"/>
        <w:rPr/>
      </w:pPr>
      <w:r/>
    </w:p>
    <w:p>
      <w:pPr>
        <w:ind w:left="329" w:right="29" w:hanging="329"/>
        <w:spacing w:before="52" w:line="236" w:lineRule="auto"/>
        <w:rPr>
          <w:rFonts w:ascii="SimSun" w:hAnsi="SimSun" w:eastAsia="SimSun" w:cs="SimSun"/>
          <w:sz w:val="20"/>
          <w:szCs w:val="20"/>
        </w:rPr>
      </w:pPr>
      <w:r>
        <w:rPr>
          <w:rFonts w:ascii="KaiTi" w:hAnsi="KaiTi" w:eastAsia="KaiTi" w:cs="KaiTi"/>
          <w:sz w:val="16"/>
          <w:szCs w:val="16"/>
          <w:spacing w:val="-1"/>
        </w:rPr>
        <w:t>①</w:t>
      </w:r>
      <w:r>
        <w:rPr>
          <w:rFonts w:ascii="KaiTi" w:hAnsi="KaiTi" w:eastAsia="KaiTi" w:cs="KaiTi"/>
          <w:sz w:val="16"/>
          <w:szCs w:val="16"/>
          <w:spacing w:val="46"/>
        </w:rPr>
        <w:t xml:space="preserve"> </w:t>
      </w:r>
      <w:r>
        <w:rPr>
          <w:rFonts w:ascii="KaiTi" w:hAnsi="KaiTi" w:eastAsia="KaiTi" w:cs="KaiTi"/>
          <w:sz w:val="16"/>
          <w:szCs w:val="16"/>
          <w:spacing w:val="-1"/>
        </w:rPr>
        <w:t>赵瑞丽，谭用，崔凯雯.互联网深化、信息不确定性与企业出口</w:t>
      </w:r>
      <w:r>
        <w:rPr>
          <w:rFonts w:ascii="KaiTi" w:hAnsi="KaiTi" w:eastAsia="KaiTi" w:cs="KaiTi"/>
          <w:sz w:val="16"/>
          <w:szCs w:val="16"/>
          <w:spacing w:val="-2"/>
        </w:rPr>
        <w:t>平稳性，统计研究，</w:t>
      </w:r>
      <w:r>
        <w:rPr>
          <w:rFonts w:ascii="KaiTi" w:hAnsi="KaiTi" w:eastAsia="KaiTi" w:cs="KaiTi"/>
          <w:sz w:val="16"/>
          <w:szCs w:val="16"/>
        </w:rPr>
        <w:t xml:space="preserve"> </w:t>
      </w:r>
      <w:r>
        <w:rPr>
          <w:rFonts w:ascii="SimSun" w:hAnsi="SimSun" w:eastAsia="SimSun" w:cs="SimSun"/>
          <w:sz w:val="20"/>
          <w:szCs w:val="20"/>
        </w:rPr>
        <w:t>2021,38(7):32-46.</w:t>
      </w:r>
    </w:p>
    <w:p>
      <w:pPr>
        <w:ind w:left="329" w:right="46" w:hanging="329"/>
        <w:spacing w:before="55" w:line="233" w:lineRule="auto"/>
        <w:rPr>
          <w:rFonts w:ascii="SimSun" w:hAnsi="SimSun" w:eastAsia="SimSun" w:cs="SimSun"/>
          <w:sz w:val="20"/>
          <w:szCs w:val="20"/>
        </w:rPr>
      </w:pPr>
      <w:r>
        <w:rPr>
          <w:rFonts w:ascii="SimSun" w:hAnsi="SimSun" w:eastAsia="SimSun" w:cs="SimSun"/>
          <w:sz w:val="20"/>
          <w:szCs w:val="20"/>
          <w:spacing w:val="-21"/>
          <w:w w:val="97"/>
        </w:rPr>
        <w:t>②</w:t>
      </w:r>
      <w:r>
        <w:rPr>
          <w:rFonts w:ascii="SimSun" w:hAnsi="SimSun" w:eastAsia="SimSun" w:cs="SimSun"/>
          <w:sz w:val="20"/>
          <w:szCs w:val="20"/>
          <w:spacing w:val="46"/>
        </w:rPr>
        <w:t xml:space="preserve"> </w:t>
      </w:r>
      <w:r>
        <w:rPr>
          <w:rFonts w:ascii="SimSun" w:hAnsi="SimSun" w:eastAsia="SimSun" w:cs="SimSun"/>
          <w:sz w:val="20"/>
          <w:szCs w:val="20"/>
          <w:spacing w:val="-21"/>
          <w:w w:val="97"/>
        </w:rPr>
        <w:t>刘海洋，高璐，林令涛.互联网、企业出口模式变革及其影响.经济学(季刊),</w:t>
      </w:r>
      <w:r>
        <w:rPr>
          <w:rFonts w:ascii="SimSun" w:hAnsi="SimSun" w:eastAsia="SimSun" w:cs="SimSun"/>
          <w:sz w:val="20"/>
          <w:szCs w:val="20"/>
        </w:rPr>
        <w:t xml:space="preserve"> </w:t>
      </w:r>
      <w:r>
        <w:rPr>
          <w:rFonts w:ascii="SimSun" w:hAnsi="SimSun" w:eastAsia="SimSun" w:cs="SimSun"/>
          <w:sz w:val="20"/>
          <w:szCs w:val="20"/>
          <w:spacing w:val="-4"/>
        </w:rPr>
        <w:t>2020,19(1):261-280.</w:t>
      </w:r>
    </w:p>
    <w:p>
      <w:pPr>
        <w:ind w:left="329" w:right="53" w:hanging="329"/>
        <w:spacing w:before="81" w:line="257" w:lineRule="auto"/>
        <w:rPr>
          <w:rFonts w:ascii="SimSun" w:hAnsi="SimSun" w:eastAsia="SimSun" w:cs="SimSun"/>
          <w:sz w:val="20"/>
          <w:szCs w:val="20"/>
        </w:rPr>
      </w:pPr>
      <w:r>
        <w:rPr>
          <w:rFonts w:ascii="KaiTi" w:hAnsi="KaiTi" w:eastAsia="KaiTi" w:cs="KaiTi"/>
          <w:sz w:val="16"/>
          <w:szCs w:val="16"/>
          <w:spacing w:val="6"/>
        </w:rPr>
        <w:t>③</w:t>
      </w:r>
      <w:r>
        <w:rPr>
          <w:rFonts w:ascii="KaiTi" w:hAnsi="KaiTi" w:eastAsia="KaiTi" w:cs="KaiTi"/>
          <w:sz w:val="16"/>
          <w:szCs w:val="16"/>
          <w:spacing w:val="60"/>
          <w:w w:val="101"/>
        </w:rPr>
        <w:t xml:space="preserve"> </w:t>
      </w:r>
      <w:r>
        <w:rPr>
          <w:rFonts w:ascii="KaiTi" w:hAnsi="KaiTi" w:eastAsia="KaiTi" w:cs="KaiTi"/>
          <w:sz w:val="16"/>
          <w:szCs w:val="16"/>
          <w:spacing w:val="6"/>
        </w:rPr>
        <w:t>沈国兵，袁征宇.企业互联网化对中国企业创新及出口的影响.经济研究，2020,</w:t>
      </w:r>
      <w:r>
        <w:rPr>
          <w:rFonts w:ascii="KaiTi" w:hAnsi="KaiTi" w:eastAsia="KaiTi" w:cs="KaiTi"/>
          <w:sz w:val="16"/>
          <w:szCs w:val="16"/>
        </w:rPr>
        <w:t xml:space="preserve"> </w:t>
      </w:r>
      <w:r>
        <w:rPr>
          <w:rFonts w:ascii="SimSun" w:hAnsi="SimSun" w:eastAsia="SimSun" w:cs="SimSun"/>
          <w:sz w:val="20"/>
          <w:szCs w:val="20"/>
        </w:rPr>
        <w:t>55(1):33-48.</w:t>
      </w:r>
    </w:p>
    <w:p>
      <w:pPr>
        <w:ind w:left="329" w:hanging="329"/>
        <w:spacing w:before="28" w:line="262" w:lineRule="auto"/>
        <w:rPr>
          <w:rFonts w:ascii="SimSun" w:hAnsi="SimSun" w:eastAsia="SimSun" w:cs="SimSun"/>
          <w:sz w:val="16"/>
          <w:szCs w:val="16"/>
        </w:rPr>
      </w:pPr>
      <w:r>
        <w:rPr>
          <w:rFonts w:ascii="KaiTi" w:hAnsi="KaiTi" w:eastAsia="KaiTi" w:cs="KaiTi"/>
          <w:sz w:val="20"/>
          <w:szCs w:val="20"/>
          <w:spacing w:val="-22"/>
          <w:w w:val="94"/>
        </w:rPr>
        <w:t>④</w:t>
      </w:r>
      <w:r>
        <w:rPr>
          <w:rFonts w:ascii="KaiTi" w:hAnsi="KaiTi" w:eastAsia="KaiTi" w:cs="KaiTi"/>
          <w:sz w:val="20"/>
          <w:szCs w:val="20"/>
          <w:spacing w:val="54"/>
        </w:rPr>
        <w:t xml:space="preserve"> </w:t>
      </w:r>
      <w:r>
        <w:rPr>
          <w:rFonts w:ascii="KaiTi" w:hAnsi="KaiTi" w:eastAsia="KaiTi" w:cs="KaiTi"/>
          <w:sz w:val="20"/>
          <w:szCs w:val="20"/>
          <w:spacing w:val="-22"/>
          <w:w w:val="94"/>
        </w:rPr>
        <w:t>沈国兵，袁征宇.互联网化、创新保护与中国企业出口产品质量提升.世界经济，</w:t>
      </w:r>
      <w:r>
        <w:rPr>
          <w:rFonts w:ascii="KaiTi" w:hAnsi="KaiTi" w:eastAsia="KaiTi" w:cs="KaiTi"/>
          <w:sz w:val="20"/>
          <w:szCs w:val="20"/>
        </w:rPr>
        <w:t xml:space="preserve"> </w:t>
      </w:r>
      <w:r>
        <w:rPr>
          <w:rFonts w:ascii="SimSun" w:hAnsi="SimSun" w:eastAsia="SimSun" w:cs="SimSun"/>
          <w:sz w:val="16"/>
          <w:szCs w:val="16"/>
        </w:rPr>
        <w:t>2020,43(11):127-151.</w:t>
      </w:r>
    </w:p>
    <w:p>
      <w:pPr>
        <w:ind w:left="329" w:right="19" w:hanging="329"/>
        <w:spacing w:before="78" w:line="278" w:lineRule="auto"/>
        <w:rPr>
          <w:rFonts w:ascii="SimSun" w:hAnsi="SimSun" w:eastAsia="SimSun" w:cs="SimSun"/>
          <w:sz w:val="16"/>
          <w:szCs w:val="16"/>
        </w:rPr>
      </w:pPr>
      <w:r>
        <w:rPr>
          <w:rFonts w:ascii="KaiTi" w:hAnsi="KaiTi" w:eastAsia="KaiTi" w:cs="KaiTi"/>
          <w:sz w:val="16"/>
          <w:szCs w:val="16"/>
          <w:spacing w:val="1"/>
        </w:rPr>
        <w:t>⑤</w:t>
      </w:r>
      <w:r>
        <w:rPr>
          <w:rFonts w:ascii="KaiTi" w:hAnsi="KaiTi" w:eastAsia="KaiTi" w:cs="KaiTi"/>
          <w:sz w:val="16"/>
          <w:szCs w:val="16"/>
          <w:spacing w:val="57"/>
        </w:rPr>
        <w:t xml:space="preserve"> </w:t>
      </w:r>
      <w:r>
        <w:rPr>
          <w:rFonts w:ascii="KaiTi" w:hAnsi="KaiTi" w:eastAsia="KaiTi" w:cs="KaiTi"/>
          <w:sz w:val="16"/>
          <w:szCs w:val="16"/>
          <w:spacing w:val="1"/>
        </w:rPr>
        <w:t>戴美虹.互联网技术与出口企业创新活动——基于企业内资源重置视角</w:t>
      </w:r>
      <w:r>
        <w:rPr>
          <w:rFonts w:ascii="KaiTi" w:hAnsi="KaiTi" w:eastAsia="KaiTi" w:cs="KaiTi"/>
          <w:sz w:val="16"/>
          <w:szCs w:val="16"/>
        </w:rPr>
        <w:t>.统计研究，</w:t>
      </w:r>
      <w:r>
        <w:rPr>
          <w:rFonts w:ascii="KaiTi" w:hAnsi="KaiTi" w:eastAsia="KaiTi" w:cs="KaiTi"/>
          <w:sz w:val="16"/>
          <w:szCs w:val="16"/>
        </w:rPr>
        <w:t xml:space="preserve"> </w:t>
      </w:r>
      <w:r>
        <w:rPr>
          <w:rFonts w:ascii="SimSun" w:hAnsi="SimSun" w:eastAsia="SimSun" w:cs="SimSun"/>
          <w:sz w:val="16"/>
          <w:szCs w:val="16"/>
        </w:rPr>
        <w:t>2019,36(11):62-75.</w:t>
      </w:r>
    </w:p>
    <w:p>
      <w:pPr>
        <w:ind w:left="329" w:right="92" w:hanging="329"/>
        <w:spacing w:before="50" w:line="239" w:lineRule="auto"/>
        <w:rPr>
          <w:rFonts w:ascii="KaiTi" w:hAnsi="KaiTi" w:eastAsia="KaiTi" w:cs="KaiTi"/>
          <w:sz w:val="20"/>
          <w:szCs w:val="20"/>
        </w:rPr>
      </w:pPr>
      <w:r>
        <w:rPr>
          <w:rFonts w:ascii="KaiTi" w:hAnsi="KaiTi" w:eastAsia="KaiTi" w:cs="KaiTi"/>
          <w:sz w:val="20"/>
          <w:szCs w:val="20"/>
          <w:spacing w:val="-22"/>
          <w:w w:val="94"/>
        </w:rPr>
        <w:t>⑥</w:t>
      </w:r>
      <w:r>
        <w:rPr>
          <w:rFonts w:ascii="KaiTi" w:hAnsi="KaiTi" w:eastAsia="KaiTi" w:cs="KaiTi"/>
          <w:sz w:val="20"/>
          <w:szCs w:val="20"/>
          <w:spacing w:val="45"/>
        </w:rPr>
        <w:t xml:space="preserve"> </w:t>
      </w:r>
      <w:r>
        <w:rPr>
          <w:rFonts w:ascii="KaiTi" w:hAnsi="KaiTi" w:eastAsia="KaiTi" w:cs="KaiTi"/>
          <w:sz w:val="20"/>
          <w:szCs w:val="20"/>
          <w:spacing w:val="-22"/>
          <w:w w:val="94"/>
        </w:rPr>
        <w:t>谭用，孙浦阳，胡雪波，等.互联网、信息外溢与进口</w:t>
      </w:r>
      <w:r>
        <w:rPr>
          <w:rFonts w:ascii="KaiTi" w:hAnsi="KaiTi" w:eastAsia="KaiTi" w:cs="KaiTi"/>
          <w:sz w:val="20"/>
          <w:szCs w:val="20"/>
          <w:spacing w:val="-23"/>
          <w:w w:val="94"/>
        </w:rPr>
        <w:t>绩效：理论分析与经验研</w:t>
      </w:r>
      <w:r>
        <w:rPr>
          <w:rFonts w:ascii="KaiTi" w:hAnsi="KaiTi" w:eastAsia="KaiTi" w:cs="KaiTi"/>
          <w:sz w:val="20"/>
          <w:szCs w:val="20"/>
        </w:rPr>
        <w:t xml:space="preserve"> </w:t>
      </w:r>
      <w:r>
        <w:rPr>
          <w:rFonts w:ascii="KaiTi" w:hAnsi="KaiTi" w:eastAsia="KaiTi" w:cs="KaiTi"/>
          <w:sz w:val="20"/>
          <w:szCs w:val="20"/>
          <w:spacing w:val="-12"/>
        </w:rPr>
        <w:t>究.世界经济，2019,42(12):77-98.</w:t>
      </w:r>
    </w:p>
    <w:p>
      <w:pPr>
        <w:spacing w:before="102" w:line="214" w:lineRule="auto"/>
        <w:rPr>
          <w:rFonts w:ascii="SimSun" w:hAnsi="SimSun" w:eastAsia="SimSun" w:cs="SimSun"/>
          <w:sz w:val="16"/>
          <w:szCs w:val="16"/>
        </w:rPr>
      </w:pPr>
      <w:r>
        <w:rPr>
          <w:rFonts w:ascii="SimSun" w:hAnsi="SimSun" w:eastAsia="SimSun" w:cs="SimSun"/>
          <w:sz w:val="16"/>
          <w:szCs w:val="16"/>
          <w:spacing w:val="-8"/>
        </w:rPr>
        <w:t>②  Jess Gaspar,Edward L</w:t>
      </w:r>
      <w:r>
        <w:rPr>
          <w:rFonts w:ascii="SimSun" w:hAnsi="SimSun" w:eastAsia="SimSun" w:cs="SimSun"/>
          <w:sz w:val="16"/>
          <w:szCs w:val="16"/>
          <w:spacing w:val="-9"/>
        </w:rPr>
        <w:t>.Glaeser,“Information Technology and the Future</w:t>
      </w:r>
      <w:r>
        <w:rPr>
          <w:rFonts w:ascii="SimSun" w:hAnsi="SimSun" w:eastAsia="SimSun" w:cs="SimSun"/>
          <w:sz w:val="16"/>
          <w:szCs w:val="16"/>
          <w:spacing w:val="-2"/>
        </w:rPr>
        <w:t xml:space="preserve"> </w:t>
      </w:r>
      <w:r>
        <w:rPr>
          <w:rFonts w:ascii="SimSun" w:hAnsi="SimSun" w:eastAsia="SimSun" w:cs="SimSun"/>
          <w:sz w:val="16"/>
          <w:szCs w:val="16"/>
          <w:spacing w:val="-9"/>
        </w:rPr>
        <w:t>of Cities”,</w:t>
      </w:r>
    </w:p>
    <w:p>
      <w:pPr>
        <w:ind w:left="329"/>
        <w:spacing w:before="45"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Journal</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Urban</w:t>
      </w:r>
      <w:r>
        <w:rPr>
          <w:rFonts w:ascii="Times New Roman" w:hAnsi="Times New Roman" w:eastAsia="Times New Roman" w:cs="Times New Roman"/>
          <w:sz w:val="16"/>
          <w:szCs w:val="16"/>
          <w:i/>
          <w:iCs/>
          <w:spacing w:val="6"/>
          <w:position w:val="3"/>
        </w:rPr>
        <w:t xml:space="preserve">  </w:t>
      </w:r>
      <w:r>
        <w:rPr>
          <w:rFonts w:ascii="Times New Roman" w:hAnsi="Times New Roman" w:eastAsia="Times New Roman" w:cs="Times New Roman"/>
          <w:sz w:val="16"/>
          <w:szCs w:val="16"/>
          <w:i/>
          <w:iCs/>
          <w:position w:val="3"/>
        </w:rPr>
        <w:t>Economics</w:t>
      </w:r>
      <w:r>
        <w:rPr>
          <w:rFonts w:ascii="Times New Roman" w:hAnsi="Times New Roman" w:eastAsia="Times New Roman" w:cs="Times New Roman"/>
          <w:sz w:val="16"/>
          <w:szCs w:val="16"/>
          <w:i/>
          <w:iCs/>
          <w:spacing w:val="2"/>
          <w:position w:val="3"/>
        </w:rPr>
        <w:t>,1998,43(1):136</w:t>
      </w:r>
      <w:r>
        <w:rPr>
          <w:rFonts w:ascii="Times New Roman" w:hAnsi="Times New Roman" w:eastAsia="Times New Roman" w:cs="Times New Roman"/>
          <w:sz w:val="16"/>
          <w:szCs w:val="16"/>
          <w:i/>
          <w:iCs/>
          <w:spacing w:val="1"/>
          <w:position w:val="3"/>
        </w:rPr>
        <w:t>-156.</w:t>
      </w:r>
    </w:p>
    <w:p>
      <w:pPr>
        <w:spacing w:line="213" w:lineRule="exact"/>
        <w:sectPr>
          <w:headerReference w:type="default" r:id="rId87"/>
          <w:pgSz w:w="7330" w:h="12480"/>
          <w:pgMar w:top="549" w:right="290" w:bottom="400" w:left="930" w:header="383" w:footer="0" w:gutter="0"/>
        </w:sectPr>
        <w:rPr>
          <w:rFonts w:ascii="Times New Roman" w:hAnsi="Times New Roman" w:eastAsia="Times New Roman" w:cs="Times New Roman"/>
          <w:sz w:val="16"/>
          <w:szCs w:val="16"/>
        </w:rPr>
      </w:pPr>
    </w:p>
    <w:p>
      <w:pPr>
        <w:ind w:left="1612"/>
        <w:spacing w:before="293" w:line="222" w:lineRule="auto"/>
        <w:rPr>
          <w:rFonts w:ascii="SimSun" w:hAnsi="SimSun" w:eastAsia="SimSun" w:cs="SimSun"/>
          <w:sz w:val="13"/>
          <w:szCs w:val="13"/>
        </w:rPr>
      </w:pPr>
      <w:r>
        <w:drawing>
          <wp:anchor distT="0" distB="0" distL="0" distR="0" simplePos="0" relativeHeight="252386304" behindDoc="0" locked="0" layoutInCell="0" allowOverlap="1">
            <wp:simplePos x="0" y="0"/>
            <wp:positionH relativeFrom="page">
              <wp:posOffset>215878</wp:posOffset>
            </wp:positionH>
            <wp:positionV relativeFrom="page">
              <wp:posOffset>6026171</wp:posOffset>
            </wp:positionV>
            <wp:extent cx="1174761" cy="6350"/>
            <wp:effectExtent l="0" t="0" r="0" b="0"/>
            <wp:wrapNone/>
            <wp:docPr id="74" name="IM 74"/>
            <wp:cNvGraphicFramePr/>
            <a:graphic>
              <a:graphicData uri="http://schemas.openxmlformats.org/drawingml/2006/picture">
                <pic:pic>
                  <pic:nvPicPr>
                    <pic:cNvPr id="74" name="IM 74"/>
                    <pic:cNvPicPr/>
                  </pic:nvPicPr>
                  <pic:blipFill>
                    <a:blip r:embed="rId88"/>
                    <a:stretch>
                      <a:fillRect/>
                    </a:stretch>
                  </pic:blipFill>
                  <pic:spPr>
                    <a:xfrm rot="0">
                      <a:off x="0" y="0"/>
                      <a:ext cx="1174761" cy="6350"/>
                    </a:xfrm>
                    <a:prstGeom prst="rect">
                      <a:avLst/>
                    </a:prstGeom>
                  </pic:spPr>
                </pic:pic>
              </a:graphicData>
            </a:graphic>
          </wp:anchor>
        </w:drawing>
      </w:r>
      <w:r>
        <w:rPr>
          <w:rFonts w:ascii="SimHei" w:hAnsi="SimHei" w:eastAsia="SimHei" w:cs="SimHei"/>
          <w:sz w:val="18"/>
          <w:szCs w:val="18"/>
          <w:b/>
          <w:bCs/>
          <w:spacing w:val="-24"/>
        </w:rPr>
        <w:t>第二章</w:t>
      </w:r>
      <w:r>
        <w:rPr>
          <w:rFonts w:ascii="SimHei" w:hAnsi="SimHei" w:eastAsia="SimHei" w:cs="SimHei"/>
          <w:sz w:val="18"/>
          <w:szCs w:val="18"/>
          <w:spacing w:val="-24"/>
        </w:rPr>
        <w:t xml:space="preserve">  </w:t>
      </w:r>
      <w:r>
        <w:rPr>
          <w:rFonts w:ascii="SimHei" w:hAnsi="SimHei" w:eastAsia="SimHei" w:cs="SimHei"/>
          <w:sz w:val="18"/>
          <w:szCs w:val="18"/>
          <w:b/>
          <w:bCs/>
          <w:spacing w:val="-24"/>
        </w:rPr>
        <w:t>数字经济对中国经济增长的影响</w:t>
      </w:r>
      <w:r>
        <w:rPr>
          <w:rFonts w:ascii="SimHei" w:hAnsi="SimHei" w:eastAsia="SimHei" w:cs="SimHei"/>
          <w:sz w:val="18"/>
          <w:szCs w:val="18"/>
          <w:spacing w:val="1"/>
        </w:rPr>
        <w:t xml:space="preserve">               </w:t>
      </w:r>
      <w:r>
        <w:rPr>
          <w:rFonts w:ascii="SimSun" w:hAnsi="SimSun" w:eastAsia="SimSun" w:cs="SimSun"/>
          <w:sz w:val="13"/>
          <w:szCs w:val="13"/>
          <w:spacing w:val="-24"/>
        </w:rPr>
        <w:t>0</w:t>
      </w:r>
      <w:r>
        <w:rPr>
          <w:rFonts w:ascii="SimSun" w:hAnsi="SimSun" w:eastAsia="SimSun" w:cs="SimSun"/>
          <w:sz w:val="13"/>
          <w:szCs w:val="13"/>
          <w:spacing w:val="-25"/>
        </w:rPr>
        <w:t>61</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44"/>
        <w:spacing w:before="59" w:line="369" w:lineRule="auto"/>
        <w:jc w:val="both"/>
        <w:rPr>
          <w:rFonts w:ascii="SimSun" w:hAnsi="SimSun" w:eastAsia="SimSun" w:cs="SimSun"/>
          <w:sz w:val="18"/>
          <w:szCs w:val="18"/>
        </w:rPr>
      </w:pPr>
      <w:r>
        <w:rPr>
          <w:rFonts w:ascii="SimSun" w:hAnsi="SimSun" w:eastAsia="SimSun" w:cs="SimSun"/>
          <w:sz w:val="18"/>
          <w:szCs w:val="18"/>
          <w:spacing w:val="19"/>
        </w:rPr>
        <w:t>的。也有一些证据则表明互联网的使用已经为部分群体和农村地区带</w:t>
      </w:r>
      <w:r>
        <w:rPr>
          <w:rFonts w:ascii="SimSun" w:hAnsi="SimSun" w:eastAsia="SimSun" w:cs="SimSun"/>
          <w:sz w:val="18"/>
          <w:szCs w:val="18"/>
          <w:spacing w:val="8"/>
        </w:rPr>
        <w:t xml:space="preserve"> </w:t>
      </w:r>
      <w:r>
        <w:rPr>
          <w:rFonts w:ascii="SimSun" w:hAnsi="SimSun" w:eastAsia="SimSun" w:cs="SimSun"/>
          <w:sz w:val="18"/>
          <w:szCs w:val="18"/>
          <w:spacing w:val="19"/>
        </w:rPr>
        <w:t>来一些好处。比如，互联网可能会减少对特定任务、工作的需求，从</w:t>
      </w:r>
      <w:r>
        <w:rPr>
          <w:rFonts w:ascii="SimSun" w:hAnsi="SimSun" w:eastAsia="SimSun" w:cs="SimSun"/>
          <w:sz w:val="18"/>
          <w:szCs w:val="18"/>
          <w:spacing w:val="5"/>
        </w:rPr>
        <w:t xml:space="preserve"> </w:t>
      </w:r>
      <w:r>
        <w:rPr>
          <w:rFonts w:ascii="SimSun" w:hAnsi="SimSun" w:eastAsia="SimSun" w:cs="SimSun"/>
          <w:sz w:val="18"/>
          <w:szCs w:val="18"/>
          <w:spacing w:val="19"/>
        </w:rPr>
        <w:t>而增加“远程办公”的需求，并减少就近办公的需求。同时，基础性</w:t>
      </w:r>
      <w:r>
        <w:rPr>
          <w:rFonts w:ascii="SimSun" w:hAnsi="SimSun" w:eastAsia="SimSun" w:cs="SimSun"/>
          <w:sz w:val="18"/>
          <w:szCs w:val="18"/>
          <w:spacing w:val="5"/>
        </w:rPr>
        <w:t xml:space="preserve"> </w:t>
      </w:r>
      <w:r>
        <w:rPr>
          <w:rFonts w:ascii="SimSun" w:hAnsi="SimSun" w:eastAsia="SimSun" w:cs="SimSun"/>
          <w:sz w:val="18"/>
          <w:szCs w:val="18"/>
          <w:spacing w:val="25"/>
        </w:rPr>
        <w:t>的互联网技术已经(也许不成比例地)使农村和偏远城市受益。①总</w:t>
      </w:r>
      <w:r>
        <w:rPr>
          <w:rFonts w:ascii="SimSun" w:hAnsi="SimSun" w:eastAsia="SimSun" w:cs="SimSun"/>
          <w:sz w:val="18"/>
          <w:szCs w:val="18"/>
          <w:spacing w:val="14"/>
        </w:rPr>
        <w:t xml:space="preserve"> </w:t>
      </w:r>
      <w:r>
        <w:rPr>
          <w:rFonts w:ascii="SimSun" w:hAnsi="SimSun" w:eastAsia="SimSun" w:cs="SimSun"/>
          <w:sz w:val="18"/>
          <w:szCs w:val="18"/>
          <w:spacing w:val="26"/>
        </w:rPr>
        <w:t>的来说，有两种力量在起作用：集聚效应意味着城市不成比例地受</w:t>
      </w:r>
      <w:r>
        <w:rPr>
          <w:rFonts w:ascii="SimSun" w:hAnsi="SimSun" w:eastAsia="SimSun" w:cs="SimSun"/>
          <w:sz w:val="18"/>
          <w:szCs w:val="18"/>
          <w:spacing w:val="2"/>
        </w:rPr>
        <w:t xml:space="preserve"> </w:t>
      </w:r>
      <w:r>
        <w:rPr>
          <w:rFonts w:ascii="SimSun" w:hAnsi="SimSun" w:eastAsia="SimSun" w:cs="SimSun"/>
          <w:sz w:val="18"/>
          <w:szCs w:val="18"/>
          <w:spacing w:val="19"/>
        </w:rPr>
        <w:t>益；然而，低成本通信可以使更多农村地区的企业与个人参与经济活</w:t>
      </w:r>
      <w:r>
        <w:rPr>
          <w:rFonts w:ascii="SimSun" w:hAnsi="SimSun" w:eastAsia="SimSun" w:cs="SimSun"/>
          <w:sz w:val="18"/>
          <w:szCs w:val="18"/>
          <w:spacing w:val="6"/>
        </w:rPr>
        <w:t xml:space="preserve"> </w:t>
      </w:r>
      <w:r>
        <w:rPr>
          <w:rFonts w:ascii="SimSun" w:hAnsi="SimSun" w:eastAsia="SimSun" w:cs="SimSun"/>
          <w:sz w:val="18"/>
          <w:szCs w:val="18"/>
          <w:spacing w:val="19"/>
        </w:rPr>
        <w:t>动，“淘宝村”的兴起就是一个例子。数字经济的宏观影响取决于这</w:t>
      </w:r>
      <w:r>
        <w:rPr>
          <w:rFonts w:ascii="SimSun" w:hAnsi="SimSun" w:eastAsia="SimSun" w:cs="SimSun"/>
          <w:sz w:val="18"/>
          <w:szCs w:val="18"/>
          <w:spacing w:val="7"/>
        </w:rPr>
        <w:t xml:space="preserve"> </w:t>
      </w:r>
      <w:r>
        <w:rPr>
          <w:rFonts w:ascii="SimSun" w:hAnsi="SimSun" w:eastAsia="SimSun" w:cs="SimSun"/>
          <w:sz w:val="18"/>
          <w:szCs w:val="18"/>
          <w:spacing w:val="14"/>
        </w:rPr>
        <w:t>些不同机制之间的平衡。</w:t>
      </w:r>
      <w:r>
        <w:rPr>
          <w:rFonts w:ascii="SimSun" w:hAnsi="SimSun" w:eastAsia="SimSun" w:cs="SimSun"/>
          <w:sz w:val="18"/>
          <w:szCs w:val="18"/>
          <w:spacing w:val="68"/>
        </w:rPr>
        <w:t xml:space="preserve"> </w:t>
      </w:r>
      <w:r>
        <w:rPr>
          <w:rFonts w:ascii="SimSun" w:hAnsi="SimSun" w:eastAsia="SimSun" w:cs="SimSun"/>
          <w:sz w:val="18"/>
          <w:szCs w:val="18"/>
          <w:spacing w:val="14"/>
        </w:rPr>
        <w:t>一般来说，技术越难使用，聚集效应就越有</w:t>
      </w:r>
      <w:r>
        <w:rPr>
          <w:rFonts w:ascii="SimSun" w:hAnsi="SimSun" w:eastAsia="SimSun" w:cs="SimSun"/>
          <w:sz w:val="18"/>
          <w:szCs w:val="18"/>
        </w:rPr>
        <w:t xml:space="preserve"> </w:t>
      </w:r>
      <w:r>
        <w:rPr>
          <w:rFonts w:ascii="SimSun" w:hAnsi="SimSun" w:eastAsia="SimSun" w:cs="SimSun"/>
          <w:sz w:val="18"/>
          <w:szCs w:val="18"/>
          <w:spacing w:val="19"/>
        </w:rPr>
        <w:t>可能占主导地位。万广华和张琰指出，常规的城市化决定因素不能解</w:t>
      </w:r>
      <w:r>
        <w:rPr>
          <w:rFonts w:ascii="SimSun" w:hAnsi="SimSun" w:eastAsia="SimSun" w:cs="SimSun"/>
          <w:sz w:val="18"/>
          <w:szCs w:val="18"/>
          <w:spacing w:val="5"/>
        </w:rPr>
        <w:t xml:space="preserve"> </w:t>
      </w:r>
      <w:r>
        <w:rPr>
          <w:rFonts w:ascii="SimSun" w:hAnsi="SimSun" w:eastAsia="SimSun" w:cs="SimSun"/>
          <w:sz w:val="18"/>
          <w:szCs w:val="18"/>
          <w:spacing w:val="20"/>
        </w:rPr>
        <w:t>释城市化加速现象，而作为信息技术代理变量的互联网使</w:t>
      </w:r>
      <w:r>
        <w:rPr>
          <w:rFonts w:ascii="SimSun" w:hAnsi="SimSun" w:eastAsia="SimSun" w:cs="SimSun"/>
          <w:sz w:val="18"/>
          <w:szCs w:val="18"/>
          <w:spacing w:val="19"/>
        </w:rPr>
        <w:t>用率可以解</w:t>
      </w:r>
    </w:p>
    <w:p>
      <w:pPr>
        <w:spacing w:line="217" w:lineRule="auto"/>
        <w:rPr>
          <w:rFonts w:ascii="SimSun" w:hAnsi="SimSun" w:eastAsia="SimSun" w:cs="SimSun"/>
          <w:sz w:val="18"/>
          <w:szCs w:val="18"/>
        </w:rPr>
      </w:pPr>
      <w:r>
        <w:rPr>
          <w:rFonts w:ascii="SimSun" w:hAnsi="SimSun" w:eastAsia="SimSun" w:cs="SimSun"/>
          <w:sz w:val="18"/>
          <w:szCs w:val="18"/>
          <w:spacing w:val="14"/>
        </w:rPr>
        <w:t>释大部分的城市化加速现象。②</w:t>
      </w:r>
    </w:p>
    <w:p>
      <w:pPr>
        <w:ind w:right="1" w:firstLine="440"/>
        <w:spacing w:before="131" w:line="369" w:lineRule="auto"/>
        <w:jc w:val="both"/>
        <w:rPr>
          <w:rFonts w:ascii="SimSun" w:hAnsi="SimSun" w:eastAsia="SimSun" w:cs="SimSun"/>
          <w:sz w:val="18"/>
          <w:szCs w:val="18"/>
        </w:rPr>
      </w:pPr>
      <w:r>
        <w:rPr>
          <w:rFonts w:ascii="SimSun" w:hAnsi="SimSun" w:eastAsia="SimSun" w:cs="SimSun"/>
          <w:sz w:val="18"/>
          <w:szCs w:val="18"/>
          <w:spacing w:val="25"/>
        </w:rPr>
        <w:t>当然，关于</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5"/>
        </w:rPr>
        <w:t>对经济增长的贡献，学者们还有</w:t>
      </w:r>
      <w:r>
        <w:rPr>
          <w:rFonts w:ascii="SimSun" w:hAnsi="SimSun" w:eastAsia="SimSun" w:cs="SimSun"/>
          <w:sz w:val="18"/>
          <w:szCs w:val="18"/>
          <w:spacing w:val="-48"/>
        </w:rPr>
        <w:t xml:space="preserve"> </w:t>
      </w:r>
      <w:r>
        <w:rPr>
          <w:rFonts w:ascii="SimSun" w:hAnsi="SimSun" w:eastAsia="SimSun" w:cs="SimSun"/>
          <w:sz w:val="18"/>
          <w:szCs w:val="18"/>
          <w:spacing w:val="25"/>
        </w:rPr>
        <w:t>一</w:t>
      </w:r>
      <w:r>
        <w:rPr>
          <w:rFonts w:ascii="SimSun" w:hAnsi="SimSun" w:eastAsia="SimSun" w:cs="SimSun"/>
          <w:sz w:val="18"/>
          <w:szCs w:val="18"/>
          <w:spacing w:val="-50"/>
        </w:rPr>
        <w:t xml:space="preserve"> </w:t>
      </w:r>
      <w:r>
        <w:rPr>
          <w:rFonts w:ascii="SimSun" w:hAnsi="SimSun" w:eastAsia="SimSun" w:cs="SimSun"/>
          <w:sz w:val="18"/>
          <w:szCs w:val="18"/>
          <w:spacing w:val="24"/>
        </w:rPr>
        <w:t>些争议。经</w:t>
      </w:r>
      <w:r>
        <w:rPr>
          <w:rFonts w:ascii="SimSun" w:hAnsi="SimSun" w:eastAsia="SimSun" w:cs="SimSun"/>
          <w:sz w:val="18"/>
          <w:szCs w:val="18"/>
        </w:rPr>
        <w:t xml:space="preserve"> </w:t>
      </w:r>
      <w:r>
        <w:rPr>
          <w:rFonts w:ascii="SimSun" w:hAnsi="SimSun" w:eastAsia="SimSun" w:cs="SimSun"/>
          <w:sz w:val="18"/>
          <w:szCs w:val="18"/>
          <w:spacing w:val="27"/>
        </w:rPr>
        <w:t>测算，中国</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7"/>
        </w:rPr>
        <w:t>资本仅集中于金融业，通信设备、计算机及其他电</w:t>
      </w:r>
      <w:r>
        <w:rPr>
          <w:rFonts w:ascii="SimSun" w:hAnsi="SimSun" w:eastAsia="SimSun" w:cs="SimSun"/>
          <w:sz w:val="18"/>
          <w:szCs w:val="18"/>
        </w:rPr>
        <w:t xml:space="preserve"> </w:t>
      </w:r>
      <w:r>
        <w:rPr>
          <w:rFonts w:ascii="SimSun" w:hAnsi="SimSun" w:eastAsia="SimSun" w:cs="SimSun"/>
          <w:sz w:val="18"/>
          <w:szCs w:val="18"/>
          <w:spacing w:val="19"/>
        </w:rPr>
        <w:t>子设备制造业，信息传输、软件和信息技术服务业以及建筑业等少数</w:t>
      </w:r>
      <w:r>
        <w:rPr>
          <w:rFonts w:ascii="SimSun" w:hAnsi="SimSun" w:eastAsia="SimSun" w:cs="SimSun"/>
          <w:sz w:val="18"/>
          <w:szCs w:val="18"/>
          <w:spacing w:val="7"/>
        </w:rPr>
        <w:t xml:space="preserve"> </w:t>
      </w:r>
      <w:r>
        <w:rPr>
          <w:rFonts w:ascii="SimSun" w:hAnsi="SimSun" w:eastAsia="SimSun" w:cs="SimSun"/>
          <w:sz w:val="18"/>
          <w:szCs w:val="18"/>
          <w:spacing w:val="20"/>
        </w:rPr>
        <w:t>几个行业，且制造业</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20"/>
        </w:rPr>
        <w:t>资本服务物量指数自2004年后呈下降趋势，</w:t>
      </w:r>
      <w:r>
        <w:rPr>
          <w:rFonts w:ascii="SimSun" w:hAnsi="SimSun" w:eastAsia="SimSun" w:cs="SimSun"/>
          <w:sz w:val="18"/>
          <w:szCs w:val="18"/>
        </w:rPr>
        <w:t xml:space="preserve"> </w:t>
      </w:r>
      <w:r>
        <w:rPr>
          <w:rFonts w:ascii="SimSun" w:hAnsi="SimSun" w:eastAsia="SimSun" w:cs="SimSun"/>
          <w:sz w:val="18"/>
          <w:szCs w:val="18"/>
          <w:spacing w:val="20"/>
        </w:rPr>
        <w:t>进</w:t>
      </w:r>
      <w:r>
        <w:rPr>
          <w:rFonts w:ascii="SimSun" w:hAnsi="SimSun" w:eastAsia="SimSun" w:cs="SimSun"/>
          <w:sz w:val="18"/>
          <w:szCs w:val="18"/>
          <w:spacing w:val="-54"/>
        </w:rPr>
        <w:t xml:space="preserve"> </w:t>
      </w:r>
      <w:r>
        <w:rPr>
          <w:rFonts w:ascii="SimSun" w:hAnsi="SimSun" w:eastAsia="SimSun" w:cs="SimSun"/>
          <w:sz w:val="18"/>
          <w:szCs w:val="18"/>
          <w:spacing w:val="20"/>
        </w:rPr>
        <w:t>一步证实</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40"/>
          <w:w w:val="101"/>
        </w:rPr>
        <w:t xml:space="preserve"> </w:t>
      </w:r>
      <w:r>
        <w:rPr>
          <w:rFonts w:ascii="SimSun" w:hAnsi="SimSun" w:eastAsia="SimSun" w:cs="SimSun"/>
          <w:sz w:val="18"/>
          <w:szCs w:val="18"/>
          <w:spacing w:val="20"/>
        </w:rPr>
        <w:t>对经济增长的贡献局限于点而尚未</w:t>
      </w:r>
      <w:r>
        <w:rPr>
          <w:rFonts w:ascii="SimSun" w:hAnsi="SimSun" w:eastAsia="SimSun" w:cs="SimSun"/>
          <w:sz w:val="18"/>
          <w:szCs w:val="18"/>
          <w:spacing w:val="19"/>
        </w:rPr>
        <w:t>形成面。③谢莉娟</w:t>
      </w:r>
      <w:r>
        <w:rPr>
          <w:rFonts w:ascii="SimSun" w:hAnsi="SimSun" w:eastAsia="SimSun" w:cs="SimSun"/>
          <w:sz w:val="18"/>
          <w:szCs w:val="18"/>
        </w:rPr>
        <w:t xml:space="preserve"> </w:t>
      </w:r>
      <w:r>
        <w:rPr>
          <w:rFonts w:ascii="SimSun" w:hAnsi="SimSun" w:eastAsia="SimSun" w:cs="SimSun"/>
          <w:sz w:val="18"/>
          <w:szCs w:val="18"/>
          <w:spacing w:val="18"/>
        </w:rPr>
        <w:t>等对此现象做出解释： </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18"/>
        </w:rPr>
        <w:t>投资对提升全要素生产率确有积极作用，</w:t>
      </w:r>
      <w:r>
        <w:rPr>
          <w:rFonts w:ascii="SimSun" w:hAnsi="SimSun" w:eastAsia="SimSun" w:cs="SimSun"/>
          <w:sz w:val="18"/>
          <w:szCs w:val="18"/>
          <w:spacing w:val="1"/>
        </w:rPr>
        <w:t xml:space="preserve"> </w:t>
      </w:r>
      <w:r>
        <w:rPr>
          <w:rFonts w:ascii="SimSun" w:hAnsi="SimSun" w:eastAsia="SimSun" w:cs="SimSun"/>
          <w:sz w:val="18"/>
          <w:szCs w:val="18"/>
          <w:spacing w:val="19"/>
        </w:rPr>
        <w:t>并且主要通过促进技术效率的提升来实现，但只有互联网普及率达到</w:t>
      </w:r>
      <w:r>
        <w:rPr>
          <w:rFonts w:ascii="SimSun" w:hAnsi="SimSun" w:eastAsia="SimSun" w:cs="SimSun"/>
          <w:sz w:val="18"/>
          <w:szCs w:val="18"/>
          <w:spacing w:val="11"/>
        </w:rPr>
        <w:t xml:space="preserve"> </w:t>
      </w:r>
      <w:r>
        <w:rPr>
          <w:rFonts w:ascii="SimSun" w:hAnsi="SimSun" w:eastAsia="SimSun" w:cs="SimSun"/>
          <w:sz w:val="18"/>
          <w:szCs w:val="18"/>
          <w:spacing w:val="18"/>
        </w:rPr>
        <w:t>一定程度该作用才能显现；同时，在高互联网普及率下，</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18"/>
        </w:rPr>
        <w:t>投资对</w:t>
      </w:r>
    </w:p>
    <w:p>
      <w:pPr>
        <w:spacing w:line="218" w:lineRule="auto"/>
        <w:rPr>
          <w:rFonts w:ascii="SimSun" w:hAnsi="SimSun" w:eastAsia="SimSun" w:cs="SimSun"/>
          <w:sz w:val="18"/>
          <w:szCs w:val="18"/>
        </w:rPr>
      </w:pPr>
      <w:r>
        <w:rPr>
          <w:rFonts w:ascii="SimSun" w:hAnsi="SimSun" w:eastAsia="SimSun" w:cs="SimSun"/>
          <w:sz w:val="18"/>
          <w:szCs w:val="18"/>
          <w:spacing w:val="23"/>
        </w:rPr>
        <w:t>技术进步存在抑制作用，在全要素生产率层面将表现为</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3"/>
        </w:rPr>
        <w:t>投</w:t>
      </w:r>
      <w:r>
        <w:rPr>
          <w:rFonts w:ascii="SimSun" w:hAnsi="SimSun" w:eastAsia="SimSun" w:cs="SimSun"/>
          <w:sz w:val="18"/>
          <w:szCs w:val="18"/>
          <w:spacing w:val="-32"/>
        </w:rPr>
        <w:t xml:space="preserve"> </w:t>
      </w:r>
      <w:r>
        <w:rPr>
          <w:rFonts w:ascii="SimSun" w:hAnsi="SimSun" w:eastAsia="SimSun" w:cs="SimSun"/>
          <w:sz w:val="18"/>
          <w:szCs w:val="18"/>
          <w:spacing w:val="23"/>
        </w:rPr>
        <w:t>资</w:t>
      </w:r>
      <w:r>
        <w:rPr>
          <w:rFonts w:ascii="SimSun" w:hAnsi="SimSun" w:eastAsia="SimSun" w:cs="SimSun"/>
          <w:sz w:val="18"/>
          <w:szCs w:val="18"/>
          <w:spacing w:val="-39"/>
        </w:rPr>
        <w:t xml:space="preserve"> </w:t>
      </w:r>
      <w:r>
        <w:rPr>
          <w:rFonts w:ascii="SimSun" w:hAnsi="SimSun" w:eastAsia="SimSun" w:cs="SimSun"/>
          <w:sz w:val="18"/>
          <w:szCs w:val="18"/>
          <w:spacing w:val="23"/>
        </w:rPr>
        <w:t>促</w:t>
      </w:r>
    </w:p>
    <w:p>
      <w:pPr>
        <w:pStyle w:val="BodyText"/>
        <w:spacing w:line="283" w:lineRule="auto"/>
        <w:rPr/>
      </w:pPr>
      <w:r/>
    </w:p>
    <w:p>
      <w:pPr>
        <w:pStyle w:val="BodyText"/>
        <w:spacing w:line="283" w:lineRule="auto"/>
        <w:rPr/>
      </w:pPr>
      <w:r/>
    </w:p>
    <w:p>
      <w:pPr>
        <w:ind w:left="310" w:right="20" w:hanging="310"/>
        <w:spacing w:before="58" w:line="280" w:lineRule="auto"/>
        <w:rPr>
          <w:rFonts w:ascii="SimSun" w:hAnsi="SimSun" w:eastAsia="SimSun" w:cs="SimSun"/>
          <w:sz w:val="18"/>
          <w:szCs w:val="18"/>
        </w:rPr>
      </w:pPr>
      <w:r>
        <w:rPr>
          <w:rFonts w:ascii="SimSun" w:hAnsi="SimSun" w:eastAsia="SimSun" w:cs="SimSun"/>
          <w:sz w:val="18"/>
          <w:szCs w:val="18"/>
          <w:spacing w:val="-4"/>
        </w:rPr>
        <w:t>①</w:t>
      </w:r>
      <w:r>
        <w:rPr>
          <w:rFonts w:ascii="SimSun" w:hAnsi="SimSun" w:eastAsia="SimSun" w:cs="SimSun"/>
          <w:sz w:val="18"/>
          <w:szCs w:val="18"/>
          <w:spacing w:val="47"/>
        </w:rPr>
        <w:t xml:space="preserve"> </w:t>
      </w:r>
      <w:r>
        <w:rPr>
          <w:rFonts w:ascii="Times New Roman" w:hAnsi="Times New Roman" w:eastAsia="Times New Roman" w:cs="Times New Roman"/>
          <w:sz w:val="18"/>
          <w:szCs w:val="18"/>
          <w:spacing w:val="-4"/>
        </w:rPr>
        <w:t>Chris Forman,Avi Goldfarb,Shane Greenstein,“How Did Location Affect </w:t>
      </w:r>
      <w:r>
        <w:rPr>
          <w:rFonts w:ascii="Times New Roman" w:hAnsi="Times New Roman" w:eastAsia="Times New Roman" w:cs="Times New Roman"/>
          <w:sz w:val="18"/>
          <w:szCs w:val="18"/>
          <w:spacing w:val="-5"/>
        </w:rPr>
        <w:t>Adoption</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3"/>
        </w:rPr>
        <w:t>of</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3"/>
        </w:rPr>
        <w:t>the Commercial Internet?Global Village vs.Urban Leadership",Journal of</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4"/>
        </w:rPr>
        <w:t>Urban</w:t>
      </w:r>
      <w:r>
        <w:rPr>
          <w:rFonts w:ascii="Times New Roman" w:hAnsi="Times New Roman" w:eastAsia="Times New Roman" w:cs="Times New Roman"/>
          <w:sz w:val="18"/>
          <w:szCs w:val="18"/>
        </w:rPr>
        <w:t xml:space="preserve"> </w:t>
      </w:r>
      <w:r>
        <w:rPr>
          <w:rFonts w:ascii="SimSun" w:hAnsi="SimSun" w:eastAsia="SimSun" w:cs="SimSun"/>
          <w:sz w:val="18"/>
          <w:szCs w:val="18"/>
          <w:spacing w:val="-12"/>
        </w:rPr>
        <w:t>Economics,2005,58(3):389-420.</w:t>
      </w:r>
    </w:p>
    <w:p>
      <w:pPr>
        <w:ind w:left="310" w:hanging="310"/>
        <w:spacing w:before="75" w:line="254" w:lineRule="auto"/>
        <w:rPr>
          <w:rFonts w:ascii="SimSun" w:hAnsi="SimSun" w:eastAsia="SimSun" w:cs="SimSun"/>
          <w:sz w:val="18"/>
          <w:szCs w:val="18"/>
        </w:rPr>
      </w:pPr>
      <w:r>
        <w:rPr>
          <w:rFonts w:ascii="KaiTi" w:hAnsi="KaiTi" w:eastAsia="KaiTi" w:cs="KaiTi"/>
          <w:sz w:val="18"/>
          <w:szCs w:val="18"/>
          <w:spacing w:val="-3"/>
        </w:rPr>
        <w:t>②</w:t>
      </w:r>
      <w:r>
        <w:rPr>
          <w:rFonts w:ascii="KaiTi" w:hAnsi="KaiTi" w:eastAsia="KaiTi" w:cs="KaiTi"/>
          <w:sz w:val="18"/>
          <w:szCs w:val="18"/>
          <w:spacing w:val="28"/>
        </w:rPr>
        <w:t xml:space="preserve"> </w:t>
      </w:r>
      <w:r>
        <w:rPr>
          <w:rFonts w:ascii="KaiTi" w:hAnsi="KaiTi" w:eastAsia="KaiTi" w:cs="KaiTi"/>
          <w:sz w:val="18"/>
          <w:szCs w:val="18"/>
          <w:spacing w:val="-3"/>
        </w:rPr>
        <w:t>万广华，张玦.信息与城市化——基于跨国数据的实证研究.经济学(季刊),</w:t>
      </w:r>
      <w:r>
        <w:rPr>
          <w:rFonts w:ascii="KaiTi" w:hAnsi="KaiTi" w:eastAsia="KaiTi" w:cs="KaiTi"/>
          <w:sz w:val="18"/>
          <w:szCs w:val="18"/>
        </w:rPr>
        <w:t xml:space="preserve"> </w:t>
      </w:r>
      <w:r>
        <w:rPr>
          <w:rFonts w:ascii="SimSun" w:hAnsi="SimSun" w:eastAsia="SimSun" w:cs="SimSun"/>
          <w:sz w:val="18"/>
          <w:szCs w:val="18"/>
        </w:rPr>
        <w:t>2021,21(2):465-492.</w:t>
      </w:r>
    </w:p>
    <w:p>
      <w:pPr>
        <w:ind w:left="310" w:right="3" w:hanging="310"/>
        <w:spacing w:before="64" w:line="260" w:lineRule="auto"/>
        <w:rPr>
          <w:rFonts w:ascii="SimSun" w:hAnsi="SimSun" w:eastAsia="SimSun" w:cs="SimSun"/>
          <w:sz w:val="18"/>
          <w:szCs w:val="18"/>
        </w:rPr>
      </w:pPr>
      <w:r>
        <w:rPr>
          <w:rFonts w:ascii="KaiTi" w:hAnsi="KaiTi" w:eastAsia="KaiTi" w:cs="KaiTi"/>
          <w:sz w:val="18"/>
          <w:szCs w:val="18"/>
          <w:spacing w:val="-12"/>
        </w:rPr>
        <w:t>③</w:t>
      </w:r>
      <w:r>
        <w:rPr>
          <w:rFonts w:ascii="KaiTi" w:hAnsi="KaiTi" w:eastAsia="KaiTi" w:cs="KaiTi"/>
          <w:sz w:val="18"/>
          <w:szCs w:val="18"/>
          <w:spacing w:val="37"/>
        </w:rPr>
        <w:t xml:space="preserve"> </w:t>
      </w:r>
      <w:r>
        <w:rPr>
          <w:rFonts w:ascii="KaiTi" w:hAnsi="KaiTi" w:eastAsia="KaiTi" w:cs="KaiTi"/>
          <w:sz w:val="18"/>
          <w:szCs w:val="18"/>
          <w:spacing w:val="-12"/>
        </w:rPr>
        <w:t>王亚菲，王春云.中国行业层面信息与通信技术资本服务核</w:t>
      </w:r>
      <w:r>
        <w:rPr>
          <w:rFonts w:ascii="KaiTi" w:hAnsi="KaiTi" w:eastAsia="KaiTi" w:cs="KaiTi"/>
          <w:sz w:val="18"/>
          <w:szCs w:val="18"/>
          <w:spacing w:val="-13"/>
        </w:rPr>
        <w:t>算.统计研究，2017,</w:t>
      </w:r>
      <w:r>
        <w:rPr>
          <w:rFonts w:ascii="KaiTi" w:hAnsi="KaiTi" w:eastAsia="KaiTi" w:cs="KaiTi"/>
          <w:sz w:val="18"/>
          <w:szCs w:val="18"/>
        </w:rPr>
        <w:t xml:space="preserve"> </w:t>
      </w:r>
      <w:r>
        <w:rPr>
          <w:rFonts w:ascii="SimSun" w:hAnsi="SimSun" w:eastAsia="SimSun" w:cs="SimSun"/>
          <w:sz w:val="18"/>
          <w:szCs w:val="18"/>
        </w:rPr>
        <w:t>34(12):24-36.</w:t>
      </w:r>
    </w:p>
    <w:p>
      <w:pPr>
        <w:spacing w:line="260" w:lineRule="auto"/>
        <w:sectPr>
          <w:headerReference w:type="default" r:id="rId1"/>
          <w:pgSz w:w="7330" w:h="12480"/>
          <w:pgMar w:top="400" w:right="948" w:bottom="400" w:left="339" w:header="0" w:footer="0" w:gutter="0"/>
        </w:sectPr>
        <w:rPr>
          <w:rFonts w:ascii="SimSun" w:hAnsi="SimSun" w:eastAsia="SimSun" w:cs="SimSun"/>
          <w:sz w:val="18"/>
          <w:szCs w:val="18"/>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right="97"/>
        <w:spacing w:before="68" w:line="304" w:lineRule="auto"/>
        <w:jc w:val="both"/>
        <w:rPr>
          <w:rFonts w:ascii="SimSun" w:hAnsi="SimSun" w:eastAsia="SimSun" w:cs="SimSun"/>
          <w:sz w:val="21"/>
          <w:szCs w:val="21"/>
        </w:rPr>
      </w:pPr>
      <w:r>
        <w:rPr>
          <w:rFonts w:ascii="SimSun" w:hAnsi="SimSun" w:eastAsia="SimSun" w:cs="SimSun"/>
          <w:sz w:val="21"/>
          <w:szCs w:val="21"/>
          <w:spacing w:val="-8"/>
        </w:rPr>
        <w:t>进作用的消失。①从国际层面来看，跨国研究发现，这种</w:t>
      </w:r>
      <w:r>
        <w:rPr>
          <w:rFonts w:ascii="Times New Roman" w:hAnsi="Times New Roman" w:eastAsia="Times New Roman" w:cs="Times New Roman"/>
          <w:sz w:val="21"/>
          <w:szCs w:val="21"/>
          <w:spacing w:val="-8"/>
        </w:rPr>
        <w:t>ICT </w:t>
      </w:r>
      <w:r>
        <w:rPr>
          <w:rFonts w:ascii="SimSun" w:hAnsi="SimSun" w:eastAsia="SimSun" w:cs="SimSun"/>
          <w:sz w:val="21"/>
          <w:szCs w:val="21"/>
          <w:spacing w:val="-8"/>
        </w:rPr>
        <w:t>的发展</w:t>
      </w:r>
      <w:r>
        <w:rPr>
          <w:rFonts w:ascii="SimSun" w:hAnsi="SimSun" w:eastAsia="SimSun" w:cs="SimSun"/>
          <w:sz w:val="21"/>
          <w:szCs w:val="21"/>
          <w:spacing w:val="8"/>
        </w:rPr>
        <w:t xml:space="preserve"> </w:t>
      </w:r>
      <w:r>
        <w:rPr>
          <w:rFonts w:ascii="SimSun" w:hAnsi="SimSun" w:eastAsia="SimSun" w:cs="SimSun"/>
          <w:sz w:val="21"/>
          <w:szCs w:val="21"/>
          <w:spacing w:val="-11"/>
        </w:rPr>
        <w:t>可能会不成比例地使英语国家受益。②互联网可能促进了数字服务贸</w:t>
      </w:r>
      <w:r>
        <w:rPr>
          <w:rFonts w:ascii="SimSun" w:hAnsi="SimSun" w:eastAsia="SimSun" w:cs="SimSun"/>
          <w:sz w:val="21"/>
          <w:szCs w:val="21"/>
          <w:spacing w:val="8"/>
        </w:rPr>
        <w:t xml:space="preserve">  </w:t>
      </w:r>
      <w:r>
        <w:rPr>
          <w:rFonts w:ascii="SimSun" w:hAnsi="SimSun" w:eastAsia="SimSun" w:cs="SimSun"/>
          <w:sz w:val="21"/>
          <w:szCs w:val="21"/>
          <w:spacing w:val="-10"/>
        </w:rPr>
        <w:t>易，从而导致某些工作离岸外包。③随着互联</w:t>
      </w:r>
      <w:r>
        <w:rPr>
          <w:rFonts w:ascii="SimSun" w:hAnsi="SimSun" w:eastAsia="SimSun" w:cs="SimSun"/>
          <w:sz w:val="21"/>
          <w:szCs w:val="21"/>
          <w:spacing w:val="-11"/>
        </w:rPr>
        <w:t>网的发展，距离在贸易</w:t>
      </w:r>
      <w:r>
        <w:rPr>
          <w:rFonts w:ascii="SimSun" w:hAnsi="SimSun" w:eastAsia="SimSun" w:cs="SimSun"/>
          <w:sz w:val="21"/>
          <w:szCs w:val="21"/>
        </w:rPr>
        <w:t xml:space="preserve"> </w:t>
      </w:r>
      <w:r>
        <w:rPr>
          <w:rFonts w:ascii="SimSun" w:hAnsi="SimSun" w:eastAsia="SimSun" w:cs="SimSun"/>
          <w:sz w:val="21"/>
          <w:szCs w:val="21"/>
          <w:spacing w:val="-8"/>
        </w:rPr>
        <w:t>中的作用有可能下降。④其他一些学者则探讨了互联网的间接影响，</w:t>
      </w:r>
      <w:r>
        <w:rPr>
          <w:rFonts w:ascii="SimSun" w:hAnsi="SimSun" w:eastAsia="SimSun" w:cs="SimSun"/>
          <w:sz w:val="21"/>
          <w:szCs w:val="21"/>
          <w:spacing w:val="13"/>
        </w:rPr>
        <w:t xml:space="preserve"> </w:t>
      </w:r>
      <w:r>
        <w:rPr>
          <w:rFonts w:ascii="SimSun" w:hAnsi="SimSun" w:eastAsia="SimSun" w:cs="SimSun"/>
          <w:sz w:val="21"/>
          <w:szCs w:val="21"/>
          <w:spacing w:val="-10"/>
        </w:rPr>
        <w:t>他们认为互联网阻碍了国际贸易。从监管方面来看，信息监管技术的</w:t>
      </w:r>
      <w:r>
        <w:rPr>
          <w:rFonts w:ascii="SimSun" w:hAnsi="SimSun" w:eastAsia="SimSun" w:cs="SimSun"/>
          <w:sz w:val="21"/>
          <w:szCs w:val="21"/>
          <w:spacing w:val="14"/>
        </w:rPr>
        <w:t xml:space="preserve"> </w:t>
      </w:r>
      <w:r>
        <w:rPr>
          <w:rFonts w:ascii="SimSun" w:hAnsi="SimSun" w:eastAsia="SimSun" w:cs="SimSun"/>
          <w:sz w:val="21"/>
          <w:szCs w:val="21"/>
          <w:spacing w:val="-10"/>
        </w:rPr>
        <w:t>进步有效压缩了企业的逃税空间，推高了企业的实际税负，在一定</w:t>
      </w:r>
      <w:r>
        <w:rPr>
          <w:rFonts w:ascii="SimSun" w:hAnsi="SimSun" w:eastAsia="SimSun" w:cs="SimSun"/>
          <w:sz w:val="21"/>
          <w:szCs w:val="21"/>
          <w:spacing w:val="-11"/>
        </w:rPr>
        <w:t>程 </w:t>
      </w:r>
      <w:r>
        <w:rPr>
          <w:rFonts w:ascii="SimSun" w:hAnsi="SimSun" w:eastAsia="SimSun" w:cs="SimSun"/>
          <w:sz w:val="21"/>
          <w:szCs w:val="21"/>
          <w:spacing w:val="-10"/>
        </w:rPr>
        <w:t>度上削弱了当前减税政策的红利；但另一方面，政府税收增加，为</w:t>
      </w:r>
      <w:r>
        <w:rPr>
          <w:rFonts w:ascii="SimSun" w:hAnsi="SimSun" w:eastAsia="SimSun" w:cs="SimSun"/>
          <w:sz w:val="21"/>
          <w:szCs w:val="21"/>
          <w:spacing w:val="-11"/>
        </w:rPr>
        <w:t>未 </w:t>
      </w:r>
      <w:r>
        <w:rPr>
          <w:rFonts w:ascii="SimSun" w:hAnsi="SimSun" w:eastAsia="SimSun" w:cs="SimSun"/>
          <w:sz w:val="21"/>
          <w:szCs w:val="21"/>
          <w:spacing w:val="-13"/>
        </w:rPr>
        <w:t>来降低企业名义税率，进一步优化税收政策提供了空间。③</w:t>
      </w:r>
    </w:p>
    <w:p>
      <w:pPr>
        <w:ind w:right="59"/>
        <w:spacing w:before="124" w:line="419" w:lineRule="exact"/>
        <w:jc w:val="right"/>
        <w:rPr>
          <w:rFonts w:ascii="SimSun" w:hAnsi="SimSun" w:eastAsia="SimSun" w:cs="SimSun"/>
          <w:sz w:val="21"/>
          <w:szCs w:val="21"/>
        </w:rPr>
      </w:pPr>
      <w:r>
        <w:rPr>
          <w:rFonts w:ascii="SimSun" w:hAnsi="SimSun" w:eastAsia="SimSun" w:cs="SimSun"/>
          <w:sz w:val="21"/>
          <w:szCs w:val="21"/>
          <w:spacing w:val="-2"/>
          <w:position w:val="15"/>
        </w:rPr>
        <w:t>部分研究文献对互联网和高质量发展之间的正向关联持保留态</w:t>
      </w:r>
    </w:p>
    <w:p>
      <w:pPr>
        <w:spacing w:line="218" w:lineRule="auto"/>
        <w:rPr>
          <w:rFonts w:ascii="SimSun" w:hAnsi="SimSun" w:eastAsia="SimSun" w:cs="SimSun"/>
          <w:sz w:val="17"/>
          <w:szCs w:val="17"/>
        </w:rPr>
      </w:pPr>
      <w:r>
        <w:rPr>
          <w:rFonts w:ascii="SimSun" w:hAnsi="SimSun" w:eastAsia="SimSun" w:cs="SimSun"/>
          <w:sz w:val="17"/>
          <w:szCs w:val="17"/>
          <w:spacing w:val="30"/>
        </w:rPr>
        <w:t>度。从社会福利角度看，许恒等指出，数字经济对经济的影响存在阶</w:t>
      </w:r>
    </w:p>
    <w:p>
      <w:pPr>
        <w:pStyle w:val="BodyText"/>
        <w:spacing w:line="245" w:lineRule="auto"/>
        <w:rPr/>
      </w:pPr>
      <w:r/>
    </w:p>
    <w:p>
      <w:pPr>
        <w:ind w:left="390" w:right="70" w:hanging="390"/>
        <w:spacing w:before="56" w:line="257"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54"/>
        </w:rPr>
        <w:t xml:space="preserve"> </w:t>
      </w:r>
      <w:r>
        <w:rPr>
          <w:rFonts w:ascii="KaiTi" w:hAnsi="KaiTi" w:eastAsia="KaiTi" w:cs="KaiTi"/>
          <w:sz w:val="17"/>
          <w:szCs w:val="17"/>
          <w:spacing w:val="1"/>
        </w:rPr>
        <w:t>谢莉娟，陈锦然，王诗将.</w:t>
      </w:r>
      <w:r>
        <w:rPr>
          <w:rFonts w:ascii="Times New Roman" w:hAnsi="Times New Roman" w:eastAsia="Times New Roman" w:cs="Times New Roman"/>
          <w:sz w:val="17"/>
          <w:szCs w:val="17"/>
        </w:rPr>
        <w:t>ICT</w:t>
      </w:r>
      <w:r>
        <w:rPr>
          <w:rFonts w:ascii="Times New Roman" w:hAnsi="Times New Roman" w:eastAsia="Times New Roman" w:cs="Times New Roman"/>
          <w:sz w:val="17"/>
          <w:szCs w:val="17"/>
          <w:spacing w:val="1"/>
        </w:rPr>
        <w:t xml:space="preserve"> </w:t>
      </w:r>
      <w:r>
        <w:rPr>
          <w:rFonts w:ascii="KaiTi" w:hAnsi="KaiTi" w:eastAsia="KaiTi" w:cs="KaiTi"/>
          <w:sz w:val="17"/>
          <w:szCs w:val="17"/>
          <w:spacing w:val="1"/>
        </w:rPr>
        <w:t>投资、互联网普及和全要素生产率.统计研究</w:t>
      </w:r>
      <w:r>
        <w:rPr>
          <w:rFonts w:ascii="SimSun" w:hAnsi="SimSun" w:eastAsia="SimSun" w:cs="SimSun"/>
          <w:sz w:val="17"/>
          <w:szCs w:val="17"/>
          <w:spacing w:val="1"/>
        </w:rPr>
        <w:t>，</w:t>
      </w:r>
      <w:r>
        <w:rPr>
          <w:rFonts w:ascii="SimSun" w:hAnsi="SimSun" w:eastAsia="SimSun" w:cs="SimSun"/>
          <w:sz w:val="17"/>
          <w:szCs w:val="17"/>
        </w:rPr>
        <w:t xml:space="preserve"> </w:t>
      </w:r>
      <w:r>
        <w:rPr>
          <w:rFonts w:ascii="SimSun" w:hAnsi="SimSun" w:eastAsia="SimSun" w:cs="SimSun"/>
          <w:sz w:val="17"/>
          <w:szCs w:val="17"/>
        </w:rPr>
        <w:t>2020,37(9):56-67.</w:t>
      </w:r>
    </w:p>
    <w:p>
      <w:pPr>
        <w:ind w:left="390" w:right="52" w:hanging="390"/>
        <w:spacing w:before="72" w:line="262" w:lineRule="auto"/>
        <w:rPr>
          <w:rFonts w:ascii="Times New Roman" w:hAnsi="Times New Roman" w:eastAsia="Times New Roman" w:cs="Times New Roman"/>
          <w:sz w:val="17"/>
          <w:szCs w:val="17"/>
        </w:rPr>
      </w:pPr>
      <w:r>
        <w:rPr>
          <w:rFonts w:ascii="SimSun" w:hAnsi="SimSun" w:eastAsia="SimSun" w:cs="SimSun"/>
          <w:sz w:val="17"/>
          <w:szCs w:val="17"/>
        </w:rPr>
        <w:t>②</w:t>
      </w:r>
      <w:r>
        <w:rPr>
          <w:rFonts w:ascii="SimSun" w:hAnsi="SimSun" w:eastAsia="SimSun" w:cs="SimSun"/>
          <w:sz w:val="17"/>
          <w:szCs w:val="17"/>
          <w:spacing w:val="41"/>
        </w:rPr>
        <w:t xml:space="preserve"> </w:t>
      </w:r>
      <w:r>
        <w:rPr>
          <w:rFonts w:ascii="Times New Roman" w:hAnsi="Times New Roman" w:eastAsia="Times New Roman" w:cs="Times New Roman"/>
          <w:sz w:val="17"/>
          <w:szCs w:val="17"/>
        </w:rPr>
        <w:t>Estrella    Gomez-Herrera,Bertin    Martens,Geomina   </w:t>
      </w:r>
      <w:r>
        <w:rPr>
          <w:rFonts w:ascii="Times New Roman" w:hAnsi="Times New Roman" w:eastAsia="Times New Roman" w:cs="Times New Roman"/>
          <w:sz w:val="17"/>
          <w:szCs w:val="17"/>
          <w:spacing w:val="-1"/>
        </w:rPr>
        <w:t xml:space="preserve">  Turlea,“The    Drivers    and   </w:t>
      </w:r>
      <w:r>
        <w:rPr>
          <w:rFonts w:ascii="Times New Roman" w:hAnsi="Times New Roman" w:eastAsia="Times New Roman" w:cs="Times New Roman"/>
          <w:sz w:val="17"/>
          <w:szCs w:val="17"/>
        </w:rPr>
        <w:t>Impediments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Cross-border</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rPr>
        <w:t>e-Com</w:t>
      </w:r>
      <w:r>
        <w:rPr>
          <w:rFonts w:ascii="Times New Roman" w:hAnsi="Times New Roman" w:eastAsia="Times New Roman" w:cs="Times New Roman"/>
          <w:sz w:val="17"/>
          <w:szCs w:val="17"/>
          <w:spacing w:val="-1"/>
        </w:rPr>
        <w:t>merce</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1"/>
        </w:rPr>
        <w:t>in the</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spacing w:val="-1"/>
        </w:rPr>
        <w:t>EU",Information</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spacing w:val="-1"/>
        </w:rPr>
        <w:t>Economics</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spacing w:val="-1"/>
        </w:rPr>
        <w:t>and</w:t>
      </w:r>
    </w:p>
    <w:p>
      <w:pPr>
        <w:ind w:left="390"/>
        <w:spacing w:before="142" w:line="215" w:lineRule="auto"/>
        <w:rPr>
          <w:rFonts w:ascii="SimSun" w:hAnsi="SimSun" w:eastAsia="SimSun" w:cs="SimSun"/>
          <w:sz w:val="17"/>
          <w:szCs w:val="17"/>
        </w:rPr>
      </w:pPr>
      <w:r>
        <w:rPr>
          <w:rFonts w:ascii="SimSun" w:hAnsi="SimSun" w:eastAsia="SimSun" w:cs="SimSun"/>
          <w:sz w:val="17"/>
          <w:szCs w:val="17"/>
          <w:spacing w:val="-8"/>
        </w:rPr>
        <w:t>Policy,2014,28:83-96.</w:t>
      </w:r>
    </w:p>
    <w:p>
      <w:pPr>
        <w:ind w:left="352" w:right="38" w:hanging="352"/>
        <w:spacing w:before="66" w:line="319" w:lineRule="auto"/>
        <w:rPr>
          <w:rFonts w:ascii="Times New Roman" w:hAnsi="Times New Roman" w:eastAsia="Times New Roman" w:cs="Times New Roman"/>
          <w:sz w:val="17"/>
          <w:szCs w:val="17"/>
        </w:rPr>
      </w:pPr>
      <w:r>
        <w:rPr>
          <w:rFonts w:ascii="SimSun" w:hAnsi="SimSun" w:eastAsia="SimSun" w:cs="SimSun"/>
          <w:sz w:val="17"/>
          <w:szCs w:val="17"/>
          <w:spacing w:val="-2"/>
        </w:rPr>
        <w:t>③</w:t>
      </w:r>
      <w:r>
        <w:rPr>
          <w:rFonts w:ascii="SimSun" w:hAnsi="SimSun" w:eastAsia="SimSun" w:cs="SimSun"/>
          <w:sz w:val="17"/>
          <w:szCs w:val="17"/>
          <w:spacing w:val="60"/>
        </w:rPr>
        <w:t xml:space="preserve"> </w:t>
      </w:r>
      <w:r>
        <w:rPr>
          <w:rFonts w:ascii="Times New Roman" w:hAnsi="Times New Roman" w:eastAsia="Times New Roman" w:cs="Times New Roman"/>
          <w:sz w:val="17"/>
          <w:szCs w:val="17"/>
          <w:spacing w:val="-2"/>
        </w:rPr>
        <w:t>Bernardo</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2"/>
        </w:rPr>
        <w:t>S.Bhum,Avi Goldfarb,“Does the Internet Defy the Law of</w:t>
      </w:r>
      <w:r>
        <w:rPr>
          <w:rFonts w:ascii="Times New Roman" w:hAnsi="Times New Roman" w:eastAsia="Times New Roman" w:cs="Times New Roman"/>
          <w:sz w:val="17"/>
          <w:szCs w:val="17"/>
          <w:spacing w:val="-12"/>
        </w:rPr>
        <w:t xml:space="preserve"> </w:t>
      </w:r>
      <w:r>
        <w:rPr>
          <w:rFonts w:ascii="Times New Roman" w:hAnsi="Times New Roman" w:eastAsia="Times New Roman" w:cs="Times New Roman"/>
          <w:sz w:val="17"/>
          <w:szCs w:val="17"/>
          <w:spacing w:val="-2"/>
        </w:rPr>
        <w:t>Gravity?”,Jo</w:t>
      </w:r>
      <w:r>
        <w:rPr>
          <w:rFonts w:ascii="Times New Roman" w:hAnsi="Times New Roman" w:eastAsia="Times New Roman" w:cs="Times New Roman"/>
          <w:sz w:val="17"/>
          <w:szCs w:val="17"/>
          <w:spacing w:val="-3"/>
        </w:rPr>
        <w:t>urnal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International</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Economics</w:t>
      </w:r>
      <w:r>
        <w:rPr>
          <w:rFonts w:ascii="Times New Roman" w:hAnsi="Times New Roman" w:eastAsia="Times New Roman" w:cs="Times New Roman"/>
          <w:sz w:val="17"/>
          <w:szCs w:val="17"/>
          <w:spacing w:val="1"/>
        </w:rPr>
        <w:t>,2006,70(2):384405;</w:t>
      </w:r>
      <w:r>
        <w:rPr>
          <w:rFonts w:ascii="Times New Roman" w:hAnsi="Times New Roman" w:eastAsia="Times New Roman" w:cs="Times New Roman"/>
          <w:sz w:val="17"/>
          <w:szCs w:val="17"/>
        </w:rPr>
        <w:t>Georgios</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Alaveras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Bertin</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Martens</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“International</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Trade</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Online</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rPr>
        <w:t>Services”,Joint</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Research</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Centre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Working</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Paper</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Digital Economy(2015-08),2015;Andrea</w:t>
      </w:r>
      <w:r>
        <w:rPr>
          <w:rFonts w:ascii="Times New Roman" w:hAnsi="Times New Roman" w:eastAsia="Times New Roman" w:cs="Times New Roman"/>
          <w:sz w:val="17"/>
          <w:szCs w:val="17"/>
          <w:spacing w:val="-1"/>
        </w:rPr>
        <w:t>s Lendle,Marcelo Olarreaga,Simon Schropp,</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Pierre-Louis Vezina.“There Goes Gravity:eBay and the Death of</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Distance”,Economic</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Journal,2016,126(591):406-441;Prasanna</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Tambe,Lorin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M.Hitt.“Now</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rPr>
        <w:t>IT's</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Personal: </w:t>
      </w:r>
      <w:r>
        <w:rPr>
          <w:rFonts w:ascii="Times New Roman" w:hAnsi="Times New Roman" w:eastAsia="Times New Roman" w:cs="Times New Roman"/>
          <w:sz w:val="17"/>
          <w:szCs w:val="17"/>
        </w:rPr>
        <w:t>Ofshoring</w:t>
      </w:r>
      <w:r>
        <w:rPr>
          <w:rFonts w:ascii="Times New Roman" w:hAnsi="Times New Roman" w:eastAsia="Times New Roman" w:cs="Times New Roman"/>
          <w:sz w:val="17"/>
          <w:szCs w:val="17"/>
          <w:spacing w:val="29"/>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22"/>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Shifting</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Skill</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Composition</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U.S.Information</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Technology </w:t>
      </w:r>
      <w:r>
        <w:rPr>
          <w:rFonts w:ascii="Times New Roman" w:hAnsi="Times New Roman" w:eastAsia="Times New Roman" w:cs="Times New Roman"/>
          <w:sz w:val="17"/>
          <w:szCs w:val="17"/>
        </w:rPr>
        <w:t>Workforce",Management Science,2012,58(4):67</w:t>
      </w:r>
      <w:r>
        <w:rPr>
          <w:rFonts w:ascii="Times New Roman" w:hAnsi="Times New Roman" w:eastAsia="Times New Roman" w:cs="Times New Roman"/>
          <w:sz w:val="17"/>
          <w:szCs w:val="17"/>
          <w:spacing w:val="-1"/>
        </w:rPr>
        <w:t>8-695.</w:t>
      </w:r>
    </w:p>
    <w:p>
      <w:pPr>
        <w:spacing w:before="116" w:line="212" w:lineRule="auto"/>
        <w:rPr>
          <w:rFonts w:ascii="Times New Roman" w:hAnsi="Times New Roman" w:eastAsia="Times New Roman" w:cs="Times New Roman"/>
          <w:sz w:val="17"/>
          <w:szCs w:val="17"/>
        </w:rPr>
      </w:pPr>
      <w:r>
        <w:rPr>
          <w:rFonts w:ascii="SimSun" w:hAnsi="SimSun" w:eastAsia="SimSun" w:cs="SimSun"/>
          <w:sz w:val="17"/>
          <w:szCs w:val="17"/>
        </w:rPr>
        <w:t>④</w:t>
      </w:r>
      <w:r>
        <w:rPr>
          <w:rFonts w:ascii="SimSun" w:hAnsi="SimSun" w:eastAsia="SimSun" w:cs="SimSun"/>
          <w:sz w:val="17"/>
          <w:szCs w:val="17"/>
          <w:spacing w:val="43"/>
          <w:w w:val="101"/>
        </w:rPr>
        <w:t xml:space="preserve"> </w:t>
      </w:r>
      <w:r>
        <w:rPr>
          <w:rFonts w:ascii="Times New Roman" w:hAnsi="Times New Roman" w:eastAsia="Times New Roman" w:cs="Times New Roman"/>
          <w:sz w:val="17"/>
          <w:szCs w:val="17"/>
        </w:rPr>
        <w:t>Caroline  L.Freund,Diana  Weinhold,“The  Effect  of  the  Internet  on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International</w:t>
      </w:r>
    </w:p>
    <w:p>
      <w:pPr>
        <w:ind w:right="1"/>
        <w:spacing w:before="39" w:line="226"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Trade</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Journal</w:t>
      </w:r>
      <w:r>
        <w:rPr>
          <w:rFonts w:ascii="Times New Roman" w:hAnsi="Times New Roman" w:eastAsia="Times New Roman" w:cs="Times New Roman"/>
          <w:sz w:val="17"/>
          <w:szCs w:val="17"/>
          <w:i/>
          <w:iCs/>
          <w:spacing w:val="18"/>
          <w:w w:val="101"/>
          <w:position w:val="3"/>
        </w:rPr>
        <w:t xml:space="preserve">   </w:t>
      </w:r>
      <w:r>
        <w:rPr>
          <w:rFonts w:ascii="Times New Roman" w:hAnsi="Times New Roman" w:eastAsia="Times New Roman" w:cs="Times New Roman"/>
          <w:sz w:val="17"/>
          <w:szCs w:val="17"/>
          <w:i/>
          <w:iCs/>
          <w:position w:val="3"/>
        </w:rPr>
        <w:t>of</w:t>
      </w:r>
      <w:r>
        <w:rPr>
          <w:rFonts w:ascii="Times New Roman" w:hAnsi="Times New Roman" w:eastAsia="Times New Roman" w:cs="Times New Roman"/>
          <w:sz w:val="17"/>
          <w:szCs w:val="17"/>
          <w:i/>
          <w:iCs/>
          <w:spacing w:val="20"/>
          <w:position w:val="3"/>
        </w:rPr>
        <w:t xml:space="preserve">  </w:t>
      </w:r>
      <w:r>
        <w:rPr>
          <w:rFonts w:ascii="Times New Roman" w:hAnsi="Times New Roman" w:eastAsia="Times New Roman" w:cs="Times New Roman"/>
          <w:sz w:val="17"/>
          <w:szCs w:val="17"/>
          <w:i/>
          <w:iCs/>
          <w:position w:val="3"/>
        </w:rPr>
        <w:t>International</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
          <w:position w:val="3"/>
        </w:rPr>
        <w:t>,2004,62(1):171-189;</w:t>
      </w:r>
      <w:r>
        <w:rPr>
          <w:rFonts w:ascii="Times New Roman" w:hAnsi="Times New Roman" w:eastAsia="Times New Roman" w:cs="Times New Roman"/>
          <w:sz w:val="17"/>
          <w:szCs w:val="17"/>
          <w:i/>
          <w:iCs/>
          <w:position w:val="3"/>
        </w:rPr>
        <w:t>George</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R</w:t>
      </w:r>
      <w:r>
        <w:rPr>
          <w:rFonts w:ascii="Times New Roman" w:hAnsi="Times New Roman" w:eastAsia="Times New Roman" w:cs="Times New Roman"/>
          <w:sz w:val="17"/>
          <w:szCs w:val="17"/>
          <w:i/>
          <w:iCs/>
          <w:spacing w:val="1"/>
          <w:position w:val="3"/>
        </w:rPr>
        <w:t>.G.</w:t>
      </w:r>
    </w:p>
    <w:p>
      <w:pPr>
        <w:ind w:left="390"/>
        <w:spacing w:before="10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Clarke,"Has the Internet Increased Exports for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Firms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Low</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1"/>
        </w:rPr>
        <w:t>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1"/>
        </w:rPr>
        <w:t>Middle-Income</w:t>
      </w:r>
    </w:p>
    <w:p>
      <w:pPr>
        <w:ind w:left="390"/>
        <w:spacing w:before="6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Countries</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Information</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Economics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Policy</w:t>
      </w:r>
      <w:r>
        <w:rPr>
          <w:rFonts w:ascii="Times New Roman" w:hAnsi="Times New Roman" w:eastAsia="Times New Roman" w:cs="Times New Roman"/>
          <w:sz w:val="17"/>
          <w:szCs w:val="17"/>
          <w:i/>
          <w:iCs/>
          <w:spacing w:val="1"/>
          <w:position w:val="3"/>
        </w:rPr>
        <w:t>,2008,20(1):16-3</w:t>
      </w:r>
      <w:r>
        <w:rPr>
          <w:rFonts w:ascii="Times New Roman" w:hAnsi="Times New Roman" w:eastAsia="Times New Roman" w:cs="Times New Roman"/>
          <w:sz w:val="17"/>
          <w:szCs w:val="17"/>
          <w:i/>
          <w:iCs/>
          <w:position w:val="3"/>
        </w:rPr>
        <w:t>7;Xiang   Hui,</w:t>
      </w:r>
    </w:p>
    <w:p>
      <w:pPr>
        <w:ind w:left="352"/>
        <w:spacing w:before="10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“Facilitating Inclusive Global Trade:Evidence from a Field Experim</w:t>
      </w:r>
      <w:r>
        <w:rPr>
          <w:rFonts w:ascii="Times New Roman" w:hAnsi="Times New Roman" w:eastAsia="Times New Roman" w:cs="Times New Roman"/>
          <w:sz w:val="17"/>
          <w:szCs w:val="17"/>
          <w:spacing w:val="-2"/>
        </w:rPr>
        <w:t>ent.”Management</w:t>
      </w:r>
    </w:p>
    <w:p>
      <w:pPr>
        <w:ind w:left="387"/>
        <w:spacing w:before="115" w:line="216" w:lineRule="auto"/>
        <w:rPr>
          <w:rFonts w:ascii="SimSun" w:hAnsi="SimSun" w:eastAsia="SimSun" w:cs="SimSun"/>
          <w:sz w:val="17"/>
          <w:szCs w:val="17"/>
        </w:rPr>
      </w:pPr>
      <w:r>
        <w:rPr>
          <w:rFonts w:ascii="SimSun" w:hAnsi="SimSun" w:eastAsia="SimSun" w:cs="SimSun"/>
          <w:sz w:val="17"/>
          <w:szCs w:val="17"/>
          <w:i/>
          <w:iCs/>
          <w:spacing w:val="-10"/>
        </w:rPr>
        <w:t>Science,2020,66(4):1737-1755.</w:t>
      </w:r>
    </w:p>
    <w:p>
      <w:pPr>
        <w:ind w:left="390" w:hanging="390"/>
        <w:spacing w:before="77" w:line="262" w:lineRule="auto"/>
        <w:rPr>
          <w:rFonts w:ascii="KaiTi" w:hAnsi="KaiTi" w:eastAsia="KaiTi" w:cs="KaiTi"/>
          <w:sz w:val="17"/>
          <w:szCs w:val="17"/>
        </w:rPr>
      </w:pPr>
      <w:r>
        <w:rPr>
          <w:rFonts w:ascii="SimSun" w:hAnsi="SimSun" w:eastAsia="SimSun" w:cs="SimSun"/>
          <w:sz w:val="17"/>
          <w:szCs w:val="17"/>
          <w:spacing w:val="-7"/>
        </w:rPr>
        <w:t>⑤</w:t>
      </w:r>
      <w:r>
        <w:rPr>
          <w:rFonts w:ascii="SimSun" w:hAnsi="SimSun" w:eastAsia="SimSun" w:cs="SimSun"/>
          <w:sz w:val="17"/>
          <w:szCs w:val="17"/>
          <w:spacing w:val="31"/>
        </w:rPr>
        <w:t xml:space="preserve">  </w:t>
      </w:r>
      <w:r>
        <w:rPr>
          <w:rFonts w:ascii="KaiTi" w:hAnsi="KaiTi" w:eastAsia="KaiTi" w:cs="KaiTi"/>
          <w:sz w:val="17"/>
          <w:szCs w:val="17"/>
          <w:spacing w:val="-7"/>
        </w:rPr>
        <w:t>张克中，欧阳洁，李文健.缘何“减税难降负”:信息技术、征税能力与企业逃税.</w:t>
      </w:r>
      <w:r>
        <w:rPr>
          <w:rFonts w:ascii="KaiTi" w:hAnsi="KaiTi" w:eastAsia="KaiTi" w:cs="KaiTi"/>
          <w:sz w:val="17"/>
          <w:szCs w:val="17"/>
        </w:rPr>
        <w:t xml:space="preserve"> </w:t>
      </w:r>
      <w:r>
        <w:rPr>
          <w:rFonts w:ascii="KaiTi" w:hAnsi="KaiTi" w:eastAsia="KaiTi" w:cs="KaiTi"/>
          <w:sz w:val="17"/>
          <w:szCs w:val="17"/>
          <w:spacing w:val="5"/>
        </w:rPr>
        <w:t>经济研究，2020,55(3):116-132.</w:t>
      </w:r>
    </w:p>
    <w:p>
      <w:pPr>
        <w:spacing w:line="262" w:lineRule="auto"/>
        <w:sectPr>
          <w:headerReference w:type="default" r:id="rId89"/>
          <w:pgSz w:w="7330" w:h="12480"/>
          <w:pgMar w:top="578" w:right="427" w:bottom="400" w:left="729" w:header="395" w:footer="0" w:gutter="0"/>
        </w:sectPr>
        <w:rPr>
          <w:rFonts w:ascii="KaiTi" w:hAnsi="KaiTi" w:eastAsia="KaiTi" w:cs="KaiTi"/>
          <w:sz w:val="17"/>
          <w:szCs w:val="17"/>
        </w:rPr>
      </w:pPr>
    </w:p>
    <w:p>
      <w:pPr>
        <w:pStyle w:val="BodyText"/>
        <w:spacing w:line="254" w:lineRule="auto"/>
        <w:rPr/>
      </w:pPr>
      <w:r>
        <w:drawing>
          <wp:anchor distT="0" distB="0" distL="0" distR="0" simplePos="0" relativeHeight="252406784" behindDoc="0" locked="0" layoutInCell="0" allowOverlap="1">
            <wp:simplePos x="0" y="0"/>
            <wp:positionH relativeFrom="page">
              <wp:posOffset>304779</wp:posOffset>
            </wp:positionH>
            <wp:positionV relativeFrom="page">
              <wp:posOffset>4781581</wp:posOffset>
            </wp:positionV>
            <wp:extent cx="1168431" cy="6350"/>
            <wp:effectExtent l="0" t="0" r="0" b="0"/>
            <wp:wrapNone/>
            <wp:docPr id="76" name="IM 76"/>
            <wp:cNvGraphicFramePr/>
            <a:graphic>
              <a:graphicData uri="http://schemas.openxmlformats.org/drawingml/2006/picture">
                <pic:pic>
                  <pic:nvPicPr>
                    <pic:cNvPr id="76" name="IM 76"/>
                    <pic:cNvPicPr/>
                  </pic:nvPicPr>
                  <pic:blipFill>
                    <a:blip r:embed="rId91"/>
                    <a:stretch>
                      <a:fillRect/>
                    </a:stretch>
                  </pic:blipFill>
                  <pic:spPr>
                    <a:xfrm rot="0">
                      <a:off x="0" y="0"/>
                      <a:ext cx="1168431"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5" w:lineRule="auto"/>
        <w:rPr/>
      </w:pPr>
      <w:r/>
    </w:p>
    <w:p>
      <w:pPr>
        <w:ind w:right="119"/>
        <w:spacing w:before="65" w:line="332" w:lineRule="auto"/>
        <w:jc w:val="both"/>
        <w:rPr>
          <w:rFonts w:ascii="SimSun" w:hAnsi="SimSun" w:eastAsia="SimSun" w:cs="SimSun"/>
          <w:sz w:val="20"/>
          <w:szCs w:val="20"/>
        </w:rPr>
      </w:pPr>
      <w:r>
        <w:rPr>
          <w:rFonts w:ascii="SimSun" w:hAnsi="SimSun" w:eastAsia="SimSun" w:cs="SimSun"/>
          <w:sz w:val="20"/>
          <w:szCs w:val="20"/>
          <w:spacing w:val="7"/>
        </w:rPr>
        <w:t>段异质性，初期可对传统经济产生技术溢出效应，同时二</w:t>
      </w:r>
      <w:r>
        <w:rPr>
          <w:rFonts w:ascii="SimSun" w:hAnsi="SimSun" w:eastAsia="SimSun" w:cs="SimSun"/>
          <w:sz w:val="20"/>
          <w:szCs w:val="20"/>
          <w:spacing w:val="6"/>
        </w:rPr>
        <w:t>者相互竞</w:t>
      </w:r>
      <w:r>
        <w:rPr>
          <w:rFonts w:ascii="SimSun" w:hAnsi="SimSun" w:eastAsia="SimSun" w:cs="SimSun"/>
          <w:sz w:val="20"/>
          <w:szCs w:val="20"/>
        </w:rPr>
        <w:t xml:space="preserve"> </w:t>
      </w:r>
      <w:r>
        <w:rPr>
          <w:rFonts w:ascii="SimSun" w:hAnsi="SimSun" w:eastAsia="SimSun" w:cs="SimSun"/>
          <w:sz w:val="20"/>
          <w:szCs w:val="20"/>
          <w:spacing w:val="-1"/>
        </w:rPr>
        <w:t>争，有利于提升社会总福利，但当传统经济被挤出市场之后，数字经</w:t>
      </w:r>
      <w:r>
        <w:rPr>
          <w:rFonts w:ascii="SimSun" w:hAnsi="SimSun" w:eastAsia="SimSun" w:cs="SimSun"/>
          <w:sz w:val="20"/>
          <w:szCs w:val="20"/>
          <w:spacing w:val="17"/>
        </w:rPr>
        <w:t xml:space="preserve"> </w:t>
      </w:r>
      <w:r>
        <w:rPr>
          <w:rFonts w:ascii="SimSun" w:hAnsi="SimSun" w:eastAsia="SimSun" w:cs="SimSun"/>
          <w:sz w:val="20"/>
          <w:szCs w:val="20"/>
        </w:rPr>
        <w:t>济由于其网络效应和接近于零的边际成本，将</w:t>
      </w:r>
      <w:r>
        <w:rPr>
          <w:rFonts w:ascii="SimSun" w:hAnsi="SimSun" w:eastAsia="SimSun" w:cs="SimSun"/>
          <w:sz w:val="20"/>
          <w:szCs w:val="20"/>
          <w:spacing w:val="-1"/>
        </w:rPr>
        <w:t>获得持续稳定的垄断地</w:t>
      </w:r>
      <w:r>
        <w:rPr>
          <w:rFonts w:ascii="SimSun" w:hAnsi="SimSun" w:eastAsia="SimSun" w:cs="SimSun"/>
          <w:sz w:val="20"/>
          <w:szCs w:val="20"/>
        </w:rPr>
        <w:t xml:space="preserve"> </w:t>
      </w:r>
      <w:r>
        <w:rPr>
          <w:rFonts w:ascii="SimSun" w:hAnsi="SimSun" w:eastAsia="SimSun" w:cs="SimSun"/>
          <w:sz w:val="20"/>
          <w:szCs w:val="20"/>
        </w:rPr>
        <w:t>位。①张永林则认为，在垄断市场结构下，大数</w:t>
      </w:r>
      <w:r>
        <w:rPr>
          <w:rFonts w:ascii="SimSun" w:hAnsi="SimSun" w:eastAsia="SimSun" w:cs="SimSun"/>
          <w:sz w:val="20"/>
          <w:szCs w:val="20"/>
          <w:spacing w:val="-1"/>
        </w:rPr>
        <w:t>据将成为企业进行一</w:t>
      </w:r>
      <w:r>
        <w:rPr>
          <w:rFonts w:ascii="SimSun" w:hAnsi="SimSun" w:eastAsia="SimSun" w:cs="SimSun"/>
          <w:sz w:val="20"/>
          <w:szCs w:val="20"/>
        </w:rPr>
        <w:t xml:space="preserve"> </w:t>
      </w:r>
      <w:r>
        <w:rPr>
          <w:rFonts w:ascii="SimSun" w:hAnsi="SimSun" w:eastAsia="SimSun" w:cs="SimSun"/>
          <w:sz w:val="20"/>
          <w:szCs w:val="20"/>
          <w:spacing w:val="3"/>
        </w:rPr>
        <w:t>级价格歧视的利器，从而损害消费者总福利②,王世强等的研究也支</w:t>
      </w:r>
    </w:p>
    <w:p>
      <w:pPr>
        <w:spacing w:line="217" w:lineRule="auto"/>
        <w:rPr>
          <w:rFonts w:ascii="SimSun" w:hAnsi="SimSun" w:eastAsia="SimSun" w:cs="SimSun"/>
          <w:sz w:val="20"/>
          <w:szCs w:val="20"/>
        </w:rPr>
      </w:pPr>
      <w:r>
        <w:rPr>
          <w:rFonts w:ascii="SimSun" w:hAnsi="SimSun" w:eastAsia="SimSun" w:cs="SimSun"/>
          <w:sz w:val="20"/>
          <w:szCs w:val="20"/>
          <w:spacing w:val="-3"/>
        </w:rPr>
        <w:t>持“大数据杀熟”的歧视性定价将损害社会福利的结论。③</w:t>
      </w:r>
    </w:p>
    <w:p>
      <w:pPr>
        <w:ind w:right="100" w:firstLine="429"/>
        <w:spacing w:before="128" w:line="332" w:lineRule="auto"/>
        <w:jc w:val="both"/>
        <w:rPr>
          <w:rFonts w:ascii="SimSun" w:hAnsi="SimSun" w:eastAsia="SimSun" w:cs="SimSun"/>
          <w:sz w:val="20"/>
          <w:szCs w:val="20"/>
        </w:rPr>
      </w:pPr>
      <w:r>
        <w:rPr>
          <w:rFonts w:ascii="SimSun" w:hAnsi="SimSun" w:eastAsia="SimSun" w:cs="SimSun"/>
          <w:sz w:val="20"/>
          <w:szCs w:val="20"/>
          <w:spacing w:val="-1"/>
        </w:rPr>
        <w:t>从宏观层面而言，衡量数字经济对经济增长和全要素生产率的影</w:t>
      </w:r>
      <w:r>
        <w:rPr>
          <w:rFonts w:ascii="SimSun" w:hAnsi="SimSun" w:eastAsia="SimSun" w:cs="SimSun"/>
          <w:sz w:val="20"/>
          <w:szCs w:val="20"/>
          <w:spacing w:val="16"/>
        </w:rPr>
        <w:t xml:space="preserve"> </w:t>
      </w:r>
      <w:r>
        <w:rPr>
          <w:rFonts w:ascii="SimSun" w:hAnsi="SimSun" w:eastAsia="SimSun" w:cs="SimSun"/>
          <w:sz w:val="20"/>
          <w:szCs w:val="20"/>
          <w:spacing w:val="-1"/>
        </w:rPr>
        <w:t>响仍然面临很大挑战。有学者列出了衡量数字经济影响的几个预期挑</w:t>
      </w:r>
      <w:r>
        <w:rPr>
          <w:rFonts w:ascii="SimSun" w:hAnsi="SimSun" w:eastAsia="SimSun" w:cs="SimSun"/>
          <w:sz w:val="20"/>
          <w:szCs w:val="20"/>
          <w:spacing w:val="11"/>
        </w:rPr>
        <w:t xml:space="preserve"> </w:t>
      </w:r>
      <w:r>
        <w:rPr>
          <w:rFonts w:ascii="SimSun" w:hAnsi="SimSun" w:eastAsia="SimSun" w:cs="SimSun"/>
          <w:sz w:val="20"/>
          <w:szCs w:val="20"/>
        </w:rPr>
        <w:t>战，包括服务业产出的计算、数字科技支出的计算、相关价格平减指</w:t>
      </w:r>
      <w:r>
        <w:rPr>
          <w:rFonts w:ascii="SimSun" w:hAnsi="SimSun" w:eastAsia="SimSun" w:cs="SimSun"/>
          <w:sz w:val="20"/>
          <w:szCs w:val="20"/>
          <w:spacing w:val="2"/>
        </w:rPr>
        <w:t xml:space="preserve"> </w:t>
      </w:r>
      <w:r>
        <w:rPr>
          <w:rFonts w:ascii="SimSun" w:hAnsi="SimSun" w:eastAsia="SimSun" w:cs="SimSun"/>
          <w:sz w:val="20"/>
          <w:szCs w:val="20"/>
        </w:rPr>
        <w:t>数的计算等。④其中一项关键挑战与无形资</w:t>
      </w:r>
      <w:r>
        <w:rPr>
          <w:rFonts w:ascii="SimSun" w:hAnsi="SimSun" w:eastAsia="SimSun" w:cs="SimSun"/>
          <w:sz w:val="20"/>
          <w:szCs w:val="20"/>
          <w:spacing w:val="-1"/>
        </w:rPr>
        <w:t>产有关，即无形资产在很</w:t>
      </w:r>
      <w:r>
        <w:rPr>
          <w:rFonts w:ascii="SimSun" w:hAnsi="SimSun" w:eastAsia="SimSun" w:cs="SimSun"/>
          <w:sz w:val="20"/>
          <w:szCs w:val="20"/>
        </w:rPr>
        <w:t xml:space="preserve"> </w:t>
      </w:r>
      <w:r>
        <w:rPr>
          <w:rFonts w:ascii="SimSun" w:hAnsi="SimSun" w:eastAsia="SimSun" w:cs="SimSun"/>
          <w:sz w:val="20"/>
          <w:szCs w:val="20"/>
          <w:spacing w:val="-1"/>
        </w:rPr>
        <w:t>多情况下与有形的资本、劳动、中间投入要素的数据混合在一起，分</w:t>
      </w:r>
      <w:r>
        <w:rPr>
          <w:rFonts w:ascii="SimSun" w:hAnsi="SimSun" w:eastAsia="SimSun" w:cs="SimSun"/>
          <w:sz w:val="20"/>
          <w:szCs w:val="20"/>
          <w:spacing w:val="11"/>
        </w:rPr>
        <w:t xml:space="preserve"> </w:t>
      </w:r>
      <w:r>
        <w:rPr>
          <w:rFonts w:ascii="SimSun" w:hAnsi="SimSun" w:eastAsia="SimSun" w:cs="SimSun"/>
          <w:sz w:val="20"/>
          <w:szCs w:val="20"/>
        </w:rPr>
        <w:t>解难度很大。⑤初步尝试表明，依据中国官方统计</w:t>
      </w:r>
      <w:r>
        <w:rPr>
          <w:rFonts w:ascii="SimSun" w:hAnsi="SimSun" w:eastAsia="SimSun" w:cs="SimSun"/>
          <w:sz w:val="20"/>
          <w:szCs w:val="20"/>
          <w:spacing w:val="-1"/>
        </w:rPr>
        <w:t>数据对无形资产进</w:t>
      </w:r>
    </w:p>
    <w:p>
      <w:pPr>
        <w:spacing w:line="219" w:lineRule="auto"/>
        <w:rPr>
          <w:rFonts w:ascii="SimSun" w:hAnsi="SimSun" w:eastAsia="SimSun" w:cs="SimSun"/>
          <w:sz w:val="20"/>
          <w:szCs w:val="20"/>
        </w:rPr>
      </w:pPr>
      <w:r>
        <w:rPr>
          <w:rFonts w:ascii="SimSun" w:hAnsi="SimSun" w:eastAsia="SimSun" w:cs="SimSun"/>
          <w:sz w:val="20"/>
          <w:szCs w:val="20"/>
          <w:spacing w:val="7"/>
        </w:rPr>
        <w:t>行测算面临很大的挑战。</w:t>
      </w:r>
    </w:p>
    <w:p>
      <w:pPr>
        <w:ind w:left="440"/>
        <w:spacing w:before="121" w:line="361" w:lineRule="exact"/>
        <w:rPr>
          <w:rFonts w:ascii="SimSun" w:hAnsi="SimSun" w:eastAsia="SimSun" w:cs="SimSun"/>
          <w:sz w:val="20"/>
          <w:szCs w:val="20"/>
        </w:rPr>
      </w:pPr>
      <w:r>
        <w:rPr>
          <w:rFonts w:ascii="SimSun" w:hAnsi="SimSun" w:eastAsia="SimSun" w:cs="SimSun"/>
          <w:sz w:val="20"/>
          <w:szCs w:val="20"/>
          <w:spacing w:val="7"/>
          <w:position w:val="12"/>
        </w:rPr>
        <w:t>更一般地，衡量数字经济对社会福利的影响将会面临更大的挑</w:t>
      </w:r>
    </w:p>
    <w:p>
      <w:pPr>
        <w:spacing w:line="219" w:lineRule="auto"/>
        <w:rPr>
          <w:rFonts w:ascii="SimSun" w:hAnsi="SimSun" w:eastAsia="SimSun" w:cs="SimSun"/>
          <w:sz w:val="20"/>
          <w:szCs w:val="20"/>
        </w:rPr>
      </w:pPr>
      <w:r>
        <w:rPr>
          <w:rFonts w:ascii="SimSun" w:hAnsi="SimSun" w:eastAsia="SimSun" w:cs="SimSun"/>
          <w:sz w:val="20"/>
          <w:szCs w:val="20"/>
        </w:rPr>
        <w:t>战。数字经济的兴起伴随着诸多“免费”数字产品的出现，比如搜索</w:t>
      </w:r>
    </w:p>
    <w:p>
      <w:pPr>
        <w:pStyle w:val="BodyText"/>
        <w:spacing w:line="372" w:lineRule="auto"/>
        <w:rPr/>
      </w:pPr>
      <w:r/>
    </w:p>
    <w:p>
      <w:pPr>
        <w:ind w:left="309" w:right="120" w:hanging="309"/>
        <w:spacing w:before="65" w:line="243" w:lineRule="auto"/>
        <w:rPr>
          <w:rFonts w:ascii="SimSun" w:hAnsi="SimSun" w:eastAsia="SimSun" w:cs="SimSun"/>
          <w:sz w:val="20"/>
          <w:szCs w:val="20"/>
        </w:rPr>
      </w:pPr>
      <w:r>
        <w:rPr>
          <w:rFonts w:ascii="KaiTi" w:hAnsi="KaiTi" w:eastAsia="KaiTi" w:cs="KaiTi"/>
          <w:sz w:val="20"/>
          <w:szCs w:val="20"/>
          <w:spacing w:val="-18"/>
          <w:w w:val="93"/>
        </w:rPr>
        <w:t>①</w:t>
      </w:r>
      <w:r>
        <w:rPr>
          <w:rFonts w:ascii="KaiTi" w:hAnsi="KaiTi" w:eastAsia="KaiTi" w:cs="KaiTi"/>
          <w:sz w:val="20"/>
          <w:szCs w:val="20"/>
          <w:spacing w:val="43"/>
        </w:rPr>
        <w:t xml:space="preserve"> </w:t>
      </w:r>
      <w:r>
        <w:rPr>
          <w:rFonts w:ascii="KaiTi" w:hAnsi="KaiTi" w:eastAsia="KaiTi" w:cs="KaiTi"/>
          <w:sz w:val="20"/>
          <w:szCs w:val="20"/>
          <w:spacing w:val="-18"/>
          <w:w w:val="93"/>
        </w:rPr>
        <w:t>许恒，张一林，曹雨佳.数字经济、技术溢出与动态竞合政策.管理世界，</w:t>
      </w:r>
      <w:r>
        <w:rPr>
          <w:rFonts w:ascii="Times New Roman" w:hAnsi="Times New Roman" w:eastAsia="Times New Roman" w:cs="Times New Roman"/>
          <w:sz w:val="20"/>
          <w:szCs w:val="20"/>
          <w:spacing w:val="-18"/>
          <w:w w:val="93"/>
        </w:rPr>
        <w:t>2020,</w:t>
      </w:r>
      <w:r>
        <w:rPr>
          <w:rFonts w:ascii="Times New Roman" w:hAnsi="Times New Roman" w:eastAsia="Times New Roman" w:cs="Times New Roman"/>
          <w:sz w:val="20"/>
          <w:szCs w:val="20"/>
        </w:rPr>
        <w:t xml:space="preserve"> </w:t>
      </w:r>
      <w:r>
        <w:rPr>
          <w:rFonts w:ascii="SimSun" w:hAnsi="SimSun" w:eastAsia="SimSun" w:cs="SimSun"/>
          <w:sz w:val="20"/>
          <w:szCs w:val="20"/>
          <w:spacing w:val="-3"/>
        </w:rPr>
        <w:t>36(11):63-79.</w:t>
      </w:r>
    </w:p>
    <w:p>
      <w:pPr>
        <w:ind w:left="309" w:right="93" w:hanging="309"/>
        <w:spacing w:before="71" w:line="244" w:lineRule="auto"/>
        <w:rPr>
          <w:rFonts w:ascii="KaiTi" w:hAnsi="KaiTi" w:eastAsia="KaiTi" w:cs="KaiTi"/>
          <w:sz w:val="20"/>
          <w:szCs w:val="20"/>
        </w:rPr>
      </w:pPr>
      <w:r>
        <w:rPr>
          <w:rFonts w:ascii="SimSun" w:hAnsi="SimSun" w:eastAsia="SimSun" w:cs="SimSun"/>
          <w:sz w:val="16"/>
          <w:szCs w:val="16"/>
          <w:spacing w:val="4"/>
        </w:rPr>
        <w:t>②</w:t>
      </w:r>
      <w:r>
        <w:rPr>
          <w:rFonts w:ascii="SimSun" w:hAnsi="SimSun" w:eastAsia="SimSun" w:cs="SimSun"/>
          <w:sz w:val="16"/>
          <w:szCs w:val="16"/>
          <w:spacing w:val="54"/>
          <w:w w:val="101"/>
        </w:rPr>
        <w:t xml:space="preserve"> </w:t>
      </w:r>
      <w:r>
        <w:rPr>
          <w:rFonts w:ascii="KaiTi" w:hAnsi="KaiTi" w:eastAsia="KaiTi" w:cs="KaiTi"/>
          <w:sz w:val="16"/>
          <w:szCs w:val="16"/>
          <w:spacing w:val="4"/>
        </w:rPr>
        <w:t>张永林.互联网、信息元与屏幕化市场——</w:t>
      </w:r>
      <w:r>
        <w:rPr>
          <w:rFonts w:ascii="KaiTi" w:hAnsi="KaiTi" w:eastAsia="KaiTi" w:cs="KaiTi"/>
          <w:sz w:val="16"/>
          <w:szCs w:val="16"/>
          <w:spacing w:val="3"/>
        </w:rPr>
        <w:t>现代网络经济理论模型和应用.经济研</w:t>
      </w:r>
      <w:r>
        <w:rPr>
          <w:rFonts w:ascii="KaiTi" w:hAnsi="KaiTi" w:eastAsia="KaiTi" w:cs="KaiTi"/>
          <w:sz w:val="16"/>
          <w:szCs w:val="16"/>
        </w:rPr>
        <w:t xml:space="preserve"> </w:t>
      </w:r>
      <w:r>
        <w:rPr>
          <w:rFonts w:ascii="KaiTi" w:hAnsi="KaiTi" w:eastAsia="KaiTi" w:cs="KaiTi"/>
          <w:sz w:val="20"/>
          <w:szCs w:val="20"/>
          <w:spacing w:val="-8"/>
        </w:rPr>
        <w:t>究，2016,51(9):147-161.</w:t>
      </w:r>
    </w:p>
    <w:p>
      <w:pPr>
        <w:ind w:left="309" w:hanging="309"/>
        <w:spacing w:before="52" w:line="262" w:lineRule="auto"/>
        <w:rPr>
          <w:rFonts w:ascii="SimSun" w:hAnsi="SimSun" w:eastAsia="SimSun" w:cs="SimSun"/>
          <w:sz w:val="16"/>
          <w:szCs w:val="16"/>
        </w:rPr>
      </w:pPr>
      <w:r>
        <w:rPr>
          <w:rFonts w:ascii="KaiTi" w:hAnsi="KaiTi" w:eastAsia="KaiTi" w:cs="KaiTi"/>
          <w:sz w:val="20"/>
          <w:szCs w:val="20"/>
          <w:spacing w:val="-19"/>
          <w:w w:val="95"/>
        </w:rPr>
        <w:t>③</w:t>
      </w:r>
      <w:r>
        <w:rPr>
          <w:rFonts w:ascii="KaiTi" w:hAnsi="KaiTi" w:eastAsia="KaiTi" w:cs="KaiTi"/>
          <w:sz w:val="20"/>
          <w:szCs w:val="20"/>
          <w:spacing w:val="52"/>
        </w:rPr>
        <w:t xml:space="preserve"> </w:t>
      </w:r>
      <w:r>
        <w:rPr>
          <w:rFonts w:ascii="KaiTi" w:hAnsi="KaiTi" w:eastAsia="KaiTi" w:cs="KaiTi"/>
          <w:sz w:val="20"/>
          <w:szCs w:val="20"/>
          <w:spacing w:val="-19"/>
          <w:w w:val="95"/>
        </w:rPr>
        <w:t>王世强，陈逸豪，叶光亮.数字经济中企业歧视性定价与质量竞争.经济研究，</w:t>
      </w:r>
      <w:r>
        <w:rPr>
          <w:rFonts w:ascii="KaiTi" w:hAnsi="KaiTi" w:eastAsia="KaiTi" w:cs="KaiTi"/>
          <w:sz w:val="20"/>
          <w:szCs w:val="20"/>
        </w:rPr>
        <w:t xml:space="preserve"> </w:t>
      </w:r>
      <w:r>
        <w:rPr>
          <w:rFonts w:ascii="SimSun" w:hAnsi="SimSun" w:eastAsia="SimSun" w:cs="SimSun"/>
          <w:sz w:val="16"/>
          <w:szCs w:val="16"/>
        </w:rPr>
        <w:t>2020,55(12):115-131.</w:t>
      </w:r>
    </w:p>
    <w:p>
      <w:pPr>
        <w:spacing w:before="107" w:line="212" w:lineRule="auto"/>
        <w:rPr>
          <w:rFonts w:ascii="Times New Roman" w:hAnsi="Times New Roman" w:eastAsia="Times New Roman" w:cs="Times New Roman"/>
          <w:sz w:val="16"/>
          <w:szCs w:val="16"/>
        </w:rPr>
      </w:pPr>
      <w:r>
        <w:rPr>
          <w:rFonts w:ascii="SimSun" w:hAnsi="SimSun" w:eastAsia="SimSun" w:cs="SimSun"/>
          <w:sz w:val="16"/>
          <w:szCs w:val="16"/>
        </w:rPr>
        <w:t>④</w:t>
      </w:r>
      <w:r>
        <w:rPr>
          <w:rFonts w:ascii="SimSun" w:hAnsi="SimSun" w:eastAsia="SimSun" w:cs="SimSun"/>
          <w:sz w:val="16"/>
          <w:szCs w:val="16"/>
          <w:spacing w:val="74"/>
          <w:w w:val="101"/>
        </w:rPr>
        <w:t xml:space="preserve"> </w:t>
      </w:r>
      <w:r>
        <w:rPr>
          <w:rFonts w:ascii="Times New Roman" w:hAnsi="Times New Roman" w:eastAsia="Times New Roman" w:cs="Times New Roman"/>
          <w:sz w:val="16"/>
          <w:szCs w:val="16"/>
        </w:rPr>
        <w:t>John  Haltiwanger,Ron</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rPr>
        <w:t>S.Jarmin,“Measuring  the</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Digital</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Economy”,in</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Unders</w:t>
      </w:r>
      <w:r>
        <w:rPr>
          <w:rFonts w:ascii="Times New Roman" w:hAnsi="Times New Roman" w:eastAsia="Times New Roman" w:cs="Times New Roman"/>
          <w:sz w:val="16"/>
          <w:szCs w:val="16"/>
          <w:spacing w:val="-1"/>
        </w:rPr>
        <w:t>tanding</w:t>
      </w:r>
    </w:p>
    <w:p>
      <w:pPr>
        <w:ind w:left="309"/>
        <w:spacing w:before="40"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the</w:t>
      </w:r>
      <w:r>
        <w:rPr>
          <w:rFonts w:ascii="Times New Roman" w:hAnsi="Times New Roman" w:eastAsia="Times New Roman" w:cs="Times New Roman"/>
          <w:sz w:val="16"/>
          <w:szCs w:val="16"/>
          <w:i/>
          <w:iCs/>
          <w:spacing w:val="29"/>
          <w:position w:val="3"/>
        </w:rPr>
        <w:t xml:space="preserve"> </w:t>
      </w:r>
      <w:r>
        <w:rPr>
          <w:rFonts w:ascii="Times New Roman" w:hAnsi="Times New Roman" w:eastAsia="Times New Roman" w:cs="Times New Roman"/>
          <w:sz w:val="16"/>
          <w:szCs w:val="16"/>
          <w:i/>
          <w:iCs/>
          <w:position w:val="3"/>
        </w:rPr>
        <w:t>Digital</w:t>
      </w:r>
      <w:r>
        <w:rPr>
          <w:rFonts w:ascii="Times New Roman" w:hAnsi="Times New Roman" w:eastAsia="Times New Roman" w:cs="Times New Roman"/>
          <w:sz w:val="16"/>
          <w:szCs w:val="16"/>
          <w:i/>
          <w:iCs/>
          <w:spacing w:val="27"/>
          <w:position w:val="3"/>
        </w:rPr>
        <w:t xml:space="preserve"> </w:t>
      </w:r>
      <w:r>
        <w:rPr>
          <w:rFonts w:ascii="Times New Roman" w:hAnsi="Times New Roman" w:eastAsia="Times New Roman" w:cs="Times New Roman"/>
          <w:sz w:val="16"/>
          <w:szCs w:val="16"/>
          <w:i/>
          <w:iCs/>
          <w:position w:val="3"/>
        </w:rPr>
        <w:t>Economy</w:t>
      </w:r>
      <w:r>
        <w:rPr>
          <w:rFonts w:ascii="Times New Roman" w:hAnsi="Times New Roman" w:eastAsia="Times New Roman" w:cs="Times New Roman"/>
          <w:sz w:val="16"/>
          <w:szCs w:val="16"/>
          <w:i/>
          <w:iCs/>
          <w:spacing w:val="8"/>
          <w:position w:val="3"/>
        </w:rPr>
        <w:t>:</w:t>
      </w:r>
      <w:r>
        <w:rPr>
          <w:rFonts w:ascii="Times New Roman" w:hAnsi="Times New Roman" w:eastAsia="Times New Roman" w:cs="Times New Roman"/>
          <w:sz w:val="16"/>
          <w:szCs w:val="16"/>
          <w:i/>
          <w:iCs/>
          <w:position w:val="3"/>
        </w:rPr>
        <w:t>Data</w:t>
      </w:r>
      <w:r>
        <w:rPr>
          <w:rFonts w:ascii="Times New Roman" w:hAnsi="Times New Roman" w:eastAsia="Times New Roman" w:cs="Times New Roman"/>
          <w:sz w:val="16"/>
          <w:szCs w:val="16"/>
          <w:i/>
          <w:iCs/>
          <w:spacing w:val="8"/>
          <w:position w:val="3"/>
        </w:rPr>
        <w:t>,</w:t>
      </w:r>
      <w:r>
        <w:rPr>
          <w:rFonts w:ascii="Times New Roman" w:hAnsi="Times New Roman" w:eastAsia="Times New Roman" w:cs="Times New Roman"/>
          <w:sz w:val="16"/>
          <w:szCs w:val="16"/>
          <w:i/>
          <w:iCs/>
          <w:position w:val="3"/>
        </w:rPr>
        <w:t>Tools</w:t>
      </w:r>
      <w:r>
        <w:rPr>
          <w:rFonts w:ascii="Times New Roman" w:hAnsi="Times New Roman" w:eastAsia="Times New Roman" w:cs="Times New Roman"/>
          <w:sz w:val="16"/>
          <w:szCs w:val="16"/>
          <w:i/>
          <w:iCs/>
          <w:spacing w:val="8"/>
          <w:position w:val="3"/>
        </w:rPr>
        <w:t>,</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23"/>
          <w:w w:val="101"/>
          <w:position w:val="3"/>
        </w:rPr>
        <w:t xml:space="preserve"> </w:t>
      </w:r>
      <w:r>
        <w:rPr>
          <w:rFonts w:ascii="Times New Roman" w:hAnsi="Times New Roman" w:eastAsia="Times New Roman" w:cs="Times New Roman"/>
          <w:sz w:val="16"/>
          <w:szCs w:val="16"/>
          <w:i/>
          <w:iCs/>
          <w:position w:val="3"/>
        </w:rPr>
        <w:t>Research</w:t>
      </w:r>
      <w:r>
        <w:rPr>
          <w:rFonts w:ascii="Times New Roman" w:hAnsi="Times New Roman" w:eastAsia="Times New Roman" w:cs="Times New Roman"/>
          <w:sz w:val="16"/>
          <w:szCs w:val="16"/>
          <w:i/>
          <w:iCs/>
          <w:spacing w:val="8"/>
          <w:position w:val="3"/>
        </w:rPr>
        <w:t>,</w:t>
      </w:r>
      <w:r>
        <w:rPr>
          <w:rFonts w:ascii="Times New Roman" w:hAnsi="Times New Roman" w:eastAsia="Times New Roman" w:cs="Times New Roman"/>
          <w:sz w:val="16"/>
          <w:szCs w:val="16"/>
          <w:i/>
          <w:iCs/>
          <w:position w:val="3"/>
        </w:rPr>
        <w:t>edited</w:t>
      </w:r>
      <w:r>
        <w:rPr>
          <w:rFonts w:ascii="Times New Roman" w:hAnsi="Times New Roman" w:eastAsia="Times New Roman" w:cs="Times New Roman"/>
          <w:sz w:val="16"/>
          <w:szCs w:val="16"/>
          <w:i/>
          <w:iCs/>
          <w:spacing w:val="31"/>
          <w:position w:val="3"/>
        </w:rPr>
        <w:t xml:space="preserve"> </w:t>
      </w:r>
      <w:r>
        <w:rPr>
          <w:rFonts w:ascii="Times New Roman" w:hAnsi="Times New Roman" w:eastAsia="Times New Roman" w:cs="Times New Roman"/>
          <w:sz w:val="16"/>
          <w:szCs w:val="16"/>
          <w:i/>
          <w:iCs/>
          <w:position w:val="3"/>
        </w:rPr>
        <w:t>by</w:t>
      </w:r>
      <w:r>
        <w:rPr>
          <w:rFonts w:ascii="Times New Roman" w:hAnsi="Times New Roman" w:eastAsia="Times New Roman" w:cs="Times New Roman"/>
          <w:sz w:val="16"/>
          <w:szCs w:val="16"/>
          <w:i/>
          <w:iCs/>
          <w:spacing w:val="30"/>
          <w:w w:val="101"/>
          <w:position w:val="3"/>
        </w:rPr>
        <w:t xml:space="preserve"> </w:t>
      </w:r>
      <w:r>
        <w:rPr>
          <w:rFonts w:ascii="Times New Roman" w:hAnsi="Times New Roman" w:eastAsia="Times New Roman" w:cs="Times New Roman"/>
          <w:sz w:val="16"/>
          <w:szCs w:val="16"/>
          <w:i/>
          <w:iCs/>
          <w:position w:val="3"/>
        </w:rPr>
        <w:t>Erik</w:t>
      </w:r>
      <w:r>
        <w:rPr>
          <w:rFonts w:ascii="Times New Roman" w:hAnsi="Times New Roman" w:eastAsia="Times New Roman" w:cs="Times New Roman"/>
          <w:sz w:val="16"/>
          <w:szCs w:val="16"/>
          <w:i/>
          <w:iCs/>
          <w:spacing w:val="22"/>
          <w:w w:val="102"/>
          <w:position w:val="3"/>
        </w:rPr>
        <w:t xml:space="preserve"> </w:t>
      </w:r>
      <w:r>
        <w:rPr>
          <w:rFonts w:ascii="Times New Roman" w:hAnsi="Times New Roman" w:eastAsia="Times New Roman" w:cs="Times New Roman"/>
          <w:sz w:val="16"/>
          <w:szCs w:val="16"/>
          <w:i/>
          <w:iCs/>
          <w:position w:val="3"/>
        </w:rPr>
        <w:t>Brynjolfsson</w:t>
      </w:r>
      <w:r>
        <w:rPr>
          <w:rFonts w:ascii="Times New Roman" w:hAnsi="Times New Roman" w:eastAsia="Times New Roman" w:cs="Times New Roman"/>
          <w:sz w:val="16"/>
          <w:szCs w:val="16"/>
          <w:i/>
          <w:iCs/>
          <w:spacing w:val="37"/>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23"/>
          <w:w w:val="101"/>
          <w:position w:val="3"/>
        </w:rPr>
        <w:t xml:space="preserve"> </w:t>
      </w:r>
      <w:r>
        <w:rPr>
          <w:rFonts w:ascii="Times New Roman" w:hAnsi="Times New Roman" w:eastAsia="Times New Roman" w:cs="Times New Roman"/>
          <w:sz w:val="16"/>
          <w:szCs w:val="16"/>
          <w:i/>
          <w:iCs/>
          <w:position w:val="3"/>
        </w:rPr>
        <w:t>Brian</w:t>
      </w:r>
    </w:p>
    <w:p>
      <w:pPr>
        <w:ind w:left="309"/>
        <w:spacing w:before="12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Kahin,Cambridge</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London:MIT</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Press,2000:</w:t>
      </w:r>
      <w:r>
        <w:rPr>
          <w:rFonts w:ascii="Times New Roman" w:hAnsi="Times New Roman" w:eastAsia="Times New Roman" w:cs="Times New Roman"/>
          <w:sz w:val="16"/>
          <w:szCs w:val="16"/>
          <w:spacing w:val="-1"/>
        </w:rPr>
        <w:t>13-33.</w:t>
      </w:r>
    </w:p>
    <w:p>
      <w:pPr>
        <w:spacing w:before="55" w:line="212" w:lineRule="auto"/>
        <w:rPr>
          <w:rFonts w:ascii="Times New Roman" w:hAnsi="Times New Roman" w:eastAsia="Times New Roman" w:cs="Times New Roman"/>
          <w:sz w:val="20"/>
          <w:szCs w:val="20"/>
        </w:rPr>
      </w:pPr>
      <w:r>
        <w:rPr>
          <w:rFonts w:ascii="SimSun" w:hAnsi="SimSun" w:eastAsia="SimSun" w:cs="SimSun"/>
          <w:sz w:val="20"/>
          <w:szCs w:val="20"/>
          <w:spacing w:val="-5"/>
        </w:rPr>
        <w:t>⑤</w:t>
      </w:r>
      <w:r>
        <w:rPr>
          <w:rFonts w:ascii="SimSun" w:hAnsi="SimSun" w:eastAsia="SimSun" w:cs="SimSun"/>
          <w:sz w:val="20"/>
          <w:szCs w:val="20"/>
          <w:spacing w:val="34"/>
        </w:rPr>
        <w:t xml:space="preserve"> </w:t>
      </w:r>
      <w:r>
        <w:rPr>
          <w:rFonts w:ascii="Times New Roman" w:hAnsi="Times New Roman" w:eastAsia="Times New Roman" w:cs="Times New Roman"/>
          <w:sz w:val="20"/>
          <w:szCs w:val="20"/>
          <w:spacing w:val="-5"/>
        </w:rPr>
        <w:t>Carol A.Corrado,Ch</w:t>
      </w:r>
      <w:r>
        <w:rPr>
          <w:rFonts w:ascii="Times New Roman" w:hAnsi="Times New Roman" w:eastAsia="Times New Roman" w:cs="Times New Roman"/>
          <w:sz w:val="20"/>
          <w:szCs w:val="20"/>
          <w:spacing w:val="-6"/>
        </w:rPr>
        <w:t>arles R.Hulten,“How Do You Measure a‘Technological</w:t>
      </w:r>
    </w:p>
    <w:p>
      <w:pPr>
        <w:ind w:left="309"/>
        <w:spacing w:before="11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Revolution'?",American</w:t>
      </w:r>
      <w:r>
        <w:rPr>
          <w:rFonts w:ascii="Times New Roman" w:hAnsi="Times New Roman" w:eastAsia="Times New Roman" w:cs="Times New Roman"/>
          <w:sz w:val="16"/>
          <w:szCs w:val="16"/>
          <w:i/>
          <w:iCs/>
          <w:spacing w:val="13"/>
          <w:w w:val="102"/>
        </w:rPr>
        <w:t xml:space="preserve">   </w:t>
      </w:r>
      <w:r>
        <w:rPr>
          <w:rFonts w:ascii="Times New Roman" w:hAnsi="Times New Roman" w:eastAsia="Times New Roman" w:cs="Times New Roman"/>
          <w:sz w:val="16"/>
          <w:szCs w:val="16"/>
          <w:i/>
          <w:iCs/>
        </w:rPr>
        <w:t>Economic</w:t>
      </w:r>
      <w:r>
        <w:rPr>
          <w:rFonts w:ascii="Times New Roman" w:hAnsi="Times New Roman" w:eastAsia="Times New Roman" w:cs="Times New Roman"/>
          <w:sz w:val="16"/>
          <w:szCs w:val="16"/>
          <w:i/>
          <w:iCs/>
          <w:spacing w:val="11"/>
          <w:w w:val="101"/>
        </w:rPr>
        <w:t xml:space="preserve">   </w:t>
      </w:r>
      <w:r>
        <w:rPr>
          <w:rFonts w:ascii="Times New Roman" w:hAnsi="Times New Roman" w:eastAsia="Times New Roman" w:cs="Times New Roman"/>
          <w:sz w:val="16"/>
          <w:szCs w:val="16"/>
          <w:i/>
          <w:iCs/>
        </w:rPr>
        <w:t>Review,2010,100(2):99-104.</w:t>
      </w:r>
    </w:p>
    <w:p>
      <w:pPr>
        <w:ind w:left="309" w:right="76" w:hanging="309"/>
        <w:spacing w:before="118" w:line="301" w:lineRule="auto"/>
        <w:rPr>
          <w:rFonts w:ascii="Times New Roman" w:hAnsi="Times New Roman" w:eastAsia="Times New Roman" w:cs="Times New Roman"/>
          <w:sz w:val="16"/>
          <w:szCs w:val="16"/>
        </w:rPr>
      </w:pPr>
      <w:r>
        <w:rPr>
          <w:rFonts w:ascii="SimSun" w:hAnsi="SimSun" w:eastAsia="SimSun" w:cs="SimSun"/>
          <w:sz w:val="16"/>
          <w:szCs w:val="16"/>
        </w:rPr>
        <w:t>⑥</w:t>
      </w:r>
      <w:r>
        <w:rPr>
          <w:rFonts w:ascii="SimSun" w:hAnsi="SimSun" w:eastAsia="SimSun" w:cs="SimSun"/>
          <w:sz w:val="16"/>
          <w:szCs w:val="16"/>
          <w:spacing w:val="75"/>
        </w:rPr>
        <w:t xml:space="preserve"> </w:t>
      </w:r>
      <w:r>
        <w:rPr>
          <w:rFonts w:ascii="Times New Roman" w:hAnsi="Times New Roman" w:eastAsia="Times New Roman" w:cs="Times New Roman"/>
          <w:sz w:val="16"/>
          <w:szCs w:val="16"/>
        </w:rPr>
        <w:t>Janet   X.Hao,Harry   X.Wu,“China's   Investment   in   Intangible   Asset</w:t>
      </w:r>
      <w:r>
        <w:rPr>
          <w:rFonts w:ascii="Times New Roman" w:hAnsi="Times New Roman" w:eastAsia="Times New Roman" w:cs="Times New Roman"/>
          <w:sz w:val="16"/>
          <w:szCs w:val="16"/>
          <w:spacing w:val="-1"/>
        </w:rPr>
        <w:t>s   by   Industry:</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rPr>
        <w:t>Preliminary</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rPr>
        <w:t>Estimation   in   an   Extende</w:t>
      </w:r>
      <w:r>
        <w:rPr>
          <w:rFonts w:ascii="Times New Roman" w:hAnsi="Times New Roman" w:eastAsia="Times New Roman" w:cs="Times New Roman"/>
          <w:sz w:val="16"/>
          <w:szCs w:val="16"/>
          <w:spacing w:val="-1"/>
        </w:rPr>
        <w:t>d   Sources-of-Growth   Framework”,RIETI</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Discussion   Papers,21-E-029,2021.</w:t>
      </w:r>
    </w:p>
    <w:p>
      <w:pPr>
        <w:spacing w:line="301" w:lineRule="auto"/>
        <w:sectPr>
          <w:headerReference w:type="default" r:id="rId90"/>
          <w:pgSz w:w="7330" w:h="12480"/>
          <w:pgMar w:top="859" w:right="740" w:bottom="400" w:left="469" w:header="693" w:footer="0" w:gutter="0"/>
        </w:sectPr>
        <w:rPr>
          <w:rFonts w:ascii="Times New Roman" w:hAnsi="Times New Roman" w:eastAsia="Times New Roman" w:cs="Times New Roman"/>
          <w:sz w:val="16"/>
          <w:szCs w:val="16"/>
        </w:rPr>
      </w:pPr>
    </w:p>
    <w:p>
      <w:pPr>
        <w:pStyle w:val="BodyText"/>
        <w:spacing w:line="246" w:lineRule="auto"/>
        <w:rPr/>
      </w:pPr>
      <w:r>
        <w:drawing>
          <wp:anchor distT="0" distB="0" distL="0" distR="0" simplePos="0" relativeHeight="252417024" behindDoc="0" locked="0" layoutInCell="0" allowOverlap="1">
            <wp:simplePos x="0" y="0"/>
            <wp:positionH relativeFrom="page">
              <wp:posOffset>546117</wp:posOffset>
            </wp:positionH>
            <wp:positionV relativeFrom="page">
              <wp:posOffset>6724662</wp:posOffset>
            </wp:positionV>
            <wp:extent cx="1187422" cy="6350"/>
            <wp:effectExtent l="0" t="0" r="0" b="0"/>
            <wp:wrapNone/>
            <wp:docPr id="78" name="IM 78"/>
            <wp:cNvGraphicFramePr/>
            <a:graphic>
              <a:graphicData uri="http://schemas.openxmlformats.org/drawingml/2006/picture">
                <pic:pic>
                  <pic:nvPicPr>
                    <pic:cNvPr id="78" name="IM 78"/>
                    <pic:cNvPicPr/>
                  </pic:nvPicPr>
                  <pic:blipFill>
                    <a:blip r:embed="rId93"/>
                    <a:stretch>
                      <a:fillRect/>
                    </a:stretch>
                  </pic:blipFill>
                  <pic:spPr>
                    <a:xfrm rot="0">
                      <a:off x="0" y="0"/>
                      <a:ext cx="1187422"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ind w:left="29" w:right="63"/>
        <w:spacing w:before="68" w:line="320" w:lineRule="auto"/>
        <w:jc w:val="both"/>
        <w:rPr>
          <w:rFonts w:ascii="SimSun" w:hAnsi="SimSun" w:eastAsia="SimSun" w:cs="SimSun"/>
          <w:sz w:val="21"/>
          <w:szCs w:val="21"/>
        </w:rPr>
      </w:pPr>
      <w:r>
        <w:rPr>
          <w:rFonts w:ascii="SimSun" w:hAnsi="SimSun" w:eastAsia="SimSun" w:cs="SimSun"/>
          <w:sz w:val="21"/>
          <w:szCs w:val="21"/>
          <w:spacing w:val="-10"/>
        </w:rPr>
        <w:t>引擎、电子邮件、电子地图、视频、电子商务、社交媒介、音乐、即</w:t>
      </w:r>
      <w:r>
        <w:rPr>
          <w:rFonts w:ascii="SimSun" w:hAnsi="SimSun" w:eastAsia="SimSun" w:cs="SimSun"/>
          <w:sz w:val="21"/>
          <w:szCs w:val="21"/>
          <w:spacing w:val="10"/>
        </w:rPr>
        <w:t xml:space="preserve"> </w:t>
      </w:r>
      <w:r>
        <w:rPr>
          <w:rFonts w:ascii="SimSun" w:hAnsi="SimSun" w:eastAsia="SimSun" w:cs="SimSun"/>
          <w:sz w:val="21"/>
          <w:szCs w:val="21"/>
          <w:spacing w:val="-3"/>
        </w:rPr>
        <w:t>时通信、云图书馆、云音乐会、云展览等等。免费数</w:t>
      </w:r>
      <w:r>
        <w:rPr>
          <w:rFonts w:ascii="SimSun" w:hAnsi="SimSun" w:eastAsia="SimSun" w:cs="SimSun"/>
          <w:sz w:val="21"/>
          <w:szCs w:val="21"/>
          <w:spacing w:val="-4"/>
        </w:rPr>
        <w:t>字产品的出现</w:t>
      </w:r>
      <w:r>
        <w:rPr>
          <w:rFonts w:ascii="SimSun" w:hAnsi="SimSun" w:eastAsia="SimSun" w:cs="SimSun"/>
          <w:sz w:val="21"/>
          <w:szCs w:val="21"/>
        </w:rPr>
        <w:t xml:space="preserve"> </w:t>
      </w:r>
      <w:r>
        <w:rPr>
          <w:rFonts w:ascii="SimSun" w:hAnsi="SimSun" w:eastAsia="SimSun" w:cs="SimSun"/>
          <w:sz w:val="21"/>
          <w:szCs w:val="21"/>
          <w:spacing w:val="-3"/>
        </w:rPr>
        <w:t>提高了消费者福利，但是这些免费产品的价值没有被纳入现</w:t>
      </w:r>
      <w:r>
        <w:rPr>
          <w:rFonts w:ascii="SimSun" w:hAnsi="SimSun" w:eastAsia="SimSun" w:cs="SimSun"/>
          <w:sz w:val="21"/>
          <w:szCs w:val="21"/>
          <w:spacing w:val="-4"/>
        </w:rPr>
        <w:t>有国民</w:t>
      </w:r>
      <w:r>
        <w:rPr>
          <w:rFonts w:ascii="SimSun" w:hAnsi="SimSun" w:eastAsia="SimSun" w:cs="SimSun"/>
          <w:sz w:val="21"/>
          <w:szCs w:val="21"/>
        </w:rPr>
        <w:t xml:space="preserve"> </w:t>
      </w:r>
      <w:r>
        <w:rPr>
          <w:rFonts w:ascii="SimSun" w:hAnsi="SimSun" w:eastAsia="SimSun" w:cs="SimSun"/>
          <w:sz w:val="21"/>
          <w:szCs w:val="21"/>
          <w:spacing w:val="4"/>
        </w:rPr>
        <w:t>收入核算体系(有学者曾估算企业获得数字产品收益的2.2%,而消</w:t>
      </w:r>
      <w:r>
        <w:rPr>
          <w:rFonts w:ascii="SimSun" w:hAnsi="SimSun" w:eastAsia="SimSun" w:cs="SimSun"/>
          <w:sz w:val="21"/>
          <w:szCs w:val="21"/>
          <w:spacing w:val="5"/>
        </w:rPr>
        <w:t xml:space="preserve"> </w:t>
      </w:r>
      <w:r>
        <w:rPr>
          <w:rFonts w:ascii="SimSun" w:hAnsi="SimSun" w:eastAsia="SimSun" w:cs="SimSun"/>
          <w:sz w:val="21"/>
          <w:szCs w:val="21"/>
          <w:spacing w:val="-6"/>
        </w:rPr>
        <w:t>费者则获得97.8%°),因此，未来需要一种更好的方式来衡量“数字</w:t>
      </w:r>
    </w:p>
    <w:p>
      <w:pPr>
        <w:ind w:left="29"/>
        <w:spacing w:line="218" w:lineRule="auto"/>
        <w:rPr>
          <w:rFonts w:ascii="SimSun" w:hAnsi="SimSun" w:eastAsia="SimSun" w:cs="SimSun"/>
          <w:sz w:val="21"/>
          <w:szCs w:val="21"/>
        </w:rPr>
      </w:pPr>
      <w:r>
        <w:rPr>
          <w:rFonts w:ascii="Times New Roman" w:hAnsi="Times New Roman" w:eastAsia="Times New Roman" w:cs="Times New Roman"/>
          <w:sz w:val="21"/>
          <w:szCs w:val="21"/>
          <w:spacing w:val="-7"/>
        </w:rPr>
        <w:t>GDP”   </w:t>
      </w:r>
      <w:r>
        <w:rPr>
          <w:rFonts w:ascii="SimSun" w:hAnsi="SimSun" w:eastAsia="SimSun" w:cs="SimSun"/>
          <w:sz w:val="21"/>
          <w:szCs w:val="21"/>
          <w:spacing w:val="-7"/>
        </w:rPr>
        <w:t>和社会总福利。</w:t>
      </w:r>
    </w:p>
    <w:p>
      <w:pPr>
        <w:pStyle w:val="BodyText"/>
        <w:spacing w:line="345" w:lineRule="auto"/>
        <w:rPr/>
      </w:pPr>
      <w:r/>
    </w:p>
    <w:p>
      <w:pPr>
        <w:ind w:left="1754"/>
        <w:spacing w:before="104" w:line="219" w:lineRule="auto"/>
        <w:rPr>
          <w:rFonts w:ascii="SimSun" w:hAnsi="SimSun" w:eastAsia="SimSun" w:cs="SimSun"/>
          <w:sz w:val="32"/>
          <w:szCs w:val="32"/>
        </w:rPr>
      </w:pPr>
      <w:r>
        <w:rPr>
          <w:rFonts w:ascii="SimSun" w:hAnsi="SimSun" w:eastAsia="SimSun" w:cs="SimSun"/>
          <w:sz w:val="32"/>
          <w:szCs w:val="32"/>
          <w:b/>
          <w:bCs/>
          <w:spacing w:val="-13"/>
        </w:rPr>
        <w:t>中国数字经济发展：</w:t>
      </w:r>
    </w:p>
    <w:p>
      <w:pPr>
        <w:ind w:left="1014"/>
        <w:spacing w:before="1" w:line="218" w:lineRule="auto"/>
        <w:rPr>
          <w:rFonts w:ascii="SimSun" w:hAnsi="SimSun" w:eastAsia="SimSun" w:cs="SimSun"/>
          <w:sz w:val="32"/>
          <w:szCs w:val="32"/>
        </w:rPr>
      </w:pPr>
      <w:r>
        <w:rPr>
          <w:rFonts w:ascii="SimSun" w:hAnsi="SimSun" w:eastAsia="SimSun" w:cs="SimSun"/>
          <w:sz w:val="32"/>
          <w:szCs w:val="32"/>
          <w:b/>
          <w:bCs/>
          <w:spacing w:val="-5"/>
        </w:rPr>
        <w:t>非系统、多角度的观察与问题</w:t>
      </w:r>
    </w:p>
    <w:p>
      <w:pPr>
        <w:pStyle w:val="BodyText"/>
        <w:spacing w:line="261" w:lineRule="auto"/>
        <w:rPr/>
      </w:pPr>
      <w:r/>
    </w:p>
    <w:p>
      <w:pPr>
        <w:ind w:left="29" w:right="16" w:firstLine="469"/>
        <w:spacing w:before="69" w:line="292" w:lineRule="auto"/>
        <w:jc w:val="both"/>
        <w:rPr>
          <w:rFonts w:ascii="SimSun" w:hAnsi="SimSun" w:eastAsia="SimSun" w:cs="SimSun"/>
          <w:sz w:val="21"/>
          <w:szCs w:val="21"/>
        </w:rPr>
      </w:pPr>
      <w:r>
        <w:rPr>
          <w:rFonts w:ascii="SimSun" w:hAnsi="SimSun" w:eastAsia="SimSun" w:cs="SimSun"/>
          <w:sz w:val="21"/>
          <w:szCs w:val="21"/>
          <w:spacing w:val="-11"/>
        </w:rPr>
        <w:t>中国的数字经济在过去一段时间有了长足的发展。越来越多的企</w:t>
      </w:r>
      <w:r>
        <w:rPr>
          <w:rFonts w:ascii="SimSun" w:hAnsi="SimSun" w:eastAsia="SimSun" w:cs="SimSun"/>
          <w:sz w:val="21"/>
          <w:szCs w:val="21"/>
          <w:spacing w:val="15"/>
        </w:rPr>
        <w:t xml:space="preserve"> </w:t>
      </w:r>
      <w:r>
        <w:rPr>
          <w:rFonts w:ascii="SimSun" w:hAnsi="SimSun" w:eastAsia="SimSun" w:cs="SimSun"/>
          <w:sz w:val="21"/>
          <w:szCs w:val="21"/>
          <w:spacing w:val="-8"/>
        </w:rPr>
        <w:t>业和居民使用</w:t>
      </w:r>
      <w:r>
        <w:rPr>
          <w:rFonts w:ascii="Times New Roman" w:hAnsi="Times New Roman" w:eastAsia="Times New Roman" w:cs="Times New Roman"/>
          <w:sz w:val="21"/>
          <w:szCs w:val="21"/>
          <w:spacing w:val="-8"/>
        </w:rPr>
        <w:t>ICT </w:t>
      </w:r>
      <w:r>
        <w:rPr>
          <w:rFonts w:ascii="SimSun" w:hAnsi="SimSun" w:eastAsia="SimSun" w:cs="SimSun"/>
          <w:sz w:val="21"/>
          <w:szCs w:val="21"/>
          <w:spacing w:val="-8"/>
        </w:rPr>
        <w:t>相关产品与服务。对企业而言，</w:t>
      </w:r>
      <w:r>
        <w:rPr>
          <w:rFonts w:ascii="Times New Roman" w:hAnsi="Times New Roman" w:eastAsia="Times New Roman" w:cs="Times New Roman"/>
          <w:sz w:val="21"/>
          <w:szCs w:val="21"/>
          <w:spacing w:val="-8"/>
        </w:rPr>
        <w:t>ICT </w:t>
      </w:r>
      <w:r>
        <w:rPr>
          <w:rFonts w:ascii="SimSun" w:hAnsi="SimSun" w:eastAsia="SimSun" w:cs="SimSun"/>
          <w:sz w:val="21"/>
          <w:szCs w:val="21"/>
          <w:spacing w:val="-8"/>
        </w:rPr>
        <w:t>的发展与行业</w:t>
      </w:r>
      <w:r>
        <w:rPr>
          <w:rFonts w:ascii="SimSun" w:hAnsi="SimSun" w:eastAsia="SimSun" w:cs="SimSun"/>
          <w:sz w:val="21"/>
          <w:szCs w:val="21"/>
          <w:spacing w:val="6"/>
        </w:rPr>
        <w:t xml:space="preserve"> </w:t>
      </w:r>
      <w:r>
        <w:rPr>
          <w:rFonts w:ascii="SimSun" w:hAnsi="SimSun" w:eastAsia="SimSun" w:cs="SimSun"/>
          <w:sz w:val="21"/>
          <w:szCs w:val="21"/>
          <w:spacing w:val="-10"/>
        </w:rPr>
        <w:t>渗透有可能帮助企业降低运营成本、采用更新的生产工艺来提高生产</w:t>
      </w:r>
      <w:r>
        <w:rPr>
          <w:rFonts w:ascii="SimSun" w:hAnsi="SimSun" w:eastAsia="SimSun" w:cs="SimSun"/>
          <w:sz w:val="21"/>
          <w:szCs w:val="21"/>
          <w:spacing w:val="1"/>
        </w:rPr>
        <w:t xml:space="preserve"> </w:t>
      </w:r>
      <w:r>
        <w:rPr>
          <w:rFonts w:ascii="SimSun" w:hAnsi="SimSun" w:eastAsia="SimSun" w:cs="SimSun"/>
          <w:sz w:val="21"/>
          <w:szCs w:val="21"/>
          <w:spacing w:val="-11"/>
        </w:rPr>
        <w:t>效率。本节将从相关角度描述性地分析中国数字经济的发展。</w:t>
      </w:r>
    </w:p>
    <w:p>
      <w:pPr>
        <w:ind w:left="29" w:firstLine="469"/>
        <w:spacing w:before="115" w:line="302" w:lineRule="auto"/>
        <w:jc w:val="both"/>
        <w:rPr>
          <w:rFonts w:ascii="SimSun" w:hAnsi="SimSun" w:eastAsia="SimSun" w:cs="SimSun"/>
          <w:sz w:val="21"/>
          <w:szCs w:val="21"/>
        </w:rPr>
      </w:pPr>
      <w:r>
        <w:rPr>
          <w:rFonts w:ascii="SimSun" w:hAnsi="SimSun" w:eastAsia="SimSun" w:cs="SimSun"/>
          <w:sz w:val="21"/>
          <w:szCs w:val="21"/>
          <w:spacing w:val="-11"/>
        </w:rPr>
        <w:t>数字经济的发展包含很多维度，其中企业和家户部门的信息化程</w:t>
      </w:r>
      <w:r>
        <w:rPr>
          <w:rFonts w:ascii="SimSun" w:hAnsi="SimSun" w:eastAsia="SimSun" w:cs="SimSun"/>
          <w:sz w:val="21"/>
          <w:szCs w:val="21"/>
          <w:spacing w:val="14"/>
        </w:rPr>
        <w:t xml:space="preserve"> </w:t>
      </w:r>
      <w:r>
        <w:rPr>
          <w:rFonts w:ascii="SimSun" w:hAnsi="SimSun" w:eastAsia="SimSun" w:cs="SimSun"/>
          <w:sz w:val="21"/>
          <w:szCs w:val="21"/>
          <w:spacing w:val="-4"/>
        </w:rPr>
        <w:t>度是数字经济快速发展的一个重要基础。图2-2显示，中国企业中，</w:t>
      </w:r>
      <w:r>
        <w:rPr>
          <w:rFonts w:ascii="SimSun" w:hAnsi="SimSun" w:eastAsia="SimSun" w:cs="SimSun"/>
          <w:sz w:val="21"/>
          <w:szCs w:val="21"/>
          <w:spacing w:val="2"/>
        </w:rPr>
        <w:t xml:space="preserve"> </w:t>
      </w:r>
      <w:r>
        <w:rPr>
          <w:rFonts w:ascii="SimSun" w:hAnsi="SimSun" w:eastAsia="SimSun" w:cs="SimSun"/>
          <w:sz w:val="21"/>
          <w:szCs w:val="21"/>
          <w:spacing w:val="3"/>
        </w:rPr>
        <w:t>每百人使用计算机台数在2013年已达到20台，并在过去几年中持 </w:t>
      </w:r>
      <w:r>
        <w:rPr>
          <w:rFonts w:ascii="SimSun" w:hAnsi="SimSun" w:eastAsia="SimSun" w:cs="SimSun"/>
          <w:sz w:val="21"/>
          <w:szCs w:val="21"/>
          <w:spacing w:val="-8"/>
        </w:rPr>
        <w:t>续快速增加，2019年已达到每百人使用32台计算机。</w:t>
      </w:r>
      <w:r>
        <w:rPr>
          <w:rFonts w:ascii="SimSun" w:hAnsi="SimSun" w:eastAsia="SimSun" w:cs="SimSun"/>
          <w:sz w:val="21"/>
          <w:szCs w:val="21"/>
          <w:spacing w:val="57"/>
        </w:rPr>
        <w:t xml:space="preserve"> </w:t>
      </w:r>
      <w:r>
        <w:rPr>
          <w:rFonts w:ascii="SimSun" w:hAnsi="SimSun" w:eastAsia="SimSun" w:cs="SimSun"/>
          <w:sz w:val="21"/>
          <w:szCs w:val="21"/>
          <w:spacing w:val="-8"/>
        </w:rPr>
        <w:t>一半以上企业 </w:t>
      </w:r>
      <w:r>
        <w:rPr>
          <w:rFonts w:ascii="SimSun" w:hAnsi="SimSun" w:eastAsia="SimSun" w:cs="SimSun"/>
          <w:sz w:val="21"/>
          <w:szCs w:val="21"/>
          <w:spacing w:val="-10"/>
        </w:rPr>
        <w:t>拥有自己的企业网站，随着时间的推移，每百家企业拥有的网站数</w:t>
      </w:r>
      <w:r>
        <w:rPr>
          <w:rFonts w:ascii="SimSun" w:hAnsi="SimSun" w:eastAsia="SimSun" w:cs="SimSun"/>
          <w:sz w:val="21"/>
          <w:szCs w:val="21"/>
          <w:spacing w:val="-11"/>
        </w:rPr>
        <w:t>量 </w:t>
      </w:r>
      <w:r>
        <w:rPr>
          <w:rFonts w:ascii="SimSun" w:hAnsi="SimSun" w:eastAsia="SimSun" w:cs="SimSun"/>
          <w:sz w:val="21"/>
          <w:szCs w:val="21"/>
          <w:spacing w:val="-11"/>
        </w:rPr>
        <w:t>有所下降，这是因为随着社交平台“公众号”的普及，越来越多的企</w:t>
      </w:r>
      <w:r>
        <w:rPr>
          <w:rFonts w:ascii="SimSun" w:hAnsi="SimSun" w:eastAsia="SimSun" w:cs="SimSun"/>
          <w:sz w:val="21"/>
          <w:szCs w:val="21"/>
          <w:spacing w:val="3"/>
        </w:rPr>
        <w:t xml:space="preserve">  </w:t>
      </w:r>
      <w:r>
        <w:rPr>
          <w:rFonts w:ascii="SimSun" w:hAnsi="SimSun" w:eastAsia="SimSun" w:cs="SimSun"/>
          <w:sz w:val="21"/>
          <w:szCs w:val="21"/>
          <w:spacing w:val="-11"/>
        </w:rPr>
        <w:t>业，尤其是小微企业，借助企业公众号获客并服务客户。</w:t>
      </w:r>
    </w:p>
    <w:p>
      <w:pPr>
        <w:ind w:left="29" w:right="16" w:firstLine="469"/>
        <w:spacing w:before="102" w:line="284" w:lineRule="auto"/>
        <w:jc w:val="both"/>
        <w:rPr>
          <w:rFonts w:ascii="SimSun" w:hAnsi="SimSun" w:eastAsia="SimSun" w:cs="SimSun"/>
          <w:sz w:val="21"/>
          <w:szCs w:val="21"/>
        </w:rPr>
      </w:pPr>
      <w:r>
        <w:rPr>
          <w:rFonts w:ascii="SimSun" w:hAnsi="SimSun" w:eastAsia="SimSun" w:cs="SimSun"/>
          <w:sz w:val="21"/>
          <w:szCs w:val="21"/>
          <w:spacing w:val="-11"/>
        </w:rPr>
        <w:t>随着中国经济结构的进一步转型与升级，居民消费越来越成为经</w:t>
      </w:r>
      <w:r>
        <w:rPr>
          <w:rFonts w:ascii="SimSun" w:hAnsi="SimSun" w:eastAsia="SimSun" w:cs="SimSun"/>
          <w:sz w:val="21"/>
          <w:szCs w:val="21"/>
          <w:spacing w:val="15"/>
        </w:rPr>
        <w:t xml:space="preserve"> </w:t>
      </w:r>
      <w:r>
        <w:rPr>
          <w:rFonts w:ascii="SimSun" w:hAnsi="SimSun" w:eastAsia="SimSun" w:cs="SimSun"/>
          <w:sz w:val="21"/>
          <w:szCs w:val="21"/>
          <w:spacing w:val="-10"/>
        </w:rPr>
        <w:t>济增长的重要引擎。与发达经济体相比，中国居民消费对总产</w:t>
      </w:r>
      <w:r>
        <w:rPr>
          <w:rFonts w:ascii="SimSun" w:hAnsi="SimSun" w:eastAsia="SimSun" w:cs="SimSun"/>
          <w:sz w:val="21"/>
          <w:szCs w:val="21"/>
          <w:spacing w:val="-11"/>
        </w:rPr>
        <w:t>出的贡</w:t>
      </w:r>
      <w:r>
        <w:rPr>
          <w:rFonts w:ascii="SimSun" w:hAnsi="SimSun" w:eastAsia="SimSun" w:cs="SimSun"/>
          <w:sz w:val="21"/>
          <w:szCs w:val="21"/>
        </w:rPr>
        <w:t xml:space="preserve"> </w:t>
      </w:r>
      <w:r>
        <w:rPr>
          <w:rFonts w:ascii="SimSun" w:hAnsi="SimSun" w:eastAsia="SimSun" w:cs="SimSun"/>
          <w:sz w:val="21"/>
          <w:szCs w:val="21"/>
          <w:spacing w:val="-10"/>
        </w:rPr>
        <w:t>献还相对较低，如何刺激居民消费成为经济发展的一个重要课题。在</w:t>
      </w:r>
    </w:p>
    <w:p>
      <w:pPr>
        <w:pStyle w:val="BodyText"/>
        <w:spacing w:line="252" w:lineRule="auto"/>
        <w:rPr/>
      </w:pPr>
      <w:r/>
    </w:p>
    <w:p>
      <w:pPr>
        <w:pStyle w:val="BodyText"/>
        <w:spacing w:line="252" w:lineRule="auto"/>
        <w:rPr/>
      </w:pPr>
      <w:r/>
    </w:p>
    <w:p>
      <w:pPr>
        <w:ind w:left="408" w:right="55" w:hanging="379"/>
        <w:spacing w:before="69" w:line="250" w:lineRule="auto"/>
        <w:rPr>
          <w:rFonts w:ascii="Times New Roman" w:hAnsi="Times New Roman" w:eastAsia="Times New Roman" w:cs="Times New Roman"/>
          <w:sz w:val="16"/>
          <w:szCs w:val="16"/>
        </w:rPr>
      </w:pPr>
      <w:r>
        <w:rPr>
          <w:rFonts w:ascii="SimSun" w:hAnsi="SimSun" w:eastAsia="SimSun" w:cs="SimSun"/>
          <w:sz w:val="21"/>
          <w:szCs w:val="21"/>
          <w:spacing w:val="-11"/>
          <w:w w:val="93"/>
        </w:rPr>
        <w:t>① </w:t>
      </w:r>
      <w:r>
        <w:rPr>
          <w:rFonts w:ascii="Times New Roman" w:hAnsi="Times New Roman" w:eastAsia="Times New Roman" w:cs="Times New Roman"/>
          <w:sz w:val="21"/>
          <w:szCs w:val="21"/>
          <w:spacing w:val="-11"/>
          <w:w w:val="93"/>
        </w:rPr>
        <w:t>William D.Nordhaus,“Schumpeterian Profits in the American Economy:Theory and</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16"/>
          <w:szCs w:val="16"/>
        </w:rPr>
        <w:t>Measurement,”NBER</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Working</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rPr>
        <w:t>Papers  10433,2</w:t>
      </w:r>
      <w:r>
        <w:rPr>
          <w:rFonts w:ascii="Times New Roman" w:hAnsi="Times New Roman" w:eastAsia="Times New Roman" w:cs="Times New Roman"/>
          <w:sz w:val="16"/>
          <w:szCs w:val="16"/>
          <w:spacing w:val="-1"/>
        </w:rPr>
        <w:t>004.</w:t>
      </w:r>
    </w:p>
    <w:p>
      <w:pPr>
        <w:spacing w:line="250" w:lineRule="auto"/>
        <w:sectPr>
          <w:headerReference w:type="default" r:id="rId92"/>
          <w:pgSz w:w="7330" w:h="12480"/>
          <w:pgMar w:top="578" w:right="455" w:bottom="400" w:left="770" w:header="401" w:footer="0" w:gutter="0"/>
        </w:sectPr>
        <w:rPr>
          <w:rFonts w:ascii="Times New Roman" w:hAnsi="Times New Roman" w:eastAsia="Times New Roman" w:cs="Times New Roman"/>
          <w:sz w:val="16"/>
          <w:szCs w:val="16"/>
        </w:rPr>
      </w:pPr>
    </w:p>
    <w:p>
      <w:pPr>
        <w:ind w:left="1599"/>
        <w:spacing w:before="283" w:line="214" w:lineRule="auto"/>
        <w:rPr>
          <w:rFonts w:ascii="SimSun" w:hAnsi="SimSun" w:eastAsia="SimSun" w:cs="SimSun"/>
          <w:sz w:val="12"/>
          <w:szCs w:val="12"/>
        </w:rPr>
      </w:pPr>
      <w:r>
        <w:rPr>
          <w:rFonts w:ascii="YouYuan" w:hAnsi="YouYuan" w:eastAsia="YouYuan" w:cs="YouYuan"/>
          <w:sz w:val="18"/>
          <w:szCs w:val="18"/>
          <w:spacing w:val="-15"/>
          <w:w w:val="94"/>
        </w:rPr>
        <w:t>第二章</w:t>
      </w:r>
      <w:r>
        <w:rPr>
          <w:rFonts w:ascii="YouYuan" w:hAnsi="YouYuan" w:eastAsia="YouYuan" w:cs="YouYuan"/>
          <w:sz w:val="18"/>
          <w:szCs w:val="18"/>
          <w:spacing w:val="-15"/>
          <w:w w:val="94"/>
        </w:rPr>
        <w:t xml:space="preserve">  </w:t>
      </w:r>
      <w:r>
        <w:rPr>
          <w:rFonts w:ascii="YouYuan" w:hAnsi="YouYuan" w:eastAsia="YouYuan" w:cs="YouYuan"/>
          <w:sz w:val="18"/>
          <w:szCs w:val="18"/>
          <w:spacing w:val="-15"/>
          <w:w w:val="94"/>
        </w:rPr>
        <w:t>数字经济对中国经济增长的影响</w:t>
      </w:r>
      <w:r>
        <w:rPr>
          <w:rFonts w:ascii="YouYuan" w:hAnsi="YouYuan" w:eastAsia="YouYuan" w:cs="YouYuan"/>
          <w:sz w:val="18"/>
          <w:szCs w:val="18"/>
          <w:spacing w:val="6"/>
        </w:rPr>
        <w:t xml:space="preserve">              </w:t>
      </w:r>
      <w:r>
        <w:rPr>
          <w:rFonts w:ascii="SimSun" w:hAnsi="SimSun" w:eastAsia="SimSun" w:cs="SimSun"/>
          <w:sz w:val="12"/>
          <w:szCs w:val="12"/>
          <w:spacing w:val="1"/>
          <w:position w:val="-4"/>
        </w:rPr>
        <w:t>065</w:t>
      </w:r>
    </w:p>
    <w:p>
      <w:pPr>
        <w:pStyle w:val="BodyText"/>
        <w:spacing w:line="316" w:lineRule="auto"/>
        <w:rPr/>
      </w:pPr>
      <w:r/>
    </w:p>
    <w:p>
      <w:pPr>
        <w:pStyle w:val="BodyText"/>
        <w:spacing w:line="316" w:lineRule="auto"/>
        <w:rPr/>
      </w:pPr>
      <w:r/>
    </w:p>
    <w:p>
      <w:pPr>
        <w:pStyle w:val="BodyText"/>
        <w:spacing w:line="317" w:lineRule="auto"/>
        <w:rPr/>
      </w:pPr>
      <w:r/>
    </w:p>
    <w:p>
      <w:pPr>
        <w:ind w:firstLine="160"/>
        <w:spacing w:line="3160" w:lineRule="exact"/>
        <w:rPr/>
      </w:pPr>
      <w:r>
        <w:rPr>
          <w:position w:val="-63"/>
        </w:rPr>
        <w:drawing>
          <wp:inline distT="0" distB="0" distL="0" distR="0">
            <wp:extent cx="3359142" cy="2006558"/>
            <wp:effectExtent l="0" t="0" r="0" b="0"/>
            <wp:docPr id="80" name="IM 80"/>
            <wp:cNvGraphicFramePr/>
            <a:graphic>
              <a:graphicData uri="http://schemas.openxmlformats.org/drawingml/2006/picture">
                <pic:pic>
                  <pic:nvPicPr>
                    <pic:cNvPr id="80" name="IM 80"/>
                    <pic:cNvPicPr/>
                  </pic:nvPicPr>
                  <pic:blipFill>
                    <a:blip r:embed="rId94"/>
                    <a:stretch>
                      <a:fillRect/>
                    </a:stretch>
                  </pic:blipFill>
                  <pic:spPr>
                    <a:xfrm rot="0">
                      <a:off x="0" y="0"/>
                      <a:ext cx="3359142" cy="2006558"/>
                    </a:xfrm>
                    <a:prstGeom prst="rect">
                      <a:avLst/>
                    </a:prstGeom>
                  </pic:spPr>
                </pic:pic>
              </a:graphicData>
            </a:graphic>
          </wp:inline>
        </w:drawing>
      </w:r>
    </w:p>
    <w:p>
      <w:pPr>
        <w:ind w:left="820"/>
        <w:spacing w:before="36" w:line="219" w:lineRule="auto"/>
        <w:rPr>
          <w:rFonts w:ascii="SimSun" w:hAnsi="SimSun" w:eastAsia="SimSun" w:cs="SimSun"/>
          <w:sz w:val="18"/>
          <w:szCs w:val="18"/>
        </w:rPr>
      </w:pPr>
      <w:r>
        <w:rPr>
          <w:rFonts w:ascii="SimSun" w:hAnsi="SimSun" w:eastAsia="SimSun" w:cs="SimSun"/>
          <w:sz w:val="18"/>
          <w:szCs w:val="18"/>
          <w:spacing w:val="-8"/>
        </w:rPr>
        <w:t>■每百人使用计算机数(台)■每百家企业拥有网站数</w:t>
      </w:r>
      <w:r>
        <w:rPr>
          <w:rFonts w:ascii="SimSun" w:hAnsi="SimSun" w:eastAsia="SimSun" w:cs="SimSun"/>
          <w:sz w:val="18"/>
          <w:szCs w:val="18"/>
          <w:spacing w:val="-9"/>
        </w:rPr>
        <w:t>(个)</w:t>
      </w:r>
    </w:p>
    <w:p>
      <w:pPr>
        <w:ind w:left="1842"/>
        <w:spacing w:before="153" w:line="222" w:lineRule="auto"/>
        <w:rPr>
          <w:rFonts w:ascii="SimHei" w:hAnsi="SimHei" w:eastAsia="SimHei" w:cs="SimHei"/>
          <w:sz w:val="18"/>
          <w:szCs w:val="18"/>
        </w:rPr>
      </w:pPr>
      <w:r>
        <w:rPr>
          <w:rFonts w:ascii="SimHei" w:hAnsi="SimHei" w:eastAsia="SimHei" w:cs="SimHei"/>
          <w:sz w:val="18"/>
          <w:szCs w:val="18"/>
          <w:b/>
          <w:bCs/>
        </w:rPr>
        <w:t>图2-2</w:t>
      </w:r>
      <w:r>
        <w:rPr>
          <w:rFonts w:ascii="SimHei" w:hAnsi="SimHei" w:eastAsia="SimHei" w:cs="SimHei"/>
          <w:sz w:val="18"/>
          <w:szCs w:val="18"/>
          <w:spacing w:val="85"/>
        </w:rPr>
        <w:t xml:space="preserve"> </w:t>
      </w:r>
      <w:r>
        <w:rPr>
          <w:rFonts w:ascii="SimHei" w:hAnsi="SimHei" w:eastAsia="SimHei" w:cs="SimHei"/>
          <w:sz w:val="18"/>
          <w:szCs w:val="18"/>
          <w:b/>
          <w:bCs/>
        </w:rPr>
        <w:t>中国企业信息化程度</w:t>
      </w:r>
    </w:p>
    <w:p>
      <w:pPr>
        <w:ind w:left="309"/>
        <w:spacing w:before="187" w:line="219" w:lineRule="auto"/>
        <w:rPr>
          <w:rFonts w:ascii="SimSun" w:hAnsi="SimSun" w:eastAsia="SimSun" w:cs="SimSun"/>
          <w:sz w:val="18"/>
          <w:szCs w:val="18"/>
        </w:rPr>
      </w:pPr>
      <w:r>
        <w:rPr>
          <w:rFonts w:ascii="SimSun" w:hAnsi="SimSun" w:eastAsia="SimSun" w:cs="SimSun"/>
          <w:sz w:val="18"/>
          <w:szCs w:val="18"/>
          <w:spacing w:val="-19"/>
        </w:rPr>
        <w:t>数据来源：国家统计局。</w:t>
      </w:r>
    </w:p>
    <w:p>
      <w:pPr>
        <w:pStyle w:val="BodyText"/>
        <w:spacing w:line="283" w:lineRule="auto"/>
        <w:rPr/>
      </w:pPr>
      <w:r/>
    </w:p>
    <w:p>
      <w:pPr>
        <w:pStyle w:val="BodyText"/>
        <w:spacing w:line="283" w:lineRule="auto"/>
        <w:rPr/>
      </w:pPr>
      <w:r/>
    </w:p>
    <w:p>
      <w:pPr>
        <w:spacing w:before="59" w:line="369" w:lineRule="auto"/>
        <w:jc w:val="both"/>
        <w:rPr>
          <w:rFonts w:ascii="SimSun" w:hAnsi="SimSun" w:eastAsia="SimSun" w:cs="SimSun"/>
          <w:sz w:val="18"/>
          <w:szCs w:val="18"/>
        </w:rPr>
      </w:pPr>
      <w:r>
        <w:rPr>
          <w:rFonts w:ascii="SimSun" w:hAnsi="SimSun" w:eastAsia="SimSun" w:cs="SimSun"/>
          <w:sz w:val="18"/>
          <w:szCs w:val="18"/>
          <w:spacing w:val="22"/>
        </w:rPr>
        <w:t>数字经济发展过程中，越来越多的数字经济</w:t>
      </w:r>
      <w:r>
        <w:rPr>
          <w:rFonts w:ascii="SimSun" w:hAnsi="SimSun" w:eastAsia="SimSun" w:cs="SimSun"/>
          <w:sz w:val="18"/>
          <w:szCs w:val="18"/>
          <w:spacing w:val="21"/>
        </w:rPr>
        <w:t>活动深入居民日常生活，</w:t>
      </w:r>
      <w:r>
        <w:rPr>
          <w:rFonts w:ascii="SimSun" w:hAnsi="SimSun" w:eastAsia="SimSun" w:cs="SimSun"/>
          <w:sz w:val="18"/>
          <w:szCs w:val="18"/>
        </w:rPr>
        <w:t xml:space="preserve"> </w:t>
      </w:r>
      <w:r>
        <w:rPr>
          <w:rFonts w:ascii="SimSun" w:hAnsi="SimSun" w:eastAsia="SimSun" w:cs="SimSun"/>
          <w:sz w:val="18"/>
          <w:szCs w:val="18"/>
          <w:spacing w:val="19"/>
        </w:rPr>
        <w:t>各种平台经济的兴起服务了人们日常的衣、食、</w:t>
      </w:r>
      <w:r>
        <w:rPr>
          <w:rFonts w:ascii="SimSun" w:hAnsi="SimSun" w:eastAsia="SimSun" w:cs="SimSun"/>
          <w:sz w:val="18"/>
          <w:szCs w:val="18"/>
          <w:spacing w:val="18"/>
        </w:rPr>
        <w:t>住、行、就医、教育 </w:t>
      </w:r>
      <w:r>
        <w:rPr>
          <w:rFonts w:ascii="SimSun" w:hAnsi="SimSun" w:eastAsia="SimSun" w:cs="SimSun"/>
          <w:sz w:val="18"/>
          <w:szCs w:val="18"/>
          <w:spacing w:val="20"/>
        </w:rPr>
        <w:t>等方方面面的活动。在这个过程中，中国宽带业</w:t>
      </w:r>
      <w:r>
        <w:rPr>
          <w:rFonts w:ascii="SimSun" w:hAnsi="SimSun" w:eastAsia="SimSun" w:cs="SimSun"/>
          <w:sz w:val="18"/>
          <w:szCs w:val="18"/>
          <w:spacing w:val="19"/>
        </w:rPr>
        <w:t>务的普及、移动通信</w:t>
      </w:r>
      <w:r>
        <w:rPr>
          <w:rFonts w:ascii="SimSun" w:hAnsi="SimSun" w:eastAsia="SimSun" w:cs="SimSun"/>
          <w:sz w:val="18"/>
          <w:szCs w:val="18"/>
        </w:rPr>
        <w:t xml:space="preserve"> </w:t>
      </w:r>
      <w:r>
        <w:rPr>
          <w:rFonts w:ascii="SimSun" w:hAnsi="SimSun" w:eastAsia="SimSun" w:cs="SimSun"/>
          <w:sz w:val="18"/>
          <w:szCs w:val="18"/>
          <w:spacing w:val="25"/>
        </w:rPr>
        <w:t>和智能手机的快速发展起着非常重要的作用。图2-</w:t>
      </w:r>
      <w:r>
        <w:rPr>
          <w:rFonts w:ascii="SimSun" w:hAnsi="SimSun" w:eastAsia="SimSun" w:cs="SimSun"/>
          <w:sz w:val="18"/>
          <w:szCs w:val="18"/>
          <w:spacing w:val="-34"/>
        </w:rPr>
        <w:t xml:space="preserve"> </w:t>
      </w:r>
      <w:r>
        <w:rPr>
          <w:rFonts w:ascii="SimSun" w:hAnsi="SimSun" w:eastAsia="SimSun" w:cs="SimSun"/>
          <w:sz w:val="18"/>
          <w:szCs w:val="18"/>
          <w:spacing w:val="25"/>
        </w:rPr>
        <w:t>3显示，2002年</w:t>
      </w:r>
      <w:r>
        <w:rPr>
          <w:rFonts w:ascii="SimSun" w:hAnsi="SimSun" w:eastAsia="SimSun" w:cs="SimSun"/>
          <w:sz w:val="18"/>
          <w:szCs w:val="18"/>
        </w:rPr>
        <w:t xml:space="preserve"> </w:t>
      </w:r>
      <w:r>
        <w:rPr>
          <w:rFonts w:ascii="SimSun" w:hAnsi="SimSun" w:eastAsia="SimSun" w:cs="SimSun"/>
          <w:sz w:val="18"/>
          <w:szCs w:val="18"/>
          <w:spacing w:val="33"/>
        </w:rPr>
        <w:t>中国每百人中只有34部电话(包括移动电话和固定电话),其中16</w:t>
      </w:r>
      <w:r>
        <w:rPr>
          <w:rFonts w:ascii="SimSun" w:hAnsi="SimSun" w:eastAsia="SimSun" w:cs="SimSun"/>
          <w:sz w:val="18"/>
          <w:szCs w:val="18"/>
          <w:spacing w:val="15"/>
        </w:rPr>
        <w:t xml:space="preserve"> </w:t>
      </w:r>
      <w:r>
        <w:rPr>
          <w:rFonts w:ascii="SimSun" w:hAnsi="SimSun" w:eastAsia="SimSun" w:cs="SimSun"/>
          <w:sz w:val="18"/>
          <w:szCs w:val="18"/>
          <w:spacing w:val="25"/>
        </w:rPr>
        <w:t>部为移动电话，每百人中也仅有4</w:t>
      </w:r>
      <w:r>
        <w:rPr>
          <w:rFonts w:ascii="SimSun" w:hAnsi="SimSun" w:eastAsia="SimSun" w:cs="SimSun"/>
          <w:sz w:val="18"/>
          <w:szCs w:val="18"/>
          <w:spacing w:val="-45"/>
        </w:rPr>
        <w:t xml:space="preserve"> </w:t>
      </w:r>
      <w:r>
        <w:rPr>
          <w:rFonts w:ascii="SimSun" w:hAnsi="SimSun" w:eastAsia="SimSun" w:cs="SimSun"/>
          <w:sz w:val="18"/>
          <w:szCs w:val="18"/>
          <w:spacing w:val="25"/>
        </w:rPr>
        <w:t>.</w:t>
      </w:r>
      <w:r>
        <w:rPr>
          <w:rFonts w:ascii="SimSun" w:hAnsi="SimSun" w:eastAsia="SimSun" w:cs="SimSun"/>
          <w:sz w:val="18"/>
          <w:szCs w:val="18"/>
          <w:spacing w:val="-52"/>
        </w:rPr>
        <w:t xml:space="preserve"> </w:t>
      </w:r>
      <w:r>
        <w:rPr>
          <w:rFonts w:ascii="SimSun" w:hAnsi="SimSun" w:eastAsia="SimSun" w:cs="SimSun"/>
          <w:sz w:val="18"/>
          <w:szCs w:val="18"/>
          <w:spacing w:val="25"/>
        </w:rPr>
        <w:t>6人使用互联网宽带。经过近20</w:t>
      </w:r>
      <w:r>
        <w:rPr>
          <w:rFonts w:ascii="SimSun" w:hAnsi="SimSun" w:eastAsia="SimSun" w:cs="SimSun"/>
          <w:sz w:val="18"/>
          <w:szCs w:val="18"/>
        </w:rPr>
        <w:t xml:space="preserve"> </w:t>
      </w:r>
      <w:r>
        <w:rPr>
          <w:rFonts w:ascii="SimSun" w:hAnsi="SimSun" w:eastAsia="SimSun" w:cs="SimSun"/>
          <w:sz w:val="18"/>
          <w:szCs w:val="18"/>
          <w:spacing w:val="26"/>
        </w:rPr>
        <w:t>年的发展，中国居民移动电话和互联网宽带普及率直线上升，截至</w:t>
      </w:r>
      <w:r>
        <w:rPr>
          <w:rFonts w:ascii="SimSun" w:hAnsi="SimSun" w:eastAsia="SimSun" w:cs="SimSun"/>
          <w:sz w:val="18"/>
          <w:szCs w:val="18"/>
          <w:spacing w:val="13"/>
        </w:rPr>
        <w:t xml:space="preserve"> </w:t>
      </w:r>
      <w:r>
        <w:rPr>
          <w:rFonts w:ascii="Times New Roman" w:hAnsi="Times New Roman" w:eastAsia="Times New Roman" w:cs="Times New Roman"/>
          <w:sz w:val="18"/>
          <w:szCs w:val="18"/>
          <w:spacing w:val="21"/>
        </w:rPr>
        <w:t>2</w:t>
      </w:r>
      <w:r>
        <w:rPr>
          <w:rFonts w:ascii="SimSun" w:hAnsi="SimSun" w:eastAsia="SimSun" w:cs="SimSun"/>
          <w:sz w:val="18"/>
          <w:szCs w:val="18"/>
          <w:spacing w:val="21"/>
        </w:rPr>
        <w:t>020年底，中国人均使用移动电话达到1</w:t>
      </w:r>
      <w:r>
        <w:rPr>
          <w:rFonts w:ascii="SimSun" w:hAnsi="SimSun" w:eastAsia="SimSun" w:cs="SimSun"/>
          <w:sz w:val="18"/>
          <w:szCs w:val="18"/>
          <w:spacing w:val="-53"/>
        </w:rPr>
        <w:t xml:space="preserve"> </w:t>
      </w:r>
      <w:r>
        <w:rPr>
          <w:rFonts w:ascii="SimSun" w:hAnsi="SimSun" w:eastAsia="SimSun" w:cs="SimSun"/>
          <w:sz w:val="18"/>
          <w:szCs w:val="18"/>
          <w:spacing w:val="21"/>
        </w:rPr>
        <w:t>.</w:t>
      </w:r>
      <w:r>
        <w:rPr>
          <w:rFonts w:ascii="SimSun" w:hAnsi="SimSun" w:eastAsia="SimSun" w:cs="SimSun"/>
          <w:sz w:val="18"/>
          <w:szCs w:val="18"/>
          <w:spacing w:val="-44"/>
        </w:rPr>
        <w:t xml:space="preserve"> </w:t>
      </w:r>
      <w:r>
        <w:rPr>
          <w:rFonts w:ascii="SimSun" w:hAnsi="SimSun" w:eastAsia="SimSun" w:cs="SimSun"/>
          <w:sz w:val="18"/>
          <w:szCs w:val="18"/>
          <w:spacing w:val="21"/>
        </w:rPr>
        <w:t>14部</w:t>
      </w:r>
      <w:r>
        <w:rPr>
          <w:rFonts w:ascii="SimSun" w:hAnsi="SimSun" w:eastAsia="SimSun" w:cs="SimSun"/>
          <w:sz w:val="18"/>
          <w:szCs w:val="18"/>
          <w:spacing w:val="20"/>
        </w:rPr>
        <w:t>，互联网宽带使用率</w:t>
      </w:r>
      <w:r>
        <w:rPr>
          <w:rFonts w:ascii="SimSun" w:hAnsi="SimSun" w:eastAsia="SimSun" w:cs="SimSun"/>
          <w:sz w:val="18"/>
          <w:szCs w:val="18"/>
        </w:rPr>
        <w:t xml:space="preserve"> </w:t>
      </w:r>
      <w:r>
        <w:rPr>
          <w:rFonts w:ascii="SimSun" w:hAnsi="SimSun" w:eastAsia="SimSun" w:cs="SimSun"/>
          <w:sz w:val="18"/>
          <w:szCs w:val="18"/>
          <w:spacing w:val="27"/>
        </w:rPr>
        <w:t>超过70%。图2</w:t>
      </w:r>
      <w:r>
        <w:rPr>
          <w:rFonts w:ascii="SimSun" w:hAnsi="SimSun" w:eastAsia="SimSun" w:cs="SimSun"/>
          <w:sz w:val="18"/>
          <w:szCs w:val="18"/>
          <w:spacing w:val="-35"/>
        </w:rPr>
        <w:t xml:space="preserve"> </w:t>
      </w:r>
      <w:r>
        <w:rPr>
          <w:rFonts w:ascii="SimSun" w:hAnsi="SimSun" w:eastAsia="SimSun" w:cs="SimSun"/>
          <w:sz w:val="18"/>
          <w:szCs w:val="18"/>
          <w:spacing w:val="27"/>
        </w:rPr>
        <w:t>-</w:t>
      </w:r>
      <w:r>
        <w:rPr>
          <w:rFonts w:ascii="SimSun" w:hAnsi="SimSun" w:eastAsia="SimSun" w:cs="SimSun"/>
          <w:sz w:val="18"/>
          <w:szCs w:val="18"/>
          <w:spacing w:val="-49"/>
        </w:rPr>
        <w:t xml:space="preserve"> </w:t>
      </w:r>
      <w:r>
        <w:rPr>
          <w:rFonts w:ascii="SimSun" w:hAnsi="SimSun" w:eastAsia="SimSun" w:cs="SimSun"/>
          <w:sz w:val="18"/>
          <w:szCs w:val="18"/>
          <w:spacing w:val="27"/>
        </w:rPr>
        <w:t>4比较了中国与日本、韩国以及</w:t>
      </w:r>
      <w:r>
        <w:rPr>
          <w:rFonts w:ascii="Times New Roman" w:hAnsi="Times New Roman" w:eastAsia="Times New Roman" w:cs="Times New Roman"/>
          <w:sz w:val="18"/>
          <w:szCs w:val="18"/>
        </w:rPr>
        <w:t>OECD</w:t>
      </w:r>
      <w:r>
        <w:rPr>
          <w:rFonts w:ascii="Times New Roman" w:hAnsi="Times New Roman" w:eastAsia="Times New Roman" w:cs="Times New Roman"/>
          <w:sz w:val="18"/>
          <w:szCs w:val="18"/>
          <w:spacing w:val="27"/>
        </w:rPr>
        <w:t xml:space="preserve">  </w:t>
      </w:r>
      <w:r>
        <w:rPr>
          <w:rFonts w:ascii="SimSun" w:hAnsi="SimSun" w:eastAsia="SimSun" w:cs="SimSun"/>
          <w:sz w:val="18"/>
          <w:szCs w:val="18"/>
          <w:spacing w:val="27"/>
        </w:rPr>
        <w:t>成员国的互</w:t>
      </w:r>
      <w:r>
        <w:rPr>
          <w:rFonts w:ascii="SimSun" w:hAnsi="SimSun" w:eastAsia="SimSun" w:cs="SimSun"/>
          <w:sz w:val="18"/>
          <w:szCs w:val="18"/>
        </w:rPr>
        <w:t xml:space="preserve"> </w:t>
      </w:r>
      <w:r>
        <w:rPr>
          <w:rFonts w:ascii="SimSun" w:hAnsi="SimSun" w:eastAsia="SimSun" w:cs="SimSun"/>
          <w:sz w:val="18"/>
          <w:szCs w:val="18"/>
          <w:spacing w:val="25"/>
        </w:rPr>
        <w:t>联网宽带使用率。数据显示，中国自2006年以来，</w:t>
      </w:r>
      <w:r>
        <w:rPr>
          <w:rFonts w:ascii="SimSun" w:hAnsi="SimSun" w:eastAsia="SimSun" w:cs="SimSun"/>
          <w:sz w:val="18"/>
          <w:szCs w:val="18"/>
          <w:spacing w:val="24"/>
        </w:rPr>
        <w:t>互联网宽带普及</w:t>
      </w:r>
      <w:r>
        <w:rPr>
          <w:rFonts w:ascii="SimSun" w:hAnsi="SimSun" w:eastAsia="SimSun" w:cs="SimSun"/>
          <w:sz w:val="18"/>
          <w:szCs w:val="18"/>
        </w:rPr>
        <w:t xml:space="preserve"> </w:t>
      </w:r>
      <w:r>
        <w:rPr>
          <w:rFonts w:ascii="SimSun" w:hAnsi="SimSun" w:eastAsia="SimSun" w:cs="SimSun"/>
          <w:sz w:val="18"/>
          <w:szCs w:val="18"/>
          <w:spacing w:val="20"/>
        </w:rPr>
        <w:t>率快速上升，逐步缩小了与发达经济体的差</w:t>
      </w:r>
      <w:r>
        <w:rPr>
          <w:rFonts w:ascii="SimSun" w:hAnsi="SimSun" w:eastAsia="SimSun" w:cs="SimSun"/>
          <w:sz w:val="18"/>
          <w:szCs w:val="18"/>
          <w:spacing w:val="19"/>
        </w:rPr>
        <w:t>距。中国互联网宽带普及</w:t>
      </w:r>
      <w:r>
        <w:rPr>
          <w:rFonts w:ascii="SimSun" w:hAnsi="SimSun" w:eastAsia="SimSun" w:cs="SimSun"/>
          <w:sz w:val="18"/>
          <w:szCs w:val="18"/>
        </w:rPr>
        <w:t xml:space="preserve"> </w:t>
      </w:r>
      <w:r>
        <w:rPr>
          <w:rFonts w:ascii="SimSun" w:hAnsi="SimSun" w:eastAsia="SimSun" w:cs="SimSun"/>
          <w:sz w:val="18"/>
          <w:szCs w:val="18"/>
          <w:spacing w:val="19"/>
        </w:rPr>
        <w:t>率与发达经济体仍然有一定的差距，这可能与中国区域经济发展不平</w:t>
      </w:r>
    </w:p>
    <w:p>
      <w:pPr>
        <w:spacing w:before="1" w:line="219" w:lineRule="auto"/>
        <w:rPr>
          <w:rFonts w:ascii="SimSun" w:hAnsi="SimSun" w:eastAsia="SimSun" w:cs="SimSun"/>
          <w:sz w:val="18"/>
          <w:szCs w:val="18"/>
        </w:rPr>
      </w:pPr>
      <w:r>
        <w:rPr>
          <w:rFonts w:ascii="SimSun" w:hAnsi="SimSun" w:eastAsia="SimSun" w:cs="SimSun"/>
          <w:sz w:val="18"/>
          <w:szCs w:val="18"/>
          <w:spacing w:val="16"/>
        </w:rPr>
        <w:t>衡、城乡发展不平衡有关。</w:t>
      </w:r>
    </w:p>
    <w:p>
      <w:pPr>
        <w:spacing w:line="219" w:lineRule="auto"/>
        <w:sectPr>
          <w:headerReference w:type="default" r:id="rId1"/>
          <w:pgSz w:w="7330" w:h="12480"/>
          <w:pgMar w:top="400" w:right="879" w:bottom="400" w:left="399" w:header="0" w:footer="0" w:gutter="0"/>
        </w:sectPr>
        <w:rPr>
          <w:rFonts w:ascii="SimSun" w:hAnsi="SimSun" w:eastAsia="SimSun" w:cs="SimSun"/>
          <w:sz w:val="18"/>
          <w:szCs w:val="18"/>
        </w:rPr>
      </w:pPr>
    </w:p>
    <w:p>
      <w:pPr>
        <w:spacing w:before="6" w:line="221" w:lineRule="auto"/>
        <w:rPr>
          <w:rFonts w:ascii="SimHei" w:hAnsi="SimHei" w:eastAsia="SimHei" w:cs="SimHei"/>
          <w:sz w:val="18"/>
          <w:szCs w:val="18"/>
        </w:rPr>
      </w:pPr>
      <w:r>
        <w:drawing>
          <wp:anchor distT="0" distB="0" distL="0" distR="0" simplePos="0" relativeHeight="252437504" behindDoc="1" locked="0" layoutInCell="0" allowOverlap="1">
            <wp:simplePos x="0" y="0"/>
            <wp:positionH relativeFrom="page">
              <wp:posOffset>1028702</wp:posOffset>
            </wp:positionH>
            <wp:positionV relativeFrom="page">
              <wp:posOffset>996939</wp:posOffset>
            </wp:positionV>
            <wp:extent cx="2692377" cy="1841485"/>
            <wp:effectExtent l="0" t="0" r="0" b="0"/>
            <wp:wrapNone/>
            <wp:docPr id="82" name="IM 82"/>
            <wp:cNvGraphicFramePr/>
            <a:graphic>
              <a:graphicData uri="http://schemas.openxmlformats.org/drawingml/2006/picture">
                <pic:pic>
                  <pic:nvPicPr>
                    <pic:cNvPr id="82" name="IM 82"/>
                    <pic:cNvPicPr/>
                  </pic:nvPicPr>
                  <pic:blipFill>
                    <a:blip r:embed="rId95"/>
                    <a:stretch>
                      <a:fillRect/>
                    </a:stretch>
                  </pic:blipFill>
                  <pic:spPr>
                    <a:xfrm rot="0">
                      <a:off x="0" y="0"/>
                      <a:ext cx="2692377" cy="1841485"/>
                    </a:xfrm>
                    <a:prstGeom prst="rect">
                      <a:avLst/>
                    </a:prstGeom>
                  </pic:spPr>
                </pic:pic>
              </a:graphicData>
            </a:graphic>
          </wp:anchor>
        </w:drawing>
      </w:r>
      <w:r>
        <w:rPr>
          <w:rFonts w:ascii="SimSun" w:hAnsi="SimSun" w:eastAsia="SimSun" w:cs="SimSun"/>
          <w:sz w:val="12"/>
          <w:szCs w:val="12"/>
          <w:spacing w:val="-16"/>
          <w:w w:val="97"/>
          <w:position w:val="-2"/>
        </w:rPr>
        <w:t>066</w:t>
      </w:r>
      <w:r>
        <w:rPr>
          <w:rFonts w:ascii="SimSun" w:hAnsi="SimSun" w:eastAsia="SimSun" w:cs="SimSun"/>
          <w:sz w:val="12"/>
          <w:szCs w:val="12"/>
          <w:position w:val="-2"/>
        </w:rPr>
        <w:t xml:space="preserve">                             </w:t>
      </w:r>
      <w:r>
        <w:rPr>
          <w:rFonts w:ascii="SimHei" w:hAnsi="SimHei" w:eastAsia="SimHei" w:cs="SimHei"/>
          <w:sz w:val="18"/>
          <w:szCs w:val="18"/>
          <w:spacing w:val="-16"/>
          <w:w w:val="97"/>
        </w:rPr>
        <w:t>平台经济——创新、治理与繁荣</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4939"/>
        <w:spacing w:before="59" w:line="219" w:lineRule="auto"/>
        <w:rPr>
          <w:rFonts w:ascii="SimSun" w:hAnsi="SimSun" w:eastAsia="SimSun" w:cs="SimSun"/>
          <w:sz w:val="18"/>
          <w:szCs w:val="18"/>
        </w:rPr>
      </w:pPr>
      <w:r>
        <w:rPr>
          <w:rFonts w:ascii="SimSun" w:hAnsi="SimSun" w:eastAsia="SimSun" w:cs="SimSun"/>
          <w:sz w:val="18"/>
          <w:szCs w:val="18"/>
          <w:spacing w:val="6"/>
        </w:rPr>
        <w:t>(年)</w:t>
      </w:r>
    </w:p>
    <w:p>
      <w:pPr>
        <w:ind w:left="1599" w:right="650"/>
        <w:spacing w:before="215" w:line="238" w:lineRule="auto"/>
        <w:rPr>
          <w:rFonts w:ascii="SimSun" w:hAnsi="SimSun" w:eastAsia="SimSun" w:cs="SimSun"/>
          <w:sz w:val="18"/>
          <w:szCs w:val="18"/>
        </w:rPr>
      </w:pPr>
      <w:r>
        <w:rPr>
          <w:rFonts w:ascii="SimSun" w:hAnsi="SimSun" w:eastAsia="SimSun" w:cs="SimSun"/>
          <w:sz w:val="18"/>
          <w:szCs w:val="18"/>
          <w:spacing w:val="-4"/>
        </w:rPr>
        <w:t>——电话普及率(包括移动电话)(部/百人)</w:t>
      </w:r>
      <w:r>
        <w:rPr>
          <w:rFonts w:ascii="SimSun" w:hAnsi="SimSun" w:eastAsia="SimSun" w:cs="SimSun"/>
          <w:sz w:val="18"/>
          <w:szCs w:val="18"/>
          <w:spacing w:val="1"/>
        </w:rPr>
        <w:t xml:space="preserve"> </w:t>
      </w:r>
      <w:r>
        <w:rPr>
          <w:rFonts w:ascii="SimSun" w:hAnsi="SimSun" w:eastAsia="SimSun" w:cs="SimSun"/>
          <w:sz w:val="18"/>
          <w:szCs w:val="18"/>
          <w:spacing w:val="-1"/>
        </w:rPr>
        <w:t>—移动电话普及率(部/百人)</w:t>
      </w:r>
    </w:p>
    <w:p>
      <w:pPr>
        <w:ind w:left="1599"/>
        <w:spacing w:before="16" w:line="212" w:lineRule="auto"/>
        <w:rPr>
          <w:rFonts w:ascii="Times New Roman" w:hAnsi="Times New Roman" w:eastAsia="Times New Roman" w:cs="Times New Roman"/>
          <w:sz w:val="18"/>
          <w:szCs w:val="18"/>
        </w:rPr>
      </w:pPr>
      <w:r>
        <w:rPr>
          <w:rFonts w:ascii="SimSun" w:hAnsi="SimSun" w:eastAsia="SimSun" w:cs="SimSun"/>
          <w:sz w:val="18"/>
          <w:szCs w:val="18"/>
          <w:spacing w:val="-1"/>
        </w:rPr>
        <w:t>—互联网普及率(</w:t>
      </w:r>
      <w:r>
        <w:rPr>
          <w:rFonts w:ascii="Times New Roman" w:hAnsi="Times New Roman" w:eastAsia="Times New Roman" w:cs="Times New Roman"/>
          <w:sz w:val="18"/>
          <w:szCs w:val="18"/>
          <w:spacing w:val="-1"/>
        </w:rPr>
        <w:t>%)</w:t>
      </w:r>
    </w:p>
    <w:p>
      <w:pPr>
        <w:ind w:left="1602"/>
        <w:spacing w:before="149" w:line="222" w:lineRule="auto"/>
        <w:rPr>
          <w:rFonts w:ascii="SimHei" w:hAnsi="SimHei" w:eastAsia="SimHei" w:cs="SimHei"/>
          <w:sz w:val="18"/>
          <w:szCs w:val="18"/>
        </w:rPr>
      </w:pPr>
      <w:r>
        <w:rPr>
          <w:rFonts w:ascii="SimHei" w:hAnsi="SimHei" w:eastAsia="SimHei" w:cs="SimHei"/>
          <w:sz w:val="18"/>
          <w:szCs w:val="18"/>
          <w:b/>
          <w:bCs/>
        </w:rPr>
        <w:t>图2-3</w:t>
      </w:r>
      <w:r>
        <w:rPr>
          <w:rFonts w:ascii="SimHei" w:hAnsi="SimHei" w:eastAsia="SimHei" w:cs="SimHei"/>
          <w:sz w:val="18"/>
          <w:szCs w:val="18"/>
        </w:rPr>
        <w:t xml:space="preserve">  </w:t>
      </w:r>
      <w:r>
        <w:rPr>
          <w:rFonts w:ascii="SimHei" w:hAnsi="SimHei" w:eastAsia="SimHei" w:cs="SimHei"/>
          <w:sz w:val="18"/>
          <w:szCs w:val="18"/>
          <w:b/>
          <w:bCs/>
        </w:rPr>
        <w:t>中国的电话及互联网普及率</w:t>
      </w:r>
    </w:p>
    <w:p>
      <w:pPr>
        <w:ind w:left="379"/>
        <w:spacing w:before="124" w:line="473" w:lineRule="exact"/>
        <w:rPr>
          <w:rFonts w:ascii="KaiTi" w:hAnsi="KaiTi" w:eastAsia="KaiTi" w:cs="KaiTi"/>
          <w:sz w:val="18"/>
          <w:szCs w:val="18"/>
        </w:rPr>
      </w:pPr>
      <w:r>
        <w:rPr>
          <w:rFonts w:ascii="KaiTi" w:hAnsi="KaiTi" w:eastAsia="KaiTi" w:cs="KaiTi"/>
          <w:sz w:val="18"/>
          <w:szCs w:val="18"/>
          <w:spacing w:val="-19"/>
          <w:position w:val="22"/>
        </w:rPr>
        <w:t>数据来源：国家统计局。</w:t>
      </w:r>
    </w:p>
    <w:p>
      <w:pPr>
        <w:ind w:left="610"/>
        <w:spacing w:before="1" w:line="213" w:lineRule="auto"/>
        <w:rPr>
          <w:rFonts w:ascii="SimSun" w:hAnsi="SimSun" w:eastAsia="SimSun" w:cs="SimSun"/>
          <w:sz w:val="14"/>
          <w:szCs w:val="14"/>
        </w:rPr>
      </w:pPr>
      <w:r>
        <w:rPr>
          <w:rFonts w:ascii="SimSun" w:hAnsi="SimSun" w:eastAsia="SimSun" w:cs="SimSun"/>
          <w:sz w:val="14"/>
          <w:szCs w:val="14"/>
          <w:spacing w:val="-7"/>
        </w:rPr>
        <w:t>(%)</w:t>
      </w:r>
    </w:p>
    <w:p>
      <w:pPr>
        <w:ind w:firstLine="580"/>
        <w:spacing w:line="2950" w:lineRule="exact"/>
        <w:rPr/>
      </w:pPr>
      <w:r>
        <w:rPr>
          <w:position w:val="-59"/>
        </w:rPr>
        <w:drawing>
          <wp:inline distT="0" distB="0" distL="0" distR="0">
            <wp:extent cx="2940046" cy="1873264"/>
            <wp:effectExtent l="0" t="0" r="0" b="0"/>
            <wp:docPr id="84" name="IM 84"/>
            <wp:cNvGraphicFramePr/>
            <a:graphic>
              <a:graphicData uri="http://schemas.openxmlformats.org/drawingml/2006/picture">
                <pic:pic>
                  <pic:nvPicPr>
                    <pic:cNvPr id="84" name="IM 84"/>
                    <pic:cNvPicPr/>
                  </pic:nvPicPr>
                  <pic:blipFill>
                    <a:blip r:embed="rId96"/>
                    <a:stretch>
                      <a:fillRect/>
                    </a:stretch>
                  </pic:blipFill>
                  <pic:spPr>
                    <a:xfrm rot="0">
                      <a:off x="0" y="0"/>
                      <a:ext cx="2940046" cy="1873264"/>
                    </a:xfrm>
                    <a:prstGeom prst="rect">
                      <a:avLst/>
                    </a:prstGeom>
                  </pic:spPr>
                </pic:pic>
              </a:graphicData>
            </a:graphic>
          </wp:inline>
        </w:drawing>
      </w:r>
    </w:p>
    <w:p>
      <w:pPr>
        <w:spacing w:before="78" w:line="219" w:lineRule="auto"/>
        <w:jc w:val="right"/>
        <w:rPr>
          <w:rFonts w:ascii="SimSun" w:hAnsi="SimSun" w:eastAsia="SimSun" w:cs="SimSun"/>
          <w:sz w:val="18"/>
          <w:szCs w:val="18"/>
        </w:rPr>
      </w:pPr>
      <w:r>
        <w:rPr>
          <w:rFonts w:ascii="SimSun" w:hAnsi="SimSun" w:eastAsia="SimSun" w:cs="SimSun"/>
          <w:sz w:val="18"/>
          <w:szCs w:val="18"/>
          <w:spacing w:val="9"/>
        </w:rPr>
        <w:t>(年)</w:t>
      </w:r>
    </w:p>
    <w:p>
      <w:pPr>
        <w:ind w:left="1599"/>
        <w:spacing w:before="295" w:line="220" w:lineRule="auto"/>
        <w:rPr>
          <w:rFonts w:ascii="SimSun" w:hAnsi="SimSun" w:eastAsia="SimSun" w:cs="SimSun"/>
          <w:sz w:val="18"/>
          <w:szCs w:val="18"/>
        </w:rPr>
      </w:pPr>
      <w:r>
        <w:rPr>
          <w:rFonts w:ascii="SimSun" w:hAnsi="SimSun" w:eastAsia="SimSun" w:cs="SimSun"/>
          <w:sz w:val="18"/>
          <w:szCs w:val="18"/>
          <w:spacing w:val="10"/>
        </w:rPr>
        <w:t>——中国</w:t>
      </w:r>
      <w:r>
        <w:rPr>
          <w:rFonts w:ascii="SimSun" w:hAnsi="SimSun" w:eastAsia="SimSun" w:cs="SimSun"/>
          <w:sz w:val="18"/>
          <w:szCs w:val="18"/>
          <w:spacing w:val="3"/>
        </w:rPr>
        <w:t xml:space="preserve">          </w:t>
      </w:r>
      <w:r>
        <w:rPr>
          <w:rFonts w:ascii="SimSun" w:hAnsi="SimSun" w:eastAsia="SimSun" w:cs="SimSun"/>
          <w:sz w:val="18"/>
          <w:szCs w:val="18"/>
          <w:spacing w:val="10"/>
        </w:rPr>
        <w:t>----</w:t>
      </w:r>
      <w:r>
        <w:rPr>
          <w:rFonts w:ascii="SimSun" w:hAnsi="SimSun" w:eastAsia="SimSun" w:cs="SimSun"/>
          <w:sz w:val="18"/>
          <w:szCs w:val="18"/>
          <w:spacing w:val="-17"/>
        </w:rPr>
        <w:t xml:space="preserve"> </w:t>
      </w:r>
      <w:r>
        <w:rPr>
          <w:rFonts w:ascii="SimSun" w:hAnsi="SimSun" w:eastAsia="SimSun" w:cs="SimSun"/>
          <w:sz w:val="18"/>
          <w:szCs w:val="18"/>
          <w:spacing w:val="10"/>
        </w:rPr>
        <w:t>日本</w:t>
      </w:r>
    </w:p>
    <w:p>
      <w:pPr>
        <w:ind w:left="1719"/>
        <w:spacing w:before="107" w:line="231" w:lineRule="auto"/>
        <w:tabs>
          <w:tab w:val="left" w:pos="2160"/>
        </w:tabs>
        <w:rPr>
          <w:rFonts w:ascii="SimSun" w:hAnsi="SimSun" w:eastAsia="SimSun" w:cs="SimSun"/>
          <w:sz w:val="18"/>
          <w:szCs w:val="18"/>
        </w:rPr>
      </w:pPr>
      <w:r>
        <w:rPr>
          <w:rFonts w:ascii="SimSun" w:hAnsi="SimSun" w:eastAsia="SimSun" w:cs="SimSun"/>
          <w:sz w:val="18"/>
          <w:szCs w:val="18"/>
          <w:strike/>
        </w:rPr>
        <w:tab/>
      </w:r>
      <w:r>
        <w:rPr>
          <w:rFonts w:ascii="SimSun" w:hAnsi="SimSun" w:eastAsia="SimSun" w:cs="SimSun"/>
          <w:sz w:val="18"/>
          <w:szCs w:val="18"/>
          <w:spacing w:val="-63"/>
        </w:rPr>
        <w:t xml:space="preserve"> </w:t>
      </w:r>
      <w:r>
        <w:rPr>
          <w:rFonts w:ascii="SimSun" w:hAnsi="SimSun" w:eastAsia="SimSun" w:cs="SimSun"/>
          <w:sz w:val="18"/>
          <w:szCs w:val="18"/>
          <w:spacing w:val="-6"/>
        </w:rPr>
        <w:t>韩国</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6"/>
        </w:rPr>
        <w:t>OECD</w:t>
      </w:r>
      <w:r>
        <w:rPr>
          <w:rFonts w:ascii="SimSun" w:hAnsi="SimSun" w:eastAsia="SimSun" w:cs="SimSun"/>
          <w:sz w:val="18"/>
          <w:szCs w:val="18"/>
          <w:spacing w:val="-6"/>
        </w:rPr>
        <w:t>成员国</w:t>
      </w:r>
    </w:p>
    <w:p>
      <w:pPr>
        <w:ind w:left="1602"/>
        <w:spacing w:before="150" w:line="222" w:lineRule="auto"/>
        <w:rPr>
          <w:rFonts w:ascii="SimHei" w:hAnsi="SimHei" w:eastAsia="SimHei" w:cs="SimHei"/>
          <w:sz w:val="18"/>
          <w:szCs w:val="18"/>
        </w:rPr>
      </w:pPr>
      <w:r>
        <w:rPr>
          <w:rFonts w:ascii="SimHei" w:hAnsi="SimHei" w:eastAsia="SimHei" w:cs="SimHei"/>
          <w:sz w:val="18"/>
          <w:szCs w:val="18"/>
          <w:b/>
          <w:bCs/>
        </w:rPr>
        <w:t>图2-4</w:t>
      </w:r>
      <w:r>
        <w:rPr>
          <w:rFonts w:ascii="SimHei" w:hAnsi="SimHei" w:eastAsia="SimHei" w:cs="SimHei"/>
          <w:sz w:val="18"/>
          <w:szCs w:val="18"/>
          <w:spacing w:val="85"/>
        </w:rPr>
        <w:t xml:space="preserve"> </w:t>
      </w:r>
      <w:r>
        <w:rPr>
          <w:rFonts w:ascii="SimHei" w:hAnsi="SimHei" w:eastAsia="SimHei" w:cs="SimHei"/>
          <w:sz w:val="18"/>
          <w:szCs w:val="18"/>
          <w:b/>
          <w:bCs/>
        </w:rPr>
        <w:t>各国互联网普及率比较</w:t>
      </w:r>
    </w:p>
    <w:p>
      <w:pPr>
        <w:ind w:left="370"/>
        <w:spacing w:before="117" w:line="212" w:lineRule="auto"/>
        <w:rPr>
          <w:rFonts w:ascii="SimSun" w:hAnsi="SimSun" w:eastAsia="SimSun" w:cs="SimSun"/>
          <w:sz w:val="18"/>
          <w:szCs w:val="18"/>
        </w:rPr>
      </w:pPr>
      <w:r>
        <w:rPr>
          <w:rFonts w:ascii="KaiTi" w:hAnsi="KaiTi" w:eastAsia="KaiTi" w:cs="KaiTi"/>
          <w:sz w:val="18"/>
          <w:szCs w:val="18"/>
          <w:spacing w:val="-10"/>
        </w:rPr>
        <w:t>数据来源：世界银行世界发展指标</w:t>
      </w:r>
      <w:r>
        <w:rPr>
          <w:rFonts w:ascii="KaiTi" w:hAnsi="KaiTi" w:eastAsia="KaiTi" w:cs="KaiTi"/>
          <w:sz w:val="18"/>
          <w:szCs w:val="18"/>
          <w:spacing w:val="-48"/>
        </w:rPr>
        <w:t xml:space="preserve"> </w:t>
      </w:r>
      <w:r>
        <w:rPr>
          <w:rFonts w:ascii="Times New Roman" w:hAnsi="Times New Roman" w:eastAsia="Times New Roman" w:cs="Times New Roman"/>
          <w:sz w:val="18"/>
          <w:szCs w:val="18"/>
          <w:spacing w:val="-10"/>
        </w:rPr>
        <w:t>(World Dev</w:t>
      </w:r>
      <w:r>
        <w:rPr>
          <w:rFonts w:ascii="Times New Roman" w:hAnsi="Times New Roman" w:eastAsia="Times New Roman" w:cs="Times New Roman"/>
          <w:sz w:val="18"/>
          <w:szCs w:val="18"/>
          <w:spacing w:val="-11"/>
        </w:rPr>
        <w:t>elopment Indicators)</w:t>
      </w:r>
      <w:r>
        <w:rPr>
          <w:rFonts w:ascii="SimSun" w:hAnsi="SimSun" w:eastAsia="SimSun" w:cs="SimSun"/>
          <w:sz w:val="18"/>
          <w:szCs w:val="18"/>
          <w:spacing w:val="-11"/>
        </w:rPr>
        <w:t>。</w:t>
      </w:r>
    </w:p>
    <w:p>
      <w:pPr>
        <w:spacing w:line="212" w:lineRule="auto"/>
        <w:sectPr>
          <w:pgSz w:w="7330" w:h="12480"/>
          <w:pgMar w:top="400" w:right="980" w:bottom="400" w:left="849" w:header="0" w:footer="0" w:gutter="0"/>
        </w:sectPr>
        <w:rPr>
          <w:rFonts w:ascii="SimSun" w:hAnsi="SimSun" w:eastAsia="SimSun" w:cs="SimSun"/>
          <w:sz w:val="18"/>
          <w:szCs w:val="18"/>
        </w:rPr>
      </w:pPr>
    </w:p>
    <w:p>
      <w:pPr>
        <w:ind w:left="1612"/>
        <w:spacing w:before="243" w:line="222" w:lineRule="auto"/>
        <w:rPr>
          <w:rFonts w:ascii="SimSun" w:hAnsi="SimSun" w:eastAsia="SimSun" w:cs="SimSun"/>
          <w:sz w:val="13"/>
          <w:szCs w:val="13"/>
        </w:rPr>
      </w:pPr>
      <w:r>
        <w:rPr>
          <w:rFonts w:ascii="SimHei" w:hAnsi="SimHei" w:eastAsia="SimHei" w:cs="SimHei"/>
          <w:sz w:val="18"/>
          <w:szCs w:val="18"/>
          <w:b/>
          <w:bCs/>
          <w:spacing w:val="-23"/>
        </w:rPr>
        <w:t>第二章</w:t>
      </w:r>
      <w:r>
        <w:rPr>
          <w:rFonts w:ascii="SimHei" w:hAnsi="SimHei" w:eastAsia="SimHei" w:cs="SimHei"/>
          <w:sz w:val="18"/>
          <w:szCs w:val="18"/>
          <w:spacing w:val="-23"/>
        </w:rPr>
        <w:t xml:space="preserve">  </w:t>
      </w:r>
      <w:r>
        <w:rPr>
          <w:rFonts w:ascii="SimHei" w:hAnsi="SimHei" w:eastAsia="SimHei" w:cs="SimHei"/>
          <w:sz w:val="18"/>
          <w:szCs w:val="18"/>
          <w:b/>
          <w:bCs/>
          <w:spacing w:val="-23"/>
        </w:rPr>
        <w:t>数字经济对中国经济增长的影响</w:t>
      </w:r>
      <w:r>
        <w:rPr>
          <w:rFonts w:ascii="SimHei" w:hAnsi="SimHei" w:eastAsia="SimHei" w:cs="SimHei"/>
          <w:sz w:val="18"/>
          <w:szCs w:val="18"/>
        </w:rPr>
        <w:t xml:space="preserve">               </w:t>
      </w:r>
      <w:r>
        <w:rPr>
          <w:rFonts w:ascii="SimSun" w:hAnsi="SimSun" w:eastAsia="SimSun" w:cs="SimSun"/>
          <w:sz w:val="13"/>
          <w:szCs w:val="13"/>
          <w:spacing w:val="-24"/>
          <w:position w:val="-2"/>
        </w:rPr>
        <w:t>067</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right="7" w:firstLine="399"/>
        <w:spacing w:before="58" w:line="370" w:lineRule="auto"/>
        <w:jc w:val="both"/>
        <w:rPr>
          <w:rFonts w:ascii="SimSun" w:hAnsi="SimSun" w:eastAsia="SimSun" w:cs="SimSun"/>
          <w:sz w:val="18"/>
          <w:szCs w:val="18"/>
        </w:rPr>
      </w:pPr>
      <w:r>
        <w:rPr>
          <w:rFonts w:ascii="SimSun" w:hAnsi="SimSun" w:eastAsia="SimSun" w:cs="SimSun"/>
          <w:sz w:val="18"/>
          <w:szCs w:val="18"/>
          <w:spacing w:val="26"/>
        </w:rPr>
        <w:t>软件行业是数字经济发展的重要技术支撑。图2</w:t>
      </w:r>
      <w:r>
        <w:rPr>
          <w:rFonts w:ascii="SimSun" w:hAnsi="SimSun" w:eastAsia="SimSun" w:cs="SimSun"/>
          <w:sz w:val="18"/>
          <w:szCs w:val="18"/>
          <w:spacing w:val="-40"/>
        </w:rPr>
        <w:t xml:space="preserve"> </w:t>
      </w:r>
      <w:r>
        <w:rPr>
          <w:rFonts w:ascii="SimSun" w:hAnsi="SimSun" w:eastAsia="SimSun" w:cs="SimSun"/>
          <w:sz w:val="18"/>
          <w:szCs w:val="18"/>
          <w:spacing w:val="26"/>
        </w:rPr>
        <w:t>-</w:t>
      </w:r>
      <w:r>
        <w:rPr>
          <w:rFonts w:ascii="SimSun" w:hAnsi="SimSun" w:eastAsia="SimSun" w:cs="SimSun"/>
          <w:sz w:val="18"/>
          <w:szCs w:val="18"/>
          <w:spacing w:val="-48"/>
        </w:rPr>
        <w:t xml:space="preserve"> </w:t>
      </w:r>
      <w:r>
        <w:rPr>
          <w:rFonts w:ascii="SimSun" w:hAnsi="SimSun" w:eastAsia="SimSun" w:cs="SimSun"/>
          <w:sz w:val="18"/>
          <w:szCs w:val="18"/>
          <w:spacing w:val="26"/>
        </w:rPr>
        <w:t>5报告了过去</w:t>
      </w:r>
      <w:r>
        <w:rPr>
          <w:rFonts w:ascii="SimSun" w:hAnsi="SimSun" w:eastAsia="SimSun" w:cs="SimSun"/>
          <w:sz w:val="18"/>
          <w:szCs w:val="18"/>
        </w:rPr>
        <w:t xml:space="preserve"> </w:t>
      </w:r>
      <w:r>
        <w:rPr>
          <w:rFonts w:ascii="SimSun" w:hAnsi="SimSun" w:eastAsia="SimSun" w:cs="SimSun"/>
          <w:sz w:val="18"/>
          <w:szCs w:val="18"/>
          <w:spacing w:val="25"/>
        </w:rPr>
        <w:t>10年中国软件行业的收入增长率。数据显示，中国企业</w:t>
      </w:r>
      <w:r>
        <w:rPr>
          <w:rFonts w:ascii="SimSun" w:hAnsi="SimSun" w:eastAsia="SimSun" w:cs="SimSun"/>
          <w:sz w:val="18"/>
          <w:szCs w:val="18"/>
          <w:spacing w:val="24"/>
        </w:rPr>
        <w:t>软件业务收</w:t>
      </w:r>
      <w:r>
        <w:rPr>
          <w:rFonts w:ascii="SimSun" w:hAnsi="SimSun" w:eastAsia="SimSun" w:cs="SimSun"/>
          <w:sz w:val="18"/>
          <w:szCs w:val="18"/>
        </w:rPr>
        <w:t xml:space="preserve"> </w:t>
      </w:r>
      <w:r>
        <w:rPr>
          <w:rFonts w:ascii="SimSun" w:hAnsi="SimSun" w:eastAsia="SimSun" w:cs="SimSun"/>
          <w:sz w:val="18"/>
          <w:szCs w:val="18"/>
          <w:spacing w:val="24"/>
        </w:rPr>
        <w:t>入、软件产品收入和信息技术服务收入</w:t>
      </w:r>
      <w:r>
        <w:rPr>
          <w:rFonts w:ascii="SimSun" w:hAnsi="SimSun" w:eastAsia="SimSun" w:cs="SimSun"/>
          <w:sz w:val="18"/>
          <w:szCs w:val="18"/>
          <w:spacing w:val="-53"/>
        </w:rPr>
        <w:t xml:space="preserve"> </w:t>
      </w:r>
      <w:r>
        <w:rPr>
          <w:rFonts w:ascii="SimSun" w:hAnsi="SimSun" w:eastAsia="SimSun" w:cs="SimSun"/>
          <w:sz w:val="18"/>
          <w:szCs w:val="18"/>
          <w:spacing w:val="24"/>
        </w:rPr>
        <w:t>一</w:t>
      </w:r>
      <w:r>
        <w:rPr>
          <w:rFonts w:ascii="SimSun" w:hAnsi="SimSun" w:eastAsia="SimSun" w:cs="SimSun"/>
          <w:sz w:val="18"/>
          <w:szCs w:val="18"/>
          <w:spacing w:val="-54"/>
        </w:rPr>
        <w:t xml:space="preserve"> </w:t>
      </w:r>
      <w:r>
        <w:rPr>
          <w:rFonts w:ascii="SimSun" w:hAnsi="SimSun" w:eastAsia="SimSun" w:cs="SimSun"/>
          <w:sz w:val="18"/>
          <w:szCs w:val="18"/>
          <w:spacing w:val="24"/>
        </w:rPr>
        <w:t>直保持着高增长态势。在</w:t>
      </w:r>
      <w:r>
        <w:rPr>
          <w:rFonts w:ascii="SimSun" w:hAnsi="SimSun" w:eastAsia="SimSun" w:cs="SimSun"/>
          <w:sz w:val="18"/>
          <w:szCs w:val="18"/>
        </w:rPr>
        <w:t xml:space="preserve"> </w:t>
      </w:r>
      <w:r>
        <w:rPr>
          <w:rFonts w:ascii="SimSun" w:hAnsi="SimSun" w:eastAsia="SimSun" w:cs="SimSun"/>
          <w:sz w:val="18"/>
          <w:szCs w:val="18"/>
          <w:spacing w:val="29"/>
        </w:rPr>
        <w:t>2011年前后，这些软件行业收入增长率超过了25%,尽管随后有所</w:t>
      </w:r>
    </w:p>
    <w:p>
      <w:pPr>
        <w:spacing w:line="219" w:lineRule="auto"/>
        <w:rPr>
          <w:rFonts w:ascii="SimSun" w:hAnsi="SimSun" w:eastAsia="SimSun" w:cs="SimSun"/>
          <w:sz w:val="18"/>
          <w:szCs w:val="18"/>
        </w:rPr>
      </w:pPr>
      <w:r>
        <w:rPr>
          <w:rFonts w:ascii="SimSun" w:hAnsi="SimSun" w:eastAsia="SimSun" w:cs="SimSun"/>
          <w:sz w:val="18"/>
          <w:szCs w:val="18"/>
          <w:spacing w:val="17"/>
        </w:rPr>
        <w:t>下降，但是相比于整体经济增长水平而言仍然保持着很高的增长率。</w:t>
      </w:r>
    </w:p>
    <w:p>
      <w:pPr>
        <w:ind w:left="399"/>
        <w:spacing w:before="228" w:line="185" w:lineRule="auto"/>
        <w:rPr>
          <w:rFonts w:ascii="SimSun" w:hAnsi="SimSun" w:eastAsia="SimSun" w:cs="SimSun"/>
          <w:sz w:val="18"/>
          <w:szCs w:val="18"/>
        </w:rPr>
      </w:pPr>
      <w:r>
        <w:rPr>
          <w:rFonts w:ascii="SimSun" w:hAnsi="SimSun" w:eastAsia="SimSun" w:cs="SimSun"/>
          <w:sz w:val="18"/>
          <w:szCs w:val="18"/>
          <w:spacing w:val="-9"/>
        </w:rPr>
        <w:t>(%)</w:t>
      </w:r>
    </w:p>
    <w:p>
      <w:pPr>
        <w:ind w:firstLine="389"/>
        <w:spacing w:line="2990" w:lineRule="exact"/>
        <w:rPr/>
      </w:pPr>
      <w:r>
        <w:rPr>
          <w:position w:val="-59"/>
        </w:rPr>
        <w:drawing>
          <wp:inline distT="0" distB="0" distL="0" distR="0">
            <wp:extent cx="3289324" cy="1898623"/>
            <wp:effectExtent l="0" t="0" r="0" b="0"/>
            <wp:docPr id="86" name="IM 86"/>
            <wp:cNvGraphicFramePr/>
            <a:graphic>
              <a:graphicData uri="http://schemas.openxmlformats.org/drawingml/2006/picture">
                <pic:pic>
                  <pic:nvPicPr>
                    <pic:cNvPr id="86" name="IM 86"/>
                    <pic:cNvPicPr/>
                  </pic:nvPicPr>
                  <pic:blipFill>
                    <a:blip r:embed="rId97"/>
                    <a:stretch>
                      <a:fillRect/>
                    </a:stretch>
                  </pic:blipFill>
                  <pic:spPr>
                    <a:xfrm rot="0">
                      <a:off x="0" y="0"/>
                      <a:ext cx="3289324" cy="1898623"/>
                    </a:xfrm>
                    <a:prstGeom prst="rect">
                      <a:avLst/>
                    </a:prstGeom>
                  </pic:spPr>
                </pic:pic>
              </a:graphicData>
            </a:graphic>
          </wp:inline>
        </w:drawing>
      </w:r>
    </w:p>
    <w:p>
      <w:pPr>
        <w:ind w:left="849"/>
        <w:spacing w:before="67" w:line="267" w:lineRule="auto"/>
        <w:rPr>
          <w:rFonts w:ascii="SimSun" w:hAnsi="SimSun" w:eastAsia="SimSun" w:cs="SimSun"/>
          <w:sz w:val="18"/>
          <w:szCs w:val="18"/>
        </w:rPr>
      </w:pPr>
      <w:r>
        <w:rPr>
          <w:rFonts w:ascii="SimSun" w:hAnsi="SimSun" w:eastAsia="SimSun" w:cs="SimSun"/>
          <w:sz w:val="18"/>
          <w:szCs w:val="18"/>
          <w:u w:val="single" w:color="auto"/>
          <w:spacing w:val="-13"/>
          <w:w w:val="98"/>
        </w:rPr>
        <w:t>——</w:t>
      </w:r>
      <w:r>
        <w:rPr>
          <w:rFonts w:ascii="SimSun" w:hAnsi="SimSun" w:eastAsia="SimSun" w:cs="SimSun"/>
          <w:sz w:val="18"/>
          <w:szCs w:val="18"/>
          <w:spacing w:val="-64"/>
        </w:rPr>
        <w:t xml:space="preserve"> </w:t>
      </w:r>
      <w:r>
        <w:rPr>
          <w:rFonts w:ascii="SimSun" w:hAnsi="SimSun" w:eastAsia="SimSun" w:cs="SimSun"/>
          <w:sz w:val="18"/>
          <w:szCs w:val="18"/>
          <w:spacing w:val="-13"/>
          <w:w w:val="98"/>
        </w:rPr>
        <w:t>软件业务收入增长率</w:t>
      </w:r>
      <w:r>
        <w:rPr>
          <w:rFonts w:ascii="SimSun" w:hAnsi="SimSun" w:eastAsia="SimSun" w:cs="SimSun"/>
          <w:sz w:val="18"/>
          <w:szCs w:val="18"/>
          <w:spacing w:val="11"/>
        </w:rPr>
        <w:t xml:space="preserve">  </w:t>
      </w:r>
      <w:r>
        <w:rPr>
          <w:rFonts w:ascii="SimSun" w:hAnsi="SimSun" w:eastAsia="SimSun" w:cs="SimSun"/>
          <w:sz w:val="18"/>
          <w:szCs w:val="18"/>
          <w:u w:val="single" w:color="auto"/>
          <w:spacing w:val="30"/>
        </w:rPr>
        <w:t xml:space="preserve">   </w:t>
      </w:r>
      <w:r>
        <w:rPr>
          <w:rFonts w:ascii="SimSun" w:hAnsi="SimSun" w:eastAsia="SimSun" w:cs="SimSun"/>
          <w:sz w:val="18"/>
          <w:szCs w:val="18"/>
          <w:spacing w:val="-60"/>
        </w:rPr>
        <w:t xml:space="preserve"> </w:t>
      </w:r>
      <w:r>
        <w:rPr>
          <w:rFonts w:ascii="SimSun" w:hAnsi="SimSun" w:eastAsia="SimSun" w:cs="SimSun"/>
          <w:sz w:val="18"/>
          <w:szCs w:val="18"/>
          <w:spacing w:val="-13"/>
          <w:w w:val="98"/>
        </w:rPr>
        <w:t>软件产品收入增长率</w:t>
      </w:r>
    </w:p>
    <w:p>
      <w:pPr>
        <w:ind w:left="839"/>
        <w:spacing w:line="219" w:lineRule="auto"/>
        <w:rPr>
          <w:rFonts w:ascii="SimSun" w:hAnsi="SimSun" w:eastAsia="SimSun" w:cs="SimSun"/>
          <w:sz w:val="18"/>
          <w:szCs w:val="18"/>
        </w:rPr>
      </w:pPr>
      <w:r>
        <w:rPr>
          <w:rFonts w:ascii="SimSun" w:hAnsi="SimSun" w:eastAsia="SimSun" w:cs="SimSun"/>
          <w:sz w:val="18"/>
          <w:szCs w:val="18"/>
          <w:spacing w:val="-13"/>
          <w:w w:val="96"/>
        </w:rPr>
        <w:t>-----信息技术服务收入增长率</w:t>
      </w:r>
    </w:p>
    <w:p>
      <w:pPr>
        <w:ind w:left="1762"/>
        <w:spacing w:before="184" w:line="222" w:lineRule="auto"/>
        <w:rPr>
          <w:rFonts w:ascii="SimHei" w:hAnsi="SimHei" w:eastAsia="SimHei" w:cs="SimHei"/>
          <w:sz w:val="18"/>
          <w:szCs w:val="18"/>
        </w:rPr>
      </w:pPr>
      <w:r>
        <w:rPr>
          <w:rFonts w:ascii="SimHei" w:hAnsi="SimHei" w:eastAsia="SimHei" w:cs="SimHei"/>
          <w:sz w:val="18"/>
          <w:szCs w:val="18"/>
          <w:b/>
          <w:bCs/>
        </w:rPr>
        <w:t>图2-5</w:t>
      </w:r>
      <w:r>
        <w:rPr>
          <w:rFonts w:ascii="SimHei" w:hAnsi="SimHei" w:eastAsia="SimHei" w:cs="SimHei"/>
          <w:sz w:val="18"/>
          <w:szCs w:val="18"/>
        </w:rPr>
        <w:t xml:space="preserve">  </w:t>
      </w:r>
      <w:r>
        <w:rPr>
          <w:rFonts w:ascii="SimHei" w:hAnsi="SimHei" w:eastAsia="SimHei" w:cs="SimHei"/>
          <w:sz w:val="18"/>
          <w:szCs w:val="18"/>
          <w:b/>
          <w:bCs/>
        </w:rPr>
        <w:t>中国软件业收入增长率</w:t>
      </w:r>
    </w:p>
    <w:p>
      <w:pPr>
        <w:ind w:left="339"/>
        <w:spacing w:before="173" w:line="224" w:lineRule="auto"/>
        <w:rPr>
          <w:rFonts w:ascii="KaiTi" w:hAnsi="KaiTi" w:eastAsia="KaiTi" w:cs="KaiTi"/>
          <w:sz w:val="18"/>
          <w:szCs w:val="18"/>
        </w:rPr>
      </w:pPr>
      <w:r>
        <w:rPr>
          <w:rFonts w:ascii="KaiTi" w:hAnsi="KaiTi" w:eastAsia="KaiTi" w:cs="KaiTi"/>
          <w:sz w:val="18"/>
          <w:szCs w:val="18"/>
          <w:spacing w:val="-20"/>
        </w:rPr>
        <w:t>数据来源：国家统计局。</w:t>
      </w:r>
    </w:p>
    <w:p>
      <w:pPr>
        <w:pStyle w:val="BodyText"/>
        <w:spacing w:line="374" w:lineRule="auto"/>
        <w:rPr/>
      </w:pPr>
      <w:r/>
    </w:p>
    <w:p>
      <w:pPr>
        <w:ind w:firstLine="399"/>
        <w:spacing w:before="59" w:line="369" w:lineRule="auto"/>
        <w:jc w:val="both"/>
        <w:rPr>
          <w:rFonts w:ascii="SimSun" w:hAnsi="SimSun" w:eastAsia="SimSun" w:cs="SimSun"/>
          <w:sz w:val="18"/>
          <w:szCs w:val="18"/>
        </w:rPr>
      </w:pPr>
      <w:r>
        <w:rPr>
          <w:rFonts w:ascii="SimSun" w:hAnsi="SimSun" w:eastAsia="SimSun" w:cs="SimSun"/>
          <w:sz w:val="18"/>
          <w:szCs w:val="18"/>
          <w:spacing w:val="27"/>
        </w:rPr>
        <w:t>电子商务是数字经济发展的重要表现形式。图2</w:t>
      </w:r>
      <w:r>
        <w:rPr>
          <w:rFonts w:ascii="SimSun" w:hAnsi="SimSun" w:eastAsia="SimSun" w:cs="SimSun"/>
          <w:sz w:val="18"/>
          <w:szCs w:val="18"/>
          <w:spacing w:val="-52"/>
        </w:rPr>
        <w:t xml:space="preserve"> </w:t>
      </w:r>
      <w:r>
        <w:rPr>
          <w:rFonts w:ascii="SimSun" w:hAnsi="SimSun" w:eastAsia="SimSun" w:cs="SimSun"/>
          <w:sz w:val="18"/>
          <w:szCs w:val="18"/>
          <w:spacing w:val="26"/>
        </w:rPr>
        <w:t>-</w:t>
      </w:r>
      <w:r>
        <w:rPr>
          <w:rFonts w:ascii="SimSun" w:hAnsi="SimSun" w:eastAsia="SimSun" w:cs="SimSun"/>
          <w:sz w:val="18"/>
          <w:szCs w:val="18"/>
          <w:spacing w:val="-50"/>
        </w:rPr>
        <w:t xml:space="preserve"> </w:t>
      </w:r>
      <w:r>
        <w:rPr>
          <w:rFonts w:ascii="SimSun" w:hAnsi="SimSun" w:eastAsia="SimSun" w:cs="SimSun"/>
          <w:sz w:val="18"/>
          <w:szCs w:val="18"/>
          <w:spacing w:val="26"/>
        </w:rPr>
        <w:t>6展示了中国</w:t>
      </w:r>
      <w:r>
        <w:rPr>
          <w:rFonts w:ascii="SimSun" w:hAnsi="SimSun" w:eastAsia="SimSun" w:cs="SimSun"/>
          <w:sz w:val="18"/>
          <w:szCs w:val="18"/>
        </w:rPr>
        <w:t xml:space="preserve"> </w:t>
      </w:r>
      <w:r>
        <w:rPr>
          <w:rFonts w:ascii="SimSun" w:hAnsi="SimSun" w:eastAsia="SimSun" w:cs="SimSun"/>
          <w:sz w:val="18"/>
          <w:szCs w:val="18"/>
          <w:spacing w:val="22"/>
        </w:rPr>
        <w:t>电子商务销售额的增长，这一数字从2013年的5</w:t>
      </w:r>
      <w:r>
        <w:rPr>
          <w:rFonts w:ascii="SimSun" w:hAnsi="SimSun" w:eastAsia="SimSun" w:cs="SimSun"/>
          <w:sz w:val="18"/>
          <w:szCs w:val="18"/>
          <w:spacing w:val="-48"/>
        </w:rPr>
        <w:t xml:space="preserve"> </w:t>
      </w:r>
      <w:r>
        <w:rPr>
          <w:rFonts w:ascii="SimSun" w:hAnsi="SimSun" w:eastAsia="SimSun" w:cs="SimSun"/>
          <w:sz w:val="18"/>
          <w:szCs w:val="18"/>
          <w:spacing w:val="22"/>
        </w:rPr>
        <w:t>.67万亿元逐步上升</w:t>
      </w:r>
      <w:r>
        <w:rPr>
          <w:rFonts w:ascii="SimSun" w:hAnsi="SimSun" w:eastAsia="SimSun" w:cs="SimSun"/>
          <w:sz w:val="18"/>
          <w:szCs w:val="18"/>
        </w:rPr>
        <w:t xml:space="preserve"> </w:t>
      </w:r>
      <w:r>
        <w:rPr>
          <w:rFonts w:ascii="SimSun" w:hAnsi="SimSun" w:eastAsia="SimSun" w:cs="SimSun"/>
          <w:sz w:val="18"/>
          <w:szCs w:val="18"/>
          <w:spacing w:val="26"/>
        </w:rPr>
        <w:t>到2019年的16</w:t>
      </w:r>
      <w:r>
        <w:rPr>
          <w:rFonts w:ascii="SimSun" w:hAnsi="SimSun" w:eastAsia="SimSun" w:cs="SimSun"/>
          <w:sz w:val="18"/>
          <w:szCs w:val="18"/>
          <w:spacing w:val="-49"/>
        </w:rPr>
        <w:t xml:space="preserve"> </w:t>
      </w:r>
      <w:r>
        <w:rPr>
          <w:rFonts w:ascii="SimSun" w:hAnsi="SimSun" w:eastAsia="SimSun" w:cs="SimSun"/>
          <w:sz w:val="18"/>
          <w:szCs w:val="18"/>
          <w:spacing w:val="26"/>
        </w:rPr>
        <w:t>.</w:t>
      </w:r>
      <w:r>
        <w:rPr>
          <w:rFonts w:ascii="SimSun" w:hAnsi="SimSun" w:eastAsia="SimSun" w:cs="SimSun"/>
          <w:sz w:val="18"/>
          <w:szCs w:val="18"/>
          <w:spacing w:val="-52"/>
        </w:rPr>
        <w:t xml:space="preserve"> </w:t>
      </w:r>
      <w:r>
        <w:rPr>
          <w:rFonts w:ascii="SimSun" w:hAnsi="SimSun" w:eastAsia="SimSun" w:cs="SimSun"/>
          <w:sz w:val="18"/>
          <w:szCs w:val="18"/>
          <w:spacing w:val="26"/>
        </w:rPr>
        <w:t>93万亿元，年均增长率超过了2</w:t>
      </w:r>
      <w:r>
        <w:rPr>
          <w:rFonts w:ascii="SimSun" w:hAnsi="SimSun" w:eastAsia="SimSun" w:cs="SimSun"/>
          <w:sz w:val="18"/>
          <w:szCs w:val="18"/>
          <w:spacing w:val="25"/>
        </w:rPr>
        <w:t>0%。电子商务的增</w:t>
      </w:r>
      <w:r>
        <w:rPr>
          <w:rFonts w:ascii="SimSun" w:hAnsi="SimSun" w:eastAsia="SimSun" w:cs="SimSun"/>
          <w:sz w:val="18"/>
          <w:szCs w:val="18"/>
        </w:rPr>
        <w:t xml:space="preserve"> </w:t>
      </w:r>
      <w:r>
        <w:rPr>
          <w:rFonts w:ascii="SimSun" w:hAnsi="SimSun" w:eastAsia="SimSun" w:cs="SimSun"/>
          <w:sz w:val="18"/>
          <w:szCs w:val="18"/>
          <w:spacing w:val="27"/>
        </w:rPr>
        <w:t>长反映了产品和服务流通速度与广度的增加。图2-</w:t>
      </w:r>
      <w:r>
        <w:rPr>
          <w:rFonts w:ascii="SimSun" w:hAnsi="SimSun" w:eastAsia="SimSun" w:cs="SimSun"/>
          <w:sz w:val="18"/>
          <w:szCs w:val="18"/>
          <w:spacing w:val="-45"/>
        </w:rPr>
        <w:t xml:space="preserve"> </w:t>
      </w:r>
      <w:r>
        <w:rPr>
          <w:rFonts w:ascii="SimSun" w:hAnsi="SimSun" w:eastAsia="SimSun" w:cs="SimSun"/>
          <w:sz w:val="18"/>
          <w:szCs w:val="18"/>
          <w:spacing w:val="27"/>
        </w:rPr>
        <w:t>7显示了中国快</w:t>
      </w:r>
      <w:r>
        <w:rPr>
          <w:rFonts w:ascii="SimSun" w:hAnsi="SimSun" w:eastAsia="SimSun" w:cs="SimSun"/>
          <w:sz w:val="18"/>
          <w:szCs w:val="18"/>
        </w:rPr>
        <w:t xml:space="preserve"> </w:t>
      </w:r>
      <w:r>
        <w:rPr>
          <w:rFonts w:ascii="SimSun" w:hAnsi="SimSun" w:eastAsia="SimSun" w:cs="SimSun"/>
          <w:sz w:val="18"/>
          <w:szCs w:val="18"/>
          <w:spacing w:val="25"/>
        </w:rPr>
        <w:t>递行业的年增长率。过去10多年间，中国快递业务的年平均增速接</w:t>
      </w:r>
      <w:r>
        <w:rPr>
          <w:rFonts w:ascii="SimSun" w:hAnsi="SimSun" w:eastAsia="SimSun" w:cs="SimSun"/>
          <w:sz w:val="18"/>
          <w:szCs w:val="18"/>
          <w:spacing w:val="16"/>
        </w:rPr>
        <w:t xml:space="preserve"> </w:t>
      </w:r>
      <w:r>
        <w:rPr>
          <w:rFonts w:ascii="SimSun" w:hAnsi="SimSun" w:eastAsia="SimSun" w:cs="SimSun"/>
          <w:sz w:val="18"/>
          <w:szCs w:val="18"/>
          <w:spacing w:val="32"/>
        </w:rPr>
        <w:t>近40%,其中2011</w:t>
      </w:r>
      <w:r>
        <w:rPr>
          <w:rFonts w:ascii="SimSun" w:hAnsi="SimSun" w:eastAsia="SimSun" w:cs="SimSun"/>
          <w:sz w:val="18"/>
          <w:szCs w:val="18"/>
          <w:spacing w:val="-38"/>
        </w:rPr>
        <w:t xml:space="preserve"> </w:t>
      </w:r>
      <w:r>
        <w:rPr>
          <w:rFonts w:ascii="SimSun" w:hAnsi="SimSun" w:eastAsia="SimSun" w:cs="SimSun"/>
          <w:sz w:val="18"/>
          <w:szCs w:val="18"/>
          <w:spacing w:val="32"/>
        </w:rPr>
        <w:t>—</w:t>
      </w:r>
      <w:r>
        <w:rPr>
          <w:rFonts w:ascii="SimSun" w:hAnsi="SimSun" w:eastAsia="SimSun" w:cs="SimSun"/>
          <w:sz w:val="18"/>
          <w:szCs w:val="18"/>
          <w:spacing w:val="-45"/>
        </w:rPr>
        <w:t xml:space="preserve"> </w:t>
      </w:r>
      <w:r>
        <w:rPr>
          <w:rFonts w:ascii="SimSun" w:hAnsi="SimSun" w:eastAsia="SimSun" w:cs="SimSun"/>
          <w:sz w:val="18"/>
          <w:szCs w:val="18"/>
          <w:spacing w:val="32"/>
        </w:rPr>
        <w:t>2016年的平均增速超过50%,这6年快递业务</w:t>
      </w:r>
      <w:r>
        <w:rPr>
          <w:rFonts w:ascii="SimSun" w:hAnsi="SimSun" w:eastAsia="SimSun" w:cs="SimSun"/>
          <w:sz w:val="18"/>
          <w:szCs w:val="18"/>
        </w:rPr>
        <w:t xml:space="preserve"> </w:t>
      </w:r>
      <w:r>
        <w:rPr>
          <w:rFonts w:ascii="SimSun" w:hAnsi="SimSun" w:eastAsia="SimSun" w:cs="SimSun"/>
          <w:sz w:val="18"/>
          <w:szCs w:val="18"/>
          <w:spacing w:val="19"/>
        </w:rPr>
        <w:t>的超高速增长与中国数字平台的快速崛起密切相关。数字平台具有规</w:t>
      </w:r>
    </w:p>
    <w:p>
      <w:pPr>
        <w:spacing w:before="1" w:line="219" w:lineRule="auto"/>
        <w:rPr>
          <w:rFonts w:ascii="SimSun" w:hAnsi="SimSun" w:eastAsia="SimSun" w:cs="SimSun"/>
          <w:sz w:val="18"/>
          <w:szCs w:val="18"/>
        </w:rPr>
      </w:pPr>
      <w:r>
        <w:rPr>
          <w:rFonts w:ascii="SimSun" w:hAnsi="SimSun" w:eastAsia="SimSun" w:cs="SimSun"/>
          <w:sz w:val="18"/>
          <w:szCs w:val="18"/>
          <w:spacing w:val="19"/>
        </w:rPr>
        <w:t>模经济与范围经济特征，能够在集中投资下短时间内实现规模快速扩</w:t>
      </w:r>
    </w:p>
    <w:p>
      <w:pPr>
        <w:spacing w:line="219" w:lineRule="auto"/>
        <w:sectPr>
          <w:pgSz w:w="7330" w:h="12480"/>
          <w:pgMar w:top="400" w:right="821" w:bottom="400" w:left="510" w:header="0" w:footer="0" w:gutter="0"/>
        </w:sectPr>
        <w:rPr>
          <w:rFonts w:ascii="SimSun" w:hAnsi="SimSun" w:eastAsia="SimSun" w:cs="SimSun"/>
          <w:sz w:val="18"/>
          <w:szCs w:val="18"/>
        </w:rPr>
      </w:pPr>
    </w:p>
    <w:p>
      <w:pPr>
        <w:ind w:left="1"/>
        <w:spacing w:line="221" w:lineRule="auto"/>
        <w:rPr>
          <w:rFonts w:ascii="SimHei" w:hAnsi="SimHei" w:eastAsia="SimHei" w:cs="SimHei"/>
          <w:sz w:val="19"/>
          <w:szCs w:val="19"/>
        </w:rPr>
      </w:pPr>
      <w:r>
        <w:rPr>
          <w:rFonts w:ascii="SimSun" w:hAnsi="SimSun" w:eastAsia="SimSun" w:cs="SimSun"/>
          <w:sz w:val="12"/>
          <w:szCs w:val="12"/>
          <w:b/>
          <w:bCs/>
          <w:spacing w:val="-2"/>
          <w:position w:val="-4"/>
        </w:rPr>
        <w:t>068</w:t>
      </w:r>
      <w:r>
        <w:rPr>
          <w:rFonts w:ascii="SimSun" w:hAnsi="SimSun" w:eastAsia="SimSun" w:cs="SimSun"/>
          <w:sz w:val="12"/>
          <w:szCs w:val="12"/>
          <w:spacing w:val="-2"/>
          <w:position w:val="-4"/>
        </w:rPr>
        <w:t xml:space="preserve">                              </w:t>
      </w:r>
      <w:r>
        <w:rPr>
          <w:rFonts w:ascii="SimHei" w:hAnsi="SimHei" w:eastAsia="SimHei" w:cs="SimHei"/>
          <w:sz w:val="19"/>
          <w:szCs w:val="19"/>
          <w:spacing w:val="-16"/>
          <w:w w:val="91"/>
        </w:rPr>
        <w:t>平台经济——创新、治理与繁荣</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12"/>
        </w:rPr>
        <w:t>张。与此同时，线上交易与线下投递效率的提升需要一个遍布全国、</w:t>
      </w:r>
      <w:r>
        <w:rPr>
          <w:rFonts w:ascii="SimSun" w:hAnsi="SimSun" w:eastAsia="SimSun" w:cs="SimSun"/>
          <w:sz w:val="19"/>
          <w:szCs w:val="19"/>
          <w:spacing w:val="4"/>
        </w:rPr>
        <w:t xml:space="preserve"> </w:t>
      </w:r>
      <w:r>
        <w:rPr>
          <w:rFonts w:ascii="SimSun" w:hAnsi="SimSun" w:eastAsia="SimSun" w:cs="SimSun"/>
          <w:sz w:val="19"/>
          <w:szCs w:val="19"/>
          <w:spacing w:val="15"/>
        </w:rPr>
        <w:t>运营畅通的物流网络。数据显示，2011—201</w:t>
      </w:r>
      <w:r>
        <w:rPr>
          <w:rFonts w:ascii="SimSun" w:hAnsi="SimSun" w:eastAsia="SimSun" w:cs="SimSun"/>
          <w:sz w:val="19"/>
          <w:szCs w:val="19"/>
          <w:spacing w:val="14"/>
        </w:rPr>
        <w:t>6年也是我国物流行业</w:t>
      </w:r>
    </w:p>
    <w:p>
      <w:pPr>
        <w:spacing w:line="219" w:lineRule="auto"/>
        <w:rPr>
          <w:rFonts w:ascii="SimSun" w:hAnsi="SimSun" w:eastAsia="SimSun" w:cs="SimSun"/>
          <w:sz w:val="19"/>
          <w:szCs w:val="19"/>
        </w:rPr>
      </w:pPr>
      <w:r>
        <w:rPr>
          <w:rFonts w:ascii="SimSun" w:hAnsi="SimSun" w:eastAsia="SimSun" w:cs="SimSun"/>
          <w:sz w:val="19"/>
          <w:szCs w:val="19"/>
          <w:spacing w:val="6"/>
        </w:rPr>
        <w:t>高速发展的时期。</w:t>
      </w:r>
    </w:p>
    <w:p>
      <w:pPr>
        <w:ind w:left="610"/>
        <w:spacing w:before="104" w:line="176" w:lineRule="auto"/>
        <w:rPr>
          <w:rFonts w:ascii="SimSun" w:hAnsi="SimSun" w:eastAsia="SimSun" w:cs="SimSun"/>
          <w:sz w:val="19"/>
          <w:szCs w:val="19"/>
        </w:rPr>
      </w:pPr>
      <w:r>
        <w:rPr>
          <w:rFonts w:ascii="SimSun" w:hAnsi="SimSun" w:eastAsia="SimSun" w:cs="SimSun"/>
          <w:sz w:val="19"/>
          <w:szCs w:val="19"/>
          <w:spacing w:val="-13"/>
        </w:rPr>
        <w:t>(万亿元)</w:t>
      </w:r>
    </w:p>
    <w:p>
      <w:pPr>
        <w:ind w:firstLine="600"/>
        <w:spacing w:line="3350" w:lineRule="exact"/>
        <w:rPr/>
      </w:pPr>
      <w:r>
        <w:rPr>
          <w:position w:val="-67"/>
        </w:rPr>
        <w:drawing>
          <wp:inline distT="0" distB="0" distL="0" distR="0">
            <wp:extent cx="3175008" cy="2127829"/>
            <wp:effectExtent l="0" t="0" r="0" b="0"/>
            <wp:docPr id="88" name="IM 88"/>
            <wp:cNvGraphicFramePr/>
            <a:graphic>
              <a:graphicData uri="http://schemas.openxmlformats.org/drawingml/2006/picture">
                <pic:pic>
                  <pic:nvPicPr>
                    <pic:cNvPr id="88" name="IM 88"/>
                    <pic:cNvPicPr/>
                  </pic:nvPicPr>
                  <pic:blipFill>
                    <a:blip r:embed="rId98"/>
                    <a:stretch>
                      <a:fillRect/>
                    </a:stretch>
                  </pic:blipFill>
                  <pic:spPr>
                    <a:xfrm rot="0">
                      <a:off x="0" y="0"/>
                      <a:ext cx="3175008" cy="2127829"/>
                    </a:xfrm>
                    <a:prstGeom prst="rect">
                      <a:avLst/>
                    </a:prstGeom>
                  </pic:spPr>
                </pic:pic>
              </a:graphicData>
            </a:graphic>
          </wp:inline>
        </w:drawing>
      </w:r>
    </w:p>
    <w:p>
      <w:pPr>
        <w:ind w:left="2002"/>
        <w:spacing w:before="34" w:line="221" w:lineRule="auto"/>
        <w:rPr>
          <w:rFonts w:ascii="SimHei" w:hAnsi="SimHei" w:eastAsia="SimHei" w:cs="SimHei"/>
          <w:sz w:val="19"/>
          <w:szCs w:val="19"/>
        </w:rPr>
      </w:pPr>
      <w:r>
        <w:rPr>
          <w:rFonts w:ascii="SimHei" w:hAnsi="SimHei" w:eastAsia="SimHei" w:cs="SimHei"/>
          <w:sz w:val="19"/>
          <w:szCs w:val="19"/>
          <w:b/>
          <w:bCs/>
          <w:spacing w:val="-7"/>
        </w:rPr>
        <w:t>图2-6</w:t>
      </w:r>
      <w:r>
        <w:rPr>
          <w:rFonts w:ascii="SimHei" w:hAnsi="SimHei" w:eastAsia="SimHei" w:cs="SimHei"/>
          <w:sz w:val="19"/>
          <w:szCs w:val="19"/>
          <w:spacing w:val="89"/>
        </w:rPr>
        <w:t xml:space="preserve"> </w:t>
      </w:r>
      <w:r>
        <w:rPr>
          <w:rFonts w:ascii="SimHei" w:hAnsi="SimHei" w:eastAsia="SimHei" w:cs="SimHei"/>
          <w:sz w:val="19"/>
          <w:szCs w:val="19"/>
          <w:b/>
          <w:bCs/>
          <w:spacing w:val="-7"/>
        </w:rPr>
        <w:t>中国电子商务销售额</w:t>
      </w:r>
    </w:p>
    <w:p>
      <w:pPr>
        <w:ind w:left="469"/>
        <w:spacing w:before="164" w:line="224" w:lineRule="auto"/>
        <w:rPr>
          <w:rFonts w:ascii="KaiTi" w:hAnsi="KaiTi" w:eastAsia="KaiTi" w:cs="KaiTi"/>
          <w:sz w:val="19"/>
          <w:szCs w:val="19"/>
        </w:rPr>
      </w:pPr>
      <w:r>
        <w:rPr>
          <w:rFonts w:ascii="KaiTi" w:hAnsi="KaiTi" w:eastAsia="KaiTi" w:cs="KaiTi"/>
          <w:sz w:val="19"/>
          <w:szCs w:val="19"/>
          <w:spacing w:val="-25"/>
          <w:w w:val="98"/>
        </w:rPr>
        <w:t>数据来源：国家统计局。</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ind w:left="5140"/>
        <w:spacing w:before="62" w:line="219" w:lineRule="auto"/>
        <w:rPr>
          <w:rFonts w:ascii="SimSun" w:hAnsi="SimSun" w:eastAsia="SimSun" w:cs="SimSun"/>
          <w:sz w:val="19"/>
          <w:szCs w:val="19"/>
        </w:rPr>
      </w:pPr>
      <w:r>
        <w:drawing>
          <wp:anchor distT="0" distB="0" distL="0" distR="0" simplePos="0" relativeHeight="252459008" behindDoc="1" locked="0" layoutInCell="1" allowOverlap="1">
            <wp:simplePos x="0" y="0"/>
            <wp:positionH relativeFrom="column">
              <wp:posOffset>552448</wp:posOffset>
            </wp:positionH>
            <wp:positionV relativeFrom="paragraph">
              <wp:posOffset>-1794290</wp:posOffset>
            </wp:positionV>
            <wp:extent cx="2781326" cy="1955840"/>
            <wp:effectExtent l="0" t="0" r="0" b="0"/>
            <wp:wrapNone/>
            <wp:docPr id="90" name="IM 90"/>
            <wp:cNvGraphicFramePr/>
            <a:graphic>
              <a:graphicData uri="http://schemas.openxmlformats.org/drawingml/2006/picture">
                <pic:pic>
                  <pic:nvPicPr>
                    <pic:cNvPr id="90" name="IM 90"/>
                    <pic:cNvPicPr/>
                  </pic:nvPicPr>
                  <pic:blipFill>
                    <a:blip r:embed="rId99"/>
                    <a:stretch>
                      <a:fillRect/>
                    </a:stretch>
                  </pic:blipFill>
                  <pic:spPr>
                    <a:xfrm rot="0">
                      <a:off x="0" y="0"/>
                      <a:ext cx="2781326" cy="1955840"/>
                    </a:xfrm>
                    <a:prstGeom prst="rect">
                      <a:avLst/>
                    </a:prstGeom>
                  </pic:spPr>
                </pic:pic>
              </a:graphicData>
            </a:graphic>
          </wp:anchor>
        </w:drawing>
      </w:r>
      <w:r>
        <w:rPr>
          <w:rFonts w:ascii="SimSun" w:hAnsi="SimSun" w:eastAsia="SimSun" w:cs="SimSun"/>
          <w:sz w:val="19"/>
          <w:szCs w:val="19"/>
          <w:spacing w:val="3"/>
        </w:rPr>
        <w:t>(年)</w:t>
      </w:r>
    </w:p>
    <w:p>
      <w:pPr>
        <w:spacing w:before="10"/>
        <w:rPr/>
      </w:pPr>
      <w:r/>
    </w:p>
    <w:p>
      <w:pPr>
        <w:sectPr>
          <w:pgSz w:w="7330" w:h="12480"/>
          <w:pgMar w:top="366" w:right="714" w:bottom="400" w:left="549" w:header="0" w:footer="0" w:gutter="0"/>
          <w:cols w:equalWidth="0" w:num="1">
            <w:col w:w="6066" w:space="0"/>
          </w:cols>
        </w:sectPr>
        <w:rPr/>
      </w:pPr>
    </w:p>
    <w:p>
      <w:pPr>
        <w:ind w:left="2022"/>
        <w:spacing w:before="39" w:line="222" w:lineRule="auto"/>
        <w:rPr>
          <w:rFonts w:ascii="SimHei" w:hAnsi="SimHei" w:eastAsia="SimHei" w:cs="SimHei"/>
          <w:sz w:val="19"/>
          <w:szCs w:val="19"/>
        </w:rPr>
      </w:pPr>
      <w:r>
        <w:rPr>
          <w:rFonts w:ascii="SimHei" w:hAnsi="SimHei" w:eastAsia="SimHei" w:cs="SimHei"/>
          <w:sz w:val="19"/>
          <w:szCs w:val="19"/>
          <w:b/>
          <w:bCs/>
          <w:spacing w:val="-1"/>
        </w:rPr>
        <w:t>图2-7</w:t>
      </w:r>
    </w:p>
    <w:p>
      <w:pPr>
        <w:ind w:left="480"/>
        <w:spacing w:before="153" w:line="192" w:lineRule="auto"/>
        <w:rPr>
          <w:rFonts w:ascii="KaiTi" w:hAnsi="KaiTi" w:eastAsia="KaiTi" w:cs="KaiTi"/>
          <w:sz w:val="19"/>
          <w:szCs w:val="19"/>
        </w:rPr>
      </w:pPr>
      <w:r>
        <w:rPr>
          <w:rFonts w:ascii="KaiTi" w:hAnsi="KaiTi" w:eastAsia="KaiTi" w:cs="KaiTi"/>
          <w:sz w:val="19"/>
          <w:szCs w:val="19"/>
          <w:spacing w:val="-25"/>
          <w:w w:val="98"/>
        </w:rPr>
        <w:t>数据来源：国家统计局。</w:t>
      </w:r>
    </w:p>
    <w:p>
      <w:pPr>
        <w:pStyle w:val="BodyText"/>
        <w:spacing w:line="14" w:lineRule="auto"/>
        <w:rPr>
          <w:sz w:val="2"/>
        </w:rPr>
      </w:pPr>
      <w:r>
        <w:rPr>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b/>
          <w:bCs/>
          <w:spacing w:val="-13"/>
        </w:rPr>
        <w:t>中国快递业务增长率</w:t>
      </w:r>
    </w:p>
    <w:p>
      <w:pPr>
        <w:spacing w:line="221" w:lineRule="auto"/>
        <w:sectPr>
          <w:type w:val="continuous"/>
          <w:pgSz w:w="7330" w:h="12480"/>
          <w:pgMar w:top="366" w:right="714" w:bottom="400" w:left="549" w:header="0" w:footer="0" w:gutter="0"/>
          <w:cols w:equalWidth="0" w:num="2">
            <w:col w:w="2593" w:space="100"/>
            <w:col w:w="3373" w:space="0"/>
          </w:cols>
        </w:sectPr>
        <w:rPr>
          <w:rFonts w:ascii="SimHei" w:hAnsi="SimHei" w:eastAsia="SimHei" w:cs="SimHei"/>
          <w:sz w:val="19"/>
          <w:szCs w:val="19"/>
        </w:rPr>
      </w:pPr>
    </w:p>
    <w:p>
      <w:pPr>
        <w:pStyle w:val="BodyText"/>
        <w:spacing w:line="250" w:lineRule="auto"/>
        <w:rPr/>
      </w:pPr>
      <w:r>
        <mc:AlternateContent xmlns:mc="http://schemas.openxmlformats.org/markup-compatibility/2006">
          <mc:Choice Requires="wps">
            <w:drawing>
              <wp:anchor distT="0" distB="0" distL="0" distR="0" simplePos="0" relativeHeight="252470272" behindDoc="0" locked="0" layoutInCell="0" allowOverlap="1">
                <wp:simplePos x="0" y="0"/>
                <wp:positionH relativeFrom="page">
                  <wp:posOffset>2079862</wp:posOffset>
                </wp:positionH>
                <wp:positionV relativeFrom="page">
                  <wp:posOffset>6130246</wp:posOffset>
                </wp:positionV>
                <wp:extent cx="266700" cy="426719"/>
                <wp:effectExtent l="0" t="0" r="0" b="0"/>
                <wp:wrapNone/>
                <wp:docPr id="92" name="TextBox 92"/>
                <wp:cNvGraphicFramePr/>
                <a:graphic>
                  <a:graphicData uri="http://schemas.microsoft.com/office/word/2010/wordprocessingShape">
                    <wps:wsp>
                      <wps:cNvSpPr txBox="1"/>
                      <wps:spPr>
                        <a:xfrm rot="5400000">
                          <a:off x="2079862" y="6130246"/>
                          <a:ext cx="266700" cy="42671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132" w:line="234" w:lineRule="auto"/>
                              <w:jc w:val="right"/>
                              <w:rPr>
                                <w:rFonts w:ascii="SimSun" w:hAnsi="SimSun" w:eastAsia="SimSun" w:cs="SimSun"/>
                                <w:sz w:val="41"/>
                                <w:szCs w:val="41"/>
                              </w:rPr>
                            </w:pPr>
                            <w:r>
                              <w:rPr>
                                <w:rFonts w:ascii="SimSun" w:hAnsi="SimSun" w:eastAsia="SimSun" w:cs="SimSun"/>
                                <w:sz w:val="41"/>
                                <w:szCs w:val="41"/>
                                <w:spacing w:val="-31"/>
                              </w:rPr>
                              <w:t>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8" style="position:absolute;margin-left:163.769pt;margin-top:482.697pt;mso-position-vertical-relative:page;mso-position-horizontal-relative:page;width:21pt;height:33.6pt;z-index:252470272;rotation:90;" o:allowincell="f" filled="false" stroked="false" type="#_x0000_t202">
                <v:fill on="false"/>
                <v:stroke on="false"/>
                <v:path/>
                <v:imagedata o:title=""/>
                <o:lock v:ext="edit" aspectratio="false"/>
                <v:textbox inset="0mm,0mm,0mm,0mm">
                  <w:txbxContent>
                    <w:p>
                      <w:pPr>
                        <w:spacing w:before="132" w:line="234" w:lineRule="auto"/>
                        <w:jc w:val="right"/>
                        <w:rPr>
                          <w:rFonts w:ascii="SimSun" w:hAnsi="SimSun" w:eastAsia="SimSun" w:cs="SimSun"/>
                          <w:sz w:val="41"/>
                          <w:szCs w:val="41"/>
                        </w:rPr>
                      </w:pPr>
                      <w:r>
                        <w:rPr>
                          <w:rFonts w:ascii="SimSun" w:hAnsi="SimSun" w:eastAsia="SimSun" w:cs="SimSun"/>
                          <w:sz w:val="41"/>
                          <w:szCs w:val="41"/>
                          <w:spacing w:val="-31"/>
                        </w:rPr>
                        <w:t>心</w:t>
                      </w:r>
                    </w:p>
                  </w:txbxContent>
                </v:textbox>
              </v:shape>
            </w:pict>
          </mc:Fallback>
        </mc:AlternateContent>
      </w:r>
      <w:r/>
    </w:p>
    <w:p>
      <w:pPr>
        <w:pStyle w:val="BodyText"/>
        <w:spacing w:line="250" w:lineRule="auto"/>
        <w:rPr/>
      </w:pPr>
      <w:r/>
    </w:p>
    <w:p>
      <w:pPr>
        <w:pStyle w:val="BodyText"/>
        <w:spacing w:line="250" w:lineRule="auto"/>
        <w:rPr/>
      </w:pPr>
      <w:r/>
    </w:p>
    <w:p>
      <w:pPr>
        <w:pStyle w:val="BodyText"/>
        <w:spacing w:line="250" w:lineRule="auto"/>
        <w:rPr/>
      </w:pPr>
      <w:r/>
    </w:p>
    <w:p>
      <w:pPr>
        <w:ind w:firstLine="429"/>
        <w:spacing w:before="62" w:line="350" w:lineRule="auto"/>
        <w:jc w:val="both"/>
        <w:rPr>
          <w:rFonts w:ascii="SimSun" w:hAnsi="SimSun" w:eastAsia="SimSun" w:cs="SimSun"/>
          <w:sz w:val="19"/>
          <w:szCs w:val="19"/>
        </w:rPr>
      </w:pPr>
      <w:r>
        <w:rPr>
          <w:rFonts w:ascii="SimSun" w:hAnsi="SimSun" w:eastAsia="SimSun" w:cs="SimSun"/>
          <w:sz w:val="19"/>
          <w:szCs w:val="19"/>
          <w:spacing w:val="9"/>
        </w:rPr>
        <w:t>电子商务和快递业务的发展一方面促进了城市内的商品流通，另</w:t>
      </w:r>
      <w:r>
        <w:rPr>
          <w:rFonts w:ascii="SimSun" w:hAnsi="SimSun" w:eastAsia="SimSun" w:cs="SimSun"/>
          <w:sz w:val="19"/>
          <w:szCs w:val="19"/>
          <w:spacing w:val="10"/>
        </w:rPr>
        <w:t xml:space="preserve"> </w:t>
      </w:r>
      <w:r>
        <w:rPr>
          <w:rFonts w:ascii="SimSun" w:hAnsi="SimSun" w:eastAsia="SimSun" w:cs="SimSun"/>
          <w:sz w:val="19"/>
          <w:szCs w:val="19"/>
          <w:spacing w:val="10"/>
        </w:rPr>
        <w:t>一方面也推动了商品在不同城市、城乡之间的流通。这些发展打破了</w:t>
      </w:r>
      <w:r>
        <w:rPr>
          <w:rFonts w:ascii="SimSun" w:hAnsi="SimSun" w:eastAsia="SimSun" w:cs="SimSun"/>
          <w:sz w:val="19"/>
          <w:szCs w:val="19"/>
          <w:spacing w:val="14"/>
        </w:rPr>
        <w:t xml:space="preserve"> </w:t>
      </w:r>
      <w:r>
        <w:rPr>
          <w:rFonts w:ascii="SimSun" w:hAnsi="SimSun" w:eastAsia="SimSun" w:cs="SimSun"/>
          <w:sz w:val="19"/>
          <w:szCs w:val="19"/>
          <w:spacing w:val="17"/>
        </w:rPr>
        <w:t>产品与服务市场的地域分割，降低了产品与服务在区</w:t>
      </w:r>
      <w:r>
        <w:rPr>
          <w:rFonts w:ascii="SimSun" w:hAnsi="SimSun" w:eastAsia="SimSun" w:cs="SimSun"/>
          <w:sz w:val="19"/>
          <w:szCs w:val="19"/>
          <w:spacing w:val="16"/>
        </w:rPr>
        <w:t>域间流通的成</w:t>
      </w:r>
      <w:r>
        <w:rPr>
          <w:rFonts w:ascii="SimSun" w:hAnsi="SimSun" w:eastAsia="SimSun" w:cs="SimSun"/>
          <w:sz w:val="19"/>
          <w:szCs w:val="19"/>
        </w:rPr>
        <w:t xml:space="preserve"> </w:t>
      </w:r>
      <w:r>
        <w:rPr>
          <w:rFonts w:ascii="SimSun" w:hAnsi="SimSun" w:eastAsia="SimSun" w:cs="SimSun"/>
          <w:sz w:val="19"/>
          <w:szCs w:val="19"/>
          <w:spacing w:val="9"/>
        </w:rPr>
        <w:t>本。电子商务和快递行业的迅速发展也降低了生产要素跨区域流通成</w:t>
      </w:r>
      <w:r>
        <w:rPr>
          <w:rFonts w:ascii="SimSun" w:hAnsi="SimSun" w:eastAsia="SimSun" w:cs="SimSun"/>
          <w:sz w:val="19"/>
          <w:szCs w:val="19"/>
          <w:spacing w:val="7"/>
        </w:rPr>
        <w:t xml:space="preserve"> </w:t>
      </w:r>
      <w:r>
        <w:rPr>
          <w:rFonts w:ascii="SimSun" w:hAnsi="SimSun" w:eastAsia="SimSun" w:cs="SimSun"/>
          <w:sz w:val="19"/>
          <w:szCs w:val="19"/>
          <w:spacing w:val="10"/>
        </w:rPr>
        <w:t>本。当生产要素价格发生变化，抑或市场需求发生变化时，生</w:t>
      </w:r>
      <w:r>
        <w:rPr>
          <w:rFonts w:ascii="SimSun" w:hAnsi="SimSun" w:eastAsia="SimSun" w:cs="SimSun"/>
          <w:sz w:val="19"/>
          <w:szCs w:val="19"/>
          <w:spacing w:val="9"/>
        </w:rPr>
        <w:t>产要素</w:t>
      </w:r>
      <w:r>
        <w:rPr>
          <w:rFonts w:ascii="SimSun" w:hAnsi="SimSun" w:eastAsia="SimSun" w:cs="SimSun"/>
          <w:sz w:val="19"/>
          <w:szCs w:val="19"/>
        </w:rPr>
        <w:t xml:space="preserve"> </w:t>
      </w:r>
      <w:r>
        <w:rPr>
          <w:rFonts w:ascii="SimSun" w:hAnsi="SimSun" w:eastAsia="SimSun" w:cs="SimSun"/>
          <w:sz w:val="19"/>
          <w:szCs w:val="19"/>
          <w:spacing w:val="10"/>
        </w:rPr>
        <w:t>会流动到价格更高的城市和区域，企业则会将产品销售到价格更高的</w:t>
      </w:r>
      <w:r>
        <w:rPr>
          <w:rFonts w:ascii="SimSun" w:hAnsi="SimSun" w:eastAsia="SimSun" w:cs="SimSun"/>
          <w:sz w:val="19"/>
          <w:szCs w:val="19"/>
          <w:spacing w:val="3"/>
        </w:rPr>
        <w:t xml:space="preserve"> </w:t>
      </w:r>
      <w:r>
        <w:rPr>
          <w:rFonts w:ascii="SimSun" w:hAnsi="SimSun" w:eastAsia="SimSun" w:cs="SimSun"/>
          <w:sz w:val="19"/>
          <w:szCs w:val="19"/>
          <w:spacing w:val="9"/>
        </w:rPr>
        <w:t>市场。从城市间和区域间产品价格的变化来看，数字经济的发展使得</w:t>
      </w:r>
    </w:p>
    <w:p>
      <w:pPr>
        <w:spacing w:line="217" w:lineRule="auto"/>
        <w:rPr>
          <w:rFonts w:ascii="SimSun" w:hAnsi="SimSun" w:eastAsia="SimSun" w:cs="SimSun"/>
          <w:sz w:val="19"/>
          <w:szCs w:val="19"/>
        </w:rPr>
      </w:pPr>
      <w:r>
        <w:rPr>
          <w:rFonts w:ascii="SimSun" w:hAnsi="SimSun" w:eastAsia="SimSun" w:cs="SimSun"/>
          <w:sz w:val="19"/>
          <w:szCs w:val="19"/>
          <w:spacing w:val="7"/>
        </w:rPr>
        <w:t>这些价格的变化越来越趋向一致。</w:t>
      </w:r>
    </w:p>
    <w:p>
      <w:pPr>
        <w:ind w:right="9"/>
        <w:spacing w:before="155" w:line="370" w:lineRule="exact"/>
        <w:jc w:val="right"/>
        <w:rPr>
          <w:rFonts w:ascii="SimSun" w:hAnsi="SimSun" w:eastAsia="SimSun" w:cs="SimSun"/>
          <w:sz w:val="19"/>
          <w:szCs w:val="19"/>
        </w:rPr>
      </w:pPr>
      <w:r>
        <w:rPr>
          <w:rFonts w:ascii="SimSun" w:hAnsi="SimSun" w:eastAsia="SimSun" w:cs="SimSun"/>
          <w:sz w:val="19"/>
          <w:szCs w:val="19"/>
          <w:spacing w:val="18"/>
          <w:position w:val="13"/>
        </w:rPr>
        <w:t>图2-8显示了商品零售价格通胀在36个城市间的同步程度，图</w:t>
      </w:r>
    </w:p>
    <w:p>
      <w:pPr>
        <w:spacing w:before="1" w:line="217" w:lineRule="auto"/>
        <w:rPr>
          <w:rFonts w:ascii="SimSun" w:hAnsi="SimSun" w:eastAsia="SimSun" w:cs="SimSun"/>
          <w:sz w:val="19"/>
          <w:szCs w:val="19"/>
        </w:rPr>
      </w:pPr>
      <w:r>
        <w:rPr>
          <w:rFonts w:ascii="SimSun" w:hAnsi="SimSun" w:eastAsia="SimSun" w:cs="SimSun"/>
          <w:sz w:val="19"/>
          <w:szCs w:val="19"/>
          <w:spacing w:val="13"/>
        </w:rPr>
        <w:t>2-9展示了居民消费价格通胀的省际同步</w:t>
      </w:r>
      <w:r>
        <w:rPr>
          <w:rFonts w:ascii="SimSun" w:hAnsi="SimSun" w:eastAsia="SimSun" w:cs="SimSun"/>
          <w:sz w:val="19"/>
          <w:szCs w:val="19"/>
          <w:spacing w:val="12"/>
        </w:rPr>
        <w:t>程度。这两幅图显示，省际</w:t>
      </w:r>
    </w:p>
    <w:p>
      <w:pPr>
        <w:pStyle w:val="BodyText"/>
        <w:spacing w:line="276" w:lineRule="auto"/>
        <w:rPr/>
      </w:pPr>
      <w:r/>
    </w:p>
    <w:p>
      <w:pPr>
        <w:pStyle w:val="BodyText"/>
        <w:spacing w:line="277" w:lineRule="auto"/>
        <w:rPr/>
      </w:pPr>
      <w:r/>
    </w:p>
    <w:p>
      <w:pPr>
        <w:pStyle w:val="BodyText"/>
        <w:ind w:firstLine="119"/>
        <w:spacing w:before="1" w:line="4342" w:lineRule="exact"/>
        <w:rPr/>
      </w:pPr>
      <w:r>
        <w:rPr>
          <w:position w:val="-86"/>
        </w:rPr>
        <w:pict>
          <v:group id="_x0000_s20" style="mso-position-vertical-relative:line;mso-position-horizontal-relative:char;width:289.6pt;height:217.15pt;" filled="false" stroked="false" coordsize="5792,4342" coordorigin="0,0">
            <v:shape id="_x0000_s22" style="position:absolute;left:0;top:152;width:5390;height:4191;" filled="false" stroked="false" type="#_x0000_t75">
              <v:imagedata o:title="" r:id="rId101"/>
            </v:shape>
            <v:shape id="_x0000_s24" style="position:absolute;left:70;top:-20;width:5742;height:4187;"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4"/>
                        <w:szCs w:val="14"/>
                      </w:rPr>
                    </w:pPr>
                    <w:r>
                      <w:rPr>
                        <w:rFonts w:ascii="SimSun" w:hAnsi="SimSun" w:eastAsia="SimSun" w:cs="SimSun"/>
                        <w:sz w:val="14"/>
                        <w:szCs w:val="14"/>
                        <w:spacing w:val="-7"/>
                      </w:rPr>
                      <w:t>(%)</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right="20"/>
                      <w:spacing w:before="150" w:line="324" w:lineRule="exact"/>
                      <w:jc w:val="right"/>
                      <w:rPr>
                        <w:rFonts w:ascii="SimSun" w:hAnsi="SimSun" w:eastAsia="SimSun" w:cs="SimSun"/>
                        <w:sz w:val="19"/>
                        <w:szCs w:val="19"/>
                      </w:rPr>
                    </w:pPr>
                    <w:r>
                      <w:rPr>
                        <w:rFonts w:ascii="SimSun" w:hAnsi="SimSun" w:eastAsia="SimSun" w:cs="SimSun"/>
                        <w:sz w:val="46"/>
                        <w:szCs w:val="46"/>
                        <w:spacing w:val="9"/>
                        <w:position w:val="4"/>
                      </w:rPr>
                      <w:t>0</w:t>
                    </w:r>
                    <w:r>
                      <w:rPr>
                        <w:rFonts w:ascii="SimSun" w:hAnsi="SimSun" w:eastAsia="SimSun" w:cs="SimSun"/>
                        <w:sz w:val="46"/>
                        <w:szCs w:val="46"/>
                        <w:spacing w:val="11"/>
                        <w:position w:val="4"/>
                      </w:rPr>
                      <w:t xml:space="preserve">        </w:t>
                    </w:r>
                    <w:r>
                      <w:rPr>
                        <w:rFonts w:ascii="SimSun" w:hAnsi="SimSun" w:eastAsia="SimSun" w:cs="SimSun"/>
                        <w:sz w:val="46"/>
                        <w:szCs w:val="46"/>
                        <w:spacing w:val="9"/>
                        <w:position w:val="3"/>
                      </w:rPr>
                      <w:t>0</w:t>
                    </w:r>
                    <w:r>
                      <w:rPr>
                        <w:rFonts w:ascii="SimSun" w:hAnsi="SimSun" w:eastAsia="SimSun" w:cs="SimSun"/>
                        <w:sz w:val="46"/>
                        <w:szCs w:val="46"/>
                        <w:spacing w:val="-155"/>
                        <w:position w:val="3"/>
                      </w:rPr>
                      <w:t xml:space="preserve"> </w:t>
                    </w:r>
                    <w:r>
                      <w:ruby>
                        <w:rubyPr>
                          <w:rubyAlign w:val="left"/>
                          <w:hpsRaise w:val="8"/>
                          <w:hps w:val="33"/>
                          <w:hpsBaseText w:val="33"/>
                        </w:rubyPr>
                        <w:rt>
                          <w:r>
                            <w:rPr>
                              <w:rFonts w:ascii="SimSun" w:hAnsi="SimSun" w:eastAsia="SimSun" w:cs="SimSun"/>
                              <w:sz w:val="33"/>
                              <w:szCs w:val="33"/>
                              <w:spacing w:val="1"/>
                              <w:w w:val="175"/>
                              <w:position w:val="-2"/>
                            </w:rPr>
                            <w:t>o</w:t>
                          </w:r>
                        </w:rt>
                        <w:rubyBase>
                          <w:r>
                            <w:rPr>
                              <w:rFonts w:ascii="SimSun" w:hAnsi="SimSun" w:eastAsia="SimSun" w:cs="SimSun"/>
                              <w:sz w:val="33"/>
                              <w:szCs w:val="33"/>
                              <w:spacing w:val="1"/>
                              <w:w w:val="175"/>
                              <w:position w:val="-10"/>
                            </w:rPr>
                            <w:t>o</w:t>
                          </w:r>
                        </w:rubyBase>
                      </w:ruby>
                    </w:r>
                    <w:r>
                      <w:rPr>
                        <w:rFonts w:ascii="SimSun" w:hAnsi="SimSun" w:eastAsia="SimSun" w:cs="SimSun"/>
                        <w:sz w:val="46"/>
                        <w:szCs w:val="46"/>
                        <w:spacing w:val="-71"/>
                        <w:position w:val="-10"/>
                      </w:rPr>
                      <w:t xml:space="preserve"> </w:t>
                    </w:r>
                    <w:r>
                      <w:rPr>
                        <w:rFonts w:ascii="SimSun" w:hAnsi="SimSun" w:eastAsia="SimSun" w:cs="SimSun"/>
                        <w:sz w:val="33"/>
                        <w:szCs w:val="33"/>
                        <w:spacing w:val="9"/>
                        <w:position w:val="-2"/>
                      </w:rPr>
                      <w:t>00</w:t>
                    </w:r>
                    <w:r>
                      <w:rPr>
                        <w:rFonts w:ascii="SimSun" w:hAnsi="SimSun" w:eastAsia="SimSun" w:cs="SimSun"/>
                        <w:sz w:val="33"/>
                        <w:szCs w:val="33"/>
                        <w:spacing w:val="104"/>
                        <w:position w:val="-2"/>
                      </w:rPr>
                      <w:t xml:space="preserve"> </w:t>
                    </w:r>
                    <w:r>
                      <w:rPr>
                        <w:rFonts w:ascii="SimSun" w:hAnsi="SimSun" w:eastAsia="SimSun" w:cs="SimSun"/>
                        <w:sz w:val="19"/>
                        <w:szCs w:val="19"/>
                        <w:spacing w:val="9"/>
                        <w:position w:val="-4"/>
                      </w:rPr>
                      <w:t>(年1月)</w:t>
                    </w:r>
                  </w:p>
                </w:txbxContent>
              </v:textbox>
            </v:shape>
          </v:group>
        </w:pict>
      </w:r>
    </w:p>
    <w:p>
      <w:pPr>
        <w:pStyle w:val="BodyText"/>
        <w:spacing w:line="289" w:lineRule="auto"/>
        <w:rPr/>
      </w:pPr>
      <w:r/>
    </w:p>
    <w:p>
      <w:pPr>
        <w:ind w:left="232"/>
        <w:spacing w:before="62" w:line="221" w:lineRule="auto"/>
        <w:rPr>
          <w:rFonts w:ascii="SimHei" w:hAnsi="SimHei" w:eastAsia="SimHei" w:cs="SimHei"/>
          <w:sz w:val="19"/>
          <w:szCs w:val="19"/>
        </w:rPr>
      </w:pPr>
      <w:r>
        <w:rPr>
          <w:rFonts w:ascii="SimHei" w:hAnsi="SimHei" w:eastAsia="SimHei" w:cs="SimHei"/>
          <w:sz w:val="19"/>
          <w:szCs w:val="19"/>
          <w:b/>
          <w:bCs/>
        </w:rPr>
        <w:t>图2-8</w:t>
      </w:r>
      <w:r>
        <w:rPr>
          <w:rFonts w:ascii="SimHei" w:hAnsi="SimHei" w:eastAsia="SimHei" w:cs="SimHei"/>
          <w:sz w:val="19"/>
          <w:szCs w:val="19"/>
          <w:spacing w:val="91"/>
        </w:rPr>
        <w:t xml:space="preserve"> </w:t>
      </w:r>
      <w:r>
        <w:rPr>
          <w:rFonts w:ascii="SimHei" w:hAnsi="SimHei" w:eastAsia="SimHei" w:cs="SimHei"/>
          <w:sz w:val="19"/>
          <w:szCs w:val="19"/>
          <w:b/>
          <w:bCs/>
        </w:rPr>
        <w:t>商品零售价格通胀在36个城市间的标准差(三个月移动平均</w:t>
      </w:r>
    </w:p>
    <w:p>
      <w:pPr>
        <w:ind w:left="370"/>
        <w:spacing w:before="112" w:line="223" w:lineRule="auto"/>
        <w:rPr>
          <w:rFonts w:ascii="KaiTi" w:hAnsi="KaiTi" w:eastAsia="KaiTi" w:cs="KaiTi"/>
          <w:sz w:val="16"/>
          <w:szCs w:val="16"/>
        </w:rPr>
      </w:pPr>
      <w:r>
        <w:rPr>
          <w:rFonts w:ascii="KaiTi" w:hAnsi="KaiTi" w:eastAsia="KaiTi" w:cs="KaiTi"/>
          <w:sz w:val="16"/>
          <w:szCs w:val="16"/>
          <w:spacing w:val="-2"/>
        </w:rPr>
        <w:t>注：标准差越小说明价格变化越同步。</w:t>
      </w:r>
    </w:p>
    <w:p>
      <w:pPr>
        <w:ind w:left="370"/>
        <w:spacing w:before="121" w:line="219" w:lineRule="auto"/>
        <w:rPr>
          <w:rFonts w:ascii="SimSun" w:hAnsi="SimSun" w:eastAsia="SimSun" w:cs="SimSun"/>
          <w:sz w:val="16"/>
          <w:szCs w:val="16"/>
        </w:rPr>
      </w:pPr>
      <w:r>
        <w:rPr>
          <w:rFonts w:ascii="SimSun" w:hAnsi="SimSun" w:eastAsia="SimSun" w:cs="SimSun"/>
          <w:sz w:val="16"/>
          <w:szCs w:val="16"/>
          <w:spacing w:val="-8"/>
        </w:rPr>
        <w:t>数据来源： </w:t>
      </w:r>
      <w:r>
        <w:rPr>
          <w:rFonts w:ascii="Times New Roman" w:hAnsi="Times New Roman" w:eastAsia="Times New Roman" w:cs="Times New Roman"/>
          <w:sz w:val="16"/>
          <w:szCs w:val="16"/>
          <w:spacing w:val="-8"/>
        </w:rPr>
        <w:t>CEIC</w:t>
      </w:r>
      <w:r>
        <w:rPr>
          <w:rFonts w:ascii="Times New Roman" w:hAnsi="Times New Roman" w:eastAsia="Times New Roman" w:cs="Times New Roman"/>
          <w:sz w:val="16"/>
          <w:szCs w:val="16"/>
          <w:spacing w:val="31"/>
        </w:rPr>
        <w:t xml:space="preserve"> </w:t>
      </w:r>
      <w:r>
        <w:rPr>
          <w:rFonts w:ascii="SimSun" w:hAnsi="SimSun" w:eastAsia="SimSun" w:cs="SimSun"/>
          <w:sz w:val="16"/>
          <w:szCs w:val="16"/>
          <w:spacing w:val="-8"/>
        </w:rPr>
        <w:t>中国经济数据库。</w:t>
      </w:r>
    </w:p>
    <w:p>
      <w:pPr>
        <w:spacing w:line="219" w:lineRule="auto"/>
        <w:sectPr>
          <w:headerReference w:type="default" r:id="rId100"/>
          <w:pgSz w:w="7330" w:h="12480"/>
          <w:pgMar w:top="836" w:right="934" w:bottom="400" w:left="379" w:header="673" w:footer="0" w:gutter="0"/>
        </w:sectPr>
        <w:rPr>
          <w:rFonts w:ascii="SimSun" w:hAnsi="SimSun" w:eastAsia="SimSun" w:cs="SimSun"/>
          <w:sz w:val="16"/>
          <w:szCs w:val="16"/>
        </w:rPr>
      </w:pPr>
    </w:p>
    <w:p>
      <w:pPr>
        <w:spacing w:line="222" w:lineRule="auto"/>
        <w:rPr>
          <w:rFonts w:ascii="YouYuan" w:hAnsi="YouYuan" w:eastAsia="YouYuan" w:cs="YouYuan"/>
          <w:sz w:val="17"/>
          <w:szCs w:val="17"/>
        </w:rPr>
      </w:pPr>
      <w:r>
        <w:rPr>
          <w:rFonts w:ascii="SimSun" w:hAnsi="SimSun" w:eastAsia="SimSun" w:cs="SimSun"/>
          <w:sz w:val="12"/>
          <w:szCs w:val="12"/>
          <w:b/>
          <w:bCs/>
          <w:spacing w:val="-7"/>
          <w:position w:val="-4"/>
        </w:rPr>
        <w:t>070</w:t>
      </w:r>
      <w:r>
        <w:rPr>
          <w:rFonts w:ascii="SimSun" w:hAnsi="SimSun" w:eastAsia="SimSun" w:cs="SimSun"/>
          <w:sz w:val="12"/>
          <w:szCs w:val="12"/>
          <w:spacing w:val="-7"/>
          <w:position w:val="-4"/>
        </w:rPr>
        <w:t xml:space="preserve">                                </w:t>
      </w:r>
      <w:r>
        <w:rPr>
          <w:rFonts w:ascii="YouYuan" w:hAnsi="YouYuan" w:eastAsia="YouYuan" w:cs="YouYuan"/>
          <w:sz w:val="17"/>
          <w:szCs w:val="17"/>
          <w:spacing w:val="-7"/>
        </w:rPr>
        <w:t>平台</w:t>
      </w:r>
      <w:r>
        <w:rPr>
          <w:rFonts w:ascii="YouYuan" w:hAnsi="YouYuan" w:eastAsia="YouYuan" w:cs="YouYuan"/>
          <w:sz w:val="17"/>
          <w:szCs w:val="17"/>
          <w:spacing w:val="-8"/>
        </w:rPr>
        <w:t>经济——创新、治理与繁荣</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left="598"/>
        <w:spacing w:before="55" w:line="222" w:lineRule="auto"/>
        <w:rPr>
          <w:rFonts w:ascii="SimSun" w:hAnsi="SimSun" w:eastAsia="SimSun" w:cs="SimSun"/>
          <w:sz w:val="17"/>
          <w:szCs w:val="17"/>
        </w:rPr>
      </w:pPr>
      <w:r>
        <w:rPr>
          <w:rFonts w:ascii="SimSun" w:hAnsi="SimSun" w:eastAsia="SimSun" w:cs="SimSun"/>
          <w:sz w:val="17"/>
          <w:szCs w:val="17"/>
          <w:spacing w:val="-9"/>
        </w:rPr>
        <w:t>(%)</w:t>
      </w:r>
    </w:p>
    <w:p>
      <w:pPr>
        <w:ind w:firstLine="588"/>
        <w:spacing w:before="25" w:line="2910" w:lineRule="exact"/>
        <w:rPr/>
      </w:pPr>
      <w:r>
        <w:rPr>
          <w:position w:val="-58"/>
        </w:rPr>
        <w:drawing>
          <wp:inline distT="0" distB="0" distL="0" distR="0">
            <wp:extent cx="3117850" cy="1847825"/>
            <wp:effectExtent l="0" t="0" r="0" b="0"/>
            <wp:docPr id="94" name="IM 94"/>
            <wp:cNvGraphicFramePr/>
            <a:graphic>
              <a:graphicData uri="http://schemas.openxmlformats.org/drawingml/2006/picture">
                <pic:pic>
                  <pic:nvPicPr>
                    <pic:cNvPr id="94" name="IM 94"/>
                    <pic:cNvPicPr/>
                  </pic:nvPicPr>
                  <pic:blipFill>
                    <a:blip r:embed="rId102"/>
                    <a:stretch>
                      <a:fillRect/>
                    </a:stretch>
                  </pic:blipFill>
                  <pic:spPr>
                    <a:xfrm rot="0">
                      <a:off x="0" y="0"/>
                      <a:ext cx="3117850" cy="1847825"/>
                    </a:xfrm>
                    <a:prstGeom prst="rect">
                      <a:avLst/>
                    </a:prstGeom>
                  </pic:spPr>
                </pic:pic>
              </a:graphicData>
            </a:graphic>
          </wp:inline>
        </w:drawing>
      </w:r>
    </w:p>
    <w:p>
      <w:pPr>
        <w:spacing w:line="2910" w:lineRule="exact"/>
        <w:sectPr>
          <w:headerReference w:type="default" r:id="rId1"/>
          <w:pgSz w:w="7330" w:h="12480"/>
          <w:pgMar w:top="363" w:right="605" w:bottom="400" w:left="561" w:header="0" w:footer="0" w:gutter="0"/>
          <w:cols w:equalWidth="0" w:num="1">
            <w:col w:w="6164" w:space="0"/>
          </w:cols>
        </w:sectPr>
        <w:rPr/>
      </w:pPr>
    </w:p>
    <w:p>
      <w:pPr>
        <w:ind w:left="2678"/>
        <w:spacing w:before="57" w:line="246" w:lineRule="exact"/>
        <w:rPr>
          <w:rFonts w:ascii="Times New Roman" w:hAnsi="Times New Roman" w:eastAsia="Times New Roman" w:cs="Times New Roman"/>
          <w:sz w:val="36"/>
          <w:szCs w:val="36"/>
        </w:rPr>
      </w:pPr>
      <w:r>
        <w:rPr>
          <w:rFonts w:ascii="Times New Roman" w:hAnsi="Times New Roman" w:eastAsia="Times New Roman" w:cs="Times New Roman"/>
          <w:sz w:val="36"/>
          <w:szCs w:val="36"/>
          <w:position w:val="-1"/>
        </w:rPr>
        <w:t>s</w:t>
      </w:r>
    </w:p>
    <w:p>
      <w:pPr>
        <w:pStyle w:val="BodyText"/>
        <w:spacing w:line="246" w:lineRule="auto"/>
        <w:rPr/>
      </w:pPr>
      <w:r/>
    </w:p>
    <w:p>
      <w:pPr>
        <w:ind w:left="1358"/>
        <w:spacing w:before="55" w:line="184" w:lineRule="auto"/>
        <w:tabs>
          <w:tab w:val="left" w:pos="1838"/>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56"/>
        </w:rPr>
        <w:t xml:space="preserve"> </w:t>
      </w:r>
      <w:r>
        <w:rPr>
          <w:rFonts w:ascii="SimSun" w:hAnsi="SimSun" w:eastAsia="SimSun" w:cs="SimSun"/>
          <w:sz w:val="17"/>
          <w:szCs w:val="17"/>
          <w:spacing w:val="-9"/>
        </w:rPr>
        <w:t>消费品价格</w:t>
      </w:r>
    </w:p>
    <w:p>
      <w:pPr>
        <w:pStyle w:val="BodyText"/>
        <w:spacing w:line="14" w:lineRule="auto"/>
        <w:rPr>
          <w:sz w:val="2"/>
        </w:rPr>
      </w:pPr>
      <w:r>
        <w:rPr>
          <w:sz w:val="2"/>
          <w:szCs w:val="2"/>
        </w:rPr>
        <w:br w:type="column"/>
      </w:r>
    </w:p>
    <w:p>
      <w:pPr>
        <w:ind w:left="1389"/>
        <w:spacing w:before="119" w:line="183" w:lineRule="auto"/>
        <w:rPr>
          <w:rFonts w:ascii="SimSun" w:hAnsi="SimSun" w:eastAsia="SimSun" w:cs="SimSun"/>
          <w:sz w:val="17"/>
          <w:szCs w:val="17"/>
        </w:rPr>
      </w:pPr>
      <w:r>
        <w:rPr>
          <w:rFonts w:ascii="SimSun" w:hAnsi="SimSun" w:eastAsia="SimSun" w:cs="SimSun"/>
          <w:sz w:val="17"/>
          <w:szCs w:val="17"/>
        </w:rPr>
        <w:t>9</w:t>
      </w:r>
    </w:p>
    <w:p>
      <w:pPr>
        <w:pStyle w:val="BodyText"/>
        <w:spacing w:line="249" w:lineRule="auto"/>
        <w:rPr/>
      </w:pPr>
      <w:r/>
    </w:p>
    <w:p>
      <w:pPr>
        <w:spacing w:before="56" w:line="195" w:lineRule="auto"/>
        <w:tabs>
          <w:tab w:val="left" w:pos="509"/>
        </w:tabs>
        <w:rPr>
          <w:rFonts w:ascii="SimSun" w:hAnsi="SimSun" w:eastAsia="SimSun" w:cs="SimSun"/>
          <w:sz w:val="17"/>
          <w:szCs w:val="17"/>
        </w:rPr>
      </w:pPr>
      <w:r>
        <w:rPr>
          <w:rFonts w:ascii="SimSun" w:hAnsi="SimSun" w:eastAsia="SimSun" w:cs="SimSun"/>
          <w:sz w:val="17"/>
          <w:szCs w:val="17"/>
          <w:strike/>
        </w:rPr>
        <w:tab/>
      </w:r>
      <w:r>
        <w:rPr>
          <w:rFonts w:ascii="SimSun" w:hAnsi="SimSun" w:eastAsia="SimSun" w:cs="SimSun"/>
          <w:sz w:val="17"/>
          <w:szCs w:val="17"/>
          <w:spacing w:val="58"/>
        </w:rPr>
        <w:t xml:space="preserve"> </w:t>
      </w:r>
      <w:r>
        <w:rPr>
          <w:rFonts w:ascii="SimSun" w:hAnsi="SimSun" w:eastAsia="SimSun" w:cs="SimSun"/>
          <w:sz w:val="17"/>
          <w:szCs w:val="17"/>
          <w:spacing w:val="-6"/>
        </w:rPr>
        <w:t>投资品价格</w:t>
      </w:r>
    </w:p>
    <w:p>
      <w:pPr>
        <w:pStyle w:val="BodyText"/>
        <w:spacing w:line="14" w:lineRule="auto"/>
        <w:rPr>
          <w:sz w:val="2"/>
        </w:rPr>
      </w:pPr>
      <w:r>
        <w:rPr>
          <w:sz w:val="2"/>
          <w:szCs w:val="2"/>
        </w:rPr>
        <w:br w:type="column"/>
      </w:r>
    </w:p>
    <w:p>
      <w:pPr>
        <w:spacing w:before="34" w:line="224" w:lineRule="auto"/>
        <w:rPr>
          <w:rFonts w:ascii="YouYuan" w:hAnsi="YouYuan" w:eastAsia="YouYuan" w:cs="YouYuan"/>
          <w:sz w:val="17"/>
          <w:szCs w:val="17"/>
        </w:rPr>
      </w:pPr>
      <w:r>
        <w:rPr>
          <w:rFonts w:ascii="YouYuan" w:hAnsi="YouYuan" w:eastAsia="YouYuan" w:cs="YouYuan"/>
          <w:sz w:val="17"/>
          <w:szCs w:val="17"/>
          <w:spacing w:val="12"/>
        </w:rPr>
        <w:t>(年)</w:t>
      </w:r>
    </w:p>
    <w:p>
      <w:pPr>
        <w:spacing w:line="224" w:lineRule="auto"/>
        <w:sectPr>
          <w:type w:val="continuous"/>
          <w:pgSz w:w="7330" w:h="12480"/>
          <w:pgMar w:top="363" w:right="605" w:bottom="400" w:left="561" w:header="0" w:footer="0" w:gutter="0"/>
          <w:cols w:equalWidth="0" w:num="3">
            <w:col w:w="3279" w:space="100"/>
            <w:col w:w="1910" w:space="100"/>
            <w:col w:w="776" w:space="0"/>
          </w:cols>
        </w:sectPr>
        <w:rPr>
          <w:rFonts w:ascii="YouYuan" w:hAnsi="YouYuan" w:eastAsia="YouYuan" w:cs="YouYuan"/>
          <w:sz w:val="17"/>
          <w:szCs w:val="17"/>
        </w:rPr>
      </w:pPr>
    </w:p>
    <w:p>
      <w:pPr>
        <w:ind w:left="1030"/>
        <w:spacing w:before="288" w:line="218" w:lineRule="auto"/>
        <w:rPr>
          <w:rFonts w:ascii="SimSun" w:hAnsi="SimSun" w:eastAsia="SimSun" w:cs="SimSun"/>
          <w:sz w:val="17"/>
          <w:szCs w:val="17"/>
        </w:rPr>
      </w:pPr>
      <w:r>
        <w:rPr>
          <w:rFonts w:ascii="SimSun" w:hAnsi="SimSun" w:eastAsia="SimSun" w:cs="SimSun"/>
          <w:sz w:val="17"/>
          <w:szCs w:val="17"/>
          <w:b/>
          <w:bCs/>
          <w:spacing w:val="4"/>
        </w:rPr>
        <w:t>图</w:t>
      </w:r>
      <w:r>
        <w:rPr>
          <w:rFonts w:ascii="SimSun" w:hAnsi="SimSun" w:eastAsia="SimSun" w:cs="SimSun"/>
          <w:sz w:val="17"/>
          <w:szCs w:val="17"/>
          <w:spacing w:val="-30"/>
        </w:rPr>
        <w:t xml:space="preserve"> </w:t>
      </w:r>
      <w:r>
        <w:rPr>
          <w:rFonts w:ascii="SimSun" w:hAnsi="SimSun" w:eastAsia="SimSun" w:cs="SimSun"/>
          <w:sz w:val="17"/>
          <w:szCs w:val="17"/>
          <w:b/>
          <w:bCs/>
          <w:spacing w:val="4"/>
        </w:rPr>
        <w:t>2</w:t>
      </w:r>
      <w:r>
        <w:rPr>
          <w:rFonts w:ascii="SimSun" w:hAnsi="SimSun" w:eastAsia="SimSun" w:cs="SimSun"/>
          <w:sz w:val="17"/>
          <w:szCs w:val="17"/>
          <w:spacing w:val="-39"/>
        </w:rPr>
        <w:t xml:space="preserve"> </w:t>
      </w:r>
      <w:r>
        <w:rPr>
          <w:rFonts w:ascii="SimSun" w:hAnsi="SimSun" w:eastAsia="SimSun" w:cs="SimSun"/>
          <w:sz w:val="17"/>
          <w:szCs w:val="17"/>
          <w:b/>
          <w:bCs/>
          <w:spacing w:val="4"/>
        </w:rPr>
        <w:t>-</w:t>
      </w:r>
      <w:r>
        <w:rPr>
          <w:rFonts w:ascii="SimSun" w:hAnsi="SimSun" w:eastAsia="SimSun" w:cs="SimSun"/>
          <w:sz w:val="17"/>
          <w:szCs w:val="17"/>
          <w:spacing w:val="-36"/>
        </w:rPr>
        <w:t xml:space="preserve"> </w:t>
      </w:r>
      <w:r>
        <w:rPr>
          <w:rFonts w:ascii="SimSun" w:hAnsi="SimSun" w:eastAsia="SimSun" w:cs="SimSun"/>
          <w:sz w:val="17"/>
          <w:szCs w:val="17"/>
          <w:b/>
          <w:bCs/>
          <w:spacing w:val="4"/>
        </w:rPr>
        <w:t>9</w:t>
      </w:r>
      <w:r>
        <w:rPr>
          <w:rFonts w:ascii="SimSun" w:hAnsi="SimSun" w:eastAsia="SimSun" w:cs="SimSun"/>
          <w:sz w:val="17"/>
          <w:szCs w:val="17"/>
          <w:spacing w:val="2"/>
        </w:rPr>
        <w:t xml:space="preserve">  </w:t>
      </w:r>
      <w:r>
        <w:rPr>
          <w:rFonts w:ascii="SimSun" w:hAnsi="SimSun" w:eastAsia="SimSun" w:cs="SimSun"/>
          <w:sz w:val="17"/>
          <w:szCs w:val="17"/>
          <w:b/>
          <w:bCs/>
          <w:spacing w:val="4"/>
        </w:rPr>
        <w:t>消费品价格和投资品价格通胀的省际标准差</w:t>
      </w:r>
    </w:p>
    <w:p>
      <w:pPr>
        <w:ind w:left="438"/>
        <w:spacing w:before="199" w:line="223" w:lineRule="auto"/>
        <w:rPr>
          <w:rFonts w:ascii="KaiTi" w:hAnsi="KaiTi" w:eastAsia="KaiTi" w:cs="KaiTi"/>
          <w:sz w:val="17"/>
          <w:szCs w:val="17"/>
        </w:rPr>
      </w:pPr>
      <w:r>
        <w:rPr>
          <w:rFonts w:ascii="KaiTi" w:hAnsi="KaiTi" w:eastAsia="KaiTi" w:cs="KaiTi"/>
          <w:sz w:val="17"/>
          <w:szCs w:val="17"/>
          <w:spacing w:val="-10"/>
        </w:rPr>
        <w:t>注：标准差越小说明价格变化越同步。</w:t>
      </w:r>
    </w:p>
    <w:p>
      <w:pPr>
        <w:ind w:left="418"/>
        <w:spacing w:before="32" w:line="221" w:lineRule="auto"/>
        <w:rPr>
          <w:rFonts w:ascii="KaiTi" w:hAnsi="KaiTi" w:eastAsia="KaiTi" w:cs="KaiTi"/>
          <w:sz w:val="17"/>
          <w:szCs w:val="17"/>
        </w:rPr>
      </w:pPr>
      <w:r>
        <w:rPr>
          <w:rFonts w:ascii="KaiTi" w:hAnsi="KaiTi" w:eastAsia="KaiTi" w:cs="KaiTi"/>
          <w:sz w:val="17"/>
          <w:szCs w:val="17"/>
          <w:spacing w:val="-13"/>
        </w:rPr>
        <w:t>数据来源：</w:t>
      </w:r>
      <w:r>
        <w:rPr>
          <w:rFonts w:ascii="KaiTi" w:hAnsi="KaiTi" w:eastAsia="KaiTi" w:cs="KaiTi"/>
          <w:sz w:val="17"/>
          <w:szCs w:val="17"/>
          <w:spacing w:val="-34"/>
        </w:rPr>
        <w:t xml:space="preserve"> </w:t>
      </w:r>
      <w:r>
        <w:rPr>
          <w:rFonts w:ascii="Times New Roman" w:hAnsi="Times New Roman" w:eastAsia="Times New Roman" w:cs="Times New Roman"/>
          <w:sz w:val="17"/>
          <w:szCs w:val="17"/>
          <w:spacing w:val="-13"/>
        </w:rPr>
        <w:t>CEIC</w:t>
      </w:r>
      <w:r>
        <w:rPr>
          <w:rFonts w:ascii="Times New Roman" w:hAnsi="Times New Roman" w:eastAsia="Times New Roman" w:cs="Times New Roman"/>
          <w:sz w:val="17"/>
          <w:szCs w:val="17"/>
          <w:spacing w:val="17"/>
        </w:rPr>
        <w:t xml:space="preserve"> </w:t>
      </w:r>
      <w:r>
        <w:rPr>
          <w:rFonts w:ascii="KaiTi" w:hAnsi="KaiTi" w:eastAsia="KaiTi" w:cs="KaiTi"/>
          <w:sz w:val="17"/>
          <w:szCs w:val="17"/>
          <w:spacing w:val="-13"/>
        </w:rPr>
        <w:t>中国经济数据库。</w:t>
      </w:r>
    </w:p>
    <w:p>
      <w:pPr>
        <w:pStyle w:val="BodyText"/>
        <w:spacing w:line="317" w:lineRule="auto"/>
        <w:rPr/>
      </w:pPr>
      <w:r/>
    </w:p>
    <w:p>
      <w:pPr>
        <w:pStyle w:val="BodyText"/>
        <w:spacing w:line="317" w:lineRule="auto"/>
        <w:rPr/>
      </w:pPr>
      <w:r/>
    </w:p>
    <w:p>
      <w:pPr>
        <w:ind w:left="88"/>
        <w:spacing w:before="69" w:line="316" w:lineRule="auto"/>
        <w:jc w:val="both"/>
        <w:rPr>
          <w:rFonts w:ascii="SimSun" w:hAnsi="SimSun" w:eastAsia="SimSun" w:cs="SimSun"/>
          <w:sz w:val="21"/>
          <w:szCs w:val="21"/>
        </w:rPr>
      </w:pPr>
      <w:r>
        <w:rPr>
          <w:rFonts w:ascii="SimSun" w:hAnsi="SimSun" w:eastAsia="SimSun" w:cs="SimSun"/>
          <w:sz w:val="21"/>
          <w:szCs w:val="21"/>
          <w:spacing w:val="-8"/>
        </w:rPr>
        <w:t>居民消费价格和城际商品零售价格的趋同调整有两次比较大的变化：</w:t>
      </w:r>
      <w:r>
        <w:rPr>
          <w:rFonts w:ascii="SimSun" w:hAnsi="SimSun" w:eastAsia="SimSun" w:cs="SimSun"/>
          <w:sz w:val="21"/>
          <w:szCs w:val="21"/>
          <w:spacing w:val="13"/>
        </w:rPr>
        <w:t xml:space="preserve"> </w:t>
      </w:r>
      <w:r>
        <w:rPr>
          <w:rFonts w:ascii="SimSun" w:hAnsi="SimSun" w:eastAsia="SimSun" w:cs="SimSun"/>
          <w:sz w:val="21"/>
          <w:szCs w:val="21"/>
          <w:spacing w:val="-4"/>
        </w:rPr>
        <w:t>第一次是2001年中国加入世界贸易组织后，国内经济体制改革促进</w:t>
      </w:r>
      <w:r>
        <w:rPr>
          <w:rFonts w:ascii="SimSun" w:hAnsi="SimSun" w:eastAsia="SimSun" w:cs="SimSun"/>
          <w:sz w:val="21"/>
          <w:szCs w:val="21"/>
          <w:spacing w:val="5"/>
        </w:rPr>
        <w:t xml:space="preserve">  </w:t>
      </w:r>
      <w:r>
        <w:rPr>
          <w:rFonts w:ascii="SimSun" w:hAnsi="SimSun" w:eastAsia="SimSun" w:cs="SimSun"/>
          <w:sz w:val="21"/>
          <w:szCs w:val="21"/>
          <w:spacing w:val="-11"/>
        </w:rPr>
        <w:t>了国内要素市场与产品市场的统一，进而推动了区域间价格变化</w:t>
      </w:r>
      <w:r>
        <w:rPr>
          <w:rFonts w:ascii="SimSun" w:hAnsi="SimSun" w:eastAsia="SimSun" w:cs="SimSun"/>
          <w:sz w:val="21"/>
          <w:szCs w:val="21"/>
          <w:spacing w:val="-12"/>
        </w:rPr>
        <w:t>的趋</w:t>
      </w:r>
      <w:r>
        <w:rPr>
          <w:rFonts w:ascii="SimSun" w:hAnsi="SimSun" w:eastAsia="SimSun" w:cs="SimSun"/>
          <w:sz w:val="21"/>
          <w:szCs w:val="21"/>
        </w:rPr>
        <w:t xml:space="preserve">  </w:t>
      </w:r>
      <w:r>
        <w:rPr>
          <w:rFonts w:ascii="SimSun" w:hAnsi="SimSun" w:eastAsia="SimSun" w:cs="SimSun"/>
          <w:sz w:val="21"/>
          <w:szCs w:val="21"/>
          <w:spacing w:val="-3"/>
        </w:rPr>
        <w:t>同；第二次变化则是在2011年之后，中国电子商务和快</w:t>
      </w:r>
      <w:r>
        <w:rPr>
          <w:rFonts w:ascii="SimSun" w:hAnsi="SimSun" w:eastAsia="SimSun" w:cs="SimSun"/>
          <w:sz w:val="21"/>
          <w:szCs w:val="21"/>
          <w:spacing w:val="-4"/>
        </w:rPr>
        <w:t>递行业的蓬 </w:t>
      </w:r>
      <w:r>
        <w:rPr>
          <w:rFonts w:ascii="SimSun" w:hAnsi="SimSun" w:eastAsia="SimSun" w:cs="SimSun"/>
          <w:sz w:val="21"/>
          <w:szCs w:val="21"/>
          <w:spacing w:val="-10"/>
        </w:rPr>
        <w:t>勃发展进一步推动了区域间要素市场与产品市场的统一，促进了物</w:t>
      </w:r>
      <w:r>
        <w:rPr>
          <w:rFonts w:ascii="SimSun" w:hAnsi="SimSun" w:eastAsia="SimSun" w:cs="SimSun"/>
          <w:sz w:val="21"/>
          <w:szCs w:val="21"/>
          <w:spacing w:val="-11"/>
        </w:rPr>
        <w:t>价 </w:t>
      </w:r>
      <w:r>
        <w:rPr>
          <w:rFonts w:ascii="SimSun" w:hAnsi="SimSun" w:eastAsia="SimSun" w:cs="SimSun"/>
          <w:sz w:val="21"/>
          <w:szCs w:val="21"/>
          <w:spacing w:val="-11"/>
        </w:rPr>
        <w:t>水平在区域间进一步趋同。除了居民消费价格，数字经济的发展也推</w:t>
      </w:r>
      <w:r>
        <w:rPr>
          <w:rFonts w:ascii="SimSun" w:hAnsi="SimSun" w:eastAsia="SimSun" w:cs="SimSun"/>
          <w:sz w:val="21"/>
          <w:szCs w:val="21"/>
          <w:spacing w:val="3"/>
        </w:rPr>
        <w:t xml:space="preserve">  </w:t>
      </w:r>
      <w:r>
        <w:rPr>
          <w:rFonts w:ascii="SimSun" w:hAnsi="SimSun" w:eastAsia="SimSun" w:cs="SimSun"/>
          <w:sz w:val="21"/>
          <w:szCs w:val="21"/>
          <w:spacing w:val="-7"/>
        </w:rPr>
        <w:t>动了投资品价格的区域间趋同。图2-9显示，固定资产投资价格通胀</w:t>
      </w:r>
      <w:r>
        <w:rPr>
          <w:rFonts w:ascii="SimSun" w:hAnsi="SimSun" w:eastAsia="SimSun" w:cs="SimSun"/>
          <w:sz w:val="21"/>
          <w:szCs w:val="21"/>
          <w:spacing w:val="1"/>
        </w:rPr>
        <w:t xml:space="preserve">  </w:t>
      </w:r>
      <w:r>
        <w:rPr>
          <w:rFonts w:ascii="SimSun" w:hAnsi="SimSun" w:eastAsia="SimSun" w:cs="SimSun"/>
          <w:sz w:val="21"/>
          <w:szCs w:val="21"/>
          <w:spacing w:val="-9"/>
        </w:rPr>
        <w:t>的省际标准差也在不断缩小。需要注意的是，与消费品不同，投资品</w:t>
      </w:r>
      <w:r>
        <w:rPr>
          <w:rFonts w:ascii="SimSun" w:hAnsi="SimSun" w:eastAsia="SimSun" w:cs="SimSun"/>
          <w:sz w:val="21"/>
          <w:szCs w:val="21"/>
        </w:rPr>
        <w:t xml:space="preserve"> </w:t>
      </w:r>
      <w:r>
        <w:rPr>
          <w:rFonts w:ascii="SimSun" w:hAnsi="SimSun" w:eastAsia="SimSun" w:cs="SimSun"/>
          <w:sz w:val="21"/>
          <w:szCs w:val="21"/>
          <w:spacing w:val="-9"/>
        </w:rPr>
        <w:t>价格变化受到区域产业结构的影响，由于不同区域的产业</w:t>
      </w:r>
      <w:r>
        <w:rPr>
          <w:rFonts w:ascii="SimSun" w:hAnsi="SimSun" w:eastAsia="SimSun" w:cs="SimSun"/>
          <w:sz w:val="21"/>
          <w:szCs w:val="21"/>
          <w:spacing w:val="-10"/>
        </w:rPr>
        <w:t>结构不尽相</w:t>
      </w:r>
      <w:r>
        <w:rPr>
          <w:rFonts w:ascii="SimSun" w:hAnsi="SimSun" w:eastAsia="SimSun" w:cs="SimSun"/>
          <w:sz w:val="21"/>
          <w:szCs w:val="21"/>
        </w:rPr>
        <w:t xml:space="preserve"> </w:t>
      </w:r>
      <w:r>
        <w:rPr>
          <w:rFonts w:ascii="SimSun" w:hAnsi="SimSun" w:eastAsia="SimSun" w:cs="SimSun"/>
          <w:sz w:val="21"/>
          <w:szCs w:val="21"/>
          <w:spacing w:val="-10"/>
        </w:rPr>
        <w:t>同，投资品价格变化在不同区域存在一些差异，但是总体而言，2011</w:t>
      </w:r>
    </w:p>
    <w:p>
      <w:pPr>
        <w:ind w:left="88"/>
        <w:spacing w:before="1" w:line="184" w:lineRule="auto"/>
        <w:rPr>
          <w:rFonts w:ascii="SimSun" w:hAnsi="SimSun" w:eastAsia="SimSun" w:cs="SimSun"/>
          <w:sz w:val="17"/>
          <w:szCs w:val="17"/>
        </w:rPr>
      </w:pPr>
      <w:r>
        <w:rPr>
          <w:rFonts w:ascii="SimSun" w:hAnsi="SimSun" w:eastAsia="SimSun" w:cs="SimSun"/>
          <w:sz w:val="17"/>
          <w:szCs w:val="17"/>
          <w:spacing w:val="22"/>
        </w:rPr>
        <w:t>年后省际投资品价格调整更趋</w:t>
      </w:r>
      <w:r>
        <w:rPr>
          <w:rFonts w:ascii="SimSun" w:hAnsi="SimSun" w:eastAsia="SimSun" w:cs="SimSun"/>
          <w:sz w:val="17"/>
          <w:szCs w:val="17"/>
          <w:spacing w:val="-41"/>
        </w:rPr>
        <w:t xml:space="preserve"> </w:t>
      </w:r>
      <w:r>
        <w:rPr>
          <w:rFonts w:ascii="SimSun" w:hAnsi="SimSun" w:eastAsia="SimSun" w:cs="SimSun"/>
          <w:sz w:val="17"/>
          <w:szCs w:val="17"/>
          <w:spacing w:val="22"/>
        </w:rPr>
        <w:t>一</w:t>
      </w:r>
      <w:r>
        <w:rPr>
          <w:rFonts w:ascii="SimSun" w:hAnsi="SimSun" w:eastAsia="SimSun" w:cs="SimSun"/>
          <w:sz w:val="17"/>
          <w:szCs w:val="17"/>
          <w:spacing w:val="-48"/>
        </w:rPr>
        <w:t xml:space="preserve"> </w:t>
      </w:r>
      <w:r>
        <w:rPr>
          <w:rFonts w:ascii="SimSun" w:hAnsi="SimSun" w:eastAsia="SimSun" w:cs="SimSun"/>
          <w:sz w:val="17"/>
          <w:szCs w:val="17"/>
          <w:spacing w:val="22"/>
        </w:rPr>
        <w:t>致。</w:t>
      </w:r>
    </w:p>
    <w:p>
      <w:pPr>
        <w:spacing w:line="184" w:lineRule="auto"/>
        <w:sectPr>
          <w:type w:val="continuous"/>
          <w:pgSz w:w="7330" w:h="12480"/>
          <w:pgMar w:top="363" w:right="605" w:bottom="400" w:left="561" w:header="0" w:footer="0" w:gutter="0"/>
          <w:cols w:equalWidth="0" w:num="1">
            <w:col w:w="6164" w:space="0"/>
          </w:cols>
        </w:sectPr>
        <w:rPr>
          <w:rFonts w:ascii="SimSun" w:hAnsi="SimSun" w:eastAsia="SimSun" w:cs="SimSun"/>
          <w:sz w:val="17"/>
          <w:szCs w:val="17"/>
        </w:rPr>
      </w:pPr>
    </w:p>
    <w:p>
      <w:pPr>
        <w:pStyle w:val="BodyText"/>
        <w:spacing w:line="316" w:lineRule="auto"/>
        <w:rPr/>
      </w:pPr>
      <w:r/>
    </w:p>
    <w:p>
      <w:pPr>
        <w:pStyle w:val="BodyText"/>
        <w:spacing w:line="316" w:lineRule="auto"/>
        <w:rPr/>
      </w:pPr>
      <w:r/>
    </w:p>
    <w:p>
      <w:pPr>
        <w:pStyle w:val="BodyText"/>
        <w:spacing w:line="317" w:lineRule="auto"/>
        <w:rPr/>
      </w:pPr>
      <w:r/>
    </w:p>
    <w:p>
      <w:pPr>
        <w:ind w:left="1573" w:right="563" w:hanging="1099"/>
        <w:spacing w:before="107" w:line="214" w:lineRule="auto"/>
        <w:rPr>
          <w:rFonts w:ascii="SimSun" w:hAnsi="SimSun" w:eastAsia="SimSun" w:cs="SimSun"/>
          <w:sz w:val="33"/>
          <w:szCs w:val="33"/>
        </w:rPr>
      </w:pPr>
      <w:r>
        <w:rPr>
          <w:rFonts w:ascii="SimSun" w:hAnsi="SimSun" w:eastAsia="SimSun" w:cs="SimSun"/>
          <w:sz w:val="33"/>
          <w:szCs w:val="33"/>
          <w:b/>
          <w:bCs/>
          <w:spacing w:val="-12"/>
        </w:rPr>
        <w:t>用于增长分析的基础数据、</w:t>
      </w:r>
      <w:r>
        <w:rPr>
          <w:rFonts w:ascii="Times New Roman" w:hAnsi="Times New Roman" w:eastAsia="Times New Roman" w:cs="Times New Roman"/>
          <w:sz w:val="33"/>
          <w:szCs w:val="33"/>
          <w:b/>
          <w:bCs/>
          <w:spacing w:val="-12"/>
        </w:rPr>
        <w:t>ICT</w:t>
      </w:r>
      <w:r>
        <w:rPr>
          <w:rFonts w:ascii="SimSun" w:hAnsi="SimSun" w:eastAsia="SimSun" w:cs="SimSun"/>
          <w:sz w:val="33"/>
          <w:szCs w:val="33"/>
          <w:b/>
          <w:bCs/>
          <w:spacing w:val="-12"/>
        </w:rPr>
        <w:t>特征</w:t>
      </w:r>
      <w:r>
        <w:rPr>
          <w:rFonts w:ascii="SimSun" w:hAnsi="SimSun" w:eastAsia="SimSun" w:cs="SimSun"/>
          <w:sz w:val="33"/>
          <w:szCs w:val="33"/>
          <w:spacing w:val="4"/>
        </w:rPr>
        <w:t xml:space="preserve"> </w:t>
      </w:r>
      <w:r>
        <w:rPr>
          <w:rFonts w:ascii="SimSun" w:hAnsi="SimSun" w:eastAsia="SimSun" w:cs="SimSun"/>
          <w:sz w:val="33"/>
          <w:szCs w:val="33"/>
          <w:b/>
          <w:bCs/>
          <w:spacing w:val="-15"/>
        </w:rPr>
        <w:t>行业分组、时间分期</w:t>
      </w:r>
    </w:p>
    <w:p>
      <w:pPr>
        <w:pStyle w:val="BodyText"/>
        <w:spacing w:line="262" w:lineRule="auto"/>
        <w:rPr/>
      </w:pPr>
      <w:r/>
    </w:p>
    <w:p>
      <w:pPr>
        <w:ind w:firstLine="410"/>
        <w:spacing w:before="68" w:line="307" w:lineRule="auto"/>
        <w:jc w:val="both"/>
        <w:rPr>
          <w:rFonts w:ascii="SimSun" w:hAnsi="SimSun" w:eastAsia="SimSun" w:cs="SimSun"/>
          <w:sz w:val="21"/>
          <w:szCs w:val="21"/>
        </w:rPr>
      </w:pPr>
      <w:r>
        <w:rPr>
          <w:rFonts w:ascii="SimSun" w:hAnsi="SimSun" w:eastAsia="SimSun" w:cs="SimSun"/>
          <w:sz w:val="21"/>
          <w:szCs w:val="21"/>
          <w:spacing w:val="-11"/>
        </w:rPr>
        <w:t>我们非系统性地观察了中国数字经济发展的一些表现。 一方面，</w:t>
      </w:r>
      <w:r>
        <w:rPr>
          <w:rFonts w:ascii="SimSun" w:hAnsi="SimSun" w:eastAsia="SimSun" w:cs="SimSun"/>
          <w:sz w:val="21"/>
          <w:szCs w:val="21"/>
          <w:spacing w:val="17"/>
        </w:rPr>
        <w:t xml:space="preserve"> </w:t>
      </w:r>
      <w:r>
        <w:rPr>
          <w:rFonts w:ascii="SimSun" w:hAnsi="SimSun" w:eastAsia="SimSun" w:cs="SimSun"/>
          <w:sz w:val="21"/>
          <w:szCs w:val="21"/>
          <w:spacing w:val="-3"/>
        </w:rPr>
        <w:t>我们看到在过去10年左右的时间里，数字科技在企业的生产和</w:t>
      </w:r>
      <w:r>
        <w:rPr>
          <w:rFonts w:ascii="SimSun" w:hAnsi="SimSun" w:eastAsia="SimSun" w:cs="SimSun"/>
          <w:sz w:val="21"/>
          <w:szCs w:val="21"/>
          <w:spacing w:val="-4"/>
        </w:rPr>
        <w:t>商务</w:t>
      </w:r>
      <w:r>
        <w:rPr>
          <w:rFonts w:ascii="SimSun" w:hAnsi="SimSun" w:eastAsia="SimSun" w:cs="SimSun"/>
          <w:sz w:val="21"/>
          <w:szCs w:val="21"/>
        </w:rPr>
        <w:t xml:space="preserve">  </w:t>
      </w:r>
      <w:r>
        <w:rPr>
          <w:rFonts w:ascii="SimSun" w:hAnsi="SimSun" w:eastAsia="SimSun" w:cs="SimSun"/>
          <w:sz w:val="21"/>
          <w:szCs w:val="21"/>
          <w:spacing w:val="-9"/>
        </w:rPr>
        <w:t>活动以及居民生活中的应用越来越广泛；另一方面，通过一些价格指</w:t>
      </w:r>
      <w:r>
        <w:rPr>
          <w:rFonts w:ascii="SimSun" w:hAnsi="SimSun" w:eastAsia="SimSun" w:cs="SimSun"/>
          <w:sz w:val="21"/>
          <w:szCs w:val="21"/>
          <w:spacing w:val="2"/>
        </w:rPr>
        <w:t xml:space="preserve"> </w:t>
      </w:r>
      <w:r>
        <w:rPr>
          <w:rFonts w:ascii="SimSun" w:hAnsi="SimSun" w:eastAsia="SimSun" w:cs="SimSun"/>
          <w:sz w:val="21"/>
          <w:szCs w:val="21"/>
          <w:spacing w:val="-10"/>
        </w:rPr>
        <w:t>标，我们也看到城市间和区域间的商品市场出现了越来越明显的同步</w:t>
      </w:r>
      <w:r>
        <w:rPr>
          <w:rFonts w:ascii="SimSun" w:hAnsi="SimSun" w:eastAsia="SimSun" w:cs="SimSun"/>
          <w:sz w:val="21"/>
          <w:szCs w:val="21"/>
        </w:rPr>
        <w:t xml:space="preserve">  </w:t>
      </w:r>
      <w:r>
        <w:rPr>
          <w:rFonts w:ascii="SimSun" w:hAnsi="SimSun" w:eastAsia="SimSun" w:cs="SimSun"/>
          <w:sz w:val="21"/>
          <w:szCs w:val="21"/>
          <w:spacing w:val="-10"/>
        </w:rPr>
        <w:t>化。但是，我们并不清楚反映数字经济发展的这些现象对中国经济增</w:t>
      </w:r>
      <w:r>
        <w:rPr>
          <w:rFonts w:ascii="SimSun" w:hAnsi="SimSun" w:eastAsia="SimSun" w:cs="SimSun"/>
          <w:sz w:val="21"/>
          <w:szCs w:val="21"/>
          <w:spacing w:val="2"/>
        </w:rPr>
        <w:t xml:space="preserve">  </w:t>
      </w:r>
      <w:r>
        <w:rPr>
          <w:rFonts w:ascii="SimSun" w:hAnsi="SimSun" w:eastAsia="SimSun" w:cs="SimSun"/>
          <w:sz w:val="21"/>
          <w:szCs w:val="21"/>
          <w:spacing w:val="-10"/>
        </w:rPr>
        <w:t>长，特别是其效率表现，是否已经产生了明显的影响。为了回</w:t>
      </w:r>
      <w:r>
        <w:rPr>
          <w:rFonts w:ascii="SimSun" w:hAnsi="SimSun" w:eastAsia="SimSun" w:cs="SimSun"/>
          <w:sz w:val="21"/>
          <w:szCs w:val="21"/>
          <w:spacing w:val="-11"/>
        </w:rPr>
        <w:t>答这个</w:t>
      </w:r>
      <w:r>
        <w:rPr>
          <w:rFonts w:ascii="SimSun" w:hAnsi="SimSun" w:eastAsia="SimSun" w:cs="SimSun"/>
          <w:sz w:val="21"/>
          <w:szCs w:val="21"/>
        </w:rPr>
        <w:t xml:space="preserve">  </w:t>
      </w:r>
      <w:r>
        <w:rPr>
          <w:rFonts w:ascii="SimSun" w:hAnsi="SimSun" w:eastAsia="SimSun" w:cs="SimSun"/>
          <w:sz w:val="21"/>
          <w:szCs w:val="21"/>
          <w:spacing w:val="-10"/>
        </w:rPr>
        <w:t>问题，我们需要进行严格的增长因素解析。更具体地说，我们需要一</w:t>
      </w:r>
      <w:r>
        <w:rPr>
          <w:rFonts w:ascii="SimSun" w:hAnsi="SimSun" w:eastAsia="SimSun" w:cs="SimSun"/>
          <w:sz w:val="21"/>
          <w:szCs w:val="21"/>
        </w:rPr>
        <w:t xml:space="preserve">  </w:t>
      </w:r>
      <w:r>
        <w:rPr>
          <w:rFonts w:ascii="SimSun" w:hAnsi="SimSun" w:eastAsia="SimSun" w:cs="SimSun"/>
          <w:sz w:val="21"/>
          <w:szCs w:val="21"/>
          <w:spacing w:val="-10"/>
        </w:rPr>
        <w:t>个扩展的、可以整合行业生产率账户的宏观经济学增长分析</w:t>
      </w:r>
      <w:r>
        <w:rPr>
          <w:rFonts w:ascii="SimSun" w:hAnsi="SimSun" w:eastAsia="SimSun" w:cs="SimSun"/>
          <w:sz w:val="21"/>
          <w:szCs w:val="21"/>
          <w:spacing w:val="-11"/>
        </w:rPr>
        <w:t>框架，从</w:t>
      </w:r>
      <w:r>
        <w:rPr>
          <w:rFonts w:ascii="SimSun" w:hAnsi="SimSun" w:eastAsia="SimSun" w:cs="SimSun"/>
          <w:sz w:val="21"/>
          <w:szCs w:val="21"/>
        </w:rPr>
        <w:t xml:space="preserve">  </w:t>
      </w:r>
      <w:r>
        <w:rPr>
          <w:rFonts w:ascii="SimSun" w:hAnsi="SimSun" w:eastAsia="SimSun" w:cs="SimSun"/>
          <w:sz w:val="21"/>
          <w:szCs w:val="21"/>
          <w:spacing w:val="-7"/>
        </w:rPr>
        <w:t>而分析</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7"/>
        </w:rPr>
        <w:t>ICT</w:t>
      </w:r>
      <w:r>
        <w:rPr>
          <w:rFonts w:ascii="SimSun" w:hAnsi="SimSun" w:eastAsia="SimSun" w:cs="SimSun"/>
          <w:sz w:val="21"/>
          <w:szCs w:val="21"/>
          <w:spacing w:val="-7"/>
        </w:rPr>
        <w:t>如何在不同生产领域、以不同方式</w:t>
      </w:r>
      <w:r>
        <w:rPr>
          <w:rFonts w:ascii="SimSun" w:hAnsi="SimSun" w:eastAsia="SimSun" w:cs="SimSun"/>
          <w:sz w:val="21"/>
          <w:szCs w:val="21"/>
          <w:spacing w:val="-8"/>
        </w:rPr>
        <w:t>和程度参与经济活动，</w:t>
      </w:r>
      <w:r>
        <w:rPr>
          <w:rFonts w:ascii="SimSun" w:hAnsi="SimSun" w:eastAsia="SimSun" w:cs="SimSun"/>
          <w:sz w:val="21"/>
          <w:szCs w:val="21"/>
        </w:rPr>
        <w:t xml:space="preserve"> </w:t>
      </w:r>
      <w:r>
        <w:rPr>
          <w:rFonts w:ascii="SimSun" w:hAnsi="SimSun" w:eastAsia="SimSun" w:cs="SimSun"/>
          <w:sz w:val="21"/>
          <w:szCs w:val="21"/>
          <w:spacing w:val="-11"/>
        </w:rPr>
        <w:t>最终对中国经济增长产生影响。</w:t>
      </w:r>
    </w:p>
    <w:p>
      <w:pPr>
        <w:ind w:right="40" w:firstLine="410"/>
        <w:spacing w:before="106" w:line="305" w:lineRule="auto"/>
        <w:jc w:val="both"/>
        <w:rPr>
          <w:rFonts w:ascii="SimSun" w:hAnsi="SimSun" w:eastAsia="SimSun" w:cs="SimSun"/>
          <w:sz w:val="21"/>
          <w:szCs w:val="21"/>
        </w:rPr>
      </w:pPr>
      <w:r>
        <w:rPr>
          <w:rFonts w:ascii="SimSun" w:hAnsi="SimSun" w:eastAsia="SimSun" w:cs="SimSun"/>
          <w:sz w:val="21"/>
          <w:szCs w:val="21"/>
          <w:spacing w:val="-1"/>
        </w:rPr>
        <w:t>要想更准确地观察和分析</w:t>
      </w:r>
      <w:r>
        <w:rPr>
          <w:rFonts w:ascii="Times New Roman" w:hAnsi="Times New Roman" w:eastAsia="Times New Roman" w:cs="Times New Roman"/>
          <w:sz w:val="21"/>
          <w:szCs w:val="21"/>
          <w:spacing w:val="-1"/>
        </w:rPr>
        <w:t>ICT </w:t>
      </w:r>
      <w:r>
        <w:rPr>
          <w:rFonts w:ascii="SimSun" w:hAnsi="SimSun" w:eastAsia="SimSun" w:cs="SimSun"/>
          <w:sz w:val="21"/>
          <w:szCs w:val="21"/>
          <w:spacing w:val="-1"/>
        </w:rPr>
        <w:t>对中国经济增长的影响，我们需</w:t>
      </w:r>
      <w:r>
        <w:rPr>
          <w:rFonts w:ascii="SimSun" w:hAnsi="SimSun" w:eastAsia="SimSun" w:cs="SimSun"/>
          <w:sz w:val="21"/>
          <w:szCs w:val="21"/>
          <w:spacing w:val="9"/>
        </w:rPr>
        <w:t xml:space="preserve"> </w:t>
      </w:r>
      <w:r>
        <w:rPr>
          <w:rFonts w:ascii="SimSun" w:hAnsi="SimSun" w:eastAsia="SimSun" w:cs="SimSun"/>
          <w:sz w:val="21"/>
          <w:szCs w:val="21"/>
          <w:spacing w:val="1"/>
        </w:rPr>
        <w:t>要离开前文非系统性、依据</w:t>
      </w:r>
      <w:r>
        <w:rPr>
          <w:rFonts w:ascii="Times New Roman" w:hAnsi="Times New Roman" w:eastAsia="Times New Roman" w:cs="Times New Roman"/>
          <w:sz w:val="21"/>
          <w:szCs w:val="21"/>
        </w:rPr>
        <w:t>ICT</w:t>
      </w:r>
      <w:r>
        <w:rPr>
          <w:rFonts w:ascii="SimSun" w:hAnsi="SimSun" w:eastAsia="SimSun" w:cs="SimSun"/>
          <w:sz w:val="21"/>
          <w:szCs w:val="21"/>
          <w:spacing w:val="1"/>
        </w:rPr>
        <w:t>的间接或替代性指标进行的观察，</w:t>
      </w:r>
      <w:r>
        <w:rPr>
          <w:rFonts w:ascii="SimSun" w:hAnsi="SimSun" w:eastAsia="SimSun" w:cs="SimSun"/>
          <w:sz w:val="21"/>
          <w:szCs w:val="21"/>
          <w:spacing w:val="18"/>
        </w:rPr>
        <w:t xml:space="preserve"> </w:t>
      </w:r>
      <w:r>
        <w:rPr>
          <w:rFonts w:ascii="SimSun" w:hAnsi="SimSun" w:eastAsia="SimSun" w:cs="SimSun"/>
          <w:sz w:val="21"/>
          <w:szCs w:val="21"/>
          <w:spacing w:val="-1"/>
        </w:rPr>
        <w:t>转向在宏观经济生产函数框架内对</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相关经济活动进</w:t>
      </w:r>
      <w:r>
        <w:rPr>
          <w:rFonts w:ascii="SimSun" w:hAnsi="SimSun" w:eastAsia="SimSun" w:cs="SimSun"/>
          <w:sz w:val="21"/>
          <w:szCs w:val="21"/>
          <w:spacing w:val="-2"/>
        </w:rPr>
        <w:t>行系统性统</w:t>
      </w:r>
      <w:r>
        <w:rPr>
          <w:rFonts w:ascii="SimSun" w:hAnsi="SimSun" w:eastAsia="SimSun" w:cs="SimSun"/>
          <w:sz w:val="21"/>
          <w:szCs w:val="21"/>
        </w:rPr>
        <w:t xml:space="preserve"> </w:t>
      </w:r>
      <w:r>
        <w:rPr>
          <w:rFonts w:ascii="SimSun" w:hAnsi="SimSun" w:eastAsia="SimSun" w:cs="SimSun"/>
          <w:sz w:val="21"/>
          <w:szCs w:val="21"/>
        </w:rPr>
        <w:t>计观察(虽然仍然是描述性的),然后在这个基础上进行</w:t>
      </w:r>
      <w:r>
        <w:rPr>
          <w:rFonts w:ascii="Times New Roman" w:hAnsi="Times New Roman" w:eastAsia="Times New Roman" w:cs="Times New Roman"/>
          <w:sz w:val="21"/>
          <w:szCs w:val="21"/>
        </w:rPr>
        <w:t>ICT </w:t>
      </w:r>
      <w:r>
        <w:rPr>
          <w:rFonts w:ascii="SimSun" w:hAnsi="SimSun" w:eastAsia="SimSun" w:cs="SimSun"/>
          <w:sz w:val="21"/>
          <w:szCs w:val="21"/>
        </w:rPr>
        <w:t>视角的 </w:t>
      </w:r>
      <w:r>
        <w:rPr>
          <w:rFonts w:ascii="SimSun" w:hAnsi="SimSun" w:eastAsia="SimSun" w:cs="SimSun"/>
          <w:sz w:val="21"/>
          <w:szCs w:val="21"/>
          <w:spacing w:val="-10"/>
        </w:rPr>
        <w:t>增长核算分析。要实现这两个目的，我们首先需要建立与宏观经济核</w:t>
      </w:r>
      <w:r>
        <w:rPr>
          <w:rFonts w:ascii="SimSun" w:hAnsi="SimSun" w:eastAsia="SimSun" w:cs="SimSun"/>
          <w:sz w:val="21"/>
          <w:szCs w:val="21"/>
        </w:rPr>
        <w:t xml:space="preserve"> </w:t>
      </w:r>
      <w:r>
        <w:rPr>
          <w:rFonts w:ascii="SimSun" w:hAnsi="SimSun" w:eastAsia="SimSun" w:cs="SimSun"/>
          <w:sz w:val="21"/>
          <w:szCs w:val="21"/>
          <w:spacing w:val="-10"/>
        </w:rPr>
        <w:t>算框架契合的行业层面的基础数据，以支持系统的统计观察。</w:t>
      </w:r>
      <w:r>
        <w:rPr>
          <w:rFonts w:ascii="SimSun" w:hAnsi="SimSun" w:eastAsia="SimSun" w:cs="SimSun"/>
          <w:sz w:val="21"/>
          <w:szCs w:val="21"/>
          <w:spacing w:val="-11"/>
        </w:rPr>
        <w:t>然后再</w:t>
      </w:r>
      <w:r>
        <w:rPr>
          <w:rFonts w:ascii="SimSun" w:hAnsi="SimSun" w:eastAsia="SimSun" w:cs="SimSun"/>
          <w:sz w:val="21"/>
          <w:szCs w:val="21"/>
        </w:rPr>
        <w:t xml:space="preserve"> </w:t>
      </w:r>
      <w:r>
        <w:rPr>
          <w:rFonts w:ascii="SimSun" w:hAnsi="SimSun" w:eastAsia="SimSun" w:cs="SimSun"/>
          <w:sz w:val="21"/>
          <w:szCs w:val="21"/>
          <w:spacing w:val="-10"/>
        </w:rPr>
        <w:t>根据生产率理论使行业层面的主要投入和产出指标测算达到增长</w:t>
      </w:r>
      <w:r>
        <w:rPr>
          <w:rFonts w:ascii="SimSun" w:hAnsi="SimSun" w:eastAsia="SimSun" w:cs="SimSun"/>
          <w:sz w:val="21"/>
          <w:szCs w:val="21"/>
          <w:spacing w:val="-11"/>
        </w:rPr>
        <w:t>核算</w:t>
      </w:r>
      <w:r>
        <w:rPr>
          <w:rFonts w:ascii="SimSun" w:hAnsi="SimSun" w:eastAsia="SimSun" w:cs="SimSun"/>
          <w:sz w:val="21"/>
          <w:szCs w:val="21"/>
        </w:rPr>
        <w:t xml:space="preserve"> </w:t>
      </w:r>
      <w:r>
        <w:rPr>
          <w:rFonts w:ascii="SimSun" w:hAnsi="SimSun" w:eastAsia="SimSun" w:cs="SimSun"/>
          <w:sz w:val="21"/>
          <w:szCs w:val="21"/>
          <w:spacing w:val="-10"/>
        </w:rPr>
        <w:t>分析的要求。</w:t>
      </w:r>
    </w:p>
    <w:p>
      <w:pPr>
        <w:pStyle w:val="BodyText"/>
        <w:spacing w:line="381"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1"/>
        </w:rPr>
        <w:t>基础数据：中国</w:t>
      </w:r>
      <w:r>
        <w:rPr>
          <w:rFonts w:ascii="SimHei" w:hAnsi="SimHei" w:eastAsia="SimHei" w:cs="SimHei"/>
          <w:sz w:val="25"/>
          <w:szCs w:val="25"/>
          <w:spacing w:val="-50"/>
        </w:rPr>
        <w:t xml:space="preserve"> </w:t>
      </w:r>
      <w:r>
        <w:rPr>
          <w:rFonts w:ascii="SimSun" w:hAnsi="SimSun" w:eastAsia="SimSun" w:cs="SimSun"/>
          <w:sz w:val="25"/>
          <w:szCs w:val="25"/>
          <w:b/>
          <w:bCs/>
          <w:spacing w:val="-11"/>
        </w:rPr>
        <w:t>KLEMS</w:t>
      </w:r>
      <w:r>
        <w:rPr>
          <w:rFonts w:ascii="SimSun" w:hAnsi="SimSun" w:eastAsia="SimSun" w:cs="SimSun"/>
          <w:sz w:val="25"/>
          <w:szCs w:val="25"/>
          <w:spacing w:val="35"/>
        </w:rPr>
        <w:t xml:space="preserve">  </w:t>
      </w:r>
      <w:r>
        <w:rPr>
          <w:rFonts w:ascii="SimHei" w:hAnsi="SimHei" w:eastAsia="SimHei" w:cs="SimHei"/>
          <w:sz w:val="25"/>
          <w:szCs w:val="25"/>
          <w:b/>
          <w:bCs/>
          <w:spacing w:val="-11"/>
        </w:rPr>
        <w:t>数据</w:t>
      </w:r>
    </w:p>
    <w:p>
      <w:pPr>
        <w:pStyle w:val="BodyText"/>
        <w:spacing w:line="363"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6"/>
        </w:rPr>
        <w:t>在基础数据上，我们使用了伍晓鹰研究团队按照</w:t>
      </w:r>
      <w:r>
        <w:rPr>
          <w:rFonts w:ascii="Times New Roman" w:hAnsi="Times New Roman" w:eastAsia="Times New Roman" w:cs="Times New Roman"/>
          <w:sz w:val="21"/>
          <w:szCs w:val="21"/>
          <w:spacing w:val="-6"/>
        </w:rPr>
        <w:t>KLEMS</w:t>
      </w:r>
      <w:r>
        <w:rPr>
          <w:rFonts w:ascii="SimSun" w:hAnsi="SimSun" w:eastAsia="SimSun" w:cs="SimSun"/>
          <w:sz w:val="21"/>
          <w:szCs w:val="21"/>
          <w:spacing w:val="-6"/>
        </w:rPr>
        <w:t>原则建</w:t>
      </w:r>
    </w:p>
    <w:p>
      <w:pPr>
        <w:spacing w:line="219" w:lineRule="auto"/>
        <w:sectPr>
          <w:headerReference w:type="default" r:id="rId103"/>
          <w:pgSz w:w="7330" w:h="12480"/>
          <w:pgMar w:top="815" w:right="784" w:bottom="400" w:left="449" w:header="653" w:footer="0" w:gutter="0"/>
        </w:sectPr>
        <w:rPr>
          <w:rFonts w:ascii="SimSun" w:hAnsi="SimSun" w:eastAsia="SimSun" w:cs="SimSun"/>
          <w:sz w:val="21"/>
          <w:szCs w:val="21"/>
        </w:rPr>
      </w:pPr>
    </w:p>
    <w:p>
      <w:pPr>
        <w:pStyle w:val="BodyText"/>
        <w:spacing w:line="250" w:lineRule="auto"/>
        <w:rPr/>
      </w:pPr>
      <w:r>
        <w:drawing>
          <wp:anchor distT="0" distB="0" distL="0" distR="0" simplePos="0" relativeHeight="252500992" behindDoc="0" locked="0" layoutInCell="0" allowOverlap="1">
            <wp:simplePos x="0" y="0"/>
            <wp:positionH relativeFrom="page">
              <wp:posOffset>425472</wp:posOffset>
            </wp:positionH>
            <wp:positionV relativeFrom="page">
              <wp:posOffset>4381463</wp:posOffset>
            </wp:positionV>
            <wp:extent cx="1174715" cy="6418"/>
            <wp:effectExtent l="0" t="0" r="0" b="0"/>
            <wp:wrapNone/>
            <wp:docPr id="96" name="IM 96"/>
            <wp:cNvGraphicFramePr/>
            <a:graphic>
              <a:graphicData uri="http://schemas.openxmlformats.org/drawingml/2006/picture">
                <pic:pic>
                  <pic:nvPicPr>
                    <pic:cNvPr id="96" name="IM 96"/>
                    <pic:cNvPicPr/>
                  </pic:nvPicPr>
                  <pic:blipFill>
                    <a:blip r:embed="rId105"/>
                    <a:stretch>
                      <a:fillRect/>
                    </a:stretch>
                  </pic:blipFill>
                  <pic:spPr>
                    <a:xfrm rot="0">
                      <a:off x="0" y="0"/>
                      <a:ext cx="1174715" cy="6418"/>
                    </a:xfrm>
                    <a:prstGeom prst="rect">
                      <a:avLst/>
                    </a:prstGeom>
                  </pic:spPr>
                </pic:pic>
              </a:graphicData>
            </a:graphic>
          </wp:anchor>
        </w:drawing>
      </w:r>
      <w:r/>
    </w:p>
    <w:p>
      <w:pPr>
        <w:pStyle w:val="BodyText"/>
        <w:spacing w:line="250" w:lineRule="auto"/>
        <w:rPr/>
      </w:pPr>
      <w:r/>
    </w:p>
    <w:p>
      <w:pPr>
        <w:pStyle w:val="BodyText"/>
        <w:spacing w:line="251" w:lineRule="auto"/>
        <w:rPr/>
      </w:pPr>
      <w:r/>
    </w:p>
    <w:p>
      <w:pPr>
        <w:pStyle w:val="BodyText"/>
        <w:spacing w:line="251" w:lineRule="auto"/>
        <w:rPr/>
      </w:pPr>
      <w:r/>
    </w:p>
    <w:p>
      <w:pPr>
        <w:ind w:left="20" w:right="49"/>
        <w:spacing w:before="68" w:line="284" w:lineRule="auto"/>
        <w:jc w:val="both"/>
        <w:rPr>
          <w:rFonts w:ascii="SimSun" w:hAnsi="SimSun" w:eastAsia="SimSun" w:cs="SimSun"/>
          <w:sz w:val="21"/>
          <w:szCs w:val="21"/>
        </w:rPr>
      </w:pPr>
      <w:r>
        <w:rPr>
          <w:rFonts w:ascii="SimSun" w:hAnsi="SimSun" w:eastAsia="SimSun" w:cs="SimSun"/>
          <w:sz w:val="21"/>
          <w:szCs w:val="21"/>
          <w:spacing w:val="-5"/>
        </w:rPr>
        <w:t>立的“中国经济分行业生产率数据库”(CIP/China    KLEM</w:t>
      </w:r>
      <w:r>
        <w:rPr>
          <w:rFonts w:ascii="SimSun" w:hAnsi="SimSun" w:eastAsia="SimSun" w:cs="SimSun"/>
          <w:sz w:val="21"/>
          <w:szCs w:val="21"/>
          <w:spacing w:val="-6"/>
        </w:rPr>
        <w:t>S),特别</w:t>
      </w:r>
      <w:r>
        <w:rPr>
          <w:rFonts w:ascii="SimSun" w:hAnsi="SimSun" w:eastAsia="SimSun" w:cs="SimSun"/>
          <w:sz w:val="21"/>
          <w:szCs w:val="21"/>
        </w:rPr>
        <w:t xml:space="preserve"> </w:t>
      </w:r>
      <w:r>
        <w:rPr>
          <w:rFonts w:ascii="SimSun" w:hAnsi="SimSun" w:eastAsia="SimSun" w:cs="SimSun"/>
          <w:sz w:val="21"/>
          <w:szCs w:val="21"/>
          <w:spacing w:val="-2"/>
        </w:rPr>
        <w:t>包括了该团队初步建立的尚未进入数据库中的分行业</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IT</w:t>
      </w:r>
      <w:r>
        <w:rPr>
          <w:rFonts w:ascii="SimSun" w:hAnsi="SimSun" w:eastAsia="SimSun" w:cs="SimSun"/>
          <w:sz w:val="21"/>
          <w:szCs w:val="21"/>
          <w:spacing w:val="-2"/>
        </w:rPr>
        <w:t>和</w:t>
      </w:r>
      <w:r>
        <w:rPr>
          <w:rFonts w:ascii="Times New Roman" w:hAnsi="Times New Roman" w:eastAsia="Times New Roman" w:cs="Times New Roman"/>
          <w:sz w:val="21"/>
          <w:szCs w:val="21"/>
          <w:spacing w:val="-2"/>
        </w:rPr>
        <w:t>CT </w:t>
      </w:r>
      <w:r>
        <w:rPr>
          <w:rFonts w:ascii="SimSun" w:hAnsi="SimSun" w:eastAsia="SimSun" w:cs="SimSun"/>
          <w:sz w:val="21"/>
          <w:szCs w:val="21"/>
          <w:spacing w:val="-2"/>
        </w:rPr>
        <w:t>设备</w:t>
      </w:r>
      <w:r>
        <w:rPr>
          <w:rFonts w:ascii="SimSun" w:hAnsi="SimSun" w:eastAsia="SimSun" w:cs="SimSun"/>
          <w:sz w:val="21"/>
          <w:szCs w:val="21"/>
        </w:rPr>
        <w:t xml:space="preserve"> </w:t>
      </w:r>
      <w:r>
        <w:rPr>
          <w:rFonts w:ascii="SimSun" w:hAnsi="SimSun" w:eastAsia="SimSun" w:cs="SimSun"/>
          <w:sz w:val="21"/>
          <w:szCs w:val="21"/>
          <w:spacing w:val="-9"/>
        </w:rPr>
        <w:t>估计。</w:t>
      </w:r>
    </w:p>
    <w:p>
      <w:pPr>
        <w:ind w:left="20" w:right="19" w:firstLine="410"/>
        <w:spacing w:before="63" w:line="323" w:lineRule="auto"/>
        <w:jc w:val="both"/>
        <w:rPr>
          <w:rFonts w:ascii="SimSun" w:hAnsi="SimSun" w:eastAsia="SimSun" w:cs="SimSun"/>
          <w:sz w:val="21"/>
          <w:szCs w:val="21"/>
        </w:rPr>
      </w:pPr>
      <w:r>
        <w:rPr>
          <w:rFonts w:ascii="SimSun" w:hAnsi="SimSun" w:eastAsia="SimSun" w:cs="SimSun"/>
          <w:sz w:val="21"/>
          <w:szCs w:val="21"/>
          <w:spacing w:val="-9"/>
        </w:rPr>
        <w:t>所谓</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9"/>
        </w:rPr>
        <w:t>KLEMS(K,    </w:t>
      </w:r>
      <w:r>
        <w:rPr>
          <w:rFonts w:ascii="SimSun" w:hAnsi="SimSun" w:eastAsia="SimSun" w:cs="SimSun"/>
          <w:sz w:val="21"/>
          <w:szCs w:val="21"/>
          <w:spacing w:val="-9"/>
        </w:rPr>
        <w:t>资本；</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9"/>
        </w:rPr>
        <w:t>L,   </w:t>
      </w:r>
      <w:r>
        <w:rPr>
          <w:rFonts w:ascii="SimSun" w:hAnsi="SimSun" w:eastAsia="SimSun" w:cs="SimSun"/>
          <w:sz w:val="21"/>
          <w:szCs w:val="21"/>
          <w:spacing w:val="-9"/>
        </w:rPr>
        <w:t>劳动；</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9"/>
        </w:rPr>
        <w:t>E,   </w:t>
      </w:r>
      <w:r>
        <w:rPr>
          <w:rFonts w:ascii="SimSun" w:hAnsi="SimSun" w:eastAsia="SimSun" w:cs="SimSun"/>
          <w:sz w:val="21"/>
          <w:szCs w:val="21"/>
          <w:spacing w:val="-9"/>
        </w:rPr>
        <w:t>能源</w:t>
      </w:r>
      <w:r>
        <w:rPr>
          <w:rFonts w:ascii="SimSun" w:hAnsi="SimSun" w:eastAsia="SimSun" w:cs="SimSun"/>
          <w:sz w:val="21"/>
          <w:szCs w:val="21"/>
          <w:spacing w:val="-10"/>
        </w:rPr>
        <w:t>；</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0"/>
        </w:rPr>
        <w:t>M,   </w:t>
      </w:r>
      <w:r>
        <w:rPr>
          <w:rFonts w:ascii="SimSun" w:hAnsi="SimSun" w:eastAsia="SimSun" w:cs="SimSun"/>
          <w:sz w:val="21"/>
          <w:szCs w:val="21"/>
          <w:spacing w:val="-10"/>
        </w:rPr>
        <w:t>材料；</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0"/>
        </w:rPr>
        <w:t>S,</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0"/>
        </w:rPr>
        <w:t>服</w:t>
      </w:r>
      <w:r>
        <w:rPr>
          <w:rFonts w:ascii="SimSun" w:hAnsi="SimSun" w:eastAsia="SimSun" w:cs="SimSun"/>
          <w:sz w:val="21"/>
          <w:szCs w:val="21"/>
        </w:rPr>
        <w:t xml:space="preserve"> </w:t>
      </w:r>
      <w:r>
        <w:rPr>
          <w:rFonts w:ascii="SimSun" w:hAnsi="SimSun" w:eastAsia="SimSun" w:cs="SimSun"/>
          <w:sz w:val="21"/>
          <w:szCs w:val="21"/>
          <w:spacing w:val="-7"/>
        </w:rPr>
        <w:t>务)原则是指在生产率理论指导下构建满足生产函数分</w:t>
      </w:r>
      <w:r>
        <w:rPr>
          <w:rFonts w:ascii="SimSun" w:hAnsi="SimSun" w:eastAsia="SimSun" w:cs="SimSun"/>
          <w:sz w:val="21"/>
          <w:szCs w:val="21"/>
          <w:spacing w:val="-8"/>
        </w:rPr>
        <w:t>析需要的主要</w:t>
      </w:r>
      <w:r>
        <w:rPr>
          <w:rFonts w:ascii="SimSun" w:hAnsi="SimSun" w:eastAsia="SimSun" w:cs="SimSun"/>
          <w:sz w:val="21"/>
          <w:szCs w:val="21"/>
        </w:rPr>
        <w:t xml:space="preserve"> </w:t>
      </w:r>
      <w:r>
        <w:rPr>
          <w:rFonts w:ascii="SimSun" w:hAnsi="SimSun" w:eastAsia="SimSun" w:cs="SimSun"/>
          <w:sz w:val="21"/>
          <w:szCs w:val="21"/>
          <w:spacing w:val="-9"/>
        </w:rPr>
        <w:t>投入变量。②应当提及的是，虽然描述性统计</w:t>
      </w:r>
      <w:r>
        <w:rPr>
          <w:rFonts w:ascii="SimSun" w:hAnsi="SimSun" w:eastAsia="SimSun" w:cs="SimSun"/>
          <w:sz w:val="21"/>
          <w:szCs w:val="21"/>
          <w:spacing w:val="-10"/>
        </w:rPr>
        <w:t>观察所使用的基础数据</w:t>
      </w:r>
      <w:r>
        <w:rPr>
          <w:rFonts w:ascii="SimSun" w:hAnsi="SimSun" w:eastAsia="SimSun" w:cs="SimSun"/>
          <w:sz w:val="21"/>
          <w:szCs w:val="21"/>
        </w:rPr>
        <w:t xml:space="preserve"> </w:t>
      </w:r>
      <w:r>
        <w:rPr>
          <w:rFonts w:ascii="SimSun" w:hAnsi="SimSun" w:eastAsia="SimSun" w:cs="SimSun"/>
          <w:sz w:val="21"/>
          <w:szCs w:val="21"/>
          <w:spacing w:val="-11"/>
        </w:rPr>
        <w:t>尚未涉及复杂的异质要素类型同质化及各种加总问题，但是在行业层</w:t>
      </w:r>
      <w:r>
        <w:rPr>
          <w:rFonts w:ascii="SimSun" w:hAnsi="SimSun" w:eastAsia="SimSun" w:cs="SimSun"/>
          <w:sz w:val="21"/>
          <w:szCs w:val="21"/>
          <w:spacing w:val="10"/>
        </w:rPr>
        <w:t xml:space="preserve"> </w:t>
      </w:r>
      <w:r>
        <w:rPr>
          <w:rFonts w:ascii="SimSun" w:hAnsi="SimSun" w:eastAsia="SimSun" w:cs="SimSun"/>
          <w:sz w:val="21"/>
          <w:szCs w:val="21"/>
          <w:spacing w:val="-8"/>
        </w:rPr>
        <w:t>面上数据仍然满足如下逻辑条件：(1)当年名义增加值和中间</w:t>
      </w:r>
      <w:r>
        <w:rPr>
          <w:rFonts w:ascii="SimSun" w:hAnsi="SimSun" w:eastAsia="SimSun" w:cs="SimSun"/>
          <w:sz w:val="21"/>
          <w:szCs w:val="21"/>
          <w:spacing w:val="-9"/>
        </w:rPr>
        <w:t>投入之 </w:t>
      </w:r>
      <w:r>
        <w:rPr>
          <w:rFonts w:ascii="SimSun" w:hAnsi="SimSun" w:eastAsia="SimSun" w:cs="SimSun"/>
          <w:sz w:val="21"/>
          <w:szCs w:val="21"/>
          <w:spacing w:val="1"/>
        </w:rPr>
        <w:t>和等于名义总产值；(2)劳动与资本的名义</w:t>
      </w:r>
      <w:r>
        <w:rPr>
          <w:rFonts w:ascii="SimSun" w:hAnsi="SimSun" w:eastAsia="SimSun" w:cs="SimSun"/>
          <w:sz w:val="21"/>
          <w:szCs w:val="21"/>
        </w:rPr>
        <w:t>报酬之和等于名义增加 </w:t>
      </w:r>
      <w:r>
        <w:rPr>
          <w:rFonts w:ascii="SimSun" w:hAnsi="SimSun" w:eastAsia="SimSun" w:cs="SimSun"/>
          <w:sz w:val="21"/>
          <w:szCs w:val="21"/>
          <w:spacing w:val="-3"/>
        </w:rPr>
        <w:t>值；(3)生产者价格矩阵对应名义总产值矩阵；(4)以工作小时计算</w:t>
      </w:r>
      <w:r>
        <w:rPr>
          <w:rFonts w:ascii="SimSun" w:hAnsi="SimSun" w:eastAsia="SimSun" w:cs="SimSun"/>
          <w:sz w:val="21"/>
          <w:szCs w:val="21"/>
          <w:spacing w:val="4"/>
        </w:rPr>
        <w:t xml:space="preserve"> </w:t>
      </w:r>
      <w:r>
        <w:rPr>
          <w:rFonts w:ascii="SimSun" w:hAnsi="SimSun" w:eastAsia="SimSun" w:cs="SimSun"/>
          <w:sz w:val="21"/>
          <w:szCs w:val="21"/>
          <w:spacing w:val="-3"/>
        </w:rPr>
        <w:t>的劳动自然数量账户对应投入-产出账户；(5)增加值最</w:t>
      </w:r>
      <w:r>
        <w:rPr>
          <w:rFonts w:ascii="SimSun" w:hAnsi="SimSun" w:eastAsia="SimSun" w:cs="SimSun"/>
          <w:sz w:val="21"/>
          <w:szCs w:val="21"/>
          <w:spacing w:val="-4"/>
        </w:rPr>
        <w:t>终使用的固</w:t>
      </w:r>
    </w:p>
    <w:p>
      <w:pPr>
        <w:ind w:left="20"/>
        <w:spacing w:line="218" w:lineRule="auto"/>
        <w:rPr>
          <w:rFonts w:ascii="SimSun" w:hAnsi="SimSun" w:eastAsia="SimSun" w:cs="SimSun"/>
          <w:sz w:val="21"/>
          <w:szCs w:val="21"/>
        </w:rPr>
      </w:pPr>
      <w:r>
        <w:rPr>
          <w:rFonts w:ascii="SimSun" w:hAnsi="SimSun" w:eastAsia="SimSun" w:cs="SimSun"/>
          <w:sz w:val="21"/>
          <w:szCs w:val="21"/>
          <w:spacing w:val="-10"/>
        </w:rPr>
        <w:t>定资本形成与固定资产投资契合，并影响净资本存</w:t>
      </w:r>
      <w:r>
        <w:rPr>
          <w:rFonts w:ascii="SimSun" w:hAnsi="SimSun" w:eastAsia="SimSun" w:cs="SimSun"/>
          <w:sz w:val="21"/>
          <w:szCs w:val="21"/>
          <w:spacing w:val="-11"/>
        </w:rPr>
        <w:t>量账户变动。</w:t>
      </w:r>
    </w:p>
    <w:p>
      <w:pPr>
        <w:ind w:right="16"/>
        <w:spacing w:before="71" w:line="390" w:lineRule="exact"/>
        <w:jc w:val="right"/>
        <w:rPr>
          <w:rFonts w:ascii="SimSun" w:hAnsi="SimSun" w:eastAsia="SimSun" w:cs="SimSun"/>
          <w:sz w:val="21"/>
          <w:szCs w:val="21"/>
        </w:rPr>
      </w:pPr>
      <w:r>
        <w:rPr>
          <w:rFonts w:ascii="SimSun" w:hAnsi="SimSun" w:eastAsia="SimSun" w:cs="SimSun"/>
          <w:sz w:val="21"/>
          <w:szCs w:val="21"/>
          <w:spacing w:val="-3"/>
          <w:position w:val="13"/>
        </w:rPr>
        <w:t>关于</w:t>
      </w:r>
      <w:r>
        <w:rPr>
          <w:rFonts w:ascii="Times New Roman" w:hAnsi="Times New Roman" w:eastAsia="Times New Roman" w:cs="Times New Roman"/>
          <w:sz w:val="21"/>
          <w:szCs w:val="21"/>
          <w:spacing w:val="-3"/>
          <w:position w:val="13"/>
        </w:rPr>
        <w:t>CIP/China KLEMS </w:t>
      </w:r>
      <w:r>
        <w:rPr>
          <w:rFonts w:ascii="SimSun" w:hAnsi="SimSun" w:eastAsia="SimSun" w:cs="SimSun"/>
          <w:sz w:val="21"/>
          <w:szCs w:val="21"/>
          <w:spacing w:val="-3"/>
          <w:position w:val="13"/>
        </w:rPr>
        <w:t>数据</w:t>
      </w:r>
      <w:r>
        <w:rPr>
          <w:rFonts w:ascii="SimSun" w:hAnsi="SimSun" w:eastAsia="SimSun" w:cs="SimSun"/>
          <w:sz w:val="21"/>
          <w:szCs w:val="21"/>
          <w:spacing w:val="-4"/>
          <w:position w:val="13"/>
        </w:rPr>
        <w:t>库必要的说明是，该数据库的基本</w:t>
      </w:r>
    </w:p>
    <w:p>
      <w:pPr>
        <w:ind w:left="20"/>
        <w:spacing w:before="1" w:line="219" w:lineRule="auto"/>
        <w:rPr>
          <w:rFonts w:ascii="SimSun" w:hAnsi="SimSun" w:eastAsia="SimSun" w:cs="SimSun"/>
          <w:sz w:val="21"/>
          <w:szCs w:val="21"/>
        </w:rPr>
      </w:pPr>
      <w:r>
        <w:rPr>
          <w:rFonts w:ascii="SimSun" w:hAnsi="SimSun" w:eastAsia="SimSun" w:cs="SimSun"/>
          <w:sz w:val="21"/>
          <w:szCs w:val="21"/>
          <w:spacing w:val="-10"/>
        </w:rPr>
        <w:t>原则是整理但并不改变官方的基础统计数据。数据整理旨在解决包括</w:t>
      </w:r>
    </w:p>
    <w:p>
      <w:pPr>
        <w:pStyle w:val="BodyText"/>
        <w:spacing w:line="251" w:lineRule="auto"/>
        <w:rPr/>
      </w:pPr>
      <w:r/>
    </w:p>
    <w:p>
      <w:pPr>
        <w:pStyle w:val="BodyText"/>
        <w:spacing w:line="252" w:lineRule="auto"/>
        <w:rPr/>
      </w:pPr>
      <w:r/>
    </w:p>
    <w:p>
      <w:pPr>
        <w:ind w:left="294" w:hanging="274"/>
        <w:spacing w:before="53" w:line="332" w:lineRule="auto"/>
        <w:rPr>
          <w:rFonts w:ascii="Times New Roman" w:hAnsi="Times New Roman" w:eastAsia="Times New Roman" w:cs="Times New Roman"/>
          <w:sz w:val="16"/>
          <w:szCs w:val="16"/>
        </w:rPr>
      </w:pPr>
      <w:r>
        <w:rPr>
          <w:rFonts w:ascii="SimSun" w:hAnsi="SimSun" w:eastAsia="SimSun" w:cs="SimSun"/>
          <w:sz w:val="16"/>
          <w:szCs w:val="16"/>
          <w:spacing w:val="7"/>
        </w:rPr>
        <w:t>①</w:t>
      </w:r>
      <w:r>
        <w:rPr>
          <w:rFonts w:ascii="SimSun" w:hAnsi="SimSun" w:eastAsia="SimSun" w:cs="SimSun"/>
          <w:sz w:val="16"/>
          <w:szCs w:val="16"/>
          <w:spacing w:val="56"/>
        </w:rPr>
        <w:t xml:space="preserve"> </w:t>
      </w:r>
      <w:r>
        <w:rPr>
          <w:rFonts w:ascii="KaiTi" w:hAnsi="KaiTi" w:eastAsia="KaiTi" w:cs="KaiTi"/>
          <w:sz w:val="16"/>
          <w:szCs w:val="16"/>
          <w:spacing w:val="7"/>
        </w:rPr>
        <w:t>该数据库初创于日本独立行政法人经济产业研究所</w:t>
      </w:r>
      <w:r>
        <w:rPr>
          <w:rFonts w:ascii="KaiTi" w:hAnsi="KaiTi" w:eastAsia="KaiTi" w:cs="KaiTi"/>
          <w:sz w:val="16"/>
          <w:szCs w:val="16"/>
          <w:spacing w:val="-34"/>
        </w:rPr>
        <w:t xml:space="preserve"> </w:t>
      </w:r>
      <w:r>
        <w:rPr>
          <w:rFonts w:ascii="Times New Roman" w:hAnsi="Times New Roman" w:eastAsia="Times New Roman" w:cs="Times New Roman"/>
          <w:sz w:val="16"/>
          <w:szCs w:val="16"/>
          <w:spacing w:val="6"/>
        </w:rPr>
        <w:t>(</w:t>
      </w:r>
      <w:r>
        <w:rPr>
          <w:rFonts w:ascii="Times New Roman" w:hAnsi="Times New Roman" w:eastAsia="Times New Roman" w:cs="Times New Roman"/>
          <w:sz w:val="16"/>
          <w:szCs w:val="16"/>
        </w:rPr>
        <w:t>RIETI</w:t>
      </w:r>
      <w:r>
        <w:rPr>
          <w:rFonts w:ascii="Times New Roman" w:hAnsi="Times New Roman" w:eastAsia="Times New Roman" w:cs="Times New Roman"/>
          <w:sz w:val="16"/>
          <w:szCs w:val="16"/>
          <w:spacing w:val="6"/>
        </w:rPr>
        <w:t>)   </w:t>
      </w:r>
      <w:r>
        <w:rPr>
          <w:rFonts w:ascii="KaiTi" w:hAnsi="KaiTi" w:eastAsia="KaiTi" w:cs="KaiTi"/>
          <w:sz w:val="16"/>
          <w:szCs w:val="16"/>
          <w:spacing w:val="6"/>
        </w:rPr>
        <w:t>和一桥大学共同资</w:t>
      </w:r>
      <w:r>
        <w:rPr>
          <w:rFonts w:ascii="KaiTi" w:hAnsi="KaiTi" w:eastAsia="KaiTi" w:cs="KaiTi"/>
          <w:sz w:val="16"/>
          <w:szCs w:val="16"/>
        </w:rPr>
        <w:t xml:space="preserve"> </w:t>
      </w:r>
      <w:r>
        <w:rPr>
          <w:rFonts w:ascii="KaiTi" w:hAnsi="KaiTi" w:eastAsia="KaiTi" w:cs="KaiTi"/>
          <w:sz w:val="16"/>
          <w:szCs w:val="16"/>
          <w:spacing w:val="10"/>
        </w:rPr>
        <w:t>助并支持的</w:t>
      </w:r>
      <w:r>
        <w:rPr>
          <w:rFonts w:ascii="KaiTi" w:hAnsi="KaiTi" w:eastAsia="KaiTi" w:cs="KaiTi"/>
          <w:sz w:val="16"/>
          <w:szCs w:val="16"/>
          <w:spacing w:val="10"/>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Industrial</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Productivity</w:t>
      </w:r>
      <w:r>
        <w:rPr>
          <w:rFonts w:ascii="Times New Roman" w:hAnsi="Times New Roman" w:eastAsia="Times New Roman" w:cs="Times New Roman"/>
          <w:sz w:val="16"/>
          <w:szCs w:val="16"/>
          <w:spacing w:val="10"/>
        </w:rPr>
        <w:t xml:space="preserve"> </w:t>
      </w:r>
      <w:r>
        <w:rPr>
          <w:rFonts w:ascii="KaiTi" w:hAnsi="KaiTi" w:eastAsia="KaiTi" w:cs="KaiTi"/>
          <w:sz w:val="16"/>
          <w:szCs w:val="16"/>
          <w:spacing w:val="10"/>
        </w:rPr>
        <w:t>数据库项目，简称</w:t>
      </w:r>
      <w:r>
        <w:rPr>
          <w:rFonts w:ascii="KaiTi" w:hAnsi="KaiTi" w:eastAsia="KaiTi" w:cs="KaiTi"/>
          <w:sz w:val="16"/>
          <w:szCs w:val="16"/>
          <w:spacing w:val="-18"/>
        </w:rPr>
        <w:t xml:space="preserve"> </w:t>
      </w:r>
      <w:r>
        <w:rPr>
          <w:rFonts w:ascii="Times New Roman" w:hAnsi="Times New Roman" w:eastAsia="Times New Roman" w:cs="Times New Roman"/>
          <w:sz w:val="16"/>
          <w:szCs w:val="16"/>
        </w:rPr>
        <w:t>CIP</w:t>
      </w:r>
      <w:r>
        <w:rPr>
          <w:rFonts w:ascii="KaiTi" w:hAnsi="KaiTi" w:eastAsia="KaiTi" w:cs="KaiTi"/>
          <w:sz w:val="16"/>
          <w:szCs w:val="16"/>
          <w:spacing w:val="10"/>
        </w:rPr>
        <w:t>数据库。因为遵</w:t>
      </w:r>
      <w:r>
        <w:rPr>
          <w:rFonts w:ascii="KaiTi" w:hAnsi="KaiTi" w:eastAsia="KaiTi" w:cs="KaiTi"/>
          <w:sz w:val="16"/>
          <w:szCs w:val="16"/>
        </w:rPr>
        <w:t xml:space="preserve"> </w:t>
      </w:r>
      <w:r>
        <w:rPr>
          <w:rFonts w:ascii="KaiTi" w:hAnsi="KaiTi" w:eastAsia="KaiTi" w:cs="KaiTi"/>
          <w:sz w:val="16"/>
          <w:szCs w:val="16"/>
          <w:spacing w:val="13"/>
        </w:rPr>
        <w:t>循</w:t>
      </w:r>
      <w:r>
        <w:rPr>
          <w:rFonts w:ascii="KaiTi" w:hAnsi="KaiTi" w:eastAsia="KaiTi" w:cs="KaiTi"/>
          <w:sz w:val="16"/>
          <w:szCs w:val="16"/>
          <w:spacing w:val="-36"/>
        </w:rPr>
        <w:t xml:space="preserve"> </w:t>
      </w:r>
      <w:r>
        <w:rPr>
          <w:rFonts w:ascii="Times New Roman" w:hAnsi="Times New Roman" w:eastAsia="Times New Roman" w:cs="Times New Roman"/>
          <w:sz w:val="16"/>
          <w:szCs w:val="16"/>
        </w:rPr>
        <w:t>KLEMS</w:t>
      </w:r>
      <w:r>
        <w:rPr>
          <w:rFonts w:ascii="Times New Roman" w:hAnsi="Times New Roman" w:eastAsia="Times New Roman" w:cs="Times New Roman"/>
          <w:sz w:val="16"/>
          <w:szCs w:val="16"/>
          <w:spacing w:val="13"/>
        </w:rPr>
        <w:t xml:space="preserve"> </w:t>
      </w:r>
      <w:r>
        <w:rPr>
          <w:rFonts w:ascii="KaiTi" w:hAnsi="KaiTi" w:eastAsia="KaiTi" w:cs="KaiTi"/>
          <w:sz w:val="16"/>
          <w:szCs w:val="16"/>
          <w:spacing w:val="13"/>
        </w:rPr>
        <w:t>原则，并加入以哈佛大学为基地的</w:t>
      </w:r>
      <w:r>
        <w:rPr>
          <w:rFonts w:ascii="KaiTi" w:hAnsi="KaiTi" w:eastAsia="KaiTi" w:cs="KaiTi"/>
          <w:sz w:val="16"/>
          <w:szCs w:val="16"/>
          <w:spacing w:val="-46"/>
        </w:rPr>
        <w:t xml:space="preserve"> </w:t>
      </w:r>
      <w:r>
        <w:rPr>
          <w:rFonts w:ascii="Times New Roman" w:hAnsi="Times New Roman" w:eastAsia="Times New Roman" w:cs="Times New Roman"/>
          <w:sz w:val="16"/>
          <w:szCs w:val="16"/>
        </w:rPr>
        <w:t>World</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KLEMS</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rPr>
        <w:t>Initiative</w:t>
      </w:r>
      <w:r>
        <w:rPr>
          <w:rFonts w:ascii="Times New Roman" w:hAnsi="Times New Roman" w:eastAsia="Times New Roman" w:cs="Times New Roman"/>
          <w:sz w:val="16"/>
          <w:szCs w:val="16"/>
          <w:spacing w:val="13"/>
        </w:rPr>
        <w:t>,  </w:t>
      </w:r>
      <w:r>
        <w:rPr>
          <w:rFonts w:ascii="KaiTi" w:hAnsi="KaiTi" w:eastAsia="KaiTi" w:cs="KaiTi"/>
          <w:sz w:val="16"/>
          <w:szCs w:val="16"/>
          <w:spacing w:val="13"/>
        </w:rPr>
        <w:t>亦称为</w:t>
      </w:r>
      <w:r>
        <w:rPr>
          <w:rFonts w:ascii="KaiTi" w:hAnsi="KaiTi" w:eastAsia="KaiTi" w:cs="KaiTi"/>
          <w:sz w:val="16"/>
          <w:szCs w:val="16"/>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rPr>
        <w:t>KLEMS</w:t>
      </w:r>
      <w:r>
        <w:rPr>
          <w:rFonts w:ascii="Times New Roman" w:hAnsi="Times New Roman" w:eastAsia="Times New Roman" w:cs="Times New Roman"/>
          <w:sz w:val="16"/>
          <w:szCs w:val="16"/>
          <w:spacing w:val="9"/>
        </w:rPr>
        <w:t xml:space="preserve"> </w:t>
      </w:r>
      <w:r>
        <w:rPr>
          <w:rFonts w:ascii="KaiTi" w:hAnsi="KaiTi" w:eastAsia="KaiTi" w:cs="KaiTi"/>
          <w:sz w:val="16"/>
          <w:szCs w:val="16"/>
          <w:spacing w:val="9"/>
        </w:rPr>
        <w:t>数据库。关于该数据库的数据构建，可参见伍晓鹰及</w:t>
      </w:r>
      <w:r>
        <w:rPr>
          <w:rFonts w:ascii="KaiTi" w:hAnsi="KaiTi" w:eastAsia="KaiTi" w:cs="KaiTi"/>
          <w:sz w:val="16"/>
          <w:szCs w:val="16"/>
          <w:spacing w:val="8"/>
        </w:rPr>
        <w:t>合作者的相</w:t>
      </w:r>
      <w:r>
        <w:rPr>
          <w:rFonts w:ascii="KaiTi" w:hAnsi="KaiTi" w:eastAsia="KaiTi" w:cs="KaiTi"/>
          <w:sz w:val="16"/>
          <w:szCs w:val="16"/>
        </w:rPr>
        <w:t xml:space="preserve"> </w:t>
      </w:r>
      <w:r>
        <w:rPr>
          <w:rFonts w:ascii="KaiTi" w:hAnsi="KaiTi" w:eastAsia="KaiTi" w:cs="KaiTi"/>
          <w:sz w:val="16"/>
          <w:szCs w:val="16"/>
          <w:spacing w:val="4"/>
        </w:rPr>
        <w:t>关研究，如投入产出表时间序列构建、产出与中间投入价格问题、劳动投入测算</w:t>
      </w:r>
      <w:r>
        <w:rPr>
          <w:rFonts w:ascii="KaiTi" w:hAnsi="KaiTi" w:eastAsia="KaiTi" w:cs="KaiTi"/>
          <w:sz w:val="16"/>
          <w:szCs w:val="16"/>
          <w:spacing w:val="5"/>
        </w:rPr>
        <w:t xml:space="preserve"> </w:t>
      </w:r>
      <w:r>
        <w:rPr>
          <w:rFonts w:ascii="KaiTi" w:hAnsi="KaiTi" w:eastAsia="KaiTi" w:cs="KaiTi"/>
          <w:sz w:val="16"/>
          <w:szCs w:val="16"/>
          <w:spacing w:val="5"/>
        </w:rPr>
        <w:t>及关于资本投入测算的问题等：</w:t>
      </w:r>
      <w:r>
        <w:rPr>
          <w:rFonts w:ascii="KaiTi" w:hAnsi="KaiTi" w:eastAsia="KaiTi" w:cs="KaiTi"/>
          <w:sz w:val="16"/>
          <w:szCs w:val="16"/>
        </w:rPr>
        <w:t>H</w:t>
      </w:r>
      <w:r>
        <w:rPr>
          <w:rFonts w:ascii="KaiTi" w:hAnsi="KaiTi" w:eastAsia="KaiTi" w:cs="KaiTi"/>
          <w:sz w:val="16"/>
          <w:szCs w:val="16"/>
          <w:spacing w:val="-5"/>
        </w:rPr>
        <w:t xml:space="preserve"> </w:t>
      </w:r>
      <w:r>
        <w:rPr>
          <w:rFonts w:ascii="Times New Roman" w:hAnsi="Times New Roman" w:eastAsia="Times New Roman" w:cs="Times New Roman"/>
          <w:sz w:val="16"/>
          <w:szCs w:val="16"/>
        </w:rPr>
        <w:t>arry</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rPr>
        <w:t>X</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Wu</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Keiko</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rPr>
        <w:t>lIto</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Reconstruction</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5"/>
        </w:rPr>
        <w:t>'s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National Output and Income Accounts and </w:t>
      </w:r>
      <w:r>
        <w:rPr>
          <w:rFonts w:ascii="Times New Roman" w:hAnsi="Times New Roman" w:eastAsia="Times New Roman" w:cs="Times New Roman"/>
          <w:sz w:val="16"/>
          <w:szCs w:val="16"/>
          <w:spacing w:val="-2"/>
        </w:rPr>
        <w:t>Supply-Use and</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2"/>
        </w:rPr>
        <w:t>Input-Output Accounts</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2"/>
        </w:rPr>
        <w:t>in</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2"/>
        </w:rPr>
        <w:t>Time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Series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RIETI</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Discussion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Papers</w:t>
      </w:r>
      <w:r>
        <w:rPr>
          <w:rFonts w:ascii="Times New Roman" w:hAnsi="Times New Roman" w:eastAsia="Times New Roman" w:cs="Times New Roman"/>
          <w:sz w:val="16"/>
          <w:szCs w:val="16"/>
          <w:spacing w:val="1"/>
        </w:rPr>
        <w:t>,15-E-004,2</w:t>
      </w:r>
      <w:r>
        <w:rPr>
          <w:rFonts w:ascii="Times New Roman" w:hAnsi="Times New Roman" w:eastAsia="Times New Roman" w:cs="Times New Roman"/>
          <w:sz w:val="16"/>
          <w:szCs w:val="16"/>
        </w:rPr>
        <w:t>015;Harry   X.Wu,Zhan   Li,“Reassessing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s</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rPr>
        <w:t>GDP</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Growth</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Performance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An</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rPr>
        <w:t>Exploration</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Underestimated</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Price</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rPr>
        <w:t>Effect</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RIETI</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Discussion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Papers</w:t>
      </w:r>
      <w:r>
        <w:rPr>
          <w:rFonts w:ascii="Times New Roman" w:hAnsi="Times New Roman" w:eastAsia="Times New Roman" w:cs="Times New Roman"/>
          <w:sz w:val="16"/>
          <w:szCs w:val="16"/>
          <w:spacing w:val="1"/>
        </w:rPr>
        <w:t>,21-E-018,2021;</w:t>
      </w:r>
      <w:r>
        <w:rPr>
          <w:rFonts w:ascii="Times New Roman" w:hAnsi="Times New Roman" w:eastAsia="Times New Roman" w:cs="Times New Roman"/>
          <w:sz w:val="16"/>
          <w:szCs w:val="16"/>
        </w:rPr>
        <w:t>Harry</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Wu</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Ximing</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rPr>
        <w:t>Yue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George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Zhang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“Constructing</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rPr>
        <w:t>Annual</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rPr>
        <w:t>Employment</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30"/>
          <w:w w:val="102"/>
        </w:rPr>
        <w:t xml:space="preserve"> </w:t>
      </w:r>
      <w:r>
        <w:rPr>
          <w:rFonts w:ascii="Times New Roman" w:hAnsi="Times New Roman" w:eastAsia="Times New Roman" w:cs="Times New Roman"/>
          <w:sz w:val="16"/>
          <w:szCs w:val="16"/>
        </w:rPr>
        <w:t>Compensation</w:t>
      </w:r>
      <w:r>
        <w:rPr>
          <w:rFonts w:ascii="Times New Roman" w:hAnsi="Times New Roman" w:eastAsia="Times New Roman" w:cs="Times New Roman"/>
          <w:sz w:val="16"/>
          <w:szCs w:val="16"/>
          <w:spacing w:val="28"/>
        </w:rPr>
        <w:t xml:space="preserve"> </w:t>
      </w:r>
      <w:r>
        <w:rPr>
          <w:rFonts w:ascii="Times New Roman" w:hAnsi="Times New Roman" w:eastAsia="Times New Roman" w:cs="Times New Roman"/>
          <w:sz w:val="16"/>
          <w:szCs w:val="16"/>
        </w:rPr>
        <w:t>Matrices</w:t>
      </w:r>
      <w:r>
        <w:rPr>
          <w:rFonts w:ascii="Times New Roman" w:hAnsi="Times New Roman" w:eastAsia="Times New Roman" w:cs="Times New Roman"/>
          <w:sz w:val="16"/>
          <w:szCs w:val="16"/>
          <w:spacing w:val="30"/>
          <w:w w:val="102"/>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27"/>
          <w:w w:val="101"/>
        </w:rPr>
        <w:t xml:space="preserve"> </w:t>
      </w:r>
      <w:r>
        <w:rPr>
          <w:rFonts w:ascii="Times New Roman" w:hAnsi="Times New Roman" w:eastAsia="Times New Roman" w:cs="Times New Roman"/>
          <w:sz w:val="16"/>
          <w:szCs w:val="16"/>
        </w:rPr>
        <w:t>Measuring</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rPr>
        <w:t>L</w:t>
      </w:r>
      <w:r>
        <w:rPr>
          <w:rFonts w:ascii="Times New Roman" w:hAnsi="Times New Roman" w:eastAsia="Times New Roman" w:cs="Times New Roman"/>
          <w:sz w:val="16"/>
          <w:szCs w:val="16"/>
          <w:spacing w:val="-1"/>
        </w:rPr>
        <w:t>abor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Input</w:t>
      </w:r>
      <w:r>
        <w:rPr>
          <w:rFonts w:ascii="Times New Roman" w:hAnsi="Times New Roman" w:eastAsia="Times New Roman" w:cs="Times New Roman"/>
          <w:sz w:val="16"/>
          <w:szCs w:val="16"/>
          <w:spacing w:val="24"/>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RIETI</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Discussion</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Papers</w:t>
      </w:r>
      <w:r>
        <w:rPr>
          <w:rFonts w:ascii="Times New Roman" w:hAnsi="Times New Roman" w:eastAsia="Times New Roman" w:cs="Times New Roman"/>
          <w:sz w:val="16"/>
          <w:szCs w:val="16"/>
          <w:spacing w:val="1"/>
        </w:rPr>
        <w:t>,15-E-005,2015.</w:t>
      </w:r>
    </w:p>
    <w:p>
      <w:pPr>
        <w:ind w:left="329" w:right="28" w:hanging="309"/>
        <w:spacing w:before="110" w:line="275" w:lineRule="auto"/>
        <w:rPr>
          <w:rFonts w:ascii="Times New Roman" w:hAnsi="Times New Roman" w:eastAsia="Times New Roman" w:cs="Times New Roman"/>
          <w:sz w:val="16"/>
          <w:szCs w:val="16"/>
        </w:rPr>
      </w:pPr>
      <w:r>
        <w:rPr>
          <w:rFonts w:ascii="KaiTi" w:hAnsi="KaiTi" w:eastAsia="KaiTi" w:cs="KaiTi"/>
          <w:sz w:val="16"/>
          <w:szCs w:val="16"/>
          <w:spacing w:val="10"/>
        </w:rPr>
        <w:t>②</w:t>
      </w:r>
      <w:r>
        <w:rPr>
          <w:rFonts w:ascii="KaiTi" w:hAnsi="KaiTi" w:eastAsia="KaiTi" w:cs="KaiTi"/>
          <w:sz w:val="16"/>
          <w:szCs w:val="16"/>
          <w:spacing w:val="4"/>
        </w:rPr>
        <w:t xml:space="preserve">  </w:t>
      </w:r>
      <w:r>
        <w:rPr>
          <w:rFonts w:ascii="KaiTi" w:hAnsi="KaiTi" w:eastAsia="KaiTi" w:cs="KaiTi"/>
          <w:sz w:val="16"/>
          <w:szCs w:val="16"/>
          <w:spacing w:val="10"/>
        </w:rPr>
        <w:t>参见玛丽·奥马奥尼关于欧盟</w:t>
      </w:r>
      <w:r>
        <w:rPr>
          <w:rFonts w:ascii="SimSun" w:hAnsi="SimSun" w:eastAsia="SimSun" w:cs="SimSun"/>
          <w:sz w:val="16"/>
          <w:szCs w:val="16"/>
        </w:rPr>
        <w:t>KLEMS</w:t>
      </w:r>
      <w:r>
        <w:rPr>
          <w:rFonts w:ascii="SimSun" w:hAnsi="SimSun" w:eastAsia="SimSun" w:cs="SimSun"/>
          <w:sz w:val="16"/>
          <w:szCs w:val="16"/>
          <w:spacing w:val="10"/>
        </w:rPr>
        <w:t xml:space="preserve">  </w:t>
      </w:r>
      <w:r>
        <w:rPr>
          <w:rFonts w:ascii="KaiTi" w:hAnsi="KaiTi" w:eastAsia="KaiTi" w:cs="KaiTi"/>
          <w:sz w:val="16"/>
          <w:szCs w:val="16"/>
          <w:spacing w:val="10"/>
        </w:rPr>
        <w:t>数据库的构建：</w:t>
      </w:r>
      <w:r>
        <w:rPr>
          <w:rFonts w:ascii="KaiTi" w:hAnsi="KaiTi" w:eastAsia="KaiTi" w:cs="KaiTi"/>
          <w:sz w:val="16"/>
          <w:szCs w:val="16"/>
        </w:rPr>
        <w:t>Mary</w:t>
      </w:r>
      <w:r>
        <w:rPr>
          <w:rFonts w:ascii="KaiTi" w:hAnsi="KaiTi" w:eastAsia="KaiTi" w:cs="KaiTi"/>
          <w:sz w:val="16"/>
          <w:szCs w:val="16"/>
          <w:spacing w:val="10"/>
        </w:rPr>
        <w:t xml:space="preserve">  </w:t>
      </w:r>
      <w:r>
        <w:rPr>
          <w:rFonts w:ascii="KaiTi" w:hAnsi="KaiTi" w:eastAsia="KaiTi" w:cs="KaiTi"/>
          <w:sz w:val="16"/>
          <w:szCs w:val="16"/>
        </w:rPr>
        <w:t>O</w:t>
      </w:r>
      <w:r>
        <w:rPr>
          <w:rFonts w:ascii="KaiTi" w:hAnsi="KaiTi" w:eastAsia="KaiTi" w:cs="KaiTi"/>
          <w:sz w:val="16"/>
          <w:szCs w:val="16"/>
          <w:spacing w:val="10"/>
        </w:rPr>
        <w:t>"</w:t>
      </w:r>
      <w:r>
        <w:rPr>
          <w:rFonts w:ascii="KaiTi" w:hAnsi="KaiTi" w:eastAsia="KaiTi" w:cs="KaiTi"/>
          <w:sz w:val="16"/>
          <w:szCs w:val="16"/>
        </w:rPr>
        <w:t>Mahony</w:t>
      </w:r>
      <w:r>
        <w:rPr>
          <w:rFonts w:ascii="KaiTi" w:hAnsi="KaiTi" w:eastAsia="KaiTi" w:cs="KaiTi"/>
          <w:sz w:val="16"/>
          <w:szCs w:val="16"/>
          <w:spacing w:val="10"/>
        </w:rPr>
        <w:t>,</w:t>
      </w:r>
      <w:r>
        <w:rPr>
          <w:rFonts w:ascii="Times New Roman" w:hAnsi="Times New Roman" w:eastAsia="Times New Roman" w:cs="Times New Roman"/>
          <w:sz w:val="16"/>
          <w:szCs w:val="16"/>
        </w:rPr>
        <w:t>Marcel </w:t>
      </w:r>
      <w:r>
        <w:rPr>
          <w:rFonts w:ascii="Times New Roman" w:hAnsi="Times New Roman" w:eastAsia="Times New Roman" w:cs="Times New Roman"/>
          <w:sz w:val="16"/>
          <w:szCs w:val="16"/>
        </w:rPr>
        <w:t>P.Timmer,“Output,Input</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Productivity</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rPr>
        <w:t>M</w:t>
      </w:r>
      <w:r>
        <w:rPr>
          <w:rFonts w:ascii="Times New Roman" w:hAnsi="Times New Roman" w:eastAsia="Times New Roman" w:cs="Times New Roman"/>
          <w:sz w:val="16"/>
          <w:szCs w:val="16"/>
          <w:spacing w:val="-1"/>
        </w:rPr>
        <w:t>easures</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spacing w:val="-1"/>
        </w:rPr>
        <w:t>at  the   Industry</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Level:The</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EU</w:t>
      </w:r>
    </w:p>
    <w:p>
      <w:pPr>
        <w:ind w:left="329"/>
        <w:spacing w:before="12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KLEMS</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rPr>
        <w:t>Database</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The</w:t>
      </w:r>
      <w:r>
        <w:rPr>
          <w:rFonts w:ascii="Times New Roman" w:hAnsi="Times New Roman" w:eastAsia="Times New Roman" w:cs="Times New Roman"/>
          <w:sz w:val="16"/>
          <w:szCs w:val="16"/>
          <w:i/>
          <w:iCs/>
          <w:spacing w:val="16"/>
          <w:w w:val="101"/>
        </w:rPr>
        <w:t xml:space="preserve">  </w:t>
      </w:r>
      <w:r>
        <w:rPr>
          <w:rFonts w:ascii="Times New Roman" w:hAnsi="Times New Roman" w:eastAsia="Times New Roman" w:cs="Times New Roman"/>
          <w:sz w:val="16"/>
          <w:szCs w:val="16"/>
          <w:i/>
          <w:iCs/>
        </w:rPr>
        <w:t>Economic</w:t>
      </w:r>
      <w:r>
        <w:rPr>
          <w:rFonts w:ascii="Times New Roman" w:hAnsi="Times New Roman" w:eastAsia="Times New Roman" w:cs="Times New Roman"/>
          <w:sz w:val="16"/>
          <w:szCs w:val="16"/>
          <w:i/>
          <w:iCs/>
          <w:spacing w:val="11"/>
        </w:rPr>
        <w:t xml:space="preserve">  </w:t>
      </w:r>
      <w:r>
        <w:rPr>
          <w:rFonts w:ascii="Times New Roman" w:hAnsi="Times New Roman" w:eastAsia="Times New Roman" w:cs="Times New Roman"/>
          <w:sz w:val="16"/>
          <w:szCs w:val="16"/>
          <w:i/>
          <w:iCs/>
        </w:rPr>
        <w:t>Journal</w:t>
      </w:r>
      <w:r>
        <w:rPr>
          <w:rFonts w:ascii="Times New Roman" w:hAnsi="Times New Roman" w:eastAsia="Times New Roman" w:cs="Times New Roman"/>
          <w:sz w:val="16"/>
          <w:szCs w:val="16"/>
          <w:i/>
          <w:iCs/>
          <w:spacing w:val="1"/>
        </w:rPr>
        <w:t>,2009,119(538):F374-F403.</w:t>
      </w:r>
    </w:p>
    <w:p>
      <w:pPr>
        <w:spacing w:line="192" w:lineRule="auto"/>
        <w:sectPr>
          <w:headerReference w:type="default" r:id="rId104"/>
          <w:pgSz w:w="7330" w:h="12480"/>
          <w:pgMar w:top="519" w:right="628" w:bottom="400" w:left="639" w:header="355" w:footer="0" w:gutter="0"/>
        </w:sectPr>
        <w:rPr>
          <w:rFonts w:ascii="Times New Roman" w:hAnsi="Times New Roman" w:eastAsia="Times New Roman" w:cs="Times New Roman"/>
          <w:sz w:val="16"/>
          <w:szCs w:val="16"/>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right="170" w:firstLine="105"/>
        <w:spacing w:before="68" w:line="304" w:lineRule="auto"/>
        <w:jc w:val="both"/>
        <w:rPr>
          <w:rFonts w:ascii="SimSun" w:hAnsi="SimSun" w:eastAsia="SimSun" w:cs="SimSun"/>
          <w:sz w:val="21"/>
          <w:szCs w:val="21"/>
        </w:rPr>
      </w:pPr>
      <w:r>
        <w:rPr>
          <w:rFonts w:ascii="SimSun" w:hAnsi="SimSun" w:eastAsia="SimSun" w:cs="SimSun"/>
          <w:sz w:val="21"/>
          <w:szCs w:val="21"/>
          <w:spacing w:val="-11"/>
        </w:rPr>
        <w:t>概念、覆盖、分类等方面的一致性问题，以及使用官方其他数据以填</w:t>
      </w:r>
      <w:r>
        <w:rPr>
          <w:rFonts w:ascii="SimSun" w:hAnsi="SimSun" w:eastAsia="SimSun" w:cs="SimSun"/>
          <w:sz w:val="21"/>
          <w:szCs w:val="21"/>
          <w:spacing w:val="18"/>
        </w:rPr>
        <w:t xml:space="preserve"> </w:t>
      </w:r>
      <w:r>
        <w:rPr>
          <w:rFonts w:ascii="SimSun" w:hAnsi="SimSun" w:eastAsia="SimSun" w:cs="SimSun"/>
          <w:sz w:val="21"/>
          <w:szCs w:val="21"/>
          <w:spacing w:val="-8"/>
        </w:rPr>
        <w:t>补数据空白和修复断裂。然而，不改变官方数据并不意味着结果与官</w:t>
      </w:r>
      <w:r>
        <w:rPr>
          <w:rFonts w:ascii="SimSun" w:hAnsi="SimSun" w:eastAsia="SimSun" w:cs="SimSun"/>
          <w:sz w:val="21"/>
          <w:szCs w:val="21"/>
          <w:spacing w:val="15"/>
        </w:rPr>
        <w:t xml:space="preserve"> </w:t>
      </w:r>
      <w:r>
        <w:rPr>
          <w:rFonts w:ascii="SimSun" w:hAnsi="SimSun" w:eastAsia="SimSun" w:cs="SimSun"/>
          <w:sz w:val="21"/>
          <w:szCs w:val="21"/>
          <w:spacing w:val="-7"/>
        </w:rPr>
        <w:t>方一致。事实上，由于依据理论而不是遵循“官方统计惯例”处理测</w:t>
      </w:r>
      <w:r>
        <w:rPr>
          <w:rFonts w:ascii="SimSun" w:hAnsi="SimSun" w:eastAsia="SimSun" w:cs="SimSun"/>
          <w:sz w:val="21"/>
          <w:szCs w:val="21"/>
          <w:spacing w:val="10"/>
        </w:rPr>
        <w:t xml:space="preserve"> </w:t>
      </w:r>
      <w:r>
        <w:rPr>
          <w:rFonts w:ascii="SimSun" w:hAnsi="SimSun" w:eastAsia="SimSun" w:cs="SimSun"/>
          <w:sz w:val="21"/>
          <w:szCs w:val="21"/>
          <w:spacing w:val="-7"/>
        </w:rPr>
        <w:t>算问题，我们的结果在一些方面与官方并不一致，其中特别体现在对</w:t>
      </w:r>
      <w:r>
        <w:rPr>
          <w:rFonts w:ascii="SimSun" w:hAnsi="SimSun" w:eastAsia="SimSun" w:cs="SimSun"/>
          <w:sz w:val="21"/>
          <w:szCs w:val="21"/>
          <w:spacing w:val="2"/>
        </w:rPr>
        <w:t xml:space="preserve"> </w:t>
      </w:r>
      <w:r>
        <w:rPr>
          <w:rFonts w:ascii="SimSun" w:hAnsi="SimSun" w:eastAsia="SimSun" w:cs="SimSun"/>
          <w:sz w:val="21"/>
          <w:szCs w:val="21"/>
        </w:rPr>
        <w:t>实际</w:t>
      </w:r>
      <w:r>
        <w:rPr>
          <w:rFonts w:ascii="Times New Roman" w:hAnsi="Times New Roman" w:eastAsia="Times New Roman" w:cs="Times New Roman"/>
          <w:sz w:val="21"/>
          <w:szCs w:val="21"/>
        </w:rPr>
        <w:t>GDP</w:t>
      </w:r>
      <w:r>
        <w:rPr>
          <w:rFonts w:ascii="SimSun" w:hAnsi="SimSun" w:eastAsia="SimSun" w:cs="SimSun"/>
          <w:sz w:val="21"/>
          <w:szCs w:val="21"/>
        </w:rPr>
        <w:t>增长速度的估计上。在必要时，我们提供了使用旨在解决</w:t>
      </w:r>
      <w:r>
        <w:rPr>
          <w:rFonts w:ascii="SimSun" w:hAnsi="SimSun" w:eastAsia="SimSun" w:cs="SimSun"/>
          <w:sz w:val="21"/>
          <w:szCs w:val="21"/>
          <w:spacing w:val="1"/>
        </w:rPr>
        <w:t xml:space="preserve"> </w:t>
      </w:r>
      <w:r>
        <w:rPr>
          <w:rFonts w:ascii="SimSun" w:hAnsi="SimSun" w:eastAsia="SimSun" w:cs="SimSun"/>
          <w:sz w:val="21"/>
          <w:szCs w:val="21"/>
        </w:rPr>
        <w:t>投入和产出价格波动不一致问题的“价格双平减方法”以及用解决</w:t>
      </w:r>
      <w:r>
        <w:rPr>
          <w:rFonts w:ascii="SimSun" w:hAnsi="SimSun" w:eastAsia="SimSun" w:cs="SimSun"/>
          <w:sz w:val="21"/>
          <w:szCs w:val="21"/>
          <w:spacing w:val="2"/>
        </w:rPr>
        <w:t xml:space="preserve"> </w:t>
      </w:r>
      <w:r>
        <w:rPr>
          <w:rFonts w:ascii="SimSun" w:hAnsi="SimSun" w:eastAsia="SimSun" w:cs="SimSun"/>
          <w:sz w:val="21"/>
          <w:szCs w:val="21"/>
          <w:spacing w:val="-11"/>
        </w:rPr>
        <w:t>“替代偏差”①问题的</w:t>
      </w:r>
      <w:r>
        <w:rPr>
          <w:rFonts w:ascii="Times New Roman" w:hAnsi="Times New Roman" w:eastAsia="Times New Roman" w:cs="Times New Roman"/>
          <w:sz w:val="21"/>
          <w:szCs w:val="21"/>
          <w:spacing w:val="-11"/>
        </w:rPr>
        <w:t>Törnqvist</w:t>
      </w:r>
      <w:r>
        <w:rPr>
          <w:rFonts w:ascii="SimSun" w:hAnsi="SimSun" w:eastAsia="SimSun" w:cs="SimSun"/>
          <w:sz w:val="21"/>
          <w:szCs w:val="21"/>
          <w:spacing w:val="-11"/>
        </w:rPr>
        <w:t>加总方法得出的不同估计结果，将其与</w:t>
      </w:r>
      <w:r>
        <w:rPr>
          <w:rFonts w:ascii="SimSun" w:hAnsi="SimSun" w:eastAsia="SimSun" w:cs="SimSun"/>
          <w:sz w:val="21"/>
          <w:szCs w:val="21"/>
          <w:spacing w:val="9"/>
        </w:rPr>
        <w:t xml:space="preserve"> </w:t>
      </w:r>
      <w:r>
        <w:rPr>
          <w:rFonts w:ascii="SimSun" w:hAnsi="SimSun" w:eastAsia="SimSun" w:cs="SimSun"/>
          <w:sz w:val="21"/>
          <w:szCs w:val="21"/>
          <w:spacing w:val="-8"/>
        </w:rPr>
        <w:t>官方增长率进行了比较，分析了原因，也提出了恰当的解读方法。</w:t>
      </w:r>
    </w:p>
    <w:p>
      <w:pPr>
        <w:pStyle w:val="BodyText"/>
        <w:spacing w:line="383" w:lineRule="auto"/>
        <w:rPr/>
      </w:pPr>
      <w:r/>
    </w:p>
    <w:p>
      <w:pPr>
        <w:pStyle w:val="BodyText"/>
        <w:ind w:left="108"/>
        <w:spacing w:before="82" w:line="213" w:lineRule="auto"/>
        <w:rPr>
          <w:rFonts w:ascii="SimHei" w:hAnsi="SimHei" w:eastAsia="SimHei" w:cs="SimHei"/>
          <w:sz w:val="25"/>
          <w:szCs w:val="25"/>
        </w:rPr>
      </w:pPr>
      <w:r>
        <w:rPr>
          <w:rFonts w:ascii="SimHei" w:hAnsi="SimHei" w:eastAsia="SimHei" w:cs="SimHei"/>
          <w:sz w:val="25"/>
          <w:szCs w:val="25"/>
          <w:b/>
          <w:bCs/>
          <w:spacing w:val="-9"/>
        </w:rPr>
        <w:t>行业分类与</w:t>
      </w:r>
      <w:r>
        <w:rPr>
          <w:sz w:val="25"/>
          <w:szCs w:val="25"/>
          <w:b/>
          <w:bCs/>
          <w:spacing w:val="-9"/>
        </w:rPr>
        <w:t>ICT</w:t>
      </w:r>
      <w:r>
        <w:rPr>
          <w:sz w:val="25"/>
          <w:szCs w:val="25"/>
          <w:b/>
          <w:bCs/>
          <w:spacing w:val="19"/>
        </w:rPr>
        <w:t xml:space="preserve"> </w:t>
      </w:r>
      <w:r>
        <w:rPr>
          <w:rFonts w:ascii="SimHei" w:hAnsi="SimHei" w:eastAsia="SimHei" w:cs="SimHei"/>
          <w:sz w:val="25"/>
          <w:szCs w:val="25"/>
          <w:b/>
          <w:bCs/>
          <w:spacing w:val="-9"/>
        </w:rPr>
        <w:t>特征分组，以及预期增长和效率</w:t>
      </w:r>
      <w:r>
        <w:rPr>
          <w:rFonts w:ascii="SimHei" w:hAnsi="SimHei" w:eastAsia="SimHei" w:cs="SimHei"/>
          <w:sz w:val="25"/>
          <w:szCs w:val="25"/>
          <w:b/>
          <w:bCs/>
          <w:spacing w:val="-10"/>
        </w:rPr>
        <w:t>表现</w:t>
      </w:r>
    </w:p>
    <w:p>
      <w:pPr>
        <w:pStyle w:val="BodyText"/>
        <w:spacing w:line="365" w:lineRule="auto"/>
        <w:rPr/>
      </w:pPr>
      <w:r/>
    </w:p>
    <w:p>
      <w:pPr>
        <w:ind w:left="105" w:right="81" w:firstLine="409"/>
        <w:spacing w:before="69" w:line="309" w:lineRule="auto"/>
        <w:jc w:val="both"/>
        <w:rPr>
          <w:rFonts w:ascii="Times New Roman" w:hAnsi="Times New Roman" w:eastAsia="Times New Roman" w:cs="Times New Roman"/>
          <w:sz w:val="21"/>
          <w:szCs w:val="21"/>
        </w:rPr>
      </w:pPr>
      <w:r>
        <w:rPr>
          <w:rFonts w:ascii="SimSun" w:hAnsi="SimSun" w:eastAsia="SimSun" w:cs="SimSun"/>
          <w:sz w:val="21"/>
          <w:szCs w:val="21"/>
          <w:spacing w:val="-3"/>
        </w:rPr>
        <w:t>该数据库通过37个行业分类体系对中国经</w:t>
      </w:r>
      <w:r>
        <w:rPr>
          <w:rFonts w:ascii="SimSun" w:hAnsi="SimSun" w:eastAsia="SimSun" w:cs="SimSun"/>
          <w:sz w:val="21"/>
          <w:szCs w:val="21"/>
          <w:spacing w:val="-4"/>
        </w:rPr>
        <w:t>济实现了全覆盖。这</w:t>
      </w:r>
      <w:r>
        <w:rPr>
          <w:rFonts w:ascii="SimSun" w:hAnsi="SimSun" w:eastAsia="SimSun" w:cs="SimSun"/>
          <w:sz w:val="21"/>
          <w:szCs w:val="21"/>
        </w:rPr>
        <w:t xml:space="preserve">  </w:t>
      </w:r>
      <w:r>
        <w:rPr>
          <w:rFonts w:ascii="SimSun" w:hAnsi="SimSun" w:eastAsia="SimSun" w:cs="SimSun"/>
          <w:sz w:val="21"/>
          <w:szCs w:val="21"/>
          <w:spacing w:val="-8"/>
        </w:rPr>
        <w:t>个分类与欧盟、美国和日本的</w:t>
      </w:r>
      <w:r>
        <w:rPr>
          <w:rFonts w:ascii="Times New Roman" w:hAnsi="Times New Roman" w:eastAsia="Times New Roman" w:cs="Times New Roman"/>
          <w:sz w:val="21"/>
          <w:szCs w:val="21"/>
          <w:spacing w:val="-8"/>
        </w:rPr>
        <w:t>KLEMS </w:t>
      </w:r>
      <w:r>
        <w:rPr>
          <w:rFonts w:ascii="SimSun" w:hAnsi="SimSun" w:eastAsia="SimSun" w:cs="SimSun"/>
          <w:sz w:val="21"/>
          <w:szCs w:val="21"/>
          <w:spacing w:val="-8"/>
        </w:rPr>
        <w:t>数据库行业分类相契合，</w:t>
      </w:r>
      <w:r>
        <w:rPr>
          <w:rFonts w:ascii="SimSun" w:hAnsi="SimSun" w:eastAsia="SimSun" w:cs="SimSun"/>
          <w:sz w:val="21"/>
          <w:szCs w:val="21"/>
          <w:spacing w:val="-9"/>
        </w:rPr>
        <w:t>也接</w:t>
      </w:r>
      <w:r>
        <w:rPr>
          <w:rFonts w:ascii="SimSun" w:hAnsi="SimSun" w:eastAsia="SimSun" w:cs="SimSun"/>
          <w:sz w:val="21"/>
          <w:szCs w:val="21"/>
        </w:rPr>
        <w:t xml:space="preserve">  </w:t>
      </w:r>
      <w:r>
        <w:rPr>
          <w:rFonts w:ascii="SimSun" w:hAnsi="SimSun" w:eastAsia="SimSun" w:cs="SimSun"/>
          <w:sz w:val="21"/>
          <w:szCs w:val="21"/>
          <w:spacing w:val="-10"/>
        </w:rPr>
        <w:t>近国际行业分类标准中的两位数标准。特别</w:t>
      </w:r>
      <w:r>
        <w:rPr>
          <w:rFonts w:ascii="SimSun" w:hAnsi="SimSun" w:eastAsia="SimSun" w:cs="SimSun"/>
          <w:sz w:val="21"/>
          <w:szCs w:val="21"/>
          <w:spacing w:val="-11"/>
        </w:rPr>
        <w:t>是它基本上遵循了中国工</w:t>
      </w:r>
      <w:r>
        <w:rPr>
          <w:rFonts w:ascii="SimSun" w:hAnsi="SimSun" w:eastAsia="SimSun" w:cs="SimSun"/>
          <w:sz w:val="21"/>
          <w:szCs w:val="21"/>
        </w:rPr>
        <w:t xml:space="preserve">  </w:t>
      </w:r>
      <w:r>
        <w:rPr>
          <w:rFonts w:ascii="SimSun" w:hAnsi="SimSun" w:eastAsia="SimSun" w:cs="SimSun"/>
          <w:sz w:val="21"/>
          <w:szCs w:val="21"/>
          <w:spacing w:val="-11"/>
        </w:rPr>
        <w:t>业部门的行业分类标准，只是为了满足较长时间序列的需要而合并了</w:t>
      </w:r>
      <w:r>
        <w:rPr>
          <w:rFonts w:ascii="SimSun" w:hAnsi="SimSun" w:eastAsia="SimSun" w:cs="SimSun"/>
          <w:sz w:val="21"/>
          <w:szCs w:val="21"/>
          <w:spacing w:val="7"/>
        </w:rPr>
        <w:t xml:space="preserve">  </w:t>
      </w:r>
      <w:r>
        <w:rPr>
          <w:rFonts w:ascii="SimSun" w:hAnsi="SimSun" w:eastAsia="SimSun" w:cs="SimSun"/>
          <w:sz w:val="21"/>
          <w:szCs w:val="21"/>
          <w:spacing w:val="-7"/>
        </w:rPr>
        <w:t>其中一些行业，同时也因同样原因合并了第三产业中</w:t>
      </w:r>
      <w:r>
        <w:rPr>
          <w:rFonts w:ascii="SimSun" w:hAnsi="SimSun" w:eastAsia="SimSun" w:cs="SimSun"/>
          <w:sz w:val="21"/>
          <w:szCs w:val="21"/>
          <w:spacing w:val="-8"/>
        </w:rPr>
        <w:t>的一些服务业。</w:t>
      </w:r>
      <w:r>
        <w:rPr>
          <w:rFonts w:ascii="SimSun" w:hAnsi="SimSun" w:eastAsia="SimSun" w:cs="SimSun"/>
          <w:sz w:val="21"/>
          <w:szCs w:val="21"/>
        </w:rPr>
        <w:t xml:space="preserve"> </w:t>
      </w:r>
      <w:r>
        <w:rPr>
          <w:rFonts w:ascii="SimSun" w:hAnsi="SimSun" w:eastAsia="SimSun" w:cs="SimSun"/>
          <w:sz w:val="21"/>
          <w:szCs w:val="21"/>
          <w:spacing w:val="-3"/>
        </w:rPr>
        <w:t>为了突出数字经济的观察视角，以分解和理解</w:t>
      </w:r>
      <w:r>
        <w:rPr>
          <w:rFonts w:ascii="Times New Roman" w:hAnsi="Times New Roman" w:eastAsia="Times New Roman" w:cs="Times New Roman"/>
          <w:sz w:val="21"/>
          <w:szCs w:val="21"/>
          <w:spacing w:val="-3"/>
        </w:rPr>
        <w:t>ICT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相关行业的特征</w:t>
      </w:r>
      <w:r>
        <w:rPr>
          <w:rFonts w:ascii="SimSun" w:hAnsi="SimSun" w:eastAsia="SimSun" w:cs="SimSun"/>
          <w:sz w:val="21"/>
          <w:szCs w:val="21"/>
        </w:rPr>
        <w:t xml:space="preserve">  </w:t>
      </w:r>
      <w:r>
        <w:rPr>
          <w:rFonts w:ascii="SimSun" w:hAnsi="SimSun" w:eastAsia="SimSun" w:cs="SimSun"/>
          <w:sz w:val="21"/>
          <w:szCs w:val="21"/>
          <w:spacing w:val="-1"/>
        </w:rPr>
        <w:t>和影响，有必要将</w:t>
      </w:r>
      <w:r>
        <w:rPr>
          <w:rFonts w:ascii="Times New Roman" w:hAnsi="Times New Roman" w:eastAsia="Times New Roman" w:cs="Times New Roman"/>
          <w:sz w:val="21"/>
          <w:szCs w:val="21"/>
          <w:spacing w:val="-1"/>
        </w:rPr>
        <w:t>CIP </w:t>
      </w:r>
      <w:r>
        <w:rPr>
          <w:rFonts w:ascii="SimSun" w:hAnsi="SimSun" w:eastAsia="SimSun" w:cs="SimSun"/>
          <w:sz w:val="21"/>
          <w:szCs w:val="21"/>
          <w:spacing w:val="-1"/>
        </w:rPr>
        <w:t>数据库中的全部37个行业根据其</w:t>
      </w:r>
      <w:r>
        <w:rPr>
          <w:rFonts w:ascii="Times New Roman" w:hAnsi="Times New Roman" w:eastAsia="Times New Roman" w:cs="Times New Roman"/>
          <w:sz w:val="21"/>
          <w:szCs w:val="21"/>
          <w:spacing w:val="-1"/>
        </w:rPr>
        <w:t>ICT </w:t>
      </w:r>
      <w:r>
        <w:rPr>
          <w:rFonts w:ascii="SimSun" w:hAnsi="SimSun" w:eastAsia="SimSun" w:cs="SimSun"/>
          <w:sz w:val="21"/>
          <w:szCs w:val="21"/>
          <w:spacing w:val="-1"/>
        </w:rPr>
        <w:t>相关性</w:t>
      </w:r>
      <w:r>
        <w:rPr>
          <w:rFonts w:ascii="SimSun" w:hAnsi="SimSun" w:eastAsia="SimSun" w:cs="SimSun"/>
          <w:sz w:val="21"/>
          <w:szCs w:val="21"/>
          <w:spacing w:val="2"/>
        </w:rPr>
        <w:t xml:space="preserve">  </w:t>
      </w:r>
      <w:r>
        <w:rPr>
          <w:rFonts w:ascii="SimSun" w:hAnsi="SimSun" w:eastAsia="SimSun" w:cs="SimSun"/>
          <w:sz w:val="21"/>
          <w:szCs w:val="21"/>
          <w:spacing w:val="-3"/>
        </w:rPr>
        <w:t>进行进一步分组。在反复测算的基础上，我们最后选择以</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资本</w:t>
      </w:r>
      <w:r>
        <w:rPr>
          <w:rFonts w:ascii="SimSun" w:hAnsi="SimSun" w:eastAsia="SimSun" w:cs="SimSun"/>
          <w:sz w:val="21"/>
          <w:szCs w:val="21"/>
          <w:spacing w:val="1"/>
        </w:rPr>
        <w:t xml:space="preserve">  </w:t>
      </w:r>
      <w:r>
        <w:rPr>
          <w:rFonts w:ascii="SimSun" w:hAnsi="SimSun" w:eastAsia="SimSun" w:cs="SimSun"/>
          <w:sz w:val="21"/>
          <w:szCs w:val="21"/>
          <w:spacing w:val="5"/>
        </w:rPr>
        <w:t>投入占全部资本投入的比重(即</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资本集约度)为分组标准</w:t>
      </w:r>
      <w:r>
        <w:rPr>
          <w:rFonts w:ascii="SimSun" w:hAnsi="SimSun" w:eastAsia="SimSun" w:cs="SimSun"/>
          <w:sz w:val="21"/>
          <w:szCs w:val="21"/>
          <w:spacing w:val="4"/>
        </w:rPr>
        <w:t>，将</w:t>
      </w:r>
      <w:r>
        <w:rPr>
          <w:rFonts w:ascii="SimSun" w:hAnsi="SimSun" w:eastAsia="SimSun" w:cs="SimSun"/>
          <w:sz w:val="21"/>
          <w:szCs w:val="21"/>
        </w:rPr>
        <w:t xml:space="preserve">  </w:t>
      </w:r>
      <w:r>
        <w:rPr>
          <w:rFonts w:ascii="SimSun" w:hAnsi="SimSun" w:eastAsia="SimSun" w:cs="SimSun"/>
          <w:sz w:val="21"/>
          <w:szCs w:val="21"/>
          <w:spacing w:val="1"/>
        </w:rPr>
        <w:t>37个行业分成数字经济相关或非相关的9个组。在</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密切相关行</w:t>
      </w:r>
      <w:r>
        <w:rPr>
          <w:rFonts w:ascii="SimSun" w:hAnsi="SimSun" w:eastAsia="SimSun" w:cs="SimSun"/>
          <w:sz w:val="21"/>
          <w:szCs w:val="21"/>
          <w:spacing w:val="2"/>
        </w:rPr>
        <w:t xml:space="preserve">  </w:t>
      </w:r>
      <w:r>
        <w:rPr>
          <w:rFonts w:ascii="SimSun" w:hAnsi="SimSun" w:eastAsia="SimSun" w:cs="SimSun"/>
          <w:sz w:val="21"/>
          <w:szCs w:val="21"/>
          <w:spacing w:val="-3"/>
        </w:rPr>
        <w:t>业中，首先是</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生产行业”作为一组，包括</w:t>
      </w:r>
      <w:r>
        <w:rPr>
          <w:rFonts w:ascii="Times New Roman" w:hAnsi="Times New Roman" w:eastAsia="Times New Roman" w:cs="Times New Roman"/>
          <w:sz w:val="21"/>
          <w:szCs w:val="21"/>
          <w:spacing w:val="-3"/>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硬件(设备和零</w:t>
      </w:r>
      <w:r>
        <w:rPr>
          <w:rFonts w:ascii="SimSun" w:hAnsi="SimSun" w:eastAsia="SimSun" w:cs="SimSun"/>
          <w:sz w:val="21"/>
          <w:szCs w:val="21"/>
        </w:rPr>
        <w:t xml:space="preserve">  </w:t>
      </w:r>
      <w:r>
        <w:rPr>
          <w:rFonts w:ascii="SimSun" w:hAnsi="SimSun" w:eastAsia="SimSun" w:cs="SimSun"/>
          <w:sz w:val="21"/>
          <w:szCs w:val="21"/>
          <w:spacing w:val="-2"/>
        </w:rPr>
        <w:t>部件)、软件的制造业，然后是</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集约使用制造业”和</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集</w:t>
      </w:r>
      <w:r>
        <w:rPr>
          <w:rFonts w:ascii="SimSun" w:hAnsi="SimSun" w:eastAsia="SimSun" w:cs="SimSun"/>
          <w:sz w:val="21"/>
          <w:szCs w:val="21"/>
        </w:rPr>
        <w:t xml:space="preserve">  </w:t>
      </w:r>
      <w:r>
        <w:rPr>
          <w:rFonts w:ascii="SimSun" w:hAnsi="SimSun" w:eastAsia="SimSun" w:cs="SimSun"/>
          <w:sz w:val="21"/>
          <w:szCs w:val="21"/>
          <w:spacing w:val="-7"/>
        </w:rPr>
        <w:t>约使用服务业”两组，再就是“非</w:t>
      </w:r>
      <w:r>
        <w:rPr>
          <w:rFonts w:ascii="Times New Roman" w:hAnsi="Times New Roman" w:eastAsia="Times New Roman" w:cs="Times New Roman"/>
          <w:sz w:val="21"/>
          <w:szCs w:val="21"/>
          <w:spacing w:val="-7"/>
        </w:rPr>
        <w:t>ICT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集约使用制造业”和“非</w:t>
      </w:r>
      <w:r>
        <w:rPr>
          <w:rFonts w:ascii="Times New Roman" w:hAnsi="Times New Roman" w:eastAsia="Times New Roman" w:cs="Times New Roman"/>
          <w:sz w:val="21"/>
          <w:szCs w:val="21"/>
          <w:spacing w:val="-7"/>
        </w:rPr>
        <w:t>ICT</w:t>
      </w:r>
    </w:p>
    <w:p>
      <w:pPr>
        <w:pStyle w:val="BodyText"/>
        <w:spacing w:line="271" w:lineRule="auto"/>
        <w:rPr/>
      </w:pPr>
      <w:r/>
    </w:p>
    <w:p>
      <w:pPr>
        <w:ind w:left="434" w:hanging="329"/>
        <w:spacing w:before="52" w:line="283" w:lineRule="auto"/>
        <w:rPr>
          <w:rFonts w:ascii="KaiTi" w:hAnsi="KaiTi" w:eastAsia="KaiTi" w:cs="KaiTi"/>
          <w:sz w:val="16"/>
          <w:szCs w:val="16"/>
        </w:rPr>
      </w:pPr>
      <w:r>
        <w:rPr>
          <w:rFonts w:ascii="KaiTi" w:hAnsi="KaiTi" w:eastAsia="KaiTi" w:cs="KaiTi"/>
          <w:sz w:val="16"/>
          <w:szCs w:val="16"/>
          <w:spacing w:val="8"/>
        </w:rPr>
        <w:t>①</w:t>
      </w:r>
      <w:r>
        <w:rPr>
          <w:rFonts w:ascii="KaiTi" w:hAnsi="KaiTi" w:eastAsia="KaiTi" w:cs="KaiTi"/>
          <w:sz w:val="16"/>
          <w:szCs w:val="16"/>
          <w:spacing w:val="46"/>
        </w:rPr>
        <w:t xml:space="preserve"> </w:t>
      </w:r>
      <w:r>
        <w:rPr>
          <w:rFonts w:ascii="KaiTi" w:hAnsi="KaiTi" w:eastAsia="KaiTi" w:cs="KaiTi"/>
          <w:sz w:val="16"/>
          <w:szCs w:val="16"/>
          <w:spacing w:val="8"/>
        </w:rPr>
        <w:t>替代偏差即将事实上不断变化的部门的产出结构固定在一个</w:t>
      </w:r>
      <w:r>
        <w:rPr>
          <w:rFonts w:ascii="KaiTi" w:hAnsi="KaiTi" w:eastAsia="KaiTi" w:cs="KaiTi"/>
          <w:sz w:val="16"/>
          <w:szCs w:val="16"/>
          <w:spacing w:val="7"/>
        </w:rPr>
        <w:t>人为给定的“基期”</w:t>
      </w:r>
      <w:r>
        <w:rPr>
          <w:rFonts w:ascii="KaiTi" w:hAnsi="KaiTi" w:eastAsia="KaiTi" w:cs="KaiTi"/>
          <w:sz w:val="16"/>
          <w:szCs w:val="16"/>
        </w:rPr>
        <w:t xml:space="preserve"> </w:t>
      </w:r>
      <w:r>
        <w:rPr>
          <w:rFonts w:ascii="KaiTi" w:hAnsi="KaiTi" w:eastAsia="KaiTi" w:cs="KaiTi"/>
          <w:sz w:val="16"/>
          <w:szCs w:val="16"/>
          <w:spacing w:val="2"/>
        </w:rPr>
        <w:t>上，导致对“基期”以后经历价格上升、权重下降的部门产出增长的高估，同时</w:t>
      </w:r>
      <w:r>
        <w:rPr>
          <w:rFonts w:ascii="KaiTi" w:hAnsi="KaiTi" w:eastAsia="KaiTi" w:cs="KaiTi"/>
          <w:sz w:val="16"/>
          <w:szCs w:val="16"/>
          <w:spacing w:val="5"/>
        </w:rPr>
        <w:t xml:space="preserve">   </w:t>
      </w:r>
      <w:r>
        <w:rPr>
          <w:rFonts w:ascii="KaiTi" w:hAnsi="KaiTi" w:eastAsia="KaiTi" w:cs="KaiTi"/>
          <w:sz w:val="16"/>
          <w:szCs w:val="16"/>
          <w:spacing w:val="-2"/>
        </w:rPr>
        <w:t>对情况相反部门增长的低估。</w:t>
      </w:r>
    </w:p>
    <w:p>
      <w:pPr>
        <w:spacing w:line="283" w:lineRule="auto"/>
        <w:sectPr>
          <w:headerReference w:type="default" r:id="rId106"/>
          <w:pgSz w:w="7330" w:h="12480"/>
          <w:pgMar w:top="836" w:right="673" w:bottom="400" w:left="385" w:header="673" w:footer="0" w:gutter="0"/>
        </w:sectPr>
        <w:rPr>
          <w:rFonts w:ascii="KaiTi" w:hAnsi="KaiTi" w:eastAsia="KaiTi" w:cs="KaiTi"/>
          <w:sz w:val="16"/>
          <w:szCs w:val="16"/>
        </w:rPr>
      </w:pP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left="46" w:right="43"/>
        <w:spacing w:before="68" w:line="284" w:lineRule="auto"/>
        <w:jc w:val="both"/>
        <w:rPr>
          <w:rFonts w:ascii="SimSun" w:hAnsi="SimSun" w:eastAsia="SimSun" w:cs="SimSun"/>
          <w:sz w:val="21"/>
          <w:szCs w:val="21"/>
        </w:rPr>
      </w:pPr>
      <w:r>
        <w:rPr>
          <w:rFonts w:ascii="SimSun" w:hAnsi="SimSun" w:eastAsia="SimSun" w:cs="SimSun"/>
          <w:sz w:val="21"/>
          <w:szCs w:val="21"/>
          <w:spacing w:val="-7"/>
        </w:rPr>
        <w:t>集约使用服务业”两组。此外，我们将农业、建筑业和采掘业单列。</w:t>
      </w:r>
      <w:r>
        <w:rPr>
          <w:rFonts w:ascii="SimSun" w:hAnsi="SimSun" w:eastAsia="SimSun" w:cs="SimSun"/>
          <w:sz w:val="21"/>
          <w:szCs w:val="21"/>
          <w:spacing w:val="4"/>
        </w:rPr>
        <w:t xml:space="preserve"> </w:t>
      </w:r>
      <w:r>
        <w:rPr>
          <w:rFonts w:ascii="SimSun" w:hAnsi="SimSun" w:eastAsia="SimSun" w:cs="SimSun"/>
          <w:sz w:val="21"/>
          <w:szCs w:val="21"/>
          <w:spacing w:val="-10"/>
        </w:rPr>
        <w:t>最后，按照国际统计惯例，我们将以提供公共服务为主的政府、教育</w:t>
      </w:r>
      <w:r>
        <w:rPr>
          <w:rFonts w:ascii="SimSun" w:hAnsi="SimSun" w:eastAsia="SimSun" w:cs="SimSun"/>
          <w:sz w:val="21"/>
          <w:szCs w:val="21"/>
          <w:spacing w:val="2"/>
        </w:rPr>
        <w:t xml:space="preserve">  </w:t>
      </w:r>
      <w:r>
        <w:rPr>
          <w:rFonts w:ascii="SimSun" w:hAnsi="SimSun" w:eastAsia="SimSun" w:cs="SimSun"/>
          <w:sz w:val="21"/>
          <w:szCs w:val="21"/>
          <w:spacing w:val="-7"/>
        </w:rPr>
        <w:t>和卫生三个部门归入“非市场服务业”组。(详细分组见本章附录)</w:t>
      </w:r>
    </w:p>
    <w:p>
      <w:pPr>
        <w:ind w:right="108" w:firstLine="506"/>
        <w:spacing w:before="93" w:line="309" w:lineRule="auto"/>
        <w:jc w:val="both"/>
        <w:rPr>
          <w:rFonts w:ascii="SimSun" w:hAnsi="SimSun" w:eastAsia="SimSun" w:cs="SimSun"/>
          <w:sz w:val="21"/>
          <w:szCs w:val="21"/>
        </w:rPr>
      </w:pPr>
      <w:r>
        <w:rPr>
          <w:rFonts w:ascii="SimSun" w:hAnsi="SimSun" w:eastAsia="SimSun" w:cs="SimSun"/>
          <w:sz w:val="21"/>
          <w:szCs w:val="21"/>
          <w:spacing w:val="-11"/>
        </w:rPr>
        <w:t>根据文献中已有的观察和研究⑨,我们对各组的增长和效率或TFP</w:t>
      </w:r>
      <w:r>
        <w:rPr>
          <w:rFonts w:ascii="SimSun" w:hAnsi="SimSun" w:eastAsia="SimSun" w:cs="SimSun"/>
          <w:sz w:val="21"/>
          <w:szCs w:val="21"/>
          <w:spacing w:val="18"/>
        </w:rPr>
        <w:t xml:space="preserve"> </w:t>
      </w:r>
      <w:r>
        <w:rPr>
          <w:rFonts w:ascii="SimSun" w:hAnsi="SimSun" w:eastAsia="SimSun" w:cs="SimSun"/>
          <w:sz w:val="21"/>
          <w:szCs w:val="21"/>
        </w:rPr>
        <w:t>表现有一个大致的预期。考虑到</w:t>
      </w:r>
      <w:r>
        <w:rPr>
          <w:rFonts w:ascii="Times New Roman" w:hAnsi="Times New Roman" w:eastAsia="Times New Roman" w:cs="Times New Roman"/>
          <w:sz w:val="21"/>
          <w:szCs w:val="21"/>
        </w:rPr>
        <w:t>ICT </w:t>
      </w:r>
      <w:r>
        <w:rPr>
          <w:rFonts w:ascii="SimSun" w:hAnsi="SimSun" w:eastAsia="SimSun" w:cs="SimSun"/>
          <w:sz w:val="21"/>
          <w:szCs w:val="21"/>
        </w:rPr>
        <w:t>进步的速度，以及由此导</w:t>
      </w:r>
      <w:r>
        <w:rPr>
          <w:rFonts w:ascii="SimSun" w:hAnsi="SimSun" w:eastAsia="SimSun" w:cs="SimSun"/>
          <w:sz w:val="21"/>
          <w:szCs w:val="21"/>
          <w:spacing w:val="-1"/>
        </w:rPr>
        <w:t>致的</w:t>
      </w:r>
      <w:r>
        <w:rPr>
          <w:rFonts w:ascii="SimSun" w:hAnsi="SimSun" w:eastAsia="SimSun" w:cs="SimSun"/>
          <w:sz w:val="21"/>
          <w:szCs w:val="21"/>
        </w:rPr>
        <w:t xml:space="preserve"> </w:t>
      </w:r>
      <w:r>
        <w:rPr>
          <w:rFonts w:ascii="Times New Roman" w:hAnsi="Times New Roman" w:eastAsia="Times New Roman" w:cs="Times New Roman"/>
          <w:sz w:val="21"/>
          <w:szCs w:val="21"/>
        </w:rPr>
        <w:t>ICT </w:t>
      </w:r>
      <w:r>
        <w:rPr>
          <w:rFonts w:ascii="SimSun" w:hAnsi="SimSun" w:eastAsia="SimSun" w:cs="SimSun"/>
          <w:sz w:val="21"/>
          <w:szCs w:val="21"/>
        </w:rPr>
        <w:t>设备价格下降的速度，也考虑到中国经济目前</w:t>
      </w:r>
      <w:r>
        <w:rPr>
          <w:rFonts w:ascii="SimSun" w:hAnsi="SimSun" w:eastAsia="SimSun" w:cs="SimSun"/>
          <w:sz w:val="21"/>
          <w:szCs w:val="21"/>
          <w:spacing w:val="-1"/>
        </w:rPr>
        <w:t>发展阶段中不同</w:t>
      </w:r>
      <w:r>
        <w:rPr>
          <w:rFonts w:ascii="SimSun" w:hAnsi="SimSun" w:eastAsia="SimSun" w:cs="SimSun"/>
          <w:sz w:val="21"/>
          <w:szCs w:val="21"/>
        </w:rPr>
        <w:t xml:space="preserve"> </w:t>
      </w:r>
      <w:r>
        <w:rPr>
          <w:rFonts w:ascii="SimSun" w:hAnsi="SimSun" w:eastAsia="SimSun" w:cs="SimSun"/>
          <w:sz w:val="21"/>
          <w:szCs w:val="21"/>
          <w:spacing w:val="-1"/>
        </w:rPr>
        <w:t>行业的权重，我们的预期是，不管是否集约使用</w:t>
      </w:r>
      <w:r>
        <w:rPr>
          <w:rFonts w:ascii="Times New Roman" w:hAnsi="Times New Roman" w:eastAsia="Times New Roman" w:cs="Times New Roman"/>
          <w:sz w:val="21"/>
          <w:szCs w:val="21"/>
          <w:spacing w:val="-1"/>
        </w:rPr>
        <w:t>ICT </w:t>
      </w:r>
      <w:r>
        <w:rPr>
          <w:rFonts w:ascii="SimSun" w:hAnsi="SimSun" w:eastAsia="SimSun" w:cs="SimSun"/>
          <w:sz w:val="21"/>
          <w:szCs w:val="21"/>
          <w:spacing w:val="-1"/>
        </w:rPr>
        <w:t>设备，制造业</w:t>
      </w:r>
      <w:r>
        <w:rPr>
          <w:rFonts w:ascii="SimSun" w:hAnsi="SimSun" w:eastAsia="SimSun" w:cs="SimSun"/>
          <w:sz w:val="21"/>
          <w:szCs w:val="21"/>
          <w:spacing w:val="13"/>
        </w:rPr>
        <w:t xml:space="preserve"> </w:t>
      </w:r>
      <w:r>
        <w:rPr>
          <w:rFonts w:ascii="SimSun" w:hAnsi="SimSun" w:eastAsia="SimSun" w:cs="SimSun"/>
          <w:sz w:val="21"/>
          <w:szCs w:val="21"/>
        </w:rPr>
        <w:t>仍然是对增长和效率贡献最大的部门，特别是“ICT</w:t>
      </w:r>
      <w:r>
        <w:rPr>
          <w:rFonts w:ascii="SimSun" w:hAnsi="SimSun" w:eastAsia="SimSun" w:cs="SimSun"/>
          <w:sz w:val="21"/>
          <w:szCs w:val="21"/>
          <w:spacing w:val="-55"/>
        </w:rPr>
        <w:t xml:space="preserve"> </w:t>
      </w:r>
      <w:r>
        <w:rPr>
          <w:rFonts w:ascii="SimSun" w:hAnsi="SimSun" w:eastAsia="SimSun" w:cs="SimSun"/>
          <w:sz w:val="21"/>
          <w:szCs w:val="21"/>
        </w:rPr>
        <w:t>生产部门”和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ICT</w:t>
      </w:r>
      <w:r>
        <w:rPr>
          <w:rFonts w:ascii="SimSun" w:hAnsi="SimSun" w:eastAsia="SimSun" w:cs="SimSun"/>
          <w:sz w:val="21"/>
          <w:szCs w:val="21"/>
          <w:spacing w:val="1"/>
        </w:rPr>
        <w:t>集约使用制造业”这两个组会有更好的表现。至于</w:t>
      </w:r>
      <w:r>
        <w:rPr>
          <w:rFonts w:ascii="Times New Roman" w:hAnsi="Times New Roman" w:eastAsia="Times New Roman" w:cs="Times New Roman"/>
          <w:sz w:val="21"/>
          <w:szCs w:val="21"/>
        </w:rPr>
        <w:t>ICT</w:t>
      </w:r>
      <w:r>
        <w:rPr>
          <w:rFonts w:ascii="SimSun" w:hAnsi="SimSun" w:eastAsia="SimSun" w:cs="SimSun"/>
          <w:sz w:val="21"/>
          <w:szCs w:val="21"/>
          <w:spacing w:val="1"/>
        </w:rPr>
        <w:t>设</w:t>
      </w:r>
      <w:r>
        <w:rPr>
          <w:rFonts w:ascii="SimSun" w:hAnsi="SimSun" w:eastAsia="SimSun" w:cs="SimSun"/>
          <w:sz w:val="21"/>
          <w:szCs w:val="21"/>
        </w:rPr>
        <w:t>备的 </w:t>
      </w:r>
      <w:r>
        <w:rPr>
          <w:rFonts w:ascii="SimSun" w:hAnsi="SimSun" w:eastAsia="SimSun" w:cs="SimSun"/>
          <w:sz w:val="21"/>
          <w:szCs w:val="21"/>
        </w:rPr>
        <w:t>使用在服务业中的表现，我们既要考虑</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rPr>
        <w:t>提升劳动生产率的可能 </w:t>
      </w:r>
      <w:r>
        <w:rPr>
          <w:rFonts w:ascii="SimSun" w:hAnsi="SimSun" w:eastAsia="SimSun" w:cs="SimSun"/>
          <w:sz w:val="21"/>
          <w:szCs w:val="21"/>
          <w:spacing w:val="-8"/>
        </w:rPr>
        <w:t>性，也要考虑服务业劳动生产率上升较慢甚至</w:t>
      </w:r>
      <w:r>
        <w:rPr>
          <w:rFonts w:ascii="SimSun" w:hAnsi="SimSun" w:eastAsia="SimSun" w:cs="SimSun"/>
          <w:sz w:val="21"/>
          <w:szCs w:val="21"/>
          <w:spacing w:val="-9"/>
        </w:rPr>
        <w:t>停滞的可能性，即所谓</w:t>
      </w:r>
      <w:r>
        <w:rPr>
          <w:rFonts w:ascii="SimSun" w:hAnsi="SimSun" w:eastAsia="SimSun" w:cs="SimSun"/>
          <w:sz w:val="21"/>
          <w:szCs w:val="21"/>
        </w:rPr>
        <w:t xml:space="preserve"> </w:t>
      </w:r>
      <w:r>
        <w:rPr>
          <w:rFonts w:ascii="SimSun" w:hAnsi="SimSun" w:eastAsia="SimSun" w:cs="SimSun"/>
          <w:sz w:val="21"/>
          <w:szCs w:val="21"/>
          <w:spacing w:val="-5"/>
        </w:rPr>
        <w:t>的“鲍莫尔病”。特别是</w:t>
      </w:r>
      <w:r>
        <w:rPr>
          <w:rFonts w:ascii="SimSun" w:hAnsi="SimSun" w:eastAsia="SimSun" w:cs="SimSun"/>
          <w:sz w:val="21"/>
          <w:szCs w:val="21"/>
          <w:spacing w:val="-65"/>
        </w:rPr>
        <w:t xml:space="preserve"> </w:t>
      </w:r>
      <w:r>
        <w:rPr>
          <w:rFonts w:ascii="Times New Roman" w:hAnsi="Times New Roman" w:eastAsia="Times New Roman" w:cs="Times New Roman"/>
          <w:sz w:val="21"/>
          <w:szCs w:val="21"/>
          <w:spacing w:val="-5"/>
        </w:rPr>
        <w:t>“ICT</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5"/>
        </w:rPr>
        <w:t>集约使用服务业”一组包括了</w:t>
      </w:r>
      <w:r>
        <w:rPr>
          <w:rFonts w:ascii="SimSun" w:hAnsi="SimSun" w:eastAsia="SimSun" w:cs="SimSun"/>
          <w:sz w:val="21"/>
          <w:szCs w:val="21"/>
          <w:spacing w:val="-6"/>
        </w:rPr>
        <w:t>两个由</w:t>
      </w:r>
      <w:r>
        <w:rPr>
          <w:rFonts w:ascii="SimSun" w:hAnsi="SimSun" w:eastAsia="SimSun" w:cs="SimSun"/>
          <w:sz w:val="21"/>
          <w:szCs w:val="21"/>
        </w:rPr>
        <w:t xml:space="preserve"> </w:t>
      </w:r>
      <w:r>
        <w:rPr>
          <w:rFonts w:ascii="SimSun" w:hAnsi="SimSun" w:eastAsia="SimSun" w:cs="SimSun"/>
          <w:sz w:val="21"/>
          <w:szCs w:val="21"/>
          <w:spacing w:val="-9"/>
        </w:rPr>
        <w:t>国家垄断的服务业，即交通、仓储服务业和金融、保险服务业，也包</w:t>
      </w:r>
      <w:r>
        <w:rPr>
          <w:rFonts w:ascii="SimSun" w:hAnsi="SimSun" w:eastAsia="SimSun" w:cs="SimSun"/>
          <w:sz w:val="21"/>
          <w:szCs w:val="21"/>
          <w:spacing w:val="15"/>
        </w:rPr>
        <w:t xml:space="preserve"> </w:t>
      </w:r>
      <w:r>
        <w:rPr>
          <w:rFonts w:ascii="SimSun" w:hAnsi="SimSun" w:eastAsia="SimSun" w:cs="SimSun"/>
          <w:sz w:val="21"/>
          <w:szCs w:val="21"/>
          <w:spacing w:val="-9"/>
        </w:rPr>
        <w:t>括了由国家垄断或主要受到国家政策和资源配置影响的技术、科研服</w:t>
      </w:r>
      <w:r>
        <w:rPr>
          <w:rFonts w:ascii="SimSun" w:hAnsi="SimSun" w:eastAsia="SimSun" w:cs="SimSun"/>
          <w:sz w:val="21"/>
          <w:szCs w:val="21"/>
          <w:spacing w:val="13"/>
        </w:rPr>
        <w:t xml:space="preserve"> </w:t>
      </w:r>
      <w:r>
        <w:rPr>
          <w:rFonts w:ascii="SimSun" w:hAnsi="SimSun" w:eastAsia="SimSun" w:cs="SimSun"/>
          <w:sz w:val="21"/>
          <w:szCs w:val="21"/>
          <w:spacing w:val="-9"/>
        </w:rPr>
        <w:t>务业，我们不能排除国家垄断服务业可能对整体效率造成的损害。</w:t>
      </w:r>
    </w:p>
    <w:p>
      <w:pPr>
        <w:pStyle w:val="BodyText"/>
        <w:spacing w:line="382" w:lineRule="auto"/>
        <w:rPr/>
      </w:pPr>
      <w:r/>
    </w:p>
    <w:p>
      <w:pPr>
        <w:ind w:left="50"/>
        <w:spacing w:before="81" w:line="213" w:lineRule="auto"/>
        <w:rPr>
          <w:rFonts w:ascii="SimHei" w:hAnsi="SimHei" w:eastAsia="SimHei" w:cs="SimHei"/>
          <w:sz w:val="25"/>
          <w:szCs w:val="25"/>
        </w:rPr>
      </w:pPr>
      <w:r>
        <w:rPr>
          <w:rFonts w:ascii="SimHei" w:hAnsi="SimHei" w:eastAsia="SimHei" w:cs="SimHei"/>
          <w:sz w:val="25"/>
          <w:szCs w:val="25"/>
          <w:b/>
          <w:bCs/>
          <w:spacing w:val="-12"/>
        </w:rPr>
        <w:t>时间分期，以及预期增长和效率表现</w:t>
      </w:r>
    </w:p>
    <w:p>
      <w:pPr>
        <w:pStyle w:val="BodyText"/>
        <w:spacing w:line="345" w:lineRule="auto"/>
        <w:rPr/>
      </w:pPr>
      <w:r/>
    </w:p>
    <w:p>
      <w:pPr>
        <w:ind w:right="38"/>
        <w:spacing w:before="68" w:line="380" w:lineRule="exact"/>
        <w:jc w:val="right"/>
        <w:rPr>
          <w:rFonts w:ascii="SimSun" w:hAnsi="SimSun" w:eastAsia="SimSun" w:cs="SimSun"/>
          <w:sz w:val="21"/>
          <w:szCs w:val="21"/>
        </w:rPr>
      </w:pPr>
      <w:r>
        <w:rPr>
          <w:rFonts w:ascii="SimSun" w:hAnsi="SimSun" w:eastAsia="SimSun" w:cs="SimSun"/>
          <w:sz w:val="21"/>
          <w:szCs w:val="21"/>
          <w:spacing w:val="-3"/>
          <w:position w:val="12"/>
        </w:rPr>
        <w:t>考虑到我们的研究对象，特别是考虑到数字经济开始明显影响</w:t>
      </w:r>
    </w:p>
    <w:p>
      <w:pPr>
        <w:ind w:left="46"/>
        <w:spacing w:line="218" w:lineRule="auto"/>
        <w:rPr>
          <w:rFonts w:ascii="SimSun" w:hAnsi="SimSun" w:eastAsia="SimSun" w:cs="SimSun"/>
          <w:sz w:val="21"/>
          <w:szCs w:val="21"/>
        </w:rPr>
      </w:pPr>
      <w:r>
        <w:rPr>
          <w:rFonts w:ascii="SimSun" w:hAnsi="SimSun" w:eastAsia="SimSun" w:cs="SimSun"/>
          <w:sz w:val="21"/>
          <w:szCs w:val="21"/>
          <w:spacing w:val="-3"/>
        </w:rPr>
        <w:t>中国经济的时间，当然也考虑到影响中国宏观经济表现的重</w:t>
      </w:r>
      <w:r>
        <w:rPr>
          <w:rFonts w:ascii="SimSun" w:hAnsi="SimSun" w:eastAsia="SimSun" w:cs="SimSun"/>
          <w:sz w:val="21"/>
          <w:szCs w:val="21"/>
          <w:spacing w:val="-4"/>
        </w:rPr>
        <w:t>大冲击</w:t>
      </w:r>
    </w:p>
    <w:p>
      <w:pPr>
        <w:pStyle w:val="BodyText"/>
        <w:spacing w:line="316" w:lineRule="auto"/>
        <w:rPr/>
      </w:pPr>
      <w:r/>
    </w:p>
    <w:p>
      <w:pPr>
        <w:ind w:left="380" w:hanging="334"/>
        <w:spacing w:before="53" w:line="331"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88"/>
        </w:rPr>
        <w:t xml:space="preserve"> </w:t>
      </w:r>
      <w:r>
        <w:rPr>
          <w:rFonts w:ascii="Times New Roman" w:hAnsi="Times New Roman" w:eastAsia="Times New Roman" w:cs="Times New Roman"/>
          <w:sz w:val="16"/>
          <w:szCs w:val="16"/>
        </w:rPr>
        <w:t>Kyoji  Fukao,Tsutomu  Miyagawa,Hak</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K.Pyo,Keun</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H.Rhee,"Estimates</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of  Mulifactor    </w:t>
      </w:r>
      <w:r>
        <w:rPr>
          <w:rFonts w:ascii="Times New Roman" w:hAnsi="Times New Roman" w:eastAsia="Times New Roman" w:cs="Times New Roman"/>
          <w:sz w:val="16"/>
          <w:szCs w:val="16"/>
        </w:rPr>
        <w:t>Productivity</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ICT</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Contributions</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Resource</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Reallocation</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Effects</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Japan</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rPr>
        <w:t>Korea</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RIETI</w:t>
      </w:r>
      <w:r>
        <w:rPr>
          <w:rFonts w:ascii="Times New Roman" w:hAnsi="Times New Roman" w:eastAsia="Times New Roman" w:cs="Times New Roman"/>
          <w:sz w:val="16"/>
          <w:szCs w:val="16"/>
          <w:spacing w:val="40"/>
        </w:rPr>
        <w:t xml:space="preserve"> </w:t>
      </w:r>
      <w:r>
        <w:rPr>
          <w:rFonts w:ascii="Times New Roman" w:hAnsi="Times New Roman" w:eastAsia="Times New Roman" w:cs="Times New Roman"/>
          <w:sz w:val="16"/>
          <w:szCs w:val="16"/>
        </w:rPr>
        <w:t>Discussion</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rPr>
        <w:t>Papers,09-E-021,2009;Bart</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van</w:t>
      </w:r>
      <w:r>
        <w:rPr>
          <w:rFonts w:ascii="Times New Roman" w:hAnsi="Times New Roman" w:eastAsia="Times New Roman" w:cs="Times New Roman"/>
          <w:sz w:val="16"/>
          <w:szCs w:val="16"/>
          <w:spacing w:val="33"/>
          <w:w w:val="101"/>
        </w:rPr>
        <w:t xml:space="preserve"> </w:t>
      </w:r>
      <w:r>
        <w:rPr>
          <w:rFonts w:ascii="Times New Roman" w:hAnsi="Times New Roman" w:eastAsia="Times New Roman" w:cs="Times New Roman"/>
          <w:sz w:val="16"/>
          <w:szCs w:val="16"/>
        </w:rPr>
        <w:t>Ark,Johanna</w:t>
      </w:r>
      <w:r>
        <w:rPr>
          <w:rFonts w:ascii="Times New Roman" w:hAnsi="Times New Roman" w:eastAsia="Times New Roman" w:cs="Times New Roman"/>
          <w:sz w:val="16"/>
          <w:szCs w:val="16"/>
          <w:spacing w:val="34"/>
          <w:w w:val="102"/>
        </w:rPr>
        <w:t xml:space="preserve"> </w:t>
      </w:r>
      <w:r>
        <w:rPr>
          <w:rFonts w:ascii="Times New Roman" w:hAnsi="Times New Roman" w:eastAsia="Times New Roman" w:cs="Times New Roman"/>
          <w:sz w:val="16"/>
          <w:szCs w:val="16"/>
        </w:rPr>
        <w:t>Melka,Nanno</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rPr>
        <w:t>Mulder,  </w:t>
      </w:r>
      <w:r>
        <w:rPr>
          <w:rFonts w:ascii="Times New Roman" w:hAnsi="Times New Roman" w:eastAsia="Times New Roman" w:cs="Times New Roman"/>
          <w:sz w:val="16"/>
          <w:szCs w:val="16"/>
        </w:rPr>
        <w:t>Marcel</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Timmer,Gerard</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Ypma,“ICT</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Investment</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Growth</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Accounts</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rPr>
        <w:t>Eu</w:t>
      </w:r>
      <w:r>
        <w:rPr>
          <w:rFonts w:ascii="Times New Roman" w:hAnsi="Times New Roman" w:eastAsia="Times New Roman" w:cs="Times New Roman"/>
          <w:sz w:val="16"/>
          <w:szCs w:val="16"/>
          <w:spacing w:val="-1"/>
        </w:rPr>
        <w:t>ropean  </w:t>
      </w:r>
      <w:r>
        <w:rPr>
          <w:rFonts w:ascii="Times New Roman" w:hAnsi="Times New Roman" w:eastAsia="Times New Roman" w:cs="Times New Roman"/>
          <w:sz w:val="16"/>
          <w:szCs w:val="16"/>
        </w:rPr>
        <w:t>Union,1980-2000”,Final</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Report</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ICT</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5"/>
          <w:w w:val="102"/>
        </w:rPr>
        <w:t xml:space="preserve"> </w:t>
      </w:r>
      <w:r>
        <w:rPr>
          <w:rFonts w:ascii="Times New Roman" w:hAnsi="Times New Roman" w:eastAsia="Times New Roman" w:cs="Times New Roman"/>
          <w:sz w:val="16"/>
          <w:szCs w:val="16"/>
        </w:rPr>
        <w:t>Growth</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Accounting</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rPr>
        <w:t>t</w:t>
      </w:r>
      <w:r>
        <w:rPr>
          <w:rFonts w:ascii="Times New Roman" w:hAnsi="Times New Roman" w:eastAsia="Times New Roman" w:cs="Times New Roman"/>
          <w:sz w:val="16"/>
          <w:szCs w:val="16"/>
          <w:spacing w:val="-1"/>
        </w:rPr>
        <w:t>he</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DG</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Economics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Finance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42"/>
          <w:w w:val="102"/>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European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Commission</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Brussels</w:t>
      </w:r>
      <w:r>
        <w:rPr>
          <w:rFonts w:ascii="Times New Roman" w:hAnsi="Times New Roman" w:eastAsia="Times New Roman" w:cs="Times New Roman"/>
          <w:sz w:val="16"/>
          <w:szCs w:val="16"/>
          <w:spacing w:val="1"/>
        </w:rPr>
        <w:t>,2002;</w:t>
      </w:r>
      <w:r>
        <w:rPr>
          <w:rFonts w:ascii="Times New Roman" w:hAnsi="Times New Roman" w:eastAsia="Times New Roman" w:cs="Times New Roman"/>
          <w:sz w:val="16"/>
          <w:szCs w:val="16"/>
        </w:rPr>
        <w:t>Harry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Wu</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David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Liang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“Accounting</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Role</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Information</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35"/>
          <w:w w:val="102"/>
        </w:rPr>
        <w:t xml:space="preserve"> </w:t>
      </w:r>
      <w:r>
        <w:rPr>
          <w:rFonts w:ascii="Times New Roman" w:hAnsi="Times New Roman" w:eastAsia="Times New Roman" w:cs="Times New Roman"/>
          <w:sz w:val="16"/>
          <w:szCs w:val="16"/>
        </w:rPr>
        <w:t>Communication</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Technolog</w:t>
      </w:r>
      <w:r>
        <w:rPr>
          <w:rFonts w:ascii="Times New Roman" w:hAnsi="Times New Roman" w:eastAsia="Times New Roman" w:cs="Times New Roman"/>
          <w:sz w:val="16"/>
          <w:szCs w:val="16"/>
          <w:spacing w:val="-1"/>
        </w:rPr>
        <w:t>y</w:t>
      </w:r>
      <w:r>
        <w:rPr>
          <w:rFonts w:ascii="Times New Roman" w:hAnsi="Times New Roman" w:eastAsia="Times New Roman" w:cs="Times New Roman"/>
          <w:sz w:val="16"/>
          <w:szCs w:val="16"/>
          <w:spacing w:val="34"/>
          <w:w w:val="102"/>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China's  </w:t>
      </w:r>
      <w:r>
        <w:rPr>
          <w:rFonts w:ascii="Times New Roman" w:hAnsi="Times New Roman" w:eastAsia="Times New Roman" w:cs="Times New Roman"/>
          <w:sz w:val="16"/>
          <w:szCs w:val="16"/>
        </w:rPr>
        <w:t>Productivity</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Growth</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RIETI</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Discussion</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Papers</w:t>
      </w:r>
      <w:r>
        <w:rPr>
          <w:rFonts w:ascii="Times New Roman" w:hAnsi="Times New Roman" w:eastAsia="Times New Roman" w:cs="Times New Roman"/>
          <w:sz w:val="16"/>
          <w:szCs w:val="16"/>
          <w:spacing w:val="2"/>
        </w:rPr>
        <w:t>,17-E-111,2017.</w:t>
      </w:r>
    </w:p>
    <w:p>
      <w:pPr>
        <w:spacing w:line="331" w:lineRule="auto"/>
        <w:sectPr>
          <w:headerReference w:type="default" r:id="rId107"/>
          <w:pgSz w:w="7330" w:h="12480"/>
          <w:pgMar w:top="578" w:right="591" w:bottom="400" w:left="553" w:header="412" w:footer="0" w:gutter="0"/>
        </w:sectPr>
        <w:rPr>
          <w:rFonts w:ascii="Times New Roman" w:hAnsi="Times New Roman" w:eastAsia="Times New Roman" w:cs="Times New Roman"/>
          <w:sz w:val="16"/>
          <w:szCs w:val="16"/>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94"/>
        <w:spacing w:before="69" w:line="284" w:lineRule="auto"/>
        <w:jc w:val="both"/>
        <w:rPr>
          <w:rFonts w:ascii="SimSun" w:hAnsi="SimSun" w:eastAsia="SimSun" w:cs="SimSun"/>
          <w:sz w:val="21"/>
          <w:szCs w:val="21"/>
        </w:rPr>
      </w:pPr>
      <w:r>
        <w:rPr>
          <w:rFonts w:ascii="SimSun" w:hAnsi="SimSun" w:eastAsia="SimSun" w:cs="SimSun"/>
          <w:sz w:val="21"/>
          <w:szCs w:val="21"/>
          <w:spacing w:val="-3"/>
        </w:rPr>
        <w:t>或事件，我们将观察和分析聚焦在中国2001年加</w:t>
      </w:r>
      <w:r>
        <w:rPr>
          <w:rFonts w:ascii="SimSun" w:hAnsi="SimSun" w:eastAsia="SimSun" w:cs="SimSun"/>
          <w:sz w:val="21"/>
          <w:szCs w:val="21"/>
          <w:spacing w:val="-4"/>
        </w:rPr>
        <w:t>入世界贸易组织至</w:t>
      </w:r>
      <w:r>
        <w:rPr>
          <w:rFonts w:ascii="SimSun" w:hAnsi="SimSun" w:eastAsia="SimSun" w:cs="SimSun"/>
          <w:sz w:val="21"/>
          <w:szCs w:val="21"/>
        </w:rPr>
        <w:t xml:space="preserve"> </w:t>
      </w:r>
      <w:r>
        <w:rPr>
          <w:rFonts w:ascii="SimSun" w:hAnsi="SimSun" w:eastAsia="SimSun" w:cs="SimSun"/>
          <w:sz w:val="21"/>
          <w:szCs w:val="21"/>
          <w:spacing w:val="-2"/>
        </w:rPr>
        <w:t>2018年这个时期。为此，我们将</w:t>
      </w:r>
      <w:r>
        <w:rPr>
          <w:rFonts w:ascii="Times New Roman" w:hAnsi="Times New Roman" w:eastAsia="Times New Roman" w:cs="Times New Roman"/>
          <w:sz w:val="21"/>
          <w:szCs w:val="21"/>
          <w:spacing w:val="-2"/>
        </w:rPr>
        <w:t>CIP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数据库中所有相关指标都更新</w:t>
      </w:r>
      <w:r>
        <w:rPr>
          <w:rFonts w:ascii="SimSun" w:hAnsi="SimSun" w:eastAsia="SimSun" w:cs="SimSun"/>
          <w:sz w:val="21"/>
          <w:szCs w:val="21"/>
        </w:rPr>
        <w:t xml:space="preserve"> </w:t>
      </w:r>
      <w:r>
        <w:rPr>
          <w:rFonts w:ascii="SimSun" w:hAnsi="SimSun" w:eastAsia="SimSun" w:cs="SimSun"/>
          <w:sz w:val="21"/>
          <w:szCs w:val="21"/>
          <w:spacing w:val="3"/>
        </w:rPr>
        <w:t>至2018年。</w:t>
      </w:r>
    </w:p>
    <w:p>
      <w:pPr>
        <w:ind w:right="83" w:firstLine="399"/>
        <w:spacing w:before="126" w:line="294" w:lineRule="auto"/>
        <w:jc w:val="both"/>
        <w:rPr>
          <w:rFonts w:ascii="SimSun" w:hAnsi="SimSun" w:eastAsia="SimSun" w:cs="SimSun"/>
          <w:sz w:val="21"/>
          <w:szCs w:val="21"/>
        </w:rPr>
      </w:pPr>
      <w:r>
        <w:rPr>
          <w:rFonts w:ascii="SimSun" w:hAnsi="SimSun" w:eastAsia="SimSun" w:cs="SimSun"/>
          <w:sz w:val="21"/>
          <w:szCs w:val="21"/>
          <w:spacing w:val="-3"/>
        </w:rPr>
        <w:t>为了更好地解读本章的统计观察和增长核算结果，从而提出更</w:t>
      </w:r>
      <w:r>
        <w:rPr>
          <w:rFonts w:ascii="SimSun" w:hAnsi="SimSun" w:eastAsia="SimSun" w:cs="SimSun"/>
          <w:sz w:val="21"/>
          <w:szCs w:val="21"/>
        </w:rPr>
        <w:t xml:space="preserve"> </w:t>
      </w:r>
      <w:r>
        <w:rPr>
          <w:rFonts w:ascii="SimSun" w:hAnsi="SimSun" w:eastAsia="SimSun" w:cs="SimSun"/>
          <w:sz w:val="21"/>
          <w:szCs w:val="21"/>
          <w:spacing w:val="-11"/>
        </w:rPr>
        <w:t>有意义的政策评价和建议，有必要考虑能够较好反映政府经济政策变</w:t>
      </w:r>
      <w:r>
        <w:rPr>
          <w:rFonts w:ascii="SimSun" w:hAnsi="SimSun" w:eastAsia="SimSun" w:cs="SimSun"/>
          <w:sz w:val="21"/>
          <w:szCs w:val="21"/>
          <w:spacing w:val="17"/>
        </w:rPr>
        <w:t xml:space="preserve"> </w:t>
      </w:r>
      <w:r>
        <w:rPr>
          <w:rFonts w:ascii="SimSun" w:hAnsi="SimSun" w:eastAsia="SimSun" w:cs="SimSun"/>
          <w:sz w:val="21"/>
          <w:szCs w:val="21"/>
          <w:spacing w:val="-10"/>
        </w:rPr>
        <w:t>化和外部市场冲击对中国宏观经济影响的时</w:t>
      </w:r>
      <w:r>
        <w:rPr>
          <w:rFonts w:ascii="SimSun" w:hAnsi="SimSun" w:eastAsia="SimSun" w:cs="SimSun"/>
          <w:sz w:val="21"/>
          <w:szCs w:val="21"/>
          <w:spacing w:val="-11"/>
        </w:rPr>
        <w:t>间分期，特别要考虑这些</w:t>
      </w:r>
      <w:r>
        <w:rPr>
          <w:rFonts w:ascii="SimSun" w:hAnsi="SimSun" w:eastAsia="SimSun" w:cs="SimSun"/>
          <w:sz w:val="21"/>
          <w:szCs w:val="21"/>
        </w:rPr>
        <w:t xml:space="preserve"> </w:t>
      </w:r>
      <w:r>
        <w:rPr>
          <w:rFonts w:ascii="SimSun" w:hAnsi="SimSun" w:eastAsia="SimSun" w:cs="SimSun"/>
          <w:sz w:val="21"/>
          <w:szCs w:val="21"/>
          <w:spacing w:val="-10"/>
        </w:rPr>
        <w:t>因素在不同分期可能对数字经济产生的影响。我们的整个时间轴是中</w:t>
      </w:r>
      <w:r>
        <w:rPr>
          <w:rFonts w:ascii="SimSun" w:hAnsi="SimSun" w:eastAsia="SimSun" w:cs="SimSun"/>
          <w:sz w:val="21"/>
          <w:szCs w:val="21"/>
        </w:rPr>
        <w:t xml:space="preserve"> </w:t>
      </w:r>
      <w:r>
        <w:rPr>
          <w:rFonts w:ascii="SimSun" w:hAnsi="SimSun" w:eastAsia="SimSun" w:cs="SimSun"/>
          <w:sz w:val="21"/>
          <w:szCs w:val="21"/>
          <w:spacing w:val="-4"/>
        </w:rPr>
        <w:t>国加入世界贸易组织之后迄今近20年的时间，我们将这个时期一分</w:t>
      </w:r>
      <w:r>
        <w:rPr>
          <w:rFonts w:ascii="SimSun" w:hAnsi="SimSun" w:eastAsia="SimSun" w:cs="SimSun"/>
          <w:sz w:val="21"/>
          <w:szCs w:val="21"/>
          <w:spacing w:val="17"/>
        </w:rPr>
        <w:t xml:space="preserve"> </w:t>
      </w:r>
      <w:r>
        <w:rPr>
          <w:rFonts w:ascii="SimSun" w:hAnsi="SimSun" w:eastAsia="SimSun" w:cs="SimSun"/>
          <w:sz w:val="21"/>
          <w:szCs w:val="21"/>
          <w:spacing w:val="-10"/>
        </w:rPr>
        <w:t>为三。</w:t>
      </w:r>
    </w:p>
    <w:p>
      <w:pPr>
        <w:ind w:firstLine="399"/>
        <w:spacing w:before="151" w:line="296" w:lineRule="auto"/>
        <w:jc w:val="both"/>
        <w:rPr>
          <w:rFonts w:ascii="SimSun" w:hAnsi="SimSun" w:eastAsia="SimSun" w:cs="SimSun"/>
          <w:sz w:val="21"/>
          <w:szCs w:val="21"/>
        </w:rPr>
      </w:pPr>
      <w:r>
        <w:rPr>
          <w:rFonts w:ascii="SimSun" w:hAnsi="SimSun" w:eastAsia="SimSun" w:cs="SimSun"/>
          <w:sz w:val="21"/>
          <w:szCs w:val="21"/>
          <w:spacing w:val="1"/>
        </w:rPr>
        <w:t>首先是加入世界贸易组织后2001—2007年的“黄</w:t>
      </w:r>
      <w:r>
        <w:rPr>
          <w:rFonts w:ascii="SimSun" w:hAnsi="SimSun" w:eastAsia="SimSun" w:cs="SimSun"/>
          <w:sz w:val="21"/>
          <w:szCs w:val="21"/>
        </w:rPr>
        <w:t>金期”,它不  </w:t>
      </w:r>
      <w:r>
        <w:rPr>
          <w:rFonts w:ascii="SimSun" w:hAnsi="SimSun" w:eastAsia="SimSun" w:cs="SimSun"/>
          <w:sz w:val="21"/>
          <w:szCs w:val="21"/>
          <w:spacing w:val="-4"/>
        </w:rPr>
        <w:t>仅是中国经济充分发挥其比较优势融入世界经济最快的时期，也是</w:t>
      </w:r>
      <w:r>
        <w:rPr>
          <w:rFonts w:ascii="SimSun" w:hAnsi="SimSun" w:eastAsia="SimSun" w:cs="SimSun"/>
          <w:sz w:val="21"/>
          <w:szCs w:val="21"/>
          <w:spacing w:val="7"/>
        </w:rPr>
        <w:t xml:space="preserve">  </w:t>
      </w:r>
      <w:r>
        <w:rPr>
          <w:rFonts w:ascii="SimSun" w:hAnsi="SimSun" w:eastAsia="SimSun" w:cs="SimSun"/>
          <w:sz w:val="21"/>
          <w:szCs w:val="21"/>
          <w:spacing w:val="-7"/>
        </w:rPr>
        <w:t>地方政府的增长竞争为这样的发展助力的时期——复杂</w:t>
      </w:r>
      <w:r>
        <w:rPr>
          <w:rFonts w:ascii="SimSun" w:hAnsi="SimSun" w:eastAsia="SimSun" w:cs="SimSun"/>
          <w:sz w:val="21"/>
          <w:szCs w:val="21"/>
          <w:spacing w:val="-8"/>
        </w:rPr>
        <w:t>的制度效果。</w:t>
      </w:r>
      <w:r>
        <w:rPr>
          <w:rFonts w:ascii="SimSun" w:hAnsi="SimSun" w:eastAsia="SimSun" w:cs="SimSun"/>
          <w:sz w:val="21"/>
          <w:szCs w:val="21"/>
        </w:rPr>
        <w:t xml:space="preserve"> </w:t>
      </w:r>
      <w:r>
        <w:rPr>
          <w:rFonts w:ascii="SimSun" w:hAnsi="SimSun" w:eastAsia="SimSun" w:cs="SimSun"/>
          <w:sz w:val="21"/>
          <w:szCs w:val="21"/>
          <w:spacing w:val="-3"/>
        </w:rPr>
        <w:t>中国从成熟技术的中低端顺利地加入了全球ICT 产业链，并且实现 </w:t>
      </w:r>
      <w:r>
        <w:rPr>
          <w:rFonts w:ascii="SimSun" w:hAnsi="SimSun" w:eastAsia="SimSun" w:cs="SimSun"/>
          <w:sz w:val="21"/>
          <w:szCs w:val="21"/>
          <w:spacing w:val="5"/>
        </w:rPr>
        <w:t>了迅速扩张。可以预计，这个时期的</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生产和</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集约使用行</w:t>
      </w:r>
      <w:r>
        <w:rPr>
          <w:rFonts w:ascii="SimSun" w:hAnsi="SimSun" w:eastAsia="SimSun" w:cs="SimSun"/>
          <w:sz w:val="21"/>
          <w:szCs w:val="21"/>
          <w:spacing w:val="9"/>
        </w:rPr>
        <w:t xml:space="preserve">  </w:t>
      </w:r>
      <w:r>
        <w:rPr>
          <w:rFonts w:ascii="SimSun" w:hAnsi="SimSun" w:eastAsia="SimSun" w:cs="SimSun"/>
          <w:sz w:val="21"/>
          <w:szCs w:val="21"/>
          <w:spacing w:val="-4"/>
        </w:rPr>
        <w:t>业，特别是制造业，对中国经济的增长和效率改善做出了相当重要</w:t>
      </w:r>
      <w:r>
        <w:rPr>
          <w:rFonts w:ascii="SimSun" w:hAnsi="SimSun" w:eastAsia="SimSun" w:cs="SimSun"/>
          <w:sz w:val="21"/>
          <w:szCs w:val="21"/>
          <w:spacing w:val="7"/>
        </w:rPr>
        <w:t xml:space="preserve">  </w:t>
      </w:r>
      <w:r>
        <w:rPr>
          <w:rFonts w:ascii="SimSun" w:hAnsi="SimSun" w:eastAsia="SimSun" w:cs="SimSun"/>
          <w:sz w:val="21"/>
          <w:szCs w:val="21"/>
          <w:spacing w:val="-11"/>
        </w:rPr>
        <w:t>的贡献。</w:t>
      </w:r>
    </w:p>
    <w:p>
      <w:pPr>
        <w:ind w:firstLine="399"/>
        <w:spacing w:before="144" w:line="308" w:lineRule="auto"/>
        <w:jc w:val="both"/>
        <w:rPr>
          <w:rFonts w:ascii="SimSun" w:hAnsi="SimSun" w:eastAsia="SimSun" w:cs="SimSun"/>
          <w:sz w:val="21"/>
          <w:szCs w:val="21"/>
        </w:rPr>
      </w:pPr>
      <w:r>
        <w:rPr>
          <w:rFonts w:ascii="SimSun" w:hAnsi="SimSun" w:eastAsia="SimSun" w:cs="SimSun"/>
          <w:sz w:val="21"/>
          <w:szCs w:val="21"/>
          <w:spacing w:val="5"/>
        </w:rPr>
        <w:t>这个“黄金期”因2008年全球金融危机的爆发而结束。我们</w:t>
      </w:r>
      <w:r>
        <w:rPr>
          <w:rFonts w:ascii="SimSun" w:hAnsi="SimSun" w:eastAsia="SimSun" w:cs="SimSun"/>
          <w:sz w:val="21"/>
          <w:szCs w:val="21"/>
          <w:spacing w:val="14"/>
        </w:rPr>
        <w:t xml:space="preserve"> </w:t>
      </w:r>
      <w:r>
        <w:rPr>
          <w:rFonts w:ascii="SimSun" w:hAnsi="SimSun" w:eastAsia="SimSun" w:cs="SimSun"/>
          <w:sz w:val="21"/>
          <w:szCs w:val="21"/>
          <w:spacing w:val="4"/>
        </w:rPr>
        <w:t>将危机后划分为两个时期，即2008—20</w:t>
      </w:r>
      <w:r>
        <w:rPr>
          <w:rFonts w:ascii="SimSun" w:hAnsi="SimSun" w:eastAsia="SimSun" w:cs="SimSun"/>
          <w:sz w:val="21"/>
          <w:szCs w:val="21"/>
          <w:spacing w:val="3"/>
        </w:rPr>
        <w:t>12年的“危机后早期”和</w:t>
      </w:r>
      <w:r>
        <w:rPr>
          <w:rFonts w:ascii="SimSun" w:hAnsi="SimSun" w:eastAsia="SimSun" w:cs="SimSun"/>
          <w:sz w:val="21"/>
          <w:szCs w:val="21"/>
        </w:rPr>
        <w:t xml:space="preserve">  </w:t>
      </w:r>
      <w:r>
        <w:rPr>
          <w:rFonts w:ascii="Times New Roman" w:hAnsi="Times New Roman" w:eastAsia="Times New Roman" w:cs="Times New Roman"/>
          <w:sz w:val="21"/>
          <w:szCs w:val="21"/>
          <w:spacing w:val="-6"/>
        </w:rPr>
        <w:t>2013—20</w:t>
      </w:r>
      <w:r>
        <w:rPr>
          <w:rFonts w:ascii="SimSun" w:hAnsi="SimSun" w:eastAsia="SimSun" w:cs="SimSun"/>
          <w:sz w:val="21"/>
          <w:szCs w:val="21"/>
          <w:spacing w:val="-6"/>
        </w:rPr>
        <w:t>18年的“危机后晚期”。早期主</w:t>
      </w:r>
      <w:r>
        <w:rPr>
          <w:rFonts w:ascii="SimSun" w:hAnsi="SimSun" w:eastAsia="SimSun" w:cs="SimSun"/>
          <w:sz w:val="21"/>
          <w:szCs w:val="21"/>
          <w:spacing w:val="-7"/>
        </w:rPr>
        <w:t>要以政府在危机下保增长，</w:t>
      </w:r>
      <w:r>
        <w:rPr>
          <w:rFonts w:ascii="SimSun" w:hAnsi="SimSun" w:eastAsia="SimSun" w:cs="SimSun"/>
          <w:sz w:val="21"/>
          <w:szCs w:val="21"/>
        </w:rPr>
        <w:t xml:space="preserve"> </w:t>
      </w:r>
      <w:r>
        <w:rPr>
          <w:rFonts w:ascii="SimSun" w:hAnsi="SimSun" w:eastAsia="SimSun" w:cs="SimSun"/>
          <w:sz w:val="21"/>
          <w:szCs w:val="21"/>
          <w:spacing w:val="-10"/>
        </w:rPr>
        <w:t>通过史无前例的对基础设施项目的巨额投资</w:t>
      </w:r>
      <w:r>
        <w:rPr>
          <w:rFonts w:ascii="SimSun" w:hAnsi="SimSun" w:eastAsia="SimSun" w:cs="SimSun"/>
          <w:sz w:val="21"/>
          <w:szCs w:val="21"/>
          <w:spacing w:val="-11"/>
        </w:rPr>
        <w:t>加强对资源配置的干预为</w:t>
      </w:r>
      <w:r>
        <w:rPr>
          <w:rFonts w:ascii="SimSun" w:hAnsi="SimSun" w:eastAsia="SimSun" w:cs="SimSun"/>
          <w:sz w:val="21"/>
          <w:szCs w:val="21"/>
        </w:rPr>
        <w:t xml:space="preserve">  </w:t>
      </w:r>
      <w:r>
        <w:rPr>
          <w:rFonts w:ascii="SimSun" w:hAnsi="SimSun" w:eastAsia="SimSun" w:cs="SimSun"/>
          <w:sz w:val="21"/>
          <w:szCs w:val="21"/>
          <w:spacing w:val="-3"/>
        </w:rPr>
        <w:t>特征。晚期以2013年国务院要求用行政手段</w:t>
      </w:r>
      <w:r>
        <w:rPr>
          <w:rFonts w:ascii="SimSun" w:hAnsi="SimSun" w:eastAsia="SimSun" w:cs="SimSun"/>
          <w:sz w:val="21"/>
          <w:szCs w:val="21"/>
          <w:spacing w:val="-4"/>
        </w:rPr>
        <w:t>化解严重的产能过剩开</w:t>
      </w:r>
      <w:r>
        <w:rPr>
          <w:rFonts w:ascii="SimSun" w:hAnsi="SimSun" w:eastAsia="SimSun" w:cs="SimSun"/>
          <w:sz w:val="21"/>
          <w:szCs w:val="21"/>
        </w:rPr>
        <w:t xml:space="preserve">  </w:t>
      </w:r>
      <w:r>
        <w:rPr>
          <w:rFonts w:ascii="SimSun" w:hAnsi="SimSun" w:eastAsia="SimSun" w:cs="SimSun"/>
          <w:sz w:val="21"/>
          <w:szCs w:val="21"/>
          <w:spacing w:val="-3"/>
        </w:rPr>
        <w:t>始，再以2015年起推行的一系列供给侧改革</w:t>
      </w:r>
      <w:r>
        <w:rPr>
          <w:rFonts w:ascii="SimSun" w:hAnsi="SimSun" w:eastAsia="SimSun" w:cs="SimSun"/>
          <w:sz w:val="21"/>
          <w:szCs w:val="21"/>
          <w:spacing w:val="-4"/>
        </w:rPr>
        <w:t>措施贯穿至今。这些政</w:t>
      </w:r>
      <w:r>
        <w:rPr>
          <w:rFonts w:ascii="SimSun" w:hAnsi="SimSun" w:eastAsia="SimSun" w:cs="SimSun"/>
          <w:sz w:val="21"/>
          <w:szCs w:val="21"/>
        </w:rPr>
        <w:t xml:space="preserve">  </w:t>
      </w:r>
      <w:r>
        <w:rPr>
          <w:rFonts w:ascii="SimSun" w:hAnsi="SimSun" w:eastAsia="SimSun" w:cs="SimSun"/>
          <w:sz w:val="21"/>
          <w:szCs w:val="21"/>
          <w:spacing w:val="-10"/>
        </w:rPr>
        <w:t>策和措施在不同时期、不同程度上压缩了以市场出清、供需平衡为目 </w:t>
      </w:r>
      <w:r>
        <w:rPr>
          <w:rFonts w:ascii="SimSun" w:hAnsi="SimSun" w:eastAsia="SimSun" w:cs="SimSun"/>
          <w:sz w:val="21"/>
          <w:szCs w:val="21"/>
          <w:spacing w:val="-11"/>
        </w:rPr>
        <w:t>标的市场自发调整的空间，对资源配置产生了巨大且复杂的影响，提</w:t>
      </w:r>
      <w:r>
        <w:rPr>
          <w:rFonts w:ascii="SimSun" w:hAnsi="SimSun" w:eastAsia="SimSun" w:cs="SimSun"/>
          <w:sz w:val="21"/>
          <w:szCs w:val="21"/>
          <w:spacing w:val="8"/>
        </w:rPr>
        <w:t xml:space="preserve">  </w:t>
      </w:r>
      <w:r>
        <w:rPr>
          <w:rFonts w:ascii="SimSun" w:hAnsi="SimSun" w:eastAsia="SimSun" w:cs="SimSun"/>
          <w:sz w:val="21"/>
          <w:szCs w:val="21"/>
          <w:spacing w:val="-11"/>
        </w:rPr>
        <w:t>高了非政府政策选择企业，特别是中小企业的交易成本。在宏观经济</w:t>
      </w:r>
      <w:r>
        <w:rPr>
          <w:rFonts w:ascii="SimSun" w:hAnsi="SimSun" w:eastAsia="SimSun" w:cs="SimSun"/>
          <w:sz w:val="21"/>
          <w:szCs w:val="21"/>
          <w:spacing w:val="9"/>
        </w:rPr>
        <w:t xml:space="preserve">  </w:t>
      </w:r>
      <w:r>
        <w:rPr>
          <w:rFonts w:ascii="SimSun" w:hAnsi="SimSun" w:eastAsia="SimSun" w:cs="SimSun"/>
          <w:sz w:val="21"/>
          <w:szCs w:val="21"/>
          <w:spacing w:val="-10"/>
        </w:rPr>
        <w:t>层面上，增长和效率表现完全可能是政策创造的“市场空间”和市场 </w:t>
      </w:r>
      <w:r>
        <w:rPr>
          <w:rFonts w:ascii="SimSun" w:hAnsi="SimSun" w:eastAsia="SimSun" w:cs="SimSun"/>
          <w:sz w:val="21"/>
          <w:szCs w:val="21"/>
          <w:spacing w:val="-8"/>
        </w:rPr>
        <w:t>出清压力导致的效率改善共同作用的结果。但是在行业和企业层面，</w:t>
      </w:r>
    </w:p>
    <w:p>
      <w:pPr>
        <w:spacing w:line="308" w:lineRule="auto"/>
        <w:sectPr>
          <w:headerReference w:type="default" r:id="rId108"/>
          <w:pgSz w:w="7330" w:h="12480"/>
          <w:pgMar w:top="835" w:right="774" w:bottom="400" w:left="469" w:header="661"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95"/>
        <w:spacing w:before="68" w:line="284" w:lineRule="auto"/>
        <w:jc w:val="both"/>
        <w:rPr>
          <w:rFonts w:ascii="SimSun" w:hAnsi="SimSun" w:eastAsia="SimSun" w:cs="SimSun"/>
          <w:sz w:val="21"/>
          <w:szCs w:val="21"/>
        </w:rPr>
      </w:pPr>
      <w:r>
        <w:rPr>
          <w:rFonts w:ascii="SimSun" w:hAnsi="SimSun" w:eastAsia="SimSun" w:cs="SimSun"/>
          <w:sz w:val="21"/>
          <w:szCs w:val="21"/>
          <w:spacing w:val="-10"/>
        </w:rPr>
        <w:t>这两个因素的影响是极不平衡的。我们的预期是，与国家垄断为主的</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7"/>
        </w:rPr>
        <w:t>ICT</w:t>
      </w:r>
      <w:r>
        <w:rPr>
          <w:rFonts w:ascii="SimSun" w:hAnsi="SimSun" w:eastAsia="SimSun" w:cs="SimSun"/>
          <w:sz w:val="21"/>
          <w:szCs w:val="21"/>
          <w:spacing w:val="-7"/>
        </w:rPr>
        <w:t>集约使用服务业比较，</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7"/>
        </w:rPr>
        <w:t>ICT </w:t>
      </w:r>
      <w:r>
        <w:rPr>
          <w:rFonts w:ascii="SimSun" w:hAnsi="SimSun" w:eastAsia="SimSun" w:cs="SimSun"/>
          <w:sz w:val="21"/>
          <w:szCs w:val="21"/>
          <w:spacing w:val="-7"/>
        </w:rPr>
        <w:t>生产和</w:t>
      </w:r>
      <w:r>
        <w:rPr>
          <w:rFonts w:ascii="Times New Roman" w:hAnsi="Times New Roman" w:eastAsia="Times New Roman" w:cs="Times New Roman"/>
          <w:sz w:val="21"/>
          <w:szCs w:val="21"/>
          <w:spacing w:val="-7"/>
        </w:rPr>
        <w:t>ICT </w:t>
      </w:r>
      <w:r>
        <w:rPr>
          <w:rFonts w:ascii="SimSun" w:hAnsi="SimSun" w:eastAsia="SimSun" w:cs="SimSun"/>
          <w:sz w:val="21"/>
          <w:szCs w:val="21"/>
          <w:spacing w:val="-7"/>
        </w:rPr>
        <w:t>集约使用制造业受到的冲</w:t>
      </w:r>
      <w:r>
        <w:rPr>
          <w:rFonts w:ascii="SimSun" w:hAnsi="SimSun" w:eastAsia="SimSun" w:cs="SimSun"/>
          <w:sz w:val="21"/>
          <w:szCs w:val="21"/>
        </w:rPr>
        <w:t xml:space="preserve"> </w:t>
      </w:r>
      <w:r>
        <w:rPr>
          <w:rFonts w:ascii="SimSun" w:hAnsi="SimSun" w:eastAsia="SimSun" w:cs="SimSun"/>
          <w:sz w:val="21"/>
          <w:szCs w:val="21"/>
          <w:spacing w:val="-10"/>
        </w:rPr>
        <w:t>击要小得多，而制造业的一般表现也会优于</w:t>
      </w:r>
      <w:r>
        <w:rPr>
          <w:rFonts w:ascii="SimSun" w:hAnsi="SimSun" w:eastAsia="SimSun" w:cs="SimSun"/>
          <w:sz w:val="21"/>
          <w:szCs w:val="21"/>
          <w:spacing w:val="-11"/>
        </w:rPr>
        <w:t>其他部门。</w:t>
      </w:r>
    </w:p>
    <w:p>
      <w:pPr>
        <w:pStyle w:val="BodyText"/>
        <w:spacing w:line="355" w:lineRule="auto"/>
        <w:rPr/>
      </w:pPr>
      <w:r/>
    </w:p>
    <w:p>
      <w:pPr>
        <w:ind w:left="1734"/>
        <w:spacing w:before="104" w:line="202" w:lineRule="auto"/>
        <w:rPr>
          <w:rFonts w:ascii="SimSun" w:hAnsi="SimSun" w:eastAsia="SimSun" w:cs="SimSun"/>
          <w:sz w:val="32"/>
          <w:szCs w:val="32"/>
        </w:rPr>
      </w:pPr>
      <w:r>
        <w:rPr>
          <w:rFonts w:ascii="SimSun" w:hAnsi="SimSun" w:eastAsia="SimSun" w:cs="SimSun"/>
          <w:sz w:val="32"/>
          <w:szCs w:val="32"/>
          <w:b/>
          <w:bCs/>
          <w:spacing w:val="-15"/>
        </w:rPr>
        <w:t>中国数字经济发展：</w:t>
      </w:r>
    </w:p>
    <w:p>
      <w:pPr>
        <w:ind w:left="1144"/>
        <w:spacing w:line="219" w:lineRule="auto"/>
        <w:rPr>
          <w:rFonts w:ascii="SimSun" w:hAnsi="SimSun" w:eastAsia="SimSun" w:cs="SimSun"/>
          <w:sz w:val="32"/>
          <w:szCs w:val="32"/>
        </w:rPr>
      </w:pPr>
      <w:r>
        <w:rPr>
          <w:rFonts w:ascii="SimSun" w:hAnsi="SimSun" w:eastAsia="SimSun" w:cs="SimSun"/>
          <w:sz w:val="32"/>
          <w:szCs w:val="32"/>
          <w:b/>
          <w:bCs/>
          <w:spacing w:val="-5"/>
        </w:rPr>
        <w:t>一个系统的描述性统计观察</w:t>
      </w:r>
    </w:p>
    <w:p>
      <w:pPr>
        <w:pStyle w:val="BodyText"/>
        <w:spacing w:line="280" w:lineRule="auto"/>
        <w:rPr/>
      </w:pPr>
      <w:r/>
    </w:p>
    <w:p>
      <w:pPr>
        <w:ind w:right="41" w:firstLine="459"/>
        <w:spacing w:before="68" w:line="301" w:lineRule="auto"/>
        <w:jc w:val="both"/>
        <w:rPr>
          <w:rFonts w:ascii="SimSun" w:hAnsi="SimSun" w:eastAsia="SimSun" w:cs="SimSun"/>
          <w:sz w:val="21"/>
          <w:szCs w:val="21"/>
        </w:rPr>
      </w:pPr>
      <w:r>
        <w:rPr>
          <w:rFonts w:ascii="SimSun" w:hAnsi="SimSun" w:eastAsia="SimSun" w:cs="SimSun"/>
          <w:sz w:val="21"/>
          <w:szCs w:val="21"/>
          <w:spacing w:val="-1"/>
        </w:rPr>
        <w:t>在这一节，我们利用整理、更新过的</w:t>
      </w:r>
      <w:r>
        <w:rPr>
          <w:rFonts w:ascii="Times New Roman" w:hAnsi="Times New Roman" w:eastAsia="Times New Roman" w:cs="Times New Roman"/>
          <w:sz w:val="21"/>
          <w:szCs w:val="21"/>
          <w:spacing w:val="-1"/>
        </w:rPr>
        <w:t>CIP </w:t>
      </w:r>
      <w:r>
        <w:rPr>
          <w:rFonts w:ascii="SimSun" w:hAnsi="SimSun" w:eastAsia="SimSun" w:cs="SimSun"/>
          <w:sz w:val="21"/>
          <w:szCs w:val="21"/>
          <w:spacing w:val="-1"/>
        </w:rPr>
        <w:t>数据库探索性地</w:t>
      </w:r>
      <w:r>
        <w:rPr>
          <w:rFonts w:ascii="SimSun" w:hAnsi="SimSun" w:eastAsia="SimSun" w:cs="SimSun"/>
          <w:sz w:val="21"/>
          <w:szCs w:val="21"/>
          <w:spacing w:val="-2"/>
        </w:rPr>
        <w:t>讨论</w:t>
      </w:r>
      <w:r>
        <w:rPr>
          <w:rFonts w:ascii="SimSun" w:hAnsi="SimSun" w:eastAsia="SimSun" w:cs="SimSun"/>
          <w:sz w:val="21"/>
          <w:szCs w:val="21"/>
        </w:rPr>
        <w:t xml:space="preserve"> </w:t>
      </w:r>
      <w:r>
        <w:rPr>
          <w:rFonts w:ascii="SimSun" w:hAnsi="SimSun" w:eastAsia="SimSun" w:cs="SimSun"/>
          <w:sz w:val="21"/>
          <w:szCs w:val="21"/>
          <w:spacing w:val="-10"/>
        </w:rPr>
        <w:t>在宏观上可以统计描述中国数字经济发展的几个重要指标。正</w:t>
      </w:r>
      <w:r>
        <w:rPr>
          <w:rFonts w:ascii="SimSun" w:hAnsi="SimSun" w:eastAsia="SimSun" w:cs="SimSun"/>
          <w:sz w:val="21"/>
          <w:szCs w:val="21"/>
          <w:spacing w:val="-11"/>
        </w:rPr>
        <w:t>如前面</w:t>
      </w:r>
      <w:r>
        <w:rPr>
          <w:rFonts w:ascii="SimSun" w:hAnsi="SimSun" w:eastAsia="SimSun" w:cs="SimSun"/>
          <w:sz w:val="21"/>
          <w:szCs w:val="21"/>
        </w:rPr>
        <w:t xml:space="preserve"> </w:t>
      </w:r>
      <w:r>
        <w:rPr>
          <w:rFonts w:ascii="SimSun" w:hAnsi="SimSun" w:eastAsia="SimSun" w:cs="SimSun"/>
          <w:sz w:val="21"/>
          <w:szCs w:val="21"/>
          <w:spacing w:val="-10"/>
        </w:rPr>
        <w:t>所介绍的，</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0"/>
        </w:rPr>
        <w:t>CIP </w:t>
      </w:r>
      <w:r>
        <w:rPr>
          <w:rFonts w:ascii="SimSun" w:hAnsi="SimSun" w:eastAsia="SimSun" w:cs="SimSun"/>
          <w:sz w:val="21"/>
          <w:szCs w:val="21"/>
          <w:spacing w:val="-10"/>
        </w:rPr>
        <w:t>数据库可以在一个宏观</w:t>
      </w:r>
      <w:r>
        <w:rPr>
          <w:rFonts w:ascii="SimSun" w:hAnsi="SimSun" w:eastAsia="SimSun" w:cs="SimSun"/>
          <w:sz w:val="21"/>
          <w:szCs w:val="21"/>
          <w:spacing w:val="-11"/>
        </w:rPr>
        <w:t>经济生产函数框架内整合行业 </w:t>
      </w:r>
      <w:r>
        <w:rPr>
          <w:rFonts w:ascii="SimSun" w:hAnsi="SimSun" w:eastAsia="SimSun" w:cs="SimSun"/>
          <w:sz w:val="21"/>
          <w:szCs w:val="21"/>
          <w:spacing w:val="-10"/>
        </w:rPr>
        <w:t>生产率账户，这样的描述性统计观察具有系统性和逻辑性。它与下一</w:t>
      </w:r>
      <w:r>
        <w:rPr>
          <w:rFonts w:ascii="SimSun" w:hAnsi="SimSun" w:eastAsia="SimSun" w:cs="SimSun"/>
          <w:sz w:val="21"/>
          <w:szCs w:val="21"/>
        </w:rPr>
        <w:t xml:space="preserve"> </w:t>
      </w:r>
      <w:r>
        <w:rPr>
          <w:rFonts w:ascii="SimSun" w:hAnsi="SimSun" w:eastAsia="SimSun" w:cs="SimSun"/>
          <w:sz w:val="21"/>
          <w:szCs w:val="21"/>
          <w:spacing w:val="-11"/>
        </w:rPr>
        <w:t>节的增长核算分析或增长因素解析使用同样的数据，也在逻辑上保持</w:t>
      </w:r>
      <w:r>
        <w:rPr>
          <w:rFonts w:ascii="SimSun" w:hAnsi="SimSun" w:eastAsia="SimSun" w:cs="SimSun"/>
          <w:sz w:val="21"/>
          <w:szCs w:val="21"/>
          <w:spacing w:val="6"/>
        </w:rPr>
        <w:t xml:space="preserve"> </w:t>
      </w:r>
      <w:r>
        <w:rPr>
          <w:rFonts w:ascii="SimSun" w:hAnsi="SimSun" w:eastAsia="SimSun" w:cs="SimSun"/>
          <w:sz w:val="21"/>
          <w:szCs w:val="21"/>
          <w:spacing w:val="-2"/>
        </w:rPr>
        <w:t>了与后者的契合。我们以ICT</w:t>
      </w:r>
      <w:r>
        <w:rPr>
          <w:rFonts w:ascii="SimSun" w:hAnsi="SimSun" w:eastAsia="SimSun" w:cs="SimSun"/>
          <w:sz w:val="21"/>
          <w:szCs w:val="21"/>
          <w:spacing w:val="-20"/>
        </w:rPr>
        <w:t xml:space="preserve"> </w:t>
      </w:r>
      <w:r>
        <w:rPr>
          <w:rFonts w:ascii="SimSun" w:hAnsi="SimSun" w:eastAsia="SimSun" w:cs="SimSun"/>
          <w:sz w:val="21"/>
          <w:szCs w:val="21"/>
          <w:spacing w:val="-2"/>
        </w:rPr>
        <w:t>的视角，从投入和产</w:t>
      </w:r>
      <w:r>
        <w:rPr>
          <w:rFonts w:ascii="SimSun" w:hAnsi="SimSun" w:eastAsia="SimSun" w:cs="SimSun"/>
          <w:sz w:val="21"/>
          <w:szCs w:val="21"/>
          <w:spacing w:val="-3"/>
        </w:rPr>
        <w:t>出主要指标的动</w:t>
      </w:r>
      <w:r>
        <w:rPr>
          <w:rFonts w:ascii="SimSun" w:hAnsi="SimSun" w:eastAsia="SimSun" w:cs="SimSun"/>
          <w:sz w:val="21"/>
          <w:szCs w:val="21"/>
        </w:rPr>
        <w:t xml:space="preserve"> </w:t>
      </w:r>
      <w:r>
        <w:rPr>
          <w:rFonts w:ascii="SimSun" w:hAnsi="SimSun" w:eastAsia="SimSun" w:cs="SimSun"/>
          <w:sz w:val="21"/>
          <w:szCs w:val="21"/>
          <w:spacing w:val="-1"/>
        </w:rPr>
        <w:t>态变化开始，首先观察这些指标所反映的</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集约部门</w:t>
      </w:r>
      <w:r>
        <w:rPr>
          <w:rFonts w:ascii="SimSun" w:hAnsi="SimSun" w:eastAsia="SimSun" w:cs="SimSun"/>
          <w:sz w:val="21"/>
          <w:szCs w:val="21"/>
          <w:spacing w:val="-2"/>
        </w:rPr>
        <w:t>与非</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ICT</w:t>
      </w:r>
      <w:r>
        <w:rPr>
          <w:rFonts w:ascii="SimSun" w:hAnsi="SimSun" w:eastAsia="SimSun" w:cs="SimSun"/>
          <w:sz w:val="21"/>
          <w:szCs w:val="21"/>
          <w:spacing w:val="-2"/>
        </w:rPr>
        <w:t>集 </w:t>
      </w:r>
      <w:r>
        <w:rPr>
          <w:rFonts w:ascii="SimSun" w:hAnsi="SimSun" w:eastAsia="SimSun" w:cs="SimSun"/>
          <w:sz w:val="21"/>
          <w:szCs w:val="21"/>
          <w:spacing w:val="-10"/>
        </w:rPr>
        <w:t>约部门的产业结构变化，特别是产出和生产要素在部门间的配</w:t>
      </w:r>
      <w:r>
        <w:rPr>
          <w:rFonts w:ascii="SimSun" w:hAnsi="SimSun" w:eastAsia="SimSun" w:cs="SimSun"/>
          <w:sz w:val="21"/>
          <w:szCs w:val="21"/>
          <w:spacing w:val="-11"/>
        </w:rPr>
        <w:t>置及其</w:t>
      </w:r>
      <w:r>
        <w:rPr>
          <w:rFonts w:ascii="SimSun" w:hAnsi="SimSun" w:eastAsia="SimSun" w:cs="SimSun"/>
          <w:sz w:val="21"/>
          <w:szCs w:val="21"/>
        </w:rPr>
        <w:t xml:space="preserve"> </w:t>
      </w:r>
      <w:r>
        <w:rPr>
          <w:rFonts w:ascii="SimSun" w:hAnsi="SimSun" w:eastAsia="SimSun" w:cs="SimSun"/>
          <w:sz w:val="21"/>
          <w:szCs w:val="21"/>
        </w:rPr>
        <w:t>变化；然后进一步观察</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集约部门与非</w:t>
      </w:r>
      <w:r>
        <w:rPr>
          <w:rFonts w:ascii="Times New Roman" w:hAnsi="Times New Roman" w:eastAsia="Times New Roman" w:cs="Times New Roman"/>
          <w:sz w:val="21"/>
          <w:szCs w:val="21"/>
        </w:rPr>
        <w:t>ICT </w:t>
      </w:r>
      <w:r>
        <w:rPr>
          <w:rFonts w:ascii="SimSun" w:hAnsi="SimSun" w:eastAsia="SimSun" w:cs="SimSun"/>
          <w:sz w:val="21"/>
          <w:szCs w:val="21"/>
        </w:rPr>
        <w:t>集约部</w:t>
      </w:r>
      <w:r>
        <w:rPr>
          <w:rFonts w:ascii="SimSun" w:hAnsi="SimSun" w:eastAsia="SimSun" w:cs="SimSun"/>
          <w:sz w:val="21"/>
          <w:szCs w:val="21"/>
          <w:spacing w:val="-1"/>
        </w:rPr>
        <w:t>门的资本深化</w:t>
      </w:r>
      <w:r>
        <w:rPr>
          <w:rFonts w:ascii="SimSun" w:hAnsi="SimSun" w:eastAsia="SimSun" w:cs="SimSun"/>
          <w:sz w:val="21"/>
          <w:szCs w:val="21"/>
        </w:rPr>
        <w:t xml:space="preserve"> </w:t>
      </w:r>
      <w:r>
        <w:rPr>
          <w:rFonts w:ascii="SimSun" w:hAnsi="SimSun" w:eastAsia="SimSun" w:cs="SimSun"/>
          <w:sz w:val="21"/>
          <w:szCs w:val="21"/>
          <w:spacing w:val="-1"/>
        </w:rPr>
        <w:t>与劳动生产率的关系及其变化；最后观察</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集约</w:t>
      </w:r>
      <w:r>
        <w:rPr>
          <w:rFonts w:ascii="SimSun" w:hAnsi="SimSun" w:eastAsia="SimSun" w:cs="SimSun"/>
          <w:sz w:val="21"/>
          <w:szCs w:val="21"/>
          <w:spacing w:val="-2"/>
        </w:rPr>
        <w:t>部门与非</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集 </w:t>
      </w:r>
      <w:r>
        <w:rPr>
          <w:rFonts w:ascii="SimSun" w:hAnsi="SimSun" w:eastAsia="SimSun" w:cs="SimSun"/>
          <w:sz w:val="21"/>
          <w:szCs w:val="21"/>
          <w:spacing w:val="-10"/>
        </w:rPr>
        <w:t>约部门的平均劳动成本与劳动生产率的关系及其变化。在观</w:t>
      </w:r>
      <w:r>
        <w:rPr>
          <w:rFonts w:ascii="SimSun" w:hAnsi="SimSun" w:eastAsia="SimSun" w:cs="SimSun"/>
          <w:sz w:val="21"/>
          <w:szCs w:val="21"/>
          <w:spacing w:val="-11"/>
        </w:rPr>
        <w:t>察中，我</w:t>
      </w:r>
      <w:r>
        <w:rPr>
          <w:rFonts w:ascii="SimSun" w:hAnsi="SimSun" w:eastAsia="SimSun" w:cs="SimSun"/>
          <w:sz w:val="21"/>
          <w:szCs w:val="21"/>
        </w:rPr>
        <w:t xml:space="preserve"> </w:t>
      </w:r>
      <w:r>
        <w:rPr>
          <w:rFonts w:ascii="SimSun" w:hAnsi="SimSun" w:eastAsia="SimSun" w:cs="SimSun"/>
          <w:sz w:val="21"/>
          <w:szCs w:val="21"/>
          <w:spacing w:val="-10"/>
        </w:rPr>
        <w:t>们只是探索性、假说式地提出问题的成因，将分析性的工作留待下一</w:t>
      </w:r>
      <w:r>
        <w:rPr>
          <w:rFonts w:ascii="SimSun" w:hAnsi="SimSun" w:eastAsia="SimSun" w:cs="SimSun"/>
          <w:sz w:val="21"/>
          <w:szCs w:val="21"/>
        </w:rPr>
        <w:t xml:space="preserve"> </w:t>
      </w:r>
      <w:r>
        <w:rPr>
          <w:rFonts w:ascii="SimSun" w:hAnsi="SimSun" w:eastAsia="SimSun" w:cs="SimSun"/>
          <w:sz w:val="21"/>
          <w:szCs w:val="21"/>
          <w:spacing w:val="-8"/>
        </w:rPr>
        <w:t>节进行。</w:t>
      </w:r>
    </w:p>
    <w:p>
      <w:pPr>
        <w:pStyle w:val="BodyText"/>
        <w:spacing w:line="245" w:lineRule="auto"/>
        <w:rPr/>
      </w:pPr>
      <w:r/>
    </w:p>
    <w:p>
      <w:pPr>
        <w:pStyle w:val="BodyText"/>
        <w:spacing w:line="246"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产出增长与结构变化</w:t>
      </w:r>
    </w:p>
    <w:p>
      <w:pPr>
        <w:pStyle w:val="BodyText"/>
        <w:spacing w:line="359" w:lineRule="auto"/>
        <w:rPr/>
      </w:pPr>
      <w:r/>
    </w:p>
    <w:p>
      <w:pPr>
        <w:ind w:firstLine="499"/>
        <w:spacing w:before="69" w:line="278" w:lineRule="auto"/>
        <w:jc w:val="both"/>
        <w:rPr>
          <w:rFonts w:ascii="SimSun" w:hAnsi="SimSun" w:eastAsia="SimSun" w:cs="SimSun"/>
          <w:sz w:val="21"/>
          <w:szCs w:val="21"/>
        </w:rPr>
      </w:pPr>
      <w:r>
        <w:rPr>
          <w:rFonts w:ascii="SimSun" w:hAnsi="SimSun" w:eastAsia="SimSun" w:cs="SimSun"/>
          <w:sz w:val="21"/>
          <w:szCs w:val="21"/>
          <w:spacing w:val="-2"/>
        </w:rPr>
        <w:t>表2-1、表2-2以数字经济的视角展示中</w:t>
      </w:r>
      <w:r>
        <w:rPr>
          <w:rFonts w:ascii="SimSun" w:hAnsi="SimSun" w:eastAsia="SimSun" w:cs="SimSun"/>
          <w:sz w:val="21"/>
          <w:szCs w:val="21"/>
          <w:spacing w:val="-3"/>
        </w:rPr>
        <w:t>国自加入世界贸易组织</w:t>
      </w:r>
      <w:r>
        <w:rPr>
          <w:rFonts w:ascii="SimSun" w:hAnsi="SimSun" w:eastAsia="SimSun" w:cs="SimSun"/>
          <w:sz w:val="21"/>
          <w:szCs w:val="21"/>
        </w:rPr>
        <w:t xml:space="preserve"> </w:t>
      </w:r>
      <w:r>
        <w:rPr>
          <w:rFonts w:ascii="SimSun" w:hAnsi="SimSun" w:eastAsia="SimSun" w:cs="SimSun"/>
          <w:sz w:val="21"/>
          <w:szCs w:val="21"/>
          <w:spacing w:val="-6"/>
        </w:rPr>
        <w:t>以来的 </w:t>
      </w:r>
      <w:r>
        <w:rPr>
          <w:rFonts w:ascii="Times New Roman" w:hAnsi="Times New Roman" w:eastAsia="Times New Roman" w:cs="Times New Roman"/>
          <w:sz w:val="21"/>
          <w:szCs w:val="21"/>
          <w:spacing w:val="-6"/>
        </w:rPr>
        <w:t>GDP</w:t>
      </w:r>
      <w:r>
        <w:rPr>
          <w:rFonts w:ascii="SimSun" w:hAnsi="SimSun" w:eastAsia="SimSun" w:cs="SimSun"/>
          <w:sz w:val="21"/>
          <w:szCs w:val="21"/>
          <w:spacing w:val="-6"/>
        </w:rPr>
        <w:t>增长与结构变化。首先必须面</w:t>
      </w:r>
      <w:r>
        <w:rPr>
          <w:rFonts w:ascii="SimSun" w:hAnsi="SimSun" w:eastAsia="SimSun" w:cs="SimSun"/>
          <w:sz w:val="21"/>
          <w:szCs w:val="21"/>
          <w:spacing w:val="-7"/>
        </w:rPr>
        <w:t>对的问题就是官方的增长</w:t>
      </w:r>
      <w:r>
        <w:rPr>
          <w:rFonts w:ascii="SimSun" w:hAnsi="SimSun" w:eastAsia="SimSun" w:cs="SimSun"/>
          <w:sz w:val="21"/>
          <w:szCs w:val="21"/>
        </w:rPr>
        <w:t xml:space="preserve">  </w:t>
      </w:r>
      <w:r>
        <w:rPr>
          <w:rFonts w:ascii="SimSun" w:hAnsi="SimSun" w:eastAsia="SimSun" w:cs="SimSun"/>
          <w:sz w:val="21"/>
          <w:szCs w:val="21"/>
          <w:spacing w:val="-10"/>
        </w:rPr>
        <w:t>率估计是否准确，是否应该考虑文献中提出的基于某些物量指标的替</w:t>
      </w:r>
    </w:p>
    <w:p>
      <w:pPr>
        <w:spacing w:line="278" w:lineRule="auto"/>
        <w:sectPr>
          <w:headerReference w:type="default" r:id="rId109"/>
          <w:pgSz w:w="7330" w:h="12480"/>
          <w:pgMar w:top="567" w:right="598" w:bottom="400" w:left="630" w:header="405" w:footer="0" w:gutter="0"/>
        </w:sectPr>
        <w:rPr>
          <w:rFonts w:ascii="SimSun" w:hAnsi="SimSun" w:eastAsia="SimSun" w:cs="SimSun"/>
          <w:sz w:val="21"/>
          <w:szCs w:val="21"/>
        </w:rPr>
      </w:pPr>
    </w:p>
    <w:p>
      <w:pPr>
        <w:pStyle w:val="BodyText"/>
        <w:spacing w:line="245" w:lineRule="auto"/>
        <w:rPr/>
      </w:pPr>
      <w:r>
        <w:drawing>
          <wp:anchor distT="0" distB="0" distL="0" distR="0" simplePos="0" relativeHeight="252552192" behindDoc="0" locked="0" layoutInCell="0" allowOverlap="1">
            <wp:simplePos x="0" y="0"/>
            <wp:positionH relativeFrom="page">
              <wp:posOffset>311156</wp:posOffset>
            </wp:positionH>
            <wp:positionV relativeFrom="page">
              <wp:posOffset>6356318</wp:posOffset>
            </wp:positionV>
            <wp:extent cx="1168384" cy="6350"/>
            <wp:effectExtent l="0" t="0" r="0" b="0"/>
            <wp:wrapNone/>
            <wp:docPr id="98" name="IM 98"/>
            <wp:cNvGraphicFramePr/>
            <a:graphic>
              <a:graphicData uri="http://schemas.openxmlformats.org/drawingml/2006/picture">
                <pic:pic>
                  <pic:nvPicPr>
                    <pic:cNvPr id="98" name="IM 98"/>
                    <pic:cNvPicPr/>
                  </pic:nvPicPr>
                  <pic:blipFill>
                    <a:blip r:embed="rId111"/>
                    <a:stretch>
                      <a:fillRect/>
                    </a:stretch>
                  </pic:blipFill>
                  <pic:spPr>
                    <a:xfrm rot="0">
                      <a:off x="0" y="0"/>
                      <a:ext cx="1168384"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ind w:right="46"/>
        <w:spacing w:before="69" w:line="308" w:lineRule="auto"/>
        <w:jc w:val="both"/>
        <w:rPr>
          <w:rFonts w:ascii="SimSun" w:hAnsi="SimSun" w:eastAsia="SimSun" w:cs="SimSun"/>
          <w:sz w:val="21"/>
          <w:szCs w:val="21"/>
        </w:rPr>
      </w:pPr>
      <w:r>
        <w:rPr>
          <w:rFonts w:ascii="SimSun" w:hAnsi="SimSun" w:eastAsia="SimSun" w:cs="SimSun"/>
          <w:sz w:val="21"/>
          <w:szCs w:val="21"/>
          <w:spacing w:val="-5"/>
        </w:rPr>
        <w:t>代估计。</w:t>
      </w:r>
      <w:r>
        <w:rPr>
          <w:rFonts w:ascii="Times New Roman" w:hAnsi="Times New Roman" w:eastAsia="Times New Roman" w:cs="Times New Roman"/>
          <w:sz w:val="21"/>
          <w:szCs w:val="21"/>
          <w:spacing w:val="-5"/>
        </w:rPr>
        <w:t>CIP   </w:t>
      </w:r>
      <w:r>
        <w:rPr>
          <w:rFonts w:ascii="SimSun" w:hAnsi="SimSun" w:eastAsia="SimSun" w:cs="SimSun"/>
          <w:sz w:val="21"/>
          <w:szCs w:val="21"/>
          <w:spacing w:val="-5"/>
        </w:rPr>
        <w:t>数据库构建的基本原则是接受官方的基础数据，但是</w:t>
      </w:r>
      <w:r>
        <w:rPr>
          <w:rFonts w:ascii="SimSun" w:hAnsi="SimSun" w:eastAsia="SimSun" w:cs="SimSun"/>
          <w:sz w:val="21"/>
          <w:szCs w:val="21"/>
        </w:rPr>
        <w:t xml:space="preserve"> </w:t>
      </w:r>
      <w:r>
        <w:rPr>
          <w:rFonts w:ascii="SimSun" w:hAnsi="SimSun" w:eastAsia="SimSun" w:cs="SimSun"/>
          <w:sz w:val="21"/>
          <w:szCs w:val="21"/>
          <w:spacing w:val="-4"/>
        </w:rPr>
        <w:t>我们不能回避官方传统的增长率估计方法可能带来的扭曲。具体地</w:t>
      </w:r>
      <w:r>
        <w:rPr>
          <w:rFonts w:ascii="SimSun" w:hAnsi="SimSun" w:eastAsia="SimSun" w:cs="SimSun"/>
          <w:sz w:val="21"/>
          <w:szCs w:val="21"/>
          <w:spacing w:val="13"/>
        </w:rPr>
        <w:t xml:space="preserve"> </w:t>
      </w:r>
      <w:r>
        <w:rPr>
          <w:rFonts w:ascii="SimSun" w:hAnsi="SimSun" w:eastAsia="SimSun" w:cs="SimSun"/>
          <w:sz w:val="21"/>
          <w:szCs w:val="21"/>
          <w:spacing w:val="-11"/>
        </w:rPr>
        <w:t>说，在价格平减时，官方通常采用单平减方法，就是假定行业的产出</w:t>
      </w:r>
      <w:r>
        <w:rPr>
          <w:rFonts w:ascii="SimSun" w:hAnsi="SimSun" w:eastAsia="SimSun" w:cs="SimSun"/>
          <w:sz w:val="21"/>
          <w:szCs w:val="21"/>
          <w:spacing w:val="13"/>
        </w:rPr>
        <w:t xml:space="preserve"> </w:t>
      </w:r>
      <w:r>
        <w:rPr>
          <w:rFonts w:ascii="SimSun" w:hAnsi="SimSun" w:eastAsia="SimSun" w:cs="SimSun"/>
          <w:sz w:val="21"/>
          <w:szCs w:val="21"/>
          <w:spacing w:val="-13"/>
        </w:rPr>
        <w:t>价格变动与投入价格变动是完全一致的。 </w:t>
      </w:r>
      <w:r>
        <w:rPr>
          <w:rFonts w:ascii="SimSun" w:hAnsi="SimSun" w:eastAsia="SimSun" w:cs="SimSun"/>
          <w:sz w:val="21"/>
          <w:szCs w:val="21"/>
          <w:spacing w:val="-14"/>
        </w:rPr>
        <w:t>一般而言，这种方法不仅不</w:t>
      </w:r>
      <w:r>
        <w:rPr>
          <w:rFonts w:ascii="SimSun" w:hAnsi="SimSun" w:eastAsia="SimSun" w:cs="SimSun"/>
          <w:sz w:val="21"/>
          <w:szCs w:val="21"/>
        </w:rPr>
        <w:t xml:space="preserve"> </w:t>
      </w:r>
      <w:r>
        <w:rPr>
          <w:rFonts w:ascii="SimSun" w:hAnsi="SimSun" w:eastAsia="SimSun" w:cs="SimSun"/>
          <w:sz w:val="21"/>
          <w:szCs w:val="21"/>
          <w:spacing w:val="-3"/>
        </w:rPr>
        <w:t>适用于结构变化很快且制度不健全的发展中</w:t>
      </w:r>
      <w:r>
        <w:rPr>
          <w:rFonts w:ascii="SimSun" w:hAnsi="SimSun" w:eastAsia="SimSun" w:cs="SimSun"/>
          <w:sz w:val="21"/>
          <w:szCs w:val="21"/>
          <w:spacing w:val="-4"/>
        </w:rPr>
        <w:t>国家，也忽视了过往20</w:t>
      </w:r>
      <w:r>
        <w:rPr>
          <w:rFonts w:ascii="SimSun" w:hAnsi="SimSun" w:eastAsia="SimSun" w:cs="SimSun"/>
          <w:sz w:val="21"/>
          <w:szCs w:val="21"/>
        </w:rPr>
        <w:t xml:space="preserve"> </w:t>
      </w:r>
      <w:r>
        <w:rPr>
          <w:rFonts w:ascii="SimSun" w:hAnsi="SimSun" w:eastAsia="SimSun" w:cs="SimSun"/>
          <w:sz w:val="21"/>
          <w:szCs w:val="21"/>
          <w:spacing w:val="-2"/>
        </w:rPr>
        <w:t>多年</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设备价格持续且迅速下降所引起的</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集约部门的产出价</w:t>
      </w:r>
      <w:r>
        <w:rPr>
          <w:rFonts w:ascii="SimSun" w:hAnsi="SimSun" w:eastAsia="SimSun" w:cs="SimSun"/>
          <w:sz w:val="21"/>
          <w:szCs w:val="21"/>
          <w:spacing w:val="5"/>
        </w:rPr>
        <w:t xml:space="preserve"> </w:t>
      </w:r>
      <w:r>
        <w:rPr>
          <w:rFonts w:ascii="SimSun" w:hAnsi="SimSun" w:eastAsia="SimSun" w:cs="SimSun"/>
          <w:sz w:val="21"/>
          <w:szCs w:val="21"/>
          <w:spacing w:val="-4"/>
        </w:rPr>
        <w:t>格水平长期低于投入价格水平的现象。这种方法可能因此造成了对</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6"/>
        </w:rPr>
        <w:t>ICT</w:t>
      </w:r>
      <w:r>
        <w:rPr>
          <w:rFonts w:ascii="SimSun" w:hAnsi="SimSun" w:eastAsia="SimSun" w:cs="SimSun"/>
          <w:sz w:val="21"/>
          <w:szCs w:val="21"/>
          <w:spacing w:val="-6"/>
        </w:rPr>
        <w:t>部门实际增长的低估以及对其他非</w:t>
      </w:r>
      <w:r>
        <w:rPr>
          <w:rFonts w:ascii="Times New Roman" w:hAnsi="Times New Roman" w:eastAsia="Times New Roman" w:cs="Times New Roman"/>
          <w:sz w:val="21"/>
          <w:szCs w:val="21"/>
          <w:spacing w:val="-6"/>
        </w:rPr>
        <w:t>ICT </w:t>
      </w:r>
      <w:r>
        <w:rPr>
          <w:rFonts w:ascii="SimSun" w:hAnsi="SimSun" w:eastAsia="SimSun" w:cs="SimSun"/>
          <w:sz w:val="21"/>
          <w:szCs w:val="21"/>
          <w:spacing w:val="-6"/>
        </w:rPr>
        <w:t>部门实际增长</w:t>
      </w:r>
      <w:r>
        <w:rPr>
          <w:rFonts w:ascii="SimSun" w:hAnsi="SimSun" w:eastAsia="SimSun" w:cs="SimSun"/>
          <w:sz w:val="21"/>
          <w:szCs w:val="21"/>
          <w:spacing w:val="-7"/>
        </w:rPr>
        <w:t>的高估。从</w:t>
      </w:r>
      <w:r>
        <w:rPr>
          <w:rFonts w:ascii="SimSun" w:hAnsi="SimSun" w:eastAsia="SimSun" w:cs="SimSun"/>
          <w:sz w:val="21"/>
          <w:szCs w:val="21"/>
        </w:rPr>
        <w:t xml:space="preserve"> </w:t>
      </w:r>
      <w:r>
        <w:rPr>
          <w:rFonts w:ascii="SimSun" w:hAnsi="SimSun" w:eastAsia="SimSun" w:cs="SimSun"/>
          <w:sz w:val="21"/>
          <w:szCs w:val="21"/>
          <w:spacing w:val="-10"/>
        </w:rPr>
        <w:t>理解数字经济增长对中国经济增长贡献的角度看，我们觉</w:t>
      </w:r>
      <w:r>
        <w:rPr>
          <w:rFonts w:ascii="SimSun" w:hAnsi="SimSun" w:eastAsia="SimSun" w:cs="SimSun"/>
          <w:sz w:val="21"/>
          <w:szCs w:val="21"/>
          <w:spacing w:val="-11"/>
        </w:rPr>
        <w:t>得非常有必</w:t>
      </w:r>
      <w:r>
        <w:rPr>
          <w:rFonts w:ascii="SimSun" w:hAnsi="SimSun" w:eastAsia="SimSun" w:cs="SimSun"/>
          <w:sz w:val="21"/>
          <w:szCs w:val="21"/>
        </w:rPr>
        <w:t xml:space="preserve"> </w:t>
      </w:r>
      <w:r>
        <w:rPr>
          <w:rFonts w:ascii="SimSun" w:hAnsi="SimSun" w:eastAsia="SimSun" w:cs="SimSun"/>
          <w:sz w:val="21"/>
          <w:szCs w:val="21"/>
          <w:spacing w:val="-10"/>
        </w:rPr>
        <w:t>要揭示这个差异。而且，这样做也有助于推动这个问题得</w:t>
      </w:r>
      <w:r>
        <w:rPr>
          <w:rFonts w:ascii="SimSun" w:hAnsi="SimSun" w:eastAsia="SimSun" w:cs="SimSun"/>
          <w:sz w:val="21"/>
          <w:szCs w:val="21"/>
          <w:spacing w:val="-11"/>
        </w:rPr>
        <w:t>到更公开和</w:t>
      </w:r>
      <w:r>
        <w:rPr>
          <w:rFonts w:ascii="SimSun" w:hAnsi="SimSun" w:eastAsia="SimSun" w:cs="SimSun"/>
          <w:sz w:val="21"/>
          <w:szCs w:val="21"/>
        </w:rPr>
        <w:t xml:space="preserve"> </w:t>
      </w:r>
      <w:r>
        <w:rPr>
          <w:rFonts w:ascii="SimSun" w:hAnsi="SimSun" w:eastAsia="SimSun" w:cs="SimSun"/>
          <w:sz w:val="21"/>
          <w:szCs w:val="21"/>
          <w:spacing w:val="-11"/>
        </w:rPr>
        <w:t>深入的讨论。</w:t>
      </w:r>
    </w:p>
    <w:p>
      <w:pPr>
        <w:ind w:right="38" w:firstLine="420"/>
        <w:spacing w:before="124" w:line="303" w:lineRule="auto"/>
        <w:jc w:val="both"/>
        <w:rPr>
          <w:rFonts w:ascii="SimSun" w:hAnsi="SimSun" w:eastAsia="SimSun" w:cs="SimSun"/>
          <w:sz w:val="21"/>
          <w:szCs w:val="21"/>
        </w:rPr>
      </w:pPr>
      <w:r>
        <w:rPr>
          <w:rFonts w:ascii="SimSun" w:hAnsi="SimSun" w:eastAsia="SimSun" w:cs="SimSun"/>
          <w:sz w:val="21"/>
          <w:szCs w:val="21"/>
          <w:spacing w:val="-11"/>
        </w:rPr>
        <w:t>我们采用的</w:t>
      </w:r>
      <w:r>
        <w:rPr>
          <w:rFonts w:ascii="Times New Roman" w:hAnsi="Times New Roman" w:eastAsia="Times New Roman" w:cs="Times New Roman"/>
          <w:sz w:val="21"/>
          <w:szCs w:val="21"/>
          <w:spacing w:val="-11"/>
        </w:rPr>
        <w:t>GDP</w:t>
      </w:r>
      <w:r>
        <w:rPr>
          <w:rFonts w:ascii="SimSun" w:hAnsi="SimSun" w:eastAsia="SimSun" w:cs="SimSun"/>
          <w:sz w:val="21"/>
          <w:szCs w:val="21"/>
          <w:spacing w:val="-11"/>
        </w:rPr>
        <w:t>增长率估计方法与生产率理论是一致的。其原则</w:t>
      </w:r>
      <w:r>
        <w:rPr>
          <w:rFonts w:ascii="SimSun" w:hAnsi="SimSun" w:eastAsia="SimSun" w:cs="SimSun"/>
          <w:sz w:val="21"/>
          <w:szCs w:val="21"/>
          <w:spacing w:val="15"/>
        </w:rPr>
        <w:t xml:space="preserve"> </w:t>
      </w:r>
      <w:r>
        <w:rPr>
          <w:rFonts w:ascii="SimSun" w:hAnsi="SimSun" w:eastAsia="SimSun" w:cs="SimSun"/>
          <w:sz w:val="21"/>
          <w:szCs w:val="21"/>
          <w:spacing w:val="-14"/>
        </w:rPr>
        <w:t>有二： 一是在行业层面上应该同时考虑投入和产出的价格变动；二是</w:t>
      </w:r>
      <w:r>
        <w:rPr>
          <w:rFonts w:ascii="SimSun" w:hAnsi="SimSun" w:eastAsia="SimSun" w:cs="SimSun"/>
          <w:sz w:val="21"/>
          <w:szCs w:val="21"/>
          <w:spacing w:val="18"/>
        </w:rPr>
        <w:t xml:space="preserve"> </w:t>
      </w:r>
      <w:r>
        <w:rPr>
          <w:rFonts w:ascii="SimSun" w:hAnsi="SimSun" w:eastAsia="SimSun" w:cs="SimSun"/>
          <w:sz w:val="21"/>
          <w:szCs w:val="21"/>
          <w:spacing w:val="-10"/>
        </w:rPr>
        <w:t>在行业加总时避免使用基于不变价格计算的行业增加值加</w:t>
      </w:r>
      <w:r>
        <w:rPr>
          <w:rFonts w:ascii="SimSun" w:hAnsi="SimSun" w:eastAsia="SimSun" w:cs="SimSun"/>
          <w:sz w:val="21"/>
          <w:szCs w:val="21"/>
          <w:spacing w:val="-11"/>
        </w:rPr>
        <w:t>总而产生替</w:t>
      </w:r>
      <w:r>
        <w:rPr>
          <w:rFonts w:ascii="SimSun" w:hAnsi="SimSun" w:eastAsia="SimSun" w:cs="SimSun"/>
          <w:sz w:val="21"/>
          <w:szCs w:val="21"/>
        </w:rPr>
        <w:t xml:space="preserve"> </w:t>
      </w:r>
      <w:r>
        <w:rPr>
          <w:rFonts w:ascii="SimSun" w:hAnsi="SimSun" w:eastAsia="SimSun" w:cs="SimSun"/>
          <w:sz w:val="21"/>
          <w:szCs w:val="21"/>
          <w:spacing w:val="-10"/>
        </w:rPr>
        <w:t>代偏差。为此，我们利用投入产出矩阵对每个行业的名义投入和产出</w:t>
      </w:r>
      <w:r>
        <w:rPr>
          <w:rFonts w:ascii="SimSun" w:hAnsi="SimSun" w:eastAsia="SimSun" w:cs="SimSun"/>
          <w:sz w:val="21"/>
          <w:szCs w:val="21"/>
          <w:spacing w:val="3"/>
        </w:rPr>
        <w:t xml:space="preserve"> </w:t>
      </w:r>
      <w:r>
        <w:rPr>
          <w:rFonts w:ascii="SimSun" w:hAnsi="SimSun" w:eastAsia="SimSun" w:cs="SimSun"/>
          <w:sz w:val="21"/>
          <w:szCs w:val="21"/>
          <w:spacing w:val="-10"/>
        </w:rPr>
        <w:t>分别进行了价格平减，得到了分行业的增长指数。在</w:t>
      </w:r>
      <w:r>
        <w:rPr>
          <w:rFonts w:ascii="SimSun" w:hAnsi="SimSun" w:eastAsia="SimSun" w:cs="SimSun"/>
          <w:sz w:val="21"/>
          <w:szCs w:val="21"/>
          <w:spacing w:val="-11"/>
        </w:rPr>
        <w:t>此基础上，我们</w:t>
      </w:r>
      <w:r>
        <w:rPr>
          <w:rFonts w:ascii="SimSun" w:hAnsi="SimSun" w:eastAsia="SimSun" w:cs="SimSun"/>
          <w:sz w:val="21"/>
          <w:szCs w:val="21"/>
        </w:rPr>
        <w:t xml:space="preserve"> </w:t>
      </w:r>
      <w:r>
        <w:rPr>
          <w:rFonts w:ascii="SimSun" w:hAnsi="SimSun" w:eastAsia="SimSun" w:cs="SimSun"/>
          <w:sz w:val="21"/>
          <w:szCs w:val="21"/>
          <w:spacing w:val="-5"/>
        </w:rPr>
        <w:t>使用</w:t>
      </w:r>
      <w:r>
        <w:rPr>
          <w:rFonts w:ascii="Times New Roman" w:hAnsi="Times New Roman" w:eastAsia="Times New Roman" w:cs="Times New Roman"/>
          <w:sz w:val="21"/>
          <w:szCs w:val="21"/>
          <w:spacing w:val="-5"/>
        </w:rPr>
        <w:t>Tormqvist </w:t>
      </w:r>
      <w:r>
        <w:rPr>
          <w:rFonts w:ascii="SimSun" w:hAnsi="SimSun" w:eastAsia="SimSun" w:cs="SimSun"/>
          <w:sz w:val="21"/>
          <w:szCs w:val="21"/>
          <w:spacing w:val="-5"/>
        </w:rPr>
        <w:t>加总方法，通过行</w:t>
      </w:r>
      <w:r>
        <w:rPr>
          <w:rFonts w:ascii="SimSun" w:hAnsi="SimSun" w:eastAsia="SimSun" w:cs="SimSun"/>
          <w:sz w:val="21"/>
          <w:szCs w:val="21"/>
          <w:spacing w:val="-6"/>
        </w:rPr>
        <w:t>业在整体经济中的名义成本权重对</w:t>
      </w:r>
      <w:r>
        <w:rPr>
          <w:rFonts w:ascii="SimSun" w:hAnsi="SimSun" w:eastAsia="SimSun" w:cs="SimSun"/>
          <w:sz w:val="21"/>
          <w:szCs w:val="21"/>
        </w:rPr>
        <w:t xml:space="preserve"> </w:t>
      </w:r>
      <w:r>
        <w:rPr>
          <w:rFonts w:ascii="SimSun" w:hAnsi="SimSun" w:eastAsia="SimSun" w:cs="SimSun"/>
          <w:sz w:val="21"/>
          <w:szCs w:val="21"/>
          <w:spacing w:val="-12"/>
        </w:rPr>
        <w:t>行业增长指数进行加总。</w:t>
      </w:r>
    </w:p>
    <w:p>
      <w:pPr>
        <w:ind w:right="24" w:firstLine="430"/>
        <w:spacing w:before="109" w:line="292" w:lineRule="auto"/>
        <w:jc w:val="both"/>
        <w:rPr>
          <w:rFonts w:ascii="SimSun" w:hAnsi="SimSun" w:eastAsia="SimSun" w:cs="SimSun"/>
          <w:sz w:val="21"/>
          <w:szCs w:val="21"/>
        </w:rPr>
      </w:pPr>
      <w:r>
        <w:rPr>
          <w:rFonts w:ascii="SimSun" w:hAnsi="SimSun" w:eastAsia="SimSun" w:cs="SimSun"/>
          <w:sz w:val="21"/>
          <w:szCs w:val="21"/>
          <w:spacing w:val="4"/>
        </w:rPr>
        <w:t>表2-1</w:t>
      </w:r>
      <w:r>
        <w:rPr>
          <w:rFonts w:ascii="SimSun" w:hAnsi="SimSun" w:eastAsia="SimSun" w:cs="SimSun"/>
          <w:sz w:val="21"/>
          <w:szCs w:val="21"/>
          <w:spacing w:val="-24"/>
        </w:rPr>
        <w:t xml:space="preserve"> </w:t>
      </w:r>
      <w:r>
        <w:rPr>
          <w:rFonts w:ascii="SimSun" w:hAnsi="SimSun" w:eastAsia="SimSun" w:cs="SimSun"/>
          <w:sz w:val="21"/>
          <w:szCs w:val="21"/>
          <w:spacing w:val="4"/>
        </w:rPr>
        <w:t>报告了整个观察时期及各分期的整体</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4"/>
        </w:rPr>
        <w:t>增长率和以</w:t>
      </w:r>
      <w:r>
        <w:rPr>
          <w:rFonts w:ascii="SimSun" w:hAnsi="SimSun" w:eastAsia="SimSun" w:cs="SimSun"/>
          <w:sz w:val="21"/>
          <w:szCs w:val="21"/>
        </w:rPr>
        <w:t xml:space="preserve"> </w:t>
      </w:r>
      <w:r>
        <w:rPr>
          <w:rFonts w:ascii="Times New Roman" w:hAnsi="Times New Roman" w:eastAsia="Times New Roman" w:cs="Times New Roman"/>
          <w:sz w:val="21"/>
          <w:szCs w:val="21"/>
          <w:spacing w:val="-3"/>
        </w:rPr>
        <w:t>ICT</w:t>
      </w:r>
      <w:r>
        <w:rPr>
          <w:rFonts w:ascii="SimSun" w:hAnsi="SimSun" w:eastAsia="SimSun" w:cs="SimSun"/>
          <w:sz w:val="21"/>
          <w:szCs w:val="21"/>
          <w:spacing w:val="-3"/>
        </w:rPr>
        <w:t>特征分组的各个经济部门的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3"/>
        </w:rPr>
        <w:t>GDP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增长率。表中有</w:t>
      </w:r>
      <w:r>
        <w:rPr>
          <w:rFonts w:ascii="SimSun" w:hAnsi="SimSun" w:eastAsia="SimSun" w:cs="SimSun"/>
          <w:sz w:val="21"/>
          <w:szCs w:val="21"/>
          <w:spacing w:val="-4"/>
        </w:rPr>
        <w:t>官方的估计结</w:t>
      </w:r>
      <w:r>
        <w:rPr>
          <w:rFonts w:ascii="SimSun" w:hAnsi="SimSun" w:eastAsia="SimSun" w:cs="SimSun"/>
          <w:sz w:val="21"/>
          <w:szCs w:val="21"/>
        </w:rPr>
        <w:t xml:space="preserve"> </w:t>
      </w:r>
      <w:r>
        <w:rPr>
          <w:rFonts w:ascii="SimSun" w:hAnsi="SimSun" w:eastAsia="SimSun" w:cs="SimSun"/>
          <w:sz w:val="21"/>
          <w:szCs w:val="21"/>
          <w:spacing w:val="-4"/>
        </w:rPr>
        <w:t>果，就是可以通过国家统计局年度统计报告和定期的国民经济核算</w:t>
      </w:r>
      <w:r>
        <w:rPr>
          <w:rFonts w:ascii="SimSun" w:hAnsi="SimSun" w:eastAsia="SimSun" w:cs="SimSun"/>
          <w:sz w:val="21"/>
          <w:szCs w:val="21"/>
          <w:spacing w:val="14"/>
        </w:rPr>
        <w:t xml:space="preserve"> </w:t>
      </w:r>
      <w:r>
        <w:rPr>
          <w:rFonts w:ascii="SimSun" w:hAnsi="SimSun" w:eastAsia="SimSun" w:cs="SimSun"/>
          <w:sz w:val="21"/>
          <w:szCs w:val="21"/>
          <w:spacing w:val="-3"/>
        </w:rPr>
        <w:t>账户数据得出的结果，以及我们采用同样的</w:t>
      </w:r>
      <w:r>
        <w:rPr>
          <w:rFonts w:ascii="SimSun" w:hAnsi="SimSun" w:eastAsia="SimSun" w:cs="SimSun"/>
          <w:sz w:val="21"/>
          <w:szCs w:val="21"/>
          <w:spacing w:val="-4"/>
        </w:rPr>
        <w:t>官方基础数据，但是使</w:t>
      </w:r>
    </w:p>
    <w:p>
      <w:pPr>
        <w:pStyle w:val="BodyText"/>
        <w:spacing w:line="418" w:lineRule="auto"/>
        <w:rPr/>
      </w:pPr>
      <w:r/>
    </w:p>
    <w:p>
      <w:pPr>
        <w:ind w:left="300" w:hanging="300"/>
        <w:spacing w:before="52" w:line="366" w:lineRule="auto"/>
        <w:rPr>
          <w:rFonts w:ascii="Times New Roman" w:hAnsi="Times New Roman" w:eastAsia="Times New Roman" w:cs="Times New Roman"/>
          <w:sz w:val="16"/>
          <w:szCs w:val="16"/>
        </w:rPr>
      </w:pPr>
      <w:r>
        <w:rPr>
          <w:rFonts w:ascii="KaiTi" w:hAnsi="KaiTi" w:eastAsia="KaiTi" w:cs="KaiTi"/>
          <w:sz w:val="16"/>
          <w:szCs w:val="16"/>
          <w:spacing w:val="-1"/>
        </w:rPr>
        <w:t>①</w:t>
      </w:r>
      <w:r>
        <w:rPr>
          <w:rFonts w:ascii="KaiTi" w:hAnsi="KaiTi" w:eastAsia="KaiTi" w:cs="KaiTi"/>
          <w:sz w:val="16"/>
          <w:szCs w:val="16"/>
          <w:spacing w:val="74"/>
        </w:rPr>
        <w:t xml:space="preserve"> </w:t>
      </w:r>
      <w:r>
        <w:rPr>
          <w:rFonts w:ascii="KaiTi" w:hAnsi="KaiTi" w:eastAsia="KaiTi" w:cs="KaiTi"/>
          <w:sz w:val="16"/>
          <w:szCs w:val="16"/>
          <w:spacing w:val="-1"/>
        </w:rPr>
        <w:t>这个问题在文献中有大量的讨论，见：Harr</w:t>
      </w:r>
      <w:r>
        <w:rPr>
          <w:rFonts w:ascii="Times New Roman" w:hAnsi="Times New Roman" w:eastAsia="Times New Roman" w:cs="Times New Roman"/>
          <w:sz w:val="16"/>
          <w:szCs w:val="16"/>
          <w:spacing w:val="-1"/>
        </w:rPr>
        <w:t>y</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X.Wu,“How</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Fast</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spacing w:val="-1"/>
        </w:rPr>
        <w:t>Has</w:t>
      </w:r>
      <w:r>
        <w:rPr>
          <w:rFonts w:ascii="Times New Roman" w:hAnsi="Times New Roman" w:eastAsia="Times New Roman" w:cs="Times New Roman"/>
          <w:sz w:val="16"/>
          <w:szCs w:val="16"/>
          <w:spacing w:val="17"/>
          <w:w w:val="102"/>
        </w:rPr>
        <w:t xml:space="preserve"> </w:t>
      </w:r>
      <w:r>
        <w:rPr>
          <w:rFonts w:ascii="Times New Roman" w:hAnsi="Times New Roman" w:eastAsia="Times New Roman" w:cs="Times New Roman"/>
          <w:sz w:val="16"/>
          <w:szCs w:val="16"/>
          <w:spacing w:val="-1"/>
        </w:rPr>
        <w:t>Chinese</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spacing w:val="-1"/>
        </w:rPr>
        <w:t>Industry</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Grown?—The</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Upward</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Bias</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Hypothesis</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Revisited",C</w:t>
      </w:r>
      <w:r>
        <w:rPr>
          <w:rFonts w:ascii="Times New Roman" w:hAnsi="Times New Roman" w:eastAsia="Times New Roman" w:cs="Times New Roman"/>
          <w:sz w:val="16"/>
          <w:szCs w:val="16"/>
          <w:spacing w:val="-1"/>
        </w:rPr>
        <w:t>hina</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spacing w:val="-1"/>
        </w:rPr>
        <w:t>Economic</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Journal,2013,6</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(2-3):80-102;Harry</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X.Wu,Zhan</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Li,“Rea</w:t>
      </w:r>
      <w:r>
        <w:rPr>
          <w:rFonts w:ascii="Times New Roman" w:hAnsi="Times New Roman" w:eastAsia="Times New Roman" w:cs="Times New Roman"/>
          <w:sz w:val="16"/>
          <w:szCs w:val="16"/>
          <w:spacing w:val="-1"/>
        </w:rPr>
        <w:t>ssessing</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China's</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GDP</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Growth</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Performance:</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an</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Exploration</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rPr>
        <w:t>of  the   Underestimated   Price</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rPr>
        <w:t>Effect",RIETI</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Discussi</w:t>
      </w:r>
      <w:r>
        <w:rPr>
          <w:rFonts w:ascii="Times New Roman" w:hAnsi="Times New Roman" w:eastAsia="Times New Roman" w:cs="Times New Roman"/>
          <w:sz w:val="16"/>
          <w:szCs w:val="16"/>
          <w:spacing w:val="-1"/>
        </w:rPr>
        <w:t>on</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spacing w:val="-1"/>
        </w:rPr>
        <w:t>Papers,21-</w:t>
      </w:r>
    </w:p>
    <w:p>
      <w:pPr>
        <w:ind w:left="300"/>
        <w:spacing w:line="183" w:lineRule="auto"/>
        <w:rPr>
          <w:rFonts w:ascii="SimSun" w:hAnsi="SimSun" w:eastAsia="SimSun" w:cs="SimSun"/>
          <w:sz w:val="16"/>
          <w:szCs w:val="16"/>
        </w:rPr>
      </w:pPr>
      <w:r>
        <w:rPr>
          <w:rFonts w:ascii="SimSun" w:hAnsi="SimSun" w:eastAsia="SimSun" w:cs="SimSun"/>
          <w:sz w:val="16"/>
          <w:szCs w:val="16"/>
          <w:spacing w:val="-3"/>
        </w:rPr>
        <w:t>E-018,2021。</w:t>
      </w:r>
    </w:p>
    <w:p>
      <w:pPr>
        <w:spacing w:line="183" w:lineRule="auto"/>
        <w:sectPr>
          <w:headerReference w:type="default" r:id="rId110"/>
          <w:pgSz w:w="7330" w:h="12480"/>
          <w:pgMar w:top="829" w:right="806" w:bottom="400" w:left="479" w:header="651" w:footer="0" w:gutter="0"/>
        </w:sectPr>
        <w:rPr>
          <w:rFonts w:ascii="SimSun" w:hAnsi="SimSun" w:eastAsia="SimSun" w:cs="SimSun"/>
          <w:sz w:val="16"/>
          <w:szCs w:val="16"/>
        </w:rPr>
      </w:pPr>
    </w:p>
    <w:p>
      <w:pPr>
        <w:ind w:left="11"/>
        <w:spacing w:line="220" w:lineRule="auto"/>
        <w:rPr>
          <w:rFonts w:ascii="SimHei" w:hAnsi="SimHei" w:eastAsia="SimHei" w:cs="SimHei"/>
          <w:sz w:val="19"/>
          <w:szCs w:val="19"/>
        </w:rPr>
      </w:pPr>
      <w:r>
        <w:rPr>
          <w:rFonts w:ascii="SimSun" w:hAnsi="SimSun" w:eastAsia="SimSun" w:cs="SimSun"/>
          <w:sz w:val="12"/>
          <w:szCs w:val="12"/>
          <w:b/>
          <w:bCs/>
          <w:spacing w:val="-4"/>
          <w:position w:val="-2"/>
        </w:rPr>
        <w:t>078</w:t>
      </w:r>
      <w:r>
        <w:rPr>
          <w:rFonts w:ascii="SimSun" w:hAnsi="SimSun" w:eastAsia="SimSun" w:cs="SimSun"/>
          <w:sz w:val="12"/>
          <w:szCs w:val="12"/>
          <w:spacing w:val="1"/>
          <w:position w:val="-2"/>
        </w:rPr>
        <w:t xml:space="preserve">                             </w:t>
      </w:r>
      <w:r>
        <w:rPr>
          <w:rFonts w:ascii="SimHei" w:hAnsi="SimHei" w:eastAsia="SimHei" w:cs="SimHei"/>
          <w:sz w:val="19"/>
          <w:szCs w:val="19"/>
          <w:spacing w:val="-17"/>
          <w:w w:val="91"/>
        </w:rPr>
        <w:t>平台经济——创新、治理与繁荣</w:t>
      </w:r>
    </w:p>
    <w:p>
      <w:pPr>
        <w:pStyle w:val="BodyText"/>
        <w:spacing w:line="317" w:lineRule="auto"/>
        <w:rPr/>
      </w:pPr>
      <w:r/>
    </w:p>
    <w:p>
      <w:pPr>
        <w:pStyle w:val="BodyText"/>
        <w:spacing w:line="317" w:lineRule="auto"/>
        <w:rPr/>
      </w:pPr>
      <w:r/>
    </w:p>
    <w:p>
      <w:pPr>
        <w:pStyle w:val="BodyText"/>
        <w:spacing w:line="318" w:lineRule="auto"/>
        <w:rPr/>
      </w:pPr>
      <w:r/>
    </w:p>
    <w:p>
      <w:pPr>
        <w:ind w:left="1432"/>
        <w:spacing w:before="62" w:line="222" w:lineRule="auto"/>
        <w:rPr>
          <w:rFonts w:ascii="SimHei" w:hAnsi="SimHei" w:eastAsia="SimHei" w:cs="SimHei"/>
          <w:sz w:val="19"/>
          <w:szCs w:val="19"/>
        </w:rPr>
      </w:pPr>
      <w:r>
        <w:rPr>
          <w:rFonts w:ascii="SimHei" w:hAnsi="SimHei" w:eastAsia="SimHei" w:cs="SimHei"/>
          <w:sz w:val="19"/>
          <w:szCs w:val="19"/>
          <w:b/>
          <w:bCs/>
          <w:spacing w:val="-7"/>
        </w:rPr>
        <w:t>表2-1</w:t>
      </w:r>
      <w:r>
        <w:rPr>
          <w:rFonts w:ascii="SimHei" w:hAnsi="SimHei" w:eastAsia="SimHei" w:cs="SimHei"/>
          <w:sz w:val="19"/>
          <w:szCs w:val="19"/>
          <w:spacing w:val="86"/>
        </w:rPr>
        <w:t xml:space="preserve"> </w:t>
      </w:r>
      <w:r>
        <w:rPr>
          <w:rFonts w:ascii="SimHei" w:hAnsi="SimHei" w:eastAsia="SimHei" w:cs="SimHei"/>
          <w:sz w:val="19"/>
          <w:szCs w:val="19"/>
          <w:b/>
          <w:bCs/>
          <w:spacing w:val="-7"/>
        </w:rPr>
        <w:t>中国经济增长率：数字经济视角</w:t>
      </w:r>
    </w:p>
    <w:p>
      <w:pPr>
        <w:ind w:left="5429"/>
        <w:spacing w:before="186" w:line="220" w:lineRule="auto"/>
        <w:rPr>
          <w:rFonts w:ascii="SimSun" w:hAnsi="SimSun" w:eastAsia="SimSun" w:cs="SimSun"/>
          <w:sz w:val="19"/>
          <w:szCs w:val="19"/>
        </w:rPr>
      </w:pPr>
      <w:r>
        <w:rPr>
          <w:rFonts w:ascii="SimSun" w:hAnsi="SimSun" w:eastAsia="SimSun" w:cs="SimSun"/>
          <w:sz w:val="19"/>
          <w:szCs w:val="19"/>
          <w:spacing w:val="-14"/>
        </w:rPr>
        <w:t>单位：%</w:t>
      </w:r>
    </w:p>
    <w:tbl>
      <w:tblPr>
        <w:tblStyle w:val="TableNormal"/>
        <w:tblW w:w="615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98"/>
        <w:gridCol w:w="1194"/>
        <w:gridCol w:w="1255"/>
        <w:gridCol w:w="1235"/>
        <w:gridCol w:w="1277"/>
      </w:tblGrid>
      <w:tr>
        <w:trPr>
          <w:trHeight w:val="614" w:hRule="atLeast"/>
        </w:trPr>
        <w:tc>
          <w:tcPr>
            <w:tcW w:w="1198" w:type="dxa"/>
            <w:vAlign w:val="top"/>
            <w:tcBorders>
              <w:bottom w:val="single" w:color="000000" w:sz="4" w:space="0"/>
              <w:top w:val="single" w:color="000000" w:sz="4" w:space="0"/>
            </w:tcBorders>
          </w:tcPr>
          <w:p>
            <w:pPr>
              <w:rPr>
                <w:rFonts w:ascii="Arial"/>
                <w:sz w:val="21"/>
              </w:rPr>
            </w:pPr>
            <w:r/>
          </w:p>
        </w:tc>
        <w:tc>
          <w:tcPr>
            <w:tcW w:w="1194" w:type="dxa"/>
            <w:vAlign w:val="top"/>
            <w:tcBorders>
              <w:bottom w:val="single" w:color="000000" w:sz="4" w:space="0"/>
              <w:top w:val="single" w:color="000000" w:sz="4" w:space="0"/>
            </w:tcBorders>
          </w:tcPr>
          <w:p>
            <w:pPr>
              <w:pStyle w:val="TableText"/>
              <w:ind w:left="92"/>
              <w:spacing w:before="81" w:line="219" w:lineRule="auto"/>
              <w:rPr>
                <w:sz w:val="16"/>
                <w:szCs w:val="16"/>
              </w:rPr>
            </w:pPr>
            <w:r>
              <w:rPr>
                <w:sz w:val="16"/>
                <w:szCs w:val="16"/>
                <w:spacing w:val="-1"/>
              </w:rPr>
              <w:t>2001—2007年</w:t>
            </w:r>
          </w:p>
          <w:p>
            <w:pPr>
              <w:pStyle w:val="TableText"/>
              <w:ind w:left="124"/>
              <w:spacing w:before="116" w:line="221" w:lineRule="auto"/>
              <w:rPr>
                <w:sz w:val="16"/>
                <w:szCs w:val="16"/>
              </w:rPr>
            </w:pPr>
            <w:r>
              <w:rPr>
                <w:sz w:val="16"/>
                <w:szCs w:val="16"/>
                <w:b/>
                <w:bCs/>
                <w:spacing w:val="-4"/>
              </w:rPr>
              <w:t>官方</w:t>
            </w:r>
            <w:r>
              <w:rPr>
                <w:sz w:val="16"/>
                <w:szCs w:val="16"/>
                <w:spacing w:val="-4"/>
              </w:rPr>
              <w:t xml:space="preserve"> </w:t>
            </w:r>
            <w:r>
              <w:rPr>
                <w:sz w:val="16"/>
                <w:szCs w:val="16"/>
                <w:b/>
                <w:bCs/>
                <w:spacing w:val="-4"/>
              </w:rPr>
              <w:t>本研究</w:t>
            </w:r>
          </w:p>
        </w:tc>
        <w:tc>
          <w:tcPr>
            <w:tcW w:w="1255" w:type="dxa"/>
            <w:vAlign w:val="top"/>
            <w:tcBorders>
              <w:bottom w:val="single" w:color="000000" w:sz="4" w:space="0"/>
              <w:top w:val="single" w:color="000000" w:sz="4" w:space="0"/>
            </w:tcBorders>
          </w:tcPr>
          <w:p>
            <w:pPr>
              <w:pStyle w:val="TableText"/>
              <w:ind w:left="158"/>
              <w:spacing w:before="81" w:line="219" w:lineRule="auto"/>
              <w:rPr>
                <w:sz w:val="16"/>
                <w:szCs w:val="16"/>
              </w:rPr>
            </w:pPr>
            <w:r>
              <w:rPr>
                <w:sz w:val="16"/>
                <w:szCs w:val="16"/>
                <w:spacing w:val="-1"/>
              </w:rPr>
              <w:t>2007—2012年</w:t>
            </w:r>
          </w:p>
          <w:p>
            <w:pPr>
              <w:pStyle w:val="TableText"/>
              <w:ind w:left="160"/>
              <w:spacing w:before="116" w:line="219" w:lineRule="auto"/>
              <w:rPr>
                <w:sz w:val="16"/>
                <w:szCs w:val="16"/>
              </w:rPr>
            </w:pPr>
            <w:r>
              <w:rPr>
                <w:sz w:val="16"/>
                <w:szCs w:val="16"/>
                <w:b/>
                <w:bCs/>
                <w:spacing w:val="-6"/>
              </w:rPr>
              <w:t>官方</w:t>
            </w:r>
            <w:r>
              <w:rPr>
                <w:sz w:val="16"/>
                <w:szCs w:val="16"/>
                <w:spacing w:val="7"/>
              </w:rPr>
              <w:t xml:space="preserve">  </w:t>
            </w:r>
            <w:r>
              <w:rPr>
                <w:sz w:val="16"/>
                <w:szCs w:val="16"/>
                <w:b/>
                <w:bCs/>
                <w:spacing w:val="-6"/>
              </w:rPr>
              <w:t>本研究</w:t>
            </w:r>
          </w:p>
        </w:tc>
        <w:tc>
          <w:tcPr>
            <w:tcW w:w="1235" w:type="dxa"/>
            <w:vAlign w:val="top"/>
            <w:tcBorders>
              <w:bottom w:val="single" w:color="000000" w:sz="4" w:space="0"/>
              <w:top w:val="single" w:color="000000" w:sz="4" w:space="0"/>
            </w:tcBorders>
          </w:tcPr>
          <w:p>
            <w:pPr>
              <w:pStyle w:val="TableText"/>
              <w:ind w:left="133"/>
              <w:spacing w:before="81" w:line="219" w:lineRule="auto"/>
              <w:rPr>
                <w:sz w:val="16"/>
                <w:szCs w:val="16"/>
              </w:rPr>
            </w:pPr>
            <w:r>
              <w:rPr>
                <w:sz w:val="16"/>
                <w:szCs w:val="16"/>
                <w:spacing w:val="-1"/>
              </w:rPr>
              <w:t>2012—2018年</w:t>
            </w:r>
          </w:p>
          <w:p>
            <w:pPr>
              <w:pStyle w:val="TableText"/>
              <w:ind w:left="175"/>
              <w:spacing w:before="116" w:line="219" w:lineRule="auto"/>
              <w:rPr>
                <w:sz w:val="16"/>
                <w:szCs w:val="16"/>
              </w:rPr>
            </w:pPr>
            <w:r>
              <w:rPr>
                <w:sz w:val="16"/>
                <w:szCs w:val="16"/>
                <w:b/>
                <w:bCs/>
                <w:spacing w:val="-6"/>
              </w:rPr>
              <w:t>官方</w:t>
            </w:r>
            <w:r>
              <w:rPr>
                <w:sz w:val="16"/>
                <w:szCs w:val="16"/>
                <w:spacing w:val="16"/>
              </w:rPr>
              <w:t xml:space="preserve"> </w:t>
            </w:r>
            <w:r>
              <w:rPr>
                <w:sz w:val="16"/>
                <w:szCs w:val="16"/>
                <w:b/>
                <w:bCs/>
                <w:spacing w:val="-6"/>
              </w:rPr>
              <w:t>本研究</w:t>
            </w:r>
          </w:p>
        </w:tc>
        <w:tc>
          <w:tcPr>
            <w:tcW w:w="1277" w:type="dxa"/>
            <w:vAlign w:val="top"/>
            <w:tcBorders>
              <w:bottom w:val="single" w:color="000000" w:sz="4" w:space="0"/>
              <w:top w:val="single" w:color="000000" w:sz="4" w:space="0"/>
            </w:tcBorders>
          </w:tcPr>
          <w:p>
            <w:pPr>
              <w:pStyle w:val="TableText"/>
              <w:ind w:left="158"/>
              <w:spacing w:before="81" w:line="219" w:lineRule="auto"/>
              <w:rPr>
                <w:sz w:val="16"/>
                <w:szCs w:val="16"/>
              </w:rPr>
            </w:pPr>
            <w:r>
              <w:rPr>
                <w:sz w:val="16"/>
                <w:szCs w:val="16"/>
                <w:spacing w:val="-1"/>
              </w:rPr>
              <w:t>2001—2018年</w:t>
            </w:r>
          </w:p>
          <w:p>
            <w:pPr>
              <w:pStyle w:val="TableText"/>
              <w:ind w:left="160"/>
              <w:spacing w:before="116" w:line="219" w:lineRule="auto"/>
              <w:rPr>
                <w:sz w:val="16"/>
                <w:szCs w:val="16"/>
              </w:rPr>
            </w:pPr>
            <w:r>
              <w:rPr>
                <w:sz w:val="16"/>
                <w:szCs w:val="16"/>
                <w:b/>
                <w:bCs/>
                <w:spacing w:val="-6"/>
              </w:rPr>
              <w:t>官方</w:t>
            </w:r>
            <w:r>
              <w:rPr>
                <w:sz w:val="16"/>
                <w:szCs w:val="16"/>
                <w:spacing w:val="7"/>
              </w:rPr>
              <w:t xml:space="preserve">  </w:t>
            </w:r>
            <w:r>
              <w:rPr>
                <w:sz w:val="16"/>
                <w:szCs w:val="16"/>
                <w:b/>
                <w:bCs/>
                <w:spacing w:val="-6"/>
              </w:rPr>
              <w:t>本研究</w:t>
            </w:r>
          </w:p>
        </w:tc>
      </w:tr>
      <w:tr>
        <w:trPr>
          <w:trHeight w:val="304" w:hRule="atLeast"/>
        </w:trPr>
        <w:tc>
          <w:tcPr>
            <w:tcW w:w="1198" w:type="dxa"/>
            <w:vAlign w:val="top"/>
            <w:tcBorders>
              <w:top w:val="single" w:color="000000" w:sz="4" w:space="0"/>
            </w:tcBorders>
          </w:tcPr>
          <w:p>
            <w:pPr>
              <w:pStyle w:val="TableText"/>
              <w:ind w:left="162"/>
              <w:spacing w:before="75" w:line="220" w:lineRule="auto"/>
              <w:rPr>
                <w:sz w:val="16"/>
                <w:szCs w:val="16"/>
              </w:rPr>
            </w:pPr>
            <w:r>
              <w:rPr>
                <w:sz w:val="16"/>
                <w:szCs w:val="16"/>
                <w:b/>
                <w:bCs/>
                <w:spacing w:val="-3"/>
              </w:rPr>
              <w:t>整体经济</w:t>
            </w:r>
          </w:p>
        </w:tc>
        <w:tc>
          <w:tcPr>
            <w:tcW w:w="1194" w:type="dxa"/>
            <w:vAlign w:val="top"/>
            <w:tcBorders>
              <w:top w:val="single" w:color="000000" w:sz="4" w:space="0"/>
            </w:tcBorders>
          </w:tcPr>
          <w:p>
            <w:pPr>
              <w:pStyle w:val="TableText"/>
              <w:ind w:left="121"/>
              <w:spacing w:before="118" w:line="184" w:lineRule="auto"/>
              <w:rPr>
                <w:sz w:val="16"/>
                <w:szCs w:val="16"/>
              </w:rPr>
            </w:pPr>
            <w:r>
              <w:rPr>
                <w:sz w:val="16"/>
                <w:szCs w:val="16"/>
                <w:spacing w:val="-4"/>
              </w:rPr>
              <w:t>11.8</w:t>
            </w:r>
            <w:r>
              <w:rPr>
                <w:sz w:val="16"/>
                <w:szCs w:val="16"/>
                <w:spacing w:val="6"/>
              </w:rPr>
              <w:t xml:space="preserve">   </w:t>
            </w:r>
            <w:r>
              <w:rPr>
                <w:sz w:val="16"/>
                <w:szCs w:val="16"/>
                <w:spacing w:val="-4"/>
              </w:rPr>
              <w:t>10.7</w:t>
            </w:r>
          </w:p>
        </w:tc>
        <w:tc>
          <w:tcPr>
            <w:tcW w:w="1255" w:type="dxa"/>
            <w:vAlign w:val="top"/>
            <w:tcBorders>
              <w:top w:val="single" w:color="000000" w:sz="4" w:space="0"/>
            </w:tcBorders>
          </w:tcPr>
          <w:p>
            <w:pPr>
              <w:pStyle w:val="TableText"/>
              <w:ind w:left="247"/>
              <w:spacing w:before="118" w:line="184" w:lineRule="auto"/>
              <w:rPr>
                <w:sz w:val="16"/>
                <w:szCs w:val="16"/>
              </w:rPr>
            </w:pPr>
            <w:r>
              <w:rPr>
                <w:sz w:val="16"/>
                <w:szCs w:val="16"/>
                <w:spacing w:val="-4"/>
              </w:rPr>
              <w:t>10.5</w:t>
            </w:r>
            <w:r>
              <w:rPr>
                <w:sz w:val="16"/>
                <w:szCs w:val="16"/>
                <w:spacing w:val="10"/>
              </w:rPr>
              <w:t xml:space="preserve">   </w:t>
            </w:r>
            <w:r>
              <w:rPr>
                <w:sz w:val="16"/>
                <w:szCs w:val="16"/>
                <w:spacing w:val="-4"/>
              </w:rPr>
              <w:t>8.1</w:t>
            </w:r>
          </w:p>
        </w:tc>
        <w:tc>
          <w:tcPr>
            <w:tcW w:w="1235" w:type="dxa"/>
            <w:vAlign w:val="top"/>
            <w:tcBorders>
              <w:top w:val="single" w:color="000000" w:sz="4" w:space="0"/>
            </w:tcBorders>
          </w:tcPr>
          <w:p>
            <w:pPr>
              <w:pStyle w:val="TableText"/>
              <w:ind w:left="262"/>
              <w:spacing w:before="118" w:line="183" w:lineRule="auto"/>
              <w:rPr>
                <w:sz w:val="16"/>
                <w:szCs w:val="16"/>
              </w:rPr>
            </w:pPr>
            <w:r>
              <w:rPr>
                <w:sz w:val="16"/>
                <w:szCs w:val="16"/>
                <w:spacing w:val="-3"/>
              </w:rPr>
              <w:t>7.4</w:t>
            </w:r>
            <w:r>
              <w:rPr>
                <w:sz w:val="16"/>
                <w:szCs w:val="16"/>
              </w:rPr>
              <w:t xml:space="preserve">    </w:t>
            </w:r>
            <w:r>
              <w:rPr>
                <w:sz w:val="16"/>
                <w:szCs w:val="16"/>
                <w:spacing w:val="-3"/>
              </w:rPr>
              <w:t>5.3</w:t>
            </w:r>
          </w:p>
        </w:tc>
        <w:tc>
          <w:tcPr>
            <w:tcW w:w="1277" w:type="dxa"/>
            <w:vAlign w:val="top"/>
            <w:tcBorders>
              <w:top w:val="single" w:color="000000" w:sz="4" w:space="0"/>
            </w:tcBorders>
          </w:tcPr>
          <w:p>
            <w:pPr>
              <w:pStyle w:val="TableText"/>
              <w:ind w:left="308"/>
              <w:spacing w:before="118" w:line="183" w:lineRule="auto"/>
              <w:rPr>
                <w:sz w:val="16"/>
                <w:szCs w:val="16"/>
              </w:rPr>
            </w:pPr>
            <w:r>
              <w:rPr>
                <w:sz w:val="16"/>
                <w:szCs w:val="16"/>
                <w:spacing w:val="-2"/>
              </w:rPr>
              <w:t>9.9</w:t>
            </w:r>
            <w:r>
              <w:rPr>
                <w:sz w:val="16"/>
                <w:szCs w:val="16"/>
                <w:spacing w:val="15"/>
              </w:rPr>
              <w:t xml:space="preserve">   </w:t>
            </w:r>
            <w:r>
              <w:rPr>
                <w:sz w:val="16"/>
                <w:szCs w:val="16"/>
                <w:spacing w:val="-2"/>
              </w:rPr>
              <w:t>8.0</w:t>
            </w:r>
          </w:p>
        </w:tc>
      </w:tr>
      <w:tr>
        <w:trPr>
          <w:trHeight w:val="309" w:hRule="atLeast"/>
        </w:trPr>
        <w:tc>
          <w:tcPr>
            <w:tcW w:w="1198" w:type="dxa"/>
            <w:vAlign w:val="top"/>
          </w:tcPr>
          <w:p>
            <w:pPr>
              <w:pStyle w:val="TableText"/>
              <w:ind w:left="160"/>
              <w:spacing w:before="73" w:line="219" w:lineRule="auto"/>
              <w:rPr>
                <w:sz w:val="16"/>
                <w:szCs w:val="16"/>
              </w:rPr>
            </w:pPr>
            <w:r>
              <w:rPr>
                <w:sz w:val="16"/>
                <w:szCs w:val="16"/>
              </w:rPr>
              <w:t>ICT</w:t>
            </w:r>
            <w:r>
              <w:rPr>
                <w:sz w:val="16"/>
                <w:szCs w:val="16"/>
                <w:spacing w:val="1"/>
              </w:rPr>
              <w:t>生产行业</w:t>
            </w:r>
          </w:p>
        </w:tc>
        <w:tc>
          <w:tcPr>
            <w:tcW w:w="1194" w:type="dxa"/>
            <w:vAlign w:val="top"/>
          </w:tcPr>
          <w:p>
            <w:pPr>
              <w:pStyle w:val="TableText"/>
              <w:ind w:left="121"/>
              <w:spacing w:before="114" w:line="184" w:lineRule="auto"/>
              <w:rPr>
                <w:sz w:val="16"/>
                <w:szCs w:val="16"/>
              </w:rPr>
            </w:pPr>
            <w:r>
              <w:rPr>
                <w:sz w:val="16"/>
                <w:szCs w:val="16"/>
                <w:spacing w:val="-4"/>
              </w:rPr>
              <w:t>19.3</w:t>
            </w:r>
            <w:r>
              <w:rPr>
                <w:sz w:val="16"/>
                <w:szCs w:val="16"/>
                <w:spacing w:val="8"/>
              </w:rPr>
              <w:t xml:space="preserve">   </w:t>
            </w:r>
            <w:r>
              <w:rPr>
                <w:sz w:val="16"/>
                <w:szCs w:val="16"/>
                <w:spacing w:val="-4"/>
              </w:rPr>
              <w:t>24.0</w:t>
            </w:r>
          </w:p>
        </w:tc>
        <w:tc>
          <w:tcPr>
            <w:tcW w:w="1255" w:type="dxa"/>
            <w:vAlign w:val="top"/>
          </w:tcPr>
          <w:p>
            <w:pPr>
              <w:pStyle w:val="TableText"/>
              <w:ind w:left="247"/>
              <w:spacing w:before="114" w:line="184" w:lineRule="auto"/>
              <w:rPr>
                <w:sz w:val="16"/>
                <w:szCs w:val="16"/>
              </w:rPr>
            </w:pPr>
            <w:r>
              <w:rPr>
                <w:sz w:val="16"/>
                <w:szCs w:val="16"/>
                <w:spacing w:val="-4"/>
              </w:rPr>
              <w:t>15.2</w:t>
            </w:r>
            <w:r>
              <w:rPr>
                <w:sz w:val="16"/>
                <w:szCs w:val="16"/>
                <w:spacing w:val="34"/>
              </w:rPr>
              <w:t xml:space="preserve">  </w:t>
            </w:r>
            <w:r>
              <w:rPr>
                <w:sz w:val="16"/>
                <w:szCs w:val="16"/>
                <w:spacing w:val="-4"/>
              </w:rPr>
              <w:t>19.7</w:t>
            </w:r>
          </w:p>
        </w:tc>
        <w:tc>
          <w:tcPr>
            <w:tcW w:w="1235" w:type="dxa"/>
            <w:vAlign w:val="top"/>
          </w:tcPr>
          <w:p>
            <w:pPr>
              <w:pStyle w:val="TableText"/>
              <w:ind w:left="223"/>
              <w:spacing w:before="114" w:line="184" w:lineRule="auto"/>
              <w:rPr>
                <w:sz w:val="16"/>
                <w:szCs w:val="16"/>
              </w:rPr>
            </w:pPr>
            <w:r>
              <w:rPr>
                <w:sz w:val="16"/>
                <w:szCs w:val="16"/>
                <w:spacing w:val="-4"/>
              </w:rPr>
              <w:t>12.7</w:t>
            </w:r>
            <w:r>
              <w:rPr>
                <w:sz w:val="16"/>
                <w:szCs w:val="16"/>
                <w:spacing w:val="19"/>
              </w:rPr>
              <w:t xml:space="preserve">  </w:t>
            </w:r>
            <w:r>
              <w:rPr>
                <w:sz w:val="16"/>
                <w:szCs w:val="16"/>
                <w:spacing w:val="-4"/>
              </w:rPr>
              <w:t>15.1</w:t>
            </w:r>
          </w:p>
        </w:tc>
        <w:tc>
          <w:tcPr>
            <w:tcW w:w="1277" w:type="dxa"/>
            <w:vAlign w:val="top"/>
          </w:tcPr>
          <w:p>
            <w:pPr>
              <w:pStyle w:val="TableText"/>
              <w:ind w:left="227"/>
              <w:spacing w:before="114" w:line="183" w:lineRule="auto"/>
              <w:rPr>
                <w:sz w:val="16"/>
                <w:szCs w:val="16"/>
              </w:rPr>
            </w:pPr>
            <w:r>
              <w:rPr>
                <w:sz w:val="16"/>
                <w:szCs w:val="16"/>
                <w:spacing w:val="-4"/>
              </w:rPr>
              <w:t>15.7  19.6</w:t>
            </w:r>
          </w:p>
        </w:tc>
      </w:tr>
      <w:tr>
        <w:trPr>
          <w:trHeight w:val="564" w:hRule="atLeast"/>
        </w:trPr>
        <w:tc>
          <w:tcPr>
            <w:tcW w:w="1198" w:type="dxa"/>
            <w:vAlign w:val="top"/>
          </w:tcPr>
          <w:p>
            <w:pPr>
              <w:pStyle w:val="TableText"/>
              <w:ind w:left="159" w:right="188" w:hanging="49"/>
              <w:spacing w:before="83" w:line="255"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制造业</w:t>
            </w:r>
          </w:p>
        </w:tc>
        <w:tc>
          <w:tcPr>
            <w:tcW w:w="1194" w:type="dxa"/>
            <w:vAlign w:val="top"/>
          </w:tcPr>
          <w:p>
            <w:pPr>
              <w:pStyle w:val="TableText"/>
              <w:ind w:left="121"/>
              <w:spacing w:before="234" w:line="184" w:lineRule="auto"/>
              <w:rPr>
                <w:sz w:val="16"/>
                <w:szCs w:val="16"/>
              </w:rPr>
            </w:pPr>
            <w:r>
              <w:rPr>
                <w:sz w:val="16"/>
                <w:szCs w:val="16"/>
                <w:spacing w:val="-4"/>
              </w:rPr>
              <w:t>14.6</w:t>
            </w:r>
            <w:r>
              <w:rPr>
                <w:sz w:val="16"/>
                <w:szCs w:val="16"/>
                <w:spacing w:val="6"/>
              </w:rPr>
              <w:t xml:space="preserve">   </w:t>
            </w:r>
            <w:r>
              <w:rPr>
                <w:sz w:val="16"/>
                <w:szCs w:val="16"/>
                <w:spacing w:val="-4"/>
              </w:rPr>
              <w:t>16.8</w:t>
            </w:r>
          </w:p>
        </w:tc>
        <w:tc>
          <w:tcPr>
            <w:tcW w:w="1255" w:type="dxa"/>
            <w:vAlign w:val="top"/>
          </w:tcPr>
          <w:p>
            <w:pPr>
              <w:pStyle w:val="TableText"/>
              <w:ind w:left="247"/>
              <w:spacing w:before="234" w:line="184" w:lineRule="auto"/>
              <w:rPr>
                <w:sz w:val="16"/>
                <w:szCs w:val="16"/>
              </w:rPr>
            </w:pPr>
            <w:r>
              <w:rPr>
                <w:sz w:val="16"/>
                <w:szCs w:val="16"/>
                <w:spacing w:val="-4"/>
              </w:rPr>
              <w:t>12.3</w:t>
            </w:r>
            <w:r>
              <w:rPr>
                <w:sz w:val="16"/>
                <w:szCs w:val="16"/>
                <w:spacing w:val="34"/>
              </w:rPr>
              <w:t xml:space="preserve">  </w:t>
            </w:r>
            <w:r>
              <w:rPr>
                <w:sz w:val="16"/>
                <w:szCs w:val="16"/>
                <w:spacing w:val="-4"/>
              </w:rPr>
              <w:t>15.9</w:t>
            </w:r>
          </w:p>
        </w:tc>
        <w:tc>
          <w:tcPr>
            <w:tcW w:w="1235" w:type="dxa"/>
            <w:vAlign w:val="top"/>
          </w:tcPr>
          <w:p>
            <w:pPr>
              <w:pStyle w:val="TableText"/>
              <w:ind w:left="282"/>
              <w:spacing w:before="235" w:line="183" w:lineRule="auto"/>
              <w:rPr>
                <w:sz w:val="16"/>
                <w:szCs w:val="16"/>
              </w:rPr>
            </w:pPr>
            <w:r>
              <w:rPr>
                <w:sz w:val="16"/>
                <w:szCs w:val="16"/>
                <w:spacing w:val="-3"/>
              </w:rPr>
              <w:t>7.5</w:t>
            </w:r>
            <w:r>
              <w:rPr>
                <w:sz w:val="16"/>
                <w:szCs w:val="16"/>
                <w:spacing w:val="20"/>
              </w:rPr>
              <w:t xml:space="preserve">   </w:t>
            </w:r>
            <w:r>
              <w:rPr>
                <w:sz w:val="16"/>
                <w:szCs w:val="16"/>
                <w:spacing w:val="-3"/>
              </w:rPr>
              <w:t>7.4</w:t>
            </w:r>
          </w:p>
        </w:tc>
        <w:tc>
          <w:tcPr>
            <w:tcW w:w="1277" w:type="dxa"/>
            <w:vAlign w:val="top"/>
          </w:tcPr>
          <w:p>
            <w:pPr>
              <w:pStyle w:val="TableText"/>
              <w:ind w:left="227"/>
              <w:spacing w:before="235" w:line="183" w:lineRule="auto"/>
              <w:rPr>
                <w:sz w:val="16"/>
                <w:szCs w:val="16"/>
              </w:rPr>
            </w:pPr>
            <w:r>
              <w:rPr>
                <w:sz w:val="16"/>
                <w:szCs w:val="16"/>
                <w:spacing w:val="-4"/>
              </w:rPr>
              <w:t>11.4  13.2</w:t>
            </w:r>
          </w:p>
        </w:tc>
      </w:tr>
      <w:tr>
        <w:trPr>
          <w:trHeight w:val="549" w:hRule="atLeast"/>
        </w:trPr>
        <w:tc>
          <w:tcPr>
            <w:tcW w:w="1198" w:type="dxa"/>
            <w:vAlign w:val="top"/>
          </w:tcPr>
          <w:p>
            <w:pPr>
              <w:pStyle w:val="TableText"/>
              <w:ind w:left="160" w:right="158" w:hanging="20"/>
              <w:spacing w:before="80" w:line="248"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服务业</w:t>
            </w:r>
          </w:p>
        </w:tc>
        <w:tc>
          <w:tcPr>
            <w:tcW w:w="1194" w:type="dxa"/>
            <w:vAlign w:val="top"/>
          </w:tcPr>
          <w:p>
            <w:pPr>
              <w:pStyle w:val="TableText"/>
              <w:ind w:left="121"/>
              <w:spacing w:before="231" w:line="184" w:lineRule="auto"/>
              <w:rPr>
                <w:sz w:val="16"/>
                <w:szCs w:val="16"/>
              </w:rPr>
            </w:pPr>
            <w:r>
              <w:rPr>
                <w:sz w:val="16"/>
                <w:szCs w:val="16"/>
                <w:spacing w:val="-4"/>
              </w:rPr>
              <w:t>14.1</w:t>
            </w:r>
            <w:r>
              <w:rPr>
                <w:sz w:val="16"/>
                <w:szCs w:val="16"/>
                <w:spacing w:val="6"/>
              </w:rPr>
              <w:t xml:space="preserve">   </w:t>
            </w:r>
            <w:r>
              <w:rPr>
                <w:sz w:val="16"/>
                <w:szCs w:val="16"/>
                <w:spacing w:val="-4"/>
              </w:rPr>
              <w:t>13.3</w:t>
            </w:r>
          </w:p>
        </w:tc>
        <w:tc>
          <w:tcPr>
            <w:tcW w:w="1255" w:type="dxa"/>
            <w:vAlign w:val="top"/>
          </w:tcPr>
          <w:p>
            <w:pPr>
              <w:pStyle w:val="TableText"/>
              <w:ind w:left="247"/>
              <w:spacing w:before="231" w:line="184" w:lineRule="auto"/>
              <w:rPr>
                <w:sz w:val="16"/>
                <w:szCs w:val="16"/>
              </w:rPr>
            </w:pPr>
            <w:r>
              <w:rPr>
                <w:sz w:val="16"/>
                <w:szCs w:val="16"/>
                <w:spacing w:val="-4"/>
              </w:rPr>
              <w:t>13.0</w:t>
            </w:r>
            <w:r>
              <w:rPr>
                <w:sz w:val="16"/>
                <w:szCs w:val="16"/>
                <w:spacing w:val="34"/>
              </w:rPr>
              <w:t xml:space="preserve">  </w:t>
            </w:r>
            <w:r>
              <w:rPr>
                <w:sz w:val="16"/>
                <w:szCs w:val="16"/>
                <w:spacing w:val="-4"/>
              </w:rPr>
              <w:t>12.3</w:t>
            </w:r>
          </w:p>
        </w:tc>
        <w:tc>
          <w:tcPr>
            <w:tcW w:w="1235" w:type="dxa"/>
            <w:vAlign w:val="top"/>
          </w:tcPr>
          <w:p>
            <w:pPr>
              <w:pStyle w:val="TableText"/>
              <w:ind w:left="293"/>
              <w:spacing w:before="231" w:line="183" w:lineRule="auto"/>
              <w:rPr>
                <w:sz w:val="16"/>
                <w:szCs w:val="16"/>
              </w:rPr>
            </w:pPr>
            <w:r>
              <w:rPr>
                <w:sz w:val="16"/>
                <w:szCs w:val="16"/>
                <w:spacing w:val="-2"/>
              </w:rPr>
              <w:t>8.4</w:t>
            </w:r>
            <w:r>
              <w:rPr>
                <w:sz w:val="16"/>
                <w:szCs w:val="16"/>
                <w:spacing w:val="15"/>
              </w:rPr>
              <w:t xml:space="preserve">   </w:t>
            </w:r>
            <w:r>
              <w:rPr>
                <w:sz w:val="16"/>
                <w:szCs w:val="16"/>
                <w:spacing w:val="-2"/>
              </w:rPr>
              <w:t>8.0</w:t>
            </w:r>
          </w:p>
        </w:tc>
        <w:tc>
          <w:tcPr>
            <w:tcW w:w="1277" w:type="dxa"/>
            <w:vAlign w:val="top"/>
          </w:tcPr>
          <w:p>
            <w:pPr>
              <w:pStyle w:val="TableText"/>
              <w:ind w:left="227"/>
              <w:spacing w:before="231" w:line="184" w:lineRule="auto"/>
              <w:rPr>
                <w:sz w:val="16"/>
                <w:szCs w:val="16"/>
              </w:rPr>
            </w:pPr>
            <w:r>
              <w:rPr>
                <w:sz w:val="16"/>
                <w:szCs w:val="16"/>
                <w:spacing w:val="-4"/>
              </w:rPr>
              <w:t>11.7</w:t>
            </w:r>
            <w:r>
              <w:rPr>
                <w:sz w:val="16"/>
                <w:szCs w:val="16"/>
                <w:spacing w:val="6"/>
              </w:rPr>
              <w:t xml:space="preserve">   </w:t>
            </w:r>
            <w:r>
              <w:rPr>
                <w:sz w:val="16"/>
                <w:szCs w:val="16"/>
                <w:spacing w:val="-4"/>
              </w:rPr>
              <w:t>11.1</w:t>
            </w:r>
          </w:p>
        </w:tc>
      </w:tr>
      <w:tr>
        <w:trPr>
          <w:trHeight w:val="549" w:hRule="atLeast"/>
        </w:trPr>
        <w:tc>
          <w:tcPr>
            <w:tcW w:w="1198" w:type="dxa"/>
            <w:vAlign w:val="top"/>
          </w:tcPr>
          <w:p>
            <w:pPr>
              <w:pStyle w:val="TableText"/>
              <w:ind w:left="160" w:right="166"/>
              <w:spacing w:before="81" w:line="249" w:lineRule="auto"/>
              <w:rPr>
                <w:sz w:val="16"/>
                <w:szCs w:val="16"/>
              </w:rPr>
            </w:pPr>
            <w:r>
              <w:rPr>
                <w:sz w:val="16"/>
                <w:szCs w:val="16"/>
                <w:spacing w:val="-2"/>
              </w:rPr>
              <w:t>非ICT集约使</w:t>
            </w:r>
            <w:r>
              <w:rPr>
                <w:sz w:val="16"/>
                <w:szCs w:val="16"/>
                <w:spacing w:val="4"/>
              </w:rPr>
              <w:t xml:space="preserve"> </w:t>
            </w:r>
            <w:r>
              <w:rPr>
                <w:sz w:val="16"/>
                <w:szCs w:val="16"/>
                <w:spacing w:val="-2"/>
              </w:rPr>
              <w:t>用制造业</w:t>
            </w:r>
          </w:p>
        </w:tc>
        <w:tc>
          <w:tcPr>
            <w:tcW w:w="1194" w:type="dxa"/>
            <w:vAlign w:val="top"/>
          </w:tcPr>
          <w:p>
            <w:pPr>
              <w:pStyle w:val="TableText"/>
              <w:ind w:left="121"/>
              <w:spacing w:before="232" w:line="184" w:lineRule="auto"/>
              <w:rPr>
                <w:sz w:val="16"/>
                <w:szCs w:val="16"/>
              </w:rPr>
            </w:pPr>
            <w:r>
              <w:rPr>
                <w:sz w:val="16"/>
                <w:szCs w:val="16"/>
                <w:spacing w:val="-4"/>
              </w:rPr>
              <w:t>13.5</w:t>
            </w:r>
            <w:r>
              <w:rPr>
                <w:sz w:val="16"/>
                <w:szCs w:val="16"/>
                <w:spacing w:val="6"/>
              </w:rPr>
              <w:t xml:space="preserve">   </w:t>
            </w:r>
            <w:r>
              <w:rPr>
                <w:sz w:val="16"/>
                <w:szCs w:val="16"/>
                <w:spacing w:val="-4"/>
              </w:rPr>
              <w:t>16.9</w:t>
            </w:r>
          </w:p>
        </w:tc>
        <w:tc>
          <w:tcPr>
            <w:tcW w:w="1255" w:type="dxa"/>
            <w:vAlign w:val="top"/>
          </w:tcPr>
          <w:p>
            <w:pPr>
              <w:pStyle w:val="TableText"/>
              <w:ind w:left="247"/>
              <w:spacing w:before="232" w:line="184" w:lineRule="auto"/>
              <w:rPr>
                <w:sz w:val="16"/>
                <w:szCs w:val="16"/>
              </w:rPr>
            </w:pPr>
            <w:r>
              <w:rPr>
                <w:sz w:val="16"/>
                <w:szCs w:val="16"/>
                <w:spacing w:val="-4"/>
              </w:rPr>
              <w:t>10.0</w:t>
            </w:r>
            <w:r>
              <w:rPr>
                <w:sz w:val="16"/>
                <w:szCs w:val="16"/>
                <w:spacing w:val="34"/>
              </w:rPr>
              <w:t xml:space="preserve">  </w:t>
            </w:r>
            <w:r>
              <w:rPr>
                <w:sz w:val="16"/>
                <w:szCs w:val="16"/>
                <w:spacing w:val="-4"/>
              </w:rPr>
              <w:t>11.7</w:t>
            </w:r>
          </w:p>
        </w:tc>
        <w:tc>
          <w:tcPr>
            <w:tcW w:w="1235" w:type="dxa"/>
            <w:vAlign w:val="top"/>
          </w:tcPr>
          <w:p>
            <w:pPr>
              <w:pStyle w:val="TableText"/>
              <w:ind w:left="313"/>
              <w:spacing w:before="232" w:line="183" w:lineRule="auto"/>
              <w:rPr>
                <w:sz w:val="16"/>
                <w:szCs w:val="16"/>
              </w:rPr>
            </w:pPr>
            <w:r>
              <w:rPr>
                <w:sz w:val="16"/>
                <w:szCs w:val="16"/>
                <w:spacing w:val="-3"/>
              </w:rPr>
              <w:t>6.7</w:t>
            </w:r>
            <w:r>
              <w:rPr>
                <w:sz w:val="16"/>
                <w:szCs w:val="16"/>
                <w:spacing w:val="10"/>
              </w:rPr>
              <w:t xml:space="preserve">   </w:t>
            </w:r>
            <w:r>
              <w:rPr>
                <w:sz w:val="16"/>
                <w:szCs w:val="16"/>
                <w:spacing w:val="-3"/>
              </w:rPr>
              <w:t>6.7</w:t>
            </w:r>
          </w:p>
        </w:tc>
        <w:tc>
          <w:tcPr>
            <w:tcW w:w="1277" w:type="dxa"/>
            <w:vAlign w:val="top"/>
          </w:tcPr>
          <w:p>
            <w:pPr>
              <w:pStyle w:val="TableText"/>
              <w:ind w:left="227"/>
              <w:spacing w:before="232" w:line="184" w:lineRule="auto"/>
              <w:rPr>
                <w:sz w:val="16"/>
                <w:szCs w:val="16"/>
              </w:rPr>
            </w:pPr>
            <w:r>
              <w:rPr>
                <w:sz w:val="16"/>
                <w:szCs w:val="16"/>
                <w:spacing w:val="-4"/>
              </w:rPr>
              <w:t>10.0</w:t>
            </w:r>
            <w:r>
              <w:rPr>
                <w:sz w:val="16"/>
                <w:szCs w:val="16"/>
                <w:spacing w:val="6"/>
              </w:rPr>
              <w:t xml:space="preserve">   </w:t>
            </w:r>
            <w:r>
              <w:rPr>
                <w:sz w:val="16"/>
                <w:szCs w:val="16"/>
                <w:spacing w:val="-4"/>
              </w:rPr>
              <w:t>11.8</w:t>
            </w:r>
          </w:p>
        </w:tc>
      </w:tr>
      <w:tr>
        <w:trPr>
          <w:trHeight w:val="540" w:hRule="atLeast"/>
        </w:trPr>
        <w:tc>
          <w:tcPr>
            <w:tcW w:w="1198" w:type="dxa"/>
            <w:vAlign w:val="top"/>
          </w:tcPr>
          <w:p>
            <w:pPr>
              <w:pStyle w:val="TableText"/>
              <w:ind w:left="160" w:right="156" w:firstLine="9"/>
              <w:spacing w:before="82" w:line="231" w:lineRule="auto"/>
              <w:rPr>
                <w:sz w:val="16"/>
                <w:szCs w:val="16"/>
              </w:rPr>
            </w:pPr>
            <w:r>
              <w:rPr>
                <w:sz w:val="16"/>
                <w:szCs w:val="16"/>
                <w:spacing w:val="-2"/>
              </w:rPr>
              <w:t>非ICT集约使</w:t>
            </w:r>
            <w:r>
              <w:rPr>
                <w:sz w:val="16"/>
                <w:szCs w:val="16"/>
                <w:spacing w:val="4"/>
              </w:rPr>
              <w:t xml:space="preserve"> </w:t>
            </w:r>
            <w:r>
              <w:rPr>
                <w:sz w:val="16"/>
                <w:szCs w:val="16"/>
                <w:spacing w:val="-2"/>
              </w:rPr>
              <w:t>用服务业</w:t>
            </w:r>
          </w:p>
        </w:tc>
        <w:tc>
          <w:tcPr>
            <w:tcW w:w="1194" w:type="dxa"/>
            <w:vAlign w:val="top"/>
          </w:tcPr>
          <w:p>
            <w:pPr>
              <w:pStyle w:val="TableText"/>
              <w:ind w:left="121"/>
              <w:spacing w:before="233" w:line="184" w:lineRule="auto"/>
              <w:rPr>
                <w:sz w:val="16"/>
                <w:szCs w:val="16"/>
              </w:rPr>
            </w:pPr>
            <w:r>
              <w:rPr>
                <w:sz w:val="16"/>
                <w:szCs w:val="16"/>
                <w:spacing w:val="-4"/>
              </w:rPr>
              <w:t>13.1</w:t>
            </w:r>
            <w:r>
              <w:rPr>
                <w:sz w:val="16"/>
                <w:szCs w:val="16"/>
                <w:spacing w:val="6"/>
              </w:rPr>
              <w:t xml:space="preserve">   </w:t>
            </w:r>
            <w:r>
              <w:rPr>
                <w:sz w:val="16"/>
                <w:szCs w:val="16"/>
                <w:spacing w:val="-4"/>
              </w:rPr>
              <w:t>12.5</w:t>
            </w:r>
          </w:p>
        </w:tc>
        <w:tc>
          <w:tcPr>
            <w:tcW w:w="1255" w:type="dxa"/>
            <w:vAlign w:val="top"/>
          </w:tcPr>
          <w:p>
            <w:pPr>
              <w:pStyle w:val="TableText"/>
              <w:ind w:left="328"/>
              <w:spacing w:before="233" w:line="183" w:lineRule="auto"/>
              <w:rPr>
                <w:sz w:val="16"/>
                <w:szCs w:val="16"/>
              </w:rPr>
            </w:pPr>
            <w:r>
              <w:rPr>
                <w:sz w:val="16"/>
                <w:szCs w:val="16"/>
                <w:spacing w:val="-3"/>
              </w:rPr>
              <w:t>7.6</w:t>
            </w:r>
            <w:r>
              <w:rPr>
                <w:sz w:val="16"/>
                <w:szCs w:val="16"/>
                <w:spacing w:val="7"/>
              </w:rPr>
              <w:t xml:space="preserve">   </w:t>
            </w:r>
            <w:r>
              <w:rPr>
                <w:sz w:val="16"/>
                <w:szCs w:val="16"/>
                <w:spacing w:val="-3"/>
              </w:rPr>
              <w:t>6.3</w:t>
            </w:r>
          </w:p>
        </w:tc>
        <w:tc>
          <w:tcPr>
            <w:tcW w:w="1235" w:type="dxa"/>
            <w:vAlign w:val="top"/>
          </w:tcPr>
          <w:p>
            <w:pPr>
              <w:pStyle w:val="TableText"/>
              <w:ind w:left="302"/>
              <w:spacing w:before="233" w:line="183" w:lineRule="auto"/>
              <w:rPr>
                <w:sz w:val="16"/>
                <w:szCs w:val="16"/>
              </w:rPr>
            </w:pPr>
            <w:r>
              <w:rPr>
                <w:sz w:val="16"/>
                <w:szCs w:val="16"/>
                <w:spacing w:val="-3"/>
              </w:rPr>
              <w:t>6.2</w:t>
            </w:r>
            <w:r>
              <w:rPr>
                <w:sz w:val="16"/>
                <w:szCs w:val="16"/>
                <w:spacing w:val="13"/>
              </w:rPr>
              <w:t xml:space="preserve">   </w:t>
            </w:r>
            <w:r>
              <w:rPr>
                <w:sz w:val="16"/>
                <w:szCs w:val="16"/>
                <w:spacing w:val="-3"/>
              </w:rPr>
              <w:t>3.6</w:t>
            </w:r>
          </w:p>
        </w:tc>
        <w:tc>
          <w:tcPr>
            <w:tcW w:w="1277" w:type="dxa"/>
            <w:vAlign w:val="top"/>
          </w:tcPr>
          <w:p>
            <w:pPr>
              <w:pStyle w:val="TableText"/>
              <w:ind w:left="308"/>
              <w:spacing w:before="233" w:line="183" w:lineRule="auto"/>
              <w:rPr>
                <w:sz w:val="16"/>
                <w:szCs w:val="16"/>
              </w:rPr>
            </w:pPr>
            <w:r>
              <w:rPr>
                <w:sz w:val="16"/>
                <w:szCs w:val="16"/>
                <w:spacing w:val="-3"/>
              </w:rPr>
              <w:t>9.0</w:t>
            </w:r>
            <w:r>
              <w:rPr>
                <w:sz w:val="16"/>
                <w:szCs w:val="16"/>
                <w:spacing w:val="16"/>
              </w:rPr>
              <w:t xml:space="preserve">   </w:t>
            </w:r>
            <w:r>
              <w:rPr>
                <w:sz w:val="16"/>
                <w:szCs w:val="16"/>
                <w:spacing w:val="-3"/>
              </w:rPr>
              <w:t>7.5</w:t>
            </w:r>
          </w:p>
        </w:tc>
      </w:tr>
      <w:tr>
        <w:trPr>
          <w:trHeight w:val="338" w:hRule="atLeast"/>
        </w:trPr>
        <w:tc>
          <w:tcPr>
            <w:tcW w:w="1198" w:type="dxa"/>
            <w:vAlign w:val="top"/>
          </w:tcPr>
          <w:p>
            <w:pPr>
              <w:pStyle w:val="TableText"/>
              <w:ind w:left="160"/>
              <w:spacing w:before="104" w:line="221" w:lineRule="auto"/>
              <w:rPr>
                <w:sz w:val="16"/>
                <w:szCs w:val="16"/>
              </w:rPr>
            </w:pPr>
            <w:r>
              <w:rPr>
                <w:sz w:val="16"/>
                <w:szCs w:val="16"/>
                <w:spacing w:val="-2"/>
              </w:rPr>
              <w:t>农业</w:t>
            </w:r>
          </w:p>
        </w:tc>
        <w:tc>
          <w:tcPr>
            <w:tcW w:w="1194" w:type="dxa"/>
            <w:vAlign w:val="top"/>
          </w:tcPr>
          <w:p>
            <w:pPr>
              <w:pStyle w:val="TableText"/>
              <w:ind w:left="202"/>
              <w:spacing w:before="143" w:line="183" w:lineRule="auto"/>
              <w:rPr>
                <w:sz w:val="16"/>
                <w:szCs w:val="16"/>
              </w:rPr>
            </w:pPr>
            <w:r>
              <w:rPr>
                <w:sz w:val="16"/>
                <w:szCs w:val="16"/>
                <w:spacing w:val="-2"/>
              </w:rPr>
              <w:t>4.3</w:t>
            </w:r>
            <w:r>
              <w:rPr>
                <w:sz w:val="16"/>
                <w:szCs w:val="16"/>
                <w:spacing w:val="15"/>
              </w:rPr>
              <w:t xml:space="preserve">   </w:t>
            </w:r>
            <w:r>
              <w:rPr>
                <w:sz w:val="16"/>
                <w:szCs w:val="16"/>
                <w:spacing w:val="-2"/>
              </w:rPr>
              <w:t>3.0</w:t>
            </w:r>
          </w:p>
        </w:tc>
        <w:tc>
          <w:tcPr>
            <w:tcW w:w="1255" w:type="dxa"/>
            <w:vAlign w:val="top"/>
          </w:tcPr>
          <w:p>
            <w:pPr>
              <w:pStyle w:val="TableText"/>
              <w:ind w:left="328"/>
              <w:spacing w:before="143" w:line="183" w:lineRule="auto"/>
              <w:rPr>
                <w:sz w:val="16"/>
                <w:szCs w:val="16"/>
              </w:rPr>
            </w:pPr>
            <w:r>
              <w:rPr>
                <w:sz w:val="16"/>
                <w:szCs w:val="16"/>
                <w:spacing w:val="-3"/>
              </w:rPr>
              <w:t>5.2</w:t>
            </w:r>
            <w:r>
              <w:rPr>
                <w:sz w:val="16"/>
                <w:szCs w:val="16"/>
                <w:spacing w:val="6"/>
              </w:rPr>
              <w:t xml:space="preserve">   </w:t>
            </w:r>
            <w:r>
              <w:rPr>
                <w:sz w:val="16"/>
                <w:szCs w:val="16"/>
                <w:spacing w:val="-3"/>
              </w:rPr>
              <w:t>3.5</w:t>
            </w:r>
          </w:p>
        </w:tc>
        <w:tc>
          <w:tcPr>
            <w:tcW w:w="1235" w:type="dxa"/>
            <w:vAlign w:val="top"/>
          </w:tcPr>
          <w:p>
            <w:pPr>
              <w:pStyle w:val="TableText"/>
              <w:ind w:left="313"/>
              <w:spacing w:before="143" w:line="183" w:lineRule="auto"/>
              <w:rPr>
                <w:sz w:val="16"/>
                <w:szCs w:val="16"/>
              </w:rPr>
            </w:pPr>
            <w:r>
              <w:rPr>
                <w:sz w:val="16"/>
                <w:szCs w:val="16"/>
                <w:spacing w:val="-3"/>
              </w:rPr>
              <w:t>3.3</w:t>
            </w:r>
            <w:r>
              <w:rPr>
                <w:sz w:val="16"/>
                <w:szCs w:val="16"/>
                <w:spacing w:val="10"/>
              </w:rPr>
              <w:t xml:space="preserve">   </w:t>
            </w:r>
            <w:r>
              <w:rPr>
                <w:sz w:val="16"/>
                <w:szCs w:val="16"/>
                <w:spacing w:val="-3"/>
              </w:rPr>
              <w:t>3.0</w:t>
            </w:r>
          </w:p>
        </w:tc>
        <w:tc>
          <w:tcPr>
            <w:tcW w:w="1277" w:type="dxa"/>
            <w:vAlign w:val="top"/>
          </w:tcPr>
          <w:p>
            <w:pPr>
              <w:pStyle w:val="TableText"/>
              <w:ind w:left="308"/>
              <w:spacing w:before="143" w:line="184" w:lineRule="auto"/>
              <w:rPr>
                <w:sz w:val="16"/>
                <w:szCs w:val="16"/>
              </w:rPr>
            </w:pPr>
            <w:r>
              <w:rPr>
                <w:sz w:val="16"/>
                <w:szCs w:val="16"/>
                <w:spacing w:val="-2"/>
              </w:rPr>
              <w:t>4.2</w:t>
            </w:r>
            <w:r>
              <w:rPr>
                <w:sz w:val="16"/>
                <w:szCs w:val="16"/>
                <w:spacing w:val="15"/>
              </w:rPr>
              <w:t xml:space="preserve">   </w:t>
            </w:r>
            <w:r>
              <w:rPr>
                <w:sz w:val="16"/>
                <w:szCs w:val="16"/>
                <w:spacing w:val="-2"/>
              </w:rPr>
              <w:t>3.1</w:t>
            </w:r>
          </w:p>
        </w:tc>
      </w:tr>
      <w:tr>
        <w:trPr>
          <w:trHeight w:val="325" w:hRule="atLeast"/>
        </w:trPr>
        <w:tc>
          <w:tcPr>
            <w:tcW w:w="1198" w:type="dxa"/>
            <w:vAlign w:val="top"/>
          </w:tcPr>
          <w:p>
            <w:pPr>
              <w:pStyle w:val="TableText"/>
              <w:ind w:left="160"/>
              <w:spacing w:before="93" w:line="219" w:lineRule="auto"/>
              <w:rPr>
                <w:sz w:val="16"/>
                <w:szCs w:val="16"/>
              </w:rPr>
            </w:pPr>
            <w:r>
              <w:rPr>
                <w:sz w:val="16"/>
                <w:szCs w:val="16"/>
                <w:spacing w:val="-2"/>
              </w:rPr>
              <w:t>采掘业</w:t>
            </w:r>
          </w:p>
        </w:tc>
        <w:tc>
          <w:tcPr>
            <w:tcW w:w="1194" w:type="dxa"/>
            <w:vAlign w:val="top"/>
          </w:tcPr>
          <w:p>
            <w:pPr>
              <w:pStyle w:val="TableText"/>
              <w:ind w:left="202"/>
              <w:spacing w:before="135" w:line="183" w:lineRule="auto"/>
              <w:rPr>
                <w:sz w:val="16"/>
                <w:szCs w:val="16"/>
              </w:rPr>
            </w:pPr>
            <w:r>
              <w:rPr>
                <w:sz w:val="16"/>
                <w:szCs w:val="16"/>
                <w:spacing w:val="-2"/>
              </w:rPr>
              <w:t>5.9</w:t>
            </w:r>
            <w:r>
              <w:rPr>
                <w:sz w:val="16"/>
                <w:szCs w:val="16"/>
                <w:spacing w:val="3"/>
              </w:rPr>
              <w:t xml:space="preserve">   </w:t>
            </w:r>
            <w:r>
              <w:rPr>
                <w:sz w:val="16"/>
                <w:szCs w:val="16"/>
                <w:spacing w:val="-2"/>
              </w:rPr>
              <w:t>-0.3</w:t>
            </w:r>
          </w:p>
        </w:tc>
        <w:tc>
          <w:tcPr>
            <w:tcW w:w="1255" w:type="dxa"/>
            <w:vAlign w:val="top"/>
          </w:tcPr>
          <w:p>
            <w:pPr>
              <w:pStyle w:val="TableText"/>
              <w:ind w:left="328"/>
              <w:spacing w:before="135" w:line="183" w:lineRule="auto"/>
              <w:rPr>
                <w:sz w:val="16"/>
                <w:szCs w:val="16"/>
              </w:rPr>
            </w:pPr>
            <w:r>
              <w:rPr>
                <w:sz w:val="16"/>
                <w:szCs w:val="16"/>
                <w:spacing w:val="-3"/>
              </w:rPr>
              <w:t>6.2</w:t>
            </w:r>
            <w:r>
              <w:rPr>
                <w:sz w:val="16"/>
                <w:szCs w:val="16"/>
                <w:spacing w:val="7"/>
              </w:rPr>
              <w:t xml:space="preserve">   </w:t>
            </w:r>
            <w:r>
              <w:rPr>
                <w:sz w:val="16"/>
                <w:szCs w:val="16"/>
                <w:spacing w:val="-3"/>
              </w:rPr>
              <w:t>2.4</w:t>
            </w:r>
          </w:p>
        </w:tc>
        <w:tc>
          <w:tcPr>
            <w:tcW w:w="1235" w:type="dxa"/>
            <w:vAlign w:val="top"/>
          </w:tcPr>
          <w:p>
            <w:pPr>
              <w:pStyle w:val="TableText"/>
              <w:ind w:left="313"/>
              <w:spacing w:before="135" w:line="184" w:lineRule="auto"/>
              <w:rPr>
                <w:sz w:val="16"/>
                <w:szCs w:val="16"/>
              </w:rPr>
            </w:pPr>
            <w:r>
              <w:rPr>
                <w:sz w:val="16"/>
                <w:szCs w:val="16"/>
                <w:spacing w:val="-4"/>
              </w:rPr>
              <w:t>0.4</w:t>
            </w:r>
            <w:r>
              <w:rPr>
                <w:sz w:val="16"/>
                <w:szCs w:val="16"/>
                <w:spacing w:val="10"/>
              </w:rPr>
              <w:t xml:space="preserve">   </w:t>
            </w:r>
            <w:r>
              <w:rPr>
                <w:sz w:val="16"/>
                <w:szCs w:val="16"/>
                <w:spacing w:val="-4"/>
              </w:rPr>
              <w:t>1.9</w:t>
            </w:r>
          </w:p>
        </w:tc>
        <w:tc>
          <w:tcPr>
            <w:tcW w:w="1277" w:type="dxa"/>
            <w:vAlign w:val="top"/>
          </w:tcPr>
          <w:p>
            <w:pPr>
              <w:pStyle w:val="TableText"/>
              <w:ind w:left="308"/>
              <w:spacing w:before="135" w:line="184" w:lineRule="auto"/>
              <w:rPr>
                <w:sz w:val="16"/>
                <w:szCs w:val="16"/>
              </w:rPr>
            </w:pPr>
            <w:r>
              <w:rPr>
                <w:sz w:val="16"/>
                <w:szCs w:val="16"/>
                <w:spacing w:val="-3"/>
              </w:rPr>
              <w:t>4.0</w:t>
            </w:r>
            <w:r>
              <w:rPr>
                <w:sz w:val="16"/>
                <w:szCs w:val="16"/>
                <w:spacing w:val="15"/>
              </w:rPr>
              <w:t xml:space="preserve">   </w:t>
            </w:r>
            <w:r>
              <w:rPr>
                <w:sz w:val="16"/>
                <w:szCs w:val="16"/>
                <w:spacing w:val="-3"/>
              </w:rPr>
              <w:t>1.3</w:t>
            </w:r>
          </w:p>
        </w:tc>
      </w:tr>
      <w:tr>
        <w:trPr>
          <w:trHeight w:val="318" w:hRule="atLeast"/>
        </w:trPr>
        <w:tc>
          <w:tcPr>
            <w:tcW w:w="1198" w:type="dxa"/>
            <w:vAlign w:val="top"/>
          </w:tcPr>
          <w:p>
            <w:pPr>
              <w:pStyle w:val="TableText"/>
              <w:ind w:left="160"/>
              <w:spacing w:before="90" w:line="220" w:lineRule="auto"/>
              <w:rPr>
                <w:sz w:val="16"/>
                <w:szCs w:val="16"/>
              </w:rPr>
            </w:pPr>
            <w:r>
              <w:rPr>
                <w:sz w:val="16"/>
                <w:szCs w:val="16"/>
                <w:spacing w:val="-2"/>
              </w:rPr>
              <w:t>建筑业</w:t>
            </w:r>
          </w:p>
        </w:tc>
        <w:tc>
          <w:tcPr>
            <w:tcW w:w="1194" w:type="dxa"/>
            <w:vAlign w:val="top"/>
          </w:tcPr>
          <w:p>
            <w:pPr>
              <w:pStyle w:val="TableText"/>
              <w:ind w:left="121"/>
              <w:spacing w:before="130" w:line="184" w:lineRule="auto"/>
              <w:rPr>
                <w:sz w:val="16"/>
                <w:szCs w:val="16"/>
              </w:rPr>
            </w:pPr>
            <w:r>
              <w:rPr>
                <w:sz w:val="16"/>
                <w:szCs w:val="16"/>
                <w:spacing w:val="-4"/>
              </w:rPr>
              <w:t>13.0</w:t>
            </w:r>
            <w:r>
              <w:rPr>
                <w:sz w:val="16"/>
                <w:szCs w:val="16"/>
                <w:spacing w:val="6"/>
              </w:rPr>
              <w:t xml:space="preserve">   </w:t>
            </w:r>
            <w:r>
              <w:rPr>
                <w:sz w:val="16"/>
                <w:szCs w:val="16"/>
                <w:spacing w:val="-4"/>
              </w:rPr>
              <w:t>10.8</w:t>
            </w:r>
          </w:p>
        </w:tc>
        <w:tc>
          <w:tcPr>
            <w:tcW w:w="1255" w:type="dxa"/>
            <w:vAlign w:val="top"/>
          </w:tcPr>
          <w:p>
            <w:pPr>
              <w:pStyle w:val="TableText"/>
              <w:ind w:left="247"/>
              <w:spacing w:before="130" w:line="184" w:lineRule="auto"/>
              <w:rPr>
                <w:sz w:val="16"/>
                <w:szCs w:val="16"/>
              </w:rPr>
            </w:pPr>
            <w:r>
              <w:rPr>
                <w:sz w:val="16"/>
                <w:szCs w:val="16"/>
                <w:spacing w:val="-5"/>
              </w:rPr>
              <w:t>12.3</w:t>
            </w:r>
            <w:r>
              <w:rPr>
                <w:sz w:val="16"/>
                <w:szCs w:val="16"/>
                <w:spacing w:val="10"/>
              </w:rPr>
              <w:t xml:space="preserve">   </w:t>
            </w:r>
            <w:r>
              <w:rPr>
                <w:sz w:val="16"/>
                <w:szCs w:val="16"/>
                <w:spacing w:val="-5"/>
              </w:rPr>
              <w:t>1.2</w:t>
            </w:r>
          </w:p>
        </w:tc>
        <w:tc>
          <w:tcPr>
            <w:tcW w:w="1235" w:type="dxa"/>
            <w:vAlign w:val="top"/>
          </w:tcPr>
          <w:p>
            <w:pPr>
              <w:pStyle w:val="TableText"/>
              <w:ind w:left="323"/>
              <w:spacing w:before="130" w:line="184" w:lineRule="auto"/>
              <w:rPr>
                <w:sz w:val="16"/>
                <w:szCs w:val="16"/>
              </w:rPr>
            </w:pPr>
            <w:r>
              <w:rPr>
                <w:sz w:val="16"/>
                <w:szCs w:val="16"/>
                <w:spacing w:val="-3"/>
              </w:rPr>
              <w:t>6.8</w:t>
            </w:r>
            <w:r>
              <w:rPr>
                <w:sz w:val="16"/>
                <w:szCs w:val="16"/>
                <w:spacing w:val="6"/>
              </w:rPr>
              <w:t xml:space="preserve">   </w:t>
            </w:r>
            <w:r>
              <w:rPr>
                <w:sz w:val="16"/>
                <w:szCs w:val="16"/>
                <w:spacing w:val="-3"/>
              </w:rPr>
              <w:t>3.1</w:t>
            </w:r>
          </w:p>
        </w:tc>
        <w:tc>
          <w:tcPr>
            <w:tcW w:w="1277" w:type="dxa"/>
            <w:vAlign w:val="top"/>
          </w:tcPr>
          <w:p>
            <w:pPr>
              <w:pStyle w:val="TableText"/>
              <w:ind w:left="227"/>
              <w:spacing w:before="130" w:line="184" w:lineRule="auto"/>
              <w:rPr>
                <w:sz w:val="16"/>
                <w:szCs w:val="16"/>
              </w:rPr>
            </w:pPr>
            <w:r>
              <w:rPr>
                <w:sz w:val="16"/>
                <w:szCs w:val="16"/>
                <w:spacing w:val="-4"/>
              </w:rPr>
              <w:t>10.6</w:t>
            </w:r>
            <w:r>
              <w:rPr>
                <w:sz w:val="16"/>
                <w:szCs w:val="16"/>
                <w:spacing w:val="20"/>
              </w:rPr>
              <w:t xml:space="preserve">   </w:t>
            </w:r>
            <w:r>
              <w:rPr>
                <w:sz w:val="16"/>
                <w:szCs w:val="16"/>
                <w:spacing w:val="-4"/>
              </w:rPr>
              <w:t>5.2</w:t>
            </w:r>
          </w:p>
        </w:tc>
      </w:tr>
      <w:tr>
        <w:trPr>
          <w:trHeight w:val="329" w:hRule="atLeast"/>
        </w:trPr>
        <w:tc>
          <w:tcPr>
            <w:tcW w:w="1198" w:type="dxa"/>
            <w:vAlign w:val="top"/>
            <w:tcBorders>
              <w:bottom w:val="single" w:color="000000" w:sz="4" w:space="0"/>
            </w:tcBorders>
          </w:tcPr>
          <w:p>
            <w:pPr>
              <w:pStyle w:val="TableText"/>
              <w:ind w:left="160"/>
              <w:spacing w:before="91" w:line="219" w:lineRule="auto"/>
              <w:rPr>
                <w:sz w:val="16"/>
                <w:szCs w:val="16"/>
              </w:rPr>
            </w:pPr>
            <w:r>
              <w:rPr>
                <w:sz w:val="16"/>
                <w:szCs w:val="16"/>
                <w:spacing w:val="-2"/>
              </w:rPr>
              <w:t>非市场服务业</w:t>
            </w:r>
          </w:p>
        </w:tc>
        <w:tc>
          <w:tcPr>
            <w:tcW w:w="1194" w:type="dxa"/>
            <w:vAlign w:val="top"/>
            <w:tcBorders>
              <w:bottom w:val="single" w:color="000000" w:sz="4" w:space="0"/>
            </w:tcBorders>
          </w:tcPr>
          <w:p>
            <w:pPr>
              <w:pStyle w:val="TableText"/>
              <w:ind w:left="121"/>
              <w:spacing w:before="132" w:line="184" w:lineRule="auto"/>
              <w:rPr>
                <w:sz w:val="16"/>
                <w:szCs w:val="16"/>
              </w:rPr>
            </w:pPr>
            <w:r>
              <w:rPr>
                <w:sz w:val="16"/>
                <w:szCs w:val="16"/>
                <w:spacing w:val="-1"/>
              </w:rPr>
              <w:t>-0.1</w:t>
            </w:r>
            <w:r>
              <w:rPr>
                <w:sz w:val="16"/>
                <w:szCs w:val="16"/>
                <w:spacing w:val="22"/>
              </w:rPr>
              <w:t xml:space="preserve">  </w:t>
            </w:r>
            <w:r>
              <w:rPr>
                <w:sz w:val="16"/>
                <w:szCs w:val="16"/>
                <w:spacing w:val="-1"/>
              </w:rPr>
              <w:t>-11.4</w:t>
            </w:r>
          </w:p>
        </w:tc>
        <w:tc>
          <w:tcPr>
            <w:tcW w:w="1255" w:type="dxa"/>
            <w:vAlign w:val="top"/>
            <w:tcBorders>
              <w:bottom w:val="single" w:color="000000" w:sz="4" w:space="0"/>
            </w:tcBorders>
          </w:tcPr>
          <w:p>
            <w:pPr>
              <w:pStyle w:val="TableText"/>
              <w:ind w:left="247"/>
              <w:spacing w:before="132" w:line="184" w:lineRule="auto"/>
              <w:rPr>
                <w:sz w:val="16"/>
                <w:szCs w:val="16"/>
              </w:rPr>
            </w:pPr>
            <w:r>
              <w:rPr>
                <w:sz w:val="16"/>
                <w:szCs w:val="16"/>
                <w:spacing w:val="-1"/>
              </w:rPr>
              <w:t>-3.3</w:t>
            </w:r>
            <w:r>
              <w:rPr>
                <w:sz w:val="16"/>
                <w:szCs w:val="16"/>
                <w:spacing w:val="7"/>
              </w:rPr>
              <w:t xml:space="preserve">  </w:t>
            </w:r>
            <w:r>
              <w:rPr>
                <w:sz w:val="16"/>
                <w:szCs w:val="16"/>
                <w:spacing w:val="-1"/>
              </w:rPr>
              <w:t>-14.8</w:t>
            </w:r>
          </w:p>
        </w:tc>
        <w:tc>
          <w:tcPr>
            <w:tcW w:w="1235" w:type="dxa"/>
            <w:vAlign w:val="top"/>
            <w:tcBorders>
              <w:bottom w:val="single" w:color="000000" w:sz="4" w:space="0"/>
            </w:tcBorders>
          </w:tcPr>
          <w:p>
            <w:pPr>
              <w:pStyle w:val="TableText"/>
              <w:ind w:left="323"/>
              <w:spacing w:before="132" w:line="183" w:lineRule="auto"/>
              <w:rPr>
                <w:sz w:val="16"/>
                <w:szCs w:val="16"/>
              </w:rPr>
            </w:pPr>
            <w:r>
              <w:rPr>
                <w:sz w:val="16"/>
                <w:szCs w:val="16"/>
                <w:spacing w:val="-2"/>
              </w:rPr>
              <w:t>0.4</w:t>
            </w:r>
            <w:r>
              <w:rPr>
                <w:sz w:val="16"/>
                <w:szCs w:val="16"/>
                <w:spacing w:val="29"/>
              </w:rPr>
              <w:t xml:space="preserve">  </w:t>
            </w:r>
            <w:r>
              <w:rPr>
                <w:sz w:val="16"/>
                <w:szCs w:val="16"/>
                <w:spacing w:val="-2"/>
              </w:rPr>
              <w:t>-6.7</w:t>
            </w:r>
          </w:p>
        </w:tc>
        <w:tc>
          <w:tcPr>
            <w:tcW w:w="1277" w:type="dxa"/>
            <w:vAlign w:val="top"/>
            <w:tcBorders>
              <w:bottom w:val="single" w:color="000000" w:sz="4" w:space="0"/>
            </w:tcBorders>
          </w:tcPr>
          <w:p>
            <w:pPr>
              <w:pStyle w:val="TableText"/>
              <w:ind w:left="238"/>
              <w:spacing w:before="132" w:line="183" w:lineRule="auto"/>
              <w:rPr>
                <w:sz w:val="16"/>
                <w:szCs w:val="16"/>
              </w:rPr>
            </w:pPr>
            <w:r>
              <w:rPr>
                <w:sz w:val="16"/>
                <w:szCs w:val="16"/>
                <w:spacing w:val="-1"/>
              </w:rPr>
              <w:t>-0.9 -10.7</w:t>
            </w:r>
          </w:p>
        </w:tc>
      </w:tr>
    </w:tbl>
    <w:p>
      <w:pPr>
        <w:ind w:left="90" w:right="77" w:firstLine="329"/>
        <w:spacing w:before="115" w:line="231" w:lineRule="auto"/>
        <w:rPr>
          <w:rFonts w:ascii="KaiTi" w:hAnsi="KaiTi" w:eastAsia="KaiTi" w:cs="KaiTi"/>
          <w:sz w:val="19"/>
          <w:szCs w:val="19"/>
        </w:rPr>
      </w:pPr>
      <w:r>
        <w:rPr>
          <w:rFonts w:ascii="KaiTi" w:hAnsi="KaiTi" w:eastAsia="KaiTi" w:cs="KaiTi"/>
          <w:sz w:val="19"/>
          <w:szCs w:val="19"/>
          <w:spacing w:val="-21"/>
          <w:w w:val="96"/>
        </w:rPr>
        <w:t>资料来源：官方数据来自国家统计局；本研究数据由作者计算，数据出处及构建</w:t>
      </w:r>
      <w:r>
        <w:rPr>
          <w:rFonts w:ascii="KaiTi" w:hAnsi="KaiTi" w:eastAsia="KaiTi" w:cs="KaiTi"/>
          <w:sz w:val="19"/>
          <w:szCs w:val="19"/>
          <w:spacing w:val="12"/>
        </w:rPr>
        <w:t xml:space="preserve"> </w:t>
      </w:r>
      <w:r>
        <w:rPr>
          <w:rFonts w:ascii="KaiTi" w:hAnsi="KaiTi" w:eastAsia="KaiTi" w:cs="KaiTi"/>
          <w:sz w:val="19"/>
          <w:szCs w:val="19"/>
          <w:spacing w:val="-22"/>
          <w:w w:val="96"/>
        </w:rPr>
        <w:t>方法见本章第三节。</w:t>
      </w:r>
    </w:p>
    <w:p>
      <w:pPr>
        <w:pStyle w:val="BodyText"/>
        <w:spacing w:line="414" w:lineRule="auto"/>
        <w:rPr/>
      </w:pPr>
      <w:r/>
    </w:p>
    <w:p>
      <w:pPr>
        <w:ind w:left="90" w:right="60"/>
        <w:spacing w:before="62" w:line="350" w:lineRule="auto"/>
        <w:jc w:val="both"/>
        <w:rPr>
          <w:rFonts w:ascii="Times New Roman" w:hAnsi="Times New Roman" w:eastAsia="Times New Roman" w:cs="Times New Roman"/>
          <w:sz w:val="19"/>
          <w:szCs w:val="19"/>
        </w:rPr>
      </w:pPr>
      <w:r>
        <w:rPr>
          <w:rFonts w:ascii="SimSun" w:hAnsi="SimSun" w:eastAsia="SimSun" w:cs="SimSun"/>
          <w:sz w:val="19"/>
          <w:szCs w:val="19"/>
          <w:spacing w:val="17"/>
        </w:rPr>
        <w:t>用不同的价格平减和行业加总方法所得出的结果。让我们先观察因</w:t>
      </w:r>
      <w:r>
        <w:rPr>
          <w:rFonts w:ascii="SimSun" w:hAnsi="SimSun" w:eastAsia="SimSun" w:cs="SimSun"/>
          <w:sz w:val="19"/>
          <w:szCs w:val="19"/>
          <w:spacing w:val="5"/>
        </w:rPr>
        <w:t xml:space="preserve"> </w:t>
      </w:r>
      <w:r>
        <w:rPr>
          <w:rFonts w:ascii="SimSun" w:hAnsi="SimSun" w:eastAsia="SimSun" w:cs="SimSun"/>
          <w:sz w:val="19"/>
          <w:szCs w:val="19"/>
          <w:spacing w:val="17"/>
        </w:rPr>
        <w:t>平减方法的不同而出现的部门增长表现差异。显然，</w:t>
      </w:r>
      <w:r>
        <w:rPr>
          <w:rFonts w:ascii="SimSun" w:hAnsi="SimSun" w:eastAsia="SimSun" w:cs="SimSun"/>
          <w:sz w:val="19"/>
          <w:szCs w:val="19"/>
          <w:spacing w:val="16"/>
        </w:rPr>
        <w:t>与官方的价格</w:t>
      </w:r>
      <w:r>
        <w:rPr>
          <w:rFonts w:ascii="SimSun" w:hAnsi="SimSun" w:eastAsia="SimSun" w:cs="SimSun"/>
          <w:sz w:val="19"/>
          <w:szCs w:val="19"/>
        </w:rPr>
        <w:t xml:space="preserve"> </w:t>
      </w:r>
      <w:r>
        <w:rPr>
          <w:rFonts w:ascii="SimSun" w:hAnsi="SimSun" w:eastAsia="SimSun" w:cs="SimSun"/>
          <w:sz w:val="19"/>
          <w:szCs w:val="19"/>
          <w:spacing w:val="17"/>
        </w:rPr>
        <w:t>单平减方法比较，我们用价格双平减方法计算出的</w:t>
      </w:r>
      <w:r>
        <w:rPr>
          <w:rFonts w:ascii="SimSun" w:hAnsi="SimSun" w:eastAsia="SimSun" w:cs="SimSun"/>
          <w:sz w:val="19"/>
          <w:szCs w:val="19"/>
        </w:rPr>
        <w:t>ICT</w:t>
      </w:r>
      <w:r>
        <w:rPr>
          <w:rFonts w:ascii="SimSun" w:hAnsi="SimSun" w:eastAsia="SimSun" w:cs="SimSun"/>
          <w:sz w:val="19"/>
          <w:szCs w:val="19"/>
          <w:spacing w:val="17"/>
        </w:rPr>
        <w:t xml:space="preserve"> 相关部门的 </w:t>
      </w:r>
      <w:r>
        <w:rPr>
          <w:rFonts w:ascii="SimSun" w:hAnsi="SimSun" w:eastAsia="SimSun" w:cs="SimSun"/>
          <w:sz w:val="19"/>
          <w:szCs w:val="19"/>
          <w:spacing w:val="15"/>
        </w:rPr>
        <w:t>实际增长率要快得多。其中</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15"/>
        </w:rPr>
        <w:t>生产行业的</w:t>
      </w:r>
      <w:r>
        <w:rPr>
          <w:rFonts w:ascii="SimSun" w:hAnsi="SimSun" w:eastAsia="SimSun" w:cs="SimSun"/>
          <w:sz w:val="19"/>
          <w:szCs w:val="19"/>
          <w:spacing w:val="-50"/>
        </w:rPr>
        <w:t xml:space="preserve"> </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15"/>
        </w:rPr>
        <w:t>在整个</w:t>
      </w:r>
      <w:r>
        <w:rPr>
          <w:rFonts w:ascii="SimSun" w:hAnsi="SimSun" w:eastAsia="SimSun" w:cs="SimSun"/>
          <w:sz w:val="19"/>
          <w:szCs w:val="19"/>
          <w:spacing w:val="14"/>
        </w:rPr>
        <w:t>时期的年平</w:t>
      </w:r>
      <w:r>
        <w:rPr>
          <w:rFonts w:ascii="SimSun" w:hAnsi="SimSun" w:eastAsia="SimSun" w:cs="SimSun"/>
          <w:sz w:val="19"/>
          <w:szCs w:val="19"/>
        </w:rPr>
        <w:t xml:space="preserve"> </w:t>
      </w:r>
      <w:r>
        <w:rPr>
          <w:rFonts w:ascii="SimSun" w:hAnsi="SimSun" w:eastAsia="SimSun" w:cs="SimSun"/>
          <w:sz w:val="19"/>
          <w:szCs w:val="19"/>
          <w:spacing w:val="24"/>
        </w:rPr>
        <w:t>均增长率竟然比官方数据高出约25%,而</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24"/>
        </w:rPr>
        <w:t>集约</w:t>
      </w:r>
      <w:r>
        <w:rPr>
          <w:rFonts w:ascii="SimSun" w:hAnsi="SimSun" w:eastAsia="SimSun" w:cs="SimSun"/>
          <w:sz w:val="19"/>
          <w:szCs w:val="19"/>
          <w:spacing w:val="23"/>
        </w:rPr>
        <w:t>使用制造业部门</w:t>
      </w:r>
      <w:r>
        <w:rPr>
          <w:rFonts w:ascii="SimSun" w:hAnsi="SimSun" w:eastAsia="SimSun" w:cs="SimSun"/>
          <w:sz w:val="19"/>
          <w:szCs w:val="19"/>
        </w:rPr>
        <w:t xml:space="preserve"> </w:t>
      </w:r>
      <w:r>
        <w:rPr>
          <w:rFonts w:ascii="SimSun" w:hAnsi="SimSun" w:eastAsia="SimSun" w:cs="SimSun"/>
          <w:sz w:val="19"/>
          <w:szCs w:val="19"/>
          <w:spacing w:val="20"/>
        </w:rPr>
        <w:t>也快了约16%。我们还发现非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7"/>
          <w:w w:val="101"/>
        </w:rPr>
        <w:t xml:space="preserve"> </w:t>
      </w:r>
      <w:r>
        <w:rPr>
          <w:rFonts w:ascii="SimSun" w:hAnsi="SimSun" w:eastAsia="SimSun" w:cs="SimSun"/>
          <w:sz w:val="19"/>
          <w:szCs w:val="19"/>
          <w:spacing w:val="20"/>
        </w:rPr>
        <w:t>集约使用制造业也因为我们的方</w:t>
      </w:r>
      <w:r>
        <w:rPr>
          <w:rFonts w:ascii="SimSun" w:hAnsi="SimSun" w:eastAsia="SimSun" w:cs="SimSun"/>
          <w:sz w:val="19"/>
          <w:szCs w:val="19"/>
        </w:rPr>
        <w:t xml:space="preserve"> </w:t>
      </w:r>
      <w:r>
        <w:rPr>
          <w:rFonts w:ascii="SimSun" w:hAnsi="SimSun" w:eastAsia="SimSun" w:cs="SimSun"/>
          <w:sz w:val="19"/>
          <w:szCs w:val="19"/>
          <w:spacing w:val="19"/>
        </w:rPr>
        <w:t>法而显示出更快的增长率，比官方数据高出18%。这些与官方估计</w:t>
      </w:r>
      <w:r>
        <w:rPr>
          <w:rFonts w:ascii="SimSun" w:hAnsi="SimSun" w:eastAsia="SimSun" w:cs="SimSun"/>
          <w:sz w:val="19"/>
          <w:szCs w:val="19"/>
          <w:spacing w:val="12"/>
        </w:rPr>
        <w:t xml:space="preserve"> </w:t>
      </w:r>
      <w:r>
        <w:rPr>
          <w:rFonts w:ascii="SimSun" w:hAnsi="SimSun" w:eastAsia="SimSun" w:cs="SimSun"/>
          <w:sz w:val="19"/>
          <w:szCs w:val="19"/>
          <w:spacing w:val="21"/>
        </w:rPr>
        <w:t>大相径庭的结果和我们的预期是一致的。因</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21"/>
        </w:rPr>
        <w:t>进步所导致的</w:t>
      </w:r>
      <w:r>
        <w:rPr>
          <w:rFonts w:ascii="Times New Roman" w:hAnsi="Times New Roman" w:eastAsia="Times New Roman" w:cs="Times New Roman"/>
          <w:sz w:val="19"/>
          <w:szCs w:val="19"/>
        </w:rPr>
        <w:t>ICT</w:t>
      </w:r>
    </w:p>
    <w:p>
      <w:pPr>
        <w:ind w:left="90"/>
        <w:spacing w:before="1" w:line="217" w:lineRule="auto"/>
        <w:rPr>
          <w:rFonts w:ascii="SimSun" w:hAnsi="SimSun" w:eastAsia="SimSun" w:cs="SimSun"/>
          <w:sz w:val="19"/>
          <w:szCs w:val="19"/>
        </w:rPr>
      </w:pPr>
      <w:r>
        <w:rPr>
          <w:rFonts w:ascii="SimSun" w:hAnsi="SimSun" w:eastAsia="SimSun" w:cs="SimSun"/>
          <w:sz w:val="19"/>
          <w:szCs w:val="19"/>
          <w:spacing w:val="17"/>
        </w:rPr>
        <w:t>设备价格的迅速下降，不仅促使</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55"/>
        </w:rPr>
        <w:t xml:space="preserve"> </w:t>
      </w:r>
      <w:r>
        <w:rPr>
          <w:rFonts w:ascii="SimSun" w:hAnsi="SimSun" w:eastAsia="SimSun" w:cs="SimSun"/>
          <w:sz w:val="19"/>
          <w:szCs w:val="19"/>
          <w:spacing w:val="17"/>
        </w:rPr>
        <w:t>生产和集约使用部门进一步扩</w:t>
      </w:r>
    </w:p>
    <w:p>
      <w:pPr>
        <w:spacing w:line="217" w:lineRule="auto"/>
        <w:sectPr>
          <w:headerReference w:type="default" r:id="rId1"/>
          <w:pgSz w:w="7330" w:h="12480"/>
          <w:pgMar w:top="376" w:right="630" w:bottom="400" w:left="540" w:header="0" w:footer="0" w:gutter="0"/>
        </w:sectPr>
        <w:rPr>
          <w:rFonts w:ascii="SimSun" w:hAnsi="SimSun" w:eastAsia="SimSun" w:cs="SimSun"/>
          <w:sz w:val="19"/>
          <w:szCs w:val="19"/>
        </w:rPr>
      </w:pPr>
    </w:p>
    <w:p>
      <w:pPr>
        <w:ind w:left="1602"/>
        <w:spacing w:before="203" w:line="222" w:lineRule="auto"/>
        <w:rPr>
          <w:rFonts w:ascii="SimSun" w:hAnsi="SimSun" w:eastAsia="SimSun" w:cs="SimSun"/>
          <w:sz w:val="13"/>
          <w:szCs w:val="13"/>
        </w:rPr>
      </w:pPr>
      <w:r>
        <w:rPr>
          <w:rFonts w:ascii="SimHei" w:hAnsi="SimHei" w:eastAsia="SimHei" w:cs="SimHei"/>
          <w:sz w:val="19"/>
          <w:szCs w:val="19"/>
          <w:b/>
          <w:bCs/>
          <w:spacing w:val="-24"/>
        </w:rPr>
        <w:t>第二章</w:t>
      </w:r>
      <w:r>
        <w:rPr>
          <w:rFonts w:ascii="SimHei" w:hAnsi="SimHei" w:eastAsia="SimHei" w:cs="SimHei"/>
          <w:sz w:val="19"/>
          <w:szCs w:val="19"/>
          <w:spacing w:val="-24"/>
        </w:rPr>
        <w:t xml:space="preserve">  </w:t>
      </w:r>
      <w:r>
        <w:rPr>
          <w:rFonts w:ascii="SimHei" w:hAnsi="SimHei" w:eastAsia="SimHei" w:cs="SimHei"/>
          <w:sz w:val="19"/>
          <w:szCs w:val="19"/>
          <w:b/>
          <w:bCs/>
          <w:spacing w:val="-24"/>
        </w:rPr>
        <w:t>数字经济对中国经济增长的影响</w:t>
      </w:r>
      <w:r>
        <w:rPr>
          <w:rFonts w:ascii="SimHei" w:hAnsi="SimHei" w:eastAsia="SimHei" w:cs="SimHei"/>
          <w:sz w:val="19"/>
          <w:szCs w:val="19"/>
          <w:spacing w:val="-24"/>
        </w:rPr>
        <w:t xml:space="preserve">         </w:t>
      </w:r>
      <w:r>
        <w:rPr>
          <w:rFonts w:ascii="SimHei" w:hAnsi="SimHei" w:eastAsia="SimHei" w:cs="SimHei"/>
          <w:sz w:val="19"/>
          <w:szCs w:val="19"/>
          <w:spacing w:val="-25"/>
        </w:rPr>
        <w:t xml:space="preserve">        </w:t>
      </w:r>
      <w:r>
        <w:rPr>
          <w:rFonts w:ascii="SimSun" w:hAnsi="SimSun" w:eastAsia="SimSun" w:cs="SimSun"/>
          <w:sz w:val="13"/>
          <w:szCs w:val="13"/>
          <w:spacing w:val="-25"/>
        </w:rPr>
        <w:t>079</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9" w:right="50"/>
        <w:spacing w:before="62" w:line="350" w:lineRule="auto"/>
        <w:jc w:val="both"/>
        <w:rPr>
          <w:rFonts w:ascii="SimSun" w:hAnsi="SimSun" w:eastAsia="SimSun" w:cs="SimSun"/>
          <w:sz w:val="19"/>
          <w:szCs w:val="19"/>
        </w:rPr>
      </w:pPr>
      <w:r>
        <w:rPr>
          <w:rFonts w:ascii="SimSun" w:hAnsi="SimSun" w:eastAsia="SimSun" w:cs="SimSun"/>
          <w:sz w:val="19"/>
          <w:szCs w:val="19"/>
          <w:spacing w:val="15"/>
        </w:rPr>
        <w:t>张，也促使追求成本最小化的其他部门，特别是技术进步较服务业 </w:t>
      </w:r>
      <w:r>
        <w:rPr>
          <w:rFonts w:ascii="SimSun" w:hAnsi="SimSun" w:eastAsia="SimSun" w:cs="SimSun"/>
          <w:sz w:val="19"/>
          <w:szCs w:val="19"/>
          <w:spacing w:val="18"/>
        </w:rPr>
        <w:t>更快的一般制造业部门更多地使用</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18"/>
        </w:rPr>
        <w:t>设备。这就是说，即使产出</w:t>
      </w:r>
      <w:r>
        <w:rPr>
          <w:rFonts w:ascii="SimSun" w:hAnsi="SimSun" w:eastAsia="SimSun" w:cs="SimSun"/>
          <w:sz w:val="19"/>
          <w:szCs w:val="19"/>
        </w:rPr>
        <w:t xml:space="preserve"> </w:t>
      </w:r>
      <w:r>
        <w:rPr>
          <w:rFonts w:ascii="SimSun" w:hAnsi="SimSun" w:eastAsia="SimSun" w:cs="SimSun"/>
          <w:sz w:val="19"/>
          <w:szCs w:val="19"/>
          <w:spacing w:val="16"/>
        </w:rPr>
        <w:t>价格普遍下降，</w:t>
      </w:r>
      <w:r>
        <w:rPr>
          <w:rFonts w:ascii="SimSun" w:hAnsi="SimSun" w:eastAsia="SimSun" w:cs="SimSun"/>
          <w:sz w:val="19"/>
          <w:szCs w:val="19"/>
        </w:rPr>
        <w:t>ICT</w:t>
      </w:r>
      <w:r>
        <w:rPr>
          <w:rFonts w:ascii="SimSun" w:hAnsi="SimSun" w:eastAsia="SimSun" w:cs="SimSun"/>
          <w:sz w:val="19"/>
          <w:szCs w:val="19"/>
          <w:spacing w:val="16"/>
        </w:rPr>
        <w:t xml:space="preserve"> 相关部门产出价格下降的速度也会更快，与其 </w:t>
      </w:r>
      <w:r>
        <w:rPr>
          <w:rFonts w:ascii="SimSun" w:hAnsi="SimSun" w:eastAsia="SimSun" w:cs="SimSun"/>
          <w:sz w:val="19"/>
          <w:szCs w:val="19"/>
          <w:spacing w:val="12"/>
        </w:rPr>
        <w:t>投入价格变动会更加不一致。同理，在</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4"/>
        </w:rPr>
        <w:t xml:space="preserve"> </w:t>
      </w:r>
      <w:r>
        <w:rPr>
          <w:rFonts w:ascii="SimSun" w:hAnsi="SimSun" w:eastAsia="SimSun" w:cs="SimSun"/>
          <w:sz w:val="19"/>
          <w:szCs w:val="19"/>
          <w:spacing w:val="12"/>
        </w:rPr>
        <w:t>部门迅速发展的情况下，</w:t>
      </w:r>
      <w:r>
        <w:rPr>
          <w:rFonts w:ascii="SimSun" w:hAnsi="SimSun" w:eastAsia="SimSun" w:cs="SimSun"/>
          <w:sz w:val="19"/>
          <w:szCs w:val="19"/>
        </w:rPr>
        <w:t xml:space="preserve"> </w:t>
      </w:r>
      <w:r>
        <w:rPr>
          <w:rFonts w:ascii="SimSun" w:hAnsi="SimSun" w:eastAsia="SimSun" w:cs="SimSun"/>
          <w:sz w:val="19"/>
          <w:szCs w:val="19"/>
          <w:spacing w:val="16"/>
        </w:rPr>
        <w:t>忽</w:t>
      </w:r>
      <w:r>
        <w:rPr>
          <w:rFonts w:ascii="SimSun" w:hAnsi="SimSun" w:eastAsia="SimSun" w:cs="SimSun"/>
          <w:sz w:val="19"/>
          <w:szCs w:val="19"/>
          <w:spacing w:val="-37"/>
        </w:rPr>
        <w:t xml:space="preserve"> </w:t>
      </w:r>
      <w:r>
        <w:rPr>
          <w:rFonts w:ascii="SimSun" w:hAnsi="SimSun" w:eastAsia="SimSun" w:cs="SimSun"/>
          <w:sz w:val="19"/>
          <w:szCs w:val="19"/>
          <w:spacing w:val="16"/>
        </w:rPr>
        <w:t>视</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16"/>
        </w:rPr>
        <w:t>发展对投入和产出价格的不同影响也会在很大程</w:t>
      </w:r>
      <w:r>
        <w:rPr>
          <w:rFonts w:ascii="SimSun" w:hAnsi="SimSun" w:eastAsia="SimSun" w:cs="SimSun"/>
          <w:sz w:val="19"/>
          <w:szCs w:val="19"/>
          <w:spacing w:val="15"/>
        </w:rPr>
        <w:t>度上扭曲</w:t>
      </w:r>
      <w:r>
        <w:rPr>
          <w:rFonts w:ascii="SimSun" w:hAnsi="SimSun" w:eastAsia="SimSun" w:cs="SimSun"/>
          <w:sz w:val="19"/>
          <w:szCs w:val="19"/>
        </w:rPr>
        <w:t xml:space="preserve"> </w:t>
      </w:r>
      <w:r>
        <w:rPr>
          <w:rFonts w:ascii="SimSun" w:hAnsi="SimSun" w:eastAsia="SimSun" w:cs="SimSun"/>
          <w:sz w:val="19"/>
          <w:szCs w:val="19"/>
          <w:spacing w:val="19"/>
        </w:rPr>
        <w:t>其他部门的实际增长表现，正如表2-</w:t>
      </w:r>
      <w:r>
        <w:rPr>
          <w:rFonts w:ascii="SimSun" w:hAnsi="SimSun" w:eastAsia="SimSun" w:cs="SimSun"/>
          <w:sz w:val="19"/>
          <w:szCs w:val="19"/>
          <w:spacing w:val="-52"/>
        </w:rPr>
        <w:t xml:space="preserve"> </w:t>
      </w:r>
      <w:r>
        <w:rPr>
          <w:rFonts w:ascii="SimSun" w:hAnsi="SimSun" w:eastAsia="SimSun" w:cs="SimSun"/>
          <w:sz w:val="19"/>
          <w:szCs w:val="19"/>
          <w:spacing w:val="19"/>
        </w:rPr>
        <w:t>1显</w:t>
      </w:r>
      <w:r>
        <w:rPr>
          <w:rFonts w:ascii="SimSun" w:hAnsi="SimSun" w:eastAsia="SimSun" w:cs="SimSun"/>
          <w:sz w:val="19"/>
          <w:szCs w:val="19"/>
          <w:spacing w:val="18"/>
        </w:rPr>
        <w:t>示的，农业、建筑业和其</w:t>
      </w:r>
      <w:r>
        <w:rPr>
          <w:rFonts w:ascii="SimSun" w:hAnsi="SimSun" w:eastAsia="SimSun" w:cs="SimSun"/>
          <w:sz w:val="19"/>
          <w:szCs w:val="19"/>
        </w:rPr>
        <w:t xml:space="preserve"> </w:t>
      </w:r>
      <w:r>
        <w:rPr>
          <w:rFonts w:ascii="SimSun" w:hAnsi="SimSun" w:eastAsia="SimSun" w:cs="SimSun"/>
          <w:sz w:val="19"/>
          <w:szCs w:val="19"/>
          <w:spacing w:val="14"/>
        </w:rPr>
        <w:t>他服务业，特别是非市场服务业的</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4"/>
        </w:rPr>
        <w:t>增长率在采用价格双平减方 </w:t>
      </w:r>
      <w:r>
        <w:rPr>
          <w:rFonts w:ascii="SimSun" w:hAnsi="SimSun" w:eastAsia="SimSun" w:cs="SimSun"/>
          <w:sz w:val="19"/>
          <w:szCs w:val="19"/>
          <w:spacing w:val="13"/>
        </w:rPr>
        <w:t>法后被大幅度下调了。这有力地支持了在</w:t>
      </w:r>
      <w:r>
        <w:rPr>
          <w:rFonts w:ascii="SimSun" w:hAnsi="SimSun" w:eastAsia="SimSun" w:cs="SimSun"/>
          <w:sz w:val="19"/>
          <w:szCs w:val="19"/>
          <w:spacing w:val="-31"/>
        </w:rPr>
        <w:t xml:space="preserve"> </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29"/>
          <w:w w:val="101"/>
        </w:rPr>
        <w:t xml:space="preserve"> </w:t>
      </w:r>
      <w:r>
        <w:rPr>
          <w:rFonts w:ascii="SimSun" w:hAnsi="SimSun" w:eastAsia="SimSun" w:cs="SimSun"/>
          <w:sz w:val="19"/>
          <w:szCs w:val="19"/>
          <w:spacing w:val="13"/>
        </w:rPr>
        <w:t>增长率估计上应采用</w:t>
      </w:r>
    </w:p>
    <w:p>
      <w:pPr>
        <w:ind w:left="9"/>
        <w:spacing w:line="217" w:lineRule="auto"/>
        <w:rPr>
          <w:rFonts w:ascii="SimSun" w:hAnsi="SimSun" w:eastAsia="SimSun" w:cs="SimSun"/>
          <w:sz w:val="19"/>
          <w:szCs w:val="19"/>
        </w:rPr>
      </w:pPr>
      <w:r>
        <w:rPr>
          <w:rFonts w:ascii="SimSun" w:hAnsi="SimSun" w:eastAsia="SimSun" w:cs="SimSun"/>
          <w:sz w:val="19"/>
          <w:szCs w:val="19"/>
          <w:spacing w:val="7"/>
        </w:rPr>
        <w:t>价格双平减的方法。</w:t>
      </w:r>
    </w:p>
    <w:p>
      <w:pPr>
        <w:ind w:left="352"/>
        <w:spacing w:before="283" w:line="222" w:lineRule="auto"/>
        <w:rPr>
          <w:rFonts w:ascii="SimHei" w:hAnsi="SimHei" w:eastAsia="SimHei" w:cs="SimHei"/>
          <w:sz w:val="19"/>
          <w:szCs w:val="19"/>
        </w:rPr>
      </w:pPr>
      <w:r>
        <w:rPr>
          <w:rFonts w:ascii="SimHei" w:hAnsi="SimHei" w:eastAsia="SimHei" w:cs="SimHei"/>
          <w:sz w:val="19"/>
          <w:szCs w:val="19"/>
          <w:b/>
          <w:bCs/>
          <w:spacing w:val="-9"/>
        </w:rPr>
        <w:t>表2-2</w:t>
      </w:r>
      <w:r>
        <w:rPr>
          <w:rFonts w:ascii="SimHei" w:hAnsi="SimHei" w:eastAsia="SimHei" w:cs="SimHei"/>
          <w:sz w:val="19"/>
          <w:szCs w:val="19"/>
          <w:spacing w:val="96"/>
        </w:rPr>
        <w:t xml:space="preserve"> </w:t>
      </w:r>
      <w:r>
        <w:rPr>
          <w:rFonts w:ascii="SimHei" w:hAnsi="SimHei" w:eastAsia="SimHei" w:cs="SimHei"/>
          <w:sz w:val="19"/>
          <w:szCs w:val="19"/>
          <w:b/>
          <w:bCs/>
          <w:spacing w:val="-9"/>
        </w:rPr>
        <w:t>中国经济各部门增加值占名义</w:t>
      </w:r>
      <w:r>
        <w:rPr>
          <w:rFonts w:ascii="SimHei" w:hAnsi="SimHei" w:eastAsia="SimHei" w:cs="SimHei"/>
          <w:sz w:val="19"/>
          <w:szCs w:val="19"/>
          <w:spacing w:val="-41"/>
        </w:rPr>
        <w:t xml:space="preserve"> </w:t>
      </w:r>
      <w:r>
        <w:rPr>
          <w:rFonts w:ascii="SimSun" w:hAnsi="SimSun" w:eastAsia="SimSun" w:cs="SimSun"/>
          <w:sz w:val="19"/>
          <w:szCs w:val="19"/>
          <w:b/>
          <w:bCs/>
          <w:spacing w:val="-9"/>
        </w:rPr>
        <w:t>GDP</w:t>
      </w:r>
      <w:r>
        <w:rPr>
          <w:rFonts w:ascii="SimSun" w:hAnsi="SimSun" w:eastAsia="SimSun" w:cs="SimSun"/>
          <w:sz w:val="19"/>
          <w:szCs w:val="19"/>
          <w:spacing w:val="55"/>
        </w:rPr>
        <w:t xml:space="preserve"> </w:t>
      </w:r>
      <w:r>
        <w:rPr>
          <w:rFonts w:ascii="SimHei" w:hAnsi="SimHei" w:eastAsia="SimHei" w:cs="SimHei"/>
          <w:sz w:val="19"/>
          <w:szCs w:val="19"/>
          <w:b/>
          <w:bCs/>
          <w:spacing w:val="-9"/>
        </w:rPr>
        <w:t>的比重：数字经济视角</w:t>
      </w:r>
    </w:p>
    <w:p>
      <w:pPr>
        <w:ind w:left="5419"/>
        <w:spacing w:before="156" w:line="220" w:lineRule="auto"/>
        <w:rPr>
          <w:rFonts w:ascii="SimSun" w:hAnsi="SimSun" w:eastAsia="SimSun" w:cs="SimSun"/>
          <w:sz w:val="19"/>
          <w:szCs w:val="19"/>
        </w:rPr>
      </w:pPr>
      <w:r>
        <w:rPr>
          <w:rFonts w:ascii="SimSun" w:hAnsi="SimSun" w:eastAsia="SimSun" w:cs="SimSun"/>
          <w:sz w:val="19"/>
          <w:szCs w:val="19"/>
          <w:spacing w:val="-14"/>
        </w:rPr>
        <w:t>单位：%</w:t>
      </w:r>
    </w:p>
    <w:p>
      <w:pPr>
        <w:spacing w:line="110" w:lineRule="auto"/>
        <w:rPr>
          <w:rFonts w:ascii="Arial"/>
          <w:sz w:val="2"/>
        </w:rPr>
      </w:pPr>
      <w:r>
        <w:rPr>
          <w:rFonts w:ascii="Arial"/>
          <w:sz w:val="2"/>
        </w:rPr>
      </w:r>
    </w:p>
    <w:tbl>
      <w:tblPr>
        <w:tblStyle w:val="TableNormal"/>
        <w:tblW w:w="60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99"/>
        <w:gridCol w:w="1020"/>
        <w:gridCol w:w="1015"/>
        <w:gridCol w:w="1050"/>
        <w:gridCol w:w="1085"/>
      </w:tblGrid>
      <w:tr>
        <w:trPr>
          <w:trHeight w:val="304" w:hRule="atLeast"/>
        </w:trPr>
        <w:tc>
          <w:tcPr>
            <w:tcW w:w="1899" w:type="dxa"/>
            <w:vAlign w:val="top"/>
            <w:tcBorders>
              <w:bottom w:val="single" w:color="000000" w:sz="4" w:space="0"/>
              <w:top w:val="single" w:color="000000" w:sz="4" w:space="0"/>
            </w:tcBorders>
          </w:tcPr>
          <w:p>
            <w:pPr>
              <w:rPr>
                <w:rFonts w:ascii="Arial"/>
                <w:sz w:val="21"/>
              </w:rPr>
            </w:pPr>
            <w:r/>
          </w:p>
        </w:tc>
        <w:tc>
          <w:tcPr>
            <w:tcW w:w="1020" w:type="dxa"/>
            <w:vAlign w:val="top"/>
            <w:tcBorders>
              <w:bottom w:val="single" w:color="000000" w:sz="4" w:space="0"/>
              <w:top w:val="single" w:color="000000" w:sz="4" w:space="0"/>
            </w:tcBorders>
          </w:tcPr>
          <w:p>
            <w:pPr>
              <w:pStyle w:val="TableText"/>
              <w:ind w:left="293"/>
              <w:spacing w:before="69" w:line="219" w:lineRule="auto"/>
              <w:rPr>
                <w:sz w:val="16"/>
                <w:szCs w:val="16"/>
              </w:rPr>
            </w:pPr>
            <w:r>
              <w:rPr>
                <w:sz w:val="16"/>
                <w:szCs w:val="16"/>
                <w:b/>
                <w:bCs/>
                <w:spacing w:val="-3"/>
              </w:rPr>
              <w:t>2001年</w:t>
            </w:r>
          </w:p>
        </w:tc>
        <w:tc>
          <w:tcPr>
            <w:tcW w:w="1015" w:type="dxa"/>
            <w:vAlign w:val="top"/>
            <w:tcBorders>
              <w:bottom w:val="single" w:color="000000" w:sz="4" w:space="0"/>
              <w:top w:val="single" w:color="000000" w:sz="4" w:space="0"/>
            </w:tcBorders>
          </w:tcPr>
          <w:p>
            <w:pPr>
              <w:pStyle w:val="TableText"/>
              <w:ind w:left="263"/>
              <w:spacing w:before="69" w:line="219" w:lineRule="auto"/>
              <w:rPr>
                <w:sz w:val="16"/>
                <w:szCs w:val="16"/>
              </w:rPr>
            </w:pPr>
            <w:r>
              <w:rPr>
                <w:sz w:val="16"/>
                <w:szCs w:val="16"/>
                <w:b/>
                <w:bCs/>
                <w:spacing w:val="-3"/>
              </w:rPr>
              <w:t>2007年</w:t>
            </w:r>
          </w:p>
        </w:tc>
        <w:tc>
          <w:tcPr>
            <w:tcW w:w="1050" w:type="dxa"/>
            <w:vAlign w:val="top"/>
            <w:tcBorders>
              <w:bottom w:val="single" w:color="000000" w:sz="4" w:space="0"/>
              <w:top w:val="single" w:color="000000" w:sz="4" w:space="0"/>
            </w:tcBorders>
          </w:tcPr>
          <w:p>
            <w:pPr>
              <w:pStyle w:val="TableText"/>
              <w:ind w:left="288"/>
              <w:spacing w:before="69" w:line="219" w:lineRule="auto"/>
              <w:rPr>
                <w:sz w:val="16"/>
                <w:szCs w:val="16"/>
              </w:rPr>
            </w:pPr>
            <w:r>
              <w:rPr>
                <w:sz w:val="16"/>
                <w:szCs w:val="16"/>
                <w:b/>
                <w:bCs/>
                <w:spacing w:val="-3"/>
              </w:rPr>
              <w:t>2012年</w:t>
            </w:r>
          </w:p>
        </w:tc>
        <w:tc>
          <w:tcPr>
            <w:tcW w:w="1085" w:type="dxa"/>
            <w:vAlign w:val="top"/>
            <w:tcBorders>
              <w:bottom w:val="single" w:color="000000" w:sz="4" w:space="0"/>
              <w:top w:val="single" w:color="000000" w:sz="4" w:space="0"/>
            </w:tcBorders>
          </w:tcPr>
          <w:p>
            <w:pPr>
              <w:pStyle w:val="TableText"/>
              <w:ind w:left="298"/>
              <w:spacing w:before="69" w:line="219" w:lineRule="auto"/>
              <w:rPr>
                <w:sz w:val="16"/>
                <w:szCs w:val="16"/>
              </w:rPr>
            </w:pPr>
            <w:r>
              <w:rPr>
                <w:sz w:val="16"/>
                <w:szCs w:val="16"/>
                <w:b/>
                <w:bCs/>
                <w:spacing w:val="-3"/>
              </w:rPr>
              <w:t>2018年</w:t>
            </w:r>
          </w:p>
        </w:tc>
      </w:tr>
      <w:tr>
        <w:trPr>
          <w:trHeight w:val="299" w:hRule="atLeast"/>
        </w:trPr>
        <w:tc>
          <w:tcPr>
            <w:tcW w:w="1899" w:type="dxa"/>
            <w:vAlign w:val="top"/>
            <w:tcBorders>
              <w:top w:val="single" w:color="000000" w:sz="4" w:space="0"/>
            </w:tcBorders>
          </w:tcPr>
          <w:p>
            <w:pPr>
              <w:pStyle w:val="TableText"/>
              <w:ind w:left="99"/>
              <w:spacing w:before="67" w:line="219" w:lineRule="auto"/>
              <w:rPr>
                <w:sz w:val="16"/>
                <w:szCs w:val="16"/>
              </w:rPr>
            </w:pPr>
            <w:r>
              <w:rPr>
                <w:sz w:val="16"/>
                <w:szCs w:val="16"/>
              </w:rPr>
              <w:t>ICT</w:t>
            </w:r>
            <w:r>
              <w:rPr>
                <w:sz w:val="16"/>
                <w:szCs w:val="16"/>
                <w:spacing w:val="1"/>
              </w:rPr>
              <w:t>生产行业</w:t>
            </w:r>
          </w:p>
        </w:tc>
        <w:tc>
          <w:tcPr>
            <w:tcW w:w="1020" w:type="dxa"/>
            <w:vAlign w:val="top"/>
            <w:tcBorders>
              <w:top w:val="single" w:color="000000" w:sz="4" w:space="0"/>
            </w:tcBorders>
          </w:tcPr>
          <w:p>
            <w:pPr>
              <w:pStyle w:val="TableText"/>
              <w:ind w:left="410"/>
              <w:spacing w:before="108" w:line="183" w:lineRule="auto"/>
              <w:rPr>
                <w:sz w:val="16"/>
                <w:szCs w:val="16"/>
              </w:rPr>
            </w:pPr>
            <w:r>
              <w:rPr>
                <w:sz w:val="16"/>
                <w:szCs w:val="16"/>
                <w:spacing w:val="-3"/>
              </w:rPr>
              <w:t>5.0</w:t>
            </w:r>
          </w:p>
        </w:tc>
        <w:tc>
          <w:tcPr>
            <w:tcW w:w="1015" w:type="dxa"/>
            <w:vAlign w:val="top"/>
            <w:tcBorders>
              <w:top w:val="single" w:color="000000" w:sz="4" w:space="0"/>
            </w:tcBorders>
          </w:tcPr>
          <w:p>
            <w:pPr>
              <w:pStyle w:val="TableText"/>
              <w:ind w:left="380"/>
              <w:spacing w:before="108" w:line="183" w:lineRule="auto"/>
              <w:rPr>
                <w:sz w:val="16"/>
                <w:szCs w:val="16"/>
              </w:rPr>
            </w:pPr>
            <w:r>
              <w:rPr>
                <w:sz w:val="16"/>
                <w:szCs w:val="16"/>
                <w:spacing w:val="-3"/>
              </w:rPr>
              <w:t>5.0</w:t>
            </w:r>
          </w:p>
        </w:tc>
        <w:tc>
          <w:tcPr>
            <w:tcW w:w="1050" w:type="dxa"/>
            <w:vAlign w:val="top"/>
            <w:tcBorders>
              <w:top w:val="single" w:color="000000" w:sz="4" w:space="0"/>
            </w:tcBorders>
          </w:tcPr>
          <w:p>
            <w:pPr>
              <w:pStyle w:val="TableText"/>
              <w:ind w:left="405"/>
              <w:spacing w:before="108" w:line="183" w:lineRule="auto"/>
              <w:rPr>
                <w:sz w:val="16"/>
                <w:szCs w:val="16"/>
              </w:rPr>
            </w:pPr>
            <w:r>
              <w:rPr>
                <w:sz w:val="16"/>
                <w:szCs w:val="16"/>
                <w:spacing w:val="-2"/>
              </w:rPr>
              <w:t>4.7</w:t>
            </w:r>
          </w:p>
        </w:tc>
        <w:tc>
          <w:tcPr>
            <w:tcW w:w="1085" w:type="dxa"/>
            <w:vAlign w:val="top"/>
            <w:tcBorders>
              <w:top w:val="single" w:color="000000" w:sz="4" w:space="0"/>
            </w:tcBorders>
          </w:tcPr>
          <w:p>
            <w:pPr>
              <w:pStyle w:val="TableText"/>
              <w:ind w:left="416"/>
              <w:spacing w:before="109" w:line="182" w:lineRule="auto"/>
              <w:rPr>
                <w:sz w:val="16"/>
                <w:szCs w:val="16"/>
              </w:rPr>
            </w:pPr>
            <w:r>
              <w:rPr>
                <w:sz w:val="16"/>
                <w:szCs w:val="16"/>
                <w:spacing w:val="-3"/>
              </w:rPr>
              <w:t>5.7</w:t>
            </w:r>
          </w:p>
        </w:tc>
      </w:tr>
      <w:tr>
        <w:trPr>
          <w:trHeight w:val="304" w:hRule="atLeast"/>
        </w:trPr>
        <w:tc>
          <w:tcPr>
            <w:tcW w:w="1899" w:type="dxa"/>
            <w:vAlign w:val="top"/>
          </w:tcPr>
          <w:p>
            <w:pPr>
              <w:pStyle w:val="TableText"/>
              <w:ind w:left="99"/>
              <w:spacing w:before="78" w:line="219" w:lineRule="auto"/>
              <w:rPr>
                <w:sz w:val="16"/>
                <w:szCs w:val="16"/>
              </w:rPr>
            </w:pPr>
            <w:r>
              <w:rPr>
                <w:sz w:val="16"/>
                <w:szCs w:val="16"/>
              </w:rPr>
              <w:t>ICT集约使用制造业</w:t>
            </w:r>
          </w:p>
        </w:tc>
        <w:tc>
          <w:tcPr>
            <w:tcW w:w="1020" w:type="dxa"/>
            <w:vAlign w:val="top"/>
          </w:tcPr>
          <w:p>
            <w:pPr>
              <w:pStyle w:val="TableText"/>
              <w:ind w:left="370"/>
              <w:spacing w:before="119" w:line="184" w:lineRule="auto"/>
              <w:rPr>
                <w:sz w:val="16"/>
                <w:szCs w:val="16"/>
              </w:rPr>
            </w:pPr>
            <w:r>
              <w:rPr>
                <w:sz w:val="16"/>
                <w:szCs w:val="16"/>
                <w:spacing w:val="-4"/>
              </w:rPr>
              <w:t>15.7</w:t>
            </w:r>
          </w:p>
        </w:tc>
        <w:tc>
          <w:tcPr>
            <w:tcW w:w="1015" w:type="dxa"/>
            <w:vAlign w:val="top"/>
          </w:tcPr>
          <w:p>
            <w:pPr>
              <w:pStyle w:val="TableText"/>
              <w:ind w:left="340"/>
              <w:spacing w:before="119" w:line="184" w:lineRule="auto"/>
              <w:rPr>
                <w:sz w:val="16"/>
                <w:szCs w:val="16"/>
              </w:rPr>
            </w:pPr>
            <w:r>
              <w:rPr>
                <w:sz w:val="16"/>
                <w:szCs w:val="16"/>
                <w:spacing w:val="-4"/>
              </w:rPr>
              <w:t>17.0</w:t>
            </w:r>
          </w:p>
        </w:tc>
        <w:tc>
          <w:tcPr>
            <w:tcW w:w="1050" w:type="dxa"/>
            <w:vAlign w:val="top"/>
          </w:tcPr>
          <w:p>
            <w:pPr>
              <w:pStyle w:val="TableText"/>
              <w:ind w:left="365"/>
              <w:spacing w:before="119" w:line="184" w:lineRule="auto"/>
              <w:rPr>
                <w:sz w:val="16"/>
                <w:szCs w:val="16"/>
              </w:rPr>
            </w:pPr>
            <w:r>
              <w:rPr>
                <w:sz w:val="16"/>
                <w:szCs w:val="16"/>
                <w:spacing w:val="-4"/>
              </w:rPr>
              <w:t>16.0</w:t>
            </w:r>
          </w:p>
        </w:tc>
        <w:tc>
          <w:tcPr>
            <w:tcW w:w="1085" w:type="dxa"/>
            <w:vAlign w:val="top"/>
          </w:tcPr>
          <w:p>
            <w:pPr>
              <w:pStyle w:val="TableText"/>
              <w:ind w:left="375"/>
              <w:spacing w:before="119" w:line="184" w:lineRule="auto"/>
              <w:rPr>
                <w:sz w:val="16"/>
                <w:szCs w:val="16"/>
              </w:rPr>
            </w:pPr>
            <w:r>
              <w:rPr>
                <w:sz w:val="16"/>
                <w:szCs w:val="16"/>
                <w:spacing w:val="-4"/>
              </w:rPr>
              <w:t>14.8</w:t>
            </w:r>
          </w:p>
        </w:tc>
      </w:tr>
      <w:tr>
        <w:trPr>
          <w:trHeight w:val="299" w:hRule="atLeast"/>
        </w:trPr>
        <w:tc>
          <w:tcPr>
            <w:tcW w:w="1899" w:type="dxa"/>
            <w:vAlign w:val="top"/>
          </w:tcPr>
          <w:p>
            <w:pPr>
              <w:pStyle w:val="TableText"/>
              <w:ind w:left="99"/>
              <w:spacing w:before="74" w:line="219" w:lineRule="auto"/>
              <w:rPr>
                <w:sz w:val="16"/>
                <w:szCs w:val="16"/>
              </w:rPr>
            </w:pPr>
            <w:r>
              <w:rPr>
                <w:sz w:val="16"/>
                <w:szCs w:val="16"/>
              </w:rPr>
              <w:t>ICT集约使用服务业</w:t>
            </w:r>
          </w:p>
        </w:tc>
        <w:tc>
          <w:tcPr>
            <w:tcW w:w="1020" w:type="dxa"/>
            <w:vAlign w:val="top"/>
          </w:tcPr>
          <w:p>
            <w:pPr>
              <w:pStyle w:val="TableText"/>
              <w:ind w:left="370"/>
              <w:spacing w:before="114" w:line="184" w:lineRule="auto"/>
              <w:rPr>
                <w:sz w:val="16"/>
                <w:szCs w:val="16"/>
              </w:rPr>
            </w:pPr>
            <w:r>
              <w:rPr>
                <w:sz w:val="16"/>
                <w:szCs w:val="16"/>
                <w:spacing w:val="-2"/>
              </w:rPr>
              <w:t>20.1</w:t>
            </w:r>
          </w:p>
        </w:tc>
        <w:tc>
          <w:tcPr>
            <w:tcW w:w="1015" w:type="dxa"/>
            <w:vAlign w:val="top"/>
          </w:tcPr>
          <w:p>
            <w:pPr>
              <w:pStyle w:val="TableText"/>
              <w:ind w:left="340"/>
              <w:spacing w:before="114" w:line="184" w:lineRule="auto"/>
              <w:rPr>
                <w:sz w:val="16"/>
                <w:szCs w:val="16"/>
              </w:rPr>
            </w:pPr>
            <w:r>
              <w:rPr>
                <w:sz w:val="16"/>
                <w:szCs w:val="16"/>
                <w:spacing w:val="-2"/>
              </w:rPr>
              <w:t>21.2</w:t>
            </w:r>
          </w:p>
        </w:tc>
        <w:tc>
          <w:tcPr>
            <w:tcW w:w="1050" w:type="dxa"/>
            <w:vAlign w:val="top"/>
          </w:tcPr>
          <w:p>
            <w:pPr>
              <w:pStyle w:val="TableText"/>
              <w:ind w:left="365"/>
              <w:spacing w:before="115" w:line="183" w:lineRule="auto"/>
              <w:rPr>
                <w:sz w:val="16"/>
                <w:szCs w:val="16"/>
              </w:rPr>
            </w:pPr>
            <w:r>
              <w:rPr>
                <w:sz w:val="16"/>
                <w:szCs w:val="16"/>
                <w:spacing w:val="-2"/>
              </w:rPr>
              <w:t>23.7</w:t>
            </w:r>
          </w:p>
        </w:tc>
        <w:tc>
          <w:tcPr>
            <w:tcW w:w="1085" w:type="dxa"/>
            <w:vAlign w:val="top"/>
          </w:tcPr>
          <w:p>
            <w:pPr>
              <w:pStyle w:val="TableText"/>
              <w:ind w:left="375"/>
              <w:spacing w:before="115" w:line="183" w:lineRule="auto"/>
              <w:rPr>
                <w:sz w:val="16"/>
                <w:szCs w:val="16"/>
              </w:rPr>
            </w:pPr>
            <w:r>
              <w:rPr>
                <w:sz w:val="16"/>
                <w:szCs w:val="16"/>
                <w:spacing w:val="-2"/>
              </w:rPr>
              <w:t>25.8</w:t>
            </w:r>
          </w:p>
        </w:tc>
      </w:tr>
      <w:tr>
        <w:trPr>
          <w:trHeight w:val="294" w:hRule="atLeast"/>
        </w:trPr>
        <w:tc>
          <w:tcPr>
            <w:tcW w:w="1899" w:type="dxa"/>
            <w:vAlign w:val="top"/>
          </w:tcPr>
          <w:p>
            <w:pPr>
              <w:pStyle w:val="TableText"/>
              <w:ind w:left="99"/>
              <w:spacing w:before="75" w:line="219" w:lineRule="auto"/>
              <w:rPr>
                <w:sz w:val="16"/>
                <w:szCs w:val="16"/>
              </w:rPr>
            </w:pPr>
            <w:r>
              <w:rPr>
                <w:sz w:val="16"/>
                <w:szCs w:val="16"/>
                <w:spacing w:val="-1"/>
              </w:rPr>
              <w:t>非ICT集约使用制造业</w:t>
            </w:r>
          </w:p>
        </w:tc>
        <w:tc>
          <w:tcPr>
            <w:tcW w:w="1020" w:type="dxa"/>
            <w:vAlign w:val="top"/>
          </w:tcPr>
          <w:p>
            <w:pPr>
              <w:pStyle w:val="TableText"/>
              <w:ind w:left="370"/>
              <w:spacing w:before="115" w:line="184" w:lineRule="auto"/>
              <w:rPr>
                <w:sz w:val="16"/>
                <w:szCs w:val="16"/>
              </w:rPr>
            </w:pPr>
            <w:r>
              <w:rPr>
                <w:sz w:val="16"/>
                <w:szCs w:val="16"/>
                <w:spacing w:val="-4"/>
              </w:rPr>
              <w:t>16.7</w:t>
            </w:r>
          </w:p>
        </w:tc>
        <w:tc>
          <w:tcPr>
            <w:tcW w:w="1015" w:type="dxa"/>
            <w:vAlign w:val="top"/>
          </w:tcPr>
          <w:p>
            <w:pPr>
              <w:pStyle w:val="TableText"/>
              <w:ind w:left="340"/>
              <w:spacing w:before="115" w:line="184" w:lineRule="auto"/>
              <w:rPr>
                <w:sz w:val="16"/>
                <w:szCs w:val="16"/>
              </w:rPr>
            </w:pPr>
            <w:r>
              <w:rPr>
                <w:sz w:val="16"/>
                <w:szCs w:val="16"/>
                <w:spacing w:val="-4"/>
              </w:rPr>
              <w:t>16.7</w:t>
            </w:r>
          </w:p>
        </w:tc>
        <w:tc>
          <w:tcPr>
            <w:tcW w:w="1050" w:type="dxa"/>
            <w:vAlign w:val="top"/>
          </w:tcPr>
          <w:p>
            <w:pPr>
              <w:pStyle w:val="TableText"/>
              <w:ind w:left="365"/>
              <w:spacing w:before="115" w:line="184" w:lineRule="auto"/>
              <w:rPr>
                <w:sz w:val="16"/>
                <w:szCs w:val="16"/>
              </w:rPr>
            </w:pPr>
            <w:r>
              <w:rPr>
                <w:sz w:val="16"/>
                <w:szCs w:val="16"/>
                <w:spacing w:val="-4"/>
              </w:rPr>
              <w:t>15.6</w:t>
            </w:r>
          </w:p>
        </w:tc>
        <w:tc>
          <w:tcPr>
            <w:tcW w:w="1085" w:type="dxa"/>
            <w:vAlign w:val="top"/>
          </w:tcPr>
          <w:p>
            <w:pPr>
              <w:pStyle w:val="TableText"/>
              <w:ind w:left="375"/>
              <w:spacing w:before="115" w:line="184" w:lineRule="auto"/>
              <w:rPr>
                <w:sz w:val="16"/>
                <w:szCs w:val="16"/>
              </w:rPr>
            </w:pPr>
            <w:r>
              <w:rPr>
                <w:sz w:val="16"/>
                <w:szCs w:val="16"/>
                <w:spacing w:val="-4"/>
              </w:rPr>
              <w:t>14.2</w:t>
            </w:r>
          </w:p>
        </w:tc>
      </w:tr>
      <w:tr>
        <w:trPr>
          <w:trHeight w:val="295" w:hRule="atLeast"/>
        </w:trPr>
        <w:tc>
          <w:tcPr>
            <w:tcW w:w="1899" w:type="dxa"/>
            <w:vAlign w:val="top"/>
          </w:tcPr>
          <w:p>
            <w:pPr>
              <w:pStyle w:val="TableText"/>
              <w:ind w:left="99"/>
              <w:spacing w:before="71" w:line="219" w:lineRule="auto"/>
              <w:rPr>
                <w:sz w:val="16"/>
                <w:szCs w:val="16"/>
              </w:rPr>
            </w:pPr>
            <w:r>
              <w:rPr>
                <w:sz w:val="16"/>
                <w:szCs w:val="16"/>
                <w:spacing w:val="-1"/>
              </w:rPr>
              <w:t>非ICT集约使用服务业</w:t>
            </w:r>
          </w:p>
        </w:tc>
        <w:tc>
          <w:tcPr>
            <w:tcW w:w="1020" w:type="dxa"/>
            <w:vAlign w:val="top"/>
          </w:tcPr>
          <w:p>
            <w:pPr>
              <w:pStyle w:val="TableText"/>
              <w:ind w:left="410"/>
              <w:spacing w:before="112" w:line="183" w:lineRule="auto"/>
              <w:rPr>
                <w:sz w:val="16"/>
                <w:szCs w:val="16"/>
              </w:rPr>
            </w:pPr>
            <w:r>
              <w:rPr>
                <w:sz w:val="16"/>
                <w:szCs w:val="16"/>
                <w:spacing w:val="-2"/>
              </w:rPr>
              <w:t>9.8</w:t>
            </w:r>
          </w:p>
        </w:tc>
        <w:tc>
          <w:tcPr>
            <w:tcW w:w="1015" w:type="dxa"/>
            <w:vAlign w:val="top"/>
          </w:tcPr>
          <w:p>
            <w:pPr>
              <w:pStyle w:val="TableText"/>
              <w:ind w:left="340"/>
              <w:spacing w:before="111" w:line="184" w:lineRule="auto"/>
              <w:rPr>
                <w:sz w:val="16"/>
                <w:szCs w:val="16"/>
              </w:rPr>
            </w:pPr>
            <w:r>
              <w:rPr>
                <w:sz w:val="16"/>
                <w:szCs w:val="16"/>
                <w:spacing w:val="-4"/>
              </w:rPr>
              <w:t>10.5</w:t>
            </w:r>
          </w:p>
        </w:tc>
        <w:tc>
          <w:tcPr>
            <w:tcW w:w="1050" w:type="dxa"/>
            <w:vAlign w:val="top"/>
          </w:tcPr>
          <w:p>
            <w:pPr>
              <w:pStyle w:val="TableText"/>
              <w:ind w:left="365"/>
              <w:spacing w:before="111" w:line="184" w:lineRule="auto"/>
              <w:rPr>
                <w:sz w:val="16"/>
                <w:szCs w:val="16"/>
              </w:rPr>
            </w:pPr>
            <w:r>
              <w:rPr>
                <w:sz w:val="16"/>
                <w:szCs w:val="16"/>
                <w:spacing w:val="-4"/>
              </w:rPr>
              <w:t>10.4</w:t>
            </w:r>
          </w:p>
        </w:tc>
        <w:tc>
          <w:tcPr>
            <w:tcW w:w="1085" w:type="dxa"/>
            <w:vAlign w:val="top"/>
          </w:tcPr>
          <w:p>
            <w:pPr>
              <w:pStyle w:val="TableText"/>
              <w:ind w:left="375"/>
              <w:spacing w:before="111" w:line="184" w:lineRule="auto"/>
              <w:rPr>
                <w:sz w:val="16"/>
                <w:szCs w:val="16"/>
              </w:rPr>
            </w:pPr>
            <w:r>
              <w:rPr>
                <w:sz w:val="16"/>
                <w:szCs w:val="16"/>
                <w:spacing w:val="-4"/>
              </w:rPr>
              <w:t>12.2</w:t>
            </w:r>
          </w:p>
        </w:tc>
      </w:tr>
      <w:tr>
        <w:trPr>
          <w:trHeight w:val="297" w:hRule="atLeast"/>
        </w:trPr>
        <w:tc>
          <w:tcPr>
            <w:tcW w:w="1899" w:type="dxa"/>
            <w:vAlign w:val="top"/>
          </w:tcPr>
          <w:p>
            <w:pPr>
              <w:pStyle w:val="TableText"/>
              <w:ind w:left="99"/>
              <w:spacing w:before="78" w:line="221" w:lineRule="auto"/>
              <w:rPr>
                <w:sz w:val="16"/>
                <w:szCs w:val="16"/>
              </w:rPr>
            </w:pPr>
            <w:r>
              <w:rPr>
                <w:sz w:val="16"/>
                <w:szCs w:val="16"/>
                <w:spacing w:val="-2"/>
              </w:rPr>
              <w:t>农业</w:t>
            </w:r>
          </w:p>
        </w:tc>
        <w:tc>
          <w:tcPr>
            <w:tcW w:w="1020" w:type="dxa"/>
            <w:vAlign w:val="top"/>
          </w:tcPr>
          <w:p>
            <w:pPr>
              <w:pStyle w:val="TableText"/>
              <w:ind w:left="370"/>
              <w:spacing w:before="116" w:line="184" w:lineRule="auto"/>
              <w:rPr>
                <w:sz w:val="16"/>
                <w:szCs w:val="16"/>
              </w:rPr>
            </w:pPr>
            <w:r>
              <w:rPr>
                <w:sz w:val="16"/>
                <w:szCs w:val="16"/>
                <w:spacing w:val="-4"/>
              </w:rPr>
              <w:t>14.3</w:t>
            </w:r>
          </w:p>
        </w:tc>
        <w:tc>
          <w:tcPr>
            <w:tcW w:w="1015" w:type="dxa"/>
            <w:vAlign w:val="top"/>
          </w:tcPr>
          <w:p>
            <w:pPr>
              <w:pStyle w:val="TableText"/>
              <w:ind w:left="340"/>
              <w:spacing w:before="116" w:line="184" w:lineRule="auto"/>
              <w:rPr>
                <w:sz w:val="16"/>
                <w:szCs w:val="16"/>
              </w:rPr>
            </w:pPr>
            <w:r>
              <w:rPr>
                <w:sz w:val="16"/>
                <w:szCs w:val="16"/>
                <w:spacing w:val="-4"/>
              </w:rPr>
              <w:t>10.6</w:t>
            </w:r>
          </w:p>
        </w:tc>
        <w:tc>
          <w:tcPr>
            <w:tcW w:w="1050" w:type="dxa"/>
            <w:vAlign w:val="top"/>
          </w:tcPr>
          <w:p>
            <w:pPr>
              <w:pStyle w:val="TableText"/>
              <w:ind w:left="405"/>
              <w:spacing w:before="117" w:line="183" w:lineRule="auto"/>
              <w:rPr>
                <w:sz w:val="16"/>
                <w:szCs w:val="16"/>
              </w:rPr>
            </w:pPr>
            <w:r>
              <w:rPr>
                <w:sz w:val="16"/>
                <w:szCs w:val="16"/>
                <w:spacing w:val="-2"/>
              </w:rPr>
              <w:t>9.7</w:t>
            </w:r>
          </w:p>
        </w:tc>
        <w:tc>
          <w:tcPr>
            <w:tcW w:w="1085" w:type="dxa"/>
            <w:vAlign w:val="top"/>
          </w:tcPr>
          <w:p>
            <w:pPr>
              <w:pStyle w:val="TableText"/>
              <w:ind w:left="416"/>
              <w:spacing w:before="118" w:line="182" w:lineRule="auto"/>
              <w:rPr>
                <w:sz w:val="16"/>
                <w:szCs w:val="16"/>
              </w:rPr>
            </w:pPr>
            <w:r>
              <w:rPr>
                <w:sz w:val="16"/>
                <w:szCs w:val="16"/>
                <w:spacing w:val="-3"/>
              </w:rPr>
              <w:t>7.5</w:t>
            </w:r>
          </w:p>
        </w:tc>
      </w:tr>
      <w:tr>
        <w:trPr>
          <w:trHeight w:val="295" w:hRule="atLeast"/>
        </w:trPr>
        <w:tc>
          <w:tcPr>
            <w:tcW w:w="1899" w:type="dxa"/>
            <w:vAlign w:val="top"/>
          </w:tcPr>
          <w:p>
            <w:pPr>
              <w:pStyle w:val="TableText"/>
              <w:ind w:left="99"/>
              <w:spacing w:before="78" w:line="219" w:lineRule="auto"/>
              <w:rPr>
                <w:sz w:val="16"/>
                <w:szCs w:val="16"/>
              </w:rPr>
            </w:pPr>
            <w:r>
              <w:rPr>
                <w:sz w:val="16"/>
                <w:szCs w:val="16"/>
                <w:spacing w:val="-2"/>
              </w:rPr>
              <w:t>采掘业</w:t>
            </w:r>
          </w:p>
        </w:tc>
        <w:tc>
          <w:tcPr>
            <w:tcW w:w="1020" w:type="dxa"/>
            <w:vAlign w:val="top"/>
          </w:tcPr>
          <w:p>
            <w:pPr>
              <w:pStyle w:val="TableText"/>
              <w:ind w:left="410"/>
              <w:spacing w:before="120" w:line="183" w:lineRule="auto"/>
              <w:rPr>
                <w:sz w:val="16"/>
                <w:szCs w:val="16"/>
              </w:rPr>
            </w:pPr>
            <w:r>
              <w:rPr>
                <w:sz w:val="16"/>
                <w:szCs w:val="16"/>
                <w:spacing w:val="-2"/>
              </w:rPr>
              <w:t>4.7</w:t>
            </w:r>
          </w:p>
        </w:tc>
        <w:tc>
          <w:tcPr>
            <w:tcW w:w="1015" w:type="dxa"/>
            <w:vAlign w:val="top"/>
          </w:tcPr>
          <w:p>
            <w:pPr>
              <w:pStyle w:val="TableText"/>
              <w:ind w:left="380"/>
              <w:spacing w:before="120" w:line="183" w:lineRule="auto"/>
              <w:rPr>
                <w:sz w:val="16"/>
                <w:szCs w:val="16"/>
              </w:rPr>
            </w:pPr>
            <w:r>
              <w:rPr>
                <w:sz w:val="16"/>
                <w:szCs w:val="16"/>
                <w:spacing w:val="-3"/>
              </w:rPr>
              <w:t>5.0</w:t>
            </w:r>
          </w:p>
        </w:tc>
        <w:tc>
          <w:tcPr>
            <w:tcW w:w="1050" w:type="dxa"/>
            <w:vAlign w:val="top"/>
          </w:tcPr>
          <w:p>
            <w:pPr>
              <w:pStyle w:val="TableText"/>
              <w:ind w:left="405"/>
              <w:spacing w:before="120" w:line="183" w:lineRule="auto"/>
              <w:rPr>
                <w:sz w:val="16"/>
                <w:szCs w:val="16"/>
              </w:rPr>
            </w:pPr>
            <w:r>
              <w:rPr>
                <w:sz w:val="16"/>
                <w:szCs w:val="16"/>
                <w:spacing w:val="-2"/>
              </w:rPr>
              <w:t>4.6</w:t>
            </w:r>
          </w:p>
        </w:tc>
        <w:tc>
          <w:tcPr>
            <w:tcW w:w="1085" w:type="dxa"/>
            <w:vAlign w:val="top"/>
          </w:tcPr>
          <w:p>
            <w:pPr>
              <w:pStyle w:val="TableText"/>
              <w:ind w:left="416"/>
              <w:spacing w:before="120" w:line="183" w:lineRule="auto"/>
              <w:rPr>
                <w:sz w:val="16"/>
                <w:szCs w:val="16"/>
              </w:rPr>
            </w:pPr>
            <w:r>
              <w:rPr>
                <w:sz w:val="16"/>
                <w:szCs w:val="16"/>
                <w:spacing w:val="-2"/>
              </w:rPr>
              <w:t>2.6</w:t>
            </w:r>
          </w:p>
        </w:tc>
      </w:tr>
      <w:tr>
        <w:trPr>
          <w:trHeight w:val="293" w:hRule="atLeast"/>
        </w:trPr>
        <w:tc>
          <w:tcPr>
            <w:tcW w:w="1899" w:type="dxa"/>
            <w:vAlign w:val="top"/>
          </w:tcPr>
          <w:p>
            <w:pPr>
              <w:pStyle w:val="TableText"/>
              <w:ind w:left="99"/>
              <w:spacing w:before="74" w:line="220" w:lineRule="auto"/>
              <w:rPr>
                <w:sz w:val="16"/>
                <w:szCs w:val="16"/>
              </w:rPr>
            </w:pPr>
            <w:r>
              <w:rPr>
                <w:sz w:val="16"/>
                <w:szCs w:val="16"/>
                <w:spacing w:val="-2"/>
              </w:rPr>
              <w:t>建筑业</w:t>
            </w:r>
          </w:p>
        </w:tc>
        <w:tc>
          <w:tcPr>
            <w:tcW w:w="1020" w:type="dxa"/>
            <w:vAlign w:val="top"/>
          </w:tcPr>
          <w:p>
            <w:pPr>
              <w:pStyle w:val="TableText"/>
              <w:ind w:left="410"/>
              <w:spacing w:before="115" w:line="183" w:lineRule="auto"/>
              <w:rPr>
                <w:sz w:val="16"/>
                <w:szCs w:val="16"/>
              </w:rPr>
            </w:pPr>
            <w:r>
              <w:rPr>
                <w:sz w:val="16"/>
                <w:szCs w:val="16"/>
                <w:spacing w:val="-3"/>
              </w:rPr>
              <w:t>5.4</w:t>
            </w:r>
          </w:p>
        </w:tc>
        <w:tc>
          <w:tcPr>
            <w:tcW w:w="1015" w:type="dxa"/>
            <w:vAlign w:val="top"/>
          </w:tcPr>
          <w:p>
            <w:pPr>
              <w:pStyle w:val="TableText"/>
              <w:ind w:left="380"/>
              <w:spacing w:before="116" w:line="182" w:lineRule="auto"/>
              <w:rPr>
                <w:sz w:val="16"/>
                <w:szCs w:val="16"/>
              </w:rPr>
            </w:pPr>
            <w:r>
              <w:rPr>
                <w:sz w:val="16"/>
                <w:szCs w:val="16"/>
                <w:spacing w:val="-3"/>
              </w:rPr>
              <w:t>5.7</w:t>
            </w:r>
          </w:p>
        </w:tc>
        <w:tc>
          <w:tcPr>
            <w:tcW w:w="1050" w:type="dxa"/>
            <w:vAlign w:val="top"/>
          </w:tcPr>
          <w:p>
            <w:pPr>
              <w:pStyle w:val="TableText"/>
              <w:ind w:left="405"/>
              <w:spacing w:before="115" w:line="183" w:lineRule="auto"/>
              <w:rPr>
                <w:sz w:val="16"/>
                <w:szCs w:val="16"/>
              </w:rPr>
            </w:pPr>
            <w:r>
              <w:rPr>
                <w:sz w:val="16"/>
                <w:szCs w:val="16"/>
                <w:spacing w:val="-2"/>
              </w:rPr>
              <w:t>6.8</w:t>
            </w:r>
          </w:p>
        </w:tc>
        <w:tc>
          <w:tcPr>
            <w:tcW w:w="1085" w:type="dxa"/>
            <w:vAlign w:val="top"/>
          </w:tcPr>
          <w:p>
            <w:pPr>
              <w:pStyle w:val="TableText"/>
              <w:ind w:left="416"/>
              <w:spacing w:before="115" w:line="183" w:lineRule="auto"/>
              <w:rPr>
                <w:sz w:val="16"/>
                <w:szCs w:val="16"/>
              </w:rPr>
            </w:pPr>
            <w:r>
              <w:rPr>
                <w:sz w:val="16"/>
                <w:szCs w:val="16"/>
                <w:spacing w:val="-2"/>
              </w:rPr>
              <w:t>6.9</w:t>
            </w:r>
          </w:p>
        </w:tc>
      </w:tr>
      <w:tr>
        <w:trPr>
          <w:trHeight w:val="299" w:hRule="atLeast"/>
        </w:trPr>
        <w:tc>
          <w:tcPr>
            <w:tcW w:w="1899" w:type="dxa"/>
            <w:vAlign w:val="top"/>
            <w:tcBorders>
              <w:bottom w:val="single" w:color="000000" w:sz="4" w:space="0"/>
            </w:tcBorders>
          </w:tcPr>
          <w:p>
            <w:pPr>
              <w:pStyle w:val="TableText"/>
              <w:ind w:left="99"/>
              <w:spacing w:before="81" w:line="219" w:lineRule="auto"/>
              <w:rPr>
                <w:sz w:val="16"/>
                <w:szCs w:val="16"/>
              </w:rPr>
            </w:pPr>
            <w:r>
              <w:rPr>
                <w:sz w:val="16"/>
                <w:szCs w:val="16"/>
                <w:spacing w:val="-2"/>
              </w:rPr>
              <w:t>非市场服务业</w:t>
            </w:r>
          </w:p>
        </w:tc>
        <w:tc>
          <w:tcPr>
            <w:tcW w:w="1020" w:type="dxa"/>
            <w:vAlign w:val="top"/>
            <w:tcBorders>
              <w:bottom w:val="single" w:color="000000" w:sz="4" w:space="0"/>
            </w:tcBorders>
          </w:tcPr>
          <w:p>
            <w:pPr>
              <w:pStyle w:val="TableText"/>
              <w:ind w:left="410"/>
              <w:spacing w:before="122" w:line="183" w:lineRule="auto"/>
              <w:rPr>
                <w:sz w:val="16"/>
                <w:szCs w:val="16"/>
              </w:rPr>
            </w:pPr>
            <w:r>
              <w:rPr>
                <w:sz w:val="16"/>
                <w:szCs w:val="16"/>
                <w:spacing w:val="-2"/>
              </w:rPr>
              <w:t>8.5</w:t>
            </w:r>
          </w:p>
        </w:tc>
        <w:tc>
          <w:tcPr>
            <w:tcW w:w="1015" w:type="dxa"/>
            <w:vAlign w:val="top"/>
            <w:tcBorders>
              <w:bottom w:val="single" w:color="000000" w:sz="4" w:space="0"/>
            </w:tcBorders>
          </w:tcPr>
          <w:p>
            <w:pPr>
              <w:pStyle w:val="TableText"/>
              <w:ind w:left="380"/>
              <w:spacing w:before="122" w:line="183" w:lineRule="auto"/>
              <w:rPr>
                <w:sz w:val="16"/>
                <w:szCs w:val="16"/>
              </w:rPr>
            </w:pPr>
            <w:r>
              <w:rPr>
                <w:sz w:val="16"/>
                <w:szCs w:val="16"/>
                <w:spacing w:val="-2"/>
              </w:rPr>
              <w:t>8.3</w:t>
            </w:r>
          </w:p>
        </w:tc>
        <w:tc>
          <w:tcPr>
            <w:tcW w:w="1050" w:type="dxa"/>
            <w:vAlign w:val="top"/>
            <w:tcBorders>
              <w:bottom w:val="single" w:color="000000" w:sz="4" w:space="0"/>
            </w:tcBorders>
          </w:tcPr>
          <w:p>
            <w:pPr>
              <w:pStyle w:val="TableText"/>
              <w:ind w:left="405"/>
              <w:spacing w:before="122" w:line="183" w:lineRule="auto"/>
              <w:rPr>
                <w:sz w:val="16"/>
                <w:szCs w:val="16"/>
              </w:rPr>
            </w:pPr>
            <w:r>
              <w:rPr>
                <w:sz w:val="16"/>
                <w:szCs w:val="16"/>
                <w:spacing w:val="-2"/>
              </w:rPr>
              <w:t>8.5</w:t>
            </w:r>
          </w:p>
        </w:tc>
        <w:tc>
          <w:tcPr>
            <w:tcW w:w="1085" w:type="dxa"/>
            <w:vAlign w:val="top"/>
            <w:tcBorders>
              <w:bottom w:val="single" w:color="000000" w:sz="4" w:space="0"/>
            </w:tcBorders>
          </w:tcPr>
          <w:p>
            <w:pPr>
              <w:pStyle w:val="TableText"/>
              <w:ind w:left="375"/>
              <w:spacing w:before="121" w:line="184" w:lineRule="auto"/>
              <w:rPr>
                <w:sz w:val="16"/>
                <w:szCs w:val="16"/>
              </w:rPr>
            </w:pPr>
            <w:r>
              <w:rPr>
                <w:sz w:val="16"/>
                <w:szCs w:val="16"/>
                <w:spacing w:val="-4"/>
              </w:rPr>
              <w:t>10.4</w:t>
            </w:r>
          </w:p>
        </w:tc>
      </w:tr>
    </w:tbl>
    <w:p>
      <w:pPr>
        <w:ind w:left="9" w:right="79" w:firstLine="340"/>
        <w:spacing w:before="165" w:line="209" w:lineRule="auto"/>
        <w:rPr>
          <w:rFonts w:ascii="KaiTi" w:hAnsi="KaiTi" w:eastAsia="KaiTi" w:cs="KaiTi"/>
          <w:sz w:val="19"/>
          <w:szCs w:val="19"/>
        </w:rPr>
      </w:pPr>
      <w:r>
        <w:rPr>
          <w:rFonts w:ascii="KaiTi" w:hAnsi="KaiTi" w:eastAsia="KaiTi" w:cs="KaiTi"/>
          <w:sz w:val="19"/>
          <w:szCs w:val="19"/>
          <w:spacing w:val="-18"/>
          <w:w w:val="95"/>
        </w:rPr>
        <w:t>注：本章表格中的数据均根据原始数据经过复杂计算得出，由于四舍五</w:t>
      </w:r>
      <w:r>
        <w:rPr>
          <w:rFonts w:ascii="KaiTi" w:hAnsi="KaiTi" w:eastAsia="KaiTi" w:cs="KaiTi"/>
          <w:sz w:val="19"/>
          <w:szCs w:val="19"/>
          <w:spacing w:val="-19"/>
          <w:w w:val="95"/>
        </w:rPr>
        <w:t>入，分项</w:t>
      </w:r>
      <w:r>
        <w:rPr>
          <w:rFonts w:ascii="KaiTi" w:hAnsi="KaiTi" w:eastAsia="KaiTi" w:cs="KaiTi"/>
          <w:sz w:val="19"/>
          <w:szCs w:val="19"/>
        </w:rPr>
        <w:t xml:space="preserve"> </w:t>
      </w:r>
      <w:r>
        <w:rPr>
          <w:rFonts w:ascii="KaiTi" w:hAnsi="KaiTi" w:eastAsia="KaiTi" w:cs="KaiTi"/>
          <w:sz w:val="19"/>
          <w:szCs w:val="19"/>
          <w:spacing w:val="-16"/>
        </w:rPr>
        <w:t>(次级项)数据加总不必然等于100(上级项)。</w:t>
      </w:r>
    </w:p>
    <w:p>
      <w:pPr>
        <w:ind w:left="350"/>
        <w:spacing w:line="220" w:lineRule="auto"/>
        <w:rPr>
          <w:rFonts w:ascii="KaiTi" w:hAnsi="KaiTi" w:eastAsia="KaiTi" w:cs="KaiTi"/>
          <w:sz w:val="19"/>
          <w:szCs w:val="19"/>
        </w:rPr>
      </w:pPr>
      <w:r>
        <w:rPr>
          <w:rFonts w:ascii="KaiTi" w:hAnsi="KaiTi" w:eastAsia="KaiTi" w:cs="KaiTi"/>
          <w:sz w:val="19"/>
          <w:szCs w:val="19"/>
          <w:spacing w:val="-19"/>
          <w:w w:val="94"/>
        </w:rPr>
        <w:t>资料来源：作者计算，数据出处及构建方法见本章第三节。</w:t>
      </w:r>
    </w:p>
    <w:p>
      <w:pPr>
        <w:pStyle w:val="BodyText"/>
        <w:spacing w:line="374" w:lineRule="auto"/>
        <w:rPr/>
      </w:pPr>
      <w:r/>
    </w:p>
    <w:p>
      <w:pPr>
        <w:ind w:left="9" w:firstLine="440"/>
        <w:spacing w:before="62" w:line="350" w:lineRule="auto"/>
        <w:jc w:val="both"/>
        <w:rPr>
          <w:rFonts w:ascii="SimSun" w:hAnsi="SimSun" w:eastAsia="SimSun" w:cs="SimSun"/>
          <w:sz w:val="19"/>
          <w:szCs w:val="19"/>
        </w:rPr>
      </w:pPr>
      <w:r>
        <w:rPr>
          <w:rFonts w:ascii="SimSun" w:hAnsi="SimSun" w:eastAsia="SimSun" w:cs="SimSun"/>
          <w:sz w:val="19"/>
          <w:szCs w:val="19"/>
          <w:spacing w:val="15"/>
        </w:rPr>
        <w:t>表2-2是从数字经济视角观察的中国经济名义产出结构的变化。</w:t>
      </w:r>
      <w:r>
        <w:rPr>
          <w:rFonts w:ascii="SimSun" w:hAnsi="SimSun" w:eastAsia="SimSun" w:cs="SimSun"/>
          <w:sz w:val="19"/>
          <w:szCs w:val="19"/>
          <w:spacing w:val="4"/>
        </w:rPr>
        <w:t xml:space="preserve"> </w:t>
      </w:r>
      <w:r>
        <w:rPr>
          <w:rFonts w:ascii="SimSun" w:hAnsi="SimSun" w:eastAsia="SimSun" w:cs="SimSun"/>
          <w:sz w:val="19"/>
          <w:szCs w:val="19"/>
          <w:spacing w:val="9"/>
        </w:rPr>
        <w:t>因为产出结构的变化既源自供给方要素相对成本的变化，也源自需求  </w:t>
      </w:r>
      <w:r>
        <w:rPr>
          <w:rFonts w:ascii="SimSun" w:hAnsi="SimSun" w:eastAsia="SimSun" w:cs="SimSun"/>
          <w:sz w:val="19"/>
          <w:szCs w:val="19"/>
          <w:spacing w:val="16"/>
        </w:rPr>
        <w:t>方产品市场相对价格的变化，我们不应该像有些研究那样错误地基</w:t>
      </w:r>
    </w:p>
    <w:p>
      <w:pPr>
        <w:ind w:left="9"/>
        <w:spacing w:before="1" w:line="217" w:lineRule="auto"/>
        <w:rPr>
          <w:rFonts w:ascii="SimSun" w:hAnsi="SimSun" w:eastAsia="SimSun" w:cs="SimSun"/>
          <w:sz w:val="19"/>
          <w:szCs w:val="19"/>
        </w:rPr>
      </w:pPr>
      <w:r>
        <w:rPr>
          <w:rFonts w:ascii="SimSun" w:hAnsi="SimSun" w:eastAsia="SimSun" w:cs="SimSun"/>
          <w:sz w:val="19"/>
          <w:szCs w:val="19"/>
          <w:spacing w:val="9"/>
        </w:rPr>
        <w:t>于某个固定价格计算产出结构，而应该基于名义产出结构。我们观察</w:t>
      </w:r>
    </w:p>
    <w:p>
      <w:pPr>
        <w:spacing w:line="217" w:lineRule="auto"/>
        <w:sectPr>
          <w:pgSz w:w="7330" w:h="12480"/>
          <w:pgMar w:top="400" w:right="704" w:bottom="400" w:left="510" w:header="0" w:footer="0" w:gutter="0"/>
        </w:sectPr>
        <w:rPr>
          <w:rFonts w:ascii="SimSun" w:hAnsi="SimSun" w:eastAsia="SimSun" w:cs="SimSun"/>
          <w:sz w:val="19"/>
          <w:szCs w:val="19"/>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right="75"/>
        <w:spacing w:before="62" w:line="348" w:lineRule="auto"/>
        <w:jc w:val="both"/>
        <w:rPr>
          <w:rFonts w:ascii="SimSun" w:hAnsi="SimSun" w:eastAsia="SimSun" w:cs="SimSun"/>
          <w:sz w:val="19"/>
          <w:szCs w:val="19"/>
        </w:rPr>
      </w:pPr>
      <w:r>
        <w:rPr>
          <w:rFonts w:ascii="SimSun" w:hAnsi="SimSun" w:eastAsia="SimSun" w:cs="SimSun"/>
          <w:sz w:val="19"/>
          <w:szCs w:val="19"/>
          <w:spacing w:val="16"/>
        </w:rPr>
        <w:t>到，除去相对特殊的农业、采掘业、建筑业和非市场服务业，三个</w:t>
      </w:r>
      <w:r>
        <w:rPr>
          <w:rFonts w:ascii="SimSun" w:hAnsi="SimSun" w:eastAsia="SimSun" w:cs="SimSun"/>
          <w:sz w:val="19"/>
          <w:szCs w:val="19"/>
          <w:spacing w:val="13"/>
        </w:rPr>
        <w:t xml:space="preserve"> </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2"/>
        </w:rPr>
        <w:t>相关部门在结构上不仅表现为最大的部门，也</w:t>
      </w:r>
      <w:r>
        <w:rPr>
          <w:rFonts w:ascii="SimSun" w:hAnsi="SimSun" w:eastAsia="SimSun" w:cs="SimSun"/>
          <w:sz w:val="19"/>
          <w:szCs w:val="19"/>
          <w:spacing w:val="11"/>
        </w:rPr>
        <w:t>是相对扩张最快的</w:t>
      </w:r>
      <w:r>
        <w:rPr>
          <w:rFonts w:ascii="SimSun" w:hAnsi="SimSun" w:eastAsia="SimSun" w:cs="SimSun"/>
          <w:sz w:val="19"/>
          <w:szCs w:val="19"/>
        </w:rPr>
        <w:t xml:space="preserve"> </w:t>
      </w:r>
      <w:r>
        <w:rPr>
          <w:rFonts w:ascii="SimSun" w:hAnsi="SimSun" w:eastAsia="SimSun" w:cs="SimSun"/>
          <w:sz w:val="19"/>
          <w:szCs w:val="19"/>
          <w:spacing w:val="21"/>
        </w:rPr>
        <w:t>部门，其增加值占名义</w:t>
      </w:r>
      <w:r>
        <w:rPr>
          <w:rFonts w:ascii="Times New Roman" w:hAnsi="Times New Roman" w:eastAsia="Times New Roman" w:cs="Times New Roman"/>
          <w:sz w:val="19"/>
          <w:szCs w:val="19"/>
        </w:rPr>
        <w:t>GDP  </w:t>
      </w:r>
      <w:r>
        <w:rPr>
          <w:rFonts w:ascii="SimSun" w:hAnsi="SimSun" w:eastAsia="SimSun" w:cs="SimSun"/>
          <w:sz w:val="19"/>
          <w:szCs w:val="19"/>
          <w:spacing w:val="21"/>
        </w:rPr>
        <w:t>的比重从2001年的40.8%增加到</w:t>
      </w:r>
      <w:r>
        <w:rPr>
          <w:rFonts w:ascii="SimSun" w:hAnsi="SimSun" w:eastAsia="SimSun" w:cs="SimSun"/>
          <w:sz w:val="19"/>
          <w:szCs w:val="19"/>
          <w:spacing w:val="20"/>
        </w:rPr>
        <w:t>2018</w:t>
      </w:r>
      <w:r>
        <w:rPr>
          <w:rFonts w:ascii="SimSun" w:hAnsi="SimSun" w:eastAsia="SimSun" w:cs="SimSun"/>
          <w:sz w:val="19"/>
          <w:szCs w:val="19"/>
          <w:spacing w:val="1"/>
        </w:rPr>
        <w:t xml:space="preserve"> </w:t>
      </w:r>
      <w:r>
        <w:rPr>
          <w:rFonts w:ascii="SimSun" w:hAnsi="SimSun" w:eastAsia="SimSun" w:cs="SimSun"/>
          <w:sz w:val="19"/>
          <w:szCs w:val="19"/>
          <w:spacing w:val="18"/>
        </w:rPr>
        <w:t>年的46.3%。这就是说，在过去的20年中，数字经济对中</w:t>
      </w:r>
      <w:r>
        <w:rPr>
          <w:rFonts w:ascii="SimSun" w:hAnsi="SimSun" w:eastAsia="SimSun" w:cs="SimSun"/>
          <w:sz w:val="19"/>
          <w:szCs w:val="19"/>
          <w:spacing w:val="17"/>
        </w:rPr>
        <w:t>国整体经</w:t>
      </w:r>
      <w:r>
        <w:rPr>
          <w:rFonts w:ascii="SimSun" w:hAnsi="SimSun" w:eastAsia="SimSun" w:cs="SimSun"/>
          <w:sz w:val="19"/>
          <w:szCs w:val="19"/>
        </w:rPr>
        <w:t xml:space="preserve"> </w:t>
      </w:r>
      <w:r>
        <w:rPr>
          <w:rFonts w:ascii="SimSun" w:hAnsi="SimSun" w:eastAsia="SimSun" w:cs="SimSun"/>
          <w:sz w:val="19"/>
          <w:szCs w:val="19"/>
          <w:spacing w:val="9"/>
        </w:rPr>
        <w:t>济增长的重要性一直在持续上升。这也预示了在产出价格下降，投入</w:t>
      </w:r>
      <w:r>
        <w:rPr>
          <w:rFonts w:ascii="SimSun" w:hAnsi="SimSun" w:eastAsia="SimSun" w:cs="SimSun"/>
          <w:sz w:val="19"/>
          <w:szCs w:val="19"/>
          <w:spacing w:val="17"/>
        </w:rPr>
        <w:t xml:space="preserve"> </w:t>
      </w:r>
      <w:r>
        <w:rPr>
          <w:rFonts w:ascii="SimSun" w:hAnsi="SimSun" w:eastAsia="SimSun" w:cs="SimSun"/>
          <w:sz w:val="19"/>
          <w:szCs w:val="19"/>
          <w:spacing w:val="10"/>
        </w:rPr>
        <w:t>价格基本上居高不下的情况下，数字经济部</w:t>
      </w:r>
      <w:r>
        <w:rPr>
          <w:rFonts w:ascii="SimSun" w:hAnsi="SimSun" w:eastAsia="SimSun" w:cs="SimSun"/>
          <w:sz w:val="19"/>
          <w:szCs w:val="19"/>
          <w:spacing w:val="9"/>
        </w:rPr>
        <w:t>门完全可能有着超乎寻常</w:t>
      </w:r>
    </w:p>
    <w:p>
      <w:pPr>
        <w:spacing w:line="219" w:lineRule="auto"/>
        <w:rPr>
          <w:rFonts w:ascii="SimSun" w:hAnsi="SimSun" w:eastAsia="SimSun" w:cs="SimSun"/>
          <w:sz w:val="19"/>
          <w:szCs w:val="19"/>
        </w:rPr>
      </w:pPr>
      <w:r>
        <w:rPr>
          <w:rFonts w:ascii="SimSun" w:hAnsi="SimSun" w:eastAsia="SimSun" w:cs="SimSun"/>
          <w:sz w:val="19"/>
          <w:szCs w:val="19"/>
          <w:spacing w:val="8"/>
        </w:rPr>
        <w:t>的生产率表现，我们在下一节的增长核算分析中再来讨论。</w:t>
      </w:r>
    </w:p>
    <w:p>
      <w:pPr>
        <w:ind w:right="35" w:firstLine="449"/>
        <w:spacing w:before="121" w:line="350" w:lineRule="auto"/>
        <w:jc w:val="both"/>
        <w:rPr>
          <w:rFonts w:ascii="SimSun" w:hAnsi="SimSun" w:eastAsia="SimSun" w:cs="SimSun"/>
          <w:sz w:val="19"/>
          <w:szCs w:val="19"/>
        </w:rPr>
      </w:pPr>
      <w:r>
        <w:rPr>
          <w:rFonts w:ascii="SimSun" w:hAnsi="SimSun" w:eastAsia="SimSun" w:cs="SimSun"/>
          <w:sz w:val="19"/>
          <w:szCs w:val="19"/>
          <w:spacing w:val="12"/>
        </w:rPr>
        <w:t>表2-2分析了数字经济不同行业在国民经济中的贡献率，体现了</w:t>
      </w:r>
      <w:r>
        <w:rPr>
          <w:rFonts w:ascii="SimSun" w:hAnsi="SimSun" w:eastAsia="SimSun" w:cs="SimSun"/>
          <w:sz w:val="19"/>
          <w:szCs w:val="19"/>
          <w:spacing w:val="11"/>
        </w:rPr>
        <w:t xml:space="preserve"> </w:t>
      </w:r>
      <w:r>
        <w:rPr>
          <w:rFonts w:ascii="SimSun" w:hAnsi="SimSun" w:eastAsia="SimSun" w:cs="SimSun"/>
          <w:sz w:val="19"/>
          <w:szCs w:val="19"/>
          <w:spacing w:val="13"/>
        </w:rPr>
        <w:t>我国经济结构的变化。从生产法的角度核算</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等于各行业</w:t>
      </w:r>
      <w:r>
        <w:rPr>
          <w:rFonts w:ascii="SimSun" w:hAnsi="SimSun" w:eastAsia="SimSun" w:cs="SimSun"/>
          <w:sz w:val="19"/>
          <w:szCs w:val="19"/>
        </w:rPr>
        <w:t xml:space="preserve"> </w:t>
      </w:r>
      <w:r>
        <w:rPr>
          <w:rFonts w:ascii="SimSun" w:hAnsi="SimSun" w:eastAsia="SimSun" w:cs="SimSun"/>
          <w:sz w:val="19"/>
          <w:szCs w:val="19"/>
          <w:spacing w:val="10"/>
        </w:rPr>
        <w:t>创造的增加值之和。从表中可见，</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4"/>
          <w:w w:val="102"/>
        </w:rPr>
        <w:t xml:space="preserve"> </w:t>
      </w:r>
      <w:r>
        <w:rPr>
          <w:rFonts w:ascii="SimSun" w:hAnsi="SimSun" w:eastAsia="SimSun" w:cs="SimSun"/>
          <w:sz w:val="19"/>
          <w:szCs w:val="19"/>
          <w:spacing w:val="10"/>
        </w:rPr>
        <w:t>生产和集约使用部门是扩张最</w:t>
      </w:r>
      <w:r>
        <w:rPr>
          <w:rFonts w:ascii="SimSun" w:hAnsi="SimSun" w:eastAsia="SimSun" w:cs="SimSun"/>
          <w:sz w:val="19"/>
          <w:szCs w:val="19"/>
        </w:rPr>
        <w:t xml:space="preserve"> </w:t>
      </w:r>
      <w:r>
        <w:rPr>
          <w:rFonts w:ascii="SimSun" w:hAnsi="SimSun" w:eastAsia="SimSun" w:cs="SimSun"/>
          <w:sz w:val="19"/>
          <w:szCs w:val="19"/>
          <w:spacing w:val="14"/>
        </w:rPr>
        <w:t>快的部门，其增加值之和占名义</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57"/>
          <w:w w:val="101"/>
        </w:rPr>
        <w:t xml:space="preserve"> </w:t>
      </w:r>
      <w:r>
        <w:rPr>
          <w:rFonts w:ascii="SimSun" w:hAnsi="SimSun" w:eastAsia="SimSun" w:cs="SimSun"/>
          <w:sz w:val="19"/>
          <w:szCs w:val="19"/>
          <w:spacing w:val="14"/>
        </w:rPr>
        <w:t>的比重从加入世界贸易组织后</w:t>
      </w:r>
      <w:r>
        <w:rPr>
          <w:rFonts w:ascii="SimSun" w:hAnsi="SimSun" w:eastAsia="SimSun" w:cs="SimSun"/>
          <w:sz w:val="19"/>
          <w:szCs w:val="19"/>
        </w:rPr>
        <w:t xml:space="preserve"> </w:t>
      </w:r>
      <w:r>
        <w:rPr>
          <w:rFonts w:ascii="SimSun" w:hAnsi="SimSun" w:eastAsia="SimSun" w:cs="SimSun"/>
          <w:sz w:val="19"/>
          <w:szCs w:val="19"/>
          <w:spacing w:val="20"/>
        </w:rPr>
        <w:t>的40.8%增加到最近时期的46.3%。与此同时，农业增加值的比重</w:t>
      </w:r>
      <w:r>
        <w:rPr>
          <w:rFonts w:ascii="SimSun" w:hAnsi="SimSun" w:eastAsia="SimSun" w:cs="SimSun"/>
          <w:sz w:val="19"/>
          <w:szCs w:val="19"/>
          <w:spacing w:val="7"/>
        </w:rPr>
        <w:t xml:space="preserve"> </w:t>
      </w:r>
      <w:r>
        <w:rPr>
          <w:rFonts w:ascii="SimSun" w:hAnsi="SimSun" w:eastAsia="SimSun" w:cs="SimSun"/>
          <w:sz w:val="19"/>
          <w:szCs w:val="19"/>
          <w:spacing w:val="16"/>
        </w:rPr>
        <w:t>从14</w:t>
      </w:r>
      <w:r>
        <w:rPr>
          <w:rFonts w:ascii="SimSun" w:hAnsi="SimSun" w:eastAsia="SimSun" w:cs="SimSun"/>
          <w:sz w:val="19"/>
          <w:szCs w:val="19"/>
          <w:spacing w:val="-40"/>
        </w:rPr>
        <w:t xml:space="preserve"> </w:t>
      </w:r>
      <w:r>
        <w:rPr>
          <w:rFonts w:ascii="SimSun" w:hAnsi="SimSun" w:eastAsia="SimSun" w:cs="SimSun"/>
          <w:sz w:val="19"/>
          <w:szCs w:val="19"/>
          <w:spacing w:val="16"/>
        </w:rPr>
        <w:t>.</w:t>
      </w:r>
      <w:r>
        <w:rPr>
          <w:rFonts w:ascii="SimSun" w:hAnsi="SimSun" w:eastAsia="SimSun" w:cs="SimSun"/>
          <w:sz w:val="19"/>
          <w:szCs w:val="19"/>
          <w:spacing w:val="-54"/>
        </w:rPr>
        <w:t xml:space="preserve"> </w:t>
      </w:r>
      <w:r>
        <w:rPr>
          <w:rFonts w:ascii="SimSun" w:hAnsi="SimSun" w:eastAsia="SimSun" w:cs="SimSun"/>
          <w:sz w:val="19"/>
          <w:szCs w:val="19"/>
          <w:spacing w:val="16"/>
        </w:rPr>
        <w:t>3%降至7</w:t>
      </w:r>
      <w:r>
        <w:rPr>
          <w:rFonts w:ascii="SimSun" w:hAnsi="SimSun" w:eastAsia="SimSun" w:cs="SimSun"/>
          <w:sz w:val="19"/>
          <w:szCs w:val="19"/>
          <w:spacing w:val="-53"/>
        </w:rPr>
        <w:t xml:space="preserve"> </w:t>
      </w:r>
      <w:r>
        <w:rPr>
          <w:rFonts w:ascii="SimSun" w:hAnsi="SimSun" w:eastAsia="SimSun" w:cs="SimSun"/>
          <w:sz w:val="19"/>
          <w:szCs w:val="19"/>
          <w:spacing w:val="16"/>
        </w:rPr>
        <w:t>.</w:t>
      </w:r>
      <w:r>
        <w:rPr>
          <w:rFonts w:ascii="SimSun" w:hAnsi="SimSun" w:eastAsia="SimSun" w:cs="SimSun"/>
          <w:sz w:val="19"/>
          <w:szCs w:val="19"/>
          <w:spacing w:val="-54"/>
        </w:rPr>
        <w:t xml:space="preserve"> </w:t>
      </w:r>
      <w:r>
        <w:rPr>
          <w:rFonts w:ascii="SimSun" w:hAnsi="SimSun" w:eastAsia="SimSun" w:cs="SimSun"/>
          <w:sz w:val="19"/>
          <w:szCs w:val="19"/>
          <w:spacing w:val="16"/>
        </w:rPr>
        <w:t>5%,而非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6"/>
        </w:rPr>
        <w:t>集约使用制造业和服务业增加值的比</w:t>
      </w:r>
      <w:r>
        <w:rPr>
          <w:rFonts w:ascii="SimSun" w:hAnsi="SimSun" w:eastAsia="SimSun" w:cs="SimSun"/>
          <w:sz w:val="19"/>
          <w:szCs w:val="19"/>
        </w:rPr>
        <w:t xml:space="preserve"> </w:t>
      </w:r>
      <w:r>
        <w:rPr>
          <w:rFonts w:ascii="SimSun" w:hAnsi="SimSun" w:eastAsia="SimSun" w:cs="SimSun"/>
          <w:sz w:val="19"/>
          <w:szCs w:val="19"/>
          <w:spacing w:val="19"/>
        </w:rPr>
        <w:t>重维持在26%左右，剩下的采掘业、建筑业和非市场服务业增加值</w:t>
      </w:r>
      <w:r>
        <w:rPr>
          <w:rFonts w:ascii="SimSun" w:hAnsi="SimSun" w:eastAsia="SimSun" w:cs="SimSun"/>
          <w:sz w:val="19"/>
          <w:szCs w:val="19"/>
          <w:spacing w:val="1"/>
        </w:rPr>
        <w:t xml:space="preserve"> </w:t>
      </w:r>
      <w:r>
        <w:rPr>
          <w:rFonts w:ascii="SimSun" w:hAnsi="SimSun" w:eastAsia="SimSun" w:cs="SimSun"/>
          <w:sz w:val="19"/>
          <w:szCs w:val="19"/>
          <w:spacing w:val="20"/>
        </w:rPr>
        <w:t>的比重整体维持在19%左右。</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0"/>
        </w:rPr>
        <w:t xml:space="preserve"> </w:t>
      </w:r>
      <w:r>
        <w:rPr>
          <w:rFonts w:ascii="SimSun" w:hAnsi="SimSun" w:eastAsia="SimSun" w:cs="SimSun"/>
          <w:sz w:val="19"/>
          <w:szCs w:val="19"/>
          <w:spacing w:val="20"/>
        </w:rPr>
        <w:t>生产与使用部门的快速增长可能</w:t>
      </w:r>
      <w:r>
        <w:rPr>
          <w:rFonts w:ascii="SimSun" w:hAnsi="SimSun" w:eastAsia="SimSun" w:cs="SimSun"/>
          <w:sz w:val="19"/>
          <w:szCs w:val="19"/>
        </w:rPr>
        <w:t xml:space="preserve"> </w:t>
      </w:r>
      <w:r>
        <w:rPr>
          <w:rFonts w:ascii="SimSun" w:hAnsi="SimSun" w:eastAsia="SimSun" w:cs="SimSun"/>
          <w:sz w:val="19"/>
          <w:szCs w:val="19"/>
          <w:spacing w:val="10"/>
        </w:rPr>
        <w:t>反映了我国的要素禀赋特征。加入世界贸易组织后，中国</w:t>
      </w:r>
      <w:r>
        <w:rPr>
          <w:rFonts w:ascii="SimSun" w:hAnsi="SimSun" w:eastAsia="SimSun" w:cs="SimSun"/>
          <w:sz w:val="19"/>
          <w:szCs w:val="19"/>
          <w:spacing w:val="9"/>
        </w:rPr>
        <w:t>利用劳动力</w:t>
      </w:r>
      <w:r>
        <w:rPr>
          <w:rFonts w:ascii="SimSun" w:hAnsi="SimSun" w:eastAsia="SimSun" w:cs="SimSun"/>
          <w:sz w:val="19"/>
          <w:szCs w:val="19"/>
        </w:rPr>
        <w:t xml:space="preserve"> </w:t>
      </w:r>
      <w:r>
        <w:rPr>
          <w:rFonts w:ascii="SimSun" w:hAnsi="SimSun" w:eastAsia="SimSun" w:cs="SimSun"/>
          <w:sz w:val="19"/>
          <w:szCs w:val="19"/>
          <w:spacing w:val="9"/>
        </w:rPr>
        <w:t>优势——既有劳动力数量，又有劳动力质量的优势，通过外商直接投</w:t>
      </w:r>
      <w:r>
        <w:rPr>
          <w:rFonts w:ascii="SimSun" w:hAnsi="SimSun" w:eastAsia="SimSun" w:cs="SimSun"/>
          <w:sz w:val="19"/>
          <w:szCs w:val="19"/>
          <w:spacing w:val="16"/>
        </w:rPr>
        <w:t xml:space="preserve"> </w:t>
      </w:r>
      <w:r>
        <w:rPr>
          <w:rFonts w:ascii="SimSun" w:hAnsi="SimSun" w:eastAsia="SimSun" w:cs="SimSun"/>
          <w:sz w:val="19"/>
          <w:szCs w:val="19"/>
          <w:spacing w:val="9"/>
        </w:rPr>
        <w:t>资与引进中低技术含量的半导体标准零部件和设备生产，迅速融入全</w:t>
      </w:r>
      <w:r>
        <w:rPr>
          <w:rFonts w:ascii="SimSun" w:hAnsi="SimSun" w:eastAsia="SimSun" w:cs="SimSun"/>
          <w:sz w:val="19"/>
          <w:szCs w:val="19"/>
          <w:spacing w:val="17"/>
        </w:rPr>
        <w:t xml:space="preserve"> </w:t>
      </w:r>
      <w:r>
        <w:rPr>
          <w:rFonts w:ascii="SimSun" w:hAnsi="SimSun" w:eastAsia="SimSun" w:cs="SimSun"/>
          <w:sz w:val="19"/>
          <w:szCs w:val="19"/>
          <w:spacing w:val="9"/>
        </w:rPr>
        <w:t>球半导体生产链。企业通过边干边学的方式不断升级产品，逐步占领</w:t>
      </w:r>
      <w:r>
        <w:rPr>
          <w:rFonts w:ascii="SimSun" w:hAnsi="SimSun" w:eastAsia="SimSun" w:cs="SimSun"/>
          <w:sz w:val="19"/>
          <w:szCs w:val="19"/>
          <w:spacing w:val="17"/>
        </w:rPr>
        <w:t xml:space="preserve"> </w:t>
      </w:r>
      <w:r>
        <w:rPr>
          <w:rFonts w:ascii="SimSun" w:hAnsi="SimSun" w:eastAsia="SimSun" w:cs="SimSun"/>
          <w:sz w:val="19"/>
          <w:szCs w:val="19"/>
          <w:spacing w:val="9"/>
        </w:rPr>
        <w:t>全球低中端半导体制造业市场。与此同时，促进了中国经济结构的转</w:t>
      </w:r>
      <w:r>
        <w:rPr>
          <w:rFonts w:ascii="SimSun" w:hAnsi="SimSun" w:eastAsia="SimSun" w:cs="SimSun"/>
          <w:sz w:val="19"/>
          <w:szCs w:val="19"/>
          <w:spacing w:val="17"/>
        </w:rPr>
        <w:t xml:space="preserve"> </w:t>
      </w:r>
      <w:r>
        <w:rPr>
          <w:rFonts w:ascii="SimSun" w:hAnsi="SimSun" w:eastAsia="SimSun" w:cs="SimSun"/>
          <w:sz w:val="19"/>
          <w:szCs w:val="19"/>
          <w:spacing w:val="9"/>
        </w:rPr>
        <w:t>型。应该注意的是，政府通过诸如设立开发区这样的手段对高新技术</w:t>
      </w:r>
      <w:r>
        <w:rPr>
          <w:rFonts w:ascii="SimSun" w:hAnsi="SimSun" w:eastAsia="SimSun" w:cs="SimSun"/>
          <w:sz w:val="19"/>
          <w:szCs w:val="19"/>
          <w:spacing w:val="17"/>
        </w:rPr>
        <w:t xml:space="preserve"> </w:t>
      </w:r>
      <w:r>
        <w:rPr>
          <w:rFonts w:ascii="SimSun" w:hAnsi="SimSun" w:eastAsia="SimSun" w:cs="SimSun"/>
          <w:sz w:val="19"/>
          <w:szCs w:val="19"/>
          <w:spacing w:val="18"/>
        </w:rPr>
        <w:t>产业进行扶持在一定程度上也促进了</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18"/>
        </w:rPr>
        <w:t>生产和使</w:t>
      </w:r>
      <w:r>
        <w:rPr>
          <w:rFonts w:ascii="SimSun" w:hAnsi="SimSun" w:eastAsia="SimSun" w:cs="SimSun"/>
          <w:sz w:val="19"/>
          <w:szCs w:val="19"/>
          <w:spacing w:val="17"/>
        </w:rPr>
        <w:t>用部门的快速增</w:t>
      </w:r>
    </w:p>
    <w:p>
      <w:pPr>
        <w:spacing w:line="219" w:lineRule="auto"/>
        <w:rPr>
          <w:rFonts w:ascii="SimSun" w:hAnsi="SimSun" w:eastAsia="SimSun" w:cs="SimSun"/>
          <w:sz w:val="19"/>
          <w:szCs w:val="19"/>
        </w:rPr>
      </w:pPr>
      <w:r>
        <w:rPr>
          <w:rFonts w:ascii="SimSun" w:hAnsi="SimSun" w:eastAsia="SimSun" w:cs="SimSun"/>
          <w:sz w:val="19"/>
          <w:szCs w:val="19"/>
          <w:spacing w:val="9"/>
        </w:rPr>
        <w:t>长。我们更关心的是，这种“扶持”是否有利于</w:t>
      </w:r>
      <w:r>
        <w:rPr>
          <w:rFonts w:ascii="SimSun" w:hAnsi="SimSun" w:eastAsia="SimSun" w:cs="SimSun"/>
          <w:sz w:val="19"/>
          <w:szCs w:val="19"/>
          <w:spacing w:val="8"/>
        </w:rPr>
        <w:t>经济效率的提升。</w:t>
      </w:r>
    </w:p>
    <w:p>
      <w:pPr>
        <w:pStyle w:val="BodyText"/>
        <w:spacing w:line="443" w:lineRule="auto"/>
        <w:rPr/>
      </w:pPr>
      <w:r/>
    </w:p>
    <w:p>
      <w:pPr>
        <w:ind w:left="3"/>
        <w:spacing w:before="75" w:line="222" w:lineRule="auto"/>
        <w:rPr>
          <w:rFonts w:ascii="SimHei" w:hAnsi="SimHei" w:eastAsia="SimHei" w:cs="SimHei"/>
          <w:sz w:val="23"/>
          <w:szCs w:val="23"/>
        </w:rPr>
      </w:pPr>
      <w:r>
        <w:rPr>
          <w:rFonts w:ascii="SimHei" w:hAnsi="SimHei" w:eastAsia="SimHei" w:cs="SimHei"/>
          <w:sz w:val="23"/>
          <w:szCs w:val="23"/>
          <w:b/>
          <w:bCs/>
          <w:spacing w:val="6"/>
        </w:rPr>
        <w:t>要素增长与结构变化</w:t>
      </w:r>
    </w:p>
    <w:p>
      <w:pPr>
        <w:pStyle w:val="BodyText"/>
        <w:spacing w:line="381" w:lineRule="auto"/>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7"/>
        </w:rPr>
        <w:t>现在，我们以数字经济的视角，从生产要素投入的侧面观察中</w:t>
      </w:r>
    </w:p>
    <w:p>
      <w:pPr>
        <w:spacing w:line="219" w:lineRule="auto"/>
        <w:sectPr>
          <w:headerReference w:type="default" r:id="rId112"/>
          <w:pgSz w:w="7330" w:h="12480"/>
          <w:pgMar w:top="509" w:right="609" w:bottom="400" w:left="650" w:header="335" w:footer="0" w:gutter="0"/>
        </w:sectPr>
        <w:rPr>
          <w:rFonts w:ascii="SimSun" w:hAnsi="SimSun" w:eastAsia="SimSun" w:cs="SimSun"/>
          <w:sz w:val="19"/>
          <w:szCs w:val="19"/>
        </w:rPr>
      </w:pPr>
    </w:p>
    <w:p>
      <w:pPr>
        <w:pStyle w:val="BodyText"/>
        <w:spacing w:line="248" w:lineRule="auto"/>
        <w:rPr/>
      </w:pPr>
      <w:r>
        <w:pict>
          <v:shape id="_x0000_s28" style="position:absolute;margin-left:22.001pt;margin-top:332.748pt;mso-position-vertical-relative:page;mso-position-horizontal-relative:page;width:304.05pt;height:0.5pt;z-index:252593152;" o:allowincell="f" filled="false" strokecolor="#000000" strokeweight="0.50pt" coordsize="6080,10" coordorigin="0,0" path="m0,5l2379,5m2379,5l3599,5m3599,5l4809,5m4809,5l6080,5e">
            <v:stroke joinstyle="miter" miterlimit="10"/>
          </v:shape>
        </w:pict>
      </w:r>
      <w:r>
        <w:pict>
          <v:shape id="_x0000_s30" style="position:absolute;margin-left:22.001pt;margin-top:348.248pt;mso-position-vertical-relative:page;mso-position-horizontal-relative:page;width:304.05pt;height:0.5pt;z-index:252594176;" o:allowincell="f" filled="false" strokecolor="#000000" strokeweight="0.50pt" coordsize="6080,10" coordorigin="0,0" path="m0,5l2379,5m0,5l1319,5m1319,5l2379,5m2379,5l3599,5m3599,5l4809,5m4809,5l6080,5e">
            <v:stroke joinstyle="miter" miterlimit="10"/>
          </v:shape>
        </w:pict>
      </w:r>
      <w:r/>
    </w:p>
    <w:p>
      <w:pPr>
        <w:pStyle w:val="BodyText"/>
        <w:spacing w:line="248" w:lineRule="auto"/>
        <w:rPr/>
      </w:pPr>
      <w:r/>
    </w:p>
    <w:p>
      <w:pPr>
        <w:pStyle w:val="BodyText"/>
        <w:spacing w:line="248" w:lineRule="auto"/>
        <w:rPr/>
      </w:pPr>
      <w:r/>
    </w:p>
    <w:p>
      <w:pPr>
        <w:pStyle w:val="BodyText"/>
        <w:spacing w:line="249" w:lineRule="auto"/>
        <w:rPr/>
      </w:pPr>
      <w:r/>
    </w:p>
    <w:p>
      <w:pPr>
        <w:ind w:left="20"/>
        <w:spacing w:before="68" w:line="308" w:lineRule="auto"/>
        <w:jc w:val="both"/>
        <w:rPr>
          <w:rFonts w:ascii="SimSun" w:hAnsi="SimSun" w:eastAsia="SimSun" w:cs="SimSun"/>
          <w:sz w:val="21"/>
          <w:szCs w:val="21"/>
        </w:rPr>
      </w:pPr>
      <w:r>
        <w:rPr>
          <w:rFonts w:ascii="SimSun" w:hAnsi="SimSun" w:eastAsia="SimSun" w:cs="SimSun"/>
          <w:sz w:val="21"/>
          <w:szCs w:val="21"/>
          <w:spacing w:val="-6"/>
        </w:rPr>
        <w:t>国经济增长和结构变化。首先，让我们通过表2-3观察中国</w:t>
      </w:r>
      <w:r>
        <w:rPr>
          <w:rFonts w:ascii="SimSun" w:hAnsi="SimSun" w:eastAsia="SimSun" w:cs="SimSun"/>
          <w:sz w:val="21"/>
          <w:szCs w:val="21"/>
          <w:spacing w:val="-7"/>
        </w:rPr>
        <w:t>数字与非 </w:t>
      </w:r>
      <w:r>
        <w:rPr>
          <w:rFonts w:ascii="SimSun" w:hAnsi="SimSun" w:eastAsia="SimSun" w:cs="SimSun"/>
          <w:sz w:val="21"/>
          <w:szCs w:val="21"/>
          <w:spacing w:val="-11"/>
        </w:rPr>
        <w:t>数字经济部门的就业增长情况。从整个时期</w:t>
      </w:r>
      <w:r>
        <w:rPr>
          <w:rFonts w:ascii="SimSun" w:hAnsi="SimSun" w:eastAsia="SimSun" w:cs="SimSun"/>
          <w:sz w:val="21"/>
          <w:szCs w:val="21"/>
          <w:spacing w:val="-12"/>
        </w:rPr>
        <w:t>来看，</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2"/>
        </w:rPr>
        <w:t>ICT </w:t>
      </w:r>
      <w:r>
        <w:rPr>
          <w:rFonts w:ascii="SimSun" w:hAnsi="SimSun" w:eastAsia="SimSun" w:cs="SimSun"/>
          <w:sz w:val="21"/>
          <w:szCs w:val="21"/>
          <w:spacing w:val="-12"/>
        </w:rPr>
        <w:t>生产行业就业</w:t>
      </w:r>
      <w:r>
        <w:rPr>
          <w:rFonts w:ascii="SimSun" w:hAnsi="SimSun" w:eastAsia="SimSun" w:cs="SimSun"/>
          <w:sz w:val="21"/>
          <w:szCs w:val="21"/>
        </w:rPr>
        <w:t xml:space="preserve">  </w:t>
      </w:r>
      <w:r>
        <w:rPr>
          <w:rFonts w:ascii="SimSun" w:hAnsi="SimSun" w:eastAsia="SimSun" w:cs="SimSun"/>
          <w:sz w:val="21"/>
          <w:szCs w:val="21"/>
          <w:spacing w:val="-3"/>
        </w:rPr>
        <w:t>增长最快，年平均增长率达到4.28%,远高于其他制造</w:t>
      </w:r>
      <w:r>
        <w:rPr>
          <w:rFonts w:ascii="SimSun" w:hAnsi="SimSun" w:eastAsia="SimSun" w:cs="SimSun"/>
          <w:sz w:val="21"/>
          <w:szCs w:val="21"/>
          <w:spacing w:val="-4"/>
        </w:rPr>
        <w:t>业，甚至服务</w:t>
      </w:r>
      <w:r>
        <w:rPr>
          <w:rFonts w:ascii="SimSun" w:hAnsi="SimSun" w:eastAsia="SimSun" w:cs="SimSun"/>
          <w:sz w:val="21"/>
          <w:szCs w:val="21"/>
        </w:rPr>
        <w:t xml:space="preserve">  </w:t>
      </w:r>
      <w:r>
        <w:rPr>
          <w:rFonts w:ascii="SimSun" w:hAnsi="SimSun" w:eastAsia="SimSun" w:cs="SimSun"/>
          <w:sz w:val="21"/>
          <w:szCs w:val="21"/>
          <w:spacing w:val="-9"/>
        </w:rPr>
        <w:t>业。从各个时期来看，</w:t>
      </w:r>
      <w:r>
        <w:rPr>
          <w:rFonts w:ascii="Times New Roman" w:hAnsi="Times New Roman" w:eastAsia="Times New Roman" w:cs="Times New Roman"/>
          <w:sz w:val="21"/>
          <w:szCs w:val="21"/>
          <w:spacing w:val="-9"/>
        </w:rPr>
        <w:t>ICT </w:t>
      </w:r>
      <w:r>
        <w:rPr>
          <w:rFonts w:ascii="SimSun" w:hAnsi="SimSun" w:eastAsia="SimSun" w:cs="SimSun"/>
          <w:sz w:val="21"/>
          <w:szCs w:val="21"/>
          <w:spacing w:val="-9"/>
        </w:rPr>
        <w:t>生产行业就业增长最快的时期是中国加入</w:t>
      </w:r>
      <w:r>
        <w:rPr>
          <w:rFonts w:ascii="SimSun" w:hAnsi="SimSun" w:eastAsia="SimSun" w:cs="SimSun"/>
          <w:sz w:val="21"/>
          <w:szCs w:val="21"/>
          <w:spacing w:val="2"/>
        </w:rPr>
        <w:t xml:space="preserve">  </w:t>
      </w:r>
      <w:r>
        <w:rPr>
          <w:rFonts w:ascii="SimSun" w:hAnsi="SimSun" w:eastAsia="SimSun" w:cs="SimSun"/>
          <w:sz w:val="21"/>
          <w:szCs w:val="21"/>
          <w:spacing w:val="-11"/>
        </w:rPr>
        <w:t>世界贸易组织之后的“黄金期”。我们看到，在危机后早期，除“保</w:t>
      </w:r>
      <w:r>
        <w:rPr>
          <w:rFonts w:ascii="SimSun" w:hAnsi="SimSun" w:eastAsia="SimSun" w:cs="SimSun"/>
          <w:sz w:val="21"/>
          <w:szCs w:val="21"/>
          <w:spacing w:val="7"/>
        </w:rPr>
        <w:t xml:space="preserve">  </w:t>
      </w:r>
      <w:r>
        <w:rPr>
          <w:rFonts w:ascii="SimSun" w:hAnsi="SimSun" w:eastAsia="SimSun" w:cs="SimSun"/>
          <w:sz w:val="21"/>
          <w:szCs w:val="21"/>
          <w:spacing w:val="-3"/>
        </w:rPr>
        <w:t>增长”政策引致的建筑业就业快速增长外，这个部门以及</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集约</w:t>
      </w:r>
      <w:r>
        <w:rPr>
          <w:rFonts w:ascii="SimSun" w:hAnsi="SimSun" w:eastAsia="SimSun" w:cs="SimSun"/>
          <w:sz w:val="21"/>
          <w:szCs w:val="21"/>
          <w:spacing w:val="6"/>
        </w:rPr>
        <w:t xml:space="preserve">  </w:t>
      </w:r>
      <w:r>
        <w:rPr>
          <w:rFonts w:ascii="SimSun" w:hAnsi="SimSun" w:eastAsia="SimSun" w:cs="SimSun"/>
          <w:sz w:val="21"/>
          <w:szCs w:val="21"/>
          <w:spacing w:val="-10"/>
        </w:rPr>
        <w:t>使用制造业和服务业的就业增长也是很强劲</w:t>
      </w:r>
      <w:r>
        <w:rPr>
          <w:rFonts w:ascii="SimSun" w:hAnsi="SimSun" w:eastAsia="SimSun" w:cs="SimSun"/>
          <w:sz w:val="21"/>
          <w:szCs w:val="21"/>
          <w:spacing w:val="-11"/>
        </w:rPr>
        <w:t>的。在危机后晚期，旨在</w:t>
      </w:r>
      <w:r>
        <w:rPr>
          <w:rFonts w:ascii="SimSun" w:hAnsi="SimSun" w:eastAsia="SimSun" w:cs="SimSun"/>
          <w:sz w:val="21"/>
          <w:szCs w:val="21"/>
        </w:rPr>
        <w:t xml:space="preserve">  </w:t>
      </w:r>
      <w:r>
        <w:rPr>
          <w:rFonts w:ascii="SimSun" w:hAnsi="SimSun" w:eastAsia="SimSun" w:cs="SimSun"/>
          <w:sz w:val="21"/>
          <w:szCs w:val="21"/>
          <w:spacing w:val="-10"/>
        </w:rPr>
        <w:t>调整产业结构的供给侧改革通过优先支持国</w:t>
      </w:r>
      <w:r>
        <w:rPr>
          <w:rFonts w:ascii="SimSun" w:hAnsi="SimSun" w:eastAsia="SimSun" w:cs="SimSun"/>
          <w:sz w:val="21"/>
          <w:szCs w:val="21"/>
          <w:spacing w:val="-11"/>
        </w:rPr>
        <w:t>家选择的部门，增加了劳</w:t>
      </w:r>
      <w:r>
        <w:rPr>
          <w:rFonts w:ascii="SimSun" w:hAnsi="SimSun" w:eastAsia="SimSun" w:cs="SimSun"/>
          <w:sz w:val="21"/>
          <w:szCs w:val="21"/>
        </w:rPr>
        <w:t xml:space="preserve">  </w:t>
      </w:r>
      <w:r>
        <w:rPr>
          <w:rFonts w:ascii="SimSun" w:hAnsi="SimSun" w:eastAsia="SimSun" w:cs="SimSun"/>
          <w:sz w:val="21"/>
          <w:szCs w:val="21"/>
          <w:spacing w:val="-7"/>
        </w:rPr>
        <w:t>动密集型部门的成本，制造业就业增长与危机后早期</w:t>
      </w:r>
      <w:r>
        <w:rPr>
          <w:rFonts w:ascii="SimSun" w:hAnsi="SimSun" w:eastAsia="SimSun" w:cs="SimSun"/>
          <w:sz w:val="21"/>
          <w:szCs w:val="21"/>
          <w:spacing w:val="-8"/>
        </w:rPr>
        <w:t>相比急剧下降，</w:t>
      </w:r>
      <w:r>
        <w:rPr>
          <w:rFonts w:ascii="SimSun" w:hAnsi="SimSun" w:eastAsia="SimSun" w:cs="SimSun"/>
          <w:sz w:val="21"/>
          <w:szCs w:val="21"/>
        </w:rPr>
        <w:t xml:space="preserve"> </w:t>
      </w:r>
      <w:r>
        <w:rPr>
          <w:rFonts w:ascii="SimSun" w:hAnsi="SimSun" w:eastAsia="SimSun" w:cs="SimSun"/>
          <w:sz w:val="21"/>
          <w:szCs w:val="21"/>
          <w:spacing w:val="-13"/>
        </w:rPr>
        <w:t>迫使更多的劳动力转向服务业。然而，就是在这种情况下，</w:t>
      </w:r>
      <w:r>
        <w:rPr>
          <w:rFonts w:ascii="SimSun" w:hAnsi="SimSun" w:eastAsia="SimSun" w:cs="SimSun"/>
          <w:sz w:val="21"/>
          <w:szCs w:val="21"/>
          <w:spacing w:val="-10"/>
        </w:rPr>
        <w:t xml:space="preserve"> </w:t>
      </w:r>
      <w:r>
        <w:rPr>
          <w:rFonts w:ascii="SimSun" w:hAnsi="SimSun" w:eastAsia="SimSun" w:cs="SimSun"/>
          <w:sz w:val="21"/>
          <w:szCs w:val="21"/>
          <w:spacing w:val="-13"/>
        </w:rPr>
        <w:t>ICT 生产</w:t>
      </w:r>
      <w:r>
        <w:rPr>
          <w:rFonts w:ascii="SimSun" w:hAnsi="SimSun" w:eastAsia="SimSun" w:cs="SimSun"/>
          <w:sz w:val="21"/>
          <w:szCs w:val="21"/>
        </w:rPr>
        <w:t xml:space="preserve">  </w:t>
      </w:r>
      <w:r>
        <w:rPr>
          <w:rFonts w:ascii="SimSun" w:hAnsi="SimSun" w:eastAsia="SimSun" w:cs="SimSun"/>
          <w:sz w:val="21"/>
          <w:szCs w:val="21"/>
          <w:spacing w:val="-11"/>
        </w:rPr>
        <w:t>行业的就业仍然出人意料地表现出强劲的增长势</w:t>
      </w:r>
      <w:r>
        <w:rPr>
          <w:rFonts w:ascii="SimSun" w:hAnsi="SimSun" w:eastAsia="SimSun" w:cs="SimSun"/>
          <w:sz w:val="21"/>
          <w:szCs w:val="21"/>
          <w:spacing w:val="-12"/>
        </w:rPr>
        <w:t>头。</w:t>
      </w:r>
    </w:p>
    <w:p>
      <w:pPr>
        <w:pStyle w:val="BodyText"/>
        <w:spacing w:line="291" w:lineRule="auto"/>
        <w:rPr/>
      </w:pPr>
      <w:r/>
    </w:p>
    <w:p>
      <w:pPr>
        <w:ind w:left="992"/>
        <w:spacing w:before="52" w:line="222" w:lineRule="auto"/>
        <w:rPr>
          <w:rFonts w:ascii="SimHei" w:hAnsi="SimHei" w:eastAsia="SimHei" w:cs="SimHei"/>
          <w:sz w:val="16"/>
          <w:szCs w:val="16"/>
        </w:rPr>
      </w:pPr>
      <w:r>
        <w:rPr>
          <w:rFonts w:ascii="SimHei" w:hAnsi="SimHei" w:eastAsia="SimHei" w:cs="SimHei"/>
          <w:sz w:val="16"/>
          <w:szCs w:val="16"/>
          <w:b/>
          <w:bCs/>
          <w:spacing w:val="14"/>
        </w:rPr>
        <w:t>表</w:t>
      </w:r>
      <w:r>
        <w:rPr>
          <w:rFonts w:ascii="SimHei" w:hAnsi="SimHei" w:eastAsia="SimHei" w:cs="SimHei"/>
          <w:sz w:val="16"/>
          <w:szCs w:val="16"/>
          <w:spacing w:val="-37"/>
        </w:rPr>
        <w:t xml:space="preserve"> </w:t>
      </w:r>
      <w:r>
        <w:rPr>
          <w:rFonts w:ascii="SimHei" w:hAnsi="SimHei" w:eastAsia="SimHei" w:cs="SimHei"/>
          <w:sz w:val="16"/>
          <w:szCs w:val="16"/>
          <w:b/>
          <w:bCs/>
          <w:spacing w:val="14"/>
        </w:rPr>
        <w:t>2</w:t>
      </w:r>
      <w:r>
        <w:rPr>
          <w:rFonts w:ascii="SimHei" w:hAnsi="SimHei" w:eastAsia="SimHei" w:cs="SimHei"/>
          <w:sz w:val="16"/>
          <w:szCs w:val="16"/>
          <w:spacing w:val="-40"/>
        </w:rPr>
        <w:t xml:space="preserve"> </w:t>
      </w:r>
      <w:r>
        <w:rPr>
          <w:rFonts w:ascii="SimHei" w:hAnsi="SimHei" w:eastAsia="SimHei" w:cs="SimHei"/>
          <w:sz w:val="16"/>
          <w:szCs w:val="16"/>
          <w:b/>
          <w:bCs/>
          <w:spacing w:val="14"/>
        </w:rPr>
        <w:t>-</w:t>
      </w:r>
      <w:r>
        <w:rPr>
          <w:rFonts w:ascii="SimHei" w:hAnsi="SimHei" w:eastAsia="SimHei" w:cs="SimHei"/>
          <w:sz w:val="16"/>
          <w:szCs w:val="16"/>
          <w:spacing w:val="-36"/>
        </w:rPr>
        <w:t xml:space="preserve"> </w:t>
      </w:r>
      <w:r>
        <w:rPr>
          <w:rFonts w:ascii="SimHei" w:hAnsi="SimHei" w:eastAsia="SimHei" w:cs="SimHei"/>
          <w:sz w:val="16"/>
          <w:szCs w:val="16"/>
          <w:b/>
          <w:bCs/>
          <w:spacing w:val="14"/>
        </w:rPr>
        <w:t>3</w:t>
      </w:r>
      <w:r>
        <w:rPr>
          <w:rFonts w:ascii="SimHei" w:hAnsi="SimHei" w:eastAsia="SimHei" w:cs="SimHei"/>
          <w:sz w:val="16"/>
          <w:szCs w:val="16"/>
          <w:spacing w:val="8"/>
        </w:rPr>
        <w:t xml:space="preserve">  </w:t>
      </w:r>
      <w:r>
        <w:rPr>
          <w:rFonts w:ascii="SimHei" w:hAnsi="SimHei" w:eastAsia="SimHei" w:cs="SimHei"/>
          <w:sz w:val="16"/>
          <w:szCs w:val="16"/>
          <w:b/>
          <w:bCs/>
          <w:spacing w:val="14"/>
        </w:rPr>
        <w:t>中国就业人数年平均增长率：数字经济视角</w:t>
      </w:r>
    </w:p>
    <w:p>
      <w:pPr>
        <w:ind w:left="5439"/>
        <w:spacing w:before="201" w:line="220" w:lineRule="auto"/>
        <w:rPr>
          <w:rFonts w:ascii="SimSun" w:hAnsi="SimSun" w:eastAsia="SimSun" w:cs="SimSun"/>
          <w:sz w:val="16"/>
          <w:szCs w:val="16"/>
        </w:rPr>
      </w:pPr>
      <w:r>
        <w:rPr>
          <w:rFonts w:ascii="SimSun" w:hAnsi="SimSun" w:eastAsia="SimSun" w:cs="SimSun"/>
          <w:sz w:val="16"/>
          <w:szCs w:val="16"/>
          <w:spacing w:val="5"/>
        </w:rPr>
        <w:t>单位：%</w:t>
      </w:r>
    </w:p>
    <w:p>
      <w:pPr>
        <w:spacing w:line="74" w:lineRule="exact"/>
        <w:rPr/>
      </w:pPr>
      <w:r/>
    </w:p>
    <w:p>
      <w:pPr>
        <w:spacing w:line="74" w:lineRule="exact"/>
        <w:sectPr>
          <w:headerReference w:type="default" r:id="rId113"/>
          <w:footerReference w:type="default" r:id="rId114"/>
          <w:pgSz w:w="7330" w:h="12480"/>
          <w:pgMar w:top="776" w:right="785" w:bottom="1364" w:left="440" w:header="613" w:footer="1079" w:gutter="0"/>
          <w:cols w:equalWidth="0" w:num="1">
            <w:col w:w="6105" w:space="0"/>
          </w:cols>
        </w:sectPr>
        <w:rPr/>
      </w:pPr>
    </w:p>
    <w:p>
      <w:pPr>
        <w:ind w:left="1292"/>
        <w:spacing w:before="32" w:line="187" w:lineRule="auto"/>
        <w:rPr>
          <w:rFonts w:ascii="SimSun" w:hAnsi="SimSun" w:eastAsia="SimSun" w:cs="SimSun"/>
          <w:sz w:val="16"/>
          <w:szCs w:val="16"/>
        </w:rPr>
      </w:pPr>
      <w:r>
        <w:rPr>
          <w:rFonts w:ascii="SimSun" w:hAnsi="SimSun" w:eastAsia="SimSun" w:cs="SimSun"/>
          <w:sz w:val="16"/>
          <w:szCs w:val="16"/>
          <w:b/>
          <w:bCs/>
          <w:spacing w:val="-3"/>
        </w:rPr>
        <w:t>2001—2007年</w:t>
      </w:r>
    </w:p>
    <w:p>
      <w:pPr>
        <w:pStyle w:val="BodyText"/>
        <w:spacing w:line="14" w:lineRule="auto"/>
        <w:rPr>
          <w:sz w:val="2"/>
        </w:rPr>
      </w:pPr>
      <w:r>
        <w:rPr>
          <w:sz w:val="2"/>
          <w:szCs w:val="2"/>
        </w:rPr>
        <w:br w:type="column"/>
      </w:r>
    </w:p>
    <w:p>
      <w:pPr>
        <w:spacing w:before="30" w:line="187" w:lineRule="auto"/>
        <w:rPr>
          <w:rFonts w:ascii="SimSun" w:hAnsi="SimSun" w:eastAsia="SimSun" w:cs="SimSun"/>
          <w:sz w:val="16"/>
          <w:szCs w:val="16"/>
        </w:rPr>
      </w:pPr>
      <w:r>
        <w:rPr>
          <w:rFonts w:ascii="SimSun" w:hAnsi="SimSun" w:eastAsia="SimSun" w:cs="SimSun"/>
          <w:sz w:val="16"/>
          <w:szCs w:val="16"/>
          <w:b/>
          <w:bCs/>
          <w:spacing w:val="-3"/>
        </w:rPr>
        <w:t>2007—2012年</w:t>
      </w:r>
    </w:p>
    <w:p>
      <w:pPr>
        <w:pStyle w:val="BodyText"/>
        <w:spacing w:line="14" w:lineRule="auto"/>
        <w:rPr>
          <w:sz w:val="2"/>
        </w:rPr>
      </w:pPr>
      <w:r>
        <w:rPr>
          <w:sz w:val="2"/>
          <w:szCs w:val="2"/>
        </w:rPr>
        <w:br w:type="column"/>
      </w:r>
    </w:p>
    <w:p>
      <w:pPr>
        <w:spacing w:before="30" w:line="187" w:lineRule="auto"/>
        <w:rPr>
          <w:rFonts w:ascii="SimSun" w:hAnsi="SimSun" w:eastAsia="SimSun" w:cs="SimSun"/>
          <w:sz w:val="16"/>
          <w:szCs w:val="16"/>
        </w:rPr>
      </w:pPr>
      <w:r>
        <w:rPr>
          <w:rFonts w:ascii="SimSun" w:hAnsi="SimSun" w:eastAsia="SimSun" w:cs="SimSun"/>
          <w:sz w:val="16"/>
          <w:szCs w:val="16"/>
          <w:b/>
          <w:bCs/>
          <w:spacing w:val="-3"/>
        </w:rPr>
        <w:t>2012—2018年</w:t>
      </w:r>
    </w:p>
    <w:p>
      <w:pPr>
        <w:pStyle w:val="BodyText"/>
        <w:spacing w:line="14" w:lineRule="auto"/>
        <w:rPr>
          <w:sz w:val="2"/>
        </w:rPr>
      </w:pPr>
      <w:r>
        <w:rPr>
          <w:sz w:val="2"/>
          <w:szCs w:val="2"/>
        </w:rPr>
        <w:br w:type="column"/>
      </w:r>
    </w:p>
    <w:p>
      <w:pPr>
        <w:spacing w:before="33" w:line="184" w:lineRule="auto"/>
        <w:rPr>
          <w:rFonts w:ascii="SimSun" w:hAnsi="SimSun" w:eastAsia="SimSun" w:cs="SimSun"/>
          <w:sz w:val="16"/>
          <w:szCs w:val="16"/>
        </w:rPr>
      </w:pPr>
      <w:r>
        <w:rPr>
          <w:rFonts w:ascii="SimSun" w:hAnsi="SimSun" w:eastAsia="SimSun" w:cs="SimSun"/>
          <w:sz w:val="16"/>
          <w:szCs w:val="16"/>
          <w:spacing w:val="-1"/>
        </w:rPr>
        <w:t>2001—2018年</w:t>
      </w:r>
    </w:p>
    <w:p>
      <w:pPr>
        <w:spacing w:line="184" w:lineRule="auto"/>
        <w:sectPr>
          <w:type w:val="continuous"/>
          <w:pgSz w:w="7330" w:h="12480"/>
          <w:pgMar w:top="776" w:right="785" w:bottom="1364" w:left="440" w:header="613" w:footer="1079" w:gutter="0"/>
          <w:cols w:equalWidth="0" w:num="4">
            <w:col w:w="2413" w:space="100"/>
            <w:col w:w="1110" w:space="100"/>
            <w:col w:w="1138" w:space="100"/>
            <w:col w:w="1145" w:space="0"/>
          </w:cols>
        </w:sectPr>
        <w:rPr>
          <w:rFonts w:ascii="SimSun" w:hAnsi="SimSun" w:eastAsia="SimSun" w:cs="SimSun"/>
          <w:sz w:val="16"/>
          <w:szCs w:val="16"/>
        </w:rPr>
      </w:pPr>
    </w:p>
    <w:p>
      <w:pPr>
        <w:spacing w:line="168" w:lineRule="exact"/>
        <w:rPr/>
      </w:pPr>
      <w:r/>
    </w:p>
    <w:tbl>
      <w:tblPr>
        <w:tblStyle w:val="TableNormal"/>
        <w:tblW w:w="5505" w:type="dxa"/>
        <w:tblInd w:w="1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36"/>
        <w:gridCol w:w="1052"/>
        <w:gridCol w:w="1175"/>
        <w:gridCol w:w="1225"/>
        <w:gridCol w:w="817"/>
      </w:tblGrid>
      <w:tr>
        <w:trPr>
          <w:trHeight w:val="236" w:hRule="atLeast"/>
        </w:trPr>
        <w:tc>
          <w:tcPr>
            <w:tcW w:w="1236" w:type="dxa"/>
            <w:vAlign w:val="top"/>
          </w:tcPr>
          <w:p>
            <w:pPr>
              <w:pStyle w:val="TableText"/>
              <w:ind w:left="2"/>
              <w:spacing w:line="220" w:lineRule="auto"/>
              <w:rPr>
                <w:sz w:val="16"/>
                <w:szCs w:val="16"/>
              </w:rPr>
            </w:pPr>
            <w:r>
              <w:rPr>
                <w:sz w:val="16"/>
                <w:szCs w:val="16"/>
                <w:b/>
                <w:bCs/>
                <w:spacing w:val="-3"/>
              </w:rPr>
              <w:t>整体经济</w:t>
            </w:r>
          </w:p>
        </w:tc>
        <w:tc>
          <w:tcPr>
            <w:tcW w:w="1052" w:type="dxa"/>
            <w:vAlign w:val="top"/>
          </w:tcPr>
          <w:p>
            <w:pPr>
              <w:pStyle w:val="TableText"/>
              <w:ind w:left="324"/>
              <w:spacing w:before="43" w:line="183" w:lineRule="auto"/>
              <w:rPr>
                <w:sz w:val="16"/>
                <w:szCs w:val="16"/>
              </w:rPr>
            </w:pPr>
            <w:r>
              <w:rPr>
                <w:sz w:val="16"/>
                <w:szCs w:val="16"/>
                <w:spacing w:val="-2"/>
              </w:rPr>
              <w:t>0.63</w:t>
            </w:r>
          </w:p>
        </w:tc>
        <w:tc>
          <w:tcPr>
            <w:tcW w:w="1175" w:type="dxa"/>
            <w:vAlign w:val="top"/>
          </w:tcPr>
          <w:p>
            <w:pPr>
              <w:pStyle w:val="TableText"/>
              <w:ind w:left="412"/>
              <w:spacing w:before="43" w:line="183" w:lineRule="auto"/>
              <w:rPr>
                <w:sz w:val="16"/>
                <w:szCs w:val="16"/>
              </w:rPr>
            </w:pPr>
            <w:r>
              <w:rPr>
                <w:sz w:val="16"/>
                <w:szCs w:val="16"/>
                <w:spacing w:val="-2"/>
              </w:rPr>
              <w:t>0.37</w:t>
            </w:r>
          </w:p>
        </w:tc>
        <w:tc>
          <w:tcPr>
            <w:tcW w:w="1225" w:type="dxa"/>
            <w:vAlign w:val="top"/>
          </w:tcPr>
          <w:p>
            <w:pPr>
              <w:pStyle w:val="TableText"/>
              <w:ind w:left="447"/>
              <w:spacing w:before="42" w:line="184" w:lineRule="auto"/>
              <w:rPr>
                <w:sz w:val="16"/>
                <w:szCs w:val="16"/>
              </w:rPr>
            </w:pPr>
            <w:r>
              <w:rPr>
                <w:sz w:val="16"/>
                <w:szCs w:val="16"/>
                <w:spacing w:val="-2"/>
              </w:rPr>
              <w:t>0.11</w:t>
            </w:r>
          </w:p>
        </w:tc>
        <w:tc>
          <w:tcPr>
            <w:tcW w:w="817" w:type="dxa"/>
            <w:vAlign w:val="top"/>
          </w:tcPr>
          <w:p>
            <w:pPr>
              <w:pStyle w:val="TableText"/>
              <w:ind w:left="461"/>
              <w:spacing w:before="43" w:line="183" w:lineRule="auto"/>
              <w:rPr>
                <w:sz w:val="16"/>
                <w:szCs w:val="16"/>
              </w:rPr>
            </w:pPr>
            <w:r>
              <w:rPr>
                <w:sz w:val="16"/>
                <w:szCs w:val="16"/>
                <w:spacing w:val="-2"/>
              </w:rPr>
              <w:t>0.37</w:t>
            </w:r>
          </w:p>
        </w:tc>
      </w:tr>
      <w:tr>
        <w:trPr>
          <w:trHeight w:val="316" w:hRule="atLeast"/>
        </w:trPr>
        <w:tc>
          <w:tcPr>
            <w:tcW w:w="1236" w:type="dxa"/>
            <w:vAlign w:val="top"/>
          </w:tcPr>
          <w:p>
            <w:pPr>
              <w:pStyle w:val="TableText"/>
              <w:spacing w:before="75" w:line="219" w:lineRule="auto"/>
              <w:rPr>
                <w:sz w:val="16"/>
                <w:szCs w:val="16"/>
              </w:rPr>
            </w:pPr>
            <w:r>
              <w:rPr>
                <w:sz w:val="16"/>
                <w:szCs w:val="16"/>
              </w:rPr>
              <w:t>ICT</w:t>
            </w:r>
            <w:r>
              <w:rPr>
                <w:sz w:val="16"/>
                <w:szCs w:val="16"/>
                <w:spacing w:val="1"/>
              </w:rPr>
              <w:t>生产行业</w:t>
            </w:r>
          </w:p>
        </w:tc>
        <w:tc>
          <w:tcPr>
            <w:tcW w:w="1052" w:type="dxa"/>
            <w:vAlign w:val="top"/>
          </w:tcPr>
          <w:p>
            <w:pPr>
              <w:pStyle w:val="TableText"/>
              <w:ind w:left="324"/>
              <w:spacing w:before="117" w:line="183" w:lineRule="auto"/>
              <w:rPr>
                <w:sz w:val="16"/>
                <w:szCs w:val="16"/>
              </w:rPr>
            </w:pPr>
            <w:r>
              <w:rPr>
                <w:sz w:val="16"/>
                <w:szCs w:val="16"/>
                <w:spacing w:val="-2"/>
              </w:rPr>
              <w:t>8.06</w:t>
            </w:r>
          </w:p>
        </w:tc>
        <w:tc>
          <w:tcPr>
            <w:tcW w:w="1175" w:type="dxa"/>
            <w:vAlign w:val="top"/>
          </w:tcPr>
          <w:p>
            <w:pPr>
              <w:pStyle w:val="TableText"/>
              <w:ind w:left="412"/>
              <w:spacing w:before="117" w:line="183" w:lineRule="auto"/>
              <w:rPr>
                <w:sz w:val="16"/>
                <w:szCs w:val="16"/>
              </w:rPr>
            </w:pPr>
            <w:r>
              <w:rPr>
                <w:sz w:val="16"/>
                <w:szCs w:val="16"/>
                <w:spacing w:val="-2"/>
              </w:rPr>
              <w:t>3.66</w:t>
            </w:r>
          </w:p>
        </w:tc>
        <w:tc>
          <w:tcPr>
            <w:tcW w:w="1225" w:type="dxa"/>
            <w:vAlign w:val="top"/>
          </w:tcPr>
          <w:p>
            <w:pPr>
              <w:pStyle w:val="TableText"/>
              <w:ind w:left="447"/>
              <w:spacing w:before="116" w:line="184" w:lineRule="auto"/>
              <w:rPr>
                <w:sz w:val="16"/>
                <w:szCs w:val="16"/>
              </w:rPr>
            </w:pPr>
            <w:r>
              <w:rPr>
                <w:sz w:val="16"/>
                <w:szCs w:val="16"/>
                <w:spacing w:val="-4"/>
              </w:rPr>
              <w:t>1.13</w:t>
            </w:r>
          </w:p>
        </w:tc>
        <w:tc>
          <w:tcPr>
            <w:tcW w:w="817" w:type="dxa"/>
            <w:vAlign w:val="top"/>
          </w:tcPr>
          <w:p>
            <w:pPr>
              <w:pStyle w:val="TableText"/>
              <w:ind w:left="461"/>
              <w:spacing w:before="117" w:line="183" w:lineRule="auto"/>
              <w:rPr>
                <w:sz w:val="16"/>
                <w:szCs w:val="16"/>
              </w:rPr>
            </w:pPr>
            <w:r>
              <w:rPr>
                <w:sz w:val="16"/>
                <w:szCs w:val="16"/>
                <w:spacing w:val="-2"/>
              </w:rPr>
              <w:t>4.28</w:t>
            </w:r>
          </w:p>
        </w:tc>
      </w:tr>
      <w:tr>
        <w:trPr>
          <w:trHeight w:val="570" w:hRule="atLeast"/>
        </w:trPr>
        <w:tc>
          <w:tcPr>
            <w:tcW w:w="1236" w:type="dxa"/>
            <w:vAlign w:val="top"/>
          </w:tcPr>
          <w:p>
            <w:pPr>
              <w:pStyle w:val="TableText"/>
              <w:spacing w:before="79" w:line="261" w:lineRule="exact"/>
              <w:rPr>
                <w:sz w:val="16"/>
                <w:szCs w:val="16"/>
              </w:rPr>
            </w:pPr>
            <w:r>
              <w:rPr>
                <w:sz w:val="16"/>
                <w:szCs w:val="16"/>
                <w:position w:val="7"/>
              </w:rPr>
              <w:t>ICT</w:t>
            </w:r>
            <w:r>
              <w:rPr>
                <w:sz w:val="16"/>
                <w:szCs w:val="16"/>
                <w:spacing w:val="4"/>
                <w:position w:val="7"/>
              </w:rPr>
              <w:t>集约使用</w:t>
            </w:r>
          </w:p>
          <w:p>
            <w:pPr>
              <w:pStyle w:val="TableText"/>
              <w:spacing w:line="220" w:lineRule="auto"/>
              <w:rPr>
                <w:sz w:val="16"/>
                <w:szCs w:val="16"/>
              </w:rPr>
            </w:pPr>
            <w:r>
              <w:rPr>
                <w:sz w:val="16"/>
                <w:szCs w:val="16"/>
                <w:spacing w:val="-2"/>
              </w:rPr>
              <w:t>制造业</w:t>
            </w:r>
          </w:p>
        </w:tc>
        <w:tc>
          <w:tcPr>
            <w:tcW w:w="1052" w:type="dxa"/>
            <w:vAlign w:val="top"/>
          </w:tcPr>
          <w:p>
            <w:pPr>
              <w:pStyle w:val="TableText"/>
              <w:ind w:left="324"/>
              <w:spacing w:before="231" w:line="183" w:lineRule="auto"/>
              <w:rPr>
                <w:sz w:val="16"/>
                <w:szCs w:val="16"/>
              </w:rPr>
            </w:pPr>
            <w:r>
              <w:rPr>
                <w:sz w:val="16"/>
                <w:szCs w:val="16"/>
                <w:spacing w:val="-2"/>
              </w:rPr>
              <w:t>3.65</w:t>
            </w:r>
          </w:p>
        </w:tc>
        <w:tc>
          <w:tcPr>
            <w:tcW w:w="1175" w:type="dxa"/>
            <w:vAlign w:val="top"/>
          </w:tcPr>
          <w:p>
            <w:pPr>
              <w:pStyle w:val="TableText"/>
              <w:ind w:left="412"/>
              <w:spacing w:before="230" w:line="184" w:lineRule="auto"/>
              <w:rPr>
                <w:sz w:val="16"/>
                <w:szCs w:val="16"/>
              </w:rPr>
            </w:pPr>
            <w:r>
              <w:rPr>
                <w:sz w:val="16"/>
                <w:szCs w:val="16"/>
                <w:spacing w:val="-2"/>
              </w:rPr>
              <w:t>3.15</w:t>
            </w:r>
          </w:p>
        </w:tc>
        <w:tc>
          <w:tcPr>
            <w:tcW w:w="1225" w:type="dxa"/>
            <w:vAlign w:val="top"/>
          </w:tcPr>
          <w:p>
            <w:pPr>
              <w:pStyle w:val="TableText"/>
              <w:ind w:left="407"/>
              <w:spacing w:before="231" w:line="183" w:lineRule="auto"/>
              <w:rPr>
                <w:sz w:val="16"/>
                <w:szCs w:val="16"/>
              </w:rPr>
            </w:pPr>
            <w:r>
              <w:rPr>
                <w:sz w:val="16"/>
                <w:szCs w:val="16"/>
                <w:spacing w:val="-1"/>
              </w:rPr>
              <w:t>-0.98</w:t>
            </w:r>
          </w:p>
        </w:tc>
        <w:tc>
          <w:tcPr>
            <w:tcW w:w="817" w:type="dxa"/>
            <w:vAlign w:val="top"/>
          </w:tcPr>
          <w:p>
            <w:pPr>
              <w:pStyle w:val="TableText"/>
              <w:ind w:left="461"/>
              <w:spacing w:before="230" w:line="184" w:lineRule="auto"/>
              <w:rPr>
                <w:sz w:val="16"/>
                <w:szCs w:val="16"/>
              </w:rPr>
            </w:pPr>
            <w:r>
              <w:rPr>
                <w:sz w:val="16"/>
                <w:szCs w:val="16"/>
                <w:spacing w:val="-4"/>
              </w:rPr>
              <w:t>1.85</w:t>
            </w:r>
          </w:p>
        </w:tc>
      </w:tr>
      <w:tr>
        <w:trPr>
          <w:trHeight w:val="554" w:hRule="atLeast"/>
        </w:trPr>
        <w:tc>
          <w:tcPr>
            <w:tcW w:w="1236" w:type="dxa"/>
            <w:vAlign w:val="top"/>
          </w:tcPr>
          <w:p>
            <w:pPr>
              <w:pStyle w:val="TableText"/>
              <w:spacing w:before="69" w:line="250" w:lineRule="exact"/>
              <w:rPr>
                <w:sz w:val="16"/>
                <w:szCs w:val="16"/>
              </w:rPr>
            </w:pPr>
            <w:r>
              <w:rPr>
                <w:sz w:val="16"/>
                <w:szCs w:val="16"/>
                <w:position w:val="6"/>
              </w:rPr>
              <w:t>ICT</w:t>
            </w:r>
            <w:r>
              <w:rPr>
                <w:sz w:val="16"/>
                <w:szCs w:val="16"/>
                <w:spacing w:val="4"/>
                <w:position w:val="6"/>
              </w:rPr>
              <w:t>集约使用</w:t>
            </w:r>
          </w:p>
          <w:p>
            <w:pPr>
              <w:pStyle w:val="TableText"/>
              <w:spacing w:line="219" w:lineRule="auto"/>
              <w:rPr>
                <w:sz w:val="16"/>
                <w:szCs w:val="16"/>
              </w:rPr>
            </w:pPr>
            <w:r>
              <w:rPr>
                <w:sz w:val="16"/>
                <w:szCs w:val="16"/>
                <w:spacing w:val="-2"/>
              </w:rPr>
              <w:t>服务业</w:t>
            </w:r>
          </w:p>
        </w:tc>
        <w:tc>
          <w:tcPr>
            <w:tcW w:w="1052" w:type="dxa"/>
            <w:vAlign w:val="top"/>
          </w:tcPr>
          <w:p>
            <w:pPr>
              <w:pStyle w:val="TableText"/>
              <w:ind w:left="324"/>
              <w:spacing w:before="231" w:line="183" w:lineRule="auto"/>
              <w:rPr>
                <w:sz w:val="16"/>
                <w:szCs w:val="16"/>
              </w:rPr>
            </w:pPr>
            <w:r>
              <w:rPr>
                <w:sz w:val="16"/>
                <w:szCs w:val="16"/>
                <w:spacing w:val="-2"/>
              </w:rPr>
              <w:t>2.66</w:t>
            </w:r>
          </w:p>
        </w:tc>
        <w:tc>
          <w:tcPr>
            <w:tcW w:w="1175" w:type="dxa"/>
            <w:vAlign w:val="top"/>
          </w:tcPr>
          <w:p>
            <w:pPr>
              <w:pStyle w:val="TableText"/>
              <w:ind w:left="412"/>
              <w:spacing w:before="231" w:line="183" w:lineRule="auto"/>
              <w:rPr>
                <w:sz w:val="16"/>
                <w:szCs w:val="16"/>
              </w:rPr>
            </w:pPr>
            <w:r>
              <w:rPr>
                <w:sz w:val="16"/>
                <w:szCs w:val="16"/>
                <w:spacing w:val="-2"/>
              </w:rPr>
              <w:t>2.79</w:t>
            </w:r>
          </w:p>
        </w:tc>
        <w:tc>
          <w:tcPr>
            <w:tcW w:w="1225" w:type="dxa"/>
            <w:vAlign w:val="top"/>
          </w:tcPr>
          <w:p>
            <w:pPr>
              <w:pStyle w:val="TableText"/>
              <w:ind w:left="447"/>
              <w:spacing w:before="230" w:line="184" w:lineRule="auto"/>
              <w:rPr>
                <w:sz w:val="16"/>
                <w:szCs w:val="16"/>
              </w:rPr>
            </w:pPr>
            <w:r>
              <w:rPr>
                <w:sz w:val="16"/>
                <w:szCs w:val="16"/>
                <w:spacing w:val="-2"/>
              </w:rPr>
              <w:t>4.13</w:t>
            </w:r>
          </w:p>
        </w:tc>
        <w:tc>
          <w:tcPr>
            <w:tcW w:w="817" w:type="dxa"/>
            <w:vAlign w:val="top"/>
          </w:tcPr>
          <w:p>
            <w:pPr>
              <w:pStyle w:val="TableText"/>
              <w:ind w:left="461"/>
              <w:spacing w:before="231" w:line="183" w:lineRule="auto"/>
              <w:rPr>
                <w:sz w:val="16"/>
                <w:szCs w:val="16"/>
              </w:rPr>
            </w:pPr>
            <w:r>
              <w:rPr>
                <w:sz w:val="16"/>
                <w:szCs w:val="16"/>
                <w:spacing w:val="-2"/>
              </w:rPr>
              <w:t>3.22</w:t>
            </w:r>
          </w:p>
        </w:tc>
      </w:tr>
      <w:tr>
        <w:trPr>
          <w:trHeight w:val="560" w:hRule="atLeast"/>
        </w:trPr>
        <w:tc>
          <w:tcPr>
            <w:tcW w:w="1236" w:type="dxa"/>
            <w:vAlign w:val="top"/>
          </w:tcPr>
          <w:p>
            <w:pPr>
              <w:pStyle w:val="TableText"/>
              <w:ind w:left="10"/>
              <w:spacing w:before="75" w:line="251" w:lineRule="exact"/>
              <w:rPr>
                <w:sz w:val="16"/>
                <w:szCs w:val="16"/>
              </w:rPr>
            </w:pPr>
            <w:r>
              <w:rPr>
                <w:sz w:val="16"/>
                <w:szCs w:val="16"/>
                <w:spacing w:val="-2"/>
                <w:position w:val="6"/>
              </w:rPr>
              <w:t>非ICT集约使</w:t>
            </w:r>
          </w:p>
          <w:p>
            <w:pPr>
              <w:pStyle w:val="TableText"/>
              <w:spacing w:line="220" w:lineRule="auto"/>
              <w:rPr>
                <w:sz w:val="16"/>
                <w:szCs w:val="16"/>
              </w:rPr>
            </w:pPr>
            <w:r>
              <w:rPr>
                <w:sz w:val="16"/>
                <w:szCs w:val="16"/>
                <w:spacing w:val="-2"/>
              </w:rPr>
              <w:t>用制造业</w:t>
            </w:r>
          </w:p>
        </w:tc>
        <w:tc>
          <w:tcPr>
            <w:tcW w:w="1052" w:type="dxa"/>
            <w:vAlign w:val="top"/>
          </w:tcPr>
          <w:p>
            <w:pPr>
              <w:pStyle w:val="TableText"/>
              <w:ind w:left="324"/>
              <w:spacing w:before="227" w:line="183" w:lineRule="auto"/>
              <w:rPr>
                <w:sz w:val="16"/>
                <w:szCs w:val="16"/>
              </w:rPr>
            </w:pPr>
            <w:r>
              <w:rPr>
                <w:sz w:val="16"/>
                <w:szCs w:val="16"/>
                <w:spacing w:val="-2"/>
              </w:rPr>
              <w:t>4.30</w:t>
            </w:r>
          </w:p>
        </w:tc>
        <w:tc>
          <w:tcPr>
            <w:tcW w:w="1175" w:type="dxa"/>
            <w:vAlign w:val="top"/>
          </w:tcPr>
          <w:p>
            <w:pPr>
              <w:pStyle w:val="TableText"/>
              <w:ind w:left="412"/>
              <w:spacing w:before="226" w:line="184" w:lineRule="auto"/>
              <w:rPr>
                <w:sz w:val="16"/>
                <w:szCs w:val="16"/>
              </w:rPr>
            </w:pPr>
            <w:r>
              <w:rPr>
                <w:sz w:val="16"/>
                <w:szCs w:val="16"/>
                <w:spacing w:val="-4"/>
              </w:rPr>
              <w:t>1.41</w:t>
            </w:r>
          </w:p>
        </w:tc>
        <w:tc>
          <w:tcPr>
            <w:tcW w:w="1225" w:type="dxa"/>
            <w:vAlign w:val="top"/>
          </w:tcPr>
          <w:p>
            <w:pPr>
              <w:pStyle w:val="TableText"/>
              <w:ind w:left="407"/>
              <w:spacing w:before="227" w:line="183" w:lineRule="auto"/>
              <w:rPr>
                <w:sz w:val="16"/>
                <w:szCs w:val="16"/>
              </w:rPr>
            </w:pPr>
            <w:r>
              <w:rPr>
                <w:sz w:val="16"/>
                <w:szCs w:val="16"/>
                <w:spacing w:val="-1"/>
              </w:rPr>
              <w:t>-2.97</w:t>
            </w:r>
          </w:p>
        </w:tc>
        <w:tc>
          <w:tcPr>
            <w:tcW w:w="817" w:type="dxa"/>
            <w:vAlign w:val="top"/>
          </w:tcPr>
          <w:p>
            <w:pPr>
              <w:pStyle w:val="TableText"/>
              <w:ind w:left="461"/>
              <w:spacing w:before="227" w:line="183" w:lineRule="auto"/>
              <w:rPr>
                <w:sz w:val="16"/>
                <w:szCs w:val="16"/>
              </w:rPr>
            </w:pPr>
            <w:r>
              <w:rPr>
                <w:sz w:val="16"/>
                <w:szCs w:val="16"/>
                <w:spacing w:val="-2"/>
              </w:rPr>
              <w:t>0.84</w:t>
            </w:r>
          </w:p>
        </w:tc>
      </w:tr>
      <w:tr>
        <w:trPr>
          <w:trHeight w:val="545" w:hRule="atLeast"/>
        </w:trPr>
        <w:tc>
          <w:tcPr>
            <w:tcW w:w="1236" w:type="dxa"/>
            <w:vAlign w:val="top"/>
          </w:tcPr>
          <w:p>
            <w:pPr>
              <w:pStyle w:val="TableText"/>
              <w:ind w:left="10"/>
              <w:spacing w:before="75" w:line="240" w:lineRule="exact"/>
              <w:rPr>
                <w:sz w:val="16"/>
                <w:szCs w:val="16"/>
              </w:rPr>
            </w:pPr>
            <w:r>
              <w:rPr>
                <w:sz w:val="16"/>
                <w:szCs w:val="16"/>
                <w:spacing w:val="-2"/>
                <w:position w:val="5"/>
              </w:rPr>
              <w:t>非ICT集约使</w:t>
            </w:r>
          </w:p>
          <w:p>
            <w:pPr>
              <w:pStyle w:val="TableText"/>
              <w:spacing w:line="219" w:lineRule="auto"/>
              <w:rPr>
                <w:sz w:val="16"/>
                <w:szCs w:val="16"/>
              </w:rPr>
            </w:pPr>
            <w:r>
              <w:rPr>
                <w:sz w:val="16"/>
                <w:szCs w:val="16"/>
                <w:spacing w:val="-2"/>
              </w:rPr>
              <w:t>用服务业</w:t>
            </w:r>
          </w:p>
        </w:tc>
        <w:tc>
          <w:tcPr>
            <w:tcW w:w="1052" w:type="dxa"/>
            <w:vAlign w:val="top"/>
          </w:tcPr>
          <w:p>
            <w:pPr>
              <w:pStyle w:val="TableText"/>
              <w:ind w:left="324"/>
              <w:spacing w:before="217" w:line="183" w:lineRule="auto"/>
              <w:rPr>
                <w:sz w:val="16"/>
                <w:szCs w:val="16"/>
              </w:rPr>
            </w:pPr>
            <w:r>
              <w:rPr>
                <w:sz w:val="16"/>
                <w:szCs w:val="16"/>
                <w:spacing w:val="-2"/>
              </w:rPr>
              <w:t>3.82</w:t>
            </w:r>
          </w:p>
        </w:tc>
        <w:tc>
          <w:tcPr>
            <w:tcW w:w="1175" w:type="dxa"/>
            <w:vAlign w:val="top"/>
          </w:tcPr>
          <w:p>
            <w:pPr>
              <w:pStyle w:val="TableText"/>
              <w:ind w:left="412"/>
              <w:spacing w:before="216" w:line="184" w:lineRule="auto"/>
              <w:rPr>
                <w:sz w:val="16"/>
                <w:szCs w:val="16"/>
              </w:rPr>
            </w:pPr>
            <w:r>
              <w:rPr>
                <w:sz w:val="16"/>
                <w:szCs w:val="16"/>
                <w:spacing w:val="-2"/>
              </w:rPr>
              <w:t>2.13</w:t>
            </w:r>
          </w:p>
        </w:tc>
        <w:tc>
          <w:tcPr>
            <w:tcW w:w="1225" w:type="dxa"/>
            <w:vAlign w:val="top"/>
          </w:tcPr>
          <w:p>
            <w:pPr>
              <w:pStyle w:val="TableText"/>
              <w:ind w:left="447"/>
              <w:spacing w:before="216" w:line="184" w:lineRule="auto"/>
              <w:rPr>
                <w:sz w:val="16"/>
                <w:szCs w:val="16"/>
              </w:rPr>
            </w:pPr>
            <w:r>
              <w:rPr>
                <w:sz w:val="16"/>
                <w:szCs w:val="16"/>
                <w:spacing w:val="-2"/>
              </w:rPr>
              <w:t>4.19</w:t>
            </w:r>
          </w:p>
        </w:tc>
        <w:tc>
          <w:tcPr>
            <w:tcW w:w="817" w:type="dxa"/>
            <w:vAlign w:val="top"/>
          </w:tcPr>
          <w:p>
            <w:pPr>
              <w:pStyle w:val="TableText"/>
              <w:ind w:left="461"/>
              <w:spacing w:before="217" w:line="183" w:lineRule="auto"/>
              <w:rPr>
                <w:sz w:val="16"/>
                <w:szCs w:val="16"/>
              </w:rPr>
            </w:pPr>
            <w:r>
              <w:rPr>
                <w:sz w:val="16"/>
                <w:szCs w:val="16"/>
                <w:spacing w:val="-2"/>
              </w:rPr>
              <w:t>3.45</w:t>
            </w:r>
          </w:p>
        </w:tc>
      </w:tr>
      <w:tr>
        <w:trPr>
          <w:trHeight w:val="310" w:hRule="atLeast"/>
        </w:trPr>
        <w:tc>
          <w:tcPr>
            <w:tcW w:w="1236" w:type="dxa"/>
            <w:vAlign w:val="top"/>
          </w:tcPr>
          <w:p>
            <w:pPr>
              <w:pStyle w:val="TableText"/>
              <w:spacing w:before="72" w:line="221" w:lineRule="auto"/>
              <w:rPr>
                <w:sz w:val="16"/>
                <w:szCs w:val="16"/>
              </w:rPr>
            </w:pPr>
            <w:r>
              <w:rPr>
                <w:sz w:val="16"/>
                <w:szCs w:val="16"/>
                <w:spacing w:val="-2"/>
              </w:rPr>
              <w:t>农业</w:t>
            </w:r>
          </w:p>
        </w:tc>
        <w:tc>
          <w:tcPr>
            <w:tcW w:w="1052" w:type="dxa"/>
            <w:vAlign w:val="top"/>
          </w:tcPr>
          <w:p>
            <w:pPr>
              <w:pStyle w:val="TableText"/>
              <w:ind w:left="284"/>
              <w:spacing w:before="112" w:line="183" w:lineRule="auto"/>
              <w:rPr>
                <w:sz w:val="16"/>
                <w:szCs w:val="16"/>
              </w:rPr>
            </w:pPr>
            <w:r>
              <w:rPr>
                <w:sz w:val="16"/>
                <w:szCs w:val="16"/>
                <w:spacing w:val="-1"/>
              </w:rPr>
              <w:t>-2.39</w:t>
            </w:r>
          </w:p>
        </w:tc>
        <w:tc>
          <w:tcPr>
            <w:tcW w:w="1175" w:type="dxa"/>
            <w:vAlign w:val="top"/>
          </w:tcPr>
          <w:p>
            <w:pPr>
              <w:pStyle w:val="TableText"/>
              <w:ind w:left="371"/>
              <w:spacing w:before="112" w:line="183" w:lineRule="auto"/>
              <w:rPr>
                <w:sz w:val="16"/>
                <w:szCs w:val="16"/>
              </w:rPr>
            </w:pPr>
            <w:r>
              <w:rPr>
                <w:sz w:val="16"/>
                <w:szCs w:val="16"/>
                <w:spacing w:val="-1"/>
              </w:rPr>
              <w:t>-3.53</w:t>
            </w:r>
          </w:p>
        </w:tc>
        <w:tc>
          <w:tcPr>
            <w:tcW w:w="1225" w:type="dxa"/>
            <w:vAlign w:val="top"/>
          </w:tcPr>
          <w:p>
            <w:pPr>
              <w:pStyle w:val="TableText"/>
              <w:ind w:left="407"/>
              <w:spacing w:before="112" w:line="183" w:lineRule="auto"/>
              <w:rPr>
                <w:sz w:val="16"/>
                <w:szCs w:val="16"/>
              </w:rPr>
            </w:pPr>
            <w:r>
              <w:rPr>
                <w:sz w:val="16"/>
                <w:szCs w:val="16"/>
                <w:spacing w:val="-1"/>
              </w:rPr>
              <w:t>-3.89</w:t>
            </w:r>
          </w:p>
        </w:tc>
        <w:tc>
          <w:tcPr>
            <w:tcW w:w="817" w:type="dxa"/>
            <w:vAlign w:val="top"/>
          </w:tcPr>
          <w:p>
            <w:pPr>
              <w:pStyle w:val="TableText"/>
              <w:spacing w:before="112" w:line="183" w:lineRule="auto"/>
              <w:jc w:val="right"/>
              <w:rPr>
                <w:sz w:val="16"/>
                <w:szCs w:val="16"/>
              </w:rPr>
            </w:pPr>
            <w:r>
              <w:rPr>
                <w:sz w:val="16"/>
                <w:szCs w:val="16"/>
                <w:spacing w:val="-2"/>
              </w:rPr>
              <w:t>-3.25</w:t>
            </w:r>
          </w:p>
        </w:tc>
      </w:tr>
      <w:tr>
        <w:trPr>
          <w:trHeight w:val="319" w:hRule="atLeast"/>
        </w:trPr>
        <w:tc>
          <w:tcPr>
            <w:tcW w:w="1236" w:type="dxa"/>
            <w:vAlign w:val="top"/>
          </w:tcPr>
          <w:p>
            <w:pPr>
              <w:pStyle w:val="TableText"/>
              <w:spacing w:before="79" w:line="219" w:lineRule="auto"/>
              <w:rPr>
                <w:sz w:val="16"/>
                <w:szCs w:val="16"/>
              </w:rPr>
            </w:pPr>
            <w:r>
              <w:rPr>
                <w:sz w:val="16"/>
                <w:szCs w:val="16"/>
                <w:spacing w:val="-2"/>
              </w:rPr>
              <w:t>采掘业</w:t>
            </w:r>
          </w:p>
        </w:tc>
        <w:tc>
          <w:tcPr>
            <w:tcW w:w="1052" w:type="dxa"/>
            <w:vAlign w:val="top"/>
          </w:tcPr>
          <w:p>
            <w:pPr>
              <w:pStyle w:val="TableText"/>
              <w:ind w:left="324"/>
              <w:spacing w:before="121" w:line="184" w:lineRule="auto"/>
              <w:rPr>
                <w:sz w:val="16"/>
                <w:szCs w:val="16"/>
              </w:rPr>
            </w:pPr>
            <w:r>
              <w:rPr>
                <w:sz w:val="16"/>
                <w:szCs w:val="16"/>
                <w:spacing w:val="-4"/>
              </w:rPr>
              <w:t>1.06</w:t>
            </w:r>
          </w:p>
        </w:tc>
        <w:tc>
          <w:tcPr>
            <w:tcW w:w="1175" w:type="dxa"/>
            <w:vAlign w:val="top"/>
          </w:tcPr>
          <w:p>
            <w:pPr>
              <w:pStyle w:val="TableText"/>
              <w:ind w:left="371"/>
              <w:spacing w:before="122" w:line="183" w:lineRule="auto"/>
              <w:rPr>
                <w:sz w:val="16"/>
                <w:szCs w:val="16"/>
              </w:rPr>
            </w:pPr>
            <w:r>
              <w:rPr>
                <w:sz w:val="16"/>
                <w:szCs w:val="16"/>
                <w:spacing w:val="-1"/>
              </w:rPr>
              <w:t>-0.46</w:t>
            </w:r>
          </w:p>
        </w:tc>
        <w:tc>
          <w:tcPr>
            <w:tcW w:w="1225" w:type="dxa"/>
            <w:vAlign w:val="top"/>
          </w:tcPr>
          <w:p>
            <w:pPr>
              <w:pStyle w:val="TableText"/>
              <w:ind w:left="407"/>
              <w:spacing w:before="122" w:line="183" w:lineRule="auto"/>
              <w:rPr>
                <w:sz w:val="16"/>
                <w:szCs w:val="16"/>
              </w:rPr>
            </w:pPr>
            <w:r>
              <w:rPr>
                <w:sz w:val="16"/>
                <w:szCs w:val="16"/>
                <w:spacing w:val="-1"/>
              </w:rPr>
              <w:t>-8.43</w:t>
            </w:r>
          </w:p>
        </w:tc>
        <w:tc>
          <w:tcPr>
            <w:tcW w:w="817" w:type="dxa"/>
            <w:vAlign w:val="top"/>
          </w:tcPr>
          <w:p>
            <w:pPr>
              <w:pStyle w:val="TableText"/>
              <w:spacing w:before="122" w:line="183" w:lineRule="auto"/>
              <w:jc w:val="right"/>
              <w:rPr>
                <w:sz w:val="16"/>
                <w:szCs w:val="16"/>
              </w:rPr>
            </w:pPr>
            <w:r>
              <w:rPr>
                <w:sz w:val="16"/>
                <w:szCs w:val="16"/>
                <w:spacing w:val="-2"/>
              </w:rPr>
              <w:t>-2.83</w:t>
            </w:r>
          </w:p>
        </w:tc>
      </w:tr>
      <w:tr>
        <w:trPr>
          <w:trHeight w:val="320" w:hRule="atLeast"/>
        </w:trPr>
        <w:tc>
          <w:tcPr>
            <w:tcW w:w="1236" w:type="dxa"/>
            <w:vAlign w:val="top"/>
          </w:tcPr>
          <w:p>
            <w:pPr>
              <w:pStyle w:val="TableText"/>
              <w:spacing w:before="82" w:line="220" w:lineRule="auto"/>
              <w:rPr>
                <w:sz w:val="16"/>
                <w:szCs w:val="16"/>
              </w:rPr>
            </w:pPr>
            <w:r>
              <w:rPr>
                <w:sz w:val="16"/>
                <w:szCs w:val="16"/>
                <w:spacing w:val="-2"/>
              </w:rPr>
              <w:t>建筑业</w:t>
            </w:r>
          </w:p>
        </w:tc>
        <w:tc>
          <w:tcPr>
            <w:tcW w:w="1052" w:type="dxa"/>
            <w:vAlign w:val="top"/>
          </w:tcPr>
          <w:p>
            <w:pPr>
              <w:pStyle w:val="TableText"/>
              <w:ind w:left="324"/>
              <w:spacing w:before="123" w:line="183" w:lineRule="auto"/>
              <w:rPr>
                <w:sz w:val="16"/>
                <w:szCs w:val="16"/>
              </w:rPr>
            </w:pPr>
            <w:r>
              <w:rPr>
                <w:sz w:val="16"/>
                <w:szCs w:val="16"/>
                <w:spacing w:val="-2"/>
              </w:rPr>
              <w:t>0.80</w:t>
            </w:r>
          </w:p>
        </w:tc>
        <w:tc>
          <w:tcPr>
            <w:tcW w:w="1175" w:type="dxa"/>
            <w:vAlign w:val="top"/>
          </w:tcPr>
          <w:p>
            <w:pPr>
              <w:pStyle w:val="TableText"/>
              <w:ind w:left="412"/>
              <w:spacing w:before="122" w:line="184" w:lineRule="auto"/>
              <w:rPr>
                <w:sz w:val="16"/>
                <w:szCs w:val="16"/>
              </w:rPr>
            </w:pPr>
            <w:r>
              <w:rPr>
                <w:sz w:val="16"/>
                <w:szCs w:val="16"/>
                <w:spacing w:val="-2"/>
              </w:rPr>
              <w:t>6.19</w:t>
            </w:r>
          </w:p>
        </w:tc>
        <w:tc>
          <w:tcPr>
            <w:tcW w:w="1225" w:type="dxa"/>
            <w:vAlign w:val="top"/>
          </w:tcPr>
          <w:p>
            <w:pPr>
              <w:pStyle w:val="TableText"/>
              <w:ind w:left="447"/>
              <w:spacing w:before="123" w:line="183" w:lineRule="auto"/>
              <w:rPr>
                <w:sz w:val="16"/>
                <w:szCs w:val="16"/>
              </w:rPr>
            </w:pPr>
            <w:r>
              <w:rPr>
                <w:sz w:val="16"/>
                <w:szCs w:val="16"/>
                <w:spacing w:val="-2"/>
              </w:rPr>
              <w:t>2.03</w:t>
            </w:r>
          </w:p>
        </w:tc>
        <w:tc>
          <w:tcPr>
            <w:tcW w:w="817" w:type="dxa"/>
            <w:vAlign w:val="top"/>
          </w:tcPr>
          <w:p>
            <w:pPr>
              <w:pStyle w:val="TableText"/>
              <w:ind w:left="461"/>
              <w:spacing w:before="123" w:line="183" w:lineRule="auto"/>
              <w:rPr>
                <w:sz w:val="16"/>
                <w:szCs w:val="16"/>
              </w:rPr>
            </w:pPr>
            <w:r>
              <w:rPr>
                <w:sz w:val="16"/>
                <w:szCs w:val="16"/>
                <w:spacing w:val="-2"/>
              </w:rPr>
              <w:t>2.79</w:t>
            </w:r>
          </w:p>
        </w:tc>
      </w:tr>
      <w:tr>
        <w:trPr>
          <w:trHeight w:val="240" w:hRule="atLeast"/>
        </w:trPr>
        <w:tc>
          <w:tcPr>
            <w:tcW w:w="1236" w:type="dxa"/>
            <w:vAlign w:val="top"/>
          </w:tcPr>
          <w:p>
            <w:pPr>
              <w:pStyle w:val="TableText"/>
              <w:spacing w:before="81" w:line="171" w:lineRule="auto"/>
              <w:rPr>
                <w:sz w:val="16"/>
                <w:szCs w:val="16"/>
              </w:rPr>
            </w:pPr>
            <w:r>
              <w:rPr>
                <w:sz w:val="16"/>
                <w:szCs w:val="16"/>
                <w:spacing w:val="-2"/>
              </w:rPr>
              <w:t>非市场服务业</w:t>
            </w:r>
          </w:p>
        </w:tc>
        <w:tc>
          <w:tcPr>
            <w:tcW w:w="1052" w:type="dxa"/>
            <w:vAlign w:val="top"/>
          </w:tcPr>
          <w:p>
            <w:pPr>
              <w:pStyle w:val="TableText"/>
              <w:ind w:left="324"/>
              <w:spacing w:before="122" w:line="108" w:lineRule="exact"/>
              <w:rPr>
                <w:sz w:val="16"/>
                <w:szCs w:val="16"/>
              </w:rPr>
            </w:pPr>
            <w:r>
              <w:rPr>
                <w:sz w:val="16"/>
                <w:szCs w:val="16"/>
                <w:spacing w:val="-2"/>
                <w:position w:val="-2"/>
              </w:rPr>
              <w:t>3.57</w:t>
            </w:r>
          </w:p>
        </w:tc>
        <w:tc>
          <w:tcPr>
            <w:tcW w:w="1175" w:type="dxa"/>
            <w:vAlign w:val="top"/>
          </w:tcPr>
          <w:p>
            <w:pPr>
              <w:pStyle w:val="TableText"/>
              <w:ind w:left="412"/>
              <w:spacing w:before="122" w:line="108" w:lineRule="exact"/>
              <w:rPr>
                <w:sz w:val="16"/>
                <w:szCs w:val="16"/>
              </w:rPr>
            </w:pPr>
            <w:r>
              <w:rPr>
                <w:sz w:val="16"/>
                <w:szCs w:val="16"/>
                <w:spacing w:val="-2"/>
                <w:position w:val="-2"/>
              </w:rPr>
              <w:t>2.69</w:t>
            </w:r>
          </w:p>
        </w:tc>
        <w:tc>
          <w:tcPr>
            <w:tcW w:w="1225" w:type="dxa"/>
            <w:vAlign w:val="top"/>
          </w:tcPr>
          <w:p>
            <w:pPr>
              <w:pStyle w:val="TableText"/>
              <w:ind w:left="447"/>
              <w:spacing w:before="122" w:line="108" w:lineRule="exact"/>
              <w:rPr>
                <w:sz w:val="16"/>
                <w:szCs w:val="16"/>
              </w:rPr>
            </w:pPr>
            <w:r>
              <w:rPr>
                <w:sz w:val="16"/>
                <w:szCs w:val="16"/>
                <w:spacing w:val="-2"/>
                <w:position w:val="-2"/>
              </w:rPr>
              <w:t>3.81</w:t>
            </w:r>
          </w:p>
        </w:tc>
        <w:tc>
          <w:tcPr>
            <w:tcW w:w="817" w:type="dxa"/>
            <w:vAlign w:val="top"/>
          </w:tcPr>
          <w:p>
            <w:pPr>
              <w:pStyle w:val="TableText"/>
              <w:ind w:left="461"/>
              <w:spacing w:before="122" w:line="108" w:lineRule="exact"/>
              <w:rPr>
                <w:sz w:val="16"/>
                <w:szCs w:val="16"/>
              </w:rPr>
            </w:pPr>
            <w:r>
              <w:rPr>
                <w:sz w:val="16"/>
                <w:szCs w:val="16"/>
                <w:spacing w:val="-2"/>
                <w:position w:val="-2"/>
              </w:rPr>
              <w:t>3.40</w:t>
            </w:r>
          </w:p>
        </w:tc>
      </w:tr>
    </w:tbl>
    <w:p>
      <w:pPr>
        <w:pStyle w:val="BodyText"/>
        <w:spacing w:line="14" w:lineRule="auto"/>
        <w:rPr>
          <w:sz w:val="2"/>
        </w:rPr>
      </w:pPr>
      <w:r/>
    </w:p>
    <w:p>
      <w:pPr>
        <w:spacing w:line="14" w:lineRule="auto"/>
        <w:sectPr>
          <w:type w:val="continuous"/>
          <w:pgSz w:w="7330" w:h="12480"/>
          <w:pgMar w:top="776" w:right="785" w:bottom="1364" w:left="440" w:header="613" w:footer="1079" w:gutter="0"/>
          <w:cols w:equalWidth="0" w:num="1">
            <w:col w:w="6105" w:space="0"/>
          </w:cols>
        </w:sectPr>
        <w:rPr>
          <w:sz w:val="2"/>
          <w:szCs w:val="2"/>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27" w:firstLine="420"/>
        <w:spacing w:before="65" w:line="331" w:lineRule="auto"/>
        <w:jc w:val="both"/>
        <w:rPr>
          <w:rFonts w:ascii="SimSun" w:hAnsi="SimSun" w:eastAsia="SimSun" w:cs="SimSun"/>
          <w:sz w:val="20"/>
          <w:szCs w:val="20"/>
        </w:rPr>
      </w:pPr>
      <w:r>
        <w:rPr>
          <w:rFonts w:ascii="SimSun" w:hAnsi="SimSun" w:eastAsia="SimSun" w:cs="SimSun"/>
          <w:sz w:val="20"/>
          <w:szCs w:val="20"/>
          <w:spacing w:val="11"/>
        </w:rPr>
        <w:t>根据表2-4对中国劳动就业结构变化趋势的观察，我们觉得尽</w:t>
      </w:r>
      <w:r>
        <w:rPr>
          <w:rFonts w:ascii="SimSun" w:hAnsi="SimSun" w:eastAsia="SimSun" w:cs="SimSun"/>
          <w:sz w:val="20"/>
          <w:szCs w:val="20"/>
          <w:spacing w:val="13"/>
        </w:rPr>
        <w:t xml:space="preserve"> </w:t>
      </w:r>
      <w:r>
        <w:rPr>
          <w:rFonts w:ascii="SimSun" w:hAnsi="SimSun" w:eastAsia="SimSun" w:cs="SimSun"/>
          <w:sz w:val="20"/>
          <w:szCs w:val="20"/>
          <w:spacing w:val="-1"/>
        </w:rPr>
        <w:t>管这个变化与经济发展中一般的结构变化趋势大致一致，但是近期工</w:t>
      </w:r>
      <w:r>
        <w:rPr>
          <w:rFonts w:ascii="SimSun" w:hAnsi="SimSun" w:eastAsia="SimSun" w:cs="SimSun"/>
          <w:sz w:val="20"/>
          <w:szCs w:val="20"/>
          <w:spacing w:val="16"/>
        </w:rPr>
        <w:t xml:space="preserve"> </w:t>
      </w:r>
      <w:r>
        <w:rPr>
          <w:rFonts w:ascii="SimSun" w:hAnsi="SimSun" w:eastAsia="SimSun" w:cs="SimSun"/>
          <w:sz w:val="20"/>
          <w:szCs w:val="20"/>
        </w:rPr>
        <w:t>业部门就业比重的下降似乎有些过快，越来越多</w:t>
      </w:r>
      <w:r>
        <w:rPr>
          <w:rFonts w:ascii="SimSun" w:hAnsi="SimSun" w:eastAsia="SimSun" w:cs="SimSun"/>
          <w:sz w:val="20"/>
          <w:szCs w:val="20"/>
          <w:spacing w:val="-1"/>
        </w:rPr>
        <w:t>从农业转出的劳动力</w:t>
      </w:r>
      <w:r>
        <w:rPr>
          <w:rFonts w:ascii="SimSun" w:hAnsi="SimSun" w:eastAsia="SimSun" w:cs="SimSun"/>
          <w:sz w:val="20"/>
          <w:szCs w:val="20"/>
        </w:rPr>
        <w:t xml:space="preserve"> </w:t>
      </w:r>
      <w:r>
        <w:rPr>
          <w:rFonts w:ascii="SimSun" w:hAnsi="SimSun" w:eastAsia="SimSun" w:cs="SimSun"/>
          <w:sz w:val="20"/>
          <w:szCs w:val="20"/>
          <w:spacing w:val="6"/>
        </w:rPr>
        <w:t>不是转向工业而是服务业。如下文将讨论的，劳动成本上升应该是</w:t>
      </w:r>
      <w:r>
        <w:rPr>
          <w:rFonts w:ascii="SimSun" w:hAnsi="SimSun" w:eastAsia="SimSun" w:cs="SimSun"/>
          <w:sz w:val="20"/>
          <w:szCs w:val="20"/>
          <w:spacing w:val="15"/>
        </w:rPr>
        <w:t xml:space="preserve"> </w:t>
      </w:r>
      <w:r>
        <w:rPr>
          <w:rFonts w:ascii="SimSun" w:hAnsi="SimSun" w:eastAsia="SimSun" w:cs="SimSun"/>
          <w:sz w:val="20"/>
          <w:szCs w:val="20"/>
          <w:spacing w:val="6"/>
        </w:rPr>
        <w:t>背后的主要推手。然而，这种情况在受到数字经济影响的部门并不</w:t>
      </w:r>
      <w:r>
        <w:rPr>
          <w:rFonts w:ascii="SimSun" w:hAnsi="SimSun" w:eastAsia="SimSun" w:cs="SimSun"/>
          <w:sz w:val="20"/>
          <w:szCs w:val="20"/>
          <w:spacing w:val="16"/>
        </w:rPr>
        <w:t xml:space="preserve"> </w:t>
      </w:r>
      <w:r>
        <w:rPr>
          <w:rFonts w:ascii="SimSun" w:hAnsi="SimSun" w:eastAsia="SimSun" w:cs="SimSun"/>
          <w:sz w:val="20"/>
          <w:szCs w:val="20"/>
          <w:spacing w:val="6"/>
        </w:rPr>
        <w:t>明显。数据显示，</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6"/>
        </w:rPr>
        <w:t>生产和集约使用部门的就业人数占比从2001</w:t>
      </w:r>
      <w:r>
        <w:rPr>
          <w:rFonts w:ascii="SimSun" w:hAnsi="SimSun" w:eastAsia="SimSun" w:cs="SimSun"/>
          <w:sz w:val="20"/>
          <w:szCs w:val="20"/>
        </w:rPr>
        <w:t xml:space="preserve"> </w:t>
      </w:r>
      <w:r>
        <w:rPr>
          <w:rFonts w:ascii="SimSun" w:hAnsi="SimSun" w:eastAsia="SimSun" w:cs="SimSun"/>
          <w:sz w:val="20"/>
          <w:szCs w:val="20"/>
          <w:spacing w:val="12"/>
        </w:rPr>
        <w:t>年的17.1%上升到2018年的26.2%。非</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集约使用部门就业人数</w:t>
      </w:r>
      <w:r>
        <w:rPr>
          <w:rFonts w:ascii="SimSun" w:hAnsi="SimSun" w:eastAsia="SimSun" w:cs="SimSun"/>
          <w:sz w:val="20"/>
          <w:szCs w:val="20"/>
          <w:spacing w:val="7"/>
        </w:rPr>
        <w:t xml:space="preserve"> </w:t>
      </w:r>
      <w:r>
        <w:rPr>
          <w:rFonts w:ascii="SimSun" w:hAnsi="SimSun" w:eastAsia="SimSun" w:cs="SimSun"/>
          <w:sz w:val="20"/>
          <w:szCs w:val="20"/>
          <w:spacing w:val="12"/>
        </w:rPr>
        <w:t>占比则从15.3%上升至20.8%。农业劳动力占比在此期间下降了约</w:t>
      </w:r>
      <w:r>
        <w:rPr>
          <w:rFonts w:ascii="SimSun" w:hAnsi="SimSun" w:eastAsia="SimSun" w:cs="SimSun"/>
          <w:sz w:val="20"/>
          <w:szCs w:val="20"/>
        </w:rPr>
        <w:t xml:space="preserve"> </w:t>
      </w:r>
      <w:r>
        <w:rPr>
          <w:rFonts w:ascii="SimSun" w:hAnsi="SimSun" w:eastAsia="SimSun" w:cs="SimSun"/>
          <w:sz w:val="20"/>
          <w:szCs w:val="20"/>
          <w:spacing w:val="6"/>
        </w:rPr>
        <w:t>23个百分点。如果以具体创造就业的能力估算一下，依据以官方就</w:t>
      </w:r>
      <w:r>
        <w:rPr>
          <w:rFonts w:ascii="SimSun" w:hAnsi="SimSun" w:eastAsia="SimSun" w:cs="SimSun"/>
          <w:sz w:val="20"/>
          <w:szCs w:val="20"/>
          <w:spacing w:val="8"/>
        </w:rPr>
        <w:t xml:space="preserve"> </w:t>
      </w:r>
      <w:r>
        <w:rPr>
          <w:rFonts w:ascii="SimSun" w:hAnsi="SimSun" w:eastAsia="SimSun" w:cs="SimSun"/>
          <w:sz w:val="20"/>
          <w:szCs w:val="20"/>
          <w:spacing w:val="12"/>
        </w:rPr>
        <w:t>业数据重建的</w:t>
      </w:r>
      <w:r>
        <w:rPr>
          <w:rFonts w:ascii="Times New Roman" w:hAnsi="Times New Roman" w:eastAsia="Times New Roman" w:cs="Times New Roman"/>
          <w:sz w:val="20"/>
          <w:szCs w:val="20"/>
        </w:rPr>
        <w:t>KLEMS</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就业数据(即表2-3、表2-4中使用的基础数</w:t>
      </w:r>
      <w:r>
        <w:rPr>
          <w:rFonts w:ascii="SimSun" w:hAnsi="SimSun" w:eastAsia="SimSun" w:cs="SimSun"/>
          <w:sz w:val="20"/>
          <w:szCs w:val="20"/>
          <w:spacing w:val="11"/>
        </w:rPr>
        <w:t xml:space="preserve"> </w:t>
      </w:r>
      <w:r>
        <w:rPr>
          <w:rFonts w:ascii="SimSun" w:hAnsi="SimSun" w:eastAsia="SimSun" w:cs="SimSun"/>
          <w:sz w:val="20"/>
          <w:szCs w:val="20"/>
          <w:spacing w:val="11"/>
        </w:rPr>
        <w:t>据),在2001—2018年间，新就业增加了约4700万，同时农业约释</w:t>
      </w:r>
      <w:r>
        <w:rPr>
          <w:rFonts w:ascii="SimSun" w:hAnsi="SimSun" w:eastAsia="SimSun" w:cs="SimSun"/>
          <w:sz w:val="20"/>
          <w:szCs w:val="20"/>
          <w:spacing w:val="4"/>
        </w:rPr>
        <w:t xml:space="preserve"> </w:t>
      </w:r>
      <w:r>
        <w:rPr>
          <w:rFonts w:ascii="SimSun" w:hAnsi="SimSun" w:eastAsia="SimSun" w:cs="SimSun"/>
          <w:sz w:val="20"/>
          <w:szCs w:val="20"/>
          <w:spacing w:val="9"/>
        </w:rPr>
        <w:t>放了1亿5600万岗位。这样，除去建筑业、采掘业和非市场经济部</w:t>
      </w:r>
    </w:p>
    <w:p>
      <w:pPr>
        <w:spacing w:line="218" w:lineRule="auto"/>
        <w:rPr>
          <w:rFonts w:ascii="SimSun" w:hAnsi="SimSun" w:eastAsia="SimSun" w:cs="SimSun"/>
          <w:sz w:val="20"/>
          <w:szCs w:val="20"/>
        </w:rPr>
      </w:pPr>
      <w:r>
        <w:rPr>
          <w:rFonts w:ascii="SimSun" w:hAnsi="SimSun" w:eastAsia="SimSun" w:cs="SimSun"/>
          <w:sz w:val="20"/>
          <w:szCs w:val="20"/>
          <w:spacing w:val="4"/>
        </w:rPr>
        <w:t>门(即政府、卫生、教育)对就业的吸收，</w:t>
      </w:r>
      <w:r>
        <w:rPr>
          <w:rFonts w:ascii="SimSun" w:hAnsi="SimSun" w:eastAsia="SimSun" w:cs="SimSun"/>
          <w:sz w:val="20"/>
          <w:szCs w:val="20"/>
          <w:spacing w:val="3"/>
        </w:rPr>
        <w:t xml:space="preserve"> </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生产和集约使用部门</w:t>
      </w:r>
    </w:p>
    <w:p>
      <w:pPr>
        <w:pStyle w:val="BodyText"/>
        <w:spacing w:line="270" w:lineRule="auto"/>
        <w:rPr/>
      </w:pPr>
      <w:r/>
    </w:p>
    <w:p>
      <w:pPr>
        <w:pStyle w:val="BodyText"/>
        <w:spacing w:line="271" w:lineRule="auto"/>
        <w:rPr/>
      </w:pPr>
      <w:r/>
    </w:p>
    <w:p>
      <w:pPr>
        <w:ind w:left="1062"/>
        <w:spacing w:before="65" w:line="222" w:lineRule="auto"/>
        <w:rPr>
          <w:rFonts w:ascii="SimHei" w:hAnsi="SimHei" w:eastAsia="SimHei" w:cs="SimHei"/>
          <w:sz w:val="20"/>
          <w:szCs w:val="20"/>
        </w:rPr>
      </w:pPr>
      <w:r>
        <w:rPr>
          <w:rFonts w:ascii="SimHei" w:hAnsi="SimHei" w:eastAsia="SimHei" w:cs="SimHei"/>
          <w:sz w:val="20"/>
          <w:szCs w:val="20"/>
          <w:b/>
          <w:bCs/>
          <w:spacing w:val="-17"/>
        </w:rPr>
        <w:t>表2-4</w:t>
      </w:r>
      <w:r>
        <w:rPr>
          <w:rFonts w:ascii="SimHei" w:hAnsi="SimHei" w:eastAsia="SimHei" w:cs="SimHei"/>
          <w:sz w:val="20"/>
          <w:szCs w:val="20"/>
          <w:spacing w:val="94"/>
        </w:rPr>
        <w:t xml:space="preserve"> </w:t>
      </w:r>
      <w:r>
        <w:rPr>
          <w:rFonts w:ascii="SimHei" w:hAnsi="SimHei" w:eastAsia="SimHei" w:cs="SimHei"/>
          <w:sz w:val="20"/>
          <w:szCs w:val="20"/>
          <w:b/>
          <w:bCs/>
          <w:spacing w:val="-17"/>
        </w:rPr>
        <w:t>中国各行业就业人数占比：数字经济视角</w:t>
      </w:r>
    </w:p>
    <w:p>
      <w:pPr>
        <w:ind w:left="5450"/>
        <w:spacing w:before="202" w:line="220" w:lineRule="auto"/>
        <w:rPr>
          <w:rFonts w:ascii="SimSun" w:hAnsi="SimSun" w:eastAsia="SimSun" w:cs="SimSun"/>
          <w:sz w:val="16"/>
          <w:szCs w:val="16"/>
        </w:rPr>
      </w:pPr>
      <w:r>
        <w:rPr>
          <w:rFonts w:ascii="SimSun" w:hAnsi="SimSun" w:eastAsia="SimSun" w:cs="SimSun"/>
          <w:sz w:val="16"/>
          <w:szCs w:val="16"/>
          <w:spacing w:val="5"/>
        </w:rPr>
        <w:t>单位：%</w:t>
      </w:r>
    </w:p>
    <w:p>
      <w:pPr>
        <w:spacing w:line="80" w:lineRule="auto"/>
        <w:rPr>
          <w:rFonts w:ascii="Arial"/>
          <w:sz w:val="2"/>
        </w:rPr>
      </w:pPr>
      <w:r>
        <w:rPr>
          <w:rFonts w:ascii="Arial"/>
          <w:sz w:val="2"/>
        </w:rPr>
      </w:r>
    </w:p>
    <w:tbl>
      <w:tblPr>
        <w:tblStyle w:val="TableNormal"/>
        <w:tblW w:w="6049"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4"/>
        <w:gridCol w:w="1015"/>
        <w:gridCol w:w="1015"/>
        <w:gridCol w:w="1045"/>
        <w:gridCol w:w="1070"/>
      </w:tblGrid>
      <w:tr>
        <w:trPr>
          <w:trHeight w:val="324" w:hRule="atLeast"/>
        </w:trPr>
        <w:tc>
          <w:tcPr>
            <w:tcW w:w="1904" w:type="dxa"/>
            <w:vAlign w:val="top"/>
            <w:tcBorders>
              <w:bottom w:val="single" w:color="000000" w:sz="4" w:space="0"/>
              <w:top w:val="single" w:color="000000" w:sz="4" w:space="0"/>
            </w:tcBorders>
          </w:tcPr>
          <w:p>
            <w:pPr>
              <w:rPr>
                <w:rFonts w:ascii="Arial"/>
                <w:sz w:val="21"/>
              </w:rPr>
            </w:pPr>
            <w:r/>
          </w:p>
        </w:tc>
        <w:tc>
          <w:tcPr>
            <w:tcW w:w="1015" w:type="dxa"/>
            <w:vAlign w:val="top"/>
            <w:tcBorders>
              <w:bottom w:val="single" w:color="000000" w:sz="4" w:space="0"/>
              <w:top w:val="single" w:color="000000" w:sz="4" w:space="0"/>
            </w:tcBorders>
          </w:tcPr>
          <w:p>
            <w:pPr>
              <w:pStyle w:val="TableText"/>
              <w:ind w:left="288"/>
              <w:spacing w:before="79" w:line="219" w:lineRule="auto"/>
              <w:rPr>
                <w:sz w:val="16"/>
                <w:szCs w:val="16"/>
              </w:rPr>
            </w:pPr>
            <w:r>
              <w:rPr>
                <w:sz w:val="16"/>
                <w:szCs w:val="16"/>
                <w:b/>
                <w:bCs/>
                <w:spacing w:val="-3"/>
              </w:rPr>
              <w:t>2001年</w:t>
            </w:r>
          </w:p>
        </w:tc>
        <w:tc>
          <w:tcPr>
            <w:tcW w:w="1015" w:type="dxa"/>
            <w:vAlign w:val="top"/>
            <w:tcBorders>
              <w:bottom w:val="single" w:color="000000" w:sz="4" w:space="0"/>
              <w:top w:val="single" w:color="000000" w:sz="4" w:space="0"/>
            </w:tcBorders>
          </w:tcPr>
          <w:p>
            <w:pPr>
              <w:pStyle w:val="TableText"/>
              <w:ind w:left="263"/>
              <w:spacing w:before="79" w:line="219" w:lineRule="auto"/>
              <w:rPr>
                <w:sz w:val="16"/>
                <w:szCs w:val="16"/>
              </w:rPr>
            </w:pPr>
            <w:r>
              <w:rPr>
                <w:sz w:val="16"/>
                <w:szCs w:val="16"/>
                <w:b/>
                <w:bCs/>
                <w:spacing w:val="-3"/>
              </w:rPr>
              <w:t>2007年</w:t>
            </w:r>
          </w:p>
        </w:tc>
        <w:tc>
          <w:tcPr>
            <w:tcW w:w="1045" w:type="dxa"/>
            <w:vAlign w:val="top"/>
            <w:tcBorders>
              <w:bottom w:val="single" w:color="000000" w:sz="4" w:space="0"/>
              <w:top w:val="single" w:color="000000" w:sz="4" w:space="0"/>
            </w:tcBorders>
          </w:tcPr>
          <w:p>
            <w:pPr>
              <w:pStyle w:val="TableText"/>
              <w:ind w:left="288"/>
              <w:spacing w:before="79" w:line="219" w:lineRule="auto"/>
              <w:rPr>
                <w:sz w:val="16"/>
                <w:szCs w:val="16"/>
              </w:rPr>
            </w:pPr>
            <w:r>
              <w:rPr>
                <w:sz w:val="16"/>
                <w:szCs w:val="16"/>
                <w:b/>
                <w:bCs/>
                <w:spacing w:val="-3"/>
              </w:rPr>
              <w:t>2012年</w:t>
            </w:r>
          </w:p>
        </w:tc>
        <w:tc>
          <w:tcPr>
            <w:tcW w:w="1070" w:type="dxa"/>
            <w:vAlign w:val="top"/>
            <w:tcBorders>
              <w:bottom w:val="single" w:color="000000" w:sz="4" w:space="0"/>
              <w:top w:val="single" w:color="000000" w:sz="4" w:space="0"/>
            </w:tcBorders>
          </w:tcPr>
          <w:p>
            <w:pPr>
              <w:pStyle w:val="TableText"/>
              <w:ind w:left="293"/>
              <w:spacing w:before="79" w:line="219" w:lineRule="auto"/>
              <w:rPr>
                <w:sz w:val="16"/>
                <w:szCs w:val="16"/>
              </w:rPr>
            </w:pPr>
            <w:r>
              <w:rPr>
                <w:sz w:val="16"/>
                <w:szCs w:val="16"/>
                <w:b/>
                <w:bCs/>
                <w:spacing w:val="-3"/>
              </w:rPr>
              <w:t>2018年</w:t>
            </w:r>
          </w:p>
        </w:tc>
      </w:tr>
      <w:tr>
        <w:trPr>
          <w:trHeight w:val="324" w:hRule="atLeast"/>
        </w:trPr>
        <w:tc>
          <w:tcPr>
            <w:tcW w:w="1904" w:type="dxa"/>
            <w:vAlign w:val="top"/>
            <w:tcBorders>
              <w:top w:val="single" w:color="000000" w:sz="4" w:space="0"/>
            </w:tcBorders>
          </w:tcPr>
          <w:p>
            <w:pPr>
              <w:pStyle w:val="TableText"/>
              <w:ind w:left="110"/>
              <w:spacing w:before="87" w:line="219" w:lineRule="auto"/>
              <w:rPr>
                <w:sz w:val="16"/>
                <w:szCs w:val="16"/>
              </w:rPr>
            </w:pPr>
            <w:r>
              <w:rPr>
                <w:sz w:val="16"/>
                <w:szCs w:val="16"/>
              </w:rPr>
              <w:t>ICT</w:t>
            </w:r>
            <w:r>
              <w:rPr>
                <w:sz w:val="16"/>
                <w:szCs w:val="16"/>
                <w:spacing w:val="1"/>
              </w:rPr>
              <w:t>生产行业</w:t>
            </w:r>
          </w:p>
        </w:tc>
        <w:tc>
          <w:tcPr>
            <w:tcW w:w="1015" w:type="dxa"/>
            <w:vAlign w:val="top"/>
            <w:tcBorders>
              <w:top w:val="single" w:color="000000" w:sz="4" w:space="0"/>
            </w:tcBorders>
          </w:tcPr>
          <w:p>
            <w:pPr>
              <w:pStyle w:val="TableText"/>
              <w:ind w:left="405"/>
              <w:spacing w:before="128" w:line="184" w:lineRule="auto"/>
              <w:rPr>
                <w:sz w:val="16"/>
                <w:szCs w:val="16"/>
              </w:rPr>
            </w:pPr>
            <w:r>
              <w:rPr>
                <w:sz w:val="16"/>
                <w:szCs w:val="16"/>
                <w:spacing w:val="-5"/>
              </w:rPr>
              <w:t>1.2</w:t>
            </w:r>
          </w:p>
        </w:tc>
        <w:tc>
          <w:tcPr>
            <w:tcW w:w="1015" w:type="dxa"/>
            <w:vAlign w:val="top"/>
            <w:tcBorders>
              <w:top w:val="single" w:color="000000" w:sz="4" w:space="0"/>
            </w:tcBorders>
          </w:tcPr>
          <w:p>
            <w:pPr>
              <w:pStyle w:val="TableText"/>
              <w:ind w:left="380"/>
              <w:spacing w:before="128" w:line="184" w:lineRule="auto"/>
              <w:rPr>
                <w:sz w:val="16"/>
                <w:szCs w:val="16"/>
              </w:rPr>
            </w:pPr>
            <w:r>
              <w:rPr>
                <w:sz w:val="16"/>
                <w:szCs w:val="16"/>
                <w:spacing w:val="-5"/>
              </w:rPr>
              <w:t>1.8</w:t>
            </w:r>
          </w:p>
        </w:tc>
        <w:tc>
          <w:tcPr>
            <w:tcW w:w="1045" w:type="dxa"/>
            <w:vAlign w:val="top"/>
            <w:tcBorders>
              <w:top w:val="single" w:color="000000" w:sz="4" w:space="0"/>
            </w:tcBorders>
          </w:tcPr>
          <w:p>
            <w:pPr>
              <w:pStyle w:val="TableText"/>
              <w:ind w:left="406"/>
              <w:spacing w:before="128" w:line="183" w:lineRule="auto"/>
              <w:rPr>
                <w:sz w:val="16"/>
                <w:szCs w:val="16"/>
              </w:rPr>
            </w:pPr>
            <w:r>
              <w:rPr>
                <w:sz w:val="16"/>
                <w:szCs w:val="16"/>
                <w:spacing w:val="-2"/>
              </w:rPr>
              <w:t>2.2</w:t>
            </w:r>
          </w:p>
        </w:tc>
        <w:tc>
          <w:tcPr>
            <w:tcW w:w="1070" w:type="dxa"/>
            <w:vAlign w:val="top"/>
            <w:tcBorders>
              <w:top w:val="single" w:color="000000" w:sz="4" w:space="0"/>
            </w:tcBorders>
          </w:tcPr>
          <w:p>
            <w:pPr>
              <w:pStyle w:val="TableText"/>
              <w:ind w:left="410"/>
              <w:spacing w:before="128" w:line="183" w:lineRule="auto"/>
              <w:rPr>
                <w:sz w:val="16"/>
                <w:szCs w:val="16"/>
              </w:rPr>
            </w:pPr>
            <w:r>
              <w:rPr>
                <w:sz w:val="16"/>
                <w:szCs w:val="16"/>
                <w:spacing w:val="-2"/>
              </w:rPr>
              <w:t>2.3</w:t>
            </w:r>
          </w:p>
        </w:tc>
      </w:tr>
      <w:tr>
        <w:trPr>
          <w:trHeight w:val="314" w:hRule="atLeast"/>
        </w:trPr>
        <w:tc>
          <w:tcPr>
            <w:tcW w:w="1904" w:type="dxa"/>
            <w:vAlign w:val="top"/>
          </w:tcPr>
          <w:p>
            <w:pPr>
              <w:pStyle w:val="TableText"/>
              <w:ind w:left="110"/>
              <w:spacing w:before="83" w:line="219" w:lineRule="auto"/>
              <w:rPr>
                <w:sz w:val="16"/>
                <w:szCs w:val="16"/>
              </w:rPr>
            </w:pPr>
            <w:r>
              <w:rPr>
                <w:sz w:val="16"/>
                <w:szCs w:val="16"/>
              </w:rPr>
              <w:t>ICT集约使用制造业</w:t>
            </w:r>
          </w:p>
        </w:tc>
        <w:tc>
          <w:tcPr>
            <w:tcW w:w="1015" w:type="dxa"/>
            <w:vAlign w:val="top"/>
          </w:tcPr>
          <w:p>
            <w:pPr>
              <w:pStyle w:val="TableText"/>
              <w:ind w:left="405"/>
              <w:spacing w:before="124" w:line="183" w:lineRule="auto"/>
              <w:rPr>
                <w:sz w:val="16"/>
                <w:szCs w:val="16"/>
              </w:rPr>
            </w:pPr>
            <w:r>
              <w:rPr>
                <w:sz w:val="16"/>
                <w:szCs w:val="16"/>
                <w:spacing w:val="-3"/>
              </w:rPr>
              <w:t>5.4</w:t>
            </w:r>
          </w:p>
        </w:tc>
        <w:tc>
          <w:tcPr>
            <w:tcW w:w="1015" w:type="dxa"/>
            <w:vAlign w:val="top"/>
          </w:tcPr>
          <w:p>
            <w:pPr>
              <w:pStyle w:val="TableText"/>
              <w:ind w:left="380"/>
              <w:spacing w:before="124" w:line="183" w:lineRule="auto"/>
              <w:rPr>
                <w:sz w:val="16"/>
                <w:szCs w:val="16"/>
              </w:rPr>
            </w:pPr>
            <w:r>
              <w:rPr>
                <w:sz w:val="16"/>
                <w:szCs w:val="16"/>
                <w:spacing w:val="-2"/>
              </w:rPr>
              <w:t>6.4</w:t>
            </w:r>
          </w:p>
        </w:tc>
        <w:tc>
          <w:tcPr>
            <w:tcW w:w="1045" w:type="dxa"/>
            <w:vAlign w:val="top"/>
          </w:tcPr>
          <w:p>
            <w:pPr>
              <w:pStyle w:val="TableText"/>
              <w:ind w:left="406"/>
              <w:spacing w:before="124" w:line="183" w:lineRule="auto"/>
              <w:rPr>
                <w:sz w:val="16"/>
                <w:szCs w:val="16"/>
              </w:rPr>
            </w:pPr>
            <w:r>
              <w:rPr>
                <w:sz w:val="16"/>
                <w:szCs w:val="16"/>
                <w:spacing w:val="-3"/>
              </w:rPr>
              <w:t>7.3</w:t>
            </w:r>
          </w:p>
        </w:tc>
        <w:tc>
          <w:tcPr>
            <w:tcW w:w="1070" w:type="dxa"/>
            <w:vAlign w:val="top"/>
          </w:tcPr>
          <w:p>
            <w:pPr>
              <w:pStyle w:val="TableText"/>
              <w:ind w:left="410"/>
              <w:spacing w:before="124" w:line="183" w:lineRule="auto"/>
              <w:rPr>
                <w:sz w:val="16"/>
                <w:szCs w:val="16"/>
              </w:rPr>
            </w:pPr>
            <w:r>
              <w:rPr>
                <w:sz w:val="16"/>
                <w:szCs w:val="16"/>
                <w:spacing w:val="-2"/>
              </w:rPr>
              <w:t>6.9</w:t>
            </w:r>
          </w:p>
        </w:tc>
      </w:tr>
      <w:tr>
        <w:trPr>
          <w:trHeight w:val="319" w:hRule="atLeast"/>
        </w:trPr>
        <w:tc>
          <w:tcPr>
            <w:tcW w:w="1904" w:type="dxa"/>
            <w:vAlign w:val="top"/>
          </w:tcPr>
          <w:p>
            <w:pPr>
              <w:pStyle w:val="TableText"/>
              <w:ind w:left="110"/>
              <w:spacing w:before="79" w:line="219" w:lineRule="auto"/>
              <w:rPr>
                <w:sz w:val="16"/>
                <w:szCs w:val="16"/>
              </w:rPr>
            </w:pPr>
            <w:r>
              <w:rPr>
                <w:sz w:val="16"/>
                <w:szCs w:val="16"/>
              </w:rPr>
              <w:t>ICT集约使用服务业</w:t>
            </w:r>
          </w:p>
        </w:tc>
        <w:tc>
          <w:tcPr>
            <w:tcW w:w="1015" w:type="dxa"/>
            <w:vAlign w:val="top"/>
          </w:tcPr>
          <w:p>
            <w:pPr>
              <w:pStyle w:val="TableText"/>
              <w:ind w:left="365"/>
              <w:spacing w:before="120" w:line="184" w:lineRule="auto"/>
              <w:rPr>
                <w:sz w:val="16"/>
                <w:szCs w:val="16"/>
              </w:rPr>
            </w:pPr>
            <w:r>
              <w:rPr>
                <w:sz w:val="16"/>
                <w:szCs w:val="16"/>
                <w:spacing w:val="-4"/>
              </w:rPr>
              <w:t>10.5</w:t>
            </w:r>
          </w:p>
        </w:tc>
        <w:tc>
          <w:tcPr>
            <w:tcW w:w="1015" w:type="dxa"/>
            <w:vAlign w:val="top"/>
          </w:tcPr>
          <w:p>
            <w:pPr>
              <w:pStyle w:val="TableText"/>
              <w:ind w:left="341"/>
              <w:spacing w:before="120" w:line="184" w:lineRule="auto"/>
              <w:rPr>
                <w:sz w:val="16"/>
                <w:szCs w:val="16"/>
              </w:rPr>
            </w:pPr>
            <w:r>
              <w:rPr>
                <w:sz w:val="16"/>
                <w:szCs w:val="16"/>
                <w:spacing w:val="-4"/>
              </w:rPr>
              <w:t>11.9</w:t>
            </w:r>
          </w:p>
        </w:tc>
        <w:tc>
          <w:tcPr>
            <w:tcW w:w="1045" w:type="dxa"/>
            <w:vAlign w:val="top"/>
          </w:tcPr>
          <w:p>
            <w:pPr>
              <w:pStyle w:val="TableText"/>
              <w:ind w:left="365"/>
              <w:spacing w:before="120" w:line="184" w:lineRule="auto"/>
              <w:rPr>
                <w:sz w:val="16"/>
                <w:szCs w:val="16"/>
              </w:rPr>
            </w:pPr>
            <w:r>
              <w:rPr>
                <w:sz w:val="16"/>
                <w:szCs w:val="16"/>
                <w:spacing w:val="-4"/>
              </w:rPr>
              <w:t>13.4</w:t>
            </w:r>
          </w:p>
        </w:tc>
        <w:tc>
          <w:tcPr>
            <w:tcW w:w="1070" w:type="dxa"/>
            <w:vAlign w:val="top"/>
          </w:tcPr>
          <w:p>
            <w:pPr>
              <w:pStyle w:val="TableText"/>
              <w:ind w:left="371"/>
              <w:spacing w:before="120" w:line="184" w:lineRule="auto"/>
              <w:rPr>
                <w:sz w:val="16"/>
                <w:szCs w:val="16"/>
              </w:rPr>
            </w:pPr>
            <w:r>
              <w:rPr>
                <w:sz w:val="16"/>
                <w:szCs w:val="16"/>
                <w:spacing w:val="-4"/>
              </w:rPr>
              <w:t>17.0</w:t>
            </w:r>
          </w:p>
        </w:tc>
      </w:tr>
      <w:tr>
        <w:trPr>
          <w:trHeight w:val="329" w:hRule="atLeast"/>
        </w:trPr>
        <w:tc>
          <w:tcPr>
            <w:tcW w:w="1904" w:type="dxa"/>
            <w:vAlign w:val="top"/>
          </w:tcPr>
          <w:p>
            <w:pPr>
              <w:pStyle w:val="TableText"/>
              <w:ind w:left="110"/>
              <w:spacing w:before="90" w:line="219" w:lineRule="auto"/>
              <w:rPr>
                <w:sz w:val="16"/>
                <w:szCs w:val="16"/>
              </w:rPr>
            </w:pPr>
            <w:r>
              <w:rPr>
                <w:sz w:val="16"/>
                <w:szCs w:val="16"/>
                <w:spacing w:val="-1"/>
              </w:rPr>
              <w:t>非ICT集约使用制造业</w:t>
            </w:r>
          </w:p>
        </w:tc>
        <w:tc>
          <w:tcPr>
            <w:tcW w:w="1015" w:type="dxa"/>
            <w:vAlign w:val="top"/>
          </w:tcPr>
          <w:p>
            <w:pPr>
              <w:pStyle w:val="TableText"/>
              <w:ind w:left="405"/>
              <w:spacing w:before="131" w:line="183" w:lineRule="auto"/>
              <w:rPr>
                <w:sz w:val="16"/>
                <w:szCs w:val="16"/>
              </w:rPr>
            </w:pPr>
            <w:r>
              <w:rPr>
                <w:sz w:val="16"/>
                <w:szCs w:val="16"/>
                <w:spacing w:val="-2"/>
              </w:rPr>
              <w:t>8.2</w:t>
            </w:r>
          </w:p>
        </w:tc>
        <w:tc>
          <w:tcPr>
            <w:tcW w:w="1015" w:type="dxa"/>
            <w:vAlign w:val="top"/>
          </w:tcPr>
          <w:p>
            <w:pPr>
              <w:pStyle w:val="TableText"/>
              <w:ind w:left="341"/>
              <w:spacing w:before="131" w:line="184" w:lineRule="auto"/>
              <w:rPr>
                <w:sz w:val="16"/>
                <w:szCs w:val="16"/>
              </w:rPr>
            </w:pPr>
            <w:r>
              <w:rPr>
                <w:sz w:val="16"/>
                <w:szCs w:val="16"/>
                <w:spacing w:val="-4"/>
              </w:rPr>
              <w:t>10.2</w:t>
            </w:r>
          </w:p>
        </w:tc>
        <w:tc>
          <w:tcPr>
            <w:tcW w:w="1045" w:type="dxa"/>
            <w:vAlign w:val="top"/>
          </w:tcPr>
          <w:p>
            <w:pPr>
              <w:pStyle w:val="TableText"/>
              <w:ind w:left="365"/>
              <w:spacing w:before="131" w:line="184" w:lineRule="auto"/>
              <w:rPr>
                <w:sz w:val="16"/>
                <w:szCs w:val="16"/>
              </w:rPr>
            </w:pPr>
            <w:r>
              <w:rPr>
                <w:sz w:val="16"/>
                <w:szCs w:val="16"/>
                <w:spacing w:val="-4"/>
              </w:rPr>
              <w:t>10.7</w:t>
            </w:r>
          </w:p>
        </w:tc>
        <w:tc>
          <w:tcPr>
            <w:tcW w:w="1070" w:type="dxa"/>
            <w:vAlign w:val="top"/>
          </w:tcPr>
          <w:p>
            <w:pPr>
              <w:pStyle w:val="TableText"/>
              <w:ind w:left="410"/>
              <w:spacing w:before="131" w:line="183" w:lineRule="auto"/>
              <w:rPr>
                <w:sz w:val="16"/>
                <w:szCs w:val="16"/>
              </w:rPr>
            </w:pPr>
            <w:r>
              <w:rPr>
                <w:sz w:val="16"/>
                <w:szCs w:val="16"/>
                <w:spacing w:val="-2"/>
              </w:rPr>
              <w:t>8.9</w:t>
            </w:r>
          </w:p>
        </w:tc>
      </w:tr>
      <w:tr>
        <w:trPr>
          <w:trHeight w:val="320" w:hRule="atLeast"/>
        </w:trPr>
        <w:tc>
          <w:tcPr>
            <w:tcW w:w="1904" w:type="dxa"/>
            <w:vAlign w:val="top"/>
          </w:tcPr>
          <w:p>
            <w:pPr>
              <w:pStyle w:val="TableText"/>
              <w:ind w:left="110"/>
              <w:spacing w:before="91" w:line="219" w:lineRule="auto"/>
              <w:rPr>
                <w:sz w:val="16"/>
                <w:szCs w:val="16"/>
              </w:rPr>
            </w:pPr>
            <w:r>
              <w:rPr>
                <w:sz w:val="16"/>
                <w:szCs w:val="16"/>
                <w:spacing w:val="-1"/>
              </w:rPr>
              <w:t>非ICT集约使用服务业</w:t>
            </w:r>
          </w:p>
        </w:tc>
        <w:tc>
          <w:tcPr>
            <w:tcW w:w="1015" w:type="dxa"/>
            <w:vAlign w:val="top"/>
          </w:tcPr>
          <w:p>
            <w:pPr>
              <w:pStyle w:val="TableText"/>
              <w:ind w:left="405"/>
              <w:spacing w:before="132" w:line="184" w:lineRule="auto"/>
              <w:rPr>
                <w:sz w:val="16"/>
                <w:szCs w:val="16"/>
              </w:rPr>
            </w:pPr>
            <w:r>
              <w:rPr>
                <w:sz w:val="16"/>
                <w:szCs w:val="16"/>
                <w:spacing w:val="-3"/>
              </w:rPr>
              <w:t>7.1</w:t>
            </w:r>
          </w:p>
        </w:tc>
        <w:tc>
          <w:tcPr>
            <w:tcW w:w="1015" w:type="dxa"/>
            <w:vAlign w:val="top"/>
          </w:tcPr>
          <w:p>
            <w:pPr>
              <w:pStyle w:val="TableText"/>
              <w:ind w:left="380"/>
              <w:spacing w:before="132" w:line="183" w:lineRule="auto"/>
              <w:rPr>
                <w:sz w:val="16"/>
                <w:szCs w:val="16"/>
              </w:rPr>
            </w:pPr>
            <w:r>
              <w:rPr>
                <w:sz w:val="16"/>
                <w:szCs w:val="16"/>
                <w:spacing w:val="-2"/>
              </w:rPr>
              <w:t>8.6</w:t>
            </w:r>
          </w:p>
        </w:tc>
        <w:tc>
          <w:tcPr>
            <w:tcW w:w="1045" w:type="dxa"/>
            <w:vAlign w:val="top"/>
          </w:tcPr>
          <w:p>
            <w:pPr>
              <w:pStyle w:val="TableText"/>
              <w:ind w:left="406"/>
              <w:spacing w:before="132" w:line="183" w:lineRule="auto"/>
              <w:rPr>
                <w:sz w:val="16"/>
                <w:szCs w:val="16"/>
              </w:rPr>
            </w:pPr>
            <w:r>
              <w:rPr>
                <w:sz w:val="16"/>
                <w:szCs w:val="16"/>
                <w:spacing w:val="-2"/>
              </w:rPr>
              <w:t>9.4</w:t>
            </w:r>
          </w:p>
        </w:tc>
        <w:tc>
          <w:tcPr>
            <w:tcW w:w="1070" w:type="dxa"/>
            <w:vAlign w:val="top"/>
          </w:tcPr>
          <w:p>
            <w:pPr>
              <w:pStyle w:val="TableText"/>
              <w:ind w:left="371"/>
              <w:spacing w:before="132" w:line="184" w:lineRule="auto"/>
              <w:rPr>
                <w:sz w:val="16"/>
                <w:szCs w:val="16"/>
              </w:rPr>
            </w:pPr>
            <w:r>
              <w:rPr>
                <w:sz w:val="16"/>
                <w:szCs w:val="16"/>
                <w:spacing w:val="-4"/>
              </w:rPr>
              <w:t>11.9</w:t>
            </w:r>
          </w:p>
        </w:tc>
      </w:tr>
      <w:tr>
        <w:trPr>
          <w:trHeight w:val="313" w:hRule="atLeast"/>
        </w:trPr>
        <w:tc>
          <w:tcPr>
            <w:tcW w:w="1904" w:type="dxa"/>
            <w:vAlign w:val="top"/>
          </w:tcPr>
          <w:p>
            <w:pPr>
              <w:pStyle w:val="TableText"/>
              <w:ind w:left="110"/>
              <w:spacing w:before="83" w:line="221" w:lineRule="auto"/>
              <w:rPr>
                <w:sz w:val="16"/>
                <w:szCs w:val="16"/>
              </w:rPr>
            </w:pPr>
            <w:r>
              <w:rPr>
                <w:sz w:val="16"/>
                <w:szCs w:val="16"/>
                <w:spacing w:val="-2"/>
              </w:rPr>
              <w:t>农业</w:t>
            </w:r>
          </w:p>
        </w:tc>
        <w:tc>
          <w:tcPr>
            <w:tcW w:w="1015" w:type="dxa"/>
            <w:vAlign w:val="top"/>
          </w:tcPr>
          <w:p>
            <w:pPr>
              <w:pStyle w:val="TableText"/>
              <w:ind w:left="365"/>
              <w:spacing w:before="122" w:line="183" w:lineRule="auto"/>
              <w:rPr>
                <w:sz w:val="16"/>
                <w:szCs w:val="16"/>
              </w:rPr>
            </w:pPr>
            <w:r>
              <w:rPr>
                <w:sz w:val="16"/>
                <w:szCs w:val="16"/>
                <w:spacing w:val="-2"/>
              </w:rPr>
              <w:t>50.0</w:t>
            </w:r>
          </w:p>
        </w:tc>
        <w:tc>
          <w:tcPr>
            <w:tcW w:w="1015" w:type="dxa"/>
            <w:vAlign w:val="top"/>
          </w:tcPr>
          <w:p>
            <w:pPr>
              <w:pStyle w:val="TableText"/>
              <w:ind w:left="341"/>
              <w:spacing w:before="122" w:line="184" w:lineRule="auto"/>
              <w:rPr>
                <w:sz w:val="16"/>
                <w:szCs w:val="16"/>
              </w:rPr>
            </w:pPr>
            <w:r>
              <w:rPr>
                <w:sz w:val="16"/>
                <w:szCs w:val="16"/>
                <w:spacing w:val="-2"/>
              </w:rPr>
              <w:t>41.7</w:t>
            </w:r>
          </w:p>
        </w:tc>
        <w:tc>
          <w:tcPr>
            <w:tcW w:w="1045" w:type="dxa"/>
            <w:vAlign w:val="top"/>
          </w:tcPr>
          <w:p>
            <w:pPr>
              <w:pStyle w:val="TableText"/>
              <w:ind w:left="365"/>
              <w:spacing w:before="122" w:line="183" w:lineRule="auto"/>
              <w:rPr>
                <w:sz w:val="16"/>
                <w:szCs w:val="16"/>
              </w:rPr>
            </w:pPr>
            <w:r>
              <w:rPr>
                <w:sz w:val="16"/>
                <w:szCs w:val="16"/>
                <w:spacing w:val="-2"/>
              </w:rPr>
              <w:t>34.2</w:t>
            </w:r>
          </w:p>
        </w:tc>
        <w:tc>
          <w:tcPr>
            <w:tcW w:w="1070" w:type="dxa"/>
            <w:vAlign w:val="top"/>
          </w:tcPr>
          <w:p>
            <w:pPr>
              <w:pStyle w:val="TableText"/>
              <w:ind w:left="371"/>
              <w:spacing w:before="122" w:line="183" w:lineRule="auto"/>
              <w:rPr>
                <w:sz w:val="16"/>
                <w:szCs w:val="16"/>
              </w:rPr>
            </w:pPr>
            <w:r>
              <w:rPr>
                <w:sz w:val="16"/>
                <w:szCs w:val="16"/>
                <w:spacing w:val="-2"/>
              </w:rPr>
              <w:t>26.8</w:t>
            </w:r>
          </w:p>
        </w:tc>
      </w:tr>
      <w:tr>
        <w:trPr>
          <w:trHeight w:val="325" w:hRule="atLeast"/>
        </w:trPr>
        <w:tc>
          <w:tcPr>
            <w:tcW w:w="1904" w:type="dxa"/>
            <w:vAlign w:val="top"/>
          </w:tcPr>
          <w:p>
            <w:pPr>
              <w:pStyle w:val="TableText"/>
              <w:ind w:left="110"/>
              <w:spacing w:before="87" w:line="219" w:lineRule="auto"/>
              <w:rPr>
                <w:sz w:val="16"/>
                <w:szCs w:val="16"/>
              </w:rPr>
            </w:pPr>
            <w:r>
              <w:rPr>
                <w:sz w:val="16"/>
                <w:szCs w:val="16"/>
                <w:spacing w:val="-2"/>
              </w:rPr>
              <w:t>采掘业</w:t>
            </w:r>
          </w:p>
        </w:tc>
        <w:tc>
          <w:tcPr>
            <w:tcW w:w="1015" w:type="dxa"/>
            <w:vAlign w:val="top"/>
          </w:tcPr>
          <w:p>
            <w:pPr>
              <w:pStyle w:val="TableText"/>
              <w:ind w:left="405"/>
              <w:spacing w:before="129" w:line="184" w:lineRule="auto"/>
              <w:rPr>
                <w:sz w:val="16"/>
                <w:szCs w:val="16"/>
              </w:rPr>
            </w:pPr>
            <w:r>
              <w:rPr>
                <w:sz w:val="16"/>
                <w:szCs w:val="16"/>
                <w:spacing w:val="-5"/>
              </w:rPr>
              <w:t>1.6</w:t>
            </w:r>
          </w:p>
        </w:tc>
        <w:tc>
          <w:tcPr>
            <w:tcW w:w="1015" w:type="dxa"/>
            <w:vAlign w:val="top"/>
          </w:tcPr>
          <w:p>
            <w:pPr>
              <w:pStyle w:val="TableText"/>
              <w:ind w:left="380"/>
              <w:spacing w:before="129" w:line="184" w:lineRule="auto"/>
              <w:rPr>
                <w:sz w:val="16"/>
                <w:szCs w:val="16"/>
              </w:rPr>
            </w:pPr>
            <w:r>
              <w:rPr>
                <w:sz w:val="16"/>
                <w:szCs w:val="16"/>
                <w:spacing w:val="-5"/>
              </w:rPr>
              <w:t>1.6</w:t>
            </w:r>
          </w:p>
        </w:tc>
        <w:tc>
          <w:tcPr>
            <w:tcW w:w="1045" w:type="dxa"/>
            <w:vAlign w:val="top"/>
          </w:tcPr>
          <w:p>
            <w:pPr>
              <w:pStyle w:val="TableText"/>
              <w:ind w:left="406"/>
              <w:spacing w:before="129" w:line="184" w:lineRule="auto"/>
              <w:rPr>
                <w:sz w:val="16"/>
                <w:szCs w:val="16"/>
              </w:rPr>
            </w:pPr>
            <w:r>
              <w:rPr>
                <w:sz w:val="16"/>
                <w:szCs w:val="16"/>
                <w:spacing w:val="-5"/>
              </w:rPr>
              <w:t>1.5</w:t>
            </w:r>
          </w:p>
        </w:tc>
        <w:tc>
          <w:tcPr>
            <w:tcW w:w="1070" w:type="dxa"/>
            <w:vAlign w:val="top"/>
          </w:tcPr>
          <w:p>
            <w:pPr>
              <w:pStyle w:val="TableText"/>
              <w:ind w:left="410"/>
              <w:spacing w:before="129" w:line="183" w:lineRule="auto"/>
              <w:rPr>
                <w:sz w:val="16"/>
                <w:szCs w:val="16"/>
              </w:rPr>
            </w:pPr>
            <w:r>
              <w:rPr>
                <w:sz w:val="16"/>
                <w:szCs w:val="16"/>
                <w:spacing w:val="-2"/>
              </w:rPr>
              <w:t>0.9</w:t>
            </w:r>
          </w:p>
        </w:tc>
      </w:tr>
      <w:tr>
        <w:trPr>
          <w:trHeight w:val="323" w:hRule="atLeast"/>
        </w:trPr>
        <w:tc>
          <w:tcPr>
            <w:tcW w:w="1904" w:type="dxa"/>
            <w:vAlign w:val="top"/>
          </w:tcPr>
          <w:p>
            <w:pPr>
              <w:pStyle w:val="TableText"/>
              <w:ind w:left="110"/>
              <w:spacing w:before="94" w:line="220" w:lineRule="auto"/>
              <w:rPr>
                <w:sz w:val="16"/>
                <w:szCs w:val="16"/>
              </w:rPr>
            </w:pPr>
            <w:r>
              <w:rPr>
                <w:sz w:val="16"/>
                <w:szCs w:val="16"/>
                <w:spacing w:val="-2"/>
              </w:rPr>
              <w:t>建筑业</w:t>
            </w:r>
          </w:p>
        </w:tc>
        <w:tc>
          <w:tcPr>
            <w:tcW w:w="1015" w:type="dxa"/>
            <w:vAlign w:val="top"/>
          </w:tcPr>
          <w:p>
            <w:pPr>
              <w:pStyle w:val="TableText"/>
              <w:ind w:left="405"/>
              <w:spacing w:before="134" w:line="183" w:lineRule="auto"/>
              <w:rPr>
                <w:sz w:val="16"/>
                <w:szCs w:val="16"/>
              </w:rPr>
            </w:pPr>
            <w:r>
              <w:rPr>
                <w:sz w:val="16"/>
                <w:szCs w:val="16"/>
                <w:spacing w:val="-2"/>
              </w:rPr>
              <w:t>6.5</w:t>
            </w:r>
          </w:p>
        </w:tc>
        <w:tc>
          <w:tcPr>
            <w:tcW w:w="1015" w:type="dxa"/>
            <w:vAlign w:val="top"/>
          </w:tcPr>
          <w:p>
            <w:pPr>
              <w:pStyle w:val="TableText"/>
              <w:ind w:left="380"/>
              <w:spacing w:before="134" w:line="183" w:lineRule="auto"/>
              <w:rPr>
                <w:sz w:val="16"/>
                <w:szCs w:val="16"/>
              </w:rPr>
            </w:pPr>
            <w:r>
              <w:rPr>
                <w:sz w:val="16"/>
                <w:szCs w:val="16"/>
                <w:spacing w:val="-2"/>
              </w:rPr>
              <w:t>6.5</w:t>
            </w:r>
          </w:p>
        </w:tc>
        <w:tc>
          <w:tcPr>
            <w:tcW w:w="1045" w:type="dxa"/>
            <w:vAlign w:val="top"/>
          </w:tcPr>
          <w:p>
            <w:pPr>
              <w:pStyle w:val="TableText"/>
              <w:ind w:left="406"/>
              <w:spacing w:before="134" w:line="183" w:lineRule="auto"/>
              <w:rPr>
                <w:sz w:val="16"/>
                <w:szCs w:val="16"/>
              </w:rPr>
            </w:pPr>
            <w:r>
              <w:rPr>
                <w:sz w:val="16"/>
                <w:szCs w:val="16"/>
                <w:spacing w:val="-2"/>
              </w:rPr>
              <w:t>8.7</w:t>
            </w:r>
          </w:p>
        </w:tc>
        <w:tc>
          <w:tcPr>
            <w:tcW w:w="1070" w:type="dxa"/>
            <w:vAlign w:val="top"/>
          </w:tcPr>
          <w:p>
            <w:pPr>
              <w:pStyle w:val="TableText"/>
              <w:ind w:left="410"/>
              <w:spacing w:before="134" w:line="183" w:lineRule="auto"/>
              <w:rPr>
                <w:sz w:val="16"/>
                <w:szCs w:val="16"/>
              </w:rPr>
            </w:pPr>
            <w:r>
              <w:rPr>
                <w:sz w:val="16"/>
                <w:szCs w:val="16"/>
                <w:spacing w:val="-2"/>
              </w:rPr>
              <w:t>9.7</w:t>
            </w:r>
          </w:p>
        </w:tc>
      </w:tr>
      <w:tr>
        <w:trPr>
          <w:trHeight w:val="319" w:hRule="atLeast"/>
        </w:trPr>
        <w:tc>
          <w:tcPr>
            <w:tcW w:w="1904" w:type="dxa"/>
            <w:vAlign w:val="top"/>
            <w:tcBorders>
              <w:bottom w:val="single" w:color="000000" w:sz="4" w:space="0"/>
            </w:tcBorders>
          </w:tcPr>
          <w:p>
            <w:pPr>
              <w:pStyle w:val="TableText"/>
              <w:ind w:left="110"/>
              <w:spacing w:before="90" w:line="219" w:lineRule="auto"/>
              <w:rPr>
                <w:sz w:val="16"/>
                <w:szCs w:val="16"/>
              </w:rPr>
            </w:pPr>
            <w:r>
              <w:rPr>
                <w:sz w:val="16"/>
                <w:szCs w:val="16"/>
                <w:spacing w:val="-2"/>
              </w:rPr>
              <w:t>非市场服务业</w:t>
            </w:r>
          </w:p>
        </w:tc>
        <w:tc>
          <w:tcPr>
            <w:tcW w:w="1015" w:type="dxa"/>
            <w:vAlign w:val="top"/>
            <w:tcBorders>
              <w:bottom w:val="single" w:color="000000" w:sz="4" w:space="0"/>
            </w:tcBorders>
          </w:tcPr>
          <w:p>
            <w:pPr>
              <w:pStyle w:val="TableText"/>
              <w:ind w:left="405"/>
              <w:spacing w:before="131" w:line="183" w:lineRule="auto"/>
              <w:rPr>
                <w:sz w:val="16"/>
                <w:szCs w:val="16"/>
              </w:rPr>
            </w:pPr>
            <w:r>
              <w:rPr>
                <w:sz w:val="16"/>
                <w:szCs w:val="16"/>
                <w:spacing w:val="-2"/>
              </w:rPr>
              <w:t>9.5</w:t>
            </w:r>
          </w:p>
        </w:tc>
        <w:tc>
          <w:tcPr>
            <w:tcW w:w="1015" w:type="dxa"/>
            <w:vAlign w:val="top"/>
            <w:tcBorders>
              <w:bottom w:val="single" w:color="000000" w:sz="4" w:space="0"/>
            </w:tcBorders>
          </w:tcPr>
          <w:p>
            <w:pPr>
              <w:pStyle w:val="TableText"/>
              <w:ind w:left="341"/>
              <w:spacing w:before="131" w:line="184" w:lineRule="auto"/>
              <w:rPr>
                <w:sz w:val="16"/>
                <w:szCs w:val="16"/>
              </w:rPr>
            </w:pPr>
            <w:r>
              <w:rPr>
                <w:sz w:val="16"/>
                <w:szCs w:val="16"/>
                <w:spacing w:val="-4"/>
              </w:rPr>
              <w:t>11.3</w:t>
            </w:r>
          </w:p>
        </w:tc>
        <w:tc>
          <w:tcPr>
            <w:tcW w:w="1045" w:type="dxa"/>
            <w:vAlign w:val="top"/>
            <w:tcBorders>
              <w:bottom w:val="single" w:color="000000" w:sz="4" w:space="0"/>
            </w:tcBorders>
          </w:tcPr>
          <w:p>
            <w:pPr>
              <w:pStyle w:val="TableText"/>
              <w:ind w:left="365"/>
              <w:spacing w:before="131" w:line="184" w:lineRule="auto"/>
              <w:rPr>
                <w:sz w:val="16"/>
                <w:szCs w:val="16"/>
              </w:rPr>
            </w:pPr>
            <w:r>
              <w:rPr>
                <w:sz w:val="16"/>
                <w:szCs w:val="16"/>
                <w:spacing w:val="-4"/>
              </w:rPr>
              <w:t>12.6</w:t>
            </w:r>
          </w:p>
        </w:tc>
        <w:tc>
          <w:tcPr>
            <w:tcW w:w="1070" w:type="dxa"/>
            <w:vAlign w:val="top"/>
            <w:tcBorders>
              <w:bottom w:val="single" w:color="000000" w:sz="4" w:space="0"/>
            </w:tcBorders>
          </w:tcPr>
          <w:p>
            <w:pPr>
              <w:pStyle w:val="TableText"/>
              <w:ind w:left="371"/>
              <w:spacing w:before="131" w:line="184" w:lineRule="auto"/>
              <w:rPr>
                <w:sz w:val="16"/>
                <w:szCs w:val="16"/>
              </w:rPr>
            </w:pPr>
            <w:r>
              <w:rPr>
                <w:sz w:val="16"/>
                <w:szCs w:val="16"/>
                <w:spacing w:val="-4"/>
              </w:rPr>
              <w:t>15.7</w:t>
            </w:r>
          </w:p>
        </w:tc>
      </w:tr>
    </w:tbl>
    <w:p>
      <w:pPr>
        <w:ind w:left="379"/>
        <w:spacing w:before="145" w:line="220" w:lineRule="auto"/>
        <w:rPr>
          <w:rFonts w:ascii="KaiTi" w:hAnsi="KaiTi" w:eastAsia="KaiTi" w:cs="KaiTi"/>
          <w:sz w:val="16"/>
          <w:szCs w:val="16"/>
        </w:rPr>
      </w:pPr>
      <w:r>
        <w:rPr>
          <w:rFonts w:ascii="KaiTi" w:hAnsi="KaiTi" w:eastAsia="KaiTi" w:cs="KaiTi"/>
          <w:sz w:val="16"/>
          <w:szCs w:val="16"/>
        </w:rPr>
        <w:t>资料来源：作者计算，数据出处及构建方法见本章第三节。</w:t>
      </w:r>
    </w:p>
    <w:p>
      <w:pPr>
        <w:spacing w:line="220" w:lineRule="auto"/>
        <w:sectPr>
          <w:headerReference w:type="default" r:id="rId115"/>
          <w:footerReference w:type="default" r:id="rId2"/>
          <w:pgSz w:w="7330" w:h="12480"/>
          <w:pgMar w:top="485" w:right="720" w:bottom="400" w:left="540" w:header="322" w:footer="0" w:gutter="0"/>
        </w:sectPr>
        <w:rPr>
          <w:rFonts w:ascii="KaiTi" w:hAnsi="KaiTi" w:eastAsia="KaiTi" w:cs="KaiTi"/>
          <w:sz w:val="16"/>
          <w:szCs w:val="16"/>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right="3"/>
        <w:spacing w:before="68" w:line="298" w:lineRule="auto"/>
        <w:jc w:val="both"/>
        <w:rPr>
          <w:rFonts w:ascii="SimSun" w:hAnsi="SimSun" w:eastAsia="SimSun" w:cs="SimSun"/>
          <w:sz w:val="21"/>
          <w:szCs w:val="21"/>
        </w:rPr>
      </w:pPr>
      <w:r>
        <w:rPr>
          <w:rFonts w:ascii="SimSun" w:hAnsi="SimSun" w:eastAsia="SimSun" w:cs="SimSun"/>
          <w:sz w:val="21"/>
          <w:szCs w:val="21"/>
          <w:spacing w:val="5"/>
        </w:rPr>
        <w:t>吸收了约7800万，非</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集约使用部门吸收了约49</w:t>
      </w:r>
      <w:r>
        <w:rPr>
          <w:rFonts w:ascii="SimSun" w:hAnsi="SimSun" w:eastAsia="SimSun" w:cs="SimSun"/>
          <w:sz w:val="21"/>
          <w:szCs w:val="21"/>
          <w:spacing w:val="4"/>
        </w:rPr>
        <w:t>00万。还应该</w:t>
      </w:r>
      <w:r>
        <w:rPr>
          <w:rFonts w:ascii="SimSun" w:hAnsi="SimSun" w:eastAsia="SimSun" w:cs="SimSun"/>
          <w:sz w:val="21"/>
          <w:szCs w:val="21"/>
        </w:rPr>
        <w:t xml:space="preserve"> </w:t>
      </w:r>
      <w:r>
        <w:rPr>
          <w:rFonts w:ascii="SimSun" w:hAnsi="SimSun" w:eastAsia="SimSun" w:cs="SimSun"/>
          <w:sz w:val="21"/>
          <w:szCs w:val="21"/>
          <w:spacing w:val="-11"/>
        </w:rPr>
        <w:t>特别注意的是，从三个时期来看， </w:t>
      </w:r>
      <w:r>
        <w:rPr>
          <w:rFonts w:ascii="Times New Roman" w:hAnsi="Times New Roman" w:eastAsia="Times New Roman" w:cs="Times New Roman"/>
          <w:sz w:val="21"/>
          <w:szCs w:val="21"/>
          <w:spacing w:val="-11"/>
        </w:rPr>
        <w:t>ICT </w:t>
      </w:r>
      <w:r>
        <w:rPr>
          <w:rFonts w:ascii="SimSun" w:hAnsi="SimSun" w:eastAsia="SimSun" w:cs="SimSun"/>
          <w:sz w:val="21"/>
          <w:szCs w:val="21"/>
          <w:spacing w:val="-11"/>
        </w:rPr>
        <w:t>生</w:t>
      </w:r>
      <w:r>
        <w:rPr>
          <w:rFonts w:ascii="SimSun" w:hAnsi="SimSun" w:eastAsia="SimSun" w:cs="SimSun"/>
          <w:sz w:val="21"/>
          <w:szCs w:val="21"/>
          <w:spacing w:val="-12"/>
        </w:rPr>
        <w:t>产和集约使用部门在每个时</w:t>
      </w:r>
      <w:r>
        <w:rPr>
          <w:rFonts w:ascii="SimSun" w:hAnsi="SimSun" w:eastAsia="SimSun" w:cs="SimSun"/>
          <w:sz w:val="21"/>
          <w:szCs w:val="21"/>
        </w:rPr>
        <w:t xml:space="preserve"> </w:t>
      </w:r>
      <w:r>
        <w:rPr>
          <w:rFonts w:ascii="SimSun" w:hAnsi="SimSun" w:eastAsia="SimSun" w:cs="SimSun"/>
          <w:sz w:val="21"/>
          <w:szCs w:val="21"/>
        </w:rPr>
        <w:t>期都可以保持大致2500万的就业增加。相比之下，</w:t>
      </w:r>
      <w:r>
        <w:rPr>
          <w:rFonts w:ascii="SimSun" w:hAnsi="SimSun" w:eastAsia="SimSun" w:cs="SimSun"/>
          <w:sz w:val="21"/>
          <w:szCs w:val="21"/>
          <w:spacing w:val="-1"/>
        </w:rPr>
        <w:t>非</w:t>
      </w:r>
      <w:r>
        <w:rPr>
          <w:rFonts w:ascii="Times New Roman" w:hAnsi="Times New Roman" w:eastAsia="Times New Roman" w:cs="Times New Roman"/>
          <w:sz w:val="21"/>
          <w:szCs w:val="21"/>
          <w:spacing w:val="-1"/>
        </w:rPr>
        <w:t>ICT</w:t>
      </w:r>
      <w:r>
        <w:rPr>
          <w:rFonts w:ascii="SimSun" w:hAnsi="SimSun" w:eastAsia="SimSun" w:cs="SimSun"/>
          <w:sz w:val="21"/>
          <w:szCs w:val="21"/>
          <w:spacing w:val="-1"/>
        </w:rPr>
        <w:t>集约使用</w:t>
      </w:r>
      <w:r>
        <w:rPr>
          <w:rFonts w:ascii="SimSun" w:hAnsi="SimSun" w:eastAsia="SimSun" w:cs="SimSun"/>
          <w:sz w:val="21"/>
          <w:szCs w:val="21"/>
        </w:rPr>
        <w:t xml:space="preserve"> </w:t>
      </w:r>
      <w:r>
        <w:rPr>
          <w:rFonts w:ascii="SimSun" w:hAnsi="SimSun" w:eastAsia="SimSun" w:cs="SimSun"/>
          <w:sz w:val="21"/>
          <w:szCs w:val="21"/>
          <w:spacing w:val="-3"/>
        </w:rPr>
        <w:t>部门每个时期的就业增量持续下降，从加入世界贸易组织后的3000</w:t>
      </w:r>
      <w:r>
        <w:rPr>
          <w:rFonts w:ascii="SimSun" w:hAnsi="SimSun" w:eastAsia="SimSun" w:cs="SimSun"/>
          <w:sz w:val="21"/>
          <w:szCs w:val="21"/>
          <w:spacing w:val="2"/>
        </w:rPr>
        <w:t xml:space="preserve"> </w:t>
      </w:r>
      <w:r>
        <w:rPr>
          <w:rFonts w:ascii="SimSun" w:hAnsi="SimSun" w:eastAsia="SimSun" w:cs="SimSun"/>
          <w:sz w:val="21"/>
          <w:szCs w:val="21"/>
        </w:rPr>
        <w:t>万降至危机后早期的1300万，进而降至危机后晚期的约700万。这</w:t>
      </w:r>
      <w:r>
        <w:rPr>
          <w:rFonts w:ascii="SimSun" w:hAnsi="SimSun" w:eastAsia="SimSun" w:cs="SimSun"/>
          <w:sz w:val="21"/>
          <w:szCs w:val="21"/>
          <w:spacing w:val="13"/>
        </w:rPr>
        <w:t xml:space="preserve"> </w:t>
      </w:r>
      <w:r>
        <w:rPr>
          <w:rFonts w:ascii="SimSun" w:hAnsi="SimSun" w:eastAsia="SimSun" w:cs="SimSun"/>
          <w:sz w:val="21"/>
          <w:szCs w:val="21"/>
          <w:spacing w:val="-6"/>
        </w:rPr>
        <w:t>个情况说明， </w:t>
      </w:r>
      <w:r>
        <w:rPr>
          <w:rFonts w:ascii="Times New Roman" w:hAnsi="Times New Roman" w:eastAsia="Times New Roman" w:cs="Times New Roman"/>
          <w:sz w:val="21"/>
          <w:szCs w:val="21"/>
          <w:spacing w:val="-6"/>
        </w:rPr>
        <w:t>ICT </w:t>
      </w:r>
      <w:r>
        <w:rPr>
          <w:rFonts w:ascii="SimSun" w:hAnsi="SimSun" w:eastAsia="SimSun" w:cs="SimSun"/>
          <w:sz w:val="21"/>
          <w:szCs w:val="21"/>
          <w:spacing w:val="-6"/>
        </w:rPr>
        <w:t>生产和集约使用部门在目前的条件下还可能保持</w:t>
      </w:r>
      <w:r>
        <w:rPr>
          <w:rFonts w:ascii="SimSun" w:hAnsi="SimSun" w:eastAsia="SimSun" w:cs="SimSun"/>
          <w:sz w:val="21"/>
          <w:szCs w:val="21"/>
          <w:spacing w:val="5"/>
        </w:rPr>
        <w:t xml:space="preserve"> </w:t>
      </w:r>
      <w:r>
        <w:rPr>
          <w:rFonts w:ascii="SimSun" w:hAnsi="SimSun" w:eastAsia="SimSun" w:cs="SimSun"/>
          <w:sz w:val="21"/>
          <w:szCs w:val="21"/>
          <w:spacing w:val="-2"/>
        </w:rPr>
        <w:t>提供就业的能力。从这个意义上说，促进</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经济发展的政策应该</w:t>
      </w:r>
      <w:r>
        <w:rPr>
          <w:rFonts w:ascii="SimSun" w:hAnsi="SimSun" w:eastAsia="SimSun" w:cs="SimSun"/>
          <w:sz w:val="21"/>
          <w:szCs w:val="21"/>
        </w:rPr>
        <w:t xml:space="preserve"> </w:t>
      </w:r>
      <w:r>
        <w:rPr>
          <w:rFonts w:ascii="SimSun" w:hAnsi="SimSun" w:eastAsia="SimSun" w:cs="SimSun"/>
          <w:sz w:val="21"/>
          <w:szCs w:val="21"/>
          <w:spacing w:val="-3"/>
        </w:rPr>
        <w:t>会有较强的增加就业效果。我们会在最后的政策讨论</w:t>
      </w:r>
      <w:r>
        <w:rPr>
          <w:rFonts w:ascii="SimSun" w:hAnsi="SimSun" w:eastAsia="SimSun" w:cs="SimSun"/>
          <w:sz w:val="21"/>
          <w:szCs w:val="21"/>
          <w:spacing w:val="-4"/>
        </w:rPr>
        <w:t>中再回到这个</w:t>
      </w:r>
      <w:r>
        <w:rPr>
          <w:rFonts w:ascii="SimSun" w:hAnsi="SimSun" w:eastAsia="SimSun" w:cs="SimSun"/>
          <w:sz w:val="21"/>
          <w:szCs w:val="21"/>
        </w:rPr>
        <w:t xml:space="preserve"> </w:t>
      </w:r>
      <w:r>
        <w:rPr>
          <w:rFonts w:ascii="SimSun" w:hAnsi="SimSun" w:eastAsia="SimSun" w:cs="SimSun"/>
          <w:sz w:val="21"/>
          <w:szCs w:val="21"/>
          <w:spacing w:val="-14"/>
        </w:rPr>
        <w:t>问题。</w:t>
      </w:r>
    </w:p>
    <w:p>
      <w:pPr>
        <w:ind w:firstLine="399"/>
        <w:spacing w:before="179" w:line="311" w:lineRule="auto"/>
        <w:jc w:val="both"/>
        <w:rPr>
          <w:rFonts w:ascii="SimSun" w:hAnsi="SimSun" w:eastAsia="SimSun" w:cs="SimSun"/>
          <w:sz w:val="21"/>
          <w:szCs w:val="21"/>
        </w:rPr>
      </w:pPr>
      <w:r>
        <w:rPr>
          <w:rFonts w:ascii="SimSun" w:hAnsi="SimSun" w:eastAsia="SimSun" w:cs="SimSun"/>
          <w:sz w:val="21"/>
          <w:szCs w:val="21"/>
          <w:spacing w:val="-3"/>
        </w:rPr>
        <w:t>现在，我们再通过表2-5、表2-6从数字经济视角观察中国经济</w:t>
      </w:r>
      <w:r>
        <w:rPr>
          <w:rFonts w:ascii="SimSun" w:hAnsi="SimSun" w:eastAsia="SimSun" w:cs="SimSun"/>
          <w:sz w:val="21"/>
          <w:szCs w:val="21"/>
          <w:spacing w:val="18"/>
        </w:rPr>
        <w:t xml:space="preserve"> </w:t>
      </w:r>
      <w:r>
        <w:rPr>
          <w:rFonts w:ascii="SimSun" w:hAnsi="SimSun" w:eastAsia="SimSun" w:cs="SimSun"/>
          <w:sz w:val="21"/>
          <w:szCs w:val="21"/>
          <w:spacing w:val="-6"/>
        </w:rPr>
        <w:t>净资本存量增长和结构的变化情况。表2-5报告了中国经</w:t>
      </w:r>
      <w:r>
        <w:rPr>
          <w:rFonts w:ascii="SimSun" w:hAnsi="SimSun" w:eastAsia="SimSun" w:cs="SimSun"/>
          <w:sz w:val="21"/>
          <w:szCs w:val="21"/>
          <w:spacing w:val="-7"/>
        </w:rPr>
        <w:t>济部门净资</w:t>
      </w:r>
      <w:r>
        <w:rPr>
          <w:rFonts w:ascii="SimSun" w:hAnsi="SimSun" w:eastAsia="SimSun" w:cs="SimSun"/>
          <w:sz w:val="21"/>
          <w:szCs w:val="21"/>
        </w:rPr>
        <w:t xml:space="preserve"> </w:t>
      </w:r>
      <w:r>
        <w:rPr>
          <w:rFonts w:ascii="SimSun" w:hAnsi="SimSun" w:eastAsia="SimSun" w:cs="SimSun"/>
          <w:sz w:val="21"/>
          <w:szCs w:val="21"/>
          <w:spacing w:val="-11"/>
        </w:rPr>
        <w:t>本存量的增长情况。自加入世界贸易组织以来，中国经济整体上经历</w:t>
      </w:r>
      <w:r>
        <w:rPr>
          <w:rFonts w:ascii="SimSun" w:hAnsi="SimSun" w:eastAsia="SimSun" w:cs="SimSun"/>
          <w:sz w:val="21"/>
          <w:szCs w:val="21"/>
          <w:spacing w:val="12"/>
        </w:rPr>
        <w:t xml:space="preserve"> </w:t>
      </w:r>
      <w:r>
        <w:rPr>
          <w:rFonts w:ascii="SimSun" w:hAnsi="SimSun" w:eastAsia="SimSun" w:cs="SimSun"/>
          <w:sz w:val="21"/>
          <w:szCs w:val="21"/>
          <w:spacing w:val="-3"/>
        </w:rPr>
        <w:t>了一个资本高速积累的阶段，净资本存量年平均增速高达约13.5%,</w:t>
      </w:r>
      <w:r>
        <w:rPr>
          <w:rFonts w:ascii="SimSun" w:hAnsi="SimSun" w:eastAsia="SimSun" w:cs="SimSun"/>
          <w:sz w:val="21"/>
          <w:szCs w:val="21"/>
          <w:spacing w:val="9"/>
        </w:rPr>
        <w:t xml:space="preserve"> </w:t>
      </w:r>
      <w:r>
        <w:rPr>
          <w:rFonts w:ascii="SimSun" w:hAnsi="SimSun" w:eastAsia="SimSun" w:cs="SimSun"/>
          <w:sz w:val="21"/>
          <w:szCs w:val="21"/>
          <w:spacing w:val="10"/>
        </w:rPr>
        <w:t>而整体经济</w:t>
      </w:r>
      <w:r>
        <w:rPr>
          <w:rFonts w:ascii="Times New Roman" w:hAnsi="Times New Roman" w:eastAsia="Times New Roman" w:cs="Times New Roman"/>
          <w:sz w:val="21"/>
          <w:szCs w:val="21"/>
        </w:rPr>
        <w:t>GDP</w:t>
      </w:r>
      <w:r>
        <w:rPr>
          <w:rFonts w:ascii="SimSun" w:hAnsi="SimSun" w:eastAsia="SimSun" w:cs="SimSun"/>
          <w:sz w:val="21"/>
          <w:szCs w:val="21"/>
          <w:spacing w:val="10"/>
        </w:rPr>
        <w:t>的年平均增长率才达到8.0%(官方估计9.9%,见</w:t>
      </w:r>
      <w:r>
        <w:rPr>
          <w:rFonts w:ascii="SimSun" w:hAnsi="SimSun" w:eastAsia="SimSun" w:cs="SimSun"/>
          <w:sz w:val="21"/>
          <w:szCs w:val="21"/>
          <w:spacing w:val="9"/>
        </w:rPr>
        <w:t xml:space="preserve"> </w:t>
      </w:r>
      <w:r>
        <w:rPr>
          <w:rFonts w:ascii="SimSun" w:hAnsi="SimSun" w:eastAsia="SimSun" w:cs="SimSun"/>
          <w:sz w:val="21"/>
          <w:szCs w:val="21"/>
          <w:spacing w:val="-5"/>
        </w:rPr>
        <w:t>表2-1)。分时期看，在加入世界贸易组织后的“黄金期”,</w:t>
      </w:r>
      <w:r>
        <w:rPr>
          <w:rFonts w:ascii="Times New Roman" w:hAnsi="Times New Roman" w:eastAsia="Times New Roman" w:cs="Times New Roman"/>
          <w:sz w:val="21"/>
          <w:szCs w:val="21"/>
          <w:spacing w:val="-5"/>
        </w:rPr>
        <w:t>ICT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生产</w:t>
      </w:r>
      <w:r>
        <w:rPr>
          <w:rFonts w:ascii="SimSun" w:hAnsi="SimSun" w:eastAsia="SimSun" w:cs="SimSun"/>
          <w:sz w:val="21"/>
          <w:szCs w:val="21"/>
        </w:rPr>
        <w:t xml:space="preserve"> </w:t>
      </w:r>
      <w:r>
        <w:rPr>
          <w:rFonts w:ascii="SimSun" w:hAnsi="SimSun" w:eastAsia="SimSun" w:cs="SimSun"/>
          <w:sz w:val="21"/>
          <w:szCs w:val="21"/>
          <w:spacing w:val="-8"/>
        </w:rPr>
        <w:t>行业、</w:t>
      </w:r>
      <w:r>
        <w:rPr>
          <w:rFonts w:ascii="Times New Roman" w:hAnsi="Times New Roman" w:eastAsia="Times New Roman" w:cs="Times New Roman"/>
          <w:sz w:val="21"/>
          <w:szCs w:val="21"/>
          <w:spacing w:val="-8"/>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8"/>
        </w:rPr>
        <w:t>集约使用制造业的净资本存量增长</w:t>
      </w:r>
      <w:r>
        <w:rPr>
          <w:rFonts w:ascii="SimSun" w:hAnsi="SimSun" w:eastAsia="SimSun" w:cs="SimSun"/>
          <w:sz w:val="21"/>
          <w:szCs w:val="21"/>
          <w:spacing w:val="-9"/>
        </w:rPr>
        <w:t>速度超过了整体经济净</w:t>
      </w:r>
      <w:r>
        <w:rPr>
          <w:rFonts w:ascii="SimSun" w:hAnsi="SimSun" w:eastAsia="SimSun" w:cs="SimSun"/>
          <w:sz w:val="21"/>
          <w:szCs w:val="21"/>
        </w:rPr>
        <w:t xml:space="preserve"> </w:t>
      </w:r>
      <w:r>
        <w:rPr>
          <w:rFonts w:ascii="SimSun" w:hAnsi="SimSun" w:eastAsia="SimSun" w:cs="SimSun"/>
          <w:sz w:val="21"/>
          <w:szCs w:val="21"/>
          <w:spacing w:val="-12"/>
        </w:rPr>
        <w:t>资本存量的平均增长速度。在这个时期， </w:t>
      </w:r>
      <w:r>
        <w:rPr>
          <w:rFonts w:ascii="Times New Roman" w:hAnsi="Times New Roman" w:eastAsia="Times New Roman" w:cs="Times New Roman"/>
          <w:sz w:val="21"/>
          <w:szCs w:val="21"/>
          <w:spacing w:val="-12"/>
        </w:rPr>
        <w:t>ICT </w:t>
      </w:r>
      <w:r>
        <w:rPr>
          <w:rFonts w:ascii="SimSun" w:hAnsi="SimSun" w:eastAsia="SimSun" w:cs="SimSun"/>
          <w:sz w:val="21"/>
          <w:szCs w:val="21"/>
          <w:spacing w:val="-12"/>
        </w:rPr>
        <w:t>集约使用服务业刚刚起</w:t>
      </w:r>
      <w:r>
        <w:rPr>
          <w:rFonts w:ascii="SimSun" w:hAnsi="SimSun" w:eastAsia="SimSun" w:cs="SimSun"/>
          <w:sz w:val="21"/>
          <w:szCs w:val="21"/>
          <w:spacing w:val="18"/>
        </w:rPr>
        <w:t xml:space="preserve"> </w:t>
      </w:r>
      <w:r>
        <w:rPr>
          <w:rFonts w:ascii="SimSun" w:hAnsi="SimSun" w:eastAsia="SimSun" w:cs="SimSun"/>
          <w:sz w:val="21"/>
          <w:szCs w:val="21"/>
          <w:spacing w:val="-11"/>
        </w:rPr>
        <w:t>步。因为其中的主要行业，如交通、金融、科研等等，基本上由国有</w:t>
      </w:r>
      <w:r>
        <w:rPr>
          <w:rFonts w:ascii="SimSun" w:hAnsi="SimSun" w:eastAsia="SimSun" w:cs="SimSun"/>
          <w:sz w:val="21"/>
          <w:szCs w:val="21"/>
          <w:spacing w:val="9"/>
        </w:rPr>
        <w:t xml:space="preserve"> </w:t>
      </w:r>
      <w:r>
        <w:rPr>
          <w:rFonts w:ascii="SimSun" w:hAnsi="SimSun" w:eastAsia="SimSun" w:cs="SimSun"/>
          <w:sz w:val="21"/>
          <w:szCs w:val="21"/>
          <w:spacing w:val="-10"/>
        </w:rPr>
        <w:t>企业垄断，所以，在得到明确和有力的政策支持，尤其是相应</w:t>
      </w:r>
      <w:r>
        <w:rPr>
          <w:rFonts w:ascii="SimSun" w:hAnsi="SimSun" w:eastAsia="SimSun" w:cs="SimSun"/>
          <w:sz w:val="21"/>
          <w:szCs w:val="21"/>
          <w:spacing w:val="-11"/>
        </w:rPr>
        <w:t>的资源</w:t>
      </w:r>
      <w:r>
        <w:rPr>
          <w:rFonts w:ascii="SimSun" w:hAnsi="SimSun" w:eastAsia="SimSun" w:cs="SimSun"/>
          <w:sz w:val="21"/>
          <w:szCs w:val="21"/>
        </w:rPr>
        <w:t xml:space="preserve"> </w:t>
      </w:r>
      <w:r>
        <w:rPr>
          <w:rFonts w:ascii="SimSun" w:hAnsi="SimSun" w:eastAsia="SimSun" w:cs="SimSun"/>
          <w:sz w:val="21"/>
          <w:szCs w:val="21"/>
          <w:spacing w:val="-10"/>
        </w:rPr>
        <w:t>倾斜之前，其投资速度相对较慢。这个时期净资本存量增长</w:t>
      </w:r>
      <w:r>
        <w:rPr>
          <w:rFonts w:ascii="SimSun" w:hAnsi="SimSun" w:eastAsia="SimSun" w:cs="SimSun"/>
          <w:sz w:val="21"/>
          <w:szCs w:val="21"/>
          <w:spacing w:val="-11"/>
        </w:rPr>
        <w:t>最快的反</w:t>
      </w:r>
      <w:r>
        <w:rPr>
          <w:rFonts w:ascii="SimSun" w:hAnsi="SimSun" w:eastAsia="SimSun" w:cs="SimSun"/>
          <w:sz w:val="21"/>
          <w:szCs w:val="21"/>
        </w:rPr>
        <w:t xml:space="preserve"> </w:t>
      </w:r>
      <w:r>
        <w:rPr>
          <w:rFonts w:ascii="SimSun" w:hAnsi="SimSun" w:eastAsia="SimSun" w:cs="SimSun"/>
          <w:sz w:val="21"/>
          <w:szCs w:val="21"/>
          <w:spacing w:val="1"/>
        </w:rPr>
        <w:t>而是公共服务部门和主要房地产部门(在非</w:t>
      </w:r>
      <w:r>
        <w:rPr>
          <w:rFonts w:ascii="SimSun" w:hAnsi="SimSun" w:eastAsia="SimSun" w:cs="SimSun"/>
          <w:sz w:val="21"/>
          <w:szCs w:val="21"/>
        </w:rPr>
        <w:t>ICT</w:t>
      </w:r>
      <w:r>
        <w:rPr>
          <w:rFonts w:ascii="SimSun" w:hAnsi="SimSun" w:eastAsia="SimSun" w:cs="SimSun"/>
          <w:sz w:val="21"/>
          <w:szCs w:val="21"/>
          <w:spacing w:val="-31"/>
        </w:rPr>
        <w:t xml:space="preserve"> </w:t>
      </w:r>
      <w:r>
        <w:rPr>
          <w:rFonts w:ascii="SimSun" w:hAnsi="SimSun" w:eastAsia="SimSun" w:cs="SimSun"/>
          <w:sz w:val="21"/>
          <w:szCs w:val="21"/>
          <w:spacing w:val="1"/>
        </w:rPr>
        <w:t>服务业部门占主要</w:t>
      </w:r>
      <w:r>
        <w:rPr>
          <w:rFonts w:ascii="SimSun" w:hAnsi="SimSun" w:eastAsia="SimSun" w:cs="SimSun"/>
          <w:sz w:val="21"/>
          <w:szCs w:val="21"/>
        </w:rPr>
        <w:t xml:space="preserve"> </w:t>
      </w:r>
      <w:r>
        <w:rPr>
          <w:rFonts w:ascii="SimSun" w:hAnsi="SimSun" w:eastAsia="SimSun" w:cs="SimSun"/>
          <w:sz w:val="21"/>
          <w:szCs w:val="21"/>
        </w:rPr>
        <w:t>比重)。金融危机后的五年(2008—2012年)是净资本存量增速最快</w:t>
      </w:r>
      <w:r>
        <w:rPr>
          <w:rFonts w:ascii="SimSun" w:hAnsi="SimSun" w:eastAsia="SimSun" w:cs="SimSun"/>
          <w:sz w:val="21"/>
          <w:szCs w:val="21"/>
          <w:spacing w:val="11"/>
        </w:rPr>
        <w:t xml:space="preserve"> </w:t>
      </w:r>
      <w:r>
        <w:rPr>
          <w:rFonts w:ascii="SimSun" w:hAnsi="SimSun" w:eastAsia="SimSun" w:cs="SimSun"/>
          <w:sz w:val="21"/>
          <w:szCs w:val="21"/>
          <w:spacing w:val="-6"/>
        </w:rPr>
        <w:t>的时期，年平均增速高达15.5%。这显然主要与政府应对金融危机的</w:t>
      </w:r>
      <w:r>
        <w:rPr>
          <w:rFonts w:ascii="SimSun" w:hAnsi="SimSun" w:eastAsia="SimSun" w:cs="SimSun"/>
          <w:sz w:val="21"/>
          <w:szCs w:val="21"/>
          <w:spacing w:val="1"/>
        </w:rPr>
        <w:t xml:space="preserve"> </w:t>
      </w:r>
      <w:r>
        <w:rPr>
          <w:rFonts w:ascii="SimSun" w:hAnsi="SimSun" w:eastAsia="SimSun" w:cs="SimSun"/>
          <w:sz w:val="21"/>
          <w:szCs w:val="21"/>
          <w:spacing w:val="-10"/>
        </w:rPr>
        <w:t>高强度财政刺激政策有关。由于资源配置受到强大的政策压</w:t>
      </w:r>
      <w:r>
        <w:rPr>
          <w:rFonts w:ascii="SimSun" w:hAnsi="SimSun" w:eastAsia="SimSun" w:cs="SimSun"/>
          <w:sz w:val="21"/>
          <w:szCs w:val="21"/>
          <w:spacing w:val="-11"/>
        </w:rPr>
        <w:t>力和由此</w:t>
      </w:r>
      <w:r>
        <w:rPr>
          <w:rFonts w:ascii="SimSun" w:hAnsi="SimSun" w:eastAsia="SimSun" w:cs="SimSun"/>
          <w:sz w:val="21"/>
          <w:szCs w:val="21"/>
        </w:rPr>
        <w:t xml:space="preserve"> </w:t>
      </w:r>
      <w:r>
        <w:rPr>
          <w:rFonts w:ascii="SimSun" w:hAnsi="SimSun" w:eastAsia="SimSun" w:cs="SimSun"/>
          <w:sz w:val="21"/>
          <w:szCs w:val="21"/>
          <w:spacing w:val="-2"/>
        </w:rPr>
        <w:t>产生的扭曲，更多依靠市场竞争的</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生产行业不得不承受交易成</w:t>
      </w:r>
      <w:r>
        <w:rPr>
          <w:rFonts w:ascii="SimSun" w:hAnsi="SimSun" w:eastAsia="SimSun" w:cs="SimSun"/>
          <w:sz w:val="21"/>
          <w:szCs w:val="21"/>
        </w:rPr>
        <w:t xml:space="preserve"> </w:t>
      </w:r>
      <w:r>
        <w:rPr>
          <w:rFonts w:ascii="SimSun" w:hAnsi="SimSun" w:eastAsia="SimSun" w:cs="SimSun"/>
          <w:sz w:val="21"/>
          <w:szCs w:val="21"/>
          <w:spacing w:val="-7"/>
        </w:rPr>
        <w:t>本的上升。</w:t>
      </w:r>
    </w:p>
    <w:p>
      <w:pPr>
        <w:spacing w:line="311" w:lineRule="auto"/>
        <w:sectPr>
          <w:headerReference w:type="default" r:id="rId116"/>
          <w:pgSz w:w="7330" w:h="12480"/>
          <w:pgMar w:top="775" w:right="964" w:bottom="400" w:left="359" w:header="601" w:footer="0" w:gutter="0"/>
        </w:sectPr>
        <w:rPr>
          <w:rFonts w:ascii="SimSun" w:hAnsi="SimSun" w:eastAsia="SimSun" w:cs="SimSun"/>
          <w:sz w:val="21"/>
          <w:szCs w:val="21"/>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973"/>
        <w:spacing w:before="69" w:line="222" w:lineRule="auto"/>
        <w:rPr>
          <w:rFonts w:ascii="SimHei" w:hAnsi="SimHei" w:eastAsia="SimHei" w:cs="SimHei"/>
          <w:sz w:val="21"/>
          <w:szCs w:val="21"/>
        </w:rPr>
      </w:pPr>
      <w:r>
        <w:rPr>
          <w:rFonts w:ascii="SimHei" w:hAnsi="SimHei" w:eastAsia="SimHei" w:cs="SimHei"/>
          <w:sz w:val="21"/>
          <w:szCs w:val="21"/>
          <w:b/>
          <w:bCs/>
          <w:spacing w:val="-21"/>
          <w:w w:val="97"/>
        </w:rPr>
        <w:t>表2-5</w:t>
      </w:r>
      <w:r>
        <w:rPr>
          <w:rFonts w:ascii="SimHei" w:hAnsi="SimHei" w:eastAsia="SimHei" w:cs="SimHei"/>
          <w:sz w:val="21"/>
          <w:szCs w:val="21"/>
          <w:spacing w:val="83"/>
        </w:rPr>
        <w:t xml:space="preserve"> </w:t>
      </w:r>
      <w:r>
        <w:rPr>
          <w:rFonts w:ascii="SimHei" w:hAnsi="SimHei" w:eastAsia="SimHei" w:cs="SimHei"/>
          <w:sz w:val="21"/>
          <w:szCs w:val="21"/>
          <w:b/>
          <w:bCs/>
          <w:spacing w:val="-21"/>
          <w:w w:val="97"/>
        </w:rPr>
        <w:t>中国净资本存量年均增长率：数字经济视角</w:t>
      </w:r>
    </w:p>
    <w:p>
      <w:pPr>
        <w:ind w:left="5430"/>
        <w:spacing w:before="210" w:line="220" w:lineRule="auto"/>
        <w:rPr>
          <w:rFonts w:ascii="SimSun" w:hAnsi="SimSun" w:eastAsia="SimSun" w:cs="SimSun"/>
          <w:sz w:val="16"/>
          <w:szCs w:val="16"/>
        </w:rPr>
      </w:pPr>
      <w:r>
        <w:rPr>
          <w:rFonts w:ascii="SimSun" w:hAnsi="SimSun" w:eastAsia="SimSun" w:cs="SimSun"/>
          <w:sz w:val="16"/>
          <w:szCs w:val="16"/>
          <w:spacing w:val="8"/>
        </w:rPr>
        <w:t>单位：%</w:t>
      </w:r>
    </w:p>
    <w:p>
      <w:pPr>
        <w:spacing w:line="74" w:lineRule="auto"/>
        <w:rPr>
          <w:rFonts w:ascii="Arial"/>
          <w:sz w:val="2"/>
        </w:rPr>
      </w:pPr>
      <w:r>
        <w:rPr>
          <w:rFonts w:ascii="Arial"/>
          <w:sz w:val="2"/>
        </w:rPr>
      </w:r>
    </w:p>
    <w:tbl>
      <w:tblPr>
        <w:tblStyle w:val="TableNormal"/>
        <w:tblW w:w="609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13"/>
        <w:gridCol w:w="1225"/>
        <w:gridCol w:w="1205"/>
        <w:gridCol w:w="1210"/>
        <w:gridCol w:w="1237"/>
      </w:tblGrid>
      <w:tr>
        <w:trPr>
          <w:trHeight w:val="285" w:hRule="atLeast"/>
        </w:trPr>
        <w:tc>
          <w:tcPr>
            <w:tcW w:w="1213" w:type="dxa"/>
            <w:vAlign w:val="top"/>
            <w:tcBorders>
              <w:bottom w:val="single" w:color="000000" w:sz="4" w:space="0"/>
              <w:top w:val="single" w:color="000000" w:sz="4" w:space="0"/>
            </w:tcBorders>
          </w:tcPr>
          <w:p>
            <w:pPr>
              <w:rPr>
                <w:rFonts w:ascii="Arial"/>
                <w:sz w:val="21"/>
              </w:rPr>
            </w:pPr>
            <w:r/>
          </w:p>
        </w:tc>
        <w:tc>
          <w:tcPr>
            <w:tcW w:w="1225" w:type="dxa"/>
            <w:vAlign w:val="top"/>
            <w:tcBorders>
              <w:bottom w:val="single" w:color="000000" w:sz="4" w:space="0"/>
              <w:top w:val="single" w:color="000000" w:sz="4" w:space="0"/>
            </w:tcBorders>
          </w:tcPr>
          <w:p>
            <w:pPr>
              <w:pStyle w:val="TableText"/>
              <w:ind w:left="147"/>
              <w:spacing w:before="61" w:line="219" w:lineRule="auto"/>
              <w:rPr>
                <w:sz w:val="16"/>
                <w:szCs w:val="16"/>
              </w:rPr>
            </w:pPr>
            <w:r>
              <w:rPr>
                <w:sz w:val="16"/>
                <w:szCs w:val="16"/>
                <w:spacing w:val="-1"/>
              </w:rPr>
              <w:t>2001—2007年</w:t>
            </w:r>
          </w:p>
        </w:tc>
        <w:tc>
          <w:tcPr>
            <w:tcW w:w="1205" w:type="dxa"/>
            <w:vAlign w:val="top"/>
            <w:tcBorders>
              <w:bottom w:val="single" w:color="000000" w:sz="4" w:space="0"/>
              <w:top w:val="single" w:color="000000" w:sz="4" w:space="0"/>
            </w:tcBorders>
          </w:tcPr>
          <w:p>
            <w:pPr>
              <w:pStyle w:val="TableText"/>
              <w:ind w:left="132"/>
              <w:spacing w:before="61" w:line="219" w:lineRule="auto"/>
              <w:rPr>
                <w:sz w:val="16"/>
                <w:szCs w:val="16"/>
              </w:rPr>
            </w:pPr>
            <w:r>
              <w:rPr>
                <w:sz w:val="16"/>
                <w:szCs w:val="16"/>
                <w:spacing w:val="-1"/>
              </w:rPr>
              <w:t>2007—2012年</w:t>
            </w:r>
          </w:p>
        </w:tc>
        <w:tc>
          <w:tcPr>
            <w:tcW w:w="1210" w:type="dxa"/>
            <w:vAlign w:val="top"/>
            <w:tcBorders>
              <w:bottom w:val="single" w:color="000000" w:sz="4" w:space="0"/>
              <w:top w:val="single" w:color="000000" w:sz="4" w:space="0"/>
            </w:tcBorders>
          </w:tcPr>
          <w:p>
            <w:pPr>
              <w:pStyle w:val="TableText"/>
              <w:ind w:left="127"/>
              <w:spacing w:before="61" w:line="219" w:lineRule="auto"/>
              <w:rPr>
                <w:sz w:val="16"/>
                <w:szCs w:val="16"/>
              </w:rPr>
            </w:pPr>
            <w:r>
              <w:rPr>
                <w:sz w:val="16"/>
                <w:szCs w:val="16"/>
                <w:spacing w:val="-1"/>
              </w:rPr>
              <w:t>2012—2018年</w:t>
            </w:r>
          </w:p>
        </w:tc>
        <w:tc>
          <w:tcPr>
            <w:tcW w:w="1237" w:type="dxa"/>
            <w:vAlign w:val="top"/>
            <w:tcBorders>
              <w:bottom w:val="single" w:color="000000" w:sz="4" w:space="0"/>
              <w:top w:val="single" w:color="000000" w:sz="4" w:space="0"/>
            </w:tcBorders>
          </w:tcPr>
          <w:p>
            <w:pPr>
              <w:pStyle w:val="TableText"/>
              <w:ind w:left="137"/>
              <w:spacing w:before="61" w:line="219" w:lineRule="auto"/>
              <w:rPr>
                <w:sz w:val="16"/>
                <w:szCs w:val="16"/>
              </w:rPr>
            </w:pPr>
            <w:r>
              <w:rPr>
                <w:sz w:val="16"/>
                <w:szCs w:val="16"/>
                <w:spacing w:val="-1"/>
              </w:rPr>
              <w:t>2001—2018年</w:t>
            </w:r>
          </w:p>
        </w:tc>
      </w:tr>
      <w:tr>
        <w:trPr>
          <w:trHeight w:val="304" w:hRule="atLeast"/>
        </w:trPr>
        <w:tc>
          <w:tcPr>
            <w:tcW w:w="1213" w:type="dxa"/>
            <w:vAlign w:val="top"/>
            <w:tcBorders>
              <w:top w:val="single" w:color="000000" w:sz="4" w:space="0"/>
            </w:tcBorders>
          </w:tcPr>
          <w:p>
            <w:pPr>
              <w:pStyle w:val="TableText"/>
              <w:ind w:left="122"/>
              <w:spacing w:before="64" w:line="220" w:lineRule="auto"/>
              <w:rPr>
                <w:sz w:val="16"/>
                <w:szCs w:val="16"/>
              </w:rPr>
            </w:pPr>
            <w:r>
              <w:rPr>
                <w:sz w:val="16"/>
                <w:szCs w:val="16"/>
                <w:b/>
                <w:bCs/>
                <w:spacing w:val="-3"/>
              </w:rPr>
              <w:t>整体经济</w:t>
            </w:r>
          </w:p>
        </w:tc>
        <w:tc>
          <w:tcPr>
            <w:tcW w:w="1225" w:type="dxa"/>
            <w:vAlign w:val="top"/>
            <w:tcBorders>
              <w:top w:val="single" w:color="000000" w:sz="4" w:space="0"/>
            </w:tcBorders>
          </w:tcPr>
          <w:p>
            <w:pPr>
              <w:pStyle w:val="TableText"/>
              <w:ind w:left="487"/>
              <w:spacing w:before="107" w:line="184" w:lineRule="auto"/>
              <w:rPr>
                <w:sz w:val="16"/>
                <w:szCs w:val="16"/>
              </w:rPr>
            </w:pPr>
            <w:r>
              <w:rPr>
                <w:sz w:val="16"/>
                <w:szCs w:val="16"/>
                <w:spacing w:val="-3"/>
              </w:rPr>
              <w:t>14.70</w:t>
            </w:r>
          </w:p>
        </w:tc>
        <w:tc>
          <w:tcPr>
            <w:tcW w:w="1205" w:type="dxa"/>
            <w:vAlign w:val="top"/>
            <w:tcBorders>
              <w:top w:val="single" w:color="000000" w:sz="4" w:space="0"/>
            </w:tcBorders>
          </w:tcPr>
          <w:p>
            <w:pPr>
              <w:pStyle w:val="TableText"/>
              <w:ind w:left="412"/>
              <w:spacing w:before="107" w:line="184" w:lineRule="auto"/>
              <w:rPr>
                <w:sz w:val="16"/>
                <w:szCs w:val="16"/>
              </w:rPr>
            </w:pPr>
            <w:r>
              <w:rPr>
                <w:sz w:val="16"/>
                <w:szCs w:val="16"/>
                <w:spacing w:val="-3"/>
              </w:rPr>
              <w:t>15.47</w:t>
            </w:r>
          </w:p>
        </w:tc>
        <w:tc>
          <w:tcPr>
            <w:tcW w:w="1210" w:type="dxa"/>
            <w:vAlign w:val="top"/>
            <w:tcBorders>
              <w:top w:val="single" w:color="000000" w:sz="4" w:space="0"/>
            </w:tcBorders>
          </w:tcPr>
          <w:p>
            <w:pPr>
              <w:pStyle w:val="TableText"/>
              <w:ind w:left="407"/>
              <w:spacing w:before="107" w:line="184" w:lineRule="auto"/>
              <w:rPr>
                <w:sz w:val="16"/>
                <w:szCs w:val="16"/>
              </w:rPr>
            </w:pPr>
            <w:r>
              <w:rPr>
                <w:sz w:val="16"/>
                <w:szCs w:val="16"/>
                <w:spacing w:val="-3"/>
              </w:rPr>
              <w:t>10.63</w:t>
            </w:r>
          </w:p>
        </w:tc>
        <w:tc>
          <w:tcPr>
            <w:tcW w:w="1237" w:type="dxa"/>
            <w:vAlign w:val="top"/>
            <w:tcBorders>
              <w:top w:val="single" w:color="000000" w:sz="4" w:space="0"/>
            </w:tcBorders>
          </w:tcPr>
          <w:p>
            <w:pPr>
              <w:pStyle w:val="TableText"/>
              <w:ind w:left="417"/>
              <w:spacing w:before="107" w:line="184" w:lineRule="auto"/>
              <w:rPr>
                <w:sz w:val="16"/>
                <w:szCs w:val="16"/>
              </w:rPr>
            </w:pPr>
            <w:r>
              <w:rPr>
                <w:sz w:val="16"/>
                <w:szCs w:val="16"/>
                <w:spacing w:val="-3"/>
              </w:rPr>
              <w:t>13.47</w:t>
            </w:r>
          </w:p>
        </w:tc>
      </w:tr>
      <w:tr>
        <w:trPr>
          <w:trHeight w:val="324" w:hRule="atLeast"/>
        </w:trPr>
        <w:tc>
          <w:tcPr>
            <w:tcW w:w="1213" w:type="dxa"/>
            <w:vAlign w:val="top"/>
          </w:tcPr>
          <w:p>
            <w:pPr>
              <w:pStyle w:val="TableText"/>
              <w:ind w:left="119"/>
              <w:spacing w:before="82" w:line="219" w:lineRule="auto"/>
              <w:rPr>
                <w:sz w:val="16"/>
                <w:szCs w:val="16"/>
              </w:rPr>
            </w:pPr>
            <w:r>
              <w:rPr>
                <w:sz w:val="16"/>
                <w:szCs w:val="16"/>
              </w:rPr>
              <w:t>ICT</w:t>
            </w:r>
            <w:r>
              <w:rPr>
                <w:sz w:val="16"/>
                <w:szCs w:val="16"/>
                <w:spacing w:val="1"/>
              </w:rPr>
              <w:t>生产行业</w:t>
            </w:r>
          </w:p>
        </w:tc>
        <w:tc>
          <w:tcPr>
            <w:tcW w:w="1225" w:type="dxa"/>
            <w:vAlign w:val="top"/>
          </w:tcPr>
          <w:p>
            <w:pPr>
              <w:pStyle w:val="TableText"/>
              <w:ind w:left="487"/>
              <w:spacing w:before="123" w:line="184" w:lineRule="auto"/>
              <w:rPr>
                <w:sz w:val="16"/>
                <w:szCs w:val="16"/>
              </w:rPr>
            </w:pPr>
            <w:r>
              <w:rPr>
                <w:sz w:val="16"/>
                <w:szCs w:val="16"/>
                <w:spacing w:val="-3"/>
              </w:rPr>
              <w:t>15.46</w:t>
            </w:r>
          </w:p>
        </w:tc>
        <w:tc>
          <w:tcPr>
            <w:tcW w:w="1205" w:type="dxa"/>
            <w:vAlign w:val="top"/>
          </w:tcPr>
          <w:p>
            <w:pPr>
              <w:pStyle w:val="TableText"/>
              <w:ind w:left="451"/>
              <w:spacing w:before="123" w:line="183" w:lineRule="auto"/>
              <w:rPr>
                <w:sz w:val="16"/>
                <w:szCs w:val="16"/>
              </w:rPr>
            </w:pPr>
            <w:r>
              <w:rPr>
                <w:sz w:val="16"/>
                <w:szCs w:val="16"/>
                <w:spacing w:val="-2"/>
              </w:rPr>
              <w:t>8.63</w:t>
            </w:r>
          </w:p>
        </w:tc>
        <w:tc>
          <w:tcPr>
            <w:tcW w:w="1210" w:type="dxa"/>
            <w:vAlign w:val="top"/>
          </w:tcPr>
          <w:p>
            <w:pPr>
              <w:pStyle w:val="TableText"/>
              <w:ind w:left="407"/>
              <w:spacing w:before="123" w:line="184" w:lineRule="auto"/>
              <w:rPr>
                <w:sz w:val="16"/>
                <w:szCs w:val="16"/>
              </w:rPr>
            </w:pPr>
            <w:r>
              <w:rPr>
                <w:sz w:val="16"/>
                <w:szCs w:val="16"/>
                <w:spacing w:val="-3"/>
              </w:rPr>
              <w:t>13.00</w:t>
            </w:r>
          </w:p>
        </w:tc>
        <w:tc>
          <w:tcPr>
            <w:tcW w:w="1237" w:type="dxa"/>
            <w:vAlign w:val="top"/>
          </w:tcPr>
          <w:p>
            <w:pPr>
              <w:pStyle w:val="TableText"/>
              <w:ind w:left="417"/>
              <w:spacing w:before="123" w:line="184" w:lineRule="auto"/>
              <w:rPr>
                <w:sz w:val="16"/>
                <w:szCs w:val="16"/>
              </w:rPr>
            </w:pPr>
            <w:r>
              <w:rPr>
                <w:sz w:val="16"/>
                <w:szCs w:val="16"/>
                <w:spacing w:val="-3"/>
              </w:rPr>
              <w:t>12.55</w:t>
            </w:r>
          </w:p>
        </w:tc>
      </w:tr>
      <w:tr>
        <w:trPr>
          <w:trHeight w:val="559" w:hRule="atLeast"/>
        </w:trPr>
        <w:tc>
          <w:tcPr>
            <w:tcW w:w="1213" w:type="dxa"/>
            <w:vAlign w:val="top"/>
          </w:tcPr>
          <w:p>
            <w:pPr>
              <w:pStyle w:val="TableText"/>
              <w:ind w:left="119" w:right="193"/>
              <w:spacing w:before="88" w:line="249"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制造业</w:t>
            </w:r>
          </w:p>
        </w:tc>
        <w:tc>
          <w:tcPr>
            <w:tcW w:w="1225" w:type="dxa"/>
            <w:vAlign w:val="top"/>
          </w:tcPr>
          <w:p>
            <w:pPr>
              <w:pStyle w:val="TableText"/>
              <w:ind w:left="487"/>
              <w:spacing w:before="239" w:line="184" w:lineRule="auto"/>
              <w:rPr>
                <w:sz w:val="16"/>
                <w:szCs w:val="16"/>
              </w:rPr>
            </w:pPr>
            <w:r>
              <w:rPr>
                <w:sz w:val="16"/>
                <w:szCs w:val="16"/>
                <w:spacing w:val="-3"/>
              </w:rPr>
              <w:t>16.40</w:t>
            </w:r>
          </w:p>
        </w:tc>
        <w:tc>
          <w:tcPr>
            <w:tcW w:w="1205" w:type="dxa"/>
            <w:vAlign w:val="top"/>
          </w:tcPr>
          <w:p>
            <w:pPr>
              <w:pStyle w:val="TableText"/>
              <w:ind w:left="412"/>
              <w:spacing w:before="239" w:line="184" w:lineRule="auto"/>
              <w:rPr>
                <w:sz w:val="16"/>
                <w:szCs w:val="16"/>
              </w:rPr>
            </w:pPr>
            <w:r>
              <w:rPr>
                <w:sz w:val="16"/>
                <w:szCs w:val="16"/>
                <w:spacing w:val="-3"/>
              </w:rPr>
              <w:t>16.20</w:t>
            </w:r>
          </w:p>
        </w:tc>
        <w:tc>
          <w:tcPr>
            <w:tcW w:w="1210" w:type="dxa"/>
            <w:vAlign w:val="top"/>
          </w:tcPr>
          <w:p>
            <w:pPr>
              <w:pStyle w:val="TableText"/>
              <w:ind w:left="446"/>
              <w:spacing w:before="239" w:line="183" w:lineRule="auto"/>
              <w:rPr>
                <w:sz w:val="16"/>
                <w:szCs w:val="16"/>
              </w:rPr>
            </w:pPr>
            <w:r>
              <w:rPr>
                <w:sz w:val="16"/>
                <w:szCs w:val="16"/>
                <w:spacing w:val="-2"/>
              </w:rPr>
              <w:t>0.66</w:t>
            </w:r>
          </w:p>
        </w:tc>
        <w:tc>
          <w:tcPr>
            <w:tcW w:w="1237" w:type="dxa"/>
            <w:vAlign w:val="top"/>
          </w:tcPr>
          <w:p>
            <w:pPr>
              <w:pStyle w:val="TableText"/>
              <w:ind w:left="417"/>
              <w:spacing w:before="239" w:line="184" w:lineRule="auto"/>
              <w:rPr>
                <w:sz w:val="16"/>
                <w:szCs w:val="16"/>
              </w:rPr>
            </w:pPr>
            <w:r>
              <w:rPr>
                <w:sz w:val="16"/>
                <w:szCs w:val="16"/>
                <w:spacing w:val="-3"/>
              </w:rPr>
              <w:t>10.53</w:t>
            </w:r>
          </w:p>
        </w:tc>
      </w:tr>
      <w:tr>
        <w:trPr>
          <w:trHeight w:val="549" w:hRule="atLeast"/>
        </w:trPr>
        <w:tc>
          <w:tcPr>
            <w:tcW w:w="1213" w:type="dxa"/>
            <w:vAlign w:val="top"/>
          </w:tcPr>
          <w:p>
            <w:pPr>
              <w:pStyle w:val="TableText"/>
              <w:ind w:left="119" w:right="193"/>
              <w:spacing w:before="79" w:line="248"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服务业</w:t>
            </w:r>
          </w:p>
        </w:tc>
        <w:tc>
          <w:tcPr>
            <w:tcW w:w="1225" w:type="dxa"/>
            <w:vAlign w:val="top"/>
          </w:tcPr>
          <w:p>
            <w:pPr>
              <w:pStyle w:val="TableText"/>
              <w:ind w:left="487"/>
              <w:spacing w:before="230" w:line="184" w:lineRule="auto"/>
              <w:rPr>
                <w:sz w:val="16"/>
                <w:szCs w:val="16"/>
              </w:rPr>
            </w:pPr>
            <w:r>
              <w:rPr>
                <w:sz w:val="16"/>
                <w:szCs w:val="16"/>
                <w:spacing w:val="-3"/>
              </w:rPr>
              <w:t>12.81</w:t>
            </w:r>
          </w:p>
        </w:tc>
        <w:tc>
          <w:tcPr>
            <w:tcW w:w="1205" w:type="dxa"/>
            <w:vAlign w:val="top"/>
          </w:tcPr>
          <w:p>
            <w:pPr>
              <w:pStyle w:val="TableText"/>
              <w:ind w:left="412"/>
              <w:spacing w:before="230" w:line="184" w:lineRule="auto"/>
              <w:rPr>
                <w:sz w:val="16"/>
                <w:szCs w:val="16"/>
              </w:rPr>
            </w:pPr>
            <w:r>
              <w:rPr>
                <w:sz w:val="16"/>
                <w:szCs w:val="16"/>
                <w:spacing w:val="-3"/>
              </w:rPr>
              <w:t>17.58</w:t>
            </w:r>
          </w:p>
        </w:tc>
        <w:tc>
          <w:tcPr>
            <w:tcW w:w="1210" w:type="dxa"/>
            <w:vAlign w:val="top"/>
          </w:tcPr>
          <w:p>
            <w:pPr>
              <w:pStyle w:val="TableText"/>
              <w:ind w:left="407"/>
              <w:spacing w:before="230" w:line="184" w:lineRule="auto"/>
              <w:rPr>
                <w:sz w:val="16"/>
                <w:szCs w:val="16"/>
              </w:rPr>
            </w:pPr>
            <w:r>
              <w:rPr>
                <w:sz w:val="16"/>
                <w:szCs w:val="16"/>
                <w:spacing w:val="-3"/>
              </w:rPr>
              <w:t>17.09</w:t>
            </w:r>
          </w:p>
        </w:tc>
        <w:tc>
          <w:tcPr>
            <w:tcW w:w="1237" w:type="dxa"/>
            <w:vAlign w:val="top"/>
          </w:tcPr>
          <w:p>
            <w:pPr>
              <w:pStyle w:val="TableText"/>
              <w:ind w:left="417"/>
              <w:spacing w:before="230" w:line="184" w:lineRule="auto"/>
              <w:rPr>
                <w:sz w:val="16"/>
                <w:szCs w:val="16"/>
              </w:rPr>
            </w:pPr>
            <w:r>
              <w:rPr>
                <w:sz w:val="16"/>
                <w:szCs w:val="16"/>
                <w:spacing w:val="-3"/>
              </w:rPr>
              <w:t>15.71</w:t>
            </w:r>
          </w:p>
        </w:tc>
      </w:tr>
      <w:tr>
        <w:trPr>
          <w:trHeight w:val="554" w:hRule="atLeast"/>
        </w:trPr>
        <w:tc>
          <w:tcPr>
            <w:tcW w:w="1213" w:type="dxa"/>
            <w:vAlign w:val="top"/>
          </w:tcPr>
          <w:p>
            <w:pPr>
              <w:pStyle w:val="TableText"/>
              <w:ind w:left="119" w:right="221"/>
              <w:spacing w:before="80" w:line="249" w:lineRule="auto"/>
              <w:rPr>
                <w:sz w:val="16"/>
                <w:szCs w:val="16"/>
              </w:rPr>
            </w:pPr>
            <w:r>
              <w:rPr>
                <w:sz w:val="16"/>
                <w:szCs w:val="16"/>
                <w:spacing w:val="-2"/>
              </w:rPr>
              <w:t>非ICT集约使</w:t>
            </w:r>
            <w:r>
              <w:rPr>
                <w:sz w:val="16"/>
                <w:szCs w:val="16"/>
                <w:spacing w:val="4"/>
              </w:rPr>
              <w:t xml:space="preserve"> </w:t>
            </w:r>
            <w:r>
              <w:rPr>
                <w:sz w:val="16"/>
                <w:szCs w:val="16"/>
                <w:spacing w:val="-2"/>
              </w:rPr>
              <w:t>用制造业</w:t>
            </w:r>
          </w:p>
        </w:tc>
        <w:tc>
          <w:tcPr>
            <w:tcW w:w="1225" w:type="dxa"/>
            <w:vAlign w:val="top"/>
          </w:tcPr>
          <w:p>
            <w:pPr>
              <w:pStyle w:val="TableText"/>
              <w:ind w:left="487"/>
              <w:spacing w:before="231" w:line="184" w:lineRule="auto"/>
              <w:rPr>
                <w:sz w:val="16"/>
                <w:szCs w:val="16"/>
              </w:rPr>
            </w:pPr>
            <w:r>
              <w:rPr>
                <w:sz w:val="16"/>
                <w:szCs w:val="16"/>
                <w:spacing w:val="-3"/>
              </w:rPr>
              <w:t>10.34</w:t>
            </w:r>
          </w:p>
        </w:tc>
        <w:tc>
          <w:tcPr>
            <w:tcW w:w="1205" w:type="dxa"/>
            <w:vAlign w:val="top"/>
          </w:tcPr>
          <w:p>
            <w:pPr>
              <w:pStyle w:val="TableText"/>
              <w:ind w:left="412"/>
              <w:spacing w:before="231" w:line="184" w:lineRule="auto"/>
              <w:rPr>
                <w:sz w:val="16"/>
                <w:szCs w:val="16"/>
              </w:rPr>
            </w:pPr>
            <w:r>
              <w:rPr>
                <w:sz w:val="16"/>
                <w:szCs w:val="16"/>
                <w:spacing w:val="-3"/>
              </w:rPr>
              <w:t>12.43</w:t>
            </w:r>
          </w:p>
        </w:tc>
        <w:tc>
          <w:tcPr>
            <w:tcW w:w="1210" w:type="dxa"/>
            <w:vAlign w:val="top"/>
          </w:tcPr>
          <w:p>
            <w:pPr>
              <w:pStyle w:val="TableText"/>
              <w:ind w:left="446"/>
              <w:spacing w:before="231" w:line="183" w:lineRule="auto"/>
              <w:rPr>
                <w:sz w:val="16"/>
                <w:szCs w:val="16"/>
              </w:rPr>
            </w:pPr>
            <w:r>
              <w:rPr>
                <w:sz w:val="16"/>
                <w:szCs w:val="16"/>
                <w:spacing w:val="-2"/>
              </w:rPr>
              <w:t>3.35</w:t>
            </w:r>
          </w:p>
        </w:tc>
        <w:tc>
          <w:tcPr>
            <w:tcW w:w="1237" w:type="dxa"/>
            <w:vAlign w:val="top"/>
          </w:tcPr>
          <w:p>
            <w:pPr>
              <w:pStyle w:val="TableText"/>
              <w:ind w:left="456"/>
              <w:spacing w:before="231" w:line="183" w:lineRule="auto"/>
              <w:rPr>
                <w:sz w:val="16"/>
                <w:szCs w:val="16"/>
              </w:rPr>
            </w:pPr>
            <w:r>
              <w:rPr>
                <w:sz w:val="16"/>
                <w:szCs w:val="16"/>
                <w:spacing w:val="-2"/>
              </w:rPr>
              <w:t>8.42</w:t>
            </w:r>
          </w:p>
        </w:tc>
      </w:tr>
      <w:tr>
        <w:trPr>
          <w:trHeight w:val="530" w:hRule="atLeast"/>
        </w:trPr>
        <w:tc>
          <w:tcPr>
            <w:tcW w:w="1213" w:type="dxa"/>
            <w:vAlign w:val="top"/>
          </w:tcPr>
          <w:p>
            <w:pPr>
              <w:pStyle w:val="TableText"/>
              <w:ind w:left="119" w:right="221"/>
              <w:spacing w:before="85" w:line="237" w:lineRule="auto"/>
              <w:rPr>
                <w:sz w:val="16"/>
                <w:szCs w:val="16"/>
              </w:rPr>
            </w:pPr>
            <w:r>
              <w:rPr>
                <w:sz w:val="16"/>
                <w:szCs w:val="16"/>
                <w:spacing w:val="-2"/>
              </w:rPr>
              <w:t>非ICT集约使</w:t>
            </w:r>
            <w:r>
              <w:rPr>
                <w:sz w:val="16"/>
                <w:szCs w:val="16"/>
                <w:spacing w:val="4"/>
              </w:rPr>
              <w:t xml:space="preserve"> </w:t>
            </w:r>
            <w:r>
              <w:rPr>
                <w:sz w:val="16"/>
                <w:szCs w:val="16"/>
                <w:spacing w:val="-2"/>
              </w:rPr>
              <w:t>用服务业</w:t>
            </w:r>
          </w:p>
        </w:tc>
        <w:tc>
          <w:tcPr>
            <w:tcW w:w="1225" w:type="dxa"/>
            <w:vAlign w:val="top"/>
          </w:tcPr>
          <w:p>
            <w:pPr>
              <w:pStyle w:val="TableText"/>
              <w:ind w:left="487"/>
              <w:spacing w:before="227" w:line="184" w:lineRule="auto"/>
              <w:rPr>
                <w:sz w:val="16"/>
                <w:szCs w:val="16"/>
              </w:rPr>
            </w:pPr>
            <w:r>
              <w:rPr>
                <w:sz w:val="16"/>
                <w:szCs w:val="16"/>
                <w:spacing w:val="-3"/>
              </w:rPr>
              <w:t>18.09</w:t>
            </w:r>
          </w:p>
        </w:tc>
        <w:tc>
          <w:tcPr>
            <w:tcW w:w="1205" w:type="dxa"/>
            <w:vAlign w:val="top"/>
          </w:tcPr>
          <w:p>
            <w:pPr>
              <w:pStyle w:val="TableText"/>
              <w:ind w:left="412"/>
              <w:spacing w:before="227" w:line="184" w:lineRule="auto"/>
              <w:rPr>
                <w:sz w:val="16"/>
                <w:szCs w:val="16"/>
              </w:rPr>
            </w:pPr>
            <w:r>
              <w:rPr>
                <w:sz w:val="16"/>
                <w:szCs w:val="16"/>
                <w:spacing w:val="-3"/>
              </w:rPr>
              <w:t>15.90</w:t>
            </w:r>
          </w:p>
        </w:tc>
        <w:tc>
          <w:tcPr>
            <w:tcW w:w="1210" w:type="dxa"/>
            <w:vAlign w:val="top"/>
          </w:tcPr>
          <w:p>
            <w:pPr>
              <w:pStyle w:val="TableText"/>
              <w:ind w:left="407"/>
              <w:spacing w:before="227" w:line="184" w:lineRule="auto"/>
              <w:rPr>
                <w:sz w:val="16"/>
                <w:szCs w:val="16"/>
              </w:rPr>
            </w:pPr>
            <w:r>
              <w:rPr>
                <w:sz w:val="16"/>
                <w:szCs w:val="16"/>
                <w:spacing w:val="-3"/>
              </w:rPr>
              <w:t>10.76</w:t>
            </w:r>
          </w:p>
        </w:tc>
        <w:tc>
          <w:tcPr>
            <w:tcW w:w="1237" w:type="dxa"/>
            <w:vAlign w:val="top"/>
          </w:tcPr>
          <w:p>
            <w:pPr>
              <w:pStyle w:val="TableText"/>
              <w:ind w:left="417"/>
              <w:spacing w:before="227" w:line="184" w:lineRule="auto"/>
              <w:rPr>
                <w:sz w:val="16"/>
                <w:szCs w:val="16"/>
              </w:rPr>
            </w:pPr>
            <w:r>
              <w:rPr>
                <w:sz w:val="16"/>
                <w:szCs w:val="16"/>
                <w:spacing w:val="-3"/>
              </w:rPr>
              <w:t>14.82</w:t>
            </w:r>
          </w:p>
        </w:tc>
      </w:tr>
      <w:tr>
        <w:trPr>
          <w:trHeight w:val="303" w:hRule="atLeast"/>
        </w:trPr>
        <w:tc>
          <w:tcPr>
            <w:tcW w:w="1213" w:type="dxa"/>
            <w:vAlign w:val="top"/>
          </w:tcPr>
          <w:p>
            <w:pPr>
              <w:pStyle w:val="TableText"/>
              <w:ind w:left="119"/>
              <w:spacing w:before="78" w:line="221" w:lineRule="auto"/>
              <w:rPr>
                <w:sz w:val="16"/>
                <w:szCs w:val="16"/>
              </w:rPr>
            </w:pPr>
            <w:r>
              <w:rPr>
                <w:sz w:val="16"/>
                <w:szCs w:val="16"/>
                <w:spacing w:val="-2"/>
              </w:rPr>
              <w:t>农业</w:t>
            </w:r>
          </w:p>
        </w:tc>
        <w:tc>
          <w:tcPr>
            <w:tcW w:w="1225" w:type="dxa"/>
            <w:vAlign w:val="top"/>
          </w:tcPr>
          <w:p>
            <w:pPr>
              <w:pStyle w:val="TableText"/>
              <w:ind w:left="487"/>
              <w:spacing w:before="117" w:line="184" w:lineRule="auto"/>
              <w:rPr>
                <w:sz w:val="16"/>
                <w:szCs w:val="16"/>
              </w:rPr>
            </w:pPr>
            <w:r>
              <w:rPr>
                <w:sz w:val="16"/>
                <w:szCs w:val="16"/>
                <w:spacing w:val="-3"/>
              </w:rPr>
              <w:t>12.40</w:t>
            </w:r>
          </w:p>
        </w:tc>
        <w:tc>
          <w:tcPr>
            <w:tcW w:w="1205" w:type="dxa"/>
            <w:vAlign w:val="top"/>
          </w:tcPr>
          <w:p>
            <w:pPr>
              <w:pStyle w:val="TableText"/>
              <w:ind w:left="412"/>
              <w:spacing w:before="117" w:line="183" w:lineRule="auto"/>
              <w:rPr>
                <w:sz w:val="16"/>
                <w:szCs w:val="16"/>
              </w:rPr>
            </w:pPr>
            <w:r>
              <w:rPr>
                <w:sz w:val="16"/>
                <w:szCs w:val="16"/>
                <w:spacing w:val="-2"/>
              </w:rPr>
              <w:t>22.09</w:t>
            </w:r>
          </w:p>
        </w:tc>
        <w:tc>
          <w:tcPr>
            <w:tcW w:w="1210" w:type="dxa"/>
            <w:vAlign w:val="top"/>
          </w:tcPr>
          <w:p>
            <w:pPr>
              <w:pStyle w:val="TableText"/>
              <w:ind w:left="407"/>
              <w:spacing w:before="117" w:line="184" w:lineRule="auto"/>
              <w:rPr>
                <w:sz w:val="16"/>
                <w:szCs w:val="16"/>
              </w:rPr>
            </w:pPr>
            <w:r>
              <w:rPr>
                <w:sz w:val="16"/>
                <w:szCs w:val="16"/>
                <w:spacing w:val="-2"/>
              </w:rPr>
              <w:t>20.15</w:t>
            </w:r>
          </w:p>
        </w:tc>
        <w:tc>
          <w:tcPr>
            <w:tcW w:w="1237" w:type="dxa"/>
            <w:vAlign w:val="top"/>
          </w:tcPr>
          <w:p>
            <w:pPr>
              <w:pStyle w:val="TableText"/>
              <w:ind w:left="417"/>
              <w:spacing w:before="117" w:line="184" w:lineRule="auto"/>
              <w:rPr>
                <w:sz w:val="16"/>
                <w:szCs w:val="16"/>
              </w:rPr>
            </w:pPr>
            <w:r>
              <w:rPr>
                <w:sz w:val="16"/>
                <w:szCs w:val="16"/>
                <w:spacing w:val="-3"/>
              </w:rPr>
              <w:t>17.91</w:t>
            </w:r>
          </w:p>
        </w:tc>
      </w:tr>
      <w:tr>
        <w:trPr>
          <w:trHeight w:val="310" w:hRule="atLeast"/>
        </w:trPr>
        <w:tc>
          <w:tcPr>
            <w:tcW w:w="1213" w:type="dxa"/>
            <w:vAlign w:val="top"/>
          </w:tcPr>
          <w:p>
            <w:pPr>
              <w:pStyle w:val="TableText"/>
              <w:ind w:left="119"/>
              <w:spacing w:before="82" w:line="219" w:lineRule="auto"/>
              <w:rPr>
                <w:sz w:val="16"/>
                <w:szCs w:val="16"/>
              </w:rPr>
            </w:pPr>
            <w:r>
              <w:rPr>
                <w:sz w:val="16"/>
                <w:szCs w:val="16"/>
                <w:spacing w:val="-2"/>
              </w:rPr>
              <w:t>采掘业</w:t>
            </w:r>
          </w:p>
        </w:tc>
        <w:tc>
          <w:tcPr>
            <w:tcW w:w="1225" w:type="dxa"/>
            <w:vAlign w:val="top"/>
          </w:tcPr>
          <w:p>
            <w:pPr>
              <w:pStyle w:val="TableText"/>
              <w:ind w:left="526"/>
              <w:spacing w:before="124" w:line="183" w:lineRule="auto"/>
              <w:rPr>
                <w:sz w:val="16"/>
                <w:szCs w:val="16"/>
              </w:rPr>
            </w:pPr>
            <w:r>
              <w:rPr>
                <w:sz w:val="16"/>
                <w:szCs w:val="16"/>
                <w:spacing w:val="-2"/>
              </w:rPr>
              <w:t>8.30</w:t>
            </w:r>
          </w:p>
        </w:tc>
        <w:tc>
          <w:tcPr>
            <w:tcW w:w="1205" w:type="dxa"/>
            <w:vAlign w:val="top"/>
          </w:tcPr>
          <w:p>
            <w:pPr>
              <w:pStyle w:val="TableText"/>
              <w:ind w:left="412"/>
              <w:spacing w:before="124" w:line="184" w:lineRule="auto"/>
              <w:rPr>
                <w:sz w:val="16"/>
                <w:szCs w:val="16"/>
              </w:rPr>
            </w:pPr>
            <w:r>
              <w:rPr>
                <w:sz w:val="16"/>
                <w:szCs w:val="16"/>
                <w:spacing w:val="-3"/>
              </w:rPr>
              <w:t>10.89</w:t>
            </w:r>
          </w:p>
        </w:tc>
        <w:tc>
          <w:tcPr>
            <w:tcW w:w="1210" w:type="dxa"/>
            <w:vAlign w:val="top"/>
          </w:tcPr>
          <w:p>
            <w:pPr>
              <w:pStyle w:val="TableText"/>
              <w:ind w:left="407"/>
              <w:spacing w:before="124" w:line="184" w:lineRule="auto"/>
              <w:rPr>
                <w:sz w:val="16"/>
                <w:szCs w:val="16"/>
              </w:rPr>
            </w:pPr>
            <w:r>
              <w:rPr>
                <w:sz w:val="16"/>
                <w:szCs w:val="16"/>
                <w:spacing w:val="-3"/>
              </w:rPr>
              <w:t>12.01</w:t>
            </w:r>
          </w:p>
        </w:tc>
        <w:tc>
          <w:tcPr>
            <w:tcW w:w="1237" w:type="dxa"/>
            <w:vAlign w:val="top"/>
          </w:tcPr>
          <w:p>
            <w:pPr>
              <w:pStyle w:val="TableText"/>
              <w:ind w:left="417"/>
              <w:spacing w:before="124" w:line="184" w:lineRule="auto"/>
              <w:rPr>
                <w:sz w:val="16"/>
                <w:szCs w:val="16"/>
              </w:rPr>
            </w:pPr>
            <w:r>
              <w:rPr>
                <w:sz w:val="16"/>
                <w:szCs w:val="16"/>
                <w:spacing w:val="-3"/>
              </w:rPr>
              <w:t>10.36</w:t>
            </w:r>
          </w:p>
        </w:tc>
      </w:tr>
      <w:tr>
        <w:trPr>
          <w:trHeight w:val="308" w:hRule="atLeast"/>
        </w:trPr>
        <w:tc>
          <w:tcPr>
            <w:tcW w:w="1213" w:type="dxa"/>
            <w:vAlign w:val="top"/>
          </w:tcPr>
          <w:p>
            <w:pPr>
              <w:pStyle w:val="TableText"/>
              <w:ind w:left="119"/>
              <w:spacing w:before="84" w:line="220" w:lineRule="auto"/>
              <w:rPr>
                <w:sz w:val="16"/>
                <w:szCs w:val="16"/>
              </w:rPr>
            </w:pPr>
            <w:r>
              <w:rPr>
                <w:sz w:val="16"/>
                <w:szCs w:val="16"/>
                <w:spacing w:val="-2"/>
              </w:rPr>
              <w:t>建筑业</w:t>
            </w:r>
          </w:p>
        </w:tc>
        <w:tc>
          <w:tcPr>
            <w:tcW w:w="1225" w:type="dxa"/>
            <w:vAlign w:val="top"/>
          </w:tcPr>
          <w:p>
            <w:pPr>
              <w:pStyle w:val="TableText"/>
              <w:ind w:left="487"/>
              <w:spacing w:before="124" w:line="184" w:lineRule="auto"/>
              <w:rPr>
                <w:sz w:val="16"/>
                <w:szCs w:val="16"/>
              </w:rPr>
            </w:pPr>
            <w:r>
              <w:rPr>
                <w:sz w:val="16"/>
                <w:szCs w:val="16"/>
                <w:spacing w:val="-3"/>
              </w:rPr>
              <w:t>15.35</w:t>
            </w:r>
          </w:p>
        </w:tc>
        <w:tc>
          <w:tcPr>
            <w:tcW w:w="1205" w:type="dxa"/>
            <w:vAlign w:val="top"/>
          </w:tcPr>
          <w:p>
            <w:pPr>
              <w:pStyle w:val="TableText"/>
              <w:ind w:left="412"/>
              <w:spacing w:before="124" w:line="184" w:lineRule="auto"/>
              <w:rPr>
                <w:sz w:val="16"/>
                <w:szCs w:val="16"/>
              </w:rPr>
            </w:pPr>
            <w:r>
              <w:rPr>
                <w:sz w:val="16"/>
                <w:szCs w:val="16"/>
                <w:spacing w:val="-3"/>
              </w:rPr>
              <w:t>19.38</w:t>
            </w:r>
          </w:p>
        </w:tc>
        <w:tc>
          <w:tcPr>
            <w:tcW w:w="1210" w:type="dxa"/>
            <w:vAlign w:val="top"/>
          </w:tcPr>
          <w:p>
            <w:pPr>
              <w:pStyle w:val="TableText"/>
              <w:ind w:left="407"/>
              <w:spacing w:before="124" w:line="184" w:lineRule="auto"/>
              <w:rPr>
                <w:sz w:val="16"/>
                <w:szCs w:val="16"/>
              </w:rPr>
            </w:pPr>
            <w:r>
              <w:rPr>
                <w:sz w:val="16"/>
                <w:szCs w:val="16"/>
                <w:spacing w:val="-3"/>
              </w:rPr>
              <w:t>10.17</w:t>
            </w:r>
          </w:p>
        </w:tc>
        <w:tc>
          <w:tcPr>
            <w:tcW w:w="1237" w:type="dxa"/>
            <w:vAlign w:val="top"/>
          </w:tcPr>
          <w:p>
            <w:pPr>
              <w:pStyle w:val="TableText"/>
              <w:ind w:left="417"/>
              <w:spacing w:before="124" w:line="184" w:lineRule="auto"/>
              <w:rPr>
                <w:sz w:val="16"/>
                <w:szCs w:val="16"/>
              </w:rPr>
            </w:pPr>
            <w:r>
              <w:rPr>
                <w:sz w:val="16"/>
                <w:szCs w:val="16"/>
                <w:spacing w:val="-3"/>
              </w:rPr>
              <w:t>14.65</w:t>
            </w:r>
          </w:p>
        </w:tc>
      </w:tr>
      <w:tr>
        <w:trPr>
          <w:trHeight w:val="314" w:hRule="atLeast"/>
        </w:trPr>
        <w:tc>
          <w:tcPr>
            <w:tcW w:w="1213" w:type="dxa"/>
            <w:vAlign w:val="top"/>
            <w:tcBorders>
              <w:bottom w:val="single" w:color="000000" w:sz="4" w:space="0"/>
            </w:tcBorders>
          </w:tcPr>
          <w:p>
            <w:pPr>
              <w:pStyle w:val="TableText"/>
              <w:ind w:left="119"/>
              <w:spacing w:before="85" w:line="219" w:lineRule="auto"/>
              <w:rPr>
                <w:sz w:val="16"/>
                <w:szCs w:val="16"/>
              </w:rPr>
            </w:pPr>
            <w:r>
              <w:rPr>
                <w:sz w:val="16"/>
                <w:szCs w:val="16"/>
                <w:spacing w:val="-2"/>
              </w:rPr>
              <w:t>非市场服务业</w:t>
            </w:r>
          </w:p>
        </w:tc>
        <w:tc>
          <w:tcPr>
            <w:tcW w:w="1225" w:type="dxa"/>
            <w:vAlign w:val="top"/>
            <w:tcBorders>
              <w:bottom w:val="single" w:color="000000" w:sz="4" w:space="0"/>
            </w:tcBorders>
          </w:tcPr>
          <w:p>
            <w:pPr>
              <w:pStyle w:val="TableText"/>
              <w:ind w:left="487"/>
              <w:spacing w:before="126" w:line="183" w:lineRule="auto"/>
              <w:rPr>
                <w:sz w:val="16"/>
                <w:szCs w:val="16"/>
              </w:rPr>
            </w:pPr>
            <w:r>
              <w:rPr>
                <w:sz w:val="16"/>
                <w:szCs w:val="16"/>
                <w:spacing w:val="-2"/>
              </w:rPr>
              <w:t>25.28</w:t>
            </w:r>
          </w:p>
        </w:tc>
        <w:tc>
          <w:tcPr>
            <w:tcW w:w="1205" w:type="dxa"/>
            <w:vAlign w:val="top"/>
            <w:tcBorders>
              <w:bottom w:val="single" w:color="000000" w:sz="4" w:space="0"/>
            </w:tcBorders>
          </w:tcPr>
          <w:p>
            <w:pPr>
              <w:pStyle w:val="TableText"/>
              <w:ind w:left="412"/>
              <w:spacing w:before="126" w:line="184" w:lineRule="auto"/>
              <w:rPr>
                <w:sz w:val="16"/>
                <w:szCs w:val="16"/>
              </w:rPr>
            </w:pPr>
            <w:r>
              <w:rPr>
                <w:sz w:val="16"/>
                <w:szCs w:val="16"/>
                <w:spacing w:val="-2"/>
              </w:rPr>
              <w:t>21.54</w:t>
            </w:r>
          </w:p>
        </w:tc>
        <w:tc>
          <w:tcPr>
            <w:tcW w:w="1210" w:type="dxa"/>
            <w:vAlign w:val="top"/>
            <w:tcBorders>
              <w:bottom w:val="single" w:color="000000" w:sz="4" w:space="0"/>
            </w:tcBorders>
          </w:tcPr>
          <w:p>
            <w:pPr>
              <w:pStyle w:val="TableText"/>
              <w:ind w:left="407"/>
              <w:spacing w:before="126" w:line="184" w:lineRule="auto"/>
              <w:rPr>
                <w:sz w:val="16"/>
                <w:szCs w:val="16"/>
              </w:rPr>
            </w:pPr>
            <w:r>
              <w:rPr>
                <w:sz w:val="16"/>
                <w:szCs w:val="16"/>
                <w:spacing w:val="-3"/>
              </w:rPr>
              <w:t>19.21</w:t>
            </w:r>
          </w:p>
        </w:tc>
        <w:tc>
          <w:tcPr>
            <w:tcW w:w="1237" w:type="dxa"/>
            <w:vAlign w:val="top"/>
            <w:tcBorders>
              <w:bottom w:val="single" w:color="000000" w:sz="4" w:space="0"/>
            </w:tcBorders>
          </w:tcPr>
          <w:p>
            <w:pPr>
              <w:pStyle w:val="TableText"/>
              <w:ind w:left="417"/>
              <w:spacing w:before="126" w:line="184" w:lineRule="auto"/>
              <w:rPr>
                <w:sz w:val="16"/>
                <w:szCs w:val="16"/>
              </w:rPr>
            </w:pPr>
            <w:r>
              <w:rPr>
                <w:sz w:val="16"/>
                <w:szCs w:val="16"/>
                <w:spacing w:val="-2"/>
              </w:rPr>
              <w:t>22.01</w:t>
            </w:r>
          </w:p>
        </w:tc>
      </w:tr>
    </w:tbl>
    <w:p>
      <w:pPr>
        <w:ind w:left="390"/>
        <w:spacing w:before="170" w:line="219" w:lineRule="auto"/>
        <w:rPr>
          <w:rFonts w:ascii="SimSun" w:hAnsi="SimSun" w:eastAsia="SimSun" w:cs="SimSun"/>
          <w:sz w:val="16"/>
          <w:szCs w:val="16"/>
        </w:rPr>
      </w:pPr>
      <w:r>
        <w:rPr>
          <w:rFonts w:ascii="SimSun" w:hAnsi="SimSun" w:eastAsia="SimSun" w:cs="SimSun"/>
          <w:sz w:val="16"/>
          <w:szCs w:val="16"/>
          <w:spacing w:val="-1"/>
        </w:rPr>
        <w:t>资料来源：作者计算，数据出处及构建方法见本章第三节。</w:t>
      </w:r>
    </w:p>
    <w:p>
      <w:pPr>
        <w:pStyle w:val="BodyText"/>
        <w:spacing w:line="314" w:lineRule="auto"/>
        <w:rPr/>
      </w:pPr>
      <w:r/>
    </w:p>
    <w:p>
      <w:pPr>
        <w:ind w:right="60" w:firstLine="450"/>
        <w:spacing w:before="68" w:line="285" w:lineRule="auto"/>
        <w:jc w:val="both"/>
        <w:rPr>
          <w:rFonts w:ascii="SimSun" w:hAnsi="SimSun" w:eastAsia="SimSun" w:cs="SimSun"/>
          <w:sz w:val="21"/>
          <w:szCs w:val="21"/>
        </w:rPr>
      </w:pPr>
      <w:r>
        <w:rPr>
          <w:rFonts w:ascii="SimSun" w:hAnsi="SimSun" w:eastAsia="SimSun" w:cs="SimSun"/>
          <w:sz w:val="21"/>
          <w:szCs w:val="21"/>
          <w:spacing w:val="-10"/>
        </w:rPr>
        <w:t>这个情况在危机后晚期得到一定程度的调整。ICT</w:t>
      </w:r>
      <w:r>
        <w:rPr>
          <w:rFonts w:ascii="SimSun" w:hAnsi="SimSun" w:eastAsia="SimSun" w:cs="SimSun"/>
          <w:sz w:val="21"/>
          <w:szCs w:val="21"/>
          <w:spacing w:val="-12"/>
        </w:rPr>
        <w:t xml:space="preserve"> </w:t>
      </w:r>
      <w:r>
        <w:rPr>
          <w:rFonts w:ascii="SimSun" w:hAnsi="SimSun" w:eastAsia="SimSun" w:cs="SimSun"/>
          <w:sz w:val="21"/>
          <w:szCs w:val="21"/>
          <w:spacing w:val="-10"/>
        </w:rPr>
        <w:t>生产部门的净</w:t>
      </w:r>
      <w:r>
        <w:rPr>
          <w:rFonts w:ascii="SimSun" w:hAnsi="SimSun" w:eastAsia="SimSun" w:cs="SimSun"/>
          <w:sz w:val="21"/>
          <w:szCs w:val="21"/>
        </w:rPr>
        <w:t xml:space="preserve"> </w:t>
      </w:r>
      <w:r>
        <w:rPr>
          <w:rFonts w:ascii="SimSun" w:hAnsi="SimSun" w:eastAsia="SimSun" w:cs="SimSun"/>
          <w:sz w:val="21"/>
          <w:szCs w:val="21"/>
          <w:spacing w:val="-4"/>
        </w:rPr>
        <w:t>资本存量在这个时期重返超过整体经济平均增长率的快速增长轨道</w:t>
      </w:r>
      <w:r>
        <w:rPr>
          <w:rFonts w:ascii="SimSun" w:hAnsi="SimSun" w:eastAsia="SimSun" w:cs="SimSun"/>
          <w:sz w:val="21"/>
          <w:szCs w:val="21"/>
          <w:spacing w:val="4"/>
        </w:rPr>
        <w:t xml:space="preserve"> </w:t>
      </w:r>
      <w:r>
        <w:rPr>
          <w:rFonts w:ascii="SimSun" w:hAnsi="SimSun" w:eastAsia="SimSun" w:cs="SimSun"/>
          <w:sz w:val="21"/>
          <w:szCs w:val="21"/>
          <w:spacing w:val="3"/>
        </w:rPr>
        <w:t>(年平均增长率达到了13.0%,相对前期的8.63%)。然而，对于</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0"/>
        </w:rPr>
        <w:t>集约使用制造业来说，危机后早晚两个时期的变化恰恰相</w:t>
      </w:r>
      <w:r>
        <w:rPr>
          <w:rFonts w:ascii="SimSun" w:hAnsi="SimSun" w:eastAsia="SimSun" w:cs="SimSun"/>
          <w:sz w:val="21"/>
          <w:szCs w:val="21"/>
          <w:spacing w:val="-11"/>
        </w:rPr>
        <w:t>反。早期增</w:t>
      </w:r>
    </w:p>
    <w:p>
      <w:pPr>
        <w:ind w:right="79"/>
        <w:spacing w:before="99" w:line="308" w:lineRule="auto"/>
        <w:jc w:val="both"/>
        <w:rPr>
          <w:rFonts w:ascii="SimSun" w:hAnsi="SimSun" w:eastAsia="SimSun" w:cs="SimSun"/>
          <w:sz w:val="21"/>
          <w:szCs w:val="21"/>
        </w:rPr>
      </w:pPr>
      <w:r>
        <w:rPr>
          <w:rFonts w:ascii="SimSun" w:hAnsi="SimSun" w:eastAsia="SimSun" w:cs="SimSun"/>
          <w:sz w:val="21"/>
          <w:szCs w:val="21"/>
          <w:spacing w:val="-11"/>
        </w:rPr>
        <w:t>长仍然强劲，这与当时制造业的一般趋势相仿，受惠于“保增长”的</w:t>
      </w:r>
      <w:r>
        <w:rPr>
          <w:rFonts w:ascii="SimSun" w:hAnsi="SimSun" w:eastAsia="SimSun" w:cs="SimSun"/>
          <w:sz w:val="21"/>
          <w:szCs w:val="21"/>
          <w:spacing w:val="14"/>
        </w:rPr>
        <w:t xml:space="preserve"> </w:t>
      </w:r>
      <w:r>
        <w:rPr>
          <w:rFonts w:ascii="SimSun" w:hAnsi="SimSun" w:eastAsia="SimSun" w:cs="SimSun"/>
          <w:sz w:val="21"/>
          <w:szCs w:val="21"/>
          <w:spacing w:val="1"/>
        </w:rPr>
        <w:t>政策。但是，晚期却出现了巨大的逆转，增长几近于零</w:t>
      </w:r>
      <w:r>
        <w:rPr>
          <w:rFonts w:ascii="SimSun" w:hAnsi="SimSun" w:eastAsia="SimSun" w:cs="SimSun"/>
          <w:sz w:val="21"/>
          <w:szCs w:val="21"/>
        </w:rPr>
        <w:t>(增长率为 </w:t>
      </w:r>
      <w:r>
        <w:rPr>
          <w:rFonts w:ascii="SimSun" w:hAnsi="SimSun" w:eastAsia="SimSun" w:cs="SimSun"/>
          <w:sz w:val="21"/>
          <w:szCs w:val="21"/>
          <w:spacing w:val="-3"/>
        </w:rPr>
        <w:t>0.66%,相对于早期的16.2%)。深究起来，这里应</w:t>
      </w:r>
      <w:r>
        <w:rPr>
          <w:rFonts w:ascii="SimSun" w:hAnsi="SimSun" w:eastAsia="SimSun" w:cs="SimSun"/>
          <w:sz w:val="21"/>
          <w:szCs w:val="21"/>
          <w:spacing w:val="-4"/>
        </w:rPr>
        <w:t>该既有制造业普遍</w:t>
      </w:r>
      <w:r>
        <w:rPr>
          <w:rFonts w:ascii="SimSun" w:hAnsi="SimSun" w:eastAsia="SimSun" w:cs="SimSun"/>
          <w:sz w:val="21"/>
          <w:szCs w:val="21"/>
        </w:rPr>
        <w:t xml:space="preserve"> </w:t>
      </w:r>
      <w:r>
        <w:rPr>
          <w:rFonts w:ascii="SimSun" w:hAnsi="SimSun" w:eastAsia="SimSun" w:cs="SimSun"/>
          <w:sz w:val="21"/>
          <w:szCs w:val="21"/>
          <w:spacing w:val="-11"/>
        </w:rPr>
        <w:t>存在的严重产能过剩因素的影响，也有政策转向导致的对资源配置干</w:t>
      </w:r>
      <w:r>
        <w:rPr>
          <w:rFonts w:ascii="SimSun" w:hAnsi="SimSun" w:eastAsia="SimSun" w:cs="SimSun"/>
          <w:sz w:val="21"/>
          <w:szCs w:val="21"/>
          <w:spacing w:val="6"/>
        </w:rPr>
        <w:t xml:space="preserve"> </w:t>
      </w:r>
      <w:r>
        <w:rPr>
          <w:rFonts w:ascii="SimSun" w:hAnsi="SimSun" w:eastAsia="SimSun" w:cs="SimSun"/>
          <w:sz w:val="21"/>
          <w:szCs w:val="21"/>
          <w:spacing w:val="-11"/>
        </w:rPr>
        <w:t>预减少的影响——政策的“保增长”取向式微。转型中的制造业越来</w:t>
      </w:r>
      <w:r>
        <w:rPr>
          <w:rFonts w:ascii="SimSun" w:hAnsi="SimSun" w:eastAsia="SimSun" w:cs="SimSun"/>
          <w:sz w:val="21"/>
          <w:szCs w:val="21"/>
          <w:spacing w:val="7"/>
        </w:rPr>
        <w:t xml:space="preserve"> </w:t>
      </w:r>
      <w:r>
        <w:rPr>
          <w:rFonts w:ascii="SimSun" w:hAnsi="SimSun" w:eastAsia="SimSun" w:cs="SimSun"/>
          <w:sz w:val="21"/>
          <w:szCs w:val="21"/>
          <w:spacing w:val="-11"/>
        </w:rPr>
        <w:t>越需要独立面对市场竞争的压力，尤其是以生产率增长克服成本上升</w:t>
      </w:r>
      <w:r>
        <w:rPr>
          <w:rFonts w:ascii="SimSun" w:hAnsi="SimSun" w:eastAsia="SimSun" w:cs="SimSun"/>
          <w:sz w:val="21"/>
          <w:szCs w:val="21"/>
          <w:spacing w:val="9"/>
        </w:rPr>
        <w:t xml:space="preserve"> </w:t>
      </w:r>
      <w:r>
        <w:rPr>
          <w:rFonts w:ascii="SimSun" w:hAnsi="SimSun" w:eastAsia="SimSun" w:cs="SimSun"/>
          <w:sz w:val="21"/>
          <w:szCs w:val="21"/>
          <w:spacing w:val="-2"/>
        </w:rPr>
        <w:t>的压力。正如我们在随后的观察和分析中将看到的，这也是</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集</w:t>
      </w:r>
    </w:p>
    <w:p>
      <w:pPr>
        <w:spacing w:line="308" w:lineRule="auto"/>
        <w:sectPr>
          <w:headerReference w:type="default" r:id="rId117"/>
          <w:pgSz w:w="7330" w:h="12480"/>
          <w:pgMar w:top="489" w:right="619" w:bottom="400" w:left="619" w:header="313"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29"/>
        <w:spacing w:before="68" w:line="219" w:lineRule="auto"/>
        <w:rPr>
          <w:rFonts w:ascii="SimSun" w:hAnsi="SimSun" w:eastAsia="SimSun" w:cs="SimSun"/>
          <w:sz w:val="21"/>
          <w:szCs w:val="21"/>
        </w:rPr>
      </w:pPr>
      <w:r>
        <w:rPr>
          <w:rFonts w:ascii="SimSun" w:hAnsi="SimSun" w:eastAsia="SimSun" w:cs="SimSun"/>
          <w:sz w:val="21"/>
          <w:szCs w:val="21"/>
          <w:spacing w:val="-13"/>
        </w:rPr>
        <w:t>约使用制造业所面对的严峻挑战。</w:t>
      </w:r>
    </w:p>
    <w:p>
      <w:pPr>
        <w:ind w:left="29" w:firstLine="399"/>
        <w:spacing w:before="104" w:line="309" w:lineRule="auto"/>
        <w:jc w:val="both"/>
        <w:rPr>
          <w:rFonts w:ascii="SimSun" w:hAnsi="SimSun" w:eastAsia="SimSun" w:cs="SimSun"/>
          <w:sz w:val="21"/>
          <w:szCs w:val="21"/>
        </w:rPr>
      </w:pPr>
      <w:r>
        <w:rPr>
          <w:rFonts w:ascii="SimSun" w:hAnsi="SimSun" w:eastAsia="SimSun" w:cs="SimSun"/>
          <w:sz w:val="21"/>
          <w:szCs w:val="21"/>
          <w:spacing w:val="1"/>
        </w:rPr>
        <w:t>在表2-6中，我们报告了不同部门净资本存量于四</w:t>
      </w:r>
      <w:r>
        <w:rPr>
          <w:rFonts w:ascii="SimSun" w:hAnsi="SimSun" w:eastAsia="SimSun" w:cs="SimSun"/>
          <w:sz w:val="21"/>
          <w:szCs w:val="21"/>
        </w:rPr>
        <w:t>个时间点在 </w:t>
      </w:r>
      <w:r>
        <w:rPr>
          <w:rFonts w:ascii="SimSun" w:hAnsi="SimSun" w:eastAsia="SimSun" w:cs="SimSun"/>
          <w:sz w:val="21"/>
          <w:szCs w:val="21"/>
          <w:spacing w:val="-10"/>
        </w:rPr>
        <w:t>整体经济中的占比，这些时间点定义了我们的时间分期。此表反映</w:t>
      </w:r>
      <w:r>
        <w:rPr>
          <w:rFonts w:ascii="SimSun" w:hAnsi="SimSun" w:eastAsia="SimSun" w:cs="SimSun"/>
          <w:sz w:val="21"/>
          <w:szCs w:val="21"/>
          <w:spacing w:val="-11"/>
        </w:rPr>
        <w:t>了 </w:t>
      </w:r>
      <w:r>
        <w:rPr>
          <w:rFonts w:ascii="SimSun" w:hAnsi="SimSun" w:eastAsia="SimSun" w:cs="SimSun"/>
          <w:sz w:val="21"/>
          <w:szCs w:val="21"/>
          <w:spacing w:val="-8"/>
        </w:rPr>
        <w:t>我国净资本存量的结构变化。从</w:t>
      </w:r>
      <w:r>
        <w:rPr>
          <w:rFonts w:ascii="Times New Roman" w:hAnsi="Times New Roman" w:eastAsia="Times New Roman" w:cs="Times New Roman"/>
          <w:sz w:val="21"/>
          <w:szCs w:val="21"/>
          <w:spacing w:val="-8"/>
        </w:rPr>
        <w:t>ICT</w:t>
      </w:r>
      <w:r>
        <w:rPr>
          <w:rFonts w:ascii="Times New Roman" w:hAnsi="Times New Roman" w:eastAsia="Times New Roman" w:cs="Times New Roman"/>
          <w:sz w:val="21"/>
          <w:szCs w:val="21"/>
        </w:rPr>
        <w:t xml:space="preserve"> </w:t>
      </w:r>
      <w:r>
        <w:rPr>
          <w:rFonts w:ascii="SimSun" w:hAnsi="SimSun" w:eastAsia="SimSun" w:cs="SimSun"/>
          <w:sz w:val="21"/>
          <w:szCs w:val="21"/>
          <w:spacing w:val="-8"/>
        </w:rPr>
        <w:t>相关部门观察，</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8"/>
        </w:rPr>
        <w:t>ICT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8"/>
        </w:rPr>
        <w:t>生产与IC</w:t>
      </w:r>
      <w:r>
        <w:rPr>
          <w:rFonts w:ascii="Times New Roman" w:hAnsi="Times New Roman" w:eastAsia="Times New Roman" w:cs="Times New Roman"/>
          <w:sz w:val="21"/>
          <w:szCs w:val="21"/>
          <w:spacing w:val="-8"/>
        </w:rPr>
        <w:t>T</w:t>
      </w:r>
      <w:r>
        <w:rPr>
          <w:rFonts w:ascii="Times New Roman" w:hAnsi="Times New Roman" w:eastAsia="Times New Roman" w:cs="Times New Roman"/>
          <w:sz w:val="21"/>
          <w:szCs w:val="21"/>
        </w:rPr>
        <w:t xml:space="preserve">   </w:t>
      </w:r>
      <w:r>
        <w:rPr>
          <w:rFonts w:ascii="SimSun" w:hAnsi="SimSun" w:eastAsia="SimSun" w:cs="SimSun"/>
          <w:sz w:val="21"/>
          <w:szCs w:val="21"/>
          <w:spacing w:val="-4"/>
        </w:rPr>
        <w:t>集约使用部门的净资本存量占整体经济的比重不但没有上升，反而</w:t>
      </w:r>
      <w:r>
        <w:rPr>
          <w:rFonts w:ascii="SimSun" w:hAnsi="SimSun" w:eastAsia="SimSun" w:cs="SimSun"/>
          <w:sz w:val="21"/>
          <w:szCs w:val="21"/>
          <w:spacing w:val="2"/>
        </w:rPr>
        <w:t xml:space="preserve">  </w:t>
      </w:r>
      <w:r>
        <w:rPr>
          <w:rFonts w:ascii="SimSun" w:hAnsi="SimSun" w:eastAsia="SimSun" w:cs="SimSun"/>
          <w:sz w:val="21"/>
          <w:szCs w:val="21"/>
          <w:spacing w:val="9"/>
        </w:rPr>
        <w:t>略有下降，从2001年的大约30%降至2018年的28.7%</w:t>
      </w:r>
      <w:r>
        <w:rPr>
          <w:rFonts w:ascii="SimSun" w:hAnsi="SimSun" w:eastAsia="SimSun" w:cs="SimSun"/>
          <w:sz w:val="21"/>
          <w:szCs w:val="21"/>
          <w:spacing w:val="8"/>
        </w:rPr>
        <w:t>。其中，与 </w:t>
      </w:r>
      <w:r>
        <w:rPr>
          <w:rFonts w:ascii="SimSun" w:hAnsi="SimSun" w:eastAsia="SimSun" w:cs="SimSun"/>
          <w:sz w:val="21"/>
          <w:szCs w:val="21"/>
          <w:spacing w:val="-10"/>
        </w:rPr>
        <w:t>2007年的最高点相比， ICT 生产行业的净资本存量比重下降并不大。</w:t>
      </w:r>
      <w:r>
        <w:rPr>
          <w:rFonts w:ascii="SimSun" w:hAnsi="SimSun" w:eastAsia="SimSun" w:cs="SimSun"/>
          <w:sz w:val="21"/>
          <w:szCs w:val="21"/>
          <w:spacing w:val="18"/>
        </w:rPr>
        <w:t xml:space="preserve"> </w:t>
      </w:r>
      <w:r>
        <w:rPr>
          <w:rFonts w:ascii="SimSun" w:hAnsi="SimSun" w:eastAsia="SimSun" w:cs="SimSun"/>
          <w:sz w:val="21"/>
          <w:szCs w:val="21"/>
          <w:spacing w:val="-7"/>
        </w:rPr>
        <w:t>这和这个行业已经具有相当高的资本深化水平有</w:t>
      </w:r>
      <w:r>
        <w:rPr>
          <w:rFonts w:ascii="SimSun" w:hAnsi="SimSun" w:eastAsia="SimSun" w:cs="SimSun"/>
          <w:sz w:val="21"/>
          <w:szCs w:val="21"/>
          <w:spacing w:val="-8"/>
        </w:rPr>
        <w:t>关(见后文的讨论)。</w:t>
      </w:r>
      <w:r>
        <w:rPr>
          <w:rFonts w:ascii="SimSun" w:hAnsi="SimSun" w:eastAsia="SimSun" w:cs="SimSun"/>
          <w:sz w:val="21"/>
          <w:szCs w:val="21"/>
        </w:rPr>
        <w:t xml:space="preserve"> </w:t>
      </w:r>
      <w:r>
        <w:rPr>
          <w:rFonts w:ascii="SimSun" w:hAnsi="SimSun" w:eastAsia="SimSun" w:cs="SimSun"/>
          <w:sz w:val="21"/>
          <w:szCs w:val="21"/>
          <w:spacing w:val="5"/>
        </w:rPr>
        <w:t>最明显的现象是</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集约使用制造业从2012年到20</w:t>
      </w:r>
      <w:r>
        <w:rPr>
          <w:rFonts w:ascii="SimSun" w:hAnsi="SimSun" w:eastAsia="SimSun" w:cs="SimSun"/>
          <w:sz w:val="21"/>
          <w:szCs w:val="21"/>
          <w:spacing w:val="4"/>
        </w:rPr>
        <w:t>18年的净资本</w:t>
      </w:r>
      <w:r>
        <w:rPr>
          <w:rFonts w:ascii="SimSun" w:hAnsi="SimSun" w:eastAsia="SimSun" w:cs="SimSun"/>
          <w:sz w:val="21"/>
          <w:szCs w:val="21"/>
        </w:rPr>
        <w:t xml:space="preserve">  </w:t>
      </w:r>
      <w:r>
        <w:rPr>
          <w:rFonts w:ascii="SimSun" w:hAnsi="SimSun" w:eastAsia="SimSun" w:cs="SimSun"/>
          <w:sz w:val="21"/>
          <w:szCs w:val="21"/>
          <w:spacing w:val="1"/>
        </w:rPr>
        <w:t>存量下降幅度高达40%以上，尽管这种下降几乎完全被</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集约使</w:t>
      </w:r>
      <w:r>
        <w:rPr>
          <w:rFonts w:ascii="SimSun" w:hAnsi="SimSun" w:eastAsia="SimSun" w:cs="SimSun"/>
          <w:sz w:val="21"/>
          <w:szCs w:val="21"/>
        </w:rPr>
        <w:t xml:space="preserve">  </w:t>
      </w:r>
      <w:r>
        <w:rPr>
          <w:rFonts w:ascii="SimSun" w:hAnsi="SimSun" w:eastAsia="SimSun" w:cs="SimSun"/>
          <w:sz w:val="21"/>
          <w:szCs w:val="21"/>
          <w:spacing w:val="-2"/>
        </w:rPr>
        <w:t>用服务业的资本占比上升弥补了。观察比较非</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部门的变化，我</w:t>
      </w:r>
      <w:r>
        <w:rPr>
          <w:rFonts w:ascii="SimSun" w:hAnsi="SimSun" w:eastAsia="SimSun" w:cs="SimSun"/>
          <w:sz w:val="21"/>
          <w:szCs w:val="21"/>
        </w:rPr>
        <w:t xml:space="preserve">  </w:t>
      </w:r>
      <w:r>
        <w:rPr>
          <w:rFonts w:ascii="SimSun" w:hAnsi="SimSun" w:eastAsia="SimSun" w:cs="SimSun"/>
          <w:sz w:val="21"/>
          <w:szCs w:val="21"/>
          <w:spacing w:val="-14"/>
        </w:rPr>
        <w:t>们还是持前面提出的观点：</w:t>
      </w:r>
      <w:r>
        <w:rPr>
          <w:rFonts w:ascii="SimSun" w:hAnsi="SimSun" w:eastAsia="SimSun" w:cs="SimSun"/>
          <w:sz w:val="21"/>
          <w:szCs w:val="21"/>
          <w:spacing w:val="58"/>
        </w:rPr>
        <w:t xml:space="preserve"> </w:t>
      </w:r>
      <w:r>
        <w:rPr>
          <w:rFonts w:ascii="SimSun" w:hAnsi="SimSun" w:eastAsia="SimSun" w:cs="SimSun"/>
          <w:sz w:val="21"/>
          <w:szCs w:val="21"/>
          <w:spacing w:val="-14"/>
        </w:rPr>
        <w:t>一方面，</w:t>
      </w:r>
      <w:r>
        <w:rPr>
          <w:rFonts w:ascii="Times New Roman" w:hAnsi="Times New Roman" w:eastAsia="Times New Roman" w:cs="Times New Roman"/>
          <w:sz w:val="21"/>
          <w:szCs w:val="21"/>
          <w:spacing w:val="-14"/>
        </w:rPr>
        <w:t>ICT </w:t>
      </w:r>
      <w:r>
        <w:rPr>
          <w:rFonts w:ascii="SimSun" w:hAnsi="SimSun" w:eastAsia="SimSun" w:cs="SimSun"/>
          <w:sz w:val="21"/>
          <w:szCs w:val="21"/>
          <w:spacing w:val="-14"/>
        </w:rPr>
        <w:t>集约使</w:t>
      </w:r>
      <w:r>
        <w:rPr>
          <w:rFonts w:ascii="SimSun" w:hAnsi="SimSun" w:eastAsia="SimSun" w:cs="SimSun"/>
          <w:sz w:val="21"/>
          <w:szCs w:val="21"/>
          <w:spacing w:val="-15"/>
        </w:rPr>
        <w:t>用制造业净资本存量</w:t>
      </w:r>
      <w:r>
        <w:rPr>
          <w:rFonts w:ascii="SimSun" w:hAnsi="SimSun" w:eastAsia="SimSun" w:cs="SimSun"/>
          <w:sz w:val="21"/>
          <w:szCs w:val="21"/>
        </w:rPr>
        <w:t xml:space="preserve">  </w:t>
      </w:r>
      <w:r>
        <w:rPr>
          <w:rFonts w:ascii="SimSun" w:hAnsi="SimSun" w:eastAsia="SimSun" w:cs="SimSun"/>
          <w:sz w:val="21"/>
          <w:szCs w:val="21"/>
          <w:spacing w:val="-11"/>
        </w:rPr>
        <w:t>占比的下降现象同整个制造业严重的产能过剩以及成本不断上升有关</w:t>
      </w:r>
      <w:r>
        <w:rPr>
          <w:rFonts w:ascii="SimSun" w:hAnsi="SimSun" w:eastAsia="SimSun" w:cs="SimSun"/>
          <w:sz w:val="21"/>
          <w:szCs w:val="21"/>
          <w:spacing w:val="4"/>
        </w:rPr>
        <w:t xml:space="preserve">  </w:t>
      </w:r>
      <w:r>
        <w:rPr>
          <w:rFonts w:ascii="SimSun" w:hAnsi="SimSun" w:eastAsia="SimSun" w:cs="SimSun"/>
          <w:sz w:val="21"/>
          <w:szCs w:val="21"/>
          <w:spacing w:val="-6"/>
        </w:rPr>
        <w:t>(下文在观察单位产出劳动成本时还会继续讨论这个问题),这可</w:t>
      </w:r>
      <w:r>
        <w:rPr>
          <w:rFonts w:ascii="SimSun" w:hAnsi="SimSun" w:eastAsia="SimSun" w:cs="SimSun"/>
          <w:sz w:val="21"/>
          <w:szCs w:val="21"/>
          <w:spacing w:val="-7"/>
        </w:rPr>
        <w:t>能正</w:t>
      </w:r>
    </w:p>
    <w:p>
      <w:pPr>
        <w:pStyle w:val="BodyText"/>
        <w:spacing w:line="263" w:lineRule="auto"/>
        <w:rPr/>
      </w:pPr>
      <w:r/>
    </w:p>
    <w:p>
      <w:pPr>
        <w:pStyle w:val="BodyText"/>
        <w:spacing w:line="263" w:lineRule="auto"/>
        <w:rPr/>
      </w:pPr>
      <w:r/>
    </w:p>
    <w:p>
      <w:pPr>
        <w:ind w:left="992"/>
        <w:spacing w:before="52" w:line="222" w:lineRule="auto"/>
        <w:rPr>
          <w:rFonts w:ascii="SimHei" w:hAnsi="SimHei" w:eastAsia="SimHei" w:cs="SimHei"/>
          <w:sz w:val="16"/>
          <w:szCs w:val="16"/>
        </w:rPr>
      </w:pPr>
      <w:r>
        <w:rPr>
          <w:rFonts w:ascii="SimHei" w:hAnsi="SimHei" w:eastAsia="SimHei" w:cs="SimHei"/>
          <w:sz w:val="16"/>
          <w:szCs w:val="16"/>
          <w:b/>
          <w:bCs/>
          <w:spacing w:val="16"/>
        </w:rPr>
        <w:t>表2</w:t>
      </w:r>
      <w:r>
        <w:rPr>
          <w:rFonts w:ascii="SimHei" w:hAnsi="SimHei" w:eastAsia="SimHei" w:cs="SimHei"/>
          <w:sz w:val="16"/>
          <w:szCs w:val="16"/>
          <w:spacing w:val="-35"/>
        </w:rPr>
        <w:t xml:space="preserve"> </w:t>
      </w:r>
      <w:r>
        <w:rPr>
          <w:rFonts w:ascii="SimHei" w:hAnsi="SimHei" w:eastAsia="SimHei" w:cs="SimHei"/>
          <w:sz w:val="16"/>
          <w:szCs w:val="16"/>
          <w:b/>
          <w:bCs/>
          <w:spacing w:val="16"/>
        </w:rPr>
        <w:t>-</w:t>
      </w:r>
      <w:r>
        <w:rPr>
          <w:rFonts w:ascii="SimHei" w:hAnsi="SimHei" w:eastAsia="SimHei" w:cs="SimHei"/>
          <w:sz w:val="16"/>
          <w:szCs w:val="16"/>
          <w:spacing w:val="-39"/>
        </w:rPr>
        <w:t xml:space="preserve"> </w:t>
      </w:r>
      <w:r>
        <w:rPr>
          <w:rFonts w:ascii="SimHei" w:hAnsi="SimHei" w:eastAsia="SimHei" w:cs="SimHei"/>
          <w:sz w:val="16"/>
          <w:szCs w:val="16"/>
          <w:b/>
          <w:bCs/>
          <w:spacing w:val="16"/>
        </w:rPr>
        <w:t>6</w:t>
      </w:r>
      <w:r>
        <w:rPr>
          <w:rFonts w:ascii="SimHei" w:hAnsi="SimHei" w:eastAsia="SimHei" w:cs="SimHei"/>
          <w:sz w:val="16"/>
          <w:szCs w:val="16"/>
          <w:spacing w:val="5"/>
        </w:rPr>
        <w:t xml:space="preserve">  </w:t>
      </w:r>
      <w:r>
        <w:rPr>
          <w:rFonts w:ascii="SimHei" w:hAnsi="SimHei" w:eastAsia="SimHei" w:cs="SimHei"/>
          <w:sz w:val="16"/>
          <w:szCs w:val="16"/>
          <w:b/>
          <w:bCs/>
          <w:spacing w:val="16"/>
        </w:rPr>
        <w:t>中国各行业净资本存量占比：数字经济视角</w:t>
      </w:r>
    </w:p>
    <w:p>
      <w:pPr>
        <w:ind w:left="5439"/>
        <w:spacing w:before="211" w:line="217" w:lineRule="auto"/>
        <w:rPr>
          <w:rFonts w:ascii="SimSun" w:hAnsi="SimSun" w:eastAsia="SimSun" w:cs="SimSun"/>
          <w:sz w:val="16"/>
          <w:szCs w:val="16"/>
        </w:rPr>
      </w:pPr>
      <w:r>
        <w:rPr>
          <w:rFonts w:ascii="SimSun" w:hAnsi="SimSun" w:eastAsia="SimSun" w:cs="SimSun"/>
          <w:sz w:val="16"/>
          <w:szCs w:val="16"/>
          <w:spacing w:val="13"/>
        </w:rPr>
        <w:t>单位：%</w:t>
      </w:r>
    </w:p>
    <w:tbl>
      <w:tblPr>
        <w:tblStyle w:val="TableNormal"/>
        <w:tblW w:w="608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99"/>
        <w:gridCol w:w="1011"/>
        <w:gridCol w:w="1025"/>
        <w:gridCol w:w="1065"/>
        <w:gridCol w:w="1080"/>
      </w:tblGrid>
      <w:tr>
        <w:trPr>
          <w:trHeight w:val="324" w:hRule="atLeast"/>
        </w:trPr>
        <w:tc>
          <w:tcPr>
            <w:tcW w:w="1899" w:type="dxa"/>
            <w:vAlign w:val="top"/>
            <w:tcBorders>
              <w:bottom w:val="single" w:color="000000" w:sz="4" w:space="0"/>
              <w:top w:val="single" w:color="000000" w:sz="4" w:space="0"/>
            </w:tcBorders>
          </w:tcPr>
          <w:p>
            <w:pPr>
              <w:rPr>
                <w:rFonts w:ascii="Arial"/>
                <w:sz w:val="21"/>
              </w:rPr>
            </w:pPr>
            <w:r/>
          </w:p>
        </w:tc>
        <w:tc>
          <w:tcPr>
            <w:tcW w:w="1011" w:type="dxa"/>
            <w:vAlign w:val="top"/>
            <w:tcBorders>
              <w:bottom w:val="single" w:color="000000" w:sz="4" w:space="0"/>
              <w:top w:val="single" w:color="000000" w:sz="4" w:space="0"/>
            </w:tcBorders>
          </w:tcPr>
          <w:p>
            <w:pPr>
              <w:pStyle w:val="TableText"/>
              <w:ind w:left="283"/>
              <w:spacing w:before="79" w:line="219" w:lineRule="auto"/>
              <w:rPr>
                <w:sz w:val="16"/>
                <w:szCs w:val="16"/>
              </w:rPr>
            </w:pPr>
            <w:r>
              <w:rPr>
                <w:sz w:val="16"/>
                <w:szCs w:val="16"/>
                <w:b/>
                <w:bCs/>
                <w:spacing w:val="-3"/>
              </w:rPr>
              <w:t>2001年</w:t>
            </w:r>
          </w:p>
        </w:tc>
        <w:tc>
          <w:tcPr>
            <w:tcW w:w="1025" w:type="dxa"/>
            <w:vAlign w:val="top"/>
            <w:tcBorders>
              <w:bottom w:val="single" w:color="000000" w:sz="4" w:space="0"/>
              <w:top w:val="single" w:color="000000" w:sz="4" w:space="0"/>
            </w:tcBorders>
          </w:tcPr>
          <w:p>
            <w:pPr>
              <w:pStyle w:val="TableText"/>
              <w:ind w:left="262"/>
              <w:spacing w:before="79" w:line="219" w:lineRule="auto"/>
              <w:rPr>
                <w:sz w:val="16"/>
                <w:szCs w:val="16"/>
              </w:rPr>
            </w:pPr>
            <w:r>
              <w:rPr>
                <w:sz w:val="16"/>
                <w:szCs w:val="16"/>
                <w:b/>
                <w:bCs/>
                <w:spacing w:val="-3"/>
              </w:rPr>
              <w:t>2007年</w:t>
            </w:r>
          </w:p>
        </w:tc>
        <w:tc>
          <w:tcPr>
            <w:tcW w:w="1065" w:type="dxa"/>
            <w:vAlign w:val="top"/>
            <w:tcBorders>
              <w:bottom w:val="single" w:color="000000" w:sz="4" w:space="0"/>
              <w:top w:val="single" w:color="000000" w:sz="4" w:space="0"/>
            </w:tcBorders>
          </w:tcPr>
          <w:p>
            <w:pPr>
              <w:pStyle w:val="TableText"/>
              <w:ind w:left="297"/>
              <w:spacing w:before="79" w:line="219" w:lineRule="auto"/>
              <w:rPr>
                <w:sz w:val="16"/>
                <w:szCs w:val="16"/>
              </w:rPr>
            </w:pPr>
            <w:r>
              <w:rPr>
                <w:sz w:val="16"/>
                <w:szCs w:val="16"/>
                <w:b/>
                <w:bCs/>
                <w:spacing w:val="-3"/>
              </w:rPr>
              <w:t>2012年</w:t>
            </w:r>
          </w:p>
        </w:tc>
        <w:tc>
          <w:tcPr>
            <w:tcW w:w="1080" w:type="dxa"/>
            <w:vAlign w:val="top"/>
            <w:tcBorders>
              <w:bottom w:val="single" w:color="000000" w:sz="4" w:space="0"/>
              <w:top w:val="single" w:color="000000" w:sz="4" w:space="0"/>
            </w:tcBorders>
          </w:tcPr>
          <w:p>
            <w:pPr>
              <w:pStyle w:val="TableText"/>
              <w:ind w:left="302"/>
              <w:spacing w:before="79" w:line="219" w:lineRule="auto"/>
              <w:rPr>
                <w:sz w:val="16"/>
                <w:szCs w:val="16"/>
              </w:rPr>
            </w:pPr>
            <w:r>
              <w:rPr>
                <w:sz w:val="16"/>
                <w:szCs w:val="16"/>
                <w:b/>
                <w:bCs/>
                <w:spacing w:val="-3"/>
              </w:rPr>
              <w:t>2018年</w:t>
            </w:r>
          </w:p>
        </w:tc>
      </w:tr>
      <w:tr>
        <w:trPr>
          <w:trHeight w:val="324" w:hRule="atLeast"/>
        </w:trPr>
        <w:tc>
          <w:tcPr>
            <w:tcW w:w="1899" w:type="dxa"/>
            <w:vAlign w:val="top"/>
            <w:tcBorders>
              <w:top w:val="single" w:color="000000" w:sz="4" w:space="0"/>
            </w:tcBorders>
          </w:tcPr>
          <w:p>
            <w:pPr>
              <w:pStyle w:val="TableText"/>
              <w:ind w:left="109"/>
              <w:spacing w:before="87" w:line="219" w:lineRule="auto"/>
              <w:rPr>
                <w:sz w:val="16"/>
                <w:szCs w:val="16"/>
              </w:rPr>
            </w:pPr>
            <w:r>
              <w:rPr>
                <w:sz w:val="16"/>
                <w:szCs w:val="16"/>
              </w:rPr>
              <w:t>ICT</w:t>
            </w:r>
            <w:r>
              <w:rPr>
                <w:sz w:val="16"/>
                <w:szCs w:val="16"/>
                <w:spacing w:val="1"/>
              </w:rPr>
              <w:t>生产行业</w:t>
            </w:r>
          </w:p>
        </w:tc>
        <w:tc>
          <w:tcPr>
            <w:tcW w:w="1011" w:type="dxa"/>
            <w:vAlign w:val="top"/>
            <w:tcBorders>
              <w:top w:val="single" w:color="000000" w:sz="4" w:space="0"/>
            </w:tcBorders>
          </w:tcPr>
          <w:p>
            <w:pPr>
              <w:pStyle w:val="TableText"/>
              <w:ind w:left="401"/>
              <w:spacing w:before="128" w:line="183" w:lineRule="auto"/>
              <w:rPr>
                <w:sz w:val="16"/>
                <w:szCs w:val="16"/>
              </w:rPr>
            </w:pPr>
            <w:r>
              <w:rPr>
                <w:sz w:val="16"/>
                <w:szCs w:val="16"/>
                <w:spacing w:val="-2"/>
              </w:rPr>
              <w:t>4.9</w:t>
            </w:r>
          </w:p>
        </w:tc>
        <w:tc>
          <w:tcPr>
            <w:tcW w:w="1025" w:type="dxa"/>
            <w:vAlign w:val="top"/>
            <w:tcBorders>
              <w:top w:val="single" w:color="000000" w:sz="4" w:space="0"/>
            </w:tcBorders>
          </w:tcPr>
          <w:p>
            <w:pPr>
              <w:pStyle w:val="TableText"/>
              <w:ind w:left="379"/>
              <w:spacing w:before="127" w:line="184" w:lineRule="auto"/>
              <w:rPr>
                <w:sz w:val="16"/>
                <w:szCs w:val="16"/>
              </w:rPr>
            </w:pPr>
            <w:r>
              <w:rPr>
                <w:sz w:val="16"/>
                <w:szCs w:val="16"/>
                <w:spacing w:val="-3"/>
              </w:rPr>
              <w:t>5.1</w:t>
            </w:r>
          </w:p>
        </w:tc>
        <w:tc>
          <w:tcPr>
            <w:tcW w:w="1065" w:type="dxa"/>
            <w:vAlign w:val="top"/>
            <w:tcBorders>
              <w:top w:val="single" w:color="000000" w:sz="4" w:space="0"/>
            </w:tcBorders>
          </w:tcPr>
          <w:p>
            <w:pPr>
              <w:pStyle w:val="TableText"/>
              <w:ind w:left="414"/>
              <w:spacing w:before="128" w:line="183" w:lineRule="auto"/>
              <w:rPr>
                <w:sz w:val="16"/>
                <w:szCs w:val="16"/>
              </w:rPr>
            </w:pPr>
            <w:r>
              <w:rPr>
                <w:sz w:val="16"/>
                <w:szCs w:val="16"/>
                <w:spacing w:val="-3"/>
              </w:rPr>
              <w:t>3.8</w:t>
            </w:r>
          </w:p>
        </w:tc>
        <w:tc>
          <w:tcPr>
            <w:tcW w:w="1080" w:type="dxa"/>
            <w:vAlign w:val="top"/>
            <w:tcBorders>
              <w:top w:val="single" w:color="000000" w:sz="4" w:space="0"/>
            </w:tcBorders>
          </w:tcPr>
          <w:p>
            <w:pPr>
              <w:pStyle w:val="TableText"/>
              <w:ind w:left="419"/>
              <w:spacing w:before="128" w:line="183" w:lineRule="auto"/>
              <w:rPr>
                <w:sz w:val="16"/>
                <w:szCs w:val="16"/>
              </w:rPr>
            </w:pPr>
            <w:r>
              <w:rPr>
                <w:sz w:val="16"/>
                <w:szCs w:val="16"/>
                <w:spacing w:val="-2"/>
              </w:rPr>
              <w:t>4.3</w:t>
            </w:r>
          </w:p>
        </w:tc>
      </w:tr>
      <w:tr>
        <w:trPr>
          <w:trHeight w:val="309" w:hRule="atLeast"/>
        </w:trPr>
        <w:tc>
          <w:tcPr>
            <w:tcW w:w="1899" w:type="dxa"/>
            <w:vAlign w:val="top"/>
          </w:tcPr>
          <w:p>
            <w:pPr>
              <w:pStyle w:val="TableText"/>
              <w:ind w:left="109"/>
              <w:spacing w:before="83" w:line="219" w:lineRule="auto"/>
              <w:rPr>
                <w:sz w:val="16"/>
                <w:szCs w:val="16"/>
              </w:rPr>
            </w:pPr>
            <w:r>
              <w:rPr>
                <w:sz w:val="16"/>
                <w:szCs w:val="16"/>
              </w:rPr>
              <w:t>ICT集约使用制造业</w:t>
            </w:r>
          </w:p>
        </w:tc>
        <w:tc>
          <w:tcPr>
            <w:tcW w:w="1011" w:type="dxa"/>
            <w:vAlign w:val="top"/>
          </w:tcPr>
          <w:p>
            <w:pPr>
              <w:pStyle w:val="TableText"/>
              <w:ind w:left="360"/>
              <w:spacing w:before="124" w:line="184" w:lineRule="auto"/>
              <w:rPr>
                <w:sz w:val="16"/>
                <w:szCs w:val="16"/>
              </w:rPr>
            </w:pPr>
            <w:r>
              <w:rPr>
                <w:sz w:val="16"/>
                <w:szCs w:val="16"/>
                <w:spacing w:val="-4"/>
              </w:rPr>
              <w:t>14.1</w:t>
            </w:r>
          </w:p>
        </w:tc>
        <w:tc>
          <w:tcPr>
            <w:tcW w:w="1025" w:type="dxa"/>
            <w:vAlign w:val="top"/>
          </w:tcPr>
          <w:p>
            <w:pPr>
              <w:pStyle w:val="TableText"/>
              <w:ind w:left="339"/>
              <w:spacing w:before="124" w:line="184" w:lineRule="auto"/>
              <w:rPr>
                <w:sz w:val="16"/>
                <w:szCs w:val="16"/>
              </w:rPr>
            </w:pPr>
            <w:r>
              <w:rPr>
                <w:sz w:val="16"/>
                <w:szCs w:val="16"/>
                <w:spacing w:val="-4"/>
              </w:rPr>
              <w:t>15.4</w:t>
            </w:r>
          </w:p>
        </w:tc>
        <w:tc>
          <w:tcPr>
            <w:tcW w:w="1065" w:type="dxa"/>
            <w:vAlign w:val="top"/>
          </w:tcPr>
          <w:p>
            <w:pPr>
              <w:pStyle w:val="TableText"/>
              <w:ind w:left="374"/>
              <w:spacing w:before="124" w:line="184" w:lineRule="auto"/>
              <w:rPr>
                <w:sz w:val="16"/>
                <w:szCs w:val="16"/>
              </w:rPr>
            </w:pPr>
            <w:r>
              <w:rPr>
                <w:sz w:val="16"/>
                <w:szCs w:val="16"/>
                <w:spacing w:val="-4"/>
              </w:rPr>
              <w:t>15.9</w:t>
            </w:r>
          </w:p>
        </w:tc>
        <w:tc>
          <w:tcPr>
            <w:tcW w:w="1080" w:type="dxa"/>
            <w:vAlign w:val="top"/>
          </w:tcPr>
          <w:p>
            <w:pPr>
              <w:pStyle w:val="TableText"/>
              <w:ind w:left="419"/>
              <w:spacing w:before="124" w:line="183" w:lineRule="auto"/>
              <w:rPr>
                <w:sz w:val="16"/>
                <w:szCs w:val="16"/>
              </w:rPr>
            </w:pPr>
            <w:r>
              <w:rPr>
                <w:sz w:val="16"/>
                <w:szCs w:val="16"/>
                <w:spacing w:val="-2"/>
              </w:rPr>
              <w:t>9.0</w:t>
            </w:r>
          </w:p>
        </w:tc>
      </w:tr>
      <w:tr>
        <w:trPr>
          <w:trHeight w:val="309" w:hRule="atLeast"/>
        </w:trPr>
        <w:tc>
          <w:tcPr>
            <w:tcW w:w="1899" w:type="dxa"/>
            <w:vAlign w:val="top"/>
          </w:tcPr>
          <w:p>
            <w:pPr>
              <w:pStyle w:val="TableText"/>
              <w:ind w:left="109"/>
              <w:spacing w:before="74" w:line="219" w:lineRule="auto"/>
              <w:rPr>
                <w:sz w:val="16"/>
                <w:szCs w:val="16"/>
              </w:rPr>
            </w:pPr>
            <w:r>
              <w:rPr>
                <w:sz w:val="16"/>
                <w:szCs w:val="16"/>
              </w:rPr>
              <w:t>ICT集约使用服务业</w:t>
            </w:r>
          </w:p>
        </w:tc>
        <w:tc>
          <w:tcPr>
            <w:tcW w:w="1011" w:type="dxa"/>
            <w:vAlign w:val="top"/>
          </w:tcPr>
          <w:p>
            <w:pPr>
              <w:pStyle w:val="TableText"/>
              <w:ind w:left="360"/>
              <w:spacing w:before="114" w:line="184" w:lineRule="auto"/>
              <w:rPr>
                <w:sz w:val="16"/>
                <w:szCs w:val="16"/>
              </w:rPr>
            </w:pPr>
            <w:r>
              <w:rPr>
                <w:sz w:val="16"/>
                <w:szCs w:val="16"/>
                <w:spacing w:val="-4"/>
              </w:rPr>
              <w:t>11.1</w:t>
            </w:r>
          </w:p>
        </w:tc>
        <w:tc>
          <w:tcPr>
            <w:tcW w:w="1025" w:type="dxa"/>
            <w:vAlign w:val="top"/>
          </w:tcPr>
          <w:p>
            <w:pPr>
              <w:pStyle w:val="TableText"/>
              <w:ind w:left="339"/>
              <w:spacing w:before="114" w:line="184" w:lineRule="auto"/>
              <w:rPr>
                <w:sz w:val="16"/>
                <w:szCs w:val="16"/>
              </w:rPr>
            </w:pPr>
            <w:r>
              <w:rPr>
                <w:sz w:val="16"/>
                <w:szCs w:val="16"/>
                <w:spacing w:val="-4"/>
              </w:rPr>
              <w:t>10.0</w:t>
            </w:r>
          </w:p>
        </w:tc>
        <w:tc>
          <w:tcPr>
            <w:tcW w:w="1065" w:type="dxa"/>
            <w:vAlign w:val="top"/>
          </w:tcPr>
          <w:p>
            <w:pPr>
              <w:pStyle w:val="TableText"/>
              <w:ind w:left="374"/>
              <w:spacing w:before="114" w:line="184" w:lineRule="auto"/>
              <w:rPr>
                <w:sz w:val="16"/>
                <w:szCs w:val="16"/>
              </w:rPr>
            </w:pPr>
            <w:r>
              <w:rPr>
                <w:sz w:val="16"/>
                <w:szCs w:val="16"/>
                <w:spacing w:val="-4"/>
              </w:rPr>
              <w:t>11.0</w:t>
            </w:r>
          </w:p>
        </w:tc>
        <w:tc>
          <w:tcPr>
            <w:tcW w:w="1080" w:type="dxa"/>
            <w:vAlign w:val="top"/>
          </w:tcPr>
          <w:p>
            <w:pPr>
              <w:pStyle w:val="TableText"/>
              <w:ind w:left="379"/>
              <w:spacing w:before="114" w:line="184" w:lineRule="auto"/>
              <w:rPr>
                <w:sz w:val="16"/>
                <w:szCs w:val="16"/>
              </w:rPr>
            </w:pPr>
            <w:r>
              <w:rPr>
                <w:sz w:val="16"/>
                <w:szCs w:val="16"/>
                <w:spacing w:val="-4"/>
              </w:rPr>
              <w:t>15.4</w:t>
            </w:r>
          </w:p>
        </w:tc>
      </w:tr>
      <w:tr>
        <w:trPr>
          <w:trHeight w:val="314" w:hRule="atLeast"/>
        </w:trPr>
        <w:tc>
          <w:tcPr>
            <w:tcW w:w="1899" w:type="dxa"/>
            <w:vAlign w:val="top"/>
          </w:tcPr>
          <w:p>
            <w:pPr>
              <w:pStyle w:val="TableText"/>
              <w:ind w:left="109"/>
              <w:spacing w:before="85" w:line="219" w:lineRule="auto"/>
              <w:rPr>
                <w:sz w:val="16"/>
                <w:szCs w:val="16"/>
              </w:rPr>
            </w:pPr>
            <w:r>
              <w:rPr>
                <w:sz w:val="16"/>
                <w:szCs w:val="16"/>
                <w:spacing w:val="-1"/>
              </w:rPr>
              <w:t>非ICT集约使用制造业</w:t>
            </w:r>
          </w:p>
        </w:tc>
        <w:tc>
          <w:tcPr>
            <w:tcW w:w="1011" w:type="dxa"/>
            <w:vAlign w:val="top"/>
          </w:tcPr>
          <w:p>
            <w:pPr>
              <w:pStyle w:val="TableText"/>
              <w:ind w:left="360"/>
              <w:spacing w:before="126" w:line="183" w:lineRule="auto"/>
              <w:rPr>
                <w:sz w:val="16"/>
                <w:szCs w:val="16"/>
              </w:rPr>
            </w:pPr>
            <w:r>
              <w:rPr>
                <w:sz w:val="16"/>
                <w:szCs w:val="16"/>
                <w:spacing w:val="-2"/>
              </w:rPr>
              <w:t>27.3</w:t>
            </w:r>
          </w:p>
        </w:tc>
        <w:tc>
          <w:tcPr>
            <w:tcW w:w="1025" w:type="dxa"/>
            <w:vAlign w:val="top"/>
          </w:tcPr>
          <w:p>
            <w:pPr>
              <w:pStyle w:val="TableText"/>
              <w:ind w:left="339"/>
              <w:spacing w:before="126" w:line="184" w:lineRule="auto"/>
              <w:rPr>
                <w:sz w:val="16"/>
                <w:szCs w:val="16"/>
              </w:rPr>
            </w:pPr>
            <w:r>
              <w:rPr>
                <w:sz w:val="16"/>
                <w:szCs w:val="16"/>
                <w:spacing w:val="-2"/>
              </w:rPr>
              <w:t>21.6</w:t>
            </w:r>
          </w:p>
        </w:tc>
        <w:tc>
          <w:tcPr>
            <w:tcW w:w="1065" w:type="dxa"/>
            <w:vAlign w:val="top"/>
          </w:tcPr>
          <w:p>
            <w:pPr>
              <w:pStyle w:val="TableText"/>
              <w:ind w:left="374"/>
              <w:spacing w:before="126" w:line="184" w:lineRule="auto"/>
              <w:rPr>
                <w:sz w:val="16"/>
                <w:szCs w:val="16"/>
              </w:rPr>
            </w:pPr>
            <w:r>
              <w:rPr>
                <w:sz w:val="16"/>
                <w:szCs w:val="16"/>
                <w:spacing w:val="-4"/>
              </w:rPr>
              <w:t>18.9</w:t>
            </w:r>
          </w:p>
        </w:tc>
        <w:tc>
          <w:tcPr>
            <w:tcW w:w="1080" w:type="dxa"/>
            <w:vAlign w:val="top"/>
          </w:tcPr>
          <w:p>
            <w:pPr>
              <w:pStyle w:val="TableText"/>
              <w:ind w:left="379"/>
              <w:spacing w:before="126" w:line="184" w:lineRule="auto"/>
              <w:rPr>
                <w:sz w:val="16"/>
                <w:szCs w:val="16"/>
              </w:rPr>
            </w:pPr>
            <w:r>
              <w:rPr>
                <w:sz w:val="16"/>
                <w:szCs w:val="16"/>
                <w:spacing w:val="-4"/>
              </w:rPr>
              <w:t>12.6</w:t>
            </w:r>
          </w:p>
        </w:tc>
      </w:tr>
      <w:tr>
        <w:trPr>
          <w:trHeight w:val="310" w:hRule="atLeast"/>
        </w:trPr>
        <w:tc>
          <w:tcPr>
            <w:tcW w:w="1899" w:type="dxa"/>
            <w:vAlign w:val="top"/>
          </w:tcPr>
          <w:p>
            <w:pPr>
              <w:pStyle w:val="TableText"/>
              <w:ind w:left="109"/>
              <w:spacing w:before="81" w:line="219" w:lineRule="auto"/>
              <w:rPr>
                <w:sz w:val="16"/>
                <w:szCs w:val="16"/>
              </w:rPr>
            </w:pPr>
            <w:r>
              <w:rPr>
                <w:sz w:val="16"/>
                <w:szCs w:val="16"/>
                <w:spacing w:val="-1"/>
              </w:rPr>
              <w:t>非ICT集约使用服务业</w:t>
            </w:r>
          </w:p>
        </w:tc>
        <w:tc>
          <w:tcPr>
            <w:tcW w:w="1011" w:type="dxa"/>
            <w:vAlign w:val="top"/>
          </w:tcPr>
          <w:p>
            <w:pPr>
              <w:pStyle w:val="TableText"/>
              <w:ind w:left="360"/>
              <w:spacing w:before="122" w:line="183" w:lineRule="auto"/>
              <w:rPr>
                <w:sz w:val="16"/>
                <w:szCs w:val="16"/>
              </w:rPr>
            </w:pPr>
            <w:r>
              <w:rPr>
                <w:sz w:val="16"/>
                <w:szCs w:val="16"/>
                <w:spacing w:val="-2"/>
              </w:rPr>
              <w:t>25.7</w:t>
            </w:r>
          </w:p>
        </w:tc>
        <w:tc>
          <w:tcPr>
            <w:tcW w:w="1025" w:type="dxa"/>
            <w:vAlign w:val="top"/>
          </w:tcPr>
          <w:p>
            <w:pPr>
              <w:pStyle w:val="TableText"/>
              <w:ind w:left="339"/>
              <w:spacing w:before="122" w:line="183" w:lineRule="auto"/>
              <w:rPr>
                <w:sz w:val="16"/>
                <w:szCs w:val="16"/>
              </w:rPr>
            </w:pPr>
            <w:r>
              <w:rPr>
                <w:sz w:val="16"/>
                <w:szCs w:val="16"/>
                <w:spacing w:val="-2"/>
              </w:rPr>
              <w:t>30.6</w:t>
            </w:r>
          </w:p>
        </w:tc>
        <w:tc>
          <w:tcPr>
            <w:tcW w:w="1065" w:type="dxa"/>
            <w:vAlign w:val="top"/>
          </w:tcPr>
          <w:p>
            <w:pPr>
              <w:pStyle w:val="TableText"/>
              <w:ind w:left="374"/>
              <w:spacing w:before="122" w:line="184" w:lineRule="auto"/>
              <w:rPr>
                <w:sz w:val="16"/>
                <w:szCs w:val="16"/>
              </w:rPr>
            </w:pPr>
            <w:r>
              <w:rPr>
                <w:sz w:val="16"/>
                <w:szCs w:val="16"/>
                <w:spacing w:val="-2"/>
              </w:rPr>
              <w:t>31.2</w:t>
            </w:r>
          </w:p>
        </w:tc>
        <w:tc>
          <w:tcPr>
            <w:tcW w:w="1080" w:type="dxa"/>
            <w:vAlign w:val="top"/>
          </w:tcPr>
          <w:p>
            <w:pPr>
              <w:pStyle w:val="TableText"/>
              <w:ind w:left="380"/>
              <w:spacing w:before="122" w:line="184" w:lineRule="auto"/>
              <w:rPr>
                <w:sz w:val="16"/>
                <w:szCs w:val="16"/>
              </w:rPr>
            </w:pPr>
            <w:r>
              <w:rPr>
                <w:sz w:val="16"/>
                <w:szCs w:val="16"/>
                <w:spacing w:val="-2"/>
              </w:rPr>
              <w:t>31.5</w:t>
            </w:r>
          </w:p>
        </w:tc>
      </w:tr>
      <w:tr>
        <w:trPr>
          <w:trHeight w:val="307" w:hRule="atLeast"/>
        </w:trPr>
        <w:tc>
          <w:tcPr>
            <w:tcW w:w="1899" w:type="dxa"/>
            <w:vAlign w:val="top"/>
          </w:tcPr>
          <w:p>
            <w:pPr>
              <w:pStyle w:val="TableText"/>
              <w:ind w:left="109"/>
              <w:spacing w:before="83" w:line="221" w:lineRule="auto"/>
              <w:rPr>
                <w:sz w:val="16"/>
                <w:szCs w:val="16"/>
              </w:rPr>
            </w:pPr>
            <w:r>
              <w:rPr>
                <w:sz w:val="16"/>
                <w:szCs w:val="16"/>
                <w:spacing w:val="-2"/>
              </w:rPr>
              <w:t>农业</w:t>
            </w:r>
          </w:p>
        </w:tc>
        <w:tc>
          <w:tcPr>
            <w:tcW w:w="1011" w:type="dxa"/>
            <w:vAlign w:val="top"/>
          </w:tcPr>
          <w:p>
            <w:pPr>
              <w:pStyle w:val="TableText"/>
              <w:ind w:left="401"/>
              <w:spacing w:before="122" w:line="183" w:lineRule="auto"/>
              <w:rPr>
                <w:sz w:val="16"/>
                <w:szCs w:val="16"/>
              </w:rPr>
            </w:pPr>
            <w:r>
              <w:rPr>
                <w:sz w:val="16"/>
                <w:szCs w:val="16"/>
                <w:spacing w:val="-2"/>
              </w:rPr>
              <w:t>2.7</w:t>
            </w:r>
          </w:p>
        </w:tc>
        <w:tc>
          <w:tcPr>
            <w:tcW w:w="1025" w:type="dxa"/>
            <w:vAlign w:val="top"/>
          </w:tcPr>
          <w:p>
            <w:pPr>
              <w:pStyle w:val="TableText"/>
              <w:ind w:left="379"/>
              <w:spacing w:before="122" w:line="183" w:lineRule="auto"/>
              <w:rPr>
                <w:sz w:val="16"/>
                <w:szCs w:val="16"/>
              </w:rPr>
            </w:pPr>
            <w:r>
              <w:rPr>
                <w:sz w:val="16"/>
                <w:szCs w:val="16"/>
                <w:spacing w:val="-2"/>
              </w:rPr>
              <w:t>2.4</w:t>
            </w:r>
          </w:p>
        </w:tc>
        <w:tc>
          <w:tcPr>
            <w:tcW w:w="1065" w:type="dxa"/>
            <w:vAlign w:val="top"/>
          </w:tcPr>
          <w:p>
            <w:pPr>
              <w:pStyle w:val="TableText"/>
              <w:ind w:left="414"/>
              <w:spacing w:before="122" w:line="183" w:lineRule="auto"/>
              <w:rPr>
                <w:sz w:val="16"/>
                <w:szCs w:val="16"/>
              </w:rPr>
            </w:pPr>
            <w:r>
              <w:rPr>
                <w:sz w:val="16"/>
                <w:szCs w:val="16"/>
                <w:spacing w:val="-3"/>
              </w:rPr>
              <w:t>3.2</w:t>
            </w:r>
          </w:p>
        </w:tc>
        <w:tc>
          <w:tcPr>
            <w:tcW w:w="1080" w:type="dxa"/>
            <w:vAlign w:val="top"/>
          </w:tcPr>
          <w:p>
            <w:pPr>
              <w:pStyle w:val="TableText"/>
              <w:ind w:left="419"/>
              <w:spacing w:before="122" w:line="183" w:lineRule="auto"/>
              <w:rPr>
                <w:sz w:val="16"/>
                <w:szCs w:val="16"/>
              </w:rPr>
            </w:pPr>
            <w:r>
              <w:rPr>
                <w:sz w:val="16"/>
                <w:szCs w:val="16"/>
                <w:spacing w:val="-3"/>
              </w:rPr>
              <w:t>5.2</w:t>
            </w:r>
          </w:p>
        </w:tc>
      </w:tr>
      <w:tr>
        <w:trPr>
          <w:trHeight w:val="310" w:hRule="atLeast"/>
        </w:trPr>
        <w:tc>
          <w:tcPr>
            <w:tcW w:w="1899" w:type="dxa"/>
            <w:vAlign w:val="top"/>
          </w:tcPr>
          <w:p>
            <w:pPr>
              <w:pStyle w:val="TableText"/>
              <w:ind w:left="109"/>
              <w:spacing w:before="83" w:line="219" w:lineRule="auto"/>
              <w:rPr>
                <w:sz w:val="16"/>
                <w:szCs w:val="16"/>
              </w:rPr>
            </w:pPr>
            <w:r>
              <w:rPr>
                <w:sz w:val="16"/>
                <w:szCs w:val="16"/>
                <w:spacing w:val="-2"/>
              </w:rPr>
              <w:t>采掘业</w:t>
            </w:r>
          </w:p>
        </w:tc>
        <w:tc>
          <w:tcPr>
            <w:tcW w:w="1011" w:type="dxa"/>
            <w:vAlign w:val="top"/>
          </w:tcPr>
          <w:p>
            <w:pPr>
              <w:pStyle w:val="TableText"/>
              <w:ind w:left="401"/>
              <w:spacing w:before="125" w:line="183" w:lineRule="auto"/>
              <w:rPr>
                <w:sz w:val="16"/>
                <w:szCs w:val="16"/>
              </w:rPr>
            </w:pPr>
            <w:r>
              <w:rPr>
                <w:sz w:val="16"/>
                <w:szCs w:val="16"/>
                <w:spacing w:val="-2"/>
              </w:rPr>
              <w:t>8.9</w:t>
            </w:r>
          </w:p>
        </w:tc>
        <w:tc>
          <w:tcPr>
            <w:tcW w:w="1025" w:type="dxa"/>
            <w:vAlign w:val="top"/>
          </w:tcPr>
          <w:p>
            <w:pPr>
              <w:pStyle w:val="TableText"/>
              <w:ind w:left="379"/>
              <w:spacing w:before="125" w:line="183" w:lineRule="auto"/>
              <w:rPr>
                <w:sz w:val="16"/>
                <w:szCs w:val="16"/>
              </w:rPr>
            </w:pPr>
            <w:r>
              <w:rPr>
                <w:sz w:val="16"/>
                <w:szCs w:val="16"/>
                <w:spacing w:val="-2"/>
              </w:rPr>
              <w:t>6.3</w:t>
            </w:r>
          </w:p>
        </w:tc>
        <w:tc>
          <w:tcPr>
            <w:tcW w:w="1065" w:type="dxa"/>
            <w:vAlign w:val="top"/>
          </w:tcPr>
          <w:p>
            <w:pPr>
              <w:pStyle w:val="TableText"/>
              <w:ind w:left="414"/>
              <w:spacing w:before="125" w:line="183" w:lineRule="auto"/>
              <w:rPr>
                <w:sz w:val="16"/>
                <w:szCs w:val="16"/>
              </w:rPr>
            </w:pPr>
            <w:r>
              <w:rPr>
                <w:sz w:val="16"/>
                <w:szCs w:val="16"/>
                <w:spacing w:val="-3"/>
              </w:rPr>
              <w:t>5.2</w:t>
            </w:r>
          </w:p>
        </w:tc>
        <w:tc>
          <w:tcPr>
            <w:tcW w:w="1080" w:type="dxa"/>
            <w:vAlign w:val="top"/>
          </w:tcPr>
          <w:p>
            <w:pPr>
              <w:pStyle w:val="TableText"/>
              <w:ind w:left="419"/>
              <w:spacing w:before="125" w:line="183" w:lineRule="auto"/>
              <w:rPr>
                <w:sz w:val="16"/>
                <w:szCs w:val="16"/>
              </w:rPr>
            </w:pPr>
            <w:r>
              <w:rPr>
                <w:sz w:val="16"/>
                <w:szCs w:val="16"/>
                <w:spacing w:val="-3"/>
              </w:rPr>
              <w:t>5.6</w:t>
            </w:r>
          </w:p>
        </w:tc>
      </w:tr>
      <w:tr>
        <w:trPr>
          <w:trHeight w:val="308" w:hRule="atLeast"/>
        </w:trPr>
        <w:tc>
          <w:tcPr>
            <w:tcW w:w="1899" w:type="dxa"/>
            <w:vAlign w:val="top"/>
          </w:tcPr>
          <w:p>
            <w:pPr>
              <w:pStyle w:val="TableText"/>
              <w:ind w:left="109"/>
              <w:spacing w:before="85" w:line="220" w:lineRule="auto"/>
              <w:rPr>
                <w:sz w:val="16"/>
                <w:szCs w:val="16"/>
              </w:rPr>
            </w:pPr>
            <w:r>
              <w:rPr>
                <w:sz w:val="16"/>
                <w:szCs w:val="16"/>
                <w:spacing w:val="-2"/>
              </w:rPr>
              <w:t>建筑业</w:t>
            </w:r>
          </w:p>
        </w:tc>
        <w:tc>
          <w:tcPr>
            <w:tcW w:w="1011" w:type="dxa"/>
            <w:vAlign w:val="top"/>
          </w:tcPr>
          <w:p>
            <w:pPr>
              <w:pStyle w:val="TableText"/>
              <w:ind w:left="401"/>
              <w:spacing w:before="125" w:line="183" w:lineRule="auto"/>
              <w:rPr>
                <w:sz w:val="16"/>
                <w:szCs w:val="16"/>
              </w:rPr>
            </w:pPr>
            <w:r>
              <w:rPr>
                <w:sz w:val="16"/>
                <w:szCs w:val="16"/>
                <w:spacing w:val="-2"/>
              </w:rPr>
              <w:t>0.8</w:t>
            </w:r>
          </w:p>
        </w:tc>
        <w:tc>
          <w:tcPr>
            <w:tcW w:w="1025" w:type="dxa"/>
            <w:vAlign w:val="top"/>
          </w:tcPr>
          <w:p>
            <w:pPr>
              <w:pStyle w:val="TableText"/>
              <w:ind w:left="379"/>
              <w:spacing w:before="125" w:line="183" w:lineRule="auto"/>
              <w:rPr>
                <w:sz w:val="16"/>
                <w:szCs w:val="16"/>
              </w:rPr>
            </w:pPr>
            <w:r>
              <w:rPr>
                <w:sz w:val="16"/>
                <w:szCs w:val="16"/>
                <w:spacing w:val="-2"/>
              </w:rPr>
              <w:t>0.8</w:t>
            </w:r>
          </w:p>
        </w:tc>
        <w:tc>
          <w:tcPr>
            <w:tcW w:w="1065" w:type="dxa"/>
            <w:vAlign w:val="top"/>
          </w:tcPr>
          <w:p>
            <w:pPr>
              <w:pStyle w:val="TableText"/>
              <w:ind w:left="414"/>
              <w:spacing w:before="124" w:line="184" w:lineRule="auto"/>
              <w:rPr>
                <w:sz w:val="16"/>
                <w:szCs w:val="16"/>
              </w:rPr>
            </w:pPr>
            <w:r>
              <w:rPr>
                <w:sz w:val="16"/>
                <w:szCs w:val="16"/>
                <w:spacing w:val="-5"/>
              </w:rPr>
              <w:t>1.0</w:t>
            </w:r>
          </w:p>
        </w:tc>
        <w:tc>
          <w:tcPr>
            <w:tcW w:w="1080" w:type="dxa"/>
            <w:vAlign w:val="top"/>
          </w:tcPr>
          <w:p>
            <w:pPr>
              <w:pStyle w:val="TableText"/>
              <w:ind w:left="419"/>
              <w:spacing w:before="124" w:line="184" w:lineRule="auto"/>
              <w:rPr>
                <w:sz w:val="16"/>
                <w:szCs w:val="16"/>
              </w:rPr>
            </w:pPr>
            <w:r>
              <w:rPr>
                <w:sz w:val="16"/>
                <w:szCs w:val="16"/>
                <w:spacing w:val="-5"/>
              </w:rPr>
              <w:t>1.0</w:t>
            </w:r>
          </w:p>
        </w:tc>
      </w:tr>
      <w:tr>
        <w:trPr>
          <w:trHeight w:val="314" w:hRule="atLeast"/>
        </w:trPr>
        <w:tc>
          <w:tcPr>
            <w:tcW w:w="1899" w:type="dxa"/>
            <w:vAlign w:val="top"/>
            <w:tcBorders>
              <w:bottom w:val="single" w:color="000000" w:sz="4" w:space="0"/>
            </w:tcBorders>
          </w:tcPr>
          <w:p>
            <w:pPr>
              <w:pStyle w:val="TableText"/>
              <w:ind w:left="109"/>
              <w:spacing w:before="86" w:line="219" w:lineRule="auto"/>
              <w:rPr>
                <w:sz w:val="16"/>
                <w:szCs w:val="16"/>
              </w:rPr>
            </w:pPr>
            <w:r>
              <w:rPr>
                <w:sz w:val="16"/>
                <w:szCs w:val="16"/>
                <w:spacing w:val="-2"/>
              </w:rPr>
              <w:t>非市场服务业</w:t>
            </w:r>
          </w:p>
        </w:tc>
        <w:tc>
          <w:tcPr>
            <w:tcW w:w="1011" w:type="dxa"/>
            <w:vAlign w:val="top"/>
            <w:tcBorders>
              <w:bottom w:val="single" w:color="000000" w:sz="4" w:space="0"/>
            </w:tcBorders>
          </w:tcPr>
          <w:p>
            <w:pPr>
              <w:pStyle w:val="TableText"/>
              <w:ind w:left="401"/>
              <w:spacing w:before="127" w:line="183" w:lineRule="auto"/>
              <w:rPr>
                <w:sz w:val="16"/>
                <w:szCs w:val="16"/>
              </w:rPr>
            </w:pPr>
            <w:r>
              <w:rPr>
                <w:sz w:val="16"/>
                <w:szCs w:val="16"/>
                <w:spacing w:val="-2"/>
              </w:rPr>
              <w:t>4.5</w:t>
            </w:r>
          </w:p>
        </w:tc>
        <w:tc>
          <w:tcPr>
            <w:tcW w:w="1025" w:type="dxa"/>
            <w:vAlign w:val="top"/>
            <w:tcBorders>
              <w:bottom w:val="single" w:color="000000" w:sz="4" w:space="0"/>
            </w:tcBorders>
          </w:tcPr>
          <w:p>
            <w:pPr>
              <w:pStyle w:val="TableText"/>
              <w:ind w:left="379"/>
              <w:spacing w:before="128" w:line="182" w:lineRule="auto"/>
              <w:rPr>
                <w:sz w:val="16"/>
                <w:szCs w:val="16"/>
              </w:rPr>
            </w:pPr>
            <w:r>
              <w:rPr>
                <w:sz w:val="16"/>
                <w:szCs w:val="16"/>
                <w:spacing w:val="-3"/>
              </w:rPr>
              <w:t>7.7</w:t>
            </w:r>
          </w:p>
        </w:tc>
        <w:tc>
          <w:tcPr>
            <w:tcW w:w="1065" w:type="dxa"/>
            <w:vAlign w:val="top"/>
            <w:tcBorders>
              <w:bottom w:val="single" w:color="000000" w:sz="4" w:space="0"/>
            </w:tcBorders>
          </w:tcPr>
          <w:p>
            <w:pPr>
              <w:pStyle w:val="TableText"/>
              <w:ind w:left="414"/>
              <w:spacing w:before="127" w:line="183" w:lineRule="auto"/>
              <w:rPr>
                <w:sz w:val="16"/>
                <w:szCs w:val="16"/>
              </w:rPr>
            </w:pPr>
            <w:r>
              <w:rPr>
                <w:sz w:val="16"/>
                <w:szCs w:val="16"/>
                <w:spacing w:val="-2"/>
              </w:rPr>
              <w:t>9.9</w:t>
            </w:r>
          </w:p>
        </w:tc>
        <w:tc>
          <w:tcPr>
            <w:tcW w:w="1080" w:type="dxa"/>
            <w:vAlign w:val="top"/>
            <w:tcBorders>
              <w:bottom w:val="single" w:color="000000" w:sz="4" w:space="0"/>
            </w:tcBorders>
          </w:tcPr>
          <w:p>
            <w:pPr>
              <w:pStyle w:val="TableText"/>
              <w:ind w:left="379"/>
              <w:spacing w:before="126" w:line="184" w:lineRule="auto"/>
              <w:rPr>
                <w:sz w:val="16"/>
                <w:szCs w:val="16"/>
              </w:rPr>
            </w:pPr>
            <w:r>
              <w:rPr>
                <w:sz w:val="16"/>
                <w:szCs w:val="16"/>
                <w:spacing w:val="-4"/>
              </w:rPr>
              <w:t>15.5</w:t>
            </w:r>
          </w:p>
        </w:tc>
      </w:tr>
    </w:tbl>
    <w:p>
      <w:pPr>
        <w:ind w:left="399"/>
        <w:spacing w:before="150" w:line="219" w:lineRule="auto"/>
        <w:rPr>
          <w:rFonts w:ascii="SimSun" w:hAnsi="SimSun" w:eastAsia="SimSun" w:cs="SimSun"/>
          <w:sz w:val="16"/>
          <w:szCs w:val="16"/>
        </w:rPr>
      </w:pPr>
      <w:r>
        <w:rPr>
          <w:rFonts w:ascii="SimSun" w:hAnsi="SimSun" w:eastAsia="SimSun" w:cs="SimSun"/>
          <w:sz w:val="16"/>
          <w:szCs w:val="16"/>
          <w:spacing w:val="-2"/>
        </w:rPr>
        <w:t>资料来源：作者计算，数据出处及构建方法见本章第三节。</w:t>
      </w:r>
    </w:p>
    <w:p>
      <w:pPr>
        <w:spacing w:line="219" w:lineRule="auto"/>
        <w:sectPr>
          <w:headerReference w:type="default" r:id="rId118"/>
          <w:pgSz w:w="7330" w:h="12480"/>
          <w:pgMar w:top="779" w:right="785" w:bottom="400" w:left="440" w:header="601" w:footer="0" w:gutter="0"/>
        </w:sectPr>
        <w:rPr>
          <w:rFonts w:ascii="SimSun" w:hAnsi="SimSun" w:eastAsia="SimSun" w:cs="SimSun"/>
          <w:sz w:val="16"/>
          <w:szCs w:val="16"/>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94"/>
        <w:spacing w:before="68" w:line="290" w:lineRule="auto"/>
        <w:jc w:val="both"/>
        <w:rPr>
          <w:rFonts w:ascii="SimSun" w:hAnsi="SimSun" w:eastAsia="SimSun" w:cs="SimSun"/>
          <w:sz w:val="21"/>
          <w:szCs w:val="21"/>
        </w:rPr>
      </w:pPr>
      <w:r>
        <w:rPr>
          <w:rFonts w:ascii="SimSun" w:hAnsi="SimSun" w:eastAsia="SimSun" w:cs="SimSun"/>
          <w:sz w:val="21"/>
          <w:szCs w:val="21"/>
          <w:spacing w:val="-7"/>
        </w:rPr>
        <w:t>在迫使中国经济过早地开始“去工业化”过程；另一方面，</w:t>
      </w:r>
      <w:r>
        <w:rPr>
          <w:rFonts w:ascii="Times New Roman" w:hAnsi="Times New Roman" w:eastAsia="Times New Roman" w:cs="Times New Roman"/>
          <w:sz w:val="21"/>
          <w:szCs w:val="21"/>
          <w:spacing w:val="-7"/>
        </w:rPr>
        <w:t>ICT</w:t>
      </w:r>
      <w:r>
        <w:rPr>
          <w:rFonts w:ascii="SimSun" w:hAnsi="SimSun" w:eastAsia="SimSun" w:cs="SimSun"/>
          <w:sz w:val="21"/>
          <w:szCs w:val="21"/>
          <w:spacing w:val="-7"/>
        </w:rPr>
        <w:t>集约</w:t>
      </w:r>
      <w:r>
        <w:rPr>
          <w:rFonts w:ascii="SimSun" w:hAnsi="SimSun" w:eastAsia="SimSun" w:cs="SimSun"/>
          <w:sz w:val="21"/>
          <w:szCs w:val="21"/>
        </w:rPr>
        <w:t xml:space="preserve"> </w:t>
      </w:r>
      <w:r>
        <w:rPr>
          <w:rFonts w:ascii="SimSun" w:hAnsi="SimSun" w:eastAsia="SimSun" w:cs="SimSun"/>
          <w:sz w:val="21"/>
          <w:szCs w:val="21"/>
          <w:spacing w:val="-10"/>
        </w:rPr>
        <w:t>使用服务业净资本存量占比的上升也与制造业向服务业转型的趋势有</w:t>
      </w:r>
      <w:r>
        <w:rPr>
          <w:rFonts w:ascii="SimSun" w:hAnsi="SimSun" w:eastAsia="SimSun" w:cs="SimSun"/>
          <w:sz w:val="21"/>
          <w:szCs w:val="21"/>
        </w:rPr>
        <w:t xml:space="preserve"> </w:t>
      </w:r>
      <w:r>
        <w:rPr>
          <w:rFonts w:ascii="SimSun" w:hAnsi="SimSun" w:eastAsia="SimSun" w:cs="SimSun"/>
          <w:sz w:val="21"/>
          <w:szCs w:val="21"/>
          <w:spacing w:val="-1"/>
        </w:rPr>
        <w:t>关。值得注意的是，由于国有企业在</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集约使用服务业中占主导</w:t>
      </w:r>
      <w:r>
        <w:rPr>
          <w:rFonts w:ascii="SimSun" w:hAnsi="SimSun" w:eastAsia="SimSun" w:cs="SimSun"/>
          <w:sz w:val="21"/>
          <w:szCs w:val="21"/>
        </w:rPr>
        <w:t xml:space="preserve"> </w:t>
      </w:r>
      <w:r>
        <w:rPr>
          <w:rFonts w:ascii="SimSun" w:hAnsi="SimSun" w:eastAsia="SimSun" w:cs="SimSun"/>
          <w:sz w:val="21"/>
          <w:szCs w:val="21"/>
          <w:spacing w:val="-10"/>
        </w:rPr>
        <w:t>地位，这个趋势得到了强化，其结果可能会进一步伤害这个部</w:t>
      </w:r>
      <w:r>
        <w:rPr>
          <w:rFonts w:ascii="SimSun" w:hAnsi="SimSun" w:eastAsia="SimSun" w:cs="SimSun"/>
          <w:sz w:val="21"/>
          <w:szCs w:val="21"/>
          <w:spacing w:val="-11"/>
        </w:rPr>
        <w:t>门的效</w:t>
      </w:r>
      <w:r>
        <w:rPr>
          <w:rFonts w:ascii="SimSun" w:hAnsi="SimSun" w:eastAsia="SimSun" w:cs="SimSun"/>
          <w:sz w:val="21"/>
          <w:szCs w:val="21"/>
        </w:rPr>
        <w:t xml:space="preserve"> </w:t>
      </w:r>
      <w:r>
        <w:rPr>
          <w:rFonts w:ascii="SimSun" w:hAnsi="SimSun" w:eastAsia="SimSun" w:cs="SimSun"/>
          <w:sz w:val="21"/>
          <w:szCs w:val="21"/>
          <w:spacing w:val="-8"/>
        </w:rPr>
        <w:t>率表现。</w:t>
      </w:r>
    </w:p>
    <w:p>
      <w:pPr>
        <w:pStyle w:val="BodyText"/>
        <w:spacing w:line="40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劳动生产率与资本深化的关系</w:t>
      </w:r>
    </w:p>
    <w:p>
      <w:pPr>
        <w:pStyle w:val="BodyText"/>
        <w:spacing w:line="359" w:lineRule="auto"/>
        <w:rPr/>
      </w:pPr>
      <w:r/>
    </w:p>
    <w:p>
      <w:pPr>
        <w:ind w:right="41" w:firstLine="480"/>
        <w:spacing w:before="68" w:line="301" w:lineRule="auto"/>
        <w:jc w:val="both"/>
        <w:rPr>
          <w:rFonts w:ascii="SimSun" w:hAnsi="SimSun" w:eastAsia="SimSun" w:cs="SimSun"/>
          <w:sz w:val="21"/>
          <w:szCs w:val="21"/>
        </w:rPr>
      </w:pPr>
      <w:r>
        <w:rPr>
          <w:rFonts w:ascii="SimSun" w:hAnsi="SimSun" w:eastAsia="SimSun" w:cs="SimSun"/>
          <w:sz w:val="21"/>
          <w:szCs w:val="21"/>
          <w:spacing w:val="-11"/>
        </w:rPr>
        <w:t>在这一部分，我们观察两个应该一起讨论的重要指标，即劳动生</w:t>
      </w:r>
      <w:r>
        <w:rPr>
          <w:rFonts w:ascii="SimSun" w:hAnsi="SimSun" w:eastAsia="SimSun" w:cs="SimSun"/>
          <w:sz w:val="21"/>
          <w:szCs w:val="21"/>
          <w:spacing w:val="16"/>
        </w:rPr>
        <w:t xml:space="preserve"> </w:t>
      </w:r>
      <w:r>
        <w:rPr>
          <w:rFonts w:ascii="SimSun" w:hAnsi="SimSun" w:eastAsia="SimSun" w:cs="SimSun"/>
          <w:sz w:val="21"/>
          <w:szCs w:val="21"/>
          <w:spacing w:val="-10"/>
        </w:rPr>
        <w:t>产率和资本深化水平。任何有意义的增长讨论都不能只看前者而忽</w:t>
      </w:r>
      <w:r>
        <w:rPr>
          <w:rFonts w:ascii="SimSun" w:hAnsi="SimSun" w:eastAsia="SimSun" w:cs="SimSun"/>
          <w:sz w:val="21"/>
          <w:szCs w:val="21"/>
          <w:spacing w:val="-11"/>
        </w:rPr>
        <w:t>视 </w:t>
      </w:r>
      <w:r>
        <w:rPr>
          <w:rFonts w:ascii="SimSun" w:hAnsi="SimSun" w:eastAsia="SimSun" w:cs="SimSun"/>
          <w:sz w:val="21"/>
          <w:szCs w:val="21"/>
          <w:spacing w:val="3"/>
        </w:rPr>
        <w:t>后者。前者是每个劳动者的平均实际产出水平(见表2-7),后者是 </w:t>
      </w:r>
      <w:r>
        <w:rPr>
          <w:rFonts w:ascii="SimSun" w:hAnsi="SimSun" w:eastAsia="SimSun" w:cs="SimSun"/>
          <w:sz w:val="21"/>
          <w:szCs w:val="21"/>
        </w:rPr>
        <w:t>每个劳动者的实际净资本存量水平(见表2-8)。毋庸置疑，随着经 </w:t>
      </w:r>
      <w:r>
        <w:rPr>
          <w:rFonts w:ascii="SimSun" w:hAnsi="SimSun" w:eastAsia="SimSun" w:cs="SimSun"/>
          <w:sz w:val="21"/>
          <w:szCs w:val="21"/>
          <w:spacing w:val="-10"/>
        </w:rPr>
        <w:t>济的增长，也就是收入的增长，这两个指标都会不断上升。因为前</w:t>
      </w:r>
      <w:r>
        <w:rPr>
          <w:rFonts w:ascii="SimSun" w:hAnsi="SimSun" w:eastAsia="SimSun" w:cs="SimSun"/>
          <w:sz w:val="21"/>
          <w:szCs w:val="21"/>
          <w:spacing w:val="-11"/>
        </w:rPr>
        <w:t>者 </w:t>
      </w:r>
      <w:r>
        <w:rPr>
          <w:rFonts w:ascii="SimSun" w:hAnsi="SimSun" w:eastAsia="SimSun" w:cs="SimSun"/>
          <w:sz w:val="21"/>
          <w:szCs w:val="21"/>
          <w:spacing w:val="-10"/>
        </w:rPr>
        <w:t>是后者的函数，我们应该关注的不是两者各自的变动，而是它们的</w:t>
      </w:r>
      <w:r>
        <w:rPr>
          <w:rFonts w:ascii="SimSun" w:hAnsi="SimSun" w:eastAsia="SimSun" w:cs="SimSun"/>
          <w:sz w:val="21"/>
          <w:szCs w:val="21"/>
          <w:spacing w:val="-11"/>
        </w:rPr>
        <w:t>相 </w:t>
      </w:r>
      <w:r>
        <w:rPr>
          <w:rFonts w:ascii="SimSun" w:hAnsi="SimSun" w:eastAsia="SimSun" w:cs="SimSun"/>
          <w:sz w:val="21"/>
          <w:szCs w:val="21"/>
          <w:spacing w:val="-10"/>
        </w:rPr>
        <w:t>对变动所反映的效率问题。更具体地说，我们关注劳动生产率增长</w:t>
      </w:r>
      <w:r>
        <w:rPr>
          <w:rFonts w:ascii="SimSun" w:hAnsi="SimSun" w:eastAsia="SimSun" w:cs="SimSun"/>
          <w:sz w:val="21"/>
          <w:szCs w:val="21"/>
          <w:spacing w:val="-11"/>
        </w:rPr>
        <w:t>的 </w:t>
      </w:r>
      <w:r>
        <w:rPr>
          <w:rFonts w:ascii="SimSun" w:hAnsi="SimSun" w:eastAsia="SimSun" w:cs="SimSun"/>
          <w:sz w:val="21"/>
          <w:szCs w:val="21"/>
          <w:spacing w:val="-15"/>
        </w:rPr>
        <w:t>速度是不是可以充分反映资本深化的速度。</w:t>
      </w:r>
      <w:r>
        <w:rPr>
          <w:rFonts w:ascii="SimSun" w:hAnsi="SimSun" w:eastAsia="SimSun" w:cs="SimSun"/>
          <w:sz w:val="21"/>
          <w:szCs w:val="21"/>
          <w:spacing w:val="48"/>
        </w:rPr>
        <w:t xml:space="preserve"> </w:t>
      </w:r>
      <w:r>
        <w:rPr>
          <w:rFonts w:ascii="SimSun" w:hAnsi="SimSun" w:eastAsia="SimSun" w:cs="SimSun"/>
          <w:sz w:val="21"/>
          <w:szCs w:val="21"/>
          <w:spacing w:val="-15"/>
        </w:rPr>
        <w:t>一个简单却十分重要的经 </w:t>
      </w:r>
      <w:r>
        <w:rPr>
          <w:rFonts w:ascii="SimSun" w:hAnsi="SimSun" w:eastAsia="SimSun" w:cs="SimSun"/>
          <w:sz w:val="21"/>
          <w:szCs w:val="21"/>
          <w:spacing w:val="-10"/>
        </w:rPr>
        <w:t>济学问题是，如果前者慢于后者，就意味着效率损失。在充分竞争</w:t>
      </w:r>
      <w:r>
        <w:rPr>
          <w:rFonts w:ascii="SimSun" w:hAnsi="SimSun" w:eastAsia="SimSun" w:cs="SimSun"/>
          <w:sz w:val="21"/>
          <w:szCs w:val="21"/>
          <w:spacing w:val="-11"/>
        </w:rPr>
        <w:t>的 </w:t>
      </w:r>
      <w:r>
        <w:rPr>
          <w:rFonts w:ascii="SimSun" w:hAnsi="SimSun" w:eastAsia="SimSun" w:cs="SimSun"/>
          <w:sz w:val="21"/>
          <w:szCs w:val="21"/>
          <w:spacing w:val="-9"/>
        </w:rPr>
        <w:t>市场条件下，这种情况不会长期存在，因为资本收入</w:t>
      </w:r>
      <w:r>
        <w:rPr>
          <w:rFonts w:ascii="SimSun" w:hAnsi="SimSun" w:eastAsia="SimSun" w:cs="SimSun"/>
          <w:sz w:val="21"/>
          <w:szCs w:val="21"/>
          <w:spacing w:val="-10"/>
        </w:rPr>
        <w:t>下降会导致投资</w:t>
      </w:r>
      <w:r>
        <w:rPr>
          <w:rFonts w:ascii="SimSun" w:hAnsi="SimSun" w:eastAsia="SimSun" w:cs="SimSun"/>
          <w:sz w:val="21"/>
          <w:szCs w:val="21"/>
        </w:rPr>
        <w:t xml:space="preserve"> </w:t>
      </w:r>
      <w:r>
        <w:rPr>
          <w:rFonts w:ascii="SimSun" w:hAnsi="SimSun" w:eastAsia="SimSun" w:cs="SimSun"/>
          <w:sz w:val="21"/>
          <w:szCs w:val="21"/>
          <w:spacing w:val="-8"/>
        </w:rPr>
        <w:t>减少，从而促使资源根据要素成本的相对变化进行重新配置。但是，</w:t>
      </w:r>
      <w:r>
        <w:rPr>
          <w:rFonts w:ascii="SimSun" w:hAnsi="SimSun" w:eastAsia="SimSun" w:cs="SimSun"/>
          <w:sz w:val="21"/>
          <w:szCs w:val="21"/>
          <w:spacing w:val="13"/>
        </w:rPr>
        <w:t xml:space="preserve"> </w:t>
      </w:r>
      <w:r>
        <w:rPr>
          <w:rFonts w:ascii="SimSun" w:hAnsi="SimSun" w:eastAsia="SimSun" w:cs="SimSun"/>
          <w:sz w:val="21"/>
          <w:szCs w:val="21"/>
          <w:spacing w:val="-10"/>
        </w:rPr>
        <w:t>如果存在允许政府直接干预的制度条件，政府“保增长”的努力会</w:t>
      </w:r>
      <w:r>
        <w:rPr>
          <w:rFonts w:ascii="SimSun" w:hAnsi="SimSun" w:eastAsia="SimSun" w:cs="SimSun"/>
          <w:sz w:val="21"/>
          <w:szCs w:val="21"/>
          <w:spacing w:val="-11"/>
        </w:rPr>
        <w:t>错 </w:t>
      </w:r>
      <w:r>
        <w:rPr>
          <w:rFonts w:ascii="SimSun" w:hAnsi="SimSun" w:eastAsia="SimSun" w:cs="SimSun"/>
          <w:sz w:val="21"/>
          <w:szCs w:val="21"/>
          <w:spacing w:val="-10"/>
        </w:rPr>
        <w:t>误地刺激投资，特别是对被政府错误选择的部门和企业进行投资，</w:t>
      </w:r>
      <w:r>
        <w:rPr>
          <w:rFonts w:ascii="SimSun" w:hAnsi="SimSun" w:eastAsia="SimSun" w:cs="SimSun"/>
          <w:sz w:val="21"/>
          <w:szCs w:val="21"/>
          <w:spacing w:val="-11"/>
        </w:rPr>
        <w:t>致 </w:t>
      </w:r>
      <w:r>
        <w:rPr>
          <w:rFonts w:ascii="SimSun" w:hAnsi="SimSun" w:eastAsia="SimSun" w:cs="SimSun"/>
          <w:sz w:val="21"/>
          <w:szCs w:val="21"/>
          <w:spacing w:val="-7"/>
        </w:rPr>
        <w:t>使资源错配、结构扭曲的情况恶化(如长期困扰中国经济的严重产能 </w:t>
      </w:r>
      <w:r>
        <w:rPr>
          <w:rFonts w:ascii="SimSun" w:hAnsi="SimSun" w:eastAsia="SimSun" w:cs="SimSun"/>
          <w:sz w:val="21"/>
          <w:szCs w:val="21"/>
          <w:spacing w:val="-4"/>
        </w:rPr>
        <w:t>过剩问题),导致效率的进一步降低。</w:t>
      </w:r>
    </w:p>
    <w:p>
      <w:pPr>
        <w:ind w:firstLine="510"/>
        <w:spacing w:before="246" w:line="292" w:lineRule="auto"/>
        <w:rPr>
          <w:rFonts w:ascii="SimSun" w:hAnsi="SimSun" w:eastAsia="SimSun" w:cs="SimSun"/>
          <w:sz w:val="21"/>
          <w:szCs w:val="21"/>
        </w:rPr>
      </w:pPr>
      <w:r>
        <w:rPr>
          <w:rFonts w:ascii="SimSun" w:hAnsi="SimSun" w:eastAsia="SimSun" w:cs="SimSun"/>
          <w:sz w:val="21"/>
          <w:szCs w:val="21"/>
          <w:spacing w:val="-3"/>
        </w:rPr>
        <w:t>如果产出过度依赖资本存量的增长，人均产出或劳动生产率的</w:t>
      </w:r>
      <w:r>
        <w:rPr>
          <w:rFonts w:ascii="SimSun" w:hAnsi="SimSun" w:eastAsia="SimSun" w:cs="SimSun"/>
          <w:sz w:val="21"/>
          <w:szCs w:val="21"/>
          <w:spacing w:val="16"/>
        </w:rPr>
        <w:t xml:space="preserve"> </w:t>
      </w:r>
      <w:r>
        <w:rPr>
          <w:rFonts w:ascii="SimSun" w:hAnsi="SimSun" w:eastAsia="SimSun" w:cs="SimSun"/>
          <w:sz w:val="21"/>
          <w:szCs w:val="21"/>
          <w:spacing w:val="-7"/>
        </w:rPr>
        <w:t>增长肯定也会过度依赖资本深化，两者的关系密不可分。那么,如果</w:t>
      </w:r>
      <w:r>
        <w:rPr>
          <w:rFonts w:ascii="SimSun" w:hAnsi="SimSun" w:eastAsia="SimSun" w:cs="SimSun"/>
          <w:sz w:val="21"/>
          <w:szCs w:val="21"/>
          <w:spacing w:val="7"/>
        </w:rPr>
        <w:t xml:space="preserve">  </w:t>
      </w:r>
      <w:r>
        <w:rPr>
          <w:rFonts w:ascii="SimSun" w:hAnsi="SimSun" w:eastAsia="SimSun" w:cs="SimSun"/>
          <w:sz w:val="21"/>
          <w:szCs w:val="21"/>
          <w:spacing w:val="-10"/>
        </w:rPr>
        <w:t>人均资本存量的增长带来越来越少的产出，我们就有理由怀疑这</w:t>
      </w:r>
      <w:r>
        <w:rPr>
          <w:rFonts w:ascii="SimSun" w:hAnsi="SimSun" w:eastAsia="SimSun" w:cs="SimSun"/>
          <w:sz w:val="21"/>
          <w:szCs w:val="21"/>
          <w:spacing w:val="-11"/>
        </w:rPr>
        <w:t>种关</w:t>
      </w:r>
      <w:r>
        <w:rPr>
          <w:rFonts w:ascii="SimSun" w:hAnsi="SimSun" w:eastAsia="SimSun" w:cs="SimSun"/>
          <w:sz w:val="21"/>
          <w:szCs w:val="21"/>
        </w:rPr>
        <w:t xml:space="preserve">  </w:t>
      </w:r>
      <w:r>
        <w:rPr>
          <w:rFonts w:ascii="SimSun" w:hAnsi="SimSun" w:eastAsia="SimSun" w:cs="SimSun"/>
          <w:sz w:val="21"/>
          <w:szCs w:val="21"/>
          <w:spacing w:val="-10"/>
        </w:rPr>
        <w:t>系是否“健康”。借助两个简单指标，我们</w:t>
      </w:r>
      <w:r>
        <w:rPr>
          <w:rFonts w:ascii="SimSun" w:hAnsi="SimSun" w:eastAsia="SimSun" w:cs="SimSun"/>
          <w:sz w:val="21"/>
          <w:szCs w:val="21"/>
          <w:spacing w:val="-11"/>
        </w:rPr>
        <w:t>可以进行这样的“健康诊</w:t>
      </w:r>
    </w:p>
    <w:p>
      <w:pPr>
        <w:spacing w:line="292" w:lineRule="auto"/>
        <w:sectPr>
          <w:headerReference w:type="default" r:id="rId119"/>
          <w:pgSz w:w="7330" w:h="12480"/>
          <w:pgMar w:top="517" w:right="483" w:bottom="400" w:left="729" w:header="355" w:footer="0" w:gutter="0"/>
        </w:sectPr>
        <w:rPr>
          <w:rFonts w:ascii="SimSun" w:hAnsi="SimSun" w:eastAsia="SimSun" w:cs="SimSun"/>
          <w:sz w:val="21"/>
          <w:szCs w:val="21"/>
        </w:rPr>
      </w:pPr>
    </w:p>
    <w:p>
      <w:pPr>
        <w:ind w:left="2792"/>
        <w:spacing w:line="221" w:lineRule="auto"/>
        <w:rPr>
          <w:rFonts w:ascii="SimHei" w:hAnsi="SimHei" w:eastAsia="SimHei" w:cs="SimHei"/>
          <w:sz w:val="19"/>
          <w:szCs w:val="19"/>
        </w:rPr>
      </w:pPr>
      <w:r>
        <mc:AlternateContent xmlns:mc="http://schemas.openxmlformats.org/markup-compatibility/2006">
          <mc:Choice Requires="wps">
            <w:drawing>
              <wp:anchor distT="0" distB="0" distL="0" distR="0" simplePos="0" relativeHeight="252654592" behindDoc="0" locked="0" layoutInCell="0" allowOverlap="1">
                <wp:simplePos x="0" y="0"/>
                <wp:positionH relativeFrom="page">
                  <wp:posOffset>6586317</wp:posOffset>
                </wp:positionH>
                <wp:positionV relativeFrom="page">
                  <wp:posOffset>2033453</wp:posOffset>
                </wp:positionV>
                <wp:extent cx="1786254" cy="157479"/>
                <wp:effectExtent l="0" t="0" r="0" b="0"/>
                <wp:wrapNone/>
                <wp:docPr id="102" name="TextBox 102"/>
                <wp:cNvGraphicFramePr/>
                <a:graphic>
                  <a:graphicData uri="http://schemas.microsoft.com/office/word/2010/wordprocessingShape">
                    <wps:wsp>
                      <wps:cNvSpPr txBox="1"/>
                      <wps:spPr>
                        <a:xfrm rot="5400000">
                          <a:off x="6586317" y="2033453"/>
                          <a:ext cx="1786254" cy="1574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2" w:lineRule="auto"/>
                              <w:rPr>
                                <w:rFonts w:ascii="SimHei" w:hAnsi="SimHei" w:eastAsia="SimHei" w:cs="SimHei"/>
                                <w:sz w:val="15"/>
                                <w:szCs w:val="15"/>
                              </w:rPr>
                            </w:pPr>
                            <w:r>
                              <w:rPr>
                                <w:rFonts w:ascii="SimHei" w:hAnsi="SimHei" w:eastAsia="SimHei" w:cs="SimHei"/>
                                <w:sz w:val="15"/>
                                <w:szCs w:val="15"/>
                                <w:spacing w:val="13"/>
                              </w:rPr>
                              <w:t>第二章数字经济对中国经济增长的影响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 style="position:absolute;margin-left:518.608pt;margin-top:160.114pt;mso-position-vertical-relative:page;mso-position-horizontal-relative:page;width:140.65pt;height:12.4pt;z-index:252654592;rotation:90;" o:allowincell="f" filled="false" stroked="false" type="#_x0000_t202">
                <v:fill on="false"/>
                <v:stroke on="false"/>
                <v:path/>
                <v:imagedata o:title=""/>
                <o:lock v:ext="edit" aspectratio="false"/>
                <v:textbox inset="0mm,0mm,0mm,0mm">
                  <w:txbxContent>
                    <w:p>
                      <w:pPr>
                        <w:ind w:left="20"/>
                        <w:spacing w:before="47" w:line="222" w:lineRule="auto"/>
                        <w:rPr>
                          <w:rFonts w:ascii="SimHei" w:hAnsi="SimHei" w:eastAsia="SimHei" w:cs="SimHei"/>
                          <w:sz w:val="15"/>
                          <w:szCs w:val="15"/>
                        </w:rPr>
                      </w:pPr>
                      <w:r>
                        <w:rPr>
                          <w:rFonts w:ascii="SimHei" w:hAnsi="SimHei" w:eastAsia="SimHei" w:cs="SimHei"/>
                          <w:sz w:val="15"/>
                          <w:szCs w:val="15"/>
                          <w:spacing w:val="13"/>
                        </w:rPr>
                        <w:t>第二章数字经济对中国经济增长的影响</w:t>
                      </w:r>
                    </w:p>
                  </w:txbxContent>
                </v:textbox>
              </v:shape>
            </w:pict>
          </mc:Fallback>
        </mc:AlternateContent>
      </w:r>
      <w:r>
        <w:rPr>
          <w:rFonts w:ascii="SimHei" w:hAnsi="SimHei" w:eastAsia="SimHei" w:cs="SimHei"/>
          <w:sz w:val="19"/>
          <w:szCs w:val="19"/>
          <w:b/>
          <w:bCs/>
          <w:spacing w:val="-9"/>
        </w:rPr>
        <w:t>表2-7</w:t>
      </w:r>
      <w:r>
        <w:rPr>
          <w:rFonts w:ascii="SimHei" w:hAnsi="SimHei" w:eastAsia="SimHei" w:cs="SimHei"/>
          <w:sz w:val="19"/>
          <w:szCs w:val="19"/>
          <w:spacing w:val="76"/>
          <w:w w:val="101"/>
        </w:rPr>
        <w:t xml:space="preserve"> </w:t>
      </w:r>
      <w:r>
        <w:rPr>
          <w:rFonts w:ascii="SimHei" w:hAnsi="SimHei" w:eastAsia="SimHei" w:cs="SimHei"/>
          <w:sz w:val="19"/>
          <w:szCs w:val="19"/>
          <w:b/>
          <w:bCs/>
          <w:spacing w:val="-9"/>
        </w:rPr>
        <w:t>各行业劳动生产率及其变化：数字经济视角</w:t>
      </w:r>
    </w:p>
    <w:p>
      <w:pPr>
        <w:spacing w:line="142" w:lineRule="exact"/>
        <w:rPr/>
      </w:pPr>
      <w:r/>
    </w:p>
    <w:tbl>
      <w:tblPr>
        <w:tblStyle w:val="TableNormal"/>
        <w:tblW w:w="959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43"/>
        <w:gridCol w:w="840"/>
        <w:gridCol w:w="1006"/>
        <w:gridCol w:w="798"/>
        <w:gridCol w:w="885"/>
        <w:gridCol w:w="1230"/>
        <w:gridCol w:w="1120"/>
        <w:gridCol w:w="1120"/>
        <w:gridCol w:w="1357"/>
      </w:tblGrid>
      <w:tr>
        <w:trPr>
          <w:trHeight w:val="334" w:hRule="atLeast"/>
        </w:trPr>
        <w:tc>
          <w:tcPr>
            <w:tcW w:w="1243" w:type="dxa"/>
            <w:vAlign w:val="top"/>
            <w:vMerge w:val="restart"/>
            <w:tcBorders>
              <w:bottom w:val="nil"/>
              <w:top w:val="single" w:color="000000" w:sz="4" w:space="0"/>
            </w:tcBorders>
          </w:tcPr>
          <w:p>
            <w:pPr>
              <w:rPr>
                <w:rFonts w:ascii="Arial"/>
                <w:sz w:val="21"/>
              </w:rPr>
            </w:pPr>
            <w:r/>
          </w:p>
        </w:tc>
        <w:tc>
          <w:tcPr>
            <w:tcW w:w="1846" w:type="dxa"/>
            <w:vAlign w:val="top"/>
            <w:gridSpan w:val="2"/>
            <w:tcBorders>
              <w:top w:val="single" w:color="000000" w:sz="4" w:space="0"/>
            </w:tcBorders>
          </w:tcPr>
          <w:p>
            <w:pPr>
              <w:pStyle w:val="TableText"/>
              <w:spacing w:before="130" w:line="219" w:lineRule="auto"/>
              <w:jc w:val="right"/>
              <w:rPr>
                <w:sz w:val="16"/>
                <w:szCs w:val="16"/>
              </w:rPr>
            </w:pPr>
            <w:r>
              <w:rPr>
                <w:sz w:val="16"/>
                <w:szCs w:val="16"/>
                <w:spacing w:val="-5"/>
              </w:rPr>
              <w:t>劳动者平均产出(元，</w:t>
            </w:r>
          </w:p>
        </w:tc>
        <w:tc>
          <w:tcPr>
            <w:tcW w:w="1683" w:type="dxa"/>
            <w:vAlign w:val="top"/>
            <w:gridSpan w:val="2"/>
            <w:tcBorders>
              <w:top w:val="single" w:color="000000" w:sz="4" w:space="0"/>
            </w:tcBorders>
          </w:tcPr>
          <w:p>
            <w:pPr>
              <w:pStyle w:val="TableText"/>
              <w:ind w:left="62"/>
              <w:spacing w:before="130" w:line="218" w:lineRule="auto"/>
              <w:rPr>
                <w:sz w:val="16"/>
                <w:szCs w:val="16"/>
              </w:rPr>
            </w:pPr>
            <w:r>
              <w:rPr>
                <w:sz w:val="16"/>
                <w:szCs w:val="16"/>
                <w:spacing w:val="1"/>
              </w:rPr>
              <w:t>2000年固定价格)</w:t>
            </w:r>
          </w:p>
        </w:tc>
        <w:tc>
          <w:tcPr>
            <w:tcW w:w="1230" w:type="dxa"/>
            <w:vAlign w:val="top"/>
            <w:vMerge w:val="restart"/>
            <w:tcBorders>
              <w:bottom w:val="nil"/>
              <w:top w:val="single" w:color="000000" w:sz="4" w:space="0"/>
            </w:tcBorders>
          </w:tcPr>
          <w:p>
            <w:pPr>
              <w:spacing w:line="327" w:lineRule="auto"/>
              <w:rPr>
                <w:rFonts w:ascii="Arial"/>
                <w:sz w:val="21"/>
              </w:rPr>
            </w:pPr>
            <w:r/>
          </w:p>
          <w:p>
            <w:pPr>
              <w:pStyle w:val="TableText"/>
              <w:ind w:left="198"/>
              <w:spacing w:before="52" w:line="219" w:lineRule="auto"/>
              <w:rPr>
                <w:sz w:val="16"/>
                <w:szCs w:val="16"/>
              </w:rPr>
            </w:pPr>
            <w:r>
              <w:rPr>
                <w:sz w:val="16"/>
                <w:szCs w:val="16"/>
                <w:spacing w:val="-1"/>
              </w:rPr>
              <w:t>2001—2007年</w:t>
            </w:r>
          </w:p>
        </w:tc>
        <w:tc>
          <w:tcPr>
            <w:tcW w:w="2240" w:type="dxa"/>
            <w:vAlign w:val="top"/>
            <w:gridSpan w:val="2"/>
            <w:tcBorders>
              <w:top w:val="single" w:color="000000" w:sz="4" w:space="0"/>
            </w:tcBorders>
          </w:tcPr>
          <w:p>
            <w:pPr>
              <w:pStyle w:val="TableText"/>
              <w:ind w:left="567"/>
              <w:spacing w:before="131" w:line="219" w:lineRule="auto"/>
              <w:rPr>
                <w:sz w:val="16"/>
                <w:szCs w:val="16"/>
              </w:rPr>
            </w:pPr>
            <w:r>
              <w:rPr>
                <w:sz w:val="16"/>
                <w:szCs w:val="16"/>
                <w:spacing w:val="3"/>
              </w:rPr>
              <w:t>年平均增长率(%)</w:t>
            </w:r>
          </w:p>
        </w:tc>
        <w:tc>
          <w:tcPr>
            <w:tcW w:w="1357" w:type="dxa"/>
            <w:vAlign w:val="top"/>
            <w:vMerge w:val="restart"/>
            <w:tcBorders>
              <w:bottom w:val="nil"/>
              <w:top w:val="single" w:color="000000" w:sz="4" w:space="0"/>
            </w:tcBorders>
          </w:tcPr>
          <w:p>
            <w:pPr>
              <w:spacing w:line="327" w:lineRule="auto"/>
              <w:rPr>
                <w:rFonts w:ascii="Arial"/>
                <w:sz w:val="21"/>
              </w:rPr>
            </w:pPr>
            <w:r/>
          </w:p>
          <w:p>
            <w:pPr>
              <w:pStyle w:val="TableText"/>
              <w:ind w:left="88"/>
              <w:spacing w:before="52" w:line="219" w:lineRule="auto"/>
              <w:rPr>
                <w:sz w:val="16"/>
                <w:szCs w:val="16"/>
              </w:rPr>
            </w:pPr>
            <w:r>
              <w:rPr>
                <w:sz w:val="16"/>
                <w:szCs w:val="16"/>
                <w:spacing w:val="-1"/>
              </w:rPr>
              <w:t>2001—2018年</w:t>
            </w:r>
          </w:p>
        </w:tc>
      </w:tr>
      <w:tr>
        <w:trPr>
          <w:trHeight w:val="260" w:hRule="atLeast"/>
        </w:trPr>
        <w:tc>
          <w:tcPr>
            <w:tcW w:w="1243" w:type="dxa"/>
            <w:vAlign w:val="top"/>
            <w:vMerge w:val="continue"/>
            <w:tcBorders>
              <w:bottom w:val="single" w:color="000000" w:sz="4" w:space="0"/>
              <w:top w:val="nil"/>
            </w:tcBorders>
          </w:tcPr>
          <w:p>
            <w:pPr>
              <w:rPr>
                <w:rFonts w:ascii="Arial"/>
                <w:sz w:val="21"/>
              </w:rPr>
            </w:pPr>
            <w:r/>
          </w:p>
        </w:tc>
        <w:tc>
          <w:tcPr>
            <w:tcW w:w="840" w:type="dxa"/>
            <w:vAlign w:val="top"/>
            <w:tcBorders>
              <w:bottom w:val="single" w:color="000000" w:sz="4" w:space="0"/>
            </w:tcBorders>
          </w:tcPr>
          <w:p>
            <w:pPr>
              <w:pStyle w:val="TableText"/>
              <w:ind w:left="166"/>
              <w:spacing w:before="47" w:line="219" w:lineRule="auto"/>
              <w:rPr>
                <w:sz w:val="16"/>
                <w:szCs w:val="16"/>
              </w:rPr>
            </w:pPr>
            <w:r>
              <w:rPr>
                <w:sz w:val="16"/>
                <w:szCs w:val="16"/>
                <w:spacing w:val="-2"/>
              </w:rPr>
              <w:t>2001年</w:t>
            </w:r>
          </w:p>
        </w:tc>
        <w:tc>
          <w:tcPr>
            <w:tcW w:w="1006" w:type="dxa"/>
            <w:vAlign w:val="top"/>
            <w:tcBorders>
              <w:bottom w:val="single" w:color="000000" w:sz="4" w:space="0"/>
            </w:tcBorders>
          </w:tcPr>
          <w:p>
            <w:pPr>
              <w:pStyle w:val="TableText"/>
              <w:ind w:left="207"/>
              <w:spacing w:before="47" w:line="219" w:lineRule="auto"/>
              <w:rPr>
                <w:sz w:val="16"/>
                <w:szCs w:val="16"/>
              </w:rPr>
            </w:pPr>
            <w:r>
              <w:rPr>
                <w:sz w:val="16"/>
                <w:szCs w:val="16"/>
                <w:spacing w:val="-2"/>
              </w:rPr>
              <w:t>2007年</w:t>
            </w:r>
          </w:p>
        </w:tc>
        <w:tc>
          <w:tcPr>
            <w:tcW w:w="798" w:type="dxa"/>
            <w:vAlign w:val="top"/>
            <w:tcBorders>
              <w:bottom w:val="single" w:color="000000" w:sz="4" w:space="0"/>
            </w:tcBorders>
          </w:tcPr>
          <w:p>
            <w:pPr>
              <w:pStyle w:val="TableText"/>
              <w:ind w:left="110"/>
              <w:spacing w:before="47" w:line="219" w:lineRule="auto"/>
              <w:rPr>
                <w:sz w:val="16"/>
                <w:szCs w:val="16"/>
              </w:rPr>
            </w:pPr>
            <w:r>
              <w:rPr>
                <w:sz w:val="16"/>
                <w:szCs w:val="16"/>
                <w:spacing w:val="-2"/>
              </w:rPr>
              <w:t>2012年</w:t>
            </w:r>
          </w:p>
        </w:tc>
        <w:tc>
          <w:tcPr>
            <w:tcW w:w="885" w:type="dxa"/>
            <w:vAlign w:val="top"/>
            <w:tcBorders>
              <w:bottom w:val="single" w:color="000000" w:sz="4" w:space="0"/>
            </w:tcBorders>
          </w:tcPr>
          <w:p>
            <w:pPr>
              <w:pStyle w:val="TableText"/>
              <w:ind w:left="223"/>
              <w:spacing w:before="47" w:line="219" w:lineRule="auto"/>
              <w:rPr>
                <w:sz w:val="16"/>
                <w:szCs w:val="16"/>
              </w:rPr>
            </w:pPr>
            <w:r>
              <w:rPr>
                <w:sz w:val="16"/>
                <w:szCs w:val="16"/>
                <w:spacing w:val="-2"/>
              </w:rPr>
              <w:t>2018年</w:t>
            </w:r>
          </w:p>
        </w:tc>
        <w:tc>
          <w:tcPr>
            <w:tcW w:w="1230" w:type="dxa"/>
            <w:vAlign w:val="top"/>
            <w:vMerge w:val="continue"/>
            <w:tcBorders>
              <w:bottom w:val="single" w:color="000000" w:sz="4" w:space="0"/>
              <w:top w:val="nil"/>
            </w:tcBorders>
          </w:tcPr>
          <w:p>
            <w:pPr>
              <w:rPr>
                <w:rFonts w:ascii="Arial"/>
                <w:sz w:val="21"/>
              </w:rPr>
            </w:pPr>
            <w:r/>
          </w:p>
        </w:tc>
        <w:tc>
          <w:tcPr>
            <w:tcW w:w="1120" w:type="dxa"/>
            <w:vAlign w:val="top"/>
            <w:tcBorders>
              <w:bottom w:val="single" w:color="000000" w:sz="4" w:space="0"/>
            </w:tcBorders>
          </w:tcPr>
          <w:p>
            <w:pPr>
              <w:pStyle w:val="TableText"/>
              <w:ind w:left="88"/>
              <w:spacing w:before="47" w:line="219" w:lineRule="auto"/>
              <w:rPr>
                <w:sz w:val="16"/>
                <w:szCs w:val="16"/>
              </w:rPr>
            </w:pPr>
            <w:r>
              <w:rPr>
                <w:sz w:val="16"/>
                <w:szCs w:val="16"/>
                <w:spacing w:val="-1"/>
              </w:rPr>
              <w:t>2007—2012年</w:t>
            </w:r>
          </w:p>
        </w:tc>
        <w:tc>
          <w:tcPr>
            <w:tcW w:w="1120" w:type="dxa"/>
            <w:vAlign w:val="top"/>
            <w:tcBorders>
              <w:bottom w:val="single" w:color="000000" w:sz="4" w:space="0"/>
            </w:tcBorders>
          </w:tcPr>
          <w:p>
            <w:pPr>
              <w:pStyle w:val="TableText"/>
              <w:ind w:left="88"/>
              <w:spacing w:before="47" w:line="219" w:lineRule="auto"/>
              <w:rPr>
                <w:sz w:val="16"/>
                <w:szCs w:val="16"/>
              </w:rPr>
            </w:pPr>
            <w:r>
              <w:rPr>
                <w:sz w:val="16"/>
                <w:szCs w:val="16"/>
                <w:spacing w:val="-1"/>
              </w:rPr>
              <w:t>2012—2018年</w:t>
            </w:r>
          </w:p>
        </w:tc>
        <w:tc>
          <w:tcPr>
            <w:tcW w:w="1357" w:type="dxa"/>
            <w:vAlign w:val="top"/>
            <w:vMerge w:val="continue"/>
            <w:tcBorders>
              <w:bottom w:val="single" w:color="000000" w:sz="4" w:space="0"/>
              <w:top w:val="nil"/>
            </w:tcBorders>
          </w:tcPr>
          <w:p>
            <w:pPr>
              <w:rPr>
                <w:rFonts w:ascii="Arial"/>
                <w:sz w:val="21"/>
              </w:rPr>
            </w:pPr>
            <w:r/>
          </w:p>
        </w:tc>
      </w:tr>
      <w:tr>
        <w:trPr>
          <w:trHeight w:val="339" w:hRule="atLeast"/>
        </w:trPr>
        <w:tc>
          <w:tcPr>
            <w:tcW w:w="1243" w:type="dxa"/>
            <w:vAlign w:val="top"/>
            <w:tcBorders>
              <w:top w:val="single" w:color="000000" w:sz="4" w:space="0"/>
            </w:tcBorders>
          </w:tcPr>
          <w:p>
            <w:pPr>
              <w:pStyle w:val="TableText"/>
              <w:ind w:left="132"/>
              <w:spacing w:before="105" w:line="220" w:lineRule="auto"/>
              <w:rPr>
                <w:sz w:val="16"/>
                <w:szCs w:val="16"/>
              </w:rPr>
            </w:pPr>
            <w:r>
              <w:rPr>
                <w:sz w:val="16"/>
                <w:szCs w:val="16"/>
                <w:b/>
                <w:bCs/>
                <w:spacing w:val="-3"/>
              </w:rPr>
              <w:t>整体经济</w:t>
            </w:r>
          </w:p>
        </w:tc>
        <w:tc>
          <w:tcPr>
            <w:tcW w:w="840" w:type="dxa"/>
            <w:vAlign w:val="top"/>
            <w:tcBorders>
              <w:top w:val="single" w:color="000000" w:sz="4" w:space="0"/>
            </w:tcBorders>
          </w:tcPr>
          <w:p>
            <w:pPr>
              <w:pStyle w:val="TableText"/>
              <w:ind w:left="207"/>
              <w:spacing w:before="148" w:line="184" w:lineRule="auto"/>
              <w:rPr>
                <w:sz w:val="16"/>
                <w:szCs w:val="16"/>
              </w:rPr>
            </w:pPr>
            <w:r>
              <w:rPr>
                <w:sz w:val="16"/>
                <w:szCs w:val="16"/>
                <w:spacing w:val="-3"/>
              </w:rPr>
              <w:t>15176</w:t>
            </w:r>
          </w:p>
        </w:tc>
        <w:tc>
          <w:tcPr>
            <w:tcW w:w="1006" w:type="dxa"/>
            <w:vAlign w:val="top"/>
            <w:tcBorders>
              <w:top w:val="single" w:color="000000" w:sz="4" w:space="0"/>
            </w:tcBorders>
          </w:tcPr>
          <w:p>
            <w:pPr>
              <w:pStyle w:val="TableText"/>
              <w:ind w:left="247"/>
              <w:spacing w:before="158" w:line="183" w:lineRule="auto"/>
              <w:rPr>
                <w:sz w:val="16"/>
                <w:szCs w:val="16"/>
              </w:rPr>
            </w:pPr>
            <w:r>
              <w:rPr>
                <w:sz w:val="16"/>
                <w:szCs w:val="16"/>
                <w:spacing w:val="-2"/>
              </w:rPr>
              <w:t>28567</w:t>
            </w:r>
          </w:p>
        </w:tc>
        <w:tc>
          <w:tcPr>
            <w:tcW w:w="798" w:type="dxa"/>
            <w:vAlign w:val="top"/>
            <w:tcBorders>
              <w:top w:val="single" w:color="000000" w:sz="4" w:space="0"/>
            </w:tcBorders>
          </w:tcPr>
          <w:p>
            <w:pPr>
              <w:pStyle w:val="TableText"/>
              <w:ind w:left="151"/>
              <w:spacing w:before="157" w:line="184" w:lineRule="auto"/>
              <w:rPr>
                <w:sz w:val="16"/>
                <w:szCs w:val="16"/>
              </w:rPr>
            </w:pPr>
            <w:r>
              <w:rPr>
                <w:sz w:val="16"/>
                <w:szCs w:val="16"/>
                <w:spacing w:val="-1"/>
              </w:rPr>
              <w:t>46241</w:t>
            </w:r>
          </w:p>
        </w:tc>
        <w:tc>
          <w:tcPr>
            <w:tcW w:w="885" w:type="dxa"/>
            <w:vAlign w:val="top"/>
            <w:tcBorders>
              <w:top w:val="single" w:color="000000" w:sz="4" w:space="0"/>
            </w:tcBorders>
          </w:tcPr>
          <w:p>
            <w:pPr>
              <w:pStyle w:val="TableText"/>
              <w:ind w:left="262"/>
              <w:spacing w:before="148" w:line="184" w:lineRule="auto"/>
              <w:rPr>
                <w:sz w:val="16"/>
                <w:szCs w:val="16"/>
              </w:rPr>
            </w:pPr>
            <w:r>
              <w:rPr>
                <w:sz w:val="16"/>
                <w:szCs w:val="16"/>
                <w:spacing w:val="-2"/>
              </w:rPr>
              <w:t>70531</w:t>
            </w:r>
          </w:p>
        </w:tc>
        <w:tc>
          <w:tcPr>
            <w:tcW w:w="1230" w:type="dxa"/>
            <w:vAlign w:val="top"/>
            <w:tcBorders>
              <w:top w:val="single" w:color="000000" w:sz="4" w:space="0"/>
            </w:tcBorders>
          </w:tcPr>
          <w:p>
            <w:pPr>
              <w:pStyle w:val="TableText"/>
              <w:ind w:left="498"/>
              <w:spacing w:before="148" w:line="184" w:lineRule="auto"/>
              <w:rPr>
                <w:sz w:val="16"/>
                <w:szCs w:val="16"/>
              </w:rPr>
            </w:pPr>
            <w:r>
              <w:rPr>
                <w:sz w:val="16"/>
                <w:szCs w:val="16"/>
                <w:spacing w:val="-4"/>
              </w:rPr>
              <w:t>11.1</w:t>
            </w:r>
          </w:p>
        </w:tc>
        <w:tc>
          <w:tcPr>
            <w:tcW w:w="1120" w:type="dxa"/>
            <w:vAlign w:val="top"/>
            <w:tcBorders>
              <w:top w:val="single" w:color="000000" w:sz="4" w:space="0"/>
            </w:tcBorders>
          </w:tcPr>
          <w:p>
            <w:pPr>
              <w:pStyle w:val="TableText"/>
              <w:ind w:left="468"/>
              <w:spacing w:before="168" w:line="184" w:lineRule="auto"/>
              <w:rPr>
                <w:sz w:val="16"/>
                <w:szCs w:val="16"/>
              </w:rPr>
            </w:pPr>
            <w:r>
              <w:rPr>
                <w:sz w:val="16"/>
                <w:szCs w:val="16"/>
                <w:spacing w:val="-4"/>
              </w:rPr>
              <w:t>10.1</w:t>
            </w:r>
          </w:p>
        </w:tc>
        <w:tc>
          <w:tcPr>
            <w:tcW w:w="1120" w:type="dxa"/>
            <w:vAlign w:val="top"/>
            <w:tcBorders>
              <w:top w:val="single" w:color="000000" w:sz="4" w:space="0"/>
            </w:tcBorders>
          </w:tcPr>
          <w:p>
            <w:pPr>
              <w:pStyle w:val="TableText"/>
              <w:ind w:left="568"/>
              <w:spacing w:before="148" w:line="183" w:lineRule="auto"/>
              <w:rPr>
                <w:sz w:val="16"/>
                <w:szCs w:val="16"/>
              </w:rPr>
            </w:pPr>
            <w:r>
              <w:rPr>
                <w:sz w:val="16"/>
                <w:szCs w:val="16"/>
                <w:spacing w:val="-3"/>
              </w:rPr>
              <w:t>7.3</w:t>
            </w:r>
          </w:p>
        </w:tc>
        <w:tc>
          <w:tcPr>
            <w:tcW w:w="1357" w:type="dxa"/>
            <w:vAlign w:val="top"/>
            <w:tcBorders>
              <w:top w:val="single" w:color="000000" w:sz="4" w:space="0"/>
            </w:tcBorders>
          </w:tcPr>
          <w:p>
            <w:pPr>
              <w:pStyle w:val="TableText"/>
              <w:ind w:left="638"/>
              <w:spacing w:before="148" w:line="183" w:lineRule="auto"/>
              <w:rPr>
                <w:sz w:val="16"/>
                <w:szCs w:val="16"/>
              </w:rPr>
            </w:pPr>
            <w:r>
              <w:rPr>
                <w:sz w:val="16"/>
                <w:szCs w:val="16"/>
                <w:spacing w:val="-2"/>
              </w:rPr>
              <w:t>9.5</w:t>
            </w:r>
          </w:p>
        </w:tc>
      </w:tr>
      <w:tr>
        <w:trPr>
          <w:trHeight w:val="304" w:hRule="atLeast"/>
        </w:trPr>
        <w:tc>
          <w:tcPr>
            <w:tcW w:w="1243" w:type="dxa"/>
            <w:vAlign w:val="top"/>
          </w:tcPr>
          <w:p>
            <w:pPr>
              <w:pStyle w:val="TableText"/>
              <w:ind w:left="130"/>
              <w:spacing w:before="58" w:line="219" w:lineRule="auto"/>
              <w:rPr>
                <w:sz w:val="16"/>
                <w:szCs w:val="16"/>
              </w:rPr>
            </w:pPr>
            <w:r>
              <w:rPr>
                <w:sz w:val="16"/>
                <w:szCs w:val="16"/>
              </w:rPr>
              <w:t>ICT</w:t>
            </w:r>
            <w:r>
              <w:rPr>
                <w:sz w:val="16"/>
                <w:szCs w:val="16"/>
                <w:spacing w:val="1"/>
              </w:rPr>
              <w:t>生产行业</w:t>
            </w:r>
          </w:p>
        </w:tc>
        <w:tc>
          <w:tcPr>
            <w:tcW w:w="840" w:type="dxa"/>
            <w:vAlign w:val="top"/>
          </w:tcPr>
          <w:p>
            <w:pPr>
              <w:pStyle w:val="TableText"/>
              <w:ind w:left="207"/>
              <w:spacing w:before="129" w:line="184" w:lineRule="auto"/>
              <w:rPr>
                <w:sz w:val="16"/>
                <w:szCs w:val="16"/>
              </w:rPr>
            </w:pPr>
            <w:r>
              <w:rPr>
                <w:sz w:val="16"/>
                <w:szCs w:val="16"/>
                <w:spacing w:val="-2"/>
              </w:rPr>
              <w:t>65312</w:t>
            </w:r>
          </w:p>
        </w:tc>
        <w:tc>
          <w:tcPr>
            <w:tcW w:w="1006" w:type="dxa"/>
            <w:vAlign w:val="top"/>
          </w:tcPr>
          <w:p>
            <w:pPr>
              <w:pStyle w:val="TableText"/>
              <w:ind w:left="207"/>
              <w:spacing w:before="109" w:line="184" w:lineRule="auto"/>
              <w:rPr>
                <w:sz w:val="16"/>
                <w:szCs w:val="16"/>
              </w:rPr>
            </w:pPr>
            <w:r>
              <w:rPr>
                <w:sz w:val="16"/>
                <w:szCs w:val="16"/>
                <w:spacing w:val="-3"/>
              </w:rPr>
              <w:t>118400</w:t>
            </w:r>
          </w:p>
        </w:tc>
        <w:tc>
          <w:tcPr>
            <w:tcW w:w="798" w:type="dxa"/>
            <w:vAlign w:val="top"/>
          </w:tcPr>
          <w:p>
            <w:pPr>
              <w:pStyle w:val="TableText"/>
              <w:ind w:left="110"/>
              <w:spacing w:before="109" w:line="184" w:lineRule="auto"/>
              <w:rPr>
                <w:sz w:val="16"/>
                <w:szCs w:val="16"/>
              </w:rPr>
            </w:pPr>
            <w:r>
              <w:rPr>
                <w:sz w:val="16"/>
                <w:szCs w:val="16"/>
                <w:spacing w:val="-2"/>
              </w:rPr>
              <w:t>200321</w:t>
            </w:r>
          </w:p>
        </w:tc>
        <w:tc>
          <w:tcPr>
            <w:tcW w:w="885" w:type="dxa"/>
            <w:vAlign w:val="top"/>
          </w:tcPr>
          <w:p>
            <w:pPr>
              <w:pStyle w:val="TableText"/>
              <w:ind w:left="223"/>
              <w:spacing w:before="109" w:line="183" w:lineRule="auto"/>
              <w:rPr>
                <w:sz w:val="16"/>
                <w:szCs w:val="16"/>
              </w:rPr>
            </w:pPr>
            <w:r>
              <w:rPr>
                <w:sz w:val="16"/>
                <w:szCs w:val="16"/>
                <w:spacing w:val="-2"/>
              </w:rPr>
              <w:t>383395</w:t>
            </w:r>
          </w:p>
        </w:tc>
        <w:tc>
          <w:tcPr>
            <w:tcW w:w="1230" w:type="dxa"/>
            <w:vAlign w:val="top"/>
          </w:tcPr>
          <w:p>
            <w:pPr>
              <w:pStyle w:val="TableText"/>
              <w:ind w:left="498"/>
              <w:spacing w:before="109" w:line="184" w:lineRule="auto"/>
              <w:rPr>
                <w:sz w:val="16"/>
                <w:szCs w:val="16"/>
              </w:rPr>
            </w:pPr>
            <w:r>
              <w:rPr>
                <w:sz w:val="16"/>
                <w:szCs w:val="16"/>
                <w:spacing w:val="-4"/>
              </w:rPr>
              <w:t>10.4</w:t>
            </w:r>
          </w:p>
        </w:tc>
        <w:tc>
          <w:tcPr>
            <w:tcW w:w="1120" w:type="dxa"/>
            <w:vAlign w:val="top"/>
          </w:tcPr>
          <w:p>
            <w:pPr>
              <w:pStyle w:val="TableText"/>
              <w:ind w:left="468"/>
              <w:spacing w:before="129" w:line="184" w:lineRule="auto"/>
              <w:rPr>
                <w:sz w:val="16"/>
                <w:szCs w:val="16"/>
              </w:rPr>
            </w:pPr>
            <w:r>
              <w:rPr>
                <w:sz w:val="16"/>
                <w:szCs w:val="16"/>
                <w:spacing w:val="-4"/>
              </w:rPr>
              <w:t>11.1</w:t>
            </w:r>
          </w:p>
        </w:tc>
        <w:tc>
          <w:tcPr>
            <w:tcW w:w="1120" w:type="dxa"/>
            <w:vAlign w:val="top"/>
          </w:tcPr>
          <w:p>
            <w:pPr>
              <w:pStyle w:val="TableText"/>
              <w:ind w:left="527"/>
              <w:spacing w:before="109" w:line="184" w:lineRule="auto"/>
              <w:rPr>
                <w:sz w:val="16"/>
                <w:szCs w:val="16"/>
              </w:rPr>
            </w:pPr>
            <w:r>
              <w:rPr>
                <w:sz w:val="16"/>
                <w:szCs w:val="16"/>
                <w:spacing w:val="-4"/>
              </w:rPr>
              <w:t>11.4</w:t>
            </w:r>
          </w:p>
        </w:tc>
        <w:tc>
          <w:tcPr>
            <w:tcW w:w="1357" w:type="dxa"/>
            <w:vAlign w:val="top"/>
          </w:tcPr>
          <w:p>
            <w:pPr>
              <w:pStyle w:val="TableText"/>
              <w:ind w:left="598"/>
              <w:spacing w:before="109" w:line="184" w:lineRule="auto"/>
              <w:rPr>
                <w:sz w:val="16"/>
                <w:szCs w:val="16"/>
              </w:rPr>
            </w:pPr>
            <w:r>
              <w:rPr>
                <w:sz w:val="16"/>
                <w:szCs w:val="16"/>
                <w:spacing w:val="-4"/>
              </w:rPr>
              <w:t>11.0</w:t>
            </w:r>
          </w:p>
        </w:tc>
      </w:tr>
      <w:tr>
        <w:trPr>
          <w:trHeight w:val="534" w:hRule="atLeast"/>
        </w:trPr>
        <w:tc>
          <w:tcPr>
            <w:tcW w:w="1243" w:type="dxa"/>
            <w:vAlign w:val="top"/>
          </w:tcPr>
          <w:p>
            <w:pPr>
              <w:pStyle w:val="TableText"/>
              <w:ind w:left="130" w:right="213"/>
              <w:spacing w:before="63" w:line="255"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制造业</w:t>
            </w:r>
          </w:p>
        </w:tc>
        <w:tc>
          <w:tcPr>
            <w:tcW w:w="840" w:type="dxa"/>
            <w:vAlign w:val="top"/>
          </w:tcPr>
          <w:p>
            <w:pPr>
              <w:pStyle w:val="TableText"/>
              <w:ind w:left="207"/>
              <w:spacing w:before="215" w:line="183" w:lineRule="auto"/>
              <w:rPr>
                <w:sz w:val="16"/>
                <w:szCs w:val="16"/>
              </w:rPr>
            </w:pPr>
            <w:r>
              <w:rPr>
                <w:sz w:val="16"/>
                <w:szCs w:val="16"/>
                <w:spacing w:val="-1"/>
              </w:rPr>
              <w:t>45946</w:t>
            </w:r>
          </w:p>
        </w:tc>
        <w:tc>
          <w:tcPr>
            <w:tcW w:w="1006" w:type="dxa"/>
            <w:vAlign w:val="top"/>
          </w:tcPr>
          <w:p>
            <w:pPr>
              <w:pStyle w:val="TableText"/>
              <w:ind w:left="247"/>
              <w:spacing w:before="215" w:line="183" w:lineRule="auto"/>
              <w:rPr>
                <w:sz w:val="16"/>
                <w:szCs w:val="16"/>
              </w:rPr>
            </w:pPr>
            <w:r>
              <w:rPr>
                <w:sz w:val="16"/>
                <w:szCs w:val="16"/>
                <w:spacing w:val="-2"/>
              </w:rPr>
              <w:t>83938</w:t>
            </w:r>
          </w:p>
        </w:tc>
        <w:tc>
          <w:tcPr>
            <w:tcW w:w="798" w:type="dxa"/>
            <w:vAlign w:val="top"/>
          </w:tcPr>
          <w:p>
            <w:pPr>
              <w:pStyle w:val="TableText"/>
              <w:ind w:left="110"/>
              <w:spacing w:before="225" w:line="184" w:lineRule="auto"/>
              <w:rPr>
                <w:sz w:val="16"/>
                <w:szCs w:val="16"/>
              </w:rPr>
            </w:pPr>
            <w:r>
              <w:rPr>
                <w:sz w:val="16"/>
                <w:szCs w:val="16"/>
                <w:spacing w:val="-3"/>
              </w:rPr>
              <w:t>128532</w:t>
            </w:r>
          </w:p>
        </w:tc>
        <w:tc>
          <w:tcPr>
            <w:tcW w:w="885" w:type="dxa"/>
            <w:vAlign w:val="top"/>
          </w:tcPr>
          <w:p>
            <w:pPr>
              <w:pStyle w:val="TableText"/>
              <w:ind w:left="223"/>
              <w:spacing w:before="225" w:line="184" w:lineRule="auto"/>
              <w:rPr>
                <w:sz w:val="16"/>
                <w:szCs w:val="16"/>
              </w:rPr>
            </w:pPr>
            <w:r>
              <w:rPr>
                <w:sz w:val="16"/>
                <w:szCs w:val="16"/>
                <w:spacing w:val="-2"/>
              </w:rPr>
              <w:t>210507</w:t>
            </w:r>
          </w:p>
        </w:tc>
        <w:tc>
          <w:tcPr>
            <w:tcW w:w="1230" w:type="dxa"/>
            <w:vAlign w:val="top"/>
          </w:tcPr>
          <w:p>
            <w:pPr>
              <w:pStyle w:val="TableText"/>
              <w:ind w:left="498"/>
              <w:spacing w:before="235" w:line="184" w:lineRule="auto"/>
              <w:rPr>
                <w:sz w:val="16"/>
                <w:szCs w:val="16"/>
              </w:rPr>
            </w:pPr>
            <w:r>
              <w:rPr>
                <w:sz w:val="16"/>
                <w:szCs w:val="16"/>
                <w:spacing w:val="-4"/>
              </w:rPr>
              <w:t>10.6</w:t>
            </w:r>
          </w:p>
        </w:tc>
        <w:tc>
          <w:tcPr>
            <w:tcW w:w="1120" w:type="dxa"/>
            <w:vAlign w:val="top"/>
          </w:tcPr>
          <w:p>
            <w:pPr>
              <w:pStyle w:val="TableText"/>
              <w:ind w:left="508"/>
              <w:spacing w:before="225" w:line="183" w:lineRule="auto"/>
              <w:rPr>
                <w:sz w:val="16"/>
                <w:szCs w:val="16"/>
              </w:rPr>
            </w:pPr>
            <w:r>
              <w:rPr>
                <w:sz w:val="16"/>
                <w:szCs w:val="16"/>
                <w:spacing w:val="-2"/>
              </w:rPr>
              <w:t>8.9</w:t>
            </w:r>
          </w:p>
        </w:tc>
        <w:tc>
          <w:tcPr>
            <w:tcW w:w="1120" w:type="dxa"/>
            <w:vAlign w:val="top"/>
          </w:tcPr>
          <w:p>
            <w:pPr>
              <w:pStyle w:val="TableText"/>
              <w:ind w:left="568"/>
              <w:spacing w:before="225" w:line="183" w:lineRule="auto"/>
              <w:rPr>
                <w:sz w:val="16"/>
                <w:szCs w:val="16"/>
              </w:rPr>
            </w:pPr>
            <w:r>
              <w:rPr>
                <w:sz w:val="16"/>
                <w:szCs w:val="16"/>
                <w:spacing w:val="-2"/>
              </w:rPr>
              <w:t>8.6</w:t>
            </w:r>
          </w:p>
        </w:tc>
        <w:tc>
          <w:tcPr>
            <w:tcW w:w="1357" w:type="dxa"/>
            <w:vAlign w:val="top"/>
          </w:tcPr>
          <w:p>
            <w:pPr>
              <w:pStyle w:val="TableText"/>
              <w:ind w:left="638"/>
              <w:spacing w:before="225" w:line="183" w:lineRule="auto"/>
              <w:rPr>
                <w:sz w:val="16"/>
                <w:szCs w:val="16"/>
              </w:rPr>
            </w:pPr>
            <w:r>
              <w:rPr>
                <w:sz w:val="16"/>
                <w:szCs w:val="16"/>
                <w:spacing w:val="-2"/>
              </w:rPr>
              <w:t>9.4</w:t>
            </w:r>
          </w:p>
        </w:tc>
      </w:tr>
      <w:tr>
        <w:trPr>
          <w:trHeight w:val="534" w:hRule="atLeast"/>
        </w:trPr>
        <w:tc>
          <w:tcPr>
            <w:tcW w:w="1243" w:type="dxa"/>
            <w:vAlign w:val="top"/>
          </w:tcPr>
          <w:p>
            <w:pPr>
              <w:pStyle w:val="TableText"/>
              <w:ind w:left="130" w:right="213"/>
              <w:spacing w:before="70" w:line="248"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服务业</w:t>
            </w:r>
          </w:p>
        </w:tc>
        <w:tc>
          <w:tcPr>
            <w:tcW w:w="840" w:type="dxa"/>
            <w:vAlign w:val="top"/>
          </w:tcPr>
          <w:p>
            <w:pPr>
              <w:pStyle w:val="TableText"/>
              <w:ind w:left="207"/>
              <w:spacing w:before="220" w:line="184" w:lineRule="auto"/>
              <w:rPr>
                <w:sz w:val="16"/>
                <w:szCs w:val="16"/>
              </w:rPr>
            </w:pPr>
            <w:r>
              <w:rPr>
                <w:sz w:val="16"/>
                <w:szCs w:val="16"/>
                <w:spacing w:val="-2"/>
              </w:rPr>
              <w:t>28413</w:t>
            </w:r>
          </w:p>
        </w:tc>
        <w:tc>
          <w:tcPr>
            <w:tcW w:w="1006" w:type="dxa"/>
            <w:vAlign w:val="top"/>
          </w:tcPr>
          <w:p>
            <w:pPr>
              <w:pStyle w:val="TableText"/>
              <w:ind w:left="247"/>
              <w:spacing w:before="231" w:line="183" w:lineRule="auto"/>
              <w:rPr>
                <w:sz w:val="16"/>
                <w:szCs w:val="16"/>
              </w:rPr>
            </w:pPr>
            <w:r>
              <w:rPr>
                <w:sz w:val="16"/>
                <w:szCs w:val="16"/>
                <w:spacing w:val="-2"/>
              </w:rPr>
              <w:t>53434</w:t>
            </w:r>
          </w:p>
        </w:tc>
        <w:tc>
          <w:tcPr>
            <w:tcW w:w="798" w:type="dxa"/>
            <w:vAlign w:val="top"/>
          </w:tcPr>
          <w:p>
            <w:pPr>
              <w:pStyle w:val="TableText"/>
              <w:ind w:left="151"/>
              <w:spacing w:before="231" w:line="183" w:lineRule="auto"/>
              <w:rPr>
                <w:sz w:val="16"/>
                <w:szCs w:val="16"/>
              </w:rPr>
            </w:pPr>
            <w:r>
              <w:rPr>
                <w:sz w:val="16"/>
                <w:szCs w:val="16"/>
                <w:spacing w:val="-2"/>
              </w:rPr>
              <w:t>85728</w:t>
            </w:r>
          </w:p>
        </w:tc>
        <w:tc>
          <w:tcPr>
            <w:tcW w:w="885" w:type="dxa"/>
            <w:vAlign w:val="top"/>
          </w:tcPr>
          <w:p>
            <w:pPr>
              <w:pStyle w:val="TableText"/>
              <w:ind w:left="223"/>
              <w:spacing w:before="231" w:line="184" w:lineRule="auto"/>
              <w:rPr>
                <w:sz w:val="16"/>
                <w:szCs w:val="16"/>
              </w:rPr>
            </w:pPr>
            <w:r>
              <w:rPr>
                <w:sz w:val="16"/>
                <w:szCs w:val="16"/>
                <w:spacing w:val="-3"/>
              </w:rPr>
              <w:t>109157</w:t>
            </w:r>
          </w:p>
        </w:tc>
        <w:tc>
          <w:tcPr>
            <w:tcW w:w="1230" w:type="dxa"/>
            <w:vAlign w:val="top"/>
          </w:tcPr>
          <w:p>
            <w:pPr>
              <w:pStyle w:val="TableText"/>
              <w:ind w:left="498"/>
              <w:spacing w:before="250" w:line="184" w:lineRule="auto"/>
              <w:rPr>
                <w:sz w:val="16"/>
                <w:szCs w:val="16"/>
              </w:rPr>
            </w:pPr>
            <w:r>
              <w:rPr>
                <w:sz w:val="16"/>
                <w:szCs w:val="16"/>
                <w:spacing w:val="-4"/>
              </w:rPr>
              <w:t>11.1</w:t>
            </w:r>
          </w:p>
        </w:tc>
        <w:tc>
          <w:tcPr>
            <w:tcW w:w="1120" w:type="dxa"/>
            <w:vAlign w:val="top"/>
          </w:tcPr>
          <w:p>
            <w:pPr>
              <w:pStyle w:val="TableText"/>
              <w:ind w:left="508"/>
              <w:spacing w:before="231" w:line="183" w:lineRule="auto"/>
              <w:rPr>
                <w:sz w:val="16"/>
                <w:szCs w:val="16"/>
              </w:rPr>
            </w:pPr>
            <w:r>
              <w:rPr>
                <w:sz w:val="16"/>
                <w:szCs w:val="16"/>
                <w:spacing w:val="-2"/>
              </w:rPr>
              <w:t>9.9</w:t>
            </w:r>
          </w:p>
        </w:tc>
        <w:tc>
          <w:tcPr>
            <w:tcW w:w="1120" w:type="dxa"/>
            <w:vAlign w:val="top"/>
          </w:tcPr>
          <w:p>
            <w:pPr>
              <w:pStyle w:val="TableText"/>
              <w:ind w:left="568"/>
              <w:spacing w:before="231" w:line="184" w:lineRule="auto"/>
              <w:rPr>
                <w:sz w:val="16"/>
                <w:szCs w:val="16"/>
              </w:rPr>
            </w:pPr>
            <w:r>
              <w:rPr>
                <w:sz w:val="16"/>
                <w:szCs w:val="16"/>
                <w:spacing w:val="-2"/>
              </w:rPr>
              <w:t>4.1</w:t>
            </w:r>
          </w:p>
        </w:tc>
        <w:tc>
          <w:tcPr>
            <w:tcW w:w="1357" w:type="dxa"/>
            <w:vAlign w:val="top"/>
          </w:tcPr>
          <w:p>
            <w:pPr>
              <w:pStyle w:val="TableText"/>
              <w:ind w:left="638"/>
              <w:spacing w:before="231" w:line="183" w:lineRule="auto"/>
              <w:rPr>
                <w:sz w:val="16"/>
                <w:szCs w:val="16"/>
              </w:rPr>
            </w:pPr>
            <w:r>
              <w:rPr>
                <w:sz w:val="16"/>
                <w:szCs w:val="16"/>
                <w:spacing w:val="-2"/>
              </w:rPr>
              <w:t>8.2</w:t>
            </w:r>
          </w:p>
        </w:tc>
      </w:tr>
      <w:tr>
        <w:trPr>
          <w:trHeight w:val="529" w:hRule="atLeast"/>
        </w:trPr>
        <w:tc>
          <w:tcPr>
            <w:tcW w:w="1243" w:type="dxa"/>
            <w:vAlign w:val="top"/>
          </w:tcPr>
          <w:p>
            <w:pPr>
              <w:pStyle w:val="TableText"/>
              <w:ind w:left="130" w:right="241"/>
              <w:spacing w:before="76" w:line="249" w:lineRule="auto"/>
              <w:rPr>
                <w:sz w:val="16"/>
                <w:szCs w:val="16"/>
              </w:rPr>
            </w:pPr>
            <w:r>
              <w:rPr>
                <w:sz w:val="16"/>
                <w:szCs w:val="16"/>
                <w:spacing w:val="-2"/>
              </w:rPr>
              <w:t>非ICT集约使</w:t>
            </w:r>
            <w:r>
              <w:rPr>
                <w:sz w:val="16"/>
                <w:szCs w:val="16"/>
                <w:spacing w:val="4"/>
              </w:rPr>
              <w:t xml:space="preserve"> </w:t>
            </w:r>
            <w:r>
              <w:rPr>
                <w:sz w:val="16"/>
                <w:szCs w:val="16"/>
                <w:spacing w:val="-2"/>
              </w:rPr>
              <w:t>用制造业</w:t>
            </w:r>
          </w:p>
        </w:tc>
        <w:tc>
          <w:tcPr>
            <w:tcW w:w="840" w:type="dxa"/>
            <w:vAlign w:val="top"/>
          </w:tcPr>
          <w:p>
            <w:pPr>
              <w:pStyle w:val="TableText"/>
              <w:ind w:left="207"/>
              <w:spacing w:before="237" w:line="184" w:lineRule="auto"/>
              <w:rPr>
                <w:sz w:val="16"/>
                <w:szCs w:val="16"/>
              </w:rPr>
            </w:pPr>
            <w:r>
              <w:rPr>
                <w:sz w:val="16"/>
                <w:szCs w:val="16"/>
                <w:spacing w:val="-2"/>
              </w:rPr>
              <w:t>31139</w:t>
            </w:r>
          </w:p>
        </w:tc>
        <w:tc>
          <w:tcPr>
            <w:tcW w:w="1006" w:type="dxa"/>
            <w:vAlign w:val="top"/>
          </w:tcPr>
          <w:p>
            <w:pPr>
              <w:pStyle w:val="TableText"/>
              <w:ind w:left="247"/>
              <w:spacing w:before="237" w:line="184" w:lineRule="auto"/>
              <w:rPr>
                <w:sz w:val="16"/>
                <w:szCs w:val="16"/>
              </w:rPr>
            </w:pPr>
            <w:r>
              <w:rPr>
                <w:sz w:val="16"/>
                <w:szCs w:val="16"/>
                <w:spacing w:val="-2"/>
              </w:rPr>
              <w:t>51571</w:t>
            </w:r>
          </w:p>
        </w:tc>
        <w:tc>
          <w:tcPr>
            <w:tcW w:w="798" w:type="dxa"/>
            <w:vAlign w:val="top"/>
          </w:tcPr>
          <w:p>
            <w:pPr>
              <w:pStyle w:val="TableText"/>
              <w:ind w:left="151"/>
              <w:spacing w:before="237" w:line="183" w:lineRule="auto"/>
              <w:rPr>
                <w:sz w:val="16"/>
                <w:szCs w:val="16"/>
              </w:rPr>
            </w:pPr>
            <w:r>
              <w:rPr>
                <w:sz w:val="16"/>
                <w:szCs w:val="16"/>
                <w:spacing w:val="-2"/>
              </w:rPr>
              <w:t>77437</w:t>
            </w:r>
          </w:p>
        </w:tc>
        <w:tc>
          <w:tcPr>
            <w:tcW w:w="885" w:type="dxa"/>
            <w:vAlign w:val="top"/>
          </w:tcPr>
          <w:p>
            <w:pPr>
              <w:pStyle w:val="TableText"/>
              <w:ind w:left="223"/>
              <w:spacing w:before="226" w:line="184" w:lineRule="auto"/>
              <w:rPr>
                <w:sz w:val="16"/>
                <w:szCs w:val="16"/>
              </w:rPr>
            </w:pPr>
            <w:r>
              <w:rPr>
                <w:sz w:val="16"/>
                <w:szCs w:val="16"/>
                <w:spacing w:val="-3"/>
              </w:rPr>
              <w:t>137204</w:t>
            </w:r>
          </w:p>
        </w:tc>
        <w:tc>
          <w:tcPr>
            <w:tcW w:w="1230" w:type="dxa"/>
            <w:vAlign w:val="top"/>
          </w:tcPr>
          <w:p>
            <w:pPr>
              <w:pStyle w:val="TableText"/>
              <w:ind w:left="537"/>
              <w:spacing w:before="237" w:line="183" w:lineRule="auto"/>
              <w:rPr>
                <w:sz w:val="16"/>
                <w:szCs w:val="16"/>
              </w:rPr>
            </w:pPr>
            <w:r>
              <w:rPr>
                <w:sz w:val="16"/>
                <w:szCs w:val="16"/>
                <w:spacing w:val="-2"/>
              </w:rPr>
              <w:t>8.8</w:t>
            </w:r>
          </w:p>
        </w:tc>
        <w:tc>
          <w:tcPr>
            <w:tcW w:w="1120" w:type="dxa"/>
            <w:vAlign w:val="top"/>
          </w:tcPr>
          <w:p>
            <w:pPr>
              <w:pStyle w:val="TableText"/>
              <w:ind w:left="508"/>
              <w:spacing w:before="237" w:line="183" w:lineRule="auto"/>
              <w:rPr>
                <w:sz w:val="16"/>
                <w:szCs w:val="16"/>
              </w:rPr>
            </w:pPr>
            <w:r>
              <w:rPr>
                <w:sz w:val="16"/>
                <w:szCs w:val="16"/>
                <w:spacing w:val="-2"/>
              </w:rPr>
              <w:t>8.5</w:t>
            </w:r>
          </w:p>
        </w:tc>
        <w:tc>
          <w:tcPr>
            <w:tcW w:w="1120" w:type="dxa"/>
            <w:vAlign w:val="top"/>
          </w:tcPr>
          <w:p>
            <w:pPr>
              <w:pStyle w:val="TableText"/>
              <w:ind w:left="527"/>
              <w:spacing w:before="237" w:line="184" w:lineRule="auto"/>
              <w:rPr>
                <w:sz w:val="16"/>
                <w:szCs w:val="16"/>
              </w:rPr>
            </w:pPr>
            <w:r>
              <w:rPr>
                <w:sz w:val="16"/>
                <w:szCs w:val="16"/>
                <w:spacing w:val="-4"/>
              </w:rPr>
              <w:t>10.0</w:t>
            </w:r>
          </w:p>
        </w:tc>
        <w:tc>
          <w:tcPr>
            <w:tcW w:w="1357" w:type="dxa"/>
            <w:vAlign w:val="top"/>
          </w:tcPr>
          <w:p>
            <w:pPr>
              <w:pStyle w:val="TableText"/>
              <w:ind w:left="638"/>
              <w:spacing w:before="237" w:line="184" w:lineRule="auto"/>
              <w:rPr>
                <w:sz w:val="16"/>
                <w:szCs w:val="16"/>
              </w:rPr>
            </w:pPr>
            <w:r>
              <w:rPr>
                <w:sz w:val="16"/>
                <w:szCs w:val="16"/>
                <w:spacing w:val="-2"/>
              </w:rPr>
              <w:t>9.1</w:t>
            </w:r>
          </w:p>
        </w:tc>
      </w:tr>
      <w:tr>
        <w:trPr>
          <w:trHeight w:val="535" w:hRule="atLeast"/>
        </w:trPr>
        <w:tc>
          <w:tcPr>
            <w:tcW w:w="1243" w:type="dxa"/>
            <w:vAlign w:val="top"/>
          </w:tcPr>
          <w:p>
            <w:pPr>
              <w:pStyle w:val="TableText"/>
              <w:ind w:left="130" w:right="241"/>
              <w:spacing w:before="67" w:line="254" w:lineRule="auto"/>
              <w:rPr>
                <w:sz w:val="16"/>
                <w:szCs w:val="16"/>
              </w:rPr>
            </w:pPr>
            <w:r>
              <w:rPr>
                <w:sz w:val="16"/>
                <w:szCs w:val="16"/>
                <w:spacing w:val="-2"/>
              </w:rPr>
              <w:t>非ICT集约使</w:t>
            </w:r>
            <w:r>
              <w:rPr>
                <w:sz w:val="16"/>
                <w:szCs w:val="16"/>
                <w:spacing w:val="4"/>
              </w:rPr>
              <w:t xml:space="preserve"> </w:t>
            </w:r>
            <w:r>
              <w:rPr>
                <w:sz w:val="16"/>
                <w:szCs w:val="16"/>
                <w:spacing w:val="-2"/>
              </w:rPr>
              <w:t>用服务业</w:t>
            </w:r>
          </w:p>
        </w:tc>
        <w:tc>
          <w:tcPr>
            <w:tcW w:w="840" w:type="dxa"/>
            <w:vAlign w:val="top"/>
          </w:tcPr>
          <w:p>
            <w:pPr>
              <w:pStyle w:val="TableText"/>
              <w:ind w:left="207"/>
              <w:spacing w:before="238" w:line="183" w:lineRule="auto"/>
              <w:rPr>
                <w:sz w:val="16"/>
                <w:szCs w:val="16"/>
              </w:rPr>
            </w:pPr>
            <w:r>
              <w:rPr>
                <w:sz w:val="16"/>
                <w:szCs w:val="16"/>
                <w:spacing w:val="-2"/>
              </w:rPr>
              <w:t>20769</w:t>
            </w:r>
          </w:p>
        </w:tc>
        <w:tc>
          <w:tcPr>
            <w:tcW w:w="1006" w:type="dxa"/>
            <w:vAlign w:val="top"/>
          </w:tcPr>
          <w:p>
            <w:pPr>
              <w:pStyle w:val="TableText"/>
              <w:ind w:left="247"/>
              <w:spacing w:before="237" w:line="184" w:lineRule="auto"/>
              <w:rPr>
                <w:sz w:val="16"/>
                <w:szCs w:val="16"/>
              </w:rPr>
            </w:pPr>
            <w:r>
              <w:rPr>
                <w:sz w:val="16"/>
                <w:szCs w:val="16"/>
                <w:spacing w:val="-2"/>
              </w:rPr>
              <w:t>34791</w:t>
            </w:r>
          </w:p>
        </w:tc>
        <w:tc>
          <w:tcPr>
            <w:tcW w:w="798" w:type="dxa"/>
            <w:vAlign w:val="top"/>
          </w:tcPr>
          <w:p>
            <w:pPr>
              <w:pStyle w:val="TableText"/>
              <w:ind w:left="151"/>
              <w:spacing w:before="238" w:line="183" w:lineRule="auto"/>
              <w:rPr>
                <w:sz w:val="16"/>
                <w:szCs w:val="16"/>
              </w:rPr>
            </w:pPr>
            <w:r>
              <w:rPr>
                <w:sz w:val="16"/>
                <w:szCs w:val="16"/>
                <w:spacing w:val="-1"/>
              </w:rPr>
              <w:t>45202</w:t>
            </w:r>
          </w:p>
        </w:tc>
        <w:tc>
          <w:tcPr>
            <w:tcW w:w="885" w:type="dxa"/>
            <w:vAlign w:val="top"/>
          </w:tcPr>
          <w:p>
            <w:pPr>
              <w:pStyle w:val="TableText"/>
              <w:ind w:left="262"/>
              <w:spacing w:before="248" w:line="183" w:lineRule="auto"/>
              <w:rPr>
                <w:sz w:val="16"/>
                <w:szCs w:val="16"/>
              </w:rPr>
            </w:pPr>
            <w:r>
              <w:rPr>
                <w:sz w:val="16"/>
                <w:szCs w:val="16"/>
                <w:spacing w:val="-2"/>
              </w:rPr>
              <w:t>50735</w:t>
            </w:r>
          </w:p>
        </w:tc>
        <w:tc>
          <w:tcPr>
            <w:tcW w:w="1230" w:type="dxa"/>
            <w:vAlign w:val="top"/>
          </w:tcPr>
          <w:p>
            <w:pPr>
              <w:pStyle w:val="TableText"/>
              <w:ind w:left="537"/>
              <w:spacing w:before="248" w:line="183" w:lineRule="auto"/>
              <w:rPr>
                <w:sz w:val="16"/>
                <w:szCs w:val="16"/>
              </w:rPr>
            </w:pPr>
            <w:r>
              <w:rPr>
                <w:sz w:val="16"/>
                <w:szCs w:val="16"/>
                <w:spacing w:val="-2"/>
              </w:rPr>
              <w:t>9.0</w:t>
            </w:r>
          </w:p>
        </w:tc>
        <w:tc>
          <w:tcPr>
            <w:tcW w:w="1120" w:type="dxa"/>
            <w:vAlign w:val="top"/>
          </w:tcPr>
          <w:p>
            <w:pPr>
              <w:pStyle w:val="TableText"/>
              <w:ind w:left="508"/>
              <w:spacing w:before="248" w:line="183" w:lineRule="auto"/>
              <w:rPr>
                <w:sz w:val="16"/>
                <w:szCs w:val="16"/>
              </w:rPr>
            </w:pPr>
            <w:r>
              <w:rPr>
                <w:sz w:val="16"/>
                <w:szCs w:val="16"/>
                <w:spacing w:val="-3"/>
              </w:rPr>
              <w:t>5.4</w:t>
            </w:r>
          </w:p>
        </w:tc>
        <w:tc>
          <w:tcPr>
            <w:tcW w:w="1120" w:type="dxa"/>
            <w:vAlign w:val="top"/>
          </w:tcPr>
          <w:p>
            <w:pPr>
              <w:pStyle w:val="TableText"/>
              <w:ind w:left="568"/>
              <w:spacing w:before="228" w:line="184" w:lineRule="auto"/>
              <w:rPr>
                <w:sz w:val="16"/>
                <w:szCs w:val="16"/>
              </w:rPr>
            </w:pPr>
            <w:r>
              <w:rPr>
                <w:sz w:val="16"/>
                <w:szCs w:val="16"/>
                <w:spacing w:val="-5"/>
              </w:rPr>
              <w:t>1.9</w:t>
            </w:r>
          </w:p>
        </w:tc>
        <w:tc>
          <w:tcPr>
            <w:tcW w:w="1357" w:type="dxa"/>
            <w:vAlign w:val="top"/>
          </w:tcPr>
          <w:p>
            <w:pPr>
              <w:pStyle w:val="TableText"/>
              <w:ind w:left="638"/>
              <w:spacing w:before="248" w:line="183" w:lineRule="auto"/>
              <w:rPr>
                <w:sz w:val="16"/>
                <w:szCs w:val="16"/>
              </w:rPr>
            </w:pPr>
            <w:r>
              <w:rPr>
                <w:sz w:val="16"/>
                <w:szCs w:val="16"/>
                <w:spacing w:val="-3"/>
              </w:rPr>
              <w:t>5.4</w:t>
            </w:r>
          </w:p>
        </w:tc>
      </w:tr>
      <w:tr>
        <w:trPr>
          <w:trHeight w:val="288" w:hRule="atLeast"/>
        </w:trPr>
        <w:tc>
          <w:tcPr>
            <w:tcW w:w="1243" w:type="dxa"/>
            <w:vAlign w:val="top"/>
          </w:tcPr>
          <w:p>
            <w:pPr>
              <w:pStyle w:val="TableText"/>
              <w:ind w:left="130"/>
              <w:spacing w:before="74" w:line="221" w:lineRule="auto"/>
              <w:rPr>
                <w:sz w:val="16"/>
                <w:szCs w:val="16"/>
              </w:rPr>
            </w:pPr>
            <w:r>
              <w:rPr>
                <w:sz w:val="16"/>
                <w:szCs w:val="16"/>
                <w:spacing w:val="-2"/>
              </w:rPr>
              <w:t>农业</w:t>
            </w:r>
          </w:p>
        </w:tc>
        <w:tc>
          <w:tcPr>
            <w:tcW w:w="840" w:type="dxa"/>
            <w:vAlign w:val="top"/>
          </w:tcPr>
          <w:p>
            <w:pPr>
              <w:pStyle w:val="TableText"/>
              <w:ind w:left="246"/>
              <w:spacing w:before="113" w:line="183" w:lineRule="auto"/>
              <w:rPr>
                <w:sz w:val="16"/>
                <w:szCs w:val="16"/>
              </w:rPr>
            </w:pPr>
            <w:r>
              <w:rPr>
                <w:sz w:val="16"/>
                <w:szCs w:val="16"/>
                <w:spacing w:val="-2"/>
              </w:rPr>
              <w:t>4263</w:t>
            </w:r>
          </w:p>
        </w:tc>
        <w:tc>
          <w:tcPr>
            <w:tcW w:w="1006" w:type="dxa"/>
            <w:vAlign w:val="top"/>
          </w:tcPr>
          <w:p>
            <w:pPr>
              <w:pStyle w:val="TableText"/>
              <w:ind w:left="287"/>
              <w:spacing w:before="113" w:line="183" w:lineRule="auto"/>
              <w:rPr>
                <w:sz w:val="16"/>
                <w:szCs w:val="16"/>
              </w:rPr>
            </w:pPr>
            <w:r>
              <w:rPr>
                <w:sz w:val="16"/>
                <w:szCs w:val="16"/>
                <w:spacing w:val="-2"/>
              </w:rPr>
              <w:t>6327</w:t>
            </w:r>
          </w:p>
        </w:tc>
        <w:tc>
          <w:tcPr>
            <w:tcW w:w="798" w:type="dxa"/>
            <w:vAlign w:val="top"/>
          </w:tcPr>
          <w:p>
            <w:pPr>
              <w:pStyle w:val="TableText"/>
              <w:ind w:left="190"/>
              <w:spacing w:before="113" w:line="183" w:lineRule="auto"/>
              <w:rPr>
                <w:sz w:val="16"/>
                <w:szCs w:val="16"/>
              </w:rPr>
            </w:pPr>
            <w:r>
              <w:rPr>
                <w:sz w:val="16"/>
                <w:szCs w:val="16"/>
                <w:spacing w:val="-2"/>
              </w:rPr>
              <w:t>9740</w:t>
            </w:r>
          </w:p>
        </w:tc>
        <w:tc>
          <w:tcPr>
            <w:tcW w:w="885" w:type="dxa"/>
            <w:vAlign w:val="top"/>
          </w:tcPr>
          <w:p>
            <w:pPr>
              <w:pStyle w:val="TableText"/>
              <w:ind w:left="262"/>
              <w:spacing w:before="113" w:line="184" w:lineRule="auto"/>
              <w:rPr>
                <w:sz w:val="16"/>
                <w:szCs w:val="16"/>
              </w:rPr>
            </w:pPr>
            <w:r>
              <w:rPr>
                <w:sz w:val="16"/>
                <w:szCs w:val="16"/>
                <w:spacing w:val="-3"/>
              </w:rPr>
              <w:t>15011</w:t>
            </w:r>
          </w:p>
        </w:tc>
        <w:tc>
          <w:tcPr>
            <w:tcW w:w="1230" w:type="dxa"/>
            <w:vAlign w:val="top"/>
          </w:tcPr>
          <w:p>
            <w:pPr>
              <w:pStyle w:val="TableText"/>
              <w:ind w:left="537"/>
              <w:spacing w:before="123" w:line="178" w:lineRule="auto"/>
              <w:rPr>
                <w:sz w:val="16"/>
                <w:szCs w:val="16"/>
              </w:rPr>
            </w:pPr>
            <w:r>
              <w:rPr>
                <w:sz w:val="16"/>
                <w:szCs w:val="16"/>
                <w:spacing w:val="-2"/>
              </w:rPr>
              <w:t>6.8</w:t>
            </w:r>
          </w:p>
        </w:tc>
        <w:tc>
          <w:tcPr>
            <w:tcW w:w="1120" w:type="dxa"/>
            <w:vAlign w:val="top"/>
          </w:tcPr>
          <w:p>
            <w:pPr>
              <w:pStyle w:val="TableText"/>
              <w:ind w:left="508"/>
              <w:spacing w:before="113" w:line="183" w:lineRule="auto"/>
              <w:rPr>
                <w:sz w:val="16"/>
                <w:szCs w:val="16"/>
              </w:rPr>
            </w:pPr>
            <w:r>
              <w:rPr>
                <w:sz w:val="16"/>
                <w:szCs w:val="16"/>
                <w:spacing w:val="-2"/>
              </w:rPr>
              <w:t>9.0</w:t>
            </w:r>
          </w:p>
        </w:tc>
        <w:tc>
          <w:tcPr>
            <w:tcW w:w="1120" w:type="dxa"/>
            <w:vAlign w:val="top"/>
          </w:tcPr>
          <w:p>
            <w:pPr>
              <w:pStyle w:val="TableText"/>
              <w:ind w:left="568"/>
              <w:spacing w:before="114" w:line="182" w:lineRule="auto"/>
              <w:rPr>
                <w:sz w:val="16"/>
                <w:szCs w:val="16"/>
              </w:rPr>
            </w:pPr>
            <w:r>
              <w:rPr>
                <w:sz w:val="16"/>
                <w:szCs w:val="16"/>
                <w:spacing w:val="-3"/>
              </w:rPr>
              <w:t>7.5</w:t>
            </w:r>
          </w:p>
        </w:tc>
        <w:tc>
          <w:tcPr>
            <w:tcW w:w="1357" w:type="dxa"/>
            <w:vAlign w:val="top"/>
          </w:tcPr>
          <w:p>
            <w:pPr>
              <w:pStyle w:val="TableText"/>
              <w:ind w:left="638"/>
              <w:spacing w:before="114" w:line="182" w:lineRule="auto"/>
              <w:rPr>
                <w:sz w:val="16"/>
                <w:szCs w:val="16"/>
              </w:rPr>
            </w:pPr>
            <w:r>
              <w:rPr>
                <w:sz w:val="16"/>
                <w:szCs w:val="16"/>
                <w:spacing w:val="-3"/>
              </w:rPr>
              <w:t>7.7</w:t>
            </w:r>
          </w:p>
        </w:tc>
      </w:tr>
      <w:tr>
        <w:trPr>
          <w:trHeight w:val="300" w:hRule="atLeast"/>
        </w:trPr>
        <w:tc>
          <w:tcPr>
            <w:tcW w:w="1243" w:type="dxa"/>
            <w:vAlign w:val="top"/>
          </w:tcPr>
          <w:p>
            <w:pPr>
              <w:pStyle w:val="TableText"/>
              <w:ind w:left="130"/>
              <w:spacing w:before="63" w:line="219" w:lineRule="auto"/>
              <w:rPr>
                <w:sz w:val="16"/>
                <w:szCs w:val="16"/>
              </w:rPr>
            </w:pPr>
            <w:r>
              <w:rPr>
                <w:sz w:val="16"/>
                <w:szCs w:val="16"/>
                <w:spacing w:val="-2"/>
              </w:rPr>
              <w:t>采掘业</w:t>
            </w:r>
          </w:p>
        </w:tc>
        <w:tc>
          <w:tcPr>
            <w:tcW w:w="840" w:type="dxa"/>
            <w:vAlign w:val="top"/>
          </w:tcPr>
          <w:p>
            <w:pPr>
              <w:pStyle w:val="TableText"/>
              <w:ind w:left="207"/>
              <w:spacing w:before="124" w:line="184" w:lineRule="auto"/>
              <w:rPr>
                <w:sz w:val="16"/>
                <w:szCs w:val="16"/>
              </w:rPr>
            </w:pPr>
            <w:r>
              <w:rPr>
                <w:sz w:val="16"/>
                <w:szCs w:val="16"/>
                <w:spacing w:val="-1"/>
              </w:rPr>
              <w:t>47155</w:t>
            </w:r>
          </w:p>
        </w:tc>
        <w:tc>
          <w:tcPr>
            <w:tcW w:w="1006" w:type="dxa"/>
            <w:vAlign w:val="top"/>
          </w:tcPr>
          <w:p>
            <w:pPr>
              <w:pStyle w:val="TableText"/>
              <w:ind w:left="247"/>
              <w:spacing w:before="115" w:line="183" w:lineRule="auto"/>
              <w:rPr>
                <w:sz w:val="16"/>
                <w:szCs w:val="16"/>
              </w:rPr>
            </w:pPr>
            <w:r>
              <w:rPr>
                <w:sz w:val="16"/>
                <w:szCs w:val="16"/>
                <w:spacing w:val="-2"/>
              </w:rPr>
              <w:t>62459</w:t>
            </w:r>
          </w:p>
        </w:tc>
        <w:tc>
          <w:tcPr>
            <w:tcW w:w="798" w:type="dxa"/>
            <w:vAlign w:val="top"/>
          </w:tcPr>
          <w:p>
            <w:pPr>
              <w:pStyle w:val="TableText"/>
              <w:ind w:left="151"/>
              <w:spacing w:before="115" w:line="183" w:lineRule="auto"/>
              <w:rPr>
                <w:sz w:val="16"/>
                <w:szCs w:val="16"/>
              </w:rPr>
            </w:pPr>
            <w:r>
              <w:rPr>
                <w:sz w:val="16"/>
                <w:szCs w:val="16"/>
                <w:spacing w:val="-2"/>
              </w:rPr>
              <w:t>86480</w:t>
            </w:r>
          </w:p>
        </w:tc>
        <w:tc>
          <w:tcPr>
            <w:tcW w:w="885" w:type="dxa"/>
            <w:vAlign w:val="top"/>
          </w:tcPr>
          <w:p>
            <w:pPr>
              <w:pStyle w:val="TableText"/>
              <w:ind w:left="223"/>
              <w:spacing w:before="134" w:line="179" w:lineRule="auto"/>
              <w:rPr>
                <w:sz w:val="16"/>
                <w:szCs w:val="16"/>
              </w:rPr>
            </w:pPr>
            <w:r>
              <w:rPr>
                <w:sz w:val="16"/>
                <w:szCs w:val="16"/>
                <w:spacing w:val="-3"/>
              </w:rPr>
              <w:t>150487</w:t>
            </w:r>
          </w:p>
        </w:tc>
        <w:tc>
          <w:tcPr>
            <w:tcW w:w="1230" w:type="dxa"/>
            <w:vAlign w:val="top"/>
          </w:tcPr>
          <w:p>
            <w:pPr>
              <w:pStyle w:val="TableText"/>
              <w:ind w:left="537"/>
              <w:spacing w:before="135" w:line="178" w:lineRule="auto"/>
              <w:rPr>
                <w:sz w:val="16"/>
                <w:szCs w:val="16"/>
              </w:rPr>
            </w:pPr>
            <w:r>
              <w:rPr>
                <w:sz w:val="16"/>
                <w:szCs w:val="16"/>
                <w:spacing w:val="-2"/>
              </w:rPr>
              <w:t>4.8</w:t>
            </w:r>
          </w:p>
        </w:tc>
        <w:tc>
          <w:tcPr>
            <w:tcW w:w="1120" w:type="dxa"/>
            <w:vAlign w:val="top"/>
          </w:tcPr>
          <w:p>
            <w:pPr>
              <w:pStyle w:val="TableText"/>
              <w:ind w:left="508"/>
              <w:spacing w:before="125" w:line="183" w:lineRule="auto"/>
              <w:rPr>
                <w:sz w:val="16"/>
                <w:szCs w:val="16"/>
              </w:rPr>
            </w:pPr>
            <w:r>
              <w:rPr>
                <w:sz w:val="16"/>
                <w:szCs w:val="16"/>
                <w:spacing w:val="-2"/>
              </w:rPr>
              <w:t>6.7</w:t>
            </w:r>
          </w:p>
        </w:tc>
        <w:tc>
          <w:tcPr>
            <w:tcW w:w="1120" w:type="dxa"/>
            <w:vAlign w:val="top"/>
          </w:tcPr>
          <w:p>
            <w:pPr>
              <w:pStyle w:val="TableText"/>
              <w:ind w:left="568"/>
              <w:spacing w:before="125" w:line="183" w:lineRule="auto"/>
              <w:rPr>
                <w:sz w:val="16"/>
                <w:szCs w:val="16"/>
              </w:rPr>
            </w:pPr>
            <w:r>
              <w:rPr>
                <w:sz w:val="16"/>
                <w:szCs w:val="16"/>
                <w:spacing w:val="-2"/>
              </w:rPr>
              <w:t>9.7</w:t>
            </w:r>
          </w:p>
        </w:tc>
        <w:tc>
          <w:tcPr>
            <w:tcW w:w="1357" w:type="dxa"/>
            <w:vAlign w:val="top"/>
          </w:tcPr>
          <w:p>
            <w:pPr>
              <w:pStyle w:val="TableText"/>
              <w:ind w:left="638"/>
              <w:spacing w:before="124" w:line="184" w:lineRule="auto"/>
              <w:rPr>
                <w:sz w:val="16"/>
                <w:szCs w:val="16"/>
              </w:rPr>
            </w:pPr>
            <w:r>
              <w:rPr>
                <w:sz w:val="16"/>
                <w:szCs w:val="16"/>
                <w:spacing w:val="-3"/>
              </w:rPr>
              <w:t>7.1</w:t>
            </w:r>
          </w:p>
        </w:tc>
      </w:tr>
      <w:tr>
        <w:trPr>
          <w:trHeight w:val="308" w:hRule="atLeast"/>
        </w:trPr>
        <w:tc>
          <w:tcPr>
            <w:tcW w:w="1243" w:type="dxa"/>
            <w:vAlign w:val="top"/>
          </w:tcPr>
          <w:p>
            <w:pPr>
              <w:pStyle w:val="TableText"/>
              <w:ind w:left="130"/>
              <w:spacing w:before="65" w:line="220" w:lineRule="auto"/>
              <w:rPr>
                <w:sz w:val="16"/>
                <w:szCs w:val="16"/>
              </w:rPr>
            </w:pPr>
            <w:r>
              <w:rPr>
                <w:sz w:val="16"/>
                <w:szCs w:val="16"/>
                <w:spacing w:val="-2"/>
              </w:rPr>
              <w:t>建筑业</w:t>
            </w:r>
          </w:p>
        </w:tc>
        <w:tc>
          <w:tcPr>
            <w:tcW w:w="840" w:type="dxa"/>
            <w:vAlign w:val="top"/>
          </w:tcPr>
          <w:p>
            <w:pPr>
              <w:pStyle w:val="TableText"/>
              <w:ind w:left="207"/>
              <w:spacing w:before="124" w:line="184" w:lineRule="auto"/>
              <w:rPr>
                <w:sz w:val="16"/>
                <w:szCs w:val="16"/>
              </w:rPr>
            </w:pPr>
            <w:r>
              <w:rPr>
                <w:sz w:val="16"/>
                <w:szCs w:val="16"/>
                <w:spacing w:val="-3"/>
              </w:rPr>
              <w:t>12630</w:t>
            </w:r>
          </w:p>
        </w:tc>
        <w:tc>
          <w:tcPr>
            <w:tcW w:w="1006" w:type="dxa"/>
            <w:vAlign w:val="top"/>
          </w:tcPr>
          <w:p>
            <w:pPr>
              <w:pStyle w:val="TableText"/>
              <w:ind w:left="247"/>
              <w:spacing w:before="124" w:line="184" w:lineRule="auto"/>
              <w:rPr>
                <w:sz w:val="16"/>
                <w:szCs w:val="16"/>
              </w:rPr>
            </w:pPr>
            <w:r>
              <w:rPr>
                <w:sz w:val="16"/>
                <w:szCs w:val="16"/>
                <w:spacing w:val="-2"/>
              </w:rPr>
              <w:t>25103</w:t>
            </w:r>
          </w:p>
        </w:tc>
        <w:tc>
          <w:tcPr>
            <w:tcW w:w="798" w:type="dxa"/>
            <w:vAlign w:val="top"/>
          </w:tcPr>
          <w:p>
            <w:pPr>
              <w:pStyle w:val="TableText"/>
              <w:ind w:left="151"/>
              <w:spacing w:before="124" w:line="184" w:lineRule="auto"/>
              <w:rPr>
                <w:sz w:val="16"/>
                <w:szCs w:val="16"/>
              </w:rPr>
            </w:pPr>
            <w:r>
              <w:rPr>
                <w:sz w:val="16"/>
                <w:szCs w:val="16"/>
                <w:spacing w:val="-2"/>
              </w:rPr>
              <w:t>33183</w:t>
            </w:r>
          </w:p>
        </w:tc>
        <w:tc>
          <w:tcPr>
            <w:tcW w:w="885" w:type="dxa"/>
            <w:vAlign w:val="top"/>
          </w:tcPr>
          <w:p>
            <w:pPr>
              <w:pStyle w:val="TableText"/>
              <w:ind w:left="262"/>
              <w:spacing w:before="125" w:line="183" w:lineRule="auto"/>
              <w:rPr>
                <w:sz w:val="16"/>
                <w:szCs w:val="16"/>
              </w:rPr>
            </w:pPr>
            <w:r>
              <w:rPr>
                <w:sz w:val="16"/>
                <w:szCs w:val="16"/>
                <w:spacing w:val="-1"/>
              </w:rPr>
              <w:t>43604</w:t>
            </w:r>
          </w:p>
        </w:tc>
        <w:tc>
          <w:tcPr>
            <w:tcW w:w="1230" w:type="dxa"/>
            <w:vAlign w:val="top"/>
          </w:tcPr>
          <w:p>
            <w:pPr>
              <w:pStyle w:val="TableText"/>
              <w:ind w:left="498"/>
              <w:spacing w:before="135" w:line="184" w:lineRule="auto"/>
              <w:rPr>
                <w:sz w:val="16"/>
                <w:szCs w:val="16"/>
              </w:rPr>
            </w:pPr>
            <w:r>
              <w:rPr>
                <w:sz w:val="16"/>
                <w:szCs w:val="16"/>
                <w:spacing w:val="-4"/>
              </w:rPr>
              <w:t>12.1</w:t>
            </w:r>
          </w:p>
        </w:tc>
        <w:tc>
          <w:tcPr>
            <w:tcW w:w="1120" w:type="dxa"/>
            <w:vAlign w:val="top"/>
          </w:tcPr>
          <w:p>
            <w:pPr>
              <w:pStyle w:val="TableText"/>
              <w:ind w:left="508"/>
              <w:spacing w:before="126" w:line="182" w:lineRule="auto"/>
              <w:rPr>
                <w:sz w:val="16"/>
                <w:szCs w:val="16"/>
              </w:rPr>
            </w:pPr>
            <w:r>
              <w:rPr>
                <w:sz w:val="16"/>
                <w:szCs w:val="16"/>
                <w:spacing w:val="-3"/>
              </w:rPr>
              <w:t>5.7</w:t>
            </w:r>
          </w:p>
        </w:tc>
        <w:tc>
          <w:tcPr>
            <w:tcW w:w="1120" w:type="dxa"/>
            <w:vAlign w:val="top"/>
          </w:tcPr>
          <w:p>
            <w:pPr>
              <w:pStyle w:val="TableText"/>
              <w:ind w:left="568"/>
              <w:spacing w:before="125" w:line="183" w:lineRule="auto"/>
              <w:rPr>
                <w:sz w:val="16"/>
                <w:szCs w:val="16"/>
              </w:rPr>
            </w:pPr>
            <w:r>
              <w:rPr>
                <w:sz w:val="16"/>
                <w:szCs w:val="16"/>
                <w:spacing w:val="-2"/>
              </w:rPr>
              <w:t>4.7</w:t>
            </w:r>
          </w:p>
        </w:tc>
        <w:tc>
          <w:tcPr>
            <w:tcW w:w="1357" w:type="dxa"/>
            <w:vAlign w:val="top"/>
          </w:tcPr>
          <w:p>
            <w:pPr>
              <w:pStyle w:val="TableText"/>
              <w:ind w:left="638"/>
              <w:spacing w:before="125" w:line="183" w:lineRule="auto"/>
              <w:rPr>
                <w:sz w:val="16"/>
                <w:szCs w:val="16"/>
              </w:rPr>
            </w:pPr>
            <w:r>
              <w:rPr>
                <w:sz w:val="16"/>
                <w:szCs w:val="16"/>
                <w:spacing w:val="-3"/>
              </w:rPr>
              <w:t>7.6</w:t>
            </w:r>
          </w:p>
        </w:tc>
      </w:tr>
      <w:tr>
        <w:trPr>
          <w:trHeight w:val="284" w:hRule="atLeast"/>
        </w:trPr>
        <w:tc>
          <w:tcPr>
            <w:tcW w:w="1243" w:type="dxa"/>
            <w:vAlign w:val="top"/>
            <w:tcBorders>
              <w:bottom w:val="single" w:color="000000" w:sz="4" w:space="0"/>
            </w:tcBorders>
          </w:tcPr>
          <w:p>
            <w:pPr>
              <w:pStyle w:val="TableText"/>
              <w:ind w:left="130"/>
              <w:spacing w:before="76" w:line="219" w:lineRule="auto"/>
              <w:rPr>
                <w:sz w:val="16"/>
                <w:szCs w:val="16"/>
              </w:rPr>
            </w:pPr>
            <w:r>
              <w:rPr>
                <w:sz w:val="16"/>
                <w:szCs w:val="16"/>
                <w:spacing w:val="-2"/>
              </w:rPr>
              <w:t>非市场服务业</w:t>
            </w:r>
          </w:p>
        </w:tc>
        <w:tc>
          <w:tcPr>
            <w:tcW w:w="840" w:type="dxa"/>
            <w:vAlign w:val="top"/>
            <w:tcBorders>
              <w:bottom w:val="single" w:color="000000" w:sz="4" w:space="0"/>
            </w:tcBorders>
          </w:tcPr>
          <w:p>
            <w:pPr>
              <w:pStyle w:val="TableText"/>
              <w:ind w:left="207"/>
              <w:spacing w:before="117" w:line="181" w:lineRule="auto"/>
              <w:rPr>
                <w:sz w:val="16"/>
                <w:szCs w:val="16"/>
              </w:rPr>
            </w:pPr>
            <w:r>
              <w:rPr>
                <w:sz w:val="16"/>
                <w:szCs w:val="16"/>
                <w:spacing w:val="-3"/>
              </w:rPr>
              <w:t>12792</w:t>
            </w:r>
          </w:p>
        </w:tc>
        <w:tc>
          <w:tcPr>
            <w:tcW w:w="1006" w:type="dxa"/>
            <w:vAlign w:val="top"/>
            <w:tcBorders>
              <w:bottom w:val="single" w:color="000000" w:sz="4" w:space="0"/>
            </w:tcBorders>
          </w:tcPr>
          <w:p>
            <w:pPr>
              <w:pStyle w:val="TableText"/>
              <w:ind w:left="247"/>
              <w:spacing w:before="117" w:line="181" w:lineRule="auto"/>
              <w:rPr>
                <w:sz w:val="16"/>
                <w:szCs w:val="16"/>
              </w:rPr>
            </w:pPr>
            <w:r>
              <w:rPr>
                <w:sz w:val="16"/>
                <w:szCs w:val="16"/>
                <w:spacing w:val="-3"/>
              </w:rPr>
              <w:t>10284</w:t>
            </w:r>
          </w:p>
        </w:tc>
        <w:tc>
          <w:tcPr>
            <w:tcW w:w="798" w:type="dxa"/>
            <w:vAlign w:val="top"/>
            <w:tcBorders>
              <w:bottom w:val="single" w:color="000000" w:sz="4" w:space="0"/>
            </w:tcBorders>
          </w:tcPr>
          <w:p>
            <w:pPr>
              <w:pStyle w:val="TableText"/>
              <w:ind w:left="190"/>
              <w:spacing w:before="117" w:line="180" w:lineRule="auto"/>
              <w:rPr>
                <w:sz w:val="16"/>
                <w:szCs w:val="16"/>
              </w:rPr>
            </w:pPr>
            <w:r>
              <w:rPr>
                <w:sz w:val="16"/>
                <w:szCs w:val="16"/>
                <w:spacing w:val="-2"/>
              </w:rPr>
              <w:t>7599</w:t>
            </w:r>
          </w:p>
        </w:tc>
        <w:tc>
          <w:tcPr>
            <w:tcW w:w="885" w:type="dxa"/>
            <w:vAlign w:val="top"/>
            <w:tcBorders>
              <w:bottom w:val="single" w:color="000000" w:sz="4" w:space="0"/>
            </w:tcBorders>
          </w:tcPr>
          <w:p>
            <w:pPr>
              <w:pStyle w:val="TableText"/>
              <w:ind w:left="303"/>
              <w:spacing w:before="97" w:line="183" w:lineRule="auto"/>
              <w:rPr>
                <w:sz w:val="16"/>
                <w:szCs w:val="16"/>
              </w:rPr>
            </w:pPr>
            <w:r>
              <w:rPr>
                <w:sz w:val="16"/>
                <w:szCs w:val="16"/>
                <w:spacing w:val="-2"/>
              </w:rPr>
              <w:t>6229</w:t>
            </w:r>
          </w:p>
        </w:tc>
        <w:tc>
          <w:tcPr>
            <w:tcW w:w="1230" w:type="dxa"/>
            <w:vAlign w:val="top"/>
            <w:tcBorders>
              <w:bottom w:val="single" w:color="000000" w:sz="4" w:space="0"/>
            </w:tcBorders>
          </w:tcPr>
          <w:p>
            <w:pPr>
              <w:pStyle w:val="TableText"/>
              <w:ind w:left="498"/>
              <w:spacing w:before="97" w:line="183" w:lineRule="auto"/>
              <w:rPr>
                <w:sz w:val="16"/>
                <w:szCs w:val="16"/>
              </w:rPr>
            </w:pPr>
            <w:r>
              <w:rPr>
                <w:sz w:val="16"/>
                <w:szCs w:val="16"/>
                <w:spacing w:val="-1"/>
              </w:rPr>
              <w:t>-3.6</w:t>
            </w:r>
          </w:p>
        </w:tc>
        <w:tc>
          <w:tcPr>
            <w:tcW w:w="1120" w:type="dxa"/>
            <w:vAlign w:val="top"/>
            <w:tcBorders>
              <w:bottom w:val="single" w:color="000000" w:sz="4" w:space="0"/>
            </w:tcBorders>
          </w:tcPr>
          <w:p>
            <w:pPr>
              <w:pStyle w:val="TableText"/>
              <w:ind w:left="468"/>
              <w:spacing w:before="107" w:line="183" w:lineRule="auto"/>
              <w:rPr>
                <w:sz w:val="16"/>
                <w:szCs w:val="16"/>
              </w:rPr>
            </w:pPr>
            <w:r>
              <w:rPr>
                <w:sz w:val="16"/>
                <w:szCs w:val="16"/>
                <w:spacing w:val="-1"/>
              </w:rPr>
              <w:t>-5.9</w:t>
            </w:r>
          </w:p>
        </w:tc>
        <w:tc>
          <w:tcPr>
            <w:tcW w:w="1120" w:type="dxa"/>
            <w:vAlign w:val="top"/>
            <w:tcBorders>
              <w:bottom w:val="single" w:color="000000" w:sz="4" w:space="0"/>
            </w:tcBorders>
          </w:tcPr>
          <w:p>
            <w:pPr>
              <w:pStyle w:val="TableText"/>
              <w:ind w:left="527"/>
              <w:spacing w:before="97" w:line="183" w:lineRule="auto"/>
              <w:rPr>
                <w:sz w:val="16"/>
                <w:szCs w:val="16"/>
              </w:rPr>
            </w:pPr>
            <w:r>
              <w:rPr>
                <w:sz w:val="16"/>
                <w:szCs w:val="16"/>
                <w:spacing w:val="-1"/>
              </w:rPr>
              <w:t>-3.3</w:t>
            </w:r>
          </w:p>
        </w:tc>
        <w:tc>
          <w:tcPr>
            <w:tcW w:w="1357" w:type="dxa"/>
            <w:vAlign w:val="top"/>
            <w:tcBorders>
              <w:bottom w:val="single" w:color="000000" w:sz="4" w:space="0"/>
            </w:tcBorders>
          </w:tcPr>
          <w:p>
            <w:pPr>
              <w:pStyle w:val="TableText"/>
              <w:ind w:left="598"/>
              <w:spacing w:before="117" w:line="181" w:lineRule="auto"/>
              <w:rPr>
                <w:sz w:val="16"/>
                <w:szCs w:val="16"/>
              </w:rPr>
            </w:pPr>
            <w:r>
              <w:rPr>
                <w:sz w:val="16"/>
                <w:szCs w:val="16"/>
                <w:spacing w:val="-1"/>
              </w:rPr>
              <w:t>-4.1</w:t>
            </w:r>
          </w:p>
        </w:tc>
      </w:tr>
    </w:tbl>
    <w:p>
      <w:pPr>
        <w:ind w:left="390"/>
        <w:spacing w:before="95" w:line="220" w:lineRule="auto"/>
        <w:rPr>
          <w:rFonts w:ascii="KaiTi" w:hAnsi="KaiTi" w:eastAsia="KaiTi" w:cs="KaiTi"/>
          <w:sz w:val="17"/>
          <w:szCs w:val="17"/>
        </w:rPr>
      </w:pPr>
      <w:r>
        <w:rPr>
          <w:rFonts w:ascii="KaiTi" w:hAnsi="KaiTi" w:eastAsia="KaiTi" w:cs="KaiTi"/>
          <w:sz w:val="17"/>
          <w:szCs w:val="17"/>
          <w:spacing w:val="-11"/>
        </w:rPr>
        <w:t>资料来源：作者计算，数据出处及构建方法见本章第三节。</w:t>
      </w:r>
    </w:p>
    <w:p>
      <w:pPr>
        <w:spacing w:line="220" w:lineRule="auto"/>
        <w:sectPr>
          <w:headerReference w:type="default" r:id="rId1"/>
          <w:footerReference w:type="default" r:id="rId120"/>
          <w:pgSz w:w="12480" w:h="7330"/>
          <w:pgMar w:top="304" w:right="625" w:bottom="1260" w:left="1029" w:header="0" w:footer="1042" w:gutter="0"/>
        </w:sectPr>
        <w:rPr>
          <w:rFonts w:ascii="KaiTi" w:hAnsi="KaiTi" w:eastAsia="KaiTi" w:cs="KaiTi"/>
          <w:sz w:val="17"/>
          <w:szCs w:val="17"/>
        </w:rPr>
      </w:pPr>
    </w:p>
    <w:p>
      <w:pPr>
        <w:pStyle w:val="BodyText"/>
        <w:spacing w:line="389" w:lineRule="auto"/>
        <w:rPr/>
      </w:pPr>
      <w:r>
        <mc:AlternateContent xmlns:mc="http://schemas.openxmlformats.org/markup-compatibility/2006">
          <mc:Choice Requires="wps">
            <w:drawing>
              <wp:anchor distT="0" distB="0" distL="0" distR="0" simplePos="0" relativeHeight="252664832" behindDoc="0" locked="0" layoutInCell="0" allowOverlap="1">
                <wp:simplePos x="0" y="0"/>
                <wp:positionH relativeFrom="page">
                  <wp:posOffset>6336471</wp:posOffset>
                </wp:positionH>
                <wp:positionV relativeFrom="page">
                  <wp:posOffset>1743245</wp:posOffset>
                </wp:positionV>
                <wp:extent cx="2634614" cy="164464"/>
                <wp:effectExtent l="0" t="0" r="0" b="0"/>
                <wp:wrapNone/>
                <wp:docPr id="104" name="TextBox 104"/>
                <wp:cNvGraphicFramePr/>
                <a:graphic>
                  <a:graphicData uri="http://schemas.microsoft.com/office/word/2010/wordprocessingShape">
                    <wps:wsp>
                      <wps:cNvSpPr txBox="1"/>
                      <wps:spPr>
                        <a:xfrm rot="5400000">
                          <a:off x="6336471" y="1743245"/>
                          <a:ext cx="2634614" cy="1644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35" w:lineRule="auto"/>
                              <w:rPr>
                                <w:rFonts w:ascii="SimHei" w:hAnsi="SimHei" w:eastAsia="SimHei" w:cs="SimHei"/>
                                <w:sz w:val="15"/>
                                <w:szCs w:val="15"/>
                              </w:rPr>
                            </w:pPr>
                            <w:r>
                              <w:rPr>
                                <w:rFonts w:ascii="SimSun" w:hAnsi="SimSun" w:eastAsia="SimSun" w:cs="SimSun"/>
                                <w:sz w:val="15"/>
                                <w:szCs w:val="15"/>
                                <w:spacing w:val="2"/>
                              </w:rPr>
                              <w:t>088</w:t>
                            </w:r>
                            <w:r>
                              <w:rPr>
                                <w:rFonts w:ascii="SimSun" w:hAnsi="SimSun" w:eastAsia="SimSun" w:cs="SimSun"/>
                                <w:sz w:val="15"/>
                                <w:szCs w:val="15"/>
                                <w:spacing w:val="1"/>
                              </w:rPr>
                              <w:t xml:space="preserve">                       </w:t>
                            </w:r>
                            <w:r>
                              <w:rPr>
                                <w:rFonts w:ascii="SimHei" w:hAnsi="SimHei" w:eastAsia="SimHei" w:cs="SimHei"/>
                                <w:sz w:val="15"/>
                                <w:szCs w:val="15"/>
                                <w:spacing w:val="2"/>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6" style="position:absolute;margin-left:498.935pt;margin-top:137.263pt;mso-position-vertical-relative:page;mso-position-horizontal-relative:page;width:207.45pt;height:12.95pt;z-index:252664832;rotation:90;" o:allowincell="f" filled="false" stroked="false" type="#_x0000_t202">
                <v:fill on="false"/>
                <v:stroke on="false"/>
                <v:path/>
                <v:imagedata o:title=""/>
                <o:lock v:ext="edit" aspectratio="false"/>
                <v:textbox inset="0mm,0mm,0mm,0mm">
                  <w:txbxContent>
                    <w:p>
                      <w:pPr>
                        <w:ind w:left="20"/>
                        <w:spacing w:before="47" w:line="235" w:lineRule="auto"/>
                        <w:rPr>
                          <w:rFonts w:ascii="SimHei" w:hAnsi="SimHei" w:eastAsia="SimHei" w:cs="SimHei"/>
                          <w:sz w:val="15"/>
                          <w:szCs w:val="15"/>
                        </w:rPr>
                      </w:pPr>
                      <w:r>
                        <w:rPr>
                          <w:rFonts w:ascii="SimSun" w:hAnsi="SimSun" w:eastAsia="SimSun" w:cs="SimSun"/>
                          <w:sz w:val="15"/>
                          <w:szCs w:val="15"/>
                          <w:spacing w:val="2"/>
                        </w:rPr>
                        <w:t>088</w:t>
                      </w:r>
                      <w:r>
                        <w:rPr>
                          <w:rFonts w:ascii="SimSun" w:hAnsi="SimSun" w:eastAsia="SimSun" w:cs="SimSun"/>
                          <w:sz w:val="15"/>
                          <w:szCs w:val="15"/>
                          <w:spacing w:val="1"/>
                        </w:rPr>
                        <w:t xml:space="preserve">                       </w:t>
                      </w:r>
                      <w:r>
                        <w:rPr>
                          <w:rFonts w:ascii="SimHei" w:hAnsi="SimHei" w:eastAsia="SimHei" w:cs="SimHei"/>
                          <w:sz w:val="15"/>
                          <w:szCs w:val="15"/>
                          <w:spacing w:val="2"/>
                        </w:rPr>
                        <w:t>平台经济——创新、治理与繁荣</w:t>
                      </w:r>
                    </w:p>
                  </w:txbxContent>
                </v:textbox>
              </v:shape>
            </w:pict>
          </mc:Fallback>
        </mc:AlternateContent>
      </w:r>
      <w:r>
        <w:pict>
          <v:shape id="_x0000_s38" style="position:absolute;margin-left:66.4997pt;margin-top:60.7503pt;mso-position-vertical-relative:page;mso-position-horizontal-relative:page;width:480pt;height:0.5pt;z-index:252666880;" o:allowincell="f" filled="false" strokecolor="#000000" strokeweight="0.50pt" coordsize="9600,10" coordorigin="0,0" path="m0,5l1230,5m1230,5l4910,5m4910,5l8400,5m8400,5l9599,5e">
            <v:stroke joinstyle="miter" miterlimit="10"/>
          </v:shape>
        </w:pict>
      </w:r>
      <w:r>
        <w:pict>
          <v:shape id="_x0000_s40" style="position:absolute;margin-left:66.4997pt;margin-top:288.252pt;mso-position-vertical-relative:page;mso-position-horizontal-relative:page;width:480pt;height:0.5pt;z-index:252665856;" o:allowincell="f" filled="false" strokecolor="#000000" strokeweight="0.50pt" coordsize="9600,10" coordorigin="0,0" path="m0,5l1230,5m1230,5l2109,5m2109,5l3030,5m3030,5l3950,5m3950,5l4910,5m4910,5l6150,5m6150,5l7300,5m7300,5l8400,5m8400,5l9599,5e">
            <v:stroke joinstyle="miter" miterlimit="10"/>
          </v:shape>
        </w:pict>
      </w:r>
      <w:r/>
    </w:p>
    <w:p>
      <w:pPr>
        <w:ind w:left="2692"/>
        <w:spacing w:before="62" w:line="222" w:lineRule="auto"/>
        <w:rPr>
          <w:rFonts w:ascii="SimHei" w:hAnsi="SimHei" w:eastAsia="SimHei" w:cs="SimHei"/>
          <w:sz w:val="19"/>
          <w:szCs w:val="19"/>
        </w:rPr>
      </w:pPr>
      <w:r>
        <w:rPr>
          <w:rFonts w:ascii="SimHei" w:hAnsi="SimHei" w:eastAsia="SimHei" w:cs="SimHei"/>
          <w:sz w:val="19"/>
          <w:szCs w:val="19"/>
          <w:b/>
          <w:bCs/>
          <w:spacing w:val="-10"/>
        </w:rPr>
        <w:t>表2-8</w:t>
      </w:r>
      <w:r>
        <w:rPr>
          <w:rFonts w:ascii="SimHei" w:hAnsi="SimHei" w:eastAsia="SimHei" w:cs="SimHei"/>
          <w:sz w:val="19"/>
          <w:szCs w:val="19"/>
          <w:spacing w:val="78"/>
        </w:rPr>
        <w:t xml:space="preserve"> </w:t>
      </w:r>
      <w:r>
        <w:rPr>
          <w:rFonts w:ascii="SimHei" w:hAnsi="SimHei" w:eastAsia="SimHei" w:cs="SimHei"/>
          <w:sz w:val="19"/>
          <w:szCs w:val="19"/>
          <w:b/>
          <w:bCs/>
          <w:spacing w:val="-10"/>
        </w:rPr>
        <w:t>各行业资本深化水平及其变化：数字经济视角</w:t>
      </w:r>
    </w:p>
    <w:p>
      <w:pPr>
        <w:spacing w:line="232" w:lineRule="exact"/>
        <w:rPr/>
      </w:pPr>
      <w:r/>
    </w:p>
    <w:p>
      <w:pPr>
        <w:spacing w:line="232" w:lineRule="exact"/>
        <w:sectPr>
          <w:footerReference w:type="default" r:id="rId2"/>
          <w:pgSz w:w="12480" w:h="7330"/>
          <w:pgMar w:top="400" w:right="344" w:bottom="400" w:left="1329" w:header="0" w:footer="0" w:gutter="0"/>
          <w:cols w:equalWidth="0" w:num="1">
            <w:col w:w="10806" w:space="0"/>
          </w:cols>
        </w:sectPr>
        <w:rPr/>
      </w:pPr>
    </w:p>
    <w:p>
      <w:pPr>
        <w:pStyle w:val="BodyText"/>
        <w:spacing w:line="282" w:lineRule="auto"/>
        <w:rPr/>
      </w:pPr>
      <w:r/>
    </w:p>
    <w:p>
      <w:pPr>
        <w:pStyle w:val="BodyText"/>
        <w:spacing w:line="282" w:lineRule="auto"/>
        <w:rPr/>
      </w:pPr>
      <w:r/>
    </w:p>
    <w:p>
      <w:pPr>
        <w:ind w:left="142"/>
        <w:spacing w:before="52" w:line="220" w:lineRule="auto"/>
        <w:rPr>
          <w:rFonts w:ascii="SimSun" w:hAnsi="SimSun" w:eastAsia="SimSun" w:cs="SimSun"/>
          <w:sz w:val="16"/>
          <w:szCs w:val="16"/>
        </w:rPr>
      </w:pPr>
      <w:r>
        <w:rPr>
          <w:rFonts w:ascii="SimSun" w:hAnsi="SimSun" w:eastAsia="SimSun" w:cs="SimSun"/>
          <w:sz w:val="16"/>
          <w:szCs w:val="16"/>
          <w:b/>
          <w:bCs/>
          <w:spacing w:val="-3"/>
        </w:rPr>
        <w:t>整体经济</w:t>
      </w:r>
    </w:p>
    <w:p>
      <w:pPr>
        <w:ind w:left="140" w:right="253"/>
        <w:spacing w:before="91" w:line="285" w:lineRule="auto"/>
        <w:jc w:val="both"/>
        <w:rPr>
          <w:rFonts w:ascii="SimSun" w:hAnsi="SimSun" w:eastAsia="SimSun" w:cs="SimSun"/>
          <w:sz w:val="16"/>
          <w:szCs w:val="16"/>
        </w:rPr>
      </w:pPr>
      <w:r>
        <w:rPr>
          <w:rFonts w:ascii="SimSun" w:hAnsi="SimSun" w:eastAsia="SimSun" w:cs="SimSun"/>
          <w:sz w:val="16"/>
          <w:szCs w:val="16"/>
        </w:rPr>
        <w:t>ICT</w:t>
      </w:r>
      <w:r>
        <w:rPr>
          <w:rFonts w:ascii="SimSun" w:hAnsi="SimSun" w:eastAsia="SimSun" w:cs="SimSun"/>
          <w:sz w:val="16"/>
          <w:szCs w:val="16"/>
          <w:spacing w:val="1"/>
        </w:rPr>
        <w:t>生产行业</w:t>
      </w:r>
      <w:r>
        <w:rPr>
          <w:rFonts w:ascii="SimSun" w:hAnsi="SimSun" w:eastAsia="SimSun" w:cs="SimSun"/>
          <w:sz w:val="16"/>
          <w:szCs w:val="16"/>
        </w:rPr>
        <w:t xml:space="preserve"> </w:t>
      </w:r>
      <w:r>
        <w:rPr>
          <w:rFonts w:ascii="SimSun" w:hAnsi="SimSun" w:eastAsia="SimSun" w:cs="SimSun"/>
          <w:sz w:val="16"/>
          <w:szCs w:val="16"/>
        </w:rPr>
        <w:t>ICT</w:t>
      </w:r>
      <w:r>
        <w:rPr>
          <w:rFonts w:ascii="SimSun" w:hAnsi="SimSun" w:eastAsia="SimSun" w:cs="SimSun"/>
          <w:sz w:val="16"/>
          <w:szCs w:val="16"/>
          <w:spacing w:val="4"/>
        </w:rPr>
        <w:t>集约使用</w:t>
      </w:r>
      <w:r>
        <w:rPr>
          <w:rFonts w:ascii="SimSun" w:hAnsi="SimSun" w:eastAsia="SimSun" w:cs="SimSun"/>
          <w:sz w:val="16"/>
          <w:szCs w:val="16"/>
          <w:spacing w:val="2"/>
        </w:rPr>
        <w:t xml:space="preserve"> </w:t>
      </w:r>
      <w:r>
        <w:rPr>
          <w:rFonts w:ascii="SimSun" w:hAnsi="SimSun" w:eastAsia="SimSun" w:cs="SimSun"/>
          <w:sz w:val="16"/>
          <w:szCs w:val="16"/>
          <w:spacing w:val="-2"/>
        </w:rPr>
        <w:t>制造业</w:t>
      </w:r>
    </w:p>
    <w:p>
      <w:pPr>
        <w:ind w:left="140" w:right="253"/>
        <w:spacing w:before="108" w:line="248" w:lineRule="auto"/>
        <w:rPr>
          <w:rFonts w:ascii="SimSun" w:hAnsi="SimSun" w:eastAsia="SimSun" w:cs="SimSun"/>
          <w:sz w:val="16"/>
          <w:szCs w:val="16"/>
        </w:rPr>
      </w:pPr>
      <w:r>
        <w:rPr>
          <w:rFonts w:ascii="SimSun" w:hAnsi="SimSun" w:eastAsia="SimSun" w:cs="SimSun"/>
          <w:sz w:val="16"/>
          <w:szCs w:val="16"/>
        </w:rPr>
        <w:t>ICT</w:t>
      </w:r>
      <w:r>
        <w:rPr>
          <w:rFonts w:ascii="SimSun" w:hAnsi="SimSun" w:eastAsia="SimSun" w:cs="SimSun"/>
          <w:sz w:val="16"/>
          <w:szCs w:val="16"/>
          <w:spacing w:val="4"/>
        </w:rPr>
        <w:t>集约使用</w:t>
      </w:r>
      <w:r>
        <w:rPr>
          <w:rFonts w:ascii="SimSun" w:hAnsi="SimSun" w:eastAsia="SimSun" w:cs="SimSun"/>
          <w:sz w:val="16"/>
          <w:szCs w:val="16"/>
          <w:spacing w:val="2"/>
        </w:rPr>
        <w:t xml:space="preserve"> </w:t>
      </w:r>
      <w:r>
        <w:rPr>
          <w:rFonts w:ascii="SimSun" w:hAnsi="SimSun" w:eastAsia="SimSun" w:cs="SimSun"/>
          <w:sz w:val="16"/>
          <w:szCs w:val="16"/>
          <w:spacing w:val="-2"/>
        </w:rPr>
        <w:t>服务业</w:t>
      </w:r>
    </w:p>
    <w:p>
      <w:pPr>
        <w:ind w:left="140"/>
        <w:spacing w:before="90" w:line="261" w:lineRule="exact"/>
        <w:rPr>
          <w:rFonts w:ascii="SimSun" w:hAnsi="SimSun" w:eastAsia="SimSun" w:cs="SimSun"/>
          <w:sz w:val="16"/>
          <w:szCs w:val="16"/>
        </w:rPr>
      </w:pPr>
      <w:r>
        <w:rPr>
          <w:rFonts w:ascii="SimSun" w:hAnsi="SimSun" w:eastAsia="SimSun" w:cs="SimSun"/>
          <w:sz w:val="16"/>
          <w:szCs w:val="16"/>
          <w:spacing w:val="-2"/>
          <w:position w:val="7"/>
        </w:rPr>
        <w:t>非ICT集约使</w:t>
      </w:r>
    </w:p>
    <w:p>
      <w:pPr>
        <w:ind w:left="140"/>
        <w:spacing w:line="220" w:lineRule="auto"/>
        <w:rPr>
          <w:rFonts w:ascii="SimSun" w:hAnsi="SimSun" w:eastAsia="SimSun" w:cs="SimSun"/>
          <w:sz w:val="16"/>
          <w:szCs w:val="16"/>
        </w:rPr>
      </w:pPr>
      <w:r>
        <w:rPr>
          <w:rFonts w:ascii="SimSun" w:hAnsi="SimSun" w:eastAsia="SimSun" w:cs="SimSun"/>
          <w:sz w:val="16"/>
          <w:szCs w:val="16"/>
          <w:spacing w:val="-2"/>
        </w:rPr>
        <w:t>用制造业</w:t>
      </w:r>
    </w:p>
    <w:p>
      <w:pPr>
        <w:ind w:left="140"/>
        <w:spacing w:before="88" w:line="250" w:lineRule="exact"/>
        <w:rPr>
          <w:rFonts w:ascii="SimSun" w:hAnsi="SimSun" w:eastAsia="SimSun" w:cs="SimSun"/>
          <w:sz w:val="16"/>
          <w:szCs w:val="16"/>
        </w:rPr>
      </w:pPr>
      <w:r>
        <w:rPr>
          <w:rFonts w:ascii="SimSun" w:hAnsi="SimSun" w:eastAsia="SimSun" w:cs="SimSun"/>
          <w:sz w:val="16"/>
          <w:szCs w:val="16"/>
          <w:spacing w:val="-2"/>
          <w:position w:val="6"/>
        </w:rPr>
        <w:t>非ICT集约使</w:t>
      </w:r>
    </w:p>
    <w:p>
      <w:pPr>
        <w:ind w:left="140"/>
        <w:spacing w:before="1" w:line="219" w:lineRule="auto"/>
        <w:rPr>
          <w:rFonts w:ascii="SimSun" w:hAnsi="SimSun" w:eastAsia="SimSun" w:cs="SimSun"/>
          <w:sz w:val="16"/>
          <w:szCs w:val="16"/>
        </w:rPr>
      </w:pPr>
      <w:r>
        <w:rPr>
          <w:rFonts w:ascii="SimSun" w:hAnsi="SimSun" w:eastAsia="SimSun" w:cs="SimSun"/>
          <w:sz w:val="16"/>
          <w:szCs w:val="16"/>
          <w:spacing w:val="-2"/>
        </w:rPr>
        <w:t>用服务业</w:t>
      </w:r>
    </w:p>
    <w:p>
      <w:pPr>
        <w:ind w:left="140"/>
        <w:spacing w:before="122" w:line="221" w:lineRule="auto"/>
        <w:rPr>
          <w:rFonts w:ascii="SimSun" w:hAnsi="SimSun" w:eastAsia="SimSun" w:cs="SimSun"/>
          <w:sz w:val="16"/>
          <w:szCs w:val="16"/>
        </w:rPr>
      </w:pPr>
      <w:r>
        <w:rPr>
          <w:rFonts w:ascii="SimSun" w:hAnsi="SimSun" w:eastAsia="SimSun" w:cs="SimSun"/>
          <w:sz w:val="16"/>
          <w:szCs w:val="16"/>
          <w:spacing w:val="-2"/>
        </w:rPr>
        <w:t>农业</w:t>
      </w:r>
    </w:p>
    <w:p>
      <w:pPr>
        <w:ind w:left="140"/>
        <w:spacing w:before="86" w:line="281" w:lineRule="exact"/>
        <w:rPr>
          <w:rFonts w:ascii="SimSun" w:hAnsi="SimSun" w:eastAsia="SimSun" w:cs="SimSun"/>
          <w:sz w:val="16"/>
          <w:szCs w:val="16"/>
        </w:rPr>
      </w:pPr>
      <w:r>
        <w:rPr>
          <w:rFonts w:ascii="SimSun" w:hAnsi="SimSun" w:eastAsia="SimSun" w:cs="SimSun"/>
          <w:sz w:val="16"/>
          <w:szCs w:val="16"/>
          <w:spacing w:val="-2"/>
          <w:position w:val="9"/>
        </w:rPr>
        <w:t>采掘业</w:t>
      </w:r>
    </w:p>
    <w:p>
      <w:pPr>
        <w:ind w:left="140"/>
        <w:spacing w:line="220" w:lineRule="auto"/>
        <w:rPr>
          <w:rFonts w:ascii="SimSun" w:hAnsi="SimSun" w:eastAsia="SimSun" w:cs="SimSun"/>
          <w:sz w:val="16"/>
          <w:szCs w:val="16"/>
        </w:rPr>
      </w:pPr>
      <w:r>
        <w:rPr>
          <w:rFonts w:ascii="SimSun" w:hAnsi="SimSun" w:eastAsia="SimSun" w:cs="SimSun"/>
          <w:sz w:val="16"/>
          <w:szCs w:val="16"/>
          <w:spacing w:val="-2"/>
        </w:rPr>
        <w:t>建筑业</w:t>
      </w:r>
    </w:p>
    <w:p>
      <w:pPr>
        <w:ind w:left="140"/>
        <w:spacing w:before="108" w:line="211" w:lineRule="auto"/>
        <w:rPr>
          <w:rFonts w:ascii="SimSun" w:hAnsi="SimSun" w:eastAsia="SimSun" w:cs="SimSun"/>
          <w:sz w:val="16"/>
          <w:szCs w:val="16"/>
        </w:rPr>
      </w:pPr>
      <w:r>
        <w:rPr>
          <w:rFonts w:ascii="SimSun" w:hAnsi="SimSun" w:eastAsia="SimSun" w:cs="SimSun"/>
          <w:sz w:val="16"/>
          <w:szCs w:val="16"/>
          <w:spacing w:val="-2"/>
        </w:rPr>
        <w:t>非市场服务业</w:t>
      </w:r>
    </w:p>
    <w:p>
      <w:pPr>
        <w:pStyle w:val="BodyText"/>
        <w:spacing w:line="14" w:lineRule="auto"/>
        <w:rPr>
          <w:sz w:val="2"/>
        </w:rPr>
      </w:pPr>
      <w:r>
        <w:rPr>
          <w:sz w:val="2"/>
          <w:szCs w:val="2"/>
        </w:rPr>
        <w:br w:type="column"/>
      </w:r>
    </w:p>
    <w:p>
      <w:pPr>
        <w:spacing w:before="57" w:line="218" w:lineRule="auto"/>
        <w:rPr>
          <w:rFonts w:ascii="SimSun" w:hAnsi="SimSun" w:eastAsia="SimSun" w:cs="SimSun"/>
          <w:sz w:val="16"/>
          <w:szCs w:val="16"/>
        </w:rPr>
      </w:pPr>
      <w:r>
        <w:rPr>
          <w:rFonts w:ascii="SimSun" w:hAnsi="SimSun" w:eastAsia="SimSun" w:cs="SimSun"/>
          <w:sz w:val="16"/>
          <w:szCs w:val="16"/>
          <w:b/>
          <w:bCs/>
          <w:spacing w:val="-3"/>
        </w:rPr>
        <w:t>劳动者平均净资本存量(元，2000年固定价格</w:t>
      </w:r>
    </w:p>
    <w:p>
      <w:pPr>
        <w:spacing w:line="84" w:lineRule="exact"/>
        <w:rPr/>
      </w:pPr>
      <w:r/>
    </w:p>
    <w:tbl>
      <w:tblPr>
        <w:tblStyle w:val="TableNormal"/>
        <w:tblW w:w="3344" w:type="dxa"/>
        <w:tblInd w:w="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06"/>
        <w:gridCol w:w="905"/>
        <w:gridCol w:w="926"/>
        <w:gridCol w:w="807"/>
      </w:tblGrid>
      <w:tr>
        <w:trPr>
          <w:trHeight w:val="4081" w:hRule="atLeast"/>
        </w:trPr>
        <w:tc>
          <w:tcPr>
            <w:tcW w:w="706" w:type="dxa"/>
            <w:vAlign w:val="top"/>
          </w:tcPr>
          <w:p>
            <w:pPr>
              <w:pStyle w:val="TableText"/>
              <w:spacing w:line="219" w:lineRule="auto"/>
              <w:rPr>
                <w:sz w:val="16"/>
                <w:szCs w:val="16"/>
              </w:rPr>
            </w:pPr>
            <w:r>
              <w:rPr>
                <w:sz w:val="16"/>
                <w:szCs w:val="16"/>
                <w:spacing w:val="-2"/>
              </w:rPr>
              <w:t>2001年</w:t>
            </w:r>
          </w:p>
          <w:p>
            <w:pPr>
              <w:pStyle w:val="TableText"/>
              <w:ind w:left="50"/>
              <w:spacing w:before="150" w:line="184" w:lineRule="auto"/>
              <w:rPr>
                <w:sz w:val="16"/>
                <w:szCs w:val="16"/>
              </w:rPr>
            </w:pPr>
            <w:r>
              <w:rPr>
                <w:sz w:val="16"/>
                <w:szCs w:val="16"/>
                <w:spacing w:val="-2"/>
              </w:rPr>
              <w:t>31001</w:t>
            </w:r>
          </w:p>
          <w:p>
            <w:pPr>
              <w:pStyle w:val="TableText"/>
              <w:ind w:left="29"/>
              <w:spacing w:before="110" w:line="184" w:lineRule="auto"/>
              <w:rPr>
                <w:sz w:val="16"/>
                <w:szCs w:val="16"/>
              </w:rPr>
            </w:pPr>
            <w:r>
              <w:rPr>
                <w:sz w:val="16"/>
                <w:szCs w:val="16"/>
                <w:spacing w:val="-3"/>
              </w:rPr>
              <w:t>127219</w:t>
            </w:r>
          </w:p>
          <w:p>
            <w:pPr>
              <w:pStyle w:val="TableText"/>
              <w:ind w:left="70"/>
              <w:spacing w:before="260" w:line="184" w:lineRule="auto"/>
              <w:rPr>
                <w:sz w:val="16"/>
                <w:szCs w:val="16"/>
              </w:rPr>
            </w:pPr>
            <w:r>
              <w:rPr>
                <w:sz w:val="16"/>
                <w:szCs w:val="16"/>
                <w:spacing w:val="-2"/>
              </w:rPr>
              <w:t>81701</w:t>
            </w:r>
          </w:p>
          <w:p>
            <w:pPr>
              <w:spacing w:line="337" w:lineRule="auto"/>
              <w:rPr>
                <w:rFonts w:ascii="Arial"/>
                <w:sz w:val="21"/>
              </w:rPr>
            </w:pPr>
            <w:r/>
          </w:p>
          <w:p>
            <w:pPr>
              <w:pStyle w:val="TableText"/>
              <w:ind w:left="70"/>
              <w:spacing w:before="52" w:line="183" w:lineRule="auto"/>
              <w:rPr>
                <w:sz w:val="16"/>
                <w:szCs w:val="16"/>
              </w:rPr>
            </w:pPr>
            <w:r>
              <w:rPr>
                <w:sz w:val="16"/>
                <w:szCs w:val="16"/>
                <w:spacing w:val="-2"/>
              </w:rPr>
              <w:t>32565</w:t>
            </w:r>
          </w:p>
          <w:p>
            <w:pPr>
              <w:spacing w:line="306" w:lineRule="auto"/>
              <w:rPr>
                <w:rFonts w:ascii="Arial"/>
                <w:sz w:val="21"/>
              </w:rPr>
            </w:pPr>
            <w:r/>
          </w:p>
          <w:p>
            <w:pPr>
              <w:pStyle w:val="TableText"/>
              <w:ind w:left="70"/>
              <w:spacing w:before="52" w:line="184" w:lineRule="auto"/>
              <w:rPr>
                <w:sz w:val="16"/>
                <w:szCs w:val="16"/>
              </w:rPr>
            </w:pPr>
            <w:r>
              <w:rPr>
                <w:sz w:val="16"/>
                <w:szCs w:val="16"/>
                <w:spacing w:val="-2"/>
              </w:rPr>
              <w:t>03219</w:t>
            </w:r>
          </w:p>
          <w:p>
            <w:pPr>
              <w:spacing w:line="316" w:lineRule="auto"/>
              <w:rPr>
                <w:rFonts w:ascii="Arial"/>
                <w:sz w:val="21"/>
              </w:rPr>
            </w:pPr>
            <w:r/>
          </w:p>
          <w:p>
            <w:pPr>
              <w:pStyle w:val="TableText"/>
              <w:ind w:left="29"/>
              <w:spacing w:before="53" w:line="184" w:lineRule="auto"/>
              <w:rPr>
                <w:sz w:val="16"/>
                <w:szCs w:val="16"/>
              </w:rPr>
            </w:pPr>
            <w:r>
              <w:rPr>
                <w:sz w:val="16"/>
                <w:szCs w:val="16"/>
                <w:spacing w:val="-3"/>
              </w:rPr>
              <w:t>111731</w:t>
            </w:r>
          </w:p>
          <w:p>
            <w:pPr>
              <w:pStyle w:val="TableText"/>
              <w:ind w:left="109"/>
              <w:spacing w:before="290" w:line="184" w:lineRule="auto"/>
              <w:rPr>
                <w:sz w:val="16"/>
                <w:szCs w:val="16"/>
              </w:rPr>
            </w:pPr>
            <w:r>
              <w:rPr>
                <w:sz w:val="16"/>
                <w:szCs w:val="16"/>
                <w:spacing w:val="-4"/>
              </w:rPr>
              <w:t>1675</w:t>
            </w:r>
          </w:p>
          <w:p>
            <w:pPr>
              <w:pStyle w:val="TableText"/>
              <w:ind w:left="29"/>
              <w:spacing w:before="131" w:line="184" w:lineRule="auto"/>
              <w:rPr>
                <w:sz w:val="16"/>
                <w:szCs w:val="16"/>
              </w:rPr>
            </w:pPr>
            <w:r>
              <w:rPr>
                <w:sz w:val="16"/>
                <w:szCs w:val="16"/>
                <w:spacing w:val="-3"/>
              </w:rPr>
              <w:t>175258</w:t>
            </w:r>
          </w:p>
          <w:p>
            <w:pPr>
              <w:pStyle w:val="TableText"/>
              <w:ind w:left="109"/>
              <w:spacing w:before="121" w:line="183" w:lineRule="auto"/>
              <w:rPr>
                <w:sz w:val="16"/>
                <w:szCs w:val="16"/>
              </w:rPr>
            </w:pPr>
            <w:r>
              <w:rPr>
                <w:sz w:val="16"/>
                <w:szCs w:val="16"/>
                <w:spacing w:val="-2"/>
              </w:rPr>
              <w:t>3854</w:t>
            </w:r>
          </w:p>
          <w:p>
            <w:pPr>
              <w:pStyle w:val="TableText"/>
              <w:ind w:left="70"/>
              <w:spacing w:before="131" w:line="130" w:lineRule="exact"/>
              <w:rPr>
                <w:sz w:val="16"/>
                <w:szCs w:val="16"/>
              </w:rPr>
            </w:pPr>
            <w:r>
              <w:rPr>
                <w:sz w:val="16"/>
                <w:szCs w:val="16"/>
                <w:spacing w:val="-3"/>
                <w:position w:val="-2"/>
              </w:rPr>
              <w:t>14746</w:t>
            </w:r>
          </w:p>
        </w:tc>
        <w:tc>
          <w:tcPr>
            <w:tcW w:w="905" w:type="dxa"/>
            <w:vAlign w:val="top"/>
          </w:tcPr>
          <w:p>
            <w:pPr>
              <w:pStyle w:val="TableText"/>
              <w:ind w:left="214"/>
              <w:spacing w:before="10" w:line="219" w:lineRule="auto"/>
              <w:rPr>
                <w:sz w:val="16"/>
                <w:szCs w:val="16"/>
              </w:rPr>
            </w:pPr>
            <w:r>
              <w:rPr>
                <w:sz w:val="16"/>
                <w:szCs w:val="16"/>
                <w:spacing w:val="-2"/>
              </w:rPr>
              <w:t>2007年</w:t>
            </w:r>
          </w:p>
          <w:p>
            <w:pPr>
              <w:pStyle w:val="TableText"/>
              <w:ind w:left="274"/>
              <w:spacing w:before="140" w:line="184" w:lineRule="auto"/>
              <w:rPr>
                <w:sz w:val="16"/>
                <w:szCs w:val="16"/>
              </w:rPr>
            </w:pPr>
            <w:r>
              <w:rPr>
                <w:sz w:val="16"/>
                <w:szCs w:val="16"/>
                <w:spacing w:val="-2"/>
              </w:rPr>
              <w:t>67971</w:t>
            </w:r>
          </w:p>
          <w:p>
            <w:pPr>
              <w:pStyle w:val="TableText"/>
              <w:ind w:left="263"/>
              <w:spacing w:before="110" w:line="184" w:lineRule="auto"/>
              <w:rPr>
                <w:sz w:val="16"/>
                <w:szCs w:val="16"/>
              </w:rPr>
            </w:pPr>
            <w:r>
              <w:rPr>
                <w:sz w:val="16"/>
                <w:szCs w:val="16"/>
                <w:spacing w:val="-2"/>
              </w:rPr>
              <w:t>89316</w:t>
            </w:r>
          </w:p>
          <w:p>
            <w:pPr>
              <w:pStyle w:val="TableText"/>
              <w:ind w:left="263"/>
              <w:spacing w:before="261" w:line="183" w:lineRule="auto"/>
              <w:rPr>
                <w:sz w:val="16"/>
                <w:szCs w:val="16"/>
              </w:rPr>
            </w:pPr>
            <w:r>
              <w:rPr>
                <w:sz w:val="16"/>
                <w:szCs w:val="16"/>
                <w:spacing w:val="-2"/>
              </w:rPr>
              <w:t>63866</w:t>
            </w:r>
          </w:p>
          <w:p>
            <w:pPr>
              <w:spacing w:line="346" w:lineRule="auto"/>
              <w:rPr>
                <w:rFonts w:ascii="Arial"/>
                <w:sz w:val="21"/>
              </w:rPr>
            </w:pPr>
            <w:r/>
          </w:p>
          <w:p>
            <w:pPr>
              <w:pStyle w:val="TableText"/>
              <w:ind w:left="263"/>
              <w:spacing w:before="52" w:line="184" w:lineRule="auto"/>
              <w:rPr>
                <w:sz w:val="16"/>
                <w:szCs w:val="16"/>
              </w:rPr>
            </w:pPr>
            <w:r>
              <w:rPr>
                <w:sz w:val="16"/>
                <w:szCs w:val="16"/>
                <w:spacing w:val="-2"/>
              </w:rPr>
              <w:t>57341</w:t>
            </w:r>
          </w:p>
          <w:p>
            <w:pPr>
              <w:spacing w:line="326" w:lineRule="auto"/>
              <w:rPr>
                <w:rFonts w:ascii="Arial"/>
                <w:sz w:val="21"/>
              </w:rPr>
            </w:pPr>
            <w:r/>
          </w:p>
          <w:p>
            <w:pPr>
              <w:pStyle w:val="TableText"/>
              <w:ind w:left="224"/>
              <w:spacing w:before="52" w:line="184" w:lineRule="auto"/>
              <w:rPr>
                <w:sz w:val="16"/>
                <w:szCs w:val="16"/>
              </w:rPr>
            </w:pPr>
            <w:r>
              <w:rPr>
                <w:sz w:val="16"/>
                <w:szCs w:val="16"/>
                <w:spacing w:val="-3"/>
              </w:rPr>
              <w:t>144624</w:t>
            </w:r>
          </w:p>
          <w:p>
            <w:pPr>
              <w:spacing w:line="287" w:lineRule="auto"/>
              <w:rPr>
                <w:rFonts w:ascii="Arial"/>
                <w:sz w:val="21"/>
              </w:rPr>
            </w:pPr>
            <w:r/>
          </w:p>
          <w:p>
            <w:pPr>
              <w:pStyle w:val="TableText"/>
              <w:ind w:left="224"/>
              <w:spacing w:before="53" w:line="183" w:lineRule="auto"/>
              <w:rPr>
                <w:sz w:val="16"/>
                <w:szCs w:val="16"/>
              </w:rPr>
            </w:pPr>
            <w:r>
              <w:rPr>
                <w:sz w:val="16"/>
                <w:szCs w:val="16"/>
                <w:spacing w:val="-2"/>
              </w:rPr>
              <w:t>242048</w:t>
            </w:r>
          </w:p>
          <w:p>
            <w:pPr>
              <w:pStyle w:val="TableText"/>
              <w:ind w:left="304"/>
              <w:spacing w:before="291" w:line="183" w:lineRule="auto"/>
              <w:rPr>
                <w:sz w:val="16"/>
                <w:szCs w:val="16"/>
              </w:rPr>
            </w:pPr>
            <w:r>
              <w:rPr>
                <w:sz w:val="16"/>
                <w:szCs w:val="16"/>
                <w:spacing w:val="-2"/>
              </w:rPr>
              <w:t>3905</w:t>
            </w:r>
          </w:p>
          <w:p>
            <w:pPr>
              <w:pStyle w:val="TableText"/>
              <w:ind w:left="224"/>
              <w:spacing w:before="142" w:line="183" w:lineRule="auto"/>
              <w:rPr>
                <w:sz w:val="16"/>
                <w:szCs w:val="16"/>
              </w:rPr>
            </w:pPr>
            <w:r>
              <w:rPr>
                <w:sz w:val="16"/>
                <w:szCs w:val="16"/>
                <w:spacing w:val="-2"/>
              </w:rPr>
              <w:t>265523</w:t>
            </w:r>
          </w:p>
          <w:p>
            <w:pPr>
              <w:pStyle w:val="TableText"/>
              <w:ind w:left="304"/>
              <w:spacing w:before="121" w:line="183" w:lineRule="auto"/>
              <w:rPr>
                <w:sz w:val="16"/>
                <w:szCs w:val="16"/>
              </w:rPr>
            </w:pPr>
            <w:r>
              <w:rPr>
                <w:sz w:val="16"/>
                <w:szCs w:val="16"/>
                <w:spacing w:val="-2"/>
              </w:rPr>
              <w:t>8658</w:t>
            </w:r>
          </w:p>
          <w:p>
            <w:pPr>
              <w:pStyle w:val="TableText"/>
              <w:ind w:left="263"/>
              <w:spacing w:before="141" w:line="110" w:lineRule="exact"/>
              <w:rPr>
                <w:sz w:val="16"/>
                <w:szCs w:val="16"/>
              </w:rPr>
            </w:pPr>
            <w:r>
              <w:rPr>
                <w:sz w:val="16"/>
                <w:szCs w:val="16"/>
                <w:spacing w:val="-1"/>
                <w:position w:val="-2"/>
              </w:rPr>
              <w:t>46200</w:t>
            </w:r>
          </w:p>
        </w:tc>
        <w:tc>
          <w:tcPr>
            <w:tcW w:w="926" w:type="dxa"/>
            <w:vAlign w:val="top"/>
          </w:tcPr>
          <w:p>
            <w:pPr>
              <w:pStyle w:val="TableText"/>
              <w:ind w:left="218"/>
              <w:spacing w:before="10" w:line="219" w:lineRule="auto"/>
              <w:rPr>
                <w:sz w:val="16"/>
                <w:szCs w:val="16"/>
              </w:rPr>
            </w:pPr>
            <w:r>
              <w:rPr>
                <w:sz w:val="16"/>
                <w:szCs w:val="16"/>
                <w:spacing w:val="-2"/>
              </w:rPr>
              <w:t>2012年</w:t>
            </w:r>
          </w:p>
          <w:p>
            <w:pPr>
              <w:pStyle w:val="TableText"/>
              <w:ind w:left="208"/>
              <w:spacing w:before="150" w:line="184" w:lineRule="auto"/>
              <w:rPr>
                <w:sz w:val="16"/>
                <w:szCs w:val="16"/>
              </w:rPr>
            </w:pPr>
            <w:r>
              <w:rPr>
                <w:sz w:val="16"/>
                <w:szCs w:val="16"/>
                <w:spacing w:val="-3"/>
              </w:rPr>
              <w:t>136933</w:t>
            </w:r>
          </w:p>
          <w:p>
            <w:pPr>
              <w:pStyle w:val="TableText"/>
              <w:ind w:left="239"/>
              <w:spacing w:before="101" w:line="183" w:lineRule="auto"/>
              <w:rPr>
                <w:sz w:val="16"/>
                <w:szCs w:val="16"/>
              </w:rPr>
            </w:pPr>
            <w:r>
              <w:rPr>
                <w:sz w:val="16"/>
                <w:szCs w:val="16"/>
                <w:spacing w:val="-2"/>
              </w:rPr>
              <w:t>239290</w:t>
            </w:r>
          </w:p>
          <w:p>
            <w:pPr>
              <w:pStyle w:val="TableText"/>
              <w:ind w:left="239"/>
              <w:spacing w:before="260" w:line="184" w:lineRule="auto"/>
              <w:rPr>
                <w:sz w:val="16"/>
                <w:szCs w:val="16"/>
              </w:rPr>
            </w:pPr>
            <w:r>
              <w:rPr>
                <w:sz w:val="16"/>
                <w:szCs w:val="16"/>
                <w:spacing w:val="-2"/>
              </w:rPr>
              <w:t>297241</w:t>
            </w:r>
          </w:p>
          <w:p>
            <w:pPr>
              <w:spacing w:line="336" w:lineRule="auto"/>
              <w:rPr>
                <w:rFonts w:ascii="Arial"/>
                <w:sz w:val="21"/>
              </w:rPr>
            </w:pPr>
            <w:r/>
          </w:p>
          <w:p>
            <w:pPr>
              <w:pStyle w:val="TableText"/>
              <w:ind w:left="239"/>
              <w:spacing w:before="52" w:line="184" w:lineRule="auto"/>
              <w:rPr>
                <w:sz w:val="16"/>
                <w:szCs w:val="16"/>
              </w:rPr>
            </w:pPr>
            <w:r>
              <w:rPr>
                <w:sz w:val="16"/>
                <w:szCs w:val="16"/>
                <w:spacing w:val="-3"/>
              </w:rPr>
              <w:t>112277</w:t>
            </w:r>
          </w:p>
          <w:p>
            <w:pPr>
              <w:spacing w:line="326" w:lineRule="auto"/>
              <w:rPr>
                <w:rFonts w:ascii="Arial"/>
                <w:sz w:val="21"/>
              </w:rPr>
            </w:pPr>
            <w:r/>
          </w:p>
          <w:p>
            <w:pPr>
              <w:pStyle w:val="TableText"/>
              <w:ind w:left="239"/>
              <w:spacing w:before="52" w:line="184" w:lineRule="auto"/>
              <w:rPr>
                <w:sz w:val="16"/>
                <w:szCs w:val="16"/>
              </w:rPr>
            </w:pPr>
            <w:r>
              <w:rPr>
                <w:sz w:val="16"/>
                <w:szCs w:val="16"/>
                <w:spacing w:val="-2"/>
              </w:rPr>
              <w:t>242159</w:t>
            </w:r>
          </w:p>
          <w:p>
            <w:pPr>
              <w:spacing w:line="296" w:lineRule="auto"/>
              <w:rPr>
                <w:rFonts w:ascii="Arial"/>
                <w:sz w:val="21"/>
              </w:rPr>
            </w:pPr>
            <w:r/>
          </w:p>
          <w:p>
            <w:pPr>
              <w:pStyle w:val="TableText"/>
              <w:ind w:left="239"/>
              <w:spacing w:before="53" w:line="184" w:lineRule="auto"/>
              <w:rPr>
                <w:sz w:val="16"/>
                <w:szCs w:val="16"/>
              </w:rPr>
            </w:pPr>
            <w:r>
              <w:rPr>
                <w:sz w:val="16"/>
                <w:szCs w:val="16"/>
                <w:spacing w:val="-1"/>
              </w:rPr>
              <w:t>455731</w:t>
            </w:r>
          </w:p>
          <w:p>
            <w:pPr>
              <w:pStyle w:val="TableText"/>
              <w:ind w:left="278"/>
              <w:spacing w:before="290" w:line="184" w:lineRule="auto"/>
              <w:rPr>
                <w:sz w:val="16"/>
                <w:szCs w:val="16"/>
              </w:rPr>
            </w:pPr>
            <w:r>
              <w:rPr>
                <w:sz w:val="16"/>
                <w:szCs w:val="16"/>
                <w:spacing w:val="-3"/>
              </w:rPr>
              <w:t>12677</w:t>
            </w:r>
          </w:p>
          <w:p>
            <w:pPr>
              <w:pStyle w:val="TableText"/>
              <w:ind w:left="239"/>
              <w:spacing w:before="152" w:line="183" w:lineRule="auto"/>
              <w:rPr>
                <w:sz w:val="16"/>
                <w:szCs w:val="16"/>
              </w:rPr>
            </w:pPr>
            <w:r>
              <w:rPr>
                <w:sz w:val="16"/>
                <w:szCs w:val="16"/>
                <w:spacing w:val="-1"/>
              </w:rPr>
              <w:t>455637</w:t>
            </w:r>
          </w:p>
          <w:p>
            <w:pPr>
              <w:pStyle w:val="TableText"/>
              <w:ind w:left="278"/>
              <w:spacing w:before="100" w:line="184" w:lineRule="auto"/>
              <w:rPr>
                <w:sz w:val="16"/>
                <w:szCs w:val="16"/>
              </w:rPr>
            </w:pPr>
            <w:r>
              <w:rPr>
                <w:sz w:val="16"/>
                <w:szCs w:val="16"/>
                <w:spacing w:val="-3"/>
              </w:rPr>
              <w:t>15549</w:t>
            </w:r>
          </w:p>
          <w:p>
            <w:pPr>
              <w:pStyle w:val="TableText"/>
              <w:ind w:left="239"/>
              <w:spacing w:before="161" w:line="100" w:lineRule="exact"/>
              <w:rPr>
                <w:sz w:val="16"/>
                <w:szCs w:val="16"/>
              </w:rPr>
            </w:pPr>
            <w:r>
              <w:rPr>
                <w:sz w:val="16"/>
                <w:szCs w:val="16"/>
                <w:spacing w:val="-3"/>
                <w:position w:val="-3"/>
              </w:rPr>
              <w:t>107297</w:t>
            </w:r>
          </w:p>
        </w:tc>
        <w:tc>
          <w:tcPr>
            <w:tcW w:w="807" w:type="dxa"/>
            <w:vAlign w:val="top"/>
          </w:tcPr>
          <w:p>
            <w:pPr>
              <w:pStyle w:val="TableText"/>
              <w:ind w:left="263"/>
              <w:spacing w:before="10" w:line="219" w:lineRule="auto"/>
              <w:rPr>
                <w:sz w:val="16"/>
                <w:szCs w:val="16"/>
              </w:rPr>
            </w:pPr>
            <w:r>
              <w:rPr>
                <w:sz w:val="16"/>
                <w:szCs w:val="16"/>
                <w:spacing w:val="-2"/>
              </w:rPr>
              <w:t>2018年</w:t>
            </w:r>
          </w:p>
          <w:p>
            <w:pPr>
              <w:pStyle w:val="TableText"/>
              <w:ind w:left="292"/>
              <w:spacing w:before="141" w:line="183" w:lineRule="auto"/>
              <w:rPr>
                <w:sz w:val="16"/>
                <w:szCs w:val="16"/>
              </w:rPr>
            </w:pPr>
            <w:r>
              <w:rPr>
                <w:sz w:val="16"/>
                <w:szCs w:val="16"/>
                <w:spacing w:val="-2"/>
              </w:rPr>
              <w:t>249296</w:t>
            </w:r>
          </w:p>
          <w:p>
            <w:pPr>
              <w:pStyle w:val="TableText"/>
              <w:spacing w:before="110" w:line="184" w:lineRule="auto"/>
              <w:jc w:val="right"/>
              <w:rPr>
                <w:sz w:val="16"/>
                <w:szCs w:val="16"/>
              </w:rPr>
            </w:pPr>
            <w:r>
              <w:rPr>
                <w:sz w:val="16"/>
                <w:szCs w:val="16"/>
                <w:spacing w:val="-2"/>
              </w:rPr>
              <w:t>465517</w:t>
            </w:r>
          </w:p>
          <w:p>
            <w:pPr>
              <w:pStyle w:val="TableText"/>
              <w:ind w:right="1"/>
              <w:spacing w:before="260" w:line="184" w:lineRule="auto"/>
              <w:jc w:val="right"/>
              <w:rPr>
                <w:sz w:val="16"/>
                <w:szCs w:val="16"/>
              </w:rPr>
            </w:pPr>
            <w:r>
              <w:rPr>
                <w:sz w:val="16"/>
                <w:szCs w:val="16"/>
                <w:spacing w:val="-2"/>
              </w:rPr>
              <w:t>328140</w:t>
            </w:r>
          </w:p>
          <w:p>
            <w:pPr>
              <w:spacing w:line="357" w:lineRule="auto"/>
              <w:rPr>
                <w:rFonts w:ascii="Arial"/>
                <w:sz w:val="21"/>
              </w:rPr>
            </w:pPr>
            <w:r/>
          </w:p>
          <w:p>
            <w:pPr>
              <w:pStyle w:val="TableText"/>
              <w:spacing w:before="52" w:line="183" w:lineRule="auto"/>
              <w:jc w:val="right"/>
              <w:rPr>
                <w:sz w:val="16"/>
                <w:szCs w:val="16"/>
              </w:rPr>
            </w:pPr>
            <w:r>
              <w:rPr>
                <w:sz w:val="16"/>
                <w:szCs w:val="16"/>
                <w:spacing w:val="-2"/>
              </w:rPr>
              <w:t>227007</w:t>
            </w:r>
          </w:p>
          <w:p>
            <w:pPr>
              <w:spacing w:line="306" w:lineRule="auto"/>
              <w:rPr>
                <w:rFonts w:ascii="Arial"/>
                <w:sz w:val="21"/>
              </w:rPr>
            </w:pPr>
            <w:r/>
          </w:p>
          <w:p>
            <w:pPr>
              <w:pStyle w:val="TableText"/>
              <w:ind w:right="1"/>
              <w:spacing w:before="52" w:line="184" w:lineRule="auto"/>
              <w:jc w:val="right"/>
              <w:rPr>
                <w:sz w:val="16"/>
                <w:szCs w:val="16"/>
              </w:rPr>
            </w:pPr>
            <w:r>
              <w:rPr>
                <w:sz w:val="16"/>
                <w:szCs w:val="16"/>
                <w:spacing w:val="-2"/>
              </w:rPr>
              <w:t>353611</w:t>
            </w:r>
          </w:p>
          <w:p>
            <w:pPr>
              <w:spacing w:line="297" w:lineRule="auto"/>
              <w:rPr>
                <w:rFonts w:ascii="Arial"/>
                <w:sz w:val="21"/>
              </w:rPr>
            </w:pPr>
            <w:r/>
          </w:p>
          <w:p>
            <w:pPr>
              <w:pStyle w:val="TableText"/>
              <w:spacing w:before="53" w:line="183" w:lineRule="auto"/>
              <w:jc w:val="right"/>
              <w:rPr>
                <w:sz w:val="16"/>
                <w:szCs w:val="16"/>
              </w:rPr>
            </w:pPr>
            <w:r>
              <w:rPr>
                <w:sz w:val="16"/>
                <w:szCs w:val="16"/>
                <w:spacing w:val="-2"/>
              </w:rPr>
              <w:t>657764</w:t>
            </w:r>
          </w:p>
          <w:p>
            <w:pPr>
              <w:spacing w:line="247" w:lineRule="auto"/>
              <w:rPr>
                <w:rFonts w:ascii="Arial"/>
                <w:sz w:val="21"/>
              </w:rPr>
            </w:pPr>
            <w:r/>
          </w:p>
          <w:p>
            <w:pPr>
              <w:pStyle w:val="TableText"/>
              <w:spacing w:before="52" w:line="183" w:lineRule="auto"/>
              <w:jc w:val="right"/>
              <w:rPr>
                <w:sz w:val="16"/>
                <w:szCs w:val="16"/>
              </w:rPr>
            </w:pPr>
            <w:r>
              <w:rPr>
                <w:sz w:val="16"/>
                <w:szCs w:val="16"/>
                <w:spacing w:val="-2"/>
              </w:rPr>
              <w:t>48382</w:t>
            </w:r>
          </w:p>
          <w:p>
            <w:pPr>
              <w:pStyle w:val="TableText"/>
              <w:ind w:left="212"/>
              <w:spacing w:before="121" w:line="184" w:lineRule="auto"/>
              <w:rPr>
                <w:sz w:val="16"/>
                <w:szCs w:val="16"/>
              </w:rPr>
            </w:pPr>
            <w:r>
              <w:rPr>
                <w:sz w:val="16"/>
                <w:szCs w:val="16"/>
                <w:spacing w:val="-3"/>
              </w:rPr>
              <w:t>1526455</w:t>
            </w:r>
          </w:p>
          <w:p>
            <w:pPr>
              <w:pStyle w:val="TableText"/>
              <w:spacing w:before="121" w:line="183" w:lineRule="auto"/>
              <w:jc w:val="right"/>
              <w:rPr>
                <w:sz w:val="16"/>
                <w:szCs w:val="16"/>
              </w:rPr>
            </w:pPr>
            <w:r>
              <w:rPr>
                <w:sz w:val="16"/>
                <w:szCs w:val="16"/>
                <w:spacing w:val="-2"/>
              </w:rPr>
              <w:t>24654</w:t>
            </w:r>
          </w:p>
          <w:p>
            <w:pPr>
              <w:pStyle w:val="TableText"/>
              <w:spacing w:before="152" w:line="109" w:lineRule="exact"/>
              <w:jc w:val="right"/>
              <w:rPr>
                <w:sz w:val="16"/>
                <w:szCs w:val="16"/>
              </w:rPr>
            </w:pPr>
            <w:r>
              <w:rPr>
                <w:sz w:val="16"/>
                <w:szCs w:val="16"/>
                <w:spacing w:val="-2"/>
                <w:position w:val="-2"/>
              </w:rPr>
              <w:t>246029</w:t>
            </w:r>
          </w:p>
        </w:tc>
      </w:tr>
    </w:tbl>
    <w:p>
      <w:pPr>
        <w:pStyle w:val="BodyText"/>
        <w:spacing w:line="14" w:lineRule="auto"/>
        <w:rPr>
          <w:sz w:val="2"/>
        </w:rPr>
      </w:pPr>
      <w:r/>
    </w:p>
    <w:p>
      <w:pPr>
        <w:pStyle w:val="BodyText"/>
        <w:spacing w:line="14" w:lineRule="auto"/>
        <w:rPr>
          <w:sz w:val="2"/>
        </w:rPr>
      </w:pPr>
      <w:r>
        <w:rPr>
          <w:sz w:val="2"/>
          <w:szCs w:val="2"/>
        </w:rPr>
        <w:br w:type="column"/>
      </w:r>
    </w:p>
    <w:p>
      <w:pPr>
        <w:ind w:right="538" w:firstLine="1540"/>
        <w:spacing w:before="30" w:line="283" w:lineRule="auto"/>
        <w:rPr>
          <w:rFonts w:ascii="SimSun" w:hAnsi="SimSun" w:eastAsia="SimSun" w:cs="SimSun"/>
          <w:sz w:val="16"/>
          <w:szCs w:val="16"/>
        </w:rPr>
      </w:pPr>
      <w:r>
        <w:rPr>
          <w:rFonts w:ascii="SimSun" w:hAnsi="SimSun" w:eastAsia="SimSun" w:cs="SimSun"/>
          <w:sz w:val="16"/>
          <w:szCs w:val="16"/>
          <w:spacing w:val="3"/>
        </w:rPr>
        <w:t>年平均增长率(%)  </w:t>
      </w:r>
      <w:r>
        <w:rPr>
          <w:rFonts w:ascii="SimSun" w:hAnsi="SimSun" w:eastAsia="SimSun" w:cs="SimSun"/>
          <w:sz w:val="16"/>
          <w:szCs w:val="16"/>
        </w:rPr>
        <w:t>2001—2007年2007—2012年</w:t>
      </w:r>
      <w:r>
        <w:rPr>
          <w:rFonts w:ascii="SimSun" w:hAnsi="SimSun" w:eastAsia="SimSun" w:cs="SimSun"/>
          <w:sz w:val="16"/>
          <w:szCs w:val="16"/>
          <w:spacing w:val="-1"/>
        </w:rPr>
        <w:t>2012—2018年</w:t>
      </w:r>
    </w:p>
    <w:p>
      <w:pPr>
        <w:spacing w:line="160" w:lineRule="exact"/>
        <w:rPr/>
      </w:pPr>
      <w:r/>
    </w:p>
    <w:tbl>
      <w:tblPr>
        <w:tblStyle w:val="TableNormal"/>
        <w:tblW w:w="2681" w:type="dxa"/>
        <w:tblInd w:w="3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1"/>
        <w:gridCol w:w="1145"/>
        <w:gridCol w:w="755"/>
      </w:tblGrid>
      <w:tr>
        <w:trPr>
          <w:trHeight w:val="3730" w:hRule="atLeast"/>
        </w:trPr>
        <w:tc>
          <w:tcPr>
            <w:tcW w:w="781" w:type="dxa"/>
            <w:vAlign w:val="top"/>
          </w:tcPr>
          <w:p>
            <w:pPr>
              <w:pStyle w:val="TableText"/>
              <w:ind w:left="70"/>
              <w:spacing w:line="260" w:lineRule="exact"/>
              <w:rPr>
                <w:sz w:val="16"/>
                <w:szCs w:val="16"/>
              </w:rPr>
            </w:pPr>
            <w:r>
              <w:rPr>
                <w:sz w:val="16"/>
                <w:szCs w:val="16"/>
                <w:spacing w:val="-4"/>
                <w:position w:val="10"/>
              </w:rPr>
              <w:t>14.0</w:t>
            </w:r>
          </w:p>
          <w:p>
            <w:pPr>
              <w:pStyle w:val="TableText"/>
              <w:ind w:left="39"/>
              <w:spacing w:line="183" w:lineRule="auto"/>
              <w:rPr>
                <w:sz w:val="16"/>
                <w:szCs w:val="16"/>
              </w:rPr>
            </w:pPr>
            <w:r>
              <w:rPr>
                <w:sz w:val="16"/>
                <w:szCs w:val="16"/>
                <w:spacing w:val="-2"/>
              </w:rPr>
              <w:t>6.8</w:t>
            </w:r>
          </w:p>
          <w:p>
            <w:pPr>
              <w:pStyle w:val="TableText"/>
              <w:spacing w:before="260" w:line="184" w:lineRule="auto"/>
              <w:rPr>
                <w:sz w:val="16"/>
                <w:szCs w:val="16"/>
              </w:rPr>
            </w:pPr>
            <w:r>
              <w:rPr>
                <w:sz w:val="16"/>
                <w:szCs w:val="16"/>
                <w:spacing w:val="-4"/>
              </w:rPr>
              <w:t>12.3</w:t>
            </w:r>
          </w:p>
          <w:p>
            <w:pPr>
              <w:spacing w:line="357" w:lineRule="auto"/>
              <w:rPr>
                <w:rFonts w:ascii="Arial"/>
                <w:sz w:val="21"/>
              </w:rPr>
            </w:pPr>
            <w:r/>
          </w:p>
          <w:p>
            <w:pPr>
              <w:pStyle w:val="TableText"/>
              <w:ind w:left="39"/>
              <w:spacing w:before="52" w:line="183" w:lineRule="auto"/>
              <w:rPr>
                <w:sz w:val="16"/>
                <w:szCs w:val="16"/>
              </w:rPr>
            </w:pPr>
            <w:r>
              <w:rPr>
                <w:sz w:val="16"/>
                <w:szCs w:val="16"/>
                <w:spacing w:val="-2"/>
              </w:rPr>
              <w:t>9.9</w:t>
            </w:r>
          </w:p>
          <w:p>
            <w:pPr>
              <w:spacing w:line="327" w:lineRule="auto"/>
              <w:rPr>
                <w:rFonts w:ascii="Arial"/>
                <w:sz w:val="21"/>
              </w:rPr>
            </w:pPr>
            <w:r/>
          </w:p>
          <w:p>
            <w:pPr>
              <w:pStyle w:val="TableText"/>
              <w:ind w:left="39"/>
              <w:spacing w:before="52" w:line="183" w:lineRule="auto"/>
              <w:rPr>
                <w:sz w:val="16"/>
                <w:szCs w:val="16"/>
              </w:rPr>
            </w:pPr>
            <w:r>
              <w:rPr>
                <w:sz w:val="16"/>
                <w:szCs w:val="16"/>
                <w:spacing w:val="-3"/>
              </w:rPr>
              <w:t>5.8</w:t>
            </w:r>
          </w:p>
          <w:p>
            <w:pPr>
              <w:spacing w:line="276" w:lineRule="auto"/>
              <w:rPr>
                <w:rFonts w:ascii="Arial"/>
                <w:sz w:val="21"/>
              </w:rPr>
            </w:pPr>
            <w:r/>
          </w:p>
          <w:p>
            <w:pPr>
              <w:pStyle w:val="TableText"/>
              <w:spacing w:before="52" w:line="184" w:lineRule="auto"/>
              <w:rPr>
                <w:sz w:val="16"/>
                <w:szCs w:val="16"/>
              </w:rPr>
            </w:pPr>
            <w:r>
              <w:rPr>
                <w:sz w:val="16"/>
                <w:szCs w:val="16"/>
                <w:spacing w:val="-4"/>
              </w:rPr>
              <w:t>13.8</w:t>
            </w:r>
          </w:p>
          <w:p>
            <w:pPr>
              <w:pStyle w:val="TableText"/>
              <w:spacing w:before="291" w:line="290" w:lineRule="exact"/>
              <w:rPr>
                <w:sz w:val="16"/>
                <w:szCs w:val="16"/>
              </w:rPr>
            </w:pPr>
            <w:r>
              <w:rPr>
                <w:sz w:val="16"/>
                <w:szCs w:val="16"/>
                <w:spacing w:val="-4"/>
                <w:position w:val="12"/>
              </w:rPr>
              <w:t>15.1</w:t>
            </w:r>
          </w:p>
          <w:p>
            <w:pPr>
              <w:pStyle w:val="TableText"/>
              <w:ind w:left="39"/>
              <w:spacing w:before="1" w:line="182" w:lineRule="auto"/>
              <w:rPr>
                <w:sz w:val="16"/>
                <w:szCs w:val="16"/>
              </w:rPr>
            </w:pPr>
            <w:r>
              <w:rPr>
                <w:sz w:val="16"/>
                <w:szCs w:val="16"/>
                <w:spacing w:val="-3"/>
              </w:rPr>
              <w:t>7.2</w:t>
            </w:r>
          </w:p>
          <w:p>
            <w:pPr>
              <w:pStyle w:val="TableText"/>
              <w:spacing w:before="149" w:line="184" w:lineRule="auto"/>
              <w:rPr>
                <w:sz w:val="16"/>
                <w:szCs w:val="16"/>
              </w:rPr>
            </w:pPr>
            <w:r>
              <w:rPr>
                <w:sz w:val="16"/>
                <w:szCs w:val="16"/>
                <w:spacing w:val="-4"/>
              </w:rPr>
              <w:t>14.4</w:t>
            </w:r>
          </w:p>
          <w:p>
            <w:pPr>
              <w:pStyle w:val="TableText"/>
              <w:spacing w:before="121" w:line="112" w:lineRule="exact"/>
              <w:rPr>
                <w:sz w:val="16"/>
                <w:szCs w:val="16"/>
              </w:rPr>
            </w:pPr>
            <w:r>
              <w:rPr>
                <w:sz w:val="16"/>
                <w:szCs w:val="16"/>
                <w:spacing w:val="-2"/>
                <w:position w:val="-2"/>
              </w:rPr>
              <w:t>21.0</w:t>
            </w:r>
          </w:p>
        </w:tc>
        <w:tc>
          <w:tcPr>
            <w:tcW w:w="1145" w:type="dxa"/>
            <w:vAlign w:val="top"/>
          </w:tcPr>
          <w:p>
            <w:pPr>
              <w:pStyle w:val="TableText"/>
              <w:ind w:left="449"/>
              <w:spacing w:before="9" w:line="251" w:lineRule="exact"/>
              <w:rPr>
                <w:sz w:val="16"/>
                <w:szCs w:val="16"/>
              </w:rPr>
            </w:pPr>
            <w:r>
              <w:rPr>
                <w:sz w:val="16"/>
                <w:szCs w:val="16"/>
                <w:spacing w:val="-4"/>
                <w:position w:val="9"/>
              </w:rPr>
              <w:t>15.0</w:t>
            </w:r>
          </w:p>
          <w:p>
            <w:pPr>
              <w:pStyle w:val="TableText"/>
              <w:ind w:left="449"/>
              <w:spacing w:line="183" w:lineRule="auto"/>
              <w:rPr>
                <w:sz w:val="16"/>
                <w:szCs w:val="16"/>
              </w:rPr>
            </w:pPr>
            <w:r>
              <w:rPr>
                <w:sz w:val="16"/>
                <w:szCs w:val="16"/>
                <w:spacing w:val="-2"/>
              </w:rPr>
              <w:t>4.8</w:t>
            </w:r>
          </w:p>
          <w:p>
            <w:pPr>
              <w:pStyle w:val="TableText"/>
              <w:ind w:left="408"/>
              <w:spacing w:before="260" w:line="184" w:lineRule="auto"/>
              <w:rPr>
                <w:sz w:val="16"/>
                <w:szCs w:val="16"/>
              </w:rPr>
            </w:pPr>
            <w:r>
              <w:rPr>
                <w:sz w:val="16"/>
                <w:szCs w:val="16"/>
                <w:spacing w:val="-4"/>
              </w:rPr>
              <w:t>12.6</w:t>
            </w:r>
          </w:p>
          <w:p>
            <w:pPr>
              <w:spacing w:line="356" w:lineRule="auto"/>
              <w:rPr>
                <w:rFonts w:ascii="Arial"/>
                <w:sz w:val="21"/>
              </w:rPr>
            </w:pPr>
            <w:r/>
          </w:p>
          <w:p>
            <w:pPr>
              <w:pStyle w:val="TableText"/>
              <w:ind w:left="408"/>
              <w:spacing w:before="52" w:line="184" w:lineRule="auto"/>
              <w:rPr>
                <w:sz w:val="16"/>
                <w:szCs w:val="16"/>
              </w:rPr>
            </w:pPr>
            <w:r>
              <w:rPr>
                <w:sz w:val="16"/>
                <w:szCs w:val="16"/>
                <w:spacing w:val="-4"/>
              </w:rPr>
              <w:t>14.4</w:t>
            </w:r>
          </w:p>
          <w:p>
            <w:pPr>
              <w:spacing w:line="326" w:lineRule="auto"/>
              <w:rPr>
                <w:rFonts w:ascii="Arial"/>
                <w:sz w:val="21"/>
              </w:rPr>
            </w:pPr>
            <w:r/>
          </w:p>
          <w:p>
            <w:pPr>
              <w:pStyle w:val="TableText"/>
              <w:ind w:left="408"/>
              <w:spacing w:before="52" w:line="184" w:lineRule="auto"/>
              <w:rPr>
                <w:sz w:val="16"/>
                <w:szCs w:val="16"/>
              </w:rPr>
            </w:pPr>
            <w:r>
              <w:rPr>
                <w:sz w:val="16"/>
                <w:szCs w:val="16"/>
                <w:spacing w:val="-4"/>
              </w:rPr>
              <w:t>10.9</w:t>
            </w:r>
          </w:p>
          <w:p>
            <w:pPr>
              <w:spacing w:line="276" w:lineRule="auto"/>
              <w:rPr>
                <w:rFonts w:ascii="Arial"/>
                <w:sz w:val="21"/>
              </w:rPr>
            </w:pPr>
            <w:r/>
          </w:p>
          <w:p>
            <w:pPr>
              <w:pStyle w:val="TableText"/>
              <w:ind w:left="408"/>
              <w:spacing w:before="52" w:line="184" w:lineRule="auto"/>
              <w:rPr>
                <w:sz w:val="16"/>
                <w:szCs w:val="16"/>
              </w:rPr>
            </w:pPr>
            <w:r>
              <w:rPr>
                <w:sz w:val="16"/>
                <w:szCs w:val="16"/>
                <w:spacing w:val="-4"/>
              </w:rPr>
              <w:t>13.5</w:t>
            </w:r>
          </w:p>
          <w:p>
            <w:pPr>
              <w:spacing w:line="257" w:lineRule="auto"/>
              <w:rPr>
                <w:rFonts w:ascii="Arial"/>
                <w:sz w:val="21"/>
              </w:rPr>
            </w:pPr>
            <w:r/>
          </w:p>
          <w:p>
            <w:pPr>
              <w:pStyle w:val="TableText"/>
              <w:ind w:left="408"/>
              <w:spacing w:before="53" w:line="276" w:lineRule="exact"/>
              <w:rPr>
                <w:sz w:val="16"/>
                <w:szCs w:val="16"/>
              </w:rPr>
            </w:pPr>
            <w:r>
              <w:rPr>
                <w:sz w:val="16"/>
                <w:szCs w:val="16"/>
                <w:spacing w:val="-2"/>
                <w:position w:val="11"/>
              </w:rPr>
              <w:t>26.6</w:t>
            </w:r>
          </w:p>
          <w:p>
            <w:pPr>
              <w:pStyle w:val="TableText"/>
              <w:ind w:left="408"/>
              <w:spacing w:line="182" w:lineRule="auto"/>
              <w:rPr>
                <w:sz w:val="16"/>
                <w:szCs w:val="16"/>
              </w:rPr>
            </w:pPr>
            <w:r>
              <w:rPr>
                <w:sz w:val="16"/>
                <w:szCs w:val="16"/>
                <w:spacing w:val="-4"/>
              </w:rPr>
              <w:t>11.4</w:t>
            </w:r>
          </w:p>
          <w:p>
            <w:pPr>
              <w:pStyle w:val="TableText"/>
              <w:ind w:left="408"/>
              <w:spacing w:before="139" w:line="182" w:lineRule="auto"/>
              <w:rPr>
                <w:sz w:val="16"/>
                <w:szCs w:val="16"/>
              </w:rPr>
            </w:pPr>
            <w:r>
              <w:rPr>
                <w:sz w:val="16"/>
                <w:szCs w:val="16"/>
                <w:spacing w:val="-4"/>
              </w:rPr>
              <w:t>12.4</w:t>
            </w:r>
          </w:p>
          <w:p>
            <w:pPr>
              <w:pStyle w:val="TableText"/>
              <w:ind w:left="408"/>
              <w:spacing w:before="128" w:line="111" w:lineRule="exact"/>
              <w:rPr>
                <w:sz w:val="16"/>
                <w:szCs w:val="16"/>
              </w:rPr>
            </w:pPr>
            <w:r>
              <w:rPr>
                <w:sz w:val="16"/>
                <w:szCs w:val="16"/>
                <w:spacing w:val="-4"/>
                <w:position w:val="-2"/>
              </w:rPr>
              <w:t>18.4</w:t>
            </w:r>
          </w:p>
        </w:tc>
        <w:tc>
          <w:tcPr>
            <w:tcW w:w="755" w:type="dxa"/>
            <w:vAlign w:val="top"/>
          </w:tcPr>
          <w:p>
            <w:pPr>
              <w:pStyle w:val="TableText"/>
              <w:spacing w:before="9" w:line="250" w:lineRule="exact"/>
              <w:jc w:val="right"/>
              <w:rPr>
                <w:sz w:val="16"/>
                <w:szCs w:val="16"/>
              </w:rPr>
            </w:pPr>
            <w:r>
              <w:rPr>
                <w:sz w:val="16"/>
                <w:szCs w:val="16"/>
                <w:spacing w:val="-5"/>
                <w:position w:val="9"/>
              </w:rPr>
              <w:t>10.5</w:t>
            </w:r>
          </w:p>
          <w:p>
            <w:pPr>
              <w:pStyle w:val="TableText"/>
              <w:ind w:left="394"/>
              <w:spacing w:line="183" w:lineRule="auto"/>
              <w:rPr>
                <w:sz w:val="16"/>
                <w:szCs w:val="16"/>
              </w:rPr>
            </w:pPr>
            <w:r>
              <w:rPr>
                <w:sz w:val="16"/>
                <w:szCs w:val="16"/>
                <w:spacing w:val="-4"/>
              </w:rPr>
              <w:t>11.7</w:t>
            </w:r>
          </w:p>
          <w:p>
            <w:pPr>
              <w:pStyle w:val="TableText"/>
              <w:ind w:left="433"/>
              <w:spacing w:before="260" w:line="184" w:lineRule="auto"/>
              <w:rPr>
                <w:sz w:val="16"/>
                <w:szCs w:val="16"/>
              </w:rPr>
            </w:pPr>
            <w:r>
              <w:rPr>
                <w:sz w:val="16"/>
                <w:szCs w:val="16"/>
                <w:spacing w:val="-5"/>
              </w:rPr>
              <w:t>1.7</w:t>
            </w:r>
          </w:p>
          <w:p>
            <w:pPr>
              <w:spacing w:line="346" w:lineRule="auto"/>
              <w:rPr>
                <w:rFonts w:ascii="Arial"/>
                <w:sz w:val="21"/>
              </w:rPr>
            </w:pPr>
            <w:r/>
          </w:p>
          <w:p>
            <w:pPr>
              <w:pStyle w:val="TableText"/>
              <w:ind w:left="394"/>
              <w:spacing w:before="52" w:line="184" w:lineRule="auto"/>
              <w:rPr>
                <w:sz w:val="16"/>
                <w:szCs w:val="16"/>
              </w:rPr>
            </w:pPr>
            <w:r>
              <w:rPr>
                <w:sz w:val="16"/>
                <w:szCs w:val="16"/>
                <w:spacing w:val="-4"/>
              </w:rPr>
              <w:t>12.4</w:t>
            </w:r>
          </w:p>
          <w:p>
            <w:pPr>
              <w:spacing w:line="337" w:lineRule="auto"/>
              <w:rPr>
                <w:rFonts w:ascii="Arial"/>
                <w:sz w:val="21"/>
              </w:rPr>
            </w:pPr>
            <w:r/>
          </w:p>
          <w:p>
            <w:pPr>
              <w:pStyle w:val="TableText"/>
              <w:ind w:left="433"/>
              <w:spacing w:before="52" w:line="183" w:lineRule="auto"/>
              <w:rPr>
                <w:sz w:val="16"/>
                <w:szCs w:val="16"/>
              </w:rPr>
            </w:pPr>
            <w:r>
              <w:rPr>
                <w:sz w:val="16"/>
                <w:szCs w:val="16"/>
                <w:spacing w:val="-2"/>
              </w:rPr>
              <w:t>6.5</w:t>
            </w:r>
          </w:p>
          <w:p>
            <w:pPr>
              <w:spacing w:line="337" w:lineRule="auto"/>
              <w:rPr>
                <w:rFonts w:ascii="Arial"/>
                <w:sz w:val="21"/>
              </w:rPr>
            </w:pPr>
            <w:r/>
          </w:p>
          <w:p>
            <w:pPr>
              <w:pStyle w:val="TableText"/>
              <w:ind w:left="433"/>
              <w:spacing w:before="53" w:line="183" w:lineRule="auto"/>
              <w:rPr>
                <w:sz w:val="16"/>
                <w:szCs w:val="16"/>
              </w:rPr>
            </w:pPr>
            <w:r>
              <w:rPr>
                <w:sz w:val="16"/>
                <w:szCs w:val="16"/>
                <w:spacing w:val="-2"/>
              </w:rPr>
              <w:t>6.3</w:t>
            </w:r>
          </w:p>
          <w:p>
            <w:pPr>
              <w:pStyle w:val="TableText"/>
              <w:ind w:left="394" w:right="49"/>
              <w:spacing w:before="251" w:line="330" w:lineRule="auto"/>
              <w:jc w:val="both"/>
              <w:rPr>
                <w:sz w:val="16"/>
                <w:szCs w:val="16"/>
              </w:rPr>
            </w:pPr>
            <w:r>
              <w:rPr>
                <w:sz w:val="16"/>
                <w:szCs w:val="16"/>
                <w:spacing w:val="-3"/>
              </w:rPr>
              <w:t>25.0</w:t>
            </w:r>
            <w:r>
              <w:rPr>
                <w:sz w:val="16"/>
                <w:szCs w:val="16"/>
                <w:spacing w:val="2"/>
              </w:rPr>
              <w:t xml:space="preserve"> </w:t>
            </w:r>
            <w:r>
              <w:rPr>
                <w:sz w:val="16"/>
                <w:szCs w:val="16"/>
                <w:spacing w:val="-3"/>
              </w:rPr>
              <w:t>22.3</w:t>
            </w:r>
            <w:r>
              <w:rPr>
                <w:sz w:val="16"/>
                <w:szCs w:val="16"/>
                <w:spacing w:val="2"/>
              </w:rPr>
              <w:t xml:space="preserve"> </w:t>
            </w:r>
            <w:r>
              <w:rPr>
                <w:sz w:val="16"/>
                <w:szCs w:val="16"/>
                <w:spacing w:val="11"/>
              </w:rPr>
              <w:t>8.0</w:t>
            </w:r>
          </w:p>
          <w:p>
            <w:pPr>
              <w:pStyle w:val="TableText"/>
              <w:ind w:left="394"/>
              <w:spacing w:line="111" w:lineRule="exact"/>
              <w:rPr>
                <w:sz w:val="16"/>
                <w:szCs w:val="16"/>
              </w:rPr>
            </w:pPr>
            <w:r>
              <w:rPr>
                <w:sz w:val="16"/>
                <w:szCs w:val="16"/>
                <w:spacing w:val="-4"/>
                <w:position w:val="-2"/>
              </w:rPr>
              <w:t>14.8</w:t>
            </w:r>
          </w:p>
        </w:tc>
      </w:tr>
    </w:tbl>
    <w:p>
      <w:pPr>
        <w:pStyle w:val="BodyText"/>
        <w:spacing w:line="14" w:lineRule="auto"/>
        <w:rPr>
          <w:sz w:val="2"/>
        </w:rPr>
      </w:pPr>
      <w:r/>
    </w:p>
    <w:p>
      <w:pPr>
        <w:pStyle w:val="BodyText"/>
        <w:spacing w:line="14" w:lineRule="auto"/>
        <w:rPr>
          <w:sz w:val="2"/>
        </w:rPr>
      </w:pPr>
      <w:r>
        <w:rPr>
          <w:sz w:val="2"/>
          <w:szCs w:val="2"/>
        </w:rPr>
        <w:br w:type="column"/>
      </w:r>
    </w:p>
    <w:p>
      <w:pPr>
        <w:pStyle w:val="BodyText"/>
        <w:spacing w:line="276" w:lineRule="auto"/>
        <w:rPr/>
      </w:pPr>
      <w:r/>
    </w:p>
    <w:p>
      <w:pPr>
        <w:spacing w:before="52" w:line="331" w:lineRule="exact"/>
        <w:rPr>
          <w:rFonts w:ascii="SimSun" w:hAnsi="SimSun" w:eastAsia="SimSun" w:cs="SimSun"/>
          <w:sz w:val="16"/>
          <w:szCs w:val="16"/>
        </w:rPr>
      </w:pPr>
      <w:r>
        <w:rPr>
          <w:rFonts w:ascii="SimSun" w:hAnsi="SimSun" w:eastAsia="SimSun" w:cs="SimSun"/>
          <w:sz w:val="16"/>
          <w:szCs w:val="16"/>
          <w:spacing w:val="-1"/>
          <w:position w:val="13"/>
        </w:rPr>
        <w:t>2001-2018年</w:t>
      </w:r>
    </w:p>
    <w:p>
      <w:pPr>
        <w:ind w:left="279"/>
        <w:spacing w:line="183" w:lineRule="auto"/>
        <w:rPr>
          <w:rFonts w:ascii="SimSun" w:hAnsi="SimSun" w:eastAsia="SimSun" w:cs="SimSun"/>
          <w:sz w:val="16"/>
          <w:szCs w:val="16"/>
        </w:rPr>
      </w:pPr>
      <w:r>
        <w:rPr>
          <w:rFonts w:ascii="SimSun" w:hAnsi="SimSun" w:eastAsia="SimSun" w:cs="SimSun"/>
          <w:sz w:val="16"/>
          <w:szCs w:val="16"/>
          <w:spacing w:val="-4"/>
        </w:rPr>
        <w:t>13.0</w:t>
      </w:r>
    </w:p>
    <w:p>
      <w:pPr>
        <w:ind w:left="319"/>
        <w:spacing w:before="121" w:line="183" w:lineRule="auto"/>
        <w:rPr>
          <w:rFonts w:ascii="SimSun" w:hAnsi="SimSun" w:eastAsia="SimSun" w:cs="SimSun"/>
          <w:sz w:val="16"/>
          <w:szCs w:val="16"/>
        </w:rPr>
      </w:pPr>
      <w:r>
        <w:rPr>
          <w:rFonts w:ascii="SimSun" w:hAnsi="SimSun" w:eastAsia="SimSun" w:cs="SimSun"/>
          <w:sz w:val="16"/>
          <w:szCs w:val="16"/>
          <w:spacing w:val="-3"/>
        </w:rPr>
        <w:t>7.9</w:t>
      </w:r>
    </w:p>
    <w:p>
      <w:pPr>
        <w:ind w:left="319"/>
        <w:spacing w:before="261" w:line="183" w:lineRule="auto"/>
        <w:rPr>
          <w:rFonts w:ascii="SimSun" w:hAnsi="SimSun" w:eastAsia="SimSun" w:cs="SimSun"/>
          <w:sz w:val="16"/>
          <w:szCs w:val="16"/>
        </w:rPr>
      </w:pPr>
      <w:r>
        <w:rPr>
          <w:rFonts w:ascii="SimSun" w:hAnsi="SimSun" w:eastAsia="SimSun" w:cs="SimSun"/>
          <w:sz w:val="16"/>
          <w:szCs w:val="16"/>
          <w:spacing w:val="-2"/>
        </w:rPr>
        <w:t>8.5</w:t>
      </w:r>
    </w:p>
    <w:p>
      <w:pPr>
        <w:pStyle w:val="BodyText"/>
        <w:spacing w:line="346" w:lineRule="auto"/>
        <w:rPr/>
      </w:pPr>
      <w:r/>
    </w:p>
    <w:p>
      <w:pPr>
        <w:ind w:left="279"/>
        <w:spacing w:before="53" w:line="184" w:lineRule="auto"/>
        <w:rPr>
          <w:rFonts w:ascii="SimSun" w:hAnsi="SimSun" w:eastAsia="SimSun" w:cs="SimSun"/>
          <w:sz w:val="16"/>
          <w:szCs w:val="16"/>
        </w:rPr>
      </w:pPr>
      <w:r>
        <w:rPr>
          <w:rFonts w:ascii="SimSun" w:hAnsi="SimSun" w:eastAsia="SimSun" w:cs="SimSun"/>
          <w:sz w:val="16"/>
          <w:szCs w:val="16"/>
          <w:spacing w:val="-4"/>
        </w:rPr>
        <w:t>12.1</w:t>
      </w:r>
    </w:p>
    <w:p>
      <w:pPr>
        <w:pStyle w:val="BodyText"/>
        <w:spacing w:line="318" w:lineRule="auto"/>
        <w:rPr/>
      </w:pPr>
      <w:r/>
    </w:p>
    <w:p>
      <w:pPr>
        <w:ind w:left="319"/>
        <w:spacing w:before="52" w:line="182" w:lineRule="auto"/>
        <w:rPr>
          <w:rFonts w:ascii="SimSun" w:hAnsi="SimSun" w:eastAsia="SimSun" w:cs="SimSun"/>
          <w:sz w:val="16"/>
          <w:szCs w:val="16"/>
        </w:rPr>
      </w:pPr>
      <w:r>
        <w:rPr>
          <w:rFonts w:ascii="SimSun" w:hAnsi="SimSun" w:eastAsia="SimSun" w:cs="SimSun"/>
          <w:sz w:val="16"/>
          <w:szCs w:val="16"/>
          <w:spacing w:val="-3"/>
        </w:rPr>
        <w:t>7.5</w:t>
      </w:r>
    </w:p>
    <w:p>
      <w:pPr>
        <w:pStyle w:val="BodyText"/>
        <w:spacing w:line="296" w:lineRule="auto"/>
        <w:rPr/>
      </w:pPr>
      <w:r/>
    </w:p>
    <w:p>
      <w:pPr>
        <w:ind w:left="279"/>
        <w:spacing w:before="53" w:line="184" w:lineRule="auto"/>
        <w:rPr>
          <w:rFonts w:ascii="SimSun" w:hAnsi="SimSun" w:eastAsia="SimSun" w:cs="SimSun"/>
          <w:sz w:val="16"/>
          <w:szCs w:val="16"/>
        </w:rPr>
      </w:pPr>
      <w:r>
        <w:rPr>
          <w:rFonts w:ascii="SimSun" w:hAnsi="SimSun" w:eastAsia="SimSun" w:cs="SimSun"/>
          <w:sz w:val="16"/>
          <w:szCs w:val="16"/>
          <w:spacing w:val="-4"/>
        </w:rPr>
        <w:t>11.0</w:t>
      </w:r>
    </w:p>
    <w:p>
      <w:pPr>
        <w:ind w:left="279"/>
        <w:spacing w:before="290" w:line="280" w:lineRule="exact"/>
        <w:rPr>
          <w:rFonts w:ascii="SimSun" w:hAnsi="SimSun" w:eastAsia="SimSun" w:cs="SimSun"/>
          <w:sz w:val="16"/>
          <w:szCs w:val="16"/>
        </w:rPr>
      </w:pPr>
      <w:r>
        <w:rPr>
          <w:rFonts w:ascii="SimSun" w:hAnsi="SimSun" w:eastAsia="SimSun" w:cs="SimSun"/>
          <w:sz w:val="16"/>
          <w:szCs w:val="16"/>
          <w:spacing w:val="-2"/>
          <w:position w:val="11"/>
        </w:rPr>
        <w:t>21.9</w:t>
      </w:r>
    </w:p>
    <w:p>
      <w:pPr>
        <w:ind w:left="279"/>
        <w:spacing w:before="1" w:line="183" w:lineRule="auto"/>
        <w:rPr>
          <w:rFonts w:ascii="SimSun" w:hAnsi="SimSun" w:eastAsia="SimSun" w:cs="SimSun"/>
          <w:sz w:val="16"/>
          <w:szCs w:val="16"/>
        </w:rPr>
      </w:pPr>
      <w:r>
        <w:rPr>
          <w:rFonts w:ascii="SimSun" w:hAnsi="SimSun" w:eastAsia="SimSun" w:cs="SimSun"/>
          <w:sz w:val="16"/>
          <w:szCs w:val="16"/>
          <w:spacing w:val="-4"/>
        </w:rPr>
        <w:t>13.6</w:t>
      </w:r>
    </w:p>
    <w:p>
      <w:pPr>
        <w:ind w:left="279"/>
        <w:spacing w:before="141" w:line="184" w:lineRule="auto"/>
        <w:rPr>
          <w:rFonts w:ascii="SimSun" w:hAnsi="SimSun" w:eastAsia="SimSun" w:cs="SimSun"/>
          <w:sz w:val="16"/>
          <w:szCs w:val="16"/>
        </w:rPr>
      </w:pPr>
      <w:r>
        <w:rPr>
          <w:rFonts w:ascii="SimSun" w:hAnsi="SimSun" w:eastAsia="SimSun" w:cs="SimSun"/>
          <w:sz w:val="16"/>
          <w:szCs w:val="16"/>
          <w:spacing w:val="-4"/>
        </w:rPr>
        <w:t>11.5</w:t>
      </w:r>
    </w:p>
    <w:p>
      <w:pPr>
        <w:ind w:left="279"/>
        <w:spacing w:before="120" w:line="164" w:lineRule="auto"/>
        <w:rPr>
          <w:rFonts w:ascii="SimSun" w:hAnsi="SimSun" w:eastAsia="SimSun" w:cs="SimSun"/>
          <w:sz w:val="16"/>
          <w:szCs w:val="16"/>
        </w:rPr>
      </w:pPr>
      <w:r>
        <w:rPr>
          <w:rFonts w:ascii="SimSun" w:hAnsi="SimSun" w:eastAsia="SimSun" w:cs="SimSun"/>
          <w:sz w:val="16"/>
          <w:szCs w:val="16"/>
          <w:spacing w:val="-4"/>
        </w:rPr>
        <w:t>18.0</w:t>
      </w:r>
    </w:p>
    <w:p>
      <w:pPr>
        <w:spacing w:line="164" w:lineRule="auto"/>
        <w:sectPr>
          <w:type w:val="continuous"/>
          <w:pgSz w:w="12480" w:h="7330"/>
          <w:pgMar w:top="400" w:right="344" w:bottom="400" w:left="1329" w:header="0" w:footer="0" w:gutter="0"/>
          <w:cols w:equalWidth="0" w:num="4">
            <w:col w:w="1293" w:space="100"/>
            <w:col w:w="3558" w:space="100"/>
            <w:col w:w="3410" w:space="100"/>
            <w:col w:w="2246" w:space="0"/>
          </w:cols>
        </w:sectPr>
        <w:rPr>
          <w:rFonts w:ascii="SimSun" w:hAnsi="SimSun" w:eastAsia="SimSun" w:cs="SimSun"/>
          <w:sz w:val="16"/>
          <w:szCs w:val="16"/>
        </w:rPr>
      </w:pPr>
    </w:p>
    <w:p>
      <w:pPr>
        <w:ind w:left="389"/>
        <w:spacing w:before="161" w:line="192" w:lineRule="auto"/>
        <w:rPr>
          <w:rFonts w:ascii="KaiTi" w:hAnsi="KaiTi" w:eastAsia="KaiTi" w:cs="KaiTi"/>
          <w:sz w:val="17"/>
          <w:szCs w:val="17"/>
        </w:rPr>
      </w:pPr>
      <w:r>
        <w:rPr>
          <w:rFonts w:ascii="KaiTi" w:hAnsi="KaiTi" w:eastAsia="KaiTi" w:cs="KaiTi"/>
          <w:sz w:val="17"/>
          <w:szCs w:val="17"/>
          <w:spacing w:val="-11"/>
        </w:rPr>
        <w:t>资料来源：作者计算，数据出处及构建方法见本章第三节。</w:t>
      </w:r>
    </w:p>
    <w:p>
      <w:pPr>
        <w:spacing w:line="192" w:lineRule="auto"/>
        <w:sectPr>
          <w:type w:val="continuous"/>
          <w:pgSz w:w="12480" w:h="7330"/>
          <w:pgMar w:top="400" w:right="344" w:bottom="400" w:left="1329" w:header="0" w:footer="0" w:gutter="0"/>
          <w:cols w:equalWidth="0" w:num="1">
            <w:col w:w="10806" w:space="0"/>
          </w:cols>
        </w:sectPr>
        <w:rPr>
          <w:rFonts w:ascii="KaiTi" w:hAnsi="KaiTi" w:eastAsia="KaiTi" w:cs="KaiTi"/>
          <w:sz w:val="17"/>
          <w:szCs w:val="17"/>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87"/>
        <w:spacing w:before="69" w:line="298" w:lineRule="auto"/>
        <w:jc w:val="both"/>
        <w:rPr>
          <w:rFonts w:ascii="SimSun" w:hAnsi="SimSun" w:eastAsia="SimSun" w:cs="SimSun"/>
          <w:sz w:val="21"/>
          <w:szCs w:val="21"/>
        </w:rPr>
      </w:pPr>
      <w:r>
        <w:rPr>
          <w:rFonts w:ascii="SimSun" w:hAnsi="SimSun" w:eastAsia="SimSun" w:cs="SimSun"/>
          <w:sz w:val="21"/>
          <w:szCs w:val="21"/>
          <w:spacing w:val="-8"/>
        </w:rPr>
        <w:t>断”。第一个指标是资本产出比</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8"/>
        </w:rPr>
        <w:t>(K/Y),    </w:t>
      </w:r>
      <w:r>
        <w:rPr>
          <w:rFonts w:ascii="SimSun" w:hAnsi="SimSun" w:eastAsia="SimSun" w:cs="SimSun"/>
          <w:sz w:val="21"/>
          <w:szCs w:val="21"/>
          <w:spacing w:val="-8"/>
        </w:rPr>
        <w:t>反映资本依赖程</w:t>
      </w:r>
      <w:r>
        <w:rPr>
          <w:rFonts w:ascii="SimSun" w:hAnsi="SimSun" w:eastAsia="SimSun" w:cs="SimSun"/>
          <w:sz w:val="21"/>
          <w:szCs w:val="21"/>
          <w:spacing w:val="-9"/>
        </w:rPr>
        <w:t>度，也就是</w:t>
      </w:r>
      <w:r>
        <w:rPr>
          <w:rFonts w:ascii="SimSun" w:hAnsi="SimSun" w:eastAsia="SimSun" w:cs="SimSun"/>
          <w:sz w:val="21"/>
          <w:szCs w:val="21"/>
        </w:rPr>
        <w:t xml:space="preserve"> </w:t>
      </w:r>
      <w:r>
        <w:rPr>
          <w:rFonts w:ascii="SimSun" w:hAnsi="SimSun" w:eastAsia="SimSun" w:cs="SimSun"/>
          <w:sz w:val="21"/>
          <w:szCs w:val="21"/>
          <w:spacing w:val="-11"/>
        </w:rPr>
        <w:t>获得单位实际产出所需要的实际资本存量，相当于资本深化水平除以</w:t>
      </w:r>
      <w:r>
        <w:rPr>
          <w:rFonts w:ascii="SimSun" w:hAnsi="SimSun" w:eastAsia="SimSun" w:cs="SimSun"/>
          <w:sz w:val="21"/>
          <w:szCs w:val="21"/>
          <w:spacing w:val="16"/>
        </w:rPr>
        <w:t xml:space="preserve"> </w:t>
      </w:r>
      <w:r>
        <w:rPr>
          <w:rFonts w:ascii="SimSun" w:hAnsi="SimSun" w:eastAsia="SimSun" w:cs="SimSun"/>
          <w:sz w:val="21"/>
          <w:szCs w:val="21"/>
          <w:spacing w:val="-11"/>
        </w:rPr>
        <w:t>劳动生产率。这个指标越高，表明一个经济体需要使用越多的资本生</w:t>
      </w:r>
      <w:r>
        <w:rPr>
          <w:rFonts w:ascii="SimSun" w:hAnsi="SimSun" w:eastAsia="SimSun" w:cs="SimSun"/>
          <w:sz w:val="21"/>
          <w:szCs w:val="21"/>
          <w:spacing w:val="8"/>
        </w:rPr>
        <w:t xml:space="preserve"> </w:t>
      </w:r>
      <w:r>
        <w:rPr>
          <w:rFonts w:ascii="SimSun" w:hAnsi="SimSun" w:eastAsia="SimSun" w:cs="SimSun"/>
          <w:sz w:val="21"/>
          <w:szCs w:val="21"/>
        </w:rPr>
        <w:t>产一个单位的实际产出(增加值)(见表2-9)</w:t>
      </w:r>
      <w:r>
        <w:rPr>
          <w:rFonts w:ascii="SimSun" w:hAnsi="SimSun" w:eastAsia="SimSun" w:cs="SimSun"/>
          <w:sz w:val="21"/>
          <w:szCs w:val="21"/>
          <w:spacing w:val="-1"/>
        </w:rPr>
        <w:t>。另一个指标是劳动生</w:t>
      </w:r>
      <w:r>
        <w:rPr>
          <w:rFonts w:ascii="SimSun" w:hAnsi="SimSun" w:eastAsia="SimSun" w:cs="SimSun"/>
          <w:sz w:val="21"/>
          <w:szCs w:val="21"/>
        </w:rPr>
        <w:t xml:space="preserve"> </w:t>
      </w:r>
      <w:r>
        <w:rPr>
          <w:rFonts w:ascii="SimSun" w:hAnsi="SimSun" w:eastAsia="SimSun" w:cs="SimSun"/>
          <w:sz w:val="21"/>
          <w:szCs w:val="21"/>
          <w:spacing w:val="-11"/>
        </w:rPr>
        <w:t>产率增长和资本深化速度之间的相对变化，目的是观察前者是否可以</w:t>
      </w:r>
      <w:r>
        <w:rPr>
          <w:rFonts w:ascii="SimSun" w:hAnsi="SimSun" w:eastAsia="SimSun" w:cs="SimSun"/>
          <w:sz w:val="21"/>
          <w:szCs w:val="21"/>
          <w:spacing w:val="16"/>
        </w:rPr>
        <w:t xml:space="preserve"> </w:t>
      </w:r>
      <w:r>
        <w:rPr>
          <w:rFonts w:ascii="SimSun" w:hAnsi="SimSun" w:eastAsia="SimSun" w:cs="SimSun"/>
          <w:sz w:val="21"/>
          <w:szCs w:val="21"/>
          <w:spacing w:val="-11"/>
        </w:rPr>
        <w:t>超过后者，或者说，看生产一个单位的实际产出所需要使用的资本存</w:t>
      </w:r>
      <w:r>
        <w:rPr>
          <w:rFonts w:ascii="SimSun" w:hAnsi="SimSun" w:eastAsia="SimSun" w:cs="SimSun"/>
          <w:sz w:val="21"/>
          <w:szCs w:val="21"/>
          <w:spacing w:val="7"/>
        </w:rPr>
        <w:t xml:space="preserve"> </w:t>
      </w:r>
      <w:r>
        <w:rPr>
          <w:rFonts w:ascii="SimSun" w:hAnsi="SimSun" w:eastAsia="SimSun" w:cs="SimSun"/>
          <w:sz w:val="21"/>
          <w:szCs w:val="21"/>
          <w:spacing w:val="-13"/>
        </w:rPr>
        <w:t>量是否在下降。</w:t>
      </w:r>
    </w:p>
    <w:p>
      <w:pPr>
        <w:ind w:firstLine="420"/>
        <w:spacing w:before="164" w:line="309" w:lineRule="auto"/>
        <w:jc w:val="both"/>
        <w:rPr>
          <w:rFonts w:ascii="SimSun" w:hAnsi="SimSun" w:eastAsia="SimSun" w:cs="SimSun"/>
          <w:sz w:val="21"/>
          <w:szCs w:val="21"/>
        </w:rPr>
      </w:pPr>
      <w:r>
        <w:rPr>
          <w:rFonts w:ascii="SimSun" w:hAnsi="SimSun" w:eastAsia="SimSun" w:cs="SimSun"/>
          <w:sz w:val="21"/>
          <w:szCs w:val="21"/>
          <w:spacing w:val="3"/>
        </w:rPr>
        <w:t>首先，从整体经济看，以2000年固定价格计算的2018年的劳</w:t>
      </w:r>
      <w:r>
        <w:rPr>
          <w:rFonts w:ascii="SimSun" w:hAnsi="SimSun" w:eastAsia="SimSun" w:cs="SimSun"/>
          <w:sz w:val="21"/>
          <w:szCs w:val="21"/>
          <w:spacing w:val="5"/>
        </w:rPr>
        <w:t xml:space="preserve">  </w:t>
      </w:r>
      <w:r>
        <w:rPr>
          <w:rFonts w:ascii="SimSun" w:hAnsi="SimSun" w:eastAsia="SimSun" w:cs="SimSun"/>
          <w:sz w:val="21"/>
          <w:szCs w:val="21"/>
        </w:rPr>
        <w:t>动生产率大约达到了7万元，资本深化水平</w:t>
      </w:r>
      <w:r>
        <w:rPr>
          <w:rFonts w:ascii="SimSun" w:hAnsi="SimSun" w:eastAsia="SimSun" w:cs="SimSun"/>
          <w:sz w:val="21"/>
          <w:szCs w:val="21"/>
          <w:spacing w:val="-1"/>
        </w:rPr>
        <w:t>达到了约25万元，由此</w:t>
      </w:r>
      <w:r>
        <w:rPr>
          <w:rFonts w:ascii="SimSun" w:hAnsi="SimSun" w:eastAsia="SimSun" w:cs="SimSun"/>
          <w:sz w:val="21"/>
          <w:szCs w:val="21"/>
        </w:rPr>
        <w:t xml:space="preserve">  </w:t>
      </w:r>
      <w:r>
        <w:rPr>
          <w:rFonts w:ascii="SimSun" w:hAnsi="SimSun" w:eastAsia="SimSun" w:cs="SimSun"/>
          <w:sz w:val="21"/>
          <w:szCs w:val="21"/>
          <w:spacing w:val="-4"/>
        </w:rPr>
        <w:t>计算，中国经济的资本依赖程度，即资本产出比达到</w:t>
      </w:r>
      <w:r>
        <w:rPr>
          <w:rFonts w:ascii="SimSun" w:hAnsi="SimSun" w:eastAsia="SimSun" w:cs="SimSun"/>
          <w:sz w:val="21"/>
          <w:szCs w:val="21"/>
          <w:spacing w:val="-5"/>
        </w:rPr>
        <w:t>了3.53。也就</w:t>
      </w:r>
      <w:r>
        <w:rPr>
          <w:rFonts w:ascii="SimSun" w:hAnsi="SimSun" w:eastAsia="SimSun" w:cs="SimSun"/>
          <w:sz w:val="21"/>
          <w:szCs w:val="21"/>
        </w:rPr>
        <w:t xml:space="preserve">  </w:t>
      </w:r>
      <w:r>
        <w:rPr>
          <w:rFonts w:ascii="SimSun" w:hAnsi="SimSun" w:eastAsia="SimSun" w:cs="SimSun"/>
          <w:sz w:val="21"/>
          <w:szCs w:val="21"/>
          <w:spacing w:val="-3"/>
        </w:rPr>
        <w:t>是说，每个劳动者生产一单位的实际产出，</w:t>
      </w:r>
      <w:r>
        <w:rPr>
          <w:rFonts w:ascii="SimSun" w:hAnsi="SimSun" w:eastAsia="SimSun" w:cs="SimSun"/>
          <w:sz w:val="21"/>
          <w:szCs w:val="21"/>
          <w:spacing w:val="-4"/>
        </w:rPr>
        <w:t>需要使用3.53个单位的</w:t>
      </w:r>
      <w:r>
        <w:rPr>
          <w:rFonts w:ascii="SimSun" w:hAnsi="SimSun" w:eastAsia="SimSun" w:cs="SimSun"/>
          <w:sz w:val="21"/>
          <w:szCs w:val="21"/>
        </w:rPr>
        <w:t xml:space="preserve">  </w:t>
      </w:r>
      <w:r>
        <w:rPr>
          <w:rFonts w:ascii="SimSun" w:hAnsi="SimSun" w:eastAsia="SimSun" w:cs="SimSun"/>
          <w:sz w:val="21"/>
          <w:szCs w:val="21"/>
          <w:spacing w:val="-4"/>
        </w:rPr>
        <w:t>净资本存量所能提供的服务。我们可以大致参照主要发达经济体在</w:t>
      </w:r>
      <w:r>
        <w:rPr>
          <w:rFonts w:ascii="SimSun" w:hAnsi="SimSun" w:eastAsia="SimSun" w:cs="SimSun"/>
          <w:sz w:val="21"/>
          <w:szCs w:val="21"/>
          <w:spacing w:val="3"/>
        </w:rPr>
        <w:t xml:space="preserve">  </w:t>
      </w:r>
      <w:r>
        <w:rPr>
          <w:rFonts w:ascii="SimSun" w:hAnsi="SimSun" w:eastAsia="SimSun" w:cs="SimSun"/>
          <w:sz w:val="21"/>
          <w:szCs w:val="21"/>
          <w:spacing w:val="-3"/>
        </w:rPr>
        <w:t>20世纪90年代初时该指标的水平。按照麦迪森的估计，1992年美国</w:t>
      </w:r>
      <w:r>
        <w:rPr>
          <w:rFonts w:ascii="SimSun" w:hAnsi="SimSun" w:eastAsia="SimSun" w:cs="SimSun"/>
          <w:sz w:val="21"/>
          <w:szCs w:val="21"/>
        </w:rPr>
        <w:t xml:space="preserve"> </w:t>
      </w:r>
      <w:r>
        <w:rPr>
          <w:rFonts w:ascii="SimSun" w:hAnsi="SimSun" w:eastAsia="SimSun" w:cs="SimSun"/>
          <w:sz w:val="21"/>
          <w:szCs w:val="21"/>
          <w:spacing w:val="-3"/>
        </w:rPr>
        <w:t>的资本产出比为2.4,在发达经济体中该指标最高的日本也</w:t>
      </w:r>
      <w:r>
        <w:rPr>
          <w:rFonts w:ascii="SimSun" w:hAnsi="SimSun" w:eastAsia="SimSun" w:cs="SimSun"/>
          <w:sz w:val="21"/>
          <w:szCs w:val="21"/>
          <w:spacing w:val="-4"/>
        </w:rPr>
        <w:t>只达到了 </w:t>
      </w:r>
      <w:r>
        <w:rPr>
          <w:rFonts w:ascii="SimSun" w:hAnsi="SimSun" w:eastAsia="SimSun" w:cs="SimSun"/>
          <w:sz w:val="21"/>
          <w:szCs w:val="21"/>
          <w:spacing w:val="-7"/>
        </w:rPr>
        <w:t>3.0。虽然这样的比较并不是很严谨，但仍然具有参考价值。因为资</w:t>
      </w:r>
      <w:r>
        <w:rPr>
          <w:rFonts w:ascii="SimSun" w:hAnsi="SimSun" w:eastAsia="SimSun" w:cs="SimSun"/>
          <w:sz w:val="21"/>
          <w:szCs w:val="21"/>
          <w:spacing w:val="3"/>
        </w:rPr>
        <w:t xml:space="preserve">  </w:t>
      </w:r>
      <w:r>
        <w:rPr>
          <w:rFonts w:ascii="SimSun" w:hAnsi="SimSun" w:eastAsia="SimSun" w:cs="SimSun"/>
          <w:sz w:val="21"/>
          <w:szCs w:val="21"/>
          <w:spacing w:val="-11"/>
        </w:rPr>
        <w:t>本产出比的变化并不是线性的，与经济发展阶段相关。它在工业化初</w:t>
      </w:r>
      <w:r>
        <w:rPr>
          <w:rFonts w:ascii="SimSun" w:hAnsi="SimSun" w:eastAsia="SimSun" w:cs="SimSun"/>
          <w:sz w:val="21"/>
          <w:szCs w:val="21"/>
          <w:spacing w:val="4"/>
        </w:rPr>
        <w:t xml:space="preserve">  </w:t>
      </w:r>
      <w:r>
        <w:rPr>
          <w:rFonts w:ascii="SimSun" w:hAnsi="SimSun" w:eastAsia="SimSun" w:cs="SimSun"/>
          <w:sz w:val="21"/>
          <w:szCs w:val="21"/>
          <w:spacing w:val="-7"/>
        </w:rPr>
        <w:t>期时较低，完成工业化-城市化时最高，然后随着向服务业转</w:t>
      </w:r>
      <w:r>
        <w:rPr>
          <w:rFonts w:ascii="SimSun" w:hAnsi="SimSun" w:eastAsia="SimSun" w:cs="SimSun"/>
          <w:sz w:val="21"/>
          <w:szCs w:val="21"/>
          <w:spacing w:val="-8"/>
        </w:rPr>
        <w:t>型而下</w:t>
      </w:r>
      <w:r>
        <w:rPr>
          <w:rFonts w:ascii="SimSun" w:hAnsi="SimSun" w:eastAsia="SimSun" w:cs="SimSun"/>
          <w:sz w:val="21"/>
          <w:szCs w:val="21"/>
        </w:rPr>
        <w:t xml:space="preserve">  </w:t>
      </w:r>
      <w:r>
        <w:rPr>
          <w:rFonts w:ascii="SimSun" w:hAnsi="SimSun" w:eastAsia="SimSun" w:cs="SimSun"/>
          <w:sz w:val="21"/>
          <w:szCs w:val="21"/>
          <w:spacing w:val="-11"/>
        </w:rPr>
        <w:t>降。再观察整个时期两者的增长速度，资本深化水平的年平均增长率</w:t>
      </w:r>
      <w:r>
        <w:rPr>
          <w:rFonts w:ascii="SimSun" w:hAnsi="SimSun" w:eastAsia="SimSun" w:cs="SimSun"/>
          <w:sz w:val="21"/>
          <w:szCs w:val="21"/>
          <w:spacing w:val="4"/>
        </w:rPr>
        <w:t xml:space="preserve">  </w:t>
      </w:r>
      <w:r>
        <w:rPr>
          <w:rFonts w:ascii="SimSun" w:hAnsi="SimSun" w:eastAsia="SimSun" w:cs="SimSun"/>
          <w:sz w:val="21"/>
          <w:szCs w:val="21"/>
          <w:spacing w:val="3"/>
        </w:rPr>
        <w:t>达到了13.0%,远超过劳动生产率9.5%的增速，致使资本依赖程度</w:t>
      </w:r>
      <w:r>
        <w:rPr>
          <w:rFonts w:ascii="SimSun" w:hAnsi="SimSun" w:eastAsia="SimSun" w:cs="SimSun"/>
          <w:sz w:val="21"/>
          <w:szCs w:val="21"/>
          <w:spacing w:val="1"/>
        </w:rPr>
        <w:t xml:space="preserve">  </w:t>
      </w:r>
      <w:r>
        <w:rPr>
          <w:rFonts w:ascii="SimSun" w:hAnsi="SimSun" w:eastAsia="SimSun" w:cs="SimSun"/>
          <w:sz w:val="21"/>
          <w:szCs w:val="21"/>
          <w:spacing w:val="-7"/>
        </w:rPr>
        <w:t>以年均3.3%的速度上升。这似乎表明中国经济还处在重工业化阶</w:t>
      </w:r>
      <w:r>
        <w:rPr>
          <w:rFonts w:ascii="SimSun" w:hAnsi="SimSun" w:eastAsia="SimSun" w:cs="SimSun"/>
          <w:sz w:val="21"/>
          <w:szCs w:val="21"/>
          <w:spacing w:val="-8"/>
        </w:rPr>
        <w:t>段，</w:t>
      </w:r>
      <w:r>
        <w:rPr>
          <w:rFonts w:ascii="SimSun" w:hAnsi="SimSun" w:eastAsia="SimSun" w:cs="SimSun"/>
          <w:sz w:val="21"/>
          <w:szCs w:val="21"/>
        </w:rPr>
        <w:t xml:space="preserve"> </w:t>
      </w:r>
      <w:r>
        <w:rPr>
          <w:rFonts w:ascii="SimSun" w:hAnsi="SimSun" w:eastAsia="SimSun" w:cs="SimSun"/>
          <w:sz w:val="21"/>
          <w:szCs w:val="21"/>
          <w:spacing w:val="-11"/>
        </w:rPr>
        <w:t>与前面观察到的资源配置上的“去工业化”现象并不一致。所以，资</w:t>
      </w:r>
      <w:r>
        <w:rPr>
          <w:rFonts w:ascii="SimSun" w:hAnsi="SimSun" w:eastAsia="SimSun" w:cs="SimSun"/>
          <w:sz w:val="21"/>
          <w:szCs w:val="21"/>
          <w:spacing w:val="6"/>
        </w:rPr>
        <w:t xml:space="preserve">  </w:t>
      </w:r>
      <w:r>
        <w:rPr>
          <w:rFonts w:ascii="SimSun" w:hAnsi="SimSun" w:eastAsia="SimSun" w:cs="SimSun"/>
          <w:sz w:val="21"/>
          <w:szCs w:val="21"/>
          <w:spacing w:val="-4"/>
        </w:rPr>
        <w:t>本依赖程度的上升更有可能反映了整体经济不断恶化的低效率问题</w:t>
      </w:r>
      <w:r>
        <w:rPr>
          <w:rFonts w:ascii="SimSun" w:hAnsi="SimSun" w:eastAsia="SimSun" w:cs="SimSun"/>
          <w:sz w:val="21"/>
          <w:szCs w:val="21"/>
          <w:spacing w:val="2"/>
        </w:rPr>
        <w:t xml:space="preserve">  </w:t>
      </w:r>
      <w:r>
        <w:rPr>
          <w:rFonts w:ascii="SimSun" w:hAnsi="SimSun" w:eastAsia="SimSun" w:cs="SimSun"/>
          <w:sz w:val="21"/>
          <w:szCs w:val="21"/>
          <w:spacing w:val="-9"/>
        </w:rPr>
        <w:t>(见本章下一节的分析)。</w:t>
      </w:r>
    </w:p>
    <w:p>
      <w:pPr>
        <w:ind w:firstLine="439"/>
        <w:spacing w:before="140" w:line="289" w:lineRule="auto"/>
        <w:jc w:val="both"/>
        <w:rPr>
          <w:rFonts w:ascii="SimSun" w:hAnsi="SimSun" w:eastAsia="SimSun" w:cs="SimSun"/>
          <w:sz w:val="21"/>
          <w:szCs w:val="21"/>
        </w:rPr>
      </w:pPr>
      <w:r>
        <w:rPr>
          <w:rFonts w:ascii="SimSun" w:hAnsi="SimSun" w:eastAsia="SimSun" w:cs="SimSun"/>
          <w:sz w:val="21"/>
          <w:szCs w:val="21"/>
          <w:spacing w:val="-5"/>
        </w:rPr>
        <w:t>从数字经济的视角观察不同部门的情况，表2-7显示</w:t>
      </w:r>
      <w:r>
        <w:rPr>
          <w:rFonts w:ascii="Times New Roman" w:hAnsi="Times New Roman" w:eastAsia="Times New Roman" w:cs="Times New Roman"/>
          <w:sz w:val="21"/>
          <w:szCs w:val="21"/>
          <w:spacing w:val="-5"/>
        </w:rPr>
        <w:t>ICT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生产行</w:t>
      </w:r>
      <w:r>
        <w:rPr>
          <w:rFonts w:ascii="SimSun" w:hAnsi="SimSun" w:eastAsia="SimSun" w:cs="SimSun"/>
          <w:sz w:val="21"/>
          <w:szCs w:val="21"/>
        </w:rPr>
        <w:t xml:space="preserve"> </w:t>
      </w:r>
      <w:r>
        <w:rPr>
          <w:rFonts w:ascii="SimSun" w:hAnsi="SimSun" w:eastAsia="SimSun" w:cs="SimSun"/>
          <w:sz w:val="21"/>
          <w:szCs w:val="21"/>
          <w:spacing w:val="-7"/>
        </w:rPr>
        <w:t>业在整个经济中保持了最高的劳动生产率水平(2018年时，为整体经</w:t>
      </w:r>
      <w:r>
        <w:rPr>
          <w:rFonts w:ascii="SimSun" w:hAnsi="SimSun" w:eastAsia="SimSun" w:cs="SimSun"/>
          <w:sz w:val="21"/>
          <w:szCs w:val="21"/>
          <w:spacing w:val="3"/>
        </w:rPr>
        <w:t xml:space="preserve">  </w:t>
      </w:r>
      <w:r>
        <w:rPr>
          <w:rFonts w:ascii="SimSun" w:hAnsi="SimSun" w:eastAsia="SimSun" w:cs="SimSun"/>
          <w:sz w:val="21"/>
          <w:szCs w:val="21"/>
          <w:spacing w:val="3"/>
        </w:rPr>
        <w:t>济平均水平的5.4倍)和最快的劳动生产率增长速度(为整</w:t>
      </w:r>
      <w:r>
        <w:rPr>
          <w:rFonts w:ascii="SimSun" w:hAnsi="SimSun" w:eastAsia="SimSun" w:cs="SimSun"/>
          <w:sz w:val="21"/>
          <w:szCs w:val="21"/>
          <w:spacing w:val="2"/>
        </w:rPr>
        <w:t>体经济、</w:t>
      </w:r>
      <w:r>
        <w:rPr>
          <w:rFonts w:ascii="SimSun" w:hAnsi="SimSun" w:eastAsia="SimSun" w:cs="SimSun"/>
          <w:sz w:val="21"/>
          <w:szCs w:val="21"/>
        </w:rPr>
        <w:t xml:space="preserve"> </w:t>
      </w:r>
      <w:r>
        <w:rPr>
          <w:rFonts w:ascii="SimSun" w:hAnsi="SimSun" w:eastAsia="SimSun" w:cs="SimSun"/>
          <w:sz w:val="21"/>
          <w:szCs w:val="21"/>
          <w:spacing w:val="1"/>
        </w:rPr>
        <w:t>整个时期年平均增长率的1.16倍),</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ICT</w:t>
      </w:r>
      <w:r>
        <w:rPr>
          <w:rFonts w:ascii="SimSun" w:hAnsi="SimSun" w:eastAsia="SimSun" w:cs="SimSun"/>
          <w:sz w:val="21"/>
          <w:szCs w:val="21"/>
          <w:spacing w:val="1"/>
        </w:rPr>
        <w:t>集约</w:t>
      </w:r>
      <w:r>
        <w:rPr>
          <w:rFonts w:ascii="SimSun" w:hAnsi="SimSun" w:eastAsia="SimSun" w:cs="SimSun"/>
          <w:sz w:val="21"/>
          <w:szCs w:val="21"/>
        </w:rPr>
        <w:t>使用制造业紧随其后。</w:t>
      </w:r>
    </w:p>
    <w:p>
      <w:pPr>
        <w:spacing w:line="289" w:lineRule="auto"/>
        <w:sectPr>
          <w:headerReference w:type="default" r:id="rId121"/>
          <w:pgSz w:w="7330" w:h="12480"/>
          <w:pgMar w:top="815" w:right="1004" w:bottom="400" w:left="250" w:header="653" w:footer="0" w:gutter="0"/>
        </w:sectPr>
        <w:rPr>
          <w:rFonts w:ascii="SimSun" w:hAnsi="SimSun" w:eastAsia="SimSun" w:cs="SimSun"/>
          <w:sz w:val="21"/>
          <w:szCs w:val="21"/>
        </w:rPr>
      </w:pPr>
    </w:p>
    <w:p>
      <w:pPr>
        <w:spacing w:before="232"/>
        <w:rPr/>
      </w:pPr>
      <w:r>
        <mc:AlternateContent xmlns:mc="http://schemas.openxmlformats.org/markup-compatibility/2006">
          <mc:Choice Requires="wps">
            <w:drawing>
              <wp:anchor distT="0" distB="0" distL="0" distR="0" simplePos="0" relativeHeight="252686336" behindDoc="0" locked="0" layoutInCell="0" allowOverlap="1">
                <wp:simplePos x="0" y="0"/>
                <wp:positionH relativeFrom="page">
                  <wp:posOffset>7548805</wp:posOffset>
                </wp:positionH>
                <wp:positionV relativeFrom="page">
                  <wp:posOffset>548800</wp:posOffset>
                </wp:positionV>
                <wp:extent cx="163829" cy="148589"/>
                <wp:effectExtent l="0" t="0" r="0" b="0"/>
                <wp:wrapNone/>
                <wp:docPr id="106" name="TextBox 106"/>
                <wp:cNvGraphicFramePr/>
                <a:graphic>
                  <a:graphicData uri="http://schemas.microsoft.com/office/word/2010/wordprocessingShape">
                    <wps:wsp>
                      <wps:cNvSpPr txBox="1"/>
                      <wps:spPr>
                        <a:xfrm rot="16200000">
                          <a:off x="7548805" y="548800"/>
                          <a:ext cx="163829"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060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 style="position:absolute;margin-left:594.394pt;margin-top:43.2126pt;mso-position-vertical-relative:page;mso-position-horizontal-relative:page;width:12.9pt;height:11.7pt;z-index:252686336;rotation:270;" o:allowincell="f"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060</w:t>
                      </w:r>
                    </w:p>
                  </w:txbxContent>
                </v:textbox>
              </v:shape>
            </w:pict>
          </mc:Fallback>
        </mc:AlternateContent>
      </w:r>
      <w:r>
        <mc:AlternateContent xmlns:mc="http://schemas.openxmlformats.org/markup-compatibility/2006">
          <mc:Choice Requires="wps">
            <w:drawing>
              <wp:anchor distT="0" distB="0" distL="0" distR="0" simplePos="0" relativeHeight="252685312" behindDoc="0" locked="0" layoutInCell="0" allowOverlap="1">
                <wp:simplePos x="0" y="0"/>
                <wp:positionH relativeFrom="page">
                  <wp:posOffset>6930694</wp:posOffset>
                </wp:positionH>
                <wp:positionV relativeFrom="page">
                  <wp:posOffset>2369246</wp:posOffset>
                </wp:positionV>
                <wp:extent cx="1390014" cy="156845"/>
                <wp:effectExtent l="0" t="0" r="0" b="0"/>
                <wp:wrapNone/>
                <wp:docPr id="108" name="TextBox 108"/>
                <wp:cNvGraphicFramePr/>
                <a:graphic>
                  <a:graphicData uri="http://schemas.microsoft.com/office/word/2010/wordprocessingShape">
                    <wps:wsp>
                      <wps:cNvSpPr txBox="1"/>
                      <wps:spPr>
                        <a:xfrm rot="5400000">
                          <a:off x="6930694" y="2369246"/>
                          <a:ext cx="139001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3"/>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 style="position:absolute;margin-left:545.724pt;margin-top:186.555pt;mso-position-vertical-relative:page;mso-position-horizontal-relative:page;width:109.45pt;height:12.35pt;z-index:252685312;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3"/>
                        </w:rPr>
                        <w:t>平台经济——创新、治理与繁荣</w:t>
                      </w:r>
                    </w:p>
                  </w:txbxContent>
                </v:textbox>
              </v:shape>
            </w:pict>
          </mc:Fallback>
        </mc:AlternateContent>
      </w:r>
      <w:r/>
    </w:p>
    <w:tbl>
      <w:tblPr>
        <w:tblStyle w:val="TableNormal"/>
        <w:tblW w:w="95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45"/>
        <w:gridCol w:w="4850"/>
        <w:gridCol w:w="1161"/>
        <w:gridCol w:w="1069"/>
        <w:gridCol w:w="1254"/>
      </w:tblGrid>
      <w:tr>
        <w:trPr>
          <w:trHeight w:val="356" w:hRule="atLeast"/>
        </w:trPr>
        <w:tc>
          <w:tcPr>
            <w:tcW w:w="9579" w:type="dxa"/>
            <w:vAlign w:val="top"/>
            <w:gridSpan w:val="5"/>
            <w:tcBorders>
              <w:bottom w:val="single" w:color="000000" w:sz="4" w:space="0"/>
            </w:tcBorders>
          </w:tcPr>
          <w:p>
            <w:pPr>
              <w:ind w:left="2682"/>
              <w:spacing w:line="221" w:lineRule="auto"/>
              <w:rPr>
                <w:rFonts w:ascii="SimHei" w:hAnsi="SimHei" w:eastAsia="SimHei" w:cs="SimHei"/>
                <w:sz w:val="19"/>
                <w:szCs w:val="19"/>
              </w:rPr>
            </w:pPr>
            <w:r>
              <w:rPr>
                <w:rFonts w:ascii="SimHei" w:hAnsi="SimHei" w:eastAsia="SimHei" w:cs="SimHei"/>
                <w:sz w:val="19"/>
                <w:szCs w:val="19"/>
                <w:b/>
                <w:bCs/>
                <w:spacing w:val="-9"/>
              </w:rPr>
              <w:t>表2-9</w:t>
            </w:r>
            <w:r>
              <w:rPr>
                <w:rFonts w:ascii="SimHei" w:hAnsi="SimHei" w:eastAsia="SimHei" w:cs="SimHei"/>
                <w:sz w:val="19"/>
                <w:szCs w:val="19"/>
                <w:spacing w:val="74"/>
              </w:rPr>
              <w:t xml:space="preserve"> </w:t>
            </w:r>
            <w:r>
              <w:rPr>
                <w:rFonts w:ascii="SimHei" w:hAnsi="SimHei" w:eastAsia="SimHei" w:cs="SimHei"/>
                <w:sz w:val="19"/>
                <w:szCs w:val="19"/>
                <w:b/>
                <w:bCs/>
                <w:spacing w:val="-9"/>
              </w:rPr>
              <w:t>各行业资本依赖程度及其变化：数字经济视角</w:t>
            </w:r>
          </w:p>
        </w:tc>
      </w:tr>
      <w:tr>
        <w:trPr>
          <w:trHeight w:val="657" w:hRule="atLeast"/>
        </w:trPr>
        <w:tc>
          <w:tcPr>
            <w:tcW w:w="1245" w:type="dxa"/>
            <w:vAlign w:val="top"/>
            <w:vMerge w:val="restart"/>
            <w:tcBorders>
              <w:bottom w:val="nil"/>
              <w:top w:val="single" w:color="000000" w:sz="4" w:space="0"/>
            </w:tcBorders>
          </w:tcPr>
          <w:p>
            <w:pPr>
              <w:spacing w:line="309" w:lineRule="auto"/>
              <w:rPr>
                <w:rFonts w:ascii="Arial"/>
                <w:sz w:val="21"/>
              </w:rPr>
            </w:pPr>
            <w:r/>
          </w:p>
          <w:p>
            <w:pPr>
              <w:spacing w:line="309" w:lineRule="auto"/>
              <w:rPr>
                <w:rFonts w:ascii="Arial"/>
                <w:sz w:val="21"/>
              </w:rPr>
            </w:pPr>
            <w:r/>
          </w:p>
          <w:p>
            <w:pPr>
              <w:pStyle w:val="TableText"/>
              <w:ind w:left="112"/>
              <w:spacing w:before="52" w:line="220" w:lineRule="auto"/>
              <w:rPr>
                <w:sz w:val="16"/>
                <w:szCs w:val="16"/>
              </w:rPr>
            </w:pPr>
            <w:r>
              <w:rPr>
                <w:sz w:val="16"/>
                <w:szCs w:val="16"/>
                <w:b/>
                <w:bCs/>
                <w:spacing w:val="-3"/>
              </w:rPr>
              <w:t>整体经济</w:t>
            </w:r>
          </w:p>
          <w:p>
            <w:pPr>
              <w:pStyle w:val="TableText"/>
              <w:ind w:left="99" w:right="245"/>
              <w:spacing w:before="111" w:line="281" w:lineRule="auto"/>
              <w:jc w:val="both"/>
              <w:rPr>
                <w:sz w:val="16"/>
                <w:szCs w:val="16"/>
              </w:rPr>
            </w:pPr>
            <w:r>
              <w:rPr>
                <w:sz w:val="16"/>
                <w:szCs w:val="16"/>
              </w:rPr>
              <w:t>ICT</w:t>
            </w:r>
            <w:r>
              <w:rPr>
                <w:sz w:val="16"/>
                <w:szCs w:val="16"/>
                <w:spacing w:val="1"/>
              </w:rPr>
              <w:t>生产行业</w:t>
            </w:r>
            <w:r>
              <w:rPr>
                <w:sz w:val="16"/>
                <w:szCs w:val="16"/>
              </w:rPr>
              <w:t xml:space="preserve"> </w:t>
            </w:r>
            <w:r>
              <w:rPr>
                <w:sz w:val="16"/>
                <w:szCs w:val="16"/>
              </w:rPr>
              <w:t>ICT</w:t>
            </w:r>
            <w:r>
              <w:rPr>
                <w:sz w:val="16"/>
                <w:szCs w:val="16"/>
                <w:spacing w:val="4"/>
              </w:rPr>
              <w:t>集约使用</w:t>
            </w:r>
            <w:r>
              <w:rPr>
                <w:sz w:val="16"/>
                <w:szCs w:val="16"/>
                <w:spacing w:val="2"/>
              </w:rPr>
              <w:t xml:space="preserve"> </w:t>
            </w:r>
            <w:r>
              <w:rPr>
                <w:sz w:val="16"/>
                <w:szCs w:val="16"/>
                <w:spacing w:val="1"/>
              </w:rPr>
              <w:t>制造业</w:t>
            </w:r>
          </w:p>
          <w:p>
            <w:pPr>
              <w:pStyle w:val="TableText"/>
              <w:ind w:left="89"/>
              <w:spacing w:before="98" w:line="260" w:lineRule="exact"/>
              <w:rPr>
                <w:sz w:val="16"/>
                <w:szCs w:val="16"/>
              </w:rPr>
            </w:pPr>
            <w:r>
              <w:rPr>
                <w:sz w:val="16"/>
                <w:szCs w:val="16"/>
                <w:position w:val="7"/>
              </w:rPr>
              <w:t>ICT</w:t>
            </w:r>
            <w:r>
              <w:rPr>
                <w:sz w:val="16"/>
                <w:szCs w:val="16"/>
                <w:spacing w:val="4"/>
                <w:position w:val="7"/>
              </w:rPr>
              <w:t>集约使用</w:t>
            </w:r>
          </w:p>
          <w:p>
            <w:pPr>
              <w:pStyle w:val="TableText"/>
              <w:ind w:left="109"/>
              <w:spacing w:line="219" w:lineRule="auto"/>
              <w:rPr>
                <w:sz w:val="16"/>
                <w:szCs w:val="16"/>
              </w:rPr>
            </w:pPr>
            <w:r>
              <w:rPr>
                <w:sz w:val="16"/>
                <w:szCs w:val="16"/>
                <w:spacing w:val="-2"/>
              </w:rPr>
              <w:t>服务业</w:t>
            </w:r>
          </w:p>
          <w:p>
            <w:pPr>
              <w:pStyle w:val="TableText"/>
              <w:ind w:left="119"/>
              <w:spacing w:before="100" w:line="240" w:lineRule="exact"/>
              <w:rPr>
                <w:sz w:val="16"/>
                <w:szCs w:val="16"/>
              </w:rPr>
            </w:pPr>
            <w:r>
              <w:rPr>
                <w:sz w:val="16"/>
                <w:szCs w:val="16"/>
                <w:spacing w:val="-2"/>
                <w:position w:val="5"/>
              </w:rPr>
              <w:t>非ICT集约使</w:t>
            </w:r>
          </w:p>
          <w:p>
            <w:pPr>
              <w:pStyle w:val="TableText"/>
              <w:ind w:left="109"/>
              <w:spacing w:line="220" w:lineRule="auto"/>
              <w:rPr>
                <w:sz w:val="16"/>
                <w:szCs w:val="16"/>
              </w:rPr>
            </w:pPr>
            <w:r>
              <w:rPr>
                <w:sz w:val="16"/>
                <w:szCs w:val="16"/>
                <w:spacing w:val="-2"/>
              </w:rPr>
              <w:t>用制造业</w:t>
            </w:r>
          </w:p>
          <w:p>
            <w:pPr>
              <w:pStyle w:val="TableText"/>
              <w:ind w:left="119"/>
              <w:spacing w:before="89" w:line="240" w:lineRule="exact"/>
              <w:rPr>
                <w:sz w:val="16"/>
                <w:szCs w:val="16"/>
              </w:rPr>
            </w:pPr>
            <w:r>
              <w:rPr>
                <w:sz w:val="16"/>
                <w:szCs w:val="16"/>
                <w:spacing w:val="-2"/>
                <w:position w:val="5"/>
              </w:rPr>
              <w:t>非ICT集约使</w:t>
            </w:r>
          </w:p>
          <w:p>
            <w:pPr>
              <w:pStyle w:val="TableText"/>
              <w:ind w:left="109"/>
              <w:spacing w:line="219" w:lineRule="auto"/>
              <w:rPr>
                <w:sz w:val="16"/>
                <w:szCs w:val="16"/>
              </w:rPr>
            </w:pPr>
            <w:r>
              <w:rPr>
                <w:sz w:val="16"/>
                <w:szCs w:val="16"/>
                <w:spacing w:val="-2"/>
              </w:rPr>
              <w:t>用服务业</w:t>
            </w:r>
          </w:p>
          <w:p>
            <w:pPr>
              <w:pStyle w:val="TableText"/>
              <w:ind w:left="109"/>
              <w:spacing w:before="133" w:line="221" w:lineRule="auto"/>
              <w:rPr>
                <w:sz w:val="16"/>
                <w:szCs w:val="16"/>
              </w:rPr>
            </w:pPr>
            <w:r>
              <w:rPr>
                <w:sz w:val="16"/>
                <w:szCs w:val="16"/>
                <w:spacing w:val="-2"/>
              </w:rPr>
              <w:t>农业</w:t>
            </w:r>
          </w:p>
          <w:p>
            <w:pPr>
              <w:pStyle w:val="TableText"/>
              <w:ind w:left="109"/>
              <w:spacing w:before="75" w:line="291" w:lineRule="exact"/>
              <w:rPr>
                <w:sz w:val="16"/>
                <w:szCs w:val="16"/>
              </w:rPr>
            </w:pPr>
            <w:r>
              <w:rPr>
                <w:sz w:val="16"/>
                <w:szCs w:val="16"/>
                <w:spacing w:val="-2"/>
                <w:position w:val="10"/>
              </w:rPr>
              <w:t>采掘业</w:t>
            </w:r>
          </w:p>
          <w:p>
            <w:pPr>
              <w:pStyle w:val="TableText"/>
              <w:ind w:left="109"/>
              <w:spacing w:line="220" w:lineRule="auto"/>
              <w:rPr>
                <w:sz w:val="16"/>
                <w:szCs w:val="16"/>
              </w:rPr>
            </w:pPr>
            <w:r>
              <w:rPr>
                <w:sz w:val="16"/>
                <w:szCs w:val="16"/>
                <w:spacing w:val="-2"/>
              </w:rPr>
              <w:t>建筑业</w:t>
            </w:r>
          </w:p>
          <w:p>
            <w:pPr>
              <w:pStyle w:val="TableText"/>
              <w:ind w:left="109"/>
              <w:spacing w:before="119" w:line="219" w:lineRule="auto"/>
              <w:rPr>
                <w:sz w:val="16"/>
                <w:szCs w:val="16"/>
              </w:rPr>
            </w:pPr>
            <w:r>
              <w:rPr>
                <w:sz w:val="16"/>
                <w:szCs w:val="16"/>
                <w:spacing w:val="-2"/>
              </w:rPr>
              <w:t>非市场服务业</w:t>
            </w:r>
          </w:p>
        </w:tc>
        <w:tc>
          <w:tcPr>
            <w:tcW w:w="4850" w:type="dxa"/>
            <w:vAlign w:val="top"/>
            <w:vMerge w:val="restart"/>
            <w:tcBorders>
              <w:bottom w:val="nil"/>
              <w:top w:val="single" w:color="000000" w:sz="4" w:space="0"/>
            </w:tcBorders>
          </w:tcPr>
          <w:p>
            <w:pPr>
              <w:pStyle w:val="TableText"/>
              <w:ind w:left="1397"/>
              <w:spacing w:before="103" w:line="219" w:lineRule="auto"/>
              <w:rPr>
                <w:sz w:val="16"/>
                <w:szCs w:val="16"/>
              </w:rPr>
            </w:pPr>
            <w:r>
              <w:rPr>
                <w:sz w:val="16"/>
                <w:szCs w:val="16"/>
                <w:b/>
                <w:bCs/>
                <w:spacing w:val="-4"/>
              </w:rPr>
              <w:t>资本产出比</w:t>
            </w:r>
          </w:p>
          <w:p>
            <w:pPr>
              <w:pStyle w:val="TableText"/>
              <w:ind w:left="184"/>
              <w:spacing w:before="103" w:line="231" w:lineRule="auto"/>
              <w:rPr>
                <w:sz w:val="16"/>
                <w:szCs w:val="16"/>
              </w:rPr>
            </w:pPr>
            <w:r>
              <w:rPr>
                <w:sz w:val="16"/>
                <w:szCs w:val="16"/>
                <w:spacing w:val="-1"/>
              </w:rPr>
              <w:t>2001年</w:t>
            </w:r>
            <w:r>
              <w:rPr>
                <w:sz w:val="16"/>
                <w:szCs w:val="16"/>
                <w:spacing w:val="5"/>
              </w:rPr>
              <w:t xml:space="preserve">     </w:t>
            </w:r>
            <w:r>
              <w:rPr>
                <w:sz w:val="16"/>
                <w:szCs w:val="16"/>
                <w:spacing w:val="-1"/>
              </w:rPr>
              <w:t>2007年</w:t>
            </w:r>
            <w:r>
              <w:rPr>
                <w:sz w:val="16"/>
                <w:szCs w:val="16"/>
                <w:spacing w:val="14"/>
              </w:rPr>
              <w:t xml:space="preserve">     </w:t>
            </w:r>
            <w:r>
              <w:rPr>
                <w:sz w:val="16"/>
                <w:szCs w:val="16"/>
                <w:spacing w:val="-1"/>
              </w:rPr>
              <w:t>2012年</w:t>
            </w:r>
            <w:r>
              <w:rPr>
                <w:sz w:val="16"/>
                <w:szCs w:val="16"/>
                <w:spacing w:val="9"/>
              </w:rPr>
              <w:t xml:space="preserve">     </w:t>
            </w:r>
            <w:r>
              <w:rPr>
                <w:sz w:val="16"/>
                <w:szCs w:val="16"/>
                <w:spacing w:val="-1"/>
                <w:position w:val="-1"/>
              </w:rPr>
              <w:t>2018年    </w:t>
            </w:r>
            <w:r>
              <w:rPr>
                <w:sz w:val="16"/>
                <w:szCs w:val="16"/>
                <w:spacing w:val="-1"/>
                <w:position w:val="1"/>
              </w:rPr>
              <w:t>2001—2007年</w:t>
            </w:r>
          </w:p>
          <w:p>
            <w:pPr>
              <w:pStyle w:val="TableText"/>
              <w:ind w:left="264"/>
              <w:spacing w:before="121" w:line="195" w:lineRule="auto"/>
              <w:rPr>
                <w:sz w:val="16"/>
                <w:szCs w:val="16"/>
              </w:rPr>
            </w:pPr>
            <w:r>
              <w:rPr>
                <w:sz w:val="16"/>
                <w:szCs w:val="16"/>
                <w:spacing w:val="-2"/>
                <w:position w:val="1"/>
              </w:rPr>
              <w:t>2.04       </w:t>
            </w:r>
            <w:r>
              <w:rPr>
                <w:sz w:val="16"/>
                <w:szCs w:val="16"/>
                <w:spacing w:val="-2"/>
              </w:rPr>
              <w:t>2.38        2.96</w:t>
            </w:r>
            <w:r>
              <w:rPr>
                <w:sz w:val="16"/>
                <w:szCs w:val="16"/>
                <w:spacing w:val="11"/>
              </w:rPr>
              <w:t xml:space="preserve">       </w:t>
            </w:r>
            <w:r>
              <w:rPr>
                <w:sz w:val="16"/>
                <w:szCs w:val="16"/>
                <w:spacing w:val="-2"/>
              </w:rPr>
              <w:t>3.53          </w:t>
            </w:r>
            <w:r>
              <w:rPr>
                <w:sz w:val="16"/>
                <w:szCs w:val="16"/>
                <w:spacing w:val="-2"/>
                <w:position w:val="-1"/>
              </w:rPr>
              <w:t>2.6</w:t>
            </w:r>
          </w:p>
          <w:p>
            <w:pPr>
              <w:pStyle w:val="TableText"/>
              <w:ind w:left="264"/>
              <w:spacing w:before="111" w:line="195" w:lineRule="auto"/>
              <w:rPr>
                <w:sz w:val="16"/>
                <w:szCs w:val="16"/>
              </w:rPr>
            </w:pPr>
            <w:r>
              <w:rPr>
                <w:sz w:val="16"/>
                <w:szCs w:val="16"/>
                <w:spacing w:val="-4"/>
              </w:rPr>
              <w:t>1.95</w:t>
            </w:r>
            <w:r>
              <w:rPr>
                <w:sz w:val="16"/>
                <w:szCs w:val="16"/>
                <w:spacing w:val="1"/>
              </w:rPr>
              <w:t xml:space="preserve">       </w:t>
            </w:r>
            <w:r>
              <w:rPr>
                <w:sz w:val="16"/>
                <w:szCs w:val="16"/>
                <w:spacing w:val="-4"/>
              </w:rPr>
              <w:t>1.60</w:t>
            </w:r>
            <w:r>
              <w:rPr>
                <w:sz w:val="16"/>
                <w:szCs w:val="16"/>
                <w:spacing w:val="11"/>
              </w:rPr>
              <w:t xml:space="preserve">       </w:t>
            </w:r>
            <w:r>
              <w:rPr>
                <w:sz w:val="16"/>
                <w:szCs w:val="16"/>
                <w:spacing w:val="-4"/>
              </w:rPr>
              <w:t>1.19</w:t>
            </w:r>
            <w:r>
              <w:rPr>
                <w:sz w:val="16"/>
                <w:szCs w:val="16"/>
                <w:spacing w:val="1"/>
              </w:rPr>
              <w:t xml:space="preserve">        </w:t>
            </w:r>
            <w:r>
              <w:rPr>
                <w:sz w:val="16"/>
                <w:szCs w:val="16"/>
                <w:spacing w:val="-4"/>
              </w:rPr>
              <w:t>1.21</w:t>
            </w:r>
            <w:r>
              <w:rPr>
                <w:sz w:val="16"/>
                <w:szCs w:val="16"/>
                <w:spacing w:val="2"/>
              </w:rPr>
              <w:t xml:space="preserve">         </w:t>
            </w:r>
            <w:r>
              <w:rPr>
                <w:sz w:val="16"/>
                <w:szCs w:val="16"/>
                <w:spacing w:val="-4"/>
                <w:position w:val="-1"/>
              </w:rPr>
              <w:t>-3.2</w:t>
            </w:r>
          </w:p>
          <w:p>
            <w:pPr>
              <w:pStyle w:val="TableText"/>
              <w:ind w:left="264"/>
              <w:spacing w:before="240" w:line="195" w:lineRule="auto"/>
              <w:rPr>
                <w:sz w:val="16"/>
                <w:szCs w:val="16"/>
              </w:rPr>
            </w:pPr>
            <w:r>
              <w:rPr>
                <w:sz w:val="16"/>
                <w:szCs w:val="16"/>
                <w:spacing w:val="-4"/>
              </w:rPr>
              <w:t>1.78</w:t>
            </w:r>
            <w:r>
              <w:rPr>
                <w:sz w:val="16"/>
                <w:szCs w:val="16"/>
                <w:spacing w:val="3"/>
              </w:rPr>
              <w:t xml:space="preserve">       </w:t>
            </w:r>
            <w:r>
              <w:rPr>
                <w:sz w:val="16"/>
                <w:szCs w:val="16"/>
                <w:spacing w:val="-4"/>
              </w:rPr>
              <w:t>1.95</w:t>
            </w:r>
            <w:r>
              <w:rPr>
                <w:sz w:val="16"/>
                <w:szCs w:val="16"/>
                <w:spacing w:val="11"/>
              </w:rPr>
              <w:t xml:space="preserve">       </w:t>
            </w:r>
            <w:r>
              <w:rPr>
                <w:sz w:val="16"/>
                <w:szCs w:val="16"/>
                <w:spacing w:val="-4"/>
              </w:rPr>
              <w:t>2.31</w:t>
            </w:r>
            <w:r>
              <w:rPr>
                <w:sz w:val="16"/>
                <w:szCs w:val="16"/>
                <w:spacing w:val="12"/>
              </w:rPr>
              <w:t xml:space="preserve">       </w:t>
            </w:r>
            <w:r>
              <w:rPr>
                <w:sz w:val="16"/>
                <w:szCs w:val="16"/>
                <w:spacing w:val="-4"/>
              </w:rPr>
              <w:t>1.56          </w:t>
            </w:r>
            <w:r>
              <w:rPr>
                <w:sz w:val="16"/>
                <w:szCs w:val="16"/>
                <w:spacing w:val="-4"/>
                <w:position w:val="-2"/>
              </w:rPr>
              <w:t>1.6</w:t>
            </w:r>
          </w:p>
          <w:p>
            <w:pPr>
              <w:spacing w:line="266" w:lineRule="auto"/>
              <w:rPr>
                <w:rFonts w:ascii="Arial"/>
                <w:sz w:val="21"/>
              </w:rPr>
            </w:pPr>
            <w:r/>
          </w:p>
          <w:p>
            <w:pPr>
              <w:pStyle w:val="TableText"/>
              <w:ind w:left="264"/>
              <w:spacing w:before="52" w:line="184" w:lineRule="auto"/>
              <w:rPr>
                <w:sz w:val="16"/>
                <w:szCs w:val="16"/>
              </w:rPr>
            </w:pPr>
            <w:r>
              <w:rPr>
                <w:sz w:val="16"/>
                <w:szCs w:val="16"/>
                <w:spacing w:val="-4"/>
              </w:rPr>
              <w:t>1.15</w:t>
            </w:r>
            <w:r>
              <w:rPr>
                <w:sz w:val="16"/>
                <w:szCs w:val="16"/>
                <w:spacing w:val="2"/>
              </w:rPr>
              <w:t xml:space="preserve">       </w:t>
            </w:r>
            <w:r>
              <w:rPr>
                <w:sz w:val="16"/>
                <w:szCs w:val="16"/>
                <w:spacing w:val="-4"/>
              </w:rPr>
              <w:t>1.07</w:t>
            </w:r>
            <w:r>
              <w:rPr>
                <w:sz w:val="16"/>
                <w:szCs w:val="16"/>
                <w:spacing w:val="12"/>
              </w:rPr>
              <w:t xml:space="preserve">       </w:t>
            </w:r>
            <w:r>
              <w:rPr>
                <w:sz w:val="16"/>
                <w:szCs w:val="16"/>
                <w:spacing w:val="-4"/>
              </w:rPr>
              <w:t>1.31</w:t>
            </w:r>
            <w:r>
              <w:rPr>
                <w:sz w:val="16"/>
                <w:szCs w:val="16"/>
                <w:spacing w:val="1"/>
              </w:rPr>
              <w:t xml:space="preserve">        </w:t>
            </w:r>
            <w:r>
              <w:rPr>
                <w:sz w:val="16"/>
                <w:szCs w:val="16"/>
                <w:spacing w:val="-4"/>
              </w:rPr>
              <w:t>2.08</w:t>
            </w:r>
            <w:r>
              <w:rPr>
                <w:sz w:val="16"/>
                <w:szCs w:val="16"/>
                <w:spacing w:val="1"/>
              </w:rPr>
              <w:t xml:space="preserve">         </w:t>
            </w:r>
            <w:r>
              <w:rPr>
                <w:sz w:val="16"/>
                <w:szCs w:val="16"/>
                <w:spacing w:val="-4"/>
              </w:rPr>
              <w:t>-1.1</w:t>
            </w:r>
          </w:p>
          <w:p>
            <w:pPr>
              <w:spacing w:line="316" w:lineRule="auto"/>
              <w:rPr>
                <w:rFonts w:ascii="Arial"/>
                <w:sz w:val="21"/>
              </w:rPr>
            </w:pPr>
            <w:r/>
          </w:p>
          <w:p>
            <w:pPr>
              <w:pStyle w:val="TableText"/>
              <w:ind w:left="264"/>
              <w:spacing w:before="52" w:line="183" w:lineRule="auto"/>
              <w:rPr>
                <w:sz w:val="16"/>
                <w:szCs w:val="16"/>
              </w:rPr>
            </w:pPr>
            <w:r>
              <w:rPr>
                <w:sz w:val="16"/>
                <w:szCs w:val="16"/>
                <w:spacing w:val="-2"/>
              </w:rPr>
              <w:t>3.31       2.80        3.13</w:t>
            </w:r>
            <w:r>
              <w:rPr>
                <w:sz w:val="16"/>
                <w:szCs w:val="16"/>
                <w:spacing w:val="13"/>
              </w:rPr>
              <w:t xml:space="preserve">       </w:t>
            </w:r>
            <w:r>
              <w:rPr>
                <w:sz w:val="16"/>
                <w:szCs w:val="16"/>
                <w:spacing w:val="-2"/>
              </w:rPr>
              <w:t>2.58</w:t>
            </w:r>
            <w:r>
              <w:rPr>
                <w:sz w:val="16"/>
                <w:szCs w:val="16"/>
                <w:spacing w:val="1"/>
              </w:rPr>
              <w:t xml:space="preserve">         </w:t>
            </w:r>
            <w:r>
              <w:rPr>
                <w:sz w:val="16"/>
                <w:szCs w:val="16"/>
                <w:spacing w:val="-2"/>
              </w:rPr>
              <w:t>-2.7</w:t>
            </w:r>
          </w:p>
          <w:p>
            <w:pPr>
              <w:spacing w:line="347" w:lineRule="auto"/>
              <w:rPr>
                <w:rFonts w:ascii="Arial"/>
                <w:sz w:val="21"/>
              </w:rPr>
            </w:pPr>
            <w:r/>
          </w:p>
          <w:p>
            <w:pPr>
              <w:pStyle w:val="TableText"/>
              <w:ind w:left="264"/>
              <w:spacing w:before="53" w:line="195" w:lineRule="auto"/>
              <w:rPr>
                <w:sz w:val="16"/>
                <w:szCs w:val="16"/>
              </w:rPr>
            </w:pPr>
            <w:r>
              <w:rPr>
                <w:sz w:val="16"/>
                <w:szCs w:val="16"/>
                <w:spacing w:val="-2"/>
                <w:position w:val="1"/>
              </w:rPr>
              <w:t>5.38       </w:t>
            </w:r>
            <w:r>
              <w:rPr>
                <w:sz w:val="16"/>
                <w:szCs w:val="16"/>
                <w:spacing w:val="-2"/>
              </w:rPr>
              <w:t>6.96</w:t>
            </w:r>
            <w:r>
              <w:rPr>
                <w:sz w:val="16"/>
                <w:szCs w:val="16"/>
                <w:spacing w:val="4"/>
              </w:rPr>
              <w:t xml:space="preserve">       </w:t>
            </w:r>
            <w:r>
              <w:rPr>
                <w:sz w:val="16"/>
                <w:szCs w:val="16"/>
                <w:spacing w:val="-2"/>
              </w:rPr>
              <w:t>10.08</w:t>
            </w:r>
            <w:r>
              <w:rPr>
                <w:sz w:val="16"/>
                <w:szCs w:val="16"/>
                <w:spacing w:val="1"/>
              </w:rPr>
              <w:t xml:space="preserve">       </w:t>
            </w:r>
            <w:r>
              <w:rPr>
                <w:sz w:val="16"/>
                <w:szCs w:val="16"/>
                <w:spacing w:val="-2"/>
              </w:rPr>
              <w:t>12.96</w:t>
            </w:r>
            <w:r>
              <w:rPr>
                <w:sz w:val="16"/>
                <w:szCs w:val="16"/>
              </w:rPr>
              <w:t xml:space="preserve">           </w:t>
            </w:r>
            <w:r>
              <w:rPr>
                <w:sz w:val="16"/>
                <w:szCs w:val="16"/>
                <w:spacing w:val="-3"/>
                <w:position w:val="-1"/>
              </w:rPr>
              <w:t>4.4</w:t>
            </w:r>
          </w:p>
          <w:p>
            <w:pPr>
              <w:pStyle w:val="TableText"/>
              <w:ind w:left="264"/>
              <w:spacing w:before="231" w:line="195" w:lineRule="auto"/>
              <w:rPr>
                <w:sz w:val="16"/>
                <w:szCs w:val="16"/>
              </w:rPr>
            </w:pPr>
            <w:r>
              <w:rPr>
                <w:sz w:val="16"/>
                <w:szCs w:val="16"/>
                <w:spacing w:val="-2"/>
                <w:position w:val="1"/>
              </w:rPr>
              <w:t>0.39       </w:t>
            </w:r>
            <w:r>
              <w:rPr>
                <w:sz w:val="16"/>
                <w:szCs w:val="16"/>
                <w:spacing w:val="-2"/>
              </w:rPr>
              <w:t>0.62        1.30</w:t>
            </w:r>
            <w:r>
              <w:rPr>
                <w:sz w:val="16"/>
                <w:szCs w:val="16"/>
                <w:spacing w:val="1"/>
              </w:rPr>
              <w:t xml:space="preserve">        </w:t>
            </w:r>
            <w:r>
              <w:rPr>
                <w:sz w:val="16"/>
                <w:szCs w:val="16"/>
                <w:spacing w:val="-2"/>
              </w:rPr>
              <w:t>3.22     </w:t>
            </w:r>
            <w:r>
              <w:rPr>
                <w:sz w:val="16"/>
                <w:szCs w:val="16"/>
                <w:spacing w:val="-3"/>
              </w:rPr>
              <w:t xml:space="preserve">     </w:t>
            </w:r>
            <w:r>
              <w:rPr>
                <w:sz w:val="16"/>
                <w:szCs w:val="16"/>
                <w:spacing w:val="-3"/>
                <w:position w:val="-1"/>
              </w:rPr>
              <w:t>7.8</w:t>
            </w:r>
          </w:p>
          <w:p>
            <w:pPr>
              <w:pStyle w:val="TableText"/>
              <w:ind w:left="264"/>
              <w:spacing w:before="92" w:line="205" w:lineRule="auto"/>
              <w:rPr>
                <w:sz w:val="16"/>
                <w:szCs w:val="16"/>
              </w:rPr>
            </w:pPr>
            <w:r>
              <w:rPr>
                <w:sz w:val="16"/>
                <w:szCs w:val="16"/>
                <w:spacing w:val="-2"/>
                <w:position w:val="1"/>
              </w:rPr>
              <w:t>3.72       </w:t>
            </w:r>
            <w:r>
              <w:rPr>
                <w:sz w:val="16"/>
                <w:szCs w:val="16"/>
                <w:spacing w:val="-2"/>
              </w:rPr>
              <w:t>4.25        5.27</w:t>
            </w:r>
            <w:r>
              <w:rPr>
                <w:sz w:val="16"/>
                <w:szCs w:val="16"/>
                <w:spacing w:val="6"/>
              </w:rPr>
              <w:t xml:space="preserve">       </w:t>
            </w:r>
            <w:r>
              <w:rPr>
                <w:sz w:val="16"/>
                <w:szCs w:val="16"/>
                <w:spacing w:val="-2"/>
              </w:rPr>
              <w:t>10.14</w:t>
            </w:r>
            <w:r>
              <w:rPr>
                <w:sz w:val="16"/>
                <w:szCs w:val="16"/>
                <w:spacing w:val="2"/>
              </w:rPr>
              <w:t xml:space="preserve">         </w:t>
            </w:r>
            <w:r>
              <w:rPr>
                <w:sz w:val="16"/>
                <w:szCs w:val="16"/>
                <w:spacing w:val="-2"/>
              </w:rPr>
              <w:t>2.3</w:t>
            </w:r>
          </w:p>
          <w:p>
            <w:pPr>
              <w:pStyle w:val="TableText"/>
              <w:ind w:left="264"/>
              <w:spacing w:before="111" w:line="195" w:lineRule="auto"/>
              <w:rPr>
                <w:sz w:val="16"/>
                <w:szCs w:val="16"/>
              </w:rPr>
            </w:pPr>
            <w:r>
              <w:rPr>
                <w:sz w:val="16"/>
                <w:szCs w:val="16"/>
                <w:spacing w:val="-2"/>
                <w:position w:val="1"/>
              </w:rPr>
              <w:t>0.31       </w:t>
            </w:r>
            <w:r>
              <w:rPr>
                <w:sz w:val="16"/>
                <w:szCs w:val="16"/>
                <w:spacing w:val="-2"/>
              </w:rPr>
              <w:t>0.34        0.47        0.57          </w:t>
            </w:r>
            <w:r>
              <w:rPr>
                <w:sz w:val="16"/>
                <w:szCs w:val="16"/>
                <w:spacing w:val="-2"/>
                <w:position w:val="-1"/>
              </w:rPr>
              <w:t>2.1</w:t>
            </w:r>
          </w:p>
          <w:p>
            <w:pPr>
              <w:pStyle w:val="TableText"/>
              <w:ind w:left="264"/>
              <w:spacing w:before="101" w:line="195" w:lineRule="auto"/>
              <w:rPr>
                <w:sz w:val="16"/>
                <w:szCs w:val="16"/>
              </w:rPr>
            </w:pPr>
            <w:r>
              <w:rPr>
                <w:sz w:val="16"/>
                <w:szCs w:val="16"/>
                <w:spacing w:val="-3"/>
              </w:rPr>
              <w:t>1.15</w:t>
            </w:r>
            <w:r>
              <w:rPr>
                <w:sz w:val="16"/>
                <w:szCs w:val="16"/>
                <w:spacing w:val="2"/>
              </w:rPr>
              <w:t xml:space="preserve">       </w:t>
            </w:r>
            <w:r>
              <w:rPr>
                <w:sz w:val="16"/>
                <w:szCs w:val="16"/>
                <w:spacing w:val="-3"/>
              </w:rPr>
              <w:t>4.49</w:t>
            </w:r>
            <w:r>
              <w:rPr>
                <w:sz w:val="16"/>
                <w:szCs w:val="16"/>
                <w:spacing w:val="3"/>
              </w:rPr>
              <w:t xml:space="preserve">       </w:t>
            </w:r>
            <w:r>
              <w:rPr>
                <w:sz w:val="16"/>
                <w:szCs w:val="16"/>
                <w:spacing w:val="-3"/>
              </w:rPr>
              <w:t>14.12</w:t>
            </w:r>
            <w:r>
              <w:rPr>
                <w:sz w:val="16"/>
                <w:szCs w:val="16"/>
                <w:spacing w:val="2"/>
              </w:rPr>
              <w:t xml:space="preserve">       </w:t>
            </w:r>
            <w:r>
              <w:rPr>
                <w:sz w:val="16"/>
                <w:szCs w:val="16"/>
                <w:spacing w:val="-3"/>
              </w:rPr>
              <w:t>39.50</w:t>
            </w:r>
            <w:r>
              <w:rPr>
                <w:sz w:val="16"/>
                <w:szCs w:val="16"/>
                <w:spacing w:val="6"/>
              </w:rPr>
              <w:t xml:space="preserve">        </w:t>
            </w:r>
            <w:r>
              <w:rPr>
                <w:sz w:val="16"/>
                <w:szCs w:val="16"/>
                <w:spacing w:val="-3"/>
                <w:position w:val="-1"/>
              </w:rPr>
              <w:t>25.4</w:t>
            </w:r>
          </w:p>
        </w:tc>
        <w:tc>
          <w:tcPr>
            <w:tcW w:w="2230" w:type="dxa"/>
            <w:vAlign w:val="top"/>
            <w:gridSpan w:val="2"/>
            <w:tcBorders>
              <w:top w:val="single" w:color="000000" w:sz="4" w:space="0"/>
            </w:tcBorders>
          </w:tcPr>
          <w:p>
            <w:pPr>
              <w:pStyle w:val="TableText"/>
              <w:ind w:left="514"/>
              <w:spacing w:before="96" w:line="219" w:lineRule="auto"/>
              <w:rPr>
                <w:sz w:val="16"/>
                <w:szCs w:val="16"/>
              </w:rPr>
            </w:pPr>
            <w:r>
              <w:rPr>
                <w:sz w:val="16"/>
                <w:szCs w:val="16"/>
                <w:spacing w:val="3"/>
              </w:rPr>
              <w:t>年平均增长率(%)</w:t>
            </w:r>
          </w:p>
          <w:p>
            <w:pPr>
              <w:pStyle w:val="TableText"/>
              <w:ind w:left="154"/>
              <w:spacing w:before="120" w:line="219" w:lineRule="auto"/>
              <w:rPr>
                <w:sz w:val="16"/>
                <w:szCs w:val="16"/>
              </w:rPr>
            </w:pPr>
            <w:r>
              <w:rPr>
                <w:sz w:val="16"/>
                <w:szCs w:val="16"/>
                <w:spacing w:val="-1"/>
              </w:rPr>
              <w:t>2007—2012年2012—2018年</w:t>
            </w:r>
          </w:p>
        </w:tc>
        <w:tc>
          <w:tcPr>
            <w:tcW w:w="1254" w:type="dxa"/>
            <w:vAlign w:val="top"/>
            <w:vMerge w:val="restart"/>
            <w:tcBorders>
              <w:bottom w:val="nil"/>
              <w:top w:val="single" w:color="000000" w:sz="4" w:space="0"/>
            </w:tcBorders>
          </w:tcPr>
          <w:p>
            <w:pPr>
              <w:spacing w:line="351" w:lineRule="auto"/>
              <w:rPr>
                <w:rFonts w:ascii="Arial"/>
                <w:sz w:val="21"/>
              </w:rPr>
            </w:pPr>
            <w:r/>
          </w:p>
          <w:p>
            <w:pPr>
              <w:pStyle w:val="TableText"/>
              <w:ind w:left="164"/>
              <w:spacing w:before="52" w:line="332" w:lineRule="exact"/>
              <w:rPr>
                <w:sz w:val="16"/>
                <w:szCs w:val="16"/>
              </w:rPr>
            </w:pPr>
            <w:r>
              <w:rPr>
                <w:sz w:val="16"/>
                <w:szCs w:val="16"/>
                <w:spacing w:val="-1"/>
                <w:position w:val="13"/>
              </w:rPr>
              <w:t>2001—2018年</w:t>
            </w:r>
          </w:p>
          <w:p>
            <w:pPr>
              <w:pStyle w:val="TableText"/>
              <w:ind w:left="524"/>
              <w:spacing w:line="183" w:lineRule="auto"/>
              <w:rPr>
                <w:sz w:val="16"/>
                <w:szCs w:val="16"/>
              </w:rPr>
            </w:pPr>
            <w:r>
              <w:rPr>
                <w:sz w:val="16"/>
                <w:szCs w:val="16"/>
                <w:spacing w:val="-3"/>
              </w:rPr>
              <w:t>3.3</w:t>
            </w:r>
          </w:p>
          <w:p>
            <w:pPr>
              <w:pStyle w:val="TableText"/>
              <w:ind w:left="484"/>
              <w:spacing w:before="141" w:line="183" w:lineRule="auto"/>
              <w:rPr>
                <w:sz w:val="16"/>
                <w:szCs w:val="16"/>
              </w:rPr>
            </w:pPr>
            <w:r>
              <w:rPr>
                <w:sz w:val="16"/>
                <w:szCs w:val="16"/>
                <w:spacing w:val="-1"/>
              </w:rPr>
              <w:t>-2.7</w:t>
            </w:r>
          </w:p>
          <w:p>
            <w:pPr>
              <w:pStyle w:val="TableText"/>
              <w:ind w:left="484"/>
              <w:spacing w:before="281" w:line="183" w:lineRule="auto"/>
              <w:rPr>
                <w:sz w:val="16"/>
                <w:szCs w:val="16"/>
              </w:rPr>
            </w:pPr>
            <w:r>
              <w:rPr>
                <w:sz w:val="16"/>
                <w:szCs w:val="16"/>
                <w:spacing w:val="-1"/>
              </w:rPr>
              <w:t>-0.8</w:t>
            </w:r>
          </w:p>
          <w:p>
            <w:pPr>
              <w:spacing w:line="277" w:lineRule="auto"/>
              <w:rPr>
                <w:rFonts w:ascii="Arial"/>
                <w:sz w:val="21"/>
              </w:rPr>
            </w:pPr>
            <w:r/>
          </w:p>
          <w:p>
            <w:pPr>
              <w:pStyle w:val="TableText"/>
              <w:ind w:left="524"/>
              <w:spacing w:before="52" w:line="183" w:lineRule="auto"/>
              <w:rPr>
                <w:sz w:val="16"/>
                <w:szCs w:val="16"/>
              </w:rPr>
            </w:pPr>
            <w:r>
              <w:rPr>
                <w:sz w:val="16"/>
                <w:szCs w:val="16"/>
                <w:spacing w:val="-3"/>
              </w:rPr>
              <w:t>3.6</w:t>
            </w:r>
          </w:p>
          <w:p>
            <w:pPr>
              <w:spacing w:line="316" w:lineRule="auto"/>
              <w:rPr>
                <w:rFonts w:ascii="Arial"/>
                <w:sz w:val="21"/>
              </w:rPr>
            </w:pPr>
            <w:r/>
          </w:p>
          <w:p>
            <w:pPr>
              <w:pStyle w:val="TableText"/>
              <w:ind w:left="484"/>
              <w:spacing w:before="52" w:line="184" w:lineRule="auto"/>
              <w:rPr>
                <w:sz w:val="16"/>
                <w:szCs w:val="16"/>
              </w:rPr>
            </w:pPr>
            <w:r>
              <w:rPr>
                <w:sz w:val="16"/>
                <w:szCs w:val="16"/>
                <w:spacing w:val="-1"/>
              </w:rPr>
              <w:t>-1.5</w:t>
            </w:r>
          </w:p>
          <w:p>
            <w:pPr>
              <w:spacing w:line="357" w:lineRule="auto"/>
              <w:rPr>
                <w:rFonts w:ascii="Arial"/>
                <w:sz w:val="21"/>
              </w:rPr>
            </w:pPr>
            <w:r/>
          </w:p>
          <w:p>
            <w:pPr>
              <w:pStyle w:val="TableText"/>
              <w:ind w:left="524"/>
              <w:spacing w:before="52" w:line="183" w:lineRule="auto"/>
              <w:rPr>
                <w:sz w:val="16"/>
                <w:szCs w:val="16"/>
              </w:rPr>
            </w:pPr>
            <w:r>
              <w:rPr>
                <w:sz w:val="16"/>
                <w:szCs w:val="16"/>
                <w:spacing w:val="-3"/>
              </w:rPr>
              <w:t>5.3</w:t>
            </w:r>
          </w:p>
          <w:p>
            <w:pPr>
              <w:pStyle w:val="TableText"/>
              <w:ind w:left="484"/>
              <w:spacing w:before="251" w:line="300" w:lineRule="exact"/>
              <w:rPr>
                <w:sz w:val="16"/>
                <w:szCs w:val="16"/>
              </w:rPr>
            </w:pPr>
            <w:r>
              <w:rPr>
                <w:sz w:val="16"/>
                <w:szCs w:val="16"/>
                <w:spacing w:val="-4"/>
                <w:position w:val="13"/>
              </w:rPr>
              <w:t>13.2</w:t>
            </w:r>
          </w:p>
          <w:p>
            <w:pPr>
              <w:pStyle w:val="TableText"/>
              <w:ind w:left="524"/>
              <w:spacing w:before="1" w:line="183" w:lineRule="auto"/>
              <w:rPr>
                <w:sz w:val="16"/>
                <w:szCs w:val="16"/>
              </w:rPr>
            </w:pPr>
            <w:r>
              <w:rPr>
                <w:sz w:val="16"/>
                <w:szCs w:val="16"/>
                <w:spacing w:val="-2"/>
              </w:rPr>
              <w:t>6.1</w:t>
            </w:r>
          </w:p>
          <w:p>
            <w:pPr>
              <w:pStyle w:val="TableText"/>
              <w:ind w:left="524"/>
              <w:spacing w:before="131" w:line="183" w:lineRule="auto"/>
              <w:rPr>
                <w:sz w:val="16"/>
                <w:szCs w:val="16"/>
              </w:rPr>
            </w:pPr>
            <w:r>
              <w:rPr>
                <w:sz w:val="16"/>
                <w:szCs w:val="16"/>
                <w:spacing w:val="-3"/>
              </w:rPr>
              <w:t>3.7</w:t>
            </w:r>
          </w:p>
          <w:p>
            <w:pPr>
              <w:pStyle w:val="TableText"/>
              <w:ind w:left="484"/>
              <w:spacing w:before="131" w:line="184" w:lineRule="auto"/>
              <w:rPr>
                <w:sz w:val="16"/>
                <w:szCs w:val="16"/>
              </w:rPr>
            </w:pPr>
            <w:r>
              <w:rPr>
                <w:sz w:val="16"/>
                <w:szCs w:val="16"/>
                <w:spacing w:val="-2"/>
              </w:rPr>
              <w:t>23.1</w:t>
            </w:r>
          </w:p>
        </w:tc>
      </w:tr>
      <w:tr>
        <w:trPr>
          <w:trHeight w:val="3883" w:hRule="atLeast"/>
        </w:trPr>
        <w:tc>
          <w:tcPr>
            <w:tcW w:w="1245" w:type="dxa"/>
            <w:vAlign w:val="top"/>
            <w:vMerge w:val="continue"/>
            <w:tcBorders>
              <w:bottom w:val="single" w:color="000000" w:sz="4" w:space="0"/>
              <w:top w:val="nil"/>
            </w:tcBorders>
          </w:tcPr>
          <w:p>
            <w:pPr>
              <w:rPr>
                <w:rFonts w:ascii="Arial"/>
                <w:sz w:val="21"/>
              </w:rPr>
            </w:pPr>
            <w:r/>
          </w:p>
        </w:tc>
        <w:tc>
          <w:tcPr>
            <w:tcW w:w="4850" w:type="dxa"/>
            <w:vAlign w:val="top"/>
            <w:vMerge w:val="continue"/>
            <w:tcBorders>
              <w:bottom w:val="single" w:color="000000" w:sz="4" w:space="0"/>
              <w:top w:val="nil"/>
            </w:tcBorders>
          </w:tcPr>
          <w:p>
            <w:pPr>
              <w:rPr>
                <w:rFonts w:ascii="Arial"/>
                <w:sz w:val="21"/>
              </w:rPr>
            </w:pPr>
            <w:r/>
          </w:p>
        </w:tc>
        <w:tc>
          <w:tcPr>
            <w:tcW w:w="1161" w:type="dxa"/>
            <w:vAlign w:val="top"/>
            <w:tcBorders>
              <w:bottom w:val="single" w:color="000000" w:sz="4" w:space="0"/>
            </w:tcBorders>
          </w:tcPr>
          <w:p>
            <w:pPr>
              <w:pStyle w:val="TableText"/>
              <w:ind w:left="524"/>
              <w:spacing w:before="90" w:line="291" w:lineRule="exact"/>
              <w:rPr>
                <w:sz w:val="16"/>
                <w:szCs w:val="16"/>
              </w:rPr>
            </w:pPr>
            <w:r>
              <w:rPr>
                <w:sz w:val="16"/>
                <w:szCs w:val="16"/>
                <w:spacing w:val="-2"/>
                <w:position w:val="12"/>
              </w:rPr>
              <w:t>4.5</w:t>
            </w:r>
          </w:p>
          <w:p>
            <w:pPr>
              <w:pStyle w:val="TableText"/>
              <w:ind w:left="424"/>
              <w:spacing w:line="181" w:lineRule="auto"/>
              <w:rPr>
                <w:sz w:val="16"/>
                <w:szCs w:val="16"/>
              </w:rPr>
            </w:pPr>
            <w:r>
              <w:rPr>
                <w:sz w:val="16"/>
                <w:szCs w:val="16"/>
                <w:spacing w:val="-1"/>
              </w:rPr>
              <w:t>-5.7</w:t>
            </w:r>
          </w:p>
          <w:p>
            <w:pPr>
              <w:pStyle w:val="TableText"/>
              <w:ind w:left="464"/>
              <w:spacing w:before="251" w:line="183" w:lineRule="auto"/>
              <w:rPr>
                <w:sz w:val="16"/>
                <w:szCs w:val="16"/>
              </w:rPr>
            </w:pPr>
            <w:r>
              <w:rPr>
                <w:sz w:val="16"/>
                <w:szCs w:val="16"/>
                <w:spacing w:val="-3"/>
              </w:rPr>
              <w:t>3.4</w:t>
            </w:r>
          </w:p>
          <w:p>
            <w:pPr>
              <w:spacing w:line="306" w:lineRule="auto"/>
              <w:rPr>
                <w:rFonts w:ascii="Arial"/>
                <w:sz w:val="21"/>
              </w:rPr>
            </w:pPr>
            <w:r/>
          </w:p>
          <w:p>
            <w:pPr>
              <w:pStyle w:val="TableText"/>
              <w:ind w:left="464"/>
              <w:spacing w:before="52" w:line="184" w:lineRule="auto"/>
              <w:rPr>
                <w:sz w:val="16"/>
                <w:szCs w:val="16"/>
              </w:rPr>
            </w:pPr>
            <w:r>
              <w:rPr>
                <w:sz w:val="16"/>
                <w:szCs w:val="16"/>
                <w:spacing w:val="-2"/>
              </w:rPr>
              <w:t>4.1</w:t>
            </w:r>
          </w:p>
          <w:p>
            <w:pPr>
              <w:spacing w:line="317" w:lineRule="auto"/>
              <w:rPr>
                <w:rFonts w:ascii="Arial"/>
                <w:sz w:val="21"/>
              </w:rPr>
            </w:pPr>
            <w:r/>
          </w:p>
          <w:p>
            <w:pPr>
              <w:pStyle w:val="TableText"/>
              <w:ind w:left="464"/>
              <w:spacing w:before="52" w:line="183" w:lineRule="auto"/>
              <w:rPr>
                <w:sz w:val="16"/>
                <w:szCs w:val="16"/>
              </w:rPr>
            </w:pPr>
            <w:r>
              <w:rPr>
                <w:sz w:val="16"/>
                <w:szCs w:val="16"/>
                <w:spacing w:val="-2"/>
              </w:rPr>
              <w:t>2.2</w:t>
            </w:r>
          </w:p>
          <w:p>
            <w:pPr>
              <w:spacing w:line="358" w:lineRule="auto"/>
              <w:rPr>
                <w:rFonts w:ascii="Arial"/>
                <w:sz w:val="21"/>
              </w:rPr>
            </w:pPr>
            <w:r/>
          </w:p>
          <w:p>
            <w:pPr>
              <w:pStyle w:val="TableText"/>
              <w:ind w:left="464"/>
              <w:spacing w:before="52" w:line="182" w:lineRule="auto"/>
              <w:rPr>
                <w:sz w:val="16"/>
                <w:szCs w:val="16"/>
              </w:rPr>
            </w:pPr>
            <w:r>
              <w:rPr>
                <w:sz w:val="16"/>
                <w:szCs w:val="16"/>
                <w:spacing w:val="-3"/>
              </w:rPr>
              <w:t>7.7</w:t>
            </w:r>
          </w:p>
          <w:p>
            <w:pPr>
              <w:pStyle w:val="TableText"/>
              <w:ind w:left="424"/>
              <w:spacing w:before="251" w:line="291" w:lineRule="exact"/>
              <w:rPr>
                <w:sz w:val="16"/>
                <w:szCs w:val="16"/>
              </w:rPr>
            </w:pPr>
            <w:r>
              <w:rPr>
                <w:sz w:val="16"/>
                <w:szCs w:val="16"/>
                <w:spacing w:val="-4"/>
                <w:position w:val="12"/>
              </w:rPr>
              <w:t>16.1</w:t>
            </w:r>
          </w:p>
          <w:p>
            <w:pPr>
              <w:pStyle w:val="TableText"/>
              <w:ind w:left="464"/>
              <w:spacing w:line="183" w:lineRule="auto"/>
              <w:rPr>
                <w:sz w:val="16"/>
                <w:szCs w:val="16"/>
              </w:rPr>
            </w:pPr>
            <w:r>
              <w:rPr>
                <w:sz w:val="16"/>
                <w:szCs w:val="16"/>
                <w:spacing w:val="-2"/>
              </w:rPr>
              <w:t>4.4</w:t>
            </w:r>
          </w:p>
          <w:p>
            <w:pPr>
              <w:pStyle w:val="TableText"/>
              <w:ind w:left="464"/>
              <w:spacing w:before="141" w:line="183" w:lineRule="auto"/>
              <w:rPr>
                <w:sz w:val="16"/>
                <w:szCs w:val="16"/>
              </w:rPr>
            </w:pPr>
            <w:r>
              <w:rPr>
                <w:sz w:val="16"/>
                <w:szCs w:val="16"/>
                <w:spacing w:val="-2"/>
              </w:rPr>
              <w:t>6.3</w:t>
            </w:r>
          </w:p>
          <w:p>
            <w:pPr>
              <w:pStyle w:val="TableText"/>
              <w:ind w:left="424"/>
              <w:spacing w:before="122" w:line="183" w:lineRule="auto"/>
              <w:rPr>
                <w:sz w:val="16"/>
                <w:szCs w:val="16"/>
              </w:rPr>
            </w:pPr>
            <w:r>
              <w:rPr>
                <w:sz w:val="16"/>
                <w:szCs w:val="16"/>
                <w:spacing w:val="-2"/>
              </w:rPr>
              <w:t>25.7</w:t>
            </w:r>
          </w:p>
        </w:tc>
        <w:tc>
          <w:tcPr>
            <w:tcW w:w="1069" w:type="dxa"/>
            <w:vAlign w:val="top"/>
            <w:tcBorders>
              <w:bottom w:val="single" w:color="000000" w:sz="4" w:space="0"/>
            </w:tcBorders>
          </w:tcPr>
          <w:p>
            <w:pPr>
              <w:pStyle w:val="TableText"/>
              <w:ind w:left="523"/>
              <w:spacing w:before="90" w:line="290" w:lineRule="exact"/>
              <w:rPr>
                <w:sz w:val="16"/>
                <w:szCs w:val="16"/>
              </w:rPr>
            </w:pPr>
            <w:r>
              <w:rPr>
                <w:sz w:val="16"/>
                <w:szCs w:val="16"/>
                <w:spacing w:val="-3"/>
                <w:position w:val="12"/>
              </w:rPr>
              <w:t>3.0</w:t>
            </w:r>
          </w:p>
          <w:p>
            <w:pPr>
              <w:pStyle w:val="TableText"/>
              <w:ind w:left="443"/>
              <w:spacing w:line="183" w:lineRule="auto"/>
              <w:rPr>
                <w:sz w:val="16"/>
                <w:szCs w:val="16"/>
              </w:rPr>
            </w:pPr>
            <w:r>
              <w:rPr>
                <w:sz w:val="16"/>
                <w:szCs w:val="16"/>
                <w:spacing w:val="-2"/>
              </w:rPr>
              <w:t>0.3</w:t>
            </w:r>
          </w:p>
          <w:p>
            <w:pPr>
              <w:pStyle w:val="TableText"/>
              <w:ind w:left="403"/>
              <w:spacing w:before="251" w:line="183" w:lineRule="auto"/>
              <w:rPr>
                <w:sz w:val="16"/>
                <w:szCs w:val="16"/>
              </w:rPr>
            </w:pPr>
            <w:r>
              <w:rPr>
                <w:sz w:val="16"/>
                <w:szCs w:val="16"/>
                <w:spacing w:val="-1"/>
              </w:rPr>
              <w:t>-6.4</w:t>
            </w:r>
          </w:p>
          <w:p>
            <w:pPr>
              <w:spacing w:line="307" w:lineRule="auto"/>
              <w:rPr>
                <w:rFonts w:ascii="Arial"/>
                <w:sz w:val="21"/>
              </w:rPr>
            </w:pPr>
            <w:r/>
          </w:p>
          <w:p>
            <w:pPr>
              <w:pStyle w:val="TableText"/>
              <w:ind w:left="443"/>
              <w:spacing w:before="52" w:line="183" w:lineRule="auto"/>
              <w:rPr>
                <w:sz w:val="16"/>
                <w:szCs w:val="16"/>
              </w:rPr>
            </w:pPr>
            <w:r>
              <w:rPr>
                <w:sz w:val="16"/>
                <w:szCs w:val="16"/>
                <w:spacing w:val="-2"/>
              </w:rPr>
              <w:t>8.0</w:t>
            </w:r>
          </w:p>
          <w:p>
            <w:pPr>
              <w:spacing w:line="317" w:lineRule="auto"/>
              <w:rPr>
                <w:rFonts w:ascii="Arial"/>
                <w:sz w:val="21"/>
              </w:rPr>
            </w:pPr>
            <w:r/>
          </w:p>
          <w:p>
            <w:pPr>
              <w:pStyle w:val="TableText"/>
              <w:ind w:left="403"/>
              <w:spacing w:before="52" w:line="183" w:lineRule="auto"/>
              <w:rPr>
                <w:sz w:val="16"/>
                <w:szCs w:val="16"/>
              </w:rPr>
            </w:pPr>
            <w:r>
              <w:rPr>
                <w:sz w:val="16"/>
                <w:szCs w:val="16"/>
                <w:spacing w:val="-1"/>
              </w:rPr>
              <w:t>-3.2</w:t>
            </w:r>
          </w:p>
          <w:p>
            <w:pPr>
              <w:spacing w:line="357" w:lineRule="auto"/>
              <w:rPr>
                <w:rFonts w:ascii="Arial"/>
                <w:sz w:val="21"/>
              </w:rPr>
            </w:pPr>
            <w:r/>
          </w:p>
          <w:p>
            <w:pPr>
              <w:pStyle w:val="TableText"/>
              <w:ind w:left="443"/>
              <w:spacing w:before="52" w:line="183" w:lineRule="auto"/>
              <w:rPr>
                <w:sz w:val="16"/>
                <w:szCs w:val="16"/>
              </w:rPr>
            </w:pPr>
            <w:r>
              <w:rPr>
                <w:sz w:val="16"/>
                <w:szCs w:val="16"/>
                <w:spacing w:val="-2"/>
              </w:rPr>
              <w:t>4.3</w:t>
            </w:r>
          </w:p>
          <w:p>
            <w:pPr>
              <w:pStyle w:val="TableText"/>
              <w:ind w:left="403"/>
              <w:spacing w:before="250" w:line="290" w:lineRule="exact"/>
              <w:rPr>
                <w:sz w:val="16"/>
                <w:szCs w:val="16"/>
              </w:rPr>
            </w:pPr>
            <w:r>
              <w:rPr>
                <w:sz w:val="16"/>
                <w:szCs w:val="16"/>
                <w:spacing w:val="-4"/>
                <w:position w:val="12"/>
              </w:rPr>
              <w:t>16.3</w:t>
            </w:r>
          </w:p>
          <w:p>
            <w:pPr>
              <w:pStyle w:val="TableText"/>
              <w:ind w:left="403"/>
              <w:spacing w:before="1" w:line="183" w:lineRule="auto"/>
              <w:rPr>
                <w:sz w:val="16"/>
                <w:szCs w:val="16"/>
              </w:rPr>
            </w:pPr>
            <w:r>
              <w:rPr>
                <w:sz w:val="16"/>
                <w:szCs w:val="16"/>
                <w:spacing w:val="-4"/>
              </w:rPr>
              <w:t>11.5</w:t>
            </w:r>
          </w:p>
          <w:p>
            <w:pPr>
              <w:pStyle w:val="TableText"/>
              <w:ind w:left="443"/>
              <w:spacing w:before="141" w:line="183" w:lineRule="auto"/>
              <w:rPr>
                <w:sz w:val="16"/>
                <w:szCs w:val="16"/>
              </w:rPr>
            </w:pPr>
            <w:r>
              <w:rPr>
                <w:sz w:val="16"/>
                <w:szCs w:val="16"/>
                <w:spacing w:val="-3"/>
              </w:rPr>
              <w:t>3.2</w:t>
            </w:r>
          </w:p>
          <w:p>
            <w:pPr>
              <w:pStyle w:val="TableText"/>
              <w:ind w:left="403"/>
              <w:spacing w:before="131" w:line="184" w:lineRule="auto"/>
              <w:rPr>
                <w:sz w:val="16"/>
                <w:szCs w:val="16"/>
              </w:rPr>
            </w:pPr>
            <w:r>
              <w:rPr>
                <w:sz w:val="16"/>
                <w:szCs w:val="16"/>
                <w:spacing w:val="-4"/>
              </w:rPr>
              <w:t>18.7</w:t>
            </w:r>
          </w:p>
        </w:tc>
        <w:tc>
          <w:tcPr>
            <w:tcW w:w="1254" w:type="dxa"/>
            <w:vAlign w:val="top"/>
            <w:vMerge w:val="continue"/>
            <w:tcBorders>
              <w:bottom w:val="single" w:color="000000" w:sz="4" w:space="0"/>
              <w:top w:val="nil"/>
            </w:tcBorders>
          </w:tcPr>
          <w:p>
            <w:pPr>
              <w:rPr>
                <w:rFonts w:ascii="Arial"/>
                <w:sz w:val="21"/>
              </w:rPr>
            </w:pPr>
            <w:r/>
          </w:p>
        </w:tc>
      </w:tr>
      <w:tr>
        <w:trPr>
          <w:trHeight w:val="267" w:hRule="atLeast"/>
        </w:trPr>
        <w:tc>
          <w:tcPr>
            <w:tcW w:w="9579" w:type="dxa"/>
            <w:vAlign w:val="top"/>
            <w:gridSpan w:val="5"/>
            <w:tcBorders>
              <w:top w:val="single" w:color="000000" w:sz="4" w:space="0"/>
            </w:tcBorders>
          </w:tcPr>
          <w:p>
            <w:pPr>
              <w:ind w:left="379"/>
              <w:spacing w:before="90" w:line="181" w:lineRule="auto"/>
              <w:rPr>
                <w:rFonts w:ascii="KaiTi" w:hAnsi="KaiTi" w:eastAsia="KaiTi" w:cs="KaiTi"/>
                <w:sz w:val="17"/>
                <w:szCs w:val="17"/>
              </w:rPr>
            </w:pPr>
            <w:r>
              <w:rPr>
                <w:rFonts w:ascii="KaiTi" w:hAnsi="KaiTi" w:eastAsia="KaiTi" w:cs="KaiTi"/>
                <w:sz w:val="17"/>
                <w:szCs w:val="17"/>
                <w:spacing w:val="-12"/>
              </w:rPr>
              <w:t>资料来源：作者计算，数据出处及构建方法见本章第三节。</w:t>
            </w:r>
          </w:p>
        </w:tc>
      </w:tr>
    </w:tbl>
    <w:p>
      <w:pPr>
        <w:pStyle w:val="BodyText"/>
        <w:rPr/>
      </w:pPr>
      <w:r/>
    </w:p>
    <w:p>
      <w:pPr>
        <w:sectPr>
          <w:headerReference w:type="default" r:id="rId1"/>
          <w:pgSz w:w="12480" w:h="7330"/>
          <w:pgMar w:top="400" w:right="394" w:bottom="400" w:left="1290" w:header="0" w:footer="0" w:gutter="0"/>
        </w:sectPr>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right="20"/>
        <w:spacing w:before="68" w:line="306" w:lineRule="auto"/>
        <w:jc w:val="both"/>
        <w:rPr>
          <w:rFonts w:ascii="SimSun" w:hAnsi="SimSun" w:eastAsia="SimSun" w:cs="SimSun"/>
          <w:sz w:val="21"/>
          <w:szCs w:val="21"/>
        </w:rPr>
      </w:pPr>
      <w:r>
        <w:rPr>
          <w:rFonts w:ascii="SimSun" w:hAnsi="SimSun" w:eastAsia="SimSun" w:cs="SimSun"/>
          <w:sz w:val="21"/>
          <w:szCs w:val="21"/>
          <w:spacing w:val="-7"/>
        </w:rPr>
        <w:t>然而，如表2-8所显示的，这些部门并不是资本深化水平最高以及深 </w:t>
      </w:r>
      <w:r>
        <w:rPr>
          <w:rFonts w:ascii="SimSun" w:hAnsi="SimSun" w:eastAsia="SimSun" w:cs="SimSun"/>
          <w:sz w:val="21"/>
          <w:szCs w:val="21"/>
          <w:spacing w:val="-7"/>
        </w:rPr>
        <w:t>化速度最快的部门。如表2-9所示，除了仍然在相当程度上依赖劳动 </w:t>
      </w:r>
      <w:r>
        <w:rPr>
          <w:rFonts w:ascii="SimSun" w:hAnsi="SimSun" w:eastAsia="SimSun" w:cs="SimSun"/>
          <w:sz w:val="21"/>
          <w:szCs w:val="21"/>
          <w:spacing w:val="-9"/>
        </w:rPr>
        <w:t>密集技术的建筑业以外，</w:t>
      </w:r>
      <w:r>
        <w:rPr>
          <w:rFonts w:ascii="Times New Roman" w:hAnsi="Times New Roman" w:eastAsia="Times New Roman" w:cs="Times New Roman"/>
          <w:sz w:val="21"/>
          <w:szCs w:val="21"/>
          <w:spacing w:val="-9"/>
        </w:rPr>
        <w:t>ICT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9"/>
        </w:rPr>
        <w:t>生产和集约使用部门的资本产出比是最 </w:t>
      </w:r>
      <w:r>
        <w:rPr>
          <w:rFonts w:ascii="SimSun" w:hAnsi="SimSun" w:eastAsia="SimSun" w:cs="SimSun"/>
          <w:sz w:val="21"/>
          <w:szCs w:val="21"/>
          <w:spacing w:val="2"/>
        </w:rPr>
        <w:t>低的。在2018年，</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生产行业的资本产出比只有1.</w:t>
      </w:r>
      <w:r>
        <w:rPr>
          <w:rFonts w:ascii="SimSun" w:hAnsi="SimSun" w:eastAsia="SimSun" w:cs="SimSun"/>
          <w:sz w:val="21"/>
          <w:szCs w:val="21"/>
          <w:spacing w:val="1"/>
        </w:rPr>
        <w:t>21,大约仅相</w:t>
      </w:r>
      <w:r>
        <w:rPr>
          <w:rFonts w:ascii="SimSun" w:hAnsi="SimSun" w:eastAsia="SimSun" w:cs="SimSun"/>
          <w:sz w:val="21"/>
          <w:szCs w:val="21"/>
        </w:rPr>
        <w:t xml:space="preserve"> </w:t>
      </w:r>
      <w:r>
        <w:rPr>
          <w:rFonts w:ascii="SimSun" w:hAnsi="SimSun" w:eastAsia="SimSun" w:cs="SimSun"/>
          <w:sz w:val="21"/>
          <w:szCs w:val="21"/>
          <w:spacing w:val="-6"/>
        </w:rPr>
        <w:t>当于全国平均水平的1/3;另外两个</w:t>
      </w:r>
      <w:r>
        <w:rPr>
          <w:rFonts w:ascii="Times New Roman" w:hAnsi="Times New Roman" w:eastAsia="Times New Roman" w:cs="Times New Roman"/>
          <w:sz w:val="21"/>
          <w:szCs w:val="21"/>
          <w:spacing w:val="-6"/>
        </w:rPr>
        <w:t>ICT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相关部门的这个指标也很低，</w:t>
      </w:r>
      <w:r>
        <w:rPr>
          <w:rFonts w:ascii="SimSun" w:hAnsi="SimSun" w:eastAsia="SimSun" w:cs="SimSun"/>
          <w:sz w:val="21"/>
          <w:szCs w:val="21"/>
        </w:rPr>
        <w:t xml:space="preserve"> </w:t>
      </w:r>
      <w:r>
        <w:rPr>
          <w:rFonts w:ascii="SimSun" w:hAnsi="SimSun" w:eastAsia="SimSun" w:cs="SimSun"/>
          <w:sz w:val="21"/>
          <w:szCs w:val="21"/>
          <w:spacing w:val="-3"/>
        </w:rPr>
        <w:t>其中</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集约使用制造业为1.56,</w:t>
      </w:r>
      <w:r>
        <w:rPr>
          <w:rFonts w:ascii="Times New Roman" w:hAnsi="Times New Roman" w:eastAsia="Times New Roman" w:cs="Times New Roman"/>
          <w:sz w:val="21"/>
          <w:szCs w:val="21"/>
          <w:spacing w:val="-3"/>
        </w:rPr>
        <w:t>ICT</w:t>
      </w:r>
      <w:r>
        <w:rPr>
          <w:rFonts w:ascii="SimSun" w:hAnsi="SimSun" w:eastAsia="SimSun" w:cs="SimSun"/>
          <w:sz w:val="21"/>
          <w:szCs w:val="21"/>
          <w:spacing w:val="-3"/>
        </w:rPr>
        <w:t>集约使用服务业为2.08。与整 </w:t>
      </w:r>
      <w:r>
        <w:rPr>
          <w:rFonts w:ascii="SimSun" w:hAnsi="SimSun" w:eastAsia="SimSun" w:cs="SimSun"/>
          <w:sz w:val="21"/>
          <w:szCs w:val="21"/>
          <w:spacing w:val="-11"/>
        </w:rPr>
        <w:t>个经济呈现的趋势相反， </w:t>
      </w:r>
      <w:r>
        <w:rPr>
          <w:rFonts w:ascii="Times New Roman" w:hAnsi="Times New Roman" w:eastAsia="Times New Roman" w:cs="Times New Roman"/>
          <w:sz w:val="21"/>
          <w:szCs w:val="21"/>
          <w:spacing w:val="-11"/>
        </w:rPr>
        <w:t>ICT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1"/>
        </w:rPr>
        <w:t>生产行业和集约使用制造业</w:t>
      </w:r>
      <w:r>
        <w:rPr>
          <w:rFonts w:ascii="SimSun" w:hAnsi="SimSun" w:eastAsia="SimSun" w:cs="SimSun"/>
          <w:sz w:val="21"/>
          <w:szCs w:val="21"/>
          <w:spacing w:val="-12"/>
        </w:rPr>
        <w:t>的资本产出</w:t>
      </w:r>
      <w:r>
        <w:rPr>
          <w:rFonts w:ascii="SimSun" w:hAnsi="SimSun" w:eastAsia="SimSun" w:cs="SimSun"/>
          <w:sz w:val="21"/>
          <w:szCs w:val="21"/>
        </w:rPr>
        <w:t xml:space="preserve"> </w:t>
      </w:r>
      <w:r>
        <w:rPr>
          <w:rFonts w:ascii="SimSun" w:hAnsi="SimSun" w:eastAsia="SimSun" w:cs="SimSun"/>
          <w:sz w:val="21"/>
          <w:szCs w:val="21"/>
          <w:spacing w:val="-9"/>
        </w:rPr>
        <w:t>比一直在下降而不是上升。这不仅与前文有关</w:t>
      </w:r>
      <w:r>
        <w:rPr>
          <w:rFonts w:ascii="Times New Roman" w:hAnsi="Times New Roman" w:eastAsia="Times New Roman" w:cs="Times New Roman"/>
          <w:sz w:val="21"/>
          <w:szCs w:val="21"/>
          <w:spacing w:val="-9"/>
        </w:rPr>
        <w:t>ICT </w:t>
      </w:r>
      <w:r>
        <w:rPr>
          <w:rFonts w:ascii="SimSun" w:hAnsi="SimSun" w:eastAsia="SimSun" w:cs="SimSun"/>
          <w:sz w:val="21"/>
          <w:szCs w:val="21"/>
          <w:spacing w:val="-9"/>
        </w:rPr>
        <w:t>发展对价格影响的 </w:t>
      </w:r>
      <w:r>
        <w:rPr>
          <w:rFonts w:ascii="SimSun" w:hAnsi="SimSun" w:eastAsia="SimSun" w:cs="SimSun"/>
          <w:sz w:val="21"/>
          <w:szCs w:val="21"/>
          <w:spacing w:val="-10"/>
        </w:rPr>
        <w:t>讨论一致，同时也预示了</w:t>
      </w:r>
      <w:r>
        <w:rPr>
          <w:rFonts w:ascii="Times New Roman" w:hAnsi="Times New Roman" w:eastAsia="Times New Roman" w:cs="Times New Roman"/>
          <w:sz w:val="21"/>
          <w:szCs w:val="21"/>
          <w:spacing w:val="-10"/>
        </w:rPr>
        <w:t>ICT</w:t>
      </w:r>
      <w:r>
        <w:rPr>
          <w:rFonts w:ascii="SimSun" w:hAnsi="SimSun" w:eastAsia="SimSun" w:cs="SimSun"/>
          <w:sz w:val="21"/>
          <w:szCs w:val="21"/>
          <w:spacing w:val="-10"/>
        </w:rPr>
        <w:t>部门的效率可能远高于其他部门。</w:t>
      </w:r>
    </w:p>
    <w:p>
      <w:pPr>
        <w:ind w:firstLine="409"/>
        <w:spacing w:before="111" w:line="305" w:lineRule="auto"/>
        <w:jc w:val="both"/>
        <w:rPr>
          <w:rFonts w:ascii="SimSun" w:hAnsi="SimSun" w:eastAsia="SimSun" w:cs="SimSun"/>
          <w:sz w:val="21"/>
          <w:szCs w:val="21"/>
        </w:rPr>
      </w:pPr>
      <w:r>
        <w:rPr>
          <w:rFonts w:ascii="SimSun" w:hAnsi="SimSun" w:eastAsia="SimSun" w:cs="SimSun"/>
          <w:sz w:val="21"/>
          <w:szCs w:val="21"/>
          <w:spacing w:val="-3"/>
        </w:rPr>
        <w:t>资本产出比高于全国平均水平的部门是主要受到房地产服务业 </w:t>
      </w:r>
      <w:r>
        <w:rPr>
          <w:rFonts w:ascii="SimSun" w:hAnsi="SimSun" w:eastAsia="SimSun" w:cs="SimSun"/>
          <w:sz w:val="21"/>
          <w:szCs w:val="21"/>
          <w:spacing w:val="-6"/>
        </w:rPr>
        <w:t>影响的非</w:t>
      </w:r>
      <w:r>
        <w:rPr>
          <w:rFonts w:ascii="Times New Roman" w:hAnsi="Times New Roman" w:eastAsia="Times New Roman" w:cs="Times New Roman"/>
          <w:sz w:val="21"/>
          <w:szCs w:val="21"/>
          <w:spacing w:val="-6"/>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6"/>
        </w:rPr>
        <w:t>集约使用服务业、采掘业，以</w:t>
      </w:r>
      <w:r>
        <w:rPr>
          <w:rFonts w:ascii="SimSun" w:hAnsi="SimSun" w:eastAsia="SimSun" w:cs="SimSun"/>
          <w:sz w:val="21"/>
          <w:szCs w:val="21"/>
          <w:u w:val="single" w:color="auto"/>
          <w:spacing w:val="-6"/>
        </w:rPr>
        <w:t>及迅速</w:t>
      </w:r>
      <w:r>
        <w:rPr>
          <w:rFonts w:ascii="SimSun" w:hAnsi="SimSun" w:eastAsia="SimSun" w:cs="SimSun"/>
          <w:sz w:val="21"/>
          <w:szCs w:val="21"/>
          <w:spacing w:val="-6"/>
        </w:rPr>
        <w:t>扩张</w:t>
      </w:r>
      <w:r>
        <w:rPr>
          <w:rFonts w:ascii="SimSun" w:hAnsi="SimSun" w:eastAsia="SimSun" w:cs="SimSun"/>
          <w:sz w:val="21"/>
          <w:szCs w:val="21"/>
          <w:spacing w:val="-7"/>
        </w:rPr>
        <w:t>的公共部门，</w:t>
      </w:r>
      <w:r>
        <w:rPr>
          <w:rFonts w:ascii="SimSun" w:hAnsi="SimSun" w:eastAsia="SimSun" w:cs="SimSun"/>
          <w:sz w:val="21"/>
          <w:szCs w:val="21"/>
        </w:rPr>
        <w:t xml:space="preserve"> </w:t>
      </w:r>
      <w:r>
        <w:rPr>
          <w:rFonts w:ascii="SimSun" w:hAnsi="SimSun" w:eastAsia="SimSun" w:cs="SimSun"/>
          <w:sz w:val="21"/>
          <w:szCs w:val="21"/>
        </w:rPr>
        <w:t>即非市场服务业。这三个部门的资本产出比分别从2001年</w:t>
      </w:r>
      <w:r>
        <w:rPr>
          <w:rFonts w:ascii="SimSun" w:hAnsi="SimSun" w:eastAsia="SimSun" w:cs="SimSun"/>
          <w:sz w:val="21"/>
          <w:szCs w:val="21"/>
          <w:spacing w:val="-1"/>
        </w:rPr>
        <w:t>的5.38、</w:t>
      </w:r>
      <w:r>
        <w:rPr>
          <w:rFonts w:ascii="SimSun" w:hAnsi="SimSun" w:eastAsia="SimSun" w:cs="SimSun"/>
          <w:sz w:val="21"/>
          <w:szCs w:val="21"/>
        </w:rPr>
        <w:t xml:space="preserve"> </w:t>
      </w:r>
      <w:r>
        <w:rPr>
          <w:rFonts w:ascii="SimSun" w:hAnsi="SimSun" w:eastAsia="SimSun" w:cs="SimSun"/>
          <w:sz w:val="21"/>
          <w:szCs w:val="21"/>
          <w:spacing w:val="-3"/>
        </w:rPr>
        <w:t>3.72和1.15上升到2018年的12.96、10.14和39.50这样的超高水平。</w:t>
      </w:r>
      <w:r>
        <w:rPr>
          <w:rFonts w:ascii="SimSun" w:hAnsi="SimSun" w:eastAsia="SimSun" w:cs="SimSun"/>
          <w:sz w:val="21"/>
          <w:szCs w:val="21"/>
          <w:spacing w:val="17"/>
        </w:rPr>
        <w:t xml:space="preserve"> </w:t>
      </w:r>
      <w:r>
        <w:rPr>
          <w:rFonts w:ascii="SimSun" w:hAnsi="SimSun" w:eastAsia="SimSun" w:cs="SimSun"/>
          <w:sz w:val="21"/>
          <w:szCs w:val="21"/>
          <w:spacing w:val="-10"/>
        </w:rPr>
        <w:t>农业和非市场服务业有着最快的资本深化速</w:t>
      </w:r>
      <w:r>
        <w:rPr>
          <w:rFonts w:ascii="SimSun" w:hAnsi="SimSun" w:eastAsia="SimSun" w:cs="SimSun"/>
          <w:sz w:val="21"/>
          <w:szCs w:val="21"/>
          <w:spacing w:val="-11"/>
        </w:rPr>
        <w:t>度，这一方面与这两大部</w:t>
      </w:r>
      <w:r>
        <w:rPr>
          <w:rFonts w:ascii="SimSun" w:hAnsi="SimSun" w:eastAsia="SimSun" w:cs="SimSun"/>
          <w:sz w:val="21"/>
          <w:szCs w:val="21"/>
        </w:rPr>
        <w:t xml:space="preserve">  </w:t>
      </w:r>
      <w:r>
        <w:rPr>
          <w:rFonts w:ascii="SimSun" w:hAnsi="SimSun" w:eastAsia="SimSun" w:cs="SimSun"/>
          <w:sz w:val="21"/>
          <w:szCs w:val="21"/>
          <w:spacing w:val="-11"/>
        </w:rPr>
        <w:t>门具有较低的初始资本存量有关，另一方面，对资本产出比已经高达</w:t>
      </w:r>
      <w:r>
        <w:rPr>
          <w:rFonts w:ascii="SimSun" w:hAnsi="SimSun" w:eastAsia="SimSun" w:cs="SimSun"/>
          <w:sz w:val="21"/>
          <w:szCs w:val="21"/>
          <w:spacing w:val="8"/>
        </w:rPr>
        <w:t xml:space="preserve">  </w:t>
      </w:r>
      <w:r>
        <w:rPr>
          <w:rFonts w:ascii="SimSun" w:hAnsi="SimSun" w:eastAsia="SimSun" w:cs="SimSun"/>
          <w:sz w:val="21"/>
          <w:szCs w:val="21"/>
          <w:spacing w:val="-6"/>
        </w:rPr>
        <w:t>39.50的非市场服务业来说，不计效率的过度投</w:t>
      </w:r>
      <w:r>
        <w:rPr>
          <w:rFonts w:ascii="SimSun" w:hAnsi="SimSun" w:eastAsia="SimSun" w:cs="SimSun"/>
          <w:sz w:val="21"/>
          <w:szCs w:val="21"/>
          <w:spacing w:val="-7"/>
        </w:rPr>
        <w:t>资可能是一个重要的</w:t>
      </w:r>
      <w:r>
        <w:rPr>
          <w:rFonts w:ascii="SimSun" w:hAnsi="SimSun" w:eastAsia="SimSun" w:cs="SimSun"/>
          <w:sz w:val="21"/>
          <w:szCs w:val="21"/>
        </w:rPr>
        <w:t xml:space="preserve">  </w:t>
      </w:r>
      <w:r>
        <w:rPr>
          <w:rFonts w:ascii="SimSun" w:hAnsi="SimSun" w:eastAsia="SimSun" w:cs="SimSun"/>
          <w:sz w:val="21"/>
          <w:szCs w:val="21"/>
          <w:spacing w:val="-10"/>
        </w:rPr>
        <w:t>原因。</w:t>
      </w:r>
    </w:p>
    <w:p>
      <w:pPr>
        <w:pStyle w:val="BodyText"/>
        <w:spacing w:line="386"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14"/>
        </w:rPr>
        <w:t>单位产出劳动成本水平及变化</w:t>
      </w:r>
    </w:p>
    <w:p>
      <w:pPr>
        <w:pStyle w:val="BodyText"/>
        <w:spacing w:line="347" w:lineRule="auto"/>
        <w:rPr/>
      </w:pPr>
      <w:r/>
    </w:p>
    <w:p>
      <w:pPr>
        <w:ind w:firstLine="420"/>
        <w:spacing w:before="69" w:line="303" w:lineRule="auto"/>
        <w:jc w:val="both"/>
        <w:rPr>
          <w:rFonts w:ascii="SimSun" w:hAnsi="SimSun" w:eastAsia="SimSun" w:cs="SimSun"/>
          <w:sz w:val="21"/>
          <w:szCs w:val="21"/>
        </w:rPr>
      </w:pPr>
      <w:r>
        <w:rPr>
          <w:rFonts w:ascii="SimSun" w:hAnsi="SimSun" w:eastAsia="SimSun" w:cs="SimSun"/>
          <w:sz w:val="21"/>
          <w:szCs w:val="21"/>
          <w:spacing w:val="-15"/>
        </w:rPr>
        <w:t>正如前文讨论的，我们不能只看劳动生产率而忽视资本深化水平。</w:t>
      </w:r>
      <w:r>
        <w:rPr>
          <w:rFonts w:ascii="SimSun" w:hAnsi="SimSun" w:eastAsia="SimSun" w:cs="SimSun"/>
          <w:sz w:val="21"/>
          <w:szCs w:val="21"/>
          <w:spacing w:val="8"/>
        </w:rPr>
        <w:t xml:space="preserve"> </w:t>
      </w:r>
      <w:r>
        <w:rPr>
          <w:rFonts w:ascii="SimSun" w:hAnsi="SimSun" w:eastAsia="SimSun" w:cs="SimSun"/>
          <w:sz w:val="21"/>
          <w:szCs w:val="21"/>
          <w:spacing w:val="-11"/>
        </w:rPr>
        <w:t>现在，我们提出另外一个重要问题，而且是一个从长期看关乎经济转</w:t>
      </w:r>
      <w:r>
        <w:rPr>
          <w:rFonts w:ascii="SimSun" w:hAnsi="SimSun" w:eastAsia="SimSun" w:cs="SimSun"/>
          <w:sz w:val="21"/>
          <w:szCs w:val="21"/>
          <w:spacing w:val="8"/>
        </w:rPr>
        <w:t xml:space="preserve">  </w:t>
      </w:r>
      <w:r>
        <w:rPr>
          <w:rFonts w:ascii="SimSun" w:hAnsi="SimSun" w:eastAsia="SimSun" w:cs="SimSun"/>
          <w:sz w:val="21"/>
          <w:szCs w:val="21"/>
          <w:spacing w:val="-7"/>
        </w:rPr>
        <w:t>型的重要问题，即不能只看劳动生产率而忽视平均劳</w:t>
      </w:r>
      <w:r>
        <w:rPr>
          <w:rFonts w:ascii="SimSun" w:hAnsi="SimSun" w:eastAsia="SimSun" w:cs="SimSun"/>
          <w:sz w:val="21"/>
          <w:szCs w:val="21"/>
          <w:spacing w:val="-8"/>
        </w:rPr>
        <w:t>动成本的变化。</w:t>
      </w:r>
      <w:r>
        <w:rPr>
          <w:rFonts w:ascii="SimSun" w:hAnsi="SimSun" w:eastAsia="SimSun" w:cs="SimSun"/>
          <w:sz w:val="21"/>
          <w:szCs w:val="21"/>
        </w:rPr>
        <w:t xml:space="preserve"> </w:t>
      </w:r>
      <w:r>
        <w:rPr>
          <w:rFonts w:ascii="SimSun" w:hAnsi="SimSun" w:eastAsia="SimSun" w:cs="SimSun"/>
          <w:sz w:val="21"/>
          <w:szCs w:val="21"/>
          <w:spacing w:val="-11"/>
        </w:rPr>
        <w:t>这是因为，只有可以不断克服劳动成本上升的劳动生产率增长才是经</w:t>
      </w:r>
      <w:r>
        <w:rPr>
          <w:rFonts w:ascii="SimSun" w:hAnsi="SimSun" w:eastAsia="SimSun" w:cs="SimSun"/>
          <w:sz w:val="21"/>
          <w:szCs w:val="21"/>
          <w:spacing w:val="8"/>
        </w:rPr>
        <w:t xml:space="preserve">  </w:t>
      </w:r>
      <w:r>
        <w:rPr>
          <w:rFonts w:ascii="SimSun" w:hAnsi="SimSun" w:eastAsia="SimSun" w:cs="SimSun"/>
          <w:sz w:val="21"/>
          <w:szCs w:val="21"/>
          <w:spacing w:val="-11"/>
        </w:rPr>
        <w:t>济长期增长的基础。为了这个目的，我们借助一个国际竞争力研究上</w:t>
      </w:r>
      <w:r>
        <w:rPr>
          <w:rFonts w:ascii="SimSun" w:hAnsi="SimSun" w:eastAsia="SimSun" w:cs="SimSun"/>
          <w:sz w:val="21"/>
          <w:szCs w:val="21"/>
          <w:spacing w:val="8"/>
        </w:rPr>
        <w:t xml:space="preserve">  </w:t>
      </w:r>
      <w:r>
        <w:rPr>
          <w:rFonts w:ascii="SimSun" w:hAnsi="SimSun" w:eastAsia="SimSun" w:cs="SimSun"/>
          <w:sz w:val="21"/>
          <w:szCs w:val="21"/>
          <w:spacing w:val="-3"/>
        </w:rPr>
        <w:t>的指标，单位产出劳动成本</w:t>
      </w:r>
      <w:r>
        <w:rPr>
          <w:rFonts w:ascii="Times New Roman" w:hAnsi="Times New Roman" w:eastAsia="Times New Roman" w:cs="Times New Roman"/>
          <w:sz w:val="21"/>
          <w:szCs w:val="21"/>
          <w:spacing w:val="-3"/>
        </w:rPr>
        <w:t>(unit   l</w:t>
      </w:r>
      <w:r>
        <w:rPr>
          <w:rFonts w:ascii="Times New Roman" w:hAnsi="Times New Roman" w:eastAsia="Times New Roman" w:cs="Times New Roman"/>
          <w:sz w:val="21"/>
          <w:szCs w:val="21"/>
          <w:spacing w:val="-4"/>
        </w:rPr>
        <w:t>abor   cost,ULC),</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即生产一个单位</w:t>
      </w:r>
      <w:r>
        <w:rPr>
          <w:rFonts w:ascii="SimSun" w:hAnsi="SimSun" w:eastAsia="SimSun" w:cs="SimSun"/>
          <w:sz w:val="21"/>
          <w:szCs w:val="21"/>
        </w:rPr>
        <w:t xml:space="preserve">  </w:t>
      </w:r>
      <w:r>
        <w:rPr>
          <w:rFonts w:ascii="SimSun" w:hAnsi="SimSun" w:eastAsia="SimSun" w:cs="SimSun"/>
          <w:sz w:val="21"/>
          <w:szCs w:val="21"/>
        </w:rPr>
        <w:t>的实际产出(增加值)所需要支付的名义劳动成本(包括工资在内的</w:t>
      </w:r>
    </w:p>
    <w:p>
      <w:pPr>
        <w:spacing w:line="303" w:lineRule="auto"/>
        <w:sectPr>
          <w:headerReference w:type="default" r:id="rId122"/>
          <w:pgSz w:w="7330" w:h="12480"/>
          <w:pgMar w:top="789" w:right="874" w:bottom="400" w:left="370" w:header="623"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right="67"/>
        <w:spacing w:before="69" w:line="297" w:lineRule="auto"/>
        <w:jc w:val="both"/>
        <w:rPr>
          <w:rFonts w:ascii="SimSun" w:hAnsi="SimSun" w:eastAsia="SimSun" w:cs="SimSun"/>
          <w:sz w:val="21"/>
          <w:szCs w:val="21"/>
        </w:rPr>
      </w:pPr>
      <w:r>
        <w:rPr>
          <w:rFonts w:ascii="SimSun" w:hAnsi="SimSun" w:eastAsia="SimSun" w:cs="SimSun"/>
          <w:sz w:val="21"/>
          <w:szCs w:val="21"/>
          <w:spacing w:val="3"/>
        </w:rPr>
        <w:t>全部劳动报酬),相当于用平均(名义)劳动报酬除以(实际)劳动生</w:t>
      </w:r>
      <w:r>
        <w:rPr>
          <w:rFonts w:ascii="SimSun" w:hAnsi="SimSun" w:eastAsia="SimSun" w:cs="SimSun"/>
          <w:sz w:val="21"/>
          <w:szCs w:val="21"/>
          <w:spacing w:val="16"/>
        </w:rPr>
        <w:t xml:space="preserve"> </w:t>
      </w:r>
      <w:r>
        <w:rPr>
          <w:rFonts w:ascii="SimSun" w:hAnsi="SimSun" w:eastAsia="SimSun" w:cs="SimSun"/>
          <w:sz w:val="21"/>
          <w:szCs w:val="21"/>
          <w:spacing w:val="-6"/>
        </w:rPr>
        <w:t>产率。由于我们仅比较中国经济内部不同部门以及不同时期的</w:t>
      </w:r>
      <w:r>
        <w:rPr>
          <w:rFonts w:ascii="Times New Roman" w:hAnsi="Times New Roman" w:eastAsia="Times New Roman" w:cs="Times New Roman"/>
          <w:sz w:val="21"/>
          <w:szCs w:val="21"/>
          <w:spacing w:val="-6"/>
        </w:rPr>
        <w:t>ULC,</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0"/>
        </w:rPr>
        <w:t>所以我们不必考虑这种方法通常所需要的购买力平价转换问题。理论</w:t>
      </w:r>
      <w:r>
        <w:rPr>
          <w:rFonts w:ascii="SimSun" w:hAnsi="SimSun" w:eastAsia="SimSun" w:cs="SimSun"/>
          <w:sz w:val="21"/>
          <w:szCs w:val="21"/>
          <w:spacing w:val="8"/>
        </w:rPr>
        <w:t xml:space="preserve"> </w:t>
      </w:r>
      <w:r>
        <w:rPr>
          <w:rFonts w:ascii="SimSun" w:hAnsi="SimSun" w:eastAsia="SimSun" w:cs="SimSun"/>
          <w:sz w:val="21"/>
          <w:szCs w:val="21"/>
          <w:spacing w:val="-11"/>
        </w:rPr>
        <w:t>上，从短期看，劳动力市场的灵活程度决定了劳动力的供求，进而决</w:t>
      </w:r>
      <w:r>
        <w:rPr>
          <w:rFonts w:ascii="SimSun" w:hAnsi="SimSun" w:eastAsia="SimSun" w:cs="SimSun"/>
          <w:sz w:val="21"/>
          <w:szCs w:val="21"/>
          <w:spacing w:val="16"/>
        </w:rPr>
        <w:t xml:space="preserve"> </w:t>
      </w:r>
      <w:r>
        <w:rPr>
          <w:rFonts w:ascii="SimSun" w:hAnsi="SimSun" w:eastAsia="SimSun" w:cs="SimSun"/>
          <w:sz w:val="21"/>
          <w:szCs w:val="21"/>
          <w:spacing w:val="-11"/>
        </w:rPr>
        <w:t>定了劳动力成本可以在多大程度上随市场的变化而调整，从而使企业</w:t>
      </w:r>
      <w:r>
        <w:rPr>
          <w:rFonts w:ascii="SimSun" w:hAnsi="SimSun" w:eastAsia="SimSun" w:cs="SimSun"/>
          <w:sz w:val="21"/>
          <w:szCs w:val="21"/>
          <w:spacing w:val="16"/>
        </w:rPr>
        <w:t xml:space="preserve"> </w:t>
      </w:r>
      <w:r>
        <w:rPr>
          <w:rFonts w:ascii="SimSun" w:hAnsi="SimSun" w:eastAsia="SimSun" w:cs="SimSun"/>
          <w:sz w:val="21"/>
          <w:szCs w:val="21"/>
          <w:spacing w:val="-11"/>
        </w:rPr>
        <w:t>在劳动生产率不变的情况下保持竞争力。从长期看，只有通过效率改</w:t>
      </w:r>
      <w:r>
        <w:rPr>
          <w:rFonts w:ascii="SimSun" w:hAnsi="SimSun" w:eastAsia="SimSun" w:cs="SimSun"/>
          <w:sz w:val="21"/>
          <w:szCs w:val="21"/>
          <w:spacing w:val="17"/>
        </w:rPr>
        <w:t xml:space="preserve"> </w:t>
      </w:r>
      <w:r>
        <w:rPr>
          <w:rFonts w:ascii="SimSun" w:hAnsi="SimSun" w:eastAsia="SimSun" w:cs="SimSun"/>
          <w:sz w:val="21"/>
          <w:szCs w:val="21"/>
          <w:spacing w:val="-11"/>
        </w:rPr>
        <w:t>善和技术进步实现的劳动生产率上升，才可以克服劳动成本上升的压</w:t>
      </w:r>
      <w:r>
        <w:rPr>
          <w:rFonts w:ascii="SimSun" w:hAnsi="SimSun" w:eastAsia="SimSun" w:cs="SimSun"/>
          <w:sz w:val="21"/>
          <w:szCs w:val="21"/>
          <w:spacing w:val="18"/>
        </w:rPr>
        <w:t xml:space="preserve"> </w:t>
      </w:r>
      <w:r>
        <w:rPr>
          <w:rFonts w:ascii="SimSun" w:hAnsi="SimSun" w:eastAsia="SimSun" w:cs="SimSun"/>
          <w:sz w:val="21"/>
          <w:szCs w:val="21"/>
          <w:spacing w:val="-15"/>
        </w:rPr>
        <w:t>力，实现持续的经济增长。这是当前中国经济转型面临的最大挑战。</w:t>
      </w:r>
    </w:p>
    <w:p>
      <w:pPr>
        <w:ind w:right="4" w:firstLine="460"/>
        <w:spacing w:before="175" w:line="300" w:lineRule="auto"/>
        <w:jc w:val="both"/>
        <w:rPr>
          <w:rFonts w:ascii="SimSun" w:hAnsi="SimSun" w:eastAsia="SimSun" w:cs="SimSun"/>
          <w:sz w:val="21"/>
          <w:szCs w:val="21"/>
        </w:rPr>
      </w:pPr>
      <w:r>
        <w:rPr>
          <w:rFonts w:ascii="SimSun" w:hAnsi="SimSun" w:eastAsia="SimSun" w:cs="SimSun"/>
          <w:sz w:val="21"/>
          <w:szCs w:val="21"/>
          <w:spacing w:val="-1"/>
        </w:rPr>
        <w:t>首先，表2-10给出了中国整体经济以及基于</w:t>
      </w:r>
      <w:r>
        <w:rPr>
          <w:rFonts w:ascii="Times New Roman" w:hAnsi="Times New Roman" w:eastAsia="Times New Roman" w:cs="Times New Roman"/>
          <w:sz w:val="21"/>
          <w:szCs w:val="21"/>
          <w:spacing w:val="-1"/>
        </w:rPr>
        <w:t>ICT</w:t>
      </w:r>
      <w:r>
        <w:rPr>
          <w:rFonts w:ascii="Times New Roman" w:hAnsi="Times New Roman" w:eastAsia="Times New Roman" w:cs="Times New Roman"/>
          <w:sz w:val="21"/>
          <w:szCs w:val="21"/>
        </w:rPr>
        <w:t xml:space="preserve"> </w:t>
      </w:r>
      <w:r>
        <w:rPr>
          <w:rFonts w:ascii="SimSun" w:hAnsi="SimSun" w:eastAsia="SimSun" w:cs="SimSun"/>
          <w:sz w:val="21"/>
          <w:szCs w:val="21"/>
          <w:spacing w:val="-1"/>
        </w:rPr>
        <w:t>视角的不同部</w:t>
      </w:r>
      <w:r>
        <w:rPr>
          <w:rFonts w:ascii="SimSun" w:hAnsi="SimSun" w:eastAsia="SimSun" w:cs="SimSun"/>
          <w:sz w:val="21"/>
          <w:szCs w:val="21"/>
        </w:rPr>
        <w:t xml:space="preserve"> </w:t>
      </w:r>
      <w:r>
        <w:rPr>
          <w:rFonts w:ascii="SimSun" w:hAnsi="SimSun" w:eastAsia="SimSun" w:cs="SimSun"/>
          <w:sz w:val="21"/>
          <w:szCs w:val="21"/>
          <w:spacing w:val="-7"/>
        </w:rPr>
        <w:t>门平均劳动成本水平及其变化。然后，通过表2-7报告的各个部门的 </w:t>
      </w:r>
      <w:r>
        <w:rPr>
          <w:rFonts w:ascii="SimSun" w:hAnsi="SimSun" w:eastAsia="SimSun" w:cs="SimSun"/>
          <w:sz w:val="21"/>
          <w:szCs w:val="21"/>
          <w:spacing w:val="-3"/>
        </w:rPr>
        <w:t>劳动生产率水平对其进行调整，得出表2-11的单位</w:t>
      </w:r>
      <w:r>
        <w:rPr>
          <w:rFonts w:ascii="SimSun" w:hAnsi="SimSun" w:eastAsia="SimSun" w:cs="SimSun"/>
          <w:sz w:val="21"/>
          <w:szCs w:val="21"/>
          <w:spacing w:val="-4"/>
        </w:rPr>
        <w:t>实际产出名义劳 </w:t>
      </w:r>
      <w:r>
        <w:rPr>
          <w:rFonts w:ascii="SimSun" w:hAnsi="SimSun" w:eastAsia="SimSun" w:cs="SimSun"/>
          <w:sz w:val="21"/>
          <w:szCs w:val="21"/>
          <w:spacing w:val="-8"/>
        </w:rPr>
        <w:t>动成本及其年平均增长率。所以， </w:t>
      </w:r>
      <w:r>
        <w:rPr>
          <w:rFonts w:ascii="Times New Roman" w:hAnsi="Times New Roman" w:eastAsia="Times New Roman" w:cs="Times New Roman"/>
          <w:sz w:val="21"/>
          <w:szCs w:val="21"/>
          <w:spacing w:val="-8"/>
        </w:rPr>
        <w:t>ULC</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8"/>
        </w:rPr>
        <w:t>就等于劳动生产率调整后的 </w:t>
      </w:r>
      <w:r>
        <w:rPr>
          <w:rFonts w:ascii="SimSun" w:hAnsi="SimSun" w:eastAsia="SimSun" w:cs="SimSun"/>
          <w:sz w:val="21"/>
          <w:szCs w:val="21"/>
          <w:spacing w:val="3"/>
        </w:rPr>
        <w:t>劳动成本。简单地观察一下表2-10,2</w:t>
      </w:r>
      <w:r>
        <w:rPr>
          <w:rFonts w:ascii="SimSun" w:hAnsi="SimSun" w:eastAsia="SimSun" w:cs="SimSun"/>
          <w:sz w:val="21"/>
          <w:szCs w:val="21"/>
          <w:spacing w:val="2"/>
        </w:rPr>
        <w:t>018年时</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生产行业的平均</w:t>
      </w:r>
      <w:r>
        <w:rPr>
          <w:rFonts w:ascii="SimSun" w:hAnsi="SimSun" w:eastAsia="SimSun" w:cs="SimSun"/>
          <w:sz w:val="21"/>
          <w:szCs w:val="21"/>
        </w:rPr>
        <w:t xml:space="preserve"> </w:t>
      </w:r>
      <w:r>
        <w:rPr>
          <w:rFonts w:ascii="SimSun" w:hAnsi="SimSun" w:eastAsia="SimSun" w:cs="SimSun"/>
          <w:sz w:val="21"/>
          <w:szCs w:val="21"/>
          <w:spacing w:val="-7"/>
        </w:rPr>
        <w:t>名义劳动成本水平最高，相当于整体经济平均水平的2.4倍，首次超</w:t>
      </w:r>
      <w:r>
        <w:rPr>
          <w:rFonts w:ascii="SimSun" w:hAnsi="SimSun" w:eastAsia="SimSun" w:cs="SimSun"/>
          <w:sz w:val="21"/>
          <w:szCs w:val="21"/>
          <w:spacing w:val="9"/>
        </w:rPr>
        <w:t xml:space="preserve"> </w:t>
      </w:r>
      <w:r>
        <w:rPr>
          <w:rFonts w:ascii="SimSun" w:hAnsi="SimSun" w:eastAsia="SimSun" w:cs="SimSun"/>
          <w:sz w:val="21"/>
          <w:szCs w:val="21"/>
          <w:spacing w:val="3"/>
        </w:rPr>
        <w:t>过了采掘业，其最近一期(2012—2018年)的劳动成本增长速度也 </w:t>
      </w:r>
      <w:r>
        <w:rPr>
          <w:rFonts w:ascii="SimSun" w:hAnsi="SimSun" w:eastAsia="SimSun" w:cs="SimSun"/>
          <w:sz w:val="21"/>
          <w:szCs w:val="21"/>
          <w:spacing w:val="-11"/>
        </w:rPr>
        <w:t>是各部门中最快的，与其以往两期的表现大相径庭。自中国加入世界</w:t>
      </w:r>
      <w:r>
        <w:rPr>
          <w:rFonts w:ascii="SimSun" w:hAnsi="SimSun" w:eastAsia="SimSun" w:cs="SimSun"/>
          <w:sz w:val="21"/>
          <w:szCs w:val="21"/>
          <w:spacing w:val="17"/>
        </w:rPr>
        <w:t xml:space="preserve"> </w:t>
      </w:r>
      <w:r>
        <w:rPr>
          <w:rFonts w:ascii="SimSun" w:hAnsi="SimSun" w:eastAsia="SimSun" w:cs="SimSun"/>
          <w:sz w:val="21"/>
          <w:szCs w:val="21"/>
          <w:spacing w:val="-11"/>
        </w:rPr>
        <w:t>贸易组织之后到全球金融危机前，这个部门的劳动成本上升速度几乎</w:t>
      </w:r>
      <w:r>
        <w:rPr>
          <w:rFonts w:ascii="SimSun" w:hAnsi="SimSun" w:eastAsia="SimSun" w:cs="SimSun"/>
          <w:sz w:val="21"/>
          <w:szCs w:val="21"/>
          <w:spacing w:val="18"/>
        </w:rPr>
        <w:t xml:space="preserve"> </w:t>
      </w:r>
      <w:r>
        <w:rPr>
          <w:rFonts w:ascii="SimSun" w:hAnsi="SimSun" w:eastAsia="SimSun" w:cs="SimSun"/>
          <w:sz w:val="21"/>
          <w:szCs w:val="21"/>
          <w:spacing w:val="-2"/>
        </w:rPr>
        <w:t>是最慢的，仅次于非</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集约使用服务业部</w:t>
      </w:r>
      <w:r>
        <w:rPr>
          <w:rFonts w:ascii="SimSun" w:hAnsi="SimSun" w:eastAsia="SimSun" w:cs="SimSun"/>
          <w:sz w:val="21"/>
          <w:szCs w:val="21"/>
          <w:spacing w:val="-3"/>
        </w:rPr>
        <w:t>门。考虑到这个部门劳 </w:t>
      </w:r>
      <w:r>
        <w:rPr>
          <w:rFonts w:ascii="SimSun" w:hAnsi="SimSun" w:eastAsia="SimSun" w:cs="SimSun"/>
          <w:sz w:val="21"/>
          <w:szCs w:val="21"/>
          <w:spacing w:val="-11"/>
        </w:rPr>
        <w:t>动生产率增长的优秀表现，同时与其他部门进行比较，有助于我们理</w:t>
      </w:r>
      <w:r>
        <w:rPr>
          <w:rFonts w:ascii="SimSun" w:hAnsi="SimSun" w:eastAsia="SimSun" w:cs="SimSun"/>
          <w:sz w:val="21"/>
          <w:szCs w:val="21"/>
          <w:spacing w:val="8"/>
        </w:rPr>
        <w:t xml:space="preserve">  </w:t>
      </w:r>
      <w:r>
        <w:rPr>
          <w:rFonts w:ascii="SimSun" w:hAnsi="SimSun" w:eastAsia="SimSun" w:cs="SimSun"/>
          <w:sz w:val="21"/>
          <w:szCs w:val="21"/>
          <w:spacing w:val="-10"/>
        </w:rPr>
        <w:t>解中国经济的竞争力以及潜在的增长动力。</w:t>
      </w:r>
    </w:p>
    <w:p>
      <w:pPr>
        <w:ind w:firstLine="480"/>
        <w:spacing w:before="218" w:line="302" w:lineRule="auto"/>
        <w:jc w:val="both"/>
        <w:rPr>
          <w:rFonts w:ascii="SimSun" w:hAnsi="SimSun" w:eastAsia="SimSun" w:cs="SimSun"/>
          <w:sz w:val="21"/>
          <w:szCs w:val="21"/>
        </w:rPr>
      </w:pPr>
      <w:r>
        <w:rPr>
          <w:rFonts w:ascii="SimSun" w:hAnsi="SimSun" w:eastAsia="SimSun" w:cs="SimSun"/>
          <w:sz w:val="21"/>
          <w:szCs w:val="21"/>
          <w:spacing w:val="-4"/>
        </w:rPr>
        <w:t>从</w:t>
      </w:r>
      <w:r>
        <w:rPr>
          <w:rFonts w:ascii="Times New Roman" w:hAnsi="Times New Roman" w:eastAsia="Times New Roman" w:cs="Times New Roman"/>
          <w:sz w:val="21"/>
          <w:szCs w:val="21"/>
          <w:spacing w:val="-4"/>
        </w:rPr>
        <w:t>ULC</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这个指标看，如表2-11所显示的，中国加入世界贸易组</w:t>
      </w:r>
      <w:r>
        <w:rPr>
          <w:rFonts w:ascii="SimSun" w:hAnsi="SimSun" w:eastAsia="SimSun" w:cs="SimSun"/>
          <w:sz w:val="21"/>
          <w:szCs w:val="21"/>
        </w:rPr>
        <w:t xml:space="preserve"> </w:t>
      </w:r>
      <w:r>
        <w:rPr>
          <w:rFonts w:ascii="SimSun" w:hAnsi="SimSun" w:eastAsia="SimSun" w:cs="SimSun"/>
          <w:sz w:val="21"/>
          <w:szCs w:val="21"/>
          <w:spacing w:val="-12"/>
        </w:rPr>
        <w:t>织到全球金融危机前这个时期是中国经济增长的唯一一个“黄金期”,</w:t>
      </w:r>
      <w:r>
        <w:rPr>
          <w:rFonts w:ascii="SimSun" w:hAnsi="SimSun" w:eastAsia="SimSun" w:cs="SimSun"/>
          <w:sz w:val="21"/>
          <w:szCs w:val="21"/>
          <w:spacing w:val="7"/>
        </w:rPr>
        <w:t xml:space="preserve"> </w:t>
      </w:r>
      <w:r>
        <w:rPr>
          <w:rFonts w:ascii="SimSun" w:hAnsi="SimSun" w:eastAsia="SimSun" w:cs="SimSun"/>
          <w:sz w:val="21"/>
          <w:szCs w:val="21"/>
          <w:spacing w:val="-1"/>
        </w:rPr>
        <w:t>它不但是整体经济劳动生产率增长最快的时</w:t>
      </w:r>
      <w:r>
        <w:rPr>
          <w:rFonts w:ascii="SimSun" w:hAnsi="SimSun" w:eastAsia="SimSun" w:cs="SimSun"/>
          <w:sz w:val="21"/>
          <w:szCs w:val="21"/>
          <w:spacing w:val="-2"/>
        </w:rPr>
        <w:t>期(年平均增长11.1%),</w:t>
      </w:r>
      <w:r>
        <w:rPr>
          <w:rFonts w:ascii="SimSun" w:hAnsi="SimSun" w:eastAsia="SimSun" w:cs="SimSun"/>
          <w:sz w:val="21"/>
          <w:szCs w:val="21"/>
        </w:rPr>
        <w:t xml:space="preserve"> </w:t>
      </w:r>
      <w:r>
        <w:rPr>
          <w:rFonts w:ascii="SimSun" w:hAnsi="SimSun" w:eastAsia="SimSun" w:cs="SimSun"/>
          <w:sz w:val="21"/>
          <w:szCs w:val="21"/>
          <w:spacing w:val="6"/>
        </w:rPr>
        <w:t>也是</w:t>
      </w:r>
      <w:r>
        <w:rPr>
          <w:rFonts w:ascii="SimSun" w:hAnsi="SimSun" w:eastAsia="SimSun" w:cs="SimSun"/>
          <w:sz w:val="21"/>
          <w:szCs w:val="21"/>
        </w:rPr>
        <w:t>ULC</w:t>
      </w:r>
      <w:r>
        <w:rPr>
          <w:rFonts w:ascii="SimSun" w:hAnsi="SimSun" w:eastAsia="SimSun" w:cs="SimSun"/>
          <w:sz w:val="21"/>
          <w:szCs w:val="21"/>
          <w:spacing w:val="43"/>
        </w:rPr>
        <w:t xml:space="preserve"> </w:t>
      </w:r>
      <w:r>
        <w:rPr>
          <w:rFonts w:ascii="SimSun" w:hAnsi="SimSun" w:eastAsia="SimSun" w:cs="SimSun"/>
          <w:sz w:val="21"/>
          <w:szCs w:val="21"/>
          <w:spacing w:val="6"/>
        </w:rPr>
        <w:t>上升最慢的时期(年平均上升0.6%),</w:t>
      </w:r>
      <w:r>
        <w:rPr>
          <w:rFonts w:ascii="SimSun" w:hAnsi="SimSun" w:eastAsia="SimSun" w:cs="SimSun"/>
          <w:sz w:val="21"/>
          <w:szCs w:val="21"/>
          <w:spacing w:val="5"/>
        </w:rPr>
        <w:t>几乎实现了</w:t>
      </w:r>
      <w:r>
        <w:rPr>
          <w:rFonts w:ascii="SimSun" w:hAnsi="SimSun" w:eastAsia="SimSun" w:cs="SimSun"/>
          <w:sz w:val="21"/>
          <w:szCs w:val="21"/>
        </w:rPr>
        <w:t>ULC</w:t>
      </w:r>
      <w:r>
        <w:rPr>
          <w:rFonts w:ascii="SimSun" w:hAnsi="SimSun" w:eastAsia="SimSun" w:cs="SimSun"/>
          <w:sz w:val="21"/>
          <w:szCs w:val="21"/>
          <w:spacing w:val="5"/>
        </w:rPr>
        <w:t xml:space="preserve"> 零</w:t>
      </w:r>
      <w:r>
        <w:rPr>
          <w:rFonts w:ascii="SimSun" w:hAnsi="SimSun" w:eastAsia="SimSun" w:cs="SimSun"/>
          <w:sz w:val="21"/>
          <w:szCs w:val="21"/>
        </w:rPr>
        <w:t xml:space="preserve">  </w:t>
      </w:r>
      <w:r>
        <w:rPr>
          <w:rFonts w:ascii="SimSun" w:hAnsi="SimSun" w:eastAsia="SimSun" w:cs="SimSun"/>
          <w:sz w:val="21"/>
          <w:szCs w:val="21"/>
          <w:spacing w:val="-2"/>
        </w:rPr>
        <w:t>增长。其中很多部门，特别是三个</w:t>
      </w:r>
      <w:r>
        <w:rPr>
          <w:rFonts w:ascii="Times New Roman" w:hAnsi="Times New Roman" w:eastAsia="Times New Roman" w:cs="Times New Roman"/>
          <w:sz w:val="21"/>
          <w:szCs w:val="21"/>
          <w:spacing w:val="-2"/>
        </w:rPr>
        <w:t>ICT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相关部门出现了罕见的</w:t>
      </w:r>
      <w:r>
        <w:rPr>
          <w:rFonts w:ascii="Times New Roman" w:hAnsi="Times New Roman" w:eastAsia="Times New Roman" w:cs="Times New Roman"/>
          <w:sz w:val="21"/>
          <w:szCs w:val="21"/>
          <w:spacing w:val="-2"/>
        </w:rPr>
        <w:t>ULC  </w:t>
      </w:r>
      <w:r>
        <w:rPr>
          <w:rFonts w:ascii="SimSun" w:hAnsi="SimSun" w:eastAsia="SimSun" w:cs="SimSun"/>
          <w:sz w:val="21"/>
          <w:szCs w:val="21"/>
          <w:spacing w:val="1"/>
        </w:rPr>
        <w:t>负增长(其中</w:t>
      </w:r>
      <w:r>
        <w:rPr>
          <w:rFonts w:ascii="Times New Roman" w:hAnsi="Times New Roman" w:eastAsia="Times New Roman" w:cs="Times New Roman"/>
          <w:sz w:val="21"/>
          <w:szCs w:val="21"/>
        </w:rPr>
        <w:t>ICT </w:t>
      </w:r>
      <w:r>
        <w:rPr>
          <w:rFonts w:ascii="SimSun" w:hAnsi="SimSun" w:eastAsia="SimSun" w:cs="SimSun"/>
          <w:sz w:val="21"/>
          <w:szCs w:val="21"/>
          <w:spacing w:val="1"/>
        </w:rPr>
        <w:t>生产行业年平均增长率达到-3.4%,</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集约使用 </w:t>
      </w:r>
      <w:r>
        <w:rPr>
          <w:rFonts w:ascii="SimSun" w:hAnsi="SimSun" w:eastAsia="SimSun" w:cs="SimSun"/>
          <w:sz w:val="21"/>
          <w:szCs w:val="21"/>
          <w:spacing w:val="2"/>
        </w:rPr>
        <w:t>制造业年平均增长率达到-2.2%,</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集约使用服务业</w:t>
      </w:r>
      <w:r>
        <w:rPr>
          <w:rFonts w:ascii="SimSun" w:hAnsi="SimSun" w:eastAsia="SimSun" w:cs="SimSun"/>
          <w:sz w:val="21"/>
          <w:szCs w:val="21"/>
          <w:spacing w:val="1"/>
        </w:rPr>
        <w:t>为-3.9%),以</w:t>
      </w:r>
    </w:p>
    <w:p>
      <w:pPr>
        <w:spacing w:line="302" w:lineRule="auto"/>
        <w:sectPr>
          <w:headerReference w:type="default" r:id="rId123"/>
          <w:pgSz w:w="7330" w:h="12480"/>
          <w:pgMar w:top="517" w:right="522" w:bottom="400" w:left="729" w:header="355" w:footer="0" w:gutter="0"/>
        </w:sectPr>
        <w:rPr>
          <w:rFonts w:ascii="SimSun" w:hAnsi="SimSun" w:eastAsia="SimSun" w:cs="SimSun"/>
          <w:sz w:val="21"/>
          <w:szCs w:val="21"/>
        </w:rPr>
      </w:pPr>
    </w:p>
    <w:p>
      <w:pPr>
        <w:ind w:left="2062"/>
        <w:spacing w:before="129" w:line="222" w:lineRule="auto"/>
        <w:rPr>
          <w:rFonts w:ascii="SimSun" w:hAnsi="SimSun" w:eastAsia="SimSun" w:cs="SimSun"/>
          <w:sz w:val="16"/>
          <w:szCs w:val="16"/>
        </w:rPr>
      </w:pPr>
      <w:r>
        <mc:AlternateContent xmlns:mc="http://schemas.openxmlformats.org/markup-compatibility/2006">
          <mc:Choice Requires="wps">
            <w:drawing>
              <wp:anchor distT="0" distB="0" distL="0" distR="0" simplePos="0" relativeHeight="252716032" behindDoc="0" locked="0" layoutInCell="0" allowOverlap="1">
                <wp:simplePos x="0" y="0"/>
                <wp:positionH relativeFrom="page">
                  <wp:posOffset>6545048</wp:posOffset>
                </wp:positionH>
                <wp:positionV relativeFrom="page">
                  <wp:posOffset>1960360</wp:posOffset>
                </wp:positionV>
                <wp:extent cx="1792604" cy="157479"/>
                <wp:effectExtent l="0" t="0" r="0" b="0"/>
                <wp:wrapNone/>
                <wp:docPr id="112" name="TextBox 112"/>
                <wp:cNvGraphicFramePr/>
                <a:graphic>
                  <a:graphicData uri="http://schemas.microsoft.com/office/word/2010/wordprocessingShape">
                    <wps:wsp>
                      <wps:cNvSpPr txBox="1"/>
                      <wps:spPr>
                        <a:xfrm rot="5400000">
                          <a:off x="6545048" y="1960360"/>
                          <a:ext cx="1792604" cy="1574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2" w:lineRule="auto"/>
                              <w:rPr>
                                <w:rFonts w:ascii="SimHei" w:hAnsi="SimHei" w:eastAsia="SimHei" w:cs="SimHei"/>
                                <w:sz w:val="15"/>
                                <w:szCs w:val="15"/>
                              </w:rPr>
                            </w:pPr>
                            <w:r>
                              <w:rPr>
                                <w:rFonts w:ascii="SimHei" w:hAnsi="SimHei" w:eastAsia="SimHei" w:cs="SimHei"/>
                                <w:sz w:val="15"/>
                                <w:szCs w:val="15"/>
                                <w:spacing w:val="13"/>
                              </w:rPr>
                              <w:t>第二章数字经济对中国经济增长的影响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0" style="position:absolute;margin-left:515.358pt;margin-top:154.359pt;mso-position-vertical-relative:page;mso-position-horizontal-relative:page;width:141.15pt;height:12.4pt;z-index:252716032;rotation:90;" o:allowincell="f" filled="false" stroked="false" type="#_x0000_t202">
                <v:fill on="false"/>
                <v:stroke on="false"/>
                <v:path/>
                <v:imagedata o:title=""/>
                <o:lock v:ext="edit" aspectratio="false"/>
                <v:textbox inset="0mm,0mm,0mm,0mm">
                  <w:txbxContent>
                    <w:p>
                      <w:pPr>
                        <w:ind w:left="20"/>
                        <w:spacing w:before="47" w:line="222" w:lineRule="auto"/>
                        <w:rPr>
                          <w:rFonts w:ascii="SimHei" w:hAnsi="SimHei" w:eastAsia="SimHei" w:cs="SimHei"/>
                          <w:sz w:val="15"/>
                          <w:szCs w:val="15"/>
                        </w:rPr>
                      </w:pPr>
                      <w:r>
                        <w:rPr>
                          <w:rFonts w:ascii="SimHei" w:hAnsi="SimHei" w:eastAsia="SimHei" w:cs="SimHei"/>
                          <w:sz w:val="15"/>
                          <w:szCs w:val="15"/>
                          <w:spacing w:val="13"/>
                        </w:rPr>
                        <w:t>第二章数字经济对中国经济增长的影响</w:t>
                      </w:r>
                    </w:p>
                  </w:txbxContent>
                </v:textbox>
              </v:shape>
            </w:pict>
          </mc:Fallback>
        </mc:AlternateContent>
      </w:r>
      <w:r>
        <w:rPr>
          <w:rFonts w:ascii="SimSun" w:hAnsi="SimSun" w:eastAsia="SimSun" w:cs="SimSun"/>
          <w:sz w:val="16"/>
          <w:szCs w:val="16"/>
          <w:b/>
          <w:bCs/>
          <w:spacing w:val="2"/>
        </w:rPr>
        <w:t>劳动者平均名义报酬(元)</w:t>
      </w:r>
      <w:r>
        <w:rPr>
          <w:rFonts w:ascii="SimSun" w:hAnsi="SimSun" w:eastAsia="SimSun" w:cs="SimSun"/>
          <w:sz w:val="16"/>
          <w:szCs w:val="16"/>
          <w:spacing w:val="2"/>
        </w:rPr>
        <w:t xml:space="preserve">                                年平均增长率(%)</w:t>
      </w:r>
    </w:p>
    <w:p>
      <w:pPr>
        <w:ind w:left="1430"/>
        <w:spacing w:before="60" w:line="219" w:lineRule="auto"/>
        <w:rPr>
          <w:rFonts w:ascii="SimSun" w:hAnsi="SimSun" w:eastAsia="SimSun" w:cs="SimSun"/>
          <w:sz w:val="16"/>
          <w:szCs w:val="16"/>
        </w:rPr>
      </w:pPr>
      <w:r>
        <w:rPr>
          <w:rFonts w:ascii="SimSun" w:hAnsi="SimSun" w:eastAsia="SimSun" w:cs="SimSun"/>
          <w:sz w:val="16"/>
          <w:szCs w:val="16"/>
          <w:spacing w:val="-1"/>
        </w:rPr>
        <w:t>2001年</w:t>
      </w:r>
      <w:r>
        <w:rPr>
          <w:rFonts w:ascii="SimSun" w:hAnsi="SimSun" w:eastAsia="SimSun" w:cs="SimSun"/>
          <w:sz w:val="16"/>
          <w:szCs w:val="16"/>
          <w:spacing w:val="14"/>
        </w:rPr>
        <w:t xml:space="preserve">    </w:t>
      </w:r>
      <w:r>
        <w:rPr>
          <w:rFonts w:ascii="SimSun" w:hAnsi="SimSun" w:eastAsia="SimSun" w:cs="SimSun"/>
          <w:sz w:val="16"/>
          <w:szCs w:val="16"/>
          <w:spacing w:val="-1"/>
        </w:rPr>
        <w:t>2007年</w:t>
      </w:r>
      <w:r>
        <w:rPr>
          <w:rFonts w:ascii="SimSun" w:hAnsi="SimSun" w:eastAsia="SimSun" w:cs="SimSun"/>
          <w:sz w:val="16"/>
          <w:szCs w:val="16"/>
          <w:spacing w:val="12"/>
        </w:rPr>
        <w:t xml:space="preserve">     </w:t>
      </w:r>
      <w:r>
        <w:rPr>
          <w:rFonts w:ascii="SimSun" w:hAnsi="SimSun" w:eastAsia="SimSun" w:cs="SimSun"/>
          <w:sz w:val="16"/>
          <w:szCs w:val="16"/>
          <w:spacing w:val="-1"/>
        </w:rPr>
        <w:t>2012年     2018年</w:t>
      </w:r>
      <w:r>
        <w:rPr>
          <w:rFonts w:ascii="SimSun" w:hAnsi="SimSun" w:eastAsia="SimSun" w:cs="SimSun"/>
          <w:sz w:val="16"/>
          <w:szCs w:val="16"/>
          <w:spacing w:val="19"/>
        </w:rPr>
        <w:t xml:space="preserve">   </w:t>
      </w:r>
      <w:r>
        <w:rPr>
          <w:rFonts w:ascii="SimSun" w:hAnsi="SimSun" w:eastAsia="SimSun" w:cs="SimSun"/>
          <w:sz w:val="16"/>
          <w:szCs w:val="16"/>
          <w:spacing w:val="-1"/>
        </w:rPr>
        <w:t>2001—2007年</w:t>
      </w:r>
      <w:r>
        <w:rPr>
          <w:rFonts w:ascii="SimSun" w:hAnsi="SimSun" w:eastAsia="SimSun" w:cs="SimSun"/>
          <w:sz w:val="16"/>
          <w:szCs w:val="16"/>
          <w:spacing w:val="29"/>
          <w:w w:val="101"/>
        </w:rPr>
        <w:t xml:space="preserve">  </w:t>
      </w:r>
      <w:r>
        <w:rPr>
          <w:rFonts w:ascii="SimSun" w:hAnsi="SimSun" w:eastAsia="SimSun" w:cs="SimSun"/>
          <w:sz w:val="16"/>
          <w:szCs w:val="16"/>
          <w:spacing w:val="-1"/>
        </w:rPr>
        <w:t>2007—2012年    2012—2018年</w:t>
      </w:r>
      <w:r>
        <w:rPr>
          <w:rFonts w:ascii="SimSun" w:hAnsi="SimSun" w:eastAsia="SimSun" w:cs="SimSun"/>
          <w:sz w:val="16"/>
          <w:szCs w:val="16"/>
          <w:spacing w:val="19"/>
        </w:rPr>
        <w:t xml:space="preserve">   </w:t>
      </w:r>
      <w:r>
        <w:rPr>
          <w:rFonts w:ascii="SimSun" w:hAnsi="SimSun" w:eastAsia="SimSun" w:cs="SimSun"/>
          <w:sz w:val="16"/>
          <w:szCs w:val="16"/>
          <w:spacing w:val="-1"/>
        </w:rPr>
        <w:t>2001—20</w:t>
      </w:r>
      <w:r>
        <w:rPr>
          <w:rFonts w:ascii="SimSun" w:hAnsi="SimSun" w:eastAsia="SimSun" w:cs="SimSun"/>
          <w:sz w:val="16"/>
          <w:szCs w:val="16"/>
          <w:spacing w:val="-2"/>
        </w:rPr>
        <w:t>18年</w:t>
      </w:r>
    </w:p>
    <w:p>
      <w:pPr>
        <w:spacing w:line="28" w:lineRule="exact"/>
        <w:rPr/>
      </w:pPr>
      <w:r/>
    </w:p>
    <w:tbl>
      <w:tblPr>
        <w:tblStyle w:val="TableNormal"/>
        <w:tblW w:w="958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78"/>
        <w:gridCol w:w="805"/>
        <w:gridCol w:w="894"/>
        <w:gridCol w:w="851"/>
        <w:gridCol w:w="1034"/>
        <w:gridCol w:w="1070"/>
        <w:gridCol w:w="1215"/>
        <w:gridCol w:w="1205"/>
        <w:gridCol w:w="1228"/>
      </w:tblGrid>
      <w:tr>
        <w:trPr>
          <w:trHeight w:val="319" w:hRule="atLeast"/>
        </w:trPr>
        <w:tc>
          <w:tcPr>
            <w:tcW w:w="1278" w:type="dxa"/>
            <w:vAlign w:val="top"/>
            <w:tcBorders>
              <w:top w:val="single" w:color="000000" w:sz="4" w:space="0"/>
            </w:tcBorders>
          </w:tcPr>
          <w:p>
            <w:pPr>
              <w:pStyle w:val="TableText"/>
              <w:ind w:left="122"/>
              <w:spacing w:before="99" w:line="220" w:lineRule="auto"/>
              <w:rPr>
                <w:sz w:val="16"/>
                <w:szCs w:val="16"/>
              </w:rPr>
            </w:pPr>
            <w:r>
              <w:rPr>
                <w:sz w:val="16"/>
                <w:szCs w:val="16"/>
                <w:b/>
                <w:bCs/>
                <w:spacing w:val="-3"/>
              </w:rPr>
              <w:t>整体经济</w:t>
            </w:r>
          </w:p>
        </w:tc>
        <w:tc>
          <w:tcPr>
            <w:tcW w:w="805" w:type="dxa"/>
            <w:vAlign w:val="top"/>
            <w:tcBorders>
              <w:top w:val="single" w:color="000000" w:sz="4" w:space="0"/>
            </w:tcBorders>
          </w:tcPr>
          <w:p>
            <w:pPr>
              <w:pStyle w:val="TableText"/>
              <w:ind w:left="232"/>
              <w:spacing w:before="133" w:line="182" w:lineRule="auto"/>
              <w:rPr>
                <w:sz w:val="16"/>
                <w:szCs w:val="16"/>
              </w:rPr>
            </w:pPr>
            <w:r>
              <w:rPr>
                <w:sz w:val="16"/>
                <w:szCs w:val="16"/>
                <w:spacing w:val="-2"/>
              </w:rPr>
              <w:t>7557</w:t>
            </w:r>
          </w:p>
        </w:tc>
        <w:tc>
          <w:tcPr>
            <w:tcW w:w="894" w:type="dxa"/>
            <w:vAlign w:val="top"/>
            <w:tcBorders>
              <w:top w:val="single" w:color="000000" w:sz="4" w:space="0"/>
            </w:tcBorders>
          </w:tcPr>
          <w:p>
            <w:pPr>
              <w:pStyle w:val="TableText"/>
              <w:ind w:left="237"/>
              <w:spacing w:before="111" w:line="184" w:lineRule="auto"/>
              <w:rPr>
                <w:sz w:val="16"/>
                <w:szCs w:val="16"/>
              </w:rPr>
            </w:pPr>
            <w:r>
              <w:rPr>
                <w:sz w:val="16"/>
                <w:szCs w:val="16"/>
                <w:spacing w:val="-3"/>
              </w:rPr>
              <w:t>14746</w:t>
            </w:r>
          </w:p>
        </w:tc>
        <w:tc>
          <w:tcPr>
            <w:tcW w:w="851" w:type="dxa"/>
            <w:vAlign w:val="top"/>
            <w:tcBorders>
              <w:top w:val="single" w:color="000000" w:sz="4" w:space="0"/>
            </w:tcBorders>
          </w:tcPr>
          <w:p>
            <w:pPr>
              <w:pStyle w:val="TableText"/>
              <w:ind w:left="273"/>
              <w:spacing w:before="132" w:line="183" w:lineRule="auto"/>
              <w:rPr>
                <w:sz w:val="16"/>
                <w:szCs w:val="16"/>
              </w:rPr>
            </w:pPr>
            <w:r>
              <w:rPr>
                <w:sz w:val="16"/>
                <w:szCs w:val="16"/>
                <w:spacing w:val="-2"/>
              </w:rPr>
              <w:t>34029</w:t>
            </w:r>
          </w:p>
        </w:tc>
        <w:tc>
          <w:tcPr>
            <w:tcW w:w="1034" w:type="dxa"/>
            <w:vAlign w:val="top"/>
            <w:tcBorders>
              <w:top w:val="single" w:color="000000" w:sz="4" w:space="0"/>
            </w:tcBorders>
          </w:tcPr>
          <w:p>
            <w:pPr>
              <w:pStyle w:val="TableText"/>
              <w:ind w:left="302"/>
              <w:spacing w:before="112" w:line="183" w:lineRule="auto"/>
              <w:rPr>
                <w:sz w:val="16"/>
                <w:szCs w:val="16"/>
              </w:rPr>
            </w:pPr>
            <w:r>
              <w:rPr>
                <w:sz w:val="16"/>
                <w:szCs w:val="16"/>
                <w:spacing w:val="-2"/>
              </w:rPr>
              <w:t>60342</w:t>
            </w:r>
          </w:p>
        </w:tc>
        <w:tc>
          <w:tcPr>
            <w:tcW w:w="1070" w:type="dxa"/>
            <w:vAlign w:val="top"/>
            <w:tcBorders>
              <w:top w:val="single" w:color="000000" w:sz="4" w:space="0"/>
            </w:tcBorders>
          </w:tcPr>
          <w:p>
            <w:pPr>
              <w:pStyle w:val="TableText"/>
              <w:ind w:left="318"/>
              <w:spacing w:before="142" w:line="184" w:lineRule="auto"/>
              <w:rPr>
                <w:sz w:val="16"/>
                <w:szCs w:val="16"/>
              </w:rPr>
            </w:pPr>
            <w:r>
              <w:rPr>
                <w:sz w:val="16"/>
                <w:szCs w:val="16"/>
                <w:spacing w:val="-4"/>
              </w:rPr>
              <w:t>11.8</w:t>
            </w:r>
          </w:p>
        </w:tc>
        <w:tc>
          <w:tcPr>
            <w:tcW w:w="1215" w:type="dxa"/>
            <w:vAlign w:val="top"/>
            <w:tcBorders>
              <w:top w:val="single" w:color="000000" w:sz="4" w:space="0"/>
            </w:tcBorders>
          </w:tcPr>
          <w:p>
            <w:pPr>
              <w:pStyle w:val="TableText"/>
              <w:ind w:left="458"/>
              <w:spacing w:before="142" w:line="184" w:lineRule="auto"/>
              <w:rPr>
                <w:sz w:val="16"/>
                <w:szCs w:val="16"/>
              </w:rPr>
            </w:pPr>
            <w:r>
              <w:rPr>
                <w:sz w:val="16"/>
                <w:szCs w:val="16"/>
                <w:spacing w:val="-4"/>
              </w:rPr>
              <w:t>18.2</w:t>
            </w:r>
          </w:p>
        </w:tc>
        <w:tc>
          <w:tcPr>
            <w:tcW w:w="1205" w:type="dxa"/>
            <w:vAlign w:val="top"/>
            <w:tcBorders>
              <w:top w:val="single" w:color="000000" w:sz="4" w:space="0"/>
            </w:tcBorders>
          </w:tcPr>
          <w:p>
            <w:pPr>
              <w:pStyle w:val="TableText"/>
              <w:ind w:left="453"/>
              <w:spacing w:before="142" w:line="184" w:lineRule="auto"/>
              <w:rPr>
                <w:sz w:val="16"/>
                <w:szCs w:val="16"/>
              </w:rPr>
            </w:pPr>
            <w:r>
              <w:rPr>
                <w:sz w:val="16"/>
                <w:szCs w:val="16"/>
                <w:spacing w:val="-4"/>
              </w:rPr>
              <w:t>10.0</w:t>
            </w:r>
          </w:p>
        </w:tc>
        <w:tc>
          <w:tcPr>
            <w:tcW w:w="1228" w:type="dxa"/>
            <w:vAlign w:val="top"/>
            <w:tcBorders>
              <w:top w:val="single" w:color="000000" w:sz="4" w:space="0"/>
            </w:tcBorders>
          </w:tcPr>
          <w:p>
            <w:pPr>
              <w:pStyle w:val="TableText"/>
              <w:ind w:left="458"/>
              <w:spacing w:before="152" w:line="181" w:lineRule="auto"/>
              <w:rPr>
                <w:sz w:val="16"/>
                <w:szCs w:val="16"/>
              </w:rPr>
            </w:pPr>
            <w:r>
              <w:rPr>
                <w:sz w:val="16"/>
                <w:szCs w:val="16"/>
                <w:spacing w:val="-4"/>
              </w:rPr>
              <w:t>13.0</w:t>
            </w:r>
          </w:p>
        </w:tc>
      </w:tr>
      <w:tr>
        <w:trPr>
          <w:trHeight w:val="304" w:hRule="atLeast"/>
        </w:trPr>
        <w:tc>
          <w:tcPr>
            <w:tcW w:w="1278" w:type="dxa"/>
            <w:vAlign w:val="top"/>
          </w:tcPr>
          <w:p>
            <w:pPr>
              <w:pStyle w:val="TableText"/>
              <w:ind w:left="140"/>
              <w:spacing w:before="52" w:line="219" w:lineRule="auto"/>
              <w:rPr>
                <w:sz w:val="16"/>
                <w:szCs w:val="16"/>
              </w:rPr>
            </w:pPr>
            <w:r>
              <w:rPr>
                <w:sz w:val="16"/>
                <w:szCs w:val="16"/>
              </w:rPr>
              <w:t>ICT</w:t>
            </w:r>
            <w:r>
              <w:rPr>
                <w:sz w:val="16"/>
                <w:szCs w:val="16"/>
                <w:spacing w:val="1"/>
              </w:rPr>
              <w:t>生产行业</w:t>
            </w:r>
          </w:p>
        </w:tc>
        <w:tc>
          <w:tcPr>
            <w:tcW w:w="805" w:type="dxa"/>
            <w:vAlign w:val="top"/>
          </w:tcPr>
          <w:p>
            <w:pPr>
              <w:pStyle w:val="TableText"/>
              <w:ind w:left="192"/>
              <w:spacing w:before="122" w:line="184" w:lineRule="auto"/>
              <w:rPr>
                <w:sz w:val="16"/>
                <w:szCs w:val="16"/>
              </w:rPr>
            </w:pPr>
            <w:r>
              <w:rPr>
                <w:sz w:val="16"/>
                <w:szCs w:val="16"/>
                <w:spacing w:val="-3"/>
              </w:rPr>
              <w:t>19378</w:t>
            </w:r>
          </w:p>
        </w:tc>
        <w:tc>
          <w:tcPr>
            <w:tcW w:w="894" w:type="dxa"/>
            <w:vAlign w:val="top"/>
          </w:tcPr>
          <w:p>
            <w:pPr>
              <w:pStyle w:val="TableText"/>
              <w:ind w:left="237"/>
              <w:spacing w:before="122" w:line="184" w:lineRule="auto"/>
              <w:rPr>
                <w:sz w:val="16"/>
                <w:szCs w:val="16"/>
              </w:rPr>
            </w:pPr>
            <w:r>
              <w:rPr>
                <w:sz w:val="16"/>
                <w:szCs w:val="16"/>
                <w:spacing w:val="-2"/>
              </w:rPr>
              <w:t>28301</w:t>
            </w:r>
          </w:p>
        </w:tc>
        <w:tc>
          <w:tcPr>
            <w:tcW w:w="851" w:type="dxa"/>
            <w:vAlign w:val="top"/>
          </w:tcPr>
          <w:p>
            <w:pPr>
              <w:pStyle w:val="TableText"/>
              <w:ind w:left="273"/>
              <w:spacing w:before="93" w:line="183" w:lineRule="auto"/>
              <w:rPr>
                <w:sz w:val="16"/>
                <w:szCs w:val="16"/>
              </w:rPr>
            </w:pPr>
            <w:r>
              <w:rPr>
                <w:sz w:val="16"/>
                <w:szCs w:val="16"/>
                <w:spacing w:val="-2"/>
              </w:rPr>
              <w:t>67758</w:t>
            </w:r>
          </w:p>
        </w:tc>
        <w:tc>
          <w:tcPr>
            <w:tcW w:w="1034" w:type="dxa"/>
            <w:vAlign w:val="top"/>
          </w:tcPr>
          <w:p>
            <w:pPr>
              <w:pStyle w:val="TableText"/>
              <w:ind w:left="262"/>
              <w:spacing w:before="112" w:line="184" w:lineRule="auto"/>
              <w:rPr>
                <w:sz w:val="16"/>
                <w:szCs w:val="16"/>
              </w:rPr>
            </w:pPr>
            <w:r>
              <w:rPr>
                <w:sz w:val="16"/>
                <w:szCs w:val="16"/>
                <w:spacing w:val="-3"/>
              </w:rPr>
              <w:t>143437</w:t>
            </w:r>
          </w:p>
        </w:tc>
        <w:tc>
          <w:tcPr>
            <w:tcW w:w="1070" w:type="dxa"/>
            <w:vAlign w:val="top"/>
          </w:tcPr>
          <w:p>
            <w:pPr>
              <w:pStyle w:val="TableText"/>
              <w:ind w:left="358"/>
              <w:spacing w:before="133" w:line="183" w:lineRule="auto"/>
              <w:rPr>
                <w:sz w:val="16"/>
                <w:szCs w:val="16"/>
              </w:rPr>
            </w:pPr>
            <w:r>
              <w:rPr>
                <w:sz w:val="16"/>
                <w:szCs w:val="16"/>
                <w:spacing w:val="-2"/>
              </w:rPr>
              <w:t>6.5</w:t>
            </w:r>
          </w:p>
        </w:tc>
        <w:tc>
          <w:tcPr>
            <w:tcW w:w="1215" w:type="dxa"/>
            <w:vAlign w:val="top"/>
          </w:tcPr>
          <w:p>
            <w:pPr>
              <w:pStyle w:val="TableText"/>
              <w:ind w:left="458"/>
              <w:spacing w:before="143" w:line="174" w:lineRule="auto"/>
              <w:rPr>
                <w:sz w:val="16"/>
                <w:szCs w:val="16"/>
              </w:rPr>
            </w:pPr>
            <w:r>
              <w:rPr>
                <w:sz w:val="16"/>
                <w:szCs w:val="16"/>
                <w:spacing w:val="-4"/>
              </w:rPr>
              <w:t>19.1</w:t>
            </w:r>
          </w:p>
        </w:tc>
        <w:tc>
          <w:tcPr>
            <w:tcW w:w="1205" w:type="dxa"/>
            <w:vAlign w:val="top"/>
          </w:tcPr>
          <w:p>
            <w:pPr>
              <w:pStyle w:val="TableText"/>
              <w:ind w:left="453"/>
              <w:spacing w:before="122" w:line="184" w:lineRule="auto"/>
              <w:rPr>
                <w:sz w:val="16"/>
                <w:szCs w:val="16"/>
              </w:rPr>
            </w:pPr>
            <w:r>
              <w:rPr>
                <w:sz w:val="16"/>
                <w:szCs w:val="16"/>
                <w:spacing w:val="-4"/>
              </w:rPr>
              <w:t>13.3</w:t>
            </w:r>
          </w:p>
        </w:tc>
        <w:tc>
          <w:tcPr>
            <w:tcW w:w="1228" w:type="dxa"/>
            <w:vAlign w:val="top"/>
          </w:tcPr>
          <w:p>
            <w:pPr>
              <w:pStyle w:val="TableText"/>
              <w:ind w:left="458"/>
              <w:spacing w:before="122" w:line="184" w:lineRule="auto"/>
              <w:rPr>
                <w:sz w:val="16"/>
                <w:szCs w:val="16"/>
              </w:rPr>
            </w:pPr>
            <w:r>
              <w:rPr>
                <w:sz w:val="16"/>
                <w:szCs w:val="16"/>
                <w:spacing w:val="-4"/>
              </w:rPr>
              <w:t>12.5</w:t>
            </w:r>
          </w:p>
        </w:tc>
      </w:tr>
      <w:tr>
        <w:trPr>
          <w:trHeight w:val="509" w:hRule="atLeast"/>
        </w:trPr>
        <w:tc>
          <w:tcPr>
            <w:tcW w:w="1278" w:type="dxa"/>
            <w:vAlign w:val="top"/>
          </w:tcPr>
          <w:p>
            <w:pPr>
              <w:pStyle w:val="TableText"/>
              <w:ind w:left="120" w:right="238" w:firstLine="19"/>
              <w:spacing w:before="48" w:line="243"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制造业</w:t>
            </w:r>
          </w:p>
        </w:tc>
        <w:tc>
          <w:tcPr>
            <w:tcW w:w="805" w:type="dxa"/>
            <w:vAlign w:val="top"/>
          </w:tcPr>
          <w:p>
            <w:pPr>
              <w:pStyle w:val="TableText"/>
              <w:ind w:left="192"/>
              <w:spacing w:before="218" w:line="184" w:lineRule="auto"/>
              <w:rPr>
                <w:sz w:val="16"/>
                <w:szCs w:val="16"/>
              </w:rPr>
            </w:pPr>
            <w:r>
              <w:rPr>
                <w:sz w:val="16"/>
                <w:szCs w:val="16"/>
                <w:spacing w:val="-3"/>
              </w:rPr>
              <w:t>17933</w:t>
            </w:r>
          </w:p>
        </w:tc>
        <w:tc>
          <w:tcPr>
            <w:tcW w:w="894" w:type="dxa"/>
            <w:vAlign w:val="top"/>
          </w:tcPr>
          <w:p>
            <w:pPr>
              <w:pStyle w:val="TableText"/>
              <w:ind w:left="237"/>
              <w:spacing w:before="219" w:line="183" w:lineRule="auto"/>
              <w:rPr>
                <w:sz w:val="16"/>
                <w:szCs w:val="16"/>
              </w:rPr>
            </w:pPr>
            <w:r>
              <w:rPr>
                <w:sz w:val="16"/>
                <w:szCs w:val="16"/>
                <w:spacing w:val="-2"/>
              </w:rPr>
              <w:t>28709</w:t>
            </w:r>
          </w:p>
        </w:tc>
        <w:tc>
          <w:tcPr>
            <w:tcW w:w="851" w:type="dxa"/>
            <w:vAlign w:val="top"/>
          </w:tcPr>
          <w:p>
            <w:pPr>
              <w:pStyle w:val="TableText"/>
              <w:ind w:left="273"/>
              <w:spacing w:before="219" w:line="183" w:lineRule="auto"/>
              <w:rPr>
                <w:sz w:val="16"/>
                <w:szCs w:val="16"/>
              </w:rPr>
            </w:pPr>
            <w:r>
              <w:rPr>
                <w:sz w:val="16"/>
                <w:szCs w:val="16"/>
                <w:spacing w:val="-2"/>
              </w:rPr>
              <w:t>57696</w:t>
            </w:r>
          </w:p>
        </w:tc>
        <w:tc>
          <w:tcPr>
            <w:tcW w:w="1034" w:type="dxa"/>
            <w:vAlign w:val="top"/>
          </w:tcPr>
          <w:p>
            <w:pPr>
              <w:pStyle w:val="TableText"/>
              <w:ind w:left="302"/>
              <w:spacing w:before="228" w:line="184" w:lineRule="auto"/>
              <w:rPr>
                <w:sz w:val="16"/>
                <w:szCs w:val="16"/>
              </w:rPr>
            </w:pPr>
            <w:r>
              <w:rPr>
                <w:sz w:val="16"/>
                <w:szCs w:val="16"/>
                <w:spacing w:val="-2"/>
              </w:rPr>
              <w:t>87165</w:t>
            </w:r>
          </w:p>
        </w:tc>
        <w:tc>
          <w:tcPr>
            <w:tcW w:w="1070" w:type="dxa"/>
            <w:vAlign w:val="top"/>
          </w:tcPr>
          <w:p>
            <w:pPr>
              <w:pStyle w:val="TableText"/>
              <w:ind w:left="358"/>
              <w:spacing w:before="239" w:line="183" w:lineRule="auto"/>
              <w:rPr>
                <w:sz w:val="16"/>
                <w:szCs w:val="16"/>
              </w:rPr>
            </w:pPr>
            <w:r>
              <w:rPr>
                <w:sz w:val="16"/>
                <w:szCs w:val="16"/>
                <w:spacing w:val="-2"/>
              </w:rPr>
              <w:t>8.2</w:t>
            </w:r>
          </w:p>
        </w:tc>
        <w:tc>
          <w:tcPr>
            <w:tcW w:w="1215" w:type="dxa"/>
            <w:vAlign w:val="top"/>
          </w:tcPr>
          <w:p>
            <w:pPr>
              <w:pStyle w:val="TableText"/>
              <w:ind w:left="458"/>
              <w:spacing w:before="238" w:line="184" w:lineRule="auto"/>
              <w:rPr>
                <w:sz w:val="16"/>
                <w:szCs w:val="16"/>
              </w:rPr>
            </w:pPr>
            <w:r>
              <w:rPr>
                <w:sz w:val="16"/>
                <w:szCs w:val="16"/>
                <w:spacing w:val="-4"/>
              </w:rPr>
              <w:t>15.0</w:t>
            </w:r>
          </w:p>
        </w:tc>
        <w:tc>
          <w:tcPr>
            <w:tcW w:w="1205" w:type="dxa"/>
            <w:vAlign w:val="top"/>
          </w:tcPr>
          <w:p>
            <w:pPr>
              <w:pStyle w:val="TableText"/>
              <w:ind w:left="493"/>
              <w:spacing w:before="249" w:line="184" w:lineRule="auto"/>
              <w:rPr>
                <w:sz w:val="16"/>
                <w:szCs w:val="16"/>
              </w:rPr>
            </w:pPr>
            <w:r>
              <w:rPr>
                <w:sz w:val="16"/>
                <w:szCs w:val="16"/>
                <w:spacing w:val="-3"/>
              </w:rPr>
              <w:t>7.1</w:t>
            </w:r>
          </w:p>
        </w:tc>
        <w:tc>
          <w:tcPr>
            <w:tcW w:w="1228" w:type="dxa"/>
            <w:vAlign w:val="top"/>
          </w:tcPr>
          <w:p>
            <w:pPr>
              <w:pStyle w:val="TableText"/>
              <w:ind w:left="498"/>
              <w:spacing w:before="239" w:line="183" w:lineRule="auto"/>
              <w:rPr>
                <w:sz w:val="16"/>
                <w:szCs w:val="16"/>
              </w:rPr>
            </w:pPr>
            <w:r>
              <w:rPr>
                <w:sz w:val="16"/>
                <w:szCs w:val="16"/>
                <w:spacing w:val="-2"/>
              </w:rPr>
              <w:t>9.7</w:t>
            </w:r>
          </w:p>
        </w:tc>
      </w:tr>
      <w:tr>
        <w:trPr>
          <w:trHeight w:val="544" w:hRule="atLeast"/>
        </w:trPr>
        <w:tc>
          <w:tcPr>
            <w:tcW w:w="1278" w:type="dxa"/>
            <w:vAlign w:val="top"/>
          </w:tcPr>
          <w:p>
            <w:pPr>
              <w:pStyle w:val="TableText"/>
              <w:ind w:left="120" w:right="238" w:firstLine="19"/>
              <w:spacing w:before="80" w:line="242"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服务业</w:t>
            </w:r>
          </w:p>
        </w:tc>
        <w:tc>
          <w:tcPr>
            <w:tcW w:w="805" w:type="dxa"/>
            <w:vAlign w:val="top"/>
          </w:tcPr>
          <w:p>
            <w:pPr>
              <w:pStyle w:val="TableText"/>
              <w:ind w:left="192"/>
              <w:spacing w:before="249" w:line="184" w:lineRule="auto"/>
              <w:rPr>
                <w:sz w:val="16"/>
                <w:szCs w:val="16"/>
              </w:rPr>
            </w:pPr>
            <w:r>
              <w:rPr>
                <w:sz w:val="16"/>
                <w:szCs w:val="16"/>
                <w:spacing w:val="-3"/>
              </w:rPr>
              <w:t>11869</w:t>
            </w:r>
          </w:p>
        </w:tc>
        <w:tc>
          <w:tcPr>
            <w:tcW w:w="894" w:type="dxa"/>
            <w:vAlign w:val="top"/>
          </w:tcPr>
          <w:p>
            <w:pPr>
              <w:pStyle w:val="TableText"/>
              <w:ind w:left="277"/>
              <w:spacing w:before="231" w:line="182" w:lineRule="auto"/>
              <w:rPr>
                <w:sz w:val="16"/>
                <w:szCs w:val="16"/>
              </w:rPr>
            </w:pPr>
            <w:r>
              <w:rPr>
                <w:sz w:val="16"/>
                <w:szCs w:val="16"/>
                <w:spacing w:val="-2"/>
              </w:rPr>
              <w:t>7575</w:t>
            </w:r>
          </w:p>
        </w:tc>
        <w:tc>
          <w:tcPr>
            <w:tcW w:w="851" w:type="dxa"/>
            <w:vAlign w:val="top"/>
          </w:tcPr>
          <w:p>
            <w:pPr>
              <w:pStyle w:val="TableText"/>
              <w:ind w:left="273"/>
              <w:spacing w:before="250" w:line="183" w:lineRule="auto"/>
              <w:rPr>
                <w:sz w:val="16"/>
                <w:szCs w:val="16"/>
              </w:rPr>
            </w:pPr>
            <w:r>
              <w:rPr>
                <w:sz w:val="16"/>
                <w:szCs w:val="16"/>
                <w:spacing w:val="-1"/>
              </w:rPr>
              <w:t>45565</w:t>
            </w:r>
          </w:p>
        </w:tc>
        <w:tc>
          <w:tcPr>
            <w:tcW w:w="1034" w:type="dxa"/>
            <w:vAlign w:val="top"/>
          </w:tcPr>
          <w:p>
            <w:pPr>
              <w:pStyle w:val="TableText"/>
              <w:ind w:left="302"/>
              <w:spacing w:before="239" w:line="184" w:lineRule="auto"/>
              <w:rPr>
                <w:sz w:val="16"/>
                <w:szCs w:val="16"/>
              </w:rPr>
            </w:pPr>
            <w:r>
              <w:rPr>
                <w:sz w:val="16"/>
                <w:szCs w:val="16"/>
                <w:spacing w:val="-2"/>
              </w:rPr>
              <w:t>94918</w:t>
            </w:r>
          </w:p>
        </w:tc>
        <w:tc>
          <w:tcPr>
            <w:tcW w:w="1070" w:type="dxa"/>
            <w:vAlign w:val="top"/>
          </w:tcPr>
          <w:p>
            <w:pPr>
              <w:pStyle w:val="TableText"/>
              <w:ind w:left="358"/>
              <w:spacing w:before="270" w:line="183" w:lineRule="auto"/>
              <w:rPr>
                <w:sz w:val="16"/>
                <w:szCs w:val="16"/>
              </w:rPr>
            </w:pPr>
            <w:r>
              <w:rPr>
                <w:sz w:val="16"/>
                <w:szCs w:val="16"/>
                <w:spacing w:val="-2"/>
              </w:rPr>
              <w:t>6.8</w:t>
            </w:r>
          </w:p>
        </w:tc>
        <w:tc>
          <w:tcPr>
            <w:tcW w:w="1215" w:type="dxa"/>
            <w:vAlign w:val="top"/>
          </w:tcPr>
          <w:p>
            <w:pPr>
              <w:pStyle w:val="TableText"/>
              <w:ind w:left="458"/>
              <w:spacing w:before="249" w:line="184" w:lineRule="auto"/>
              <w:rPr>
                <w:sz w:val="16"/>
                <w:szCs w:val="16"/>
              </w:rPr>
            </w:pPr>
            <w:r>
              <w:rPr>
                <w:sz w:val="16"/>
                <w:szCs w:val="16"/>
                <w:spacing w:val="-2"/>
              </w:rPr>
              <w:t>21.0</w:t>
            </w:r>
          </w:p>
        </w:tc>
        <w:tc>
          <w:tcPr>
            <w:tcW w:w="1205" w:type="dxa"/>
            <w:vAlign w:val="top"/>
          </w:tcPr>
          <w:p>
            <w:pPr>
              <w:pStyle w:val="TableText"/>
              <w:ind w:left="453"/>
              <w:spacing w:before="259" w:line="184" w:lineRule="auto"/>
              <w:rPr>
                <w:sz w:val="16"/>
                <w:szCs w:val="16"/>
              </w:rPr>
            </w:pPr>
            <w:r>
              <w:rPr>
                <w:sz w:val="16"/>
                <w:szCs w:val="16"/>
                <w:spacing w:val="-4"/>
              </w:rPr>
              <w:t>13.0</w:t>
            </w:r>
          </w:p>
        </w:tc>
        <w:tc>
          <w:tcPr>
            <w:tcW w:w="1228" w:type="dxa"/>
            <w:vAlign w:val="top"/>
          </w:tcPr>
          <w:p>
            <w:pPr>
              <w:pStyle w:val="TableText"/>
              <w:ind w:left="458"/>
              <w:spacing w:before="259" w:line="184" w:lineRule="auto"/>
              <w:rPr>
                <w:sz w:val="16"/>
                <w:szCs w:val="16"/>
              </w:rPr>
            </w:pPr>
            <w:r>
              <w:rPr>
                <w:sz w:val="16"/>
                <w:szCs w:val="16"/>
                <w:spacing w:val="-4"/>
              </w:rPr>
              <w:t>13.0</w:t>
            </w:r>
          </w:p>
        </w:tc>
      </w:tr>
      <w:tr>
        <w:trPr>
          <w:trHeight w:val="538" w:hRule="atLeast"/>
        </w:trPr>
        <w:tc>
          <w:tcPr>
            <w:tcW w:w="1278" w:type="dxa"/>
            <w:vAlign w:val="top"/>
          </w:tcPr>
          <w:p>
            <w:pPr>
              <w:pStyle w:val="TableText"/>
              <w:ind w:left="130"/>
              <w:spacing w:before="85" w:line="240" w:lineRule="exact"/>
              <w:rPr>
                <w:sz w:val="16"/>
                <w:szCs w:val="16"/>
              </w:rPr>
            </w:pPr>
            <w:r>
              <w:rPr>
                <w:sz w:val="16"/>
                <w:szCs w:val="16"/>
                <w:spacing w:val="-2"/>
                <w:position w:val="5"/>
              </w:rPr>
              <w:t>非ICT集约使</w:t>
            </w:r>
          </w:p>
          <w:p>
            <w:pPr>
              <w:pStyle w:val="TableText"/>
              <w:ind w:left="120"/>
              <w:spacing w:line="220" w:lineRule="auto"/>
              <w:rPr>
                <w:sz w:val="16"/>
                <w:szCs w:val="16"/>
              </w:rPr>
            </w:pPr>
            <w:r>
              <w:rPr>
                <w:sz w:val="16"/>
                <w:szCs w:val="16"/>
                <w:spacing w:val="-2"/>
              </w:rPr>
              <w:t>用制造业</w:t>
            </w:r>
          </w:p>
        </w:tc>
        <w:tc>
          <w:tcPr>
            <w:tcW w:w="805" w:type="dxa"/>
            <w:vAlign w:val="top"/>
          </w:tcPr>
          <w:p>
            <w:pPr>
              <w:pStyle w:val="TableText"/>
              <w:ind w:left="192"/>
              <w:spacing w:before="226" w:line="184" w:lineRule="auto"/>
              <w:rPr>
                <w:sz w:val="16"/>
                <w:szCs w:val="16"/>
              </w:rPr>
            </w:pPr>
            <w:r>
              <w:rPr>
                <w:sz w:val="16"/>
                <w:szCs w:val="16"/>
                <w:spacing w:val="-3"/>
              </w:rPr>
              <w:t>11381</w:t>
            </w:r>
          </w:p>
        </w:tc>
        <w:tc>
          <w:tcPr>
            <w:tcW w:w="894" w:type="dxa"/>
            <w:vAlign w:val="top"/>
          </w:tcPr>
          <w:p>
            <w:pPr>
              <w:pStyle w:val="TableText"/>
              <w:ind w:left="237"/>
              <w:spacing w:before="226" w:line="184" w:lineRule="auto"/>
              <w:rPr>
                <w:sz w:val="16"/>
                <w:szCs w:val="16"/>
              </w:rPr>
            </w:pPr>
            <w:r>
              <w:rPr>
                <w:sz w:val="16"/>
                <w:szCs w:val="16"/>
                <w:spacing w:val="-3"/>
              </w:rPr>
              <w:t>19365</w:t>
            </w:r>
          </w:p>
        </w:tc>
        <w:tc>
          <w:tcPr>
            <w:tcW w:w="851" w:type="dxa"/>
            <w:vAlign w:val="top"/>
          </w:tcPr>
          <w:p>
            <w:pPr>
              <w:pStyle w:val="TableText"/>
              <w:ind w:left="273"/>
              <w:spacing w:before="226" w:line="183" w:lineRule="auto"/>
              <w:rPr>
                <w:sz w:val="16"/>
                <w:szCs w:val="16"/>
              </w:rPr>
            </w:pPr>
            <w:r>
              <w:rPr>
                <w:sz w:val="16"/>
                <w:szCs w:val="16"/>
                <w:spacing w:val="-2"/>
              </w:rPr>
              <w:t>38032</w:t>
            </w:r>
          </w:p>
        </w:tc>
        <w:tc>
          <w:tcPr>
            <w:tcW w:w="1034" w:type="dxa"/>
            <w:vAlign w:val="top"/>
          </w:tcPr>
          <w:p>
            <w:pPr>
              <w:pStyle w:val="TableText"/>
              <w:ind w:left="302"/>
              <w:spacing w:before="226" w:line="183" w:lineRule="auto"/>
              <w:rPr>
                <w:sz w:val="16"/>
                <w:szCs w:val="16"/>
              </w:rPr>
            </w:pPr>
            <w:r>
              <w:rPr>
                <w:sz w:val="16"/>
                <w:szCs w:val="16"/>
                <w:spacing w:val="-2"/>
              </w:rPr>
              <w:t>73557</w:t>
            </w:r>
          </w:p>
        </w:tc>
        <w:tc>
          <w:tcPr>
            <w:tcW w:w="1070" w:type="dxa"/>
            <w:vAlign w:val="top"/>
          </w:tcPr>
          <w:p>
            <w:pPr>
              <w:pStyle w:val="TableText"/>
              <w:ind w:left="358"/>
              <w:spacing w:before="226" w:line="183" w:lineRule="auto"/>
              <w:rPr>
                <w:sz w:val="16"/>
                <w:szCs w:val="16"/>
              </w:rPr>
            </w:pPr>
            <w:r>
              <w:rPr>
                <w:sz w:val="16"/>
                <w:szCs w:val="16"/>
                <w:spacing w:val="-2"/>
              </w:rPr>
              <w:t>9.3</w:t>
            </w:r>
          </w:p>
        </w:tc>
        <w:tc>
          <w:tcPr>
            <w:tcW w:w="1215" w:type="dxa"/>
            <w:vAlign w:val="top"/>
          </w:tcPr>
          <w:p>
            <w:pPr>
              <w:pStyle w:val="TableText"/>
              <w:ind w:left="458"/>
              <w:spacing w:before="226" w:line="184" w:lineRule="auto"/>
              <w:rPr>
                <w:sz w:val="16"/>
                <w:szCs w:val="16"/>
              </w:rPr>
            </w:pPr>
            <w:r>
              <w:rPr>
                <w:sz w:val="16"/>
                <w:szCs w:val="16"/>
                <w:spacing w:val="-4"/>
              </w:rPr>
              <w:t>14.5</w:t>
            </w:r>
          </w:p>
        </w:tc>
        <w:tc>
          <w:tcPr>
            <w:tcW w:w="1205" w:type="dxa"/>
            <w:vAlign w:val="top"/>
          </w:tcPr>
          <w:p>
            <w:pPr>
              <w:pStyle w:val="TableText"/>
              <w:ind w:left="453"/>
              <w:spacing w:before="226" w:line="184" w:lineRule="auto"/>
              <w:rPr>
                <w:sz w:val="16"/>
                <w:szCs w:val="16"/>
              </w:rPr>
            </w:pPr>
            <w:r>
              <w:rPr>
                <w:sz w:val="16"/>
                <w:szCs w:val="16"/>
                <w:spacing w:val="-4"/>
              </w:rPr>
              <w:t>11.6</w:t>
            </w:r>
          </w:p>
        </w:tc>
        <w:tc>
          <w:tcPr>
            <w:tcW w:w="1228" w:type="dxa"/>
            <w:vAlign w:val="top"/>
          </w:tcPr>
          <w:p>
            <w:pPr>
              <w:pStyle w:val="TableText"/>
              <w:ind w:left="458"/>
              <w:spacing w:before="226" w:line="184" w:lineRule="auto"/>
              <w:rPr>
                <w:sz w:val="16"/>
                <w:szCs w:val="16"/>
              </w:rPr>
            </w:pPr>
            <w:r>
              <w:rPr>
                <w:sz w:val="16"/>
                <w:szCs w:val="16"/>
                <w:spacing w:val="-4"/>
              </w:rPr>
              <w:t>11.6</w:t>
            </w:r>
          </w:p>
        </w:tc>
      </w:tr>
      <w:tr>
        <w:trPr>
          <w:trHeight w:val="535" w:hRule="atLeast"/>
        </w:trPr>
        <w:tc>
          <w:tcPr>
            <w:tcW w:w="1278" w:type="dxa"/>
            <w:vAlign w:val="top"/>
          </w:tcPr>
          <w:p>
            <w:pPr>
              <w:pStyle w:val="TableText"/>
              <w:ind w:left="120"/>
              <w:spacing w:before="67" w:line="260" w:lineRule="exact"/>
              <w:rPr>
                <w:sz w:val="16"/>
                <w:szCs w:val="16"/>
              </w:rPr>
            </w:pPr>
            <w:r>
              <w:rPr>
                <w:sz w:val="16"/>
                <w:szCs w:val="16"/>
                <w:spacing w:val="-2"/>
                <w:position w:val="7"/>
              </w:rPr>
              <w:t>非ICT集约使</w:t>
            </w:r>
          </w:p>
          <w:p>
            <w:pPr>
              <w:pStyle w:val="TableText"/>
              <w:ind w:left="120"/>
              <w:spacing w:line="219" w:lineRule="auto"/>
              <w:rPr>
                <w:sz w:val="16"/>
                <w:szCs w:val="16"/>
              </w:rPr>
            </w:pPr>
            <w:r>
              <w:rPr>
                <w:sz w:val="16"/>
                <w:szCs w:val="16"/>
                <w:spacing w:val="-2"/>
              </w:rPr>
              <w:t>用服务业</w:t>
            </w:r>
          </w:p>
        </w:tc>
        <w:tc>
          <w:tcPr>
            <w:tcW w:w="805" w:type="dxa"/>
            <w:vAlign w:val="top"/>
          </w:tcPr>
          <w:p>
            <w:pPr>
              <w:pStyle w:val="TableText"/>
              <w:ind w:left="232"/>
              <w:spacing w:before="218" w:line="183" w:lineRule="auto"/>
              <w:rPr>
                <w:sz w:val="16"/>
                <w:szCs w:val="16"/>
              </w:rPr>
            </w:pPr>
            <w:r>
              <w:rPr>
                <w:sz w:val="16"/>
                <w:szCs w:val="16"/>
                <w:spacing w:val="-2"/>
              </w:rPr>
              <w:t>7790</w:t>
            </w:r>
          </w:p>
        </w:tc>
        <w:tc>
          <w:tcPr>
            <w:tcW w:w="894" w:type="dxa"/>
            <w:vAlign w:val="top"/>
          </w:tcPr>
          <w:p>
            <w:pPr>
              <w:pStyle w:val="TableText"/>
              <w:ind w:left="277"/>
              <w:spacing w:before="218" w:line="183" w:lineRule="auto"/>
              <w:rPr>
                <w:sz w:val="16"/>
                <w:szCs w:val="16"/>
              </w:rPr>
            </w:pPr>
            <w:r>
              <w:rPr>
                <w:sz w:val="16"/>
                <w:szCs w:val="16"/>
                <w:spacing w:val="-2"/>
              </w:rPr>
              <w:t>9675</w:t>
            </w:r>
          </w:p>
        </w:tc>
        <w:tc>
          <w:tcPr>
            <w:tcW w:w="851" w:type="dxa"/>
            <w:vAlign w:val="top"/>
          </w:tcPr>
          <w:p>
            <w:pPr>
              <w:pStyle w:val="TableText"/>
              <w:ind w:left="273"/>
              <w:spacing w:before="218" w:line="183" w:lineRule="auto"/>
              <w:rPr>
                <w:sz w:val="16"/>
                <w:szCs w:val="16"/>
              </w:rPr>
            </w:pPr>
            <w:r>
              <w:rPr>
                <w:sz w:val="16"/>
                <w:szCs w:val="16"/>
                <w:spacing w:val="-2"/>
              </w:rPr>
              <w:t>27329</w:t>
            </w:r>
          </w:p>
        </w:tc>
        <w:tc>
          <w:tcPr>
            <w:tcW w:w="1034" w:type="dxa"/>
            <w:vAlign w:val="top"/>
          </w:tcPr>
          <w:p>
            <w:pPr>
              <w:pStyle w:val="TableText"/>
              <w:ind w:left="302"/>
              <w:spacing w:before="217" w:line="184" w:lineRule="auto"/>
              <w:rPr>
                <w:sz w:val="16"/>
                <w:szCs w:val="16"/>
              </w:rPr>
            </w:pPr>
            <w:r>
              <w:rPr>
                <w:sz w:val="16"/>
                <w:szCs w:val="16"/>
                <w:spacing w:val="-1"/>
              </w:rPr>
              <w:t>42182</w:t>
            </w:r>
          </w:p>
        </w:tc>
        <w:tc>
          <w:tcPr>
            <w:tcW w:w="1070" w:type="dxa"/>
            <w:vAlign w:val="top"/>
          </w:tcPr>
          <w:p>
            <w:pPr>
              <w:pStyle w:val="TableText"/>
              <w:ind w:left="358"/>
              <w:spacing w:before="218" w:line="183" w:lineRule="auto"/>
              <w:rPr>
                <w:sz w:val="16"/>
                <w:szCs w:val="16"/>
              </w:rPr>
            </w:pPr>
            <w:r>
              <w:rPr>
                <w:sz w:val="16"/>
                <w:szCs w:val="16"/>
                <w:spacing w:val="-3"/>
              </w:rPr>
              <w:t>3.7</w:t>
            </w:r>
          </w:p>
        </w:tc>
        <w:tc>
          <w:tcPr>
            <w:tcW w:w="1215" w:type="dxa"/>
            <w:vAlign w:val="top"/>
          </w:tcPr>
          <w:p>
            <w:pPr>
              <w:pStyle w:val="TableText"/>
              <w:ind w:left="458"/>
              <w:spacing w:before="217" w:line="184" w:lineRule="auto"/>
              <w:rPr>
                <w:sz w:val="16"/>
                <w:szCs w:val="16"/>
              </w:rPr>
            </w:pPr>
            <w:r>
              <w:rPr>
                <w:sz w:val="16"/>
                <w:szCs w:val="16"/>
                <w:spacing w:val="-2"/>
              </w:rPr>
              <w:t>23.1</w:t>
            </w:r>
          </w:p>
        </w:tc>
        <w:tc>
          <w:tcPr>
            <w:tcW w:w="1205" w:type="dxa"/>
            <w:vAlign w:val="top"/>
          </w:tcPr>
          <w:p>
            <w:pPr>
              <w:pStyle w:val="TableText"/>
              <w:ind w:left="493"/>
              <w:spacing w:before="219" w:line="182" w:lineRule="auto"/>
              <w:rPr>
                <w:sz w:val="16"/>
                <w:szCs w:val="16"/>
              </w:rPr>
            </w:pPr>
            <w:r>
              <w:rPr>
                <w:sz w:val="16"/>
                <w:szCs w:val="16"/>
                <w:spacing w:val="-3"/>
              </w:rPr>
              <w:t>7.5</w:t>
            </w:r>
          </w:p>
        </w:tc>
        <w:tc>
          <w:tcPr>
            <w:tcW w:w="1228" w:type="dxa"/>
            <w:vAlign w:val="top"/>
          </w:tcPr>
          <w:p>
            <w:pPr>
              <w:pStyle w:val="TableText"/>
              <w:ind w:left="458"/>
              <w:spacing w:before="217" w:line="184" w:lineRule="auto"/>
              <w:rPr>
                <w:sz w:val="16"/>
                <w:szCs w:val="16"/>
              </w:rPr>
            </w:pPr>
            <w:r>
              <w:rPr>
                <w:sz w:val="16"/>
                <w:szCs w:val="16"/>
                <w:spacing w:val="-4"/>
              </w:rPr>
              <w:t>10.4</w:t>
            </w:r>
          </w:p>
        </w:tc>
      </w:tr>
      <w:tr>
        <w:trPr>
          <w:trHeight w:val="288" w:hRule="atLeast"/>
        </w:trPr>
        <w:tc>
          <w:tcPr>
            <w:tcW w:w="1278" w:type="dxa"/>
            <w:vAlign w:val="top"/>
          </w:tcPr>
          <w:p>
            <w:pPr>
              <w:pStyle w:val="TableText"/>
              <w:ind w:left="120"/>
              <w:spacing w:before="64" w:line="221" w:lineRule="auto"/>
              <w:rPr>
                <w:sz w:val="16"/>
                <w:szCs w:val="16"/>
              </w:rPr>
            </w:pPr>
            <w:r>
              <w:rPr>
                <w:sz w:val="16"/>
                <w:szCs w:val="16"/>
                <w:spacing w:val="-2"/>
              </w:rPr>
              <w:t>农业</w:t>
            </w:r>
          </w:p>
        </w:tc>
        <w:tc>
          <w:tcPr>
            <w:tcW w:w="805" w:type="dxa"/>
            <w:vAlign w:val="top"/>
          </w:tcPr>
          <w:p>
            <w:pPr>
              <w:pStyle w:val="TableText"/>
              <w:ind w:left="232"/>
              <w:spacing w:before="103" w:line="183" w:lineRule="auto"/>
              <w:rPr>
                <w:sz w:val="16"/>
                <w:szCs w:val="16"/>
              </w:rPr>
            </w:pPr>
            <w:r>
              <w:rPr>
                <w:sz w:val="16"/>
                <w:szCs w:val="16"/>
                <w:spacing w:val="-2"/>
              </w:rPr>
              <w:t>3563</w:t>
            </w:r>
          </w:p>
        </w:tc>
        <w:tc>
          <w:tcPr>
            <w:tcW w:w="894" w:type="dxa"/>
            <w:vAlign w:val="top"/>
          </w:tcPr>
          <w:p>
            <w:pPr>
              <w:pStyle w:val="TableText"/>
              <w:ind w:left="277"/>
              <w:spacing w:before="102" w:line="184" w:lineRule="auto"/>
              <w:rPr>
                <w:sz w:val="16"/>
                <w:szCs w:val="16"/>
              </w:rPr>
            </w:pPr>
            <w:r>
              <w:rPr>
                <w:sz w:val="16"/>
                <w:szCs w:val="16"/>
                <w:spacing w:val="-2"/>
              </w:rPr>
              <w:t>8219</w:t>
            </w:r>
          </w:p>
        </w:tc>
        <w:tc>
          <w:tcPr>
            <w:tcW w:w="851" w:type="dxa"/>
            <w:vAlign w:val="top"/>
          </w:tcPr>
          <w:p>
            <w:pPr>
              <w:pStyle w:val="TableText"/>
              <w:ind w:left="273"/>
              <w:spacing w:before="102" w:line="184" w:lineRule="auto"/>
              <w:rPr>
                <w:sz w:val="16"/>
                <w:szCs w:val="16"/>
              </w:rPr>
            </w:pPr>
            <w:r>
              <w:rPr>
                <w:sz w:val="16"/>
                <w:szCs w:val="16"/>
                <w:spacing w:val="-3"/>
              </w:rPr>
              <w:t>18220</w:t>
            </w:r>
          </w:p>
        </w:tc>
        <w:tc>
          <w:tcPr>
            <w:tcW w:w="1034" w:type="dxa"/>
            <w:vAlign w:val="top"/>
          </w:tcPr>
          <w:p>
            <w:pPr>
              <w:pStyle w:val="TableText"/>
              <w:ind w:left="302"/>
              <w:spacing w:before="103" w:line="183" w:lineRule="auto"/>
              <w:rPr>
                <w:sz w:val="16"/>
                <w:szCs w:val="16"/>
              </w:rPr>
            </w:pPr>
            <w:r>
              <w:rPr>
                <w:sz w:val="16"/>
                <w:szCs w:val="16"/>
                <w:spacing w:val="-2"/>
              </w:rPr>
              <w:t>29364</w:t>
            </w:r>
          </w:p>
        </w:tc>
        <w:tc>
          <w:tcPr>
            <w:tcW w:w="1070" w:type="dxa"/>
            <w:vAlign w:val="top"/>
          </w:tcPr>
          <w:p>
            <w:pPr>
              <w:pStyle w:val="TableText"/>
              <w:ind w:left="318"/>
              <w:spacing w:before="102" w:line="184" w:lineRule="auto"/>
              <w:rPr>
                <w:sz w:val="16"/>
                <w:szCs w:val="16"/>
              </w:rPr>
            </w:pPr>
            <w:r>
              <w:rPr>
                <w:sz w:val="16"/>
                <w:szCs w:val="16"/>
                <w:spacing w:val="-4"/>
              </w:rPr>
              <w:t>14.9</w:t>
            </w:r>
          </w:p>
        </w:tc>
        <w:tc>
          <w:tcPr>
            <w:tcW w:w="1215" w:type="dxa"/>
            <w:vAlign w:val="top"/>
          </w:tcPr>
          <w:p>
            <w:pPr>
              <w:pStyle w:val="TableText"/>
              <w:ind w:left="458"/>
              <w:spacing w:before="102" w:line="184" w:lineRule="auto"/>
              <w:rPr>
                <w:sz w:val="16"/>
                <w:szCs w:val="16"/>
              </w:rPr>
            </w:pPr>
            <w:r>
              <w:rPr>
                <w:sz w:val="16"/>
                <w:szCs w:val="16"/>
                <w:spacing w:val="-4"/>
              </w:rPr>
              <w:t>17.3</w:t>
            </w:r>
          </w:p>
        </w:tc>
        <w:tc>
          <w:tcPr>
            <w:tcW w:w="1205" w:type="dxa"/>
            <w:vAlign w:val="top"/>
          </w:tcPr>
          <w:p>
            <w:pPr>
              <w:pStyle w:val="TableText"/>
              <w:ind w:left="493"/>
              <w:spacing w:before="103" w:line="183" w:lineRule="auto"/>
              <w:rPr>
                <w:sz w:val="16"/>
                <w:szCs w:val="16"/>
              </w:rPr>
            </w:pPr>
            <w:r>
              <w:rPr>
                <w:sz w:val="16"/>
                <w:szCs w:val="16"/>
                <w:spacing w:val="-2"/>
              </w:rPr>
              <w:t>8.3</w:t>
            </w:r>
          </w:p>
        </w:tc>
        <w:tc>
          <w:tcPr>
            <w:tcW w:w="1228" w:type="dxa"/>
            <w:vAlign w:val="top"/>
          </w:tcPr>
          <w:p>
            <w:pPr>
              <w:pStyle w:val="TableText"/>
              <w:ind w:left="458"/>
              <w:spacing w:before="102" w:line="184" w:lineRule="auto"/>
              <w:rPr>
                <w:sz w:val="16"/>
                <w:szCs w:val="16"/>
              </w:rPr>
            </w:pPr>
            <w:r>
              <w:rPr>
                <w:sz w:val="16"/>
                <w:szCs w:val="16"/>
                <w:spacing w:val="-4"/>
              </w:rPr>
              <w:t>13.2</w:t>
            </w:r>
          </w:p>
        </w:tc>
      </w:tr>
      <w:tr>
        <w:trPr>
          <w:trHeight w:val="310" w:hRule="atLeast"/>
        </w:trPr>
        <w:tc>
          <w:tcPr>
            <w:tcW w:w="1278" w:type="dxa"/>
            <w:vAlign w:val="top"/>
          </w:tcPr>
          <w:p>
            <w:pPr>
              <w:pStyle w:val="TableText"/>
              <w:ind w:left="120"/>
              <w:spacing w:before="83" w:line="219" w:lineRule="auto"/>
              <w:rPr>
                <w:sz w:val="16"/>
                <w:szCs w:val="16"/>
              </w:rPr>
            </w:pPr>
            <w:r>
              <w:rPr>
                <w:sz w:val="16"/>
                <w:szCs w:val="16"/>
                <w:spacing w:val="-2"/>
              </w:rPr>
              <w:t>采掘业</w:t>
            </w:r>
          </w:p>
        </w:tc>
        <w:tc>
          <w:tcPr>
            <w:tcW w:w="805" w:type="dxa"/>
            <w:vAlign w:val="top"/>
          </w:tcPr>
          <w:p>
            <w:pPr>
              <w:pStyle w:val="TableText"/>
              <w:ind w:left="192"/>
              <w:spacing w:before="144" w:line="179" w:lineRule="auto"/>
              <w:rPr>
                <w:sz w:val="16"/>
                <w:szCs w:val="16"/>
              </w:rPr>
            </w:pPr>
            <w:r>
              <w:rPr>
                <w:sz w:val="16"/>
                <w:szCs w:val="16"/>
                <w:spacing w:val="-3"/>
              </w:rPr>
              <w:t>19780</w:t>
            </w:r>
          </w:p>
        </w:tc>
        <w:tc>
          <w:tcPr>
            <w:tcW w:w="894" w:type="dxa"/>
            <w:vAlign w:val="top"/>
          </w:tcPr>
          <w:p>
            <w:pPr>
              <w:pStyle w:val="TableText"/>
              <w:ind w:left="237"/>
              <w:spacing w:before="144" w:line="179" w:lineRule="auto"/>
              <w:rPr>
                <w:sz w:val="16"/>
                <w:szCs w:val="16"/>
              </w:rPr>
            </w:pPr>
            <w:r>
              <w:rPr>
                <w:sz w:val="16"/>
                <w:szCs w:val="16"/>
                <w:spacing w:val="-2"/>
              </w:rPr>
              <w:t>39516</w:t>
            </w:r>
          </w:p>
        </w:tc>
        <w:tc>
          <w:tcPr>
            <w:tcW w:w="851" w:type="dxa"/>
            <w:vAlign w:val="top"/>
          </w:tcPr>
          <w:p>
            <w:pPr>
              <w:pStyle w:val="TableText"/>
              <w:ind w:left="273"/>
              <w:spacing w:before="144" w:line="179" w:lineRule="auto"/>
              <w:rPr>
                <w:sz w:val="16"/>
                <w:szCs w:val="16"/>
              </w:rPr>
            </w:pPr>
            <w:r>
              <w:rPr>
                <w:sz w:val="16"/>
                <w:szCs w:val="16"/>
                <w:spacing w:val="-2"/>
              </w:rPr>
              <w:t>84161</w:t>
            </w:r>
          </w:p>
        </w:tc>
        <w:tc>
          <w:tcPr>
            <w:tcW w:w="1034" w:type="dxa"/>
            <w:vAlign w:val="top"/>
          </w:tcPr>
          <w:p>
            <w:pPr>
              <w:pStyle w:val="TableText"/>
              <w:ind w:left="202"/>
              <w:spacing w:before="144" w:line="179" w:lineRule="auto"/>
              <w:rPr>
                <w:sz w:val="16"/>
                <w:szCs w:val="16"/>
              </w:rPr>
            </w:pPr>
            <w:r>
              <w:rPr>
                <w:sz w:val="16"/>
                <w:szCs w:val="16"/>
                <w:spacing w:val="-3"/>
              </w:rPr>
              <w:t>113381</w:t>
            </w:r>
          </w:p>
        </w:tc>
        <w:tc>
          <w:tcPr>
            <w:tcW w:w="1070" w:type="dxa"/>
            <w:vAlign w:val="top"/>
          </w:tcPr>
          <w:p>
            <w:pPr>
              <w:pStyle w:val="TableText"/>
              <w:ind w:left="318"/>
              <w:spacing w:before="144" w:line="179" w:lineRule="auto"/>
              <w:rPr>
                <w:sz w:val="16"/>
                <w:szCs w:val="16"/>
              </w:rPr>
            </w:pPr>
            <w:r>
              <w:rPr>
                <w:sz w:val="16"/>
                <w:szCs w:val="16"/>
                <w:spacing w:val="-4"/>
              </w:rPr>
              <w:t>12.2</w:t>
            </w:r>
          </w:p>
        </w:tc>
        <w:tc>
          <w:tcPr>
            <w:tcW w:w="1215" w:type="dxa"/>
            <w:vAlign w:val="top"/>
          </w:tcPr>
          <w:p>
            <w:pPr>
              <w:pStyle w:val="TableText"/>
              <w:ind w:left="458"/>
              <w:spacing w:before="144" w:line="179" w:lineRule="auto"/>
              <w:rPr>
                <w:sz w:val="16"/>
                <w:szCs w:val="16"/>
              </w:rPr>
            </w:pPr>
            <w:r>
              <w:rPr>
                <w:sz w:val="16"/>
                <w:szCs w:val="16"/>
                <w:spacing w:val="-4"/>
              </w:rPr>
              <w:t>16.3</w:t>
            </w:r>
          </w:p>
        </w:tc>
        <w:tc>
          <w:tcPr>
            <w:tcW w:w="1205" w:type="dxa"/>
            <w:vAlign w:val="top"/>
          </w:tcPr>
          <w:p>
            <w:pPr>
              <w:pStyle w:val="TableText"/>
              <w:ind w:left="493"/>
              <w:spacing w:before="144" w:line="179" w:lineRule="auto"/>
              <w:rPr>
                <w:sz w:val="16"/>
                <w:szCs w:val="16"/>
              </w:rPr>
            </w:pPr>
            <w:r>
              <w:rPr>
                <w:sz w:val="16"/>
                <w:szCs w:val="16"/>
                <w:spacing w:val="-3"/>
              </w:rPr>
              <w:t>5.1</w:t>
            </w:r>
          </w:p>
        </w:tc>
        <w:tc>
          <w:tcPr>
            <w:tcW w:w="1228" w:type="dxa"/>
            <w:vAlign w:val="top"/>
          </w:tcPr>
          <w:p>
            <w:pPr>
              <w:pStyle w:val="TableText"/>
              <w:ind w:left="458"/>
              <w:spacing w:before="144" w:line="179" w:lineRule="auto"/>
              <w:rPr>
                <w:sz w:val="16"/>
                <w:szCs w:val="16"/>
              </w:rPr>
            </w:pPr>
            <w:r>
              <w:rPr>
                <w:sz w:val="16"/>
                <w:szCs w:val="16"/>
                <w:spacing w:val="-4"/>
              </w:rPr>
              <w:t>10.8</w:t>
            </w:r>
          </w:p>
        </w:tc>
      </w:tr>
      <w:tr>
        <w:trPr>
          <w:trHeight w:val="298" w:hRule="atLeast"/>
        </w:trPr>
        <w:tc>
          <w:tcPr>
            <w:tcW w:w="1278" w:type="dxa"/>
            <w:vAlign w:val="top"/>
          </w:tcPr>
          <w:p>
            <w:pPr>
              <w:pStyle w:val="TableText"/>
              <w:ind w:left="120"/>
              <w:spacing w:before="65" w:line="220" w:lineRule="auto"/>
              <w:rPr>
                <w:sz w:val="16"/>
                <w:szCs w:val="16"/>
              </w:rPr>
            </w:pPr>
            <w:r>
              <w:rPr>
                <w:sz w:val="16"/>
                <w:szCs w:val="16"/>
                <w:spacing w:val="-2"/>
              </w:rPr>
              <w:t>建筑业</w:t>
            </w:r>
          </w:p>
        </w:tc>
        <w:tc>
          <w:tcPr>
            <w:tcW w:w="805" w:type="dxa"/>
            <w:vAlign w:val="top"/>
          </w:tcPr>
          <w:p>
            <w:pPr>
              <w:pStyle w:val="TableText"/>
              <w:ind w:left="232"/>
              <w:spacing w:before="125" w:line="183" w:lineRule="auto"/>
              <w:rPr>
                <w:sz w:val="16"/>
                <w:szCs w:val="16"/>
              </w:rPr>
            </w:pPr>
            <w:r>
              <w:rPr>
                <w:sz w:val="16"/>
                <w:szCs w:val="16"/>
                <w:spacing w:val="-2"/>
              </w:rPr>
              <w:t>7745</w:t>
            </w:r>
          </w:p>
        </w:tc>
        <w:tc>
          <w:tcPr>
            <w:tcW w:w="894" w:type="dxa"/>
            <w:vAlign w:val="top"/>
          </w:tcPr>
          <w:p>
            <w:pPr>
              <w:pStyle w:val="TableText"/>
              <w:ind w:left="237"/>
              <w:spacing w:before="124" w:line="184" w:lineRule="auto"/>
              <w:rPr>
                <w:sz w:val="16"/>
                <w:szCs w:val="16"/>
              </w:rPr>
            </w:pPr>
            <w:r>
              <w:rPr>
                <w:sz w:val="16"/>
                <w:szCs w:val="16"/>
                <w:spacing w:val="-3"/>
              </w:rPr>
              <w:t>15955</w:t>
            </w:r>
          </w:p>
        </w:tc>
        <w:tc>
          <w:tcPr>
            <w:tcW w:w="851" w:type="dxa"/>
            <w:vAlign w:val="top"/>
          </w:tcPr>
          <w:p>
            <w:pPr>
              <w:pStyle w:val="TableText"/>
              <w:ind w:left="273"/>
              <w:spacing w:before="95" w:line="183" w:lineRule="auto"/>
              <w:rPr>
                <w:sz w:val="16"/>
                <w:szCs w:val="16"/>
              </w:rPr>
            </w:pPr>
            <w:r>
              <w:rPr>
                <w:sz w:val="16"/>
                <w:szCs w:val="16"/>
                <w:spacing w:val="-2"/>
              </w:rPr>
              <w:t>33980</w:t>
            </w:r>
          </w:p>
        </w:tc>
        <w:tc>
          <w:tcPr>
            <w:tcW w:w="1034" w:type="dxa"/>
            <w:vAlign w:val="top"/>
          </w:tcPr>
          <w:p>
            <w:pPr>
              <w:pStyle w:val="TableText"/>
              <w:ind w:left="302"/>
              <w:spacing w:before="114" w:line="184" w:lineRule="auto"/>
              <w:rPr>
                <w:sz w:val="16"/>
                <w:szCs w:val="16"/>
              </w:rPr>
            </w:pPr>
            <w:r>
              <w:rPr>
                <w:sz w:val="16"/>
                <w:szCs w:val="16"/>
                <w:spacing w:val="-2"/>
              </w:rPr>
              <w:t>51386</w:t>
            </w:r>
          </w:p>
        </w:tc>
        <w:tc>
          <w:tcPr>
            <w:tcW w:w="1070" w:type="dxa"/>
            <w:vAlign w:val="top"/>
          </w:tcPr>
          <w:p>
            <w:pPr>
              <w:pStyle w:val="TableText"/>
              <w:ind w:left="318"/>
              <w:spacing w:before="124" w:line="184" w:lineRule="auto"/>
              <w:rPr>
                <w:sz w:val="16"/>
                <w:szCs w:val="16"/>
              </w:rPr>
            </w:pPr>
            <w:r>
              <w:rPr>
                <w:sz w:val="16"/>
                <w:szCs w:val="16"/>
                <w:spacing w:val="-4"/>
              </w:rPr>
              <w:t>12.8</w:t>
            </w:r>
          </w:p>
        </w:tc>
        <w:tc>
          <w:tcPr>
            <w:tcW w:w="1215" w:type="dxa"/>
            <w:vAlign w:val="top"/>
          </w:tcPr>
          <w:p>
            <w:pPr>
              <w:pStyle w:val="TableText"/>
              <w:ind w:left="458"/>
              <w:spacing w:before="124" w:line="184" w:lineRule="auto"/>
              <w:rPr>
                <w:sz w:val="16"/>
                <w:szCs w:val="16"/>
              </w:rPr>
            </w:pPr>
            <w:r>
              <w:rPr>
                <w:sz w:val="16"/>
                <w:szCs w:val="16"/>
                <w:spacing w:val="-4"/>
              </w:rPr>
              <w:t>16.3</w:t>
            </w:r>
          </w:p>
        </w:tc>
        <w:tc>
          <w:tcPr>
            <w:tcW w:w="1205" w:type="dxa"/>
            <w:vAlign w:val="top"/>
          </w:tcPr>
          <w:p>
            <w:pPr>
              <w:pStyle w:val="TableText"/>
              <w:ind w:left="493"/>
              <w:spacing w:before="124" w:line="184" w:lineRule="auto"/>
              <w:rPr>
                <w:sz w:val="16"/>
                <w:szCs w:val="16"/>
              </w:rPr>
            </w:pPr>
            <w:r>
              <w:rPr>
                <w:sz w:val="16"/>
                <w:szCs w:val="16"/>
                <w:spacing w:val="-3"/>
              </w:rPr>
              <w:t>7.1</w:t>
            </w:r>
          </w:p>
        </w:tc>
        <w:tc>
          <w:tcPr>
            <w:tcW w:w="1228" w:type="dxa"/>
            <w:vAlign w:val="top"/>
          </w:tcPr>
          <w:p>
            <w:pPr>
              <w:pStyle w:val="TableText"/>
              <w:ind w:left="458"/>
              <w:spacing w:before="124" w:line="184" w:lineRule="auto"/>
              <w:rPr>
                <w:sz w:val="16"/>
                <w:szCs w:val="16"/>
              </w:rPr>
            </w:pPr>
            <w:r>
              <w:rPr>
                <w:sz w:val="16"/>
                <w:szCs w:val="16"/>
                <w:spacing w:val="-4"/>
              </w:rPr>
              <w:t>11.8</w:t>
            </w:r>
          </w:p>
        </w:tc>
      </w:tr>
      <w:tr>
        <w:trPr>
          <w:trHeight w:val="304" w:hRule="atLeast"/>
        </w:trPr>
        <w:tc>
          <w:tcPr>
            <w:tcW w:w="1278" w:type="dxa"/>
            <w:vAlign w:val="top"/>
            <w:tcBorders>
              <w:bottom w:val="single" w:color="000000" w:sz="4" w:space="0"/>
            </w:tcBorders>
          </w:tcPr>
          <w:p>
            <w:pPr>
              <w:pStyle w:val="TableText"/>
              <w:ind w:left="140"/>
              <w:spacing w:before="76" w:line="219" w:lineRule="auto"/>
              <w:rPr>
                <w:sz w:val="16"/>
                <w:szCs w:val="16"/>
              </w:rPr>
            </w:pPr>
            <w:r>
              <w:rPr>
                <w:sz w:val="16"/>
                <w:szCs w:val="16"/>
                <w:spacing w:val="-2"/>
              </w:rPr>
              <w:t>非市场服务业</w:t>
            </w:r>
          </w:p>
        </w:tc>
        <w:tc>
          <w:tcPr>
            <w:tcW w:w="805" w:type="dxa"/>
            <w:vAlign w:val="top"/>
            <w:tcBorders>
              <w:bottom w:val="single" w:color="000000" w:sz="4" w:space="0"/>
            </w:tcBorders>
          </w:tcPr>
          <w:p>
            <w:pPr>
              <w:pStyle w:val="TableText"/>
              <w:ind w:left="192"/>
              <w:spacing w:before="126" w:line="184" w:lineRule="auto"/>
              <w:rPr>
                <w:sz w:val="16"/>
                <w:szCs w:val="16"/>
              </w:rPr>
            </w:pPr>
            <w:r>
              <w:rPr>
                <w:sz w:val="16"/>
                <w:szCs w:val="16"/>
                <w:spacing w:val="-3"/>
              </w:rPr>
              <w:t>10854</w:t>
            </w:r>
          </w:p>
        </w:tc>
        <w:tc>
          <w:tcPr>
            <w:tcW w:w="894" w:type="dxa"/>
            <w:vAlign w:val="top"/>
            <w:tcBorders>
              <w:bottom w:val="single" w:color="000000" w:sz="4" w:space="0"/>
            </w:tcBorders>
          </w:tcPr>
          <w:p>
            <w:pPr>
              <w:pStyle w:val="TableText"/>
              <w:ind w:left="237"/>
              <w:spacing w:before="126" w:line="184" w:lineRule="auto"/>
              <w:rPr>
                <w:sz w:val="16"/>
                <w:szCs w:val="16"/>
              </w:rPr>
            </w:pPr>
            <w:r>
              <w:rPr>
                <w:sz w:val="16"/>
                <w:szCs w:val="16"/>
                <w:spacing w:val="-2"/>
              </w:rPr>
              <w:t>21233</w:t>
            </w:r>
          </w:p>
        </w:tc>
        <w:tc>
          <w:tcPr>
            <w:tcW w:w="851" w:type="dxa"/>
            <w:vAlign w:val="top"/>
            <w:tcBorders>
              <w:bottom w:val="single" w:color="000000" w:sz="4" w:space="0"/>
            </w:tcBorders>
          </w:tcPr>
          <w:p>
            <w:pPr>
              <w:pStyle w:val="TableText"/>
              <w:ind w:left="273"/>
              <w:spacing w:before="117" w:line="183" w:lineRule="auto"/>
              <w:rPr>
                <w:sz w:val="16"/>
                <w:szCs w:val="16"/>
              </w:rPr>
            </w:pPr>
            <w:r>
              <w:rPr>
                <w:sz w:val="16"/>
                <w:szCs w:val="16"/>
                <w:spacing w:val="-1"/>
              </w:rPr>
              <w:t>40584</w:t>
            </w:r>
          </w:p>
        </w:tc>
        <w:tc>
          <w:tcPr>
            <w:tcW w:w="1034" w:type="dxa"/>
            <w:vAlign w:val="top"/>
            <w:tcBorders>
              <w:bottom w:val="single" w:color="000000" w:sz="4" w:space="0"/>
            </w:tcBorders>
          </w:tcPr>
          <w:p>
            <w:pPr>
              <w:pStyle w:val="TableText"/>
              <w:ind w:left="302"/>
              <w:spacing w:before="116" w:line="184" w:lineRule="auto"/>
              <w:rPr>
                <w:sz w:val="16"/>
                <w:szCs w:val="16"/>
              </w:rPr>
            </w:pPr>
            <w:r>
              <w:rPr>
                <w:sz w:val="16"/>
                <w:szCs w:val="16"/>
                <w:spacing w:val="-2"/>
              </w:rPr>
              <w:t>60801</w:t>
            </w:r>
          </w:p>
        </w:tc>
        <w:tc>
          <w:tcPr>
            <w:tcW w:w="1070" w:type="dxa"/>
            <w:vAlign w:val="top"/>
            <w:tcBorders>
              <w:bottom w:val="single" w:color="000000" w:sz="4" w:space="0"/>
            </w:tcBorders>
          </w:tcPr>
          <w:p>
            <w:pPr>
              <w:pStyle w:val="TableText"/>
              <w:ind w:left="318"/>
              <w:spacing w:before="117" w:line="184" w:lineRule="auto"/>
              <w:rPr>
                <w:sz w:val="16"/>
                <w:szCs w:val="16"/>
              </w:rPr>
            </w:pPr>
            <w:r>
              <w:rPr>
                <w:sz w:val="16"/>
                <w:szCs w:val="16"/>
                <w:spacing w:val="-4"/>
              </w:rPr>
              <w:t>11.8</w:t>
            </w:r>
          </w:p>
        </w:tc>
        <w:tc>
          <w:tcPr>
            <w:tcW w:w="1215" w:type="dxa"/>
            <w:vAlign w:val="top"/>
            <w:tcBorders>
              <w:bottom w:val="single" w:color="000000" w:sz="4" w:space="0"/>
            </w:tcBorders>
          </w:tcPr>
          <w:p>
            <w:pPr>
              <w:pStyle w:val="TableText"/>
              <w:ind w:left="458"/>
              <w:spacing w:before="117" w:line="184" w:lineRule="auto"/>
              <w:rPr>
                <w:sz w:val="16"/>
                <w:szCs w:val="16"/>
              </w:rPr>
            </w:pPr>
            <w:r>
              <w:rPr>
                <w:sz w:val="16"/>
                <w:szCs w:val="16"/>
                <w:spacing w:val="-4"/>
              </w:rPr>
              <w:t>13.8</w:t>
            </w:r>
          </w:p>
        </w:tc>
        <w:tc>
          <w:tcPr>
            <w:tcW w:w="1205" w:type="dxa"/>
            <w:vAlign w:val="top"/>
            <w:tcBorders>
              <w:bottom w:val="single" w:color="000000" w:sz="4" w:space="0"/>
            </w:tcBorders>
          </w:tcPr>
          <w:p>
            <w:pPr>
              <w:pStyle w:val="TableText"/>
              <w:ind w:left="493"/>
              <w:spacing w:before="127" w:line="183" w:lineRule="auto"/>
              <w:rPr>
                <w:sz w:val="16"/>
                <w:szCs w:val="16"/>
              </w:rPr>
            </w:pPr>
            <w:r>
              <w:rPr>
                <w:sz w:val="16"/>
                <w:szCs w:val="16"/>
                <w:spacing w:val="-3"/>
              </w:rPr>
              <w:t>7.0</w:t>
            </w:r>
          </w:p>
        </w:tc>
        <w:tc>
          <w:tcPr>
            <w:tcW w:w="1228" w:type="dxa"/>
            <w:vAlign w:val="top"/>
            <w:tcBorders>
              <w:bottom w:val="single" w:color="000000" w:sz="4" w:space="0"/>
            </w:tcBorders>
          </w:tcPr>
          <w:p>
            <w:pPr>
              <w:pStyle w:val="TableText"/>
              <w:ind w:left="458"/>
              <w:spacing w:before="117" w:line="184" w:lineRule="auto"/>
              <w:rPr>
                <w:sz w:val="16"/>
                <w:szCs w:val="16"/>
              </w:rPr>
            </w:pPr>
            <w:r>
              <w:rPr>
                <w:sz w:val="16"/>
                <w:szCs w:val="16"/>
                <w:spacing w:val="-4"/>
              </w:rPr>
              <w:t>10.7</w:t>
            </w:r>
          </w:p>
        </w:tc>
      </w:tr>
    </w:tbl>
    <w:p>
      <w:pPr>
        <w:ind w:left="389"/>
        <w:spacing w:before="85" w:line="220" w:lineRule="auto"/>
        <w:rPr>
          <w:rFonts w:ascii="KaiTi" w:hAnsi="KaiTi" w:eastAsia="KaiTi" w:cs="KaiTi"/>
          <w:sz w:val="17"/>
          <w:szCs w:val="17"/>
        </w:rPr>
      </w:pPr>
      <w:r>
        <w:rPr>
          <w:rFonts w:ascii="KaiTi" w:hAnsi="KaiTi" w:eastAsia="KaiTi" w:cs="KaiTi"/>
          <w:sz w:val="17"/>
          <w:szCs w:val="17"/>
          <w:spacing w:val="-11"/>
        </w:rPr>
        <w:t>资料来源：作者计算，数据出处及构建方法见本章第三节。</w:t>
      </w:r>
    </w:p>
    <w:p>
      <w:pPr>
        <w:spacing w:line="220" w:lineRule="auto"/>
        <w:sectPr>
          <w:headerReference w:type="default" r:id="rId124"/>
          <w:footerReference w:type="default" r:id="rId125"/>
          <w:pgSz w:w="12480" w:h="7330"/>
          <w:pgMar w:top="535" w:right="685" w:bottom="1360" w:left="969" w:header="223" w:footer="1142" w:gutter="0"/>
        </w:sectPr>
        <w:rPr>
          <w:rFonts w:ascii="KaiTi" w:hAnsi="KaiTi" w:eastAsia="KaiTi" w:cs="KaiTi"/>
          <w:sz w:val="17"/>
          <w:szCs w:val="17"/>
        </w:rPr>
      </w:pPr>
    </w:p>
    <w:p>
      <w:pPr>
        <w:pStyle w:val="BodyText"/>
        <w:spacing w:line="389" w:lineRule="auto"/>
        <w:rPr/>
      </w:pPr>
      <w:r>
        <mc:AlternateContent xmlns:mc="http://schemas.openxmlformats.org/markup-compatibility/2006">
          <mc:Choice Requires="wps">
            <w:drawing>
              <wp:anchor distT="0" distB="0" distL="0" distR="0" simplePos="0" relativeHeight="252726272" behindDoc="0" locked="0" layoutInCell="0" allowOverlap="1">
                <wp:simplePos x="0" y="0"/>
                <wp:positionH relativeFrom="page">
                  <wp:posOffset>6298838</wp:posOffset>
                </wp:positionH>
                <wp:positionV relativeFrom="page">
                  <wp:posOffset>1737466</wp:posOffset>
                </wp:positionV>
                <wp:extent cx="2628900" cy="156845"/>
                <wp:effectExtent l="0" t="0" r="0" b="0"/>
                <wp:wrapNone/>
                <wp:docPr id="114" name="TextBox 114"/>
                <wp:cNvGraphicFramePr/>
                <a:graphic>
                  <a:graphicData uri="http://schemas.microsoft.com/office/word/2010/wordprocessingShape">
                    <wps:wsp>
                      <wps:cNvSpPr txBox="1"/>
                      <wps:spPr>
                        <a:xfrm rot="5400000">
                          <a:off x="6298838" y="1737466"/>
                          <a:ext cx="262890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Sun" w:hAnsi="SimSun" w:eastAsia="SimSun" w:cs="SimSun"/>
                                <w:sz w:val="15"/>
                                <w:szCs w:val="15"/>
                                <w:spacing w:val="1"/>
                              </w:rPr>
                              <w:t>094                       </w:t>
                            </w:r>
                            <w:r>
                              <w:rPr>
                                <w:rFonts w:ascii="SimHei" w:hAnsi="SimHei" w:eastAsia="SimHei" w:cs="SimHei"/>
                                <w:sz w:val="15"/>
                                <w:szCs w:val="15"/>
                                <w:spacing w:val="1"/>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 style="position:absolute;margin-left:495.972pt;margin-top:136.808pt;mso-position-vertical-relative:page;mso-position-horizontal-relative:page;width:207pt;height:12.35pt;z-index:252726272;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Sun" w:hAnsi="SimSun" w:eastAsia="SimSun" w:cs="SimSun"/>
                          <w:sz w:val="15"/>
                          <w:szCs w:val="15"/>
                          <w:spacing w:val="1"/>
                        </w:rPr>
                        <w:t>094                       </w:t>
                      </w:r>
                      <w:r>
                        <w:rPr>
                          <w:rFonts w:ascii="SimHei" w:hAnsi="SimHei" w:eastAsia="SimHei" w:cs="SimHei"/>
                          <w:sz w:val="15"/>
                          <w:szCs w:val="15"/>
                          <w:spacing w:val="1"/>
                        </w:rPr>
                        <w:t>平台经济——创新、治理与繁荣</w:t>
                      </w:r>
                    </w:p>
                  </w:txbxContent>
                </v:textbox>
              </v:shape>
            </w:pict>
          </mc:Fallback>
        </mc:AlternateContent>
      </w:r>
      <w:r/>
    </w:p>
    <w:p>
      <w:pPr>
        <w:ind w:left="1952"/>
        <w:spacing w:before="62" w:line="222" w:lineRule="auto"/>
        <w:rPr>
          <w:rFonts w:ascii="SimHei" w:hAnsi="SimHei" w:eastAsia="SimHei" w:cs="SimHei"/>
          <w:sz w:val="19"/>
          <w:szCs w:val="19"/>
        </w:rPr>
      </w:pPr>
      <w:r>
        <w:rPr>
          <w:rFonts w:ascii="SimHei" w:hAnsi="SimHei" w:eastAsia="SimHei" w:cs="SimHei"/>
          <w:sz w:val="19"/>
          <w:szCs w:val="19"/>
          <w:b/>
          <w:bCs/>
          <w:spacing w:val="-9"/>
        </w:rPr>
        <w:t>表2-11</w:t>
      </w:r>
      <w:r>
        <w:rPr>
          <w:rFonts w:ascii="SimHei" w:hAnsi="SimHei" w:eastAsia="SimHei" w:cs="SimHei"/>
          <w:sz w:val="19"/>
          <w:szCs w:val="19"/>
          <w:spacing w:val="72"/>
        </w:rPr>
        <w:t xml:space="preserve"> </w:t>
      </w:r>
      <w:r>
        <w:rPr>
          <w:rFonts w:ascii="SimHei" w:hAnsi="SimHei" w:eastAsia="SimHei" w:cs="SimHei"/>
          <w:sz w:val="19"/>
          <w:szCs w:val="19"/>
          <w:b/>
          <w:bCs/>
          <w:spacing w:val="-9"/>
        </w:rPr>
        <w:t>各行业单位实际产出名义劳动成本水平及</w:t>
      </w:r>
      <w:r>
        <w:rPr>
          <w:rFonts w:ascii="SimHei" w:hAnsi="SimHei" w:eastAsia="SimHei" w:cs="SimHei"/>
          <w:sz w:val="19"/>
          <w:szCs w:val="19"/>
          <w:b/>
          <w:bCs/>
          <w:spacing w:val="-10"/>
        </w:rPr>
        <w:t>其变化：数字经济视角</w:t>
      </w:r>
    </w:p>
    <w:p>
      <w:pPr>
        <w:spacing w:line="122" w:lineRule="exact"/>
        <w:rPr/>
      </w:pPr>
      <w:r/>
    </w:p>
    <w:tbl>
      <w:tblPr>
        <w:tblStyle w:val="TableNormal"/>
        <w:tblW w:w="958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43"/>
        <w:gridCol w:w="801"/>
        <w:gridCol w:w="919"/>
        <w:gridCol w:w="941"/>
        <w:gridCol w:w="774"/>
        <w:gridCol w:w="1230"/>
        <w:gridCol w:w="1204"/>
        <w:gridCol w:w="1259"/>
        <w:gridCol w:w="1209"/>
      </w:tblGrid>
      <w:tr>
        <w:trPr>
          <w:trHeight w:val="308" w:hRule="atLeast"/>
        </w:trPr>
        <w:tc>
          <w:tcPr>
            <w:tcW w:w="1243" w:type="dxa"/>
            <w:vAlign w:val="top"/>
            <w:vMerge w:val="restart"/>
            <w:tcBorders>
              <w:bottom w:val="nil"/>
              <w:top w:val="single" w:color="000000" w:sz="4" w:space="0"/>
            </w:tcBorders>
          </w:tcPr>
          <w:p>
            <w:pPr>
              <w:rPr>
                <w:rFonts w:ascii="Arial"/>
                <w:sz w:val="21"/>
              </w:rPr>
            </w:pPr>
            <w:r/>
          </w:p>
        </w:tc>
        <w:tc>
          <w:tcPr>
            <w:tcW w:w="801" w:type="dxa"/>
            <w:vAlign w:val="top"/>
            <w:vMerge w:val="restart"/>
            <w:tcBorders>
              <w:bottom w:val="nil"/>
              <w:top w:val="single" w:color="000000" w:sz="4" w:space="0"/>
            </w:tcBorders>
          </w:tcPr>
          <w:p>
            <w:pPr>
              <w:spacing w:line="327" w:lineRule="auto"/>
              <w:rPr>
                <w:rFonts w:ascii="Arial"/>
                <w:sz w:val="21"/>
              </w:rPr>
            </w:pPr>
            <w:r/>
          </w:p>
          <w:p>
            <w:pPr>
              <w:pStyle w:val="TableText"/>
              <w:ind w:left="186"/>
              <w:spacing w:before="52" w:line="219" w:lineRule="auto"/>
              <w:rPr>
                <w:sz w:val="16"/>
                <w:szCs w:val="16"/>
              </w:rPr>
            </w:pPr>
            <w:r>
              <w:rPr>
                <w:sz w:val="16"/>
                <w:szCs w:val="16"/>
                <w:spacing w:val="-2"/>
              </w:rPr>
              <w:t>2001年</w:t>
            </w:r>
          </w:p>
        </w:tc>
        <w:tc>
          <w:tcPr>
            <w:tcW w:w="1860" w:type="dxa"/>
            <w:vAlign w:val="top"/>
            <w:gridSpan w:val="2"/>
            <w:tcBorders>
              <w:top w:val="single" w:color="000000" w:sz="4" w:space="0"/>
            </w:tcBorders>
          </w:tcPr>
          <w:p>
            <w:pPr>
              <w:pStyle w:val="TableText"/>
              <w:ind w:left="148"/>
              <w:spacing w:before="78" w:line="219" w:lineRule="auto"/>
              <w:rPr>
                <w:sz w:val="16"/>
                <w:szCs w:val="16"/>
              </w:rPr>
            </w:pPr>
            <w:r>
              <w:rPr>
                <w:sz w:val="16"/>
                <w:szCs w:val="16"/>
                <w:b/>
                <w:bCs/>
                <w:spacing w:val="-3"/>
              </w:rPr>
              <w:t>单位产出名义劳动成本</w:t>
            </w:r>
          </w:p>
        </w:tc>
        <w:tc>
          <w:tcPr>
            <w:tcW w:w="774" w:type="dxa"/>
            <w:vAlign w:val="top"/>
            <w:vMerge w:val="restart"/>
            <w:tcBorders>
              <w:bottom w:val="nil"/>
              <w:top w:val="single" w:color="000000" w:sz="4" w:space="0"/>
            </w:tcBorders>
          </w:tcPr>
          <w:p>
            <w:pPr>
              <w:spacing w:line="327" w:lineRule="auto"/>
              <w:rPr>
                <w:rFonts w:ascii="Arial"/>
                <w:sz w:val="21"/>
              </w:rPr>
            </w:pPr>
            <w:r/>
          </w:p>
          <w:p>
            <w:pPr>
              <w:pStyle w:val="TableText"/>
              <w:ind w:left="126"/>
              <w:spacing w:before="52" w:line="219" w:lineRule="auto"/>
              <w:rPr>
                <w:sz w:val="16"/>
                <w:szCs w:val="16"/>
              </w:rPr>
            </w:pPr>
            <w:r>
              <w:rPr>
                <w:sz w:val="16"/>
                <w:szCs w:val="16"/>
                <w:spacing w:val="-2"/>
              </w:rPr>
              <w:t>2018年</w:t>
            </w:r>
          </w:p>
        </w:tc>
        <w:tc>
          <w:tcPr>
            <w:tcW w:w="1230" w:type="dxa"/>
            <w:vAlign w:val="top"/>
            <w:vMerge w:val="restart"/>
            <w:tcBorders>
              <w:bottom w:val="nil"/>
              <w:top w:val="single" w:color="000000" w:sz="4" w:space="0"/>
            </w:tcBorders>
          </w:tcPr>
          <w:p>
            <w:pPr>
              <w:spacing w:line="367" w:lineRule="auto"/>
              <w:rPr>
                <w:rFonts w:ascii="Arial"/>
                <w:sz w:val="21"/>
              </w:rPr>
            </w:pPr>
            <w:r/>
          </w:p>
          <w:p>
            <w:pPr>
              <w:pStyle w:val="TableText"/>
              <w:ind w:left="181"/>
              <w:spacing w:before="52" w:line="198" w:lineRule="auto"/>
              <w:rPr>
                <w:sz w:val="16"/>
                <w:szCs w:val="16"/>
              </w:rPr>
            </w:pPr>
            <w:r>
              <w:rPr>
                <w:sz w:val="16"/>
                <w:szCs w:val="16"/>
                <w:spacing w:val="-1"/>
              </w:rPr>
              <w:t>2001—2007年</w:t>
            </w:r>
          </w:p>
        </w:tc>
        <w:tc>
          <w:tcPr>
            <w:tcW w:w="2463" w:type="dxa"/>
            <w:vAlign w:val="top"/>
            <w:gridSpan w:val="2"/>
            <w:tcBorders>
              <w:top w:val="single" w:color="000000" w:sz="4" w:space="0"/>
            </w:tcBorders>
          </w:tcPr>
          <w:p>
            <w:pPr>
              <w:pStyle w:val="TableText"/>
              <w:ind w:left="581"/>
              <w:spacing w:before="81" w:line="219" w:lineRule="auto"/>
              <w:rPr>
                <w:sz w:val="16"/>
                <w:szCs w:val="16"/>
              </w:rPr>
            </w:pPr>
            <w:r>
              <w:rPr>
                <w:sz w:val="16"/>
                <w:szCs w:val="16"/>
                <w:spacing w:val="3"/>
              </w:rPr>
              <w:t>年平均增长率(%)</w:t>
            </w:r>
          </w:p>
        </w:tc>
        <w:tc>
          <w:tcPr>
            <w:tcW w:w="1209" w:type="dxa"/>
            <w:vAlign w:val="top"/>
            <w:vMerge w:val="restart"/>
            <w:tcBorders>
              <w:bottom w:val="nil"/>
              <w:top w:val="single" w:color="000000" w:sz="4" w:space="0"/>
            </w:tcBorders>
          </w:tcPr>
          <w:p>
            <w:pPr>
              <w:spacing w:line="327" w:lineRule="auto"/>
              <w:rPr>
                <w:rFonts w:ascii="Arial"/>
                <w:sz w:val="21"/>
              </w:rPr>
            </w:pPr>
            <w:r/>
          </w:p>
          <w:p>
            <w:pPr>
              <w:pStyle w:val="TableText"/>
              <w:ind w:left="157"/>
              <w:spacing w:before="52" w:line="219" w:lineRule="auto"/>
              <w:rPr>
                <w:sz w:val="16"/>
                <w:szCs w:val="16"/>
              </w:rPr>
            </w:pPr>
            <w:r>
              <w:rPr>
                <w:sz w:val="16"/>
                <w:szCs w:val="16"/>
                <w:spacing w:val="-1"/>
              </w:rPr>
              <w:t>2001—2018年</w:t>
            </w:r>
          </w:p>
        </w:tc>
      </w:tr>
      <w:tr>
        <w:trPr>
          <w:trHeight w:val="295" w:hRule="atLeast"/>
        </w:trPr>
        <w:tc>
          <w:tcPr>
            <w:tcW w:w="1243" w:type="dxa"/>
            <w:vAlign w:val="top"/>
            <w:vMerge w:val="continue"/>
            <w:tcBorders>
              <w:bottom w:val="single" w:color="000000" w:sz="4" w:space="0"/>
              <w:top w:val="nil"/>
            </w:tcBorders>
          </w:tcPr>
          <w:p>
            <w:pPr>
              <w:rPr>
                <w:rFonts w:ascii="Arial"/>
                <w:sz w:val="21"/>
              </w:rPr>
            </w:pPr>
            <w:r/>
          </w:p>
        </w:tc>
        <w:tc>
          <w:tcPr>
            <w:tcW w:w="801" w:type="dxa"/>
            <w:vAlign w:val="top"/>
            <w:vMerge w:val="continue"/>
            <w:tcBorders>
              <w:bottom w:val="single" w:color="000000" w:sz="4" w:space="0"/>
              <w:top w:val="nil"/>
            </w:tcBorders>
          </w:tcPr>
          <w:p>
            <w:pPr>
              <w:rPr>
                <w:rFonts w:ascii="Arial"/>
                <w:sz w:val="21"/>
              </w:rPr>
            </w:pPr>
            <w:r/>
          </w:p>
        </w:tc>
        <w:tc>
          <w:tcPr>
            <w:tcW w:w="919" w:type="dxa"/>
            <w:vAlign w:val="top"/>
            <w:tcBorders>
              <w:bottom w:val="single" w:color="000000" w:sz="4" w:space="0"/>
            </w:tcBorders>
          </w:tcPr>
          <w:p>
            <w:pPr>
              <w:pStyle w:val="TableText"/>
              <w:ind w:left="235"/>
              <w:spacing w:before="73" w:line="219" w:lineRule="auto"/>
              <w:rPr>
                <w:sz w:val="16"/>
                <w:szCs w:val="16"/>
              </w:rPr>
            </w:pPr>
            <w:r>
              <w:rPr>
                <w:sz w:val="16"/>
                <w:szCs w:val="16"/>
                <w:spacing w:val="-2"/>
              </w:rPr>
              <w:t>2007年</w:t>
            </w:r>
          </w:p>
        </w:tc>
        <w:tc>
          <w:tcPr>
            <w:tcW w:w="941" w:type="dxa"/>
            <w:vAlign w:val="top"/>
            <w:tcBorders>
              <w:bottom w:val="single" w:color="000000" w:sz="4" w:space="0"/>
            </w:tcBorders>
          </w:tcPr>
          <w:p>
            <w:pPr>
              <w:pStyle w:val="TableText"/>
              <w:ind w:left="217"/>
              <w:spacing w:before="73" w:line="219" w:lineRule="auto"/>
              <w:rPr>
                <w:sz w:val="16"/>
                <w:szCs w:val="16"/>
              </w:rPr>
            </w:pPr>
            <w:r>
              <w:rPr>
                <w:sz w:val="16"/>
                <w:szCs w:val="16"/>
                <w:spacing w:val="-2"/>
              </w:rPr>
              <w:t>2012年</w:t>
            </w:r>
          </w:p>
        </w:tc>
        <w:tc>
          <w:tcPr>
            <w:tcW w:w="774" w:type="dxa"/>
            <w:vAlign w:val="top"/>
            <w:vMerge w:val="continue"/>
            <w:tcBorders>
              <w:bottom w:val="single" w:color="000000" w:sz="4" w:space="0"/>
              <w:top w:val="nil"/>
            </w:tcBorders>
          </w:tcPr>
          <w:p>
            <w:pPr>
              <w:rPr>
                <w:rFonts w:ascii="Arial"/>
                <w:sz w:val="21"/>
              </w:rPr>
            </w:pPr>
            <w:r/>
          </w:p>
        </w:tc>
        <w:tc>
          <w:tcPr>
            <w:tcW w:w="1230" w:type="dxa"/>
            <w:vAlign w:val="top"/>
            <w:vMerge w:val="continue"/>
            <w:tcBorders>
              <w:bottom w:val="single" w:color="000000" w:sz="4" w:space="0"/>
              <w:top w:val="nil"/>
            </w:tcBorders>
          </w:tcPr>
          <w:p>
            <w:pPr>
              <w:rPr>
                <w:rFonts w:ascii="Arial"/>
                <w:sz w:val="21"/>
              </w:rPr>
            </w:pPr>
            <w:r/>
          </w:p>
        </w:tc>
        <w:tc>
          <w:tcPr>
            <w:tcW w:w="1204" w:type="dxa"/>
            <w:vAlign w:val="top"/>
            <w:tcBorders>
              <w:bottom w:val="single" w:color="000000" w:sz="4" w:space="0"/>
            </w:tcBorders>
          </w:tcPr>
          <w:p>
            <w:pPr>
              <w:pStyle w:val="TableText"/>
              <w:ind w:left="101"/>
              <w:spacing w:before="93" w:line="219" w:lineRule="auto"/>
              <w:rPr>
                <w:sz w:val="16"/>
                <w:szCs w:val="16"/>
              </w:rPr>
            </w:pPr>
            <w:r>
              <w:rPr>
                <w:sz w:val="16"/>
                <w:szCs w:val="16"/>
                <w:spacing w:val="-1"/>
              </w:rPr>
              <w:t>2007—2012年</w:t>
            </w:r>
          </w:p>
        </w:tc>
        <w:tc>
          <w:tcPr>
            <w:tcW w:w="1259" w:type="dxa"/>
            <w:vAlign w:val="top"/>
            <w:tcBorders>
              <w:bottom w:val="single" w:color="000000" w:sz="4" w:space="0"/>
            </w:tcBorders>
          </w:tcPr>
          <w:p>
            <w:pPr>
              <w:pStyle w:val="TableText"/>
              <w:ind w:left="156"/>
              <w:spacing w:before="73" w:line="219" w:lineRule="auto"/>
              <w:rPr>
                <w:sz w:val="16"/>
                <w:szCs w:val="16"/>
              </w:rPr>
            </w:pPr>
            <w:r>
              <w:rPr>
                <w:sz w:val="16"/>
                <w:szCs w:val="16"/>
                <w:spacing w:val="-1"/>
              </w:rPr>
              <w:t>2012—2018年</w:t>
            </w:r>
          </w:p>
        </w:tc>
        <w:tc>
          <w:tcPr>
            <w:tcW w:w="1209" w:type="dxa"/>
            <w:vAlign w:val="top"/>
            <w:vMerge w:val="continue"/>
            <w:tcBorders>
              <w:bottom w:val="single" w:color="000000" w:sz="4" w:space="0"/>
              <w:top w:val="nil"/>
            </w:tcBorders>
          </w:tcPr>
          <w:p>
            <w:pPr>
              <w:rPr>
                <w:rFonts w:ascii="Arial"/>
                <w:sz w:val="21"/>
              </w:rPr>
            </w:pPr>
            <w:r/>
          </w:p>
        </w:tc>
      </w:tr>
      <w:tr>
        <w:trPr>
          <w:trHeight w:val="329" w:hRule="atLeast"/>
        </w:trPr>
        <w:tc>
          <w:tcPr>
            <w:tcW w:w="1243" w:type="dxa"/>
            <w:vAlign w:val="top"/>
            <w:tcBorders>
              <w:top w:val="single" w:color="000000" w:sz="4" w:space="0"/>
            </w:tcBorders>
          </w:tcPr>
          <w:p>
            <w:pPr>
              <w:pStyle w:val="TableText"/>
              <w:ind w:left="132"/>
              <w:spacing w:before="96" w:line="220" w:lineRule="auto"/>
              <w:rPr>
                <w:sz w:val="16"/>
                <w:szCs w:val="16"/>
              </w:rPr>
            </w:pPr>
            <w:r>
              <w:rPr>
                <w:sz w:val="16"/>
                <w:szCs w:val="16"/>
                <w:b/>
                <w:bCs/>
                <w:spacing w:val="-3"/>
              </w:rPr>
              <w:t>整体经济</w:t>
            </w:r>
          </w:p>
        </w:tc>
        <w:tc>
          <w:tcPr>
            <w:tcW w:w="801" w:type="dxa"/>
            <w:vAlign w:val="top"/>
            <w:tcBorders>
              <w:top w:val="single" w:color="000000" w:sz="4" w:space="0"/>
            </w:tcBorders>
          </w:tcPr>
          <w:p>
            <w:pPr>
              <w:pStyle w:val="TableText"/>
              <w:ind w:left="267"/>
              <w:spacing w:before="129" w:line="183" w:lineRule="auto"/>
              <w:rPr>
                <w:sz w:val="16"/>
                <w:szCs w:val="16"/>
              </w:rPr>
            </w:pPr>
            <w:r>
              <w:rPr>
                <w:sz w:val="16"/>
                <w:szCs w:val="16"/>
                <w:spacing w:val="-2"/>
              </w:rPr>
              <w:t>0.50</w:t>
            </w:r>
          </w:p>
        </w:tc>
        <w:tc>
          <w:tcPr>
            <w:tcW w:w="919" w:type="dxa"/>
            <w:vAlign w:val="top"/>
            <w:tcBorders>
              <w:top w:val="single" w:color="000000" w:sz="4" w:space="0"/>
            </w:tcBorders>
          </w:tcPr>
          <w:p>
            <w:pPr>
              <w:pStyle w:val="TableText"/>
              <w:ind w:left="315"/>
              <w:spacing w:before="139" w:line="183" w:lineRule="auto"/>
              <w:rPr>
                <w:sz w:val="16"/>
                <w:szCs w:val="16"/>
              </w:rPr>
            </w:pPr>
            <w:r>
              <w:rPr>
                <w:sz w:val="16"/>
                <w:szCs w:val="16"/>
                <w:spacing w:val="-2"/>
              </w:rPr>
              <w:t>0.52</w:t>
            </w:r>
          </w:p>
        </w:tc>
        <w:tc>
          <w:tcPr>
            <w:tcW w:w="941" w:type="dxa"/>
            <w:vAlign w:val="top"/>
            <w:tcBorders>
              <w:top w:val="single" w:color="000000" w:sz="4" w:space="0"/>
            </w:tcBorders>
          </w:tcPr>
          <w:p>
            <w:pPr>
              <w:pStyle w:val="TableText"/>
              <w:ind w:left="297"/>
              <w:spacing w:before="169" w:line="172" w:lineRule="auto"/>
              <w:rPr>
                <w:sz w:val="16"/>
                <w:szCs w:val="16"/>
              </w:rPr>
            </w:pPr>
            <w:r>
              <w:rPr>
                <w:sz w:val="16"/>
                <w:szCs w:val="16"/>
                <w:spacing w:val="-2"/>
              </w:rPr>
              <w:t>0.74</w:t>
            </w:r>
          </w:p>
        </w:tc>
        <w:tc>
          <w:tcPr>
            <w:tcW w:w="774" w:type="dxa"/>
            <w:vAlign w:val="top"/>
            <w:tcBorders>
              <w:top w:val="single" w:color="000000" w:sz="4" w:space="0"/>
            </w:tcBorders>
          </w:tcPr>
          <w:p>
            <w:pPr>
              <w:pStyle w:val="TableText"/>
              <w:ind w:left="146"/>
              <w:spacing w:before="149" w:line="183" w:lineRule="auto"/>
              <w:rPr>
                <w:sz w:val="16"/>
                <w:szCs w:val="16"/>
              </w:rPr>
            </w:pPr>
            <w:r>
              <w:rPr>
                <w:sz w:val="16"/>
                <w:szCs w:val="16"/>
                <w:spacing w:val="-2"/>
              </w:rPr>
              <w:t>0.86</w:t>
            </w:r>
          </w:p>
        </w:tc>
        <w:tc>
          <w:tcPr>
            <w:tcW w:w="1230" w:type="dxa"/>
            <w:vAlign w:val="top"/>
            <w:tcBorders>
              <w:top w:val="single" w:color="000000" w:sz="4" w:space="0"/>
            </w:tcBorders>
          </w:tcPr>
          <w:p>
            <w:pPr>
              <w:pStyle w:val="TableText"/>
              <w:ind w:left="481"/>
              <w:spacing w:before="149" w:line="183" w:lineRule="auto"/>
              <w:rPr>
                <w:sz w:val="16"/>
                <w:szCs w:val="16"/>
              </w:rPr>
            </w:pPr>
            <w:r>
              <w:rPr>
                <w:sz w:val="16"/>
                <w:szCs w:val="16"/>
                <w:spacing w:val="-2"/>
              </w:rPr>
              <w:t>0.6</w:t>
            </w:r>
          </w:p>
        </w:tc>
        <w:tc>
          <w:tcPr>
            <w:tcW w:w="1204" w:type="dxa"/>
            <w:vAlign w:val="top"/>
            <w:tcBorders>
              <w:top w:val="single" w:color="000000" w:sz="4" w:space="0"/>
            </w:tcBorders>
          </w:tcPr>
          <w:p>
            <w:pPr>
              <w:pStyle w:val="TableText"/>
              <w:ind w:left="542"/>
              <w:spacing w:before="149" w:line="183" w:lineRule="auto"/>
              <w:rPr>
                <w:sz w:val="16"/>
                <w:szCs w:val="16"/>
              </w:rPr>
            </w:pPr>
            <w:r>
              <w:rPr>
                <w:sz w:val="16"/>
                <w:szCs w:val="16"/>
                <w:spacing w:val="-3"/>
              </w:rPr>
              <w:t>7.4</w:t>
            </w:r>
          </w:p>
        </w:tc>
        <w:tc>
          <w:tcPr>
            <w:tcW w:w="1259" w:type="dxa"/>
            <w:vAlign w:val="top"/>
            <w:tcBorders>
              <w:top w:val="single" w:color="000000" w:sz="4" w:space="0"/>
            </w:tcBorders>
          </w:tcPr>
          <w:p>
            <w:pPr>
              <w:pStyle w:val="TableText"/>
              <w:ind w:left="508"/>
              <w:spacing w:before="139" w:line="183" w:lineRule="auto"/>
              <w:rPr>
                <w:sz w:val="16"/>
                <w:szCs w:val="16"/>
              </w:rPr>
            </w:pPr>
            <w:r>
              <w:rPr>
                <w:sz w:val="16"/>
                <w:szCs w:val="16"/>
                <w:spacing w:val="-2"/>
              </w:rPr>
              <w:t>2.5</w:t>
            </w:r>
          </w:p>
        </w:tc>
        <w:tc>
          <w:tcPr>
            <w:tcW w:w="1209" w:type="dxa"/>
            <w:vAlign w:val="top"/>
            <w:tcBorders>
              <w:top w:val="single" w:color="000000" w:sz="4" w:space="0"/>
            </w:tcBorders>
          </w:tcPr>
          <w:p>
            <w:pPr>
              <w:pStyle w:val="TableText"/>
              <w:ind w:left="468"/>
              <w:spacing w:before="139" w:line="183" w:lineRule="auto"/>
              <w:rPr>
                <w:sz w:val="16"/>
                <w:szCs w:val="16"/>
              </w:rPr>
            </w:pPr>
            <w:r>
              <w:rPr>
                <w:sz w:val="16"/>
                <w:szCs w:val="16"/>
                <w:spacing w:val="-3"/>
              </w:rPr>
              <w:t>3.2</w:t>
            </w:r>
          </w:p>
        </w:tc>
      </w:tr>
      <w:tr>
        <w:trPr>
          <w:trHeight w:val="289" w:hRule="atLeast"/>
        </w:trPr>
        <w:tc>
          <w:tcPr>
            <w:tcW w:w="1243" w:type="dxa"/>
            <w:vAlign w:val="top"/>
          </w:tcPr>
          <w:p>
            <w:pPr>
              <w:pStyle w:val="TableText"/>
              <w:ind w:left="110"/>
              <w:spacing w:before="49" w:line="219" w:lineRule="auto"/>
              <w:rPr>
                <w:sz w:val="16"/>
                <w:szCs w:val="16"/>
              </w:rPr>
            </w:pPr>
            <w:r>
              <w:rPr>
                <w:sz w:val="16"/>
                <w:szCs w:val="16"/>
              </w:rPr>
              <w:t>ICT</w:t>
            </w:r>
            <w:r>
              <w:rPr>
                <w:sz w:val="16"/>
                <w:szCs w:val="16"/>
                <w:spacing w:val="1"/>
              </w:rPr>
              <w:t>生产行业</w:t>
            </w:r>
          </w:p>
        </w:tc>
        <w:tc>
          <w:tcPr>
            <w:tcW w:w="801" w:type="dxa"/>
            <w:vAlign w:val="top"/>
          </w:tcPr>
          <w:p>
            <w:pPr>
              <w:pStyle w:val="TableText"/>
              <w:ind w:left="267"/>
              <w:spacing w:before="100" w:line="183" w:lineRule="auto"/>
              <w:rPr>
                <w:sz w:val="16"/>
                <w:szCs w:val="16"/>
              </w:rPr>
            </w:pPr>
            <w:r>
              <w:rPr>
                <w:sz w:val="16"/>
                <w:szCs w:val="16"/>
                <w:spacing w:val="-2"/>
              </w:rPr>
              <w:t>0.30</w:t>
            </w:r>
          </w:p>
        </w:tc>
        <w:tc>
          <w:tcPr>
            <w:tcW w:w="919" w:type="dxa"/>
            <w:vAlign w:val="top"/>
          </w:tcPr>
          <w:p>
            <w:pPr>
              <w:pStyle w:val="TableText"/>
              <w:ind w:left="315"/>
              <w:spacing w:before="110" w:line="183" w:lineRule="auto"/>
              <w:rPr>
                <w:sz w:val="16"/>
                <w:szCs w:val="16"/>
              </w:rPr>
            </w:pPr>
            <w:r>
              <w:rPr>
                <w:sz w:val="16"/>
                <w:szCs w:val="16"/>
                <w:spacing w:val="-2"/>
              </w:rPr>
              <w:t>0.24</w:t>
            </w:r>
          </w:p>
        </w:tc>
        <w:tc>
          <w:tcPr>
            <w:tcW w:w="941" w:type="dxa"/>
            <w:vAlign w:val="top"/>
          </w:tcPr>
          <w:p>
            <w:pPr>
              <w:pStyle w:val="TableText"/>
              <w:ind w:left="297"/>
              <w:spacing w:before="120" w:line="183" w:lineRule="auto"/>
              <w:rPr>
                <w:sz w:val="16"/>
                <w:szCs w:val="16"/>
              </w:rPr>
            </w:pPr>
            <w:r>
              <w:rPr>
                <w:sz w:val="16"/>
                <w:szCs w:val="16"/>
                <w:spacing w:val="-2"/>
              </w:rPr>
              <w:t>0.34</w:t>
            </w:r>
          </w:p>
        </w:tc>
        <w:tc>
          <w:tcPr>
            <w:tcW w:w="774" w:type="dxa"/>
            <w:vAlign w:val="top"/>
          </w:tcPr>
          <w:p>
            <w:pPr>
              <w:pStyle w:val="TableText"/>
              <w:ind w:left="146"/>
              <w:spacing w:before="120" w:line="183" w:lineRule="auto"/>
              <w:rPr>
                <w:sz w:val="16"/>
                <w:szCs w:val="16"/>
              </w:rPr>
            </w:pPr>
            <w:r>
              <w:rPr>
                <w:sz w:val="16"/>
                <w:szCs w:val="16"/>
                <w:spacing w:val="-2"/>
              </w:rPr>
              <w:t>0.37</w:t>
            </w:r>
          </w:p>
        </w:tc>
        <w:tc>
          <w:tcPr>
            <w:tcW w:w="1230" w:type="dxa"/>
            <w:vAlign w:val="top"/>
          </w:tcPr>
          <w:p>
            <w:pPr>
              <w:pStyle w:val="TableText"/>
              <w:ind w:left="442"/>
              <w:spacing w:before="110" w:line="183" w:lineRule="auto"/>
              <w:rPr>
                <w:sz w:val="16"/>
                <w:szCs w:val="16"/>
              </w:rPr>
            </w:pPr>
            <w:r>
              <w:rPr>
                <w:sz w:val="16"/>
                <w:szCs w:val="16"/>
                <w:spacing w:val="-1"/>
              </w:rPr>
              <w:t>-3.5</w:t>
            </w:r>
          </w:p>
        </w:tc>
        <w:tc>
          <w:tcPr>
            <w:tcW w:w="1204" w:type="dxa"/>
            <w:vAlign w:val="top"/>
          </w:tcPr>
          <w:p>
            <w:pPr>
              <w:pStyle w:val="TableText"/>
              <w:ind w:left="542"/>
              <w:spacing w:before="100" w:line="183" w:lineRule="auto"/>
              <w:rPr>
                <w:sz w:val="16"/>
                <w:szCs w:val="16"/>
              </w:rPr>
            </w:pPr>
            <w:r>
              <w:rPr>
                <w:sz w:val="16"/>
                <w:szCs w:val="16"/>
                <w:spacing w:val="-3"/>
              </w:rPr>
              <w:t>7.2</w:t>
            </w:r>
          </w:p>
        </w:tc>
        <w:tc>
          <w:tcPr>
            <w:tcW w:w="1259" w:type="dxa"/>
            <w:vAlign w:val="top"/>
          </w:tcPr>
          <w:p>
            <w:pPr>
              <w:pStyle w:val="TableText"/>
              <w:ind w:left="508"/>
              <w:spacing w:before="99" w:line="184" w:lineRule="auto"/>
              <w:rPr>
                <w:sz w:val="16"/>
                <w:szCs w:val="16"/>
              </w:rPr>
            </w:pPr>
            <w:r>
              <w:rPr>
                <w:sz w:val="16"/>
                <w:szCs w:val="16"/>
                <w:spacing w:val="-5"/>
              </w:rPr>
              <w:t>1.7</w:t>
            </w:r>
          </w:p>
        </w:tc>
        <w:tc>
          <w:tcPr>
            <w:tcW w:w="1209" w:type="dxa"/>
            <w:vAlign w:val="top"/>
          </w:tcPr>
          <w:p>
            <w:pPr>
              <w:pStyle w:val="TableText"/>
              <w:ind w:left="468"/>
              <w:spacing w:before="120" w:line="183" w:lineRule="auto"/>
              <w:rPr>
                <w:sz w:val="16"/>
                <w:szCs w:val="16"/>
              </w:rPr>
            </w:pPr>
            <w:r>
              <w:rPr>
                <w:sz w:val="16"/>
                <w:szCs w:val="16"/>
                <w:spacing w:val="-5"/>
              </w:rPr>
              <w:t>1.4</w:t>
            </w:r>
          </w:p>
        </w:tc>
      </w:tr>
      <w:tr>
        <w:trPr>
          <w:trHeight w:val="534" w:hRule="atLeast"/>
        </w:trPr>
        <w:tc>
          <w:tcPr>
            <w:tcW w:w="1243" w:type="dxa"/>
            <w:vAlign w:val="top"/>
          </w:tcPr>
          <w:p>
            <w:pPr>
              <w:pStyle w:val="TableText"/>
              <w:ind w:left="129" w:right="233" w:hanging="19"/>
              <w:spacing w:before="61" w:line="260"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制造业</w:t>
            </w:r>
          </w:p>
        </w:tc>
        <w:tc>
          <w:tcPr>
            <w:tcW w:w="801" w:type="dxa"/>
            <w:vAlign w:val="top"/>
          </w:tcPr>
          <w:p>
            <w:pPr>
              <w:pStyle w:val="TableText"/>
              <w:ind w:left="267"/>
              <w:spacing w:before="211" w:line="183" w:lineRule="auto"/>
              <w:rPr>
                <w:sz w:val="16"/>
                <w:szCs w:val="16"/>
              </w:rPr>
            </w:pPr>
            <w:r>
              <w:rPr>
                <w:sz w:val="16"/>
                <w:szCs w:val="16"/>
                <w:spacing w:val="-2"/>
              </w:rPr>
              <w:t>0.39</w:t>
            </w:r>
          </w:p>
        </w:tc>
        <w:tc>
          <w:tcPr>
            <w:tcW w:w="919" w:type="dxa"/>
            <w:vAlign w:val="top"/>
          </w:tcPr>
          <w:p>
            <w:pPr>
              <w:pStyle w:val="TableText"/>
              <w:ind w:left="315"/>
              <w:spacing w:before="211" w:line="183" w:lineRule="auto"/>
              <w:rPr>
                <w:sz w:val="16"/>
                <w:szCs w:val="16"/>
              </w:rPr>
            </w:pPr>
            <w:r>
              <w:rPr>
                <w:sz w:val="16"/>
                <w:szCs w:val="16"/>
                <w:spacing w:val="-2"/>
              </w:rPr>
              <w:t>0.34</w:t>
            </w:r>
          </w:p>
        </w:tc>
        <w:tc>
          <w:tcPr>
            <w:tcW w:w="941" w:type="dxa"/>
            <w:vAlign w:val="top"/>
          </w:tcPr>
          <w:p>
            <w:pPr>
              <w:pStyle w:val="TableText"/>
              <w:ind w:left="297"/>
              <w:spacing w:before="211" w:line="183" w:lineRule="auto"/>
              <w:rPr>
                <w:sz w:val="16"/>
                <w:szCs w:val="16"/>
              </w:rPr>
            </w:pPr>
            <w:r>
              <w:rPr>
                <w:sz w:val="16"/>
                <w:szCs w:val="16"/>
                <w:spacing w:val="-2"/>
              </w:rPr>
              <w:t>0.45</w:t>
            </w:r>
          </w:p>
        </w:tc>
        <w:tc>
          <w:tcPr>
            <w:tcW w:w="774" w:type="dxa"/>
            <w:vAlign w:val="top"/>
          </w:tcPr>
          <w:p>
            <w:pPr>
              <w:pStyle w:val="TableText"/>
              <w:ind w:left="146"/>
              <w:spacing w:before="210" w:line="184" w:lineRule="auto"/>
              <w:rPr>
                <w:sz w:val="16"/>
                <w:szCs w:val="16"/>
              </w:rPr>
            </w:pPr>
            <w:r>
              <w:rPr>
                <w:sz w:val="16"/>
                <w:szCs w:val="16"/>
                <w:spacing w:val="-2"/>
              </w:rPr>
              <w:t>0.41</w:t>
            </w:r>
          </w:p>
        </w:tc>
        <w:tc>
          <w:tcPr>
            <w:tcW w:w="1230" w:type="dxa"/>
            <w:vAlign w:val="top"/>
          </w:tcPr>
          <w:p>
            <w:pPr>
              <w:pStyle w:val="TableText"/>
              <w:ind w:left="442"/>
              <w:spacing w:before="211" w:line="183" w:lineRule="auto"/>
              <w:rPr>
                <w:sz w:val="16"/>
                <w:szCs w:val="16"/>
              </w:rPr>
            </w:pPr>
            <w:r>
              <w:rPr>
                <w:sz w:val="16"/>
                <w:szCs w:val="16"/>
                <w:spacing w:val="-1"/>
              </w:rPr>
              <w:t>-2.2</w:t>
            </w:r>
          </w:p>
        </w:tc>
        <w:tc>
          <w:tcPr>
            <w:tcW w:w="1204" w:type="dxa"/>
            <w:vAlign w:val="top"/>
          </w:tcPr>
          <w:p>
            <w:pPr>
              <w:pStyle w:val="TableText"/>
              <w:ind w:left="542"/>
              <w:spacing w:before="211" w:line="183" w:lineRule="auto"/>
              <w:rPr>
                <w:sz w:val="16"/>
                <w:szCs w:val="16"/>
              </w:rPr>
            </w:pPr>
            <w:r>
              <w:rPr>
                <w:sz w:val="16"/>
                <w:szCs w:val="16"/>
                <w:spacing w:val="-3"/>
              </w:rPr>
              <w:t>5.6</w:t>
            </w:r>
          </w:p>
        </w:tc>
        <w:tc>
          <w:tcPr>
            <w:tcW w:w="1259" w:type="dxa"/>
            <w:vAlign w:val="top"/>
          </w:tcPr>
          <w:p>
            <w:pPr>
              <w:pStyle w:val="TableText"/>
              <w:ind w:left="467"/>
              <w:spacing w:before="210" w:line="184" w:lineRule="auto"/>
              <w:rPr>
                <w:sz w:val="16"/>
                <w:szCs w:val="16"/>
              </w:rPr>
            </w:pPr>
            <w:r>
              <w:rPr>
                <w:sz w:val="16"/>
                <w:szCs w:val="16"/>
                <w:spacing w:val="-1"/>
              </w:rPr>
              <w:t>-1.3</w:t>
            </w:r>
          </w:p>
        </w:tc>
        <w:tc>
          <w:tcPr>
            <w:tcW w:w="1209" w:type="dxa"/>
            <w:vAlign w:val="top"/>
          </w:tcPr>
          <w:p>
            <w:pPr>
              <w:pStyle w:val="TableText"/>
              <w:ind w:left="468"/>
              <w:spacing w:before="211" w:line="183" w:lineRule="auto"/>
              <w:rPr>
                <w:sz w:val="16"/>
                <w:szCs w:val="16"/>
              </w:rPr>
            </w:pPr>
            <w:r>
              <w:rPr>
                <w:sz w:val="16"/>
                <w:szCs w:val="16"/>
                <w:spacing w:val="-2"/>
              </w:rPr>
              <w:t>0.3</w:t>
            </w:r>
          </w:p>
        </w:tc>
      </w:tr>
      <w:tr>
        <w:trPr>
          <w:trHeight w:val="519" w:hRule="atLeast"/>
        </w:trPr>
        <w:tc>
          <w:tcPr>
            <w:tcW w:w="1243" w:type="dxa"/>
            <w:vAlign w:val="top"/>
          </w:tcPr>
          <w:p>
            <w:pPr>
              <w:pStyle w:val="TableText"/>
              <w:ind w:left="130" w:right="203" w:firstLine="9"/>
              <w:spacing w:before="66" w:line="242"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服务业</w:t>
            </w:r>
          </w:p>
        </w:tc>
        <w:tc>
          <w:tcPr>
            <w:tcW w:w="801" w:type="dxa"/>
            <w:vAlign w:val="top"/>
          </w:tcPr>
          <w:p>
            <w:pPr>
              <w:pStyle w:val="TableText"/>
              <w:ind w:left="267"/>
              <w:spacing w:before="207" w:line="183" w:lineRule="auto"/>
              <w:rPr>
                <w:sz w:val="16"/>
                <w:szCs w:val="16"/>
              </w:rPr>
            </w:pPr>
            <w:r>
              <w:rPr>
                <w:sz w:val="16"/>
                <w:szCs w:val="16"/>
                <w:spacing w:val="-2"/>
              </w:rPr>
              <w:t>0.42</w:t>
            </w:r>
          </w:p>
        </w:tc>
        <w:tc>
          <w:tcPr>
            <w:tcW w:w="919" w:type="dxa"/>
            <w:vAlign w:val="top"/>
          </w:tcPr>
          <w:p>
            <w:pPr>
              <w:pStyle w:val="TableText"/>
              <w:ind w:left="315"/>
              <w:spacing w:before="207" w:line="183" w:lineRule="auto"/>
              <w:rPr>
                <w:sz w:val="16"/>
                <w:szCs w:val="16"/>
              </w:rPr>
            </w:pPr>
            <w:r>
              <w:rPr>
                <w:sz w:val="16"/>
                <w:szCs w:val="16"/>
                <w:spacing w:val="-2"/>
              </w:rPr>
              <w:t>0.33</w:t>
            </w:r>
          </w:p>
        </w:tc>
        <w:tc>
          <w:tcPr>
            <w:tcW w:w="941" w:type="dxa"/>
            <w:vAlign w:val="top"/>
          </w:tcPr>
          <w:p>
            <w:pPr>
              <w:pStyle w:val="TableText"/>
              <w:ind w:left="297"/>
              <w:spacing w:before="207" w:line="183" w:lineRule="auto"/>
              <w:rPr>
                <w:sz w:val="16"/>
                <w:szCs w:val="16"/>
              </w:rPr>
            </w:pPr>
            <w:r>
              <w:rPr>
                <w:sz w:val="16"/>
                <w:szCs w:val="16"/>
                <w:spacing w:val="-2"/>
              </w:rPr>
              <w:t>0.53</w:t>
            </w:r>
          </w:p>
        </w:tc>
        <w:tc>
          <w:tcPr>
            <w:tcW w:w="774" w:type="dxa"/>
            <w:vAlign w:val="top"/>
          </w:tcPr>
          <w:p>
            <w:pPr>
              <w:pStyle w:val="TableText"/>
              <w:ind w:left="146"/>
              <w:spacing w:before="207" w:line="183" w:lineRule="auto"/>
              <w:rPr>
                <w:sz w:val="16"/>
                <w:szCs w:val="16"/>
              </w:rPr>
            </w:pPr>
            <w:r>
              <w:rPr>
                <w:sz w:val="16"/>
                <w:szCs w:val="16"/>
                <w:spacing w:val="-2"/>
              </w:rPr>
              <w:t>0.87</w:t>
            </w:r>
          </w:p>
        </w:tc>
        <w:tc>
          <w:tcPr>
            <w:tcW w:w="1230" w:type="dxa"/>
            <w:vAlign w:val="top"/>
          </w:tcPr>
          <w:p>
            <w:pPr>
              <w:pStyle w:val="TableText"/>
              <w:ind w:left="442"/>
              <w:spacing w:before="207" w:line="183" w:lineRule="auto"/>
              <w:rPr>
                <w:sz w:val="16"/>
                <w:szCs w:val="16"/>
              </w:rPr>
            </w:pPr>
            <w:r>
              <w:rPr>
                <w:sz w:val="16"/>
                <w:szCs w:val="16"/>
                <w:spacing w:val="-1"/>
              </w:rPr>
              <w:t>-3.9</w:t>
            </w:r>
          </w:p>
        </w:tc>
        <w:tc>
          <w:tcPr>
            <w:tcW w:w="1204" w:type="dxa"/>
            <w:vAlign w:val="top"/>
          </w:tcPr>
          <w:p>
            <w:pPr>
              <w:pStyle w:val="TableText"/>
              <w:ind w:left="501"/>
              <w:spacing w:before="206" w:line="184" w:lineRule="auto"/>
              <w:rPr>
                <w:sz w:val="16"/>
                <w:szCs w:val="16"/>
              </w:rPr>
            </w:pPr>
            <w:r>
              <w:rPr>
                <w:sz w:val="16"/>
                <w:szCs w:val="16"/>
                <w:spacing w:val="-4"/>
              </w:rPr>
              <w:t>10.1</w:t>
            </w:r>
          </w:p>
        </w:tc>
        <w:tc>
          <w:tcPr>
            <w:tcW w:w="1259" w:type="dxa"/>
            <w:vAlign w:val="top"/>
          </w:tcPr>
          <w:p>
            <w:pPr>
              <w:pStyle w:val="TableText"/>
              <w:ind w:left="508"/>
              <w:spacing w:before="207" w:line="183" w:lineRule="auto"/>
              <w:rPr>
                <w:sz w:val="16"/>
                <w:szCs w:val="16"/>
              </w:rPr>
            </w:pPr>
            <w:r>
              <w:rPr>
                <w:sz w:val="16"/>
                <w:szCs w:val="16"/>
                <w:spacing w:val="-2"/>
              </w:rPr>
              <w:t>8.6</w:t>
            </w:r>
          </w:p>
        </w:tc>
        <w:tc>
          <w:tcPr>
            <w:tcW w:w="1209" w:type="dxa"/>
            <w:vAlign w:val="top"/>
          </w:tcPr>
          <w:p>
            <w:pPr>
              <w:pStyle w:val="TableText"/>
              <w:ind w:left="468"/>
              <w:spacing w:before="207" w:line="183" w:lineRule="auto"/>
              <w:rPr>
                <w:sz w:val="16"/>
                <w:szCs w:val="16"/>
              </w:rPr>
            </w:pPr>
            <w:r>
              <w:rPr>
                <w:sz w:val="16"/>
                <w:szCs w:val="16"/>
                <w:spacing w:val="-2"/>
              </w:rPr>
              <w:t>4.4</w:t>
            </w:r>
          </w:p>
        </w:tc>
      </w:tr>
      <w:tr>
        <w:trPr>
          <w:trHeight w:val="554" w:hRule="atLeast"/>
        </w:trPr>
        <w:tc>
          <w:tcPr>
            <w:tcW w:w="1243" w:type="dxa"/>
            <w:vAlign w:val="top"/>
          </w:tcPr>
          <w:p>
            <w:pPr>
              <w:pStyle w:val="TableText"/>
              <w:ind w:left="120"/>
              <w:spacing w:before="77" w:line="261" w:lineRule="exact"/>
              <w:rPr>
                <w:sz w:val="16"/>
                <w:szCs w:val="16"/>
              </w:rPr>
            </w:pPr>
            <w:r>
              <w:rPr>
                <w:sz w:val="16"/>
                <w:szCs w:val="16"/>
                <w:spacing w:val="-2"/>
                <w:position w:val="7"/>
              </w:rPr>
              <w:t>非ICT集约使</w:t>
            </w:r>
          </w:p>
          <w:p>
            <w:pPr>
              <w:pStyle w:val="TableText"/>
              <w:ind w:left="130"/>
              <w:spacing w:line="220" w:lineRule="auto"/>
              <w:rPr>
                <w:sz w:val="16"/>
                <w:szCs w:val="16"/>
              </w:rPr>
            </w:pPr>
            <w:r>
              <w:rPr>
                <w:sz w:val="16"/>
                <w:szCs w:val="16"/>
                <w:spacing w:val="-2"/>
              </w:rPr>
              <w:t>用制造业</w:t>
            </w:r>
          </w:p>
        </w:tc>
        <w:tc>
          <w:tcPr>
            <w:tcW w:w="801" w:type="dxa"/>
            <w:vAlign w:val="top"/>
          </w:tcPr>
          <w:p>
            <w:pPr>
              <w:pStyle w:val="TableText"/>
              <w:ind w:left="267"/>
              <w:spacing w:before="248" w:line="183" w:lineRule="auto"/>
              <w:rPr>
                <w:sz w:val="16"/>
                <w:szCs w:val="16"/>
              </w:rPr>
            </w:pPr>
            <w:r>
              <w:rPr>
                <w:sz w:val="16"/>
                <w:szCs w:val="16"/>
                <w:spacing w:val="-2"/>
              </w:rPr>
              <w:t>0.37</w:t>
            </w:r>
          </w:p>
        </w:tc>
        <w:tc>
          <w:tcPr>
            <w:tcW w:w="919" w:type="dxa"/>
            <w:vAlign w:val="top"/>
          </w:tcPr>
          <w:p>
            <w:pPr>
              <w:pStyle w:val="TableText"/>
              <w:ind w:left="315"/>
              <w:spacing w:before="248" w:line="183" w:lineRule="auto"/>
              <w:rPr>
                <w:sz w:val="16"/>
                <w:szCs w:val="16"/>
              </w:rPr>
            </w:pPr>
            <w:r>
              <w:rPr>
                <w:sz w:val="16"/>
                <w:szCs w:val="16"/>
                <w:spacing w:val="-2"/>
              </w:rPr>
              <w:t>0.38</w:t>
            </w:r>
          </w:p>
        </w:tc>
        <w:tc>
          <w:tcPr>
            <w:tcW w:w="941" w:type="dxa"/>
            <w:vAlign w:val="top"/>
          </w:tcPr>
          <w:p>
            <w:pPr>
              <w:pStyle w:val="TableText"/>
              <w:ind w:left="297"/>
              <w:spacing w:before="248" w:line="183" w:lineRule="auto"/>
              <w:rPr>
                <w:sz w:val="16"/>
                <w:szCs w:val="16"/>
              </w:rPr>
            </w:pPr>
            <w:r>
              <w:rPr>
                <w:sz w:val="16"/>
                <w:szCs w:val="16"/>
                <w:spacing w:val="-2"/>
              </w:rPr>
              <w:t>0.49</w:t>
            </w:r>
          </w:p>
        </w:tc>
        <w:tc>
          <w:tcPr>
            <w:tcW w:w="774" w:type="dxa"/>
            <w:vAlign w:val="top"/>
          </w:tcPr>
          <w:p>
            <w:pPr>
              <w:pStyle w:val="TableText"/>
              <w:ind w:left="146"/>
              <w:spacing w:before="248" w:line="183" w:lineRule="auto"/>
              <w:rPr>
                <w:sz w:val="16"/>
                <w:szCs w:val="16"/>
              </w:rPr>
            </w:pPr>
            <w:r>
              <w:rPr>
                <w:sz w:val="16"/>
                <w:szCs w:val="16"/>
                <w:spacing w:val="-2"/>
              </w:rPr>
              <w:t>0.54</w:t>
            </w:r>
          </w:p>
        </w:tc>
        <w:tc>
          <w:tcPr>
            <w:tcW w:w="1230" w:type="dxa"/>
            <w:vAlign w:val="top"/>
          </w:tcPr>
          <w:p>
            <w:pPr>
              <w:pStyle w:val="TableText"/>
              <w:ind w:left="481"/>
              <w:spacing w:before="248" w:line="183" w:lineRule="auto"/>
              <w:rPr>
                <w:sz w:val="16"/>
                <w:szCs w:val="16"/>
              </w:rPr>
            </w:pPr>
            <w:r>
              <w:rPr>
                <w:sz w:val="16"/>
                <w:szCs w:val="16"/>
                <w:spacing w:val="-2"/>
              </w:rPr>
              <w:t>0.5</w:t>
            </w:r>
          </w:p>
        </w:tc>
        <w:tc>
          <w:tcPr>
            <w:tcW w:w="1204" w:type="dxa"/>
            <w:vAlign w:val="top"/>
          </w:tcPr>
          <w:p>
            <w:pPr>
              <w:pStyle w:val="TableText"/>
              <w:ind w:left="542"/>
              <w:spacing w:before="249" w:line="182" w:lineRule="auto"/>
              <w:rPr>
                <w:sz w:val="16"/>
                <w:szCs w:val="16"/>
              </w:rPr>
            </w:pPr>
            <w:r>
              <w:rPr>
                <w:sz w:val="16"/>
                <w:szCs w:val="16"/>
                <w:spacing w:val="-3"/>
              </w:rPr>
              <w:t>5.5</w:t>
            </w:r>
          </w:p>
        </w:tc>
        <w:tc>
          <w:tcPr>
            <w:tcW w:w="1259" w:type="dxa"/>
            <w:vAlign w:val="top"/>
          </w:tcPr>
          <w:p>
            <w:pPr>
              <w:pStyle w:val="TableText"/>
              <w:ind w:left="508"/>
              <w:spacing w:before="247" w:line="184" w:lineRule="auto"/>
              <w:rPr>
                <w:sz w:val="16"/>
                <w:szCs w:val="16"/>
              </w:rPr>
            </w:pPr>
            <w:r>
              <w:rPr>
                <w:sz w:val="16"/>
                <w:szCs w:val="16"/>
                <w:spacing w:val="-5"/>
              </w:rPr>
              <w:t>1.5</w:t>
            </w:r>
          </w:p>
        </w:tc>
        <w:tc>
          <w:tcPr>
            <w:tcW w:w="1209" w:type="dxa"/>
            <w:vAlign w:val="top"/>
          </w:tcPr>
          <w:p>
            <w:pPr>
              <w:pStyle w:val="TableText"/>
              <w:ind w:left="468"/>
              <w:spacing w:before="248" w:line="183" w:lineRule="auto"/>
              <w:rPr>
                <w:sz w:val="16"/>
                <w:szCs w:val="16"/>
              </w:rPr>
            </w:pPr>
            <w:r>
              <w:rPr>
                <w:sz w:val="16"/>
                <w:szCs w:val="16"/>
                <w:spacing w:val="-2"/>
              </w:rPr>
              <w:t>2.3</w:t>
            </w:r>
          </w:p>
        </w:tc>
      </w:tr>
      <w:tr>
        <w:trPr>
          <w:trHeight w:val="530" w:hRule="atLeast"/>
        </w:trPr>
        <w:tc>
          <w:tcPr>
            <w:tcW w:w="1243" w:type="dxa"/>
            <w:vAlign w:val="top"/>
          </w:tcPr>
          <w:p>
            <w:pPr>
              <w:pStyle w:val="TableText"/>
              <w:ind w:left="130" w:right="241"/>
              <w:spacing w:before="73" w:line="248" w:lineRule="auto"/>
              <w:rPr>
                <w:sz w:val="16"/>
                <w:szCs w:val="16"/>
              </w:rPr>
            </w:pPr>
            <w:r>
              <w:rPr>
                <w:sz w:val="16"/>
                <w:szCs w:val="16"/>
                <w:spacing w:val="-2"/>
              </w:rPr>
              <w:t>非ICT集约使</w:t>
            </w:r>
            <w:r>
              <w:rPr>
                <w:sz w:val="16"/>
                <w:szCs w:val="16"/>
                <w:spacing w:val="4"/>
              </w:rPr>
              <w:t xml:space="preserve"> </w:t>
            </w:r>
            <w:r>
              <w:rPr>
                <w:sz w:val="16"/>
                <w:szCs w:val="16"/>
                <w:spacing w:val="-2"/>
              </w:rPr>
              <w:t>用服务业</w:t>
            </w:r>
          </w:p>
        </w:tc>
        <w:tc>
          <w:tcPr>
            <w:tcW w:w="801" w:type="dxa"/>
            <w:vAlign w:val="top"/>
          </w:tcPr>
          <w:p>
            <w:pPr>
              <w:pStyle w:val="TableText"/>
              <w:ind w:left="267"/>
              <w:spacing w:before="224" w:line="183" w:lineRule="auto"/>
              <w:rPr>
                <w:sz w:val="16"/>
                <w:szCs w:val="16"/>
              </w:rPr>
            </w:pPr>
            <w:r>
              <w:rPr>
                <w:sz w:val="16"/>
                <w:szCs w:val="16"/>
                <w:spacing w:val="-2"/>
              </w:rPr>
              <w:t>0.38</w:t>
            </w:r>
          </w:p>
        </w:tc>
        <w:tc>
          <w:tcPr>
            <w:tcW w:w="919" w:type="dxa"/>
            <w:vAlign w:val="top"/>
          </w:tcPr>
          <w:p>
            <w:pPr>
              <w:pStyle w:val="TableText"/>
              <w:ind w:left="315"/>
              <w:spacing w:before="224" w:line="183" w:lineRule="auto"/>
              <w:rPr>
                <w:sz w:val="16"/>
                <w:szCs w:val="16"/>
              </w:rPr>
            </w:pPr>
            <w:r>
              <w:rPr>
                <w:sz w:val="16"/>
                <w:szCs w:val="16"/>
                <w:spacing w:val="-2"/>
              </w:rPr>
              <w:t>0.28</w:t>
            </w:r>
          </w:p>
        </w:tc>
        <w:tc>
          <w:tcPr>
            <w:tcW w:w="941" w:type="dxa"/>
            <w:vAlign w:val="top"/>
          </w:tcPr>
          <w:p>
            <w:pPr>
              <w:pStyle w:val="TableText"/>
              <w:ind w:left="297"/>
              <w:spacing w:before="224" w:line="183" w:lineRule="auto"/>
              <w:rPr>
                <w:sz w:val="16"/>
                <w:szCs w:val="16"/>
              </w:rPr>
            </w:pPr>
            <w:r>
              <w:rPr>
                <w:sz w:val="16"/>
                <w:szCs w:val="16"/>
                <w:spacing w:val="-2"/>
              </w:rPr>
              <w:t>0.60</w:t>
            </w:r>
          </w:p>
        </w:tc>
        <w:tc>
          <w:tcPr>
            <w:tcW w:w="774" w:type="dxa"/>
            <w:vAlign w:val="top"/>
          </w:tcPr>
          <w:p>
            <w:pPr>
              <w:pStyle w:val="TableText"/>
              <w:ind w:left="146"/>
              <w:spacing w:before="224" w:line="183" w:lineRule="auto"/>
              <w:rPr>
                <w:sz w:val="16"/>
                <w:szCs w:val="16"/>
              </w:rPr>
            </w:pPr>
            <w:r>
              <w:rPr>
                <w:sz w:val="16"/>
                <w:szCs w:val="16"/>
                <w:spacing w:val="-2"/>
              </w:rPr>
              <w:t>0.83</w:t>
            </w:r>
          </w:p>
        </w:tc>
        <w:tc>
          <w:tcPr>
            <w:tcW w:w="1230" w:type="dxa"/>
            <w:vAlign w:val="top"/>
          </w:tcPr>
          <w:p>
            <w:pPr>
              <w:pStyle w:val="TableText"/>
              <w:ind w:left="442"/>
              <w:spacing w:before="224" w:line="183" w:lineRule="auto"/>
              <w:rPr>
                <w:sz w:val="16"/>
                <w:szCs w:val="16"/>
              </w:rPr>
            </w:pPr>
            <w:r>
              <w:rPr>
                <w:sz w:val="16"/>
                <w:szCs w:val="16"/>
                <w:spacing w:val="-1"/>
              </w:rPr>
              <w:t>-4.9</w:t>
            </w:r>
          </w:p>
        </w:tc>
        <w:tc>
          <w:tcPr>
            <w:tcW w:w="1204" w:type="dxa"/>
            <w:vAlign w:val="top"/>
          </w:tcPr>
          <w:p>
            <w:pPr>
              <w:pStyle w:val="TableText"/>
              <w:ind w:left="501"/>
              <w:spacing w:before="223" w:line="184" w:lineRule="auto"/>
              <w:rPr>
                <w:sz w:val="16"/>
                <w:szCs w:val="16"/>
              </w:rPr>
            </w:pPr>
            <w:r>
              <w:rPr>
                <w:sz w:val="16"/>
                <w:szCs w:val="16"/>
                <w:spacing w:val="-4"/>
              </w:rPr>
              <w:t>16.8</w:t>
            </w:r>
          </w:p>
        </w:tc>
        <w:tc>
          <w:tcPr>
            <w:tcW w:w="1259" w:type="dxa"/>
            <w:vAlign w:val="top"/>
          </w:tcPr>
          <w:p>
            <w:pPr>
              <w:pStyle w:val="TableText"/>
              <w:ind w:left="508"/>
              <w:spacing w:before="225" w:line="182" w:lineRule="auto"/>
              <w:rPr>
                <w:sz w:val="16"/>
                <w:szCs w:val="16"/>
              </w:rPr>
            </w:pPr>
            <w:r>
              <w:rPr>
                <w:sz w:val="16"/>
                <w:szCs w:val="16"/>
                <w:spacing w:val="-3"/>
              </w:rPr>
              <w:t>5.5</w:t>
            </w:r>
          </w:p>
        </w:tc>
        <w:tc>
          <w:tcPr>
            <w:tcW w:w="1209" w:type="dxa"/>
            <w:vAlign w:val="top"/>
          </w:tcPr>
          <w:p>
            <w:pPr>
              <w:pStyle w:val="TableText"/>
              <w:ind w:left="468"/>
              <w:spacing w:before="224" w:line="183" w:lineRule="auto"/>
              <w:rPr>
                <w:sz w:val="16"/>
                <w:szCs w:val="16"/>
              </w:rPr>
            </w:pPr>
            <w:r>
              <w:rPr>
                <w:sz w:val="16"/>
                <w:szCs w:val="16"/>
                <w:spacing w:val="-2"/>
              </w:rPr>
              <w:t>4.8</w:t>
            </w:r>
          </w:p>
        </w:tc>
      </w:tr>
      <w:tr>
        <w:trPr>
          <w:trHeight w:val="308" w:hRule="atLeast"/>
        </w:trPr>
        <w:tc>
          <w:tcPr>
            <w:tcW w:w="1243" w:type="dxa"/>
            <w:vAlign w:val="top"/>
          </w:tcPr>
          <w:p>
            <w:pPr>
              <w:pStyle w:val="TableText"/>
              <w:ind w:left="130"/>
              <w:spacing w:before="75" w:line="221" w:lineRule="auto"/>
              <w:rPr>
                <w:sz w:val="16"/>
                <w:szCs w:val="16"/>
              </w:rPr>
            </w:pPr>
            <w:r>
              <w:rPr>
                <w:sz w:val="16"/>
                <w:szCs w:val="16"/>
                <w:spacing w:val="-2"/>
              </w:rPr>
              <w:t>农业</w:t>
            </w:r>
          </w:p>
        </w:tc>
        <w:tc>
          <w:tcPr>
            <w:tcW w:w="801" w:type="dxa"/>
            <w:vAlign w:val="top"/>
          </w:tcPr>
          <w:p>
            <w:pPr>
              <w:pStyle w:val="TableText"/>
              <w:ind w:left="267"/>
              <w:spacing w:before="114" w:line="183" w:lineRule="auto"/>
              <w:rPr>
                <w:sz w:val="16"/>
                <w:szCs w:val="16"/>
              </w:rPr>
            </w:pPr>
            <w:r>
              <w:rPr>
                <w:sz w:val="16"/>
                <w:szCs w:val="16"/>
                <w:spacing w:val="-2"/>
              </w:rPr>
              <w:t>0.84</w:t>
            </w:r>
          </w:p>
        </w:tc>
        <w:tc>
          <w:tcPr>
            <w:tcW w:w="919" w:type="dxa"/>
            <w:vAlign w:val="top"/>
          </w:tcPr>
          <w:p>
            <w:pPr>
              <w:pStyle w:val="TableText"/>
              <w:ind w:left="315"/>
              <w:spacing w:before="123" w:line="184" w:lineRule="auto"/>
              <w:rPr>
                <w:sz w:val="16"/>
                <w:szCs w:val="16"/>
              </w:rPr>
            </w:pPr>
            <w:r>
              <w:rPr>
                <w:sz w:val="16"/>
                <w:szCs w:val="16"/>
                <w:spacing w:val="-4"/>
              </w:rPr>
              <w:t>1.30</w:t>
            </w:r>
          </w:p>
        </w:tc>
        <w:tc>
          <w:tcPr>
            <w:tcW w:w="941" w:type="dxa"/>
            <w:vAlign w:val="top"/>
          </w:tcPr>
          <w:p>
            <w:pPr>
              <w:pStyle w:val="TableText"/>
              <w:ind w:left="297"/>
              <w:spacing w:before="134" w:line="184" w:lineRule="auto"/>
              <w:rPr>
                <w:sz w:val="16"/>
                <w:szCs w:val="16"/>
              </w:rPr>
            </w:pPr>
            <w:r>
              <w:rPr>
                <w:sz w:val="16"/>
                <w:szCs w:val="16"/>
                <w:spacing w:val="-4"/>
              </w:rPr>
              <w:t>1.87</w:t>
            </w:r>
          </w:p>
        </w:tc>
        <w:tc>
          <w:tcPr>
            <w:tcW w:w="774" w:type="dxa"/>
            <w:vAlign w:val="top"/>
          </w:tcPr>
          <w:p>
            <w:pPr>
              <w:pStyle w:val="TableText"/>
              <w:ind w:left="146"/>
              <w:spacing w:before="134" w:line="184" w:lineRule="auto"/>
              <w:rPr>
                <w:sz w:val="16"/>
                <w:szCs w:val="16"/>
              </w:rPr>
            </w:pPr>
            <w:r>
              <w:rPr>
                <w:sz w:val="16"/>
                <w:szCs w:val="16"/>
                <w:spacing w:val="-4"/>
              </w:rPr>
              <w:t>1.96</w:t>
            </w:r>
          </w:p>
        </w:tc>
        <w:tc>
          <w:tcPr>
            <w:tcW w:w="1230" w:type="dxa"/>
            <w:vAlign w:val="top"/>
          </w:tcPr>
          <w:p>
            <w:pPr>
              <w:pStyle w:val="TableText"/>
              <w:ind w:left="481"/>
              <w:spacing w:before="134" w:line="183" w:lineRule="auto"/>
              <w:rPr>
                <w:sz w:val="16"/>
                <w:szCs w:val="16"/>
              </w:rPr>
            </w:pPr>
            <w:r>
              <w:rPr>
                <w:sz w:val="16"/>
                <w:szCs w:val="16"/>
                <w:spacing w:val="-3"/>
              </w:rPr>
              <w:t>7.6</w:t>
            </w:r>
          </w:p>
        </w:tc>
        <w:tc>
          <w:tcPr>
            <w:tcW w:w="1204" w:type="dxa"/>
            <w:vAlign w:val="top"/>
          </w:tcPr>
          <w:p>
            <w:pPr>
              <w:pStyle w:val="TableText"/>
              <w:ind w:left="542"/>
              <w:spacing w:before="134" w:line="183" w:lineRule="auto"/>
              <w:rPr>
                <w:sz w:val="16"/>
                <w:szCs w:val="16"/>
              </w:rPr>
            </w:pPr>
            <w:r>
              <w:rPr>
                <w:sz w:val="16"/>
                <w:szCs w:val="16"/>
                <w:spacing w:val="-3"/>
              </w:rPr>
              <w:t>7.6</w:t>
            </w:r>
          </w:p>
        </w:tc>
        <w:tc>
          <w:tcPr>
            <w:tcW w:w="1259" w:type="dxa"/>
            <w:vAlign w:val="top"/>
          </w:tcPr>
          <w:p>
            <w:pPr>
              <w:pStyle w:val="TableText"/>
              <w:ind w:left="508"/>
              <w:spacing w:before="124" w:line="183" w:lineRule="auto"/>
              <w:rPr>
                <w:sz w:val="16"/>
                <w:szCs w:val="16"/>
              </w:rPr>
            </w:pPr>
            <w:r>
              <w:rPr>
                <w:sz w:val="16"/>
                <w:szCs w:val="16"/>
                <w:spacing w:val="-2"/>
              </w:rPr>
              <w:t>0.7</w:t>
            </w:r>
          </w:p>
        </w:tc>
        <w:tc>
          <w:tcPr>
            <w:tcW w:w="1209" w:type="dxa"/>
            <w:vAlign w:val="top"/>
          </w:tcPr>
          <w:p>
            <w:pPr>
              <w:pStyle w:val="TableText"/>
              <w:ind w:left="468"/>
              <w:spacing w:before="143" w:line="178" w:lineRule="auto"/>
              <w:rPr>
                <w:sz w:val="16"/>
                <w:szCs w:val="16"/>
              </w:rPr>
            </w:pPr>
            <w:r>
              <w:rPr>
                <w:sz w:val="16"/>
                <w:szCs w:val="16"/>
                <w:spacing w:val="-3"/>
              </w:rPr>
              <w:t>5.1</w:t>
            </w:r>
          </w:p>
        </w:tc>
      </w:tr>
      <w:tr>
        <w:trPr>
          <w:trHeight w:val="290" w:hRule="atLeast"/>
        </w:trPr>
        <w:tc>
          <w:tcPr>
            <w:tcW w:w="1243" w:type="dxa"/>
            <w:vAlign w:val="top"/>
          </w:tcPr>
          <w:p>
            <w:pPr>
              <w:pStyle w:val="TableText"/>
              <w:ind w:left="130"/>
              <w:spacing w:before="64" w:line="219" w:lineRule="auto"/>
              <w:rPr>
                <w:sz w:val="16"/>
                <w:szCs w:val="16"/>
              </w:rPr>
            </w:pPr>
            <w:r>
              <w:rPr>
                <w:sz w:val="16"/>
                <w:szCs w:val="16"/>
                <w:spacing w:val="-2"/>
              </w:rPr>
              <w:t>采掘业</w:t>
            </w:r>
          </w:p>
        </w:tc>
        <w:tc>
          <w:tcPr>
            <w:tcW w:w="801" w:type="dxa"/>
            <w:vAlign w:val="top"/>
          </w:tcPr>
          <w:p>
            <w:pPr>
              <w:pStyle w:val="TableText"/>
              <w:ind w:left="267"/>
              <w:spacing w:before="106" w:line="183" w:lineRule="auto"/>
              <w:rPr>
                <w:sz w:val="16"/>
                <w:szCs w:val="16"/>
              </w:rPr>
            </w:pPr>
            <w:r>
              <w:rPr>
                <w:sz w:val="16"/>
                <w:szCs w:val="16"/>
                <w:spacing w:val="-2"/>
              </w:rPr>
              <w:t>0.42</w:t>
            </w:r>
          </w:p>
        </w:tc>
        <w:tc>
          <w:tcPr>
            <w:tcW w:w="919" w:type="dxa"/>
            <w:vAlign w:val="top"/>
          </w:tcPr>
          <w:p>
            <w:pPr>
              <w:pStyle w:val="TableText"/>
              <w:ind w:left="315"/>
              <w:spacing w:before="106" w:line="183" w:lineRule="auto"/>
              <w:rPr>
                <w:sz w:val="16"/>
                <w:szCs w:val="16"/>
              </w:rPr>
            </w:pPr>
            <w:r>
              <w:rPr>
                <w:sz w:val="16"/>
                <w:szCs w:val="16"/>
                <w:spacing w:val="-2"/>
              </w:rPr>
              <w:t>0.63</w:t>
            </w:r>
          </w:p>
        </w:tc>
        <w:tc>
          <w:tcPr>
            <w:tcW w:w="941" w:type="dxa"/>
            <w:vAlign w:val="top"/>
          </w:tcPr>
          <w:p>
            <w:pPr>
              <w:pStyle w:val="TableText"/>
              <w:ind w:left="297"/>
              <w:spacing w:before="126" w:line="177" w:lineRule="auto"/>
              <w:rPr>
                <w:sz w:val="16"/>
                <w:szCs w:val="16"/>
              </w:rPr>
            </w:pPr>
            <w:r>
              <w:rPr>
                <w:sz w:val="16"/>
                <w:szCs w:val="16"/>
                <w:spacing w:val="-2"/>
              </w:rPr>
              <w:t>0.97</w:t>
            </w:r>
          </w:p>
        </w:tc>
        <w:tc>
          <w:tcPr>
            <w:tcW w:w="774" w:type="dxa"/>
            <w:vAlign w:val="top"/>
          </w:tcPr>
          <w:p>
            <w:pPr>
              <w:pStyle w:val="TableText"/>
              <w:ind w:left="146"/>
              <w:spacing w:before="106" w:line="183" w:lineRule="auto"/>
              <w:rPr>
                <w:sz w:val="16"/>
                <w:szCs w:val="16"/>
              </w:rPr>
            </w:pPr>
            <w:r>
              <w:rPr>
                <w:sz w:val="16"/>
                <w:szCs w:val="16"/>
                <w:spacing w:val="-2"/>
              </w:rPr>
              <w:t>0.75</w:t>
            </w:r>
          </w:p>
        </w:tc>
        <w:tc>
          <w:tcPr>
            <w:tcW w:w="1230" w:type="dxa"/>
            <w:vAlign w:val="top"/>
          </w:tcPr>
          <w:p>
            <w:pPr>
              <w:pStyle w:val="TableText"/>
              <w:ind w:left="481"/>
              <w:spacing w:before="125" w:line="178" w:lineRule="auto"/>
              <w:rPr>
                <w:sz w:val="16"/>
                <w:szCs w:val="16"/>
              </w:rPr>
            </w:pPr>
            <w:r>
              <w:rPr>
                <w:sz w:val="16"/>
                <w:szCs w:val="16"/>
                <w:spacing w:val="-3"/>
              </w:rPr>
              <w:t>7.1</w:t>
            </w:r>
          </w:p>
        </w:tc>
        <w:tc>
          <w:tcPr>
            <w:tcW w:w="1204" w:type="dxa"/>
            <w:vAlign w:val="top"/>
          </w:tcPr>
          <w:p>
            <w:pPr>
              <w:pStyle w:val="TableText"/>
              <w:ind w:left="542"/>
              <w:spacing w:before="106" w:line="183" w:lineRule="auto"/>
              <w:rPr>
                <w:sz w:val="16"/>
                <w:szCs w:val="16"/>
              </w:rPr>
            </w:pPr>
            <w:r>
              <w:rPr>
                <w:sz w:val="16"/>
                <w:szCs w:val="16"/>
                <w:spacing w:val="-2"/>
              </w:rPr>
              <w:t>9.0</w:t>
            </w:r>
          </w:p>
        </w:tc>
        <w:tc>
          <w:tcPr>
            <w:tcW w:w="1259" w:type="dxa"/>
            <w:vAlign w:val="top"/>
          </w:tcPr>
          <w:p>
            <w:pPr>
              <w:pStyle w:val="TableText"/>
              <w:ind w:left="467"/>
              <w:spacing w:before="106" w:line="183" w:lineRule="auto"/>
              <w:rPr>
                <w:sz w:val="16"/>
                <w:szCs w:val="16"/>
              </w:rPr>
            </w:pPr>
            <w:r>
              <w:rPr>
                <w:sz w:val="16"/>
                <w:szCs w:val="16"/>
                <w:spacing w:val="-1"/>
              </w:rPr>
              <w:t>-4.2</w:t>
            </w:r>
          </w:p>
        </w:tc>
        <w:tc>
          <w:tcPr>
            <w:tcW w:w="1209" w:type="dxa"/>
            <w:vAlign w:val="top"/>
          </w:tcPr>
          <w:p>
            <w:pPr>
              <w:pStyle w:val="TableText"/>
              <w:ind w:left="468"/>
              <w:spacing w:before="116" w:line="183" w:lineRule="auto"/>
              <w:rPr>
                <w:sz w:val="16"/>
                <w:szCs w:val="16"/>
              </w:rPr>
            </w:pPr>
            <w:r>
              <w:rPr>
                <w:sz w:val="16"/>
                <w:szCs w:val="16"/>
                <w:spacing w:val="-3"/>
              </w:rPr>
              <w:t>3.5</w:t>
            </w:r>
          </w:p>
        </w:tc>
      </w:tr>
      <w:tr>
        <w:trPr>
          <w:trHeight w:val="288" w:hRule="atLeast"/>
        </w:trPr>
        <w:tc>
          <w:tcPr>
            <w:tcW w:w="1243" w:type="dxa"/>
            <w:vAlign w:val="top"/>
          </w:tcPr>
          <w:p>
            <w:pPr>
              <w:pStyle w:val="TableText"/>
              <w:ind w:left="130"/>
              <w:spacing w:before="66" w:line="220" w:lineRule="auto"/>
              <w:rPr>
                <w:sz w:val="16"/>
                <w:szCs w:val="16"/>
              </w:rPr>
            </w:pPr>
            <w:r>
              <w:rPr>
                <w:sz w:val="16"/>
                <w:szCs w:val="16"/>
                <w:spacing w:val="-2"/>
              </w:rPr>
              <w:t>建筑业</w:t>
            </w:r>
          </w:p>
        </w:tc>
        <w:tc>
          <w:tcPr>
            <w:tcW w:w="801" w:type="dxa"/>
            <w:vAlign w:val="top"/>
          </w:tcPr>
          <w:p>
            <w:pPr>
              <w:pStyle w:val="TableText"/>
              <w:ind w:left="267"/>
              <w:spacing w:before="105" w:line="184" w:lineRule="auto"/>
              <w:rPr>
                <w:sz w:val="16"/>
                <w:szCs w:val="16"/>
              </w:rPr>
            </w:pPr>
            <w:r>
              <w:rPr>
                <w:sz w:val="16"/>
                <w:szCs w:val="16"/>
                <w:spacing w:val="-2"/>
              </w:rPr>
              <w:t>0.61</w:t>
            </w:r>
          </w:p>
        </w:tc>
        <w:tc>
          <w:tcPr>
            <w:tcW w:w="919" w:type="dxa"/>
            <w:vAlign w:val="top"/>
          </w:tcPr>
          <w:p>
            <w:pPr>
              <w:pStyle w:val="TableText"/>
              <w:ind w:left="315"/>
              <w:spacing w:before="116" w:line="183" w:lineRule="auto"/>
              <w:rPr>
                <w:sz w:val="16"/>
                <w:szCs w:val="16"/>
              </w:rPr>
            </w:pPr>
            <w:r>
              <w:rPr>
                <w:sz w:val="16"/>
                <w:szCs w:val="16"/>
                <w:spacing w:val="-2"/>
              </w:rPr>
              <w:t>0.64</w:t>
            </w:r>
          </w:p>
        </w:tc>
        <w:tc>
          <w:tcPr>
            <w:tcW w:w="941" w:type="dxa"/>
            <w:vAlign w:val="top"/>
          </w:tcPr>
          <w:p>
            <w:pPr>
              <w:pStyle w:val="TableText"/>
              <w:ind w:left="297"/>
              <w:spacing w:before="126" w:line="175" w:lineRule="auto"/>
              <w:rPr>
                <w:sz w:val="16"/>
                <w:szCs w:val="16"/>
              </w:rPr>
            </w:pPr>
            <w:r>
              <w:rPr>
                <w:sz w:val="16"/>
                <w:szCs w:val="16"/>
                <w:spacing w:val="-4"/>
              </w:rPr>
              <w:t>1.02</w:t>
            </w:r>
          </w:p>
        </w:tc>
        <w:tc>
          <w:tcPr>
            <w:tcW w:w="774" w:type="dxa"/>
            <w:vAlign w:val="top"/>
          </w:tcPr>
          <w:p>
            <w:pPr>
              <w:pStyle w:val="TableText"/>
              <w:ind w:left="146"/>
              <w:spacing w:before="115" w:line="184" w:lineRule="auto"/>
              <w:rPr>
                <w:sz w:val="16"/>
                <w:szCs w:val="16"/>
              </w:rPr>
            </w:pPr>
            <w:r>
              <w:rPr>
                <w:sz w:val="16"/>
                <w:szCs w:val="16"/>
                <w:spacing w:val="-4"/>
              </w:rPr>
              <w:t>1.18</w:t>
            </w:r>
          </w:p>
        </w:tc>
        <w:tc>
          <w:tcPr>
            <w:tcW w:w="1230" w:type="dxa"/>
            <w:vAlign w:val="top"/>
          </w:tcPr>
          <w:p>
            <w:pPr>
              <w:pStyle w:val="TableText"/>
              <w:ind w:left="481"/>
              <w:spacing w:before="127" w:line="174" w:lineRule="auto"/>
              <w:rPr>
                <w:sz w:val="16"/>
                <w:szCs w:val="16"/>
              </w:rPr>
            </w:pPr>
            <w:r>
              <w:rPr>
                <w:sz w:val="16"/>
                <w:szCs w:val="16"/>
                <w:spacing w:val="-2"/>
              </w:rPr>
              <w:t>0.6</w:t>
            </w:r>
          </w:p>
        </w:tc>
        <w:tc>
          <w:tcPr>
            <w:tcW w:w="1204" w:type="dxa"/>
            <w:vAlign w:val="top"/>
          </w:tcPr>
          <w:p>
            <w:pPr>
              <w:pStyle w:val="TableText"/>
              <w:ind w:left="501"/>
              <w:spacing w:before="115" w:line="184" w:lineRule="auto"/>
              <w:rPr>
                <w:sz w:val="16"/>
                <w:szCs w:val="16"/>
              </w:rPr>
            </w:pPr>
            <w:r>
              <w:rPr>
                <w:sz w:val="16"/>
                <w:szCs w:val="16"/>
                <w:spacing w:val="-4"/>
              </w:rPr>
              <w:t>10.0</w:t>
            </w:r>
          </w:p>
        </w:tc>
        <w:tc>
          <w:tcPr>
            <w:tcW w:w="1259" w:type="dxa"/>
            <w:vAlign w:val="top"/>
          </w:tcPr>
          <w:p>
            <w:pPr>
              <w:pStyle w:val="TableText"/>
              <w:ind w:left="508"/>
              <w:spacing w:before="116" w:line="183" w:lineRule="auto"/>
              <w:rPr>
                <w:sz w:val="16"/>
                <w:szCs w:val="16"/>
              </w:rPr>
            </w:pPr>
            <w:r>
              <w:rPr>
                <w:sz w:val="16"/>
                <w:szCs w:val="16"/>
                <w:spacing w:val="-2"/>
              </w:rPr>
              <w:t>2.4</w:t>
            </w:r>
          </w:p>
        </w:tc>
        <w:tc>
          <w:tcPr>
            <w:tcW w:w="1209" w:type="dxa"/>
            <w:vAlign w:val="top"/>
          </w:tcPr>
          <w:p>
            <w:pPr>
              <w:pStyle w:val="TableText"/>
              <w:ind w:left="468"/>
              <w:spacing w:before="127" w:line="174" w:lineRule="auto"/>
              <w:rPr>
                <w:sz w:val="16"/>
                <w:szCs w:val="16"/>
              </w:rPr>
            </w:pPr>
            <w:r>
              <w:rPr>
                <w:sz w:val="16"/>
                <w:szCs w:val="16"/>
                <w:spacing w:val="-3"/>
              </w:rPr>
              <w:t>3.9</w:t>
            </w:r>
          </w:p>
        </w:tc>
      </w:tr>
      <w:tr>
        <w:trPr>
          <w:trHeight w:val="305" w:hRule="atLeast"/>
        </w:trPr>
        <w:tc>
          <w:tcPr>
            <w:tcW w:w="1243" w:type="dxa"/>
            <w:vAlign w:val="top"/>
            <w:tcBorders>
              <w:bottom w:val="single" w:color="000000" w:sz="4" w:space="0"/>
            </w:tcBorders>
          </w:tcPr>
          <w:p>
            <w:pPr>
              <w:pStyle w:val="TableText"/>
              <w:ind w:left="110"/>
              <w:spacing w:before="67" w:line="219" w:lineRule="auto"/>
              <w:rPr>
                <w:sz w:val="16"/>
                <w:szCs w:val="16"/>
              </w:rPr>
            </w:pPr>
            <w:r>
              <w:rPr>
                <w:sz w:val="16"/>
                <w:szCs w:val="16"/>
                <w:spacing w:val="-2"/>
              </w:rPr>
              <w:t>非市场服务业</w:t>
            </w:r>
          </w:p>
        </w:tc>
        <w:tc>
          <w:tcPr>
            <w:tcW w:w="801" w:type="dxa"/>
            <w:vAlign w:val="top"/>
            <w:tcBorders>
              <w:bottom w:val="single" w:color="000000" w:sz="4" w:space="0"/>
            </w:tcBorders>
          </w:tcPr>
          <w:p>
            <w:pPr>
              <w:pStyle w:val="TableText"/>
              <w:ind w:left="267"/>
              <w:spacing w:before="108" w:line="183" w:lineRule="auto"/>
              <w:rPr>
                <w:sz w:val="16"/>
                <w:szCs w:val="16"/>
              </w:rPr>
            </w:pPr>
            <w:r>
              <w:rPr>
                <w:sz w:val="16"/>
                <w:szCs w:val="16"/>
                <w:spacing w:val="-2"/>
              </w:rPr>
              <w:t>0.85</w:t>
            </w:r>
          </w:p>
        </w:tc>
        <w:tc>
          <w:tcPr>
            <w:tcW w:w="919" w:type="dxa"/>
            <w:vAlign w:val="top"/>
            <w:tcBorders>
              <w:bottom w:val="single" w:color="000000" w:sz="4" w:space="0"/>
            </w:tcBorders>
          </w:tcPr>
          <w:p>
            <w:pPr>
              <w:pStyle w:val="TableText"/>
              <w:ind w:left="315"/>
              <w:spacing w:before="118" w:line="183" w:lineRule="auto"/>
              <w:rPr>
                <w:sz w:val="16"/>
                <w:szCs w:val="16"/>
              </w:rPr>
            </w:pPr>
            <w:r>
              <w:rPr>
                <w:sz w:val="16"/>
                <w:szCs w:val="16"/>
                <w:spacing w:val="-2"/>
              </w:rPr>
              <w:t>2.06</w:t>
            </w:r>
          </w:p>
        </w:tc>
        <w:tc>
          <w:tcPr>
            <w:tcW w:w="941" w:type="dxa"/>
            <w:vAlign w:val="top"/>
            <w:tcBorders>
              <w:bottom w:val="single" w:color="000000" w:sz="4" w:space="0"/>
            </w:tcBorders>
          </w:tcPr>
          <w:p>
            <w:pPr>
              <w:pStyle w:val="TableText"/>
              <w:ind w:left="297"/>
              <w:spacing w:before="128" w:line="183" w:lineRule="auto"/>
              <w:rPr>
                <w:sz w:val="16"/>
                <w:szCs w:val="16"/>
              </w:rPr>
            </w:pPr>
            <w:r>
              <w:rPr>
                <w:sz w:val="16"/>
                <w:szCs w:val="16"/>
                <w:spacing w:val="-2"/>
              </w:rPr>
              <w:t>5.34</w:t>
            </w:r>
          </w:p>
        </w:tc>
        <w:tc>
          <w:tcPr>
            <w:tcW w:w="774" w:type="dxa"/>
            <w:vAlign w:val="top"/>
            <w:tcBorders>
              <w:bottom w:val="single" w:color="000000" w:sz="4" w:space="0"/>
            </w:tcBorders>
          </w:tcPr>
          <w:p>
            <w:pPr>
              <w:pStyle w:val="TableText"/>
              <w:ind w:left="146"/>
              <w:spacing w:before="128" w:line="183" w:lineRule="auto"/>
              <w:rPr>
                <w:sz w:val="16"/>
                <w:szCs w:val="16"/>
              </w:rPr>
            </w:pPr>
            <w:r>
              <w:rPr>
                <w:sz w:val="16"/>
                <w:szCs w:val="16"/>
                <w:spacing w:val="-2"/>
              </w:rPr>
              <w:t>9.76</w:t>
            </w:r>
          </w:p>
        </w:tc>
        <w:tc>
          <w:tcPr>
            <w:tcW w:w="1230" w:type="dxa"/>
            <w:vAlign w:val="top"/>
            <w:tcBorders>
              <w:bottom w:val="single" w:color="000000" w:sz="4" w:space="0"/>
            </w:tcBorders>
          </w:tcPr>
          <w:p>
            <w:pPr>
              <w:pStyle w:val="TableText"/>
              <w:ind w:left="442"/>
              <w:spacing w:before="127" w:line="184" w:lineRule="auto"/>
              <w:rPr>
                <w:sz w:val="16"/>
                <w:szCs w:val="16"/>
              </w:rPr>
            </w:pPr>
            <w:r>
              <w:rPr>
                <w:sz w:val="16"/>
                <w:szCs w:val="16"/>
                <w:spacing w:val="-4"/>
              </w:rPr>
              <w:t>16.0</w:t>
            </w:r>
          </w:p>
        </w:tc>
        <w:tc>
          <w:tcPr>
            <w:tcW w:w="1204" w:type="dxa"/>
            <w:vAlign w:val="top"/>
            <w:tcBorders>
              <w:bottom w:val="single" w:color="000000" w:sz="4" w:space="0"/>
            </w:tcBorders>
          </w:tcPr>
          <w:p>
            <w:pPr>
              <w:pStyle w:val="TableText"/>
              <w:ind w:left="501"/>
              <w:spacing w:before="108" w:line="183" w:lineRule="auto"/>
              <w:rPr>
                <w:sz w:val="16"/>
                <w:szCs w:val="16"/>
              </w:rPr>
            </w:pPr>
            <w:r>
              <w:rPr>
                <w:sz w:val="16"/>
                <w:szCs w:val="16"/>
                <w:spacing w:val="-2"/>
              </w:rPr>
              <w:t>20.9</w:t>
            </w:r>
          </w:p>
        </w:tc>
        <w:tc>
          <w:tcPr>
            <w:tcW w:w="1259" w:type="dxa"/>
            <w:vAlign w:val="top"/>
            <w:tcBorders>
              <w:bottom w:val="single" w:color="000000" w:sz="4" w:space="0"/>
            </w:tcBorders>
          </w:tcPr>
          <w:p>
            <w:pPr>
              <w:pStyle w:val="TableText"/>
              <w:ind w:left="467"/>
              <w:spacing w:before="118" w:line="184" w:lineRule="auto"/>
              <w:rPr>
                <w:sz w:val="16"/>
                <w:szCs w:val="16"/>
              </w:rPr>
            </w:pPr>
            <w:r>
              <w:rPr>
                <w:sz w:val="16"/>
                <w:szCs w:val="16"/>
                <w:spacing w:val="-4"/>
              </w:rPr>
              <w:t>10.6</w:t>
            </w:r>
          </w:p>
        </w:tc>
        <w:tc>
          <w:tcPr>
            <w:tcW w:w="1209" w:type="dxa"/>
            <w:vAlign w:val="top"/>
            <w:tcBorders>
              <w:bottom w:val="single" w:color="000000" w:sz="4" w:space="0"/>
            </w:tcBorders>
          </w:tcPr>
          <w:p>
            <w:pPr>
              <w:pStyle w:val="TableText"/>
              <w:ind w:left="429"/>
              <w:spacing w:before="127" w:line="184" w:lineRule="auto"/>
              <w:rPr>
                <w:sz w:val="16"/>
                <w:szCs w:val="16"/>
              </w:rPr>
            </w:pPr>
            <w:r>
              <w:rPr>
                <w:sz w:val="16"/>
                <w:szCs w:val="16"/>
                <w:spacing w:val="-4"/>
              </w:rPr>
              <w:t>15.5</w:t>
            </w:r>
          </w:p>
        </w:tc>
      </w:tr>
    </w:tbl>
    <w:p>
      <w:pPr>
        <w:ind w:left="390"/>
        <w:spacing w:before="85" w:line="220" w:lineRule="auto"/>
        <w:rPr>
          <w:rFonts w:ascii="KaiTi" w:hAnsi="KaiTi" w:eastAsia="KaiTi" w:cs="KaiTi"/>
          <w:sz w:val="17"/>
          <w:szCs w:val="17"/>
        </w:rPr>
      </w:pPr>
      <w:r>
        <w:rPr>
          <w:rFonts w:ascii="KaiTi" w:hAnsi="KaiTi" w:eastAsia="KaiTi" w:cs="KaiTi"/>
          <w:sz w:val="17"/>
          <w:szCs w:val="17"/>
          <w:spacing w:val="-12"/>
        </w:rPr>
        <w:t>资料来源：作者计算，数据出处及构建方法见本章第三节。</w:t>
      </w:r>
    </w:p>
    <w:p>
      <w:pPr>
        <w:spacing w:line="220" w:lineRule="auto"/>
        <w:sectPr>
          <w:headerReference w:type="default" r:id="rId1"/>
          <w:footerReference w:type="default" r:id="rId2"/>
          <w:pgSz w:w="12480" w:h="7330"/>
          <w:pgMar w:top="400" w:right="414" w:bottom="400" w:left="1259" w:header="0" w:footer="0" w:gutter="0"/>
        </w:sectPr>
        <w:rPr>
          <w:rFonts w:ascii="KaiTi" w:hAnsi="KaiTi" w:eastAsia="KaiTi" w:cs="KaiTi"/>
          <w:sz w:val="17"/>
          <w:szCs w:val="17"/>
        </w:rPr>
      </w:pPr>
    </w:p>
    <w:p>
      <w:pPr>
        <w:ind w:left="1722"/>
        <w:spacing w:before="240" w:line="221" w:lineRule="auto"/>
        <w:rPr>
          <w:rFonts w:ascii="SimSun" w:hAnsi="SimSun" w:eastAsia="SimSun" w:cs="SimSun"/>
          <w:sz w:val="12"/>
          <w:szCs w:val="12"/>
        </w:rPr>
      </w:pPr>
      <w:r>
        <w:drawing>
          <wp:anchor distT="0" distB="0" distL="0" distR="0" simplePos="0" relativeHeight="252736512" behindDoc="0" locked="0" layoutInCell="0" allowOverlap="1">
            <wp:simplePos x="0" y="0"/>
            <wp:positionH relativeFrom="page">
              <wp:posOffset>234961</wp:posOffset>
            </wp:positionH>
            <wp:positionV relativeFrom="page">
              <wp:posOffset>4756142</wp:posOffset>
            </wp:positionV>
            <wp:extent cx="1168384" cy="6350"/>
            <wp:effectExtent l="0" t="0" r="0" b="0"/>
            <wp:wrapNone/>
            <wp:docPr id="116" name="IM 116"/>
            <wp:cNvGraphicFramePr/>
            <a:graphic>
              <a:graphicData uri="http://schemas.openxmlformats.org/drawingml/2006/picture">
                <pic:pic>
                  <pic:nvPicPr>
                    <pic:cNvPr id="116" name="IM 116"/>
                    <pic:cNvPicPr/>
                  </pic:nvPicPr>
                  <pic:blipFill>
                    <a:blip r:embed="rId126"/>
                    <a:stretch>
                      <a:fillRect/>
                    </a:stretch>
                  </pic:blipFill>
                  <pic:spPr>
                    <a:xfrm rot="0">
                      <a:off x="0" y="0"/>
                      <a:ext cx="1168384" cy="6350"/>
                    </a:xfrm>
                    <a:prstGeom prst="rect">
                      <a:avLst/>
                    </a:prstGeom>
                  </pic:spPr>
                </pic:pic>
              </a:graphicData>
            </a:graphic>
          </wp:anchor>
        </w:drawing>
      </w:r>
      <w:r>
        <w:rPr>
          <w:rFonts w:ascii="YouYuan" w:hAnsi="YouYuan" w:eastAsia="YouYuan" w:cs="YouYuan"/>
          <w:sz w:val="18"/>
          <w:szCs w:val="18"/>
          <w:b/>
          <w:bCs/>
          <w:spacing w:val="-15"/>
        </w:rPr>
        <w:t>第二章</w:t>
      </w:r>
      <w:r>
        <w:rPr>
          <w:rFonts w:ascii="YouYuan" w:hAnsi="YouYuan" w:eastAsia="YouYuan" w:cs="YouYuan"/>
          <w:sz w:val="18"/>
          <w:szCs w:val="18"/>
          <w:spacing w:val="-15"/>
        </w:rPr>
        <w:t xml:space="preserve"> </w:t>
      </w:r>
      <w:r>
        <w:rPr>
          <w:rFonts w:ascii="YouYuan" w:hAnsi="YouYuan" w:eastAsia="YouYuan" w:cs="YouYuan"/>
          <w:sz w:val="18"/>
          <w:szCs w:val="18"/>
          <w:b/>
          <w:bCs/>
          <w:spacing w:val="-15"/>
        </w:rPr>
        <w:t>数字经济对中国经济增长的影响</w:t>
      </w:r>
      <w:r>
        <w:rPr>
          <w:rFonts w:ascii="YouYuan" w:hAnsi="YouYuan" w:eastAsia="YouYuan" w:cs="YouYuan"/>
          <w:sz w:val="18"/>
          <w:szCs w:val="18"/>
          <w:spacing w:val="-15"/>
        </w:rPr>
        <w:t xml:space="preserve">          </w:t>
      </w:r>
      <w:r>
        <w:rPr>
          <w:rFonts w:ascii="YouYuan" w:hAnsi="YouYuan" w:eastAsia="YouYuan" w:cs="YouYuan"/>
          <w:sz w:val="18"/>
          <w:szCs w:val="18"/>
          <w:spacing w:val="-16"/>
        </w:rPr>
        <w:t xml:space="preserve">       </w:t>
      </w:r>
      <w:r>
        <w:rPr>
          <w:rFonts w:ascii="SimSun" w:hAnsi="SimSun" w:eastAsia="SimSun" w:cs="SimSun"/>
          <w:sz w:val="12"/>
          <w:szCs w:val="12"/>
          <w:spacing w:val="-16"/>
          <w:position w:val="-3"/>
        </w:rPr>
        <w:t>095</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60" w:firstLine="90"/>
        <w:spacing w:before="59" w:line="358" w:lineRule="auto"/>
        <w:jc w:val="both"/>
        <w:rPr>
          <w:rFonts w:ascii="SimSun" w:hAnsi="SimSun" w:eastAsia="SimSun" w:cs="SimSun"/>
          <w:sz w:val="18"/>
          <w:szCs w:val="18"/>
        </w:rPr>
      </w:pPr>
      <w:r>
        <w:rPr>
          <w:rFonts w:ascii="SimSun" w:hAnsi="SimSun" w:eastAsia="SimSun" w:cs="SimSun"/>
          <w:sz w:val="18"/>
          <w:szCs w:val="18"/>
          <w:spacing w:val="18"/>
        </w:rPr>
        <w:t>至于我们可以将这个时期称为中国经济的</w:t>
      </w:r>
      <w:r>
        <w:rPr>
          <w:rFonts w:ascii="SimSun" w:hAnsi="SimSun" w:eastAsia="SimSun" w:cs="SimSun"/>
          <w:sz w:val="18"/>
          <w:szCs w:val="18"/>
          <w:spacing w:val="-54"/>
        </w:rPr>
        <w:t xml:space="preserve"> </w:t>
      </w:r>
      <w:r>
        <w:rPr>
          <w:rFonts w:ascii="Times New Roman" w:hAnsi="Times New Roman" w:eastAsia="Times New Roman" w:cs="Times New Roman"/>
          <w:sz w:val="18"/>
          <w:szCs w:val="18"/>
          <w:spacing w:val="18"/>
        </w:rPr>
        <w:t>“</w:t>
      </w:r>
      <w:r>
        <w:rPr>
          <w:rFonts w:ascii="Times New Roman" w:hAnsi="Times New Roman" w:eastAsia="Times New Roman" w:cs="Times New Roman"/>
          <w:sz w:val="18"/>
          <w:szCs w:val="18"/>
        </w:rPr>
        <w:t>ULC</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17"/>
        </w:rPr>
        <w:t xml:space="preserve">  </w:t>
      </w:r>
      <w:r>
        <w:rPr>
          <w:rFonts w:ascii="SimSun" w:hAnsi="SimSun" w:eastAsia="SimSun" w:cs="SimSun"/>
          <w:sz w:val="18"/>
          <w:szCs w:val="18"/>
          <w:spacing w:val="17"/>
        </w:rPr>
        <w:t>黄金期”。其大背景</w:t>
      </w:r>
      <w:r>
        <w:rPr>
          <w:rFonts w:ascii="SimSun" w:hAnsi="SimSun" w:eastAsia="SimSun" w:cs="SimSun"/>
          <w:sz w:val="18"/>
          <w:szCs w:val="18"/>
        </w:rPr>
        <w:t xml:space="preserve"> </w:t>
      </w:r>
      <w:r>
        <w:rPr>
          <w:rFonts w:ascii="SimSun" w:hAnsi="SimSun" w:eastAsia="SimSun" w:cs="SimSun"/>
          <w:sz w:val="18"/>
          <w:szCs w:val="18"/>
          <w:spacing w:val="29"/>
        </w:rPr>
        <w:t>是加入世界贸易组织后中国制造业部门的整体</w:t>
      </w:r>
      <w:r>
        <w:rPr>
          <w:rFonts w:ascii="Times New Roman" w:hAnsi="Times New Roman" w:eastAsia="Times New Roman" w:cs="Times New Roman"/>
          <w:sz w:val="18"/>
          <w:szCs w:val="18"/>
        </w:rPr>
        <w:t>ULC</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9"/>
        </w:rPr>
        <w:t>骤然下降。这个</w:t>
      </w:r>
      <w:r>
        <w:rPr>
          <w:rFonts w:ascii="SimSun" w:hAnsi="SimSun" w:eastAsia="SimSun" w:cs="SimSun"/>
          <w:sz w:val="18"/>
          <w:szCs w:val="18"/>
          <w:spacing w:val="1"/>
        </w:rPr>
        <w:t xml:space="preserve"> </w:t>
      </w:r>
      <w:r>
        <w:rPr>
          <w:rFonts w:ascii="SimSun" w:hAnsi="SimSun" w:eastAsia="SimSun" w:cs="SimSun"/>
          <w:sz w:val="18"/>
          <w:szCs w:val="18"/>
          <w:spacing w:val="23"/>
        </w:rPr>
        <w:t>“低成本冲击”也许可以在相当程度上解释为什么中国经济能够在一</w:t>
      </w:r>
    </w:p>
    <w:p>
      <w:pPr>
        <w:ind w:left="90"/>
        <w:spacing w:line="217" w:lineRule="auto"/>
        <w:rPr>
          <w:rFonts w:ascii="SimSun" w:hAnsi="SimSun" w:eastAsia="SimSun" w:cs="SimSun"/>
          <w:sz w:val="18"/>
          <w:szCs w:val="18"/>
        </w:rPr>
      </w:pPr>
      <w:r>
        <w:rPr>
          <w:rFonts w:ascii="SimSun" w:hAnsi="SimSun" w:eastAsia="SimSun" w:cs="SimSun"/>
          <w:sz w:val="18"/>
          <w:szCs w:val="18"/>
          <w:spacing w:val="10"/>
        </w:rPr>
        <w:t>个极短的时间内成为“世界工厂”。①</w:t>
      </w:r>
    </w:p>
    <w:p>
      <w:pPr>
        <w:ind w:left="520"/>
        <w:spacing w:before="149" w:line="219" w:lineRule="auto"/>
        <w:rPr>
          <w:rFonts w:ascii="SimSun" w:hAnsi="SimSun" w:eastAsia="SimSun" w:cs="SimSun"/>
          <w:sz w:val="18"/>
          <w:szCs w:val="18"/>
        </w:rPr>
      </w:pPr>
      <w:r>
        <w:rPr>
          <w:rFonts w:ascii="SimSun" w:hAnsi="SimSun" w:eastAsia="SimSun" w:cs="SimSun"/>
          <w:sz w:val="18"/>
          <w:szCs w:val="18"/>
          <w:spacing w:val="23"/>
        </w:rPr>
        <w:t>然而，2008年的全球金融危机使中国经济的</w:t>
      </w:r>
      <w:r>
        <w:rPr>
          <w:rFonts w:ascii="SimSun" w:hAnsi="SimSun" w:eastAsia="SimSun" w:cs="SimSun"/>
          <w:sz w:val="18"/>
          <w:szCs w:val="18"/>
          <w:spacing w:val="-22"/>
        </w:rPr>
        <w:t xml:space="preserve"> </w:t>
      </w:r>
      <w:r>
        <w:rPr>
          <w:rFonts w:ascii="Times New Roman" w:hAnsi="Times New Roman" w:eastAsia="Times New Roman" w:cs="Times New Roman"/>
          <w:sz w:val="18"/>
          <w:szCs w:val="18"/>
          <w:spacing w:val="23"/>
        </w:rPr>
        <w:t>“</w:t>
      </w:r>
      <w:r>
        <w:rPr>
          <w:rFonts w:ascii="Times New Roman" w:hAnsi="Times New Roman" w:eastAsia="Times New Roman" w:cs="Times New Roman"/>
          <w:sz w:val="18"/>
          <w:szCs w:val="18"/>
        </w:rPr>
        <w:t>ULC</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3"/>
        </w:rPr>
        <w:t>黄金期”戛</w:t>
      </w:r>
    </w:p>
    <w:p>
      <w:pPr>
        <w:ind w:left="90" w:right="39"/>
        <w:spacing w:before="184" w:line="365" w:lineRule="auto"/>
        <w:jc w:val="both"/>
        <w:rPr>
          <w:rFonts w:ascii="SimSun" w:hAnsi="SimSun" w:eastAsia="SimSun" w:cs="SimSun"/>
          <w:sz w:val="18"/>
          <w:szCs w:val="18"/>
        </w:rPr>
      </w:pPr>
      <w:r>
        <w:rPr>
          <w:rFonts w:ascii="SimSun" w:hAnsi="SimSun" w:eastAsia="SimSun" w:cs="SimSun"/>
          <w:sz w:val="18"/>
          <w:szCs w:val="18"/>
          <w:spacing w:val="27"/>
        </w:rPr>
        <w:t>然而止了。危机后早期，虽然整体经济的劳动生</w:t>
      </w:r>
      <w:r>
        <w:rPr>
          <w:rFonts w:ascii="SimSun" w:hAnsi="SimSun" w:eastAsia="SimSun" w:cs="SimSun"/>
          <w:sz w:val="18"/>
          <w:szCs w:val="18"/>
          <w:spacing w:val="26"/>
        </w:rPr>
        <w:t>产率仍然可以实现</w:t>
      </w:r>
      <w:r>
        <w:rPr>
          <w:rFonts w:ascii="SimSun" w:hAnsi="SimSun" w:eastAsia="SimSun" w:cs="SimSun"/>
          <w:sz w:val="18"/>
          <w:szCs w:val="18"/>
        </w:rPr>
        <w:t xml:space="preserve"> </w:t>
      </w:r>
      <w:r>
        <w:rPr>
          <w:rFonts w:ascii="SimSun" w:hAnsi="SimSun" w:eastAsia="SimSun" w:cs="SimSun"/>
          <w:sz w:val="18"/>
          <w:szCs w:val="18"/>
          <w:spacing w:val="24"/>
        </w:rPr>
        <w:t>年平均10</w:t>
      </w:r>
      <w:r>
        <w:rPr>
          <w:rFonts w:ascii="SimSun" w:hAnsi="SimSun" w:eastAsia="SimSun" w:cs="SimSun"/>
          <w:sz w:val="18"/>
          <w:szCs w:val="18"/>
          <w:spacing w:val="-33"/>
        </w:rPr>
        <w:t xml:space="preserve"> </w:t>
      </w:r>
      <w:r>
        <w:rPr>
          <w:rFonts w:ascii="SimSun" w:hAnsi="SimSun" w:eastAsia="SimSun" w:cs="SimSun"/>
          <w:sz w:val="18"/>
          <w:szCs w:val="18"/>
          <w:spacing w:val="24"/>
        </w:rPr>
        <w:t>.</w:t>
      </w:r>
      <w:r>
        <w:rPr>
          <w:rFonts w:ascii="SimSun" w:hAnsi="SimSun" w:eastAsia="SimSun" w:cs="SimSun"/>
          <w:sz w:val="18"/>
          <w:szCs w:val="18"/>
          <w:spacing w:val="-39"/>
        </w:rPr>
        <w:t xml:space="preserve"> </w:t>
      </w:r>
      <w:r>
        <w:rPr>
          <w:rFonts w:ascii="SimSun" w:hAnsi="SimSun" w:eastAsia="SimSun" w:cs="SimSun"/>
          <w:sz w:val="18"/>
          <w:szCs w:val="18"/>
          <w:spacing w:val="24"/>
        </w:rPr>
        <w:t>1%的增长，可是平均劳动成本却以年均18</w:t>
      </w:r>
      <w:r>
        <w:rPr>
          <w:rFonts w:ascii="SimSun" w:hAnsi="SimSun" w:eastAsia="SimSun" w:cs="SimSun"/>
          <w:sz w:val="18"/>
          <w:szCs w:val="18"/>
          <w:spacing w:val="-47"/>
        </w:rPr>
        <w:t xml:space="preserve"> </w:t>
      </w:r>
      <w:r>
        <w:rPr>
          <w:rFonts w:ascii="SimSun" w:hAnsi="SimSun" w:eastAsia="SimSun" w:cs="SimSun"/>
          <w:sz w:val="18"/>
          <w:szCs w:val="18"/>
          <w:spacing w:val="24"/>
        </w:rPr>
        <w:t>.</w:t>
      </w:r>
      <w:r>
        <w:rPr>
          <w:rFonts w:ascii="SimSun" w:hAnsi="SimSun" w:eastAsia="SimSun" w:cs="SimSun"/>
          <w:sz w:val="18"/>
          <w:szCs w:val="18"/>
          <w:spacing w:val="-50"/>
        </w:rPr>
        <w:t xml:space="preserve"> </w:t>
      </w:r>
      <w:r>
        <w:rPr>
          <w:rFonts w:ascii="SimSun" w:hAnsi="SimSun" w:eastAsia="SimSun" w:cs="SimSun"/>
          <w:sz w:val="18"/>
          <w:szCs w:val="18"/>
          <w:spacing w:val="24"/>
        </w:rPr>
        <w:t>2%的速度增</w:t>
      </w:r>
      <w:r>
        <w:rPr>
          <w:rFonts w:ascii="SimSun" w:hAnsi="SimSun" w:eastAsia="SimSun" w:cs="SimSun"/>
          <w:sz w:val="18"/>
          <w:szCs w:val="18"/>
        </w:rPr>
        <w:t xml:space="preserve"> </w:t>
      </w:r>
      <w:r>
        <w:rPr>
          <w:rFonts w:ascii="SimSun" w:hAnsi="SimSun" w:eastAsia="SimSun" w:cs="SimSun"/>
          <w:sz w:val="18"/>
          <w:szCs w:val="18"/>
          <w:spacing w:val="25"/>
        </w:rPr>
        <w:t>长，导致</w:t>
      </w:r>
      <w:r>
        <w:rPr>
          <w:rFonts w:ascii="SimSun" w:hAnsi="SimSun" w:eastAsia="SimSun" w:cs="SimSun"/>
          <w:sz w:val="18"/>
          <w:szCs w:val="18"/>
          <w:spacing w:val="-21"/>
        </w:rPr>
        <w:t xml:space="preserve"> </w:t>
      </w:r>
      <w:r>
        <w:rPr>
          <w:rFonts w:ascii="Times New Roman" w:hAnsi="Times New Roman" w:eastAsia="Times New Roman" w:cs="Times New Roman"/>
          <w:sz w:val="18"/>
          <w:szCs w:val="18"/>
        </w:rPr>
        <w:t>ULC  </w:t>
      </w:r>
      <w:r>
        <w:rPr>
          <w:rFonts w:ascii="SimSun" w:hAnsi="SimSun" w:eastAsia="SimSun" w:cs="SimSun"/>
          <w:sz w:val="18"/>
          <w:szCs w:val="18"/>
          <w:spacing w:val="25"/>
        </w:rPr>
        <w:t>以高达7</w:t>
      </w:r>
      <w:r>
        <w:rPr>
          <w:rFonts w:ascii="SimSun" w:hAnsi="SimSun" w:eastAsia="SimSun" w:cs="SimSun"/>
          <w:sz w:val="18"/>
          <w:szCs w:val="18"/>
          <w:spacing w:val="-44"/>
        </w:rPr>
        <w:t xml:space="preserve"> </w:t>
      </w:r>
      <w:r>
        <w:rPr>
          <w:rFonts w:ascii="SimSun" w:hAnsi="SimSun" w:eastAsia="SimSun" w:cs="SimSun"/>
          <w:sz w:val="18"/>
          <w:szCs w:val="18"/>
          <w:spacing w:val="25"/>
        </w:rPr>
        <w:t>.</w:t>
      </w:r>
      <w:r>
        <w:rPr>
          <w:rFonts w:ascii="SimSun" w:hAnsi="SimSun" w:eastAsia="SimSun" w:cs="SimSun"/>
          <w:sz w:val="18"/>
          <w:szCs w:val="18"/>
          <w:spacing w:val="-51"/>
        </w:rPr>
        <w:t xml:space="preserve"> </w:t>
      </w:r>
      <w:r>
        <w:rPr>
          <w:rFonts w:ascii="SimSun" w:hAnsi="SimSun" w:eastAsia="SimSun" w:cs="SimSun"/>
          <w:sz w:val="18"/>
          <w:szCs w:val="18"/>
          <w:spacing w:val="25"/>
        </w:rPr>
        <w:t>4%的年均速度攀升。如果没有这样系统剖</w:t>
      </w:r>
      <w:r>
        <w:rPr>
          <w:rFonts w:ascii="SimSun" w:hAnsi="SimSun" w:eastAsia="SimSun" w:cs="SimSun"/>
          <w:sz w:val="18"/>
          <w:szCs w:val="18"/>
        </w:rPr>
        <w:t xml:space="preserve"> </w:t>
      </w:r>
      <w:r>
        <w:rPr>
          <w:rFonts w:ascii="SimSun" w:hAnsi="SimSun" w:eastAsia="SimSun" w:cs="SimSun"/>
          <w:sz w:val="18"/>
          <w:szCs w:val="18"/>
          <w:spacing w:val="19"/>
        </w:rPr>
        <w:t>析，也许人们很难意识到中国经济当时突然面临了一个冰火两重天的</w:t>
      </w:r>
      <w:r>
        <w:rPr>
          <w:rFonts w:ascii="SimSun" w:hAnsi="SimSun" w:eastAsia="SimSun" w:cs="SimSun"/>
          <w:sz w:val="18"/>
          <w:szCs w:val="18"/>
          <w:spacing w:val="13"/>
        </w:rPr>
        <w:t xml:space="preserve"> </w:t>
      </w:r>
      <w:r>
        <w:rPr>
          <w:rFonts w:ascii="SimSun" w:hAnsi="SimSun" w:eastAsia="SimSun" w:cs="SimSun"/>
          <w:sz w:val="18"/>
          <w:szCs w:val="18"/>
          <w:spacing w:val="25"/>
        </w:rPr>
        <w:t>成本环境。这是</w:t>
      </w:r>
      <w:r>
        <w:rPr>
          <w:rFonts w:ascii="SimSun" w:hAnsi="SimSun" w:eastAsia="SimSun" w:cs="SimSun"/>
          <w:sz w:val="18"/>
          <w:szCs w:val="18"/>
          <w:spacing w:val="-53"/>
        </w:rPr>
        <w:t xml:space="preserve"> </w:t>
      </w:r>
      <w:r>
        <w:rPr>
          <w:rFonts w:ascii="SimSun" w:hAnsi="SimSun" w:eastAsia="SimSun" w:cs="SimSun"/>
          <w:sz w:val="18"/>
          <w:szCs w:val="18"/>
          <w:spacing w:val="25"/>
        </w:rPr>
        <w:t>一个需要深入思考的问题，它与我们</w:t>
      </w:r>
      <w:r>
        <w:rPr>
          <w:rFonts w:ascii="SimSun" w:hAnsi="SimSun" w:eastAsia="SimSun" w:cs="SimSun"/>
          <w:sz w:val="18"/>
          <w:szCs w:val="18"/>
          <w:spacing w:val="24"/>
        </w:rPr>
        <w:t>针对中国加入</w:t>
      </w:r>
      <w:r>
        <w:rPr>
          <w:rFonts w:ascii="SimSun" w:hAnsi="SimSun" w:eastAsia="SimSun" w:cs="SimSun"/>
          <w:sz w:val="18"/>
          <w:szCs w:val="18"/>
        </w:rPr>
        <w:t xml:space="preserve"> </w:t>
      </w:r>
      <w:r>
        <w:rPr>
          <w:rFonts w:ascii="SimSun" w:hAnsi="SimSun" w:eastAsia="SimSun" w:cs="SimSun"/>
          <w:sz w:val="18"/>
          <w:szCs w:val="18"/>
          <w:spacing w:val="26"/>
        </w:rPr>
        <w:t>世界贸易组织后突然出现的几乎零成本增长现象所提出的问题在性</w:t>
      </w:r>
      <w:r>
        <w:rPr>
          <w:rFonts w:ascii="SimSun" w:hAnsi="SimSun" w:eastAsia="SimSun" w:cs="SimSun"/>
          <w:sz w:val="18"/>
          <w:szCs w:val="18"/>
          <w:spacing w:val="1"/>
        </w:rPr>
        <w:t xml:space="preserve"> </w:t>
      </w:r>
      <w:r>
        <w:rPr>
          <w:rFonts w:ascii="SimSun" w:hAnsi="SimSun" w:eastAsia="SimSun" w:cs="SimSun"/>
          <w:sz w:val="18"/>
          <w:szCs w:val="18"/>
          <w:spacing w:val="21"/>
        </w:rPr>
        <w:t>质上是一样的。②尽管受到危机的影响，在行业</w:t>
      </w:r>
      <w:r>
        <w:rPr>
          <w:rFonts w:ascii="SimSun" w:hAnsi="SimSun" w:eastAsia="SimSun" w:cs="SimSun"/>
          <w:sz w:val="18"/>
          <w:szCs w:val="18"/>
          <w:spacing w:val="20"/>
        </w:rPr>
        <w:t>层面，制造业的平均</w:t>
      </w:r>
      <w:r>
        <w:rPr>
          <w:rFonts w:ascii="SimSun" w:hAnsi="SimSun" w:eastAsia="SimSun" w:cs="SimSun"/>
          <w:sz w:val="18"/>
          <w:szCs w:val="18"/>
        </w:rPr>
        <w:t xml:space="preserve"> </w:t>
      </w:r>
      <w:r>
        <w:rPr>
          <w:rFonts w:ascii="Times New Roman" w:hAnsi="Times New Roman" w:eastAsia="Times New Roman" w:cs="Times New Roman"/>
          <w:sz w:val="18"/>
          <w:szCs w:val="18"/>
        </w:rPr>
        <w:t>ULC</w:t>
      </w:r>
      <w:r>
        <w:rPr>
          <w:rFonts w:ascii="Times New Roman" w:hAnsi="Times New Roman" w:eastAsia="Times New Roman" w:cs="Times New Roman"/>
          <w:sz w:val="18"/>
          <w:szCs w:val="18"/>
          <w:spacing w:val="26"/>
          <w:w w:val="101"/>
        </w:rPr>
        <w:t xml:space="preserve"> </w:t>
      </w:r>
      <w:r>
        <w:rPr>
          <w:rFonts w:ascii="SimSun" w:hAnsi="SimSun" w:eastAsia="SimSun" w:cs="SimSun"/>
          <w:sz w:val="18"/>
          <w:szCs w:val="18"/>
          <w:spacing w:val="29"/>
        </w:rPr>
        <w:t>增幅还是低于整体经济约20%,中国制</w:t>
      </w:r>
      <w:r>
        <w:rPr>
          <w:rFonts w:ascii="SimSun" w:hAnsi="SimSun" w:eastAsia="SimSun" w:cs="SimSun"/>
          <w:sz w:val="18"/>
          <w:szCs w:val="18"/>
          <w:u w:val="single" w:color="auto"/>
          <w:spacing w:val="29"/>
        </w:rPr>
        <w:t>造</w:t>
      </w:r>
      <w:r>
        <w:rPr>
          <w:rFonts w:ascii="SimSun" w:hAnsi="SimSun" w:eastAsia="SimSun" w:cs="SimSun"/>
          <w:sz w:val="18"/>
          <w:szCs w:val="18"/>
          <w:u w:val="single" w:color="auto"/>
          <w:spacing w:val="-31"/>
        </w:rPr>
        <w:t xml:space="preserve"> </w:t>
      </w:r>
      <w:r>
        <w:rPr>
          <w:rFonts w:ascii="SimSun" w:hAnsi="SimSun" w:eastAsia="SimSun" w:cs="SimSun"/>
          <w:sz w:val="18"/>
          <w:szCs w:val="18"/>
          <w:u w:val="single" w:color="auto"/>
          <w:spacing w:val="29"/>
        </w:rPr>
        <w:t>业</w:t>
      </w:r>
      <w:r>
        <w:rPr>
          <w:rFonts w:ascii="SimSun" w:hAnsi="SimSun" w:eastAsia="SimSun" w:cs="SimSun"/>
          <w:sz w:val="18"/>
          <w:szCs w:val="18"/>
          <w:spacing w:val="29"/>
        </w:rPr>
        <w:t>仍然表</w:t>
      </w:r>
      <w:r>
        <w:rPr>
          <w:rFonts w:ascii="SimSun" w:hAnsi="SimSun" w:eastAsia="SimSun" w:cs="SimSun"/>
          <w:sz w:val="18"/>
          <w:szCs w:val="18"/>
          <w:spacing w:val="28"/>
        </w:rPr>
        <w:t>现出低成本</w:t>
      </w:r>
      <w:r>
        <w:rPr>
          <w:rFonts w:ascii="SimSun" w:hAnsi="SimSun" w:eastAsia="SimSun" w:cs="SimSun"/>
          <w:sz w:val="18"/>
          <w:szCs w:val="18"/>
        </w:rPr>
        <w:t xml:space="preserve"> </w:t>
      </w:r>
      <w:r>
        <w:rPr>
          <w:rFonts w:ascii="SimSun" w:hAnsi="SimSun" w:eastAsia="SimSun" w:cs="SimSun"/>
          <w:sz w:val="18"/>
          <w:szCs w:val="18"/>
          <w:spacing w:val="22"/>
        </w:rPr>
        <w:t>特点，这同时体现在</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22"/>
        </w:rPr>
        <w:t>集约使用制造业和非</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2"/>
        </w:rPr>
        <w:t>集约使用制造业，</w:t>
      </w:r>
    </w:p>
    <w:p>
      <w:pPr>
        <w:ind w:left="90"/>
        <w:spacing w:line="219" w:lineRule="auto"/>
        <w:rPr>
          <w:rFonts w:ascii="SimSun" w:hAnsi="SimSun" w:eastAsia="SimSun" w:cs="SimSun"/>
          <w:sz w:val="18"/>
          <w:szCs w:val="18"/>
        </w:rPr>
      </w:pPr>
      <w:r>
        <w:rPr>
          <w:rFonts w:ascii="SimSun" w:hAnsi="SimSun" w:eastAsia="SimSun" w:cs="SimSun"/>
          <w:sz w:val="18"/>
          <w:szCs w:val="18"/>
          <w:spacing w:val="25"/>
        </w:rPr>
        <w:t>而</w:t>
      </w:r>
      <w:r>
        <w:rPr>
          <w:rFonts w:ascii="SimSun" w:hAnsi="SimSun" w:eastAsia="SimSun" w:cs="SimSun"/>
          <w:sz w:val="18"/>
          <w:szCs w:val="18"/>
          <w:spacing w:val="-45"/>
        </w:rPr>
        <w:t xml:space="preserve"> </w:t>
      </w:r>
      <w:r>
        <w:rPr>
          <w:rFonts w:ascii="Times New Roman" w:hAnsi="Times New Roman" w:eastAsia="Times New Roman" w:cs="Times New Roman"/>
          <w:sz w:val="18"/>
          <w:szCs w:val="18"/>
        </w:rPr>
        <w:t>ICT</w:t>
      </w:r>
      <w:r>
        <w:rPr>
          <w:rFonts w:ascii="Times New Roman" w:hAnsi="Times New Roman" w:eastAsia="Times New Roman" w:cs="Times New Roman"/>
          <w:sz w:val="18"/>
          <w:szCs w:val="18"/>
          <w:spacing w:val="39"/>
          <w:w w:val="102"/>
        </w:rPr>
        <w:t xml:space="preserve"> </w:t>
      </w:r>
      <w:r>
        <w:rPr>
          <w:rFonts w:ascii="SimSun" w:hAnsi="SimSun" w:eastAsia="SimSun" w:cs="SimSun"/>
          <w:sz w:val="18"/>
          <w:szCs w:val="18"/>
          <w:spacing w:val="25"/>
        </w:rPr>
        <w:t>生产行业的</w:t>
      </w:r>
      <w:r>
        <w:rPr>
          <w:rFonts w:ascii="Times New Roman" w:hAnsi="Times New Roman" w:eastAsia="Times New Roman" w:cs="Times New Roman"/>
          <w:sz w:val="18"/>
          <w:szCs w:val="18"/>
        </w:rPr>
        <w:t>ULC  </w:t>
      </w:r>
      <w:r>
        <w:rPr>
          <w:rFonts w:ascii="SimSun" w:hAnsi="SimSun" w:eastAsia="SimSun" w:cs="SimSun"/>
          <w:sz w:val="18"/>
          <w:szCs w:val="18"/>
          <w:spacing w:val="25"/>
        </w:rPr>
        <w:t>上升速度很快，与整体经济的平均水平大致</w:t>
      </w:r>
    </w:p>
    <w:p>
      <w:pPr>
        <w:pStyle w:val="BodyText"/>
        <w:spacing w:line="441" w:lineRule="auto"/>
        <w:rPr/>
      </w:pPr>
      <w:r/>
    </w:p>
    <w:p>
      <w:pPr>
        <w:ind w:left="350" w:hanging="260"/>
        <w:spacing w:before="59" w:line="282" w:lineRule="auto"/>
        <w:rPr>
          <w:rFonts w:ascii="Times New Roman" w:hAnsi="Times New Roman" w:eastAsia="Times New Roman" w:cs="Times New Roman"/>
          <w:sz w:val="18"/>
          <w:szCs w:val="18"/>
        </w:rPr>
      </w:pPr>
      <w:r>
        <w:rPr>
          <w:rFonts w:ascii="KaiTi" w:hAnsi="KaiTi" w:eastAsia="KaiTi" w:cs="KaiTi"/>
          <w:sz w:val="18"/>
          <w:szCs w:val="18"/>
          <w:spacing w:val="-16"/>
        </w:rPr>
        <w:t>①</w:t>
      </w:r>
      <w:r>
        <w:rPr>
          <w:rFonts w:ascii="KaiTi" w:hAnsi="KaiTi" w:eastAsia="KaiTi" w:cs="KaiTi"/>
          <w:sz w:val="18"/>
          <w:szCs w:val="18"/>
          <w:spacing w:val="37"/>
          <w:w w:val="101"/>
        </w:rPr>
        <w:t xml:space="preserve"> </w:t>
      </w:r>
      <w:r>
        <w:rPr>
          <w:rFonts w:ascii="KaiTi" w:hAnsi="KaiTi" w:eastAsia="KaiTi" w:cs="KaiTi"/>
          <w:sz w:val="18"/>
          <w:szCs w:val="18"/>
          <w:spacing w:val="-16"/>
        </w:rPr>
        <w:t>加入世界贸易组织后平均劳动成本上升速度骤然放缓，以及部门之</w:t>
      </w:r>
      <w:r>
        <w:rPr>
          <w:rFonts w:ascii="KaiTi" w:hAnsi="KaiTi" w:eastAsia="KaiTi" w:cs="KaiTi"/>
          <w:sz w:val="18"/>
          <w:szCs w:val="18"/>
          <w:spacing w:val="-17"/>
        </w:rPr>
        <w:t>间平均劳动成</w:t>
      </w:r>
      <w:r>
        <w:rPr>
          <w:rFonts w:ascii="KaiTi" w:hAnsi="KaiTi" w:eastAsia="KaiTi" w:cs="KaiTi"/>
          <w:sz w:val="18"/>
          <w:szCs w:val="18"/>
          <w:spacing w:val="-17"/>
        </w:rPr>
        <w:t xml:space="preserve"> </w:t>
      </w:r>
      <w:r>
        <w:rPr>
          <w:rFonts w:ascii="KaiTi" w:hAnsi="KaiTi" w:eastAsia="KaiTi" w:cs="KaiTi"/>
          <w:sz w:val="18"/>
          <w:szCs w:val="18"/>
          <w:spacing w:val="-16"/>
        </w:rPr>
        <w:t>本变动上的巨大差异，也提出了极具挑战性的新问题，即上述变化也许并不完全</w:t>
      </w:r>
      <w:r>
        <w:rPr>
          <w:rFonts w:ascii="KaiTi" w:hAnsi="KaiTi" w:eastAsia="KaiTi" w:cs="KaiTi"/>
          <w:sz w:val="18"/>
          <w:szCs w:val="18"/>
          <w:spacing w:val="14"/>
        </w:rPr>
        <w:t xml:space="preserve"> </w:t>
      </w:r>
      <w:r>
        <w:rPr>
          <w:rFonts w:ascii="KaiTi" w:hAnsi="KaiTi" w:eastAsia="KaiTi" w:cs="KaiTi"/>
          <w:sz w:val="18"/>
          <w:szCs w:val="18"/>
          <w:spacing w:val="-14"/>
        </w:rPr>
        <w:t>是市场竞争的结果，其背后可能与政府对不同经济部门选择性的制度安排有关，</w:t>
      </w:r>
      <w:r>
        <w:rPr>
          <w:rFonts w:ascii="KaiTi" w:hAnsi="KaiTi" w:eastAsia="KaiTi" w:cs="KaiTi"/>
          <w:sz w:val="18"/>
          <w:szCs w:val="18"/>
          <w:spacing w:val="8"/>
        </w:rPr>
        <w:t xml:space="preserve"> </w:t>
      </w:r>
      <w:r>
        <w:rPr>
          <w:rFonts w:ascii="KaiTi" w:hAnsi="KaiTi" w:eastAsia="KaiTi" w:cs="KaiTi"/>
          <w:sz w:val="18"/>
          <w:szCs w:val="18"/>
          <w:spacing w:val="-9"/>
        </w:rPr>
        <w:t>包括影响不同部门的政策措施以及相应的补贴。参见：伍晓鹰.中国经济改革</w:t>
      </w:r>
      <w:r>
        <w:rPr>
          <w:rFonts w:ascii="KaiTi" w:hAnsi="KaiTi" w:eastAsia="KaiTi" w:cs="KaiTi"/>
          <w:sz w:val="18"/>
          <w:szCs w:val="18"/>
          <w:spacing w:val="6"/>
        </w:rPr>
        <w:t xml:space="preserve">  </w:t>
      </w:r>
      <w:r>
        <w:rPr>
          <w:rFonts w:ascii="KaiTi" w:hAnsi="KaiTi" w:eastAsia="KaiTi" w:cs="KaiTi"/>
          <w:sz w:val="18"/>
          <w:szCs w:val="18"/>
          <w:spacing w:val="-16"/>
        </w:rPr>
        <w:t>四十年增长和全要素生产率表现的制度解读——兼论“十四五”时期提升全要素</w:t>
      </w:r>
      <w:r>
        <w:rPr>
          <w:rFonts w:ascii="KaiTi" w:hAnsi="KaiTi" w:eastAsia="KaiTi" w:cs="KaiTi"/>
          <w:sz w:val="18"/>
          <w:szCs w:val="18"/>
        </w:rPr>
        <w:t xml:space="preserve">  </w:t>
      </w:r>
      <w:r>
        <w:rPr>
          <w:rFonts w:ascii="KaiTi" w:hAnsi="KaiTi" w:eastAsia="KaiTi" w:cs="KaiTi"/>
          <w:sz w:val="18"/>
          <w:szCs w:val="18"/>
          <w:spacing w:val="-8"/>
        </w:rPr>
        <w:t>生产率的关键路径和政策举措，国发院智库报告初稿(内部),2021;</w:t>
      </w:r>
      <w:r>
        <w:rPr>
          <w:rFonts w:ascii="Times New Roman" w:hAnsi="Times New Roman" w:eastAsia="Times New Roman" w:cs="Times New Roman"/>
          <w:sz w:val="18"/>
          <w:szCs w:val="18"/>
          <w:spacing w:val="-8"/>
        </w:rPr>
        <w:t>H</w:t>
      </w:r>
      <w:r>
        <w:rPr>
          <w:rFonts w:ascii="Times New Roman" w:hAnsi="Times New Roman" w:eastAsia="Times New Roman" w:cs="Times New Roman"/>
          <w:sz w:val="18"/>
          <w:szCs w:val="18"/>
          <w:spacing w:val="-9"/>
        </w:rPr>
        <w:t>arry X.Wu, </w:t>
      </w:r>
      <w:r>
        <w:rPr>
          <w:rFonts w:ascii="Times New Roman" w:hAnsi="Times New Roman" w:eastAsia="Times New Roman" w:cs="Times New Roman"/>
          <w:sz w:val="18"/>
          <w:szCs w:val="18"/>
          <w:spacing w:val="-6"/>
        </w:rPr>
        <w:t>“In Quest of</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6"/>
        </w:rPr>
        <w:t>Institutional Interpretation of</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6"/>
        </w:rPr>
        <w:t>TFP Change—The Case of</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6"/>
        </w:rPr>
        <w:t>China”,Man</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6"/>
        </w:rPr>
        <w:t>and</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the Economy,2019,6(2):1-22.</w:t>
      </w:r>
    </w:p>
    <w:p>
      <w:pPr>
        <w:ind w:left="390" w:right="56" w:hanging="300"/>
        <w:spacing w:before="99" w:line="271" w:lineRule="auto"/>
        <w:rPr>
          <w:rFonts w:ascii="KaiTi" w:hAnsi="KaiTi" w:eastAsia="KaiTi" w:cs="KaiTi"/>
          <w:sz w:val="18"/>
          <w:szCs w:val="18"/>
        </w:rPr>
      </w:pPr>
      <w:r>
        <w:rPr>
          <w:rFonts w:ascii="SimSun" w:hAnsi="SimSun" w:eastAsia="SimSun" w:cs="SimSun"/>
          <w:sz w:val="18"/>
          <w:szCs w:val="18"/>
          <w:spacing w:val="-12"/>
          <w:w w:val="97"/>
        </w:rPr>
        <w:t>②</w:t>
      </w:r>
      <w:r>
        <w:rPr>
          <w:rFonts w:ascii="SimSun" w:hAnsi="SimSun" w:eastAsia="SimSun" w:cs="SimSun"/>
          <w:sz w:val="18"/>
          <w:szCs w:val="18"/>
          <w:spacing w:val="68"/>
        </w:rPr>
        <w:t xml:space="preserve"> </w:t>
      </w:r>
      <w:r>
        <w:rPr>
          <w:rFonts w:ascii="KaiTi" w:hAnsi="KaiTi" w:eastAsia="KaiTi" w:cs="KaiTi"/>
          <w:sz w:val="18"/>
          <w:szCs w:val="18"/>
          <w:spacing w:val="-12"/>
          <w:w w:val="97"/>
        </w:rPr>
        <w:t>这个发现和危机后关于劳动成本上升的各种报道，特别是因劳工短缺造成的低技</w:t>
      </w:r>
      <w:r>
        <w:rPr>
          <w:rFonts w:ascii="KaiTi" w:hAnsi="KaiTi" w:eastAsia="KaiTi" w:cs="KaiTi"/>
          <w:sz w:val="18"/>
          <w:szCs w:val="18"/>
        </w:rPr>
        <w:t xml:space="preserve"> </w:t>
      </w:r>
      <w:r>
        <w:rPr>
          <w:rFonts w:ascii="KaiTi" w:hAnsi="KaiTi" w:eastAsia="KaiTi" w:cs="KaiTi"/>
          <w:sz w:val="18"/>
          <w:szCs w:val="18"/>
          <w:spacing w:val="-15"/>
          <w:w w:val="99"/>
        </w:rPr>
        <w:t>能劳动成本上升的报道大体一致。这也许可以在相当程度上解释，</w:t>
      </w:r>
      <w:r>
        <w:rPr>
          <w:rFonts w:ascii="KaiTi" w:hAnsi="KaiTi" w:eastAsia="KaiTi" w:cs="KaiTi"/>
          <w:sz w:val="18"/>
          <w:szCs w:val="18"/>
          <w:spacing w:val="-16"/>
          <w:w w:val="99"/>
        </w:rPr>
        <w:t>危机后，特别</w:t>
      </w:r>
      <w:r>
        <w:rPr>
          <w:rFonts w:ascii="KaiTi" w:hAnsi="KaiTi" w:eastAsia="KaiTi" w:cs="KaiTi"/>
          <w:sz w:val="18"/>
          <w:szCs w:val="18"/>
        </w:rPr>
        <w:t xml:space="preserve"> </w:t>
      </w:r>
      <w:r>
        <w:rPr>
          <w:rFonts w:ascii="KaiTi" w:hAnsi="KaiTi" w:eastAsia="KaiTi" w:cs="KaiTi"/>
          <w:sz w:val="18"/>
          <w:szCs w:val="18"/>
          <w:spacing w:val="-17"/>
        </w:rPr>
        <w:t>是最近几年来中国大量的劳动密集型工业向海外尤其是东南亚的转移。虽然深究</w:t>
      </w:r>
      <w:r>
        <w:rPr>
          <w:rFonts w:ascii="KaiTi" w:hAnsi="KaiTi" w:eastAsia="KaiTi" w:cs="KaiTi"/>
          <w:sz w:val="18"/>
          <w:szCs w:val="18"/>
          <w:spacing w:val="14"/>
        </w:rPr>
        <w:t xml:space="preserve"> </w:t>
      </w:r>
      <w:r>
        <w:rPr>
          <w:rFonts w:ascii="KaiTi" w:hAnsi="KaiTi" w:eastAsia="KaiTi" w:cs="KaiTi"/>
          <w:sz w:val="18"/>
          <w:szCs w:val="18"/>
          <w:spacing w:val="-17"/>
        </w:rPr>
        <w:t>危机后平均劳动成本上升的原因超出了本项目的研究范围，但是可以认为，过于</w:t>
      </w:r>
      <w:r>
        <w:rPr>
          <w:rFonts w:ascii="KaiTi" w:hAnsi="KaiTi" w:eastAsia="KaiTi" w:cs="KaiTi"/>
          <w:sz w:val="18"/>
          <w:szCs w:val="18"/>
          <w:spacing w:val="17"/>
        </w:rPr>
        <w:t xml:space="preserve"> </w:t>
      </w:r>
      <w:r>
        <w:rPr>
          <w:rFonts w:ascii="KaiTi" w:hAnsi="KaiTi" w:eastAsia="KaiTi" w:cs="KaiTi"/>
          <w:sz w:val="18"/>
          <w:szCs w:val="18"/>
          <w:spacing w:val="-15"/>
          <w:w w:val="99"/>
        </w:rPr>
        <w:t>宽松的宏观经济环境，如史无前例的应对危机的扩张性财政政策、过快的货币供</w:t>
      </w:r>
      <w:r>
        <w:rPr>
          <w:rFonts w:ascii="KaiTi" w:hAnsi="KaiTi" w:eastAsia="KaiTi" w:cs="KaiTi"/>
          <w:sz w:val="18"/>
          <w:szCs w:val="18"/>
          <w:spacing w:val="7"/>
        </w:rPr>
        <w:t xml:space="preserve"> </w:t>
      </w:r>
      <w:r>
        <w:rPr>
          <w:rFonts w:ascii="KaiTi" w:hAnsi="KaiTi" w:eastAsia="KaiTi" w:cs="KaiTi"/>
          <w:sz w:val="18"/>
          <w:szCs w:val="18"/>
          <w:spacing w:val="-17"/>
          <w:w w:val="98"/>
        </w:rPr>
        <w:t>给等等，在相当程度上难辞其咎。</w:t>
      </w:r>
    </w:p>
    <w:p>
      <w:pPr>
        <w:spacing w:line="271" w:lineRule="auto"/>
        <w:sectPr>
          <w:pgSz w:w="7330" w:h="12480"/>
          <w:pgMar w:top="400" w:right="890" w:bottom="400" w:left="269" w:header="0" w:footer="0" w:gutter="0"/>
        </w:sectPr>
        <w:rPr>
          <w:rFonts w:ascii="KaiTi" w:hAnsi="KaiTi" w:eastAsia="KaiTi" w:cs="KaiTi"/>
          <w:sz w:val="18"/>
          <w:szCs w:val="18"/>
        </w:rPr>
      </w:pPr>
    </w:p>
    <w:p>
      <w:pPr>
        <w:pStyle w:val="BodyText"/>
        <w:spacing w:line="249" w:lineRule="auto"/>
        <w:rPr/>
      </w:pPr>
      <w:r>
        <w:drawing>
          <wp:anchor distT="0" distB="0" distL="0" distR="0" simplePos="0" relativeHeight="252746752" behindDoc="0" locked="0" layoutInCell="0" allowOverlap="1">
            <wp:simplePos x="0" y="0"/>
            <wp:positionH relativeFrom="page">
              <wp:posOffset>457216</wp:posOffset>
            </wp:positionH>
            <wp:positionV relativeFrom="page">
              <wp:posOffset>6705569</wp:posOffset>
            </wp:positionV>
            <wp:extent cx="1181092" cy="6418"/>
            <wp:effectExtent l="0" t="0" r="0" b="0"/>
            <wp:wrapNone/>
            <wp:docPr id="118" name="IM 118"/>
            <wp:cNvGraphicFramePr/>
            <a:graphic>
              <a:graphicData uri="http://schemas.openxmlformats.org/drawingml/2006/picture">
                <pic:pic>
                  <pic:nvPicPr>
                    <pic:cNvPr id="118" name="IM 118"/>
                    <pic:cNvPicPr/>
                  </pic:nvPicPr>
                  <pic:blipFill>
                    <a:blip r:embed="rId128"/>
                    <a:stretch>
                      <a:fillRect/>
                    </a:stretch>
                  </pic:blipFill>
                  <pic:spPr>
                    <a:xfrm rot="0">
                      <a:off x="0" y="0"/>
                      <a:ext cx="1181092" cy="6418"/>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right="82"/>
        <w:spacing w:before="68" w:line="284" w:lineRule="auto"/>
        <w:jc w:val="both"/>
        <w:rPr>
          <w:rFonts w:ascii="SimSun" w:hAnsi="SimSun" w:eastAsia="SimSun" w:cs="SimSun"/>
          <w:sz w:val="21"/>
          <w:szCs w:val="21"/>
        </w:rPr>
      </w:pPr>
      <w:r>
        <w:rPr>
          <w:rFonts w:ascii="SimSun" w:hAnsi="SimSun" w:eastAsia="SimSun" w:cs="SimSun"/>
          <w:sz w:val="21"/>
          <w:szCs w:val="21"/>
          <w:spacing w:val="-4"/>
        </w:rPr>
        <w:t>相当。如果深入观察，推动整体经济</w:t>
      </w:r>
      <w:r>
        <w:rPr>
          <w:rFonts w:ascii="Times New Roman" w:hAnsi="Times New Roman" w:eastAsia="Times New Roman" w:cs="Times New Roman"/>
          <w:sz w:val="21"/>
          <w:szCs w:val="21"/>
          <w:spacing w:val="-4"/>
        </w:rPr>
        <w:t>ULC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上升的部门主要是那些明</w:t>
      </w:r>
      <w:r>
        <w:rPr>
          <w:rFonts w:ascii="SimSun" w:hAnsi="SimSun" w:eastAsia="SimSun" w:cs="SimSun"/>
          <w:sz w:val="21"/>
          <w:szCs w:val="21"/>
        </w:rPr>
        <w:t xml:space="preserve"> </w:t>
      </w:r>
      <w:r>
        <w:rPr>
          <w:rFonts w:ascii="SimSun" w:hAnsi="SimSun" w:eastAsia="SimSun" w:cs="SimSun"/>
          <w:sz w:val="21"/>
          <w:szCs w:val="21"/>
          <w:spacing w:val="-7"/>
        </w:rPr>
        <w:t>显受惠于“保增长”政策的部门，特别是建筑业(基础设施建设</w:t>
      </w:r>
      <w:r>
        <w:rPr>
          <w:rFonts w:ascii="SimSun" w:hAnsi="SimSun" w:eastAsia="SimSun" w:cs="SimSun"/>
          <w:sz w:val="21"/>
          <w:szCs w:val="21"/>
          <w:spacing w:val="-8"/>
        </w:rPr>
        <w:t>、房</w:t>
      </w:r>
      <w:r>
        <w:rPr>
          <w:rFonts w:ascii="SimSun" w:hAnsi="SimSun" w:eastAsia="SimSun" w:cs="SimSun"/>
          <w:sz w:val="21"/>
          <w:szCs w:val="21"/>
        </w:rPr>
        <w:t xml:space="preserve"> </w:t>
      </w:r>
      <w:r>
        <w:rPr>
          <w:rFonts w:ascii="SimSun" w:hAnsi="SimSun" w:eastAsia="SimSun" w:cs="SimSun"/>
          <w:sz w:val="21"/>
          <w:szCs w:val="21"/>
          <w:spacing w:val="-3"/>
        </w:rPr>
        <w:t>地产开发等等)和服务业。</w:t>
      </w:r>
    </w:p>
    <w:p>
      <w:pPr>
        <w:ind w:right="67" w:firstLine="449"/>
        <w:spacing w:before="105" w:line="303" w:lineRule="auto"/>
        <w:jc w:val="both"/>
        <w:rPr>
          <w:rFonts w:ascii="SimSun" w:hAnsi="SimSun" w:eastAsia="SimSun" w:cs="SimSun"/>
          <w:sz w:val="21"/>
          <w:szCs w:val="21"/>
        </w:rPr>
      </w:pPr>
      <w:r>
        <w:rPr>
          <w:rFonts w:ascii="SimSun" w:hAnsi="SimSun" w:eastAsia="SimSun" w:cs="SimSun"/>
          <w:sz w:val="21"/>
          <w:szCs w:val="21"/>
          <w:spacing w:val="-6"/>
        </w:rPr>
        <w:t>表2-11也显示，危机后晚期整体经济的 ULC</w:t>
      </w:r>
      <w:r>
        <w:rPr>
          <w:rFonts w:ascii="SimSun" w:hAnsi="SimSun" w:eastAsia="SimSun" w:cs="SimSun"/>
          <w:sz w:val="21"/>
          <w:szCs w:val="21"/>
          <w:spacing w:val="-13"/>
        </w:rPr>
        <w:t xml:space="preserve"> </w:t>
      </w:r>
      <w:r>
        <w:rPr>
          <w:rFonts w:ascii="SimSun" w:hAnsi="SimSun" w:eastAsia="SimSun" w:cs="SimSun"/>
          <w:sz w:val="21"/>
          <w:szCs w:val="21"/>
          <w:spacing w:val="-6"/>
        </w:rPr>
        <w:t>增长速度明显放缓</w:t>
      </w:r>
      <w:r>
        <w:rPr>
          <w:rFonts w:ascii="SimSun" w:hAnsi="SimSun" w:eastAsia="SimSun" w:cs="SimSun"/>
          <w:sz w:val="21"/>
          <w:szCs w:val="21"/>
        </w:rPr>
        <w:t xml:space="preserve"> </w:t>
      </w:r>
      <w:r>
        <w:rPr>
          <w:rFonts w:ascii="SimSun" w:hAnsi="SimSun" w:eastAsia="SimSun" w:cs="SimSun"/>
          <w:sz w:val="21"/>
          <w:szCs w:val="21"/>
          <w:spacing w:val="-5"/>
        </w:rPr>
        <w:t>了。主要原因是政府直接干预的力度减小增加了市场自身调整的空 </w:t>
      </w:r>
      <w:r>
        <w:rPr>
          <w:rFonts w:ascii="SimSun" w:hAnsi="SimSun" w:eastAsia="SimSun" w:cs="SimSun"/>
          <w:sz w:val="21"/>
          <w:szCs w:val="21"/>
          <w:spacing w:val="-11"/>
        </w:rPr>
        <w:t>间，促进了劳动生产率的上升以及劳动成本的下降。从总体上看，制</w:t>
      </w:r>
      <w:r>
        <w:rPr>
          <w:rFonts w:ascii="SimSun" w:hAnsi="SimSun" w:eastAsia="SimSun" w:cs="SimSun"/>
          <w:sz w:val="21"/>
          <w:szCs w:val="21"/>
          <w:spacing w:val="16"/>
        </w:rPr>
        <w:t xml:space="preserve"> </w:t>
      </w:r>
      <w:r>
        <w:rPr>
          <w:rFonts w:ascii="SimSun" w:hAnsi="SimSun" w:eastAsia="SimSun" w:cs="SimSun"/>
          <w:sz w:val="21"/>
          <w:szCs w:val="21"/>
          <w:spacing w:val="-3"/>
        </w:rPr>
        <w:t>造业仍然是成本下降的主要因素，其中</w:t>
      </w:r>
      <w:r>
        <w:rPr>
          <w:rFonts w:ascii="Times New Roman" w:hAnsi="Times New Roman" w:eastAsia="Times New Roman" w:cs="Times New Roman"/>
          <w:sz w:val="21"/>
          <w:szCs w:val="21"/>
          <w:spacing w:val="-3"/>
        </w:rPr>
        <w:t>ICT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生产行业的</w:t>
      </w:r>
      <w:r>
        <w:rPr>
          <w:rFonts w:ascii="Times New Roman" w:hAnsi="Times New Roman" w:eastAsia="Times New Roman" w:cs="Times New Roman"/>
          <w:sz w:val="21"/>
          <w:szCs w:val="21"/>
          <w:spacing w:val="-3"/>
        </w:rPr>
        <w:t>ULC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上升速</w:t>
      </w:r>
      <w:r>
        <w:rPr>
          <w:rFonts w:ascii="SimSun" w:hAnsi="SimSun" w:eastAsia="SimSun" w:cs="SimSun"/>
          <w:sz w:val="21"/>
          <w:szCs w:val="21"/>
        </w:rPr>
        <w:t xml:space="preserve"> </w:t>
      </w:r>
      <w:r>
        <w:rPr>
          <w:rFonts w:ascii="SimSun" w:hAnsi="SimSun" w:eastAsia="SimSun" w:cs="SimSun"/>
          <w:sz w:val="21"/>
          <w:szCs w:val="21"/>
          <w:spacing w:val="-12"/>
        </w:rPr>
        <w:t>度相比前期大大放缓了，特别值得注意的是， ICT</w:t>
      </w:r>
      <w:r>
        <w:rPr>
          <w:rFonts w:ascii="SimSun" w:hAnsi="SimSun" w:eastAsia="SimSun" w:cs="SimSun"/>
          <w:sz w:val="21"/>
          <w:szCs w:val="21"/>
          <w:spacing w:val="-17"/>
        </w:rPr>
        <w:t xml:space="preserve"> </w:t>
      </w:r>
      <w:r>
        <w:rPr>
          <w:rFonts w:ascii="SimSun" w:hAnsi="SimSun" w:eastAsia="SimSun" w:cs="SimSun"/>
          <w:sz w:val="21"/>
          <w:szCs w:val="21"/>
          <w:spacing w:val="-12"/>
        </w:rPr>
        <w:t>集约使用制造业的</w:t>
      </w:r>
      <w:r>
        <w:rPr>
          <w:rFonts w:ascii="SimSun" w:hAnsi="SimSun" w:eastAsia="SimSun" w:cs="SimSun"/>
          <w:sz w:val="21"/>
          <w:szCs w:val="21"/>
        </w:rPr>
        <w:t xml:space="preserve"> </w:t>
      </w:r>
      <w:r>
        <w:rPr>
          <w:rFonts w:ascii="Times New Roman" w:hAnsi="Times New Roman" w:eastAsia="Times New Roman" w:cs="Times New Roman"/>
          <w:sz w:val="21"/>
          <w:szCs w:val="21"/>
          <w:spacing w:val="-3"/>
        </w:rPr>
        <w:t>ULC</w:t>
      </w:r>
      <w:r>
        <w:rPr>
          <w:rFonts w:ascii="SimSun" w:hAnsi="SimSun" w:eastAsia="SimSun" w:cs="SimSun"/>
          <w:sz w:val="21"/>
          <w:szCs w:val="21"/>
          <w:spacing w:val="-3"/>
        </w:rPr>
        <w:t>又一次出现了下降。但是，服务业，不管是市场还是非</w:t>
      </w:r>
      <w:r>
        <w:rPr>
          <w:rFonts w:ascii="SimSun" w:hAnsi="SimSun" w:eastAsia="SimSun" w:cs="SimSun"/>
          <w:sz w:val="21"/>
          <w:szCs w:val="21"/>
          <w:spacing w:val="-4"/>
        </w:rPr>
        <w:t>市场服</w:t>
      </w:r>
      <w:r>
        <w:rPr>
          <w:rFonts w:ascii="SimSun" w:hAnsi="SimSun" w:eastAsia="SimSun" w:cs="SimSun"/>
          <w:sz w:val="21"/>
          <w:szCs w:val="21"/>
        </w:rPr>
        <w:t xml:space="preserve"> </w:t>
      </w:r>
      <w:r>
        <w:rPr>
          <w:rFonts w:ascii="SimSun" w:hAnsi="SimSun" w:eastAsia="SimSun" w:cs="SimSun"/>
          <w:sz w:val="21"/>
          <w:szCs w:val="21"/>
          <w:spacing w:val="-11"/>
        </w:rPr>
        <w:t>务业，仍然是推动这个时期成本上升的主要部门。</w:t>
      </w:r>
    </w:p>
    <w:p>
      <w:pPr>
        <w:pStyle w:val="BodyText"/>
        <w:spacing w:line="363" w:lineRule="auto"/>
        <w:rPr/>
      </w:pPr>
      <w:r/>
    </w:p>
    <w:p>
      <w:pPr>
        <w:ind w:left="684"/>
        <w:spacing w:before="107" w:line="219" w:lineRule="auto"/>
        <w:rPr>
          <w:rFonts w:ascii="SimSun" w:hAnsi="SimSun" w:eastAsia="SimSun" w:cs="SimSun"/>
          <w:sz w:val="33"/>
          <w:szCs w:val="33"/>
        </w:rPr>
      </w:pPr>
      <w:r>
        <w:rPr>
          <w:rFonts w:ascii="SimSun" w:hAnsi="SimSun" w:eastAsia="SimSun" w:cs="SimSun"/>
          <w:sz w:val="33"/>
          <w:szCs w:val="33"/>
          <w:b/>
          <w:bCs/>
          <w:spacing w:val="-16"/>
        </w:rPr>
        <w:t>中国数字经济发展与全要素生产率</w:t>
      </w:r>
    </w:p>
    <w:p>
      <w:pPr>
        <w:pStyle w:val="BodyText"/>
        <w:spacing w:line="259" w:lineRule="auto"/>
        <w:rPr/>
      </w:pPr>
      <w:r/>
    </w:p>
    <w:p>
      <w:pPr>
        <w:ind w:firstLine="440"/>
        <w:spacing w:before="68" w:line="305" w:lineRule="auto"/>
        <w:jc w:val="both"/>
        <w:rPr>
          <w:rFonts w:ascii="SimSun" w:hAnsi="SimSun" w:eastAsia="SimSun" w:cs="SimSun"/>
          <w:sz w:val="21"/>
          <w:szCs w:val="21"/>
        </w:rPr>
      </w:pPr>
      <w:r>
        <w:rPr>
          <w:rFonts w:ascii="SimSun" w:hAnsi="SimSun" w:eastAsia="SimSun" w:cs="SimSun"/>
          <w:sz w:val="21"/>
          <w:szCs w:val="21"/>
          <w:spacing w:val="-8"/>
        </w:rPr>
        <w:t>我们从数字经济的视角，简单观察了不同经济部门的基础指</w:t>
      </w:r>
      <w:r>
        <w:rPr>
          <w:rFonts w:ascii="SimSun" w:hAnsi="SimSun" w:eastAsia="SimSun" w:cs="SimSun"/>
          <w:sz w:val="21"/>
          <w:szCs w:val="21"/>
          <w:spacing w:val="-9"/>
        </w:rPr>
        <w:t>标，</w:t>
      </w:r>
      <w:r>
        <w:rPr>
          <w:rFonts w:ascii="SimSun" w:hAnsi="SimSun" w:eastAsia="SimSun" w:cs="SimSun"/>
          <w:sz w:val="21"/>
          <w:szCs w:val="21"/>
        </w:rPr>
        <w:t xml:space="preserve"> </w:t>
      </w:r>
      <w:r>
        <w:rPr>
          <w:rFonts w:ascii="SimSun" w:hAnsi="SimSun" w:eastAsia="SimSun" w:cs="SimSun"/>
          <w:sz w:val="21"/>
          <w:szCs w:val="21"/>
          <w:spacing w:val="8"/>
        </w:rPr>
        <w:t>指出了一些主要问题，特别是整体经济资本依赖程度上升(</w:t>
      </w:r>
      <w:r>
        <w:rPr>
          <w:rFonts w:ascii="SimSun" w:hAnsi="SimSun" w:eastAsia="SimSun" w:cs="SimSun"/>
          <w:sz w:val="21"/>
          <w:szCs w:val="21"/>
          <w:spacing w:val="7"/>
        </w:rPr>
        <w:t>其他</w:t>
      </w:r>
      <w:r>
        <w:rPr>
          <w:rFonts w:ascii="SimSun" w:hAnsi="SimSun" w:eastAsia="SimSun" w:cs="SimSun"/>
          <w:sz w:val="21"/>
          <w:szCs w:val="21"/>
        </w:rPr>
        <w:t xml:space="preserve">  </w:t>
      </w:r>
      <w:r>
        <w:rPr>
          <w:rFonts w:ascii="SimSun" w:hAnsi="SimSun" w:eastAsia="SimSun" w:cs="SimSun"/>
          <w:sz w:val="21"/>
          <w:szCs w:val="21"/>
        </w:rPr>
        <w:t>因素不变，资本回报率下降)和单位产出劳动成本上升的问题，同</w:t>
      </w:r>
      <w:r>
        <w:rPr>
          <w:rFonts w:ascii="SimSun" w:hAnsi="SimSun" w:eastAsia="SimSun" w:cs="SimSun"/>
          <w:sz w:val="21"/>
          <w:szCs w:val="21"/>
          <w:spacing w:val="1"/>
        </w:rPr>
        <w:t xml:space="preserve">  </w:t>
      </w:r>
      <w:r>
        <w:rPr>
          <w:rFonts w:ascii="SimSun" w:hAnsi="SimSun" w:eastAsia="SimSun" w:cs="SimSun"/>
          <w:sz w:val="21"/>
          <w:szCs w:val="21"/>
        </w:rPr>
        <w:t>时也假说式地提出了这些问题可能的成因。然而，在行业/部门层</w:t>
      </w:r>
      <w:r>
        <w:rPr>
          <w:rFonts w:ascii="SimSun" w:hAnsi="SimSun" w:eastAsia="SimSun" w:cs="SimSun"/>
          <w:sz w:val="21"/>
          <w:szCs w:val="21"/>
          <w:spacing w:val="8"/>
        </w:rPr>
        <w:t xml:space="preserve">  </w:t>
      </w:r>
      <w:r>
        <w:rPr>
          <w:rFonts w:ascii="SimSun" w:hAnsi="SimSun" w:eastAsia="SimSun" w:cs="SimSun"/>
          <w:sz w:val="21"/>
          <w:szCs w:val="21"/>
          <w:spacing w:val="-3"/>
        </w:rPr>
        <w:t>面，我们观察到</w:t>
      </w:r>
      <w:r>
        <w:rPr>
          <w:rFonts w:ascii="Times New Roman" w:hAnsi="Times New Roman" w:eastAsia="Times New Roman" w:cs="Times New Roman"/>
          <w:sz w:val="21"/>
          <w:szCs w:val="21"/>
          <w:spacing w:val="-3"/>
        </w:rPr>
        <w:t>ICT </w:t>
      </w:r>
      <w:r>
        <w:rPr>
          <w:rFonts w:ascii="SimSun" w:hAnsi="SimSun" w:eastAsia="SimSun" w:cs="SimSun"/>
          <w:sz w:val="21"/>
          <w:szCs w:val="21"/>
          <w:spacing w:val="-3"/>
        </w:rPr>
        <w:t>生产和集约使用部门有着截然不同的表现。在</w:t>
      </w:r>
      <w:r>
        <w:rPr>
          <w:rFonts w:ascii="SimSun" w:hAnsi="SimSun" w:eastAsia="SimSun" w:cs="SimSun"/>
          <w:sz w:val="21"/>
          <w:szCs w:val="21"/>
          <w:spacing w:val="6"/>
        </w:rPr>
        <w:t xml:space="preserve">  </w:t>
      </w:r>
      <w:r>
        <w:rPr>
          <w:rFonts w:ascii="SimSun" w:hAnsi="SimSun" w:eastAsia="SimSun" w:cs="SimSun"/>
          <w:sz w:val="21"/>
          <w:szCs w:val="21"/>
          <w:spacing w:val="-3"/>
        </w:rPr>
        <w:t>实现了最快的劳动生产率增长的同时，这些部门的劳</w:t>
      </w:r>
      <w:r>
        <w:rPr>
          <w:rFonts w:ascii="SimSun" w:hAnsi="SimSun" w:eastAsia="SimSun" w:cs="SimSun"/>
          <w:sz w:val="21"/>
          <w:szCs w:val="21"/>
          <w:spacing w:val="-4"/>
        </w:rPr>
        <w:t>动成本上升得</w:t>
      </w:r>
      <w:r>
        <w:rPr>
          <w:rFonts w:ascii="SimSun" w:hAnsi="SimSun" w:eastAsia="SimSun" w:cs="SimSun"/>
          <w:sz w:val="21"/>
          <w:szCs w:val="21"/>
        </w:rPr>
        <w:t xml:space="preserve">  </w:t>
      </w:r>
      <w:r>
        <w:rPr>
          <w:rFonts w:ascii="SimSun" w:hAnsi="SimSun" w:eastAsia="SimSun" w:cs="SimSun"/>
          <w:sz w:val="21"/>
          <w:szCs w:val="21"/>
          <w:spacing w:val="-3"/>
        </w:rPr>
        <w:t>最慢，对资本投入增长的依赖性也最低，这可能预示着它们在产出 </w:t>
      </w:r>
      <w:r>
        <w:rPr>
          <w:rFonts w:ascii="SimSun" w:hAnsi="SimSun" w:eastAsia="SimSun" w:cs="SimSun"/>
          <w:sz w:val="21"/>
          <w:szCs w:val="21"/>
          <w:spacing w:val="-7"/>
        </w:rPr>
        <w:t>增长和效率改善上为整体经济做出了重要的贡献。为了确定这一点，</w:t>
      </w:r>
      <w:r>
        <w:rPr>
          <w:rFonts w:ascii="SimSun" w:hAnsi="SimSun" w:eastAsia="SimSun" w:cs="SimSun"/>
          <w:sz w:val="21"/>
          <w:szCs w:val="21"/>
          <w:spacing w:val="4"/>
        </w:rPr>
        <w:t xml:space="preserve"> </w:t>
      </w:r>
      <w:r>
        <w:rPr>
          <w:rFonts w:ascii="SimSun" w:hAnsi="SimSun" w:eastAsia="SimSun" w:cs="SimSun"/>
          <w:sz w:val="21"/>
          <w:szCs w:val="21"/>
          <w:spacing w:val="-3"/>
        </w:rPr>
        <w:t>我们需要一个更严谨的实证分析。在这一节，我们在</w:t>
      </w:r>
      <w:r>
        <w:rPr>
          <w:rFonts w:ascii="SimSun" w:hAnsi="SimSun" w:eastAsia="SimSun" w:cs="SimSun"/>
          <w:sz w:val="21"/>
          <w:szCs w:val="21"/>
          <w:spacing w:val="-4"/>
        </w:rPr>
        <w:t>一个基于乔根</w:t>
      </w:r>
      <w:r>
        <w:rPr>
          <w:rFonts w:ascii="SimSun" w:hAnsi="SimSun" w:eastAsia="SimSun" w:cs="SimSun"/>
          <w:sz w:val="21"/>
          <w:szCs w:val="21"/>
        </w:rPr>
        <w:t xml:space="preserve">  </w:t>
      </w:r>
      <w:r>
        <w:rPr>
          <w:rFonts w:ascii="SimSun" w:hAnsi="SimSun" w:eastAsia="SimSun" w:cs="SimSun"/>
          <w:sz w:val="21"/>
          <w:szCs w:val="21"/>
          <w:spacing w:val="-6"/>
        </w:rPr>
        <w:t>森</w:t>
      </w:r>
      <w:r>
        <w:rPr>
          <w:rFonts w:ascii="Times New Roman" w:hAnsi="Times New Roman" w:eastAsia="Times New Roman" w:cs="Times New Roman"/>
          <w:sz w:val="21"/>
          <w:szCs w:val="21"/>
          <w:spacing w:val="-6"/>
        </w:rPr>
        <w:t>APPF</w:t>
      </w:r>
      <w:r>
        <w:rPr>
          <w:rFonts w:ascii="SimSun" w:hAnsi="SimSun" w:eastAsia="SimSun" w:cs="SimSun"/>
          <w:sz w:val="21"/>
          <w:szCs w:val="21"/>
          <w:spacing w:val="-6"/>
        </w:rPr>
        <w:t>方法扩展的、可以整合行业生产率账户的</w:t>
      </w:r>
      <w:r>
        <w:rPr>
          <w:rFonts w:ascii="SimSun" w:hAnsi="SimSun" w:eastAsia="SimSun" w:cs="SimSun"/>
          <w:sz w:val="21"/>
          <w:szCs w:val="21"/>
          <w:spacing w:val="-7"/>
        </w:rPr>
        <w:t>新古典经济学经济</w:t>
      </w:r>
      <w:r>
        <w:rPr>
          <w:rFonts w:ascii="SimSun" w:hAnsi="SimSun" w:eastAsia="SimSun" w:cs="SimSun"/>
          <w:sz w:val="21"/>
          <w:szCs w:val="21"/>
        </w:rPr>
        <w:t xml:space="preserve">  </w:t>
      </w:r>
      <w:r>
        <w:rPr>
          <w:rFonts w:ascii="SimSun" w:hAnsi="SimSun" w:eastAsia="SimSun" w:cs="SimSun"/>
          <w:sz w:val="21"/>
          <w:szCs w:val="21"/>
          <w:spacing w:val="-4"/>
        </w:rPr>
        <w:t>增长核算框架②内，采用</w:t>
      </w:r>
      <w:r>
        <w:rPr>
          <w:rFonts w:ascii="Times New Roman" w:hAnsi="Times New Roman" w:eastAsia="Times New Roman" w:cs="Times New Roman"/>
          <w:sz w:val="21"/>
          <w:szCs w:val="21"/>
          <w:spacing w:val="-4"/>
        </w:rPr>
        <w:t>Törmqvist</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指数方法首先解析</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spacing w:val="-5"/>
        </w:rPr>
        <w:t>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集约和非</w:t>
      </w:r>
    </w:p>
    <w:p>
      <w:pPr>
        <w:pStyle w:val="BodyText"/>
        <w:spacing w:line="279" w:lineRule="auto"/>
        <w:rPr/>
      </w:pPr>
      <w:r/>
    </w:p>
    <w:p>
      <w:pPr>
        <w:pStyle w:val="BodyText"/>
        <w:spacing w:line="279" w:lineRule="auto"/>
        <w:rPr/>
      </w:pPr>
      <w:r/>
    </w:p>
    <w:p>
      <w:pPr>
        <w:ind w:left="319" w:right="74" w:hanging="319"/>
        <w:spacing w:before="59" w:line="255" w:lineRule="auto"/>
        <w:rPr>
          <w:rFonts w:ascii="Times New Roman" w:hAnsi="Times New Roman" w:eastAsia="Times New Roman" w:cs="Times New Roman"/>
          <w:sz w:val="16"/>
          <w:szCs w:val="16"/>
        </w:rPr>
      </w:pPr>
      <w:r>
        <w:rPr>
          <w:rFonts w:ascii="SimSun" w:hAnsi="SimSun" w:eastAsia="SimSun" w:cs="SimSun"/>
          <w:sz w:val="18"/>
          <w:szCs w:val="18"/>
        </w:rPr>
        <w:t>①</w:t>
      </w:r>
      <w:r>
        <w:rPr>
          <w:rFonts w:ascii="SimSun" w:hAnsi="SimSun" w:eastAsia="SimSun" w:cs="SimSun"/>
          <w:sz w:val="18"/>
          <w:szCs w:val="18"/>
          <w:spacing w:val="56"/>
        </w:rPr>
        <w:t xml:space="preserve"> </w:t>
      </w:r>
      <w:r>
        <w:rPr>
          <w:rFonts w:ascii="Times New Roman" w:hAnsi="Times New Roman" w:eastAsia="Times New Roman" w:cs="Times New Roman"/>
          <w:sz w:val="18"/>
          <w:szCs w:val="18"/>
        </w:rPr>
        <w:t>Dale W.Jorgenson,“Information</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Technology</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and the U.S.Economy”</w:t>
      </w:r>
      <w:r>
        <w:rPr>
          <w:rFonts w:ascii="Times New Roman" w:hAnsi="Times New Roman" w:eastAsia="Times New Roman" w:cs="Times New Roman"/>
          <w:sz w:val="18"/>
          <w:szCs w:val="18"/>
          <w:spacing w:val="-1"/>
        </w:rPr>
        <w:t>,American</w:t>
      </w:r>
      <w:r>
        <w:rPr>
          <w:rFonts w:ascii="Times New Roman" w:hAnsi="Times New Roman" w:eastAsia="Times New Roman" w:cs="Times New Roman"/>
          <w:sz w:val="18"/>
          <w:szCs w:val="18"/>
        </w:rPr>
        <w:t xml:space="preserve"> </w:t>
      </w:r>
      <w:r>
        <w:rPr>
          <w:rFonts w:ascii="Times New Roman" w:hAnsi="Times New Roman" w:eastAsia="Times New Roman" w:cs="Times New Roman"/>
          <w:sz w:val="16"/>
          <w:szCs w:val="16"/>
        </w:rPr>
        <w:t>Economic</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Review,2001,91(1):1-32.</w:t>
      </w:r>
    </w:p>
    <w:p>
      <w:pPr>
        <w:spacing w:line="255" w:lineRule="auto"/>
        <w:sectPr>
          <w:headerReference w:type="default" r:id="rId127"/>
          <w:pgSz w:w="7330" w:h="12480"/>
          <w:pgMar w:top="557" w:right="534" w:bottom="400" w:left="700" w:header="395" w:footer="0" w:gutter="0"/>
        </w:sectPr>
        <w:rPr>
          <w:rFonts w:ascii="Times New Roman" w:hAnsi="Times New Roman" w:eastAsia="Times New Roman" w:cs="Times New Roman"/>
          <w:sz w:val="16"/>
          <w:szCs w:val="16"/>
        </w:rPr>
      </w:pPr>
    </w:p>
    <w:p>
      <w:pPr>
        <w:pStyle w:val="BodyText"/>
        <w:spacing w:line="248" w:lineRule="auto"/>
        <w:rPr/>
      </w:pPr>
      <w:r>
        <w:drawing>
          <wp:anchor distT="0" distB="0" distL="0" distR="0" simplePos="0" relativeHeight="252756992" behindDoc="0" locked="0" layoutInCell="0" allowOverlap="1">
            <wp:simplePos x="0" y="0"/>
            <wp:positionH relativeFrom="page">
              <wp:posOffset>292119</wp:posOffset>
            </wp:positionH>
            <wp:positionV relativeFrom="page">
              <wp:posOffset>5467319</wp:posOffset>
            </wp:positionV>
            <wp:extent cx="1174715" cy="6418"/>
            <wp:effectExtent l="0" t="0" r="0" b="0"/>
            <wp:wrapNone/>
            <wp:docPr id="120" name="IM 120"/>
            <wp:cNvGraphicFramePr/>
            <a:graphic>
              <a:graphicData uri="http://schemas.openxmlformats.org/drawingml/2006/picture">
                <pic:pic>
                  <pic:nvPicPr>
                    <pic:cNvPr id="120" name="IM 120"/>
                    <pic:cNvPicPr/>
                  </pic:nvPicPr>
                  <pic:blipFill>
                    <a:blip r:embed="rId130"/>
                    <a:stretch>
                      <a:fillRect/>
                    </a:stretch>
                  </pic:blipFill>
                  <pic:spPr>
                    <a:xfrm rot="0">
                      <a:off x="0" y="0"/>
                      <a:ext cx="1174715" cy="6418"/>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ind w:left="19" w:right="83"/>
        <w:spacing w:before="65" w:line="340" w:lineRule="auto"/>
        <w:jc w:val="both"/>
        <w:rPr>
          <w:rFonts w:ascii="SimSun" w:hAnsi="SimSun" w:eastAsia="SimSun" w:cs="SimSun"/>
          <w:sz w:val="20"/>
          <w:szCs w:val="20"/>
        </w:rPr>
      </w:pPr>
      <w:r>
        <w:rPr>
          <w:rFonts w:ascii="Times New Roman" w:hAnsi="Times New Roman" w:eastAsia="Times New Roman" w:cs="Times New Roman"/>
          <w:sz w:val="20"/>
          <w:szCs w:val="20"/>
        </w:rPr>
        <w:t>ICT</w:t>
      </w:r>
      <w:r>
        <w:rPr>
          <w:rFonts w:ascii="SimSun" w:hAnsi="SimSun" w:eastAsia="SimSun" w:cs="SimSun"/>
          <w:sz w:val="20"/>
          <w:szCs w:val="20"/>
          <w:spacing w:val="2"/>
        </w:rPr>
        <w:t>集约部门以及不同要素投入对加入世界贸易组织以来中国经济增</w:t>
      </w:r>
      <w:r>
        <w:rPr>
          <w:rFonts w:ascii="SimSun" w:hAnsi="SimSun" w:eastAsia="SimSun" w:cs="SimSun"/>
          <w:sz w:val="20"/>
          <w:szCs w:val="20"/>
          <w:spacing w:val="17"/>
        </w:rPr>
        <w:t xml:space="preserve"> </w:t>
      </w:r>
      <w:r>
        <w:rPr>
          <w:rFonts w:ascii="SimSun" w:hAnsi="SimSun" w:eastAsia="SimSun" w:cs="SimSun"/>
          <w:sz w:val="20"/>
          <w:szCs w:val="20"/>
          <w:spacing w:val="7"/>
        </w:rPr>
        <w:t>长的贡献，然后进一步解析各个部门对整体经济</w:t>
      </w:r>
      <w:r>
        <w:rPr>
          <w:rFonts w:ascii="Times New Roman" w:hAnsi="Times New Roman" w:eastAsia="Times New Roman" w:cs="Times New Roman"/>
          <w:sz w:val="20"/>
          <w:szCs w:val="20"/>
        </w:rPr>
        <w:t>TFP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增长的贡献和</w:t>
      </w:r>
    </w:p>
    <w:p>
      <w:pPr>
        <w:ind w:left="19"/>
        <w:spacing w:line="217" w:lineRule="auto"/>
        <w:rPr>
          <w:rFonts w:ascii="SimSun" w:hAnsi="SimSun" w:eastAsia="SimSun" w:cs="SimSun"/>
          <w:sz w:val="20"/>
          <w:szCs w:val="20"/>
        </w:rPr>
      </w:pPr>
      <w:r>
        <w:rPr>
          <w:rFonts w:ascii="SimSun" w:hAnsi="SimSun" w:eastAsia="SimSun" w:cs="SimSun"/>
          <w:sz w:val="20"/>
          <w:szCs w:val="20"/>
          <w:spacing w:val="-2"/>
        </w:rPr>
        <w:t>部门之间要素重新配置对</w:t>
      </w:r>
      <w:r>
        <w:rPr>
          <w:rFonts w:ascii="Times New Roman" w:hAnsi="Times New Roman" w:eastAsia="Times New Roman" w:cs="Times New Roman"/>
          <w:sz w:val="20"/>
          <w:szCs w:val="20"/>
          <w:spacing w:val="-2"/>
        </w:rPr>
        <w:t>TFP </w:t>
      </w:r>
      <w:r>
        <w:rPr>
          <w:rFonts w:ascii="SimSun" w:hAnsi="SimSun" w:eastAsia="SimSun" w:cs="SimSun"/>
          <w:sz w:val="20"/>
          <w:szCs w:val="20"/>
          <w:spacing w:val="-2"/>
        </w:rPr>
        <w:t>增长的影响。①</w:t>
      </w:r>
    </w:p>
    <w:p>
      <w:pPr>
        <w:ind w:left="19" w:right="87" w:firstLine="399"/>
        <w:spacing w:before="109" w:line="332" w:lineRule="auto"/>
        <w:jc w:val="both"/>
        <w:rPr>
          <w:rFonts w:ascii="SimSun" w:hAnsi="SimSun" w:eastAsia="SimSun" w:cs="SimSun"/>
          <w:sz w:val="20"/>
          <w:szCs w:val="20"/>
        </w:rPr>
      </w:pPr>
      <w:r>
        <w:rPr>
          <w:rFonts w:ascii="SimSun" w:hAnsi="SimSun" w:eastAsia="SimSun" w:cs="SimSun"/>
          <w:sz w:val="20"/>
          <w:szCs w:val="20"/>
        </w:rPr>
        <w:t>应该强调的是，增长解析的目的是追溯增长</w:t>
      </w:r>
      <w:r>
        <w:rPr>
          <w:rFonts w:ascii="SimSun" w:hAnsi="SimSun" w:eastAsia="SimSun" w:cs="SimSun"/>
          <w:sz w:val="20"/>
          <w:szCs w:val="20"/>
          <w:spacing w:val="-1"/>
        </w:rPr>
        <w:t>的根源。尽管这种方</w:t>
      </w:r>
      <w:r>
        <w:rPr>
          <w:rFonts w:ascii="SimSun" w:hAnsi="SimSun" w:eastAsia="SimSun" w:cs="SimSun"/>
          <w:sz w:val="20"/>
          <w:szCs w:val="20"/>
        </w:rPr>
        <w:t xml:space="preserve"> </w:t>
      </w:r>
      <w:r>
        <w:rPr>
          <w:rFonts w:ascii="SimSun" w:hAnsi="SimSun" w:eastAsia="SimSun" w:cs="SimSun"/>
          <w:sz w:val="20"/>
          <w:szCs w:val="20"/>
          <w:spacing w:val="3"/>
        </w:rPr>
        <w:t>法的性质只是分解各个初级要素的贡献(排除了非初级要素的</w:t>
      </w:r>
      <w:r>
        <w:rPr>
          <w:rFonts w:ascii="SimSun" w:hAnsi="SimSun" w:eastAsia="SimSun" w:cs="SimSun"/>
          <w:sz w:val="20"/>
          <w:szCs w:val="20"/>
          <w:spacing w:val="2"/>
        </w:rPr>
        <w:t>重复计</w:t>
      </w:r>
      <w:r>
        <w:rPr>
          <w:rFonts w:ascii="SimSun" w:hAnsi="SimSun" w:eastAsia="SimSun" w:cs="SimSun"/>
          <w:sz w:val="20"/>
          <w:szCs w:val="20"/>
        </w:rPr>
        <w:t xml:space="preserve"> </w:t>
      </w:r>
      <w:r>
        <w:rPr>
          <w:rFonts w:ascii="SimSun" w:hAnsi="SimSun" w:eastAsia="SimSun" w:cs="SimSun"/>
          <w:sz w:val="20"/>
          <w:szCs w:val="20"/>
          <w:spacing w:val="6"/>
        </w:rPr>
        <w:t>算),但是，在本质上它是一种生产率，也就是效率分析。在正常情</w:t>
      </w:r>
      <w:r>
        <w:rPr>
          <w:rFonts w:ascii="SimSun" w:hAnsi="SimSun" w:eastAsia="SimSun" w:cs="SimSun"/>
          <w:sz w:val="20"/>
          <w:szCs w:val="20"/>
          <w:spacing w:val="8"/>
        </w:rPr>
        <w:t xml:space="preserve"> </w:t>
      </w:r>
      <w:r>
        <w:rPr>
          <w:rFonts w:ascii="SimSun" w:hAnsi="SimSun" w:eastAsia="SimSun" w:cs="SimSun"/>
          <w:sz w:val="20"/>
          <w:szCs w:val="20"/>
          <w:spacing w:val="-4"/>
        </w:rPr>
        <w:t>况下， 一个经济体不能长期接受其产出增长的速度慢于其投入增长的</w:t>
      </w:r>
      <w:r>
        <w:rPr>
          <w:rFonts w:ascii="SimSun" w:hAnsi="SimSun" w:eastAsia="SimSun" w:cs="SimSun"/>
          <w:sz w:val="20"/>
          <w:szCs w:val="20"/>
          <w:spacing w:val="13"/>
        </w:rPr>
        <w:t xml:space="preserve"> </w:t>
      </w:r>
      <w:r>
        <w:rPr>
          <w:rFonts w:ascii="SimSun" w:hAnsi="SimSun" w:eastAsia="SimSun" w:cs="SimSun"/>
          <w:sz w:val="20"/>
          <w:szCs w:val="20"/>
        </w:rPr>
        <w:t>速度，也就是说，不存在生产率的绝对下降。这</w:t>
      </w:r>
      <w:r>
        <w:rPr>
          <w:rFonts w:ascii="SimSun" w:hAnsi="SimSun" w:eastAsia="SimSun" w:cs="SimSun"/>
          <w:sz w:val="20"/>
          <w:szCs w:val="20"/>
          <w:spacing w:val="-1"/>
        </w:rPr>
        <w:t>个简单的经济学逻辑</w:t>
      </w:r>
      <w:r>
        <w:rPr>
          <w:rFonts w:ascii="SimSun" w:hAnsi="SimSun" w:eastAsia="SimSun" w:cs="SimSun"/>
          <w:sz w:val="20"/>
          <w:szCs w:val="20"/>
        </w:rPr>
        <w:t xml:space="preserve"> </w:t>
      </w:r>
      <w:r>
        <w:rPr>
          <w:rFonts w:ascii="SimSun" w:hAnsi="SimSun" w:eastAsia="SimSun" w:cs="SimSun"/>
          <w:sz w:val="20"/>
          <w:szCs w:val="20"/>
          <w:spacing w:val="-1"/>
        </w:rPr>
        <w:t>告诉我们，如果没有制度障碍，生产率零增长应该是一个经济体正常</w:t>
      </w:r>
      <w:r>
        <w:rPr>
          <w:rFonts w:ascii="SimSun" w:hAnsi="SimSun" w:eastAsia="SimSun" w:cs="SimSun"/>
          <w:sz w:val="20"/>
          <w:szCs w:val="20"/>
          <w:spacing w:val="16"/>
        </w:rPr>
        <w:t xml:space="preserve"> </w:t>
      </w:r>
      <w:r>
        <w:rPr>
          <w:rFonts w:ascii="SimSun" w:hAnsi="SimSun" w:eastAsia="SimSun" w:cs="SimSun"/>
          <w:sz w:val="20"/>
          <w:szCs w:val="20"/>
        </w:rPr>
        <w:t>情况下增长表现的底线。这也就是说，在严格</w:t>
      </w:r>
      <w:r>
        <w:rPr>
          <w:rFonts w:ascii="SimSun" w:hAnsi="SimSun" w:eastAsia="SimSun" w:cs="SimSun"/>
          <w:sz w:val="20"/>
          <w:szCs w:val="20"/>
          <w:spacing w:val="-1"/>
        </w:rPr>
        <w:t>地测算了初级要素投入</w:t>
      </w:r>
      <w:r>
        <w:rPr>
          <w:rFonts w:ascii="SimSun" w:hAnsi="SimSun" w:eastAsia="SimSun" w:cs="SimSun"/>
          <w:sz w:val="20"/>
          <w:szCs w:val="20"/>
        </w:rPr>
        <w:t xml:space="preserve"> </w:t>
      </w:r>
      <w:r>
        <w:rPr>
          <w:rFonts w:ascii="SimSun" w:hAnsi="SimSun" w:eastAsia="SimSun" w:cs="SimSun"/>
          <w:sz w:val="20"/>
          <w:szCs w:val="20"/>
          <w:spacing w:val="-4"/>
        </w:rPr>
        <w:t>变化和实际产出变化之后， </w:t>
      </w:r>
      <w:r>
        <w:rPr>
          <w:rFonts w:ascii="Times New Roman" w:hAnsi="Times New Roman" w:eastAsia="Times New Roman" w:cs="Times New Roman"/>
          <w:sz w:val="20"/>
          <w:szCs w:val="20"/>
          <w:spacing w:val="-4"/>
        </w:rPr>
        <w:t>TFP</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4"/>
        </w:rPr>
        <w:t>的变化可以反映该经济体是否处在一</w:t>
      </w:r>
    </w:p>
    <w:p>
      <w:pPr>
        <w:ind w:left="19"/>
        <w:spacing w:line="219" w:lineRule="auto"/>
        <w:rPr>
          <w:rFonts w:ascii="SimSun" w:hAnsi="SimSun" w:eastAsia="SimSun" w:cs="SimSun"/>
          <w:sz w:val="20"/>
          <w:szCs w:val="20"/>
        </w:rPr>
      </w:pPr>
      <w:r>
        <w:rPr>
          <w:rFonts w:ascii="SimSun" w:hAnsi="SimSun" w:eastAsia="SimSun" w:cs="SimSun"/>
          <w:sz w:val="20"/>
          <w:szCs w:val="20"/>
          <w:spacing w:val="-3"/>
        </w:rPr>
        <w:t>个制度改善抑或制度恶化的过程中。</w:t>
      </w:r>
    </w:p>
    <w:p>
      <w:pPr>
        <w:pStyle w:val="BodyText"/>
        <w:spacing w:line="420" w:lineRule="auto"/>
        <w:rPr/>
      </w:pPr>
      <w:r/>
    </w:p>
    <w:p>
      <w:pPr>
        <w:ind w:left="23"/>
        <w:spacing w:before="78" w:line="219" w:lineRule="auto"/>
        <w:rPr>
          <w:rFonts w:ascii="SimSun" w:hAnsi="SimSun" w:eastAsia="SimSun" w:cs="SimSun"/>
          <w:sz w:val="24"/>
          <w:szCs w:val="24"/>
        </w:rPr>
      </w:pPr>
      <w:r>
        <w:rPr>
          <w:rFonts w:ascii="SimSun" w:hAnsi="SimSun" w:eastAsia="SimSun" w:cs="SimSun"/>
          <w:sz w:val="24"/>
          <w:szCs w:val="24"/>
          <w:b/>
          <w:bCs/>
          <w:spacing w:val="-5"/>
        </w:rPr>
        <w:t>中国整体经济增长动态与劳动生产率函数</w:t>
      </w:r>
    </w:p>
    <w:p>
      <w:pPr>
        <w:pStyle w:val="BodyText"/>
        <w:spacing w:line="348" w:lineRule="auto"/>
        <w:rPr/>
      </w:pPr>
      <w:r/>
    </w:p>
    <w:p>
      <w:pPr>
        <w:ind w:left="19" w:firstLine="420"/>
        <w:spacing w:before="65" w:line="342" w:lineRule="auto"/>
        <w:jc w:val="both"/>
        <w:rPr>
          <w:rFonts w:ascii="SimSun" w:hAnsi="SimSun" w:eastAsia="SimSun" w:cs="SimSun"/>
          <w:sz w:val="20"/>
          <w:szCs w:val="20"/>
        </w:rPr>
      </w:pPr>
      <w:r>
        <w:rPr>
          <w:rFonts w:ascii="SimSun" w:hAnsi="SimSun" w:eastAsia="SimSun" w:cs="SimSun"/>
          <w:sz w:val="20"/>
          <w:szCs w:val="20"/>
          <w:spacing w:val="6"/>
        </w:rPr>
        <w:t>为了给行业/部门分析提供一个背景，我们</w:t>
      </w:r>
      <w:r>
        <w:rPr>
          <w:rFonts w:ascii="SimSun" w:hAnsi="SimSun" w:eastAsia="SimSun" w:cs="SimSun"/>
          <w:sz w:val="20"/>
          <w:szCs w:val="20"/>
          <w:spacing w:val="5"/>
        </w:rPr>
        <w:t>首先从一个一般的、</w:t>
      </w:r>
      <w:r>
        <w:rPr>
          <w:rFonts w:ascii="SimSun" w:hAnsi="SimSun" w:eastAsia="SimSun" w:cs="SimSun"/>
          <w:sz w:val="20"/>
          <w:szCs w:val="20"/>
        </w:rPr>
        <w:t xml:space="preserve"> </w:t>
      </w:r>
      <w:r>
        <w:rPr>
          <w:rFonts w:ascii="SimSun" w:hAnsi="SimSun" w:eastAsia="SimSun" w:cs="SimSun"/>
          <w:sz w:val="20"/>
          <w:szCs w:val="20"/>
          <w:spacing w:val="8"/>
        </w:rPr>
        <w:t>非</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的视角解析中国整体经济增长。我们从</w:t>
      </w:r>
      <w:r>
        <w:rPr>
          <w:rFonts w:ascii="SimSun" w:hAnsi="SimSun" w:eastAsia="SimSun" w:cs="SimSun"/>
          <w:sz w:val="20"/>
          <w:szCs w:val="20"/>
          <w:spacing w:val="7"/>
        </w:rPr>
        <w:t>观察投入和产出各个</w:t>
      </w:r>
    </w:p>
    <w:p>
      <w:pPr>
        <w:ind w:left="19"/>
        <w:spacing w:before="1" w:line="219" w:lineRule="auto"/>
        <w:rPr>
          <w:rFonts w:ascii="SimSun" w:hAnsi="SimSun" w:eastAsia="SimSun" w:cs="SimSun"/>
          <w:sz w:val="20"/>
          <w:szCs w:val="20"/>
        </w:rPr>
      </w:pPr>
      <w:r>
        <w:rPr>
          <w:rFonts w:ascii="SimSun" w:hAnsi="SimSun" w:eastAsia="SimSun" w:cs="SimSun"/>
          <w:sz w:val="20"/>
          <w:szCs w:val="20"/>
        </w:rPr>
        <w:t>指标的动态表现开始，然后再解析劳动生产</w:t>
      </w:r>
      <w:r>
        <w:rPr>
          <w:rFonts w:ascii="SimSun" w:hAnsi="SimSun" w:eastAsia="SimSun" w:cs="SimSun"/>
          <w:sz w:val="20"/>
          <w:szCs w:val="20"/>
          <w:spacing w:val="-1"/>
        </w:rPr>
        <w:t>率增长，旨在深入考察资</w:t>
      </w:r>
    </w:p>
    <w:p>
      <w:pPr>
        <w:pStyle w:val="BodyText"/>
        <w:spacing w:line="459" w:lineRule="auto"/>
        <w:rPr/>
      </w:pPr>
      <w:r/>
    </w:p>
    <w:p>
      <w:pPr>
        <w:ind w:left="299" w:right="49" w:hanging="280"/>
        <w:spacing w:before="52" w:line="288" w:lineRule="auto"/>
        <w:rPr>
          <w:rFonts w:ascii="Times New Roman" w:hAnsi="Times New Roman" w:eastAsia="Times New Roman" w:cs="Times New Roman"/>
          <w:sz w:val="16"/>
          <w:szCs w:val="16"/>
        </w:rPr>
      </w:pPr>
      <w:r>
        <w:rPr>
          <w:rFonts w:ascii="KaiTi" w:hAnsi="KaiTi" w:eastAsia="KaiTi" w:cs="KaiTi"/>
          <w:sz w:val="16"/>
          <w:szCs w:val="16"/>
        </w:rPr>
        <w:t>①</w:t>
      </w:r>
      <w:r>
        <w:rPr>
          <w:rFonts w:ascii="KaiTi" w:hAnsi="KaiTi" w:eastAsia="KaiTi" w:cs="KaiTi"/>
          <w:sz w:val="16"/>
          <w:szCs w:val="16"/>
          <w:spacing w:val="46"/>
        </w:rPr>
        <w:t xml:space="preserve"> </w:t>
      </w:r>
      <w:r>
        <w:rPr>
          <w:rFonts w:ascii="KaiTi" w:hAnsi="KaiTi" w:eastAsia="KaiTi" w:cs="KaiTi"/>
          <w:sz w:val="16"/>
          <w:szCs w:val="16"/>
        </w:rPr>
        <w:t>这个增长核算方法的细节及在中国和发展中</w:t>
      </w:r>
      <w:r>
        <w:rPr>
          <w:rFonts w:ascii="KaiTi" w:hAnsi="KaiTi" w:eastAsia="KaiTi" w:cs="KaiTi"/>
          <w:sz w:val="16"/>
          <w:szCs w:val="16"/>
          <w:spacing w:val="-1"/>
        </w:rPr>
        <w:t>经济体上的实证分析应用，请见伍晓鹰</w:t>
      </w:r>
      <w:r>
        <w:rPr>
          <w:rFonts w:ascii="KaiTi" w:hAnsi="KaiTi" w:eastAsia="KaiTi" w:cs="KaiTi"/>
          <w:sz w:val="16"/>
          <w:szCs w:val="16"/>
        </w:rPr>
        <w:t xml:space="preserve"> </w:t>
      </w:r>
      <w:r>
        <w:rPr>
          <w:rFonts w:ascii="KaiTi" w:hAnsi="KaiTi" w:eastAsia="KaiTi" w:cs="KaiTi"/>
          <w:sz w:val="16"/>
          <w:szCs w:val="16"/>
          <w:spacing w:val="-2"/>
        </w:rPr>
        <w:t>有关论文：</w:t>
      </w:r>
      <w:r>
        <w:rPr>
          <w:rFonts w:ascii="KaiTi" w:hAnsi="KaiTi" w:eastAsia="KaiTi" w:cs="KaiTi"/>
          <w:sz w:val="16"/>
          <w:szCs w:val="16"/>
          <w:spacing w:val="-2"/>
        </w:rPr>
        <w:t xml:space="preserve"> </w:t>
      </w:r>
      <w:r>
        <w:rPr>
          <w:rFonts w:ascii="Times New Roman" w:hAnsi="Times New Roman" w:eastAsia="Times New Roman" w:cs="Times New Roman"/>
          <w:sz w:val="16"/>
          <w:szCs w:val="16"/>
          <w:spacing w:val="-2"/>
        </w:rPr>
        <w:t>Hary</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2"/>
        </w:rPr>
        <w:t>X.Wu,“On</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2"/>
        </w:rPr>
        <w:t>China's</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2"/>
        </w:rPr>
        <w:t>Strategic</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2"/>
        </w:rPr>
        <w:t>Move</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2"/>
        </w:rPr>
        <w:t>for</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spacing w:val="-2"/>
        </w:rPr>
        <w:t>A New</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2"/>
        </w:rPr>
        <w:t>Stage</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spacing w:val="-2"/>
        </w:rPr>
        <w:t>of Develo</w:t>
      </w:r>
      <w:r>
        <w:rPr>
          <w:rFonts w:ascii="Times New Roman" w:hAnsi="Times New Roman" w:eastAsia="Times New Roman" w:cs="Times New Roman"/>
          <w:sz w:val="16"/>
          <w:szCs w:val="16"/>
          <w:spacing w:val="-3"/>
        </w:rPr>
        <w:t>pment-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A   Productivity   Perspective",in   D.W.Jorgenson,K.Fukao,M.P.Timmer,ed</w:t>
      </w:r>
      <w:r>
        <w:rPr>
          <w:rFonts w:ascii="Times New Roman" w:hAnsi="Times New Roman" w:eastAsia="Times New Roman" w:cs="Times New Roman"/>
          <w:sz w:val="16"/>
          <w:szCs w:val="16"/>
          <w:spacing w:val="-1"/>
        </w:rPr>
        <w:t>s,The   World</w:t>
      </w:r>
    </w:p>
    <w:p>
      <w:pPr>
        <w:ind w:left="299"/>
        <w:spacing w:before="13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Economy—Growth  or  Stagnation?,Cambridge,UK:Cambridge   University  Press,20</w:t>
      </w:r>
      <w:r>
        <w:rPr>
          <w:rFonts w:ascii="Times New Roman" w:hAnsi="Times New Roman" w:eastAsia="Times New Roman" w:cs="Times New Roman"/>
          <w:sz w:val="16"/>
          <w:szCs w:val="16"/>
          <w:i/>
          <w:iCs/>
          <w:spacing w:val="-1"/>
        </w:rPr>
        <w:t>16;</w:t>
      </w:r>
    </w:p>
    <w:p>
      <w:pPr>
        <w:ind w:left="299" w:right="49"/>
        <w:spacing w:before="132" w:line="27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Harry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Wu</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Sustainability</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s</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Growth</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Model</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Productivity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Perspective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China </w:t>
      </w:r>
      <w:r>
        <w:rPr>
          <w:rFonts w:ascii="Times New Roman" w:hAnsi="Times New Roman" w:eastAsia="Times New Roman" w:cs="Times New Roman"/>
          <w:sz w:val="16"/>
          <w:szCs w:val="16"/>
        </w:rPr>
        <w:t>&amp;World    Economy,2016,24(5):42-70;Harry     X.Wu,“Losing     Steam?—An    Industry</w:t>
      </w:r>
    </w:p>
    <w:p>
      <w:pPr>
        <w:ind w:left="299"/>
        <w:spacing w:before="13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Origin Analysis of</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China's Productivity</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Slowdown",Chapter</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rPr>
        <w:t>8 in Barbara</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Fra</w:t>
      </w:r>
      <w:r>
        <w:rPr>
          <w:rFonts w:ascii="Times New Roman" w:hAnsi="Times New Roman" w:eastAsia="Times New Roman" w:cs="Times New Roman"/>
          <w:sz w:val="16"/>
          <w:szCs w:val="16"/>
          <w:spacing w:val="-1"/>
        </w:rPr>
        <w:t>umeni</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1"/>
        </w:rPr>
        <w:t>(ed.),</w:t>
      </w:r>
    </w:p>
    <w:p>
      <w:pPr>
        <w:ind w:left="299"/>
        <w:spacing w:before="82"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Measuring</w:t>
      </w:r>
      <w:r>
        <w:rPr>
          <w:rFonts w:ascii="Times New Roman" w:hAnsi="Times New Roman" w:eastAsia="Times New Roman" w:cs="Times New Roman"/>
          <w:sz w:val="16"/>
          <w:szCs w:val="16"/>
          <w:i/>
          <w:iCs/>
          <w:spacing w:val="-6"/>
          <w:position w:val="3"/>
        </w:rPr>
        <w:t xml:space="preserve"> </w:t>
      </w:r>
      <w:r>
        <w:rPr>
          <w:rFonts w:ascii="Times New Roman" w:hAnsi="Times New Roman" w:eastAsia="Times New Roman" w:cs="Times New Roman"/>
          <w:sz w:val="16"/>
          <w:szCs w:val="16"/>
          <w:i/>
          <w:iCs/>
          <w:position w:val="3"/>
        </w:rPr>
        <w:t>Economic</w:t>
      </w:r>
      <w:r>
        <w:rPr>
          <w:rFonts w:ascii="Times New Roman" w:hAnsi="Times New Roman" w:eastAsia="Times New Roman" w:cs="Times New Roman"/>
          <w:sz w:val="16"/>
          <w:szCs w:val="16"/>
          <w:i/>
          <w:iCs/>
          <w:spacing w:val="11"/>
          <w:w w:val="102"/>
          <w:position w:val="3"/>
        </w:rPr>
        <w:t xml:space="preserve"> </w:t>
      </w:r>
      <w:r>
        <w:rPr>
          <w:rFonts w:ascii="Times New Roman" w:hAnsi="Times New Roman" w:eastAsia="Times New Roman" w:cs="Times New Roman"/>
          <w:sz w:val="16"/>
          <w:szCs w:val="16"/>
          <w:i/>
          <w:iCs/>
          <w:position w:val="3"/>
        </w:rPr>
        <w:t>Growth</w:t>
      </w:r>
      <w:r>
        <w:rPr>
          <w:rFonts w:ascii="Times New Roman" w:hAnsi="Times New Roman" w:eastAsia="Times New Roman" w:cs="Times New Roman"/>
          <w:sz w:val="16"/>
          <w:szCs w:val="16"/>
          <w:i/>
          <w:iCs/>
          <w:spacing w:val="3"/>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11"/>
          <w:position w:val="3"/>
        </w:rPr>
        <w:t xml:space="preserve"> </w:t>
      </w:r>
      <w:r>
        <w:rPr>
          <w:rFonts w:ascii="Times New Roman" w:hAnsi="Times New Roman" w:eastAsia="Times New Roman" w:cs="Times New Roman"/>
          <w:sz w:val="16"/>
          <w:szCs w:val="16"/>
          <w:i/>
          <w:iCs/>
          <w:position w:val="3"/>
        </w:rPr>
        <w:t>Productivity</w:t>
      </w:r>
      <w:r>
        <w:rPr>
          <w:rFonts w:ascii="Times New Roman" w:hAnsi="Times New Roman" w:eastAsia="Times New Roman" w:cs="Times New Roman"/>
          <w:sz w:val="16"/>
          <w:szCs w:val="16"/>
          <w:i/>
          <w:iCs/>
          <w:spacing w:val="3"/>
          <w:position w:val="3"/>
        </w:rPr>
        <w:t>:</w:t>
      </w:r>
      <w:r>
        <w:rPr>
          <w:rFonts w:ascii="Times New Roman" w:hAnsi="Times New Roman" w:eastAsia="Times New Roman" w:cs="Times New Roman"/>
          <w:sz w:val="16"/>
          <w:szCs w:val="16"/>
          <w:i/>
          <w:iCs/>
          <w:position w:val="3"/>
        </w:rPr>
        <w:t>Foundations</w:t>
      </w:r>
      <w:r>
        <w:rPr>
          <w:rFonts w:ascii="Times New Roman" w:hAnsi="Times New Roman" w:eastAsia="Times New Roman" w:cs="Times New Roman"/>
          <w:sz w:val="16"/>
          <w:szCs w:val="16"/>
          <w:i/>
          <w:iCs/>
          <w:spacing w:val="3"/>
          <w:position w:val="3"/>
        </w:rPr>
        <w:t>,</w:t>
      </w:r>
      <w:r>
        <w:rPr>
          <w:rFonts w:ascii="Times New Roman" w:hAnsi="Times New Roman" w:eastAsia="Times New Roman" w:cs="Times New Roman"/>
          <w:sz w:val="16"/>
          <w:szCs w:val="16"/>
          <w:i/>
          <w:iCs/>
          <w:position w:val="3"/>
        </w:rPr>
        <w:t>KLEMS</w:t>
      </w:r>
      <w:r>
        <w:rPr>
          <w:rFonts w:ascii="Times New Roman" w:hAnsi="Times New Roman" w:eastAsia="Times New Roman" w:cs="Times New Roman"/>
          <w:sz w:val="16"/>
          <w:szCs w:val="16"/>
          <w:i/>
          <w:iCs/>
          <w:spacing w:val="-10"/>
          <w:position w:val="3"/>
        </w:rPr>
        <w:t xml:space="preserve"> </w:t>
      </w:r>
      <w:r>
        <w:rPr>
          <w:rFonts w:ascii="Times New Roman" w:hAnsi="Times New Roman" w:eastAsia="Times New Roman" w:cs="Times New Roman"/>
          <w:sz w:val="16"/>
          <w:szCs w:val="16"/>
          <w:i/>
          <w:iCs/>
          <w:position w:val="3"/>
        </w:rPr>
        <w:t>Production</w:t>
      </w:r>
      <w:r>
        <w:rPr>
          <w:rFonts w:ascii="Times New Roman" w:hAnsi="Times New Roman" w:eastAsia="Times New Roman" w:cs="Times New Roman"/>
          <w:sz w:val="16"/>
          <w:szCs w:val="16"/>
          <w:i/>
          <w:iCs/>
          <w:spacing w:val="3"/>
          <w:position w:val="3"/>
        </w:rPr>
        <w:t xml:space="preserve"> </w:t>
      </w:r>
      <w:r>
        <w:rPr>
          <w:rFonts w:ascii="Times New Roman" w:hAnsi="Times New Roman" w:eastAsia="Times New Roman" w:cs="Times New Roman"/>
          <w:sz w:val="16"/>
          <w:szCs w:val="16"/>
          <w:i/>
          <w:iCs/>
          <w:position w:val="3"/>
        </w:rPr>
        <w:t>Models</w:t>
      </w:r>
      <w:r>
        <w:rPr>
          <w:rFonts w:ascii="Times New Roman" w:hAnsi="Times New Roman" w:eastAsia="Times New Roman" w:cs="Times New Roman"/>
          <w:sz w:val="16"/>
          <w:szCs w:val="16"/>
          <w:i/>
          <w:iCs/>
          <w:spacing w:val="3"/>
          <w:position w:val="3"/>
        </w:rPr>
        <w:t>,</w:t>
      </w:r>
    </w:p>
    <w:p>
      <w:pPr>
        <w:ind w:left="299" w:right="61"/>
        <w:spacing w:before="118" w:line="269" w:lineRule="auto"/>
        <w:rPr>
          <w:rFonts w:ascii="SimSun" w:hAnsi="SimSun" w:eastAsia="SimSun" w:cs="SimSun"/>
          <w:sz w:val="16"/>
          <w:szCs w:val="16"/>
        </w:rPr>
      </w:pPr>
      <w:r>
        <w:rPr>
          <w:rFonts w:ascii="Times New Roman" w:hAnsi="Times New Roman" w:eastAsia="Times New Roman" w:cs="Times New Roman"/>
          <w:sz w:val="16"/>
          <w:szCs w:val="16"/>
        </w:rPr>
        <w:t>and Extensions,Academic Press,2019;Harry X.Wu,"In Quest of</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Instiutional Interpretation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TFP Change—The Case of</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China",Man and the Economy,2019,6(2):1-22</w:t>
      </w:r>
      <w:r>
        <w:rPr>
          <w:rFonts w:ascii="SimSun" w:hAnsi="SimSun" w:eastAsia="SimSun" w:cs="SimSun"/>
          <w:sz w:val="16"/>
          <w:szCs w:val="16"/>
        </w:rPr>
        <w:t>。</w:t>
      </w:r>
    </w:p>
    <w:p>
      <w:pPr>
        <w:spacing w:line="269" w:lineRule="auto"/>
        <w:sectPr>
          <w:headerReference w:type="default" r:id="rId129"/>
          <w:pgSz w:w="7330" w:h="12480"/>
          <w:pgMar w:top="835" w:right="769" w:bottom="400" w:left="460" w:header="661" w:footer="0" w:gutter="0"/>
        </w:sectPr>
        <w:rPr>
          <w:rFonts w:ascii="SimSun" w:hAnsi="SimSun" w:eastAsia="SimSun" w:cs="SimSun"/>
          <w:sz w:val="16"/>
          <w:szCs w:val="16"/>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104"/>
        <w:spacing w:before="68" w:line="219" w:lineRule="auto"/>
        <w:rPr>
          <w:rFonts w:ascii="SimSun" w:hAnsi="SimSun" w:eastAsia="SimSun" w:cs="SimSun"/>
          <w:sz w:val="21"/>
          <w:szCs w:val="21"/>
        </w:rPr>
      </w:pPr>
      <w:r>
        <w:rPr>
          <w:rFonts w:ascii="SimSun" w:hAnsi="SimSun" w:eastAsia="SimSun" w:cs="SimSun"/>
          <w:sz w:val="21"/>
          <w:szCs w:val="21"/>
          <w:spacing w:val="-11"/>
        </w:rPr>
        <w:t>本深化对中国整体经济增长的作用。</w:t>
      </w:r>
    </w:p>
    <w:p>
      <w:pPr>
        <w:ind w:right="68" w:firstLine="485"/>
        <w:spacing w:before="109" w:line="309" w:lineRule="auto"/>
        <w:jc w:val="both"/>
        <w:rPr>
          <w:rFonts w:ascii="SimSun" w:hAnsi="SimSun" w:eastAsia="SimSun" w:cs="SimSun"/>
          <w:sz w:val="21"/>
          <w:szCs w:val="21"/>
        </w:rPr>
      </w:pPr>
      <w:r>
        <w:rPr>
          <w:rFonts w:ascii="SimSun" w:hAnsi="SimSun" w:eastAsia="SimSun" w:cs="SimSun"/>
          <w:sz w:val="21"/>
          <w:szCs w:val="21"/>
          <w:spacing w:val="-8"/>
        </w:rPr>
        <w:t>图2-10展示了2001—2018年间中</w:t>
      </w:r>
      <w:r>
        <w:rPr>
          <w:rFonts w:ascii="SimSun" w:hAnsi="SimSun" w:eastAsia="SimSun" w:cs="SimSun"/>
          <w:sz w:val="21"/>
          <w:szCs w:val="21"/>
          <w:spacing w:val="-9"/>
        </w:rPr>
        <w:t>国整体经济的 </w:t>
      </w:r>
      <w:r>
        <w:rPr>
          <w:rFonts w:ascii="Times New Roman" w:hAnsi="Times New Roman" w:eastAsia="Times New Roman" w:cs="Times New Roman"/>
          <w:sz w:val="21"/>
          <w:szCs w:val="21"/>
          <w:spacing w:val="-9"/>
        </w:rPr>
        <w:t>GDP</w:t>
      </w:r>
      <w:r>
        <w:rPr>
          <w:rFonts w:ascii="SimSun" w:hAnsi="SimSun" w:eastAsia="SimSun" w:cs="SimSun"/>
          <w:sz w:val="21"/>
          <w:szCs w:val="21"/>
          <w:spacing w:val="-9"/>
        </w:rPr>
        <w:t>、资本投入、</w:t>
      </w:r>
      <w:r>
        <w:rPr>
          <w:rFonts w:ascii="SimSun" w:hAnsi="SimSun" w:eastAsia="SimSun" w:cs="SimSun"/>
          <w:sz w:val="21"/>
          <w:szCs w:val="21"/>
        </w:rPr>
        <w:t xml:space="preserve"> </w:t>
      </w:r>
      <w:r>
        <w:rPr>
          <w:rFonts w:ascii="SimSun" w:hAnsi="SimSun" w:eastAsia="SimSun" w:cs="SimSun"/>
          <w:sz w:val="21"/>
          <w:szCs w:val="21"/>
          <w:spacing w:val="-5"/>
        </w:rPr>
        <w:t>劳动投入和</w:t>
      </w:r>
      <w:r>
        <w:rPr>
          <w:rFonts w:ascii="Times New Roman" w:hAnsi="Times New Roman" w:eastAsia="Times New Roman" w:cs="Times New Roman"/>
          <w:sz w:val="21"/>
          <w:szCs w:val="21"/>
          <w:spacing w:val="-5"/>
        </w:rPr>
        <w:t>TFP</w:t>
      </w:r>
      <w:r>
        <w:rPr>
          <w:rFonts w:ascii="SimSun" w:hAnsi="SimSun" w:eastAsia="SimSun" w:cs="SimSun"/>
          <w:sz w:val="21"/>
          <w:szCs w:val="21"/>
          <w:spacing w:val="-5"/>
        </w:rPr>
        <w:t>的年增长率。为了更直观地显示资本和劳动这两</w:t>
      </w:r>
      <w:r>
        <w:rPr>
          <w:rFonts w:ascii="SimSun" w:hAnsi="SimSun" w:eastAsia="SimSun" w:cs="SimSun"/>
          <w:sz w:val="21"/>
          <w:szCs w:val="21"/>
          <w:spacing w:val="-6"/>
        </w:rPr>
        <w:t>个初</w:t>
      </w:r>
      <w:r>
        <w:rPr>
          <w:rFonts w:ascii="SimSun" w:hAnsi="SimSun" w:eastAsia="SimSun" w:cs="SimSun"/>
          <w:sz w:val="21"/>
          <w:szCs w:val="21"/>
        </w:rPr>
        <w:t xml:space="preserve">  </w:t>
      </w:r>
      <w:r>
        <w:rPr>
          <w:rFonts w:ascii="SimSun" w:hAnsi="SimSun" w:eastAsia="SimSun" w:cs="SimSun"/>
          <w:sz w:val="21"/>
          <w:szCs w:val="21"/>
          <w:spacing w:val="-7"/>
        </w:rPr>
        <w:t>级要素自身的增长动态，我们没有对图中的要素</w:t>
      </w:r>
      <w:r>
        <w:rPr>
          <w:rFonts w:ascii="SimSun" w:hAnsi="SimSun" w:eastAsia="SimSun" w:cs="SimSun"/>
          <w:sz w:val="21"/>
          <w:szCs w:val="21"/>
          <w:spacing w:val="-8"/>
        </w:rPr>
        <w:t>投入增长率做任何权</w:t>
      </w:r>
      <w:r>
        <w:rPr>
          <w:rFonts w:ascii="SimSun" w:hAnsi="SimSun" w:eastAsia="SimSun" w:cs="SimSun"/>
          <w:sz w:val="21"/>
          <w:szCs w:val="21"/>
        </w:rPr>
        <w:t xml:space="preserve">  </w:t>
      </w:r>
      <w:r>
        <w:rPr>
          <w:rFonts w:ascii="SimSun" w:hAnsi="SimSun" w:eastAsia="SimSun" w:cs="SimSun"/>
          <w:sz w:val="21"/>
          <w:szCs w:val="21"/>
        </w:rPr>
        <w:t>重调整。该图清楚地展示了最近20年中国经济增长的</w:t>
      </w:r>
      <w:r>
        <w:rPr>
          <w:rFonts w:ascii="SimSun" w:hAnsi="SimSun" w:eastAsia="SimSun" w:cs="SimSun"/>
          <w:sz w:val="21"/>
          <w:szCs w:val="21"/>
          <w:spacing w:val="-1"/>
        </w:rPr>
        <w:t>几个特点。首</w:t>
      </w:r>
      <w:r>
        <w:rPr>
          <w:rFonts w:ascii="SimSun" w:hAnsi="SimSun" w:eastAsia="SimSun" w:cs="SimSun"/>
          <w:sz w:val="21"/>
          <w:szCs w:val="21"/>
        </w:rPr>
        <w:t xml:space="preserve">  </w:t>
      </w:r>
      <w:r>
        <w:rPr>
          <w:rFonts w:ascii="SimSun" w:hAnsi="SimSun" w:eastAsia="SimSun" w:cs="SimSun"/>
          <w:sz w:val="21"/>
          <w:szCs w:val="21"/>
          <w:spacing w:val="-10"/>
        </w:rPr>
        <w:t>先，危机后 </w:t>
      </w:r>
      <w:r>
        <w:rPr>
          <w:rFonts w:ascii="Times New Roman" w:hAnsi="Times New Roman" w:eastAsia="Times New Roman" w:cs="Times New Roman"/>
          <w:sz w:val="21"/>
          <w:szCs w:val="21"/>
          <w:spacing w:val="-10"/>
        </w:rPr>
        <w:t>GDP</w:t>
      </w:r>
      <w:r>
        <w:rPr>
          <w:rFonts w:ascii="SimSun" w:hAnsi="SimSun" w:eastAsia="SimSun" w:cs="SimSun"/>
          <w:sz w:val="21"/>
          <w:szCs w:val="21"/>
          <w:spacing w:val="-10"/>
        </w:rPr>
        <w:t>增速陡然下降，除去危机早期政策的影响，危机后的</w:t>
      </w:r>
      <w:r>
        <w:rPr>
          <w:rFonts w:ascii="SimSun" w:hAnsi="SimSun" w:eastAsia="SimSun" w:cs="SimSun"/>
          <w:sz w:val="21"/>
          <w:szCs w:val="21"/>
          <w:spacing w:val="2"/>
        </w:rPr>
        <w:t xml:space="preserve">  </w:t>
      </w:r>
      <w:r>
        <w:rPr>
          <w:rFonts w:ascii="SimSun" w:hAnsi="SimSun" w:eastAsia="SimSun" w:cs="SimSun"/>
          <w:sz w:val="21"/>
          <w:szCs w:val="21"/>
        </w:rPr>
        <w:t>平均年增长率在5%左右；然而，考虑到危机后“保</w:t>
      </w:r>
      <w:r>
        <w:rPr>
          <w:rFonts w:ascii="SimSun" w:hAnsi="SimSun" w:eastAsia="SimSun" w:cs="SimSun"/>
          <w:sz w:val="21"/>
          <w:szCs w:val="21"/>
          <w:spacing w:val="-1"/>
        </w:rPr>
        <w:t>增长”政策强大</w:t>
      </w:r>
      <w:r>
        <w:rPr>
          <w:rFonts w:ascii="SimSun" w:hAnsi="SimSun" w:eastAsia="SimSun" w:cs="SimSun"/>
          <w:sz w:val="21"/>
          <w:szCs w:val="21"/>
        </w:rPr>
        <w:t xml:space="preserve">  </w:t>
      </w:r>
      <w:r>
        <w:rPr>
          <w:rFonts w:ascii="SimSun" w:hAnsi="SimSun" w:eastAsia="SimSun" w:cs="SimSun"/>
          <w:sz w:val="21"/>
          <w:szCs w:val="21"/>
          <w:spacing w:val="-7"/>
        </w:rPr>
        <w:t>的资源动员效果，这个增长率并没有反映中国经济的潜在增长率</w:t>
      </w:r>
      <w:r>
        <w:rPr>
          <w:rFonts w:ascii="SimSun" w:hAnsi="SimSun" w:eastAsia="SimSun" w:cs="SimSun"/>
          <w:sz w:val="21"/>
          <w:szCs w:val="21"/>
          <w:spacing w:val="-8"/>
        </w:rPr>
        <w:t>，后</w:t>
      </w:r>
      <w:r>
        <w:rPr>
          <w:rFonts w:ascii="SimSun" w:hAnsi="SimSun" w:eastAsia="SimSun" w:cs="SimSun"/>
          <w:sz w:val="21"/>
          <w:szCs w:val="21"/>
        </w:rPr>
        <w:t xml:space="preserve">  </w:t>
      </w:r>
      <w:r>
        <w:rPr>
          <w:rFonts w:ascii="SimSun" w:hAnsi="SimSun" w:eastAsia="SimSun" w:cs="SimSun"/>
          <w:sz w:val="21"/>
          <w:szCs w:val="21"/>
          <w:spacing w:val="6"/>
        </w:rPr>
        <w:t>者非常可能为4%~5%,而不是5%或以上。其次，资本投入的力度在  </w:t>
      </w:r>
      <w:r>
        <w:rPr>
          <w:rFonts w:ascii="SimSun" w:hAnsi="SimSun" w:eastAsia="SimSun" w:cs="SimSun"/>
          <w:sz w:val="21"/>
          <w:szCs w:val="21"/>
          <w:spacing w:val="-4"/>
        </w:rPr>
        <w:t>2008—2009年政府反危机政策效果式微后呈加速下滑的趋势。再者，</w:t>
      </w:r>
      <w:r>
        <w:rPr>
          <w:rFonts w:ascii="SimSun" w:hAnsi="SimSun" w:eastAsia="SimSun" w:cs="SimSun"/>
          <w:sz w:val="21"/>
          <w:szCs w:val="21"/>
          <w:spacing w:val="15"/>
        </w:rPr>
        <w:t xml:space="preserve"> </w:t>
      </w:r>
      <w:r>
        <w:rPr>
          <w:rFonts w:ascii="SimSun" w:hAnsi="SimSun" w:eastAsia="SimSun" w:cs="SimSun"/>
          <w:sz w:val="21"/>
          <w:szCs w:val="21"/>
          <w:spacing w:val="-7"/>
        </w:rPr>
        <w:t>平均来看，危机后的劳动投入不再支持增长，所谓的“人口红</w:t>
      </w:r>
      <w:r>
        <w:rPr>
          <w:rFonts w:ascii="SimSun" w:hAnsi="SimSun" w:eastAsia="SimSun" w:cs="SimSun"/>
          <w:sz w:val="21"/>
          <w:szCs w:val="21"/>
          <w:spacing w:val="-8"/>
        </w:rPr>
        <w:t>利”已</w:t>
      </w:r>
      <w:r>
        <w:rPr>
          <w:rFonts w:ascii="SimSun" w:hAnsi="SimSun" w:eastAsia="SimSun" w:cs="SimSun"/>
          <w:sz w:val="21"/>
          <w:szCs w:val="21"/>
        </w:rPr>
        <w:t xml:space="preserve">  </w:t>
      </w:r>
      <w:r>
        <w:rPr>
          <w:rFonts w:ascii="SimSun" w:hAnsi="SimSun" w:eastAsia="SimSun" w:cs="SimSun"/>
          <w:sz w:val="21"/>
          <w:szCs w:val="21"/>
        </w:rPr>
        <w:t>经彻底消失了(参见表2-12)。最后，在中国加入世界贸易组织后的  </w:t>
      </w:r>
      <w:r>
        <w:rPr>
          <w:rFonts w:ascii="SimSun" w:hAnsi="SimSun" w:eastAsia="SimSun" w:cs="SimSun"/>
          <w:sz w:val="21"/>
          <w:szCs w:val="21"/>
          <w:spacing w:val="-13"/>
        </w:rPr>
        <w:t>“黄金期”,</w:t>
      </w:r>
      <w:r>
        <w:rPr>
          <w:rFonts w:ascii="Times New Roman" w:hAnsi="Times New Roman" w:eastAsia="Times New Roman" w:cs="Times New Roman"/>
          <w:sz w:val="21"/>
          <w:szCs w:val="21"/>
          <w:spacing w:val="-13"/>
        </w:rPr>
        <w:t>TFP</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3"/>
        </w:rPr>
        <w:t>似乎重复了“东亚模式”在相似发展阶段的良</w:t>
      </w:r>
      <w:r>
        <w:rPr>
          <w:rFonts w:ascii="SimSun" w:hAnsi="SimSun" w:eastAsia="SimSun" w:cs="SimSun"/>
          <w:sz w:val="21"/>
          <w:szCs w:val="21"/>
          <w:spacing w:val="-14"/>
        </w:rPr>
        <w:t>好表现，</w:t>
      </w:r>
      <w:r>
        <w:rPr>
          <w:rFonts w:ascii="SimSun" w:hAnsi="SimSun" w:eastAsia="SimSun" w:cs="SimSun"/>
          <w:sz w:val="21"/>
          <w:szCs w:val="21"/>
        </w:rPr>
        <w:t xml:space="preserve"> </w:t>
      </w:r>
      <w:r>
        <w:rPr>
          <w:rFonts w:ascii="SimSun" w:hAnsi="SimSun" w:eastAsia="SimSun" w:cs="SimSun"/>
          <w:sz w:val="21"/>
          <w:szCs w:val="21"/>
          <w:spacing w:val="-7"/>
        </w:rPr>
        <w:t>但并没有持续，危机后一直处在负值区。不仅如此</w:t>
      </w:r>
      <w:r>
        <w:rPr>
          <w:rFonts w:ascii="SimSun" w:hAnsi="SimSun" w:eastAsia="SimSun" w:cs="SimSun"/>
          <w:sz w:val="21"/>
          <w:szCs w:val="21"/>
          <w:spacing w:val="-8"/>
        </w:rPr>
        <w:t>，它还与资本投入</w:t>
      </w:r>
      <w:r>
        <w:rPr>
          <w:rFonts w:ascii="SimSun" w:hAnsi="SimSun" w:eastAsia="SimSun" w:cs="SimSun"/>
          <w:sz w:val="21"/>
          <w:szCs w:val="21"/>
        </w:rPr>
        <w:t xml:space="preserve">  </w:t>
      </w:r>
      <w:r>
        <w:rPr>
          <w:rFonts w:ascii="SimSun" w:hAnsi="SimSun" w:eastAsia="SimSun" w:cs="SimSun"/>
          <w:sz w:val="21"/>
          <w:szCs w:val="21"/>
          <w:spacing w:val="-10"/>
        </w:rPr>
        <w:t>呈明显相反的趋势，反映了过度资本投入对效率的反作用。</w:t>
      </w:r>
    </w:p>
    <w:p>
      <w:pPr>
        <w:ind w:left="104"/>
        <w:spacing w:before="160" w:line="222" w:lineRule="auto"/>
        <w:rPr>
          <w:rFonts w:ascii="SimSun" w:hAnsi="SimSun" w:eastAsia="SimSun" w:cs="SimSun"/>
          <w:sz w:val="13"/>
          <w:szCs w:val="13"/>
        </w:rPr>
      </w:pPr>
      <w:r>
        <w:rPr>
          <w:rFonts w:ascii="SimSun" w:hAnsi="SimSun" w:eastAsia="SimSun" w:cs="SimSun"/>
          <w:sz w:val="13"/>
          <w:szCs w:val="13"/>
          <w:spacing w:val="-7"/>
        </w:rPr>
        <w:t>(%)</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spacing w:before="49" w:line="219" w:lineRule="auto"/>
        <w:jc w:val="right"/>
        <w:rPr>
          <w:rFonts w:ascii="SimSun" w:hAnsi="SimSun" w:eastAsia="SimSun" w:cs="SimSun"/>
          <w:sz w:val="15"/>
          <w:szCs w:val="15"/>
        </w:rPr>
      </w:pPr>
      <w:r>
        <w:drawing>
          <wp:anchor distT="0" distB="0" distL="0" distR="0" simplePos="0" relativeHeight="252767232" behindDoc="0" locked="0" layoutInCell="1" allowOverlap="1">
            <wp:simplePos x="0" y="0"/>
            <wp:positionH relativeFrom="column">
              <wp:posOffset>28600</wp:posOffset>
            </wp:positionH>
            <wp:positionV relativeFrom="paragraph">
              <wp:posOffset>-1915715</wp:posOffset>
            </wp:positionV>
            <wp:extent cx="3746493" cy="1968441"/>
            <wp:effectExtent l="0" t="0" r="0" b="0"/>
            <wp:wrapNone/>
            <wp:docPr id="122" name="IM 122"/>
            <wp:cNvGraphicFramePr/>
            <a:graphic>
              <a:graphicData uri="http://schemas.openxmlformats.org/drawingml/2006/picture">
                <pic:pic>
                  <pic:nvPicPr>
                    <pic:cNvPr id="122" name="IM 122"/>
                    <pic:cNvPicPr/>
                  </pic:nvPicPr>
                  <pic:blipFill>
                    <a:blip r:embed="rId132"/>
                    <a:stretch>
                      <a:fillRect/>
                    </a:stretch>
                  </pic:blipFill>
                  <pic:spPr>
                    <a:xfrm rot="0">
                      <a:off x="0" y="0"/>
                      <a:ext cx="3746493" cy="1968441"/>
                    </a:xfrm>
                    <a:prstGeom prst="rect">
                      <a:avLst/>
                    </a:prstGeom>
                  </pic:spPr>
                </pic:pic>
              </a:graphicData>
            </a:graphic>
          </wp:anchor>
        </w:drawing>
      </w:r>
      <w:r>
        <w:rPr>
          <w:rFonts w:ascii="SimSun" w:hAnsi="SimSun" w:eastAsia="SimSun" w:cs="SimSun"/>
          <w:sz w:val="15"/>
          <w:szCs w:val="15"/>
          <w:spacing w:val="5"/>
        </w:rPr>
        <w:t>20022003200420052006200720082009201020112012201320142015201620172018(年)</w:t>
      </w:r>
    </w:p>
    <w:p>
      <w:pPr>
        <w:ind w:left="1755"/>
        <w:spacing w:before="101" w:line="21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GDP</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9"/>
        </w:rPr>
        <w:t xml:space="preserve"> </w:t>
      </w:r>
      <w:r>
        <w:rPr>
          <w:rFonts w:ascii="SimSun" w:hAnsi="SimSun" w:eastAsia="SimSun" w:cs="SimSun"/>
          <w:sz w:val="15"/>
          <w:szCs w:val="15"/>
          <w:spacing w:val="10"/>
        </w:rPr>
        <w:t>资本投入----</w:t>
      </w:r>
      <w:r>
        <w:rPr>
          <w:rFonts w:ascii="SimSun" w:hAnsi="SimSun" w:eastAsia="SimSun" w:cs="SimSun"/>
          <w:sz w:val="15"/>
          <w:szCs w:val="15"/>
          <w:spacing w:val="-43"/>
        </w:rPr>
        <w:t xml:space="preserve"> </w:t>
      </w:r>
      <w:r>
        <w:rPr>
          <w:rFonts w:ascii="SimSun" w:hAnsi="SimSun" w:eastAsia="SimSun" w:cs="SimSun"/>
          <w:sz w:val="15"/>
          <w:szCs w:val="15"/>
          <w:spacing w:val="10"/>
        </w:rPr>
        <w:t>劳动投入</w:t>
      </w:r>
      <w:r>
        <w:rPr>
          <w:rFonts w:ascii="SimSun" w:hAnsi="SimSun" w:eastAsia="SimSun" w:cs="SimSun"/>
          <w:sz w:val="15"/>
          <w:szCs w:val="15"/>
          <w:spacing w:val="-48"/>
        </w:rPr>
        <w:t xml:space="preserve"> </w:t>
      </w:r>
      <w:r>
        <w:rPr>
          <w:rFonts w:ascii="SimSun" w:hAnsi="SimSun" w:eastAsia="SimSun" w:cs="SimSun"/>
          <w:sz w:val="15"/>
          <w:szCs w:val="15"/>
          <w:spacing w:val="10"/>
        </w:rPr>
        <w:t>—</w:t>
      </w:r>
      <w:r>
        <w:rPr>
          <w:rFonts w:ascii="SimSun" w:hAnsi="SimSun" w:eastAsia="SimSun" w:cs="SimSun"/>
          <w:sz w:val="15"/>
          <w:szCs w:val="15"/>
          <w:spacing w:val="-47"/>
        </w:rPr>
        <w:t xml:space="preserve"> </w:t>
      </w:r>
      <w:r>
        <w:rPr>
          <w:rFonts w:ascii="SimSun" w:hAnsi="SimSun" w:eastAsia="SimSun" w:cs="SimSun"/>
          <w:sz w:val="15"/>
          <w:szCs w:val="15"/>
          <w:spacing w:val="10"/>
        </w:rPr>
        <w:t>—</w:t>
      </w:r>
      <w:r>
        <w:rPr>
          <w:rFonts w:ascii="SimSun" w:hAnsi="SimSun" w:eastAsia="SimSun" w:cs="SimSun"/>
          <w:sz w:val="15"/>
          <w:szCs w:val="15"/>
          <w:spacing w:val="-49"/>
        </w:rPr>
        <w:t xml:space="preserve"> </w:t>
      </w:r>
      <w:r>
        <w:rPr>
          <w:rFonts w:ascii="Times New Roman" w:hAnsi="Times New Roman" w:eastAsia="Times New Roman" w:cs="Times New Roman"/>
          <w:sz w:val="15"/>
          <w:szCs w:val="15"/>
        </w:rPr>
        <w:t>TFP</w:t>
      </w:r>
    </w:p>
    <w:p>
      <w:pPr>
        <w:ind w:left="395"/>
        <w:spacing w:before="214" w:line="404" w:lineRule="exact"/>
        <w:rPr>
          <w:rFonts w:ascii="SimHei" w:hAnsi="SimHei" w:eastAsia="SimHei" w:cs="SimHei"/>
          <w:sz w:val="21"/>
          <w:szCs w:val="21"/>
        </w:rPr>
      </w:pPr>
      <w:r>
        <w:rPr>
          <w:rFonts w:ascii="SimHei" w:hAnsi="SimHei" w:eastAsia="SimHei" w:cs="SimHei"/>
          <w:sz w:val="21"/>
          <w:szCs w:val="21"/>
          <w:spacing w:val="-20"/>
          <w:position w:val="14"/>
        </w:rPr>
        <w:t>图2-10</w:t>
      </w:r>
      <w:r>
        <w:rPr>
          <w:rFonts w:ascii="SimHei" w:hAnsi="SimHei" w:eastAsia="SimHei" w:cs="SimHei"/>
          <w:sz w:val="21"/>
          <w:szCs w:val="21"/>
          <w:spacing w:val="65"/>
          <w:position w:val="14"/>
        </w:rPr>
        <w:t xml:space="preserve"> </w:t>
      </w:r>
      <w:r>
        <w:rPr>
          <w:rFonts w:ascii="SimHei" w:hAnsi="SimHei" w:eastAsia="SimHei" w:cs="SimHei"/>
          <w:sz w:val="21"/>
          <w:szCs w:val="21"/>
          <w:spacing w:val="-20"/>
          <w:position w:val="14"/>
        </w:rPr>
        <w:t>中国整体经济的</w:t>
      </w:r>
      <w:r>
        <w:rPr>
          <w:rFonts w:ascii="SimHei" w:hAnsi="SimHei" w:eastAsia="SimHei" w:cs="SimHei"/>
          <w:sz w:val="21"/>
          <w:szCs w:val="21"/>
          <w:spacing w:val="-60"/>
          <w:position w:val="14"/>
        </w:rPr>
        <w:t xml:space="preserve"> </w:t>
      </w:r>
      <w:r>
        <w:rPr>
          <w:rFonts w:ascii="SimSun" w:hAnsi="SimSun" w:eastAsia="SimSun" w:cs="SimSun"/>
          <w:sz w:val="21"/>
          <w:szCs w:val="21"/>
          <w:spacing w:val="-20"/>
          <w:position w:val="14"/>
        </w:rPr>
        <w:t>GDP、</w:t>
      </w:r>
      <w:r>
        <w:rPr>
          <w:rFonts w:ascii="SimSun" w:hAnsi="SimSun" w:eastAsia="SimSun" w:cs="SimSun"/>
          <w:sz w:val="21"/>
          <w:szCs w:val="21"/>
          <w:spacing w:val="24"/>
          <w:position w:val="14"/>
        </w:rPr>
        <w:t xml:space="preserve"> </w:t>
      </w:r>
      <w:r>
        <w:rPr>
          <w:rFonts w:ascii="SimHei" w:hAnsi="SimHei" w:eastAsia="SimHei" w:cs="SimHei"/>
          <w:sz w:val="21"/>
          <w:szCs w:val="21"/>
          <w:spacing w:val="-20"/>
          <w:position w:val="14"/>
        </w:rPr>
        <w:t>资本投入、劳动投入和</w:t>
      </w:r>
      <w:r>
        <w:rPr>
          <w:rFonts w:ascii="SimSun" w:hAnsi="SimSun" w:eastAsia="SimSun" w:cs="SimSun"/>
          <w:sz w:val="21"/>
          <w:szCs w:val="21"/>
          <w:spacing w:val="-20"/>
          <w:position w:val="14"/>
        </w:rPr>
        <w:t>TFP</w:t>
      </w:r>
      <w:r>
        <w:rPr>
          <w:rFonts w:ascii="SimSun" w:hAnsi="SimSun" w:eastAsia="SimSun" w:cs="SimSun"/>
          <w:sz w:val="21"/>
          <w:szCs w:val="21"/>
          <w:spacing w:val="-34"/>
          <w:position w:val="14"/>
        </w:rPr>
        <w:t xml:space="preserve"> </w:t>
      </w:r>
      <w:r>
        <w:rPr>
          <w:rFonts w:ascii="SimHei" w:hAnsi="SimHei" w:eastAsia="SimHei" w:cs="SimHei"/>
          <w:sz w:val="21"/>
          <w:szCs w:val="21"/>
          <w:spacing w:val="-20"/>
          <w:position w:val="14"/>
        </w:rPr>
        <w:t>年增长率</w:t>
      </w:r>
    </w:p>
    <w:p>
      <w:pPr>
        <w:ind w:left="485"/>
        <w:spacing w:line="221" w:lineRule="auto"/>
        <w:rPr>
          <w:rFonts w:ascii="KaiTi" w:hAnsi="KaiTi" w:eastAsia="KaiTi" w:cs="KaiTi"/>
          <w:sz w:val="15"/>
          <w:szCs w:val="15"/>
        </w:rPr>
      </w:pPr>
      <w:r>
        <w:rPr>
          <w:rFonts w:ascii="KaiTi" w:hAnsi="KaiTi" w:eastAsia="KaiTi" w:cs="KaiTi"/>
          <w:sz w:val="15"/>
          <w:szCs w:val="15"/>
          <w:spacing w:val="14"/>
        </w:rPr>
        <w:t>资料来源：作者计算(见后文表2-13),数据出处及构建方法见本章第三节。</w:t>
      </w:r>
    </w:p>
    <w:p>
      <w:pPr>
        <w:spacing w:line="221" w:lineRule="auto"/>
        <w:sectPr>
          <w:headerReference w:type="default" r:id="rId131"/>
          <w:pgSz w:w="7330" w:h="12480"/>
          <w:pgMar w:top="557" w:right="566" w:bottom="400" w:left="514" w:header="404" w:footer="0" w:gutter="0"/>
        </w:sectPr>
        <w:rPr>
          <w:rFonts w:ascii="KaiTi" w:hAnsi="KaiTi" w:eastAsia="KaiTi" w:cs="KaiTi"/>
          <w:sz w:val="15"/>
          <w:szCs w:val="15"/>
        </w:rPr>
      </w:pPr>
    </w:p>
    <w:p>
      <w:pPr>
        <w:pStyle w:val="BodyText"/>
        <w:spacing w:line="247" w:lineRule="auto"/>
        <w:rPr/>
      </w:pPr>
      <w:r>
        <w:pict>
          <v:shape id="_x0000_s56" style="position:absolute;margin-left:21.0005pt;margin-top:352.248pt;mso-position-vertical-relative:page;mso-position-horizontal-relative:page;width:303.05pt;height:0.5pt;z-index:252777472;" o:allowincell="f" filled="false" strokecolor="#000000" strokeweight="0.50pt" coordsize="6060,10" coordorigin="0,0" path="m0,5l6060,5e">
            <v:stroke joinstyle="miter" miterlimit="10"/>
          </v:shape>
        </w:pict>
      </w:r>
      <w:r>
        <w:pict>
          <v:shape id="_x0000_s58" style="position:absolute;margin-left:21.0005pt;margin-top:367.249pt;mso-position-vertical-relative:page;mso-position-horizontal-relative:page;width:303.05pt;height:0.5pt;z-index:252778496;" o:allowincell="f" filled="false" strokecolor="#000000" strokeweight="0.50pt" coordsize="6060,10" coordorigin="0,0" path="m0,5l6060,5m0,5l1439,5m1439,5l2440,5m2440,5l3619,5m3619,5l4799,5m4799,5l6060,5e">
            <v:stroke joinstyle="miter" miterlimit="10"/>
          </v:shape>
        </w:pict>
      </w:r>
      <w:r/>
    </w:p>
    <w:p>
      <w:pPr>
        <w:pStyle w:val="BodyText"/>
        <w:spacing w:line="247" w:lineRule="auto"/>
        <w:rPr/>
      </w:pPr>
      <w:r/>
    </w:p>
    <w:p>
      <w:pPr>
        <w:pStyle w:val="BodyText"/>
        <w:spacing w:line="247" w:lineRule="auto"/>
        <w:rPr/>
      </w:pPr>
      <w:r/>
    </w:p>
    <w:p>
      <w:pPr>
        <w:pStyle w:val="BodyText"/>
        <w:spacing w:line="248" w:lineRule="auto"/>
        <w:rPr/>
      </w:pPr>
      <w:r/>
    </w:p>
    <w:p>
      <w:pPr>
        <w:ind w:left="9" w:right="56" w:firstLine="379"/>
        <w:spacing w:before="69" w:line="300" w:lineRule="auto"/>
        <w:jc w:val="both"/>
        <w:rPr>
          <w:rFonts w:ascii="SimSun" w:hAnsi="SimSun" w:eastAsia="SimSun" w:cs="SimSun"/>
          <w:sz w:val="21"/>
          <w:szCs w:val="21"/>
        </w:rPr>
      </w:pPr>
      <w:r>
        <w:rPr>
          <w:rFonts w:ascii="SimSun" w:hAnsi="SimSun" w:eastAsia="SimSun" w:cs="SimSun"/>
          <w:sz w:val="21"/>
          <w:szCs w:val="21"/>
          <w:spacing w:val="-5"/>
        </w:rPr>
        <w:t>如果将劳动作为唯一投入要素，图2-10的</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5"/>
        </w:rPr>
        <w:t>GDP</w:t>
      </w:r>
      <w:r>
        <w:rPr>
          <w:rFonts w:ascii="SimSun" w:hAnsi="SimSun" w:eastAsia="SimSun" w:cs="SimSun"/>
          <w:sz w:val="21"/>
          <w:szCs w:val="21"/>
          <w:spacing w:val="-5"/>
        </w:rPr>
        <w:t>增长率是劳动数</w:t>
      </w:r>
      <w:r>
        <w:rPr>
          <w:rFonts w:ascii="SimSun" w:hAnsi="SimSun" w:eastAsia="SimSun" w:cs="SimSun"/>
          <w:sz w:val="21"/>
          <w:szCs w:val="21"/>
        </w:rPr>
        <w:t xml:space="preserve"> </w:t>
      </w:r>
      <w:r>
        <w:rPr>
          <w:rFonts w:ascii="SimSun" w:hAnsi="SimSun" w:eastAsia="SimSun" w:cs="SimSun"/>
          <w:sz w:val="21"/>
          <w:szCs w:val="21"/>
          <w:spacing w:val="-10"/>
        </w:rPr>
        <w:t>量增长和劳动生产率增长的共同结果。劳动数量通</w:t>
      </w:r>
      <w:r>
        <w:rPr>
          <w:rFonts w:ascii="SimSun" w:hAnsi="SimSun" w:eastAsia="SimSun" w:cs="SimSun"/>
          <w:sz w:val="21"/>
          <w:szCs w:val="21"/>
          <w:spacing w:val="-11"/>
        </w:rPr>
        <w:t>常就是劳动者的自</w:t>
      </w:r>
      <w:r>
        <w:rPr>
          <w:rFonts w:ascii="SimSun" w:hAnsi="SimSun" w:eastAsia="SimSun" w:cs="SimSun"/>
          <w:sz w:val="21"/>
          <w:szCs w:val="21"/>
        </w:rPr>
        <w:t xml:space="preserve"> </w:t>
      </w:r>
      <w:r>
        <w:rPr>
          <w:rFonts w:ascii="SimSun" w:hAnsi="SimSun" w:eastAsia="SimSun" w:cs="SimSun"/>
          <w:sz w:val="21"/>
          <w:szCs w:val="21"/>
          <w:spacing w:val="-4"/>
        </w:rPr>
        <w:t>然数量。但是考虑到不同行业和不同时期平均劳动者的工作时长因</w:t>
      </w:r>
      <w:r>
        <w:rPr>
          <w:rFonts w:ascii="SimSun" w:hAnsi="SimSun" w:eastAsia="SimSun" w:cs="SimSun"/>
          <w:sz w:val="21"/>
          <w:szCs w:val="21"/>
          <w:spacing w:val="6"/>
        </w:rPr>
        <w:t xml:space="preserve"> </w:t>
      </w:r>
      <w:r>
        <w:rPr>
          <w:rFonts w:ascii="SimSun" w:hAnsi="SimSun" w:eastAsia="SimSun" w:cs="SimSun"/>
          <w:sz w:val="21"/>
          <w:szCs w:val="21"/>
          <w:spacing w:val="-4"/>
        </w:rPr>
        <w:t>收入、技术和制度因素而不同，严格的经济学分析需要使用劳动小</w:t>
      </w:r>
      <w:r>
        <w:rPr>
          <w:rFonts w:ascii="SimSun" w:hAnsi="SimSun" w:eastAsia="SimSun" w:cs="SimSun"/>
          <w:sz w:val="21"/>
          <w:szCs w:val="21"/>
          <w:spacing w:val="1"/>
        </w:rPr>
        <w:t xml:space="preserve"> </w:t>
      </w:r>
      <w:r>
        <w:rPr>
          <w:rFonts w:ascii="SimSun" w:hAnsi="SimSun" w:eastAsia="SimSun" w:cs="SimSun"/>
          <w:sz w:val="21"/>
          <w:szCs w:val="21"/>
          <w:spacing w:val="-4"/>
        </w:rPr>
        <w:t>时数，而不是劳动者的自然人数作为分析指标。将劳动数量增长从</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8"/>
        </w:rPr>
        <w:t>GDP</w:t>
      </w:r>
      <w:r>
        <w:rPr>
          <w:rFonts w:ascii="SimSun" w:hAnsi="SimSun" w:eastAsia="SimSun" w:cs="SimSun"/>
          <w:sz w:val="21"/>
          <w:szCs w:val="21"/>
          <w:spacing w:val="-8"/>
        </w:rPr>
        <w:t>增长中分离出来有助于观察长期增长中人口因素</w:t>
      </w:r>
      <w:r>
        <w:rPr>
          <w:rFonts w:ascii="SimSun" w:hAnsi="SimSun" w:eastAsia="SimSun" w:cs="SimSun"/>
          <w:sz w:val="21"/>
          <w:szCs w:val="21"/>
          <w:spacing w:val="-9"/>
        </w:rPr>
        <w:t>的变化。</w:t>
      </w:r>
    </w:p>
    <w:p>
      <w:pPr>
        <w:ind w:left="9" w:right="53" w:firstLine="379"/>
        <w:spacing w:before="131" w:line="295" w:lineRule="auto"/>
        <w:jc w:val="both"/>
        <w:rPr>
          <w:rFonts w:ascii="SimSun" w:hAnsi="SimSun" w:eastAsia="SimSun" w:cs="SimSun"/>
          <w:sz w:val="21"/>
          <w:szCs w:val="21"/>
        </w:rPr>
      </w:pPr>
      <w:r>
        <w:rPr>
          <w:rFonts w:ascii="SimSun" w:hAnsi="SimSun" w:eastAsia="SimSun" w:cs="SimSun"/>
          <w:sz w:val="21"/>
          <w:szCs w:val="21"/>
          <w:spacing w:val="-3"/>
        </w:rPr>
        <w:t>表2-12显示，整个考察期平均来看，中国经济增长完全来自劳</w:t>
      </w:r>
      <w:r>
        <w:rPr>
          <w:rFonts w:ascii="SimSun" w:hAnsi="SimSun" w:eastAsia="SimSun" w:cs="SimSun"/>
          <w:sz w:val="21"/>
          <w:szCs w:val="21"/>
          <w:spacing w:val="7"/>
        </w:rPr>
        <w:t xml:space="preserve"> </w:t>
      </w:r>
      <w:r>
        <w:rPr>
          <w:rFonts w:ascii="SimSun" w:hAnsi="SimSun" w:eastAsia="SimSun" w:cs="SimSun"/>
          <w:sz w:val="21"/>
          <w:szCs w:val="21"/>
          <w:spacing w:val="-11"/>
        </w:rPr>
        <w:t>动生产率的提高，并不存在所谓“人口红利”的作用。但如果从分期</w:t>
      </w:r>
      <w:r>
        <w:rPr>
          <w:rFonts w:ascii="SimSun" w:hAnsi="SimSun" w:eastAsia="SimSun" w:cs="SimSun"/>
          <w:sz w:val="21"/>
          <w:szCs w:val="21"/>
          <w:spacing w:val="2"/>
        </w:rPr>
        <w:t xml:space="preserve"> </w:t>
      </w:r>
      <w:r>
        <w:rPr>
          <w:rFonts w:ascii="SimSun" w:hAnsi="SimSun" w:eastAsia="SimSun" w:cs="SimSun"/>
          <w:sz w:val="21"/>
          <w:szCs w:val="21"/>
          <w:spacing w:val="-4"/>
        </w:rPr>
        <w:t>结果来看，劳动小时增长在2001—2007年的“黄金期”对整体增长</w:t>
      </w:r>
      <w:r>
        <w:rPr>
          <w:rFonts w:ascii="SimSun" w:hAnsi="SimSun" w:eastAsia="SimSun" w:cs="SimSun"/>
          <w:sz w:val="21"/>
          <w:szCs w:val="21"/>
          <w:spacing w:val="10"/>
        </w:rPr>
        <w:t xml:space="preserve"> </w:t>
      </w:r>
      <w:r>
        <w:rPr>
          <w:rFonts w:ascii="SimSun" w:hAnsi="SimSun" w:eastAsia="SimSun" w:cs="SimSun"/>
          <w:sz w:val="21"/>
          <w:szCs w:val="21"/>
          <w:spacing w:val="3"/>
        </w:rPr>
        <w:t>有相当显著的贡献，在10.73%的整体增</w:t>
      </w:r>
      <w:r>
        <w:rPr>
          <w:rFonts w:ascii="SimSun" w:hAnsi="SimSun" w:eastAsia="SimSun" w:cs="SimSun"/>
          <w:sz w:val="21"/>
          <w:szCs w:val="21"/>
          <w:spacing w:val="2"/>
        </w:rPr>
        <w:t>长率中占比高达16.5%,这</w:t>
      </w:r>
      <w:r>
        <w:rPr>
          <w:rFonts w:ascii="SimSun" w:hAnsi="SimSun" w:eastAsia="SimSun" w:cs="SimSun"/>
          <w:sz w:val="21"/>
          <w:szCs w:val="21"/>
        </w:rPr>
        <w:t xml:space="preserve"> </w:t>
      </w:r>
      <w:r>
        <w:rPr>
          <w:rFonts w:ascii="SimSun" w:hAnsi="SimSun" w:eastAsia="SimSun" w:cs="SimSun"/>
          <w:sz w:val="21"/>
          <w:szCs w:val="21"/>
          <w:spacing w:val="-10"/>
        </w:rPr>
        <w:t>并不是由于自然人数的增长而是人均劳动时间的延长。危</w:t>
      </w:r>
      <w:r>
        <w:rPr>
          <w:rFonts w:ascii="SimSun" w:hAnsi="SimSun" w:eastAsia="SimSun" w:cs="SimSun"/>
          <w:sz w:val="21"/>
          <w:szCs w:val="21"/>
          <w:spacing w:val="-11"/>
        </w:rPr>
        <w:t>机后劳动小</w:t>
      </w:r>
      <w:r>
        <w:rPr>
          <w:rFonts w:ascii="SimSun" w:hAnsi="SimSun" w:eastAsia="SimSun" w:cs="SimSun"/>
          <w:sz w:val="21"/>
          <w:szCs w:val="21"/>
        </w:rPr>
        <w:t xml:space="preserve"> </w:t>
      </w:r>
      <w:r>
        <w:rPr>
          <w:rFonts w:ascii="SimSun" w:hAnsi="SimSun" w:eastAsia="SimSun" w:cs="SimSun"/>
          <w:sz w:val="21"/>
          <w:szCs w:val="21"/>
          <w:spacing w:val="-11"/>
        </w:rPr>
        <w:t>时的贡献由正转负，主要是因为中低技能劳动投入的绝对下降</w:t>
      </w:r>
      <w:r>
        <w:rPr>
          <w:rFonts w:ascii="SimSun" w:hAnsi="SimSun" w:eastAsia="SimSun" w:cs="SimSun"/>
          <w:sz w:val="21"/>
          <w:szCs w:val="21"/>
          <w:spacing w:val="-12"/>
        </w:rPr>
        <w:t>，而高</w:t>
      </w:r>
      <w:r>
        <w:rPr>
          <w:rFonts w:ascii="SimSun" w:hAnsi="SimSun" w:eastAsia="SimSun" w:cs="SimSun"/>
          <w:sz w:val="21"/>
          <w:szCs w:val="21"/>
        </w:rPr>
        <w:t xml:space="preserve"> </w:t>
      </w:r>
      <w:r>
        <w:rPr>
          <w:rFonts w:ascii="SimSun" w:hAnsi="SimSun" w:eastAsia="SimSun" w:cs="SimSun"/>
          <w:sz w:val="21"/>
          <w:szCs w:val="21"/>
          <w:spacing w:val="-4"/>
        </w:rPr>
        <w:t>技能劳动的上升未能弥补这个损失(参见后文表2-13展示的结果)。</w:t>
      </w:r>
    </w:p>
    <w:p>
      <w:pPr>
        <w:pStyle w:val="BodyText"/>
        <w:spacing w:line="276" w:lineRule="auto"/>
        <w:rPr/>
      </w:pPr>
      <w:r/>
    </w:p>
    <w:p>
      <w:pPr>
        <w:ind w:left="1193"/>
        <w:spacing w:before="68" w:line="222" w:lineRule="auto"/>
        <w:rPr>
          <w:rFonts w:ascii="SimHei" w:hAnsi="SimHei" w:eastAsia="SimHei" w:cs="SimHei"/>
          <w:sz w:val="21"/>
          <w:szCs w:val="21"/>
        </w:rPr>
      </w:pPr>
      <w:r>
        <w:rPr>
          <w:rFonts w:ascii="SimHei" w:hAnsi="SimHei" w:eastAsia="SimHei" w:cs="SimHei"/>
          <w:sz w:val="21"/>
          <w:szCs w:val="21"/>
          <w:b/>
          <w:bCs/>
          <w:spacing w:val="-24"/>
        </w:rPr>
        <w:t>表2-12</w:t>
      </w:r>
      <w:r>
        <w:rPr>
          <w:rFonts w:ascii="SimHei" w:hAnsi="SimHei" w:eastAsia="SimHei" w:cs="SimHei"/>
          <w:sz w:val="21"/>
          <w:szCs w:val="21"/>
          <w:spacing w:val="48"/>
        </w:rPr>
        <w:t xml:space="preserve"> </w:t>
      </w:r>
      <w:r>
        <w:rPr>
          <w:rFonts w:ascii="SimHei" w:hAnsi="SimHei" w:eastAsia="SimHei" w:cs="SimHei"/>
          <w:sz w:val="21"/>
          <w:szCs w:val="21"/>
          <w:b/>
          <w:bCs/>
          <w:spacing w:val="-24"/>
        </w:rPr>
        <w:t>解析中国劳动生产率增长的主要因素</w:t>
      </w:r>
    </w:p>
    <w:p>
      <w:pPr>
        <w:ind w:left="1382"/>
        <w:spacing w:before="167" w:line="219" w:lineRule="auto"/>
        <w:rPr>
          <w:rFonts w:ascii="SimSun" w:hAnsi="SimSun" w:eastAsia="SimSun" w:cs="SimSun"/>
          <w:sz w:val="16"/>
          <w:szCs w:val="16"/>
        </w:rPr>
      </w:pPr>
      <w:r>
        <w:rPr>
          <w:rFonts w:ascii="SimSun" w:hAnsi="SimSun" w:eastAsia="SimSun" w:cs="SimSun"/>
          <w:sz w:val="16"/>
          <w:szCs w:val="16"/>
          <w:b/>
          <w:bCs/>
          <w:spacing w:val="-1"/>
        </w:rPr>
        <w:t>2001—2007年</w:t>
      </w:r>
      <w:r>
        <w:rPr>
          <w:rFonts w:ascii="SimSun" w:hAnsi="SimSun" w:eastAsia="SimSun" w:cs="SimSun"/>
          <w:sz w:val="16"/>
          <w:szCs w:val="16"/>
          <w:spacing w:val="-1"/>
        </w:rPr>
        <w:t xml:space="preserve">  </w:t>
      </w:r>
      <w:r>
        <w:rPr>
          <w:rFonts w:ascii="SimSun" w:hAnsi="SimSun" w:eastAsia="SimSun" w:cs="SimSun"/>
          <w:sz w:val="16"/>
          <w:szCs w:val="16"/>
          <w:b/>
          <w:bCs/>
          <w:spacing w:val="-1"/>
        </w:rPr>
        <w:t>2007—2012</w:t>
      </w:r>
      <w:r>
        <w:rPr>
          <w:rFonts w:ascii="SimSun" w:hAnsi="SimSun" w:eastAsia="SimSun" w:cs="SimSun"/>
          <w:sz w:val="16"/>
          <w:szCs w:val="16"/>
          <w:b/>
          <w:bCs/>
          <w:spacing w:val="-2"/>
        </w:rPr>
        <w:t>年</w:t>
      </w:r>
      <w:r>
        <w:rPr>
          <w:rFonts w:ascii="SimSun" w:hAnsi="SimSun" w:eastAsia="SimSun" w:cs="SimSun"/>
          <w:sz w:val="16"/>
          <w:szCs w:val="16"/>
          <w:spacing w:val="-2"/>
        </w:rPr>
        <w:t xml:space="preserve">  </w:t>
      </w:r>
      <w:r>
        <w:rPr>
          <w:rFonts w:ascii="SimSun" w:hAnsi="SimSun" w:eastAsia="SimSun" w:cs="SimSun"/>
          <w:sz w:val="16"/>
          <w:szCs w:val="16"/>
          <w:b/>
          <w:bCs/>
          <w:spacing w:val="-2"/>
        </w:rPr>
        <w:t>2012—2018年</w:t>
      </w:r>
      <w:r>
        <w:rPr>
          <w:rFonts w:ascii="SimSun" w:hAnsi="SimSun" w:eastAsia="SimSun" w:cs="SimSun"/>
          <w:sz w:val="16"/>
          <w:szCs w:val="16"/>
          <w:spacing w:val="-2"/>
        </w:rPr>
        <w:t xml:space="preserve">     </w:t>
      </w:r>
      <w:r>
        <w:rPr>
          <w:rFonts w:ascii="SimSun" w:hAnsi="SimSun" w:eastAsia="SimSun" w:cs="SimSun"/>
          <w:sz w:val="16"/>
          <w:szCs w:val="16"/>
          <w:b/>
          <w:bCs/>
          <w:spacing w:val="-2"/>
        </w:rPr>
        <w:t>2001—2018年</w:t>
      </w:r>
    </w:p>
    <w:p>
      <w:pPr>
        <w:spacing w:line="98" w:lineRule="exact"/>
        <w:rPr/>
      </w:pPr>
      <w:r/>
    </w:p>
    <w:p>
      <w:pPr>
        <w:spacing w:line="98" w:lineRule="exact"/>
        <w:sectPr>
          <w:headerReference w:type="default" r:id="rId133"/>
          <w:footerReference w:type="default" r:id="rId134"/>
          <w:pgSz w:w="7330" w:h="12480"/>
          <w:pgMar w:top="796" w:right="849" w:bottom="1545" w:left="420" w:header="633" w:footer="1199" w:gutter="0"/>
          <w:cols w:equalWidth="0" w:num="1">
            <w:col w:w="6061" w:space="0"/>
          </w:cols>
        </w:sectPr>
        <w:rPr/>
      </w:pPr>
    </w:p>
    <w:p>
      <w:pPr>
        <w:ind w:left="112"/>
        <w:spacing w:before="32" w:line="219" w:lineRule="exact"/>
        <w:rPr>
          <w:rFonts w:ascii="SimSun" w:hAnsi="SimSun" w:eastAsia="SimSun" w:cs="SimSun"/>
          <w:sz w:val="16"/>
          <w:szCs w:val="16"/>
        </w:rPr>
      </w:pPr>
      <w:r>
        <w:rPr>
          <w:rFonts w:ascii="SimSun" w:hAnsi="SimSun" w:eastAsia="SimSun" w:cs="SimSun"/>
          <w:sz w:val="16"/>
          <w:szCs w:val="16"/>
          <w:b/>
          <w:bCs/>
          <w:spacing w:val="37"/>
          <w:position w:val="4"/>
        </w:rPr>
        <w:t>整体经济</w:t>
      </w:r>
      <w:r>
        <w:rPr>
          <w:rFonts w:ascii="SimSun" w:hAnsi="SimSun" w:eastAsia="SimSun" w:cs="SimSun"/>
          <w:sz w:val="16"/>
          <w:szCs w:val="16"/>
          <w:b/>
          <w:bCs/>
          <w:position w:val="4"/>
        </w:rPr>
        <w:t>GDP</w:t>
      </w:r>
    </w:p>
    <w:p>
      <w:pPr>
        <w:ind w:left="112"/>
        <w:spacing w:line="184" w:lineRule="auto"/>
        <w:rPr>
          <w:rFonts w:ascii="SimSun" w:hAnsi="SimSun" w:eastAsia="SimSun" w:cs="SimSun"/>
          <w:sz w:val="16"/>
          <w:szCs w:val="16"/>
        </w:rPr>
      </w:pPr>
      <w:r>
        <w:rPr>
          <w:rFonts w:ascii="SimSun" w:hAnsi="SimSun" w:eastAsia="SimSun" w:cs="SimSun"/>
          <w:sz w:val="16"/>
          <w:szCs w:val="16"/>
          <w:b/>
          <w:bCs/>
          <w:spacing w:val="-11"/>
        </w:rPr>
        <w:t>增</w:t>
      </w:r>
      <w:r>
        <w:rPr>
          <w:rFonts w:ascii="SimSun" w:hAnsi="SimSun" w:eastAsia="SimSun" w:cs="SimSun"/>
          <w:sz w:val="16"/>
          <w:szCs w:val="16"/>
          <w:spacing w:val="-32"/>
        </w:rPr>
        <w:t xml:space="preserve"> </w:t>
      </w:r>
      <w:r>
        <w:rPr>
          <w:rFonts w:ascii="SimSun" w:hAnsi="SimSun" w:eastAsia="SimSun" w:cs="SimSun"/>
          <w:sz w:val="16"/>
          <w:szCs w:val="16"/>
          <w:b/>
          <w:bCs/>
          <w:spacing w:val="-11"/>
        </w:rPr>
        <w:t>长</w:t>
      </w:r>
      <w:r>
        <w:rPr>
          <w:rFonts w:ascii="SimSun" w:hAnsi="SimSun" w:eastAsia="SimSun" w:cs="SimSun"/>
          <w:sz w:val="16"/>
          <w:szCs w:val="16"/>
          <w:spacing w:val="-33"/>
        </w:rPr>
        <w:t xml:space="preserve"> </w:t>
      </w:r>
      <w:r>
        <w:rPr>
          <w:rFonts w:ascii="SimSun" w:hAnsi="SimSun" w:eastAsia="SimSun" w:cs="SimSun"/>
          <w:sz w:val="16"/>
          <w:szCs w:val="16"/>
          <w:b/>
          <w:bCs/>
          <w:spacing w:val="-11"/>
        </w:rPr>
        <w:t>率</w:t>
      </w:r>
      <w:r>
        <w:rPr>
          <w:rFonts w:ascii="SimSun" w:hAnsi="SimSun" w:eastAsia="SimSun" w:cs="SimSun"/>
          <w:sz w:val="16"/>
          <w:szCs w:val="16"/>
          <w:spacing w:val="-11"/>
        </w:rPr>
        <w:t xml:space="preserve"> </w:t>
      </w:r>
      <w:r>
        <w:rPr>
          <w:rFonts w:ascii="SimSun" w:hAnsi="SimSun" w:eastAsia="SimSun" w:cs="SimSun"/>
          <w:sz w:val="16"/>
          <w:szCs w:val="16"/>
          <w:b/>
          <w:bCs/>
          <w:spacing w:val="-11"/>
        </w:rPr>
        <w:t>(</w:t>
      </w:r>
      <w:r>
        <w:rPr>
          <w:rFonts w:ascii="SimSun" w:hAnsi="SimSun" w:eastAsia="SimSun" w:cs="SimSun"/>
          <w:sz w:val="16"/>
          <w:szCs w:val="16"/>
          <w:spacing w:val="-39"/>
        </w:rPr>
        <w:t xml:space="preserve"> </w:t>
      </w:r>
      <w:r>
        <w:rPr>
          <w:rFonts w:ascii="SimSun" w:hAnsi="SimSun" w:eastAsia="SimSun" w:cs="SimSun"/>
          <w:sz w:val="16"/>
          <w:szCs w:val="16"/>
          <w:b/>
          <w:bCs/>
          <w:spacing w:val="-11"/>
        </w:rPr>
        <w:t>%</w:t>
      </w:r>
      <w:r>
        <w:rPr>
          <w:rFonts w:ascii="SimSun" w:hAnsi="SimSun" w:eastAsia="SimSun" w:cs="SimSun"/>
          <w:sz w:val="16"/>
          <w:szCs w:val="16"/>
          <w:spacing w:val="-33"/>
        </w:rPr>
        <w:t xml:space="preserve"> </w:t>
      </w:r>
      <w:r>
        <w:rPr>
          <w:rFonts w:ascii="SimSun" w:hAnsi="SimSun" w:eastAsia="SimSun" w:cs="SimSun"/>
          <w:sz w:val="16"/>
          <w:szCs w:val="16"/>
          <w:b/>
          <w:bCs/>
          <w:spacing w:val="-11"/>
        </w:rPr>
        <w:t>)</w:t>
      </w:r>
    </w:p>
    <w:p>
      <w:pPr>
        <w:pStyle w:val="BodyText"/>
        <w:spacing w:line="14" w:lineRule="auto"/>
        <w:rPr>
          <w:sz w:val="2"/>
        </w:rPr>
      </w:pPr>
      <w:r>
        <w:rPr>
          <w:sz w:val="2"/>
          <w:szCs w:val="2"/>
        </w:rPr>
        <w:br w:type="column"/>
      </w:r>
    </w:p>
    <w:p>
      <w:pPr>
        <w:spacing w:before="173" w:line="184" w:lineRule="auto"/>
        <w:rPr>
          <w:rFonts w:ascii="SimSun" w:hAnsi="SimSun" w:eastAsia="SimSun" w:cs="SimSun"/>
          <w:sz w:val="16"/>
          <w:szCs w:val="16"/>
        </w:rPr>
      </w:pPr>
      <w:r>
        <w:rPr>
          <w:rFonts w:ascii="SimSun" w:hAnsi="SimSun" w:eastAsia="SimSun" w:cs="SimSun"/>
          <w:sz w:val="16"/>
          <w:szCs w:val="16"/>
          <w:spacing w:val="-3"/>
        </w:rPr>
        <w:t>10.73</w:t>
      </w:r>
    </w:p>
    <w:p>
      <w:pPr>
        <w:pStyle w:val="BodyText"/>
        <w:spacing w:line="14" w:lineRule="auto"/>
        <w:rPr>
          <w:sz w:val="2"/>
        </w:rPr>
      </w:pPr>
      <w:r>
        <w:rPr>
          <w:sz w:val="2"/>
          <w:szCs w:val="2"/>
        </w:rPr>
        <w:br w:type="column"/>
      </w:r>
    </w:p>
    <w:p>
      <w:pPr>
        <w:spacing w:before="173" w:line="184" w:lineRule="auto"/>
        <w:rPr>
          <w:rFonts w:ascii="SimSun" w:hAnsi="SimSun" w:eastAsia="SimSun" w:cs="SimSun"/>
          <w:sz w:val="16"/>
          <w:szCs w:val="16"/>
        </w:rPr>
      </w:pPr>
      <w:r>
        <w:rPr>
          <w:rFonts w:ascii="SimSun" w:hAnsi="SimSun" w:eastAsia="SimSun" w:cs="SimSun"/>
          <w:sz w:val="16"/>
          <w:szCs w:val="16"/>
          <w:spacing w:val="-2"/>
        </w:rPr>
        <w:t>8.14</w:t>
      </w:r>
    </w:p>
    <w:p>
      <w:pPr>
        <w:pStyle w:val="BodyText"/>
        <w:spacing w:line="14" w:lineRule="auto"/>
        <w:rPr>
          <w:sz w:val="2"/>
        </w:rPr>
      </w:pPr>
      <w:r>
        <w:rPr>
          <w:sz w:val="2"/>
          <w:szCs w:val="2"/>
        </w:rPr>
        <w:br w:type="column"/>
      </w:r>
    </w:p>
    <w:p>
      <w:pPr>
        <w:spacing w:before="173" w:line="183" w:lineRule="auto"/>
        <w:rPr>
          <w:rFonts w:ascii="SimSun" w:hAnsi="SimSun" w:eastAsia="SimSun" w:cs="SimSun"/>
          <w:sz w:val="16"/>
          <w:szCs w:val="16"/>
        </w:rPr>
      </w:pPr>
      <w:r>
        <w:rPr>
          <w:rFonts w:ascii="SimSun" w:hAnsi="SimSun" w:eastAsia="SimSun" w:cs="SimSun"/>
          <w:sz w:val="16"/>
          <w:szCs w:val="16"/>
          <w:spacing w:val="-2"/>
        </w:rPr>
        <w:t>5.28</w:t>
      </w:r>
    </w:p>
    <w:p>
      <w:pPr>
        <w:pStyle w:val="BodyText"/>
        <w:spacing w:line="14" w:lineRule="auto"/>
        <w:rPr>
          <w:sz w:val="2"/>
        </w:rPr>
      </w:pPr>
      <w:r>
        <w:rPr>
          <w:sz w:val="2"/>
          <w:szCs w:val="2"/>
        </w:rPr>
        <w:br w:type="column"/>
      </w:r>
    </w:p>
    <w:p>
      <w:pPr>
        <w:spacing w:before="173" w:line="183" w:lineRule="auto"/>
        <w:rPr>
          <w:rFonts w:ascii="SimSun" w:hAnsi="SimSun" w:eastAsia="SimSun" w:cs="SimSun"/>
          <w:sz w:val="16"/>
          <w:szCs w:val="16"/>
        </w:rPr>
      </w:pPr>
      <w:r>
        <w:rPr>
          <w:rFonts w:ascii="SimSun" w:hAnsi="SimSun" w:eastAsia="SimSun" w:cs="SimSun"/>
          <w:sz w:val="16"/>
          <w:szCs w:val="16"/>
          <w:spacing w:val="-2"/>
        </w:rPr>
        <w:t>8.04</w:t>
      </w:r>
    </w:p>
    <w:p>
      <w:pPr>
        <w:spacing w:line="183" w:lineRule="auto"/>
        <w:sectPr>
          <w:type w:val="continuous"/>
          <w:pgSz w:w="7330" w:h="12480"/>
          <w:pgMar w:top="796" w:right="849" w:bottom="1545" w:left="420" w:header="633" w:footer="1199" w:gutter="0"/>
          <w:cols w:equalWidth="0" w:num="5">
            <w:col w:w="1640" w:space="100"/>
            <w:col w:w="1030" w:space="100"/>
            <w:col w:w="1080" w:space="100"/>
            <w:col w:w="1121" w:space="100"/>
            <w:col w:w="791" w:space="0"/>
          </w:cols>
        </w:sectPr>
        <w:rPr>
          <w:rFonts w:ascii="SimSun" w:hAnsi="SimSun" w:eastAsia="SimSun" w:cs="SimSun"/>
          <w:sz w:val="16"/>
          <w:szCs w:val="16"/>
        </w:rPr>
      </w:pPr>
    </w:p>
    <w:p>
      <w:pPr>
        <w:ind w:left="1632"/>
        <w:spacing w:before="191" w:line="219" w:lineRule="auto"/>
        <w:rPr>
          <w:rFonts w:ascii="SimSun" w:hAnsi="SimSun" w:eastAsia="SimSun" w:cs="SimSun"/>
          <w:sz w:val="16"/>
          <w:szCs w:val="16"/>
        </w:rPr>
      </w:pPr>
      <w:r>
        <w:rPr>
          <w:rFonts w:ascii="SimSun" w:hAnsi="SimSun" w:eastAsia="SimSun" w:cs="SimSun"/>
          <w:sz w:val="16"/>
          <w:szCs w:val="16"/>
          <w:b/>
          <w:bCs/>
        </w:rPr>
        <w:t>劳动生产率和工作小时的贡献(百分点)</w:t>
      </w:r>
    </w:p>
    <w:p>
      <w:pPr>
        <w:spacing w:line="120" w:lineRule="exact"/>
        <w:rPr/>
      </w:pPr>
      <w:r/>
    </w:p>
    <w:p>
      <w:pPr>
        <w:spacing w:line="120" w:lineRule="exact"/>
        <w:sectPr>
          <w:type w:val="continuous"/>
          <w:pgSz w:w="7330" w:h="12480"/>
          <w:pgMar w:top="796" w:right="849" w:bottom="1545" w:left="420" w:header="633" w:footer="1199" w:gutter="0"/>
          <w:cols w:equalWidth="0" w:num="1">
            <w:col w:w="6061" w:space="0"/>
          </w:cols>
        </w:sectPr>
        <w:rPr/>
      </w:pPr>
    </w:p>
    <w:p>
      <w:pPr>
        <w:ind w:left="110"/>
        <w:spacing w:before="32" w:line="270" w:lineRule="exact"/>
        <w:rPr>
          <w:rFonts w:ascii="SimSun" w:hAnsi="SimSun" w:eastAsia="SimSun" w:cs="SimSun"/>
          <w:sz w:val="16"/>
          <w:szCs w:val="16"/>
        </w:rPr>
      </w:pPr>
      <w:r>
        <w:rPr>
          <w:rFonts w:ascii="SimSun" w:hAnsi="SimSun" w:eastAsia="SimSun" w:cs="SimSun"/>
          <w:sz w:val="16"/>
          <w:szCs w:val="16"/>
          <w:spacing w:val="-2"/>
          <w:position w:val="8"/>
        </w:rPr>
        <w:t>劳动生产率</w:t>
      </w:r>
    </w:p>
    <w:p>
      <w:pPr>
        <w:ind w:left="110"/>
        <w:spacing w:line="219" w:lineRule="auto"/>
        <w:rPr>
          <w:rFonts w:ascii="SimSun" w:hAnsi="SimSun" w:eastAsia="SimSun" w:cs="SimSun"/>
          <w:sz w:val="16"/>
          <w:szCs w:val="16"/>
        </w:rPr>
      </w:pPr>
      <w:r>
        <w:rPr>
          <w:rFonts w:ascii="SimSun" w:hAnsi="SimSun" w:eastAsia="SimSun" w:cs="SimSun"/>
          <w:sz w:val="16"/>
          <w:szCs w:val="16"/>
          <w:spacing w:val="4"/>
        </w:rPr>
        <w:t>(产出/小时)</w:t>
      </w:r>
    </w:p>
    <w:p>
      <w:pPr>
        <w:ind w:left="110"/>
        <w:spacing w:before="81" w:line="184" w:lineRule="auto"/>
        <w:rPr>
          <w:rFonts w:ascii="SimSun" w:hAnsi="SimSun" w:eastAsia="SimSun" w:cs="SimSun"/>
          <w:sz w:val="16"/>
          <w:szCs w:val="16"/>
        </w:rPr>
      </w:pPr>
      <w:r>
        <w:rPr>
          <w:rFonts w:ascii="SimSun" w:hAnsi="SimSun" w:eastAsia="SimSun" w:cs="SimSun"/>
          <w:sz w:val="16"/>
          <w:szCs w:val="16"/>
          <w:spacing w:val="-2"/>
        </w:rPr>
        <w:t>劳动小时</w:t>
      </w:r>
    </w:p>
    <w:p>
      <w:pPr>
        <w:pStyle w:val="BodyText"/>
        <w:spacing w:line="14" w:lineRule="auto"/>
        <w:rPr>
          <w:sz w:val="2"/>
        </w:rPr>
      </w:pPr>
      <w:r>
        <w:rPr>
          <w:sz w:val="2"/>
          <w:szCs w:val="2"/>
        </w:rPr>
        <w:br w:type="column"/>
      </w:r>
    </w:p>
    <w:p>
      <w:pPr>
        <w:spacing w:before="182" w:line="183" w:lineRule="auto"/>
        <w:rPr>
          <w:rFonts w:ascii="SimSun" w:hAnsi="SimSun" w:eastAsia="SimSun" w:cs="SimSun"/>
          <w:sz w:val="16"/>
          <w:szCs w:val="16"/>
        </w:rPr>
      </w:pPr>
      <w:r>
        <w:rPr>
          <w:rFonts w:ascii="SimSun" w:hAnsi="SimSun" w:eastAsia="SimSun" w:cs="SimSun"/>
          <w:sz w:val="16"/>
          <w:szCs w:val="16"/>
          <w:spacing w:val="-2"/>
        </w:rPr>
        <w:t>8.96</w:t>
      </w:r>
    </w:p>
    <w:p>
      <w:pPr>
        <w:spacing w:before="271" w:line="119" w:lineRule="exact"/>
        <w:rPr>
          <w:rFonts w:ascii="SimSun" w:hAnsi="SimSun" w:eastAsia="SimSun" w:cs="SimSun"/>
          <w:sz w:val="16"/>
          <w:szCs w:val="16"/>
        </w:rPr>
      </w:pPr>
      <w:r>
        <w:rPr>
          <w:rFonts w:ascii="SimSun" w:hAnsi="SimSun" w:eastAsia="SimSun" w:cs="SimSun"/>
          <w:sz w:val="16"/>
          <w:szCs w:val="16"/>
          <w:spacing w:val="-4"/>
          <w:position w:val="-2"/>
        </w:rPr>
        <w:t>1.77</w:t>
      </w:r>
    </w:p>
    <w:p>
      <w:pPr>
        <w:pStyle w:val="BodyText"/>
        <w:spacing w:line="14" w:lineRule="auto"/>
        <w:rPr>
          <w:sz w:val="2"/>
        </w:rPr>
      </w:pPr>
      <w:r>
        <w:rPr>
          <w:sz w:val="2"/>
          <w:szCs w:val="2"/>
        </w:rPr>
        <w:br w:type="column"/>
      </w:r>
    </w:p>
    <w:p>
      <w:pPr>
        <w:spacing w:before="181" w:line="184" w:lineRule="auto"/>
        <w:rPr>
          <w:rFonts w:ascii="SimSun" w:hAnsi="SimSun" w:eastAsia="SimSun" w:cs="SimSun"/>
          <w:sz w:val="16"/>
          <w:szCs w:val="16"/>
        </w:rPr>
      </w:pPr>
      <w:r>
        <w:rPr>
          <w:rFonts w:ascii="SimSun" w:hAnsi="SimSun" w:eastAsia="SimSun" w:cs="SimSun"/>
          <w:sz w:val="16"/>
          <w:szCs w:val="16"/>
          <w:spacing w:val="-3"/>
        </w:rPr>
        <w:t>10.29</w:t>
      </w:r>
    </w:p>
    <w:p>
      <w:pPr>
        <w:spacing w:before="271" w:line="119" w:lineRule="exact"/>
        <w:rPr>
          <w:rFonts w:ascii="SimSun" w:hAnsi="SimSun" w:eastAsia="SimSun" w:cs="SimSun"/>
          <w:sz w:val="16"/>
          <w:szCs w:val="16"/>
        </w:rPr>
      </w:pPr>
      <w:r>
        <w:rPr>
          <w:rFonts w:ascii="SimSun" w:hAnsi="SimSun" w:eastAsia="SimSun" w:cs="SimSun"/>
          <w:sz w:val="16"/>
          <w:szCs w:val="16"/>
          <w:spacing w:val="-1"/>
          <w:position w:val="-2"/>
        </w:rPr>
        <w:t>-2.15</w:t>
      </w:r>
    </w:p>
    <w:p>
      <w:pPr>
        <w:pStyle w:val="BodyText"/>
        <w:spacing w:line="14" w:lineRule="auto"/>
        <w:rPr>
          <w:sz w:val="2"/>
        </w:rPr>
      </w:pPr>
      <w:r>
        <w:rPr>
          <w:sz w:val="2"/>
          <w:szCs w:val="2"/>
        </w:rPr>
        <w:br w:type="column"/>
      </w:r>
    </w:p>
    <w:p>
      <w:pPr>
        <w:ind w:left="39"/>
        <w:spacing w:before="183" w:line="182" w:lineRule="auto"/>
        <w:rPr>
          <w:rFonts w:ascii="SimSun" w:hAnsi="SimSun" w:eastAsia="SimSun" w:cs="SimSun"/>
          <w:sz w:val="16"/>
          <w:szCs w:val="16"/>
        </w:rPr>
      </w:pPr>
      <w:r>
        <w:rPr>
          <w:rFonts w:ascii="SimSun" w:hAnsi="SimSun" w:eastAsia="SimSun" w:cs="SimSun"/>
          <w:sz w:val="16"/>
          <w:szCs w:val="16"/>
          <w:spacing w:val="-2"/>
        </w:rPr>
        <w:t>5.77</w:t>
      </w:r>
    </w:p>
    <w:p>
      <w:pPr>
        <w:spacing w:before="271" w:line="119" w:lineRule="exact"/>
        <w:rPr>
          <w:rFonts w:ascii="SimSun" w:hAnsi="SimSun" w:eastAsia="SimSun" w:cs="SimSun"/>
          <w:sz w:val="16"/>
          <w:szCs w:val="16"/>
        </w:rPr>
      </w:pPr>
      <w:r>
        <w:rPr>
          <w:rFonts w:ascii="SimSun" w:hAnsi="SimSun" w:eastAsia="SimSun" w:cs="SimSun"/>
          <w:sz w:val="16"/>
          <w:szCs w:val="16"/>
          <w:spacing w:val="-1"/>
          <w:position w:val="-2"/>
        </w:rPr>
        <w:t>-0.49</w:t>
      </w:r>
    </w:p>
    <w:p>
      <w:pPr>
        <w:pStyle w:val="BodyText"/>
        <w:spacing w:line="14" w:lineRule="auto"/>
        <w:rPr>
          <w:sz w:val="2"/>
        </w:rPr>
      </w:pPr>
      <w:r>
        <w:rPr>
          <w:sz w:val="2"/>
          <w:szCs w:val="2"/>
        </w:rPr>
        <w:br w:type="column"/>
      </w:r>
    </w:p>
    <w:p>
      <w:pPr>
        <w:ind w:left="40"/>
        <w:spacing w:before="182" w:line="183" w:lineRule="auto"/>
        <w:rPr>
          <w:rFonts w:ascii="SimSun" w:hAnsi="SimSun" w:eastAsia="SimSun" w:cs="SimSun"/>
          <w:sz w:val="16"/>
          <w:szCs w:val="16"/>
        </w:rPr>
      </w:pPr>
      <w:r>
        <w:rPr>
          <w:rFonts w:ascii="SimSun" w:hAnsi="SimSun" w:eastAsia="SimSun" w:cs="SimSun"/>
          <w:sz w:val="16"/>
          <w:szCs w:val="16"/>
          <w:spacing w:val="-2"/>
        </w:rPr>
        <w:t>8.22</w:t>
      </w:r>
    </w:p>
    <w:p>
      <w:pPr>
        <w:spacing w:before="271" w:line="119" w:lineRule="exact"/>
        <w:rPr>
          <w:rFonts w:ascii="SimSun" w:hAnsi="SimSun" w:eastAsia="SimSun" w:cs="SimSun"/>
          <w:sz w:val="16"/>
          <w:szCs w:val="16"/>
        </w:rPr>
      </w:pPr>
      <w:r>
        <w:rPr>
          <w:rFonts w:ascii="SimSun" w:hAnsi="SimSun" w:eastAsia="SimSun" w:cs="SimSun"/>
          <w:sz w:val="16"/>
          <w:szCs w:val="16"/>
          <w:spacing w:val="-1"/>
          <w:position w:val="-2"/>
        </w:rPr>
        <w:t>-0.18</w:t>
      </w:r>
    </w:p>
    <w:p>
      <w:pPr>
        <w:spacing w:line="119" w:lineRule="exact"/>
        <w:sectPr>
          <w:type w:val="continuous"/>
          <w:pgSz w:w="7330" w:h="12480"/>
          <w:pgMar w:top="796" w:right="849" w:bottom="1545" w:left="420" w:header="633" w:footer="1199" w:gutter="0"/>
          <w:cols w:equalWidth="0" w:num="5">
            <w:col w:w="1681" w:space="100"/>
            <w:col w:w="950" w:space="100"/>
            <w:col w:w="1081" w:space="100"/>
            <w:col w:w="1120" w:space="100"/>
            <w:col w:w="831" w:space="0"/>
          </w:cols>
        </w:sectPr>
        <w:rPr>
          <w:rFonts w:ascii="SimSun" w:hAnsi="SimSun" w:eastAsia="SimSun" w:cs="SimSun"/>
          <w:sz w:val="16"/>
          <w:szCs w:val="16"/>
        </w:rPr>
      </w:pPr>
    </w:p>
    <w:p>
      <w:pPr>
        <w:ind w:left="1892"/>
        <w:spacing w:before="128" w:line="219" w:lineRule="auto"/>
        <w:rPr>
          <w:rFonts w:ascii="SimSun" w:hAnsi="SimSun" w:eastAsia="SimSun" w:cs="SimSun"/>
          <w:sz w:val="16"/>
          <w:szCs w:val="16"/>
        </w:rPr>
      </w:pPr>
      <w:r>
        <w:rPr>
          <w:rFonts w:ascii="SimSun" w:hAnsi="SimSun" w:eastAsia="SimSun" w:cs="SimSun"/>
          <w:sz w:val="16"/>
          <w:szCs w:val="16"/>
          <w:b/>
          <w:bCs/>
        </w:rPr>
        <w:t>要素对劳动生产率的贡献(百分点)</w:t>
      </w:r>
    </w:p>
    <w:p>
      <w:pPr>
        <w:spacing w:line="112" w:lineRule="exact"/>
        <w:rPr/>
      </w:pPr>
      <w:r/>
    </w:p>
    <w:tbl>
      <w:tblPr>
        <w:tblStyle w:val="TableNormal"/>
        <w:tblW w:w="5473" w:type="dxa"/>
        <w:tblInd w:w="1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50"/>
        <w:gridCol w:w="1001"/>
        <w:gridCol w:w="1156"/>
        <w:gridCol w:w="1220"/>
        <w:gridCol w:w="746"/>
      </w:tblGrid>
      <w:tr>
        <w:trPr>
          <w:trHeight w:val="480" w:hRule="atLeast"/>
        </w:trPr>
        <w:tc>
          <w:tcPr>
            <w:tcW w:w="1350" w:type="dxa"/>
            <w:vAlign w:val="top"/>
          </w:tcPr>
          <w:p>
            <w:pPr>
              <w:pStyle w:val="TableText"/>
              <w:spacing w:line="261" w:lineRule="exact"/>
              <w:rPr>
                <w:sz w:val="16"/>
                <w:szCs w:val="16"/>
              </w:rPr>
            </w:pPr>
            <w:r>
              <w:rPr>
                <w:sz w:val="16"/>
                <w:szCs w:val="16"/>
                <w:spacing w:val="-2"/>
                <w:position w:val="7"/>
              </w:rPr>
              <w:t>劳动生产率(产</w:t>
            </w:r>
          </w:p>
          <w:p>
            <w:pPr>
              <w:pStyle w:val="TableText"/>
              <w:spacing w:line="220" w:lineRule="auto"/>
              <w:rPr>
                <w:sz w:val="16"/>
                <w:szCs w:val="16"/>
              </w:rPr>
            </w:pPr>
            <w:r>
              <w:rPr>
                <w:sz w:val="16"/>
                <w:szCs w:val="16"/>
                <w:spacing w:val="1"/>
              </w:rPr>
              <w:t>出/小时)增长</w:t>
            </w:r>
          </w:p>
        </w:tc>
        <w:tc>
          <w:tcPr>
            <w:tcW w:w="1001" w:type="dxa"/>
            <w:vAlign w:val="top"/>
          </w:tcPr>
          <w:p>
            <w:pPr>
              <w:pStyle w:val="TableText"/>
              <w:ind w:left="319"/>
              <w:spacing w:before="161" w:line="183" w:lineRule="auto"/>
              <w:rPr>
                <w:sz w:val="16"/>
                <w:szCs w:val="16"/>
              </w:rPr>
            </w:pPr>
            <w:r>
              <w:rPr>
                <w:sz w:val="16"/>
                <w:szCs w:val="16"/>
                <w:spacing w:val="-2"/>
              </w:rPr>
              <w:t>8.96</w:t>
            </w:r>
          </w:p>
        </w:tc>
        <w:tc>
          <w:tcPr>
            <w:tcW w:w="1156" w:type="dxa"/>
            <w:vAlign w:val="top"/>
          </w:tcPr>
          <w:p>
            <w:pPr>
              <w:pStyle w:val="TableText"/>
              <w:ind w:left="368"/>
              <w:spacing w:before="160" w:line="184" w:lineRule="auto"/>
              <w:rPr>
                <w:sz w:val="16"/>
                <w:szCs w:val="16"/>
              </w:rPr>
            </w:pPr>
            <w:r>
              <w:rPr>
                <w:sz w:val="16"/>
                <w:szCs w:val="16"/>
                <w:spacing w:val="-3"/>
              </w:rPr>
              <w:t>10.29</w:t>
            </w:r>
          </w:p>
        </w:tc>
        <w:tc>
          <w:tcPr>
            <w:tcW w:w="1220" w:type="dxa"/>
            <w:vAlign w:val="top"/>
          </w:tcPr>
          <w:p>
            <w:pPr>
              <w:pStyle w:val="TableText"/>
              <w:ind w:left="432"/>
              <w:spacing w:before="162" w:line="182" w:lineRule="auto"/>
              <w:rPr>
                <w:sz w:val="16"/>
                <w:szCs w:val="16"/>
              </w:rPr>
            </w:pPr>
            <w:r>
              <w:rPr>
                <w:sz w:val="16"/>
                <w:szCs w:val="16"/>
                <w:spacing w:val="-2"/>
              </w:rPr>
              <w:t>5.77</w:t>
            </w:r>
          </w:p>
        </w:tc>
        <w:tc>
          <w:tcPr>
            <w:tcW w:w="746" w:type="dxa"/>
            <w:vAlign w:val="top"/>
          </w:tcPr>
          <w:p>
            <w:pPr>
              <w:pStyle w:val="TableText"/>
              <w:spacing w:before="161" w:line="183" w:lineRule="auto"/>
              <w:jc w:val="right"/>
              <w:rPr>
                <w:sz w:val="16"/>
                <w:szCs w:val="16"/>
              </w:rPr>
            </w:pPr>
            <w:r>
              <w:rPr>
                <w:sz w:val="16"/>
                <w:szCs w:val="16"/>
                <w:spacing w:val="-2"/>
              </w:rPr>
              <w:t>8.22</w:t>
            </w:r>
          </w:p>
        </w:tc>
      </w:tr>
      <w:tr>
        <w:trPr>
          <w:trHeight w:val="289" w:hRule="atLeast"/>
        </w:trPr>
        <w:tc>
          <w:tcPr>
            <w:tcW w:w="1350" w:type="dxa"/>
            <w:vAlign w:val="top"/>
          </w:tcPr>
          <w:p>
            <w:pPr>
              <w:pStyle w:val="TableText"/>
              <w:spacing w:before="59" w:line="219" w:lineRule="auto"/>
              <w:rPr>
                <w:sz w:val="16"/>
                <w:szCs w:val="16"/>
              </w:rPr>
            </w:pPr>
            <w:r>
              <w:rPr>
                <w:sz w:val="16"/>
                <w:szCs w:val="16"/>
                <w:spacing w:val="1"/>
              </w:rPr>
              <w:t>·资本深化</w:t>
            </w:r>
          </w:p>
        </w:tc>
        <w:tc>
          <w:tcPr>
            <w:tcW w:w="1001" w:type="dxa"/>
            <w:vAlign w:val="top"/>
          </w:tcPr>
          <w:p>
            <w:pPr>
              <w:pStyle w:val="TableText"/>
              <w:ind w:left="319"/>
              <w:spacing w:before="101" w:line="183" w:lineRule="auto"/>
              <w:rPr>
                <w:sz w:val="16"/>
                <w:szCs w:val="16"/>
              </w:rPr>
            </w:pPr>
            <w:r>
              <w:rPr>
                <w:sz w:val="16"/>
                <w:szCs w:val="16"/>
                <w:spacing w:val="-2"/>
              </w:rPr>
              <w:t>6.53</w:t>
            </w:r>
          </w:p>
        </w:tc>
        <w:tc>
          <w:tcPr>
            <w:tcW w:w="1156" w:type="dxa"/>
            <w:vAlign w:val="top"/>
          </w:tcPr>
          <w:p>
            <w:pPr>
              <w:pStyle w:val="TableText"/>
              <w:ind w:left="408"/>
              <w:spacing w:before="100" w:line="184" w:lineRule="auto"/>
              <w:rPr>
                <w:sz w:val="16"/>
                <w:szCs w:val="16"/>
              </w:rPr>
            </w:pPr>
            <w:r>
              <w:rPr>
                <w:sz w:val="16"/>
                <w:szCs w:val="16"/>
                <w:spacing w:val="-2"/>
              </w:rPr>
              <w:t>9.10</w:t>
            </w:r>
          </w:p>
        </w:tc>
        <w:tc>
          <w:tcPr>
            <w:tcW w:w="1220" w:type="dxa"/>
            <w:vAlign w:val="top"/>
          </w:tcPr>
          <w:p>
            <w:pPr>
              <w:pStyle w:val="TableText"/>
              <w:ind w:left="432"/>
              <w:spacing w:before="100" w:line="184" w:lineRule="auto"/>
              <w:rPr>
                <w:sz w:val="16"/>
                <w:szCs w:val="16"/>
              </w:rPr>
            </w:pPr>
            <w:r>
              <w:rPr>
                <w:sz w:val="16"/>
                <w:szCs w:val="16"/>
                <w:spacing w:val="-2"/>
              </w:rPr>
              <w:t>5.41</w:t>
            </w:r>
          </w:p>
        </w:tc>
        <w:tc>
          <w:tcPr>
            <w:tcW w:w="746" w:type="dxa"/>
            <w:vAlign w:val="top"/>
          </w:tcPr>
          <w:p>
            <w:pPr>
              <w:pStyle w:val="TableText"/>
              <w:spacing w:before="101" w:line="183" w:lineRule="auto"/>
              <w:jc w:val="right"/>
              <w:rPr>
                <w:sz w:val="16"/>
                <w:szCs w:val="16"/>
              </w:rPr>
            </w:pPr>
            <w:r>
              <w:rPr>
                <w:sz w:val="16"/>
                <w:szCs w:val="16"/>
                <w:spacing w:val="-2"/>
              </w:rPr>
              <w:t>6.89</w:t>
            </w:r>
          </w:p>
        </w:tc>
      </w:tr>
      <w:tr>
        <w:trPr>
          <w:trHeight w:val="323" w:hRule="atLeast"/>
        </w:trPr>
        <w:tc>
          <w:tcPr>
            <w:tcW w:w="1350" w:type="dxa"/>
            <w:vAlign w:val="top"/>
          </w:tcPr>
          <w:p>
            <w:pPr>
              <w:pStyle w:val="TableText"/>
              <w:spacing w:before="71" w:line="219" w:lineRule="auto"/>
              <w:rPr>
                <w:sz w:val="16"/>
                <w:szCs w:val="16"/>
              </w:rPr>
            </w:pPr>
            <w:r>
              <w:rPr>
                <w:sz w:val="16"/>
                <w:szCs w:val="16"/>
                <w:spacing w:val="1"/>
              </w:rPr>
              <w:t>·劳动质量</w:t>
            </w:r>
          </w:p>
        </w:tc>
        <w:tc>
          <w:tcPr>
            <w:tcW w:w="1001" w:type="dxa"/>
            <w:vAlign w:val="top"/>
          </w:tcPr>
          <w:p>
            <w:pPr>
              <w:pStyle w:val="TableText"/>
              <w:ind w:left="319"/>
              <w:spacing w:before="112" w:line="183" w:lineRule="auto"/>
              <w:rPr>
                <w:sz w:val="16"/>
                <w:szCs w:val="16"/>
              </w:rPr>
            </w:pPr>
            <w:r>
              <w:rPr>
                <w:sz w:val="16"/>
                <w:szCs w:val="16"/>
                <w:spacing w:val="-2"/>
              </w:rPr>
              <w:t>0.46</w:t>
            </w:r>
          </w:p>
        </w:tc>
        <w:tc>
          <w:tcPr>
            <w:tcW w:w="1156" w:type="dxa"/>
            <w:vAlign w:val="top"/>
          </w:tcPr>
          <w:p>
            <w:pPr>
              <w:pStyle w:val="TableText"/>
              <w:ind w:left="408"/>
              <w:spacing w:before="111" w:line="184" w:lineRule="auto"/>
              <w:rPr>
                <w:sz w:val="16"/>
                <w:szCs w:val="16"/>
              </w:rPr>
            </w:pPr>
            <w:r>
              <w:rPr>
                <w:sz w:val="16"/>
                <w:szCs w:val="16"/>
                <w:spacing w:val="-4"/>
              </w:rPr>
              <w:t>1.47</w:t>
            </w:r>
          </w:p>
        </w:tc>
        <w:tc>
          <w:tcPr>
            <w:tcW w:w="1220" w:type="dxa"/>
            <w:vAlign w:val="top"/>
          </w:tcPr>
          <w:p>
            <w:pPr>
              <w:pStyle w:val="TableText"/>
              <w:ind w:left="432"/>
              <w:spacing w:before="112" w:line="183" w:lineRule="auto"/>
              <w:rPr>
                <w:sz w:val="16"/>
                <w:szCs w:val="16"/>
              </w:rPr>
            </w:pPr>
            <w:r>
              <w:rPr>
                <w:sz w:val="16"/>
                <w:szCs w:val="16"/>
                <w:spacing w:val="-2"/>
              </w:rPr>
              <w:t>0.55</w:t>
            </w:r>
          </w:p>
        </w:tc>
        <w:tc>
          <w:tcPr>
            <w:tcW w:w="746" w:type="dxa"/>
            <w:vAlign w:val="top"/>
          </w:tcPr>
          <w:p>
            <w:pPr>
              <w:pStyle w:val="TableText"/>
              <w:spacing w:before="112" w:line="183" w:lineRule="auto"/>
              <w:jc w:val="right"/>
              <w:rPr>
                <w:sz w:val="16"/>
                <w:szCs w:val="16"/>
              </w:rPr>
            </w:pPr>
            <w:r>
              <w:rPr>
                <w:sz w:val="16"/>
                <w:szCs w:val="16"/>
                <w:spacing w:val="-2"/>
              </w:rPr>
              <w:t>0.79</w:t>
            </w:r>
          </w:p>
        </w:tc>
      </w:tr>
      <w:tr>
        <w:trPr>
          <w:trHeight w:val="252" w:hRule="atLeast"/>
        </w:trPr>
        <w:tc>
          <w:tcPr>
            <w:tcW w:w="1350" w:type="dxa"/>
            <w:vAlign w:val="top"/>
          </w:tcPr>
          <w:p>
            <w:pPr>
              <w:pStyle w:val="TableText"/>
              <w:spacing w:before="93" w:line="171" w:lineRule="auto"/>
              <w:rPr>
                <w:sz w:val="16"/>
                <w:szCs w:val="16"/>
              </w:rPr>
            </w:pPr>
            <w:r>
              <w:rPr>
                <w:sz w:val="16"/>
                <w:szCs w:val="16"/>
                <w:spacing w:val="-16"/>
              </w:rPr>
              <w:t>·TFP</w:t>
            </w:r>
          </w:p>
        </w:tc>
        <w:tc>
          <w:tcPr>
            <w:tcW w:w="1001" w:type="dxa"/>
            <w:vAlign w:val="top"/>
          </w:tcPr>
          <w:p>
            <w:pPr>
              <w:pStyle w:val="TableText"/>
              <w:ind w:left="319"/>
              <w:spacing w:before="118" w:line="123" w:lineRule="exact"/>
              <w:rPr>
                <w:sz w:val="16"/>
                <w:szCs w:val="16"/>
              </w:rPr>
            </w:pPr>
            <w:r>
              <w:rPr>
                <w:sz w:val="16"/>
                <w:szCs w:val="16"/>
                <w:spacing w:val="-4"/>
                <w:position w:val="-2"/>
              </w:rPr>
              <w:t>1.97</w:t>
            </w:r>
          </w:p>
        </w:tc>
        <w:tc>
          <w:tcPr>
            <w:tcW w:w="1156" w:type="dxa"/>
            <w:vAlign w:val="top"/>
          </w:tcPr>
          <w:p>
            <w:pPr>
              <w:pStyle w:val="TableText"/>
              <w:ind w:left="368"/>
              <w:spacing w:before="119" w:line="122" w:lineRule="exact"/>
              <w:rPr>
                <w:sz w:val="16"/>
                <w:szCs w:val="16"/>
              </w:rPr>
            </w:pPr>
            <w:r>
              <w:rPr>
                <w:sz w:val="16"/>
                <w:szCs w:val="16"/>
                <w:spacing w:val="-1"/>
                <w:position w:val="-2"/>
              </w:rPr>
              <w:t>-0.29</w:t>
            </w:r>
          </w:p>
        </w:tc>
        <w:tc>
          <w:tcPr>
            <w:tcW w:w="1220" w:type="dxa"/>
            <w:vAlign w:val="top"/>
          </w:tcPr>
          <w:p>
            <w:pPr>
              <w:pStyle w:val="TableText"/>
              <w:ind w:left="392"/>
              <w:spacing w:before="118" w:line="123" w:lineRule="exact"/>
              <w:rPr>
                <w:sz w:val="16"/>
                <w:szCs w:val="16"/>
              </w:rPr>
            </w:pPr>
            <w:r>
              <w:rPr>
                <w:sz w:val="16"/>
                <w:szCs w:val="16"/>
                <w:spacing w:val="-1"/>
                <w:position w:val="-2"/>
              </w:rPr>
              <w:t>-0.19</w:t>
            </w:r>
          </w:p>
        </w:tc>
        <w:tc>
          <w:tcPr>
            <w:tcW w:w="746" w:type="dxa"/>
            <w:vAlign w:val="top"/>
          </w:tcPr>
          <w:p>
            <w:pPr>
              <w:pStyle w:val="TableText"/>
              <w:spacing w:before="119" w:line="122" w:lineRule="exact"/>
              <w:jc w:val="right"/>
              <w:rPr>
                <w:sz w:val="16"/>
                <w:szCs w:val="16"/>
              </w:rPr>
            </w:pPr>
            <w:r>
              <w:rPr>
                <w:sz w:val="16"/>
                <w:szCs w:val="16"/>
                <w:spacing w:val="-2"/>
                <w:position w:val="-2"/>
              </w:rPr>
              <w:t>0.54</w:t>
            </w:r>
          </w:p>
        </w:tc>
      </w:tr>
    </w:tbl>
    <w:p>
      <w:pPr>
        <w:pStyle w:val="BodyText"/>
        <w:spacing w:line="14" w:lineRule="auto"/>
        <w:rPr>
          <w:sz w:val="2"/>
        </w:rPr>
      </w:pPr>
      <w:r/>
    </w:p>
    <w:p>
      <w:pPr>
        <w:spacing w:line="14" w:lineRule="auto"/>
        <w:sectPr>
          <w:type w:val="continuous"/>
          <w:pgSz w:w="7330" w:h="12480"/>
          <w:pgMar w:top="796" w:right="849" w:bottom="1545" w:left="420" w:header="633" w:footer="1199" w:gutter="0"/>
          <w:cols w:equalWidth="0" w:num="1">
            <w:col w:w="6061" w:space="0"/>
          </w:cols>
        </w:sectPr>
        <w:rPr>
          <w:sz w:val="2"/>
          <w:szCs w:val="2"/>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409"/>
        <w:spacing w:before="68" w:line="307" w:lineRule="auto"/>
        <w:jc w:val="both"/>
        <w:rPr>
          <w:rFonts w:ascii="SimSun" w:hAnsi="SimSun" w:eastAsia="SimSun" w:cs="SimSun"/>
          <w:sz w:val="21"/>
          <w:szCs w:val="21"/>
        </w:rPr>
      </w:pPr>
      <w:r>
        <w:rPr>
          <w:rFonts w:ascii="SimSun" w:hAnsi="SimSun" w:eastAsia="SimSun" w:cs="SimSun"/>
          <w:sz w:val="21"/>
          <w:szCs w:val="21"/>
          <w:spacing w:val="-11"/>
        </w:rPr>
        <w:t>从总量生产函数来看，劳动生产率的增长又可以分解为资本深化</w:t>
      </w:r>
      <w:r>
        <w:rPr>
          <w:rFonts w:ascii="SimSun" w:hAnsi="SimSun" w:eastAsia="SimSun" w:cs="SimSun"/>
          <w:sz w:val="21"/>
          <w:szCs w:val="21"/>
          <w:spacing w:val="1"/>
        </w:rPr>
        <w:t xml:space="preserve">   </w:t>
      </w:r>
      <w:r>
        <w:rPr>
          <w:rFonts w:ascii="SimSun" w:hAnsi="SimSun" w:eastAsia="SimSun" w:cs="SimSun"/>
          <w:sz w:val="21"/>
          <w:szCs w:val="21"/>
          <w:spacing w:val="-7"/>
        </w:rPr>
        <w:t>即单位劳动小时使用的资本存量的变化，劳动</w:t>
      </w:r>
      <w:r>
        <w:rPr>
          <w:rFonts w:ascii="SimSun" w:hAnsi="SimSun" w:eastAsia="SimSun" w:cs="SimSun"/>
          <w:sz w:val="21"/>
          <w:szCs w:val="21"/>
          <w:spacing w:val="-8"/>
        </w:rPr>
        <w:t>质量的变化，以及TF</w:t>
      </w:r>
      <w:r>
        <w:rPr>
          <w:rFonts w:ascii="Times New Roman" w:hAnsi="Times New Roman" w:eastAsia="Times New Roman" w:cs="Times New Roman"/>
          <w:sz w:val="21"/>
          <w:szCs w:val="21"/>
          <w:spacing w:val="-8"/>
        </w:rPr>
        <w:t>P     </w:t>
      </w:r>
      <w:r>
        <w:rPr>
          <w:rFonts w:ascii="SimSun" w:hAnsi="SimSun" w:eastAsia="SimSun" w:cs="SimSun"/>
          <w:sz w:val="21"/>
          <w:szCs w:val="21"/>
          <w:spacing w:val="-3"/>
        </w:rPr>
        <w:t>的变化。表2-12显示，资本深化在劳动生产</w:t>
      </w:r>
      <w:r>
        <w:rPr>
          <w:rFonts w:ascii="SimSun" w:hAnsi="SimSun" w:eastAsia="SimSun" w:cs="SimSun"/>
          <w:sz w:val="21"/>
          <w:szCs w:val="21"/>
          <w:spacing w:val="-4"/>
        </w:rPr>
        <w:t>率增长中一直占主导地</w:t>
      </w:r>
      <w:r>
        <w:rPr>
          <w:rFonts w:ascii="SimSun" w:hAnsi="SimSun" w:eastAsia="SimSun" w:cs="SimSun"/>
          <w:sz w:val="21"/>
          <w:szCs w:val="21"/>
        </w:rPr>
        <w:t xml:space="preserve">   </w:t>
      </w:r>
      <w:r>
        <w:rPr>
          <w:rFonts w:ascii="SimSun" w:hAnsi="SimSun" w:eastAsia="SimSun" w:cs="SimSun"/>
          <w:sz w:val="21"/>
          <w:szCs w:val="21"/>
          <w:spacing w:val="-11"/>
        </w:rPr>
        <w:t>位，而且尽管劳动生产率的增长速度在减慢，资本深化对劳动生产率</w:t>
      </w:r>
      <w:r>
        <w:rPr>
          <w:rFonts w:ascii="SimSun" w:hAnsi="SimSun" w:eastAsia="SimSun" w:cs="SimSun"/>
          <w:sz w:val="21"/>
          <w:szCs w:val="21"/>
          <w:spacing w:val="6"/>
        </w:rPr>
        <w:t xml:space="preserve">   </w:t>
      </w:r>
      <w:r>
        <w:rPr>
          <w:rFonts w:ascii="SimSun" w:hAnsi="SimSun" w:eastAsia="SimSun" w:cs="SimSun"/>
          <w:sz w:val="21"/>
          <w:szCs w:val="21"/>
          <w:spacing w:val="-4"/>
        </w:rPr>
        <w:t>增长的贡献比重仍然在不断上升，从加入世界贸易组织后“黄金期”</w:t>
      </w:r>
      <w:r>
        <w:rPr>
          <w:rFonts w:ascii="SimSun" w:hAnsi="SimSun" w:eastAsia="SimSun" w:cs="SimSun"/>
          <w:sz w:val="21"/>
          <w:szCs w:val="21"/>
          <w:spacing w:val="2"/>
        </w:rPr>
        <w:t xml:space="preserve"> </w:t>
      </w:r>
      <w:r>
        <w:rPr>
          <w:rFonts w:ascii="SimSun" w:hAnsi="SimSun" w:eastAsia="SimSun" w:cs="SimSun"/>
          <w:sz w:val="21"/>
          <w:szCs w:val="21"/>
          <w:spacing w:val="8"/>
        </w:rPr>
        <w:t>的73%上升至危机后早期的89%,然后再上升至危机后晚期的94%,</w:t>
      </w:r>
      <w:r>
        <w:rPr>
          <w:rFonts w:ascii="SimSun" w:hAnsi="SimSun" w:eastAsia="SimSun" w:cs="SimSun"/>
          <w:sz w:val="21"/>
          <w:szCs w:val="21"/>
          <w:spacing w:val="2"/>
        </w:rPr>
        <w:t xml:space="preserve">  </w:t>
      </w:r>
      <w:r>
        <w:rPr>
          <w:rFonts w:ascii="SimSun" w:hAnsi="SimSun" w:eastAsia="SimSun" w:cs="SimSun"/>
          <w:sz w:val="21"/>
          <w:szCs w:val="21"/>
          <w:spacing w:val="-4"/>
        </w:rPr>
        <w:t>说明增长越来越依赖资本投入。表2-12也显示，除了危机后早期明</w:t>
      </w:r>
      <w:r>
        <w:rPr>
          <w:rFonts w:ascii="SimSun" w:hAnsi="SimSun" w:eastAsia="SimSun" w:cs="SimSun"/>
          <w:sz w:val="21"/>
          <w:szCs w:val="21"/>
          <w:spacing w:val="5"/>
        </w:rPr>
        <w:t xml:space="preserve">   </w:t>
      </w:r>
      <w:r>
        <w:rPr>
          <w:rFonts w:ascii="SimSun" w:hAnsi="SimSun" w:eastAsia="SimSun" w:cs="SimSun"/>
          <w:sz w:val="21"/>
          <w:szCs w:val="21"/>
          <w:spacing w:val="-10"/>
        </w:rPr>
        <w:t>显的劳动质量改善，整个时期平均来看，这</w:t>
      </w:r>
      <w:r>
        <w:rPr>
          <w:rFonts w:ascii="SimSun" w:hAnsi="SimSun" w:eastAsia="SimSun" w:cs="SimSun"/>
          <w:sz w:val="21"/>
          <w:szCs w:val="21"/>
          <w:spacing w:val="-11"/>
        </w:rPr>
        <w:t>个因素对增长的贡献并不</w:t>
      </w:r>
      <w:r>
        <w:rPr>
          <w:rFonts w:ascii="SimSun" w:hAnsi="SimSun" w:eastAsia="SimSun" w:cs="SimSun"/>
          <w:sz w:val="21"/>
          <w:szCs w:val="21"/>
        </w:rPr>
        <w:t xml:space="preserve">   </w:t>
      </w:r>
      <w:r>
        <w:rPr>
          <w:rFonts w:ascii="SimSun" w:hAnsi="SimSun" w:eastAsia="SimSun" w:cs="SimSun"/>
          <w:sz w:val="21"/>
          <w:szCs w:val="21"/>
        </w:rPr>
        <w:t>明显，对劳动生产率增长的贡献还不到10%。危机以后，劳动质量   </w:t>
      </w:r>
      <w:r>
        <w:rPr>
          <w:rFonts w:ascii="SimSun" w:hAnsi="SimSun" w:eastAsia="SimSun" w:cs="SimSun"/>
          <w:sz w:val="21"/>
          <w:szCs w:val="21"/>
          <w:spacing w:val="-11"/>
        </w:rPr>
        <w:t>的改善不足以弥补劳动小时数量的绝对下降。</w:t>
      </w:r>
    </w:p>
    <w:p>
      <w:pPr>
        <w:pStyle w:val="BodyText"/>
        <w:spacing w:line="373"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7"/>
        </w:rPr>
        <w:t>行业/部门及初级要素对</w:t>
      </w:r>
      <w:r>
        <w:rPr>
          <w:rFonts w:ascii="SimHei" w:hAnsi="SimHei" w:eastAsia="SimHei" w:cs="SimHei"/>
          <w:sz w:val="25"/>
          <w:szCs w:val="25"/>
          <w:spacing w:val="-38"/>
        </w:rPr>
        <w:t xml:space="preserve"> </w:t>
      </w:r>
      <w:r>
        <w:rPr>
          <w:rFonts w:ascii="SimSun" w:hAnsi="SimSun" w:eastAsia="SimSun" w:cs="SimSun"/>
          <w:sz w:val="25"/>
          <w:szCs w:val="25"/>
          <w:b/>
          <w:bCs/>
          <w:spacing w:val="-7"/>
        </w:rPr>
        <w:t>GDP</w:t>
      </w:r>
      <w:r>
        <w:rPr>
          <w:rFonts w:ascii="SimSun" w:hAnsi="SimSun" w:eastAsia="SimSun" w:cs="SimSun"/>
          <w:sz w:val="25"/>
          <w:szCs w:val="25"/>
          <w:spacing w:val="106"/>
        </w:rPr>
        <w:t xml:space="preserve"> </w:t>
      </w:r>
      <w:r>
        <w:rPr>
          <w:rFonts w:ascii="SimHei" w:hAnsi="SimHei" w:eastAsia="SimHei" w:cs="SimHei"/>
          <w:sz w:val="25"/>
          <w:szCs w:val="25"/>
          <w:b/>
          <w:bCs/>
          <w:spacing w:val="-7"/>
        </w:rPr>
        <w:t>增长的贡献</w:t>
      </w:r>
    </w:p>
    <w:p>
      <w:pPr>
        <w:pStyle w:val="BodyText"/>
        <w:spacing w:line="358" w:lineRule="auto"/>
        <w:rPr/>
      </w:pPr>
      <w:r/>
    </w:p>
    <w:p>
      <w:pPr>
        <w:ind w:right="98" w:firstLine="449"/>
        <w:spacing w:before="69" w:line="301" w:lineRule="auto"/>
        <w:jc w:val="both"/>
        <w:rPr>
          <w:rFonts w:ascii="SimSun" w:hAnsi="SimSun" w:eastAsia="SimSun" w:cs="SimSun"/>
          <w:sz w:val="21"/>
          <w:szCs w:val="21"/>
        </w:rPr>
      </w:pPr>
      <w:r>
        <w:rPr>
          <w:rFonts w:ascii="SimSun" w:hAnsi="SimSun" w:eastAsia="SimSun" w:cs="SimSun"/>
          <w:sz w:val="21"/>
          <w:szCs w:val="21"/>
          <w:spacing w:val="1"/>
        </w:rPr>
        <w:t>表2-13报告了中国经济不同行业/部门和不同要</w:t>
      </w:r>
      <w:r>
        <w:rPr>
          <w:rFonts w:ascii="SimSun" w:hAnsi="SimSun" w:eastAsia="SimSun" w:cs="SimSun"/>
          <w:sz w:val="21"/>
          <w:szCs w:val="21"/>
        </w:rPr>
        <w:t>素对整体经济 </w:t>
      </w:r>
      <w:r>
        <w:rPr>
          <w:rFonts w:ascii="SimSun" w:hAnsi="SimSun" w:eastAsia="SimSun" w:cs="SimSun"/>
          <w:sz w:val="21"/>
          <w:szCs w:val="21"/>
          <w:spacing w:val="-3"/>
        </w:rPr>
        <w:t>增长的贡献，并且从中分解出了</w:t>
      </w:r>
      <w:r>
        <w:rPr>
          <w:rFonts w:ascii="Times New Roman" w:hAnsi="Times New Roman" w:eastAsia="Times New Roman" w:cs="Times New Roman"/>
          <w:sz w:val="21"/>
          <w:szCs w:val="21"/>
          <w:spacing w:val="-3"/>
        </w:rPr>
        <w:t>TFP </w:t>
      </w:r>
      <w:r>
        <w:rPr>
          <w:rFonts w:ascii="SimSun" w:hAnsi="SimSun" w:eastAsia="SimSun" w:cs="SimSun"/>
          <w:sz w:val="21"/>
          <w:szCs w:val="21"/>
          <w:spacing w:val="-3"/>
        </w:rPr>
        <w:t>的贡献。首先，让我们关注该 </w:t>
      </w:r>
      <w:r>
        <w:rPr>
          <w:rFonts w:ascii="SimSun" w:hAnsi="SimSun" w:eastAsia="SimSun" w:cs="SimSun"/>
          <w:sz w:val="21"/>
          <w:szCs w:val="21"/>
          <w:spacing w:val="-7"/>
        </w:rPr>
        <w:t>表中不同行业/部门对总增长的贡献。如上一节一开始讨论的，对于</w:t>
      </w:r>
      <w:r>
        <w:rPr>
          <w:rFonts w:ascii="SimSun" w:hAnsi="SimSun" w:eastAsia="SimSun" w:cs="SimSun"/>
          <w:sz w:val="21"/>
          <w:szCs w:val="21"/>
          <w:spacing w:val="2"/>
        </w:rPr>
        <w:t xml:space="preserve">  </w:t>
      </w:r>
      <w:r>
        <w:rPr>
          <w:rFonts w:ascii="SimSun" w:hAnsi="SimSun" w:eastAsia="SimSun" w:cs="SimSun"/>
          <w:sz w:val="21"/>
          <w:szCs w:val="21"/>
        </w:rPr>
        <w:t>我们所考察的2001—2018年整个时期来说，按照正确</w:t>
      </w:r>
      <w:r>
        <w:rPr>
          <w:rFonts w:ascii="SimSun" w:hAnsi="SimSun" w:eastAsia="SimSun" w:cs="SimSun"/>
          <w:sz w:val="21"/>
          <w:szCs w:val="21"/>
          <w:spacing w:val="-1"/>
        </w:rPr>
        <w:t>的方法测算，</w:t>
      </w:r>
      <w:r>
        <w:rPr>
          <w:rFonts w:ascii="SimSun" w:hAnsi="SimSun" w:eastAsia="SimSun" w:cs="SimSun"/>
          <w:sz w:val="21"/>
          <w:szCs w:val="21"/>
        </w:rPr>
        <w:t xml:space="preserve"> </w:t>
      </w:r>
      <w:r>
        <w:rPr>
          <w:rFonts w:ascii="SimSun" w:hAnsi="SimSun" w:eastAsia="SimSun" w:cs="SimSun"/>
          <w:sz w:val="21"/>
          <w:szCs w:val="21"/>
          <w:spacing w:val="2"/>
        </w:rPr>
        <w:t>整体经济年平均增长率约为8%,其中</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生产和集约使用部门做出 </w:t>
      </w:r>
      <w:r>
        <w:rPr>
          <w:rFonts w:ascii="SimSun" w:hAnsi="SimSun" w:eastAsia="SimSun" w:cs="SimSun"/>
          <w:sz w:val="21"/>
          <w:szCs w:val="21"/>
          <w:spacing w:val="3"/>
        </w:rPr>
        <w:t>了最重要贡献，高达70%,完全符合我们基于统计观察的预期。此</w:t>
      </w:r>
      <w:r>
        <w:rPr>
          <w:rFonts w:ascii="SimSun" w:hAnsi="SimSun" w:eastAsia="SimSun" w:cs="SimSun"/>
          <w:sz w:val="21"/>
          <w:szCs w:val="21"/>
          <w:spacing w:val="8"/>
        </w:rPr>
        <w:t xml:space="preserve">  </w:t>
      </w:r>
      <w:r>
        <w:rPr>
          <w:rFonts w:ascii="SimSun" w:hAnsi="SimSun" w:eastAsia="SimSun" w:cs="SimSun"/>
          <w:sz w:val="21"/>
          <w:szCs w:val="21"/>
          <w:spacing w:val="5"/>
        </w:rPr>
        <w:t>外，农业、采掘业、建筑业及非</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集约部门贡献了42%,然而</w:t>
      </w:r>
      <w:r>
        <w:rPr>
          <w:rFonts w:ascii="SimSun" w:hAnsi="SimSun" w:eastAsia="SimSun" w:cs="SimSun"/>
          <w:sz w:val="21"/>
          <w:szCs w:val="21"/>
          <w:spacing w:val="4"/>
        </w:rPr>
        <w:t>以 </w:t>
      </w:r>
      <w:r>
        <w:rPr>
          <w:rFonts w:ascii="SimSun" w:hAnsi="SimSun" w:eastAsia="SimSun" w:cs="SimSun"/>
          <w:sz w:val="21"/>
          <w:szCs w:val="21"/>
          <w:spacing w:val="-5"/>
        </w:rPr>
        <w:t>公共服务为主的非市场服务业部门却损失了11%。分期来看，</w:t>
      </w:r>
      <w:r>
        <w:rPr>
          <w:rFonts w:ascii="Times New Roman" w:hAnsi="Times New Roman" w:eastAsia="Times New Roman" w:cs="Times New Roman"/>
          <w:sz w:val="21"/>
          <w:szCs w:val="21"/>
          <w:spacing w:val="-5"/>
        </w:rPr>
        <w:t>ICT </w:t>
      </w:r>
      <w:r>
        <w:rPr>
          <w:rFonts w:ascii="SimSun" w:hAnsi="SimSun" w:eastAsia="SimSun" w:cs="SimSun"/>
          <w:sz w:val="21"/>
          <w:szCs w:val="21"/>
          <w:spacing w:val="-5"/>
        </w:rPr>
        <w:t>生</w:t>
      </w:r>
      <w:r>
        <w:rPr>
          <w:rFonts w:ascii="SimSun" w:hAnsi="SimSun" w:eastAsia="SimSun" w:cs="SimSun"/>
          <w:sz w:val="21"/>
          <w:szCs w:val="21"/>
          <w:spacing w:val="18"/>
        </w:rPr>
        <w:t xml:space="preserve"> </w:t>
      </w:r>
      <w:r>
        <w:rPr>
          <w:rFonts w:ascii="SimSun" w:hAnsi="SimSun" w:eastAsia="SimSun" w:cs="SimSun"/>
          <w:sz w:val="21"/>
          <w:szCs w:val="21"/>
        </w:rPr>
        <w:t>产和集约使用部门对整体增长的贡献持续上升，从危机前的逾60% </w:t>
      </w:r>
      <w:r>
        <w:rPr>
          <w:rFonts w:ascii="SimSun" w:hAnsi="SimSun" w:eastAsia="SimSun" w:cs="SimSun"/>
          <w:sz w:val="21"/>
          <w:szCs w:val="21"/>
          <w:spacing w:val="7"/>
        </w:rPr>
        <w:t>升至危机后早期的近80%,整个危机后10年稳定在约7</w:t>
      </w:r>
      <w:r>
        <w:rPr>
          <w:rFonts w:ascii="SimSun" w:hAnsi="SimSun" w:eastAsia="SimSun" w:cs="SimSun"/>
          <w:sz w:val="21"/>
          <w:szCs w:val="21"/>
          <w:spacing w:val="6"/>
        </w:rPr>
        <w:t>5%。可以毫 </w:t>
      </w:r>
      <w:r>
        <w:rPr>
          <w:rFonts w:ascii="SimSun" w:hAnsi="SimSun" w:eastAsia="SimSun" w:cs="SimSun"/>
          <w:sz w:val="21"/>
          <w:szCs w:val="21"/>
          <w:spacing w:val="-6"/>
        </w:rPr>
        <w:t>不夸张地说， </w:t>
      </w:r>
      <w:r>
        <w:rPr>
          <w:rFonts w:ascii="Times New Roman" w:hAnsi="Times New Roman" w:eastAsia="Times New Roman" w:cs="Times New Roman"/>
          <w:sz w:val="21"/>
          <w:szCs w:val="21"/>
          <w:spacing w:val="-6"/>
        </w:rPr>
        <w:t>ICT </w:t>
      </w:r>
      <w:r>
        <w:rPr>
          <w:rFonts w:ascii="SimSun" w:hAnsi="SimSun" w:eastAsia="SimSun" w:cs="SimSun"/>
          <w:sz w:val="21"/>
          <w:szCs w:val="21"/>
          <w:spacing w:val="-6"/>
        </w:rPr>
        <w:t>生产与集约使用部门是过去20年中国经济增长的</w:t>
      </w:r>
      <w:r>
        <w:rPr>
          <w:rFonts w:ascii="SimSun" w:hAnsi="SimSun" w:eastAsia="SimSun" w:cs="SimSun"/>
          <w:sz w:val="21"/>
          <w:szCs w:val="21"/>
          <w:spacing w:val="5"/>
        </w:rPr>
        <w:t xml:space="preserve">  </w:t>
      </w:r>
      <w:r>
        <w:rPr>
          <w:rFonts w:ascii="SimSun" w:hAnsi="SimSun" w:eastAsia="SimSun" w:cs="SimSun"/>
          <w:sz w:val="21"/>
          <w:szCs w:val="21"/>
          <w:spacing w:val="-11"/>
        </w:rPr>
        <w:t>主要引擎。它的强劲增长不仅支撑了后危机时代的增长，也弥补了其</w:t>
      </w:r>
      <w:r>
        <w:rPr>
          <w:rFonts w:ascii="SimSun" w:hAnsi="SimSun" w:eastAsia="SimSun" w:cs="SimSun"/>
          <w:sz w:val="21"/>
          <w:szCs w:val="21"/>
          <w:spacing w:val="8"/>
        </w:rPr>
        <w:t xml:space="preserve">  </w:t>
      </w:r>
      <w:r>
        <w:rPr>
          <w:rFonts w:ascii="SimSun" w:hAnsi="SimSun" w:eastAsia="SimSun" w:cs="SimSun"/>
          <w:sz w:val="21"/>
          <w:szCs w:val="21"/>
          <w:spacing w:val="-3"/>
        </w:rPr>
        <w:t>他部门，特别是公共服务部门(非市场服务部门)因过度</w:t>
      </w:r>
      <w:r>
        <w:rPr>
          <w:rFonts w:ascii="SimSun" w:hAnsi="SimSun" w:eastAsia="SimSun" w:cs="SimSun"/>
          <w:sz w:val="21"/>
          <w:szCs w:val="21"/>
          <w:spacing w:val="-4"/>
        </w:rPr>
        <w:t>扩张带来的</w:t>
      </w:r>
      <w:r>
        <w:rPr>
          <w:rFonts w:ascii="SimSun" w:hAnsi="SimSun" w:eastAsia="SimSun" w:cs="SimSun"/>
          <w:sz w:val="21"/>
          <w:szCs w:val="21"/>
        </w:rPr>
        <w:t xml:space="preserve">  </w:t>
      </w:r>
      <w:r>
        <w:rPr>
          <w:rFonts w:ascii="SimSun" w:hAnsi="SimSun" w:eastAsia="SimSun" w:cs="SimSun"/>
          <w:sz w:val="21"/>
          <w:szCs w:val="21"/>
          <w:spacing w:val="-5"/>
        </w:rPr>
        <w:t>效率损失(即总成本增长超过增加值增长)。</w:t>
      </w:r>
    </w:p>
    <w:p>
      <w:pPr>
        <w:spacing w:line="301" w:lineRule="auto"/>
        <w:sectPr>
          <w:headerReference w:type="default" r:id="rId135"/>
          <w:footerReference w:type="default" r:id="rId2"/>
          <w:pgSz w:w="7330" w:h="12480"/>
          <w:pgMar w:top="498" w:right="566" w:bottom="400" w:left="580" w:header="335"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32"/>
        <w:spacing w:before="62" w:line="222" w:lineRule="auto"/>
        <w:rPr>
          <w:rFonts w:ascii="SimHei" w:hAnsi="SimHei" w:eastAsia="SimHei" w:cs="SimHei"/>
          <w:sz w:val="19"/>
          <w:szCs w:val="19"/>
        </w:rPr>
      </w:pPr>
      <w:r>
        <w:rPr>
          <w:rFonts w:ascii="SimHei" w:hAnsi="SimHei" w:eastAsia="SimHei" w:cs="SimHei"/>
          <w:sz w:val="19"/>
          <w:szCs w:val="19"/>
          <w:b/>
          <w:bCs/>
          <w:spacing w:val="-7"/>
        </w:rPr>
        <w:t>表2-13</w:t>
      </w:r>
      <w:r>
        <w:rPr>
          <w:rFonts w:ascii="SimHei" w:hAnsi="SimHei" w:eastAsia="SimHei" w:cs="SimHei"/>
          <w:sz w:val="19"/>
          <w:szCs w:val="19"/>
          <w:spacing w:val="60"/>
        </w:rPr>
        <w:t xml:space="preserve"> </w:t>
      </w:r>
      <w:r>
        <w:rPr>
          <w:rFonts w:ascii="SimHei" w:hAnsi="SimHei" w:eastAsia="SimHei" w:cs="SimHei"/>
          <w:sz w:val="19"/>
          <w:szCs w:val="19"/>
          <w:b/>
          <w:bCs/>
          <w:spacing w:val="-7"/>
        </w:rPr>
        <w:t>行业/部门、要素及</w:t>
      </w:r>
      <w:r>
        <w:rPr>
          <w:rFonts w:ascii="Times New Roman" w:hAnsi="Times New Roman" w:eastAsia="Times New Roman" w:cs="Times New Roman"/>
          <w:sz w:val="19"/>
          <w:szCs w:val="19"/>
          <w:b/>
          <w:bCs/>
          <w:spacing w:val="-7"/>
        </w:rPr>
        <w:t>TFP</w:t>
      </w:r>
      <w:r>
        <w:rPr>
          <w:rFonts w:ascii="SimHei" w:hAnsi="SimHei" w:eastAsia="SimHei" w:cs="SimHei"/>
          <w:sz w:val="19"/>
          <w:szCs w:val="19"/>
          <w:b/>
          <w:bCs/>
          <w:spacing w:val="-7"/>
        </w:rPr>
        <w:t>对中国</w:t>
      </w:r>
      <w:r>
        <w:rPr>
          <w:rFonts w:ascii="SimHei" w:hAnsi="SimHei" w:eastAsia="SimHei" w:cs="SimHei"/>
          <w:sz w:val="19"/>
          <w:szCs w:val="19"/>
          <w:spacing w:val="-21"/>
        </w:rPr>
        <w:t xml:space="preserve"> </w:t>
      </w:r>
      <w:r>
        <w:rPr>
          <w:rFonts w:ascii="Times New Roman" w:hAnsi="Times New Roman" w:eastAsia="Times New Roman" w:cs="Times New Roman"/>
          <w:sz w:val="19"/>
          <w:szCs w:val="19"/>
          <w:b/>
          <w:bCs/>
          <w:spacing w:val="-7"/>
        </w:rPr>
        <w:t>GDP</w:t>
      </w:r>
      <w:r>
        <w:rPr>
          <w:rFonts w:ascii="SimHei" w:hAnsi="SimHei" w:eastAsia="SimHei" w:cs="SimHei"/>
          <w:sz w:val="19"/>
          <w:szCs w:val="19"/>
          <w:b/>
          <w:bCs/>
          <w:spacing w:val="-7"/>
        </w:rPr>
        <w:t>增长的贡</w:t>
      </w:r>
      <w:r>
        <w:rPr>
          <w:rFonts w:ascii="SimHei" w:hAnsi="SimHei" w:eastAsia="SimHei" w:cs="SimHei"/>
          <w:sz w:val="19"/>
          <w:szCs w:val="19"/>
          <w:b/>
          <w:bCs/>
          <w:spacing w:val="-8"/>
        </w:rPr>
        <w:t>献：数字经济视角</w:t>
      </w:r>
    </w:p>
    <w:p>
      <w:pPr>
        <w:spacing w:line="62" w:lineRule="exact"/>
        <w:rPr/>
      </w:pPr>
      <w:r/>
    </w:p>
    <w:tbl>
      <w:tblPr>
        <w:tblStyle w:val="TableNormal"/>
        <w:tblW w:w="609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0"/>
        <w:gridCol w:w="1129"/>
        <w:gridCol w:w="1405"/>
        <w:gridCol w:w="1116"/>
        <w:gridCol w:w="1260"/>
      </w:tblGrid>
      <w:tr>
        <w:trPr>
          <w:trHeight w:val="315" w:hRule="atLeast"/>
        </w:trPr>
        <w:tc>
          <w:tcPr>
            <w:tcW w:w="1180" w:type="dxa"/>
            <w:vAlign w:val="top"/>
            <w:tcBorders>
              <w:bottom w:val="single" w:color="000000" w:sz="4" w:space="0"/>
              <w:top w:val="single" w:color="000000" w:sz="4" w:space="0"/>
            </w:tcBorders>
          </w:tcPr>
          <w:p>
            <w:pPr>
              <w:rPr>
                <w:rFonts w:ascii="Arial"/>
                <w:sz w:val="21"/>
              </w:rPr>
            </w:pPr>
            <w:r/>
          </w:p>
        </w:tc>
        <w:tc>
          <w:tcPr>
            <w:tcW w:w="1129" w:type="dxa"/>
            <w:vAlign w:val="top"/>
            <w:tcBorders>
              <w:bottom w:val="single" w:color="000000" w:sz="4" w:space="0"/>
              <w:top w:val="single" w:color="000000" w:sz="4" w:space="0"/>
            </w:tcBorders>
          </w:tcPr>
          <w:p>
            <w:pPr>
              <w:pStyle w:val="TableText"/>
              <w:ind w:left="70"/>
              <w:spacing w:before="81" w:line="219" w:lineRule="auto"/>
              <w:rPr>
                <w:sz w:val="16"/>
                <w:szCs w:val="16"/>
              </w:rPr>
            </w:pPr>
            <w:r>
              <w:rPr>
                <w:sz w:val="16"/>
                <w:szCs w:val="16"/>
                <w:spacing w:val="-1"/>
              </w:rPr>
              <w:t>2001—2007年</w:t>
            </w:r>
          </w:p>
        </w:tc>
        <w:tc>
          <w:tcPr>
            <w:tcW w:w="1405" w:type="dxa"/>
            <w:vAlign w:val="top"/>
            <w:tcBorders>
              <w:bottom w:val="single" w:color="000000" w:sz="4" w:space="0"/>
              <w:top w:val="single" w:color="000000" w:sz="4" w:space="0"/>
            </w:tcBorders>
          </w:tcPr>
          <w:p>
            <w:pPr>
              <w:pStyle w:val="TableText"/>
              <w:ind w:left="191"/>
              <w:spacing w:before="131" w:line="200" w:lineRule="auto"/>
              <w:rPr>
                <w:sz w:val="16"/>
                <w:szCs w:val="16"/>
              </w:rPr>
            </w:pPr>
            <w:r>
              <w:rPr>
                <w:sz w:val="16"/>
                <w:szCs w:val="16"/>
                <w:spacing w:val="-1"/>
              </w:rPr>
              <w:t>2007—2012年</w:t>
            </w:r>
          </w:p>
        </w:tc>
        <w:tc>
          <w:tcPr>
            <w:shd w:val="clear" w:fill="ECECEC"/>
            <w:tcW w:w="1116" w:type="dxa"/>
            <w:vAlign w:val="top"/>
            <w:tcBorders>
              <w:bottom w:val="single" w:color="000000" w:sz="4" w:space="0"/>
              <w:top w:val="single" w:color="000000" w:sz="4" w:space="0"/>
            </w:tcBorders>
          </w:tcPr>
          <w:p>
            <w:pPr>
              <w:pStyle w:val="TableText"/>
              <w:ind w:left="16"/>
              <w:spacing w:before="131" w:line="200" w:lineRule="auto"/>
              <w:rPr>
                <w:sz w:val="16"/>
                <w:szCs w:val="16"/>
              </w:rPr>
            </w:pPr>
            <w:r>
              <w:rPr>
                <w:sz w:val="16"/>
                <w:szCs w:val="16"/>
                <w:spacing w:val="-1"/>
              </w:rPr>
              <w:t>2012—2018年</w:t>
            </w:r>
          </w:p>
        </w:tc>
        <w:tc>
          <w:tcPr>
            <w:tcW w:w="1260" w:type="dxa"/>
            <w:vAlign w:val="top"/>
            <w:tcBorders>
              <w:bottom w:val="single" w:color="000000" w:sz="4" w:space="0"/>
              <w:top w:val="single" w:color="000000" w:sz="4" w:space="0"/>
            </w:tcBorders>
          </w:tcPr>
          <w:p>
            <w:pPr>
              <w:pStyle w:val="TableText"/>
              <w:ind w:left="150"/>
              <w:spacing w:before="131" w:line="200" w:lineRule="auto"/>
              <w:rPr>
                <w:sz w:val="16"/>
                <w:szCs w:val="16"/>
              </w:rPr>
            </w:pPr>
            <w:r>
              <w:rPr>
                <w:sz w:val="16"/>
                <w:szCs w:val="16"/>
                <w:spacing w:val="-1"/>
              </w:rPr>
              <w:t>2001—2018年</w:t>
            </w:r>
          </w:p>
        </w:tc>
      </w:tr>
      <w:tr>
        <w:trPr>
          <w:trHeight w:val="863" w:hRule="atLeast"/>
        </w:trPr>
        <w:tc>
          <w:tcPr>
            <w:tcW w:w="1180" w:type="dxa"/>
            <w:vAlign w:val="top"/>
            <w:tcBorders>
              <w:top w:val="single" w:color="000000" w:sz="4" w:space="0"/>
            </w:tcBorders>
          </w:tcPr>
          <w:p>
            <w:pPr>
              <w:pStyle w:val="TableText"/>
              <w:ind w:left="132"/>
              <w:spacing w:before="85" w:line="239" w:lineRule="exact"/>
              <w:rPr>
                <w:sz w:val="16"/>
                <w:szCs w:val="16"/>
              </w:rPr>
            </w:pPr>
            <w:r>
              <w:rPr>
                <w:sz w:val="16"/>
                <w:szCs w:val="16"/>
                <w:b/>
                <w:bCs/>
                <w:spacing w:val="-6"/>
                <w:position w:val="5"/>
              </w:rPr>
              <w:t>G</w:t>
            </w:r>
            <w:r>
              <w:rPr>
                <w:sz w:val="16"/>
                <w:szCs w:val="16"/>
                <w:spacing w:val="-28"/>
                <w:position w:val="5"/>
              </w:rPr>
              <w:t xml:space="preserve"> </w:t>
            </w:r>
            <w:r>
              <w:rPr>
                <w:sz w:val="16"/>
                <w:szCs w:val="16"/>
                <w:b/>
                <w:bCs/>
                <w:spacing w:val="-6"/>
                <w:position w:val="5"/>
              </w:rPr>
              <w:t>D</w:t>
            </w:r>
            <w:r>
              <w:rPr>
                <w:sz w:val="16"/>
                <w:szCs w:val="16"/>
                <w:spacing w:val="-29"/>
                <w:position w:val="5"/>
              </w:rPr>
              <w:t xml:space="preserve"> </w:t>
            </w:r>
            <w:r>
              <w:rPr>
                <w:sz w:val="16"/>
                <w:szCs w:val="16"/>
                <w:b/>
                <w:bCs/>
                <w:spacing w:val="-6"/>
                <w:position w:val="5"/>
              </w:rPr>
              <w:t>P</w:t>
            </w:r>
            <w:r>
              <w:rPr>
                <w:sz w:val="16"/>
                <w:szCs w:val="16"/>
                <w:spacing w:val="-27"/>
                <w:position w:val="5"/>
              </w:rPr>
              <w:t xml:space="preserve"> </w:t>
            </w:r>
            <w:r>
              <w:rPr>
                <w:sz w:val="16"/>
                <w:szCs w:val="16"/>
                <w:b/>
                <w:bCs/>
                <w:spacing w:val="-6"/>
                <w:position w:val="5"/>
              </w:rPr>
              <w:t>增</w:t>
            </w:r>
            <w:r>
              <w:rPr>
                <w:sz w:val="16"/>
                <w:szCs w:val="16"/>
                <w:spacing w:val="-26"/>
                <w:position w:val="5"/>
              </w:rPr>
              <w:t xml:space="preserve"> </w:t>
            </w:r>
            <w:r>
              <w:rPr>
                <w:sz w:val="16"/>
                <w:szCs w:val="16"/>
                <w:b/>
                <w:bCs/>
                <w:spacing w:val="-6"/>
                <w:position w:val="5"/>
              </w:rPr>
              <w:t>长</w:t>
            </w:r>
          </w:p>
          <w:p>
            <w:pPr>
              <w:pStyle w:val="TableText"/>
              <w:ind w:left="132"/>
              <w:spacing w:line="219" w:lineRule="auto"/>
              <w:rPr>
                <w:sz w:val="16"/>
                <w:szCs w:val="16"/>
              </w:rPr>
            </w:pPr>
            <w:r>
              <w:rPr>
                <w:sz w:val="16"/>
                <w:szCs w:val="16"/>
                <w:b/>
                <w:bCs/>
                <w:spacing w:val="-12"/>
              </w:rPr>
              <w:t>率</w:t>
            </w:r>
            <w:r>
              <w:rPr>
                <w:sz w:val="16"/>
                <w:szCs w:val="16"/>
                <w:spacing w:val="21"/>
              </w:rPr>
              <w:t xml:space="preserve"> </w:t>
            </w:r>
            <w:r>
              <w:rPr>
                <w:sz w:val="16"/>
                <w:szCs w:val="16"/>
                <w:b/>
                <w:bCs/>
                <w:spacing w:val="-12"/>
              </w:rPr>
              <w:t>(</w:t>
            </w:r>
            <w:r>
              <w:rPr>
                <w:sz w:val="16"/>
                <w:szCs w:val="16"/>
                <w:spacing w:val="-12"/>
              </w:rPr>
              <w:t xml:space="preserve"> </w:t>
            </w:r>
            <w:r>
              <w:rPr>
                <w:sz w:val="16"/>
                <w:szCs w:val="16"/>
                <w:b/>
                <w:bCs/>
                <w:spacing w:val="-12"/>
              </w:rPr>
              <w:t>%</w:t>
            </w:r>
            <w:r>
              <w:rPr>
                <w:sz w:val="16"/>
                <w:szCs w:val="16"/>
                <w:spacing w:val="-12"/>
              </w:rPr>
              <w:t xml:space="preserve"> </w:t>
            </w:r>
            <w:r>
              <w:rPr>
                <w:sz w:val="16"/>
                <w:szCs w:val="16"/>
                <w:b/>
                <w:bCs/>
                <w:spacing w:val="-12"/>
              </w:rPr>
              <w:t>)</w:t>
            </w:r>
          </w:p>
        </w:tc>
        <w:tc>
          <w:tcPr>
            <w:tcW w:w="1129" w:type="dxa"/>
            <w:vAlign w:val="top"/>
            <w:tcBorders>
              <w:top w:val="single" w:color="000000" w:sz="4" w:space="0"/>
            </w:tcBorders>
          </w:tcPr>
          <w:p>
            <w:pPr>
              <w:pStyle w:val="TableText"/>
              <w:ind w:left="450"/>
              <w:spacing w:before="237" w:line="184" w:lineRule="auto"/>
              <w:rPr>
                <w:sz w:val="16"/>
                <w:szCs w:val="16"/>
              </w:rPr>
            </w:pPr>
            <w:r>
              <w:rPr>
                <w:sz w:val="16"/>
                <w:szCs w:val="16"/>
                <w:spacing w:val="-3"/>
              </w:rPr>
              <w:t>10.73</w:t>
            </w:r>
          </w:p>
        </w:tc>
        <w:tc>
          <w:tcPr>
            <w:tcW w:w="1405" w:type="dxa"/>
            <w:vAlign w:val="top"/>
            <w:tcBorders>
              <w:top w:val="single" w:color="000000" w:sz="4" w:space="0"/>
            </w:tcBorders>
          </w:tcPr>
          <w:p>
            <w:pPr>
              <w:pStyle w:val="TableText"/>
              <w:ind w:left="510"/>
              <w:spacing w:before="237" w:line="184" w:lineRule="auto"/>
              <w:rPr>
                <w:sz w:val="16"/>
                <w:szCs w:val="16"/>
              </w:rPr>
            </w:pPr>
            <w:r>
              <w:rPr>
                <w:sz w:val="16"/>
                <w:szCs w:val="16"/>
                <w:spacing w:val="-2"/>
              </w:rPr>
              <w:t>8.14</w:t>
            </w:r>
          </w:p>
          <w:p>
            <w:pPr>
              <w:pStyle w:val="TableText"/>
              <w:spacing w:before="237" w:line="219" w:lineRule="auto"/>
              <w:jc w:val="right"/>
              <w:rPr>
                <w:sz w:val="16"/>
                <w:szCs w:val="16"/>
              </w:rPr>
            </w:pPr>
            <w:r>
              <w:rPr>
                <w:sz w:val="16"/>
                <w:szCs w:val="16"/>
                <w:b/>
                <w:bCs/>
                <w:spacing w:val="-1"/>
              </w:rPr>
              <w:t>部门贡献(百分点)</w:t>
            </w:r>
          </w:p>
        </w:tc>
        <w:tc>
          <w:tcPr>
            <w:tcW w:w="1116" w:type="dxa"/>
            <w:vAlign w:val="top"/>
            <w:tcBorders>
              <w:top w:val="single" w:color="000000" w:sz="4" w:space="0"/>
            </w:tcBorders>
          </w:tcPr>
          <w:p>
            <w:pPr>
              <w:pStyle w:val="TableText"/>
              <w:ind w:left="336"/>
              <w:spacing w:before="237" w:line="183" w:lineRule="auto"/>
              <w:rPr>
                <w:sz w:val="16"/>
                <w:szCs w:val="16"/>
              </w:rPr>
            </w:pPr>
            <w:r>
              <w:rPr>
                <w:sz w:val="16"/>
                <w:szCs w:val="16"/>
                <w:spacing w:val="-2"/>
              </w:rPr>
              <w:t>5.28</w:t>
            </w:r>
          </w:p>
        </w:tc>
        <w:tc>
          <w:tcPr>
            <w:tcW w:w="1260" w:type="dxa"/>
            <w:vAlign w:val="top"/>
            <w:tcBorders>
              <w:top w:val="single" w:color="000000" w:sz="4" w:space="0"/>
            </w:tcBorders>
          </w:tcPr>
          <w:p>
            <w:pPr>
              <w:pStyle w:val="TableText"/>
              <w:ind w:left="470"/>
              <w:spacing w:before="237" w:line="183" w:lineRule="auto"/>
              <w:rPr>
                <w:sz w:val="16"/>
                <w:szCs w:val="16"/>
              </w:rPr>
            </w:pPr>
            <w:r>
              <w:rPr>
                <w:sz w:val="16"/>
                <w:szCs w:val="16"/>
                <w:spacing w:val="-2"/>
              </w:rPr>
              <w:t>8.04</w:t>
            </w:r>
          </w:p>
        </w:tc>
      </w:tr>
      <w:tr>
        <w:trPr>
          <w:trHeight w:val="311" w:hRule="atLeast"/>
        </w:trPr>
        <w:tc>
          <w:tcPr>
            <w:tcW w:w="1180" w:type="dxa"/>
            <w:vAlign w:val="top"/>
          </w:tcPr>
          <w:p>
            <w:pPr>
              <w:pStyle w:val="TableText"/>
              <w:ind w:left="130"/>
              <w:spacing w:before="73" w:line="219" w:lineRule="auto"/>
              <w:rPr>
                <w:sz w:val="16"/>
                <w:szCs w:val="16"/>
              </w:rPr>
            </w:pPr>
            <w:r>
              <w:rPr>
                <w:sz w:val="16"/>
                <w:szCs w:val="16"/>
              </w:rPr>
              <w:t>ICT</w:t>
            </w:r>
            <w:r>
              <w:rPr>
                <w:sz w:val="16"/>
                <w:szCs w:val="16"/>
                <w:spacing w:val="1"/>
              </w:rPr>
              <w:t>生产行业</w:t>
            </w:r>
          </w:p>
        </w:tc>
        <w:tc>
          <w:tcPr>
            <w:tcW w:w="1129" w:type="dxa"/>
            <w:vAlign w:val="top"/>
          </w:tcPr>
          <w:p>
            <w:pPr>
              <w:pStyle w:val="TableText"/>
              <w:ind w:left="490"/>
              <w:spacing w:before="113" w:line="184" w:lineRule="auto"/>
              <w:rPr>
                <w:sz w:val="16"/>
                <w:szCs w:val="16"/>
              </w:rPr>
            </w:pPr>
            <w:r>
              <w:rPr>
                <w:sz w:val="16"/>
                <w:szCs w:val="16"/>
                <w:spacing w:val="-4"/>
              </w:rPr>
              <w:t>1.22</w:t>
            </w:r>
          </w:p>
        </w:tc>
        <w:tc>
          <w:tcPr>
            <w:tcW w:w="1405" w:type="dxa"/>
            <w:vAlign w:val="top"/>
          </w:tcPr>
          <w:p>
            <w:pPr>
              <w:pStyle w:val="TableText"/>
              <w:ind w:left="510"/>
              <w:spacing w:before="114" w:line="183" w:lineRule="auto"/>
              <w:rPr>
                <w:sz w:val="16"/>
                <w:szCs w:val="16"/>
              </w:rPr>
            </w:pPr>
            <w:r>
              <w:rPr>
                <w:sz w:val="16"/>
                <w:szCs w:val="16"/>
                <w:spacing w:val="-2"/>
              </w:rPr>
              <w:t>0.95</w:t>
            </w:r>
          </w:p>
        </w:tc>
        <w:tc>
          <w:tcPr>
            <w:tcW w:w="1116" w:type="dxa"/>
            <w:vAlign w:val="top"/>
          </w:tcPr>
          <w:p>
            <w:pPr>
              <w:pStyle w:val="TableText"/>
              <w:ind w:left="336"/>
              <w:spacing w:before="114" w:line="183" w:lineRule="auto"/>
              <w:rPr>
                <w:sz w:val="16"/>
                <w:szCs w:val="16"/>
              </w:rPr>
            </w:pPr>
            <w:r>
              <w:rPr>
                <w:sz w:val="16"/>
                <w:szCs w:val="16"/>
                <w:spacing w:val="-2"/>
              </w:rPr>
              <w:t>0.79</w:t>
            </w:r>
          </w:p>
        </w:tc>
        <w:tc>
          <w:tcPr>
            <w:tcW w:w="1260" w:type="dxa"/>
            <w:vAlign w:val="top"/>
          </w:tcPr>
          <w:p>
            <w:pPr>
              <w:pStyle w:val="TableText"/>
              <w:ind w:left="470"/>
              <w:spacing w:before="114" w:line="183" w:lineRule="auto"/>
              <w:rPr>
                <w:sz w:val="16"/>
                <w:szCs w:val="16"/>
              </w:rPr>
            </w:pPr>
            <w:r>
              <w:rPr>
                <w:sz w:val="16"/>
                <w:szCs w:val="16"/>
                <w:spacing w:val="-2"/>
              </w:rPr>
              <w:t>0.99</w:t>
            </w:r>
          </w:p>
        </w:tc>
      </w:tr>
      <w:tr>
        <w:trPr>
          <w:trHeight w:val="549" w:hRule="atLeast"/>
        </w:trPr>
        <w:tc>
          <w:tcPr>
            <w:tcW w:w="1180" w:type="dxa"/>
            <w:vAlign w:val="top"/>
          </w:tcPr>
          <w:p>
            <w:pPr>
              <w:pStyle w:val="TableText"/>
              <w:ind w:left="130" w:right="150"/>
              <w:spacing w:before="82" w:line="243"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制造业</w:t>
            </w:r>
          </w:p>
        </w:tc>
        <w:tc>
          <w:tcPr>
            <w:tcW w:w="1129" w:type="dxa"/>
            <w:vAlign w:val="top"/>
          </w:tcPr>
          <w:p>
            <w:pPr>
              <w:pStyle w:val="TableText"/>
              <w:ind w:left="490"/>
              <w:spacing w:before="223" w:line="183" w:lineRule="auto"/>
              <w:rPr>
                <w:sz w:val="16"/>
                <w:szCs w:val="16"/>
              </w:rPr>
            </w:pPr>
            <w:r>
              <w:rPr>
                <w:sz w:val="16"/>
                <w:szCs w:val="16"/>
                <w:spacing w:val="-2"/>
              </w:rPr>
              <w:t>2.76</w:t>
            </w:r>
          </w:p>
        </w:tc>
        <w:tc>
          <w:tcPr>
            <w:tcW w:w="1405" w:type="dxa"/>
            <w:vAlign w:val="top"/>
          </w:tcPr>
          <w:p>
            <w:pPr>
              <w:pStyle w:val="TableText"/>
              <w:ind w:left="510"/>
              <w:spacing w:before="223" w:line="183" w:lineRule="auto"/>
              <w:rPr>
                <w:sz w:val="16"/>
                <w:szCs w:val="16"/>
              </w:rPr>
            </w:pPr>
            <w:r>
              <w:rPr>
                <w:sz w:val="16"/>
                <w:szCs w:val="16"/>
                <w:spacing w:val="-2"/>
              </w:rPr>
              <w:t>2.63</w:t>
            </w:r>
          </w:p>
        </w:tc>
        <w:tc>
          <w:tcPr>
            <w:tcW w:w="1116" w:type="dxa"/>
            <w:vAlign w:val="top"/>
          </w:tcPr>
          <w:p>
            <w:pPr>
              <w:pStyle w:val="TableText"/>
              <w:ind w:left="336"/>
              <w:spacing w:before="223" w:line="184" w:lineRule="auto"/>
              <w:rPr>
                <w:sz w:val="16"/>
                <w:szCs w:val="16"/>
              </w:rPr>
            </w:pPr>
            <w:r>
              <w:rPr>
                <w:sz w:val="16"/>
                <w:szCs w:val="16"/>
                <w:spacing w:val="-4"/>
              </w:rPr>
              <w:t>1.13</w:t>
            </w:r>
          </w:p>
        </w:tc>
        <w:tc>
          <w:tcPr>
            <w:tcW w:w="1260" w:type="dxa"/>
            <w:vAlign w:val="top"/>
          </w:tcPr>
          <w:p>
            <w:pPr>
              <w:pStyle w:val="TableText"/>
              <w:ind w:left="470"/>
              <w:spacing w:before="223" w:line="184" w:lineRule="auto"/>
              <w:rPr>
                <w:sz w:val="16"/>
                <w:szCs w:val="16"/>
              </w:rPr>
            </w:pPr>
            <w:r>
              <w:rPr>
                <w:sz w:val="16"/>
                <w:szCs w:val="16"/>
                <w:spacing w:val="-2"/>
              </w:rPr>
              <w:t>2.15</w:t>
            </w:r>
          </w:p>
        </w:tc>
      </w:tr>
      <w:tr>
        <w:trPr>
          <w:trHeight w:val="544" w:hRule="atLeast"/>
        </w:trPr>
        <w:tc>
          <w:tcPr>
            <w:tcW w:w="1180" w:type="dxa"/>
            <w:vAlign w:val="top"/>
          </w:tcPr>
          <w:p>
            <w:pPr>
              <w:pStyle w:val="TableText"/>
              <w:ind w:left="130" w:right="150"/>
              <w:spacing w:before="84" w:line="242" w:lineRule="auto"/>
              <w:rPr>
                <w:sz w:val="16"/>
                <w:szCs w:val="16"/>
              </w:rPr>
            </w:pPr>
            <w:r>
              <w:rPr>
                <w:sz w:val="16"/>
                <w:szCs w:val="16"/>
              </w:rPr>
              <w:t>ICT</w:t>
            </w:r>
            <w:r>
              <w:rPr>
                <w:sz w:val="16"/>
                <w:szCs w:val="16"/>
                <w:spacing w:val="4"/>
              </w:rPr>
              <w:t>集约使用</w:t>
            </w:r>
            <w:r>
              <w:rPr>
                <w:sz w:val="16"/>
                <w:szCs w:val="16"/>
                <w:spacing w:val="2"/>
              </w:rPr>
              <w:t xml:space="preserve"> </w:t>
            </w:r>
            <w:r>
              <w:rPr>
                <w:sz w:val="16"/>
                <w:szCs w:val="16"/>
                <w:spacing w:val="-2"/>
              </w:rPr>
              <w:t>服务业</w:t>
            </w:r>
          </w:p>
        </w:tc>
        <w:tc>
          <w:tcPr>
            <w:tcW w:w="1129" w:type="dxa"/>
            <w:vAlign w:val="top"/>
          </w:tcPr>
          <w:p>
            <w:pPr>
              <w:pStyle w:val="TableText"/>
              <w:ind w:left="490"/>
              <w:spacing w:before="214" w:line="184" w:lineRule="auto"/>
              <w:rPr>
                <w:sz w:val="16"/>
                <w:szCs w:val="16"/>
              </w:rPr>
            </w:pPr>
            <w:r>
              <w:rPr>
                <w:sz w:val="16"/>
                <w:szCs w:val="16"/>
                <w:spacing w:val="-2"/>
              </w:rPr>
              <w:t>2.71</w:t>
            </w:r>
          </w:p>
        </w:tc>
        <w:tc>
          <w:tcPr>
            <w:tcW w:w="1405" w:type="dxa"/>
            <w:vAlign w:val="top"/>
          </w:tcPr>
          <w:p>
            <w:pPr>
              <w:pStyle w:val="TableText"/>
              <w:ind w:left="510"/>
              <w:spacing w:before="214" w:line="183" w:lineRule="auto"/>
              <w:rPr>
                <w:sz w:val="16"/>
                <w:szCs w:val="16"/>
              </w:rPr>
            </w:pPr>
            <w:r>
              <w:rPr>
                <w:sz w:val="16"/>
                <w:szCs w:val="16"/>
                <w:spacing w:val="-2"/>
              </w:rPr>
              <w:t>2.74</w:t>
            </w:r>
          </w:p>
        </w:tc>
        <w:tc>
          <w:tcPr>
            <w:tcW w:w="1116" w:type="dxa"/>
            <w:vAlign w:val="top"/>
          </w:tcPr>
          <w:p>
            <w:pPr>
              <w:pStyle w:val="TableText"/>
              <w:ind w:left="336"/>
              <w:spacing w:before="214" w:line="184" w:lineRule="auto"/>
              <w:rPr>
                <w:sz w:val="16"/>
                <w:szCs w:val="16"/>
              </w:rPr>
            </w:pPr>
            <w:r>
              <w:rPr>
                <w:sz w:val="16"/>
                <w:szCs w:val="16"/>
                <w:spacing w:val="-2"/>
              </w:rPr>
              <w:t>2.01</w:t>
            </w:r>
          </w:p>
        </w:tc>
        <w:tc>
          <w:tcPr>
            <w:tcW w:w="1260" w:type="dxa"/>
            <w:vAlign w:val="top"/>
          </w:tcPr>
          <w:p>
            <w:pPr>
              <w:pStyle w:val="TableText"/>
              <w:ind w:left="470"/>
              <w:spacing w:before="214" w:line="183" w:lineRule="auto"/>
              <w:rPr>
                <w:sz w:val="16"/>
                <w:szCs w:val="16"/>
              </w:rPr>
            </w:pPr>
            <w:r>
              <w:rPr>
                <w:sz w:val="16"/>
                <w:szCs w:val="16"/>
                <w:spacing w:val="-2"/>
              </w:rPr>
              <w:t>2.47</w:t>
            </w:r>
          </w:p>
        </w:tc>
      </w:tr>
      <w:tr>
        <w:trPr>
          <w:trHeight w:val="539" w:hRule="atLeast"/>
        </w:trPr>
        <w:tc>
          <w:tcPr>
            <w:tcW w:w="1180" w:type="dxa"/>
            <w:vAlign w:val="top"/>
          </w:tcPr>
          <w:p>
            <w:pPr>
              <w:pStyle w:val="TableText"/>
              <w:ind w:left="130"/>
              <w:spacing w:before="79" w:line="230" w:lineRule="exact"/>
              <w:rPr>
                <w:sz w:val="16"/>
                <w:szCs w:val="16"/>
              </w:rPr>
            </w:pPr>
            <w:r>
              <w:rPr>
                <w:sz w:val="16"/>
                <w:szCs w:val="16"/>
                <w:spacing w:val="4"/>
                <w:position w:val="5"/>
              </w:rPr>
              <w:t>非</w:t>
            </w:r>
            <w:r>
              <w:rPr>
                <w:sz w:val="16"/>
                <w:szCs w:val="16"/>
                <w:position w:val="5"/>
              </w:rPr>
              <w:t>ICT</w:t>
            </w:r>
            <w:r>
              <w:rPr>
                <w:sz w:val="16"/>
                <w:szCs w:val="16"/>
                <w:spacing w:val="4"/>
                <w:position w:val="5"/>
              </w:rPr>
              <w:t>集约</w:t>
            </w:r>
          </w:p>
          <w:p>
            <w:pPr>
              <w:pStyle w:val="TableText"/>
              <w:ind w:left="130"/>
              <w:spacing w:line="219" w:lineRule="auto"/>
              <w:rPr>
                <w:sz w:val="16"/>
                <w:szCs w:val="16"/>
              </w:rPr>
            </w:pPr>
            <w:r>
              <w:rPr>
                <w:sz w:val="16"/>
                <w:szCs w:val="16"/>
                <w:spacing w:val="-2"/>
              </w:rPr>
              <w:t>使用制造业</w:t>
            </w:r>
          </w:p>
        </w:tc>
        <w:tc>
          <w:tcPr>
            <w:tcW w:w="1129" w:type="dxa"/>
            <w:vAlign w:val="top"/>
          </w:tcPr>
          <w:p>
            <w:pPr>
              <w:pStyle w:val="TableText"/>
              <w:ind w:left="490"/>
              <w:spacing w:before="220" w:line="183" w:lineRule="auto"/>
              <w:rPr>
                <w:sz w:val="16"/>
                <w:szCs w:val="16"/>
              </w:rPr>
            </w:pPr>
            <w:r>
              <w:rPr>
                <w:sz w:val="16"/>
                <w:szCs w:val="16"/>
                <w:spacing w:val="-2"/>
              </w:rPr>
              <w:t>2.82</w:t>
            </w:r>
          </w:p>
        </w:tc>
        <w:tc>
          <w:tcPr>
            <w:tcW w:w="1405" w:type="dxa"/>
            <w:vAlign w:val="top"/>
          </w:tcPr>
          <w:p>
            <w:pPr>
              <w:pStyle w:val="TableText"/>
              <w:ind w:left="510"/>
              <w:spacing w:before="220" w:line="184" w:lineRule="auto"/>
              <w:rPr>
                <w:sz w:val="16"/>
                <w:szCs w:val="16"/>
              </w:rPr>
            </w:pPr>
            <w:r>
              <w:rPr>
                <w:sz w:val="16"/>
                <w:szCs w:val="16"/>
                <w:spacing w:val="-4"/>
              </w:rPr>
              <w:t>1.83</w:t>
            </w:r>
          </w:p>
        </w:tc>
        <w:tc>
          <w:tcPr>
            <w:tcW w:w="1116" w:type="dxa"/>
            <w:vAlign w:val="top"/>
          </w:tcPr>
          <w:p>
            <w:pPr>
              <w:pStyle w:val="TableText"/>
              <w:ind w:left="336"/>
              <w:spacing w:before="220" w:line="183" w:lineRule="auto"/>
              <w:rPr>
                <w:sz w:val="16"/>
                <w:szCs w:val="16"/>
              </w:rPr>
            </w:pPr>
            <w:r>
              <w:rPr>
                <w:sz w:val="16"/>
                <w:szCs w:val="16"/>
                <w:spacing w:val="-2"/>
              </w:rPr>
              <w:t>0.98</w:t>
            </w:r>
          </w:p>
        </w:tc>
        <w:tc>
          <w:tcPr>
            <w:tcW w:w="1260" w:type="dxa"/>
            <w:vAlign w:val="top"/>
          </w:tcPr>
          <w:p>
            <w:pPr>
              <w:pStyle w:val="TableText"/>
              <w:ind w:left="470"/>
              <w:spacing w:before="220" w:line="184" w:lineRule="auto"/>
              <w:rPr>
                <w:sz w:val="16"/>
                <w:szCs w:val="16"/>
              </w:rPr>
            </w:pPr>
            <w:r>
              <w:rPr>
                <w:sz w:val="16"/>
                <w:szCs w:val="16"/>
                <w:spacing w:val="-4"/>
              </w:rPr>
              <w:t>1.88</w:t>
            </w:r>
          </w:p>
        </w:tc>
      </w:tr>
      <w:tr>
        <w:trPr>
          <w:trHeight w:val="546" w:hRule="atLeast"/>
        </w:trPr>
        <w:tc>
          <w:tcPr>
            <w:tcW w:w="1180" w:type="dxa"/>
            <w:vAlign w:val="top"/>
          </w:tcPr>
          <w:p>
            <w:pPr>
              <w:pStyle w:val="TableText"/>
              <w:ind w:left="130"/>
              <w:spacing w:before="80" w:line="240" w:lineRule="exact"/>
              <w:rPr>
                <w:sz w:val="16"/>
                <w:szCs w:val="16"/>
              </w:rPr>
            </w:pPr>
            <w:r>
              <w:rPr>
                <w:sz w:val="16"/>
                <w:szCs w:val="16"/>
                <w:spacing w:val="4"/>
                <w:position w:val="5"/>
              </w:rPr>
              <w:t>非</w:t>
            </w:r>
            <w:r>
              <w:rPr>
                <w:sz w:val="16"/>
                <w:szCs w:val="16"/>
                <w:position w:val="5"/>
              </w:rPr>
              <w:t>ICT</w:t>
            </w:r>
            <w:r>
              <w:rPr>
                <w:sz w:val="16"/>
                <w:szCs w:val="16"/>
                <w:spacing w:val="4"/>
                <w:position w:val="5"/>
              </w:rPr>
              <w:t>集约</w:t>
            </w:r>
          </w:p>
          <w:p>
            <w:pPr>
              <w:pStyle w:val="TableText"/>
              <w:ind w:left="130"/>
              <w:spacing w:line="219" w:lineRule="auto"/>
              <w:rPr>
                <w:sz w:val="16"/>
                <w:szCs w:val="16"/>
              </w:rPr>
            </w:pPr>
            <w:r>
              <w:rPr>
                <w:sz w:val="16"/>
                <w:szCs w:val="16"/>
                <w:spacing w:val="-2"/>
              </w:rPr>
              <w:t>使用服务业</w:t>
            </w:r>
          </w:p>
        </w:tc>
        <w:tc>
          <w:tcPr>
            <w:tcW w:w="1129" w:type="dxa"/>
            <w:vAlign w:val="top"/>
          </w:tcPr>
          <w:p>
            <w:pPr>
              <w:pStyle w:val="TableText"/>
              <w:ind w:left="490"/>
              <w:spacing w:before="221" w:line="184" w:lineRule="auto"/>
              <w:rPr>
                <w:sz w:val="16"/>
                <w:szCs w:val="16"/>
              </w:rPr>
            </w:pPr>
            <w:r>
              <w:rPr>
                <w:sz w:val="16"/>
                <w:szCs w:val="16"/>
                <w:spacing w:val="-4"/>
              </w:rPr>
              <w:t>1.23</w:t>
            </w:r>
          </w:p>
        </w:tc>
        <w:tc>
          <w:tcPr>
            <w:tcW w:w="1405" w:type="dxa"/>
            <w:vAlign w:val="top"/>
          </w:tcPr>
          <w:p>
            <w:pPr>
              <w:pStyle w:val="TableText"/>
              <w:ind w:left="510"/>
              <w:spacing w:before="221" w:line="183" w:lineRule="auto"/>
              <w:rPr>
                <w:sz w:val="16"/>
                <w:szCs w:val="16"/>
              </w:rPr>
            </w:pPr>
            <w:r>
              <w:rPr>
                <w:sz w:val="16"/>
                <w:szCs w:val="16"/>
                <w:spacing w:val="-2"/>
              </w:rPr>
              <w:t>0.66</w:t>
            </w:r>
          </w:p>
        </w:tc>
        <w:tc>
          <w:tcPr>
            <w:tcW w:w="1116" w:type="dxa"/>
            <w:vAlign w:val="top"/>
          </w:tcPr>
          <w:p>
            <w:pPr>
              <w:pStyle w:val="TableText"/>
              <w:ind w:left="336"/>
              <w:spacing w:before="221" w:line="183" w:lineRule="auto"/>
              <w:rPr>
                <w:sz w:val="16"/>
                <w:szCs w:val="16"/>
              </w:rPr>
            </w:pPr>
            <w:r>
              <w:rPr>
                <w:sz w:val="16"/>
                <w:szCs w:val="16"/>
                <w:spacing w:val="-2"/>
              </w:rPr>
              <w:t>0.40</w:t>
            </w:r>
          </w:p>
        </w:tc>
        <w:tc>
          <w:tcPr>
            <w:tcW w:w="1260" w:type="dxa"/>
            <w:vAlign w:val="top"/>
          </w:tcPr>
          <w:p>
            <w:pPr>
              <w:pStyle w:val="TableText"/>
              <w:ind w:left="470"/>
              <w:spacing w:before="221" w:line="183" w:lineRule="auto"/>
              <w:rPr>
                <w:sz w:val="16"/>
                <w:szCs w:val="16"/>
              </w:rPr>
            </w:pPr>
            <w:r>
              <w:rPr>
                <w:sz w:val="16"/>
                <w:szCs w:val="16"/>
                <w:spacing w:val="-2"/>
              </w:rPr>
              <w:t>0.77</w:t>
            </w:r>
          </w:p>
        </w:tc>
      </w:tr>
      <w:tr>
        <w:trPr>
          <w:trHeight w:val="308" w:hRule="atLeast"/>
        </w:trPr>
        <w:tc>
          <w:tcPr>
            <w:tcW w:w="1180" w:type="dxa"/>
            <w:vAlign w:val="top"/>
          </w:tcPr>
          <w:p>
            <w:pPr>
              <w:pStyle w:val="TableText"/>
              <w:ind w:left="130"/>
              <w:spacing w:before="76" w:line="221" w:lineRule="auto"/>
              <w:rPr>
                <w:sz w:val="16"/>
                <w:szCs w:val="16"/>
              </w:rPr>
            </w:pPr>
            <w:r>
              <w:rPr>
                <w:sz w:val="16"/>
                <w:szCs w:val="16"/>
                <w:spacing w:val="-2"/>
              </w:rPr>
              <w:t>农业</w:t>
            </w:r>
          </w:p>
        </w:tc>
        <w:tc>
          <w:tcPr>
            <w:tcW w:w="1129" w:type="dxa"/>
            <w:vAlign w:val="top"/>
          </w:tcPr>
          <w:p>
            <w:pPr>
              <w:pStyle w:val="TableText"/>
              <w:ind w:left="490"/>
              <w:spacing w:before="135" w:line="183" w:lineRule="auto"/>
              <w:rPr>
                <w:sz w:val="16"/>
                <w:szCs w:val="16"/>
              </w:rPr>
            </w:pPr>
            <w:r>
              <w:rPr>
                <w:sz w:val="16"/>
                <w:szCs w:val="16"/>
                <w:spacing w:val="-2"/>
              </w:rPr>
              <w:t>0.38</w:t>
            </w:r>
          </w:p>
        </w:tc>
        <w:tc>
          <w:tcPr>
            <w:tcW w:w="1405" w:type="dxa"/>
            <w:vAlign w:val="top"/>
          </w:tcPr>
          <w:p>
            <w:pPr>
              <w:pStyle w:val="TableText"/>
              <w:ind w:left="510"/>
              <w:spacing w:before="135" w:line="183" w:lineRule="auto"/>
              <w:rPr>
                <w:sz w:val="16"/>
                <w:szCs w:val="16"/>
              </w:rPr>
            </w:pPr>
            <w:r>
              <w:rPr>
                <w:sz w:val="16"/>
                <w:szCs w:val="16"/>
                <w:spacing w:val="-2"/>
              </w:rPr>
              <w:t>0.35</w:t>
            </w:r>
          </w:p>
        </w:tc>
        <w:tc>
          <w:tcPr>
            <w:tcW w:w="1116" w:type="dxa"/>
            <w:vAlign w:val="top"/>
          </w:tcPr>
          <w:p>
            <w:pPr>
              <w:pStyle w:val="TableText"/>
              <w:ind w:left="336"/>
              <w:spacing w:before="135" w:line="183" w:lineRule="auto"/>
              <w:rPr>
                <w:sz w:val="16"/>
                <w:szCs w:val="16"/>
              </w:rPr>
            </w:pPr>
            <w:r>
              <w:rPr>
                <w:sz w:val="16"/>
                <w:szCs w:val="16"/>
                <w:spacing w:val="-2"/>
              </w:rPr>
              <w:t>0.25</w:t>
            </w:r>
          </w:p>
        </w:tc>
        <w:tc>
          <w:tcPr>
            <w:tcW w:w="1260" w:type="dxa"/>
            <w:vAlign w:val="top"/>
          </w:tcPr>
          <w:p>
            <w:pPr>
              <w:pStyle w:val="TableText"/>
              <w:ind w:left="470"/>
              <w:spacing w:before="125" w:line="183" w:lineRule="auto"/>
              <w:rPr>
                <w:sz w:val="16"/>
                <w:szCs w:val="16"/>
              </w:rPr>
            </w:pPr>
            <w:r>
              <w:rPr>
                <w:sz w:val="16"/>
                <w:szCs w:val="16"/>
                <w:spacing w:val="-2"/>
              </w:rPr>
              <w:t>0.33</w:t>
            </w:r>
          </w:p>
        </w:tc>
      </w:tr>
      <w:tr>
        <w:trPr>
          <w:trHeight w:val="306" w:hRule="atLeast"/>
        </w:trPr>
        <w:tc>
          <w:tcPr>
            <w:tcW w:w="1180" w:type="dxa"/>
            <w:vAlign w:val="top"/>
          </w:tcPr>
          <w:p>
            <w:pPr>
              <w:pStyle w:val="TableText"/>
              <w:ind w:left="130"/>
              <w:spacing w:before="65" w:line="219" w:lineRule="auto"/>
              <w:rPr>
                <w:sz w:val="16"/>
                <w:szCs w:val="16"/>
              </w:rPr>
            </w:pPr>
            <w:r>
              <w:rPr>
                <w:sz w:val="16"/>
                <w:szCs w:val="16"/>
                <w:spacing w:val="-2"/>
              </w:rPr>
              <w:t>采掘业</w:t>
            </w:r>
          </w:p>
        </w:tc>
        <w:tc>
          <w:tcPr>
            <w:tcW w:w="1129" w:type="dxa"/>
            <w:vAlign w:val="top"/>
          </w:tcPr>
          <w:p>
            <w:pPr>
              <w:pStyle w:val="TableText"/>
              <w:ind w:left="450"/>
              <w:spacing w:before="126" w:line="184" w:lineRule="auto"/>
              <w:rPr>
                <w:sz w:val="16"/>
                <w:szCs w:val="16"/>
              </w:rPr>
            </w:pPr>
            <w:r>
              <w:rPr>
                <w:sz w:val="16"/>
                <w:szCs w:val="16"/>
                <w:spacing w:val="-1"/>
              </w:rPr>
              <w:t>-0.01</w:t>
            </w:r>
          </w:p>
        </w:tc>
        <w:tc>
          <w:tcPr>
            <w:tcW w:w="1405" w:type="dxa"/>
            <w:vAlign w:val="top"/>
          </w:tcPr>
          <w:p>
            <w:pPr>
              <w:pStyle w:val="TableText"/>
              <w:ind w:left="510"/>
              <w:spacing w:before="126" w:line="184" w:lineRule="auto"/>
              <w:rPr>
                <w:sz w:val="16"/>
                <w:szCs w:val="16"/>
              </w:rPr>
            </w:pPr>
            <w:r>
              <w:rPr>
                <w:sz w:val="16"/>
                <w:szCs w:val="16"/>
                <w:spacing w:val="-2"/>
              </w:rPr>
              <w:t>0.14</w:t>
            </w:r>
          </w:p>
        </w:tc>
        <w:tc>
          <w:tcPr>
            <w:tcW w:w="1116" w:type="dxa"/>
            <w:vAlign w:val="top"/>
          </w:tcPr>
          <w:p>
            <w:pPr>
              <w:pStyle w:val="TableText"/>
              <w:ind w:left="336"/>
              <w:spacing w:before="126" w:line="184" w:lineRule="auto"/>
              <w:rPr>
                <w:sz w:val="16"/>
                <w:szCs w:val="16"/>
              </w:rPr>
            </w:pPr>
            <w:r>
              <w:rPr>
                <w:sz w:val="16"/>
                <w:szCs w:val="16"/>
                <w:spacing w:val="-2"/>
              </w:rPr>
              <w:t>0.10</w:t>
            </w:r>
          </w:p>
        </w:tc>
        <w:tc>
          <w:tcPr>
            <w:tcW w:w="1260" w:type="dxa"/>
            <w:vAlign w:val="top"/>
          </w:tcPr>
          <w:p>
            <w:pPr>
              <w:pStyle w:val="TableText"/>
              <w:ind w:left="470"/>
              <w:spacing w:before="127" w:line="183" w:lineRule="auto"/>
              <w:rPr>
                <w:sz w:val="16"/>
                <w:szCs w:val="16"/>
              </w:rPr>
            </w:pPr>
            <w:r>
              <w:rPr>
                <w:sz w:val="16"/>
                <w:szCs w:val="16"/>
                <w:spacing w:val="-2"/>
              </w:rPr>
              <w:t>0.07</w:t>
            </w:r>
          </w:p>
        </w:tc>
      </w:tr>
      <w:tr>
        <w:trPr>
          <w:trHeight w:val="309" w:hRule="atLeast"/>
        </w:trPr>
        <w:tc>
          <w:tcPr>
            <w:tcW w:w="1180" w:type="dxa"/>
            <w:vAlign w:val="top"/>
          </w:tcPr>
          <w:p>
            <w:pPr>
              <w:pStyle w:val="TableText"/>
              <w:ind w:left="130"/>
              <w:spacing w:before="71" w:line="220" w:lineRule="auto"/>
              <w:rPr>
                <w:sz w:val="16"/>
                <w:szCs w:val="16"/>
              </w:rPr>
            </w:pPr>
            <w:r>
              <w:rPr>
                <w:sz w:val="16"/>
                <w:szCs w:val="16"/>
                <w:spacing w:val="-2"/>
              </w:rPr>
              <w:t>建筑业</w:t>
            </w:r>
          </w:p>
        </w:tc>
        <w:tc>
          <w:tcPr>
            <w:tcW w:w="1129" w:type="dxa"/>
            <w:vAlign w:val="top"/>
          </w:tcPr>
          <w:p>
            <w:pPr>
              <w:pStyle w:val="TableText"/>
              <w:ind w:left="490"/>
              <w:spacing w:before="121" w:line="183" w:lineRule="auto"/>
              <w:rPr>
                <w:sz w:val="16"/>
                <w:szCs w:val="16"/>
              </w:rPr>
            </w:pPr>
            <w:r>
              <w:rPr>
                <w:sz w:val="16"/>
                <w:szCs w:val="16"/>
                <w:spacing w:val="-2"/>
              </w:rPr>
              <w:t>0.60</w:t>
            </w:r>
          </w:p>
        </w:tc>
        <w:tc>
          <w:tcPr>
            <w:tcW w:w="1405" w:type="dxa"/>
            <w:vAlign w:val="top"/>
          </w:tcPr>
          <w:p>
            <w:pPr>
              <w:pStyle w:val="TableText"/>
              <w:ind w:left="510"/>
              <w:spacing w:before="121" w:line="183" w:lineRule="auto"/>
              <w:rPr>
                <w:sz w:val="16"/>
                <w:szCs w:val="16"/>
              </w:rPr>
            </w:pPr>
            <w:r>
              <w:rPr>
                <w:sz w:val="16"/>
                <w:szCs w:val="16"/>
                <w:spacing w:val="-2"/>
              </w:rPr>
              <w:t>0.08</w:t>
            </w:r>
          </w:p>
        </w:tc>
        <w:tc>
          <w:tcPr>
            <w:tcW w:w="1116" w:type="dxa"/>
            <w:vAlign w:val="top"/>
          </w:tcPr>
          <w:p>
            <w:pPr>
              <w:pStyle w:val="TableText"/>
              <w:ind w:left="336"/>
              <w:spacing w:before="121" w:line="184" w:lineRule="auto"/>
              <w:rPr>
                <w:sz w:val="16"/>
                <w:szCs w:val="16"/>
              </w:rPr>
            </w:pPr>
            <w:r>
              <w:rPr>
                <w:sz w:val="16"/>
                <w:szCs w:val="16"/>
                <w:spacing w:val="-2"/>
              </w:rPr>
              <w:t>0.21</w:t>
            </w:r>
          </w:p>
        </w:tc>
        <w:tc>
          <w:tcPr>
            <w:tcW w:w="1260" w:type="dxa"/>
            <w:vAlign w:val="top"/>
          </w:tcPr>
          <w:p>
            <w:pPr>
              <w:pStyle w:val="TableText"/>
              <w:ind w:left="470"/>
              <w:spacing w:before="130" w:line="184" w:lineRule="auto"/>
              <w:rPr>
                <w:sz w:val="16"/>
                <w:szCs w:val="16"/>
              </w:rPr>
            </w:pPr>
            <w:r>
              <w:rPr>
                <w:sz w:val="16"/>
                <w:szCs w:val="16"/>
                <w:spacing w:val="-2"/>
              </w:rPr>
              <w:t>0.31</w:t>
            </w:r>
          </w:p>
        </w:tc>
      </w:tr>
      <w:tr>
        <w:trPr>
          <w:trHeight w:val="843" w:hRule="atLeast"/>
        </w:trPr>
        <w:tc>
          <w:tcPr>
            <w:tcW w:w="1180" w:type="dxa"/>
            <w:vAlign w:val="top"/>
          </w:tcPr>
          <w:p>
            <w:pPr>
              <w:pStyle w:val="TableText"/>
              <w:ind w:left="130"/>
              <w:spacing w:before="71" w:line="240" w:lineRule="exact"/>
              <w:rPr>
                <w:sz w:val="16"/>
                <w:szCs w:val="16"/>
              </w:rPr>
            </w:pPr>
            <w:r>
              <w:rPr>
                <w:sz w:val="16"/>
                <w:szCs w:val="16"/>
                <w:spacing w:val="-2"/>
                <w:position w:val="5"/>
              </w:rPr>
              <w:t>非市场</w:t>
            </w:r>
          </w:p>
          <w:p>
            <w:pPr>
              <w:pStyle w:val="TableText"/>
              <w:ind w:left="130"/>
              <w:spacing w:line="219" w:lineRule="auto"/>
              <w:rPr>
                <w:sz w:val="16"/>
                <w:szCs w:val="16"/>
              </w:rPr>
            </w:pPr>
            <w:r>
              <w:rPr>
                <w:sz w:val="16"/>
                <w:szCs w:val="16"/>
                <w:spacing w:val="-2"/>
              </w:rPr>
              <w:t>服务业</w:t>
            </w:r>
          </w:p>
        </w:tc>
        <w:tc>
          <w:tcPr>
            <w:tcW w:w="1129" w:type="dxa"/>
            <w:vAlign w:val="top"/>
          </w:tcPr>
          <w:p>
            <w:pPr>
              <w:pStyle w:val="TableText"/>
              <w:ind w:left="450"/>
              <w:spacing w:before="222" w:line="183" w:lineRule="auto"/>
              <w:rPr>
                <w:sz w:val="16"/>
                <w:szCs w:val="16"/>
              </w:rPr>
            </w:pPr>
            <w:r>
              <w:rPr>
                <w:sz w:val="16"/>
                <w:szCs w:val="16"/>
                <w:spacing w:val="-1"/>
              </w:rPr>
              <w:t>-0.98</w:t>
            </w:r>
          </w:p>
        </w:tc>
        <w:tc>
          <w:tcPr>
            <w:tcW w:w="1405" w:type="dxa"/>
            <w:vAlign w:val="top"/>
          </w:tcPr>
          <w:p>
            <w:pPr>
              <w:pStyle w:val="TableText"/>
              <w:ind w:left="471"/>
              <w:spacing w:before="222" w:line="184" w:lineRule="auto"/>
              <w:rPr>
                <w:sz w:val="16"/>
                <w:szCs w:val="16"/>
              </w:rPr>
            </w:pPr>
            <w:r>
              <w:rPr>
                <w:sz w:val="16"/>
                <w:szCs w:val="16"/>
                <w:spacing w:val="-1"/>
              </w:rPr>
              <w:t>-1.25</w:t>
            </w:r>
          </w:p>
          <w:p>
            <w:pPr>
              <w:pStyle w:val="TableText"/>
              <w:spacing w:before="227" w:line="219" w:lineRule="auto"/>
              <w:jc w:val="right"/>
              <w:rPr>
                <w:sz w:val="16"/>
                <w:szCs w:val="16"/>
              </w:rPr>
            </w:pPr>
            <w:r>
              <w:rPr>
                <w:sz w:val="16"/>
                <w:szCs w:val="16"/>
                <w:b/>
                <w:bCs/>
                <w:spacing w:val="-1"/>
              </w:rPr>
              <w:t>要素贡献(百分点)</w:t>
            </w:r>
          </w:p>
        </w:tc>
        <w:tc>
          <w:tcPr>
            <w:tcW w:w="1116" w:type="dxa"/>
            <w:vAlign w:val="top"/>
          </w:tcPr>
          <w:p>
            <w:pPr>
              <w:pStyle w:val="TableText"/>
              <w:ind w:left="296"/>
              <w:spacing w:before="222" w:line="183" w:lineRule="auto"/>
              <w:rPr>
                <w:sz w:val="16"/>
                <w:szCs w:val="16"/>
              </w:rPr>
            </w:pPr>
            <w:r>
              <w:rPr>
                <w:sz w:val="16"/>
                <w:szCs w:val="16"/>
                <w:spacing w:val="-1"/>
              </w:rPr>
              <w:t>-0.57</w:t>
            </w:r>
          </w:p>
        </w:tc>
        <w:tc>
          <w:tcPr>
            <w:tcW w:w="1260" w:type="dxa"/>
            <w:vAlign w:val="top"/>
          </w:tcPr>
          <w:p>
            <w:pPr>
              <w:pStyle w:val="TableText"/>
              <w:ind w:left="430"/>
              <w:spacing w:before="222" w:line="183" w:lineRule="auto"/>
              <w:rPr>
                <w:sz w:val="16"/>
                <w:szCs w:val="16"/>
              </w:rPr>
            </w:pPr>
            <w:r>
              <w:rPr>
                <w:sz w:val="16"/>
                <w:szCs w:val="16"/>
                <w:spacing w:val="-1"/>
              </w:rPr>
              <w:t>-0.92</w:t>
            </w:r>
          </w:p>
        </w:tc>
      </w:tr>
      <w:tr>
        <w:trPr>
          <w:trHeight w:val="316" w:hRule="atLeast"/>
        </w:trPr>
        <w:tc>
          <w:tcPr>
            <w:tcW w:w="1180" w:type="dxa"/>
            <w:vAlign w:val="top"/>
          </w:tcPr>
          <w:p>
            <w:pPr>
              <w:pStyle w:val="TableText"/>
              <w:ind w:left="130"/>
              <w:spacing w:before="87" w:line="219" w:lineRule="auto"/>
              <w:rPr>
                <w:sz w:val="16"/>
                <w:szCs w:val="16"/>
              </w:rPr>
            </w:pPr>
            <w:r>
              <w:rPr>
                <w:sz w:val="16"/>
                <w:szCs w:val="16"/>
                <w:spacing w:val="-3"/>
              </w:rPr>
              <w:t>资本投入</w:t>
            </w:r>
          </w:p>
        </w:tc>
        <w:tc>
          <w:tcPr>
            <w:tcW w:w="1129" w:type="dxa"/>
            <w:vAlign w:val="top"/>
          </w:tcPr>
          <w:p>
            <w:pPr>
              <w:pStyle w:val="TableText"/>
              <w:ind w:left="490"/>
              <w:spacing w:before="129" w:line="183" w:lineRule="auto"/>
              <w:rPr>
                <w:sz w:val="16"/>
                <w:szCs w:val="16"/>
              </w:rPr>
            </w:pPr>
            <w:r>
              <w:rPr>
                <w:sz w:val="16"/>
                <w:szCs w:val="16"/>
                <w:spacing w:val="-2"/>
              </w:rPr>
              <w:t>7.44</w:t>
            </w:r>
          </w:p>
        </w:tc>
        <w:tc>
          <w:tcPr>
            <w:tcW w:w="1405" w:type="dxa"/>
            <w:vAlign w:val="top"/>
          </w:tcPr>
          <w:p>
            <w:pPr>
              <w:pStyle w:val="TableText"/>
              <w:ind w:left="510"/>
              <w:spacing w:before="150" w:line="180" w:lineRule="auto"/>
              <w:rPr>
                <w:sz w:val="16"/>
                <w:szCs w:val="16"/>
              </w:rPr>
            </w:pPr>
            <w:r>
              <w:rPr>
                <w:sz w:val="16"/>
                <w:szCs w:val="16"/>
                <w:spacing w:val="-2"/>
              </w:rPr>
              <w:t>7.93</w:t>
            </w:r>
          </w:p>
        </w:tc>
        <w:tc>
          <w:tcPr>
            <w:tcW w:w="1116" w:type="dxa"/>
            <w:vAlign w:val="top"/>
          </w:tcPr>
          <w:p>
            <w:pPr>
              <w:pStyle w:val="TableText"/>
              <w:ind w:left="336"/>
              <w:spacing w:before="149" w:line="181" w:lineRule="auto"/>
              <w:rPr>
                <w:sz w:val="16"/>
                <w:szCs w:val="16"/>
              </w:rPr>
            </w:pPr>
            <w:r>
              <w:rPr>
                <w:sz w:val="16"/>
                <w:szCs w:val="16"/>
                <w:spacing w:val="-2"/>
              </w:rPr>
              <w:t>5.17</w:t>
            </w:r>
          </w:p>
        </w:tc>
        <w:tc>
          <w:tcPr>
            <w:tcW w:w="1260" w:type="dxa"/>
            <w:vAlign w:val="top"/>
          </w:tcPr>
          <w:p>
            <w:pPr>
              <w:pStyle w:val="TableText"/>
              <w:ind w:left="470"/>
              <w:spacing w:before="139" w:line="183" w:lineRule="auto"/>
              <w:rPr>
                <w:sz w:val="16"/>
                <w:szCs w:val="16"/>
              </w:rPr>
            </w:pPr>
            <w:r>
              <w:rPr>
                <w:sz w:val="16"/>
                <w:szCs w:val="16"/>
                <w:spacing w:val="-2"/>
              </w:rPr>
              <w:t>6.79</w:t>
            </w:r>
          </w:p>
        </w:tc>
      </w:tr>
      <w:tr>
        <w:trPr>
          <w:trHeight w:val="305" w:hRule="atLeast"/>
        </w:trPr>
        <w:tc>
          <w:tcPr>
            <w:tcW w:w="1180" w:type="dxa"/>
            <w:vAlign w:val="top"/>
          </w:tcPr>
          <w:p>
            <w:pPr>
              <w:pStyle w:val="TableText"/>
              <w:ind w:left="150"/>
              <w:spacing w:before="62" w:line="219" w:lineRule="auto"/>
              <w:rPr>
                <w:sz w:val="16"/>
                <w:szCs w:val="16"/>
              </w:rPr>
            </w:pPr>
            <w:r>
              <w:rPr>
                <w:sz w:val="16"/>
                <w:szCs w:val="16"/>
                <w:spacing w:val="1"/>
              </w:rPr>
              <w:t>·生产性建筑</w:t>
            </w:r>
          </w:p>
        </w:tc>
        <w:tc>
          <w:tcPr>
            <w:tcW w:w="1129" w:type="dxa"/>
            <w:vAlign w:val="top"/>
          </w:tcPr>
          <w:p>
            <w:pPr>
              <w:pStyle w:val="TableText"/>
              <w:ind w:left="490"/>
              <w:spacing w:before="133" w:line="184" w:lineRule="auto"/>
              <w:rPr>
                <w:sz w:val="16"/>
                <w:szCs w:val="16"/>
              </w:rPr>
            </w:pPr>
            <w:r>
              <w:rPr>
                <w:sz w:val="16"/>
                <w:szCs w:val="16"/>
                <w:spacing w:val="-4"/>
              </w:rPr>
              <w:t>1.80</w:t>
            </w:r>
          </w:p>
        </w:tc>
        <w:tc>
          <w:tcPr>
            <w:tcW w:w="1405" w:type="dxa"/>
            <w:vAlign w:val="top"/>
          </w:tcPr>
          <w:p>
            <w:pPr>
              <w:pStyle w:val="TableText"/>
              <w:ind w:left="510"/>
              <w:spacing w:before="133" w:line="183" w:lineRule="auto"/>
              <w:rPr>
                <w:sz w:val="16"/>
                <w:szCs w:val="16"/>
              </w:rPr>
            </w:pPr>
            <w:r>
              <w:rPr>
                <w:sz w:val="16"/>
                <w:szCs w:val="16"/>
                <w:spacing w:val="-2"/>
              </w:rPr>
              <w:t>2.45</w:t>
            </w:r>
          </w:p>
        </w:tc>
        <w:tc>
          <w:tcPr>
            <w:tcW w:w="1116" w:type="dxa"/>
            <w:vAlign w:val="top"/>
          </w:tcPr>
          <w:p>
            <w:pPr>
              <w:pStyle w:val="TableText"/>
              <w:ind w:left="336"/>
              <w:spacing w:before="133" w:line="183" w:lineRule="auto"/>
              <w:rPr>
                <w:sz w:val="16"/>
                <w:szCs w:val="16"/>
              </w:rPr>
            </w:pPr>
            <w:r>
              <w:rPr>
                <w:sz w:val="16"/>
                <w:szCs w:val="16"/>
                <w:spacing w:val="-2"/>
              </w:rPr>
              <w:t>2.35</w:t>
            </w:r>
          </w:p>
        </w:tc>
        <w:tc>
          <w:tcPr>
            <w:tcW w:w="1260" w:type="dxa"/>
            <w:vAlign w:val="top"/>
          </w:tcPr>
          <w:p>
            <w:pPr>
              <w:pStyle w:val="TableText"/>
              <w:ind w:left="470"/>
              <w:spacing w:before="133" w:line="184" w:lineRule="auto"/>
              <w:rPr>
                <w:sz w:val="16"/>
                <w:szCs w:val="16"/>
              </w:rPr>
            </w:pPr>
            <w:r>
              <w:rPr>
                <w:sz w:val="16"/>
                <w:szCs w:val="16"/>
                <w:spacing w:val="-2"/>
              </w:rPr>
              <w:t>2.18</w:t>
            </w:r>
          </w:p>
        </w:tc>
      </w:tr>
      <w:tr>
        <w:trPr>
          <w:trHeight w:val="300" w:hRule="atLeast"/>
        </w:trPr>
        <w:tc>
          <w:tcPr>
            <w:tcW w:w="1180" w:type="dxa"/>
            <w:vAlign w:val="top"/>
          </w:tcPr>
          <w:p>
            <w:pPr>
              <w:pStyle w:val="TableText"/>
              <w:ind w:left="130"/>
              <w:spacing w:before="68" w:line="221" w:lineRule="auto"/>
              <w:rPr>
                <w:sz w:val="16"/>
                <w:szCs w:val="16"/>
              </w:rPr>
            </w:pPr>
            <w:r>
              <w:rPr>
                <w:sz w:val="16"/>
                <w:szCs w:val="16"/>
                <w:spacing w:val="-5"/>
              </w:rPr>
              <w:t>·</w:t>
            </w:r>
            <w:r>
              <w:rPr>
                <w:sz w:val="16"/>
                <w:szCs w:val="16"/>
                <w:spacing w:val="-48"/>
              </w:rPr>
              <w:t xml:space="preserve"> </w:t>
            </w:r>
            <w:r>
              <w:rPr>
                <w:sz w:val="16"/>
                <w:szCs w:val="16"/>
                <w:spacing w:val="-5"/>
              </w:rPr>
              <w:t>IT设备</w:t>
            </w:r>
          </w:p>
        </w:tc>
        <w:tc>
          <w:tcPr>
            <w:tcW w:w="1129" w:type="dxa"/>
            <w:vAlign w:val="top"/>
          </w:tcPr>
          <w:p>
            <w:pPr>
              <w:pStyle w:val="TableText"/>
              <w:ind w:left="490"/>
              <w:spacing w:before="108" w:line="183" w:lineRule="auto"/>
              <w:rPr>
                <w:sz w:val="16"/>
                <w:szCs w:val="16"/>
              </w:rPr>
            </w:pPr>
            <w:r>
              <w:rPr>
                <w:sz w:val="16"/>
                <w:szCs w:val="16"/>
                <w:spacing w:val="-2"/>
              </w:rPr>
              <w:t>0.34</w:t>
            </w:r>
          </w:p>
        </w:tc>
        <w:tc>
          <w:tcPr>
            <w:tcW w:w="1405" w:type="dxa"/>
            <w:vAlign w:val="top"/>
          </w:tcPr>
          <w:p>
            <w:pPr>
              <w:pStyle w:val="TableText"/>
              <w:ind w:left="510"/>
              <w:spacing w:before="108" w:line="184" w:lineRule="auto"/>
              <w:rPr>
                <w:sz w:val="16"/>
                <w:szCs w:val="16"/>
              </w:rPr>
            </w:pPr>
            <w:r>
              <w:rPr>
                <w:sz w:val="16"/>
                <w:szCs w:val="16"/>
                <w:spacing w:val="-2"/>
              </w:rPr>
              <w:t>0.17</w:t>
            </w:r>
          </w:p>
        </w:tc>
        <w:tc>
          <w:tcPr>
            <w:tcW w:w="1116" w:type="dxa"/>
            <w:vAlign w:val="top"/>
          </w:tcPr>
          <w:p>
            <w:pPr>
              <w:pStyle w:val="TableText"/>
              <w:ind w:left="336"/>
              <w:spacing w:before="108" w:line="183" w:lineRule="auto"/>
              <w:rPr>
                <w:sz w:val="16"/>
                <w:szCs w:val="16"/>
              </w:rPr>
            </w:pPr>
            <w:r>
              <w:rPr>
                <w:sz w:val="16"/>
                <w:szCs w:val="16"/>
                <w:spacing w:val="-2"/>
              </w:rPr>
              <w:t>0.00</w:t>
            </w:r>
          </w:p>
        </w:tc>
        <w:tc>
          <w:tcPr>
            <w:tcW w:w="1260" w:type="dxa"/>
            <w:vAlign w:val="top"/>
          </w:tcPr>
          <w:p>
            <w:pPr>
              <w:pStyle w:val="TableText"/>
              <w:ind w:left="470"/>
              <w:spacing w:before="108" w:line="184" w:lineRule="auto"/>
              <w:rPr>
                <w:sz w:val="16"/>
                <w:szCs w:val="16"/>
              </w:rPr>
            </w:pPr>
            <w:r>
              <w:rPr>
                <w:sz w:val="16"/>
                <w:szCs w:val="16"/>
                <w:spacing w:val="-2"/>
              </w:rPr>
              <w:t>0.17</w:t>
            </w:r>
          </w:p>
        </w:tc>
      </w:tr>
      <w:tr>
        <w:trPr>
          <w:trHeight w:val="314" w:hRule="atLeast"/>
        </w:trPr>
        <w:tc>
          <w:tcPr>
            <w:tcW w:w="1180" w:type="dxa"/>
            <w:vAlign w:val="top"/>
          </w:tcPr>
          <w:p>
            <w:pPr>
              <w:pStyle w:val="TableText"/>
              <w:ind w:left="130"/>
              <w:spacing w:before="88" w:line="221" w:lineRule="auto"/>
              <w:rPr>
                <w:sz w:val="16"/>
                <w:szCs w:val="16"/>
              </w:rPr>
            </w:pPr>
            <w:r>
              <w:rPr>
                <w:sz w:val="16"/>
                <w:szCs w:val="16"/>
                <w:spacing w:val="-3"/>
              </w:rPr>
              <w:t>·</w:t>
            </w:r>
            <w:r>
              <w:rPr>
                <w:sz w:val="16"/>
                <w:szCs w:val="16"/>
                <w:spacing w:val="-58"/>
              </w:rPr>
              <w:t xml:space="preserve"> </w:t>
            </w:r>
            <w:r>
              <w:rPr>
                <w:sz w:val="16"/>
                <w:szCs w:val="16"/>
                <w:spacing w:val="-3"/>
              </w:rPr>
              <w:t>CT设备</w:t>
            </w:r>
          </w:p>
        </w:tc>
        <w:tc>
          <w:tcPr>
            <w:tcW w:w="1129" w:type="dxa"/>
            <w:vAlign w:val="top"/>
          </w:tcPr>
          <w:p>
            <w:pPr>
              <w:pStyle w:val="TableText"/>
              <w:ind w:left="490"/>
              <w:spacing w:before="128" w:line="183" w:lineRule="auto"/>
              <w:rPr>
                <w:sz w:val="16"/>
                <w:szCs w:val="16"/>
              </w:rPr>
            </w:pPr>
            <w:r>
              <w:rPr>
                <w:sz w:val="16"/>
                <w:szCs w:val="16"/>
                <w:spacing w:val="-2"/>
              </w:rPr>
              <w:t>0.36</w:t>
            </w:r>
          </w:p>
        </w:tc>
        <w:tc>
          <w:tcPr>
            <w:tcW w:w="1405" w:type="dxa"/>
            <w:vAlign w:val="top"/>
          </w:tcPr>
          <w:p>
            <w:pPr>
              <w:pStyle w:val="TableText"/>
              <w:ind w:left="510"/>
              <w:spacing w:before="128" w:line="184" w:lineRule="auto"/>
              <w:rPr>
                <w:sz w:val="16"/>
                <w:szCs w:val="16"/>
              </w:rPr>
            </w:pPr>
            <w:r>
              <w:rPr>
                <w:sz w:val="16"/>
                <w:szCs w:val="16"/>
                <w:spacing w:val="-2"/>
              </w:rPr>
              <w:t>0.16</w:t>
            </w:r>
          </w:p>
        </w:tc>
        <w:tc>
          <w:tcPr>
            <w:tcW w:w="1116" w:type="dxa"/>
            <w:vAlign w:val="top"/>
          </w:tcPr>
          <w:p>
            <w:pPr>
              <w:pStyle w:val="TableText"/>
              <w:ind w:left="336"/>
              <w:spacing w:before="128" w:line="184" w:lineRule="auto"/>
              <w:rPr>
                <w:sz w:val="16"/>
                <w:szCs w:val="16"/>
              </w:rPr>
            </w:pPr>
            <w:r>
              <w:rPr>
                <w:sz w:val="16"/>
                <w:szCs w:val="16"/>
                <w:spacing w:val="-2"/>
              </w:rPr>
              <w:t>0.15</w:t>
            </w:r>
          </w:p>
        </w:tc>
        <w:tc>
          <w:tcPr>
            <w:tcW w:w="1260" w:type="dxa"/>
            <w:vAlign w:val="top"/>
          </w:tcPr>
          <w:p>
            <w:pPr>
              <w:pStyle w:val="TableText"/>
              <w:ind w:left="470"/>
              <w:spacing w:before="148" w:line="179" w:lineRule="auto"/>
              <w:rPr>
                <w:sz w:val="16"/>
                <w:szCs w:val="16"/>
              </w:rPr>
            </w:pPr>
            <w:r>
              <w:rPr>
                <w:sz w:val="16"/>
                <w:szCs w:val="16"/>
                <w:spacing w:val="-2"/>
              </w:rPr>
              <w:t>0.22</w:t>
            </w:r>
          </w:p>
        </w:tc>
      </w:tr>
      <w:tr>
        <w:trPr>
          <w:trHeight w:val="305" w:hRule="atLeast"/>
        </w:trPr>
        <w:tc>
          <w:tcPr>
            <w:tcW w:w="1180" w:type="dxa"/>
            <w:vAlign w:val="top"/>
          </w:tcPr>
          <w:p>
            <w:pPr>
              <w:pStyle w:val="TableText"/>
              <w:ind w:left="140"/>
              <w:spacing w:before="64" w:line="220" w:lineRule="auto"/>
              <w:rPr>
                <w:sz w:val="16"/>
                <w:szCs w:val="16"/>
              </w:rPr>
            </w:pPr>
            <w:r>
              <w:rPr>
                <w:sz w:val="16"/>
                <w:szCs w:val="16"/>
                <w:spacing w:val="1"/>
              </w:rPr>
              <w:t>·非</w:t>
            </w:r>
            <w:r>
              <w:rPr>
                <w:sz w:val="16"/>
                <w:szCs w:val="16"/>
              </w:rPr>
              <w:t>ICT</w:t>
            </w:r>
            <w:r>
              <w:rPr>
                <w:sz w:val="16"/>
                <w:szCs w:val="16"/>
                <w:spacing w:val="1"/>
              </w:rPr>
              <w:t>设备</w:t>
            </w:r>
          </w:p>
        </w:tc>
        <w:tc>
          <w:tcPr>
            <w:tcW w:w="1129" w:type="dxa"/>
            <w:vAlign w:val="top"/>
          </w:tcPr>
          <w:p>
            <w:pPr>
              <w:pStyle w:val="TableText"/>
              <w:ind w:left="490"/>
              <w:spacing w:before="114" w:line="183" w:lineRule="auto"/>
              <w:rPr>
                <w:sz w:val="16"/>
                <w:szCs w:val="16"/>
              </w:rPr>
            </w:pPr>
            <w:r>
              <w:rPr>
                <w:sz w:val="16"/>
                <w:szCs w:val="16"/>
                <w:spacing w:val="-2"/>
              </w:rPr>
              <w:t>4.05</w:t>
            </w:r>
          </w:p>
        </w:tc>
        <w:tc>
          <w:tcPr>
            <w:tcW w:w="1405" w:type="dxa"/>
            <w:vAlign w:val="top"/>
          </w:tcPr>
          <w:p>
            <w:pPr>
              <w:pStyle w:val="TableText"/>
              <w:ind w:left="510"/>
              <w:spacing w:before="114" w:line="183" w:lineRule="auto"/>
              <w:rPr>
                <w:sz w:val="16"/>
                <w:szCs w:val="16"/>
              </w:rPr>
            </w:pPr>
            <w:r>
              <w:rPr>
                <w:sz w:val="16"/>
                <w:szCs w:val="16"/>
                <w:spacing w:val="-2"/>
              </w:rPr>
              <w:t>4.25</w:t>
            </w:r>
          </w:p>
        </w:tc>
        <w:tc>
          <w:tcPr>
            <w:tcW w:w="1116" w:type="dxa"/>
            <w:vAlign w:val="top"/>
          </w:tcPr>
          <w:p>
            <w:pPr>
              <w:pStyle w:val="TableText"/>
              <w:ind w:left="336"/>
              <w:spacing w:before="134" w:line="184" w:lineRule="auto"/>
              <w:rPr>
                <w:sz w:val="16"/>
                <w:szCs w:val="16"/>
              </w:rPr>
            </w:pPr>
            <w:r>
              <w:rPr>
                <w:sz w:val="16"/>
                <w:szCs w:val="16"/>
                <w:spacing w:val="-2"/>
              </w:rPr>
              <w:t>2.14</w:t>
            </w:r>
          </w:p>
        </w:tc>
        <w:tc>
          <w:tcPr>
            <w:tcW w:w="1260" w:type="dxa"/>
            <w:vAlign w:val="top"/>
          </w:tcPr>
          <w:p>
            <w:pPr>
              <w:pStyle w:val="TableText"/>
              <w:ind w:left="470"/>
              <w:spacing w:before="134" w:line="183" w:lineRule="auto"/>
              <w:rPr>
                <w:sz w:val="16"/>
                <w:szCs w:val="16"/>
              </w:rPr>
            </w:pPr>
            <w:r>
              <w:rPr>
                <w:sz w:val="16"/>
                <w:szCs w:val="16"/>
                <w:spacing w:val="-2"/>
              </w:rPr>
              <w:t>3.43</w:t>
            </w:r>
          </w:p>
        </w:tc>
      </w:tr>
      <w:tr>
        <w:trPr>
          <w:trHeight w:val="299" w:hRule="atLeast"/>
        </w:trPr>
        <w:tc>
          <w:tcPr>
            <w:tcW w:w="1180" w:type="dxa"/>
            <w:vAlign w:val="top"/>
          </w:tcPr>
          <w:p>
            <w:pPr>
              <w:pStyle w:val="TableText"/>
              <w:ind w:left="130"/>
              <w:spacing w:before="69" w:line="221" w:lineRule="auto"/>
              <w:rPr>
                <w:sz w:val="16"/>
                <w:szCs w:val="16"/>
              </w:rPr>
            </w:pPr>
            <w:r>
              <w:rPr>
                <w:sz w:val="16"/>
                <w:szCs w:val="16"/>
                <w:spacing w:val="-11"/>
              </w:rPr>
              <w:t>·</w:t>
            </w:r>
            <w:r>
              <w:rPr>
                <w:sz w:val="16"/>
                <w:szCs w:val="16"/>
                <w:spacing w:val="-39"/>
              </w:rPr>
              <w:t xml:space="preserve"> </w:t>
            </w:r>
            <w:r>
              <w:rPr>
                <w:sz w:val="16"/>
                <w:szCs w:val="16"/>
                <w:spacing w:val="-11"/>
              </w:rPr>
              <w:t>住宅</w:t>
            </w:r>
          </w:p>
        </w:tc>
        <w:tc>
          <w:tcPr>
            <w:tcW w:w="1129" w:type="dxa"/>
            <w:vAlign w:val="top"/>
          </w:tcPr>
          <w:p>
            <w:pPr>
              <w:pStyle w:val="TableText"/>
              <w:ind w:left="490"/>
              <w:spacing w:before="109" w:line="183" w:lineRule="auto"/>
              <w:rPr>
                <w:sz w:val="16"/>
                <w:szCs w:val="16"/>
              </w:rPr>
            </w:pPr>
            <w:r>
              <w:rPr>
                <w:sz w:val="16"/>
                <w:szCs w:val="16"/>
                <w:spacing w:val="-2"/>
              </w:rPr>
              <w:t>0.89</w:t>
            </w:r>
          </w:p>
        </w:tc>
        <w:tc>
          <w:tcPr>
            <w:tcW w:w="1405" w:type="dxa"/>
            <w:vAlign w:val="top"/>
          </w:tcPr>
          <w:p>
            <w:pPr>
              <w:pStyle w:val="TableText"/>
              <w:ind w:left="510"/>
              <w:spacing w:before="109" w:line="184" w:lineRule="auto"/>
              <w:rPr>
                <w:sz w:val="16"/>
                <w:szCs w:val="16"/>
              </w:rPr>
            </w:pPr>
            <w:r>
              <w:rPr>
                <w:sz w:val="16"/>
                <w:szCs w:val="16"/>
                <w:spacing w:val="-2"/>
              </w:rPr>
              <w:t>0.91</w:t>
            </w:r>
          </w:p>
        </w:tc>
        <w:tc>
          <w:tcPr>
            <w:tcW w:w="1116" w:type="dxa"/>
            <w:vAlign w:val="top"/>
          </w:tcPr>
          <w:p>
            <w:pPr>
              <w:pStyle w:val="TableText"/>
              <w:ind w:left="336"/>
              <w:spacing w:before="129" w:line="183" w:lineRule="auto"/>
              <w:rPr>
                <w:sz w:val="16"/>
                <w:szCs w:val="16"/>
              </w:rPr>
            </w:pPr>
            <w:r>
              <w:rPr>
                <w:sz w:val="16"/>
                <w:szCs w:val="16"/>
                <w:spacing w:val="-2"/>
              </w:rPr>
              <w:t>0.53</w:t>
            </w:r>
          </w:p>
        </w:tc>
        <w:tc>
          <w:tcPr>
            <w:tcW w:w="1260" w:type="dxa"/>
            <w:vAlign w:val="top"/>
          </w:tcPr>
          <w:p>
            <w:pPr>
              <w:pStyle w:val="TableText"/>
              <w:ind w:left="470"/>
              <w:spacing w:before="119" w:line="183" w:lineRule="auto"/>
              <w:rPr>
                <w:sz w:val="16"/>
                <w:szCs w:val="16"/>
              </w:rPr>
            </w:pPr>
            <w:r>
              <w:rPr>
                <w:sz w:val="16"/>
                <w:szCs w:val="16"/>
                <w:spacing w:val="-2"/>
              </w:rPr>
              <w:t>0.77</w:t>
            </w:r>
          </w:p>
        </w:tc>
      </w:tr>
      <w:tr>
        <w:trPr>
          <w:trHeight w:val="300" w:hRule="atLeast"/>
        </w:trPr>
        <w:tc>
          <w:tcPr>
            <w:tcW w:w="1180" w:type="dxa"/>
            <w:vAlign w:val="top"/>
          </w:tcPr>
          <w:p>
            <w:pPr>
              <w:pStyle w:val="TableText"/>
              <w:ind w:left="130"/>
              <w:spacing w:before="69" w:line="219" w:lineRule="auto"/>
              <w:rPr>
                <w:sz w:val="16"/>
                <w:szCs w:val="16"/>
              </w:rPr>
            </w:pPr>
            <w:r>
              <w:rPr>
                <w:sz w:val="16"/>
                <w:szCs w:val="16"/>
                <w:spacing w:val="-2"/>
              </w:rPr>
              <w:t>劳动投入</w:t>
            </w:r>
          </w:p>
        </w:tc>
        <w:tc>
          <w:tcPr>
            <w:tcW w:w="1129" w:type="dxa"/>
            <w:vAlign w:val="top"/>
          </w:tcPr>
          <w:p>
            <w:pPr>
              <w:pStyle w:val="TableText"/>
              <w:ind w:left="490"/>
              <w:spacing w:before="130" w:line="184" w:lineRule="auto"/>
              <w:rPr>
                <w:sz w:val="16"/>
                <w:szCs w:val="16"/>
              </w:rPr>
            </w:pPr>
            <w:r>
              <w:rPr>
                <w:sz w:val="16"/>
                <w:szCs w:val="16"/>
                <w:spacing w:val="-4"/>
              </w:rPr>
              <w:t>1.31</w:t>
            </w:r>
          </w:p>
        </w:tc>
        <w:tc>
          <w:tcPr>
            <w:tcW w:w="1405" w:type="dxa"/>
            <w:vAlign w:val="top"/>
          </w:tcPr>
          <w:p>
            <w:pPr>
              <w:pStyle w:val="TableText"/>
              <w:ind w:left="510"/>
              <w:spacing w:before="130" w:line="183" w:lineRule="auto"/>
              <w:rPr>
                <w:sz w:val="16"/>
                <w:szCs w:val="16"/>
              </w:rPr>
            </w:pPr>
            <w:r>
              <w:rPr>
                <w:sz w:val="16"/>
                <w:szCs w:val="16"/>
                <w:spacing w:val="-2"/>
              </w:rPr>
              <w:t>0.49</w:t>
            </w:r>
          </w:p>
        </w:tc>
        <w:tc>
          <w:tcPr>
            <w:tcW w:w="1116" w:type="dxa"/>
            <w:vAlign w:val="top"/>
          </w:tcPr>
          <w:p>
            <w:pPr>
              <w:pStyle w:val="TableText"/>
              <w:ind w:left="336"/>
              <w:spacing w:before="130" w:line="183" w:lineRule="auto"/>
              <w:rPr>
                <w:sz w:val="16"/>
                <w:szCs w:val="16"/>
              </w:rPr>
            </w:pPr>
            <w:r>
              <w:rPr>
                <w:sz w:val="16"/>
                <w:szCs w:val="16"/>
                <w:spacing w:val="-2"/>
              </w:rPr>
              <w:t>0.29</w:t>
            </w:r>
          </w:p>
        </w:tc>
        <w:tc>
          <w:tcPr>
            <w:tcW w:w="1260" w:type="dxa"/>
            <w:vAlign w:val="top"/>
          </w:tcPr>
          <w:p>
            <w:pPr>
              <w:pStyle w:val="TableText"/>
              <w:ind w:left="470"/>
              <w:spacing w:before="130" w:line="184" w:lineRule="auto"/>
              <w:rPr>
                <w:sz w:val="16"/>
                <w:szCs w:val="16"/>
              </w:rPr>
            </w:pPr>
            <w:r>
              <w:rPr>
                <w:sz w:val="16"/>
                <w:szCs w:val="16"/>
                <w:spacing w:val="-2"/>
              </w:rPr>
              <w:t>0.71</w:t>
            </w:r>
          </w:p>
        </w:tc>
      </w:tr>
      <w:tr>
        <w:trPr>
          <w:trHeight w:val="299" w:hRule="atLeast"/>
        </w:trPr>
        <w:tc>
          <w:tcPr>
            <w:tcW w:w="1180" w:type="dxa"/>
            <w:vAlign w:val="top"/>
          </w:tcPr>
          <w:p>
            <w:pPr>
              <w:pStyle w:val="TableText"/>
              <w:ind w:left="130"/>
              <w:spacing w:before="70" w:line="221" w:lineRule="auto"/>
              <w:rPr>
                <w:sz w:val="16"/>
                <w:szCs w:val="16"/>
              </w:rPr>
            </w:pPr>
            <w:r>
              <w:rPr>
                <w:sz w:val="16"/>
                <w:szCs w:val="16"/>
                <w:spacing w:val="-6"/>
              </w:rPr>
              <w:t>·</w:t>
            </w:r>
            <w:r>
              <w:rPr>
                <w:sz w:val="16"/>
                <w:szCs w:val="16"/>
                <w:spacing w:val="-49"/>
              </w:rPr>
              <w:t xml:space="preserve"> </w:t>
            </w:r>
            <w:r>
              <w:rPr>
                <w:sz w:val="16"/>
                <w:szCs w:val="16"/>
                <w:spacing w:val="-6"/>
              </w:rPr>
              <w:t>低技能</w:t>
            </w:r>
          </w:p>
        </w:tc>
        <w:tc>
          <w:tcPr>
            <w:tcW w:w="1129" w:type="dxa"/>
            <w:vAlign w:val="top"/>
          </w:tcPr>
          <w:p>
            <w:pPr>
              <w:pStyle w:val="TableText"/>
              <w:ind w:left="490"/>
              <w:spacing w:before="120" w:line="183" w:lineRule="auto"/>
              <w:rPr>
                <w:sz w:val="16"/>
                <w:szCs w:val="16"/>
              </w:rPr>
            </w:pPr>
            <w:r>
              <w:rPr>
                <w:sz w:val="16"/>
                <w:szCs w:val="16"/>
                <w:spacing w:val="-2"/>
              </w:rPr>
              <w:t>0.45</w:t>
            </w:r>
          </w:p>
        </w:tc>
        <w:tc>
          <w:tcPr>
            <w:tcW w:w="1405" w:type="dxa"/>
            <w:vAlign w:val="top"/>
          </w:tcPr>
          <w:p>
            <w:pPr>
              <w:pStyle w:val="TableText"/>
              <w:ind w:left="510"/>
              <w:spacing w:before="120" w:line="183" w:lineRule="auto"/>
              <w:rPr>
                <w:sz w:val="16"/>
                <w:szCs w:val="16"/>
              </w:rPr>
            </w:pPr>
            <w:r>
              <w:rPr>
                <w:sz w:val="16"/>
                <w:szCs w:val="16"/>
                <w:spacing w:val="-1"/>
              </w:rPr>
              <w:t>-0.9</w:t>
            </w:r>
          </w:p>
        </w:tc>
        <w:tc>
          <w:tcPr>
            <w:tcW w:w="1116" w:type="dxa"/>
            <w:vAlign w:val="top"/>
          </w:tcPr>
          <w:p>
            <w:pPr>
              <w:pStyle w:val="TableText"/>
              <w:ind w:left="296"/>
              <w:spacing w:before="131" w:line="182" w:lineRule="auto"/>
              <w:rPr>
                <w:sz w:val="16"/>
                <w:szCs w:val="16"/>
              </w:rPr>
            </w:pPr>
            <w:r>
              <w:rPr>
                <w:sz w:val="16"/>
                <w:szCs w:val="16"/>
                <w:spacing w:val="-1"/>
              </w:rPr>
              <w:t>-0.56</w:t>
            </w:r>
          </w:p>
        </w:tc>
        <w:tc>
          <w:tcPr>
            <w:tcW w:w="1260" w:type="dxa"/>
            <w:vAlign w:val="top"/>
          </w:tcPr>
          <w:p>
            <w:pPr>
              <w:pStyle w:val="TableText"/>
              <w:ind w:left="430"/>
              <w:spacing w:before="131" w:line="182" w:lineRule="auto"/>
              <w:rPr>
                <w:sz w:val="16"/>
                <w:szCs w:val="16"/>
              </w:rPr>
            </w:pPr>
            <w:r>
              <w:rPr>
                <w:sz w:val="16"/>
                <w:szCs w:val="16"/>
                <w:spacing w:val="-1"/>
              </w:rPr>
              <w:t>-0.30</w:t>
            </w:r>
          </w:p>
        </w:tc>
      </w:tr>
      <w:tr>
        <w:trPr>
          <w:trHeight w:val="314" w:hRule="atLeast"/>
        </w:trPr>
        <w:tc>
          <w:tcPr>
            <w:tcW w:w="1180" w:type="dxa"/>
            <w:vAlign w:val="top"/>
          </w:tcPr>
          <w:p>
            <w:pPr>
              <w:pStyle w:val="TableText"/>
              <w:ind w:left="130"/>
              <w:spacing w:before="71" w:line="220" w:lineRule="auto"/>
              <w:rPr>
                <w:sz w:val="16"/>
                <w:szCs w:val="16"/>
              </w:rPr>
            </w:pPr>
            <w:r>
              <w:rPr>
                <w:sz w:val="16"/>
                <w:szCs w:val="16"/>
                <w:spacing w:val="-10"/>
              </w:rPr>
              <w:t>·</w:t>
            </w:r>
            <w:r>
              <w:rPr>
                <w:sz w:val="16"/>
                <w:szCs w:val="16"/>
                <w:spacing w:val="-33"/>
              </w:rPr>
              <w:t xml:space="preserve"> </w:t>
            </w:r>
            <w:r>
              <w:rPr>
                <w:sz w:val="16"/>
                <w:szCs w:val="16"/>
                <w:spacing w:val="-10"/>
              </w:rPr>
              <w:t>中技能</w:t>
            </w:r>
          </w:p>
        </w:tc>
        <w:tc>
          <w:tcPr>
            <w:tcW w:w="1129" w:type="dxa"/>
            <w:vAlign w:val="top"/>
          </w:tcPr>
          <w:p>
            <w:pPr>
              <w:pStyle w:val="TableText"/>
              <w:ind w:left="490"/>
              <w:spacing w:before="131" w:line="183" w:lineRule="auto"/>
              <w:rPr>
                <w:sz w:val="16"/>
                <w:szCs w:val="16"/>
              </w:rPr>
            </w:pPr>
            <w:r>
              <w:rPr>
                <w:sz w:val="16"/>
                <w:szCs w:val="16"/>
                <w:spacing w:val="-2"/>
              </w:rPr>
              <w:t>0.68</w:t>
            </w:r>
          </w:p>
        </w:tc>
        <w:tc>
          <w:tcPr>
            <w:tcW w:w="1405" w:type="dxa"/>
            <w:vAlign w:val="top"/>
          </w:tcPr>
          <w:p>
            <w:pPr>
              <w:pStyle w:val="TableText"/>
              <w:ind w:left="471"/>
              <w:spacing w:before="131" w:line="183" w:lineRule="auto"/>
              <w:rPr>
                <w:sz w:val="16"/>
                <w:szCs w:val="16"/>
              </w:rPr>
            </w:pPr>
            <w:r>
              <w:rPr>
                <w:sz w:val="16"/>
                <w:szCs w:val="16"/>
                <w:spacing w:val="-1"/>
              </w:rPr>
              <w:t>-0.46</w:t>
            </w:r>
          </w:p>
        </w:tc>
        <w:tc>
          <w:tcPr>
            <w:tcW w:w="1116" w:type="dxa"/>
            <w:vAlign w:val="top"/>
          </w:tcPr>
          <w:p>
            <w:pPr>
              <w:pStyle w:val="TableText"/>
              <w:ind w:left="336"/>
              <w:spacing w:before="141" w:line="184" w:lineRule="auto"/>
              <w:rPr>
                <w:sz w:val="16"/>
                <w:szCs w:val="16"/>
              </w:rPr>
            </w:pPr>
            <w:r>
              <w:rPr>
                <w:sz w:val="16"/>
                <w:szCs w:val="16"/>
                <w:spacing w:val="-2"/>
              </w:rPr>
              <w:t>0.21</w:t>
            </w:r>
          </w:p>
        </w:tc>
        <w:tc>
          <w:tcPr>
            <w:tcW w:w="1260" w:type="dxa"/>
            <w:vAlign w:val="top"/>
          </w:tcPr>
          <w:p>
            <w:pPr>
              <w:pStyle w:val="TableText"/>
              <w:ind w:left="470"/>
              <w:spacing w:before="151" w:line="176" w:lineRule="auto"/>
              <w:rPr>
                <w:sz w:val="16"/>
                <w:szCs w:val="16"/>
              </w:rPr>
            </w:pPr>
            <w:r>
              <w:rPr>
                <w:sz w:val="16"/>
                <w:szCs w:val="16"/>
                <w:spacing w:val="-2"/>
              </w:rPr>
              <w:t>0.17</w:t>
            </w:r>
          </w:p>
        </w:tc>
      </w:tr>
      <w:tr>
        <w:trPr>
          <w:trHeight w:val="319" w:hRule="atLeast"/>
        </w:trPr>
        <w:tc>
          <w:tcPr>
            <w:tcW w:w="1180" w:type="dxa"/>
            <w:vAlign w:val="top"/>
          </w:tcPr>
          <w:p>
            <w:pPr>
              <w:pStyle w:val="TableText"/>
              <w:ind w:left="130"/>
              <w:spacing w:before="66" w:line="219" w:lineRule="auto"/>
              <w:rPr>
                <w:sz w:val="16"/>
                <w:szCs w:val="16"/>
              </w:rPr>
            </w:pPr>
            <w:r>
              <w:rPr>
                <w:sz w:val="16"/>
                <w:szCs w:val="16"/>
                <w:spacing w:val="-7"/>
              </w:rPr>
              <w:t>·</w:t>
            </w:r>
            <w:r>
              <w:rPr>
                <w:sz w:val="16"/>
                <w:szCs w:val="16"/>
                <w:spacing w:val="-45"/>
              </w:rPr>
              <w:t xml:space="preserve"> </w:t>
            </w:r>
            <w:r>
              <w:rPr>
                <w:sz w:val="16"/>
                <w:szCs w:val="16"/>
                <w:spacing w:val="-7"/>
              </w:rPr>
              <w:t>高技能</w:t>
            </w:r>
          </w:p>
        </w:tc>
        <w:tc>
          <w:tcPr>
            <w:tcW w:w="1129" w:type="dxa"/>
            <w:vAlign w:val="top"/>
          </w:tcPr>
          <w:p>
            <w:pPr>
              <w:pStyle w:val="TableText"/>
              <w:ind w:left="490"/>
              <w:spacing w:before="117" w:line="184" w:lineRule="auto"/>
              <w:rPr>
                <w:sz w:val="16"/>
                <w:szCs w:val="16"/>
              </w:rPr>
            </w:pPr>
            <w:r>
              <w:rPr>
                <w:sz w:val="16"/>
                <w:szCs w:val="16"/>
                <w:spacing w:val="-2"/>
              </w:rPr>
              <w:t>0.19</w:t>
            </w:r>
          </w:p>
        </w:tc>
        <w:tc>
          <w:tcPr>
            <w:tcW w:w="1405" w:type="dxa"/>
            <w:vAlign w:val="top"/>
          </w:tcPr>
          <w:p>
            <w:pPr>
              <w:pStyle w:val="TableText"/>
              <w:ind w:left="510"/>
              <w:spacing w:before="117" w:line="184" w:lineRule="auto"/>
              <w:rPr>
                <w:sz w:val="16"/>
                <w:szCs w:val="16"/>
              </w:rPr>
            </w:pPr>
            <w:r>
              <w:rPr>
                <w:sz w:val="16"/>
                <w:szCs w:val="16"/>
                <w:spacing w:val="-4"/>
              </w:rPr>
              <w:t>1.86</w:t>
            </w:r>
          </w:p>
        </w:tc>
        <w:tc>
          <w:tcPr>
            <w:tcW w:w="1116" w:type="dxa"/>
            <w:vAlign w:val="top"/>
          </w:tcPr>
          <w:p>
            <w:pPr>
              <w:pStyle w:val="TableText"/>
              <w:ind w:left="336"/>
              <w:spacing w:before="137" w:line="183" w:lineRule="auto"/>
              <w:rPr>
                <w:sz w:val="16"/>
                <w:szCs w:val="16"/>
              </w:rPr>
            </w:pPr>
            <w:r>
              <w:rPr>
                <w:sz w:val="16"/>
                <w:szCs w:val="16"/>
                <w:spacing w:val="-2"/>
              </w:rPr>
              <w:t>0.65</w:t>
            </w:r>
          </w:p>
        </w:tc>
        <w:tc>
          <w:tcPr>
            <w:tcW w:w="1260" w:type="dxa"/>
            <w:vAlign w:val="top"/>
          </w:tcPr>
          <w:p>
            <w:pPr>
              <w:pStyle w:val="TableText"/>
              <w:ind w:left="470"/>
              <w:spacing w:before="137" w:line="183" w:lineRule="auto"/>
              <w:rPr>
                <w:sz w:val="16"/>
                <w:szCs w:val="16"/>
              </w:rPr>
            </w:pPr>
            <w:r>
              <w:rPr>
                <w:sz w:val="16"/>
                <w:szCs w:val="16"/>
                <w:spacing w:val="-2"/>
              </w:rPr>
              <w:t>0.84</w:t>
            </w:r>
          </w:p>
        </w:tc>
      </w:tr>
      <w:tr>
        <w:trPr>
          <w:trHeight w:val="276" w:hRule="atLeast"/>
        </w:trPr>
        <w:tc>
          <w:tcPr>
            <w:tcW w:w="1180" w:type="dxa"/>
            <w:vAlign w:val="top"/>
            <w:tcBorders>
              <w:bottom w:val="single" w:color="000000" w:sz="4" w:space="0"/>
            </w:tcBorders>
          </w:tcPr>
          <w:p>
            <w:pPr>
              <w:pStyle w:val="TableText"/>
              <w:ind w:left="130"/>
              <w:spacing w:before="89" w:line="182" w:lineRule="auto"/>
              <w:rPr>
                <w:sz w:val="16"/>
                <w:szCs w:val="16"/>
              </w:rPr>
            </w:pPr>
            <w:r>
              <w:rPr>
                <w:sz w:val="16"/>
                <w:szCs w:val="16"/>
                <w:spacing w:val="-2"/>
              </w:rPr>
              <w:t>TFP</w:t>
            </w:r>
          </w:p>
        </w:tc>
        <w:tc>
          <w:tcPr>
            <w:tcW w:w="1129" w:type="dxa"/>
            <w:vAlign w:val="top"/>
            <w:tcBorders>
              <w:bottom w:val="single" w:color="000000" w:sz="4" w:space="0"/>
            </w:tcBorders>
          </w:tcPr>
          <w:p>
            <w:pPr>
              <w:pStyle w:val="TableText"/>
              <w:ind w:left="490"/>
              <w:spacing w:before="98" w:line="184" w:lineRule="auto"/>
              <w:rPr>
                <w:sz w:val="16"/>
                <w:szCs w:val="16"/>
              </w:rPr>
            </w:pPr>
            <w:r>
              <w:rPr>
                <w:sz w:val="16"/>
                <w:szCs w:val="16"/>
                <w:spacing w:val="-4"/>
              </w:rPr>
              <w:t>1.97</w:t>
            </w:r>
          </w:p>
        </w:tc>
        <w:tc>
          <w:tcPr>
            <w:tcW w:w="1405" w:type="dxa"/>
            <w:vAlign w:val="top"/>
            <w:tcBorders>
              <w:bottom w:val="single" w:color="000000" w:sz="4" w:space="0"/>
            </w:tcBorders>
          </w:tcPr>
          <w:p>
            <w:pPr>
              <w:pStyle w:val="TableText"/>
              <w:ind w:left="471"/>
              <w:spacing w:before="98" w:line="183" w:lineRule="auto"/>
              <w:rPr>
                <w:sz w:val="16"/>
                <w:szCs w:val="16"/>
              </w:rPr>
            </w:pPr>
            <w:r>
              <w:rPr>
                <w:sz w:val="16"/>
                <w:szCs w:val="16"/>
                <w:spacing w:val="-1"/>
              </w:rPr>
              <w:t>-0.29</w:t>
            </w:r>
          </w:p>
        </w:tc>
        <w:tc>
          <w:tcPr>
            <w:tcW w:w="1116" w:type="dxa"/>
            <w:vAlign w:val="top"/>
            <w:tcBorders>
              <w:bottom w:val="single" w:color="000000" w:sz="4" w:space="0"/>
            </w:tcBorders>
          </w:tcPr>
          <w:p>
            <w:pPr>
              <w:pStyle w:val="TableText"/>
              <w:ind w:left="296"/>
              <w:spacing w:before="117" w:line="171" w:lineRule="auto"/>
              <w:rPr>
                <w:sz w:val="16"/>
                <w:szCs w:val="16"/>
              </w:rPr>
            </w:pPr>
            <w:r>
              <w:rPr>
                <w:sz w:val="16"/>
                <w:szCs w:val="16"/>
                <w:spacing w:val="-1"/>
              </w:rPr>
              <w:t>-0.19</w:t>
            </w:r>
          </w:p>
        </w:tc>
        <w:tc>
          <w:tcPr>
            <w:tcW w:w="1260" w:type="dxa"/>
            <w:vAlign w:val="top"/>
            <w:tcBorders>
              <w:bottom w:val="single" w:color="000000" w:sz="4" w:space="0"/>
            </w:tcBorders>
          </w:tcPr>
          <w:p>
            <w:pPr>
              <w:pStyle w:val="TableText"/>
              <w:ind w:left="470"/>
              <w:spacing w:before="118" w:line="170" w:lineRule="auto"/>
              <w:rPr>
                <w:sz w:val="16"/>
                <w:szCs w:val="16"/>
              </w:rPr>
            </w:pPr>
            <w:r>
              <w:rPr>
                <w:sz w:val="16"/>
                <w:szCs w:val="16"/>
                <w:spacing w:val="-2"/>
              </w:rPr>
              <w:t>0.54</w:t>
            </w:r>
          </w:p>
        </w:tc>
      </w:tr>
    </w:tbl>
    <w:p>
      <w:pPr>
        <w:ind w:left="380"/>
        <w:spacing w:before="175" w:line="220" w:lineRule="auto"/>
        <w:rPr>
          <w:rFonts w:ascii="KaiTi" w:hAnsi="KaiTi" w:eastAsia="KaiTi" w:cs="KaiTi"/>
          <w:sz w:val="16"/>
          <w:szCs w:val="16"/>
        </w:rPr>
      </w:pPr>
      <w:r>
        <w:rPr>
          <w:rFonts w:ascii="KaiTi" w:hAnsi="KaiTi" w:eastAsia="KaiTi" w:cs="KaiTi"/>
          <w:sz w:val="16"/>
          <w:szCs w:val="16"/>
          <w:spacing w:val="-2"/>
        </w:rPr>
        <w:t>资料来源：作者计算，数据出处及构建方法见本章第三节。</w:t>
      </w:r>
    </w:p>
    <w:p>
      <w:pPr>
        <w:spacing w:line="220" w:lineRule="auto"/>
        <w:sectPr>
          <w:headerReference w:type="default" r:id="rId136"/>
          <w:pgSz w:w="7330" w:h="12480"/>
          <w:pgMar w:top="839" w:right="829" w:bottom="400" w:left="409" w:header="663" w:footer="0" w:gutter="0"/>
        </w:sectPr>
        <w:rPr>
          <w:rFonts w:ascii="KaiTi" w:hAnsi="KaiTi" w:eastAsia="KaiTi" w:cs="KaiTi"/>
          <w:sz w:val="16"/>
          <w:szCs w:val="16"/>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right="27" w:firstLine="429"/>
        <w:spacing w:before="62" w:line="350" w:lineRule="auto"/>
        <w:rPr>
          <w:rFonts w:ascii="Times New Roman" w:hAnsi="Times New Roman" w:eastAsia="Times New Roman" w:cs="Times New Roman"/>
          <w:sz w:val="19"/>
          <w:szCs w:val="19"/>
        </w:rPr>
      </w:pPr>
      <w:r>
        <w:rPr>
          <w:rFonts w:ascii="SimSun" w:hAnsi="SimSun" w:eastAsia="SimSun" w:cs="SimSun"/>
          <w:sz w:val="19"/>
          <w:szCs w:val="19"/>
          <w:spacing w:val="16"/>
        </w:rPr>
        <w:t>表2-13还报告了初级要素，即资本和劳动的投入</w:t>
      </w:r>
      <w:r>
        <w:rPr>
          <w:rFonts w:ascii="SimSun" w:hAnsi="SimSun" w:eastAsia="SimSun" w:cs="SimSun"/>
          <w:sz w:val="19"/>
          <w:szCs w:val="19"/>
          <w:spacing w:val="15"/>
        </w:rPr>
        <w:t>对中国经济整</w:t>
      </w:r>
      <w:r>
        <w:rPr>
          <w:rFonts w:ascii="SimSun" w:hAnsi="SimSun" w:eastAsia="SimSun" w:cs="SimSun"/>
          <w:sz w:val="19"/>
          <w:szCs w:val="19"/>
        </w:rPr>
        <w:t xml:space="preserve"> </w:t>
      </w:r>
      <w:r>
        <w:rPr>
          <w:rFonts w:ascii="SimSun" w:hAnsi="SimSun" w:eastAsia="SimSun" w:cs="SimSun"/>
          <w:sz w:val="19"/>
          <w:szCs w:val="19"/>
          <w:spacing w:val="13"/>
        </w:rPr>
        <w:t>体增长的贡献。得益于更新的</w:t>
      </w:r>
      <w:r>
        <w:rPr>
          <w:rFonts w:ascii="SimSun" w:hAnsi="SimSun" w:eastAsia="SimSun" w:cs="SimSun"/>
          <w:sz w:val="19"/>
          <w:szCs w:val="19"/>
        </w:rPr>
        <w:t>CIP</w:t>
      </w:r>
      <w:r>
        <w:rPr>
          <w:rFonts w:ascii="SimSun" w:hAnsi="SimSun" w:eastAsia="SimSun" w:cs="SimSun"/>
          <w:sz w:val="19"/>
          <w:szCs w:val="19"/>
          <w:spacing w:val="13"/>
        </w:rPr>
        <w:t>/</w:t>
      </w:r>
      <w:r>
        <w:rPr>
          <w:rFonts w:ascii="SimSun" w:hAnsi="SimSun" w:eastAsia="SimSun" w:cs="SimSun"/>
          <w:sz w:val="19"/>
          <w:szCs w:val="19"/>
        </w:rPr>
        <w:t>China  KL</w:t>
      </w:r>
      <w:r>
        <w:rPr>
          <w:rFonts w:ascii="Times New Roman" w:hAnsi="Times New Roman" w:eastAsia="Times New Roman" w:cs="Times New Roman"/>
          <w:sz w:val="19"/>
          <w:szCs w:val="19"/>
        </w:rPr>
        <w:t>EMS</w:t>
      </w:r>
      <w:r>
        <w:rPr>
          <w:rFonts w:ascii="Times New Roman" w:hAnsi="Times New Roman" w:eastAsia="Times New Roman" w:cs="Times New Roman"/>
          <w:sz w:val="19"/>
          <w:szCs w:val="19"/>
          <w:spacing w:val="36"/>
          <w:w w:val="101"/>
        </w:rPr>
        <w:t xml:space="preserve"> </w:t>
      </w:r>
      <w:r>
        <w:rPr>
          <w:rFonts w:ascii="SimSun" w:hAnsi="SimSun" w:eastAsia="SimSun" w:cs="SimSun"/>
          <w:sz w:val="19"/>
          <w:szCs w:val="19"/>
          <w:spacing w:val="13"/>
        </w:rPr>
        <w:t>数据库，我们可以</w:t>
      </w:r>
      <w:r>
        <w:rPr>
          <w:rFonts w:ascii="SimSun" w:hAnsi="SimSun" w:eastAsia="SimSun" w:cs="SimSun"/>
          <w:sz w:val="19"/>
          <w:szCs w:val="19"/>
        </w:rPr>
        <w:t xml:space="preserve"> </w:t>
      </w:r>
      <w:r>
        <w:rPr>
          <w:rFonts w:ascii="SimSun" w:hAnsi="SimSun" w:eastAsia="SimSun" w:cs="SimSun"/>
          <w:sz w:val="19"/>
          <w:szCs w:val="19"/>
          <w:spacing w:val="15"/>
        </w:rPr>
        <w:t>将资本投入细分为生产性建筑、</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15"/>
        </w:rPr>
        <w:t>设</w:t>
      </w:r>
      <w:r>
        <w:rPr>
          <w:rFonts w:ascii="SimSun" w:hAnsi="SimSun" w:eastAsia="SimSun" w:cs="SimSun"/>
          <w:sz w:val="19"/>
          <w:szCs w:val="19"/>
          <w:spacing w:val="-39"/>
        </w:rPr>
        <w:t xml:space="preserve"> </w:t>
      </w:r>
      <w:r>
        <w:rPr>
          <w:rFonts w:ascii="SimSun" w:hAnsi="SimSun" w:eastAsia="SimSun" w:cs="SimSun"/>
          <w:sz w:val="19"/>
          <w:szCs w:val="19"/>
          <w:spacing w:val="15"/>
        </w:rPr>
        <w:t>备</w:t>
      </w:r>
      <w:r>
        <w:rPr>
          <w:rFonts w:ascii="SimSun" w:hAnsi="SimSun" w:eastAsia="SimSun" w:cs="SimSun"/>
          <w:sz w:val="19"/>
          <w:szCs w:val="19"/>
          <w:spacing w:val="-49"/>
        </w:rPr>
        <w:t xml:space="preserve"> </w:t>
      </w:r>
      <w:r>
        <w:rPr>
          <w:rFonts w:ascii="SimSun" w:hAnsi="SimSun" w:eastAsia="SimSun" w:cs="SimSun"/>
          <w:sz w:val="19"/>
          <w:szCs w:val="19"/>
          <w:spacing w:val="15"/>
        </w:rPr>
        <w:t>、</w:t>
      </w:r>
      <w:r>
        <w:rPr>
          <w:rFonts w:ascii="Times New Roman" w:hAnsi="Times New Roman" w:eastAsia="Times New Roman" w:cs="Times New Roman"/>
          <w:sz w:val="19"/>
          <w:szCs w:val="19"/>
        </w:rPr>
        <w:t>CT</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15"/>
        </w:rPr>
        <w:t>设备、</w:t>
      </w:r>
      <w:r>
        <w:rPr>
          <w:rFonts w:ascii="SimSun" w:hAnsi="SimSun" w:eastAsia="SimSun" w:cs="SimSun"/>
          <w:sz w:val="19"/>
          <w:szCs w:val="19"/>
          <w:spacing w:val="14"/>
        </w:rPr>
        <w:t>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14"/>
        </w:rPr>
        <w:t>设备以</w:t>
      </w:r>
      <w:r>
        <w:rPr>
          <w:rFonts w:ascii="SimSun" w:hAnsi="SimSun" w:eastAsia="SimSun" w:cs="SimSun"/>
          <w:sz w:val="19"/>
          <w:szCs w:val="19"/>
        </w:rPr>
        <w:t xml:space="preserve"> </w:t>
      </w:r>
      <w:r>
        <w:rPr>
          <w:rFonts w:ascii="SimSun" w:hAnsi="SimSun" w:eastAsia="SimSun" w:cs="SimSun"/>
          <w:sz w:val="19"/>
          <w:szCs w:val="19"/>
          <w:spacing w:val="16"/>
        </w:rPr>
        <w:t>及住宅五类资产，同时也可以将劳动投入分为低、中、高技能三种</w:t>
      </w:r>
      <w:r>
        <w:rPr>
          <w:rFonts w:ascii="SimSun" w:hAnsi="SimSun" w:eastAsia="SimSun" w:cs="SimSun"/>
          <w:sz w:val="19"/>
          <w:szCs w:val="19"/>
          <w:spacing w:val="8"/>
        </w:rPr>
        <w:t xml:space="preserve"> </w:t>
      </w:r>
      <w:r>
        <w:rPr>
          <w:rFonts w:ascii="SimSun" w:hAnsi="SimSun" w:eastAsia="SimSun" w:cs="SimSun"/>
          <w:sz w:val="19"/>
          <w:szCs w:val="19"/>
          <w:spacing w:val="16"/>
        </w:rPr>
        <w:t>类型。经济增长中不能够由这些不同类型资本和劳动投入增长解释</w:t>
      </w:r>
      <w:r>
        <w:rPr>
          <w:rFonts w:ascii="SimSun" w:hAnsi="SimSun" w:eastAsia="SimSun" w:cs="SimSun"/>
          <w:sz w:val="19"/>
          <w:szCs w:val="19"/>
          <w:spacing w:val="4"/>
        </w:rPr>
        <w:t xml:space="preserve"> </w:t>
      </w:r>
      <w:r>
        <w:rPr>
          <w:rFonts w:ascii="SimSun" w:hAnsi="SimSun" w:eastAsia="SimSun" w:cs="SimSun"/>
          <w:sz w:val="19"/>
          <w:szCs w:val="19"/>
          <w:spacing w:val="15"/>
        </w:rPr>
        <w:t>的部分就是作为</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5"/>
        </w:rPr>
        <w:t>增长的部分。结果显示，就整个时期而言，资</w:t>
      </w:r>
      <w:r>
        <w:rPr>
          <w:rFonts w:ascii="SimSun" w:hAnsi="SimSun" w:eastAsia="SimSun" w:cs="SimSun"/>
          <w:sz w:val="19"/>
          <w:szCs w:val="19"/>
        </w:rPr>
        <w:t xml:space="preserve"> </w:t>
      </w:r>
      <w:r>
        <w:rPr>
          <w:rFonts w:ascii="SimSun" w:hAnsi="SimSun" w:eastAsia="SimSun" w:cs="SimSun"/>
          <w:sz w:val="19"/>
          <w:szCs w:val="19"/>
          <w:spacing w:val="24"/>
        </w:rPr>
        <w:t>本投入对整体经济增长的贡献高达84%,劳动投入的贡献为9%,而</w:t>
      </w:r>
      <w:r>
        <w:rPr>
          <w:rFonts w:ascii="SimSun" w:hAnsi="SimSun" w:eastAsia="SimSun" w:cs="SimSun"/>
          <w:sz w:val="19"/>
          <w:szCs w:val="19"/>
          <w:spacing w:val="9"/>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35"/>
          <w:w w:val="101"/>
        </w:rPr>
        <w:t xml:space="preserve"> </w:t>
      </w:r>
      <w:r>
        <w:rPr>
          <w:rFonts w:ascii="SimSun" w:hAnsi="SimSun" w:eastAsia="SimSun" w:cs="SimSun"/>
          <w:sz w:val="19"/>
          <w:szCs w:val="19"/>
          <w:spacing w:val="16"/>
        </w:rPr>
        <w:t>的贡献只有7%。这个结果再次肯定了前面提出的假说，即中国</w:t>
      </w:r>
      <w:r>
        <w:rPr>
          <w:rFonts w:ascii="SimSun" w:hAnsi="SimSun" w:eastAsia="SimSun" w:cs="SimSun"/>
          <w:sz w:val="19"/>
          <w:szCs w:val="19"/>
        </w:rPr>
        <w:t xml:space="preserve"> </w:t>
      </w:r>
      <w:r>
        <w:rPr>
          <w:rFonts w:ascii="SimSun" w:hAnsi="SimSun" w:eastAsia="SimSun" w:cs="SimSun"/>
          <w:sz w:val="19"/>
          <w:szCs w:val="19"/>
          <w:spacing w:val="16"/>
        </w:rPr>
        <w:t>经济增长主要依赖资本投入的增长，而这样的增长并没有伴随明显</w:t>
      </w:r>
      <w:r>
        <w:rPr>
          <w:rFonts w:ascii="SimSun" w:hAnsi="SimSun" w:eastAsia="SimSun" w:cs="SimSun"/>
          <w:sz w:val="19"/>
          <w:szCs w:val="19"/>
          <w:spacing w:val="7"/>
        </w:rPr>
        <w:t xml:space="preserve"> </w:t>
      </w:r>
      <w:r>
        <w:rPr>
          <w:rFonts w:ascii="SimSun" w:hAnsi="SimSun" w:eastAsia="SimSun" w:cs="SimSun"/>
          <w:sz w:val="19"/>
          <w:szCs w:val="19"/>
          <w:spacing w:val="16"/>
        </w:rPr>
        <w:t>的效率改善。从趋势上看，这种依赖性在不断上升，资本投入对整</w:t>
      </w:r>
      <w:r>
        <w:rPr>
          <w:rFonts w:ascii="SimSun" w:hAnsi="SimSun" w:eastAsia="SimSun" w:cs="SimSun"/>
          <w:sz w:val="19"/>
          <w:szCs w:val="19"/>
          <w:spacing w:val="4"/>
        </w:rPr>
        <w:t xml:space="preserve"> </w:t>
      </w:r>
      <w:r>
        <w:rPr>
          <w:rFonts w:ascii="SimSun" w:hAnsi="SimSun" w:eastAsia="SimSun" w:cs="SimSun"/>
          <w:sz w:val="19"/>
          <w:szCs w:val="19"/>
          <w:spacing w:val="22"/>
        </w:rPr>
        <w:t>体经济增长的贡献从加入世界贸易组织后的不到70%,提高到</w:t>
      </w:r>
      <w:r>
        <w:rPr>
          <w:rFonts w:ascii="SimSun" w:hAnsi="SimSun" w:eastAsia="SimSun" w:cs="SimSun"/>
          <w:sz w:val="19"/>
          <w:szCs w:val="19"/>
          <w:spacing w:val="21"/>
        </w:rPr>
        <w:t>后危</w:t>
      </w:r>
      <w:r>
        <w:rPr>
          <w:rFonts w:ascii="SimSun" w:hAnsi="SimSun" w:eastAsia="SimSun" w:cs="SimSun"/>
          <w:sz w:val="19"/>
          <w:szCs w:val="19"/>
        </w:rPr>
        <w:t xml:space="preserve"> </w:t>
      </w:r>
      <w:r>
        <w:rPr>
          <w:rFonts w:ascii="SimSun" w:hAnsi="SimSun" w:eastAsia="SimSun" w:cs="SimSun"/>
          <w:sz w:val="19"/>
          <w:szCs w:val="19"/>
          <w:spacing w:val="22"/>
        </w:rPr>
        <w:t>机时期的逾95%,显然与危机后政府过分依赖以铁路、公</w:t>
      </w:r>
      <w:r>
        <w:rPr>
          <w:rFonts w:ascii="SimSun" w:hAnsi="SimSun" w:eastAsia="SimSun" w:cs="SimSun"/>
          <w:sz w:val="19"/>
          <w:szCs w:val="19"/>
          <w:spacing w:val="21"/>
        </w:rPr>
        <w:t>路和其他</w:t>
      </w:r>
      <w:r>
        <w:rPr>
          <w:rFonts w:ascii="SimSun" w:hAnsi="SimSun" w:eastAsia="SimSun" w:cs="SimSun"/>
          <w:sz w:val="19"/>
          <w:szCs w:val="19"/>
        </w:rPr>
        <w:t xml:space="preserve"> </w:t>
      </w:r>
      <w:r>
        <w:rPr>
          <w:rFonts w:ascii="SimSun" w:hAnsi="SimSun" w:eastAsia="SimSun" w:cs="SimSun"/>
          <w:sz w:val="19"/>
          <w:szCs w:val="19"/>
          <w:spacing w:val="14"/>
        </w:rPr>
        <w:t>基础设施建设为代表的“保增长”政策密切相关。与此</w:t>
      </w:r>
      <w:r>
        <w:rPr>
          <w:rFonts w:ascii="SimSun" w:hAnsi="SimSun" w:eastAsia="SimSun" w:cs="SimSun"/>
          <w:sz w:val="19"/>
          <w:szCs w:val="19"/>
          <w:spacing w:val="13"/>
        </w:rPr>
        <w:t>同时， </w:t>
      </w:r>
      <w:r>
        <w:rPr>
          <w:rFonts w:ascii="Times New Roman" w:hAnsi="Times New Roman" w:eastAsia="Times New Roman" w:cs="Times New Roman"/>
          <w:sz w:val="19"/>
          <w:szCs w:val="19"/>
        </w:rPr>
        <w:t>TFP</w:t>
      </w:r>
    </w:p>
    <w:p>
      <w:pPr>
        <w:spacing w:line="219" w:lineRule="auto"/>
        <w:rPr>
          <w:rFonts w:ascii="SimSun" w:hAnsi="SimSun" w:eastAsia="SimSun" w:cs="SimSun"/>
          <w:sz w:val="19"/>
          <w:szCs w:val="19"/>
        </w:rPr>
      </w:pPr>
      <w:r>
        <w:rPr>
          <w:rFonts w:ascii="SimSun" w:hAnsi="SimSun" w:eastAsia="SimSun" w:cs="SimSun"/>
          <w:sz w:val="19"/>
          <w:szCs w:val="19"/>
          <w:spacing w:val="7"/>
        </w:rPr>
        <w:t>进入了负增长。</w:t>
      </w:r>
    </w:p>
    <w:p>
      <w:pPr>
        <w:ind w:firstLine="459"/>
        <w:spacing w:before="131" w:line="350" w:lineRule="auto"/>
        <w:rPr>
          <w:rFonts w:ascii="SimSun" w:hAnsi="SimSun" w:eastAsia="SimSun" w:cs="SimSun"/>
          <w:sz w:val="19"/>
          <w:szCs w:val="19"/>
        </w:rPr>
      </w:pPr>
      <w:r>
        <w:rPr>
          <w:rFonts w:ascii="SimSun" w:hAnsi="SimSun" w:eastAsia="SimSun" w:cs="SimSun"/>
          <w:sz w:val="19"/>
          <w:szCs w:val="19"/>
          <w:spacing w:val="9"/>
        </w:rPr>
        <w:t>进一步对资产和劳动类型的解析更有助于我们理解这个变化。从</w:t>
      </w:r>
      <w:r>
        <w:rPr>
          <w:rFonts w:ascii="SimSun" w:hAnsi="SimSun" w:eastAsia="SimSun" w:cs="SimSun"/>
          <w:sz w:val="19"/>
          <w:szCs w:val="19"/>
          <w:spacing w:val="14"/>
        </w:rPr>
        <w:t xml:space="preserve"> </w:t>
      </w:r>
      <w:r>
        <w:rPr>
          <w:rFonts w:ascii="SimSun" w:hAnsi="SimSun" w:eastAsia="SimSun" w:cs="SimSun"/>
          <w:sz w:val="19"/>
          <w:szCs w:val="19"/>
          <w:spacing w:val="9"/>
        </w:rPr>
        <w:t>劳动投入看，金融危机以来劳动投入增长迅速放缓的</w:t>
      </w:r>
      <w:r>
        <w:rPr>
          <w:rFonts w:ascii="SimSun" w:hAnsi="SimSun" w:eastAsia="SimSun" w:cs="SimSun"/>
          <w:sz w:val="19"/>
          <w:szCs w:val="19"/>
          <w:spacing w:val="8"/>
        </w:rPr>
        <w:t>背后，是较低成 </w:t>
      </w:r>
      <w:r>
        <w:rPr>
          <w:rFonts w:ascii="SimSun" w:hAnsi="SimSun" w:eastAsia="SimSun" w:cs="SimSun"/>
          <w:sz w:val="19"/>
          <w:szCs w:val="19"/>
          <w:spacing w:val="9"/>
        </w:rPr>
        <w:t>本的中低技能劳动力投入的绝对减少和较高成本的高</w:t>
      </w:r>
      <w:r>
        <w:rPr>
          <w:rFonts w:ascii="SimSun" w:hAnsi="SimSun" w:eastAsia="SimSun" w:cs="SimSun"/>
          <w:sz w:val="19"/>
          <w:szCs w:val="19"/>
          <w:spacing w:val="8"/>
        </w:rPr>
        <w:t>技能劳动力投入 </w:t>
      </w:r>
      <w:r>
        <w:rPr>
          <w:rFonts w:ascii="SimSun" w:hAnsi="SimSun" w:eastAsia="SimSun" w:cs="SimSun"/>
          <w:sz w:val="19"/>
          <w:szCs w:val="19"/>
          <w:spacing w:val="9"/>
        </w:rPr>
        <w:t>的迅速上升，这解释了就业结构从制造业向服务业的</w:t>
      </w:r>
      <w:r>
        <w:rPr>
          <w:rFonts w:ascii="SimSun" w:hAnsi="SimSun" w:eastAsia="SimSun" w:cs="SimSun"/>
          <w:sz w:val="19"/>
          <w:szCs w:val="19"/>
          <w:spacing w:val="8"/>
        </w:rPr>
        <w:t>转变。劳动力短 </w:t>
      </w:r>
      <w:r>
        <w:rPr>
          <w:rFonts w:ascii="SimSun" w:hAnsi="SimSun" w:eastAsia="SimSun" w:cs="SimSun"/>
          <w:sz w:val="19"/>
          <w:szCs w:val="19"/>
          <w:spacing w:val="9"/>
        </w:rPr>
        <w:t>缺和成本的提高一方面迫使劳动密集型行业转移至其他低劳动成本的</w:t>
      </w:r>
      <w:r>
        <w:rPr>
          <w:rFonts w:ascii="SimSun" w:hAnsi="SimSun" w:eastAsia="SimSun" w:cs="SimSun"/>
          <w:sz w:val="19"/>
          <w:szCs w:val="19"/>
          <w:spacing w:val="13"/>
        </w:rPr>
        <w:t xml:space="preserve"> </w:t>
      </w:r>
      <w:r>
        <w:rPr>
          <w:rFonts w:ascii="SimSun" w:hAnsi="SimSun" w:eastAsia="SimSun" w:cs="SimSun"/>
          <w:sz w:val="19"/>
          <w:szCs w:val="19"/>
          <w:spacing w:val="9"/>
        </w:rPr>
        <w:t>国家，另一方面也刺激企业选择以资本替代劳动的技</w:t>
      </w:r>
      <w:r>
        <w:rPr>
          <w:rFonts w:ascii="SimSun" w:hAnsi="SimSun" w:eastAsia="SimSun" w:cs="SimSun"/>
          <w:sz w:val="19"/>
          <w:szCs w:val="19"/>
          <w:spacing w:val="8"/>
        </w:rPr>
        <w:t>术，促使中国经 </w:t>
      </w:r>
      <w:r>
        <w:rPr>
          <w:rFonts w:ascii="SimSun" w:hAnsi="SimSun" w:eastAsia="SimSun" w:cs="SimSun"/>
          <w:sz w:val="19"/>
          <w:szCs w:val="19"/>
          <w:spacing w:val="9"/>
        </w:rPr>
        <w:t>济过早地进入了一个“去工业化”的过程。不同类型资本增长贡献的</w:t>
      </w:r>
      <w:r>
        <w:rPr>
          <w:rFonts w:ascii="SimSun" w:hAnsi="SimSun" w:eastAsia="SimSun" w:cs="SimSun"/>
          <w:sz w:val="19"/>
          <w:szCs w:val="19"/>
          <w:spacing w:val="13"/>
        </w:rPr>
        <w:t xml:space="preserve"> </w:t>
      </w:r>
      <w:r>
        <w:rPr>
          <w:rFonts w:ascii="SimSun" w:hAnsi="SimSun" w:eastAsia="SimSun" w:cs="SimSun"/>
          <w:sz w:val="19"/>
          <w:szCs w:val="19"/>
          <w:spacing w:val="17"/>
        </w:rPr>
        <w:t>变化看起来也支持这个“去工业化”的判断。尽管</w:t>
      </w:r>
      <w:r>
        <w:rPr>
          <w:rFonts w:ascii="SimSun" w:hAnsi="SimSun" w:eastAsia="SimSun" w:cs="SimSun"/>
          <w:sz w:val="19"/>
          <w:szCs w:val="19"/>
        </w:rPr>
        <w:t>ICT</w:t>
      </w:r>
      <w:r>
        <w:rPr>
          <w:rFonts w:ascii="SimSun" w:hAnsi="SimSun" w:eastAsia="SimSun" w:cs="SimSun"/>
          <w:sz w:val="19"/>
          <w:szCs w:val="19"/>
          <w:spacing w:val="17"/>
        </w:rPr>
        <w:t xml:space="preserve"> 生产和集约</w:t>
      </w:r>
      <w:r>
        <w:rPr>
          <w:rFonts w:ascii="SimSun" w:hAnsi="SimSun" w:eastAsia="SimSun" w:cs="SimSun"/>
          <w:sz w:val="19"/>
          <w:szCs w:val="19"/>
        </w:rPr>
        <w:t xml:space="preserve"> </w:t>
      </w:r>
      <w:r>
        <w:rPr>
          <w:rFonts w:ascii="SimSun" w:hAnsi="SimSun" w:eastAsia="SimSun" w:cs="SimSun"/>
          <w:sz w:val="19"/>
          <w:szCs w:val="19"/>
          <w:spacing w:val="18"/>
        </w:rPr>
        <w:t>使用部门对产出增长有重要贡献，但是</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设备在资本投入贡献中</w:t>
      </w:r>
      <w:r>
        <w:rPr>
          <w:rFonts w:ascii="SimSun" w:hAnsi="SimSun" w:eastAsia="SimSun" w:cs="SimSun"/>
          <w:sz w:val="19"/>
          <w:szCs w:val="19"/>
          <w:spacing w:val="2"/>
        </w:rPr>
        <w:t xml:space="preserve"> </w:t>
      </w:r>
      <w:r>
        <w:rPr>
          <w:rFonts w:ascii="SimSun" w:hAnsi="SimSun" w:eastAsia="SimSun" w:cs="SimSun"/>
          <w:sz w:val="19"/>
          <w:szCs w:val="19"/>
          <w:spacing w:val="18"/>
        </w:rPr>
        <w:t>的比重不但没有增加，反而有一定减少。与此</w:t>
      </w:r>
      <w:r>
        <w:rPr>
          <w:rFonts w:ascii="SimSun" w:hAnsi="SimSun" w:eastAsia="SimSun" w:cs="SimSun"/>
          <w:sz w:val="19"/>
          <w:szCs w:val="19"/>
          <w:spacing w:val="17"/>
        </w:rPr>
        <w:t>同时，非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7"/>
        </w:rPr>
        <w:t>设备占</w:t>
      </w:r>
      <w:r>
        <w:rPr>
          <w:rFonts w:ascii="SimSun" w:hAnsi="SimSun" w:eastAsia="SimSun" w:cs="SimSun"/>
          <w:sz w:val="19"/>
          <w:szCs w:val="19"/>
        </w:rPr>
        <w:t xml:space="preserve"> </w:t>
      </w:r>
      <w:r>
        <w:rPr>
          <w:rFonts w:ascii="SimSun" w:hAnsi="SimSun" w:eastAsia="SimSun" w:cs="SimSun"/>
          <w:sz w:val="19"/>
          <w:szCs w:val="19"/>
          <w:spacing w:val="9"/>
        </w:rPr>
        <w:t>资本投入贡献的比重显著下降，从中国加入世界贸易</w:t>
      </w:r>
      <w:r>
        <w:rPr>
          <w:rFonts w:ascii="SimSun" w:hAnsi="SimSun" w:eastAsia="SimSun" w:cs="SimSun"/>
          <w:sz w:val="19"/>
          <w:szCs w:val="19"/>
          <w:spacing w:val="8"/>
        </w:rPr>
        <w:t>组织后的“黄金 </w:t>
      </w:r>
      <w:r>
        <w:rPr>
          <w:rFonts w:ascii="SimSun" w:hAnsi="SimSun" w:eastAsia="SimSun" w:cs="SimSun"/>
          <w:sz w:val="19"/>
          <w:szCs w:val="19"/>
          <w:spacing w:val="24"/>
        </w:rPr>
        <w:t>期”直到危机后早期的近55%,陡然降至危机后晚期的约40%。然</w:t>
      </w:r>
    </w:p>
    <w:p>
      <w:pPr>
        <w:spacing w:line="218" w:lineRule="auto"/>
        <w:rPr>
          <w:rFonts w:ascii="SimSun" w:hAnsi="SimSun" w:eastAsia="SimSun" w:cs="SimSun"/>
          <w:sz w:val="19"/>
          <w:szCs w:val="19"/>
        </w:rPr>
      </w:pPr>
      <w:r>
        <w:rPr>
          <w:rFonts w:ascii="SimSun" w:hAnsi="SimSun" w:eastAsia="SimSun" w:cs="SimSun"/>
          <w:sz w:val="19"/>
          <w:szCs w:val="19"/>
          <w:spacing w:val="15"/>
        </w:rPr>
        <w:t>而，(包含所有非住宅结构、设施的)生产性建筑占</w:t>
      </w:r>
      <w:r>
        <w:rPr>
          <w:rFonts w:ascii="SimSun" w:hAnsi="SimSun" w:eastAsia="SimSun" w:cs="SimSun"/>
          <w:sz w:val="19"/>
          <w:szCs w:val="19"/>
          <w:spacing w:val="14"/>
        </w:rPr>
        <w:t>资本投入贡献的</w:t>
      </w:r>
    </w:p>
    <w:p>
      <w:pPr>
        <w:spacing w:line="218" w:lineRule="auto"/>
        <w:sectPr>
          <w:headerReference w:type="default" r:id="rId137"/>
          <w:pgSz w:w="7330" w:h="12480"/>
          <w:pgMar w:top="539" w:right="512" w:bottom="400" w:left="770" w:header="394" w:footer="0" w:gutter="0"/>
        </w:sectPr>
        <w:rPr>
          <w:rFonts w:ascii="SimSun" w:hAnsi="SimSun" w:eastAsia="SimSun" w:cs="SimSun"/>
          <w:sz w:val="19"/>
          <w:szCs w:val="19"/>
        </w:rPr>
      </w:pP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68" w:line="380" w:lineRule="exact"/>
        <w:rPr>
          <w:rFonts w:ascii="SimSun" w:hAnsi="SimSun" w:eastAsia="SimSun" w:cs="SimSun"/>
          <w:sz w:val="21"/>
          <w:szCs w:val="21"/>
        </w:rPr>
      </w:pPr>
      <w:r>
        <w:rPr>
          <w:rFonts w:ascii="SimSun" w:hAnsi="SimSun" w:eastAsia="SimSun" w:cs="SimSun"/>
          <w:sz w:val="21"/>
          <w:szCs w:val="21"/>
          <w:spacing w:val="7"/>
          <w:position w:val="12"/>
        </w:rPr>
        <w:t>比重却从加入世界贸易组织后的25%升至危机后早期的约30%,然</w:t>
      </w:r>
    </w:p>
    <w:p>
      <w:pPr>
        <w:spacing w:line="216" w:lineRule="auto"/>
        <w:rPr>
          <w:rFonts w:ascii="SimSun" w:hAnsi="SimSun" w:eastAsia="SimSun" w:cs="SimSun"/>
          <w:sz w:val="21"/>
          <w:szCs w:val="21"/>
        </w:rPr>
      </w:pPr>
      <w:r>
        <w:rPr>
          <w:rFonts w:ascii="SimSun" w:hAnsi="SimSun" w:eastAsia="SimSun" w:cs="SimSun"/>
          <w:sz w:val="21"/>
          <w:szCs w:val="21"/>
          <w:spacing w:val="-4"/>
        </w:rPr>
        <w:t>后又跃升至危机后晚期的45%,反映了“保增长”政策的投资效果。</w:t>
      </w:r>
    </w:p>
    <w:p>
      <w:pPr>
        <w:ind w:right="11" w:firstLine="379"/>
        <w:spacing w:before="94" w:line="298" w:lineRule="auto"/>
        <w:jc w:val="both"/>
        <w:rPr>
          <w:rFonts w:ascii="SimSun" w:hAnsi="SimSun" w:eastAsia="SimSun" w:cs="SimSun"/>
          <w:sz w:val="21"/>
          <w:szCs w:val="21"/>
        </w:rPr>
      </w:pPr>
      <w:r>
        <w:rPr>
          <w:rFonts w:ascii="SimSun" w:hAnsi="SimSun" w:eastAsia="SimSun" w:cs="SimSun"/>
          <w:sz w:val="21"/>
          <w:szCs w:val="21"/>
          <w:spacing w:val="-10"/>
        </w:rPr>
        <w:t>所以，中国经济对投资的依赖是以效率的持续下降为代价的，而</w:t>
      </w:r>
      <w:r>
        <w:rPr>
          <w:rFonts w:ascii="SimSun" w:hAnsi="SimSun" w:eastAsia="SimSun" w:cs="SimSun"/>
          <w:sz w:val="21"/>
          <w:szCs w:val="21"/>
        </w:rPr>
        <w:t xml:space="preserve"> </w:t>
      </w:r>
      <w:r>
        <w:rPr>
          <w:rFonts w:ascii="SimSun" w:hAnsi="SimSun" w:eastAsia="SimSun" w:cs="SimSun"/>
          <w:sz w:val="21"/>
          <w:szCs w:val="21"/>
          <w:spacing w:val="-4"/>
        </w:rPr>
        <w:t>且发生在一个失去人口红利的时代，因此无法得到劳动力增长的支</w:t>
      </w:r>
      <w:r>
        <w:rPr>
          <w:rFonts w:ascii="SimSun" w:hAnsi="SimSun" w:eastAsia="SimSun" w:cs="SimSun"/>
          <w:sz w:val="21"/>
          <w:szCs w:val="21"/>
          <w:spacing w:val="6"/>
        </w:rPr>
        <w:t xml:space="preserve"> </w:t>
      </w:r>
      <w:r>
        <w:rPr>
          <w:rFonts w:ascii="SimSun" w:hAnsi="SimSun" w:eastAsia="SimSun" w:cs="SimSun"/>
          <w:sz w:val="21"/>
          <w:szCs w:val="21"/>
          <w:spacing w:val="-10"/>
        </w:rPr>
        <w:t>撑。在这样一种令人悲观的经济变化中，数字经济部门的相对作用日</w:t>
      </w:r>
      <w:r>
        <w:rPr>
          <w:rFonts w:ascii="SimSun" w:hAnsi="SimSun" w:eastAsia="SimSun" w:cs="SimSun"/>
          <w:sz w:val="21"/>
          <w:szCs w:val="21"/>
          <w:spacing w:val="5"/>
        </w:rPr>
        <w:t xml:space="preserve"> </w:t>
      </w:r>
      <w:r>
        <w:rPr>
          <w:rFonts w:ascii="SimSun" w:hAnsi="SimSun" w:eastAsia="SimSun" w:cs="SimSun"/>
          <w:sz w:val="21"/>
          <w:szCs w:val="21"/>
          <w:spacing w:val="-11"/>
        </w:rPr>
        <w:t>益彰显，因此，如何保持其增长引擎的地位的确在考验最高决策层的</w:t>
      </w:r>
      <w:r>
        <w:rPr>
          <w:rFonts w:ascii="SimSun" w:hAnsi="SimSun" w:eastAsia="SimSun" w:cs="SimSun"/>
          <w:sz w:val="21"/>
          <w:szCs w:val="21"/>
          <w:spacing w:val="14"/>
        </w:rPr>
        <w:t xml:space="preserve"> </w:t>
      </w:r>
      <w:r>
        <w:rPr>
          <w:rFonts w:ascii="SimSun" w:hAnsi="SimSun" w:eastAsia="SimSun" w:cs="SimSun"/>
          <w:sz w:val="21"/>
          <w:szCs w:val="21"/>
          <w:spacing w:val="-10"/>
        </w:rPr>
        <w:t>智慧。</w:t>
      </w:r>
    </w:p>
    <w:p>
      <w:pPr>
        <w:pStyle w:val="BodyText"/>
        <w:spacing w:line="392" w:lineRule="auto"/>
        <w:rPr/>
      </w:pPr>
      <w:r/>
    </w:p>
    <w:p>
      <w:pPr>
        <w:ind w:right="25"/>
        <w:spacing w:before="82" w:line="248" w:lineRule="auto"/>
        <w:rPr>
          <w:rFonts w:ascii="SimHei" w:hAnsi="SimHei" w:eastAsia="SimHei" w:cs="SimHei"/>
          <w:sz w:val="25"/>
          <w:szCs w:val="25"/>
        </w:rPr>
      </w:pPr>
      <w:r>
        <w:rPr>
          <w:rFonts w:ascii="SimHei" w:hAnsi="SimHei" w:eastAsia="SimHei" w:cs="SimHei"/>
          <w:sz w:val="25"/>
          <w:szCs w:val="25"/>
          <w:spacing w:val="-7"/>
        </w:rPr>
        <w:t>行业/部门效率改善及行业间要素重新配置对</w:t>
      </w:r>
      <w:r>
        <w:rPr>
          <w:rFonts w:ascii="SimSun" w:hAnsi="SimSun" w:eastAsia="SimSun" w:cs="SimSun"/>
          <w:sz w:val="25"/>
          <w:szCs w:val="25"/>
          <w:spacing w:val="-7"/>
        </w:rPr>
        <w:t>TFP</w:t>
      </w:r>
      <w:r>
        <w:rPr>
          <w:rFonts w:ascii="SimSun" w:hAnsi="SimSun" w:eastAsia="SimSun" w:cs="SimSun"/>
          <w:sz w:val="25"/>
          <w:szCs w:val="25"/>
          <w:spacing w:val="48"/>
        </w:rPr>
        <w:t xml:space="preserve"> </w:t>
      </w:r>
      <w:r>
        <w:rPr>
          <w:rFonts w:ascii="SimHei" w:hAnsi="SimHei" w:eastAsia="SimHei" w:cs="SimHei"/>
          <w:sz w:val="25"/>
          <w:szCs w:val="25"/>
          <w:spacing w:val="-7"/>
        </w:rPr>
        <w:t>增长的</w:t>
      </w:r>
      <w:r>
        <w:rPr>
          <w:rFonts w:ascii="SimHei" w:hAnsi="SimHei" w:eastAsia="SimHei" w:cs="SimHei"/>
          <w:sz w:val="25"/>
          <w:szCs w:val="25"/>
        </w:rPr>
        <w:t xml:space="preserve"> </w:t>
      </w:r>
      <w:r>
        <w:rPr>
          <w:rFonts w:ascii="SimHei" w:hAnsi="SimHei" w:eastAsia="SimHei" w:cs="SimHei"/>
          <w:sz w:val="25"/>
          <w:szCs w:val="25"/>
          <w:spacing w:val="-4"/>
        </w:rPr>
        <w:t>贡献</w:t>
      </w:r>
    </w:p>
    <w:p>
      <w:pPr>
        <w:pStyle w:val="BodyText"/>
        <w:spacing w:line="329" w:lineRule="auto"/>
        <w:rPr/>
      </w:pPr>
      <w:r/>
    </w:p>
    <w:p>
      <w:pPr>
        <w:ind w:firstLine="379"/>
        <w:spacing w:before="68" w:line="325" w:lineRule="auto"/>
        <w:jc w:val="both"/>
        <w:rPr>
          <w:rFonts w:ascii="SimSun" w:hAnsi="SimSun" w:eastAsia="SimSun" w:cs="SimSun"/>
          <w:sz w:val="21"/>
          <w:szCs w:val="21"/>
        </w:rPr>
      </w:pPr>
      <w:r>
        <w:rPr>
          <w:rFonts w:ascii="SimSun" w:hAnsi="SimSun" w:eastAsia="SimSun" w:cs="SimSun"/>
          <w:sz w:val="21"/>
          <w:szCs w:val="21"/>
        </w:rPr>
        <w:t>在解析行业/部门对中国整体经济</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TFP</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增长的贡献之前，</w:t>
      </w:r>
      <w:r>
        <w:rPr>
          <w:rFonts w:ascii="SimSun" w:hAnsi="SimSun" w:eastAsia="SimSun" w:cs="SimSun"/>
          <w:sz w:val="21"/>
          <w:szCs w:val="21"/>
          <w:spacing w:val="-1"/>
        </w:rPr>
        <w:t>有必</w:t>
      </w:r>
      <w:r>
        <w:rPr>
          <w:rFonts w:ascii="SimSun" w:hAnsi="SimSun" w:eastAsia="SimSun" w:cs="SimSun"/>
          <w:sz w:val="21"/>
          <w:szCs w:val="21"/>
        </w:rPr>
        <w:t xml:space="preserve"> </w:t>
      </w:r>
      <w:r>
        <w:rPr>
          <w:rFonts w:ascii="SimSun" w:hAnsi="SimSun" w:eastAsia="SimSun" w:cs="SimSun"/>
          <w:sz w:val="21"/>
          <w:szCs w:val="21"/>
          <w:spacing w:val="-6"/>
        </w:rPr>
        <w:t>要从数字经济的视角观察主要行业/部门各自生产率的长期表现。图</w:t>
      </w:r>
    </w:p>
    <w:p>
      <w:pPr>
        <w:spacing w:before="1" w:line="219" w:lineRule="auto"/>
        <w:rPr>
          <w:rFonts w:ascii="SimSun" w:hAnsi="SimSun" w:eastAsia="SimSun" w:cs="SimSun"/>
          <w:sz w:val="21"/>
          <w:szCs w:val="21"/>
        </w:rPr>
      </w:pPr>
      <w:r>
        <w:rPr>
          <w:rFonts w:ascii="SimSun" w:hAnsi="SimSun" w:eastAsia="SimSun" w:cs="SimSun"/>
          <w:sz w:val="21"/>
          <w:szCs w:val="21"/>
          <w:spacing w:val="-2"/>
        </w:rPr>
        <w:t>2-11展示了以2001年为初始年的三个时点的</w:t>
      </w:r>
      <w:r>
        <w:rPr>
          <w:rFonts w:ascii="Times New Roman" w:hAnsi="Times New Roman" w:eastAsia="Times New Roman" w:cs="Times New Roman"/>
          <w:sz w:val="21"/>
          <w:szCs w:val="21"/>
          <w:spacing w:val="-2"/>
        </w:rPr>
        <w:t>TFP </w:t>
      </w:r>
      <w:r>
        <w:rPr>
          <w:rFonts w:ascii="SimSun" w:hAnsi="SimSun" w:eastAsia="SimSun" w:cs="SimSun"/>
          <w:sz w:val="21"/>
          <w:szCs w:val="21"/>
          <w:spacing w:val="-2"/>
        </w:rPr>
        <w:t>增长</w:t>
      </w:r>
      <w:r>
        <w:rPr>
          <w:rFonts w:ascii="SimSun" w:hAnsi="SimSun" w:eastAsia="SimSun" w:cs="SimSun"/>
          <w:sz w:val="21"/>
          <w:szCs w:val="21"/>
          <w:spacing w:val="-3"/>
        </w:rPr>
        <w:t>指数。</w:t>
      </w:r>
    </w:p>
    <w:p>
      <w:pPr>
        <w:ind w:firstLine="180"/>
        <w:spacing w:before="162" w:line="3360" w:lineRule="exact"/>
        <w:rPr/>
      </w:pPr>
      <w:r>
        <w:rPr>
          <w:position w:val="-67"/>
        </w:rPr>
        <w:drawing>
          <wp:inline distT="0" distB="0" distL="0" distR="0">
            <wp:extent cx="3644884" cy="2133593"/>
            <wp:effectExtent l="0" t="0" r="0" b="0"/>
            <wp:docPr id="124" name="IM 124"/>
            <wp:cNvGraphicFramePr/>
            <a:graphic>
              <a:graphicData uri="http://schemas.openxmlformats.org/drawingml/2006/picture">
                <pic:pic>
                  <pic:nvPicPr>
                    <pic:cNvPr id="124" name="IM 124"/>
                    <pic:cNvPicPr/>
                  </pic:nvPicPr>
                  <pic:blipFill>
                    <a:blip r:embed="rId139"/>
                    <a:stretch>
                      <a:fillRect/>
                    </a:stretch>
                  </pic:blipFill>
                  <pic:spPr>
                    <a:xfrm rot="0">
                      <a:off x="0" y="0"/>
                      <a:ext cx="3644884" cy="2133593"/>
                    </a:xfrm>
                    <a:prstGeom prst="rect">
                      <a:avLst/>
                    </a:prstGeom>
                  </pic:spPr>
                </pic:pic>
              </a:graphicData>
            </a:graphic>
          </wp:inline>
        </w:drawing>
      </w:r>
    </w:p>
    <w:p>
      <w:pPr>
        <w:ind w:left="2180"/>
        <w:spacing w:before="219" w:line="219" w:lineRule="auto"/>
        <w:rPr>
          <w:rFonts w:ascii="SimSun" w:hAnsi="SimSun" w:eastAsia="SimSun" w:cs="SimSun"/>
          <w:sz w:val="21"/>
          <w:szCs w:val="21"/>
        </w:rPr>
      </w:pPr>
      <w:r>
        <w:rPr>
          <w:rFonts w:ascii="SimSun" w:hAnsi="SimSun" w:eastAsia="SimSun" w:cs="SimSun"/>
          <w:sz w:val="21"/>
          <w:szCs w:val="21"/>
          <w:spacing w:val="-18"/>
        </w:rPr>
        <w:t>■2007年■2012年■2018年</w:t>
      </w:r>
    </w:p>
    <w:p>
      <w:pPr>
        <w:ind w:left="473"/>
        <w:spacing w:before="136" w:line="222" w:lineRule="auto"/>
        <w:rPr>
          <w:rFonts w:ascii="SimHei" w:hAnsi="SimHei" w:eastAsia="SimHei" w:cs="SimHei"/>
          <w:sz w:val="21"/>
          <w:szCs w:val="21"/>
        </w:rPr>
      </w:pPr>
      <w:r>
        <w:rPr>
          <w:rFonts w:ascii="SimHei" w:hAnsi="SimHei" w:eastAsia="SimHei" w:cs="SimHei"/>
          <w:sz w:val="21"/>
          <w:szCs w:val="21"/>
          <w:b/>
          <w:bCs/>
          <w:spacing w:val="-20"/>
        </w:rPr>
        <w:t>图2-11</w:t>
      </w:r>
      <w:r>
        <w:rPr>
          <w:rFonts w:ascii="SimHei" w:hAnsi="SimHei" w:eastAsia="SimHei" w:cs="SimHei"/>
          <w:sz w:val="21"/>
          <w:szCs w:val="21"/>
          <w:spacing w:val="63"/>
        </w:rPr>
        <w:t xml:space="preserve"> </w:t>
      </w:r>
      <w:r>
        <w:rPr>
          <w:rFonts w:ascii="SimHei" w:hAnsi="SimHei" w:eastAsia="SimHei" w:cs="SimHei"/>
          <w:sz w:val="21"/>
          <w:szCs w:val="21"/>
          <w:b/>
          <w:bCs/>
          <w:spacing w:val="-20"/>
        </w:rPr>
        <w:t>中国经济各行业/部门的</w:t>
      </w:r>
      <w:r>
        <w:rPr>
          <w:rFonts w:ascii="SimSun" w:hAnsi="SimSun" w:eastAsia="SimSun" w:cs="SimSun"/>
          <w:sz w:val="21"/>
          <w:szCs w:val="21"/>
          <w:b/>
          <w:bCs/>
          <w:spacing w:val="-20"/>
        </w:rPr>
        <w:t>TFP</w:t>
      </w:r>
      <w:r>
        <w:rPr>
          <w:rFonts w:ascii="SimSun" w:hAnsi="SimSun" w:eastAsia="SimSun" w:cs="SimSun"/>
          <w:sz w:val="21"/>
          <w:szCs w:val="21"/>
          <w:spacing w:val="-35"/>
        </w:rPr>
        <w:t xml:space="preserve"> </w:t>
      </w:r>
      <w:r>
        <w:rPr>
          <w:rFonts w:ascii="SimHei" w:hAnsi="SimHei" w:eastAsia="SimHei" w:cs="SimHei"/>
          <w:sz w:val="21"/>
          <w:szCs w:val="21"/>
          <w:b/>
          <w:bCs/>
          <w:spacing w:val="-20"/>
        </w:rPr>
        <w:t>增长指数：数字经济视角</w:t>
      </w:r>
    </w:p>
    <w:p>
      <w:pPr>
        <w:ind w:left="379"/>
        <w:spacing w:before="158" w:line="225" w:lineRule="auto"/>
        <w:rPr>
          <w:rFonts w:ascii="KaiTi" w:hAnsi="KaiTi" w:eastAsia="KaiTi" w:cs="KaiTi"/>
          <w:sz w:val="16"/>
          <w:szCs w:val="16"/>
        </w:rPr>
      </w:pPr>
      <w:r>
        <w:rPr>
          <w:rFonts w:ascii="KaiTi" w:hAnsi="KaiTi" w:eastAsia="KaiTi" w:cs="KaiTi"/>
          <w:sz w:val="16"/>
          <w:szCs w:val="16"/>
          <w:spacing w:val="4"/>
        </w:rPr>
        <w:t>注：假定2001年的</w:t>
      </w:r>
      <w:r>
        <w:rPr>
          <w:rFonts w:ascii="KaiTi" w:hAnsi="KaiTi" w:eastAsia="KaiTi" w:cs="KaiTi"/>
          <w:sz w:val="16"/>
          <w:szCs w:val="16"/>
          <w:spacing w:val="-47"/>
        </w:rPr>
        <w:t xml:space="preserve"> </w:t>
      </w:r>
      <w:r>
        <w:rPr>
          <w:rFonts w:ascii="Times New Roman" w:hAnsi="Times New Roman" w:eastAsia="Times New Roman" w:cs="Times New Roman"/>
          <w:sz w:val="16"/>
          <w:szCs w:val="16"/>
        </w:rPr>
        <w:t>TFP</w:t>
      </w:r>
      <w:r>
        <w:rPr>
          <w:rFonts w:ascii="Times New Roman" w:hAnsi="Times New Roman" w:eastAsia="Times New Roman" w:cs="Times New Roman"/>
          <w:sz w:val="16"/>
          <w:szCs w:val="16"/>
          <w:spacing w:val="4"/>
        </w:rPr>
        <w:t xml:space="preserve"> </w:t>
      </w:r>
      <w:r>
        <w:rPr>
          <w:rFonts w:ascii="KaiTi" w:hAnsi="KaiTi" w:eastAsia="KaiTi" w:cs="KaiTi"/>
          <w:sz w:val="16"/>
          <w:szCs w:val="16"/>
          <w:spacing w:val="4"/>
        </w:rPr>
        <w:t>增长指数为100。</w:t>
      </w:r>
    </w:p>
    <w:p>
      <w:pPr>
        <w:ind w:left="379"/>
        <w:spacing w:before="50" w:line="220" w:lineRule="auto"/>
        <w:rPr>
          <w:rFonts w:ascii="KaiTi" w:hAnsi="KaiTi" w:eastAsia="KaiTi" w:cs="KaiTi"/>
          <w:sz w:val="16"/>
          <w:szCs w:val="16"/>
        </w:rPr>
      </w:pPr>
      <w:r>
        <w:rPr>
          <w:rFonts w:ascii="KaiTi" w:hAnsi="KaiTi" w:eastAsia="KaiTi" w:cs="KaiTi"/>
          <w:sz w:val="16"/>
          <w:szCs w:val="16"/>
          <w:spacing w:val="-1"/>
        </w:rPr>
        <w:t>资料来源：作者计算，数据出处及构建方法见本章第三节。</w:t>
      </w:r>
    </w:p>
    <w:p>
      <w:pPr>
        <w:spacing w:line="220" w:lineRule="auto"/>
        <w:sectPr>
          <w:headerReference w:type="default" r:id="rId138"/>
          <w:pgSz w:w="7330" w:h="12480"/>
          <w:pgMar w:top="817" w:right="812" w:bottom="400" w:left="499" w:header="643" w:footer="0" w:gutter="0"/>
        </w:sectPr>
        <w:rPr>
          <w:rFonts w:ascii="KaiTi" w:hAnsi="KaiTi" w:eastAsia="KaiTi" w:cs="KaiTi"/>
          <w:sz w:val="16"/>
          <w:szCs w:val="16"/>
        </w:rPr>
      </w:pP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ind w:firstLine="420"/>
        <w:spacing w:before="61" w:line="340" w:lineRule="auto"/>
        <w:jc w:val="both"/>
        <w:rPr>
          <w:rFonts w:ascii="SimSun" w:hAnsi="SimSun" w:eastAsia="SimSun" w:cs="SimSun"/>
          <w:sz w:val="19"/>
          <w:szCs w:val="19"/>
        </w:rPr>
      </w:pPr>
      <w:r>
        <w:rPr>
          <w:rFonts w:ascii="SimSun" w:hAnsi="SimSun" w:eastAsia="SimSun" w:cs="SimSun"/>
          <w:sz w:val="19"/>
          <w:szCs w:val="19"/>
          <w:spacing w:val="8"/>
        </w:rPr>
        <w:t>显然，</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8"/>
        </w:rPr>
        <w:t>生产行业在中国加入世界贸易组织后的“黄金期”和</w:t>
      </w:r>
      <w:r>
        <w:rPr>
          <w:rFonts w:ascii="SimSun" w:hAnsi="SimSun" w:eastAsia="SimSun" w:cs="SimSun"/>
          <w:sz w:val="19"/>
          <w:szCs w:val="19"/>
        </w:rPr>
        <w:t xml:space="preserve"> </w:t>
      </w:r>
      <w:r>
        <w:rPr>
          <w:rFonts w:ascii="SimSun" w:hAnsi="SimSun" w:eastAsia="SimSun" w:cs="SimSun"/>
          <w:sz w:val="19"/>
          <w:szCs w:val="19"/>
          <w:spacing w:val="17"/>
        </w:rPr>
        <w:t>危机后早期都实现了最快的</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40"/>
          <w:w w:val="101"/>
        </w:rPr>
        <w:t xml:space="preserve"> </w:t>
      </w:r>
      <w:r>
        <w:rPr>
          <w:rFonts w:ascii="SimSun" w:hAnsi="SimSun" w:eastAsia="SimSun" w:cs="SimSun"/>
          <w:sz w:val="19"/>
          <w:szCs w:val="19"/>
          <w:spacing w:val="17"/>
        </w:rPr>
        <w:t>增长，在危机后晚期其</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7"/>
        </w:rPr>
        <w:t>增长速</w:t>
      </w:r>
      <w:r>
        <w:rPr>
          <w:rFonts w:ascii="SimSun" w:hAnsi="SimSun" w:eastAsia="SimSun" w:cs="SimSun"/>
          <w:sz w:val="19"/>
          <w:szCs w:val="19"/>
        </w:rPr>
        <w:t xml:space="preserve">  </w:t>
      </w:r>
      <w:r>
        <w:rPr>
          <w:rFonts w:ascii="SimSun" w:hAnsi="SimSun" w:eastAsia="SimSun" w:cs="SimSun"/>
          <w:sz w:val="19"/>
          <w:szCs w:val="19"/>
          <w:spacing w:val="9"/>
        </w:rPr>
        <w:t>度也仅次于农业，后者因机会成本不断上升而持续地释放资源，改善  </w:t>
      </w:r>
      <w:r>
        <w:rPr>
          <w:rFonts w:ascii="SimSun" w:hAnsi="SimSun" w:eastAsia="SimSun" w:cs="SimSun"/>
          <w:sz w:val="19"/>
          <w:szCs w:val="19"/>
          <w:spacing w:val="10"/>
        </w:rPr>
        <w:t>了生产率。此外，</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7"/>
        </w:rPr>
        <w:t xml:space="preserve"> </w:t>
      </w:r>
      <w:r>
        <w:rPr>
          <w:rFonts w:ascii="SimSun" w:hAnsi="SimSun" w:eastAsia="SimSun" w:cs="SimSun"/>
          <w:sz w:val="19"/>
          <w:szCs w:val="19"/>
          <w:spacing w:val="10"/>
        </w:rPr>
        <w:t>集约使用和非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10"/>
        </w:rPr>
        <w:t>集约使用制造业部门之所以</w:t>
      </w:r>
      <w:r>
        <w:rPr>
          <w:rFonts w:ascii="SimSun" w:hAnsi="SimSun" w:eastAsia="SimSun" w:cs="SimSun"/>
          <w:sz w:val="19"/>
          <w:szCs w:val="19"/>
        </w:rPr>
        <w:t xml:space="preserve">  </w:t>
      </w:r>
      <w:r>
        <w:rPr>
          <w:rFonts w:ascii="SimSun" w:hAnsi="SimSun" w:eastAsia="SimSun" w:cs="SimSun"/>
          <w:sz w:val="19"/>
          <w:szCs w:val="19"/>
          <w:spacing w:val="17"/>
        </w:rPr>
        <w:t>在过去的20年里能够维持一定且相似的</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6"/>
        </w:rPr>
        <w:t>增长速度，是因为二者</w:t>
      </w:r>
      <w:r>
        <w:rPr>
          <w:rFonts w:ascii="SimSun" w:hAnsi="SimSun" w:eastAsia="SimSun" w:cs="SimSun"/>
          <w:sz w:val="19"/>
          <w:szCs w:val="19"/>
        </w:rPr>
        <w:t xml:space="preserve">  </w:t>
      </w:r>
      <w:r>
        <w:rPr>
          <w:rFonts w:ascii="SimSun" w:hAnsi="SimSun" w:eastAsia="SimSun" w:cs="SimSun"/>
          <w:sz w:val="19"/>
          <w:szCs w:val="19"/>
          <w:spacing w:val="17"/>
        </w:rPr>
        <w:t>共同拥有的中国制造的成本优势起了重要作用。虽然</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9"/>
          <w:w w:val="101"/>
        </w:rPr>
        <w:t xml:space="preserve"> </w:t>
      </w:r>
      <w:r>
        <w:rPr>
          <w:rFonts w:ascii="SimSun" w:hAnsi="SimSun" w:eastAsia="SimSun" w:cs="SimSun"/>
          <w:sz w:val="19"/>
          <w:szCs w:val="19"/>
          <w:spacing w:val="17"/>
        </w:rPr>
        <w:t>集约使用 </w:t>
      </w:r>
      <w:r>
        <w:rPr>
          <w:rFonts w:ascii="SimSun" w:hAnsi="SimSun" w:eastAsia="SimSun" w:cs="SimSun"/>
          <w:sz w:val="19"/>
          <w:szCs w:val="19"/>
          <w:spacing w:val="11"/>
        </w:rPr>
        <w:t>服务业的</w:t>
      </w:r>
      <w:r>
        <w:rPr>
          <w:rFonts w:ascii="SimSun" w:hAnsi="SimSun" w:eastAsia="SimSun" w:cs="SimSun"/>
          <w:sz w:val="19"/>
          <w:szCs w:val="19"/>
          <w:spacing w:val="-28"/>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1"/>
        </w:rPr>
        <w:t>在“黄金期”增速很高，与</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11"/>
        </w:rPr>
        <w:t>生产行业的表现相当，</w:t>
      </w:r>
      <w:r>
        <w:rPr>
          <w:rFonts w:ascii="SimSun" w:hAnsi="SimSun" w:eastAsia="SimSun" w:cs="SimSun"/>
          <w:sz w:val="19"/>
          <w:szCs w:val="19"/>
        </w:rPr>
        <w:t xml:space="preserve"> </w:t>
      </w:r>
      <w:r>
        <w:rPr>
          <w:rFonts w:ascii="SimSun" w:hAnsi="SimSun" w:eastAsia="SimSun" w:cs="SimSun"/>
          <w:sz w:val="19"/>
          <w:szCs w:val="19"/>
          <w:spacing w:val="10"/>
        </w:rPr>
        <w:t>但是在危机后的表现令人失望，这显然与政府干预和垄</w:t>
      </w:r>
      <w:r>
        <w:rPr>
          <w:rFonts w:ascii="SimSun" w:hAnsi="SimSun" w:eastAsia="SimSun" w:cs="SimSun"/>
          <w:sz w:val="19"/>
          <w:szCs w:val="19"/>
          <w:spacing w:val="9"/>
        </w:rPr>
        <w:t>断这个部门的</w:t>
      </w:r>
      <w:r>
        <w:rPr>
          <w:rFonts w:ascii="SimSun" w:hAnsi="SimSun" w:eastAsia="SimSun" w:cs="SimSun"/>
          <w:sz w:val="19"/>
          <w:szCs w:val="19"/>
        </w:rPr>
        <w:t xml:space="preserve">  </w:t>
      </w:r>
      <w:r>
        <w:rPr>
          <w:rFonts w:ascii="SimSun" w:hAnsi="SimSun" w:eastAsia="SimSun" w:cs="SimSun"/>
          <w:sz w:val="19"/>
          <w:szCs w:val="19"/>
          <w:spacing w:val="18"/>
        </w:rPr>
        <w:t>国有企业的低效率密切相关。最后，非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18"/>
        </w:rPr>
        <w:t>集约</w:t>
      </w:r>
      <w:r>
        <w:rPr>
          <w:rFonts w:ascii="SimSun" w:hAnsi="SimSun" w:eastAsia="SimSun" w:cs="SimSun"/>
          <w:sz w:val="19"/>
          <w:szCs w:val="19"/>
          <w:spacing w:val="17"/>
        </w:rPr>
        <w:t>使用服务业、采掘</w:t>
      </w:r>
    </w:p>
    <w:p>
      <w:pPr>
        <w:spacing w:line="218" w:lineRule="auto"/>
        <w:rPr>
          <w:rFonts w:ascii="SimSun" w:hAnsi="SimSun" w:eastAsia="SimSun" w:cs="SimSun"/>
          <w:sz w:val="19"/>
          <w:szCs w:val="19"/>
        </w:rPr>
      </w:pPr>
      <w:r>
        <w:rPr>
          <w:rFonts w:ascii="SimSun" w:hAnsi="SimSun" w:eastAsia="SimSun" w:cs="SimSun"/>
          <w:sz w:val="19"/>
          <w:szCs w:val="19"/>
          <w:spacing w:val="11"/>
        </w:rPr>
        <w:t>业和非市场服务业的</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1"/>
        </w:rPr>
        <w:t>表现也一直乏善可陈。</w:t>
      </w:r>
    </w:p>
    <w:p>
      <w:pPr>
        <w:ind w:right="7" w:firstLine="469"/>
        <w:spacing w:before="204" w:line="351" w:lineRule="auto"/>
        <w:jc w:val="both"/>
        <w:rPr>
          <w:rFonts w:ascii="SimSun" w:hAnsi="SimSun" w:eastAsia="SimSun" w:cs="SimSun"/>
          <w:sz w:val="19"/>
          <w:szCs w:val="19"/>
        </w:rPr>
      </w:pPr>
      <w:r>
        <w:rPr>
          <w:rFonts w:ascii="SimSun" w:hAnsi="SimSun" w:eastAsia="SimSun" w:cs="SimSun"/>
          <w:sz w:val="19"/>
          <w:szCs w:val="19"/>
          <w:spacing w:val="17"/>
        </w:rPr>
        <w:t>行业自身的生产率变化通过行业间的投入产出关系，以及资源</w:t>
      </w:r>
      <w:r>
        <w:rPr>
          <w:rFonts w:ascii="SimSun" w:hAnsi="SimSun" w:eastAsia="SimSun" w:cs="SimSun"/>
          <w:sz w:val="19"/>
          <w:szCs w:val="19"/>
          <w:spacing w:val="7"/>
        </w:rPr>
        <w:t xml:space="preserve"> </w:t>
      </w:r>
      <w:r>
        <w:rPr>
          <w:rFonts w:ascii="SimSun" w:hAnsi="SimSun" w:eastAsia="SimSun" w:cs="SimSun"/>
          <w:sz w:val="19"/>
          <w:szCs w:val="19"/>
          <w:spacing w:val="15"/>
        </w:rPr>
        <w:t>在不同行业之间的重新配置，影响着整体经济的</w:t>
      </w:r>
      <w:r>
        <w:rPr>
          <w:rFonts w:ascii="SimSun" w:hAnsi="SimSun" w:eastAsia="SimSun" w:cs="SimSun"/>
          <w:sz w:val="19"/>
          <w:szCs w:val="19"/>
        </w:rPr>
        <w:t>TFP</w:t>
      </w:r>
      <w:r>
        <w:rPr>
          <w:rFonts w:ascii="SimSun" w:hAnsi="SimSun" w:eastAsia="SimSun" w:cs="SimSun"/>
          <w:sz w:val="19"/>
          <w:szCs w:val="19"/>
          <w:spacing w:val="15"/>
        </w:rPr>
        <w:t xml:space="preserve"> 表现。表2-</w:t>
      </w:r>
      <w:r>
        <w:rPr>
          <w:rFonts w:ascii="SimSun" w:hAnsi="SimSun" w:eastAsia="SimSun" w:cs="SimSun"/>
          <w:sz w:val="19"/>
          <w:szCs w:val="19"/>
          <w:spacing w:val="-50"/>
        </w:rPr>
        <w:t xml:space="preserve"> </w:t>
      </w:r>
      <w:r>
        <w:rPr>
          <w:rFonts w:ascii="SimSun" w:hAnsi="SimSun" w:eastAsia="SimSun" w:cs="SimSun"/>
          <w:sz w:val="19"/>
          <w:szCs w:val="19"/>
          <w:spacing w:val="15"/>
        </w:rPr>
        <w:t>14</w:t>
      </w:r>
      <w:r>
        <w:rPr>
          <w:rFonts w:ascii="SimSun" w:hAnsi="SimSun" w:eastAsia="SimSun" w:cs="SimSun"/>
          <w:sz w:val="19"/>
          <w:szCs w:val="19"/>
        </w:rPr>
        <w:t xml:space="preserve"> </w:t>
      </w:r>
      <w:r>
        <w:rPr>
          <w:rFonts w:ascii="SimSun" w:hAnsi="SimSun" w:eastAsia="SimSun" w:cs="SimSun"/>
          <w:sz w:val="19"/>
          <w:szCs w:val="19"/>
          <w:spacing w:val="18"/>
        </w:rPr>
        <w:t>中行业/部门的</w:t>
      </w:r>
      <w:r>
        <w:rPr>
          <w:rFonts w:ascii="SimSun" w:hAnsi="SimSun" w:eastAsia="SimSun" w:cs="SimSun"/>
          <w:sz w:val="19"/>
          <w:szCs w:val="19"/>
          <w:spacing w:val="-40"/>
        </w:rPr>
        <w:t xml:space="preserve"> </w:t>
      </w:r>
      <w:r>
        <w:rPr>
          <w:rFonts w:ascii="SimSun" w:hAnsi="SimSun" w:eastAsia="SimSun" w:cs="SimSun"/>
          <w:sz w:val="19"/>
          <w:szCs w:val="19"/>
        </w:rPr>
        <w:t>TFP</w:t>
      </w:r>
      <w:r>
        <w:rPr>
          <w:rFonts w:ascii="SimSun" w:hAnsi="SimSun" w:eastAsia="SimSun" w:cs="SimSun"/>
          <w:sz w:val="19"/>
          <w:szCs w:val="19"/>
          <w:spacing w:val="18"/>
        </w:rPr>
        <w:t xml:space="preserve"> 贡献部分显示，在整个考察期间，中国经济的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年平均增速为0.54%。通过</w:t>
      </w:r>
      <w:r>
        <w:rPr>
          <w:rFonts w:ascii="Times New Roman" w:hAnsi="Times New Roman" w:eastAsia="Times New Roman" w:cs="Times New Roman"/>
          <w:sz w:val="19"/>
          <w:szCs w:val="19"/>
          <w:spacing w:val="12"/>
        </w:rPr>
        <w:t>Tö</w:t>
      </w:r>
      <w:r>
        <w:rPr>
          <w:rFonts w:ascii="Times New Roman" w:hAnsi="Times New Roman" w:eastAsia="Times New Roman" w:cs="Times New Roman"/>
          <w:sz w:val="19"/>
          <w:szCs w:val="19"/>
        </w:rPr>
        <w:t>rnqvist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指数方法加权，得到行业/</w:t>
      </w:r>
      <w:r>
        <w:rPr>
          <w:rFonts w:ascii="SimSun" w:hAnsi="SimSun" w:eastAsia="SimSun" w:cs="SimSun"/>
          <w:sz w:val="19"/>
          <w:szCs w:val="19"/>
          <w:spacing w:val="16"/>
        </w:rPr>
        <w:t xml:space="preserve"> </w:t>
      </w:r>
      <w:r>
        <w:rPr>
          <w:rFonts w:ascii="SimSun" w:hAnsi="SimSun" w:eastAsia="SimSun" w:cs="SimSun"/>
          <w:sz w:val="19"/>
          <w:szCs w:val="19"/>
          <w:spacing w:val="21"/>
        </w:rPr>
        <w:t>部门加总贡献0.33个百分点，其中</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7"/>
        </w:rPr>
        <w:t xml:space="preserve"> </w:t>
      </w:r>
      <w:r>
        <w:rPr>
          <w:rFonts w:ascii="SimSun" w:hAnsi="SimSun" w:eastAsia="SimSun" w:cs="SimSun"/>
          <w:sz w:val="19"/>
          <w:szCs w:val="19"/>
          <w:spacing w:val="21"/>
        </w:rPr>
        <w:t>生产行业贡献0.52个百分 </w:t>
      </w:r>
      <w:r>
        <w:rPr>
          <w:rFonts w:ascii="SimSun" w:hAnsi="SimSun" w:eastAsia="SimSun" w:cs="SimSun"/>
          <w:sz w:val="19"/>
          <w:szCs w:val="19"/>
          <w:spacing w:val="9"/>
        </w:rPr>
        <w:t>点 ，</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45"/>
          <w:w w:val="101"/>
        </w:rPr>
        <w:t xml:space="preserve"> </w:t>
      </w:r>
      <w:r>
        <w:rPr>
          <w:rFonts w:ascii="SimSun" w:hAnsi="SimSun" w:eastAsia="SimSun" w:cs="SimSun"/>
          <w:sz w:val="19"/>
          <w:szCs w:val="19"/>
          <w:spacing w:val="9"/>
        </w:rPr>
        <w:t>集约使用制造业贡献0.85个百分点， </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9"/>
        </w:rPr>
        <w:t>集约使用服务业</w:t>
      </w:r>
      <w:r>
        <w:rPr>
          <w:rFonts w:ascii="SimSun" w:hAnsi="SimSun" w:eastAsia="SimSun" w:cs="SimSun"/>
          <w:sz w:val="19"/>
          <w:szCs w:val="19"/>
        </w:rPr>
        <w:t xml:space="preserve">  </w:t>
      </w:r>
      <w:r>
        <w:rPr>
          <w:rFonts w:ascii="SimSun" w:hAnsi="SimSun" w:eastAsia="SimSun" w:cs="SimSun"/>
          <w:sz w:val="19"/>
          <w:szCs w:val="19"/>
          <w:spacing w:val="16"/>
        </w:rPr>
        <w:t>贡献0.15个百分点。在其他行业中，非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16"/>
        </w:rPr>
        <w:t>集约使用制造业</w:t>
      </w:r>
      <w:r>
        <w:rPr>
          <w:rFonts w:ascii="SimSun" w:hAnsi="SimSun" w:eastAsia="SimSun" w:cs="SimSun"/>
          <w:sz w:val="19"/>
          <w:szCs w:val="19"/>
          <w:spacing w:val="15"/>
        </w:rPr>
        <w:t>贡献最 </w:t>
      </w:r>
      <w:r>
        <w:rPr>
          <w:rFonts w:ascii="SimSun" w:hAnsi="SimSun" w:eastAsia="SimSun" w:cs="SimSun"/>
          <w:sz w:val="19"/>
          <w:szCs w:val="19"/>
          <w:spacing w:val="16"/>
        </w:rPr>
        <w:t>大，达到了0.95个百分点，但是非市场服务业和非</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16"/>
        </w:rPr>
        <w:t>集约</w:t>
      </w:r>
      <w:r>
        <w:rPr>
          <w:rFonts w:ascii="SimSun" w:hAnsi="SimSun" w:eastAsia="SimSun" w:cs="SimSun"/>
          <w:sz w:val="19"/>
          <w:szCs w:val="19"/>
          <w:spacing w:val="15"/>
        </w:rPr>
        <w:t>使用服 </w:t>
      </w:r>
      <w:r>
        <w:rPr>
          <w:rFonts w:ascii="SimSun" w:hAnsi="SimSun" w:eastAsia="SimSun" w:cs="SimSun"/>
          <w:sz w:val="19"/>
          <w:szCs w:val="19"/>
          <w:spacing w:val="12"/>
        </w:rPr>
        <w:t>务业给整体经济造成了严重的</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31"/>
        </w:rPr>
        <w:t xml:space="preserve"> </w:t>
      </w:r>
      <w:r>
        <w:rPr>
          <w:rFonts w:ascii="SimSun" w:hAnsi="SimSun" w:eastAsia="SimSun" w:cs="SimSun"/>
          <w:sz w:val="19"/>
          <w:szCs w:val="19"/>
          <w:spacing w:val="12"/>
        </w:rPr>
        <w:t>损失，其贡献分别为-1.6</w:t>
      </w:r>
      <w:r>
        <w:rPr>
          <w:rFonts w:ascii="SimSun" w:hAnsi="SimSun" w:eastAsia="SimSun" w:cs="SimSun"/>
          <w:sz w:val="19"/>
          <w:szCs w:val="19"/>
          <w:spacing w:val="11"/>
        </w:rPr>
        <w:t>1个百分</w:t>
      </w:r>
    </w:p>
    <w:p>
      <w:pPr>
        <w:spacing w:line="219" w:lineRule="auto"/>
        <w:rPr>
          <w:rFonts w:ascii="SimSun" w:hAnsi="SimSun" w:eastAsia="SimSun" w:cs="SimSun"/>
          <w:sz w:val="19"/>
          <w:szCs w:val="19"/>
        </w:rPr>
      </w:pPr>
      <w:r>
        <w:rPr>
          <w:rFonts w:ascii="SimSun" w:hAnsi="SimSun" w:eastAsia="SimSun" w:cs="SimSun"/>
          <w:sz w:val="19"/>
          <w:szCs w:val="19"/>
          <w:spacing w:val="8"/>
        </w:rPr>
        <w:t>点和-0.67个百分点。</w:t>
      </w:r>
    </w:p>
    <w:p>
      <w:pPr>
        <w:ind w:right="9" w:firstLine="480"/>
        <w:spacing w:before="122" w:line="350" w:lineRule="auto"/>
        <w:jc w:val="both"/>
        <w:rPr>
          <w:rFonts w:ascii="SimSun" w:hAnsi="SimSun" w:eastAsia="SimSun" w:cs="SimSun"/>
          <w:sz w:val="19"/>
          <w:szCs w:val="19"/>
        </w:rPr>
      </w:pPr>
      <w:r>
        <w:rPr>
          <w:rFonts w:ascii="SimSun" w:hAnsi="SimSun" w:eastAsia="SimSun" w:cs="SimSun"/>
          <w:sz w:val="19"/>
          <w:szCs w:val="19"/>
          <w:spacing w:val="13"/>
        </w:rPr>
        <w:t>逻辑上，行业/部门之间如此巨大且持续的</w:t>
      </w:r>
      <w:r>
        <w:rPr>
          <w:rFonts w:ascii="SimSun" w:hAnsi="SimSun" w:eastAsia="SimSun" w:cs="SimSun"/>
          <w:sz w:val="19"/>
          <w:szCs w:val="19"/>
        </w:rPr>
        <w:t>TFP</w:t>
      </w:r>
      <w:r>
        <w:rPr>
          <w:rFonts w:ascii="SimSun" w:hAnsi="SimSun" w:eastAsia="SimSun" w:cs="SimSun"/>
          <w:sz w:val="19"/>
          <w:szCs w:val="19"/>
          <w:spacing w:val="13"/>
        </w:rPr>
        <w:t xml:space="preserve"> 增长差异反映了</w:t>
      </w:r>
      <w:r>
        <w:rPr>
          <w:rFonts w:ascii="SimSun" w:hAnsi="SimSun" w:eastAsia="SimSun" w:cs="SimSun"/>
          <w:sz w:val="19"/>
          <w:szCs w:val="19"/>
          <w:spacing w:val="8"/>
        </w:rPr>
        <w:t xml:space="preserve"> </w:t>
      </w:r>
      <w:r>
        <w:rPr>
          <w:rFonts w:ascii="SimSun" w:hAnsi="SimSun" w:eastAsia="SimSun" w:cs="SimSun"/>
          <w:sz w:val="19"/>
          <w:szCs w:val="19"/>
          <w:spacing w:val="9"/>
        </w:rPr>
        <w:t>增长和效率的严重脱节，也意味着行业间的要素流动，即要素的配置 </w:t>
      </w:r>
      <w:r>
        <w:rPr>
          <w:rFonts w:ascii="SimSun" w:hAnsi="SimSun" w:eastAsia="SimSun" w:cs="SimSun"/>
          <w:sz w:val="19"/>
          <w:szCs w:val="19"/>
          <w:spacing w:val="9"/>
        </w:rPr>
        <w:t>与重新配置在相当程度上并没有遵循市场竞争的原则。理论上，在没 </w:t>
      </w:r>
      <w:r>
        <w:rPr>
          <w:rFonts w:ascii="SimSun" w:hAnsi="SimSun" w:eastAsia="SimSun" w:cs="SimSun"/>
          <w:sz w:val="19"/>
          <w:szCs w:val="19"/>
          <w:spacing w:val="6"/>
        </w:rPr>
        <w:t>有市场或要素成本扭曲的情况下，</w:t>
      </w:r>
      <w:r>
        <w:rPr>
          <w:rFonts w:ascii="SimSun" w:hAnsi="SimSun" w:eastAsia="SimSun" w:cs="SimSun"/>
          <w:sz w:val="19"/>
          <w:szCs w:val="19"/>
          <w:spacing w:val="-6"/>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31"/>
        </w:rPr>
        <w:t xml:space="preserve"> </w:t>
      </w:r>
      <w:r>
        <w:rPr>
          <w:rFonts w:ascii="SimSun" w:hAnsi="SimSun" w:eastAsia="SimSun" w:cs="SimSun"/>
          <w:sz w:val="19"/>
          <w:szCs w:val="19"/>
          <w:spacing w:val="6"/>
        </w:rPr>
        <w:t>零增长意味着资本有正常的回 </w:t>
      </w:r>
      <w:r>
        <w:rPr>
          <w:rFonts w:ascii="SimSun" w:hAnsi="SimSun" w:eastAsia="SimSun" w:cs="SimSun"/>
          <w:sz w:val="19"/>
          <w:szCs w:val="19"/>
          <w:spacing w:val="13"/>
        </w:rPr>
        <w:t>报率，</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31"/>
        </w:rPr>
        <w:t xml:space="preserve"> </w:t>
      </w:r>
      <w:r>
        <w:rPr>
          <w:rFonts w:ascii="SimSun" w:hAnsi="SimSun" w:eastAsia="SimSun" w:cs="SimSun"/>
          <w:sz w:val="19"/>
          <w:szCs w:val="19"/>
          <w:spacing w:val="13"/>
        </w:rPr>
        <w:t>正增长意味着有超额利润，但是</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40"/>
          <w:w w:val="102"/>
        </w:rPr>
        <w:t xml:space="preserve"> </w:t>
      </w:r>
      <w:r>
        <w:rPr>
          <w:rFonts w:ascii="SimSun" w:hAnsi="SimSun" w:eastAsia="SimSun" w:cs="SimSun"/>
          <w:sz w:val="19"/>
          <w:szCs w:val="19"/>
          <w:spacing w:val="13"/>
        </w:rPr>
        <w:t>负增长意味着资本 </w:t>
      </w:r>
      <w:r>
        <w:rPr>
          <w:rFonts w:ascii="SimSun" w:hAnsi="SimSun" w:eastAsia="SimSun" w:cs="SimSun"/>
          <w:sz w:val="19"/>
          <w:szCs w:val="19"/>
          <w:spacing w:val="8"/>
        </w:rPr>
        <w:t>回报率低于正常水平。</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损失可能在受到市场短期冲击时出现，但</w:t>
      </w:r>
    </w:p>
    <w:p>
      <w:pPr>
        <w:spacing w:before="1" w:line="218" w:lineRule="auto"/>
        <w:rPr>
          <w:rFonts w:ascii="SimSun" w:hAnsi="SimSun" w:eastAsia="SimSun" w:cs="SimSun"/>
          <w:sz w:val="19"/>
          <w:szCs w:val="19"/>
        </w:rPr>
      </w:pPr>
      <w:r>
        <w:rPr>
          <w:rFonts w:ascii="SimSun" w:hAnsi="SimSun" w:eastAsia="SimSun" w:cs="SimSun"/>
          <w:sz w:val="19"/>
          <w:szCs w:val="19"/>
          <w:spacing w:val="9"/>
        </w:rPr>
        <w:t>是不应该长期持续，否则就不符合经济学逻辑。可以肯定地说，政府</w:t>
      </w:r>
    </w:p>
    <w:p>
      <w:pPr>
        <w:spacing w:line="218" w:lineRule="auto"/>
        <w:sectPr>
          <w:headerReference w:type="default" r:id="rId140"/>
          <w:pgSz w:w="7330" w:h="12480"/>
          <w:pgMar w:top="547" w:right="684" w:bottom="400" w:left="569" w:header="385" w:footer="0" w:gutter="0"/>
        </w:sectPr>
        <w:rPr>
          <w:rFonts w:ascii="SimSun" w:hAnsi="SimSun" w:eastAsia="SimSun" w:cs="SimSun"/>
          <w:sz w:val="19"/>
          <w:szCs w:val="19"/>
        </w:rPr>
      </w:pPr>
    </w:p>
    <w:p>
      <w:pPr>
        <w:ind w:left="1650"/>
        <w:spacing w:before="192" w:line="216" w:lineRule="auto"/>
        <w:rPr>
          <w:rFonts w:ascii="SimSun" w:hAnsi="SimSun" w:eastAsia="SimSun" w:cs="SimSun"/>
          <w:sz w:val="12"/>
          <w:szCs w:val="12"/>
        </w:rPr>
      </w:pPr>
      <w:r>
        <w:pict>
          <v:shape id="_x0000_s60" style="position:absolute;margin-left:34.5066pt;margin-top:281.817pt;mso-position-vertical-relative:page;mso-position-horizontal-relative:page;width:40.75pt;height:11.55pt;z-index:252838912;"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8"/>
                    </w:rPr>
                    <w:t>非</w:t>
                  </w:r>
                  <w:r>
                    <w:rPr>
                      <w:rFonts w:ascii="SimSun" w:hAnsi="SimSun" w:eastAsia="SimSun" w:cs="SimSun"/>
                      <w:sz w:val="16"/>
                      <w:szCs w:val="16"/>
                    </w:rPr>
                    <w:t>ICT</w:t>
                  </w:r>
                  <w:r>
                    <w:rPr>
                      <w:rFonts w:ascii="SimSun" w:hAnsi="SimSun" w:eastAsia="SimSun" w:cs="SimSun"/>
                      <w:sz w:val="16"/>
                      <w:szCs w:val="16"/>
                      <w:spacing w:val="18"/>
                    </w:rPr>
                    <w:t>集约</w:t>
                  </w:r>
                </w:p>
              </w:txbxContent>
            </v:textbox>
          </v:shape>
        </w:pict>
      </w:r>
      <w:r>
        <w:rPr>
          <w:rFonts w:ascii="YouYuan" w:hAnsi="YouYuan" w:eastAsia="YouYuan" w:cs="YouYuan"/>
          <w:sz w:val="19"/>
          <w:szCs w:val="19"/>
          <w:spacing w:val="-14"/>
          <w:w w:val="89"/>
        </w:rPr>
        <w:t>第二章</w:t>
      </w:r>
      <w:r>
        <w:rPr>
          <w:rFonts w:ascii="YouYuan" w:hAnsi="YouYuan" w:eastAsia="YouYuan" w:cs="YouYuan"/>
          <w:sz w:val="19"/>
          <w:szCs w:val="19"/>
          <w:spacing w:val="-14"/>
          <w:w w:val="89"/>
        </w:rPr>
        <w:t xml:space="preserve">  </w:t>
      </w:r>
      <w:r>
        <w:rPr>
          <w:rFonts w:ascii="YouYuan" w:hAnsi="YouYuan" w:eastAsia="YouYuan" w:cs="YouYuan"/>
          <w:sz w:val="19"/>
          <w:szCs w:val="19"/>
          <w:spacing w:val="-14"/>
          <w:w w:val="89"/>
        </w:rPr>
        <w:t>数字经济对中国经济增长的影响</w:t>
      </w:r>
      <w:r>
        <w:rPr>
          <w:rFonts w:ascii="YouYuan" w:hAnsi="YouYuan" w:eastAsia="YouYuan" w:cs="YouYuan"/>
          <w:sz w:val="19"/>
          <w:szCs w:val="19"/>
          <w:spacing w:val="2"/>
        </w:rPr>
        <w:t xml:space="preserve">              </w:t>
      </w:r>
      <w:r>
        <w:rPr>
          <w:rFonts w:ascii="SimSun" w:hAnsi="SimSun" w:eastAsia="SimSun" w:cs="SimSun"/>
          <w:sz w:val="12"/>
          <w:szCs w:val="12"/>
          <w:spacing w:val="-3"/>
          <w:position w:val="-4"/>
        </w:rPr>
        <w:t>105</w:t>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ind w:left="310"/>
        <w:spacing w:before="62" w:line="371" w:lineRule="exact"/>
        <w:rPr>
          <w:rFonts w:ascii="SimHei" w:hAnsi="SimHei" w:eastAsia="SimHei" w:cs="SimHei"/>
          <w:sz w:val="19"/>
          <w:szCs w:val="19"/>
        </w:rPr>
      </w:pPr>
      <w:r>
        <w:rPr>
          <w:rFonts w:ascii="SimHei" w:hAnsi="SimHei" w:eastAsia="SimHei" w:cs="SimHei"/>
          <w:sz w:val="19"/>
          <w:szCs w:val="19"/>
          <w:spacing w:val="-2"/>
          <w:position w:val="13"/>
        </w:rPr>
        <w:t>表2-14</w:t>
      </w:r>
      <w:r>
        <w:rPr>
          <w:rFonts w:ascii="SimHei" w:hAnsi="SimHei" w:eastAsia="SimHei" w:cs="SimHei"/>
          <w:sz w:val="19"/>
          <w:szCs w:val="19"/>
          <w:spacing w:val="71"/>
          <w:position w:val="13"/>
        </w:rPr>
        <w:t xml:space="preserve"> </w:t>
      </w:r>
      <w:r>
        <w:rPr>
          <w:rFonts w:ascii="SimHei" w:hAnsi="SimHei" w:eastAsia="SimHei" w:cs="SimHei"/>
          <w:sz w:val="19"/>
          <w:szCs w:val="19"/>
          <w:spacing w:val="-2"/>
          <w:position w:val="13"/>
        </w:rPr>
        <w:t>行业/部门及行业间要素重新配置对中国</w:t>
      </w:r>
      <w:r>
        <w:rPr>
          <w:rFonts w:ascii="SimSun" w:hAnsi="SimSun" w:eastAsia="SimSun" w:cs="SimSun"/>
          <w:sz w:val="19"/>
          <w:szCs w:val="19"/>
          <w:spacing w:val="-2"/>
          <w:position w:val="13"/>
        </w:rPr>
        <w:t>TFP</w:t>
      </w:r>
      <w:r>
        <w:rPr>
          <w:rFonts w:ascii="SimSun" w:hAnsi="SimSun" w:eastAsia="SimSun" w:cs="SimSun"/>
          <w:sz w:val="19"/>
          <w:szCs w:val="19"/>
          <w:spacing w:val="-3"/>
          <w:position w:val="13"/>
        </w:rPr>
        <w:t xml:space="preserve"> </w:t>
      </w:r>
      <w:r>
        <w:rPr>
          <w:rFonts w:ascii="SimHei" w:hAnsi="SimHei" w:eastAsia="SimHei" w:cs="SimHei"/>
          <w:sz w:val="19"/>
          <w:szCs w:val="19"/>
          <w:spacing w:val="-3"/>
          <w:position w:val="13"/>
        </w:rPr>
        <w:t>增长的贡献：</w:t>
      </w:r>
    </w:p>
    <w:p>
      <w:pPr>
        <w:ind w:left="2490"/>
        <w:spacing w:line="221" w:lineRule="auto"/>
        <w:rPr>
          <w:rFonts w:ascii="SimHei" w:hAnsi="SimHei" w:eastAsia="SimHei" w:cs="SimHei"/>
          <w:sz w:val="19"/>
          <w:szCs w:val="19"/>
        </w:rPr>
      </w:pPr>
      <w:r>
        <w:rPr>
          <w:rFonts w:ascii="SimHei" w:hAnsi="SimHei" w:eastAsia="SimHei" w:cs="SimHei"/>
          <w:sz w:val="19"/>
          <w:szCs w:val="19"/>
          <w:spacing w:val="-11"/>
        </w:rPr>
        <w:t>数字经济视角</w:t>
      </w:r>
    </w:p>
    <w:p>
      <w:pPr>
        <w:spacing w:line="59" w:lineRule="exact"/>
        <w:rPr/>
      </w:pPr>
      <w:r/>
    </w:p>
    <w:tbl>
      <w:tblPr>
        <w:tblStyle w:val="TableNormal"/>
        <w:tblW w:w="607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6"/>
        <w:gridCol w:w="3510"/>
        <w:gridCol w:w="1224"/>
      </w:tblGrid>
      <w:tr>
        <w:trPr>
          <w:trHeight w:val="316" w:hRule="atLeast"/>
        </w:trPr>
        <w:tc>
          <w:tcPr>
            <w:tcW w:w="4846" w:type="dxa"/>
            <w:vAlign w:val="top"/>
            <w:gridSpan w:val="2"/>
            <w:tcBorders>
              <w:bottom w:val="single" w:color="000000" w:sz="4" w:space="0"/>
              <w:top w:val="single" w:color="000000" w:sz="4" w:space="0"/>
            </w:tcBorders>
          </w:tcPr>
          <w:p>
            <w:pPr>
              <w:pStyle w:val="TableText"/>
              <w:ind w:left="1390"/>
              <w:spacing w:before="111" w:line="213" w:lineRule="auto"/>
              <w:rPr>
                <w:sz w:val="16"/>
                <w:szCs w:val="16"/>
              </w:rPr>
            </w:pPr>
            <w:r>
              <w:rPr>
                <w:sz w:val="16"/>
                <w:szCs w:val="16"/>
                <w:spacing w:val="-1"/>
              </w:rPr>
              <w:t>2001—2007年   2007—2012年</w:t>
            </w:r>
            <w:r>
              <w:rPr>
                <w:sz w:val="16"/>
                <w:szCs w:val="16"/>
                <w:spacing w:val="21"/>
                <w:w w:val="101"/>
              </w:rPr>
              <w:t xml:space="preserve">  </w:t>
            </w:r>
            <w:r>
              <w:rPr>
                <w:sz w:val="16"/>
                <w:szCs w:val="16"/>
                <w:spacing w:val="-1"/>
                <w:position w:val="1"/>
              </w:rPr>
              <w:t>2012—2018年</w:t>
            </w:r>
          </w:p>
        </w:tc>
        <w:tc>
          <w:tcPr>
            <w:tcW w:w="1224" w:type="dxa"/>
            <w:vAlign w:val="top"/>
            <w:tcBorders>
              <w:bottom w:val="single" w:color="000000" w:sz="4" w:space="0"/>
              <w:top w:val="single" w:color="000000" w:sz="4" w:space="0"/>
            </w:tcBorders>
          </w:tcPr>
          <w:p>
            <w:pPr>
              <w:pStyle w:val="TableText"/>
              <w:ind w:left="172"/>
              <w:spacing w:before="111" w:line="219" w:lineRule="auto"/>
              <w:rPr>
                <w:sz w:val="16"/>
                <w:szCs w:val="16"/>
              </w:rPr>
            </w:pPr>
            <w:r>
              <w:rPr>
                <w:sz w:val="16"/>
                <w:szCs w:val="16"/>
                <w:spacing w:val="-1"/>
              </w:rPr>
              <w:t>2001—2018年</w:t>
            </w:r>
          </w:p>
        </w:tc>
      </w:tr>
      <w:tr>
        <w:trPr>
          <w:trHeight w:val="907" w:hRule="atLeast"/>
        </w:trPr>
        <w:tc>
          <w:tcPr>
            <w:tcW w:w="1336" w:type="dxa"/>
            <w:vAlign w:val="top"/>
            <w:tcBorders>
              <w:top w:val="single" w:color="000000" w:sz="4" w:space="0"/>
            </w:tcBorders>
          </w:tcPr>
          <w:p>
            <w:pPr>
              <w:pStyle w:val="TableText"/>
              <w:ind w:left="252" w:right="210"/>
              <w:spacing w:before="104" w:line="236" w:lineRule="auto"/>
              <w:rPr>
                <w:sz w:val="16"/>
                <w:szCs w:val="16"/>
              </w:rPr>
            </w:pPr>
            <w:r>
              <w:rPr>
                <w:sz w:val="16"/>
                <w:szCs w:val="16"/>
                <w:b/>
                <w:bCs/>
                <w:spacing w:val="-3"/>
              </w:rPr>
              <w:t>整体经济TFP</w:t>
            </w:r>
            <w:r>
              <w:rPr>
                <w:sz w:val="16"/>
                <w:szCs w:val="16"/>
                <w:spacing w:val="1"/>
              </w:rPr>
              <w:t xml:space="preserve"> </w:t>
            </w:r>
            <w:r>
              <w:rPr>
                <w:sz w:val="16"/>
                <w:szCs w:val="16"/>
                <w:b/>
                <w:bCs/>
                <w:spacing w:val="3"/>
              </w:rPr>
              <w:t>增长率(%)</w:t>
            </w:r>
          </w:p>
        </w:tc>
        <w:tc>
          <w:tcPr>
            <w:tcW w:w="3510" w:type="dxa"/>
            <w:vAlign w:val="top"/>
            <w:tcBorders>
              <w:top w:val="single" w:color="000000" w:sz="4" w:space="0"/>
            </w:tcBorders>
          </w:tcPr>
          <w:p>
            <w:pPr>
              <w:pStyle w:val="TableText"/>
              <w:ind w:left="444"/>
              <w:spacing w:before="246" w:line="183" w:lineRule="auto"/>
              <w:rPr>
                <w:sz w:val="16"/>
                <w:szCs w:val="16"/>
              </w:rPr>
            </w:pPr>
            <w:r>
              <w:rPr>
                <w:sz w:val="16"/>
                <w:szCs w:val="16"/>
                <w:spacing w:val="-2"/>
              </w:rPr>
              <w:t>1.97          -0.29          -0.19</w:t>
            </w:r>
          </w:p>
          <w:p>
            <w:pPr>
              <w:pStyle w:val="TableText"/>
              <w:ind w:left="436"/>
              <w:spacing w:before="248" w:line="219" w:lineRule="auto"/>
              <w:rPr>
                <w:sz w:val="16"/>
                <w:szCs w:val="16"/>
              </w:rPr>
            </w:pPr>
            <w:r>
              <w:rPr>
                <w:sz w:val="16"/>
                <w:szCs w:val="16"/>
                <w:b/>
                <w:bCs/>
              </w:rPr>
              <w:t>行业/部门对TFP的贡献(百分点)</w:t>
            </w:r>
          </w:p>
        </w:tc>
        <w:tc>
          <w:tcPr>
            <w:tcW w:w="1224" w:type="dxa"/>
            <w:vAlign w:val="top"/>
            <w:tcBorders>
              <w:top w:val="single" w:color="000000" w:sz="4" w:space="0"/>
            </w:tcBorders>
          </w:tcPr>
          <w:p>
            <w:pPr>
              <w:pStyle w:val="TableText"/>
              <w:ind w:left="444"/>
              <w:spacing w:before="246" w:line="183" w:lineRule="auto"/>
              <w:rPr>
                <w:sz w:val="16"/>
                <w:szCs w:val="16"/>
              </w:rPr>
            </w:pPr>
            <w:r>
              <w:rPr>
                <w:sz w:val="16"/>
                <w:szCs w:val="16"/>
                <w:spacing w:val="-2"/>
              </w:rPr>
              <w:t>0.54</w:t>
            </w:r>
          </w:p>
        </w:tc>
      </w:tr>
      <w:tr>
        <w:trPr>
          <w:trHeight w:val="337" w:hRule="atLeast"/>
        </w:trPr>
        <w:tc>
          <w:tcPr>
            <w:tcW w:w="1336" w:type="dxa"/>
            <w:vAlign w:val="top"/>
          </w:tcPr>
          <w:p>
            <w:pPr>
              <w:pStyle w:val="TableText"/>
              <w:ind w:left="130"/>
              <w:spacing w:before="88" w:line="219" w:lineRule="auto"/>
              <w:rPr>
                <w:sz w:val="16"/>
                <w:szCs w:val="16"/>
              </w:rPr>
            </w:pPr>
            <w:r>
              <w:rPr>
                <w:sz w:val="16"/>
                <w:szCs w:val="16"/>
                <w:spacing w:val="-2"/>
              </w:rPr>
              <w:t>行业/部门贡献</w:t>
            </w:r>
          </w:p>
        </w:tc>
        <w:tc>
          <w:tcPr>
            <w:tcW w:w="3510" w:type="dxa"/>
            <w:vAlign w:val="top"/>
          </w:tcPr>
          <w:p>
            <w:pPr>
              <w:pStyle w:val="TableText"/>
              <w:ind w:left="444"/>
              <w:spacing w:before="129" w:line="183" w:lineRule="auto"/>
              <w:rPr>
                <w:sz w:val="16"/>
                <w:szCs w:val="16"/>
              </w:rPr>
            </w:pPr>
            <w:r>
              <w:rPr>
                <w:sz w:val="16"/>
                <w:szCs w:val="16"/>
                <w:spacing w:val="-2"/>
              </w:rPr>
              <w:t>1.53          -1.06</w:t>
            </w:r>
            <w:r>
              <w:rPr>
                <w:sz w:val="16"/>
                <w:szCs w:val="16"/>
                <w:spacing w:val="2"/>
              </w:rPr>
              <w:t xml:space="preserve">          </w:t>
            </w:r>
            <w:r>
              <w:rPr>
                <w:sz w:val="16"/>
                <w:szCs w:val="16"/>
                <w:spacing w:val="-2"/>
              </w:rPr>
              <w:t>0.29</w:t>
            </w:r>
          </w:p>
        </w:tc>
        <w:tc>
          <w:tcPr>
            <w:tcW w:w="1224" w:type="dxa"/>
            <w:vAlign w:val="top"/>
          </w:tcPr>
          <w:p>
            <w:pPr>
              <w:pStyle w:val="TableText"/>
              <w:ind w:left="444"/>
              <w:spacing w:before="129" w:line="183" w:lineRule="auto"/>
              <w:rPr>
                <w:sz w:val="16"/>
                <w:szCs w:val="16"/>
              </w:rPr>
            </w:pPr>
            <w:r>
              <w:rPr>
                <w:sz w:val="16"/>
                <w:szCs w:val="16"/>
                <w:spacing w:val="-2"/>
              </w:rPr>
              <w:t>0.33</w:t>
            </w:r>
          </w:p>
        </w:tc>
      </w:tr>
      <w:tr>
        <w:trPr>
          <w:trHeight w:val="336" w:hRule="atLeast"/>
        </w:trPr>
        <w:tc>
          <w:tcPr>
            <w:tcW w:w="1336" w:type="dxa"/>
            <w:vAlign w:val="top"/>
          </w:tcPr>
          <w:p>
            <w:pPr>
              <w:pStyle w:val="TableText"/>
              <w:ind w:left="160"/>
              <w:spacing w:before="81" w:line="219" w:lineRule="auto"/>
              <w:rPr>
                <w:sz w:val="16"/>
                <w:szCs w:val="16"/>
              </w:rPr>
            </w:pPr>
            <w:r>
              <w:rPr>
                <w:sz w:val="16"/>
                <w:szCs w:val="16"/>
                <w:spacing w:val="1"/>
              </w:rPr>
              <w:t>·</w:t>
            </w:r>
            <w:r>
              <w:rPr>
                <w:sz w:val="16"/>
                <w:szCs w:val="16"/>
              </w:rPr>
              <w:t>ICT</w:t>
            </w:r>
            <w:r>
              <w:rPr>
                <w:sz w:val="16"/>
                <w:szCs w:val="16"/>
                <w:spacing w:val="1"/>
              </w:rPr>
              <w:t>生产行业</w:t>
            </w:r>
          </w:p>
        </w:tc>
        <w:tc>
          <w:tcPr>
            <w:tcW w:w="3510" w:type="dxa"/>
            <w:vAlign w:val="top"/>
          </w:tcPr>
          <w:p>
            <w:pPr>
              <w:pStyle w:val="TableText"/>
              <w:ind w:left="444"/>
              <w:spacing w:before="123" w:line="182" w:lineRule="auto"/>
              <w:rPr>
                <w:sz w:val="16"/>
                <w:szCs w:val="16"/>
              </w:rPr>
            </w:pPr>
            <w:r>
              <w:rPr>
                <w:sz w:val="16"/>
                <w:szCs w:val="16"/>
                <w:spacing w:val="-2"/>
              </w:rPr>
              <w:t>0.57</w:t>
            </w:r>
            <w:r>
              <w:rPr>
                <w:sz w:val="16"/>
                <w:szCs w:val="16"/>
                <w:spacing w:val="2"/>
              </w:rPr>
              <w:t xml:space="preserve">          </w:t>
            </w:r>
            <w:r>
              <w:rPr>
                <w:sz w:val="16"/>
                <w:szCs w:val="16"/>
                <w:spacing w:val="-2"/>
              </w:rPr>
              <w:t>0.62           0.38</w:t>
            </w:r>
          </w:p>
        </w:tc>
        <w:tc>
          <w:tcPr>
            <w:tcW w:w="1224" w:type="dxa"/>
            <w:vAlign w:val="top"/>
          </w:tcPr>
          <w:p>
            <w:pPr>
              <w:pStyle w:val="TableText"/>
              <w:ind w:left="444"/>
              <w:spacing w:before="122" w:line="183" w:lineRule="auto"/>
              <w:rPr>
                <w:sz w:val="16"/>
                <w:szCs w:val="16"/>
              </w:rPr>
            </w:pPr>
            <w:r>
              <w:rPr>
                <w:sz w:val="16"/>
                <w:szCs w:val="16"/>
                <w:spacing w:val="-2"/>
              </w:rPr>
              <w:t>0.52</w:t>
            </w:r>
          </w:p>
        </w:tc>
      </w:tr>
      <w:tr>
        <w:trPr>
          <w:trHeight w:val="571" w:hRule="atLeast"/>
        </w:trPr>
        <w:tc>
          <w:tcPr>
            <w:tcW w:w="1336" w:type="dxa"/>
            <w:vAlign w:val="top"/>
          </w:tcPr>
          <w:p>
            <w:pPr>
              <w:pStyle w:val="TableText"/>
              <w:ind w:left="250" w:right="116" w:hanging="90"/>
              <w:spacing w:before="85" w:line="249" w:lineRule="auto"/>
              <w:rPr>
                <w:sz w:val="16"/>
                <w:szCs w:val="16"/>
              </w:rPr>
            </w:pPr>
            <w:r>
              <w:rPr>
                <w:sz w:val="16"/>
                <w:szCs w:val="16"/>
                <w:spacing w:val="3"/>
              </w:rPr>
              <w:t>·</w:t>
            </w:r>
            <w:r>
              <w:rPr>
                <w:sz w:val="16"/>
                <w:szCs w:val="16"/>
              </w:rPr>
              <w:t>ICT</w:t>
            </w:r>
            <w:r>
              <w:rPr>
                <w:sz w:val="16"/>
                <w:szCs w:val="16"/>
                <w:spacing w:val="3"/>
              </w:rPr>
              <w:t>集约使用 </w:t>
            </w:r>
            <w:r>
              <w:rPr>
                <w:sz w:val="16"/>
                <w:szCs w:val="16"/>
                <w:spacing w:val="-2"/>
              </w:rPr>
              <w:t>制造业</w:t>
            </w:r>
          </w:p>
        </w:tc>
        <w:tc>
          <w:tcPr>
            <w:tcW w:w="3510" w:type="dxa"/>
            <w:vAlign w:val="top"/>
          </w:tcPr>
          <w:p>
            <w:pPr>
              <w:pStyle w:val="TableText"/>
              <w:ind w:left="444"/>
              <w:spacing w:before="227" w:line="182" w:lineRule="auto"/>
              <w:rPr>
                <w:sz w:val="16"/>
                <w:szCs w:val="16"/>
              </w:rPr>
            </w:pPr>
            <w:r>
              <w:rPr>
                <w:sz w:val="16"/>
                <w:szCs w:val="16"/>
                <w:spacing w:val="-2"/>
              </w:rPr>
              <w:t>0.76</w:t>
            </w:r>
            <w:r>
              <w:rPr>
                <w:sz w:val="16"/>
                <w:szCs w:val="16"/>
                <w:spacing w:val="2"/>
              </w:rPr>
              <w:t xml:space="preserve">          </w:t>
            </w:r>
            <w:r>
              <w:rPr>
                <w:sz w:val="16"/>
                <w:szCs w:val="16"/>
                <w:spacing w:val="-2"/>
              </w:rPr>
              <w:t>0.82           0.97</w:t>
            </w:r>
          </w:p>
        </w:tc>
        <w:tc>
          <w:tcPr>
            <w:tcW w:w="1224" w:type="dxa"/>
            <w:vAlign w:val="top"/>
          </w:tcPr>
          <w:p>
            <w:pPr>
              <w:pStyle w:val="TableText"/>
              <w:ind w:left="444"/>
              <w:spacing w:before="226" w:line="183" w:lineRule="auto"/>
              <w:rPr>
                <w:sz w:val="16"/>
                <w:szCs w:val="16"/>
              </w:rPr>
            </w:pPr>
            <w:r>
              <w:rPr>
                <w:sz w:val="16"/>
                <w:szCs w:val="16"/>
                <w:spacing w:val="-2"/>
              </w:rPr>
              <w:t>0.85</w:t>
            </w:r>
          </w:p>
        </w:tc>
      </w:tr>
      <w:tr>
        <w:trPr>
          <w:trHeight w:val="645" w:hRule="atLeast"/>
        </w:trPr>
        <w:tc>
          <w:tcPr>
            <w:tcW w:w="1336" w:type="dxa"/>
            <w:vAlign w:val="top"/>
            <w:tcBorders>
              <w:bottom w:val="dotted" w:color="000000" w:sz="12" w:space="0"/>
            </w:tcBorders>
          </w:tcPr>
          <w:p>
            <w:pPr>
              <w:pStyle w:val="TableText"/>
              <w:ind w:left="250" w:right="136" w:hanging="110"/>
              <w:spacing w:before="74" w:line="248" w:lineRule="auto"/>
              <w:rPr>
                <w:sz w:val="16"/>
                <w:szCs w:val="16"/>
              </w:rPr>
            </w:pPr>
            <w:r>
              <w:rPr>
                <w:sz w:val="16"/>
                <w:szCs w:val="16"/>
                <w:spacing w:val="3"/>
              </w:rPr>
              <w:t>·</w:t>
            </w:r>
            <w:r>
              <w:rPr>
                <w:sz w:val="16"/>
                <w:szCs w:val="16"/>
              </w:rPr>
              <w:t>ICT</w:t>
            </w:r>
            <w:r>
              <w:rPr>
                <w:sz w:val="16"/>
                <w:szCs w:val="16"/>
                <w:spacing w:val="3"/>
              </w:rPr>
              <w:t>集约使用 </w:t>
            </w:r>
            <w:r>
              <w:rPr>
                <w:sz w:val="16"/>
                <w:szCs w:val="16"/>
                <w:spacing w:val="-2"/>
              </w:rPr>
              <w:t>服务业</w:t>
            </w:r>
          </w:p>
        </w:tc>
        <w:tc>
          <w:tcPr>
            <w:tcW w:w="3510" w:type="dxa"/>
            <w:vAlign w:val="top"/>
          </w:tcPr>
          <w:p>
            <w:pPr>
              <w:pStyle w:val="TableText"/>
              <w:ind w:left="444"/>
              <w:spacing w:before="215" w:line="183" w:lineRule="auto"/>
              <w:rPr>
                <w:sz w:val="16"/>
                <w:szCs w:val="16"/>
              </w:rPr>
            </w:pPr>
            <w:r>
              <w:rPr>
                <w:sz w:val="16"/>
                <w:szCs w:val="16"/>
                <w:spacing w:val="-2"/>
              </w:rPr>
              <w:t>1.17          -0.13          -0.64</w:t>
            </w:r>
          </w:p>
        </w:tc>
        <w:tc>
          <w:tcPr>
            <w:tcW w:w="1224" w:type="dxa"/>
            <w:vAlign w:val="top"/>
          </w:tcPr>
          <w:p>
            <w:pPr>
              <w:pStyle w:val="TableText"/>
              <w:ind w:left="444"/>
              <w:spacing w:before="215" w:line="184" w:lineRule="auto"/>
              <w:rPr>
                <w:sz w:val="16"/>
                <w:szCs w:val="16"/>
              </w:rPr>
            </w:pPr>
            <w:r>
              <w:rPr>
                <w:sz w:val="16"/>
                <w:szCs w:val="16"/>
                <w:spacing w:val="-2"/>
              </w:rPr>
              <w:t>0.15</w:t>
            </w:r>
          </w:p>
        </w:tc>
      </w:tr>
      <w:tr>
        <w:trPr>
          <w:trHeight w:val="449" w:hRule="atLeast"/>
        </w:trPr>
        <w:tc>
          <w:tcPr>
            <w:tcW w:w="1336" w:type="dxa"/>
            <w:vAlign w:val="top"/>
            <w:tcBorders>
              <w:top w:val="dotted" w:color="000000" w:sz="12" w:space="0"/>
            </w:tcBorders>
          </w:tcPr>
          <w:p>
            <w:pPr>
              <w:pStyle w:val="TableText"/>
              <w:ind w:left="250"/>
              <w:spacing w:before="219" w:line="219" w:lineRule="auto"/>
              <w:rPr>
                <w:sz w:val="16"/>
                <w:szCs w:val="16"/>
              </w:rPr>
            </w:pPr>
            <w:r>
              <w:rPr>
                <w:sz w:val="16"/>
                <w:szCs w:val="16"/>
                <w:spacing w:val="-2"/>
              </w:rPr>
              <w:t>使用制造业</w:t>
            </w:r>
          </w:p>
        </w:tc>
        <w:tc>
          <w:tcPr>
            <w:tcW w:w="3510" w:type="dxa"/>
            <w:vAlign w:val="top"/>
          </w:tcPr>
          <w:p>
            <w:pPr>
              <w:pStyle w:val="TableText"/>
              <w:ind w:left="444"/>
              <w:spacing w:before="130" w:line="184" w:lineRule="auto"/>
              <w:rPr>
                <w:sz w:val="16"/>
                <w:szCs w:val="16"/>
              </w:rPr>
            </w:pPr>
            <w:r>
              <w:rPr>
                <w:sz w:val="16"/>
                <w:szCs w:val="16"/>
                <w:spacing w:val="-4"/>
              </w:rPr>
              <w:t>1.24</w:t>
            </w:r>
            <w:r>
              <w:rPr>
                <w:sz w:val="16"/>
                <w:szCs w:val="16"/>
                <w:spacing w:val="3"/>
              </w:rPr>
              <w:t xml:space="preserve">          </w:t>
            </w:r>
            <w:r>
              <w:rPr>
                <w:sz w:val="16"/>
                <w:szCs w:val="16"/>
                <w:spacing w:val="-4"/>
              </w:rPr>
              <w:t>0.54</w:t>
            </w:r>
            <w:r>
              <w:rPr>
                <w:sz w:val="16"/>
                <w:szCs w:val="16"/>
                <w:spacing w:val="7"/>
              </w:rPr>
              <w:t xml:space="preserve">          </w:t>
            </w:r>
            <w:r>
              <w:rPr>
                <w:sz w:val="16"/>
                <w:szCs w:val="16"/>
                <w:spacing w:val="-4"/>
              </w:rPr>
              <w:t>1.01</w:t>
            </w:r>
          </w:p>
        </w:tc>
        <w:tc>
          <w:tcPr>
            <w:tcW w:w="1224" w:type="dxa"/>
            <w:vAlign w:val="top"/>
          </w:tcPr>
          <w:p>
            <w:pPr>
              <w:pStyle w:val="TableText"/>
              <w:ind w:left="444"/>
              <w:spacing w:before="130" w:line="183" w:lineRule="auto"/>
              <w:rPr>
                <w:sz w:val="16"/>
                <w:szCs w:val="16"/>
              </w:rPr>
            </w:pPr>
            <w:r>
              <w:rPr>
                <w:sz w:val="16"/>
                <w:szCs w:val="16"/>
                <w:spacing w:val="-2"/>
              </w:rPr>
              <w:t>0.95</w:t>
            </w:r>
          </w:p>
        </w:tc>
      </w:tr>
      <w:tr>
        <w:trPr>
          <w:trHeight w:val="563" w:hRule="atLeast"/>
        </w:trPr>
        <w:tc>
          <w:tcPr>
            <w:tcW w:w="1336" w:type="dxa"/>
            <w:vAlign w:val="top"/>
          </w:tcPr>
          <w:p>
            <w:pPr>
              <w:pStyle w:val="TableText"/>
              <w:ind w:left="250" w:right="191"/>
              <w:spacing w:before="110" w:line="248" w:lineRule="auto"/>
              <w:rPr>
                <w:sz w:val="16"/>
                <w:szCs w:val="16"/>
              </w:rPr>
            </w:pPr>
            <w:r>
              <w:rPr>
                <w:sz w:val="16"/>
                <w:szCs w:val="16"/>
                <w:spacing w:val="3"/>
              </w:rPr>
              <w:t>·非</w:t>
            </w:r>
            <w:r>
              <w:rPr>
                <w:sz w:val="16"/>
                <w:szCs w:val="16"/>
              </w:rPr>
              <w:t>ICT</w:t>
            </w:r>
            <w:r>
              <w:rPr>
                <w:sz w:val="16"/>
                <w:szCs w:val="16"/>
                <w:spacing w:val="3"/>
              </w:rPr>
              <w:t>集约</w:t>
            </w:r>
            <w:r>
              <w:rPr>
                <w:sz w:val="16"/>
                <w:szCs w:val="16"/>
                <w:spacing w:val="1"/>
              </w:rPr>
              <w:t xml:space="preserve"> </w:t>
            </w:r>
            <w:r>
              <w:rPr>
                <w:sz w:val="16"/>
                <w:szCs w:val="16"/>
                <w:spacing w:val="-2"/>
              </w:rPr>
              <w:t>使用服务业</w:t>
            </w:r>
          </w:p>
        </w:tc>
        <w:tc>
          <w:tcPr>
            <w:tcW w:w="3510" w:type="dxa"/>
            <w:vAlign w:val="top"/>
          </w:tcPr>
          <w:p>
            <w:pPr>
              <w:pStyle w:val="TableText"/>
              <w:ind w:left="404"/>
              <w:spacing w:before="251" w:line="183" w:lineRule="auto"/>
              <w:rPr>
                <w:sz w:val="16"/>
                <w:szCs w:val="16"/>
              </w:rPr>
            </w:pPr>
            <w:r>
              <w:rPr>
                <w:sz w:val="16"/>
                <w:szCs w:val="16"/>
                <w:spacing w:val="-1"/>
              </w:rPr>
              <w:t>-0.49</w:t>
            </w:r>
            <w:r>
              <w:rPr>
                <w:sz w:val="16"/>
                <w:szCs w:val="16"/>
                <w:spacing w:val="1"/>
              </w:rPr>
              <w:t xml:space="preserve">         </w:t>
            </w:r>
            <w:r>
              <w:rPr>
                <w:sz w:val="16"/>
                <w:szCs w:val="16"/>
                <w:spacing w:val="-1"/>
              </w:rPr>
              <w:t>-0.88</w:t>
            </w:r>
            <w:r>
              <w:rPr>
                <w:sz w:val="16"/>
                <w:szCs w:val="16"/>
                <w:spacing w:val="7"/>
              </w:rPr>
              <w:t xml:space="preserve">         </w:t>
            </w:r>
            <w:r>
              <w:rPr>
                <w:sz w:val="16"/>
                <w:szCs w:val="16"/>
                <w:spacing w:val="-1"/>
              </w:rPr>
              <w:t>-0.67</w:t>
            </w:r>
          </w:p>
        </w:tc>
        <w:tc>
          <w:tcPr>
            <w:tcW w:w="1224" w:type="dxa"/>
            <w:vAlign w:val="top"/>
          </w:tcPr>
          <w:p>
            <w:pPr>
              <w:pStyle w:val="TableText"/>
              <w:ind w:left="404"/>
              <w:spacing w:before="251" w:line="183" w:lineRule="auto"/>
              <w:rPr>
                <w:sz w:val="16"/>
                <w:szCs w:val="16"/>
              </w:rPr>
            </w:pPr>
            <w:r>
              <w:rPr>
                <w:sz w:val="16"/>
                <w:szCs w:val="16"/>
                <w:spacing w:val="-1"/>
              </w:rPr>
              <w:t>-0.67</w:t>
            </w:r>
          </w:p>
        </w:tc>
      </w:tr>
      <w:tr>
        <w:trPr>
          <w:trHeight w:val="320" w:hRule="atLeast"/>
        </w:trPr>
        <w:tc>
          <w:tcPr>
            <w:tcW w:w="1336" w:type="dxa"/>
            <w:vAlign w:val="top"/>
          </w:tcPr>
          <w:p>
            <w:pPr>
              <w:pStyle w:val="TableText"/>
              <w:ind w:left="250"/>
              <w:spacing w:before="89" w:line="221" w:lineRule="auto"/>
              <w:rPr>
                <w:sz w:val="16"/>
                <w:szCs w:val="16"/>
              </w:rPr>
            </w:pPr>
            <w:r>
              <w:rPr>
                <w:sz w:val="16"/>
                <w:szCs w:val="16"/>
                <w:spacing w:val="-12"/>
              </w:rPr>
              <w:t>·</w:t>
            </w:r>
            <w:r>
              <w:rPr>
                <w:sz w:val="16"/>
                <w:szCs w:val="16"/>
                <w:spacing w:val="-40"/>
              </w:rPr>
              <w:t xml:space="preserve"> </w:t>
            </w:r>
            <w:r>
              <w:rPr>
                <w:sz w:val="16"/>
                <w:szCs w:val="16"/>
                <w:spacing w:val="-12"/>
              </w:rPr>
              <w:t>农业</w:t>
            </w:r>
          </w:p>
        </w:tc>
        <w:tc>
          <w:tcPr>
            <w:tcW w:w="3510" w:type="dxa"/>
            <w:vAlign w:val="top"/>
          </w:tcPr>
          <w:p>
            <w:pPr>
              <w:pStyle w:val="TableText"/>
              <w:ind w:left="444"/>
              <w:spacing w:before="128" w:line="183" w:lineRule="auto"/>
              <w:rPr>
                <w:sz w:val="16"/>
                <w:szCs w:val="16"/>
              </w:rPr>
            </w:pPr>
            <w:r>
              <w:rPr>
                <w:sz w:val="16"/>
                <w:szCs w:val="16"/>
                <w:spacing w:val="-2"/>
              </w:rPr>
              <w:t>0.40</w:t>
            </w:r>
            <w:r>
              <w:rPr>
                <w:sz w:val="16"/>
                <w:szCs w:val="16"/>
                <w:spacing w:val="2"/>
              </w:rPr>
              <w:t xml:space="preserve">          </w:t>
            </w:r>
            <w:r>
              <w:rPr>
                <w:sz w:val="16"/>
                <w:szCs w:val="16"/>
                <w:spacing w:val="-2"/>
              </w:rPr>
              <w:t>0.61           0.47</w:t>
            </w:r>
          </w:p>
        </w:tc>
        <w:tc>
          <w:tcPr>
            <w:tcW w:w="1224" w:type="dxa"/>
            <w:vAlign w:val="top"/>
          </w:tcPr>
          <w:p>
            <w:pPr>
              <w:pStyle w:val="TableText"/>
              <w:ind w:left="444"/>
              <w:spacing w:before="128" w:line="183" w:lineRule="auto"/>
              <w:rPr>
                <w:sz w:val="16"/>
                <w:szCs w:val="16"/>
              </w:rPr>
            </w:pPr>
            <w:r>
              <w:rPr>
                <w:sz w:val="16"/>
                <w:szCs w:val="16"/>
                <w:spacing w:val="-2"/>
              </w:rPr>
              <w:t>0.48</w:t>
            </w:r>
          </w:p>
        </w:tc>
      </w:tr>
      <w:tr>
        <w:trPr>
          <w:trHeight w:val="342" w:hRule="atLeast"/>
        </w:trPr>
        <w:tc>
          <w:tcPr>
            <w:tcW w:w="1336" w:type="dxa"/>
            <w:vAlign w:val="top"/>
          </w:tcPr>
          <w:p>
            <w:pPr>
              <w:pStyle w:val="TableText"/>
              <w:ind w:left="250"/>
              <w:spacing w:before="106" w:line="219" w:lineRule="auto"/>
              <w:rPr>
                <w:sz w:val="16"/>
                <w:szCs w:val="16"/>
              </w:rPr>
            </w:pPr>
            <w:r>
              <w:rPr>
                <w:sz w:val="16"/>
                <w:szCs w:val="16"/>
                <w:spacing w:val="-6"/>
              </w:rPr>
              <w:t>·</w:t>
            </w:r>
            <w:r>
              <w:rPr>
                <w:sz w:val="16"/>
                <w:szCs w:val="16"/>
                <w:spacing w:val="-52"/>
              </w:rPr>
              <w:t xml:space="preserve"> </w:t>
            </w:r>
            <w:r>
              <w:rPr>
                <w:sz w:val="16"/>
                <w:szCs w:val="16"/>
                <w:spacing w:val="-6"/>
              </w:rPr>
              <w:t>采掘业</w:t>
            </w:r>
          </w:p>
        </w:tc>
        <w:tc>
          <w:tcPr>
            <w:tcW w:w="3510" w:type="dxa"/>
            <w:vAlign w:val="top"/>
          </w:tcPr>
          <w:p>
            <w:pPr>
              <w:pStyle w:val="TableText"/>
              <w:ind w:left="404"/>
              <w:spacing w:before="148" w:line="184" w:lineRule="auto"/>
              <w:rPr>
                <w:sz w:val="16"/>
                <w:szCs w:val="16"/>
              </w:rPr>
            </w:pPr>
            <w:r>
              <w:rPr>
                <w:sz w:val="16"/>
                <w:szCs w:val="16"/>
                <w:spacing w:val="-2"/>
              </w:rPr>
              <w:t>-0.43</w:t>
            </w:r>
            <w:r>
              <w:rPr>
                <w:sz w:val="16"/>
                <w:szCs w:val="16"/>
                <w:spacing w:val="2"/>
              </w:rPr>
              <w:t xml:space="preserve">         </w:t>
            </w:r>
            <w:r>
              <w:rPr>
                <w:sz w:val="16"/>
                <w:szCs w:val="16"/>
                <w:spacing w:val="-2"/>
              </w:rPr>
              <w:t>-0.19</w:t>
            </w:r>
            <w:r>
              <w:rPr>
                <w:sz w:val="16"/>
                <w:szCs w:val="16"/>
                <w:spacing w:val="3"/>
              </w:rPr>
              <w:t xml:space="preserve">          </w:t>
            </w:r>
            <w:r>
              <w:rPr>
                <w:sz w:val="16"/>
                <w:szCs w:val="16"/>
                <w:spacing w:val="-2"/>
              </w:rPr>
              <w:t>0.03</w:t>
            </w:r>
          </w:p>
        </w:tc>
        <w:tc>
          <w:tcPr>
            <w:tcW w:w="1224" w:type="dxa"/>
            <w:vAlign w:val="top"/>
          </w:tcPr>
          <w:p>
            <w:pPr>
              <w:pStyle w:val="TableText"/>
              <w:ind w:left="404"/>
              <w:spacing w:before="148" w:line="184" w:lineRule="auto"/>
              <w:rPr>
                <w:sz w:val="16"/>
                <w:szCs w:val="16"/>
              </w:rPr>
            </w:pPr>
            <w:r>
              <w:rPr>
                <w:sz w:val="16"/>
                <w:szCs w:val="16"/>
                <w:spacing w:val="-1"/>
              </w:rPr>
              <w:t>-0.19</w:t>
            </w:r>
          </w:p>
        </w:tc>
      </w:tr>
      <w:tr>
        <w:trPr>
          <w:trHeight w:val="330" w:hRule="atLeast"/>
        </w:trPr>
        <w:tc>
          <w:tcPr>
            <w:tcW w:w="1336" w:type="dxa"/>
            <w:vAlign w:val="top"/>
          </w:tcPr>
          <w:p>
            <w:pPr>
              <w:pStyle w:val="TableText"/>
              <w:ind w:left="250"/>
              <w:spacing w:before="106" w:line="220" w:lineRule="auto"/>
              <w:rPr>
                <w:sz w:val="16"/>
                <w:szCs w:val="16"/>
              </w:rPr>
            </w:pPr>
            <w:r>
              <w:rPr>
                <w:sz w:val="16"/>
                <w:szCs w:val="16"/>
                <w:spacing w:val="-7"/>
              </w:rPr>
              <w:t>·</w:t>
            </w:r>
            <w:r>
              <w:rPr>
                <w:sz w:val="16"/>
                <w:szCs w:val="16"/>
                <w:spacing w:val="-48"/>
              </w:rPr>
              <w:t xml:space="preserve"> </w:t>
            </w:r>
            <w:r>
              <w:rPr>
                <w:sz w:val="16"/>
                <w:szCs w:val="16"/>
                <w:spacing w:val="-7"/>
              </w:rPr>
              <w:t>建筑业</w:t>
            </w:r>
          </w:p>
        </w:tc>
        <w:tc>
          <w:tcPr>
            <w:tcW w:w="3510" w:type="dxa"/>
            <w:vAlign w:val="top"/>
          </w:tcPr>
          <w:p>
            <w:pPr>
              <w:pStyle w:val="TableText"/>
              <w:ind w:left="444"/>
              <w:spacing w:before="146" w:line="184" w:lineRule="auto"/>
              <w:rPr>
                <w:sz w:val="16"/>
                <w:szCs w:val="16"/>
              </w:rPr>
            </w:pPr>
            <w:r>
              <w:rPr>
                <w:sz w:val="16"/>
                <w:szCs w:val="16"/>
                <w:spacing w:val="-2"/>
              </w:rPr>
              <w:t>0.18</w:t>
            </w:r>
            <w:r>
              <w:rPr>
                <w:sz w:val="16"/>
                <w:szCs w:val="16"/>
                <w:spacing w:val="7"/>
              </w:rPr>
              <w:t xml:space="preserve">         </w:t>
            </w:r>
            <w:r>
              <w:rPr>
                <w:sz w:val="16"/>
                <w:szCs w:val="16"/>
                <w:spacing w:val="-2"/>
              </w:rPr>
              <w:t>-0.58</w:t>
            </w:r>
            <w:r>
              <w:rPr>
                <w:sz w:val="16"/>
                <w:szCs w:val="16"/>
                <w:spacing w:val="7"/>
              </w:rPr>
              <w:t xml:space="preserve">         </w:t>
            </w:r>
            <w:r>
              <w:rPr>
                <w:sz w:val="16"/>
                <w:szCs w:val="16"/>
                <w:spacing w:val="-2"/>
              </w:rPr>
              <w:t>-0.15</w:t>
            </w:r>
          </w:p>
        </w:tc>
        <w:tc>
          <w:tcPr>
            <w:tcW w:w="1224" w:type="dxa"/>
            <w:vAlign w:val="top"/>
          </w:tcPr>
          <w:p>
            <w:pPr>
              <w:pStyle w:val="TableText"/>
              <w:ind w:left="404"/>
              <w:spacing w:before="146" w:line="184" w:lineRule="auto"/>
              <w:rPr>
                <w:sz w:val="16"/>
                <w:szCs w:val="16"/>
              </w:rPr>
            </w:pPr>
            <w:r>
              <w:rPr>
                <w:sz w:val="16"/>
                <w:szCs w:val="16"/>
                <w:spacing w:val="-1"/>
              </w:rPr>
              <w:t>-0.16</w:t>
            </w:r>
          </w:p>
        </w:tc>
      </w:tr>
      <w:tr>
        <w:trPr>
          <w:trHeight w:val="666" w:hRule="atLeast"/>
        </w:trPr>
        <w:tc>
          <w:tcPr>
            <w:tcW w:w="1336" w:type="dxa"/>
            <w:vAlign w:val="top"/>
          </w:tcPr>
          <w:p>
            <w:pPr>
              <w:pStyle w:val="TableText"/>
              <w:ind w:left="140"/>
              <w:spacing w:before="95" w:line="219" w:lineRule="auto"/>
              <w:rPr>
                <w:sz w:val="16"/>
                <w:szCs w:val="16"/>
              </w:rPr>
            </w:pPr>
            <w:r>
              <w:rPr>
                <w:sz w:val="16"/>
                <w:szCs w:val="16"/>
              </w:rPr>
              <w:t>·非市场服务业</w:t>
            </w:r>
          </w:p>
        </w:tc>
        <w:tc>
          <w:tcPr>
            <w:tcW w:w="3510" w:type="dxa"/>
            <w:vAlign w:val="top"/>
          </w:tcPr>
          <w:p>
            <w:pPr>
              <w:pStyle w:val="TableText"/>
              <w:ind w:left="404"/>
              <w:spacing w:before="136" w:line="184" w:lineRule="auto"/>
              <w:rPr>
                <w:sz w:val="16"/>
                <w:szCs w:val="16"/>
              </w:rPr>
            </w:pPr>
            <w:r>
              <w:rPr>
                <w:sz w:val="16"/>
                <w:szCs w:val="16"/>
                <w:spacing w:val="-1"/>
              </w:rPr>
              <w:t>-1.87</w:t>
            </w:r>
            <w:r>
              <w:rPr>
                <w:sz w:val="16"/>
                <w:szCs w:val="16"/>
                <w:spacing w:val="1"/>
              </w:rPr>
              <w:t xml:space="preserve">         </w:t>
            </w:r>
            <w:r>
              <w:rPr>
                <w:sz w:val="16"/>
                <w:szCs w:val="16"/>
                <w:spacing w:val="-1"/>
              </w:rPr>
              <w:t>-1.87</w:t>
            </w:r>
            <w:r>
              <w:rPr>
                <w:sz w:val="16"/>
                <w:szCs w:val="16"/>
                <w:spacing w:val="7"/>
              </w:rPr>
              <w:t xml:space="preserve">         </w:t>
            </w:r>
            <w:r>
              <w:rPr>
                <w:sz w:val="16"/>
                <w:szCs w:val="16"/>
                <w:spacing w:val="-1"/>
              </w:rPr>
              <w:t>-1.12</w:t>
            </w:r>
          </w:p>
          <w:p>
            <w:pPr>
              <w:pStyle w:val="TableText"/>
              <w:ind w:left="76"/>
              <w:spacing w:before="127" w:line="219" w:lineRule="auto"/>
              <w:rPr>
                <w:sz w:val="16"/>
                <w:szCs w:val="16"/>
              </w:rPr>
            </w:pPr>
            <w:r>
              <w:rPr>
                <w:sz w:val="16"/>
                <w:szCs w:val="16"/>
                <w:b/>
                <w:bCs/>
                <w:spacing w:val="-1"/>
              </w:rPr>
              <w:t>行业间要素重新配置对TFP的贡献(百分点)</w:t>
            </w:r>
          </w:p>
        </w:tc>
        <w:tc>
          <w:tcPr>
            <w:tcW w:w="1224" w:type="dxa"/>
            <w:vAlign w:val="top"/>
          </w:tcPr>
          <w:p>
            <w:pPr>
              <w:pStyle w:val="TableText"/>
              <w:ind w:left="404"/>
              <w:spacing w:before="136" w:line="184" w:lineRule="auto"/>
              <w:rPr>
                <w:sz w:val="16"/>
                <w:szCs w:val="16"/>
              </w:rPr>
            </w:pPr>
            <w:r>
              <w:rPr>
                <w:sz w:val="16"/>
                <w:szCs w:val="16"/>
                <w:spacing w:val="-1"/>
              </w:rPr>
              <w:t>-1.61</w:t>
            </w:r>
          </w:p>
        </w:tc>
      </w:tr>
      <w:tr>
        <w:trPr>
          <w:trHeight w:val="397" w:hRule="atLeast"/>
        </w:trPr>
        <w:tc>
          <w:tcPr>
            <w:tcW w:w="1336" w:type="dxa"/>
            <w:vAlign w:val="top"/>
          </w:tcPr>
          <w:p>
            <w:pPr>
              <w:pStyle w:val="TableText"/>
              <w:ind w:left="130"/>
              <w:spacing w:before="108" w:line="219" w:lineRule="auto"/>
              <w:rPr>
                <w:sz w:val="16"/>
                <w:szCs w:val="16"/>
              </w:rPr>
            </w:pPr>
            <w:r>
              <w:rPr>
                <w:sz w:val="16"/>
                <w:szCs w:val="16"/>
                <w:spacing w:val="-2"/>
              </w:rPr>
              <w:t>资本重新配置</w:t>
            </w:r>
          </w:p>
        </w:tc>
        <w:tc>
          <w:tcPr>
            <w:tcW w:w="3510" w:type="dxa"/>
            <w:vAlign w:val="top"/>
          </w:tcPr>
          <w:p>
            <w:pPr>
              <w:pStyle w:val="TableText"/>
              <w:ind w:left="314"/>
              <w:spacing w:before="151" w:line="182" w:lineRule="auto"/>
              <w:rPr>
                <w:sz w:val="16"/>
                <w:szCs w:val="16"/>
              </w:rPr>
            </w:pPr>
            <w:r>
              <w:rPr>
                <w:sz w:val="16"/>
                <w:szCs w:val="16"/>
                <w:spacing w:val="-1"/>
              </w:rPr>
              <w:t>-0.23           0.36</w:t>
            </w:r>
            <w:r>
              <w:rPr>
                <w:sz w:val="16"/>
                <w:szCs w:val="16"/>
                <w:spacing w:val="2"/>
              </w:rPr>
              <w:t xml:space="preserve">          </w:t>
            </w:r>
            <w:r>
              <w:rPr>
                <w:sz w:val="16"/>
                <w:szCs w:val="16"/>
                <w:spacing w:val="-1"/>
              </w:rPr>
              <w:t>-0.60</w:t>
            </w:r>
          </w:p>
        </w:tc>
        <w:tc>
          <w:tcPr>
            <w:tcW w:w="1224" w:type="dxa"/>
            <w:vAlign w:val="top"/>
          </w:tcPr>
          <w:p>
            <w:pPr>
              <w:pStyle w:val="TableText"/>
              <w:ind w:left="404"/>
              <w:spacing w:before="150" w:line="184" w:lineRule="auto"/>
              <w:rPr>
                <w:sz w:val="16"/>
                <w:szCs w:val="16"/>
              </w:rPr>
            </w:pPr>
            <w:r>
              <w:rPr>
                <w:sz w:val="16"/>
                <w:szCs w:val="16"/>
                <w:spacing w:val="-1"/>
              </w:rPr>
              <w:t>-0.19</w:t>
            </w:r>
          </w:p>
        </w:tc>
      </w:tr>
      <w:tr>
        <w:trPr>
          <w:trHeight w:val="471" w:hRule="atLeast"/>
        </w:trPr>
        <w:tc>
          <w:tcPr>
            <w:tcW w:w="1336" w:type="dxa"/>
            <w:vAlign w:val="top"/>
            <w:tcBorders>
              <w:bottom w:val="single" w:color="000000" w:sz="4" w:space="0"/>
            </w:tcBorders>
          </w:tcPr>
          <w:p>
            <w:pPr>
              <w:pStyle w:val="TableText"/>
              <w:ind w:left="130"/>
              <w:spacing w:before="152" w:line="219" w:lineRule="auto"/>
              <w:rPr>
                <w:sz w:val="16"/>
                <w:szCs w:val="16"/>
              </w:rPr>
            </w:pPr>
            <w:r>
              <w:rPr>
                <w:sz w:val="16"/>
                <w:szCs w:val="16"/>
                <w:spacing w:val="-2"/>
              </w:rPr>
              <w:t>劳动重新配置</w:t>
            </w:r>
          </w:p>
        </w:tc>
        <w:tc>
          <w:tcPr>
            <w:tcW w:w="3510" w:type="dxa"/>
            <w:vAlign w:val="top"/>
            <w:tcBorders>
              <w:bottom w:val="single" w:color="000000" w:sz="4" w:space="0"/>
            </w:tcBorders>
          </w:tcPr>
          <w:p>
            <w:pPr>
              <w:pStyle w:val="TableText"/>
              <w:ind w:left="464"/>
              <w:spacing w:before="193" w:line="183" w:lineRule="auto"/>
              <w:rPr>
                <w:sz w:val="16"/>
                <w:szCs w:val="16"/>
              </w:rPr>
            </w:pPr>
            <w:r>
              <w:rPr>
                <w:sz w:val="16"/>
                <w:szCs w:val="16"/>
                <w:spacing w:val="-2"/>
              </w:rPr>
              <w:t>0.67</w:t>
            </w:r>
            <w:r>
              <w:rPr>
                <w:sz w:val="16"/>
                <w:szCs w:val="16"/>
                <w:spacing w:val="1"/>
              </w:rPr>
              <w:t xml:space="preserve">          </w:t>
            </w:r>
            <w:r>
              <w:rPr>
                <w:sz w:val="16"/>
                <w:szCs w:val="16"/>
                <w:spacing w:val="-2"/>
              </w:rPr>
              <w:t>0.42           0.12</w:t>
            </w:r>
          </w:p>
        </w:tc>
        <w:tc>
          <w:tcPr>
            <w:tcW w:w="1224" w:type="dxa"/>
            <w:vAlign w:val="top"/>
            <w:tcBorders>
              <w:bottom w:val="single" w:color="000000" w:sz="4" w:space="0"/>
            </w:tcBorders>
          </w:tcPr>
          <w:p>
            <w:pPr>
              <w:pStyle w:val="TableText"/>
              <w:ind w:left="444"/>
              <w:spacing w:before="193" w:line="183" w:lineRule="auto"/>
              <w:rPr>
                <w:sz w:val="16"/>
                <w:szCs w:val="16"/>
              </w:rPr>
            </w:pPr>
            <w:r>
              <w:rPr>
                <w:sz w:val="16"/>
                <w:szCs w:val="16"/>
                <w:spacing w:val="-2"/>
              </w:rPr>
              <w:t>0.40</w:t>
            </w:r>
          </w:p>
        </w:tc>
      </w:tr>
    </w:tbl>
    <w:p>
      <w:pPr>
        <w:ind w:left="370"/>
        <w:spacing w:before="142" w:line="219" w:lineRule="auto"/>
        <w:rPr>
          <w:rFonts w:ascii="SimSun" w:hAnsi="SimSun" w:eastAsia="SimSun" w:cs="SimSun"/>
          <w:sz w:val="19"/>
          <w:szCs w:val="19"/>
        </w:rPr>
      </w:pPr>
      <w:r>
        <w:rPr>
          <w:rFonts w:ascii="SimSun" w:hAnsi="SimSun" w:eastAsia="SimSun" w:cs="SimSun"/>
          <w:sz w:val="19"/>
          <w:szCs w:val="19"/>
          <w:spacing w:val="-18"/>
          <w:w w:val="94"/>
        </w:rPr>
        <w:t>资料来源：作者计算，数据出处及构建方法见本章第三节</w:t>
      </w:r>
      <w:r>
        <w:rPr>
          <w:rFonts w:ascii="SimSun" w:hAnsi="SimSun" w:eastAsia="SimSun" w:cs="SimSun"/>
          <w:sz w:val="19"/>
          <w:szCs w:val="19"/>
          <w:spacing w:val="-19"/>
          <w:w w:val="94"/>
        </w:rPr>
        <w:t>。</w:t>
      </w:r>
    </w:p>
    <w:p>
      <w:pPr>
        <w:pStyle w:val="BodyText"/>
        <w:spacing w:line="255" w:lineRule="auto"/>
        <w:rPr/>
      </w:pPr>
      <w:r/>
    </w:p>
    <w:p>
      <w:pPr>
        <w:pStyle w:val="BodyText"/>
        <w:spacing w:line="255" w:lineRule="auto"/>
        <w:rPr/>
      </w:pPr>
      <w:r/>
    </w:p>
    <w:p>
      <w:pPr>
        <w:ind w:left="30" w:right="21"/>
        <w:spacing w:before="63" w:line="349" w:lineRule="auto"/>
        <w:jc w:val="both"/>
        <w:rPr>
          <w:rFonts w:ascii="SimSun" w:hAnsi="SimSun" w:eastAsia="SimSun" w:cs="SimSun"/>
          <w:sz w:val="19"/>
          <w:szCs w:val="19"/>
        </w:rPr>
      </w:pPr>
      <w:r>
        <w:rPr>
          <w:rFonts w:ascii="SimSun" w:hAnsi="SimSun" w:eastAsia="SimSun" w:cs="SimSun"/>
          <w:sz w:val="19"/>
          <w:szCs w:val="19"/>
          <w:spacing w:val="10"/>
        </w:rPr>
        <w:t>对资源配置的干预严重地降低了效率。正如本章一开始就强调的，这</w:t>
      </w:r>
      <w:r>
        <w:rPr>
          <w:rFonts w:ascii="SimSun" w:hAnsi="SimSun" w:eastAsia="SimSun" w:cs="SimSun"/>
          <w:sz w:val="19"/>
          <w:szCs w:val="19"/>
          <w:spacing w:val="17"/>
        </w:rPr>
        <w:t xml:space="preserve"> </w:t>
      </w:r>
      <w:r>
        <w:rPr>
          <w:rFonts w:ascii="SimSun" w:hAnsi="SimSun" w:eastAsia="SimSun" w:cs="SimSun"/>
          <w:sz w:val="19"/>
          <w:szCs w:val="19"/>
          <w:spacing w:val="9"/>
        </w:rPr>
        <w:t>尤其违背数字经济时代对市场自由竞争机制的要求。而且，在增长的</w:t>
      </w:r>
    </w:p>
    <w:p>
      <w:pPr>
        <w:ind w:left="30"/>
        <w:spacing w:line="217" w:lineRule="auto"/>
        <w:rPr>
          <w:rFonts w:ascii="SimSun" w:hAnsi="SimSun" w:eastAsia="SimSun" w:cs="SimSun"/>
          <w:sz w:val="19"/>
          <w:szCs w:val="19"/>
        </w:rPr>
      </w:pPr>
      <w:r>
        <w:rPr>
          <w:rFonts w:ascii="SimSun" w:hAnsi="SimSun" w:eastAsia="SimSun" w:cs="SimSun"/>
          <w:sz w:val="19"/>
          <w:szCs w:val="19"/>
          <w:spacing w:val="8"/>
        </w:rPr>
        <w:t>意义上，政府不得不为这种干预付出更大的</w:t>
      </w:r>
      <w:r>
        <w:rPr>
          <w:rFonts w:ascii="SimSun" w:hAnsi="SimSun" w:eastAsia="SimSun" w:cs="SimSun"/>
          <w:sz w:val="19"/>
          <w:szCs w:val="19"/>
          <w:spacing w:val="7"/>
        </w:rPr>
        <w:t>代价。</w:t>
      </w:r>
    </w:p>
    <w:p>
      <w:pPr>
        <w:ind w:right="21"/>
        <w:spacing w:before="136" w:line="218" w:lineRule="auto"/>
        <w:jc w:val="right"/>
        <w:rPr>
          <w:rFonts w:ascii="SimSun" w:hAnsi="SimSun" w:eastAsia="SimSun" w:cs="SimSun"/>
          <w:sz w:val="19"/>
          <w:szCs w:val="19"/>
        </w:rPr>
      </w:pPr>
      <w:r>
        <w:rPr>
          <w:rFonts w:ascii="SimSun" w:hAnsi="SimSun" w:eastAsia="SimSun" w:cs="SimSun"/>
          <w:sz w:val="19"/>
          <w:szCs w:val="19"/>
          <w:spacing w:val="15"/>
        </w:rPr>
        <w:t>表2-14还估计了资本和劳动因素重新配置对整体经济</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增长</w:t>
      </w:r>
    </w:p>
    <w:p>
      <w:pPr>
        <w:spacing w:line="218" w:lineRule="auto"/>
        <w:sectPr>
          <w:headerReference w:type="default" r:id="rId1"/>
          <w:pgSz w:w="7330" w:h="12480"/>
          <w:pgMar w:top="400" w:right="919" w:bottom="400" w:left="339" w:header="0" w:footer="0" w:gutter="0"/>
        </w:sectPr>
        <w:rPr>
          <w:rFonts w:ascii="SimSun" w:hAnsi="SimSun" w:eastAsia="SimSun" w:cs="SimSun"/>
          <w:sz w:val="19"/>
          <w:szCs w:val="19"/>
        </w:rPr>
      </w:pPr>
    </w:p>
    <w:p>
      <w:pPr>
        <w:spacing w:line="220" w:lineRule="auto"/>
        <w:rPr>
          <w:rFonts w:ascii="SimHei" w:hAnsi="SimHei" w:eastAsia="SimHei" w:cs="SimHei"/>
          <w:sz w:val="17"/>
          <w:szCs w:val="17"/>
        </w:rPr>
      </w:pPr>
      <w:r>
        <w:drawing>
          <wp:anchor distT="0" distB="0" distL="0" distR="0" simplePos="0" relativeHeight="252849152" behindDoc="0" locked="0" layoutInCell="0" allowOverlap="1">
            <wp:simplePos x="0" y="0"/>
            <wp:positionH relativeFrom="page">
              <wp:posOffset>444510</wp:posOffset>
            </wp:positionH>
            <wp:positionV relativeFrom="page">
              <wp:posOffset>6324618</wp:posOffset>
            </wp:positionV>
            <wp:extent cx="1181092" cy="6350"/>
            <wp:effectExtent l="0" t="0" r="0" b="0"/>
            <wp:wrapNone/>
            <wp:docPr id="126" name="IM 126"/>
            <wp:cNvGraphicFramePr/>
            <a:graphic>
              <a:graphicData uri="http://schemas.openxmlformats.org/drawingml/2006/picture">
                <pic:pic>
                  <pic:nvPicPr>
                    <pic:cNvPr id="126" name="IM 126"/>
                    <pic:cNvPicPr/>
                  </pic:nvPicPr>
                  <pic:blipFill>
                    <a:blip r:embed="rId141"/>
                    <a:stretch>
                      <a:fillRect/>
                    </a:stretch>
                  </pic:blipFill>
                  <pic:spPr>
                    <a:xfrm rot="0">
                      <a:off x="0" y="0"/>
                      <a:ext cx="1181092" cy="6350"/>
                    </a:xfrm>
                    <a:prstGeom prst="rect">
                      <a:avLst/>
                    </a:prstGeom>
                  </pic:spPr>
                </pic:pic>
              </a:graphicData>
            </a:graphic>
          </wp:anchor>
        </w:drawing>
      </w:r>
      <w:r>
        <w:rPr>
          <w:rFonts w:ascii="SimSun" w:hAnsi="SimSun" w:eastAsia="SimSun" w:cs="SimSun"/>
          <w:sz w:val="12"/>
          <w:szCs w:val="12"/>
          <w:spacing w:val="-8"/>
          <w:position w:val="-1"/>
        </w:rPr>
        <w:t>106                                </w:t>
      </w:r>
      <w:r>
        <w:rPr>
          <w:rFonts w:ascii="SimHei" w:hAnsi="SimHei" w:eastAsia="SimHei" w:cs="SimHei"/>
          <w:sz w:val="17"/>
          <w:szCs w:val="17"/>
          <w:spacing w:val="-8"/>
        </w:rPr>
        <w:t>平台经济——创新、治理与繁荣</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right="85"/>
        <w:spacing w:before="68" w:line="304" w:lineRule="auto"/>
        <w:jc w:val="both"/>
        <w:rPr>
          <w:rFonts w:ascii="SimSun" w:hAnsi="SimSun" w:eastAsia="SimSun" w:cs="SimSun"/>
          <w:sz w:val="21"/>
          <w:szCs w:val="21"/>
        </w:rPr>
      </w:pPr>
      <w:r>
        <w:rPr>
          <w:rFonts w:ascii="SimSun" w:hAnsi="SimSun" w:eastAsia="SimSun" w:cs="SimSun"/>
          <w:sz w:val="21"/>
          <w:szCs w:val="21"/>
          <w:spacing w:val="-10"/>
        </w:rPr>
        <w:t>的影响。结果显示，就整个考察时期而言，劳动重新配置为整体经济</w:t>
      </w:r>
      <w:r>
        <w:rPr>
          <w:rFonts w:ascii="SimSun" w:hAnsi="SimSun" w:eastAsia="SimSun" w:cs="SimSun"/>
          <w:sz w:val="21"/>
          <w:szCs w:val="21"/>
          <w:spacing w:val="8"/>
        </w:rPr>
        <w:t xml:space="preserve"> </w:t>
      </w:r>
      <w:r>
        <w:rPr>
          <w:rFonts w:ascii="Times New Roman" w:hAnsi="Times New Roman" w:eastAsia="Times New Roman" w:cs="Times New Roman"/>
          <w:sz w:val="21"/>
          <w:szCs w:val="21"/>
        </w:rPr>
        <w:t>TFP 0.54%</w:t>
      </w:r>
      <w:r>
        <w:rPr>
          <w:rFonts w:ascii="SimSun" w:hAnsi="SimSun" w:eastAsia="SimSun" w:cs="SimSun"/>
          <w:sz w:val="21"/>
          <w:szCs w:val="21"/>
        </w:rPr>
        <w:t>的年均增速贡献了0.40</w:t>
      </w:r>
      <w:r>
        <w:rPr>
          <w:rFonts w:ascii="SimSun" w:hAnsi="SimSun" w:eastAsia="SimSun" w:cs="SimSun"/>
          <w:sz w:val="21"/>
          <w:szCs w:val="21"/>
          <w:spacing w:val="-1"/>
        </w:rPr>
        <w:t>个百分点，而资本重新配置的贡</w:t>
      </w:r>
      <w:r>
        <w:rPr>
          <w:rFonts w:ascii="SimSun" w:hAnsi="SimSun" w:eastAsia="SimSun" w:cs="SimSun"/>
          <w:sz w:val="21"/>
          <w:szCs w:val="21"/>
        </w:rPr>
        <w:t xml:space="preserve"> </w:t>
      </w:r>
      <w:r>
        <w:rPr>
          <w:rFonts w:ascii="SimSun" w:hAnsi="SimSun" w:eastAsia="SimSun" w:cs="SimSun"/>
          <w:sz w:val="21"/>
          <w:szCs w:val="21"/>
          <w:spacing w:val="-7"/>
        </w:rPr>
        <w:t>献则为-0.19个百分点，出现了严重的资本错配。分期观察，劳动重</w:t>
      </w:r>
      <w:r>
        <w:rPr>
          <w:rFonts w:ascii="SimSun" w:hAnsi="SimSun" w:eastAsia="SimSun" w:cs="SimSun"/>
          <w:sz w:val="21"/>
          <w:szCs w:val="21"/>
          <w:spacing w:val="17"/>
        </w:rPr>
        <w:t xml:space="preserve"> </w:t>
      </w:r>
      <w:r>
        <w:rPr>
          <w:rFonts w:ascii="SimSun" w:hAnsi="SimSun" w:eastAsia="SimSun" w:cs="SimSun"/>
          <w:sz w:val="21"/>
          <w:szCs w:val="21"/>
          <w:spacing w:val="-3"/>
        </w:rPr>
        <w:t>新配置的贡献是不断下降的，从“黄金期”的0.67个百分</w:t>
      </w:r>
      <w:r>
        <w:rPr>
          <w:rFonts w:ascii="SimSun" w:hAnsi="SimSun" w:eastAsia="SimSun" w:cs="SimSun"/>
          <w:sz w:val="21"/>
          <w:szCs w:val="21"/>
          <w:spacing w:val="-4"/>
        </w:rPr>
        <w:t>点下降到</w:t>
      </w:r>
      <w:r>
        <w:rPr>
          <w:rFonts w:ascii="SimSun" w:hAnsi="SimSun" w:eastAsia="SimSun" w:cs="SimSun"/>
          <w:sz w:val="21"/>
          <w:szCs w:val="21"/>
        </w:rPr>
        <w:t xml:space="preserve"> </w:t>
      </w:r>
      <w:r>
        <w:rPr>
          <w:rFonts w:ascii="SimSun" w:hAnsi="SimSun" w:eastAsia="SimSun" w:cs="SimSun"/>
          <w:sz w:val="21"/>
          <w:szCs w:val="21"/>
          <w:spacing w:val="-3"/>
        </w:rPr>
        <w:t>近些年的0.12个百分点。理论上，这一方面反映了劳</w:t>
      </w:r>
      <w:r>
        <w:rPr>
          <w:rFonts w:ascii="SimSun" w:hAnsi="SimSun" w:eastAsia="SimSun" w:cs="SimSun"/>
          <w:sz w:val="21"/>
          <w:szCs w:val="21"/>
          <w:spacing w:val="-4"/>
        </w:rPr>
        <w:t>动力市场的灵</w:t>
      </w:r>
      <w:r>
        <w:rPr>
          <w:rFonts w:ascii="SimSun" w:hAnsi="SimSun" w:eastAsia="SimSun" w:cs="SimSun"/>
          <w:sz w:val="21"/>
          <w:szCs w:val="21"/>
        </w:rPr>
        <w:t xml:space="preserve"> </w:t>
      </w:r>
      <w:r>
        <w:rPr>
          <w:rFonts w:ascii="SimSun" w:hAnsi="SimSun" w:eastAsia="SimSun" w:cs="SimSun"/>
          <w:sz w:val="21"/>
          <w:szCs w:val="21"/>
          <w:spacing w:val="-10"/>
        </w:rPr>
        <w:t>活程度已经很高，另一方面表明部门间的大</w:t>
      </w:r>
      <w:r>
        <w:rPr>
          <w:rFonts w:ascii="SimSun" w:hAnsi="SimSun" w:eastAsia="SimSun" w:cs="SimSun"/>
          <w:sz w:val="21"/>
          <w:szCs w:val="21"/>
          <w:spacing w:val="-11"/>
        </w:rPr>
        <w:t>规模劳动力转移已基本完</w:t>
      </w:r>
      <w:r>
        <w:rPr>
          <w:rFonts w:ascii="SimSun" w:hAnsi="SimSun" w:eastAsia="SimSun" w:cs="SimSun"/>
          <w:sz w:val="21"/>
          <w:szCs w:val="21"/>
        </w:rPr>
        <w:t xml:space="preserve"> </w:t>
      </w:r>
      <w:r>
        <w:rPr>
          <w:rFonts w:ascii="SimSun" w:hAnsi="SimSun" w:eastAsia="SimSun" w:cs="SimSun"/>
          <w:sz w:val="21"/>
          <w:szCs w:val="21"/>
          <w:spacing w:val="-11"/>
        </w:rPr>
        <w:t>成。相比之下，资本重新配置的表现令人担忧。“黄金期”并没有扭</w:t>
      </w:r>
      <w:r>
        <w:rPr>
          <w:rFonts w:ascii="SimSun" w:hAnsi="SimSun" w:eastAsia="SimSun" w:cs="SimSun"/>
          <w:sz w:val="21"/>
          <w:szCs w:val="21"/>
          <w:spacing w:val="16"/>
        </w:rPr>
        <w:t xml:space="preserve"> </w:t>
      </w:r>
      <w:r>
        <w:rPr>
          <w:rFonts w:ascii="SimSun" w:hAnsi="SimSun" w:eastAsia="SimSun" w:cs="SimSun"/>
          <w:sz w:val="21"/>
          <w:szCs w:val="21"/>
          <w:spacing w:val="4"/>
        </w:rPr>
        <w:t>转资本错配(为</w:t>
      </w:r>
      <w:r>
        <w:rPr>
          <w:rFonts w:ascii="Times New Roman" w:hAnsi="Times New Roman" w:eastAsia="Times New Roman" w:cs="Times New Roman"/>
          <w:sz w:val="21"/>
          <w:szCs w:val="21"/>
        </w:rPr>
        <w:t>TFP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的增长贡献-0.23个百</w:t>
      </w:r>
      <w:r>
        <w:rPr>
          <w:rFonts w:ascii="SimSun" w:hAnsi="SimSun" w:eastAsia="SimSun" w:cs="SimSun"/>
          <w:sz w:val="21"/>
          <w:szCs w:val="21"/>
          <w:spacing w:val="3"/>
        </w:rPr>
        <w:t>分点),这主要与地方政</w:t>
      </w:r>
      <w:r>
        <w:rPr>
          <w:rFonts w:ascii="SimSun" w:hAnsi="SimSun" w:eastAsia="SimSun" w:cs="SimSun"/>
          <w:sz w:val="21"/>
          <w:szCs w:val="21"/>
        </w:rPr>
        <w:t xml:space="preserve"> </w:t>
      </w:r>
      <w:r>
        <w:rPr>
          <w:rFonts w:ascii="SimSun" w:hAnsi="SimSun" w:eastAsia="SimSun" w:cs="SimSun"/>
          <w:sz w:val="21"/>
          <w:szCs w:val="21"/>
          <w:spacing w:val="-5"/>
        </w:rPr>
        <w:t>府旨在尽早收获“WTO</w:t>
      </w:r>
      <w:r>
        <w:rPr>
          <w:rFonts w:ascii="SimSun" w:hAnsi="SimSun" w:eastAsia="SimSun" w:cs="SimSun"/>
          <w:sz w:val="21"/>
          <w:szCs w:val="21"/>
          <w:spacing w:val="58"/>
        </w:rPr>
        <w:t xml:space="preserve"> </w:t>
      </w:r>
      <w:r>
        <w:rPr>
          <w:rFonts w:ascii="SimSun" w:hAnsi="SimSun" w:eastAsia="SimSun" w:cs="SimSun"/>
          <w:sz w:val="21"/>
          <w:szCs w:val="21"/>
          <w:spacing w:val="-5"/>
        </w:rPr>
        <w:t>红利”的增长竞赛</w:t>
      </w:r>
      <w:r>
        <w:rPr>
          <w:rFonts w:ascii="SimSun" w:hAnsi="SimSun" w:eastAsia="SimSun" w:cs="SimSun"/>
          <w:sz w:val="21"/>
          <w:szCs w:val="21"/>
          <w:spacing w:val="-6"/>
        </w:rPr>
        <w:t>加剧有关。这一趋势在金</w:t>
      </w:r>
      <w:r>
        <w:rPr>
          <w:rFonts w:ascii="SimSun" w:hAnsi="SimSun" w:eastAsia="SimSun" w:cs="SimSun"/>
          <w:sz w:val="21"/>
          <w:szCs w:val="21"/>
        </w:rPr>
        <w:t xml:space="preserve"> </w:t>
      </w:r>
      <w:r>
        <w:rPr>
          <w:rFonts w:ascii="SimSun" w:hAnsi="SimSun" w:eastAsia="SimSun" w:cs="SimSun"/>
          <w:sz w:val="21"/>
          <w:szCs w:val="21"/>
        </w:rPr>
        <w:t>融危机后早期得到纠正(资本重新配置为TFP 的增长贡献0.36</w:t>
      </w:r>
      <w:r>
        <w:rPr>
          <w:rFonts w:ascii="SimSun" w:hAnsi="SimSun" w:eastAsia="SimSun" w:cs="SimSun"/>
          <w:sz w:val="21"/>
          <w:szCs w:val="21"/>
          <w:spacing w:val="-1"/>
        </w:rPr>
        <w:t>个百</w:t>
      </w:r>
      <w:r>
        <w:rPr>
          <w:rFonts w:ascii="SimSun" w:hAnsi="SimSun" w:eastAsia="SimSun" w:cs="SimSun"/>
          <w:sz w:val="21"/>
          <w:szCs w:val="21"/>
        </w:rPr>
        <w:t xml:space="preserve"> </w:t>
      </w:r>
      <w:r>
        <w:rPr>
          <w:rFonts w:ascii="SimSun" w:hAnsi="SimSun" w:eastAsia="SimSun" w:cs="SimSun"/>
          <w:sz w:val="21"/>
          <w:szCs w:val="21"/>
          <w:spacing w:val="-4"/>
        </w:rPr>
        <w:t>分点),主要与中央政府强力干预资本配置，促使投资转向长期短缺</w:t>
      </w:r>
      <w:r>
        <w:rPr>
          <w:rFonts w:ascii="SimSun" w:hAnsi="SimSun" w:eastAsia="SimSun" w:cs="SimSun"/>
          <w:sz w:val="21"/>
          <w:szCs w:val="21"/>
          <w:spacing w:val="17"/>
        </w:rPr>
        <w:t xml:space="preserve"> </w:t>
      </w:r>
      <w:r>
        <w:rPr>
          <w:rFonts w:ascii="SimSun" w:hAnsi="SimSun" w:eastAsia="SimSun" w:cs="SimSun"/>
          <w:sz w:val="21"/>
          <w:szCs w:val="21"/>
          <w:spacing w:val="-11"/>
        </w:rPr>
        <w:t>的基础设施有关。①然而，这种资本配置政策导向的持续最终必然会</w:t>
      </w:r>
      <w:r>
        <w:rPr>
          <w:rFonts w:ascii="SimSun" w:hAnsi="SimSun" w:eastAsia="SimSun" w:cs="SimSun"/>
          <w:sz w:val="21"/>
          <w:szCs w:val="21"/>
          <w:spacing w:val="17"/>
        </w:rPr>
        <w:t xml:space="preserve"> </w:t>
      </w:r>
      <w:r>
        <w:rPr>
          <w:rFonts w:ascii="SimSun" w:hAnsi="SimSun" w:eastAsia="SimSun" w:cs="SimSun"/>
          <w:sz w:val="21"/>
          <w:szCs w:val="21"/>
          <w:spacing w:val="-10"/>
        </w:rPr>
        <w:t>面对效率下降的问题。根据我们的计算，这已经反映</w:t>
      </w:r>
      <w:r>
        <w:rPr>
          <w:rFonts w:ascii="SimSun" w:hAnsi="SimSun" w:eastAsia="SimSun" w:cs="SimSun"/>
          <w:sz w:val="21"/>
          <w:szCs w:val="21"/>
          <w:spacing w:val="-11"/>
        </w:rPr>
        <w:t>在危机后晚期资</w:t>
      </w:r>
      <w:r>
        <w:rPr>
          <w:rFonts w:ascii="SimSun" w:hAnsi="SimSun" w:eastAsia="SimSun" w:cs="SimSun"/>
          <w:sz w:val="21"/>
          <w:szCs w:val="21"/>
        </w:rPr>
        <w:t xml:space="preserve"> </w:t>
      </w:r>
      <w:r>
        <w:rPr>
          <w:rFonts w:ascii="SimSun" w:hAnsi="SimSun" w:eastAsia="SimSun" w:cs="SimSun"/>
          <w:sz w:val="21"/>
          <w:szCs w:val="21"/>
          <w:spacing w:val="4"/>
        </w:rPr>
        <w:t>本重新配置对</w:t>
      </w:r>
      <w:r>
        <w:rPr>
          <w:rFonts w:ascii="Times New Roman" w:hAnsi="Times New Roman" w:eastAsia="Times New Roman" w:cs="Times New Roman"/>
          <w:sz w:val="21"/>
          <w:szCs w:val="21"/>
        </w:rPr>
        <w:t>TFP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增长的负效果上了(贡献-0.60个百分点),甚至</w:t>
      </w:r>
      <w:r>
        <w:rPr>
          <w:rFonts w:ascii="SimSun" w:hAnsi="SimSun" w:eastAsia="SimSun" w:cs="SimSun"/>
          <w:sz w:val="21"/>
          <w:szCs w:val="21"/>
        </w:rPr>
        <w:t xml:space="preserve"> </w:t>
      </w:r>
      <w:r>
        <w:rPr>
          <w:rFonts w:ascii="SimSun" w:hAnsi="SimSun" w:eastAsia="SimSun" w:cs="SimSun"/>
          <w:sz w:val="21"/>
          <w:szCs w:val="21"/>
          <w:spacing w:val="-11"/>
        </w:rPr>
        <w:t>比“黄金期”的情况更严重。</w:t>
      </w:r>
    </w:p>
    <w:p>
      <w:pPr>
        <w:ind w:firstLine="490"/>
        <w:spacing w:before="200" w:line="293" w:lineRule="auto"/>
        <w:rPr>
          <w:rFonts w:ascii="SimSun" w:hAnsi="SimSun" w:eastAsia="SimSun" w:cs="SimSun"/>
          <w:sz w:val="21"/>
          <w:szCs w:val="21"/>
        </w:rPr>
      </w:pPr>
      <w:r>
        <w:rPr>
          <w:rFonts w:ascii="SimSun" w:hAnsi="SimSun" w:eastAsia="SimSun" w:cs="SimSun"/>
          <w:sz w:val="21"/>
          <w:szCs w:val="21"/>
          <w:spacing w:val="-2"/>
        </w:rPr>
        <w:t>根据表2-14我们绘制了两个初级要素重新配置对整体经济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TFP</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增长影响的指数曲线图(图2-12)。这个指数的建立基</w:t>
      </w:r>
      <w:r>
        <w:rPr>
          <w:rFonts w:ascii="SimSun" w:hAnsi="SimSun" w:eastAsia="SimSun" w:cs="SimSun"/>
          <w:sz w:val="21"/>
          <w:szCs w:val="21"/>
          <w:spacing w:val="-4"/>
        </w:rPr>
        <w:t>于要素对经济</w:t>
      </w:r>
      <w:r>
        <w:rPr>
          <w:rFonts w:ascii="SimSun" w:hAnsi="SimSun" w:eastAsia="SimSun" w:cs="SimSun"/>
          <w:sz w:val="21"/>
          <w:szCs w:val="21"/>
        </w:rPr>
        <w:t xml:space="preserve">  </w:t>
      </w:r>
      <w:r>
        <w:rPr>
          <w:rFonts w:ascii="SimSun" w:hAnsi="SimSun" w:eastAsia="SimSun" w:cs="SimSun"/>
          <w:sz w:val="21"/>
          <w:szCs w:val="21"/>
          <w:spacing w:val="-7"/>
        </w:rPr>
        <w:t>活动的服务而不是要素存量的变化，完全与我们估计的行业/部门的</w:t>
      </w:r>
      <w:r>
        <w:rPr>
          <w:rFonts w:ascii="SimSun" w:hAnsi="SimSun" w:eastAsia="SimSun" w:cs="SimSun"/>
          <w:sz w:val="21"/>
          <w:szCs w:val="21"/>
          <w:spacing w:val="4"/>
        </w:rPr>
        <w:t xml:space="preserve">  </w:t>
      </w:r>
      <w:r>
        <w:rPr>
          <w:rFonts w:ascii="SimSun" w:hAnsi="SimSun" w:eastAsia="SimSun" w:cs="SimSun"/>
          <w:sz w:val="21"/>
          <w:szCs w:val="21"/>
          <w:spacing w:val="-3"/>
        </w:rPr>
        <w:t>增长和效率表现契合。这个方法以2001年为</w:t>
      </w:r>
      <w:r>
        <w:rPr>
          <w:rFonts w:ascii="SimSun" w:hAnsi="SimSun" w:eastAsia="SimSun" w:cs="SimSun"/>
          <w:sz w:val="21"/>
          <w:szCs w:val="21"/>
          <w:spacing w:val="-4"/>
        </w:rPr>
        <w:t>初始年，即给定初始年</w:t>
      </w:r>
      <w:r>
        <w:rPr>
          <w:rFonts w:ascii="SimSun" w:hAnsi="SimSun" w:eastAsia="SimSun" w:cs="SimSun"/>
          <w:sz w:val="21"/>
          <w:szCs w:val="21"/>
        </w:rPr>
        <w:t xml:space="preserve">  </w:t>
      </w:r>
      <w:r>
        <w:rPr>
          <w:rFonts w:ascii="SimSun" w:hAnsi="SimSun" w:eastAsia="SimSun" w:cs="SimSun"/>
          <w:sz w:val="21"/>
          <w:szCs w:val="21"/>
          <w:spacing w:val="-11"/>
        </w:rPr>
        <w:t>的要素配置状态，目的主要是观察初始年以后不同要素的重新配置对</w:t>
      </w:r>
      <w:r>
        <w:rPr>
          <w:rFonts w:ascii="SimSun" w:hAnsi="SimSun" w:eastAsia="SimSun" w:cs="SimSun"/>
          <w:sz w:val="21"/>
          <w:szCs w:val="21"/>
          <w:spacing w:val="8"/>
        </w:rPr>
        <w:t xml:space="preserve">  </w:t>
      </w:r>
      <w:r>
        <w:rPr>
          <w:rFonts w:ascii="SimSun" w:hAnsi="SimSun" w:eastAsia="SimSun" w:cs="SimSun"/>
          <w:sz w:val="21"/>
          <w:szCs w:val="21"/>
          <w:spacing w:val="-11"/>
        </w:rPr>
        <w:t>整体经济效率影响的趋势。</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314" w:hanging="314"/>
        <w:spacing w:before="55" w:line="283" w:lineRule="auto"/>
        <w:rPr>
          <w:rFonts w:ascii="KaiTi" w:hAnsi="KaiTi" w:eastAsia="KaiTi" w:cs="KaiTi"/>
          <w:sz w:val="17"/>
          <w:szCs w:val="17"/>
        </w:rPr>
      </w:pPr>
      <w:r>
        <w:rPr>
          <w:rFonts w:ascii="SimSun" w:hAnsi="SimSun" w:eastAsia="SimSun" w:cs="SimSun"/>
          <w:sz w:val="17"/>
          <w:szCs w:val="17"/>
          <w:spacing w:val="-10"/>
        </w:rPr>
        <w:t>①</w:t>
      </w:r>
      <w:r>
        <w:rPr>
          <w:rFonts w:ascii="SimSun" w:hAnsi="SimSun" w:eastAsia="SimSun" w:cs="SimSun"/>
          <w:sz w:val="17"/>
          <w:szCs w:val="17"/>
          <w:spacing w:val="58"/>
          <w:w w:val="101"/>
        </w:rPr>
        <w:t xml:space="preserve"> </w:t>
      </w:r>
      <w:r>
        <w:rPr>
          <w:rFonts w:ascii="KaiTi" w:hAnsi="KaiTi" w:eastAsia="KaiTi" w:cs="KaiTi"/>
          <w:sz w:val="17"/>
          <w:szCs w:val="17"/>
          <w:spacing w:val="-10"/>
        </w:rPr>
        <w:t>这个估计是资源重新配置的净效果，除了补偿基础设施建设的短板导致的正效果，</w:t>
      </w:r>
      <w:r>
        <w:rPr>
          <w:rFonts w:ascii="KaiTi" w:hAnsi="KaiTi" w:eastAsia="KaiTi" w:cs="KaiTi"/>
          <w:sz w:val="17"/>
          <w:szCs w:val="17"/>
        </w:rPr>
        <w:t xml:space="preserve"> </w:t>
      </w:r>
      <w:r>
        <w:rPr>
          <w:rFonts w:ascii="KaiTi" w:hAnsi="KaiTi" w:eastAsia="KaiTi" w:cs="KaiTi"/>
          <w:sz w:val="17"/>
          <w:szCs w:val="17"/>
        </w:rPr>
        <w:t>也包括行政性“重新配置”或“关停并转”所引起的效率下降问题，如政府以</w:t>
      </w:r>
      <w:r>
        <w:rPr>
          <w:rFonts w:ascii="KaiTi" w:hAnsi="KaiTi" w:eastAsia="KaiTi" w:cs="KaiTi"/>
          <w:sz w:val="17"/>
          <w:szCs w:val="17"/>
        </w:rPr>
        <w:t xml:space="preserve"> </w:t>
      </w:r>
      <w:r>
        <w:rPr>
          <w:rFonts w:ascii="KaiTi" w:hAnsi="KaiTi" w:eastAsia="KaiTi" w:cs="KaiTi"/>
          <w:sz w:val="17"/>
          <w:szCs w:val="17"/>
          <w:spacing w:val="-14"/>
        </w:rPr>
        <w:t>“环境保护”、“产能过剩”以及“低端经济”等为理由强行进行的</w:t>
      </w:r>
      <w:r>
        <w:rPr>
          <w:rFonts w:ascii="KaiTi" w:hAnsi="KaiTi" w:eastAsia="KaiTi" w:cs="KaiTi"/>
          <w:sz w:val="17"/>
          <w:szCs w:val="17"/>
          <w:spacing w:val="-15"/>
        </w:rPr>
        <w:t>结构调整，再通</w:t>
      </w:r>
      <w:r>
        <w:rPr>
          <w:rFonts w:ascii="KaiTi" w:hAnsi="KaiTi" w:eastAsia="KaiTi" w:cs="KaiTi"/>
          <w:sz w:val="17"/>
          <w:szCs w:val="17"/>
        </w:rPr>
        <w:t xml:space="preserve"> </w:t>
      </w:r>
      <w:r>
        <w:rPr>
          <w:rFonts w:ascii="KaiTi" w:hAnsi="KaiTi" w:eastAsia="KaiTi" w:cs="KaiTi"/>
          <w:sz w:val="17"/>
          <w:szCs w:val="17"/>
          <w:spacing w:val="-7"/>
        </w:rPr>
        <w:t>过各级政府的过度解读导致的层层加码，严重影响了资本配</w:t>
      </w:r>
      <w:r>
        <w:rPr>
          <w:rFonts w:ascii="KaiTi" w:hAnsi="KaiTi" w:eastAsia="KaiTi" w:cs="KaiTi"/>
          <w:sz w:val="17"/>
          <w:szCs w:val="17"/>
          <w:spacing w:val="-8"/>
        </w:rPr>
        <w:t>置效率。</w:t>
      </w:r>
    </w:p>
    <w:p>
      <w:pPr>
        <w:spacing w:line="283" w:lineRule="auto"/>
        <w:sectPr>
          <w:pgSz w:w="7330" w:h="12480"/>
          <w:pgMar w:top="345" w:right="604" w:bottom="400" w:left="630" w:header="0" w:footer="0" w:gutter="0"/>
        </w:sectPr>
        <w:rPr>
          <w:rFonts w:ascii="KaiTi" w:hAnsi="KaiTi" w:eastAsia="KaiTi" w:cs="KaiTi"/>
          <w:sz w:val="17"/>
          <w:szCs w:val="17"/>
        </w:rPr>
      </w:pPr>
    </w:p>
    <w:p>
      <w:pPr>
        <w:ind w:left="1672"/>
        <w:spacing w:before="209" w:line="219" w:lineRule="auto"/>
        <w:rPr>
          <w:rFonts w:ascii="SimSun" w:hAnsi="SimSun" w:eastAsia="SimSun" w:cs="SimSun"/>
          <w:sz w:val="12"/>
          <w:szCs w:val="12"/>
        </w:rPr>
      </w:pPr>
      <w:r>
        <w:rPr>
          <w:rFonts w:ascii="YouYuan" w:hAnsi="YouYuan" w:eastAsia="YouYuan" w:cs="YouYuan"/>
          <w:sz w:val="19"/>
          <w:szCs w:val="19"/>
          <w:b/>
          <w:bCs/>
          <w:spacing w:val="-13"/>
          <w:w w:val="87"/>
        </w:rPr>
        <w:t>第二章</w:t>
      </w:r>
      <w:r>
        <w:rPr>
          <w:rFonts w:ascii="YouYuan" w:hAnsi="YouYuan" w:eastAsia="YouYuan" w:cs="YouYuan"/>
          <w:sz w:val="19"/>
          <w:szCs w:val="19"/>
          <w:spacing w:val="-13"/>
          <w:w w:val="87"/>
        </w:rPr>
        <w:t xml:space="preserve">  </w:t>
      </w:r>
      <w:r>
        <w:rPr>
          <w:rFonts w:ascii="YouYuan" w:hAnsi="YouYuan" w:eastAsia="YouYuan" w:cs="YouYuan"/>
          <w:sz w:val="19"/>
          <w:szCs w:val="19"/>
          <w:b/>
          <w:bCs/>
          <w:spacing w:val="-13"/>
          <w:w w:val="87"/>
        </w:rPr>
        <w:t>数字经济对中国经济增长的影响</w:t>
      </w:r>
      <w:r>
        <w:rPr>
          <w:rFonts w:ascii="YouYuan" w:hAnsi="YouYuan" w:eastAsia="YouYuan" w:cs="YouYuan"/>
          <w:sz w:val="19"/>
          <w:szCs w:val="19"/>
          <w:spacing w:val="3"/>
        </w:rPr>
        <w:t xml:space="preserve">              </w:t>
      </w:r>
      <w:r>
        <w:rPr>
          <w:rFonts w:ascii="SimSun" w:hAnsi="SimSun" w:eastAsia="SimSun" w:cs="SimSun"/>
          <w:sz w:val="12"/>
          <w:szCs w:val="12"/>
          <w:spacing w:val="1"/>
          <w:position w:val="-4"/>
        </w:rPr>
        <w:t>107</w:t>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61" w:line="223" w:lineRule="auto"/>
        <w:jc w:val="right"/>
        <w:rPr>
          <w:rFonts w:ascii="SimHei" w:hAnsi="SimHei" w:eastAsia="SimHei" w:cs="SimHei"/>
          <w:sz w:val="19"/>
          <w:szCs w:val="19"/>
        </w:rPr>
      </w:pPr>
      <w:r>
        <w:drawing>
          <wp:anchor distT="0" distB="0" distL="0" distR="0" simplePos="0" relativeHeight="252859392" behindDoc="1" locked="0" layoutInCell="1" allowOverlap="1">
            <wp:simplePos x="0" y="0"/>
            <wp:positionH relativeFrom="column">
              <wp:posOffset>0</wp:posOffset>
            </wp:positionH>
            <wp:positionV relativeFrom="paragraph">
              <wp:posOffset>-1737806</wp:posOffset>
            </wp:positionV>
            <wp:extent cx="3733786" cy="2025658"/>
            <wp:effectExtent l="0" t="0" r="0" b="0"/>
            <wp:wrapNone/>
            <wp:docPr id="128" name="IM 128"/>
            <wp:cNvGraphicFramePr/>
            <a:graphic>
              <a:graphicData uri="http://schemas.openxmlformats.org/drawingml/2006/picture">
                <pic:pic>
                  <pic:nvPicPr>
                    <pic:cNvPr id="128" name="IM 128"/>
                    <pic:cNvPicPr/>
                  </pic:nvPicPr>
                  <pic:blipFill>
                    <a:blip r:embed="rId142"/>
                    <a:stretch>
                      <a:fillRect/>
                    </a:stretch>
                  </pic:blipFill>
                  <pic:spPr>
                    <a:xfrm rot="0">
                      <a:off x="0" y="0"/>
                      <a:ext cx="3733786" cy="2025658"/>
                    </a:xfrm>
                    <a:prstGeom prst="rect">
                      <a:avLst/>
                    </a:prstGeom>
                  </pic:spPr>
                </pic:pic>
              </a:graphicData>
            </a:graphic>
          </wp:anchor>
        </w:drawing>
      </w:r>
      <w:r>
        <w:rPr>
          <w:rFonts w:ascii="SimHei" w:hAnsi="SimHei" w:eastAsia="SimHei" w:cs="SimHei"/>
          <w:sz w:val="19"/>
          <w:szCs w:val="19"/>
          <w:spacing w:val="5"/>
        </w:rPr>
        <w:t>(年)</w:t>
      </w:r>
    </w:p>
    <w:p>
      <w:pPr>
        <w:ind w:left="1310"/>
        <w:spacing w:before="249" w:line="219" w:lineRule="auto"/>
        <w:rPr>
          <w:rFonts w:ascii="SimSun" w:hAnsi="SimSun" w:eastAsia="SimSun" w:cs="SimSun"/>
          <w:sz w:val="19"/>
          <w:szCs w:val="19"/>
        </w:rPr>
      </w:pPr>
      <w:r>
        <w:rPr>
          <w:rFonts w:ascii="SimSun" w:hAnsi="SimSun" w:eastAsia="SimSun" w:cs="SimSun"/>
          <w:sz w:val="19"/>
          <w:szCs w:val="19"/>
          <w:spacing w:val="-14"/>
          <w:w w:val="95"/>
        </w:rPr>
        <w:t>——资本重新配置</w:t>
      </w:r>
      <w:r>
        <w:rPr>
          <w:rFonts w:ascii="SimSun" w:hAnsi="SimSun" w:eastAsia="SimSun" w:cs="SimSun"/>
          <w:sz w:val="19"/>
          <w:szCs w:val="19"/>
          <w:spacing w:val="28"/>
        </w:rPr>
        <w:t xml:space="preserve">    </w:t>
      </w:r>
      <w:r>
        <w:rPr>
          <w:rFonts w:ascii="SimSun" w:hAnsi="SimSun" w:eastAsia="SimSun" w:cs="SimSun"/>
          <w:sz w:val="19"/>
          <w:szCs w:val="19"/>
          <w:spacing w:val="-14"/>
          <w:w w:val="95"/>
        </w:rPr>
        <w:t>——劳动重新配置</w:t>
      </w:r>
    </w:p>
    <w:p>
      <w:pPr>
        <w:ind w:left="852"/>
        <w:spacing w:before="150" w:line="221" w:lineRule="auto"/>
        <w:rPr>
          <w:rFonts w:ascii="SimHei" w:hAnsi="SimHei" w:eastAsia="SimHei" w:cs="SimHei"/>
          <w:sz w:val="19"/>
          <w:szCs w:val="19"/>
        </w:rPr>
      </w:pPr>
      <w:r>
        <w:rPr>
          <w:rFonts w:ascii="SimHei" w:hAnsi="SimHei" w:eastAsia="SimHei" w:cs="SimHei"/>
          <w:sz w:val="19"/>
          <w:szCs w:val="19"/>
          <w:b/>
          <w:bCs/>
          <w:spacing w:val="-3"/>
        </w:rPr>
        <w:t>图2-12</w:t>
      </w:r>
      <w:r>
        <w:rPr>
          <w:rFonts w:ascii="SimHei" w:hAnsi="SimHei" w:eastAsia="SimHei" w:cs="SimHei"/>
          <w:sz w:val="19"/>
          <w:szCs w:val="19"/>
          <w:spacing w:val="69"/>
        </w:rPr>
        <w:t xml:space="preserve"> </w:t>
      </w:r>
      <w:r>
        <w:rPr>
          <w:rFonts w:ascii="SimHei" w:hAnsi="SimHei" w:eastAsia="SimHei" w:cs="SimHei"/>
          <w:sz w:val="19"/>
          <w:szCs w:val="19"/>
          <w:b/>
          <w:bCs/>
          <w:spacing w:val="-3"/>
        </w:rPr>
        <w:t>行业/部门间要素重新配置影响</w:t>
      </w:r>
      <w:r>
        <w:rPr>
          <w:rFonts w:ascii="SimHei" w:hAnsi="SimHei" w:eastAsia="SimHei" w:cs="SimHei"/>
          <w:sz w:val="19"/>
          <w:szCs w:val="19"/>
          <w:spacing w:val="-55"/>
        </w:rPr>
        <w:t xml:space="preserve"> </w:t>
      </w:r>
      <w:r>
        <w:rPr>
          <w:rFonts w:ascii="SimSun" w:hAnsi="SimSun" w:eastAsia="SimSun" w:cs="SimSun"/>
          <w:sz w:val="19"/>
          <w:szCs w:val="19"/>
          <w:b/>
          <w:bCs/>
          <w:spacing w:val="-3"/>
        </w:rPr>
        <w:t>TF</w:t>
      </w:r>
      <w:r>
        <w:rPr>
          <w:rFonts w:ascii="SimSun" w:hAnsi="SimSun" w:eastAsia="SimSun" w:cs="SimSun"/>
          <w:sz w:val="19"/>
          <w:szCs w:val="19"/>
          <w:b/>
          <w:bCs/>
          <w:spacing w:val="-4"/>
        </w:rPr>
        <w:t>P</w:t>
      </w:r>
      <w:r>
        <w:rPr>
          <w:rFonts w:ascii="SimSun" w:hAnsi="SimSun" w:eastAsia="SimSun" w:cs="SimSun"/>
          <w:sz w:val="19"/>
          <w:szCs w:val="19"/>
          <w:spacing w:val="-4"/>
        </w:rPr>
        <w:t xml:space="preserve"> </w:t>
      </w:r>
      <w:r>
        <w:rPr>
          <w:rFonts w:ascii="SimHei" w:hAnsi="SimHei" w:eastAsia="SimHei" w:cs="SimHei"/>
          <w:sz w:val="19"/>
          <w:szCs w:val="19"/>
          <w:b/>
          <w:bCs/>
          <w:spacing w:val="-4"/>
        </w:rPr>
        <w:t>增长指数</w:t>
      </w:r>
    </w:p>
    <w:p>
      <w:pPr>
        <w:ind w:left="399"/>
        <w:spacing w:before="125" w:line="349" w:lineRule="exact"/>
        <w:rPr>
          <w:rFonts w:ascii="KaiTi" w:hAnsi="KaiTi" w:eastAsia="KaiTi" w:cs="KaiTi"/>
          <w:sz w:val="19"/>
          <w:szCs w:val="19"/>
        </w:rPr>
      </w:pPr>
      <w:r>
        <w:rPr>
          <w:rFonts w:ascii="KaiTi" w:hAnsi="KaiTi" w:eastAsia="KaiTi" w:cs="KaiTi"/>
          <w:sz w:val="19"/>
          <w:szCs w:val="19"/>
          <w:spacing w:val="-17"/>
          <w:position w:val="11"/>
        </w:rPr>
        <w:t>注：假设2001年的指数为100。</w:t>
      </w:r>
    </w:p>
    <w:p>
      <w:pPr>
        <w:ind w:left="399"/>
        <w:spacing w:before="1" w:line="224" w:lineRule="auto"/>
        <w:rPr>
          <w:rFonts w:ascii="KaiTi" w:hAnsi="KaiTi" w:eastAsia="KaiTi" w:cs="KaiTi"/>
          <w:sz w:val="19"/>
          <w:szCs w:val="19"/>
        </w:rPr>
      </w:pPr>
      <w:r>
        <w:rPr>
          <w:rFonts w:ascii="KaiTi" w:hAnsi="KaiTi" w:eastAsia="KaiTi" w:cs="KaiTi"/>
          <w:sz w:val="19"/>
          <w:szCs w:val="19"/>
          <w:spacing w:val="-18"/>
          <w:w w:val="98"/>
        </w:rPr>
        <w:t>资料来源：根据表2-14计算。</w:t>
      </w:r>
    </w:p>
    <w:p>
      <w:pPr>
        <w:pStyle w:val="BodyText"/>
        <w:spacing w:line="445" w:lineRule="auto"/>
        <w:rPr/>
      </w:pPr>
      <w:r/>
    </w:p>
    <w:p>
      <w:pPr>
        <w:ind w:left="70" w:right="47" w:firstLine="399"/>
        <w:spacing w:before="61" w:line="350" w:lineRule="auto"/>
        <w:jc w:val="both"/>
        <w:rPr>
          <w:rFonts w:ascii="SimSun" w:hAnsi="SimSun" w:eastAsia="SimSun" w:cs="SimSun"/>
          <w:sz w:val="19"/>
          <w:szCs w:val="19"/>
        </w:rPr>
      </w:pPr>
      <w:r>
        <w:rPr>
          <w:rFonts w:ascii="SimSun" w:hAnsi="SimSun" w:eastAsia="SimSun" w:cs="SimSun"/>
          <w:sz w:val="19"/>
          <w:szCs w:val="19"/>
          <w:spacing w:val="16"/>
        </w:rPr>
        <w:t>总体而言，2015年前的整个时期资本错配是一般趋势，并没有</w:t>
      </w:r>
      <w:r>
        <w:rPr>
          <w:rFonts w:ascii="SimSun" w:hAnsi="SimSun" w:eastAsia="SimSun" w:cs="SimSun"/>
          <w:sz w:val="19"/>
          <w:szCs w:val="19"/>
          <w:spacing w:val="4"/>
        </w:rPr>
        <w:t xml:space="preserve"> </w:t>
      </w:r>
      <w:r>
        <w:rPr>
          <w:rFonts w:ascii="SimSun" w:hAnsi="SimSun" w:eastAsia="SimSun" w:cs="SimSun"/>
          <w:sz w:val="19"/>
          <w:szCs w:val="19"/>
          <w:spacing w:val="10"/>
        </w:rPr>
        <w:t>因为经济改革得到明显改善。全球金融危机后中央政府推行的“保增</w:t>
      </w:r>
      <w:r>
        <w:rPr>
          <w:rFonts w:ascii="SimSun" w:hAnsi="SimSun" w:eastAsia="SimSun" w:cs="SimSun"/>
          <w:sz w:val="19"/>
          <w:szCs w:val="19"/>
          <w:spacing w:val="4"/>
        </w:rPr>
        <w:t xml:space="preserve"> </w:t>
      </w:r>
      <w:r>
        <w:rPr>
          <w:rFonts w:ascii="SimSun" w:hAnsi="SimSun" w:eastAsia="SimSun" w:cs="SimSun"/>
          <w:sz w:val="19"/>
          <w:szCs w:val="19"/>
          <w:spacing w:val="10"/>
        </w:rPr>
        <w:t>长”政策遏制了导致制造业产能过剩的增长竞赛，在一定程度上纠正</w:t>
      </w:r>
      <w:r>
        <w:rPr>
          <w:rFonts w:ascii="SimSun" w:hAnsi="SimSun" w:eastAsia="SimSun" w:cs="SimSun"/>
          <w:sz w:val="19"/>
          <w:szCs w:val="19"/>
        </w:rPr>
        <w:t xml:space="preserve"> </w:t>
      </w:r>
      <w:r>
        <w:rPr>
          <w:rFonts w:ascii="SimSun" w:hAnsi="SimSun" w:eastAsia="SimSun" w:cs="SimSun"/>
          <w:sz w:val="19"/>
          <w:szCs w:val="19"/>
          <w:spacing w:val="14"/>
        </w:rPr>
        <w:t>了资本错配的影响，但是2015年供给侧改革后资本错配的情况再次</w:t>
      </w:r>
      <w:r>
        <w:rPr>
          <w:rFonts w:ascii="SimSun" w:hAnsi="SimSun" w:eastAsia="SimSun" w:cs="SimSun"/>
          <w:sz w:val="19"/>
          <w:szCs w:val="19"/>
          <w:spacing w:val="12"/>
        </w:rPr>
        <w:t xml:space="preserve"> </w:t>
      </w:r>
      <w:r>
        <w:rPr>
          <w:rFonts w:ascii="SimSun" w:hAnsi="SimSun" w:eastAsia="SimSun" w:cs="SimSun"/>
          <w:sz w:val="19"/>
          <w:szCs w:val="19"/>
          <w:spacing w:val="16"/>
        </w:rPr>
        <w:t>恶化。劳动重新配置对整体经济</w:t>
      </w:r>
      <w:r>
        <w:rPr>
          <w:rFonts w:ascii="SimSun" w:hAnsi="SimSun" w:eastAsia="SimSun" w:cs="SimSun"/>
          <w:sz w:val="19"/>
          <w:szCs w:val="19"/>
          <w:spacing w:val="-32"/>
        </w:rPr>
        <w:t xml:space="preserve"> </w:t>
      </w:r>
      <w:r>
        <w:rPr>
          <w:rFonts w:ascii="Times New Roman" w:hAnsi="Times New Roman" w:eastAsia="Times New Roman" w:cs="Times New Roman"/>
          <w:sz w:val="19"/>
          <w:szCs w:val="19"/>
        </w:rPr>
        <w:t>TFP</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增长的贡献是正向的。如果只</w:t>
      </w:r>
      <w:r>
        <w:rPr>
          <w:rFonts w:ascii="SimSun" w:hAnsi="SimSun" w:eastAsia="SimSun" w:cs="SimSun"/>
          <w:sz w:val="19"/>
          <w:szCs w:val="19"/>
        </w:rPr>
        <w:t xml:space="preserve"> </w:t>
      </w:r>
      <w:r>
        <w:rPr>
          <w:rFonts w:ascii="SimSun" w:hAnsi="SimSun" w:eastAsia="SimSun" w:cs="SimSun"/>
          <w:sz w:val="19"/>
          <w:szCs w:val="19"/>
          <w:spacing w:val="10"/>
        </w:rPr>
        <w:t>看要素重新配置的净效果，其完全得益于灵活的劳动力市场，尤</w:t>
      </w:r>
      <w:r>
        <w:rPr>
          <w:rFonts w:ascii="SimSun" w:hAnsi="SimSun" w:eastAsia="SimSun" w:cs="SimSun"/>
          <w:sz w:val="19"/>
          <w:szCs w:val="19"/>
          <w:spacing w:val="9"/>
        </w:rPr>
        <w:t>其是</w:t>
      </w:r>
      <w:r>
        <w:rPr>
          <w:rFonts w:ascii="SimSun" w:hAnsi="SimSun" w:eastAsia="SimSun" w:cs="SimSun"/>
          <w:sz w:val="19"/>
          <w:szCs w:val="19"/>
        </w:rPr>
        <w:t xml:space="preserve"> </w:t>
      </w:r>
      <w:r>
        <w:rPr>
          <w:rFonts w:ascii="SimSun" w:hAnsi="SimSun" w:eastAsia="SimSun" w:cs="SimSun"/>
          <w:sz w:val="19"/>
          <w:szCs w:val="19"/>
          <w:spacing w:val="9"/>
        </w:rPr>
        <w:t>其中没有自由的集体议价权利的劳动力市场。如果仅从要素重新配置</w:t>
      </w:r>
      <w:r>
        <w:rPr>
          <w:rFonts w:ascii="SimSun" w:hAnsi="SimSun" w:eastAsia="SimSun" w:cs="SimSun"/>
          <w:sz w:val="19"/>
          <w:szCs w:val="19"/>
          <w:spacing w:val="5"/>
        </w:rPr>
        <w:t xml:space="preserve"> </w:t>
      </w:r>
      <w:r>
        <w:rPr>
          <w:rFonts w:ascii="SimSun" w:hAnsi="SimSun" w:eastAsia="SimSun" w:cs="SimSun"/>
          <w:sz w:val="19"/>
          <w:szCs w:val="19"/>
          <w:spacing w:val="10"/>
        </w:rPr>
        <w:t>的角度看，我们完全可以说劳动重新配置效率的持续改善支付</w:t>
      </w:r>
      <w:r>
        <w:rPr>
          <w:rFonts w:ascii="SimSun" w:hAnsi="SimSun" w:eastAsia="SimSun" w:cs="SimSun"/>
          <w:sz w:val="19"/>
          <w:szCs w:val="19"/>
          <w:spacing w:val="9"/>
        </w:rPr>
        <w:t>了整体</w:t>
      </w:r>
    </w:p>
    <w:p>
      <w:pPr>
        <w:ind w:left="70"/>
        <w:spacing w:before="1" w:line="218" w:lineRule="auto"/>
        <w:rPr>
          <w:rFonts w:ascii="SimSun" w:hAnsi="SimSun" w:eastAsia="SimSun" w:cs="SimSun"/>
          <w:sz w:val="19"/>
          <w:szCs w:val="19"/>
        </w:rPr>
      </w:pPr>
      <w:r>
        <w:rPr>
          <w:rFonts w:ascii="SimSun" w:hAnsi="SimSun" w:eastAsia="SimSun" w:cs="SimSun"/>
          <w:sz w:val="19"/>
          <w:szCs w:val="19"/>
          <w:spacing w:val="5"/>
        </w:rPr>
        <w:t>经济资本错配的成本。</w:t>
      </w:r>
    </w:p>
    <w:p>
      <w:pPr>
        <w:pStyle w:val="BodyText"/>
        <w:spacing w:line="348" w:lineRule="auto"/>
        <w:rPr/>
      </w:pPr>
      <w:r/>
    </w:p>
    <w:p>
      <w:pPr>
        <w:ind w:left="2434"/>
        <w:spacing w:before="108" w:line="220" w:lineRule="auto"/>
        <w:rPr>
          <w:rFonts w:ascii="SimSun" w:hAnsi="SimSun" w:eastAsia="SimSun" w:cs="SimSun"/>
          <w:sz w:val="33"/>
          <w:szCs w:val="33"/>
        </w:rPr>
      </w:pPr>
      <w:r>
        <w:rPr>
          <w:rFonts w:ascii="SimSun" w:hAnsi="SimSun" w:eastAsia="SimSun" w:cs="SimSun"/>
          <w:sz w:val="33"/>
          <w:szCs w:val="33"/>
          <w:b/>
          <w:bCs/>
          <w:spacing w:val="-12"/>
        </w:rPr>
        <w:t>政策建议</w:t>
      </w:r>
    </w:p>
    <w:p>
      <w:pPr>
        <w:pStyle w:val="BodyText"/>
        <w:spacing w:line="311" w:lineRule="auto"/>
        <w:rPr/>
      </w:pPr>
      <w:r/>
    </w:p>
    <w:p>
      <w:pPr>
        <w:ind w:left="490"/>
        <w:spacing w:before="62" w:line="219" w:lineRule="auto"/>
        <w:rPr>
          <w:rFonts w:ascii="SimSun" w:hAnsi="SimSun" w:eastAsia="SimSun" w:cs="SimSun"/>
          <w:sz w:val="19"/>
          <w:szCs w:val="19"/>
        </w:rPr>
      </w:pPr>
      <w:r>
        <w:rPr>
          <w:rFonts w:ascii="SimSun" w:hAnsi="SimSun" w:eastAsia="SimSun" w:cs="SimSun"/>
          <w:sz w:val="19"/>
          <w:szCs w:val="19"/>
          <w:spacing w:val="9"/>
        </w:rPr>
        <w:t>不管以什么方法测算，改革开放以来的中国经济都经历了超高速</w:t>
      </w:r>
    </w:p>
    <w:p>
      <w:pPr>
        <w:spacing w:line="219" w:lineRule="auto"/>
        <w:sectPr>
          <w:pgSz w:w="7330" w:h="12480"/>
          <w:pgMar w:top="400" w:right="844" w:bottom="400" w:left="350" w:header="0" w:footer="0" w:gutter="0"/>
        </w:sectPr>
        <w:rPr>
          <w:rFonts w:ascii="SimSun" w:hAnsi="SimSun" w:eastAsia="SimSun" w:cs="SimSun"/>
          <w:sz w:val="19"/>
          <w:szCs w:val="19"/>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80"/>
        <w:spacing w:before="68" w:line="298" w:lineRule="auto"/>
        <w:jc w:val="both"/>
        <w:rPr>
          <w:rFonts w:ascii="SimSun" w:hAnsi="SimSun" w:eastAsia="SimSun" w:cs="SimSun"/>
          <w:sz w:val="21"/>
          <w:szCs w:val="21"/>
        </w:rPr>
      </w:pPr>
      <w:r>
        <w:rPr>
          <w:rFonts w:ascii="SimSun" w:hAnsi="SimSun" w:eastAsia="SimSun" w:cs="SimSun"/>
          <w:sz w:val="21"/>
          <w:szCs w:val="21"/>
          <w:spacing w:val="-3"/>
        </w:rPr>
        <w:t>的增长，对于一个拥有十几亿人口，而且到改革开放前夕人均</w:t>
      </w:r>
      <w:r>
        <w:rPr>
          <w:rFonts w:ascii="Times New Roman" w:hAnsi="Times New Roman" w:eastAsia="Times New Roman" w:cs="Times New Roman"/>
          <w:sz w:val="21"/>
          <w:szCs w:val="21"/>
          <w:spacing w:val="-3"/>
        </w:rPr>
        <w:t>GDP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年平均增长率仅仅为1.3%的大国来说，这都是令人瞩目的成绩。然</w:t>
      </w:r>
      <w:r>
        <w:rPr>
          <w:rFonts w:ascii="SimSun" w:hAnsi="SimSun" w:eastAsia="SimSun" w:cs="SimSun"/>
          <w:sz w:val="21"/>
          <w:szCs w:val="21"/>
          <w:spacing w:val="12"/>
        </w:rPr>
        <w:t xml:space="preserve"> </w:t>
      </w:r>
      <w:r>
        <w:rPr>
          <w:rFonts w:ascii="SimSun" w:hAnsi="SimSun" w:eastAsia="SimSun" w:cs="SimSun"/>
          <w:sz w:val="21"/>
          <w:szCs w:val="21"/>
          <w:spacing w:val="-10"/>
        </w:rPr>
        <w:t>而，通过一个基于严谨的增长理论框架的实证分析解析不同行业、不</w:t>
      </w:r>
      <w:r>
        <w:rPr>
          <w:rFonts w:ascii="SimSun" w:hAnsi="SimSun" w:eastAsia="SimSun" w:cs="SimSun"/>
          <w:sz w:val="21"/>
          <w:szCs w:val="21"/>
          <w:spacing w:val="10"/>
        </w:rPr>
        <w:t xml:space="preserve"> </w:t>
      </w:r>
      <w:r>
        <w:rPr>
          <w:rFonts w:ascii="SimSun" w:hAnsi="SimSun" w:eastAsia="SimSun" w:cs="SimSun"/>
          <w:sz w:val="21"/>
          <w:szCs w:val="21"/>
          <w:spacing w:val="-11"/>
        </w:rPr>
        <w:t>同生产要素以及全要素生产率对中国整体经济增长的贡献，既是理解</w:t>
      </w:r>
      <w:r>
        <w:rPr>
          <w:rFonts w:ascii="SimSun" w:hAnsi="SimSun" w:eastAsia="SimSun" w:cs="SimSun"/>
          <w:sz w:val="21"/>
          <w:szCs w:val="21"/>
          <w:spacing w:val="15"/>
        </w:rPr>
        <w:t xml:space="preserve"> </w:t>
      </w:r>
      <w:r>
        <w:rPr>
          <w:rFonts w:ascii="SimSun" w:hAnsi="SimSun" w:eastAsia="SimSun" w:cs="SimSun"/>
          <w:sz w:val="21"/>
          <w:szCs w:val="21"/>
          <w:spacing w:val="-10"/>
        </w:rPr>
        <w:t>这个增长过程的必要前提，也是理解当前中国经济转型面临的主要困</w:t>
      </w:r>
      <w:r>
        <w:rPr>
          <w:rFonts w:ascii="SimSun" w:hAnsi="SimSun" w:eastAsia="SimSun" w:cs="SimSun"/>
          <w:sz w:val="21"/>
          <w:szCs w:val="21"/>
        </w:rPr>
        <w:t xml:space="preserve"> </w:t>
      </w:r>
      <w:r>
        <w:rPr>
          <w:rFonts w:ascii="SimSun" w:hAnsi="SimSun" w:eastAsia="SimSun" w:cs="SimSun"/>
          <w:sz w:val="21"/>
          <w:szCs w:val="21"/>
          <w:spacing w:val="-11"/>
        </w:rPr>
        <w:t>难的关键。更重要的是，在中国经济通过加入世界贸易组织融入世界</w:t>
      </w:r>
      <w:r>
        <w:rPr>
          <w:rFonts w:ascii="SimSun" w:hAnsi="SimSun" w:eastAsia="SimSun" w:cs="SimSun"/>
          <w:sz w:val="21"/>
          <w:szCs w:val="21"/>
          <w:spacing w:val="17"/>
        </w:rPr>
        <w:t xml:space="preserve"> </w:t>
      </w:r>
      <w:r>
        <w:rPr>
          <w:rFonts w:ascii="SimSun" w:hAnsi="SimSun" w:eastAsia="SimSun" w:cs="SimSun"/>
          <w:sz w:val="21"/>
          <w:szCs w:val="21"/>
          <w:spacing w:val="-2"/>
        </w:rPr>
        <w:t>市场的20年中，以</w:t>
      </w:r>
      <w:r>
        <w:rPr>
          <w:rFonts w:ascii="Times New Roman" w:hAnsi="Times New Roman" w:eastAsia="Times New Roman" w:cs="Times New Roman"/>
          <w:sz w:val="21"/>
          <w:szCs w:val="21"/>
          <w:spacing w:val="-2"/>
        </w:rPr>
        <w:t>ICT </w:t>
      </w:r>
      <w:r>
        <w:rPr>
          <w:rFonts w:ascii="SimSun" w:hAnsi="SimSun" w:eastAsia="SimSun" w:cs="SimSun"/>
          <w:sz w:val="21"/>
          <w:szCs w:val="21"/>
          <w:spacing w:val="-2"/>
        </w:rPr>
        <w:t>的迅速发展为基础的数字经济对中国经济增</w:t>
      </w:r>
      <w:r>
        <w:rPr>
          <w:rFonts w:ascii="SimSun" w:hAnsi="SimSun" w:eastAsia="SimSun" w:cs="SimSun"/>
          <w:sz w:val="21"/>
          <w:szCs w:val="21"/>
        </w:rPr>
        <w:t xml:space="preserve"> </w:t>
      </w:r>
      <w:r>
        <w:rPr>
          <w:rFonts w:ascii="SimSun" w:hAnsi="SimSun" w:eastAsia="SimSun" w:cs="SimSun"/>
          <w:sz w:val="21"/>
          <w:szCs w:val="21"/>
          <w:spacing w:val="-10"/>
        </w:rPr>
        <w:t>长发挥了重要作用，所以这种实证分析应该也必须有一</w:t>
      </w:r>
      <w:r>
        <w:rPr>
          <w:rFonts w:ascii="SimSun" w:hAnsi="SimSun" w:eastAsia="SimSun" w:cs="SimSun"/>
          <w:sz w:val="21"/>
          <w:szCs w:val="21"/>
          <w:spacing w:val="-11"/>
        </w:rPr>
        <w:t>个数字经济的</w:t>
      </w:r>
      <w:r>
        <w:rPr>
          <w:rFonts w:ascii="SimSun" w:hAnsi="SimSun" w:eastAsia="SimSun" w:cs="SimSun"/>
          <w:sz w:val="21"/>
          <w:szCs w:val="21"/>
        </w:rPr>
        <w:t xml:space="preserve"> </w:t>
      </w:r>
      <w:r>
        <w:rPr>
          <w:rFonts w:ascii="SimSun" w:hAnsi="SimSun" w:eastAsia="SimSun" w:cs="SimSun"/>
          <w:sz w:val="21"/>
          <w:szCs w:val="21"/>
          <w:spacing w:val="-11"/>
        </w:rPr>
        <w:t>视角，这就是我们在本章所做的工作。</w:t>
      </w:r>
    </w:p>
    <w:p>
      <w:pPr>
        <w:ind w:right="3" w:firstLine="499"/>
        <w:spacing w:before="185" w:line="300" w:lineRule="auto"/>
        <w:rPr>
          <w:rFonts w:ascii="SimSun" w:hAnsi="SimSun" w:eastAsia="SimSun" w:cs="SimSun"/>
          <w:sz w:val="21"/>
          <w:szCs w:val="21"/>
        </w:rPr>
      </w:pPr>
      <w:r>
        <w:rPr>
          <w:rFonts w:ascii="SimSun" w:hAnsi="SimSun" w:eastAsia="SimSun" w:cs="SimSun"/>
          <w:sz w:val="21"/>
          <w:szCs w:val="21"/>
          <w:spacing w:val="-11"/>
        </w:rPr>
        <w:t>本章在一个整合了行业生产率账户的总量生产函数框架中，分析</w:t>
      </w:r>
      <w:r>
        <w:rPr>
          <w:rFonts w:ascii="SimSun" w:hAnsi="SimSun" w:eastAsia="SimSun" w:cs="SimSun"/>
          <w:sz w:val="21"/>
          <w:szCs w:val="21"/>
          <w:spacing w:val="15"/>
        </w:rPr>
        <w:t xml:space="preserve"> </w:t>
      </w:r>
      <w:r>
        <w:rPr>
          <w:rFonts w:ascii="SimSun" w:hAnsi="SimSun" w:eastAsia="SimSun" w:cs="SimSun"/>
          <w:sz w:val="21"/>
          <w:szCs w:val="21"/>
          <w:spacing w:val="-12"/>
        </w:rPr>
        <w:t>了自加入世界贸易组织以来中国经济增长的驱动因素，特别是从数字</w:t>
      </w:r>
      <w:r>
        <w:rPr>
          <w:rFonts w:ascii="SimSun" w:hAnsi="SimSun" w:eastAsia="SimSun" w:cs="SimSun"/>
          <w:sz w:val="21"/>
          <w:szCs w:val="21"/>
          <w:spacing w:val="9"/>
        </w:rPr>
        <w:t xml:space="preserve">  </w:t>
      </w:r>
      <w:r>
        <w:rPr>
          <w:rFonts w:ascii="SimSun" w:hAnsi="SimSun" w:eastAsia="SimSun" w:cs="SimSun"/>
          <w:sz w:val="21"/>
          <w:szCs w:val="21"/>
          <w:spacing w:val="-7"/>
        </w:rPr>
        <w:t>经济的视角解析了不同行业/部门对整体经济增长和全要素生产率的</w:t>
      </w:r>
      <w:r>
        <w:rPr>
          <w:rFonts w:ascii="SimSun" w:hAnsi="SimSun" w:eastAsia="SimSun" w:cs="SimSun"/>
          <w:sz w:val="21"/>
          <w:szCs w:val="21"/>
          <w:spacing w:val="4"/>
        </w:rPr>
        <w:t xml:space="preserve">  </w:t>
      </w:r>
      <w:r>
        <w:rPr>
          <w:rFonts w:ascii="SimSun" w:hAnsi="SimSun" w:eastAsia="SimSun" w:cs="SimSun"/>
          <w:sz w:val="21"/>
          <w:szCs w:val="21"/>
          <w:spacing w:val="-3"/>
        </w:rPr>
        <w:t>贡献。对整体经济来说，从生产要素驱动的</w:t>
      </w:r>
      <w:r>
        <w:rPr>
          <w:rFonts w:ascii="SimSun" w:hAnsi="SimSun" w:eastAsia="SimSun" w:cs="SimSun"/>
          <w:sz w:val="21"/>
          <w:szCs w:val="21"/>
          <w:spacing w:val="-4"/>
        </w:rPr>
        <w:t>角度观察，在过去的20</w:t>
      </w:r>
      <w:r>
        <w:rPr>
          <w:rFonts w:ascii="SimSun" w:hAnsi="SimSun" w:eastAsia="SimSun" w:cs="SimSun"/>
          <w:sz w:val="21"/>
          <w:szCs w:val="21"/>
        </w:rPr>
        <w:t xml:space="preserve">  </w:t>
      </w:r>
      <w:r>
        <w:rPr>
          <w:rFonts w:ascii="SimSun" w:hAnsi="SimSun" w:eastAsia="SimSun" w:cs="SimSun"/>
          <w:sz w:val="21"/>
          <w:szCs w:val="21"/>
          <w:spacing w:val="-4"/>
        </w:rPr>
        <w:t>年中，增长持续放缓的中国经济越来越依赖投资驱动。尽管数字经</w:t>
      </w:r>
      <w:r>
        <w:rPr>
          <w:rFonts w:ascii="SimSun" w:hAnsi="SimSun" w:eastAsia="SimSun" w:cs="SimSun"/>
          <w:sz w:val="21"/>
          <w:szCs w:val="21"/>
          <w:spacing w:val="6"/>
        </w:rPr>
        <w:t xml:space="preserve">  </w:t>
      </w:r>
      <w:r>
        <w:rPr>
          <w:rFonts w:ascii="SimSun" w:hAnsi="SimSun" w:eastAsia="SimSun" w:cs="SimSun"/>
          <w:sz w:val="21"/>
          <w:szCs w:val="21"/>
          <w:spacing w:val="-6"/>
        </w:rPr>
        <w:t>济部门已经成为增长的最大贡献者，投资的主体仍然是非</w:t>
      </w:r>
      <w:r>
        <w:rPr>
          <w:rFonts w:ascii="Times New Roman" w:hAnsi="Times New Roman" w:eastAsia="Times New Roman" w:cs="Times New Roman"/>
          <w:sz w:val="21"/>
          <w:szCs w:val="21"/>
          <w:spacing w:val="-6"/>
        </w:rPr>
        <w:t>ICT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7"/>
        </w:rPr>
        <w:t>设备、</w:t>
      </w:r>
      <w:r>
        <w:rPr>
          <w:rFonts w:ascii="SimSun" w:hAnsi="SimSun" w:eastAsia="SimSun" w:cs="SimSun"/>
          <w:sz w:val="21"/>
          <w:szCs w:val="21"/>
        </w:rPr>
        <w:t xml:space="preserve"> </w:t>
      </w:r>
      <w:r>
        <w:rPr>
          <w:rFonts w:ascii="SimSun" w:hAnsi="SimSun" w:eastAsia="SimSun" w:cs="SimSun"/>
          <w:sz w:val="21"/>
          <w:szCs w:val="21"/>
          <w:spacing w:val="-4"/>
        </w:rPr>
        <w:t>生产性建筑设施和房地产。劳动投入对经济增长的贡献已经不复存</w:t>
      </w:r>
      <w:r>
        <w:rPr>
          <w:rFonts w:ascii="SimSun" w:hAnsi="SimSun" w:eastAsia="SimSun" w:cs="SimSun"/>
          <w:sz w:val="21"/>
          <w:szCs w:val="21"/>
          <w:spacing w:val="6"/>
        </w:rPr>
        <w:t xml:space="preserve">  </w:t>
      </w:r>
      <w:r>
        <w:rPr>
          <w:rFonts w:ascii="SimSun" w:hAnsi="SimSun" w:eastAsia="SimSun" w:cs="SimSun"/>
          <w:sz w:val="21"/>
          <w:szCs w:val="21"/>
          <w:spacing w:val="-11"/>
        </w:rPr>
        <w:t>在，劳动质量的提升仍然远不足以弥补劳动数量的绝对下降，而且这</w:t>
      </w:r>
      <w:r>
        <w:rPr>
          <w:rFonts w:ascii="SimSun" w:hAnsi="SimSun" w:eastAsia="SimSun" w:cs="SimSun"/>
          <w:sz w:val="21"/>
          <w:szCs w:val="21"/>
          <w:spacing w:val="8"/>
        </w:rPr>
        <w:t xml:space="preserve">  </w:t>
      </w:r>
      <w:r>
        <w:rPr>
          <w:rFonts w:ascii="SimSun" w:hAnsi="SimSun" w:eastAsia="SimSun" w:cs="SimSun"/>
          <w:sz w:val="21"/>
          <w:szCs w:val="21"/>
          <w:spacing w:val="-11"/>
        </w:rPr>
        <w:t>个趋势已经很难改变。反映制度建设对宏观经济效率影响的全要素生</w:t>
      </w:r>
      <w:r>
        <w:rPr>
          <w:rFonts w:ascii="SimSun" w:hAnsi="SimSun" w:eastAsia="SimSun" w:cs="SimSun"/>
          <w:sz w:val="21"/>
          <w:szCs w:val="21"/>
          <w:spacing w:val="9"/>
        </w:rPr>
        <w:t xml:space="preserve">  </w:t>
      </w:r>
      <w:r>
        <w:rPr>
          <w:rFonts w:ascii="SimSun" w:hAnsi="SimSun" w:eastAsia="SimSun" w:cs="SimSun"/>
          <w:sz w:val="21"/>
          <w:szCs w:val="21"/>
          <w:spacing w:val="-10"/>
        </w:rPr>
        <w:t>产率，在中国加入世界贸易组织后短暂的“黄</w:t>
      </w:r>
      <w:r>
        <w:rPr>
          <w:rFonts w:ascii="SimSun" w:hAnsi="SimSun" w:eastAsia="SimSun" w:cs="SimSun"/>
          <w:sz w:val="21"/>
          <w:szCs w:val="21"/>
          <w:spacing w:val="-11"/>
        </w:rPr>
        <w:t>金期”中做出了相当于</w:t>
      </w:r>
      <w:r>
        <w:rPr>
          <w:rFonts w:ascii="SimSun" w:hAnsi="SimSun" w:eastAsia="SimSun" w:cs="SimSun"/>
          <w:sz w:val="21"/>
          <w:szCs w:val="21"/>
        </w:rPr>
        <w:t xml:space="preserve">  </w:t>
      </w:r>
      <w:r>
        <w:rPr>
          <w:rFonts w:ascii="SimSun" w:hAnsi="SimSun" w:eastAsia="SimSun" w:cs="SimSun"/>
          <w:sz w:val="21"/>
          <w:szCs w:val="21"/>
          <w:spacing w:val="-12"/>
        </w:rPr>
        <w:t>当年东亚经济体在相似发展阶段的重要贡献，但是在全球金融危机之</w:t>
      </w:r>
      <w:r>
        <w:rPr>
          <w:rFonts w:ascii="SimSun" w:hAnsi="SimSun" w:eastAsia="SimSun" w:cs="SimSun"/>
          <w:sz w:val="21"/>
          <w:szCs w:val="21"/>
          <w:spacing w:val="8"/>
        </w:rPr>
        <w:t xml:space="preserve">  </w:t>
      </w:r>
      <w:r>
        <w:rPr>
          <w:rFonts w:ascii="SimSun" w:hAnsi="SimSun" w:eastAsia="SimSun" w:cs="SimSun"/>
          <w:sz w:val="21"/>
          <w:szCs w:val="21"/>
          <w:spacing w:val="-11"/>
        </w:rPr>
        <w:t>后一直表现为负增长，资本错配是其中的重要因素。</w:t>
      </w:r>
    </w:p>
    <w:p>
      <w:pPr>
        <w:ind w:firstLine="499"/>
        <w:spacing w:before="212" w:line="300" w:lineRule="auto"/>
        <w:jc w:val="both"/>
        <w:rPr>
          <w:rFonts w:ascii="SimSun" w:hAnsi="SimSun" w:eastAsia="SimSun" w:cs="SimSun"/>
          <w:sz w:val="21"/>
          <w:szCs w:val="21"/>
        </w:rPr>
      </w:pPr>
      <w:r>
        <w:rPr>
          <w:rFonts w:ascii="SimSun" w:hAnsi="SimSun" w:eastAsia="SimSun" w:cs="SimSun"/>
          <w:sz w:val="21"/>
          <w:szCs w:val="21"/>
          <w:spacing w:val="1"/>
        </w:rPr>
        <w:t>通过分解行业/部门的作用，我们肯定了数字经济相关行</w:t>
      </w:r>
      <w:r>
        <w:rPr>
          <w:rFonts w:ascii="SimSun" w:hAnsi="SimSun" w:eastAsia="SimSun" w:cs="SimSun"/>
          <w:sz w:val="21"/>
          <w:szCs w:val="21"/>
        </w:rPr>
        <w:t>业在 </w:t>
      </w:r>
      <w:r>
        <w:rPr>
          <w:rFonts w:ascii="SimSun" w:hAnsi="SimSun" w:eastAsia="SimSun" w:cs="SimSun"/>
          <w:sz w:val="21"/>
          <w:szCs w:val="21"/>
          <w:spacing w:val="-4"/>
        </w:rPr>
        <w:t>促进中国经济增长和全要素生产率的提升上举足轻重的地位。从统</w:t>
      </w:r>
      <w:r>
        <w:rPr>
          <w:rFonts w:ascii="SimSun" w:hAnsi="SimSun" w:eastAsia="SimSun" w:cs="SimSun"/>
          <w:sz w:val="21"/>
          <w:szCs w:val="21"/>
          <w:spacing w:val="7"/>
        </w:rPr>
        <w:t xml:space="preserve">  </w:t>
      </w:r>
      <w:r>
        <w:rPr>
          <w:rFonts w:ascii="SimSun" w:hAnsi="SimSun" w:eastAsia="SimSun" w:cs="SimSun"/>
          <w:sz w:val="21"/>
          <w:szCs w:val="21"/>
          <w:spacing w:val="-3"/>
        </w:rPr>
        <w:t>计观察上看，数字经济部门是中国经济中增长最快</w:t>
      </w:r>
      <w:r>
        <w:rPr>
          <w:rFonts w:ascii="SimSun" w:hAnsi="SimSun" w:eastAsia="SimSun" w:cs="SimSun"/>
          <w:sz w:val="21"/>
          <w:szCs w:val="21"/>
          <w:spacing w:val="-4"/>
        </w:rPr>
        <w:t>的部门，其中制</w:t>
      </w:r>
      <w:r>
        <w:rPr>
          <w:rFonts w:ascii="SimSun" w:hAnsi="SimSun" w:eastAsia="SimSun" w:cs="SimSun"/>
          <w:sz w:val="21"/>
          <w:szCs w:val="21"/>
        </w:rPr>
        <w:t xml:space="preserve">  </w:t>
      </w:r>
      <w:r>
        <w:rPr>
          <w:rFonts w:ascii="SimSun" w:hAnsi="SimSun" w:eastAsia="SimSun" w:cs="SimSun"/>
          <w:sz w:val="21"/>
          <w:szCs w:val="21"/>
          <w:spacing w:val="-4"/>
        </w:rPr>
        <w:t>造业成分的增长减缓了中国经济因成本上升过快而过早出现的“去</w:t>
      </w:r>
      <w:r>
        <w:rPr>
          <w:rFonts w:ascii="SimSun" w:hAnsi="SimSun" w:eastAsia="SimSun" w:cs="SimSun"/>
          <w:sz w:val="21"/>
          <w:szCs w:val="21"/>
          <w:spacing w:val="8"/>
        </w:rPr>
        <w:t xml:space="preserve">  </w:t>
      </w:r>
      <w:r>
        <w:rPr>
          <w:rFonts w:ascii="SimSun" w:hAnsi="SimSun" w:eastAsia="SimSun" w:cs="SimSun"/>
          <w:sz w:val="21"/>
          <w:szCs w:val="21"/>
          <w:spacing w:val="-3"/>
        </w:rPr>
        <w:t>工业化”过程。以单位实际产出计算，数字经济</w:t>
      </w:r>
      <w:r>
        <w:rPr>
          <w:rFonts w:ascii="SimSun" w:hAnsi="SimSun" w:eastAsia="SimSun" w:cs="SimSun"/>
          <w:sz w:val="21"/>
          <w:szCs w:val="21"/>
          <w:spacing w:val="-4"/>
        </w:rPr>
        <w:t>部门对资本增长的</w:t>
      </w:r>
      <w:r>
        <w:rPr>
          <w:rFonts w:ascii="SimSun" w:hAnsi="SimSun" w:eastAsia="SimSun" w:cs="SimSun"/>
          <w:sz w:val="21"/>
          <w:szCs w:val="21"/>
        </w:rPr>
        <w:t xml:space="preserve">  </w:t>
      </w:r>
      <w:r>
        <w:rPr>
          <w:rFonts w:ascii="SimSun" w:hAnsi="SimSun" w:eastAsia="SimSun" w:cs="SimSun"/>
          <w:sz w:val="21"/>
          <w:szCs w:val="21"/>
          <w:spacing w:val="-3"/>
        </w:rPr>
        <w:t>依赖最小，从这个意义上说，其迅速增长也减缓了整体经济资本回</w:t>
      </w:r>
    </w:p>
    <w:p>
      <w:pPr>
        <w:spacing w:line="300" w:lineRule="auto"/>
        <w:sectPr>
          <w:headerReference w:type="default" r:id="rId143"/>
          <w:pgSz w:w="7330" w:h="12480"/>
          <w:pgMar w:top="529" w:right="608" w:bottom="400" w:left="630" w:header="355"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firstLine="105"/>
        <w:spacing w:before="69" w:line="304" w:lineRule="auto"/>
        <w:jc w:val="both"/>
        <w:rPr>
          <w:rFonts w:ascii="SimSun" w:hAnsi="SimSun" w:eastAsia="SimSun" w:cs="SimSun"/>
          <w:sz w:val="21"/>
          <w:szCs w:val="21"/>
        </w:rPr>
      </w:pPr>
      <w:r>
        <w:rPr>
          <w:rFonts w:ascii="SimSun" w:hAnsi="SimSun" w:eastAsia="SimSun" w:cs="SimSun"/>
          <w:sz w:val="21"/>
          <w:szCs w:val="21"/>
          <w:spacing w:val="-7"/>
        </w:rPr>
        <w:t>报率的下降。再者，数字经济部门也是劳动生产率上</w:t>
      </w:r>
      <w:r>
        <w:rPr>
          <w:rFonts w:ascii="SimSun" w:hAnsi="SimSun" w:eastAsia="SimSun" w:cs="SimSun"/>
          <w:sz w:val="21"/>
          <w:szCs w:val="21"/>
          <w:spacing w:val="-8"/>
        </w:rPr>
        <w:t>升最快的部门，</w:t>
      </w:r>
      <w:r>
        <w:rPr>
          <w:rFonts w:ascii="SimSun" w:hAnsi="SimSun" w:eastAsia="SimSun" w:cs="SimSun"/>
          <w:sz w:val="21"/>
          <w:szCs w:val="21"/>
        </w:rPr>
        <w:t xml:space="preserve"> </w:t>
      </w:r>
      <w:r>
        <w:rPr>
          <w:rFonts w:ascii="SimSun" w:hAnsi="SimSun" w:eastAsia="SimSun" w:cs="SimSun"/>
          <w:sz w:val="21"/>
          <w:szCs w:val="21"/>
        </w:rPr>
        <w:t>因此大致可以克服劳动成本持续上升的压力。系统的解析结果进一</w:t>
      </w:r>
      <w:r>
        <w:rPr>
          <w:rFonts w:ascii="SimSun" w:hAnsi="SimSun" w:eastAsia="SimSun" w:cs="SimSun"/>
          <w:sz w:val="21"/>
          <w:szCs w:val="21"/>
          <w:spacing w:val="2"/>
        </w:rPr>
        <w:t xml:space="preserve">  </w:t>
      </w:r>
      <w:r>
        <w:rPr>
          <w:rFonts w:ascii="SimSun" w:hAnsi="SimSun" w:eastAsia="SimSun" w:cs="SimSun"/>
          <w:sz w:val="21"/>
          <w:szCs w:val="21"/>
        </w:rPr>
        <w:t>步肯定了这样的统计观察，显示数字经济部门的确是过去20年中国 </w:t>
      </w:r>
      <w:r>
        <w:rPr>
          <w:rFonts w:ascii="SimSun" w:hAnsi="SimSun" w:eastAsia="SimSun" w:cs="SimSun"/>
          <w:sz w:val="21"/>
          <w:szCs w:val="21"/>
          <w:spacing w:val="-4"/>
        </w:rPr>
        <w:t>经济增长和生产率改善最主要的贡献者，在其他部门效率持续下降，</w:t>
      </w:r>
      <w:r>
        <w:rPr>
          <w:rFonts w:ascii="SimSun" w:hAnsi="SimSun" w:eastAsia="SimSun" w:cs="SimSun"/>
          <w:sz w:val="21"/>
          <w:szCs w:val="21"/>
          <w:spacing w:val="8"/>
        </w:rPr>
        <w:t xml:space="preserve"> </w:t>
      </w:r>
      <w:r>
        <w:rPr>
          <w:rFonts w:ascii="SimSun" w:hAnsi="SimSun" w:eastAsia="SimSun" w:cs="SimSun"/>
          <w:sz w:val="21"/>
          <w:szCs w:val="21"/>
        </w:rPr>
        <w:t>资本严重错配的情况下，支撑了中国经济。而且，严重的资本错配</w:t>
      </w:r>
      <w:r>
        <w:rPr>
          <w:rFonts w:ascii="SimSun" w:hAnsi="SimSun" w:eastAsia="SimSun" w:cs="SimSun"/>
          <w:sz w:val="21"/>
          <w:szCs w:val="21"/>
          <w:spacing w:val="1"/>
        </w:rPr>
        <w:t xml:space="preserve">  </w:t>
      </w:r>
      <w:r>
        <w:rPr>
          <w:rFonts w:ascii="SimSun" w:hAnsi="SimSun" w:eastAsia="SimSun" w:cs="SimSun"/>
          <w:sz w:val="21"/>
          <w:szCs w:val="21"/>
          <w:spacing w:val="-1"/>
        </w:rPr>
        <w:t>不仅说明了高投资增长的行业没有与高</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TFP</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增长的行业相匹配，也 </w:t>
      </w:r>
      <w:r>
        <w:rPr>
          <w:rFonts w:ascii="SimSun" w:hAnsi="SimSun" w:eastAsia="SimSun" w:cs="SimSun"/>
          <w:sz w:val="21"/>
          <w:szCs w:val="21"/>
        </w:rPr>
        <w:t>说明了数字技术的溢出或正外部性受阻，使整体经济难以充分收获</w:t>
      </w:r>
      <w:r>
        <w:rPr>
          <w:rFonts w:ascii="SimSun" w:hAnsi="SimSun" w:eastAsia="SimSun" w:cs="SimSun"/>
          <w:sz w:val="21"/>
          <w:szCs w:val="21"/>
          <w:spacing w:val="1"/>
        </w:rPr>
        <w:t xml:space="preserve">  </w:t>
      </w:r>
      <w:r>
        <w:rPr>
          <w:rFonts w:ascii="SimSun" w:hAnsi="SimSun" w:eastAsia="SimSun" w:cs="SimSun"/>
          <w:sz w:val="21"/>
          <w:szCs w:val="21"/>
          <w:spacing w:val="-21"/>
        </w:rPr>
        <w:t>“数字经济红利”。</w:t>
      </w:r>
    </w:p>
    <w:p>
      <w:pPr>
        <w:ind w:left="105" w:firstLine="420"/>
        <w:spacing w:before="101" w:line="311" w:lineRule="auto"/>
        <w:jc w:val="both"/>
        <w:rPr>
          <w:rFonts w:ascii="SimSun" w:hAnsi="SimSun" w:eastAsia="SimSun" w:cs="SimSun"/>
          <w:sz w:val="21"/>
          <w:szCs w:val="21"/>
        </w:rPr>
      </w:pPr>
      <w:r>
        <w:rPr>
          <w:rFonts w:ascii="SimSun" w:hAnsi="SimSun" w:eastAsia="SimSun" w:cs="SimSun"/>
          <w:sz w:val="21"/>
          <w:szCs w:val="21"/>
          <w:spacing w:val="-11"/>
        </w:rPr>
        <w:t>正如我们一开始所指出的，数字技术乃至数字经济的出现</w:t>
      </w:r>
      <w:r>
        <w:rPr>
          <w:rFonts w:ascii="SimSun" w:hAnsi="SimSun" w:eastAsia="SimSun" w:cs="SimSun"/>
          <w:sz w:val="21"/>
          <w:szCs w:val="21"/>
          <w:spacing w:val="-12"/>
        </w:rPr>
        <w:t>，都是</w:t>
      </w:r>
      <w:r>
        <w:rPr>
          <w:rFonts w:ascii="SimSun" w:hAnsi="SimSun" w:eastAsia="SimSun" w:cs="SimSun"/>
          <w:sz w:val="21"/>
          <w:szCs w:val="21"/>
        </w:rPr>
        <w:t xml:space="preserve">  </w:t>
      </w:r>
      <w:r>
        <w:rPr>
          <w:rFonts w:ascii="SimSun" w:hAnsi="SimSun" w:eastAsia="SimSun" w:cs="SimSun"/>
          <w:sz w:val="21"/>
          <w:szCs w:val="21"/>
          <w:spacing w:val="-10"/>
        </w:rPr>
        <w:t>技术进步与自由竞争的市场机制紧密互动的结果，因此，</w:t>
      </w:r>
      <w:r>
        <w:rPr>
          <w:rFonts w:ascii="SimSun" w:hAnsi="SimSun" w:eastAsia="SimSun" w:cs="SimSun"/>
          <w:sz w:val="21"/>
          <w:szCs w:val="21"/>
          <w:spacing w:val="-11"/>
        </w:rPr>
        <w:t>基于健全相</w:t>
      </w:r>
      <w:r>
        <w:rPr>
          <w:rFonts w:ascii="SimSun" w:hAnsi="SimSun" w:eastAsia="SimSun" w:cs="SimSun"/>
          <w:sz w:val="21"/>
          <w:szCs w:val="21"/>
        </w:rPr>
        <w:t xml:space="preserve">  </w:t>
      </w:r>
      <w:r>
        <w:rPr>
          <w:rFonts w:ascii="SimSun" w:hAnsi="SimSun" w:eastAsia="SimSun" w:cs="SimSun"/>
          <w:sz w:val="21"/>
          <w:szCs w:val="21"/>
          <w:spacing w:val="-11"/>
        </w:rPr>
        <w:t>关法治、完善市场竞争机制的改革是使“数字经济红利”最大化的政</w:t>
      </w:r>
      <w:r>
        <w:rPr>
          <w:rFonts w:ascii="SimSun" w:hAnsi="SimSun" w:eastAsia="SimSun" w:cs="SimSun"/>
          <w:sz w:val="21"/>
          <w:szCs w:val="21"/>
          <w:spacing w:val="8"/>
        </w:rPr>
        <w:t xml:space="preserve">  </w:t>
      </w:r>
      <w:r>
        <w:rPr>
          <w:rFonts w:ascii="SimSun" w:hAnsi="SimSun" w:eastAsia="SimSun" w:cs="SimSun"/>
          <w:sz w:val="21"/>
          <w:szCs w:val="21"/>
          <w:spacing w:val="-10"/>
        </w:rPr>
        <w:t>策之本。这样做也可以惠及非数字经济，给</w:t>
      </w:r>
      <w:r>
        <w:rPr>
          <w:rFonts w:ascii="SimSun" w:hAnsi="SimSun" w:eastAsia="SimSun" w:cs="SimSun"/>
          <w:sz w:val="21"/>
          <w:szCs w:val="21"/>
          <w:spacing w:val="-11"/>
        </w:rPr>
        <w:t>整个经济带来活力。在具</w:t>
      </w:r>
      <w:r>
        <w:rPr>
          <w:rFonts w:ascii="SimSun" w:hAnsi="SimSun" w:eastAsia="SimSun" w:cs="SimSun"/>
          <w:sz w:val="21"/>
          <w:szCs w:val="21"/>
        </w:rPr>
        <w:t xml:space="preserve">  </w:t>
      </w:r>
      <w:r>
        <w:rPr>
          <w:rFonts w:ascii="SimSun" w:hAnsi="SimSun" w:eastAsia="SimSun" w:cs="SimSun"/>
          <w:sz w:val="21"/>
          <w:szCs w:val="21"/>
          <w:spacing w:val="-10"/>
        </w:rPr>
        <w:t>体政策措施上，应该致力于将资源配置交给市场竞争，通过降低交易</w:t>
      </w:r>
      <w:r>
        <w:rPr>
          <w:rFonts w:ascii="SimSun" w:hAnsi="SimSun" w:eastAsia="SimSun" w:cs="SimSun"/>
          <w:sz w:val="21"/>
          <w:szCs w:val="21"/>
        </w:rPr>
        <w:t xml:space="preserve"> </w:t>
      </w:r>
      <w:r>
        <w:rPr>
          <w:rFonts w:ascii="SimSun" w:hAnsi="SimSun" w:eastAsia="SimSun" w:cs="SimSun"/>
          <w:sz w:val="21"/>
          <w:szCs w:val="21"/>
          <w:spacing w:val="-11"/>
        </w:rPr>
        <w:t>成本，减少要素特别是资本流动的障碍，提升资源配置效率。最高决</w:t>
      </w:r>
      <w:r>
        <w:rPr>
          <w:rFonts w:ascii="SimSun" w:hAnsi="SimSun" w:eastAsia="SimSun" w:cs="SimSun"/>
          <w:sz w:val="21"/>
          <w:szCs w:val="21"/>
          <w:spacing w:val="8"/>
        </w:rPr>
        <w:t xml:space="preserve">  </w:t>
      </w:r>
      <w:r>
        <w:rPr>
          <w:rFonts w:ascii="SimSun" w:hAnsi="SimSun" w:eastAsia="SimSun" w:cs="SimSun"/>
          <w:sz w:val="21"/>
          <w:szCs w:val="21"/>
          <w:spacing w:val="-8"/>
        </w:rPr>
        <w:t>策层应该对选择性的“数字经济”项目和投资采取更加审慎的态度，</w:t>
      </w:r>
      <w:r>
        <w:rPr>
          <w:rFonts w:ascii="SimSun" w:hAnsi="SimSun" w:eastAsia="SimSun" w:cs="SimSun"/>
          <w:sz w:val="21"/>
          <w:szCs w:val="21"/>
          <w:spacing w:val="4"/>
        </w:rPr>
        <w:t xml:space="preserve"> </w:t>
      </w:r>
      <w:r>
        <w:rPr>
          <w:rFonts w:ascii="SimSun" w:hAnsi="SimSun" w:eastAsia="SimSun" w:cs="SimSun"/>
          <w:sz w:val="21"/>
          <w:szCs w:val="21"/>
          <w:spacing w:val="-7"/>
        </w:rPr>
        <w:t>减少“竞赛意识”,增强“效率意识”,尽可能留给市场更大的空间。</w:t>
      </w:r>
      <w:r>
        <w:rPr>
          <w:rFonts w:ascii="SimSun" w:hAnsi="SimSun" w:eastAsia="SimSun" w:cs="SimSun"/>
          <w:sz w:val="21"/>
          <w:szCs w:val="21"/>
        </w:rPr>
        <w:t xml:space="preserve"> </w:t>
      </w:r>
      <w:r>
        <w:rPr>
          <w:rFonts w:ascii="SimSun" w:hAnsi="SimSun" w:eastAsia="SimSun" w:cs="SimSun"/>
          <w:sz w:val="21"/>
          <w:szCs w:val="21"/>
          <w:spacing w:val="-11"/>
        </w:rPr>
        <w:t>更重要的是，在鼓励市场创新的同时，允许市场发挥其惩罚功能。对</w:t>
      </w:r>
      <w:r>
        <w:rPr>
          <w:rFonts w:ascii="SimSun" w:hAnsi="SimSun" w:eastAsia="SimSun" w:cs="SimSun"/>
          <w:sz w:val="21"/>
          <w:szCs w:val="21"/>
          <w:spacing w:val="8"/>
        </w:rPr>
        <w:t xml:space="preserve">  </w:t>
      </w:r>
      <w:r>
        <w:rPr>
          <w:rFonts w:ascii="SimSun" w:hAnsi="SimSun" w:eastAsia="SimSun" w:cs="SimSun"/>
          <w:sz w:val="21"/>
          <w:szCs w:val="21"/>
          <w:spacing w:val="-10"/>
        </w:rPr>
        <w:t>资源错配的惩罚是市场提供的改善资源配置</w:t>
      </w:r>
      <w:r>
        <w:rPr>
          <w:rFonts w:ascii="SimSun" w:hAnsi="SimSun" w:eastAsia="SimSun" w:cs="SimSun"/>
          <w:sz w:val="21"/>
          <w:szCs w:val="21"/>
          <w:spacing w:val="-11"/>
        </w:rPr>
        <w:t>效率的最好学习机会。在</w:t>
      </w:r>
      <w:r>
        <w:rPr>
          <w:rFonts w:ascii="SimSun" w:hAnsi="SimSun" w:eastAsia="SimSun" w:cs="SimSun"/>
          <w:sz w:val="21"/>
          <w:szCs w:val="21"/>
        </w:rPr>
        <w:t xml:space="preserve">  </w:t>
      </w:r>
      <w:r>
        <w:rPr>
          <w:rFonts w:ascii="SimSun" w:hAnsi="SimSun" w:eastAsia="SimSun" w:cs="SimSun"/>
          <w:sz w:val="21"/>
          <w:szCs w:val="21"/>
          <w:spacing w:val="-8"/>
        </w:rPr>
        <w:t>国际上，政府应该主动地、有担当地推动旨在完善市场、技术交流、</w:t>
      </w:r>
      <w:r>
        <w:rPr>
          <w:rFonts w:ascii="SimSun" w:hAnsi="SimSun" w:eastAsia="SimSun" w:cs="SimSun"/>
          <w:sz w:val="21"/>
          <w:szCs w:val="21"/>
          <w:spacing w:val="4"/>
        </w:rPr>
        <w:t xml:space="preserve"> </w:t>
      </w:r>
      <w:r>
        <w:rPr>
          <w:rFonts w:ascii="SimSun" w:hAnsi="SimSun" w:eastAsia="SimSun" w:cs="SimSun"/>
          <w:sz w:val="21"/>
          <w:szCs w:val="21"/>
          <w:spacing w:val="-11"/>
        </w:rPr>
        <w:t>贸易、投资的各种国际规则的制定，这样有利于国际资本市场促进中</w:t>
      </w:r>
      <w:r>
        <w:rPr>
          <w:rFonts w:ascii="SimSun" w:hAnsi="SimSun" w:eastAsia="SimSun" w:cs="SimSun"/>
          <w:sz w:val="21"/>
          <w:szCs w:val="21"/>
          <w:spacing w:val="5"/>
        </w:rPr>
        <w:t xml:space="preserve">  </w:t>
      </w:r>
      <w:r>
        <w:rPr>
          <w:rFonts w:ascii="SimSun" w:hAnsi="SimSun" w:eastAsia="SimSun" w:cs="SimSun"/>
          <w:sz w:val="21"/>
          <w:szCs w:val="21"/>
          <w:spacing w:val="-11"/>
        </w:rPr>
        <w:t>国数字行业的技术升级。必须清醒地认识到，只有决心深入经济改革</w:t>
      </w:r>
      <w:r>
        <w:rPr>
          <w:rFonts w:ascii="SimSun" w:hAnsi="SimSun" w:eastAsia="SimSun" w:cs="SimSun"/>
          <w:sz w:val="21"/>
          <w:szCs w:val="21"/>
          <w:spacing w:val="8"/>
        </w:rPr>
        <w:t xml:space="preserve">  </w:t>
      </w:r>
      <w:r>
        <w:rPr>
          <w:rFonts w:ascii="SimSun" w:hAnsi="SimSun" w:eastAsia="SimSun" w:cs="SimSun"/>
          <w:sz w:val="21"/>
          <w:szCs w:val="21"/>
          <w:spacing w:val="-3"/>
        </w:rPr>
        <w:t>以完善市场机制，资本市场才可能为中国数字经济</w:t>
      </w:r>
      <w:r>
        <w:rPr>
          <w:rFonts w:ascii="SimSun" w:hAnsi="SimSun" w:eastAsia="SimSun" w:cs="SimSun"/>
          <w:sz w:val="21"/>
          <w:szCs w:val="21"/>
          <w:spacing w:val="-4"/>
        </w:rPr>
        <w:t>的发展融资。相</w:t>
      </w:r>
      <w:r>
        <w:rPr>
          <w:rFonts w:ascii="SimSun" w:hAnsi="SimSun" w:eastAsia="SimSun" w:cs="SimSun"/>
          <w:sz w:val="21"/>
          <w:szCs w:val="21"/>
        </w:rPr>
        <w:t xml:space="preserve">  </w:t>
      </w:r>
      <w:r>
        <w:rPr>
          <w:rFonts w:ascii="SimSun" w:hAnsi="SimSun" w:eastAsia="SimSun" w:cs="SimSun"/>
          <w:sz w:val="21"/>
          <w:szCs w:val="21"/>
          <w:spacing w:val="-10"/>
        </w:rPr>
        <w:t>反，任何借助数字技术限制自由选择，甚至恢复计划经济的企图，都 </w:t>
      </w:r>
      <w:r>
        <w:rPr>
          <w:rFonts w:ascii="SimSun" w:hAnsi="SimSun" w:eastAsia="SimSun" w:cs="SimSun"/>
          <w:sz w:val="21"/>
          <w:szCs w:val="21"/>
          <w:spacing w:val="-13"/>
        </w:rPr>
        <w:t>只能抑制经济增长。</w:t>
      </w:r>
    </w:p>
    <w:p>
      <w:pPr>
        <w:spacing w:line="311" w:lineRule="auto"/>
        <w:sectPr>
          <w:headerReference w:type="default" r:id="rId144"/>
          <w:pgSz w:w="7330" w:h="12480"/>
          <w:pgMar w:top="835" w:right="825" w:bottom="400" w:left="315" w:header="661" w:footer="0" w:gutter="0"/>
        </w:sectPr>
        <w:rPr>
          <w:rFonts w:ascii="SimSun" w:hAnsi="SimSun" w:eastAsia="SimSun" w:cs="SimSun"/>
          <w:sz w:val="21"/>
          <w:szCs w:val="21"/>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2812"/>
        <w:spacing w:before="75" w:line="222" w:lineRule="auto"/>
        <w:rPr>
          <w:rFonts w:ascii="SimHei" w:hAnsi="SimHei" w:eastAsia="SimHei" w:cs="SimHei"/>
          <w:sz w:val="23"/>
          <w:szCs w:val="23"/>
        </w:rPr>
      </w:pPr>
      <w:r>
        <w:rPr>
          <w:rFonts w:ascii="SimHei" w:hAnsi="SimHei" w:eastAsia="SimHei" w:cs="SimHei"/>
          <w:sz w:val="23"/>
          <w:szCs w:val="23"/>
          <w:b/>
          <w:bCs/>
          <w:spacing w:val="-17"/>
        </w:rPr>
        <w:t>附录</w:t>
      </w:r>
    </w:p>
    <w:p>
      <w:pPr>
        <w:ind w:left="1632"/>
        <w:spacing w:before="102" w:line="222" w:lineRule="auto"/>
        <w:rPr>
          <w:rFonts w:ascii="SimHei" w:hAnsi="SimHei" w:eastAsia="SimHei" w:cs="SimHei"/>
          <w:sz w:val="19"/>
          <w:szCs w:val="19"/>
        </w:rPr>
      </w:pPr>
      <w:r>
        <w:rPr>
          <w:rFonts w:ascii="SimHei" w:hAnsi="SimHei" w:eastAsia="SimHei" w:cs="SimHei"/>
          <w:sz w:val="19"/>
          <w:szCs w:val="19"/>
          <w:b/>
          <w:bCs/>
          <w:spacing w:val="-5"/>
        </w:rPr>
        <w:t>表2-15</w:t>
      </w:r>
      <w:r>
        <w:rPr>
          <w:rFonts w:ascii="SimHei" w:hAnsi="SimHei" w:eastAsia="SimHei" w:cs="SimHei"/>
          <w:sz w:val="19"/>
          <w:szCs w:val="19"/>
          <w:spacing w:val="72"/>
        </w:rPr>
        <w:t xml:space="preserve"> </w:t>
      </w:r>
      <w:r>
        <w:rPr>
          <w:rFonts w:ascii="SimHei" w:hAnsi="SimHei" w:eastAsia="SimHei" w:cs="SimHei"/>
          <w:sz w:val="19"/>
          <w:szCs w:val="19"/>
          <w:b/>
          <w:bCs/>
          <w:spacing w:val="-5"/>
        </w:rPr>
        <w:t>数字经济视角的行业分组</w:t>
      </w:r>
    </w:p>
    <w:p>
      <w:pPr>
        <w:spacing w:line="112" w:lineRule="exact"/>
        <w:rPr/>
      </w:pPr>
      <w:r/>
    </w:p>
    <w:tbl>
      <w:tblPr>
        <w:tblStyle w:val="TableNormal"/>
        <w:tblW w:w="603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34"/>
        <w:gridCol w:w="659"/>
        <w:gridCol w:w="988"/>
        <w:gridCol w:w="1318"/>
        <w:gridCol w:w="988"/>
        <w:gridCol w:w="1443"/>
      </w:tblGrid>
      <w:tr>
        <w:trPr>
          <w:trHeight w:val="534" w:hRule="atLeast"/>
        </w:trPr>
        <w:tc>
          <w:tcPr>
            <w:tcW w:w="634" w:type="dxa"/>
            <w:vAlign w:val="top"/>
          </w:tcPr>
          <w:p>
            <w:pPr>
              <w:pStyle w:val="TableText"/>
              <w:ind w:left="67" w:right="73"/>
              <w:spacing w:before="50" w:line="259" w:lineRule="auto"/>
              <w:rPr>
                <w:sz w:val="16"/>
                <w:szCs w:val="16"/>
              </w:rPr>
            </w:pPr>
            <w:r>
              <w:rPr>
                <w:sz w:val="16"/>
                <w:szCs w:val="16"/>
                <w:b/>
                <w:bCs/>
              </w:rPr>
              <w:t>C</w:t>
            </w:r>
            <w:r>
              <w:rPr>
                <w:sz w:val="16"/>
                <w:szCs w:val="16"/>
                <w:spacing w:val="-36"/>
              </w:rPr>
              <w:t xml:space="preserve"> </w:t>
            </w:r>
            <w:r>
              <w:rPr>
                <w:sz w:val="16"/>
                <w:szCs w:val="16"/>
                <w:b/>
                <w:bCs/>
              </w:rPr>
              <w:t>IP</w:t>
            </w:r>
            <w:r>
              <w:rPr>
                <w:sz w:val="16"/>
                <w:szCs w:val="16"/>
                <w:b/>
                <w:bCs/>
                <w:spacing w:val="32"/>
              </w:rPr>
              <w:t>行</w:t>
            </w:r>
            <w:r>
              <w:rPr>
                <w:sz w:val="16"/>
                <w:szCs w:val="16"/>
              </w:rPr>
              <w:t xml:space="preserve"> </w:t>
            </w:r>
            <w:r>
              <w:rPr>
                <w:sz w:val="16"/>
                <w:szCs w:val="16"/>
                <w:b/>
                <w:bCs/>
                <w:spacing w:val="-3"/>
              </w:rPr>
              <w:t>业编码</w:t>
            </w:r>
          </w:p>
        </w:tc>
        <w:tc>
          <w:tcPr>
            <w:tcW w:w="659" w:type="dxa"/>
            <w:vAlign w:val="top"/>
          </w:tcPr>
          <w:p>
            <w:pPr>
              <w:pStyle w:val="TableText"/>
              <w:ind w:left="83" w:right="83"/>
              <w:spacing w:before="59" w:line="248" w:lineRule="auto"/>
              <w:rPr>
                <w:sz w:val="16"/>
                <w:szCs w:val="16"/>
              </w:rPr>
            </w:pPr>
            <w:r>
              <w:rPr>
                <w:sz w:val="16"/>
                <w:szCs w:val="16"/>
                <w:b/>
                <w:bCs/>
                <w:spacing w:val="18"/>
              </w:rPr>
              <w:t>ICT分</w:t>
            </w:r>
            <w:r>
              <w:rPr>
                <w:sz w:val="16"/>
                <w:szCs w:val="16"/>
                <w:spacing w:val="2"/>
              </w:rPr>
              <w:t xml:space="preserve"> </w:t>
            </w:r>
            <w:r>
              <w:rPr>
                <w:sz w:val="16"/>
                <w:szCs w:val="16"/>
                <w:b/>
                <w:bCs/>
                <w:spacing w:val="-4"/>
              </w:rPr>
              <w:t>组编码</w:t>
            </w:r>
          </w:p>
        </w:tc>
        <w:tc>
          <w:tcPr>
            <w:tcW w:w="988" w:type="dxa"/>
            <w:vAlign w:val="top"/>
          </w:tcPr>
          <w:p>
            <w:pPr>
              <w:pStyle w:val="TableText"/>
              <w:ind w:left="104"/>
              <w:spacing w:before="189" w:line="220" w:lineRule="auto"/>
              <w:rPr>
                <w:sz w:val="16"/>
                <w:szCs w:val="16"/>
              </w:rPr>
            </w:pPr>
            <w:r>
              <w:rPr>
                <w:sz w:val="16"/>
                <w:szCs w:val="16"/>
                <w:b/>
                <w:bCs/>
                <w:spacing w:val="-4"/>
              </w:rPr>
              <w:t>行业分组</w:t>
            </w:r>
          </w:p>
        </w:tc>
        <w:tc>
          <w:tcPr>
            <w:tcW w:w="1318" w:type="dxa"/>
            <w:vAlign w:val="top"/>
          </w:tcPr>
          <w:p>
            <w:pPr>
              <w:pStyle w:val="TableText"/>
              <w:ind w:left="336"/>
              <w:spacing w:before="189" w:line="220" w:lineRule="auto"/>
              <w:rPr>
                <w:sz w:val="16"/>
                <w:szCs w:val="16"/>
              </w:rPr>
            </w:pPr>
            <w:r>
              <w:rPr>
                <w:sz w:val="16"/>
                <w:szCs w:val="16"/>
                <w:b/>
                <w:bCs/>
                <w:spacing w:val="-4"/>
              </w:rPr>
              <w:t>分组标准</w:t>
            </w:r>
          </w:p>
        </w:tc>
        <w:tc>
          <w:tcPr>
            <w:tcW w:w="988" w:type="dxa"/>
            <w:vAlign w:val="top"/>
          </w:tcPr>
          <w:p>
            <w:pPr>
              <w:pStyle w:val="TableText"/>
              <w:ind w:left="347" w:right="118" w:hanging="199"/>
              <w:spacing w:before="88" w:line="232" w:lineRule="auto"/>
              <w:rPr>
                <w:sz w:val="16"/>
                <w:szCs w:val="16"/>
              </w:rPr>
            </w:pPr>
            <w:r>
              <w:rPr>
                <w:sz w:val="16"/>
                <w:szCs w:val="16"/>
                <w:b/>
                <w:bCs/>
                <w:spacing w:val="-4"/>
              </w:rPr>
              <w:t>行业特征/</w:t>
            </w:r>
            <w:r>
              <w:rPr>
                <w:sz w:val="16"/>
                <w:szCs w:val="16"/>
                <w:spacing w:val="1"/>
              </w:rPr>
              <w:t xml:space="preserve"> </w:t>
            </w:r>
            <w:r>
              <w:rPr>
                <w:sz w:val="16"/>
                <w:szCs w:val="16"/>
                <w:b/>
                <w:bCs/>
                <w:spacing w:val="5"/>
              </w:rPr>
              <w:t>性质</w:t>
            </w:r>
          </w:p>
        </w:tc>
        <w:tc>
          <w:tcPr>
            <w:tcW w:w="1443" w:type="dxa"/>
            <w:vAlign w:val="top"/>
          </w:tcPr>
          <w:p>
            <w:pPr>
              <w:pStyle w:val="TableText"/>
              <w:ind w:left="560"/>
              <w:spacing w:before="189" w:line="220" w:lineRule="auto"/>
              <w:rPr>
                <w:sz w:val="16"/>
                <w:szCs w:val="16"/>
              </w:rPr>
            </w:pPr>
            <w:r>
              <w:rPr>
                <w:sz w:val="16"/>
                <w:szCs w:val="16"/>
                <w:b/>
                <w:bCs/>
                <w:spacing w:val="-4"/>
              </w:rPr>
              <w:t>行业</w:t>
            </w:r>
          </w:p>
        </w:tc>
      </w:tr>
      <w:tr>
        <w:trPr>
          <w:trHeight w:val="489" w:hRule="atLeast"/>
        </w:trPr>
        <w:tc>
          <w:tcPr>
            <w:tcW w:w="634" w:type="dxa"/>
            <w:vAlign w:val="top"/>
          </w:tcPr>
          <w:p>
            <w:pPr>
              <w:pStyle w:val="TableText"/>
              <w:ind w:left="225"/>
              <w:spacing w:before="207" w:line="184" w:lineRule="auto"/>
              <w:rPr>
                <w:sz w:val="16"/>
                <w:szCs w:val="16"/>
              </w:rPr>
            </w:pPr>
            <w:r>
              <w:rPr>
                <w:sz w:val="16"/>
                <w:szCs w:val="16"/>
                <w:spacing w:val="-3"/>
              </w:rPr>
              <w:t>21</w:t>
            </w:r>
          </w:p>
        </w:tc>
        <w:tc>
          <w:tcPr>
            <w:tcW w:w="659" w:type="dxa"/>
            <w:vAlign w:val="top"/>
          </w:tcPr>
          <w:p>
            <w:pPr>
              <w:pStyle w:val="TableText"/>
              <w:ind w:left="280"/>
              <w:spacing w:before="207" w:line="184" w:lineRule="auto"/>
              <w:rPr>
                <w:sz w:val="16"/>
                <w:szCs w:val="16"/>
              </w:rPr>
            </w:pPr>
            <w:r>
              <w:rPr>
                <w:sz w:val="16"/>
                <w:szCs w:val="16"/>
              </w:rPr>
              <w:t>1</w:t>
            </w:r>
          </w:p>
        </w:tc>
        <w:tc>
          <w:tcPr>
            <w:tcW w:w="988" w:type="dxa"/>
            <w:vAlign w:val="top"/>
          </w:tcPr>
          <w:p>
            <w:pPr>
              <w:pStyle w:val="TableText"/>
              <w:ind w:left="102"/>
              <w:spacing w:before="37" w:line="230" w:lineRule="exact"/>
              <w:rPr>
                <w:sz w:val="16"/>
                <w:szCs w:val="16"/>
              </w:rPr>
            </w:pPr>
            <w:r>
              <w:rPr>
                <w:sz w:val="16"/>
                <w:szCs w:val="16"/>
                <w:position w:val="5"/>
              </w:rPr>
              <w:t>ICT</w:t>
            </w:r>
            <w:r>
              <w:rPr>
                <w:sz w:val="16"/>
                <w:szCs w:val="16"/>
                <w:spacing w:val="4"/>
                <w:position w:val="5"/>
              </w:rPr>
              <w:t>生产</w:t>
            </w:r>
          </w:p>
          <w:p>
            <w:pPr>
              <w:pStyle w:val="TableText"/>
              <w:ind w:left="102"/>
              <w:spacing w:line="220" w:lineRule="auto"/>
              <w:rPr>
                <w:sz w:val="16"/>
                <w:szCs w:val="16"/>
              </w:rPr>
            </w:pPr>
            <w:r>
              <w:rPr>
                <w:sz w:val="16"/>
                <w:szCs w:val="16"/>
                <w:spacing w:val="-3"/>
              </w:rPr>
              <w:t>行业</w:t>
            </w:r>
          </w:p>
        </w:tc>
        <w:tc>
          <w:tcPr>
            <w:tcW w:w="1318" w:type="dxa"/>
            <w:vAlign w:val="top"/>
            <w:vMerge w:val="restart"/>
            <w:tcBorders>
              <w:bottom w:val="nil"/>
            </w:tcBorders>
          </w:tcPr>
          <w:p>
            <w:pPr>
              <w:pStyle w:val="TableText"/>
              <w:ind w:left="84" w:right="77" w:firstLine="9"/>
              <w:spacing w:before="57" w:line="247" w:lineRule="auto"/>
              <w:jc w:val="both"/>
              <w:rPr>
                <w:sz w:val="16"/>
                <w:szCs w:val="16"/>
              </w:rPr>
            </w:pPr>
            <w:r>
              <w:rPr>
                <w:sz w:val="16"/>
                <w:szCs w:val="16"/>
                <w:spacing w:val="2"/>
              </w:rPr>
              <w:t>在国民行业中负</w:t>
            </w:r>
            <w:r>
              <w:rPr>
                <w:sz w:val="16"/>
                <w:szCs w:val="16"/>
                <w:spacing w:val="1"/>
              </w:rPr>
              <w:t xml:space="preserve"> </w:t>
            </w:r>
            <w:r>
              <w:rPr>
                <w:sz w:val="16"/>
                <w:szCs w:val="16"/>
                <w:spacing w:val="7"/>
              </w:rPr>
              <w:t>责生产</w:t>
            </w:r>
            <w:r>
              <w:rPr>
                <w:sz w:val="16"/>
                <w:szCs w:val="16"/>
              </w:rPr>
              <w:t>ICT</w:t>
            </w:r>
            <w:r>
              <w:rPr>
                <w:sz w:val="16"/>
                <w:szCs w:val="16"/>
                <w:spacing w:val="7"/>
              </w:rPr>
              <w:t>硬件</w:t>
            </w:r>
            <w:r>
              <w:rPr>
                <w:sz w:val="16"/>
                <w:szCs w:val="16"/>
                <w:spacing w:val="1"/>
              </w:rPr>
              <w:t xml:space="preserve">  </w:t>
            </w:r>
            <w:r>
              <w:rPr>
                <w:sz w:val="16"/>
                <w:szCs w:val="16"/>
              </w:rPr>
              <w:t>设备和提供软件 </w:t>
            </w:r>
            <w:r>
              <w:rPr>
                <w:sz w:val="16"/>
                <w:szCs w:val="16"/>
              </w:rPr>
              <w:t>服务的制造业与</w:t>
            </w:r>
            <w:r>
              <w:rPr>
                <w:sz w:val="16"/>
                <w:szCs w:val="16"/>
                <w:spacing w:val="2"/>
              </w:rPr>
              <w:t xml:space="preserve"> </w:t>
            </w:r>
            <w:r>
              <w:rPr>
                <w:sz w:val="16"/>
                <w:szCs w:val="16"/>
                <w:spacing w:val="-2"/>
              </w:rPr>
              <w:t>服务业</w:t>
            </w:r>
          </w:p>
        </w:tc>
        <w:tc>
          <w:tcPr>
            <w:tcW w:w="988" w:type="dxa"/>
            <w:vAlign w:val="top"/>
          </w:tcPr>
          <w:p>
            <w:pPr>
              <w:pStyle w:val="TableText"/>
              <w:ind w:left="76" w:right="28"/>
              <w:spacing w:before="37" w:line="243" w:lineRule="auto"/>
              <w:rPr>
                <w:sz w:val="16"/>
                <w:szCs w:val="16"/>
              </w:rPr>
            </w:pPr>
            <w:r>
              <w:rPr>
                <w:sz w:val="16"/>
                <w:szCs w:val="16"/>
                <w:spacing w:val="-19"/>
              </w:rPr>
              <w:t>投</w:t>
            </w:r>
            <w:r>
              <w:rPr>
                <w:sz w:val="16"/>
                <w:szCs w:val="16"/>
                <w:spacing w:val="14"/>
              </w:rPr>
              <w:t xml:space="preserve"> </w:t>
            </w:r>
            <w:r>
              <w:rPr>
                <w:sz w:val="16"/>
                <w:szCs w:val="16"/>
                <w:spacing w:val="-19"/>
              </w:rPr>
              <w:t>资</w:t>
            </w:r>
            <w:r>
              <w:rPr>
                <w:sz w:val="16"/>
                <w:szCs w:val="16"/>
                <w:spacing w:val="19"/>
              </w:rPr>
              <w:t xml:space="preserve"> </w:t>
            </w:r>
            <w:r>
              <w:rPr>
                <w:sz w:val="16"/>
                <w:szCs w:val="16"/>
                <w:spacing w:val="-19"/>
              </w:rPr>
              <w:t>品</w:t>
            </w:r>
            <w:r>
              <w:rPr>
                <w:sz w:val="16"/>
                <w:szCs w:val="16"/>
                <w:spacing w:val="35"/>
              </w:rPr>
              <w:t xml:space="preserve"> </w:t>
            </w:r>
            <w:r>
              <w:rPr>
                <w:sz w:val="16"/>
                <w:szCs w:val="16"/>
                <w:spacing w:val="-19"/>
              </w:rPr>
              <w:t>Ⅱ</w:t>
            </w:r>
            <w:r>
              <w:rPr>
                <w:sz w:val="16"/>
                <w:szCs w:val="16"/>
              </w:rPr>
              <w:t xml:space="preserve"> </w:t>
            </w:r>
            <w:r>
              <w:rPr>
                <w:sz w:val="16"/>
                <w:szCs w:val="16"/>
                <w:spacing w:val="5"/>
              </w:rPr>
              <w:t>消费品</w:t>
            </w:r>
          </w:p>
        </w:tc>
        <w:tc>
          <w:tcPr>
            <w:tcW w:w="1443" w:type="dxa"/>
            <w:vAlign w:val="top"/>
          </w:tcPr>
          <w:p>
            <w:pPr>
              <w:pStyle w:val="TableText"/>
              <w:ind w:left="87" w:right="67" w:hanging="9"/>
              <w:spacing w:before="56" w:line="232" w:lineRule="auto"/>
              <w:rPr>
                <w:sz w:val="16"/>
                <w:szCs w:val="16"/>
              </w:rPr>
            </w:pPr>
            <w:r>
              <w:rPr>
                <w:sz w:val="16"/>
                <w:szCs w:val="16"/>
              </w:rPr>
              <w:t>电子及通信技术设</w:t>
            </w:r>
            <w:r>
              <w:rPr>
                <w:sz w:val="16"/>
                <w:szCs w:val="16"/>
                <w:spacing w:val="6"/>
              </w:rPr>
              <w:t xml:space="preserve"> </w:t>
            </w:r>
            <w:r>
              <w:rPr>
                <w:sz w:val="16"/>
                <w:szCs w:val="16"/>
                <w:spacing w:val="-2"/>
              </w:rPr>
              <w:t>备制造业</w:t>
            </w:r>
          </w:p>
        </w:tc>
      </w:tr>
      <w:tr>
        <w:trPr>
          <w:trHeight w:val="500" w:hRule="atLeast"/>
        </w:trPr>
        <w:tc>
          <w:tcPr>
            <w:tcW w:w="634" w:type="dxa"/>
            <w:vAlign w:val="top"/>
          </w:tcPr>
          <w:p>
            <w:pPr>
              <w:pStyle w:val="TableText"/>
              <w:ind w:left="225"/>
              <w:spacing w:before="209" w:line="183" w:lineRule="auto"/>
              <w:rPr>
                <w:sz w:val="16"/>
                <w:szCs w:val="16"/>
              </w:rPr>
            </w:pPr>
            <w:r>
              <w:rPr>
                <w:sz w:val="16"/>
                <w:szCs w:val="16"/>
                <w:spacing w:val="-3"/>
              </w:rPr>
              <w:t>22</w:t>
            </w:r>
          </w:p>
        </w:tc>
        <w:tc>
          <w:tcPr>
            <w:tcW w:w="659" w:type="dxa"/>
            <w:vAlign w:val="top"/>
          </w:tcPr>
          <w:p>
            <w:pPr>
              <w:pStyle w:val="TableText"/>
              <w:ind w:left="280"/>
              <w:spacing w:before="208" w:line="184" w:lineRule="auto"/>
              <w:rPr>
                <w:sz w:val="16"/>
                <w:szCs w:val="16"/>
              </w:rPr>
            </w:pPr>
            <w:r>
              <w:rPr>
                <w:sz w:val="16"/>
                <w:szCs w:val="16"/>
              </w:rPr>
              <w:t>1</w:t>
            </w:r>
          </w:p>
        </w:tc>
        <w:tc>
          <w:tcPr>
            <w:tcW w:w="988" w:type="dxa"/>
            <w:vAlign w:val="top"/>
          </w:tcPr>
          <w:p>
            <w:pPr>
              <w:pStyle w:val="TableText"/>
              <w:ind w:left="102"/>
              <w:spacing w:before="48" w:line="231" w:lineRule="exact"/>
              <w:rPr>
                <w:sz w:val="16"/>
                <w:szCs w:val="16"/>
              </w:rPr>
            </w:pPr>
            <w:r>
              <w:rPr>
                <w:sz w:val="16"/>
                <w:szCs w:val="16"/>
                <w:position w:val="5"/>
              </w:rPr>
              <w:t>ICT</w:t>
            </w:r>
            <w:r>
              <w:rPr>
                <w:sz w:val="16"/>
                <w:szCs w:val="16"/>
                <w:spacing w:val="4"/>
                <w:position w:val="5"/>
              </w:rPr>
              <w:t>生产</w:t>
            </w:r>
          </w:p>
          <w:p>
            <w:pPr>
              <w:pStyle w:val="TableText"/>
              <w:ind w:left="102"/>
              <w:spacing w:line="220" w:lineRule="auto"/>
              <w:rPr>
                <w:sz w:val="16"/>
                <w:szCs w:val="16"/>
              </w:rPr>
            </w:pPr>
            <w:r>
              <w:rPr>
                <w:sz w:val="16"/>
                <w:szCs w:val="16"/>
                <w:spacing w:val="-3"/>
              </w:rPr>
              <w:t>行业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39" w:line="220" w:lineRule="auto"/>
              <w:rPr>
                <w:sz w:val="16"/>
                <w:szCs w:val="16"/>
              </w:rPr>
            </w:pPr>
            <w:r>
              <w:rPr>
                <w:sz w:val="16"/>
                <w:szCs w:val="16"/>
                <w:spacing w:val="8"/>
              </w:rPr>
              <w:t>投资品Ⅱ</w:t>
            </w:r>
          </w:p>
        </w:tc>
        <w:tc>
          <w:tcPr>
            <w:tcW w:w="1443" w:type="dxa"/>
            <w:vAlign w:val="top"/>
          </w:tcPr>
          <w:p>
            <w:pPr>
              <w:pStyle w:val="TableText"/>
              <w:ind w:left="78" w:right="81"/>
              <w:spacing w:before="67" w:line="232" w:lineRule="auto"/>
              <w:rPr>
                <w:sz w:val="16"/>
                <w:szCs w:val="16"/>
              </w:rPr>
            </w:pPr>
            <w:r>
              <w:rPr>
                <w:sz w:val="16"/>
                <w:szCs w:val="16"/>
                <w:spacing w:val="-1"/>
              </w:rPr>
              <w:t>仪器、仪表及办公</w:t>
            </w:r>
            <w:r>
              <w:rPr>
                <w:sz w:val="16"/>
                <w:szCs w:val="16"/>
              </w:rPr>
              <w:t xml:space="preserve"> </w:t>
            </w:r>
            <w:r>
              <w:rPr>
                <w:sz w:val="16"/>
                <w:szCs w:val="16"/>
                <w:spacing w:val="-2"/>
              </w:rPr>
              <w:t>设备制造业</w:t>
            </w:r>
          </w:p>
        </w:tc>
      </w:tr>
      <w:tr>
        <w:trPr>
          <w:trHeight w:val="519" w:hRule="atLeast"/>
        </w:trPr>
        <w:tc>
          <w:tcPr>
            <w:tcW w:w="634" w:type="dxa"/>
            <w:vAlign w:val="top"/>
          </w:tcPr>
          <w:p>
            <w:pPr>
              <w:pStyle w:val="TableText"/>
              <w:ind w:left="225"/>
              <w:spacing w:before="219" w:line="183" w:lineRule="auto"/>
              <w:rPr>
                <w:sz w:val="16"/>
                <w:szCs w:val="16"/>
              </w:rPr>
            </w:pPr>
            <w:r>
              <w:rPr>
                <w:sz w:val="16"/>
                <w:szCs w:val="16"/>
                <w:spacing w:val="-3"/>
              </w:rPr>
              <w:t>30</w:t>
            </w:r>
          </w:p>
        </w:tc>
        <w:tc>
          <w:tcPr>
            <w:tcW w:w="659" w:type="dxa"/>
            <w:vAlign w:val="top"/>
          </w:tcPr>
          <w:p>
            <w:pPr>
              <w:pStyle w:val="TableText"/>
              <w:ind w:left="280"/>
              <w:spacing w:before="218" w:line="184" w:lineRule="auto"/>
              <w:rPr>
                <w:sz w:val="16"/>
                <w:szCs w:val="16"/>
              </w:rPr>
            </w:pPr>
            <w:r>
              <w:rPr>
                <w:sz w:val="16"/>
                <w:szCs w:val="16"/>
              </w:rPr>
              <w:t>1</w:t>
            </w:r>
          </w:p>
        </w:tc>
        <w:tc>
          <w:tcPr>
            <w:tcW w:w="988" w:type="dxa"/>
            <w:vAlign w:val="top"/>
          </w:tcPr>
          <w:p>
            <w:pPr>
              <w:pStyle w:val="TableText"/>
              <w:ind w:left="102"/>
              <w:spacing w:before="48" w:line="241" w:lineRule="exact"/>
              <w:rPr>
                <w:sz w:val="16"/>
                <w:szCs w:val="16"/>
              </w:rPr>
            </w:pPr>
            <w:r>
              <w:rPr>
                <w:sz w:val="16"/>
                <w:szCs w:val="16"/>
                <w:position w:val="6"/>
              </w:rPr>
              <w:t>ICT</w:t>
            </w:r>
            <w:r>
              <w:rPr>
                <w:sz w:val="16"/>
                <w:szCs w:val="16"/>
                <w:spacing w:val="4"/>
                <w:position w:val="6"/>
              </w:rPr>
              <w:t>生产</w:t>
            </w:r>
          </w:p>
          <w:p>
            <w:pPr>
              <w:pStyle w:val="TableText"/>
              <w:ind w:left="102"/>
              <w:spacing w:line="220" w:lineRule="auto"/>
              <w:rPr>
                <w:sz w:val="16"/>
                <w:szCs w:val="16"/>
              </w:rPr>
            </w:pPr>
            <w:r>
              <w:rPr>
                <w:sz w:val="16"/>
                <w:szCs w:val="16"/>
                <w:spacing w:val="-3"/>
              </w:rPr>
              <w:t>行业</w:t>
            </w:r>
          </w:p>
        </w:tc>
        <w:tc>
          <w:tcPr>
            <w:tcW w:w="1318" w:type="dxa"/>
            <w:vAlign w:val="top"/>
            <w:vMerge w:val="continue"/>
            <w:tcBorders>
              <w:top w:val="nil"/>
            </w:tcBorders>
          </w:tcPr>
          <w:p>
            <w:pPr>
              <w:rPr>
                <w:rFonts w:ascii="Arial"/>
                <w:sz w:val="21"/>
              </w:rPr>
            </w:pPr>
            <w:r/>
          </w:p>
        </w:tc>
        <w:tc>
          <w:tcPr>
            <w:tcW w:w="988" w:type="dxa"/>
            <w:vAlign w:val="top"/>
          </w:tcPr>
          <w:p>
            <w:pPr>
              <w:pStyle w:val="TableText"/>
              <w:ind w:left="76" w:right="92"/>
              <w:spacing w:before="38" w:line="242" w:lineRule="auto"/>
              <w:rPr>
                <w:sz w:val="16"/>
                <w:szCs w:val="16"/>
              </w:rPr>
            </w:pPr>
            <w:r>
              <w:rPr>
                <w:sz w:val="16"/>
                <w:szCs w:val="16"/>
                <w:spacing w:val="1"/>
              </w:rPr>
              <w:t>国家垄断市</w:t>
            </w:r>
            <w:r>
              <w:rPr>
                <w:sz w:val="16"/>
                <w:szCs w:val="16"/>
                <w:spacing w:val="3"/>
              </w:rPr>
              <w:t xml:space="preserve"> </w:t>
            </w:r>
            <w:r>
              <w:rPr>
                <w:sz w:val="16"/>
                <w:szCs w:val="16"/>
                <w:spacing w:val="-2"/>
              </w:rPr>
              <w:t>场服务业</w:t>
            </w:r>
          </w:p>
        </w:tc>
        <w:tc>
          <w:tcPr>
            <w:tcW w:w="1443" w:type="dxa"/>
            <w:vAlign w:val="top"/>
          </w:tcPr>
          <w:p>
            <w:pPr>
              <w:pStyle w:val="TableText"/>
              <w:ind w:left="78"/>
              <w:spacing w:before="68" w:line="219" w:lineRule="auto"/>
              <w:rPr>
                <w:sz w:val="16"/>
                <w:szCs w:val="16"/>
              </w:rPr>
            </w:pPr>
            <w:r>
              <w:rPr>
                <w:sz w:val="16"/>
                <w:szCs w:val="16"/>
                <w:spacing w:val="-1"/>
              </w:rPr>
              <w:t>通信、邮政服务业</w:t>
            </w:r>
          </w:p>
        </w:tc>
      </w:tr>
      <w:tr>
        <w:trPr>
          <w:trHeight w:val="489" w:hRule="atLeast"/>
        </w:trPr>
        <w:tc>
          <w:tcPr>
            <w:tcW w:w="634" w:type="dxa"/>
            <w:vAlign w:val="top"/>
          </w:tcPr>
          <w:p>
            <w:pPr>
              <w:pStyle w:val="TableText"/>
              <w:ind w:left="225"/>
              <w:spacing w:before="209" w:line="184" w:lineRule="auto"/>
              <w:rPr>
                <w:sz w:val="16"/>
                <w:szCs w:val="16"/>
              </w:rPr>
            </w:pPr>
            <w:r>
              <w:rPr>
                <w:sz w:val="16"/>
                <w:szCs w:val="16"/>
                <w:spacing w:val="-5"/>
              </w:rPr>
              <w:t>12</w:t>
            </w:r>
          </w:p>
        </w:tc>
        <w:tc>
          <w:tcPr>
            <w:tcW w:w="659" w:type="dxa"/>
            <w:vAlign w:val="top"/>
          </w:tcPr>
          <w:p>
            <w:pPr>
              <w:pStyle w:val="TableText"/>
              <w:ind w:left="280"/>
              <w:spacing w:before="210" w:line="183" w:lineRule="auto"/>
              <w:rPr>
                <w:sz w:val="16"/>
                <w:szCs w:val="16"/>
              </w:rPr>
            </w:pPr>
            <w:r>
              <w:rPr>
                <w:sz w:val="16"/>
                <w:szCs w:val="16"/>
              </w:rPr>
              <w:t>2</w:t>
            </w:r>
          </w:p>
        </w:tc>
        <w:tc>
          <w:tcPr>
            <w:tcW w:w="988" w:type="dxa"/>
            <w:vAlign w:val="top"/>
          </w:tcPr>
          <w:p>
            <w:pPr>
              <w:pStyle w:val="TableText"/>
              <w:ind w:left="102" w:right="167" w:hanging="20"/>
              <w:spacing w:before="59" w:line="226"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restart"/>
            <w:tcBorders>
              <w:bottom w:val="nil"/>
            </w:tcBorders>
          </w:tcPr>
          <w:p>
            <w:pPr>
              <w:pStyle w:val="TableText"/>
              <w:ind w:left="93" w:right="80" w:firstLine="40"/>
              <w:spacing w:before="65" w:line="249" w:lineRule="auto"/>
              <w:jc w:val="both"/>
              <w:rPr>
                <w:sz w:val="16"/>
                <w:szCs w:val="16"/>
              </w:rPr>
            </w:pPr>
            <w:r>
              <w:rPr>
                <w:sz w:val="16"/>
                <w:szCs w:val="16"/>
              </w:rPr>
              <w:t>ICT</w:t>
            </w:r>
            <w:r>
              <w:rPr>
                <w:sz w:val="16"/>
                <w:szCs w:val="16"/>
                <w:spacing w:val="1"/>
              </w:rPr>
              <w:t>集约使用行</w:t>
            </w:r>
            <w:r>
              <w:rPr>
                <w:sz w:val="16"/>
                <w:szCs w:val="16"/>
                <w:spacing w:val="2"/>
              </w:rPr>
              <w:t xml:space="preserve"> </w:t>
            </w:r>
            <w:r>
              <w:rPr>
                <w:sz w:val="16"/>
                <w:szCs w:val="16"/>
                <w:spacing w:val="5"/>
              </w:rPr>
              <w:t>业的定义为</w:t>
            </w:r>
            <w:r>
              <w:rPr>
                <w:sz w:val="16"/>
                <w:szCs w:val="16"/>
              </w:rPr>
              <w:t>ICT</w:t>
            </w:r>
            <w:r>
              <w:rPr>
                <w:sz w:val="16"/>
                <w:szCs w:val="16"/>
                <w:spacing w:val="5"/>
              </w:rPr>
              <w:t xml:space="preserve"> </w:t>
            </w:r>
            <w:r>
              <w:rPr>
                <w:sz w:val="16"/>
                <w:szCs w:val="16"/>
                <w:spacing w:val="1"/>
              </w:rPr>
              <w:t>资本投入占其总</w:t>
            </w:r>
            <w:r>
              <w:rPr>
                <w:sz w:val="16"/>
                <w:szCs w:val="16"/>
                <w:spacing w:val="5"/>
              </w:rPr>
              <w:t xml:space="preserve"> </w:t>
            </w:r>
            <w:r>
              <w:rPr>
                <w:sz w:val="16"/>
                <w:szCs w:val="16"/>
                <w:spacing w:val="1"/>
              </w:rPr>
              <w:t>资本投入的比重</w:t>
            </w:r>
            <w:r>
              <w:rPr>
                <w:sz w:val="16"/>
                <w:szCs w:val="16"/>
              </w:rPr>
              <w:t xml:space="preserve"> </w:t>
            </w:r>
            <w:r>
              <w:rPr>
                <w:sz w:val="16"/>
                <w:szCs w:val="16"/>
                <w:spacing w:val="-2"/>
              </w:rPr>
              <w:t>高于该指标全体</w:t>
            </w:r>
            <w:r>
              <w:rPr>
                <w:sz w:val="16"/>
                <w:szCs w:val="16"/>
                <w:spacing w:val="2"/>
              </w:rPr>
              <w:t xml:space="preserve"> </w:t>
            </w:r>
            <w:r>
              <w:rPr>
                <w:sz w:val="16"/>
                <w:szCs w:val="16"/>
                <w:spacing w:val="-2"/>
              </w:rPr>
              <w:t>行业中位数的行</w:t>
            </w:r>
            <w:r>
              <w:rPr>
                <w:sz w:val="16"/>
                <w:szCs w:val="16"/>
                <w:spacing w:val="4"/>
              </w:rPr>
              <w:t xml:space="preserve"> </w:t>
            </w:r>
            <w:r>
              <w:rPr>
                <w:sz w:val="16"/>
                <w:szCs w:val="16"/>
                <w:spacing w:val="-1"/>
              </w:rPr>
              <w:t>业。然后，再根</w:t>
            </w:r>
            <w:r>
              <w:rPr>
                <w:sz w:val="16"/>
                <w:szCs w:val="16"/>
              </w:rPr>
              <w:t xml:space="preserve"> </w:t>
            </w:r>
            <w:r>
              <w:rPr>
                <w:sz w:val="16"/>
                <w:szCs w:val="16"/>
                <w:spacing w:val="-1"/>
              </w:rPr>
              <w:t>据行业性质确定</w:t>
            </w:r>
            <w:r>
              <w:rPr>
                <w:sz w:val="16"/>
                <w:szCs w:val="16"/>
              </w:rPr>
              <w:t xml:space="preserve"> </w:t>
            </w:r>
            <w:r>
              <w:rPr>
                <w:sz w:val="16"/>
                <w:szCs w:val="16"/>
                <w:spacing w:val="-1"/>
              </w:rPr>
              <w:t>其统计分类上的</w:t>
            </w:r>
            <w:r>
              <w:rPr>
                <w:sz w:val="16"/>
                <w:szCs w:val="16"/>
              </w:rPr>
              <w:t xml:space="preserve"> </w:t>
            </w:r>
            <w:r>
              <w:rPr>
                <w:sz w:val="16"/>
                <w:szCs w:val="16"/>
                <w:spacing w:val="-1"/>
              </w:rPr>
              <w:t>制造业或服务业</w:t>
            </w:r>
            <w:r>
              <w:rPr>
                <w:sz w:val="16"/>
                <w:szCs w:val="16"/>
              </w:rPr>
              <w:t xml:space="preserve"> </w:t>
            </w:r>
            <w:r>
              <w:rPr>
                <w:sz w:val="16"/>
                <w:szCs w:val="16"/>
                <w:spacing w:val="6"/>
              </w:rPr>
              <w:t>归属</w:t>
            </w:r>
          </w:p>
        </w:tc>
        <w:tc>
          <w:tcPr>
            <w:tcW w:w="988" w:type="dxa"/>
            <w:vAlign w:val="top"/>
          </w:tcPr>
          <w:p>
            <w:pPr>
              <w:pStyle w:val="TableText"/>
              <w:ind w:left="76"/>
              <w:spacing w:before="50" w:line="220" w:lineRule="auto"/>
              <w:rPr>
                <w:sz w:val="16"/>
                <w:szCs w:val="16"/>
              </w:rPr>
            </w:pPr>
            <w:r>
              <w:rPr>
                <w:sz w:val="16"/>
                <w:szCs w:val="16"/>
                <w:spacing w:val="5"/>
              </w:rPr>
              <w:t>消费品</w:t>
            </w:r>
          </w:p>
        </w:tc>
        <w:tc>
          <w:tcPr>
            <w:tcW w:w="1443" w:type="dxa"/>
            <w:vAlign w:val="top"/>
          </w:tcPr>
          <w:p>
            <w:pPr>
              <w:pStyle w:val="TableText"/>
              <w:ind w:left="87" w:right="135" w:firstLine="70"/>
              <w:spacing w:before="39" w:line="249" w:lineRule="auto"/>
              <w:rPr>
                <w:sz w:val="16"/>
                <w:szCs w:val="16"/>
              </w:rPr>
            </w:pPr>
            <w:r>
              <w:rPr>
                <w:sz w:val="16"/>
                <w:szCs w:val="16"/>
                <w:spacing w:val="2"/>
              </w:rPr>
              <w:t>造纸、印刷、出</w:t>
            </w:r>
            <w:r>
              <w:rPr>
                <w:sz w:val="16"/>
                <w:szCs w:val="16"/>
                <w:spacing w:val="4"/>
              </w:rPr>
              <w:t xml:space="preserve"> </w:t>
            </w:r>
            <w:r>
              <w:rPr>
                <w:sz w:val="16"/>
                <w:szCs w:val="16"/>
                <w:spacing w:val="-2"/>
              </w:rPr>
              <w:t>版业</w:t>
            </w:r>
          </w:p>
        </w:tc>
      </w:tr>
      <w:tr>
        <w:trPr>
          <w:trHeight w:val="499" w:hRule="atLeast"/>
        </w:trPr>
        <w:tc>
          <w:tcPr>
            <w:tcW w:w="634" w:type="dxa"/>
            <w:vAlign w:val="top"/>
          </w:tcPr>
          <w:p>
            <w:pPr>
              <w:pStyle w:val="TableText"/>
              <w:ind w:left="225"/>
              <w:spacing w:before="210" w:line="184" w:lineRule="auto"/>
              <w:rPr>
                <w:sz w:val="16"/>
                <w:szCs w:val="16"/>
              </w:rPr>
            </w:pPr>
            <w:r>
              <w:rPr>
                <w:sz w:val="16"/>
                <w:szCs w:val="16"/>
                <w:spacing w:val="-5"/>
              </w:rPr>
              <w:t>14</w:t>
            </w:r>
          </w:p>
        </w:tc>
        <w:tc>
          <w:tcPr>
            <w:tcW w:w="659" w:type="dxa"/>
            <w:vAlign w:val="top"/>
          </w:tcPr>
          <w:p>
            <w:pPr>
              <w:pStyle w:val="TableText"/>
              <w:ind w:left="280"/>
              <w:spacing w:before="211" w:line="183" w:lineRule="auto"/>
              <w:rPr>
                <w:sz w:val="16"/>
                <w:szCs w:val="16"/>
              </w:rPr>
            </w:pPr>
            <w:r>
              <w:rPr>
                <w:sz w:val="16"/>
                <w:szCs w:val="16"/>
              </w:rPr>
              <w:t>2</w:t>
            </w:r>
          </w:p>
        </w:tc>
        <w:tc>
          <w:tcPr>
            <w:tcW w:w="988" w:type="dxa"/>
            <w:vAlign w:val="top"/>
          </w:tcPr>
          <w:p>
            <w:pPr>
              <w:pStyle w:val="TableText"/>
              <w:ind w:left="102" w:right="167" w:hanging="20"/>
              <w:spacing w:before="60" w:line="237"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61" w:line="218" w:lineRule="exact"/>
              <w:rPr>
                <w:sz w:val="16"/>
                <w:szCs w:val="16"/>
              </w:rPr>
            </w:pPr>
            <w:r>
              <w:rPr>
                <w:sz w:val="16"/>
                <w:szCs w:val="16"/>
                <w:spacing w:val="-2"/>
                <w:position w:val="4"/>
              </w:rPr>
              <w:t>重制造业</w:t>
            </w:r>
          </w:p>
          <w:p>
            <w:pPr>
              <w:pStyle w:val="TableText"/>
              <w:ind w:left="76"/>
              <w:spacing w:line="218" w:lineRule="auto"/>
              <w:rPr>
                <w:sz w:val="16"/>
                <w:szCs w:val="16"/>
              </w:rPr>
            </w:pPr>
            <w:r>
              <w:rPr>
                <w:sz w:val="16"/>
                <w:szCs w:val="16"/>
                <w:spacing w:val="-2"/>
              </w:rPr>
              <w:t>材料</w:t>
            </w:r>
          </w:p>
        </w:tc>
        <w:tc>
          <w:tcPr>
            <w:tcW w:w="1443" w:type="dxa"/>
            <w:vAlign w:val="top"/>
          </w:tcPr>
          <w:p>
            <w:pPr>
              <w:pStyle w:val="TableText"/>
              <w:ind w:left="78"/>
              <w:spacing w:before="61" w:line="220" w:lineRule="auto"/>
              <w:rPr>
                <w:sz w:val="16"/>
                <w:szCs w:val="16"/>
              </w:rPr>
            </w:pPr>
            <w:r>
              <w:rPr>
                <w:sz w:val="16"/>
                <w:szCs w:val="16"/>
                <w:spacing w:val="-1"/>
              </w:rPr>
              <w:t>基础化学品制造业</w:t>
            </w:r>
          </w:p>
        </w:tc>
      </w:tr>
      <w:tr>
        <w:trPr>
          <w:trHeight w:val="490" w:hRule="atLeast"/>
        </w:trPr>
        <w:tc>
          <w:tcPr>
            <w:tcW w:w="634" w:type="dxa"/>
            <w:vAlign w:val="top"/>
          </w:tcPr>
          <w:p>
            <w:pPr>
              <w:pStyle w:val="TableText"/>
              <w:ind w:left="225"/>
              <w:spacing w:before="212" w:line="184" w:lineRule="auto"/>
              <w:rPr>
                <w:sz w:val="16"/>
                <w:szCs w:val="16"/>
              </w:rPr>
            </w:pPr>
            <w:r>
              <w:rPr>
                <w:sz w:val="16"/>
                <w:szCs w:val="16"/>
                <w:spacing w:val="-5"/>
              </w:rPr>
              <w:t>17</w:t>
            </w:r>
          </w:p>
        </w:tc>
        <w:tc>
          <w:tcPr>
            <w:tcW w:w="659" w:type="dxa"/>
            <w:vAlign w:val="top"/>
          </w:tcPr>
          <w:p>
            <w:pPr>
              <w:pStyle w:val="TableText"/>
              <w:ind w:left="280"/>
              <w:spacing w:before="212" w:line="183" w:lineRule="auto"/>
              <w:rPr>
                <w:sz w:val="16"/>
                <w:szCs w:val="16"/>
              </w:rPr>
            </w:pPr>
            <w:r>
              <w:rPr>
                <w:sz w:val="16"/>
                <w:szCs w:val="16"/>
              </w:rPr>
              <w:t>2</w:t>
            </w:r>
          </w:p>
        </w:tc>
        <w:tc>
          <w:tcPr>
            <w:tcW w:w="988" w:type="dxa"/>
            <w:vAlign w:val="top"/>
          </w:tcPr>
          <w:p>
            <w:pPr>
              <w:pStyle w:val="TableText"/>
              <w:ind w:left="102" w:right="167" w:hanging="20"/>
              <w:spacing w:before="51" w:line="237"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52" w:line="228" w:lineRule="exact"/>
              <w:rPr>
                <w:sz w:val="16"/>
                <w:szCs w:val="16"/>
              </w:rPr>
            </w:pPr>
            <w:r>
              <w:rPr>
                <w:sz w:val="16"/>
                <w:szCs w:val="16"/>
                <w:spacing w:val="-2"/>
                <w:position w:val="5"/>
              </w:rPr>
              <w:t>重制造业</w:t>
            </w:r>
          </w:p>
          <w:p>
            <w:pPr>
              <w:pStyle w:val="TableText"/>
              <w:ind w:left="76"/>
              <w:spacing w:line="218" w:lineRule="auto"/>
              <w:rPr>
                <w:sz w:val="16"/>
                <w:szCs w:val="16"/>
              </w:rPr>
            </w:pPr>
            <w:r>
              <w:rPr>
                <w:sz w:val="16"/>
                <w:szCs w:val="16"/>
                <w:spacing w:val="-2"/>
              </w:rPr>
              <w:t>材料</w:t>
            </w:r>
          </w:p>
        </w:tc>
        <w:tc>
          <w:tcPr>
            <w:tcW w:w="1443" w:type="dxa"/>
            <w:vAlign w:val="top"/>
          </w:tcPr>
          <w:p>
            <w:pPr>
              <w:pStyle w:val="TableText"/>
              <w:ind w:left="107" w:right="63" w:hanging="29"/>
              <w:spacing w:before="62" w:line="225" w:lineRule="auto"/>
              <w:rPr>
                <w:sz w:val="16"/>
                <w:szCs w:val="16"/>
              </w:rPr>
            </w:pPr>
            <w:r>
              <w:rPr>
                <w:sz w:val="16"/>
                <w:szCs w:val="16"/>
                <w:spacing w:val="1"/>
              </w:rPr>
              <w:t>黑色、有色金属冶</w:t>
            </w:r>
            <w:r>
              <w:rPr>
                <w:sz w:val="16"/>
                <w:szCs w:val="16"/>
                <w:spacing w:val="2"/>
              </w:rPr>
              <w:t xml:space="preserve"> </w:t>
            </w:r>
            <w:r>
              <w:rPr>
                <w:sz w:val="16"/>
                <w:szCs w:val="16"/>
                <w:spacing w:val="-2"/>
              </w:rPr>
              <w:t>炼、压延业</w:t>
            </w:r>
          </w:p>
        </w:tc>
      </w:tr>
      <w:tr>
        <w:trPr>
          <w:trHeight w:val="499" w:hRule="atLeast"/>
        </w:trPr>
        <w:tc>
          <w:tcPr>
            <w:tcW w:w="634" w:type="dxa"/>
            <w:vAlign w:val="top"/>
          </w:tcPr>
          <w:p>
            <w:pPr>
              <w:pStyle w:val="TableText"/>
              <w:ind w:left="225"/>
              <w:spacing w:before="211" w:line="184" w:lineRule="auto"/>
              <w:rPr>
                <w:sz w:val="16"/>
                <w:szCs w:val="16"/>
              </w:rPr>
            </w:pPr>
            <w:r>
              <w:rPr>
                <w:sz w:val="16"/>
                <w:szCs w:val="16"/>
                <w:spacing w:val="-5"/>
              </w:rPr>
              <w:t>19</w:t>
            </w:r>
          </w:p>
        </w:tc>
        <w:tc>
          <w:tcPr>
            <w:tcW w:w="659" w:type="dxa"/>
            <w:vAlign w:val="top"/>
          </w:tcPr>
          <w:p>
            <w:pPr>
              <w:pStyle w:val="TableText"/>
              <w:ind w:left="280"/>
              <w:spacing w:before="212" w:line="183" w:lineRule="auto"/>
              <w:rPr>
                <w:sz w:val="16"/>
                <w:szCs w:val="16"/>
              </w:rPr>
            </w:pPr>
            <w:r>
              <w:rPr>
                <w:sz w:val="16"/>
                <w:szCs w:val="16"/>
              </w:rPr>
              <w:t>2</w:t>
            </w:r>
          </w:p>
        </w:tc>
        <w:tc>
          <w:tcPr>
            <w:tcW w:w="988" w:type="dxa"/>
            <w:vAlign w:val="top"/>
          </w:tcPr>
          <w:p>
            <w:pPr>
              <w:pStyle w:val="TableText"/>
              <w:ind w:left="101" w:right="157" w:hanging="10"/>
              <w:spacing w:before="61" w:line="243"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42" w:line="220" w:lineRule="auto"/>
              <w:rPr>
                <w:sz w:val="16"/>
                <w:szCs w:val="16"/>
              </w:rPr>
            </w:pPr>
            <w:r>
              <w:rPr>
                <w:sz w:val="16"/>
                <w:szCs w:val="16"/>
                <w:spacing w:val="3"/>
              </w:rPr>
              <w:t>投资品I</w:t>
            </w:r>
          </w:p>
        </w:tc>
        <w:tc>
          <w:tcPr>
            <w:tcW w:w="1443" w:type="dxa"/>
            <w:vAlign w:val="top"/>
          </w:tcPr>
          <w:p>
            <w:pPr>
              <w:pStyle w:val="TableText"/>
              <w:ind w:left="87" w:right="81" w:hanging="9"/>
              <w:spacing w:before="61" w:line="243" w:lineRule="auto"/>
              <w:rPr>
                <w:sz w:val="16"/>
                <w:szCs w:val="16"/>
              </w:rPr>
            </w:pPr>
            <w:r>
              <w:rPr>
                <w:sz w:val="16"/>
                <w:szCs w:val="16"/>
                <w:spacing w:val="-1"/>
              </w:rPr>
              <w:t>通用、专业设备制</w:t>
            </w:r>
            <w:r>
              <w:rPr>
                <w:sz w:val="16"/>
                <w:szCs w:val="16"/>
              </w:rPr>
              <w:t xml:space="preserve"> </w:t>
            </w:r>
            <w:r>
              <w:rPr>
                <w:sz w:val="16"/>
                <w:szCs w:val="16"/>
                <w:spacing w:val="-2"/>
              </w:rPr>
              <w:t>造业</w:t>
            </w:r>
          </w:p>
        </w:tc>
      </w:tr>
      <w:tr>
        <w:trPr>
          <w:trHeight w:val="500" w:hRule="atLeast"/>
        </w:trPr>
        <w:tc>
          <w:tcPr>
            <w:tcW w:w="634" w:type="dxa"/>
            <w:vAlign w:val="top"/>
          </w:tcPr>
          <w:p>
            <w:pPr>
              <w:pStyle w:val="TableText"/>
              <w:ind w:left="225"/>
              <w:spacing w:before="213" w:line="183" w:lineRule="auto"/>
              <w:rPr>
                <w:sz w:val="16"/>
                <w:szCs w:val="16"/>
              </w:rPr>
            </w:pPr>
            <w:r>
              <w:rPr>
                <w:sz w:val="16"/>
                <w:szCs w:val="16"/>
                <w:spacing w:val="-3"/>
              </w:rPr>
              <w:t>20</w:t>
            </w:r>
          </w:p>
        </w:tc>
        <w:tc>
          <w:tcPr>
            <w:tcW w:w="659" w:type="dxa"/>
            <w:vAlign w:val="top"/>
          </w:tcPr>
          <w:p>
            <w:pPr>
              <w:pStyle w:val="TableText"/>
              <w:ind w:left="280"/>
              <w:spacing w:before="213" w:line="183" w:lineRule="auto"/>
              <w:rPr>
                <w:sz w:val="16"/>
                <w:szCs w:val="16"/>
              </w:rPr>
            </w:pPr>
            <w:r>
              <w:rPr>
                <w:sz w:val="16"/>
                <w:szCs w:val="16"/>
              </w:rPr>
              <w:t>2</w:t>
            </w:r>
          </w:p>
        </w:tc>
        <w:tc>
          <w:tcPr>
            <w:tcW w:w="988" w:type="dxa"/>
            <w:vAlign w:val="top"/>
          </w:tcPr>
          <w:p>
            <w:pPr>
              <w:pStyle w:val="TableText"/>
              <w:ind w:left="101" w:right="177" w:hanging="30"/>
              <w:spacing w:before="52" w:line="243"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53" w:line="220" w:lineRule="auto"/>
              <w:rPr>
                <w:sz w:val="16"/>
                <w:szCs w:val="16"/>
              </w:rPr>
            </w:pPr>
            <w:r>
              <w:rPr>
                <w:sz w:val="16"/>
                <w:szCs w:val="16"/>
                <w:spacing w:val="3"/>
              </w:rPr>
              <w:t>投资品I</w:t>
            </w:r>
          </w:p>
        </w:tc>
        <w:tc>
          <w:tcPr>
            <w:tcW w:w="1443" w:type="dxa"/>
            <w:vAlign w:val="top"/>
          </w:tcPr>
          <w:p>
            <w:pPr>
              <w:pStyle w:val="TableText"/>
              <w:ind w:left="157"/>
              <w:spacing w:before="63" w:line="220" w:lineRule="auto"/>
              <w:rPr>
                <w:sz w:val="16"/>
                <w:szCs w:val="16"/>
              </w:rPr>
            </w:pPr>
            <w:r>
              <w:rPr>
                <w:sz w:val="16"/>
                <w:szCs w:val="16"/>
              </w:rPr>
              <w:t>电气设备制造业</w:t>
            </w:r>
          </w:p>
        </w:tc>
      </w:tr>
      <w:tr>
        <w:trPr>
          <w:trHeight w:val="499" w:hRule="atLeast"/>
        </w:trPr>
        <w:tc>
          <w:tcPr>
            <w:tcW w:w="634" w:type="dxa"/>
            <w:vAlign w:val="top"/>
          </w:tcPr>
          <w:p>
            <w:pPr>
              <w:pStyle w:val="TableText"/>
              <w:ind w:left="225"/>
              <w:spacing w:before="213" w:line="183" w:lineRule="auto"/>
              <w:rPr>
                <w:sz w:val="16"/>
                <w:szCs w:val="16"/>
              </w:rPr>
            </w:pPr>
            <w:r>
              <w:rPr>
                <w:sz w:val="16"/>
                <w:szCs w:val="16"/>
                <w:spacing w:val="-3"/>
              </w:rPr>
              <w:t>23</w:t>
            </w:r>
          </w:p>
        </w:tc>
        <w:tc>
          <w:tcPr>
            <w:tcW w:w="659" w:type="dxa"/>
            <w:vAlign w:val="top"/>
          </w:tcPr>
          <w:p>
            <w:pPr>
              <w:pStyle w:val="TableText"/>
              <w:ind w:left="280"/>
              <w:spacing w:before="213" w:line="183" w:lineRule="auto"/>
              <w:rPr>
                <w:sz w:val="16"/>
                <w:szCs w:val="16"/>
              </w:rPr>
            </w:pPr>
            <w:r>
              <w:rPr>
                <w:sz w:val="16"/>
                <w:szCs w:val="16"/>
              </w:rPr>
              <w:t>2</w:t>
            </w:r>
          </w:p>
        </w:tc>
        <w:tc>
          <w:tcPr>
            <w:tcW w:w="988" w:type="dxa"/>
            <w:vAlign w:val="top"/>
          </w:tcPr>
          <w:p>
            <w:pPr>
              <w:pStyle w:val="TableText"/>
              <w:ind w:left="101" w:right="157" w:hanging="10"/>
              <w:spacing w:before="61" w:line="232"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63" w:line="242" w:lineRule="auto"/>
              <w:rPr>
                <w:sz w:val="16"/>
                <w:szCs w:val="16"/>
              </w:rPr>
            </w:pPr>
            <w:r>
              <w:rPr>
                <w:sz w:val="16"/>
                <w:szCs w:val="16"/>
                <w:spacing w:val="-2"/>
              </w:rPr>
              <w:t>投资品I/</w:t>
            </w:r>
          </w:p>
          <w:p>
            <w:pPr>
              <w:pStyle w:val="TableText"/>
              <w:ind w:left="76"/>
              <w:spacing w:line="220" w:lineRule="auto"/>
              <w:rPr>
                <w:sz w:val="16"/>
                <w:szCs w:val="16"/>
              </w:rPr>
            </w:pPr>
            <w:r>
              <w:rPr>
                <w:sz w:val="16"/>
                <w:szCs w:val="16"/>
                <w:spacing w:val="5"/>
              </w:rPr>
              <w:t>消费品</w:t>
            </w:r>
          </w:p>
        </w:tc>
        <w:tc>
          <w:tcPr>
            <w:tcW w:w="1443" w:type="dxa"/>
            <w:vAlign w:val="top"/>
          </w:tcPr>
          <w:p>
            <w:pPr>
              <w:pStyle w:val="TableText"/>
              <w:ind w:left="87" w:right="81" w:hanging="9"/>
              <w:spacing w:before="71" w:line="232" w:lineRule="auto"/>
              <w:rPr>
                <w:sz w:val="16"/>
                <w:szCs w:val="16"/>
              </w:rPr>
            </w:pPr>
            <w:r>
              <w:rPr>
                <w:sz w:val="16"/>
                <w:szCs w:val="16"/>
                <w:spacing w:val="-1"/>
              </w:rPr>
              <w:t>汽车及其他交通工</w:t>
            </w:r>
            <w:r>
              <w:rPr>
                <w:sz w:val="16"/>
                <w:szCs w:val="16"/>
              </w:rPr>
              <w:t xml:space="preserve"> </w:t>
            </w:r>
            <w:r>
              <w:rPr>
                <w:sz w:val="16"/>
                <w:szCs w:val="16"/>
                <w:spacing w:val="-2"/>
              </w:rPr>
              <w:t>具制造业</w:t>
            </w:r>
          </w:p>
        </w:tc>
      </w:tr>
      <w:tr>
        <w:trPr>
          <w:trHeight w:val="489" w:hRule="atLeast"/>
        </w:trPr>
        <w:tc>
          <w:tcPr>
            <w:tcW w:w="634" w:type="dxa"/>
            <w:vAlign w:val="top"/>
          </w:tcPr>
          <w:p>
            <w:pPr>
              <w:pStyle w:val="TableText"/>
              <w:ind w:left="225"/>
              <w:spacing w:before="214" w:line="183" w:lineRule="auto"/>
              <w:rPr>
                <w:sz w:val="16"/>
                <w:szCs w:val="16"/>
              </w:rPr>
            </w:pPr>
            <w:r>
              <w:rPr>
                <w:sz w:val="16"/>
                <w:szCs w:val="16"/>
                <w:spacing w:val="-3"/>
              </w:rPr>
              <w:t>24</w:t>
            </w:r>
          </w:p>
        </w:tc>
        <w:tc>
          <w:tcPr>
            <w:tcW w:w="659" w:type="dxa"/>
            <w:vAlign w:val="top"/>
          </w:tcPr>
          <w:p>
            <w:pPr>
              <w:pStyle w:val="TableText"/>
              <w:ind w:left="280"/>
              <w:spacing w:before="214" w:line="183" w:lineRule="auto"/>
              <w:rPr>
                <w:sz w:val="16"/>
                <w:szCs w:val="16"/>
              </w:rPr>
            </w:pPr>
            <w:r>
              <w:rPr>
                <w:sz w:val="16"/>
                <w:szCs w:val="16"/>
              </w:rPr>
              <w:t>2</w:t>
            </w:r>
          </w:p>
        </w:tc>
        <w:tc>
          <w:tcPr>
            <w:tcW w:w="988" w:type="dxa"/>
            <w:vAlign w:val="top"/>
          </w:tcPr>
          <w:p>
            <w:pPr>
              <w:pStyle w:val="TableText"/>
              <w:ind w:left="102" w:right="167" w:hanging="20"/>
              <w:spacing w:before="53" w:line="243"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用制造业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spacing w:before="64" w:line="220" w:lineRule="auto"/>
              <w:rPr>
                <w:sz w:val="16"/>
                <w:szCs w:val="16"/>
              </w:rPr>
            </w:pPr>
            <w:r>
              <w:rPr>
                <w:sz w:val="16"/>
                <w:szCs w:val="16"/>
                <w:spacing w:val="5"/>
              </w:rPr>
              <w:t>消费品</w:t>
            </w:r>
          </w:p>
        </w:tc>
        <w:tc>
          <w:tcPr>
            <w:tcW w:w="1443" w:type="dxa"/>
            <w:vAlign w:val="top"/>
          </w:tcPr>
          <w:p>
            <w:pPr>
              <w:pStyle w:val="TableText"/>
              <w:ind w:left="67"/>
              <w:spacing w:before="44" w:line="220" w:lineRule="auto"/>
              <w:rPr>
                <w:sz w:val="16"/>
                <w:szCs w:val="16"/>
              </w:rPr>
            </w:pPr>
            <w:r>
              <w:rPr>
                <w:sz w:val="16"/>
                <w:szCs w:val="16"/>
                <w:spacing w:val="-2"/>
              </w:rPr>
              <w:t>其他制造业</w:t>
            </w:r>
          </w:p>
        </w:tc>
      </w:tr>
      <w:tr>
        <w:trPr>
          <w:trHeight w:val="499" w:hRule="atLeast"/>
        </w:trPr>
        <w:tc>
          <w:tcPr>
            <w:tcW w:w="634" w:type="dxa"/>
            <w:vAlign w:val="top"/>
          </w:tcPr>
          <w:p>
            <w:pPr>
              <w:pStyle w:val="TableText"/>
              <w:ind w:left="225"/>
              <w:spacing w:before="215" w:line="183" w:lineRule="auto"/>
              <w:rPr>
                <w:sz w:val="16"/>
                <w:szCs w:val="16"/>
              </w:rPr>
            </w:pPr>
            <w:r>
              <w:rPr>
                <w:sz w:val="16"/>
                <w:szCs w:val="16"/>
                <w:spacing w:val="-3"/>
              </w:rPr>
              <w:t>27</w:t>
            </w:r>
          </w:p>
        </w:tc>
        <w:tc>
          <w:tcPr>
            <w:tcW w:w="659" w:type="dxa"/>
            <w:vAlign w:val="top"/>
          </w:tcPr>
          <w:p>
            <w:pPr>
              <w:pStyle w:val="TableText"/>
              <w:ind w:left="280"/>
              <w:spacing w:before="215" w:line="183" w:lineRule="auto"/>
              <w:rPr>
                <w:sz w:val="16"/>
                <w:szCs w:val="16"/>
              </w:rPr>
            </w:pPr>
            <w:r>
              <w:rPr>
                <w:sz w:val="16"/>
                <w:szCs w:val="16"/>
              </w:rPr>
              <w:t>3</w:t>
            </w:r>
          </w:p>
        </w:tc>
        <w:tc>
          <w:tcPr>
            <w:tcW w:w="988" w:type="dxa"/>
            <w:vAlign w:val="top"/>
          </w:tcPr>
          <w:p>
            <w:pPr>
              <w:pStyle w:val="TableText"/>
              <w:ind w:left="102" w:right="167" w:hanging="20"/>
              <w:spacing w:before="55" w:line="242"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用服务业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right="108"/>
              <w:spacing w:before="63" w:line="237" w:lineRule="auto"/>
              <w:rPr>
                <w:sz w:val="16"/>
                <w:szCs w:val="16"/>
              </w:rPr>
            </w:pPr>
            <w:r>
              <w:rPr>
                <w:sz w:val="16"/>
                <w:szCs w:val="16"/>
                <w:spacing w:val="-2"/>
              </w:rPr>
              <w:t>其他市场服</w:t>
            </w:r>
            <w:r>
              <w:rPr>
                <w:sz w:val="16"/>
                <w:szCs w:val="16"/>
                <w:spacing w:val="2"/>
              </w:rPr>
              <w:t xml:space="preserve"> </w:t>
            </w:r>
            <w:r>
              <w:rPr>
                <w:sz w:val="16"/>
                <w:szCs w:val="16"/>
                <w:spacing w:val="-2"/>
              </w:rPr>
              <w:t>务业</w:t>
            </w:r>
          </w:p>
        </w:tc>
        <w:tc>
          <w:tcPr>
            <w:tcW w:w="1443" w:type="dxa"/>
            <w:vAlign w:val="top"/>
          </w:tcPr>
          <w:p>
            <w:pPr>
              <w:pStyle w:val="TableText"/>
              <w:ind w:left="78"/>
              <w:spacing w:before="64" w:line="219" w:lineRule="auto"/>
              <w:rPr>
                <w:sz w:val="16"/>
                <w:szCs w:val="16"/>
              </w:rPr>
            </w:pPr>
            <w:r>
              <w:rPr>
                <w:sz w:val="16"/>
                <w:szCs w:val="16"/>
                <w:spacing w:val="-1"/>
              </w:rPr>
              <w:t>批发、零售服务业</w:t>
            </w:r>
          </w:p>
        </w:tc>
      </w:tr>
      <w:tr>
        <w:trPr>
          <w:trHeight w:val="490" w:hRule="atLeast"/>
        </w:trPr>
        <w:tc>
          <w:tcPr>
            <w:tcW w:w="634" w:type="dxa"/>
            <w:vAlign w:val="top"/>
          </w:tcPr>
          <w:p>
            <w:pPr>
              <w:pStyle w:val="TableText"/>
              <w:ind w:left="225"/>
              <w:spacing w:before="216" w:line="183" w:lineRule="auto"/>
              <w:rPr>
                <w:sz w:val="16"/>
                <w:szCs w:val="16"/>
              </w:rPr>
            </w:pPr>
            <w:r>
              <w:rPr>
                <w:sz w:val="16"/>
                <w:szCs w:val="16"/>
                <w:spacing w:val="-3"/>
              </w:rPr>
              <w:t>29</w:t>
            </w:r>
          </w:p>
        </w:tc>
        <w:tc>
          <w:tcPr>
            <w:tcW w:w="659" w:type="dxa"/>
            <w:vAlign w:val="top"/>
          </w:tcPr>
          <w:p>
            <w:pPr>
              <w:pStyle w:val="TableText"/>
              <w:ind w:left="280"/>
              <w:spacing w:before="216" w:line="183" w:lineRule="auto"/>
              <w:rPr>
                <w:sz w:val="16"/>
                <w:szCs w:val="16"/>
              </w:rPr>
            </w:pPr>
            <w:r>
              <w:rPr>
                <w:sz w:val="16"/>
                <w:szCs w:val="16"/>
              </w:rPr>
              <w:t>3</w:t>
            </w:r>
          </w:p>
        </w:tc>
        <w:tc>
          <w:tcPr>
            <w:tcW w:w="988" w:type="dxa"/>
            <w:vAlign w:val="top"/>
          </w:tcPr>
          <w:p>
            <w:pPr>
              <w:pStyle w:val="TableText"/>
              <w:ind w:left="102" w:right="167" w:hanging="20"/>
              <w:spacing w:before="64" w:line="237"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用服务业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right="92"/>
              <w:spacing w:before="55" w:line="242" w:lineRule="auto"/>
              <w:rPr>
                <w:sz w:val="16"/>
                <w:szCs w:val="16"/>
              </w:rPr>
            </w:pPr>
            <w:r>
              <w:rPr>
                <w:sz w:val="16"/>
                <w:szCs w:val="16"/>
                <w:spacing w:val="1"/>
              </w:rPr>
              <w:t>国家垄断市</w:t>
            </w:r>
            <w:r>
              <w:rPr>
                <w:sz w:val="16"/>
                <w:szCs w:val="16"/>
                <w:spacing w:val="3"/>
              </w:rPr>
              <w:t xml:space="preserve"> </w:t>
            </w:r>
            <w:r>
              <w:rPr>
                <w:sz w:val="16"/>
                <w:szCs w:val="16"/>
                <w:spacing w:val="-2"/>
              </w:rPr>
              <w:t>场服务业</w:t>
            </w:r>
          </w:p>
        </w:tc>
        <w:tc>
          <w:tcPr>
            <w:tcW w:w="1443" w:type="dxa"/>
            <w:vAlign w:val="top"/>
          </w:tcPr>
          <w:p>
            <w:pPr>
              <w:pStyle w:val="TableText"/>
              <w:ind w:left="78"/>
              <w:spacing w:before="55" w:line="219" w:lineRule="auto"/>
              <w:rPr>
                <w:sz w:val="16"/>
                <w:szCs w:val="16"/>
              </w:rPr>
            </w:pPr>
            <w:r>
              <w:rPr>
                <w:sz w:val="16"/>
                <w:szCs w:val="16"/>
                <w:spacing w:val="-2"/>
              </w:rPr>
              <w:t>交通、仓储服务业</w:t>
            </w:r>
          </w:p>
        </w:tc>
      </w:tr>
      <w:tr>
        <w:trPr>
          <w:trHeight w:val="499" w:hRule="atLeast"/>
        </w:trPr>
        <w:tc>
          <w:tcPr>
            <w:tcW w:w="634" w:type="dxa"/>
            <w:vAlign w:val="top"/>
          </w:tcPr>
          <w:p>
            <w:pPr>
              <w:pStyle w:val="TableText"/>
              <w:ind w:left="225"/>
              <w:spacing w:before="215" w:line="184" w:lineRule="auto"/>
              <w:rPr>
                <w:sz w:val="16"/>
                <w:szCs w:val="16"/>
              </w:rPr>
            </w:pPr>
            <w:r>
              <w:rPr>
                <w:sz w:val="16"/>
                <w:szCs w:val="16"/>
                <w:spacing w:val="-3"/>
              </w:rPr>
              <w:t>31</w:t>
            </w:r>
          </w:p>
        </w:tc>
        <w:tc>
          <w:tcPr>
            <w:tcW w:w="659" w:type="dxa"/>
            <w:vAlign w:val="top"/>
          </w:tcPr>
          <w:p>
            <w:pPr>
              <w:pStyle w:val="TableText"/>
              <w:ind w:left="280"/>
              <w:spacing w:before="216" w:line="183" w:lineRule="auto"/>
              <w:rPr>
                <w:sz w:val="16"/>
                <w:szCs w:val="16"/>
              </w:rPr>
            </w:pPr>
            <w:r>
              <w:rPr>
                <w:sz w:val="16"/>
                <w:szCs w:val="16"/>
              </w:rPr>
              <w:t>3</w:t>
            </w:r>
          </w:p>
        </w:tc>
        <w:tc>
          <w:tcPr>
            <w:tcW w:w="988" w:type="dxa"/>
            <w:vAlign w:val="top"/>
          </w:tcPr>
          <w:p>
            <w:pPr>
              <w:pStyle w:val="TableText"/>
              <w:ind w:left="102" w:right="167" w:hanging="20"/>
              <w:spacing w:before="64" w:line="237"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用服务业</w:t>
            </w:r>
          </w:p>
        </w:tc>
        <w:tc>
          <w:tcPr>
            <w:tcW w:w="1318" w:type="dxa"/>
            <w:vAlign w:val="top"/>
            <w:vMerge w:val="continue"/>
            <w:tcBorders>
              <w:top w:val="nil"/>
              <w:bottom w:val="nil"/>
            </w:tcBorders>
          </w:tcPr>
          <w:p>
            <w:pPr>
              <w:rPr>
                <w:rFonts w:ascii="Arial"/>
                <w:sz w:val="21"/>
              </w:rPr>
            </w:pPr>
            <w:r/>
          </w:p>
        </w:tc>
        <w:tc>
          <w:tcPr>
            <w:tcW w:w="988" w:type="dxa"/>
            <w:vAlign w:val="top"/>
          </w:tcPr>
          <w:p>
            <w:pPr>
              <w:pStyle w:val="TableText"/>
              <w:ind w:left="76" w:right="92"/>
              <w:spacing w:before="64" w:line="237" w:lineRule="auto"/>
              <w:rPr>
                <w:sz w:val="16"/>
                <w:szCs w:val="16"/>
              </w:rPr>
            </w:pPr>
            <w:r>
              <w:rPr>
                <w:sz w:val="16"/>
                <w:szCs w:val="16"/>
                <w:spacing w:val="1"/>
              </w:rPr>
              <w:t>国家垄断市</w:t>
            </w:r>
            <w:r>
              <w:rPr>
                <w:sz w:val="16"/>
                <w:szCs w:val="16"/>
                <w:spacing w:val="3"/>
              </w:rPr>
              <w:t xml:space="preserve"> </w:t>
            </w:r>
            <w:r>
              <w:rPr>
                <w:sz w:val="16"/>
                <w:szCs w:val="16"/>
                <w:spacing w:val="-2"/>
              </w:rPr>
              <w:t>场服务业</w:t>
            </w:r>
          </w:p>
        </w:tc>
        <w:tc>
          <w:tcPr>
            <w:tcW w:w="1443" w:type="dxa"/>
            <w:vAlign w:val="top"/>
          </w:tcPr>
          <w:p>
            <w:pPr>
              <w:pStyle w:val="TableText"/>
              <w:ind w:left="78"/>
              <w:spacing w:before="75" w:line="219" w:lineRule="auto"/>
              <w:rPr>
                <w:sz w:val="16"/>
                <w:szCs w:val="16"/>
              </w:rPr>
            </w:pPr>
            <w:r>
              <w:rPr>
                <w:sz w:val="16"/>
                <w:szCs w:val="16"/>
                <w:spacing w:val="-1"/>
              </w:rPr>
              <w:t>金融、保险服务业</w:t>
            </w:r>
          </w:p>
        </w:tc>
      </w:tr>
      <w:tr>
        <w:trPr>
          <w:trHeight w:val="534" w:hRule="atLeast"/>
        </w:trPr>
        <w:tc>
          <w:tcPr>
            <w:tcW w:w="634" w:type="dxa"/>
            <w:vAlign w:val="top"/>
          </w:tcPr>
          <w:p>
            <w:pPr>
              <w:pStyle w:val="TableText"/>
              <w:ind w:left="225"/>
              <w:spacing w:before="237" w:line="183" w:lineRule="auto"/>
              <w:rPr>
                <w:sz w:val="16"/>
                <w:szCs w:val="16"/>
              </w:rPr>
            </w:pPr>
            <w:r>
              <w:rPr>
                <w:sz w:val="16"/>
                <w:szCs w:val="16"/>
                <w:spacing w:val="-3"/>
              </w:rPr>
              <w:t>33</w:t>
            </w:r>
          </w:p>
        </w:tc>
        <w:tc>
          <w:tcPr>
            <w:tcW w:w="659" w:type="dxa"/>
            <w:vAlign w:val="top"/>
          </w:tcPr>
          <w:p>
            <w:pPr>
              <w:pStyle w:val="TableText"/>
              <w:ind w:left="280"/>
              <w:spacing w:before="237" w:line="183" w:lineRule="auto"/>
              <w:rPr>
                <w:sz w:val="16"/>
                <w:szCs w:val="16"/>
              </w:rPr>
            </w:pPr>
            <w:r>
              <w:rPr>
                <w:sz w:val="16"/>
                <w:szCs w:val="16"/>
              </w:rPr>
              <w:t>3</w:t>
            </w:r>
          </w:p>
        </w:tc>
        <w:tc>
          <w:tcPr>
            <w:tcW w:w="988" w:type="dxa"/>
            <w:vAlign w:val="top"/>
          </w:tcPr>
          <w:p>
            <w:pPr>
              <w:pStyle w:val="TableText"/>
              <w:ind w:left="101" w:right="177" w:hanging="30"/>
              <w:spacing w:before="65" w:line="237" w:lineRule="auto"/>
              <w:rPr>
                <w:sz w:val="16"/>
                <w:szCs w:val="16"/>
              </w:rPr>
            </w:pPr>
            <w:r>
              <w:rPr>
                <w:sz w:val="16"/>
                <w:szCs w:val="16"/>
              </w:rPr>
              <w:t>ICT</w:t>
            </w:r>
            <w:r>
              <w:rPr>
                <w:sz w:val="16"/>
                <w:szCs w:val="16"/>
                <w:spacing w:val="2"/>
              </w:rPr>
              <w:t>集约使</w:t>
            </w:r>
            <w:r>
              <w:rPr>
                <w:sz w:val="16"/>
                <w:szCs w:val="16"/>
                <w:spacing w:val="1"/>
              </w:rPr>
              <w:t xml:space="preserve"> </w:t>
            </w:r>
            <w:r>
              <w:rPr>
                <w:sz w:val="16"/>
                <w:szCs w:val="16"/>
                <w:spacing w:val="-2"/>
              </w:rPr>
              <w:t>用服务业</w:t>
            </w:r>
          </w:p>
        </w:tc>
        <w:tc>
          <w:tcPr>
            <w:tcW w:w="1318" w:type="dxa"/>
            <w:vAlign w:val="top"/>
            <w:vMerge w:val="continue"/>
            <w:tcBorders>
              <w:top w:val="nil"/>
            </w:tcBorders>
          </w:tcPr>
          <w:p>
            <w:pPr>
              <w:rPr>
                <w:rFonts w:ascii="Arial"/>
                <w:sz w:val="21"/>
              </w:rPr>
            </w:pPr>
            <w:r/>
          </w:p>
        </w:tc>
        <w:tc>
          <w:tcPr>
            <w:tcW w:w="988" w:type="dxa"/>
            <w:vAlign w:val="top"/>
          </w:tcPr>
          <w:p>
            <w:pPr>
              <w:pStyle w:val="TableText"/>
              <w:ind w:left="76" w:right="108"/>
              <w:spacing w:before="65" w:line="237" w:lineRule="auto"/>
              <w:rPr>
                <w:sz w:val="16"/>
                <w:szCs w:val="16"/>
              </w:rPr>
            </w:pPr>
            <w:r>
              <w:rPr>
                <w:sz w:val="16"/>
                <w:szCs w:val="16"/>
                <w:spacing w:val="-2"/>
              </w:rPr>
              <w:t>其他市场服</w:t>
            </w:r>
            <w:r>
              <w:rPr>
                <w:sz w:val="16"/>
                <w:szCs w:val="16"/>
                <w:spacing w:val="2"/>
              </w:rPr>
              <w:t xml:space="preserve"> </w:t>
            </w:r>
            <w:r>
              <w:rPr>
                <w:sz w:val="16"/>
                <w:szCs w:val="16"/>
                <w:spacing w:val="-2"/>
              </w:rPr>
              <w:t>务业</w:t>
            </w:r>
          </w:p>
        </w:tc>
        <w:tc>
          <w:tcPr>
            <w:tcW w:w="1443" w:type="dxa"/>
            <w:vAlign w:val="top"/>
          </w:tcPr>
          <w:p>
            <w:pPr>
              <w:pStyle w:val="TableText"/>
              <w:ind w:left="157" w:right="162"/>
              <w:spacing w:before="86" w:line="230" w:lineRule="auto"/>
              <w:rPr>
                <w:sz w:val="16"/>
                <w:szCs w:val="16"/>
              </w:rPr>
            </w:pPr>
            <w:r>
              <w:rPr>
                <w:sz w:val="16"/>
                <w:szCs w:val="16"/>
                <w:spacing w:val="-2"/>
              </w:rPr>
              <w:t>工商、租赁、技</w:t>
            </w:r>
            <w:r>
              <w:rPr>
                <w:sz w:val="16"/>
                <w:szCs w:val="16"/>
                <w:spacing w:val="4"/>
              </w:rPr>
              <w:t xml:space="preserve"> </w:t>
            </w:r>
            <w:r>
              <w:rPr>
                <w:sz w:val="16"/>
                <w:szCs w:val="16"/>
                <w:spacing w:val="-2"/>
              </w:rPr>
              <w:t>术、科研服务业</w:t>
            </w:r>
          </w:p>
        </w:tc>
      </w:tr>
    </w:tbl>
    <w:p>
      <w:pPr>
        <w:pStyle w:val="BodyText"/>
        <w:rPr/>
      </w:pPr>
      <w:r/>
    </w:p>
    <w:p>
      <w:pPr>
        <w:sectPr>
          <w:headerReference w:type="default" r:id="rId145"/>
          <w:pgSz w:w="7330" w:h="12480"/>
          <w:pgMar w:top="558" w:right="544" w:bottom="400" w:left="700" w:header="383" w:footer="0" w:gutter="0"/>
        </w:sectPr>
        <w:rPr/>
      </w:pPr>
    </w:p>
    <w:p>
      <w:pPr>
        <w:ind w:left="1587"/>
        <w:spacing w:before="211" w:line="214" w:lineRule="auto"/>
        <w:rPr>
          <w:rFonts w:ascii="SimSun" w:hAnsi="SimSun" w:eastAsia="SimSun" w:cs="SimSun"/>
          <w:sz w:val="19"/>
          <w:szCs w:val="19"/>
        </w:rPr>
      </w:pPr>
      <w:r>
        <w:rPr>
          <w:rFonts w:ascii="YouYuan" w:hAnsi="YouYuan" w:eastAsia="YouYuan" w:cs="YouYuan"/>
          <w:sz w:val="16"/>
          <w:szCs w:val="16"/>
          <w:b/>
          <w:bCs/>
          <w:spacing w:val="-5"/>
        </w:rPr>
        <w:t>第二章</w:t>
      </w:r>
      <w:r>
        <w:rPr>
          <w:rFonts w:ascii="YouYuan" w:hAnsi="YouYuan" w:eastAsia="YouYuan" w:cs="YouYuan"/>
          <w:sz w:val="16"/>
          <w:szCs w:val="16"/>
          <w:spacing w:val="-5"/>
        </w:rPr>
        <w:t xml:space="preserve">  </w:t>
      </w:r>
      <w:r>
        <w:rPr>
          <w:rFonts w:ascii="YouYuan" w:hAnsi="YouYuan" w:eastAsia="YouYuan" w:cs="YouYuan"/>
          <w:sz w:val="16"/>
          <w:szCs w:val="16"/>
          <w:b/>
          <w:bCs/>
          <w:spacing w:val="-5"/>
        </w:rPr>
        <w:t>数字经济对中国经济增长的影响</w:t>
      </w:r>
      <w:r>
        <w:rPr>
          <w:rFonts w:ascii="YouYuan" w:hAnsi="YouYuan" w:eastAsia="YouYuan" w:cs="YouYuan"/>
          <w:sz w:val="16"/>
          <w:szCs w:val="16"/>
          <w:spacing w:val="-5"/>
        </w:rPr>
        <w:t xml:space="preserve">    </w:t>
      </w:r>
      <w:r>
        <w:rPr>
          <w:rFonts w:ascii="YouYuan" w:hAnsi="YouYuan" w:eastAsia="YouYuan" w:cs="YouYuan"/>
          <w:sz w:val="16"/>
          <w:szCs w:val="16"/>
          <w:spacing w:val="-6"/>
        </w:rPr>
        <w:t xml:space="preserve">              </w:t>
      </w:r>
      <w:r>
        <w:rPr>
          <w:rFonts w:ascii="SimSun" w:hAnsi="SimSun" w:eastAsia="SimSun" w:cs="SimSun"/>
          <w:sz w:val="19"/>
          <w:szCs w:val="19"/>
          <w:spacing w:val="-6"/>
          <w:position w:val="-2"/>
        </w:rPr>
        <w:t>11l</w:t>
      </w:r>
    </w:p>
    <w:p>
      <w:pPr>
        <w:pStyle w:val="BodyText"/>
        <w:spacing w:line="313" w:lineRule="auto"/>
        <w:rPr/>
      </w:pPr>
      <w:r/>
    </w:p>
    <w:p>
      <w:pPr>
        <w:pStyle w:val="BodyText"/>
        <w:spacing w:line="313" w:lineRule="auto"/>
        <w:rPr/>
      </w:pPr>
      <w:r/>
    </w:p>
    <w:p>
      <w:pPr>
        <w:pStyle w:val="BodyText"/>
        <w:spacing w:line="313" w:lineRule="auto"/>
        <w:rPr/>
      </w:pPr>
      <w:r/>
    </w:p>
    <w:p>
      <w:pPr>
        <w:ind w:right="2"/>
        <w:spacing w:before="61" w:line="220" w:lineRule="auto"/>
        <w:jc w:val="right"/>
        <w:rPr>
          <w:rFonts w:ascii="SimSun" w:hAnsi="SimSun" w:eastAsia="SimSun" w:cs="SimSun"/>
          <w:sz w:val="19"/>
          <w:szCs w:val="19"/>
        </w:rPr>
      </w:pPr>
      <w:r>
        <w:rPr>
          <w:rFonts w:ascii="SimSun" w:hAnsi="SimSun" w:eastAsia="SimSun" w:cs="SimSun"/>
          <w:sz w:val="19"/>
          <w:szCs w:val="19"/>
          <w:spacing w:val="-2"/>
        </w:rPr>
        <w:t>(续表)</w:t>
      </w:r>
    </w:p>
    <w:p>
      <w:pPr>
        <w:spacing w:line="80" w:lineRule="exact"/>
        <w:rPr/>
      </w:pPr>
      <w:r/>
    </w:p>
    <w:tbl>
      <w:tblPr>
        <w:tblStyle w:val="TableNormal"/>
        <w:tblW w:w="60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34"/>
        <w:gridCol w:w="649"/>
        <w:gridCol w:w="978"/>
        <w:gridCol w:w="1318"/>
        <w:gridCol w:w="998"/>
        <w:gridCol w:w="1453"/>
      </w:tblGrid>
      <w:tr>
        <w:trPr>
          <w:trHeight w:val="524" w:hRule="atLeast"/>
        </w:trPr>
        <w:tc>
          <w:tcPr>
            <w:tcW w:w="634" w:type="dxa"/>
            <w:vAlign w:val="top"/>
          </w:tcPr>
          <w:p>
            <w:pPr>
              <w:pStyle w:val="TableText"/>
              <w:ind w:left="65" w:right="70"/>
              <w:spacing w:before="52" w:line="259" w:lineRule="auto"/>
              <w:rPr>
                <w:sz w:val="16"/>
                <w:szCs w:val="16"/>
              </w:rPr>
            </w:pPr>
            <w:r>
              <w:rPr>
                <w:sz w:val="16"/>
                <w:szCs w:val="16"/>
              </w:rPr>
              <w:t>C</w:t>
            </w:r>
            <w:r>
              <w:rPr>
                <w:sz w:val="16"/>
                <w:szCs w:val="16"/>
                <w:spacing w:val="-34"/>
              </w:rPr>
              <w:t xml:space="preserve"> </w:t>
            </w:r>
            <w:r>
              <w:rPr>
                <w:sz w:val="16"/>
                <w:szCs w:val="16"/>
              </w:rPr>
              <w:t>IP</w:t>
            </w:r>
            <w:r>
              <w:rPr>
                <w:sz w:val="16"/>
                <w:szCs w:val="16"/>
                <w:spacing w:val="42"/>
              </w:rPr>
              <w:t>行</w:t>
            </w:r>
            <w:r>
              <w:rPr>
                <w:sz w:val="16"/>
                <w:szCs w:val="16"/>
              </w:rPr>
              <w:t xml:space="preserve"> </w:t>
            </w:r>
            <w:r>
              <w:rPr>
                <w:sz w:val="16"/>
                <w:szCs w:val="16"/>
                <w:spacing w:val="-2"/>
              </w:rPr>
              <w:t>业编码</w:t>
            </w:r>
          </w:p>
        </w:tc>
        <w:tc>
          <w:tcPr>
            <w:tcW w:w="649" w:type="dxa"/>
            <w:vAlign w:val="top"/>
          </w:tcPr>
          <w:p>
            <w:pPr>
              <w:pStyle w:val="TableText"/>
              <w:ind w:left="70" w:right="96" w:firstLine="40"/>
              <w:spacing w:before="42" w:line="259" w:lineRule="auto"/>
              <w:rPr>
                <w:sz w:val="16"/>
                <w:szCs w:val="16"/>
              </w:rPr>
            </w:pPr>
            <w:r>
              <w:rPr>
                <w:sz w:val="16"/>
                <w:szCs w:val="16"/>
              </w:rPr>
              <w:t>ICT</w:t>
            </w:r>
            <w:r>
              <w:rPr>
                <w:sz w:val="16"/>
                <w:szCs w:val="16"/>
                <w:spacing w:val="6"/>
              </w:rPr>
              <w:t>分</w:t>
            </w:r>
            <w:r>
              <w:rPr>
                <w:sz w:val="16"/>
                <w:szCs w:val="16"/>
              </w:rPr>
              <w:t xml:space="preserve"> </w:t>
            </w:r>
            <w:r>
              <w:rPr>
                <w:sz w:val="16"/>
                <w:szCs w:val="16"/>
                <w:spacing w:val="-3"/>
              </w:rPr>
              <w:t>组编码</w:t>
            </w:r>
          </w:p>
        </w:tc>
        <w:tc>
          <w:tcPr>
            <w:tcW w:w="978" w:type="dxa"/>
            <w:vAlign w:val="top"/>
          </w:tcPr>
          <w:p>
            <w:pPr>
              <w:pStyle w:val="TableText"/>
              <w:ind w:left="162"/>
              <w:spacing w:before="182" w:line="220" w:lineRule="auto"/>
              <w:rPr>
                <w:sz w:val="16"/>
                <w:szCs w:val="16"/>
              </w:rPr>
            </w:pPr>
            <w:r>
              <w:rPr>
                <w:sz w:val="16"/>
                <w:szCs w:val="16"/>
                <w:spacing w:val="-2"/>
              </w:rPr>
              <w:t>行业分组</w:t>
            </w:r>
          </w:p>
        </w:tc>
        <w:tc>
          <w:tcPr>
            <w:tcW w:w="1318" w:type="dxa"/>
            <w:vAlign w:val="top"/>
          </w:tcPr>
          <w:p>
            <w:pPr>
              <w:pStyle w:val="TableText"/>
              <w:ind w:left="334"/>
              <w:spacing w:before="182" w:line="220" w:lineRule="auto"/>
              <w:rPr>
                <w:sz w:val="16"/>
                <w:szCs w:val="16"/>
              </w:rPr>
            </w:pPr>
            <w:r>
              <w:rPr>
                <w:sz w:val="16"/>
                <w:szCs w:val="16"/>
                <w:spacing w:val="-2"/>
              </w:rPr>
              <w:t>分组标准</w:t>
            </w:r>
          </w:p>
        </w:tc>
        <w:tc>
          <w:tcPr>
            <w:tcW w:w="998" w:type="dxa"/>
            <w:vAlign w:val="top"/>
          </w:tcPr>
          <w:p>
            <w:pPr>
              <w:pStyle w:val="TableText"/>
              <w:ind w:left="335" w:right="140" w:hanging="200"/>
              <w:spacing w:before="50" w:line="255" w:lineRule="auto"/>
              <w:rPr>
                <w:sz w:val="16"/>
                <w:szCs w:val="16"/>
              </w:rPr>
            </w:pPr>
            <w:r>
              <w:rPr>
                <w:sz w:val="16"/>
                <w:szCs w:val="16"/>
                <w:spacing w:val="-2"/>
              </w:rPr>
              <w:t>行业特征/</w:t>
            </w:r>
            <w:r>
              <w:rPr>
                <w:sz w:val="16"/>
                <w:szCs w:val="16"/>
              </w:rPr>
              <w:t xml:space="preserve"> </w:t>
            </w:r>
            <w:r>
              <w:rPr>
                <w:sz w:val="16"/>
                <w:szCs w:val="16"/>
                <w:spacing w:val="9"/>
              </w:rPr>
              <w:t>性质</w:t>
            </w:r>
          </w:p>
        </w:tc>
        <w:tc>
          <w:tcPr>
            <w:tcW w:w="1453" w:type="dxa"/>
            <w:vAlign w:val="top"/>
          </w:tcPr>
          <w:p>
            <w:pPr>
              <w:pStyle w:val="TableText"/>
              <w:ind w:left="567"/>
              <w:spacing w:before="182" w:line="220" w:lineRule="auto"/>
              <w:rPr>
                <w:sz w:val="16"/>
                <w:szCs w:val="16"/>
              </w:rPr>
            </w:pPr>
            <w:r>
              <w:rPr>
                <w:sz w:val="16"/>
                <w:szCs w:val="16"/>
                <w:spacing w:val="-3"/>
              </w:rPr>
              <w:t>行业</w:t>
            </w:r>
          </w:p>
        </w:tc>
      </w:tr>
      <w:tr>
        <w:trPr>
          <w:trHeight w:val="529" w:hRule="atLeast"/>
        </w:trPr>
        <w:tc>
          <w:tcPr>
            <w:tcW w:w="634" w:type="dxa"/>
            <w:vAlign w:val="top"/>
          </w:tcPr>
          <w:p>
            <w:pPr>
              <w:pStyle w:val="TableText"/>
              <w:ind w:left="265"/>
              <w:spacing w:before="228" w:line="183" w:lineRule="auto"/>
              <w:rPr>
                <w:sz w:val="16"/>
                <w:szCs w:val="16"/>
              </w:rPr>
            </w:pPr>
            <w:r>
              <w:rPr>
                <w:sz w:val="16"/>
                <w:szCs w:val="16"/>
              </w:rPr>
              <w:t>6</w:t>
            </w:r>
          </w:p>
        </w:tc>
        <w:tc>
          <w:tcPr>
            <w:tcW w:w="649" w:type="dxa"/>
            <w:vAlign w:val="top"/>
          </w:tcPr>
          <w:p>
            <w:pPr>
              <w:pStyle w:val="TableText"/>
              <w:ind w:left="271"/>
              <w:spacing w:before="228" w:line="183" w:lineRule="auto"/>
              <w:rPr>
                <w:sz w:val="16"/>
                <w:szCs w:val="16"/>
              </w:rPr>
            </w:pPr>
            <w:r>
              <w:rPr>
                <w:sz w:val="16"/>
                <w:szCs w:val="16"/>
              </w:rPr>
              <w:t>4</w:t>
            </w:r>
          </w:p>
        </w:tc>
        <w:tc>
          <w:tcPr>
            <w:tcW w:w="978" w:type="dxa"/>
            <w:vAlign w:val="top"/>
          </w:tcPr>
          <w:p>
            <w:pPr>
              <w:pStyle w:val="TableText"/>
              <w:ind w:left="81" w:right="92" w:firstLine="40"/>
              <w:spacing w:before="57"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restart"/>
            <w:tcBorders>
              <w:bottom w:val="nil"/>
            </w:tcBorders>
          </w:tcPr>
          <w:p>
            <w:pPr>
              <w:pStyle w:val="TableText"/>
              <w:ind w:left="74" w:right="67" w:firstLine="59"/>
              <w:spacing w:before="44" w:line="271" w:lineRule="auto"/>
              <w:rPr>
                <w:sz w:val="16"/>
                <w:szCs w:val="16"/>
              </w:rPr>
            </w:pPr>
            <w:r>
              <w:rPr>
                <w:sz w:val="16"/>
                <w:szCs w:val="16"/>
                <w:spacing w:val="-1"/>
              </w:rPr>
              <w:t>根据同样的ICT</w:t>
            </w:r>
            <w:r>
              <w:rPr>
                <w:sz w:val="16"/>
                <w:szCs w:val="16"/>
              </w:rPr>
              <w:t xml:space="preserve">  </w:t>
            </w:r>
            <w:r>
              <w:rPr>
                <w:sz w:val="16"/>
                <w:szCs w:val="16"/>
                <w:spacing w:val="34"/>
              </w:rPr>
              <w:t>使用集约度标</w:t>
            </w:r>
            <w:r>
              <w:rPr>
                <w:sz w:val="16"/>
                <w:szCs w:val="16"/>
                <w:spacing w:val="1"/>
              </w:rPr>
              <w:t xml:space="preserve"> </w:t>
            </w:r>
            <w:r>
              <w:rPr>
                <w:sz w:val="16"/>
                <w:szCs w:val="16"/>
                <w:spacing w:val="10"/>
              </w:rPr>
              <w:t>准，将</w:t>
            </w:r>
            <w:r>
              <w:rPr>
                <w:sz w:val="16"/>
                <w:szCs w:val="16"/>
              </w:rPr>
              <w:t>ICT</w:t>
            </w:r>
            <w:r>
              <w:rPr>
                <w:sz w:val="16"/>
                <w:szCs w:val="16"/>
                <w:spacing w:val="10"/>
              </w:rPr>
              <w:t>资本</w:t>
            </w:r>
            <w:r>
              <w:rPr>
                <w:sz w:val="16"/>
                <w:szCs w:val="16"/>
              </w:rPr>
              <w:t xml:space="preserve">  </w:t>
            </w:r>
            <w:r>
              <w:rPr>
                <w:sz w:val="16"/>
                <w:szCs w:val="16"/>
                <w:spacing w:val="1"/>
              </w:rPr>
              <w:t>投入占总资本投</w:t>
            </w:r>
            <w:r>
              <w:rPr>
                <w:sz w:val="16"/>
                <w:szCs w:val="16"/>
                <w:spacing w:val="3"/>
              </w:rPr>
              <w:t xml:space="preserve"> </w:t>
            </w:r>
            <w:r>
              <w:rPr>
                <w:sz w:val="16"/>
                <w:szCs w:val="16"/>
                <w:spacing w:val="2"/>
              </w:rPr>
              <w:t>入的比重低于该</w:t>
            </w:r>
            <w:r>
              <w:rPr>
                <w:sz w:val="16"/>
                <w:szCs w:val="16"/>
              </w:rPr>
              <w:t xml:space="preserve"> </w:t>
            </w:r>
            <w:r>
              <w:rPr>
                <w:sz w:val="16"/>
                <w:szCs w:val="16"/>
                <w:spacing w:val="5"/>
              </w:rPr>
              <w:t>指标全体行业中</w:t>
            </w:r>
            <w:r>
              <w:rPr>
                <w:sz w:val="16"/>
                <w:szCs w:val="16"/>
                <w:spacing w:val="1"/>
              </w:rPr>
              <w:t xml:space="preserve"> </w:t>
            </w:r>
            <w:r>
              <w:rPr>
                <w:sz w:val="16"/>
                <w:szCs w:val="16"/>
                <w:spacing w:val="1"/>
              </w:rPr>
              <w:t>位数的行业定义</w:t>
            </w:r>
            <w:r>
              <w:rPr>
                <w:sz w:val="16"/>
                <w:szCs w:val="16"/>
                <w:spacing w:val="5"/>
              </w:rPr>
              <w:t xml:space="preserve"> </w:t>
            </w:r>
            <w:r>
              <w:rPr>
                <w:sz w:val="16"/>
                <w:szCs w:val="16"/>
                <w:spacing w:val="10"/>
              </w:rPr>
              <w:t>为非</w:t>
            </w:r>
            <w:r>
              <w:rPr>
                <w:sz w:val="16"/>
                <w:szCs w:val="16"/>
              </w:rPr>
              <w:t>ICT</w:t>
            </w:r>
            <w:r>
              <w:rPr>
                <w:sz w:val="16"/>
                <w:szCs w:val="16"/>
                <w:spacing w:val="10"/>
              </w:rPr>
              <w:t>集约使</w:t>
            </w:r>
            <w:r>
              <w:rPr>
                <w:sz w:val="16"/>
                <w:szCs w:val="16"/>
              </w:rPr>
              <w:t xml:space="preserve">  </w:t>
            </w:r>
            <w:r>
              <w:rPr>
                <w:sz w:val="16"/>
                <w:szCs w:val="16"/>
                <w:spacing w:val="-2"/>
              </w:rPr>
              <w:t>用行业。然后</w:t>
            </w:r>
          </w:p>
          <w:p>
            <w:pPr>
              <w:pStyle w:val="TableText"/>
              <w:ind w:left="74" w:right="75" w:firstLine="20"/>
              <w:spacing w:before="46" w:line="263" w:lineRule="auto"/>
              <w:rPr>
                <w:sz w:val="16"/>
                <w:szCs w:val="16"/>
              </w:rPr>
            </w:pPr>
            <w:r>
              <w:rPr>
                <w:sz w:val="16"/>
                <w:szCs w:val="16"/>
                <w:spacing w:val="2"/>
              </w:rPr>
              <w:t>再根据行业性质</w:t>
            </w:r>
            <w:r>
              <w:rPr>
                <w:sz w:val="16"/>
                <w:szCs w:val="16"/>
                <w:spacing w:val="3"/>
              </w:rPr>
              <w:t xml:space="preserve"> </w:t>
            </w:r>
            <w:r>
              <w:rPr>
                <w:sz w:val="16"/>
                <w:szCs w:val="16"/>
                <w:spacing w:val="1"/>
              </w:rPr>
              <w:t>确定其统计分类</w:t>
            </w:r>
            <w:r>
              <w:rPr>
                <w:sz w:val="16"/>
                <w:szCs w:val="16"/>
                <w:spacing w:val="5"/>
              </w:rPr>
              <w:t xml:space="preserve"> </w:t>
            </w:r>
            <w:r>
              <w:rPr>
                <w:sz w:val="16"/>
                <w:szCs w:val="16"/>
                <w:spacing w:val="1"/>
              </w:rPr>
              <w:t>上的制造业或服</w:t>
            </w:r>
            <w:r>
              <w:rPr>
                <w:sz w:val="16"/>
                <w:szCs w:val="16"/>
                <w:spacing w:val="4"/>
              </w:rPr>
              <w:t xml:space="preserve"> </w:t>
            </w:r>
            <w:r>
              <w:rPr>
                <w:sz w:val="16"/>
                <w:szCs w:val="16"/>
                <w:spacing w:val="3"/>
              </w:rPr>
              <w:t>务业归属</w:t>
            </w:r>
          </w:p>
        </w:tc>
        <w:tc>
          <w:tcPr>
            <w:tcW w:w="998" w:type="dxa"/>
            <w:vAlign w:val="top"/>
          </w:tcPr>
          <w:p>
            <w:pPr>
              <w:pStyle w:val="TableText"/>
              <w:ind w:left="85"/>
              <w:spacing w:before="38" w:line="220" w:lineRule="auto"/>
              <w:rPr>
                <w:sz w:val="16"/>
                <w:szCs w:val="16"/>
              </w:rPr>
            </w:pPr>
            <w:r>
              <w:rPr>
                <w:sz w:val="16"/>
                <w:szCs w:val="16"/>
                <w:spacing w:val="5"/>
              </w:rPr>
              <w:t>消费品</w:t>
            </w:r>
          </w:p>
        </w:tc>
        <w:tc>
          <w:tcPr>
            <w:tcW w:w="1453" w:type="dxa"/>
            <w:vAlign w:val="top"/>
          </w:tcPr>
          <w:p>
            <w:pPr>
              <w:pStyle w:val="TableText"/>
              <w:ind w:left="78"/>
              <w:spacing w:before="48" w:line="220" w:lineRule="auto"/>
              <w:rPr>
                <w:sz w:val="16"/>
                <w:szCs w:val="16"/>
              </w:rPr>
            </w:pPr>
            <w:r>
              <w:rPr>
                <w:sz w:val="16"/>
                <w:szCs w:val="16"/>
                <w:spacing w:val="-1"/>
              </w:rPr>
              <w:t>食品加工制造业</w:t>
            </w:r>
          </w:p>
        </w:tc>
      </w:tr>
      <w:tr>
        <w:trPr>
          <w:trHeight w:val="529" w:hRule="atLeast"/>
        </w:trPr>
        <w:tc>
          <w:tcPr>
            <w:tcW w:w="634" w:type="dxa"/>
            <w:vAlign w:val="top"/>
          </w:tcPr>
          <w:p>
            <w:pPr>
              <w:pStyle w:val="TableText"/>
              <w:ind w:left="265"/>
              <w:spacing w:before="230" w:line="182" w:lineRule="auto"/>
              <w:rPr>
                <w:sz w:val="16"/>
                <w:szCs w:val="16"/>
              </w:rPr>
            </w:pPr>
            <w:r>
              <w:rPr>
                <w:sz w:val="16"/>
                <w:szCs w:val="16"/>
              </w:rPr>
              <w:t>7</w:t>
            </w:r>
          </w:p>
        </w:tc>
        <w:tc>
          <w:tcPr>
            <w:tcW w:w="649" w:type="dxa"/>
            <w:vAlign w:val="top"/>
          </w:tcPr>
          <w:p>
            <w:pPr>
              <w:pStyle w:val="TableText"/>
              <w:ind w:left="271"/>
              <w:spacing w:before="229" w:line="183" w:lineRule="auto"/>
              <w:rPr>
                <w:sz w:val="16"/>
                <w:szCs w:val="16"/>
              </w:rPr>
            </w:pPr>
            <w:r>
              <w:rPr>
                <w:sz w:val="16"/>
                <w:szCs w:val="16"/>
              </w:rPr>
              <w:t>4</w:t>
            </w:r>
          </w:p>
        </w:tc>
        <w:tc>
          <w:tcPr>
            <w:tcW w:w="978" w:type="dxa"/>
            <w:vAlign w:val="top"/>
          </w:tcPr>
          <w:p>
            <w:pPr>
              <w:pStyle w:val="TableText"/>
              <w:ind w:left="81" w:right="92" w:firstLine="40"/>
              <w:spacing w:before="58"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39" w:line="220" w:lineRule="auto"/>
              <w:rPr>
                <w:sz w:val="16"/>
                <w:szCs w:val="16"/>
              </w:rPr>
            </w:pPr>
            <w:r>
              <w:rPr>
                <w:sz w:val="16"/>
                <w:szCs w:val="16"/>
                <w:spacing w:val="5"/>
              </w:rPr>
              <w:t>消费品</w:t>
            </w:r>
          </w:p>
        </w:tc>
        <w:tc>
          <w:tcPr>
            <w:tcW w:w="1453" w:type="dxa"/>
            <w:vAlign w:val="top"/>
          </w:tcPr>
          <w:p>
            <w:pPr>
              <w:pStyle w:val="TableText"/>
              <w:ind w:left="78"/>
              <w:spacing w:before="48" w:line="219" w:lineRule="auto"/>
              <w:rPr>
                <w:sz w:val="16"/>
                <w:szCs w:val="16"/>
              </w:rPr>
            </w:pPr>
            <w:r>
              <w:rPr>
                <w:sz w:val="16"/>
                <w:szCs w:val="16"/>
                <w:spacing w:val="-1"/>
              </w:rPr>
              <w:t>烟草加工制造业</w:t>
            </w:r>
          </w:p>
        </w:tc>
      </w:tr>
      <w:tr>
        <w:trPr>
          <w:trHeight w:val="530" w:hRule="atLeast"/>
        </w:trPr>
        <w:tc>
          <w:tcPr>
            <w:tcW w:w="634" w:type="dxa"/>
            <w:vAlign w:val="top"/>
          </w:tcPr>
          <w:p>
            <w:pPr>
              <w:pStyle w:val="TableText"/>
              <w:ind w:left="265"/>
              <w:spacing w:before="230" w:line="183" w:lineRule="auto"/>
              <w:rPr>
                <w:sz w:val="16"/>
                <w:szCs w:val="16"/>
              </w:rPr>
            </w:pPr>
            <w:r>
              <w:rPr>
                <w:sz w:val="16"/>
                <w:szCs w:val="16"/>
              </w:rPr>
              <w:t>8</w:t>
            </w:r>
          </w:p>
        </w:tc>
        <w:tc>
          <w:tcPr>
            <w:tcW w:w="649" w:type="dxa"/>
            <w:vAlign w:val="top"/>
          </w:tcPr>
          <w:p>
            <w:pPr>
              <w:pStyle w:val="TableText"/>
              <w:ind w:left="271"/>
              <w:spacing w:before="230" w:line="183" w:lineRule="auto"/>
              <w:rPr>
                <w:sz w:val="16"/>
                <w:szCs w:val="16"/>
              </w:rPr>
            </w:pPr>
            <w:r>
              <w:rPr>
                <w:sz w:val="16"/>
                <w:szCs w:val="16"/>
              </w:rPr>
              <w:t>4</w:t>
            </w:r>
          </w:p>
        </w:tc>
        <w:tc>
          <w:tcPr>
            <w:tcW w:w="978" w:type="dxa"/>
            <w:vAlign w:val="top"/>
          </w:tcPr>
          <w:p>
            <w:pPr>
              <w:pStyle w:val="TableText"/>
              <w:ind w:left="81" w:right="92" w:firstLine="40"/>
              <w:spacing w:before="68" w:line="237"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49" w:line="259" w:lineRule="exact"/>
              <w:rPr>
                <w:sz w:val="16"/>
                <w:szCs w:val="16"/>
              </w:rPr>
            </w:pPr>
            <w:r>
              <w:rPr>
                <w:sz w:val="16"/>
                <w:szCs w:val="16"/>
                <w:spacing w:val="-2"/>
                <w:position w:val="7"/>
              </w:rPr>
              <w:t>轻制造业</w:t>
            </w:r>
          </w:p>
          <w:p>
            <w:pPr>
              <w:pStyle w:val="TableText"/>
              <w:ind w:left="85"/>
              <w:spacing w:line="218" w:lineRule="auto"/>
              <w:rPr>
                <w:sz w:val="16"/>
                <w:szCs w:val="16"/>
              </w:rPr>
            </w:pPr>
            <w:r>
              <w:rPr>
                <w:sz w:val="16"/>
                <w:szCs w:val="16"/>
                <w:spacing w:val="-2"/>
              </w:rPr>
              <w:t>材料</w:t>
            </w:r>
          </w:p>
        </w:tc>
        <w:tc>
          <w:tcPr>
            <w:tcW w:w="1453" w:type="dxa"/>
            <w:vAlign w:val="top"/>
          </w:tcPr>
          <w:p>
            <w:pPr>
              <w:pStyle w:val="TableText"/>
              <w:ind w:left="78"/>
              <w:spacing w:before="50" w:line="220" w:lineRule="auto"/>
              <w:rPr>
                <w:sz w:val="16"/>
                <w:szCs w:val="16"/>
              </w:rPr>
            </w:pPr>
            <w:r>
              <w:rPr>
                <w:sz w:val="16"/>
                <w:szCs w:val="16"/>
                <w:spacing w:val="-3"/>
              </w:rPr>
              <w:t>纺织业</w:t>
            </w:r>
          </w:p>
        </w:tc>
      </w:tr>
      <w:tr>
        <w:trPr>
          <w:trHeight w:val="529" w:hRule="atLeast"/>
        </w:trPr>
        <w:tc>
          <w:tcPr>
            <w:tcW w:w="634" w:type="dxa"/>
            <w:vAlign w:val="top"/>
          </w:tcPr>
          <w:p>
            <w:pPr>
              <w:pStyle w:val="TableText"/>
              <w:ind w:left="265"/>
              <w:spacing w:before="230" w:line="183" w:lineRule="auto"/>
              <w:rPr>
                <w:sz w:val="16"/>
                <w:szCs w:val="16"/>
              </w:rPr>
            </w:pPr>
            <w:r>
              <w:rPr>
                <w:sz w:val="16"/>
                <w:szCs w:val="16"/>
              </w:rPr>
              <w:t>9</w:t>
            </w:r>
          </w:p>
        </w:tc>
        <w:tc>
          <w:tcPr>
            <w:tcW w:w="649" w:type="dxa"/>
            <w:vAlign w:val="top"/>
          </w:tcPr>
          <w:p>
            <w:pPr>
              <w:pStyle w:val="TableText"/>
              <w:ind w:left="271"/>
              <w:spacing w:before="230" w:line="183" w:lineRule="auto"/>
              <w:rPr>
                <w:sz w:val="16"/>
                <w:szCs w:val="16"/>
              </w:rPr>
            </w:pPr>
            <w:r>
              <w:rPr>
                <w:sz w:val="16"/>
                <w:szCs w:val="16"/>
              </w:rPr>
              <w:t>4</w:t>
            </w:r>
          </w:p>
        </w:tc>
        <w:tc>
          <w:tcPr>
            <w:tcW w:w="978" w:type="dxa"/>
            <w:vAlign w:val="top"/>
          </w:tcPr>
          <w:p>
            <w:pPr>
              <w:pStyle w:val="TableText"/>
              <w:ind w:left="81" w:right="92" w:firstLine="40"/>
              <w:spacing w:before="69"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40" w:line="220" w:lineRule="auto"/>
              <w:rPr>
                <w:sz w:val="16"/>
                <w:szCs w:val="16"/>
              </w:rPr>
            </w:pPr>
            <w:r>
              <w:rPr>
                <w:sz w:val="16"/>
                <w:szCs w:val="16"/>
                <w:spacing w:val="5"/>
              </w:rPr>
              <w:t>消费品</w:t>
            </w:r>
          </w:p>
        </w:tc>
        <w:tc>
          <w:tcPr>
            <w:tcW w:w="1453" w:type="dxa"/>
            <w:vAlign w:val="top"/>
          </w:tcPr>
          <w:p>
            <w:pPr>
              <w:pStyle w:val="TableText"/>
              <w:ind w:left="78" w:right="68"/>
              <w:spacing w:before="60" w:line="248" w:lineRule="auto"/>
              <w:rPr>
                <w:sz w:val="16"/>
                <w:szCs w:val="16"/>
              </w:rPr>
            </w:pPr>
            <w:r>
              <w:rPr>
                <w:sz w:val="16"/>
                <w:szCs w:val="16"/>
                <w:spacing w:val="2"/>
              </w:rPr>
              <w:t>服装及其他纺织品</w:t>
            </w:r>
            <w:r>
              <w:rPr>
                <w:sz w:val="16"/>
                <w:szCs w:val="16"/>
              </w:rPr>
              <w:t xml:space="preserve"> </w:t>
            </w:r>
            <w:r>
              <w:rPr>
                <w:sz w:val="16"/>
                <w:szCs w:val="16"/>
                <w:spacing w:val="-1"/>
              </w:rPr>
              <w:t>加工制造业</w:t>
            </w:r>
          </w:p>
        </w:tc>
      </w:tr>
      <w:tr>
        <w:trPr>
          <w:trHeight w:val="530" w:hRule="atLeast"/>
        </w:trPr>
        <w:tc>
          <w:tcPr>
            <w:tcW w:w="634" w:type="dxa"/>
            <w:vAlign w:val="top"/>
          </w:tcPr>
          <w:p>
            <w:pPr>
              <w:pStyle w:val="TableText"/>
              <w:ind w:left="225"/>
              <w:spacing w:before="231" w:line="184" w:lineRule="auto"/>
              <w:rPr>
                <w:sz w:val="16"/>
                <w:szCs w:val="16"/>
              </w:rPr>
            </w:pPr>
            <w:r>
              <w:rPr>
                <w:sz w:val="16"/>
                <w:szCs w:val="16"/>
                <w:spacing w:val="-5"/>
              </w:rPr>
              <w:t>10</w:t>
            </w:r>
          </w:p>
        </w:tc>
        <w:tc>
          <w:tcPr>
            <w:tcW w:w="649" w:type="dxa"/>
            <w:vAlign w:val="top"/>
          </w:tcPr>
          <w:p>
            <w:pPr>
              <w:pStyle w:val="TableText"/>
              <w:ind w:left="271"/>
              <w:spacing w:before="231" w:line="183" w:lineRule="auto"/>
              <w:rPr>
                <w:sz w:val="16"/>
                <w:szCs w:val="16"/>
              </w:rPr>
            </w:pPr>
            <w:r>
              <w:rPr>
                <w:sz w:val="16"/>
                <w:szCs w:val="16"/>
              </w:rPr>
              <w:t>4</w:t>
            </w:r>
          </w:p>
        </w:tc>
        <w:tc>
          <w:tcPr>
            <w:tcW w:w="978" w:type="dxa"/>
            <w:vAlign w:val="top"/>
          </w:tcPr>
          <w:p>
            <w:pPr>
              <w:pStyle w:val="TableText"/>
              <w:ind w:left="81" w:right="92" w:firstLine="40"/>
              <w:spacing w:before="29" w:line="260"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51" w:line="220" w:lineRule="auto"/>
              <w:rPr>
                <w:sz w:val="16"/>
                <w:szCs w:val="16"/>
              </w:rPr>
            </w:pPr>
            <w:r>
              <w:rPr>
                <w:sz w:val="16"/>
                <w:szCs w:val="16"/>
                <w:spacing w:val="5"/>
              </w:rPr>
              <w:t>消费品</w:t>
            </w:r>
          </w:p>
        </w:tc>
        <w:tc>
          <w:tcPr>
            <w:tcW w:w="1453" w:type="dxa"/>
            <w:vAlign w:val="top"/>
          </w:tcPr>
          <w:p>
            <w:pPr>
              <w:pStyle w:val="TableText"/>
              <w:ind w:left="78" w:right="72"/>
              <w:spacing w:before="60" w:line="249" w:lineRule="auto"/>
              <w:rPr>
                <w:sz w:val="16"/>
                <w:szCs w:val="16"/>
              </w:rPr>
            </w:pPr>
            <w:r>
              <w:rPr>
                <w:sz w:val="16"/>
                <w:szCs w:val="16"/>
                <w:spacing w:val="1"/>
              </w:rPr>
              <w:t>皮革及皮革制品加</w:t>
            </w:r>
            <w:r>
              <w:rPr>
                <w:sz w:val="16"/>
                <w:szCs w:val="16"/>
                <w:spacing w:val="3"/>
              </w:rPr>
              <w:t xml:space="preserve"> </w:t>
            </w:r>
            <w:r>
              <w:rPr>
                <w:sz w:val="16"/>
                <w:szCs w:val="16"/>
                <w:spacing w:val="-2"/>
              </w:rPr>
              <w:t>工制造业</w:t>
            </w:r>
          </w:p>
        </w:tc>
      </w:tr>
      <w:tr>
        <w:trPr>
          <w:trHeight w:val="529" w:hRule="atLeast"/>
        </w:trPr>
        <w:tc>
          <w:tcPr>
            <w:tcW w:w="634" w:type="dxa"/>
            <w:vAlign w:val="top"/>
          </w:tcPr>
          <w:p>
            <w:pPr>
              <w:pStyle w:val="TableText"/>
              <w:ind w:left="225"/>
              <w:spacing w:before="230" w:line="184" w:lineRule="auto"/>
              <w:rPr>
                <w:sz w:val="16"/>
                <w:szCs w:val="16"/>
              </w:rPr>
            </w:pPr>
            <w:r>
              <w:rPr>
                <w:sz w:val="16"/>
                <w:szCs w:val="16"/>
                <w:spacing w:val="-5"/>
              </w:rPr>
              <w:t>11</w:t>
            </w:r>
          </w:p>
        </w:tc>
        <w:tc>
          <w:tcPr>
            <w:tcW w:w="649" w:type="dxa"/>
            <w:vAlign w:val="top"/>
          </w:tcPr>
          <w:p>
            <w:pPr>
              <w:pStyle w:val="TableText"/>
              <w:ind w:left="271"/>
              <w:spacing w:before="231" w:line="183" w:lineRule="auto"/>
              <w:rPr>
                <w:sz w:val="16"/>
                <w:szCs w:val="16"/>
              </w:rPr>
            </w:pPr>
            <w:r>
              <w:rPr>
                <w:sz w:val="16"/>
                <w:szCs w:val="16"/>
              </w:rPr>
              <w:t>4</w:t>
            </w:r>
          </w:p>
        </w:tc>
        <w:tc>
          <w:tcPr>
            <w:tcW w:w="978" w:type="dxa"/>
            <w:vAlign w:val="top"/>
          </w:tcPr>
          <w:p>
            <w:pPr>
              <w:pStyle w:val="TableText"/>
              <w:ind w:left="81" w:right="92" w:firstLine="40"/>
              <w:spacing w:before="60"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50" w:line="259" w:lineRule="exact"/>
              <w:rPr>
                <w:sz w:val="16"/>
                <w:szCs w:val="16"/>
              </w:rPr>
            </w:pPr>
            <w:r>
              <w:rPr>
                <w:sz w:val="16"/>
                <w:szCs w:val="16"/>
                <w:spacing w:val="-2"/>
                <w:position w:val="7"/>
              </w:rPr>
              <w:t>轻制造业</w:t>
            </w:r>
          </w:p>
          <w:p>
            <w:pPr>
              <w:pStyle w:val="TableText"/>
              <w:ind w:left="85"/>
              <w:spacing w:line="218" w:lineRule="auto"/>
              <w:rPr>
                <w:sz w:val="16"/>
                <w:szCs w:val="16"/>
              </w:rPr>
            </w:pPr>
            <w:r>
              <w:rPr>
                <w:sz w:val="16"/>
                <w:szCs w:val="16"/>
                <w:spacing w:val="-2"/>
              </w:rPr>
              <w:t>材料</w:t>
            </w:r>
          </w:p>
        </w:tc>
        <w:tc>
          <w:tcPr>
            <w:tcW w:w="1453" w:type="dxa"/>
            <w:vAlign w:val="top"/>
          </w:tcPr>
          <w:p>
            <w:pPr>
              <w:pStyle w:val="TableText"/>
              <w:ind w:left="78" w:firstLine="9"/>
              <w:spacing w:before="70" w:line="243" w:lineRule="auto"/>
              <w:rPr>
                <w:sz w:val="16"/>
                <w:szCs w:val="16"/>
              </w:rPr>
            </w:pPr>
            <w:r>
              <w:rPr>
                <w:sz w:val="16"/>
                <w:szCs w:val="16"/>
                <w:spacing w:val="9"/>
              </w:rPr>
              <w:t>木材加工、家具、</w:t>
            </w:r>
            <w:r>
              <w:rPr>
                <w:sz w:val="16"/>
                <w:szCs w:val="16"/>
                <w:spacing w:val="2"/>
              </w:rPr>
              <w:t xml:space="preserve"> </w:t>
            </w:r>
            <w:r>
              <w:rPr>
                <w:sz w:val="16"/>
                <w:szCs w:val="16"/>
                <w:spacing w:val="-2"/>
              </w:rPr>
              <w:t>木结构制造业</w:t>
            </w:r>
          </w:p>
        </w:tc>
      </w:tr>
      <w:tr>
        <w:trPr>
          <w:trHeight w:val="530" w:hRule="atLeast"/>
        </w:trPr>
        <w:tc>
          <w:tcPr>
            <w:tcW w:w="634" w:type="dxa"/>
            <w:vAlign w:val="top"/>
          </w:tcPr>
          <w:p>
            <w:pPr>
              <w:pStyle w:val="TableText"/>
              <w:ind w:left="225"/>
              <w:spacing w:before="231" w:line="184" w:lineRule="auto"/>
              <w:rPr>
                <w:sz w:val="16"/>
                <w:szCs w:val="16"/>
              </w:rPr>
            </w:pPr>
            <w:r>
              <w:rPr>
                <w:sz w:val="16"/>
                <w:szCs w:val="16"/>
                <w:spacing w:val="-5"/>
              </w:rPr>
              <w:t>13</w:t>
            </w:r>
          </w:p>
        </w:tc>
        <w:tc>
          <w:tcPr>
            <w:tcW w:w="649" w:type="dxa"/>
            <w:vAlign w:val="top"/>
          </w:tcPr>
          <w:p>
            <w:pPr>
              <w:pStyle w:val="TableText"/>
              <w:ind w:left="271"/>
              <w:spacing w:before="232" w:line="183" w:lineRule="auto"/>
              <w:rPr>
                <w:sz w:val="16"/>
                <w:szCs w:val="16"/>
              </w:rPr>
            </w:pPr>
            <w:r>
              <w:rPr>
                <w:sz w:val="16"/>
                <w:szCs w:val="16"/>
              </w:rPr>
              <w:t>4</w:t>
            </w:r>
          </w:p>
        </w:tc>
        <w:tc>
          <w:tcPr>
            <w:tcW w:w="978" w:type="dxa"/>
            <w:vAlign w:val="top"/>
          </w:tcPr>
          <w:p>
            <w:pPr>
              <w:pStyle w:val="TableText"/>
              <w:ind w:left="81" w:right="92" w:firstLine="40"/>
              <w:spacing w:before="50" w:line="260"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62" w:line="221" w:lineRule="auto"/>
              <w:rPr>
                <w:sz w:val="16"/>
                <w:szCs w:val="16"/>
              </w:rPr>
            </w:pPr>
            <w:r>
              <w:rPr>
                <w:sz w:val="16"/>
                <w:szCs w:val="16"/>
                <w:spacing w:val="-4"/>
              </w:rPr>
              <w:t>能源</w:t>
            </w:r>
          </w:p>
        </w:tc>
        <w:tc>
          <w:tcPr>
            <w:tcW w:w="1453" w:type="dxa"/>
            <w:vAlign w:val="top"/>
          </w:tcPr>
          <w:p>
            <w:pPr>
              <w:pStyle w:val="TableText"/>
              <w:ind w:left="78"/>
              <w:spacing w:before="52" w:line="220" w:lineRule="auto"/>
              <w:rPr>
                <w:sz w:val="16"/>
                <w:szCs w:val="16"/>
              </w:rPr>
            </w:pPr>
            <w:r>
              <w:rPr>
                <w:sz w:val="16"/>
                <w:szCs w:val="16"/>
                <w:spacing w:val="-1"/>
              </w:rPr>
              <w:t>炼油及煤制品业</w:t>
            </w:r>
          </w:p>
        </w:tc>
      </w:tr>
      <w:tr>
        <w:trPr>
          <w:trHeight w:val="529" w:hRule="atLeast"/>
        </w:trPr>
        <w:tc>
          <w:tcPr>
            <w:tcW w:w="634" w:type="dxa"/>
            <w:vAlign w:val="top"/>
          </w:tcPr>
          <w:p>
            <w:pPr>
              <w:pStyle w:val="TableText"/>
              <w:ind w:left="225"/>
              <w:spacing w:before="231" w:line="184" w:lineRule="auto"/>
              <w:rPr>
                <w:sz w:val="16"/>
                <w:szCs w:val="16"/>
              </w:rPr>
            </w:pPr>
            <w:r>
              <w:rPr>
                <w:sz w:val="16"/>
                <w:szCs w:val="16"/>
                <w:spacing w:val="-5"/>
              </w:rPr>
              <w:t>15</w:t>
            </w:r>
          </w:p>
        </w:tc>
        <w:tc>
          <w:tcPr>
            <w:tcW w:w="649" w:type="dxa"/>
            <w:vAlign w:val="top"/>
          </w:tcPr>
          <w:p>
            <w:pPr>
              <w:pStyle w:val="TableText"/>
              <w:ind w:left="271"/>
              <w:spacing w:before="232" w:line="183" w:lineRule="auto"/>
              <w:rPr>
                <w:sz w:val="16"/>
                <w:szCs w:val="16"/>
              </w:rPr>
            </w:pPr>
            <w:r>
              <w:rPr>
                <w:sz w:val="16"/>
                <w:szCs w:val="16"/>
              </w:rPr>
              <w:t>4</w:t>
            </w:r>
          </w:p>
        </w:tc>
        <w:tc>
          <w:tcPr>
            <w:tcW w:w="978" w:type="dxa"/>
            <w:vAlign w:val="top"/>
          </w:tcPr>
          <w:p>
            <w:pPr>
              <w:pStyle w:val="TableText"/>
              <w:ind w:left="81" w:right="92" w:firstLine="40"/>
              <w:spacing w:before="61"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61" w:line="239" w:lineRule="exact"/>
              <w:rPr>
                <w:sz w:val="16"/>
                <w:szCs w:val="16"/>
              </w:rPr>
            </w:pPr>
            <w:r>
              <w:rPr>
                <w:sz w:val="16"/>
                <w:szCs w:val="16"/>
                <w:spacing w:val="-2"/>
                <w:position w:val="5"/>
              </w:rPr>
              <w:t>轻制造业</w:t>
            </w:r>
          </w:p>
          <w:p>
            <w:pPr>
              <w:pStyle w:val="TableText"/>
              <w:ind w:left="85"/>
              <w:spacing w:line="218" w:lineRule="auto"/>
              <w:rPr>
                <w:sz w:val="16"/>
                <w:szCs w:val="16"/>
              </w:rPr>
            </w:pPr>
            <w:r>
              <w:rPr>
                <w:sz w:val="16"/>
                <w:szCs w:val="16"/>
                <w:spacing w:val="-2"/>
              </w:rPr>
              <w:t>材料</w:t>
            </w:r>
          </w:p>
        </w:tc>
        <w:tc>
          <w:tcPr>
            <w:tcW w:w="1453" w:type="dxa"/>
            <w:vAlign w:val="top"/>
          </w:tcPr>
          <w:p>
            <w:pPr>
              <w:pStyle w:val="TableText"/>
              <w:ind w:left="78" w:right="90"/>
              <w:spacing w:before="60" w:line="255" w:lineRule="auto"/>
              <w:rPr>
                <w:sz w:val="16"/>
                <w:szCs w:val="16"/>
              </w:rPr>
            </w:pPr>
            <w:r>
              <w:rPr>
                <w:sz w:val="16"/>
                <w:szCs w:val="16"/>
                <w:spacing w:val="-1"/>
              </w:rPr>
              <w:t>橡胶、塑料制品制</w:t>
            </w:r>
            <w:r>
              <w:rPr>
                <w:sz w:val="16"/>
                <w:szCs w:val="16"/>
                <w:spacing w:val="1"/>
              </w:rPr>
              <w:t xml:space="preserve"> </w:t>
            </w:r>
            <w:r>
              <w:rPr>
                <w:sz w:val="16"/>
                <w:szCs w:val="16"/>
                <w:spacing w:val="-2"/>
              </w:rPr>
              <w:t>造业</w:t>
            </w:r>
          </w:p>
        </w:tc>
      </w:tr>
      <w:tr>
        <w:trPr>
          <w:trHeight w:val="520" w:hRule="atLeast"/>
        </w:trPr>
        <w:tc>
          <w:tcPr>
            <w:tcW w:w="634" w:type="dxa"/>
            <w:vAlign w:val="top"/>
          </w:tcPr>
          <w:p>
            <w:pPr>
              <w:pStyle w:val="TableText"/>
              <w:ind w:left="225"/>
              <w:spacing w:before="222" w:line="184" w:lineRule="auto"/>
              <w:rPr>
                <w:sz w:val="16"/>
                <w:szCs w:val="16"/>
              </w:rPr>
            </w:pPr>
            <w:r>
              <w:rPr>
                <w:sz w:val="16"/>
                <w:szCs w:val="16"/>
                <w:spacing w:val="-5"/>
              </w:rPr>
              <w:t>16</w:t>
            </w:r>
          </w:p>
        </w:tc>
        <w:tc>
          <w:tcPr>
            <w:tcW w:w="649" w:type="dxa"/>
            <w:vAlign w:val="top"/>
          </w:tcPr>
          <w:p>
            <w:pPr>
              <w:pStyle w:val="TableText"/>
              <w:ind w:left="271"/>
              <w:spacing w:before="223" w:line="183" w:lineRule="auto"/>
              <w:rPr>
                <w:sz w:val="16"/>
                <w:szCs w:val="16"/>
              </w:rPr>
            </w:pPr>
            <w:r>
              <w:rPr>
                <w:sz w:val="16"/>
                <w:szCs w:val="16"/>
              </w:rPr>
              <w:t>4</w:t>
            </w:r>
          </w:p>
        </w:tc>
        <w:tc>
          <w:tcPr>
            <w:tcW w:w="978" w:type="dxa"/>
            <w:vAlign w:val="top"/>
          </w:tcPr>
          <w:p>
            <w:pPr>
              <w:pStyle w:val="TableText"/>
              <w:ind w:left="81" w:right="92" w:firstLine="40"/>
              <w:spacing w:before="62"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63" w:line="228" w:lineRule="exact"/>
              <w:rPr>
                <w:sz w:val="16"/>
                <w:szCs w:val="16"/>
              </w:rPr>
            </w:pPr>
            <w:r>
              <w:rPr>
                <w:sz w:val="16"/>
                <w:szCs w:val="16"/>
                <w:spacing w:val="-2"/>
                <w:position w:val="5"/>
              </w:rPr>
              <w:t>重制造业</w:t>
            </w:r>
          </w:p>
          <w:p>
            <w:pPr>
              <w:pStyle w:val="TableText"/>
              <w:ind w:left="85"/>
              <w:spacing w:line="218" w:lineRule="auto"/>
              <w:rPr>
                <w:sz w:val="16"/>
                <w:szCs w:val="16"/>
              </w:rPr>
            </w:pPr>
            <w:r>
              <w:rPr>
                <w:sz w:val="16"/>
                <w:szCs w:val="16"/>
                <w:spacing w:val="-2"/>
              </w:rPr>
              <w:t>材料</w:t>
            </w:r>
          </w:p>
        </w:tc>
        <w:tc>
          <w:tcPr>
            <w:tcW w:w="1453" w:type="dxa"/>
            <w:vAlign w:val="top"/>
          </w:tcPr>
          <w:p>
            <w:pPr>
              <w:pStyle w:val="TableText"/>
              <w:ind w:left="78"/>
              <w:spacing w:before="61" w:line="219" w:lineRule="auto"/>
              <w:rPr>
                <w:sz w:val="16"/>
                <w:szCs w:val="16"/>
              </w:rPr>
            </w:pPr>
            <w:r>
              <w:rPr>
                <w:sz w:val="16"/>
                <w:szCs w:val="16"/>
                <w:spacing w:val="-2"/>
              </w:rPr>
              <w:t>建筑材料业</w:t>
            </w:r>
          </w:p>
        </w:tc>
      </w:tr>
      <w:tr>
        <w:trPr>
          <w:trHeight w:val="529" w:hRule="atLeast"/>
        </w:trPr>
        <w:tc>
          <w:tcPr>
            <w:tcW w:w="634" w:type="dxa"/>
            <w:vAlign w:val="top"/>
          </w:tcPr>
          <w:p>
            <w:pPr>
              <w:pStyle w:val="TableText"/>
              <w:ind w:left="225"/>
              <w:spacing w:before="232" w:line="184" w:lineRule="auto"/>
              <w:rPr>
                <w:sz w:val="16"/>
                <w:szCs w:val="16"/>
              </w:rPr>
            </w:pPr>
            <w:r>
              <w:rPr>
                <w:sz w:val="16"/>
                <w:szCs w:val="16"/>
                <w:spacing w:val="-5"/>
              </w:rPr>
              <w:t>18</w:t>
            </w:r>
          </w:p>
        </w:tc>
        <w:tc>
          <w:tcPr>
            <w:tcW w:w="649" w:type="dxa"/>
            <w:vAlign w:val="top"/>
          </w:tcPr>
          <w:p>
            <w:pPr>
              <w:pStyle w:val="TableText"/>
              <w:ind w:left="271"/>
              <w:spacing w:before="233" w:line="183" w:lineRule="auto"/>
              <w:rPr>
                <w:sz w:val="16"/>
                <w:szCs w:val="16"/>
              </w:rPr>
            </w:pPr>
            <w:r>
              <w:rPr>
                <w:sz w:val="16"/>
                <w:szCs w:val="16"/>
              </w:rPr>
              <w:t>4</w:t>
            </w:r>
          </w:p>
        </w:tc>
        <w:tc>
          <w:tcPr>
            <w:tcW w:w="978" w:type="dxa"/>
            <w:vAlign w:val="top"/>
          </w:tcPr>
          <w:p>
            <w:pPr>
              <w:pStyle w:val="TableText"/>
              <w:ind w:left="81" w:right="92" w:firstLine="40"/>
              <w:spacing w:before="51" w:line="260"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53" w:line="220" w:lineRule="auto"/>
              <w:rPr>
                <w:sz w:val="16"/>
                <w:szCs w:val="16"/>
              </w:rPr>
            </w:pPr>
            <w:r>
              <w:rPr>
                <w:sz w:val="16"/>
                <w:szCs w:val="16"/>
                <w:spacing w:val="3"/>
              </w:rPr>
              <w:t>投资品I</w:t>
            </w:r>
          </w:p>
        </w:tc>
        <w:tc>
          <w:tcPr>
            <w:tcW w:w="1453" w:type="dxa"/>
            <w:vAlign w:val="top"/>
          </w:tcPr>
          <w:p>
            <w:pPr>
              <w:pStyle w:val="TableText"/>
              <w:ind w:left="78" w:right="152" w:firstLine="19"/>
              <w:spacing w:before="51" w:line="257" w:lineRule="auto"/>
              <w:rPr>
                <w:sz w:val="16"/>
                <w:szCs w:val="16"/>
              </w:rPr>
            </w:pPr>
            <w:r>
              <w:rPr>
                <w:sz w:val="16"/>
                <w:szCs w:val="16"/>
                <w:spacing w:val="-1"/>
              </w:rPr>
              <w:t>金属制品业(排除</w:t>
            </w:r>
            <w:r>
              <w:rPr>
                <w:sz w:val="16"/>
                <w:szCs w:val="16"/>
              </w:rPr>
              <w:t xml:space="preserve"> </w:t>
            </w:r>
            <w:r>
              <w:rPr>
                <w:sz w:val="16"/>
                <w:szCs w:val="16"/>
                <w:spacing w:val="11"/>
              </w:rPr>
              <w:t>压延)</w:t>
            </w:r>
          </w:p>
        </w:tc>
      </w:tr>
      <w:tr>
        <w:trPr>
          <w:trHeight w:val="529" w:hRule="atLeast"/>
        </w:trPr>
        <w:tc>
          <w:tcPr>
            <w:tcW w:w="634" w:type="dxa"/>
            <w:vAlign w:val="top"/>
          </w:tcPr>
          <w:p>
            <w:pPr>
              <w:pStyle w:val="TableText"/>
              <w:ind w:left="225"/>
              <w:spacing w:before="234" w:line="183" w:lineRule="auto"/>
              <w:rPr>
                <w:sz w:val="16"/>
                <w:szCs w:val="16"/>
              </w:rPr>
            </w:pPr>
            <w:r>
              <w:rPr>
                <w:sz w:val="16"/>
                <w:szCs w:val="16"/>
                <w:spacing w:val="-3"/>
              </w:rPr>
              <w:t>25</w:t>
            </w:r>
          </w:p>
        </w:tc>
        <w:tc>
          <w:tcPr>
            <w:tcW w:w="649" w:type="dxa"/>
            <w:vAlign w:val="top"/>
          </w:tcPr>
          <w:p>
            <w:pPr>
              <w:pStyle w:val="TableText"/>
              <w:ind w:left="271"/>
              <w:spacing w:before="234" w:line="183" w:lineRule="auto"/>
              <w:rPr>
                <w:sz w:val="16"/>
                <w:szCs w:val="16"/>
              </w:rPr>
            </w:pPr>
            <w:r>
              <w:rPr>
                <w:sz w:val="16"/>
                <w:szCs w:val="16"/>
              </w:rPr>
              <w:t>4</w:t>
            </w:r>
          </w:p>
        </w:tc>
        <w:tc>
          <w:tcPr>
            <w:tcW w:w="978" w:type="dxa"/>
            <w:vAlign w:val="top"/>
          </w:tcPr>
          <w:p>
            <w:pPr>
              <w:pStyle w:val="TableText"/>
              <w:ind w:left="81" w:right="92" w:firstLine="40"/>
              <w:spacing w:before="53"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使用制造业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spacing w:before="54" w:line="221" w:lineRule="auto"/>
              <w:rPr>
                <w:sz w:val="16"/>
                <w:szCs w:val="16"/>
              </w:rPr>
            </w:pPr>
            <w:r>
              <w:rPr>
                <w:sz w:val="16"/>
                <w:szCs w:val="16"/>
                <w:spacing w:val="-4"/>
              </w:rPr>
              <w:t>能源</w:t>
            </w:r>
          </w:p>
        </w:tc>
        <w:tc>
          <w:tcPr>
            <w:tcW w:w="1453" w:type="dxa"/>
            <w:vAlign w:val="top"/>
          </w:tcPr>
          <w:p>
            <w:pPr>
              <w:pStyle w:val="TableText"/>
              <w:ind w:left="78" w:right="91" w:firstLine="9"/>
              <w:spacing w:before="53" w:line="248" w:lineRule="auto"/>
              <w:rPr>
                <w:sz w:val="16"/>
                <w:szCs w:val="16"/>
              </w:rPr>
            </w:pPr>
            <w:r>
              <w:rPr>
                <w:sz w:val="16"/>
                <w:szCs w:val="16"/>
                <w:spacing w:val="-2"/>
              </w:rPr>
              <w:t>公用业/电力、煤</w:t>
            </w:r>
            <w:r>
              <w:rPr>
                <w:sz w:val="16"/>
                <w:szCs w:val="16"/>
                <w:spacing w:val="1"/>
              </w:rPr>
              <w:t xml:space="preserve">  </w:t>
            </w:r>
            <w:r>
              <w:rPr>
                <w:sz w:val="16"/>
                <w:szCs w:val="16"/>
                <w:spacing w:val="-1"/>
              </w:rPr>
              <w:t>气、自来水、蒸汽</w:t>
            </w:r>
          </w:p>
        </w:tc>
      </w:tr>
      <w:tr>
        <w:trPr>
          <w:trHeight w:val="529" w:hRule="atLeast"/>
        </w:trPr>
        <w:tc>
          <w:tcPr>
            <w:tcW w:w="634" w:type="dxa"/>
            <w:vAlign w:val="top"/>
          </w:tcPr>
          <w:p>
            <w:pPr>
              <w:pStyle w:val="TableText"/>
              <w:ind w:left="225"/>
              <w:spacing w:before="235" w:line="183" w:lineRule="auto"/>
              <w:rPr>
                <w:sz w:val="16"/>
                <w:szCs w:val="16"/>
              </w:rPr>
            </w:pPr>
            <w:r>
              <w:rPr>
                <w:sz w:val="16"/>
                <w:szCs w:val="16"/>
                <w:spacing w:val="-3"/>
              </w:rPr>
              <w:t>28</w:t>
            </w:r>
          </w:p>
        </w:tc>
        <w:tc>
          <w:tcPr>
            <w:tcW w:w="649" w:type="dxa"/>
            <w:vAlign w:val="top"/>
          </w:tcPr>
          <w:p>
            <w:pPr>
              <w:pStyle w:val="TableText"/>
              <w:ind w:left="271"/>
              <w:spacing w:before="236" w:line="182" w:lineRule="auto"/>
              <w:rPr>
                <w:sz w:val="16"/>
                <w:szCs w:val="16"/>
              </w:rPr>
            </w:pPr>
            <w:r>
              <w:rPr>
                <w:sz w:val="16"/>
                <w:szCs w:val="16"/>
              </w:rPr>
              <w:t>5</w:t>
            </w:r>
          </w:p>
        </w:tc>
        <w:tc>
          <w:tcPr>
            <w:tcW w:w="978" w:type="dxa"/>
            <w:vAlign w:val="top"/>
          </w:tcPr>
          <w:p>
            <w:pPr>
              <w:pStyle w:val="TableText"/>
              <w:ind w:left="81" w:right="92" w:firstLine="40"/>
              <w:spacing w:before="64"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使用服务业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right="128" w:hanging="19"/>
              <w:spacing w:before="64" w:line="248" w:lineRule="auto"/>
              <w:rPr>
                <w:sz w:val="16"/>
                <w:szCs w:val="16"/>
              </w:rPr>
            </w:pPr>
            <w:r>
              <w:rPr>
                <w:sz w:val="16"/>
                <w:szCs w:val="16"/>
                <w:spacing w:val="-2"/>
              </w:rPr>
              <w:t>其他市场服</w:t>
            </w:r>
            <w:r>
              <w:rPr>
                <w:sz w:val="16"/>
                <w:szCs w:val="16"/>
                <w:spacing w:val="2"/>
              </w:rPr>
              <w:t xml:space="preserve"> </w:t>
            </w:r>
            <w:r>
              <w:rPr>
                <w:sz w:val="16"/>
                <w:szCs w:val="16"/>
                <w:spacing w:val="-2"/>
              </w:rPr>
              <w:t>务业</w:t>
            </w:r>
          </w:p>
        </w:tc>
        <w:tc>
          <w:tcPr>
            <w:tcW w:w="1453" w:type="dxa"/>
            <w:vAlign w:val="top"/>
          </w:tcPr>
          <w:p>
            <w:pPr>
              <w:pStyle w:val="TableText"/>
              <w:ind w:left="78"/>
              <w:spacing w:before="64" w:line="219" w:lineRule="auto"/>
              <w:rPr>
                <w:sz w:val="16"/>
                <w:szCs w:val="16"/>
              </w:rPr>
            </w:pPr>
            <w:r>
              <w:rPr>
                <w:sz w:val="16"/>
                <w:szCs w:val="16"/>
                <w:spacing w:val="-1"/>
              </w:rPr>
              <w:t>旅店、餐饮服务业</w:t>
            </w:r>
          </w:p>
        </w:tc>
      </w:tr>
      <w:tr>
        <w:trPr>
          <w:trHeight w:val="529" w:hRule="atLeast"/>
        </w:trPr>
        <w:tc>
          <w:tcPr>
            <w:tcW w:w="634" w:type="dxa"/>
            <w:vAlign w:val="top"/>
          </w:tcPr>
          <w:p>
            <w:pPr>
              <w:pStyle w:val="TableText"/>
              <w:ind w:left="225"/>
              <w:spacing w:before="236" w:line="183" w:lineRule="auto"/>
              <w:rPr>
                <w:sz w:val="16"/>
                <w:szCs w:val="16"/>
              </w:rPr>
            </w:pPr>
            <w:r>
              <w:rPr>
                <w:sz w:val="16"/>
                <w:szCs w:val="16"/>
                <w:spacing w:val="-3"/>
              </w:rPr>
              <w:t>32</w:t>
            </w:r>
          </w:p>
        </w:tc>
        <w:tc>
          <w:tcPr>
            <w:tcW w:w="649" w:type="dxa"/>
            <w:vAlign w:val="top"/>
          </w:tcPr>
          <w:p>
            <w:pPr>
              <w:pStyle w:val="TableText"/>
              <w:ind w:left="271"/>
              <w:spacing w:before="237" w:line="182" w:lineRule="auto"/>
              <w:rPr>
                <w:sz w:val="16"/>
                <w:szCs w:val="16"/>
              </w:rPr>
            </w:pPr>
            <w:r>
              <w:rPr>
                <w:sz w:val="16"/>
                <w:szCs w:val="16"/>
              </w:rPr>
              <w:t>5</w:t>
            </w:r>
          </w:p>
        </w:tc>
        <w:tc>
          <w:tcPr>
            <w:tcW w:w="978" w:type="dxa"/>
            <w:vAlign w:val="top"/>
          </w:tcPr>
          <w:p>
            <w:pPr>
              <w:pStyle w:val="TableText"/>
              <w:ind w:left="81" w:right="92" w:firstLine="40"/>
              <w:spacing w:before="65" w:line="248"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使用服务业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85" w:right="108"/>
              <w:spacing w:before="65" w:line="248" w:lineRule="auto"/>
              <w:rPr>
                <w:sz w:val="16"/>
                <w:szCs w:val="16"/>
              </w:rPr>
            </w:pPr>
            <w:r>
              <w:rPr>
                <w:sz w:val="16"/>
                <w:szCs w:val="16"/>
                <w:spacing w:val="-2"/>
              </w:rPr>
              <w:t>其他市场服</w:t>
            </w:r>
            <w:r>
              <w:rPr>
                <w:sz w:val="16"/>
                <w:szCs w:val="16"/>
                <w:spacing w:val="2"/>
              </w:rPr>
              <w:t xml:space="preserve"> </w:t>
            </w:r>
            <w:r>
              <w:rPr>
                <w:sz w:val="16"/>
                <w:szCs w:val="16"/>
                <w:spacing w:val="-2"/>
              </w:rPr>
              <w:t>务业</w:t>
            </w:r>
          </w:p>
        </w:tc>
        <w:tc>
          <w:tcPr>
            <w:tcW w:w="1453" w:type="dxa"/>
            <w:vAlign w:val="top"/>
          </w:tcPr>
          <w:p>
            <w:pPr>
              <w:pStyle w:val="TableText"/>
              <w:ind w:left="78"/>
              <w:spacing w:before="65" w:line="219" w:lineRule="auto"/>
              <w:rPr>
                <w:sz w:val="16"/>
                <w:szCs w:val="16"/>
              </w:rPr>
            </w:pPr>
            <w:r>
              <w:rPr>
                <w:sz w:val="16"/>
                <w:szCs w:val="16"/>
                <w:spacing w:val="-1"/>
              </w:rPr>
              <w:t>房地产服务业</w:t>
            </w:r>
          </w:p>
        </w:tc>
      </w:tr>
      <w:tr>
        <w:trPr>
          <w:trHeight w:val="529" w:hRule="atLeast"/>
        </w:trPr>
        <w:tc>
          <w:tcPr>
            <w:tcW w:w="634" w:type="dxa"/>
            <w:vAlign w:val="top"/>
          </w:tcPr>
          <w:p>
            <w:pPr>
              <w:pStyle w:val="TableText"/>
              <w:ind w:left="225"/>
              <w:spacing w:before="237" w:line="183" w:lineRule="auto"/>
              <w:rPr>
                <w:sz w:val="16"/>
                <w:szCs w:val="16"/>
              </w:rPr>
            </w:pPr>
            <w:r>
              <w:rPr>
                <w:sz w:val="16"/>
                <w:szCs w:val="16"/>
                <w:spacing w:val="-3"/>
              </w:rPr>
              <w:t>37</w:t>
            </w:r>
          </w:p>
        </w:tc>
        <w:tc>
          <w:tcPr>
            <w:tcW w:w="649" w:type="dxa"/>
            <w:vAlign w:val="top"/>
          </w:tcPr>
          <w:p>
            <w:pPr>
              <w:pStyle w:val="TableText"/>
              <w:ind w:left="271"/>
              <w:spacing w:before="238" w:line="182" w:lineRule="auto"/>
              <w:rPr>
                <w:sz w:val="16"/>
                <w:szCs w:val="16"/>
              </w:rPr>
            </w:pPr>
            <w:r>
              <w:rPr>
                <w:sz w:val="16"/>
                <w:szCs w:val="16"/>
              </w:rPr>
              <w:t>5</w:t>
            </w:r>
          </w:p>
        </w:tc>
        <w:tc>
          <w:tcPr>
            <w:tcW w:w="978" w:type="dxa"/>
            <w:vAlign w:val="top"/>
          </w:tcPr>
          <w:p>
            <w:pPr>
              <w:pStyle w:val="TableText"/>
              <w:ind w:left="81" w:right="92" w:firstLine="40"/>
              <w:spacing w:before="76" w:line="242" w:lineRule="auto"/>
              <w:rPr>
                <w:sz w:val="16"/>
                <w:szCs w:val="16"/>
              </w:rPr>
            </w:pPr>
            <w:r>
              <w:rPr>
                <w:sz w:val="16"/>
                <w:szCs w:val="16"/>
                <w:spacing w:val="4"/>
              </w:rPr>
              <w:t>非</w:t>
            </w:r>
            <w:r>
              <w:rPr>
                <w:sz w:val="16"/>
                <w:szCs w:val="16"/>
              </w:rPr>
              <w:t>ICT</w:t>
            </w:r>
            <w:r>
              <w:rPr>
                <w:sz w:val="16"/>
                <w:szCs w:val="16"/>
                <w:spacing w:val="4"/>
              </w:rPr>
              <w:t>集约</w:t>
            </w:r>
            <w:r>
              <w:rPr>
                <w:sz w:val="16"/>
                <w:szCs w:val="16"/>
                <w:spacing w:val="1"/>
              </w:rPr>
              <w:t xml:space="preserve"> </w:t>
            </w:r>
            <w:r>
              <w:rPr>
                <w:sz w:val="16"/>
                <w:szCs w:val="16"/>
                <w:spacing w:val="-2"/>
              </w:rPr>
              <w:t>使用服务业</w:t>
            </w:r>
          </w:p>
        </w:tc>
        <w:tc>
          <w:tcPr>
            <w:tcW w:w="1318" w:type="dxa"/>
            <w:vAlign w:val="top"/>
            <w:vMerge w:val="continue"/>
            <w:tcBorders>
              <w:top w:val="nil"/>
            </w:tcBorders>
          </w:tcPr>
          <w:p>
            <w:pPr>
              <w:rPr>
                <w:rFonts w:ascii="Arial"/>
                <w:sz w:val="21"/>
              </w:rPr>
            </w:pPr>
            <w:r/>
          </w:p>
        </w:tc>
        <w:tc>
          <w:tcPr>
            <w:tcW w:w="998" w:type="dxa"/>
            <w:vAlign w:val="top"/>
          </w:tcPr>
          <w:p>
            <w:pPr>
              <w:pStyle w:val="TableText"/>
              <w:ind w:left="85" w:right="128" w:hanging="19"/>
              <w:spacing w:before="55" w:line="260" w:lineRule="auto"/>
              <w:rPr>
                <w:sz w:val="16"/>
                <w:szCs w:val="16"/>
              </w:rPr>
            </w:pPr>
            <w:r>
              <w:rPr>
                <w:sz w:val="16"/>
                <w:szCs w:val="16"/>
                <w:spacing w:val="-2"/>
              </w:rPr>
              <w:t>其他市场服</w:t>
            </w:r>
            <w:r>
              <w:rPr>
                <w:sz w:val="16"/>
                <w:szCs w:val="16"/>
                <w:spacing w:val="2"/>
              </w:rPr>
              <w:t xml:space="preserve"> </w:t>
            </w:r>
            <w:r>
              <w:rPr>
                <w:sz w:val="16"/>
                <w:szCs w:val="16"/>
                <w:spacing w:val="-2"/>
              </w:rPr>
              <w:t>务业</w:t>
            </w:r>
          </w:p>
        </w:tc>
        <w:tc>
          <w:tcPr>
            <w:tcW w:w="1453" w:type="dxa"/>
            <w:vAlign w:val="top"/>
          </w:tcPr>
          <w:p>
            <w:pPr>
              <w:pStyle w:val="TableText"/>
              <w:ind w:left="78"/>
              <w:spacing w:before="76" w:line="219" w:lineRule="auto"/>
              <w:rPr>
                <w:sz w:val="16"/>
                <w:szCs w:val="16"/>
              </w:rPr>
            </w:pPr>
            <w:r>
              <w:rPr>
                <w:sz w:val="16"/>
                <w:szCs w:val="16"/>
                <w:spacing w:val="-2"/>
              </w:rPr>
              <w:t>其他服务业</w:t>
            </w:r>
          </w:p>
        </w:tc>
      </w:tr>
      <w:tr>
        <w:trPr>
          <w:trHeight w:val="525" w:hRule="atLeast"/>
        </w:trPr>
        <w:tc>
          <w:tcPr>
            <w:tcW w:w="634" w:type="dxa"/>
            <w:vAlign w:val="top"/>
          </w:tcPr>
          <w:p>
            <w:pPr>
              <w:pStyle w:val="TableText"/>
              <w:ind w:left="265"/>
              <w:spacing w:before="227" w:line="184" w:lineRule="auto"/>
              <w:rPr>
                <w:sz w:val="16"/>
                <w:szCs w:val="16"/>
              </w:rPr>
            </w:pPr>
            <w:r>
              <w:rPr>
                <w:sz w:val="16"/>
                <w:szCs w:val="16"/>
              </w:rPr>
              <w:t>1</w:t>
            </w:r>
          </w:p>
        </w:tc>
        <w:tc>
          <w:tcPr>
            <w:tcW w:w="649" w:type="dxa"/>
            <w:vAlign w:val="top"/>
          </w:tcPr>
          <w:p>
            <w:pPr>
              <w:pStyle w:val="TableText"/>
              <w:ind w:left="271"/>
              <w:spacing w:before="228" w:line="183" w:lineRule="auto"/>
              <w:rPr>
                <w:sz w:val="16"/>
                <w:szCs w:val="16"/>
              </w:rPr>
            </w:pPr>
            <w:r>
              <w:rPr>
                <w:sz w:val="16"/>
                <w:szCs w:val="16"/>
              </w:rPr>
              <w:t>6</w:t>
            </w:r>
          </w:p>
        </w:tc>
        <w:tc>
          <w:tcPr>
            <w:tcW w:w="978" w:type="dxa"/>
            <w:vAlign w:val="top"/>
          </w:tcPr>
          <w:p>
            <w:pPr>
              <w:pStyle w:val="TableText"/>
              <w:ind w:left="72"/>
              <w:spacing w:before="78" w:line="220" w:lineRule="auto"/>
              <w:rPr>
                <w:sz w:val="16"/>
                <w:szCs w:val="16"/>
              </w:rPr>
            </w:pPr>
            <w:r>
              <w:rPr>
                <w:sz w:val="16"/>
                <w:szCs w:val="16"/>
                <w:spacing w:val="-2"/>
              </w:rPr>
              <w:t>广义农业</w:t>
            </w:r>
          </w:p>
        </w:tc>
        <w:tc>
          <w:tcPr>
            <w:tcW w:w="1318" w:type="dxa"/>
            <w:vAlign w:val="top"/>
          </w:tcPr>
          <w:p>
            <w:pPr>
              <w:rPr>
                <w:rFonts w:ascii="Arial"/>
                <w:sz w:val="21"/>
              </w:rPr>
            </w:pPr>
            <w:r/>
          </w:p>
        </w:tc>
        <w:tc>
          <w:tcPr>
            <w:tcW w:w="998" w:type="dxa"/>
            <w:vAlign w:val="top"/>
          </w:tcPr>
          <w:p>
            <w:pPr>
              <w:pStyle w:val="TableText"/>
              <w:ind w:left="85"/>
              <w:spacing w:before="69" w:line="221" w:lineRule="auto"/>
              <w:rPr>
                <w:sz w:val="16"/>
                <w:szCs w:val="16"/>
              </w:rPr>
            </w:pPr>
            <w:r>
              <w:rPr>
                <w:sz w:val="16"/>
                <w:szCs w:val="16"/>
                <w:spacing w:val="-2"/>
              </w:rPr>
              <w:t>农业</w:t>
            </w:r>
          </w:p>
        </w:tc>
        <w:tc>
          <w:tcPr>
            <w:tcW w:w="1453" w:type="dxa"/>
            <w:vAlign w:val="top"/>
          </w:tcPr>
          <w:p>
            <w:pPr>
              <w:pStyle w:val="TableText"/>
              <w:ind w:left="78" w:right="78"/>
              <w:spacing w:before="67" w:line="248" w:lineRule="auto"/>
              <w:rPr>
                <w:sz w:val="16"/>
                <w:szCs w:val="16"/>
              </w:rPr>
            </w:pPr>
            <w:r>
              <w:rPr>
                <w:sz w:val="16"/>
                <w:szCs w:val="16"/>
                <w:spacing w:val="-13"/>
              </w:rPr>
              <w:t>农</w:t>
            </w:r>
            <w:r>
              <w:rPr>
                <w:sz w:val="16"/>
                <w:szCs w:val="16"/>
                <w:spacing w:val="8"/>
              </w:rPr>
              <w:t xml:space="preserve"> </w:t>
            </w:r>
            <w:r>
              <w:rPr>
                <w:sz w:val="16"/>
                <w:szCs w:val="16"/>
                <w:spacing w:val="-13"/>
              </w:rPr>
              <w:t>业</w:t>
            </w:r>
            <w:r>
              <w:rPr>
                <w:sz w:val="16"/>
                <w:szCs w:val="16"/>
                <w:spacing w:val="37"/>
              </w:rPr>
              <w:t xml:space="preserve"> </w:t>
            </w:r>
            <w:r>
              <w:rPr>
                <w:sz w:val="16"/>
                <w:szCs w:val="16"/>
                <w:spacing w:val="-13"/>
              </w:rPr>
              <w:t>(</w:t>
            </w:r>
            <w:r>
              <w:rPr>
                <w:sz w:val="16"/>
                <w:szCs w:val="16"/>
                <w:spacing w:val="8"/>
              </w:rPr>
              <w:t xml:space="preserve"> </w:t>
            </w:r>
            <w:r>
              <w:rPr>
                <w:sz w:val="16"/>
                <w:szCs w:val="16"/>
                <w:spacing w:val="-13"/>
              </w:rPr>
              <w:t>农</w:t>
            </w:r>
            <w:r>
              <w:rPr>
                <w:sz w:val="16"/>
                <w:szCs w:val="16"/>
                <w:spacing w:val="20"/>
              </w:rPr>
              <w:t xml:space="preserve"> </w:t>
            </w:r>
            <w:r>
              <w:rPr>
                <w:sz w:val="16"/>
                <w:szCs w:val="16"/>
                <w:spacing w:val="-13"/>
              </w:rPr>
              <w:t>、</w:t>
            </w:r>
            <w:r>
              <w:rPr>
                <w:sz w:val="16"/>
                <w:szCs w:val="16"/>
                <w:spacing w:val="10"/>
              </w:rPr>
              <w:t xml:space="preserve"> </w:t>
            </w:r>
            <w:r>
              <w:rPr>
                <w:sz w:val="16"/>
                <w:szCs w:val="16"/>
                <w:spacing w:val="-13"/>
              </w:rPr>
              <w:t>林</w:t>
            </w:r>
            <w:r>
              <w:rPr>
                <w:sz w:val="16"/>
                <w:szCs w:val="16"/>
              </w:rPr>
              <w:t xml:space="preserve"> </w:t>
            </w:r>
            <w:r>
              <w:rPr>
                <w:sz w:val="16"/>
                <w:szCs w:val="16"/>
                <w:spacing w:val="8"/>
              </w:rPr>
              <w:t>牧、渔)</w:t>
            </w:r>
          </w:p>
        </w:tc>
      </w:tr>
    </w:tbl>
    <w:p>
      <w:pPr>
        <w:pStyle w:val="BodyText"/>
        <w:rPr/>
      </w:pPr>
      <w:r/>
    </w:p>
    <w:p>
      <w:pPr>
        <w:sectPr>
          <w:headerReference w:type="default" r:id="rId1"/>
          <w:pgSz w:w="7330" w:h="12480"/>
          <w:pgMar w:top="400" w:right="844" w:bottom="400" w:left="444" w:header="0" w:footer="0" w:gutter="0"/>
        </w:sectPr>
        <w:rPr/>
      </w:pPr>
    </w:p>
    <w:p>
      <w:pPr>
        <w:spacing w:line="223" w:lineRule="auto"/>
        <w:rPr>
          <w:rFonts w:ascii="SimHei" w:hAnsi="SimHei" w:eastAsia="SimHei" w:cs="SimHei"/>
          <w:sz w:val="16"/>
          <w:szCs w:val="16"/>
        </w:rPr>
      </w:pPr>
      <w:r>
        <w:rPr>
          <w:rFonts w:ascii="SimSun" w:hAnsi="SimSun" w:eastAsia="SimSun" w:cs="SimSun"/>
          <w:sz w:val="12"/>
          <w:szCs w:val="12"/>
          <w:spacing w:val="-8"/>
          <w:position w:val="-3"/>
        </w:rPr>
        <w:t>112</w:t>
      </w:r>
      <w:r>
        <w:rPr>
          <w:rFonts w:ascii="SimSun" w:hAnsi="SimSun" w:eastAsia="SimSun" w:cs="SimSun"/>
          <w:sz w:val="12"/>
          <w:szCs w:val="12"/>
          <w:spacing w:val="1"/>
          <w:position w:val="-3"/>
        </w:rPr>
        <w:t xml:space="preserve">                             </w:t>
      </w:r>
      <w:r>
        <w:rPr>
          <w:rFonts w:ascii="SimHei" w:hAnsi="SimHei" w:eastAsia="SimHei" w:cs="SimHei"/>
          <w:sz w:val="16"/>
          <w:szCs w:val="16"/>
          <w:b/>
          <w:bCs/>
          <w:spacing w:val="-8"/>
        </w:rPr>
        <w:t>平台经济——创新、治理与繁荣</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spacing w:before="52" w:line="223" w:lineRule="auto"/>
        <w:jc w:val="right"/>
        <w:rPr>
          <w:rFonts w:ascii="SimHei" w:hAnsi="SimHei" w:eastAsia="SimHei" w:cs="SimHei"/>
          <w:sz w:val="16"/>
          <w:szCs w:val="16"/>
        </w:rPr>
      </w:pPr>
      <w:r>
        <w:rPr>
          <w:rFonts w:ascii="SimHei" w:hAnsi="SimHei" w:eastAsia="SimHei" w:cs="SimHei"/>
          <w:sz w:val="16"/>
          <w:szCs w:val="16"/>
          <w:spacing w:val="17"/>
        </w:rPr>
        <w:t>(续表)</w:t>
      </w:r>
    </w:p>
    <w:p>
      <w:pPr>
        <w:spacing w:line="84" w:lineRule="exact"/>
        <w:rPr/>
      </w:pPr>
      <w:r/>
    </w:p>
    <w:tbl>
      <w:tblPr>
        <w:tblStyle w:val="TableNormal"/>
        <w:tblW w:w="603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54"/>
        <w:gridCol w:w="649"/>
        <w:gridCol w:w="988"/>
        <w:gridCol w:w="1318"/>
        <w:gridCol w:w="998"/>
        <w:gridCol w:w="1432"/>
      </w:tblGrid>
      <w:tr>
        <w:trPr>
          <w:trHeight w:val="533" w:hRule="atLeast"/>
        </w:trPr>
        <w:tc>
          <w:tcPr>
            <w:tcW w:w="654" w:type="dxa"/>
            <w:vAlign w:val="top"/>
          </w:tcPr>
          <w:p>
            <w:pPr>
              <w:pStyle w:val="TableText"/>
              <w:ind w:left="74" w:right="60" w:hanging="20"/>
              <w:spacing w:before="51" w:line="254" w:lineRule="auto"/>
              <w:rPr>
                <w:sz w:val="16"/>
                <w:szCs w:val="16"/>
              </w:rPr>
            </w:pPr>
            <w:r>
              <w:rPr>
                <w:sz w:val="16"/>
                <w:szCs w:val="16"/>
                <w:spacing w:val="-9"/>
              </w:rPr>
              <w:t>C</w:t>
            </w:r>
            <w:r>
              <w:rPr>
                <w:sz w:val="16"/>
                <w:szCs w:val="16"/>
                <w:spacing w:val="-19"/>
              </w:rPr>
              <w:t xml:space="preserve"> </w:t>
            </w:r>
            <w:r>
              <w:rPr>
                <w:sz w:val="16"/>
                <w:szCs w:val="16"/>
                <w:spacing w:val="-9"/>
              </w:rPr>
              <w:t>I</w:t>
            </w:r>
            <w:r>
              <w:rPr>
                <w:sz w:val="16"/>
                <w:szCs w:val="16"/>
                <w:spacing w:val="-32"/>
              </w:rPr>
              <w:t xml:space="preserve"> </w:t>
            </w:r>
            <w:r>
              <w:rPr>
                <w:sz w:val="16"/>
                <w:szCs w:val="16"/>
                <w:spacing w:val="-9"/>
              </w:rPr>
              <w:t>P</w:t>
            </w:r>
            <w:r>
              <w:rPr>
                <w:sz w:val="16"/>
                <w:szCs w:val="16"/>
                <w:spacing w:val="-26"/>
              </w:rPr>
              <w:t xml:space="preserve"> </w:t>
            </w:r>
            <w:r>
              <w:rPr>
                <w:sz w:val="16"/>
                <w:szCs w:val="16"/>
                <w:spacing w:val="-9"/>
              </w:rPr>
              <w:t>行</w:t>
            </w:r>
            <w:r>
              <w:rPr>
                <w:sz w:val="16"/>
                <w:szCs w:val="16"/>
              </w:rPr>
              <w:t xml:space="preserve"> </w:t>
            </w:r>
            <w:r>
              <w:rPr>
                <w:sz w:val="16"/>
                <w:szCs w:val="16"/>
                <w:spacing w:val="-2"/>
              </w:rPr>
              <w:t>业编码</w:t>
            </w:r>
          </w:p>
        </w:tc>
        <w:tc>
          <w:tcPr>
            <w:tcW w:w="649" w:type="dxa"/>
            <w:vAlign w:val="top"/>
          </w:tcPr>
          <w:p>
            <w:pPr>
              <w:pStyle w:val="TableText"/>
              <w:ind w:left="70" w:right="81"/>
              <w:spacing w:before="61" w:line="254" w:lineRule="auto"/>
              <w:rPr>
                <w:sz w:val="16"/>
                <w:szCs w:val="16"/>
              </w:rPr>
            </w:pPr>
            <w:r>
              <w:rPr>
                <w:sz w:val="16"/>
                <w:szCs w:val="16"/>
                <w:spacing w:val="21"/>
              </w:rPr>
              <w:t>ICT分</w:t>
            </w:r>
            <w:r>
              <w:rPr>
                <w:sz w:val="16"/>
                <w:szCs w:val="16"/>
                <w:spacing w:val="1"/>
              </w:rPr>
              <w:t xml:space="preserve"> </w:t>
            </w:r>
            <w:r>
              <w:rPr>
                <w:sz w:val="16"/>
                <w:szCs w:val="16"/>
                <w:spacing w:val="-2"/>
              </w:rPr>
              <w:t>组编码</w:t>
            </w:r>
          </w:p>
        </w:tc>
        <w:tc>
          <w:tcPr>
            <w:tcW w:w="988" w:type="dxa"/>
            <w:vAlign w:val="top"/>
          </w:tcPr>
          <w:p>
            <w:pPr>
              <w:pStyle w:val="TableText"/>
              <w:ind w:left="81"/>
              <w:spacing w:before="192" w:line="220" w:lineRule="auto"/>
              <w:rPr>
                <w:sz w:val="16"/>
                <w:szCs w:val="16"/>
              </w:rPr>
            </w:pPr>
            <w:r>
              <w:rPr>
                <w:sz w:val="16"/>
                <w:szCs w:val="16"/>
                <w:spacing w:val="-2"/>
              </w:rPr>
              <w:t>行业分组</w:t>
            </w:r>
          </w:p>
        </w:tc>
        <w:tc>
          <w:tcPr>
            <w:tcW w:w="1318" w:type="dxa"/>
            <w:vAlign w:val="top"/>
          </w:tcPr>
          <w:p>
            <w:pPr>
              <w:pStyle w:val="TableText"/>
              <w:ind w:left="334"/>
              <w:spacing w:before="192" w:line="220" w:lineRule="auto"/>
              <w:rPr>
                <w:sz w:val="16"/>
                <w:szCs w:val="16"/>
              </w:rPr>
            </w:pPr>
            <w:r>
              <w:rPr>
                <w:sz w:val="16"/>
                <w:szCs w:val="16"/>
                <w:spacing w:val="-2"/>
              </w:rPr>
              <w:t>分组标准</w:t>
            </w:r>
          </w:p>
        </w:tc>
        <w:tc>
          <w:tcPr>
            <w:tcW w:w="998" w:type="dxa"/>
            <w:vAlign w:val="top"/>
          </w:tcPr>
          <w:p>
            <w:pPr>
              <w:pStyle w:val="TableText"/>
              <w:ind w:left="335" w:right="150" w:hanging="210"/>
              <w:spacing w:before="71" w:line="249" w:lineRule="auto"/>
              <w:rPr>
                <w:sz w:val="16"/>
                <w:szCs w:val="16"/>
              </w:rPr>
            </w:pPr>
            <w:r>
              <w:rPr>
                <w:sz w:val="16"/>
                <w:szCs w:val="16"/>
                <w:spacing w:val="-2"/>
              </w:rPr>
              <w:t>行业特征/</w:t>
            </w:r>
            <w:r>
              <w:rPr>
                <w:sz w:val="16"/>
                <w:szCs w:val="16"/>
              </w:rPr>
              <w:t xml:space="preserve"> </w:t>
            </w:r>
            <w:r>
              <w:rPr>
                <w:sz w:val="16"/>
                <w:szCs w:val="16"/>
                <w:spacing w:val="9"/>
              </w:rPr>
              <w:t>性质</w:t>
            </w:r>
          </w:p>
        </w:tc>
        <w:tc>
          <w:tcPr>
            <w:tcW w:w="1432" w:type="dxa"/>
            <w:vAlign w:val="top"/>
          </w:tcPr>
          <w:p>
            <w:pPr>
              <w:pStyle w:val="TableText"/>
              <w:ind w:left="547"/>
              <w:spacing w:before="192" w:line="220" w:lineRule="auto"/>
              <w:rPr>
                <w:sz w:val="16"/>
                <w:szCs w:val="16"/>
              </w:rPr>
            </w:pPr>
            <w:r>
              <w:rPr>
                <w:sz w:val="16"/>
                <w:szCs w:val="16"/>
                <w:spacing w:val="-3"/>
              </w:rPr>
              <w:t>行业</w:t>
            </w:r>
          </w:p>
        </w:tc>
      </w:tr>
      <w:tr>
        <w:trPr>
          <w:trHeight w:val="279" w:hRule="atLeast"/>
        </w:trPr>
        <w:tc>
          <w:tcPr>
            <w:tcW w:w="654" w:type="dxa"/>
            <w:vAlign w:val="top"/>
          </w:tcPr>
          <w:p>
            <w:pPr>
              <w:pStyle w:val="TableText"/>
              <w:ind w:left="275"/>
              <w:spacing w:before="99" w:line="183" w:lineRule="auto"/>
              <w:rPr>
                <w:sz w:val="16"/>
                <w:szCs w:val="16"/>
              </w:rPr>
            </w:pPr>
            <w:r>
              <w:rPr>
                <w:sz w:val="16"/>
                <w:szCs w:val="16"/>
              </w:rPr>
              <w:t>2</w:t>
            </w:r>
          </w:p>
        </w:tc>
        <w:tc>
          <w:tcPr>
            <w:tcW w:w="649" w:type="dxa"/>
            <w:vAlign w:val="top"/>
          </w:tcPr>
          <w:p>
            <w:pPr>
              <w:pStyle w:val="TableText"/>
              <w:ind w:left="270"/>
              <w:spacing w:before="100" w:line="182" w:lineRule="auto"/>
              <w:rPr>
                <w:sz w:val="16"/>
                <w:szCs w:val="16"/>
              </w:rPr>
            </w:pPr>
            <w:r>
              <w:rPr>
                <w:sz w:val="16"/>
                <w:szCs w:val="16"/>
              </w:rPr>
              <w:t>7</w:t>
            </w:r>
          </w:p>
        </w:tc>
        <w:tc>
          <w:tcPr>
            <w:tcW w:w="988" w:type="dxa"/>
            <w:vAlign w:val="top"/>
          </w:tcPr>
          <w:p>
            <w:pPr>
              <w:pStyle w:val="TableText"/>
              <w:ind w:left="81"/>
              <w:spacing w:before="57" w:line="219" w:lineRule="auto"/>
              <w:rPr>
                <w:sz w:val="16"/>
                <w:szCs w:val="16"/>
              </w:rPr>
            </w:pPr>
            <w:r>
              <w:rPr>
                <w:sz w:val="16"/>
                <w:szCs w:val="16"/>
                <w:spacing w:val="-2"/>
              </w:rPr>
              <w:t>采掘业</w:t>
            </w:r>
          </w:p>
        </w:tc>
        <w:tc>
          <w:tcPr>
            <w:tcW w:w="1318" w:type="dxa"/>
            <w:vAlign w:val="top"/>
            <w:vMerge w:val="restart"/>
            <w:tcBorders>
              <w:bottom w:val="nil"/>
            </w:tcBorders>
          </w:tcPr>
          <w:p>
            <w:pPr>
              <w:pStyle w:val="TableText"/>
              <w:ind w:left="83" w:right="141" w:firstLine="49"/>
              <w:spacing w:before="58" w:line="248" w:lineRule="auto"/>
              <w:rPr>
                <w:sz w:val="16"/>
                <w:szCs w:val="16"/>
              </w:rPr>
            </w:pPr>
            <w:r>
              <w:rPr>
                <w:sz w:val="16"/>
                <w:szCs w:val="16"/>
                <w:spacing w:val="-2"/>
              </w:rPr>
              <w:t>依据行业特征/</w:t>
            </w:r>
            <w:r>
              <w:rPr>
                <w:sz w:val="16"/>
                <w:szCs w:val="16"/>
                <w:spacing w:val="5"/>
              </w:rPr>
              <w:t xml:space="preserve"> </w:t>
            </w:r>
            <w:r>
              <w:rPr>
                <w:sz w:val="16"/>
                <w:szCs w:val="16"/>
                <w:spacing w:val="-2"/>
              </w:rPr>
              <w:t>性质合并</w:t>
            </w:r>
          </w:p>
        </w:tc>
        <w:tc>
          <w:tcPr>
            <w:tcW w:w="998" w:type="dxa"/>
            <w:vAlign w:val="top"/>
          </w:tcPr>
          <w:p>
            <w:pPr>
              <w:pStyle w:val="TableText"/>
              <w:ind w:left="75"/>
              <w:spacing w:before="59" w:line="221" w:lineRule="auto"/>
              <w:rPr>
                <w:sz w:val="16"/>
                <w:szCs w:val="16"/>
              </w:rPr>
            </w:pPr>
            <w:r>
              <w:rPr>
                <w:sz w:val="16"/>
                <w:szCs w:val="16"/>
                <w:spacing w:val="-4"/>
              </w:rPr>
              <w:t>能源</w:t>
            </w:r>
          </w:p>
        </w:tc>
        <w:tc>
          <w:tcPr>
            <w:tcW w:w="1432" w:type="dxa"/>
            <w:vAlign w:val="top"/>
          </w:tcPr>
          <w:p>
            <w:pPr>
              <w:pStyle w:val="TableText"/>
              <w:ind w:left="77"/>
              <w:spacing w:before="57" w:line="219" w:lineRule="auto"/>
              <w:rPr>
                <w:sz w:val="16"/>
                <w:szCs w:val="16"/>
              </w:rPr>
            </w:pPr>
            <w:r>
              <w:rPr>
                <w:sz w:val="16"/>
                <w:szCs w:val="16"/>
                <w:spacing w:val="-2"/>
              </w:rPr>
              <w:t>煤炭采掘业</w:t>
            </w:r>
          </w:p>
        </w:tc>
      </w:tr>
      <w:tr>
        <w:trPr>
          <w:trHeight w:val="289" w:hRule="atLeast"/>
        </w:trPr>
        <w:tc>
          <w:tcPr>
            <w:tcW w:w="654" w:type="dxa"/>
            <w:vAlign w:val="top"/>
          </w:tcPr>
          <w:p>
            <w:pPr>
              <w:pStyle w:val="TableText"/>
              <w:ind w:left="275"/>
              <w:spacing w:before="110" w:line="183" w:lineRule="auto"/>
              <w:rPr>
                <w:sz w:val="16"/>
                <w:szCs w:val="16"/>
              </w:rPr>
            </w:pPr>
            <w:r>
              <w:rPr>
                <w:sz w:val="16"/>
                <w:szCs w:val="16"/>
              </w:rPr>
              <w:t>3</w:t>
            </w:r>
          </w:p>
        </w:tc>
        <w:tc>
          <w:tcPr>
            <w:tcW w:w="649" w:type="dxa"/>
            <w:vAlign w:val="top"/>
          </w:tcPr>
          <w:p>
            <w:pPr>
              <w:pStyle w:val="TableText"/>
              <w:ind w:left="270"/>
              <w:spacing w:before="111" w:line="182" w:lineRule="auto"/>
              <w:rPr>
                <w:sz w:val="16"/>
                <w:szCs w:val="16"/>
              </w:rPr>
            </w:pPr>
            <w:r>
              <w:rPr>
                <w:sz w:val="16"/>
                <w:szCs w:val="16"/>
              </w:rPr>
              <w:t>7</w:t>
            </w:r>
          </w:p>
        </w:tc>
        <w:tc>
          <w:tcPr>
            <w:tcW w:w="988" w:type="dxa"/>
            <w:vAlign w:val="top"/>
          </w:tcPr>
          <w:p>
            <w:pPr>
              <w:pStyle w:val="TableText"/>
              <w:ind w:left="81"/>
              <w:spacing w:before="68" w:line="219" w:lineRule="auto"/>
              <w:rPr>
                <w:sz w:val="16"/>
                <w:szCs w:val="16"/>
              </w:rPr>
            </w:pPr>
            <w:r>
              <w:rPr>
                <w:sz w:val="16"/>
                <w:szCs w:val="16"/>
                <w:spacing w:val="-2"/>
              </w:rPr>
              <w:t>采掘业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75"/>
              <w:spacing w:before="70" w:line="221" w:lineRule="auto"/>
              <w:rPr>
                <w:sz w:val="16"/>
                <w:szCs w:val="16"/>
              </w:rPr>
            </w:pPr>
            <w:r>
              <w:rPr>
                <w:sz w:val="16"/>
                <w:szCs w:val="16"/>
                <w:spacing w:val="-4"/>
              </w:rPr>
              <w:t>能源</w:t>
            </w:r>
          </w:p>
        </w:tc>
        <w:tc>
          <w:tcPr>
            <w:tcW w:w="1432" w:type="dxa"/>
            <w:vAlign w:val="top"/>
          </w:tcPr>
          <w:p>
            <w:pPr>
              <w:pStyle w:val="TableText"/>
              <w:ind w:left="77"/>
              <w:spacing w:before="68" w:line="219" w:lineRule="auto"/>
              <w:rPr>
                <w:sz w:val="16"/>
                <w:szCs w:val="16"/>
              </w:rPr>
            </w:pPr>
            <w:r>
              <w:rPr>
                <w:sz w:val="16"/>
                <w:szCs w:val="16"/>
                <w:spacing w:val="-1"/>
              </w:rPr>
              <w:t>石油天然气开采业</w:t>
            </w:r>
          </w:p>
        </w:tc>
      </w:tr>
      <w:tr>
        <w:trPr>
          <w:trHeight w:val="519" w:hRule="atLeast"/>
        </w:trPr>
        <w:tc>
          <w:tcPr>
            <w:tcW w:w="654" w:type="dxa"/>
            <w:vAlign w:val="top"/>
          </w:tcPr>
          <w:p>
            <w:pPr>
              <w:pStyle w:val="TableText"/>
              <w:ind w:left="275"/>
              <w:spacing w:before="221" w:line="183" w:lineRule="auto"/>
              <w:rPr>
                <w:sz w:val="16"/>
                <w:szCs w:val="16"/>
              </w:rPr>
            </w:pPr>
            <w:r>
              <w:rPr>
                <w:sz w:val="16"/>
                <w:szCs w:val="16"/>
              </w:rPr>
              <w:t>4</w:t>
            </w:r>
          </w:p>
        </w:tc>
        <w:tc>
          <w:tcPr>
            <w:tcW w:w="649" w:type="dxa"/>
            <w:vAlign w:val="top"/>
          </w:tcPr>
          <w:p>
            <w:pPr>
              <w:pStyle w:val="TableText"/>
              <w:ind w:left="270"/>
              <w:spacing w:before="222" w:line="182" w:lineRule="auto"/>
              <w:rPr>
                <w:sz w:val="16"/>
                <w:szCs w:val="16"/>
              </w:rPr>
            </w:pPr>
            <w:r>
              <w:rPr>
                <w:sz w:val="16"/>
                <w:szCs w:val="16"/>
              </w:rPr>
              <w:t>7</w:t>
            </w:r>
          </w:p>
        </w:tc>
        <w:tc>
          <w:tcPr>
            <w:tcW w:w="988" w:type="dxa"/>
            <w:vAlign w:val="top"/>
          </w:tcPr>
          <w:p>
            <w:pPr>
              <w:pStyle w:val="TableText"/>
              <w:ind w:left="81"/>
              <w:spacing w:before="59" w:line="219" w:lineRule="auto"/>
              <w:rPr>
                <w:sz w:val="16"/>
                <w:szCs w:val="16"/>
              </w:rPr>
            </w:pPr>
            <w:r>
              <w:rPr>
                <w:sz w:val="16"/>
                <w:szCs w:val="16"/>
                <w:spacing w:val="-2"/>
              </w:rPr>
              <w:t>采掘业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75"/>
              <w:spacing w:before="61" w:line="218" w:lineRule="exact"/>
              <w:rPr>
                <w:sz w:val="16"/>
                <w:szCs w:val="16"/>
              </w:rPr>
            </w:pPr>
            <w:r>
              <w:rPr>
                <w:sz w:val="16"/>
                <w:szCs w:val="16"/>
                <w:spacing w:val="-2"/>
                <w:position w:val="4"/>
              </w:rPr>
              <w:t>重制造业</w:t>
            </w:r>
          </w:p>
          <w:p>
            <w:pPr>
              <w:pStyle w:val="TableText"/>
              <w:ind w:left="75"/>
              <w:spacing w:line="218" w:lineRule="auto"/>
              <w:rPr>
                <w:sz w:val="16"/>
                <w:szCs w:val="16"/>
              </w:rPr>
            </w:pPr>
            <w:r>
              <w:rPr>
                <w:sz w:val="16"/>
                <w:szCs w:val="16"/>
                <w:spacing w:val="-2"/>
              </w:rPr>
              <w:t>材料</w:t>
            </w:r>
          </w:p>
        </w:tc>
        <w:tc>
          <w:tcPr>
            <w:tcW w:w="1432" w:type="dxa"/>
            <w:vAlign w:val="top"/>
          </w:tcPr>
          <w:p>
            <w:pPr>
              <w:pStyle w:val="TableText"/>
              <w:ind w:left="77"/>
              <w:spacing w:before="59" w:line="219" w:lineRule="auto"/>
              <w:rPr>
                <w:sz w:val="16"/>
                <w:szCs w:val="16"/>
              </w:rPr>
            </w:pPr>
            <w:r>
              <w:rPr>
                <w:sz w:val="16"/>
                <w:szCs w:val="16"/>
                <w:spacing w:val="-2"/>
              </w:rPr>
              <w:t>金属矿采掘业</w:t>
            </w:r>
          </w:p>
        </w:tc>
      </w:tr>
      <w:tr>
        <w:trPr>
          <w:trHeight w:val="529" w:hRule="atLeast"/>
        </w:trPr>
        <w:tc>
          <w:tcPr>
            <w:tcW w:w="654" w:type="dxa"/>
            <w:vAlign w:val="top"/>
          </w:tcPr>
          <w:p>
            <w:pPr>
              <w:pStyle w:val="TableText"/>
              <w:ind w:left="275"/>
              <w:spacing w:before="233" w:line="182" w:lineRule="auto"/>
              <w:rPr>
                <w:sz w:val="16"/>
                <w:szCs w:val="16"/>
              </w:rPr>
            </w:pPr>
            <w:r>
              <w:rPr>
                <w:sz w:val="16"/>
                <w:szCs w:val="16"/>
              </w:rPr>
              <w:t>5</w:t>
            </w:r>
          </w:p>
        </w:tc>
        <w:tc>
          <w:tcPr>
            <w:tcW w:w="649" w:type="dxa"/>
            <w:vAlign w:val="top"/>
          </w:tcPr>
          <w:p>
            <w:pPr>
              <w:pStyle w:val="TableText"/>
              <w:ind w:left="270"/>
              <w:spacing w:before="233" w:line="182" w:lineRule="auto"/>
              <w:rPr>
                <w:sz w:val="16"/>
                <w:szCs w:val="16"/>
              </w:rPr>
            </w:pPr>
            <w:r>
              <w:rPr>
                <w:sz w:val="16"/>
                <w:szCs w:val="16"/>
              </w:rPr>
              <w:t>7</w:t>
            </w:r>
          </w:p>
        </w:tc>
        <w:tc>
          <w:tcPr>
            <w:tcW w:w="988" w:type="dxa"/>
            <w:vAlign w:val="top"/>
          </w:tcPr>
          <w:p>
            <w:pPr>
              <w:pStyle w:val="TableText"/>
              <w:ind w:left="81"/>
              <w:spacing w:before="50" w:line="219" w:lineRule="auto"/>
              <w:rPr>
                <w:sz w:val="16"/>
                <w:szCs w:val="16"/>
              </w:rPr>
            </w:pPr>
            <w:r>
              <w:rPr>
                <w:sz w:val="16"/>
                <w:szCs w:val="16"/>
                <w:spacing w:val="-2"/>
              </w:rPr>
              <w:t>采掘业</w:t>
            </w:r>
          </w:p>
        </w:tc>
        <w:tc>
          <w:tcPr>
            <w:tcW w:w="1318" w:type="dxa"/>
            <w:vAlign w:val="top"/>
            <w:vMerge w:val="continue"/>
            <w:tcBorders>
              <w:top w:val="nil"/>
            </w:tcBorders>
          </w:tcPr>
          <w:p>
            <w:pPr>
              <w:rPr>
                <w:rFonts w:ascii="Arial"/>
                <w:sz w:val="21"/>
              </w:rPr>
            </w:pPr>
            <w:r/>
          </w:p>
        </w:tc>
        <w:tc>
          <w:tcPr>
            <w:tcW w:w="998" w:type="dxa"/>
            <w:vAlign w:val="top"/>
          </w:tcPr>
          <w:p>
            <w:pPr>
              <w:pStyle w:val="TableText"/>
              <w:ind w:left="75"/>
              <w:spacing w:before="62" w:line="238" w:lineRule="exact"/>
              <w:rPr>
                <w:sz w:val="16"/>
                <w:szCs w:val="16"/>
              </w:rPr>
            </w:pPr>
            <w:r>
              <w:rPr>
                <w:sz w:val="16"/>
                <w:szCs w:val="16"/>
                <w:spacing w:val="-2"/>
                <w:position w:val="5"/>
              </w:rPr>
              <w:t>重制造业</w:t>
            </w:r>
          </w:p>
          <w:p>
            <w:pPr>
              <w:pStyle w:val="TableText"/>
              <w:ind w:left="75"/>
              <w:spacing w:line="218" w:lineRule="auto"/>
              <w:rPr>
                <w:sz w:val="16"/>
                <w:szCs w:val="16"/>
              </w:rPr>
            </w:pPr>
            <w:r>
              <w:rPr>
                <w:sz w:val="16"/>
                <w:szCs w:val="16"/>
                <w:spacing w:val="-2"/>
              </w:rPr>
              <w:t>材料</w:t>
            </w:r>
          </w:p>
        </w:tc>
        <w:tc>
          <w:tcPr>
            <w:tcW w:w="1432" w:type="dxa"/>
            <w:vAlign w:val="top"/>
          </w:tcPr>
          <w:p>
            <w:pPr>
              <w:pStyle w:val="TableText"/>
              <w:ind w:left="77"/>
              <w:spacing w:before="70" w:line="219" w:lineRule="auto"/>
              <w:rPr>
                <w:sz w:val="16"/>
                <w:szCs w:val="16"/>
              </w:rPr>
            </w:pPr>
            <w:r>
              <w:rPr>
                <w:sz w:val="16"/>
                <w:szCs w:val="16"/>
                <w:spacing w:val="-2"/>
              </w:rPr>
              <w:t>非金属矿采掘业</w:t>
            </w:r>
          </w:p>
        </w:tc>
      </w:tr>
      <w:tr>
        <w:trPr>
          <w:trHeight w:val="279" w:hRule="atLeast"/>
        </w:trPr>
        <w:tc>
          <w:tcPr>
            <w:tcW w:w="654" w:type="dxa"/>
            <w:vAlign w:val="top"/>
          </w:tcPr>
          <w:p>
            <w:pPr>
              <w:pStyle w:val="TableText"/>
              <w:ind w:left="234"/>
              <w:spacing w:before="103" w:line="183" w:lineRule="auto"/>
              <w:rPr>
                <w:sz w:val="16"/>
                <w:szCs w:val="16"/>
              </w:rPr>
            </w:pPr>
            <w:r>
              <w:rPr>
                <w:sz w:val="16"/>
                <w:szCs w:val="16"/>
                <w:spacing w:val="-3"/>
              </w:rPr>
              <w:t>26</w:t>
            </w:r>
          </w:p>
        </w:tc>
        <w:tc>
          <w:tcPr>
            <w:tcW w:w="649" w:type="dxa"/>
            <w:vAlign w:val="top"/>
          </w:tcPr>
          <w:p>
            <w:pPr>
              <w:pStyle w:val="TableText"/>
              <w:ind w:left="270"/>
              <w:spacing w:before="103" w:line="183" w:lineRule="auto"/>
              <w:rPr>
                <w:sz w:val="16"/>
                <w:szCs w:val="16"/>
              </w:rPr>
            </w:pPr>
            <w:r>
              <w:rPr>
                <w:sz w:val="16"/>
                <w:szCs w:val="16"/>
              </w:rPr>
              <w:t>8</w:t>
            </w:r>
          </w:p>
        </w:tc>
        <w:tc>
          <w:tcPr>
            <w:tcW w:w="988" w:type="dxa"/>
            <w:vAlign w:val="top"/>
          </w:tcPr>
          <w:p>
            <w:pPr>
              <w:pStyle w:val="TableText"/>
              <w:ind w:left="81"/>
              <w:spacing w:before="63" w:line="220" w:lineRule="auto"/>
              <w:rPr>
                <w:sz w:val="16"/>
                <w:szCs w:val="16"/>
              </w:rPr>
            </w:pPr>
            <w:r>
              <w:rPr>
                <w:sz w:val="16"/>
                <w:szCs w:val="16"/>
                <w:spacing w:val="-2"/>
              </w:rPr>
              <w:t>建筑业</w:t>
            </w:r>
          </w:p>
        </w:tc>
        <w:tc>
          <w:tcPr>
            <w:tcW w:w="1318" w:type="dxa"/>
            <w:vAlign w:val="top"/>
          </w:tcPr>
          <w:p>
            <w:pPr>
              <w:rPr>
                <w:rFonts w:ascii="Arial"/>
                <w:sz w:val="21"/>
              </w:rPr>
            </w:pPr>
            <w:r/>
          </w:p>
        </w:tc>
        <w:tc>
          <w:tcPr>
            <w:tcW w:w="998" w:type="dxa"/>
            <w:vAlign w:val="top"/>
          </w:tcPr>
          <w:p>
            <w:pPr>
              <w:pStyle w:val="TableText"/>
              <w:ind w:left="75"/>
              <w:spacing w:before="63" w:line="220" w:lineRule="auto"/>
              <w:rPr>
                <w:sz w:val="16"/>
                <w:szCs w:val="16"/>
              </w:rPr>
            </w:pPr>
            <w:r>
              <w:rPr>
                <w:sz w:val="16"/>
                <w:szCs w:val="16"/>
                <w:spacing w:val="-2"/>
              </w:rPr>
              <w:t>建筑业</w:t>
            </w:r>
          </w:p>
        </w:tc>
        <w:tc>
          <w:tcPr>
            <w:tcW w:w="1432" w:type="dxa"/>
            <w:vAlign w:val="top"/>
          </w:tcPr>
          <w:p>
            <w:pPr>
              <w:pStyle w:val="TableText"/>
              <w:ind w:left="77"/>
              <w:spacing w:before="63" w:line="220" w:lineRule="auto"/>
              <w:rPr>
                <w:sz w:val="16"/>
                <w:szCs w:val="16"/>
              </w:rPr>
            </w:pPr>
            <w:r>
              <w:rPr>
                <w:sz w:val="16"/>
                <w:szCs w:val="16"/>
                <w:spacing w:val="-2"/>
              </w:rPr>
              <w:t>建筑业</w:t>
            </w:r>
          </w:p>
        </w:tc>
      </w:tr>
      <w:tr>
        <w:trPr>
          <w:trHeight w:val="518" w:hRule="atLeast"/>
        </w:trPr>
        <w:tc>
          <w:tcPr>
            <w:tcW w:w="654" w:type="dxa"/>
            <w:vAlign w:val="top"/>
          </w:tcPr>
          <w:p>
            <w:pPr>
              <w:pStyle w:val="TableText"/>
              <w:ind w:left="234"/>
              <w:spacing w:before="224" w:line="183" w:lineRule="auto"/>
              <w:rPr>
                <w:sz w:val="16"/>
                <w:szCs w:val="16"/>
              </w:rPr>
            </w:pPr>
            <w:r>
              <w:rPr>
                <w:sz w:val="16"/>
                <w:szCs w:val="16"/>
                <w:spacing w:val="-3"/>
              </w:rPr>
              <w:t>34</w:t>
            </w:r>
          </w:p>
        </w:tc>
        <w:tc>
          <w:tcPr>
            <w:tcW w:w="649" w:type="dxa"/>
            <w:vAlign w:val="top"/>
          </w:tcPr>
          <w:p>
            <w:pPr>
              <w:pStyle w:val="TableText"/>
              <w:ind w:left="270"/>
              <w:spacing w:before="224" w:line="183" w:lineRule="auto"/>
              <w:rPr>
                <w:sz w:val="16"/>
                <w:szCs w:val="16"/>
              </w:rPr>
            </w:pPr>
            <w:r>
              <w:rPr>
                <w:sz w:val="16"/>
                <w:szCs w:val="16"/>
              </w:rPr>
              <w:t>9</w:t>
            </w:r>
          </w:p>
        </w:tc>
        <w:tc>
          <w:tcPr>
            <w:tcW w:w="988" w:type="dxa"/>
            <w:vAlign w:val="top"/>
          </w:tcPr>
          <w:p>
            <w:pPr>
              <w:pStyle w:val="TableText"/>
              <w:ind w:left="81"/>
              <w:spacing w:before="63" w:line="240" w:lineRule="exact"/>
              <w:rPr>
                <w:sz w:val="16"/>
                <w:szCs w:val="16"/>
              </w:rPr>
            </w:pPr>
            <w:r>
              <w:rPr>
                <w:sz w:val="16"/>
                <w:szCs w:val="16"/>
                <w:spacing w:val="-2"/>
                <w:position w:val="5"/>
              </w:rPr>
              <w:t>非市场服</w:t>
            </w:r>
          </w:p>
          <w:p>
            <w:pPr>
              <w:pStyle w:val="TableText"/>
              <w:ind w:left="81"/>
              <w:spacing w:line="219" w:lineRule="auto"/>
              <w:rPr>
                <w:sz w:val="16"/>
                <w:szCs w:val="16"/>
              </w:rPr>
            </w:pPr>
            <w:r>
              <w:rPr>
                <w:sz w:val="16"/>
                <w:szCs w:val="16"/>
                <w:spacing w:val="-2"/>
              </w:rPr>
              <w:t>务业</w:t>
            </w:r>
          </w:p>
        </w:tc>
        <w:tc>
          <w:tcPr>
            <w:tcW w:w="1318" w:type="dxa"/>
            <w:vAlign w:val="top"/>
            <w:vMerge w:val="restart"/>
            <w:tcBorders>
              <w:bottom w:val="nil"/>
            </w:tcBorders>
          </w:tcPr>
          <w:p>
            <w:pPr>
              <w:pStyle w:val="TableText"/>
              <w:ind w:left="74" w:right="141" w:firstLine="59"/>
              <w:spacing w:before="63" w:line="248" w:lineRule="auto"/>
              <w:rPr>
                <w:sz w:val="16"/>
                <w:szCs w:val="16"/>
              </w:rPr>
            </w:pPr>
            <w:r>
              <w:rPr>
                <w:sz w:val="16"/>
                <w:szCs w:val="16"/>
                <w:spacing w:val="-2"/>
              </w:rPr>
              <w:t>依据行业特征/</w:t>
            </w:r>
            <w:r>
              <w:rPr>
                <w:sz w:val="16"/>
                <w:szCs w:val="16"/>
                <w:spacing w:val="5"/>
              </w:rPr>
              <w:t xml:space="preserve"> </w:t>
            </w:r>
            <w:r>
              <w:rPr>
                <w:sz w:val="16"/>
                <w:szCs w:val="16"/>
                <w:spacing w:val="-2"/>
              </w:rPr>
              <w:t>性质合并</w:t>
            </w:r>
          </w:p>
        </w:tc>
        <w:tc>
          <w:tcPr>
            <w:tcW w:w="998" w:type="dxa"/>
            <w:vAlign w:val="top"/>
          </w:tcPr>
          <w:p>
            <w:pPr>
              <w:pStyle w:val="TableText"/>
              <w:ind w:left="75"/>
              <w:spacing w:before="43" w:line="260" w:lineRule="exact"/>
              <w:rPr>
                <w:sz w:val="16"/>
                <w:szCs w:val="16"/>
              </w:rPr>
            </w:pPr>
            <w:r>
              <w:rPr>
                <w:sz w:val="16"/>
                <w:szCs w:val="16"/>
                <w:spacing w:val="-2"/>
                <w:position w:val="7"/>
              </w:rPr>
              <w:t>非市场服</w:t>
            </w:r>
          </w:p>
          <w:p>
            <w:pPr>
              <w:pStyle w:val="TableText"/>
              <w:ind w:left="75"/>
              <w:spacing w:line="219" w:lineRule="auto"/>
              <w:rPr>
                <w:sz w:val="16"/>
                <w:szCs w:val="16"/>
              </w:rPr>
            </w:pPr>
            <w:r>
              <w:rPr>
                <w:sz w:val="16"/>
                <w:szCs w:val="16"/>
                <w:spacing w:val="-2"/>
              </w:rPr>
              <w:t>务业</w:t>
            </w:r>
          </w:p>
        </w:tc>
        <w:tc>
          <w:tcPr>
            <w:tcW w:w="1432" w:type="dxa"/>
            <w:vAlign w:val="top"/>
          </w:tcPr>
          <w:p>
            <w:pPr>
              <w:pStyle w:val="TableText"/>
              <w:ind w:left="77" w:right="58"/>
              <w:spacing w:before="63" w:line="249" w:lineRule="auto"/>
              <w:rPr>
                <w:sz w:val="16"/>
                <w:szCs w:val="16"/>
              </w:rPr>
            </w:pPr>
            <w:r>
              <w:rPr>
                <w:sz w:val="16"/>
                <w:szCs w:val="16"/>
              </w:rPr>
              <w:t>国家公共行政管理</w:t>
            </w:r>
            <w:r>
              <w:rPr>
                <w:sz w:val="16"/>
                <w:szCs w:val="16"/>
                <w:spacing w:val="4"/>
              </w:rPr>
              <w:t xml:space="preserve"> </w:t>
            </w:r>
            <w:r>
              <w:rPr>
                <w:sz w:val="16"/>
                <w:szCs w:val="16"/>
                <w:spacing w:val="-2"/>
              </w:rPr>
              <w:t>及国防</w:t>
            </w:r>
          </w:p>
        </w:tc>
      </w:tr>
      <w:tr>
        <w:trPr>
          <w:trHeight w:val="519" w:hRule="atLeast"/>
        </w:trPr>
        <w:tc>
          <w:tcPr>
            <w:tcW w:w="654" w:type="dxa"/>
            <w:vAlign w:val="top"/>
          </w:tcPr>
          <w:p>
            <w:pPr>
              <w:pStyle w:val="TableText"/>
              <w:ind w:left="234"/>
              <w:spacing w:before="226" w:line="183" w:lineRule="auto"/>
              <w:rPr>
                <w:sz w:val="16"/>
                <w:szCs w:val="16"/>
              </w:rPr>
            </w:pPr>
            <w:r>
              <w:rPr>
                <w:sz w:val="16"/>
                <w:szCs w:val="16"/>
                <w:spacing w:val="-3"/>
              </w:rPr>
              <w:t>35</w:t>
            </w:r>
          </w:p>
        </w:tc>
        <w:tc>
          <w:tcPr>
            <w:tcW w:w="649" w:type="dxa"/>
            <w:vAlign w:val="top"/>
          </w:tcPr>
          <w:p>
            <w:pPr>
              <w:pStyle w:val="TableText"/>
              <w:ind w:left="270"/>
              <w:spacing w:before="226" w:line="183" w:lineRule="auto"/>
              <w:rPr>
                <w:sz w:val="16"/>
                <w:szCs w:val="16"/>
              </w:rPr>
            </w:pPr>
            <w:r>
              <w:rPr>
                <w:sz w:val="16"/>
                <w:szCs w:val="16"/>
              </w:rPr>
              <w:t>9</w:t>
            </w:r>
          </w:p>
        </w:tc>
        <w:tc>
          <w:tcPr>
            <w:tcW w:w="988" w:type="dxa"/>
            <w:vAlign w:val="top"/>
          </w:tcPr>
          <w:p>
            <w:pPr>
              <w:pStyle w:val="TableText"/>
              <w:ind w:left="81"/>
              <w:spacing w:before="55" w:line="230" w:lineRule="exact"/>
              <w:rPr>
                <w:sz w:val="16"/>
                <w:szCs w:val="16"/>
              </w:rPr>
            </w:pPr>
            <w:r>
              <w:rPr>
                <w:sz w:val="16"/>
                <w:szCs w:val="16"/>
                <w:spacing w:val="-2"/>
                <w:position w:val="5"/>
              </w:rPr>
              <w:t>非市场服</w:t>
            </w:r>
          </w:p>
          <w:p>
            <w:pPr>
              <w:pStyle w:val="TableText"/>
              <w:ind w:left="81"/>
              <w:spacing w:line="219" w:lineRule="auto"/>
              <w:rPr>
                <w:sz w:val="16"/>
                <w:szCs w:val="16"/>
              </w:rPr>
            </w:pPr>
            <w:r>
              <w:rPr>
                <w:sz w:val="16"/>
                <w:szCs w:val="16"/>
                <w:spacing w:val="-2"/>
              </w:rPr>
              <w:t>务业</w:t>
            </w:r>
          </w:p>
        </w:tc>
        <w:tc>
          <w:tcPr>
            <w:tcW w:w="1318" w:type="dxa"/>
            <w:vAlign w:val="top"/>
            <w:vMerge w:val="continue"/>
            <w:tcBorders>
              <w:top w:val="nil"/>
              <w:bottom w:val="nil"/>
            </w:tcBorders>
          </w:tcPr>
          <w:p>
            <w:pPr>
              <w:rPr>
                <w:rFonts w:ascii="Arial"/>
                <w:sz w:val="21"/>
              </w:rPr>
            </w:pPr>
            <w:r/>
          </w:p>
        </w:tc>
        <w:tc>
          <w:tcPr>
            <w:tcW w:w="998" w:type="dxa"/>
            <w:vAlign w:val="top"/>
          </w:tcPr>
          <w:p>
            <w:pPr>
              <w:pStyle w:val="TableText"/>
              <w:ind w:left="155"/>
              <w:spacing w:before="55" w:line="250" w:lineRule="exact"/>
              <w:rPr>
                <w:sz w:val="16"/>
                <w:szCs w:val="16"/>
              </w:rPr>
            </w:pPr>
            <w:r>
              <w:rPr>
                <w:sz w:val="16"/>
                <w:szCs w:val="16"/>
                <w:spacing w:val="-2"/>
                <w:position w:val="6"/>
              </w:rPr>
              <w:t>非市场服</w:t>
            </w:r>
          </w:p>
          <w:p>
            <w:pPr>
              <w:pStyle w:val="TableText"/>
              <w:ind w:left="75"/>
              <w:spacing w:line="219" w:lineRule="auto"/>
              <w:rPr>
                <w:sz w:val="16"/>
                <w:szCs w:val="16"/>
              </w:rPr>
            </w:pPr>
            <w:r>
              <w:rPr>
                <w:sz w:val="16"/>
                <w:szCs w:val="16"/>
                <w:spacing w:val="-2"/>
              </w:rPr>
              <w:t>务业</w:t>
            </w:r>
          </w:p>
        </w:tc>
        <w:tc>
          <w:tcPr>
            <w:tcW w:w="1432" w:type="dxa"/>
            <w:vAlign w:val="top"/>
          </w:tcPr>
          <w:p>
            <w:pPr>
              <w:pStyle w:val="TableText"/>
              <w:ind w:left="77"/>
              <w:spacing w:before="65" w:line="219" w:lineRule="auto"/>
              <w:rPr>
                <w:sz w:val="16"/>
                <w:szCs w:val="16"/>
              </w:rPr>
            </w:pPr>
            <w:r>
              <w:rPr>
                <w:sz w:val="16"/>
                <w:szCs w:val="16"/>
                <w:spacing w:val="-2"/>
              </w:rPr>
              <w:t>教育服务业</w:t>
            </w:r>
          </w:p>
        </w:tc>
      </w:tr>
      <w:tr>
        <w:trPr>
          <w:trHeight w:val="524" w:hRule="atLeast"/>
        </w:trPr>
        <w:tc>
          <w:tcPr>
            <w:tcW w:w="654" w:type="dxa"/>
            <w:vAlign w:val="top"/>
          </w:tcPr>
          <w:p>
            <w:pPr>
              <w:pStyle w:val="TableText"/>
              <w:ind w:left="234"/>
              <w:spacing w:before="227" w:line="183" w:lineRule="auto"/>
              <w:rPr>
                <w:sz w:val="16"/>
                <w:szCs w:val="16"/>
              </w:rPr>
            </w:pPr>
            <w:r>
              <w:rPr>
                <w:sz w:val="16"/>
                <w:szCs w:val="16"/>
                <w:spacing w:val="-3"/>
              </w:rPr>
              <w:t>36</w:t>
            </w:r>
          </w:p>
        </w:tc>
        <w:tc>
          <w:tcPr>
            <w:tcW w:w="649" w:type="dxa"/>
            <w:vAlign w:val="top"/>
          </w:tcPr>
          <w:p>
            <w:pPr>
              <w:pStyle w:val="TableText"/>
              <w:ind w:left="270"/>
              <w:spacing w:before="227" w:line="183" w:lineRule="auto"/>
              <w:rPr>
                <w:sz w:val="16"/>
                <w:szCs w:val="16"/>
              </w:rPr>
            </w:pPr>
            <w:r>
              <w:rPr>
                <w:sz w:val="16"/>
                <w:szCs w:val="16"/>
              </w:rPr>
              <w:t>9</w:t>
            </w:r>
          </w:p>
        </w:tc>
        <w:tc>
          <w:tcPr>
            <w:tcW w:w="988" w:type="dxa"/>
            <w:vAlign w:val="top"/>
          </w:tcPr>
          <w:p>
            <w:pPr>
              <w:pStyle w:val="TableText"/>
              <w:ind w:left="81"/>
              <w:spacing w:before="56" w:line="230" w:lineRule="exact"/>
              <w:rPr>
                <w:sz w:val="16"/>
                <w:szCs w:val="16"/>
              </w:rPr>
            </w:pPr>
            <w:r>
              <w:rPr>
                <w:sz w:val="16"/>
                <w:szCs w:val="16"/>
                <w:spacing w:val="-2"/>
                <w:position w:val="5"/>
              </w:rPr>
              <w:t>非市场服</w:t>
            </w:r>
          </w:p>
          <w:p>
            <w:pPr>
              <w:pStyle w:val="TableText"/>
              <w:ind w:left="81"/>
              <w:spacing w:line="219" w:lineRule="auto"/>
              <w:rPr>
                <w:sz w:val="16"/>
                <w:szCs w:val="16"/>
              </w:rPr>
            </w:pPr>
            <w:r>
              <w:rPr>
                <w:sz w:val="16"/>
                <w:szCs w:val="16"/>
                <w:spacing w:val="-2"/>
              </w:rPr>
              <w:t>务业</w:t>
            </w:r>
          </w:p>
        </w:tc>
        <w:tc>
          <w:tcPr>
            <w:tcW w:w="1318" w:type="dxa"/>
            <w:vAlign w:val="top"/>
            <w:vMerge w:val="continue"/>
            <w:tcBorders>
              <w:top w:val="nil"/>
            </w:tcBorders>
          </w:tcPr>
          <w:p>
            <w:pPr>
              <w:rPr>
                <w:rFonts w:ascii="Arial"/>
                <w:sz w:val="21"/>
              </w:rPr>
            </w:pPr>
            <w:r/>
          </w:p>
        </w:tc>
        <w:tc>
          <w:tcPr>
            <w:tcW w:w="998" w:type="dxa"/>
            <w:vAlign w:val="top"/>
          </w:tcPr>
          <w:p>
            <w:pPr>
              <w:pStyle w:val="TableText"/>
              <w:ind w:left="75"/>
              <w:spacing w:before="56" w:line="230" w:lineRule="exact"/>
              <w:rPr>
                <w:sz w:val="16"/>
                <w:szCs w:val="16"/>
              </w:rPr>
            </w:pPr>
            <w:r>
              <w:rPr>
                <w:sz w:val="16"/>
                <w:szCs w:val="16"/>
                <w:spacing w:val="-2"/>
                <w:position w:val="5"/>
              </w:rPr>
              <w:t>非市场服</w:t>
            </w:r>
          </w:p>
          <w:p>
            <w:pPr>
              <w:pStyle w:val="TableText"/>
              <w:ind w:left="75"/>
              <w:spacing w:line="219" w:lineRule="auto"/>
              <w:rPr>
                <w:sz w:val="16"/>
                <w:szCs w:val="16"/>
              </w:rPr>
            </w:pPr>
            <w:r>
              <w:rPr>
                <w:sz w:val="16"/>
                <w:szCs w:val="16"/>
                <w:spacing w:val="-2"/>
              </w:rPr>
              <w:t>务业</w:t>
            </w:r>
          </w:p>
        </w:tc>
        <w:tc>
          <w:tcPr>
            <w:tcW w:w="1432" w:type="dxa"/>
            <w:vAlign w:val="top"/>
          </w:tcPr>
          <w:p>
            <w:pPr>
              <w:pStyle w:val="TableText"/>
              <w:ind w:left="77" w:right="71"/>
              <w:spacing w:before="65" w:line="250" w:lineRule="auto"/>
              <w:rPr>
                <w:sz w:val="16"/>
                <w:szCs w:val="16"/>
              </w:rPr>
            </w:pPr>
            <w:r>
              <w:rPr>
                <w:sz w:val="16"/>
                <w:szCs w:val="16"/>
                <w:spacing w:val="-1"/>
              </w:rPr>
              <w:t>卫生服务业、社会</w:t>
            </w:r>
            <w:r>
              <w:rPr>
                <w:sz w:val="16"/>
                <w:szCs w:val="16"/>
              </w:rPr>
              <w:t xml:space="preserve"> </w:t>
            </w:r>
            <w:r>
              <w:rPr>
                <w:sz w:val="16"/>
                <w:szCs w:val="16"/>
                <w:spacing w:val="-2"/>
              </w:rPr>
              <w:t>福利业</w:t>
            </w:r>
          </w:p>
        </w:tc>
      </w:tr>
    </w:tbl>
    <w:p>
      <w:pPr>
        <w:ind w:right="32" w:firstLine="370"/>
        <w:spacing w:before="152" w:line="268" w:lineRule="auto"/>
        <w:jc w:val="both"/>
        <w:rPr>
          <w:rFonts w:ascii="SimSun" w:hAnsi="SimSun" w:eastAsia="SimSun" w:cs="SimSun"/>
          <w:sz w:val="16"/>
          <w:szCs w:val="16"/>
        </w:rPr>
      </w:pPr>
      <w:r>
        <w:rPr>
          <w:rFonts w:ascii="KaiTi" w:hAnsi="KaiTi" w:eastAsia="KaiTi" w:cs="KaiTi"/>
          <w:sz w:val="16"/>
          <w:szCs w:val="16"/>
          <w:spacing w:val="1"/>
        </w:rPr>
        <w:t>资料来源：</w:t>
      </w:r>
      <w:r>
        <w:rPr>
          <w:rFonts w:ascii="KaiTi" w:hAnsi="KaiTi" w:eastAsia="KaiTi" w:cs="KaiTi"/>
          <w:sz w:val="16"/>
          <w:szCs w:val="16"/>
          <w:spacing w:val="1"/>
        </w:rPr>
        <w:t xml:space="preserve"> </w:t>
      </w:r>
      <w:r>
        <w:rPr>
          <w:rFonts w:ascii="Times New Roman" w:hAnsi="Times New Roman" w:eastAsia="Times New Roman" w:cs="Times New Roman"/>
          <w:sz w:val="16"/>
          <w:szCs w:val="16"/>
        </w:rPr>
        <w:t>David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Liang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Harry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X</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Wu</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Kyoji</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Fukao</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Estimation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rPr>
        <w:t>Investment  in  ICT  Assets</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and  Accumulated</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ICT</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Capital</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Stock",ID</w:t>
      </w:r>
      <w:r>
        <w:rPr>
          <w:rFonts w:ascii="Times New Roman" w:hAnsi="Times New Roman" w:eastAsia="Times New Roman" w:cs="Times New Roman"/>
          <w:sz w:val="16"/>
          <w:szCs w:val="16"/>
          <w:spacing w:val="-1"/>
        </w:rPr>
        <w:t>E</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Discussion</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Paper,</w:t>
      </w:r>
      <w:r>
        <w:rPr>
          <w:rFonts w:ascii="Times New Roman" w:hAnsi="Times New Roman" w:eastAsia="Times New Roman" w:cs="Times New Roman"/>
          <w:sz w:val="16"/>
          <w:szCs w:val="16"/>
        </w:rPr>
        <w:t xml:space="preserve">  </w:t>
      </w:r>
      <w:r>
        <w:rPr>
          <w:rFonts w:ascii="SimSun" w:hAnsi="SimSun" w:eastAsia="SimSun" w:cs="SimSun"/>
          <w:sz w:val="16"/>
          <w:szCs w:val="16"/>
        </w:rPr>
        <w:t>No.833,2022.</w:t>
      </w:r>
    </w:p>
    <w:p>
      <w:pPr>
        <w:spacing w:line="268" w:lineRule="auto"/>
        <w:sectPr>
          <w:pgSz w:w="7330" w:h="12480"/>
          <w:pgMar w:top="303" w:right="621" w:bottom="400" w:left="630" w:header="0" w:footer="0" w:gutter="0"/>
        </w:sectPr>
        <w:rPr>
          <w:rFonts w:ascii="SimSun" w:hAnsi="SimSun" w:eastAsia="SimSun" w:cs="SimSun"/>
          <w:sz w:val="16"/>
          <w:szCs w:val="16"/>
        </w:rPr>
      </w:pPr>
    </w:p>
    <w:p>
      <w:pPr>
        <w:pStyle w:val="BodyText"/>
        <w:spacing w:line="266" w:lineRule="auto"/>
        <w:rPr/>
      </w:pPr>
      <w:r>
        <w:drawing>
          <wp:anchor distT="0" distB="0" distL="0" distR="0" simplePos="0" relativeHeight="252921856" behindDoc="0" locked="0" layoutInCell="0" allowOverlap="1">
            <wp:simplePos x="0" y="0"/>
            <wp:positionH relativeFrom="page">
              <wp:posOffset>228584</wp:posOffset>
            </wp:positionH>
            <wp:positionV relativeFrom="page">
              <wp:posOffset>7035790</wp:posOffset>
            </wp:positionV>
            <wp:extent cx="1168431" cy="6350"/>
            <wp:effectExtent l="0" t="0" r="0" b="0"/>
            <wp:wrapNone/>
            <wp:docPr id="130" name="IM 130"/>
            <wp:cNvGraphicFramePr/>
            <a:graphic>
              <a:graphicData uri="http://schemas.openxmlformats.org/drawingml/2006/picture">
                <pic:pic>
                  <pic:nvPicPr>
                    <pic:cNvPr id="130" name="IM 130"/>
                    <pic:cNvPicPr/>
                  </pic:nvPicPr>
                  <pic:blipFill>
                    <a:blip r:embed="rId146"/>
                    <a:stretch>
                      <a:fillRect/>
                    </a:stretch>
                  </pic:blipFill>
                  <pic:spPr>
                    <a:xfrm rot="0">
                      <a:off x="0" y="0"/>
                      <a:ext cx="1168431" cy="6350"/>
                    </a:xfrm>
                    <a:prstGeom prst="rect">
                      <a:avLst/>
                    </a:prstGeom>
                  </pic:spPr>
                </pic:pic>
              </a:graphicData>
            </a:graphic>
          </wp:anchor>
        </w:drawing>
      </w:r>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firstLine="860"/>
        <w:spacing w:line="3640" w:lineRule="exact"/>
        <w:rPr/>
      </w:pPr>
      <w:r>
        <w:rPr>
          <w:position w:val="-72"/>
        </w:rPr>
        <w:drawing>
          <wp:inline distT="0" distB="0" distL="0" distR="0">
            <wp:extent cx="2838437" cy="2311346"/>
            <wp:effectExtent l="0" t="0" r="0" b="0"/>
            <wp:docPr id="132" name="IM 132"/>
            <wp:cNvGraphicFramePr/>
            <a:graphic>
              <a:graphicData uri="http://schemas.openxmlformats.org/drawingml/2006/picture">
                <pic:pic>
                  <pic:nvPicPr>
                    <pic:cNvPr id="132" name="IM 132"/>
                    <pic:cNvPicPr/>
                  </pic:nvPicPr>
                  <pic:blipFill>
                    <a:blip r:embed="rId147"/>
                    <a:stretch>
                      <a:fillRect/>
                    </a:stretch>
                  </pic:blipFill>
                  <pic:spPr>
                    <a:xfrm rot="0">
                      <a:off x="0" y="0"/>
                      <a:ext cx="2838437" cy="2311346"/>
                    </a:xfrm>
                    <a:prstGeom prst="rect">
                      <a:avLst/>
                    </a:prstGeom>
                  </pic:spPr>
                </pic:pic>
              </a:graphicData>
            </a:graphic>
          </wp:inline>
        </w:drawing>
      </w:r>
    </w:p>
    <w:p>
      <w:pPr>
        <w:ind w:left="1170"/>
        <w:spacing w:before="280" w:line="222" w:lineRule="auto"/>
        <w:tabs>
          <w:tab w:val="left" w:pos="2580"/>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35"/>
        </w:rPr>
        <w:t xml:space="preserve"> </w:t>
      </w:r>
      <w:r>
        <w:rPr>
          <w:rFonts w:ascii="SimHei" w:hAnsi="SimHei" w:eastAsia="SimHei" w:cs="SimHei"/>
          <w:sz w:val="29"/>
          <w:szCs w:val="29"/>
          <w:spacing w:val="-4"/>
        </w:rPr>
        <w:t>第三章</w:t>
      </w:r>
      <w:r>
        <w:rPr>
          <w:rFonts w:ascii="SimHei" w:hAnsi="SimHei" w:eastAsia="SimHei" w:cs="SimHei"/>
          <w:sz w:val="29"/>
          <w:szCs w:val="29"/>
          <w:spacing w:val="-74"/>
        </w:rPr>
        <w:t xml:space="preserve"> </w:t>
      </w:r>
      <w:r>
        <w:rPr>
          <w:rFonts w:ascii="SimHei" w:hAnsi="SimHei" w:eastAsia="SimHei" w:cs="SimHei"/>
          <w:sz w:val="29"/>
          <w:szCs w:val="29"/>
          <w:strike/>
        </w:rPr>
        <w:t xml:space="preserve">          </w:t>
      </w:r>
    </w:p>
    <w:p>
      <w:pPr>
        <w:pStyle w:val="BodyText"/>
        <w:spacing w:line="292" w:lineRule="auto"/>
        <w:rPr/>
      </w:pPr>
      <w:r/>
    </w:p>
    <w:p>
      <w:pPr>
        <w:ind w:left="2285"/>
        <w:spacing w:before="117" w:line="207" w:lineRule="auto"/>
        <w:rPr>
          <w:rFonts w:ascii="SimSun" w:hAnsi="SimSun" w:eastAsia="SimSun" w:cs="SimSun"/>
          <w:sz w:val="36"/>
          <w:szCs w:val="36"/>
        </w:rPr>
      </w:pPr>
      <w:r>
        <w:rPr>
          <w:rFonts w:ascii="SimSun" w:hAnsi="SimSun" w:eastAsia="SimSun" w:cs="SimSun"/>
          <w:sz w:val="36"/>
          <w:szCs w:val="36"/>
          <w:b/>
          <w:bCs/>
          <w:spacing w:val="-7"/>
        </w:rPr>
        <w:t>平台经济</w:t>
      </w:r>
    </w:p>
    <w:p>
      <w:pPr>
        <w:ind w:left="1125"/>
        <w:spacing w:before="1" w:line="239" w:lineRule="auto"/>
        <w:rPr>
          <w:rFonts w:ascii="SimSun" w:hAnsi="SimSun" w:eastAsia="SimSun" w:cs="SimSun"/>
          <w:sz w:val="14"/>
          <w:szCs w:val="14"/>
        </w:rPr>
      </w:pPr>
      <w:r>
        <w:rPr>
          <w:rFonts w:ascii="SimSun" w:hAnsi="SimSun" w:eastAsia="SimSun" w:cs="SimSun"/>
          <w:sz w:val="36"/>
          <w:szCs w:val="36"/>
          <w:b/>
          <w:bCs/>
          <w:spacing w:val="-6"/>
        </w:rPr>
        <w:t>与平台企业的中美比较</w:t>
      </w:r>
      <w:r>
        <w:rPr>
          <w:rFonts w:ascii="SimSun" w:hAnsi="SimSun" w:eastAsia="SimSun" w:cs="SimSun"/>
          <w:sz w:val="36"/>
          <w:szCs w:val="36"/>
          <w:spacing w:val="-58"/>
        </w:rPr>
        <w:t xml:space="preserve"> </w:t>
      </w:r>
      <w:r>
        <w:rPr>
          <w:rFonts w:ascii="SimSun" w:hAnsi="SimSun" w:eastAsia="SimSun" w:cs="SimSun"/>
          <w:sz w:val="14"/>
          <w:szCs w:val="14"/>
          <w:spacing w:val="-6"/>
          <w:position w:val="26"/>
        </w:rPr>
        <w:t>①</w:t>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10"/>
        <w:spacing w:before="55" w:line="220" w:lineRule="auto"/>
        <w:rPr>
          <w:rFonts w:ascii="KaiTi" w:hAnsi="KaiTi" w:eastAsia="KaiTi" w:cs="KaiTi"/>
          <w:sz w:val="17"/>
          <w:szCs w:val="17"/>
        </w:rPr>
      </w:pPr>
      <w:r>
        <w:rPr>
          <w:rFonts w:ascii="SimSun" w:hAnsi="SimSun" w:eastAsia="SimSun" w:cs="SimSun"/>
          <w:sz w:val="17"/>
          <w:szCs w:val="17"/>
          <w:spacing w:val="-10"/>
        </w:rPr>
        <w:t>①</w:t>
      </w:r>
      <w:r>
        <w:rPr>
          <w:rFonts w:ascii="SimSun" w:hAnsi="SimSun" w:eastAsia="SimSun" w:cs="SimSun"/>
          <w:sz w:val="17"/>
          <w:szCs w:val="17"/>
          <w:spacing w:val="39"/>
        </w:rPr>
        <w:t xml:space="preserve"> </w:t>
      </w:r>
      <w:r>
        <w:rPr>
          <w:rFonts w:ascii="KaiTi" w:hAnsi="KaiTi" w:eastAsia="KaiTi" w:cs="KaiTi"/>
          <w:sz w:val="17"/>
          <w:szCs w:val="17"/>
          <w:spacing w:val="-10"/>
        </w:rPr>
        <w:t>本章作者为胡佳胤，感谢刘佳慧的助研工作。</w:t>
      </w:r>
    </w:p>
    <w:p>
      <w:pPr>
        <w:spacing w:line="220" w:lineRule="auto"/>
        <w:sectPr>
          <w:pgSz w:w="7330" w:h="12480"/>
          <w:pgMar w:top="400" w:right="1099" w:bottom="400" w:left="359" w:header="0" w:footer="0" w:gutter="0"/>
        </w:sectPr>
        <w:rPr>
          <w:rFonts w:ascii="KaiTi" w:hAnsi="KaiTi" w:eastAsia="KaiTi" w:cs="KaiTi"/>
          <w:sz w:val="17"/>
          <w:szCs w:val="17"/>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ind w:firstLine="770"/>
        <w:spacing w:line="2520" w:lineRule="exact"/>
        <w:rPr/>
      </w:pPr>
      <w:r>
        <w:rPr>
          <w:position w:val="-50"/>
        </w:rPr>
        <w:drawing>
          <wp:inline distT="0" distB="0" distL="0" distR="0">
            <wp:extent cx="2279612" cy="1600175"/>
            <wp:effectExtent l="0" t="0" r="0" b="0"/>
            <wp:docPr id="134" name="IM 134"/>
            <wp:cNvGraphicFramePr/>
            <a:graphic>
              <a:graphicData uri="http://schemas.openxmlformats.org/drawingml/2006/picture">
                <pic:pic>
                  <pic:nvPicPr>
                    <pic:cNvPr id="134" name="IM 134"/>
                    <pic:cNvPicPr/>
                  </pic:nvPicPr>
                  <pic:blipFill>
                    <a:blip r:embed="rId148"/>
                    <a:stretch>
                      <a:fillRect/>
                    </a:stretch>
                  </pic:blipFill>
                  <pic:spPr>
                    <a:xfrm rot="0">
                      <a:off x="0" y="0"/>
                      <a:ext cx="2279612" cy="1600175"/>
                    </a:xfrm>
                    <a:prstGeom prst="rect">
                      <a:avLst/>
                    </a:prstGeom>
                  </pic:spPr>
                </pic:pic>
              </a:graphicData>
            </a:graphic>
          </wp:inline>
        </w:drawing>
      </w:r>
    </w:p>
    <w:p>
      <w:pPr>
        <w:spacing w:line="2520" w:lineRule="exact"/>
        <w:sectPr>
          <w:pgSz w:w="7330" w:h="12480"/>
          <w:pgMar w:top="400" w:right="1099" w:bottom="400" w:left="1099" w:header="0" w:footer="0" w:gutter="0"/>
        </w:sectPr>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564"/>
        <w:spacing w:before="104" w:line="219" w:lineRule="auto"/>
        <w:rPr>
          <w:rFonts w:ascii="SimSun" w:hAnsi="SimSun" w:eastAsia="SimSun" w:cs="SimSun"/>
          <w:sz w:val="32"/>
          <w:szCs w:val="32"/>
        </w:rPr>
      </w:pPr>
      <w:r>
        <w:rPr>
          <w:rFonts w:ascii="SimSun" w:hAnsi="SimSun" w:eastAsia="SimSun" w:cs="SimSun"/>
          <w:sz w:val="32"/>
          <w:szCs w:val="32"/>
          <w:b/>
          <w:bCs/>
          <w:spacing w:val="-5"/>
        </w:rPr>
        <w:t>数字时代的大国平台</w:t>
      </w:r>
    </w:p>
    <w:p>
      <w:pPr>
        <w:pStyle w:val="BodyText"/>
        <w:spacing w:line="267" w:lineRule="auto"/>
        <w:rPr/>
      </w:pPr>
      <w:r/>
    </w:p>
    <w:p>
      <w:pPr>
        <w:ind w:firstLine="390"/>
        <w:spacing w:before="68" w:line="307" w:lineRule="auto"/>
        <w:jc w:val="both"/>
        <w:rPr>
          <w:rFonts w:ascii="SimSun" w:hAnsi="SimSun" w:eastAsia="SimSun" w:cs="SimSun"/>
          <w:sz w:val="21"/>
          <w:szCs w:val="21"/>
        </w:rPr>
      </w:pPr>
      <w:r>
        <w:rPr>
          <w:rFonts w:ascii="SimSun" w:hAnsi="SimSun" w:eastAsia="SimSun" w:cs="SimSun"/>
          <w:sz w:val="21"/>
          <w:szCs w:val="21"/>
          <w:spacing w:val="-3"/>
        </w:rPr>
        <w:t>大的经济体才能诞生大的科技平台企业。作为世界前两大经济 </w:t>
      </w:r>
      <w:r>
        <w:rPr>
          <w:rFonts w:ascii="SimSun" w:hAnsi="SimSun" w:eastAsia="SimSun" w:cs="SimSun"/>
          <w:sz w:val="21"/>
          <w:szCs w:val="21"/>
          <w:spacing w:val="-8"/>
        </w:rPr>
        <w:t>体，中国和美国诞生了以腾讯、阿里巴巴、字节跳动和苹果、谷歌、</w:t>
      </w:r>
      <w:r>
        <w:rPr>
          <w:rFonts w:ascii="SimSun" w:hAnsi="SimSun" w:eastAsia="SimSun" w:cs="SimSun"/>
          <w:sz w:val="21"/>
          <w:szCs w:val="21"/>
          <w:spacing w:val="14"/>
        </w:rPr>
        <w:t xml:space="preserve"> </w:t>
      </w:r>
      <w:r>
        <w:rPr>
          <w:rFonts w:ascii="SimSun" w:hAnsi="SimSun" w:eastAsia="SimSun" w:cs="SimSun"/>
          <w:sz w:val="21"/>
          <w:szCs w:val="21"/>
          <w:spacing w:val="-10"/>
        </w:rPr>
        <w:t>亚马逊、脸书为代表的大科技平台企业。平台经济和平台企业覆盖了 </w:t>
      </w:r>
      <w:r>
        <w:rPr>
          <w:rFonts w:ascii="SimSun" w:hAnsi="SimSun" w:eastAsia="SimSun" w:cs="SimSun"/>
          <w:sz w:val="21"/>
          <w:szCs w:val="21"/>
          <w:spacing w:val="-11"/>
        </w:rPr>
        <w:t>人们工作生活的方方面面，已经成为举足轻重的数字经济入口。监管</w:t>
      </w:r>
      <w:r>
        <w:rPr>
          <w:rFonts w:ascii="SimSun" w:hAnsi="SimSun" w:eastAsia="SimSun" w:cs="SimSun"/>
          <w:sz w:val="21"/>
          <w:szCs w:val="21"/>
          <w:spacing w:val="4"/>
        </w:rPr>
        <w:t xml:space="preserve">  </w:t>
      </w:r>
      <w:r>
        <w:rPr>
          <w:rFonts w:ascii="SimSun" w:hAnsi="SimSun" w:eastAsia="SimSun" w:cs="SimSun"/>
          <w:sz w:val="21"/>
          <w:szCs w:val="21"/>
          <w:spacing w:val="-10"/>
        </w:rPr>
        <w:t>部门也紧跟步伐，采取了一系列面向互联网平台的监管举措。平台企 </w:t>
      </w:r>
      <w:r>
        <w:rPr>
          <w:rFonts w:ascii="SimSun" w:hAnsi="SimSun" w:eastAsia="SimSun" w:cs="SimSun"/>
          <w:sz w:val="21"/>
          <w:szCs w:val="21"/>
          <w:spacing w:val="-11"/>
        </w:rPr>
        <w:t>业反垄断在中美市场监管政策议程中都占据热点位置，对平台企业的</w:t>
      </w:r>
      <w:r>
        <w:rPr>
          <w:rFonts w:ascii="SimSun" w:hAnsi="SimSun" w:eastAsia="SimSun" w:cs="SimSun"/>
          <w:sz w:val="21"/>
          <w:szCs w:val="21"/>
          <w:spacing w:val="7"/>
        </w:rPr>
        <w:t xml:space="preserve">  </w:t>
      </w:r>
      <w:r>
        <w:rPr>
          <w:rFonts w:ascii="SimSun" w:hAnsi="SimSun" w:eastAsia="SimSun" w:cs="SimSun"/>
          <w:sz w:val="21"/>
          <w:szCs w:val="21"/>
          <w:spacing w:val="-10"/>
        </w:rPr>
        <w:t>分级分类监管措施也正在拟订中。在国际竞争</w:t>
      </w:r>
      <w:r>
        <w:rPr>
          <w:rFonts w:ascii="SimSun" w:hAnsi="SimSun" w:eastAsia="SimSun" w:cs="SimSun"/>
          <w:sz w:val="21"/>
          <w:szCs w:val="21"/>
          <w:spacing w:val="-11"/>
        </w:rPr>
        <w:t>环境之下，互联网平台</w:t>
      </w:r>
      <w:r>
        <w:rPr>
          <w:rFonts w:ascii="SimSun" w:hAnsi="SimSun" w:eastAsia="SimSun" w:cs="SimSun"/>
          <w:sz w:val="21"/>
          <w:szCs w:val="21"/>
        </w:rPr>
        <w:t xml:space="preserve"> </w:t>
      </w:r>
      <w:r>
        <w:rPr>
          <w:rFonts w:ascii="SimSun" w:hAnsi="SimSun" w:eastAsia="SimSun" w:cs="SimSun"/>
          <w:sz w:val="21"/>
          <w:szCs w:val="21"/>
          <w:spacing w:val="-8"/>
        </w:rPr>
        <w:t>企业是经济发展的重要力量，代表了一个国家在国际竞争中的水平。</w:t>
      </w:r>
      <w:r>
        <w:rPr>
          <w:rFonts w:ascii="SimSun" w:hAnsi="SimSun" w:eastAsia="SimSun" w:cs="SimSun"/>
          <w:sz w:val="21"/>
          <w:szCs w:val="21"/>
          <w:spacing w:val="14"/>
        </w:rPr>
        <w:t xml:space="preserve"> </w:t>
      </w:r>
      <w:r>
        <w:rPr>
          <w:rFonts w:ascii="SimSun" w:hAnsi="SimSun" w:eastAsia="SimSun" w:cs="SimSun"/>
          <w:sz w:val="21"/>
          <w:szCs w:val="21"/>
          <w:spacing w:val="-11"/>
        </w:rPr>
        <w:t>平台经济和平台企业如何进一步规范健康地发展，是监管部门正在认</w:t>
      </w:r>
      <w:r>
        <w:rPr>
          <w:rFonts w:ascii="SimSun" w:hAnsi="SimSun" w:eastAsia="SimSun" w:cs="SimSun"/>
          <w:sz w:val="21"/>
          <w:szCs w:val="21"/>
          <w:spacing w:val="4"/>
        </w:rPr>
        <w:t xml:space="preserve">  </w:t>
      </w:r>
      <w:r>
        <w:rPr>
          <w:rFonts w:ascii="SimSun" w:hAnsi="SimSun" w:eastAsia="SimSun" w:cs="SimSun"/>
          <w:sz w:val="21"/>
          <w:szCs w:val="21"/>
          <w:spacing w:val="-15"/>
        </w:rPr>
        <w:t>真思考的问题。</w:t>
      </w:r>
    </w:p>
    <w:p>
      <w:pPr>
        <w:ind w:firstLine="409"/>
        <w:spacing w:before="117" w:line="297" w:lineRule="auto"/>
        <w:jc w:val="both"/>
        <w:rPr>
          <w:rFonts w:ascii="SimSun" w:hAnsi="SimSun" w:eastAsia="SimSun" w:cs="SimSun"/>
          <w:sz w:val="21"/>
          <w:szCs w:val="21"/>
        </w:rPr>
      </w:pPr>
      <w:r>
        <w:rPr>
          <w:rFonts w:ascii="SimSun" w:hAnsi="SimSun" w:eastAsia="SimSun" w:cs="SimSun"/>
          <w:sz w:val="21"/>
          <w:szCs w:val="21"/>
          <w:spacing w:val="-11"/>
        </w:rPr>
        <w:t>本章基于数据分析来刻画平台在经济社会中扮演的重要角色，试 </w:t>
      </w:r>
      <w:r>
        <w:rPr>
          <w:rFonts w:ascii="SimSun" w:hAnsi="SimSun" w:eastAsia="SimSun" w:cs="SimSun"/>
          <w:sz w:val="21"/>
          <w:szCs w:val="21"/>
          <w:spacing w:val="-11"/>
        </w:rPr>
        <w:t>图厘清中美平台经济和平台企业发展的基本事实，从国际比较的视野</w:t>
      </w:r>
      <w:r>
        <w:rPr>
          <w:rFonts w:ascii="SimSun" w:hAnsi="SimSun" w:eastAsia="SimSun" w:cs="SimSun"/>
          <w:sz w:val="21"/>
          <w:szCs w:val="21"/>
          <w:spacing w:val="4"/>
        </w:rPr>
        <w:t xml:space="preserve">  </w:t>
      </w:r>
      <w:r>
        <w:rPr>
          <w:rFonts w:ascii="SimSun" w:hAnsi="SimSun" w:eastAsia="SimSun" w:cs="SimSun"/>
          <w:sz w:val="21"/>
          <w:szCs w:val="21"/>
          <w:spacing w:val="-11"/>
        </w:rPr>
        <w:t>来思考平台经济的创新和监管。主要结论有三：第一，平台经济</w:t>
      </w:r>
      <w:r>
        <w:rPr>
          <w:rFonts w:ascii="SimSun" w:hAnsi="SimSun" w:eastAsia="SimSun" w:cs="SimSun"/>
          <w:sz w:val="21"/>
          <w:szCs w:val="21"/>
          <w:spacing w:val="-12"/>
        </w:rPr>
        <w:t>和平</w:t>
      </w:r>
      <w:r>
        <w:rPr>
          <w:rFonts w:ascii="SimSun" w:hAnsi="SimSun" w:eastAsia="SimSun" w:cs="SimSun"/>
          <w:sz w:val="21"/>
          <w:szCs w:val="21"/>
        </w:rPr>
        <w:t xml:space="preserve">  </w:t>
      </w:r>
      <w:r>
        <w:rPr>
          <w:rFonts w:ascii="SimSun" w:hAnsi="SimSun" w:eastAsia="SimSun" w:cs="SimSun"/>
          <w:sz w:val="21"/>
          <w:szCs w:val="21"/>
          <w:spacing w:val="-4"/>
        </w:rPr>
        <w:t>台企业影响着人们日常生活工作的方方面面，不仅是数字经济发展</w:t>
      </w:r>
      <w:r>
        <w:rPr>
          <w:rFonts w:ascii="SimSun" w:hAnsi="SimSun" w:eastAsia="SimSun" w:cs="SimSun"/>
          <w:sz w:val="21"/>
          <w:szCs w:val="21"/>
          <w:spacing w:val="3"/>
        </w:rPr>
        <w:t xml:space="preserve">  </w:t>
      </w:r>
      <w:r>
        <w:rPr>
          <w:rFonts w:ascii="SimSun" w:hAnsi="SimSun" w:eastAsia="SimSun" w:cs="SimSun"/>
          <w:sz w:val="21"/>
          <w:szCs w:val="21"/>
          <w:spacing w:val="-11"/>
        </w:rPr>
        <w:t>举足轻重的市场驱动力，还掌握着海量的用户、数据、应用场景等资</w:t>
      </w:r>
      <w:r>
        <w:rPr>
          <w:rFonts w:ascii="SimSun" w:hAnsi="SimSun" w:eastAsia="SimSun" w:cs="SimSun"/>
          <w:sz w:val="21"/>
          <w:szCs w:val="21"/>
          <w:spacing w:val="6"/>
        </w:rPr>
        <w:t xml:space="preserve">  </w:t>
      </w:r>
      <w:r>
        <w:rPr>
          <w:rFonts w:ascii="SimSun" w:hAnsi="SimSun" w:eastAsia="SimSun" w:cs="SimSun"/>
          <w:sz w:val="21"/>
          <w:szCs w:val="21"/>
          <w:spacing w:val="-10"/>
        </w:rPr>
        <w:t>源，平台的健康发展不能缺少政府监管的政策</w:t>
      </w:r>
      <w:r>
        <w:rPr>
          <w:rFonts w:ascii="SimSun" w:hAnsi="SimSun" w:eastAsia="SimSun" w:cs="SimSun"/>
          <w:sz w:val="21"/>
          <w:szCs w:val="21"/>
          <w:spacing w:val="-11"/>
        </w:rPr>
        <w:t>规范；第二，我国平台</w:t>
      </w:r>
      <w:r>
        <w:rPr>
          <w:rFonts w:ascii="SimSun" w:hAnsi="SimSun" w:eastAsia="SimSun" w:cs="SimSun"/>
          <w:sz w:val="21"/>
          <w:szCs w:val="21"/>
        </w:rPr>
        <w:t xml:space="preserve"> </w:t>
      </w:r>
      <w:r>
        <w:rPr>
          <w:rFonts w:ascii="SimSun" w:hAnsi="SimSun" w:eastAsia="SimSun" w:cs="SimSun"/>
          <w:sz w:val="21"/>
          <w:szCs w:val="21"/>
          <w:spacing w:val="-8"/>
        </w:rPr>
        <w:t>企业跨界经营现象普遍，业务范围重叠较多，市场的可竞争性较强，</w:t>
      </w:r>
      <w:r>
        <w:rPr>
          <w:rFonts w:ascii="SimSun" w:hAnsi="SimSun" w:eastAsia="SimSun" w:cs="SimSun"/>
          <w:sz w:val="21"/>
          <w:szCs w:val="21"/>
          <w:spacing w:val="14"/>
        </w:rPr>
        <w:t xml:space="preserve"> </w:t>
      </w:r>
      <w:r>
        <w:rPr>
          <w:rFonts w:ascii="SimSun" w:hAnsi="SimSun" w:eastAsia="SimSun" w:cs="SimSun"/>
          <w:sz w:val="21"/>
          <w:szCs w:val="21"/>
          <w:spacing w:val="-4"/>
        </w:rPr>
        <w:t>反垄断监管政策要用动态发展的眼光来分析市场结构和潜在竞争压</w:t>
      </w:r>
    </w:p>
    <w:p>
      <w:pPr>
        <w:ind w:right="93"/>
        <w:spacing w:before="171" w:line="292" w:lineRule="auto"/>
        <w:jc w:val="both"/>
        <w:rPr>
          <w:rFonts w:ascii="SimSun" w:hAnsi="SimSun" w:eastAsia="SimSun" w:cs="SimSun"/>
          <w:sz w:val="21"/>
          <w:szCs w:val="21"/>
        </w:rPr>
      </w:pPr>
      <w:r>
        <w:rPr>
          <w:rFonts w:ascii="SimSun" w:hAnsi="SimSun" w:eastAsia="SimSun" w:cs="SimSun"/>
          <w:sz w:val="21"/>
          <w:szCs w:val="21"/>
          <w:spacing w:val="-11"/>
        </w:rPr>
        <w:t>力；第三，与美国相比，我国平台企业的科技创新实力较弱，业务扩</w:t>
      </w:r>
      <w:r>
        <w:rPr>
          <w:rFonts w:ascii="SimSun" w:hAnsi="SimSun" w:eastAsia="SimSun" w:cs="SimSun"/>
          <w:sz w:val="21"/>
          <w:szCs w:val="21"/>
          <w:spacing w:val="8"/>
        </w:rPr>
        <w:t xml:space="preserve"> </w:t>
      </w:r>
      <w:r>
        <w:rPr>
          <w:rFonts w:ascii="SimSun" w:hAnsi="SimSun" w:eastAsia="SimSun" w:cs="SimSun"/>
          <w:sz w:val="21"/>
          <w:szCs w:val="21"/>
          <w:spacing w:val="-11"/>
        </w:rPr>
        <w:t>张和赢利模式较为粗放，监管要引导平台增加科研创新投入配合国家</w:t>
      </w:r>
      <w:r>
        <w:rPr>
          <w:rFonts w:ascii="SimSun" w:hAnsi="SimSun" w:eastAsia="SimSun" w:cs="SimSun"/>
          <w:sz w:val="21"/>
          <w:szCs w:val="21"/>
          <w:spacing w:val="10"/>
        </w:rPr>
        <w:t xml:space="preserve"> </w:t>
      </w:r>
      <w:r>
        <w:rPr>
          <w:rFonts w:ascii="SimSun" w:hAnsi="SimSun" w:eastAsia="SimSun" w:cs="SimSun"/>
          <w:sz w:val="21"/>
          <w:szCs w:val="21"/>
          <w:spacing w:val="-11"/>
        </w:rPr>
        <w:t>战略布局，同时要抑制资本无序扩张，让平台经济和平台企业更好地</w:t>
      </w:r>
      <w:r>
        <w:rPr>
          <w:rFonts w:ascii="SimSun" w:hAnsi="SimSun" w:eastAsia="SimSun" w:cs="SimSun"/>
          <w:sz w:val="21"/>
          <w:szCs w:val="21"/>
          <w:spacing w:val="6"/>
        </w:rPr>
        <w:t xml:space="preserve"> </w:t>
      </w:r>
      <w:r>
        <w:rPr>
          <w:rFonts w:ascii="SimSun" w:hAnsi="SimSun" w:eastAsia="SimSun" w:cs="SimSun"/>
          <w:sz w:val="21"/>
          <w:szCs w:val="21"/>
          <w:spacing w:val="-12"/>
        </w:rPr>
        <w:t>服务于数字经济发展和民生福祉改善的大局。</w:t>
      </w:r>
    </w:p>
    <w:p>
      <w:pPr>
        <w:spacing w:line="292" w:lineRule="auto"/>
        <w:sectPr>
          <w:pgSz w:w="7330" w:h="12480"/>
          <w:pgMar w:top="400" w:right="854" w:bottom="400" w:left="399" w:header="0" w:footer="0" w:gutter="0"/>
        </w:sectPr>
        <w:rPr>
          <w:rFonts w:ascii="SimSun" w:hAnsi="SimSun" w:eastAsia="SimSun" w:cs="SimSun"/>
          <w:sz w:val="21"/>
          <w:szCs w:val="21"/>
        </w:rPr>
      </w:pPr>
    </w:p>
    <w:p>
      <w:pPr>
        <w:pStyle w:val="BodyText"/>
        <w:spacing w:line="319" w:lineRule="auto"/>
        <w:rPr/>
      </w:pPr>
      <w:r>
        <w:drawing>
          <wp:anchor distT="0" distB="0" distL="0" distR="0" simplePos="0" relativeHeight="252952576" behindDoc="0" locked="0" layoutInCell="0" allowOverlap="1">
            <wp:simplePos x="0" y="0"/>
            <wp:positionH relativeFrom="page">
              <wp:posOffset>469877</wp:posOffset>
            </wp:positionH>
            <wp:positionV relativeFrom="page">
              <wp:posOffset>6489692</wp:posOffset>
            </wp:positionV>
            <wp:extent cx="1181137" cy="6350"/>
            <wp:effectExtent l="0" t="0" r="0" b="0"/>
            <wp:wrapNone/>
            <wp:docPr id="136" name="IM 136"/>
            <wp:cNvGraphicFramePr/>
            <a:graphic>
              <a:graphicData uri="http://schemas.openxmlformats.org/drawingml/2006/picture">
                <pic:pic>
                  <pic:nvPicPr>
                    <pic:cNvPr id="136" name="IM 136"/>
                    <pic:cNvPicPr/>
                  </pic:nvPicPr>
                  <pic:blipFill>
                    <a:blip r:embed="rId150"/>
                    <a:stretch>
                      <a:fillRect/>
                    </a:stretch>
                  </pic:blipFill>
                  <pic:spPr>
                    <a:xfrm rot="0">
                      <a:off x="0" y="0"/>
                      <a:ext cx="1181137" cy="6350"/>
                    </a:xfrm>
                    <a:prstGeom prst="rect">
                      <a:avLst/>
                    </a:prstGeom>
                  </pic:spPr>
                </pic:pic>
              </a:graphicData>
            </a:graphic>
          </wp:anchor>
        </w:drawing>
      </w:r>
      <w:r/>
    </w:p>
    <w:p>
      <w:pPr>
        <w:pStyle w:val="BodyText"/>
        <w:spacing w:line="320" w:lineRule="auto"/>
        <w:rPr/>
      </w:pPr>
      <w:r/>
    </w:p>
    <w:p>
      <w:pPr>
        <w:pStyle w:val="BodyText"/>
        <w:spacing w:line="320" w:lineRule="auto"/>
        <w:rPr/>
      </w:pPr>
      <w:r/>
    </w:p>
    <w:p>
      <w:pPr>
        <w:ind w:left="484"/>
        <w:spacing w:before="104" w:line="707" w:lineRule="exact"/>
        <w:rPr>
          <w:rFonts w:ascii="SimSun" w:hAnsi="SimSun" w:eastAsia="SimSun" w:cs="SimSun"/>
          <w:sz w:val="32"/>
          <w:szCs w:val="32"/>
        </w:rPr>
      </w:pPr>
      <w:r>
        <w:rPr>
          <w:rFonts w:ascii="SimSun" w:hAnsi="SimSun" w:eastAsia="SimSun" w:cs="SimSun"/>
          <w:sz w:val="32"/>
          <w:szCs w:val="32"/>
          <w:b/>
          <w:bCs/>
          <w:spacing w:val="-6"/>
          <w:position w:val="29"/>
        </w:rPr>
        <w:t>中美平台经济和平台企业的发展概况</w:t>
      </w:r>
    </w:p>
    <w:p>
      <w:pPr>
        <w:ind w:left="53"/>
        <w:spacing w:line="221" w:lineRule="auto"/>
        <w:rPr>
          <w:rFonts w:ascii="SimHei" w:hAnsi="SimHei" w:eastAsia="SimHei" w:cs="SimHei"/>
          <w:sz w:val="25"/>
          <w:szCs w:val="25"/>
        </w:rPr>
      </w:pPr>
      <w:r>
        <w:rPr>
          <w:rFonts w:ascii="SimHei" w:hAnsi="SimHei" w:eastAsia="SimHei" w:cs="SimHei"/>
          <w:sz w:val="25"/>
          <w:szCs w:val="25"/>
          <w:b/>
          <w:bCs/>
          <w:spacing w:val="-13"/>
        </w:rPr>
        <w:t>数字时代下的平台经济</w:t>
      </w:r>
    </w:p>
    <w:p>
      <w:pPr>
        <w:pStyle w:val="BodyText"/>
        <w:spacing w:line="338" w:lineRule="auto"/>
        <w:rPr/>
      </w:pPr>
      <w:r/>
    </w:p>
    <w:p>
      <w:pPr>
        <w:ind w:left="49" w:firstLine="399"/>
        <w:spacing w:before="68" w:line="307" w:lineRule="auto"/>
        <w:jc w:val="both"/>
        <w:rPr>
          <w:rFonts w:ascii="SimSun" w:hAnsi="SimSun" w:eastAsia="SimSun" w:cs="SimSun"/>
          <w:sz w:val="21"/>
          <w:szCs w:val="21"/>
        </w:rPr>
      </w:pPr>
      <w:r>
        <w:rPr>
          <w:rFonts w:ascii="SimSun" w:hAnsi="SimSun" w:eastAsia="SimSun" w:cs="SimSun"/>
          <w:sz w:val="21"/>
          <w:szCs w:val="21"/>
          <w:spacing w:val="-8"/>
        </w:rPr>
        <w:t>数字时代的平台经济，核心是互联网和移动互联网平台的发展，</w:t>
      </w:r>
      <w:r>
        <w:rPr>
          <w:rFonts w:ascii="SimSun" w:hAnsi="SimSun" w:eastAsia="SimSun" w:cs="SimSun"/>
          <w:sz w:val="21"/>
          <w:szCs w:val="21"/>
          <w:spacing w:val="17"/>
        </w:rPr>
        <w:t xml:space="preserve"> </w:t>
      </w:r>
      <w:r>
        <w:rPr>
          <w:rFonts w:ascii="SimSun" w:hAnsi="SimSun" w:eastAsia="SimSun" w:cs="SimSun"/>
          <w:sz w:val="21"/>
          <w:szCs w:val="21"/>
          <w:spacing w:val="-10"/>
        </w:rPr>
        <w:t>以及相关双边乃至多边的市场交易和经济活动。平台本身并不是新</w:t>
      </w:r>
      <w:r>
        <w:rPr>
          <w:rFonts w:ascii="SimSun" w:hAnsi="SimSun" w:eastAsia="SimSun" w:cs="SimSun"/>
          <w:sz w:val="21"/>
          <w:szCs w:val="21"/>
          <w:spacing w:val="-11"/>
        </w:rPr>
        <w:t>鲜 </w:t>
      </w:r>
      <w:r>
        <w:rPr>
          <w:rFonts w:ascii="SimSun" w:hAnsi="SimSun" w:eastAsia="SimSun" w:cs="SimSun"/>
          <w:sz w:val="21"/>
          <w:szCs w:val="21"/>
          <w:spacing w:val="-10"/>
        </w:rPr>
        <w:t>事物，经济学理论里很早就有对网络效应、双边市场①等平台相关</w:t>
      </w:r>
      <w:r>
        <w:rPr>
          <w:rFonts w:ascii="SimSun" w:hAnsi="SimSun" w:eastAsia="SimSun" w:cs="SimSun"/>
          <w:sz w:val="21"/>
          <w:szCs w:val="21"/>
          <w:spacing w:val="-11"/>
        </w:rPr>
        <w:t>要 </w:t>
      </w:r>
      <w:r>
        <w:rPr>
          <w:rFonts w:ascii="SimSun" w:hAnsi="SimSun" w:eastAsia="SimSun" w:cs="SimSun"/>
          <w:sz w:val="21"/>
          <w:szCs w:val="21"/>
          <w:spacing w:val="-11"/>
        </w:rPr>
        <w:t>素的分析。实践中的平台经济则更加古老：从以物易物的集市到发布</w:t>
      </w:r>
      <w:r>
        <w:rPr>
          <w:rFonts w:ascii="SimSun" w:hAnsi="SimSun" w:eastAsia="SimSun" w:cs="SimSun"/>
          <w:sz w:val="21"/>
          <w:szCs w:val="21"/>
          <w:spacing w:val="4"/>
        </w:rPr>
        <w:t xml:space="preserve">  </w:t>
      </w:r>
      <w:r>
        <w:rPr>
          <w:rFonts w:ascii="SimSun" w:hAnsi="SimSun" w:eastAsia="SimSun" w:cs="SimSun"/>
          <w:sz w:val="21"/>
          <w:szCs w:val="21"/>
          <w:spacing w:val="-10"/>
        </w:rPr>
        <w:t>和浏览资讯的广告栏，都是商品、信息和资源的集散地。而在数字</w:t>
      </w:r>
      <w:r>
        <w:rPr>
          <w:rFonts w:ascii="SimSun" w:hAnsi="SimSun" w:eastAsia="SimSun" w:cs="SimSun"/>
          <w:sz w:val="21"/>
          <w:szCs w:val="21"/>
          <w:spacing w:val="-11"/>
        </w:rPr>
        <w:t>时 </w:t>
      </w:r>
      <w:r>
        <w:rPr>
          <w:rFonts w:ascii="SimSun" w:hAnsi="SimSun" w:eastAsia="SimSun" w:cs="SimSun"/>
          <w:sz w:val="21"/>
          <w:szCs w:val="21"/>
          <w:spacing w:val="-10"/>
        </w:rPr>
        <w:t>代，平台经济由线下的实体场所转移到线上的互联网和移动互联网</w:t>
      </w:r>
      <w:r>
        <w:rPr>
          <w:rFonts w:ascii="SimSun" w:hAnsi="SimSun" w:eastAsia="SimSun" w:cs="SimSun"/>
          <w:sz w:val="21"/>
          <w:szCs w:val="21"/>
          <w:spacing w:val="-11"/>
        </w:rPr>
        <w:t>空 </w:t>
      </w:r>
      <w:r>
        <w:rPr>
          <w:rFonts w:ascii="SimSun" w:hAnsi="SimSun" w:eastAsia="SimSun" w:cs="SimSun"/>
          <w:sz w:val="21"/>
          <w:szCs w:val="21"/>
          <w:spacing w:val="-10"/>
        </w:rPr>
        <w:t>间，由本地的局部市场扩张到全国乃至全球的全局市场，由集中的</w:t>
      </w:r>
      <w:r>
        <w:rPr>
          <w:rFonts w:ascii="SimSun" w:hAnsi="SimSun" w:eastAsia="SimSun" w:cs="SimSun"/>
          <w:sz w:val="21"/>
          <w:szCs w:val="21"/>
          <w:spacing w:val="-11"/>
        </w:rPr>
        <w:t>交 </w:t>
      </w:r>
      <w:r>
        <w:rPr>
          <w:rFonts w:ascii="SimSun" w:hAnsi="SimSun" w:eastAsia="SimSun" w:cs="SimSun"/>
          <w:sz w:val="21"/>
          <w:szCs w:val="21"/>
          <w:spacing w:val="-11"/>
        </w:rPr>
        <w:t>易时段转变为灵活分散的全天候无限制时间，由有限的货架拓展到海</w:t>
      </w:r>
      <w:r>
        <w:rPr>
          <w:rFonts w:ascii="SimSun" w:hAnsi="SimSun" w:eastAsia="SimSun" w:cs="SimSun"/>
          <w:sz w:val="21"/>
          <w:szCs w:val="21"/>
          <w:spacing w:val="3"/>
        </w:rPr>
        <w:t xml:space="preserve">  </w:t>
      </w:r>
      <w:r>
        <w:rPr>
          <w:rFonts w:ascii="SimSun" w:hAnsi="SimSun" w:eastAsia="SimSun" w:cs="SimSun"/>
          <w:sz w:val="21"/>
          <w:szCs w:val="21"/>
          <w:spacing w:val="-10"/>
        </w:rPr>
        <w:t>量的长尾。平台经济因而有了更新颖丰富的内涵，也给监管者和研</w:t>
      </w:r>
      <w:r>
        <w:rPr>
          <w:rFonts w:ascii="SimSun" w:hAnsi="SimSun" w:eastAsia="SimSun" w:cs="SimSun"/>
          <w:sz w:val="21"/>
          <w:szCs w:val="21"/>
          <w:spacing w:val="-11"/>
        </w:rPr>
        <w:t>究 </w:t>
      </w:r>
      <w:r>
        <w:rPr>
          <w:rFonts w:ascii="SimSun" w:hAnsi="SimSun" w:eastAsia="SimSun" w:cs="SimSun"/>
          <w:sz w:val="21"/>
          <w:szCs w:val="21"/>
          <w:spacing w:val="-11"/>
        </w:rPr>
        <w:t>者带来了前所未有的挑战和机遇。</w:t>
      </w:r>
    </w:p>
    <w:p>
      <w:pPr>
        <w:ind w:left="49" w:right="36" w:firstLine="429"/>
        <w:spacing w:before="105" w:line="304" w:lineRule="auto"/>
        <w:jc w:val="both"/>
        <w:rPr>
          <w:rFonts w:ascii="SimSun" w:hAnsi="SimSun" w:eastAsia="SimSun" w:cs="SimSun"/>
          <w:sz w:val="21"/>
          <w:szCs w:val="21"/>
        </w:rPr>
      </w:pPr>
      <w:r>
        <w:rPr>
          <w:rFonts w:ascii="SimSun" w:hAnsi="SimSun" w:eastAsia="SimSun" w:cs="SimSun"/>
          <w:sz w:val="21"/>
          <w:szCs w:val="21"/>
          <w:spacing w:val="-10"/>
        </w:rPr>
        <w:t>数字科技是平台经济迅猛发展的推动力，平台的范围和能量在数</w:t>
      </w:r>
      <w:r>
        <w:rPr>
          <w:rFonts w:ascii="SimSun" w:hAnsi="SimSun" w:eastAsia="SimSun" w:cs="SimSun"/>
          <w:sz w:val="21"/>
          <w:szCs w:val="21"/>
          <w:spacing w:val="7"/>
        </w:rPr>
        <w:t xml:space="preserve"> </w:t>
      </w:r>
      <w:r>
        <w:rPr>
          <w:rFonts w:ascii="SimSun" w:hAnsi="SimSun" w:eastAsia="SimSun" w:cs="SimSun"/>
          <w:sz w:val="21"/>
          <w:szCs w:val="21"/>
          <w:spacing w:val="-10"/>
        </w:rPr>
        <w:t>字时代变得空前强大。数字技术打破了时间和地理距离的限制</w:t>
      </w:r>
      <w:r>
        <w:rPr>
          <w:rFonts w:ascii="SimSun" w:hAnsi="SimSun" w:eastAsia="SimSun" w:cs="SimSun"/>
          <w:sz w:val="21"/>
          <w:szCs w:val="21"/>
          <w:spacing w:val="-11"/>
        </w:rPr>
        <w:t>，提高</w:t>
      </w:r>
      <w:r>
        <w:rPr>
          <w:rFonts w:ascii="SimSun" w:hAnsi="SimSun" w:eastAsia="SimSun" w:cs="SimSun"/>
          <w:sz w:val="21"/>
          <w:szCs w:val="21"/>
        </w:rPr>
        <w:t xml:space="preserve"> </w:t>
      </w:r>
      <w:r>
        <w:rPr>
          <w:rFonts w:ascii="SimSun" w:hAnsi="SimSun" w:eastAsia="SimSun" w:cs="SimSun"/>
          <w:sz w:val="21"/>
          <w:szCs w:val="21"/>
          <w:spacing w:val="-10"/>
        </w:rPr>
        <w:t>了线上和线下交易的撮合效率，降低了经济活动的成本。互联网</w:t>
      </w:r>
      <w:r>
        <w:rPr>
          <w:rFonts w:ascii="SimSun" w:hAnsi="SimSun" w:eastAsia="SimSun" w:cs="SimSun"/>
          <w:sz w:val="21"/>
          <w:szCs w:val="21"/>
          <w:spacing w:val="-11"/>
        </w:rPr>
        <w:t>、大</w:t>
      </w:r>
      <w:r>
        <w:rPr>
          <w:rFonts w:ascii="SimSun" w:hAnsi="SimSun" w:eastAsia="SimSun" w:cs="SimSun"/>
          <w:sz w:val="21"/>
          <w:szCs w:val="21"/>
        </w:rPr>
        <w:t xml:space="preserve"> </w:t>
      </w:r>
      <w:r>
        <w:rPr>
          <w:rFonts w:ascii="SimSun" w:hAnsi="SimSun" w:eastAsia="SimSun" w:cs="SimSun"/>
          <w:sz w:val="21"/>
          <w:szCs w:val="21"/>
          <w:spacing w:val="-3"/>
        </w:rPr>
        <w:t>数据、人工智能、云计算等数字技术让平台的规模和范</w:t>
      </w:r>
      <w:r>
        <w:rPr>
          <w:rFonts w:ascii="SimSun" w:hAnsi="SimSun" w:eastAsia="SimSun" w:cs="SimSun"/>
          <w:sz w:val="21"/>
          <w:szCs w:val="21"/>
          <w:spacing w:val="-4"/>
        </w:rPr>
        <w:t>围迅速扩大</w:t>
      </w:r>
      <w:r>
        <w:rPr>
          <w:rFonts w:ascii="SimSun" w:hAnsi="SimSun" w:eastAsia="SimSun" w:cs="SimSun"/>
          <w:sz w:val="21"/>
          <w:szCs w:val="21"/>
        </w:rPr>
        <w:t xml:space="preserve"> </w:t>
      </w:r>
      <w:r>
        <w:rPr>
          <w:rFonts w:ascii="SimSun" w:hAnsi="SimSun" w:eastAsia="SimSun" w:cs="SimSun"/>
          <w:sz w:val="21"/>
          <w:szCs w:val="21"/>
          <w:spacing w:val="-11"/>
        </w:rPr>
        <w:t>了。大数据时代带来的数据量积累以及算法演进让平台经济达到了前</w:t>
      </w:r>
      <w:r>
        <w:rPr>
          <w:rFonts w:ascii="SimSun" w:hAnsi="SimSun" w:eastAsia="SimSun" w:cs="SimSun"/>
          <w:sz w:val="21"/>
          <w:szCs w:val="21"/>
          <w:spacing w:val="9"/>
        </w:rPr>
        <w:t xml:space="preserve"> </w:t>
      </w:r>
      <w:r>
        <w:rPr>
          <w:rFonts w:ascii="SimSun" w:hAnsi="SimSun" w:eastAsia="SimSun" w:cs="SimSun"/>
          <w:sz w:val="21"/>
          <w:szCs w:val="21"/>
          <w:spacing w:val="-10"/>
        </w:rPr>
        <w:t>所未有的广度和深度。机器学习和人工智能等技术降低了一</w:t>
      </w:r>
      <w:r>
        <w:rPr>
          <w:rFonts w:ascii="SimSun" w:hAnsi="SimSun" w:eastAsia="SimSun" w:cs="SimSun"/>
          <w:sz w:val="21"/>
          <w:szCs w:val="21"/>
          <w:spacing w:val="-11"/>
        </w:rPr>
        <w:t>对一个性</w:t>
      </w:r>
      <w:r>
        <w:rPr>
          <w:rFonts w:ascii="SimSun" w:hAnsi="SimSun" w:eastAsia="SimSun" w:cs="SimSun"/>
          <w:sz w:val="21"/>
          <w:szCs w:val="21"/>
        </w:rPr>
        <w:t xml:space="preserve"> </w:t>
      </w:r>
      <w:r>
        <w:rPr>
          <w:rFonts w:ascii="SimSun" w:hAnsi="SimSun" w:eastAsia="SimSun" w:cs="SimSun"/>
          <w:sz w:val="21"/>
          <w:szCs w:val="21"/>
          <w:spacing w:val="-10"/>
        </w:rPr>
        <w:t>化定制服务的门槛，使平台可以提供一站式个性化解决方案，有助于</w:t>
      </w:r>
      <w:r>
        <w:rPr>
          <w:rFonts w:ascii="SimSun" w:hAnsi="SimSun" w:eastAsia="SimSun" w:cs="SimSun"/>
          <w:sz w:val="21"/>
          <w:szCs w:val="21"/>
        </w:rPr>
        <w:t xml:space="preserve"> </w:t>
      </w:r>
      <w:r>
        <w:rPr>
          <w:rFonts w:ascii="SimSun" w:hAnsi="SimSun" w:eastAsia="SimSun" w:cs="SimSun"/>
          <w:sz w:val="21"/>
          <w:szCs w:val="21"/>
          <w:spacing w:val="-11"/>
        </w:rPr>
        <w:t>更好地服务普惠客群或长尾客群。</w:t>
      </w:r>
    </w:p>
    <w:p>
      <w:pPr>
        <w:ind w:left="49" w:right="35" w:firstLine="429"/>
        <w:spacing w:before="120" w:line="271" w:lineRule="auto"/>
        <w:jc w:val="both"/>
        <w:rPr>
          <w:rFonts w:ascii="SimSun" w:hAnsi="SimSun" w:eastAsia="SimSun" w:cs="SimSun"/>
          <w:sz w:val="21"/>
          <w:szCs w:val="21"/>
        </w:rPr>
      </w:pPr>
      <w:r>
        <w:rPr>
          <w:rFonts w:ascii="SimSun" w:hAnsi="SimSun" w:eastAsia="SimSun" w:cs="SimSun"/>
          <w:sz w:val="21"/>
          <w:szCs w:val="21"/>
          <w:spacing w:val="5"/>
        </w:rPr>
        <w:t>数字经济是全球经济发展的前沿趋势，中国和美国是数字经</w:t>
      </w:r>
      <w:r>
        <w:rPr>
          <w:rFonts w:ascii="SimSun" w:hAnsi="SimSun" w:eastAsia="SimSun" w:cs="SimSun"/>
          <w:sz w:val="21"/>
          <w:szCs w:val="21"/>
          <w:spacing w:val="18"/>
        </w:rPr>
        <w:t xml:space="preserve"> </w:t>
      </w:r>
      <w:r>
        <w:rPr>
          <w:rFonts w:ascii="SimSun" w:hAnsi="SimSun" w:eastAsia="SimSun" w:cs="SimSun"/>
          <w:sz w:val="21"/>
          <w:szCs w:val="21"/>
          <w:spacing w:val="4"/>
        </w:rPr>
        <w:t>济的引领者。国家互联网信息办公室发布的《数字中国发展报告</w:t>
      </w:r>
    </w:p>
    <w:p>
      <w:pPr>
        <w:pStyle w:val="BodyText"/>
        <w:spacing w:line="253" w:lineRule="auto"/>
        <w:rPr/>
      </w:pPr>
      <w:r/>
    </w:p>
    <w:p>
      <w:pPr>
        <w:ind w:left="399" w:right="44" w:hanging="350"/>
        <w:spacing w:before="52" w:line="294" w:lineRule="auto"/>
        <w:rPr>
          <w:rFonts w:ascii="KaiTi" w:hAnsi="KaiTi" w:eastAsia="KaiTi" w:cs="KaiTi"/>
          <w:sz w:val="16"/>
          <w:szCs w:val="16"/>
        </w:rPr>
      </w:pPr>
      <w:r>
        <w:rPr>
          <w:rFonts w:ascii="SimSun" w:hAnsi="SimSun" w:eastAsia="SimSun" w:cs="SimSun"/>
          <w:sz w:val="16"/>
          <w:szCs w:val="16"/>
          <w:spacing w:val="1"/>
        </w:rPr>
        <w:t>①</w:t>
      </w:r>
      <w:r>
        <w:rPr>
          <w:rFonts w:ascii="SimSun" w:hAnsi="SimSun" w:eastAsia="SimSun" w:cs="SimSun"/>
          <w:sz w:val="16"/>
          <w:szCs w:val="16"/>
          <w:spacing w:val="76"/>
        </w:rPr>
        <w:t xml:space="preserve"> </w:t>
      </w:r>
      <w:r>
        <w:rPr>
          <w:rFonts w:ascii="KaiTi" w:hAnsi="KaiTi" w:eastAsia="KaiTi" w:cs="KaiTi"/>
          <w:sz w:val="16"/>
          <w:szCs w:val="16"/>
          <w:spacing w:val="1"/>
        </w:rPr>
        <w:t>双边市场理论并不是专门针对“新经济”,在一些传统的网络市场中也适</w:t>
      </w:r>
      <w:r>
        <w:rPr>
          <w:rFonts w:ascii="KaiTi" w:hAnsi="KaiTi" w:eastAsia="KaiTi" w:cs="KaiTi"/>
          <w:sz w:val="16"/>
          <w:szCs w:val="16"/>
        </w:rPr>
        <w:t>用。但是</w:t>
      </w:r>
      <w:r>
        <w:rPr>
          <w:rFonts w:ascii="KaiTi" w:hAnsi="KaiTi" w:eastAsia="KaiTi" w:cs="KaiTi"/>
          <w:sz w:val="16"/>
          <w:szCs w:val="16"/>
        </w:rPr>
        <w:t xml:space="preserve"> </w:t>
      </w:r>
      <w:r>
        <w:rPr>
          <w:rFonts w:ascii="KaiTi" w:hAnsi="KaiTi" w:eastAsia="KaiTi" w:cs="KaiTi"/>
          <w:sz w:val="16"/>
          <w:szCs w:val="16"/>
          <w:spacing w:val="5"/>
        </w:rPr>
        <w:t>由于这个理论提出时间较短，同时数字平台</w:t>
      </w:r>
      <w:r>
        <w:rPr>
          <w:rFonts w:ascii="KaiTi" w:hAnsi="KaiTi" w:eastAsia="KaiTi" w:cs="KaiTi"/>
          <w:sz w:val="16"/>
          <w:szCs w:val="16"/>
          <w:spacing w:val="4"/>
        </w:rPr>
        <w:t>的双边性或多边性较为显著,因此人</w:t>
      </w:r>
      <w:r>
        <w:rPr>
          <w:rFonts w:ascii="KaiTi" w:hAnsi="KaiTi" w:eastAsia="KaiTi" w:cs="KaiTi"/>
          <w:sz w:val="16"/>
          <w:szCs w:val="16"/>
        </w:rPr>
        <w:t xml:space="preserve"> </w:t>
      </w:r>
      <w:r>
        <w:rPr>
          <w:rFonts w:ascii="KaiTi" w:hAnsi="KaiTi" w:eastAsia="KaiTi" w:cs="KaiTi"/>
          <w:sz w:val="16"/>
          <w:szCs w:val="16"/>
          <w:spacing w:val="-2"/>
        </w:rPr>
        <w:t>们经常将双边市场理论与新经济联系起来。</w:t>
      </w:r>
    </w:p>
    <w:p>
      <w:pPr>
        <w:spacing w:line="294" w:lineRule="auto"/>
        <w:sectPr>
          <w:headerReference w:type="default" r:id="rId149"/>
          <w:pgSz w:w="7330" w:h="12480"/>
          <w:pgMar w:top="498" w:right="525" w:bottom="400" w:left="680" w:header="335" w:footer="0" w:gutter="0"/>
        </w:sectPr>
        <w:rPr>
          <w:rFonts w:ascii="KaiTi" w:hAnsi="KaiTi" w:eastAsia="KaiTi" w:cs="KaiTi"/>
          <w:sz w:val="16"/>
          <w:szCs w:val="16"/>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05" w:right="112"/>
        <w:spacing w:before="68" w:line="306" w:lineRule="auto"/>
        <w:jc w:val="both"/>
        <w:rPr>
          <w:rFonts w:ascii="SimSun" w:hAnsi="SimSun" w:eastAsia="SimSun" w:cs="SimSun"/>
          <w:sz w:val="21"/>
          <w:szCs w:val="21"/>
        </w:rPr>
      </w:pPr>
      <w:r>
        <w:rPr>
          <w:rFonts w:ascii="SimSun" w:hAnsi="SimSun" w:eastAsia="SimSun" w:cs="SimSun"/>
          <w:sz w:val="21"/>
          <w:szCs w:val="21"/>
          <w:spacing w:val="4"/>
        </w:rPr>
        <w:t>(2020年)》指出，我国数字经济总量跃居世界第二，成为引领全</w:t>
      </w:r>
      <w:r>
        <w:rPr>
          <w:rFonts w:ascii="SimSun" w:hAnsi="SimSun" w:eastAsia="SimSun" w:cs="SimSun"/>
          <w:sz w:val="21"/>
          <w:szCs w:val="21"/>
          <w:spacing w:val="14"/>
        </w:rPr>
        <w:t xml:space="preserve"> </w:t>
      </w:r>
      <w:r>
        <w:rPr>
          <w:rFonts w:ascii="SimSun" w:hAnsi="SimSun" w:eastAsia="SimSun" w:cs="SimSun"/>
          <w:sz w:val="21"/>
          <w:szCs w:val="21"/>
          <w:spacing w:val="-4"/>
        </w:rPr>
        <w:t>球数字经济创新的重要策源地。工信部数据显示，我国数字经济规 </w:t>
      </w:r>
      <w:r>
        <w:rPr>
          <w:rFonts w:ascii="SimSun" w:hAnsi="SimSun" w:eastAsia="SimSun" w:cs="SimSun"/>
          <w:sz w:val="21"/>
          <w:szCs w:val="21"/>
          <w:spacing w:val="6"/>
        </w:rPr>
        <w:t>模从“十三五”初期的11万亿元，增长到2019年的35.</w:t>
      </w:r>
      <w:r>
        <w:rPr>
          <w:rFonts w:ascii="SimSun" w:hAnsi="SimSun" w:eastAsia="SimSun" w:cs="SimSun"/>
          <w:sz w:val="21"/>
          <w:szCs w:val="21"/>
          <w:spacing w:val="5"/>
        </w:rPr>
        <w:t>8万亿元，</w:t>
      </w:r>
      <w:r>
        <w:rPr>
          <w:rFonts w:ascii="SimSun" w:hAnsi="SimSun" w:eastAsia="SimSun" w:cs="SimSun"/>
          <w:sz w:val="21"/>
          <w:szCs w:val="21"/>
        </w:rPr>
        <w:t xml:space="preserve"> </w:t>
      </w:r>
      <w:r>
        <w:rPr>
          <w:rFonts w:ascii="SimSun" w:hAnsi="SimSun" w:eastAsia="SimSun" w:cs="SimSun"/>
          <w:sz w:val="21"/>
          <w:szCs w:val="21"/>
          <w:spacing w:val="7"/>
        </w:rPr>
        <w:t>占</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7"/>
        </w:rPr>
        <w:t>比重达36.2%,2020年数字经济核心产业增</w:t>
      </w:r>
      <w:r>
        <w:rPr>
          <w:rFonts w:ascii="SimSun" w:hAnsi="SimSun" w:eastAsia="SimSun" w:cs="SimSun"/>
          <w:sz w:val="21"/>
          <w:szCs w:val="21"/>
          <w:spacing w:val="6"/>
        </w:rPr>
        <w:t>加值占</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GDP</w:t>
      </w:r>
      <w:r>
        <w:rPr>
          <w:rFonts w:ascii="SimSun" w:hAnsi="SimSun" w:eastAsia="SimSun" w:cs="SimSun"/>
          <w:sz w:val="21"/>
          <w:szCs w:val="21"/>
          <w:spacing w:val="6"/>
        </w:rPr>
        <w:t>比</w:t>
      </w:r>
      <w:r>
        <w:rPr>
          <w:rFonts w:ascii="SimSun" w:hAnsi="SimSun" w:eastAsia="SimSun" w:cs="SimSun"/>
          <w:sz w:val="21"/>
          <w:szCs w:val="21"/>
        </w:rPr>
        <w:t xml:space="preserve">  </w:t>
      </w:r>
      <w:r>
        <w:rPr>
          <w:rFonts w:ascii="SimSun" w:hAnsi="SimSun" w:eastAsia="SimSun" w:cs="SimSun"/>
          <w:sz w:val="21"/>
          <w:szCs w:val="21"/>
          <w:spacing w:val="3"/>
        </w:rPr>
        <w:t>重为7.8%。根据中国信息通信研究院《中国数字经济发展白皮书 </w:t>
      </w:r>
      <w:r>
        <w:rPr>
          <w:rFonts w:ascii="SimSun" w:hAnsi="SimSun" w:eastAsia="SimSun" w:cs="SimSun"/>
          <w:sz w:val="21"/>
          <w:szCs w:val="21"/>
          <w:spacing w:val="6"/>
        </w:rPr>
        <w:t>(2020年)》,2019年数字经济对经济增长的贡献率为</w:t>
      </w:r>
      <w:r>
        <w:rPr>
          <w:rFonts w:ascii="SimSun" w:hAnsi="SimSun" w:eastAsia="SimSun" w:cs="SimSun"/>
          <w:sz w:val="21"/>
          <w:szCs w:val="21"/>
          <w:spacing w:val="5"/>
        </w:rPr>
        <w:t>67.7%,成为 </w:t>
      </w:r>
      <w:r>
        <w:rPr>
          <w:rFonts w:ascii="SimSun" w:hAnsi="SimSun" w:eastAsia="SimSun" w:cs="SimSun"/>
          <w:sz w:val="21"/>
          <w:szCs w:val="21"/>
          <w:spacing w:val="-3"/>
        </w:rPr>
        <w:t>驱动我国经济发展的核心力量。对比美国来看，2019年</w:t>
      </w:r>
      <w:r>
        <w:rPr>
          <w:rFonts w:ascii="SimSun" w:hAnsi="SimSun" w:eastAsia="SimSun" w:cs="SimSun"/>
          <w:sz w:val="21"/>
          <w:szCs w:val="21"/>
          <w:spacing w:val="-4"/>
        </w:rPr>
        <w:t>美国数字经 </w:t>
      </w:r>
      <w:r>
        <w:rPr>
          <w:rFonts w:ascii="SimSun" w:hAnsi="SimSun" w:eastAsia="SimSun" w:cs="SimSun"/>
          <w:sz w:val="21"/>
          <w:szCs w:val="21"/>
          <w:spacing w:val="-3"/>
        </w:rPr>
        <w:t>济的规模对</w:t>
      </w:r>
      <w:r>
        <w:rPr>
          <w:rFonts w:ascii="Times New Roman" w:hAnsi="Times New Roman" w:eastAsia="Times New Roman" w:cs="Times New Roman"/>
          <w:sz w:val="21"/>
          <w:szCs w:val="21"/>
          <w:spacing w:val="-3"/>
        </w:rPr>
        <w:t>GDP</w:t>
      </w:r>
      <w:r>
        <w:rPr>
          <w:rFonts w:ascii="SimSun" w:hAnsi="SimSun" w:eastAsia="SimSun" w:cs="SimSun"/>
          <w:sz w:val="21"/>
          <w:szCs w:val="21"/>
          <w:spacing w:val="-3"/>
        </w:rPr>
        <w:t>的贡献值占到了9.6%。①数字经济是中美这世</w:t>
      </w:r>
      <w:r>
        <w:rPr>
          <w:rFonts w:ascii="SimSun" w:hAnsi="SimSun" w:eastAsia="SimSun" w:cs="SimSun"/>
          <w:sz w:val="21"/>
          <w:szCs w:val="21"/>
          <w:spacing w:val="-4"/>
        </w:rPr>
        <w:t>界前 </w:t>
      </w:r>
      <w:r>
        <w:rPr>
          <w:rFonts w:ascii="SimSun" w:hAnsi="SimSun" w:eastAsia="SimSun" w:cs="SimSun"/>
          <w:sz w:val="21"/>
          <w:szCs w:val="21"/>
          <w:spacing w:val="-11"/>
        </w:rPr>
        <w:t>两大经济体的发展大势和共性。</w:t>
      </w:r>
    </w:p>
    <w:p>
      <w:pPr>
        <w:ind w:right="112" w:firstLine="584"/>
        <w:spacing w:before="107" w:line="307" w:lineRule="auto"/>
        <w:rPr>
          <w:rFonts w:ascii="SimSun" w:hAnsi="SimSun" w:eastAsia="SimSun" w:cs="SimSun"/>
          <w:sz w:val="21"/>
          <w:szCs w:val="21"/>
        </w:rPr>
      </w:pPr>
      <w:r>
        <w:rPr>
          <w:rFonts w:ascii="SimSun" w:hAnsi="SimSun" w:eastAsia="SimSun" w:cs="SimSun"/>
          <w:sz w:val="21"/>
          <w:szCs w:val="21"/>
          <w:spacing w:val="-6"/>
        </w:rPr>
        <w:t>我国高度重视数字经济的发展，将数字经济视为“十四五”时 </w:t>
      </w:r>
      <w:r>
        <w:rPr>
          <w:rFonts w:ascii="SimSun" w:hAnsi="SimSun" w:eastAsia="SimSun" w:cs="SimSun"/>
          <w:sz w:val="21"/>
          <w:szCs w:val="21"/>
          <w:spacing w:val="-7"/>
        </w:rPr>
        <w:t>期经济社会发展的重要推动力。在顶层设计方面，“十四五”规划纲 </w:t>
      </w:r>
      <w:r>
        <w:rPr>
          <w:rFonts w:ascii="SimSun" w:hAnsi="SimSun" w:eastAsia="SimSun" w:cs="SimSun"/>
          <w:sz w:val="21"/>
          <w:szCs w:val="21"/>
        </w:rPr>
        <w:t>要将“加快数字化发展建设数字中国”单独成篇，并首次提出“数 </w:t>
      </w:r>
      <w:r>
        <w:rPr>
          <w:rFonts w:ascii="SimSun" w:hAnsi="SimSun" w:eastAsia="SimSun" w:cs="SimSun"/>
          <w:sz w:val="21"/>
          <w:szCs w:val="21"/>
        </w:rPr>
        <w:t>字经济核心产业增加值占</w:t>
      </w:r>
      <w:r>
        <w:rPr>
          <w:rFonts w:ascii="Times New Roman" w:hAnsi="Times New Roman" w:eastAsia="Times New Roman" w:cs="Times New Roman"/>
          <w:sz w:val="21"/>
          <w:szCs w:val="21"/>
        </w:rPr>
        <w:t>GDP</w:t>
      </w:r>
      <w:r>
        <w:rPr>
          <w:rFonts w:ascii="SimSun" w:hAnsi="SimSun" w:eastAsia="SimSun" w:cs="SimSun"/>
          <w:sz w:val="21"/>
          <w:szCs w:val="21"/>
        </w:rPr>
        <w:t>比重”这一新经济指标，明确要求其 </w:t>
      </w:r>
      <w:r>
        <w:rPr>
          <w:rFonts w:ascii="SimSun" w:hAnsi="SimSun" w:eastAsia="SimSun" w:cs="SimSun"/>
          <w:sz w:val="21"/>
          <w:szCs w:val="21"/>
          <w:spacing w:val="9"/>
        </w:rPr>
        <w:t>由2020年的7.8%提升至10%。纲要指出，要“充分发挥海量数据</w:t>
      </w:r>
      <w:r>
        <w:rPr>
          <w:rFonts w:ascii="SimSun" w:hAnsi="SimSun" w:eastAsia="SimSun" w:cs="SimSun"/>
          <w:sz w:val="21"/>
          <w:szCs w:val="21"/>
          <w:spacing w:val="7"/>
        </w:rPr>
        <w:t xml:space="preserve">  </w:t>
      </w:r>
      <w:r>
        <w:rPr>
          <w:rFonts w:ascii="SimSun" w:hAnsi="SimSun" w:eastAsia="SimSun" w:cs="SimSun"/>
          <w:sz w:val="21"/>
          <w:szCs w:val="21"/>
          <w:spacing w:val="-7"/>
        </w:rPr>
        <w:t>和丰富应用场景优势，促进数字技术与实体经济深度融合，赋能传统 </w:t>
      </w:r>
      <w:r>
        <w:rPr>
          <w:rFonts w:ascii="SimSun" w:hAnsi="SimSun" w:eastAsia="SimSun" w:cs="SimSun"/>
          <w:sz w:val="21"/>
          <w:szCs w:val="21"/>
          <w:spacing w:val="-4"/>
        </w:rPr>
        <w:t>产业转型升级，催生新产业新业态新模式，壮大经济发展新引擎”。</w:t>
      </w:r>
      <w:r>
        <w:rPr>
          <w:rFonts w:ascii="SimSun" w:hAnsi="SimSun" w:eastAsia="SimSun" w:cs="SimSun"/>
          <w:sz w:val="21"/>
          <w:szCs w:val="21"/>
        </w:rPr>
        <w:t xml:space="preserve"> </w:t>
      </w:r>
      <w:r>
        <w:rPr>
          <w:rFonts w:ascii="SimSun" w:hAnsi="SimSun" w:eastAsia="SimSun" w:cs="SimSun"/>
          <w:sz w:val="21"/>
          <w:szCs w:val="21"/>
          <w:spacing w:val="-6"/>
        </w:rPr>
        <w:t>“加快数字化发展，打造数字经济新优势”也被写入了2</w:t>
      </w:r>
      <w:r>
        <w:rPr>
          <w:rFonts w:ascii="SimSun" w:hAnsi="SimSun" w:eastAsia="SimSun" w:cs="SimSun"/>
          <w:sz w:val="21"/>
          <w:szCs w:val="21"/>
          <w:spacing w:val="-7"/>
        </w:rPr>
        <w:t>021年的中央 </w:t>
      </w:r>
      <w:r>
        <w:rPr>
          <w:rFonts w:ascii="SimSun" w:hAnsi="SimSun" w:eastAsia="SimSun" w:cs="SimSun"/>
          <w:sz w:val="21"/>
          <w:szCs w:val="21"/>
          <w:spacing w:val="-7"/>
        </w:rPr>
        <w:t>政府工作报告。从国家战略层面来看，发展数字经济是推动经济社会 </w:t>
      </w:r>
      <w:r>
        <w:rPr>
          <w:rFonts w:ascii="SimSun" w:hAnsi="SimSun" w:eastAsia="SimSun" w:cs="SimSun"/>
          <w:sz w:val="21"/>
          <w:szCs w:val="21"/>
          <w:spacing w:val="-7"/>
        </w:rPr>
        <w:t>转型升级、培育经济增长新动能和构筑国际竞争新优势的重要途径。</w:t>
      </w:r>
    </w:p>
    <w:p>
      <w:pPr>
        <w:ind w:left="105" w:firstLine="429"/>
        <w:spacing w:before="112" w:line="300" w:lineRule="auto"/>
        <w:rPr>
          <w:rFonts w:ascii="SimSun" w:hAnsi="SimSun" w:eastAsia="SimSun" w:cs="SimSun"/>
          <w:sz w:val="21"/>
          <w:szCs w:val="21"/>
        </w:rPr>
      </w:pPr>
      <w:r>
        <w:rPr>
          <w:rFonts w:ascii="SimSun" w:hAnsi="SimSun" w:eastAsia="SimSun" w:cs="SimSun"/>
          <w:sz w:val="21"/>
          <w:szCs w:val="21"/>
          <w:spacing w:val="-11"/>
        </w:rPr>
        <w:t>平台经济的兴盛适应了数字经济的发展趋势，同时数字平台对推  </w:t>
      </w:r>
      <w:r>
        <w:rPr>
          <w:rFonts w:ascii="SimSun" w:hAnsi="SimSun" w:eastAsia="SimSun" w:cs="SimSun"/>
          <w:sz w:val="21"/>
          <w:szCs w:val="21"/>
          <w:spacing w:val="-17"/>
        </w:rPr>
        <w:t>动数字经济发展可以起到积极支持作用。围绕数字经济发展，“十四五”</w:t>
      </w:r>
      <w:r>
        <w:rPr>
          <w:rFonts w:ascii="SimSun" w:hAnsi="SimSun" w:eastAsia="SimSun" w:cs="SimSun"/>
          <w:sz w:val="21"/>
          <w:szCs w:val="21"/>
          <w:spacing w:val="10"/>
        </w:rPr>
        <w:t xml:space="preserve"> </w:t>
      </w:r>
      <w:r>
        <w:rPr>
          <w:rFonts w:ascii="SimSun" w:hAnsi="SimSun" w:eastAsia="SimSun" w:cs="SimSun"/>
          <w:sz w:val="21"/>
          <w:szCs w:val="21"/>
          <w:spacing w:val="-4"/>
        </w:rPr>
        <w:t>规划纲要圈定了七大数字经济重点产业(云计算、大数据、物联</w:t>
      </w:r>
      <w:r>
        <w:rPr>
          <w:rFonts w:ascii="SimSun" w:hAnsi="SimSun" w:eastAsia="SimSun" w:cs="SimSun"/>
          <w:sz w:val="21"/>
          <w:szCs w:val="21"/>
          <w:spacing w:val="-5"/>
        </w:rPr>
        <w:t>网、</w:t>
      </w:r>
      <w:r>
        <w:rPr>
          <w:rFonts w:ascii="SimSun" w:hAnsi="SimSun" w:eastAsia="SimSun" w:cs="SimSun"/>
          <w:sz w:val="21"/>
          <w:szCs w:val="21"/>
        </w:rPr>
        <w:t xml:space="preserve">  </w:t>
      </w:r>
      <w:r>
        <w:rPr>
          <w:rFonts w:ascii="SimSun" w:hAnsi="SimSun" w:eastAsia="SimSun" w:cs="SimSun"/>
          <w:sz w:val="21"/>
          <w:szCs w:val="21"/>
          <w:spacing w:val="-7"/>
        </w:rPr>
        <w:t>工业互联网、区块链、人工智能、虚拟现实和增强现实)和十大数字</w:t>
      </w:r>
      <w:r>
        <w:rPr>
          <w:rFonts w:ascii="SimSun" w:hAnsi="SimSun" w:eastAsia="SimSun" w:cs="SimSun"/>
          <w:sz w:val="21"/>
          <w:szCs w:val="21"/>
          <w:spacing w:val="6"/>
        </w:rPr>
        <w:t xml:space="preserve">  </w:t>
      </w:r>
      <w:r>
        <w:rPr>
          <w:rFonts w:ascii="SimSun" w:hAnsi="SimSun" w:eastAsia="SimSun" w:cs="SimSun"/>
          <w:sz w:val="21"/>
          <w:szCs w:val="21"/>
          <w:spacing w:val="-6"/>
        </w:rPr>
        <w:t>化应用场景(智能交通、智慧能源、智能制造、智慧农业</w:t>
      </w:r>
      <w:r>
        <w:rPr>
          <w:rFonts w:ascii="SimSun" w:hAnsi="SimSun" w:eastAsia="SimSun" w:cs="SimSun"/>
          <w:sz w:val="21"/>
          <w:szCs w:val="21"/>
          <w:spacing w:val="-7"/>
        </w:rPr>
        <w:t>及水利、智  </w:t>
      </w:r>
      <w:r>
        <w:rPr>
          <w:rFonts w:ascii="SimSun" w:hAnsi="SimSun" w:eastAsia="SimSun" w:cs="SimSun"/>
          <w:sz w:val="21"/>
          <w:szCs w:val="21"/>
          <w:spacing w:val="-13"/>
        </w:rPr>
        <w:t>慧教育、智慧医疗、智慧文旅、智慧社区、智慧家居、智慧政务)。这</w:t>
      </w:r>
    </w:p>
    <w:p>
      <w:pPr>
        <w:ind w:left="105"/>
        <w:spacing w:before="290"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78"/>
        </w:rPr>
        <w:t xml:space="preserve"> </w:t>
      </w:r>
      <w:r>
        <w:rPr>
          <w:rFonts w:ascii="Times New Roman" w:hAnsi="Times New Roman" w:eastAsia="Times New Roman" w:cs="Times New Roman"/>
          <w:sz w:val="16"/>
          <w:szCs w:val="16"/>
        </w:rPr>
        <w:t>U.S.Bureau    of    Economic     Analysis,</w:t>
      </w:r>
      <w:hyperlink w:history="true" r:id="rId152">
        <w:r>
          <w:rPr>
            <w:rFonts w:ascii="Times New Roman" w:hAnsi="Times New Roman" w:eastAsia="Times New Roman" w:cs="Times New Roman"/>
            <w:sz w:val="16"/>
            <w:szCs w:val="16"/>
          </w:rPr>
          <w:t>https://www.bea.gov/data/special-topics/digital</w:t>
        </w:r>
      </w:hyperlink>
      <w:r>
        <w:rPr>
          <w:rFonts w:ascii="Times New Roman" w:hAnsi="Times New Roman" w:eastAsia="Times New Roman" w:cs="Times New Roman"/>
          <w:sz w:val="16"/>
          <w:szCs w:val="16"/>
        </w:rPr>
        <w:t>-</w:t>
      </w:r>
    </w:p>
    <w:p>
      <w:pPr>
        <w:ind w:left="424"/>
        <w:spacing w:before="189" w:line="109"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1"/>
        </w:rPr>
        <w:t>economy.</w:t>
      </w:r>
    </w:p>
    <w:p>
      <w:pPr>
        <w:spacing w:line="109" w:lineRule="exact"/>
        <w:sectPr>
          <w:headerReference w:type="default" r:id="rId151"/>
          <w:pgSz w:w="7330" w:h="12480"/>
          <w:pgMar w:top="755" w:right="772" w:bottom="400" w:left="265" w:header="593" w:footer="0" w:gutter="0"/>
        </w:sectPr>
        <w:rPr>
          <w:rFonts w:ascii="Times New Roman" w:hAnsi="Times New Roman" w:eastAsia="Times New Roman" w:cs="Times New Roman"/>
          <w:sz w:val="16"/>
          <w:szCs w:val="16"/>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5"/>
        <w:spacing w:before="69" w:line="306" w:lineRule="auto"/>
        <w:jc w:val="both"/>
        <w:rPr>
          <w:rFonts w:ascii="SimSun" w:hAnsi="SimSun" w:eastAsia="SimSun" w:cs="SimSun"/>
          <w:sz w:val="21"/>
          <w:szCs w:val="21"/>
        </w:rPr>
      </w:pPr>
      <w:r>
        <w:rPr>
          <w:rFonts w:ascii="SimSun" w:hAnsi="SimSun" w:eastAsia="SimSun" w:cs="SimSun"/>
          <w:sz w:val="21"/>
          <w:szCs w:val="21"/>
          <w:spacing w:val="-11"/>
        </w:rPr>
        <w:t>些数字产业的发展和数字化应用场景的实现离不开大企业、大平台等</w:t>
      </w:r>
      <w:r>
        <w:rPr>
          <w:rFonts w:ascii="SimSun" w:hAnsi="SimSun" w:eastAsia="SimSun" w:cs="SimSun"/>
          <w:sz w:val="21"/>
          <w:szCs w:val="21"/>
          <w:spacing w:val="4"/>
        </w:rPr>
        <w:t xml:space="preserve">  </w:t>
      </w:r>
      <w:r>
        <w:rPr>
          <w:rFonts w:ascii="SimSun" w:hAnsi="SimSun" w:eastAsia="SimSun" w:cs="SimSun"/>
          <w:sz w:val="21"/>
          <w:szCs w:val="21"/>
          <w:spacing w:val="-17"/>
        </w:rPr>
        <w:t>市场力量的资源整合。例如，“十四五”规划纲要提出要“培育新型消</w:t>
      </w:r>
      <w:r>
        <w:rPr>
          <w:rFonts w:ascii="SimSun" w:hAnsi="SimSun" w:eastAsia="SimSun" w:cs="SimSun"/>
          <w:sz w:val="21"/>
          <w:szCs w:val="21"/>
          <w:spacing w:val="2"/>
        </w:rPr>
        <w:t xml:space="preserve">  </w:t>
      </w:r>
      <w:r>
        <w:rPr>
          <w:rFonts w:ascii="SimSun" w:hAnsi="SimSun" w:eastAsia="SimSun" w:cs="SimSun"/>
          <w:sz w:val="21"/>
          <w:szCs w:val="21"/>
          <w:spacing w:val="-8"/>
        </w:rPr>
        <w:t>费，发展信息消费、数字消费、绿色消费，鼓励定制、体验、智能、</w:t>
      </w:r>
      <w:r>
        <w:rPr>
          <w:rFonts w:ascii="SimSun" w:hAnsi="SimSun" w:eastAsia="SimSun" w:cs="SimSun"/>
          <w:sz w:val="21"/>
          <w:szCs w:val="21"/>
          <w:spacing w:val="13"/>
        </w:rPr>
        <w:t xml:space="preserve"> </w:t>
      </w:r>
      <w:r>
        <w:rPr>
          <w:rFonts w:ascii="SimSun" w:hAnsi="SimSun" w:eastAsia="SimSun" w:cs="SimSun"/>
          <w:sz w:val="21"/>
          <w:szCs w:val="21"/>
          <w:spacing w:val="-17"/>
        </w:rPr>
        <w:t>时尚消费等新模式新业态发展”。电商平台能触及数亿消</w:t>
      </w:r>
      <w:r>
        <w:rPr>
          <w:rFonts w:ascii="SimSun" w:hAnsi="SimSun" w:eastAsia="SimSun" w:cs="SimSun"/>
          <w:sz w:val="21"/>
          <w:szCs w:val="21"/>
          <w:spacing w:val="-18"/>
        </w:rPr>
        <w:t>费者，拥有海</w:t>
      </w:r>
      <w:r>
        <w:rPr>
          <w:rFonts w:ascii="SimSun" w:hAnsi="SimSun" w:eastAsia="SimSun" w:cs="SimSun"/>
          <w:sz w:val="21"/>
          <w:szCs w:val="21"/>
        </w:rPr>
        <w:t xml:space="preserve">  </w:t>
      </w:r>
      <w:r>
        <w:rPr>
          <w:rFonts w:ascii="SimSun" w:hAnsi="SimSun" w:eastAsia="SimSun" w:cs="SimSun"/>
          <w:sz w:val="21"/>
          <w:szCs w:val="21"/>
          <w:spacing w:val="-11"/>
        </w:rPr>
        <w:t>量消费数据，不仅能够便利线上交易，还可以洞悉消费趋势，在扶持</w:t>
      </w:r>
      <w:r>
        <w:rPr>
          <w:rFonts w:ascii="SimSun" w:hAnsi="SimSun" w:eastAsia="SimSun" w:cs="SimSun"/>
          <w:sz w:val="21"/>
          <w:szCs w:val="21"/>
          <w:spacing w:val="3"/>
        </w:rPr>
        <w:t xml:space="preserve">  </w:t>
      </w:r>
      <w:r>
        <w:rPr>
          <w:rFonts w:ascii="SimSun" w:hAnsi="SimSun" w:eastAsia="SimSun" w:cs="SimSun"/>
          <w:sz w:val="21"/>
          <w:szCs w:val="21"/>
          <w:spacing w:val="-17"/>
        </w:rPr>
        <w:t>中小商家、培育本土品牌方面具有独特优势。再有，“十四五”规</w:t>
      </w:r>
      <w:r>
        <w:rPr>
          <w:rFonts w:ascii="SimSun" w:hAnsi="SimSun" w:eastAsia="SimSun" w:cs="SimSun"/>
          <w:sz w:val="21"/>
          <w:szCs w:val="21"/>
          <w:spacing w:val="-18"/>
        </w:rPr>
        <w:t>划纲</w:t>
      </w:r>
      <w:r>
        <w:rPr>
          <w:rFonts w:ascii="SimSun" w:hAnsi="SimSun" w:eastAsia="SimSun" w:cs="SimSun"/>
          <w:sz w:val="21"/>
          <w:szCs w:val="21"/>
        </w:rPr>
        <w:t xml:space="preserve">  </w:t>
      </w:r>
      <w:r>
        <w:rPr>
          <w:rFonts w:ascii="SimSun" w:hAnsi="SimSun" w:eastAsia="SimSun" w:cs="SimSun"/>
          <w:sz w:val="21"/>
          <w:szCs w:val="21"/>
          <w:spacing w:val="-11"/>
        </w:rPr>
        <w:t>要中提到“加快建立储备充足、反应迅速、抗冲击能力强的应急物流</w:t>
      </w:r>
      <w:r>
        <w:rPr>
          <w:rFonts w:ascii="SimSun" w:hAnsi="SimSun" w:eastAsia="SimSun" w:cs="SimSun"/>
          <w:sz w:val="21"/>
          <w:szCs w:val="21"/>
          <w:spacing w:val="3"/>
        </w:rPr>
        <w:t xml:space="preserve">  </w:t>
      </w:r>
      <w:r>
        <w:rPr>
          <w:rFonts w:ascii="SimSun" w:hAnsi="SimSun" w:eastAsia="SimSun" w:cs="SimSun"/>
          <w:sz w:val="21"/>
          <w:szCs w:val="21"/>
          <w:spacing w:val="-17"/>
        </w:rPr>
        <w:t>体系”。在疫情中，诸如京东自营等电商自建物流体系充</w:t>
      </w:r>
      <w:r>
        <w:rPr>
          <w:rFonts w:ascii="SimSun" w:hAnsi="SimSun" w:eastAsia="SimSun" w:cs="SimSun"/>
          <w:sz w:val="21"/>
          <w:szCs w:val="21"/>
          <w:spacing w:val="-18"/>
        </w:rPr>
        <w:t>分发挥了仓储</w:t>
      </w:r>
      <w:r>
        <w:rPr>
          <w:rFonts w:ascii="SimSun" w:hAnsi="SimSun" w:eastAsia="SimSun" w:cs="SimSun"/>
          <w:sz w:val="21"/>
          <w:szCs w:val="21"/>
        </w:rPr>
        <w:t xml:space="preserve">  </w:t>
      </w:r>
      <w:r>
        <w:rPr>
          <w:rFonts w:ascii="SimSun" w:hAnsi="SimSun" w:eastAsia="SimSun" w:cs="SimSun"/>
          <w:sz w:val="21"/>
          <w:szCs w:val="21"/>
          <w:spacing w:val="-15"/>
        </w:rPr>
        <w:t>和配送的优势，将商业运作转化成了非常时期的后备资源。</w:t>
      </w:r>
    </w:p>
    <w:p>
      <w:pPr>
        <w:ind w:right="5" w:firstLine="460"/>
        <w:spacing w:before="97" w:line="307" w:lineRule="auto"/>
        <w:rPr>
          <w:rFonts w:ascii="SimSun" w:hAnsi="SimSun" w:eastAsia="SimSun" w:cs="SimSun"/>
          <w:sz w:val="21"/>
          <w:szCs w:val="21"/>
        </w:rPr>
      </w:pPr>
      <w:r>
        <w:rPr>
          <w:rFonts w:ascii="SimSun" w:hAnsi="SimSun" w:eastAsia="SimSun" w:cs="SimSun"/>
          <w:sz w:val="21"/>
          <w:szCs w:val="21"/>
          <w:spacing w:val="-11"/>
        </w:rPr>
        <w:t>同时，数字科技也是一把双刃剑，可以利民，亦可害民。这把剑</w:t>
      </w:r>
      <w:r>
        <w:rPr>
          <w:rFonts w:ascii="SimSun" w:hAnsi="SimSun" w:eastAsia="SimSun" w:cs="SimSun"/>
          <w:sz w:val="21"/>
          <w:szCs w:val="21"/>
          <w:spacing w:val="4"/>
        </w:rPr>
        <w:t xml:space="preserve"> </w:t>
      </w:r>
      <w:r>
        <w:rPr>
          <w:rFonts w:ascii="SimSun" w:hAnsi="SimSun" w:eastAsia="SimSun" w:cs="SimSun"/>
          <w:sz w:val="21"/>
          <w:szCs w:val="21"/>
          <w:spacing w:val="-10"/>
        </w:rPr>
        <w:t>如果不受监督地被少数平台企业掌控，那么在企业利</w:t>
      </w:r>
      <w:r>
        <w:rPr>
          <w:rFonts w:ascii="SimSun" w:hAnsi="SimSun" w:eastAsia="SimSun" w:cs="SimSun"/>
          <w:sz w:val="21"/>
          <w:szCs w:val="21"/>
          <w:spacing w:val="-11"/>
        </w:rPr>
        <w:t>润和公众利益出</w:t>
      </w:r>
      <w:r>
        <w:rPr>
          <w:rFonts w:ascii="SimSun" w:hAnsi="SimSun" w:eastAsia="SimSun" w:cs="SimSun"/>
          <w:sz w:val="21"/>
          <w:szCs w:val="21"/>
        </w:rPr>
        <w:t xml:space="preserve"> </w:t>
      </w:r>
      <w:r>
        <w:rPr>
          <w:rFonts w:ascii="SimSun" w:hAnsi="SimSun" w:eastAsia="SimSun" w:cs="SimSun"/>
          <w:sz w:val="21"/>
          <w:szCs w:val="21"/>
          <w:spacing w:val="-17"/>
        </w:rPr>
        <w:t>现分化的时候，平台企业将会无所顾忌地选择前者。现实生</w:t>
      </w:r>
      <w:r>
        <w:rPr>
          <w:rFonts w:ascii="SimSun" w:hAnsi="SimSun" w:eastAsia="SimSun" w:cs="SimSun"/>
          <w:sz w:val="21"/>
          <w:szCs w:val="21"/>
          <w:spacing w:val="-18"/>
        </w:rPr>
        <w:t>活中，“大</w:t>
      </w:r>
      <w:r>
        <w:rPr>
          <w:rFonts w:ascii="SimSun" w:hAnsi="SimSun" w:eastAsia="SimSun" w:cs="SimSun"/>
          <w:sz w:val="21"/>
          <w:szCs w:val="21"/>
        </w:rPr>
        <w:t xml:space="preserve">  </w:t>
      </w:r>
      <w:r>
        <w:rPr>
          <w:rFonts w:ascii="SimSun" w:hAnsi="SimSun" w:eastAsia="SimSun" w:cs="SimSun"/>
          <w:sz w:val="21"/>
          <w:szCs w:val="21"/>
          <w:spacing w:val="-11"/>
        </w:rPr>
        <w:t>数据杀熟”(参见第九章)、用户隐私和国家安全数据泄露、平台治理</w:t>
      </w:r>
      <w:r>
        <w:rPr>
          <w:rFonts w:ascii="SimSun" w:hAnsi="SimSun" w:eastAsia="SimSun" w:cs="SimSun"/>
          <w:sz w:val="21"/>
          <w:szCs w:val="21"/>
          <w:spacing w:val="8"/>
        </w:rPr>
        <w:t xml:space="preserve">  </w:t>
      </w:r>
      <w:r>
        <w:rPr>
          <w:rFonts w:ascii="SimSun" w:hAnsi="SimSun" w:eastAsia="SimSun" w:cs="SimSun"/>
          <w:sz w:val="21"/>
          <w:szCs w:val="21"/>
        </w:rPr>
        <w:t>问题(参见第五章、第七章)、算法对劳动者价值的压榨(参见第四 </w:t>
      </w:r>
      <w:r>
        <w:rPr>
          <w:rFonts w:ascii="SimSun" w:hAnsi="SimSun" w:eastAsia="SimSun" w:cs="SimSun"/>
          <w:sz w:val="21"/>
          <w:szCs w:val="21"/>
          <w:spacing w:val="-14"/>
        </w:rPr>
        <w:t>章)、流量为王时代中小商户的生存困境等问题也变得越来越普遍和严</w:t>
      </w:r>
      <w:r>
        <w:rPr>
          <w:rFonts w:ascii="SimSun" w:hAnsi="SimSun" w:eastAsia="SimSun" w:cs="SimSun"/>
          <w:sz w:val="21"/>
          <w:szCs w:val="21"/>
          <w:spacing w:val="3"/>
        </w:rPr>
        <w:t xml:space="preserve">  </w:t>
      </w:r>
      <w:r>
        <w:rPr>
          <w:rFonts w:ascii="SimSun" w:hAnsi="SimSun" w:eastAsia="SimSun" w:cs="SimSun"/>
          <w:sz w:val="21"/>
          <w:szCs w:val="21"/>
          <w:spacing w:val="-8"/>
        </w:rPr>
        <w:t>重。如何不被数字平台利用、奴役、剥削，是每位消费者、劳动者、</w:t>
      </w:r>
      <w:r>
        <w:rPr>
          <w:rFonts w:ascii="SimSun" w:hAnsi="SimSun" w:eastAsia="SimSun" w:cs="SimSun"/>
          <w:sz w:val="21"/>
          <w:szCs w:val="21"/>
          <w:spacing w:val="13"/>
        </w:rPr>
        <w:t xml:space="preserve"> </w:t>
      </w:r>
      <w:r>
        <w:rPr>
          <w:rFonts w:ascii="SimSun" w:hAnsi="SimSun" w:eastAsia="SimSun" w:cs="SimSun"/>
          <w:sz w:val="21"/>
          <w:szCs w:val="21"/>
          <w:spacing w:val="-8"/>
        </w:rPr>
        <w:t>经营者关心的话题；如何防止数字平台滥用市场势力损害社会福利，</w:t>
      </w:r>
      <w:r>
        <w:rPr>
          <w:rFonts w:ascii="SimSun" w:hAnsi="SimSun" w:eastAsia="SimSun" w:cs="SimSun"/>
          <w:sz w:val="21"/>
          <w:szCs w:val="21"/>
          <w:spacing w:val="13"/>
        </w:rPr>
        <w:t xml:space="preserve"> </w:t>
      </w:r>
      <w:r>
        <w:rPr>
          <w:rFonts w:ascii="SimSun" w:hAnsi="SimSun" w:eastAsia="SimSun" w:cs="SimSun"/>
          <w:sz w:val="21"/>
          <w:szCs w:val="21"/>
          <w:spacing w:val="-11"/>
        </w:rPr>
        <w:t>是摆在监管者案头的重点任务；如何引导平台企业运用数字技术服务</w:t>
      </w:r>
      <w:r>
        <w:rPr>
          <w:rFonts w:ascii="SimSun" w:hAnsi="SimSun" w:eastAsia="SimSun" w:cs="SimSun"/>
          <w:sz w:val="21"/>
          <w:szCs w:val="21"/>
          <w:spacing w:val="4"/>
        </w:rPr>
        <w:t xml:space="preserve">  </w:t>
      </w:r>
      <w:r>
        <w:rPr>
          <w:rFonts w:ascii="SimSun" w:hAnsi="SimSun" w:eastAsia="SimSun" w:cs="SimSun"/>
          <w:sz w:val="21"/>
          <w:szCs w:val="21"/>
          <w:spacing w:val="-14"/>
        </w:rPr>
        <w:t>国家重大战略需求，是新时代发展数字经济的重要课</w:t>
      </w:r>
      <w:r>
        <w:rPr>
          <w:rFonts w:ascii="SimSun" w:hAnsi="SimSun" w:eastAsia="SimSun" w:cs="SimSun"/>
          <w:sz w:val="21"/>
          <w:szCs w:val="21"/>
          <w:spacing w:val="-15"/>
        </w:rPr>
        <w:t>题。</w:t>
      </w:r>
    </w:p>
    <w:p>
      <w:pPr>
        <w:ind w:firstLine="480"/>
        <w:spacing w:before="112" w:line="304" w:lineRule="auto"/>
        <w:rPr>
          <w:rFonts w:ascii="SimSun" w:hAnsi="SimSun" w:eastAsia="SimSun" w:cs="SimSun"/>
          <w:sz w:val="21"/>
          <w:szCs w:val="21"/>
        </w:rPr>
      </w:pPr>
      <w:r>
        <w:rPr>
          <w:rFonts w:ascii="SimSun" w:hAnsi="SimSun" w:eastAsia="SimSun" w:cs="SimSun"/>
          <w:sz w:val="21"/>
          <w:szCs w:val="21"/>
          <w:spacing w:val="-3"/>
        </w:rPr>
        <w:t>平台企业已经成为市场监管的重点对象。例如，美国2019年启</w:t>
      </w:r>
      <w:r>
        <w:rPr>
          <w:rFonts w:ascii="SimSun" w:hAnsi="SimSun" w:eastAsia="SimSun" w:cs="SimSun"/>
          <w:sz w:val="21"/>
          <w:szCs w:val="21"/>
          <w:spacing w:val="16"/>
        </w:rPr>
        <w:t xml:space="preserve"> </w:t>
      </w:r>
      <w:r>
        <w:rPr>
          <w:rFonts w:ascii="SimSun" w:hAnsi="SimSun" w:eastAsia="SimSun" w:cs="SimSun"/>
          <w:sz w:val="21"/>
          <w:szCs w:val="21"/>
        </w:rPr>
        <w:t>动数字市场竞争情况的调查，并于2020年7</w:t>
      </w:r>
      <w:r>
        <w:rPr>
          <w:rFonts w:ascii="SimSun" w:hAnsi="SimSun" w:eastAsia="SimSun" w:cs="SimSun"/>
          <w:sz w:val="21"/>
          <w:szCs w:val="21"/>
          <w:spacing w:val="-1"/>
        </w:rPr>
        <w:t>月29日举办了针对四大</w:t>
      </w:r>
      <w:r>
        <w:rPr>
          <w:rFonts w:ascii="SimSun" w:hAnsi="SimSun" w:eastAsia="SimSun" w:cs="SimSun"/>
          <w:sz w:val="21"/>
          <w:szCs w:val="21"/>
        </w:rPr>
        <w:t xml:space="preserve">  </w:t>
      </w:r>
      <w:r>
        <w:rPr>
          <w:rFonts w:ascii="SimSun" w:hAnsi="SimSun" w:eastAsia="SimSun" w:cs="SimSun"/>
          <w:sz w:val="21"/>
          <w:szCs w:val="21"/>
          <w:spacing w:val="-11"/>
        </w:rPr>
        <w:t>科技平台的国会听证会。数年间，反垄断专家们针对大型科技公司立</w:t>
      </w:r>
      <w:r>
        <w:rPr>
          <w:rFonts w:ascii="SimSun" w:hAnsi="SimSun" w:eastAsia="SimSun" w:cs="SimSun"/>
          <w:sz w:val="21"/>
          <w:szCs w:val="21"/>
          <w:spacing w:val="3"/>
        </w:rPr>
        <w:t xml:space="preserve">  </w:t>
      </w:r>
      <w:r>
        <w:rPr>
          <w:rFonts w:ascii="SimSun" w:hAnsi="SimSun" w:eastAsia="SimSun" w:cs="SimSun"/>
          <w:sz w:val="21"/>
          <w:szCs w:val="21"/>
          <w:spacing w:val="-11"/>
        </w:rPr>
        <w:t>过案，涉及问题并购、掠夺性定价、竞品抄袭等行为。虽然这四大公</w:t>
      </w:r>
      <w:r>
        <w:rPr>
          <w:rFonts w:ascii="SimSun" w:hAnsi="SimSun" w:eastAsia="SimSun" w:cs="SimSun"/>
          <w:sz w:val="21"/>
          <w:szCs w:val="21"/>
          <w:spacing w:val="5"/>
        </w:rPr>
        <w:t xml:space="preserve">  </w:t>
      </w:r>
      <w:r>
        <w:rPr>
          <w:rFonts w:ascii="SimSun" w:hAnsi="SimSun" w:eastAsia="SimSun" w:cs="SimSun"/>
          <w:sz w:val="21"/>
          <w:szCs w:val="21"/>
          <w:spacing w:val="-11"/>
        </w:rPr>
        <w:t>司各有不同，但是听证会展示了它们的相同之处，反垄断委员会尤其</w:t>
      </w:r>
      <w:r>
        <w:rPr>
          <w:rFonts w:ascii="SimSun" w:hAnsi="SimSun" w:eastAsia="SimSun" w:cs="SimSun"/>
          <w:sz w:val="21"/>
          <w:szCs w:val="21"/>
          <w:spacing w:val="3"/>
        </w:rPr>
        <w:t xml:space="preserve">  </w:t>
      </w:r>
      <w:r>
        <w:rPr>
          <w:rFonts w:ascii="SimSun" w:hAnsi="SimSun" w:eastAsia="SimSun" w:cs="SimSun"/>
          <w:sz w:val="21"/>
          <w:szCs w:val="21"/>
          <w:spacing w:val="-11"/>
        </w:rPr>
        <w:t>关注每个公司如何控制市场分配、调查新兴公司以及如何利用自己在</w:t>
      </w:r>
      <w:r>
        <w:rPr>
          <w:rFonts w:ascii="SimSun" w:hAnsi="SimSun" w:eastAsia="SimSun" w:cs="SimSun"/>
          <w:sz w:val="21"/>
          <w:szCs w:val="21"/>
          <w:spacing w:val="5"/>
        </w:rPr>
        <w:t xml:space="preserve">  </w:t>
      </w:r>
      <w:r>
        <w:rPr>
          <w:rFonts w:ascii="SimSun" w:hAnsi="SimSun" w:eastAsia="SimSun" w:cs="SimSun"/>
          <w:sz w:val="21"/>
          <w:szCs w:val="21"/>
          <w:spacing w:val="3"/>
        </w:rPr>
        <w:t>市场中所处的主导地位来恶意竞争。在我国，2020年12月16日召 </w:t>
      </w:r>
      <w:r>
        <w:rPr>
          <w:rFonts w:ascii="SimSun" w:hAnsi="SimSun" w:eastAsia="SimSun" w:cs="SimSun"/>
          <w:sz w:val="21"/>
          <w:szCs w:val="21"/>
          <w:spacing w:val="-3"/>
        </w:rPr>
        <w:t>开的中央经济工作会议把强化反垄断和防止资本无序扩张</w:t>
      </w:r>
      <w:r>
        <w:rPr>
          <w:rFonts w:ascii="SimSun" w:hAnsi="SimSun" w:eastAsia="SimSun" w:cs="SimSun"/>
          <w:sz w:val="21"/>
          <w:szCs w:val="21"/>
          <w:spacing w:val="-4"/>
        </w:rPr>
        <w:t>作为2021</w:t>
      </w:r>
    </w:p>
    <w:p>
      <w:pPr>
        <w:spacing w:line="304" w:lineRule="auto"/>
        <w:sectPr>
          <w:headerReference w:type="default" r:id="rId153"/>
          <w:pgSz w:w="7330" w:h="12480"/>
          <w:pgMar w:top="469" w:right="589" w:bottom="400" w:left="659" w:header="293" w:footer="0" w:gutter="0"/>
        </w:sectPr>
        <w:rPr>
          <w:rFonts w:ascii="SimSun" w:hAnsi="SimSun" w:eastAsia="SimSun" w:cs="SimSun"/>
          <w:sz w:val="21"/>
          <w:szCs w:val="21"/>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86"/>
        <w:spacing w:before="65" w:line="332" w:lineRule="auto"/>
        <w:jc w:val="both"/>
        <w:rPr>
          <w:rFonts w:ascii="SimSun" w:hAnsi="SimSun" w:eastAsia="SimSun" w:cs="SimSun"/>
          <w:sz w:val="20"/>
          <w:szCs w:val="20"/>
        </w:rPr>
      </w:pPr>
      <w:r>
        <w:rPr>
          <w:rFonts w:ascii="SimSun" w:hAnsi="SimSun" w:eastAsia="SimSun" w:cs="SimSun"/>
          <w:sz w:val="20"/>
          <w:szCs w:val="20"/>
          <w:spacing w:val="6"/>
        </w:rPr>
        <w:t>年八项重点工作任务之一，强调反垄断是完善社会主义市场经济体</w:t>
      </w:r>
      <w:r>
        <w:rPr>
          <w:rFonts w:ascii="SimSun" w:hAnsi="SimSun" w:eastAsia="SimSun" w:cs="SimSun"/>
          <w:sz w:val="20"/>
          <w:szCs w:val="20"/>
          <w:spacing w:val="4"/>
        </w:rPr>
        <w:t xml:space="preserve"> </w:t>
      </w:r>
      <w:r>
        <w:rPr>
          <w:rFonts w:ascii="SimSun" w:hAnsi="SimSun" w:eastAsia="SimSun" w:cs="SimSun"/>
          <w:sz w:val="20"/>
          <w:szCs w:val="20"/>
          <w:spacing w:val="6"/>
        </w:rPr>
        <w:t>制、推动高质量发展的内在要求。国家市场监管总局反垄断局则在</w:t>
      </w:r>
      <w:r>
        <w:rPr>
          <w:rFonts w:ascii="SimSun" w:hAnsi="SimSun" w:eastAsia="SimSun" w:cs="SimSun"/>
          <w:sz w:val="20"/>
          <w:szCs w:val="20"/>
          <w:spacing w:val="15"/>
        </w:rPr>
        <w:t xml:space="preserve"> </w:t>
      </w:r>
      <w:r>
        <w:rPr>
          <w:rFonts w:ascii="SimSun" w:hAnsi="SimSun" w:eastAsia="SimSun" w:cs="SimSun"/>
          <w:sz w:val="20"/>
          <w:szCs w:val="20"/>
          <w:spacing w:val="15"/>
        </w:rPr>
        <w:t>2020年11月10日发布了《关于平台经济领域的反垄断指南(征求</w:t>
      </w:r>
      <w:r>
        <w:rPr>
          <w:rFonts w:ascii="SimSun" w:hAnsi="SimSun" w:eastAsia="SimSun" w:cs="SimSun"/>
          <w:sz w:val="20"/>
          <w:szCs w:val="20"/>
          <w:spacing w:val="8"/>
        </w:rPr>
        <w:t xml:space="preserve"> </w:t>
      </w:r>
      <w:r>
        <w:rPr>
          <w:rFonts w:ascii="SimSun" w:hAnsi="SimSun" w:eastAsia="SimSun" w:cs="SimSun"/>
          <w:sz w:val="20"/>
          <w:szCs w:val="20"/>
          <w:spacing w:val="3"/>
        </w:rPr>
        <w:t>意见稿)》。2021年2月7日，《国务院反</w:t>
      </w:r>
      <w:r>
        <w:rPr>
          <w:rFonts w:ascii="SimSun" w:hAnsi="SimSun" w:eastAsia="SimSun" w:cs="SimSun"/>
          <w:sz w:val="20"/>
          <w:szCs w:val="20"/>
          <w:spacing w:val="2"/>
        </w:rPr>
        <w:t>垄断委员会关于平台经济领</w:t>
      </w:r>
      <w:r>
        <w:rPr>
          <w:rFonts w:ascii="SimSun" w:hAnsi="SimSun" w:eastAsia="SimSun" w:cs="SimSun"/>
          <w:sz w:val="20"/>
          <w:szCs w:val="20"/>
        </w:rPr>
        <w:t xml:space="preserve"> </w:t>
      </w:r>
      <w:r>
        <w:rPr>
          <w:rFonts w:ascii="SimSun" w:hAnsi="SimSun" w:eastAsia="SimSun" w:cs="SimSun"/>
          <w:sz w:val="20"/>
          <w:szCs w:val="20"/>
          <w:spacing w:val="12"/>
        </w:rPr>
        <w:t>域的反垄断指南》正式发布。2020年12月24日，市场监管总局根</w:t>
      </w:r>
      <w:r>
        <w:rPr>
          <w:rFonts w:ascii="SimSun" w:hAnsi="SimSun" w:eastAsia="SimSun" w:cs="SimSun"/>
          <w:sz w:val="20"/>
          <w:szCs w:val="20"/>
          <w:spacing w:val="2"/>
        </w:rPr>
        <w:t xml:space="preserve"> </w:t>
      </w:r>
      <w:r>
        <w:rPr>
          <w:rFonts w:ascii="SimSun" w:hAnsi="SimSun" w:eastAsia="SimSun" w:cs="SimSun"/>
          <w:sz w:val="20"/>
          <w:szCs w:val="20"/>
        </w:rPr>
        <w:t>据举报，依法对阿里巴巴集团控股有限公司实施</w:t>
      </w:r>
      <w:r>
        <w:rPr>
          <w:rFonts w:ascii="SimSun" w:hAnsi="SimSun" w:eastAsia="SimSun" w:cs="SimSun"/>
          <w:sz w:val="20"/>
          <w:szCs w:val="20"/>
          <w:spacing w:val="-1"/>
        </w:rPr>
        <w:t>“二选一”等涉嫌垄</w:t>
      </w:r>
      <w:r>
        <w:rPr>
          <w:rFonts w:ascii="SimSun" w:hAnsi="SimSun" w:eastAsia="SimSun" w:cs="SimSun"/>
          <w:sz w:val="20"/>
          <w:szCs w:val="20"/>
        </w:rPr>
        <w:t xml:space="preserve"> </w:t>
      </w:r>
      <w:r>
        <w:rPr>
          <w:rFonts w:ascii="SimSun" w:hAnsi="SimSun" w:eastAsia="SimSun" w:cs="SimSun"/>
          <w:sz w:val="20"/>
          <w:szCs w:val="20"/>
          <w:spacing w:val="9"/>
        </w:rPr>
        <w:t>断行为立案调查。2021年4月26日，市场监管总局根据举报</w:t>
      </w:r>
      <w:r>
        <w:rPr>
          <w:rFonts w:ascii="SimSun" w:hAnsi="SimSun" w:eastAsia="SimSun" w:cs="SimSun"/>
          <w:sz w:val="20"/>
          <w:szCs w:val="20"/>
          <w:spacing w:val="8"/>
        </w:rPr>
        <w:t>，依法</w:t>
      </w:r>
    </w:p>
    <w:p>
      <w:pPr>
        <w:spacing w:line="219" w:lineRule="auto"/>
        <w:rPr>
          <w:rFonts w:ascii="SimSun" w:hAnsi="SimSun" w:eastAsia="SimSun" w:cs="SimSun"/>
          <w:sz w:val="20"/>
          <w:szCs w:val="20"/>
        </w:rPr>
      </w:pPr>
      <w:r>
        <w:rPr>
          <w:rFonts w:ascii="SimSun" w:hAnsi="SimSun" w:eastAsia="SimSun" w:cs="SimSun"/>
          <w:sz w:val="20"/>
          <w:szCs w:val="20"/>
          <w:spacing w:val="-2"/>
        </w:rPr>
        <w:t>对美团实施“二选一”等涉嫌垄断行为立案调查。</w:t>
      </w:r>
    </w:p>
    <w:p>
      <w:pPr>
        <w:ind w:right="19" w:firstLine="399"/>
        <w:spacing w:before="126" w:line="332" w:lineRule="auto"/>
        <w:rPr>
          <w:rFonts w:ascii="SimSun" w:hAnsi="SimSun" w:eastAsia="SimSun" w:cs="SimSun"/>
          <w:sz w:val="20"/>
          <w:szCs w:val="20"/>
        </w:rPr>
      </w:pPr>
      <w:r>
        <w:rPr>
          <w:rFonts w:ascii="SimSun" w:hAnsi="SimSun" w:eastAsia="SimSun" w:cs="SimSun"/>
          <w:sz w:val="20"/>
          <w:szCs w:val="20"/>
          <w:spacing w:val="-1"/>
        </w:rPr>
        <w:t>要防止数字平台在服务市场的过程中给自营项目提供不正当的竞 </w:t>
      </w:r>
      <w:r>
        <w:rPr>
          <w:rFonts w:ascii="SimSun" w:hAnsi="SimSun" w:eastAsia="SimSun" w:cs="SimSun"/>
          <w:sz w:val="20"/>
          <w:szCs w:val="20"/>
          <w:spacing w:val="-1"/>
        </w:rPr>
        <w:t>争优势。比如，亚马逊和苹果在美国国会听证会上都被指控使用电商 </w:t>
      </w:r>
      <w:r>
        <w:rPr>
          <w:rFonts w:ascii="SimSun" w:hAnsi="SimSun" w:eastAsia="SimSun" w:cs="SimSun"/>
          <w:sz w:val="20"/>
          <w:szCs w:val="20"/>
          <w:spacing w:val="-1"/>
        </w:rPr>
        <w:t>或应用商店平台上中小商家和开发者的数据信息，运用平台的信息优 </w:t>
      </w:r>
      <w:r>
        <w:rPr>
          <w:rFonts w:ascii="SimSun" w:hAnsi="SimSun" w:eastAsia="SimSun" w:cs="SimSun"/>
          <w:sz w:val="20"/>
          <w:szCs w:val="20"/>
          <w:spacing w:val="-1"/>
        </w:rPr>
        <w:t>势和渠道优势开展不正当竞争，挤占平台商家的盈利和生存空间，甚 </w:t>
      </w:r>
      <w:r>
        <w:rPr>
          <w:rFonts w:ascii="SimSun" w:hAnsi="SimSun" w:eastAsia="SimSun" w:cs="SimSun"/>
          <w:sz w:val="20"/>
          <w:szCs w:val="20"/>
          <w:spacing w:val="1"/>
        </w:rPr>
        <w:t>至剽窃创意、打压创新，等等。亚马逊还被质疑通过云服务</w:t>
      </w:r>
      <w:r>
        <w:rPr>
          <w:rFonts w:ascii="SimSun" w:hAnsi="SimSun" w:eastAsia="SimSun" w:cs="SimSun"/>
          <w:sz w:val="20"/>
          <w:szCs w:val="20"/>
          <w:spacing w:val="-31"/>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AWS</w:t>
      </w:r>
      <w:r>
        <w:rPr>
          <w:rFonts w:ascii="Times New Roman" w:hAnsi="Times New Roman" w:eastAsia="Times New Roman" w:cs="Times New Roman"/>
          <w:sz w:val="20"/>
          <w:szCs w:val="20"/>
          <w:spacing w:val="1"/>
        </w:rPr>
        <w:t>)    </w:t>
      </w:r>
      <w:r>
        <w:rPr>
          <w:rFonts w:ascii="SimSun" w:hAnsi="SimSun" w:eastAsia="SimSun" w:cs="SimSun"/>
          <w:sz w:val="20"/>
          <w:szCs w:val="20"/>
          <w:spacing w:val="-1"/>
        </w:rPr>
        <w:t>获取其他企业的机密信息来打造竞争产品，亚马逊一名前程序员公开 </w:t>
      </w:r>
      <w:r>
        <w:rPr>
          <w:rFonts w:ascii="SimSun" w:hAnsi="SimSun" w:eastAsia="SimSun" w:cs="SimSun"/>
          <w:sz w:val="20"/>
          <w:szCs w:val="20"/>
          <w:spacing w:val="3"/>
        </w:rPr>
        <w:t>称他和团队通过</w:t>
      </w:r>
      <w:r>
        <w:rPr>
          <w:rFonts w:ascii="Times New Roman" w:hAnsi="Times New Roman" w:eastAsia="Times New Roman" w:cs="Times New Roman"/>
          <w:sz w:val="20"/>
          <w:szCs w:val="20"/>
        </w:rPr>
        <w:t>AWS</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识别快速发展的企业从而打造出竞争产品</w:t>
      </w:r>
      <w:r>
        <w:rPr>
          <w:rFonts w:ascii="SimSun" w:hAnsi="SimSun" w:eastAsia="SimSun" w:cs="SimSun"/>
          <w:sz w:val="20"/>
          <w:szCs w:val="20"/>
          <w:spacing w:val="2"/>
        </w:rPr>
        <w:t>瞄准 </w:t>
      </w:r>
      <w:r>
        <w:rPr>
          <w:rFonts w:ascii="SimSun" w:hAnsi="SimSun" w:eastAsia="SimSun" w:cs="SimSun"/>
          <w:sz w:val="20"/>
          <w:szCs w:val="20"/>
          <w:spacing w:val="-4"/>
        </w:rPr>
        <w:t>其客户。“一花独放不是春，百花齐放春满园”,数字经济要有多层次 </w:t>
      </w:r>
      <w:r>
        <w:rPr>
          <w:rFonts w:ascii="SimSun" w:hAnsi="SimSun" w:eastAsia="SimSun" w:cs="SimSun"/>
          <w:sz w:val="20"/>
          <w:szCs w:val="20"/>
          <w:spacing w:val="-1"/>
        </w:rPr>
        <w:t>的平台体系才能构建可持续的生态环境。相对于平台而言，广大中小 </w:t>
      </w:r>
      <w:r>
        <w:rPr>
          <w:rFonts w:ascii="SimSun" w:hAnsi="SimSun" w:eastAsia="SimSun" w:cs="SimSun"/>
          <w:sz w:val="20"/>
          <w:szCs w:val="20"/>
          <w:spacing w:val="-1"/>
        </w:rPr>
        <w:t>商家的力量分散、议价能力弱、平台依赖性强，因此难以通过“用脚 </w:t>
      </w:r>
      <w:r>
        <w:rPr>
          <w:rFonts w:ascii="SimSun" w:hAnsi="SimSun" w:eastAsia="SimSun" w:cs="SimSun"/>
          <w:sz w:val="20"/>
          <w:szCs w:val="20"/>
          <w:spacing w:val="6"/>
        </w:rPr>
        <w:t>投票”的市场纪律约束平台行为。监管需要明确公平竞争的商业规 </w:t>
      </w:r>
      <w:r>
        <w:rPr>
          <w:rFonts w:ascii="SimSun" w:hAnsi="SimSun" w:eastAsia="SimSun" w:cs="SimSun"/>
          <w:sz w:val="20"/>
          <w:szCs w:val="20"/>
          <w:spacing w:val="2"/>
        </w:rPr>
        <w:t>则，为广大中小市场主体发声，引导大平台企业发挥行业引领作用，</w:t>
      </w:r>
    </w:p>
    <w:p>
      <w:pPr>
        <w:spacing w:line="219" w:lineRule="auto"/>
        <w:rPr>
          <w:rFonts w:ascii="SimSun" w:hAnsi="SimSun" w:eastAsia="SimSun" w:cs="SimSun"/>
          <w:sz w:val="20"/>
          <w:szCs w:val="20"/>
        </w:rPr>
      </w:pPr>
      <w:r>
        <w:rPr>
          <w:rFonts w:ascii="SimSun" w:hAnsi="SimSun" w:eastAsia="SimSun" w:cs="SimSun"/>
          <w:sz w:val="20"/>
          <w:szCs w:val="20"/>
          <w:spacing w:val="-5"/>
        </w:rPr>
        <w:t>避免出现“大树底下不长草”“一将功成万骨枯</w:t>
      </w:r>
      <w:r>
        <w:rPr>
          <w:rFonts w:ascii="SimSun" w:hAnsi="SimSun" w:eastAsia="SimSun" w:cs="SimSun"/>
          <w:sz w:val="20"/>
          <w:szCs w:val="20"/>
          <w:spacing w:val="-6"/>
        </w:rPr>
        <w:t>”的局面。</w:t>
      </w:r>
    </w:p>
    <w:p>
      <w:pPr>
        <w:ind w:firstLine="409"/>
        <w:spacing w:before="124" w:line="313" w:lineRule="auto"/>
        <w:rPr>
          <w:rFonts w:ascii="SimSun" w:hAnsi="SimSun" w:eastAsia="SimSun" w:cs="SimSun"/>
          <w:sz w:val="20"/>
          <w:szCs w:val="20"/>
        </w:rPr>
      </w:pPr>
      <w:r>
        <w:rPr>
          <w:rFonts w:ascii="SimSun" w:hAnsi="SimSun" w:eastAsia="SimSun" w:cs="SimSun"/>
          <w:sz w:val="20"/>
          <w:szCs w:val="20"/>
          <w:spacing w:val="-1"/>
        </w:rPr>
        <w:t>要密切关注互联网平台企业对线下中小商户生存空间的冲击。以 </w:t>
      </w:r>
      <w:r>
        <w:rPr>
          <w:rFonts w:ascii="SimSun" w:hAnsi="SimSun" w:eastAsia="SimSun" w:cs="SimSun"/>
          <w:sz w:val="20"/>
          <w:szCs w:val="20"/>
          <w:spacing w:val="12"/>
        </w:rPr>
        <w:t>社区买菜为例，2021年3月3日，市场监管总局对五家社区团购企</w:t>
      </w:r>
      <w:r>
        <w:rPr>
          <w:rFonts w:ascii="SimSun" w:hAnsi="SimSun" w:eastAsia="SimSun" w:cs="SimSun"/>
          <w:sz w:val="20"/>
          <w:szCs w:val="20"/>
          <w:spacing w:val="7"/>
        </w:rPr>
        <w:t xml:space="preserve">  </w:t>
      </w:r>
      <w:r>
        <w:rPr>
          <w:rFonts w:ascii="SimSun" w:hAnsi="SimSun" w:eastAsia="SimSun" w:cs="SimSun"/>
          <w:sz w:val="20"/>
          <w:szCs w:val="20"/>
          <w:spacing w:val="2"/>
        </w:rPr>
        <w:t>业不正当价格行为做出行政处罚。市场监管总局在答记者问中指</w:t>
      </w:r>
      <w:r>
        <w:rPr>
          <w:rFonts w:ascii="SimSun" w:hAnsi="SimSun" w:eastAsia="SimSun" w:cs="SimSun"/>
          <w:sz w:val="20"/>
          <w:szCs w:val="20"/>
          <w:spacing w:val="1"/>
        </w:rPr>
        <w:t>出，</w:t>
      </w:r>
      <w:r>
        <w:rPr>
          <w:rFonts w:ascii="SimSun" w:hAnsi="SimSun" w:eastAsia="SimSun" w:cs="SimSun"/>
          <w:sz w:val="20"/>
          <w:szCs w:val="20"/>
        </w:rPr>
        <w:t xml:space="preserve"> </w:t>
      </w:r>
      <w:r>
        <w:rPr>
          <w:rFonts w:ascii="SimSun" w:hAnsi="SimSun" w:eastAsia="SimSun" w:cs="SimSun"/>
          <w:sz w:val="20"/>
          <w:szCs w:val="20"/>
        </w:rPr>
        <w:t>近年来，互联网经济在我国国民经济和社会中的</w:t>
      </w:r>
      <w:r>
        <w:rPr>
          <w:rFonts w:ascii="SimSun" w:hAnsi="SimSun" w:eastAsia="SimSun" w:cs="SimSun"/>
          <w:sz w:val="20"/>
          <w:szCs w:val="20"/>
          <w:spacing w:val="-1"/>
        </w:rPr>
        <w:t>地位显著提升，成为</w:t>
      </w:r>
      <w:r>
        <w:rPr>
          <w:rFonts w:ascii="SimSun" w:hAnsi="SimSun" w:eastAsia="SimSun" w:cs="SimSun"/>
          <w:sz w:val="20"/>
          <w:szCs w:val="20"/>
        </w:rPr>
        <w:t xml:space="preserve">  </w:t>
      </w:r>
      <w:r>
        <w:rPr>
          <w:rFonts w:ascii="SimSun" w:hAnsi="SimSun" w:eastAsia="SimSun" w:cs="SimSun"/>
          <w:sz w:val="20"/>
          <w:szCs w:val="20"/>
          <w:spacing w:val="2"/>
        </w:rPr>
        <w:t>推动经济发展的重要引擎、改善民生的重要抓手，在应对疫情冲击、</w:t>
      </w:r>
      <w:r>
        <w:rPr>
          <w:rFonts w:ascii="SimSun" w:hAnsi="SimSun" w:eastAsia="SimSun" w:cs="SimSun"/>
          <w:sz w:val="20"/>
          <w:szCs w:val="20"/>
          <w:spacing w:val="18"/>
        </w:rPr>
        <w:t xml:space="preserve"> </w:t>
      </w:r>
      <w:r>
        <w:rPr>
          <w:rFonts w:ascii="SimSun" w:hAnsi="SimSun" w:eastAsia="SimSun" w:cs="SimSun"/>
          <w:sz w:val="20"/>
          <w:szCs w:val="20"/>
        </w:rPr>
        <w:t>提升购物体验、改善供应链结构等方面发挥了</w:t>
      </w:r>
      <w:r>
        <w:rPr>
          <w:rFonts w:ascii="SimSun" w:hAnsi="SimSun" w:eastAsia="SimSun" w:cs="SimSun"/>
          <w:sz w:val="20"/>
          <w:szCs w:val="20"/>
          <w:spacing w:val="-1"/>
        </w:rPr>
        <w:t>积极作用。但随着各大</w:t>
      </w:r>
    </w:p>
    <w:p>
      <w:pPr>
        <w:spacing w:line="313" w:lineRule="auto"/>
        <w:sectPr>
          <w:headerReference w:type="default" r:id="rId154"/>
          <w:pgSz w:w="7330" w:h="12480"/>
          <w:pgMar w:top="749" w:right="860" w:bottom="400" w:left="390" w:header="592" w:footer="0" w:gutter="0"/>
        </w:sectPr>
        <w:rPr>
          <w:rFonts w:ascii="SimSun" w:hAnsi="SimSun" w:eastAsia="SimSun" w:cs="SimSun"/>
          <w:sz w:val="20"/>
          <w:szCs w:val="20"/>
        </w:rPr>
      </w:pPr>
    </w:p>
    <w:p>
      <w:pPr>
        <w:pStyle w:val="BodyText"/>
        <w:spacing w:line="250" w:lineRule="auto"/>
        <w:rPr/>
      </w:pPr>
      <w:r>
        <w:drawing>
          <wp:anchor distT="0" distB="0" distL="0" distR="0" simplePos="0" relativeHeight="252993536" behindDoc="0" locked="0" layoutInCell="0" allowOverlap="1">
            <wp:simplePos x="0" y="0"/>
            <wp:positionH relativeFrom="page">
              <wp:posOffset>558778</wp:posOffset>
            </wp:positionH>
            <wp:positionV relativeFrom="page">
              <wp:posOffset>6470672</wp:posOffset>
            </wp:positionV>
            <wp:extent cx="1174761" cy="6350"/>
            <wp:effectExtent l="0" t="0" r="0" b="0"/>
            <wp:wrapNone/>
            <wp:docPr id="138" name="IM 138"/>
            <wp:cNvGraphicFramePr/>
            <a:graphic>
              <a:graphicData uri="http://schemas.openxmlformats.org/drawingml/2006/picture">
                <pic:pic>
                  <pic:nvPicPr>
                    <pic:cNvPr id="138" name="IM 138"/>
                    <pic:cNvPicPr/>
                  </pic:nvPicPr>
                  <pic:blipFill>
                    <a:blip r:embed="rId156"/>
                    <a:stretch>
                      <a:fillRect/>
                    </a:stretch>
                  </pic:blipFill>
                  <pic:spPr>
                    <a:xfrm rot="0">
                      <a:off x="0" y="0"/>
                      <a:ext cx="1174761"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ind w:right="95"/>
        <w:spacing w:before="68" w:line="304" w:lineRule="auto"/>
        <w:jc w:val="both"/>
        <w:rPr>
          <w:rFonts w:ascii="SimSun" w:hAnsi="SimSun" w:eastAsia="SimSun" w:cs="SimSun"/>
          <w:sz w:val="21"/>
          <w:szCs w:val="21"/>
        </w:rPr>
      </w:pPr>
      <w:r>
        <w:rPr>
          <w:rFonts w:ascii="SimSun" w:hAnsi="SimSun" w:eastAsia="SimSun" w:cs="SimSun"/>
          <w:sz w:val="21"/>
          <w:szCs w:val="21"/>
          <w:spacing w:val="-11"/>
        </w:rPr>
        <w:t>互联网平台企业大举进入社区团购市场，秩序不规范、操作不合</w:t>
      </w:r>
      <w:r>
        <w:rPr>
          <w:rFonts w:ascii="SimSun" w:hAnsi="SimSun" w:eastAsia="SimSun" w:cs="SimSun"/>
          <w:sz w:val="21"/>
          <w:szCs w:val="21"/>
          <w:spacing w:val="-12"/>
        </w:rPr>
        <w:t>法等</w:t>
      </w:r>
      <w:r>
        <w:rPr>
          <w:rFonts w:ascii="SimSun" w:hAnsi="SimSun" w:eastAsia="SimSun" w:cs="SimSun"/>
          <w:sz w:val="21"/>
          <w:szCs w:val="21"/>
        </w:rPr>
        <w:t xml:space="preserve"> </w:t>
      </w:r>
      <w:r>
        <w:rPr>
          <w:rFonts w:ascii="SimSun" w:hAnsi="SimSun" w:eastAsia="SimSun" w:cs="SimSun"/>
          <w:sz w:val="21"/>
          <w:szCs w:val="21"/>
          <w:spacing w:val="-4"/>
        </w:rPr>
        <w:t>问题也日益显现。互联网平台企业利用资金、流量优势进军社区团</w:t>
      </w:r>
      <w:r>
        <w:rPr>
          <w:rFonts w:ascii="SimSun" w:hAnsi="SimSun" w:eastAsia="SimSun" w:cs="SimSun"/>
          <w:sz w:val="21"/>
          <w:szCs w:val="21"/>
          <w:spacing w:val="3"/>
        </w:rPr>
        <w:t xml:space="preserve"> </w:t>
      </w:r>
      <w:r>
        <w:rPr>
          <w:rFonts w:ascii="SimSun" w:hAnsi="SimSun" w:eastAsia="SimSun" w:cs="SimSun"/>
          <w:sz w:val="21"/>
          <w:szCs w:val="21"/>
          <w:spacing w:val="-11"/>
        </w:rPr>
        <w:t>购，以低于成本的价格争夺市场，会给小商贩、社区便利店等</w:t>
      </w:r>
      <w:r>
        <w:rPr>
          <w:rFonts w:ascii="SimSun" w:hAnsi="SimSun" w:eastAsia="SimSun" w:cs="SimSun"/>
          <w:sz w:val="21"/>
          <w:szCs w:val="21"/>
          <w:spacing w:val="-12"/>
        </w:rPr>
        <w:t>线下社</w:t>
      </w:r>
      <w:r>
        <w:rPr>
          <w:rFonts w:ascii="SimSun" w:hAnsi="SimSun" w:eastAsia="SimSun" w:cs="SimSun"/>
          <w:sz w:val="21"/>
          <w:szCs w:val="21"/>
        </w:rPr>
        <w:t xml:space="preserve"> </w:t>
      </w:r>
      <w:r>
        <w:rPr>
          <w:rFonts w:ascii="SimSun" w:hAnsi="SimSun" w:eastAsia="SimSun" w:cs="SimSun"/>
          <w:sz w:val="21"/>
          <w:szCs w:val="21"/>
          <w:spacing w:val="-10"/>
        </w:rPr>
        <w:t>区经济模式造成冲击，带来明显负效应。社区团购提供的产品和</w:t>
      </w:r>
      <w:r>
        <w:rPr>
          <w:rFonts w:ascii="SimSun" w:hAnsi="SimSun" w:eastAsia="SimSun" w:cs="SimSun"/>
          <w:sz w:val="21"/>
          <w:szCs w:val="21"/>
          <w:spacing w:val="-11"/>
        </w:rPr>
        <w:t>服务</w:t>
      </w:r>
      <w:r>
        <w:rPr>
          <w:rFonts w:ascii="SimSun" w:hAnsi="SimSun" w:eastAsia="SimSun" w:cs="SimSun"/>
          <w:sz w:val="21"/>
          <w:szCs w:val="21"/>
        </w:rPr>
        <w:t xml:space="preserve"> </w:t>
      </w:r>
      <w:r>
        <w:rPr>
          <w:rFonts w:ascii="SimSun" w:hAnsi="SimSun" w:eastAsia="SimSun" w:cs="SimSun"/>
          <w:sz w:val="21"/>
          <w:szCs w:val="21"/>
          <w:spacing w:val="-10"/>
        </w:rPr>
        <w:t>以“米袋子”“菜篮子”为主，这些基本民生商品价</w:t>
      </w:r>
      <w:r>
        <w:rPr>
          <w:rFonts w:ascii="SimSun" w:hAnsi="SimSun" w:eastAsia="SimSun" w:cs="SimSun"/>
          <w:sz w:val="21"/>
          <w:szCs w:val="21"/>
          <w:spacing w:val="-11"/>
        </w:rPr>
        <w:t>格上涨，容易引</w:t>
      </w:r>
      <w:r>
        <w:rPr>
          <w:rFonts w:ascii="SimSun" w:hAnsi="SimSun" w:eastAsia="SimSun" w:cs="SimSun"/>
          <w:sz w:val="21"/>
          <w:szCs w:val="21"/>
        </w:rPr>
        <w:t xml:space="preserve"> </w:t>
      </w:r>
      <w:r>
        <w:rPr>
          <w:rFonts w:ascii="SimSun" w:hAnsi="SimSun" w:eastAsia="SimSun" w:cs="SimSun"/>
          <w:sz w:val="21"/>
          <w:szCs w:val="21"/>
          <w:spacing w:val="-11"/>
        </w:rPr>
        <w:t>发经济社会动荡。由此可见，加强对社区团购市场等民生行业领域的</w:t>
      </w:r>
      <w:r>
        <w:rPr>
          <w:rFonts w:ascii="SimSun" w:hAnsi="SimSun" w:eastAsia="SimSun" w:cs="SimSun"/>
          <w:sz w:val="21"/>
          <w:szCs w:val="21"/>
          <w:spacing w:val="4"/>
        </w:rPr>
        <w:t xml:space="preserve"> </w:t>
      </w:r>
      <w:r>
        <w:rPr>
          <w:rFonts w:ascii="SimSun" w:hAnsi="SimSun" w:eastAsia="SimSun" w:cs="SimSun"/>
          <w:sz w:val="21"/>
          <w:szCs w:val="21"/>
          <w:spacing w:val="-12"/>
        </w:rPr>
        <w:t>监管，是落实中央经济工作会议“防止资本无序扩张”明确要求的有</w:t>
      </w:r>
      <w:r>
        <w:rPr>
          <w:rFonts w:ascii="SimSun" w:hAnsi="SimSun" w:eastAsia="SimSun" w:cs="SimSun"/>
          <w:sz w:val="21"/>
          <w:szCs w:val="21"/>
          <w:spacing w:val="9"/>
        </w:rPr>
        <w:t xml:space="preserve"> </w:t>
      </w:r>
      <w:r>
        <w:rPr>
          <w:rFonts w:ascii="SimSun" w:hAnsi="SimSun" w:eastAsia="SimSun" w:cs="SimSun"/>
          <w:sz w:val="21"/>
          <w:szCs w:val="21"/>
          <w:spacing w:val="-11"/>
        </w:rPr>
        <w:t>力措施，也是平衡线上线下经济发展、兼顾效率与公平的</w:t>
      </w:r>
      <w:r>
        <w:rPr>
          <w:rFonts w:ascii="SimSun" w:hAnsi="SimSun" w:eastAsia="SimSun" w:cs="SimSun"/>
          <w:sz w:val="21"/>
          <w:szCs w:val="21"/>
          <w:spacing w:val="-12"/>
        </w:rPr>
        <w:t>重要举措。</w:t>
      </w:r>
    </w:p>
    <w:p>
      <w:pPr>
        <w:pStyle w:val="BodyText"/>
        <w:spacing w:line="416"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25"/>
        </w:rPr>
        <w:t>中美平台经济的行业分布</w:t>
      </w:r>
    </w:p>
    <w:p>
      <w:pPr>
        <w:pStyle w:val="BodyText"/>
        <w:spacing w:line="370" w:lineRule="auto"/>
        <w:rPr/>
      </w:pPr>
      <w:r/>
    </w:p>
    <w:p>
      <w:pPr>
        <w:ind w:firstLine="420"/>
        <w:spacing w:before="68" w:line="307" w:lineRule="auto"/>
        <w:jc w:val="both"/>
        <w:rPr>
          <w:rFonts w:ascii="SimSun" w:hAnsi="SimSun" w:eastAsia="SimSun" w:cs="SimSun"/>
          <w:sz w:val="21"/>
          <w:szCs w:val="21"/>
        </w:rPr>
      </w:pPr>
      <w:r>
        <w:rPr>
          <w:rFonts w:ascii="SimSun" w:hAnsi="SimSun" w:eastAsia="SimSun" w:cs="SimSun"/>
          <w:sz w:val="21"/>
          <w:szCs w:val="21"/>
          <w:spacing w:val="-11"/>
        </w:rPr>
        <w:t>数字经济创造了一批新的行业，也带来了传统行业的升级。互联</w:t>
      </w:r>
      <w:r>
        <w:rPr>
          <w:rFonts w:ascii="SimSun" w:hAnsi="SimSun" w:eastAsia="SimSun" w:cs="SimSun"/>
          <w:sz w:val="21"/>
          <w:szCs w:val="21"/>
          <w:spacing w:val="2"/>
        </w:rPr>
        <w:t xml:space="preserve">  </w:t>
      </w:r>
      <w:r>
        <w:rPr>
          <w:rFonts w:ascii="SimSun" w:hAnsi="SimSun" w:eastAsia="SimSun" w:cs="SimSun"/>
          <w:sz w:val="21"/>
          <w:szCs w:val="21"/>
          <w:spacing w:val="3"/>
        </w:rPr>
        <w:t>网和数字经济在农林牧渔业(智慧农业),制造业(智能制</w:t>
      </w:r>
      <w:r>
        <w:rPr>
          <w:rFonts w:ascii="SimSun" w:hAnsi="SimSun" w:eastAsia="SimSun" w:cs="SimSun"/>
          <w:sz w:val="21"/>
          <w:szCs w:val="21"/>
          <w:spacing w:val="2"/>
        </w:rPr>
        <w:t>造、柔性</w:t>
      </w:r>
      <w:r>
        <w:rPr>
          <w:rFonts w:ascii="SimSun" w:hAnsi="SimSun" w:eastAsia="SimSun" w:cs="SimSun"/>
          <w:sz w:val="21"/>
          <w:szCs w:val="21"/>
        </w:rPr>
        <w:t xml:space="preserve">  </w:t>
      </w:r>
      <w:r>
        <w:rPr>
          <w:rFonts w:ascii="SimSun" w:hAnsi="SimSun" w:eastAsia="SimSun" w:cs="SimSun"/>
          <w:sz w:val="21"/>
          <w:szCs w:val="21"/>
          <w:spacing w:val="-3"/>
        </w:rPr>
        <w:t>制造、工业互联网、产业链数字化转型、智慧家居),批发</w:t>
      </w:r>
      <w:r>
        <w:rPr>
          <w:rFonts w:ascii="SimSun" w:hAnsi="SimSun" w:eastAsia="SimSun" w:cs="SimSun"/>
          <w:sz w:val="21"/>
          <w:szCs w:val="21"/>
          <w:spacing w:val="-4"/>
        </w:rPr>
        <w:t>和零售业</w:t>
      </w:r>
      <w:r>
        <w:rPr>
          <w:rFonts w:ascii="SimSun" w:hAnsi="SimSun" w:eastAsia="SimSun" w:cs="SimSun"/>
          <w:sz w:val="21"/>
          <w:szCs w:val="21"/>
        </w:rPr>
        <w:t xml:space="preserve">  </w:t>
      </w:r>
      <w:r>
        <w:rPr>
          <w:rFonts w:ascii="SimSun" w:hAnsi="SimSun" w:eastAsia="SimSun" w:cs="SimSun"/>
          <w:sz w:val="21"/>
          <w:szCs w:val="21"/>
          <w:spacing w:val="-7"/>
        </w:rPr>
        <w:t>(新零售、新型消费、数字消费、绿色消费、中国品牌创建、跨境电</w:t>
      </w:r>
      <w:r>
        <w:rPr>
          <w:rFonts w:ascii="SimSun" w:hAnsi="SimSun" w:eastAsia="SimSun" w:cs="SimSun"/>
          <w:sz w:val="21"/>
          <w:szCs w:val="21"/>
          <w:spacing w:val="8"/>
        </w:rPr>
        <w:t xml:space="preserve">  </w:t>
      </w:r>
      <w:r>
        <w:rPr>
          <w:rFonts w:ascii="SimSun" w:hAnsi="SimSun" w:eastAsia="SimSun" w:cs="SimSun"/>
          <w:sz w:val="21"/>
          <w:szCs w:val="21"/>
        </w:rPr>
        <w:t>商),交通运输、仓储和邮政业(现代物流体系、智慧物流、无接触</w:t>
      </w:r>
      <w:r>
        <w:rPr>
          <w:rFonts w:ascii="SimSun" w:hAnsi="SimSun" w:eastAsia="SimSun" w:cs="SimSun"/>
          <w:sz w:val="21"/>
          <w:szCs w:val="21"/>
          <w:spacing w:val="7"/>
        </w:rPr>
        <w:t xml:space="preserve">  </w:t>
      </w:r>
      <w:r>
        <w:rPr>
          <w:rFonts w:ascii="SimSun" w:hAnsi="SimSun" w:eastAsia="SimSun" w:cs="SimSun"/>
          <w:sz w:val="21"/>
          <w:szCs w:val="21"/>
          <w:spacing w:val="4"/>
        </w:rPr>
        <w:t>交易),金融行业(数字金融),居民服务、修理和其他服务业</w:t>
      </w:r>
      <w:r>
        <w:rPr>
          <w:rFonts w:ascii="SimSun" w:hAnsi="SimSun" w:eastAsia="SimSun" w:cs="SimSun"/>
          <w:sz w:val="21"/>
          <w:szCs w:val="21"/>
          <w:spacing w:val="3"/>
        </w:rPr>
        <w:t>(智慧</w:t>
      </w:r>
      <w:r>
        <w:rPr>
          <w:rFonts w:ascii="SimSun" w:hAnsi="SimSun" w:eastAsia="SimSun" w:cs="SimSun"/>
          <w:sz w:val="21"/>
          <w:szCs w:val="21"/>
        </w:rPr>
        <w:t xml:space="preserve">  </w:t>
      </w:r>
      <w:r>
        <w:rPr>
          <w:rFonts w:ascii="SimSun" w:hAnsi="SimSun" w:eastAsia="SimSun" w:cs="SimSun"/>
          <w:sz w:val="21"/>
          <w:szCs w:val="21"/>
          <w:spacing w:val="-7"/>
        </w:rPr>
        <w:t>教育、智慧医疗、智慧文旅、智慧社区、线上线下融合)等行业都扮</w:t>
      </w:r>
      <w:r>
        <w:rPr>
          <w:rFonts w:ascii="SimSun" w:hAnsi="SimSun" w:eastAsia="SimSun" w:cs="SimSun"/>
          <w:sz w:val="21"/>
          <w:szCs w:val="21"/>
          <w:spacing w:val="5"/>
        </w:rPr>
        <w:t xml:space="preserve">  </w:t>
      </w:r>
      <w:r>
        <w:rPr>
          <w:rFonts w:ascii="SimSun" w:hAnsi="SimSun" w:eastAsia="SimSun" w:cs="SimSun"/>
          <w:sz w:val="21"/>
          <w:szCs w:val="21"/>
          <w:spacing w:val="-10"/>
        </w:rPr>
        <w:t>演着举足轻重的角色。即使在看似与数字经济和科技平台相距较远的</w:t>
      </w:r>
      <w:r>
        <w:rPr>
          <w:rFonts w:ascii="SimSun" w:hAnsi="SimSun" w:eastAsia="SimSun" w:cs="SimSun"/>
          <w:sz w:val="21"/>
          <w:szCs w:val="21"/>
          <w:spacing w:val="2"/>
        </w:rPr>
        <w:t xml:space="preserve">  </w:t>
      </w:r>
      <w:r>
        <w:rPr>
          <w:rFonts w:ascii="SimSun" w:hAnsi="SimSun" w:eastAsia="SimSun" w:cs="SimSun"/>
          <w:sz w:val="21"/>
          <w:szCs w:val="21"/>
          <w:spacing w:val="-10"/>
        </w:rPr>
        <w:t>行业°,大数据、人工智能、物联网等数字技术也有着诸如智能交通、</w:t>
      </w:r>
      <w:r>
        <w:rPr>
          <w:rFonts w:ascii="SimSun" w:hAnsi="SimSun" w:eastAsia="SimSun" w:cs="SimSun"/>
          <w:sz w:val="21"/>
          <w:szCs w:val="21"/>
        </w:rPr>
        <w:t xml:space="preserve"> </w:t>
      </w:r>
      <w:r>
        <w:rPr>
          <w:rFonts w:ascii="SimSun" w:hAnsi="SimSun" w:eastAsia="SimSun" w:cs="SimSun"/>
          <w:sz w:val="21"/>
          <w:szCs w:val="21"/>
          <w:spacing w:val="-11"/>
        </w:rPr>
        <w:t>智慧能源、智慧政务等丰富的应用场景。</w:t>
      </w:r>
    </w:p>
    <w:p>
      <w:pPr>
        <w:ind w:right="95" w:firstLine="420"/>
        <w:spacing w:before="110" w:line="284" w:lineRule="auto"/>
        <w:jc w:val="both"/>
        <w:rPr>
          <w:rFonts w:ascii="SimSun" w:hAnsi="SimSun" w:eastAsia="SimSun" w:cs="SimSun"/>
          <w:sz w:val="21"/>
          <w:szCs w:val="21"/>
        </w:rPr>
      </w:pPr>
      <w:r>
        <w:rPr>
          <w:rFonts w:ascii="SimSun" w:hAnsi="SimSun" w:eastAsia="SimSun" w:cs="SimSun"/>
          <w:sz w:val="21"/>
          <w:szCs w:val="21"/>
          <w:spacing w:val="4"/>
        </w:rPr>
        <w:t>2021年10月29日，国家市场监督管理总局公布的《互联</w:t>
      </w:r>
      <w:r>
        <w:rPr>
          <w:rFonts w:ascii="SimSun" w:hAnsi="SimSun" w:eastAsia="SimSun" w:cs="SimSun"/>
          <w:sz w:val="21"/>
          <w:szCs w:val="21"/>
          <w:spacing w:val="3"/>
        </w:rPr>
        <w:t>网平</w:t>
      </w:r>
      <w:r>
        <w:rPr>
          <w:rFonts w:ascii="SimSun" w:hAnsi="SimSun" w:eastAsia="SimSun" w:cs="SimSun"/>
          <w:sz w:val="21"/>
          <w:szCs w:val="21"/>
        </w:rPr>
        <w:t xml:space="preserve"> </w:t>
      </w:r>
      <w:r>
        <w:rPr>
          <w:rFonts w:ascii="SimSun" w:hAnsi="SimSun" w:eastAsia="SimSun" w:cs="SimSun"/>
          <w:sz w:val="21"/>
          <w:szCs w:val="21"/>
          <w:spacing w:val="-4"/>
        </w:rPr>
        <w:t>台分类分级指南(征求意见稿)》提出，对平台进行分类考虑的</w:t>
      </w:r>
      <w:r>
        <w:rPr>
          <w:rFonts w:ascii="SimSun" w:hAnsi="SimSun" w:eastAsia="SimSun" w:cs="SimSun"/>
          <w:sz w:val="21"/>
          <w:szCs w:val="21"/>
          <w:spacing w:val="-5"/>
        </w:rPr>
        <w:t>是平</w:t>
      </w:r>
      <w:r>
        <w:rPr>
          <w:rFonts w:ascii="SimSun" w:hAnsi="SimSun" w:eastAsia="SimSun" w:cs="SimSun"/>
          <w:sz w:val="21"/>
          <w:szCs w:val="21"/>
        </w:rPr>
        <w:t xml:space="preserve"> </w:t>
      </w:r>
      <w:r>
        <w:rPr>
          <w:rFonts w:ascii="SimSun" w:hAnsi="SimSun" w:eastAsia="SimSun" w:cs="SimSun"/>
          <w:sz w:val="21"/>
          <w:szCs w:val="21"/>
          <w:spacing w:val="-4"/>
        </w:rPr>
        <w:t>台的连接属性和主要功能。互联网平台把人和不同对象即商</w:t>
      </w:r>
      <w:r>
        <w:rPr>
          <w:rFonts w:ascii="SimSun" w:hAnsi="SimSun" w:eastAsia="SimSun" w:cs="SimSun"/>
          <w:sz w:val="21"/>
          <w:szCs w:val="21"/>
          <w:spacing w:val="-5"/>
        </w:rPr>
        <w:t>品、服</w:t>
      </w:r>
    </w:p>
    <w:p>
      <w:pPr>
        <w:pStyle w:val="BodyText"/>
        <w:spacing w:line="278" w:lineRule="auto"/>
        <w:rPr/>
      </w:pPr>
      <w:r/>
    </w:p>
    <w:p>
      <w:pPr>
        <w:ind w:left="319" w:right="62" w:hanging="240"/>
        <w:spacing w:before="53" w:line="281" w:lineRule="auto"/>
        <w:rPr>
          <w:rFonts w:ascii="KaiTi" w:hAnsi="KaiTi" w:eastAsia="KaiTi" w:cs="KaiTi"/>
          <w:sz w:val="16"/>
          <w:szCs w:val="16"/>
        </w:rPr>
      </w:pPr>
      <w:r>
        <w:rPr>
          <w:rFonts w:ascii="SimSun" w:hAnsi="SimSun" w:eastAsia="SimSun" w:cs="SimSun"/>
          <w:sz w:val="16"/>
          <w:szCs w:val="16"/>
          <w:spacing w:val="3"/>
        </w:rPr>
        <w:t>①</w:t>
      </w:r>
      <w:r>
        <w:rPr>
          <w:rFonts w:ascii="KaiTi" w:hAnsi="KaiTi" w:eastAsia="KaiTi" w:cs="KaiTi"/>
          <w:sz w:val="16"/>
          <w:szCs w:val="16"/>
          <w:spacing w:val="3"/>
        </w:rPr>
        <w:t>)例如采矿业，电力、热力、燃气及水生产和供应业，建筑业，科学研究和技术服</w:t>
      </w:r>
      <w:r>
        <w:rPr>
          <w:rFonts w:ascii="KaiTi" w:hAnsi="KaiTi" w:eastAsia="KaiTi" w:cs="KaiTi"/>
          <w:sz w:val="16"/>
          <w:szCs w:val="16"/>
        </w:rPr>
        <w:t xml:space="preserve"> </w:t>
      </w:r>
      <w:r>
        <w:rPr>
          <w:rFonts w:ascii="KaiTi" w:hAnsi="KaiTi" w:eastAsia="KaiTi" w:cs="KaiTi"/>
          <w:sz w:val="16"/>
          <w:szCs w:val="16"/>
          <w:spacing w:val="3"/>
        </w:rPr>
        <w:t>务业，水利、环境和公共设施管理业，卫生和社会工作</w:t>
      </w:r>
      <w:r>
        <w:rPr>
          <w:rFonts w:ascii="KaiTi" w:hAnsi="KaiTi" w:eastAsia="KaiTi" w:cs="KaiTi"/>
          <w:sz w:val="16"/>
          <w:szCs w:val="16"/>
          <w:spacing w:val="2"/>
        </w:rPr>
        <w:t>，公共管理、社会保障和</w:t>
      </w:r>
      <w:r>
        <w:rPr>
          <w:rFonts w:ascii="KaiTi" w:hAnsi="KaiTi" w:eastAsia="KaiTi" w:cs="KaiTi"/>
          <w:sz w:val="16"/>
          <w:szCs w:val="16"/>
        </w:rPr>
        <w:t xml:space="preserve"> </w:t>
      </w:r>
      <w:r>
        <w:rPr>
          <w:rFonts w:ascii="KaiTi" w:hAnsi="KaiTi" w:eastAsia="KaiTi" w:cs="KaiTi"/>
          <w:sz w:val="16"/>
          <w:szCs w:val="16"/>
          <w:spacing w:val="-2"/>
        </w:rPr>
        <w:t>社会组织，国际组织等公共事业和自然资源行业。</w:t>
      </w:r>
    </w:p>
    <w:p>
      <w:pPr>
        <w:spacing w:line="281" w:lineRule="auto"/>
        <w:sectPr>
          <w:headerReference w:type="default" r:id="rId155"/>
          <w:pgSz w:w="7330" w:h="12480"/>
          <w:pgMar w:top="475" w:right="364" w:bottom="400" w:left="869" w:header="312" w:footer="0" w:gutter="0"/>
        </w:sectPr>
        <w:rPr>
          <w:rFonts w:ascii="KaiTi" w:hAnsi="KaiTi" w:eastAsia="KaiTi" w:cs="KaiTi"/>
          <w:sz w:val="16"/>
          <w:szCs w:val="16"/>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right="68"/>
        <w:spacing w:before="68" w:line="290" w:lineRule="auto"/>
        <w:jc w:val="both"/>
        <w:rPr>
          <w:rFonts w:ascii="SimSun" w:hAnsi="SimSun" w:eastAsia="SimSun" w:cs="SimSun"/>
          <w:sz w:val="21"/>
          <w:szCs w:val="21"/>
        </w:rPr>
      </w:pPr>
      <w:r>
        <w:rPr>
          <w:rFonts w:ascii="SimSun" w:hAnsi="SimSun" w:eastAsia="SimSun" w:cs="SimSun"/>
          <w:sz w:val="21"/>
          <w:szCs w:val="21"/>
          <w:spacing w:val="-4"/>
        </w:rPr>
        <w:t>务、人群、信息、资金、算力对接在一起，从而可以划分为网络销</w:t>
      </w:r>
      <w:r>
        <w:rPr>
          <w:rFonts w:ascii="SimSun" w:hAnsi="SimSun" w:eastAsia="SimSun" w:cs="SimSun"/>
          <w:sz w:val="21"/>
          <w:szCs w:val="21"/>
          <w:spacing w:val="10"/>
        </w:rPr>
        <w:t xml:space="preserve"> </w:t>
      </w:r>
      <w:r>
        <w:rPr>
          <w:rFonts w:ascii="SimSun" w:hAnsi="SimSun" w:eastAsia="SimSun" w:cs="SimSun"/>
          <w:sz w:val="21"/>
          <w:szCs w:val="21"/>
          <w:spacing w:val="-10"/>
        </w:rPr>
        <w:t>售、生活服务、社交娱乐、信息资讯、金融服</w:t>
      </w:r>
      <w:r>
        <w:rPr>
          <w:rFonts w:ascii="SimSun" w:hAnsi="SimSun" w:eastAsia="SimSun" w:cs="SimSun"/>
          <w:sz w:val="21"/>
          <w:szCs w:val="21"/>
          <w:spacing w:val="-11"/>
        </w:rPr>
        <w:t>务和计算应用六类平台</w:t>
      </w:r>
      <w:r>
        <w:rPr>
          <w:rFonts w:ascii="SimSun" w:hAnsi="SimSun" w:eastAsia="SimSun" w:cs="SimSun"/>
          <w:sz w:val="21"/>
          <w:szCs w:val="21"/>
        </w:rPr>
        <w:t xml:space="preserve"> </w:t>
      </w:r>
      <w:r>
        <w:rPr>
          <w:rFonts w:ascii="SimSun" w:hAnsi="SimSun" w:eastAsia="SimSun" w:cs="SimSun"/>
          <w:sz w:val="21"/>
          <w:szCs w:val="21"/>
        </w:rPr>
        <w:t>(见图3-1)。可以看出，绝大部分的平台类型都与</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rPr>
        <w:t>端(消费者)的 </w:t>
      </w:r>
      <w:r>
        <w:rPr>
          <w:rFonts w:ascii="SimSun" w:hAnsi="SimSun" w:eastAsia="SimSun" w:cs="SimSun"/>
          <w:sz w:val="21"/>
          <w:szCs w:val="21"/>
          <w:spacing w:val="-14"/>
        </w:rPr>
        <w:t>个人工作生活密切相关。</w:t>
      </w:r>
    </w:p>
    <w:p>
      <w:pPr>
        <w:pStyle w:val="BodyText"/>
        <w:ind w:firstLine="960"/>
        <w:spacing w:before="102" w:line="4330" w:lineRule="exact"/>
        <w:rPr/>
      </w:pPr>
      <w:r>
        <w:rPr>
          <w:position w:val="-86"/>
        </w:rPr>
        <w:pict>
          <v:group id="_x0000_s62" style="mso-position-vertical-relative:line;mso-position-horizontal-relative:char;width:204.5pt;height:216.55pt;" filled="false" stroked="false" coordsize="4090,4331" coordorigin="0,0">
            <v:shape id="_x0000_s64" style="position:absolute;left:0;top:0;width:4090;height:4331;" filled="false" stroked="false" type="#_x0000_t75">
              <v:imagedata o:title="" r:id="rId158"/>
            </v:shape>
            <v:shape id="_x0000_s66" style="position:absolute;left:150;top:326;width:2893;height:3530;" filled="false" stroked="false" type="#_x0000_t202">
              <v:fill on="false"/>
              <v:stroke on="false"/>
              <v:path/>
              <v:imagedata o:title=""/>
              <o:lock v:ext="edit" aspectratio="false"/>
              <v:textbox inset="0mm,0mm,0mm,0mm">
                <w:txbxContent>
                  <w:p>
                    <w:pPr>
                      <w:ind w:left="1529"/>
                      <w:spacing w:before="20" w:line="221" w:lineRule="exact"/>
                      <w:rPr>
                        <w:rFonts w:ascii="SimSun" w:hAnsi="SimSun" w:eastAsia="SimSun" w:cs="SimSun"/>
                        <w:sz w:val="16"/>
                        <w:szCs w:val="16"/>
                      </w:rPr>
                    </w:pPr>
                    <w:r>
                      <w:rPr>
                        <w:rFonts w:ascii="SimSun" w:hAnsi="SimSun" w:eastAsia="SimSun" w:cs="SimSun"/>
                        <w:sz w:val="16"/>
                        <w:szCs w:val="16"/>
                        <w:color w:val="FFFFFF"/>
                        <w:spacing w:val="-14"/>
                        <w:position w:val="4"/>
                      </w:rPr>
                      <w:t>网络销售类</w:t>
                    </w:r>
                  </w:p>
                  <w:p>
                    <w:pPr>
                      <w:ind w:left="1769"/>
                      <w:spacing w:line="221" w:lineRule="auto"/>
                      <w:rPr>
                        <w:rFonts w:ascii="SimSun" w:hAnsi="SimSun" w:eastAsia="SimSun" w:cs="SimSun"/>
                        <w:sz w:val="16"/>
                        <w:szCs w:val="16"/>
                      </w:rPr>
                    </w:pPr>
                    <w:r>
                      <w:rPr>
                        <w:rFonts w:ascii="SimSun" w:hAnsi="SimSun" w:eastAsia="SimSun" w:cs="SimSun"/>
                        <w:sz w:val="16"/>
                        <w:szCs w:val="16"/>
                        <w:color w:val="FFFFFF"/>
                        <w:spacing w:val="-9"/>
                      </w:rPr>
                      <w:t>平台</w:t>
                    </w:r>
                  </w:p>
                  <w:p>
                    <w:pPr>
                      <w:spacing w:line="477" w:lineRule="auto"/>
                      <w:rPr>
                        <w:rFonts w:ascii="Arial"/>
                        <w:sz w:val="21"/>
                      </w:rPr>
                    </w:pPr>
                    <w:r/>
                  </w:p>
                  <w:p>
                    <w:pPr>
                      <w:ind w:left="1909"/>
                      <w:spacing w:before="69" w:line="220" w:lineRule="auto"/>
                      <w:rPr>
                        <w:rFonts w:ascii="SimSun" w:hAnsi="SimSun" w:eastAsia="SimSun" w:cs="SimSun"/>
                        <w:sz w:val="21"/>
                        <w:szCs w:val="21"/>
                      </w:rPr>
                    </w:pPr>
                    <w:r>
                      <w:rPr>
                        <w:rFonts w:ascii="SimSun" w:hAnsi="SimSun" w:eastAsia="SimSun" w:cs="SimSun"/>
                        <w:sz w:val="21"/>
                        <w:szCs w:val="21"/>
                        <w:spacing w:val="-18"/>
                      </w:rPr>
                      <w:t>商品</w:t>
                    </w:r>
                  </w:p>
                  <w:p>
                    <w:pPr>
                      <w:ind w:left="1199"/>
                      <w:spacing w:before="57" w:line="219" w:lineRule="auto"/>
                      <w:rPr>
                        <w:rFonts w:ascii="SimSun" w:hAnsi="SimSun" w:eastAsia="SimSun" w:cs="SimSun"/>
                        <w:sz w:val="16"/>
                        <w:szCs w:val="16"/>
                      </w:rPr>
                    </w:pPr>
                    <w:r>
                      <w:rPr>
                        <w:rFonts w:ascii="SimSun" w:hAnsi="SimSun" w:eastAsia="SimSun" w:cs="SimSun"/>
                        <w:sz w:val="16"/>
                        <w:szCs w:val="16"/>
                        <w:spacing w:val="-2"/>
                      </w:rPr>
                      <w:t>算力</w:t>
                    </w:r>
                  </w:p>
                  <w:p>
                    <w:pPr>
                      <w:ind w:right="16"/>
                      <w:spacing w:before="80" w:line="219" w:lineRule="auto"/>
                      <w:jc w:val="right"/>
                      <w:rPr>
                        <w:rFonts w:ascii="SimSun" w:hAnsi="SimSun" w:eastAsia="SimSun" w:cs="SimSun"/>
                        <w:sz w:val="16"/>
                        <w:szCs w:val="16"/>
                      </w:rPr>
                    </w:pPr>
                    <w:r>
                      <w:rPr>
                        <w:rFonts w:ascii="SimSun" w:hAnsi="SimSun" w:eastAsia="SimSun" w:cs="SimSun"/>
                        <w:sz w:val="16"/>
                        <w:szCs w:val="16"/>
                        <w:spacing w:val="-2"/>
                      </w:rPr>
                      <w:t>服务</w:t>
                    </w:r>
                  </w:p>
                  <w:p>
                    <w:pPr>
                      <w:ind w:left="999"/>
                      <w:spacing w:before="171" w:line="221" w:lineRule="auto"/>
                      <w:rPr>
                        <w:rFonts w:ascii="SimSun" w:hAnsi="SimSun" w:eastAsia="SimSun" w:cs="SimSun"/>
                        <w:sz w:val="16"/>
                        <w:szCs w:val="16"/>
                      </w:rPr>
                    </w:pPr>
                    <w:r>
                      <w:rPr>
                        <w:rFonts w:ascii="SimSun" w:hAnsi="SimSun" w:eastAsia="SimSun" w:cs="SimSun"/>
                        <w:sz w:val="16"/>
                        <w:szCs w:val="16"/>
                        <w:spacing w:val="-4"/>
                      </w:rPr>
                      <w:t>资金</w:t>
                    </w:r>
                  </w:p>
                  <w:p>
                    <w:pPr>
                      <w:ind w:left="20"/>
                      <w:spacing w:before="257" w:line="208" w:lineRule="auto"/>
                      <w:rPr>
                        <w:rFonts w:ascii="SimSun" w:hAnsi="SimSun" w:eastAsia="SimSun" w:cs="SimSun"/>
                        <w:sz w:val="16"/>
                        <w:szCs w:val="16"/>
                      </w:rPr>
                    </w:pPr>
                    <w:r>
                      <w:rPr>
                        <w:rFonts w:ascii="SimSun" w:hAnsi="SimSun" w:eastAsia="SimSun" w:cs="SimSun"/>
                        <w:sz w:val="16"/>
                        <w:szCs w:val="16"/>
                        <w:color w:val="FFFFFF"/>
                        <w:spacing w:val="-11"/>
                      </w:rPr>
                      <w:t>金融服务类</w:t>
                    </w:r>
                  </w:p>
                  <w:p>
                    <w:pPr>
                      <w:ind w:left="249"/>
                      <w:spacing w:line="223" w:lineRule="auto"/>
                      <w:rPr>
                        <w:rFonts w:ascii="SimSun" w:hAnsi="SimSun" w:eastAsia="SimSun" w:cs="SimSun"/>
                        <w:sz w:val="16"/>
                        <w:szCs w:val="16"/>
                      </w:rPr>
                    </w:pPr>
                    <w:r>
                      <w:rPr>
                        <w:rFonts w:ascii="SimSun" w:hAnsi="SimSun" w:eastAsia="SimSun" w:cs="SimSun"/>
                        <w:sz w:val="16"/>
                        <w:szCs w:val="16"/>
                        <w:color w:val="FFFFFF"/>
                        <w:spacing w:val="-5"/>
                        <w:position w:val="-1"/>
                      </w:rPr>
                      <w:t>平台             </w:t>
                    </w:r>
                    <w:r>
                      <w:rPr>
                        <w:rFonts w:ascii="SimSun" w:hAnsi="SimSun" w:eastAsia="SimSun" w:cs="SimSun"/>
                        <w:sz w:val="16"/>
                        <w:szCs w:val="16"/>
                        <w:spacing w:val="-5"/>
                        <w:position w:val="1"/>
                      </w:rPr>
                      <w:t>信息</w:t>
                    </w:r>
                  </w:p>
                  <w:p>
                    <w:pPr>
                      <w:spacing w:line="265" w:lineRule="auto"/>
                      <w:rPr>
                        <w:rFonts w:ascii="Arial"/>
                        <w:sz w:val="21"/>
                      </w:rPr>
                    </w:pPr>
                    <w:r/>
                  </w:p>
                  <w:p>
                    <w:pPr>
                      <w:spacing w:line="266" w:lineRule="auto"/>
                      <w:rPr>
                        <w:rFonts w:ascii="Arial"/>
                        <w:sz w:val="21"/>
                      </w:rPr>
                    </w:pPr>
                    <w:r/>
                  </w:p>
                  <w:p>
                    <w:pPr>
                      <w:ind w:left="1529"/>
                      <w:spacing w:before="52" w:line="219" w:lineRule="auto"/>
                      <w:rPr>
                        <w:rFonts w:ascii="SimSun" w:hAnsi="SimSun" w:eastAsia="SimSun" w:cs="SimSun"/>
                        <w:sz w:val="16"/>
                        <w:szCs w:val="16"/>
                      </w:rPr>
                    </w:pPr>
                    <w:r>
                      <w:rPr>
                        <w:rFonts w:ascii="SimSun" w:hAnsi="SimSun" w:eastAsia="SimSun" w:cs="SimSun"/>
                        <w:sz w:val="16"/>
                        <w:szCs w:val="16"/>
                        <w:spacing w:val="-14"/>
                      </w:rPr>
                      <w:t>信息资讯类</w:t>
                    </w:r>
                  </w:p>
                </w:txbxContent>
              </v:textbox>
            </v:shape>
            <v:shape id="_x0000_s68" style="position:absolute;left:3150;top:1196;width:796;height:422;" filled="false" stroked="false" type="#_x0000_t202">
              <v:fill on="false"/>
              <v:stroke on="false"/>
              <v:path/>
              <v:imagedata o:title=""/>
              <o:lock v:ext="edit" aspectratio="false"/>
              <v:textbox inset="0mm,0mm,0mm,0mm">
                <w:txbxContent>
                  <w:p>
                    <w:pPr>
                      <w:ind w:left="240" w:right="20" w:hanging="220"/>
                      <w:spacing w:before="19" w:line="239" w:lineRule="auto"/>
                      <w:rPr>
                        <w:rFonts w:ascii="SimSun" w:hAnsi="SimSun" w:eastAsia="SimSun" w:cs="SimSun"/>
                        <w:sz w:val="16"/>
                        <w:szCs w:val="16"/>
                      </w:rPr>
                    </w:pPr>
                    <w:r>
                      <w:rPr>
                        <w:rFonts w:ascii="SimSun" w:hAnsi="SimSun" w:eastAsia="SimSun" w:cs="SimSun"/>
                        <w:sz w:val="16"/>
                        <w:szCs w:val="16"/>
                        <w:spacing w:val="-9"/>
                      </w:rPr>
                      <w:t>生活服务类</w:t>
                    </w:r>
                    <w:r>
                      <w:rPr>
                        <w:rFonts w:ascii="SimSun" w:hAnsi="SimSun" w:eastAsia="SimSun" w:cs="SimSun"/>
                        <w:sz w:val="16"/>
                        <w:szCs w:val="16"/>
                      </w:rPr>
                      <w:t xml:space="preserve"> </w:t>
                    </w:r>
                    <w:r>
                      <w:rPr>
                        <w:rFonts w:ascii="SimSun" w:hAnsi="SimSun" w:eastAsia="SimSun" w:cs="SimSun"/>
                        <w:sz w:val="16"/>
                        <w:szCs w:val="16"/>
                        <w:spacing w:val="-2"/>
                      </w:rPr>
                      <w:t>平台</w:t>
                    </w:r>
                  </w:p>
                </w:txbxContent>
              </v:textbox>
            </v:shape>
            <v:shape id="_x0000_s70" style="position:absolute;left:3160;top:2676;width:786;height:422;" filled="false" stroked="false" type="#_x0000_t202">
              <v:fill on="false"/>
              <v:stroke on="false"/>
              <v:path/>
              <v:imagedata o:title=""/>
              <o:lock v:ext="edit" aspectratio="false"/>
              <v:textbox inset="0mm,0mm,0mm,0mm">
                <w:txbxContent>
                  <w:p>
                    <w:pPr>
                      <w:ind w:left="238" w:right="20" w:hanging="219"/>
                      <w:spacing w:before="19" w:line="239" w:lineRule="auto"/>
                      <w:rPr>
                        <w:rFonts w:ascii="SimSun" w:hAnsi="SimSun" w:eastAsia="SimSun" w:cs="SimSun"/>
                        <w:sz w:val="16"/>
                        <w:szCs w:val="16"/>
                      </w:rPr>
                    </w:pPr>
                    <w:r>
                      <w:rPr>
                        <w:rFonts w:ascii="SimSun" w:hAnsi="SimSun" w:eastAsia="SimSun" w:cs="SimSun"/>
                        <w:sz w:val="16"/>
                        <w:szCs w:val="16"/>
                        <w:spacing w:val="-11"/>
                      </w:rPr>
                      <w:t>社交娱乐类</w:t>
                    </w:r>
                    <w:r>
                      <w:rPr>
                        <w:rFonts w:ascii="SimSun" w:hAnsi="SimSun" w:eastAsia="SimSun" w:cs="SimSun"/>
                        <w:sz w:val="16"/>
                        <w:szCs w:val="16"/>
                      </w:rPr>
                      <w:t xml:space="preserve"> </w:t>
                    </w:r>
                    <w:r>
                      <w:rPr>
                        <w:rFonts w:ascii="SimSun" w:hAnsi="SimSun" w:eastAsia="SimSun" w:cs="SimSun"/>
                        <w:sz w:val="16"/>
                        <w:szCs w:val="16"/>
                        <w:spacing w:val="-2"/>
                      </w:rPr>
                      <w:t>平台</w:t>
                    </w:r>
                  </w:p>
                </w:txbxContent>
              </v:textbox>
            </v:shape>
            <v:shape id="_x0000_s72" style="position:absolute;left:140;top:1196;width:746;height:422;" filled="false" stroked="false" type="#_x0000_t202">
              <v:fill on="false"/>
              <v:stroke on="false"/>
              <v:path/>
              <v:imagedata o:title=""/>
              <o:lock v:ext="edit" aspectratio="false"/>
              <v:textbox inset="0mm,0mm,0mm,0mm">
                <w:txbxContent>
                  <w:p>
                    <w:pPr>
                      <w:ind w:left="250" w:right="20" w:hanging="230"/>
                      <w:spacing w:before="19" w:line="231" w:lineRule="auto"/>
                      <w:rPr>
                        <w:rFonts w:ascii="SimSun" w:hAnsi="SimSun" w:eastAsia="SimSun" w:cs="SimSun"/>
                        <w:sz w:val="16"/>
                        <w:szCs w:val="16"/>
                      </w:rPr>
                    </w:pPr>
                    <w:r>
                      <w:rPr>
                        <w:rFonts w:ascii="SimSun" w:hAnsi="SimSun" w:eastAsia="SimSun" w:cs="SimSun"/>
                        <w:sz w:val="16"/>
                        <w:szCs w:val="16"/>
                        <w:color w:val="FFFFFF"/>
                        <w:spacing w:val="-12"/>
                        <w:w w:val="95"/>
                      </w:rPr>
                      <w:t>计算应用类</w:t>
                    </w:r>
                    <w:r>
                      <w:rPr>
                        <w:rFonts w:ascii="SimSun" w:hAnsi="SimSun" w:eastAsia="SimSun" w:cs="SimSun"/>
                        <w:sz w:val="16"/>
                        <w:szCs w:val="16"/>
                        <w:color w:val="FFFFFF"/>
                        <w:spacing w:val="5"/>
                      </w:rPr>
                      <w:t xml:space="preserve"> </w:t>
                    </w:r>
                    <w:r>
                      <w:rPr>
                        <w:rFonts w:ascii="SimSun" w:hAnsi="SimSun" w:eastAsia="SimSun" w:cs="SimSun"/>
                        <w:sz w:val="16"/>
                        <w:szCs w:val="16"/>
                        <w:color w:val="FFFFFF"/>
                        <w:spacing w:val="-12"/>
                      </w:rPr>
                      <w:t>平台</w:t>
                    </w:r>
                  </w:p>
                </w:txbxContent>
              </v:textbox>
            </v:shape>
          </v:group>
        </w:pict>
      </w:r>
    </w:p>
    <w:p>
      <w:pPr>
        <w:ind w:left="1953"/>
        <w:spacing w:before="103" w:line="221" w:lineRule="auto"/>
        <w:rPr>
          <w:rFonts w:ascii="SimHei" w:hAnsi="SimHei" w:eastAsia="SimHei" w:cs="SimHei"/>
          <w:sz w:val="21"/>
          <w:szCs w:val="21"/>
        </w:rPr>
      </w:pPr>
      <w:r>
        <w:rPr>
          <w:rFonts w:ascii="SimHei" w:hAnsi="SimHei" w:eastAsia="SimHei" w:cs="SimHei"/>
          <w:sz w:val="21"/>
          <w:szCs w:val="21"/>
          <w:b/>
          <w:bCs/>
          <w:spacing w:val="-21"/>
        </w:rPr>
        <w:t>图3-1</w:t>
      </w:r>
      <w:r>
        <w:rPr>
          <w:rFonts w:ascii="SimHei" w:hAnsi="SimHei" w:eastAsia="SimHei" w:cs="SimHei"/>
          <w:sz w:val="21"/>
          <w:szCs w:val="21"/>
          <w:spacing w:val="45"/>
        </w:rPr>
        <w:t xml:space="preserve"> </w:t>
      </w:r>
      <w:r>
        <w:rPr>
          <w:rFonts w:ascii="SimHei" w:hAnsi="SimHei" w:eastAsia="SimHei" w:cs="SimHei"/>
          <w:sz w:val="21"/>
          <w:szCs w:val="21"/>
          <w:b/>
          <w:bCs/>
          <w:spacing w:val="-21"/>
        </w:rPr>
        <w:t>六大平台业务类型</w:t>
      </w:r>
    </w:p>
    <w:p>
      <w:pPr>
        <w:pStyle w:val="BodyText"/>
        <w:spacing w:line="288" w:lineRule="auto"/>
        <w:rPr/>
      </w:pPr>
      <w:r/>
    </w:p>
    <w:p>
      <w:pPr>
        <w:ind w:firstLine="420"/>
        <w:spacing w:before="68" w:line="306" w:lineRule="auto"/>
        <w:jc w:val="both"/>
        <w:rPr>
          <w:rFonts w:ascii="SimSun" w:hAnsi="SimSun" w:eastAsia="SimSun" w:cs="SimSun"/>
          <w:sz w:val="21"/>
          <w:szCs w:val="21"/>
        </w:rPr>
      </w:pPr>
      <w:r>
        <w:rPr>
          <w:rFonts w:ascii="SimSun" w:hAnsi="SimSun" w:eastAsia="SimSun" w:cs="SimSun"/>
          <w:sz w:val="21"/>
          <w:szCs w:val="21"/>
          <w:spacing w:val="-4"/>
        </w:rPr>
        <w:t>我们将中美对比的重点行业范围定位在与个人用户密切相关的</w:t>
      </w:r>
      <w:r>
        <w:rPr>
          <w:rFonts w:ascii="SimSun" w:hAnsi="SimSun" w:eastAsia="SimSun" w:cs="SimSun"/>
          <w:sz w:val="21"/>
          <w:szCs w:val="21"/>
          <w:spacing w:val="1"/>
        </w:rPr>
        <w:t xml:space="preserve">  </w:t>
      </w:r>
      <w:r>
        <w:rPr>
          <w:rFonts w:ascii="Times New Roman" w:hAnsi="Times New Roman" w:eastAsia="Times New Roman" w:cs="Times New Roman"/>
          <w:sz w:val="21"/>
          <w:szCs w:val="21"/>
        </w:rPr>
        <w:t>C</w:t>
      </w:r>
      <w:r>
        <w:rPr>
          <w:rFonts w:ascii="SimSun" w:hAnsi="SimSun" w:eastAsia="SimSun" w:cs="SimSun"/>
          <w:sz w:val="21"/>
          <w:szCs w:val="21"/>
        </w:rPr>
        <w:t>端领域，包括衣食住行(电子商务、快递/</w:t>
      </w:r>
      <w:r>
        <w:rPr>
          <w:rFonts w:ascii="SimSun" w:hAnsi="SimSun" w:eastAsia="SimSun" w:cs="SimSun"/>
          <w:sz w:val="21"/>
          <w:szCs w:val="21"/>
          <w:spacing w:val="-1"/>
        </w:rPr>
        <w:t>外卖/即时物流、出行/</w:t>
      </w:r>
      <w:r>
        <w:rPr>
          <w:rFonts w:ascii="SimSun" w:hAnsi="SimSun" w:eastAsia="SimSun" w:cs="SimSun"/>
          <w:sz w:val="21"/>
          <w:szCs w:val="21"/>
        </w:rPr>
        <w:t xml:space="preserve"> </w:t>
      </w:r>
      <w:r>
        <w:rPr>
          <w:rFonts w:ascii="SimSun" w:hAnsi="SimSun" w:eastAsia="SimSun" w:cs="SimSun"/>
          <w:sz w:val="21"/>
          <w:szCs w:val="21"/>
          <w:spacing w:val="-1"/>
        </w:rPr>
        <w:t>酒旅、地图、本地服务)、通信社交(通信软件、社交、约会)、信</w:t>
      </w:r>
      <w:r>
        <w:rPr>
          <w:rFonts w:ascii="SimSun" w:hAnsi="SimSun" w:eastAsia="SimSun" w:cs="SimSun"/>
          <w:sz w:val="21"/>
          <w:szCs w:val="21"/>
          <w:spacing w:val="8"/>
        </w:rPr>
        <w:t xml:space="preserve">  </w:t>
      </w:r>
      <w:r>
        <w:rPr>
          <w:rFonts w:ascii="SimSun" w:hAnsi="SimSun" w:eastAsia="SimSun" w:cs="SimSun"/>
          <w:sz w:val="21"/>
          <w:szCs w:val="21"/>
          <w:spacing w:val="-4"/>
        </w:rPr>
        <w:t>息获取(搜索引擎/浏览器、新闻资讯、出版、自媒体、网络广告)、</w:t>
      </w:r>
      <w:r>
        <w:rPr>
          <w:rFonts w:ascii="SimSun" w:hAnsi="SimSun" w:eastAsia="SimSun" w:cs="SimSun"/>
          <w:sz w:val="21"/>
          <w:szCs w:val="21"/>
          <w:spacing w:val="3"/>
        </w:rPr>
        <w:t xml:space="preserve"> </w:t>
      </w:r>
      <w:r>
        <w:rPr>
          <w:rFonts w:ascii="SimSun" w:hAnsi="SimSun" w:eastAsia="SimSun" w:cs="SimSun"/>
          <w:sz w:val="21"/>
          <w:szCs w:val="21"/>
          <w:spacing w:val="3"/>
        </w:rPr>
        <w:t>娱乐休闲(在线视频/短视频、</w:t>
      </w:r>
      <w:r>
        <w:rPr>
          <w:rFonts w:ascii="Times New Roman" w:hAnsi="Times New Roman" w:eastAsia="Times New Roman" w:cs="Times New Roman"/>
          <w:sz w:val="21"/>
          <w:szCs w:val="21"/>
        </w:rPr>
        <w:t>MCN</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运营平台、音乐、游戏)、自 </w:t>
      </w:r>
      <w:r>
        <w:rPr>
          <w:rFonts w:ascii="SimSun" w:hAnsi="SimSun" w:eastAsia="SimSun" w:cs="SimSun"/>
          <w:sz w:val="21"/>
          <w:szCs w:val="21"/>
          <w:spacing w:val="4"/>
        </w:rPr>
        <w:t>我提升(在线教育、问答网站、运动健身)</w:t>
      </w:r>
      <w:r>
        <w:rPr>
          <w:rFonts w:ascii="SimSun" w:hAnsi="SimSun" w:eastAsia="SimSun" w:cs="SimSun"/>
          <w:sz w:val="21"/>
          <w:szCs w:val="21"/>
          <w:spacing w:val="3"/>
        </w:rPr>
        <w:t>等，对应着监管指南中 </w:t>
      </w:r>
      <w:r>
        <w:rPr>
          <w:rFonts w:ascii="SimSun" w:hAnsi="SimSun" w:eastAsia="SimSun" w:cs="SimSun"/>
          <w:sz w:val="21"/>
          <w:szCs w:val="21"/>
          <w:spacing w:val="-4"/>
        </w:rPr>
        <w:t>的网络销售类平台、生活服务类平台、社交娱乐类平台、信息资讯</w:t>
      </w:r>
      <w:r>
        <w:rPr>
          <w:rFonts w:ascii="SimSun" w:hAnsi="SimSun" w:eastAsia="SimSun" w:cs="SimSun"/>
          <w:sz w:val="21"/>
          <w:szCs w:val="21"/>
          <w:spacing w:val="2"/>
        </w:rPr>
        <w:t xml:space="preserve">  </w:t>
      </w:r>
      <w:r>
        <w:rPr>
          <w:rFonts w:ascii="SimSun" w:hAnsi="SimSun" w:eastAsia="SimSun" w:cs="SimSun"/>
          <w:sz w:val="21"/>
          <w:szCs w:val="21"/>
          <w:spacing w:val="-4"/>
        </w:rPr>
        <w:t>类平台。数据来源方面，中国的搜索引擎和浏览器的市场份额数据</w:t>
      </w:r>
      <w:r>
        <w:rPr>
          <w:rFonts w:ascii="SimSun" w:hAnsi="SimSun" w:eastAsia="SimSun" w:cs="SimSun"/>
          <w:sz w:val="21"/>
          <w:szCs w:val="21"/>
          <w:spacing w:val="3"/>
        </w:rPr>
        <w:t xml:space="preserve">  </w:t>
      </w:r>
      <w:r>
        <w:rPr>
          <w:rFonts w:ascii="SimSun" w:hAnsi="SimSun" w:eastAsia="SimSun" w:cs="SimSun"/>
          <w:sz w:val="21"/>
          <w:szCs w:val="21"/>
          <w:spacing w:val="-3"/>
        </w:rPr>
        <w:t>来自</w:t>
      </w:r>
      <w:r>
        <w:rPr>
          <w:rFonts w:ascii="Times New Roman" w:hAnsi="Times New Roman" w:eastAsia="Times New Roman" w:cs="Times New Roman"/>
          <w:sz w:val="21"/>
          <w:szCs w:val="21"/>
          <w:spacing w:val="-3"/>
        </w:rPr>
        <w:t>StatCounter </w:t>
      </w:r>
      <w:r>
        <w:rPr>
          <w:rFonts w:ascii="SimSun" w:hAnsi="SimSun" w:eastAsia="SimSun" w:cs="SimSun"/>
          <w:sz w:val="21"/>
          <w:szCs w:val="21"/>
          <w:spacing w:val="-3"/>
        </w:rPr>
        <w:t>统计，其他行业的市场份额数据来自各大证</w:t>
      </w:r>
      <w:r>
        <w:rPr>
          <w:rFonts w:ascii="SimSun" w:hAnsi="SimSun" w:eastAsia="SimSun" w:cs="SimSun"/>
          <w:sz w:val="21"/>
          <w:szCs w:val="21"/>
          <w:spacing w:val="-4"/>
        </w:rPr>
        <w:t>券研究</w:t>
      </w:r>
    </w:p>
    <w:p>
      <w:pPr>
        <w:spacing w:line="306" w:lineRule="auto"/>
        <w:sectPr>
          <w:headerReference w:type="default" r:id="rId157"/>
          <w:pgSz w:w="7330" w:h="12480"/>
          <w:pgMar w:top="785" w:right="844" w:bottom="400" w:left="409" w:header="611" w:footer="0" w:gutter="0"/>
        </w:sectPr>
        <w:rPr>
          <w:rFonts w:ascii="SimSun" w:hAnsi="SimSun" w:eastAsia="SimSun" w:cs="SimSun"/>
          <w:sz w:val="21"/>
          <w:szCs w:val="21"/>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right="93"/>
        <w:spacing w:before="65" w:line="333" w:lineRule="auto"/>
        <w:jc w:val="both"/>
        <w:rPr>
          <w:rFonts w:ascii="SimSun" w:hAnsi="SimSun" w:eastAsia="SimSun" w:cs="SimSun"/>
          <w:sz w:val="20"/>
          <w:szCs w:val="20"/>
        </w:rPr>
      </w:pPr>
      <w:r>
        <w:rPr>
          <w:rFonts w:ascii="SimSun" w:hAnsi="SimSun" w:eastAsia="SimSun" w:cs="SimSun"/>
          <w:sz w:val="20"/>
          <w:szCs w:val="20"/>
          <w:spacing w:val="9"/>
        </w:rPr>
        <w:t>所发布的行业分析报告。美国的</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social</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media</w:t>
      </w:r>
      <w:r>
        <w:rPr>
          <w:rFonts w:ascii="SimSun" w:hAnsi="SimSun" w:eastAsia="SimSun" w:cs="SimSun"/>
          <w:sz w:val="20"/>
          <w:szCs w:val="20"/>
          <w:spacing w:val="9"/>
        </w:rPr>
        <w:t>(社交媒体)、</w:t>
      </w:r>
      <w:r>
        <w:rPr>
          <w:rFonts w:ascii="Times New Roman" w:hAnsi="Times New Roman" w:eastAsia="Times New Roman" w:cs="Times New Roman"/>
          <w:sz w:val="20"/>
          <w:szCs w:val="20"/>
        </w:rPr>
        <w:t>browser  </w:t>
      </w:r>
      <w:r>
        <w:rPr>
          <w:rFonts w:ascii="SimSun" w:hAnsi="SimSun" w:eastAsia="SimSun" w:cs="SimSun"/>
          <w:sz w:val="20"/>
          <w:szCs w:val="20"/>
          <w:spacing w:val="12"/>
        </w:rPr>
        <w:t>(浏览器)、</w:t>
      </w:r>
      <w:r>
        <w:rPr>
          <w:rFonts w:ascii="Times New Roman" w:hAnsi="Times New Roman" w:eastAsia="Times New Roman" w:cs="Times New Roman"/>
          <w:sz w:val="20"/>
          <w:szCs w:val="20"/>
        </w:rPr>
        <w:t>search</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engine</w:t>
      </w:r>
      <w:r>
        <w:rPr>
          <w:rFonts w:ascii="SimSun" w:hAnsi="SimSun" w:eastAsia="SimSun" w:cs="SimSun"/>
          <w:sz w:val="20"/>
          <w:szCs w:val="20"/>
          <w:spacing w:val="12"/>
        </w:rPr>
        <w:t>(搜索引擎)、</w:t>
      </w:r>
      <w:r>
        <w:rPr>
          <w:rFonts w:ascii="Times New Roman" w:hAnsi="Times New Roman" w:eastAsia="Times New Roman" w:cs="Times New Roman"/>
          <w:sz w:val="20"/>
          <w:szCs w:val="20"/>
        </w:rPr>
        <w:t>operating</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system</w:t>
      </w:r>
      <w:r>
        <w:rPr>
          <w:rFonts w:ascii="SimSun" w:hAnsi="SimSun" w:eastAsia="SimSun" w:cs="SimSun"/>
          <w:sz w:val="20"/>
          <w:szCs w:val="20"/>
          <w:spacing w:val="12"/>
        </w:rPr>
        <w:t>(</w:t>
      </w:r>
      <w:r>
        <w:rPr>
          <w:rFonts w:ascii="SimSun" w:hAnsi="SimSun" w:eastAsia="SimSun" w:cs="SimSun"/>
          <w:sz w:val="20"/>
          <w:szCs w:val="20"/>
          <w:spacing w:val="-32"/>
        </w:rPr>
        <w:t xml:space="preserve"> </w:t>
      </w:r>
      <w:r>
        <w:rPr>
          <w:rFonts w:ascii="SimSun" w:hAnsi="SimSun" w:eastAsia="SimSun" w:cs="SimSun"/>
          <w:sz w:val="20"/>
          <w:szCs w:val="20"/>
          <w:spacing w:val="12"/>
        </w:rPr>
        <w:t>操</w:t>
      </w:r>
      <w:r>
        <w:rPr>
          <w:rFonts w:ascii="SimSun" w:hAnsi="SimSun" w:eastAsia="SimSun" w:cs="SimSun"/>
          <w:sz w:val="20"/>
          <w:szCs w:val="20"/>
          <w:spacing w:val="-37"/>
        </w:rPr>
        <w:t xml:space="preserve"> </w:t>
      </w:r>
      <w:r>
        <w:rPr>
          <w:rFonts w:ascii="SimSun" w:hAnsi="SimSun" w:eastAsia="SimSun" w:cs="SimSun"/>
          <w:sz w:val="20"/>
          <w:szCs w:val="20"/>
          <w:spacing w:val="12"/>
        </w:rPr>
        <w:t>作</w:t>
      </w:r>
      <w:r>
        <w:rPr>
          <w:rFonts w:ascii="SimSun" w:hAnsi="SimSun" w:eastAsia="SimSun" w:cs="SimSun"/>
          <w:sz w:val="20"/>
          <w:szCs w:val="20"/>
          <w:spacing w:val="-34"/>
        </w:rPr>
        <w:t xml:space="preserve"> </w:t>
      </w:r>
      <w:r>
        <w:rPr>
          <w:rFonts w:ascii="SimSun" w:hAnsi="SimSun" w:eastAsia="SimSun" w:cs="SimSun"/>
          <w:sz w:val="20"/>
          <w:szCs w:val="20"/>
          <w:spacing w:val="12"/>
        </w:rPr>
        <w:t>系</w:t>
      </w:r>
      <w:r>
        <w:rPr>
          <w:rFonts w:ascii="SimSun" w:hAnsi="SimSun" w:eastAsia="SimSun" w:cs="SimSun"/>
          <w:sz w:val="20"/>
          <w:szCs w:val="20"/>
        </w:rPr>
        <w:t xml:space="preserve"> </w:t>
      </w:r>
      <w:r>
        <w:rPr>
          <w:rFonts w:ascii="SimSun" w:hAnsi="SimSun" w:eastAsia="SimSun" w:cs="SimSun"/>
          <w:sz w:val="20"/>
          <w:szCs w:val="20"/>
          <w:spacing w:val="10"/>
        </w:rPr>
        <w:t>统)、</w:t>
      </w:r>
      <w:r>
        <w:rPr>
          <w:rFonts w:ascii="Times New Roman" w:hAnsi="Times New Roman" w:eastAsia="Times New Roman" w:cs="Times New Roman"/>
          <w:sz w:val="20"/>
          <w:szCs w:val="20"/>
        </w:rPr>
        <w:t>mobile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vendor</w:t>
      </w:r>
      <w:r>
        <w:rPr>
          <w:rFonts w:ascii="SimSun" w:hAnsi="SimSun" w:eastAsia="SimSun" w:cs="SimSun"/>
          <w:sz w:val="20"/>
          <w:szCs w:val="20"/>
          <w:spacing w:val="10"/>
        </w:rPr>
        <w:t>(移动供应商)这五个类别的市场份额数据来自</w:t>
      </w:r>
      <w:r>
        <w:rPr>
          <w:rFonts w:ascii="SimSun" w:hAnsi="SimSun" w:eastAsia="SimSun" w:cs="SimSun"/>
          <w:sz w:val="20"/>
          <w:szCs w:val="20"/>
          <w:spacing w:val="2"/>
        </w:rPr>
        <w:t xml:space="preserve"> </w:t>
      </w:r>
      <w:r>
        <w:rPr>
          <w:rFonts w:ascii="Times New Roman" w:hAnsi="Times New Roman" w:eastAsia="Times New Roman" w:cs="Times New Roman"/>
          <w:sz w:val="20"/>
          <w:szCs w:val="20"/>
        </w:rPr>
        <w:t>StatCounter</w:t>
      </w:r>
      <w:r>
        <w:rPr>
          <w:rFonts w:ascii="Times New Roman" w:hAnsi="Times New Roman" w:eastAsia="Times New Roman" w:cs="Times New Roman"/>
          <w:sz w:val="20"/>
          <w:szCs w:val="20"/>
          <w:spacing w:val="14"/>
        </w:rPr>
        <w:t>,   </w:t>
      </w:r>
      <w:r>
        <w:rPr>
          <w:rFonts w:ascii="SimSun" w:hAnsi="SimSun" w:eastAsia="SimSun" w:cs="SimSun"/>
          <w:sz w:val="20"/>
          <w:szCs w:val="20"/>
          <w:spacing w:val="14"/>
        </w:rPr>
        <w:t>其他类别则依据</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6"/>
          <w:w w:val="101"/>
        </w:rPr>
        <w:t xml:space="preserve"> </w:t>
      </w:r>
      <w:r>
        <w:rPr>
          <w:rFonts w:ascii="Times New Roman" w:hAnsi="Times New Roman" w:eastAsia="Times New Roman" w:cs="Times New Roman"/>
          <w:sz w:val="20"/>
          <w:szCs w:val="20"/>
        </w:rPr>
        <w:t>Annie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发布的各类别</w:t>
      </w:r>
      <w:r>
        <w:rPr>
          <w:rFonts w:ascii="Times New Roman" w:hAnsi="Times New Roman" w:eastAsia="Times New Roman" w:cs="Times New Roman"/>
          <w:sz w:val="20"/>
          <w:szCs w:val="20"/>
        </w:rPr>
        <w:t>App</w:t>
      </w:r>
      <w:r>
        <w:rPr>
          <w:rFonts w:ascii="SimSun" w:hAnsi="SimSun" w:eastAsia="SimSun" w:cs="SimSun"/>
          <w:sz w:val="20"/>
          <w:szCs w:val="20"/>
          <w:spacing w:val="14"/>
        </w:rPr>
        <w:t>实时排</w:t>
      </w:r>
    </w:p>
    <w:p>
      <w:pPr>
        <w:spacing w:line="219" w:lineRule="auto"/>
        <w:rPr>
          <w:rFonts w:ascii="SimSun" w:hAnsi="SimSun" w:eastAsia="SimSun" w:cs="SimSun"/>
          <w:sz w:val="20"/>
          <w:szCs w:val="20"/>
        </w:rPr>
      </w:pPr>
      <w:r>
        <w:rPr>
          <w:rFonts w:ascii="SimSun" w:hAnsi="SimSun" w:eastAsia="SimSun" w:cs="SimSun"/>
          <w:sz w:val="20"/>
          <w:szCs w:val="20"/>
          <w:spacing w:val="-1"/>
        </w:rPr>
        <w:t>行榜。</w:t>
      </w:r>
    </w:p>
    <w:p>
      <w:pPr>
        <w:ind w:right="42" w:firstLine="480"/>
        <w:spacing w:before="116" w:line="321" w:lineRule="auto"/>
        <w:rPr>
          <w:rFonts w:ascii="SimSun" w:hAnsi="SimSun" w:eastAsia="SimSun" w:cs="SimSun"/>
          <w:sz w:val="20"/>
          <w:szCs w:val="20"/>
        </w:rPr>
      </w:pPr>
      <w:r>
        <w:rPr>
          <w:rFonts w:ascii="SimSun" w:hAnsi="SimSun" w:eastAsia="SimSun" w:cs="SimSun"/>
          <w:sz w:val="20"/>
          <w:szCs w:val="20"/>
          <w:spacing w:val="15"/>
        </w:rPr>
        <w:t>中美两国在与个人用户相关的行业都发展出了较大的数</w:t>
      </w:r>
      <w:r>
        <w:rPr>
          <w:rFonts w:ascii="SimSun" w:hAnsi="SimSun" w:eastAsia="SimSun" w:cs="SimSun"/>
          <w:sz w:val="20"/>
          <w:szCs w:val="20"/>
          <w:spacing w:val="14"/>
        </w:rPr>
        <w:t>字平</w:t>
      </w:r>
      <w:r>
        <w:rPr>
          <w:rFonts w:ascii="SimSun" w:hAnsi="SimSun" w:eastAsia="SimSun" w:cs="SimSun"/>
          <w:sz w:val="20"/>
          <w:szCs w:val="20"/>
        </w:rPr>
        <w:t xml:space="preserve"> </w:t>
      </w:r>
      <w:r>
        <w:rPr>
          <w:rFonts w:ascii="SimSun" w:hAnsi="SimSun" w:eastAsia="SimSun" w:cs="SimSun"/>
          <w:sz w:val="20"/>
          <w:szCs w:val="20"/>
          <w:spacing w:val="1"/>
        </w:rPr>
        <w:t>台。搜索引擎行业分别有百度和谷歌，通信行业分别有微信、</w:t>
      </w:r>
      <w:r>
        <w:rPr>
          <w:rFonts w:ascii="Times New Roman" w:hAnsi="Times New Roman" w:eastAsia="Times New Roman" w:cs="Times New Roman"/>
          <w:sz w:val="20"/>
          <w:szCs w:val="20"/>
        </w:rPr>
        <w:t>QQ</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和  </w:t>
      </w:r>
      <w:r>
        <w:rPr>
          <w:rFonts w:ascii="Times New Roman" w:hAnsi="Times New Roman" w:eastAsia="Times New Roman" w:cs="Times New Roman"/>
          <w:sz w:val="20"/>
          <w:szCs w:val="20"/>
        </w:rPr>
        <w:t>WhatsApp</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Messenger</w:t>
      </w:r>
      <w:r>
        <w:rPr>
          <w:rFonts w:ascii="Times New Roman" w:hAnsi="Times New Roman" w:eastAsia="Times New Roman" w:cs="Times New Roman"/>
          <w:sz w:val="20"/>
          <w:szCs w:val="20"/>
          <w:spacing w:val="4"/>
        </w:rPr>
        <w:t>,</w:t>
      </w:r>
      <w:r>
        <w:rPr>
          <w:rFonts w:ascii="SimSun" w:hAnsi="SimSun" w:eastAsia="SimSun" w:cs="SimSun"/>
          <w:sz w:val="20"/>
          <w:szCs w:val="20"/>
          <w:spacing w:val="4"/>
        </w:rPr>
        <w:t>电商购物行业分别有淘宝、天猫、</w:t>
      </w:r>
      <w:r>
        <w:rPr>
          <w:rFonts w:ascii="SimSun" w:hAnsi="SimSun" w:eastAsia="SimSun" w:cs="SimSun"/>
          <w:sz w:val="20"/>
          <w:szCs w:val="20"/>
        </w:rPr>
        <w:t xml:space="preserve"> </w:t>
      </w:r>
      <w:r>
        <w:rPr>
          <w:rFonts w:ascii="SimSun" w:hAnsi="SimSun" w:eastAsia="SimSun" w:cs="SimSun"/>
          <w:sz w:val="20"/>
          <w:szCs w:val="20"/>
          <w:spacing w:val="2"/>
        </w:rPr>
        <w:t>京东、拼多多和亚马逊、</w:t>
      </w:r>
      <w:r>
        <w:rPr>
          <w:rFonts w:ascii="Times New Roman" w:hAnsi="Times New Roman" w:eastAsia="Times New Roman" w:cs="Times New Roman"/>
          <w:sz w:val="20"/>
          <w:szCs w:val="20"/>
        </w:rPr>
        <w:t>eBay</w:t>
      </w:r>
      <w:r>
        <w:rPr>
          <w:rFonts w:ascii="Times New Roman" w:hAnsi="Times New Roman" w:eastAsia="Times New Roman" w:cs="Times New Roman"/>
          <w:sz w:val="20"/>
          <w:szCs w:val="20"/>
          <w:spacing w:val="60"/>
        </w:rPr>
        <w:t xml:space="preserve"> </w:t>
      </w:r>
      <w:r>
        <w:rPr>
          <w:rFonts w:ascii="SimSun" w:hAnsi="SimSun" w:eastAsia="SimSun" w:cs="SimSun"/>
          <w:sz w:val="20"/>
          <w:szCs w:val="20"/>
          <w:spacing w:val="2"/>
        </w:rPr>
        <w:t>(易贝),金融支付行业分别有支付宝、</w:t>
      </w:r>
      <w:r>
        <w:rPr>
          <w:rFonts w:ascii="SimSun" w:hAnsi="SimSun" w:eastAsia="SimSun" w:cs="SimSun"/>
          <w:sz w:val="20"/>
          <w:szCs w:val="20"/>
        </w:rPr>
        <w:t xml:space="preserve"> </w:t>
      </w:r>
      <w:r>
        <w:rPr>
          <w:rFonts w:ascii="SimSun" w:hAnsi="SimSun" w:eastAsia="SimSun" w:cs="SimSun"/>
          <w:sz w:val="20"/>
          <w:szCs w:val="20"/>
        </w:rPr>
        <w:t>微信支付和</w:t>
      </w:r>
      <w:r>
        <w:rPr>
          <w:rFonts w:ascii="Times New Roman" w:hAnsi="Times New Roman" w:eastAsia="Times New Roman" w:cs="Times New Roman"/>
          <w:sz w:val="20"/>
          <w:szCs w:val="20"/>
        </w:rPr>
        <w:t>PayPal</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rPr>
        <w:t>(贝宝)、</w:t>
      </w:r>
      <w:r>
        <w:rPr>
          <w:rFonts w:ascii="Times New Roman" w:hAnsi="Times New Roman" w:eastAsia="Times New Roman" w:cs="Times New Roman"/>
          <w:sz w:val="20"/>
          <w:szCs w:val="20"/>
        </w:rPr>
        <w:t>Apple  Pay</w:t>
      </w:r>
      <w:r>
        <w:rPr>
          <w:rFonts w:ascii="SimSun" w:hAnsi="SimSun" w:eastAsia="SimSun" w:cs="SimSun"/>
          <w:sz w:val="20"/>
          <w:szCs w:val="20"/>
        </w:rPr>
        <w:t>(苹果支付)、</w:t>
      </w:r>
      <w:r>
        <w:rPr>
          <w:rFonts w:ascii="Times New Roman" w:hAnsi="Times New Roman" w:eastAsia="Times New Roman" w:cs="Times New Roman"/>
          <w:sz w:val="20"/>
          <w:szCs w:val="20"/>
        </w:rPr>
        <w:t>Amazon  Pay</w:t>
      </w:r>
      <w:r>
        <w:rPr>
          <w:rFonts w:ascii="SimSun" w:hAnsi="SimSun" w:eastAsia="SimSun" w:cs="SimSun"/>
          <w:sz w:val="20"/>
          <w:szCs w:val="20"/>
        </w:rPr>
        <w:t>(</w:t>
      </w:r>
      <w:r>
        <w:rPr>
          <w:rFonts w:ascii="SimSun" w:hAnsi="SimSun" w:eastAsia="SimSun" w:cs="SimSun"/>
          <w:sz w:val="20"/>
          <w:szCs w:val="20"/>
          <w:spacing w:val="-1"/>
        </w:rPr>
        <w:t xml:space="preserve"> 亚</w:t>
      </w:r>
      <w:r>
        <w:rPr>
          <w:rFonts w:ascii="SimSun" w:hAnsi="SimSun" w:eastAsia="SimSun" w:cs="SimSun"/>
          <w:sz w:val="20"/>
          <w:szCs w:val="20"/>
        </w:rPr>
        <w:t xml:space="preserve"> </w:t>
      </w:r>
      <w:r>
        <w:rPr>
          <w:rFonts w:ascii="SimSun" w:hAnsi="SimSun" w:eastAsia="SimSun" w:cs="SimSun"/>
          <w:sz w:val="20"/>
          <w:szCs w:val="20"/>
          <w:spacing w:val="6"/>
        </w:rPr>
        <w:t>马逊支付),视频行业分别有腾讯视频、爱奇艺、优酷、哔哩哔哩和</w:t>
      </w:r>
      <w:r>
        <w:rPr>
          <w:rFonts w:ascii="SimSun" w:hAnsi="SimSun" w:eastAsia="SimSun" w:cs="SimSun"/>
          <w:sz w:val="20"/>
          <w:szCs w:val="20"/>
          <w:spacing w:val="7"/>
        </w:rPr>
        <w:t xml:space="preserve">  </w:t>
      </w:r>
      <w:r>
        <w:rPr>
          <w:rFonts w:ascii="SimSun" w:hAnsi="SimSun" w:eastAsia="SimSun" w:cs="SimSun"/>
          <w:sz w:val="20"/>
          <w:szCs w:val="20"/>
          <w:spacing w:val="5"/>
        </w:rPr>
        <w:t>网飞、</w:t>
      </w:r>
      <w:r>
        <w:rPr>
          <w:rFonts w:ascii="Times New Roman" w:hAnsi="Times New Roman" w:eastAsia="Times New Roman" w:cs="Times New Roman"/>
          <w:sz w:val="20"/>
          <w:szCs w:val="20"/>
        </w:rPr>
        <w:t>YouTube</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5"/>
        </w:rPr>
        <w:t>(油管)、</w:t>
      </w:r>
      <w:r>
        <w:rPr>
          <w:rFonts w:ascii="Times New Roman" w:hAnsi="Times New Roman" w:eastAsia="Times New Roman" w:cs="Times New Roman"/>
          <w:sz w:val="20"/>
          <w:szCs w:val="20"/>
        </w:rPr>
        <w:t>Hulu</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5"/>
        </w:rPr>
        <w:t>、</w:t>
      </w:r>
      <w:r>
        <w:rPr>
          <w:rFonts w:ascii="Times New Roman" w:hAnsi="Times New Roman" w:eastAsia="Times New Roman" w:cs="Times New Roman"/>
          <w:sz w:val="20"/>
          <w:szCs w:val="20"/>
        </w:rPr>
        <w:t>Amazon    Prime</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5"/>
        </w:rPr>
        <w:t>社交媒体行业分别</w:t>
      </w:r>
      <w:r>
        <w:rPr>
          <w:rFonts w:ascii="SimSun" w:hAnsi="SimSun" w:eastAsia="SimSun" w:cs="SimSun"/>
          <w:sz w:val="20"/>
          <w:szCs w:val="20"/>
        </w:rPr>
        <w:t xml:space="preserve">  </w:t>
      </w:r>
      <w:r>
        <w:rPr>
          <w:rFonts w:ascii="SimSun" w:hAnsi="SimSun" w:eastAsia="SimSun" w:cs="SimSun"/>
          <w:sz w:val="20"/>
          <w:szCs w:val="20"/>
          <w:spacing w:val="7"/>
        </w:rPr>
        <w:t>有微博、微信和推特、脸书、</w:t>
      </w:r>
      <w:r>
        <w:rPr>
          <w:rFonts w:ascii="Times New Roman" w:hAnsi="Times New Roman" w:eastAsia="Times New Roman" w:cs="Times New Roman"/>
          <w:sz w:val="20"/>
          <w:szCs w:val="20"/>
        </w:rPr>
        <w:t>Snapchat</w:t>
      </w:r>
      <w:r>
        <w:rPr>
          <w:rFonts w:ascii="Times New Roman" w:hAnsi="Times New Roman" w:eastAsia="Times New Roman" w:cs="Times New Roman"/>
          <w:sz w:val="20"/>
          <w:szCs w:val="20"/>
          <w:spacing w:val="61"/>
          <w:w w:val="101"/>
        </w:rPr>
        <w:t xml:space="preserve"> </w:t>
      </w:r>
      <w:r>
        <w:rPr>
          <w:rFonts w:ascii="SimSun" w:hAnsi="SimSun" w:eastAsia="SimSun" w:cs="SimSun"/>
          <w:sz w:val="20"/>
          <w:szCs w:val="20"/>
          <w:spacing w:val="7"/>
        </w:rPr>
        <w:t>(色拉布)、</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7"/>
        </w:rPr>
        <w:t>(照片</w:t>
      </w:r>
      <w:r>
        <w:rPr>
          <w:rFonts w:ascii="SimSun" w:hAnsi="SimSun" w:eastAsia="SimSun" w:cs="SimSun"/>
          <w:sz w:val="20"/>
          <w:szCs w:val="20"/>
        </w:rPr>
        <w:t xml:space="preserve">  </w:t>
      </w:r>
      <w:r>
        <w:rPr>
          <w:rFonts w:ascii="SimSun" w:hAnsi="SimSun" w:eastAsia="SimSun" w:cs="SimSun"/>
          <w:sz w:val="20"/>
          <w:szCs w:val="20"/>
          <w:spacing w:val="7"/>
        </w:rPr>
        <w:t>墙),短视频行业分别有抖音、快手和</w:t>
      </w:r>
      <w:r>
        <w:rPr>
          <w:rFonts w:ascii="Times New Roman" w:hAnsi="Times New Roman" w:eastAsia="Times New Roman" w:cs="Times New Roman"/>
          <w:sz w:val="20"/>
          <w:szCs w:val="20"/>
        </w:rPr>
        <w:t>TikTok</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7"/>
        </w:rPr>
        <w:t>共享出行行业分别有</w:t>
      </w:r>
      <w:r>
        <w:rPr>
          <w:rFonts w:ascii="SimSun" w:hAnsi="SimSun" w:eastAsia="SimSun" w:cs="SimSun"/>
          <w:sz w:val="20"/>
          <w:szCs w:val="20"/>
        </w:rPr>
        <w:t xml:space="preserve">  </w:t>
      </w:r>
      <w:r>
        <w:rPr>
          <w:rFonts w:ascii="SimSun" w:hAnsi="SimSun" w:eastAsia="SimSun" w:cs="SimSun"/>
          <w:sz w:val="20"/>
          <w:szCs w:val="20"/>
          <w:spacing w:val="9"/>
        </w:rPr>
        <w:t>滴滴出行和优步、</w:t>
      </w:r>
      <w:r>
        <w:rPr>
          <w:rFonts w:ascii="Times New Roman" w:hAnsi="Times New Roman" w:eastAsia="Times New Roman" w:cs="Times New Roman"/>
          <w:sz w:val="20"/>
          <w:szCs w:val="20"/>
        </w:rPr>
        <w:t>Lyft</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9"/>
        </w:rPr>
        <w:t>(来福车),外卖行业分别有美团外卖、饿了 </w:t>
      </w:r>
      <w:r>
        <w:rPr>
          <w:rFonts w:ascii="SimSun" w:hAnsi="SimSun" w:eastAsia="SimSun" w:cs="SimSun"/>
          <w:sz w:val="20"/>
          <w:szCs w:val="20"/>
          <w:spacing w:val="4"/>
        </w:rPr>
        <w:t>么和</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GrubHub</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DoorDash</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Uber</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Eats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4"/>
        </w:rPr>
        <w:t>酒旅行业分别有携程、飞猪</w:t>
      </w:r>
      <w:r>
        <w:rPr>
          <w:rFonts w:ascii="SimSun" w:hAnsi="SimSun" w:eastAsia="SimSun" w:cs="SimSun"/>
          <w:sz w:val="20"/>
          <w:szCs w:val="20"/>
        </w:rPr>
        <w:t xml:space="preserve">  </w:t>
      </w:r>
      <w:r>
        <w:rPr>
          <w:rFonts w:ascii="SimSun" w:hAnsi="SimSun" w:eastAsia="SimSun" w:cs="SimSun"/>
          <w:sz w:val="20"/>
          <w:szCs w:val="20"/>
        </w:rPr>
        <w:t>和</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Booking.com</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rPr>
        <w:t>(缤客)、</w:t>
      </w:r>
      <w:r>
        <w:rPr>
          <w:rFonts w:ascii="Times New Roman" w:hAnsi="Times New Roman" w:eastAsia="Times New Roman" w:cs="Times New Roman"/>
          <w:sz w:val="20"/>
          <w:szCs w:val="20"/>
        </w:rPr>
        <w:t>Expedia</w:t>
      </w:r>
      <w:r>
        <w:rPr>
          <w:rFonts w:ascii="Times New Roman" w:hAnsi="Times New Roman" w:eastAsia="Times New Roman" w:cs="Times New Roman"/>
          <w:sz w:val="20"/>
          <w:szCs w:val="20"/>
          <w:spacing w:val="-29"/>
        </w:rPr>
        <w:t xml:space="preserve"> </w:t>
      </w:r>
      <w:r>
        <w:rPr>
          <w:rFonts w:ascii="SimSun" w:hAnsi="SimSun" w:eastAsia="SimSun" w:cs="SimSun"/>
          <w:sz w:val="20"/>
          <w:szCs w:val="20"/>
        </w:rPr>
        <w:t>、爱彼迎，等等。</w:t>
      </w:r>
    </w:p>
    <w:p>
      <w:pPr>
        <w:ind w:right="12" w:firstLine="519"/>
        <w:spacing w:before="155" w:line="332" w:lineRule="auto"/>
        <w:tabs>
          <w:tab w:val="left" w:pos="200"/>
        </w:tabs>
        <w:rPr>
          <w:rFonts w:ascii="SimSun" w:hAnsi="SimSun" w:eastAsia="SimSun" w:cs="SimSun"/>
          <w:sz w:val="20"/>
          <w:szCs w:val="20"/>
        </w:rPr>
      </w:pPr>
      <w:r>
        <w:rPr>
          <w:rFonts w:ascii="SimSun" w:hAnsi="SimSun" w:eastAsia="SimSun" w:cs="SimSun"/>
          <w:sz w:val="20"/>
          <w:szCs w:val="20"/>
          <w:spacing w:val="-1"/>
        </w:rPr>
        <w:t>不难看出，平台经济的相关行业几乎全面覆盖了人们日常生活的</w:t>
      </w:r>
      <w:r>
        <w:rPr>
          <w:rFonts w:ascii="SimSun" w:hAnsi="SimSun" w:eastAsia="SimSun" w:cs="SimSun"/>
          <w:sz w:val="20"/>
          <w:szCs w:val="20"/>
          <w:spacing w:val="16"/>
        </w:rPr>
        <w:t xml:space="preserve"> </w:t>
      </w:r>
      <w:r>
        <w:rPr>
          <w:rFonts w:ascii="SimSun" w:hAnsi="SimSun" w:eastAsia="SimSun" w:cs="SimSun"/>
          <w:sz w:val="20"/>
          <w:szCs w:val="20"/>
        </w:rPr>
        <w:t>方方面面，对个体融入数字生活拥有举足轻重</w:t>
      </w:r>
      <w:r>
        <w:rPr>
          <w:rFonts w:ascii="SimSun" w:hAnsi="SimSun" w:eastAsia="SimSun" w:cs="SimSun"/>
          <w:sz w:val="20"/>
          <w:szCs w:val="20"/>
          <w:spacing w:val="-1"/>
        </w:rPr>
        <w:t>的影响力。比如，搜索</w:t>
      </w:r>
      <w:r>
        <w:rPr>
          <w:rFonts w:ascii="SimSun" w:hAnsi="SimSun" w:eastAsia="SimSun" w:cs="SimSun"/>
          <w:sz w:val="20"/>
          <w:szCs w:val="20"/>
        </w:rPr>
        <w:t xml:space="preserve">  </w:t>
      </w:r>
      <w:r>
        <w:rPr>
          <w:rFonts w:ascii="SimSun" w:hAnsi="SimSun" w:eastAsia="SimSun" w:cs="SimSun"/>
          <w:sz w:val="20"/>
          <w:szCs w:val="20"/>
        </w:rPr>
        <w:tab/>
      </w:r>
      <w:r>
        <w:rPr>
          <w:rFonts w:ascii="SimSun" w:hAnsi="SimSun" w:eastAsia="SimSun" w:cs="SimSun"/>
          <w:sz w:val="20"/>
          <w:szCs w:val="20"/>
          <w:spacing w:val="-3"/>
        </w:rPr>
        <w:t>引擎是互联网时代我们获取信息的入口，通信社交在日常生活中的使</w:t>
      </w:r>
      <w:r>
        <w:rPr>
          <w:rFonts w:ascii="SimSun" w:hAnsi="SimSun" w:eastAsia="SimSun" w:cs="SimSun"/>
          <w:sz w:val="20"/>
          <w:szCs w:val="20"/>
        </w:rPr>
        <w:t xml:space="preserve"> </w:t>
      </w:r>
      <w:r>
        <w:rPr>
          <w:rFonts w:ascii="SimSun" w:hAnsi="SimSun" w:eastAsia="SimSun" w:cs="SimSun"/>
          <w:sz w:val="20"/>
          <w:szCs w:val="20"/>
        </w:rPr>
        <w:t>用频率非常之高，还有电商、移动支付、外</w:t>
      </w:r>
      <w:r>
        <w:rPr>
          <w:rFonts w:ascii="SimSun" w:hAnsi="SimSun" w:eastAsia="SimSun" w:cs="SimSun"/>
          <w:sz w:val="20"/>
          <w:szCs w:val="20"/>
          <w:spacing w:val="-1"/>
        </w:rPr>
        <w:t>卖、打车、酒旅票务、媒</w:t>
      </w:r>
      <w:r>
        <w:rPr>
          <w:rFonts w:ascii="SimSun" w:hAnsi="SimSun" w:eastAsia="SimSun" w:cs="SimSun"/>
          <w:sz w:val="20"/>
          <w:szCs w:val="20"/>
        </w:rPr>
        <w:t xml:space="preserve">  </w:t>
      </w:r>
      <w:r>
        <w:rPr>
          <w:rFonts w:ascii="SimSun" w:hAnsi="SimSun" w:eastAsia="SimSun" w:cs="SimSun"/>
          <w:sz w:val="20"/>
          <w:szCs w:val="20"/>
          <w:spacing w:val="6"/>
        </w:rPr>
        <w:t>体资讯、视频、短视频等等。平台经济和平台企业的发展是大势所  </w:t>
      </w:r>
      <w:r>
        <w:rPr>
          <w:rFonts w:ascii="SimSun" w:hAnsi="SimSun" w:eastAsia="SimSun" w:cs="SimSun"/>
          <w:sz w:val="20"/>
          <w:szCs w:val="20"/>
        </w:rPr>
        <w:t>趋，经济体越大，能够给平台提供的市场发展空</w:t>
      </w:r>
      <w:r>
        <w:rPr>
          <w:rFonts w:ascii="SimSun" w:hAnsi="SimSun" w:eastAsia="SimSun" w:cs="SimSun"/>
          <w:sz w:val="20"/>
          <w:szCs w:val="20"/>
          <w:spacing w:val="-1"/>
        </w:rPr>
        <w:t>间也就越大。中美在</w:t>
      </w:r>
      <w:r>
        <w:rPr>
          <w:rFonts w:ascii="SimSun" w:hAnsi="SimSun" w:eastAsia="SimSun" w:cs="SimSun"/>
          <w:sz w:val="20"/>
          <w:szCs w:val="20"/>
        </w:rPr>
        <w:t xml:space="preserve">  </w:t>
      </w:r>
      <w:r>
        <w:rPr>
          <w:rFonts w:ascii="SimSun" w:hAnsi="SimSun" w:eastAsia="SimSun" w:cs="SimSun"/>
          <w:sz w:val="20"/>
          <w:szCs w:val="20"/>
        </w:rPr>
        <w:t>这些行业里面不约而同地都发展出了非常大的</w:t>
      </w:r>
      <w:r>
        <w:rPr>
          <w:rFonts w:ascii="SimSun" w:hAnsi="SimSun" w:eastAsia="SimSun" w:cs="SimSun"/>
          <w:sz w:val="20"/>
          <w:szCs w:val="20"/>
          <w:spacing w:val="-1"/>
        </w:rPr>
        <w:t>平台企业，反映出平台</w:t>
      </w:r>
      <w:r>
        <w:rPr>
          <w:rFonts w:ascii="SimSun" w:hAnsi="SimSun" w:eastAsia="SimSun" w:cs="SimSun"/>
          <w:sz w:val="20"/>
          <w:szCs w:val="20"/>
        </w:rPr>
        <w:t xml:space="preserve">  </w:t>
      </w:r>
      <w:r>
        <w:rPr>
          <w:rFonts w:ascii="SimSun" w:hAnsi="SimSun" w:eastAsia="SimSun" w:cs="SimSun"/>
          <w:sz w:val="20"/>
          <w:szCs w:val="20"/>
        </w:rPr>
        <w:t>经济在中美都是蓬勃发展的，这也让数字平</w:t>
      </w:r>
      <w:r>
        <w:rPr>
          <w:rFonts w:ascii="SimSun" w:hAnsi="SimSun" w:eastAsia="SimSun" w:cs="SimSun"/>
          <w:sz w:val="20"/>
          <w:szCs w:val="20"/>
          <w:spacing w:val="-1"/>
        </w:rPr>
        <w:t>台对个体的生活工作产生</w:t>
      </w:r>
    </w:p>
    <w:p>
      <w:pPr>
        <w:spacing w:line="219" w:lineRule="auto"/>
        <w:rPr>
          <w:rFonts w:ascii="SimSun" w:hAnsi="SimSun" w:eastAsia="SimSun" w:cs="SimSun"/>
          <w:sz w:val="20"/>
          <w:szCs w:val="20"/>
        </w:rPr>
      </w:pPr>
      <w:r>
        <w:rPr>
          <w:rFonts w:ascii="SimSun" w:hAnsi="SimSun" w:eastAsia="SimSun" w:cs="SimSun"/>
          <w:sz w:val="20"/>
          <w:szCs w:val="20"/>
          <w:spacing w:val="-5"/>
        </w:rPr>
        <w:t>了前所未有的影响力。</w:t>
      </w:r>
    </w:p>
    <w:p>
      <w:pPr>
        <w:spacing w:before="141" w:line="219" w:lineRule="auto"/>
        <w:jc w:val="right"/>
        <w:rPr>
          <w:rFonts w:ascii="SimSun" w:hAnsi="SimSun" w:eastAsia="SimSun" w:cs="SimSun"/>
          <w:sz w:val="20"/>
          <w:szCs w:val="20"/>
        </w:rPr>
      </w:pPr>
      <w:r>
        <w:rPr>
          <w:rFonts w:ascii="SimSun" w:hAnsi="SimSun" w:eastAsia="SimSun" w:cs="SimSun"/>
          <w:sz w:val="20"/>
          <w:szCs w:val="20"/>
          <w:spacing w:val="-1"/>
        </w:rPr>
        <w:t>究其原因，是数字技术让平台的触角范围达到了前所未有的广度</w:t>
      </w:r>
    </w:p>
    <w:p>
      <w:pPr>
        <w:spacing w:line="219" w:lineRule="auto"/>
        <w:sectPr>
          <w:headerReference w:type="default" r:id="rId159"/>
          <w:pgSz w:w="7330" w:h="12480"/>
          <w:pgMar w:top="517" w:right="547" w:bottom="400" w:left="659" w:header="355" w:footer="0" w:gutter="0"/>
        </w:sectPr>
        <w:rPr>
          <w:rFonts w:ascii="SimSun" w:hAnsi="SimSun" w:eastAsia="SimSun" w:cs="SimSun"/>
          <w:sz w:val="20"/>
          <w:szCs w:val="20"/>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68" w:line="305" w:lineRule="auto"/>
        <w:jc w:val="both"/>
        <w:rPr>
          <w:rFonts w:ascii="SimSun" w:hAnsi="SimSun" w:eastAsia="SimSun" w:cs="SimSun"/>
          <w:sz w:val="21"/>
          <w:szCs w:val="21"/>
        </w:rPr>
      </w:pPr>
      <w:r>
        <w:rPr>
          <w:rFonts w:ascii="SimSun" w:hAnsi="SimSun" w:eastAsia="SimSun" w:cs="SimSun"/>
          <w:sz w:val="21"/>
          <w:szCs w:val="21"/>
          <w:spacing w:val="-10"/>
        </w:rPr>
        <w:t>和深度。平台起的是连接作用，在一个双边乃至</w:t>
      </w:r>
      <w:r>
        <w:rPr>
          <w:rFonts w:ascii="SimSun" w:hAnsi="SimSun" w:eastAsia="SimSun" w:cs="SimSun"/>
          <w:sz w:val="21"/>
          <w:szCs w:val="21"/>
          <w:spacing w:val="-11"/>
        </w:rPr>
        <w:t>多边的市场里，把需</w:t>
      </w:r>
      <w:r>
        <w:rPr>
          <w:rFonts w:ascii="SimSun" w:hAnsi="SimSun" w:eastAsia="SimSun" w:cs="SimSun"/>
          <w:sz w:val="21"/>
          <w:szCs w:val="21"/>
        </w:rPr>
        <w:t xml:space="preserve"> </w:t>
      </w:r>
      <w:r>
        <w:rPr>
          <w:rFonts w:ascii="SimSun" w:hAnsi="SimSun" w:eastAsia="SimSun" w:cs="SimSun"/>
          <w:sz w:val="21"/>
          <w:szCs w:val="21"/>
          <w:spacing w:val="2"/>
        </w:rPr>
        <w:t>求和供给双方连接起来。罗歇</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Rochet</w:t>
      </w:r>
      <w:r>
        <w:rPr>
          <w:rFonts w:ascii="Times New Roman" w:hAnsi="Times New Roman" w:eastAsia="Times New Roman" w:cs="Times New Roman"/>
          <w:sz w:val="21"/>
          <w:szCs w:val="21"/>
          <w:spacing w:val="2"/>
        </w:rPr>
        <w:t>)   </w:t>
      </w:r>
      <w:r>
        <w:rPr>
          <w:rFonts w:ascii="SimSun" w:hAnsi="SimSun" w:eastAsia="SimSun" w:cs="SimSun"/>
          <w:sz w:val="21"/>
          <w:szCs w:val="21"/>
          <w:spacing w:val="2"/>
        </w:rPr>
        <w:t>和梯若尔</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Tirole</w:t>
      </w:r>
      <w:r>
        <w:rPr>
          <w:rFonts w:ascii="Times New Roman" w:hAnsi="Times New Roman" w:eastAsia="Times New Roman" w:cs="Times New Roman"/>
          <w:sz w:val="21"/>
          <w:szCs w:val="21"/>
          <w:spacing w:val="2"/>
        </w:rPr>
        <w:t>)   </w:t>
      </w:r>
      <w:r>
        <w:rPr>
          <w:rFonts w:ascii="SimSun" w:hAnsi="SimSun" w:eastAsia="SimSun" w:cs="SimSun"/>
          <w:sz w:val="21"/>
          <w:szCs w:val="21"/>
          <w:spacing w:val="2"/>
        </w:rPr>
        <w:t>在《双 </w:t>
      </w:r>
      <w:r>
        <w:rPr>
          <w:rFonts w:ascii="SimSun" w:hAnsi="SimSun" w:eastAsia="SimSun" w:cs="SimSun"/>
          <w:sz w:val="21"/>
          <w:szCs w:val="21"/>
        </w:rPr>
        <w:t>边市场中的平台竞争》</w:t>
      </w:r>
      <w:r>
        <w:rPr>
          <w:rFonts w:ascii="Times New Roman" w:hAnsi="Times New Roman" w:eastAsia="Times New Roman" w:cs="Times New Roman"/>
          <w:sz w:val="21"/>
          <w:szCs w:val="21"/>
        </w:rPr>
        <w:t>(Platform Competition in Two-Sided Marke</w:t>
      </w:r>
      <w:r>
        <w:rPr>
          <w:rFonts w:ascii="Times New Roman" w:hAnsi="Times New Roman" w:eastAsia="Times New Roman" w:cs="Times New Roman"/>
          <w:sz w:val="21"/>
          <w:szCs w:val="21"/>
          <w:spacing w:val="-1"/>
        </w:rPr>
        <w:t>ts,</w:t>
      </w:r>
      <w:r>
        <w:rPr>
          <w:rFonts w:ascii="Times New Roman" w:hAnsi="Times New Roman" w:eastAsia="Times New Roman" w:cs="Times New Roman"/>
          <w:sz w:val="21"/>
          <w:szCs w:val="21"/>
        </w:rPr>
        <w:t xml:space="preserve">  </w:t>
      </w:r>
      <w:r>
        <w:rPr>
          <w:rFonts w:ascii="SimSun" w:hAnsi="SimSun" w:eastAsia="SimSun" w:cs="SimSun"/>
          <w:sz w:val="21"/>
          <w:szCs w:val="21"/>
          <w:spacing w:val="1"/>
        </w:rPr>
        <w:t>2003)中指出，在诸如软件、媒体门户、支</w:t>
      </w:r>
      <w:r>
        <w:rPr>
          <w:rFonts w:ascii="SimSun" w:hAnsi="SimSun" w:eastAsia="SimSun" w:cs="SimSun"/>
          <w:sz w:val="21"/>
          <w:szCs w:val="21"/>
        </w:rPr>
        <w:t>付系统和互联网等行业 </w:t>
      </w:r>
      <w:r>
        <w:rPr>
          <w:rFonts w:ascii="SimSun" w:hAnsi="SimSun" w:eastAsia="SimSun" w:cs="SimSun"/>
          <w:sz w:val="21"/>
          <w:szCs w:val="21"/>
          <w:spacing w:val="-11"/>
        </w:rPr>
        <w:t>中，平台想要成功，必须要得到市场中供需双方的支持。数字技术打 </w:t>
      </w:r>
      <w:r>
        <w:rPr>
          <w:rFonts w:ascii="SimSun" w:hAnsi="SimSun" w:eastAsia="SimSun" w:cs="SimSun"/>
          <w:sz w:val="21"/>
          <w:szCs w:val="21"/>
          <w:spacing w:val="-10"/>
        </w:rPr>
        <w:t>破了时空限制，拓展了平台服务长尾客群的能力；数据的积累让平台</w:t>
      </w:r>
      <w:r>
        <w:rPr>
          <w:rFonts w:ascii="SimSun" w:hAnsi="SimSun" w:eastAsia="SimSun" w:cs="SimSun"/>
          <w:sz w:val="21"/>
          <w:szCs w:val="21"/>
        </w:rPr>
        <w:t xml:space="preserve"> </w:t>
      </w:r>
      <w:r>
        <w:rPr>
          <w:rFonts w:ascii="SimSun" w:hAnsi="SimSun" w:eastAsia="SimSun" w:cs="SimSun"/>
          <w:sz w:val="21"/>
          <w:szCs w:val="21"/>
          <w:spacing w:val="-8"/>
        </w:rPr>
        <w:t>可以理解现实、把握趋势、洞悉变革，增强平台参与者</w:t>
      </w:r>
      <w:r>
        <w:rPr>
          <w:rFonts w:ascii="SimSun" w:hAnsi="SimSun" w:eastAsia="SimSun" w:cs="SimSun"/>
          <w:sz w:val="21"/>
          <w:szCs w:val="21"/>
          <w:spacing w:val="-9"/>
        </w:rPr>
        <w:t>的使用黏性；</w:t>
      </w:r>
      <w:r>
        <w:rPr>
          <w:rFonts w:ascii="SimSun" w:hAnsi="SimSun" w:eastAsia="SimSun" w:cs="SimSun"/>
          <w:sz w:val="21"/>
          <w:szCs w:val="21"/>
        </w:rPr>
        <w:t xml:space="preserve"> </w:t>
      </w:r>
      <w:r>
        <w:rPr>
          <w:rFonts w:ascii="SimSun" w:hAnsi="SimSun" w:eastAsia="SimSun" w:cs="SimSun"/>
          <w:sz w:val="21"/>
          <w:szCs w:val="21"/>
          <w:spacing w:val="-10"/>
        </w:rPr>
        <w:t>数字技术、数据积累、用户流量让平台业务从单一市场迅速延</w:t>
      </w:r>
      <w:r>
        <w:rPr>
          <w:rFonts w:ascii="SimSun" w:hAnsi="SimSun" w:eastAsia="SimSun" w:cs="SimSun"/>
          <w:sz w:val="21"/>
          <w:szCs w:val="21"/>
          <w:spacing w:val="-11"/>
        </w:rPr>
        <w:t>伸到多</w:t>
      </w:r>
      <w:r>
        <w:rPr>
          <w:rFonts w:ascii="SimSun" w:hAnsi="SimSun" w:eastAsia="SimSun" w:cs="SimSun"/>
          <w:sz w:val="21"/>
          <w:szCs w:val="21"/>
        </w:rPr>
        <w:t xml:space="preserve"> </w:t>
      </w:r>
      <w:r>
        <w:rPr>
          <w:rFonts w:ascii="SimSun" w:hAnsi="SimSun" w:eastAsia="SimSun" w:cs="SimSun"/>
          <w:sz w:val="21"/>
          <w:szCs w:val="21"/>
          <w:spacing w:val="-11"/>
        </w:rPr>
        <w:t>个相关市场，形成合力，进一步强化和巩固平台的市场势力。</w:t>
      </w:r>
    </w:p>
    <w:p>
      <w:pPr>
        <w:ind w:right="46" w:firstLine="420"/>
        <w:spacing w:before="96" w:line="308" w:lineRule="auto"/>
        <w:jc w:val="both"/>
        <w:rPr>
          <w:rFonts w:ascii="SimSun" w:hAnsi="SimSun" w:eastAsia="SimSun" w:cs="SimSun"/>
          <w:sz w:val="21"/>
          <w:szCs w:val="21"/>
        </w:rPr>
      </w:pPr>
      <w:r>
        <w:rPr>
          <w:rFonts w:ascii="SimSun" w:hAnsi="SimSun" w:eastAsia="SimSun" w:cs="SimSun"/>
          <w:sz w:val="21"/>
          <w:szCs w:val="21"/>
          <w:spacing w:val="-3"/>
        </w:rPr>
        <w:t>从经济学角度理解，那些搜寻成本高、迭代速度快、不确</w:t>
      </w:r>
      <w:r>
        <w:rPr>
          <w:rFonts w:ascii="SimSun" w:hAnsi="SimSun" w:eastAsia="SimSun" w:cs="SimSun"/>
          <w:sz w:val="21"/>
          <w:szCs w:val="21"/>
          <w:spacing w:val="-4"/>
        </w:rPr>
        <w:t>定性</w:t>
      </w:r>
      <w:r>
        <w:rPr>
          <w:rFonts w:ascii="SimSun" w:hAnsi="SimSun" w:eastAsia="SimSun" w:cs="SimSun"/>
          <w:sz w:val="21"/>
          <w:szCs w:val="21"/>
        </w:rPr>
        <w:t xml:space="preserve"> </w:t>
      </w:r>
      <w:r>
        <w:rPr>
          <w:rFonts w:ascii="SimSun" w:hAnsi="SimSun" w:eastAsia="SimSun" w:cs="SimSun"/>
          <w:sz w:val="21"/>
          <w:szCs w:val="21"/>
          <w:spacing w:val="-10"/>
        </w:rPr>
        <w:t>比较高的行业尤其需要平台的作用。例如，打车平台连接着乘客和司</w:t>
      </w:r>
      <w:r>
        <w:rPr>
          <w:rFonts w:ascii="SimSun" w:hAnsi="SimSun" w:eastAsia="SimSun" w:cs="SimSun"/>
          <w:sz w:val="21"/>
          <w:szCs w:val="21"/>
          <w:spacing w:val="6"/>
        </w:rPr>
        <w:t xml:space="preserve"> </w:t>
      </w:r>
      <w:r>
        <w:rPr>
          <w:rFonts w:ascii="SimSun" w:hAnsi="SimSun" w:eastAsia="SimSun" w:cs="SimSun"/>
          <w:sz w:val="21"/>
          <w:szCs w:val="21"/>
          <w:spacing w:val="-3"/>
        </w:rPr>
        <w:t>机，招聘平台连接着求职者和雇主，媒体资</w:t>
      </w:r>
      <w:r>
        <w:rPr>
          <w:rFonts w:ascii="SimSun" w:hAnsi="SimSun" w:eastAsia="SimSun" w:cs="SimSun"/>
          <w:sz w:val="21"/>
          <w:szCs w:val="21"/>
          <w:spacing w:val="-4"/>
        </w:rPr>
        <w:t>讯平台连接着用户和信</w:t>
      </w:r>
      <w:r>
        <w:rPr>
          <w:rFonts w:ascii="SimSun" w:hAnsi="SimSun" w:eastAsia="SimSun" w:cs="SimSun"/>
          <w:sz w:val="21"/>
          <w:szCs w:val="21"/>
        </w:rPr>
        <w:t xml:space="preserve"> </w:t>
      </w:r>
      <w:r>
        <w:rPr>
          <w:rFonts w:ascii="SimSun" w:hAnsi="SimSun" w:eastAsia="SimSun" w:cs="SimSun"/>
          <w:sz w:val="21"/>
          <w:szCs w:val="21"/>
          <w:spacing w:val="-10"/>
        </w:rPr>
        <w:t>息，视频娱乐平台连接着观众、粉丝等内容消费者和博主、主播等内</w:t>
      </w:r>
      <w:r>
        <w:rPr>
          <w:rFonts w:ascii="SimSun" w:hAnsi="SimSun" w:eastAsia="SimSun" w:cs="SimSun"/>
          <w:sz w:val="21"/>
          <w:szCs w:val="21"/>
          <w:spacing w:val="6"/>
        </w:rPr>
        <w:t xml:space="preserve"> </w:t>
      </w:r>
      <w:r>
        <w:rPr>
          <w:rFonts w:ascii="SimSun" w:hAnsi="SimSun" w:eastAsia="SimSun" w:cs="SimSun"/>
          <w:sz w:val="21"/>
          <w:szCs w:val="21"/>
          <w:spacing w:val="-11"/>
        </w:rPr>
        <w:t>容创作者，电商外卖平台连接着消费者、商家和快递员，社交平台连</w:t>
      </w:r>
      <w:r>
        <w:rPr>
          <w:rFonts w:ascii="SimSun" w:hAnsi="SimSun" w:eastAsia="SimSun" w:cs="SimSun"/>
          <w:sz w:val="21"/>
          <w:szCs w:val="21"/>
          <w:spacing w:val="16"/>
        </w:rPr>
        <w:t xml:space="preserve"> </w:t>
      </w:r>
      <w:r>
        <w:rPr>
          <w:rFonts w:ascii="SimSun" w:hAnsi="SimSun" w:eastAsia="SimSun" w:cs="SimSun"/>
          <w:sz w:val="21"/>
          <w:szCs w:val="21"/>
          <w:spacing w:val="-10"/>
        </w:rPr>
        <w:t>接起了人与人之间的社交关系网络。这些行业在</w:t>
      </w:r>
      <w:r>
        <w:rPr>
          <w:rFonts w:ascii="SimSun" w:hAnsi="SimSun" w:eastAsia="SimSun" w:cs="SimSun"/>
          <w:sz w:val="21"/>
          <w:szCs w:val="21"/>
          <w:spacing w:val="-11"/>
        </w:rPr>
        <w:t>用户端、需求端有广</w:t>
      </w:r>
      <w:r>
        <w:rPr>
          <w:rFonts w:ascii="SimSun" w:hAnsi="SimSun" w:eastAsia="SimSun" w:cs="SimSun"/>
          <w:sz w:val="21"/>
          <w:szCs w:val="21"/>
        </w:rPr>
        <w:t xml:space="preserve"> </w:t>
      </w:r>
      <w:r>
        <w:rPr>
          <w:rFonts w:ascii="SimSun" w:hAnsi="SimSun" w:eastAsia="SimSun" w:cs="SimSun"/>
          <w:sz w:val="21"/>
          <w:szCs w:val="21"/>
          <w:spacing w:val="-10"/>
        </w:rPr>
        <w:t>大的个人用户，在供给端则有非常多中小企业商家和</w:t>
      </w:r>
      <w:r>
        <w:rPr>
          <w:rFonts w:ascii="SimSun" w:hAnsi="SimSun" w:eastAsia="SimSun" w:cs="SimSun"/>
          <w:sz w:val="21"/>
          <w:szCs w:val="21"/>
          <w:spacing w:val="-11"/>
        </w:rPr>
        <w:t>个体经营者。如</w:t>
      </w:r>
      <w:r>
        <w:rPr>
          <w:rFonts w:ascii="SimSun" w:hAnsi="SimSun" w:eastAsia="SimSun" w:cs="SimSun"/>
          <w:sz w:val="21"/>
          <w:szCs w:val="21"/>
        </w:rPr>
        <w:t xml:space="preserve"> </w:t>
      </w:r>
      <w:r>
        <w:rPr>
          <w:rFonts w:ascii="SimSun" w:hAnsi="SimSun" w:eastAsia="SimSun" w:cs="SimSun"/>
          <w:sz w:val="21"/>
          <w:szCs w:val="21"/>
          <w:spacing w:val="-10"/>
        </w:rPr>
        <w:t>果想要触及</w:t>
      </w:r>
      <w:r>
        <w:rPr>
          <w:rFonts w:ascii="SimSun" w:hAnsi="SimSun" w:eastAsia="SimSun" w:cs="SimSun"/>
          <w:sz w:val="21"/>
          <w:szCs w:val="21"/>
          <w:u w:val="single" w:color="auto"/>
          <w:spacing w:val="-10"/>
        </w:rPr>
        <w:t>这些</w:t>
      </w:r>
      <w:r>
        <w:rPr>
          <w:rFonts w:ascii="SimSun" w:hAnsi="SimSun" w:eastAsia="SimSun" w:cs="SimSun"/>
          <w:sz w:val="21"/>
          <w:szCs w:val="21"/>
          <w:spacing w:val="-10"/>
        </w:rPr>
        <w:t>分散的供给、分散的需求，用以</w:t>
      </w:r>
      <w:r>
        <w:rPr>
          <w:rFonts w:ascii="SimSun" w:hAnsi="SimSun" w:eastAsia="SimSun" w:cs="SimSun"/>
          <w:sz w:val="21"/>
          <w:szCs w:val="21"/>
          <w:spacing w:val="-11"/>
        </w:rPr>
        <w:t>往传统的方式来做需</w:t>
      </w:r>
      <w:r>
        <w:rPr>
          <w:rFonts w:ascii="SimSun" w:hAnsi="SimSun" w:eastAsia="SimSun" w:cs="SimSun"/>
          <w:sz w:val="21"/>
          <w:szCs w:val="21"/>
        </w:rPr>
        <w:t xml:space="preserve"> </w:t>
      </w:r>
      <w:r>
        <w:rPr>
          <w:rFonts w:ascii="SimSun" w:hAnsi="SimSun" w:eastAsia="SimSun" w:cs="SimSun"/>
          <w:sz w:val="21"/>
          <w:szCs w:val="21"/>
          <w:spacing w:val="-10"/>
        </w:rPr>
        <w:t>要相当大的成本。这也是为什么在非数字时代或者非</w:t>
      </w:r>
      <w:r>
        <w:rPr>
          <w:rFonts w:ascii="SimSun" w:hAnsi="SimSun" w:eastAsia="SimSun" w:cs="SimSun"/>
          <w:sz w:val="21"/>
          <w:szCs w:val="21"/>
          <w:spacing w:val="-11"/>
        </w:rPr>
        <w:t>数字平台，诸如</w:t>
      </w:r>
      <w:r>
        <w:rPr>
          <w:rFonts w:ascii="SimSun" w:hAnsi="SimSun" w:eastAsia="SimSun" w:cs="SimSun"/>
          <w:sz w:val="21"/>
          <w:szCs w:val="21"/>
        </w:rPr>
        <w:t xml:space="preserve"> </w:t>
      </w:r>
      <w:r>
        <w:rPr>
          <w:rFonts w:ascii="SimSun" w:hAnsi="SimSun" w:eastAsia="SimSun" w:cs="SimSun"/>
          <w:sz w:val="21"/>
          <w:szCs w:val="21"/>
          <w:spacing w:val="-10"/>
        </w:rPr>
        <w:t>集市或者人才招聘市场等传统的双边市场，往</w:t>
      </w:r>
      <w:r>
        <w:rPr>
          <w:rFonts w:ascii="SimSun" w:hAnsi="SimSun" w:eastAsia="SimSun" w:cs="SimSun"/>
          <w:sz w:val="21"/>
          <w:szCs w:val="21"/>
          <w:spacing w:val="-11"/>
        </w:rPr>
        <w:t>往局限在当地。然而在</w:t>
      </w:r>
      <w:r>
        <w:rPr>
          <w:rFonts w:ascii="SimSun" w:hAnsi="SimSun" w:eastAsia="SimSun" w:cs="SimSun"/>
          <w:sz w:val="21"/>
          <w:szCs w:val="21"/>
        </w:rPr>
        <w:t xml:space="preserve"> </w:t>
      </w:r>
      <w:r>
        <w:rPr>
          <w:rFonts w:ascii="SimSun" w:hAnsi="SimSun" w:eastAsia="SimSun" w:cs="SimSun"/>
          <w:sz w:val="21"/>
          <w:szCs w:val="21"/>
          <w:spacing w:val="-11"/>
        </w:rPr>
        <w:t>数字时代，市场的范围可以扩大到全国甚至</w:t>
      </w:r>
      <w:r>
        <w:rPr>
          <w:rFonts w:ascii="SimSun" w:hAnsi="SimSun" w:eastAsia="SimSun" w:cs="SimSun"/>
          <w:sz w:val="21"/>
          <w:szCs w:val="21"/>
          <w:spacing w:val="-12"/>
        </w:rPr>
        <w:t>全球。</w:t>
      </w:r>
    </w:p>
    <w:p>
      <w:pPr>
        <w:ind w:right="22" w:firstLine="440"/>
        <w:spacing w:before="127" w:line="303" w:lineRule="auto"/>
        <w:jc w:val="both"/>
        <w:rPr>
          <w:rFonts w:ascii="SimSun" w:hAnsi="SimSun" w:eastAsia="SimSun" w:cs="SimSun"/>
          <w:sz w:val="21"/>
          <w:szCs w:val="21"/>
        </w:rPr>
      </w:pPr>
      <w:r>
        <w:rPr>
          <w:rFonts w:ascii="SimSun" w:hAnsi="SimSun" w:eastAsia="SimSun" w:cs="SimSun"/>
          <w:sz w:val="21"/>
          <w:szCs w:val="21"/>
          <w:spacing w:val="-10"/>
        </w:rPr>
        <w:t>从动态的角度来看，数字平台可以更好地对</w:t>
      </w:r>
      <w:r>
        <w:rPr>
          <w:rFonts w:ascii="SimSun" w:hAnsi="SimSun" w:eastAsia="SimSun" w:cs="SimSun"/>
          <w:sz w:val="21"/>
          <w:szCs w:val="21"/>
          <w:spacing w:val="-11"/>
        </w:rPr>
        <w:t>接高频但多元化的需</w:t>
      </w:r>
      <w:r>
        <w:rPr>
          <w:rFonts w:ascii="SimSun" w:hAnsi="SimSun" w:eastAsia="SimSun" w:cs="SimSun"/>
          <w:sz w:val="21"/>
          <w:szCs w:val="21"/>
        </w:rPr>
        <w:t xml:space="preserve"> </w:t>
      </w:r>
      <w:r>
        <w:rPr>
          <w:rFonts w:ascii="SimSun" w:hAnsi="SimSun" w:eastAsia="SimSun" w:cs="SimSun"/>
          <w:sz w:val="21"/>
          <w:szCs w:val="21"/>
          <w:spacing w:val="-10"/>
        </w:rPr>
        <w:t>求，以及不稳定、灵活性较大的供给。以打车为例，乘客</w:t>
      </w:r>
      <w:r>
        <w:rPr>
          <w:rFonts w:ascii="SimSun" w:hAnsi="SimSun" w:eastAsia="SimSun" w:cs="SimSun"/>
          <w:sz w:val="21"/>
          <w:szCs w:val="21"/>
          <w:spacing w:val="-11"/>
        </w:rPr>
        <w:t>即便可以与</w:t>
      </w:r>
      <w:r>
        <w:rPr>
          <w:rFonts w:ascii="SimSun" w:hAnsi="SimSun" w:eastAsia="SimSun" w:cs="SimSun"/>
          <w:sz w:val="21"/>
          <w:szCs w:val="21"/>
        </w:rPr>
        <w:t xml:space="preserve"> </w:t>
      </w:r>
      <w:r>
        <w:rPr>
          <w:rFonts w:ascii="SimSun" w:hAnsi="SimSun" w:eastAsia="SimSun" w:cs="SimSun"/>
          <w:sz w:val="21"/>
          <w:szCs w:val="21"/>
          <w:spacing w:val="-10"/>
        </w:rPr>
        <w:t>司机直接联络，但仍然难以掌握哪些车辆在某</w:t>
      </w:r>
      <w:r>
        <w:rPr>
          <w:rFonts w:ascii="SimSun" w:hAnsi="SimSun" w:eastAsia="SimSun" w:cs="SimSun"/>
          <w:sz w:val="21"/>
          <w:szCs w:val="21"/>
          <w:spacing w:val="-11"/>
        </w:rPr>
        <w:t>个特定时间点会出现在</w:t>
      </w:r>
      <w:r>
        <w:rPr>
          <w:rFonts w:ascii="SimSun" w:hAnsi="SimSun" w:eastAsia="SimSun" w:cs="SimSun"/>
          <w:sz w:val="21"/>
          <w:szCs w:val="21"/>
        </w:rPr>
        <w:t xml:space="preserve"> </w:t>
      </w:r>
      <w:r>
        <w:rPr>
          <w:rFonts w:ascii="SimSun" w:hAnsi="SimSun" w:eastAsia="SimSun" w:cs="SimSun"/>
          <w:sz w:val="21"/>
          <w:szCs w:val="21"/>
          <w:spacing w:val="-11"/>
        </w:rPr>
        <w:t>哪个位置，因此也无法确认自己的即时出行需求能否得到及时的响应</w:t>
      </w:r>
      <w:r>
        <w:rPr>
          <w:rFonts w:ascii="SimSun" w:hAnsi="SimSun" w:eastAsia="SimSun" w:cs="SimSun"/>
          <w:sz w:val="21"/>
          <w:szCs w:val="21"/>
          <w:spacing w:val="17"/>
        </w:rPr>
        <w:t xml:space="preserve"> </w:t>
      </w:r>
      <w:r>
        <w:rPr>
          <w:rFonts w:ascii="SimSun" w:hAnsi="SimSun" w:eastAsia="SimSun" w:cs="SimSun"/>
          <w:sz w:val="21"/>
          <w:szCs w:val="21"/>
          <w:spacing w:val="-10"/>
        </w:rPr>
        <w:t>和满足。所以这是一个对供给灵活性要求较高的市</w:t>
      </w:r>
      <w:r>
        <w:rPr>
          <w:rFonts w:ascii="SimSun" w:hAnsi="SimSun" w:eastAsia="SimSun" w:cs="SimSun"/>
          <w:sz w:val="21"/>
          <w:szCs w:val="21"/>
          <w:spacing w:val="-11"/>
        </w:rPr>
        <w:t>场，并且是不稳定</w:t>
      </w:r>
      <w:r>
        <w:rPr>
          <w:rFonts w:ascii="SimSun" w:hAnsi="SimSun" w:eastAsia="SimSun" w:cs="SimSun"/>
          <w:sz w:val="21"/>
          <w:szCs w:val="21"/>
        </w:rPr>
        <w:t xml:space="preserve"> </w:t>
      </w:r>
      <w:r>
        <w:rPr>
          <w:rFonts w:ascii="SimSun" w:hAnsi="SimSun" w:eastAsia="SimSun" w:cs="SimSun"/>
          <w:sz w:val="21"/>
          <w:szCs w:val="21"/>
          <w:spacing w:val="-11"/>
        </w:rPr>
        <w:t>的、实时演变的。而在数字平台上，平台整合大量车辆的位置、行驶</w:t>
      </w:r>
      <w:r>
        <w:rPr>
          <w:rFonts w:ascii="SimSun" w:hAnsi="SimSun" w:eastAsia="SimSun" w:cs="SimSun"/>
          <w:sz w:val="21"/>
          <w:szCs w:val="21"/>
          <w:spacing w:val="16"/>
        </w:rPr>
        <w:t xml:space="preserve"> </w:t>
      </w:r>
      <w:r>
        <w:rPr>
          <w:rFonts w:ascii="SimSun" w:hAnsi="SimSun" w:eastAsia="SimSun" w:cs="SimSun"/>
          <w:sz w:val="21"/>
          <w:szCs w:val="21"/>
          <w:spacing w:val="-9"/>
        </w:rPr>
        <w:t>和载客信息，个人打车者可以很快看到自己</w:t>
      </w:r>
      <w:r>
        <w:rPr>
          <w:rFonts w:ascii="SimSun" w:hAnsi="SimSun" w:eastAsia="SimSun" w:cs="SimSun"/>
          <w:sz w:val="21"/>
          <w:szCs w:val="21"/>
          <w:spacing w:val="-10"/>
        </w:rPr>
        <w:t>周围有哪些可用车辆，不</w:t>
      </w:r>
    </w:p>
    <w:p>
      <w:pPr>
        <w:spacing w:line="303" w:lineRule="auto"/>
        <w:sectPr>
          <w:headerReference w:type="default" r:id="rId160"/>
          <w:pgSz w:w="7330" w:h="12480"/>
          <w:pgMar w:top="785" w:right="874" w:bottom="400" w:left="399" w:header="622"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76"/>
        <w:spacing w:before="68" w:line="300" w:lineRule="auto"/>
        <w:jc w:val="both"/>
        <w:rPr>
          <w:rFonts w:ascii="SimSun" w:hAnsi="SimSun" w:eastAsia="SimSun" w:cs="SimSun"/>
          <w:sz w:val="21"/>
          <w:szCs w:val="21"/>
        </w:rPr>
      </w:pPr>
      <w:r>
        <w:rPr>
          <w:rFonts w:ascii="SimSun" w:hAnsi="SimSun" w:eastAsia="SimSun" w:cs="SimSun"/>
          <w:sz w:val="21"/>
          <w:szCs w:val="21"/>
          <w:spacing w:val="-10"/>
        </w:rPr>
        <w:t>需要自己跟司机一—打电话联系，也不需要站</w:t>
      </w:r>
      <w:r>
        <w:rPr>
          <w:rFonts w:ascii="SimSun" w:hAnsi="SimSun" w:eastAsia="SimSun" w:cs="SimSun"/>
          <w:sz w:val="21"/>
          <w:szCs w:val="21"/>
          <w:spacing w:val="-11"/>
        </w:rPr>
        <w:t>在路口等待随机车流中</w:t>
      </w:r>
      <w:r>
        <w:rPr>
          <w:rFonts w:ascii="SimSun" w:hAnsi="SimSun" w:eastAsia="SimSun" w:cs="SimSun"/>
          <w:sz w:val="21"/>
          <w:szCs w:val="21"/>
        </w:rPr>
        <w:t xml:space="preserve"> </w:t>
      </w:r>
      <w:r>
        <w:rPr>
          <w:rFonts w:ascii="SimSun" w:hAnsi="SimSun" w:eastAsia="SimSun" w:cs="SimSun"/>
          <w:sz w:val="21"/>
          <w:szCs w:val="21"/>
          <w:spacing w:val="-7"/>
        </w:rPr>
        <w:t>的空车。以此类推，对于其他一些高频、多元化的需求</w:t>
      </w:r>
      <w:r>
        <w:rPr>
          <w:rFonts w:ascii="SimSun" w:hAnsi="SimSun" w:eastAsia="SimSun" w:cs="SimSun"/>
          <w:sz w:val="21"/>
          <w:szCs w:val="21"/>
          <w:spacing w:val="-8"/>
        </w:rPr>
        <w:t>(比如买菜购</w:t>
      </w:r>
      <w:r>
        <w:rPr>
          <w:rFonts w:ascii="SimSun" w:hAnsi="SimSun" w:eastAsia="SimSun" w:cs="SimSun"/>
          <w:sz w:val="21"/>
          <w:szCs w:val="21"/>
        </w:rPr>
        <w:t xml:space="preserve"> </w:t>
      </w:r>
      <w:r>
        <w:rPr>
          <w:rFonts w:ascii="SimSun" w:hAnsi="SimSun" w:eastAsia="SimSun" w:cs="SimSun"/>
          <w:sz w:val="21"/>
          <w:szCs w:val="21"/>
          <w:spacing w:val="4"/>
        </w:rPr>
        <w:t>物等)和动态演变的供给(比如生鲜蔬菜肉蛋的供</w:t>
      </w:r>
      <w:r>
        <w:rPr>
          <w:rFonts w:ascii="SimSun" w:hAnsi="SimSun" w:eastAsia="SimSun" w:cs="SimSun"/>
          <w:sz w:val="21"/>
          <w:szCs w:val="21"/>
          <w:spacing w:val="3"/>
        </w:rPr>
        <w:t>应等),数字平台</w:t>
      </w:r>
      <w:r>
        <w:rPr>
          <w:rFonts w:ascii="SimSun" w:hAnsi="SimSun" w:eastAsia="SimSun" w:cs="SimSun"/>
          <w:sz w:val="21"/>
          <w:szCs w:val="21"/>
        </w:rPr>
        <w:t xml:space="preserve"> </w:t>
      </w:r>
      <w:r>
        <w:rPr>
          <w:rFonts w:ascii="SimSun" w:hAnsi="SimSun" w:eastAsia="SimSun" w:cs="SimSun"/>
          <w:sz w:val="21"/>
          <w:szCs w:val="21"/>
          <w:spacing w:val="-10"/>
        </w:rPr>
        <w:t>能在对接供需关系中发挥巨大的作用。广大的个人用户的需求</w:t>
      </w:r>
      <w:r>
        <w:rPr>
          <w:rFonts w:ascii="SimSun" w:hAnsi="SimSun" w:eastAsia="SimSun" w:cs="SimSun"/>
          <w:sz w:val="21"/>
          <w:szCs w:val="21"/>
          <w:spacing w:val="-11"/>
        </w:rPr>
        <w:t>端跟数</w:t>
      </w:r>
      <w:r>
        <w:rPr>
          <w:rFonts w:ascii="SimSun" w:hAnsi="SimSun" w:eastAsia="SimSun" w:cs="SimSun"/>
          <w:sz w:val="21"/>
          <w:szCs w:val="21"/>
        </w:rPr>
        <w:t xml:space="preserve"> </w:t>
      </w:r>
      <w:r>
        <w:rPr>
          <w:rFonts w:ascii="SimSun" w:hAnsi="SimSun" w:eastAsia="SimSun" w:cs="SimSun"/>
          <w:sz w:val="21"/>
          <w:szCs w:val="21"/>
          <w:spacing w:val="-11"/>
        </w:rPr>
        <w:t>以万计甚至数以亿计的个体经营者和中小企业得以有序对接起来，极</w:t>
      </w:r>
      <w:r>
        <w:rPr>
          <w:rFonts w:ascii="SimSun" w:hAnsi="SimSun" w:eastAsia="SimSun" w:cs="SimSun"/>
          <w:sz w:val="21"/>
          <w:szCs w:val="21"/>
          <w:spacing w:val="7"/>
        </w:rPr>
        <w:t xml:space="preserve"> </w:t>
      </w:r>
      <w:r>
        <w:rPr>
          <w:rFonts w:ascii="SimSun" w:hAnsi="SimSun" w:eastAsia="SimSun" w:cs="SimSun"/>
          <w:sz w:val="21"/>
          <w:szCs w:val="21"/>
          <w:spacing w:val="-11"/>
        </w:rPr>
        <w:t>大地节约了经济活动的成本，提高了经济运行的效率。</w:t>
      </w:r>
    </w:p>
    <w:p>
      <w:pPr>
        <w:ind w:right="37" w:firstLine="449"/>
        <w:spacing w:before="111" w:line="304" w:lineRule="auto"/>
        <w:jc w:val="both"/>
        <w:rPr>
          <w:rFonts w:ascii="SimSun" w:hAnsi="SimSun" w:eastAsia="SimSun" w:cs="SimSun"/>
          <w:sz w:val="21"/>
          <w:szCs w:val="21"/>
        </w:rPr>
      </w:pPr>
      <w:r>
        <w:rPr>
          <w:rFonts w:ascii="SimSun" w:hAnsi="SimSun" w:eastAsia="SimSun" w:cs="SimSun"/>
          <w:sz w:val="21"/>
          <w:szCs w:val="21"/>
          <w:spacing w:val="-11"/>
        </w:rPr>
        <w:t>另一方面，如果数字平台背离了初心，在占据市场主导地位后通</w:t>
      </w:r>
      <w:r>
        <w:rPr>
          <w:rFonts w:ascii="SimSun" w:hAnsi="SimSun" w:eastAsia="SimSun" w:cs="SimSun"/>
          <w:sz w:val="21"/>
          <w:szCs w:val="21"/>
          <w:spacing w:val="14"/>
        </w:rPr>
        <w:t xml:space="preserve"> </w:t>
      </w:r>
      <w:r>
        <w:rPr>
          <w:rFonts w:ascii="SimSun" w:hAnsi="SimSun" w:eastAsia="SimSun" w:cs="SimSun"/>
          <w:sz w:val="21"/>
          <w:szCs w:val="21"/>
          <w:spacing w:val="-11"/>
        </w:rPr>
        <w:t>过各种不当方式从用户和商户两端攫取剩余福利，甚至不惜增加供需</w:t>
      </w:r>
      <w:r>
        <w:rPr>
          <w:rFonts w:ascii="SimSun" w:hAnsi="SimSun" w:eastAsia="SimSun" w:cs="SimSun"/>
          <w:sz w:val="21"/>
          <w:szCs w:val="21"/>
          <w:spacing w:val="11"/>
        </w:rPr>
        <w:t xml:space="preserve"> </w:t>
      </w:r>
      <w:r>
        <w:rPr>
          <w:rFonts w:ascii="SimSun" w:hAnsi="SimSun" w:eastAsia="SimSun" w:cs="SimSun"/>
          <w:sz w:val="21"/>
          <w:szCs w:val="21"/>
          <w:spacing w:val="-11"/>
        </w:rPr>
        <w:t>双方的交易成本，迫使用户和商家满足平台自身利益的话，那么数字</w:t>
      </w:r>
      <w:r>
        <w:rPr>
          <w:rFonts w:ascii="SimSun" w:hAnsi="SimSun" w:eastAsia="SimSun" w:cs="SimSun"/>
          <w:sz w:val="21"/>
          <w:szCs w:val="21"/>
          <w:spacing w:val="8"/>
        </w:rPr>
        <w:t xml:space="preserve"> </w:t>
      </w:r>
      <w:r>
        <w:rPr>
          <w:rFonts w:ascii="SimSun" w:hAnsi="SimSun" w:eastAsia="SimSun" w:cs="SimSun"/>
          <w:sz w:val="21"/>
          <w:szCs w:val="21"/>
          <w:spacing w:val="-10"/>
        </w:rPr>
        <w:t>平台扮演的就不是降低交易成本、提高经济效率的积极角</w:t>
      </w:r>
      <w:r>
        <w:rPr>
          <w:rFonts w:ascii="SimSun" w:hAnsi="SimSun" w:eastAsia="SimSun" w:cs="SimSun"/>
          <w:sz w:val="21"/>
          <w:szCs w:val="21"/>
          <w:spacing w:val="-11"/>
        </w:rPr>
        <w:t>色，而成了</w:t>
      </w:r>
      <w:r>
        <w:rPr>
          <w:rFonts w:ascii="SimSun" w:hAnsi="SimSun" w:eastAsia="SimSun" w:cs="SimSun"/>
          <w:sz w:val="21"/>
          <w:szCs w:val="21"/>
        </w:rPr>
        <w:t xml:space="preserve"> </w:t>
      </w:r>
      <w:r>
        <w:rPr>
          <w:rFonts w:ascii="SimSun" w:hAnsi="SimSun" w:eastAsia="SimSun" w:cs="SimSun"/>
          <w:sz w:val="21"/>
          <w:szCs w:val="21"/>
          <w:spacing w:val="-11"/>
        </w:rPr>
        <w:t>与传统垄断企业无异的阻碍市场活动的消极力量。这时候，数字技术</w:t>
      </w:r>
      <w:r>
        <w:rPr>
          <w:rFonts w:ascii="SimSun" w:hAnsi="SimSun" w:eastAsia="SimSun" w:cs="SimSun"/>
          <w:sz w:val="21"/>
          <w:szCs w:val="21"/>
          <w:spacing w:val="8"/>
        </w:rPr>
        <w:t xml:space="preserve"> </w:t>
      </w:r>
      <w:r>
        <w:rPr>
          <w:rFonts w:ascii="SimSun" w:hAnsi="SimSun" w:eastAsia="SimSun" w:cs="SimSun"/>
          <w:sz w:val="21"/>
          <w:szCs w:val="21"/>
          <w:spacing w:val="-4"/>
        </w:rPr>
        <w:t>赋予平台的能力将会变成平台企业增强市场势力、打压(潜在)竞争</w:t>
      </w:r>
      <w:r>
        <w:rPr>
          <w:rFonts w:ascii="SimSun" w:hAnsi="SimSun" w:eastAsia="SimSun" w:cs="SimSun"/>
          <w:sz w:val="21"/>
          <w:szCs w:val="21"/>
          <w:spacing w:val="7"/>
        </w:rPr>
        <w:t xml:space="preserve"> </w:t>
      </w:r>
      <w:r>
        <w:rPr>
          <w:rFonts w:ascii="SimSun" w:hAnsi="SimSun" w:eastAsia="SimSun" w:cs="SimSun"/>
          <w:sz w:val="21"/>
          <w:szCs w:val="21"/>
          <w:spacing w:val="-11"/>
        </w:rPr>
        <w:t>者、鱼肉消费者的利剑。监管政策必须积极作为，明确底线，摸清情</w:t>
      </w:r>
      <w:r>
        <w:rPr>
          <w:rFonts w:ascii="SimSun" w:hAnsi="SimSun" w:eastAsia="SimSun" w:cs="SimSun"/>
          <w:sz w:val="21"/>
          <w:szCs w:val="21"/>
          <w:spacing w:val="8"/>
        </w:rPr>
        <w:t xml:space="preserve"> </w:t>
      </w:r>
      <w:r>
        <w:rPr>
          <w:rFonts w:ascii="SimSun" w:hAnsi="SimSun" w:eastAsia="SimSun" w:cs="SimSun"/>
          <w:sz w:val="21"/>
          <w:szCs w:val="21"/>
          <w:spacing w:val="-11"/>
        </w:rPr>
        <w:t>况，主动应对，确保数字平台在经济生活中提供更多正面价值。</w:t>
      </w:r>
    </w:p>
    <w:p>
      <w:pPr>
        <w:pStyle w:val="BodyText"/>
        <w:spacing w:line="386"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中美平台企业的市值规模</w:t>
      </w:r>
    </w:p>
    <w:p>
      <w:pPr>
        <w:pStyle w:val="BodyText"/>
        <w:spacing w:line="319" w:lineRule="auto"/>
        <w:rPr/>
      </w:pPr>
      <w:r/>
    </w:p>
    <w:p>
      <w:pPr>
        <w:ind w:firstLine="449"/>
        <w:spacing w:before="69" w:line="305" w:lineRule="auto"/>
        <w:jc w:val="both"/>
        <w:rPr>
          <w:rFonts w:ascii="SimSun" w:hAnsi="SimSun" w:eastAsia="SimSun" w:cs="SimSun"/>
          <w:sz w:val="21"/>
          <w:szCs w:val="21"/>
        </w:rPr>
      </w:pPr>
      <w:r>
        <w:rPr>
          <w:rFonts w:ascii="SimSun" w:hAnsi="SimSun" w:eastAsia="SimSun" w:cs="SimSun"/>
          <w:sz w:val="21"/>
          <w:szCs w:val="21"/>
          <w:spacing w:val="-4"/>
        </w:rPr>
        <w:t>我们有多依赖平台?手机里的</w:t>
      </w:r>
      <w:r>
        <w:rPr>
          <w:rFonts w:ascii="Times New Roman" w:hAnsi="Times New Roman" w:eastAsia="Times New Roman" w:cs="Times New Roman"/>
          <w:sz w:val="21"/>
          <w:szCs w:val="21"/>
          <w:spacing w:val="-4"/>
        </w:rPr>
        <w:t>App</w:t>
      </w:r>
      <w:r>
        <w:rPr>
          <w:rFonts w:ascii="SimSun" w:hAnsi="SimSun" w:eastAsia="SimSun" w:cs="SimSun"/>
          <w:sz w:val="21"/>
          <w:szCs w:val="21"/>
          <w:spacing w:val="-4"/>
        </w:rPr>
        <w:t>就是一个很直</w:t>
      </w:r>
      <w:r>
        <w:rPr>
          <w:rFonts w:ascii="SimSun" w:hAnsi="SimSun" w:eastAsia="SimSun" w:cs="SimSun"/>
          <w:sz w:val="21"/>
          <w:szCs w:val="21"/>
          <w:spacing w:val="-5"/>
        </w:rPr>
        <w:t>观的体现：比如</w:t>
      </w:r>
      <w:r>
        <w:rPr>
          <w:rFonts w:ascii="SimSun" w:hAnsi="SimSun" w:eastAsia="SimSun" w:cs="SimSun"/>
          <w:sz w:val="21"/>
          <w:szCs w:val="21"/>
        </w:rPr>
        <w:t xml:space="preserve"> </w:t>
      </w:r>
      <w:r>
        <w:rPr>
          <w:rFonts w:ascii="SimSun" w:hAnsi="SimSun" w:eastAsia="SimSun" w:cs="SimSun"/>
          <w:sz w:val="21"/>
          <w:szCs w:val="21"/>
          <w:spacing w:val="-11"/>
        </w:rPr>
        <w:t>以微信为代表的通信社交平台，以支付宝和微信支付为代表的移动支</w:t>
      </w:r>
      <w:r>
        <w:rPr>
          <w:rFonts w:ascii="SimSun" w:hAnsi="SimSun" w:eastAsia="SimSun" w:cs="SimSun"/>
          <w:sz w:val="21"/>
          <w:szCs w:val="21"/>
          <w:spacing w:val="5"/>
        </w:rPr>
        <w:t xml:space="preserve">  </w:t>
      </w:r>
      <w:r>
        <w:rPr>
          <w:rFonts w:ascii="SimSun" w:hAnsi="SimSun" w:eastAsia="SimSun" w:cs="SimSun"/>
          <w:sz w:val="21"/>
          <w:szCs w:val="21"/>
          <w:spacing w:val="-8"/>
        </w:rPr>
        <w:t>付平台，以淘宝、天猫、京东、拼多多为代表的电商平台，以美团、</w:t>
      </w:r>
      <w:r>
        <w:rPr>
          <w:rFonts w:ascii="SimSun" w:hAnsi="SimSun" w:eastAsia="SimSun" w:cs="SimSun"/>
          <w:sz w:val="21"/>
          <w:szCs w:val="21"/>
          <w:spacing w:val="14"/>
        </w:rPr>
        <w:t xml:space="preserve"> </w:t>
      </w:r>
      <w:r>
        <w:rPr>
          <w:rFonts w:ascii="SimSun" w:hAnsi="SimSun" w:eastAsia="SimSun" w:cs="SimSun"/>
          <w:sz w:val="21"/>
          <w:szCs w:val="21"/>
          <w:spacing w:val="-4"/>
        </w:rPr>
        <w:t>58同城为代表的本地生活服务平台，以百度为代表的搜索平台，以</w:t>
      </w:r>
      <w:r>
        <w:rPr>
          <w:rFonts w:ascii="SimSun" w:hAnsi="SimSun" w:eastAsia="SimSun" w:cs="SimSun"/>
          <w:sz w:val="21"/>
          <w:szCs w:val="21"/>
          <w:spacing w:val="8"/>
        </w:rPr>
        <w:t xml:space="preserve">  </w:t>
      </w:r>
      <w:r>
        <w:rPr>
          <w:rFonts w:ascii="SimSun" w:hAnsi="SimSun" w:eastAsia="SimSun" w:cs="SimSun"/>
          <w:sz w:val="21"/>
          <w:szCs w:val="21"/>
          <w:spacing w:val="-4"/>
        </w:rPr>
        <w:t>今日头条为代表的新闻资讯平台，以抖音、快手为代表的短视频平</w:t>
      </w:r>
      <w:r>
        <w:rPr>
          <w:rFonts w:ascii="SimSun" w:hAnsi="SimSun" w:eastAsia="SimSun" w:cs="SimSun"/>
          <w:sz w:val="21"/>
          <w:szCs w:val="21"/>
          <w:spacing w:val="2"/>
        </w:rPr>
        <w:t xml:space="preserve">  </w:t>
      </w:r>
      <w:r>
        <w:rPr>
          <w:rFonts w:ascii="SimSun" w:hAnsi="SimSun" w:eastAsia="SimSun" w:cs="SimSun"/>
          <w:sz w:val="21"/>
          <w:szCs w:val="21"/>
          <w:spacing w:val="-11"/>
        </w:rPr>
        <w:t>台，以腾讯视频、爱奇艺、优酷、哔哩哔哩为代表的视频平台，以微</w:t>
      </w:r>
      <w:r>
        <w:rPr>
          <w:rFonts w:ascii="SimSun" w:hAnsi="SimSun" w:eastAsia="SimSun" w:cs="SimSun"/>
          <w:sz w:val="21"/>
          <w:szCs w:val="21"/>
          <w:spacing w:val="3"/>
        </w:rPr>
        <w:t xml:space="preserve">  </w:t>
      </w:r>
      <w:r>
        <w:rPr>
          <w:rFonts w:ascii="SimSun" w:hAnsi="SimSun" w:eastAsia="SimSun" w:cs="SimSun"/>
          <w:sz w:val="21"/>
          <w:szCs w:val="21"/>
          <w:spacing w:val="-11"/>
        </w:rPr>
        <w:t>博、小红书为代表的社交媒体平台，以智联招聘、前程无忧为代表的</w:t>
      </w:r>
      <w:r>
        <w:rPr>
          <w:rFonts w:ascii="SimSun" w:hAnsi="SimSun" w:eastAsia="SimSun" w:cs="SimSun"/>
          <w:sz w:val="21"/>
          <w:szCs w:val="21"/>
          <w:spacing w:val="7"/>
        </w:rPr>
        <w:t xml:space="preserve">  </w:t>
      </w:r>
      <w:r>
        <w:rPr>
          <w:rFonts w:ascii="SimSun" w:hAnsi="SimSun" w:eastAsia="SimSun" w:cs="SimSun"/>
          <w:sz w:val="21"/>
          <w:szCs w:val="21"/>
          <w:spacing w:val="-11"/>
        </w:rPr>
        <w:t>求职应聘平台，以知乎为代表的问答平台，还有在线教育、在线医疗</w:t>
      </w:r>
      <w:r>
        <w:rPr>
          <w:rFonts w:ascii="SimSun" w:hAnsi="SimSun" w:eastAsia="SimSun" w:cs="SimSun"/>
          <w:sz w:val="21"/>
          <w:szCs w:val="21"/>
          <w:spacing w:val="3"/>
        </w:rPr>
        <w:t xml:space="preserve">  </w:t>
      </w:r>
      <w:r>
        <w:rPr>
          <w:rFonts w:ascii="SimSun" w:hAnsi="SimSun" w:eastAsia="SimSun" w:cs="SimSun"/>
          <w:sz w:val="21"/>
          <w:szCs w:val="21"/>
          <w:spacing w:val="-7"/>
        </w:rPr>
        <w:t>和许多垂直细分领域的</w:t>
      </w:r>
      <w:r>
        <w:rPr>
          <w:rFonts w:ascii="Times New Roman" w:hAnsi="Times New Roman" w:eastAsia="Times New Roman" w:cs="Times New Roman"/>
          <w:sz w:val="21"/>
          <w:szCs w:val="21"/>
          <w:spacing w:val="-7"/>
        </w:rPr>
        <w:t>App,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背后都是互联网平台的身影。</w:t>
      </w:r>
    </w:p>
    <w:p>
      <w:pPr>
        <w:ind w:left="449"/>
        <w:spacing w:before="162" w:line="219" w:lineRule="auto"/>
        <w:rPr>
          <w:rFonts w:ascii="SimSun" w:hAnsi="SimSun" w:eastAsia="SimSun" w:cs="SimSun"/>
          <w:sz w:val="21"/>
          <w:szCs w:val="21"/>
        </w:rPr>
      </w:pPr>
      <w:r>
        <w:rPr>
          <w:rFonts w:ascii="SimSun" w:hAnsi="SimSun" w:eastAsia="SimSun" w:cs="SimSun"/>
          <w:sz w:val="21"/>
          <w:szCs w:val="21"/>
          <w:spacing w:val="-11"/>
        </w:rPr>
        <w:t>平台企业已成为数字时代的企业巨头。全球市值最高的前十大公</w:t>
      </w:r>
    </w:p>
    <w:p>
      <w:pPr>
        <w:spacing w:line="219" w:lineRule="auto"/>
        <w:sectPr>
          <w:headerReference w:type="default" r:id="rId161"/>
          <w:pgSz w:w="7330" w:h="12480"/>
          <w:pgMar w:top="497" w:right="604" w:bottom="400" w:left="650" w:header="33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right="39"/>
        <w:spacing w:before="68" w:line="302" w:lineRule="auto"/>
        <w:jc w:val="both"/>
        <w:rPr>
          <w:rFonts w:ascii="SimSun" w:hAnsi="SimSun" w:eastAsia="SimSun" w:cs="SimSun"/>
          <w:sz w:val="21"/>
          <w:szCs w:val="21"/>
        </w:rPr>
      </w:pPr>
      <w:r>
        <w:rPr>
          <w:rFonts w:ascii="SimSun" w:hAnsi="SimSun" w:eastAsia="SimSun" w:cs="SimSun"/>
          <w:sz w:val="21"/>
          <w:szCs w:val="21"/>
          <w:spacing w:val="-10"/>
        </w:rPr>
        <w:t>司中，平台企业占据半壁江山。《福布斯》杂志2019年发布的全球数</w:t>
      </w:r>
      <w:r>
        <w:rPr>
          <w:rFonts w:ascii="SimSun" w:hAnsi="SimSun" w:eastAsia="SimSun" w:cs="SimSun"/>
          <w:sz w:val="21"/>
          <w:szCs w:val="21"/>
          <w:spacing w:val="7"/>
        </w:rPr>
        <w:t xml:space="preserve"> </w:t>
      </w:r>
      <w:r>
        <w:rPr>
          <w:rFonts w:ascii="SimSun" w:hAnsi="SimSun" w:eastAsia="SimSun" w:cs="SimSun"/>
          <w:sz w:val="21"/>
          <w:szCs w:val="21"/>
          <w:spacing w:val="1"/>
        </w:rPr>
        <w:t>字经济100强榜单中，苹果公司名列第1位，</w:t>
      </w:r>
      <w:r>
        <w:rPr>
          <w:rFonts w:ascii="Times New Roman" w:hAnsi="Times New Roman" w:eastAsia="Times New Roman" w:cs="Times New Roman"/>
          <w:sz w:val="21"/>
          <w:szCs w:val="21"/>
        </w:rPr>
        <w:t>Alphabet</w:t>
      </w:r>
      <w:r>
        <w:rPr>
          <w:rFonts w:ascii="SimSun" w:hAnsi="SimSun" w:eastAsia="SimSun" w:cs="SimSun"/>
          <w:sz w:val="21"/>
          <w:szCs w:val="21"/>
          <w:spacing w:val="1"/>
        </w:rPr>
        <w:t>(谷歌母</w:t>
      </w:r>
      <w:r>
        <w:rPr>
          <w:rFonts w:ascii="SimSun" w:hAnsi="SimSun" w:eastAsia="SimSun" w:cs="SimSun"/>
          <w:sz w:val="21"/>
          <w:szCs w:val="21"/>
        </w:rPr>
        <w:t>公司) </w:t>
      </w:r>
      <w:r>
        <w:rPr>
          <w:rFonts w:ascii="SimSun" w:hAnsi="SimSun" w:eastAsia="SimSun" w:cs="SimSun"/>
          <w:sz w:val="21"/>
          <w:szCs w:val="21"/>
          <w:spacing w:val="3"/>
        </w:rPr>
        <w:t>是第4位，亚马逊是第6位，脸书是第10位。新冠疫情之下，数字</w:t>
      </w:r>
      <w:r>
        <w:rPr>
          <w:rFonts w:ascii="SimSun" w:hAnsi="SimSun" w:eastAsia="SimSun" w:cs="SimSun"/>
          <w:sz w:val="21"/>
          <w:szCs w:val="21"/>
          <w:spacing w:val="18"/>
        </w:rPr>
        <w:t xml:space="preserve"> </w:t>
      </w:r>
      <w:r>
        <w:rPr>
          <w:rFonts w:ascii="SimSun" w:hAnsi="SimSun" w:eastAsia="SimSun" w:cs="SimSun"/>
          <w:sz w:val="21"/>
          <w:szCs w:val="21"/>
          <w:spacing w:val="-10"/>
        </w:rPr>
        <w:t>经济的重要性凸显，因此大科技公司和平台企</w:t>
      </w:r>
      <w:r>
        <w:rPr>
          <w:rFonts w:ascii="SimSun" w:hAnsi="SimSun" w:eastAsia="SimSun" w:cs="SimSun"/>
          <w:sz w:val="21"/>
          <w:szCs w:val="21"/>
          <w:spacing w:val="-11"/>
        </w:rPr>
        <w:t>业的规模也得到了进一</w:t>
      </w:r>
      <w:r>
        <w:rPr>
          <w:rFonts w:ascii="SimSun" w:hAnsi="SimSun" w:eastAsia="SimSun" w:cs="SimSun"/>
          <w:sz w:val="21"/>
          <w:szCs w:val="21"/>
        </w:rPr>
        <w:t xml:space="preserve"> </w:t>
      </w:r>
      <w:r>
        <w:rPr>
          <w:rFonts w:ascii="SimSun" w:hAnsi="SimSun" w:eastAsia="SimSun" w:cs="SimSun"/>
          <w:sz w:val="21"/>
          <w:szCs w:val="21"/>
          <w:spacing w:val="-7"/>
        </w:rPr>
        <w:t>步扩大。亚马逊运营着全美最大的在线商城，攫取了70%的在线销售</w:t>
      </w:r>
      <w:r>
        <w:rPr>
          <w:rFonts w:ascii="SimSun" w:hAnsi="SimSun" w:eastAsia="SimSun" w:cs="SimSun"/>
          <w:sz w:val="21"/>
          <w:szCs w:val="21"/>
          <w:spacing w:val="12"/>
        </w:rPr>
        <w:t xml:space="preserve"> </w:t>
      </w:r>
      <w:r>
        <w:rPr>
          <w:rFonts w:ascii="SimSun" w:hAnsi="SimSun" w:eastAsia="SimSun" w:cs="SimSun"/>
          <w:sz w:val="21"/>
          <w:szCs w:val="21"/>
          <w:spacing w:val="-10"/>
        </w:rPr>
        <w:t>额，以及强大的云计算和电影制作业务；苹果是一</w:t>
      </w:r>
      <w:r>
        <w:rPr>
          <w:rFonts w:ascii="SimSun" w:hAnsi="SimSun" w:eastAsia="SimSun" w:cs="SimSun"/>
          <w:sz w:val="21"/>
          <w:szCs w:val="21"/>
          <w:spacing w:val="-11"/>
        </w:rPr>
        <w:t>家智能手机提供商</w:t>
      </w:r>
      <w:r>
        <w:rPr>
          <w:rFonts w:ascii="SimSun" w:hAnsi="SimSun" w:eastAsia="SimSun" w:cs="SimSun"/>
          <w:sz w:val="21"/>
          <w:szCs w:val="21"/>
        </w:rPr>
        <w:t xml:space="preserve"> </w:t>
      </w:r>
      <w:r>
        <w:rPr>
          <w:rFonts w:ascii="SimSun" w:hAnsi="SimSun" w:eastAsia="SimSun" w:cs="SimSun"/>
          <w:sz w:val="21"/>
          <w:szCs w:val="21"/>
          <w:spacing w:val="-4"/>
        </w:rPr>
        <w:t>巨头，仅在美国就拥有亿级用户，除了硬件和应用，苹果还拥有金</w:t>
      </w:r>
      <w:r>
        <w:rPr>
          <w:rFonts w:ascii="SimSun" w:hAnsi="SimSun" w:eastAsia="SimSun" w:cs="SimSun"/>
          <w:sz w:val="21"/>
          <w:szCs w:val="21"/>
          <w:spacing w:val="13"/>
        </w:rPr>
        <w:t xml:space="preserve"> </w:t>
      </w:r>
      <w:r>
        <w:rPr>
          <w:rFonts w:ascii="SimSun" w:hAnsi="SimSun" w:eastAsia="SimSun" w:cs="SimSun"/>
          <w:sz w:val="21"/>
          <w:szCs w:val="21"/>
          <w:spacing w:val="-11"/>
        </w:rPr>
        <w:t>融、媒体和游戏业务；脸书是全世界最大的社交媒体提供商，虽然收</w:t>
      </w:r>
      <w:r>
        <w:rPr>
          <w:rFonts w:ascii="SimSun" w:hAnsi="SimSun" w:eastAsia="SimSun" w:cs="SimSun"/>
          <w:sz w:val="21"/>
          <w:szCs w:val="21"/>
          <w:spacing w:val="16"/>
        </w:rPr>
        <w:t xml:space="preserve"> </w:t>
      </w:r>
      <w:r>
        <w:rPr>
          <w:rFonts w:ascii="SimSun" w:hAnsi="SimSun" w:eastAsia="SimSun" w:cs="SimSun"/>
          <w:sz w:val="21"/>
          <w:szCs w:val="21"/>
          <w:spacing w:val="-3"/>
        </w:rPr>
        <w:t>到过破纪录的罚单，但仍然有着巨额盈利，单是</w:t>
      </w:r>
      <w:r>
        <w:rPr>
          <w:rFonts w:ascii="SimSun" w:hAnsi="SimSun" w:eastAsia="SimSun" w:cs="SimSun"/>
          <w:sz w:val="21"/>
          <w:szCs w:val="21"/>
          <w:spacing w:val="-4"/>
        </w:rPr>
        <w:t>2020年一年就超过</w:t>
      </w:r>
      <w:r>
        <w:rPr>
          <w:rFonts w:ascii="SimSun" w:hAnsi="SimSun" w:eastAsia="SimSun" w:cs="SimSun"/>
          <w:sz w:val="21"/>
          <w:szCs w:val="21"/>
        </w:rPr>
        <w:t xml:space="preserve"> </w:t>
      </w:r>
      <w:r>
        <w:rPr>
          <w:rFonts w:ascii="SimSun" w:hAnsi="SimSun" w:eastAsia="SimSun" w:cs="SimSun"/>
          <w:sz w:val="21"/>
          <w:szCs w:val="21"/>
          <w:spacing w:val="-4"/>
        </w:rPr>
        <w:t>180亿美元；谷歌是全世界最大的搜索引擎，在搜索领域占据90%以 </w:t>
      </w:r>
      <w:r>
        <w:rPr>
          <w:rFonts w:ascii="SimSun" w:hAnsi="SimSun" w:eastAsia="SimSun" w:cs="SimSun"/>
          <w:sz w:val="21"/>
          <w:szCs w:val="21"/>
          <w:spacing w:val="-10"/>
        </w:rPr>
        <w:t>上的市场份额，掌控着数字广告市场的关键技术，拥有十</w:t>
      </w:r>
      <w:r>
        <w:rPr>
          <w:rFonts w:ascii="SimSun" w:hAnsi="SimSun" w:eastAsia="SimSun" w:cs="SimSun"/>
          <w:sz w:val="21"/>
          <w:szCs w:val="21"/>
          <w:spacing w:val="-11"/>
        </w:rPr>
        <w:t>亿级用户和</w:t>
      </w:r>
      <w:r>
        <w:rPr>
          <w:rFonts w:ascii="SimSun" w:hAnsi="SimSun" w:eastAsia="SimSun" w:cs="SimSun"/>
          <w:sz w:val="21"/>
          <w:szCs w:val="21"/>
        </w:rPr>
        <w:t xml:space="preserve"> </w:t>
      </w:r>
      <w:r>
        <w:rPr>
          <w:rFonts w:ascii="SimSun" w:hAnsi="SimSun" w:eastAsia="SimSun" w:cs="SimSun"/>
          <w:sz w:val="21"/>
          <w:szCs w:val="21"/>
          <w:spacing w:val="-11"/>
        </w:rPr>
        <w:t>包括浏览器、智能手机、数字地图在内的六大产品。</w:t>
      </w:r>
    </w:p>
    <w:p>
      <w:pPr>
        <w:ind w:right="43" w:firstLine="429"/>
        <w:spacing w:before="192" w:line="297" w:lineRule="auto"/>
        <w:jc w:val="both"/>
        <w:rPr>
          <w:rFonts w:ascii="SimSun" w:hAnsi="SimSun" w:eastAsia="SimSun" w:cs="SimSun"/>
          <w:sz w:val="21"/>
          <w:szCs w:val="21"/>
        </w:rPr>
      </w:pPr>
      <w:r>
        <w:rPr>
          <w:rFonts w:ascii="SimSun" w:hAnsi="SimSun" w:eastAsia="SimSun" w:cs="SimSun"/>
          <w:sz w:val="21"/>
          <w:szCs w:val="21"/>
          <w:spacing w:val="-2"/>
        </w:rPr>
        <w:t>中国平台企业的综合实力和国际竞争力得到了广泛认可。20</w:t>
      </w:r>
      <w:r>
        <w:rPr>
          <w:rFonts w:ascii="SimSun" w:hAnsi="SimSun" w:eastAsia="SimSun" w:cs="SimSun"/>
          <w:sz w:val="21"/>
          <w:szCs w:val="21"/>
          <w:spacing w:val="-3"/>
        </w:rPr>
        <w:t>19</w:t>
      </w:r>
      <w:r>
        <w:rPr>
          <w:rFonts w:ascii="SimSun" w:hAnsi="SimSun" w:eastAsia="SimSun" w:cs="SimSun"/>
          <w:sz w:val="21"/>
          <w:szCs w:val="21"/>
        </w:rPr>
        <w:t xml:space="preserve"> </w:t>
      </w:r>
      <w:r>
        <w:rPr>
          <w:rFonts w:ascii="SimSun" w:hAnsi="SimSun" w:eastAsia="SimSun" w:cs="SimSun"/>
          <w:sz w:val="21"/>
          <w:szCs w:val="21"/>
          <w:spacing w:val="7"/>
        </w:rPr>
        <w:t>年全球数字经济100强榜单中，中国的阿里巴巴(第11位</w:t>
      </w:r>
      <w:r>
        <w:rPr>
          <w:rFonts w:ascii="SimSun" w:hAnsi="SimSun" w:eastAsia="SimSun" w:cs="SimSun"/>
          <w:sz w:val="21"/>
          <w:szCs w:val="21"/>
          <w:spacing w:val="6"/>
        </w:rPr>
        <w:t>)、腾讯</w:t>
      </w:r>
      <w:r>
        <w:rPr>
          <w:rFonts w:ascii="SimSun" w:hAnsi="SimSun" w:eastAsia="SimSun" w:cs="SimSun"/>
          <w:sz w:val="21"/>
          <w:szCs w:val="21"/>
        </w:rPr>
        <w:t xml:space="preserve"> </w:t>
      </w:r>
      <w:r>
        <w:rPr>
          <w:rFonts w:ascii="SimSun" w:hAnsi="SimSun" w:eastAsia="SimSun" w:cs="SimSun"/>
          <w:sz w:val="21"/>
          <w:szCs w:val="21"/>
          <w:spacing w:val="16"/>
        </w:rPr>
        <w:t>(第15位)、京东(第45位)、百度(第50位)等互联网公司都有</w:t>
      </w:r>
      <w:r>
        <w:rPr>
          <w:rFonts w:ascii="SimSun" w:hAnsi="SimSun" w:eastAsia="SimSun" w:cs="SimSun"/>
          <w:sz w:val="21"/>
          <w:szCs w:val="21"/>
          <w:spacing w:val="17"/>
        </w:rPr>
        <w:t xml:space="preserve"> </w:t>
      </w:r>
      <w:r>
        <w:rPr>
          <w:rFonts w:ascii="SimSun" w:hAnsi="SimSun" w:eastAsia="SimSun" w:cs="SimSun"/>
          <w:sz w:val="21"/>
          <w:szCs w:val="21"/>
        </w:rPr>
        <w:t>上榜。中国互联网协会《中国互联网企业综合</w:t>
      </w:r>
      <w:r>
        <w:rPr>
          <w:rFonts w:ascii="SimSun" w:hAnsi="SimSun" w:eastAsia="SimSun" w:cs="SimSun"/>
          <w:sz w:val="21"/>
          <w:szCs w:val="21"/>
          <w:spacing w:val="-1"/>
        </w:rPr>
        <w:t>实力研究报告(2020</w:t>
      </w:r>
      <w:r>
        <w:rPr>
          <w:rFonts w:ascii="SimSun" w:hAnsi="SimSun" w:eastAsia="SimSun" w:cs="SimSun"/>
          <w:sz w:val="21"/>
          <w:szCs w:val="21"/>
        </w:rPr>
        <w:t xml:space="preserve"> </w:t>
      </w:r>
      <w:r>
        <w:rPr>
          <w:rFonts w:ascii="SimSun" w:hAnsi="SimSun" w:eastAsia="SimSun" w:cs="SimSun"/>
          <w:sz w:val="21"/>
          <w:szCs w:val="21"/>
          <w:spacing w:val="-7"/>
        </w:rPr>
        <w:t>年)》发布的百强名单里，阿里巴巴、腾讯、美团、百度、京东位列</w:t>
      </w:r>
      <w:r>
        <w:rPr>
          <w:rFonts w:ascii="SimSun" w:hAnsi="SimSun" w:eastAsia="SimSun" w:cs="SimSun"/>
          <w:sz w:val="21"/>
          <w:szCs w:val="21"/>
          <w:spacing w:val="10"/>
        </w:rPr>
        <w:t xml:space="preserve"> </w:t>
      </w:r>
      <w:r>
        <w:rPr>
          <w:rFonts w:ascii="SimSun" w:hAnsi="SimSun" w:eastAsia="SimSun" w:cs="SimSun"/>
          <w:sz w:val="21"/>
          <w:szCs w:val="21"/>
          <w:spacing w:val="3"/>
        </w:rPr>
        <w:t>前五。普华永道2021年3月发布的全球市值100强公司榜单中，腾</w:t>
      </w:r>
    </w:p>
    <w:p>
      <w:pPr>
        <w:ind w:right="42"/>
        <w:spacing w:before="78" w:line="343" w:lineRule="auto"/>
        <w:jc w:val="both"/>
        <w:rPr>
          <w:rFonts w:ascii="SimSun" w:hAnsi="SimSun" w:eastAsia="SimSun" w:cs="SimSun"/>
          <w:sz w:val="21"/>
          <w:szCs w:val="21"/>
        </w:rPr>
      </w:pPr>
      <w:r>
        <w:rPr>
          <w:rFonts w:ascii="SimSun" w:hAnsi="SimSun" w:eastAsia="SimSun" w:cs="SimSun"/>
          <w:sz w:val="21"/>
          <w:szCs w:val="21"/>
          <w:spacing w:val="2"/>
        </w:rPr>
        <w:t>讯和阿里巴巴分别名列第7位和第9位。在</w:t>
      </w:r>
      <w:r>
        <w:rPr>
          <w:rFonts w:ascii="Times New Roman" w:hAnsi="Times New Roman" w:eastAsia="Times New Roman" w:cs="Times New Roman"/>
          <w:sz w:val="21"/>
          <w:szCs w:val="21"/>
        </w:rPr>
        <w:t>CB</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Insights</w:t>
      </w:r>
      <w:r>
        <w:rPr>
          <w:rFonts w:ascii="Times New Roman" w:hAnsi="Times New Roman" w:eastAsia="Times New Roman" w:cs="Times New Roman"/>
          <w:sz w:val="21"/>
          <w:szCs w:val="21"/>
          <w:spacing w:val="2"/>
        </w:rPr>
        <w:t xml:space="preserve"> 2020</w:t>
      </w:r>
      <w:r>
        <w:rPr>
          <w:rFonts w:ascii="SimSun" w:hAnsi="SimSun" w:eastAsia="SimSun" w:cs="SimSun"/>
          <w:sz w:val="21"/>
          <w:szCs w:val="21"/>
          <w:spacing w:val="2"/>
        </w:rPr>
        <w:t>年</w:t>
      </w:r>
      <w:r>
        <w:rPr>
          <w:rFonts w:ascii="SimSun" w:hAnsi="SimSun" w:eastAsia="SimSun" w:cs="SimSun"/>
          <w:sz w:val="21"/>
          <w:szCs w:val="21"/>
          <w:spacing w:val="-2"/>
        </w:rPr>
        <w:t xml:space="preserve"> </w:t>
      </w:r>
      <w:r>
        <w:rPr>
          <w:rFonts w:ascii="SimSun" w:hAnsi="SimSun" w:eastAsia="SimSun" w:cs="SimSun"/>
          <w:sz w:val="21"/>
          <w:szCs w:val="21"/>
          <w:spacing w:val="2"/>
        </w:rPr>
        <w:t>8 月</w:t>
      </w:r>
      <w:r>
        <w:rPr>
          <w:rFonts w:ascii="SimSun" w:hAnsi="SimSun" w:eastAsia="SimSun" w:cs="SimSun"/>
          <w:sz w:val="21"/>
          <w:szCs w:val="21"/>
        </w:rPr>
        <w:t xml:space="preserve"> </w:t>
      </w:r>
      <w:r>
        <w:rPr>
          <w:rFonts w:ascii="SimSun" w:hAnsi="SimSun" w:eastAsia="SimSun" w:cs="SimSun"/>
          <w:sz w:val="21"/>
          <w:szCs w:val="21"/>
          <w:spacing w:val="-3"/>
        </w:rPr>
        <w:t>发布的全球最有价值独角兽名单中，字节跳动以140</w:t>
      </w:r>
      <w:r>
        <w:rPr>
          <w:rFonts w:ascii="SimSun" w:hAnsi="SimSun" w:eastAsia="SimSun" w:cs="SimSun"/>
          <w:sz w:val="21"/>
          <w:szCs w:val="21"/>
          <w:spacing w:val="-4"/>
        </w:rPr>
        <w:t>0亿美元的估值</w:t>
      </w:r>
    </w:p>
    <w:p>
      <w:pPr>
        <w:spacing w:line="212" w:lineRule="auto"/>
        <w:rPr>
          <w:rFonts w:ascii="SimSun" w:hAnsi="SimSun" w:eastAsia="SimSun" w:cs="SimSun"/>
          <w:sz w:val="21"/>
          <w:szCs w:val="21"/>
        </w:rPr>
      </w:pPr>
      <w:r>
        <w:rPr>
          <w:rFonts w:ascii="SimSun" w:hAnsi="SimSun" w:eastAsia="SimSun" w:cs="SimSun"/>
          <w:sz w:val="21"/>
          <w:szCs w:val="21"/>
        </w:rPr>
        <w:t>名列第1位，估值远超排在第2位的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SpaceX(1000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亿美元)。</w:t>
      </w:r>
    </w:p>
    <w:p>
      <w:pPr>
        <w:ind w:firstLine="420"/>
        <w:spacing w:before="121" w:line="300" w:lineRule="auto"/>
        <w:jc w:val="both"/>
        <w:rPr>
          <w:rFonts w:ascii="SimSun" w:hAnsi="SimSun" w:eastAsia="SimSun" w:cs="SimSun"/>
          <w:sz w:val="21"/>
          <w:szCs w:val="21"/>
        </w:rPr>
      </w:pPr>
      <w:r>
        <w:rPr>
          <w:rFonts w:ascii="SimSun" w:hAnsi="SimSun" w:eastAsia="SimSun" w:cs="SimSun"/>
          <w:sz w:val="21"/>
          <w:szCs w:val="21"/>
          <w:spacing w:val="-10"/>
        </w:rPr>
        <w:t>我国监管部门已在对平台企业进行界定分类，并将对大平台企业</w:t>
      </w:r>
      <w:r>
        <w:rPr>
          <w:rFonts w:ascii="SimSun" w:hAnsi="SimSun" w:eastAsia="SimSun" w:cs="SimSun"/>
          <w:sz w:val="21"/>
          <w:szCs w:val="21"/>
          <w:spacing w:val="16"/>
        </w:rPr>
        <w:t xml:space="preserve"> </w:t>
      </w:r>
      <w:r>
        <w:rPr>
          <w:rFonts w:ascii="SimSun" w:hAnsi="SimSun" w:eastAsia="SimSun" w:cs="SimSun"/>
          <w:sz w:val="21"/>
          <w:szCs w:val="21"/>
          <w:spacing w:val="3"/>
        </w:rPr>
        <w:t>强化监管措施。国家市场监管总局在2021年10月29日发布的《互</w:t>
      </w:r>
      <w:r>
        <w:rPr>
          <w:rFonts w:ascii="SimSun" w:hAnsi="SimSun" w:eastAsia="SimSun" w:cs="SimSun"/>
          <w:sz w:val="21"/>
          <w:szCs w:val="21"/>
          <w:spacing w:val="5"/>
        </w:rPr>
        <w:t xml:space="preserve">  </w:t>
      </w:r>
      <w:r>
        <w:rPr>
          <w:rFonts w:ascii="SimSun" w:hAnsi="SimSun" w:eastAsia="SimSun" w:cs="SimSun"/>
          <w:sz w:val="21"/>
          <w:szCs w:val="21"/>
          <w:spacing w:val="-3"/>
        </w:rPr>
        <w:t>联网平台分类分级指南(征求意见稿)》中拟规</w:t>
      </w:r>
      <w:r>
        <w:rPr>
          <w:rFonts w:ascii="SimSun" w:hAnsi="SimSun" w:eastAsia="SimSun" w:cs="SimSun"/>
          <w:sz w:val="21"/>
          <w:szCs w:val="21"/>
          <w:spacing w:val="-4"/>
        </w:rPr>
        <w:t>定，超级平台指同时</w:t>
      </w:r>
      <w:r>
        <w:rPr>
          <w:rFonts w:ascii="SimSun" w:hAnsi="SimSun" w:eastAsia="SimSun" w:cs="SimSun"/>
          <w:sz w:val="21"/>
          <w:szCs w:val="21"/>
        </w:rPr>
        <w:t xml:space="preserve">  </w:t>
      </w:r>
      <w:r>
        <w:rPr>
          <w:rFonts w:ascii="SimSun" w:hAnsi="SimSun" w:eastAsia="SimSun" w:cs="SimSun"/>
          <w:sz w:val="21"/>
          <w:szCs w:val="21"/>
          <w:spacing w:val="-6"/>
        </w:rPr>
        <w:t>具备“四超”条件的平台：超大用户规模(在中</w:t>
      </w:r>
      <w:r>
        <w:rPr>
          <w:rFonts w:ascii="SimSun" w:hAnsi="SimSun" w:eastAsia="SimSun" w:cs="SimSun"/>
          <w:sz w:val="21"/>
          <w:szCs w:val="21"/>
          <w:spacing w:val="-7"/>
        </w:rPr>
        <w:t>国的上年度年活跃用 </w:t>
      </w:r>
      <w:r>
        <w:rPr>
          <w:rFonts w:ascii="SimSun" w:hAnsi="SimSun" w:eastAsia="SimSun" w:cs="SimSun"/>
          <w:sz w:val="21"/>
          <w:szCs w:val="21"/>
        </w:rPr>
        <w:t>户不低于5亿)、超广业务种类(核心业务至少涉及两类</w:t>
      </w:r>
      <w:r>
        <w:rPr>
          <w:rFonts w:ascii="SimSun" w:hAnsi="SimSun" w:eastAsia="SimSun" w:cs="SimSun"/>
          <w:sz w:val="21"/>
          <w:szCs w:val="21"/>
          <w:spacing w:val="-1"/>
        </w:rPr>
        <w:t>平台业务)、</w:t>
      </w:r>
      <w:r>
        <w:rPr>
          <w:rFonts w:ascii="SimSun" w:hAnsi="SimSun" w:eastAsia="SimSun" w:cs="SimSun"/>
          <w:sz w:val="21"/>
          <w:szCs w:val="21"/>
        </w:rPr>
        <w:t xml:space="preserve"> </w:t>
      </w:r>
      <w:r>
        <w:rPr>
          <w:rFonts w:ascii="SimSun" w:hAnsi="SimSun" w:eastAsia="SimSun" w:cs="SimSun"/>
          <w:sz w:val="21"/>
          <w:szCs w:val="21"/>
        </w:rPr>
        <w:t>超高经济体量(上年底市值或估值不低于1万亿元)和超强限制能力</w:t>
      </w:r>
    </w:p>
    <w:p>
      <w:pPr>
        <w:spacing w:line="300" w:lineRule="auto"/>
        <w:sectPr>
          <w:headerReference w:type="default" r:id="rId162"/>
          <w:pgSz w:w="7330" w:h="12480"/>
          <w:pgMar w:top="819" w:right="864" w:bottom="400" w:left="379" w:header="652"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(具有超强的限制商户接触消费者或用户的能力)的平台。</w:t>
      </w:r>
    </w:p>
    <w:p>
      <w:pPr>
        <w:ind w:left="20" w:right="65" w:firstLine="399"/>
        <w:spacing w:before="84" w:line="318" w:lineRule="auto"/>
        <w:jc w:val="both"/>
        <w:rPr>
          <w:rFonts w:ascii="SimSun" w:hAnsi="SimSun" w:eastAsia="SimSun" w:cs="SimSun"/>
          <w:sz w:val="21"/>
          <w:szCs w:val="21"/>
        </w:rPr>
      </w:pPr>
      <w:r>
        <w:rPr>
          <w:rFonts w:ascii="SimSun" w:hAnsi="SimSun" w:eastAsia="SimSun" w:cs="SimSun"/>
          <w:sz w:val="21"/>
          <w:szCs w:val="21"/>
          <w:spacing w:val="2"/>
        </w:rPr>
        <w:t>根据上年底市值(估值)不低于1万亿元的定义，阿里巴巴、腾</w:t>
      </w:r>
      <w:r>
        <w:rPr>
          <w:rFonts w:ascii="SimSun" w:hAnsi="SimSun" w:eastAsia="SimSun" w:cs="SimSun"/>
          <w:sz w:val="21"/>
          <w:szCs w:val="21"/>
          <w:spacing w:val="7"/>
        </w:rPr>
        <w:t xml:space="preserve"> </w:t>
      </w:r>
      <w:r>
        <w:rPr>
          <w:rFonts w:ascii="SimSun" w:hAnsi="SimSun" w:eastAsia="SimSun" w:cs="SimSun"/>
          <w:sz w:val="21"/>
          <w:szCs w:val="21"/>
          <w:spacing w:val="-10"/>
        </w:rPr>
        <w:t>讯、字节跳动、美团、拼多多等企业都将被纳入超级平台的监管</w:t>
      </w:r>
      <w:r>
        <w:rPr>
          <w:rFonts w:ascii="SimSun" w:hAnsi="SimSun" w:eastAsia="SimSun" w:cs="SimSun"/>
          <w:sz w:val="21"/>
          <w:szCs w:val="21"/>
          <w:spacing w:val="-11"/>
        </w:rPr>
        <w:t>。腾</w:t>
      </w:r>
      <w:r>
        <w:rPr>
          <w:rFonts w:ascii="SimSun" w:hAnsi="SimSun" w:eastAsia="SimSun" w:cs="SimSun"/>
          <w:sz w:val="21"/>
          <w:szCs w:val="21"/>
        </w:rPr>
        <w:t xml:space="preserve"> </w:t>
      </w:r>
      <w:r>
        <w:rPr>
          <w:rFonts w:ascii="SimSun" w:hAnsi="SimSun" w:eastAsia="SimSun" w:cs="SimSun"/>
          <w:sz w:val="21"/>
          <w:szCs w:val="21"/>
          <w:spacing w:val="-10"/>
        </w:rPr>
        <w:t>讯和阿里巴巴是中国当之无愧的平台巨头：腾讯截至2020年底的市值</w:t>
      </w:r>
      <w:r>
        <w:rPr>
          <w:rFonts w:ascii="SimSun" w:hAnsi="SimSun" w:eastAsia="SimSun" w:cs="SimSun"/>
          <w:sz w:val="21"/>
          <w:szCs w:val="21"/>
          <w:spacing w:val="16"/>
        </w:rPr>
        <w:t xml:space="preserve"> </w:t>
      </w:r>
      <w:r>
        <w:rPr>
          <w:rFonts w:ascii="SimSun" w:hAnsi="SimSun" w:eastAsia="SimSun" w:cs="SimSun"/>
          <w:sz w:val="21"/>
          <w:szCs w:val="21"/>
        </w:rPr>
        <w:t>为6997.8亿美元(约合人民币4.48万亿元),阿里巴巴市值为6483.2</w:t>
      </w:r>
      <w:r>
        <w:rPr>
          <w:rFonts w:ascii="SimSun" w:hAnsi="SimSun" w:eastAsia="SimSun" w:cs="SimSun"/>
          <w:sz w:val="21"/>
          <w:szCs w:val="21"/>
          <w:spacing w:val="17"/>
        </w:rPr>
        <w:t xml:space="preserve"> </w:t>
      </w:r>
      <w:r>
        <w:rPr>
          <w:rFonts w:ascii="SimSun" w:hAnsi="SimSun" w:eastAsia="SimSun" w:cs="SimSun"/>
          <w:sz w:val="21"/>
          <w:szCs w:val="21"/>
          <w:spacing w:val="4"/>
        </w:rPr>
        <w:t>亿美元(约合人民币4.15万亿元)。字节</w:t>
      </w:r>
      <w:r>
        <w:rPr>
          <w:rFonts w:ascii="SimSun" w:hAnsi="SimSun" w:eastAsia="SimSun" w:cs="SimSun"/>
          <w:sz w:val="21"/>
          <w:szCs w:val="21"/>
          <w:spacing w:val="3"/>
        </w:rPr>
        <w:t>跳动在2020年底的估值为</w:t>
      </w:r>
      <w:r>
        <w:rPr>
          <w:rFonts w:ascii="SimSun" w:hAnsi="SimSun" w:eastAsia="SimSun" w:cs="SimSun"/>
          <w:sz w:val="21"/>
          <w:szCs w:val="21"/>
        </w:rPr>
        <w:t xml:space="preserve"> </w:t>
      </w:r>
      <w:r>
        <w:rPr>
          <w:rFonts w:ascii="SimSun" w:hAnsi="SimSun" w:eastAsia="SimSun" w:cs="SimSun"/>
          <w:sz w:val="21"/>
          <w:szCs w:val="21"/>
          <w:spacing w:val="9"/>
        </w:rPr>
        <w:t>1800亿美元(约合人民币1.15万亿元),到2021年4</w:t>
      </w:r>
      <w:r>
        <w:rPr>
          <w:rFonts w:ascii="SimSun" w:hAnsi="SimSun" w:eastAsia="SimSun" w:cs="SimSun"/>
          <w:sz w:val="21"/>
          <w:szCs w:val="21"/>
          <w:spacing w:val="8"/>
        </w:rPr>
        <w:t>月的估值更是</w:t>
      </w:r>
      <w:r>
        <w:rPr>
          <w:rFonts w:ascii="SimSun" w:hAnsi="SimSun" w:eastAsia="SimSun" w:cs="SimSun"/>
          <w:sz w:val="21"/>
          <w:szCs w:val="21"/>
        </w:rPr>
        <w:t xml:space="preserve"> </w:t>
      </w:r>
      <w:r>
        <w:rPr>
          <w:rFonts w:ascii="SimSun" w:hAnsi="SimSun" w:eastAsia="SimSun" w:cs="SimSun"/>
          <w:sz w:val="21"/>
          <w:szCs w:val="21"/>
          <w:spacing w:val="3"/>
        </w:rPr>
        <w:t>暴涨到4000亿美元(约合人民币2.56万亿元)以上。美团于2018年</w:t>
      </w:r>
      <w:r>
        <w:rPr>
          <w:rFonts w:ascii="SimSun" w:hAnsi="SimSun" w:eastAsia="SimSun" w:cs="SimSun"/>
          <w:sz w:val="21"/>
          <w:szCs w:val="21"/>
          <w:spacing w:val="12"/>
        </w:rPr>
        <w:t xml:space="preserve"> </w:t>
      </w:r>
      <w:r>
        <w:rPr>
          <w:rFonts w:ascii="SimSun" w:hAnsi="SimSun" w:eastAsia="SimSun" w:cs="SimSun"/>
          <w:sz w:val="21"/>
          <w:szCs w:val="21"/>
          <w:spacing w:val="1"/>
        </w:rPr>
        <w:t>9月20日在港交所上市，截至2020年底的市</w:t>
      </w:r>
      <w:r>
        <w:rPr>
          <w:rFonts w:ascii="SimSun" w:hAnsi="SimSun" w:eastAsia="SimSun" w:cs="SimSun"/>
          <w:sz w:val="21"/>
          <w:szCs w:val="21"/>
        </w:rPr>
        <w:t>值为2231.4亿美元，约 </w:t>
      </w:r>
      <w:r>
        <w:rPr>
          <w:rFonts w:ascii="SimSun" w:hAnsi="SimSun" w:eastAsia="SimSun" w:cs="SimSun"/>
          <w:sz w:val="21"/>
          <w:szCs w:val="21"/>
        </w:rPr>
        <w:t>合人民币1.43万亿元。拼多多于2018年7月26日在美国纳斯达克上</w:t>
      </w:r>
    </w:p>
    <w:p>
      <w:pPr>
        <w:ind w:left="20"/>
        <w:spacing w:line="218" w:lineRule="auto"/>
        <w:rPr>
          <w:rFonts w:ascii="SimSun" w:hAnsi="SimSun" w:eastAsia="SimSun" w:cs="SimSun"/>
          <w:sz w:val="21"/>
          <w:szCs w:val="21"/>
        </w:rPr>
      </w:pPr>
      <w:r>
        <w:rPr>
          <w:rFonts w:ascii="SimSun" w:hAnsi="SimSun" w:eastAsia="SimSun" w:cs="SimSun"/>
          <w:sz w:val="21"/>
          <w:szCs w:val="21"/>
          <w:spacing w:val="-3"/>
        </w:rPr>
        <w:t>市，截至2020年底市值为2178亿美元，约合人民币1.4万亿元。</w:t>
      </w:r>
    </w:p>
    <w:p>
      <w:pPr>
        <w:ind w:left="20" w:firstLine="469"/>
        <w:spacing w:before="77" w:line="307" w:lineRule="auto"/>
        <w:jc w:val="both"/>
        <w:rPr>
          <w:rFonts w:ascii="SimSun" w:hAnsi="SimSun" w:eastAsia="SimSun" w:cs="SimSun"/>
          <w:sz w:val="21"/>
          <w:szCs w:val="21"/>
        </w:rPr>
      </w:pPr>
      <w:r>
        <w:rPr>
          <w:rFonts w:ascii="SimSun" w:hAnsi="SimSun" w:eastAsia="SimSun" w:cs="SimSun"/>
          <w:sz w:val="21"/>
          <w:szCs w:val="21"/>
          <w:spacing w:val="-10"/>
        </w:rPr>
        <w:t>京东、百度、滴滴都是在各自领域举足轻重的平台企业，虽</w:t>
      </w:r>
      <w:r>
        <w:rPr>
          <w:rFonts w:ascii="SimSun" w:hAnsi="SimSun" w:eastAsia="SimSun" w:cs="SimSun"/>
          <w:sz w:val="21"/>
          <w:szCs w:val="21"/>
          <w:spacing w:val="-11"/>
        </w:rPr>
        <w:t>然没</w:t>
      </w:r>
      <w:r>
        <w:rPr>
          <w:rFonts w:ascii="SimSun" w:hAnsi="SimSun" w:eastAsia="SimSun" w:cs="SimSun"/>
          <w:sz w:val="21"/>
          <w:szCs w:val="21"/>
        </w:rPr>
        <w:t xml:space="preserve"> </w:t>
      </w:r>
      <w:r>
        <w:rPr>
          <w:rFonts w:ascii="SimSun" w:hAnsi="SimSun" w:eastAsia="SimSun" w:cs="SimSun"/>
          <w:sz w:val="21"/>
          <w:szCs w:val="21"/>
          <w:spacing w:val="-3"/>
        </w:rPr>
        <w:t>有进入1万亿元市值的门槛，但它们对我们</w:t>
      </w:r>
      <w:r>
        <w:rPr>
          <w:rFonts w:ascii="SimSun" w:hAnsi="SimSun" w:eastAsia="SimSun" w:cs="SimSun"/>
          <w:sz w:val="21"/>
          <w:szCs w:val="21"/>
          <w:spacing w:val="-4"/>
        </w:rPr>
        <w:t>日常生活的影响并不弱。</w:t>
      </w:r>
      <w:r>
        <w:rPr>
          <w:rFonts w:ascii="SimSun" w:hAnsi="SimSun" w:eastAsia="SimSun" w:cs="SimSun"/>
          <w:sz w:val="21"/>
          <w:szCs w:val="21"/>
        </w:rPr>
        <w:t xml:space="preserve"> </w:t>
      </w:r>
      <w:r>
        <w:rPr>
          <w:rFonts w:ascii="SimSun" w:hAnsi="SimSun" w:eastAsia="SimSun" w:cs="SimSun"/>
          <w:sz w:val="21"/>
          <w:szCs w:val="21"/>
          <w:spacing w:val="7"/>
        </w:rPr>
        <w:t>京东集团于2014年5月22日在美国纳斯达克挂牌上市</w:t>
      </w:r>
      <w:r>
        <w:rPr>
          <w:rFonts w:ascii="SimSun" w:hAnsi="SimSun" w:eastAsia="SimSun" w:cs="SimSun"/>
          <w:sz w:val="21"/>
          <w:szCs w:val="21"/>
          <w:spacing w:val="6"/>
        </w:rPr>
        <w:t>，又于2020</w:t>
      </w:r>
      <w:r>
        <w:rPr>
          <w:rFonts w:ascii="SimSun" w:hAnsi="SimSun" w:eastAsia="SimSun" w:cs="SimSun"/>
          <w:sz w:val="21"/>
          <w:szCs w:val="21"/>
        </w:rPr>
        <w:t xml:space="preserve">  </w:t>
      </w:r>
      <w:r>
        <w:rPr>
          <w:rFonts w:ascii="SimSun" w:hAnsi="SimSun" w:eastAsia="SimSun" w:cs="SimSun"/>
          <w:sz w:val="21"/>
          <w:szCs w:val="21"/>
          <w:spacing w:val="3"/>
        </w:rPr>
        <w:t>年6月18日在港交所挂牌上市，截至2020</w:t>
      </w:r>
      <w:r>
        <w:rPr>
          <w:rFonts w:ascii="SimSun" w:hAnsi="SimSun" w:eastAsia="SimSun" w:cs="SimSun"/>
          <w:sz w:val="21"/>
          <w:szCs w:val="21"/>
          <w:spacing w:val="2"/>
        </w:rPr>
        <w:t>年底市值为1373亿美元，</w:t>
      </w:r>
      <w:r>
        <w:rPr>
          <w:rFonts w:ascii="SimSun" w:hAnsi="SimSun" w:eastAsia="SimSun" w:cs="SimSun"/>
          <w:sz w:val="21"/>
          <w:szCs w:val="21"/>
        </w:rPr>
        <w:t xml:space="preserve"> </w:t>
      </w:r>
      <w:r>
        <w:rPr>
          <w:rFonts w:ascii="SimSun" w:hAnsi="SimSun" w:eastAsia="SimSun" w:cs="SimSun"/>
          <w:sz w:val="21"/>
          <w:szCs w:val="21"/>
          <w:spacing w:val="10"/>
        </w:rPr>
        <w:t>约合人民币8790亿元。百度2005年8月5日在美国纳斯达克交易 </w:t>
      </w:r>
      <w:r>
        <w:rPr>
          <w:rFonts w:ascii="SimSun" w:hAnsi="SimSun" w:eastAsia="SimSun" w:cs="SimSun"/>
          <w:sz w:val="21"/>
          <w:szCs w:val="21"/>
          <w:spacing w:val="7"/>
        </w:rPr>
        <w:t>所上市，又于2021年3月23日在港交所二次上市。以2020</w:t>
      </w:r>
      <w:r>
        <w:rPr>
          <w:rFonts w:ascii="SimSun" w:hAnsi="SimSun" w:eastAsia="SimSun" w:cs="SimSun"/>
          <w:sz w:val="21"/>
          <w:szCs w:val="21"/>
          <w:spacing w:val="6"/>
        </w:rPr>
        <w:t>年底的 </w:t>
      </w:r>
      <w:r>
        <w:rPr>
          <w:rFonts w:ascii="SimSun" w:hAnsi="SimSun" w:eastAsia="SimSun" w:cs="SimSun"/>
          <w:sz w:val="21"/>
          <w:szCs w:val="21"/>
        </w:rPr>
        <w:t>股价计算，百度的市值为737.5亿美元，约合人民币4722亿元。滴</w:t>
      </w:r>
      <w:r>
        <w:rPr>
          <w:rFonts w:ascii="SimSun" w:hAnsi="SimSun" w:eastAsia="SimSun" w:cs="SimSun"/>
          <w:sz w:val="21"/>
          <w:szCs w:val="21"/>
          <w:spacing w:val="6"/>
        </w:rPr>
        <w:t xml:space="preserve">  </w:t>
      </w:r>
      <w:r>
        <w:rPr>
          <w:rFonts w:ascii="SimSun" w:hAnsi="SimSun" w:eastAsia="SimSun" w:cs="SimSun"/>
          <w:sz w:val="21"/>
          <w:szCs w:val="21"/>
        </w:rPr>
        <w:t>滴出行于美国时间2021年6月30日在纽交所上市，开盘后市值一度</w:t>
      </w:r>
      <w:r>
        <w:rPr>
          <w:rFonts w:ascii="SimSun" w:hAnsi="SimSun" w:eastAsia="SimSun" w:cs="SimSun"/>
          <w:sz w:val="21"/>
          <w:szCs w:val="21"/>
          <w:spacing w:val="8"/>
        </w:rPr>
        <w:t xml:space="preserve">  </w:t>
      </w:r>
      <w:r>
        <w:rPr>
          <w:rFonts w:ascii="SimSun" w:hAnsi="SimSun" w:eastAsia="SimSun" w:cs="SimSun"/>
          <w:sz w:val="21"/>
          <w:szCs w:val="21"/>
          <w:spacing w:val="4"/>
        </w:rPr>
        <w:t>超过5000亿元，但在监管重拳出击后，市值暴跌，截至2</w:t>
      </w:r>
      <w:r>
        <w:rPr>
          <w:rFonts w:ascii="SimSun" w:hAnsi="SimSun" w:eastAsia="SimSun" w:cs="SimSun"/>
          <w:sz w:val="21"/>
          <w:szCs w:val="21"/>
          <w:spacing w:val="3"/>
        </w:rPr>
        <w:t>021年11 </w:t>
      </w:r>
      <w:r>
        <w:rPr>
          <w:rFonts w:ascii="SimSun" w:hAnsi="SimSun" w:eastAsia="SimSun" w:cs="SimSun"/>
          <w:sz w:val="21"/>
          <w:szCs w:val="21"/>
          <w:spacing w:val="4"/>
        </w:rPr>
        <w:t>月5日的市值为397亿美元，约合人民币2544亿元。</w:t>
      </w:r>
    </w:p>
    <w:p>
      <w:pPr>
        <w:ind w:left="20" w:right="27" w:firstLine="459"/>
        <w:spacing w:before="134" w:line="300" w:lineRule="auto"/>
        <w:jc w:val="both"/>
        <w:rPr>
          <w:rFonts w:ascii="Times New Roman" w:hAnsi="Times New Roman" w:eastAsia="Times New Roman" w:cs="Times New Roman"/>
          <w:sz w:val="21"/>
          <w:szCs w:val="21"/>
        </w:rPr>
      </w:pPr>
      <w:r>
        <w:rPr>
          <w:rFonts w:ascii="SimSun" w:hAnsi="SimSun" w:eastAsia="SimSun" w:cs="SimSun"/>
          <w:sz w:val="21"/>
          <w:szCs w:val="21"/>
          <w:spacing w:val="-10"/>
        </w:rPr>
        <w:t>尽管百度和滴滴等企业的市值并没有达到超级平台的标准，但从</w:t>
      </w:r>
      <w:r>
        <w:rPr>
          <w:rFonts w:ascii="SimSun" w:hAnsi="SimSun" w:eastAsia="SimSun" w:cs="SimSun"/>
          <w:sz w:val="21"/>
          <w:szCs w:val="21"/>
          <w:spacing w:val="6"/>
        </w:rPr>
        <w:t xml:space="preserve"> </w:t>
      </w:r>
      <w:r>
        <w:rPr>
          <w:rFonts w:ascii="SimSun" w:hAnsi="SimSun" w:eastAsia="SimSun" w:cs="SimSun"/>
          <w:sz w:val="21"/>
          <w:szCs w:val="21"/>
          <w:spacing w:val="-10"/>
        </w:rPr>
        <w:t>市场影响力角度来看，它们仍然占据非常重要的地</w:t>
      </w:r>
      <w:r>
        <w:rPr>
          <w:rFonts w:ascii="SimSun" w:hAnsi="SimSun" w:eastAsia="SimSun" w:cs="SimSun"/>
          <w:sz w:val="21"/>
          <w:szCs w:val="21"/>
          <w:spacing w:val="-11"/>
        </w:rPr>
        <w:t>位。百度在中国搜 </w:t>
      </w:r>
      <w:r>
        <w:rPr>
          <w:rFonts w:ascii="SimSun" w:hAnsi="SimSun" w:eastAsia="SimSun" w:cs="SimSun"/>
          <w:sz w:val="21"/>
          <w:szCs w:val="21"/>
          <w:spacing w:val="-10"/>
        </w:rPr>
        <w:t>索引擎领域占据绝对优势地位，其业务对标美国的</w:t>
      </w:r>
      <w:r>
        <w:rPr>
          <w:rFonts w:ascii="SimSun" w:hAnsi="SimSun" w:eastAsia="SimSun" w:cs="SimSun"/>
          <w:sz w:val="21"/>
          <w:szCs w:val="21"/>
          <w:spacing w:val="-11"/>
        </w:rPr>
        <w:t>谷歌。较低的市值 </w:t>
      </w:r>
      <w:r>
        <w:rPr>
          <w:rFonts w:ascii="SimSun" w:hAnsi="SimSun" w:eastAsia="SimSun" w:cs="SimSun"/>
          <w:sz w:val="21"/>
          <w:szCs w:val="21"/>
          <w:spacing w:val="-10"/>
        </w:rPr>
        <w:t>反映的主要是公司自身定位和运营与市场预期的差</w:t>
      </w:r>
      <w:r>
        <w:rPr>
          <w:rFonts w:ascii="SimSun" w:hAnsi="SimSun" w:eastAsia="SimSun" w:cs="SimSun"/>
          <w:sz w:val="21"/>
          <w:szCs w:val="21"/>
          <w:spacing w:val="-11"/>
        </w:rPr>
        <w:t>异，而不是对其垄 </w:t>
      </w:r>
      <w:r>
        <w:rPr>
          <w:rFonts w:ascii="SimSun" w:hAnsi="SimSun" w:eastAsia="SimSun" w:cs="SimSun"/>
          <w:sz w:val="21"/>
          <w:szCs w:val="21"/>
          <w:spacing w:val="-10"/>
        </w:rPr>
        <w:t>断地位的否定。搜索引擎是重要的信息门户入口，</w:t>
      </w:r>
      <w:r>
        <w:rPr>
          <w:rFonts w:ascii="SimSun" w:hAnsi="SimSun" w:eastAsia="SimSun" w:cs="SimSun"/>
          <w:sz w:val="21"/>
          <w:szCs w:val="21"/>
          <w:spacing w:val="-11"/>
        </w:rPr>
        <w:t>已经成为互联网时 </w:t>
      </w:r>
      <w:r>
        <w:rPr>
          <w:rFonts w:ascii="SimSun" w:hAnsi="SimSun" w:eastAsia="SimSun" w:cs="SimSun"/>
          <w:sz w:val="21"/>
          <w:szCs w:val="21"/>
          <w:spacing w:val="-3"/>
        </w:rPr>
        <w:t>代的基础设施。值得注意的是，作为曾经的中国互联网三巨头</w:t>
      </w:r>
      <w:r>
        <w:rPr>
          <w:rFonts w:ascii="Times New Roman" w:hAnsi="Times New Roman" w:eastAsia="Times New Roman" w:cs="Times New Roman"/>
          <w:sz w:val="21"/>
          <w:szCs w:val="21"/>
          <w:spacing w:val="-3"/>
        </w:rPr>
        <w:t>BAT</w:t>
      </w:r>
    </w:p>
    <w:p>
      <w:pPr>
        <w:spacing w:line="300" w:lineRule="auto"/>
        <w:sectPr>
          <w:headerReference w:type="default" r:id="rId163"/>
          <w:pgSz w:w="7330" w:h="12480"/>
          <w:pgMar w:top="557" w:right="514" w:bottom="400" w:left="700" w:header="395" w:footer="0" w:gutter="0"/>
        </w:sectPr>
        <w:rPr>
          <w:rFonts w:ascii="Times New Roman" w:hAnsi="Times New Roman" w:eastAsia="Times New Roman" w:cs="Times New Roman"/>
          <w:sz w:val="21"/>
          <w:szCs w:val="21"/>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52"/>
        <w:spacing w:before="68" w:line="303" w:lineRule="auto"/>
        <w:jc w:val="both"/>
        <w:rPr>
          <w:rFonts w:ascii="SimSun" w:hAnsi="SimSun" w:eastAsia="SimSun" w:cs="SimSun"/>
          <w:sz w:val="21"/>
          <w:szCs w:val="21"/>
        </w:rPr>
      </w:pPr>
      <w:r>
        <w:rPr>
          <w:rFonts w:ascii="SimSun" w:hAnsi="SimSun" w:eastAsia="SimSun" w:cs="SimSun"/>
          <w:sz w:val="21"/>
          <w:szCs w:val="21"/>
          <w:spacing w:val="-4"/>
        </w:rPr>
        <w:t>之一，百度在市值和消费互联网布局上已经被阿里巴巴、腾讯甩在</w:t>
      </w:r>
      <w:r>
        <w:rPr>
          <w:rFonts w:ascii="SimSun" w:hAnsi="SimSun" w:eastAsia="SimSun" w:cs="SimSun"/>
          <w:sz w:val="21"/>
          <w:szCs w:val="21"/>
          <w:spacing w:val="14"/>
        </w:rPr>
        <w:t xml:space="preserve"> </w:t>
      </w:r>
      <w:r>
        <w:rPr>
          <w:rFonts w:ascii="SimSun" w:hAnsi="SimSun" w:eastAsia="SimSun" w:cs="SimSun"/>
          <w:sz w:val="21"/>
          <w:szCs w:val="21"/>
          <w:spacing w:val="-2"/>
        </w:rPr>
        <w:t>身后。按照港股市值计算，百度的市值只有腾讯的大约</w:t>
      </w:r>
      <w:r>
        <w:rPr>
          <w:rFonts w:ascii="SimSun" w:hAnsi="SimSun" w:eastAsia="SimSun" w:cs="SimSun"/>
          <w:sz w:val="21"/>
          <w:szCs w:val="21"/>
          <w:spacing w:val="-3"/>
        </w:rPr>
        <w:t>1/9,阿里巴</w:t>
      </w:r>
      <w:r>
        <w:rPr>
          <w:rFonts w:ascii="SimSun" w:hAnsi="SimSun" w:eastAsia="SimSun" w:cs="SimSun"/>
          <w:sz w:val="21"/>
          <w:szCs w:val="21"/>
        </w:rPr>
        <w:t xml:space="preserve"> </w:t>
      </w:r>
      <w:r>
        <w:rPr>
          <w:rFonts w:ascii="SimSun" w:hAnsi="SimSun" w:eastAsia="SimSun" w:cs="SimSun"/>
          <w:sz w:val="21"/>
          <w:szCs w:val="21"/>
          <w:spacing w:val="-2"/>
        </w:rPr>
        <w:t>巴的大约1/7。但百度在人工智能</w:t>
      </w:r>
      <w:r>
        <w:rPr>
          <w:rFonts w:ascii="Times New Roman" w:hAnsi="Times New Roman" w:eastAsia="Times New Roman" w:cs="Times New Roman"/>
          <w:sz w:val="21"/>
          <w:szCs w:val="21"/>
          <w:spacing w:val="-2"/>
        </w:rPr>
        <w:t>(AI)</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 自动驾驶等新兴技术上投</w:t>
      </w:r>
      <w:r>
        <w:rPr>
          <w:rFonts w:ascii="SimSun" w:hAnsi="SimSun" w:eastAsia="SimSun" w:cs="SimSun"/>
          <w:sz w:val="21"/>
          <w:szCs w:val="21"/>
        </w:rPr>
        <w:t xml:space="preserve"> </w:t>
      </w:r>
      <w:r>
        <w:rPr>
          <w:rFonts w:ascii="SimSun" w:hAnsi="SimSun" w:eastAsia="SimSun" w:cs="SimSun"/>
          <w:sz w:val="21"/>
          <w:szCs w:val="21"/>
          <w:spacing w:val="-11"/>
        </w:rPr>
        <w:t>入较多，品牌定位也变为“有互联网基础的</w:t>
      </w:r>
      <w:r>
        <w:rPr>
          <w:rFonts w:ascii="Times New Roman" w:hAnsi="Times New Roman" w:eastAsia="Times New Roman" w:cs="Times New Roman"/>
          <w:sz w:val="21"/>
          <w:szCs w:val="21"/>
          <w:spacing w:val="-11"/>
        </w:rPr>
        <w:t>AI</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1"/>
        </w:rPr>
        <w:t>公</w:t>
      </w:r>
      <w:r>
        <w:rPr>
          <w:rFonts w:ascii="SimSun" w:hAnsi="SimSun" w:eastAsia="SimSun" w:cs="SimSun"/>
          <w:sz w:val="21"/>
          <w:szCs w:val="21"/>
          <w:spacing w:val="-12"/>
        </w:rPr>
        <w:t>司”。李彦宏称，百</w:t>
      </w:r>
      <w:r>
        <w:rPr>
          <w:rFonts w:ascii="SimSun" w:hAnsi="SimSun" w:eastAsia="SimSun" w:cs="SimSun"/>
          <w:sz w:val="21"/>
          <w:szCs w:val="21"/>
        </w:rPr>
        <w:t xml:space="preserve"> </w:t>
      </w:r>
      <w:r>
        <w:rPr>
          <w:rFonts w:ascii="SimSun" w:hAnsi="SimSun" w:eastAsia="SimSun" w:cs="SimSun"/>
          <w:sz w:val="21"/>
          <w:szCs w:val="21"/>
          <w:spacing w:val="-10"/>
        </w:rPr>
        <w:t>度的大部分营收最终将来自搜索和广告以外的领域。滴滴在出</w:t>
      </w:r>
      <w:r>
        <w:rPr>
          <w:rFonts w:ascii="SimSun" w:hAnsi="SimSun" w:eastAsia="SimSun" w:cs="SimSun"/>
          <w:sz w:val="21"/>
          <w:szCs w:val="21"/>
          <w:spacing w:val="-11"/>
        </w:rPr>
        <w:t>行领域</w:t>
      </w:r>
      <w:r>
        <w:rPr>
          <w:rFonts w:ascii="SimSun" w:hAnsi="SimSun" w:eastAsia="SimSun" w:cs="SimSun"/>
          <w:sz w:val="21"/>
          <w:szCs w:val="21"/>
        </w:rPr>
        <w:t xml:space="preserve"> </w:t>
      </w:r>
      <w:r>
        <w:rPr>
          <w:rFonts w:ascii="SimSun" w:hAnsi="SimSun" w:eastAsia="SimSun" w:cs="SimSun"/>
          <w:sz w:val="21"/>
          <w:szCs w:val="21"/>
          <w:spacing w:val="-10"/>
        </w:rPr>
        <w:t>同样占有绝大部分的市场份额，对人们的日常出行和城市交通</w:t>
      </w:r>
      <w:r>
        <w:rPr>
          <w:rFonts w:ascii="SimSun" w:hAnsi="SimSun" w:eastAsia="SimSun" w:cs="SimSun"/>
          <w:sz w:val="21"/>
          <w:szCs w:val="21"/>
          <w:spacing w:val="-11"/>
        </w:rPr>
        <w:t>有着举</w:t>
      </w:r>
      <w:r>
        <w:rPr>
          <w:rFonts w:ascii="SimSun" w:hAnsi="SimSun" w:eastAsia="SimSun" w:cs="SimSun"/>
          <w:sz w:val="21"/>
          <w:szCs w:val="21"/>
        </w:rPr>
        <w:t xml:space="preserve"> </w:t>
      </w:r>
      <w:r>
        <w:rPr>
          <w:rFonts w:ascii="SimSun" w:hAnsi="SimSun" w:eastAsia="SimSun" w:cs="SimSun"/>
          <w:sz w:val="21"/>
          <w:szCs w:val="21"/>
          <w:spacing w:val="-10"/>
        </w:rPr>
        <w:t>足轻重的影响，并不逊于美团在本地生活方面的地位，其重要</w:t>
      </w:r>
      <w:r>
        <w:rPr>
          <w:rFonts w:ascii="SimSun" w:hAnsi="SimSun" w:eastAsia="SimSun" w:cs="SimSun"/>
          <w:sz w:val="21"/>
          <w:szCs w:val="21"/>
          <w:spacing w:val="-11"/>
        </w:rPr>
        <w:t>性不应</w:t>
      </w:r>
      <w:r>
        <w:rPr>
          <w:rFonts w:ascii="SimSun" w:hAnsi="SimSun" w:eastAsia="SimSun" w:cs="SimSun"/>
          <w:sz w:val="21"/>
          <w:szCs w:val="21"/>
        </w:rPr>
        <w:t xml:space="preserve"> </w:t>
      </w:r>
      <w:r>
        <w:rPr>
          <w:rFonts w:ascii="SimSun" w:hAnsi="SimSun" w:eastAsia="SimSun" w:cs="SimSun"/>
          <w:sz w:val="21"/>
          <w:szCs w:val="21"/>
          <w:spacing w:val="-11"/>
        </w:rPr>
        <w:t>该因为公司本身市值较低而被忽视。</w:t>
      </w:r>
    </w:p>
    <w:p>
      <w:pPr>
        <w:ind w:firstLine="409"/>
        <w:spacing w:before="120" w:line="301" w:lineRule="auto"/>
        <w:jc w:val="both"/>
        <w:rPr>
          <w:rFonts w:ascii="SimSun" w:hAnsi="SimSun" w:eastAsia="SimSun" w:cs="SimSun"/>
          <w:sz w:val="21"/>
          <w:szCs w:val="21"/>
        </w:rPr>
      </w:pPr>
      <w:r>
        <w:rPr>
          <w:rFonts w:ascii="SimSun" w:hAnsi="SimSun" w:eastAsia="SimSun" w:cs="SimSun"/>
          <w:sz w:val="21"/>
          <w:szCs w:val="21"/>
          <w:spacing w:val="-3"/>
        </w:rPr>
        <w:t>超级平台与大型平台在市值上有将近10倍的差异，但征</w:t>
      </w:r>
      <w:r>
        <w:rPr>
          <w:rFonts w:ascii="SimSun" w:hAnsi="SimSun" w:eastAsia="SimSun" w:cs="SimSun"/>
          <w:sz w:val="21"/>
          <w:szCs w:val="21"/>
          <w:spacing w:val="-4"/>
        </w:rPr>
        <w:t>求意见 </w:t>
      </w:r>
      <w:r>
        <w:rPr>
          <w:rFonts w:ascii="SimSun" w:hAnsi="SimSun" w:eastAsia="SimSun" w:cs="SimSun"/>
          <w:sz w:val="21"/>
          <w:szCs w:val="21"/>
          <w:spacing w:val="-7"/>
        </w:rPr>
        <w:t>稿中对其监管要求一致。把监管范围放在市值1000亿元以上的</w:t>
      </w:r>
      <w:r>
        <w:rPr>
          <w:rFonts w:ascii="SimSun" w:hAnsi="SimSun" w:eastAsia="SimSun" w:cs="SimSun"/>
          <w:sz w:val="21"/>
          <w:szCs w:val="21"/>
          <w:spacing w:val="-8"/>
        </w:rPr>
        <w:t>平台，</w:t>
      </w:r>
      <w:r>
        <w:rPr>
          <w:rFonts w:ascii="SimSun" w:hAnsi="SimSun" w:eastAsia="SimSun" w:cs="SimSun"/>
          <w:sz w:val="21"/>
          <w:szCs w:val="21"/>
        </w:rPr>
        <w:t xml:space="preserve"> </w:t>
      </w:r>
      <w:r>
        <w:rPr>
          <w:rFonts w:ascii="SimSun" w:hAnsi="SimSun" w:eastAsia="SimSun" w:cs="SimSun"/>
          <w:sz w:val="21"/>
          <w:szCs w:val="21"/>
          <w:spacing w:val="-10"/>
        </w:rPr>
        <w:t>就涉及了更多的企业，如果分级监管，是否应该对超级平台和大型</w:t>
      </w:r>
      <w:r>
        <w:rPr>
          <w:rFonts w:ascii="SimSun" w:hAnsi="SimSun" w:eastAsia="SimSun" w:cs="SimSun"/>
          <w:sz w:val="21"/>
          <w:szCs w:val="21"/>
          <w:spacing w:val="-11"/>
        </w:rPr>
        <w:t>平 </w:t>
      </w:r>
      <w:r>
        <w:rPr>
          <w:rFonts w:ascii="SimSun" w:hAnsi="SimSun" w:eastAsia="SimSun" w:cs="SimSun"/>
          <w:sz w:val="21"/>
          <w:szCs w:val="21"/>
          <w:spacing w:val="-7"/>
        </w:rPr>
        <w:t>台的监管政策进行更细化的分类?一方面是要落实平台在双边市场中</w:t>
      </w:r>
      <w:r>
        <w:rPr>
          <w:rFonts w:ascii="SimSun" w:hAnsi="SimSun" w:eastAsia="SimSun" w:cs="SimSun"/>
          <w:sz w:val="21"/>
          <w:szCs w:val="21"/>
          <w:spacing w:val="6"/>
        </w:rPr>
        <w:t xml:space="preserve"> </w:t>
      </w:r>
      <w:r>
        <w:rPr>
          <w:rFonts w:ascii="SimSun" w:hAnsi="SimSun" w:eastAsia="SimSun" w:cs="SimSun"/>
          <w:sz w:val="21"/>
          <w:szCs w:val="21"/>
          <w:spacing w:val="-10"/>
        </w:rPr>
        <w:t>连接供给与需求双方的责任，保护这个平台上商家的权益、消费者</w:t>
      </w:r>
      <w:r>
        <w:rPr>
          <w:rFonts w:ascii="SimSun" w:hAnsi="SimSun" w:eastAsia="SimSun" w:cs="SimSun"/>
          <w:sz w:val="21"/>
          <w:szCs w:val="21"/>
          <w:spacing w:val="-11"/>
        </w:rPr>
        <w:t>的 </w:t>
      </w:r>
      <w:r>
        <w:rPr>
          <w:rFonts w:ascii="SimSun" w:hAnsi="SimSun" w:eastAsia="SimSun" w:cs="SimSun"/>
          <w:sz w:val="21"/>
          <w:szCs w:val="21"/>
          <w:spacing w:val="-8"/>
        </w:rPr>
        <w:t>权益、劳动者的权益，同时还要权衡这会不会给平台企业造成负担，</w:t>
      </w:r>
      <w:r>
        <w:rPr>
          <w:rFonts w:ascii="SimSun" w:hAnsi="SimSun" w:eastAsia="SimSun" w:cs="SimSun"/>
          <w:sz w:val="21"/>
          <w:szCs w:val="21"/>
          <w:spacing w:val="13"/>
        </w:rPr>
        <w:t xml:space="preserve"> </w:t>
      </w:r>
      <w:r>
        <w:rPr>
          <w:rFonts w:ascii="SimSun" w:hAnsi="SimSun" w:eastAsia="SimSun" w:cs="SimSun"/>
          <w:sz w:val="21"/>
          <w:szCs w:val="21"/>
          <w:spacing w:val="-15"/>
        </w:rPr>
        <w:t>从而影响这个平台的进一步发展以及阻碍创新的情况出现。</w:t>
      </w:r>
      <w:r>
        <w:rPr>
          <w:rFonts w:ascii="SimSun" w:hAnsi="SimSun" w:eastAsia="SimSun" w:cs="SimSun"/>
          <w:sz w:val="21"/>
          <w:szCs w:val="21"/>
          <w:spacing w:val="48"/>
        </w:rPr>
        <w:t xml:space="preserve"> </w:t>
      </w:r>
      <w:r>
        <w:rPr>
          <w:rFonts w:ascii="SimSun" w:hAnsi="SimSun" w:eastAsia="SimSun" w:cs="SimSun"/>
          <w:sz w:val="21"/>
          <w:szCs w:val="21"/>
          <w:spacing w:val="-15"/>
        </w:rPr>
        <w:t>一刀切的 </w:t>
      </w:r>
      <w:r>
        <w:rPr>
          <w:rFonts w:ascii="SimSun" w:hAnsi="SimSun" w:eastAsia="SimSun" w:cs="SimSun"/>
          <w:sz w:val="21"/>
          <w:szCs w:val="21"/>
          <w:spacing w:val="-10"/>
        </w:rPr>
        <w:t>监管政策不适合带有赢者通吃性质且动态演进迅速的平台经济。迁</w:t>
      </w:r>
      <w:r>
        <w:rPr>
          <w:rFonts w:ascii="SimSun" w:hAnsi="SimSun" w:eastAsia="SimSun" w:cs="SimSun"/>
          <w:sz w:val="21"/>
          <w:szCs w:val="21"/>
          <w:spacing w:val="-11"/>
        </w:rPr>
        <w:t>就 </w:t>
      </w:r>
      <w:r>
        <w:rPr>
          <w:rFonts w:ascii="SimSun" w:hAnsi="SimSun" w:eastAsia="SimSun" w:cs="SimSun"/>
          <w:sz w:val="21"/>
          <w:szCs w:val="21"/>
          <w:spacing w:val="-3"/>
        </w:rPr>
        <w:t>大型平台的政策注定比较松，难以管住头部超级平台，实现政策目</w:t>
      </w:r>
      <w:r>
        <w:rPr>
          <w:rFonts w:ascii="SimSun" w:hAnsi="SimSun" w:eastAsia="SimSun" w:cs="SimSun"/>
          <w:sz w:val="21"/>
          <w:szCs w:val="21"/>
          <w:spacing w:val="5"/>
        </w:rPr>
        <w:t xml:space="preserve"> </w:t>
      </w:r>
      <w:r>
        <w:rPr>
          <w:rFonts w:ascii="SimSun" w:hAnsi="SimSun" w:eastAsia="SimSun" w:cs="SimSun"/>
          <w:sz w:val="21"/>
          <w:szCs w:val="21"/>
          <w:spacing w:val="-10"/>
        </w:rPr>
        <w:t>标；而以管住超级平台为目标的监管政策又会给垄断势力远低于超</w:t>
      </w:r>
      <w:r>
        <w:rPr>
          <w:rFonts w:ascii="SimSun" w:hAnsi="SimSun" w:eastAsia="SimSun" w:cs="SimSun"/>
          <w:sz w:val="21"/>
          <w:szCs w:val="21"/>
          <w:spacing w:val="-11"/>
        </w:rPr>
        <w:t>级 </w:t>
      </w:r>
      <w:r>
        <w:rPr>
          <w:rFonts w:ascii="SimSun" w:hAnsi="SimSun" w:eastAsia="SimSun" w:cs="SimSun"/>
          <w:sz w:val="21"/>
          <w:szCs w:val="21"/>
          <w:spacing w:val="-10"/>
        </w:rPr>
        <w:t>平台的大型平台带来合规负担。平台分级表明监管部门已经意识到了</w:t>
      </w:r>
      <w:r>
        <w:rPr>
          <w:rFonts w:ascii="SimSun" w:hAnsi="SimSun" w:eastAsia="SimSun" w:cs="SimSun"/>
          <w:sz w:val="21"/>
          <w:szCs w:val="21"/>
          <w:spacing w:val="15"/>
        </w:rPr>
        <w:t xml:space="preserve"> </w:t>
      </w:r>
      <w:r>
        <w:rPr>
          <w:rFonts w:ascii="SimSun" w:hAnsi="SimSun" w:eastAsia="SimSun" w:cs="SimSun"/>
          <w:sz w:val="21"/>
          <w:szCs w:val="21"/>
          <w:spacing w:val="-10"/>
        </w:rPr>
        <w:t>不同平台企业的差异化发展，那么监管政策就同样应该分级，让分</w:t>
      </w:r>
      <w:r>
        <w:rPr>
          <w:rFonts w:ascii="SimSun" w:hAnsi="SimSun" w:eastAsia="SimSun" w:cs="SimSun"/>
          <w:sz w:val="21"/>
          <w:szCs w:val="21"/>
          <w:spacing w:val="-11"/>
        </w:rPr>
        <w:t>级 </w:t>
      </w:r>
      <w:r>
        <w:rPr>
          <w:rFonts w:ascii="SimSun" w:hAnsi="SimSun" w:eastAsia="SimSun" w:cs="SimSun"/>
          <w:sz w:val="21"/>
          <w:szCs w:val="21"/>
          <w:spacing w:val="-12"/>
        </w:rPr>
        <w:t>真正发挥效力。</w:t>
      </w:r>
    </w:p>
    <w:p>
      <w:pPr>
        <w:pStyle w:val="BodyText"/>
        <w:spacing w:line="460" w:lineRule="auto"/>
        <w:rPr/>
      </w:pPr>
      <w:r/>
    </w:p>
    <w:p>
      <w:pPr>
        <w:ind w:left="964"/>
        <w:spacing w:before="107" w:line="727" w:lineRule="exact"/>
        <w:rPr>
          <w:rFonts w:ascii="SimSun" w:hAnsi="SimSun" w:eastAsia="SimSun" w:cs="SimSun"/>
          <w:sz w:val="33"/>
          <w:szCs w:val="33"/>
        </w:rPr>
      </w:pPr>
      <w:r>
        <w:rPr>
          <w:rFonts w:ascii="SimSun" w:hAnsi="SimSun" w:eastAsia="SimSun" w:cs="SimSun"/>
          <w:sz w:val="33"/>
          <w:szCs w:val="33"/>
          <w:b/>
          <w:bCs/>
          <w:spacing w:val="-15"/>
          <w:position w:val="30"/>
        </w:rPr>
        <w:t>中美平台经济的可竞争性对比</w:t>
      </w:r>
    </w:p>
    <w:p>
      <w:pPr>
        <w:ind w:left="3"/>
        <w:spacing w:line="221" w:lineRule="auto"/>
        <w:rPr>
          <w:rFonts w:ascii="SimHei" w:hAnsi="SimHei" w:eastAsia="SimHei" w:cs="SimHei"/>
          <w:sz w:val="25"/>
          <w:szCs w:val="25"/>
        </w:rPr>
      </w:pPr>
      <w:r>
        <w:rPr>
          <w:rFonts w:ascii="SimHei" w:hAnsi="SimHei" w:eastAsia="SimHei" w:cs="SimHei"/>
          <w:sz w:val="25"/>
          <w:szCs w:val="25"/>
          <w:b/>
          <w:bCs/>
          <w:spacing w:val="-15"/>
        </w:rPr>
        <w:t>可竞争性理论</w:t>
      </w:r>
    </w:p>
    <w:p>
      <w:pPr>
        <w:pStyle w:val="BodyText"/>
        <w:spacing w:line="372" w:lineRule="auto"/>
        <w:rPr/>
      </w:pPr>
      <w:r/>
    </w:p>
    <w:p>
      <w:pPr>
        <w:ind w:left="420"/>
        <w:spacing w:before="69" w:line="219" w:lineRule="auto"/>
        <w:rPr>
          <w:rFonts w:ascii="SimSun" w:hAnsi="SimSun" w:eastAsia="SimSun" w:cs="SimSun"/>
          <w:sz w:val="21"/>
          <w:szCs w:val="21"/>
        </w:rPr>
      </w:pPr>
      <w:r>
        <w:rPr>
          <w:rFonts w:ascii="SimSun" w:hAnsi="SimSun" w:eastAsia="SimSun" w:cs="SimSun"/>
          <w:sz w:val="21"/>
          <w:szCs w:val="21"/>
          <w:spacing w:val="-3"/>
        </w:rPr>
        <w:t>经济学中对于双边市场、网络效应、市场结构</w:t>
      </w:r>
      <w:r>
        <w:rPr>
          <w:rFonts w:ascii="SimSun" w:hAnsi="SimSun" w:eastAsia="SimSun" w:cs="SimSun"/>
          <w:sz w:val="21"/>
          <w:szCs w:val="21"/>
          <w:spacing w:val="-4"/>
        </w:rPr>
        <w:t>和反垄断政策有</w:t>
      </w:r>
    </w:p>
    <w:p>
      <w:pPr>
        <w:spacing w:line="219" w:lineRule="auto"/>
        <w:sectPr>
          <w:headerReference w:type="default" r:id="rId164"/>
          <w:pgSz w:w="7330" w:h="12480"/>
          <w:pgMar w:top="829" w:right="955" w:bottom="400" w:left="300" w:header="651"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left="2" w:right="67"/>
        <w:spacing w:before="68" w:line="292" w:lineRule="auto"/>
        <w:jc w:val="both"/>
        <w:rPr>
          <w:rFonts w:ascii="SimSun" w:hAnsi="SimSun" w:eastAsia="SimSun" w:cs="SimSun"/>
          <w:sz w:val="21"/>
          <w:szCs w:val="21"/>
        </w:rPr>
      </w:pPr>
      <w:r>
        <w:rPr>
          <w:rFonts w:ascii="SimSun" w:hAnsi="SimSun" w:eastAsia="SimSun" w:cs="SimSun"/>
          <w:sz w:val="21"/>
          <w:szCs w:val="21"/>
          <w:spacing w:val="-3"/>
        </w:rPr>
        <w:t>诸多理论和实证讨论(参见第八章)。我们尤其关注对可竞争市场和</w:t>
      </w:r>
      <w:r>
        <w:rPr>
          <w:rFonts w:ascii="SimSun" w:hAnsi="SimSun" w:eastAsia="SimSun" w:cs="SimSun"/>
          <w:sz w:val="21"/>
          <w:szCs w:val="21"/>
          <w:spacing w:val="16"/>
        </w:rPr>
        <w:t xml:space="preserve"> </w:t>
      </w:r>
      <w:r>
        <w:rPr>
          <w:rFonts w:ascii="SimSun" w:hAnsi="SimSun" w:eastAsia="SimSun" w:cs="SimSun"/>
          <w:sz w:val="21"/>
          <w:szCs w:val="21"/>
          <w:spacing w:val="-11"/>
        </w:rPr>
        <w:t>可竞争性的相关分析。可竞争市场由美国经济学家鲍莫尔及其合作者</w:t>
      </w:r>
      <w:r>
        <w:rPr>
          <w:rFonts w:ascii="SimSun" w:hAnsi="SimSun" w:eastAsia="SimSun" w:cs="SimSun"/>
          <w:sz w:val="21"/>
          <w:szCs w:val="21"/>
          <w:spacing w:val="18"/>
        </w:rPr>
        <w:t xml:space="preserve"> </w:t>
      </w:r>
      <w:r>
        <w:rPr>
          <w:rFonts w:ascii="SimSun" w:hAnsi="SimSun" w:eastAsia="SimSun" w:cs="SimSun"/>
          <w:sz w:val="21"/>
          <w:szCs w:val="21"/>
          <w:spacing w:val="3"/>
        </w:rPr>
        <w:t>提出。鲍莫尔在1981年12月的美国经济学会年会演讲中总结概括</w:t>
      </w:r>
      <w:r>
        <w:rPr>
          <w:rFonts w:ascii="SimSun" w:hAnsi="SimSun" w:eastAsia="SimSun" w:cs="SimSun"/>
          <w:sz w:val="21"/>
          <w:szCs w:val="21"/>
          <w:spacing w:val="13"/>
        </w:rPr>
        <w:t xml:space="preserve"> </w:t>
      </w:r>
      <w:r>
        <w:rPr>
          <w:rFonts w:ascii="SimSun" w:hAnsi="SimSun" w:eastAsia="SimSun" w:cs="SimSun"/>
          <w:sz w:val="21"/>
          <w:szCs w:val="21"/>
          <w:spacing w:val="-4"/>
        </w:rPr>
        <w:t>了他和合作者对可竞争市场的研究。这篇演讲发表在1982年的《美</w:t>
      </w:r>
    </w:p>
    <w:p>
      <w:pPr>
        <w:ind w:right="83"/>
        <w:spacing w:before="89" w:line="261" w:lineRule="auto"/>
        <w:rPr>
          <w:rFonts w:ascii="Times New Roman" w:hAnsi="Times New Roman" w:eastAsia="Times New Roman" w:cs="Times New Roman"/>
          <w:sz w:val="21"/>
          <w:szCs w:val="21"/>
        </w:rPr>
      </w:pPr>
      <w:r>
        <w:rPr>
          <w:rFonts w:ascii="SimSun" w:hAnsi="SimSun" w:eastAsia="SimSun" w:cs="SimSun"/>
          <w:sz w:val="22"/>
          <w:szCs w:val="22"/>
          <w:i/>
          <w:iCs/>
          <w:spacing w:val="-8"/>
        </w:rPr>
        <w:t>国经济评论》(Am</w:t>
      </w:r>
      <w:r>
        <w:rPr>
          <w:rFonts w:ascii="SimSun" w:hAnsi="SimSun" w:eastAsia="SimSun" w:cs="SimSun"/>
          <w:sz w:val="22"/>
          <w:szCs w:val="22"/>
          <w:spacing w:val="-42"/>
        </w:rPr>
        <w:t xml:space="preserve"> </w:t>
      </w:r>
      <w:r>
        <w:rPr>
          <w:rFonts w:ascii="Times New Roman" w:hAnsi="Times New Roman" w:eastAsia="Times New Roman" w:cs="Times New Roman"/>
          <w:sz w:val="21"/>
          <w:szCs w:val="21"/>
          <w:i/>
          <w:iCs/>
          <w:spacing w:val="-8"/>
        </w:rPr>
        <w:t>erican Economic Review) </w:t>
      </w:r>
      <w:r>
        <w:rPr>
          <w:rFonts w:ascii="SimSun" w:hAnsi="SimSun" w:eastAsia="SimSun" w:cs="SimSun"/>
          <w:sz w:val="22"/>
          <w:szCs w:val="22"/>
          <w:i/>
          <w:iCs/>
          <w:spacing w:val="-8"/>
        </w:rPr>
        <w:t>期刊上。同年，《可竞争</w:t>
      </w:r>
      <w:r>
        <w:rPr>
          <w:rFonts w:ascii="SimSun" w:hAnsi="SimSun" w:eastAsia="SimSun" w:cs="SimSun"/>
          <w:sz w:val="22"/>
          <w:szCs w:val="22"/>
        </w:rPr>
        <w:t xml:space="preserve"> </w:t>
      </w:r>
      <w:r>
        <w:rPr>
          <w:rFonts w:ascii="SimSun" w:hAnsi="SimSun" w:eastAsia="SimSun" w:cs="SimSun"/>
          <w:sz w:val="22"/>
          <w:szCs w:val="22"/>
          <w:i/>
          <w:iCs/>
          <w:spacing w:val="-5"/>
        </w:rPr>
        <w:t>市场和产业结构理论》</w:t>
      </w:r>
      <w:r>
        <w:rPr>
          <w:rFonts w:ascii="Times New Roman" w:hAnsi="Times New Roman" w:eastAsia="Times New Roman" w:cs="Times New Roman"/>
          <w:sz w:val="21"/>
          <w:szCs w:val="21"/>
          <w:i/>
          <w:iCs/>
          <w:spacing w:val="-5"/>
        </w:rPr>
        <w:t>(Contestable Markets and the</w:t>
      </w:r>
      <w:r>
        <w:rPr>
          <w:rFonts w:ascii="Times New Roman" w:hAnsi="Times New Roman" w:eastAsia="Times New Roman" w:cs="Times New Roman"/>
          <w:sz w:val="21"/>
          <w:szCs w:val="21"/>
          <w:i/>
          <w:iCs/>
          <w:spacing w:val="19"/>
        </w:rPr>
        <w:t xml:space="preserve"> </w:t>
      </w:r>
      <w:r>
        <w:rPr>
          <w:rFonts w:ascii="Times New Roman" w:hAnsi="Times New Roman" w:eastAsia="Times New Roman" w:cs="Times New Roman"/>
          <w:sz w:val="21"/>
          <w:szCs w:val="21"/>
          <w:i/>
          <w:iCs/>
          <w:spacing w:val="-5"/>
        </w:rPr>
        <w:t>Theory of</w:t>
      </w:r>
      <w:r>
        <w:rPr>
          <w:rFonts w:ascii="Times New Roman" w:hAnsi="Times New Roman" w:eastAsia="Times New Roman" w:cs="Times New Roman"/>
          <w:sz w:val="21"/>
          <w:szCs w:val="21"/>
          <w:i/>
          <w:iCs/>
          <w:spacing w:val="-48"/>
        </w:rPr>
        <w:t xml:space="preserve"> </w:t>
      </w:r>
      <w:r>
        <w:rPr>
          <w:rFonts w:ascii="Times New Roman" w:hAnsi="Times New Roman" w:eastAsia="Times New Roman" w:cs="Times New Roman"/>
          <w:sz w:val="21"/>
          <w:szCs w:val="21"/>
          <w:i/>
          <w:iCs/>
          <w:spacing w:val="-5"/>
        </w:rPr>
        <w:t>Industry</w:t>
      </w:r>
    </w:p>
    <w:p>
      <w:pPr>
        <w:ind w:left="2"/>
        <w:spacing w:before="97" w:line="212" w:lineRule="auto"/>
        <w:rPr>
          <w:rFonts w:ascii="SimSun" w:hAnsi="SimSun" w:eastAsia="SimSun" w:cs="SimSun"/>
          <w:sz w:val="21"/>
          <w:szCs w:val="21"/>
        </w:rPr>
      </w:pPr>
      <w:r>
        <w:rPr>
          <w:rFonts w:ascii="Times New Roman" w:hAnsi="Times New Roman" w:eastAsia="Times New Roman" w:cs="Times New Roman"/>
          <w:sz w:val="21"/>
          <w:szCs w:val="21"/>
          <w:spacing w:val="-7"/>
        </w:rPr>
        <w:t>Structure)</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7"/>
        </w:rPr>
        <w:t>一书出版，引发了学术界和政策界的大量讨论。</w:t>
      </w:r>
    </w:p>
    <w:p>
      <w:pPr>
        <w:ind w:left="2" w:right="22" w:firstLine="460"/>
        <w:spacing w:before="145" w:line="296" w:lineRule="auto"/>
        <w:jc w:val="both"/>
        <w:rPr>
          <w:rFonts w:ascii="SimSun" w:hAnsi="SimSun" w:eastAsia="SimSun" w:cs="SimSun"/>
          <w:sz w:val="21"/>
          <w:szCs w:val="21"/>
        </w:rPr>
      </w:pPr>
      <w:r>
        <w:rPr>
          <w:rFonts w:ascii="SimSun" w:hAnsi="SimSun" w:eastAsia="SimSun" w:cs="SimSun"/>
          <w:sz w:val="21"/>
          <w:szCs w:val="21"/>
          <w:spacing w:val="-3"/>
        </w:rPr>
        <w:t>根据鲍莫尔等人的理论，可竞争市场的一个重要特点在于，市</w:t>
      </w:r>
      <w:r>
        <w:rPr>
          <w:rFonts w:ascii="SimSun" w:hAnsi="SimSun" w:eastAsia="SimSun" w:cs="SimSun"/>
          <w:sz w:val="21"/>
          <w:szCs w:val="21"/>
          <w:spacing w:val="12"/>
        </w:rPr>
        <w:t xml:space="preserve"> </w:t>
      </w:r>
      <w:r>
        <w:rPr>
          <w:rFonts w:ascii="SimSun" w:hAnsi="SimSun" w:eastAsia="SimSun" w:cs="SimSun"/>
          <w:sz w:val="21"/>
          <w:szCs w:val="21"/>
          <w:spacing w:val="-7"/>
        </w:rPr>
        <w:t>场的进入和退出是完全自由和零成本的，来自潜在(很可能也是无</w:t>
      </w:r>
      <w:r>
        <w:rPr>
          <w:rFonts w:ascii="SimSun" w:hAnsi="SimSun" w:eastAsia="SimSun" w:cs="SimSun"/>
          <w:sz w:val="21"/>
          <w:szCs w:val="21"/>
          <w:spacing w:val="-8"/>
        </w:rPr>
        <w:t>法 </w:t>
      </w:r>
      <w:r>
        <w:rPr>
          <w:rFonts w:ascii="SimSun" w:hAnsi="SimSun" w:eastAsia="SimSun" w:cs="SimSun"/>
          <w:sz w:val="21"/>
          <w:szCs w:val="21"/>
          <w:spacing w:val="-6"/>
        </w:rPr>
        <w:t>提前预判的)竞争对手的挑战压力，会约束市场中既有</w:t>
      </w:r>
      <w:r>
        <w:rPr>
          <w:rFonts w:ascii="SimSun" w:hAnsi="SimSun" w:eastAsia="SimSun" w:cs="SimSun"/>
          <w:sz w:val="21"/>
          <w:szCs w:val="21"/>
          <w:spacing w:val="-7"/>
        </w:rPr>
        <w:t>企业的定价行</w:t>
      </w:r>
      <w:r>
        <w:rPr>
          <w:rFonts w:ascii="SimSun" w:hAnsi="SimSun" w:eastAsia="SimSun" w:cs="SimSun"/>
          <w:sz w:val="21"/>
          <w:szCs w:val="21"/>
        </w:rPr>
        <w:t xml:space="preserve"> </w:t>
      </w:r>
      <w:r>
        <w:rPr>
          <w:rFonts w:ascii="SimSun" w:hAnsi="SimSun" w:eastAsia="SimSun" w:cs="SimSun"/>
          <w:sz w:val="21"/>
          <w:szCs w:val="21"/>
          <w:spacing w:val="-11"/>
        </w:rPr>
        <w:t>为。因此哪怕这个市场上暂时呈现出垄断或寡头的市场结构，</w:t>
      </w:r>
      <w:r>
        <w:rPr>
          <w:rFonts w:ascii="SimSun" w:hAnsi="SimSun" w:eastAsia="SimSun" w:cs="SimSun"/>
          <w:sz w:val="21"/>
          <w:szCs w:val="21"/>
          <w:spacing w:val="-12"/>
        </w:rPr>
        <w:t>其定价</w:t>
      </w:r>
      <w:r>
        <w:rPr>
          <w:rFonts w:ascii="SimSun" w:hAnsi="SimSun" w:eastAsia="SimSun" w:cs="SimSun"/>
          <w:sz w:val="21"/>
          <w:szCs w:val="21"/>
        </w:rPr>
        <w:t xml:space="preserve">  </w:t>
      </w:r>
      <w:r>
        <w:rPr>
          <w:rFonts w:ascii="SimSun" w:hAnsi="SimSun" w:eastAsia="SimSun" w:cs="SimSun"/>
          <w:sz w:val="21"/>
          <w:szCs w:val="21"/>
          <w:spacing w:val="-11"/>
        </w:rPr>
        <w:t>也仍然遵循社会最优的边际成本定价规则。</w:t>
      </w:r>
    </w:p>
    <w:p>
      <w:pPr>
        <w:ind w:left="2" w:firstLine="460"/>
        <w:spacing w:before="120" w:line="309" w:lineRule="auto"/>
        <w:jc w:val="both"/>
        <w:rPr>
          <w:rFonts w:ascii="SimSun" w:hAnsi="SimSun" w:eastAsia="SimSun" w:cs="SimSun"/>
          <w:sz w:val="21"/>
          <w:szCs w:val="21"/>
        </w:rPr>
      </w:pPr>
      <w:r>
        <w:rPr>
          <w:rFonts w:ascii="SimSun" w:hAnsi="SimSun" w:eastAsia="SimSun" w:cs="SimSun"/>
          <w:sz w:val="21"/>
          <w:szCs w:val="21"/>
          <w:spacing w:val="-10"/>
        </w:rPr>
        <w:t>鲍莫尔和合作者认识到，可竞争市场与经济学中经典定义的</w:t>
      </w:r>
      <w:r>
        <w:rPr>
          <w:rFonts w:ascii="SimSun" w:hAnsi="SimSun" w:eastAsia="SimSun" w:cs="SimSun"/>
          <w:sz w:val="21"/>
          <w:szCs w:val="21"/>
          <w:spacing w:val="-11"/>
        </w:rPr>
        <w:t>完全</w:t>
      </w:r>
      <w:r>
        <w:rPr>
          <w:rFonts w:ascii="SimSun" w:hAnsi="SimSun" w:eastAsia="SimSun" w:cs="SimSun"/>
          <w:sz w:val="21"/>
          <w:szCs w:val="21"/>
        </w:rPr>
        <w:t xml:space="preserve"> </w:t>
      </w:r>
      <w:r>
        <w:rPr>
          <w:rFonts w:ascii="SimSun" w:hAnsi="SimSun" w:eastAsia="SimSun" w:cs="SimSun"/>
          <w:sz w:val="21"/>
          <w:szCs w:val="21"/>
          <w:spacing w:val="-11"/>
        </w:rPr>
        <w:t>竞争市场类似，在现实生活中非常罕见，但仍然对理解市场结构和反</w:t>
      </w:r>
      <w:r>
        <w:rPr>
          <w:rFonts w:ascii="SimSun" w:hAnsi="SimSun" w:eastAsia="SimSun" w:cs="SimSun"/>
          <w:sz w:val="21"/>
          <w:szCs w:val="21"/>
          <w:spacing w:val="8"/>
        </w:rPr>
        <w:t xml:space="preserve">  </w:t>
      </w:r>
      <w:r>
        <w:rPr>
          <w:rFonts w:ascii="SimSun" w:hAnsi="SimSun" w:eastAsia="SimSun" w:cs="SimSun"/>
          <w:sz w:val="21"/>
          <w:szCs w:val="21"/>
          <w:spacing w:val="-10"/>
        </w:rPr>
        <w:t>垄断政策有重要意义。监管部门和反垄断政策应</w:t>
      </w:r>
      <w:r>
        <w:rPr>
          <w:rFonts w:ascii="SimSun" w:hAnsi="SimSun" w:eastAsia="SimSun" w:cs="SimSun"/>
          <w:sz w:val="21"/>
          <w:szCs w:val="21"/>
          <w:spacing w:val="-11"/>
        </w:rPr>
        <w:t>该重点关注降低市场</w:t>
      </w:r>
      <w:r>
        <w:rPr>
          <w:rFonts w:ascii="SimSun" w:hAnsi="SimSun" w:eastAsia="SimSun" w:cs="SimSun"/>
          <w:sz w:val="21"/>
          <w:szCs w:val="21"/>
        </w:rPr>
        <w:t xml:space="preserve">  </w:t>
      </w:r>
      <w:r>
        <w:rPr>
          <w:rFonts w:ascii="SimSun" w:hAnsi="SimSun" w:eastAsia="SimSun" w:cs="SimSun"/>
          <w:sz w:val="21"/>
          <w:szCs w:val="21"/>
          <w:spacing w:val="-10"/>
        </w:rPr>
        <w:t>的进入和退出成本，而非当前的企业数量。公共部门负</w:t>
      </w:r>
      <w:r>
        <w:rPr>
          <w:rFonts w:ascii="SimSun" w:hAnsi="SimSun" w:eastAsia="SimSun" w:cs="SimSun"/>
          <w:sz w:val="21"/>
          <w:szCs w:val="21"/>
          <w:spacing w:val="-11"/>
        </w:rPr>
        <w:t>责基础设施的</w:t>
      </w:r>
      <w:r>
        <w:rPr>
          <w:rFonts w:ascii="SimSun" w:hAnsi="SimSun" w:eastAsia="SimSun" w:cs="SimSun"/>
          <w:sz w:val="21"/>
          <w:szCs w:val="21"/>
        </w:rPr>
        <w:t xml:space="preserve">  </w:t>
      </w:r>
      <w:r>
        <w:rPr>
          <w:rFonts w:ascii="SimSun" w:hAnsi="SimSun" w:eastAsia="SimSun" w:cs="SimSun"/>
          <w:sz w:val="21"/>
          <w:szCs w:val="21"/>
          <w:spacing w:val="-11"/>
        </w:rPr>
        <w:t>投资，或者保障行业基础设施对所有企业开放，是维系市场可竞争性</w:t>
      </w:r>
      <w:r>
        <w:rPr>
          <w:rFonts w:ascii="SimSun" w:hAnsi="SimSun" w:eastAsia="SimSun" w:cs="SimSun"/>
          <w:sz w:val="21"/>
          <w:szCs w:val="21"/>
          <w:spacing w:val="8"/>
        </w:rPr>
        <w:t xml:space="preserve">  </w:t>
      </w:r>
      <w:r>
        <w:rPr>
          <w:rFonts w:ascii="SimSun" w:hAnsi="SimSun" w:eastAsia="SimSun" w:cs="SimSun"/>
          <w:sz w:val="21"/>
          <w:szCs w:val="21"/>
          <w:spacing w:val="-10"/>
        </w:rPr>
        <w:t>的重要条件。在数字时代的今天，这一条件变得</w:t>
      </w:r>
      <w:r>
        <w:rPr>
          <w:rFonts w:ascii="SimSun" w:hAnsi="SimSun" w:eastAsia="SimSun" w:cs="SimSun"/>
          <w:sz w:val="21"/>
          <w:szCs w:val="21"/>
          <w:spacing w:val="-11"/>
        </w:rPr>
        <w:t>不再遥远。在轻资产</w:t>
      </w:r>
      <w:r>
        <w:rPr>
          <w:rFonts w:ascii="SimSun" w:hAnsi="SimSun" w:eastAsia="SimSun" w:cs="SimSun"/>
          <w:sz w:val="21"/>
          <w:szCs w:val="21"/>
        </w:rPr>
        <w:t xml:space="preserve">  </w:t>
      </w:r>
      <w:r>
        <w:rPr>
          <w:rFonts w:ascii="SimSun" w:hAnsi="SimSun" w:eastAsia="SimSun" w:cs="SimSun"/>
          <w:sz w:val="21"/>
          <w:szCs w:val="21"/>
          <w:spacing w:val="-7"/>
        </w:rPr>
        <w:t>模式盛行的互联网时代，用户数据是最主要的资源，而</w:t>
      </w:r>
      <w:r>
        <w:rPr>
          <w:rFonts w:ascii="SimSun" w:hAnsi="SimSun" w:eastAsia="SimSun" w:cs="SimSun"/>
          <w:sz w:val="21"/>
          <w:szCs w:val="21"/>
          <w:spacing w:val="-8"/>
        </w:rPr>
        <w:t>与数据收集、</w:t>
      </w:r>
      <w:r>
        <w:rPr>
          <w:rFonts w:ascii="SimSun" w:hAnsi="SimSun" w:eastAsia="SimSun" w:cs="SimSun"/>
          <w:sz w:val="21"/>
          <w:szCs w:val="21"/>
        </w:rPr>
        <w:t xml:space="preserve"> </w:t>
      </w:r>
      <w:r>
        <w:rPr>
          <w:rFonts w:ascii="SimSun" w:hAnsi="SimSun" w:eastAsia="SimSun" w:cs="SimSun"/>
          <w:sz w:val="21"/>
          <w:szCs w:val="21"/>
          <w:spacing w:val="-4"/>
        </w:rPr>
        <w:t>存储、调用、分析和应用相关的投入在各行各业都可以普遍转化使</w:t>
      </w:r>
      <w:r>
        <w:rPr>
          <w:rFonts w:ascii="SimSun" w:hAnsi="SimSun" w:eastAsia="SimSun" w:cs="SimSun"/>
          <w:sz w:val="21"/>
          <w:szCs w:val="21"/>
          <w:spacing w:val="7"/>
        </w:rPr>
        <w:t xml:space="preserve">  </w:t>
      </w:r>
      <w:r>
        <w:rPr>
          <w:rFonts w:ascii="SimSun" w:hAnsi="SimSun" w:eastAsia="SimSun" w:cs="SimSun"/>
          <w:sz w:val="21"/>
          <w:szCs w:val="21"/>
          <w:spacing w:val="-10"/>
        </w:rPr>
        <w:t>用。比如，以用户搜索为切入点的平台公司，可</w:t>
      </w:r>
      <w:r>
        <w:rPr>
          <w:rFonts w:ascii="SimSun" w:hAnsi="SimSun" w:eastAsia="SimSun" w:cs="SimSun"/>
          <w:sz w:val="21"/>
          <w:szCs w:val="21"/>
          <w:spacing w:val="-11"/>
        </w:rPr>
        <w:t>以便捷地进入电商外</w:t>
      </w:r>
      <w:r>
        <w:rPr>
          <w:rFonts w:ascii="SimSun" w:hAnsi="SimSun" w:eastAsia="SimSun" w:cs="SimSun"/>
          <w:sz w:val="21"/>
          <w:szCs w:val="21"/>
        </w:rPr>
        <w:t xml:space="preserve">  </w:t>
      </w:r>
      <w:r>
        <w:rPr>
          <w:rFonts w:ascii="SimSun" w:hAnsi="SimSun" w:eastAsia="SimSun" w:cs="SimSun"/>
          <w:sz w:val="21"/>
          <w:szCs w:val="21"/>
          <w:spacing w:val="-10"/>
        </w:rPr>
        <w:t>卖、本地生活等其他消费市场。而智能手机的普及、电</w:t>
      </w:r>
      <w:r>
        <w:rPr>
          <w:rFonts w:ascii="SimSun" w:hAnsi="SimSun" w:eastAsia="SimSun" w:cs="SimSun"/>
          <w:sz w:val="21"/>
          <w:szCs w:val="21"/>
          <w:spacing w:val="-11"/>
        </w:rPr>
        <w:t>信基础设施的</w:t>
      </w:r>
      <w:r>
        <w:rPr>
          <w:rFonts w:ascii="SimSun" w:hAnsi="SimSun" w:eastAsia="SimSun" w:cs="SimSun"/>
          <w:sz w:val="21"/>
          <w:szCs w:val="21"/>
        </w:rPr>
        <w:t xml:space="preserve">  </w:t>
      </w:r>
      <w:r>
        <w:rPr>
          <w:rFonts w:ascii="SimSun" w:hAnsi="SimSun" w:eastAsia="SimSun" w:cs="SimSun"/>
          <w:sz w:val="21"/>
          <w:szCs w:val="21"/>
          <w:spacing w:val="-11"/>
        </w:rPr>
        <w:t>广泛覆盖，则让互联网行业的进入退出门槛变得相当低。尤其是在互</w:t>
      </w:r>
      <w:r>
        <w:rPr>
          <w:rFonts w:ascii="SimSun" w:hAnsi="SimSun" w:eastAsia="SimSun" w:cs="SimSun"/>
          <w:sz w:val="21"/>
          <w:szCs w:val="21"/>
          <w:spacing w:val="8"/>
        </w:rPr>
        <w:t xml:space="preserve">  </w:t>
      </w:r>
      <w:r>
        <w:rPr>
          <w:rFonts w:ascii="SimSun" w:hAnsi="SimSun" w:eastAsia="SimSun" w:cs="SimSun"/>
          <w:sz w:val="21"/>
          <w:szCs w:val="21"/>
          <w:spacing w:val="-11"/>
        </w:rPr>
        <w:t>联网巨头之间，进入彼此的市场领地非常容易。跨界竞争的普遍性将</w:t>
      </w:r>
      <w:r>
        <w:rPr>
          <w:rFonts w:ascii="SimSun" w:hAnsi="SimSun" w:eastAsia="SimSun" w:cs="SimSun"/>
          <w:sz w:val="21"/>
          <w:szCs w:val="21"/>
          <w:spacing w:val="9"/>
        </w:rPr>
        <w:t xml:space="preserve">  </w:t>
      </w:r>
      <w:r>
        <w:rPr>
          <w:rFonts w:ascii="SimSun" w:hAnsi="SimSun" w:eastAsia="SimSun" w:cs="SimSun"/>
          <w:sz w:val="21"/>
          <w:szCs w:val="21"/>
          <w:spacing w:val="-10"/>
        </w:rPr>
        <w:t>会让头部平台企业面临较大的竞争压力，从而在一</w:t>
      </w:r>
      <w:r>
        <w:rPr>
          <w:rFonts w:ascii="SimSun" w:hAnsi="SimSun" w:eastAsia="SimSun" w:cs="SimSun"/>
          <w:sz w:val="21"/>
          <w:szCs w:val="21"/>
          <w:spacing w:val="-11"/>
        </w:rPr>
        <w:t>定程度上让市场均</w:t>
      </w:r>
      <w:r>
        <w:rPr>
          <w:rFonts w:ascii="SimSun" w:hAnsi="SimSun" w:eastAsia="SimSun" w:cs="SimSun"/>
          <w:sz w:val="21"/>
          <w:szCs w:val="21"/>
        </w:rPr>
        <w:t xml:space="preserve">  </w:t>
      </w:r>
      <w:r>
        <w:rPr>
          <w:rFonts w:ascii="SimSun" w:hAnsi="SimSun" w:eastAsia="SimSun" w:cs="SimSun"/>
          <w:sz w:val="21"/>
          <w:szCs w:val="21"/>
          <w:spacing w:val="-10"/>
        </w:rPr>
        <w:t>衡向社会福利最优的结果靠近。</w:t>
      </w:r>
    </w:p>
    <w:p>
      <w:pPr>
        <w:ind w:right="16"/>
        <w:spacing w:before="102" w:line="219" w:lineRule="auto"/>
        <w:jc w:val="right"/>
        <w:rPr>
          <w:rFonts w:ascii="SimSun" w:hAnsi="SimSun" w:eastAsia="SimSun" w:cs="SimSun"/>
          <w:sz w:val="21"/>
          <w:szCs w:val="21"/>
        </w:rPr>
      </w:pPr>
      <w:r>
        <w:rPr>
          <w:rFonts w:ascii="SimSun" w:hAnsi="SimSun" w:eastAsia="SimSun" w:cs="SimSun"/>
          <w:sz w:val="21"/>
          <w:szCs w:val="21"/>
          <w:spacing w:val="-10"/>
        </w:rPr>
        <w:t>随着行业和技术的不断迭代更新，可能十年前的巨头到现在已经</w:t>
      </w:r>
    </w:p>
    <w:p>
      <w:pPr>
        <w:spacing w:line="219" w:lineRule="auto"/>
        <w:sectPr>
          <w:headerReference w:type="default" r:id="rId165"/>
          <w:pgSz w:w="7330" w:h="12480"/>
          <w:pgMar w:top="568" w:right="604" w:bottom="400" w:left="637" w:header="402"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right="19"/>
        <w:spacing w:before="68" w:line="311" w:lineRule="auto"/>
        <w:jc w:val="both"/>
        <w:rPr>
          <w:rFonts w:ascii="SimSun" w:hAnsi="SimSun" w:eastAsia="SimSun" w:cs="SimSun"/>
          <w:sz w:val="21"/>
          <w:szCs w:val="21"/>
        </w:rPr>
      </w:pPr>
      <w:r>
        <w:rPr>
          <w:rFonts w:ascii="SimSun" w:hAnsi="SimSun" w:eastAsia="SimSun" w:cs="SimSun"/>
          <w:sz w:val="21"/>
          <w:szCs w:val="21"/>
          <w:spacing w:val="-8"/>
        </w:rPr>
        <w:t>不再具备领先地位。强监管态势、监管政策和行政处罚的密集出台、</w:t>
      </w:r>
      <w:r>
        <w:rPr>
          <w:rFonts w:ascii="SimSun" w:hAnsi="SimSun" w:eastAsia="SimSun" w:cs="SimSun"/>
          <w:sz w:val="21"/>
          <w:szCs w:val="21"/>
          <w:spacing w:val="14"/>
        </w:rPr>
        <w:t xml:space="preserve"> </w:t>
      </w:r>
      <w:r>
        <w:rPr>
          <w:rFonts w:ascii="SimSun" w:hAnsi="SimSun" w:eastAsia="SimSun" w:cs="SimSun"/>
          <w:sz w:val="21"/>
          <w:szCs w:val="21"/>
          <w:u w:val="single" w:color="auto"/>
          <w:spacing w:val="-10"/>
        </w:rPr>
        <w:t>企业业</w:t>
      </w:r>
      <w:r>
        <w:rPr>
          <w:rFonts w:ascii="SimSun" w:hAnsi="SimSun" w:eastAsia="SimSun" w:cs="SimSun"/>
          <w:sz w:val="21"/>
          <w:szCs w:val="21"/>
          <w:spacing w:val="-10"/>
        </w:rPr>
        <w:t>绩是否受到新的监管环境影响、投资者对于业务未来发展的预 </w:t>
      </w:r>
      <w:r>
        <w:rPr>
          <w:rFonts w:ascii="SimSun" w:hAnsi="SimSun" w:eastAsia="SimSun" w:cs="SimSun"/>
          <w:sz w:val="21"/>
          <w:szCs w:val="21"/>
          <w:spacing w:val="-3"/>
        </w:rPr>
        <w:t>期，这些都可能对股价造成冲击。对比2021年初和年末的</w:t>
      </w:r>
      <w:r>
        <w:rPr>
          <w:rFonts w:ascii="SimSun" w:hAnsi="SimSun" w:eastAsia="SimSun" w:cs="SimSun"/>
          <w:sz w:val="21"/>
          <w:szCs w:val="21"/>
          <w:spacing w:val="-4"/>
        </w:rPr>
        <w:t>企业市值 </w:t>
      </w:r>
      <w:r>
        <w:rPr>
          <w:rFonts w:ascii="SimSun" w:hAnsi="SimSun" w:eastAsia="SimSun" w:cs="SimSun"/>
          <w:sz w:val="21"/>
          <w:szCs w:val="21"/>
          <w:spacing w:val="-10"/>
        </w:rPr>
        <w:t>和估值，可以看到腾讯、阿里巴巴、美团等的市值有较大跳水，这些 </w:t>
      </w:r>
      <w:r>
        <w:rPr>
          <w:rFonts w:ascii="SimSun" w:hAnsi="SimSun" w:eastAsia="SimSun" w:cs="SimSun"/>
          <w:sz w:val="21"/>
          <w:szCs w:val="21"/>
          <w:spacing w:val="-11"/>
        </w:rPr>
        <w:t>公司的市值都对监管政策有较大的反应。当然有一些企业可能从监管</w:t>
      </w:r>
      <w:r>
        <w:rPr>
          <w:rFonts w:ascii="SimSun" w:hAnsi="SimSun" w:eastAsia="SimSun" w:cs="SimSun"/>
          <w:sz w:val="21"/>
          <w:szCs w:val="21"/>
          <w:spacing w:val="4"/>
        </w:rPr>
        <w:t xml:space="preserve">  </w:t>
      </w:r>
      <w:r>
        <w:rPr>
          <w:rFonts w:ascii="SimSun" w:hAnsi="SimSun" w:eastAsia="SimSun" w:cs="SimSun"/>
          <w:sz w:val="21"/>
          <w:szCs w:val="21"/>
          <w:spacing w:val="-4"/>
        </w:rPr>
        <w:t>态势中获得利好，比如据业界投资新闻报道，字节跳动的估值增加</w:t>
      </w:r>
      <w:r>
        <w:rPr>
          <w:rFonts w:ascii="SimSun" w:hAnsi="SimSun" w:eastAsia="SimSun" w:cs="SimSun"/>
          <w:sz w:val="21"/>
          <w:szCs w:val="21"/>
          <w:spacing w:val="5"/>
        </w:rPr>
        <w:t xml:space="preserve">  </w:t>
      </w:r>
      <w:r>
        <w:rPr>
          <w:rFonts w:ascii="SimSun" w:hAnsi="SimSun" w:eastAsia="SimSun" w:cs="SimSun"/>
          <w:sz w:val="21"/>
          <w:szCs w:val="21"/>
          <w:spacing w:val="-11"/>
        </w:rPr>
        <w:t>了，京东的市值也有所上升。每一次监管政策的出台，每一次行业发</w:t>
      </w:r>
      <w:r>
        <w:rPr>
          <w:rFonts w:ascii="SimSun" w:hAnsi="SimSun" w:eastAsia="SimSun" w:cs="SimSun"/>
          <w:sz w:val="21"/>
          <w:szCs w:val="21"/>
          <w:spacing w:val="3"/>
        </w:rPr>
        <w:t xml:space="preserve">  </w:t>
      </w:r>
      <w:r>
        <w:rPr>
          <w:rFonts w:ascii="SimSun" w:hAnsi="SimSun" w:eastAsia="SimSun" w:cs="SimSun"/>
          <w:sz w:val="21"/>
          <w:szCs w:val="21"/>
          <w:spacing w:val="-8"/>
        </w:rPr>
        <w:t>展的变化，都有可能会在平台企业内部造成一次分化。今天的巨头，</w:t>
      </w:r>
      <w:r>
        <w:rPr>
          <w:rFonts w:ascii="SimSun" w:hAnsi="SimSun" w:eastAsia="SimSun" w:cs="SimSun"/>
          <w:sz w:val="21"/>
          <w:szCs w:val="21"/>
          <w:spacing w:val="13"/>
        </w:rPr>
        <w:t xml:space="preserve"> </w:t>
      </w:r>
      <w:r>
        <w:rPr>
          <w:rFonts w:ascii="SimSun" w:hAnsi="SimSun" w:eastAsia="SimSun" w:cs="SimSun"/>
          <w:sz w:val="21"/>
          <w:szCs w:val="21"/>
          <w:spacing w:val="-10"/>
        </w:rPr>
        <w:t>明天未必还会占据市场领先地位。在现实生活中，哪怕是已经在电商 </w:t>
      </w:r>
      <w:r>
        <w:rPr>
          <w:rFonts w:ascii="SimSun" w:hAnsi="SimSun" w:eastAsia="SimSun" w:cs="SimSun"/>
          <w:sz w:val="21"/>
          <w:szCs w:val="21"/>
          <w:spacing w:val="-10"/>
        </w:rPr>
        <w:t>领域占据了非常大市场份额的淘宝，仍然面临不少竞争压力，比如来</w:t>
      </w:r>
      <w:r>
        <w:rPr>
          <w:rFonts w:ascii="SimSun" w:hAnsi="SimSun" w:eastAsia="SimSun" w:cs="SimSun"/>
          <w:sz w:val="21"/>
          <w:szCs w:val="21"/>
          <w:spacing w:val="17"/>
        </w:rPr>
        <w:t xml:space="preserve"> </w:t>
      </w:r>
      <w:r>
        <w:rPr>
          <w:rFonts w:ascii="SimSun" w:hAnsi="SimSun" w:eastAsia="SimSun" w:cs="SimSun"/>
          <w:sz w:val="21"/>
          <w:szCs w:val="21"/>
          <w:spacing w:val="-10"/>
        </w:rPr>
        <w:t>自拼多多、京东、微信小程序和抖音、快手等短视频电商的竞争。所 </w:t>
      </w:r>
      <w:r>
        <w:rPr>
          <w:rFonts w:ascii="SimSun" w:hAnsi="SimSun" w:eastAsia="SimSun" w:cs="SimSun"/>
          <w:sz w:val="21"/>
          <w:szCs w:val="21"/>
          <w:spacing w:val="-10"/>
        </w:rPr>
        <w:t>以对整个行业而言，即便目前从静态的眼光来看，某一家平台或者某 </w:t>
      </w:r>
      <w:r>
        <w:rPr>
          <w:rFonts w:ascii="SimSun" w:hAnsi="SimSun" w:eastAsia="SimSun" w:cs="SimSun"/>
          <w:sz w:val="21"/>
          <w:szCs w:val="21"/>
          <w:spacing w:val="-10"/>
        </w:rPr>
        <w:t>一个品牌占据了较大的市场优势地位，但它能否持续性地保持这种优 </w:t>
      </w:r>
      <w:r>
        <w:rPr>
          <w:rFonts w:ascii="SimSun" w:hAnsi="SimSun" w:eastAsia="SimSun" w:cs="SimSun"/>
          <w:sz w:val="21"/>
          <w:szCs w:val="21"/>
          <w:spacing w:val="-11"/>
        </w:rPr>
        <w:t>势地位，市场的可竞争性到底有多少，仍然是一个值得研究和讨论的</w:t>
      </w:r>
      <w:r>
        <w:rPr>
          <w:rFonts w:ascii="SimSun" w:hAnsi="SimSun" w:eastAsia="SimSun" w:cs="SimSun"/>
          <w:sz w:val="21"/>
          <w:szCs w:val="21"/>
          <w:spacing w:val="7"/>
        </w:rPr>
        <w:t xml:space="preserve">  </w:t>
      </w:r>
      <w:r>
        <w:rPr>
          <w:rFonts w:ascii="SimSun" w:hAnsi="SimSun" w:eastAsia="SimSun" w:cs="SimSun"/>
          <w:sz w:val="21"/>
          <w:szCs w:val="21"/>
          <w:spacing w:val="-10"/>
        </w:rPr>
        <w:t>问题。因此监管的主要着眼点要放在这些平台企业是否有不正当竞争 </w:t>
      </w:r>
      <w:r>
        <w:rPr>
          <w:rFonts w:ascii="SimSun" w:hAnsi="SimSun" w:eastAsia="SimSun" w:cs="SimSun"/>
          <w:sz w:val="21"/>
          <w:szCs w:val="21"/>
          <w:spacing w:val="-10"/>
        </w:rPr>
        <w:t>行为，而不是它们本身占据了多大的市场份额或者平台本身的规模发 </w:t>
      </w:r>
      <w:r>
        <w:rPr>
          <w:rFonts w:ascii="SimSun" w:hAnsi="SimSun" w:eastAsia="SimSun" w:cs="SimSun"/>
          <w:sz w:val="21"/>
          <w:szCs w:val="21"/>
          <w:spacing w:val="-14"/>
        </w:rPr>
        <w:t>展到了多大。</w:t>
      </w:r>
    </w:p>
    <w:p>
      <w:pPr>
        <w:pStyle w:val="BodyText"/>
        <w:spacing w:line="391"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4"/>
        </w:rPr>
        <w:t>平台企业的跨界竞争</w:t>
      </w:r>
    </w:p>
    <w:p>
      <w:pPr>
        <w:pStyle w:val="BodyText"/>
        <w:spacing w:line="367" w:lineRule="auto"/>
        <w:rPr/>
      </w:pPr>
      <w:r/>
    </w:p>
    <w:p>
      <w:pPr>
        <w:ind w:firstLine="410"/>
        <w:spacing w:before="68" w:line="302" w:lineRule="auto"/>
        <w:jc w:val="both"/>
        <w:rPr>
          <w:rFonts w:ascii="SimSun" w:hAnsi="SimSun" w:eastAsia="SimSun" w:cs="SimSun"/>
          <w:sz w:val="21"/>
          <w:szCs w:val="21"/>
        </w:rPr>
      </w:pPr>
      <w:r>
        <w:rPr>
          <w:rFonts w:ascii="SimSun" w:hAnsi="SimSun" w:eastAsia="SimSun" w:cs="SimSun"/>
          <w:sz w:val="21"/>
          <w:szCs w:val="21"/>
          <w:spacing w:val="-11"/>
        </w:rPr>
        <w:t>从企业的角度来考虑，平台的类型正在变得越来越难以划分。许</w:t>
      </w:r>
      <w:r>
        <w:rPr>
          <w:rFonts w:ascii="SimSun" w:hAnsi="SimSun" w:eastAsia="SimSun" w:cs="SimSun"/>
          <w:sz w:val="21"/>
          <w:szCs w:val="21"/>
          <w:spacing w:val="7"/>
        </w:rPr>
        <w:t xml:space="preserve">  </w:t>
      </w:r>
      <w:r>
        <w:rPr>
          <w:rFonts w:ascii="SimSun" w:hAnsi="SimSun" w:eastAsia="SimSun" w:cs="SimSun"/>
          <w:sz w:val="21"/>
          <w:szCs w:val="21"/>
          <w:spacing w:val="-11"/>
        </w:rPr>
        <w:t>多平台从某一行业起家，逐渐开展跨界经营，形成了一个全品类的平</w:t>
      </w:r>
      <w:r>
        <w:rPr>
          <w:rFonts w:ascii="SimSun" w:hAnsi="SimSun" w:eastAsia="SimSun" w:cs="SimSun"/>
          <w:sz w:val="21"/>
          <w:szCs w:val="21"/>
          <w:spacing w:val="4"/>
        </w:rPr>
        <w:t xml:space="preserve">  </w:t>
      </w:r>
      <w:r>
        <w:rPr>
          <w:rFonts w:ascii="SimSun" w:hAnsi="SimSun" w:eastAsia="SimSun" w:cs="SimSun"/>
          <w:sz w:val="21"/>
          <w:szCs w:val="21"/>
          <w:spacing w:val="-7"/>
        </w:rPr>
        <w:t>台。通信社交、电商支付、搜索导航、本地生活以及媒体和短视频，</w:t>
      </w:r>
      <w:r>
        <w:rPr>
          <w:rFonts w:ascii="SimSun" w:hAnsi="SimSun" w:eastAsia="SimSun" w:cs="SimSun"/>
          <w:sz w:val="21"/>
          <w:szCs w:val="21"/>
          <w:spacing w:val="3"/>
        </w:rPr>
        <w:t xml:space="preserve"> </w:t>
      </w:r>
      <w:r>
        <w:rPr>
          <w:rFonts w:ascii="SimSun" w:hAnsi="SimSun" w:eastAsia="SimSun" w:cs="SimSun"/>
          <w:sz w:val="21"/>
          <w:szCs w:val="21"/>
          <w:spacing w:val="-10"/>
        </w:rPr>
        <w:t>是跟人们日常生活最为相关的五大行业领域，同时也出现了五</w:t>
      </w:r>
      <w:r>
        <w:rPr>
          <w:rFonts w:ascii="SimSun" w:hAnsi="SimSun" w:eastAsia="SimSun" w:cs="SimSun"/>
          <w:sz w:val="21"/>
          <w:szCs w:val="21"/>
          <w:spacing w:val="-11"/>
        </w:rPr>
        <w:t>大科技</w:t>
      </w:r>
      <w:r>
        <w:rPr>
          <w:rFonts w:ascii="SimSun" w:hAnsi="SimSun" w:eastAsia="SimSun" w:cs="SimSun"/>
          <w:sz w:val="21"/>
          <w:szCs w:val="21"/>
        </w:rPr>
        <w:t xml:space="preserve">  </w:t>
      </w:r>
      <w:r>
        <w:rPr>
          <w:rFonts w:ascii="SimSun" w:hAnsi="SimSun" w:eastAsia="SimSun" w:cs="SimSun"/>
          <w:sz w:val="21"/>
          <w:szCs w:val="21"/>
          <w:spacing w:val="-10"/>
        </w:rPr>
        <w:t>巨头：通信社交领域是微信；电商和支付以淘宝、支付宝为</w:t>
      </w:r>
      <w:r>
        <w:rPr>
          <w:rFonts w:ascii="SimSun" w:hAnsi="SimSun" w:eastAsia="SimSun" w:cs="SimSun"/>
          <w:sz w:val="21"/>
          <w:szCs w:val="21"/>
          <w:spacing w:val="-11"/>
        </w:rPr>
        <w:t>代表；搜</w:t>
      </w:r>
      <w:r>
        <w:rPr>
          <w:rFonts w:ascii="SimSun" w:hAnsi="SimSun" w:eastAsia="SimSun" w:cs="SimSun"/>
          <w:sz w:val="21"/>
          <w:szCs w:val="21"/>
        </w:rPr>
        <w:t xml:space="preserve">  </w:t>
      </w:r>
      <w:r>
        <w:rPr>
          <w:rFonts w:ascii="SimSun" w:hAnsi="SimSun" w:eastAsia="SimSun" w:cs="SimSun"/>
          <w:sz w:val="21"/>
          <w:szCs w:val="21"/>
          <w:spacing w:val="-7"/>
        </w:rPr>
        <w:t>索导航里百度占有绝对的市场领先地位；本地生活这一领域是美团；</w:t>
      </w:r>
      <w:r>
        <w:rPr>
          <w:rFonts w:ascii="SimSun" w:hAnsi="SimSun" w:eastAsia="SimSun" w:cs="SimSun"/>
          <w:sz w:val="21"/>
          <w:szCs w:val="21"/>
          <w:spacing w:val="4"/>
        </w:rPr>
        <w:t xml:space="preserve"> </w:t>
      </w:r>
      <w:r>
        <w:rPr>
          <w:rFonts w:ascii="SimSun" w:hAnsi="SimSun" w:eastAsia="SimSun" w:cs="SimSun"/>
          <w:sz w:val="21"/>
          <w:szCs w:val="21"/>
          <w:spacing w:val="-7"/>
        </w:rPr>
        <w:t>媒体和短视频行业的字节跳动，拥有抖音、今日头条等一</w:t>
      </w:r>
      <w:r>
        <w:rPr>
          <w:rFonts w:ascii="SimSun" w:hAnsi="SimSun" w:eastAsia="SimSun" w:cs="SimSun"/>
          <w:sz w:val="21"/>
          <w:szCs w:val="21"/>
          <w:spacing w:val="-8"/>
        </w:rPr>
        <w:t>系列品牌。</w:t>
      </w:r>
    </w:p>
    <w:p>
      <w:pPr>
        <w:spacing w:line="302" w:lineRule="auto"/>
        <w:sectPr>
          <w:headerReference w:type="default" r:id="rId166"/>
          <w:pgSz w:w="7330" w:h="12480"/>
          <w:pgMar w:top="845" w:right="855" w:bottom="400" w:left="379" w:header="671"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156"/>
        <w:spacing w:before="69" w:line="268" w:lineRule="auto"/>
        <w:rPr>
          <w:rFonts w:ascii="SimSun" w:hAnsi="SimSun" w:eastAsia="SimSun" w:cs="SimSun"/>
          <w:sz w:val="21"/>
          <w:szCs w:val="21"/>
        </w:rPr>
      </w:pPr>
      <w:r>
        <w:rPr>
          <w:rFonts w:ascii="SimSun" w:hAnsi="SimSun" w:eastAsia="SimSun" w:cs="SimSun"/>
          <w:sz w:val="21"/>
          <w:szCs w:val="21"/>
          <w:spacing w:val="-11"/>
        </w:rPr>
        <w:t>这些平台为广大用户和商家提供了参与数字经济的便利条件，成为数</w:t>
      </w:r>
      <w:r>
        <w:rPr>
          <w:rFonts w:ascii="SimSun" w:hAnsi="SimSun" w:eastAsia="SimSun" w:cs="SimSun"/>
          <w:sz w:val="21"/>
          <w:szCs w:val="21"/>
          <w:spacing w:val="17"/>
        </w:rPr>
        <w:t xml:space="preserve"> </w:t>
      </w:r>
      <w:r>
        <w:rPr>
          <w:rFonts w:ascii="SimSun" w:hAnsi="SimSun" w:eastAsia="SimSun" w:cs="SimSun"/>
          <w:sz w:val="21"/>
          <w:szCs w:val="21"/>
          <w:spacing w:val="-10"/>
        </w:rPr>
        <w:t>字时代非常重要的流量入口。</w:t>
      </w:r>
    </w:p>
    <w:p>
      <w:pPr>
        <w:ind w:right="60" w:firstLine="449"/>
        <w:spacing w:before="115" w:line="308" w:lineRule="auto"/>
        <w:jc w:val="both"/>
        <w:rPr>
          <w:rFonts w:ascii="SimSun" w:hAnsi="SimSun" w:eastAsia="SimSun" w:cs="SimSun"/>
          <w:sz w:val="21"/>
          <w:szCs w:val="21"/>
        </w:rPr>
      </w:pPr>
      <w:r>
        <w:rPr>
          <w:rFonts w:ascii="SimSun" w:hAnsi="SimSun" w:eastAsia="SimSun" w:cs="SimSun"/>
          <w:sz w:val="21"/>
          <w:szCs w:val="21"/>
          <w:spacing w:val="-11"/>
        </w:rPr>
        <w:t>中国的头部平台企业呈现出一种“大而全”的状态。对于这些互</w:t>
      </w:r>
      <w:r>
        <w:rPr>
          <w:rFonts w:ascii="SimSun" w:hAnsi="SimSun" w:eastAsia="SimSun" w:cs="SimSun"/>
          <w:sz w:val="21"/>
          <w:szCs w:val="21"/>
          <w:spacing w:val="4"/>
        </w:rPr>
        <w:t xml:space="preserve"> </w:t>
      </w:r>
      <w:r>
        <w:rPr>
          <w:rFonts w:ascii="SimSun" w:hAnsi="SimSun" w:eastAsia="SimSun" w:cs="SimSun"/>
          <w:sz w:val="21"/>
          <w:szCs w:val="21"/>
          <w:spacing w:val="-10"/>
        </w:rPr>
        <w:t>联网巨头而言，占据一个领域的流量入口优势，然后将业务拓展到全 </w:t>
      </w:r>
      <w:r>
        <w:rPr>
          <w:rFonts w:ascii="SimSun" w:hAnsi="SimSun" w:eastAsia="SimSun" w:cs="SimSun"/>
          <w:sz w:val="21"/>
          <w:szCs w:val="21"/>
          <w:spacing w:val="-11"/>
        </w:rPr>
        <w:t>行业领域，已经成为一个非常普遍的现象。比如微信从通信社交领域</w:t>
      </w:r>
      <w:r>
        <w:rPr>
          <w:rFonts w:ascii="SimSun" w:hAnsi="SimSun" w:eastAsia="SimSun" w:cs="SimSun"/>
          <w:sz w:val="21"/>
          <w:szCs w:val="21"/>
          <w:spacing w:val="8"/>
        </w:rPr>
        <w:t xml:space="preserve">  </w:t>
      </w:r>
      <w:r>
        <w:rPr>
          <w:rFonts w:ascii="SimSun" w:hAnsi="SimSun" w:eastAsia="SimSun" w:cs="SimSun"/>
          <w:sz w:val="21"/>
          <w:szCs w:val="21"/>
        </w:rPr>
        <w:t>起步，逐渐整合了支付(微信支付)、搜索(微信“搜</w:t>
      </w:r>
      <w:r>
        <w:rPr>
          <w:rFonts w:ascii="SimSun" w:hAnsi="SimSun" w:eastAsia="SimSun" w:cs="SimSun"/>
          <w:sz w:val="21"/>
          <w:szCs w:val="21"/>
          <w:spacing w:val="-1"/>
        </w:rPr>
        <w:t>一搜”功能)、</w:t>
      </w:r>
      <w:r>
        <w:rPr>
          <w:rFonts w:ascii="SimSun" w:hAnsi="SimSun" w:eastAsia="SimSun" w:cs="SimSun"/>
          <w:sz w:val="21"/>
          <w:szCs w:val="21"/>
        </w:rPr>
        <w:t xml:space="preserve"> </w:t>
      </w:r>
      <w:r>
        <w:rPr>
          <w:rFonts w:ascii="SimSun" w:hAnsi="SimSun" w:eastAsia="SimSun" w:cs="SimSun"/>
          <w:sz w:val="21"/>
          <w:szCs w:val="21"/>
        </w:rPr>
        <w:t>电商(微信小程序)、资讯媒体(微信公众号)、本地生活(九宫格里</w:t>
      </w:r>
      <w:r>
        <w:rPr>
          <w:rFonts w:ascii="SimSun" w:hAnsi="SimSun" w:eastAsia="SimSun" w:cs="SimSun"/>
          <w:sz w:val="21"/>
          <w:szCs w:val="21"/>
          <w:spacing w:val="2"/>
        </w:rPr>
        <w:t xml:space="preserve">  </w:t>
      </w:r>
      <w:r>
        <w:rPr>
          <w:rFonts w:ascii="SimSun" w:hAnsi="SimSun" w:eastAsia="SimSun" w:cs="SimSun"/>
          <w:sz w:val="21"/>
          <w:szCs w:val="21"/>
        </w:rPr>
        <w:t>的打车、生活缴费等等)、媒体短视频(微信视频号)等。同样，以</w:t>
      </w:r>
      <w:r>
        <w:rPr>
          <w:rFonts w:ascii="SimSun" w:hAnsi="SimSun" w:eastAsia="SimSun" w:cs="SimSun"/>
          <w:sz w:val="21"/>
          <w:szCs w:val="21"/>
          <w:spacing w:val="6"/>
        </w:rPr>
        <w:t xml:space="preserve">  </w:t>
      </w:r>
      <w:r>
        <w:rPr>
          <w:rFonts w:ascii="SimSun" w:hAnsi="SimSun" w:eastAsia="SimSun" w:cs="SimSun"/>
          <w:sz w:val="21"/>
          <w:szCs w:val="21"/>
          <w:spacing w:val="-11"/>
        </w:rPr>
        <w:t>电商和支付起家的淘宝与支付宝在直播、社交、本地生活等领域也进</w:t>
      </w:r>
      <w:r>
        <w:rPr>
          <w:rFonts w:ascii="SimSun" w:hAnsi="SimSun" w:eastAsia="SimSun" w:cs="SimSun"/>
          <w:sz w:val="21"/>
          <w:szCs w:val="21"/>
          <w:spacing w:val="8"/>
        </w:rPr>
        <w:t xml:space="preserve">  </w:t>
      </w:r>
      <w:r>
        <w:rPr>
          <w:rFonts w:ascii="SimSun" w:hAnsi="SimSun" w:eastAsia="SimSun" w:cs="SimSun"/>
          <w:sz w:val="21"/>
          <w:szCs w:val="21"/>
          <w:spacing w:val="-10"/>
        </w:rPr>
        <w:t>行了全方位的覆盖。哪怕是在人们印象中以搜索导</w:t>
      </w:r>
      <w:r>
        <w:rPr>
          <w:rFonts w:ascii="SimSun" w:hAnsi="SimSun" w:eastAsia="SimSun" w:cs="SimSun"/>
          <w:sz w:val="21"/>
          <w:szCs w:val="21"/>
          <w:spacing w:val="-11"/>
        </w:rPr>
        <w:t>航为主要业务的百</w:t>
      </w:r>
      <w:r>
        <w:rPr>
          <w:rFonts w:ascii="SimSun" w:hAnsi="SimSun" w:eastAsia="SimSun" w:cs="SimSun"/>
          <w:sz w:val="21"/>
          <w:szCs w:val="21"/>
        </w:rPr>
        <w:t xml:space="preserve">  </w:t>
      </w:r>
      <w:r>
        <w:rPr>
          <w:rFonts w:ascii="SimSun" w:hAnsi="SimSun" w:eastAsia="SimSun" w:cs="SimSun"/>
          <w:sz w:val="21"/>
          <w:szCs w:val="21"/>
          <w:spacing w:val="-7"/>
        </w:rPr>
        <w:t>度，其App 下滑到二楼也会看到与本地生活服务相关的一系列推荐，</w:t>
      </w:r>
      <w:r>
        <w:rPr>
          <w:rFonts w:ascii="SimSun" w:hAnsi="SimSun" w:eastAsia="SimSun" w:cs="SimSun"/>
          <w:sz w:val="21"/>
          <w:szCs w:val="21"/>
          <w:spacing w:val="7"/>
        </w:rPr>
        <w:t xml:space="preserve"> </w:t>
      </w:r>
      <w:r>
        <w:rPr>
          <w:rFonts w:ascii="SimSun" w:hAnsi="SimSun" w:eastAsia="SimSun" w:cs="SimSun"/>
          <w:sz w:val="21"/>
          <w:szCs w:val="21"/>
          <w:spacing w:val="-10"/>
        </w:rPr>
        <w:t>包括外卖、购物、打车等等。所以对于这些</w:t>
      </w:r>
      <w:r>
        <w:rPr>
          <w:rFonts w:ascii="SimSun" w:hAnsi="SimSun" w:eastAsia="SimSun" w:cs="SimSun"/>
          <w:sz w:val="21"/>
          <w:szCs w:val="21"/>
          <w:spacing w:val="-11"/>
        </w:rPr>
        <w:t>互联网巨头而言，占据一</w:t>
      </w:r>
      <w:r>
        <w:rPr>
          <w:rFonts w:ascii="SimSun" w:hAnsi="SimSun" w:eastAsia="SimSun" w:cs="SimSun"/>
          <w:sz w:val="21"/>
          <w:szCs w:val="21"/>
        </w:rPr>
        <w:t xml:space="preserve">  </w:t>
      </w:r>
      <w:r>
        <w:rPr>
          <w:rFonts w:ascii="SimSun" w:hAnsi="SimSun" w:eastAsia="SimSun" w:cs="SimSun"/>
          <w:sz w:val="21"/>
          <w:szCs w:val="21"/>
          <w:spacing w:val="-10"/>
        </w:rPr>
        <w:t>个领域的流量入口优势，然后将业务拓展到</w:t>
      </w:r>
      <w:r>
        <w:rPr>
          <w:rFonts w:ascii="SimSun" w:hAnsi="SimSun" w:eastAsia="SimSun" w:cs="SimSun"/>
          <w:sz w:val="21"/>
          <w:szCs w:val="21"/>
          <w:spacing w:val="-11"/>
        </w:rPr>
        <w:t>全行业领域，已经成为一</w:t>
      </w:r>
      <w:r>
        <w:rPr>
          <w:rFonts w:ascii="SimSun" w:hAnsi="SimSun" w:eastAsia="SimSun" w:cs="SimSun"/>
          <w:sz w:val="21"/>
          <w:szCs w:val="21"/>
        </w:rPr>
        <w:t xml:space="preserve">  </w:t>
      </w:r>
      <w:r>
        <w:rPr>
          <w:rFonts w:ascii="SimSun" w:hAnsi="SimSun" w:eastAsia="SimSun" w:cs="SimSun"/>
          <w:sz w:val="21"/>
          <w:szCs w:val="21"/>
          <w:spacing w:val="-11"/>
        </w:rPr>
        <w:t>个非常普遍的现象。</w:t>
      </w:r>
    </w:p>
    <w:p>
      <w:pPr>
        <w:ind w:right="80" w:firstLine="449"/>
        <w:spacing w:before="110" w:line="297" w:lineRule="auto"/>
        <w:jc w:val="both"/>
        <w:rPr>
          <w:rFonts w:ascii="SimSun" w:hAnsi="SimSun" w:eastAsia="SimSun" w:cs="SimSun"/>
          <w:sz w:val="21"/>
          <w:szCs w:val="21"/>
        </w:rPr>
      </w:pPr>
      <w:r>
        <w:rPr>
          <w:rFonts w:ascii="SimSun" w:hAnsi="SimSun" w:eastAsia="SimSun" w:cs="SimSun"/>
          <w:sz w:val="21"/>
          <w:szCs w:val="21"/>
          <w:spacing w:val="-10"/>
        </w:rPr>
        <w:t>在数字时代，平台有非常强大的数据和用户黏性积累的优势。用</w:t>
      </w:r>
      <w:r>
        <w:rPr>
          <w:rFonts w:ascii="SimSun" w:hAnsi="SimSun" w:eastAsia="SimSun" w:cs="SimSun"/>
          <w:sz w:val="21"/>
          <w:szCs w:val="21"/>
          <w:spacing w:val="13"/>
        </w:rPr>
        <w:t xml:space="preserve"> </w:t>
      </w:r>
      <w:r>
        <w:rPr>
          <w:rFonts w:ascii="SimSun" w:hAnsi="SimSun" w:eastAsia="SimSun" w:cs="SimSun"/>
          <w:sz w:val="21"/>
          <w:szCs w:val="21"/>
          <w:spacing w:val="-10"/>
        </w:rPr>
        <w:t>户数据的积累可以让平台更加了解用户，以</w:t>
      </w:r>
      <w:r>
        <w:rPr>
          <w:rFonts w:ascii="SimSun" w:hAnsi="SimSun" w:eastAsia="SimSun" w:cs="SimSun"/>
          <w:sz w:val="21"/>
          <w:szCs w:val="21"/>
          <w:spacing w:val="-11"/>
        </w:rPr>
        <w:t>及思考如何为用户提供全 </w:t>
      </w:r>
      <w:r>
        <w:rPr>
          <w:rFonts w:ascii="SimSun" w:hAnsi="SimSun" w:eastAsia="SimSun" w:cs="SimSun"/>
          <w:sz w:val="21"/>
          <w:szCs w:val="21"/>
          <w:spacing w:val="-10"/>
        </w:rPr>
        <w:t>方位服务，或是从用户手中攫取消费者剩余</w:t>
      </w:r>
      <w:r>
        <w:rPr>
          <w:rFonts w:ascii="SimSun" w:hAnsi="SimSun" w:eastAsia="SimSun" w:cs="SimSun"/>
          <w:sz w:val="21"/>
          <w:szCs w:val="21"/>
          <w:spacing w:val="-11"/>
        </w:rPr>
        <w:t>。这也不难解释为什么平 </w:t>
      </w:r>
      <w:r>
        <w:rPr>
          <w:rFonts w:ascii="SimSun" w:hAnsi="SimSun" w:eastAsia="SimSun" w:cs="SimSun"/>
          <w:sz w:val="21"/>
          <w:szCs w:val="21"/>
          <w:spacing w:val="-10"/>
        </w:rPr>
        <w:t>台企业特别重视能够给它们带来流量积累和</w:t>
      </w:r>
      <w:r>
        <w:rPr>
          <w:rFonts w:ascii="SimSun" w:hAnsi="SimSun" w:eastAsia="SimSun" w:cs="SimSun"/>
          <w:sz w:val="21"/>
          <w:szCs w:val="21"/>
          <w:spacing w:val="-11"/>
        </w:rPr>
        <w:t>数据积累的业务，而不仅 </w:t>
      </w:r>
      <w:r>
        <w:rPr>
          <w:rFonts w:ascii="SimSun" w:hAnsi="SimSun" w:eastAsia="SimSun" w:cs="SimSun"/>
          <w:sz w:val="21"/>
          <w:szCs w:val="21"/>
          <w:spacing w:val="-10"/>
        </w:rPr>
        <w:t>仅着眼于某一项业务是否能在短期内带来财务上的收益。</w:t>
      </w:r>
    </w:p>
    <w:p>
      <w:pPr>
        <w:ind w:firstLine="449"/>
        <w:spacing w:before="112" w:line="304" w:lineRule="auto"/>
        <w:jc w:val="both"/>
        <w:rPr>
          <w:rFonts w:ascii="SimSun" w:hAnsi="SimSun" w:eastAsia="SimSun" w:cs="SimSun"/>
          <w:sz w:val="21"/>
          <w:szCs w:val="21"/>
        </w:rPr>
      </w:pPr>
      <w:r>
        <w:rPr>
          <w:rFonts w:ascii="SimSun" w:hAnsi="SimSun" w:eastAsia="SimSun" w:cs="SimSun"/>
          <w:sz w:val="21"/>
          <w:szCs w:val="21"/>
          <w:spacing w:val="-7"/>
        </w:rPr>
        <w:t>相比之下，美国的四家头部平台各自主导的领域一直比较稳定。</w:t>
      </w:r>
      <w:r>
        <w:rPr>
          <w:rFonts w:ascii="SimSun" w:hAnsi="SimSun" w:eastAsia="SimSun" w:cs="SimSun"/>
          <w:sz w:val="21"/>
          <w:szCs w:val="21"/>
          <w:spacing w:val="10"/>
        </w:rPr>
        <w:t xml:space="preserve"> </w:t>
      </w:r>
      <w:r>
        <w:rPr>
          <w:rFonts w:ascii="SimSun" w:hAnsi="SimSun" w:eastAsia="SimSun" w:cs="SimSun"/>
          <w:sz w:val="21"/>
          <w:szCs w:val="21"/>
          <w:spacing w:val="-7"/>
        </w:rPr>
        <w:t>我们可以通过跟国内的大科技公司对比来得到一个更</w:t>
      </w:r>
      <w:r>
        <w:rPr>
          <w:rFonts w:ascii="SimSun" w:hAnsi="SimSun" w:eastAsia="SimSun" w:cs="SimSun"/>
          <w:sz w:val="21"/>
          <w:szCs w:val="21"/>
          <w:spacing w:val="-8"/>
        </w:rPr>
        <w:t>加直观的感受。</w:t>
      </w:r>
      <w:r>
        <w:rPr>
          <w:rFonts w:ascii="SimSun" w:hAnsi="SimSun" w:eastAsia="SimSun" w:cs="SimSun"/>
          <w:sz w:val="21"/>
          <w:szCs w:val="21"/>
        </w:rPr>
        <w:t xml:space="preserve"> </w:t>
      </w:r>
      <w:r>
        <w:rPr>
          <w:rFonts w:ascii="SimSun" w:hAnsi="SimSun" w:eastAsia="SimSun" w:cs="SimSun"/>
          <w:sz w:val="21"/>
          <w:szCs w:val="21"/>
          <w:spacing w:val="-11"/>
        </w:rPr>
        <w:t>与百度相比，谷歌比较集中打造自己在搜索引擎上的优势地位，并没  </w:t>
      </w:r>
      <w:r>
        <w:rPr>
          <w:rFonts w:ascii="SimSun" w:hAnsi="SimSun" w:eastAsia="SimSun" w:cs="SimSun"/>
          <w:sz w:val="21"/>
          <w:szCs w:val="21"/>
          <w:spacing w:val="-11"/>
        </w:rPr>
        <w:t>有进行本地生活服务类的业务扩张。亚马逊虽然在电商领域占主导地  </w:t>
      </w:r>
      <w:r>
        <w:rPr>
          <w:rFonts w:ascii="SimSun" w:hAnsi="SimSun" w:eastAsia="SimSun" w:cs="SimSun"/>
          <w:sz w:val="21"/>
          <w:szCs w:val="21"/>
          <w:spacing w:val="-11"/>
        </w:rPr>
        <w:t>位，但并没有像阿里巴巴一样进行全领域的布局，也没有发展出类似  </w:t>
      </w:r>
      <w:r>
        <w:rPr>
          <w:rFonts w:ascii="SimSun" w:hAnsi="SimSun" w:eastAsia="SimSun" w:cs="SimSun"/>
          <w:sz w:val="21"/>
          <w:szCs w:val="21"/>
          <w:spacing w:val="-10"/>
        </w:rPr>
        <w:t>支付宝的金融支付工具。脸书和苹果也有同样的特点，它们集中在自</w:t>
      </w:r>
      <w:r>
        <w:rPr>
          <w:rFonts w:ascii="SimSun" w:hAnsi="SimSun" w:eastAsia="SimSun" w:cs="SimSun"/>
          <w:sz w:val="21"/>
          <w:szCs w:val="21"/>
          <w:spacing w:val="6"/>
        </w:rPr>
        <w:t xml:space="preserve">  </w:t>
      </w:r>
      <w:r>
        <w:rPr>
          <w:rFonts w:ascii="SimSun" w:hAnsi="SimSun" w:eastAsia="SimSun" w:cs="SimSun"/>
          <w:sz w:val="21"/>
          <w:szCs w:val="21"/>
          <w:spacing w:val="-11"/>
        </w:rPr>
        <w:t>己的领域内占据相对的优势地位，而没有拓展到外卖、出行等其他领  </w:t>
      </w:r>
      <w:r>
        <w:rPr>
          <w:rFonts w:ascii="SimSun" w:hAnsi="SimSun" w:eastAsia="SimSun" w:cs="SimSun"/>
          <w:sz w:val="21"/>
          <w:szCs w:val="21"/>
          <w:spacing w:val="-10"/>
        </w:rPr>
        <w:t>域。这背后的原因可能是美国的反垄断法存在时间比较长，判</w:t>
      </w:r>
      <w:r>
        <w:rPr>
          <w:rFonts w:ascii="SimSun" w:hAnsi="SimSun" w:eastAsia="SimSun" w:cs="SimSun"/>
          <w:sz w:val="21"/>
          <w:szCs w:val="21"/>
          <w:spacing w:val="-11"/>
        </w:rPr>
        <w:t>例法会</w:t>
      </w:r>
    </w:p>
    <w:p>
      <w:pPr>
        <w:spacing w:line="304" w:lineRule="auto"/>
        <w:sectPr>
          <w:headerReference w:type="default" r:id="rId167"/>
          <w:pgSz w:w="7330" w:h="12480"/>
          <w:pgMar w:top="569" w:right="534" w:bottom="400" w:left="650" w:header="405" w:footer="0" w:gutter="0"/>
        </w:sectPr>
        <w:rPr>
          <w:rFonts w:ascii="SimSun" w:hAnsi="SimSun" w:eastAsia="SimSun" w:cs="SimSun"/>
          <w:sz w:val="21"/>
          <w:szCs w:val="21"/>
        </w:rPr>
      </w:pP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ind w:right="77"/>
        <w:spacing w:before="62" w:line="350" w:lineRule="auto"/>
        <w:jc w:val="both"/>
        <w:rPr>
          <w:rFonts w:ascii="SimSun" w:hAnsi="SimSun" w:eastAsia="SimSun" w:cs="SimSun"/>
          <w:sz w:val="19"/>
          <w:szCs w:val="19"/>
        </w:rPr>
      </w:pPr>
      <w:r>
        <w:rPr>
          <w:rFonts w:ascii="SimSun" w:hAnsi="SimSun" w:eastAsia="SimSun" w:cs="SimSun"/>
          <w:sz w:val="19"/>
          <w:szCs w:val="19"/>
          <w:spacing w:val="10"/>
        </w:rPr>
        <w:t>限制平台企业进行进一步的扩张，因为之前已经对反垄断进</w:t>
      </w:r>
      <w:r>
        <w:rPr>
          <w:rFonts w:ascii="SimSun" w:hAnsi="SimSun" w:eastAsia="SimSun" w:cs="SimSun"/>
          <w:sz w:val="19"/>
          <w:szCs w:val="19"/>
          <w:spacing w:val="9"/>
        </w:rPr>
        <w:t>行了相当</w:t>
      </w:r>
      <w:r>
        <w:rPr>
          <w:rFonts w:ascii="SimSun" w:hAnsi="SimSun" w:eastAsia="SimSun" w:cs="SimSun"/>
          <w:sz w:val="19"/>
          <w:szCs w:val="19"/>
        </w:rPr>
        <w:t xml:space="preserve"> </w:t>
      </w:r>
      <w:r>
        <w:rPr>
          <w:rFonts w:ascii="SimSun" w:hAnsi="SimSun" w:eastAsia="SimSun" w:cs="SimSun"/>
          <w:sz w:val="19"/>
          <w:szCs w:val="19"/>
          <w:spacing w:val="9"/>
        </w:rPr>
        <w:t>多的裁决(参见第十章至第十三章)。同时，对用户隐私的保护和对数</w:t>
      </w:r>
      <w:r>
        <w:rPr>
          <w:rFonts w:ascii="SimSun" w:hAnsi="SimSun" w:eastAsia="SimSun" w:cs="SimSun"/>
          <w:sz w:val="19"/>
          <w:szCs w:val="19"/>
          <w:spacing w:val="8"/>
        </w:rPr>
        <w:t xml:space="preserve"> </w:t>
      </w:r>
      <w:r>
        <w:rPr>
          <w:rFonts w:ascii="SimSun" w:hAnsi="SimSun" w:eastAsia="SimSun" w:cs="SimSun"/>
          <w:sz w:val="19"/>
          <w:szCs w:val="19"/>
          <w:spacing w:val="9"/>
        </w:rPr>
        <w:t>据收集的限制，也让平台企业进行数据积累和用户画像的能力相对减</w:t>
      </w:r>
    </w:p>
    <w:p>
      <w:pPr>
        <w:spacing w:line="219" w:lineRule="auto"/>
        <w:rPr>
          <w:rFonts w:ascii="SimSun" w:hAnsi="SimSun" w:eastAsia="SimSun" w:cs="SimSun"/>
          <w:sz w:val="19"/>
          <w:szCs w:val="19"/>
        </w:rPr>
      </w:pPr>
      <w:r>
        <w:rPr>
          <w:rFonts w:ascii="SimSun" w:hAnsi="SimSun" w:eastAsia="SimSun" w:cs="SimSun"/>
          <w:sz w:val="19"/>
          <w:szCs w:val="19"/>
          <w:spacing w:val="4"/>
        </w:rPr>
        <w:t>弱，从而难以将主营业务的优势拓展到个人消费者常用的其他领域。</w:t>
      </w:r>
    </w:p>
    <w:p>
      <w:pPr>
        <w:ind w:right="19" w:firstLine="429"/>
        <w:spacing w:before="113" w:line="350" w:lineRule="auto"/>
        <w:jc w:val="both"/>
        <w:rPr>
          <w:rFonts w:ascii="SimSun" w:hAnsi="SimSun" w:eastAsia="SimSun" w:cs="SimSun"/>
          <w:sz w:val="19"/>
          <w:szCs w:val="19"/>
        </w:rPr>
      </w:pPr>
      <w:r>
        <w:rPr>
          <w:rFonts w:ascii="SimSun" w:hAnsi="SimSun" w:eastAsia="SimSun" w:cs="SimSun"/>
          <w:sz w:val="19"/>
          <w:szCs w:val="19"/>
          <w:spacing w:val="9"/>
        </w:rPr>
        <w:t>当然，平台企业的发展处于一个非常快速迭代更新的状态。现在</w:t>
      </w:r>
      <w:r>
        <w:rPr>
          <w:rFonts w:ascii="SimSun" w:hAnsi="SimSun" w:eastAsia="SimSun" w:cs="SimSun"/>
          <w:sz w:val="19"/>
          <w:szCs w:val="19"/>
          <w:spacing w:val="7"/>
        </w:rPr>
        <w:t xml:space="preserve"> </w:t>
      </w:r>
      <w:r>
        <w:rPr>
          <w:rFonts w:ascii="SimSun" w:hAnsi="SimSun" w:eastAsia="SimSun" w:cs="SimSun"/>
          <w:sz w:val="19"/>
          <w:szCs w:val="19"/>
          <w:spacing w:val="9"/>
        </w:rPr>
        <w:t>这些大的美国平台公司也开始学习中国的平台企业，开始进行比较广 </w:t>
      </w:r>
      <w:r>
        <w:rPr>
          <w:rFonts w:ascii="SimSun" w:hAnsi="SimSun" w:eastAsia="SimSun" w:cs="SimSun"/>
          <w:sz w:val="19"/>
          <w:szCs w:val="19"/>
          <w:spacing w:val="11"/>
        </w:rPr>
        <w:t>泛的业务领域扩张。像脸书在疫情之后，2020年开始上线电商业务，</w:t>
      </w:r>
      <w:r>
        <w:rPr>
          <w:rFonts w:ascii="SimSun" w:hAnsi="SimSun" w:eastAsia="SimSun" w:cs="SimSun"/>
          <w:sz w:val="19"/>
          <w:szCs w:val="19"/>
          <w:spacing w:val="2"/>
        </w:rPr>
        <w:t xml:space="preserve"> </w:t>
      </w:r>
      <w:r>
        <w:rPr>
          <w:rFonts w:ascii="SimSun" w:hAnsi="SimSun" w:eastAsia="SimSun" w:cs="SimSun"/>
          <w:sz w:val="19"/>
          <w:szCs w:val="19"/>
          <w:spacing w:val="10"/>
        </w:rPr>
        <w:t>免费给商家或者个人用户提供一个创建自己商店的机会。亚马逊推出</w:t>
      </w:r>
      <w:r>
        <w:rPr>
          <w:rFonts w:ascii="SimSun" w:hAnsi="SimSun" w:eastAsia="SimSun" w:cs="SimSun"/>
          <w:sz w:val="19"/>
          <w:szCs w:val="19"/>
          <w:spacing w:val="1"/>
        </w:rPr>
        <w:t xml:space="preserve"> </w:t>
      </w:r>
      <w:r>
        <w:rPr>
          <w:rFonts w:ascii="SimSun" w:hAnsi="SimSun" w:eastAsia="SimSun" w:cs="SimSun"/>
          <w:sz w:val="19"/>
          <w:szCs w:val="19"/>
        </w:rPr>
        <w:t>Amazon</w:t>
      </w:r>
      <w:r>
        <w:rPr>
          <w:rFonts w:ascii="SimSun" w:hAnsi="SimSun" w:eastAsia="SimSun" w:cs="SimSun"/>
          <w:sz w:val="19"/>
          <w:szCs w:val="19"/>
          <w:spacing w:val="47"/>
        </w:rPr>
        <w:t xml:space="preserve">  </w:t>
      </w:r>
      <w:r>
        <w:rPr>
          <w:rFonts w:ascii="SimSun" w:hAnsi="SimSun" w:eastAsia="SimSun" w:cs="SimSun"/>
          <w:sz w:val="19"/>
          <w:szCs w:val="19"/>
        </w:rPr>
        <w:t>Pay</w:t>
      </w:r>
      <w:r>
        <w:rPr>
          <w:rFonts w:ascii="SimSun" w:hAnsi="SimSun" w:eastAsia="SimSun" w:cs="SimSun"/>
          <w:sz w:val="19"/>
          <w:szCs w:val="19"/>
          <w:spacing w:val="16"/>
        </w:rPr>
        <w:t>,实际上是对支付领域的扩张。这背后是一个动</w:t>
      </w:r>
      <w:r>
        <w:rPr>
          <w:rFonts w:ascii="SimSun" w:hAnsi="SimSun" w:eastAsia="SimSun" w:cs="SimSun"/>
          <w:sz w:val="19"/>
          <w:szCs w:val="19"/>
          <w:spacing w:val="15"/>
        </w:rPr>
        <w:t>态演进</w:t>
      </w:r>
    </w:p>
    <w:p>
      <w:pPr>
        <w:spacing w:line="220" w:lineRule="auto"/>
        <w:rPr>
          <w:rFonts w:ascii="SimSun" w:hAnsi="SimSun" w:eastAsia="SimSun" w:cs="SimSun"/>
          <w:sz w:val="19"/>
          <w:szCs w:val="19"/>
        </w:rPr>
      </w:pPr>
      <w:r>
        <w:rPr>
          <w:rFonts w:ascii="SimSun" w:hAnsi="SimSun" w:eastAsia="SimSun" w:cs="SimSun"/>
          <w:sz w:val="19"/>
          <w:szCs w:val="19"/>
          <w:spacing w:val="1"/>
        </w:rPr>
        <w:t>的过程。</w:t>
      </w:r>
    </w:p>
    <w:p>
      <w:pPr>
        <w:ind w:firstLine="409"/>
        <w:spacing w:before="129" w:line="350" w:lineRule="auto"/>
        <w:rPr>
          <w:rFonts w:ascii="SimSun" w:hAnsi="SimSun" w:eastAsia="SimSun" w:cs="SimSun"/>
          <w:sz w:val="19"/>
          <w:szCs w:val="19"/>
        </w:rPr>
      </w:pPr>
      <w:r>
        <w:rPr>
          <w:rFonts w:ascii="SimSun" w:hAnsi="SimSun" w:eastAsia="SimSun" w:cs="SimSun"/>
          <w:sz w:val="19"/>
          <w:szCs w:val="19"/>
          <w:spacing w:val="13"/>
        </w:rPr>
        <w:t>在美国国会听证会上，面对关于市场力量的考问， </w:t>
      </w:r>
      <w:r>
        <w:rPr>
          <w:rFonts w:ascii="SimSun" w:hAnsi="SimSun" w:eastAsia="SimSun" w:cs="SimSun"/>
          <w:sz w:val="19"/>
          <w:szCs w:val="19"/>
        </w:rPr>
        <w:t>FAAG</w:t>
      </w:r>
      <w:r>
        <w:rPr>
          <w:rFonts w:ascii="SimSun" w:hAnsi="SimSun" w:eastAsia="SimSun" w:cs="SimSun"/>
          <w:sz w:val="19"/>
          <w:szCs w:val="19"/>
          <w:spacing w:val="13"/>
        </w:rPr>
        <w:t xml:space="preserve">  四家</w:t>
      </w:r>
      <w:r>
        <w:rPr>
          <w:rFonts w:ascii="SimSun" w:hAnsi="SimSun" w:eastAsia="SimSun" w:cs="SimSun"/>
          <w:sz w:val="19"/>
          <w:szCs w:val="19"/>
          <w:spacing w:val="2"/>
        </w:rPr>
        <w:t xml:space="preserve">  </w:t>
      </w:r>
      <w:r>
        <w:rPr>
          <w:rFonts w:ascii="SimSun" w:hAnsi="SimSun" w:eastAsia="SimSun" w:cs="SimSun"/>
          <w:sz w:val="19"/>
          <w:szCs w:val="19"/>
          <w:spacing w:val="16"/>
        </w:rPr>
        <w:t>科技公司分别从不同角度否认自己拥有绝对的市场力量。苹果公司 </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6"/>
        </w:rPr>
        <w:t>库克从市场份额的角度为自己辩护。他指出苹果“远不可能是</w:t>
      </w:r>
      <w:r>
        <w:rPr>
          <w:rFonts w:ascii="SimSun" w:hAnsi="SimSun" w:eastAsia="SimSun" w:cs="SimSun"/>
          <w:sz w:val="19"/>
          <w:szCs w:val="19"/>
        </w:rPr>
        <w:t xml:space="preserve">  </w:t>
      </w:r>
      <w:r>
        <w:rPr>
          <w:rFonts w:ascii="SimSun" w:hAnsi="SimSun" w:eastAsia="SimSun" w:cs="SimSun"/>
          <w:sz w:val="19"/>
          <w:szCs w:val="19"/>
          <w:spacing w:val="12"/>
        </w:rPr>
        <w:t>消费者唯一的选择”,其在各业务领域的市场份额并不是最高的，比</w:t>
      </w:r>
      <w:r>
        <w:rPr>
          <w:rFonts w:ascii="SimSun" w:hAnsi="SimSun" w:eastAsia="SimSun" w:cs="SimSun"/>
          <w:sz w:val="19"/>
          <w:szCs w:val="19"/>
          <w:spacing w:val="2"/>
        </w:rPr>
        <w:t xml:space="preserve">  </w:t>
      </w:r>
      <w:r>
        <w:rPr>
          <w:rFonts w:ascii="SimSun" w:hAnsi="SimSun" w:eastAsia="SimSun" w:cs="SimSun"/>
          <w:sz w:val="19"/>
          <w:szCs w:val="19"/>
          <w:spacing w:val="9"/>
        </w:rPr>
        <w:t>如：在手机品牌领域，全球市场份额最高的是三星，华为也是强劲对</w:t>
      </w:r>
      <w:r>
        <w:rPr>
          <w:rFonts w:ascii="SimSun" w:hAnsi="SimSun" w:eastAsia="SimSun" w:cs="SimSun"/>
          <w:sz w:val="19"/>
          <w:szCs w:val="19"/>
          <w:spacing w:val="8"/>
        </w:rPr>
        <w:t xml:space="preserve">  </w:t>
      </w:r>
      <w:r>
        <w:rPr>
          <w:rFonts w:ascii="SimSun" w:hAnsi="SimSun" w:eastAsia="SimSun" w:cs="SimSun"/>
          <w:sz w:val="19"/>
          <w:szCs w:val="19"/>
          <w:spacing w:val="16"/>
        </w:rPr>
        <w:t>手；而在操作系统中，安卓和</w:t>
      </w:r>
      <w:r>
        <w:rPr>
          <w:rFonts w:ascii="SimSun" w:hAnsi="SimSun" w:eastAsia="SimSun" w:cs="SimSun"/>
          <w:sz w:val="19"/>
          <w:szCs w:val="19"/>
        </w:rPr>
        <w:t>Windows</w:t>
      </w:r>
      <w:r>
        <w:rPr>
          <w:rFonts w:ascii="SimSun" w:hAnsi="SimSun" w:eastAsia="SimSun" w:cs="SimSun"/>
          <w:sz w:val="19"/>
          <w:szCs w:val="19"/>
          <w:spacing w:val="82"/>
        </w:rPr>
        <w:t xml:space="preserve"> </w:t>
      </w:r>
      <w:r>
        <w:rPr>
          <w:rFonts w:ascii="SimSun" w:hAnsi="SimSun" w:eastAsia="SimSun" w:cs="SimSun"/>
          <w:sz w:val="19"/>
          <w:szCs w:val="19"/>
          <w:spacing w:val="16"/>
        </w:rPr>
        <w:t>的市场份额稳居第一</w:t>
      </w:r>
      <w:r>
        <w:rPr>
          <w:rFonts w:ascii="SimSun" w:hAnsi="SimSun" w:eastAsia="SimSun" w:cs="SimSun"/>
          <w:sz w:val="19"/>
          <w:szCs w:val="19"/>
          <w:spacing w:val="15"/>
        </w:rPr>
        <w:t>和第二</w:t>
      </w:r>
      <w:r>
        <w:rPr>
          <w:rFonts w:ascii="SimSun" w:hAnsi="SimSun" w:eastAsia="SimSun" w:cs="SimSun"/>
          <w:sz w:val="19"/>
          <w:szCs w:val="19"/>
        </w:rPr>
        <w:t xml:space="preserve">  </w:t>
      </w:r>
      <w:r>
        <w:rPr>
          <w:rFonts w:ascii="SimSun" w:hAnsi="SimSun" w:eastAsia="SimSun" w:cs="SimSun"/>
          <w:sz w:val="19"/>
          <w:szCs w:val="19"/>
          <w:spacing w:val="12"/>
        </w:rPr>
        <w:t>位，高于苹果的</w:t>
      </w:r>
      <w:r>
        <w:rPr>
          <w:rFonts w:ascii="Times New Roman" w:hAnsi="Times New Roman" w:eastAsia="Times New Roman" w:cs="Times New Roman"/>
          <w:sz w:val="19"/>
          <w:szCs w:val="19"/>
        </w:rPr>
        <w:t>iOS</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2"/>
        </w:rPr>
        <w:t>。亚马逊和谷歌在各自业务领域的市场份额都具</w:t>
      </w:r>
      <w:r>
        <w:rPr>
          <w:rFonts w:ascii="SimSun" w:hAnsi="SimSun" w:eastAsia="SimSun" w:cs="SimSun"/>
          <w:sz w:val="19"/>
          <w:szCs w:val="19"/>
        </w:rPr>
        <w:t xml:space="preserve">  </w:t>
      </w:r>
      <w:r>
        <w:rPr>
          <w:rFonts w:ascii="SimSun" w:hAnsi="SimSun" w:eastAsia="SimSun" w:cs="SimSun"/>
          <w:sz w:val="19"/>
          <w:szCs w:val="19"/>
          <w:spacing w:val="13"/>
        </w:rPr>
        <w:t>有压倒性优势，于是两家公司的</w:t>
      </w:r>
      <w:r>
        <w:rPr>
          <w:rFonts w:ascii="SimSun" w:hAnsi="SimSun" w:eastAsia="SimSun" w:cs="SimSun"/>
          <w:sz w:val="19"/>
          <w:szCs w:val="19"/>
          <w:spacing w:val="-28"/>
        </w:rPr>
        <w:t xml:space="preserve"> </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采取扩大市场范围的策略来为</w:t>
      </w:r>
      <w:r>
        <w:rPr>
          <w:rFonts w:ascii="SimSun" w:hAnsi="SimSun" w:eastAsia="SimSun" w:cs="SimSun"/>
          <w:sz w:val="19"/>
          <w:szCs w:val="19"/>
        </w:rPr>
        <w:t xml:space="preserve">  </w:t>
      </w:r>
      <w:r>
        <w:rPr>
          <w:rFonts w:ascii="SimSun" w:hAnsi="SimSun" w:eastAsia="SimSun" w:cs="SimSun"/>
          <w:sz w:val="19"/>
          <w:szCs w:val="19"/>
          <w:spacing w:val="9"/>
        </w:rPr>
        <w:t>自己辩护。由于反垄断中的市场份额是在一定的市场范围内计算，因</w:t>
      </w:r>
      <w:r>
        <w:rPr>
          <w:rFonts w:ascii="SimSun" w:hAnsi="SimSun" w:eastAsia="SimSun" w:cs="SimSun"/>
          <w:sz w:val="19"/>
          <w:szCs w:val="19"/>
          <w:spacing w:val="4"/>
        </w:rPr>
        <w:t xml:space="preserve">  </w:t>
      </w:r>
      <w:r>
        <w:rPr>
          <w:rFonts w:ascii="SimSun" w:hAnsi="SimSun" w:eastAsia="SimSun" w:cs="SimSun"/>
          <w:sz w:val="19"/>
          <w:szCs w:val="19"/>
          <w:spacing w:val="12"/>
        </w:rPr>
        <w:t>此只要把与自己相关的市场说得足够大，相应的市场份额就会缩小。</w:t>
      </w:r>
      <w:r>
        <w:rPr>
          <w:rFonts w:ascii="SimSun" w:hAnsi="SimSun" w:eastAsia="SimSun" w:cs="SimSun"/>
          <w:sz w:val="19"/>
          <w:szCs w:val="19"/>
          <w:spacing w:val="13"/>
        </w:rPr>
        <w:t xml:space="preserve"> </w:t>
      </w:r>
      <w:r>
        <w:rPr>
          <w:rFonts w:ascii="SimSun" w:hAnsi="SimSun" w:eastAsia="SimSun" w:cs="SimSun"/>
          <w:sz w:val="19"/>
          <w:szCs w:val="19"/>
          <w:spacing w:val="9"/>
        </w:rPr>
        <w:t>基于此，亚马逊</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9"/>
        </w:rPr>
        <w:t>贝佐斯强调线上零售不应该被当作特殊的市场，</w:t>
      </w:r>
      <w:r>
        <w:rPr>
          <w:rFonts w:ascii="SimSun" w:hAnsi="SimSun" w:eastAsia="SimSun" w:cs="SimSun"/>
          <w:sz w:val="19"/>
          <w:szCs w:val="19"/>
        </w:rPr>
        <w:t xml:space="preserve"> </w:t>
      </w:r>
      <w:r>
        <w:rPr>
          <w:rFonts w:ascii="SimSun" w:hAnsi="SimSun" w:eastAsia="SimSun" w:cs="SimSun"/>
          <w:sz w:val="19"/>
          <w:szCs w:val="19"/>
          <w:spacing w:val="10"/>
        </w:rPr>
        <w:t>线上和线下零售应当属于同一市场，称线下零售</w:t>
      </w:r>
      <w:r>
        <w:rPr>
          <w:rFonts w:ascii="SimSun" w:hAnsi="SimSun" w:eastAsia="SimSun" w:cs="SimSun"/>
          <w:sz w:val="19"/>
          <w:szCs w:val="19"/>
          <w:spacing w:val="9"/>
        </w:rPr>
        <w:t>巨头沃尔玛是其强劲</w:t>
      </w:r>
      <w:r>
        <w:rPr>
          <w:rFonts w:ascii="SimSun" w:hAnsi="SimSun" w:eastAsia="SimSun" w:cs="SimSun"/>
          <w:sz w:val="19"/>
          <w:szCs w:val="19"/>
        </w:rPr>
        <w:t xml:space="preserve">  </w:t>
      </w:r>
      <w:r>
        <w:rPr>
          <w:rFonts w:ascii="SimSun" w:hAnsi="SimSun" w:eastAsia="SimSun" w:cs="SimSun"/>
          <w:sz w:val="19"/>
          <w:szCs w:val="19"/>
          <w:spacing w:val="13"/>
        </w:rPr>
        <w:t>竞争对手。谷歌公司</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皮查伊则称众多社交媒体产品也具备搜索</w:t>
      </w:r>
      <w:r>
        <w:rPr>
          <w:rFonts w:ascii="SimSun" w:hAnsi="SimSun" w:eastAsia="SimSun" w:cs="SimSun"/>
          <w:sz w:val="19"/>
          <w:szCs w:val="19"/>
          <w:spacing w:val="5"/>
        </w:rPr>
        <w:t xml:space="preserve">  </w:t>
      </w:r>
      <w:r>
        <w:rPr>
          <w:rFonts w:ascii="SimSun" w:hAnsi="SimSun" w:eastAsia="SimSun" w:cs="SimSun"/>
          <w:sz w:val="19"/>
          <w:szCs w:val="19"/>
          <w:spacing w:val="11"/>
        </w:rPr>
        <w:t>引擎的功能，因此搜索引擎和社交媒体、智能音箱等处于同一竞争市</w:t>
      </w:r>
      <w:r>
        <w:rPr>
          <w:rFonts w:ascii="SimSun" w:hAnsi="SimSun" w:eastAsia="SimSun" w:cs="SimSun"/>
          <w:sz w:val="19"/>
          <w:szCs w:val="19"/>
        </w:rPr>
        <w:t xml:space="preserve"> </w:t>
      </w:r>
      <w:r>
        <w:rPr>
          <w:rFonts w:ascii="SimSun" w:hAnsi="SimSun" w:eastAsia="SimSun" w:cs="SimSun"/>
          <w:sz w:val="19"/>
          <w:szCs w:val="19"/>
          <w:spacing w:val="14"/>
        </w:rPr>
        <w:t>场。脸书的</w:t>
      </w:r>
      <w:r>
        <w:rPr>
          <w:rFonts w:ascii="SimSun" w:hAnsi="SimSun" w:eastAsia="SimSun" w:cs="SimSun"/>
          <w:sz w:val="19"/>
          <w:szCs w:val="19"/>
          <w:spacing w:val="-50"/>
        </w:rPr>
        <w:t xml:space="preserve"> </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扎克伯格将回答重点放在了市场的动态竞</w:t>
      </w:r>
      <w:r>
        <w:rPr>
          <w:rFonts w:ascii="SimSun" w:hAnsi="SimSun" w:eastAsia="SimSun" w:cs="SimSun"/>
          <w:sz w:val="19"/>
          <w:szCs w:val="19"/>
          <w:spacing w:val="13"/>
        </w:rPr>
        <w:t>争上。虽</w:t>
      </w:r>
      <w:r>
        <w:rPr>
          <w:rFonts w:ascii="SimSun" w:hAnsi="SimSun" w:eastAsia="SimSun" w:cs="SimSun"/>
          <w:sz w:val="19"/>
          <w:szCs w:val="19"/>
        </w:rPr>
        <w:t xml:space="preserve">  </w:t>
      </w:r>
      <w:r>
        <w:rPr>
          <w:rFonts w:ascii="SimSun" w:hAnsi="SimSun" w:eastAsia="SimSun" w:cs="SimSun"/>
          <w:sz w:val="19"/>
          <w:szCs w:val="19"/>
          <w:spacing w:val="16"/>
        </w:rPr>
        <w:t>然其市场份额很高，但社交媒体市场高度开放，随时有新的对手进</w:t>
      </w:r>
    </w:p>
    <w:p>
      <w:pPr>
        <w:spacing w:line="219" w:lineRule="auto"/>
        <w:rPr>
          <w:rFonts w:ascii="SimSun" w:hAnsi="SimSun" w:eastAsia="SimSun" w:cs="SimSun"/>
          <w:sz w:val="19"/>
          <w:szCs w:val="19"/>
        </w:rPr>
      </w:pPr>
      <w:r>
        <w:rPr>
          <w:rFonts w:ascii="SimSun" w:hAnsi="SimSun" w:eastAsia="SimSun" w:cs="SimSun"/>
          <w:sz w:val="19"/>
          <w:szCs w:val="19"/>
          <w:spacing w:val="10"/>
        </w:rPr>
        <w:t>入，并强调了</w:t>
      </w:r>
      <w:r>
        <w:rPr>
          <w:rFonts w:ascii="Times New Roman" w:hAnsi="Times New Roman" w:eastAsia="Times New Roman" w:cs="Times New Roman"/>
          <w:sz w:val="19"/>
          <w:szCs w:val="19"/>
        </w:rPr>
        <w:t>TikTok</w:t>
      </w:r>
      <w:r>
        <w:rPr>
          <w:rFonts w:ascii="Times New Roman" w:hAnsi="Times New Roman" w:eastAsia="Times New Roman" w:cs="Times New Roman"/>
          <w:sz w:val="19"/>
          <w:szCs w:val="19"/>
          <w:spacing w:val="37"/>
          <w:w w:val="101"/>
        </w:rPr>
        <w:t xml:space="preserve"> </w:t>
      </w:r>
      <w:r>
        <w:rPr>
          <w:rFonts w:ascii="SimSun" w:hAnsi="SimSun" w:eastAsia="SimSun" w:cs="SimSun"/>
          <w:sz w:val="19"/>
          <w:szCs w:val="19"/>
          <w:spacing w:val="10"/>
        </w:rPr>
        <w:t>等对手的威胁。</w:t>
      </w:r>
    </w:p>
    <w:p>
      <w:pPr>
        <w:spacing w:line="219" w:lineRule="auto"/>
        <w:sectPr>
          <w:headerReference w:type="default" r:id="rId168"/>
          <w:pgSz w:w="7330" w:h="12480"/>
          <w:pgMar w:top="815" w:right="785" w:bottom="400" w:left="469" w:header="652" w:footer="0" w:gutter="0"/>
        </w:sectPr>
        <w:rPr>
          <w:rFonts w:ascii="SimSun" w:hAnsi="SimSun" w:eastAsia="SimSun" w:cs="SimSun"/>
          <w:sz w:val="19"/>
          <w:szCs w:val="19"/>
        </w:rPr>
      </w:pP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left="46" w:right="25" w:firstLine="430"/>
        <w:spacing w:before="68" w:line="308" w:lineRule="auto"/>
        <w:jc w:val="both"/>
        <w:rPr>
          <w:rFonts w:ascii="SimSun" w:hAnsi="SimSun" w:eastAsia="SimSun" w:cs="SimSun"/>
          <w:sz w:val="21"/>
          <w:szCs w:val="21"/>
        </w:rPr>
      </w:pPr>
      <w:r>
        <w:rPr>
          <w:rFonts w:ascii="SimSun" w:hAnsi="SimSun" w:eastAsia="SimSun" w:cs="SimSun"/>
          <w:sz w:val="21"/>
          <w:szCs w:val="21"/>
          <w:spacing w:val="-4"/>
        </w:rPr>
        <w:t>因此平台监管重点要关注可竞争性。各个行业领域都会有许多</w:t>
      </w:r>
      <w:r>
        <w:rPr>
          <w:rFonts w:ascii="SimSun" w:hAnsi="SimSun" w:eastAsia="SimSun" w:cs="SimSun"/>
          <w:sz w:val="21"/>
          <w:szCs w:val="21"/>
          <w:spacing w:val="16"/>
        </w:rPr>
        <w:t xml:space="preserve"> </w:t>
      </w:r>
      <w:r>
        <w:rPr>
          <w:rFonts w:ascii="SimSun" w:hAnsi="SimSun" w:eastAsia="SimSun" w:cs="SimSun"/>
          <w:sz w:val="21"/>
          <w:szCs w:val="21"/>
          <w:spacing w:val="-11"/>
        </w:rPr>
        <w:t>品牌，而这个品牌背后都代表着几大平台企业的竞争。监管思路更多</w:t>
      </w:r>
      <w:r>
        <w:rPr>
          <w:rFonts w:ascii="SimSun" w:hAnsi="SimSun" w:eastAsia="SimSun" w:cs="SimSun"/>
          <w:sz w:val="21"/>
          <w:szCs w:val="21"/>
          <w:spacing w:val="3"/>
        </w:rPr>
        <w:t xml:space="preserve">  </w:t>
      </w:r>
      <w:r>
        <w:rPr>
          <w:rFonts w:ascii="SimSun" w:hAnsi="SimSun" w:eastAsia="SimSun" w:cs="SimSun"/>
          <w:sz w:val="21"/>
          <w:szCs w:val="21"/>
          <w:spacing w:val="-11"/>
        </w:rPr>
        <w:t>是看企业是否在利用市场的优势地位进行不正当竞争，进行一些行为</w:t>
      </w:r>
      <w:r>
        <w:rPr>
          <w:rFonts w:ascii="SimSun" w:hAnsi="SimSun" w:eastAsia="SimSun" w:cs="SimSun"/>
          <w:sz w:val="21"/>
          <w:szCs w:val="21"/>
        </w:rPr>
        <w:t xml:space="preserve">  </w:t>
      </w:r>
      <w:r>
        <w:rPr>
          <w:rFonts w:ascii="SimSun" w:hAnsi="SimSun" w:eastAsia="SimSun" w:cs="SimSun"/>
          <w:sz w:val="21"/>
          <w:szCs w:val="21"/>
          <w:spacing w:val="-12"/>
        </w:rPr>
        <w:t>类监管，鼓励创新活力以及中小初创企业的发展。这时候跨界竞争的</w:t>
      </w:r>
      <w:r>
        <w:rPr>
          <w:rFonts w:ascii="SimSun" w:hAnsi="SimSun" w:eastAsia="SimSun" w:cs="SimSun"/>
          <w:sz w:val="21"/>
          <w:szCs w:val="21"/>
          <w:spacing w:val="7"/>
        </w:rPr>
        <w:t xml:space="preserve">  </w:t>
      </w:r>
      <w:r>
        <w:rPr>
          <w:rFonts w:ascii="SimSun" w:hAnsi="SimSun" w:eastAsia="SimSun" w:cs="SimSun"/>
          <w:sz w:val="21"/>
          <w:szCs w:val="21"/>
          <w:spacing w:val="-11"/>
        </w:rPr>
        <w:t>普遍性带来的可能是让更多初创企业有非常好的加入大平台</w:t>
      </w:r>
      <w:r>
        <w:rPr>
          <w:rFonts w:ascii="SimSun" w:hAnsi="SimSun" w:eastAsia="SimSun" w:cs="SimSun"/>
          <w:sz w:val="21"/>
          <w:szCs w:val="21"/>
          <w:spacing w:val="-12"/>
        </w:rPr>
        <w:t>发展的机</w:t>
      </w:r>
      <w:r>
        <w:rPr>
          <w:rFonts w:ascii="SimSun" w:hAnsi="SimSun" w:eastAsia="SimSun" w:cs="SimSun"/>
          <w:sz w:val="21"/>
          <w:szCs w:val="21"/>
        </w:rPr>
        <w:t xml:space="preserve">  </w:t>
      </w:r>
      <w:r>
        <w:rPr>
          <w:rFonts w:ascii="SimSun" w:hAnsi="SimSun" w:eastAsia="SimSun" w:cs="SimSun"/>
          <w:sz w:val="21"/>
          <w:szCs w:val="21"/>
          <w:spacing w:val="-16"/>
        </w:rPr>
        <w:t>会。同时，如果大型平台进行的跨界投资越来越多</w:t>
      </w:r>
      <w:r>
        <w:rPr>
          <w:rFonts w:ascii="SimSun" w:hAnsi="SimSun" w:eastAsia="SimSun" w:cs="SimSun"/>
          <w:sz w:val="21"/>
          <w:szCs w:val="21"/>
          <w:spacing w:val="-17"/>
        </w:rPr>
        <w:t>，</w:t>
      </w:r>
      <w:r>
        <w:rPr>
          <w:rFonts w:ascii="SimSun" w:hAnsi="SimSun" w:eastAsia="SimSun" w:cs="SimSun"/>
          <w:sz w:val="21"/>
          <w:szCs w:val="21"/>
          <w:spacing w:val="50"/>
        </w:rPr>
        <w:t xml:space="preserve"> </w:t>
      </w:r>
      <w:r>
        <w:rPr>
          <w:rFonts w:ascii="SimSun" w:hAnsi="SimSun" w:eastAsia="SimSun" w:cs="SimSun"/>
          <w:sz w:val="21"/>
          <w:szCs w:val="21"/>
          <w:spacing w:val="-17"/>
        </w:rPr>
        <w:t>一些初创企业可</w:t>
      </w:r>
      <w:r>
        <w:rPr>
          <w:rFonts w:ascii="SimSun" w:hAnsi="SimSun" w:eastAsia="SimSun" w:cs="SimSun"/>
          <w:sz w:val="21"/>
          <w:szCs w:val="21"/>
        </w:rPr>
        <w:t xml:space="preserve">  </w:t>
      </w:r>
      <w:r>
        <w:rPr>
          <w:rFonts w:ascii="SimSun" w:hAnsi="SimSun" w:eastAsia="SimSun" w:cs="SimSun"/>
          <w:sz w:val="21"/>
          <w:szCs w:val="21"/>
          <w:spacing w:val="-11"/>
        </w:rPr>
        <w:t>能不得不选择接受某一家大型平台的投资，像阿里系、腾讯系以及美</w:t>
      </w:r>
      <w:r>
        <w:rPr>
          <w:rFonts w:ascii="SimSun" w:hAnsi="SimSun" w:eastAsia="SimSun" w:cs="SimSun"/>
          <w:sz w:val="21"/>
          <w:szCs w:val="21"/>
        </w:rPr>
        <w:t xml:space="preserve">  </w:t>
      </w:r>
      <w:r>
        <w:rPr>
          <w:rFonts w:ascii="SimSun" w:hAnsi="SimSun" w:eastAsia="SimSun" w:cs="SimSun"/>
          <w:sz w:val="21"/>
          <w:szCs w:val="21"/>
          <w:spacing w:val="-11"/>
        </w:rPr>
        <w:t>团、滴滴等都会存在一些内部的投资派系。这对于初创企业的发展以</w:t>
      </w:r>
      <w:r>
        <w:rPr>
          <w:rFonts w:ascii="SimSun" w:hAnsi="SimSun" w:eastAsia="SimSun" w:cs="SimSun"/>
          <w:sz w:val="21"/>
          <w:szCs w:val="21"/>
          <w:spacing w:val="3"/>
        </w:rPr>
        <w:t xml:space="preserve">  </w:t>
      </w:r>
      <w:r>
        <w:rPr>
          <w:rFonts w:ascii="SimSun" w:hAnsi="SimSun" w:eastAsia="SimSun" w:cs="SimSun"/>
          <w:sz w:val="21"/>
          <w:szCs w:val="21"/>
          <w:spacing w:val="-8"/>
        </w:rPr>
        <w:t>及整个经济活动的创新是好是坏，需要更细致的研究才能给出答案。</w:t>
      </w:r>
      <w:r>
        <w:rPr>
          <w:rFonts w:ascii="SimSun" w:hAnsi="SimSun" w:eastAsia="SimSun" w:cs="SimSun"/>
          <w:sz w:val="21"/>
          <w:szCs w:val="21"/>
          <w:spacing w:val="4"/>
        </w:rPr>
        <w:t xml:space="preserve"> </w:t>
      </w:r>
      <w:r>
        <w:rPr>
          <w:rFonts w:ascii="SimSun" w:hAnsi="SimSun" w:eastAsia="SimSun" w:cs="SimSun"/>
          <w:sz w:val="21"/>
          <w:szCs w:val="21"/>
          <w:spacing w:val="-11"/>
        </w:rPr>
        <w:t>但总而言之，我们关注的还是如何激发经济体的创新活力。监管</w:t>
      </w:r>
      <w:r>
        <w:rPr>
          <w:rFonts w:ascii="SimSun" w:hAnsi="SimSun" w:eastAsia="SimSun" w:cs="SimSun"/>
          <w:sz w:val="21"/>
          <w:szCs w:val="21"/>
          <w:spacing w:val="-12"/>
        </w:rPr>
        <w:t>的本</w:t>
      </w:r>
      <w:r>
        <w:rPr>
          <w:rFonts w:ascii="SimSun" w:hAnsi="SimSun" w:eastAsia="SimSun" w:cs="SimSun"/>
          <w:sz w:val="21"/>
          <w:szCs w:val="21"/>
        </w:rPr>
        <w:t xml:space="preserve">  </w:t>
      </w:r>
      <w:r>
        <w:rPr>
          <w:rFonts w:ascii="SimSun" w:hAnsi="SimSun" w:eastAsia="SimSun" w:cs="SimSun"/>
          <w:sz w:val="21"/>
          <w:szCs w:val="21"/>
          <w:spacing w:val="-11"/>
        </w:rPr>
        <w:t>质目标是保障市场的竞争性和活力。</w:t>
      </w:r>
    </w:p>
    <w:p>
      <w:pPr>
        <w:pStyle w:val="BodyText"/>
        <w:spacing w:line="395" w:lineRule="auto"/>
        <w:rPr/>
      </w:pPr>
      <w:r/>
    </w:p>
    <w:p>
      <w:pPr>
        <w:pStyle w:val="BodyText"/>
        <w:ind w:left="969"/>
        <w:spacing w:before="68" w:line="221" w:lineRule="auto"/>
        <w:rPr>
          <w:rFonts w:ascii="SimHei" w:hAnsi="SimHei" w:eastAsia="SimHei" w:cs="SimHei"/>
        </w:rPr>
      </w:pPr>
      <w:r>
        <w:rPr>
          <w:rFonts w:ascii="SimHei" w:hAnsi="SimHei" w:eastAsia="SimHei" w:cs="SimHei"/>
          <w:b/>
          <w:bCs/>
          <w:spacing w:val="-11"/>
        </w:rPr>
        <w:t>案例：美国国会听证会对</w:t>
      </w:r>
      <w:r>
        <w:rPr>
          <w:rFonts w:ascii="SimHei" w:hAnsi="SimHei" w:eastAsia="SimHei" w:cs="SimHei"/>
          <w:spacing w:val="-39"/>
        </w:rPr>
        <w:t xml:space="preserve"> </w:t>
      </w:r>
      <w:r>
        <w:rPr>
          <w:b/>
          <w:bCs/>
          <w:spacing w:val="-11"/>
        </w:rPr>
        <w:t>FAAG </w:t>
      </w:r>
      <w:r>
        <w:rPr>
          <w:rFonts w:ascii="SimHei" w:hAnsi="SimHei" w:eastAsia="SimHei" w:cs="SimHei"/>
          <w:b/>
          <w:bCs/>
          <w:spacing w:val="-11"/>
        </w:rPr>
        <w:t>垄断行为的质询</w:t>
      </w:r>
    </w:p>
    <w:p>
      <w:pPr>
        <w:ind w:left="46" w:right="115" w:firstLine="430"/>
        <w:spacing w:before="119" w:line="261" w:lineRule="auto"/>
        <w:rPr>
          <w:rFonts w:ascii="FangSong" w:hAnsi="FangSong" w:eastAsia="FangSong" w:cs="FangSong"/>
          <w:sz w:val="21"/>
          <w:szCs w:val="21"/>
        </w:rPr>
      </w:pPr>
      <w:r>
        <w:rPr>
          <w:rFonts w:ascii="FangSong" w:hAnsi="FangSong" w:eastAsia="FangSong" w:cs="FangSong"/>
          <w:sz w:val="21"/>
          <w:szCs w:val="21"/>
          <w:spacing w:val="-12"/>
        </w:rPr>
        <w:t>由于四家公司主营的业务领域不同，因此被质询到的垄断行为也</w:t>
      </w:r>
      <w:r>
        <w:rPr>
          <w:rFonts w:ascii="FangSong" w:hAnsi="FangSong" w:eastAsia="FangSong" w:cs="FangSong"/>
          <w:sz w:val="21"/>
          <w:szCs w:val="21"/>
        </w:rPr>
        <w:t xml:space="preserve"> </w:t>
      </w:r>
      <w:r>
        <w:rPr>
          <w:rFonts w:ascii="FangSong" w:hAnsi="FangSong" w:eastAsia="FangSong" w:cs="FangSong"/>
          <w:sz w:val="21"/>
          <w:szCs w:val="21"/>
          <w:spacing w:val="-11"/>
        </w:rPr>
        <w:t>各不相同。</w:t>
      </w:r>
    </w:p>
    <w:p>
      <w:pPr>
        <w:pStyle w:val="BodyText"/>
        <w:ind w:left="46" w:right="83" w:firstLine="430"/>
        <w:spacing w:before="125" w:line="294" w:lineRule="auto"/>
        <w:rPr>
          <w:rFonts w:ascii="FangSong" w:hAnsi="FangSong" w:eastAsia="FangSong" w:cs="FangSong"/>
        </w:rPr>
      </w:pPr>
      <w:r>
        <w:rPr>
          <w:rFonts w:ascii="FangSong" w:hAnsi="FangSong" w:eastAsia="FangSong" w:cs="FangSong"/>
          <w:spacing w:val="-11"/>
        </w:rPr>
        <w:t>苹果</w:t>
      </w:r>
      <w:r>
        <w:rPr>
          <w:rFonts w:ascii="Times New Roman" w:hAnsi="Times New Roman" w:eastAsia="Times New Roman" w:cs="Times New Roman"/>
          <w:spacing w:val="-11"/>
        </w:rPr>
        <w:t>CEO </w:t>
      </w:r>
      <w:r>
        <w:rPr>
          <w:rFonts w:ascii="FangSong" w:hAnsi="FangSong" w:eastAsia="FangSong" w:cs="FangSong"/>
          <w:spacing w:val="-11"/>
        </w:rPr>
        <w:t>库克被问及的问题主要有两个：</w:t>
      </w:r>
      <w:r>
        <w:rPr>
          <w:rFonts w:ascii="FangSong" w:hAnsi="FangSong" w:eastAsia="FangSong" w:cs="FangSong"/>
          <w:spacing w:val="67"/>
        </w:rPr>
        <w:t xml:space="preserve"> </w:t>
      </w:r>
      <w:r>
        <w:rPr>
          <w:rFonts w:ascii="FangSong" w:hAnsi="FangSong" w:eastAsia="FangSong" w:cs="FangSong"/>
          <w:spacing w:val="-11"/>
        </w:rPr>
        <w:t>一是苹果公司是否存</w:t>
      </w:r>
      <w:r>
        <w:rPr>
          <w:rFonts w:ascii="FangSong" w:hAnsi="FangSong" w:eastAsia="FangSong" w:cs="FangSong"/>
        </w:rPr>
        <w:t xml:space="preserve"> </w:t>
      </w:r>
      <w:r>
        <w:rPr>
          <w:rFonts w:ascii="FangSong" w:hAnsi="FangSong" w:eastAsia="FangSong" w:cs="FangSong"/>
          <w:spacing w:val="-8"/>
        </w:rPr>
        <w:t>在利用应用商店</w:t>
      </w:r>
      <w:r>
        <w:rPr>
          <w:spacing w:val="-8"/>
        </w:rPr>
        <w:t>App Store </w:t>
      </w:r>
      <w:r>
        <w:rPr>
          <w:rFonts w:ascii="FangSong" w:hAnsi="FangSong" w:eastAsia="FangSong" w:cs="FangSong"/>
          <w:spacing w:val="-8"/>
        </w:rPr>
        <w:t>打压竞争对手，为自家软件创造竞争优势</w:t>
      </w:r>
      <w:r>
        <w:rPr>
          <w:rFonts w:ascii="FangSong" w:hAnsi="FangSong" w:eastAsia="FangSong" w:cs="FangSong"/>
          <w:spacing w:val="15"/>
        </w:rPr>
        <w:t xml:space="preserve"> </w:t>
      </w:r>
      <w:r>
        <w:rPr>
          <w:rFonts w:ascii="FangSong" w:hAnsi="FangSong" w:eastAsia="FangSong" w:cs="FangSong"/>
          <w:spacing w:val="-4"/>
        </w:rPr>
        <w:t>的行为，议员称“苹果一手掌握着</w:t>
      </w:r>
      <w:r>
        <w:rPr>
          <w:rFonts w:ascii="Times New Roman" w:hAnsi="Times New Roman" w:eastAsia="Times New Roman" w:cs="Times New Roman"/>
          <w:spacing w:val="-4"/>
        </w:rPr>
        <w:t>App</w:t>
      </w:r>
      <w:r>
        <w:rPr>
          <w:rFonts w:ascii="Times New Roman" w:hAnsi="Times New Roman" w:eastAsia="Times New Roman" w:cs="Times New Roman"/>
          <w:spacing w:val="19"/>
        </w:rPr>
        <w:t xml:space="preserve"> </w:t>
      </w:r>
      <w:r>
        <w:rPr>
          <w:rFonts w:ascii="FangSong" w:hAnsi="FangSong" w:eastAsia="FangSong" w:cs="FangSong"/>
          <w:spacing w:val="-4"/>
        </w:rPr>
        <w:t>的生杀大权，只有他们可以</w:t>
      </w:r>
      <w:r>
        <w:rPr>
          <w:rFonts w:ascii="FangSong" w:hAnsi="FangSong" w:eastAsia="FangSong" w:cs="FangSong"/>
        </w:rPr>
        <w:t xml:space="preserve"> </w:t>
      </w:r>
      <w:r>
        <w:rPr>
          <w:rFonts w:ascii="FangSong" w:hAnsi="FangSong" w:eastAsia="FangSong" w:cs="FangSong"/>
          <w:spacing w:val="-7"/>
        </w:rPr>
        <w:t>决定应用可否上架</w:t>
      </w:r>
      <w:r>
        <w:rPr>
          <w:rFonts w:ascii="FangSong" w:hAnsi="FangSong" w:eastAsia="FangSong" w:cs="FangSong"/>
          <w:spacing w:val="-58"/>
        </w:rPr>
        <w:t xml:space="preserve"> </w:t>
      </w:r>
      <w:r>
        <w:rPr>
          <w:rFonts w:ascii="Times New Roman" w:hAnsi="Times New Roman" w:eastAsia="Times New Roman" w:cs="Times New Roman"/>
          <w:spacing w:val="-7"/>
        </w:rPr>
        <w:t>App</w:t>
      </w:r>
      <w:r>
        <w:rPr>
          <w:rFonts w:ascii="Times New Roman" w:hAnsi="Times New Roman" w:eastAsia="Times New Roman" w:cs="Times New Roman"/>
          <w:spacing w:val="13"/>
        </w:rPr>
        <w:t xml:space="preserve"> </w:t>
      </w:r>
      <w:r>
        <w:rPr>
          <w:rFonts w:ascii="Times New Roman" w:hAnsi="Times New Roman" w:eastAsia="Times New Roman" w:cs="Times New Roman"/>
          <w:spacing w:val="-7"/>
        </w:rPr>
        <w:t>Store </w:t>
      </w:r>
      <w:r>
        <w:rPr>
          <w:rFonts w:ascii="FangSong" w:hAnsi="FangSong" w:eastAsia="FangSong" w:cs="FangSong"/>
          <w:spacing w:val="-7"/>
        </w:rPr>
        <w:t>并被用户下载，审查流程对</w:t>
      </w:r>
      <w:r>
        <w:rPr>
          <w:rFonts w:ascii="FangSong" w:hAnsi="FangSong" w:eastAsia="FangSong" w:cs="FangSong"/>
          <w:spacing w:val="-8"/>
        </w:rPr>
        <w:t>于开发者来</w:t>
      </w:r>
      <w:r>
        <w:rPr>
          <w:rFonts w:ascii="FangSong" w:hAnsi="FangSong" w:eastAsia="FangSong" w:cs="FangSong"/>
        </w:rPr>
        <w:t xml:space="preserve"> </w:t>
      </w:r>
      <w:r>
        <w:rPr>
          <w:rFonts w:ascii="FangSong" w:hAnsi="FangSong" w:eastAsia="FangSong" w:cs="FangSong"/>
          <w:spacing w:val="-3"/>
        </w:rPr>
        <w:t>说是个黑箱”;二是如何解释“苹果税”(即用户在购买</w:t>
      </w:r>
      <w:r>
        <w:rPr>
          <w:rFonts w:ascii="Times New Roman" w:hAnsi="Times New Roman" w:eastAsia="Times New Roman" w:cs="Times New Roman"/>
          <w:spacing w:val="-3"/>
        </w:rPr>
        <w:t>App </w:t>
      </w:r>
      <w:r>
        <w:rPr>
          <w:rFonts w:ascii="FangSong" w:hAnsi="FangSong" w:eastAsia="FangSong" w:cs="FangSong"/>
          <w:spacing w:val="-3"/>
        </w:rPr>
        <w:t>时需要</w:t>
      </w:r>
      <w:r>
        <w:rPr>
          <w:rFonts w:ascii="FangSong" w:hAnsi="FangSong" w:eastAsia="FangSong" w:cs="FangSong"/>
          <w:spacing w:val="2"/>
        </w:rPr>
        <w:t xml:space="preserve"> </w:t>
      </w:r>
      <w:r>
        <w:rPr>
          <w:rFonts w:ascii="FangSong" w:hAnsi="FangSong" w:eastAsia="FangSong" w:cs="FangSong"/>
          <w:spacing w:val="3"/>
        </w:rPr>
        <w:t>向苹果支付30%的费用)。</w:t>
      </w:r>
    </w:p>
    <w:p>
      <w:pPr>
        <w:ind w:firstLine="476"/>
        <w:spacing w:before="153" w:line="294" w:lineRule="auto"/>
        <w:jc w:val="both"/>
        <w:rPr>
          <w:rFonts w:ascii="FangSong" w:hAnsi="FangSong" w:eastAsia="FangSong" w:cs="FangSong"/>
          <w:sz w:val="21"/>
          <w:szCs w:val="21"/>
        </w:rPr>
      </w:pPr>
      <w:r>
        <w:rPr>
          <w:rFonts w:ascii="FangSong" w:hAnsi="FangSong" w:eastAsia="FangSong" w:cs="FangSong"/>
          <w:sz w:val="21"/>
          <w:szCs w:val="21"/>
          <w:spacing w:val="-1"/>
        </w:rPr>
        <w:t>对于第一个问题，库克称“我们注重隐私安全和</w:t>
      </w:r>
      <w:r>
        <w:rPr>
          <w:rFonts w:ascii="SimSun" w:hAnsi="SimSun" w:eastAsia="SimSun" w:cs="SimSun"/>
          <w:sz w:val="21"/>
          <w:szCs w:val="21"/>
          <w:spacing w:val="-1"/>
        </w:rPr>
        <w:t>App </w:t>
      </w:r>
      <w:r>
        <w:rPr>
          <w:rFonts w:ascii="FangSong" w:hAnsi="FangSong" w:eastAsia="FangSong" w:cs="FangSong"/>
          <w:sz w:val="21"/>
          <w:szCs w:val="21"/>
          <w:spacing w:val="-1"/>
        </w:rPr>
        <w:t>的品质，</w:t>
      </w:r>
      <w:r>
        <w:rPr>
          <w:rFonts w:ascii="FangSong" w:hAnsi="FangSong" w:eastAsia="FangSong" w:cs="FangSong"/>
          <w:sz w:val="21"/>
          <w:szCs w:val="21"/>
          <w:spacing w:val="18"/>
        </w:rPr>
        <w:t xml:space="preserve"> </w:t>
      </w:r>
      <w:r>
        <w:rPr>
          <w:rFonts w:ascii="FangSong" w:hAnsi="FangSong" w:eastAsia="FangSong" w:cs="FangSong"/>
          <w:sz w:val="21"/>
          <w:szCs w:val="21"/>
          <w:spacing w:val="-4"/>
        </w:rPr>
        <w:t>审查规则平等适用于每一个人”,随后把话题转向苹果做出的贡献，</w:t>
      </w:r>
      <w:r>
        <w:rPr>
          <w:rFonts w:ascii="FangSong" w:hAnsi="FangSong" w:eastAsia="FangSong" w:cs="FangSong"/>
          <w:sz w:val="21"/>
          <w:szCs w:val="21"/>
          <w:spacing w:val="1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Store</w:t>
      </w:r>
      <w:r>
        <w:rPr>
          <w:rFonts w:ascii="FangSong" w:hAnsi="FangSong" w:eastAsia="FangSong" w:cs="FangSong"/>
          <w:sz w:val="21"/>
          <w:szCs w:val="21"/>
          <w:spacing w:val="5"/>
        </w:rPr>
        <w:t>从最初的500个</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5"/>
        </w:rPr>
        <w:t>发展到今天的17</w:t>
      </w:r>
      <w:r>
        <w:rPr>
          <w:rFonts w:ascii="FangSong" w:hAnsi="FangSong" w:eastAsia="FangSong" w:cs="FangSong"/>
          <w:sz w:val="21"/>
          <w:szCs w:val="21"/>
          <w:spacing w:val="4"/>
        </w:rPr>
        <w:t>0万个</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1"/>
          <w:w w:val="101"/>
        </w:rPr>
        <w:t xml:space="preserve">  </w:t>
      </w:r>
      <w:r>
        <w:rPr>
          <w:rFonts w:ascii="FangSong" w:hAnsi="FangSong" w:eastAsia="FangSong" w:cs="FangSong"/>
          <w:sz w:val="21"/>
          <w:szCs w:val="21"/>
          <w:spacing w:val="4"/>
        </w:rPr>
        <w:t>其中只</w:t>
      </w:r>
      <w:r>
        <w:rPr>
          <w:rFonts w:ascii="FangSong" w:hAnsi="FangSong" w:eastAsia="FangSong" w:cs="FangSong"/>
          <w:sz w:val="21"/>
          <w:szCs w:val="21"/>
        </w:rPr>
        <w:t xml:space="preserve">  </w:t>
      </w:r>
      <w:r>
        <w:rPr>
          <w:rFonts w:ascii="FangSong" w:hAnsi="FangSong" w:eastAsia="FangSong" w:cs="FangSong"/>
          <w:sz w:val="21"/>
          <w:szCs w:val="21"/>
          <w:spacing w:val="-7"/>
        </w:rPr>
        <w:t>有60多个是苹果自家的，苹果作为守门人，所做的是把门越开越大，</w:t>
      </w:r>
      <w:r>
        <w:rPr>
          <w:rFonts w:ascii="FangSong" w:hAnsi="FangSong" w:eastAsia="FangSong" w:cs="FangSong"/>
          <w:sz w:val="21"/>
          <w:szCs w:val="21"/>
          <w:spacing w:val="7"/>
        </w:rPr>
        <w:t xml:space="preserve"> </w:t>
      </w:r>
      <w:r>
        <w:rPr>
          <w:rFonts w:ascii="FangSong" w:hAnsi="FangSong" w:eastAsia="FangSong" w:cs="FangSong"/>
          <w:sz w:val="21"/>
          <w:szCs w:val="21"/>
          <w:spacing w:val="-10"/>
        </w:rPr>
        <w:t>为更多开发者提供服务”。对于第二个问题，库克答道，收取佣金是</w:t>
      </w:r>
      <w:r>
        <w:rPr>
          <w:rFonts w:ascii="FangSong" w:hAnsi="FangSong" w:eastAsia="FangSong" w:cs="FangSong"/>
          <w:sz w:val="21"/>
          <w:szCs w:val="21"/>
          <w:spacing w:val="9"/>
        </w:rPr>
        <w:t xml:space="preserve">  </w:t>
      </w:r>
      <w:r>
        <w:rPr>
          <w:rFonts w:ascii="FangSong" w:hAnsi="FangSong" w:eastAsia="FangSong" w:cs="FangSong"/>
          <w:sz w:val="21"/>
          <w:szCs w:val="21"/>
          <w:spacing w:val="-9"/>
        </w:rPr>
        <w:t>为了更好地服务开发者，提供更好的用户体验。至于为何抽成比例这</w:t>
      </w:r>
    </w:p>
    <w:p>
      <w:pPr>
        <w:spacing w:line="294" w:lineRule="auto"/>
        <w:sectPr>
          <w:headerReference w:type="default" r:id="rId169"/>
          <w:pgSz w:w="7330" w:h="12480"/>
          <w:pgMar w:top="537" w:right="549" w:bottom="400" w:left="643" w:header="375" w:footer="0" w:gutter="0"/>
        </w:sectPr>
        <w:rPr>
          <w:rFonts w:ascii="FangSong" w:hAnsi="FangSong" w:eastAsia="FangSong" w:cs="FangSong"/>
          <w:sz w:val="21"/>
          <w:szCs w:val="21"/>
        </w:rPr>
      </w:pP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spacing w:before="65" w:line="220" w:lineRule="auto"/>
        <w:rPr>
          <w:rFonts w:ascii="FangSong" w:hAnsi="FangSong" w:eastAsia="FangSong" w:cs="FangSong"/>
          <w:sz w:val="20"/>
          <w:szCs w:val="20"/>
        </w:rPr>
      </w:pPr>
      <w:r>
        <w:rPr>
          <w:rFonts w:ascii="FangSong" w:hAnsi="FangSong" w:eastAsia="FangSong" w:cs="FangSong"/>
          <w:sz w:val="20"/>
          <w:szCs w:val="20"/>
          <w:spacing w:val="-5"/>
        </w:rPr>
        <w:t>么高，他并未正面回答。</w:t>
      </w:r>
    </w:p>
    <w:p>
      <w:pPr>
        <w:ind w:right="24" w:firstLine="399"/>
        <w:spacing w:before="118" w:line="311" w:lineRule="auto"/>
        <w:jc w:val="both"/>
        <w:rPr>
          <w:rFonts w:ascii="FangSong" w:hAnsi="FangSong" w:eastAsia="FangSong" w:cs="FangSong"/>
          <w:sz w:val="20"/>
          <w:szCs w:val="20"/>
        </w:rPr>
      </w:pPr>
      <w:r>
        <w:rPr>
          <w:rFonts w:ascii="FangSong" w:hAnsi="FangSong" w:eastAsia="FangSong" w:cs="FangSong"/>
          <w:sz w:val="20"/>
          <w:szCs w:val="20"/>
          <w:spacing w:val="-6"/>
        </w:rPr>
        <w:t>谷歌被质询的主要问题有：</w:t>
      </w:r>
      <w:r>
        <w:rPr>
          <w:rFonts w:ascii="FangSong" w:hAnsi="FangSong" w:eastAsia="FangSong" w:cs="FangSong"/>
          <w:sz w:val="20"/>
          <w:szCs w:val="20"/>
          <w:spacing w:val="61"/>
        </w:rPr>
        <w:t xml:space="preserve"> </w:t>
      </w:r>
      <w:r>
        <w:rPr>
          <w:rFonts w:ascii="FangSong" w:hAnsi="FangSong" w:eastAsia="FangSong" w:cs="FangSong"/>
          <w:sz w:val="20"/>
          <w:szCs w:val="20"/>
          <w:spacing w:val="-6"/>
        </w:rPr>
        <w:t>一是谷歌是否存</w:t>
      </w:r>
      <w:r>
        <w:rPr>
          <w:rFonts w:ascii="FangSong" w:hAnsi="FangSong" w:eastAsia="FangSong" w:cs="FangSong"/>
          <w:sz w:val="20"/>
          <w:szCs w:val="20"/>
          <w:spacing w:val="-7"/>
        </w:rPr>
        <w:t>在收集用户数据来获</w:t>
      </w:r>
      <w:r>
        <w:rPr>
          <w:rFonts w:ascii="FangSong" w:hAnsi="FangSong" w:eastAsia="FangSong" w:cs="FangSong"/>
          <w:sz w:val="20"/>
          <w:szCs w:val="20"/>
        </w:rPr>
        <w:t xml:space="preserve"> </w:t>
      </w:r>
      <w:r>
        <w:rPr>
          <w:rFonts w:ascii="FangSong" w:hAnsi="FangSong" w:eastAsia="FangSong" w:cs="FangSong"/>
          <w:sz w:val="20"/>
          <w:szCs w:val="20"/>
          <w:spacing w:val="-1"/>
        </w:rPr>
        <w:t>利或者操控搜索结果来影响政治的行为；二是是否利用其搜索平台的</w:t>
      </w:r>
      <w:r>
        <w:rPr>
          <w:rFonts w:ascii="FangSong" w:hAnsi="FangSong" w:eastAsia="FangSong" w:cs="FangSong"/>
          <w:sz w:val="20"/>
          <w:szCs w:val="20"/>
          <w:spacing w:val="16"/>
        </w:rPr>
        <w:t xml:space="preserve"> </w:t>
      </w:r>
      <w:r>
        <w:rPr>
          <w:rFonts w:ascii="FangSong" w:hAnsi="FangSong" w:eastAsia="FangSong" w:cs="FangSong"/>
          <w:sz w:val="20"/>
          <w:szCs w:val="20"/>
          <w:spacing w:val="5"/>
        </w:rPr>
        <w:t>主导优势有意将竞争对手排除，并举例称201</w:t>
      </w:r>
      <w:r>
        <w:rPr>
          <w:rFonts w:ascii="FangSong" w:hAnsi="FangSong" w:eastAsia="FangSong" w:cs="FangSong"/>
          <w:sz w:val="20"/>
          <w:szCs w:val="20"/>
          <w:spacing w:val="4"/>
        </w:rPr>
        <w:t>0年谷歌窃取</w:t>
      </w:r>
      <w:r>
        <w:rPr>
          <w:rFonts w:ascii="FangSong" w:hAnsi="FangSong" w:eastAsia="FangSong" w:cs="FangSong"/>
          <w:sz w:val="20"/>
          <w:szCs w:val="20"/>
          <w:spacing w:val="-52"/>
        </w:rPr>
        <w:t xml:space="preserve"> </w:t>
      </w:r>
      <w:r>
        <w:rPr>
          <w:rFonts w:ascii="Times New Roman" w:hAnsi="Times New Roman" w:eastAsia="Times New Roman" w:cs="Times New Roman"/>
          <w:sz w:val="20"/>
          <w:szCs w:val="20"/>
        </w:rPr>
        <w:t>Yelp</w:t>
      </w:r>
      <w:r>
        <w:rPr>
          <w:rFonts w:ascii="FangSong" w:hAnsi="FangSong" w:eastAsia="FangSong" w:cs="FangSong"/>
          <w:sz w:val="20"/>
          <w:szCs w:val="20"/>
          <w:spacing w:val="4"/>
        </w:rPr>
        <w:t>的餐</w:t>
      </w:r>
      <w:r>
        <w:rPr>
          <w:rFonts w:ascii="FangSong" w:hAnsi="FangSong" w:eastAsia="FangSong" w:cs="FangSong"/>
          <w:sz w:val="20"/>
          <w:szCs w:val="20"/>
        </w:rPr>
        <w:t xml:space="preserve"> </w:t>
      </w:r>
      <w:r>
        <w:rPr>
          <w:rFonts w:ascii="FangSong" w:hAnsi="FangSong" w:eastAsia="FangSong" w:cs="FangSong"/>
          <w:sz w:val="20"/>
          <w:szCs w:val="20"/>
          <w:spacing w:val="5"/>
        </w:rPr>
        <w:t>馆点评数据，从而为自己的本地商业搜索业务引流，若</w:t>
      </w:r>
      <w:r>
        <w:rPr>
          <w:rFonts w:ascii="SimSun" w:hAnsi="SimSun" w:eastAsia="SimSun" w:cs="SimSun"/>
          <w:sz w:val="20"/>
          <w:szCs w:val="20"/>
        </w:rPr>
        <w:t>Yelp</w:t>
      </w:r>
      <w:r>
        <w:rPr>
          <w:rFonts w:ascii="SimSun" w:hAnsi="SimSun" w:eastAsia="SimSun" w:cs="SimSun"/>
          <w:sz w:val="20"/>
          <w:szCs w:val="20"/>
          <w:spacing w:val="-46"/>
        </w:rPr>
        <w:t xml:space="preserve"> </w:t>
      </w:r>
      <w:r>
        <w:rPr>
          <w:rFonts w:ascii="FangSong" w:hAnsi="FangSong" w:eastAsia="FangSong" w:cs="FangSong"/>
          <w:sz w:val="20"/>
          <w:szCs w:val="20"/>
          <w:spacing w:val="4"/>
        </w:rPr>
        <w:t>不同意</w:t>
      </w:r>
      <w:r>
        <w:rPr>
          <w:rFonts w:ascii="FangSong" w:hAnsi="FangSong" w:eastAsia="FangSong" w:cs="FangSong"/>
          <w:sz w:val="20"/>
          <w:szCs w:val="20"/>
        </w:rPr>
        <w:t xml:space="preserve"> </w:t>
      </w:r>
      <w:r>
        <w:rPr>
          <w:rFonts w:ascii="FangSong" w:hAnsi="FangSong" w:eastAsia="FangSong" w:cs="FangSong"/>
          <w:sz w:val="20"/>
          <w:szCs w:val="20"/>
          <w:spacing w:val="-2"/>
        </w:rPr>
        <w:t>则威胁将其从搜索列表中删除；三是与中国市场的关联。</w:t>
      </w:r>
    </w:p>
    <w:p>
      <w:pPr>
        <w:ind w:right="14" w:firstLine="399"/>
        <w:spacing w:before="118" w:line="320" w:lineRule="auto"/>
        <w:jc w:val="both"/>
        <w:rPr>
          <w:rFonts w:ascii="FangSong" w:hAnsi="FangSong" w:eastAsia="FangSong" w:cs="FangSong"/>
          <w:sz w:val="20"/>
          <w:szCs w:val="20"/>
        </w:rPr>
      </w:pPr>
      <w:r>
        <w:rPr>
          <w:rFonts w:ascii="FangSong" w:hAnsi="FangSong" w:eastAsia="FangSong" w:cs="FangSong"/>
          <w:sz w:val="20"/>
          <w:szCs w:val="20"/>
          <w:spacing w:val="6"/>
        </w:rPr>
        <w:t>对于第一个问题，皮查伊称谷歌收集用户数据是为了给用户提</w:t>
      </w:r>
      <w:r>
        <w:rPr>
          <w:rFonts w:ascii="FangSong" w:hAnsi="FangSong" w:eastAsia="FangSong" w:cs="FangSong"/>
          <w:sz w:val="20"/>
          <w:szCs w:val="20"/>
          <w:spacing w:val="1"/>
        </w:rPr>
        <w:t xml:space="preserve"> </w:t>
      </w:r>
      <w:r>
        <w:rPr>
          <w:rFonts w:ascii="FangSong" w:hAnsi="FangSong" w:eastAsia="FangSong" w:cs="FangSong"/>
          <w:sz w:val="20"/>
          <w:szCs w:val="20"/>
          <w:spacing w:val="-3"/>
        </w:rPr>
        <w:t>供更好的使用体验，而非其他目的。谷歌的</w:t>
      </w:r>
      <w:r>
        <w:rPr>
          <w:rFonts w:ascii="FangSong" w:hAnsi="FangSong" w:eastAsia="FangSong" w:cs="FangSong"/>
          <w:sz w:val="20"/>
          <w:szCs w:val="20"/>
          <w:spacing w:val="-4"/>
        </w:rPr>
        <w:t>工作“不涉及党派利益”,</w:t>
      </w:r>
      <w:r>
        <w:rPr>
          <w:rFonts w:ascii="FangSong" w:hAnsi="FangSong" w:eastAsia="FangSong" w:cs="FangSong"/>
          <w:sz w:val="20"/>
          <w:szCs w:val="20"/>
        </w:rPr>
        <w:t xml:space="preserve"> </w:t>
      </w:r>
      <w:r>
        <w:rPr>
          <w:rFonts w:ascii="FangSong" w:hAnsi="FangSong" w:eastAsia="FangSong" w:cs="FangSong"/>
          <w:sz w:val="20"/>
          <w:szCs w:val="20"/>
          <w:spacing w:val="-1"/>
        </w:rPr>
        <w:t>并承诺谷歌不会为了帮助拜登而调整功能，搜索引擎也不会用于压制</w:t>
      </w:r>
      <w:r>
        <w:rPr>
          <w:rFonts w:ascii="FangSong" w:hAnsi="FangSong" w:eastAsia="FangSong" w:cs="FangSong"/>
          <w:sz w:val="20"/>
          <w:szCs w:val="20"/>
          <w:spacing w:val="13"/>
        </w:rPr>
        <w:t xml:space="preserve"> </w:t>
      </w:r>
      <w:r>
        <w:rPr>
          <w:rFonts w:ascii="FangSong" w:hAnsi="FangSong" w:eastAsia="FangSong" w:cs="FangSong"/>
          <w:sz w:val="20"/>
          <w:szCs w:val="20"/>
          <w:spacing w:val="-1"/>
        </w:rPr>
        <w:t>保守派的声音。对于第二个问题，皮查伊称从垂直搜索结果中可以明</w:t>
      </w:r>
      <w:r>
        <w:rPr>
          <w:rFonts w:ascii="FangSong" w:hAnsi="FangSong" w:eastAsia="FangSong" w:cs="FangSong"/>
          <w:sz w:val="20"/>
          <w:szCs w:val="20"/>
          <w:spacing w:val="14"/>
        </w:rPr>
        <w:t xml:space="preserve"> </w:t>
      </w:r>
      <w:r>
        <w:rPr>
          <w:rFonts w:ascii="FangSong" w:hAnsi="FangSong" w:eastAsia="FangSong" w:cs="FangSong"/>
          <w:sz w:val="20"/>
          <w:szCs w:val="20"/>
          <w:spacing w:val="9"/>
        </w:rPr>
        <w:t>显看到激烈的竞争，比如当用户搜索线上购物，有55%以上的产品</w:t>
      </w:r>
      <w:r>
        <w:rPr>
          <w:rFonts w:ascii="FangSong" w:hAnsi="FangSong" w:eastAsia="FangSong" w:cs="FangSong"/>
          <w:sz w:val="20"/>
          <w:szCs w:val="20"/>
          <w:spacing w:val="11"/>
        </w:rPr>
        <w:t xml:space="preserve"> </w:t>
      </w:r>
      <w:r>
        <w:rPr>
          <w:rFonts w:ascii="FangSong" w:hAnsi="FangSong" w:eastAsia="FangSong" w:cs="FangSong"/>
          <w:sz w:val="20"/>
          <w:szCs w:val="20"/>
          <w:spacing w:val="9"/>
        </w:rPr>
        <w:t>来自亚马逊，70%来自大型电商公司，对于</w:t>
      </w:r>
      <w:r>
        <w:rPr>
          <w:rFonts w:ascii="FangSong" w:hAnsi="FangSong" w:eastAsia="FangSong" w:cs="FangSong"/>
          <w:sz w:val="20"/>
          <w:szCs w:val="20"/>
          <w:spacing w:val="-44"/>
        </w:rPr>
        <w:t xml:space="preserve"> </w:t>
      </w:r>
      <w:r>
        <w:rPr>
          <w:rFonts w:ascii="Times New Roman" w:hAnsi="Times New Roman" w:eastAsia="Times New Roman" w:cs="Times New Roman"/>
          <w:sz w:val="20"/>
          <w:szCs w:val="20"/>
        </w:rPr>
        <w:t>Yelp</w:t>
      </w:r>
      <w:r>
        <w:rPr>
          <w:rFonts w:ascii="FangSong" w:hAnsi="FangSong" w:eastAsia="FangSong" w:cs="FangSong"/>
          <w:sz w:val="20"/>
          <w:szCs w:val="20"/>
          <w:spacing w:val="9"/>
        </w:rPr>
        <w:t>事件则没有正面回</w:t>
      </w:r>
      <w:r>
        <w:rPr>
          <w:rFonts w:ascii="FangSong" w:hAnsi="FangSong" w:eastAsia="FangSong" w:cs="FangSong"/>
          <w:sz w:val="20"/>
          <w:szCs w:val="20"/>
        </w:rPr>
        <w:t xml:space="preserve"> </w:t>
      </w:r>
      <w:r>
        <w:rPr>
          <w:rFonts w:ascii="FangSong" w:hAnsi="FangSong" w:eastAsia="FangSong" w:cs="FangSong"/>
          <w:sz w:val="20"/>
          <w:szCs w:val="20"/>
          <w:spacing w:val="-1"/>
        </w:rPr>
        <w:t>应，表示从自己开始运营谷歌公司就一直致力于为消费者提供更好的</w:t>
      </w:r>
      <w:r>
        <w:rPr>
          <w:rFonts w:ascii="FangSong" w:hAnsi="FangSong" w:eastAsia="FangSong" w:cs="FangSong"/>
          <w:sz w:val="20"/>
          <w:szCs w:val="20"/>
          <w:spacing w:val="15"/>
        </w:rPr>
        <w:t xml:space="preserve"> </w:t>
      </w:r>
      <w:r>
        <w:rPr>
          <w:rFonts w:ascii="FangSong" w:hAnsi="FangSong" w:eastAsia="FangSong" w:cs="FangSong"/>
          <w:sz w:val="20"/>
          <w:szCs w:val="20"/>
          <w:spacing w:val="-1"/>
        </w:rPr>
        <w:t>服务。而关于中国问题，他描述了谷歌如何与美</w:t>
      </w:r>
      <w:r>
        <w:rPr>
          <w:rFonts w:ascii="FangSong" w:hAnsi="FangSong" w:eastAsia="FangSong" w:cs="FangSong"/>
          <w:sz w:val="20"/>
          <w:szCs w:val="20"/>
          <w:spacing w:val="-2"/>
        </w:rPr>
        <w:t>国机构通力合作，并</w:t>
      </w:r>
      <w:r>
        <w:rPr>
          <w:rFonts w:ascii="FangSong" w:hAnsi="FangSong" w:eastAsia="FangSong" w:cs="FangSong"/>
          <w:sz w:val="20"/>
          <w:szCs w:val="20"/>
        </w:rPr>
        <w:t xml:space="preserve"> </w:t>
      </w:r>
      <w:r>
        <w:rPr>
          <w:rFonts w:ascii="FangSong" w:hAnsi="FangSong" w:eastAsia="FangSong" w:cs="FangSong"/>
          <w:sz w:val="20"/>
          <w:szCs w:val="20"/>
          <w:spacing w:val="-4"/>
        </w:rPr>
        <w:t>坚称除了少数项目外，不为中国客户提供服务。</w:t>
      </w:r>
    </w:p>
    <w:p>
      <w:pPr>
        <w:ind w:firstLine="399"/>
        <w:spacing w:before="132" w:line="309" w:lineRule="auto"/>
        <w:jc w:val="both"/>
        <w:rPr>
          <w:rFonts w:ascii="FangSong" w:hAnsi="FangSong" w:eastAsia="FangSong" w:cs="FangSong"/>
          <w:sz w:val="20"/>
          <w:szCs w:val="20"/>
        </w:rPr>
      </w:pPr>
      <w:r>
        <w:rPr>
          <w:rFonts w:ascii="FangSong" w:hAnsi="FangSong" w:eastAsia="FangSong" w:cs="FangSong"/>
          <w:sz w:val="20"/>
          <w:szCs w:val="20"/>
          <w:spacing w:val="6"/>
        </w:rPr>
        <w:t>脸书被质疑采取要么收购、要么模仿的策略来打击新崛起的公</w:t>
      </w:r>
      <w:r>
        <w:rPr>
          <w:rFonts w:ascii="FangSong" w:hAnsi="FangSong" w:eastAsia="FangSong" w:cs="FangSong"/>
          <w:sz w:val="20"/>
          <w:szCs w:val="20"/>
          <w:spacing w:val="1"/>
        </w:rPr>
        <w:t xml:space="preserve"> </w:t>
      </w:r>
      <w:r>
        <w:rPr>
          <w:rFonts w:ascii="FangSong" w:hAnsi="FangSong" w:eastAsia="FangSong" w:cs="FangSong"/>
          <w:sz w:val="20"/>
          <w:szCs w:val="20"/>
          <w:spacing w:val="-1"/>
        </w:rPr>
        <w:t>司，避免潜在竞争对手的挑战，这破坏了民主与商业开放，损害消费</w:t>
      </w:r>
      <w:r>
        <w:rPr>
          <w:rFonts w:ascii="FangSong" w:hAnsi="FangSong" w:eastAsia="FangSong" w:cs="FangSong"/>
          <w:sz w:val="20"/>
          <w:szCs w:val="20"/>
        </w:rPr>
        <w:t xml:space="preserve"> </w:t>
      </w:r>
      <w:r>
        <w:rPr>
          <w:rFonts w:ascii="FangSong" w:hAnsi="FangSong" w:eastAsia="FangSong" w:cs="FangSong"/>
          <w:sz w:val="20"/>
          <w:szCs w:val="20"/>
          <w:spacing w:val="6"/>
        </w:rPr>
        <w:t>者利益。具体地，听证会质询脸书在收购</w:t>
      </w:r>
      <w:r>
        <w:rPr>
          <w:rFonts w:ascii="Times New Roman" w:hAnsi="Times New Roman" w:eastAsia="Times New Roman" w:cs="Times New Roman"/>
          <w:sz w:val="20"/>
          <w:szCs w:val="20"/>
        </w:rPr>
        <w:t>WhatsApp</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和</w:t>
      </w:r>
      <w:r>
        <w:rPr>
          <w:rFonts w:ascii="FangSong" w:hAnsi="FangSong" w:eastAsia="FangSong" w:cs="FangSong"/>
          <w:sz w:val="20"/>
          <w:szCs w:val="20"/>
          <w:spacing w:val="-32"/>
        </w:rPr>
        <w:t xml:space="preserve"> </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时</w:t>
      </w:r>
      <w:r>
        <w:rPr>
          <w:rFonts w:ascii="FangSong" w:hAnsi="FangSong" w:eastAsia="FangSong" w:cs="FangSong"/>
          <w:sz w:val="20"/>
          <w:szCs w:val="20"/>
        </w:rPr>
        <w:t xml:space="preserve"> </w:t>
      </w:r>
      <w:r>
        <w:rPr>
          <w:rFonts w:ascii="FangSong" w:hAnsi="FangSong" w:eastAsia="FangSong" w:cs="FangSong"/>
          <w:sz w:val="20"/>
          <w:szCs w:val="20"/>
          <w:spacing w:val="4"/>
        </w:rPr>
        <w:t>是否涉嫌威胁竞争对手，引用了</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32"/>
          <w:w w:val="101"/>
        </w:rPr>
        <w:t xml:space="preserve"> </w:t>
      </w:r>
      <w:r>
        <w:rPr>
          <w:rFonts w:ascii="FangSong" w:hAnsi="FangSong" w:eastAsia="FangSong" w:cs="FangSong"/>
          <w:sz w:val="20"/>
          <w:szCs w:val="20"/>
          <w:spacing w:val="4"/>
        </w:rPr>
        <w:t>创始人曾经的担忧，若当</w:t>
      </w:r>
      <w:r>
        <w:rPr>
          <w:rFonts w:ascii="FangSong" w:hAnsi="FangSong" w:eastAsia="FangSong" w:cs="FangSong"/>
          <w:sz w:val="20"/>
          <w:szCs w:val="20"/>
        </w:rPr>
        <w:t xml:space="preserve"> </w:t>
      </w:r>
      <w:r>
        <w:rPr>
          <w:rFonts w:ascii="FangSong" w:hAnsi="FangSong" w:eastAsia="FangSong" w:cs="FangSong"/>
          <w:sz w:val="20"/>
          <w:szCs w:val="20"/>
          <w:spacing w:val="8"/>
        </w:rPr>
        <w:t>时不同意被收购，脸书将采取</w:t>
      </w:r>
      <w:r>
        <w:rPr>
          <w:rFonts w:ascii="FangSong" w:hAnsi="FangSong" w:eastAsia="FangSong" w:cs="FangSong"/>
          <w:sz w:val="20"/>
          <w:szCs w:val="20"/>
          <w:spacing w:val="-21"/>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destroy</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mode</w:t>
      </w:r>
      <w:r>
        <w:rPr>
          <w:rFonts w:ascii="Times New Roman" w:hAnsi="Times New Roman" w:eastAsia="Times New Roman" w:cs="Times New Roman"/>
          <w:sz w:val="20"/>
          <w:szCs w:val="20"/>
          <w:spacing w:val="8"/>
        </w:rPr>
        <w:t>”</w:t>
      </w:r>
      <w:r>
        <w:rPr>
          <w:rFonts w:ascii="FangSong" w:hAnsi="FangSong" w:eastAsia="FangSong" w:cs="FangSong"/>
          <w:sz w:val="20"/>
          <w:szCs w:val="20"/>
          <w:spacing w:val="8"/>
        </w:rPr>
        <w:t>(破坏模式),威胁将</w:t>
      </w:r>
      <w:r>
        <w:rPr>
          <w:rFonts w:ascii="FangSong" w:hAnsi="FangSong" w:eastAsia="FangSong" w:cs="FangSong"/>
          <w:sz w:val="20"/>
          <w:szCs w:val="20"/>
        </w:rPr>
        <w:t xml:space="preserve"> </w:t>
      </w:r>
      <w:r>
        <w:rPr>
          <w:rFonts w:ascii="FangSong" w:hAnsi="FangSong" w:eastAsia="FangSong" w:cs="FangSong"/>
          <w:sz w:val="20"/>
          <w:szCs w:val="20"/>
        </w:rPr>
        <w:t>开发</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26"/>
        </w:rPr>
        <w:t xml:space="preserve"> </w:t>
      </w:r>
      <w:r>
        <w:rPr>
          <w:rFonts w:ascii="FangSong" w:hAnsi="FangSong" w:eastAsia="FangSong" w:cs="FangSong"/>
          <w:sz w:val="20"/>
          <w:szCs w:val="20"/>
        </w:rPr>
        <w:t>的克隆版本</w:t>
      </w:r>
      <w:r>
        <w:rPr>
          <w:rFonts w:ascii="FangSong" w:hAnsi="FangSong" w:eastAsia="FangSong" w:cs="FangSong"/>
          <w:sz w:val="20"/>
          <w:szCs w:val="20"/>
          <w:spacing w:val="-33"/>
        </w:rPr>
        <w:t xml:space="preserve"> </w:t>
      </w:r>
      <w:r>
        <w:rPr>
          <w:rFonts w:ascii="Times New Roman" w:hAnsi="Times New Roman" w:eastAsia="Times New Roman" w:cs="Times New Roman"/>
          <w:sz w:val="20"/>
          <w:szCs w:val="20"/>
        </w:rPr>
        <w:t>“Facebook  Camera”</w:t>
      </w:r>
      <w:r>
        <w:rPr>
          <w:rFonts w:ascii="Times New Roman" w:hAnsi="Times New Roman" w:eastAsia="Times New Roman" w:cs="Times New Roman"/>
          <w:sz w:val="20"/>
          <w:szCs w:val="20"/>
          <w:spacing w:val="35"/>
        </w:rPr>
        <w:t xml:space="preserve"> </w:t>
      </w:r>
      <w:r>
        <w:rPr>
          <w:rFonts w:ascii="FangSong" w:hAnsi="FangSong" w:eastAsia="FangSong" w:cs="FangSong"/>
          <w:sz w:val="20"/>
          <w:szCs w:val="20"/>
        </w:rPr>
        <w:t>与</w:t>
      </w:r>
      <w:r>
        <w:rPr>
          <w:rFonts w:ascii="FangSong" w:hAnsi="FangSong" w:eastAsia="FangSong" w:cs="FangSong"/>
          <w:sz w:val="20"/>
          <w:szCs w:val="20"/>
          <w:spacing w:val="-1"/>
        </w:rPr>
        <w:t>其竞争。</w:t>
      </w:r>
    </w:p>
    <w:p>
      <w:pPr>
        <w:ind w:right="25" w:firstLine="399"/>
        <w:spacing w:before="147" w:line="306" w:lineRule="auto"/>
        <w:jc w:val="both"/>
        <w:rPr>
          <w:rFonts w:ascii="FangSong" w:hAnsi="FangSong" w:eastAsia="FangSong" w:cs="FangSong"/>
          <w:sz w:val="20"/>
          <w:szCs w:val="20"/>
        </w:rPr>
      </w:pPr>
      <w:r>
        <w:rPr>
          <w:rFonts w:ascii="FangSong" w:hAnsi="FangSong" w:eastAsia="FangSong" w:cs="FangSong"/>
          <w:sz w:val="20"/>
          <w:szCs w:val="20"/>
          <w:spacing w:val="6"/>
        </w:rPr>
        <w:t>脸书</w:t>
      </w:r>
      <w:r>
        <w:rPr>
          <w:rFonts w:ascii="FangSong" w:hAnsi="FangSong" w:eastAsia="FangSong" w:cs="FangSong"/>
          <w:sz w:val="20"/>
          <w:szCs w:val="20"/>
          <w:spacing w:val="-40"/>
        </w:rPr>
        <w:t xml:space="preserve"> </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扎克伯格称</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Camera</w:t>
      </w:r>
      <w:r>
        <w:rPr>
          <w:rFonts w:ascii="Times New Roman" w:hAnsi="Times New Roman" w:eastAsia="Times New Roman" w:cs="Times New Roman"/>
          <w:sz w:val="20"/>
          <w:szCs w:val="20"/>
          <w:spacing w:val="6"/>
        </w:rPr>
        <w:t xml:space="preserve"> </w:t>
      </w:r>
      <w:r>
        <w:rPr>
          <w:rFonts w:ascii="FangSong" w:hAnsi="FangSong" w:eastAsia="FangSong" w:cs="FangSong"/>
          <w:sz w:val="20"/>
          <w:szCs w:val="20"/>
          <w:spacing w:val="6"/>
        </w:rPr>
        <w:t>的开发是早就在正大光</w:t>
      </w:r>
      <w:r>
        <w:rPr>
          <w:rFonts w:ascii="FangSong" w:hAnsi="FangSong" w:eastAsia="FangSong" w:cs="FangSong"/>
          <w:sz w:val="20"/>
          <w:szCs w:val="20"/>
        </w:rPr>
        <w:t xml:space="preserve"> </w:t>
      </w:r>
      <w:r>
        <w:rPr>
          <w:rFonts w:ascii="FangSong" w:hAnsi="FangSong" w:eastAsia="FangSong" w:cs="FangSong"/>
          <w:sz w:val="20"/>
          <w:szCs w:val="20"/>
          <w:spacing w:val="-1"/>
        </w:rPr>
        <w:t>明进行的事情，他只是阐述了“竞争”和“合作”两种商业模式，并</w:t>
      </w:r>
      <w:r>
        <w:rPr>
          <w:rFonts w:ascii="FangSong" w:hAnsi="FangSong" w:eastAsia="FangSong" w:cs="FangSong"/>
          <w:sz w:val="20"/>
          <w:szCs w:val="20"/>
          <w:spacing w:val="3"/>
        </w:rPr>
        <w:t xml:space="preserve"> </w:t>
      </w:r>
      <w:r>
        <w:rPr>
          <w:rFonts w:ascii="FangSong" w:hAnsi="FangSong" w:eastAsia="FangSong" w:cs="FangSong"/>
          <w:sz w:val="20"/>
          <w:szCs w:val="20"/>
          <w:spacing w:val="1"/>
        </w:rPr>
        <w:t>不存在“威胁”的说法。他承认，在2012年收购</w:t>
      </w:r>
      <w:r>
        <w:rPr>
          <w:rFonts w:ascii="FangSong" w:hAnsi="FangSong" w:eastAsia="FangSong" w:cs="FangSong"/>
          <w:sz w:val="20"/>
          <w:szCs w:val="20"/>
          <w:spacing w:val="-32"/>
        </w:rPr>
        <w:t xml:space="preserve"> </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26"/>
          <w:w w:val="101"/>
        </w:rPr>
        <w:t xml:space="preserve"> </w:t>
      </w:r>
      <w:r>
        <w:rPr>
          <w:rFonts w:ascii="FangSong" w:hAnsi="FangSong" w:eastAsia="FangSong" w:cs="FangSong"/>
          <w:sz w:val="20"/>
          <w:szCs w:val="20"/>
          <w:spacing w:val="1"/>
        </w:rPr>
        <w:t>时，脸书</w:t>
      </w:r>
      <w:r>
        <w:rPr>
          <w:rFonts w:ascii="FangSong" w:hAnsi="FangSong" w:eastAsia="FangSong" w:cs="FangSong"/>
          <w:sz w:val="20"/>
          <w:szCs w:val="20"/>
        </w:rPr>
        <w:t xml:space="preserve"> </w:t>
      </w:r>
      <w:r>
        <w:rPr>
          <w:rFonts w:ascii="FangSong" w:hAnsi="FangSong" w:eastAsia="FangSong" w:cs="FangSong"/>
          <w:sz w:val="20"/>
          <w:szCs w:val="20"/>
          <w:spacing w:val="-1"/>
        </w:rPr>
        <w:t>确实将其视为竞争对手，但当时强硬收购是为生存所迫，若不收购就</w:t>
      </w:r>
      <w:r>
        <w:rPr>
          <w:rFonts w:ascii="FangSong" w:hAnsi="FangSong" w:eastAsia="FangSong" w:cs="FangSong"/>
          <w:sz w:val="20"/>
          <w:szCs w:val="20"/>
          <w:spacing w:val="14"/>
        </w:rPr>
        <w:t xml:space="preserve"> </w:t>
      </w:r>
      <w:r>
        <w:rPr>
          <w:rFonts w:ascii="FangSong" w:hAnsi="FangSong" w:eastAsia="FangSong" w:cs="FangSong"/>
          <w:sz w:val="20"/>
          <w:szCs w:val="20"/>
          <w:spacing w:val="2"/>
        </w:rPr>
        <w:t>会在竞争中被打败。同时他认为如果没有脸书的帮助，</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51"/>
        </w:rPr>
        <w:t xml:space="preserve"> </w:t>
      </w:r>
      <w:r>
        <w:rPr>
          <w:rFonts w:ascii="FangSong" w:hAnsi="FangSong" w:eastAsia="FangSong" w:cs="FangSong"/>
          <w:sz w:val="20"/>
          <w:szCs w:val="20"/>
          <w:spacing w:val="2"/>
        </w:rPr>
        <w:t>不</w:t>
      </w:r>
      <w:r>
        <w:rPr>
          <w:rFonts w:ascii="FangSong" w:hAnsi="FangSong" w:eastAsia="FangSong" w:cs="FangSong"/>
          <w:sz w:val="20"/>
          <w:szCs w:val="20"/>
        </w:rPr>
        <w:t xml:space="preserve"> </w:t>
      </w:r>
      <w:r>
        <w:rPr>
          <w:rFonts w:ascii="FangSong" w:hAnsi="FangSong" w:eastAsia="FangSong" w:cs="FangSong"/>
          <w:sz w:val="20"/>
          <w:szCs w:val="20"/>
          <w:spacing w:val="-1"/>
        </w:rPr>
        <w:t>一定能达到今天这样的规模。此外他还指出这场收购通过了联邦贸易</w:t>
      </w:r>
    </w:p>
    <w:p>
      <w:pPr>
        <w:spacing w:line="306" w:lineRule="auto"/>
        <w:sectPr>
          <w:headerReference w:type="default" r:id="rId170"/>
          <w:pgSz w:w="7330" w:h="12480"/>
          <w:pgMar w:top="839" w:right="817" w:bottom="400" w:left="499" w:header="673" w:footer="0" w:gutter="0"/>
        </w:sectPr>
        <w:rPr>
          <w:rFonts w:ascii="FangSong" w:hAnsi="FangSong" w:eastAsia="FangSong" w:cs="FangSong"/>
          <w:sz w:val="20"/>
          <w:szCs w:val="20"/>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left="20" w:right="151"/>
        <w:spacing w:before="65" w:line="290" w:lineRule="auto"/>
        <w:jc w:val="both"/>
        <w:rPr>
          <w:rFonts w:ascii="FangSong" w:hAnsi="FangSong" w:eastAsia="FangSong" w:cs="FangSong"/>
          <w:sz w:val="20"/>
          <w:szCs w:val="20"/>
        </w:rPr>
      </w:pPr>
      <w:r>
        <w:rPr>
          <w:rFonts w:ascii="FangSong" w:hAnsi="FangSong" w:eastAsia="FangSong" w:cs="FangSong"/>
          <w:sz w:val="20"/>
          <w:szCs w:val="20"/>
          <w:spacing w:val="-1"/>
        </w:rPr>
        <w:t>委员会的审核和批准。最后，他强调，“脸书是一家以美国为豪的美</w:t>
      </w:r>
      <w:r>
        <w:rPr>
          <w:rFonts w:ascii="FangSong" w:hAnsi="FangSong" w:eastAsia="FangSong" w:cs="FangSong"/>
          <w:sz w:val="20"/>
          <w:szCs w:val="20"/>
          <w:spacing w:val="7"/>
        </w:rPr>
        <w:t xml:space="preserve"> </w:t>
      </w:r>
      <w:r>
        <w:rPr>
          <w:rFonts w:ascii="FangSong" w:hAnsi="FangSong" w:eastAsia="FangSong" w:cs="FangSong"/>
          <w:sz w:val="20"/>
          <w:szCs w:val="20"/>
          <w:spacing w:val="-1"/>
        </w:rPr>
        <w:t>国公司，信奉美国经济赖以生存的价值观，即民主、竞争、包容、自</w:t>
      </w:r>
      <w:r>
        <w:rPr>
          <w:rFonts w:ascii="FangSong" w:hAnsi="FangSong" w:eastAsia="FangSong" w:cs="FangSong"/>
          <w:sz w:val="20"/>
          <w:szCs w:val="20"/>
          <w:spacing w:val="17"/>
        </w:rPr>
        <w:t xml:space="preserve"> </w:t>
      </w:r>
      <w:r>
        <w:rPr>
          <w:rFonts w:ascii="FangSong" w:hAnsi="FangSong" w:eastAsia="FangSong" w:cs="FangSong"/>
          <w:sz w:val="20"/>
          <w:szCs w:val="20"/>
          <w:spacing w:val="-2"/>
        </w:rPr>
        <w:t>由言论”,用政治表态回避了进一步盘问。</w:t>
      </w:r>
    </w:p>
    <w:p>
      <w:pPr>
        <w:ind w:right="75" w:firstLine="470"/>
        <w:spacing w:before="122" w:line="316" w:lineRule="auto"/>
        <w:jc w:val="both"/>
        <w:rPr>
          <w:rFonts w:ascii="FangSong" w:hAnsi="FangSong" w:eastAsia="FangSong" w:cs="FangSong"/>
          <w:sz w:val="20"/>
          <w:szCs w:val="20"/>
        </w:rPr>
      </w:pPr>
      <w:r>
        <w:rPr>
          <w:rFonts w:ascii="FangSong" w:hAnsi="FangSong" w:eastAsia="FangSong" w:cs="FangSong"/>
          <w:sz w:val="20"/>
          <w:szCs w:val="20"/>
          <w:spacing w:val="-5"/>
        </w:rPr>
        <w:t>亚马逊被问及的问题主要与“自我优待”相关。</w:t>
      </w:r>
      <w:r>
        <w:rPr>
          <w:rFonts w:ascii="FangSong" w:hAnsi="FangSong" w:eastAsia="FangSong" w:cs="FangSong"/>
          <w:sz w:val="20"/>
          <w:szCs w:val="20"/>
          <w:spacing w:val="51"/>
        </w:rPr>
        <w:t xml:space="preserve"> </w:t>
      </w:r>
      <w:r>
        <w:rPr>
          <w:rFonts w:ascii="FangSong" w:hAnsi="FangSong" w:eastAsia="FangSong" w:cs="FangSong"/>
          <w:sz w:val="20"/>
          <w:szCs w:val="20"/>
          <w:spacing w:val="-5"/>
        </w:rPr>
        <w:t>一是被质疑是否</w:t>
      </w:r>
      <w:r>
        <w:rPr>
          <w:rFonts w:ascii="FangSong" w:hAnsi="FangSong" w:eastAsia="FangSong" w:cs="FangSong"/>
          <w:sz w:val="20"/>
          <w:szCs w:val="20"/>
        </w:rPr>
        <w:t xml:space="preserve"> </w:t>
      </w:r>
      <w:r>
        <w:rPr>
          <w:rFonts w:ascii="FangSong" w:hAnsi="FangSong" w:eastAsia="FangSong" w:cs="FangSong"/>
          <w:sz w:val="20"/>
          <w:szCs w:val="20"/>
          <w:spacing w:val="3"/>
        </w:rPr>
        <w:t>通过亚马逊云服务获取其他企业的机密信息来打</w:t>
      </w:r>
      <w:r>
        <w:rPr>
          <w:rFonts w:ascii="FangSong" w:hAnsi="FangSong" w:eastAsia="FangSong" w:cs="FangSong"/>
          <w:sz w:val="20"/>
          <w:szCs w:val="20"/>
          <w:spacing w:val="2"/>
        </w:rPr>
        <w:t>造竞争产品，例子是</w:t>
      </w:r>
      <w:r>
        <w:rPr>
          <w:rFonts w:ascii="FangSong" w:hAnsi="FangSong" w:eastAsia="FangSong" w:cs="FangSong"/>
          <w:sz w:val="20"/>
          <w:szCs w:val="20"/>
        </w:rPr>
        <w:t xml:space="preserve"> </w:t>
      </w:r>
      <w:r>
        <w:rPr>
          <w:rFonts w:ascii="FangSong" w:hAnsi="FangSong" w:eastAsia="FangSong" w:cs="FangSong"/>
          <w:sz w:val="20"/>
          <w:szCs w:val="20"/>
          <w:spacing w:val="1"/>
        </w:rPr>
        <w:t>亚马逊一名前程序员公开称他和团队通过</w:t>
      </w:r>
      <w:r>
        <w:rPr>
          <w:rFonts w:ascii="Times New Roman" w:hAnsi="Times New Roman" w:eastAsia="Times New Roman" w:cs="Times New Roman"/>
          <w:sz w:val="20"/>
          <w:szCs w:val="20"/>
        </w:rPr>
        <w:t>AWS</w:t>
      </w:r>
      <w:r>
        <w:rPr>
          <w:rFonts w:ascii="FangSong" w:hAnsi="FangSong" w:eastAsia="FangSong" w:cs="FangSong"/>
          <w:sz w:val="20"/>
          <w:szCs w:val="20"/>
          <w:spacing w:val="1"/>
        </w:rPr>
        <w:t>识别快速发展的企</w:t>
      </w:r>
      <w:r>
        <w:rPr>
          <w:rFonts w:ascii="FangSong" w:hAnsi="FangSong" w:eastAsia="FangSong" w:cs="FangSong"/>
          <w:sz w:val="20"/>
          <w:szCs w:val="20"/>
        </w:rPr>
        <w:t>业从</w:t>
      </w:r>
      <w:r>
        <w:rPr>
          <w:rFonts w:ascii="FangSong" w:hAnsi="FangSong" w:eastAsia="FangSong" w:cs="FangSong"/>
          <w:sz w:val="20"/>
          <w:szCs w:val="20"/>
        </w:rPr>
        <w:t xml:space="preserve"> </w:t>
      </w:r>
      <w:r>
        <w:rPr>
          <w:rFonts w:ascii="FangSong" w:hAnsi="FangSong" w:eastAsia="FangSong" w:cs="FangSong"/>
          <w:sz w:val="20"/>
          <w:szCs w:val="20"/>
          <w:spacing w:val="3"/>
        </w:rPr>
        <w:t>而打造出针对客户的竞争产品；二是被质疑收集</w:t>
      </w:r>
      <w:r>
        <w:rPr>
          <w:rFonts w:ascii="FangSong" w:hAnsi="FangSong" w:eastAsia="FangSong" w:cs="FangSong"/>
          <w:sz w:val="20"/>
          <w:szCs w:val="20"/>
          <w:spacing w:val="2"/>
        </w:rPr>
        <w:t>平台上第三方卖家的</w:t>
      </w:r>
      <w:r>
        <w:rPr>
          <w:rFonts w:ascii="FangSong" w:hAnsi="FangSong" w:eastAsia="FangSong" w:cs="FangSong"/>
          <w:sz w:val="20"/>
          <w:szCs w:val="20"/>
        </w:rPr>
        <w:t xml:space="preserve"> </w:t>
      </w:r>
      <w:r>
        <w:rPr>
          <w:rFonts w:ascii="FangSong" w:hAnsi="FangSong" w:eastAsia="FangSong" w:cs="FangSong"/>
          <w:sz w:val="20"/>
          <w:szCs w:val="20"/>
          <w:spacing w:val="-1"/>
        </w:rPr>
        <w:t>数据用以帮助自营业务，将第三方卖家称作“内部竞争对手”,曾在毫</w:t>
      </w:r>
      <w:r>
        <w:rPr>
          <w:rFonts w:ascii="FangSong" w:hAnsi="FangSong" w:eastAsia="FangSong" w:cs="FangSong"/>
          <w:sz w:val="20"/>
          <w:szCs w:val="20"/>
          <w:spacing w:val="9"/>
        </w:rPr>
        <w:t xml:space="preserve"> </w:t>
      </w:r>
      <w:r>
        <w:rPr>
          <w:rFonts w:ascii="FangSong" w:hAnsi="FangSong" w:eastAsia="FangSong" w:cs="FangSong"/>
          <w:sz w:val="20"/>
          <w:szCs w:val="20"/>
          <w:spacing w:val="3"/>
        </w:rPr>
        <w:t>无征兆的情况下下架对其有威胁的第三方卖家，很多</w:t>
      </w:r>
      <w:r>
        <w:rPr>
          <w:rFonts w:ascii="FangSong" w:hAnsi="FangSong" w:eastAsia="FangSong" w:cs="FangSong"/>
          <w:sz w:val="20"/>
          <w:szCs w:val="20"/>
          <w:spacing w:val="2"/>
        </w:rPr>
        <w:t>小型商家大多用</w:t>
      </w:r>
      <w:r>
        <w:rPr>
          <w:rFonts w:ascii="FangSong" w:hAnsi="FangSong" w:eastAsia="FangSong" w:cs="FangSong"/>
          <w:sz w:val="20"/>
          <w:szCs w:val="20"/>
        </w:rPr>
        <w:t xml:space="preserve"> </w:t>
      </w:r>
      <w:r>
        <w:rPr>
          <w:rFonts w:ascii="FangSong" w:hAnsi="FangSong" w:eastAsia="FangSong" w:cs="FangSong"/>
          <w:sz w:val="20"/>
          <w:szCs w:val="20"/>
          <w:spacing w:val="-11"/>
        </w:rPr>
        <w:t>“威胁”“恐惧”“惶恐”等词来形容自己和亚马</w:t>
      </w:r>
      <w:r>
        <w:rPr>
          <w:rFonts w:ascii="FangSong" w:hAnsi="FangSong" w:eastAsia="FangSong" w:cs="FangSong"/>
          <w:sz w:val="20"/>
          <w:szCs w:val="20"/>
          <w:spacing w:val="-12"/>
        </w:rPr>
        <w:t>逊之间的紧张关系。</w:t>
      </w:r>
    </w:p>
    <w:p>
      <w:pPr>
        <w:ind w:firstLine="529"/>
        <w:spacing w:before="119" w:line="318" w:lineRule="auto"/>
        <w:jc w:val="both"/>
        <w:rPr>
          <w:rFonts w:ascii="FangSong" w:hAnsi="FangSong" w:eastAsia="FangSong" w:cs="FangSong"/>
          <w:sz w:val="20"/>
          <w:szCs w:val="20"/>
        </w:rPr>
      </w:pPr>
      <w:r>
        <w:rPr>
          <w:rFonts w:ascii="FangSong" w:hAnsi="FangSong" w:eastAsia="FangSong" w:cs="FangSong"/>
          <w:sz w:val="20"/>
          <w:szCs w:val="20"/>
          <w:spacing w:val="-8"/>
        </w:rPr>
        <w:t>对于第一个问题，贝佐斯称数据库均用于识别消费者的偏好，“我</w:t>
      </w:r>
      <w:r>
        <w:rPr>
          <w:rFonts w:ascii="FangSong" w:hAnsi="FangSong" w:eastAsia="FangSong" w:cs="FangSong"/>
          <w:sz w:val="20"/>
          <w:szCs w:val="20"/>
          <w:spacing w:val="18"/>
        </w:rPr>
        <w:t xml:space="preserve"> </w:t>
      </w:r>
      <w:r>
        <w:rPr>
          <w:rFonts w:ascii="FangSong" w:hAnsi="FangSong" w:eastAsia="FangSong" w:cs="FangSong"/>
          <w:sz w:val="20"/>
          <w:szCs w:val="20"/>
          <w:spacing w:val="2"/>
        </w:rPr>
        <w:t>们致力于提供受欢迎的产品，但这并不意味着阻止其他企业的产品提</w:t>
      </w:r>
      <w:r>
        <w:rPr>
          <w:rFonts w:ascii="FangSong" w:hAnsi="FangSong" w:eastAsia="FangSong" w:cs="FangSong"/>
          <w:sz w:val="20"/>
          <w:szCs w:val="20"/>
          <w:spacing w:val="2"/>
        </w:rPr>
        <w:t xml:space="preserve"> </w:t>
      </w:r>
      <w:r>
        <w:rPr>
          <w:rFonts w:ascii="FangSong" w:hAnsi="FangSong" w:eastAsia="FangSong" w:cs="FangSong"/>
          <w:sz w:val="20"/>
          <w:szCs w:val="20"/>
          <w:spacing w:val="2"/>
        </w:rPr>
        <w:t>供服务，我们有很多使用</w:t>
      </w:r>
      <w:r>
        <w:rPr>
          <w:rFonts w:ascii="FangSong" w:hAnsi="FangSong" w:eastAsia="FangSong" w:cs="FangSong"/>
          <w:sz w:val="20"/>
          <w:szCs w:val="20"/>
          <w:spacing w:val="-44"/>
        </w:rPr>
        <w:t xml:space="preserve"> </w:t>
      </w:r>
      <w:r>
        <w:rPr>
          <w:rFonts w:ascii="Times New Roman" w:hAnsi="Times New Roman" w:eastAsia="Times New Roman" w:cs="Times New Roman"/>
          <w:sz w:val="20"/>
          <w:szCs w:val="20"/>
        </w:rPr>
        <w:t>AWS</w:t>
      </w:r>
      <w:r>
        <w:rPr>
          <w:rFonts w:ascii="Times New Roman" w:hAnsi="Times New Roman" w:eastAsia="Times New Roman" w:cs="Times New Roman"/>
          <w:sz w:val="20"/>
          <w:szCs w:val="20"/>
          <w:spacing w:val="2"/>
        </w:rPr>
        <w:t xml:space="preserve"> </w:t>
      </w:r>
      <w:r>
        <w:rPr>
          <w:rFonts w:ascii="FangSong" w:hAnsi="FangSong" w:eastAsia="FangSong" w:cs="FangSong"/>
          <w:sz w:val="20"/>
          <w:szCs w:val="20"/>
          <w:spacing w:val="2"/>
        </w:rPr>
        <w:t>的竞争者如网飞、</w:t>
      </w:r>
      <w:r>
        <w:rPr>
          <w:rFonts w:ascii="Times New Roman" w:hAnsi="Times New Roman" w:eastAsia="Times New Roman" w:cs="Times New Roman"/>
          <w:sz w:val="20"/>
          <w:szCs w:val="20"/>
        </w:rPr>
        <w:t>Hulu</w:t>
      </w:r>
      <w:r>
        <w:rPr>
          <w:rFonts w:ascii="Times New Roman" w:hAnsi="Times New Roman" w:eastAsia="Times New Roman" w:cs="Times New Roman"/>
          <w:sz w:val="20"/>
          <w:szCs w:val="20"/>
          <w:spacing w:val="24"/>
          <w:w w:val="101"/>
        </w:rPr>
        <w:t xml:space="preserve"> </w:t>
      </w:r>
      <w:r>
        <w:rPr>
          <w:rFonts w:ascii="FangSong" w:hAnsi="FangSong" w:eastAsia="FangSong" w:cs="FangSong"/>
          <w:sz w:val="20"/>
          <w:szCs w:val="20"/>
          <w:spacing w:val="2"/>
        </w:rPr>
        <w:t>等，我们的服</w:t>
      </w:r>
      <w:r>
        <w:rPr>
          <w:rFonts w:ascii="FangSong" w:hAnsi="FangSong" w:eastAsia="FangSong" w:cs="FangSong"/>
          <w:sz w:val="20"/>
          <w:szCs w:val="20"/>
          <w:spacing w:val="2"/>
        </w:rPr>
        <w:t xml:space="preserve"> </w:t>
      </w:r>
      <w:r>
        <w:rPr>
          <w:rFonts w:ascii="FangSong" w:hAnsi="FangSong" w:eastAsia="FangSong" w:cs="FangSong"/>
          <w:sz w:val="20"/>
          <w:szCs w:val="20"/>
          <w:spacing w:val="2"/>
        </w:rPr>
        <w:t>务让它们更加成功”。而对于第二个问题，贝佐斯则答道，亚马逊公</w:t>
      </w:r>
      <w:r>
        <w:rPr>
          <w:rFonts w:ascii="FangSong" w:hAnsi="FangSong" w:eastAsia="FangSong" w:cs="FangSong"/>
          <w:sz w:val="20"/>
          <w:szCs w:val="20"/>
          <w:spacing w:val="2"/>
        </w:rPr>
        <w:t xml:space="preserve"> </w:t>
      </w:r>
      <w:r>
        <w:rPr>
          <w:rFonts w:ascii="FangSong" w:hAnsi="FangSong" w:eastAsia="FangSong" w:cs="FangSong"/>
          <w:sz w:val="20"/>
          <w:szCs w:val="20"/>
          <w:spacing w:val="6"/>
        </w:rPr>
        <w:t>司有明确规定禁止使用客户数据来“自我优待”,</w:t>
      </w:r>
      <w:r>
        <w:rPr>
          <w:rFonts w:ascii="FangSong" w:hAnsi="FangSong" w:eastAsia="FangSong" w:cs="FangSong"/>
          <w:sz w:val="20"/>
          <w:szCs w:val="20"/>
          <w:spacing w:val="5"/>
        </w:rPr>
        <w:t>但他本人无法保证</w:t>
      </w:r>
      <w:r>
        <w:rPr>
          <w:rFonts w:ascii="FangSong" w:hAnsi="FangSong" w:eastAsia="FangSong" w:cs="FangSong"/>
          <w:sz w:val="20"/>
          <w:szCs w:val="20"/>
        </w:rPr>
        <w:t xml:space="preserve">  </w:t>
      </w:r>
      <w:r>
        <w:rPr>
          <w:rFonts w:ascii="FangSong" w:hAnsi="FangSong" w:eastAsia="FangSong" w:cs="FangSong"/>
          <w:sz w:val="20"/>
          <w:szCs w:val="20"/>
          <w:spacing w:val="2"/>
        </w:rPr>
        <w:t>员工没有私自违反规定，并称将对违反内部政策使用客户数据的员工</w:t>
      </w:r>
      <w:r>
        <w:rPr>
          <w:rFonts w:ascii="FangSong" w:hAnsi="FangSong" w:eastAsia="FangSong" w:cs="FangSong"/>
          <w:sz w:val="20"/>
          <w:szCs w:val="20"/>
          <w:spacing w:val="5"/>
        </w:rPr>
        <w:t xml:space="preserve">  </w:t>
      </w:r>
      <w:r>
        <w:rPr>
          <w:rFonts w:ascii="FangSong" w:hAnsi="FangSong" w:eastAsia="FangSong" w:cs="FangSong"/>
          <w:sz w:val="20"/>
          <w:szCs w:val="20"/>
          <w:spacing w:val="-4"/>
        </w:rPr>
        <w:t>“采取行动”。此外，他不认为亚马逊在毫无缘由的情况下下架个别第</w:t>
      </w:r>
      <w:r>
        <w:rPr>
          <w:rFonts w:ascii="FangSong" w:hAnsi="FangSong" w:eastAsia="FangSong" w:cs="FangSong"/>
          <w:sz w:val="20"/>
          <w:szCs w:val="20"/>
          <w:spacing w:val="3"/>
        </w:rPr>
        <w:t xml:space="preserve"> </w:t>
      </w:r>
      <w:r>
        <w:rPr>
          <w:rFonts w:ascii="FangSong" w:hAnsi="FangSong" w:eastAsia="FangSong" w:cs="FangSong"/>
          <w:sz w:val="20"/>
          <w:szCs w:val="20"/>
          <w:spacing w:val="-1"/>
        </w:rPr>
        <w:t>三方卖家店铺是系统性问题，称第三方卖家在亚</w:t>
      </w:r>
      <w:r>
        <w:rPr>
          <w:rFonts w:ascii="FangSong" w:hAnsi="FangSong" w:eastAsia="FangSong" w:cs="FangSong"/>
          <w:sz w:val="20"/>
          <w:szCs w:val="20"/>
          <w:spacing w:val="-2"/>
        </w:rPr>
        <w:t>马逊“销售得很好”。</w:t>
      </w:r>
    </w:p>
    <w:p>
      <w:pPr>
        <w:pStyle w:val="BodyText"/>
        <w:spacing w:line="390" w:lineRule="auto"/>
        <w:rPr/>
      </w:pPr>
      <w:r/>
    </w:p>
    <w:p>
      <w:pPr>
        <w:ind w:left="103"/>
        <w:spacing w:before="81" w:line="222" w:lineRule="auto"/>
        <w:rPr>
          <w:rFonts w:ascii="SimHei" w:hAnsi="SimHei" w:eastAsia="SimHei" w:cs="SimHei"/>
          <w:sz w:val="25"/>
          <w:szCs w:val="25"/>
        </w:rPr>
      </w:pPr>
      <w:r>
        <w:rPr>
          <w:rFonts w:ascii="SimHei" w:hAnsi="SimHei" w:eastAsia="SimHei" w:cs="SimHei"/>
          <w:sz w:val="25"/>
          <w:szCs w:val="25"/>
          <w:b/>
          <w:bCs/>
          <w:spacing w:val="-13"/>
        </w:rPr>
        <w:t>平台企业的投资扩张</w:t>
      </w:r>
    </w:p>
    <w:p>
      <w:pPr>
        <w:pStyle w:val="BodyText"/>
        <w:spacing w:line="366" w:lineRule="auto"/>
        <w:rPr/>
      </w:pPr>
      <w:r/>
    </w:p>
    <w:p>
      <w:pPr>
        <w:ind w:left="100" w:right="49" w:firstLine="420"/>
        <w:spacing w:before="65" w:line="313" w:lineRule="auto"/>
        <w:jc w:val="both"/>
        <w:rPr>
          <w:rFonts w:ascii="SimSun" w:hAnsi="SimSun" w:eastAsia="SimSun" w:cs="SimSun"/>
          <w:sz w:val="20"/>
          <w:szCs w:val="20"/>
        </w:rPr>
      </w:pPr>
      <w:r>
        <w:rPr>
          <w:rFonts w:ascii="SimSun" w:hAnsi="SimSun" w:eastAsia="SimSun" w:cs="SimSun"/>
          <w:sz w:val="20"/>
          <w:szCs w:val="20"/>
          <w:spacing w:val="-1"/>
        </w:rPr>
        <w:t>数字经济下的大科技平台具有强大的跨行业、跨地域资源整合能</w:t>
      </w:r>
      <w:r>
        <w:rPr>
          <w:rFonts w:ascii="SimSun" w:hAnsi="SimSun" w:eastAsia="SimSun" w:cs="SimSun"/>
          <w:sz w:val="20"/>
          <w:szCs w:val="20"/>
          <w:spacing w:val="17"/>
        </w:rPr>
        <w:t xml:space="preserve"> </w:t>
      </w:r>
      <w:r>
        <w:rPr>
          <w:rFonts w:ascii="SimSun" w:hAnsi="SimSun" w:eastAsia="SimSun" w:cs="SimSun"/>
          <w:sz w:val="20"/>
          <w:szCs w:val="20"/>
          <w:spacing w:val="-1"/>
        </w:rPr>
        <w:t>力。平台企业并不是数字时代的新事物，双边市场和撮合供需双方的</w:t>
      </w:r>
      <w:r>
        <w:rPr>
          <w:rFonts w:ascii="SimSun" w:hAnsi="SimSun" w:eastAsia="SimSun" w:cs="SimSun"/>
          <w:sz w:val="20"/>
          <w:szCs w:val="20"/>
          <w:spacing w:val="17"/>
        </w:rPr>
        <w:t xml:space="preserve"> </w:t>
      </w:r>
      <w:r>
        <w:rPr>
          <w:rFonts w:ascii="SimSun" w:hAnsi="SimSun" w:eastAsia="SimSun" w:cs="SimSun"/>
          <w:sz w:val="20"/>
          <w:szCs w:val="20"/>
          <w:spacing w:val="-1"/>
        </w:rPr>
        <w:t>平台在传统经济中早已存在。但数字时代的特殊之处在于</w:t>
      </w:r>
      <w:r>
        <w:rPr>
          <w:rFonts w:ascii="SimSun" w:hAnsi="SimSun" w:eastAsia="SimSun" w:cs="SimSun"/>
          <w:sz w:val="20"/>
          <w:szCs w:val="20"/>
          <w:spacing w:val="-2"/>
        </w:rPr>
        <w:t>，平台企业</w:t>
      </w:r>
      <w:r>
        <w:rPr>
          <w:rFonts w:ascii="SimSun" w:hAnsi="SimSun" w:eastAsia="SimSun" w:cs="SimSun"/>
          <w:sz w:val="20"/>
          <w:szCs w:val="20"/>
        </w:rPr>
        <w:t xml:space="preserve"> </w:t>
      </w:r>
      <w:r>
        <w:rPr>
          <w:rFonts w:ascii="SimSun" w:hAnsi="SimSun" w:eastAsia="SimSun" w:cs="SimSun"/>
          <w:sz w:val="20"/>
          <w:szCs w:val="20"/>
        </w:rPr>
        <w:t>通常横跨多个行业市场，在多个领域形成合力，</w:t>
      </w:r>
      <w:r>
        <w:rPr>
          <w:rFonts w:ascii="SimSun" w:hAnsi="SimSun" w:eastAsia="SimSun" w:cs="SimSun"/>
          <w:sz w:val="20"/>
          <w:szCs w:val="20"/>
          <w:spacing w:val="-1"/>
        </w:rPr>
        <w:t>渗透到经济生活的重</w:t>
      </w:r>
      <w:r>
        <w:rPr>
          <w:rFonts w:ascii="SimSun" w:hAnsi="SimSun" w:eastAsia="SimSun" w:cs="SimSun"/>
          <w:sz w:val="20"/>
          <w:szCs w:val="20"/>
        </w:rPr>
        <w:t xml:space="preserve"> </w:t>
      </w:r>
      <w:r>
        <w:rPr>
          <w:rFonts w:ascii="SimSun" w:hAnsi="SimSun" w:eastAsia="SimSun" w:cs="SimSun"/>
          <w:sz w:val="20"/>
          <w:szCs w:val="20"/>
        </w:rPr>
        <w:t>要节点，从而实现前所未有的用户黏性和规模</w:t>
      </w:r>
      <w:r>
        <w:rPr>
          <w:rFonts w:ascii="SimSun" w:hAnsi="SimSun" w:eastAsia="SimSun" w:cs="SimSun"/>
          <w:sz w:val="20"/>
          <w:szCs w:val="20"/>
          <w:spacing w:val="-1"/>
        </w:rPr>
        <w:t>效应。很有意思的一点</w:t>
      </w:r>
      <w:r>
        <w:rPr>
          <w:rFonts w:ascii="SimSun" w:hAnsi="SimSun" w:eastAsia="SimSun" w:cs="SimSun"/>
          <w:sz w:val="20"/>
          <w:szCs w:val="20"/>
        </w:rPr>
        <w:t xml:space="preserve"> </w:t>
      </w:r>
      <w:r>
        <w:rPr>
          <w:rFonts w:ascii="SimSun" w:hAnsi="SimSun" w:eastAsia="SimSun" w:cs="SimSun"/>
          <w:sz w:val="20"/>
          <w:szCs w:val="20"/>
          <w:spacing w:val="-5"/>
        </w:rPr>
        <w:t>是，哪怕在平台里面，它们也会出现较多的分化。</w:t>
      </w:r>
      <w:r>
        <w:rPr>
          <w:rFonts w:ascii="SimSun" w:hAnsi="SimSun" w:eastAsia="SimSun" w:cs="SimSun"/>
          <w:sz w:val="20"/>
          <w:szCs w:val="20"/>
          <w:spacing w:val="40"/>
        </w:rPr>
        <w:t xml:space="preserve"> </w:t>
      </w:r>
      <w:r>
        <w:rPr>
          <w:rFonts w:ascii="SimSun" w:hAnsi="SimSun" w:eastAsia="SimSun" w:cs="SimSun"/>
          <w:sz w:val="20"/>
          <w:szCs w:val="20"/>
          <w:spacing w:val="-5"/>
        </w:rPr>
        <w:t>一些大的平台</w:t>
      </w:r>
      <w:r>
        <w:rPr>
          <w:rFonts w:ascii="SimSun" w:hAnsi="SimSun" w:eastAsia="SimSun" w:cs="SimSun"/>
          <w:sz w:val="20"/>
          <w:szCs w:val="20"/>
          <w:spacing w:val="-6"/>
        </w:rPr>
        <w:t>可能</w:t>
      </w:r>
    </w:p>
    <w:p>
      <w:pPr>
        <w:spacing w:line="313" w:lineRule="auto"/>
        <w:sectPr>
          <w:headerReference w:type="default" r:id="rId171"/>
          <w:pgSz w:w="7330" w:h="12480"/>
          <w:pgMar w:top="559" w:right="589" w:bottom="400" w:left="580" w:header="385" w:footer="0" w:gutter="0"/>
        </w:sectPr>
        <w:rPr>
          <w:rFonts w:ascii="SimSun" w:hAnsi="SimSun" w:eastAsia="SimSun" w:cs="SimSun"/>
          <w:sz w:val="20"/>
          <w:szCs w:val="20"/>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90"/>
        <w:spacing w:before="68" w:line="292" w:lineRule="auto"/>
        <w:jc w:val="both"/>
        <w:rPr>
          <w:rFonts w:ascii="SimSun" w:hAnsi="SimSun" w:eastAsia="SimSun" w:cs="SimSun"/>
          <w:sz w:val="21"/>
          <w:szCs w:val="21"/>
        </w:rPr>
      </w:pPr>
      <w:r>
        <w:rPr>
          <w:rFonts w:ascii="SimSun" w:hAnsi="SimSun" w:eastAsia="SimSun" w:cs="SimSun"/>
          <w:sz w:val="21"/>
          <w:szCs w:val="21"/>
          <w:spacing w:val="-11"/>
        </w:rPr>
        <w:t>已经变成了平台的平台，或者说一个核心平台的股权投资已经涉及了</w:t>
      </w:r>
      <w:r>
        <w:rPr>
          <w:rFonts w:ascii="SimSun" w:hAnsi="SimSun" w:eastAsia="SimSun" w:cs="SimSun"/>
          <w:sz w:val="21"/>
          <w:szCs w:val="21"/>
          <w:spacing w:val="15"/>
        </w:rPr>
        <w:t xml:space="preserve"> </w:t>
      </w:r>
      <w:r>
        <w:rPr>
          <w:rFonts w:ascii="SimSun" w:hAnsi="SimSun" w:eastAsia="SimSun" w:cs="SimSun"/>
          <w:sz w:val="21"/>
          <w:szCs w:val="21"/>
          <w:spacing w:val="-10"/>
        </w:rPr>
        <w:t>其他的平台领域，因此一家平台公司可能也掌握了很</w:t>
      </w:r>
      <w:r>
        <w:rPr>
          <w:rFonts w:ascii="SimSun" w:hAnsi="SimSun" w:eastAsia="SimSun" w:cs="SimSun"/>
          <w:sz w:val="21"/>
          <w:szCs w:val="21"/>
          <w:spacing w:val="-11"/>
        </w:rPr>
        <w:t>多其他平台。它</w:t>
      </w:r>
      <w:r>
        <w:rPr>
          <w:rFonts w:ascii="SimSun" w:hAnsi="SimSun" w:eastAsia="SimSun" w:cs="SimSun"/>
          <w:sz w:val="21"/>
          <w:szCs w:val="21"/>
        </w:rPr>
        <w:t xml:space="preserve"> </w:t>
      </w:r>
      <w:r>
        <w:rPr>
          <w:rFonts w:ascii="SimSun" w:hAnsi="SimSun" w:eastAsia="SimSun" w:cs="SimSun"/>
          <w:sz w:val="21"/>
          <w:szCs w:val="21"/>
          <w:spacing w:val="-11"/>
        </w:rPr>
        <w:t>不仅仅是一个连接供需双方的企业，而且成了投资于其他平台、连接</w:t>
      </w:r>
      <w:r>
        <w:rPr>
          <w:rFonts w:ascii="SimSun" w:hAnsi="SimSun" w:eastAsia="SimSun" w:cs="SimSun"/>
          <w:sz w:val="21"/>
          <w:szCs w:val="21"/>
          <w:spacing w:val="16"/>
        </w:rPr>
        <w:t xml:space="preserve"> </w:t>
      </w:r>
      <w:r>
        <w:rPr>
          <w:rFonts w:ascii="SimSun" w:hAnsi="SimSun" w:eastAsia="SimSun" w:cs="SimSun"/>
          <w:sz w:val="21"/>
          <w:szCs w:val="21"/>
          <w:spacing w:val="-11"/>
        </w:rPr>
        <w:t>不同平台的一个核心平台。</w:t>
      </w:r>
    </w:p>
    <w:p>
      <w:pPr>
        <w:ind w:firstLine="410"/>
        <w:spacing w:before="93" w:line="310" w:lineRule="auto"/>
        <w:jc w:val="both"/>
        <w:rPr>
          <w:rFonts w:ascii="SimSun" w:hAnsi="SimSun" w:eastAsia="SimSun" w:cs="SimSun"/>
          <w:sz w:val="21"/>
          <w:szCs w:val="21"/>
        </w:rPr>
      </w:pPr>
      <w:r>
        <w:rPr>
          <w:rFonts w:ascii="SimSun" w:hAnsi="SimSun" w:eastAsia="SimSun" w:cs="SimSun"/>
          <w:sz w:val="21"/>
          <w:szCs w:val="21"/>
          <w:spacing w:val="-3"/>
        </w:rPr>
        <w:t>本章中重点关注的头部平台企业，从某种意义上已经成为“平 </w:t>
      </w:r>
      <w:r>
        <w:rPr>
          <w:rFonts w:ascii="SimSun" w:hAnsi="SimSun" w:eastAsia="SimSun" w:cs="SimSun"/>
          <w:sz w:val="21"/>
          <w:szCs w:val="21"/>
        </w:rPr>
        <w:t>台的平台”:它们不仅自身从平台经济起家，也并购、投资、入股</w:t>
      </w:r>
      <w:r>
        <w:rPr>
          <w:rFonts w:ascii="SimSun" w:hAnsi="SimSun" w:eastAsia="SimSun" w:cs="SimSun"/>
          <w:sz w:val="21"/>
          <w:szCs w:val="21"/>
          <w:spacing w:val="2"/>
        </w:rPr>
        <w:t xml:space="preserve">  </w:t>
      </w:r>
      <w:r>
        <w:rPr>
          <w:rFonts w:ascii="SimSun" w:hAnsi="SimSun" w:eastAsia="SimSun" w:cs="SimSun"/>
          <w:sz w:val="21"/>
          <w:szCs w:val="21"/>
          <w:spacing w:val="-2"/>
        </w:rPr>
        <w:t>了一系列平台企业，通过打通用户场景实现了跨行业的资源整合。</w:t>
      </w:r>
      <w:r>
        <w:rPr>
          <w:rFonts w:ascii="SimSun" w:hAnsi="SimSun" w:eastAsia="SimSun" w:cs="SimSun"/>
          <w:sz w:val="21"/>
          <w:szCs w:val="21"/>
        </w:rPr>
        <w:t xml:space="preserve"> </w:t>
      </w:r>
      <w:r>
        <w:rPr>
          <w:rFonts w:ascii="SimSun" w:hAnsi="SimSun" w:eastAsia="SimSun" w:cs="SimSun"/>
          <w:sz w:val="21"/>
          <w:szCs w:val="21"/>
          <w:spacing w:val="-3"/>
        </w:rPr>
        <w:t>2021年有媒体报道：“腾讯持有京东17.9%的股</w:t>
      </w:r>
      <w:r>
        <w:rPr>
          <w:rFonts w:ascii="SimSun" w:hAnsi="SimSun" w:eastAsia="SimSun" w:cs="SimSun"/>
          <w:sz w:val="21"/>
          <w:szCs w:val="21"/>
          <w:spacing w:val="-4"/>
        </w:rPr>
        <w:t>份，是第一大股东，</w:t>
      </w:r>
      <w:r>
        <w:rPr>
          <w:rFonts w:ascii="SimSun" w:hAnsi="SimSun" w:eastAsia="SimSun" w:cs="SimSun"/>
          <w:sz w:val="21"/>
          <w:szCs w:val="21"/>
        </w:rPr>
        <w:t xml:space="preserve"> </w:t>
      </w:r>
      <w:r>
        <w:rPr>
          <w:rFonts w:ascii="SimSun" w:hAnsi="SimSun" w:eastAsia="SimSun" w:cs="SimSun"/>
          <w:sz w:val="21"/>
          <w:szCs w:val="21"/>
        </w:rPr>
        <w:t>刘强东持股15.1%。腾讯也是电商平台蘑菇街</w:t>
      </w:r>
      <w:r>
        <w:rPr>
          <w:rFonts w:ascii="SimSun" w:hAnsi="SimSun" w:eastAsia="SimSun" w:cs="SimSun"/>
          <w:sz w:val="21"/>
          <w:szCs w:val="21"/>
          <w:spacing w:val="-1"/>
        </w:rPr>
        <w:t>的第一大股东，持股</w:t>
      </w:r>
      <w:r>
        <w:rPr>
          <w:rFonts w:ascii="SimSun" w:hAnsi="SimSun" w:eastAsia="SimSun" w:cs="SimSun"/>
          <w:sz w:val="21"/>
          <w:szCs w:val="21"/>
        </w:rPr>
        <w:t xml:space="preserve">  </w:t>
      </w:r>
      <w:r>
        <w:rPr>
          <w:rFonts w:ascii="SimSun" w:hAnsi="SimSun" w:eastAsia="SimSun" w:cs="SimSun"/>
          <w:sz w:val="21"/>
          <w:szCs w:val="21"/>
          <w:spacing w:val="3"/>
        </w:rPr>
        <w:t>17.2%;是拼多多的第二大股东，持股16</w:t>
      </w:r>
      <w:r>
        <w:rPr>
          <w:rFonts w:ascii="SimSun" w:hAnsi="SimSun" w:eastAsia="SimSun" w:cs="SimSun"/>
          <w:sz w:val="21"/>
          <w:szCs w:val="21"/>
          <w:spacing w:val="2"/>
        </w:rPr>
        <w:t>.5%;是唯品会的第二大股</w:t>
      </w:r>
      <w:r>
        <w:rPr>
          <w:rFonts w:ascii="SimSun" w:hAnsi="SimSun" w:eastAsia="SimSun" w:cs="SimSun"/>
          <w:sz w:val="21"/>
          <w:szCs w:val="21"/>
        </w:rPr>
        <w:t xml:space="preserve">  </w:t>
      </w:r>
      <w:r>
        <w:rPr>
          <w:rFonts w:ascii="SimSun" w:hAnsi="SimSun" w:eastAsia="SimSun" w:cs="SimSun"/>
          <w:sz w:val="21"/>
          <w:szCs w:val="21"/>
        </w:rPr>
        <w:t>东，持股9.3%。美团的最大股东也是腾讯，持股18%。作为中国最</w:t>
      </w:r>
      <w:r>
        <w:rPr>
          <w:rFonts w:ascii="SimSun" w:hAnsi="SimSun" w:eastAsia="SimSun" w:cs="SimSun"/>
          <w:sz w:val="21"/>
          <w:szCs w:val="21"/>
          <w:spacing w:val="2"/>
        </w:rPr>
        <w:t xml:space="preserve">  </w:t>
      </w:r>
      <w:r>
        <w:rPr>
          <w:rFonts w:ascii="SimSun" w:hAnsi="SimSun" w:eastAsia="SimSun" w:cs="SimSun"/>
          <w:sz w:val="21"/>
          <w:szCs w:val="21"/>
        </w:rPr>
        <w:t>大的分类信息网站，58同城的最大股东也</w:t>
      </w:r>
      <w:r>
        <w:rPr>
          <w:rFonts w:ascii="SimSun" w:hAnsi="SimSun" w:eastAsia="SimSun" w:cs="SimSun"/>
          <w:sz w:val="21"/>
          <w:szCs w:val="21"/>
          <w:spacing w:val="-1"/>
        </w:rPr>
        <w:t>是腾讯，持股22%……除</w:t>
      </w:r>
      <w:r>
        <w:rPr>
          <w:rFonts w:ascii="SimSun" w:hAnsi="SimSun" w:eastAsia="SimSun" w:cs="SimSun"/>
          <w:sz w:val="21"/>
          <w:szCs w:val="21"/>
        </w:rPr>
        <w:t xml:space="preserve">  </w:t>
      </w:r>
      <w:r>
        <w:rPr>
          <w:rFonts w:ascii="SimSun" w:hAnsi="SimSun" w:eastAsia="SimSun" w:cs="SimSun"/>
          <w:sz w:val="21"/>
          <w:szCs w:val="21"/>
          <w:spacing w:val="-11"/>
        </w:rPr>
        <w:t>此之外，腾讯还是贝壳找房、蔚来汽车、搜狗、快手、小红书、滴滴</w:t>
      </w:r>
      <w:r>
        <w:rPr>
          <w:rFonts w:ascii="SimSun" w:hAnsi="SimSun" w:eastAsia="SimSun" w:cs="SimSun"/>
          <w:sz w:val="21"/>
          <w:szCs w:val="21"/>
          <w:spacing w:val="9"/>
        </w:rPr>
        <w:t xml:space="preserve">  </w:t>
      </w:r>
      <w:r>
        <w:rPr>
          <w:rFonts w:ascii="SimSun" w:hAnsi="SimSun" w:eastAsia="SimSun" w:cs="SimSun"/>
          <w:sz w:val="21"/>
          <w:szCs w:val="21"/>
        </w:rPr>
        <w:t>等多家公司的重要股东。数据显示，截至2020</w:t>
      </w:r>
      <w:r>
        <w:rPr>
          <w:rFonts w:ascii="SimSun" w:hAnsi="SimSun" w:eastAsia="SimSun" w:cs="SimSun"/>
          <w:sz w:val="21"/>
          <w:szCs w:val="21"/>
          <w:spacing w:val="-1"/>
        </w:rPr>
        <w:t>年11月，全球586家</w:t>
      </w:r>
      <w:r>
        <w:rPr>
          <w:rFonts w:ascii="SimSun" w:hAnsi="SimSun" w:eastAsia="SimSun" w:cs="SimSun"/>
          <w:sz w:val="21"/>
          <w:szCs w:val="21"/>
        </w:rPr>
        <w:t xml:space="preserve">  </w:t>
      </w:r>
      <w:r>
        <w:rPr>
          <w:rFonts w:ascii="SimSun" w:hAnsi="SimSun" w:eastAsia="SimSun" w:cs="SimSun"/>
          <w:sz w:val="21"/>
          <w:szCs w:val="21"/>
          <w:spacing w:val="-3"/>
        </w:rPr>
        <w:t>独角兽公司中，腾讯独揽52家……自2008年设立投资</w:t>
      </w:r>
      <w:r>
        <w:rPr>
          <w:rFonts w:ascii="SimSun" w:hAnsi="SimSun" w:eastAsia="SimSun" w:cs="SimSun"/>
          <w:sz w:val="21"/>
          <w:szCs w:val="21"/>
          <w:spacing w:val="-4"/>
        </w:rPr>
        <w:t>部门后，腾讯</w:t>
      </w:r>
      <w:r>
        <w:rPr>
          <w:rFonts w:ascii="SimSun" w:hAnsi="SimSun" w:eastAsia="SimSun" w:cs="SimSun"/>
          <w:sz w:val="21"/>
          <w:szCs w:val="21"/>
        </w:rPr>
        <w:t xml:space="preserve">  </w:t>
      </w:r>
      <w:r>
        <w:rPr>
          <w:rFonts w:ascii="SimSun" w:hAnsi="SimSun" w:eastAsia="SimSun" w:cs="SimSun"/>
          <w:sz w:val="21"/>
          <w:szCs w:val="21"/>
          <w:spacing w:val="-3"/>
        </w:rPr>
        <w:t>在投资领域收获颇丰，投资的企业超800家，70多家已上市，160多</w:t>
      </w:r>
      <w:r>
        <w:rPr>
          <w:rFonts w:ascii="SimSun" w:hAnsi="SimSun" w:eastAsia="SimSun" w:cs="SimSun"/>
          <w:sz w:val="21"/>
          <w:szCs w:val="21"/>
          <w:spacing w:val="3"/>
        </w:rPr>
        <w:t xml:space="preserve">  </w:t>
      </w:r>
      <w:r>
        <w:rPr>
          <w:rFonts w:ascii="SimSun" w:hAnsi="SimSun" w:eastAsia="SimSun" w:cs="SimSun"/>
          <w:sz w:val="21"/>
          <w:szCs w:val="21"/>
          <w:spacing w:val="-3"/>
        </w:rPr>
        <w:t>家市值超10亿美元。据美国一家媒体报道，在2020</w:t>
      </w:r>
      <w:r>
        <w:rPr>
          <w:rFonts w:ascii="SimSun" w:hAnsi="SimSun" w:eastAsia="SimSun" w:cs="SimSun"/>
          <w:sz w:val="21"/>
          <w:szCs w:val="21"/>
          <w:spacing w:val="-4"/>
        </w:rPr>
        <w:t>年，腾讯通过持</w:t>
      </w:r>
      <w:r>
        <w:rPr>
          <w:rFonts w:ascii="SimSun" w:hAnsi="SimSun" w:eastAsia="SimSun" w:cs="SimSun"/>
          <w:sz w:val="21"/>
          <w:szCs w:val="21"/>
        </w:rPr>
        <w:t xml:space="preserve">  </w:t>
      </w:r>
      <w:r>
        <w:rPr>
          <w:rFonts w:ascii="SimSun" w:hAnsi="SimSun" w:eastAsia="SimSun" w:cs="SimSun"/>
          <w:sz w:val="21"/>
          <w:szCs w:val="21"/>
          <w:spacing w:val="-1"/>
        </w:rPr>
        <w:t>有100家上市公司股权，已经获得了约1200亿美元的收益。”</w:t>
      </w:r>
    </w:p>
    <w:p>
      <w:pPr>
        <w:ind w:right="67" w:firstLine="420"/>
        <w:spacing w:before="111" w:line="305" w:lineRule="auto"/>
        <w:jc w:val="both"/>
        <w:rPr>
          <w:rFonts w:ascii="SimSun" w:hAnsi="SimSun" w:eastAsia="SimSun" w:cs="SimSun"/>
          <w:sz w:val="21"/>
          <w:szCs w:val="21"/>
        </w:rPr>
      </w:pPr>
      <w:r>
        <w:rPr>
          <w:rFonts w:ascii="SimSun" w:hAnsi="SimSun" w:eastAsia="SimSun" w:cs="SimSun"/>
          <w:sz w:val="21"/>
          <w:szCs w:val="21"/>
          <w:spacing w:val="-3"/>
        </w:rPr>
        <w:t>平台企业在自有业务布局之外一个重要的扩张方式就是并购和</w:t>
      </w:r>
      <w:r>
        <w:rPr>
          <w:rFonts w:ascii="SimSun" w:hAnsi="SimSun" w:eastAsia="SimSun" w:cs="SimSun"/>
          <w:sz w:val="21"/>
          <w:szCs w:val="21"/>
          <w:spacing w:val="7"/>
        </w:rPr>
        <w:t xml:space="preserve"> </w:t>
      </w:r>
      <w:r>
        <w:rPr>
          <w:rFonts w:ascii="SimSun" w:hAnsi="SimSun" w:eastAsia="SimSun" w:cs="SimSun"/>
          <w:sz w:val="21"/>
          <w:szCs w:val="21"/>
          <w:spacing w:val="-11"/>
        </w:rPr>
        <w:t>股权投资。后者在国际上是常见的做法，也就是所谓企业创业投资平</w:t>
      </w:r>
      <w:r>
        <w:rPr>
          <w:rFonts w:ascii="SimSun" w:hAnsi="SimSun" w:eastAsia="SimSun" w:cs="SimSun"/>
          <w:sz w:val="21"/>
          <w:szCs w:val="21"/>
          <w:spacing w:val="18"/>
        </w:rPr>
        <w:t xml:space="preserve"> </w:t>
      </w:r>
      <w:r>
        <w:rPr>
          <w:rFonts w:ascii="SimSun" w:hAnsi="SimSun" w:eastAsia="SimSun" w:cs="SimSun"/>
          <w:sz w:val="21"/>
          <w:szCs w:val="21"/>
          <w:spacing w:val="-2"/>
        </w:rPr>
        <w:t>台</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2"/>
        </w:rPr>
        <w:t>(CVC)   </w:t>
      </w:r>
      <w:r>
        <w:rPr>
          <w:rFonts w:ascii="SimSun" w:hAnsi="SimSun" w:eastAsia="SimSun" w:cs="SimSun"/>
          <w:sz w:val="21"/>
          <w:szCs w:val="21"/>
          <w:spacing w:val="-2"/>
        </w:rPr>
        <w:t>的发展。</w:t>
      </w:r>
      <w:r>
        <w:rPr>
          <w:rFonts w:ascii="Times New Roman" w:hAnsi="Times New Roman" w:eastAsia="Times New Roman" w:cs="Times New Roman"/>
          <w:sz w:val="21"/>
          <w:szCs w:val="21"/>
          <w:spacing w:val="-2"/>
        </w:rPr>
        <w:t>CVC</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对外投资的</w:t>
      </w:r>
      <w:r>
        <w:rPr>
          <w:rFonts w:ascii="SimSun" w:hAnsi="SimSun" w:eastAsia="SimSun" w:cs="SimSun"/>
          <w:sz w:val="21"/>
          <w:szCs w:val="21"/>
          <w:spacing w:val="-3"/>
        </w:rPr>
        <w:t>布局策略服从于平台的发展需</w:t>
      </w:r>
      <w:r>
        <w:rPr>
          <w:rFonts w:ascii="SimSun" w:hAnsi="SimSun" w:eastAsia="SimSun" w:cs="SimSun"/>
          <w:sz w:val="21"/>
          <w:szCs w:val="21"/>
        </w:rPr>
        <w:t xml:space="preserve"> </w:t>
      </w:r>
      <w:r>
        <w:rPr>
          <w:rFonts w:ascii="SimSun" w:hAnsi="SimSun" w:eastAsia="SimSun" w:cs="SimSun"/>
          <w:sz w:val="21"/>
          <w:szCs w:val="21"/>
          <w:spacing w:val="-11"/>
        </w:rPr>
        <w:t>求，可以进一步巩固和加强平台的市场地位。比如腾讯投资是腾讯集</w:t>
      </w:r>
      <w:r>
        <w:rPr>
          <w:rFonts w:ascii="SimSun" w:hAnsi="SimSun" w:eastAsia="SimSun" w:cs="SimSun"/>
          <w:sz w:val="21"/>
          <w:szCs w:val="21"/>
          <w:spacing w:val="16"/>
        </w:rPr>
        <w:t xml:space="preserve"> </w:t>
      </w:r>
      <w:r>
        <w:rPr>
          <w:rFonts w:ascii="SimSun" w:hAnsi="SimSun" w:eastAsia="SimSun" w:cs="SimSun"/>
          <w:sz w:val="21"/>
          <w:szCs w:val="21"/>
          <w:spacing w:val="-11"/>
        </w:rPr>
        <w:t>团的投资部门与核心战略部门之一，对外投资数量超过千起，在整个</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10"/>
        </w:rPr>
        <w:t>CVC</w:t>
      </w:r>
      <w:r>
        <w:rPr>
          <w:rFonts w:ascii="SimSun" w:hAnsi="SimSun" w:eastAsia="SimSun" w:cs="SimSun"/>
          <w:sz w:val="21"/>
          <w:szCs w:val="21"/>
          <w:spacing w:val="-10"/>
        </w:rPr>
        <w:t>投资中遥遥领先；阿里巴巴投资是阿里巴巴</w:t>
      </w:r>
      <w:r>
        <w:rPr>
          <w:rFonts w:ascii="SimSun" w:hAnsi="SimSun" w:eastAsia="SimSun" w:cs="SimSun"/>
          <w:sz w:val="21"/>
          <w:szCs w:val="21"/>
          <w:spacing w:val="-11"/>
        </w:rPr>
        <w:t>从事战略投资的全资</w:t>
      </w:r>
      <w:r>
        <w:rPr>
          <w:rFonts w:ascii="SimSun" w:hAnsi="SimSun" w:eastAsia="SimSun" w:cs="SimSun"/>
          <w:sz w:val="21"/>
          <w:szCs w:val="21"/>
        </w:rPr>
        <w:t xml:space="preserve"> </w:t>
      </w:r>
      <w:r>
        <w:rPr>
          <w:rFonts w:ascii="SimSun" w:hAnsi="SimSun" w:eastAsia="SimSun" w:cs="SimSun"/>
          <w:sz w:val="21"/>
          <w:szCs w:val="21"/>
          <w:spacing w:val="-10"/>
        </w:rPr>
        <w:t>子公司；京东通过宿迁涵邦进行战略投资；美团旗下则有</w:t>
      </w:r>
      <w:r>
        <w:rPr>
          <w:rFonts w:ascii="SimSun" w:hAnsi="SimSun" w:eastAsia="SimSun" w:cs="SimSun"/>
          <w:sz w:val="21"/>
          <w:szCs w:val="21"/>
          <w:spacing w:val="-11"/>
        </w:rPr>
        <w:t>美团战投和</w:t>
      </w:r>
      <w:r>
        <w:rPr>
          <w:rFonts w:ascii="SimSun" w:hAnsi="SimSun" w:eastAsia="SimSun" w:cs="SimSun"/>
          <w:sz w:val="21"/>
          <w:szCs w:val="21"/>
        </w:rPr>
        <w:t xml:space="preserve"> </w:t>
      </w:r>
      <w:r>
        <w:rPr>
          <w:rFonts w:ascii="SimSun" w:hAnsi="SimSun" w:eastAsia="SimSun" w:cs="SimSun"/>
          <w:sz w:val="21"/>
          <w:szCs w:val="21"/>
          <w:spacing w:val="-5"/>
        </w:rPr>
        <w:t>龙珠资本；等等。美国的谷歌有</w:t>
      </w:r>
      <w:r>
        <w:rPr>
          <w:rFonts w:ascii="Times New Roman" w:hAnsi="Times New Roman" w:eastAsia="Times New Roman" w:cs="Times New Roman"/>
          <w:sz w:val="21"/>
          <w:szCs w:val="21"/>
          <w:spacing w:val="-5"/>
        </w:rPr>
        <w:t>GV</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5"/>
        </w:rPr>
        <w:t>(以前叫 </w:t>
      </w:r>
      <w:r>
        <w:rPr>
          <w:rFonts w:ascii="Times New Roman" w:hAnsi="Times New Roman" w:eastAsia="Times New Roman" w:cs="Times New Roman"/>
          <w:sz w:val="21"/>
          <w:szCs w:val="21"/>
          <w:spacing w:val="-5"/>
        </w:rPr>
        <w:t>Google Ventures), </w:t>
      </w:r>
      <w:r>
        <w:rPr>
          <w:rFonts w:ascii="SimSun" w:hAnsi="SimSun" w:eastAsia="SimSun" w:cs="SimSun"/>
          <w:sz w:val="21"/>
          <w:szCs w:val="21"/>
          <w:spacing w:val="-5"/>
        </w:rPr>
        <w:t>微软</w:t>
      </w:r>
      <w:r>
        <w:rPr>
          <w:rFonts w:ascii="SimSun" w:hAnsi="SimSun" w:eastAsia="SimSun" w:cs="SimSun"/>
          <w:sz w:val="21"/>
          <w:szCs w:val="21"/>
        </w:rPr>
        <w:t xml:space="preserve"> </w:t>
      </w:r>
      <w:r>
        <w:rPr>
          <w:rFonts w:ascii="SimSun" w:hAnsi="SimSun" w:eastAsia="SimSun" w:cs="SimSun"/>
          <w:sz w:val="21"/>
          <w:szCs w:val="21"/>
          <w:spacing w:val="-9"/>
        </w:rPr>
        <w:t>有M12,</w:t>
      </w:r>
      <w:r>
        <w:rPr>
          <w:rFonts w:ascii="SimSun" w:hAnsi="SimSun" w:eastAsia="SimSun" w:cs="SimSun"/>
          <w:sz w:val="21"/>
          <w:szCs w:val="21"/>
          <w:spacing w:val="88"/>
        </w:rPr>
        <w:t xml:space="preserve"> </w:t>
      </w:r>
      <w:r>
        <w:rPr>
          <w:rFonts w:ascii="SimSun" w:hAnsi="SimSun" w:eastAsia="SimSun" w:cs="SimSun"/>
          <w:sz w:val="21"/>
          <w:szCs w:val="21"/>
          <w:spacing w:val="-9"/>
        </w:rPr>
        <w:t>但亚马逊和脸书直到最近几年才开始成立自己的投资部门。</w:t>
      </w:r>
    </w:p>
    <w:p>
      <w:pPr>
        <w:spacing w:line="305" w:lineRule="auto"/>
        <w:sectPr>
          <w:headerReference w:type="default" r:id="rId172"/>
          <w:pgSz w:w="7330" w:h="12480"/>
          <w:pgMar w:top="829" w:right="814" w:bottom="400" w:left="429" w:header="651"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154" w:firstLine="429"/>
        <w:spacing w:before="69" w:line="307" w:lineRule="auto"/>
        <w:jc w:val="both"/>
        <w:rPr>
          <w:rFonts w:ascii="SimSun" w:hAnsi="SimSun" w:eastAsia="SimSun" w:cs="SimSun"/>
          <w:sz w:val="21"/>
          <w:szCs w:val="21"/>
        </w:rPr>
      </w:pPr>
      <w:r>
        <w:rPr>
          <w:rFonts w:ascii="SimSun" w:hAnsi="SimSun" w:eastAsia="SimSun" w:cs="SimSun"/>
          <w:sz w:val="21"/>
          <w:szCs w:val="21"/>
          <w:spacing w:val="-11"/>
        </w:rPr>
        <w:t>中国的头部平台企业几乎在所有行业都有控股布局。根据各品牌</w:t>
      </w:r>
      <w:r>
        <w:rPr>
          <w:rFonts w:ascii="SimSun" w:hAnsi="SimSun" w:eastAsia="SimSun" w:cs="SimSun"/>
          <w:sz w:val="21"/>
          <w:szCs w:val="21"/>
          <w:spacing w:val="15"/>
        </w:rPr>
        <w:t xml:space="preserve"> </w:t>
      </w:r>
      <w:r>
        <w:rPr>
          <w:rFonts w:ascii="SimSun" w:hAnsi="SimSun" w:eastAsia="SimSun" w:cs="SimSun"/>
          <w:sz w:val="21"/>
          <w:szCs w:val="21"/>
          <w:spacing w:val="-11"/>
        </w:rPr>
        <w:t>所属的公司全称，对于中国品牌，我们通过天眼查企业注册信息中的</w:t>
      </w:r>
      <w:r>
        <w:rPr>
          <w:rFonts w:ascii="SimSun" w:hAnsi="SimSun" w:eastAsia="SimSun" w:cs="SimSun"/>
          <w:sz w:val="21"/>
          <w:szCs w:val="21"/>
          <w:spacing w:val="14"/>
        </w:rPr>
        <w:t xml:space="preserve"> </w:t>
      </w:r>
      <w:r>
        <w:rPr>
          <w:rFonts w:ascii="SimSun" w:hAnsi="SimSun" w:eastAsia="SimSun" w:cs="SimSun"/>
          <w:sz w:val="21"/>
          <w:szCs w:val="21"/>
          <w:spacing w:val="-11"/>
        </w:rPr>
        <w:t>股权结构及穿透数据来整理非上市企业的股权结构、大股东名称及其</w:t>
      </w:r>
      <w:r>
        <w:rPr>
          <w:rFonts w:ascii="SimSun" w:hAnsi="SimSun" w:eastAsia="SimSun" w:cs="SimSun"/>
          <w:sz w:val="21"/>
          <w:szCs w:val="21"/>
          <w:spacing w:val="7"/>
        </w:rPr>
        <w:t xml:space="preserve"> </w:t>
      </w:r>
      <w:r>
        <w:rPr>
          <w:rFonts w:ascii="SimSun" w:hAnsi="SimSun" w:eastAsia="SimSun" w:cs="SimSun"/>
          <w:sz w:val="21"/>
          <w:szCs w:val="21"/>
          <w:spacing w:val="-11"/>
        </w:rPr>
        <w:t>持股比例、实际控制人、最终受益人等信息。对于上市企业，股东信</w:t>
      </w:r>
      <w:r>
        <w:rPr>
          <w:rFonts w:ascii="SimSun" w:hAnsi="SimSun" w:eastAsia="SimSun" w:cs="SimSun"/>
          <w:sz w:val="21"/>
          <w:szCs w:val="21"/>
          <w:spacing w:val="13"/>
        </w:rPr>
        <w:t xml:space="preserve"> </w:t>
      </w:r>
      <w:r>
        <w:rPr>
          <w:rFonts w:ascii="SimSun" w:hAnsi="SimSun" w:eastAsia="SimSun" w:cs="SimSun"/>
          <w:sz w:val="21"/>
          <w:szCs w:val="21"/>
          <w:spacing w:val="-4"/>
        </w:rPr>
        <w:t>息来自同花顺、公司2020年年报、招股说明书。对于美国品牌，我</w:t>
      </w:r>
      <w:r>
        <w:rPr>
          <w:rFonts w:ascii="SimSun" w:hAnsi="SimSun" w:eastAsia="SimSun" w:cs="SimSun"/>
          <w:sz w:val="21"/>
          <w:szCs w:val="21"/>
          <w:spacing w:val="11"/>
        </w:rPr>
        <w:t xml:space="preserve"> </w:t>
      </w:r>
      <w:r>
        <w:rPr>
          <w:rFonts w:ascii="SimSun" w:hAnsi="SimSun" w:eastAsia="SimSun" w:cs="SimSun"/>
          <w:sz w:val="21"/>
          <w:szCs w:val="21"/>
          <w:spacing w:val="-2"/>
        </w:rPr>
        <w:t>们从</w:t>
      </w:r>
      <w:r>
        <w:rPr>
          <w:rFonts w:ascii="Times New Roman" w:hAnsi="Times New Roman" w:eastAsia="Times New Roman" w:cs="Times New Roman"/>
          <w:sz w:val="21"/>
          <w:szCs w:val="21"/>
          <w:spacing w:val="-2"/>
        </w:rPr>
        <w:t>Orbis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全球企业数据库、</w:t>
      </w:r>
      <w:r>
        <w:rPr>
          <w:rFonts w:ascii="Times New Roman" w:hAnsi="Times New Roman" w:eastAsia="Times New Roman" w:cs="Times New Roman"/>
          <w:sz w:val="21"/>
          <w:szCs w:val="21"/>
          <w:spacing w:val="-2"/>
        </w:rPr>
        <w:t>Capital</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2"/>
        </w:rPr>
        <w:t>IQ</w:t>
      </w:r>
      <w:r>
        <w:rPr>
          <w:rFonts w:ascii="SimSun" w:hAnsi="SimSun" w:eastAsia="SimSun" w:cs="SimSun"/>
          <w:sz w:val="21"/>
          <w:szCs w:val="21"/>
          <w:spacing w:val="-2"/>
        </w:rPr>
        <w:t>数据库搜寻其公司的前五大</w:t>
      </w:r>
      <w:r>
        <w:rPr>
          <w:rFonts w:ascii="SimSun" w:hAnsi="SimSun" w:eastAsia="SimSun" w:cs="SimSun"/>
          <w:sz w:val="21"/>
          <w:szCs w:val="21"/>
        </w:rPr>
        <w:t xml:space="preserve"> </w:t>
      </w:r>
      <w:r>
        <w:rPr>
          <w:rFonts w:ascii="SimSun" w:hAnsi="SimSun" w:eastAsia="SimSun" w:cs="SimSun"/>
          <w:sz w:val="21"/>
          <w:szCs w:val="21"/>
          <w:spacing w:val="-4"/>
        </w:rPr>
        <w:t>股东名称、持股比例、实际控制人(或高管)。我们发现，与美国同</w:t>
      </w:r>
      <w:r>
        <w:rPr>
          <w:rFonts w:ascii="SimSun" w:hAnsi="SimSun" w:eastAsia="SimSun" w:cs="SimSun"/>
          <w:sz w:val="21"/>
          <w:szCs w:val="21"/>
          <w:spacing w:val="17"/>
        </w:rPr>
        <w:t xml:space="preserve"> </w:t>
      </w:r>
      <w:r>
        <w:rPr>
          <w:rFonts w:ascii="SimSun" w:hAnsi="SimSun" w:eastAsia="SimSun" w:cs="SimSun"/>
          <w:sz w:val="21"/>
          <w:szCs w:val="21"/>
          <w:spacing w:val="-4"/>
        </w:rPr>
        <w:t>类企业相比，中国的头部平台企业(尤其以腾讯和阿里巴巴为主)投</w:t>
      </w:r>
      <w:r>
        <w:rPr>
          <w:rFonts w:ascii="SimSun" w:hAnsi="SimSun" w:eastAsia="SimSun" w:cs="SimSun"/>
          <w:sz w:val="21"/>
          <w:szCs w:val="21"/>
          <w:spacing w:val="7"/>
        </w:rPr>
        <w:t xml:space="preserve"> </w:t>
      </w:r>
      <w:r>
        <w:rPr>
          <w:rFonts w:ascii="SimSun" w:hAnsi="SimSun" w:eastAsia="SimSun" w:cs="SimSun"/>
          <w:sz w:val="21"/>
          <w:szCs w:val="21"/>
          <w:spacing w:val="-11"/>
        </w:rPr>
        <w:t>资或控股了非常多的消费互联网品牌，这进一步印证了这些互联网巨</w:t>
      </w:r>
      <w:r>
        <w:rPr>
          <w:rFonts w:ascii="SimSun" w:hAnsi="SimSun" w:eastAsia="SimSun" w:cs="SimSun"/>
          <w:sz w:val="21"/>
          <w:szCs w:val="21"/>
          <w:spacing w:val="10"/>
        </w:rPr>
        <w:t xml:space="preserve"> </w:t>
      </w:r>
      <w:r>
        <w:rPr>
          <w:rFonts w:ascii="SimSun" w:hAnsi="SimSun" w:eastAsia="SimSun" w:cs="SimSun"/>
          <w:sz w:val="21"/>
          <w:szCs w:val="21"/>
          <w:spacing w:val="-11"/>
        </w:rPr>
        <w:t>头的确是在进行全方位的面向个人用户的行业布局。</w:t>
      </w:r>
    </w:p>
    <w:p>
      <w:pPr>
        <w:ind w:right="78" w:firstLine="429"/>
        <w:spacing w:before="106" w:line="300" w:lineRule="auto"/>
        <w:jc w:val="both"/>
        <w:rPr>
          <w:rFonts w:ascii="SimSun" w:hAnsi="SimSun" w:eastAsia="SimSun" w:cs="SimSun"/>
          <w:sz w:val="21"/>
          <w:szCs w:val="21"/>
        </w:rPr>
      </w:pPr>
      <w:r>
        <w:rPr>
          <w:rFonts w:ascii="SimSun" w:hAnsi="SimSun" w:eastAsia="SimSun" w:cs="SimSun"/>
          <w:sz w:val="21"/>
          <w:szCs w:val="21"/>
          <w:spacing w:val="-8"/>
        </w:rPr>
        <w:t>平台企业的合法投资扩张可能有助于形成一个更加有竞争性的、</w:t>
      </w:r>
      <w:r>
        <w:rPr>
          <w:rFonts w:ascii="SimSun" w:hAnsi="SimSun" w:eastAsia="SimSun" w:cs="SimSun"/>
          <w:sz w:val="21"/>
          <w:szCs w:val="21"/>
          <w:spacing w:val="8"/>
        </w:rPr>
        <w:t xml:space="preserve"> </w:t>
      </w:r>
      <w:r>
        <w:rPr>
          <w:rFonts w:ascii="SimSun" w:hAnsi="SimSun" w:eastAsia="SimSun" w:cs="SimSun"/>
          <w:sz w:val="21"/>
          <w:szCs w:val="21"/>
          <w:spacing w:val="-11"/>
        </w:rPr>
        <w:t>有更多选择的环境。每一个行业内部少则有两到三家大平台在直接争</w:t>
      </w:r>
      <w:r>
        <w:rPr>
          <w:rFonts w:ascii="SimSun" w:hAnsi="SimSun" w:eastAsia="SimSun" w:cs="SimSun"/>
          <w:sz w:val="21"/>
          <w:szCs w:val="21"/>
          <w:spacing w:val="3"/>
        </w:rPr>
        <w:t xml:space="preserve">  </w:t>
      </w:r>
      <w:r>
        <w:rPr>
          <w:rFonts w:ascii="SimSun" w:hAnsi="SimSun" w:eastAsia="SimSun" w:cs="SimSun"/>
          <w:sz w:val="21"/>
          <w:szCs w:val="21"/>
          <w:spacing w:val="-11"/>
        </w:rPr>
        <w:t>夺市场，这种跨界竞争实际上增加了市场的可竞争性。而可竞争性是</w:t>
      </w:r>
      <w:r>
        <w:rPr>
          <w:rFonts w:ascii="SimSun" w:hAnsi="SimSun" w:eastAsia="SimSun" w:cs="SimSun"/>
          <w:sz w:val="21"/>
          <w:szCs w:val="21"/>
          <w:spacing w:val="4"/>
        </w:rPr>
        <w:t xml:space="preserve">  </w:t>
      </w:r>
      <w:r>
        <w:rPr>
          <w:rFonts w:ascii="SimSun" w:hAnsi="SimSun" w:eastAsia="SimSun" w:cs="SimSun"/>
          <w:sz w:val="21"/>
          <w:szCs w:val="21"/>
          <w:spacing w:val="-11"/>
        </w:rPr>
        <w:t>垄断的对立面，潜在竞争对手越多，平台就越难保持市场地位的垄断</w:t>
      </w:r>
      <w:r>
        <w:rPr>
          <w:rFonts w:ascii="SimSun" w:hAnsi="SimSun" w:eastAsia="SimSun" w:cs="SimSun"/>
          <w:sz w:val="21"/>
          <w:szCs w:val="21"/>
          <w:spacing w:val="3"/>
        </w:rPr>
        <w:t xml:space="preserve">  </w:t>
      </w:r>
      <w:r>
        <w:rPr>
          <w:rFonts w:ascii="SimSun" w:hAnsi="SimSun" w:eastAsia="SimSun" w:cs="SimSun"/>
          <w:sz w:val="21"/>
          <w:szCs w:val="21"/>
          <w:spacing w:val="-10"/>
        </w:rPr>
        <w:t>优势。这对于消费者以及这个平台上的商家等都是利好消息。从以前</w:t>
      </w:r>
      <w:r>
        <w:rPr>
          <w:rFonts w:ascii="SimSun" w:hAnsi="SimSun" w:eastAsia="SimSun" w:cs="SimSun"/>
          <w:sz w:val="21"/>
          <w:szCs w:val="21"/>
        </w:rPr>
        <w:t xml:space="preserve">  </w:t>
      </w:r>
      <w:r>
        <w:rPr>
          <w:rFonts w:ascii="SimSun" w:hAnsi="SimSun" w:eastAsia="SimSun" w:cs="SimSun"/>
          <w:sz w:val="21"/>
          <w:szCs w:val="21"/>
          <w:spacing w:val="-10"/>
        </w:rPr>
        <w:t>的石油业巨头、通信业巨头、软件业巨头，再</w:t>
      </w:r>
      <w:r>
        <w:rPr>
          <w:rFonts w:ascii="SimSun" w:hAnsi="SimSun" w:eastAsia="SimSun" w:cs="SimSun"/>
          <w:sz w:val="21"/>
          <w:szCs w:val="21"/>
          <w:spacing w:val="-11"/>
        </w:rPr>
        <w:t>到今天这些互联网平台</w:t>
      </w:r>
      <w:r>
        <w:rPr>
          <w:rFonts w:ascii="SimSun" w:hAnsi="SimSun" w:eastAsia="SimSun" w:cs="SimSun"/>
          <w:sz w:val="21"/>
          <w:szCs w:val="21"/>
        </w:rPr>
        <w:t xml:space="preserve">  </w:t>
      </w:r>
      <w:r>
        <w:rPr>
          <w:rFonts w:ascii="SimSun" w:hAnsi="SimSun" w:eastAsia="SimSun" w:cs="SimSun"/>
          <w:sz w:val="21"/>
          <w:szCs w:val="21"/>
          <w:spacing w:val="-11"/>
        </w:rPr>
        <w:t>巨头，我们会发现，随着时间推移和市场演进，新兴行业、新兴技术</w:t>
      </w:r>
      <w:r>
        <w:rPr>
          <w:rFonts w:ascii="SimSun" w:hAnsi="SimSun" w:eastAsia="SimSun" w:cs="SimSun"/>
          <w:sz w:val="21"/>
          <w:szCs w:val="21"/>
          <w:spacing w:val="4"/>
        </w:rPr>
        <w:t xml:space="preserve">  </w:t>
      </w:r>
      <w:r>
        <w:rPr>
          <w:rFonts w:ascii="SimSun" w:hAnsi="SimSun" w:eastAsia="SimSun" w:cs="SimSun"/>
          <w:sz w:val="21"/>
          <w:szCs w:val="21"/>
          <w:spacing w:val="-11"/>
        </w:rPr>
        <w:t>不断涌现，保持行业领先地位并不是一件容易的事情。当然这也解释</w:t>
      </w:r>
      <w:r>
        <w:rPr>
          <w:rFonts w:ascii="SimSun" w:hAnsi="SimSun" w:eastAsia="SimSun" w:cs="SimSun"/>
          <w:sz w:val="21"/>
          <w:szCs w:val="21"/>
          <w:spacing w:val="4"/>
        </w:rPr>
        <w:t xml:space="preserve">  </w:t>
      </w:r>
      <w:r>
        <w:rPr>
          <w:rFonts w:ascii="SimSun" w:hAnsi="SimSun" w:eastAsia="SimSun" w:cs="SimSun"/>
          <w:sz w:val="21"/>
          <w:szCs w:val="21"/>
          <w:spacing w:val="-11"/>
        </w:rPr>
        <w:t>了为什么现在平台企业和大公司都愿意通过</w:t>
      </w:r>
      <w:r>
        <w:rPr>
          <w:rFonts w:ascii="Times New Roman" w:hAnsi="Times New Roman" w:eastAsia="Times New Roman" w:cs="Times New Roman"/>
          <w:sz w:val="21"/>
          <w:szCs w:val="21"/>
          <w:spacing w:val="-11"/>
        </w:rPr>
        <w:t>CVC</w:t>
      </w:r>
      <w:r>
        <w:rPr>
          <w:rFonts w:ascii="SimSun" w:hAnsi="SimSun" w:eastAsia="SimSun" w:cs="SimSun"/>
          <w:sz w:val="21"/>
          <w:szCs w:val="21"/>
          <w:spacing w:val="-11"/>
        </w:rPr>
        <w:t>的方式来发掘新兴行</w:t>
      </w:r>
      <w:r>
        <w:rPr>
          <w:rFonts w:ascii="SimSun" w:hAnsi="SimSun" w:eastAsia="SimSun" w:cs="SimSun"/>
          <w:sz w:val="21"/>
          <w:szCs w:val="21"/>
          <w:spacing w:val="4"/>
        </w:rPr>
        <w:t xml:space="preserve">  </w:t>
      </w:r>
      <w:r>
        <w:rPr>
          <w:rFonts w:ascii="SimSun" w:hAnsi="SimSun" w:eastAsia="SimSun" w:cs="SimSun"/>
          <w:sz w:val="21"/>
          <w:szCs w:val="21"/>
          <w:spacing w:val="-11"/>
        </w:rPr>
        <w:t>业和优势初创企业。从这个角度来看，企业各个方面的创投投资实际</w:t>
      </w:r>
      <w:r>
        <w:rPr>
          <w:rFonts w:ascii="SimSun" w:hAnsi="SimSun" w:eastAsia="SimSun" w:cs="SimSun"/>
          <w:sz w:val="21"/>
          <w:szCs w:val="21"/>
          <w:spacing w:val="3"/>
        </w:rPr>
        <w:t xml:space="preserve">  </w:t>
      </w:r>
      <w:r>
        <w:rPr>
          <w:rFonts w:ascii="SimSun" w:hAnsi="SimSun" w:eastAsia="SimSun" w:cs="SimSun"/>
          <w:sz w:val="21"/>
          <w:szCs w:val="21"/>
          <w:spacing w:val="-4"/>
        </w:rPr>
        <w:t>上也是为维护它们本身市场优势地位而进行的非常具有战略性的一</w:t>
      </w:r>
      <w:r>
        <w:rPr>
          <w:rFonts w:ascii="SimSun" w:hAnsi="SimSun" w:eastAsia="SimSun" w:cs="SimSun"/>
          <w:sz w:val="21"/>
          <w:szCs w:val="21"/>
          <w:spacing w:val="3"/>
        </w:rPr>
        <w:t xml:space="preserve">  </w:t>
      </w:r>
      <w:r>
        <w:rPr>
          <w:rFonts w:ascii="SimSun" w:hAnsi="SimSun" w:eastAsia="SimSun" w:cs="SimSun"/>
          <w:sz w:val="21"/>
          <w:szCs w:val="21"/>
          <w:spacing w:val="-11"/>
        </w:rPr>
        <w:t>步，它们希望把握下一个业务增长点。</w:t>
      </w:r>
    </w:p>
    <w:p>
      <w:pPr>
        <w:ind w:firstLine="429"/>
        <w:spacing w:before="220" w:line="290" w:lineRule="auto"/>
        <w:jc w:val="both"/>
        <w:rPr>
          <w:rFonts w:ascii="SimSun" w:hAnsi="SimSun" w:eastAsia="SimSun" w:cs="SimSun"/>
          <w:sz w:val="21"/>
          <w:szCs w:val="21"/>
        </w:rPr>
      </w:pPr>
      <w:r>
        <w:rPr>
          <w:rFonts w:ascii="SimSun" w:hAnsi="SimSun" w:eastAsia="SimSun" w:cs="SimSun"/>
          <w:sz w:val="21"/>
          <w:szCs w:val="21"/>
          <w:spacing w:val="-11"/>
        </w:rPr>
        <w:t>另一方面，平台通过投资并购可以进一步加强市场势力并阻碍新  </w:t>
      </w:r>
      <w:r>
        <w:rPr>
          <w:rFonts w:ascii="SimSun" w:hAnsi="SimSun" w:eastAsia="SimSun" w:cs="SimSun"/>
          <w:sz w:val="21"/>
          <w:szCs w:val="21"/>
          <w:spacing w:val="-4"/>
        </w:rPr>
        <w:t>的竞争者进入市场。例如，脸书被质疑采取“要么</w:t>
      </w:r>
      <w:r>
        <w:rPr>
          <w:rFonts w:ascii="SimSun" w:hAnsi="SimSun" w:eastAsia="SimSun" w:cs="SimSun"/>
          <w:sz w:val="21"/>
          <w:szCs w:val="21"/>
          <w:spacing w:val="-5"/>
        </w:rPr>
        <w:t>收购、要么模仿”</w:t>
      </w:r>
      <w:r>
        <w:rPr>
          <w:rFonts w:ascii="SimSun" w:hAnsi="SimSun" w:eastAsia="SimSun" w:cs="SimSun"/>
          <w:sz w:val="21"/>
          <w:szCs w:val="21"/>
        </w:rPr>
        <w:t xml:space="preserve"> </w:t>
      </w:r>
      <w:r>
        <w:rPr>
          <w:rFonts w:ascii="SimSun" w:hAnsi="SimSun" w:eastAsia="SimSun" w:cs="SimSun"/>
          <w:sz w:val="21"/>
          <w:szCs w:val="21"/>
          <w:spacing w:val="-4"/>
        </w:rPr>
        <w:t>的策略来打击新崛起的公司，避免潜在竞争对手的挑战，这破坏了  </w:t>
      </w:r>
      <w:r>
        <w:rPr>
          <w:rFonts w:ascii="SimSun" w:hAnsi="SimSun" w:eastAsia="SimSun" w:cs="SimSun"/>
          <w:sz w:val="21"/>
          <w:szCs w:val="21"/>
          <w:spacing w:val="-8"/>
        </w:rPr>
        <w:t>商业上的公平竞争环境，长远来看也会损害消费者利益。而在我国，</w:t>
      </w:r>
      <w:r>
        <w:rPr>
          <w:rFonts w:ascii="SimSun" w:hAnsi="SimSun" w:eastAsia="SimSun" w:cs="SimSun"/>
          <w:sz w:val="21"/>
          <w:szCs w:val="21"/>
          <w:spacing w:val="6"/>
        </w:rPr>
        <w:t xml:space="preserve">  </w:t>
      </w:r>
      <w:r>
        <w:rPr>
          <w:rFonts w:ascii="SimSun" w:hAnsi="SimSun" w:eastAsia="SimSun" w:cs="SimSun"/>
          <w:sz w:val="21"/>
          <w:szCs w:val="21"/>
          <w:spacing w:val="-4"/>
        </w:rPr>
        <w:t>自2020年底以来，监管部门针对互联网头部平台密集开出罚单，大</w:t>
      </w:r>
    </w:p>
    <w:p>
      <w:pPr>
        <w:spacing w:line="290" w:lineRule="auto"/>
        <w:sectPr>
          <w:headerReference w:type="default" r:id="rId173"/>
          <w:pgSz w:w="7330" w:h="12480"/>
          <w:pgMar w:top="539" w:right="476" w:bottom="400" w:left="680" w:header="375" w:footer="0" w:gutter="0"/>
        </w:sectPr>
        <w:rPr>
          <w:rFonts w:ascii="SimSun" w:hAnsi="SimSun" w:eastAsia="SimSun" w:cs="SimSun"/>
          <w:sz w:val="21"/>
          <w:szCs w:val="21"/>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20"/>
        </w:rPr>
        <w:t>多是关于经营者集中的申报和实施问题。2020年12月14日，市场 </w:t>
      </w:r>
      <w:r>
        <w:rPr>
          <w:rFonts w:ascii="SimSun" w:hAnsi="SimSun" w:eastAsia="SimSun" w:cs="SimSun"/>
          <w:sz w:val="19"/>
          <w:szCs w:val="19"/>
          <w:spacing w:val="12"/>
        </w:rPr>
        <w:t>监管总局依法对阿里巴巴投资收购银泰商业股权、阅文集团(腾讯控</w:t>
      </w:r>
      <w:r>
        <w:rPr>
          <w:rFonts w:ascii="SimSun" w:hAnsi="SimSun" w:eastAsia="SimSun" w:cs="SimSun"/>
          <w:sz w:val="19"/>
          <w:szCs w:val="19"/>
          <w:spacing w:val="5"/>
        </w:rPr>
        <w:t xml:space="preserve">  </w:t>
      </w:r>
      <w:r>
        <w:rPr>
          <w:rFonts w:ascii="SimSun" w:hAnsi="SimSun" w:eastAsia="SimSun" w:cs="SimSun"/>
          <w:sz w:val="19"/>
          <w:szCs w:val="19"/>
          <w:spacing w:val="19"/>
        </w:rPr>
        <w:t>股)收购新丽传媒股权、丰巢网络(顺丰控股)收</w:t>
      </w:r>
      <w:r>
        <w:rPr>
          <w:rFonts w:ascii="SimSun" w:hAnsi="SimSun" w:eastAsia="SimSun" w:cs="SimSun"/>
          <w:sz w:val="19"/>
          <w:szCs w:val="19"/>
          <w:spacing w:val="18"/>
        </w:rPr>
        <w:t>购中邮智递股权等</w:t>
      </w:r>
      <w:r>
        <w:rPr>
          <w:rFonts w:ascii="SimSun" w:hAnsi="SimSun" w:eastAsia="SimSun" w:cs="SimSun"/>
          <w:sz w:val="19"/>
          <w:szCs w:val="19"/>
        </w:rPr>
        <w:t xml:space="preserve">  </w:t>
      </w:r>
      <w:r>
        <w:rPr>
          <w:rFonts w:ascii="SimSun" w:hAnsi="SimSun" w:eastAsia="SimSun" w:cs="SimSun"/>
          <w:sz w:val="19"/>
          <w:szCs w:val="19"/>
          <w:spacing w:val="12"/>
        </w:rPr>
        <w:t>三起未依法申报违法实施经营者集中案做出行政处罚</w:t>
      </w:r>
      <w:r>
        <w:rPr>
          <w:rFonts w:ascii="SimSun" w:hAnsi="SimSun" w:eastAsia="SimSun" w:cs="SimSun"/>
          <w:sz w:val="19"/>
          <w:szCs w:val="19"/>
          <w:spacing w:val="11"/>
        </w:rPr>
        <w:t>决定。2021年3</w:t>
      </w:r>
      <w:r>
        <w:rPr>
          <w:rFonts w:ascii="SimSun" w:hAnsi="SimSun" w:eastAsia="SimSun" w:cs="SimSun"/>
          <w:sz w:val="19"/>
          <w:szCs w:val="19"/>
        </w:rPr>
        <w:t xml:space="preserve">  </w:t>
      </w:r>
      <w:r>
        <w:rPr>
          <w:rFonts w:ascii="SimSun" w:hAnsi="SimSun" w:eastAsia="SimSun" w:cs="SimSun"/>
          <w:sz w:val="19"/>
          <w:szCs w:val="19"/>
          <w:spacing w:val="15"/>
        </w:rPr>
        <w:t>月12日，市场监管总局依法对互联网领域10起违法实</w:t>
      </w:r>
      <w:r>
        <w:rPr>
          <w:rFonts w:ascii="SimSun" w:hAnsi="SimSun" w:eastAsia="SimSun" w:cs="SimSun"/>
          <w:sz w:val="19"/>
          <w:szCs w:val="19"/>
          <w:spacing w:val="14"/>
        </w:rPr>
        <w:t>施经营者集中</w:t>
      </w:r>
      <w:r>
        <w:rPr>
          <w:rFonts w:ascii="SimSun" w:hAnsi="SimSun" w:eastAsia="SimSun" w:cs="SimSun"/>
          <w:sz w:val="19"/>
          <w:szCs w:val="19"/>
        </w:rPr>
        <w:t xml:space="preserve">  </w:t>
      </w:r>
      <w:r>
        <w:rPr>
          <w:rFonts w:ascii="SimSun" w:hAnsi="SimSun" w:eastAsia="SimSun" w:cs="SimSun"/>
          <w:sz w:val="19"/>
          <w:szCs w:val="19"/>
          <w:spacing w:val="9"/>
        </w:rPr>
        <w:t>案做出行政处罚决定，其中涉及腾讯、百度、京东、滴滴、字节跳动</w:t>
      </w:r>
      <w:r>
        <w:rPr>
          <w:rFonts w:ascii="SimSun" w:hAnsi="SimSun" w:eastAsia="SimSun" w:cs="SimSun"/>
          <w:sz w:val="19"/>
          <w:szCs w:val="19"/>
          <w:spacing w:val="6"/>
        </w:rPr>
        <w:t xml:space="preserve">  </w:t>
      </w:r>
      <w:r>
        <w:rPr>
          <w:rFonts w:ascii="SimSun" w:hAnsi="SimSun" w:eastAsia="SimSun" w:cs="SimSun"/>
          <w:sz w:val="19"/>
          <w:szCs w:val="19"/>
          <w:spacing w:val="23"/>
        </w:rPr>
        <w:t>各1起。2021年4月30日，市场监管总局公布依法对互联网领域9 </w:t>
      </w:r>
      <w:r>
        <w:rPr>
          <w:rFonts w:ascii="SimSun" w:hAnsi="SimSun" w:eastAsia="SimSun" w:cs="SimSun"/>
          <w:sz w:val="19"/>
          <w:szCs w:val="19"/>
          <w:spacing w:val="9"/>
        </w:rPr>
        <w:t>起违法实施经营者集中案做出行政处罚决定，其中涉及腾讯和滴滴各</w:t>
      </w:r>
      <w:r>
        <w:rPr>
          <w:rFonts w:ascii="SimSun" w:hAnsi="SimSun" w:eastAsia="SimSun" w:cs="SimSun"/>
          <w:sz w:val="19"/>
          <w:szCs w:val="19"/>
          <w:spacing w:val="3"/>
        </w:rPr>
        <w:t xml:space="preserve">  </w:t>
      </w:r>
      <w:r>
        <w:rPr>
          <w:rFonts w:ascii="SimSun" w:hAnsi="SimSun" w:eastAsia="SimSun" w:cs="SimSun"/>
          <w:sz w:val="19"/>
          <w:szCs w:val="19"/>
          <w:spacing w:val="27"/>
        </w:rPr>
        <w:t>3起，阿里巴巴和美团各1起。2021年7月6日，市场监</w:t>
      </w:r>
      <w:r>
        <w:rPr>
          <w:rFonts w:ascii="SimSun" w:hAnsi="SimSun" w:eastAsia="SimSun" w:cs="SimSun"/>
          <w:sz w:val="19"/>
          <w:szCs w:val="19"/>
          <w:spacing w:val="26"/>
        </w:rPr>
        <w:t>管总局依 </w:t>
      </w:r>
      <w:r>
        <w:rPr>
          <w:rFonts w:ascii="SimSun" w:hAnsi="SimSun" w:eastAsia="SimSun" w:cs="SimSun"/>
          <w:sz w:val="19"/>
          <w:szCs w:val="19"/>
          <w:spacing w:val="15"/>
        </w:rPr>
        <w:t>法对互联网领域22起违法实施经营者集中案做出行政处罚决定，其</w:t>
      </w:r>
      <w:r>
        <w:rPr>
          <w:rFonts w:ascii="SimSun" w:hAnsi="SimSun" w:eastAsia="SimSun" w:cs="SimSun"/>
          <w:sz w:val="19"/>
          <w:szCs w:val="19"/>
          <w:spacing w:val="8"/>
        </w:rPr>
        <w:t xml:space="preserve">  </w:t>
      </w:r>
      <w:r>
        <w:rPr>
          <w:rFonts w:ascii="SimSun" w:hAnsi="SimSun" w:eastAsia="SimSun" w:cs="SimSun"/>
          <w:sz w:val="19"/>
          <w:szCs w:val="19"/>
          <w:spacing w:val="27"/>
        </w:rPr>
        <w:t>中涉及滴滴8起，阿里巴巴6起，腾讯5起，苏宁2起，美团1起。</w:t>
      </w:r>
      <w:r>
        <w:rPr>
          <w:rFonts w:ascii="SimSun" w:hAnsi="SimSun" w:eastAsia="SimSun" w:cs="SimSun"/>
          <w:sz w:val="19"/>
          <w:szCs w:val="19"/>
          <w:spacing w:val="9"/>
        </w:rPr>
        <w:t xml:space="preserve"> </w:t>
      </w:r>
      <w:r>
        <w:rPr>
          <w:rFonts w:ascii="SimSun" w:hAnsi="SimSun" w:eastAsia="SimSun" w:cs="SimSun"/>
          <w:sz w:val="19"/>
          <w:szCs w:val="19"/>
          <w:spacing w:val="20"/>
        </w:rPr>
        <w:t>2021年11月20日，市场监管总局依法对43</w:t>
      </w:r>
      <w:r>
        <w:rPr>
          <w:rFonts w:ascii="SimSun" w:hAnsi="SimSun" w:eastAsia="SimSun" w:cs="SimSun"/>
          <w:sz w:val="19"/>
          <w:szCs w:val="19"/>
          <w:spacing w:val="19"/>
        </w:rPr>
        <w:t>起未依法申报违法实施 </w:t>
      </w:r>
      <w:r>
        <w:rPr>
          <w:rFonts w:ascii="SimSun" w:hAnsi="SimSun" w:eastAsia="SimSun" w:cs="SimSun"/>
          <w:sz w:val="19"/>
          <w:szCs w:val="19"/>
          <w:spacing w:val="12"/>
        </w:rPr>
        <w:t>经营者集中案做出行政处罚决定，其中涉及腾讯和阿</w:t>
      </w:r>
      <w:r>
        <w:rPr>
          <w:rFonts w:ascii="SimSun" w:hAnsi="SimSun" w:eastAsia="SimSun" w:cs="SimSun"/>
          <w:sz w:val="19"/>
          <w:szCs w:val="19"/>
          <w:spacing w:val="11"/>
        </w:rPr>
        <w:t>里巴巴各13起，</w:t>
      </w:r>
      <w:r>
        <w:rPr>
          <w:rFonts w:ascii="SimSun" w:hAnsi="SimSun" w:eastAsia="SimSun" w:cs="SimSun"/>
          <w:sz w:val="19"/>
          <w:szCs w:val="19"/>
        </w:rPr>
        <w:t xml:space="preserve"> </w:t>
      </w:r>
      <w:r>
        <w:rPr>
          <w:rFonts w:ascii="SimSun" w:hAnsi="SimSun" w:eastAsia="SimSun" w:cs="SimSun"/>
          <w:sz w:val="19"/>
          <w:szCs w:val="19"/>
          <w:spacing w:val="19"/>
        </w:rPr>
        <w:t>美团、百度、京东各3起，滴滴2起，字节跳动1起</w:t>
      </w:r>
      <w:r>
        <w:rPr>
          <w:rFonts w:ascii="SimSun" w:hAnsi="SimSun" w:eastAsia="SimSun" w:cs="SimSun"/>
          <w:sz w:val="19"/>
          <w:szCs w:val="19"/>
          <w:spacing w:val="18"/>
        </w:rPr>
        <w:t>。这些案件基本</w:t>
      </w:r>
      <w:r>
        <w:rPr>
          <w:rFonts w:ascii="SimSun" w:hAnsi="SimSun" w:eastAsia="SimSun" w:cs="SimSun"/>
          <w:sz w:val="19"/>
          <w:szCs w:val="19"/>
        </w:rPr>
        <w:t xml:space="preserve">  </w:t>
      </w:r>
      <w:r>
        <w:rPr>
          <w:rFonts w:ascii="SimSun" w:hAnsi="SimSun" w:eastAsia="SimSun" w:cs="SimSun"/>
          <w:sz w:val="19"/>
          <w:szCs w:val="19"/>
          <w:spacing w:val="9"/>
        </w:rPr>
        <w:t>都构成未依法申报违法实施经营者集中，但不具有排除</w:t>
      </w:r>
      <w:r>
        <w:rPr>
          <w:rFonts w:ascii="SimSun" w:hAnsi="SimSun" w:eastAsia="SimSun" w:cs="SimSun"/>
          <w:sz w:val="19"/>
          <w:szCs w:val="19"/>
          <w:spacing w:val="8"/>
        </w:rPr>
        <w:t>、限制竞争的</w:t>
      </w:r>
      <w:r>
        <w:rPr>
          <w:rFonts w:ascii="SimSun" w:hAnsi="SimSun" w:eastAsia="SimSun" w:cs="SimSun"/>
          <w:sz w:val="19"/>
          <w:szCs w:val="19"/>
        </w:rPr>
        <w:t xml:space="preserve">  </w:t>
      </w:r>
      <w:r>
        <w:rPr>
          <w:rFonts w:ascii="SimSun" w:hAnsi="SimSun" w:eastAsia="SimSun" w:cs="SimSun"/>
          <w:sz w:val="19"/>
          <w:szCs w:val="19"/>
          <w:spacing w:val="9"/>
        </w:rPr>
        <w:t>效果。因此这些处罚的作用之一是在宣告平台扩张有法可依、有法必 </w:t>
      </w:r>
      <w:r>
        <w:rPr>
          <w:rFonts w:ascii="SimSun" w:hAnsi="SimSun" w:eastAsia="SimSun" w:cs="SimSun"/>
          <w:sz w:val="19"/>
          <w:szCs w:val="19"/>
          <w:spacing w:val="9"/>
        </w:rPr>
        <w:t>依、违法必究，强调在股权收购中依法申报的重要性，为规范平台尤</w:t>
      </w:r>
    </w:p>
    <w:p>
      <w:pPr>
        <w:spacing w:line="219" w:lineRule="auto"/>
        <w:rPr>
          <w:rFonts w:ascii="SimSun" w:hAnsi="SimSun" w:eastAsia="SimSun" w:cs="SimSun"/>
          <w:sz w:val="19"/>
          <w:szCs w:val="19"/>
        </w:rPr>
      </w:pPr>
      <w:r>
        <w:rPr>
          <w:rFonts w:ascii="SimSun" w:hAnsi="SimSun" w:eastAsia="SimSun" w:cs="SimSun"/>
          <w:sz w:val="19"/>
          <w:szCs w:val="19"/>
          <w:spacing w:val="6"/>
        </w:rPr>
        <w:t>其是互联网平台的并购扩张行为做实执法程序。</w:t>
      </w:r>
    </w:p>
    <w:p>
      <w:pPr>
        <w:ind w:right="46" w:firstLine="420"/>
        <w:spacing w:before="132" w:line="350" w:lineRule="auto"/>
        <w:jc w:val="both"/>
        <w:rPr>
          <w:rFonts w:ascii="SimSun" w:hAnsi="SimSun" w:eastAsia="SimSun" w:cs="SimSun"/>
          <w:sz w:val="19"/>
          <w:szCs w:val="19"/>
        </w:rPr>
      </w:pPr>
      <w:r>
        <w:rPr>
          <w:rFonts w:ascii="SimSun" w:hAnsi="SimSun" w:eastAsia="SimSun" w:cs="SimSun"/>
          <w:sz w:val="19"/>
          <w:szCs w:val="19"/>
          <w:spacing w:val="10"/>
        </w:rPr>
        <w:t>股权投资对平台企业的市场势力有正向加强作用，因此合</w:t>
      </w:r>
      <w:r>
        <w:rPr>
          <w:rFonts w:ascii="SimSun" w:hAnsi="SimSun" w:eastAsia="SimSun" w:cs="SimSun"/>
          <w:sz w:val="19"/>
          <w:szCs w:val="19"/>
          <w:spacing w:val="9"/>
        </w:rPr>
        <w:t>法合规</w:t>
      </w:r>
      <w:r>
        <w:rPr>
          <w:rFonts w:ascii="SimSun" w:hAnsi="SimSun" w:eastAsia="SimSun" w:cs="SimSun"/>
          <w:sz w:val="19"/>
          <w:szCs w:val="19"/>
        </w:rPr>
        <w:t xml:space="preserve"> </w:t>
      </w:r>
      <w:r>
        <w:rPr>
          <w:rFonts w:ascii="SimSun" w:hAnsi="SimSun" w:eastAsia="SimSun" w:cs="SimSun"/>
          <w:sz w:val="19"/>
          <w:szCs w:val="19"/>
          <w:spacing w:val="9"/>
        </w:rPr>
        <w:t>进行并购合营对于市场公平竞争尤为重要。平台模糊了市场和企业的</w:t>
      </w:r>
      <w:r>
        <w:rPr>
          <w:rFonts w:ascii="SimSun" w:hAnsi="SimSun" w:eastAsia="SimSun" w:cs="SimSun"/>
          <w:sz w:val="19"/>
          <w:szCs w:val="19"/>
          <w:spacing w:val="13"/>
        </w:rPr>
        <w:t xml:space="preserve"> </w:t>
      </w:r>
      <w:r>
        <w:rPr>
          <w:rFonts w:ascii="SimSun" w:hAnsi="SimSun" w:eastAsia="SimSun" w:cs="SimSun"/>
          <w:sz w:val="19"/>
          <w:szCs w:val="19"/>
          <w:spacing w:val="10"/>
        </w:rPr>
        <w:t>边界，平台企业有着重新定义市场的能力。如果一家大平台企业在自</w:t>
      </w:r>
      <w:r>
        <w:rPr>
          <w:rFonts w:ascii="SimSun" w:hAnsi="SimSun" w:eastAsia="SimSun" w:cs="SimSun"/>
          <w:sz w:val="19"/>
          <w:szCs w:val="19"/>
        </w:rPr>
        <w:t xml:space="preserve"> </w:t>
      </w:r>
      <w:r>
        <w:rPr>
          <w:rFonts w:ascii="SimSun" w:hAnsi="SimSun" w:eastAsia="SimSun" w:cs="SimSun"/>
          <w:sz w:val="19"/>
          <w:szCs w:val="19"/>
          <w:spacing w:val="9"/>
        </w:rPr>
        <w:t>身主营业务之外，还通过股权投资控制了几乎所有民生行业的头部品</w:t>
      </w:r>
      <w:r>
        <w:rPr>
          <w:rFonts w:ascii="SimSun" w:hAnsi="SimSun" w:eastAsia="SimSun" w:cs="SimSun"/>
          <w:sz w:val="19"/>
          <w:szCs w:val="19"/>
          <w:spacing w:val="18"/>
        </w:rPr>
        <w:t xml:space="preserve"> </w:t>
      </w:r>
      <w:r>
        <w:rPr>
          <w:rFonts w:ascii="SimSun" w:hAnsi="SimSun" w:eastAsia="SimSun" w:cs="SimSun"/>
          <w:sz w:val="19"/>
          <w:szCs w:val="19"/>
          <w:spacing w:val="10"/>
        </w:rPr>
        <w:t>牌，那么这家平台企业的市场势力将会远超从主营领域数据而</w:t>
      </w:r>
      <w:r>
        <w:rPr>
          <w:rFonts w:ascii="SimSun" w:hAnsi="SimSun" w:eastAsia="SimSun" w:cs="SimSun"/>
          <w:sz w:val="19"/>
          <w:szCs w:val="19"/>
          <w:spacing w:val="9"/>
        </w:rPr>
        <w:t>来的估</w:t>
      </w:r>
      <w:r>
        <w:rPr>
          <w:rFonts w:ascii="SimSun" w:hAnsi="SimSun" w:eastAsia="SimSun" w:cs="SimSun"/>
          <w:sz w:val="19"/>
          <w:szCs w:val="19"/>
        </w:rPr>
        <w:t xml:space="preserve"> </w:t>
      </w:r>
      <w:r>
        <w:rPr>
          <w:rFonts w:ascii="SimSun" w:hAnsi="SimSun" w:eastAsia="SimSun" w:cs="SimSun"/>
          <w:sz w:val="19"/>
          <w:szCs w:val="19"/>
          <w:spacing w:val="9"/>
        </w:rPr>
        <w:t>计。摸清平台企业的投资版图，限制资本的无序扩张，有助于防止平</w:t>
      </w:r>
      <w:r>
        <w:rPr>
          <w:rFonts w:ascii="SimSun" w:hAnsi="SimSun" w:eastAsia="SimSun" w:cs="SimSun"/>
          <w:sz w:val="19"/>
          <w:szCs w:val="19"/>
          <w:spacing w:val="8"/>
        </w:rPr>
        <w:t xml:space="preserve"> </w:t>
      </w:r>
      <w:r>
        <w:rPr>
          <w:rFonts w:ascii="SimSun" w:hAnsi="SimSun" w:eastAsia="SimSun" w:cs="SimSun"/>
          <w:sz w:val="19"/>
          <w:szCs w:val="19"/>
          <w:spacing w:val="9"/>
        </w:rPr>
        <w:t>台经济产生“财阀”或者“财团”带来的负面影响，也有利于管控宏</w:t>
      </w:r>
      <w:r>
        <w:rPr>
          <w:rFonts w:ascii="SimSun" w:hAnsi="SimSun" w:eastAsia="SimSun" w:cs="SimSun"/>
          <w:sz w:val="19"/>
          <w:szCs w:val="19"/>
          <w:spacing w:val="12"/>
        </w:rPr>
        <w:t xml:space="preserve"> </w:t>
      </w:r>
      <w:r>
        <w:rPr>
          <w:rFonts w:ascii="SimSun" w:hAnsi="SimSun" w:eastAsia="SimSun" w:cs="SimSun"/>
          <w:sz w:val="19"/>
          <w:szCs w:val="19"/>
          <w:spacing w:val="10"/>
        </w:rPr>
        <w:t>观经济的系统性风险和“大而不能倒”问题。另外，如果几大</w:t>
      </w:r>
      <w:r>
        <w:rPr>
          <w:rFonts w:ascii="SimSun" w:hAnsi="SimSun" w:eastAsia="SimSun" w:cs="SimSun"/>
          <w:sz w:val="19"/>
          <w:szCs w:val="19"/>
          <w:spacing w:val="9"/>
        </w:rPr>
        <w:t>平台企</w:t>
      </w:r>
    </w:p>
    <w:p>
      <w:pPr>
        <w:spacing w:line="219" w:lineRule="auto"/>
        <w:rPr>
          <w:rFonts w:ascii="SimSun" w:hAnsi="SimSun" w:eastAsia="SimSun" w:cs="SimSun"/>
          <w:sz w:val="19"/>
          <w:szCs w:val="19"/>
        </w:rPr>
      </w:pPr>
      <w:r>
        <w:rPr>
          <w:rFonts w:ascii="SimSun" w:hAnsi="SimSun" w:eastAsia="SimSun" w:cs="SimSun"/>
          <w:sz w:val="19"/>
          <w:szCs w:val="19"/>
          <w:spacing w:val="9"/>
        </w:rPr>
        <w:t>业相互持股，那么在竞争之外还增加了合谋的可能性。企业股权结构</w:t>
      </w:r>
    </w:p>
    <w:p>
      <w:pPr>
        <w:spacing w:line="219" w:lineRule="auto"/>
        <w:sectPr>
          <w:headerReference w:type="default" r:id="rId174"/>
          <w:pgSz w:w="7330" w:h="12480"/>
          <w:pgMar w:top="804" w:right="834" w:bottom="400" w:left="429" w:header="652" w:footer="0" w:gutter="0"/>
        </w:sectPr>
        <w:rPr>
          <w:rFonts w:ascii="SimSun" w:hAnsi="SimSun" w:eastAsia="SimSun" w:cs="SimSun"/>
          <w:sz w:val="19"/>
          <w:szCs w:val="19"/>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right="57"/>
        <w:spacing w:before="69" w:line="268" w:lineRule="auto"/>
        <w:rPr>
          <w:rFonts w:ascii="SimSun" w:hAnsi="SimSun" w:eastAsia="SimSun" w:cs="SimSun"/>
          <w:sz w:val="21"/>
          <w:szCs w:val="21"/>
        </w:rPr>
      </w:pPr>
      <w:r>
        <w:rPr>
          <w:rFonts w:ascii="SimSun" w:hAnsi="SimSun" w:eastAsia="SimSun" w:cs="SimSun"/>
          <w:sz w:val="21"/>
          <w:szCs w:val="21"/>
          <w:spacing w:val="-11"/>
        </w:rPr>
        <w:t>对市场结构也会存在一定的影响，基于传统公司理论的市场预判和监</w:t>
      </w:r>
      <w:r>
        <w:rPr>
          <w:rFonts w:ascii="SimSun" w:hAnsi="SimSun" w:eastAsia="SimSun" w:cs="SimSun"/>
          <w:sz w:val="21"/>
          <w:szCs w:val="21"/>
          <w:spacing w:val="17"/>
        </w:rPr>
        <w:t xml:space="preserve"> </w:t>
      </w:r>
      <w:r>
        <w:rPr>
          <w:rFonts w:ascii="SimSun" w:hAnsi="SimSun" w:eastAsia="SimSun" w:cs="SimSun"/>
          <w:sz w:val="21"/>
          <w:szCs w:val="21"/>
          <w:spacing w:val="-11"/>
        </w:rPr>
        <w:t>管政策很可能在数字时代已经不适用了。</w:t>
      </w:r>
    </w:p>
    <w:p>
      <w:pPr>
        <w:pStyle w:val="BodyText"/>
        <w:spacing w:line="363" w:lineRule="auto"/>
        <w:rPr/>
      </w:pPr>
      <w:r/>
    </w:p>
    <w:p>
      <w:pPr>
        <w:ind w:left="994"/>
        <w:spacing w:before="104" w:line="717" w:lineRule="exact"/>
        <w:rPr>
          <w:rFonts w:ascii="SimSun" w:hAnsi="SimSun" w:eastAsia="SimSun" w:cs="SimSun"/>
          <w:sz w:val="32"/>
          <w:szCs w:val="32"/>
        </w:rPr>
      </w:pPr>
      <w:r>
        <w:rPr>
          <w:rFonts w:ascii="SimSun" w:hAnsi="SimSun" w:eastAsia="SimSun" w:cs="SimSun"/>
          <w:sz w:val="32"/>
          <w:szCs w:val="32"/>
          <w:b/>
          <w:bCs/>
          <w:spacing w:val="-7"/>
          <w:position w:val="30"/>
        </w:rPr>
        <w:t>中美平台企业的科技实力对比</w:t>
      </w:r>
    </w:p>
    <w:p>
      <w:pPr>
        <w:ind w:left="3"/>
        <w:spacing w:before="1" w:line="220" w:lineRule="auto"/>
        <w:rPr>
          <w:rFonts w:ascii="SimHei" w:hAnsi="SimHei" w:eastAsia="SimHei" w:cs="SimHei"/>
          <w:sz w:val="25"/>
          <w:szCs w:val="25"/>
        </w:rPr>
      </w:pPr>
      <w:r>
        <w:rPr>
          <w:rFonts w:ascii="SimHei" w:hAnsi="SimHei" w:eastAsia="SimHei" w:cs="SimHei"/>
          <w:sz w:val="25"/>
          <w:szCs w:val="25"/>
          <w:b/>
          <w:bCs/>
          <w:spacing w:val="-14"/>
        </w:rPr>
        <w:t>平台企业的研发投入</w:t>
      </w:r>
    </w:p>
    <w:p>
      <w:pPr>
        <w:pStyle w:val="BodyText"/>
        <w:spacing w:line="351" w:lineRule="auto"/>
        <w:rPr/>
      </w:pPr>
      <w:r/>
    </w:p>
    <w:p>
      <w:pPr>
        <w:ind w:firstLine="449"/>
        <w:spacing w:before="68" w:line="303" w:lineRule="auto"/>
        <w:jc w:val="both"/>
        <w:rPr>
          <w:rFonts w:ascii="SimSun" w:hAnsi="SimSun" w:eastAsia="SimSun" w:cs="SimSun"/>
          <w:sz w:val="21"/>
          <w:szCs w:val="21"/>
        </w:rPr>
      </w:pPr>
      <w:r>
        <w:rPr>
          <w:rFonts w:ascii="SimSun" w:hAnsi="SimSun" w:eastAsia="SimSun" w:cs="SimSun"/>
          <w:sz w:val="21"/>
          <w:szCs w:val="21"/>
          <w:spacing w:val="-10"/>
        </w:rPr>
        <w:t>中国平台企业的研发投入费用和发明专利数量在民营</w:t>
      </w:r>
      <w:r>
        <w:rPr>
          <w:rFonts w:ascii="SimSun" w:hAnsi="SimSun" w:eastAsia="SimSun" w:cs="SimSun"/>
          <w:sz w:val="21"/>
          <w:szCs w:val="21"/>
          <w:spacing w:val="-11"/>
        </w:rPr>
        <w:t>企业中名列</w:t>
      </w:r>
      <w:r>
        <w:rPr>
          <w:rFonts w:ascii="SimSun" w:hAnsi="SimSun" w:eastAsia="SimSun" w:cs="SimSun"/>
          <w:sz w:val="21"/>
          <w:szCs w:val="21"/>
        </w:rPr>
        <w:t xml:space="preserve"> </w:t>
      </w:r>
      <w:r>
        <w:rPr>
          <w:rFonts w:ascii="SimSun" w:hAnsi="SimSun" w:eastAsia="SimSun" w:cs="SimSun"/>
          <w:sz w:val="21"/>
          <w:szCs w:val="21"/>
          <w:spacing w:val="-6"/>
        </w:rPr>
        <w:t>前茅。全国工商联发布的“2021民营企业研发投入500家”“2021民</w:t>
      </w:r>
      <w:r>
        <w:rPr>
          <w:rFonts w:ascii="SimSun" w:hAnsi="SimSun" w:eastAsia="SimSun" w:cs="SimSun"/>
          <w:sz w:val="21"/>
          <w:szCs w:val="21"/>
          <w:spacing w:val="5"/>
        </w:rPr>
        <w:t xml:space="preserve"> </w:t>
      </w:r>
      <w:r>
        <w:rPr>
          <w:rFonts w:ascii="SimSun" w:hAnsi="SimSun" w:eastAsia="SimSun" w:cs="SimSun"/>
          <w:sz w:val="21"/>
          <w:szCs w:val="21"/>
          <w:spacing w:val="-7"/>
        </w:rPr>
        <w:t>营企业发明专利500家”榜单中，研发投入最高的企业是华为，研发</w:t>
      </w:r>
      <w:r>
        <w:rPr>
          <w:rFonts w:ascii="SimSun" w:hAnsi="SimSun" w:eastAsia="SimSun" w:cs="SimSun"/>
          <w:sz w:val="21"/>
          <w:szCs w:val="21"/>
          <w:spacing w:val="9"/>
        </w:rPr>
        <w:t xml:space="preserve"> </w:t>
      </w:r>
      <w:r>
        <w:rPr>
          <w:rFonts w:ascii="SimSun" w:hAnsi="SimSun" w:eastAsia="SimSun" w:cs="SimSun"/>
          <w:sz w:val="21"/>
          <w:szCs w:val="21"/>
          <w:spacing w:val="-3"/>
        </w:rPr>
        <w:t>费用为1419亿元。阿里巴巴和腾讯紧随其后</w:t>
      </w:r>
      <w:r>
        <w:rPr>
          <w:rFonts w:ascii="SimSun" w:hAnsi="SimSun" w:eastAsia="SimSun" w:cs="SimSun"/>
          <w:sz w:val="21"/>
          <w:szCs w:val="21"/>
          <w:spacing w:val="-4"/>
        </w:rPr>
        <w:t>，百度、京东、北京三</w:t>
      </w:r>
      <w:r>
        <w:rPr>
          <w:rFonts w:ascii="SimSun" w:hAnsi="SimSun" w:eastAsia="SimSun" w:cs="SimSun"/>
          <w:sz w:val="21"/>
          <w:szCs w:val="21"/>
        </w:rPr>
        <w:t xml:space="preserve"> </w:t>
      </w:r>
      <w:r>
        <w:rPr>
          <w:rFonts w:ascii="SimSun" w:hAnsi="SimSun" w:eastAsia="SimSun" w:cs="SimSun"/>
          <w:sz w:val="21"/>
          <w:szCs w:val="21"/>
          <w:spacing w:val="-4"/>
        </w:rPr>
        <w:t>快在线科技有限公司分列第五、六、七名。有效发明专利最多的企</w:t>
      </w:r>
      <w:r>
        <w:rPr>
          <w:rFonts w:ascii="SimSun" w:hAnsi="SimSun" w:eastAsia="SimSun" w:cs="SimSun"/>
          <w:sz w:val="21"/>
          <w:szCs w:val="21"/>
          <w:spacing w:val="13"/>
        </w:rPr>
        <w:t xml:space="preserve"> </w:t>
      </w:r>
      <w:r>
        <w:rPr>
          <w:rFonts w:ascii="SimSun" w:hAnsi="SimSun" w:eastAsia="SimSun" w:cs="SimSun"/>
          <w:sz w:val="21"/>
          <w:szCs w:val="21"/>
          <w:spacing w:val="-7"/>
        </w:rPr>
        <w:t>业仍然是华为，共拥有9万件发明专利，腾讯和百度分列第二和第四</w:t>
      </w:r>
      <w:r>
        <w:rPr>
          <w:rFonts w:ascii="SimSun" w:hAnsi="SimSun" w:eastAsia="SimSun" w:cs="SimSun"/>
          <w:sz w:val="21"/>
          <w:szCs w:val="21"/>
          <w:spacing w:val="15"/>
        </w:rPr>
        <w:t xml:space="preserve"> </w:t>
      </w:r>
      <w:r>
        <w:rPr>
          <w:rFonts w:ascii="SimSun" w:hAnsi="SimSun" w:eastAsia="SimSun" w:cs="SimSun"/>
          <w:sz w:val="21"/>
          <w:szCs w:val="21"/>
          <w:spacing w:val="-10"/>
        </w:rPr>
        <w:t>位，阿里巴巴排在第十位。</w:t>
      </w:r>
    </w:p>
    <w:p>
      <w:pPr>
        <w:pStyle w:val="BodyText"/>
        <w:spacing w:line="382" w:lineRule="auto"/>
        <w:rPr/>
      </w:pPr>
      <w:r/>
    </w:p>
    <w:p>
      <w:pPr>
        <w:ind w:left="3"/>
        <w:spacing w:before="82" w:line="221" w:lineRule="auto"/>
        <w:rPr>
          <w:rFonts w:ascii="SimHei" w:hAnsi="SimHei" w:eastAsia="SimHei" w:cs="SimHei"/>
          <w:sz w:val="25"/>
          <w:szCs w:val="25"/>
        </w:rPr>
      </w:pPr>
      <w:r>
        <w:rPr>
          <w:rFonts w:ascii="SimHei" w:hAnsi="SimHei" w:eastAsia="SimHei" w:cs="SimHei"/>
          <w:sz w:val="25"/>
          <w:szCs w:val="25"/>
          <w:b/>
          <w:bCs/>
          <w:spacing w:val="-14"/>
        </w:rPr>
        <w:t>平台企业的前沿创新</w:t>
      </w:r>
    </w:p>
    <w:p>
      <w:pPr>
        <w:pStyle w:val="BodyText"/>
        <w:spacing w:line="350" w:lineRule="auto"/>
        <w:rPr/>
      </w:pPr>
      <w:r/>
    </w:p>
    <w:p>
      <w:pPr>
        <w:ind w:right="7" w:firstLine="439"/>
        <w:spacing w:before="68" w:line="307" w:lineRule="auto"/>
        <w:jc w:val="both"/>
        <w:rPr>
          <w:rFonts w:ascii="SimSun" w:hAnsi="SimSun" w:eastAsia="SimSun" w:cs="SimSun"/>
          <w:sz w:val="21"/>
          <w:szCs w:val="21"/>
        </w:rPr>
      </w:pPr>
      <w:r>
        <w:rPr>
          <w:rFonts w:ascii="SimSun" w:hAnsi="SimSun" w:eastAsia="SimSun" w:cs="SimSun"/>
          <w:sz w:val="21"/>
          <w:szCs w:val="21"/>
          <w:spacing w:val="-2"/>
        </w:rPr>
        <w:t>根据联合国发布的报告，2016—2021</w:t>
      </w:r>
      <w:r>
        <w:rPr>
          <w:rFonts w:ascii="SimSun" w:hAnsi="SimSun" w:eastAsia="SimSun" w:cs="SimSun"/>
          <w:sz w:val="21"/>
          <w:szCs w:val="21"/>
          <w:spacing w:val="-3"/>
        </w:rPr>
        <w:t>年，收购人工智能初创企</w:t>
      </w:r>
      <w:r>
        <w:rPr>
          <w:rFonts w:ascii="SimSun" w:hAnsi="SimSun" w:eastAsia="SimSun" w:cs="SimSun"/>
          <w:sz w:val="21"/>
          <w:szCs w:val="21"/>
        </w:rPr>
        <w:t xml:space="preserve"> </w:t>
      </w:r>
      <w:r>
        <w:rPr>
          <w:rFonts w:ascii="SimSun" w:hAnsi="SimSun" w:eastAsia="SimSun" w:cs="SimSun"/>
          <w:sz w:val="21"/>
          <w:szCs w:val="21"/>
          <w:spacing w:val="-10"/>
        </w:rPr>
        <w:t>业数量排在前列的仍然是苹果、谷歌、微软、脸书、亚马逊这些美国</w:t>
      </w:r>
      <w:r>
        <w:rPr>
          <w:rFonts w:ascii="SimSun" w:hAnsi="SimSun" w:eastAsia="SimSun" w:cs="SimSun"/>
          <w:sz w:val="21"/>
          <w:szCs w:val="21"/>
        </w:rPr>
        <w:t xml:space="preserve"> </w:t>
      </w:r>
      <w:r>
        <w:rPr>
          <w:rFonts w:ascii="SimSun" w:hAnsi="SimSun" w:eastAsia="SimSun" w:cs="SimSun"/>
          <w:sz w:val="21"/>
          <w:szCs w:val="21"/>
        </w:rPr>
        <w:t>的大平台企业(见图3-2)。中国的百度和腾讯在人工智能方面的布</w:t>
      </w:r>
      <w:r>
        <w:rPr>
          <w:rFonts w:ascii="SimSun" w:hAnsi="SimSun" w:eastAsia="SimSun" w:cs="SimSun"/>
          <w:sz w:val="21"/>
          <w:szCs w:val="21"/>
          <w:spacing w:val="4"/>
        </w:rPr>
        <w:t xml:space="preserve"> </w:t>
      </w:r>
      <w:r>
        <w:rPr>
          <w:rFonts w:ascii="SimSun" w:hAnsi="SimSun" w:eastAsia="SimSun" w:cs="SimSun"/>
          <w:sz w:val="21"/>
          <w:szCs w:val="21"/>
          <w:spacing w:val="-11"/>
        </w:rPr>
        <w:t>局虽然处于我国前列，但放在全球角度仍然有一定差距。从云基础设</w:t>
      </w:r>
      <w:r>
        <w:rPr>
          <w:rFonts w:ascii="SimSun" w:hAnsi="SimSun" w:eastAsia="SimSun" w:cs="SimSun"/>
          <w:sz w:val="21"/>
          <w:szCs w:val="21"/>
          <w:spacing w:val="18"/>
        </w:rPr>
        <w:t xml:space="preserve"> </w:t>
      </w:r>
      <w:r>
        <w:rPr>
          <w:rFonts w:ascii="SimSun" w:hAnsi="SimSun" w:eastAsia="SimSun" w:cs="SimSun"/>
          <w:sz w:val="21"/>
          <w:szCs w:val="21"/>
          <w:spacing w:val="-10"/>
        </w:rPr>
        <w:t>施来看，仍然是国外大科技平台占据主导地位</w:t>
      </w:r>
      <w:r>
        <w:rPr>
          <w:rFonts w:ascii="SimSun" w:hAnsi="SimSun" w:eastAsia="SimSun" w:cs="SimSun"/>
          <w:sz w:val="21"/>
          <w:szCs w:val="21"/>
          <w:spacing w:val="-11"/>
        </w:rPr>
        <w:t>，阿里巴巴和腾讯占据</w:t>
      </w:r>
      <w:r>
        <w:rPr>
          <w:rFonts w:ascii="SimSun" w:hAnsi="SimSun" w:eastAsia="SimSun" w:cs="SimSun"/>
          <w:sz w:val="21"/>
          <w:szCs w:val="21"/>
        </w:rPr>
        <w:t xml:space="preserve"> </w:t>
      </w:r>
      <w:r>
        <w:rPr>
          <w:rFonts w:ascii="SimSun" w:hAnsi="SimSun" w:eastAsia="SimSun" w:cs="SimSun"/>
          <w:sz w:val="21"/>
          <w:szCs w:val="21"/>
          <w:spacing w:val="1"/>
        </w:rPr>
        <w:t>的市场份额相对较低(见图3-3)。虽然我国的</w:t>
      </w:r>
      <w:r>
        <w:rPr>
          <w:rFonts w:ascii="SimSun" w:hAnsi="SimSun" w:eastAsia="SimSun" w:cs="SimSun"/>
          <w:sz w:val="21"/>
          <w:szCs w:val="21"/>
        </w:rPr>
        <w:t>起步和积累相对来说 </w:t>
      </w:r>
      <w:r>
        <w:rPr>
          <w:rFonts w:ascii="SimSun" w:hAnsi="SimSun" w:eastAsia="SimSun" w:cs="SimSun"/>
          <w:sz w:val="21"/>
          <w:szCs w:val="21"/>
          <w:spacing w:val="-6"/>
        </w:rPr>
        <w:t>较弱，但是5G 时代提供了难得的反超机遇，有助于充分发挥我国市</w:t>
      </w:r>
      <w:r>
        <w:rPr>
          <w:rFonts w:ascii="SimSun" w:hAnsi="SimSun" w:eastAsia="SimSun" w:cs="SimSun"/>
          <w:sz w:val="21"/>
          <w:szCs w:val="21"/>
          <w:spacing w:val="2"/>
        </w:rPr>
        <w:t xml:space="preserve"> </w:t>
      </w:r>
      <w:r>
        <w:rPr>
          <w:rFonts w:ascii="SimSun" w:hAnsi="SimSun" w:eastAsia="SimSun" w:cs="SimSun"/>
          <w:sz w:val="21"/>
          <w:szCs w:val="21"/>
          <w:spacing w:val="-11"/>
        </w:rPr>
        <w:t>场大、产业链完备的优势，国家发展数字经济的战略蓝图也提供了非</w:t>
      </w:r>
      <w:r>
        <w:rPr>
          <w:rFonts w:ascii="SimSun" w:hAnsi="SimSun" w:eastAsia="SimSun" w:cs="SimSun"/>
          <w:sz w:val="21"/>
          <w:szCs w:val="21"/>
          <w:spacing w:val="17"/>
        </w:rPr>
        <w:t xml:space="preserve"> </w:t>
      </w:r>
      <w:r>
        <w:rPr>
          <w:rFonts w:ascii="SimSun" w:hAnsi="SimSun" w:eastAsia="SimSun" w:cs="SimSun"/>
          <w:sz w:val="21"/>
          <w:szCs w:val="21"/>
          <w:spacing w:val="-11"/>
        </w:rPr>
        <w:t>常多的行业机遇，为平台企业进一步发挥它们的作用创造了条件。我</w:t>
      </w:r>
      <w:r>
        <w:rPr>
          <w:rFonts w:ascii="SimSun" w:hAnsi="SimSun" w:eastAsia="SimSun" w:cs="SimSun"/>
          <w:sz w:val="21"/>
          <w:szCs w:val="21"/>
          <w:spacing w:val="16"/>
        </w:rPr>
        <w:t xml:space="preserve"> </w:t>
      </w:r>
      <w:r>
        <w:rPr>
          <w:rFonts w:ascii="SimSun" w:hAnsi="SimSun" w:eastAsia="SimSun" w:cs="SimSun"/>
          <w:sz w:val="21"/>
          <w:szCs w:val="21"/>
          <w:spacing w:val="-6"/>
        </w:rPr>
        <w:t>们希望看到在未来10~20年的竞争和产业布局</w:t>
      </w:r>
      <w:r>
        <w:rPr>
          <w:rFonts w:ascii="SimSun" w:hAnsi="SimSun" w:eastAsia="SimSun" w:cs="SimSun"/>
          <w:sz w:val="21"/>
          <w:szCs w:val="21"/>
          <w:spacing w:val="-7"/>
        </w:rPr>
        <w:t>里，我国的大平台企业</w:t>
      </w:r>
    </w:p>
    <w:p>
      <w:pPr>
        <w:spacing w:line="307" w:lineRule="auto"/>
        <w:sectPr>
          <w:headerReference w:type="default" r:id="rId175"/>
          <w:pgSz w:w="7330" w:h="12480"/>
          <w:pgMar w:top="539" w:right="633" w:bottom="400" w:left="650" w:header="375" w:footer="0" w:gutter="0"/>
        </w:sectPr>
        <w:rPr>
          <w:rFonts w:ascii="SimSun" w:hAnsi="SimSun" w:eastAsia="SimSun" w:cs="SimSun"/>
          <w:sz w:val="21"/>
          <w:szCs w:val="21"/>
        </w:rPr>
      </w:pPr>
    </w:p>
    <w:p>
      <w:pPr>
        <w:ind w:left="1609"/>
        <w:spacing w:before="275" w:line="220" w:lineRule="auto"/>
        <w:rPr>
          <w:rFonts w:ascii="SimSun" w:hAnsi="SimSun" w:eastAsia="SimSun" w:cs="SimSun"/>
          <w:sz w:val="16"/>
          <w:szCs w:val="16"/>
        </w:rPr>
      </w:pPr>
      <w:r>
        <w:rPr>
          <w:rFonts w:ascii="SimSun" w:hAnsi="SimSun" w:eastAsia="SimSun" w:cs="SimSun"/>
          <w:sz w:val="16"/>
          <w:szCs w:val="16"/>
          <w:spacing w:val="-5"/>
        </w:rPr>
        <w:t>第三章  平台经济与平台企业的中美比较                  </w:t>
      </w:r>
      <w:r>
        <w:rPr>
          <w:rFonts w:ascii="SimSun" w:hAnsi="SimSun" w:eastAsia="SimSun" w:cs="SimSun"/>
          <w:sz w:val="16"/>
          <w:szCs w:val="16"/>
          <w:spacing w:val="-5"/>
          <w:position w:val="-2"/>
        </w:rPr>
        <w:t>139</w:t>
      </w:r>
    </w:p>
    <w:p>
      <w:pPr>
        <w:pStyle w:val="BodyText"/>
        <w:rPr/>
      </w:pPr>
      <w:r/>
    </w:p>
    <w:p>
      <w:pPr>
        <w:pStyle w:val="BodyText"/>
        <w:rPr/>
      </w:pPr>
      <w:r/>
    </w:p>
    <w:p>
      <w:pPr>
        <w:pStyle w:val="BodyText"/>
        <w:spacing w:line="241" w:lineRule="auto"/>
        <w:rPr/>
      </w:pPr>
      <w:r/>
    </w:p>
    <w:p>
      <w:pPr>
        <w:pStyle w:val="BodyText"/>
        <w:spacing w:line="241" w:lineRule="auto"/>
        <w:rPr/>
      </w:pPr>
      <w:r/>
    </w:p>
    <w:p>
      <w:pPr>
        <w:spacing w:before="62" w:line="381" w:lineRule="exact"/>
        <w:rPr>
          <w:rFonts w:ascii="SimSun" w:hAnsi="SimSun" w:eastAsia="SimSun" w:cs="SimSun"/>
          <w:sz w:val="19"/>
          <w:szCs w:val="19"/>
        </w:rPr>
      </w:pPr>
      <w:r>
        <w:rPr>
          <w:rFonts w:ascii="SimSun" w:hAnsi="SimSun" w:eastAsia="SimSun" w:cs="SimSun"/>
          <w:sz w:val="19"/>
          <w:szCs w:val="19"/>
          <w:spacing w:val="10"/>
          <w:position w:val="14"/>
        </w:rPr>
        <w:t>能像美国大科技公司一样为国家战略的实施发挥作用，能够在科技创</w:t>
      </w:r>
    </w:p>
    <w:p>
      <w:pPr>
        <w:spacing w:line="219" w:lineRule="auto"/>
        <w:rPr>
          <w:rFonts w:ascii="SimSun" w:hAnsi="SimSun" w:eastAsia="SimSun" w:cs="SimSun"/>
          <w:sz w:val="19"/>
          <w:szCs w:val="19"/>
        </w:rPr>
      </w:pPr>
      <w:r>
        <w:rPr>
          <w:rFonts w:ascii="SimSun" w:hAnsi="SimSun" w:eastAsia="SimSun" w:cs="SimSun"/>
          <w:sz w:val="19"/>
          <w:szCs w:val="19"/>
          <w:spacing w:val="7"/>
        </w:rPr>
        <w:t>新上代表国家进行高水平的国际竞争。</w:t>
      </w:r>
    </w:p>
    <w:p>
      <w:pPr>
        <w:ind w:firstLine="230"/>
        <w:spacing w:before="136" w:line="2544" w:lineRule="exact"/>
        <w:rPr/>
      </w:pPr>
      <w:r>
        <w:rPr>
          <w:position w:val="-50"/>
        </w:rPr>
        <w:drawing>
          <wp:inline distT="0" distB="0" distL="0" distR="0">
            <wp:extent cx="3841725" cy="1615167"/>
            <wp:effectExtent l="0" t="0" r="0" b="0"/>
            <wp:docPr id="140" name="IM 140"/>
            <wp:cNvGraphicFramePr/>
            <a:graphic>
              <a:graphicData uri="http://schemas.openxmlformats.org/drawingml/2006/picture">
                <pic:pic>
                  <pic:nvPicPr>
                    <pic:cNvPr id="140" name="IM 140"/>
                    <pic:cNvPicPr/>
                  </pic:nvPicPr>
                  <pic:blipFill>
                    <a:blip r:embed="rId176"/>
                    <a:stretch>
                      <a:fillRect/>
                    </a:stretch>
                  </pic:blipFill>
                  <pic:spPr>
                    <a:xfrm rot="0">
                      <a:off x="0" y="0"/>
                      <a:ext cx="3841725" cy="1615167"/>
                    </a:xfrm>
                    <a:prstGeom prst="rect">
                      <a:avLst/>
                    </a:prstGeom>
                  </pic:spPr>
                </pic:pic>
              </a:graphicData>
            </a:graphic>
          </wp:inline>
        </w:drawing>
      </w:r>
    </w:p>
    <w:p>
      <w:pPr>
        <w:ind w:left="2440"/>
        <w:spacing w:line="235" w:lineRule="auto"/>
        <w:rPr>
          <w:rFonts w:ascii="SimSun" w:hAnsi="SimSun" w:eastAsia="SimSun" w:cs="SimSun"/>
          <w:sz w:val="16"/>
          <w:szCs w:val="16"/>
        </w:rPr>
      </w:pPr>
      <w:r>
        <w:rPr>
          <w:rFonts w:ascii="SimSun" w:hAnsi="SimSun" w:eastAsia="SimSun" w:cs="SimSun"/>
          <w:sz w:val="16"/>
          <w:szCs w:val="16"/>
          <w:spacing w:val="3"/>
        </w:rPr>
        <w:t>□中国</w:t>
      </w:r>
      <w:r>
        <w:rPr>
          <w:rFonts w:ascii="SimSun" w:hAnsi="SimSun" w:eastAsia="SimSun" w:cs="SimSun"/>
          <w:sz w:val="16"/>
          <w:szCs w:val="16"/>
        </w:rPr>
        <w:t xml:space="preserve">       </w:t>
      </w:r>
      <w:r>
        <w:rPr>
          <w:rFonts w:ascii="SimSun" w:hAnsi="SimSun" w:eastAsia="SimSun" w:cs="SimSun"/>
          <w:sz w:val="16"/>
          <w:szCs w:val="16"/>
          <w:spacing w:val="3"/>
        </w:rPr>
        <w:t>■</w:t>
      </w:r>
      <w:r>
        <w:rPr>
          <w:rFonts w:ascii="SimSun" w:hAnsi="SimSun" w:eastAsia="SimSun" w:cs="SimSun"/>
          <w:sz w:val="16"/>
          <w:szCs w:val="16"/>
          <w:spacing w:val="-4"/>
        </w:rPr>
        <w:t xml:space="preserve"> </w:t>
      </w:r>
      <w:r>
        <w:rPr>
          <w:rFonts w:ascii="SimSun" w:hAnsi="SimSun" w:eastAsia="SimSun" w:cs="SimSun"/>
          <w:sz w:val="16"/>
          <w:szCs w:val="16"/>
          <w:spacing w:val="3"/>
        </w:rPr>
        <w:t>美 国</w:t>
      </w:r>
    </w:p>
    <w:p>
      <w:pPr>
        <w:ind w:left="212"/>
        <w:spacing w:before="196" w:line="222" w:lineRule="auto"/>
        <w:rPr>
          <w:rFonts w:ascii="SimHei" w:hAnsi="SimHei" w:eastAsia="SimHei" w:cs="SimHei"/>
          <w:sz w:val="16"/>
          <w:szCs w:val="16"/>
        </w:rPr>
      </w:pPr>
      <w:r>
        <w:rPr>
          <w:rFonts w:ascii="SimHei" w:hAnsi="SimHei" w:eastAsia="SimHei" w:cs="SimHei"/>
          <w:sz w:val="16"/>
          <w:szCs w:val="16"/>
          <w:b/>
          <w:bCs/>
          <w:spacing w:val="13"/>
        </w:rPr>
        <w:t>图3</w:t>
      </w:r>
      <w:r>
        <w:rPr>
          <w:rFonts w:ascii="SimHei" w:hAnsi="SimHei" w:eastAsia="SimHei" w:cs="SimHei"/>
          <w:sz w:val="16"/>
          <w:szCs w:val="16"/>
          <w:spacing w:val="-30"/>
        </w:rPr>
        <w:t xml:space="preserve"> </w:t>
      </w:r>
      <w:r>
        <w:rPr>
          <w:rFonts w:ascii="SimHei" w:hAnsi="SimHei" w:eastAsia="SimHei" w:cs="SimHei"/>
          <w:sz w:val="16"/>
          <w:szCs w:val="16"/>
          <w:b/>
          <w:bCs/>
          <w:spacing w:val="13"/>
        </w:rPr>
        <w:t>-</w:t>
      </w:r>
      <w:r>
        <w:rPr>
          <w:rFonts w:ascii="SimHei" w:hAnsi="SimHei" w:eastAsia="SimHei" w:cs="SimHei"/>
          <w:sz w:val="16"/>
          <w:szCs w:val="16"/>
          <w:spacing w:val="-42"/>
        </w:rPr>
        <w:t xml:space="preserve"> </w:t>
      </w:r>
      <w:r>
        <w:rPr>
          <w:rFonts w:ascii="SimHei" w:hAnsi="SimHei" w:eastAsia="SimHei" w:cs="SimHei"/>
          <w:sz w:val="16"/>
          <w:szCs w:val="16"/>
          <w:b/>
          <w:bCs/>
          <w:spacing w:val="13"/>
        </w:rPr>
        <w:t>2</w:t>
      </w:r>
      <w:r>
        <w:rPr>
          <w:rFonts w:ascii="SimHei" w:hAnsi="SimHei" w:eastAsia="SimHei" w:cs="SimHei"/>
          <w:sz w:val="16"/>
          <w:szCs w:val="16"/>
          <w:spacing w:val="2"/>
        </w:rPr>
        <w:t xml:space="preserve">  </w:t>
      </w:r>
      <w:r>
        <w:rPr>
          <w:rFonts w:ascii="SimHei" w:hAnsi="SimHei" w:eastAsia="SimHei" w:cs="SimHei"/>
          <w:sz w:val="16"/>
          <w:szCs w:val="16"/>
          <w:b/>
          <w:bCs/>
          <w:spacing w:val="13"/>
        </w:rPr>
        <w:t>2016—2021</w:t>
      </w:r>
      <w:r>
        <w:rPr>
          <w:rFonts w:ascii="SimHei" w:hAnsi="SimHei" w:eastAsia="SimHei" w:cs="SimHei"/>
          <w:sz w:val="16"/>
          <w:szCs w:val="16"/>
          <w:spacing w:val="5"/>
        </w:rPr>
        <w:t xml:space="preserve">   </w:t>
      </w:r>
      <w:r>
        <w:rPr>
          <w:rFonts w:ascii="SimHei" w:hAnsi="SimHei" w:eastAsia="SimHei" w:cs="SimHei"/>
          <w:sz w:val="16"/>
          <w:szCs w:val="16"/>
          <w:b/>
          <w:bCs/>
          <w:spacing w:val="13"/>
        </w:rPr>
        <w:t>年收购人工智能初创企业数量排在前10位的企业</w:t>
      </w:r>
    </w:p>
    <w:p>
      <w:pPr>
        <w:ind w:left="329"/>
        <w:spacing w:before="172" w:line="212" w:lineRule="auto"/>
        <w:rPr>
          <w:rFonts w:ascii="Times New Roman" w:hAnsi="Times New Roman" w:eastAsia="Times New Roman" w:cs="Times New Roman"/>
          <w:sz w:val="16"/>
          <w:szCs w:val="16"/>
        </w:rPr>
      </w:pPr>
      <w:r>
        <w:rPr>
          <w:rFonts w:ascii="KaiTi" w:hAnsi="KaiTi" w:eastAsia="KaiTi" w:cs="KaiTi"/>
          <w:sz w:val="16"/>
          <w:szCs w:val="16"/>
        </w:rPr>
        <w:t>数据来源：</w:t>
      </w:r>
      <w:r>
        <w:rPr>
          <w:rFonts w:ascii="KaiTi" w:hAnsi="KaiTi" w:eastAsia="KaiTi" w:cs="KaiTi"/>
          <w:sz w:val="16"/>
          <w:szCs w:val="16"/>
        </w:rPr>
        <w:t xml:space="preserve"> </w:t>
      </w:r>
      <w:r>
        <w:rPr>
          <w:rFonts w:ascii="Times New Roman" w:hAnsi="Times New Roman" w:eastAsia="Times New Roman" w:cs="Times New Roman"/>
          <w:sz w:val="16"/>
          <w:szCs w:val="16"/>
        </w:rPr>
        <w:t>UNCTAD,based    on     CB    Insig</w:t>
      </w:r>
      <w:r>
        <w:rPr>
          <w:rFonts w:ascii="Times New Roman" w:hAnsi="Times New Roman" w:eastAsia="Times New Roman" w:cs="Times New Roman"/>
          <w:sz w:val="16"/>
          <w:szCs w:val="16"/>
          <w:spacing w:val="-1"/>
        </w:rPr>
        <w:t>hts,www.cbinsights.com(accessed     22</w:t>
      </w:r>
    </w:p>
    <w:p>
      <w:pPr>
        <w:spacing w:before="111" w:line="183" w:lineRule="auto"/>
        <w:rPr>
          <w:rFonts w:ascii="SimSun" w:hAnsi="SimSun" w:eastAsia="SimSun" w:cs="SimSun"/>
          <w:sz w:val="16"/>
          <w:szCs w:val="16"/>
        </w:rPr>
      </w:pPr>
      <w:r>
        <w:rPr>
          <w:rFonts w:ascii="Times New Roman" w:hAnsi="Times New Roman" w:eastAsia="Times New Roman" w:cs="Times New Roman"/>
          <w:sz w:val="16"/>
          <w:szCs w:val="16"/>
          <w:spacing w:val="-1"/>
        </w:rPr>
        <w:t>January   2021)</w:t>
      </w:r>
      <w:r>
        <w:rPr>
          <w:rFonts w:ascii="SimSun" w:hAnsi="SimSun" w:eastAsia="SimSun" w:cs="SimSun"/>
          <w:sz w:val="16"/>
          <w:szCs w:val="16"/>
          <w:spacing w:val="-1"/>
        </w:rPr>
        <w:t>。</w:t>
      </w:r>
    </w:p>
    <w:p>
      <w:pPr>
        <w:pStyle w:val="BodyText"/>
        <w:spacing w:line="252" w:lineRule="auto"/>
        <w:rPr/>
      </w:pPr>
      <w:r/>
    </w:p>
    <w:p>
      <w:pPr>
        <w:pStyle w:val="BodyText"/>
        <w:spacing w:line="252" w:lineRule="auto"/>
        <w:rPr/>
      </w:pPr>
      <w:r/>
    </w:p>
    <w:p>
      <w:pPr>
        <w:ind w:firstLine="1039"/>
        <w:spacing w:before="1" w:line="3210" w:lineRule="exact"/>
        <w:rPr/>
      </w:pPr>
      <w:r>
        <w:rPr>
          <w:position w:val="-64"/>
        </w:rPr>
        <w:pict>
          <v:group id="_x0000_s74" style="mso-position-vertical-relative:line;mso-position-horizontal-relative:char;width:196.5pt;height:160.5pt;" filled="false" stroked="false" coordsize="3930,3210" coordorigin="0,0">
            <v:shape id="_x0000_s76" style="position:absolute;left:0;top:0;width:3930;height:3210;" filled="false" stroked="false" type="#_x0000_t75">
              <v:imagedata o:title="" r:id="rId177"/>
            </v:shape>
            <v:shape id="_x0000_s78" style="position:absolute;left:40;top:166;width:3832;height:3028;" filled="false" stroked="false" type="#_x0000_t202">
              <v:fill on="false"/>
              <v:stroke on="false"/>
              <v:path/>
              <v:imagedata o:title=""/>
              <o:lock v:ext="edit" aspectratio="false"/>
              <v:textbox inset="0mm,0mm,0mm,0mm">
                <w:txbxContent>
                  <w:p>
                    <w:pPr>
                      <w:ind w:left="809"/>
                      <w:spacing w:before="20" w:line="161" w:lineRule="auto"/>
                      <w:rPr>
                        <w:rFonts w:ascii="SimSun" w:hAnsi="SimSun" w:eastAsia="SimSun" w:cs="SimSun"/>
                        <w:sz w:val="16"/>
                        <w:szCs w:val="16"/>
                      </w:rPr>
                    </w:pPr>
                    <w:r>
                      <w:rPr>
                        <w:rFonts w:ascii="SimSun" w:hAnsi="SimSun" w:eastAsia="SimSun" w:cs="SimSun"/>
                        <w:sz w:val="16"/>
                        <w:szCs w:val="16"/>
                        <w:spacing w:val="8"/>
                      </w:rPr>
                      <w:t>其他</w:t>
                    </w:r>
                  </w:p>
                  <w:p>
                    <w:pPr>
                      <w:ind w:right="17"/>
                      <w:spacing w:line="197" w:lineRule="auto"/>
                      <w:jc w:val="right"/>
                      <w:rPr>
                        <w:rFonts w:ascii="SimSun" w:hAnsi="SimSun" w:eastAsia="SimSun" w:cs="SimSun"/>
                        <w:sz w:val="16"/>
                        <w:szCs w:val="16"/>
                      </w:rPr>
                    </w:pPr>
                    <w:r>
                      <w:rPr>
                        <w:rFonts w:ascii="SimSun" w:hAnsi="SimSun" w:eastAsia="SimSun" w:cs="SimSun"/>
                        <w:sz w:val="16"/>
                        <w:szCs w:val="16"/>
                        <w:spacing w:val="-2"/>
                      </w:rPr>
                      <w:t>亚马逊</w:t>
                    </w:r>
                  </w:p>
                  <w:p>
                    <w:pPr>
                      <w:ind w:left="1129"/>
                      <w:spacing w:before="209" w:line="184" w:lineRule="auto"/>
                      <w:rPr>
                        <w:rFonts w:ascii="SimSun" w:hAnsi="SimSun" w:eastAsia="SimSun" w:cs="SimSun"/>
                        <w:sz w:val="16"/>
                        <w:szCs w:val="16"/>
                      </w:rPr>
                    </w:pPr>
                    <w:r>
                      <w:rPr>
                        <w:rFonts w:ascii="SimSun" w:hAnsi="SimSun" w:eastAsia="SimSun" w:cs="SimSun"/>
                        <w:sz w:val="16"/>
                        <w:szCs w:val="16"/>
                        <w:color w:val="FFFFFF"/>
                        <w:spacing w:val="-3"/>
                      </w:rPr>
                      <w:t>21</w:t>
                    </w:r>
                  </w:p>
                  <w:p>
                    <w:pPr>
                      <w:ind w:left="309"/>
                      <w:spacing w:before="110" w:line="220" w:lineRule="auto"/>
                      <w:rPr>
                        <w:rFonts w:ascii="SimSun" w:hAnsi="SimSun" w:eastAsia="SimSun" w:cs="SimSun"/>
                        <w:sz w:val="16"/>
                        <w:szCs w:val="16"/>
                      </w:rPr>
                    </w:pPr>
                    <w:r>
                      <w:rPr>
                        <w:rFonts w:ascii="SimSun" w:hAnsi="SimSun" w:eastAsia="SimSun" w:cs="SimSun"/>
                        <w:sz w:val="16"/>
                        <w:szCs w:val="16"/>
                        <w:spacing w:val="-2"/>
                      </w:rPr>
                      <w:t>腾讯</w:t>
                    </w:r>
                  </w:p>
                  <w:p>
                    <w:pPr>
                      <w:ind w:left="20"/>
                      <w:spacing w:before="38" w:line="216" w:lineRule="auto"/>
                      <w:rPr>
                        <w:rFonts w:ascii="SimSun" w:hAnsi="SimSun" w:eastAsia="SimSun" w:cs="SimSun"/>
                        <w:sz w:val="14"/>
                        <w:szCs w:val="14"/>
                      </w:rPr>
                    </w:pPr>
                    <w:r>
                      <w:rPr>
                        <w:rFonts w:ascii="SimSun" w:hAnsi="SimSun" w:eastAsia="SimSun" w:cs="SimSun"/>
                        <w:sz w:val="16"/>
                        <w:szCs w:val="16"/>
                        <w:spacing w:val="2"/>
                      </w:rPr>
                      <w:t>甲骨文</w:t>
                    </w:r>
                    <w:r>
                      <w:rPr>
                        <w:rFonts w:ascii="SimSun" w:hAnsi="SimSun" w:eastAsia="SimSun" w:cs="SimSun"/>
                        <w:sz w:val="16"/>
                        <w:szCs w:val="16"/>
                        <w:spacing w:val="20"/>
                      </w:rPr>
                      <w:t xml:space="preserve">   </w:t>
                    </w:r>
                    <w:r>
                      <w:rPr>
                        <w:rFonts w:ascii="SimSun" w:hAnsi="SimSun" w:eastAsia="SimSun" w:cs="SimSun"/>
                        <w:sz w:val="14"/>
                        <w:szCs w:val="14"/>
                        <w:spacing w:val="2"/>
                        <w:position w:val="-5"/>
                      </w:rPr>
                      <w:t>2</w:t>
                    </w:r>
                  </w:p>
                  <w:p>
                    <w:pPr>
                      <w:ind w:left="809"/>
                      <w:spacing w:line="182" w:lineRule="auto"/>
                      <w:rPr>
                        <w:rFonts w:ascii="SimSun" w:hAnsi="SimSun" w:eastAsia="SimSun" w:cs="SimSun"/>
                        <w:sz w:val="16"/>
                        <w:szCs w:val="16"/>
                      </w:rPr>
                    </w:pPr>
                    <w:r>
                      <w:rPr>
                        <w:rFonts w:ascii="SimSun" w:hAnsi="SimSun" w:eastAsia="SimSun" w:cs="SimSun"/>
                        <w:sz w:val="16"/>
                        <w:szCs w:val="16"/>
                        <w:color w:val="FFFFFF"/>
                      </w:rPr>
                      <w:t>2</w:t>
                    </w:r>
                  </w:p>
                  <w:p>
                    <w:pPr>
                      <w:ind w:left="179"/>
                      <w:spacing w:before="50" w:line="208" w:lineRule="auto"/>
                      <w:rPr>
                        <w:rFonts w:ascii="SimSun" w:hAnsi="SimSun" w:eastAsia="SimSun" w:cs="SimSun"/>
                        <w:sz w:val="16"/>
                        <w:szCs w:val="16"/>
                      </w:rPr>
                    </w:pPr>
                    <w:r>
                      <w:rPr>
                        <w:rFonts w:ascii="SimSun" w:hAnsi="SimSun" w:eastAsia="SimSun" w:cs="SimSun"/>
                        <w:sz w:val="16"/>
                        <w:szCs w:val="16"/>
                        <w:spacing w:val="-2"/>
                      </w:rPr>
                      <w:t>赛富时</w:t>
                    </w:r>
                    <w:r>
                      <w:rPr>
                        <w:rFonts w:ascii="SimSun" w:hAnsi="SimSun" w:eastAsia="SimSun" w:cs="SimSun"/>
                        <w:sz w:val="16"/>
                        <w:szCs w:val="16"/>
                        <w:spacing w:val="77"/>
                      </w:rPr>
                      <w:t xml:space="preserve"> </w:t>
                    </w:r>
                    <w:r>
                      <w:rPr>
                        <w:rFonts w:ascii="SimSun" w:hAnsi="SimSun" w:eastAsia="SimSun" w:cs="SimSun"/>
                        <w:sz w:val="16"/>
                        <w:szCs w:val="16"/>
                        <w:color w:val="FFFFFF"/>
                        <w:spacing w:val="-2"/>
                        <w:position w:val="1"/>
                      </w:rPr>
                      <w:t>3</w:t>
                    </w:r>
                  </w:p>
                  <w:p>
                    <w:pPr>
                      <w:ind w:left="370"/>
                      <w:spacing w:before="133" w:line="193" w:lineRule="auto"/>
                      <w:rPr>
                        <w:rFonts w:ascii="SimSun" w:hAnsi="SimSun" w:eastAsia="SimSun" w:cs="SimSun"/>
                        <w:sz w:val="16"/>
                        <w:szCs w:val="16"/>
                      </w:rPr>
                    </w:pPr>
                    <w:r>
                      <w:rPr>
                        <w:rFonts w:ascii="Times New Roman" w:hAnsi="Times New Roman" w:eastAsia="Times New Roman" w:cs="Times New Roman"/>
                        <w:sz w:val="16"/>
                        <w:szCs w:val="16"/>
                        <w:spacing w:val="-2"/>
                        <w:position w:val="-1"/>
                      </w:rPr>
                      <w:t>IBM</w:t>
                    </w:r>
                    <w:r>
                      <w:rPr>
                        <w:rFonts w:ascii="Times New Roman" w:hAnsi="Times New Roman" w:eastAsia="Times New Roman" w:cs="Times New Roman"/>
                        <w:sz w:val="16"/>
                        <w:szCs w:val="16"/>
                        <w:spacing w:val="2"/>
                        <w:position w:val="-1"/>
                      </w:rPr>
                      <w:t xml:space="preserve">      </w:t>
                    </w:r>
                    <w:r>
                      <w:rPr>
                        <w:rFonts w:ascii="SimSun" w:hAnsi="SimSun" w:eastAsia="SimSun" w:cs="SimSun"/>
                        <w:sz w:val="16"/>
                        <w:szCs w:val="16"/>
                        <w:color w:val="FFFFFF"/>
                        <w:spacing w:val="-2"/>
                        <w:position w:val="3"/>
                      </w:rPr>
                      <w:t>5</w:t>
                    </w:r>
                  </w:p>
                  <w:p>
                    <w:pPr>
                      <w:ind w:left="1170"/>
                      <w:spacing w:before="153" w:line="183" w:lineRule="auto"/>
                      <w:rPr>
                        <w:rFonts w:ascii="SimSun" w:hAnsi="SimSun" w:eastAsia="SimSun" w:cs="SimSun"/>
                        <w:sz w:val="16"/>
                        <w:szCs w:val="16"/>
                      </w:rPr>
                    </w:pPr>
                    <w:r>
                      <w:rPr>
                        <w:rFonts w:ascii="SimSun" w:hAnsi="SimSun" w:eastAsia="SimSun" w:cs="SimSun"/>
                        <w:sz w:val="16"/>
                        <w:szCs w:val="16"/>
                      </w:rPr>
                      <w:t>6</w:t>
                    </w:r>
                  </w:p>
                  <w:p>
                    <w:pPr>
                      <w:ind w:left="349"/>
                      <w:spacing w:before="52" w:line="196" w:lineRule="auto"/>
                      <w:rPr>
                        <w:rFonts w:ascii="SimSun" w:hAnsi="SimSun" w:eastAsia="SimSun" w:cs="SimSun"/>
                        <w:sz w:val="16"/>
                        <w:szCs w:val="16"/>
                      </w:rPr>
                    </w:pPr>
                    <w:r>
                      <w:rPr>
                        <w:rFonts w:ascii="SimSun" w:hAnsi="SimSun" w:eastAsia="SimSun" w:cs="SimSun"/>
                        <w:sz w:val="16"/>
                        <w:szCs w:val="16"/>
                        <w:spacing w:val="-3"/>
                      </w:rPr>
                      <w:t>阿里巴巴</w:t>
                    </w:r>
                  </w:p>
                  <w:p>
                    <w:pPr>
                      <w:ind w:left="1629"/>
                      <w:spacing w:line="183" w:lineRule="auto"/>
                      <w:rPr>
                        <w:rFonts w:ascii="SimSun" w:hAnsi="SimSun" w:eastAsia="SimSun" w:cs="SimSun"/>
                        <w:sz w:val="16"/>
                        <w:szCs w:val="16"/>
                      </w:rPr>
                    </w:pPr>
                    <w:r>
                      <w:rPr>
                        <w:rFonts w:ascii="SimSun" w:hAnsi="SimSun" w:eastAsia="SimSun" w:cs="SimSun"/>
                        <w:sz w:val="16"/>
                        <w:szCs w:val="16"/>
                        <w:color w:val="FFFFFF"/>
                      </w:rPr>
                      <w:t>9</w:t>
                    </w:r>
                  </w:p>
                  <w:p>
                    <w:pPr>
                      <w:ind w:left="1299"/>
                      <w:spacing w:before="159" w:line="219" w:lineRule="auto"/>
                      <w:rPr>
                        <w:rFonts w:ascii="SimSun" w:hAnsi="SimSun" w:eastAsia="SimSun" w:cs="SimSun"/>
                        <w:sz w:val="16"/>
                        <w:szCs w:val="16"/>
                      </w:rPr>
                    </w:pPr>
                    <w:r>
                      <w:rPr>
                        <w:rFonts w:ascii="SimSun" w:hAnsi="SimSun" w:eastAsia="SimSun" w:cs="SimSun"/>
                        <w:sz w:val="16"/>
                        <w:szCs w:val="16"/>
                        <w:spacing w:val="-2"/>
                      </w:rPr>
                      <w:t>谷歌</w:t>
                    </w:r>
                  </w:p>
                </w:txbxContent>
              </v:textbox>
            </v:shape>
            <v:shape id="_x0000_s80" style="position:absolute;left:2750;top:2536;width:1094;height:22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position w:val="-3"/>
                      </w:rPr>
                      <w:t>20</w:t>
                    </w:r>
                    <w:r>
                      <w:rPr>
                        <w:rFonts w:ascii="SimSun" w:hAnsi="SimSun" w:eastAsia="SimSun" w:cs="SimSun"/>
                        <w:sz w:val="16"/>
                        <w:szCs w:val="16"/>
                        <w:spacing w:val="4"/>
                        <w:position w:val="-3"/>
                      </w:rPr>
                      <w:t xml:space="preserve">       </w:t>
                    </w:r>
                    <w:r>
                      <w:rPr>
                        <w:rFonts w:ascii="SimSun" w:hAnsi="SimSun" w:eastAsia="SimSun" w:cs="SimSun"/>
                        <w:sz w:val="16"/>
                        <w:szCs w:val="16"/>
                        <w:spacing w:val="-3"/>
                        <w:position w:val="1"/>
                      </w:rPr>
                      <w:t>微软</w:t>
                    </w:r>
                  </w:p>
                </w:txbxContent>
              </v:textbox>
            </v:shape>
            <v:shape id="_x0000_s82" style="position:absolute;left:3059;top:617;width:191;height:151;"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6"/>
                        <w:szCs w:val="16"/>
                      </w:rPr>
                    </w:pPr>
                    <w:r>
                      <w:rPr>
                        <w:rFonts w:ascii="SimSun" w:hAnsi="SimSun" w:eastAsia="SimSun" w:cs="SimSun"/>
                        <w:sz w:val="16"/>
                        <w:szCs w:val="16"/>
                        <w:spacing w:val="-3"/>
                      </w:rPr>
                      <w:t>32</w:t>
                    </w:r>
                  </w:p>
                </w:txbxContent>
              </v:textbox>
            </v:shape>
          </v:group>
        </w:pict>
      </w:r>
    </w:p>
    <w:p>
      <w:pPr>
        <w:ind w:left="922"/>
        <w:spacing w:before="293" w:line="221" w:lineRule="auto"/>
        <w:rPr>
          <w:rFonts w:ascii="SimHei" w:hAnsi="SimHei" w:eastAsia="SimHei" w:cs="SimHei"/>
          <w:sz w:val="16"/>
          <w:szCs w:val="16"/>
        </w:rPr>
      </w:pPr>
      <w:r>
        <w:rPr>
          <w:rFonts w:ascii="SimHei" w:hAnsi="SimHei" w:eastAsia="SimHei" w:cs="SimHei"/>
          <w:sz w:val="16"/>
          <w:szCs w:val="16"/>
          <w:b/>
          <w:bCs/>
          <w:spacing w:val="19"/>
        </w:rPr>
        <w:t>图3</w:t>
      </w:r>
      <w:r>
        <w:rPr>
          <w:rFonts w:ascii="SimHei" w:hAnsi="SimHei" w:eastAsia="SimHei" w:cs="SimHei"/>
          <w:sz w:val="16"/>
          <w:szCs w:val="16"/>
          <w:spacing w:val="-41"/>
        </w:rPr>
        <w:t xml:space="preserve"> </w:t>
      </w:r>
      <w:r>
        <w:rPr>
          <w:rFonts w:ascii="SimHei" w:hAnsi="SimHei" w:eastAsia="SimHei" w:cs="SimHei"/>
          <w:sz w:val="16"/>
          <w:szCs w:val="16"/>
          <w:b/>
          <w:bCs/>
          <w:spacing w:val="19"/>
        </w:rPr>
        <w:t>-</w:t>
      </w:r>
      <w:r>
        <w:rPr>
          <w:rFonts w:ascii="SimHei" w:hAnsi="SimHei" w:eastAsia="SimHei" w:cs="SimHei"/>
          <w:sz w:val="16"/>
          <w:szCs w:val="16"/>
          <w:spacing w:val="-37"/>
        </w:rPr>
        <w:t xml:space="preserve"> </w:t>
      </w:r>
      <w:r>
        <w:rPr>
          <w:rFonts w:ascii="SimHei" w:hAnsi="SimHei" w:eastAsia="SimHei" w:cs="SimHei"/>
          <w:sz w:val="16"/>
          <w:szCs w:val="16"/>
          <w:b/>
          <w:bCs/>
          <w:spacing w:val="19"/>
        </w:rPr>
        <w:t>3</w:t>
      </w:r>
      <w:r>
        <w:rPr>
          <w:rFonts w:ascii="SimHei" w:hAnsi="SimHei" w:eastAsia="SimHei" w:cs="SimHei"/>
          <w:sz w:val="16"/>
          <w:szCs w:val="16"/>
          <w:spacing w:val="3"/>
        </w:rPr>
        <w:t xml:space="preserve">  </w:t>
      </w:r>
      <w:r>
        <w:rPr>
          <w:rFonts w:ascii="SimHei" w:hAnsi="SimHei" w:eastAsia="SimHei" w:cs="SimHei"/>
          <w:sz w:val="16"/>
          <w:szCs w:val="16"/>
          <w:b/>
          <w:bCs/>
          <w:spacing w:val="19"/>
        </w:rPr>
        <w:t>2020年四季度云基础设施服务企业市场</w:t>
      </w:r>
      <w:r>
        <w:rPr>
          <w:rFonts w:ascii="SimHei" w:hAnsi="SimHei" w:eastAsia="SimHei" w:cs="SimHei"/>
          <w:sz w:val="16"/>
          <w:szCs w:val="16"/>
          <w:b/>
          <w:bCs/>
          <w:spacing w:val="18"/>
        </w:rPr>
        <w:t>份额</w:t>
      </w:r>
    </w:p>
    <w:p>
      <w:pPr>
        <w:ind w:left="329"/>
        <w:spacing w:before="204" w:line="212" w:lineRule="auto"/>
        <w:rPr>
          <w:rFonts w:ascii="SimSun" w:hAnsi="SimSun" w:eastAsia="SimSun" w:cs="SimSun"/>
          <w:sz w:val="16"/>
          <w:szCs w:val="16"/>
        </w:rPr>
      </w:pPr>
      <w:r>
        <w:rPr>
          <w:rFonts w:ascii="KaiTi" w:hAnsi="KaiTi" w:eastAsia="KaiTi" w:cs="KaiTi"/>
          <w:sz w:val="16"/>
          <w:szCs w:val="16"/>
          <w:spacing w:val="-2"/>
        </w:rPr>
        <w:t>数据来源：</w:t>
      </w:r>
      <w:r>
        <w:rPr>
          <w:rFonts w:ascii="KaiTi" w:hAnsi="KaiTi" w:eastAsia="KaiTi" w:cs="KaiTi"/>
          <w:sz w:val="16"/>
          <w:szCs w:val="16"/>
          <w:spacing w:val="-2"/>
        </w:rPr>
        <w:t xml:space="preserve"> </w:t>
      </w:r>
      <w:r>
        <w:rPr>
          <w:rFonts w:ascii="Times New Roman" w:hAnsi="Times New Roman" w:eastAsia="Times New Roman" w:cs="Times New Roman"/>
          <w:sz w:val="16"/>
          <w:szCs w:val="16"/>
          <w:spacing w:val="-2"/>
        </w:rPr>
        <w:t>UNCTAD,based  on  Synergy</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2"/>
        </w:rPr>
        <w:t>Research  Group</w:t>
      </w:r>
      <w:r>
        <w:rPr>
          <w:rFonts w:ascii="Times New Roman" w:hAnsi="Times New Roman" w:eastAsia="Times New Roman" w:cs="Times New Roman"/>
          <w:sz w:val="16"/>
          <w:szCs w:val="16"/>
          <w:spacing w:val="34"/>
        </w:rPr>
        <w:t xml:space="preserve"> </w:t>
      </w:r>
      <w:r>
        <w:rPr>
          <w:rFonts w:ascii="Times New Roman" w:hAnsi="Times New Roman" w:eastAsia="Times New Roman" w:cs="Times New Roman"/>
          <w:sz w:val="16"/>
          <w:szCs w:val="16"/>
          <w:spacing w:val="-2"/>
        </w:rPr>
        <w:t>(2021)and  Statista</w:t>
      </w:r>
      <w:r>
        <w:rPr>
          <w:rFonts w:ascii="Times New Roman" w:hAnsi="Times New Roman" w:eastAsia="Times New Roman" w:cs="Times New Roman"/>
          <w:sz w:val="16"/>
          <w:szCs w:val="16"/>
          <w:spacing w:val="34"/>
        </w:rPr>
        <w:t xml:space="preserve"> </w:t>
      </w:r>
      <w:r>
        <w:rPr>
          <w:rFonts w:ascii="Times New Roman" w:hAnsi="Times New Roman" w:eastAsia="Times New Roman" w:cs="Times New Roman"/>
          <w:sz w:val="16"/>
          <w:szCs w:val="16"/>
          <w:spacing w:val="-3"/>
        </w:rPr>
        <w:t>(2021)</w:t>
      </w:r>
      <w:r>
        <w:rPr>
          <w:rFonts w:ascii="SimSun" w:hAnsi="SimSun" w:eastAsia="SimSun" w:cs="SimSun"/>
          <w:sz w:val="16"/>
          <w:szCs w:val="16"/>
          <w:spacing w:val="-3"/>
        </w:rPr>
        <w:t>。</w:t>
      </w:r>
    </w:p>
    <w:p>
      <w:pPr>
        <w:spacing w:line="212" w:lineRule="auto"/>
        <w:sectPr>
          <w:headerReference w:type="default" r:id="rId1"/>
          <w:pgSz w:w="7330" w:h="12480"/>
          <w:pgMar w:top="400" w:right="560" w:bottom="400" w:left="490" w:header="0" w:footer="0" w:gutter="0"/>
        </w:sectPr>
        <w:rPr>
          <w:rFonts w:ascii="SimSun" w:hAnsi="SimSun" w:eastAsia="SimSun" w:cs="SimSun"/>
          <w:sz w:val="16"/>
          <w:szCs w:val="16"/>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left="3"/>
        <w:spacing w:before="74" w:line="222" w:lineRule="auto"/>
        <w:rPr>
          <w:rFonts w:ascii="SimHei" w:hAnsi="SimHei" w:eastAsia="SimHei" w:cs="SimHei"/>
          <w:sz w:val="23"/>
          <w:szCs w:val="23"/>
        </w:rPr>
      </w:pPr>
      <w:r>
        <w:rPr>
          <w:rFonts w:ascii="SimHei" w:hAnsi="SimHei" w:eastAsia="SimHei" w:cs="SimHei"/>
          <w:sz w:val="23"/>
          <w:szCs w:val="23"/>
          <w:b/>
          <w:bCs/>
          <w:spacing w:val="6"/>
        </w:rPr>
        <w:t>平台企业科技实力与国家战略目标</w:t>
      </w:r>
    </w:p>
    <w:p>
      <w:pPr>
        <w:pStyle w:val="BodyText"/>
        <w:spacing w:line="359" w:lineRule="auto"/>
        <w:rPr/>
      </w:pPr>
      <w:r/>
    </w:p>
    <w:p>
      <w:pPr>
        <w:ind w:right="20" w:firstLine="430"/>
        <w:spacing w:before="62" w:line="350" w:lineRule="auto"/>
        <w:jc w:val="both"/>
        <w:rPr>
          <w:rFonts w:ascii="SimSun" w:hAnsi="SimSun" w:eastAsia="SimSun" w:cs="SimSun"/>
          <w:sz w:val="19"/>
          <w:szCs w:val="19"/>
        </w:rPr>
      </w:pPr>
      <w:r>
        <w:rPr>
          <w:rFonts w:ascii="SimSun" w:hAnsi="SimSun" w:eastAsia="SimSun" w:cs="SimSun"/>
          <w:sz w:val="19"/>
          <w:szCs w:val="19"/>
          <w:spacing w:val="9"/>
        </w:rPr>
        <w:t>根据“十四五”规划纲要，支撑实体经济转型升级的“硬”科技</w:t>
      </w:r>
      <w:r>
        <w:rPr>
          <w:rFonts w:ascii="SimSun" w:hAnsi="SimSun" w:eastAsia="SimSun" w:cs="SimSun"/>
          <w:sz w:val="19"/>
          <w:szCs w:val="19"/>
          <w:spacing w:val="14"/>
        </w:rPr>
        <w:t xml:space="preserve"> </w:t>
      </w:r>
      <w:r>
        <w:rPr>
          <w:rFonts w:ascii="SimSun" w:hAnsi="SimSun" w:eastAsia="SimSun" w:cs="SimSun"/>
          <w:sz w:val="19"/>
          <w:szCs w:val="19"/>
          <w:spacing w:val="9"/>
        </w:rPr>
        <w:t>是发展重点。“十四五”规划纲要提到，要“培育壮大人工智能、大 </w:t>
      </w:r>
      <w:r>
        <w:rPr>
          <w:rFonts w:ascii="SimSun" w:hAnsi="SimSun" w:eastAsia="SimSun" w:cs="SimSun"/>
          <w:sz w:val="19"/>
          <w:szCs w:val="19"/>
          <w:spacing w:val="12"/>
        </w:rPr>
        <w:t>数据、区块链、云计算、网络安全等新兴数字产业，提</w:t>
      </w:r>
      <w:r>
        <w:rPr>
          <w:rFonts w:ascii="SimSun" w:hAnsi="SimSun" w:eastAsia="SimSun" w:cs="SimSun"/>
          <w:sz w:val="19"/>
          <w:szCs w:val="19"/>
          <w:spacing w:val="11"/>
        </w:rPr>
        <w:t>升通信设备、</w:t>
      </w:r>
      <w:r>
        <w:rPr>
          <w:rFonts w:ascii="SimSun" w:hAnsi="SimSun" w:eastAsia="SimSun" w:cs="SimSun"/>
          <w:sz w:val="19"/>
          <w:szCs w:val="19"/>
        </w:rPr>
        <w:t xml:space="preserve"> </w:t>
      </w:r>
      <w:r>
        <w:rPr>
          <w:rFonts w:ascii="SimSun" w:hAnsi="SimSun" w:eastAsia="SimSun" w:cs="SimSun"/>
          <w:sz w:val="19"/>
          <w:szCs w:val="19"/>
          <w:spacing w:val="13"/>
        </w:rPr>
        <w:t>核心电子元器件、关键软件等产业水平。构建基于</w:t>
      </w:r>
      <w:r>
        <w:rPr>
          <w:rFonts w:ascii="SimSun" w:hAnsi="SimSun" w:eastAsia="SimSun" w:cs="SimSun"/>
          <w:sz w:val="19"/>
          <w:szCs w:val="19"/>
          <w:spacing w:val="12"/>
        </w:rPr>
        <w:t>5</w:t>
      </w:r>
      <w:r>
        <w:rPr>
          <w:rFonts w:ascii="Times New Roman" w:hAnsi="Times New Roman" w:eastAsia="Times New Roman" w:cs="Times New Roman"/>
          <w:sz w:val="19"/>
          <w:szCs w:val="19"/>
          <w:spacing w:val="12"/>
        </w:rPr>
        <w:t>G </w:t>
      </w:r>
      <w:r>
        <w:rPr>
          <w:rFonts w:ascii="SimSun" w:hAnsi="SimSun" w:eastAsia="SimSun" w:cs="SimSun"/>
          <w:sz w:val="19"/>
          <w:szCs w:val="19"/>
          <w:spacing w:val="12"/>
        </w:rPr>
        <w:t>的应用场景和</w:t>
      </w:r>
      <w:r>
        <w:rPr>
          <w:rFonts w:ascii="SimSun" w:hAnsi="SimSun" w:eastAsia="SimSun" w:cs="SimSun"/>
          <w:sz w:val="19"/>
          <w:szCs w:val="19"/>
        </w:rPr>
        <w:t xml:space="preserve"> </w:t>
      </w:r>
      <w:r>
        <w:rPr>
          <w:rFonts w:ascii="SimSun" w:hAnsi="SimSun" w:eastAsia="SimSun" w:cs="SimSun"/>
          <w:sz w:val="19"/>
          <w:szCs w:val="19"/>
          <w:spacing w:val="9"/>
        </w:rPr>
        <w:t>产业生态，在智能交通、智慧物流、智慧能源、智慧医疗等重点领域 </w:t>
      </w:r>
      <w:r>
        <w:rPr>
          <w:rFonts w:ascii="SimSun" w:hAnsi="SimSun" w:eastAsia="SimSun" w:cs="SimSun"/>
          <w:sz w:val="19"/>
          <w:szCs w:val="19"/>
          <w:spacing w:val="9"/>
        </w:rPr>
        <w:t>开展试点示范。鼓励企业开放搜索、电商、社交等数据，发展第三方 </w:t>
      </w:r>
      <w:r>
        <w:rPr>
          <w:rFonts w:ascii="SimSun" w:hAnsi="SimSun" w:eastAsia="SimSun" w:cs="SimSun"/>
          <w:sz w:val="19"/>
          <w:szCs w:val="19"/>
          <w:spacing w:val="6"/>
        </w:rPr>
        <w:t>大数据服务产业”,“聚焦新一代信息技术、生物技术</w:t>
      </w:r>
      <w:r>
        <w:rPr>
          <w:rFonts w:ascii="SimSun" w:hAnsi="SimSun" w:eastAsia="SimSun" w:cs="SimSun"/>
          <w:sz w:val="19"/>
          <w:szCs w:val="19"/>
          <w:spacing w:val="5"/>
        </w:rPr>
        <w:t>、新能源、新材 </w:t>
      </w:r>
      <w:r>
        <w:rPr>
          <w:rFonts w:ascii="SimSun" w:hAnsi="SimSun" w:eastAsia="SimSun" w:cs="SimSun"/>
          <w:sz w:val="19"/>
          <w:szCs w:val="19"/>
          <w:spacing w:val="9"/>
        </w:rPr>
        <w:t>料、高端装备、新能源汽车、绿色环保以及航空航天、海洋装备等战 </w:t>
      </w:r>
      <w:r>
        <w:rPr>
          <w:rFonts w:ascii="SimSun" w:hAnsi="SimSun" w:eastAsia="SimSun" w:cs="SimSun"/>
          <w:sz w:val="19"/>
          <w:szCs w:val="19"/>
          <w:spacing w:val="6"/>
        </w:rPr>
        <w:t>略性新兴产业”,“在类脑智能、量子信息、基因技术</w:t>
      </w:r>
      <w:r>
        <w:rPr>
          <w:rFonts w:ascii="SimSun" w:hAnsi="SimSun" w:eastAsia="SimSun" w:cs="SimSun"/>
          <w:sz w:val="19"/>
          <w:szCs w:val="19"/>
          <w:spacing w:val="5"/>
        </w:rPr>
        <w:t>、未来网络、深 </w:t>
      </w:r>
      <w:r>
        <w:rPr>
          <w:rFonts w:ascii="SimSun" w:hAnsi="SimSun" w:eastAsia="SimSun" w:cs="SimSun"/>
          <w:sz w:val="19"/>
          <w:szCs w:val="19"/>
          <w:spacing w:val="9"/>
        </w:rPr>
        <w:t>海空天开发、氢能与储能等前沿科技和产业变革领域，组织实施未来</w:t>
      </w:r>
    </w:p>
    <w:p>
      <w:pPr>
        <w:spacing w:line="218" w:lineRule="auto"/>
        <w:rPr>
          <w:rFonts w:ascii="SimSun" w:hAnsi="SimSun" w:eastAsia="SimSun" w:cs="SimSun"/>
          <w:sz w:val="19"/>
          <w:szCs w:val="19"/>
        </w:rPr>
      </w:pPr>
      <w:r>
        <w:rPr>
          <w:rFonts w:ascii="SimSun" w:hAnsi="SimSun" w:eastAsia="SimSun" w:cs="SimSun"/>
          <w:sz w:val="19"/>
          <w:szCs w:val="19"/>
          <w:spacing w:val="4"/>
        </w:rPr>
        <w:t>产业孵化与加速计划，谋划布局一批未来产业”。</w:t>
      </w:r>
    </w:p>
    <w:p>
      <w:pPr>
        <w:ind w:firstLine="430"/>
        <w:spacing w:before="123" w:line="350" w:lineRule="auto"/>
        <w:jc w:val="both"/>
        <w:rPr>
          <w:rFonts w:ascii="SimSun" w:hAnsi="SimSun" w:eastAsia="SimSun" w:cs="SimSun"/>
          <w:sz w:val="19"/>
          <w:szCs w:val="19"/>
        </w:rPr>
      </w:pPr>
      <w:r>
        <w:rPr>
          <w:rFonts w:ascii="SimSun" w:hAnsi="SimSun" w:eastAsia="SimSun" w:cs="SimSun"/>
          <w:sz w:val="19"/>
          <w:szCs w:val="19"/>
          <w:spacing w:val="17"/>
        </w:rPr>
        <w:t>平台企业要在科技硬实力方面进行更多研发投入和创新，成为</w:t>
      </w:r>
      <w:r>
        <w:rPr>
          <w:rFonts w:ascii="SimSun" w:hAnsi="SimSun" w:eastAsia="SimSun" w:cs="SimSun"/>
          <w:sz w:val="19"/>
          <w:szCs w:val="19"/>
        </w:rPr>
        <w:t xml:space="preserve"> </w:t>
      </w:r>
      <w:r>
        <w:rPr>
          <w:rFonts w:ascii="SimSun" w:hAnsi="SimSun" w:eastAsia="SimSun" w:cs="SimSun"/>
          <w:sz w:val="19"/>
          <w:szCs w:val="19"/>
          <w:spacing w:val="16"/>
        </w:rPr>
        <w:t>在国内国际市场上都具有相当竞争力的优质企业，而不是依靠数据</w:t>
      </w:r>
      <w:r>
        <w:rPr>
          <w:rFonts w:ascii="SimSun" w:hAnsi="SimSun" w:eastAsia="SimSun" w:cs="SimSun"/>
          <w:sz w:val="19"/>
          <w:szCs w:val="19"/>
          <w:spacing w:val="8"/>
        </w:rPr>
        <w:t xml:space="preserve">  </w:t>
      </w:r>
      <w:r>
        <w:rPr>
          <w:rFonts w:ascii="SimSun" w:hAnsi="SimSun" w:eastAsia="SimSun" w:cs="SimSun"/>
          <w:sz w:val="19"/>
          <w:szCs w:val="19"/>
          <w:spacing w:val="12"/>
        </w:rPr>
        <w:t>或者用户流量的优势进行无序扩张或粗放式竞争，靠垄断租金为生。</w:t>
      </w:r>
      <w:r>
        <w:rPr>
          <w:rFonts w:ascii="SimSun" w:hAnsi="SimSun" w:eastAsia="SimSun" w:cs="SimSun"/>
          <w:sz w:val="19"/>
          <w:szCs w:val="19"/>
          <w:spacing w:val="14"/>
        </w:rPr>
        <w:t xml:space="preserve"> </w:t>
      </w:r>
      <w:r>
        <w:rPr>
          <w:rFonts w:ascii="SimSun" w:hAnsi="SimSun" w:eastAsia="SimSun" w:cs="SimSun"/>
          <w:sz w:val="19"/>
          <w:szCs w:val="19"/>
          <w:spacing w:val="16"/>
        </w:rPr>
        <w:t>平台通过扩张当然可以扩张自己的市场势力，从用户和商家手中收</w:t>
      </w:r>
      <w:r>
        <w:rPr>
          <w:rFonts w:ascii="SimSun" w:hAnsi="SimSun" w:eastAsia="SimSun" w:cs="SimSun"/>
          <w:sz w:val="19"/>
          <w:szCs w:val="19"/>
          <w:spacing w:val="6"/>
        </w:rPr>
        <w:t xml:space="preserve">  </w:t>
      </w:r>
      <w:r>
        <w:rPr>
          <w:rFonts w:ascii="SimSun" w:hAnsi="SimSun" w:eastAsia="SimSun" w:cs="SimSun"/>
          <w:sz w:val="19"/>
          <w:szCs w:val="19"/>
          <w:spacing w:val="16"/>
        </w:rPr>
        <w:t>取更多所谓的剩余价值。但在这种情况下，平台担任的就不再是激</w:t>
      </w:r>
      <w:r>
        <w:rPr>
          <w:rFonts w:ascii="SimSun" w:hAnsi="SimSun" w:eastAsia="SimSun" w:cs="SimSun"/>
          <w:sz w:val="19"/>
          <w:szCs w:val="19"/>
          <w:spacing w:val="6"/>
        </w:rPr>
        <w:t xml:space="preserve">  </w:t>
      </w:r>
      <w:r>
        <w:rPr>
          <w:rFonts w:ascii="SimSun" w:hAnsi="SimSun" w:eastAsia="SimSun" w:cs="SimSun"/>
          <w:sz w:val="19"/>
          <w:szCs w:val="19"/>
          <w:spacing w:val="16"/>
        </w:rPr>
        <w:t>发创新活力或者为经济生活提供便利的角色，而退化成了像传统时</w:t>
      </w:r>
      <w:r>
        <w:rPr>
          <w:rFonts w:ascii="SimSun" w:hAnsi="SimSun" w:eastAsia="SimSun" w:cs="SimSun"/>
          <w:sz w:val="19"/>
          <w:szCs w:val="19"/>
          <w:spacing w:val="8"/>
        </w:rPr>
        <w:t xml:space="preserve">  </w:t>
      </w:r>
      <w:r>
        <w:rPr>
          <w:rFonts w:ascii="SimSun" w:hAnsi="SimSun" w:eastAsia="SimSun" w:cs="SimSun"/>
          <w:sz w:val="19"/>
          <w:szCs w:val="19"/>
          <w:spacing w:val="16"/>
        </w:rPr>
        <w:t>代的地主或所谓的收租者一样，那么平台之所以得到发展的初始条</w:t>
      </w:r>
      <w:r>
        <w:rPr>
          <w:rFonts w:ascii="SimSun" w:hAnsi="SimSun" w:eastAsia="SimSun" w:cs="SimSun"/>
          <w:sz w:val="19"/>
          <w:szCs w:val="19"/>
          <w:spacing w:val="6"/>
        </w:rPr>
        <w:t xml:space="preserve">  </w:t>
      </w:r>
      <w:r>
        <w:rPr>
          <w:rFonts w:ascii="SimSun" w:hAnsi="SimSun" w:eastAsia="SimSun" w:cs="SimSun"/>
          <w:sz w:val="19"/>
          <w:szCs w:val="19"/>
          <w:spacing w:val="16"/>
        </w:rPr>
        <w:t>件也就不复存在了。市场不断演进，新技术层出不穷，平台需要居</w:t>
      </w:r>
      <w:r>
        <w:rPr>
          <w:rFonts w:ascii="SimSun" w:hAnsi="SimSun" w:eastAsia="SimSun" w:cs="SimSun"/>
          <w:sz w:val="19"/>
          <w:szCs w:val="19"/>
          <w:spacing w:val="7"/>
        </w:rPr>
        <w:t xml:space="preserve">  </w:t>
      </w:r>
      <w:r>
        <w:rPr>
          <w:rFonts w:ascii="SimSun" w:hAnsi="SimSun" w:eastAsia="SimSun" w:cs="SimSun"/>
          <w:sz w:val="19"/>
          <w:szCs w:val="19"/>
          <w:spacing w:val="16"/>
        </w:rPr>
        <w:t>安思危，思考如何在新的市场条件下、在新的技术发展背景中占据</w:t>
      </w:r>
    </w:p>
    <w:p>
      <w:pPr>
        <w:spacing w:line="219" w:lineRule="auto"/>
        <w:rPr>
          <w:rFonts w:ascii="SimSun" w:hAnsi="SimSun" w:eastAsia="SimSun" w:cs="SimSun"/>
          <w:sz w:val="19"/>
          <w:szCs w:val="19"/>
        </w:rPr>
      </w:pPr>
      <w:r>
        <w:rPr>
          <w:rFonts w:ascii="SimSun" w:hAnsi="SimSun" w:eastAsia="SimSun" w:cs="SimSun"/>
          <w:sz w:val="19"/>
          <w:szCs w:val="19"/>
          <w:spacing w:val="7"/>
        </w:rPr>
        <w:t>优势地位。</w:t>
      </w:r>
    </w:p>
    <w:p>
      <w:pPr>
        <w:ind w:right="56" w:firstLine="430"/>
        <w:spacing w:before="133" w:line="360" w:lineRule="auto"/>
        <w:jc w:val="both"/>
        <w:rPr>
          <w:rFonts w:ascii="SimSun" w:hAnsi="SimSun" w:eastAsia="SimSun" w:cs="SimSun"/>
          <w:sz w:val="19"/>
          <w:szCs w:val="19"/>
        </w:rPr>
      </w:pPr>
      <w:r>
        <w:rPr>
          <w:rFonts w:ascii="SimSun" w:hAnsi="SimSun" w:eastAsia="SimSun" w:cs="SimSun"/>
          <w:sz w:val="19"/>
          <w:szCs w:val="19"/>
          <w:spacing w:val="9"/>
        </w:rPr>
        <w:t>监管可以做的是引导平台企业成为我国发展数字经济和科技创新</w:t>
      </w:r>
      <w:r>
        <w:rPr>
          <w:rFonts w:ascii="SimSun" w:hAnsi="SimSun" w:eastAsia="SimSun" w:cs="SimSun"/>
          <w:sz w:val="19"/>
          <w:szCs w:val="19"/>
          <w:spacing w:val="15"/>
        </w:rPr>
        <w:t xml:space="preserve"> </w:t>
      </w:r>
      <w:r>
        <w:rPr>
          <w:rFonts w:ascii="SimSun" w:hAnsi="SimSun" w:eastAsia="SimSun" w:cs="SimSun"/>
          <w:sz w:val="19"/>
          <w:szCs w:val="19"/>
          <w:spacing w:val="10"/>
        </w:rPr>
        <w:t>的积极市场力量，充分发挥平台企业在技术</w:t>
      </w:r>
      <w:r>
        <w:rPr>
          <w:rFonts w:ascii="SimSun" w:hAnsi="SimSun" w:eastAsia="SimSun" w:cs="SimSun"/>
          <w:sz w:val="19"/>
          <w:szCs w:val="19"/>
          <w:spacing w:val="9"/>
        </w:rPr>
        <w:t>、人才、数据、资金、管</w:t>
      </w:r>
      <w:r>
        <w:rPr>
          <w:rFonts w:ascii="SimSun" w:hAnsi="SimSun" w:eastAsia="SimSun" w:cs="SimSun"/>
          <w:sz w:val="19"/>
          <w:szCs w:val="19"/>
        </w:rPr>
        <w:t xml:space="preserve"> </w:t>
      </w:r>
      <w:r>
        <w:rPr>
          <w:rFonts w:ascii="SimSun" w:hAnsi="SimSun" w:eastAsia="SimSun" w:cs="SimSun"/>
          <w:sz w:val="19"/>
          <w:szCs w:val="19"/>
          <w:spacing w:val="10"/>
        </w:rPr>
        <w:t>理运营和市场应用等方面的优势。监管要抑制平</w:t>
      </w:r>
      <w:r>
        <w:rPr>
          <w:rFonts w:ascii="SimSun" w:hAnsi="SimSun" w:eastAsia="SimSun" w:cs="SimSun"/>
          <w:sz w:val="19"/>
          <w:szCs w:val="19"/>
          <w:spacing w:val="9"/>
        </w:rPr>
        <w:t>台企业通过资本运作</w:t>
      </w:r>
    </w:p>
    <w:p>
      <w:pPr>
        <w:spacing w:line="218" w:lineRule="auto"/>
        <w:rPr>
          <w:rFonts w:ascii="SimSun" w:hAnsi="SimSun" w:eastAsia="SimSun" w:cs="SimSun"/>
          <w:sz w:val="19"/>
          <w:szCs w:val="19"/>
        </w:rPr>
      </w:pPr>
      <w:r>
        <w:rPr>
          <w:rFonts w:ascii="SimSun" w:hAnsi="SimSun" w:eastAsia="SimSun" w:cs="SimSun"/>
          <w:sz w:val="19"/>
          <w:szCs w:val="19"/>
          <w:spacing w:val="16"/>
        </w:rPr>
        <w:t>进行粗放式业务扩张，而更多把精力和资金以及人才技术投入科技</w:t>
      </w:r>
    </w:p>
    <w:p>
      <w:pPr>
        <w:spacing w:line="218" w:lineRule="auto"/>
        <w:sectPr>
          <w:headerReference w:type="default" r:id="rId178"/>
          <w:pgSz w:w="7330" w:h="12480"/>
          <w:pgMar w:top="537" w:right="424" w:bottom="400" w:left="829" w:header="375" w:footer="0" w:gutter="0"/>
        </w:sectPr>
        <w:rPr>
          <w:rFonts w:ascii="SimSun" w:hAnsi="SimSun" w:eastAsia="SimSun" w:cs="SimSun"/>
          <w:sz w:val="19"/>
          <w:szCs w:val="19"/>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right="76"/>
        <w:spacing w:before="69" w:line="303" w:lineRule="auto"/>
        <w:jc w:val="both"/>
        <w:rPr>
          <w:rFonts w:ascii="SimSun" w:hAnsi="SimSun" w:eastAsia="SimSun" w:cs="SimSun"/>
          <w:sz w:val="21"/>
          <w:szCs w:val="21"/>
        </w:rPr>
      </w:pPr>
      <w:r>
        <w:rPr>
          <w:rFonts w:ascii="SimSun" w:hAnsi="SimSun" w:eastAsia="SimSun" w:cs="SimSun"/>
          <w:sz w:val="21"/>
          <w:szCs w:val="21"/>
          <w:spacing w:val="-10"/>
        </w:rPr>
        <w:t>硬实力，尤其是在人工智能、机器人、云基础设施、物联网等</w:t>
      </w:r>
      <w:r>
        <w:rPr>
          <w:rFonts w:ascii="SimSun" w:hAnsi="SimSun" w:eastAsia="SimSun" w:cs="SimSun"/>
          <w:sz w:val="21"/>
          <w:szCs w:val="21"/>
          <w:spacing w:val="-11"/>
        </w:rPr>
        <w:t>未来数</w:t>
      </w:r>
      <w:r>
        <w:rPr>
          <w:rFonts w:ascii="SimSun" w:hAnsi="SimSun" w:eastAsia="SimSun" w:cs="SimSun"/>
          <w:sz w:val="21"/>
          <w:szCs w:val="21"/>
        </w:rPr>
        <w:t xml:space="preserve"> </w:t>
      </w:r>
      <w:r>
        <w:rPr>
          <w:rFonts w:ascii="SimSun" w:hAnsi="SimSun" w:eastAsia="SimSun" w:cs="SimSun"/>
          <w:sz w:val="21"/>
          <w:szCs w:val="21"/>
          <w:spacing w:val="-11"/>
        </w:rPr>
        <w:t>字经济发展的前沿领域进行布局。如果平台企业发展好了，实际上会</w:t>
      </w:r>
      <w:r>
        <w:rPr>
          <w:rFonts w:ascii="SimSun" w:hAnsi="SimSun" w:eastAsia="SimSun" w:cs="SimSun"/>
          <w:sz w:val="21"/>
          <w:szCs w:val="21"/>
          <w:spacing w:val="7"/>
        </w:rPr>
        <w:t xml:space="preserve"> </w:t>
      </w:r>
      <w:r>
        <w:rPr>
          <w:rFonts w:ascii="SimSun" w:hAnsi="SimSun" w:eastAsia="SimSun" w:cs="SimSun"/>
          <w:sz w:val="21"/>
          <w:szCs w:val="21"/>
          <w:spacing w:val="-3"/>
        </w:rPr>
        <w:t>是一个多方面共赢的局面。平台可以在其中获得自己</w:t>
      </w:r>
      <w:r>
        <w:rPr>
          <w:rFonts w:ascii="SimSun" w:hAnsi="SimSun" w:eastAsia="SimSun" w:cs="SimSun"/>
          <w:sz w:val="21"/>
          <w:szCs w:val="21"/>
          <w:spacing w:val="-4"/>
        </w:rPr>
        <w:t>的佣金，用户</w:t>
      </w:r>
      <w:r>
        <w:rPr>
          <w:rFonts w:ascii="SimSun" w:hAnsi="SimSun" w:eastAsia="SimSun" w:cs="SimSun"/>
          <w:sz w:val="21"/>
          <w:szCs w:val="21"/>
        </w:rPr>
        <w:t xml:space="preserve"> </w:t>
      </w:r>
      <w:r>
        <w:rPr>
          <w:rFonts w:ascii="SimSun" w:hAnsi="SimSun" w:eastAsia="SimSun" w:cs="SimSun"/>
          <w:sz w:val="21"/>
          <w:szCs w:val="21"/>
          <w:spacing w:val="-4"/>
        </w:rPr>
        <w:t>可以享受到平台的便利，商家尤其是中小商家或用户可以找到更多</w:t>
      </w:r>
      <w:r>
        <w:rPr>
          <w:rFonts w:ascii="SimSun" w:hAnsi="SimSun" w:eastAsia="SimSun" w:cs="SimSun"/>
          <w:sz w:val="21"/>
          <w:szCs w:val="21"/>
          <w:spacing w:val="14"/>
        </w:rPr>
        <w:t xml:space="preserve"> </w:t>
      </w:r>
      <w:r>
        <w:rPr>
          <w:rFonts w:ascii="SimSun" w:hAnsi="SimSun" w:eastAsia="SimSun" w:cs="SimSun"/>
          <w:sz w:val="21"/>
          <w:szCs w:val="21"/>
          <w:spacing w:val="-4"/>
        </w:rPr>
        <w:t>相对低成本的发挥自己创业实力的场所，而国家也会在平台企业的</w:t>
      </w:r>
      <w:r>
        <w:rPr>
          <w:rFonts w:ascii="SimSun" w:hAnsi="SimSun" w:eastAsia="SimSun" w:cs="SimSun"/>
          <w:sz w:val="21"/>
          <w:szCs w:val="21"/>
          <w:spacing w:val="11"/>
        </w:rPr>
        <w:t xml:space="preserve"> </w:t>
      </w:r>
      <w:r>
        <w:rPr>
          <w:rFonts w:ascii="SimSun" w:hAnsi="SimSun" w:eastAsia="SimSun" w:cs="SimSun"/>
          <w:sz w:val="21"/>
          <w:szCs w:val="21"/>
          <w:spacing w:val="-4"/>
        </w:rPr>
        <w:t>繁盛之中获得发展数字经济的新优势，并且在国际竞争中占据有利</w:t>
      </w:r>
      <w:r>
        <w:rPr>
          <w:rFonts w:ascii="SimSun" w:hAnsi="SimSun" w:eastAsia="SimSun" w:cs="SimSun"/>
          <w:sz w:val="21"/>
          <w:szCs w:val="21"/>
          <w:spacing w:val="10"/>
        </w:rPr>
        <w:t xml:space="preserve"> </w:t>
      </w:r>
      <w:r>
        <w:rPr>
          <w:rFonts w:ascii="SimSun" w:hAnsi="SimSun" w:eastAsia="SimSun" w:cs="SimSun"/>
          <w:sz w:val="21"/>
          <w:szCs w:val="21"/>
          <w:spacing w:val="-9"/>
        </w:rPr>
        <w:t>地位。</w:t>
      </w:r>
    </w:p>
    <w:p>
      <w:pPr>
        <w:pStyle w:val="BodyText"/>
        <w:spacing w:line="362" w:lineRule="auto"/>
        <w:rPr/>
      </w:pPr>
      <w:r/>
    </w:p>
    <w:p>
      <w:pPr>
        <w:ind w:left="1284"/>
        <w:spacing w:before="104" w:line="715" w:lineRule="exact"/>
        <w:rPr>
          <w:rFonts w:ascii="SimSun" w:hAnsi="SimSun" w:eastAsia="SimSun" w:cs="SimSun"/>
          <w:sz w:val="32"/>
          <w:szCs w:val="32"/>
        </w:rPr>
      </w:pPr>
      <w:r>
        <w:rPr>
          <w:rFonts w:ascii="SimSun" w:hAnsi="SimSun" w:eastAsia="SimSun" w:cs="SimSun"/>
          <w:sz w:val="32"/>
          <w:szCs w:val="32"/>
          <w:b/>
          <w:bCs/>
          <w:spacing w:val="-8"/>
          <w:position w:val="30"/>
        </w:rPr>
        <w:t>平台经济展望和政策建议</w:t>
      </w:r>
    </w:p>
    <w:p>
      <w:pPr>
        <w:ind w:left="3"/>
        <w:spacing w:before="1" w:line="220" w:lineRule="auto"/>
        <w:rPr>
          <w:rFonts w:ascii="SimHei" w:hAnsi="SimHei" w:eastAsia="SimHei" w:cs="SimHei"/>
          <w:sz w:val="25"/>
          <w:szCs w:val="25"/>
        </w:rPr>
      </w:pPr>
      <w:r>
        <w:rPr>
          <w:rFonts w:ascii="SimHei" w:hAnsi="SimHei" w:eastAsia="SimHei" w:cs="SimHei"/>
          <w:sz w:val="25"/>
          <w:szCs w:val="25"/>
          <w:b/>
          <w:bCs/>
          <w:spacing w:val="-14"/>
        </w:rPr>
        <w:t>平台经济发展是大国大势所趋</w:t>
      </w:r>
    </w:p>
    <w:p>
      <w:pPr>
        <w:pStyle w:val="BodyText"/>
        <w:spacing w:line="359" w:lineRule="auto"/>
        <w:rPr/>
      </w:pPr>
      <w:r/>
    </w:p>
    <w:p>
      <w:pPr>
        <w:ind w:firstLine="429"/>
        <w:spacing w:before="68" w:line="308" w:lineRule="auto"/>
        <w:jc w:val="both"/>
        <w:rPr>
          <w:rFonts w:ascii="SimSun" w:hAnsi="SimSun" w:eastAsia="SimSun" w:cs="SimSun"/>
          <w:sz w:val="21"/>
          <w:szCs w:val="21"/>
        </w:rPr>
      </w:pPr>
      <w:r>
        <w:rPr>
          <w:rFonts w:ascii="SimSun" w:hAnsi="SimSun" w:eastAsia="SimSun" w:cs="SimSun"/>
          <w:sz w:val="21"/>
          <w:szCs w:val="21"/>
          <w:spacing w:val="-4"/>
        </w:rPr>
        <w:t>数字经济是经济发展的新引擎，平台企业是转型升级的重要力 </w:t>
      </w:r>
      <w:r>
        <w:rPr>
          <w:rFonts w:ascii="SimSun" w:hAnsi="SimSun" w:eastAsia="SimSun" w:cs="SimSun"/>
          <w:sz w:val="21"/>
          <w:szCs w:val="21"/>
          <w:spacing w:val="-11"/>
        </w:rPr>
        <w:t>量，平台经济发展是大国大势所趋。“十四五”规划纲要提出要促进</w:t>
      </w:r>
      <w:r>
        <w:rPr>
          <w:rFonts w:ascii="SimSun" w:hAnsi="SimSun" w:eastAsia="SimSun" w:cs="SimSun"/>
          <w:sz w:val="21"/>
          <w:szCs w:val="21"/>
          <w:spacing w:val="3"/>
        </w:rPr>
        <w:t xml:space="preserve">  </w:t>
      </w:r>
      <w:r>
        <w:rPr>
          <w:rFonts w:ascii="SimSun" w:hAnsi="SimSun" w:eastAsia="SimSun" w:cs="SimSun"/>
          <w:sz w:val="21"/>
          <w:szCs w:val="21"/>
          <w:spacing w:val="-11"/>
        </w:rPr>
        <w:t>共享经济、平台经济健康发展：“健全共享经济、平台经济和新个体</w:t>
      </w:r>
      <w:r>
        <w:rPr>
          <w:rFonts w:ascii="SimSun" w:hAnsi="SimSun" w:eastAsia="SimSun" w:cs="SimSun"/>
          <w:sz w:val="21"/>
          <w:szCs w:val="21"/>
          <w:spacing w:val="3"/>
        </w:rPr>
        <w:t xml:space="preserve">  </w:t>
      </w:r>
      <w:r>
        <w:rPr>
          <w:rFonts w:ascii="SimSun" w:hAnsi="SimSun" w:eastAsia="SimSun" w:cs="SimSun"/>
          <w:sz w:val="21"/>
          <w:szCs w:val="21"/>
          <w:spacing w:val="-11"/>
        </w:rPr>
        <w:t>经济管理规范，清理不合理的行政许可、资质资格事项，支持平台企</w:t>
      </w:r>
      <w:r>
        <w:rPr>
          <w:rFonts w:ascii="SimSun" w:hAnsi="SimSun" w:eastAsia="SimSun" w:cs="SimSun"/>
          <w:sz w:val="21"/>
          <w:szCs w:val="21"/>
          <w:spacing w:val="3"/>
        </w:rPr>
        <w:t xml:space="preserve">  </w:t>
      </w:r>
      <w:r>
        <w:rPr>
          <w:rFonts w:ascii="SimSun" w:hAnsi="SimSun" w:eastAsia="SimSun" w:cs="SimSun"/>
          <w:sz w:val="21"/>
          <w:szCs w:val="21"/>
          <w:spacing w:val="-11"/>
        </w:rPr>
        <w:t>业创新发展、增强国际竞争力。”我们看到发展领先的、大家熟知的</w:t>
      </w:r>
      <w:r>
        <w:rPr>
          <w:rFonts w:ascii="SimSun" w:hAnsi="SimSun" w:eastAsia="SimSun" w:cs="SimSun"/>
          <w:sz w:val="21"/>
          <w:szCs w:val="21"/>
          <w:spacing w:val="7"/>
        </w:rPr>
        <w:t xml:space="preserve">  </w:t>
      </w:r>
      <w:r>
        <w:rPr>
          <w:rFonts w:ascii="SimSun" w:hAnsi="SimSun" w:eastAsia="SimSun" w:cs="SimSun"/>
          <w:sz w:val="21"/>
          <w:szCs w:val="21"/>
          <w:spacing w:val="-11"/>
        </w:rPr>
        <w:t>互联网企业，实际上现在都承担着一个平台的功能，而这些也变成了</w:t>
      </w:r>
      <w:r>
        <w:rPr>
          <w:rFonts w:ascii="SimSun" w:hAnsi="SimSun" w:eastAsia="SimSun" w:cs="SimSun"/>
          <w:sz w:val="21"/>
          <w:szCs w:val="21"/>
          <w:spacing w:val="2"/>
        </w:rPr>
        <w:t xml:space="preserve">  </w:t>
      </w:r>
      <w:r>
        <w:rPr>
          <w:rFonts w:ascii="SimSun" w:hAnsi="SimSun" w:eastAsia="SimSun" w:cs="SimSun"/>
          <w:sz w:val="21"/>
          <w:szCs w:val="21"/>
          <w:spacing w:val="-8"/>
        </w:rPr>
        <w:t>数字经济发展的新引擎以及参与国际竞争的重要力量。相比于美国，</w:t>
      </w:r>
      <w:r>
        <w:rPr>
          <w:rFonts w:ascii="SimSun" w:hAnsi="SimSun" w:eastAsia="SimSun" w:cs="SimSun"/>
          <w:sz w:val="21"/>
          <w:szCs w:val="21"/>
          <w:spacing w:val="13"/>
        </w:rPr>
        <w:t xml:space="preserve"> </w:t>
      </w:r>
      <w:r>
        <w:rPr>
          <w:rFonts w:ascii="SimSun" w:hAnsi="SimSun" w:eastAsia="SimSun" w:cs="SimSun"/>
          <w:sz w:val="21"/>
          <w:szCs w:val="21"/>
          <w:spacing w:val="-11"/>
        </w:rPr>
        <w:t>我国的平台企业倾向于进行跨行业和全领域的布局。这可能是因为我</w:t>
      </w:r>
      <w:r>
        <w:rPr>
          <w:rFonts w:ascii="SimSun" w:hAnsi="SimSun" w:eastAsia="SimSun" w:cs="SimSun"/>
          <w:sz w:val="21"/>
          <w:szCs w:val="21"/>
          <w:spacing w:val="3"/>
        </w:rPr>
        <w:t xml:space="preserve">  </w:t>
      </w:r>
      <w:r>
        <w:rPr>
          <w:rFonts w:ascii="SimSun" w:hAnsi="SimSun" w:eastAsia="SimSun" w:cs="SimSun"/>
          <w:sz w:val="21"/>
          <w:szCs w:val="21"/>
          <w:spacing w:val="-11"/>
        </w:rPr>
        <w:t>们的监管政策相对宽松以及鼓励创新，让我们的平台企业能够不断演</w:t>
      </w:r>
      <w:r>
        <w:rPr>
          <w:rFonts w:ascii="SimSun" w:hAnsi="SimSun" w:eastAsia="SimSun" w:cs="SimSun"/>
          <w:sz w:val="21"/>
          <w:szCs w:val="21"/>
          <w:spacing w:val="5"/>
        </w:rPr>
        <w:t xml:space="preserve">  </w:t>
      </w:r>
      <w:r>
        <w:rPr>
          <w:rFonts w:ascii="SimSun" w:hAnsi="SimSun" w:eastAsia="SimSun" w:cs="SimSun"/>
          <w:sz w:val="21"/>
          <w:szCs w:val="21"/>
          <w:spacing w:val="-11"/>
        </w:rPr>
        <w:t>变，并且不断地把数据积累变成可以为消费者、商家、用户提供便利</w:t>
      </w:r>
      <w:r>
        <w:rPr>
          <w:rFonts w:ascii="SimSun" w:hAnsi="SimSun" w:eastAsia="SimSun" w:cs="SimSun"/>
          <w:sz w:val="21"/>
          <w:szCs w:val="21"/>
          <w:spacing w:val="6"/>
        </w:rPr>
        <w:t xml:space="preserve">  </w:t>
      </w:r>
      <w:r>
        <w:rPr>
          <w:rFonts w:ascii="SimSun" w:hAnsi="SimSun" w:eastAsia="SimSun" w:cs="SimSun"/>
          <w:sz w:val="21"/>
          <w:szCs w:val="21"/>
          <w:spacing w:val="-11"/>
        </w:rPr>
        <w:t>的一个竞争优势。发展平台经济是增加经济增长新动能和提高国际竞</w:t>
      </w:r>
      <w:r>
        <w:rPr>
          <w:rFonts w:ascii="SimSun" w:hAnsi="SimSun" w:eastAsia="SimSun" w:cs="SimSun"/>
          <w:sz w:val="21"/>
          <w:szCs w:val="21"/>
          <w:spacing w:val="4"/>
        </w:rPr>
        <w:t xml:space="preserve">  </w:t>
      </w:r>
      <w:r>
        <w:rPr>
          <w:rFonts w:ascii="SimSun" w:hAnsi="SimSun" w:eastAsia="SimSun" w:cs="SimSun"/>
          <w:sz w:val="21"/>
          <w:szCs w:val="21"/>
          <w:spacing w:val="-14"/>
        </w:rPr>
        <w:t>争力的必由之路。</w:t>
      </w:r>
    </w:p>
    <w:p>
      <w:pPr>
        <w:ind w:right="44" w:firstLine="440"/>
        <w:spacing w:before="109" w:line="284" w:lineRule="auto"/>
        <w:jc w:val="both"/>
        <w:rPr>
          <w:rFonts w:ascii="SimSun" w:hAnsi="SimSun" w:eastAsia="SimSun" w:cs="SimSun"/>
          <w:sz w:val="21"/>
          <w:szCs w:val="21"/>
        </w:rPr>
      </w:pPr>
      <w:r>
        <w:rPr>
          <w:rFonts w:ascii="SimSun" w:hAnsi="SimSun" w:eastAsia="SimSun" w:cs="SimSun"/>
          <w:sz w:val="21"/>
          <w:szCs w:val="21"/>
          <w:spacing w:val="-3"/>
        </w:rPr>
        <w:t>另一方面也要看到，平台企业可以通过对外投资和资本扩张横</w:t>
      </w:r>
      <w:r>
        <w:rPr>
          <w:rFonts w:ascii="SimSun" w:hAnsi="SimSun" w:eastAsia="SimSun" w:cs="SimSun"/>
          <w:sz w:val="21"/>
          <w:szCs w:val="21"/>
        </w:rPr>
        <w:t xml:space="preserve"> </w:t>
      </w:r>
      <w:r>
        <w:rPr>
          <w:rFonts w:ascii="SimSun" w:hAnsi="SimSun" w:eastAsia="SimSun" w:cs="SimSun"/>
          <w:sz w:val="21"/>
          <w:szCs w:val="21"/>
          <w:spacing w:val="-10"/>
        </w:rPr>
        <w:t>跨不同行业领域，考虑到市场势力和用户黏性，监管需要进</w:t>
      </w:r>
      <w:r>
        <w:rPr>
          <w:rFonts w:ascii="SimSun" w:hAnsi="SimSun" w:eastAsia="SimSun" w:cs="SimSun"/>
          <w:sz w:val="21"/>
          <w:szCs w:val="21"/>
          <w:spacing w:val="-11"/>
        </w:rPr>
        <w:t>行通盘考</w:t>
      </w:r>
      <w:r>
        <w:rPr>
          <w:rFonts w:ascii="SimSun" w:hAnsi="SimSun" w:eastAsia="SimSun" w:cs="SimSun"/>
          <w:sz w:val="21"/>
          <w:szCs w:val="21"/>
        </w:rPr>
        <w:t xml:space="preserve"> </w:t>
      </w:r>
      <w:r>
        <w:rPr>
          <w:rFonts w:ascii="SimSun" w:hAnsi="SimSun" w:eastAsia="SimSun" w:cs="SimSun"/>
          <w:sz w:val="21"/>
          <w:szCs w:val="21"/>
          <w:spacing w:val="-10"/>
        </w:rPr>
        <w:t>虑。同时，因为数据资产的积累也达到了前所未有的广度和深度，因</w:t>
      </w:r>
    </w:p>
    <w:p>
      <w:pPr>
        <w:spacing w:line="284" w:lineRule="auto"/>
        <w:sectPr>
          <w:headerReference w:type="default" r:id="rId179"/>
          <w:pgSz w:w="7330" w:h="12480"/>
          <w:pgMar w:top="845" w:right="835" w:bottom="400" w:left="420" w:header="683" w:footer="0" w:gutter="0"/>
        </w:sectPr>
        <w:rPr>
          <w:rFonts w:ascii="SimSun" w:hAnsi="SimSun" w:eastAsia="SimSun" w:cs="SimSun"/>
          <w:sz w:val="21"/>
          <w:szCs w:val="21"/>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129"/>
        <w:spacing w:before="62" w:line="350" w:lineRule="auto"/>
        <w:jc w:val="both"/>
        <w:rPr>
          <w:rFonts w:ascii="SimSun" w:hAnsi="SimSun" w:eastAsia="SimSun" w:cs="SimSun"/>
          <w:sz w:val="19"/>
          <w:szCs w:val="19"/>
        </w:rPr>
      </w:pPr>
      <w:r>
        <w:rPr>
          <w:rFonts w:ascii="SimSun" w:hAnsi="SimSun" w:eastAsia="SimSun" w:cs="SimSun"/>
          <w:sz w:val="19"/>
          <w:szCs w:val="19"/>
          <w:spacing w:val="9"/>
        </w:rPr>
        <w:t>此有必要在保护个人隐私方面做出更多努力。“十四五”规划纲要提</w:t>
      </w:r>
      <w:r>
        <w:rPr>
          <w:rFonts w:ascii="SimSun" w:hAnsi="SimSun" w:eastAsia="SimSun" w:cs="SimSun"/>
          <w:sz w:val="19"/>
          <w:szCs w:val="19"/>
          <w:spacing w:val="17"/>
        </w:rPr>
        <w:t xml:space="preserve"> </w:t>
      </w:r>
      <w:r>
        <w:rPr>
          <w:rFonts w:ascii="SimSun" w:hAnsi="SimSun" w:eastAsia="SimSun" w:cs="SimSun"/>
          <w:sz w:val="19"/>
          <w:szCs w:val="19"/>
          <w:spacing w:val="9"/>
        </w:rPr>
        <w:t>出，要“依法依规加强互联网平台经济监管，明确平台企业定位和监</w:t>
      </w:r>
      <w:r>
        <w:rPr>
          <w:rFonts w:ascii="SimSun" w:hAnsi="SimSun" w:eastAsia="SimSun" w:cs="SimSun"/>
          <w:sz w:val="19"/>
          <w:szCs w:val="19"/>
          <w:spacing w:val="17"/>
        </w:rPr>
        <w:t xml:space="preserve"> </w:t>
      </w:r>
      <w:r>
        <w:rPr>
          <w:rFonts w:ascii="SimSun" w:hAnsi="SimSun" w:eastAsia="SimSun" w:cs="SimSun"/>
          <w:sz w:val="19"/>
          <w:szCs w:val="19"/>
          <w:spacing w:val="10"/>
        </w:rPr>
        <w:t>管规则，完善垄断认定法律规范，打击垄断和不正</w:t>
      </w:r>
      <w:r>
        <w:rPr>
          <w:rFonts w:ascii="SimSun" w:hAnsi="SimSun" w:eastAsia="SimSun" w:cs="SimSun"/>
          <w:sz w:val="19"/>
          <w:szCs w:val="19"/>
          <w:spacing w:val="9"/>
        </w:rPr>
        <w:t>当竞争行为。探索</w:t>
      </w:r>
      <w:r>
        <w:rPr>
          <w:rFonts w:ascii="SimSun" w:hAnsi="SimSun" w:eastAsia="SimSun" w:cs="SimSun"/>
          <w:sz w:val="19"/>
          <w:szCs w:val="19"/>
        </w:rPr>
        <w:t xml:space="preserve"> </w:t>
      </w:r>
      <w:r>
        <w:rPr>
          <w:rFonts w:ascii="SimSun" w:hAnsi="SimSun" w:eastAsia="SimSun" w:cs="SimSun"/>
          <w:sz w:val="19"/>
          <w:szCs w:val="19"/>
          <w:u w:val="single" w:color="auto"/>
          <w:spacing w:val="10"/>
        </w:rPr>
        <w:t>建立</w:t>
      </w:r>
      <w:r>
        <w:rPr>
          <w:rFonts w:ascii="SimSun" w:hAnsi="SimSun" w:eastAsia="SimSun" w:cs="SimSun"/>
          <w:sz w:val="19"/>
          <w:szCs w:val="19"/>
          <w:spacing w:val="10"/>
        </w:rPr>
        <w:t>无人驾驶、在线医疗、金融科技、智能配送等监管</w:t>
      </w:r>
      <w:r>
        <w:rPr>
          <w:rFonts w:ascii="SimSun" w:hAnsi="SimSun" w:eastAsia="SimSun" w:cs="SimSun"/>
          <w:sz w:val="19"/>
          <w:szCs w:val="19"/>
          <w:spacing w:val="9"/>
        </w:rPr>
        <w:t>框架，完善相</w:t>
      </w:r>
    </w:p>
    <w:p>
      <w:pPr>
        <w:spacing w:line="219" w:lineRule="auto"/>
        <w:rPr>
          <w:rFonts w:ascii="SimSun" w:hAnsi="SimSun" w:eastAsia="SimSun" w:cs="SimSun"/>
          <w:sz w:val="19"/>
          <w:szCs w:val="19"/>
        </w:rPr>
      </w:pPr>
      <w:r>
        <w:rPr>
          <w:rFonts w:ascii="SimSun" w:hAnsi="SimSun" w:eastAsia="SimSun" w:cs="SimSun"/>
          <w:sz w:val="19"/>
          <w:szCs w:val="19"/>
          <w:spacing w:val="5"/>
        </w:rPr>
        <w:t>关法律法规和伦理审查规则。健全数字经济统计监测体系”。</w:t>
      </w:r>
    </w:p>
    <w:p>
      <w:pPr>
        <w:ind w:right="70" w:firstLine="429"/>
        <w:spacing w:before="144" w:line="350" w:lineRule="auto"/>
        <w:jc w:val="both"/>
        <w:rPr>
          <w:rFonts w:ascii="SimSun" w:hAnsi="SimSun" w:eastAsia="SimSun" w:cs="SimSun"/>
          <w:sz w:val="19"/>
          <w:szCs w:val="19"/>
        </w:rPr>
      </w:pPr>
      <w:r>
        <w:rPr>
          <w:rFonts w:ascii="SimSun" w:hAnsi="SimSun" w:eastAsia="SimSun" w:cs="SimSun"/>
          <w:sz w:val="19"/>
          <w:szCs w:val="19"/>
          <w:spacing w:val="9"/>
        </w:rPr>
        <w:t>在整个国际竞争合作的大背景之下，监管应该是一种手段而非目</w:t>
      </w:r>
      <w:r>
        <w:rPr>
          <w:rFonts w:ascii="SimSun" w:hAnsi="SimSun" w:eastAsia="SimSun" w:cs="SimSun"/>
          <w:sz w:val="19"/>
          <w:szCs w:val="19"/>
          <w:spacing w:val="13"/>
        </w:rPr>
        <w:t xml:space="preserve"> </w:t>
      </w:r>
      <w:r>
        <w:rPr>
          <w:rFonts w:ascii="SimSun" w:hAnsi="SimSun" w:eastAsia="SimSun" w:cs="SimSun"/>
          <w:sz w:val="19"/>
          <w:szCs w:val="19"/>
          <w:spacing w:val="9"/>
        </w:rPr>
        <w:t>的，要服务于增强我国经济的创新活力以及国际竞争力这一目标。不 </w:t>
      </w:r>
      <w:r>
        <w:rPr>
          <w:rFonts w:ascii="SimSun" w:hAnsi="SimSun" w:eastAsia="SimSun" w:cs="SimSun"/>
          <w:sz w:val="19"/>
          <w:szCs w:val="19"/>
          <w:spacing w:val="9"/>
        </w:rPr>
        <w:t>应该因一个平台做得成功而惩罚它，但也不能因一个平台的成功而阻 </w:t>
      </w:r>
      <w:r>
        <w:rPr>
          <w:rFonts w:ascii="SimSun" w:hAnsi="SimSun" w:eastAsia="SimSun" w:cs="SimSun"/>
          <w:sz w:val="19"/>
          <w:szCs w:val="19"/>
          <w:spacing w:val="9"/>
        </w:rPr>
        <w:t>碍其他新的初创企业的成功。所以监管应更多从鼓励创新、激发一个 </w:t>
      </w:r>
      <w:r>
        <w:rPr>
          <w:rFonts w:ascii="SimSun" w:hAnsi="SimSun" w:eastAsia="SimSun" w:cs="SimSun"/>
          <w:sz w:val="19"/>
          <w:szCs w:val="19"/>
          <w:spacing w:val="12"/>
        </w:rPr>
        <w:t>国家的经济活力、保护竞争、保护消费者和劳动者权</w:t>
      </w:r>
      <w:r>
        <w:rPr>
          <w:rFonts w:ascii="SimSun" w:hAnsi="SimSun" w:eastAsia="SimSun" w:cs="SimSun"/>
          <w:sz w:val="19"/>
          <w:szCs w:val="19"/>
          <w:spacing w:val="11"/>
        </w:rPr>
        <w:t>益的角度出发。</w:t>
      </w:r>
      <w:r>
        <w:rPr>
          <w:rFonts w:ascii="SimSun" w:hAnsi="SimSun" w:eastAsia="SimSun" w:cs="SimSun"/>
          <w:sz w:val="19"/>
          <w:szCs w:val="19"/>
        </w:rPr>
        <w:t xml:space="preserve"> </w:t>
      </w:r>
      <w:r>
        <w:rPr>
          <w:rFonts w:ascii="SimSun" w:hAnsi="SimSun" w:eastAsia="SimSun" w:cs="SimSun"/>
          <w:sz w:val="19"/>
          <w:szCs w:val="19"/>
          <w:spacing w:val="9"/>
        </w:rPr>
        <w:t>为整个数字经济保驾护航，监管起到非常关键的作用。监管本身也不 </w:t>
      </w:r>
      <w:r>
        <w:rPr>
          <w:rFonts w:ascii="SimSun" w:hAnsi="SimSun" w:eastAsia="SimSun" w:cs="SimSun"/>
          <w:sz w:val="19"/>
          <w:szCs w:val="19"/>
          <w:spacing w:val="9"/>
        </w:rPr>
        <w:t>是为了限制或者打压平台企业的发展，而是希望在一个新的监管环境 </w:t>
      </w:r>
      <w:r>
        <w:rPr>
          <w:rFonts w:ascii="SimSun" w:hAnsi="SimSun" w:eastAsia="SimSun" w:cs="SimSun"/>
          <w:sz w:val="19"/>
          <w:szCs w:val="19"/>
          <w:spacing w:val="10"/>
        </w:rPr>
        <w:t>中，保障平台企业和平台经济更加可持续地</w:t>
      </w:r>
      <w:r>
        <w:rPr>
          <w:rFonts w:ascii="SimSun" w:hAnsi="SimSun" w:eastAsia="SimSun" w:cs="SimSun"/>
          <w:sz w:val="19"/>
          <w:szCs w:val="19"/>
          <w:spacing w:val="9"/>
        </w:rPr>
        <w:t>为社会、为经济、为人民</w:t>
      </w:r>
    </w:p>
    <w:p>
      <w:pPr>
        <w:spacing w:line="220" w:lineRule="auto"/>
        <w:rPr>
          <w:rFonts w:ascii="SimSun" w:hAnsi="SimSun" w:eastAsia="SimSun" w:cs="SimSun"/>
          <w:sz w:val="19"/>
          <w:szCs w:val="19"/>
        </w:rPr>
      </w:pPr>
      <w:r>
        <w:rPr>
          <w:rFonts w:ascii="SimSun" w:hAnsi="SimSun" w:eastAsia="SimSun" w:cs="SimSun"/>
          <w:sz w:val="19"/>
          <w:szCs w:val="19"/>
          <w:spacing w:val="5"/>
        </w:rPr>
        <w:t>创造福利。</w:t>
      </w:r>
    </w:p>
    <w:p>
      <w:pPr>
        <w:pStyle w:val="BodyText"/>
        <w:spacing w:line="421" w:lineRule="auto"/>
        <w:rPr/>
      </w:pPr>
      <w:r/>
    </w:p>
    <w:p>
      <w:pPr>
        <w:ind w:left="3"/>
        <w:spacing w:before="74" w:line="222" w:lineRule="auto"/>
        <w:rPr>
          <w:rFonts w:ascii="SimHei" w:hAnsi="SimHei" w:eastAsia="SimHei" w:cs="SimHei"/>
          <w:sz w:val="23"/>
          <w:szCs w:val="23"/>
        </w:rPr>
      </w:pPr>
      <w:r>
        <w:rPr>
          <w:rFonts w:ascii="SimHei" w:hAnsi="SimHei" w:eastAsia="SimHei" w:cs="SimHei"/>
          <w:sz w:val="23"/>
          <w:szCs w:val="23"/>
          <w:b/>
          <w:bCs/>
          <w:spacing w:val="7"/>
        </w:rPr>
        <w:t>平台跨行业布局要求反垄断监管与时俱进</w:t>
      </w:r>
    </w:p>
    <w:p>
      <w:pPr>
        <w:pStyle w:val="BodyText"/>
        <w:spacing w:line="362" w:lineRule="auto"/>
        <w:rPr/>
      </w:pPr>
      <w:r/>
    </w:p>
    <w:p>
      <w:pPr>
        <w:ind w:firstLine="480"/>
        <w:spacing w:before="61" w:line="350" w:lineRule="auto"/>
        <w:jc w:val="both"/>
        <w:rPr>
          <w:rFonts w:ascii="SimSun" w:hAnsi="SimSun" w:eastAsia="SimSun" w:cs="SimSun"/>
          <w:sz w:val="19"/>
          <w:szCs w:val="19"/>
        </w:rPr>
      </w:pPr>
      <w:r>
        <w:rPr>
          <w:rFonts w:ascii="SimSun" w:hAnsi="SimSun" w:eastAsia="SimSun" w:cs="SimSun"/>
          <w:sz w:val="19"/>
          <w:szCs w:val="19"/>
          <w:spacing w:val="11"/>
        </w:rPr>
        <w:t>当平台性质和企业边界发生变化时，市场界定也应该与时俱进。</w:t>
      </w:r>
      <w:r>
        <w:rPr>
          <w:rFonts w:ascii="SimSun" w:hAnsi="SimSun" w:eastAsia="SimSun" w:cs="SimSun"/>
          <w:sz w:val="19"/>
          <w:szCs w:val="19"/>
          <w:spacing w:val="16"/>
        </w:rPr>
        <w:t xml:space="preserve"> </w:t>
      </w:r>
      <w:r>
        <w:rPr>
          <w:rFonts w:ascii="SimSun" w:hAnsi="SimSun" w:eastAsia="SimSun" w:cs="SimSun"/>
          <w:sz w:val="19"/>
          <w:szCs w:val="19"/>
          <w:spacing w:val="10"/>
        </w:rPr>
        <w:t>在中美的比较之中，我们能够非常清晰地看到大平台企</w:t>
      </w:r>
      <w:r>
        <w:rPr>
          <w:rFonts w:ascii="SimSun" w:hAnsi="SimSun" w:eastAsia="SimSun" w:cs="SimSun"/>
          <w:sz w:val="19"/>
          <w:szCs w:val="19"/>
          <w:spacing w:val="9"/>
        </w:rPr>
        <w:t>业已经渗透和</w:t>
      </w:r>
      <w:r>
        <w:rPr>
          <w:rFonts w:ascii="SimSun" w:hAnsi="SimSun" w:eastAsia="SimSun" w:cs="SimSun"/>
          <w:sz w:val="19"/>
          <w:szCs w:val="19"/>
        </w:rPr>
        <w:t xml:space="preserve">  </w:t>
      </w:r>
      <w:r>
        <w:rPr>
          <w:rFonts w:ascii="SimSun" w:hAnsi="SimSun" w:eastAsia="SimSun" w:cs="SimSun"/>
          <w:sz w:val="19"/>
          <w:szCs w:val="19"/>
          <w:spacing w:val="16"/>
        </w:rPr>
        <w:t>深入日常生活工作的各个方面。平台企业通过对外投资和资本扩张</w:t>
      </w:r>
      <w:r>
        <w:rPr>
          <w:rFonts w:ascii="SimSun" w:hAnsi="SimSun" w:eastAsia="SimSun" w:cs="SimSun"/>
          <w:sz w:val="19"/>
          <w:szCs w:val="19"/>
          <w:spacing w:val="6"/>
        </w:rPr>
        <w:t xml:space="preserve">  </w:t>
      </w:r>
      <w:r>
        <w:rPr>
          <w:rFonts w:ascii="SimSun" w:hAnsi="SimSun" w:eastAsia="SimSun" w:cs="SimSun"/>
          <w:sz w:val="19"/>
          <w:szCs w:val="19"/>
          <w:spacing w:val="10"/>
        </w:rPr>
        <w:t>横跨不同行业领域，单一的市场界定已经不能满足监管的需求，我们</w:t>
      </w:r>
      <w:r>
        <w:rPr>
          <w:rFonts w:ascii="SimSun" w:hAnsi="SimSun" w:eastAsia="SimSun" w:cs="SimSun"/>
          <w:sz w:val="19"/>
          <w:szCs w:val="19"/>
          <w:spacing w:val="6"/>
        </w:rPr>
        <w:t xml:space="preserve">  </w:t>
      </w:r>
      <w:r>
        <w:rPr>
          <w:rFonts w:ascii="SimSun" w:hAnsi="SimSun" w:eastAsia="SimSun" w:cs="SimSun"/>
          <w:sz w:val="19"/>
          <w:szCs w:val="19"/>
          <w:spacing w:val="9"/>
        </w:rPr>
        <w:t>需要通盘考虑平台的市场势力。同时，这一跨行业布局要求我们重新</w:t>
      </w:r>
      <w:r>
        <w:rPr>
          <w:rFonts w:ascii="SimSun" w:hAnsi="SimSun" w:eastAsia="SimSun" w:cs="SimSun"/>
          <w:sz w:val="19"/>
          <w:szCs w:val="19"/>
          <w:spacing w:val="8"/>
        </w:rPr>
        <w:t xml:space="preserve">  </w:t>
      </w:r>
      <w:r>
        <w:rPr>
          <w:rFonts w:ascii="SimSun" w:hAnsi="SimSun" w:eastAsia="SimSun" w:cs="SimSun"/>
          <w:sz w:val="19"/>
          <w:szCs w:val="19"/>
          <w:spacing w:val="16"/>
        </w:rPr>
        <w:t>思考市场可竞争性的度量：每个细分行业领域都会有两到三个头部</w:t>
      </w:r>
      <w:r>
        <w:rPr>
          <w:rFonts w:ascii="SimSun" w:hAnsi="SimSun" w:eastAsia="SimSun" w:cs="SimSun"/>
          <w:sz w:val="19"/>
          <w:szCs w:val="19"/>
          <w:spacing w:val="7"/>
        </w:rPr>
        <w:t xml:space="preserve">  </w:t>
      </w:r>
      <w:r>
        <w:rPr>
          <w:rFonts w:ascii="SimSun" w:hAnsi="SimSun" w:eastAsia="SimSun" w:cs="SimSun"/>
          <w:sz w:val="19"/>
          <w:szCs w:val="19"/>
          <w:spacing w:val="16"/>
        </w:rPr>
        <w:t>企业的布局，可竞争性是相对较强的。可竞争性也不仅仅是一个截</w:t>
      </w:r>
      <w:r>
        <w:rPr>
          <w:rFonts w:ascii="SimSun" w:hAnsi="SimSun" w:eastAsia="SimSun" w:cs="SimSun"/>
          <w:sz w:val="19"/>
          <w:szCs w:val="19"/>
          <w:spacing w:val="6"/>
        </w:rPr>
        <w:t xml:space="preserve">  </w:t>
      </w:r>
      <w:r>
        <w:rPr>
          <w:rFonts w:ascii="SimSun" w:hAnsi="SimSun" w:eastAsia="SimSun" w:cs="SimSun"/>
          <w:sz w:val="19"/>
          <w:szCs w:val="19"/>
          <w:spacing w:val="16"/>
        </w:rPr>
        <w:t>面上的情况，还要考虑到随着时间的演变，新技术新企业会不断地</w:t>
      </w:r>
      <w:r>
        <w:rPr>
          <w:rFonts w:ascii="SimSun" w:hAnsi="SimSun" w:eastAsia="SimSun" w:cs="SimSun"/>
          <w:sz w:val="19"/>
          <w:szCs w:val="19"/>
          <w:spacing w:val="6"/>
        </w:rPr>
        <w:t xml:space="preserve">  </w:t>
      </w:r>
      <w:r>
        <w:rPr>
          <w:rFonts w:ascii="SimSun" w:hAnsi="SimSun" w:eastAsia="SimSun" w:cs="SimSun"/>
          <w:sz w:val="19"/>
          <w:szCs w:val="19"/>
          <w:spacing w:val="17"/>
        </w:rPr>
        <w:t>涌现。反垄断政策应当保障这些初创企业具</w:t>
      </w:r>
      <w:r>
        <w:rPr>
          <w:rFonts w:ascii="SimSun" w:hAnsi="SimSun" w:eastAsia="SimSun" w:cs="SimSun"/>
          <w:sz w:val="19"/>
          <w:szCs w:val="19"/>
          <w:spacing w:val="16"/>
        </w:rPr>
        <w:t>备活力以及长远发展的</w:t>
      </w:r>
    </w:p>
    <w:p>
      <w:pPr>
        <w:spacing w:before="1" w:line="220" w:lineRule="auto"/>
        <w:rPr>
          <w:rFonts w:ascii="SimSun" w:hAnsi="SimSun" w:eastAsia="SimSun" w:cs="SimSun"/>
          <w:sz w:val="19"/>
          <w:szCs w:val="19"/>
        </w:rPr>
      </w:pPr>
      <w:r>
        <w:rPr>
          <w:rFonts w:ascii="SimSun" w:hAnsi="SimSun" w:eastAsia="SimSun" w:cs="SimSun"/>
          <w:sz w:val="19"/>
          <w:szCs w:val="19"/>
          <w:spacing w:val="3"/>
        </w:rPr>
        <w:t>可能性。</w:t>
      </w:r>
    </w:p>
    <w:p>
      <w:pPr>
        <w:spacing w:line="220" w:lineRule="auto"/>
        <w:sectPr>
          <w:headerReference w:type="default" r:id="rId180"/>
          <w:pgSz w:w="7330" w:h="12480"/>
          <w:pgMar w:top="557" w:right="544" w:bottom="400" w:left="659" w:header="395" w:footer="0" w:gutter="0"/>
        </w:sectPr>
        <w:rPr>
          <w:rFonts w:ascii="SimSun" w:hAnsi="SimSun" w:eastAsia="SimSun" w:cs="SimSun"/>
          <w:sz w:val="19"/>
          <w:szCs w:val="19"/>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right="51" w:firstLine="390"/>
        <w:spacing w:before="62" w:line="350" w:lineRule="auto"/>
        <w:jc w:val="both"/>
        <w:rPr>
          <w:rFonts w:ascii="SimSun" w:hAnsi="SimSun" w:eastAsia="SimSun" w:cs="SimSun"/>
          <w:sz w:val="19"/>
          <w:szCs w:val="19"/>
        </w:rPr>
      </w:pPr>
      <w:r>
        <w:rPr>
          <w:rFonts w:ascii="SimSun" w:hAnsi="SimSun" w:eastAsia="SimSun" w:cs="SimSun"/>
          <w:sz w:val="19"/>
          <w:szCs w:val="19"/>
          <w:spacing w:val="17"/>
        </w:rPr>
        <w:t>健全监管机制才能保障平台经济健康规范发展。从经济学视角</w:t>
      </w:r>
      <w:r>
        <w:rPr>
          <w:rFonts w:ascii="SimSun" w:hAnsi="SimSun" w:eastAsia="SimSun" w:cs="SimSun"/>
          <w:sz w:val="19"/>
          <w:szCs w:val="19"/>
          <w:spacing w:val="13"/>
        </w:rPr>
        <w:t xml:space="preserve"> </w:t>
      </w:r>
      <w:r>
        <w:rPr>
          <w:rFonts w:ascii="SimSun" w:hAnsi="SimSun" w:eastAsia="SimSun" w:cs="SimSun"/>
          <w:sz w:val="19"/>
          <w:szCs w:val="19"/>
          <w:spacing w:val="9"/>
        </w:rPr>
        <w:t>来看，如果想让监管在世界范围内具有示范作用或占据领先地位，衡</w:t>
      </w:r>
      <w:r>
        <w:rPr>
          <w:rFonts w:ascii="SimSun" w:hAnsi="SimSun" w:eastAsia="SimSun" w:cs="SimSun"/>
          <w:sz w:val="19"/>
          <w:szCs w:val="19"/>
          <w:spacing w:val="7"/>
        </w:rPr>
        <w:t xml:space="preserve"> </w:t>
      </w:r>
      <w:r>
        <w:rPr>
          <w:rFonts w:ascii="SimSun" w:hAnsi="SimSun" w:eastAsia="SimSun" w:cs="SimSun"/>
          <w:sz w:val="19"/>
          <w:szCs w:val="19"/>
          <w:spacing w:val="9"/>
        </w:rPr>
        <w:t>量的标准不应该是监管有多严或者限制有多强，而应该在于监管的行</w:t>
      </w:r>
      <w:r>
        <w:rPr>
          <w:rFonts w:ascii="SimSun" w:hAnsi="SimSun" w:eastAsia="SimSun" w:cs="SimSun"/>
          <w:sz w:val="19"/>
          <w:szCs w:val="19"/>
          <w:spacing w:val="8"/>
        </w:rPr>
        <w:t xml:space="preserve"> </w:t>
      </w:r>
      <w:r>
        <w:rPr>
          <w:rFonts w:ascii="SimSun" w:hAnsi="SimSun" w:eastAsia="SimSun" w:cs="SimSun"/>
          <w:sz w:val="19"/>
          <w:szCs w:val="19"/>
          <w:spacing w:val="16"/>
        </w:rPr>
        <w:t>业是否已经成了一个非常强大的行业或者在世界上能否占据领先地</w:t>
      </w:r>
      <w:r>
        <w:rPr>
          <w:rFonts w:ascii="SimSun" w:hAnsi="SimSun" w:eastAsia="SimSun" w:cs="SimSun"/>
          <w:sz w:val="19"/>
          <w:szCs w:val="19"/>
          <w:spacing w:val="2"/>
        </w:rPr>
        <w:t xml:space="preserve"> </w:t>
      </w:r>
      <w:r>
        <w:rPr>
          <w:rFonts w:ascii="SimSun" w:hAnsi="SimSun" w:eastAsia="SimSun" w:cs="SimSun"/>
          <w:sz w:val="19"/>
          <w:szCs w:val="19"/>
          <w:spacing w:val="9"/>
        </w:rPr>
        <w:t>位。我们看到欧洲至少目前没有特别强大的数字平台，实际上有可能</w:t>
      </w:r>
      <w:r>
        <w:rPr>
          <w:rFonts w:ascii="SimSun" w:hAnsi="SimSun" w:eastAsia="SimSun" w:cs="SimSun"/>
          <w:sz w:val="19"/>
          <w:szCs w:val="19"/>
          <w:spacing w:val="8"/>
        </w:rPr>
        <w:t xml:space="preserve"> </w:t>
      </w:r>
      <w:r>
        <w:rPr>
          <w:rFonts w:ascii="SimSun" w:hAnsi="SimSun" w:eastAsia="SimSun" w:cs="SimSun"/>
          <w:sz w:val="19"/>
          <w:szCs w:val="19"/>
          <w:spacing w:val="9"/>
        </w:rPr>
        <w:t>是监管太严带来的负面作用打击了这一行业。这个行业里虽然大家都</w:t>
      </w:r>
      <w:r>
        <w:rPr>
          <w:rFonts w:ascii="SimSun" w:hAnsi="SimSun" w:eastAsia="SimSun" w:cs="SimSun"/>
          <w:sz w:val="19"/>
          <w:szCs w:val="19"/>
          <w:spacing w:val="7"/>
        </w:rPr>
        <w:t xml:space="preserve"> </w:t>
      </w:r>
      <w:r>
        <w:rPr>
          <w:rFonts w:ascii="SimSun" w:hAnsi="SimSun" w:eastAsia="SimSun" w:cs="SimSun"/>
          <w:sz w:val="19"/>
          <w:szCs w:val="19"/>
          <w:spacing w:val="9"/>
        </w:rPr>
        <w:t>不具备垄断地位，但是谁也不具备行业市场上的优势，这样在国际竞</w:t>
      </w:r>
      <w:r>
        <w:rPr>
          <w:rFonts w:ascii="SimSun" w:hAnsi="SimSun" w:eastAsia="SimSun" w:cs="SimSun"/>
          <w:sz w:val="19"/>
          <w:szCs w:val="19"/>
          <w:spacing w:val="8"/>
        </w:rPr>
        <w:t xml:space="preserve"> </w:t>
      </w:r>
      <w:r>
        <w:rPr>
          <w:rFonts w:ascii="SimSun" w:hAnsi="SimSun" w:eastAsia="SimSun" w:cs="SimSun"/>
          <w:sz w:val="19"/>
          <w:szCs w:val="19"/>
          <w:spacing w:val="9"/>
        </w:rPr>
        <w:t>争中可能会处于一定的劣势。因此从经济学的视角来看，监管更像治</w:t>
      </w:r>
      <w:r>
        <w:rPr>
          <w:rFonts w:ascii="SimSun" w:hAnsi="SimSun" w:eastAsia="SimSun" w:cs="SimSun"/>
          <w:sz w:val="19"/>
          <w:szCs w:val="19"/>
          <w:spacing w:val="15"/>
        </w:rPr>
        <w:t xml:space="preserve"> </w:t>
      </w:r>
      <w:r>
        <w:rPr>
          <w:rFonts w:ascii="SimSun" w:hAnsi="SimSun" w:eastAsia="SimSun" w:cs="SimSun"/>
          <w:sz w:val="19"/>
          <w:szCs w:val="19"/>
          <w:spacing w:val="9"/>
        </w:rPr>
        <w:t>病救人，不应进行非常强力的监管来让大型平台不敢轻举妄动，而应</w:t>
      </w:r>
      <w:r>
        <w:rPr>
          <w:rFonts w:ascii="SimSun" w:hAnsi="SimSun" w:eastAsia="SimSun" w:cs="SimSun"/>
          <w:sz w:val="19"/>
          <w:szCs w:val="19"/>
          <w:spacing w:val="7"/>
        </w:rPr>
        <w:t xml:space="preserve"> </w:t>
      </w:r>
      <w:r>
        <w:rPr>
          <w:rFonts w:ascii="SimSun" w:hAnsi="SimSun" w:eastAsia="SimSun" w:cs="SimSun"/>
          <w:sz w:val="19"/>
          <w:szCs w:val="19"/>
          <w:spacing w:val="16"/>
        </w:rPr>
        <w:t>帮助大型平台更好地发挥它本来具备的优势，在约束不当行为的同</w:t>
      </w:r>
      <w:r>
        <w:rPr>
          <w:rFonts w:ascii="SimSun" w:hAnsi="SimSun" w:eastAsia="SimSun" w:cs="SimSun"/>
          <w:sz w:val="19"/>
          <w:szCs w:val="19"/>
          <w:spacing w:val="12"/>
        </w:rPr>
        <w:t xml:space="preserve"> </w:t>
      </w:r>
      <w:r>
        <w:rPr>
          <w:rFonts w:ascii="SimSun" w:hAnsi="SimSun" w:eastAsia="SimSun" w:cs="SimSun"/>
          <w:sz w:val="19"/>
          <w:szCs w:val="19"/>
          <w:spacing w:val="9"/>
        </w:rPr>
        <w:t>时，鼓励平台朝着更好的方向、增强技术实力的方向去发展。未来对</w:t>
      </w:r>
      <w:r>
        <w:rPr>
          <w:rFonts w:ascii="SimSun" w:hAnsi="SimSun" w:eastAsia="SimSun" w:cs="SimSun"/>
          <w:sz w:val="19"/>
          <w:szCs w:val="19"/>
          <w:spacing w:val="7"/>
        </w:rPr>
        <w:t xml:space="preserve"> </w:t>
      </w:r>
      <w:r>
        <w:rPr>
          <w:rFonts w:ascii="SimSun" w:hAnsi="SimSun" w:eastAsia="SimSun" w:cs="SimSun"/>
          <w:sz w:val="19"/>
          <w:szCs w:val="19"/>
          <w:spacing w:val="16"/>
        </w:rPr>
        <w:t>于平台企业和数字经济的监管都应该朝着把企业和经济做大做强的</w:t>
      </w:r>
    </w:p>
    <w:p>
      <w:pPr>
        <w:spacing w:line="220" w:lineRule="auto"/>
        <w:rPr>
          <w:rFonts w:ascii="SimSun" w:hAnsi="SimSun" w:eastAsia="SimSun" w:cs="SimSun"/>
          <w:sz w:val="19"/>
          <w:szCs w:val="19"/>
        </w:rPr>
      </w:pPr>
      <w:r>
        <w:rPr>
          <w:rFonts w:ascii="SimSun" w:hAnsi="SimSun" w:eastAsia="SimSun" w:cs="SimSun"/>
          <w:sz w:val="19"/>
          <w:szCs w:val="19"/>
          <w:spacing w:val="1"/>
        </w:rPr>
        <w:t>方向走。</w:t>
      </w:r>
    </w:p>
    <w:p>
      <w:pPr>
        <w:pStyle w:val="BodyText"/>
        <w:spacing w:line="434" w:lineRule="auto"/>
        <w:rPr/>
      </w:pPr>
      <w:r/>
    </w:p>
    <w:p>
      <w:pPr>
        <w:ind w:left="3"/>
        <w:spacing w:before="71" w:line="213" w:lineRule="auto"/>
        <w:rPr>
          <w:rFonts w:ascii="SimHei" w:hAnsi="SimHei" w:eastAsia="SimHei" w:cs="SimHei"/>
          <w:sz w:val="22"/>
          <w:szCs w:val="22"/>
        </w:rPr>
      </w:pPr>
      <w:r>
        <w:rPr>
          <w:rFonts w:ascii="SimHei" w:hAnsi="SimHei" w:eastAsia="SimHei" w:cs="SimHei"/>
          <w:sz w:val="22"/>
          <w:szCs w:val="22"/>
          <w:b/>
          <w:bCs/>
          <w:spacing w:val="16"/>
        </w:rPr>
        <w:t>鼓励平台的科技创新，抑制资本扩张和兼并</w:t>
      </w:r>
    </w:p>
    <w:p>
      <w:pPr>
        <w:pStyle w:val="BodyText"/>
        <w:spacing w:line="384" w:lineRule="auto"/>
        <w:rPr/>
      </w:pPr>
      <w:r/>
    </w:p>
    <w:p>
      <w:pPr>
        <w:ind w:right="63" w:firstLine="390"/>
        <w:spacing w:before="62" w:line="350" w:lineRule="auto"/>
        <w:jc w:val="both"/>
        <w:rPr>
          <w:rFonts w:ascii="SimSun" w:hAnsi="SimSun" w:eastAsia="SimSun" w:cs="SimSun"/>
          <w:sz w:val="19"/>
          <w:szCs w:val="19"/>
        </w:rPr>
      </w:pPr>
      <w:r>
        <w:rPr>
          <w:rFonts w:ascii="SimSun" w:hAnsi="SimSun" w:eastAsia="SimSun" w:cs="SimSun"/>
          <w:sz w:val="19"/>
          <w:szCs w:val="19"/>
          <w:spacing w:val="9"/>
        </w:rPr>
        <w:t>从科技创新的角度来看，平台企业的发展布局需要紧跟国家的战</w:t>
      </w:r>
      <w:r>
        <w:rPr>
          <w:rFonts w:ascii="SimSun" w:hAnsi="SimSun" w:eastAsia="SimSun" w:cs="SimSun"/>
          <w:sz w:val="19"/>
          <w:szCs w:val="19"/>
          <w:spacing w:val="18"/>
        </w:rPr>
        <w:t xml:space="preserve"> </w:t>
      </w:r>
      <w:r>
        <w:rPr>
          <w:rFonts w:ascii="SimSun" w:hAnsi="SimSun" w:eastAsia="SimSun" w:cs="SimSun"/>
          <w:sz w:val="19"/>
          <w:szCs w:val="19"/>
          <w:spacing w:val="9"/>
        </w:rPr>
        <w:t>略蓝图，在科技创新上多下功夫。尤其是平台在数据的积累、用户触 </w:t>
      </w:r>
      <w:r>
        <w:rPr>
          <w:rFonts w:ascii="SimSun" w:hAnsi="SimSun" w:eastAsia="SimSun" w:cs="SimSun"/>
          <w:sz w:val="19"/>
          <w:szCs w:val="19"/>
          <w:spacing w:val="9"/>
        </w:rPr>
        <w:t>及的广度和深度，以及应用场景、运营管理上都有相当优势，可以跟</w:t>
      </w:r>
      <w:r>
        <w:rPr>
          <w:rFonts w:ascii="SimSun" w:hAnsi="SimSun" w:eastAsia="SimSun" w:cs="SimSun"/>
          <w:sz w:val="19"/>
          <w:szCs w:val="19"/>
          <w:spacing w:val="7"/>
        </w:rPr>
        <w:t xml:space="preserve"> </w:t>
      </w:r>
      <w:r>
        <w:rPr>
          <w:rFonts w:ascii="SimSun" w:hAnsi="SimSun" w:eastAsia="SimSun" w:cs="SimSun"/>
          <w:sz w:val="19"/>
          <w:szCs w:val="19"/>
          <w:spacing w:val="9"/>
        </w:rPr>
        <w:t>国家战略进行很好的结合。不要把数字经济发展的大势变成依赖资本</w:t>
      </w:r>
    </w:p>
    <w:p>
      <w:pPr>
        <w:spacing w:line="219" w:lineRule="auto"/>
        <w:rPr>
          <w:rFonts w:ascii="SimSun" w:hAnsi="SimSun" w:eastAsia="SimSun" w:cs="SimSun"/>
          <w:sz w:val="19"/>
          <w:szCs w:val="19"/>
        </w:rPr>
      </w:pPr>
      <w:r>
        <w:rPr>
          <w:rFonts w:ascii="SimSun" w:hAnsi="SimSun" w:eastAsia="SimSun" w:cs="SimSun"/>
          <w:sz w:val="19"/>
          <w:szCs w:val="19"/>
          <w:spacing w:val="5"/>
        </w:rPr>
        <w:t>争夺蛋糕的零和游戏。</w:t>
      </w:r>
    </w:p>
    <w:p>
      <w:pPr>
        <w:ind w:firstLine="390"/>
        <w:spacing w:before="132" w:line="350" w:lineRule="auto"/>
        <w:jc w:val="both"/>
        <w:rPr>
          <w:rFonts w:ascii="SimSun" w:hAnsi="SimSun" w:eastAsia="SimSun" w:cs="SimSun"/>
          <w:sz w:val="19"/>
          <w:szCs w:val="19"/>
        </w:rPr>
      </w:pPr>
      <w:r>
        <w:rPr>
          <w:rFonts w:ascii="SimSun" w:hAnsi="SimSun" w:eastAsia="SimSun" w:cs="SimSun"/>
          <w:sz w:val="19"/>
          <w:szCs w:val="19"/>
          <w:spacing w:val="9"/>
        </w:rPr>
        <w:t>刘鹤副总理在《人民日报》上谈学习贯彻党的十九届六中全会</w:t>
      </w:r>
      <w:r>
        <w:rPr>
          <w:rFonts w:ascii="SimSun" w:hAnsi="SimSun" w:eastAsia="SimSun" w:cs="SimSun"/>
          <w:sz w:val="19"/>
          <w:szCs w:val="19"/>
          <w:spacing w:val="8"/>
        </w:rPr>
        <w:t>精 </w:t>
      </w:r>
      <w:r>
        <w:rPr>
          <w:rFonts w:ascii="SimSun" w:hAnsi="SimSun" w:eastAsia="SimSun" w:cs="SimSun"/>
          <w:sz w:val="19"/>
          <w:szCs w:val="19"/>
          <w:spacing w:val="11"/>
        </w:rPr>
        <w:t>神时强调必须实现高质量发展，其中有三句话与平台经济密切相关：</w:t>
      </w:r>
      <w:r>
        <w:rPr>
          <w:rFonts w:ascii="SimSun" w:hAnsi="SimSun" w:eastAsia="SimSun" w:cs="SimSun"/>
          <w:sz w:val="19"/>
          <w:szCs w:val="19"/>
          <w:spacing w:val="14"/>
        </w:rPr>
        <w:t xml:space="preserve"> </w:t>
      </w:r>
      <w:r>
        <w:rPr>
          <w:rFonts w:ascii="SimSun" w:hAnsi="SimSun" w:eastAsia="SimSun" w:cs="SimSun"/>
          <w:sz w:val="19"/>
          <w:szCs w:val="19"/>
          <w:spacing w:val="9"/>
        </w:rPr>
        <w:t>一是“强化市场监管和反垄断规制，防止资本无</w:t>
      </w:r>
      <w:r>
        <w:rPr>
          <w:rFonts w:ascii="SimSun" w:hAnsi="SimSun" w:eastAsia="SimSun" w:cs="SimSun"/>
          <w:sz w:val="19"/>
          <w:szCs w:val="19"/>
          <w:spacing w:val="8"/>
        </w:rPr>
        <w:t>序扩张，维护市场秩 </w:t>
      </w:r>
      <w:r>
        <w:rPr>
          <w:rFonts w:ascii="SimSun" w:hAnsi="SimSun" w:eastAsia="SimSun" w:cs="SimSun"/>
          <w:sz w:val="19"/>
          <w:szCs w:val="19"/>
          <w:spacing w:val="12"/>
        </w:rPr>
        <w:t>序，引导资本要素有序健康发展”;二是“适应新经</w:t>
      </w:r>
      <w:r>
        <w:rPr>
          <w:rFonts w:ascii="SimSun" w:hAnsi="SimSun" w:eastAsia="SimSun" w:cs="SimSun"/>
          <w:sz w:val="19"/>
          <w:szCs w:val="19"/>
          <w:spacing w:val="11"/>
        </w:rPr>
        <w:t>济发展趋势，既 </w:t>
      </w:r>
      <w:r>
        <w:rPr>
          <w:rFonts w:ascii="SimSun" w:hAnsi="SimSun" w:eastAsia="SimSun" w:cs="SimSun"/>
          <w:sz w:val="19"/>
          <w:szCs w:val="19"/>
          <w:spacing w:val="9"/>
        </w:rPr>
        <w:t>加强对平台经济的监管，又要鼓励平台经济创新，培育有一流国际竞</w:t>
      </w:r>
    </w:p>
    <w:p>
      <w:pPr>
        <w:spacing w:before="1" w:line="218" w:lineRule="auto"/>
        <w:rPr>
          <w:rFonts w:ascii="SimSun" w:hAnsi="SimSun" w:eastAsia="SimSun" w:cs="SimSun"/>
          <w:sz w:val="19"/>
          <w:szCs w:val="19"/>
        </w:rPr>
      </w:pPr>
      <w:r>
        <w:rPr>
          <w:rFonts w:ascii="SimSun" w:hAnsi="SimSun" w:eastAsia="SimSun" w:cs="SimSun"/>
          <w:sz w:val="19"/>
          <w:szCs w:val="19"/>
          <w:spacing w:val="12"/>
        </w:rPr>
        <w:t>争力的平台企业”;三是“要弘扬企业家精神，充分信任、依靠和尊</w:t>
      </w:r>
    </w:p>
    <w:p>
      <w:pPr>
        <w:spacing w:line="218" w:lineRule="auto"/>
        <w:sectPr>
          <w:headerReference w:type="default" r:id="rId181"/>
          <w:pgSz w:w="7330" w:h="12480"/>
          <w:pgMar w:top="785" w:right="854" w:bottom="400" w:left="429" w:header="611" w:footer="0" w:gutter="0"/>
        </w:sectPr>
        <w:rPr>
          <w:rFonts w:ascii="SimSun" w:hAnsi="SimSun" w:eastAsia="SimSun" w:cs="SimSun"/>
          <w:sz w:val="19"/>
          <w:szCs w:val="19"/>
        </w:rPr>
      </w:pPr>
    </w:p>
    <w:p>
      <w:pPr>
        <w:pStyle w:val="BodyText"/>
        <w:spacing w:line="249" w:lineRule="auto"/>
        <w:rPr/>
      </w:pPr>
      <w:r>
        <w:drawing>
          <wp:anchor distT="0" distB="0" distL="0" distR="0" simplePos="0" relativeHeight="253239296" behindDoc="0" locked="0" layoutInCell="0" allowOverlap="1">
            <wp:simplePos x="0" y="0"/>
            <wp:positionH relativeFrom="page">
              <wp:posOffset>457216</wp:posOffset>
            </wp:positionH>
            <wp:positionV relativeFrom="page">
              <wp:posOffset>6838938</wp:posOffset>
            </wp:positionV>
            <wp:extent cx="1181092" cy="6350"/>
            <wp:effectExtent l="0" t="0" r="0" b="0"/>
            <wp:wrapNone/>
            <wp:docPr id="142" name="IM 142"/>
            <wp:cNvGraphicFramePr/>
            <a:graphic>
              <a:graphicData uri="http://schemas.openxmlformats.org/drawingml/2006/picture">
                <pic:pic>
                  <pic:nvPicPr>
                    <pic:cNvPr id="142" name="IM 142"/>
                    <pic:cNvPicPr/>
                  </pic:nvPicPr>
                  <pic:blipFill>
                    <a:blip r:embed="rId183"/>
                    <a:stretch>
                      <a:fillRect/>
                    </a:stretch>
                  </pic:blipFill>
                  <pic:spPr>
                    <a:xfrm rot="0">
                      <a:off x="0" y="0"/>
                      <a:ext cx="1181092" cy="6350"/>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10"/>
        </w:rPr>
        <w:t>重企业家，发挥企业家在推动企业创新、提高企业竞争力上的重要作</w:t>
      </w:r>
      <w:r>
        <w:rPr>
          <w:rFonts w:ascii="SimSun" w:hAnsi="SimSun" w:eastAsia="SimSun" w:cs="SimSun"/>
          <w:sz w:val="21"/>
          <w:szCs w:val="21"/>
          <w:spacing w:val="2"/>
        </w:rPr>
        <w:t xml:space="preserve"> </w:t>
      </w:r>
      <w:r>
        <w:rPr>
          <w:rFonts w:ascii="SimSun" w:hAnsi="SimSun" w:eastAsia="SimSun" w:cs="SimSun"/>
          <w:sz w:val="21"/>
          <w:szCs w:val="21"/>
          <w:spacing w:val="-11"/>
        </w:rPr>
        <w:t>用”。①整体而言，实现高质量发展，包括数字经济的发展以及整个</w:t>
      </w:r>
      <w:r>
        <w:rPr>
          <w:rFonts w:ascii="SimSun" w:hAnsi="SimSun" w:eastAsia="SimSun" w:cs="SimSun"/>
          <w:sz w:val="21"/>
          <w:szCs w:val="21"/>
          <w:spacing w:val="7"/>
        </w:rPr>
        <w:t xml:space="preserve"> </w:t>
      </w:r>
      <w:r>
        <w:rPr>
          <w:rFonts w:ascii="SimSun" w:hAnsi="SimSun" w:eastAsia="SimSun" w:cs="SimSun"/>
          <w:sz w:val="21"/>
          <w:szCs w:val="21"/>
          <w:spacing w:val="-11"/>
        </w:rPr>
        <w:t>国家战略，是希望引导平台经济进行健康规范发展，尤其是在科技创</w:t>
      </w:r>
      <w:r>
        <w:rPr>
          <w:rFonts w:ascii="SimSun" w:hAnsi="SimSun" w:eastAsia="SimSun" w:cs="SimSun"/>
          <w:sz w:val="21"/>
          <w:szCs w:val="21"/>
          <w:spacing w:val="13"/>
        </w:rPr>
        <w:t xml:space="preserve"> </w:t>
      </w:r>
      <w:r>
        <w:rPr>
          <w:rFonts w:ascii="SimSun" w:hAnsi="SimSun" w:eastAsia="SimSun" w:cs="SimSun"/>
          <w:sz w:val="21"/>
          <w:szCs w:val="21"/>
          <w:spacing w:val="-10"/>
        </w:rPr>
        <w:t>新方面，真正在科技硬实力及服务国家战略布局上发挥平台企业的独</w:t>
      </w:r>
      <w:r>
        <w:rPr>
          <w:rFonts w:ascii="SimSun" w:hAnsi="SimSun" w:eastAsia="SimSun" w:cs="SimSun"/>
          <w:sz w:val="21"/>
          <w:szCs w:val="21"/>
        </w:rPr>
        <w:t xml:space="preserve"> </w:t>
      </w:r>
      <w:r>
        <w:rPr>
          <w:rFonts w:ascii="SimSun" w:hAnsi="SimSun" w:eastAsia="SimSun" w:cs="SimSun"/>
          <w:sz w:val="21"/>
          <w:szCs w:val="21"/>
          <w:spacing w:val="-8"/>
        </w:rPr>
        <w:t>特优势。</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52" w:line="212" w:lineRule="auto"/>
        <w:rPr>
          <w:rFonts w:ascii="Times New Roman" w:hAnsi="Times New Roman" w:eastAsia="Times New Roman" w:cs="Times New Roman"/>
          <w:sz w:val="16"/>
          <w:szCs w:val="16"/>
        </w:rPr>
      </w:pPr>
      <w:r>
        <w:rPr>
          <w:rFonts w:ascii="KaiTi" w:hAnsi="KaiTi" w:eastAsia="KaiTi" w:cs="KaiTi"/>
          <w:sz w:val="16"/>
          <w:szCs w:val="16"/>
          <w:spacing w:val="3"/>
        </w:rPr>
        <w:t>①</w:t>
      </w:r>
      <w:r>
        <w:rPr>
          <w:rFonts w:ascii="KaiTi" w:hAnsi="KaiTi" w:eastAsia="KaiTi" w:cs="KaiTi"/>
          <w:sz w:val="16"/>
          <w:szCs w:val="16"/>
          <w:spacing w:val="56"/>
          <w:w w:val="101"/>
        </w:rPr>
        <w:t xml:space="preserve"> </w:t>
      </w:r>
      <w:r>
        <w:rPr>
          <w:rFonts w:ascii="KaiTi" w:hAnsi="KaiTi" w:eastAsia="KaiTi" w:cs="KaiTi"/>
          <w:sz w:val="16"/>
          <w:szCs w:val="16"/>
          <w:spacing w:val="3"/>
        </w:rPr>
        <w:t>刘鹤.必须实现高质量发展.人民日报，</w:t>
      </w:r>
      <w:r>
        <w:rPr>
          <w:rFonts w:ascii="KaiTi" w:hAnsi="KaiTi" w:eastAsia="KaiTi" w:cs="KaiTi"/>
          <w:sz w:val="16"/>
          <w:szCs w:val="16"/>
          <w:spacing w:val="2"/>
        </w:rPr>
        <w:t>2021-11</w:t>
      </w:r>
      <w:r>
        <w:rPr>
          <w:rFonts w:ascii="Times New Roman" w:hAnsi="Times New Roman" w:eastAsia="Times New Roman" w:cs="Times New Roman"/>
          <w:sz w:val="16"/>
          <w:szCs w:val="16"/>
          <w:spacing w:val="2"/>
        </w:rPr>
        <w:t>-24(06).</w:t>
      </w:r>
    </w:p>
    <w:p>
      <w:pPr>
        <w:spacing w:line="212" w:lineRule="auto"/>
        <w:sectPr>
          <w:headerReference w:type="default" r:id="rId182"/>
          <w:pgSz w:w="7330" w:h="12480"/>
          <w:pgMar w:top="487" w:right="636" w:bottom="400" w:left="689" w:header="325" w:footer="0" w:gutter="0"/>
        </w:sectPr>
        <w:rPr>
          <w:rFonts w:ascii="Times New Roman" w:hAnsi="Times New Roman" w:eastAsia="Times New Roman" w:cs="Times New Roman"/>
          <w:sz w:val="16"/>
          <w:szCs w:val="16"/>
        </w:rPr>
      </w:pPr>
    </w:p>
    <w:p>
      <w:pPr>
        <w:pStyle w:val="BodyText"/>
        <w:spacing w:line="263" w:lineRule="auto"/>
        <w:rPr/>
      </w:pPr>
      <w:r>
        <w:drawing>
          <wp:anchor distT="0" distB="0" distL="0" distR="0" simplePos="0" relativeHeight="253249536" behindDoc="0" locked="0" layoutInCell="0" allowOverlap="1">
            <wp:simplePos x="0" y="0"/>
            <wp:positionH relativeFrom="page">
              <wp:posOffset>209547</wp:posOffset>
            </wp:positionH>
            <wp:positionV relativeFrom="page">
              <wp:posOffset>7029451</wp:posOffset>
            </wp:positionV>
            <wp:extent cx="1168384" cy="6350"/>
            <wp:effectExtent l="0" t="0" r="0" b="0"/>
            <wp:wrapNone/>
            <wp:docPr id="144" name="IM 144"/>
            <wp:cNvGraphicFramePr/>
            <a:graphic>
              <a:graphicData uri="http://schemas.openxmlformats.org/drawingml/2006/picture">
                <pic:pic>
                  <pic:nvPicPr>
                    <pic:cNvPr id="144" name="IM 144"/>
                    <pic:cNvPicPr/>
                  </pic:nvPicPr>
                  <pic:blipFill>
                    <a:blip r:embed="rId184"/>
                    <a:stretch>
                      <a:fillRect/>
                    </a:stretch>
                  </pic:blipFill>
                  <pic:spPr>
                    <a:xfrm rot="0">
                      <a:off x="0" y="0"/>
                      <a:ext cx="1168384" cy="6350"/>
                    </a:xfrm>
                    <a:prstGeom prst="rect">
                      <a:avLst/>
                    </a:prstGeom>
                  </pic:spPr>
                </pic:pic>
              </a:graphicData>
            </a:graphic>
          </wp:anchor>
        </w:drawing>
      </w: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ind w:firstLine="849"/>
        <w:spacing w:line="3660" w:lineRule="exact"/>
        <w:rPr/>
      </w:pPr>
      <w:r>
        <w:rPr>
          <w:position w:val="-73"/>
        </w:rPr>
        <w:drawing>
          <wp:inline distT="0" distB="0" distL="0" distR="0">
            <wp:extent cx="2863851" cy="2324026"/>
            <wp:effectExtent l="0" t="0" r="0" b="0"/>
            <wp:docPr id="146" name="IM 146"/>
            <wp:cNvGraphicFramePr/>
            <a:graphic>
              <a:graphicData uri="http://schemas.openxmlformats.org/drawingml/2006/picture">
                <pic:pic>
                  <pic:nvPicPr>
                    <pic:cNvPr id="146" name="IM 146"/>
                    <pic:cNvPicPr/>
                  </pic:nvPicPr>
                  <pic:blipFill>
                    <a:blip r:embed="rId185"/>
                    <a:stretch>
                      <a:fillRect/>
                    </a:stretch>
                  </pic:blipFill>
                  <pic:spPr>
                    <a:xfrm rot="0">
                      <a:off x="0" y="0"/>
                      <a:ext cx="2863851" cy="2324026"/>
                    </a:xfrm>
                    <a:prstGeom prst="rect">
                      <a:avLst/>
                    </a:prstGeom>
                  </pic:spPr>
                </pic:pic>
              </a:graphicData>
            </a:graphic>
          </wp:inline>
        </w:drawing>
      </w:r>
    </w:p>
    <w:p>
      <w:pPr>
        <w:ind w:left="1179"/>
        <w:spacing w:before="280" w:line="222" w:lineRule="auto"/>
        <w:tabs>
          <w:tab w:val="left" w:pos="2580"/>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46"/>
        </w:rPr>
        <w:t xml:space="preserve"> </w:t>
      </w:r>
      <w:r>
        <w:rPr>
          <w:rFonts w:ascii="SimHei" w:hAnsi="SimHei" w:eastAsia="SimHei" w:cs="SimHei"/>
          <w:sz w:val="29"/>
          <w:szCs w:val="29"/>
          <w:spacing w:val="-4"/>
        </w:rPr>
        <w:t>第四章</w:t>
      </w:r>
      <w:r>
        <w:rPr>
          <w:rFonts w:ascii="SimHei" w:hAnsi="SimHei" w:eastAsia="SimHei" w:cs="SimHei"/>
          <w:sz w:val="29"/>
          <w:szCs w:val="29"/>
          <w:spacing w:val="-64"/>
        </w:rPr>
        <w:t xml:space="preserve"> </w:t>
      </w:r>
      <w:r>
        <w:rPr>
          <w:rFonts w:ascii="SimHei" w:hAnsi="SimHei" w:eastAsia="SimHei" w:cs="SimHei"/>
          <w:sz w:val="29"/>
          <w:szCs w:val="29"/>
          <w:strike/>
        </w:rPr>
        <w:t xml:space="preserve">          </w:t>
      </w:r>
    </w:p>
    <w:p>
      <w:pPr>
        <w:pStyle w:val="BodyText"/>
        <w:spacing w:line="303" w:lineRule="auto"/>
        <w:rPr/>
      </w:pPr>
      <w:r/>
    </w:p>
    <w:p>
      <w:pPr>
        <w:ind w:left="2285"/>
        <w:spacing w:before="117" w:line="220" w:lineRule="auto"/>
        <w:rPr>
          <w:rFonts w:ascii="SimSun" w:hAnsi="SimSun" w:eastAsia="SimSun" w:cs="SimSun"/>
          <w:sz w:val="36"/>
          <w:szCs w:val="36"/>
        </w:rPr>
      </w:pPr>
      <w:r>
        <w:rPr>
          <w:rFonts w:ascii="SimSun" w:hAnsi="SimSun" w:eastAsia="SimSun" w:cs="SimSun"/>
          <w:sz w:val="36"/>
          <w:szCs w:val="36"/>
          <w:b/>
          <w:bCs/>
          <w:spacing w:val="-7"/>
        </w:rPr>
        <w:t>平台经济</w:t>
      </w:r>
    </w:p>
    <w:p>
      <w:pPr>
        <w:ind w:left="405"/>
        <w:spacing w:before="40" w:line="219" w:lineRule="auto"/>
        <w:rPr>
          <w:rFonts w:ascii="SimSun" w:hAnsi="SimSun" w:eastAsia="SimSun" w:cs="SimSun"/>
          <w:sz w:val="36"/>
          <w:szCs w:val="36"/>
        </w:rPr>
      </w:pPr>
      <w:r>
        <w:rPr>
          <w:rFonts w:ascii="SimSun" w:hAnsi="SimSun" w:eastAsia="SimSun" w:cs="SimSun"/>
          <w:sz w:val="36"/>
          <w:szCs w:val="36"/>
          <w:b/>
          <w:bCs/>
          <w:spacing w:val="-5"/>
        </w:rPr>
        <w:t>对劳动力市场和收入分配的影响</w:t>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0"/>
        <w:spacing w:before="55" w:line="223" w:lineRule="auto"/>
        <w:rPr>
          <w:rFonts w:ascii="KaiTi" w:hAnsi="KaiTi" w:eastAsia="KaiTi" w:cs="KaiTi"/>
          <w:sz w:val="17"/>
          <w:szCs w:val="17"/>
        </w:rPr>
      </w:pPr>
      <w:r>
        <w:rPr>
          <w:rFonts w:ascii="SimSun" w:hAnsi="SimSun" w:eastAsia="SimSun" w:cs="SimSun"/>
          <w:sz w:val="17"/>
          <w:szCs w:val="17"/>
          <w:spacing w:val="-13"/>
        </w:rPr>
        <w:t>①</w:t>
      </w:r>
      <w:r>
        <w:rPr>
          <w:rFonts w:ascii="SimSun" w:hAnsi="SimSun" w:eastAsia="SimSun" w:cs="SimSun"/>
          <w:sz w:val="17"/>
          <w:szCs w:val="17"/>
          <w:spacing w:val="52"/>
        </w:rPr>
        <w:t xml:space="preserve"> </w:t>
      </w:r>
      <w:r>
        <w:rPr>
          <w:rFonts w:ascii="KaiTi" w:hAnsi="KaiTi" w:eastAsia="KaiTi" w:cs="KaiTi"/>
          <w:sz w:val="17"/>
          <w:szCs w:val="17"/>
          <w:spacing w:val="-13"/>
        </w:rPr>
        <w:t>本章作者为李力行、周广肃。</w:t>
      </w:r>
    </w:p>
    <w:p>
      <w:pPr>
        <w:spacing w:line="223" w:lineRule="auto"/>
        <w:sectPr>
          <w:headerReference w:type="default" r:id="rId1"/>
          <w:pgSz w:w="7330" w:h="12480"/>
          <w:pgMar w:top="400" w:right="1099" w:bottom="400" w:left="329" w:header="0" w:footer="0" w:gutter="0"/>
        </w:sectPr>
        <w:rPr>
          <w:rFonts w:ascii="KaiTi" w:hAnsi="KaiTi" w:eastAsia="KaiTi" w:cs="KaiTi"/>
          <w:sz w:val="17"/>
          <w:szCs w:val="17"/>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firstLine="760"/>
        <w:spacing w:line="2770" w:lineRule="exact"/>
        <w:rPr/>
      </w:pPr>
      <w:r>
        <w:rPr>
          <w:position w:val="-55"/>
        </w:rPr>
        <w:drawing>
          <wp:inline distT="0" distB="0" distL="0" distR="0">
            <wp:extent cx="2279659" cy="1758988"/>
            <wp:effectExtent l="0" t="0" r="0" b="0"/>
            <wp:docPr id="148" name="IM 148"/>
            <wp:cNvGraphicFramePr/>
            <a:graphic>
              <a:graphicData uri="http://schemas.openxmlformats.org/drawingml/2006/picture">
                <pic:pic>
                  <pic:nvPicPr>
                    <pic:cNvPr id="148" name="IM 148"/>
                    <pic:cNvPicPr/>
                  </pic:nvPicPr>
                  <pic:blipFill>
                    <a:blip r:embed="rId186"/>
                    <a:stretch>
                      <a:fillRect/>
                    </a:stretch>
                  </pic:blipFill>
                  <pic:spPr>
                    <a:xfrm rot="0">
                      <a:off x="0" y="0"/>
                      <a:ext cx="2279659" cy="1758988"/>
                    </a:xfrm>
                    <a:prstGeom prst="rect">
                      <a:avLst/>
                    </a:prstGeom>
                  </pic:spPr>
                </pic:pic>
              </a:graphicData>
            </a:graphic>
          </wp:inline>
        </w:drawing>
      </w:r>
    </w:p>
    <w:p>
      <w:pPr>
        <w:spacing w:line="2770" w:lineRule="exact"/>
        <w:sectPr>
          <w:pgSz w:w="7330" w:h="12480"/>
          <w:pgMar w:top="400" w:right="1099" w:bottom="400" w:left="1099" w:header="0" w:footer="0" w:gutter="0"/>
        </w:sectPr>
        <w:rPr/>
      </w:pP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400"/>
        <w:spacing w:before="68" w:line="304" w:lineRule="auto"/>
        <w:jc w:val="both"/>
        <w:rPr>
          <w:rFonts w:ascii="SimSun" w:hAnsi="SimSun" w:eastAsia="SimSun" w:cs="SimSun"/>
          <w:sz w:val="21"/>
          <w:szCs w:val="21"/>
        </w:rPr>
      </w:pPr>
      <w:r>
        <w:rPr>
          <w:rFonts w:ascii="SimSun" w:hAnsi="SimSun" w:eastAsia="SimSun" w:cs="SimSun"/>
          <w:sz w:val="21"/>
          <w:szCs w:val="21"/>
          <w:spacing w:val="-3"/>
        </w:rPr>
        <w:t>随着数字技术的进步，平台经济迅速崛起，创造了大量就</w:t>
      </w:r>
      <w:r>
        <w:rPr>
          <w:rFonts w:ascii="SimSun" w:hAnsi="SimSun" w:eastAsia="SimSun" w:cs="SimSun"/>
          <w:sz w:val="21"/>
          <w:szCs w:val="21"/>
          <w:spacing w:val="-4"/>
        </w:rPr>
        <w:t>业机</w:t>
      </w:r>
      <w:r>
        <w:rPr>
          <w:rFonts w:ascii="SimSun" w:hAnsi="SimSun" w:eastAsia="SimSun" w:cs="SimSun"/>
          <w:sz w:val="21"/>
          <w:szCs w:val="21"/>
        </w:rPr>
        <w:t xml:space="preserve">  </w:t>
      </w:r>
      <w:r>
        <w:rPr>
          <w:rFonts w:ascii="SimSun" w:hAnsi="SimSun" w:eastAsia="SimSun" w:cs="SimSun"/>
          <w:sz w:val="21"/>
          <w:szCs w:val="21"/>
          <w:spacing w:val="-10"/>
        </w:rPr>
        <w:t>会，导致工作性质出现了从线下到线上、从固定到灵活、从单</w:t>
      </w:r>
      <w:r>
        <w:rPr>
          <w:rFonts w:ascii="SimSun" w:hAnsi="SimSun" w:eastAsia="SimSun" w:cs="SimSun"/>
          <w:sz w:val="21"/>
          <w:szCs w:val="21"/>
          <w:spacing w:val="-11"/>
        </w:rPr>
        <w:t>一到多</w:t>
      </w:r>
      <w:r>
        <w:rPr>
          <w:rFonts w:ascii="SimSun" w:hAnsi="SimSun" w:eastAsia="SimSun" w:cs="SimSun"/>
          <w:sz w:val="21"/>
          <w:szCs w:val="21"/>
        </w:rPr>
        <w:t xml:space="preserve">  </w:t>
      </w:r>
      <w:r>
        <w:rPr>
          <w:rFonts w:ascii="SimSun" w:hAnsi="SimSun" w:eastAsia="SimSun" w:cs="SimSun"/>
          <w:sz w:val="21"/>
          <w:szCs w:val="21"/>
          <w:spacing w:val="-10"/>
        </w:rPr>
        <w:t>元等方面的转变，使得依赖平台从事“零工”</w:t>
      </w:r>
      <w:r>
        <w:rPr>
          <w:rFonts w:ascii="SimSun" w:hAnsi="SimSun" w:eastAsia="SimSun" w:cs="SimSun"/>
          <w:sz w:val="21"/>
          <w:szCs w:val="21"/>
          <w:spacing w:val="-11"/>
        </w:rPr>
        <w:t>工作的新就业形态在劳</w:t>
      </w:r>
      <w:r>
        <w:rPr>
          <w:rFonts w:ascii="SimSun" w:hAnsi="SimSun" w:eastAsia="SimSun" w:cs="SimSun"/>
          <w:sz w:val="21"/>
          <w:szCs w:val="21"/>
        </w:rPr>
        <w:t xml:space="preserve">  </w:t>
      </w:r>
      <w:r>
        <w:rPr>
          <w:rFonts w:ascii="SimSun" w:hAnsi="SimSun" w:eastAsia="SimSun" w:cs="SimSun"/>
          <w:sz w:val="21"/>
          <w:szCs w:val="21"/>
          <w:spacing w:val="-7"/>
        </w:rPr>
        <w:t>动者中的比例上升，在全球范围内引发了劳动力市场的</w:t>
      </w:r>
      <w:r>
        <w:rPr>
          <w:rFonts w:ascii="SimSun" w:hAnsi="SimSun" w:eastAsia="SimSun" w:cs="SimSun"/>
          <w:sz w:val="21"/>
          <w:szCs w:val="21"/>
          <w:spacing w:val="-8"/>
        </w:rPr>
        <w:t>结构性变革。</w:t>
      </w:r>
      <w:r>
        <w:rPr>
          <w:rFonts w:ascii="SimSun" w:hAnsi="SimSun" w:eastAsia="SimSun" w:cs="SimSun"/>
          <w:sz w:val="21"/>
          <w:szCs w:val="21"/>
        </w:rPr>
        <w:t xml:space="preserve"> </w:t>
      </w:r>
      <w:r>
        <w:rPr>
          <w:rFonts w:ascii="SimSun" w:hAnsi="SimSun" w:eastAsia="SimSun" w:cs="SimSun"/>
          <w:sz w:val="21"/>
          <w:szCs w:val="21"/>
          <w:spacing w:val="-10"/>
        </w:rPr>
        <w:t>经济分析表明，数字技术的进步促进了生产工序的分解、分包以及相 </w:t>
      </w:r>
      <w:r>
        <w:rPr>
          <w:rFonts w:ascii="SimSun" w:hAnsi="SimSun" w:eastAsia="SimSun" w:cs="SimSun"/>
          <w:sz w:val="21"/>
          <w:szCs w:val="21"/>
          <w:spacing w:val="-11"/>
        </w:rPr>
        <w:t>关经济主体承担的工作任务的重组，引发了生产活动去公司化、去组</w:t>
      </w:r>
      <w:r>
        <w:rPr>
          <w:rFonts w:ascii="SimSun" w:hAnsi="SimSun" w:eastAsia="SimSun" w:cs="SimSun"/>
          <w:sz w:val="21"/>
          <w:szCs w:val="21"/>
          <w:spacing w:val="8"/>
        </w:rPr>
        <w:t xml:space="preserve">  </w:t>
      </w:r>
      <w:r>
        <w:rPr>
          <w:rFonts w:ascii="SimSun" w:hAnsi="SimSun" w:eastAsia="SimSun" w:cs="SimSun"/>
          <w:sz w:val="21"/>
          <w:szCs w:val="21"/>
          <w:spacing w:val="-10"/>
        </w:rPr>
        <w:t>织化的趋势，使得传统的雇员工作被自雇创业以及独立性处于传统雇 </w:t>
      </w:r>
      <w:r>
        <w:rPr>
          <w:rFonts w:ascii="SimSun" w:hAnsi="SimSun" w:eastAsia="SimSun" w:cs="SimSun"/>
          <w:sz w:val="21"/>
          <w:szCs w:val="21"/>
          <w:spacing w:val="-13"/>
        </w:rPr>
        <w:t>员工作和自雇创业之间的零工取代。</w:t>
      </w:r>
    </w:p>
    <w:p>
      <w:pPr>
        <w:ind w:right="68" w:firstLine="400"/>
        <w:spacing w:before="96" w:line="308" w:lineRule="auto"/>
        <w:jc w:val="both"/>
        <w:rPr>
          <w:rFonts w:ascii="SimSun" w:hAnsi="SimSun" w:eastAsia="SimSun" w:cs="SimSun"/>
          <w:sz w:val="21"/>
          <w:szCs w:val="21"/>
        </w:rPr>
      </w:pPr>
      <w:r>
        <w:rPr>
          <w:rFonts w:ascii="SimSun" w:hAnsi="SimSun" w:eastAsia="SimSun" w:cs="SimSun"/>
          <w:sz w:val="21"/>
          <w:szCs w:val="21"/>
          <w:spacing w:val="-10"/>
        </w:rPr>
        <w:t>由于零工劳动者的工作性质与我国现行“劳动二</w:t>
      </w:r>
      <w:r>
        <w:rPr>
          <w:rFonts w:ascii="SimSun" w:hAnsi="SimSun" w:eastAsia="SimSun" w:cs="SimSun"/>
          <w:sz w:val="21"/>
          <w:szCs w:val="21"/>
          <w:spacing w:val="-11"/>
        </w:rPr>
        <w:t>分法”框架不匹</w:t>
      </w:r>
      <w:r>
        <w:rPr>
          <w:rFonts w:ascii="SimSun" w:hAnsi="SimSun" w:eastAsia="SimSun" w:cs="SimSun"/>
          <w:sz w:val="21"/>
          <w:szCs w:val="21"/>
        </w:rPr>
        <w:t xml:space="preserve"> </w:t>
      </w:r>
      <w:r>
        <w:rPr>
          <w:rFonts w:ascii="SimSun" w:hAnsi="SimSun" w:eastAsia="SimSun" w:cs="SimSun"/>
          <w:sz w:val="21"/>
          <w:szCs w:val="21"/>
          <w:spacing w:val="-10"/>
        </w:rPr>
        <w:t>配，零工劳动者获得的劳动保障往往不足。劳动者权益保</w:t>
      </w:r>
      <w:r>
        <w:rPr>
          <w:rFonts w:ascii="SimSun" w:hAnsi="SimSun" w:eastAsia="SimSun" w:cs="SimSun"/>
          <w:sz w:val="21"/>
          <w:szCs w:val="21"/>
          <w:spacing w:val="-11"/>
        </w:rPr>
        <w:t>护和平台与</w:t>
      </w:r>
      <w:r>
        <w:rPr>
          <w:rFonts w:ascii="SimSun" w:hAnsi="SimSun" w:eastAsia="SimSun" w:cs="SimSun"/>
          <w:sz w:val="21"/>
          <w:szCs w:val="21"/>
        </w:rPr>
        <w:t xml:space="preserve"> </w:t>
      </w:r>
      <w:r>
        <w:rPr>
          <w:rFonts w:ascii="SimSun" w:hAnsi="SimSun" w:eastAsia="SimSun" w:cs="SimSun"/>
          <w:sz w:val="21"/>
          <w:szCs w:val="21"/>
          <w:spacing w:val="-10"/>
        </w:rPr>
        <w:t>劳动者之间的劳资关系问题成为社会关注的焦点。如</w:t>
      </w:r>
      <w:r>
        <w:rPr>
          <w:rFonts w:ascii="SimSun" w:hAnsi="SimSun" w:eastAsia="SimSun" w:cs="SimSun"/>
          <w:sz w:val="21"/>
          <w:szCs w:val="21"/>
          <w:spacing w:val="-11"/>
        </w:rPr>
        <w:t>果按照强化劳动</w:t>
      </w:r>
      <w:r>
        <w:rPr>
          <w:rFonts w:ascii="SimSun" w:hAnsi="SimSun" w:eastAsia="SimSun" w:cs="SimSun"/>
          <w:sz w:val="21"/>
          <w:szCs w:val="21"/>
        </w:rPr>
        <w:t xml:space="preserve"> </w:t>
      </w:r>
      <w:r>
        <w:rPr>
          <w:rFonts w:ascii="SimSun" w:hAnsi="SimSun" w:eastAsia="SimSun" w:cs="SimSun"/>
          <w:sz w:val="21"/>
          <w:szCs w:val="21"/>
          <w:spacing w:val="-11"/>
        </w:rPr>
        <w:t>关系的思路去解决劳动者权益保障问题，可能大幅提高用工成本，给</w:t>
      </w:r>
      <w:r>
        <w:rPr>
          <w:rFonts w:ascii="SimSun" w:hAnsi="SimSun" w:eastAsia="SimSun" w:cs="SimSun"/>
          <w:sz w:val="21"/>
          <w:szCs w:val="21"/>
          <w:spacing w:val="16"/>
        </w:rPr>
        <w:t xml:space="preserve"> </w:t>
      </w:r>
      <w:r>
        <w:rPr>
          <w:rFonts w:ascii="SimSun" w:hAnsi="SimSun" w:eastAsia="SimSun" w:cs="SimSun"/>
          <w:sz w:val="21"/>
          <w:szCs w:val="21"/>
          <w:spacing w:val="-10"/>
        </w:rPr>
        <w:t>劳动者或消费者造成额外负担，不利于扩大就业和创业，阻碍生产和</w:t>
      </w:r>
      <w:r>
        <w:rPr>
          <w:rFonts w:ascii="SimSun" w:hAnsi="SimSun" w:eastAsia="SimSun" w:cs="SimSun"/>
          <w:sz w:val="21"/>
          <w:szCs w:val="21"/>
          <w:spacing w:val="15"/>
        </w:rPr>
        <w:t xml:space="preserve"> </w:t>
      </w:r>
      <w:r>
        <w:rPr>
          <w:rFonts w:ascii="SimSun" w:hAnsi="SimSun" w:eastAsia="SimSun" w:cs="SimSun"/>
          <w:sz w:val="21"/>
          <w:szCs w:val="21"/>
          <w:spacing w:val="-11"/>
        </w:rPr>
        <w:t>组织方式的进一步创新。本章建议以去公司化、将保险保障与劳动关</w:t>
      </w:r>
      <w:r>
        <w:rPr>
          <w:rFonts w:ascii="SimSun" w:hAnsi="SimSun" w:eastAsia="SimSun" w:cs="SimSun"/>
          <w:sz w:val="21"/>
          <w:szCs w:val="21"/>
          <w:spacing w:val="18"/>
        </w:rPr>
        <w:t xml:space="preserve"> </w:t>
      </w:r>
      <w:r>
        <w:rPr>
          <w:rFonts w:ascii="SimSun" w:hAnsi="SimSun" w:eastAsia="SimSun" w:cs="SimSun"/>
          <w:sz w:val="21"/>
          <w:szCs w:val="21"/>
          <w:spacing w:val="-11"/>
        </w:rPr>
        <w:t>系解绑的思路解决劳动者权益保障问题，积极探索新的服务模式，建</w:t>
      </w:r>
      <w:r>
        <w:rPr>
          <w:rFonts w:ascii="SimSun" w:hAnsi="SimSun" w:eastAsia="SimSun" w:cs="SimSun"/>
          <w:sz w:val="21"/>
          <w:szCs w:val="21"/>
          <w:spacing w:val="17"/>
        </w:rPr>
        <w:t xml:space="preserve"> </w:t>
      </w:r>
      <w:r>
        <w:rPr>
          <w:rFonts w:ascii="SimSun" w:hAnsi="SimSun" w:eastAsia="SimSun" w:cs="SimSun"/>
          <w:sz w:val="21"/>
          <w:szCs w:val="21"/>
          <w:u w:val="single" w:color="auto"/>
          <w:spacing w:val="-10"/>
        </w:rPr>
        <w:t>立</w:t>
      </w:r>
      <w:r>
        <w:rPr>
          <w:rFonts w:ascii="SimSun" w:hAnsi="SimSun" w:eastAsia="SimSun" w:cs="SimSun"/>
          <w:sz w:val="21"/>
          <w:szCs w:val="21"/>
          <w:spacing w:val="-10"/>
        </w:rPr>
        <w:t>起适用于平台经济发展的劳动者权益保护网，适应技</w:t>
      </w:r>
      <w:r>
        <w:rPr>
          <w:rFonts w:ascii="SimSun" w:hAnsi="SimSun" w:eastAsia="SimSun" w:cs="SimSun"/>
          <w:sz w:val="21"/>
          <w:szCs w:val="21"/>
          <w:spacing w:val="-11"/>
        </w:rPr>
        <w:t>术进步带来的</w:t>
      </w:r>
      <w:r>
        <w:rPr>
          <w:rFonts w:ascii="SimSun" w:hAnsi="SimSun" w:eastAsia="SimSun" w:cs="SimSun"/>
          <w:sz w:val="21"/>
          <w:szCs w:val="21"/>
        </w:rPr>
        <w:t xml:space="preserve"> </w:t>
      </w:r>
      <w:r>
        <w:rPr>
          <w:rFonts w:ascii="SimSun" w:hAnsi="SimSun" w:eastAsia="SimSun" w:cs="SimSun"/>
          <w:sz w:val="21"/>
          <w:szCs w:val="21"/>
          <w:spacing w:val="-4"/>
        </w:rPr>
        <w:t>劳资关系的变化。同时，结合社保制度的改革，做实养老金个人账</w:t>
      </w:r>
      <w:r>
        <w:rPr>
          <w:rFonts w:ascii="SimSun" w:hAnsi="SimSun" w:eastAsia="SimSun" w:cs="SimSun"/>
          <w:sz w:val="21"/>
          <w:szCs w:val="21"/>
          <w:spacing w:val="15"/>
        </w:rPr>
        <w:t xml:space="preserve"> </w:t>
      </w:r>
      <w:r>
        <w:rPr>
          <w:rFonts w:ascii="SimSun" w:hAnsi="SimSun" w:eastAsia="SimSun" w:cs="SimSun"/>
          <w:sz w:val="21"/>
          <w:szCs w:val="21"/>
          <w:spacing w:val="-11"/>
        </w:rPr>
        <w:t>户，为具有灵活就业、非固定用工单位、非全职就业等特征的劳动者</w:t>
      </w:r>
      <w:r>
        <w:rPr>
          <w:rFonts w:ascii="SimSun" w:hAnsi="SimSun" w:eastAsia="SimSun" w:cs="SimSun"/>
          <w:sz w:val="21"/>
          <w:szCs w:val="21"/>
          <w:spacing w:val="18"/>
        </w:rPr>
        <w:t xml:space="preserve"> </w:t>
      </w:r>
      <w:r>
        <w:rPr>
          <w:rFonts w:ascii="SimSun" w:hAnsi="SimSun" w:eastAsia="SimSun" w:cs="SimSun"/>
          <w:sz w:val="21"/>
          <w:szCs w:val="21"/>
          <w:spacing w:val="-13"/>
        </w:rPr>
        <w:t>探索一套合理的缴费分摊制度。</w:t>
      </w:r>
    </w:p>
    <w:p>
      <w:pPr>
        <w:ind w:right="84" w:firstLine="400"/>
        <w:spacing w:before="120" w:line="297" w:lineRule="auto"/>
        <w:jc w:val="both"/>
        <w:rPr>
          <w:rFonts w:ascii="SimSun" w:hAnsi="SimSun" w:eastAsia="SimSun" w:cs="SimSun"/>
          <w:sz w:val="21"/>
          <w:szCs w:val="21"/>
        </w:rPr>
      </w:pPr>
      <w:r>
        <w:rPr>
          <w:rFonts w:ascii="SimSun" w:hAnsi="SimSun" w:eastAsia="SimSun" w:cs="SimSun"/>
          <w:sz w:val="21"/>
          <w:szCs w:val="21"/>
          <w:spacing w:val="-3"/>
        </w:rPr>
        <w:t>此外，传统就业岗位消失、劳动收入份额下降、城乡和区域间</w:t>
      </w:r>
      <w:r>
        <w:rPr>
          <w:rFonts w:ascii="SimSun" w:hAnsi="SimSun" w:eastAsia="SimSun" w:cs="SimSun"/>
          <w:sz w:val="21"/>
          <w:szCs w:val="21"/>
          <w:spacing w:val="10"/>
        </w:rPr>
        <w:t xml:space="preserve"> </w:t>
      </w:r>
      <w:r>
        <w:rPr>
          <w:rFonts w:ascii="SimSun" w:hAnsi="SimSun" w:eastAsia="SimSun" w:cs="SimSun"/>
          <w:sz w:val="21"/>
          <w:szCs w:val="21"/>
          <w:spacing w:val="-10"/>
        </w:rPr>
        <w:t>收入差距扩大等问题，也常常被认为与平台</w:t>
      </w:r>
      <w:r>
        <w:rPr>
          <w:rFonts w:ascii="SimSun" w:hAnsi="SimSun" w:eastAsia="SimSun" w:cs="SimSun"/>
          <w:sz w:val="21"/>
          <w:szCs w:val="21"/>
          <w:spacing w:val="-11"/>
        </w:rPr>
        <w:t>经济的崛起相关。对这些</w:t>
      </w:r>
      <w:r>
        <w:rPr>
          <w:rFonts w:ascii="SimSun" w:hAnsi="SimSun" w:eastAsia="SimSun" w:cs="SimSun"/>
          <w:sz w:val="21"/>
          <w:szCs w:val="21"/>
        </w:rPr>
        <w:t xml:space="preserve"> </w:t>
      </w:r>
      <w:r>
        <w:rPr>
          <w:rFonts w:ascii="SimSun" w:hAnsi="SimSun" w:eastAsia="SimSun" w:cs="SimSun"/>
          <w:sz w:val="21"/>
          <w:szCs w:val="21"/>
          <w:spacing w:val="-11"/>
        </w:rPr>
        <w:t>问题的分析表明，新工作替代旧工作带来的阵痛是技术进步和结构性</w:t>
      </w:r>
      <w:r>
        <w:rPr>
          <w:rFonts w:ascii="SimSun" w:hAnsi="SimSun" w:eastAsia="SimSun" w:cs="SimSun"/>
          <w:sz w:val="21"/>
          <w:szCs w:val="21"/>
          <w:spacing w:val="16"/>
        </w:rPr>
        <w:t xml:space="preserve"> </w:t>
      </w:r>
      <w:r>
        <w:rPr>
          <w:rFonts w:ascii="SimSun" w:hAnsi="SimSun" w:eastAsia="SimSun" w:cs="SimSun"/>
          <w:sz w:val="21"/>
          <w:szCs w:val="21"/>
          <w:spacing w:val="-10"/>
        </w:rPr>
        <w:t>变革的必然结果；劳动收入份额下降是全球面临</w:t>
      </w:r>
      <w:r>
        <w:rPr>
          <w:rFonts w:ascii="SimSun" w:hAnsi="SimSun" w:eastAsia="SimSun" w:cs="SimSun"/>
          <w:sz w:val="21"/>
          <w:szCs w:val="21"/>
          <w:spacing w:val="-11"/>
        </w:rPr>
        <w:t>的共同问题，受到产</w:t>
      </w:r>
      <w:r>
        <w:rPr>
          <w:rFonts w:ascii="SimSun" w:hAnsi="SimSun" w:eastAsia="SimSun" w:cs="SimSun"/>
          <w:sz w:val="21"/>
          <w:szCs w:val="21"/>
        </w:rPr>
        <w:t xml:space="preserve"> </w:t>
      </w:r>
      <w:r>
        <w:rPr>
          <w:rFonts w:ascii="SimSun" w:hAnsi="SimSun" w:eastAsia="SimSun" w:cs="SimSun"/>
          <w:sz w:val="21"/>
          <w:szCs w:val="21"/>
          <w:spacing w:val="-10"/>
        </w:rPr>
        <w:t>业结构变动、全球化、税制结构等因素的影响；而城乡和区域间</w:t>
      </w:r>
      <w:r>
        <w:rPr>
          <w:rFonts w:ascii="SimSun" w:hAnsi="SimSun" w:eastAsia="SimSun" w:cs="SimSun"/>
          <w:sz w:val="21"/>
          <w:szCs w:val="21"/>
          <w:spacing w:val="-11"/>
        </w:rPr>
        <w:t>的发</w:t>
      </w:r>
    </w:p>
    <w:p>
      <w:pPr>
        <w:spacing w:line="297" w:lineRule="auto"/>
        <w:sectPr>
          <w:pgSz w:w="7330" w:h="12480"/>
          <w:pgMar w:top="400" w:right="975" w:bottom="400" w:left="269" w:header="0"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290" w:lineRule="auto"/>
        <w:jc w:val="both"/>
        <w:rPr>
          <w:rFonts w:ascii="SimSun" w:hAnsi="SimSun" w:eastAsia="SimSun" w:cs="SimSun"/>
          <w:sz w:val="21"/>
          <w:szCs w:val="21"/>
        </w:rPr>
      </w:pPr>
      <w:r>
        <w:rPr>
          <w:rFonts w:ascii="SimSun" w:hAnsi="SimSun" w:eastAsia="SimSun" w:cs="SimSun"/>
          <w:sz w:val="21"/>
          <w:szCs w:val="21"/>
          <w:spacing w:val="-11"/>
        </w:rPr>
        <w:t>展差距是规模经济、集聚效应发挥作用的结果。总之，这些问题并非</w:t>
      </w:r>
      <w:r>
        <w:rPr>
          <w:rFonts w:ascii="SimSun" w:hAnsi="SimSun" w:eastAsia="SimSun" w:cs="SimSun"/>
          <w:sz w:val="21"/>
          <w:szCs w:val="21"/>
          <w:spacing w:val="3"/>
        </w:rPr>
        <w:t xml:space="preserve">  </w:t>
      </w:r>
      <w:r>
        <w:rPr>
          <w:rFonts w:ascii="SimSun" w:hAnsi="SimSun" w:eastAsia="SimSun" w:cs="SimSun"/>
          <w:sz w:val="21"/>
          <w:szCs w:val="21"/>
          <w:spacing w:val="-11"/>
        </w:rPr>
        <w:t>中国独有，也并非平台经济之“恶”,不能因此对平台经济进行限制。</w:t>
      </w:r>
      <w:r>
        <w:rPr>
          <w:rFonts w:ascii="SimSun" w:hAnsi="SimSun" w:eastAsia="SimSun" w:cs="SimSun"/>
          <w:sz w:val="21"/>
          <w:szCs w:val="21"/>
          <w:spacing w:val="9"/>
        </w:rPr>
        <w:t xml:space="preserve"> </w:t>
      </w:r>
      <w:r>
        <w:rPr>
          <w:rFonts w:ascii="SimSun" w:hAnsi="SimSun" w:eastAsia="SimSun" w:cs="SimSun"/>
          <w:sz w:val="21"/>
          <w:szCs w:val="21"/>
          <w:spacing w:val="-16"/>
        </w:rPr>
        <w:t>我们认为，应当着眼于在发展中解决问题，</w:t>
      </w:r>
      <w:r>
        <w:rPr>
          <w:rFonts w:ascii="SimSun" w:hAnsi="SimSun" w:eastAsia="SimSun" w:cs="SimSun"/>
          <w:sz w:val="21"/>
          <w:szCs w:val="21"/>
          <w:spacing w:val="53"/>
        </w:rPr>
        <w:t xml:space="preserve"> </w:t>
      </w:r>
      <w:r>
        <w:rPr>
          <w:rFonts w:ascii="SimSun" w:hAnsi="SimSun" w:eastAsia="SimSun" w:cs="SimSun"/>
          <w:sz w:val="21"/>
          <w:szCs w:val="21"/>
          <w:spacing w:val="-16"/>
        </w:rPr>
        <w:t>一方面鼓励创新、促进平</w:t>
      </w:r>
      <w:r>
        <w:rPr>
          <w:rFonts w:ascii="SimSun" w:hAnsi="SimSun" w:eastAsia="SimSun" w:cs="SimSun"/>
          <w:sz w:val="21"/>
          <w:szCs w:val="21"/>
        </w:rPr>
        <w:t xml:space="preserve">  </w:t>
      </w:r>
      <w:r>
        <w:rPr>
          <w:rFonts w:ascii="SimSun" w:hAnsi="SimSun" w:eastAsia="SimSun" w:cs="SimSun"/>
          <w:sz w:val="21"/>
          <w:szCs w:val="21"/>
          <w:spacing w:val="-11"/>
        </w:rPr>
        <w:t>台经济发展，另一方面通过转移支付等方式让发展的红利惠及受损群</w:t>
      </w:r>
      <w:r>
        <w:rPr>
          <w:rFonts w:ascii="SimSun" w:hAnsi="SimSun" w:eastAsia="SimSun" w:cs="SimSun"/>
          <w:sz w:val="21"/>
          <w:szCs w:val="21"/>
          <w:spacing w:val="3"/>
        </w:rPr>
        <w:t xml:space="preserve">  </w:t>
      </w:r>
      <w:r>
        <w:rPr>
          <w:rFonts w:ascii="SimSun" w:hAnsi="SimSun" w:eastAsia="SimSun" w:cs="SimSun"/>
          <w:sz w:val="21"/>
          <w:szCs w:val="21"/>
          <w:spacing w:val="-12"/>
        </w:rPr>
        <w:t>体，缓解结构性转型的阵痛。</w:t>
      </w:r>
    </w:p>
    <w:p>
      <w:pPr>
        <w:ind w:right="77" w:firstLine="430"/>
        <w:spacing w:before="147" w:line="305" w:lineRule="auto"/>
        <w:jc w:val="both"/>
        <w:rPr>
          <w:rFonts w:ascii="SimSun" w:hAnsi="SimSun" w:eastAsia="SimSun" w:cs="SimSun"/>
          <w:sz w:val="21"/>
          <w:szCs w:val="21"/>
        </w:rPr>
      </w:pPr>
      <w:r>
        <w:rPr>
          <w:rFonts w:ascii="SimSun" w:hAnsi="SimSun" w:eastAsia="SimSun" w:cs="SimSun"/>
          <w:sz w:val="21"/>
          <w:szCs w:val="21"/>
          <w:spacing w:val="-4"/>
        </w:rPr>
        <w:t>互联网平台企业在全球范围内的兴起是数字经济时代的一大特</w:t>
      </w:r>
      <w:r>
        <w:rPr>
          <w:rFonts w:ascii="SimSun" w:hAnsi="SimSun" w:eastAsia="SimSun" w:cs="SimSun"/>
          <w:sz w:val="21"/>
          <w:szCs w:val="21"/>
          <w:spacing w:val="4"/>
        </w:rPr>
        <w:t xml:space="preserve"> </w:t>
      </w:r>
      <w:r>
        <w:rPr>
          <w:rFonts w:ascii="SimSun" w:hAnsi="SimSun" w:eastAsia="SimSun" w:cs="SimSun"/>
          <w:sz w:val="21"/>
          <w:szCs w:val="21"/>
          <w:spacing w:val="-16"/>
        </w:rPr>
        <w:t>征。在数字经济高速发展的浪潮中，得益于中国巨大的市场规模，</w:t>
      </w:r>
      <w:r>
        <w:rPr>
          <w:rFonts w:ascii="SimSun" w:hAnsi="SimSun" w:eastAsia="SimSun" w:cs="SimSun"/>
          <w:sz w:val="21"/>
          <w:szCs w:val="21"/>
          <w:spacing w:val="54"/>
        </w:rPr>
        <w:t xml:space="preserve"> </w:t>
      </w:r>
      <w:r>
        <w:rPr>
          <w:rFonts w:ascii="SimSun" w:hAnsi="SimSun" w:eastAsia="SimSun" w:cs="SimSun"/>
          <w:sz w:val="21"/>
          <w:szCs w:val="21"/>
          <w:spacing w:val="-16"/>
        </w:rPr>
        <w:t>一</w:t>
      </w:r>
      <w:r>
        <w:rPr>
          <w:rFonts w:ascii="SimSun" w:hAnsi="SimSun" w:eastAsia="SimSun" w:cs="SimSun"/>
          <w:sz w:val="21"/>
          <w:szCs w:val="21"/>
        </w:rPr>
        <w:t xml:space="preserve"> </w:t>
      </w:r>
      <w:r>
        <w:rPr>
          <w:rFonts w:ascii="SimSun" w:hAnsi="SimSun" w:eastAsia="SimSun" w:cs="SimSun"/>
          <w:sz w:val="21"/>
          <w:szCs w:val="21"/>
          <w:spacing w:val="-11"/>
        </w:rPr>
        <w:t>些互联网平台迅速崛起，并成长为全球规模领先的企业。平台经济的</w:t>
      </w:r>
      <w:r>
        <w:rPr>
          <w:rFonts w:ascii="SimSun" w:hAnsi="SimSun" w:eastAsia="SimSun" w:cs="SimSun"/>
          <w:sz w:val="21"/>
          <w:szCs w:val="21"/>
          <w:spacing w:val="14"/>
        </w:rPr>
        <w:t xml:space="preserve"> </w:t>
      </w:r>
      <w:r>
        <w:rPr>
          <w:rFonts w:ascii="SimSun" w:hAnsi="SimSun" w:eastAsia="SimSun" w:cs="SimSun"/>
          <w:sz w:val="21"/>
          <w:szCs w:val="21"/>
          <w:spacing w:val="-10"/>
        </w:rPr>
        <w:t>发展催生了新的产业形态，并对传统的产业进</w:t>
      </w:r>
      <w:r>
        <w:rPr>
          <w:rFonts w:ascii="SimSun" w:hAnsi="SimSun" w:eastAsia="SimSun" w:cs="SimSun"/>
          <w:sz w:val="21"/>
          <w:szCs w:val="21"/>
          <w:spacing w:val="-11"/>
        </w:rPr>
        <w:t>行了赋能改造，带动中</w:t>
      </w:r>
      <w:r>
        <w:rPr>
          <w:rFonts w:ascii="SimSun" w:hAnsi="SimSun" w:eastAsia="SimSun" w:cs="SimSun"/>
          <w:sz w:val="21"/>
          <w:szCs w:val="21"/>
        </w:rPr>
        <w:t xml:space="preserve"> </w:t>
      </w:r>
      <w:r>
        <w:rPr>
          <w:rFonts w:ascii="SimSun" w:hAnsi="SimSun" w:eastAsia="SimSun" w:cs="SimSun"/>
          <w:sz w:val="21"/>
          <w:szCs w:val="21"/>
          <w:spacing w:val="-11"/>
        </w:rPr>
        <w:t>国社会的生产生活方式发生了巨大转变，也对社会治理和政府监管提</w:t>
      </w:r>
      <w:r>
        <w:rPr>
          <w:rFonts w:ascii="SimSun" w:hAnsi="SimSun" w:eastAsia="SimSun" w:cs="SimSun"/>
          <w:sz w:val="21"/>
          <w:szCs w:val="21"/>
          <w:spacing w:val="7"/>
        </w:rPr>
        <w:t xml:space="preserve"> </w:t>
      </w:r>
      <w:r>
        <w:rPr>
          <w:rFonts w:ascii="SimSun" w:hAnsi="SimSun" w:eastAsia="SimSun" w:cs="SimSun"/>
          <w:sz w:val="21"/>
          <w:szCs w:val="21"/>
          <w:spacing w:val="-11"/>
        </w:rPr>
        <w:t>出了挑战。本章讨论平台经济的发展对劳动</w:t>
      </w:r>
      <w:r>
        <w:rPr>
          <w:rFonts w:ascii="SimSun" w:hAnsi="SimSun" w:eastAsia="SimSun" w:cs="SimSun"/>
          <w:sz w:val="21"/>
          <w:szCs w:val="21"/>
          <w:spacing w:val="-12"/>
        </w:rPr>
        <w:t>就业、生产组织结构、劳</w:t>
      </w:r>
      <w:r>
        <w:rPr>
          <w:rFonts w:ascii="SimSun" w:hAnsi="SimSun" w:eastAsia="SimSun" w:cs="SimSun"/>
          <w:sz w:val="21"/>
          <w:szCs w:val="21"/>
        </w:rPr>
        <w:t xml:space="preserve"> </w:t>
      </w:r>
      <w:r>
        <w:rPr>
          <w:rFonts w:ascii="SimSun" w:hAnsi="SimSun" w:eastAsia="SimSun" w:cs="SimSun"/>
          <w:sz w:val="21"/>
          <w:szCs w:val="21"/>
          <w:spacing w:val="-11"/>
        </w:rPr>
        <w:t>资关系、劳动者权益保障，以及收入分配方面的影响。其中第一节讨</w:t>
      </w:r>
      <w:r>
        <w:rPr>
          <w:rFonts w:ascii="SimSun" w:hAnsi="SimSun" w:eastAsia="SimSun" w:cs="SimSun"/>
          <w:sz w:val="21"/>
          <w:szCs w:val="21"/>
          <w:spacing w:val="11"/>
        </w:rPr>
        <w:t xml:space="preserve"> </w:t>
      </w:r>
      <w:r>
        <w:rPr>
          <w:rFonts w:ascii="SimSun" w:hAnsi="SimSun" w:eastAsia="SimSun" w:cs="SimSun"/>
          <w:sz w:val="21"/>
          <w:szCs w:val="21"/>
          <w:spacing w:val="-11"/>
        </w:rPr>
        <w:t>论就业问题，第二节讨论劳资关系和劳动者权益保障问题，第三节讨</w:t>
      </w:r>
      <w:r>
        <w:rPr>
          <w:rFonts w:ascii="SimSun" w:hAnsi="SimSun" w:eastAsia="SimSun" w:cs="SimSun"/>
          <w:sz w:val="21"/>
          <w:szCs w:val="21"/>
          <w:spacing w:val="11"/>
        </w:rPr>
        <w:t xml:space="preserve"> </w:t>
      </w:r>
      <w:r>
        <w:rPr>
          <w:rFonts w:ascii="SimSun" w:hAnsi="SimSun" w:eastAsia="SimSun" w:cs="SimSun"/>
          <w:sz w:val="21"/>
          <w:szCs w:val="21"/>
          <w:spacing w:val="-12"/>
        </w:rPr>
        <w:t>论收入分配问题，第四节提出政策建议。</w:t>
      </w:r>
    </w:p>
    <w:p>
      <w:pPr>
        <w:pStyle w:val="BodyText"/>
        <w:spacing w:line="365" w:lineRule="auto"/>
        <w:rPr/>
      </w:pPr>
      <w:r/>
    </w:p>
    <w:p>
      <w:pPr>
        <w:ind w:left="1154"/>
        <w:spacing w:before="104" w:line="220" w:lineRule="auto"/>
        <w:rPr>
          <w:rFonts w:ascii="SimSun" w:hAnsi="SimSun" w:eastAsia="SimSun" w:cs="SimSun"/>
          <w:sz w:val="32"/>
          <w:szCs w:val="32"/>
        </w:rPr>
      </w:pPr>
      <w:r>
        <w:rPr>
          <w:rFonts w:ascii="SimSun" w:hAnsi="SimSun" w:eastAsia="SimSun" w:cs="SimSun"/>
          <w:sz w:val="32"/>
          <w:szCs w:val="32"/>
          <w:b/>
          <w:bCs/>
          <w:spacing w:val="-6"/>
        </w:rPr>
        <w:t>平台经济发展对就业的影响</w:t>
      </w:r>
    </w:p>
    <w:p>
      <w:pPr>
        <w:pStyle w:val="BodyText"/>
        <w:spacing w:line="267" w:lineRule="auto"/>
        <w:rPr/>
      </w:pPr>
      <w:r/>
    </w:p>
    <w:p>
      <w:pPr>
        <w:ind w:firstLine="430"/>
        <w:spacing w:before="68" w:line="298" w:lineRule="auto"/>
        <w:jc w:val="both"/>
        <w:rPr>
          <w:rFonts w:ascii="SimSun" w:hAnsi="SimSun" w:eastAsia="SimSun" w:cs="SimSun"/>
          <w:sz w:val="21"/>
          <w:szCs w:val="21"/>
        </w:rPr>
      </w:pPr>
      <w:r>
        <w:rPr>
          <w:rFonts w:ascii="SimSun" w:hAnsi="SimSun" w:eastAsia="SimSun" w:cs="SimSun"/>
          <w:sz w:val="21"/>
          <w:szCs w:val="21"/>
          <w:spacing w:val="-11"/>
        </w:rPr>
        <w:t>平台经济发展对就业的影响可以简单概括为：随着数字技术的进</w:t>
      </w:r>
      <w:r>
        <w:rPr>
          <w:rFonts w:ascii="SimSun" w:hAnsi="SimSun" w:eastAsia="SimSun" w:cs="SimSun"/>
          <w:sz w:val="21"/>
          <w:szCs w:val="21"/>
          <w:spacing w:val="14"/>
        </w:rPr>
        <w:t xml:space="preserve"> </w:t>
      </w:r>
      <w:r>
        <w:rPr>
          <w:rFonts w:ascii="SimSun" w:hAnsi="SimSun" w:eastAsia="SimSun" w:cs="SimSun"/>
          <w:sz w:val="21"/>
          <w:szCs w:val="21"/>
          <w:spacing w:val="-10"/>
        </w:rPr>
        <w:t>步，平台经济迅速崛起，导致大量工作在形式、任务</w:t>
      </w:r>
      <w:r>
        <w:rPr>
          <w:rFonts w:ascii="SimSun" w:hAnsi="SimSun" w:eastAsia="SimSun" w:cs="SimSun"/>
          <w:sz w:val="21"/>
          <w:szCs w:val="21"/>
          <w:spacing w:val="-11"/>
        </w:rPr>
        <w:t>、性质等方面出</w:t>
      </w:r>
      <w:r>
        <w:rPr>
          <w:rFonts w:ascii="SimSun" w:hAnsi="SimSun" w:eastAsia="SimSun" w:cs="SimSun"/>
          <w:sz w:val="21"/>
          <w:szCs w:val="21"/>
        </w:rPr>
        <w:t xml:space="preserve"> </w:t>
      </w:r>
      <w:r>
        <w:rPr>
          <w:rFonts w:ascii="SimSun" w:hAnsi="SimSun" w:eastAsia="SimSun" w:cs="SimSun"/>
          <w:sz w:val="21"/>
          <w:szCs w:val="21"/>
          <w:spacing w:val="-8"/>
        </w:rPr>
        <w:t>现了根本性的变革，在全球范围内引发了劳动力市场的结构性变革，</w:t>
      </w:r>
      <w:r>
        <w:rPr>
          <w:rFonts w:ascii="SimSun" w:hAnsi="SimSun" w:eastAsia="SimSun" w:cs="SimSun"/>
          <w:sz w:val="21"/>
          <w:szCs w:val="21"/>
          <w:spacing w:val="13"/>
        </w:rPr>
        <w:t xml:space="preserve"> </w:t>
      </w:r>
      <w:r>
        <w:rPr>
          <w:rFonts w:ascii="SimSun" w:hAnsi="SimSun" w:eastAsia="SimSun" w:cs="SimSun"/>
          <w:sz w:val="21"/>
          <w:szCs w:val="21"/>
          <w:spacing w:val="-4"/>
        </w:rPr>
        <w:t>大大拓展了劳动就业和创业的图谱，对劳动就业选择产生了深刻的</w:t>
      </w:r>
      <w:r>
        <w:rPr>
          <w:rFonts w:ascii="SimSun" w:hAnsi="SimSun" w:eastAsia="SimSun" w:cs="SimSun"/>
          <w:sz w:val="21"/>
          <w:szCs w:val="21"/>
          <w:spacing w:val="5"/>
        </w:rPr>
        <w:t xml:space="preserve">  </w:t>
      </w:r>
      <w:r>
        <w:rPr>
          <w:rFonts w:ascii="SimSun" w:hAnsi="SimSun" w:eastAsia="SimSun" w:cs="SimSun"/>
          <w:sz w:val="21"/>
          <w:szCs w:val="21"/>
          <w:spacing w:val="-9"/>
        </w:rPr>
        <w:t>影响。</w:t>
      </w:r>
    </w:p>
    <w:p>
      <w:pPr>
        <w:pStyle w:val="BodyText"/>
        <w:spacing w:line="378"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4"/>
        </w:rPr>
        <w:t>数字经济影响就业的理论分析和主要发现</w:t>
      </w:r>
    </w:p>
    <w:p>
      <w:pPr>
        <w:pStyle w:val="BodyText"/>
        <w:spacing w:line="354" w:lineRule="auto"/>
        <w:rPr/>
      </w:pPr>
      <w:r/>
    </w:p>
    <w:p>
      <w:pPr>
        <w:spacing w:before="68" w:line="370" w:lineRule="exact"/>
        <w:jc w:val="right"/>
        <w:rPr>
          <w:rFonts w:ascii="SimSun" w:hAnsi="SimSun" w:eastAsia="SimSun" w:cs="SimSun"/>
          <w:sz w:val="21"/>
          <w:szCs w:val="21"/>
        </w:rPr>
      </w:pPr>
      <w:r>
        <w:rPr>
          <w:rFonts w:ascii="SimSun" w:hAnsi="SimSun" w:eastAsia="SimSun" w:cs="SimSun"/>
          <w:sz w:val="21"/>
          <w:szCs w:val="21"/>
          <w:spacing w:val="-9"/>
          <w:position w:val="12"/>
        </w:rPr>
        <w:t>自动化与人工智能技术的广泛应用是数字经济发展的重要特征。</w:t>
      </w:r>
    </w:p>
    <w:p>
      <w:pPr>
        <w:spacing w:before="1" w:line="219" w:lineRule="auto"/>
        <w:rPr>
          <w:rFonts w:ascii="SimSun" w:hAnsi="SimSun" w:eastAsia="SimSun" w:cs="SimSun"/>
          <w:sz w:val="21"/>
          <w:szCs w:val="21"/>
        </w:rPr>
      </w:pPr>
      <w:r>
        <w:rPr>
          <w:rFonts w:ascii="SimSun" w:hAnsi="SimSun" w:eastAsia="SimSun" w:cs="SimSun"/>
          <w:sz w:val="21"/>
          <w:szCs w:val="21"/>
          <w:spacing w:val="-4"/>
        </w:rPr>
        <w:t>现有文献主要考察了自动化、智能化等数字技术的应用对就业的影</w:t>
      </w:r>
    </w:p>
    <w:p>
      <w:pPr>
        <w:spacing w:line="219" w:lineRule="auto"/>
        <w:sectPr>
          <w:headerReference w:type="default" r:id="rId187"/>
          <w:pgSz w:w="7330" w:h="12480"/>
          <w:pgMar w:top="487" w:right="475" w:bottom="400" w:left="779" w:header="325" w:footer="0" w:gutter="0"/>
        </w:sectPr>
        <w:rPr>
          <w:rFonts w:ascii="SimSun" w:hAnsi="SimSun" w:eastAsia="SimSun" w:cs="SimSun"/>
          <w:sz w:val="21"/>
          <w:szCs w:val="21"/>
        </w:rPr>
      </w:pPr>
    </w:p>
    <w:p>
      <w:pPr>
        <w:ind w:left="1339"/>
        <w:spacing w:before="148" w:line="220" w:lineRule="auto"/>
        <w:rPr>
          <w:rFonts w:ascii="SimSun" w:hAnsi="SimSun" w:eastAsia="SimSun" w:cs="SimSun"/>
          <w:sz w:val="12"/>
          <w:szCs w:val="12"/>
        </w:rPr>
      </w:pPr>
      <w:r>
        <w:rPr>
          <w:rFonts w:ascii="YouYuan" w:hAnsi="YouYuan" w:eastAsia="YouYuan" w:cs="YouYuan"/>
          <w:sz w:val="19"/>
          <w:szCs w:val="19"/>
          <w:spacing w:val="-13"/>
          <w:w w:val="88"/>
        </w:rPr>
        <w:t>第四章</w:t>
      </w:r>
      <w:r>
        <w:rPr>
          <w:rFonts w:ascii="YouYuan" w:hAnsi="YouYuan" w:eastAsia="YouYuan" w:cs="YouYuan"/>
          <w:sz w:val="19"/>
          <w:szCs w:val="19"/>
          <w:spacing w:val="-13"/>
          <w:w w:val="88"/>
        </w:rPr>
        <w:t xml:space="preserve">  </w:t>
      </w:r>
      <w:r>
        <w:rPr>
          <w:rFonts w:ascii="YouYuan" w:hAnsi="YouYuan" w:eastAsia="YouYuan" w:cs="YouYuan"/>
          <w:sz w:val="19"/>
          <w:szCs w:val="19"/>
          <w:spacing w:val="-13"/>
          <w:w w:val="88"/>
        </w:rPr>
        <w:t>平台经济对劳动力市场和收入分配的影响</w:t>
      </w:r>
      <w:r>
        <w:rPr>
          <w:rFonts w:ascii="YouYuan" w:hAnsi="YouYuan" w:eastAsia="YouYuan" w:cs="YouYuan"/>
          <w:sz w:val="19"/>
          <w:szCs w:val="19"/>
          <w:spacing w:val="2"/>
        </w:rPr>
        <w:t xml:space="preserve">           </w:t>
      </w:r>
      <w:r>
        <w:rPr>
          <w:rFonts w:ascii="SimSun" w:hAnsi="SimSun" w:eastAsia="SimSun" w:cs="SimSun"/>
          <w:sz w:val="12"/>
          <w:szCs w:val="12"/>
          <w:position w:val="-4"/>
        </w:rPr>
        <w:t>149</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right="67"/>
        <w:spacing w:before="62" w:line="349" w:lineRule="auto"/>
        <w:jc w:val="both"/>
        <w:rPr>
          <w:rFonts w:ascii="SimSun" w:hAnsi="SimSun" w:eastAsia="SimSun" w:cs="SimSun"/>
          <w:sz w:val="19"/>
          <w:szCs w:val="19"/>
        </w:rPr>
      </w:pPr>
      <w:r>
        <w:rPr>
          <w:rFonts w:ascii="SimSun" w:hAnsi="SimSun" w:eastAsia="SimSun" w:cs="SimSun"/>
          <w:sz w:val="19"/>
          <w:szCs w:val="19"/>
          <w:spacing w:val="9"/>
        </w:rPr>
        <w:t>响，其效果包括替代作用、互补作用和创造性作用。其中，替代性作</w:t>
      </w:r>
      <w:r>
        <w:rPr>
          <w:rFonts w:ascii="SimSun" w:hAnsi="SimSun" w:eastAsia="SimSun" w:cs="SimSun"/>
          <w:sz w:val="19"/>
          <w:szCs w:val="19"/>
          <w:spacing w:val="11"/>
        </w:rPr>
        <w:t xml:space="preserve"> </w:t>
      </w:r>
      <w:r>
        <w:rPr>
          <w:rFonts w:ascii="SimSun" w:hAnsi="SimSun" w:eastAsia="SimSun" w:cs="SimSun"/>
          <w:sz w:val="19"/>
          <w:szCs w:val="19"/>
          <w:spacing w:val="9"/>
        </w:rPr>
        <w:t>用主要会对就业产生负面效果，而互补作用和创造性作用则会带动就</w:t>
      </w:r>
    </w:p>
    <w:p>
      <w:pPr>
        <w:spacing w:line="217" w:lineRule="auto"/>
        <w:rPr>
          <w:rFonts w:ascii="SimSun" w:hAnsi="SimSun" w:eastAsia="SimSun" w:cs="SimSun"/>
          <w:sz w:val="19"/>
          <w:szCs w:val="19"/>
        </w:rPr>
      </w:pPr>
      <w:r>
        <w:rPr>
          <w:rFonts w:ascii="SimSun" w:hAnsi="SimSun" w:eastAsia="SimSun" w:cs="SimSun"/>
          <w:sz w:val="19"/>
          <w:szCs w:val="19"/>
          <w:spacing w:val="4"/>
        </w:rPr>
        <w:t>业的增长，甚至会创造出一些新的工作岗位。①</w:t>
      </w:r>
    </w:p>
    <w:p>
      <w:pPr>
        <w:ind w:right="10" w:firstLine="440"/>
        <w:spacing w:before="133" w:line="350" w:lineRule="auto"/>
        <w:jc w:val="both"/>
        <w:rPr>
          <w:rFonts w:ascii="SimSun" w:hAnsi="SimSun" w:eastAsia="SimSun" w:cs="SimSun"/>
          <w:sz w:val="19"/>
          <w:szCs w:val="19"/>
        </w:rPr>
      </w:pPr>
      <w:r>
        <w:rPr>
          <w:rFonts w:ascii="SimSun" w:hAnsi="SimSun" w:eastAsia="SimSun" w:cs="SimSun"/>
          <w:sz w:val="19"/>
          <w:szCs w:val="19"/>
          <w:spacing w:val="17"/>
        </w:rPr>
        <w:t>大部分研究支持数字经济对就业的正向促进作用超过负向替代</w:t>
      </w:r>
      <w:r>
        <w:rPr>
          <w:rFonts w:ascii="SimSun" w:hAnsi="SimSun" w:eastAsia="SimSun" w:cs="SimSun"/>
          <w:sz w:val="19"/>
          <w:szCs w:val="19"/>
          <w:spacing w:val="9"/>
        </w:rPr>
        <w:t xml:space="preserve"> </w:t>
      </w:r>
      <w:r>
        <w:rPr>
          <w:rFonts w:ascii="SimSun" w:hAnsi="SimSun" w:eastAsia="SimSun" w:cs="SimSun"/>
          <w:sz w:val="19"/>
          <w:szCs w:val="19"/>
          <w:spacing w:val="16"/>
        </w:rPr>
        <w:t>作用。主要原因在于，虽然数字技术的发展替代了人工在程序化工</w:t>
      </w:r>
      <w:r>
        <w:rPr>
          <w:rFonts w:ascii="SimSun" w:hAnsi="SimSun" w:eastAsia="SimSun" w:cs="SimSun"/>
          <w:sz w:val="19"/>
          <w:szCs w:val="19"/>
          <w:spacing w:val="5"/>
        </w:rPr>
        <w:t xml:space="preserve"> </w:t>
      </w:r>
      <w:r>
        <w:rPr>
          <w:rFonts w:ascii="SimSun" w:hAnsi="SimSun" w:eastAsia="SimSun" w:cs="SimSun"/>
          <w:sz w:val="19"/>
          <w:szCs w:val="19"/>
          <w:spacing w:val="16"/>
        </w:rPr>
        <w:t>作方面的比较优势，却大大扩展了人在问题解决、可变性与创造性</w:t>
      </w:r>
      <w:r>
        <w:rPr>
          <w:rFonts w:ascii="SimSun" w:hAnsi="SimSun" w:eastAsia="SimSun" w:cs="SimSun"/>
          <w:sz w:val="19"/>
          <w:szCs w:val="19"/>
          <w:spacing w:val="2"/>
        </w:rPr>
        <w:t xml:space="preserve"> </w:t>
      </w:r>
      <w:r>
        <w:rPr>
          <w:rFonts w:ascii="SimSun" w:hAnsi="SimSun" w:eastAsia="SimSun" w:cs="SimSun"/>
          <w:sz w:val="19"/>
          <w:szCs w:val="19"/>
          <w:spacing w:val="7"/>
        </w:rPr>
        <w:t>方面的比较优势，甚至会通过创造新任务而增加就业。</w:t>
      </w:r>
      <w:r>
        <w:rPr>
          <w:rFonts w:ascii="SimSun" w:hAnsi="SimSun" w:eastAsia="SimSun" w:cs="SimSun"/>
          <w:sz w:val="19"/>
          <w:szCs w:val="19"/>
          <w:spacing w:val="6"/>
        </w:rPr>
        <w:t>戴维·</w:t>
      </w:r>
      <w:r>
        <w:rPr>
          <w:rFonts w:ascii="Times New Roman" w:hAnsi="Times New Roman" w:eastAsia="Times New Roman" w:cs="Times New Roman"/>
          <w:sz w:val="19"/>
          <w:szCs w:val="19"/>
          <w:spacing w:val="6"/>
        </w:rPr>
        <w:t>H. </w:t>
      </w:r>
      <w:r>
        <w:rPr>
          <w:rFonts w:ascii="SimSun" w:hAnsi="SimSun" w:eastAsia="SimSun" w:cs="SimSun"/>
          <w:sz w:val="19"/>
          <w:szCs w:val="19"/>
          <w:spacing w:val="6"/>
        </w:rPr>
        <w:t>奥</w:t>
      </w:r>
      <w:r>
        <w:rPr>
          <w:rFonts w:ascii="SimSun" w:hAnsi="SimSun" w:eastAsia="SimSun" w:cs="SimSun"/>
          <w:sz w:val="19"/>
          <w:szCs w:val="19"/>
          <w:spacing w:val="-38"/>
        </w:rPr>
        <w:t xml:space="preserve"> </w:t>
      </w:r>
      <w:r>
        <w:rPr>
          <w:rFonts w:ascii="SimSun" w:hAnsi="SimSun" w:eastAsia="SimSun" w:cs="SimSun"/>
          <w:sz w:val="19"/>
          <w:szCs w:val="19"/>
          <w:spacing w:val="6"/>
        </w:rPr>
        <w:t>特</w:t>
      </w:r>
      <w:r>
        <w:rPr>
          <w:rFonts w:ascii="SimSun" w:hAnsi="SimSun" w:eastAsia="SimSun" w:cs="SimSun"/>
          <w:sz w:val="19"/>
          <w:szCs w:val="19"/>
        </w:rPr>
        <w:t xml:space="preserve"> </w:t>
      </w:r>
      <w:r>
        <w:rPr>
          <w:rFonts w:ascii="SimSun" w:hAnsi="SimSun" w:eastAsia="SimSun" w:cs="SimSun"/>
          <w:sz w:val="19"/>
          <w:szCs w:val="19"/>
          <w:spacing w:val="15"/>
        </w:rPr>
        <w:t>等考察了1980—2007年贸易和技术对美国劳动力市场的影响，发现</w:t>
      </w:r>
      <w:r>
        <w:rPr>
          <w:rFonts w:ascii="SimSun" w:hAnsi="SimSun" w:eastAsia="SimSun" w:cs="SimSun"/>
          <w:sz w:val="19"/>
          <w:szCs w:val="19"/>
          <w:spacing w:val="11"/>
        </w:rPr>
        <w:t xml:space="preserve"> </w:t>
      </w:r>
      <w:r>
        <w:rPr>
          <w:rFonts w:ascii="SimSun" w:hAnsi="SimSun" w:eastAsia="SimSun" w:cs="SimSun"/>
          <w:sz w:val="19"/>
          <w:szCs w:val="19"/>
          <w:spacing w:val="16"/>
        </w:rPr>
        <w:t>计算机化带来了制造业和非制造业部门的职业两极化，但是并没有</w:t>
      </w:r>
      <w:r>
        <w:rPr>
          <w:rFonts w:ascii="SimSun" w:hAnsi="SimSun" w:eastAsia="SimSun" w:cs="SimSun"/>
          <w:sz w:val="19"/>
          <w:szCs w:val="19"/>
          <w:spacing w:val="4"/>
        </w:rPr>
        <w:t xml:space="preserve"> </w:t>
      </w:r>
      <w:r>
        <w:rPr>
          <w:rFonts w:ascii="SimSun" w:hAnsi="SimSun" w:eastAsia="SimSun" w:cs="SimSun"/>
          <w:sz w:val="19"/>
          <w:szCs w:val="19"/>
          <w:spacing w:val="8"/>
        </w:rPr>
        <w:t>使就业量明显降低。②特里·格雷戈利等使用1999—2010年欧洲的数</w:t>
      </w:r>
      <w:r>
        <w:rPr>
          <w:rFonts w:ascii="SimSun" w:hAnsi="SimSun" w:eastAsia="SimSun" w:cs="SimSun"/>
          <w:sz w:val="19"/>
          <w:szCs w:val="19"/>
          <w:spacing w:val="5"/>
        </w:rPr>
        <w:t xml:space="preserve"> </w:t>
      </w:r>
      <w:r>
        <w:rPr>
          <w:rFonts w:ascii="SimSun" w:hAnsi="SimSun" w:eastAsia="SimSun" w:cs="SimSun"/>
          <w:sz w:val="19"/>
          <w:szCs w:val="19"/>
          <w:spacing w:val="10"/>
        </w:rPr>
        <w:t>据，研究了常规性工作替代技术对劳动需求的影响，发现替代作用被</w:t>
      </w:r>
      <w:r>
        <w:rPr>
          <w:rFonts w:ascii="SimSun" w:hAnsi="SimSun" w:eastAsia="SimSun" w:cs="SimSun"/>
          <w:sz w:val="19"/>
          <w:szCs w:val="19"/>
          <w:spacing w:val="17"/>
        </w:rPr>
        <w:t xml:space="preserve"> </w:t>
      </w:r>
      <w:r>
        <w:rPr>
          <w:rFonts w:ascii="SimSun" w:hAnsi="SimSun" w:eastAsia="SimSun" w:cs="SimSun"/>
          <w:sz w:val="19"/>
          <w:szCs w:val="19"/>
          <w:spacing w:val="10"/>
        </w:rPr>
        <w:t>总需求的扩大以及技术产生的溢出作用弥补。③沃尔夫冈·多思等运</w:t>
      </w:r>
      <w:r>
        <w:rPr>
          <w:rFonts w:ascii="SimSun" w:hAnsi="SimSun" w:eastAsia="SimSun" w:cs="SimSun"/>
          <w:sz w:val="19"/>
          <w:szCs w:val="19"/>
          <w:spacing w:val="16"/>
        </w:rPr>
        <w:t xml:space="preserve"> </w:t>
      </w:r>
      <w:r>
        <w:rPr>
          <w:rFonts w:ascii="SimSun" w:hAnsi="SimSun" w:eastAsia="SimSun" w:cs="SimSun"/>
          <w:sz w:val="19"/>
          <w:szCs w:val="19"/>
          <w:spacing w:val="14"/>
        </w:rPr>
        <w:t>用1994—2014年间德国的数据研究发现，机器人的应用减少了制造</w:t>
      </w:r>
      <w:r>
        <w:rPr>
          <w:rFonts w:ascii="SimSun" w:hAnsi="SimSun" w:eastAsia="SimSun" w:cs="SimSun"/>
          <w:sz w:val="19"/>
          <w:szCs w:val="19"/>
          <w:spacing w:val="4"/>
        </w:rPr>
        <w:t xml:space="preserve"> </w:t>
      </w:r>
      <w:r>
        <w:rPr>
          <w:rFonts w:ascii="SimSun" w:hAnsi="SimSun" w:eastAsia="SimSun" w:cs="SimSun"/>
          <w:sz w:val="19"/>
          <w:szCs w:val="19"/>
          <w:spacing w:val="9"/>
        </w:rPr>
        <w:t>业部门的就业，但是增加了服务业的就业，因此并未造成总体上的就</w:t>
      </w:r>
      <w:r>
        <w:rPr>
          <w:rFonts w:ascii="SimSun" w:hAnsi="SimSun" w:eastAsia="SimSun" w:cs="SimSun"/>
          <w:sz w:val="19"/>
          <w:szCs w:val="19"/>
          <w:spacing w:val="7"/>
        </w:rPr>
        <w:t xml:space="preserve"> </w:t>
      </w:r>
      <w:r>
        <w:rPr>
          <w:rFonts w:ascii="SimSun" w:hAnsi="SimSun" w:eastAsia="SimSun" w:cs="SimSun"/>
          <w:sz w:val="19"/>
          <w:szCs w:val="19"/>
          <w:spacing w:val="15"/>
        </w:rPr>
        <w:t>业损失。  霍德马克运用15个</w:t>
      </w:r>
      <w:r>
        <w:rPr>
          <w:rFonts w:ascii="SimSun" w:hAnsi="SimSun" w:eastAsia="SimSun" w:cs="SimSun"/>
          <w:sz w:val="19"/>
          <w:szCs w:val="19"/>
          <w:spacing w:val="-51"/>
        </w:rPr>
        <w:t xml:space="preserve"> </w:t>
      </w:r>
      <w:r>
        <w:rPr>
          <w:rFonts w:ascii="Times New Roman" w:hAnsi="Times New Roman" w:eastAsia="Times New Roman" w:cs="Times New Roman"/>
          <w:sz w:val="19"/>
          <w:szCs w:val="19"/>
        </w:rPr>
        <w:t>OECD</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15"/>
        </w:rPr>
        <w:t>国家15年的机器人专利数据评</w:t>
      </w:r>
      <w:r>
        <w:rPr>
          <w:rFonts w:ascii="SimSun" w:hAnsi="SimSun" w:eastAsia="SimSun" w:cs="SimSun"/>
          <w:sz w:val="19"/>
          <w:szCs w:val="19"/>
        </w:rPr>
        <w:t xml:space="preserve"> </w:t>
      </w:r>
      <w:r>
        <w:rPr>
          <w:rFonts w:ascii="SimSun" w:hAnsi="SimSun" w:eastAsia="SimSun" w:cs="SimSun"/>
          <w:sz w:val="19"/>
          <w:szCs w:val="19"/>
          <w:spacing w:val="17"/>
        </w:rPr>
        <w:t>估了机器人技术的进步对劳动力市场的影响，发现了温和的正向影</w:t>
      </w:r>
    </w:p>
    <w:p>
      <w:pPr>
        <w:spacing w:line="217" w:lineRule="auto"/>
        <w:rPr>
          <w:rFonts w:ascii="SimSun" w:hAnsi="SimSun" w:eastAsia="SimSun" w:cs="SimSun"/>
          <w:sz w:val="19"/>
          <w:szCs w:val="19"/>
        </w:rPr>
      </w:pPr>
      <w:r>
        <w:rPr>
          <w:rFonts w:ascii="SimSun" w:hAnsi="SimSun" w:eastAsia="SimSun" w:cs="SimSun"/>
          <w:sz w:val="19"/>
          <w:szCs w:val="19"/>
          <w:spacing w:val="10"/>
        </w:rPr>
        <w:t>响。③艾希霍斯特等利用欧洲劳动调查的数据，发现没有任何迹象表</w:t>
      </w:r>
    </w:p>
    <w:p>
      <w:pPr>
        <w:ind w:left="309" w:right="23" w:hanging="309"/>
        <w:spacing w:before="280" w:line="256" w:lineRule="auto"/>
        <w:rPr>
          <w:rFonts w:ascii="KaiTi" w:hAnsi="KaiTi" w:eastAsia="KaiTi" w:cs="KaiTi"/>
          <w:sz w:val="19"/>
          <w:szCs w:val="19"/>
        </w:rPr>
      </w:pPr>
      <w:r>
        <w:rPr>
          <w:rFonts w:ascii="KaiTi" w:hAnsi="KaiTi" w:eastAsia="KaiTi" w:cs="KaiTi"/>
          <w:sz w:val="19"/>
          <w:szCs w:val="19"/>
          <w:spacing w:val="-25"/>
        </w:rPr>
        <w:t>①</w:t>
      </w:r>
      <w:r>
        <w:rPr>
          <w:rFonts w:ascii="KaiTi" w:hAnsi="KaiTi" w:eastAsia="KaiTi" w:cs="KaiTi"/>
          <w:sz w:val="19"/>
          <w:szCs w:val="19"/>
          <w:spacing w:val="65"/>
        </w:rPr>
        <w:t xml:space="preserve"> </w:t>
      </w:r>
      <w:r>
        <w:rPr>
          <w:rFonts w:ascii="KaiTi" w:hAnsi="KaiTi" w:eastAsia="KaiTi" w:cs="KaiTi"/>
          <w:sz w:val="19"/>
          <w:szCs w:val="19"/>
          <w:spacing w:val="-25"/>
        </w:rPr>
        <w:t>例如，菲利普·阿吉翁和彼得·豪伊特(1994)就曾指出，技术替代劳动所产生的</w:t>
      </w:r>
      <w:r>
        <w:rPr>
          <w:rFonts w:ascii="KaiTi" w:hAnsi="KaiTi" w:eastAsia="KaiTi" w:cs="KaiTi"/>
          <w:sz w:val="19"/>
          <w:szCs w:val="19"/>
        </w:rPr>
        <w:t xml:space="preserve"> </w:t>
      </w:r>
      <w:r>
        <w:rPr>
          <w:rFonts w:ascii="KaiTi" w:hAnsi="KaiTi" w:eastAsia="KaiTi" w:cs="KaiTi"/>
          <w:sz w:val="19"/>
          <w:szCs w:val="19"/>
          <w:spacing w:val="-12"/>
          <w:w w:val="92"/>
        </w:rPr>
        <w:t>破坏效应，会迫使工人重新规划劳动供给，</w:t>
      </w:r>
      <w:r>
        <w:rPr>
          <w:rFonts w:ascii="KaiTi" w:hAnsi="KaiTi" w:eastAsia="KaiTi" w:cs="KaiTi"/>
          <w:sz w:val="19"/>
          <w:szCs w:val="19"/>
          <w:spacing w:val="-13"/>
          <w:w w:val="92"/>
        </w:rPr>
        <w:t>而技术产生的资本化效应，会使更多</w:t>
      </w:r>
      <w:r>
        <w:rPr>
          <w:rFonts w:ascii="KaiTi" w:hAnsi="KaiTi" w:eastAsia="KaiTi" w:cs="KaiTi"/>
          <w:sz w:val="19"/>
          <w:szCs w:val="19"/>
        </w:rPr>
        <w:t xml:space="preserve"> </w:t>
      </w:r>
      <w:r>
        <w:rPr>
          <w:rFonts w:ascii="KaiTi" w:hAnsi="KaiTi" w:eastAsia="KaiTi" w:cs="KaiTi"/>
          <w:sz w:val="19"/>
          <w:szCs w:val="19"/>
          <w:spacing w:val="-13"/>
          <w:w w:val="92"/>
        </w:rPr>
        <w:t>企业进入生产率相对更高的行业并最终扩大就业规模。</w:t>
      </w:r>
    </w:p>
    <w:p>
      <w:pPr>
        <w:ind w:left="308" w:right="19" w:hanging="309"/>
        <w:spacing w:before="65" w:line="245" w:lineRule="auto"/>
        <w:rPr>
          <w:rFonts w:ascii="Times New Roman" w:hAnsi="Times New Roman" w:eastAsia="Times New Roman" w:cs="Times New Roman"/>
          <w:sz w:val="19"/>
          <w:szCs w:val="19"/>
        </w:rPr>
      </w:pPr>
      <w:r>
        <w:rPr>
          <w:rFonts w:ascii="SimSun" w:hAnsi="SimSun" w:eastAsia="SimSun" w:cs="SimSun"/>
          <w:sz w:val="19"/>
          <w:szCs w:val="19"/>
          <w:spacing w:val="-9"/>
        </w:rPr>
        <w:t>②</w:t>
      </w:r>
      <w:r>
        <w:rPr>
          <w:rFonts w:ascii="SimSun" w:hAnsi="SimSun" w:eastAsia="SimSun" w:cs="SimSun"/>
          <w:sz w:val="19"/>
          <w:szCs w:val="19"/>
          <w:spacing w:val="57"/>
        </w:rPr>
        <w:t xml:space="preserve"> </w:t>
      </w:r>
      <w:r>
        <w:rPr>
          <w:rFonts w:ascii="Times New Roman" w:hAnsi="Times New Roman" w:eastAsia="Times New Roman" w:cs="Times New Roman"/>
          <w:sz w:val="19"/>
          <w:szCs w:val="19"/>
          <w:spacing w:val="-9"/>
        </w:rPr>
        <w:t>D.H.Autor,D.Dom,G.H.Hanson,“Untangling Trade and Technology:Evidence from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0"/>
        </w:rPr>
        <w:t>Local Labour Markets",The Economic Journal,2015,125(584):621-646.</w:t>
      </w:r>
    </w:p>
    <w:p>
      <w:pPr>
        <w:ind w:left="308" w:right="10" w:hanging="309"/>
        <w:spacing w:before="97" w:line="258" w:lineRule="auto"/>
        <w:rPr>
          <w:rFonts w:ascii="SimSun" w:hAnsi="SimSun" w:eastAsia="SimSun" w:cs="SimSun"/>
          <w:sz w:val="19"/>
          <w:szCs w:val="19"/>
        </w:rPr>
      </w:pPr>
      <w:r>
        <w:rPr>
          <w:rFonts w:ascii="SimSun" w:hAnsi="SimSun" w:eastAsia="SimSun" w:cs="SimSun"/>
          <w:sz w:val="19"/>
          <w:szCs w:val="19"/>
          <w:spacing w:val="-7"/>
        </w:rPr>
        <w:t>③</w:t>
      </w:r>
      <w:r>
        <w:rPr>
          <w:rFonts w:ascii="SimSun" w:hAnsi="SimSun" w:eastAsia="SimSun" w:cs="SimSun"/>
          <w:sz w:val="19"/>
          <w:szCs w:val="19"/>
          <w:spacing w:val="31"/>
        </w:rPr>
        <w:t xml:space="preserve"> </w:t>
      </w:r>
      <w:r>
        <w:rPr>
          <w:rFonts w:ascii="Times New Roman" w:hAnsi="Times New Roman" w:eastAsia="Times New Roman" w:cs="Times New Roman"/>
          <w:sz w:val="19"/>
          <w:szCs w:val="19"/>
          <w:spacing w:val="-7"/>
        </w:rPr>
        <w:t>T.Gregory,A.Salomons,U.Zierahn,“Racing w</w:t>
      </w:r>
      <w:r>
        <w:rPr>
          <w:rFonts w:ascii="Times New Roman" w:hAnsi="Times New Roman" w:eastAsia="Times New Roman" w:cs="Times New Roman"/>
          <w:sz w:val="19"/>
          <w:szCs w:val="19"/>
          <w:spacing w:val="-8"/>
        </w:rPr>
        <w:t>ith or Against the Machine?Evidence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from Europe",ZEW-Centre for European Economic Research Discussion Paper,</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3"/>
        </w:rPr>
        <w:t>No.16-053,2016.</w:t>
      </w:r>
    </w:p>
    <w:p>
      <w:pPr>
        <w:spacing w:before="54" w:line="212" w:lineRule="auto"/>
        <w:jc w:val="right"/>
        <w:rPr>
          <w:rFonts w:ascii="Times New Roman" w:hAnsi="Times New Roman" w:eastAsia="Times New Roman" w:cs="Times New Roman"/>
          <w:sz w:val="19"/>
          <w:szCs w:val="19"/>
        </w:rPr>
      </w:pPr>
      <w:r>
        <w:rPr>
          <w:rFonts w:ascii="SimSun" w:hAnsi="SimSun" w:eastAsia="SimSun" w:cs="SimSun"/>
          <w:sz w:val="19"/>
          <w:szCs w:val="19"/>
          <w:spacing w:val="-7"/>
        </w:rPr>
        <w:t>④</w:t>
      </w:r>
      <w:r>
        <w:rPr>
          <w:rFonts w:ascii="SimSun" w:hAnsi="SimSun" w:eastAsia="SimSun" w:cs="SimSun"/>
          <w:sz w:val="19"/>
          <w:szCs w:val="19"/>
          <w:spacing w:val="21"/>
        </w:rPr>
        <w:t xml:space="preserve"> </w:t>
      </w:r>
      <w:r>
        <w:rPr>
          <w:rFonts w:ascii="Times New Roman" w:hAnsi="Times New Roman" w:eastAsia="Times New Roman" w:cs="Times New Roman"/>
          <w:sz w:val="19"/>
          <w:szCs w:val="19"/>
          <w:spacing w:val="-7"/>
        </w:rPr>
        <w:t>W.Dauth,S.Findeisen,J.Sue</w:t>
      </w:r>
      <w:r>
        <w:rPr>
          <w:rFonts w:ascii="Times New Roman" w:hAnsi="Times New Roman" w:eastAsia="Times New Roman" w:cs="Times New Roman"/>
          <w:sz w:val="19"/>
          <w:szCs w:val="19"/>
          <w:spacing w:val="-6"/>
        </w:rPr>
        <w:t>dekum,N.Woessner,“German Robots—The</w:t>
      </w:r>
      <w:r>
        <w:rPr>
          <w:rFonts w:ascii="Times New Roman" w:hAnsi="Times New Roman" w:eastAsia="Times New Roman" w:cs="Times New Roman"/>
          <w:sz w:val="19"/>
          <w:szCs w:val="19"/>
          <w:spacing w:val="-7"/>
        </w:rPr>
        <w:t xml:space="preserve"> Impact o</w:t>
      </w:r>
      <w:r>
        <w:rPr>
          <w:rFonts w:ascii="Times New Roman" w:hAnsi="Times New Roman" w:eastAsia="Times New Roman" w:cs="Times New Roman"/>
          <w:sz w:val="19"/>
          <w:szCs w:val="19"/>
          <w:spacing w:val="19"/>
        </w:rPr>
        <w:t>f</w:t>
      </w:r>
    </w:p>
    <w:p>
      <w:pPr>
        <w:ind w:left="309"/>
        <w:spacing w:before="101"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0"/>
        </w:rPr>
        <w:t>Industrial Robots on </w:t>
      </w:r>
      <w:r>
        <w:rPr>
          <w:rFonts w:ascii="Times New Roman" w:hAnsi="Times New Roman" w:eastAsia="Times New Roman" w:cs="Times New Roman"/>
          <w:sz w:val="19"/>
          <w:szCs w:val="19"/>
          <w:spacing w:val="-11"/>
        </w:rPr>
        <w:t>Workers",CEPR Discussion Paper,No.DP12306,2017.</w:t>
      </w:r>
    </w:p>
    <w:p>
      <w:pPr>
        <w:ind w:left="308" w:right="34" w:hanging="309"/>
        <w:spacing w:before="74" w:line="250" w:lineRule="auto"/>
        <w:rPr>
          <w:rFonts w:ascii="Times New Roman" w:hAnsi="Times New Roman" w:eastAsia="Times New Roman" w:cs="Times New Roman"/>
          <w:sz w:val="19"/>
          <w:szCs w:val="19"/>
        </w:rPr>
      </w:pPr>
      <w:r>
        <w:rPr>
          <w:rFonts w:ascii="SimSun" w:hAnsi="SimSun" w:eastAsia="SimSun" w:cs="SimSun"/>
          <w:sz w:val="19"/>
          <w:szCs w:val="19"/>
          <w:spacing w:val="-10"/>
        </w:rPr>
        <w:t>⑤</w:t>
      </w:r>
      <w:r>
        <w:rPr>
          <w:rFonts w:ascii="SimSun" w:hAnsi="SimSun" w:eastAsia="SimSun" w:cs="SimSun"/>
          <w:sz w:val="19"/>
          <w:szCs w:val="19"/>
          <w:spacing w:val="31"/>
        </w:rPr>
        <w:t xml:space="preserve"> </w:t>
      </w:r>
      <w:r>
        <w:rPr>
          <w:rFonts w:ascii="Times New Roman" w:hAnsi="Times New Roman" w:eastAsia="Times New Roman" w:cs="Times New Roman"/>
          <w:sz w:val="19"/>
          <w:szCs w:val="19"/>
          <w:spacing w:val="-10"/>
        </w:rPr>
        <w:t>L.Hoedemakers,“The Changing Nature 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0"/>
        </w:rPr>
        <w:t>Employment:How Technologi</w:t>
      </w:r>
      <w:r>
        <w:rPr>
          <w:rFonts w:ascii="Times New Roman" w:hAnsi="Times New Roman" w:eastAsia="Times New Roman" w:cs="Times New Roman"/>
          <w:sz w:val="19"/>
          <w:szCs w:val="19"/>
          <w:spacing w:val="-11"/>
        </w:rPr>
        <w:t>cal Progress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0"/>
          <w:w w:val="99"/>
        </w:rPr>
        <w:t>and Robotics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0"/>
          <w:w w:val="99"/>
        </w:rPr>
        <w:t>Shape the F</w:t>
      </w:r>
      <w:r>
        <w:rPr>
          <w:rFonts w:ascii="Times New Roman" w:hAnsi="Times New Roman" w:eastAsia="Times New Roman" w:cs="Times New Roman"/>
          <w:sz w:val="19"/>
          <w:szCs w:val="19"/>
          <w:spacing w:val="-11"/>
          <w:w w:val="99"/>
        </w:rPr>
        <w:t>uture of</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1"/>
          <w:w w:val="99"/>
        </w:rPr>
        <w:t>Work”,Lund University Master Thesis,2017.</w:t>
      </w:r>
    </w:p>
    <w:p>
      <w:pPr>
        <w:spacing w:line="250" w:lineRule="auto"/>
        <w:sectPr>
          <w:headerReference w:type="default" r:id="rId1"/>
          <w:pgSz w:w="7330" w:h="12480"/>
          <w:pgMar w:top="400" w:right="879" w:bottom="400" w:left="399" w:header="0" w:footer="0" w:gutter="0"/>
        </w:sectPr>
        <w:rPr>
          <w:rFonts w:ascii="Times New Roman" w:hAnsi="Times New Roman" w:eastAsia="Times New Roman" w:cs="Times New Roman"/>
          <w:sz w:val="19"/>
          <w:szCs w:val="19"/>
        </w:rPr>
      </w:pPr>
    </w:p>
    <w:p>
      <w:pPr>
        <w:spacing w:line="216" w:lineRule="auto"/>
        <w:rPr>
          <w:rFonts w:ascii="YouYuan" w:hAnsi="YouYuan" w:eastAsia="YouYuan" w:cs="YouYuan"/>
          <w:sz w:val="19"/>
          <w:szCs w:val="19"/>
        </w:rPr>
      </w:pPr>
      <w:r>
        <w:drawing>
          <wp:anchor distT="0" distB="0" distL="0" distR="0" simplePos="0" relativeHeight="253300736" behindDoc="0" locked="0" layoutInCell="0" allowOverlap="1">
            <wp:simplePos x="0" y="0"/>
            <wp:positionH relativeFrom="page">
              <wp:posOffset>457216</wp:posOffset>
            </wp:positionH>
            <wp:positionV relativeFrom="page">
              <wp:posOffset>5232423</wp:posOffset>
            </wp:positionV>
            <wp:extent cx="1181092" cy="6350"/>
            <wp:effectExtent l="0" t="0" r="0" b="0"/>
            <wp:wrapNone/>
            <wp:docPr id="150" name="IM 150"/>
            <wp:cNvGraphicFramePr/>
            <a:graphic>
              <a:graphicData uri="http://schemas.openxmlformats.org/drawingml/2006/picture">
                <pic:pic>
                  <pic:nvPicPr>
                    <pic:cNvPr id="150" name="IM 150"/>
                    <pic:cNvPicPr/>
                  </pic:nvPicPr>
                  <pic:blipFill>
                    <a:blip r:embed="rId188"/>
                    <a:stretch>
                      <a:fillRect/>
                    </a:stretch>
                  </pic:blipFill>
                  <pic:spPr>
                    <a:xfrm rot="0">
                      <a:off x="0" y="0"/>
                      <a:ext cx="1181092" cy="6350"/>
                    </a:xfrm>
                    <a:prstGeom prst="rect">
                      <a:avLst/>
                    </a:prstGeom>
                  </pic:spPr>
                </pic:pic>
              </a:graphicData>
            </a:graphic>
          </wp:anchor>
        </w:drawing>
      </w:r>
      <w:r>
        <w:rPr>
          <w:rFonts w:ascii="SimSun" w:hAnsi="SimSun" w:eastAsia="SimSun" w:cs="SimSun"/>
          <w:sz w:val="12"/>
          <w:szCs w:val="12"/>
          <w:spacing w:val="-5"/>
          <w:position w:val="-4"/>
        </w:rPr>
        <w:t>150</w:t>
      </w:r>
      <w:r>
        <w:rPr>
          <w:rFonts w:ascii="SimSun" w:hAnsi="SimSun" w:eastAsia="SimSun" w:cs="SimSun"/>
          <w:sz w:val="12"/>
          <w:szCs w:val="12"/>
          <w:spacing w:val="1"/>
          <w:position w:val="-4"/>
        </w:rPr>
        <w:t xml:space="preserve">                             </w:t>
      </w:r>
      <w:r>
        <w:rPr>
          <w:rFonts w:ascii="YouYuan" w:hAnsi="YouYuan" w:eastAsia="YouYuan" w:cs="YouYuan"/>
          <w:sz w:val="19"/>
          <w:szCs w:val="19"/>
          <w:spacing w:val="-8"/>
          <w:w w:val="86"/>
        </w:rPr>
        <w:t>平台经济——创新、治理与繁荣</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right="56"/>
        <w:spacing w:before="62" w:line="352" w:lineRule="auto"/>
        <w:jc w:val="both"/>
        <w:rPr>
          <w:rFonts w:ascii="SimSun" w:hAnsi="SimSun" w:eastAsia="SimSun" w:cs="SimSun"/>
          <w:sz w:val="19"/>
          <w:szCs w:val="19"/>
        </w:rPr>
      </w:pPr>
      <w:r>
        <w:rPr>
          <w:rFonts w:ascii="SimSun" w:hAnsi="SimSun" w:eastAsia="SimSun" w:cs="SimSun"/>
          <w:sz w:val="19"/>
          <w:szCs w:val="19"/>
          <w:spacing w:val="10"/>
        </w:rPr>
        <w:t>明数字化将导致大规模失业。①与此相反，达龙·阿西莫格鲁</w:t>
      </w:r>
      <w:r>
        <w:rPr>
          <w:rFonts w:ascii="SimSun" w:hAnsi="SimSun" w:eastAsia="SimSun" w:cs="SimSun"/>
          <w:sz w:val="19"/>
          <w:szCs w:val="19"/>
          <w:spacing w:val="9"/>
        </w:rPr>
        <w:t>与帕斯</w:t>
      </w:r>
      <w:r>
        <w:rPr>
          <w:rFonts w:ascii="SimSun" w:hAnsi="SimSun" w:eastAsia="SimSun" w:cs="SimSun"/>
          <w:sz w:val="19"/>
          <w:szCs w:val="19"/>
        </w:rPr>
        <w:t xml:space="preserve"> </w:t>
      </w:r>
      <w:r>
        <w:rPr>
          <w:rFonts w:ascii="SimSun" w:hAnsi="SimSun" w:eastAsia="SimSun" w:cs="SimSun"/>
          <w:sz w:val="19"/>
          <w:szCs w:val="19"/>
          <w:spacing w:val="14"/>
        </w:rPr>
        <w:t>夸尔·雷斯特雷波使用1990—2007年间美国劳动力市场的数据，发</w:t>
      </w:r>
      <w:r>
        <w:rPr>
          <w:rFonts w:ascii="SimSun" w:hAnsi="SimSun" w:eastAsia="SimSun" w:cs="SimSun"/>
          <w:sz w:val="19"/>
          <w:szCs w:val="19"/>
          <w:spacing w:val="5"/>
        </w:rPr>
        <w:t xml:space="preserve"> </w:t>
      </w:r>
      <w:r>
        <w:rPr>
          <w:rFonts w:ascii="SimSun" w:hAnsi="SimSun" w:eastAsia="SimSun" w:cs="SimSun"/>
          <w:sz w:val="19"/>
          <w:szCs w:val="19"/>
          <w:spacing w:val="10"/>
        </w:rPr>
        <w:t>现机器人对工人就业和工资均有显著的负向影响；机器人与工人之比</w:t>
      </w:r>
      <w:r>
        <w:rPr>
          <w:rFonts w:ascii="SimSun" w:hAnsi="SimSun" w:eastAsia="SimSun" w:cs="SimSun"/>
          <w:sz w:val="19"/>
          <w:szCs w:val="19"/>
        </w:rPr>
        <w:t xml:space="preserve"> </w:t>
      </w:r>
      <w:r>
        <w:rPr>
          <w:rFonts w:ascii="SimSun" w:hAnsi="SimSun" w:eastAsia="SimSun" w:cs="SimSun"/>
          <w:sz w:val="19"/>
          <w:szCs w:val="19"/>
          <w:spacing w:val="12"/>
        </w:rPr>
        <w:t>每增加千分之一，就业率会降低0.18~0.3</w:t>
      </w:r>
      <w:r>
        <w:rPr>
          <w:rFonts w:ascii="SimSun" w:hAnsi="SimSun" w:eastAsia="SimSun" w:cs="SimSun"/>
          <w:sz w:val="19"/>
          <w:szCs w:val="19"/>
          <w:spacing w:val="11"/>
        </w:rPr>
        <w:t>4个百分点，而工资会降低</w:t>
      </w:r>
    </w:p>
    <w:p>
      <w:pPr>
        <w:spacing w:line="217" w:lineRule="auto"/>
        <w:rPr>
          <w:rFonts w:ascii="SimSun" w:hAnsi="SimSun" w:eastAsia="SimSun" w:cs="SimSun"/>
          <w:sz w:val="21"/>
          <w:szCs w:val="21"/>
        </w:rPr>
      </w:pPr>
      <w:r>
        <w:rPr>
          <w:rFonts w:ascii="Times New Roman" w:hAnsi="Times New Roman" w:eastAsia="Times New Roman" w:cs="Times New Roman"/>
          <w:sz w:val="21"/>
          <w:szCs w:val="21"/>
          <w:spacing w:val="-13"/>
        </w:rPr>
        <w:t>0.2</w:t>
      </w:r>
      <w:r>
        <w:rPr>
          <w:rFonts w:ascii="SimSun" w:hAnsi="SimSun" w:eastAsia="SimSun" w:cs="SimSun"/>
          <w:sz w:val="21"/>
          <w:szCs w:val="21"/>
          <w:spacing w:val="-13"/>
        </w:rPr>
        <w:t>5~0.5个百分点。③</w:t>
      </w:r>
    </w:p>
    <w:p>
      <w:pPr>
        <w:ind w:right="38" w:firstLine="429"/>
        <w:spacing w:before="102" w:line="350" w:lineRule="auto"/>
        <w:jc w:val="both"/>
        <w:rPr>
          <w:rFonts w:ascii="SimSun" w:hAnsi="SimSun" w:eastAsia="SimSun" w:cs="SimSun"/>
          <w:sz w:val="19"/>
          <w:szCs w:val="19"/>
        </w:rPr>
      </w:pPr>
      <w:r>
        <w:rPr>
          <w:rFonts w:ascii="SimSun" w:hAnsi="SimSun" w:eastAsia="SimSun" w:cs="SimSun"/>
          <w:sz w:val="19"/>
          <w:szCs w:val="19"/>
          <w:spacing w:val="17"/>
        </w:rPr>
        <w:t>一些研究具体讨论了自动化和智能化对各种职业替代程度的差</w:t>
      </w:r>
      <w:r>
        <w:rPr>
          <w:rFonts w:ascii="SimSun" w:hAnsi="SimSun" w:eastAsia="SimSun" w:cs="SimSun"/>
          <w:sz w:val="19"/>
          <w:szCs w:val="19"/>
        </w:rPr>
        <w:t xml:space="preserve"> </w:t>
      </w:r>
      <w:r>
        <w:rPr>
          <w:rFonts w:ascii="SimSun" w:hAnsi="SimSun" w:eastAsia="SimSun" w:cs="SimSun"/>
          <w:sz w:val="19"/>
          <w:szCs w:val="19"/>
          <w:spacing w:val="10"/>
        </w:rPr>
        <w:t>异。不同于以往技术进步中机器设备对体力劳动的替代，智能</w:t>
      </w:r>
      <w:r>
        <w:rPr>
          <w:rFonts w:ascii="SimSun" w:hAnsi="SimSun" w:eastAsia="SimSun" w:cs="SimSun"/>
          <w:sz w:val="19"/>
          <w:szCs w:val="19"/>
          <w:spacing w:val="9"/>
        </w:rPr>
        <w:t>化逐渐</w:t>
      </w:r>
      <w:r>
        <w:rPr>
          <w:rFonts w:ascii="SimSun" w:hAnsi="SimSun" w:eastAsia="SimSun" w:cs="SimSun"/>
          <w:sz w:val="19"/>
          <w:szCs w:val="19"/>
        </w:rPr>
        <w:t xml:space="preserve"> </w:t>
      </w:r>
      <w:r>
        <w:rPr>
          <w:rFonts w:ascii="SimSun" w:hAnsi="SimSun" w:eastAsia="SimSun" w:cs="SimSun"/>
          <w:sz w:val="19"/>
          <w:szCs w:val="19"/>
          <w:spacing w:val="10"/>
        </w:rPr>
        <w:t>将“智力”融入生产流程，不仅要求机器的灵巧度逐步接近人类</w:t>
      </w:r>
      <w:r>
        <w:rPr>
          <w:rFonts w:ascii="SimSun" w:hAnsi="SimSun" w:eastAsia="SimSun" w:cs="SimSun"/>
          <w:sz w:val="19"/>
          <w:szCs w:val="19"/>
          <w:spacing w:val="9"/>
        </w:rPr>
        <w:t>的能</w:t>
      </w:r>
      <w:r>
        <w:rPr>
          <w:rFonts w:ascii="SimSun" w:hAnsi="SimSun" w:eastAsia="SimSun" w:cs="SimSun"/>
          <w:sz w:val="19"/>
          <w:szCs w:val="19"/>
        </w:rPr>
        <w:t xml:space="preserve"> </w:t>
      </w:r>
      <w:r>
        <w:rPr>
          <w:rFonts w:ascii="SimSun" w:hAnsi="SimSun" w:eastAsia="SimSun" w:cs="SimSun"/>
          <w:sz w:val="19"/>
          <w:szCs w:val="19"/>
          <w:spacing w:val="9"/>
        </w:rPr>
        <w:t>力，还使机器逐步拥有人类的“思考”能力，这会对劳动力市场产生</w:t>
      </w:r>
      <w:r>
        <w:rPr>
          <w:rFonts w:ascii="SimSun" w:hAnsi="SimSun" w:eastAsia="SimSun" w:cs="SimSun"/>
          <w:sz w:val="19"/>
          <w:szCs w:val="19"/>
          <w:spacing w:val="7"/>
        </w:rPr>
        <w:t xml:space="preserve"> </w:t>
      </w:r>
      <w:r>
        <w:rPr>
          <w:rFonts w:ascii="SimSun" w:hAnsi="SimSun" w:eastAsia="SimSun" w:cs="SimSun"/>
          <w:sz w:val="19"/>
          <w:szCs w:val="19"/>
          <w:spacing w:val="10"/>
        </w:rPr>
        <w:t>更深层次的冲击。卡尔·贝内迪克特·弗雷与迈克尔·</w:t>
      </w:r>
      <w:r>
        <w:rPr>
          <w:rFonts w:ascii="SimSun" w:hAnsi="SimSun" w:eastAsia="SimSun" w:cs="SimSun"/>
          <w:sz w:val="19"/>
          <w:szCs w:val="19"/>
          <w:spacing w:val="9"/>
        </w:rPr>
        <w:t>奥斯本研究了</w:t>
      </w:r>
      <w:r>
        <w:rPr>
          <w:rFonts w:ascii="SimSun" w:hAnsi="SimSun" w:eastAsia="SimSun" w:cs="SimSun"/>
          <w:sz w:val="19"/>
          <w:szCs w:val="19"/>
        </w:rPr>
        <w:t xml:space="preserve"> </w:t>
      </w:r>
      <w:r>
        <w:rPr>
          <w:rFonts w:ascii="SimSun" w:hAnsi="SimSun" w:eastAsia="SimSun" w:cs="SimSun"/>
          <w:sz w:val="19"/>
          <w:szCs w:val="19"/>
          <w:spacing w:val="17"/>
        </w:rPr>
        <w:t>美国各类职业在多大程度上可以被计算机替代，通过</w:t>
      </w:r>
      <w:r>
        <w:rPr>
          <w:rFonts w:ascii="SimSun" w:hAnsi="SimSun" w:eastAsia="SimSun" w:cs="SimSun"/>
          <w:sz w:val="19"/>
          <w:szCs w:val="19"/>
          <w:spacing w:val="16"/>
        </w:rPr>
        <w:t>认识与操作水</w:t>
      </w:r>
      <w:r>
        <w:rPr>
          <w:rFonts w:ascii="SimSun" w:hAnsi="SimSun" w:eastAsia="SimSun" w:cs="SimSun"/>
          <w:sz w:val="19"/>
          <w:szCs w:val="19"/>
        </w:rPr>
        <w:t xml:space="preserve"> </w:t>
      </w:r>
      <w:r>
        <w:rPr>
          <w:rFonts w:ascii="SimSun" w:hAnsi="SimSun" w:eastAsia="SimSun" w:cs="SimSun"/>
          <w:sz w:val="19"/>
          <w:szCs w:val="19"/>
          <w:spacing w:val="19"/>
        </w:rPr>
        <w:t>平、创造力、社会智能水平三个变量，估算了702种职业被计算机</w:t>
      </w:r>
      <w:r>
        <w:rPr>
          <w:rFonts w:ascii="SimSun" w:hAnsi="SimSun" w:eastAsia="SimSun" w:cs="SimSun"/>
          <w:sz w:val="19"/>
          <w:szCs w:val="19"/>
          <w:spacing w:val="11"/>
        </w:rPr>
        <w:t xml:space="preserve"> </w:t>
      </w:r>
      <w:r>
        <w:rPr>
          <w:rFonts w:ascii="SimSun" w:hAnsi="SimSun" w:eastAsia="SimSun" w:cs="SimSun"/>
          <w:sz w:val="19"/>
          <w:szCs w:val="19"/>
          <w:spacing w:val="19"/>
        </w:rPr>
        <w:t>替代的概率，发现各职业被替代的概率有较大差异，其中47%的职</w:t>
      </w:r>
      <w:r>
        <w:rPr>
          <w:rFonts w:ascii="SimSun" w:hAnsi="SimSun" w:eastAsia="SimSun" w:cs="SimSun"/>
          <w:sz w:val="19"/>
          <w:szCs w:val="19"/>
          <w:spacing w:val="14"/>
        </w:rPr>
        <w:t xml:space="preserve"> </w:t>
      </w:r>
      <w:r>
        <w:rPr>
          <w:rFonts w:ascii="SimSun" w:hAnsi="SimSun" w:eastAsia="SimSun" w:cs="SimSun"/>
          <w:sz w:val="19"/>
          <w:szCs w:val="19"/>
          <w:spacing w:val="10"/>
        </w:rPr>
        <w:t>业被替代的危险性较高。③采用类似的方法，本杰明·戴维预测</w:t>
      </w:r>
      <w:r>
        <w:rPr>
          <w:rFonts w:ascii="SimSun" w:hAnsi="SimSun" w:eastAsia="SimSun" w:cs="SimSun"/>
          <w:sz w:val="19"/>
          <w:szCs w:val="19"/>
          <w:spacing w:val="9"/>
        </w:rPr>
        <w:t>日本</w:t>
      </w:r>
      <w:r>
        <w:rPr>
          <w:rFonts w:ascii="SimSun" w:hAnsi="SimSun" w:eastAsia="SimSun" w:cs="SimSun"/>
          <w:sz w:val="19"/>
          <w:szCs w:val="19"/>
        </w:rPr>
        <w:t xml:space="preserve"> </w:t>
      </w:r>
      <w:r>
        <w:rPr>
          <w:rFonts w:ascii="SimSun" w:hAnsi="SimSun" w:eastAsia="SimSun" w:cs="SimSun"/>
          <w:sz w:val="19"/>
          <w:szCs w:val="19"/>
          <w:spacing w:val="20"/>
        </w:rPr>
        <w:t>将会有55%的职业被计算机替代，而且这</w:t>
      </w:r>
      <w:r>
        <w:rPr>
          <w:rFonts w:ascii="SimSun" w:hAnsi="SimSun" w:eastAsia="SimSun" w:cs="SimSun"/>
          <w:sz w:val="19"/>
          <w:szCs w:val="19"/>
          <w:spacing w:val="19"/>
        </w:rPr>
        <w:t>一作用不存在明显的性别</w:t>
      </w:r>
      <w:r>
        <w:rPr>
          <w:rFonts w:ascii="SimSun" w:hAnsi="SimSun" w:eastAsia="SimSun" w:cs="SimSun"/>
          <w:sz w:val="19"/>
          <w:szCs w:val="19"/>
        </w:rPr>
        <w:t xml:space="preserve"> </w:t>
      </w:r>
      <w:r>
        <w:rPr>
          <w:rFonts w:ascii="SimSun" w:hAnsi="SimSun" w:eastAsia="SimSun" w:cs="SimSun"/>
          <w:sz w:val="19"/>
          <w:szCs w:val="19"/>
          <w:spacing w:val="10"/>
        </w:rPr>
        <w:t>差异。④奥辛斯基和怀昂奇则进一步将每个职位不同的技能特征</w:t>
      </w:r>
      <w:r>
        <w:rPr>
          <w:rFonts w:ascii="SimSun" w:hAnsi="SimSun" w:eastAsia="SimSun" w:cs="SimSun"/>
          <w:sz w:val="19"/>
          <w:szCs w:val="19"/>
          <w:spacing w:val="9"/>
        </w:rPr>
        <w:t>进行</w:t>
      </w:r>
    </w:p>
    <w:p>
      <w:pPr>
        <w:spacing w:line="219" w:lineRule="auto"/>
        <w:rPr>
          <w:rFonts w:ascii="SimSun" w:hAnsi="SimSun" w:eastAsia="SimSun" w:cs="SimSun"/>
          <w:sz w:val="19"/>
          <w:szCs w:val="19"/>
        </w:rPr>
      </w:pPr>
      <w:r>
        <w:rPr>
          <w:rFonts w:ascii="SimSun" w:hAnsi="SimSun" w:eastAsia="SimSun" w:cs="SimSun"/>
          <w:sz w:val="19"/>
          <w:szCs w:val="19"/>
          <w:spacing w:val="17"/>
        </w:rPr>
        <w:t>赋权，发现加拿大容易被自动化替代的行业的劳动力仅占总就业的</w:t>
      </w:r>
    </w:p>
    <w:p>
      <w:pPr>
        <w:pStyle w:val="BodyText"/>
        <w:spacing w:line="271" w:lineRule="auto"/>
        <w:rPr/>
      </w:pPr>
      <w:r/>
    </w:p>
    <w:p>
      <w:pPr>
        <w:pStyle w:val="BodyText"/>
        <w:spacing w:line="271" w:lineRule="auto"/>
        <w:rPr/>
      </w:pPr>
      <w:r/>
    </w:p>
    <w:p>
      <w:pPr>
        <w:pStyle w:val="BodyText"/>
        <w:spacing w:line="272" w:lineRule="auto"/>
        <w:rPr/>
      </w:pPr>
      <w:r/>
    </w:p>
    <w:p>
      <w:pPr>
        <w:ind w:left="308" w:right="20" w:hanging="309"/>
        <w:spacing w:before="62" w:line="245" w:lineRule="auto"/>
        <w:rPr>
          <w:rFonts w:ascii="Times New Roman" w:hAnsi="Times New Roman" w:eastAsia="Times New Roman" w:cs="Times New Roman"/>
          <w:sz w:val="19"/>
          <w:szCs w:val="19"/>
        </w:rPr>
      </w:pPr>
      <w:r>
        <w:rPr>
          <w:rFonts w:ascii="SimSun" w:hAnsi="SimSun" w:eastAsia="SimSun" w:cs="SimSun"/>
          <w:sz w:val="19"/>
          <w:szCs w:val="19"/>
        </w:rPr>
        <w:t>① </w:t>
      </w:r>
      <w:r>
        <w:rPr>
          <w:rFonts w:ascii="Times New Roman" w:hAnsi="Times New Roman" w:eastAsia="Times New Roman" w:cs="Times New Roman"/>
          <w:sz w:val="19"/>
          <w:szCs w:val="19"/>
        </w:rPr>
        <w:t>W.Eichhorst,H.Hinte,U.Rinne,V.Tobsch,“How  Big  Is  the  Gig?Assessing</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4"/>
        </w:rPr>
        <w:t>the Preliminary Evidence on the Effects of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4"/>
        </w:rPr>
        <w:t>Digitalization on the </w:t>
      </w:r>
      <w:r>
        <w:rPr>
          <w:rFonts w:ascii="Times New Roman" w:hAnsi="Times New Roman" w:eastAsia="Times New Roman" w:cs="Times New Roman"/>
          <w:sz w:val="19"/>
          <w:szCs w:val="19"/>
          <w:spacing w:val="-5"/>
        </w:rPr>
        <w:t>Labor Market",</w:t>
      </w:r>
    </w:p>
    <w:p>
      <w:pPr>
        <w:ind w:left="309"/>
        <w:spacing w:before="9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2"/>
          <w:w w:val="92"/>
        </w:rPr>
        <w:t>Management</w:t>
      </w:r>
      <w:r>
        <w:rPr>
          <w:rFonts w:ascii="Times New Roman" w:hAnsi="Times New Roman" w:eastAsia="Times New Roman" w:cs="Times New Roman"/>
          <w:sz w:val="19"/>
          <w:szCs w:val="19"/>
          <w:i/>
          <w:iCs/>
          <w:spacing w:val="-13"/>
        </w:rPr>
        <w:t xml:space="preserve"> </w:t>
      </w:r>
      <w:r>
        <w:rPr>
          <w:rFonts w:ascii="Times New Roman" w:hAnsi="Times New Roman" w:eastAsia="Times New Roman" w:cs="Times New Roman"/>
          <w:sz w:val="19"/>
          <w:szCs w:val="19"/>
          <w:i/>
          <w:iCs/>
          <w:spacing w:val="-2"/>
          <w:w w:val="92"/>
        </w:rPr>
        <w:t>Revue,2017,28(3):298-318.</w:t>
      </w:r>
    </w:p>
    <w:p>
      <w:pPr>
        <w:spacing w:before="85" w:line="212" w:lineRule="auto"/>
        <w:rPr>
          <w:rFonts w:ascii="Times New Roman" w:hAnsi="Times New Roman" w:eastAsia="Times New Roman" w:cs="Times New Roman"/>
          <w:sz w:val="19"/>
          <w:szCs w:val="19"/>
        </w:rPr>
      </w:pPr>
      <w:r>
        <w:rPr>
          <w:rFonts w:ascii="SimSun" w:hAnsi="SimSun" w:eastAsia="SimSun" w:cs="SimSun"/>
          <w:sz w:val="19"/>
          <w:szCs w:val="19"/>
          <w:spacing w:val="-4"/>
        </w:rPr>
        <w:t>②</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4"/>
        </w:rPr>
        <w:t>D.Acemoglu,P.Restrepo,“Robots and </w:t>
      </w:r>
      <w:r>
        <w:rPr>
          <w:rFonts w:ascii="Times New Roman" w:hAnsi="Times New Roman" w:eastAsia="Times New Roman" w:cs="Times New Roman"/>
          <w:sz w:val="19"/>
          <w:szCs w:val="19"/>
          <w:spacing w:val="-5"/>
        </w:rPr>
        <w:t>Jobs:Evidence from US Labor Markets”,</w:t>
      </w:r>
    </w:p>
    <w:p>
      <w:pPr>
        <w:ind w:left="309"/>
        <w:spacing w:before="21"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1"/>
          <w:w w:val="92"/>
          <w:position w:val="3"/>
        </w:rPr>
        <w:t>Journal of</w:t>
      </w:r>
      <w:r>
        <w:rPr>
          <w:rFonts w:ascii="Times New Roman" w:hAnsi="Times New Roman" w:eastAsia="Times New Roman" w:cs="Times New Roman"/>
          <w:sz w:val="19"/>
          <w:szCs w:val="19"/>
          <w:i/>
          <w:iCs/>
          <w:spacing w:val="-42"/>
          <w:position w:val="3"/>
        </w:rPr>
        <w:t xml:space="preserve"> </w:t>
      </w:r>
      <w:r>
        <w:rPr>
          <w:rFonts w:ascii="Times New Roman" w:hAnsi="Times New Roman" w:eastAsia="Times New Roman" w:cs="Times New Roman"/>
          <w:sz w:val="19"/>
          <w:szCs w:val="19"/>
          <w:i/>
          <w:iCs/>
          <w:spacing w:val="-1"/>
          <w:w w:val="92"/>
          <w:position w:val="3"/>
        </w:rPr>
        <w:t>Political</w:t>
      </w:r>
      <w:r>
        <w:rPr>
          <w:rFonts w:ascii="Times New Roman" w:hAnsi="Times New Roman" w:eastAsia="Times New Roman" w:cs="Times New Roman"/>
          <w:sz w:val="19"/>
          <w:szCs w:val="19"/>
          <w:i/>
          <w:iCs/>
          <w:spacing w:val="-13"/>
          <w:position w:val="3"/>
        </w:rPr>
        <w:t xml:space="preserve"> </w:t>
      </w:r>
      <w:r>
        <w:rPr>
          <w:rFonts w:ascii="Times New Roman" w:hAnsi="Times New Roman" w:eastAsia="Times New Roman" w:cs="Times New Roman"/>
          <w:sz w:val="19"/>
          <w:szCs w:val="19"/>
          <w:i/>
          <w:iCs/>
          <w:spacing w:val="-1"/>
          <w:w w:val="92"/>
          <w:position w:val="3"/>
        </w:rPr>
        <w:t>Econ</w:t>
      </w:r>
      <w:r>
        <w:rPr>
          <w:rFonts w:ascii="Times New Roman" w:hAnsi="Times New Roman" w:eastAsia="Times New Roman" w:cs="Times New Roman"/>
          <w:sz w:val="19"/>
          <w:szCs w:val="19"/>
          <w:i/>
          <w:iCs/>
          <w:spacing w:val="-2"/>
          <w:w w:val="92"/>
          <w:position w:val="3"/>
        </w:rPr>
        <w:t>omy,2020,128(6):2188-2244.</w:t>
      </w:r>
    </w:p>
    <w:p>
      <w:pPr>
        <w:ind w:left="309" w:hanging="309"/>
        <w:spacing w:before="79" w:line="264" w:lineRule="auto"/>
        <w:rPr>
          <w:rFonts w:ascii="SimSun" w:hAnsi="SimSun" w:eastAsia="SimSun" w:cs="SimSun"/>
          <w:sz w:val="19"/>
          <w:szCs w:val="19"/>
        </w:rPr>
      </w:pPr>
      <w:r>
        <w:rPr>
          <w:rFonts w:ascii="SimSun" w:hAnsi="SimSun" w:eastAsia="SimSun" w:cs="SimSun"/>
          <w:sz w:val="19"/>
          <w:szCs w:val="19"/>
        </w:rPr>
        <w:t>③</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C.B.Frey,M.A.Osborne,“The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Futu</w:t>
      </w:r>
      <w:r>
        <w:rPr>
          <w:rFonts w:ascii="Times New Roman" w:hAnsi="Times New Roman" w:eastAsia="Times New Roman" w:cs="Times New Roman"/>
          <w:sz w:val="19"/>
          <w:szCs w:val="19"/>
          <w:spacing w:val="-1"/>
        </w:rPr>
        <w:t>re</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of Employment:How</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Susceptible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spacing w:val="-1"/>
        </w:rPr>
        <w:t>Are </w:t>
      </w:r>
      <w:r>
        <w:rPr>
          <w:rFonts w:ascii="Times New Roman" w:hAnsi="Times New Roman" w:eastAsia="Times New Roman" w:cs="Times New Roman"/>
          <w:sz w:val="19"/>
          <w:szCs w:val="19"/>
          <w:spacing w:val="-3"/>
        </w:rPr>
        <w:t>Jobs to Computerisation</w:t>
      </w:r>
      <w:r>
        <w:rPr>
          <w:rFonts w:ascii="Times New Roman" w:hAnsi="Times New Roman" w:eastAsia="Times New Roman" w:cs="Times New Roman"/>
          <w:sz w:val="19"/>
          <w:szCs w:val="19"/>
          <w:spacing w:val="-4"/>
        </w:rPr>
        <w:t>?",Technological Forecasting and Social Change,2017,</w:t>
      </w:r>
      <w:r>
        <w:rPr>
          <w:rFonts w:ascii="Times New Roman" w:hAnsi="Times New Roman" w:eastAsia="Times New Roman" w:cs="Times New Roman"/>
          <w:sz w:val="19"/>
          <w:szCs w:val="19"/>
        </w:rPr>
        <w:t xml:space="preserve"> </w:t>
      </w:r>
      <w:r>
        <w:rPr>
          <w:rFonts w:ascii="SimSun" w:hAnsi="SimSun" w:eastAsia="SimSun" w:cs="SimSun"/>
          <w:sz w:val="19"/>
          <w:szCs w:val="19"/>
          <w:spacing w:val="-19"/>
        </w:rPr>
        <w:t>114(c):254-280.</w:t>
      </w:r>
    </w:p>
    <w:p>
      <w:pPr>
        <w:spacing w:before="46" w:line="212" w:lineRule="auto"/>
        <w:rPr>
          <w:rFonts w:ascii="Times New Roman" w:hAnsi="Times New Roman" w:eastAsia="Times New Roman" w:cs="Times New Roman"/>
          <w:sz w:val="19"/>
          <w:szCs w:val="19"/>
        </w:rPr>
      </w:pPr>
      <w:r>
        <w:rPr>
          <w:rFonts w:ascii="SimSun" w:hAnsi="SimSun" w:eastAsia="SimSun" w:cs="SimSun"/>
          <w:sz w:val="19"/>
          <w:szCs w:val="19"/>
          <w:spacing w:val="-1"/>
        </w:rPr>
        <w:t>④</w:t>
      </w:r>
      <w:r>
        <w:rPr>
          <w:rFonts w:ascii="SimSun" w:hAnsi="SimSun" w:eastAsia="SimSun" w:cs="SimSun"/>
          <w:sz w:val="19"/>
          <w:szCs w:val="19"/>
          <w:spacing w:val="31"/>
        </w:rPr>
        <w:t xml:space="preserve"> </w:t>
      </w:r>
      <w:r>
        <w:rPr>
          <w:rFonts w:ascii="Times New Roman" w:hAnsi="Times New Roman" w:eastAsia="Times New Roman" w:cs="Times New Roman"/>
          <w:sz w:val="19"/>
          <w:szCs w:val="19"/>
          <w:spacing w:val="-1"/>
        </w:rPr>
        <w:t>B.David,“Computer Technology and Probable Job </w:t>
      </w:r>
      <w:r>
        <w:rPr>
          <w:rFonts w:ascii="Times New Roman" w:hAnsi="Times New Roman" w:eastAsia="Times New Roman" w:cs="Times New Roman"/>
          <w:sz w:val="19"/>
          <w:szCs w:val="19"/>
          <w:spacing w:val="-2"/>
        </w:rPr>
        <w:t>Destructions in Japan:An</w:t>
      </w:r>
    </w:p>
    <w:p>
      <w:pPr>
        <w:ind w:left="309"/>
        <w:spacing w:before="31"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3"/>
          <w:w w:val="92"/>
          <w:position w:val="3"/>
        </w:rPr>
        <w:t>Evaluation”,Journal of</w:t>
      </w:r>
      <w:r>
        <w:rPr>
          <w:rFonts w:ascii="Times New Roman" w:hAnsi="Times New Roman" w:eastAsia="Times New Roman" w:cs="Times New Roman"/>
          <w:sz w:val="19"/>
          <w:szCs w:val="19"/>
          <w:i/>
          <w:iCs/>
          <w:spacing w:val="-30"/>
          <w:position w:val="3"/>
        </w:rPr>
        <w:t xml:space="preserve"> </w:t>
      </w:r>
      <w:r>
        <w:rPr>
          <w:rFonts w:ascii="Times New Roman" w:hAnsi="Times New Roman" w:eastAsia="Times New Roman" w:cs="Times New Roman"/>
          <w:sz w:val="19"/>
          <w:szCs w:val="19"/>
          <w:i/>
          <w:iCs/>
          <w:spacing w:val="-3"/>
          <w:w w:val="92"/>
          <w:position w:val="3"/>
        </w:rPr>
        <w:t>the Japanese and</w:t>
      </w:r>
      <w:r>
        <w:rPr>
          <w:rFonts w:ascii="Times New Roman" w:hAnsi="Times New Roman" w:eastAsia="Times New Roman" w:cs="Times New Roman"/>
          <w:sz w:val="19"/>
          <w:szCs w:val="19"/>
          <w:i/>
          <w:iCs/>
          <w:spacing w:val="-18"/>
          <w:position w:val="3"/>
        </w:rPr>
        <w:t xml:space="preserve"> </w:t>
      </w:r>
      <w:r>
        <w:rPr>
          <w:rFonts w:ascii="Times New Roman" w:hAnsi="Times New Roman" w:eastAsia="Times New Roman" w:cs="Times New Roman"/>
          <w:sz w:val="19"/>
          <w:szCs w:val="19"/>
          <w:i/>
          <w:iCs/>
          <w:spacing w:val="-3"/>
          <w:w w:val="92"/>
          <w:position w:val="3"/>
        </w:rPr>
        <w:t>International</w:t>
      </w:r>
      <w:r>
        <w:rPr>
          <w:rFonts w:ascii="Times New Roman" w:hAnsi="Times New Roman" w:eastAsia="Times New Roman" w:cs="Times New Roman"/>
          <w:sz w:val="19"/>
          <w:szCs w:val="19"/>
          <w:i/>
          <w:iCs/>
          <w:spacing w:val="-12"/>
          <w:position w:val="3"/>
        </w:rPr>
        <w:t xml:space="preserve"> </w:t>
      </w:r>
      <w:r>
        <w:rPr>
          <w:rFonts w:ascii="Times New Roman" w:hAnsi="Times New Roman" w:eastAsia="Times New Roman" w:cs="Times New Roman"/>
          <w:sz w:val="19"/>
          <w:szCs w:val="19"/>
          <w:i/>
          <w:iCs/>
          <w:spacing w:val="-3"/>
          <w:w w:val="92"/>
          <w:position w:val="3"/>
        </w:rPr>
        <w:t>Economies,2017,43(1):77-87.</w:t>
      </w:r>
    </w:p>
    <w:p>
      <w:pPr>
        <w:spacing w:line="252" w:lineRule="exact"/>
        <w:sectPr>
          <w:pgSz w:w="7330" w:h="12480"/>
          <w:pgMar w:top="252" w:right="570" w:bottom="400" w:left="700" w:header="0" w:footer="0" w:gutter="0"/>
        </w:sectPr>
        <w:rPr>
          <w:rFonts w:ascii="Times New Roman" w:hAnsi="Times New Roman" w:eastAsia="Times New Roman" w:cs="Times New Roman"/>
          <w:sz w:val="19"/>
          <w:szCs w:val="19"/>
        </w:rPr>
      </w:pPr>
    </w:p>
    <w:p>
      <w:pPr>
        <w:ind w:left="1309"/>
        <w:spacing w:before="238" w:line="216" w:lineRule="auto"/>
        <w:rPr>
          <w:rFonts w:ascii="SimSun" w:hAnsi="SimSun" w:eastAsia="SimSun" w:cs="SimSun"/>
          <w:sz w:val="11"/>
          <w:szCs w:val="11"/>
        </w:rPr>
      </w:pPr>
      <w:r>
        <w:drawing>
          <wp:anchor distT="0" distB="0" distL="0" distR="0" simplePos="0" relativeHeight="253310976" behindDoc="0" locked="0" layoutInCell="0" allowOverlap="1">
            <wp:simplePos x="0" y="0"/>
            <wp:positionH relativeFrom="page">
              <wp:posOffset>209547</wp:posOffset>
            </wp:positionH>
            <wp:positionV relativeFrom="page">
              <wp:posOffset>6013417</wp:posOffset>
            </wp:positionV>
            <wp:extent cx="1168384" cy="6418"/>
            <wp:effectExtent l="0" t="0" r="0" b="0"/>
            <wp:wrapNone/>
            <wp:docPr id="152" name="IM 152"/>
            <wp:cNvGraphicFramePr/>
            <a:graphic>
              <a:graphicData uri="http://schemas.openxmlformats.org/drawingml/2006/picture">
                <pic:pic>
                  <pic:nvPicPr>
                    <pic:cNvPr id="152" name="IM 152"/>
                    <pic:cNvPicPr/>
                  </pic:nvPicPr>
                  <pic:blipFill>
                    <a:blip r:embed="rId189"/>
                    <a:stretch>
                      <a:fillRect/>
                    </a:stretch>
                  </pic:blipFill>
                  <pic:spPr>
                    <a:xfrm rot="0">
                      <a:off x="0" y="0"/>
                      <a:ext cx="1168384" cy="6418"/>
                    </a:xfrm>
                    <a:prstGeom prst="rect">
                      <a:avLst/>
                    </a:prstGeom>
                  </pic:spPr>
                </pic:pic>
              </a:graphicData>
            </a:graphic>
          </wp:anchor>
        </w:drawing>
      </w:r>
      <w:r>
        <w:rPr>
          <w:rFonts w:ascii="YouYuan" w:hAnsi="YouYuan" w:eastAsia="YouYuan" w:cs="YouYuan"/>
          <w:sz w:val="19"/>
          <w:szCs w:val="19"/>
          <w:spacing w:val="-12"/>
          <w:w w:val="88"/>
        </w:rPr>
        <w:t>第四章</w:t>
      </w:r>
      <w:r>
        <w:rPr>
          <w:rFonts w:ascii="YouYuan" w:hAnsi="YouYuan" w:eastAsia="YouYuan" w:cs="YouYuan"/>
          <w:sz w:val="19"/>
          <w:szCs w:val="19"/>
          <w:spacing w:val="-12"/>
          <w:w w:val="88"/>
        </w:rPr>
        <w:t xml:space="preserve">  </w:t>
      </w:r>
      <w:r>
        <w:rPr>
          <w:rFonts w:ascii="YouYuan" w:hAnsi="YouYuan" w:eastAsia="YouYuan" w:cs="YouYuan"/>
          <w:sz w:val="19"/>
          <w:szCs w:val="19"/>
          <w:spacing w:val="-12"/>
          <w:w w:val="88"/>
        </w:rPr>
        <w:t>平台经济对劳动力市场和收入分配</w:t>
      </w:r>
      <w:r>
        <w:rPr>
          <w:rFonts w:ascii="YouYuan" w:hAnsi="YouYuan" w:eastAsia="YouYuan" w:cs="YouYuan"/>
          <w:sz w:val="19"/>
          <w:szCs w:val="19"/>
          <w:spacing w:val="-13"/>
          <w:w w:val="88"/>
        </w:rPr>
        <w:t>的影响</w:t>
      </w:r>
      <w:r>
        <w:rPr>
          <w:rFonts w:ascii="YouYuan" w:hAnsi="YouYuan" w:eastAsia="YouYuan" w:cs="YouYuan"/>
          <w:sz w:val="19"/>
          <w:szCs w:val="19"/>
        </w:rPr>
        <w:t xml:space="preserve">           </w:t>
      </w:r>
      <w:r>
        <w:rPr>
          <w:rFonts w:ascii="SimSun" w:hAnsi="SimSun" w:eastAsia="SimSun" w:cs="SimSun"/>
          <w:sz w:val="11"/>
          <w:szCs w:val="11"/>
          <w:spacing w:val="-3"/>
          <w:position w:val="-2"/>
        </w:rPr>
        <w:t>151</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ind w:right="132"/>
        <w:spacing w:before="62" w:line="309" w:lineRule="auto"/>
        <w:jc w:val="both"/>
        <w:rPr>
          <w:rFonts w:ascii="SimSun" w:hAnsi="SimSun" w:eastAsia="SimSun" w:cs="SimSun"/>
          <w:sz w:val="19"/>
          <w:szCs w:val="19"/>
        </w:rPr>
      </w:pPr>
      <w:r>
        <w:rPr>
          <w:rFonts w:ascii="SimSun" w:hAnsi="SimSun" w:eastAsia="SimSun" w:cs="SimSun"/>
          <w:sz w:val="19"/>
          <w:szCs w:val="19"/>
          <w:spacing w:val="9"/>
        </w:rPr>
        <w:t>1.7%。①阿恩茨等指出，对于就业替代的</w:t>
      </w:r>
      <w:r>
        <w:rPr>
          <w:rFonts w:ascii="SimSun" w:hAnsi="SimSun" w:eastAsia="SimSun" w:cs="SimSun"/>
          <w:sz w:val="19"/>
          <w:szCs w:val="19"/>
          <w:spacing w:val="8"/>
        </w:rPr>
        <w:t>测算应该基于具体的工作任</w:t>
      </w:r>
      <w:r>
        <w:rPr>
          <w:rFonts w:ascii="SimSun" w:hAnsi="SimSun" w:eastAsia="SimSun" w:cs="SimSun"/>
          <w:sz w:val="19"/>
          <w:szCs w:val="19"/>
        </w:rPr>
        <w:t xml:space="preserve"> </w:t>
      </w:r>
      <w:r>
        <w:rPr>
          <w:rFonts w:ascii="SimSun" w:hAnsi="SimSun" w:eastAsia="SimSun" w:cs="SimSun"/>
          <w:sz w:val="19"/>
          <w:szCs w:val="19"/>
          <w:spacing w:val="9"/>
        </w:rPr>
        <w:t>务而不是工作岗位，基于工作岗位的测算可能会高估智能化的替代作</w:t>
      </w:r>
      <w:r>
        <w:rPr>
          <w:rFonts w:ascii="SimSun" w:hAnsi="SimSun" w:eastAsia="SimSun" w:cs="SimSun"/>
          <w:sz w:val="19"/>
          <w:szCs w:val="19"/>
          <w:spacing w:val="11"/>
        </w:rPr>
        <w:t xml:space="preserve"> </w:t>
      </w:r>
      <w:r>
        <w:rPr>
          <w:rFonts w:ascii="SimSun" w:hAnsi="SimSun" w:eastAsia="SimSun" w:cs="SimSun"/>
          <w:sz w:val="19"/>
          <w:szCs w:val="19"/>
          <w:spacing w:val="20"/>
        </w:rPr>
        <w:t>用。他们利用</w:t>
      </w:r>
      <w:r>
        <w:rPr>
          <w:rFonts w:ascii="Times New Roman" w:hAnsi="Times New Roman" w:eastAsia="Times New Roman" w:cs="Times New Roman"/>
          <w:sz w:val="19"/>
          <w:szCs w:val="19"/>
        </w:rPr>
        <w:t>PI</w:t>
      </w:r>
      <w:r>
        <w:rPr>
          <w:rFonts w:ascii="Times New Roman" w:hAnsi="Times New Roman" w:eastAsia="Times New Roman" w:cs="Times New Roman"/>
          <w:sz w:val="19"/>
          <w:szCs w:val="19"/>
          <w:spacing w:val="20"/>
        </w:rPr>
        <w:t>-</w:t>
      </w:r>
      <w:r>
        <w:rPr>
          <w:rFonts w:ascii="Times New Roman" w:hAnsi="Times New Roman" w:eastAsia="Times New Roman" w:cs="Times New Roman"/>
          <w:sz w:val="19"/>
          <w:szCs w:val="19"/>
        </w:rPr>
        <w:t>ACC</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20"/>
        </w:rPr>
        <w:t>数据库中的工作任务数据测算了2</w:t>
      </w:r>
      <w:r>
        <w:rPr>
          <w:rFonts w:ascii="SimSun" w:hAnsi="SimSun" w:eastAsia="SimSun" w:cs="SimSun"/>
          <w:sz w:val="19"/>
          <w:szCs w:val="19"/>
          <w:spacing w:val="19"/>
        </w:rPr>
        <w:t>1个</w:t>
      </w:r>
      <w:r>
        <w:rPr>
          <w:rFonts w:ascii="Times New Roman" w:hAnsi="Times New Roman" w:eastAsia="Times New Roman" w:cs="Times New Roman"/>
          <w:sz w:val="19"/>
          <w:szCs w:val="19"/>
        </w:rPr>
        <w:t>OECD  </w:t>
      </w:r>
      <w:r>
        <w:rPr>
          <w:rFonts w:ascii="SimSun" w:hAnsi="SimSun" w:eastAsia="SimSun" w:cs="SimSun"/>
          <w:sz w:val="19"/>
          <w:szCs w:val="19"/>
          <w:spacing w:val="10"/>
        </w:rPr>
        <w:t>国家的工作被自动化替代的风险，发现这一数值为9%。②</w:t>
      </w:r>
    </w:p>
    <w:p>
      <w:pPr>
        <w:ind w:firstLine="419"/>
        <w:spacing w:before="140" w:line="351" w:lineRule="auto"/>
        <w:jc w:val="both"/>
        <w:rPr>
          <w:rFonts w:ascii="SimSun" w:hAnsi="SimSun" w:eastAsia="SimSun" w:cs="SimSun"/>
          <w:sz w:val="19"/>
          <w:szCs w:val="19"/>
        </w:rPr>
      </w:pPr>
      <w:r>
        <w:rPr>
          <w:rFonts w:ascii="SimSun" w:hAnsi="SimSun" w:eastAsia="SimSun" w:cs="SimSun"/>
          <w:sz w:val="19"/>
          <w:szCs w:val="19"/>
          <w:spacing w:val="19"/>
        </w:rPr>
        <w:t>就预测未来而言，2016年世界经济论坛发布的《职业的未来》</w:t>
      </w:r>
      <w:r>
        <w:rPr>
          <w:rFonts w:ascii="SimSun" w:hAnsi="SimSun" w:eastAsia="SimSun" w:cs="SimSun"/>
          <w:sz w:val="19"/>
          <w:szCs w:val="19"/>
          <w:spacing w:val="12"/>
        </w:rPr>
        <w:t xml:space="preserve"> </w:t>
      </w:r>
      <w:r>
        <w:rPr>
          <w:rFonts w:ascii="SimSun" w:hAnsi="SimSun" w:eastAsia="SimSun" w:cs="SimSun"/>
          <w:sz w:val="19"/>
          <w:szCs w:val="19"/>
          <w:spacing w:val="15"/>
        </w:rPr>
        <w:t>报告指出，到2021年，机器人和人工智能技术</w:t>
      </w:r>
      <w:r>
        <w:rPr>
          <w:rFonts w:ascii="SimSun" w:hAnsi="SimSun" w:eastAsia="SimSun" w:cs="SimSun"/>
          <w:sz w:val="19"/>
          <w:szCs w:val="19"/>
          <w:spacing w:val="14"/>
        </w:rPr>
        <w:t>的发展将导致全球15</w:t>
      </w:r>
      <w:r>
        <w:rPr>
          <w:rFonts w:ascii="SimSun" w:hAnsi="SimSun" w:eastAsia="SimSun" w:cs="SimSun"/>
          <w:sz w:val="19"/>
          <w:szCs w:val="19"/>
        </w:rPr>
        <w:t xml:space="preserve">  </w:t>
      </w:r>
      <w:r>
        <w:rPr>
          <w:rFonts w:ascii="SimSun" w:hAnsi="SimSun" w:eastAsia="SimSun" w:cs="SimSun"/>
          <w:sz w:val="19"/>
          <w:szCs w:val="19"/>
          <w:spacing w:val="15"/>
        </w:rPr>
        <w:t>个主要经济体的就业岗位减少710万个，其</w:t>
      </w:r>
      <w:r>
        <w:rPr>
          <w:rFonts w:ascii="SimSun" w:hAnsi="SimSun" w:eastAsia="SimSun" w:cs="SimSun"/>
          <w:sz w:val="19"/>
          <w:szCs w:val="19"/>
          <w:spacing w:val="14"/>
        </w:rPr>
        <w:t>中2/3属于工业生产、行</w:t>
      </w:r>
      <w:r>
        <w:rPr>
          <w:rFonts w:ascii="SimSun" w:hAnsi="SimSun" w:eastAsia="SimSun" w:cs="SimSun"/>
          <w:sz w:val="19"/>
          <w:szCs w:val="19"/>
        </w:rPr>
        <w:t xml:space="preserve">  </w:t>
      </w:r>
      <w:r>
        <w:rPr>
          <w:rFonts w:ascii="SimSun" w:hAnsi="SimSun" w:eastAsia="SimSun" w:cs="SimSun"/>
          <w:sz w:val="19"/>
          <w:szCs w:val="19"/>
          <w:spacing w:val="16"/>
        </w:rPr>
        <w:t>政、媒体、娱乐、艺术设计和工地建设等领域。世</w:t>
      </w:r>
      <w:r>
        <w:rPr>
          <w:rFonts w:ascii="SimSun" w:hAnsi="SimSun" w:eastAsia="SimSun" w:cs="SimSun"/>
          <w:sz w:val="19"/>
          <w:szCs w:val="19"/>
          <w:spacing w:val="15"/>
        </w:rPr>
        <w:t>界银行《2016年</w:t>
      </w:r>
      <w:r>
        <w:rPr>
          <w:rFonts w:ascii="SimSun" w:hAnsi="SimSun" w:eastAsia="SimSun" w:cs="SimSun"/>
          <w:sz w:val="19"/>
          <w:szCs w:val="19"/>
        </w:rPr>
        <w:t xml:space="preserve">  </w:t>
      </w:r>
      <w:r>
        <w:rPr>
          <w:rFonts w:ascii="SimSun" w:hAnsi="SimSun" w:eastAsia="SimSun" w:cs="SimSun"/>
          <w:sz w:val="19"/>
          <w:szCs w:val="19"/>
          <w:spacing w:val="12"/>
        </w:rPr>
        <w:t>世界发展报告》也得到了类似结论：发展中国家2/3的工作岗位容易</w:t>
      </w:r>
      <w:r>
        <w:rPr>
          <w:rFonts w:ascii="SimSun" w:hAnsi="SimSun" w:eastAsia="SimSun" w:cs="SimSun"/>
          <w:sz w:val="19"/>
          <w:szCs w:val="19"/>
          <w:spacing w:val="5"/>
        </w:rPr>
        <w:t xml:space="preserve">  </w:t>
      </w:r>
      <w:r>
        <w:rPr>
          <w:rFonts w:ascii="SimSun" w:hAnsi="SimSun" w:eastAsia="SimSun" w:cs="SimSun"/>
          <w:sz w:val="19"/>
          <w:szCs w:val="19"/>
          <w:spacing w:val="17"/>
        </w:rPr>
        <w:t>被自动化技术取代。而波士顿咨询公司2017年发布的《迈向2035:</w:t>
      </w:r>
      <w:r>
        <w:rPr>
          <w:rFonts w:ascii="SimSun" w:hAnsi="SimSun" w:eastAsia="SimSun" w:cs="SimSun"/>
          <w:sz w:val="19"/>
          <w:szCs w:val="19"/>
          <w:spacing w:val="5"/>
        </w:rPr>
        <w:t xml:space="preserve">  </w:t>
      </w:r>
      <w:r>
        <w:rPr>
          <w:rFonts w:ascii="SimSun" w:hAnsi="SimSun" w:eastAsia="SimSun" w:cs="SimSun"/>
          <w:sz w:val="19"/>
          <w:szCs w:val="19"/>
          <w:spacing w:val="18"/>
        </w:rPr>
        <w:t>4亿数字经济就业的未来》报告预测，到2035年数字经济领域将吸</w:t>
      </w:r>
    </w:p>
    <w:p>
      <w:pPr>
        <w:spacing w:line="220" w:lineRule="auto"/>
        <w:rPr>
          <w:rFonts w:ascii="SimSun" w:hAnsi="SimSun" w:eastAsia="SimSun" w:cs="SimSun"/>
          <w:sz w:val="19"/>
          <w:szCs w:val="19"/>
        </w:rPr>
      </w:pPr>
      <w:r>
        <w:rPr>
          <w:rFonts w:ascii="SimSun" w:hAnsi="SimSun" w:eastAsia="SimSun" w:cs="SimSun"/>
          <w:sz w:val="19"/>
          <w:szCs w:val="19"/>
          <w:spacing w:val="1"/>
        </w:rPr>
        <w:t>纳全球</w:t>
      </w:r>
      <w:r>
        <w:rPr>
          <w:rFonts w:ascii="SimSun" w:hAnsi="SimSun" w:eastAsia="SimSun" w:cs="SimSun"/>
          <w:sz w:val="19"/>
          <w:szCs w:val="19"/>
          <w:spacing w:val="-37"/>
        </w:rPr>
        <w:t xml:space="preserve"> </w:t>
      </w:r>
      <w:r>
        <w:rPr>
          <w:rFonts w:ascii="Times New Roman" w:hAnsi="Times New Roman" w:eastAsia="Times New Roman" w:cs="Times New Roman"/>
          <w:sz w:val="19"/>
          <w:szCs w:val="19"/>
          <w:spacing w:val="1"/>
        </w:rPr>
        <w:t>4.15</w:t>
      </w:r>
      <w:r>
        <w:rPr>
          <w:rFonts w:ascii="Times New Roman" w:hAnsi="Times New Roman" w:eastAsia="Times New Roman" w:cs="Times New Roman"/>
          <w:sz w:val="19"/>
          <w:szCs w:val="19"/>
          <w:spacing w:val="33"/>
          <w:w w:val="101"/>
        </w:rPr>
        <w:t xml:space="preserve"> </w:t>
      </w:r>
      <w:r>
        <w:rPr>
          <w:rFonts w:ascii="SimSun" w:hAnsi="SimSun" w:eastAsia="SimSun" w:cs="SimSun"/>
          <w:sz w:val="19"/>
          <w:szCs w:val="19"/>
          <w:spacing w:val="1"/>
        </w:rPr>
        <w:t>亿人就业。</w:t>
      </w:r>
    </w:p>
    <w:p>
      <w:pPr>
        <w:ind w:right="49" w:firstLine="429"/>
        <w:spacing w:before="121" w:line="350" w:lineRule="auto"/>
        <w:jc w:val="both"/>
        <w:rPr>
          <w:rFonts w:ascii="SimSun" w:hAnsi="SimSun" w:eastAsia="SimSun" w:cs="SimSun"/>
          <w:sz w:val="19"/>
          <w:szCs w:val="19"/>
        </w:rPr>
      </w:pPr>
      <w:r>
        <w:rPr>
          <w:rFonts w:ascii="SimSun" w:hAnsi="SimSun" w:eastAsia="SimSun" w:cs="SimSun"/>
          <w:sz w:val="19"/>
          <w:szCs w:val="19"/>
          <w:spacing w:val="11"/>
        </w:rPr>
        <w:t>数字经济对中国劳动力市场的影响可能会比其他国家更为强烈，</w:t>
      </w:r>
      <w:r>
        <w:rPr>
          <w:rFonts w:ascii="SimSun" w:hAnsi="SimSun" w:eastAsia="SimSun" w:cs="SimSun"/>
          <w:sz w:val="19"/>
          <w:szCs w:val="19"/>
          <w:spacing w:val="5"/>
        </w:rPr>
        <w:t xml:space="preserve"> </w:t>
      </w:r>
      <w:r>
        <w:rPr>
          <w:rFonts w:ascii="SimSun" w:hAnsi="SimSun" w:eastAsia="SimSun" w:cs="SimSun"/>
          <w:sz w:val="19"/>
          <w:szCs w:val="19"/>
          <w:spacing w:val="9"/>
        </w:rPr>
        <w:t>这一方面缘于中国数字技术快速发展的趋势，另一方面缘于中国人口 </w:t>
      </w:r>
      <w:r>
        <w:rPr>
          <w:rFonts w:ascii="SimSun" w:hAnsi="SimSun" w:eastAsia="SimSun" w:cs="SimSun"/>
          <w:sz w:val="19"/>
          <w:szCs w:val="19"/>
          <w:spacing w:val="9"/>
        </w:rPr>
        <w:t>众多的现状和以劳动密集型产业为主的产业结构。中国信息通信研究</w:t>
      </w:r>
      <w:r>
        <w:rPr>
          <w:rFonts w:ascii="SimSun" w:hAnsi="SimSun" w:eastAsia="SimSun" w:cs="SimSun"/>
          <w:sz w:val="19"/>
          <w:szCs w:val="19"/>
          <w:spacing w:val="4"/>
        </w:rPr>
        <w:t xml:space="preserve">  </w:t>
      </w:r>
      <w:r>
        <w:rPr>
          <w:rFonts w:ascii="SimSun" w:hAnsi="SimSun" w:eastAsia="SimSun" w:cs="SimSun"/>
          <w:sz w:val="19"/>
          <w:szCs w:val="19"/>
          <w:spacing w:val="14"/>
        </w:rPr>
        <w:t>院《中国数字经济发展与就业白皮书(2019年)》</w:t>
      </w:r>
      <w:r>
        <w:rPr>
          <w:rFonts w:ascii="SimSun" w:hAnsi="SimSun" w:eastAsia="SimSun" w:cs="SimSun"/>
          <w:sz w:val="19"/>
          <w:szCs w:val="19"/>
          <w:spacing w:val="13"/>
        </w:rPr>
        <w:t>测算，2018年中国 </w:t>
      </w:r>
      <w:r>
        <w:rPr>
          <w:rFonts w:ascii="SimSun" w:hAnsi="SimSun" w:eastAsia="SimSun" w:cs="SimSun"/>
          <w:sz w:val="19"/>
          <w:szCs w:val="19"/>
          <w:spacing w:val="8"/>
        </w:rPr>
        <w:t>数字经济领域的就业岗位达到1.91亿个，占全年就</w:t>
      </w:r>
      <w:r>
        <w:rPr>
          <w:rFonts w:ascii="SimSun" w:hAnsi="SimSun" w:eastAsia="SimSun" w:cs="SimSun"/>
          <w:sz w:val="19"/>
          <w:szCs w:val="19"/>
          <w:spacing w:val="7"/>
        </w:rPr>
        <w:t>业总人数的24.6%。</w:t>
      </w:r>
      <w:r>
        <w:rPr>
          <w:rFonts w:ascii="SimSun" w:hAnsi="SimSun" w:eastAsia="SimSun" w:cs="SimSun"/>
          <w:sz w:val="19"/>
          <w:szCs w:val="19"/>
        </w:rPr>
        <w:t xml:space="preserve"> </w:t>
      </w:r>
      <w:r>
        <w:rPr>
          <w:rFonts w:ascii="SimSun" w:hAnsi="SimSun" w:eastAsia="SimSun" w:cs="SimSun"/>
          <w:sz w:val="19"/>
          <w:szCs w:val="19"/>
          <w:spacing w:val="16"/>
        </w:rPr>
        <w:t>夏炎等使用投入产出模型，测算出数字经济促进非农就业年均增长</w:t>
      </w:r>
      <w:r>
        <w:rPr>
          <w:rFonts w:ascii="SimSun" w:hAnsi="SimSun" w:eastAsia="SimSun" w:cs="SimSun"/>
          <w:sz w:val="19"/>
          <w:szCs w:val="19"/>
          <w:spacing w:val="2"/>
        </w:rPr>
        <w:t xml:space="preserve">  </w:t>
      </w:r>
      <w:r>
        <w:rPr>
          <w:rFonts w:ascii="SimSun" w:hAnsi="SimSun" w:eastAsia="SimSun" w:cs="SimSun"/>
          <w:sz w:val="19"/>
          <w:szCs w:val="19"/>
          <w:spacing w:val="9"/>
        </w:rPr>
        <w:t>1532万人。③周广肃等利用中国人工智</w:t>
      </w:r>
      <w:r>
        <w:rPr>
          <w:rFonts w:ascii="SimSun" w:hAnsi="SimSun" w:eastAsia="SimSun" w:cs="SimSun"/>
          <w:sz w:val="19"/>
          <w:szCs w:val="19"/>
          <w:spacing w:val="8"/>
        </w:rPr>
        <w:t>能发展趋势和人工智能对就业</w:t>
      </w:r>
    </w:p>
    <w:p>
      <w:pPr>
        <w:spacing w:line="219" w:lineRule="auto"/>
        <w:rPr>
          <w:rFonts w:ascii="SimSun" w:hAnsi="SimSun" w:eastAsia="SimSun" w:cs="SimSun"/>
          <w:sz w:val="19"/>
          <w:szCs w:val="19"/>
        </w:rPr>
      </w:pPr>
      <w:r>
        <w:rPr>
          <w:rFonts w:ascii="SimSun" w:hAnsi="SimSun" w:eastAsia="SimSun" w:cs="SimSun"/>
          <w:sz w:val="19"/>
          <w:szCs w:val="19"/>
          <w:spacing w:val="10"/>
        </w:rPr>
        <w:t>的替代概率进行预测，发现到2049年，中国将有2.01亿~3.33亿劳动</w:t>
      </w:r>
    </w:p>
    <w:p>
      <w:pPr>
        <w:pStyle w:val="BodyText"/>
        <w:spacing w:line="273" w:lineRule="auto"/>
        <w:rPr/>
      </w:pPr>
      <w:r/>
    </w:p>
    <w:p>
      <w:pPr>
        <w:pStyle w:val="BodyText"/>
        <w:spacing w:line="273" w:lineRule="auto"/>
        <w:rPr/>
      </w:pPr>
      <w:r/>
    </w:p>
    <w:p>
      <w:pPr>
        <w:ind w:left="309" w:right="88" w:hanging="309"/>
        <w:spacing w:before="63" w:line="250" w:lineRule="auto"/>
        <w:rPr>
          <w:rFonts w:ascii="Times New Roman" w:hAnsi="Times New Roman" w:eastAsia="Times New Roman" w:cs="Times New Roman"/>
          <w:sz w:val="19"/>
          <w:szCs w:val="19"/>
        </w:rPr>
      </w:pPr>
      <w:r>
        <w:rPr>
          <w:rFonts w:ascii="SimSun" w:hAnsi="SimSun" w:eastAsia="SimSun" w:cs="SimSun"/>
          <w:sz w:val="19"/>
          <w:szCs w:val="19"/>
          <w:spacing w:val="-5"/>
        </w:rPr>
        <w:t>①</w:t>
      </w:r>
      <w:r>
        <w:rPr>
          <w:rFonts w:ascii="SimSun" w:hAnsi="SimSun" w:eastAsia="SimSun" w:cs="SimSun"/>
          <w:sz w:val="19"/>
          <w:szCs w:val="19"/>
          <w:spacing w:val="30"/>
        </w:rPr>
        <w:t xml:space="preserve"> </w:t>
      </w:r>
      <w:r>
        <w:rPr>
          <w:rFonts w:ascii="Times New Roman" w:hAnsi="Times New Roman" w:eastAsia="Times New Roman" w:cs="Times New Roman"/>
          <w:sz w:val="19"/>
          <w:szCs w:val="19"/>
          <w:spacing w:val="-5"/>
        </w:rPr>
        <w:t>M.Oschinski,R.Wyonch,“Future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5"/>
        </w:rPr>
        <w:t>Shock?The Impact 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5"/>
        </w:rPr>
        <w:t>Automation on Canada's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9"/>
        </w:rPr>
        <w:t>Labour Market",C.D.Howe Institute Comm</w:t>
      </w:r>
      <w:r>
        <w:rPr>
          <w:rFonts w:ascii="Times New Roman" w:hAnsi="Times New Roman" w:eastAsia="Times New Roman" w:cs="Times New Roman"/>
          <w:sz w:val="19"/>
          <w:szCs w:val="19"/>
          <w:spacing w:val="-10"/>
        </w:rPr>
        <w:t>entary,No.472,2017.</w:t>
      </w:r>
    </w:p>
    <w:p>
      <w:pPr>
        <w:ind w:left="308" w:right="81" w:hanging="309"/>
        <w:spacing w:before="85" w:line="262" w:lineRule="auto"/>
        <w:rPr>
          <w:rFonts w:ascii="SimSun" w:hAnsi="SimSun" w:eastAsia="SimSun" w:cs="SimSun"/>
          <w:sz w:val="19"/>
          <w:szCs w:val="19"/>
        </w:rPr>
      </w:pPr>
      <w:r>
        <w:rPr>
          <w:rFonts w:ascii="SimSun" w:hAnsi="SimSun" w:eastAsia="SimSun" w:cs="SimSun"/>
          <w:sz w:val="19"/>
          <w:szCs w:val="19"/>
          <w:spacing w:val="-10"/>
        </w:rPr>
        <w:t>②</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10"/>
        </w:rPr>
        <w:t>M.Amtz,T.Gregory,U.Zierahn,“The Risk of</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0"/>
        </w:rPr>
        <w:t>Au</w:t>
      </w:r>
      <w:r>
        <w:rPr>
          <w:rFonts w:ascii="Times New Roman" w:hAnsi="Times New Roman" w:eastAsia="Times New Roman" w:cs="Times New Roman"/>
          <w:sz w:val="19"/>
          <w:szCs w:val="19"/>
          <w:spacing w:val="-11"/>
        </w:rPr>
        <w:t>tomation for Jobs in OECD Countries: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0"/>
          <w:w w:val="99"/>
        </w:rPr>
        <w:t>A Comparative Analysis",OECD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0"/>
          <w:w w:val="99"/>
        </w:rPr>
        <w:t>Social,Employment and Migration Working Papers,</w:t>
      </w:r>
      <w:r>
        <w:rPr>
          <w:rFonts w:ascii="Times New Roman" w:hAnsi="Times New Roman" w:eastAsia="Times New Roman" w:cs="Times New Roman"/>
          <w:sz w:val="19"/>
          <w:szCs w:val="19"/>
        </w:rPr>
        <w:t xml:space="preserve"> </w:t>
      </w:r>
      <w:r>
        <w:rPr>
          <w:rFonts w:ascii="SimSun" w:hAnsi="SimSun" w:eastAsia="SimSun" w:cs="SimSun"/>
          <w:sz w:val="19"/>
          <w:szCs w:val="19"/>
          <w:spacing w:val="-14"/>
        </w:rPr>
        <w:t>No.189,2016.</w:t>
      </w:r>
    </w:p>
    <w:p>
      <w:pPr>
        <w:ind w:left="359" w:right="92" w:hanging="359"/>
        <w:spacing w:before="57" w:line="241" w:lineRule="auto"/>
        <w:rPr>
          <w:rFonts w:ascii="KaiTi" w:hAnsi="KaiTi" w:eastAsia="KaiTi" w:cs="KaiTi"/>
          <w:sz w:val="19"/>
          <w:szCs w:val="19"/>
        </w:rPr>
      </w:pPr>
      <w:r>
        <w:rPr>
          <w:rFonts w:ascii="KaiTi" w:hAnsi="KaiTi" w:eastAsia="KaiTi" w:cs="KaiTi"/>
          <w:sz w:val="19"/>
          <w:szCs w:val="19"/>
          <w:spacing w:val="-17"/>
          <w:w w:val="96"/>
        </w:rPr>
        <w:t>③</w:t>
      </w:r>
      <w:r>
        <w:rPr>
          <w:rFonts w:ascii="KaiTi" w:hAnsi="KaiTi" w:eastAsia="KaiTi" w:cs="KaiTi"/>
          <w:sz w:val="19"/>
          <w:szCs w:val="19"/>
          <w:spacing w:val="63"/>
        </w:rPr>
        <w:t xml:space="preserve"> </w:t>
      </w:r>
      <w:r>
        <w:rPr>
          <w:rFonts w:ascii="KaiTi" w:hAnsi="KaiTi" w:eastAsia="KaiTi" w:cs="KaiTi"/>
          <w:sz w:val="19"/>
          <w:szCs w:val="19"/>
          <w:spacing w:val="-17"/>
          <w:w w:val="96"/>
        </w:rPr>
        <w:t>夏炎，王会娟，张凤，等.数字经济对中国经济增长和非农就业影响研究——基</w:t>
      </w:r>
      <w:r>
        <w:rPr>
          <w:rFonts w:ascii="KaiTi" w:hAnsi="KaiTi" w:eastAsia="KaiTi" w:cs="KaiTi"/>
          <w:sz w:val="19"/>
          <w:szCs w:val="19"/>
        </w:rPr>
        <w:t xml:space="preserve"> </w:t>
      </w:r>
      <w:r>
        <w:rPr>
          <w:rFonts w:ascii="KaiTi" w:hAnsi="KaiTi" w:eastAsia="KaiTi" w:cs="KaiTi"/>
          <w:sz w:val="19"/>
          <w:szCs w:val="19"/>
          <w:spacing w:val="-13"/>
        </w:rPr>
        <w:t>于投入占用产出模型.中国科学院院刊，201</w:t>
      </w:r>
      <w:r>
        <w:rPr>
          <w:rFonts w:ascii="KaiTi" w:hAnsi="KaiTi" w:eastAsia="KaiTi" w:cs="KaiTi"/>
          <w:sz w:val="19"/>
          <w:szCs w:val="19"/>
          <w:spacing w:val="-14"/>
        </w:rPr>
        <w:t>8,33(7):707-716.</w:t>
      </w:r>
    </w:p>
    <w:p>
      <w:pPr>
        <w:spacing w:line="241" w:lineRule="auto"/>
        <w:sectPr>
          <w:pgSz w:w="7330" w:h="12480"/>
          <w:pgMar w:top="400" w:right="895" w:bottom="400" w:left="320" w:header="0" w:footer="0" w:gutter="0"/>
        </w:sectPr>
        <w:rPr>
          <w:rFonts w:ascii="KaiTi" w:hAnsi="KaiTi" w:eastAsia="KaiTi" w:cs="KaiTi"/>
          <w:sz w:val="19"/>
          <w:szCs w:val="19"/>
        </w:rPr>
      </w:pPr>
    </w:p>
    <w:p>
      <w:pPr>
        <w:pStyle w:val="BodyText"/>
        <w:spacing w:line="247" w:lineRule="auto"/>
        <w:rPr/>
      </w:pPr>
      <w:r>
        <w:drawing>
          <wp:anchor distT="0" distB="0" distL="0" distR="0" simplePos="0" relativeHeight="253321216" behindDoc="0" locked="0" layoutInCell="0" allowOverlap="1">
            <wp:simplePos x="0" y="0"/>
            <wp:positionH relativeFrom="page">
              <wp:posOffset>507997</wp:posOffset>
            </wp:positionH>
            <wp:positionV relativeFrom="page">
              <wp:posOffset>5270467</wp:posOffset>
            </wp:positionV>
            <wp:extent cx="1181092" cy="6418"/>
            <wp:effectExtent l="0" t="0" r="0" b="0"/>
            <wp:wrapNone/>
            <wp:docPr id="154" name="IM 154"/>
            <wp:cNvGraphicFramePr/>
            <a:graphic>
              <a:graphicData uri="http://schemas.openxmlformats.org/drawingml/2006/picture">
                <pic:pic>
                  <pic:nvPicPr>
                    <pic:cNvPr id="154" name="IM 154"/>
                    <pic:cNvPicPr/>
                  </pic:nvPicPr>
                  <pic:blipFill>
                    <a:blip r:embed="rId191"/>
                    <a:stretch>
                      <a:fillRect/>
                    </a:stretch>
                  </pic:blipFill>
                  <pic:spPr>
                    <a:xfrm rot="0">
                      <a:off x="0" y="0"/>
                      <a:ext cx="1181092" cy="6418"/>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7" w:lineRule="auto"/>
        <w:rPr/>
      </w:pPr>
      <w:r/>
    </w:p>
    <w:p>
      <w:pPr>
        <w:spacing w:before="68" w:line="299" w:lineRule="auto"/>
        <w:jc w:val="both"/>
        <w:rPr>
          <w:rFonts w:ascii="SimSun" w:hAnsi="SimSun" w:eastAsia="SimSun" w:cs="SimSun"/>
          <w:sz w:val="21"/>
          <w:szCs w:val="21"/>
        </w:rPr>
      </w:pPr>
      <w:r>
        <w:rPr>
          <w:rFonts w:ascii="SimSun" w:hAnsi="SimSun" w:eastAsia="SimSun" w:cs="SimSun"/>
          <w:sz w:val="21"/>
          <w:szCs w:val="21"/>
          <w:spacing w:val="-11"/>
        </w:rPr>
        <w:t>力被人工智能替代。①何宗樾和宋旭光发现，数字经济可以在一定程</w:t>
      </w:r>
      <w:r>
        <w:rPr>
          <w:rFonts w:ascii="SimSun" w:hAnsi="SimSun" w:eastAsia="SimSun" w:cs="SimSun"/>
          <w:sz w:val="21"/>
          <w:szCs w:val="21"/>
          <w:spacing w:val="7"/>
        </w:rPr>
        <w:t xml:space="preserve">  </w:t>
      </w:r>
      <w:r>
        <w:rPr>
          <w:rFonts w:ascii="SimSun" w:hAnsi="SimSun" w:eastAsia="SimSun" w:cs="SimSun"/>
          <w:sz w:val="21"/>
          <w:szCs w:val="21"/>
          <w:spacing w:val="-10"/>
        </w:rPr>
        <w:t>度上促进劳动者就业，特别是非农就业，但对不同人群存在异质性影 </w:t>
      </w:r>
      <w:r>
        <w:rPr>
          <w:rFonts w:ascii="SimSun" w:hAnsi="SimSun" w:eastAsia="SimSun" w:cs="SimSun"/>
          <w:sz w:val="21"/>
          <w:szCs w:val="21"/>
          <w:spacing w:val="-9"/>
        </w:rPr>
        <w:t>响。②李敏等利用《中国统计年鉴》2010—2017年的</w:t>
      </w:r>
      <w:r>
        <w:rPr>
          <w:rFonts w:ascii="SimSun" w:hAnsi="SimSun" w:eastAsia="SimSun" w:cs="SimSun"/>
          <w:sz w:val="21"/>
          <w:szCs w:val="21"/>
          <w:spacing w:val="-10"/>
        </w:rPr>
        <w:t>数据，以就业弹</w:t>
      </w:r>
      <w:r>
        <w:rPr>
          <w:rFonts w:ascii="SimSun" w:hAnsi="SimSun" w:eastAsia="SimSun" w:cs="SimSun"/>
          <w:sz w:val="21"/>
          <w:szCs w:val="21"/>
        </w:rPr>
        <w:t xml:space="preserve">  </w:t>
      </w:r>
      <w:r>
        <w:rPr>
          <w:rFonts w:ascii="SimSun" w:hAnsi="SimSun" w:eastAsia="SimSun" w:cs="SimSun"/>
          <w:sz w:val="21"/>
          <w:szCs w:val="21"/>
          <w:spacing w:val="-10"/>
        </w:rPr>
        <w:t>性为基准测算了平台经济对就业的作用，发现与平台经济结合可以提 </w:t>
      </w:r>
      <w:r>
        <w:rPr>
          <w:rFonts w:ascii="SimSun" w:hAnsi="SimSun" w:eastAsia="SimSun" w:cs="SimSun"/>
          <w:sz w:val="21"/>
          <w:szCs w:val="21"/>
          <w:spacing w:val="-10"/>
        </w:rPr>
        <w:t>升行业就业弹性，平台经济对就业有巨大推动作用。③王文基于中国</w:t>
      </w:r>
      <w:r>
        <w:rPr>
          <w:rFonts w:ascii="SimSun" w:hAnsi="SimSun" w:eastAsia="SimSun" w:cs="SimSun"/>
          <w:sz w:val="21"/>
          <w:szCs w:val="21"/>
        </w:rPr>
        <w:t xml:space="preserve"> </w:t>
      </w:r>
      <w:r>
        <w:rPr>
          <w:rFonts w:ascii="SimSun" w:hAnsi="SimSun" w:eastAsia="SimSun" w:cs="SimSun"/>
          <w:sz w:val="21"/>
          <w:szCs w:val="21"/>
          <w:spacing w:val="-3"/>
        </w:rPr>
        <w:t>30个省份2009—2017年面板数据的研究发现，数字经济对城镇单位</w:t>
      </w:r>
      <w:r>
        <w:rPr>
          <w:rFonts w:ascii="SimSun" w:hAnsi="SimSun" w:eastAsia="SimSun" w:cs="SimSun"/>
          <w:sz w:val="21"/>
          <w:szCs w:val="21"/>
        </w:rPr>
        <w:t xml:space="preserve">  </w:t>
      </w:r>
      <w:r>
        <w:rPr>
          <w:rFonts w:ascii="SimSun" w:hAnsi="SimSun" w:eastAsia="SimSun" w:cs="SimSun"/>
          <w:sz w:val="21"/>
          <w:szCs w:val="21"/>
          <w:spacing w:val="-11"/>
        </w:rPr>
        <w:t>总体就业未造成显著影响，但降低了制造业就业份额，增加了服务业</w:t>
      </w:r>
      <w:r>
        <w:rPr>
          <w:rFonts w:ascii="SimSun" w:hAnsi="SimSun" w:eastAsia="SimSun" w:cs="SimSun"/>
          <w:sz w:val="21"/>
          <w:szCs w:val="21"/>
          <w:spacing w:val="7"/>
        </w:rPr>
        <w:t xml:space="preserve">  </w:t>
      </w:r>
      <w:r>
        <w:rPr>
          <w:rFonts w:ascii="SimSun" w:hAnsi="SimSun" w:eastAsia="SimSun" w:cs="SimSun"/>
          <w:sz w:val="21"/>
          <w:szCs w:val="21"/>
          <w:spacing w:val="-6"/>
        </w:rPr>
        <w:t>就业份额。④孟祺基于中国17个行业2000—2018年的</w:t>
      </w:r>
      <w:r>
        <w:rPr>
          <w:rFonts w:ascii="SimSun" w:hAnsi="SimSun" w:eastAsia="SimSun" w:cs="SimSun"/>
          <w:sz w:val="21"/>
          <w:szCs w:val="21"/>
          <w:spacing w:val="-7"/>
        </w:rPr>
        <w:t>面板数据发现，</w:t>
      </w:r>
      <w:r>
        <w:rPr>
          <w:rFonts w:ascii="SimSun" w:hAnsi="SimSun" w:eastAsia="SimSun" w:cs="SimSun"/>
          <w:sz w:val="21"/>
          <w:szCs w:val="21"/>
        </w:rPr>
        <w:t xml:space="preserve"> </w:t>
      </w:r>
      <w:r>
        <w:rPr>
          <w:rFonts w:ascii="SimSun" w:hAnsi="SimSun" w:eastAsia="SimSun" w:cs="SimSun"/>
          <w:sz w:val="21"/>
          <w:szCs w:val="21"/>
          <w:spacing w:val="-11"/>
        </w:rPr>
        <w:t>数字经济会导致制造业就业规模下降，但是这种下降会被服务业就业</w:t>
      </w:r>
      <w:r>
        <w:rPr>
          <w:rFonts w:ascii="SimSun" w:hAnsi="SimSun" w:eastAsia="SimSun" w:cs="SimSun"/>
          <w:sz w:val="21"/>
          <w:szCs w:val="21"/>
          <w:spacing w:val="7"/>
        </w:rPr>
        <w:t xml:space="preserve">  </w:t>
      </w:r>
      <w:r>
        <w:rPr>
          <w:rFonts w:ascii="SimSun" w:hAnsi="SimSun" w:eastAsia="SimSun" w:cs="SimSun"/>
          <w:sz w:val="21"/>
          <w:szCs w:val="21"/>
          <w:spacing w:val="-16"/>
        </w:rPr>
        <w:t>的增长抵消，因此，数字经济对整体就业规模的影响并不显著。③</w:t>
      </w:r>
    </w:p>
    <w:p>
      <w:pPr>
        <w:ind w:right="32" w:firstLine="449"/>
        <w:spacing w:before="166" w:line="296" w:lineRule="auto"/>
        <w:rPr>
          <w:rFonts w:ascii="SimSun" w:hAnsi="SimSun" w:eastAsia="SimSun" w:cs="SimSun"/>
          <w:sz w:val="21"/>
          <w:szCs w:val="21"/>
        </w:rPr>
      </w:pPr>
      <w:r>
        <w:rPr>
          <w:rFonts w:ascii="SimSun" w:hAnsi="SimSun" w:eastAsia="SimSun" w:cs="SimSun"/>
          <w:sz w:val="21"/>
          <w:szCs w:val="21"/>
          <w:spacing w:val="-4"/>
        </w:rPr>
        <w:t>以上文献多从供给侧考察智能化、自动化对就业的影响。实际</w:t>
      </w:r>
      <w:r>
        <w:rPr>
          <w:rFonts w:ascii="SimSun" w:hAnsi="SimSun" w:eastAsia="SimSun" w:cs="SimSun"/>
          <w:sz w:val="21"/>
          <w:szCs w:val="21"/>
          <w:spacing w:val="15"/>
        </w:rPr>
        <w:t xml:space="preserve"> </w:t>
      </w:r>
      <w:r>
        <w:rPr>
          <w:rFonts w:ascii="SimSun" w:hAnsi="SimSun" w:eastAsia="SimSun" w:cs="SimSun"/>
          <w:sz w:val="21"/>
          <w:szCs w:val="21"/>
          <w:spacing w:val="-8"/>
        </w:rPr>
        <w:t>上，在数字经济的发展过程中，除了产业互联网</w:t>
      </w:r>
      <w:r>
        <w:rPr>
          <w:rFonts w:ascii="SimSun" w:hAnsi="SimSun" w:eastAsia="SimSun" w:cs="SimSun"/>
          <w:sz w:val="21"/>
          <w:szCs w:val="21"/>
          <w:spacing w:val="-9"/>
        </w:rPr>
        <w:t>的发展对劳动供给产</w:t>
      </w:r>
      <w:r>
        <w:rPr>
          <w:rFonts w:ascii="SimSun" w:hAnsi="SimSun" w:eastAsia="SimSun" w:cs="SimSun"/>
          <w:sz w:val="21"/>
          <w:szCs w:val="21"/>
        </w:rPr>
        <w:t xml:space="preserve"> </w:t>
      </w:r>
      <w:r>
        <w:rPr>
          <w:rFonts w:ascii="SimSun" w:hAnsi="SimSun" w:eastAsia="SimSun" w:cs="SimSun"/>
          <w:sz w:val="21"/>
          <w:szCs w:val="21"/>
          <w:spacing w:val="-11"/>
        </w:rPr>
        <w:t>生直接的影响，消费互联网的发展也从需求侧对劳动就业产生了间接 </w:t>
      </w:r>
      <w:r>
        <w:rPr>
          <w:rFonts w:ascii="SimSun" w:hAnsi="SimSun" w:eastAsia="SimSun" w:cs="SimSun"/>
          <w:sz w:val="21"/>
          <w:szCs w:val="21"/>
          <w:spacing w:val="-11"/>
        </w:rPr>
        <w:t>的带动作用，这方面的共识是线上产品和数字消费创造了大量新的就</w:t>
      </w:r>
      <w:r>
        <w:rPr>
          <w:rFonts w:ascii="SimSun" w:hAnsi="SimSun" w:eastAsia="SimSun" w:cs="SimSun"/>
          <w:sz w:val="21"/>
          <w:szCs w:val="21"/>
          <w:spacing w:val="18"/>
        </w:rPr>
        <w:t xml:space="preserve"> </w:t>
      </w:r>
      <w:r>
        <w:rPr>
          <w:rFonts w:ascii="SimSun" w:hAnsi="SimSun" w:eastAsia="SimSun" w:cs="SimSun"/>
          <w:sz w:val="21"/>
          <w:szCs w:val="21"/>
          <w:spacing w:val="-23"/>
        </w:rPr>
        <w:t>业机会。⑥</w:t>
      </w:r>
    </w:p>
    <w:p>
      <w:pPr>
        <w:ind w:right="37" w:firstLine="460"/>
        <w:spacing w:before="116" w:line="333" w:lineRule="auto"/>
        <w:jc w:val="both"/>
        <w:rPr>
          <w:rFonts w:ascii="SimSun" w:hAnsi="SimSun" w:eastAsia="SimSun" w:cs="SimSun"/>
          <w:sz w:val="21"/>
          <w:szCs w:val="21"/>
        </w:rPr>
      </w:pPr>
      <w:r>
        <w:rPr>
          <w:rFonts w:ascii="SimSun" w:hAnsi="SimSun" w:eastAsia="SimSun" w:cs="SimSun"/>
          <w:sz w:val="21"/>
          <w:szCs w:val="21"/>
          <w:spacing w:val="-9"/>
        </w:rPr>
        <w:t>具体到我国的平台经济，</w:t>
      </w:r>
      <w:r>
        <w:rPr>
          <w:rFonts w:ascii="SimSun" w:hAnsi="SimSun" w:eastAsia="SimSun" w:cs="SimSun"/>
          <w:sz w:val="21"/>
          <w:szCs w:val="21"/>
          <w:spacing w:val="57"/>
        </w:rPr>
        <w:t xml:space="preserve"> </w:t>
      </w:r>
      <w:r>
        <w:rPr>
          <w:rFonts w:ascii="SimSun" w:hAnsi="SimSun" w:eastAsia="SimSun" w:cs="SimSun"/>
          <w:sz w:val="21"/>
          <w:szCs w:val="21"/>
          <w:spacing w:val="-9"/>
        </w:rPr>
        <w:t>一些大型平台企业根据自身的</w:t>
      </w:r>
      <w:r>
        <w:rPr>
          <w:rFonts w:ascii="SimSun" w:hAnsi="SimSun" w:eastAsia="SimSun" w:cs="SimSun"/>
          <w:sz w:val="21"/>
          <w:szCs w:val="21"/>
          <w:spacing w:val="-10"/>
        </w:rPr>
        <w:t>业务特</w:t>
      </w:r>
      <w:r>
        <w:rPr>
          <w:rFonts w:ascii="SimSun" w:hAnsi="SimSun" w:eastAsia="SimSun" w:cs="SimSun"/>
          <w:sz w:val="21"/>
          <w:szCs w:val="21"/>
        </w:rPr>
        <w:t xml:space="preserve"> </w:t>
      </w:r>
      <w:r>
        <w:rPr>
          <w:rFonts w:ascii="SimSun" w:hAnsi="SimSun" w:eastAsia="SimSun" w:cs="SimSun"/>
          <w:sz w:val="21"/>
          <w:szCs w:val="21"/>
          <w:spacing w:val="-10"/>
        </w:rPr>
        <w:t>点和行业特征分析了其对劳动力就业的带动作用。例如，《阿里巴巴</w:t>
      </w:r>
    </w:p>
    <w:p>
      <w:pPr>
        <w:spacing w:before="1" w:line="217" w:lineRule="auto"/>
        <w:rPr>
          <w:rFonts w:ascii="SimSun" w:hAnsi="SimSun" w:eastAsia="SimSun" w:cs="SimSun"/>
          <w:sz w:val="21"/>
          <w:szCs w:val="21"/>
        </w:rPr>
      </w:pPr>
      <w:r>
        <w:rPr>
          <w:rFonts w:ascii="SimSun" w:hAnsi="SimSun" w:eastAsia="SimSun" w:cs="SimSun"/>
          <w:sz w:val="21"/>
          <w:szCs w:val="21"/>
          <w:spacing w:val="-3"/>
        </w:rPr>
        <w:t>全生态就业体系与就业机会测算报告(2021)》对阿里巴巴的</w:t>
      </w:r>
      <w:r>
        <w:rPr>
          <w:rFonts w:ascii="SimSun" w:hAnsi="SimSun" w:eastAsia="SimSun" w:cs="SimSun"/>
          <w:sz w:val="21"/>
          <w:szCs w:val="21"/>
          <w:spacing w:val="-4"/>
        </w:rPr>
        <w:t>数字经</w:t>
      </w:r>
    </w:p>
    <w:p>
      <w:pPr>
        <w:pStyle w:val="BodyText"/>
        <w:spacing w:line="467" w:lineRule="auto"/>
        <w:rPr/>
      </w:pPr>
      <w:r/>
    </w:p>
    <w:p>
      <w:pPr>
        <w:ind w:left="339" w:right="64" w:hanging="339"/>
        <w:spacing w:before="52" w:line="271"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56"/>
        </w:rPr>
        <w:t xml:space="preserve"> </w:t>
      </w:r>
      <w:r>
        <w:rPr>
          <w:rFonts w:ascii="Times New Roman" w:hAnsi="Times New Roman" w:eastAsia="Times New Roman" w:cs="Times New Roman"/>
          <w:sz w:val="16"/>
          <w:szCs w:val="16"/>
        </w:rPr>
        <w:t>G.Zhou,G.Chu,L.Li,L.Meng,“The  Effect   of  Artificial</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Intelligence</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rPr>
        <w:t>on</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1"/>
        </w:rPr>
        <w:t>s  Labor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Market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China</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Economic</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Journal</w:t>
      </w:r>
      <w:r>
        <w:rPr>
          <w:rFonts w:ascii="Times New Roman" w:hAnsi="Times New Roman" w:eastAsia="Times New Roman" w:cs="Times New Roman"/>
          <w:sz w:val="16"/>
          <w:szCs w:val="16"/>
          <w:spacing w:val="1"/>
        </w:rPr>
        <w:t>,2020,13(1):24-41.</w:t>
      </w:r>
    </w:p>
    <w:p>
      <w:pPr>
        <w:ind w:left="339" w:right="64" w:hanging="339"/>
        <w:spacing w:before="99" w:line="272" w:lineRule="auto"/>
        <w:rPr>
          <w:rFonts w:ascii="KaiTi" w:hAnsi="KaiTi" w:eastAsia="KaiTi" w:cs="KaiTi"/>
          <w:sz w:val="16"/>
          <w:szCs w:val="16"/>
        </w:rPr>
      </w:pPr>
      <w:r>
        <w:rPr>
          <w:rFonts w:ascii="KaiTi" w:hAnsi="KaiTi" w:eastAsia="KaiTi" w:cs="KaiTi"/>
          <w:sz w:val="16"/>
          <w:szCs w:val="16"/>
          <w:spacing w:val="-2"/>
        </w:rPr>
        <w:t>②</w:t>
      </w:r>
      <w:r>
        <w:rPr>
          <w:rFonts w:ascii="KaiTi" w:hAnsi="KaiTi" w:eastAsia="KaiTi" w:cs="KaiTi"/>
          <w:sz w:val="16"/>
          <w:szCs w:val="16"/>
          <w:spacing w:val="66"/>
        </w:rPr>
        <w:t xml:space="preserve"> </w:t>
      </w:r>
      <w:r>
        <w:rPr>
          <w:rFonts w:ascii="KaiTi" w:hAnsi="KaiTi" w:eastAsia="KaiTi" w:cs="KaiTi"/>
          <w:sz w:val="16"/>
          <w:szCs w:val="16"/>
          <w:spacing w:val="-2"/>
        </w:rPr>
        <w:t>何宗樾，宋旭光，数字经济促进就业的机理与</w:t>
      </w:r>
      <w:r>
        <w:rPr>
          <w:rFonts w:ascii="KaiTi" w:hAnsi="KaiTi" w:eastAsia="KaiTi" w:cs="KaiTi"/>
          <w:sz w:val="16"/>
          <w:szCs w:val="16"/>
          <w:spacing w:val="-3"/>
        </w:rPr>
        <w:t>启示</w:t>
      </w:r>
      <w:r>
        <w:rPr>
          <w:rFonts w:ascii="KaiTi" w:hAnsi="KaiTi" w:eastAsia="KaiTi" w:cs="KaiTi"/>
          <w:sz w:val="16"/>
          <w:szCs w:val="16"/>
          <w:spacing w:val="-29"/>
        </w:rPr>
        <w:t xml:space="preserve"> </w:t>
      </w:r>
      <w:r>
        <w:rPr>
          <w:rFonts w:ascii="KaiTi" w:hAnsi="KaiTi" w:eastAsia="KaiTi" w:cs="KaiTi"/>
          <w:sz w:val="16"/>
          <w:szCs w:val="16"/>
          <w:u w:val="single" w:color="auto"/>
          <w:spacing w:val="-3"/>
        </w:rPr>
        <w:t xml:space="preserve">     </w:t>
      </w:r>
      <w:r>
        <w:rPr>
          <w:rFonts w:ascii="KaiTi" w:hAnsi="KaiTi" w:eastAsia="KaiTi" w:cs="KaiTi"/>
          <w:sz w:val="16"/>
          <w:szCs w:val="16"/>
          <w:spacing w:val="-3"/>
        </w:rPr>
        <w:t>疫情发生之后的思考.经济</w:t>
      </w:r>
      <w:r>
        <w:rPr>
          <w:rFonts w:ascii="KaiTi" w:hAnsi="KaiTi" w:eastAsia="KaiTi" w:cs="KaiTi"/>
          <w:sz w:val="16"/>
          <w:szCs w:val="16"/>
        </w:rPr>
        <w:t xml:space="preserve"> </w:t>
      </w:r>
      <w:r>
        <w:rPr>
          <w:rFonts w:ascii="KaiTi" w:hAnsi="KaiTi" w:eastAsia="KaiTi" w:cs="KaiTi"/>
          <w:sz w:val="16"/>
          <w:szCs w:val="16"/>
          <w:spacing w:val="11"/>
        </w:rPr>
        <w:t>学家，2020(5):58-68.</w:t>
      </w:r>
    </w:p>
    <w:p>
      <w:pPr>
        <w:ind w:left="339" w:right="72" w:hanging="339"/>
        <w:spacing w:before="90" w:line="277" w:lineRule="auto"/>
        <w:rPr>
          <w:rFonts w:ascii="KaiTi" w:hAnsi="KaiTi" w:eastAsia="KaiTi" w:cs="KaiTi"/>
          <w:sz w:val="16"/>
          <w:szCs w:val="16"/>
        </w:rPr>
      </w:pPr>
      <w:r>
        <w:rPr>
          <w:rFonts w:ascii="SimSun" w:hAnsi="SimSun" w:eastAsia="SimSun" w:cs="SimSun"/>
          <w:sz w:val="16"/>
          <w:szCs w:val="16"/>
          <w:spacing w:val="3"/>
        </w:rPr>
        <w:t>③</w:t>
      </w:r>
      <w:r>
        <w:rPr>
          <w:rFonts w:ascii="SimSun" w:hAnsi="SimSun" w:eastAsia="SimSun" w:cs="SimSun"/>
          <w:sz w:val="16"/>
          <w:szCs w:val="16"/>
          <w:spacing w:val="65"/>
        </w:rPr>
        <w:t xml:space="preserve"> </w:t>
      </w:r>
      <w:r>
        <w:rPr>
          <w:rFonts w:ascii="KaiTi" w:hAnsi="KaiTi" w:eastAsia="KaiTi" w:cs="KaiTi"/>
          <w:sz w:val="16"/>
          <w:szCs w:val="16"/>
          <w:spacing w:val="3"/>
        </w:rPr>
        <w:t>李敏，刘采妮，白争辉，等.平台经济发展与“保就业和稳就业”:基</w:t>
      </w:r>
      <w:r>
        <w:rPr>
          <w:rFonts w:ascii="KaiTi" w:hAnsi="KaiTi" w:eastAsia="KaiTi" w:cs="KaiTi"/>
          <w:sz w:val="16"/>
          <w:szCs w:val="16"/>
          <w:spacing w:val="2"/>
        </w:rPr>
        <w:t>于就业弹性</w:t>
      </w:r>
      <w:r>
        <w:rPr>
          <w:rFonts w:ascii="KaiTi" w:hAnsi="KaiTi" w:eastAsia="KaiTi" w:cs="KaiTi"/>
          <w:sz w:val="16"/>
          <w:szCs w:val="16"/>
        </w:rPr>
        <w:t xml:space="preserve"> </w:t>
      </w:r>
      <w:r>
        <w:rPr>
          <w:rFonts w:ascii="KaiTi" w:hAnsi="KaiTi" w:eastAsia="KaiTi" w:cs="KaiTi"/>
          <w:sz w:val="16"/>
          <w:szCs w:val="16"/>
          <w:spacing w:val="8"/>
        </w:rPr>
        <w:t>与劳动过程的分析，中国人力资源开发，2020,37(</w:t>
      </w:r>
      <w:r>
        <w:rPr>
          <w:rFonts w:ascii="KaiTi" w:hAnsi="KaiTi" w:eastAsia="KaiTi" w:cs="KaiTi"/>
          <w:sz w:val="16"/>
          <w:szCs w:val="16"/>
          <w:spacing w:val="7"/>
        </w:rPr>
        <w:t>7):84-95.</w:t>
      </w:r>
    </w:p>
    <w:p>
      <w:pPr>
        <w:ind w:left="339" w:right="71" w:hanging="339"/>
        <w:spacing w:before="79"/>
        <w:rPr>
          <w:rFonts w:ascii="SimSun" w:hAnsi="SimSun" w:eastAsia="SimSun" w:cs="SimSun"/>
          <w:sz w:val="21"/>
          <w:szCs w:val="21"/>
        </w:rPr>
      </w:pPr>
      <w:r>
        <w:rPr>
          <w:rFonts w:ascii="KaiTi" w:hAnsi="KaiTi" w:eastAsia="KaiTi" w:cs="KaiTi"/>
          <w:sz w:val="16"/>
          <w:szCs w:val="16"/>
          <w:spacing w:val="11"/>
        </w:rPr>
        <w:t>④</w:t>
      </w:r>
      <w:r>
        <w:rPr>
          <w:rFonts w:ascii="KaiTi" w:hAnsi="KaiTi" w:eastAsia="KaiTi" w:cs="KaiTi"/>
          <w:sz w:val="16"/>
          <w:szCs w:val="16"/>
          <w:spacing w:val="63"/>
        </w:rPr>
        <w:t xml:space="preserve"> </w:t>
      </w:r>
      <w:r>
        <w:rPr>
          <w:rFonts w:ascii="KaiTi" w:hAnsi="KaiTi" w:eastAsia="KaiTi" w:cs="KaiTi"/>
          <w:sz w:val="16"/>
          <w:szCs w:val="16"/>
          <w:spacing w:val="11"/>
        </w:rPr>
        <w:t>王文.数字经济时代下工业智能化促进了高质量就业吗.经济学家，2020(4):</w:t>
      </w:r>
      <w:r>
        <w:rPr>
          <w:rFonts w:ascii="KaiTi" w:hAnsi="KaiTi" w:eastAsia="KaiTi" w:cs="KaiTi"/>
          <w:sz w:val="16"/>
          <w:szCs w:val="16"/>
        </w:rPr>
        <w:t xml:space="preserve"> </w:t>
      </w:r>
      <w:r>
        <w:rPr>
          <w:rFonts w:ascii="SimSun" w:hAnsi="SimSun" w:eastAsia="SimSun" w:cs="SimSun"/>
          <w:sz w:val="21"/>
          <w:szCs w:val="21"/>
          <w:spacing w:val="-18"/>
        </w:rPr>
        <w:t>89-98.</w:t>
      </w:r>
    </w:p>
    <w:p>
      <w:pPr>
        <w:spacing w:before="89" w:line="220" w:lineRule="auto"/>
        <w:rPr>
          <w:rFonts w:ascii="KaiTi" w:hAnsi="KaiTi" w:eastAsia="KaiTi" w:cs="KaiTi"/>
          <w:sz w:val="16"/>
          <w:szCs w:val="16"/>
        </w:rPr>
      </w:pPr>
      <w:r>
        <w:rPr>
          <w:rFonts w:ascii="KaiTi" w:hAnsi="KaiTi" w:eastAsia="KaiTi" w:cs="KaiTi"/>
          <w:sz w:val="16"/>
          <w:szCs w:val="16"/>
          <w:spacing w:val="8"/>
        </w:rPr>
        <w:t>⑤</w:t>
      </w:r>
      <w:r>
        <w:rPr>
          <w:rFonts w:ascii="KaiTi" w:hAnsi="KaiTi" w:eastAsia="KaiTi" w:cs="KaiTi"/>
          <w:sz w:val="16"/>
          <w:szCs w:val="16"/>
          <w:spacing w:val="66"/>
        </w:rPr>
        <w:t xml:space="preserve"> </w:t>
      </w:r>
      <w:r>
        <w:rPr>
          <w:rFonts w:ascii="KaiTi" w:hAnsi="KaiTi" w:eastAsia="KaiTi" w:cs="KaiTi"/>
          <w:sz w:val="16"/>
          <w:szCs w:val="16"/>
          <w:spacing w:val="8"/>
        </w:rPr>
        <w:t>孟祺.数字经济与高质量就业：理论与实证.社会科学，2021(2):4</w:t>
      </w:r>
      <w:r>
        <w:rPr>
          <w:rFonts w:ascii="KaiTi" w:hAnsi="KaiTi" w:eastAsia="KaiTi" w:cs="KaiTi"/>
          <w:sz w:val="16"/>
          <w:szCs w:val="16"/>
          <w:spacing w:val="7"/>
        </w:rPr>
        <w:t>7-58.</w:t>
      </w:r>
    </w:p>
    <w:p>
      <w:pPr>
        <w:spacing w:before="90" w:line="220" w:lineRule="auto"/>
        <w:rPr>
          <w:rFonts w:ascii="KaiTi" w:hAnsi="KaiTi" w:eastAsia="KaiTi" w:cs="KaiTi"/>
          <w:sz w:val="16"/>
          <w:szCs w:val="16"/>
        </w:rPr>
      </w:pPr>
      <w:r>
        <w:rPr>
          <w:rFonts w:ascii="KaiTi" w:hAnsi="KaiTi" w:eastAsia="KaiTi" w:cs="KaiTi"/>
          <w:sz w:val="16"/>
          <w:szCs w:val="16"/>
          <w:spacing w:val="2"/>
        </w:rPr>
        <w:t>⑥</w:t>
      </w:r>
      <w:r>
        <w:rPr>
          <w:rFonts w:ascii="KaiTi" w:hAnsi="KaiTi" w:eastAsia="KaiTi" w:cs="KaiTi"/>
          <w:sz w:val="16"/>
          <w:szCs w:val="16"/>
          <w:spacing w:val="56"/>
        </w:rPr>
        <w:t xml:space="preserve"> </w:t>
      </w:r>
      <w:r>
        <w:rPr>
          <w:rFonts w:ascii="KaiTi" w:hAnsi="KaiTi" w:eastAsia="KaiTi" w:cs="KaiTi"/>
          <w:sz w:val="16"/>
          <w:szCs w:val="16"/>
          <w:spacing w:val="2"/>
        </w:rPr>
        <w:t>江小涓.高度联通社会中的资源重组与服务业增长。经济研究，2017,52(3):</w:t>
      </w:r>
      <w:r>
        <w:rPr>
          <w:rFonts w:ascii="KaiTi" w:hAnsi="KaiTi" w:eastAsia="KaiTi" w:cs="KaiTi"/>
          <w:sz w:val="16"/>
          <w:szCs w:val="16"/>
          <w:spacing w:val="1"/>
        </w:rPr>
        <w:t>4-17.</w:t>
      </w:r>
    </w:p>
    <w:p>
      <w:pPr>
        <w:spacing w:line="220" w:lineRule="auto"/>
        <w:sectPr>
          <w:headerReference w:type="default" r:id="rId190"/>
          <w:pgSz w:w="7330" w:h="12480"/>
          <w:pgMar w:top="529" w:right="495" w:bottom="400" w:left="750" w:header="365" w:footer="0" w:gutter="0"/>
        </w:sectPr>
        <w:rPr>
          <w:rFonts w:ascii="KaiTi" w:hAnsi="KaiTi" w:eastAsia="KaiTi" w:cs="KaiTi"/>
          <w:sz w:val="16"/>
          <w:szCs w:val="16"/>
        </w:rPr>
      </w:pPr>
    </w:p>
    <w:p>
      <w:pPr>
        <w:pStyle w:val="BodyText"/>
        <w:spacing w:line="249" w:lineRule="auto"/>
        <w:rPr/>
      </w:pPr>
      <w:r>
        <w:drawing>
          <wp:anchor distT="0" distB="0" distL="0" distR="0" simplePos="0" relativeHeight="253331456" behindDoc="0" locked="0" layoutInCell="0" allowOverlap="1">
            <wp:simplePos x="0" y="0"/>
            <wp:positionH relativeFrom="page">
              <wp:posOffset>279412</wp:posOffset>
            </wp:positionH>
            <wp:positionV relativeFrom="page">
              <wp:posOffset>6210269</wp:posOffset>
            </wp:positionV>
            <wp:extent cx="1174715" cy="6418"/>
            <wp:effectExtent l="0" t="0" r="0" b="0"/>
            <wp:wrapNone/>
            <wp:docPr id="156" name="IM 156"/>
            <wp:cNvGraphicFramePr/>
            <a:graphic>
              <a:graphicData uri="http://schemas.openxmlformats.org/drawingml/2006/picture">
                <pic:pic>
                  <pic:nvPicPr>
                    <pic:cNvPr id="156" name="IM 156"/>
                    <pic:cNvPicPr/>
                  </pic:nvPicPr>
                  <pic:blipFill>
                    <a:blip r:embed="rId193"/>
                    <a:stretch>
                      <a:fillRect/>
                    </a:stretch>
                  </pic:blipFill>
                  <pic:spPr>
                    <a:xfrm rot="0">
                      <a:off x="0" y="0"/>
                      <a:ext cx="1174715" cy="6418"/>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firstLine="109"/>
        <w:spacing w:before="71" w:line="293" w:lineRule="auto"/>
        <w:jc w:val="both"/>
        <w:rPr>
          <w:rFonts w:ascii="SimSun" w:hAnsi="SimSun" w:eastAsia="SimSun" w:cs="SimSun"/>
          <w:sz w:val="22"/>
          <w:szCs w:val="22"/>
        </w:rPr>
      </w:pPr>
      <w:r>
        <w:rPr>
          <w:rFonts w:ascii="SimSun" w:hAnsi="SimSun" w:eastAsia="SimSun" w:cs="SimSun"/>
          <w:sz w:val="22"/>
          <w:szCs w:val="22"/>
          <w:spacing w:val="-13"/>
        </w:rPr>
        <w:t>济体系带动的就业机会进行了测算，结果显示其主营的电商</w:t>
      </w:r>
      <w:r>
        <w:rPr>
          <w:rFonts w:ascii="SimSun" w:hAnsi="SimSun" w:eastAsia="SimSun" w:cs="SimSun"/>
          <w:sz w:val="22"/>
          <w:szCs w:val="22"/>
          <w:spacing w:val="-14"/>
        </w:rPr>
        <w:t>平台在</w:t>
      </w:r>
      <w:r>
        <w:rPr>
          <w:rFonts w:ascii="SimSun" w:hAnsi="SimSun" w:eastAsia="SimSun" w:cs="SimSun"/>
          <w:sz w:val="22"/>
          <w:szCs w:val="22"/>
        </w:rPr>
        <w:t xml:space="preserve">  </w:t>
      </w:r>
      <w:r>
        <w:rPr>
          <w:rFonts w:ascii="SimSun" w:hAnsi="SimSun" w:eastAsia="SimSun" w:cs="SimSun"/>
          <w:sz w:val="22"/>
          <w:szCs w:val="22"/>
          <w:spacing w:val="-10"/>
        </w:rPr>
        <w:t>2020年共带动了5373万个就业机会。《滴滴平台新就业报告(2020)》</w:t>
      </w:r>
      <w:r>
        <w:rPr>
          <w:rFonts w:ascii="SimSun" w:hAnsi="SimSun" w:eastAsia="SimSun" w:cs="SimSun"/>
          <w:sz w:val="22"/>
          <w:szCs w:val="22"/>
        </w:rPr>
        <w:t xml:space="preserve"> </w:t>
      </w:r>
      <w:r>
        <w:rPr>
          <w:rFonts w:ascii="SimSun" w:hAnsi="SimSun" w:eastAsia="SimSun" w:cs="SimSun"/>
          <w:sz w:val="22"/>
          <w:szCs w:val="22"/>
          <w:spacing w:val="-2"/>
        </w:rPr>
        <w:t>指出，滴滴平台在2019年共带动国内就业机会1360万个，其中以</w:t>
      </w:r>
      <w:r>
        <w:rPr>
          <w:rFonts w:ascii="SimSun" w:hAnsi="SimSun" w:eastAsia="SimSun" w:cs="SimSun"/>
          <w:sz w:val="22"/>
          <w:szCs w:val="22"/>
          <w:spacing w:val="1"/>
        </w:rPr>
        <w:t xml:space="preserve">  </w:t>
      </w:r>
      <w:r>
        <w:rPr>
          <w:rFonts w:ascii="SimSun" w:hAnsi="SimSun" w:eastAsia="SimSun" w:cs="SimSun"/>
          <w:sz w:val="22"/>
          <w:szCs w:val="22"/>
          <w:spacing w:val="-5"/>
        </w:rPr>
        <w:t>网约车司机、代驾、单车运维人员等为代表的直接就业机</w:t>
      </w:r>
      <w:r>
        <w:rPr>
          <w:rFonts w:ascii="SimSun" w:hAnsi="SimSun" w:eastAsia="SimSun" w:cs="SimSun"/>
          <w:sz w:val="22"/>
          <w:szCs w:val="22"/>
          <w:spacing w:val="-6"/>
        </w:rPr>
        <w:t>会761.6</w:t>
      </w:r>
      <w:r>
        <w:rPr>
          <w:rFonts w:ascii="SimSun" w:hAnsi="SimSun" w:eastAsia="SimSun" w:cs="SimSun"/>
          <w:sz w:val="22"/>
          <w:szCs w:val="22"/>
        </w:rPr>
        <w:t xml:space="preserve">  </w:t>
      </w:r>
      <w:r>
        <w:rPr>
          <w:rFonts w:ascii="SimSun" w:hAnsi="SimSun" w:eastAsia="SimSun" w:cs="SimSun"/>
          <w:sz w:val="22"/>
          <w:szCs w:val="22"/>
          <w:spacing w:val="-10"/>
        </w:rPr>
        <w:t>万个，包括汽车生产、销售、加油、维保等上下游的间接就业机会</w:t>
      </w:r>
      <w:r>
        <w:rPr>
          <w:rFonts w:ascii="SimSun" w:hAnsi="SimSun" w:eastAsia="SimSun" w:cs="SimSun"/>
          <w:sz w:val="22"/>
          <w:szCs w:val="22"/>
          <w:spacing w:val="8"/>
        </w:rPr>
        <w:t xml:space="preserve">  </w:t>
      </w:r>
      <w:r>
        <w:rPr>
          <w:rFonts w:ascii="SimSun" w:hAnsi="SimSun" w:eastAsia="SimSun" w:cs="SimSun"/>
          <w:sz w:val="22"/>
          <w:szCs w:val="22"/>
          <w:spacing w:val="-12"/>
        </w:rPr>
        <w:t>597.9万个。《生活服务平台就业生态体系与美团点评就业机会测算</w:t>
      </w:r>
      <w:r>
        <w:rPr>
          <w:rFonts w:ascii="SimSun" w:hAnsi="SimSun" w:eastAsia="SimSun" w:cs="SimSun"/>
          <w:sz w:val="22"/>
          <w:szCs w:val="22"/>
          <w:spacing w:val="1"/>
        </w:rPr>
        <w:t xml:space="preserve">  </w:t>
      </w:r>
      <w:r>
        <w:rPr>
          <w:rFonts w:ascii="SimSun" w:hAnsi="SimSun" w:eastAsia="SimSun" w:cs="SimSun"/>
          <w:sz w:val="22"/>
          <w:szCs w:val="22"/>
          <w:spacing w:val="-2"/>
        </w:rPr>
        <w:t>报告》显示，2018年美团平台共带动了1960万个就业机会。根据</w:t>
      </w:r>
      <w:r>
        <w:rPr>
          <w:rFonts w:ascii="SimSun" w:hAnsi="SimSun" w:eastAsia="SimSun" w:cs="SimSun"/>
          <w:sz w:val="22"/>
          <w:szCs w:val="22"/>
          <w:spacing w:val="7"/>
        </w:rPr>
        <w:t xml:space="preserve">  </w:t>
      </w:r>
      <w:r>
        <w:rPr>
          <w:rFonts w:ascii="SimSun" w:hAnsi="SimSun" w:eastAsia="SimSun" w:cs="SimSun"/>
          <w:sz w:val="22"/>
          <w:szCs w:val="22"/>
          <w:spacing w:val="-15"/>
        </w:rPr>
        <w:t>《2020年上半年骑手就业报告》的数据，2020年上半年美团平台有单</w:t>
      </w:r>
      <w:r>
        <w:rPr>
          <w:rFonts w:ascii="SimSun" w:hAnsi="SimSun" w:eastAsia="SimSun" w:cs="SimSun"/>
          <w:sz w:val="22"/>
          <w:szCs w:val="22"/>
          <w:spacing w:val="4"/>
        </w:rPr>
        <w:t xml:space="preserve">  </w:t>
      </w:r>
      <w:r>
        <w:rPr>
          <w:rFonts w:ascii="SimSun" w:hAnsi="SimSun" w:eastAsia="SimSun" w:cs="SimSun"/>
          <w:sz w:val="22"/>
          <w:szCs w:val="22"/>
          <w:spacing w:val="-11"/>
        </w:rPr>
        <w:t>骑手达到295.2万人。①</w:t>
      </w:r>
    </w:p>
    <w:p>
      <w:pPr>
        <w:ind w:left="109" w:right="89" w:firstLine="430"/>
        <w:spacing w:before="89" w:line="292" w:lineRule="auto"/>
        <w:jc w:val="both"/>
        <w:rPr>
          <w:rFonts w:ascii="SimSun" w:hAnsi="SimSun" w:eastAsia="SimSun" w:cs="SimSun"/>
          <w:sz w:val="22"/>
          <w:szCs w:val="22"/>
        </w:rPr>
      </w:pPr>
      <w:r>
        <w:rPr>
          <w:rFonts w:ascii="SimSun" w:hAnsi="SimSun" w:eastAsia="SimSun" w:cs="SimSun"/>
          <w:sz w:val="22"/>
          <w:szCs w:val="22"/>
          <w:spacing w:val="-12"/>
        </w:rPr>
        <w:t>就平台劳动者的收入而言，相关平台数据显示，2019年滴滴网</w:t>
      </w:r>
      <w:r>
        <w:rPr>
          <w:rFonts w:ascii="SimSun" w:hAnsi="SimSun" w:eastAsia="SimSun" w:cs="SimSun"/>
          <w:sz w:val="22"/>
          <w:szCs w:val="22"/>
          <w:spacing w:val="7"/>
        </w:rPr>
        <w:t xml:space="preserve"> </w:t>
      </w:r>
      <w:r>
        <w:rPr>
          <w:rFonts w:ascii="SimSun" w:hAnsi="SimSun" w:eastAsia="SimSun" w:cs="SimSun"/>
          <w:sz w:val="22"/>
          <w:szCs w:val="22"/>
          <w:spacing w:val="-6"/>
        </w:rPr>
        <w:t>约车司机(含专职和兼职)的月平均收入为2522元，在一线城市则</w:t>
      </w:r>
      <w:r>
        <w:rPr>
          <w:rFonts w:ascii="SimSun" w:hAnsi="SimSun" w:eastAsia="SimSun" w:cs="SimSun"/>
          <w:sz w:val="22"/>
          <w:szCs w:val="22"/>
          <w:spacing w:val="14"/>
        </w:rPr>
        <w:t xml:space="preserve"> </w:t>
      </w:r>
      <w:r>
        <w:rPr>
          <w:rFonts w:ascii="SimSun" w:hAnsi="SimSun" w:eastAsia="SimSun" w:cs="SimSun"/>
          <w:sz w:val="22"/>
          <w:szCs w:val="22"/>
          <w:spacing w:val="-5"/>
        </w:rPr>
        <w:t>超过5000元；2020年美团骑手(含“专送”和“众包”)的月均收</w:t>
      </w:r>
      <w:r>
        <w:rPr>
          <w:rFonts w:ascii="SimSun" w:hAnsi="SimSun" w:eastAsia="SimSun" w:cs="SimSun"/>
          <w:sz w:val="22"/>
          <w:szCs w:val="22"/>
          <w:spacing w:val="2"/>
        </w:rPr>
        <w:t xml:space="preserve"> </w:t>
      </w:r>
      <w:r>
        <w:rPr>
          <w:rFonts w:ascii="SimSun" w:hAnsi="SimSun" w:eastAsia="SimSun" w:cs="SimSun"/>
          <w:sz w:val="22"/>
          <w:szCs w:val="22"/>
          <w:spacing w:val="-5"/>
        </w:rPr>
        <w:t>入为4950.8元，其中专送骑手月均收入达到5887元，有7.7%的骑</w:t>
      </w:r>
      <w:r>
        <w:rPr>
          <w:rFonts w:ascii="SimSun" w:hAnsi="SimSun" w:eastAsia="SimSun" w:cs="SimSun"/>
          <w:sz w:val="22"/>
          <w:szCs w:val="22"/>
          <w:spacing w:val="12"/>
        </w:rPr>
        <w:t xml:space="preserve"> </w:t>
      </w:r>
      <w:r>
        <w:rPr>
          <w:rFonts w:ascii="SimSun" w:hAnsi="SimSun" w:eastAsia="SimSun" w:cs="SimSun"/>
          <w:sz w:val="22"/>
          <w:szCs w:val="22"/>
          <w:spacing w:val="-15"/>
        </w:rPr>
        <w:t>手月收入超过1万元。作为对比，《2020年农民工</w:t>
      </w:r>
      <w:r>
        <w:rPr>
          <w:rFonts w:ascii="SimSun" w:hAnsi="SimSun" w:eastAsia="SimSun" w:cs="SimSun"/>
          <w:sz w:val="22"/>
          <w:szCs w:val="22"/>
          <w:spacing w:val="-16"/>
        </w:rPr>
        <w:t>监测调查报告》显</w:t>
      </w:r>
      <w:r>
        <w:rPr>
          <w:rFonts w:ascii="SimSun" w:hAnsi="SimSun" w:eastAsia="SimSun" w:cs="SimSun"/>
          <w:sz w:val="22"/>
          <w:szCs w:val="22"/>
        </w:rPr>
        <w:t xml:space="preserve"> </w:t>
      </w:r>
      <w:r>
        <w:rPr>
          <w:rFonts w:ascii="SimSun" w:hAnsi="SimSun" w:eastAsia="SimSun" w:cs="SimSun"/>
          <w:sz w:val="22"/>
          <w:szCs w:val="22"/>
          <w:spacing w:val="-8"/>
        </w:rPr>
        <w:t>示，2020年农民工月均收入为4072元②,这</w:t>
      </w:r>
      <w:r>
        <w:rPr>
          <w:rFonts w:ascii="SimSun" w:hAnsi="SimSun" w:eastAsia="SimSun" w:cs="SimSun"/>
          <w:sz w:val="22"/>
          <w:szCs w:val="22"/>
          <w:spacing w:val="-9"/>
        </w:rPr>
        <w:t>说明平台经济的一大特</w:t>
      </w:r>
      <w:r>
        <w:rPr>
          <w:rFonts w:ascii="SimSun" w:hAnsi="SimSun" w:eastAsia="SimSun" w:cs="SimSun"/>
          <w:sz w:val="22"/>
          <w:szCs w:val="22"/>
        </w:rPr>
        <w:t xml:space="preserve"> </w:t>
      </w:r>
      <w:r>
        <w:rPr>
          <w:rFonts w:ascii="SimSun" w:hAnsi="SimSun" w:eastAsia="SimSun" w:cs="SimSun"/>
          <w:sz w:val="22"/>
          <w:szCs w:val="22"/>
          <w:spacing w:val="-20"/>
        </w:rPr>
        <w:t>点是创造了大量相对灵活的工作机会，增加了劳动者的就业选</w:t>
      </w:r>
      <w:r>
        <w:rPr>
          <w:rFonts w:ascii="SimSun" w:hAnsi="SimSun" w:eastAsia="SimSun" w:cs="SimSun"/>
          <w:sz w:val="22"/>
          <w:szCs w:val="22"/>
          <w:spacing w:val="-21"/>
        </w:rPr>
        <w:t>择，提</w:t>
      </w:r>
      <w:r>
        <w:rPr>
          <w:rFonts w:ascii="SimSun" w:hAnsi="SimSun" w:eastAsia="SimSun" w:cs="SimSun"/>
          <w:sz w:val="22"/>
          <w:szCs w:val="22"/>
        </w:rPr>
        <w:t xml:space="preserve"> </w:t>
      </w:r>
      <w:r>
        <w:rPr>
          <w:rFonts w:ascii="SimSun" w:hAnsi="SimSun" w:eastAsia="SimSun" w:cs="SimSun"/>
          <w:sz w:val="22"/>
          <w:szCs w:val="22"/>
          <w:spacing w:val="-19"/>
        </w:rPr>
        <w:t>供了在完成相对灵活的工作任务的同时获得</w:t>
      </w:r>
      <w:r>
        <w:rPr>
          <w:rFonts w:ascii="SimSun" w:hAnsi="SimSun" w:eastAsia="SimSun" w:cs="SimSun"/>
          <w:sz w:val="22"/>
          <w:szCs w:val="22"/>
          <w:spacing w:val="-20"/>
        </w:rPr>
        <w:t>比较体面的收入的可能。</w:t>
      </w:r>
    </w:p>
    <w:p>
      <w:pPr>
        <w:pStyle w:val="BodyText"/>
        <w:spacing w:line="433" w:lineRule="auto"/>
        <w:rPr/>
      </w:pPr>
      <w:r/>
    </w:p>
    <w:p>
      <w:pPr>
        <w:ind w:left="113"/>
        <w:spacing w:before="72" w:line="220" w:lineRule="auto"/>
        <w:rPr>
          <w:rFonts w:ascii="SimSun" w:hAnsi="SimSun" w:eastAsia="SimSun" w:cs="SimSun"/>
          <w:sz w:val="22"/>
          <w:szCs w:val="22"/>
        </w:rPr>
      </w:pPr>
      <w:r>
        <w:rPr>
          <w:rFonts w:ascii="SimSun" w:hAnsi="SimSun" w:eastAsia="SimSun" w:cs="SimSun"/>
          <w:sz w:val="22"/>
          <w:szCs w:val="22"/>
          <w:b/>
          <w:bCs/>
          <w:spacing w:val="16"/>
        </w:rPr>
        <w:t>平台经济下工作性质和就业选择的变化</w:t>
      </w:r>
    </w:p>
    <w:p>
      <w:pPr>
        <w:pStyle w:val="BodyText"/>
        <w:spacing w:line="336" w:lineRule="auto"/>
        <w:rPr/>
      </w:pPr>
      <w:r/>
    </w:p>
    <w:p>
      <w:pPr>
        <w:ind w:left="559"/>
        <w:spacing w:before="72" w:line="219" w:lineRule="auto"/>
        <w:rPr>
          <w:rFonts w:ascii="SimSun" w:hAnsi="SimSun" w:eastAsia="SimSun" w:cs="SimSun"/>
          <w:sz w:val="22"/>
          <w:szCs w:val="22"/>
        </w:rPr>
      </w:pPr>
      <w:r>
        <w:rPr>
          <w:rFonts w:ascii="SimSun" w:hAnsi="SimSun" w:eastAsia="SimSun" w:cs="SimSun"/>
          <w:sz w:val="22"/>
          <w:szCs w:val="22"/>
          <w:spacing w:val="-20"/>
        </w:rPr>
        <w:t>在劳动就业方面，平台经济的最主要特点是大大拓宽了“零工经</w:t>
      </w:r>
    </w:p>
    <w:p>
      <w:pPr>
        <w:pStyle w:val="BodyText"/>
        <w:rPr/>
      </w:pPr>
      <w:r/>
    </w:p>
    <w:p>
      <w:pPr>
        <w:pStyle w:val="BodyText"/>
        <w:spacing w:line="241" w:lineRule="auto"/>
        <w:rPr/>
      </w:pPr>
      <w:r/>
    </w:p>
    <w:p>
      <w:pPr>
        <w:ind w:left="449" w:right="62" w:hanging="340"/>
        <w:spacing w:before="56" w:line="279" w:lineRule="auto"/>
        <w:rPr>
          <w:rFonts w:ascii="KaiTi" w:hAnsi="KaiTi" w:eastAsia="KaiTi" w:cs="KaiTi"/>
          <w:sz w:val="17"/>
          <w:szCs w:val="17"/>
        </w:rPr>
      </w:pPr>
      <w:r>
        <w:rPr>
          <w:rFonts w:ascii="SimSun" w:hAnsi="SimSun" w:eastAsia="SimSun" w:cs="SimSun"/>
          <w:sz w:val="17"/>
          <w:szCs w:val="17"/>
          <w:spacing w:val="-7"/>
        </w:rPr>
        <w:t>①</w:t>
      </w:r>
      <w:r>
        <w:rPr>
          <w:rFonts w:ascii="SimSun" w:hAnsi="SimSun" w:eastAsia="SimSun" w:cs="SimSun"/>
          <w:sz w:val="17"/>
          <w:szCs w:val="17"/>
          <w:spacing w:val="70"/>
          <w:w w:val="101"/>
        </w:rPr>
        <w:t xml:space="preserve"> </w:t>
      </w:r>
      <w:r>
        <w:rPr>
          <w:rFonts w:ascii="KaiTi" w:hAnsi="KaiTi" w:eastAsia="KaiTi" w:cs="KaiTi"/>
          <w:sz w:val="17"/>
          <w:szCs w:val="17"/>
          <w:spacing w:val="-7"/>
        </w:rPr>
        <w:t>由于平台劳动者存在大量的兼职情况，各平台企业的就业测算存在</w:t>
      </w:r>
      <w:r>
        <w:rPr>
          <w:rFonts w:ascii="KaiTi" w:hAnsi="KaiTi" w:eastAsia="KaiTi" w:cs="KaiTi"/>
          <w:sz w:val="17"/>
          <w:szCs w:val="17"/>
          <w:spacing w:val="-8"/>
        </w:rPr>
        <w:t>重叠性，平台</w:t>
      </w:r>
      <w:r>
        <w:rPr>
          <w:rFonts w:ascii="KaiTi" w:hAnsi="KaiTi" w:eastAsia="KaiTi" w:cs="KaiTi"/>
          <w:sz w:val="17"/>
          <w:szCs w:val="17"/>
        </w:rPr>
        <w:t xml:space="preserve"> </w:t>
      </w:r>
      <w:r>
        <w:rPr>
          <w:rFonts w:ascii="KaiTi" w:hAnsi="KaiTi" w:eastAsia="KaiTi" w:cs="KaiTi"/>
          <w:sz w:val="17"/>
          <w:szCs w:val="17"/>
          <w:spacing w:val="-7"/>
        </w:rPr>
        <w:t>劳动者与传统劳动者的区分也很困难，平台经济提供的就业总数难以被精准地测</w:t>
      </w:r>
      <w:r>
        <w:rPr>
          <w:rFonts w:ascii="KaiTi" w:hAnsi="KaiTi" w:eastAsia="KaiTi" w:cs="KaiTi"/>
          <w:sz w:val="17"/>
          <w:szCs w:val="17"/>
          <w:spacing w:val="11"/>
        </w:rPr>
        <w:t xml:space="preserve"> </w:t>
      </w:r>
      <w:r>
        <w:rPr>
          <w:rFonts w:ascii="KaiTi" w:hAnsi="KaiTi" w:eastAsia="KaiTi" w:cs="KaiTi"/>
          <w:sz w:val="17"/>
          <w:szCs w:val="17"/>
          <w:spacing w:val="-11"/>
        </w:rPr>
        <w:t>算出来。</w:t>
      </w:r>
    </w:p>
    <w:p>
      <w:pPr>
        <w:ind w:left="449" w:right="45" w:hanging="340"/>
        <w:spacing w:before="80" w:line="274" w:lineRule="auto"/>
        <w:rPr>
          <w:rFonts w:ascii="KaiTi" w:hAnsi="KaiTi" w:eastAsia="KaiTi" w:cs="KaiTi"/>
          <w:sz w:val="17"/>
          <w:szCs w:val="17"/>
        </w:rPr>
      </w:pPr>
      <w:r>
        <w:rPr>
          <w:rFonts w:ascii="KaiTi" w:hAnsi="KaiTi" w:eastAsia="KaiTi" w:cs="KaiTi"/>
          <w:sz w:val="17"/>
          <w:szCs w:val="17"/>
          <w:spacing w:val="-6"/>
        </w:rPr>
        <w:t>②</w:t>
      </w:r>
      <w:r>
        <w:rPr>
          <w:rFonts w:ascii="KaiTi" w:hAnsi="KaiTi" w:eastAsia="KaiTi" w:cs="KaiTi"/>
          <w:sz w:val="17"/>
          <w:szCs w:val="17"/>
          <w:spacing w:val="-6"/>
        </w:rPr>
        <w:t xml:space="preserve">  </w:t>
      </w:r>
      <w:r>
        <w:rPr>
          <w:rFonts w:ascii="KaiTi" w:hAnsi="KaiTi" w:eastAsia="KaiTi" w:cs="KaiTi"/>
          <w:sz w:val="17"/>
          <w:szCs w:val="17"/>
          <w:spacing w:val="-6"/>
        </w:rPr>
        <w:t>由于缺乏劳动时间的统计，很难比较平台劳动者和传统农民工的小时工资水平。</w:t>
      </w:r>
      <w:r>
        <w:rPr>
          <w:rFonts w:ascii="KaiTi" w:hAnsi="KaiTi" w:eastAsia="KaiTi" w:cs="KaiTi"/>
          <w:sz w:val="17"/>
          <w:szCs w:val="17"/>
          <w:spacing w:val="12"/>
        </w:rPr>
        <w:t xml:space="preserve"> </w:t>
      </w:r>
      <w:r>
        <w:rPr>
          <w:rFonts w:ascii="KaiTi" w:hAnsi="KaiTi" w:eastAsia="KaiTi" w:cs="KaiTi"/>
          <w:sz w:val="17"/>
          <w:szCs w:val="17"/>
          <w:spacing w:val="-7"/>
        </w:rPr>
        <w:t>但这些统计数据说明，平台经济为那些愿意获得更高月收入的劳动者提供了大量</w:t>
      </w:r>
      <w:r>
        <w:rPr>
          <w:rFonts w:ascii="KaiTi" w:hAnsi="KaiTi" w:eastAsia="KaiTi" w:cs="KaiTi"/>
          <w:sz w:val="17"/>
          <w:szCs w:val="17"/>
          <w:spacing w:val="5"/>
        </w:rPr>
        <w:t xml:space="preserve"> </w:t>
      </w:r>
      <w:r>
        <w:rPr>
          <w:rFonts w:ascii="KaiTi" w:hAnsi="KaiTi" w:eastAsia="KaiTi" w:cs="KaiTi"/>
          <w:sz w:val="17"/>
          <w:szCs w:val="17"/>
          <w:spacing w:val="-14"/>
        </w:rPr>
        <w:t>工作机会。</w:t>
      </w:r>
    </w:p>
    <w:p>
      <w:pPr>
        <w:spacing w:line="274" w:lineRule="auto"/>
        <w:sectPr>
          <w:headerReference w:type="default" r:id="rId192"/>
          <w:pgSz w:w="7330" w:h="12480"/>
          <w:pgMar w:top="869" w:right="779" w:bottom="400" w:left="319" w:header="679" w:footer="0" w:gutter="0"/>
        </w:sectPr>
        <w:rPr>
          <w:rFonts w:ascii="KaiTi" w:hAnsi="KaiTi" w:eastAsia="KaiTi" w:cs="KaiTi"/>
          <w:sz w:val="17"/>
          <w:szCs w:val="17"/>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172"/>
        <w:spacing w:before="69" w:line="298" w:lineRule="auto"/>
        <w:jc w:val="both"/>
        <w:rPr>
          <w:rFonts w:ascii="SimSun" w:hAnsi="SimSun" w:eastAsia="SimSun" w:cs="SimSun"/>
          <w:sz w:val="21"/>
          <w:szCs w:val="21"/>
        </w:rPr>
      </w:pPr>
      <w:r>
        <w:rPr>
          <w:rFonts w:ascii="SimSun" w:hAnsi="SimSun" w:eastAsia="SimSun" w:cs="SimSun"/>
          <w:sz w:val="21"/>
          <w:szCs w:val="21"/>
          <w:spacing w:val="-10"/>
        </w:rPr>
        <w:t>济”的适用场景，催生了一大批新就业形态，使得灵活就业人员在劳</w:t>
      </w:r>
      <w:r>
        <w:rPr>
          <w:rFonts w:ascii="SimSun" w:hAnsi="SimSun" w:eastAsia="SimSun" w:cs="SimSun"/>
          <w:sz w:val="21"/>
          <w:szCs w:val="21"/>
          <w:spacing w:val="10"/>
        </w:rPr>
        <w:t xml:space="preserve"> </w:t>
      </w:r>
      <w:r>
        <w:rPr>
          <w:rFonts w:ascii="SimSun" w:hAnsi="SimSun" w:eastAsia="SimSun" w:cs="SimSun"/>
          <w:sz w:val="21"/>
          <w:szCs w:val="21"/>
          <w:spacing w:val="-10"/>
        </w:rPr>
        <w:t>动者中的比例大幅上升，并导致大量工作出现了从线下到线上、从固</w:t>
      </w:r>
      <w:r>
        <w:rPr>
          <w:rFonts w:ascii="SimSun" w:hAnsi="SimSun" w:eastAsia="SimSun" w:cs="SimSun"/>
          <w:sz w:val="21"/>
          <w:szCs w:val="21"/>
        </w:rPr>
        <w:t xml:space="preserve"> </w:t>
      </w:r>
      <w:r>
        <w:rPr>
          <w:rFonts w:ascii="SimSun" w:hAnsi="SimSun" w:eastAsia="SimSun" w:cs="SimSun"/>
          <w:sz w:val="21"/>
          <w:szCs w:val="21"/>
          <w:spacing w:val="-11"/>
        </w:rPr>
        <w:t>定到灵活、从单一到多元的转变。本小节具体分析平台经济的发展对</w:t>
      </w:r>
      <w:r>
        <w:rPr>
          <w:rFonts w:ascii="SimSun" w:hAnsi="SimSun" w:eastAsia="SimSun" w:cs="SimSun"/>
          <w:sz w:val="21"/>
          <w:szCs w:val="21"/>
          <w:spacing w:val="17"/>
        </w:rPr>
        <w:t xml:space="preserve"> </w:t>
      </w:r>
      <w:r>
        <w:rPr>
          <w:rFonts w:ascii="SimSun" w:hAnsi="SimSun" w:eastAsia="SimSun" w:cs="SimSun"/>
          <w:sz w:val="21"/>
          <w:szCs w:val="21"/>
          <w:spacing w:val="-11"/>
        </w:rPr>
        <w:t>工作形式、任务、性质等方面带来的改变，以及对人们的就</w:t>
      </w:r>
      <w:r>
        <w:rPr>
          <w:rFonts w:ascii="SimSun" w:hAnsi="SimSun" w:eastAsia="SimSun" w:cs="SimSun"/>
          <w:sz w:val="21"/>
          <w:szCs w:val="21"/>
          <w:spacing w:val="-12"/>
        </w:rPr>
        <w:t>业和创业</w:t>
      </w:r>
      <w:r>
        <w:rPr>
          <w:rFonts w:ascii="SimSun" w:hAnsi="SimSun" w:eastAsia="SimSun" w:cs="SimSun"/>
          <w:sz w:val="21"/>
          <w:szCs w:val="21"/>
        </w:rPr>
        <w:t xml:space="preserve"> </w:t>
      </w:r>
      <w:r>
        <w:rPr>
          <w:rFonts w:ascii="SimSun" w:hAnsi="SimSun" w:eastAsia="SimSun" w:cs="SimSun"/>
          <w:sz w:val="21"/>
          <w:szCs w:val="21"/>
          <w:spacing w:val="-11"/>
        </w:rPr>
        <w:t>选择的影响。</w:t>
      </w:r>
    </w:p>
    <w:p>
      <w:pPr>
        <w:ind w:right="183" w:firstLine="450"/>
        <w:spacing w:before="102" w:line="308" w:lineRule="auto"/>
        <w:rPr>
          <w:rFonts w:ascii="SimSun" w:hAnsi="SimSun" w:eastAsia="SimSun" w:cs="SimSun"/>
          <w:sz w:val="21"/>
          <w:szCs w:val="21"/>
        </w:rPr>
      </w:pPr>
      <w:r>
        <w:rPr>
          <w:rFonts w:ascii="SimSun" w:hAnsi="SimSun" w:eastAsia="SimSun" w:cs="SimSun"/>
          <w:sz w:val="21"/>
          <w:szCs w:val="21"/>
          <w:spacing w:val="-5"/>
        </w:rPr>
        <w:t>第一，平台经济的发展使得许多工作发生了由线下向线上的转</w:t>
      </w:r>
      <w:r>
        <w:rPr>
          <w:rFonts w:ascii="SimSun" w:hAnsi="SimSun" w:eastAsia="SimSun" w:cs="SimSun"/>
          <w:sz w:val="21"/>
          <w:szCs w:val="21"/>
          <w:spacing w:val="13"/>
        </w:rPr>
        <w:t xml:space="preserve"> </w:t>
      </w:r>
      <w:r>
        <w:rPr>
          <w:rFonts w:ascii="SimSun" w:hAnsi="SimSun" w:eastAsia="SimSun" w:cs="SimSun"/>
          <w:sz w:val="21"/>
          <w:szCs w:val="21"/>
          <w:spacing w:val="-10"/>
        </w:rPr>
        <w:t>变。“零工经济”早已有之，互联网技术的发</w:t>
      </w:r>
      <w:r>
        <w:rPr>
          <w:rFonts w:ascii="SimSun" w:hAnsi="SimSun" w:eastAsia="SimSun" w:cs="SimSun"/>
          <w:sz w:val="21"/>
          <w:szCs w:val="21"/>
          <w:spacing w:val="-11"/>
        </w:rPr>
        <w:t>展和平台的崛起，进一</w:t>
      </w:r>
      <w:r>
        <w:rPr>
          <w:rFonts w:ascii="SimSun" w:hAnsi="SimSun" w:eastAsia="SimSun" w:cs="SimSun"/>
          <w:sz w:val="21"/>
          <w:szCs w:val="21"/>
        </w:rPr>
        <w:t xml:space="preserve"> </w:t>
      </w:r>
      <w:r>
        <w:rPr>
          <w:rFonts w:ascii="SimSun" w:hAnsi="SimSun" w:eastAsia="SimSun" w:cs="SimSun"/>
          <w:sz w:val="21"/>
          <w:szCs w:val="21"/>
          <w:spacing w:val="-11"/>
        </w:rPr>
        <w:t>步便利了劳动力要素供求双方的信息搜寻和匹配，使零工就业</w:t>
      </w:r>
      <w:r>
        <w:rPr>
          <w:rFonts w:ascii="SimSun" w:hAnsi="SimSun" w:eastAsia="SimSun" w:cs="SimSun"/>
          <w:sz w:val="21"/>
          <w:szCs w:val="21"/>
          <w:spacing w:val="-12"/>
        </w:rPr>
        <w:t>主要呈</w:t>
      </w:r>
      <w:r>
        <w:rPr>
          <w:rFonts w:ascii="SimSun" w:hAnsi="SimSun" w:eastAsia="SimSun" w:cs="SimSun"/>
          <w:sz w:val="21"/>
          <w:szCs w:val="21"/>
        </w:rPr>
        <w:t xml:space="preserve"> </w:t>
      </w:r>
      <w:r>
        <w:rPr>
          <w:rFonts w:ascii="SimSun" w:hAnsi="SimSun" w:eastAsia="SimSun" w:cs="SimSun"/>
          <w:sz w:val="21"/>
          <w:szCs w:val="21"/>
          <w:spacing w:val="-10"/>
        </w:rPr>
        <w:t>现出两种形式——在线劳动力市场以及基于应</w:t>
      </w:r>
      <w:r>
        <w:rPr>
          <w:rFonts w:ascii="SimSun" w:hAnsi="SimSun" w:eastAsia="SimSun" w:cs="SimSun"/>
          <w:sz w:val="21"/>
          <w:szCs w:val="21"/>
          <w:spacing w:val="-11"/>
        </w:rPr>
        <w:t>用程序的按需工作。在</w:t>
      </w:r>
      <w:r>
        <w:rPr>
          <w:rFonts w:ascii="SimSun" w:hAnsi="SimSun" w:eastAsia="SimSun" w:cs="SimSun"/>
          <w:sz w:val="21"/>
          <w:szCs w:val="21"/>
        </w:rPr>
        <w:t xml:space="preserve"> </w:t>
      </w:r>
      <w:r>
        <w:rPr>
          <w:rFonts w:ascii="SimSun" w:hAnsi="SimSun" w:eastAsia="SimSun" w:cs="SimSun"/>
          <w:sz w:val="21"/>
          <w:szCs w:val="21"/>
          <w:spacing w:val="-11"/>
        </w:rPr>
        <w:t>线劳动力市场主要通过互联网平台在全球范围内匹配组织与个人来提</w:t>
      </w:r>
      <w:r>
        <w:rPr>
          <w:rFonts w:ascii="SimSun" w:hAnsi="SimSun" w:eastAsia="SimSun" w:cs="SimSun"/>
          <w:sz w:val="21"/>
          <w:szCs w:val="21"/>
          <w:spacing w:val="17"/>
        </w:rPr>
        <w:t xml:space="preserve"> </w:t>
      </w:r>
      <w:r>
        <w:rPr>
          <w:rFonts w:ascii="SimSun" w:hAnsi="SimSun" w:eastAsia="SimSun" w:cs="SimSun"/>
          <w:sz w:val="21"/>
          <w:szCs w:val="21"/>
          <w:spacing w:val="-10"/>
        </w:rPr>
        <w:t>供远程服务，更多地适用于知识密集型产业</w:t>
      </w:r>
      <w:r>
        <w:rPr>
          <w:rFonts w:ascii="SimSun" w:hAnsi="SimSun" w:eastAsia="SimSun" w:cs="SimSun"/>
          <w:sz w:val="21"/>
          <w:szCs w:val="21"/>
          <w:spacing w:val="-11"/>
        </w:rPr>
        <w:t>，如众包程序员、直播带</w:t>
      </w:r>
      <w:r>
        <w:rPr>
          <w:rFonts w:ascii="SimSun" w:hAnsi="SimSun" w:eastAsia="SimSun" w:cs="SimSun"/>
          <w:sz w:val="21"/>
          <w:szCs w:val="21"/>
        </w:rPr>
        <w:t xml:space="preserve"> </w:t>
      </w:r>
      <w:r>
        <w:rPr>
          <w:rFonts w:ascii="SimSun" w:hAnsi="SimSun" w:eastAsia="SimSun" w:cs="SimSun"/>
          <w:sz w:val="21"/>
          <w:szCs w:val="21"/>
          <w:spacing w:val="-11"/>
        </w:rPr>
        <w:t>货员、在线咨询人员等等，这类工作的各个环节，包括实际的工作任</w:t>
      </w:r>
      <w:r>
        <w:rPr>
          <w:rFonts w:ascii="SimSun" w:hAnsi="SimSun" w:eastAsia="SimSun" w:cs="SimSun"/>
          <w:sz w:val="21"/>
          <w:szCs w:val="21"/>
          <w:spacing w:val="17"/>
        </w:rPr>
        <w:t xml:space="preserve"> </w:t>
      </w:r>
      <w:r>
        <w:rPr>
          <w:rFonts w:ascii="SimSun" w:hAnsi="SimSun" w:eastAsia="SimSun" w:cs="SimSun"/>
          <w:sz w:val="21"/>
          <w:szCs w:val="21"/>
          <w:spacing w:val="-10"/>
        </w:rPr>
        <w:t>务在内，都在线上展开。基于应用程序的按需工作主</w:t>
      </w:r>
      <w:r>
        <w:rPr>
          <w:rFonts w:ascii="SimSun" w:hAnsi="SimSun" w:eastAsia="SimSun" w:cs="SimSun"/>
          <w:sz w:val="21"/>
          <w:szCs w:val="21"/>
          <w:spacing w:val="-11"/>
        </w:rPr>
        <w:t>要是为了即时匹</w:t>
      </w:r>
      <w:r>
        <w:rPr>
          <w:rFonts w:ascii="SimSun" w:hAnsi="SimSun" w:eastAsia="SimSun" w:cs="SimSun"/>
          <w:sz w:val="21"/>
          <w:szCs w:val="21"/>
        </w:rPr>
        <w:t xml:space="preserve"> </w:t>
      </w:r>
      <w:r>
        <w:rPr>
          <w:rFonts w:ascii="SimSun" w:hAnsi="SimSun" w:eastAsia="SimSun" w:cs="SimSun"/>
          <w:sz w:val="21"/>
          <w:szCs w:val="21"/>
          <w:spacing w:val="-11"/>
        </w:rPr>
        <w:t>配本地范围内的供给与需求，常见于劳动密集型服务业，常见工作包</w:t>
      </w:r>
      <w:r>
        <w:rPr>
          <w:rFonts w:ascii="SimSun" w:hAnsi="SimSun" w:eastAsia="SimSun" w:cs="SimSun"/>
          <w:sz w:val="21"/>
          <w:szCs w:val="21"/>
          <w:spacing w:val="18"/>
        </w:rPr>
        <w:t xml:space="preserve"> </w:t>
      </w:r>
      <w:r>
        <w:rPr>
          <w:rFonts w:ascii="SimSun" w:hAnsi="SimSun" w:eastAsia="SimSun" w:cs="SimSun"/>
          <w:sz w:val="21"/>
          <w:szCs w:val="21"/>
          <w:spacing w:val="-11"/>
        </w:rPr>
        <w:t>括网约车司机、外卖骑手、代驾司机等。这一类用工的实际工作任务</w:t>
      </w:r>
      <w:r>
        <w:rPr>
          <w:rFonts w:ascii="SimSun" w:hAnsi="SimSun" w:eastAsia="SimSun" w:cs="SimSun"/>
          <w:sz w:val="21"/>
          <w:szCs w:val="21"/>
          <w:spacing w:val="18"/>
        </w:rPr>
        <w:t xml:space="preserve"> </w:t>
      </w:r>
      <w:r>
        <w:rPr>
          <w:rFonts w:ascii="SimSun" w:hAnsi="SimSun" w:eastAsia="SimSun" w:cs="SimSun"/>
          <w:sz w:val="21"/>
          <w:szCs w:val="21"/>
          <w:spacing w:val="-10"/>
        </w:rPr>
        <w:t>在线下完成，但是劳动的供需匹配、工资结付、评价</w:t>
      </w:r>
      <w:r>
        <w:rPr>
          <w:rFonts w:ascii="SimSun" w:hAnsi="SimSun" w:eastAsia="SimSun" w:cs="SimSun"/>
          <w:sz w:val="21"/>
          <w:szCs w:val="21"/>
          <w:spacing w:val="-11"/>
        </w:rPr>
        <w:t>监管等环节在线</w:t>
      </w:r>
      <w:r>
        <w:rPr>
          <w:rFonts w:ascii="SimSun" w:hAnsi="SimSun" w:eastAsia="SimSun" w:cs="SimSun"/>
          <w:sz w:val="21"/>
          <w:szCs w:val="21"/>
        </w:rPr>
        <w:t xml:space="preserve"> </w:t>
      </w:r>
      <w:r>
        <w:rPr>
          <w:rFonts w:ascii="SimSun" w:hAnsi="SimSun" w:eastAsia="SimSun" w:cs="SimSun"/>
          <w:sz w:val="21"/>
          <w:szCs w:val="21"/>
          <w:spacing w:val="-8"/>
        </w:rPr>
        <w:t>上完成。两种用工方式都明显体现出了工作线上化的趋势。</w:t>
      </w:r>
    </w:p>
    <w:p>
      <w:pPr>
        <w:ind w:firstLine="460"/>
        <w:spacing w:before="96" w:line="307" w:lineRule="auto"/>
        <w:jc w:val="both"/>
        <w:rPr>
          <w:rFonts w:ascii="SimSun" w:hAnsi="SimSun" w:eastAsia="SimSun" w:cs="SimSun"/>
          <w:sz w:val="21"/>
          <w:szCs w:val="21"/>
        </w:rPr>
      </w:pPr>
      <w:r>
        <w:rPr>
          <w:rFonts w:ascii="SimSun" w:hAnsi="SimSun" w:eastAsia="SimSun" w:cs="SimSun"/>
          <w:sz w:val="21"/>
          <w:szCs w:val="21"/>
          <w:spacing w:val="-3"/>
        </w:rPr>
        <w:t>第二，平台经济的发展使得许多劳动者从固定工作转向灵活就</w:t>
      </w:r>
      <w:r>
        <w:rPr>
          <w:rFonts w:ascii="SimSun" w:hAnsi="SimSun" w:eastAsia="SimSun" w:cs="SimSun"/>
          <w:sz w:val="21"/>
          <w:szCs w:val="21"/>
        </w:rPr>
        <w:t xml:space="preserve">  </w:t>
      </w:r>
      <w:r>
        <w:rPr>
          <w:rFonts w:ascii="SimSun" w:hAnsi="SimSun" w:eastAsia="SimSun" w:cs="SimSun"/>
          <w:sz w:val="21"/>
          <w:szCs w:val="21"/>
          <w:spacing w:val="-4"/>
        </w:rPr>
        <w:t>业。传统的灵活就业主要是以提供劳务服务的相对独立的“承包商”</w:t>
      </w:r>
      <w:r>
        <w:rPr>
          <w:rFonts w:ascii="SimSun" w:hAnsi="SimSun" w:eastAsia="SimSun" w:cs="SimSun"/>
          <w:sz w:val="21"/>
          <w:szCs w:val="21"/>
          <w:spacing w:val="2"/>
        </w:rPr>
        <w:t xml:space="preserve"> </w:t>
      </w:r>
      <w:r>
        <w:rPr>
          <w:rFonts w:ascii="SimSun" w:hAnsi="SimSun" w:eastAsia="SimSun" w:cs="SimSun"/>
          <w:sz w:val="21"/>
          <w:szCs w:val="21"/>
          <w:spacing w:val="-11"/>
        </w:rPr>
        <w:t>的形式出现，在现有的劳动法框架下属于劳动关系与民事关系二分法</w:t>
      </w:r>
      <w:r>
        <w:rPr>
          <w:rFonts w:ascii="SimSun" w:hAnsi="SimSun" w:eastAsia="SimSun" w:cs="SimSun"/>
          <w:sz w:val="21"/>
          <w:szCs w:val="21"/>
          <w:spacing w:val="5"/>
        </w:rPr>
        <w:t xml:space="preserve">   </w:t>
      </w:r>
      <w:r>
        <w:rPr>
          <w:rFonts w:ascii="SimSun" w:hAnsi="SimSun" w:eastAsia="SimSun" w:cs="SimSun"/>
          <w:sz w:val="21"/>
          <w:szCs w:val="21"/>
          <w:spacing w:val="-10"/>
        </w:rPr>
        <w:t>中的民事关系类型。随着数字技术的发展和互</w:t>
      </w:r>
      <w:r>
        <w:rPr>
          <w:rFonts w:ascii="SimSun" w:hAnsi="SimSun" w:eastAsia="SimSun" w:cs="SimSun"/>
          <w:sz w:val="21"/>
          <w:szCs w:val="21"/>
          <w:spacing w:val="-11"/>
        </w:rPr>
        <w:t>联网平台的崛起，数据</w:t>
      </w:r>
      <w:r>
        <w:rPr>
          <w:rFonts w:ascii="SimSun" w:hAnsi="SimSun" w:eastAsia="SimSun" w:cs="SimSun"/>
          <w:sz w:val="21"/>
          <w:szCs w:val="21"/>
        </w:rPr>
        <w:t xml:space="preserve">   </w:t>
      </w:r>
      <w:r>
        <w:rPr>
          <w:rFonts w:ascii="SimSun" w:hAnsi="SimSun" w:eastAsia="SimSun" w:cs="SimSun"/>
          <w:sz w:val="21"/>
          <w:szCs w:val="21"/>
          <w:spacing w:val="-10"/>
        </w:rPr>
        <w:t>和算法提升劳动供需匹配效率的优势得以体现</w:t>
      </w:r>
      <w:r>
        <w:rPr>
          <w:rFonts w:ascii="SimSun" w:hAnsi="SimSun" w:eastAsia="SimSun" w:cs="SimSun"/>
          <w:sz w:val="21"/>
          <w:szCs w:val="21"/>
          <w:spacing w:val="-11"/>
        </w:rPr>
        <w:t>，越来越多的工作在时</w:t>
      </w:r>
      <w:r>
        <w:rPr>
          <w:rFonts w:ascii="SimSun" w:hAnsi="SimSun" w:eastAsia="SimSun" w:cs="SimSun"/>
          <w:sz w:val="21"/>
          <w:szCs w:val="21"/>
        </w:rPr>
        <w:t xml:space="preserve">   </w:t>
      </w:r>
      <w:r>
        <w:rPr>
          <w:rFonts w:ascii="SimSun" w:hAnsi="SimSun" w:eastAsia="SimSun" w:cs="SimSun"/>
          <w:sz w:val="21"/>
          <w:szCs w:val="21"/>
          <w:spacing w:val="-11"/>
        </w:rPr>
        <w:t>间安排和任务方面出现了碎片化的特点，从而在“承包商”之外创造</w:t>
      </w:r>
      <w:r>
        <w:rPr>
          <w:rFonts w:ascii="SimSun" w:hAnsi="SimSun" w:eastAsia="SimSun" w:cs="SimSun"/>
          <w:sz w:val="21"/>
          <w:szCs w:val="21"/>
          <w:spacing w:val="5"/>
        </w:rPr>
        <w:t xml:space="preserve">   </w:t>
      </w:r>
      <w:r>
        <w:rPr>
          <w:rFonts w:ascii="SimSun" w:hAnsi="SimSun" w:eastAsia="SimSun" w:cs="SimSun"/>
          <w:sz w:val="21"/>
          <w:szCs w:val="21"/>
          <w:spacing w:val="-10"/>
        </w:rPr>
        <w:t>了更多的零工工作，主要包括基于应用程序的按需工作形式下</w:t>
      </w:r>
      <w:r>
        <w:rPr>
          <w:rFonts w:ascii="SimSun" w:hAnsi="SimSun" w:eastAsia="SimSun" w:cs="SimSun"/>
          <w:sz w:val="21"/>
          <w:szCs w:val="21"/>
          <w:spacing w:val="-11"/>
        </w:rPr>
        <w:t>的网约</w:t>
      </w:r>
      <w:r>
        <w:rPr>
          <w:rFonts w:ascii="SimSun" w:hAnsi="SimSun" w:eastAsia="SimSun" w:cs="SimSun"/>
          <w:sz w:val="21"/>
          <w:szCs w:val="21"/>
        </w:rPr>
        <w:t xml:space="preserve">  </w:t>
      </w:r>
      <w:r>
        <w:rPr>
          <w:rFonts w:ascii="SimSun" w:hAnsi="SimSun" w:eastAsia="SimSun" w:cs="SimSun"/>
          <w:sz w:val="21"/>
          <w:szCs w:val="21"/>
          <w:spacing w:val="-10"/>
        </w:rPr>
        <w:t>车司机、外卖骑手、代驾司机等。这类零工</w:t>
      </w:r>
      <w:r>
        <w:rPr>
          <w:rFonts w:ascii="SimSun" w:hAnsi="SimSun" w:eastAsia="SimSun" w:cs="SimSun"/>
          <w:sz w:val="21"/>
          <w:szCs w:val="21"/>
          <w:spacing w:val="-11"/>
        </w:rPr>
        <w:t>从业者的工作性质处于传</w:t>
      </w:r>
      <w:r>
        <w:rPr>
          <w:rFonts w:ascii="SimSun" w:hAnsi="SimSun" w:eastAsia="SimSun" w:cs="SimSun"/>
          <w:sz w:val="21"/>
          <w:szCs w:val="21"/>
        </w:rPr>
        <w:t xml:space="preserve">   </w:t>
      </w:r>
      <w:r>
        <w:rPr>
          <w:rFonts w:ascii="SimSun" w:hAnsi="SimSun" w:eastAsia="SimSun" w:cs="SimSun"/>
          <w:sz w:val="21"/>
          <w:szCs w:val="21"/>
          <w:spacing w:val="-3"/>
        </w:rPr>
        <w:t>统雇员和自雇创业者(承包商)之间，其工</w:t>
      </w:r>
      <w:r>
        <w:rPr>
          <w:rFonts w:ascii="SimSun" w:hAnsi="SimSun" w:eastAsia="SimSun" w:cs="SimSun"/>
          <w:sz w:val="21"/>
          <w:szCs w:val="21"/>
          <w:spacing w:val="-4"/>
        </w:rPr>
        <w:t>作通常基于平台产生的订</w:t>
      </w:r>
      <w:r>
        <w:rPr>
          <w:rFonts w:ascii="SimSun" w:hAnsi="SimSun" w:eastAsia="SimSun" w:cs="SimSun"/>
          <w:sz w:val="21"/>
          <w:szCs w:val="21"/>
        </w:rPr>
        <w:t xml:space="preserve">   </w:t>
      </w:r>
      <w:r>
        <w:rPr>
          <w:rFonts w:ascii="SimSun" w:hAnsi="SimSun" w:eastAsia="SimSun" w:cs="SimSun"/>
          <w:sz w:val="21"/>
          <w:szCs w:val="21"/>
          <w:spacing w:val="-10"/>
        </w:rPr>
        <w:t>单，每一个订单的完成都类似于一条虚拟的生产线。他们在工作时间</w:t>
      </w:r>
    </w:p>
    <w:p>
      <w:pPr>
        <w:spacing w:line="307" w:lineRule="auto"/>
        <w:sectPr>
          <w:headerReference w:type="default" r:id="rId194"/>
          <w:pgSz w:w="7330" w:h="12480"/>
          <w:pgMar w:top="569" w:right="386" w:bottom="400" w:left="759" w:header="395"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right="70"/>
        <w:spacing w:before="68" w:line="286" w:lineRule="auto"/>
        <w:jc w:val="both"/>
        <w:rPr>
          <w:rFonts w:ascii="SimSun" w:hAnsi="SimSun" w:eastAsia="SimSun" w:cs="SimSun"/>
          <w:sz w:val="21"/>
          <w:szCs w:val="21"/>
        </w:rPr>
      </w:pPr>
      <w:r>
        <w:rPr>
          <w:rFonts w:ascii="SimSun" w:hAnsi="SimSun" w:eastAsia="SimSun" w:cs="SimSun"/>
          <w:sz w:val="21"/>
          <w:szCs w:val="21"/>
          <w:spacing w:val="-11"/>
        </w:rPr>
        <w:t>和工作长度方面有较大灵活性，但在工作任务、报酬福利等方面对平</w:t>
      </w:r>
      <w:r>
        <w:rPr>
          <w:rFonts w:ascii="SimSun" w:hAnsi="SimSun" w:eastAsia="SimSun" w:cs="SimSun"/>
          <w:sz w:val="21"/>
          <w:szCs w:val="21"/>
          <w:spacing w:val="18"/>
        </w:rPr>
        <w:t xml:space="preserve"> </w:t>
      </w:r>
      <w:r>
        <w:rPr>
          <w:rFonts w:ascii="SimSun" w:hAnsi="SimSun" w:eastAsia="SimSun" w:cs="SimSun"/>
          <w:sz w:val="21"/>
          <w:szCs w:val="21"/>
          <w:spacing w:val="-10"/>
        </w:rPr>
        <w:t>台有较强的从属性。目前，对这类灵活就业者与平台之间到底是何种</w:t>
      </w:r>
      <w:r>
        <w:rPr>
          <w:rFonts w:ascii="SimSun" w:hAnsi="SimSun" w:eastAsia="SimSun" w:cs="SimSun"/>
          <w:sz w:val="21"/>
          <w:szCs w:val="21"/>
          <w:spacing w:val="13"/>
        </w:rPr>
        <w:t xml:space="preserve"> </w:t>
      </w:r>
      <w:r>
        <w:rPr>
          <w:rFonts w:ascii="SimSun" w:hAnsi="SimSun" w:eastAsia="SimSun" w:cs="SimSun"/>
          <w:sz w:val="21"/>
          <w:szCs w:val="21"/>
          <w:spacing w:val="-15"/>
        </w:rPr>
        <w:t>关系在法律层面存在争论，</w:t>
      </w:r>
      <w:r>
        <w:rPr>
          <w:rFonts w:ascii="SimSun" w:hAnsi="SimSun" w:eastAsia="SimSun" w:cs="SimSun"/>
          <w:sz w:val="21"/>
          <w:szCs w:val="21"/>
          <w:spacing w:val="51"/>
        </w:rPr>
        <w:t xml:space="preserve"> </w:t>
      </w:r>
      <w:r>
        <w:rPr>
          <w:rFonts w:ascii="SimSun" w:hAnsi="SimSun" w:eastAsia="SimSun" w:cs="SimSun"/>
          <w:sz w:val="21"/>
          <w:szCs w:val="21"/>
          <w:spacing w:val="-15"/>
        </w:rPr>
        <w:t>一般认为，两者之间</w:t>
      </w:r>
      <w:r>
        <w:rPr>
          <w:rFonts w:ascii="SimSun" w:hAnsi="SimSun" w:eastAsia="SimSun" w:cs="SimSun"/>
          <w:sz w:val="21"/>
          <w:szCs w:val="21"/>
          <w:spacing w:val="-16"/>
        </w:rPr>
        <w:t>是一种介于劳动关系</w:t>
      </w:r>
      <w:r>
        <w:rPr>
          <w:rFonts w:ascii="SimSun" w:hAnsi="SimSun" w:eastAsia="SimSun" w:cs="SimSun"/>
          <w:sz w:val="21"/>
          <w:szCs w:val="21"/>
        </w:rPr>
        <w:t xml:space="preserve"> </w:t>
      </w:r>
      <w:r>
        <w:rPr>
          <w:rFonts w:ascii="SimSun" w:hAnsi="SimSun" w:eastAsia="SimSun" w:cs="SimSun"/>
          <w:sz w:val="21"/>
          <w:szCs w:val="21"/>
          <w:spacing w:val="-13"/>
        </w:rPr>
        <w:t>与民事关系之间的非标准劳动关系。</w:t>
      </w:r>
    </w:p>
    <w:p>
      <w:pPr>
        <w:ind w:firstLine="420"/>
        <w:spacing w:before="145" w:line="308" w:lineRule="auto"/>
        <w:jc w:val="both"/>
        <w:rPr>
          <w:rFonts w:ascii="SimSun" w:hAnsi="SimSun" w:eastAsia="SimSun" w:cs="SimSun"/>
          <w:sz w:val="21"/>
          <w:szCs w:val="21"/>
        </w:rPr>
      </w:pPr>
      <w:r>
        <w:rPr>
          <w:rFonts w:ascii="SimSun" w:hAnsi="SimSun" w:eastAsia="SimSun" w:cs="SimSun"/>
          <w:sz w:val="21"/>
          <w:szCs w:val="21"/>
          <w:spacing w:val="-8"/>
        </w:rPr>
        <w:t>第三，平台经济的发展使得劳动者从单一职业向多元就业转变。</w:t>
      </w:r>
      <w:r>
        <w:rPr>
          <w:rFonts w:ascii="SimSun" w:hAnsi="SimSun" w:eastAsia="SimSun" w:cs="SimSun"/>
          <w:sz w:val="21"/>
          <w:szCs w:val="21"/>
          <w:spacing w:val="7"/>
        </w:rPr>
        <w:t xml:space="preserve"> </w:t>
      </w:r>
      <w:r>
        <w:rPr>
          <w:rFonts w:ascii="SimSun" w:hAnsi="SimSun" w:eastAsia="SimSun" w:cs="SimSun"/>
          <w:sz w:val="21"/>
          <w:szCs w:val="21"/>
          <w:spacing w:val="-10"/>
        </w:rPr>
        <w:t>零工从业者可以自主决定在哪个平台工作，</w:t>
      </w:r>
      <w:r>
        <w:rPr>
          <w:rFonts w:ascii="SimSun" w:hAnsi="SimSun" w:eastAsia="SimSun" w:cs="SimSun"/>
          <w:sz w:val="21"/>
          <w:szCs w:val="21"/>
          <w:spacing w:val="-11"/>
        </w:rPr>
        <w:t>也可以更为具体地决定在</w:t>
      </w:r>
      <w:r>
        <w:rPr>
          <w:rFonts w:ascii="SimSun" w:hAnsi="SimSun" w:eastAsia="SimSun" w:cs="SimSun"/>
          <w:sz w:val="21"/>
          <w:szCs w:val="21"/>
        </w:rPr>
        <w:t xml:space="preserve">  </w:t>
      </w:r>
      <w:r>
        <w:rPr>
          <w:rFonts w:ascii="SimSun" w:hAnsi="SimSun" w:eastAsia="SimSun" w:cs="SimSun"/>
          <w:sz w:val="21"/>
          <w:szCs w:val="21"/>
          <w:spacing w:val="-15"/>
        </w:rPr>
        <w:t>哪个时间段为哪个平台工作多长时间，</w:t>
      </w:r>
      <w:r>
        <w:rPr>
          <w:rFonts w:ascii="SimSun" w:hAnsi="SimSun" w:eastAsia="SimSun" w:cs="SimSun"/>
          <w:sz w:val="21"/>
          <w:szCs w:val="21"/>
          <w:spacing w:val="58"/>
        </w:rPr>
        <w:t xml:space="preserve"> </w:t>
      </w:r>
      <w:r>
        <w:rPr>
          <w:rFonts w:ascii="SimSun" w:hAnsi="SimSun" w:eastAsia="SimSun" w:cs="SimSun"/>
          <w:sz w:val="21"/>
          <w:szCs w:val="21"/>
          <w:spacing w:val="-15"/>
        </w:rPr>
        <w:t>一人从事多种职业成为一种新 </w:t>
      </w:r>
      <w:r>
        <w:rPr>
          <w:rFonts w:ascii="SimSun" w:hAnsi="SimSun" w:eastAsia="SimSun" w:cs="SimSun"/>
          <w:sz w:val="21"/>
          <w:szCs w:val="21"/>
          <w:spacing w:val="-16"/>
        </w:rPr>
        <w:t>趋势。多元就业大致体现为如下几种形式：</w:t>
      </w:r>
      <w:r>
        <w:rPr>
          <w:rFonts w:ascii="SimSun" w:hAnsi="SimSun" w:eastAsia="SimSun" w:cs="SimSun"/>
          <w:sz w:val="21"/>
          <w:szCs w:val="21"/>
          <w:spacing w:val="62"/>
        </w:rPr>
        <w:t xml:space="preserve"> </w:t>
      </w:r>
      <w:r>
        <w:rPr>
          <w:rFonts w:ascii="SimSun" w:hAnsi="SimSun" w:eastAsia="SimSun" w:cs="SimSun"/>
          <w:sz w:val="21"/>
          <w:szCs w:val="21"/>
          <w:spacing w:val="-16"/>
        </w:rPr>
        <w:t>一种表现为向多个平台提</w:t>
      </w:r>
      <w:r>
        <w:rPr>
          <w:rFonts w:ascii="SimSun" w:hAnsi="SimSun" w:eastAsia="SimSun" w:cs="SimSun"/>
          <w:sz w:val="21"/>
          <w:szCs w:val="21"/>
        </w:rPr>
        <w:t xml:space="preserve">  </w:t>
      </w:r>
      <w:r>
        <w:rPr>
          <w:rFonts w:ascii="SimSun" w:hAnsi="SimSun" w:eastAsia="SimSun" w:cs="SimSun"/>
          <w:sz w:val="21"/>
          <w:szCs w:val="21"/>
          <w:spacing w:val="-11"/>
        </w:rPr>
        <w:t>供同一种工作内容的多元就业，例如某外卖骑手可以在多个平台提供</w:t>
      </w:r>
      <w:r>
        <w:rPr>
          <w:rFonts w:ascii="SimSun" w:hAnsi="SimSun" w:eastAsia="SimSun" w:cs="SimSun"/>
          <w:sz w:val="21"/>
          <w:szCs w:val="21"/>
          <w:spacing w:val="7"/>
        </w:rPr>
        <w:t xml:space="preserve">  </w:t>
      </w:r>
      <w:r>
        <w:rPr>
          <w:rFonts w:ascii="SimSun" w:hAnsi="SimSun" w:eastAsia="SimSun" w:cs="SimSun"/>
          <w:sz w:val="21"/>
          <w:szCs w:val="21"/>
          <w:spacing w:val="-11"/>
        </w:rPr>
        <w:t>送餐服务；另一种表现为向单个或多个平台提供不同工作内容的多元</w:t>
      </w:r>
      <w:r>
        <w:rPr>
          <w:rFonts w:ascii="SimSun" w:hAnsi="SimSun" w:eastAsia="SimSun" w:cs="SimSun"/>
          <w:sz w:val="21"/>
          <w:szCs w:val="21"/>
          <w:spacing w:val="8"/>
        </w:rPr>
        <w:t xml:space="preserve">  </w:t>
      </w:r>
      <w:r>
        <w:rPr>
          <w:rFonts w:ascii="SimSun" w:hAnsi="SimSun" w:eastAsia="SimSun" w:cs="SimSun"/>
          <w:sz w:val="21"/>
          <w:szCs w:val="21"/>
          <w:spacing w:val="-11"/>
        </w:rPr>
        <w:t>就业，例如某网约车司机可能同时为电商平台销售货物；还有一种表</w:t>
      </w:r>
      <w:r>
        <w:rPr>
          <w:rFonts w:ascii="SimSun" w:hAnsi="SimSun" w:eastAsia="SimSun" w:cs="SimSun"/>
          <w:sz w:val="21"/>
          <w:szCs w:val="21"/>
          <w:spacing w:val="9"/>
        </w:rPr>
        <w:t xml:space="preserve">  </w:t>
      </w:r>
      <w:r>
        <w:rPr>
          <w:rFonts w:ascii="SimSun" w:hAnsi="SimSun" w:eastAsia="SimSun" w:cs="SimSun"/>
          <w:sz w:val="21"/>
          <w:szCs w:val="21"/>
          <w:spacing w:val="-7"/>
        </w:rPr>
        <w:t>现为在传统行业拥有一份工作，然后利用工作外的时</w:t>
      </w:r>
      <w:r>
        <w:rPr>
          <w:rFonts w:ascii="SimSun" w:hAnsi="SimSun" w:eastAsia="SimSun" w:cs="SimSun"/>
          <w:sz w:val="21"/>
          <w:szCs w:val="21"/>
          <w:spacing w:val="-8"/>
        </w:rPr>
        <w:t>间为平台工作，</w:t>
      </w:r>
      <w:r>
        <w:rPr>
          <w:rFonts w:ascii="SimSun" w:hAnsi="SimSun" w:eastAsia="SimSun" w:cs="SimSun"/>
          <w:sz w:val="21"/>
          <w:szCs w:val="21"/>
        </w:rPr>
        <w:t xml:space="preserve"> </w:t>
      </w:r>
      <w:r>
        <w:rPr>
          <w:rFonts w:ascii="SimSun" w:hAnsi="SimSun" w:eastAsia="SimSun" w:cs="SimSun"/>
          <w:sz w:val="21"/>
          <w:szCs w:val="21"/>
          <w:spacing w:val="-11"/>
        </w:rPr>
        <w:t>例如在某公司上班的白领在上下班途中开顺风车获取收入。在这种情</w:t>
      </w:r>
      <w:r>
        <w:rPr>
          <w:rFonts w:ascii="SimSun" w:hAnsi="SimSun" w:eastAsia="SimSun" w:cs="SimSun"/>
          <w:sz w:val="21"/>
          <w:szCs w:val="21"/>
          <w:spacing w:val="9"/>
        </w:rPr>
        <w:t xml:space="preserve">  </w:t>
      </w:r>
      <w:r>
        <w:rPr>
          <w:rFonts w:ascii="SimSun" w:hAnsi="SimSun" w:eastAsia="SimSun" w:cs="SimSun"/>
          <w:sz w:val="21"/>
          <w:szCs w:val="21"/>
          <w:spacing w:val="-10"/>
        </w:rPr>
        <w:t>况下，往往难以区分多元就业中的哪种职业是劳动者</w:t>
      </w:r>
      <w:r>
        <w:rPr>
          <w:rFonts w:ascii="SimSun" w:hAnsi="SimSun" w:eastAsia="SimSun" w:cs="SimSun"/>
          <w:sz w:val="21"/>
          <w:szCs w:val="21"/>
          <w:spacing w:val="-11"/>
        </w:rPr>
        <w:t>的主要职业，划</w:t>
      </w:r>
      <w:r>
        <w:rPr>
          <w:rFonts w:ascii="SimSun" w:hAnsi="SimSun" w:eastAsia="SimSun" w:cs="SimSun"/>
          <w:sz w:val="21"/>
          <w:szCs w:val="21"/>
        </w:rPr>
        <w:t xml:space="preserve">  </w:t>
      </w:r>
      <w:r>
        <w:rPr>
          <w:rFonts w:ascii="SimSun" w:hAnsi="SimSun" w:eastAsia="SimSun" w:cs="SimSun"/>
          <w:sz w:val="21"/>
          <w:szCs w:val="21"/>
          <w:spacing w:val="-10"/>
        </w:rPr>
        <w:t>分主要工作与兼职工作，需要参考主要收入来源、工作时长</w:t>
      </w:r>
      <w:r>
        <w:rPr>
          <w:rFonts w:ascii="SimSun" w:hAnsi="SimSun" w:eastAsia="SimSun" w:cs="SimSun"/>
          <w:sz w:val="21"/>
          <w:szCs w:val="21"/>
          <w:spacing w:val="-11"/>
        </w:rPr>
        <w:t>分布，以</w:t>
      </w:r>
      <w:r>
        <w:rPr>
          <w:rFonts w:ascii="SimSun" w:hAnsi="SimSun" w:eastAsia="SimSun" w:cs="SimSun"/>
          <w:sz w:val="21"/>
          <w:szCs w:val="21"/>
        </w:rPr>
        <w:t xml:space="preserve">  </w:t>
      </w:r>
      <w:r>
        <w:rPr>
          <w:rFonts w:ascii="SimSun" w:hAnsi="SimSun" w:eastAsia="SimSun" w:cs="SimSun"/>
          <w:sz w:val="21"/>
          <w:szCs w:val="21"/>
          <w:spacing w:val="-13"/>
        </w:rPr>
        <w:t>及劳动关系等多方面的特征。</w:t>
      </w:r>
    </w:p>
    <w:p>
      <w:pPr>
        <w:ind w:firstLine="420"/>
        <w:spacing w:before="106" w:line="308" w:lineRule="auto"/>
        <w:jc w:val="both"/>
        <w:rPr>
          <w:rFonts w:ascii="SimSun" w:hAnsi="SimSun" w:eastAsia="SimSun" w:cs="SimSun"/>
          <w:sz w:val="21"/>
          <w:szCs w:val="21"/>
        </w:rPr>
      </w:pPr>
      <w:r>
        <w:rPr>
          <w:rFonts w:ascii="SimSun" w:hAnsi="SimSun" w:eastAsia="SimSun" w:cs="SimSun"/>
          <w:sz w:val="21"/>
          <w:szCs w:val="21"/>
          <w:spacing w:val="-11"/>
        </w:rPr>
        <w:t>平台经济不仅改变了工作形式、任务、性质等，还对劳动者的创</w:t>
      </w:r>
      <w:r>
        <w:rPr>
          <w:rFonts w:ascii="SimSun" w:hAnsi="SimSun" w:eastAsia="SimSun" w:cs="SimSun"/>
          <w:sz w:val="21"/>
          <w:szCs w:val="21"/>
        </w:rPr>
        <w:t xml:space="preserve">  </w:t>
      </w:r>
      <w:r>
        <w:rPr>
          <w:rFonts w:ascii="SimSun" w:hAnsi="SimSun" w:eastAsia="SimSun" w:cs="SimSun"/>
          <w:sz w:val="21"/>
          <w:szCs w:val="21"/>
          <w:spacing w:val="-10"/>
        </w:rPr>
        <w:t>业选择产生了深刻影响。平台创造的零工工作，其</w:t>
      </w:r>
      <w:r>
        <w:rPr>
          <w:rFonts w:ascii="SimSun" w:hAnsi="SimSun" w:eastAsia="SimSun" w:cs="SimSun"/>
          <w:sz w:val="21"/>
          <w:szCs w:val="21"/>
          <w:spacing w:val="-11"/>
        </w:rPr>
        <w:t>性质介于传统的雇</w:t>
      </w:r>
      <w:r>
        <w:rPr>
          <w:rFonts w:ascii="SimSun" w:hAnsi="SimSun" w:eastAsia="SimSun" w:cs="SimSun"/>
          <w:sz w:val="21"/>
          <w:szCs w:val="21"/>
        </w:rPr>
        <w:t xml:space="preserve">  </w:t>
      </w:r>
      <w:r>
        <w:rPr>
          <w:rFonts w:ascii="SimSun" w:hAnsi="SimSun" w:eastAsia="SimSun" w:cs="SimSun"/>
          <w:sz w:val="21"/>
          <w:szCs w:val="21"/>
          <w:spacing w:val="-10"/>
        </w:rPr>
        <w:t>员工作和自雇创业之间。平台在改变一端的传</w:t>
      </w:r>
      <w:r>
        <w:rPr>
          <w:rFonts w:ascii="SimSun" w:hAnsi="SimSun" w:eastAsia="SimSun" w:cs="SimSun"/>
          <w:sz w:val="21"/>
          <w:szCs w:val="21"/>
          <w:spacing w:val="-11"/>
        </w:rPr>
        <w:t>统雇员工作的同时，也</w:t>
      </w:r>
      <w:r>
        <w:rPr>
          <w:rFonts w:ascii="SimSun" w:hAnsi="SimSun" w:eastAsia="SimSun" w:cs="SimSun"/>
          <w:sz w:val="21"/>
          <w:szCs w:val="21"/>
        </w:rPr>
        <w:t xml:space="preserve">  </w:t>
      </w:r>
      <w:r>
        <w:rPr>
          <w:rFonts w:ascii="SimSun" w:hAnsi="SimSun" w:eastAsia="SimSun" w:cs="SimSun"/>
          <w:sz w:val="21"/>
          <w:szCs w:val="21"/>
          <w:spacing w:val="-15"/>
        </w:rPr>
        <w:t>改变了另一端的创业决策。</w:t>
      </w:r>
      <w:r>
        <w:rPr>
          <w:rFonts w:ascii="SimSun" w:hAnsi="SimSun" w:eastAsia="SimSun" w:cs="SimSun"/>
          <w:sz w:val="21"/>
          <w:szCs w:val="21"/>
          <w:spacing w:val="35"/>
        </w:rPr>
        <w:t xml:space="preserve"> </w:t>
      </w:r>
      <w:r>
        <w:rPr>
          <w:rFonts w:ascii="SimSun" w:hAnsi="SimSun" w:eastAsia="SimSun" w:cs="SimSun"/>
          <w:sz w:val="21"/>
          <w:szCs w:val="21"/>
          <w:spacing w:val="-15"/>
        </w:rPr>
        <w:t>一方面，零工工作能够给从业者带</w:t>
      </w:r>
      <w:r>
        <w:rPr>
          <w:rFonts w:ascii="SimSun" w:hAnsi="SimSun" w:eastAsia="SimSun" w:cs="SimSun"/>
          <w:sz w:val="21"/>
          <w:szCs w:val="21"/>
          <w:spacing w:val="-16"/>
        </w:rPr>
        <w:t>来更高</w:t>
      </w:r>
      <w:r>
        <w:rPr>
          <w:rFonts w:ascii="SimSun" w:hAnsi="SimSun" w:eastAsia="SimSun" w:cs="SimSun"/>
          <w:sz w:val="21"/>
          <w:szCs w:val="21"/>
        </w:rPr>
        <w:t xml:space="preserve">  </w:t>
      </w:r>
      <w:r>
        <w:rPr>
          <w:rFonts w:ascii="SimSun" w:hAnsi="SimSun" w:eastAsia="SimSun" w:cs="SimSun"/>
          <w:sz w:val="21"/>
          <w:szCs w:val="21"/>
          <w:spacing w:val="-11"/>
        </w:rPr>
        <w:t>的灵活性和自主权，有利于他们主动寻求包括创业在内的其他发展机</w:t>
      </w:r>
      <w:r>
        <w:rPr>
          <w:rFonts w:ascii="SimSun" w:hAnsi="SimSun" w:eastAsia="SimSun" w:cs="SimSun"/>
          <w:sz w:val="21"/>
          <w:szCs w:val="21"/>
          <w:spacing w:val="8"/>
        </w:rPr>
        <w:t xml:space="preserve">  </w:t>
      </w:r>
      <w:r>
        <w:rPr>
          <w:rFonts w:ascii="SimSun" w:hAnsi="SimSun" w:eastAsia="SimSun" w:cs="SimSun"/>
          <w:sz w:val="21"/>
          <w:szCs w:val="21"/>
          <w:spacing w:val="-11"/>
        </w:rPr>
        <w:t>会；同时，零工工作能够提供收入安全网，可以平滑创业带来的收入</w:t>
      </w:r>
      <w:r>
        <w:rPr>
          <w:rFonts w:ascii="SimSun" w:hAnsi="SimSun" w:eastAsia="SimSun" w:cs="SimSun"/>
          <w:sz w:val="21"/>
          <w:szCs w:val="21"/>
          <w:spacing w:val="8"/>
        </w:rPr>
        <w:t xml:space="preserve">  </w:t>
      </w:r>
      <w:r>
        <w:rPr>
          <w:rFonts w:ascii="SimSun" w:hAnsi="SimSun" w:eastAsia="SimSun" w:cs="SimSun"/>
          <w:sz w:val="21"/>
          <w:szCs w:val="21"/>
          <w:spacing w:val="-10"/>
        </w:rPr>
        <w:t>波动风险，也有助于创业。另一方面，零工</w:t>
      </w:r>
      <w:r>
        <w:rPr>
          <w:rFonts w:ascii="SimSun" w:hAnsi="SimSun" w:eastAsia="SimSun" w:cs="SimSun"/>
          <w:sz w:val="21"/>
          <w:szCs w:val="21"/>
          <w:spacing w:val="-11"/>
        </w:rPr>
        <w:t>工作可以成为吸纳以低学</w:t>
      </w:r>
      <w:r>
        <w:rPr>
          <w:rFonts w:ascii="SimSun" w:hAnsi="SimSun" w:eastAsia="SimSun" w:cs="SimSun"/>
          <w:sz w:val="21"/>
          <w:szCs w:val="21"/>
        </w:rPr>
        <w:t xml:space="preserve">  </w:t>
      </w:r>
      <w:r>
        <w:rPr>
          <w:rFonts w:ascii="SimSun" w:hAnsi="SimSun" w:eastAsia="SimSun" w:cs="SimSun"/>
          <w:sz w:val="21"/>
          <w:szCs w:val="21"/>
          <w:spacing w:val="-11"/>
        </w:rPr>
        <w:t>历、低技能为主要特征的新生代工人就业的蓄水池，为失业人群提供</w:t>
      </w:r>
      <w:r>
        <w:rPr>
          <w:rFonts w:ascii="SimSun" w:hAnsi="SimSun" w:eastAsia="SimSun" w:cs="SimSun"/>
          <w:sz w:val="21"/>
          <w:szCs w:val="21"/>
          <w:spacing w:val="7"/>
        </w:rPr>
        <w:t xml:space="preserve">  </w:t>
      </w:r>
      <w:r>
        <w:rPr>
          <w:rFonts w:ascii="SimSun" w:hAnsi="SimSun" w:eastAsia="SimSun" w:cs="SimSun"/>
          <w:sz w:val="21"/>
          <w:szCs w:val="21"/>
          <w:spacing w:val="-7"/>
        </w:rPr>
        <w:t>就业机会，这可能减少“生存驱动型”或自雇型的低</w:t>
      </w:r>
      <w:r>
        <w:rPr>
          <w:rFonts w:ascii="SimSun" w:hAnsi="SimSun" w:eastAsia="SimSun" w:cs="SimSun"/>
          <w:sz w:val="21"/>
          <w:szCs w:val="21"/>
          <w:spacing w:val="-8"/>
        </w:rPr>
        <w:t>质量创业活动。</w:t>
      </w:r>
      <w:r>
        <w:rPr>
          <w:rFonts w:ascii="SimSun" w:hAnsi="SimSun" w:eastAsia="SimSun" w:cs="SimSun"/>
          <w:sz w:val="21"/>
          <w:szCs w:val="21"/>
        </w:rPr>
        <w:t xml:space="preserve"> </w:t>
      </w:r>
      <w:r>
        <w:rPr>
          <w:rFonts w:ascii="SimSun" w:hAnsi="SimSun" w:eastAsia="SimSun" w:cs="SimSun"/>
          <w:sz w:val="21"/>
          <w:szCs w:val="21"/>
          <w:spacing w:val="-10"/>
        </w:rPr>
        <w:t>此外，由于依赖平台接单成为越来越多劳动者的选择，创</w:t>
      </w:r>
      <w:r>
        <w:rPr>
          <w:rFonts w:ascii="SimSun" w:hAnsi="SimSun" w:eastAsia="SimSun" w:cs="SimSun"/>
          <w:sz w:val="21"/>
          <w:szCs w:val="21"/>
          <w:spacing w:val="-11"/>
        </w:rPr>
        <w:t>业的定义和</w:t>
      </w:r>
      <w:r>
        <w:rPr>
          <w:rFonts w:ascii="SimSun" w:hAnsi="SimSun" w:eastAsia="SimSun" w:cs="SimSun"/>
          <w:sz w:val="21"/>
          <w:szCs w:val="21"/>
        </w:rPr>
        <w:t xml:space="preserve">  </w:t>
      </w:r>
      <w:r>
        <w:rPr>
          <w:rFonts w:ascii="SimSun" w:hAnsi="SimSun" w:eastAsia="SimSun" w:cs="SimSun"/>
          <w:sz w:val="21"/>
          <w:szCs w:val="21"/>
          <w:spacing w:val="-3"/>
        </w:rPr>
        <w:t>内涵可能也在悄然发生着改变。打零工在某种意义上也可以被看作</w:t>
      </w:r>
    </w:p>
    <w:p>
      <w:pPr>
        <w:spacing w:line="308" w:lineRule="auto"/>
        <w:sectPr>
          <w:headerReference w:type="default" r:id="rId195"/>
          <w:pgSz w:w="7330" w:h="12480"/>
          <w:pgMar w:top="808" w:right="965" w:bottom="400" w:left="280" w:header="630"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105" w:hanging="105"/>
        <w:spacing w:before="68" w:line="292" w:lineRule="auto"/>
        <w:jc w:val="both"/>
        <w:rPr>
          <w:rFonts w:ascii="SimSun" w:hAnsi="SimSun" w:eastAsia="SimSun" w:cs="SimSun"/>
          <w:sz w:val="21"/>
          <w:szCs w:val="21"/>
        </w:rPr>
      </w:pPr>
      <w:r>
        <w:rPr>
          <w:rFonts w:ascii="SimSun" w:hAnsi="SimSun" w:eastAsia="SimSun" w:cs="SimSun"/>
          <w:sz w:val="21"/>
          <w:szCs w:val="21"/>
          <w:spacing w:val="-7"/>
        </w:rPr>
        <w:t>“平台依赖型”创业，这就使得以往的创业定义不再适用。各种新就</w:t>
      </w:r>
      <w:r>
        <w:rPr>
          <w:rFonts w:ascii="SimSun" w:hAnsi="SimSun" w:eastAsia="SimSun" w:cs="SimSun"/>
          <w:sz w:val="21"/>
          <w:szCs w:val="21"/>
          <w:spacing w:val="1"/>
        </w:rPr>
        <w:t xml:space="preserve">  </w:t>
      </w:r>
      <w:r>
        <w:rPr>
          <w:rFonts w:ascii="SimSun" w:hAnsi="SimSun" w:eastAsia="SimSun" w:cs="SimSun"/>
          <w:sz w:val="21"/>
          <w:szCs w:val="21"/>
          <w:spacing w:val="-7"/>
        </w:rPr>
        <w:t>业形态的涌现，使得就业和创业的图谱大大拓展——固</w:t>
      </w:r>
      <w:r>
        <w:rPr>
          <w:rFonts w:ascii="SimSun" w:hAnsi="SimSun" w:eastAsia="SimSun" w:cs="SimSun"/>
          <w:sz w:val="21"/>
          <w:szCs w:val="21"/>
          <w:spacing w:val="-8"/>
        </w:rPr>
        <w:t>定单位就业、</w:t>
      </w:r>
      <w:r>
        <w:rPr>
          <w:rFonts w:ascii="SimSun" w:hAnsi="SimSun" w:eastAsia="SimSun" w:cs="SimSun"/>
          <w:sz w:val="21"/>
          <w:szCs w:val="21"/>
        </w:rPr>
        <w:t xml:space="preserve"> </w:t>
      </w:r>
      <w:r>
        <w:rPr>
          <w:rFonts w:ascii="SimSun" w:hAnsi="SimSun" w:eastAsia="SimSun" w:cs="SimSun"/>
          <w:sz w:val="21"/>
          <w:szCs w:val="21"/>
          <w:spacing w:val="-11"/>
        </w:rPr>
        <w:t>自雇创业、依赖平台创业、依赖平台从事零工、共享用工、</w:t>
      </w:r>
      <w:r>
        <w:rPr>
          <w:rFonts w:ascii="SimSun" w:hAnsi="SimSun" w:eastAsia="SimSun" w:cs="SimSun"/>
          <w:sz w:val="21"/>
          <w:szCs w:val="21"/>
          <w:spacing w:val="-12"/>
        </w:rPr>
        <w:t>自由职业</w:t>
      </w:r>
      <w:r>
        <w:rPr>
          <w:rFonts w:ascii="SimSun" w:hAnsi="SimSun" w:eastAsia="SimSun" w:cs="SimSun"/>
          <w:sz w:val="21"/>
          <w:szCs w:val="21"/>
        </w:rPr>
        <w:t xml:space="preserve">  </w:t>
      </w:r>
      <w:r>
        <w:rPr>
          <w:rFonts w:ascii="SimSun" w:hAnsi="SimSun" w:eastAsia="SimSun" w:cs="SimSun"/>
          <w:sz w:val="21"/>
          <w:szCs w:val="21"/>
          <w:spacing w:val="-10"/>
        </w:rPr>
        <w:t>等，劳动者的选择变得多元化。</w:t>
      </w:r>
    </w:p>
    <w:p>
      <w:pPr>
        <w:pStyle w:val="BodyText"/>
        <w:spacing w:line="374" w:lineRule="auto"/>
        <w:rPr/>
      </w:pPr>
      <w:r/>
    </w:p>
    <w:p>
      <w:pPr>
        <w:ind w:left="259"/>
        <w:spacing w:before="104" w:line="219" w:lineRule="auto"/>
        <w:rPr>
          <w:rFonts w:ascii="SimSun" w:hAnsi="SimSun" w:eastAsia="SimSun" w:cs="SimSun"/>
          <w:sz w:val="32"/>
          <w:szCs w:val="32"/>
        </w:rPr>
      </w:pPr>
      <w:r>
        <w:rPr>
          <w:rFonts w:ascii="SimSun" w:hAnsi="SimSun" w:eastAsia="SimSun" w:cs="SimSun"/>
          <w:sz w:val="32"/>
          <w:szCs w:val="32"/>
          <w:b/>
          <w:bCs/>
          <w:spacing w:val="-4"/>
        </w:rPr>
        <w:t>平台经济下的劳资关系与劳动者权益问题</w:t>
      </w:r>
    </w:p>
    <w:p>
      <w:pPr>
        <w:pStyle w:val="BodyText"/>
        <w:spacing w:line="260" w:lineRule="auto"/>
        <w:rPr/>
      </w:pPr>
      <w:r/>
    </w:p>
    <w:p>
      <w:pPr>
        <w:ind w:left="105" w:right="77" w:firstLine="429"/>
        <w:spacing w:before="68" w:line="284" w:lineRule="auto"/>
        <w:jc w:val="both"/>
        <w:rPr>
          <w:rFonts w:ascii="SimSun" w:hAnsi="SimSun" w:eastAsia="SimSun" w:cs="SimSun"/>
          <w:sz w:val="21"/>
          <w:szCs w:val="21"/>
        </w:rPr>
      </w:pPr>
      <w:r>
        <w:rPr>
          <w:rFonts w:ascii="SimSun" w:hAnsi="SimSun" w:eastAsia="SimSun" w:cs="SimSun"/>
          <w:sz w:val="21"/>
          <w:szCs w:val="21"/>
          <w:spacing w:val="-11"/>
        </w:rPr>
        <w:t>平台经济的发展，导致大量工作在形式、任务、性质等方面出现</w:t>
      </w:r>
      <w:r>
        <w:rPr>
          <w:rFonts w:ascii="SimSun" w:hAnsi="SimSun" w:eastAsia="SimSun" w:cs="SimSun"/>
          <w:sz w:val="21"/>
          <w:szCs w:val="21"/>
          <w:spacing w:val="4"/>
        </w:rPr>
        <w:t xml:space="preserve"> </w:t>
      </w:r>
      <w:r>
        <w:rPr>
          <w:rFonts w:ascii="SimSun" w:hAnsi="SimSun" w:eastAsia="SimSun" w:cs="SimSun"/>
          <w:sz w:val="21"/>
          <w:szCs w:val="21"/>
          <w:spacing w:val="-11"/>
        </w:rPr>
        <w:t>了根本性的变革，新的用工模式不断涌现，劳动者与平台之间的劳资</w:t>
      </w:r>
      <w:r>
        <w:rPr>
          <w:rFonts w:ascii="SimSun" w:hAnsi="SimSun" w:eastAsia="SimSun" w:cs="SimSun"/>
          <w:sz w:val="21"/>
          <w:szCs w:val="21"/>
          <w:spacing w:val="3"/>
        </w:rPr>
        <w:t xml:space="preserve"> </w:t>
      </w:r>
      <w:r>
        <w:rPr>
          <w:rFonts w:ascii="SimSun" w:hAnsi="SimSun" w:eastAsia="SimSun" w:cs="SimSun"/>
          <w:sz w:val="21"/>
          <w:szCs w:val="21"/>
          <w:spacing w:val="-10"/>
        </w:rPr>
        <w:t>关系也相应发生了重要的变化，劳动者权益保障问</w:t>
      </w:r>
      <w:r>
        <w:rPr>
          <w:rFonts w:ascii="SimSun" w:hAnsi="SimSun" w:eastAsia="SimSun" w:cs="SimSun"/>
          <w:sz w:val="21"/>
          <w:szCs w:val="21"/>
          <w:spacing w:val="-11"/>
        </w:rPr>
        <w:t>题变得复杂。</w:t>
      </w:r>
    </w:p>
    <w:p>
      <w:pPr>
        <w:pStyle w:val="BodyText"/>
        <w:spacing w:line="383" w:lineRule="auto"/>
        <w:rPr/>
      </w:pPr>
      <w:r/>
    </w:p>
    <w:p>
      <w:pPr>
        <w:ind w:left="108"/>
        <w:spacing w:before="81" w:line="222" w:lineRule="auto"/>
        <w:rPr>
          <w:rFonts w:ascii="SimHei" w:hAnsi="SimHei" w:eastAsia="SimHei" w:cs="SimHei"/>
          <w:sz w:val="25"/>
          <w:szCs w:val="25"/>
        </w:rPr>
      </w:pPr>
      <w:r>
        <w:rPr>
          <w:rFonts w:ascii="SimHei" w:hAnsi="SimHei" w:eastAsia="SimHei" w:cs="SimHei"/>
          <w:sz w:val="25"/>
          <w:szCs w:val="25"/>
          <w:b/>
          <w:bCs/>
          <w:spacing w:val="-12"/>
        </w:rPr>
        <w:t>平台经济下的劳资关系现状</w:t>
      </w:r>
    </w:p>
    <w:p>
      <w:pPr>
        <w:pStyle w:val="BodyText"/>
        <w:spacing w:line="349" w:lineRule="auto"/>
        <w:rPr/>
      </w:pPr>
      <w:r/>
    </w:p>
    <w:p>
      <w:pPr>
        <w:ind w:left="105" w:right="53" w:firstLine="429"/>
        <w:spacing w:before="69" w:line="306" w:lineRule="auto"/>
        <w:jc w:val="both"/>
        <w:rPr>
          <w:rFonts w:ascii="SimSun" w:hAnsi="SimSun" w:eastAsia="SimSun" w:cs="SimSun"/>
          <w:sz w:val="21"/>
          <w:szCs w:val="21"/>
        </w:rPr>
      </w:pPr>
      <w:r>
        <w:rPr>
          <w:rFonts w:ascii="SimSun" w:hAnsi="SimSun" w:eastAsia="SimSun" w:cs="SimSun"/>
          <w:sz w:val="21"/>
          <w:szCs w:val="21"/>
          <w:spacing w:val="-3"/>
        </w:rPr>
        <w:t>我国传统的劳动法框架采用劳动关系与民事关系的二分法，二</w:t>
      </w:r>
      <w:r>
        <w:rPr>
          <w:rFonts w:ascii="SimSun" w:hAnsi="SimSun" w:eastAsia="SimSun" w:cs="SimSun"/>
          <w:sz w:val="21"/>
          <w:szCs w:val="21"/>
          <w:spacing w:val="11"/>
        </w:rPr>
        <w:t xml:space="preserve"> </w:t>
      </w:r>
      <w:r>
        <w:rPr>
          <w:rFonts w:ascii="SimSun" w:hAnsi="SimSun" w:eastAsia="SimSun" w:cs="SimSun"/>
          <w:sz w:val="21"/>
          <w:szCs w:val="21"/>
          <w:spacing w:val="-10"/>
        </w:rPr>
        <w:t>者在主体、关系、劳动待遇、权利义务、适用</w:t>
      </w:r>
      <w:r>
        <w:rPr>
          <w:rFonts w:ascii="SimSun" w:hAnsi="SimSun" w:eastAsia="SimSun" w:cs="SimSun"/>
          <w:sz w:val="21"/>
          <w:szCs w:val="21"/>
          <w:spacing w:val="-11"/>
        </w:rPr>
        <w:t>法律等许多方面存在差</w:t>
      </w:r>
      <w:r>
        <w:rPr>
          <w:rFonts w:ascii="SimSun" w:hAnsi="SimSun" w:eastAsia="SimSun" w:cs="SimSun"/>
          <w:sz w:val="21"/>
          <w:szCs w:val="21"/>
        </w:rPr>
        <w:t xml:space="preserve"> </w:t>
      </w:r>
      <w:r>
        <w:rPr>
          <w:rFonts w:ascii="SimSun" w:hAnsi="SimSun" w:eastAsia="SimSun" w:cs="SimSun"/>
          <w:sz w:val="21"/>
          <w:szCs w:val="21"/>
          <w:spacing w:val="-9"/>
        </w:rPr>
        <w:t>异，其中与劳动者切身利益最为相关的是劳动主体的待遇。</w:t>
      </w:r>
      <w:r>
        <w:rPr>
          <w:rFonts w:ascii="SimSun" w:hAnsi="SimSun" w:eastAsia="SimSun" w:cs="SimSun"/>
          <w:sz w:val="21"/>
          <w:szCs w:val="21"/>
          <w:spacing w:val="55"/>
        </w:rPr>
        <w:t xml:space="preserve"> </w:t>
      </w:r>
      <w:r>
        <w:rPr>
          <w:rFonts w:ascii="SimSun" w:hAnsi="SimSun" w:eastAsia="SimSun" w:cs="SimSun"/>
          <w:sz w:val="21"/>
          <w:szCs w:val="21"/>
          <w:spacing w:val="-9"/>
        </w:rPr>
        <w:t>一般而</w:t>
      </w:r>
      <w:r>
        <w:rPr>
          <w:rFonts w:ascii="SimSun" w:hAnsi="SimSun" w:eastAsia="SimSun" w:cs="SimSun"/>
          <w:sz w:val="21"/>
          <w:szCs w:val="21"/>
        </w:rPr>
        <w:t xml:space="preserve"> </w:t>
      </w:r>
      <w:r>
        <w:rPr>
          <w:rFonts w:ascii="SimSun" w:hAnsi="SimSun" w:eastAsia="SimSun" w:cs="SimSun"/>
          <w:sz w:val="21"/>
          <w:szCs w:val="21"/>
          <w:spacing w:val="-10"/>
        </w:rPr>
        <w:t>言，劳动关系中的用人单位需要按照劳动法律要求给</w:t>
      </w:r>
      <w:r>
        <w:rPr>
          <w:rFonts w:ascii="SimSun" w:hAnsi="SimSun" w:eastAsia="SimSun" w:cs="SimSun"/>
          <w:sz w:val="21"/>
          <w:szCs w:val="21"/>
          <w:spacing w:val="-11"/>
        </w:rPr>
        <w:t>予劳动者在劳动</w:t>
      </w:r>
      <w:r>
        <w:rPr>
          <w:rFonts w:ascii="SimSun" w:hAnsi="SimSun" w:eastAsia="SimSun" w:cs="SimSun"/>
          <w:sz w:val="21"/>
          <w:szCs w:val="21"/>
        </w:rPr>
        <w:t xml:space="preserve"> </w:t>
      </w:r>
      <w:r>
        <w:rPr>
          <w:rFonts w:ascii="SimSun" w:hAnsi="SimSun" w:eastAsia="SimSun" w:cs="SimSun"/>
          <w:sz w:val="21"/>
          <w:szCs w:val="21"/>
          <w:spacing w:val="-10"/>
        </w:rPr>
        <w:t>报酬、休息休假和保险福利等方面的保障，还要</w:t>
      </w:r>
      <w:r>
        <w:rPr>
          <w:rFonts w:ascii="SimSun" w:hAnsi="SimSun" w:eastAsia="SimSun" w:cs="SimSun"/>
          <w:sz w:val="21"/>
          <w:szCs w:val="21"/>
          <w:spacing w:val="-11"/>
        </w:rPr>
        <w:t>承担相应的工伤、医</w:t>
      </w:r>
      <w:r>
        <w:rPr>
          <w:rFonts w:ascii="SimSun" w:hAnsi="SimSun" w:eastAsia="SimSun" w:cs="SimSun"/>
          <w:sz w:val="21"/>
          <w:szCs w:val="21"/>
        </w:rPr>
        <w:t xml:space="preserve"> </w:t>
      </w:r>
      <w:r>
        <w:rPr>
          <w:rFonts w:ascii="SimSun" w:hAnsi="SimSun" w:eastAsia="SimSun" w:cs="SimSun"/>
          <w:sz w:val="21"/>
          <w:szCs w:val="21"/>
          <w:spacing w:val="-11"/>
        </w:rPr>
        <w:t>疗、养老、失业等方面的社会保险责任；而民事关系中的劳动者，通</w:t>
      </w:r>
      <w:r>
        <w:rPr>
          <w:rFonts w:ascii="SimSun" w:hAnsi="SimSun" w:eastAsia="SimSun" w:cs="SimSun"/>
          <w:sz w:val="21"/>
          <w:szCs w:val="21"/>
          <w:spacing w:val="16"/>
        </w:rPr>
        <w:t xml:space="preserve"> </w:t>
      </w:r>
      <w:r>
        <w:rPr>
          <w:rFonts w:ascii="SimSun" w:hAnsi="SimSun" w:eastAsia="SimSun" w:cs="SimSun"/>
          <w:sz w:val="21"/>
          <w:szCs w:val="21"/>
          <w:spacing w:val="-11"/>
        </w:rPr>
        <w:t>过协商或根据劳务合同与用人单位确定待遇，但是通常情况下只获得</w:t>
      </w:r>
      <w:r>
        <w:rPr>
          <w:rFonts w:ascii="SimSun" w:hAnsi="SimSun" w:eastAsia="SimSun" w:cs="SimSun"/>
          <w:sz w:val="21"/>
          <w:szCs w:val="21"/>
          <w:spacing w:val="16"/>
        </w:rPr>
        <w:t xml:space="preserve"> </w:t>
      </w:r>
      <w:r>
        <w:rPr>
          <w:rFonts w:ascii="SimSun" w:hAnsi="SimSun" w:eastAsia="SimSun" w:cs="SimSun"/>
          <w:sz w:val="21"/>
          <w:szCs w:val="21"/>
          <w:spacing w:val="-10"/>
        </w:rPr>
        <w:t>劳动报酬。不同性质的用工关系，会对用人单位的用工成本和风险产</w:t>
      </w:r>
      <w:r>
        <w:rPr>
          <w:rFonts w:ascii="SimSun" w:hAnsi="SimSun" w:eastAsia="SimSun" w:cs="SimSun"/>
          <w:sz w:val="21"/>
          <w:szCs w:val="21"/>
          <w:spacing w:val="11"/>
        </w:rPr>
        <w:t xml:space="preserve"> </w:t>
      </w:r>
      <w:r>
        <w:rPr>
          <w:rFonts w:ascii="SimSun" w:hAnsi="SimSun" w:eastAsia="SimSun" w:cs="SimSun"/>
          <w:sz w:val="21"/>
          <w:szCs w:val="21"/>
          <w:spacing w:val="-10"/>
        </w:rPr>
        <w:t>生显著影响。</w:t>
      </w:r>
    </w:p>
    <w:p>
      <w:pPr>
        <w:ind w:left="105" w:right="51" w:firstLine="429"/>
        <w:spacing w:before="109" w:line="297" w:lineRule="auto"/>
        <w:jc w:val="both"/>
        <w:rPr>
          <w:rFonts w:ascii="SimSun" w:hAnsi="SimSun" w:eastAsia="SimSun" w:cs="SimSun"/>
          <w:sz w:val="21"/>
          <w:szCs w:val="21"/>
        </w:rPr>
      </w:pPr>
      <w:r>
        <w:rPr>
          <w:rFonts w:ascii="SimSun" w:hAnsi="SimSun" w:eastAsia="SimSun" w:cs="SimSun"/>
          <w:sz w:val="21"/>
          <w:szCs w:val="21"/>
          <w:spacing w:val="-10"/>
        </w:rPr>
        <w:t>正如上文所述，平台经济的发展导致工作性质出现了从线下到线</w:t>
      </w:r>
      <w:r>
        <w:rPr>
          <w:rFonts w:ascii="SimSun" w:hAnsi="SimSun" w:eastAsia="SimSun" w:cs="SimSun"/>
          <w:sz w:val="21"/>
          <w:szCs w:val="21"/>
          <w:spacing w:val="3"/>
        </w:rPr>
        <w:t xml:space="preserve"> </w:t>
      </w:r>
      <w:r>
        <w:rPr>
          <w:rFonts w:ascii="SimSun" w:hAnsi="SimSun" w:eastAsia="SimSun" w:cs="SimSun"/>
          <w:sz w:val="21"/>
          <w:szCs w:val="21"/>
          <w:spacing w:val="-10"/>
        </w:rPr>
        <w:t>上、从固定到灵活、从单一到多元的变革。现</w:t>
      </w:r>
      <w:r>
        <w:rPr>
          <w:rFonts w:ascii="SimSun" w:hAnsi="SimSun" w:eastAsia="SimSun" w:cs="SimSun"/>
          <w:sz w:val="21"/>
          <w:szCs w:val="21"/>
          <w:spacing w:val="-11"/>
        </w:rPr>
        <w:t>实中，平台劳动者的工</w:t>
      </w:r>
      <w:r>
        <w:rPr>
          <w:rFonts w:ascii="SimSun" w:hAnsi="SimSun" w:eastAsia="SimSun" w:cs="SimSun"/>
          <w:sz w:val="21"/>
          <w:szCs w:val="21"/>
        </w:rPr>
        <w:t xml:space="preserve"> </w:t>
      </w:r>
      <w:r>
        <w:rPr>
          <w:rFonts w:ascii="SimSun" w:hAnsi="SimSun" w:eastAsia="SimSun" w:cs="SimSun"/>
          <w:sz w:val="21"/>
          <w:szCs w:val="21"/>
          <w:spacing w:val="-10"/>
        </w:rPr>
        <w:t>作模式非常复杂。有的劳动者仅为一家平台工作，有的则同时</w:t>
      </w:r>
      <w:r>
        <w:rPr>
          <w:rFonts w:ascii="SimSun" w:hAnsi="SimSun" w:eastAsia="SimSun" w:cs="SimSun"/>
          <w:sz w:val="21"/>
          <w:szCs w:val="21"/>
          <w:spacing w:val="-11"/>
        </w:rPr>
        <w:t>注册多</w:t>
      </w:r>
      <w:r>
        <w:rPr>
          <w:rFonts w:ascii="SimSun" w:hAnsi="SimSun" w:eastAsia="SimSun" w:cs="SimSun"/>
          <w:sz w:val="21"/>
          <w:szCs w:val="21"/>
        </w:rPr>
        <w:t xml:space="preserve"> </w:t>
      </w:r>
      <w:r>
        <w:rPr>
          <w:rFonts w:ascii="SimSun" w:hAnsi="SimSun" w:eastAsia="SimSun" w:cs="SimSun"/>
          <w:sz w:val="21"/>
          <w:szCs w:val="21"/>
          <w:spacing w:val="-11"/>
        </w:rPr>
        <w:t>家平台；有的劳动者提供长期稳定的网约服务，有的则只提供临时服</w:t>
      </w:r>
      <w:r>
        <w:rPr>
          <w:rFonts w:ascii="SimSun" w:hAnsi="SimSun" w:eastAsia="SimSun" w:cs="SimSun"/>
          <w:sz w:val="21"/>
          <w:szCs w:val="21"/>
          <w:spacing w:val="16"/>
        </w:rPr>
        <w:t xml:space="preserve"> </w:t>
      </w:r>
      <w:r>
        <w:rPr>
          <w:rFonts w:ascii="SimSun" w:hAnsi="SimSun" w:eastAsia="SimSun" w:cs="SimSun"/>
          <w:sz w:val="21"/>
          <w:szCs w:val="21"/>
          <w:spacing w:val="-10"/>
        </w:rPr>
        <w:t>务；有的劳动者为全职，有的则只是兼职；有的劳动者只提供一种网</w:t>
      </w:r>
    </w:p>
    <w:p>
      <w:pPr>
        <w:spacing w:line="297" w:lineRule="auto"/>
        <w:sectPr>
          <w:headerReference w:type="default" r:id="rId196"/>
          <w:pgSz w:w="7330" w:h="12480"/>
          <w:pgMar w:top="567" w:right="514" w:bottom="400" w:left="624" w:header="405" w:footer="0" w:gutter="0"/>
        </w:sectPr>
        <w:rPr>
          <w:rFonts w:ascii="SimSun" w:hAnsi="SimSun" w:eastAsia="SimSun" w:cs="SimSun"/>
          <w:sz w:val="21"/>
          <w:szCs w:val="21"/>
        </w:rPr>
      </w:pPr>
    </w:p>
    <w:p>
      <w:pPr>
        <w:pStyle w:val="BodyText"/>
        <w:spacing w:line="253" w:lineRule="auto"/>
        <w:rPr/>
      </w:pPr>
      <w:r>
        <w:drawing>
          <wp:anchor distT="0" distB="0" distL="0" distR="0" simplePos="0" relativeHeight="253372416" behindDoc="0" locked="0" layoutInCell="0" allowOverlap="1">
            <wp:simplePos x="0" y="0"/>
            <wp:positionH relativeFrom="page">
              <wp:posOffset>190510</wp:posOffset>
            </wp:positionH>
            <wp:positionV relativeFrom="page">
              <wp:posOffset>6178565</wp:posOffset>
            </wp:positionV>
            <wp:extent cx="1162055" cy="6350"/>
            <wp:effectExtent l="0" t="0" r="0" b="0"/>
            <wp:wrapNone/>
            <wp:docPr id="158" name="IM 158"/>
            <wp:cNvGraphicFramePr/>
            <a:graphic>
              <a:graphicData uri="http://schemas.openxmlformats.org/drawingml/2006/picture">
                <pic:pic>
                  <pic:nvPicPr>
                    <pic:cNvPr id="158" name="IM 158"/>
                    <pic:cNvPicPr/>
                  </pic:nvPicPr>
                  <pic:blipFill>
                    <a:blip r:embed="rId198"/>
                    <a:stretch>
                      <a:fillRect/>
                    </a:stretch>
                  </pic:blipFill>
                  <pic:spPr>
                    <a:xfrm rot="0">
                      <a:off x="0" y="0"/>
                      <a:ext cx="1162055"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ind w:left="9" w:right="83"/>
        <w:spacing w:before="69" w:line="265" w:lineRule="auto"/>
        <w:rPr>
          <w:rFonts w:ascii="SimSun" w:hAnsi="SimSun" w:eastAsia="SimSun" w:cs="SimSun"/>
          <w:sz w:val="21"/>
          <w:szCs w:val="21"/>
        </w:rPr>
      </w:pPr>
      <w:r>
        <w:rPr>
          <w:rFonts w:ascii="SimSun" w:hAnsi="SimSun" w:eastAsia="SimSun" w:cs="SimSun"/>
          <w:sz w:val="21"/>
          <w:szCs w:val="21"/>
          <w:spacing w:val="-10"/>
        </w:rPr>
        <w:t>约服务，有的则同时提供多种服务。很难使用一种简单的标准对平台</w:t>
      </w:r>
      <w:r>
        <w:rPr>
          <w:rFonts w:ascii="SimSun" w:hAnsi="SimSun" w:eastAsia="SimSun" w:cs="SimSun"/>
          <w:sz w:val="21"/>
          <w:szCs w:val="21"/>
        </w:rPr>
        <w:t xml:space="preserve"> </w:t>
      </w:r>
      <w:r>
        <w:rPr>
          <w:rFonts w:ascii="SimSun" w:hAnsi="SimSun" w:eastAsia="SimSun" w:cs="SimSun"/>
          <w:sz w:val="21"/>
          <w:szCs w:val="21"/>
          <w:spacing w:val="-12"/>
        </w:rPr>
        <w:t>用工的性质进行区分。</w:t>
      </w:r>
    </w:p>
    <w:p>
      <w:pPr>
        <w:ind w:left="9" w:firstLine="390"/>
        <w:spacing w:before="102" w:line="308" w:lineRule="auto"/>
        <w:jc w:val="both"/>
        <w:rPr>
          <w:rFonts w:ascii="SimSun" w:hAnsi="SimSun" w:eastAsia="SimSun" w:cs="SimSun"/>
          <w:sz w:val="21"/>
          <w:szCs w:val="21"/>
        </w:rPr>
      </w:pPr>
      <w:r>
        <w:rPr>
          <w:rFonts w:ascii="SimSun" w:hAnsi="SimSun" w:eastAsia="SimSun" w:cs="SimSun"/>
          <w:sz w:val="21"/>
          <w:szCs w:val="21"/>
          <w:spacing w:val="-10"/>
        </w:rPr>
        <w:t>一般来说，属于在线劳动力市场类别的零工经济从业人员，主要 </w:t>
      </w:r>
      <w:r>
        <w:rPr>
          <w:rFonts w:ascii="SimSun" w:hAnsi="SimSun" w:eastAsia="SimSun" w:cs="SimSun"/>
          <w:sz w:val="21"/>
          <w:szCs w:val="21"/>
          <w:spacing w:val="-7"/>
        </w:rPr>
        <w:t>是那些知识密集型产业中的数据录入、图形设计、软件</w:t>
      </w:r>
      <w:r>
        <w:rPr>
          <w:rFonts w:ascii="SimSun" w:hAnsi="SimSun" w:eastAsia="SimSun" w:cs="SimSun"/>
          <w:sz w:val="21"/>
          <w:szCs w:val="21"/>
          <w:spacing w:val="-8"/>
        </w:rPr>
        <w:t>编码、翻译，</w:t>
      </w:r>
      <w:r>
        <w:rPr>
          <w:rFonts w:ascii="SimSun" w:hAnsi="SimSun" w:eastAsia="SimSun" w:cs="SimSun"/>
          <w:sz w:val="21"/>
          <w:szCs w:val="21"/>
        </w:rPr>
        <w:t xml:space="preserve"> </w:t>
      </w:r>
      <w:r>
        <w:rPr>
          <w:rFonts w:ascii="SimSun" w:hAnsi="SimSun" w:eastAsia="SimSun" w:cs="SimSun"/>
          <w:sz w:val="21"/>
          <w:szCs w:val="21"/>
          <w:spacing w:val="-4"/>
        </w:rPr>
        <w:t>以及提供法律咨询等职业的从业者，各个工作环节基本都在线上展</w:t>
      </w:r>
      <w:r>
        <w:rPr>
          <w:rFonts w:ascii="SimSun" w:hAnsi="SimSun" w:eastAsia="SimSun" w:cs="SimSun"/>
          <w:sz w:val="21"/>
          <w:szCs w:val="21"/>
          <w:spacing w:val="8"/>
        </w:rPr>
        <w:t xml:space="preserve">  </w:t>
      </w:r>
      <w:r>
        <w:rPr>
          <w:rFonts w:ascii="SimSun" w:hAnsi="SimSun" w:eastAsia="SimSun" w:cs="SimSun"/>
          <w:sz w:val="21"/>
          <w:szCs w:val="21"/>
          <w:spacing w:val="-11"/>
        </w:rPr>
        <w:t>开，类似于传统的独立承包商，在现实中他们也主要以民事合同与平</w:t>
      </w:r>
      <w:r>
        <w:rPr>
          <w:rFonts w:ascii="SimSun" w:hAnsi="SimSun" w:eastAsia="SimSun" w:cs="SimSun"/>
          <w:sz w:val="21"/>
          <w:szCs w:val="21"/>
          <w:spacing w:val="9"/>
        </w:rPr>
        <w:t xml:space="preserve">  </w:t>
      </w:r>
      <w:r>
        <w:rPr>
          <w:rFonts w:ascii="SimSun" w:hAnsi="SimSun" w:eastAsia="SimSun" w:cs="SimSun"/>
          <w:sz w:val="21"/>
          <w:szCs w:val="21"/>
          <w:spacing w:val="-8"/>
        </w:rPr>
        <w:t>台签约。而不少基于应用程序的按需工作类型的本地化零工从业者，</w:t>
      </w:r>
      <w:r>
        <w:rPr>
          <w:rFonts w:ascii="SimSun" w:hAnsi="SimSun" w:eastAsia="SimSun" w:cs="SimSun"/>
          <w:sz w:val="21"/>
          <w:szCs w:val="21"/>
          <w:spacing w:val="4"/>
        </w:rPr>
        <w:t xml:space="preserve"> </w:t>
      </w:r>
      <w:r>
        <w:rPr>
          <w:rFonts w:ascii="SimSun" w:hAnsi="SimSun" w:eastAsia="SimSun" w:cs="SimSun"/>
          <w:sz w:val="21"/>
          <w:szCs w:val="21"/>
          <w:spacing w:val="-10"/>
        </w:rPr>
        <w:t>其工作性质处于传统的雇员和自雇创业者之间</w:t>
      </w:r>
      <w:r>
        <w:rPr>
          <w:rFonts w:ascii="SimSun" w:hAnsi="SimSun" w:eastAsia="SimSun" w:cs="SimSun"/>
          <w:sz w:val="21"/>
          <w:szCs w:val="21"/>
          <w:spacing w:val="-11"/>
        </w:rPr>
        <w:t>，实质上是一种介于劳</w:t>
      </w:r>
      <w:r>
        <w:rPr>
          <w:rFonts w:ascii="SimSun" w:hAnsi="SimSun" w:eastAsia="SimSun" w:cs="SimSun"/>
          <w:sz w:val="21"/>
          <w:szCs w:val="21"/>
        </w:rPr>
        <w:t xml:space="preserve">  </w:t>
      </w:r>
      <w:r>
        <w:rPr>
          <w:rFonts w:ascii="SimSun" w:hAnsi="SimSun" w:eastAsia="SimSun" w:cs="SimSun"/>
          <w:sz w:val="21"/>
          <w:szCs w:val="21"/>
          <w:spacing w:val="-4"/>
        </w:rPr>
        <w:t>动关系与民事关系之间的非标准劳动关系，与现行劳动法的“二分</w:t>
      </w:r>
      <w:r>
        <w:rPr>
          <w:rFonts w:ascii="SimSun" w:hAnsi="SimSun" w:eastAsia="SimSun" w:cs="SimSun"/>
          <w:sz w:val="21"/>
          <w:szCs w:val="21"/>
          <w:spacing w:val="6"/>
        </w:rPr>
        <w:t xml:space="preserve">  </w:t>
      </w:r>
      <w:r>
        <w:rPr>
          <w:rFonts w:ascii="SimSun" w:hAnsi="SimSun" w:eastAsia="SimSun" w:cs="SimSun"/>
          <w:sz w:val="21"/>
          <w:szCs w:val="21"/>
          <w:spacing w:val="-10"/>
        </w:rPr>
        <w:t>法”框架不匹配。当出现劳动相关的伤害和劳动纠纷时，由劳动者自 </w:t>
      </w:r>
      <w:r>
        <w:rPr>
          <w:rFonts w:ascii="SimSun" w:hAnsi="SimSun" w:eastAsia="SimSun" w:cs="SimSun"/>
          <w:sz w:val="21"/>
          <w:szCs w:val="21"/>
          <w:spacing w:val="-10"/>
        </w:rPr>
        <w:t>行承担损失、显失公平的案例不断涌现，这也</w:t>
      </w:r>
      <w:r>
        <w:rPr>
          <w:rFonts w:ascii="SimSun" w:hAnsi="SimSun" w:eastAsia="SimSun" w:cs="SimSun"/>
          <w:sz w:val="21"/>
          <w:szCs w:val="21"/>
          <w:spacing w:val="-11"/>
        </w:rPr>
        <w:t>使得平台与劳动者的劳</w:t>
      </w:r>
      <w:r>
        <w:rPr>
          <w:rFonts w:ascii="SimSun" w:hAnsi="SimSun" w:eastAsia="SimSun" w:cs="SimSun"/>
          <w:sz w:val="21"/>
          <w:szCs w:val="21"/>
        </w:rPr>
        <w:t xml:space="preserve">  </w:t>
      </w:r>
      <w:r>
        <w:rPr>
          <w:rFonts w:ascii="SimSun" w:hAnsi="SimSun" w:eastAsia="SimSun" w:cs="SimSun"/>
          <w:sz w:val="21"/>
          <w:szCs w:val="21"/>
          <w:spacing w:val="-11"/>
        </w:rPr>
        <w:t>资关系成为被关注的焦点。这其中尤其以外卖骑手的劳资关系和权益</w:t>
      </w:r>
      <w:r>
        <w:rPr>
          <w:rFonts w:ascii="SimSun" w:hAnsi="SimSun" w:eastAsia="SimSun" w:cs="SimSun"/>
          <w:sz w:val="21"/>
          <w:szCs w:val="21"/>
          <w:spacing w:val="9"/>
        </w:rPr>
        <w:t xml:space="preserve">  </w:t>
      </w:r>
      <w:r>
        <w:rPr>
          <w:rFonts w:ascii="SimSun" w:hAnsi="SimSun" w:eastAsia="SimSun" w:cs="SimSun"/>
          <w:sz w:val="21"/>
          <w:szCs w:val="21"/>
          <w:spacing w:val="-13"/>
        </w:rPr>
        <w:t>保护最受社会关注。</w:t>
      </w:r>
    </w:p>
    <w:p>
      <w:pPr>
        <w:ind w:left="9" w:right="59" w:firstLine="410"/>
        <w:spacing w:before="115" w:line="304" w:lineRule="auto"/>
        <w:jc w:val="both"/>
        <w:rPr>
          <w:rFonts w:ascii="SimSun" w:hAnsi="SimSun" w:eastAsia="SimSun" w:cs="SimSun"/>
          <w:sz w:val="21"/>
          <w:szCs w:val="21"/>
        </w:rPr>
      </w:pPr>
      <w:r>
        <w:rPr>
          <w:rFonts w:ascii="SimSun" w:hAnsi="SimSun" w:eastAsia="SimSun" w:cs="SimSun"/>
          <w:sz w:val="21"/>
          <w:szCs w:val="21"/>
          <w:spacing w:val="-3"/>
        </w:rPr>
        <w:t>早期的外卖平台主要通过直接雇用骑手提供配送服务，并</w:t>
      </w:r>
      <w:r>
        <w:rPr>
          <w:rFonts w:ascii="SimSun" w:hAnsi="SimSun" w:eastAsia="SimSun" w:cs="SimSun"/>
          <w:sz w:val="21"/>
          <w:szCs w:val="21"/>
          <w:spacing w:val="-4"/>
        </w:rPr>
        <w:t>辅以</w:t>
      </w:r>
      <w:r>
        <w:rPr>
          <w:rFonts w:ascii="SimSun" w:hAnsi="SimSun" w:eastAsia="SimSun" w:cs="SimSun"/>
          <w:sz w:val="21"/>
          <w:szCs w:val="21"/>
        </w:rPr>
        <w:t xml:space="preserve"> </w:t>
      </w:r>
      <w:r>
        <w:rPr>
          <w:rFonts w:ascii="SimSun" w:hAnsi="SimSun" w:eastAsia="SimSun" w:cs="SimSun"/>
          <w:sz w:val="21"/>
          <w:szCs w:val="21"/>
          <w:spacing w:val="-4"/>
        </w:rPr>
        <w:t>劳务派遣的用工方式，基本全面受到劳动法的规制。随着业务的发</w:t>
      </w:r>
      <w:r>
        <w:rPr>
          <w:rFonts w:ascii="SimSun" w:hAnsi="SimSun" w:eastAsia="SimSun" w:cs="SimSun"/>
          <w:sz w:val="21"/>
          <w:szCs w:val="21"/>
          <w:spacing w:val="13"/>
        </w:rPr>
        <w:t xml:space="preserve"> </w:t>
      </w:r>
      <w:r>
        <w:rPr>
          <w:rFonts w:ascii="SimSun" w:hAnsi="SimSun" w:eastAsia="SimSun" w:cs="SimSun"/>
          <w:sz w:val="21"/>
          <w:szCs w:val="21"/>
          <w:spacing w:val="-3"/>
        </w:rPr>
        <w:t>展，为降低用工成本，同时也为了吸纳更多的劳动者加入</w:t>
      </w:r>
      <w:r>
        <w:rPr>
          <w:rFonts w:ascii="SimSun" w:hAnsi="SimSun" w:eastAsia="SimSun" w:cs="SimSun"/>
          <w:sz w:val="21"/>
          <w:szCs w:val="21"/>
          <w:spacing w:val="-4"/>
        </w:rPr>
        <w:t>，互联网</w:t>
      </w:r>
      <w:r>
        <w:rPr>
          <w:rFonts w:ascii="SimSun" w:hAnsi="SimSun" w:eastAsia="SimSun" w:cs="SimSun"/>
          <w:sz w:val="21"/>
          <w:szCs w:val="21"/>
        </w:rPr>
        <w:t xml:space="preserve"> </w:t>
      </w:r>
      <w:r>
        <w:rPr>
          <w:rFonts w:ascii="SimSun" w:hAnsi="SimSun" w:eastAsia="SimSun" w:cs="SimSun"/>
          <w:sz w:val="21"/>
          <w:szCs w:val="21"/>
          <w:spacing w:val="-2"/>
        </w:rPr>
        <w:t>平台希望避免与骑手建立法律意义上的劳动关系</w:t>
      </w:r>
      <w:r>
        <w:rPr>
          <w:rFonts w:ascii="SimSun" w:hAnsi="SimSun" w:eastAsia="SimSun" w:cs="SimSun"/>
          <w:sz w:val="21"/>
          <w:szCs w:val="21"/>
          <w:spacing w:val="-3"/>
        </w:rPr>
        <w:t>。①由此也涌现出</w:t>
      </w:r>
      <w:r>
        <w:rPr>
          <w:rFonts w:ascii="SimSun" w:hAnsi="SimSun" w:eastAsia="SimSun" w:cs="SimSun"/>
          <w:sz w:val="21"/>
          <w:szCs w:val="21"/>
        </w:rPr>
        <w:t xml:space="preserve"> </w:t>
      </w:r>
      <w:r>
        <w:rPr>
          <w:rFonts w:ascii="SimSun" w:hAnsi="SimSun" w:eastAsia="SimSun" w:cs="SimSun"/>
          <w:sz w:val="21"/>
          <w:szCs w:val="21"/>
          <w:spacing w:val="-11"/>
        </w:rPr>
        <w:t>了“趣活”“好活”等一批专门从事招聘和管理骑手的人力</w:t>
      </w:r>
      <w:r>
        <w:rPr>
          <w:rFonts w:ascii="SimSun" w:hAnsi="SimSun" w:eastAsia="SimSun" w:cs="SimSun"/>
          <w:sz w:val="21"/>
          <w:szCs w:val="21"/>
          <w:spacing w:val="-12"/>
        </w:rPr>
        <w:t>资源管理</w:t>
      </w:r>
      <w:r>
        <w:rPr>
          <w:rFonts w:ascii="SimSun" w:hAnsi="SimSun" w:eastAsia="SimSun" w:cs="SimSun"/>
          <w:sz w:val="21"/>
          <w:szCs w:val="21"/>
        </w:rPr>
        <w:t xml:space="preserve"> </w:t>
      </w:r>
      <w:r>
        <w:rPr>
          <w:rFonts w:ascii="SimSun" w:hAnsi="SimSun" w:eastAsia="SimSun" w:cs="SimSun"/>
          <w:sz w:val="21"/>
          <w:szCs w:val="21"/>
          <w:spacing w:val="-4"/>
        </w:rPr>
        <w:t>公司(或称劳务外包公司)。外卖骑手一般分“专送”和“众包”两</w:t>
      </w:r>
      <w:r>
        <w:rPr>
          <w:rFonts w:ascii="SimSun" w:hAnsi="SimSun" w:eastAsia="SimSun" w:cs="SimSun"/>
          <w:sz w:val="21"/>
          <w:szCs w:val="21"/>
          <w:spacing w:val="18"/>
        </w:rPr>
        <w:t xml:space="preserve"> </w:t>
      </w:r>
      <w:r>
        <w:rPr>
          <w:rFonts w:ascii="SimSun" w:hAnsi="SimSun" w:eastAsia="SimSun" w:cs="SimSun"/>
          <w:sz w:val="21"/>
          <w:szCs w:val="21"/>
          <w:spacing w:val="-7"/>
        </w:rPr>
        <w:t>类。“专送”骑手是外卖平台配送的“主力军”,外卖平台通常将配</w:t>
      </w:r>
      <w:r>
        <w:rPr>
          <w:rFonts w:ascii="SimSun" w:hAnsi="SimSun" w:eastAsia="SimSun" w:cs="SimSun"/>
          <w:sz w:val="21"/>
          <w:szCs w:val="21"/>
          <w:spacing w:val="2"/>
        </w:rPr>
        <w:t xml:space="preserve"> </w:t>
      </w:r>
      <w:r>
        <w:rPr>
          <w:rFonts w:ascii="SimSun" w:hAnsi="SimSun" w:eastAsia="SimSun" w:cs="SimSun"/>
          <w:sz w:val="21"/>
          <w:szCs w:val="21"/>
          <w:spacing w:val="-3"/>
        </w:rPr>
        <w:t>送业务打包之后外包给劳务公司进行配送，</w:t>
      </w:r>
      <w:r>
        <w:rPr>
          <w:rFonts w:ascii="SimSun" w:hAnsi="SimSun" w:eastAsia="SimSun" w:cs="SimSun"/>
          <w:sz w:val="21"/>
          <w:szCs w:val="21"/>
          <w:spacing w:val="-4"/>
        </w:rPr>
        <w:t>并由公司向骑手支付劳</w:t>
      </w:r>
    </w:p>
    <w:p>
      <w:pPr>
        <w:pStyle w:val="BodyText"/>
        <w:spacing w:line="246" w:lineRule="auto"/>
        <w:rPr/>
      </w:pPr>
      <w:r/>
    </w:p>
    <w:p>
      <w:pPr>
        <w:pStyle w:val="BodyText"/>
        <w:spacing w:line="247" w:lineRule="auto"/>
        <w:rPr/>
      </w:pPr>
      <w:r/>
    </w:p>
    <w:p>
      <w:pPr>
        <w:ind w:left="329" w:right="39" w:hanging="320"/>
        <w:spacing w:before="55" w:line="284" w:lineRule="auto"/>
        <w:rPr>
          <w:rFonts w:ascii="KaiTi" w:hAnsi="KaiTi" w:eastAsia="KaiTi" w:cs="KaiTi"/>
          <w:sz w:val="17"/>
          <w:szCs w:val="17"/>
        </w:rPr>
      </w:pPr>
      <w:r>
        <w:rPr>
          <w:rFonts w:ascii="SimSun" w:hAnsi="SimSun" w:eastAsia="SimSun" w:cs="SimSun"/>
          <w:sz w:val="17"/>
          <w:szCs w:val="17"/>
          <w:spacing w:val="-3"/>
        </w:rPr>
        <w:t>①</w:t>
      </w:r>
      <w:r>
        <w:rPr>
          <w:rFonts w:ascii="SimSun" w:hAnsi="SimSun" w:eastAsia="SimSun" w:cs="SimSun"/>
          <w:sz w:val="17"/>
          <w:szCs w:val="17"/>
          <w:spacing w:val="31"/>
        </w:rPr>
        <w:t xml:space="preserve"> </w:t>
      </w:r>
      <w:r>
        <w:rPr>
          <w:rFonts w:ascii="KaiTi" w:hAnsi="KaiTi" w:eastAsia="KaiTi" w:cs="KaiTi"/>
          <w:sz w:val="17"/>
          <w:szCs w:val="17"/>
          <w:spacing w:val="-3"/>
        </w:rPr>
        <w:t>许多外卖骑手为兼职工作，从业年限短(美团《2020年上半年骑手就业报告》显</w:t>
      </w:r>
      <w:r>
        <w:rPr>
          <w:rFonts w:ascii="KaiTi" w:hAnsi="KaiTi" w:eastAsia="KaiTi" w:cs="KaiTi"/>
          <w:sz w:val="17"/>
          <w:szCs w:val="17"/>
        </w:rPr>
        <w:t xml:space="preserve"> </w:t>
      </w:r>
      <w:r>
        <w:rPr>
          <w:rFonts w:ascii="KaiTi" w:hAnsi="KaiTi" w:eastAsia="KaiTi" w:cs="KaiTi"/>
          <w:sz w:val="17"/>
          <w:szCs w:val="17"/>
          <w:spacing w:val="-1"/>
        </w:rPr>
        <w:t>示，2020年上半年，36.2%的骑手送外卖的时</w:t>
      </w:r>
      <w:r>
        <w:rPr>
          <w:rFonts w:ascii="KaiTi" w:hAnsi="KaiTi" w:eastAsia="KaiTi" w:cs="KaiTi"/>
          <w:sz w:val="17"/>
          <w:szCs w:val="17"/>
          <w:spacing w:val="-2"/>
        </w:rPr>
        <w:t>间占自己所有工作时间的50%及以</w:t>
      </w:r>
      <w:r>
        <w:rPr>
          <w:rFonts w:ascii="KaiTi" w:hAnsi="KaiTi" w:eastAsia="KaiTi" w:cs="KaiTi"/>
          <w:sz w:val="17"/>
          <w:szCs w:val="17"/>
        </w:rPr>
        <w:t xml:space="preserve"> </w:t>
      </w:r>
      <w:r>
        <w:rPr>
          <w:rFonts w:ascii="KaiTi" w:hAnsi="KaiTi" w:eastAsia="KaiTi" w:cs="KaiTi"/>
          <w:sz w:val="17"/>
          <w:szCs w:val="17"/>
          <w:spacing w:val="4"/>
        </w:rPr>
        <w:t>下；有调查发现，2019年有47%的骑手工作持续1年以内，2020年工作1年以</w:t>
      </w:r>
      <w:r>
        <w:rPr>
          <w:rFonts w:ascii="KaiTi" w:hAnsi="KaiTi" w:eastAsia="KaiTi" w:cs="KaiTi"/>
          <w:sz w:val="17"/>
          <w:szCs w:val="17"/>
          <w:spacing w:val="13"/>
        </w:rPr>
        <w:t xml:space="preserve"> </w:t>
      </w:r>
      <w:r>
        <w:rPr>
          <w:rFonts w:ascii="KaiTi" w:hAnsi="KaiTi" w:eastAsia="KaiTi" w:cs="KaiTi"/>
          <w:sz w:val="17"/>
          <w:szCs w:val="17"/>
          <w:spacing w:val="2"/>
        </w:rPr>
        <w:t>内的骑手比例下降到43%,同时工作2年以上的众包骑手占34%),再加上</w:t>
      </w:r>
      <w:r>
        <w:rPr>
          <w:rFonts w:ascii="KaiTi" w:hAnsi="KaiTi" w:eastAsia="KaiTi" w:cs="KaiTi"/>
          <w:sz w:val="17"/>
          <w:szCs w:val="17"/>
          <w:spacing w:val="1"/>
        </w:rPr>
        <w:t>工作地</w:t>
      </w:r>
      <w:r>
        <w:rPr>
          <w:rFonts w:ascii="KaiTi" w:hAnsi="KaiTi" w:eastAsia="KaiTi" w:cs="KaiTi"/>
          <w:sz w:val="17"/>
          <w:szCs w:val="17"/>
        </w:rPr>
        <w:t xml:space="preserve"> </w:t>
      </w:r>
      <w:r>
        <w:rPr>
          <w:rFonts w:ascii="KaiTi" w:hAnsi="KaiTi" w:eastAsia="KaiTi" w:cs="KaiTi"/>
          <w:sz w:val="17"/>
          <w:szCs w:val="17"/>
          <w:spacing w:val="-7"/>
        </w:rPr>
        <w:t>点变动频繁，导致他们希望尽可能以现金的方式获得全部报酬，而不希望劳动报</w:t>
      </w:r>
      <w:r>
        <w:rPr>
          <w:rFonts w:ascii="KaiTi" w:hAnsi="KaiTi" w:eastAsia="KaiTi" w:cs="KaiTi"/>
          <w:sz w:val="17"/>
          <w:szCs w:val="17"/>
          <w:spacing w:val="6"/>
        </w:rPr>
        <w:t xml:space="preserve"> </w:t>
      </w:r>
      <w:r>
        <w:rPr>
          <w:rFonts w:ascii="KaiTi" w:hAnsi="KaiTi" w:eastAsia="KaiTi" w:cs="KaiTi"/>
          <w:sz w:val="17"/>
          <w:szCs w:val="17"/>
          <w:spacing w:val="-12"/>
        </w:rPr>
        <w:t>酬被扣缴社保。</w:t>
      </w:r>
    </w:p>
    <w:p>
      <w:pPr>
        <w:spacing w:line="284" w:lineRule="auto"/>
        <w:sectPr>
          <w:headerReference w:type="default" r:id="rId197"/>
          <w:pgSz w:w="7330" w:h="12480"/>
          <w:pgMar w:top="816" w:right="935" w:bottom="400" w:left="300" w:header="643" w:footer="0" w:gutter="0"/>
        </w:sectPr>
        <w:rPr>
          <w:rFonts w:ascii="KaiTi" w:hAnsi="KaiTi" w:eastAsia="KaiTi" w:cs="KaiTi"/>
          <w:sz w:val="17"/>
          <w:szCs w:val="17"/>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88"/>
        <w:spacing w:before="65" w:line="332" w:lineRule="auto"/>
        <w:jc w:val="both"/>
        <w:rPr>
          <w:rFonts w:ascii="SimSun" w:hAnsi="SimSun" w:eastAsia="SimSun" w:cs="SimSun"/>
          <w:sz w:val="20"/>
          <w:szCs w:val="20"/>
        </w:rPr>
      </w:pPr>
      <w:r>
        <w:rPr>
          <w:rFonts w:ascii="SimSun" w:hAnsi="SimSun" w:eastAsia="SimSun" w:cs="SimSun"/>
          <w:sz w:val="20"/>
          <w:szCs w:val="20"/>
          <w:spacing w:val="6"/>
        </w:rPr>
        <w:t>动报酬、购买相关保险。专送骑手与外包公司之间以劳动关系或民 </w:t>
      </w:r>
      <w:r>
        <w:rPr>
          <w:rFonts w:ascii="SimSun" w:hAnsi="SimSun" w:eastAsia="SimSun" w:cs="SimSun"/>
          <w:sz w:val="20"/>
          <w:szCs w:val="20"/>
          <w:spacing w:val="6"/>
        </w:rPr>
        <w:t>事关系签约。就“众包”骑手而言，他们是外卖平台调节运力的重</w:t>
      </w:r>
      <w:r>
        <w:rPr>
          <w:rFonts w:ascii="SimSun" w:hAnsi="SimSun" w:eastAsia="SimSun" w:cs="SimSun"/>
          <w:sz w:val="20"/>
          <w:szCs w:val="20"/>
          <w:spacing w:val="4"/>
        </w:rPr>
        <w:t xml:space="preserve"> </w:t>
      </w:r>
      <w:r>
        <w:rPr>
          <w:rFonts w:ascii="SimSun" w:hAnsi="SimSun" w:eastAsia="SimSun" w:cs="SimSun"/>
          <w:sz w:val="20"/>
          <w:szCs w:val="20"/>
          <w:spacing w:val="6"/>
        </w:rPr>
        <w:t>要力量，骑手工作的灵活度更高。管理骑手的众包服务公司与骑手</w:t>
      </w:r>
      <w:r>
        <w:rPr>
          <w:rFonts w:ascii="SimSun" w:hAnsi="SimSun" w:eastAsia="SimSun" w:cs="SimSun"/>
          <w:sz w:val="20"/>
          <w:szCs w:val="20"/>
          <w:spacing w:val="3"/>
        </w:rPr>
        <w:t xml:space="preserve"> </w:t>
      </w:r>
      <w:r>
        <w:rPr>
          <w:rFonts w:ascii="SimSun" w:hAnsi="SimSun" w:eastAsia="SimSun" w:cs="SimSun"/>
          <w:sz w:val="20"/>
          <w:szCs w:val="20"/>
          <w:spacing w:val="6"/>
        </w:rPr>
        <w:t>之间以民事关系签约。对以民事关系签约的骑手，劳务公司以购买 </w:t>
      </w:r>
      <w:r>
        <w:rPr>
          <w:rFonts w:ascii="SimSun" w:hAnsi="SimSun" w:eastAsia="SimSun" w:cs="SimSun"/>
          <w:sz w:val="20"/>
          <w:szCs w:val="20"/>
          <w:spacing w:val="6"/>
        </w:rPr>
        <w:t>商业保险的方式为骑手提供工伤和职业病方面的赔付，但不提供社</w:t>
      </w:r>
    </w:p>
    <w:p>
      <w:pPr>
        <w:spacing w:line="219" w:lineRule="auto"/>
        <w:rPr>
          <w:rFonts w:ascii="SimSun" w:hAnsi="SimSun" w:eastAsia="SimSun" w:cs="SimSun"/>
          <w:sz w:val="20"/>
          <w:szCs w:val="20"/>
        </w:rPr>
      </w:pPr>
      <w:r>
        <w:rPr>
          <w:rFonts w:ascii="SimSun" w:hAnsi="SimSun" w:eastAsia="SimSun" w:cs="SimSun"/>
          <w:sz w:val="20"/>
          <w:szCs w:val="20"/>
          <w:spacing w:val="-2"/>
        </w:rPr>
        <w:t>保缴纳。</w:t>
      </w:r>
    </w:p>
    <w:p>
      <w:pPr>
        <w:ind w:right="39" w:firstLine="440"/>
        <w:spacing w:before="99" w:line="318" w:lineRule="auto"/>
        <w:jc w:val="both"/>
        <w:rPr>
          <w:rFonts w:ascii="SimSun" w:hAnsi="SimSun" w:eastAsia="SimSun" w:cs="SimSun"/>
          <w:sz w:val="20"/>
          <w:szCs w:val="20"/>
        </w:rPr>
      </w:pPr>
      <w:r>
        <w:rPr>
          <w:rFonts w:ascii="SimSun" w:hAnsi="SimSun" w:eastAsia="SimSun" w:cs="SimSun"/>
          <w:sz w:val="20"/>
          <w:szCs w:val="20"/>
          <w:spacing w:val="-1"/>
        </w:rPr>
        <w:t>可以看出，与早期直接雇用骑手的方式相比，外卖骑手在法律意</w:t>
      </w:r>
      <w:r>
        <w:rPr>
          <w:rFonts w:ascii="SimSun" w:hAnsi="SimSun" w:eastAsia="SimSun" w:cs="SimSun"/>
          <w:sz w:val="20"/>
          <w:szCs w:val="20"/>
          <w:spacing w:val="17"/>
        </w:rPr>
        <w:t xml:space="preserve"> </w:t>
      </w:r>
      <w:r>
        <w:rPr>
          <w:rFonts w:ascii="SimSun" w:hAnsi="SimSun" w:eastAsia="SimSun" w:cs="SimSun"/>
          <w:sz w:val="20"/>
          <w:szCs w:val="20"/>
          <w:spacing w:val="-1"/>
        </w:rPr>
        <w:t>义上的用工性质已经发生了巨大改变。根本原因在于，外卖骑手规模</w:t>
      </w:r>
      <w:r>
        <w:rPr>
          <w:rFonts w:ascii="SimSun" w:hAnsi="SimSun" w:eastAsia="SimSun" w:cs="SimSun"/>
          <w:sz w:val="20"/>
          <w:szCs w:val="20"/>
          <w:spacing w:val="18"/>
        </w:rPr>
        <w:t xml:space="preserve"> </w:t>
      </w:r>
      <w:r>
        <w:rPr>
          <w:rFonts w:ascii="SimSun" w:hAnsi="SimSun" w:eastAsia="SimSun" w:cs="SimSun"/>
          <w:sz w:val="20"/>
          <w:szCs w:val="20"/>
          <w:spacing w:val="-1"/>
        </w:rPr>
        <w:t>大幅扩张，外卖平台需要通过劳务外包方式来达到控制用工成本与转</w:t>
      </w:r>
      <w:r>
        <w:rPr>
          <w:rFonts w:ascii="SimSun" w:hAnsi="SimSun" w:eastAsia="SimSun" w:cs="SimSun"/>
          <w:sz w:val="20"/>
          <w:szCs w:val="20"/>
          <w:spacing w:val="18"/>
        </w:rPr>
        <w:t xml:space="preserve"> </w:t>
      </w:r>
      <w:r>
        <w:rPr>
          <w:rFonts w:ascii="SimSun" w:hAnsi="SimSun" w:eastAsia="SimSun" w:cs="SimSun"/>
          <w:sz w:val="20"/>
          <w:szCs w:val="20"/>
        </w:rPr>
        <w:t>移用工风险的目的。劳务外包方式虽然控制了</w:t>
      </w:r>
      <w:r>
        <w:rPr>
          <w:rFonts w:ascii="SimSun" w:hAnsi="SimSun" w:eastAsia="SimSun" w:cs="SimSun"/>
          <w:sz w:val="20"/>
          <w:szCs w:val="20"/>
          <w:spacing w:val="-1"/>
        </w:rPr>
        <w:t>用工成本，但用工风险</w:t>
      </w:r>
      <w:r>
        <w:rPr>
          <w:rFonts w:ascii="SimSun" w:hAnsi="SimSun" w:eastAsia="SimSun" w:cs="SimSun"/>
          <w:sz w:val="20"/>
          <w:szCs w:val="20"/>
        </w:rPr>
        <w:t xml:space="preserve"> </w:t>
      </w:r>
      <w:r>
        <w:rPr>
          <w:rFonts w:ascii="SimSun" w:hAnsi="SimSun" w:eastAsia="SimSun" w:cs="SimSun"/>
          <w:sz w:val="20"/>
          <w:szCs w:val="20"/>
          <w:spacing w:val="-1"/>
        </w:rPr>
        <w:t>并不会凭空消失，劳务外包公司或众包服务公司为了规避风险，会将</w:t>
      </w:r>
      <w:r>
        <w:rPr>
          <w:rFonts w:ascii="SimSun" w:hAnsi="SimSun" w:eastAsia="SimSun" w:cs="SimSun"/>
          <w:sz w:val="20"/>
          <w:szCs w:val="20"/>
          <w:spacing w:val="16"/>
        </w:rPr>
        <w:t xml:space="preserve"> </w:t>
      </w:r>
      <w:r>
        <w:rPr>
          <w:rFonts w:ascii="SimSun" w:hAnsi="SimSun" w:eastAsia="SimSun" w:cs="SimSun"/>
          <w:sz w:val="20"/>
          <w:szCs w:val="20"/>
        </w:rPr>
        <w:t>相关业务继续分包和转包，直到最后由骑手自行</w:t>
      </w:r>
      <w:r>
        <w:rPr>
          <w:rFonts w:ascii="SimSun" w:hAnsi="SimSun" w:eastAsia="SimSun" w:cs="SimSun"/>
          <w:sz w:val="20"/>
          <w:szCs w:val="20"/>
          <w:spacing w:val="-1"/>
        </w:rPr>
        <w:t>承担。劳务外包公司</w:t>
      </w:r>
      <w:r>
        <w:rPr>
          <w:rFonts w:ascii="SimSun" w:hAnsi="SimSun" w:eastAsia="SimSun" w:cs="SimSun"/>
          <w:sz w:val="20"/>
          <w:szCs w:val="20"/>
        </w:rPr>
        <w:t xml:space="preserve"> </w:t>
      </w:r>
      <w:r>
        <w:rPr>
          <w:rFonts w:ascii="SimSun" w:hAnsi="SimSun" w:eastAsia="SimSun" w:cs="SimSun"/>
          <w:sz w:val="20"/>
          <w:szCs w:val="20"/>
        </w:rPr>
        <w:t>将骑手注册为个体工商户的案例，正是规避风险动</w:t>
      </w:r>
      <w:r>
        <w:rPr>
          <w:rFonts w:ascii="SimSun" w:hAnsi="SimSun" w:eastAsia="SimSun" w:cs="SimSun"/>
          <w:sz w:val="20"/>
          <w:szCs w:val="20"/>
          <w:spacing w:val="-1"/>
        </w:rPr>
        <w:t>机下出现的一种极</w:t>
      </w:r>
      <w:r>
        <w:rPr>
          <w:rFonts w:ascii="SimSun" w:hAnsi="SimSun" w:eastAsia="SimSun" w:cs="SimSun"/>
          <w:sz w:val="20"/>
          <w:szCs w:val="20"/>
        </w:rPr>
        <w:t xml:space="preserve"> </w:t>
      </w:r>
      <w:r>
        <w:rPr>
          <w:rFonts w:ascii="SimSun" w:hAnsi="SimSun" w:eastAsia="SimSun" w:cs="SimSun"/>
          <w:sz w:val="20"/>
          <w:szCs w:val="20"/>
          <w:spacing w:val="-12"/>
        </w:rPr>
        <w:t>端情形。①</w:t>
      </w:r>
    </w:p>
    <w:p>
      <w:pPr>
        <w:ind w:right="33"/>
        <w:spacing w:before="126" w:line="380" w:lineRule="exact"/>
        <w:jc w:val="right"/>
        <w:rPr>
          <w:rFonts w:ascii="SimSun" w:hAnsi="SimSun" w:eastAsia="SimSun" w:cs="SimSun"/>
          <w:sz w:val="20"/>
          <w:szCs w:val="20"/>
        </w:rPr>
      </w:pPr>
      <w:r>
        <w:rPr>
          <w:rFonts w:ascii="SimSun" w:hAnsi="SimSun" w:eastAsia="SimSun" w:cs="SimSun"/>
          <w:sz w:val="20"/>
          <w:szCs w:val="20"/>
          <w:spacing w:val="7"/>
          <w:position w:val="13"/>
        </w:rPr>
        <w:t>在后文中，我们将集中分析出现这种劳资关系变化的深层次原</w:t>
      </w:r>
    </w:p>
    <w:p>
      <w:pPr>
        <w:spacing w:line="219" w:lineRule="auto"/>
        <w:rPr>
          <w:rFonts w:ascii="SimSun" w:hAnsi="SimSun" w:eastAsia="SimSun" w:cs="SimSun"/>
          <w:sz w:val="20"/>
          <w:szCs w:val="20"/>
        </w:rPr>
      </w:pPr>
      <w:r>
        <w:rPr>
          <w:rFonts w:ascii="SimSun" w:hAnsi="SimSun" w:eastAsia="SimSun" w:cs="SimSun"/>
          <w:sz w:val="20"/>
          <w:szCs w:val="20"/>
          <w:spacing w:val="-2"/>
        </w:rPr>
        <w:t>因，以及对劳动者权益保障带来的挑战。</w:t>
      </w:r>
    </w:p>
    <w:p>
      <w:pPr>
        <w:pStyle w:val="BodyText"/>
        <w:spacing w:line="411" w:lineRule="auto"/>
        <w:rPr/>
      </w:pPr>
      <w:r/>
    </w:p>
    <w:p>
      <w:pPr>
        <w:ind w:left="3"/>
        <w:spacing w:before="76" w:line="222" w:lineRule="auto"/>
        <w:rPr>
          <w:rFonts w:ascii="SimHei" w:hAnsi="SimHei" w:eastAsia="SimHei" w:cs="SimHei"/>
          <w:sz w:val="23"/>
          <w:szCs w:val="23"/>
        </w:rPr>
      </w:pPr>
      <w:r>
        <w:rPr>
          <w:rFonts w:ascii="SimHei" w:hAnsi="SimHei" w:eastAsia="SimHei" w:cs="SimHei"/>
          <w:sz w:val="23"/>
          <w:szCs w:val="23"/>
          <w:b/>
          <w:bCs/>
          <w:spacing w:val="7"/>
        </w:rPr>
        <w:t>平台经济下劳资关系的理论分析</w:t>
      </w:r>
    </w:p>
    <w:p>
      <w:pPr>
        <w:pStyle w:val="BodyText"/>
        <w:spacing w:line="350" w:lineRule="auto"/>
        <w:rPr/>
      </w:pPr>
      <w:r/>
    </w:p>
    <w:p>
      <w:pPr>
        <w:ind w:firstLine="440"/>
        <w:spacing w:before="65" w:line="332" w:lineRule="auto"/>
        <w:jc w:val="both"/>
        <w:rPr>
          <w:rFonts w:ascii="SimSun" w:hAnsi="SimSun" w:eastAsia="SimSun" w:cs="SimSun"/>
          <w:sz w:val="20"/>
          <w:szCs w:val="20"/>
        </w:rPr>
      </w:pPr>
      <w:r>
        <w:rPr>
          <w:rFonts w:ascii="SimSun" w:hAnsi="SimSun" w:eastAsia="SimSun" w:cs="SimSun"/>
          <w:sz w:val="20"/>
          <w:szCs w:val="20"/>
          <w:spacing w:val="-1"/>
        </w:rPr>
        <w:t>企业的生产组织形式是讨论劳资关系的前提。罗纳德·科斯的公</w:t>
      </w:r>
      <w:r>
        <w:rPr>
          <w:rFonts w:ascii="SimSun" w:hAnsi="SimSun" w:eastAsia="SimSun" w:cs="SimSun"/>
          <w:sz w:val="20"/>
          <w:szCs w:val="20"/>
          <w:spacing w:val="16"/>
        </w:rPr>
        <w:t xml:space="preserve"> </w:t>
      </w:r>
      <w:r>
        <w:rPr>
          <w:rFonts w:ascii="SimSun" w:hAnsi="SimSun" w:eastAsia="SimSun" w:cs="SimSun"/>
          <w:sz w:val="20"/>
          <w:szCs w:val="20"/>
          <w:spacing w:val="-1"/>
        </w:rPr>
        <w:t>司理论认为，企业存在的根本原因在于，企业组织生产，可以节约通</w:t>
      </w:r>
      <w:r>
        <w:rPr>
          <w:rFonts w:ascii="SimSun" w:hAnsi="SimSun" w:eastAsia="SimSun" w:cs="SimSun"/>
          <w:sz w:val="20"/>
          <w:szCs w:val="20"/>
          <w:spacing w:val="6"/>
        </w:rPr>
        <w:t xml:space="preserve">  </w:t>
      </w:r>
      <w:r>
        <w:rPr>
          <w:rFonts w:ascii="SimSun" w:hAnsi="SimSun" w:eastAsia="SimSun" w:cs="SimSun"/>
          <w:sz w:val="20"/>
          <w:szCs w:val="20"/>
        </w:rPr>
        <w:t>过市场采购产生的交易费用，而企业的边界取</w:t>
      </w:r>
      <w:r>
        <w:rPr>
          <w:rFonts w:ascii="SimSun" w:hAnsi="SimSun" w:eastAsia="SimSun" w:cs="SimSun"/>
          <w:sz w:val="20"/>
          <w:szCs w:val="20"/>
          <w:spacing w:val="-1"/>
        </w:rPr>
        <w:t>决于企业组织成本与市 </w:t>
      </w:r>
      <w:r>
        <w:rPr>
          <w:rFonts w:ascii="SimSun" w:hAnsi="SimSun" w:eastAsia="SimSun" w:cs="SimSun"/>
          <w:sz w:val="20"/>
          <w:szCs w:val="20"/>
          <w:spacing w:val="2"/>
        </w:rPr>
        <w:t>场交易费用之间的权衡。大企业尽管内部层级复杂、组织成本高昂，</w:t>
      </w:r>
    </w:p>
    <w:p>
      <w:pPr>
        <w:spacing w:before="1" w:line="218" w:lineRule="auto"/>
        <w:rPr>
          <w:rFonts w:ascii="SimSun" w:hAnsi="SimSun" w:eastAsia="SimSun" w:cs="SimSun"/>
          <w:sz w:val="20"/>
          <w:szCs w:val="20"/>
        </w:rPr>
      </w:pPr>
      <w:r>
        <w:rPr>
          <w:rFonts w:ascii="SimSun" w:hAnsi="SimSun" w:eastAsia="SimSun" w:cs="SimSun"/>
          <w:sz w:val="20"/>
          <w:szCs w:val="20"/>
        </w:rPr>
        <w:t>但通过命令的方式组织生产，保证了各个生产环节的</w:t>
      </w:r>
      <w:r>
        <w:rPr>
          <w:rFonts w:ascii="SimSun" w:hAnsi="SimSun" w:eastAsia="SimSun" w:cs="SimSun"/>
          <w:sz w:val="20"/>
          <w:szCs w:val="20"/>
          <w:spacing w:val="-1"/>
        </w:rPr>
        <w:t>协调配合，克服</w:t>
      </w:r>
    </w:p>
    <w:p>
      <w:pPr>
        <w:pStyle w:val="BodyText"/>
        <w:spacing w:line="293" w:lineRule="auto"/>
        <w:rPr/>
      </w:pPr>
      <w:r/>
    </w:p>
    <w:p>
      <w:pPr>
        <w:ind w:left="362" w:right="21" w:hanging="360"/>
        <w:spacing w:before="52" w:line="264" w:lineRule="auto"/>
        <w:rPr>
          <w:rFonts w:ascii="KaiTi" w:hAnsi="KaiTi" w:eastAsia="KaiTi" w:cs="KaiTi"/>
          <w:sz w:val="16"/>
          <w:szCs w:val="16"/>
        </w:rPr>
      </w:pPr>
      <w:r>
        <w:rPr>
          <w:rFonts w:ascii="KaiTi" w:hAnsi="KaiTi" w:eastAsia="KaiTi" w:cs="KaiTi"/>
          <w:sz w:val="16"/>
          <w:szCs w:val="16"/>
          <w:b/>
          <w:bCs/>
          <w:spacing w:val="1"/>
        </w:rPr>
        <w:t>①</w:t>
      </w:r>
      <w:r>
        <w:rPr>
          <w:rFonts w:ascii="KaiTi" w:hAnsi="KaiTi" w:eastAsia="KaiTi" w:cs="KaiTi"/>
          <w:sz w:val="16"/>
          <w:szCs w:val="16"/>
          <w:spacing w:val="56"/>
          <w:w w:val="101"/>
        </w:rPr>
        <w:t xml:space="preserve"> </w:t>
      </w:r>
      <w:r>
        <w:rPr>
          <w:rFonts w:ascii="KaiTi" w:hAnsi="KaiTi" w:eastAsia="KaiTi" w:cs="KaiTi"/>
          <w:sz w:val="16"/>
          <w:szCs w:val="16"/>
          <w:b/>
          <w:bCs/>
          <w:spacing w:val="1"/>
        </w:rPr>
        <w:t>参见北京致诚农民工法律援助与研究中心2021年发布的</w:t>
      </w:r>
      <w:r>
        <w:rPr>
          <w:rFonts w:ascii="KaiTi" w:hAnsi="KaiTi" w:eastAsia="KaiTi" w:cs="KaiTi"/>
          <w:sz w:val="16"/>
          <w:szCs w:val="16"/>
          <w:b/>
          <w:bCs/>
        </w:rPr>
        <w:t>《外卖平台用工模式法律</w:t>
      </w:r>
      <w:r>
        <w:rPr>
          <w:rFonts w:ascii="KaiTi" w:hAnsi="KaiTi" w:eastAsia="KaiTi" w:cs="KaiTi"/>
          <w:sz w:val="16"/>
          <w:szCs w:val="16"/>
        </w:rPr>
        <w:t xml:space="preserve">  </w:t>
      </w:r>
      <w:r>
        <w:rPr>
          <w:rFonts w:ascii="KaiTi" w:hAnsi="KaiTi" w:eastAsia="KaiTi" w:cs="KaiTi"/>
          <w:sz w:val="16"/>
          <w:szCs w:val="16"/>
          <w:b/>
          <w:bCs/>
          <w:spacing w:val="-4"/>
        </w:rPr>
        <w:t>研究报告》。在大多数情形下，法院没有认定外卖骑手与平台存在劳动关系，且近</w:t>
      </w:r>
    </w:p>
    <w:p>
      <w:pPr>
        <w:ind w:left="370"/>
        <w:spacing w:before="84" w:line="223" w:lineRule="auto"/>
        <w:rPr>
          <w:rFonts w:ascii="KaiTi" w:hAnsi="KaiTi" w:eastAsia="KaiTi" w:cs="KaiTi"/>
          <w:sz w:val="16"/>
          <w:szCs w:val="16"/>
        </w:rPr>
      </w:pPr>
      <w:r>
        <w:rPr>
          <w:rFonts w:ascii="KaiTi" w:hAnsi="KaiTi" w:eastAsia="KaiTi" w:cs="KaiTi"/>
          <w:sz w:val="16"/>
          <w:szCs w:val="16"/>
          <w:spacing w:val="-2"/>
        </w:rPr>
        <w:t>年来认定为劳动关系的比例呈下降趋势。</w:t>
      </w:r>
    </w:p>
    <w:p>
      <w:pPr>
        <w:spacing w:line="223" w:lineRule="auto"/>
        <w:sectPr>
          <w:headerReference w:type="default" r:id="rId199"/>
          <w:pgSz w:w="7330" w:h="12480"/>
          <w:pgMar w:top="569" w:right="359" w:bottom="400" w:left="899" w:header="392" w:footer="0" w:gutter="0"/>
        </w:sectPr>
        <w:rPr>
          <w:rFonts w:ascii="KaiTi" w:hAnsi="KaiTi" w:eastAsia="KaiTi" w:cs="KaiTi"/>
          <w:sz w:val="16"/>
          <w:szCs w:val="16"/>
        </w:rPr>
      </w:pP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68" w:line="312" w:lineRule="auto"/>
        <w:jc w:val="both"/>
        <w:rPr>
          <w:rFonts w:ascii="SimSun" w:hAnsi="SimSun" w:eastAsia="SimSun" w:cs="SimSun"/>
          <w:sz w:val="21"/>
          <w:szCs w:val="21"/>
        </w:rPr>
      </w:pPr>
      <w:r>
        <w:rPr>
          <w:rFonts w:ascii="SimSun" w:hAnsi="SimSun" w:eastAsia="SimSun" w:cs="SimSun"/>
          <w:sz w:val="21"/>
          <w:szCs w:val="21"/>
          <w:spacing w:val="-11"/>
        </w:rPr>
        <w:t>了市场采购所伴随的众多不确定性，提高了</w:t>
      </w:r>
      <w:r>
        <w:rPr>
          <w:rFonts w:ascii="SimSun" w:hAnsi="SimSun" w:eastAsia="SimSun" w:cs="SimSun"/>
          <w:sz w:val="21"/>
          <w:szCs w:val="21"/>
          <w:spacing w:val="-12"/>
        </w:rPr>
        <w:t>生产效率，成为工业时代</w:t>
      </w:r>
      <w:r>
        <w:rPr>
          <w:rFonts w:ascii="SimSun" w:hAnsi="SimSun" w:eastAsia="SimSun" w:cs="SimSun"/>
          <w:sz w:val="21"/>
          <w:szCs w:val="21"/>
        </w:rPr>
        <w:t xml:space="preserve">  </w:t>
      </w:r>
      <w:r>
        <w:rPr>
          <w:rFonts w:ascii="SimSun" w:hAnsi="SimSun" w:eastAsia="SimSun" w:cs="SimSun"/>
          <w:sz w:val="21"/>
          <w:szCs w:val="21"/>
          <w:spacing w:val="-5"/>
        </w:rPr>
        <w:t>前沿科技产品的主要生产者，并涌现了以福特、波音、</w:t>
      </w:r>
      <w:r>
        <w:rPr>
          <w:rFonts w:ascii="Times New Roman" w:hAnsi="Times New Roman" w:eastAsia="Times New Roman" w:cs="Times New Roman"/>
          <w:sz w:val="21"/>
          <w:szCs w:val="21"/>
          <w:spacing w:val="-5"/>
        </w:rPr>
        <w:t>IBM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5"/>
        </w:rPr>
        <w:t>等为代</w:t>
      </w:r>
      <w:r>
        <w:rPr>
          <w:rFonts w:ascii="SimSun" w:hAnsi="SimSun" w:eastAsia="SimSun" w:cs="SimSun"/>
          <w:sz w:val="21"/>
          <w:szCs w:val="21"/>
        </w:rPr>
        <w:t xml:space="preserve">  </w:t>
      </w:r>
      <w:r>
        <w:rPr>
          <w:rFonts w:ascii="SimSun" w:hAnsi="SimSun" w:eastAsia="SimSun" w:cs="SimSun"/>
          <w:sz w:val="21"/>
          <w:szCs w:val="21"/>
          <w:spacing w:val="-12"/>
        </w:rPr>
        <w:t>表的大型企业，不少行业都出现了纵向一体化的趋势。①随着数字技</w:t>
      </w:r>
      <w:r>
        <w:rPr>
          <w:rFonts w:ascii="SimSun" w:hAnsi="SimSun" w:eastAsia="SimSun" w:cs="SimSun"/>
          <w:sz w:val="21"/>
          <w:szCs w:val="21"/>
          <w:spacing w:val="8"/>
        </w:rPr>
        <w:t xml:space="preserve">  </w:t>
      </w:r>
      <w:r>
        <w:rPr>
          <w:rFonts w:ascii="SimSun" w:hAnsi="SimSun" w:eastAsia="SimSun" w:cs="SimSun"/>
          <w:sz w:val="21"/>
          <w:szCs w:val="21"/>
          <w:spacing w:val="-11"/>
        </w:rPr>
        <w:t>术的发展，尤其是平台经济模式的成熟，市场里各经济主体之间的沟</w:t>
      </w:r>
      <w:r>
        <w:rPr>
          <w:rFonts w:ascii="SimSun" w:hAnsi="SimSun" w:eastAsia="SimSun" w:cs="SimSun"/>
          <w:sz w:val="21"/>
          <w:szCs w:val="21"/>
          <w:spacing w:val="7"/>
        </w:rPr>
        <w:t xml:space="preserve">  </w:t>
      </w:r>
      <w:r>
        <w:rPr>
          <w:rFonts w:ascii="SimSun" w:hAnsi="SimSun" w:eastAsia="SimSun" w:cs="SimSun"/>
          <w:sz w:val="21"/>
          <w:szCs w:val="21"/>
          <w:spacing w:val="-11"/>
        </w:rPr>
        <w:t>通协调变得更加容易，交易费用呈现下降趋势，许多商品和服务的生</w:t>
      </w:r>
      <w:r>
        <w:rPr>
          <w:rFonts w:ascii="SimSun" w:hAnsi="SimSun" w:eastAsia="SimSun" w:cs="SimSun"/>
          <w:sz w:val="21"/>
          <w:szCs w:val="21"/>
          <w:spacing w:val="4"/>
        </w:rPr>
        <w:t xml:space="preserve">  </w:t>
      </w:r>
      <w:r>
        <w:rPr>
          <w:rFonts w:ascii="SimSun" w:hAnsi="SimSun" w:eastAsia="SimSun" w:cs="SimSun"/>
          <w:sz w:val="21"/>
          <w:szCs w:val="21"/>
          <w:spacing w:val="-11"/>
        </w:rPr>
        <w:t>产及供应过程被分解，呈现出细碎化、外包化的特点。与此同时，政</w:t>
      </w:r>
      <w:r>
        <w:rPr>
          <w:rFonts w:ascii="SimSun" w:hAnsi="SimSun" w:eastAsia="SimSun" w:cs="SimSun"/>
          <w:sz w:val="21"/>
          <w:szCs w:val="21"/>
          <w:spacing w:val="3"/>
        </w:rPr>
        <w:t xml:space="preserve">  </w:t>
      </w:r>
      <w:r>
        <w:rPr>
          <w:rFonts w:ascii="SimSun" w:hAnsi="SimSun" w:eastAsia="SimSun" w:cs="SimSun"/>
          <w:sz w:val="21"/>
          <w:szCs w:val="21"/>
          <w:spacing w:val="-4"/>
        </w:rPr>
        <w:t>府对大企业的管制、高昂的税费负担，以及科层结构带来的组织成</w:t>
      </w:r>
      <w:r>
        <w:rPr>
          <w:rFonts w:ascii="SimSun" w:hAnsi="SimSun" w:eastAsia="SimSun" w:cs="SimSun"/>
          <w:sz w:val="21"/>
          <w:szCs w:val="21"/>
          <w:spacing w:val="2"/>
        </w:rPr>
        <w:t xml:space="preserve">  </w:t>
      </w:r>
      <w:r>
        <w:rPr>
          <w:rFonts w:ascii="SimSun" w:hAnsi="SimSun" w:eastAsia="SimSun" w:cs="SimSun"/>
          <w:sz w:val="21"/>
          <w:szCs w:val="21"/>
          <w:spacing w:val="-7"/>
        </w:rPr>
        <w:t>本，也促使许多企业选择“瘦身”,裁减非必需人</w:t>
      </w:r>
      <w:r>
        <w:rPr>
          <w:rFonts w:ascii="SimSun" w:hAnsi="SimSun" w:eastAsia="SimSun" w:cs="SimSun"/>
          <w:sz w:val="21"/>
          <w:szCs w:val="21"/>
          <w:spacing w:val="-8"/>
        </w:rPr>
        <w:t>员，进行扁平化改</w:t>
      </w:r>
      <w:r>
        <w:rPr>
          <w:rFonts w:ascii="SimSun" w:hAnsi="SimSun" w:eastAsia="SimSun" w:cs="SimSun"/>
          <w:sz w:val="21"/>
          <w:szCs w:val="21"/>
        </w:rPr>
        <w:t xml:space="preserve">  </w:t>
      </w:r>
      <w:r>
        <w:rPr>
          <w:rFonts w:ascii="SimSun" w:hAnsi="SimSun" w:eastAsia="SimSun" w:cs="SimSun"/>
          <w:sz w:val="21"/>
          <w:szCs w:val="21"/>
          <w:spacing w:val="-11"/>
        </w:rPr>
        <w:t>革，将非核心工序外包。以外卖餐饮为例，由于需求呈比较明显的随</w:t>
      </w:r>
      <w:r>
        <w:rPr>
          <w:rFonts w:ascii="SimSun" w:hAnsi="SimSun" w:eastAsia="SimSun" w:cs="SimSun"/>
          <w:sz w:val="21"/>
          <w:szCs w:val="21"/>
          <w:spacing w:val="4"/>
        </w:rPr>
        <w:t xml:space="preserve">  </w:t>
      </w:r>
      <w:r>
        <w:rPr>
          <w:rFonts w:ascii="SimSun" w:hAnsi="SimSun" w:eastAsia="SimSun" w:cs="SimSun"/>
          <w:sz w:val="21"/>
          <w:szCs w:val="21"/>
          <w:spacing w:val="-11"/>
        </w:rPr>
        <w:t>季节和时点波动、配送路线随机化等原因，维持固定的配送运力对餐</w:t>
      </w:r>
      <w:r>
        <w:rPr>
          <w:rFonts w:ascii="SimSun" w:hAnsi="SimSun" w:eastAsia="SimSun" w:cs="SimSun"/>
          <w:sz w:val="21"/>
          <w:szCs w:val="21"/>
          <w:spacing w:val="3"/>
        </w:rPr>
        <w:t xml:space="preserve">  </w:t>
      </w:r>
      <w:r>
        <w:rPr>
          <w:rFonts w:ascii="SimSun" w:hAnsi="SimSun" w:eastAsia="SimSun" w:cs="SimSun"/>
          <w:sz w:val="21"/>
          <w:szCs w:val="21"/>
          <w:spacing w:val="-11"/>
        </w:rPr>
        <w:t>饮企业来说并不经济，外卖送餐服务往往会被外包。如果考虑到广告</w:t>
      </w:r>
      <w:r>
        <w:rPr>
          <w:rFonts w:ascii="SimSun" w:hAnsi="SimSun" w:eastAsia="SimSun" w:cs="SimSun"/>
          <w:sz w:val="21"/>
          <w:szCs w:val="21"/>
          <w:spacing w:val="6"/>
        </w:rPr>
        <w:t xml:space="preserve">  </w:t>
      </w:r>
      <w:r>
        <w:rPr>
          <w:rFonts w:ascii="SimSun" w:hAnsi="SimSun" w:eastAsia="SimSun" w:cs="SimSun"/>
          <w:sz w:val="21"/>
          <w:szCs w:val="21"/>
          <w:spacing w:val="-11"/>
        </w:rPr>
        <w:t>宣传、信息服务等亦不是餐饮企业的长项，可以看出，外卖餐饮的不</w:t>
      </w:r>
      <w:r>
        <w:rPr>
          <w:rFonts w:ascii="SimSun" w:hAnsi="SimSun" w:eastAsia="SimSun" w:cs="SimSun"/>
          <w:sz w:val="21"/>
          <w:szCs w:val="21"/>
          <w:spacing w:val="5"/>
        </w:rPr>
        <w:t xml:space="preserve">  </w:t>
      </w:r>
      <w:r>
        <w:rPr>
          <w:rFonts w:ascii="SimSun" w:hAnsi="SimSun" w:eastAsia="SimSun" w:cs="SimSun"/>
          <w:sz w:val="21"/>
          <w:szCs w:val="21"/>
          <w:spacing w:val="-11"/>
        </w:rPr>
        <w:t>同工序和相关服务被进一步细分和组合，最终由餐饮店、供应商、商</w:t>
      </w:r>
      <w:r>
        <w:rPr>
          <w:rFonts w:ascii="SimSun" w:hAnsi="SimSun" w:eastAsia="SimSun" w:cs="SimSun"/>
          <w:sz w:val="21"/>
          <w:szCs w:val="21"/>
          <w:spacing w:val="6"/>
        </w:rPr>
        <w:t xml:space="preserve">  </w:t>
      </w:r>
      <w:r>
        <w:rPr>
          <w:rFonts w:ascii="SimSun" w:hAnsi="SimSun" w:eastAsia="SimSun" w:cs="SimSun"/>
          <w:sz w:val="21"/>
          <w:szCs w:val="21"/>
          <w:spacing w:val="-8"/>
        </w:rPr>
        <w:t>场、外卖平台、骑手等分别承担。其中配送环节所涉及的信息服务、</w:t>
      </w:r>
      <w:r>
        <w:rPr>
          <w:rFonts w:ascii="SimSun" w:hAnsi="SimSun" w:eastAsia="SimSun" w:cs="SimSun"/>
          <w:sz w:val="21"/>
          <w:szCs w:val="21"/>
          <w:spacing w:val="14"/>
        </w:rPr>
        <w:t xml:space="preserve"> </w:t>
      </w:r>
      <w:r>
        <w:rPr>
          <w:rFonts w:ascii="SimSun" w:hAnsi="SimSun" w:eastAsia="SimSun" w:cs="SimSun"/>
          <w:sz w:val="21"/>
          <w:szCs w:val="21"/>
          <w:spacing w:val="-11"/>
        </w:rPr>
        <w:t>任务分配、实际执行，以及对骑手这一劳动要素的管理，也被分解和</w:t>
      </w:r>
      <w:r>
        <w:rPr>
          <w:rFonts w:ascii="SimSun" w:hAnsi="SimSun" w:eastAsia="SimSun" w:cs="SimSun"/>
          <w:sz w:val="21"/>
          <w:szCs w:val="21"/>
          <w:spacing w:val="7"/>
        </w:rPr>
        <w:t xml:space="preserve">  </w:t>
      </w:r>
      <w:r>
        <w:rPr>
          <w:rFonts w:ascii="SimSun" w:hAnsi="SimSun" w:eastAsia="SimSun" w:cs="SimSun"/>
          <w:sz w:val="21"/>
          <w:szCs w:val="21"/>
          <w:spacing w:val="-11"/>
        </w:rPr>
        <w:t>组合，并分别由外卖平台、劳务外包公司以及骑手承担。总之，数字</w:t>
      </w:r>
      <w:r>
        <w:rPr>
          <w:rFonts w:ascii="SimSun" w:hAnsi="SimSun" w:eastAsia="SimSun" w:cs="SimSun"/>
          <w:sz w:val="21"/>
          <w:szCs w:val="21"/>
          <w:spacing w:val="4"/>
        </w:rPr>
        <w:t xml:space="preserve">  </w:t>
      </w:r>
      <w:r>
        <w:rPr>
          <w:rFonts w:ascii="SimSun" w:hAnsi="SimSun" w:eastAsia="SimSun" w:cs="SimSun"/>
          <w:sz w:val="21"/>
          <w:szCs w:val="21"/>
          <w:spacing w:val="-11"/>
        </w:rPr>
        <w:t>技术的进步，促进了生产工序的分解、分包以及相关经济主体承担的</w:t>
      </w:r>
      <w:r>
        <w:rPr>
          <w:rFonts w:ascii="SimSun" w:hAnsi="SimSun" w:eastAsia="SimSun" w:cs="SimSun"/>
          <w:sz w:val="21"/>
          <w:szCs w:val="21"/>
          <w:spacing w:val="7"/>
        </w:rPr>
        <w:t xml:space="preserve">  </w:t>
      </w:r>
      <w:r>
        <w:rPr>
          <w:rFonts w:ascii="SimSun" w:hAnsi="SimSun" w:eastAsia="SimSun" w:cs="SimSun"/>
          <w:sz w:val="21"/>
          <w:szCs w:val="21"/>
          <w:spacing w:val="-11"/>
        </w:rPr>
        <w:t>工作任务的重新组合，加速了去公司化、去组织化的进程，并成为提</w:t>
      </w:r>
      <w:r>
        <w:rPr>
          <w:rFonts w:ascii="SimSun" w:hAnsi="SimSun" w:eastAsia="SimSun" w:cs="SimSun"/>
          <w:sz w:val="21"/>
          <w:szCs w:val="21"/>
          <w:spacing w:val="3"/>
        </w:rPr>
        <w:t xml:space="preserve">  </w:t>
      </w:r>
      <w:r>
        <w:rPr>
          <w:rFonts w:ascii="SimSun" w:hAnsi="SimSun" w:eastAsia="SimSun" w:cs="SimSun"/>
          <w:sz w:val="21"/>
          <w:szCs w:val="21"/>
          <w:spacing w:val="-11"/>
        </w:rPr>
        <w:t>高效率、满足需求的必要手段。这种由技术进步导致的生产组织形式</w:t>
      </w:r>
      <w:r>
        <w:rPr>
          <w:rFonts w:ascii="SimSun" w:hAnsi="SimSun" w:eastAsia="SimSun" w:cs="SimSun"/>
          <w:sz w:val="21"/>
          <w:szCs w:val="21"/>
          <w:spacing w:val="3"/>
        </w:rPr>
        <w:t xml:space="preserve">  </w:t>
      </w:r>
      <w:r>
        <w:rPr>
          <w:rFonts w:ascii="SimSun" w:hAnsi="SimSun" w:eastAsia="SimSun" w:cs="SimSun"/>
          <w:sz w:val="21"/>
          <w:szCs w:val="21"/>
          <w:spacing w:val="-11"/>
        </w:rPr>
        <w:t>的结构性变革，是经济发展的重要推动力。平台企业在变革中应运而</w:t>
      </w:r>
      <w:r>
        <w:rPr>
          <w:rFonts w:ascii="SimSun" w:hAnsi="SimSun" w:eastAsia="SimSun" w:cs="SimSun"/>
          <w:sz w:val="21"/>
          <w:szCs w:val="21"/>
          <w:spacing w:val="4"/>
        </w:rPr>
        <w:t xml:space="preserve">  </w:t>
      </w:r>
      <w:r>
        <w:rPr>
          <w:rFonts w:ascii="SimSun" w:hAnsi="SimSun" w:eastAsia="SimSun" w:cs="SimSun"/>
          <w:sz w:val="21"/>
          <w:szCs w:val="21"/>
          <w:spacing w:val="-8"/>
        </w:rPr>
        <w:t>生，利用技术进步推动企业组织形式的创新，改造了</w:t>
      </w:r>
      <w:r>
        <w:rPr>
          <w:rFonts w:ascii="SimSun" w:hAnsi="SimSun" w:eastAsia="SimSun" w:cs="SimSun"/>
          <w:sz w:val="21"/>
          <w:szCs w:val="21"/>
          <w:spacing w:val="-9"/>
        </w:rPr>
        <w:t>不少传统行业，</w:t>
      </w:r>
      <w:r>
        <w:rPr>
          <w:rFonts w:ascii="SimSun" w:hAnsi="SimSun" w:eastAsia="SimSun" w:cs="SimSun"/>
          <w:sz w:val="21"/>
          <w:szCs w:val="21"/>
        </w:rPr>
        <w:t xml:space="preserve"> </w:t>
      </w:r>
      <w:r>
        <w:rPr>
          <w:rFonts w:ascii="SimSun" w:hAnsi="SimSun" w:eastAsia="SimSun" w:cs="SimSun"/>
          <w:sz w:val="21"/>
          <w:szCs w:val="21"/>
          <w:spacing w:val="-12"/>
        </w:rPr>
        <w:t>创造了新需求，也赚取了不菲的收益。</w:t>
      </w:r>
    </w:p>
    <w:p>
      <w:pPr>
        <w:ind w:right="52" w:firstLine="429"/>
        <w:spacing w:before="110" w:line="268" w:lineRule="auto"/>
        <w:rPr>
          <w:rFonts w:ascii="SimSun" w:hAnsi="SimSun" w:eastAsia="SimSun" w:cs="SimSun"/>
          <w:sz w:val="21"/>
          <w:szCs w:val="21"/>
        </w:rPr>
      </w:pPr>
      <w:r>
        <w:rPr>
          <w:rFonts w:ascii="SimSun" w:hAnsi="SimSun" w:eastAsia="SimSun" w:cs="SimSun"/>
          <w:sz w:val="21"/>
          <w:szCs w:val="21"/>
          <w:spacing w:val="-3"/>
        </w:rPr>
        <w:t>以此为基础，就不难理解平台经济下劳资关系发生的变化。正</w:t>
      </w:r>
      <w:r>
        <w:rPr>
          <w:rFonts w:ascii="SimSun" w:hAnsi="SimSun" w:eastAsia="SimSun" w:cs="SimSun"/>
          <w:sz w:val="21"/>
          <w:szCs w:val="21"/>
          <w:spacing w:val="2"/>
        </w:rPr>
        <w:t xml:space="preserve"> </w:t>
      </w:r>
      <w:r>
        <w:rPr>
          <w:rFonts w:ascii="SimSun" w:hAnsi="SimSun" w:eastAsia="SimSun" w:cs="SimSun"/>
          <w:sz w:val="21"/>
          <w:szCs w:val="21"/>
          <w:spacing w:val="-10"/>
        </w:rPr>
        <w:t>是因为数字技术的进步导致工作性质和企业</w:t>
      </w:r>
      <w:r>
        <w:rPr>
          <w:rFonts w:ascii="SimSun" w:hAnsi="SimSun" w:eastAsia="SimSun" w:cs="SimSun"/>
          <w:sz w:val="21"/>
          <w:szCs w:val="21"/>
          <w:spacing w:val="-11"/>
        </w:rPr>
        <w:t>生产组织形式的变革，使</w:t>
      </w:r>
    </w:p>
    <w:p>
      <w:pPr>
        <w:pStyle w:val="BodyText"/>
        <w:spacing w:line="268" w:lineRule="auto"/>
        <w:rPr/>
      </w:pPr>
      <w:r/>
    </w:p>
    <w:p>
      <w:pPr>
        <w:ind w:left="329" w:right="59" w:hanging="329"/>
        <w:spacing w:before="52" w:line="281" w:lineRule="auto"/>
        <w:rPr>
          <w:rFonts w:ascii="KaiTi" w:hAnsi="KaiTi" w:eastAsia="KaiTi" w:cs="KaiTi"/>
          <w:sz w:val="16"/>
          <w:szCs w:val="16"/>
        </w:rPr>
      </w:pPr>
      <w:r>
        <w:rPr>
          <w:rFonts w:ascii="SimSun" w:hAnsi="SimSun" w:eastAsia="SimSun" w:cs="SimSun"/>
          <w:sz w:val="16"/>
          <w:szCs w:val="16"/>
          <w:spacing w:val="3"/>
        </w:rPr>
        <w:t>①</w:t>
      </w:r>
      <w:r>
        <w:rPr>
          <w:rFonts w:ascii="SimSun" w:hAnsi="SimSun" w:eastAsia="SimSun" w:cs="SimSun"/>
          <w:sz w:val="16"/>
          <w:szCs w:val="16"/>
          <w:spacing w:val="63"/>
        </w:rPr>
        <w:t xml:space="preserve"> </w:t>
      </w:r>
      <w:r>
        <w:rPr>
          <w:rFonts w:ascii="KaiTi" w:hAnsi="KaiTi" w:eastAsia="KaiTi" w:cs="KaiTi"/>
          <w:sz w:val="16"/>
          <w:szCs w:val="16"/>
          <w:spacing w:val="3"/>
        </w:rPr>
        <w:t>与此同时，小企业、集群化的生产组织方式也一直广泛存在，特别是在经济发展</w:t>
      </w:r>
      <w:r>
        <w:rPr>
          <w:rFonts w:ascii="KaiTi" w:hAnsi="KaiTi" w:eastAsia="KaiTi" w:cs="KaiTi"/>
          <w:sz w:val="16"/>
          <w:szCs w:val="16"/>
        </w:rPr>
        <w:t xml:space="preserve"> </w:t>
      </w:r>
      <w:r>
        <w:rPr>
          <w:rFonts w:ascii="KaiTi" w:hAnsi="KaiTi" w:eastAsia="KaiTi" w:cs="KaiTi"/>
          <w:sz w:val="16"/>
          <w:szCs w:val="16"/>
          <w:spacing w:val="2"/>
        </w:rPr>
        <w:t>程度较低、劳动力相对密集、存在正规或非正规制度协调合约履行的一些地区和</w:t>
      </w:r>
      <w:r>
        <w:rPr>
          <w:rFonts w:ascii="KaiTi" w:hAnsi="KaiTi" w:eastAsia="KaiTi" w:cs="KaiTi"/>
          <w:sz w:val="16"/>
          <w:szCs w:val="16"/>
          <w:spacing w:val="14"/>
        </w:rPr>
        <w:t xml:space="preserve"> </w:t>
      </w:r>
      <w:r>
        <w:rPr>
          <w:rFonts w:ascii="KaiTi" w:hAnsi="KaiTi" w:eastAsia="KaiTi" w:cs="KaiTi"/>
          <w:sz w:val="16"/>
          <w:szCs w:val="16"/>
          <w:spacing w:val="-2"/>
        </w:rPr>
        <w:t>行业中，大企业并不占主导地位。</w:t>
      </w:r>
    </w:p>
    <w:p>
      <w:pPr>
        <w:spacing w:line="281" w:lineRule="auto"/>
        <w:sectPr>
          <w:headerReference w:type="default" r:id="rId200"/>
          <w:pgSz w:w="7330" w:h="12480"/>
          <w:pgMar w:top="846" w:right="724" w:bottom="400" w:left="530" w:header="683" w:footer="0" w:gutter="0"/>
        </w:sectPr>
        <w:rPr>
          <w:rFonts w:ascii="KaiTi" w:hAnsi="KaiTi" w:eastAsia="KaiTi" w:cs="KaiTi"/>
          <w:sz w:val="16"/>
          <w:szCs w:val="16"/>
        </w:rPr>
      </w:pPr>
    </w:p>
    <w:p>
      <w:pPr>
        <w:pStyle w:val="BodyText"/>
        <w:spacing w:line="250" w:lineRule="auto"/>
        <w:rPr/>
      </w:pPr>
      <w:r>
        <w:drawing>
          <wp:anchor distT="0" distB="0" distL="0" distR="0" simplePos="0" relativeHeight="253403136" behindDoc="0" locked="0" layoutInCell="0" allowOverlap="1">
            <wp:simplePos x="0" y="0"/>
            <wp:positionH relativeFrom="page">
              <wp:posOffset>514327</wp:posOffset>
            </wp:positionH>
            <wp:positionV relativeFrom="page">
              <wp:posOffset>6203924</wp:posOffset>
            </wp:positionV>
            <wp:extent cx="1181139" cy="6350"/>
            <wp:effectExtent l="0" t="0" r="0" b="0"/>
            <wp:wrapNone/>
            <wp:docPr id="160" name="IM 160"/>
            <wp:cNvGraphicFramePr/>
            <a:graphic>
              <a:graphicData uri="http://schemas.openxmlformats.org/drawingml/2006/picture">
                <pic:pic>
                  <pic:nvPicPr>
                    <pic:cNvPr id="160" name="IM 160"/>
                    <pic:cNvPicPr/>
                  </pic:nvPicPr>
                  <pic:blipFill>
                    <a:blip r:embed="rId202"/>
                    <a:stretch>
                      <a:fillRect/>
                    </a:stretch>
                  </pic:blipFill>
                  <pic:spPr>
                    <a:xfrm rot="0">
                      <a:off x="0" y="0"/>
                      <a:ext cx="1181139"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ind w:left="19" w:right="76" w:hanging="10"/>
        <w:spacing w:before="68" w:line="299" w:lineRule="auto"/>
        <w:jc w:val="both"/>
        <w:rPr>
          <w:rFonts w:ascii="SimSun" w:hAnsi="SimSun" w:eastAsia="SimSun" w:cs="SimSun"/>
          <w:sz w:val="21"/>
          <w:szCs w:val="21"/>
        </w:rPr>
      </w:pPr>
      <w:r>
        <w:rPr>
          <w:rFonts w:ascii="SimSun" w:hAnsi="SimSun" w:eastAsia="SimSun" w:cs="SimSun"/>
          <w:sz w:val="21"/>
          <w:szCs w:val="21"/>
          <w:spacing w:val="-6"/>
        </w:rPr>
        <w:t>得传统的“雇主-雇员”关系正在逐渐被自雇的独立承包商</w:t>
      </w:r>
      <w:r>
        <w:rPr>
          <w:rFonts w:ascii="SimSun" w:hAnsi="SimSun" w:eastAsia="SimSun" w:cs="SimSun"/>
          <w:sz w:val="21"/>
          <w:szCs w:val="21"/>
          <w:spacing w:val="-7"/>
        </w:rPr>
        <w:t>以及处于</w:t>
      </w:r>
      <w:r>
        <w:rPr>
          <w:rFonts w:ascii="SimSun" w:hAnsi="SimSun" w:eastAsia="SimSun" w:cs="SimSun"/>
          <w:sz w:val="21"/>
          <w:szCs w:val="21"/>
        </w:rPr>
        <w:t xml:space="preserve"> </w:t>
      </w:r>
      <w:r>
        <w:rPr>
          <w:rFonts w:ascii="SimSun" w:hAnsi="SimSun" w:eastAsia="SimSun" w:cs="SimSun"/>
          <w:sz w:val="21"/>
          <w:szCs w:val="21"/>
          <w:spacing w:val="-10"/>
        </w:rPr>
        <w:t>传统的雇员工作和独立承包商之间的零工取代，这是一种结构性的变</w:t>
      </w:r>
      <w:r>
        <w:rPr>
          <w:rFonts w:ascii="SimSun" w:hAnsi="SimSun" w:eastAsia="SimSun" w:cs="SimSun"/>
          <w:sz w:val="21"/>
          <w:szCs w:val="21"/>
          <w:spacing w:val="17"/>
        </w:rPr>
        <w:t xml:space="preserve"> </w:t>
      </w:r>
      <w:r>
        <w:rPr>
          <w:rFonts w:ascii="SimSun" w:hAnsi="SimSun" w:eastAsia="SimSun" w:cs="SimSun"/>
          <w:sz w:val="21"/>
          <w:szCs w:val="21"/>
          <w:spacing w:val="-11"/>
        </w:rPr>
        <w:t>革，需要劳动者、用人单位以及政策制定者直面。从理论上来说，生</w:t>
      </w:r>
      <w:r>
        <w:rPr>
          <w:rFonts w:ascii="SimSun" w:hAnsi="SimSun" w:eastAsia="SimSun" w:cs="SimSun"/>
          <w:sz w:val="21"/>
          <w:szCs w:val="21"/>
          <w:spacing w:val="8"/>
        </w:rPr>
        <w:t xml:space="preserve"> </w:t>
      </w:r>
      <w:r>
        <w:rPr>
          <w:rFonts w:ascii="SimSun" w:hAnsi="SimSun" w:eastAsia="SimSun" w:cs="SimSun"/>
          <w:sz w:val="21"/>
          <w:szCs w:val="21"/>
          <w:spacing w:val="-10"/>
        </w:rPr>
        <w:t>产组织形式的分散化和去公司化，也必然伴随着劳动者权益保障问题</w:t>
      </w:r>
      <w:r>
        <w:rPr>
          <w:rFonts w:ascii="SimSun" w:hAnsi="SimSun" w:eastAsia="SimSun" w:cs="SimSun"/>
          <w:sz w:val="21"/>
          <w:szCs w:val="21"/>
        </w:rPr>
        <w:t xml:space="preserve"> </w:t>
      </w:r>
      <w:r>
        <w:rPr>
          <w:rFonts w:ascii="SimSun" w:hAnsi="SimSun" w:eastAsia="SimSun" w:cs="SimSun"/>
          <w:sz w:val="21"/>
          <w:szCs w:val="21"/>
          <w:spacing w:val="-11"/>
        </w:rPr>
        <w:t>的去公司化。如果不顺应这种趋势，而按照强化劳动关系的思路去解</w:t>
      </w:r>
      <w:r>
        <w:rPr>
          <w:rFonts w:ascii="SimSun" w:hAnsi="SimSun" w:eastAsia="SimSun" w:cs="SimSun"/>
          <w:sz w:val="21"/>
          <w:szCs w:val="21"/>
          <w:spacing w:val="5"/>
        </w:rPr>
        <w:t xml:space="preserve"> </w:t>
      </w:r>
      <w:r>
        <w:rPr>
          <w:rFonts w:ascii="SimSun" w:hAnsi="SimSun" w:eastAsia="SimSun" w:cs="SimSun"/>
          <w:sz w:val="21"/>
          <w:szCs w:val="21"/>
          <w:spacing w:val="-10"/>
        </w:rPr>
        <w:t>决劳动者权益保障问题，例如要求包括外卖骑手在内的全</w:t>
      </w:r>
      <w:r>
        <w:rPr>
          <w:rFonts w:ascii="SimSun" w:hAnsi="SimSun" w:eastAsia="SimSun" w:cs="SimSun"/>
          <w:sz w:val="21"/>
          <w:szCs w:val="21"/>
          <w:spacing w:val="-11"/>
        </w:rPr>
        <w:t>部零工从业</w:t>
      </w:r>
      <w:r>
        <w:rPr>
          <w:rFonts w:ascii="SimSun" w:hAnsi="SimSun" w:eastAsia="SimSun" w:cs="SimSun"/>
          <w:sz w:val="21"/>
          <w:szCs w:val="21"/>
        </w:rPr>
        <w:t xml:space="preserve"> </w:t>
      </w:r>
      <w:r>
        <w:rPr>
          <w:rFonts w:ascii="SimSun" w:hAnsi="SimSun" w:eastAsia="SimSun" w:cs="SimSun"/>
          <w:sz w:val="21"/>
          <w:szCs w:val="21"/>
          <w:spacing w:val="-11"/>
        </w:rPr>
        <w:t>者按照“雇主-雇员”关系与平台签订劳动合同、</w:t>
      </w:r>
      <w:r>
        <w:rPr>
          <w:rFonts w:ascii="SimSun" w:hAnsi="SimSun" w:eastAsia="SimSun" w:cs="SimSun"/>
          <w:sz w:val="21"/>
          <w:szCs w:val="21"/>
          <w:spacing w:val="38"/>
        </w:rPr>
        <w:t xml:space="preserve"> </w:t>
      </w:r>
      <w:r>
        <w:rPr>
          <w:rFonts w:ascii="SimSun" w:hAnsi="SimSun" w:eastAsia="SimSun" w:cs="SimSun"/>
          <w:sz w:val="21"/>
          <w:szCs w:val="21"/>
          <w:spacing w:val="-12"/>
        </w:rPr>
        <w:t>一刀切地以城镇职</w:t>
      </w:r>
      <w:r>
        <w:rPr>
          <w:rFonts w:ascii="SimSun" w:hAnsi="SimSun" w:eastAsia="SimSun" w:cs="SimSun"/>
          <w:sz w:val="21"/>
          <w:szCs w:val="21"/>
        </w:rPr>
        <w:t xml:space="preserve"> </w:t>
      </w:r>
      <w:r>
        <w:rPr>
          <w:rFonts w:ascii="SimSun" w:hAnsi="SimSun" w:eastAsia="SimSun" w:cs="SimSun"/>
          <w:sz w:val="21"/>
          <w:szCs w:val="21"/>
          <w:spacing w:val="-3"/>
        </w:rPr>
        <w:t>工养老保险体系的标准要求独立承包商(如个体户)和零工</w:t>
      </w:r>
      <w:r>
        <w:rPr>
          <w:rFonts w:ascii="SimSun" w:hAnsi="SimSun" w:eastAsia="SimSun" w:cs="SimSun"/>
          <w:sz w:val="21"/>
          <w:szCs w:val="21"/>
          <w:spacing w:val="-4"/>
        </w:rPr>
        <w:t>从业者缴</w:t>
      </w:r>
      <w:r>
        <w:rPr>
          <w:rFonts w:ascii="SimSun" w:hAnsi="SimSun" w:eastAsia="SimSun" w:cs="SimSun"/>
          <w:sz w:val="21"/>
          <w:szCs w:val="21"/>
        </w:rPr>
        <w:t xml:space="preserve"> </w:t>
      </w:r>
      <w:r>
        <w:rPr>
          <w:rFonts w:ascii="SimSun" w:hAnsi="SimSun" w:eastAsia="SimSun" w:cs="SimSun"/>
          <w:sz w:val="21"/>
          <w:szCs w:val="21"/>
          <w:spacing w:val="-3"/>
        </w:rPr>
        <w:t>纳社保，就可能大幅提高用工成本、给劳动者或消费者造成额外负</w:t>
      </w:r>
      <w:r>
        <w:rPr>
          <w:rFonts w:ascii="SimSun" w:hAnsi="SimSun" w:eastAsia="SimSun" w:cs="SimSun"/>
          <w:sz w:val="21"/>
          <w:szCs w:val="21"/>
          <w:spacing w:val="7"/>
        </w:rPr>
        <w:t xml:space="preserve"> </w:t>
      </w:r>
      <w:r>
        <w:rPr>
          <w:rFonts w:ascii="SimSun" w:hAnsi="SimSun" w:eastAsia="SimSun" w:cs="SimSun"/>
          <w:sz w:val="21"/>
          <w:szCs w:val="21"/>
          <w:spacing w:val="-10"/>
        </w:rPr>
        <w:t>担，不利于扩大就业和创业，并阻碍生产和组织方式的进一步创新。</w:t>
      </w:r>
    </w:p>
    <w:p>
      <w:pPr>
        <w:ind w:left="20" w:firstLine="449"/>
        <w:spacing w:before="185" w:line="308" w:lineRule="auto"/>
        <w:jc w:val="both"/>
        <w:rPr>
          <w:rFonts w:ascii="SimSun" w:hAnsi="SimSun" w:eastAsia="SimSun" w:cs="SimSun"/>
          <w:sz w:val="21"/>
          <w:szCs w:val="21"/>
        </w:rPr>
      </w:pPr>
      <w:r>
        <w:rPr>
          <w:rFonts w:ascii="SimSun" w:hAnsi="SimSun" w:eastAsia="SimSun" w:cs="SimSun"/>
          <w:sz w:val="21"/>
          <w:szCs w:val="21"/>
          <w:spacing w:val="-11"/>
        </w:rPr>
        <w:t>上文已经指出，在我国劳动关系与民事关系二分的劳动法律框</w:t>
      </w:r>
      <w:r>
        <w:rPr>
          <w:rFonts w:ascii="SimSun" w:hAnsi="SimSun" w:eastAsia="SimSun" w:cs="SimSun"/>
          <w:sz w:val="21"/>
          <w:szCs w:val="21"/>
          <w:spacing w:val="-12"/>
        </w:rPr>
        <w:t>架 </w:t>
      </w:r>
      <w:r>
        <w:rPr>
          <w:rFonts w:ascii="SimSun" w:hAnsi="SimSun" w:eastAsia="SimSun" w:cs="SimSun"/>
          <w:sz w:val="21"/>
          <w:szCs w:val="21"/>
          <w:spacing w:val="-11"/>
        </w:rPr>
        <w:t>下，以零工为代表的非标准劳动关系的界定与相关权利义务的规定处</w:t>
      </w:r>
      <w:r>
        <w:rPr>
          <w:rFonts w:ascii="SimSun" w:hAnsi="SimSun" w:eastAsia="SimSun" w:cs="SimSun"/>
          <w:sz w:val="21"/>
          <w:szCs w:val="21"/>
          <w:spacing w:val="3"/>
        </w:rPr>
        <w:t xml:space="preserve">  </w:t>
      </w:r>
      <w:r>
        <w:rPr>
          <w:rFonts w:ascii="SimSun" w:hAnsi="SimSun" w:eastAsia="SimSun" w:cs="SimSun"/>
          <w:sz w:val="21"/>
          <w:szCs w:val="21"/>
          <w:spacing w:val="-11"/>
        </w:rPr>
        <w:t>于模糊状态。当出现涉及劳动关系界定的争议时，解决问题的一般手</w:t>
      </w:r>
      <w:r>
        <w:rPr>
          <w:rFonts w:ascii="SimSun" w:hAnsi="SimSun" w:eastAsia="SimSun" w:cs="SimSun"/>
          <w:sz w:val="21"/>
          <w:szCs w:val="21"/>
          <w:spacing w:val="3"/>
        </w:rPr>
        <w:t xml:space="preserve">  </w:t>
      </w:r>
      <w:r>
        <w:rPr>
          <w:rFonts w:ascii="SimSun" w:hAnsi="SimSun" w:eastAsia="SimSun" w:cs="SimSun"/>
          <w:sz w:val="21"/>
          <w:szCs w:val="21"/>
          <w:spacing w:val="-7"/>
        </w:rPr>
        <w:t>段是认定为劳动关系或是民事关系，并套用现有法律制度加以规制。</w:t>
      </w:r>
      <w:r>
        <w:rPr>
          <w:rFonts w:ascii="SimSun" w:hAnsi="SimSun" w:eastAsia="SimSun" w:cs="SimSun"/>
          <w:sz w:val="21"/>
          <w:szCs w:val="21"/>
          <w:spacing w:val="3"/>
        </w:rPr>
        <w:t xml:space="preserve"> </w:t>
      </w:r>
      <w:r>
        <w:rPr>
          <w:rFonts w:ascii="SimSun" w:hAnsi="SimSun" w:eastAsia="SimSun" w:cs="SimSun"/>
          <w:sz w:val="21"/>
          <w:szCs w:val="21"/>
          <w:spacing w:val="-10"/>
        </w:rPr>
        <w:t>关于何种情况会被认定为劳动关系，学界和法律实务界运用的理论依</w:t>
      </w:r>
      <w:r>
        <w:rPr>
          <w:rFonts w:ascii="SimSun" w:hAnsi="SimSun" w:eastAsia="SimSun" w:cs="SimSun"/>
          <w:sz w:val="21"/>
          <w:szCs w:val="21"/>
        </w:rPr>
        <w:t xml:space="preserve">  </w:t>
      </w:r>
      <w:r>
        <w:rPr>
          <w:rFonts w:ascii="SimSun" w:hAnsi="SimSun" w:eastAsia="SimSun" w:cs="SimSun"/>
          <w:sz w:val="21"/>
          <w:szCs w:val="21"/>
          <w:spacing w:val="-10"/>
        </w:rPr>
        <w:t>据是劳动从属性标准。①在法学视角下，劳动相对于资本的从属性是</w:t>
      </w:r>
      <w:r>
        <w:rPr>
          <w:rFonts w:ascii="SimSun" w:hAnsi="SimSun" w:eastAsia="SimSun" w:cs="SimSun"/>
          <w:sz w:val="21"/>
          <w:szCs w:val="21"/>
        </w:rPr>
        <w:t xml:space="preserve">  </w:t>
      </w:r>
      <w:r>
        <w:rPr>
          <w:rFonts w:ascii="SimSun" w:hAnsi="SimSun" w:eastAsia="SimSun" w:cs="SimSun"/>
          <w:sz w:val="21"/>
          <w:szCs w:val="21"/>
          <w:spacing w:val="-10"/>
        </w:rPr>
        <w:t>劳动立法的出发点，也是判定劳动关系的核心，从属性是劳动关系的</w:t>
      </w:r>
      <w:r>
        <w:rPr>
          <w:rFonts w:ascii="SimSun" w:hAnsi="SimSun" w:eastAsia="SimSun" w:cs="SimSun"/>
          <w:sz w:val="21"/>
          <w:szCs w:val="21"/>
          <w:spacing w:val="2"/>
        </w:rPr>
        <w:t xml:space="preserve">  </w:t>
      </w:r>
      <w:r>
        <w:rPr>
          <w:rFonts w:ascii="SimSun" w:hAnsi="SimSun" w:eastAsia="SimSun" w:cs="SimSun"/>
          <w:sz w:val="21"/>
          <w:szCs w:val="21"/>
          <w:spacing w:val="-10"/>
        </w:rPr>
        <w:t>基本属性和独有特点。②王全兴在比较“二分法”和“三分法</w:t>
      </w:r>
      <w:r>
        <w:rPr>
          <w:rFonts w:ascii="SimSun" w:hAnsi="SimSun" w:eastAsia="SimSun" w:cs="SimSun"/>
          <w:sz w:val="21"/>
          <w:szCs w:val="21"/>
          <w:spacing w:val="-11"/>
        </w:rPr>
        <w:t>”法人</w:t>
      </w:r>
      <w:r>
        <w:rPr>
          <w:rFonts w:ascii="SimSun" w:hAnsi="SimSun" w:eastAsia="SimSun" w:cs="SimSun"/>
          <w:sz w:val="21"/>
          <w:szCs w:val="21"/>
        </w:rPr>
        <w:t xml:space="preserve">  </w:t>
      </w:r>
      <w:r>
        <w:rPr>
          <w:rFonts w:ascii="SimSun" w:hAnsi="SimSun" w:eastAsia="SimSun" w:cs="SimSun"/>
          <w:sz w:val="21"/>
          <w:szCs w:val="21"/>
          <w:spacing w:val="-10"/>
        </w:rPr>
        <w:t>的内涵和外延后发现，“人格从属性→组织从属性→经济从属性</w:t>
      </w:r>
      <w:r>
        <w:rPr>
          <w:rFonts w:ascii="SimSun" w:hAnsi="SimSun" w:eastAsia="SimSun" w:cs="SimSun"/>
          <w:sz w:val="21"/>
          <w:szCs w:val="21"/>
          <w:spacing w:val="-11"/>
        </w:rPr>
        <w:t>”既</w:t>
      </w:r>
      <w:r>
        <w:rPr>
          <w:rFonts w:ascii="SimSun" w:hAnsi="SimSun" w:eastAsia="SimSun" w:cs="SimSun"/>
          <w:sz w:val="21"/>
          <w:szCs w:val="21"/>
        </w:rPr>
        <w:t xml:space="preserve">  </w:t>
      </w:r>
      <w:r>
        <w:rPr>
          <w:rFonts w:ascii="SimSun" w:hAnsi="SimSun" w:eastAsia="SimSun" w:cs="SimSun"/>
          <w:sz w:val="21"/>
          <w:szCs w:val="21"/>
          <w:spacing w:val="-10"/>
        </w:rPr>
        <w:t>是从属性外延不断扩大的过程，也是劳动法适用范围的延伸</w:t>
      </w:r>
      <w:r>
        <w:rPr>
          <w:rFonts w:ascii="SimSun" w:hAnsi="SimSun" w:eastAsia="SimSun" w:cs="SimSun"/>
          <w:sz w:val="21"/>
          <w:szCs w:val="21"/>
          <w:spacing w:val="-11"/>
        </w:rPr>
        <w:t>过程。③</w:t>
      </w:r>
      <w:r>
        <w:rPr>
          <w:rFonts w:ascii="SimSun" w:hAnsi="SimSun" w:eastAsia="SimSun" w:cs="SimSun"/>
          <w:sz w:val="21"/>
          <w:szCs w:val="21"/>
        </w:rPr>
        <w:t xml:space="preserve">  </w:t>
      </w:r>
      <w:r>
        <w:rPr>
          <w:rFonts w:ascii="SimSun" w:hAnsi="SimSun" w:eastAsia="SimSun" w:cs="SimSun"/>
          <w:sz w:val="21"/>
          <w:szCs w:val="21"/>
          <w:spacing w:val="-10"/>
        </w:rPr>
        <w:t>在实际的司法判例中，由于平台用工模式灵活复杂的特点，从属性与</w:t>
      </w:r>
      <w:r>
        <w:rPr>
          <w:rFonts w:ascii="SimSun" w:hAnsi="SimSun" w:eastAsia="SimSun" w:cs="SimSun"/>
          <w:sz w:val="21"/>
          <w:szCs w:val="21"/>
          <w:spacing w:val="2"/>
        </w:rPr>
        <w:t xml:space="preserve">  </w:t>
      </w:r>
      <w:r>
        <w:rPr>
          <w:rFonts w:ascii="SimSun" w:hAnsi="SimSun" w:eastAsia="SimSun" w:cs="SimSun"/>
          <w:sz w:val="21"/>
          <w:szCs w:val="21"/>
          <w:spacing w:val="-10"/>
        </w:rPr>
        <w:t>独立性往往不容易判断，导致常常出现两极分化的裁决结果，以及同</w:t>
      </w:r>
    </w:p>
    <w:p>
      <w:pPr>
        <w:pStyle w:val="BodyText"/>
        <w:spacing w:line="427" w:lineRule="auto"/>
        <w:rPr/>
      </w:pPr>
      <w:r/>
    </w:p>
    <w:p>
      <w:pPr>
        <w:ind w:left="359" w:right="40" w:hanging="339"/>
        <w:spacing w:before="52" w:line="272" w:lineRule="auto"/>
        <w:rPr>
          <w:rFonts w:ascii="SimSun" w:hAnsi="SimSun" w:eastAsia="SimSun" w:cs="SimSun"/>
          <w:sz w:val="16"/>
          <w:szCs w:val="16"/>
        </w:rPr>
      </w:pPr>
      <w:r>
        <w:rPr>
          <w:rFonts w:ascii="SimSun" w:hAnsi="SimSun" w:eastAsia="SimSun" w:cs="SimSun"/>
          <w:sz w:val="16"/>
          <w:szCs w:val="16"/>
          <w:spacing w:val="7"/>
        </w:rPr>
        <w:t>①</w:t>
      </w:r>
      <w:r>
        <w:rPr>
          <w:rFonts w:ascii="SimSun" w:hAnsi="SimSun" w:eastAsia="SimSun" w:cs="SimSun"/>
          <w:sz w:val="16"/>
          <w:szCs w:val="16"/>
          <w:spacing w:val="55"/>
          <w:w w:val="101"/>
        </w:rPr>
        <w:t xml:space="preserve"> </w:t>
      </w:r>
      <w:r>
        <w:rPr>
          <w:rFonts w:ascii="KaiTi" w:hAnsi="KaiTi" w:eastAsia="KaiTi" w:cs="KaiTi"/>
          <w:sz w:val="16"/>
          <w:szCs w:val="16"/>
          <w:spacing w:val="7"/>
        </w:rPr>
        <w:t>胡磊.平台经济下劳动过程控制权和劳动从属性</w:t>
      </w:r>
      <w:r>
        <w:rPr>
          <w:rFonts w:ascii="KaiTi" w:hAnsi="KaiTi" w:eastAsia="KaiTi" w:cs="KaiTi"/>
          <w:sz w:val="16"/>
          <w:szCs w:val="16"/>
          <w:spacing w:val="6"/>
        </w:rPr>
        <w:t>的演化与制度因应，经济纵横</w:t>
      </w:r>
      <w:r>
        <w:rPr>
          <w:rFonts w:ascii="SimSun" w:hAnsi="SimSun" w:eastAsia="SimSun" w:cs="SimSun"/>
          <w:sz w:val="16"/>
          <w:szCs w:val="16"/>
          <w:spacing w:val="6"/>
        </w:rPr>
        <w:t>，</w:t>
      </w:r>
      <w:r>
        <w:rPr>
          <w:rFonts w:ascii="SimSun" w:hAnsi="SimSun" w:eastAsia="SimSun" w:cs="SimSun"/>
          <w:sz w:val="16"/>
          <w:szCs w:val="16"/>
        </w:rPr>
        <w:t xml:space="preserve"> </w:t>
      </w:r>
      <w:r>
        <w:rPr>
          <w:rFonts w:ascii="SimSun" w:hAnsi="SimSun" w:eastAsia="SimSun" w:cs="SimSun"/>
          <w:sz w:val="16"/>
          <w:szCs w:val="16"/>
          <w:spacing w:val="-1"/>
        </w:rPr>
        <w:t>2020(2):36-44.</w:t>
      </w:r>
    </w:p>
    <w:p>
      <w:pPr>
        <w:ind w:left="359" w:right="71" w:hanging="339"/>
        <w:spacing w:before="89" w:line="263" w:lineRule="auto"/>
        <w:rPr>
          <w:rFonts w:ascii="SimSun" w:hAnsi="SimSun" w:eastAsia="SimSun" w:cs="SimSun"/>
          <w:sz w:val="16"/>
          <w:szCs w:val="16"/>
        </w:rPr>
      </w:pPr>
      <w:r>
        <w:rPr>
          <w:rFonts w:ascii="KaiTi" w:hAnsi="KaiTi" w:eastAsia="KaiTi" w:cs="KaiTi"/>
          <w:sz w:val="16"/>
          <w:szCs w:val="16"/>
          <w:spacing w:val="7"/>
        </w:rPr>
        <w:t>②</w:t>
      </w:r>
      <w:r>
        <w:rPr>
          <w:rFonts w:ascii="KaiTi" w:hAnsi="KaiTi" w:eastAsia="KaiTi" w:cs="KaiTi"/>
          <w:sz w:val="16"/>
          <w:szCs w:val="16"/>
          <w:spacing w:val="76"/>
        </w:rPr>
        <w:t xml:space="preserve"> </w:t>
      </w:r>
      <w:r>
        <w:rPr>
          <w:rFonts w:ascii="KaiTi" w:hAnsi="KaiTi" w:eastAsia="KaiTi" w:cs="KaiTi"/>
          <w:sz w:val="16"/>
          <w:szCs w:val="16"/>
          <w:spacing w:val="7"/>
        </w:rPr>
        <w:t>邓永辉.关于网约工的劳动关系确认和工伤保险研究综述</w:t>
      </w:r>
      <w:r>
        <w:rPr>
          <w:rFonts w:ascii="KaiTi" w:hAnsi="KaiTi" w:eastAsia="KaiTi" w:cs="KaiTi"/>
          <w:sz w:val="16"/>
          <w:szCs w:val="16"/>
          <w:spacing w:val="6"/>
        </w:rPr>
        <w:t>.对外经贸，2018(9):</w:t>
      </w:r>
      <w:r>
        <w:rPr>
          <w:rFonts w:ascii="KaiTi" w:hAnsi="KaiTi" w:eastAsia="KaiTi" w:cs="KaiTi"/>
          <w:sz w:val="16"/>
          <w:szCs w:val="16"/>
        </w:rPr>
        <w:t xml:space="preserve"> </w:t>
      </w:r>
      <w:r>
        <w:rPr>
          <w:rFonts w:ascii="SimSun" w:hAnsi="SimSun" w:eastAsia="SimSun" w:cs="SimSun"/>
          <w:sz w:val="16"/>
          <w:szCs w:val="16"/>
          <w:spacing w:val="-3"/>
        </w:rPr>
        <w:t>109-110.</w:t>
      </w:r>
    </w:p>
    <w:p>
      <w:pPr>
        <w:ind w:left="20"/>
        <w:spacing w:before="93" w:line="220" w:lineRule="auto"/>
        <w:rPr>
          <w:rFonts w:ascii="KaiTi" w:hAnsi="KaiTi" w:eastAsia="KaiTi" w:cs="KaiTi"/>
          <w:sz w:val="16"/>
          <w:szCs w:val="16"/>
        </w:rPr>
      </w:pPr>
      <w:r>
        <w:rPr>
          <w:rFonts w:ascii="KaiTi" w:hAnsi="KaiTi" w:eastAsia="KaiTi" w:cs="KaiTi"/>
          <w:sz w:val="16"/>
          <w:szCs w:val="16"/>
          <w:spacing w:val="8"/>
        </w:rPr>
        <w:t>③</w:t>
      </w:r>
      <w:r>
        <w:rPr>
          <w:rFonts w:ascii="KaiTi" w:hAnsi="KaiTi" w:eastAsia="KaiTi" w:cs="KaiTi"/>
          <w:sz w:val="16"/>
          <w:szCs w:val="16"/>
          <w:spacing w:val="67"/>
        </w:rPr>
        <w:t xml:space="preserve"> </w:t>
      </w:r>
      <w:r>
        <w:rPr>
          <w:rFonts w:ascii="KaiTi" w:hAnsi="KaiTi" w:eastAsia="KaiTi" w:cs="KaiTi"/>
          <w:sz w:val="16"/>
          <w:szCs w:val="16"/>
          <w:spacing w:val="8"/>
        </w:rPr>
        <w:t>王全兴.劳动法：第4版.北京：法律出版社，2017:35-36.</w:t>
      </w:r>
    </w:p>
    <w:p>
      <w:pPr>
        <w:spacing w:line="220" w:lineRule="auto"/>
        <w:sectPr>
          <w:headerReference w:type="default" r:id="rId201"/>
          <w:pgSz w:w="7330" w:h="12480"/>
          <w:pgMar w:top="609" w:right="444" w:bottom="400" w:left="770" w:header="435" w:footer="0" w:gutter="0"/>
        </w:sectPr>
        <w:rPr>
          <w:rFonts w:ascii="KaiTi" w:hAnsi="KaiTi" w:eastAsia="KaiTi" w:cs="KaiTi"/>
          <w:sz w:val="16"/>
          <w:szCs w:val="16"/>
        </w:rPr>
      </w:pPr>
    </w:p>
    <w:p>
      <w:pPr>
        <w:pStyle w:val="BodyText"/>
        <w:spacing w:line="249" w:lineRule="auto"/>
        <w:rPr/>
      </w:pPr>
      <w:r>
        <w:drawing>
          <wp:anchor distT="0" distB="0" distL="0" distR="0" simplePos="0" relativeHeight="253413376" behindDoc="0" locked="0" layoutInCell="0" allowOverlap="1">
            <wp:simplePos x="0" y="0"/>
            <wp:positionH relativeFrom="page">
              <wp:posOffset>190510</wp:posOffset>
            </wp:positionH>
            <wp:positionV relativeFrom="page">
              <wp:posOffset>6013417</wp:posOffset>
            </wp:positionV>
            <wp:extent cx="1174761" cy="6418"/>
            <wp:effectExtent l="0" t="0" r="0" b="0"/>
            <wp:wrapNone/>
            <wp:docPr id="162" name="IM 162"/>
            <wp:cNvGraphicFramePr/>
            <a:graphic>
              <a:graphicData uri="http://schemas.openxmlformats.org/drawingml/2006/picture">
                <pic:pic>
                  <pic:nvPicPr>
                    <pic:cNvPr id="162" name="IM 162"/>
                    <pic:cNvPicPr/>
                  </pic:nvPicPr>
                  <pic:blipFill>
                    <a:blip r:embed="rId204"/>
                    <a:stretch>
                      <a:fillRect/>
                    </a:stretch>
                  </pic:blipFill>
                  <pic:spPr>
                    <a:xfrm rot="0">
                      <a:off x="0" y="0"/>
                      <a:ext cx="1174761" cy="6418"/>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right="83"/>
        <w:spacing w:before="68" w:line="283" w:lineRule="auto"/>
        <w:jc w:val="both"/>
        <w:rPr>
          <w:rFonts w:ascii="SimSun" w:hAnsi="SimSun" w:eastAsia="SimSun" w:cs="SimSun"/>
          <w:sz w:val="21"/>
          <w:szCs w:val="21"/>
        </w:rPr>
      </w:pPr>
      <w:r>
        <w:rPr>
          <w:rFonts w:ascii="SimSun" w:hAnsi="SimSun" w:eastAsia="SimSun" w:cs="SimSun"/>
          <w:sz w:val="21"/>
          <w:szCs w:val="21"/>
          <w:spacing w:val="-15"/>
        </w:rPr>
        <w:t>事不同判的现象。</w:t>
      </w:r>
      <w:r>
        <w:rPr>
          <w:rFonts w:ascii="SimSun" w:hAnsi="SimSun" w:eastAsia="SimSun" w:cs="SimSun"/>
          <w:sz w:val="21"/>
          <w:szCs w:val="21"/>
          <w:spacing w:val="42"/>
        </w:rPr>
        <w:t xml:space="preserve"> </w:t>
      </w:r>
      <w:r>
        <w:rPr>
          <w:rFonts w:ascii="SimSun" w:hAnsi="SimSun" w:eastAsia="SimSun" w:cs="SimSun"/>
          <w:sz w:val="21"/>
          <w:szCs w:val="21"/>
          <w:spacing w:val="-15"/>
        </w:rPr>
        <w:t>一般而言，针对单纯诉求确认劳动关系的案件，其</w:t>
      </w:r>
      <w:r>
        <w:rPr>
          <w:rFonts w:ascii="SimSun" w:hAnsi="SimSun" w:eastAsia="SimSun" w:cs="SimSun"/>
          <w:sz w:val="21"/>
          <w:szCs w:val="21"/>
        </w:rPr>
        <w:t xml:space="preserve"> </w:t>
      </w:r>
      <w:r>
        <w:rPr>
          <w:rFonts w:ascii="SimSun" w:hAnsi="SimSun" w:eastAsia="SimSun" w:cs="SimSun"/>
          <w:sz w:val="21"/>
          <w:szCs w:val="21"/>
          <w:spacing w:val="-11"/>
        </w:rPr>
        <w:t>裁判结果往往认定为不构成劳动关系，而涉及工伤认定及赔偿的案件</w:t>
      </w:r>
      <w:r>
        <w:rPr>
          <w:rFonts w:ascii="SimSun" w:hAnsi="SimSun" w:eastAsia="SimSun" w:cs="SimSun"/>
          <w:sz w:val="21"/>
          <w:szCs w:val="21"/>
          <w:spacing w:val="7"/>
        </w:rPr>
        <w:t xml:space="preserve"> </w:t>
      </w:r>
      <w:r>
        <w:rPr>
          <w:rFonts w:ascii="SimSun" w:hAnsi="SimSun" w:eastAsia="SimSun" w:cs="SimSun"/>
          <w:sz w:val="21"/>
          <w:szCs w:val="21"/>
          <w:spacing w:val="-17"/>
        </w:rPr>
        <w:t>常被认定存在劳动关系。①</w:t>
      </w:r>
    </w:p>
    <w:p>
      <w:pPr>
        <w:ind w:right="63" w:firstLine="409"/>
        <w:spacing w:before="110" w:line="309" w:lineRule="auto"/>
        <w:jc w:val="both"/>
        <w:rPr>
          <w:rFonts w:ascii="SimSun" w:hAnsi="SimSun" w:eastAsia="SimSun" w:cs="SimSun"/>
          <w:sz w:val="21"/>
          <w:szCs w:val="21"/>
        </w:rPr>
      </w:pPr>
      <w:r>
        <w:rPr>
          <w:rFonts w:ascii="SimSun" w:hAnsi="SimSun" w:eastAsia="SimSun" w:cs="SimSun"/>
          <w:sz w:val="21"/>
          <w:szCs w:val="21"/>
          <w:spacing w:val="-10"/>
        </w:rPr>
        <w:t>通过从属性来判定是否构成劳动关系，并进而套用现行劳动法律</w:t>
      </w:r>
      <w:r>
        <w:rPr>
          <w:rFonts w:ascii="SimSun" w:hAnsi="SimSun" w:eastAsia="SimSun" w:cs="SimSun"/>
          <w:sz w:val="21"/>
          <w:szCs w:val="21"/>
          <w:spacing w:val="6"/>
        </w:rPr>
        <w:t xml:space="preserve"> </w:t>
      </w:r>
      <w:r>
        <w:rPr>
          <w:rFonts w:ascii="SimSun" w:hAnsi="SimSun" w:eastAsia="SimSun" w:cs="SimSun"/>
          <w:sz w:val="21"/>
          <w:szCs w:val="21"/>
          <w:spacing w:val="-10"/>
        </w:rPr>
        <w:t>进行规制，只是权宜之计。调整现有的劳动法律制度，以及对劳</w:t>
      </w:r>
      <w:r>
        <w:rPr>
          <w:rFonts w:ascii="SimSun" w:hAnsi="SimSun" w:eastAsia="SimSun" w:cs="SimSun"/>
          <w:sz w:val="21"/>
          <w:szCs w:val="21"/>
          <w:spacing w:val="-11"/>
        </w:rPr>
        <w:t>动者</w:t>
      </w:r>
      <w:r>
        <w:rPr>
          <w:rFonts w:ascii="SimSun" w:hAnsi="SimSun" w:eastAsia="SimSun" w:cs="SimSun"/>
          <w:sz w:val="21"/>
          <w:szCs w:val="21"/>
        </w:rPr>
        <w:t xml:space="preserve"> </w:t>
      </w:r>
      <w:r>
        <w:rPr>
          <w:rFonts w:ascii="SimSun" w:hAnsi="SimSun" w:eastAsia="SimSun" w:cs="SimSun"/>
          <w:sz w:val="21"/>
          <w:szCs w:val="21"/>
          <w:spacing w:val="-10"/>
        </w:rPr>
        <w:t>权益保护体系和社会保障体系进行相应改革，探索新的服务模式，使</w:t>
      </w:r>
      <w:r>
        <w:rPr>
          <w:rFonts w:ascii="SimSun" w:hAnsi="SimSun" w:eastAsia="SimSun" w:cs="SimSun"/>
          <w:sz w:val="21"/>
          <w:szCs w:val="21"/>
        </w:rPr>
        <w:t xml:space="preserve"> </w:t>
      </w:r>
      <w:r>
        <w:rPr>
          <w:rFonts w:ascii="SimSun" w:hAnsi="SimSun" w:eastAsia="SimSun" w:cs="SimSun"/>
          <w:sz w:val="21"/>
          <w:szCs w:val="21"/>
          <w:spacing w:val="-10"/>
        </w:rPr>
        <w:t>其能够适应技术进步带来的劳资关系的变化，才是解决问题</w:t>
      </w:r>
      <w:r>
        <w:rPr>
          <w:rFonts w:ascii="SimSun" w:hAnsi="SimSun" w:eastAsia="SimSun" w:cs="SimSun"/>
          <w:sz w:val="21"/>
          <w:szCs w:val="21"/>
          <w:spacing w:val="-11"/>
        </w:rPr>
        <w:t>的根本方</w:t>
      </w:r>
      <w:r>
        <w:rPr>
          <w:rFonts w:ascii="SimSun" w:hAnsi="SimSun" w:eastAsia="SimSun" w:cs="SimSun"/>
          <w:sz w:val="21"/>
          <w:szCs w:val="21"/>
        </w:rPr>
        <w:t xml:space="preserve"> </w:t>
      </w:r>
      <w:r>
        <w:rPr>
          <w:rFonts w:ascii="SimSun" w:hAnsi="SimSun" w:eastAsia="SimSun" w:cs="SimSun"/>
          <w:sz w:val="21"/>
          <w:szCs w:val="21"/>
          <w:spacing w:val="-12"/>
        </w:rPr>
        <w:t>法。</w:t>
      </w:r>
      <w:r>
        <w:rPr>
          <w:rFonts w:ascii="SimSun" w:hAnsi="SimSun" w:eastAsia="SimSun" w:cs="SimSun"/>
          <w:sz w:val="21"/>
          <w:szCs w:val="21"/>
          <w:spacing w:val="-44"/>
        </w:rPr>
        <w:t xml:space="preserve"> </w:t>
      </w:r>
      <w:r>
        <w:rPr>
          <w:rFonts w:ascii="SimSun" w:hAnsi="SimSun" w:eastAsia="SimSun" w:cs="SimSun"/>
          <w:sz w:val="21"/>
          <w:szCs w:val="21"/>
          <w:spacing w:val="-12"/>
        </w:rPr>
        <w:t>一些学者认为，应当用“独立工作者”或“非独立合同</w:t>
      </w:r>
      <w:r>
        <w:rPr>
          <w:rFonts w:ascii="SimSun" w:hAnsi="SimSun" w:eastAsia="SimSun" w:cs="SimSun"/>
          <w:sz w:val="21"/>
          <w:szCs w:val="21"/>
          <w:spacing w:val="-13"/>
        </w:rPr>
        <w:t>工”等新</w:t>
      </w:r>
      <w:r>
        <w:rPr>
          <w:rFonts w:ascii="SimSun" w:hAnsi="SimSun" w:eastAsia="SimSun" w:cs="SimSun"/>
          <w:sz w:val="21"/>
          <w:szCs w:val="21"/>
        </w:rPr>
        <w:t xml:space="preserve"> </w:t>
      </w:r>
      <w:r>
        <w:rPr>
          <w:rFonts w:ascii="SimSun" w:hAnsi="SimSun" w:eastAsia="SimSun" w:cs="SimSun"/>
          <w:sz w:val="21"/>
          <w:szCs w:val="21"/>
          <w:spacing w:val="-10"/>
        </w:rPr>
        <w:t>范畴来定义这种非标准劳动关系，然后重新划分权利义务的范</w:t>
      </w:r>
      <w:r>
        <w:rPr>
          <w:rFonts w:ascii="SimSun" w:hAnsi="SimSun" w:eastAsia="SimSun" w:cs="SimSun"/>
          <w:sz w:val="21"/>
          <w:szCs w:val="21"/>
          <w:spacing w:val="-11"/>
        </w:rPr>
        <w:t>围，并</w:t>
      </w:r>
      <w:r>
        <w:rPr>
          <w:rFonts w:ascii="SimSun" w:hAnsi="SimSun" w:eastAsia="SimSun" w:cs="SimSun"/>
          <w:sz w:val="21"/>
          <w:szCs w:val="21"/>
        </w:rPr>
        <w:t xml:space="preserve"> </w:t>
      </w:r>
      <w:r>
        <w:rPr>
          <w:rFonts w:ascii="SimSun" w:hAnsi="SimSun" w:eastAsia="SimSun" w:cs="SimSun"/>
          <w:sz w:val="21"/>
          <w:szCs w:val="21"/>
          <w:spacing w:val="-10"/>
        </w:rPr>
        <w:t>进行相匹配的制度变革。例如，独立工作者可以拥有雇员的部分福利</w:t>
      </w:r>
      <w:r>
        <w:rPr>
          <w:rFonts w:ascii="SimSun" w:hAnsi="SimSun" w:eastAsia="SimSun" w:cs="SimSun"/>
          <w:sz w:val="21"/>
          <w:szCs w:val="21"/>
          <w:spacing w:val="3"/>
        </w:rPr>
        <w:t xml:space="preserve"> </w:t>
      </w:r>
      <w:r>
        <w:rPr>
          <w:rFonts w:ascii="SimSun" w:hAnsi="SimSun" w:eastAsia="SimSun" w:cs="SimSun"/>
          <w:sz w:val="21"/>
          <w:szCs w:val="21"/>
          <w:spacing w:val="-3"/>
        </w:rPr>
        <w:t>和保障，如工资福利、医疗保障、集体谈判的自由、基</w:t>
      </w:r>
      <w:r>
        <w:rPr>
          <w:rFonts w:ascii="SimSun" w:hAnsi="SimSun" w:eastAsia="SimSun" w:cs="SimSun"/>
          <w:sz w:val="21"/>
          <w:szCs w:val="21"/>
          <w:spacing w:val="-4"/>
        </w:rPr>
        <w:t>于工作任务</w:t>
      </w:r>
      <w:r>
        <w:rPr>
          <w:rFonts w:ascii="SimSun" w:hAnsi="SimSun" w:eastAsia="SimSun" w:cs="SimSun"/>
          <w:sz w:val="21"/>
          <w:szCs w:val="21"/>
        </w:rPr>
        <w:t xml:space="preserve"> </w:t>
      </w:r>
      <w:r>
        <w:rPr>
          <w:rFonts w:ascii="SimSun" w:hAnsi="SimSun" w:eastAsia="SimSun" w:cs="SimSun"/>
          <w:sz w:val="21"/>
          <w:szCs w:val="21"/>
          <w:spacing w:val="-3"/>
        </w:rPr>
        <w:t>的工伤保护等等，但是无法享受部分基于工作时间的福</w:t>
      </w:r>
      <w:r>
        <w:rPr>
          <w:rFonts w:ascii="SimSun" w:hAnsi="SimSun" w:eastAsia="SimSun" w:cs="SimSun"/>
          <w:sz w:val="21"/>
          <w:szCs w:val="21"/>
          <w:spacing w:val="-4"/>
        </w:rPr>
        <w:t>利，如加班</w:t>
      </w:r>
      <w:r>
        <w:rPr>
          <w:rFonts w:ascii="SimSun" w:hAnsi="SimSun" w:eastAsia="SimSun" w:cs="SimSun"/>
          <w:sz w:val="21"/>
          <w:szCs w:val="21"/>
        </w:rPr>
        <w:t xml:space="preserve"> </w:t>
      </w:r>
      <w:r>
        <w:rPr>
          <w:rFonts w:ascii="SimSun" w:hAnsi="SimSun" w:eastAsia="SimSun" w:cs="SimSun"/>
          <w:sz w:val="21"/>
          <w:szCs w:val="21"/>
          <w:spacing w:val="-10"/>
        </w:rPr>
        <w:t>工资、最低工资保障等。②至于养老保险，应当结合社保制度</w:t>
      </w:r>
      <w:r>
        <w:rPr>
          <w:rFonts w:ascii="SimSun" w:hAnsi="SimSun" w:eastAsia="SimSun" w:cs="SimSun"/>
          <w:sz w:val="21"/>
          <w:szCs w:val="21"/>
          <w:spacing w:val="-11"/>
        </w:rPr>
        <w:t>的改革</w:t>
      </w:r>
      <w:r>
        <w:rPr>
          <w:rFonts w:ascii="SimSun" w:hAnsi="SimSun" w:eastAsia="SimSun" w:cs="SimSun"/>
          <w:sz w:val="21"/>
          <w:szCs w:val="21"/>
        </w:rPr>
        <w:t xml:space="preserve"> </w:t>
      </w:r>
      <w:r>
        <w:rPr>
          <w:rFonts w:ascii="SimSun" w:hAnsi="SimSun" w:eastAsia="SimSun" w:cs="SimSun"/>
          <w:sz w:val="21"/>
          <w:szCs w:val="21"/>
          <w:spacing w:val="-6"/>
        </w:rPr>
        <w:t>(如明确个人账户的性质、便利异地转移等)③,为具有灵活就业、非</w:t>
      </w:r>
      <w:r>
        <w:rPr>
          <w:rFonts w:ascii="SimSun" w:hAnsi="SimSun" w:eastAsia="SimSun" w:cs="SimSun"/>
          <w:sz w:val="21"/>
          <w:szCs w:val="21"/>
          <w:spacing w:val="8"/>
        </w:rPr>
        <w:t xml:space="preserve"> </w:t>
      </w:r>
      <w:r>
        <w:rPr>
          <w:rFonts w:ascii="SimSun" w:hAnsi="SimSun" w:eastAsia="SimSun" w:cs="SimSun"/>
          <w:sz w:val="21"/>
          <w:szCs w:val="21"/>
          <w:spacing w:val="-10"/>
        </w:rPr>
        <w:t>固定用工单位、非全职就业等特征的劳动者探索一套合理的</w:t>
      </w:r>
      <w:r>
        <w:rPr>
          <w:rFonts w:ascii="SimSun" w:hAnsi="SimSun" w:eastAsia="SimSun" w:cs="SimSun"/>
          <w:sz w:val="21"/>
          <w:szCs w:val="21"/>
          <w:spacing w:val="-11"/>
        </w:rPr>
        <w:t>缴费分摊</w:t>
      </w:r>
      <w:r>
        <w:rPr>
          <w:rFonts w:ascii="SimSun" w:hAnsi="SimSun" w:eastAsia="SimSun" w:cs="SimSun"/>
          <w:sz w:val="21"/>
          <w:szCs w:val="21"/>
        </w:rPr>
        <w:t xml:space="preserve"> </w:t>
      </w:r>
      <w:r>
        <w:rPr>
          <w:rFonts w:ascii="SimSun" w:hAnsi="SimSun" w:eastAsia="SimSun" w:cs="SimSun"/>
          <w:sz w:val="21"/>
          <w:szCs w:val="21"/>
          <w:spacing w:val="-26"/>
        </w:rPr>
        <w:t>制度。④</w:t>
      </w:r>
    </w:p>
    <w:p>
      <w:pPr>
        <w:pStyle w:val="BodyText"/>
        <w:spacing w:line="388"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平台经济下劳动者权益保护的政策现状</w:t>
      </w:r>
    </w:p>
    <w:p>
      <w:pPr>
        <w:pStyle w:val="BodyText"/>
        <w:spacing w:line="352" w:lineRule="auto"/>
        <w:rPr/>
      </w:pPr>
      <w:r/>
    </w:p>
    <w:p>
      <w:pPr>
        <w:ind w:left="449"/>
        <w:spacing w:before="68" w:line="219" w:lineRule="auto"/>
        <w:rPr>
          <w:rFonts w:ascii="SimSun" w:hAnsi="SimSun" w:eastAsia="SimSun" w:cs="SimSun"/>
          <w:sz w:val="21"/>
          <w:szCs w:val="21"/>
        </w:rPr>
      </w:pPr>
      <w:r>
        <w:rPr>
          <w:rFonts w:ascii="SimSun" w:hAnsi="SimSun" w:eastAsia="SimSun" w:cs="SimSun"/>
          <w:sz w:val="21"/>
          <w:szCs w:val="21"/>
          <w:spacing w:val="-3"/>
        </w:rPr>
        <w:t>目前，世界各国均面临对平台劳动者的工作性质进行界</w:t>
      </w:r>
      <w:r>
        <w:rPr>
          <w:rFonts w:ascii="SimSun" w:hAnsi="SimSun" w:eastAsia="SimSun" w:cs="SimSun"/>
          <w:sz w:val="21"/>
          <w:szCs w:val="21"/>
          <w:spacing w:val="-4"/>
        </w:rPr>
        <w:t>定的问</w:t>
      </w:r>
    </w:p>
    <w:p>
      <w:pPr>
        <w:pStyle w:val="BodyText"/>
        <w:spacing w:line="286" w:lineRule="auto"/>
        <w:rPr/>
      </w:pPr>
      <w:r/>
    </w:p>
    <w:p>
      <w:pPr>
        <w:pStyle w:val="BodyText"/>
        <w:spacing w:line="287" w:lineRule="auto"/>
        <w:rPr/>
      </w:pPr>
      <w:r/>
    </w:p>
    <w:p>
      <w:pPr>
        <w:spacing w:before="56" w:line="220" w:lineRule="auto"/>
        <w:jc w:val="right"/>
        <w:rPr>
          <w:rFonts w:ascii="KaiTi" w:hAnsi="KaiTi" w:eastAsia="KaiTi" w:cs="KaiTi"/>
          <w:sz w:val="17"/>
          <w:szCs w:val="17"/>
        </w:rPr>
      </w:pPr>
      <w:r>
        <w:rPr>
          <w:rFonts w:ascii="SimSun" w:hAnsi="SimSun" w:eastAsia="SimSun" w:cs="SimSun"/>
          <w:sz w:val="17"/>
          <w:szCs w:val="17"/>
          <w:spacing w:val="-6"/>
        </w:rPr>
        <w:t>①</w:t>
      </w:r>
      <w:r>
        <w:rPr>
          <w:rFonts w:ascii="SimSun" w:hAnsi="SimSun" w:eastAsia="SimSun" w:cs="SimSun"/>
          <w:sz w:val="17"/>
          <w:szCs w:val="17"/>
          <w:spacing w:val="55"/>
        </w:rPr>
        <w:t xml:space="preserve"> </w:t>
      </w:r>
      <w:r>
        <w:rPr>
          <w:rFonts w:ascii="KaiTi" w:hAnsi="KaiTi" w:eastAsia="KaiTi" w:cs="KaiTi"/>
          <w:sz w:val="17"/>
          <w:szCs w:val="17"/>
          <w:spacing w:val="-6"/>
        </w:rPr>
        <w:t>王文珍，李文静.平台经济发展对我国劳动关系的影响.中国劳动，2017(1):4-12.</w:t>
      </w:r>
    </w:p>
    <w:p>
      <w:pPr>
        <w:ind w:left="319" w:right="37" w:hanging="319"/>
        <w:spacing w:before="67" w:line="257" w:lineRule="auto"/>
        <w:rPr>
          <w:rFonts w:ascii="KaiTi" w:hAnsi="KaiTi" w:eastAsia="KaiTi" w:cs="KaiTi"/>
          <w:sz w:val="17"/>
          <w:szCs w:val="17"/>
        </w:rPr>
      </w:pPr>
      <w:r>
        <w:rPr>
          <w:rFonts w:ascii="KaiTi" w:hAnsi="KaiTi" w:eastAsia="KaiTi" w:cs="KaiTi"/>
          <w:sz w:val="17"/>
          <w:szCs w:val="17"/>
          <w:spacing w:val="-4"/>
        </w:rPr>
        <w:t>②</w:t>
      </w:r>
      <w:r>
        <w:rPr>
          <w:rFonts w:ascii="KaiTi" w:hAnsi="KaiTi" w:eastAsia="KaiTi" w:cs="KaiTi"/>
          <w:sz w:val="17"/>
          <w:szCs w:val="17"/>
          <w:spacing w:val="67"/>
        </w:rPr>
        <w:t xml:space="preserve"> </w:t>
      </w:r>
      <w:r>
        <w:rPr>
          <w:rFonts w:ascii="KaiTi" w:hAnsi="KaiTi" w:eastAsia="KaiTi" w:cs="KaiTi"/>
          <w:sz w:val="17"/>
          <w:szCs w:val="17"/>
          <w:spacing w:val="-4"/>
        </w:rPr>
        <w:t>吴清军，张艺园，周广肃.互联网平台用工与劳动政策未来发展趋势——以劳动</w:t>
      </w:r>
      <w:r>
        <w:rPr>
          <w:rFonts w:ascii="KaiTi" w:hAnsi="KaiTi" w:eastAsia="KaiTi" w:cs="KaiTi"/>
          <w:sz w:val="17"/>
          <w:szCs w:val="17"/>
        </w:rPr>
        <w:t xml:space="preserve"> </w:t>
      </w:r>
      <w:r>
        <w:rPr>
          <w:rFonts w:ascii="KaiTi" w:hAnsi="KaiTi" w:eastAsia="KaiTi" w:cs="KaiTi"/>
          <w:sz w:val="17"/>
          <w:szCs w:val="17"/>
        </w:rPr>
        <w:t>者身份判定为基础的分析.中国行政管理，2019(4):116-123.</w:t>
      </w:r>
    </w:p>
    <w:p>
      <w:pPr>
        <w:ind w:left="319" w:right="35" w:hanging="319"/>
        <w:spacing w:before="97" w:line="257" w:lineRule="auto"/>
        <w:rPr>
          <w:rFonts w:ascii="KaiTi" w:hAnsi="KaiTi" w:eastAsia="KaiTi" w:cs="KaiTi"/>
          <w:sz w:val="17"/>
          <w:szCs w:val="17"/>
        </w:rPr>
      </w:pPr>
      <w:r>
        <w:rPr>
          <w:rFonts w:ascii="KaiTi" w:hAnsi="KaiTi" w:eastAsia="KaiTi" w:cs="KaiTi"/>
          <w:sz w:val="17"/>
          <w:szCs w:val="17"/>
          <w:spacing w:val="-6"/>
        </w:rPr>
        <w:t>③</w:t>
      </w:r>
      <w:r>
        <w:rPr>
          <w:rFonts w:ascii="KaiTi" w:hAnsi="KaiTi" w:eastAsia="KaiTi" w:cs="KaiTi"/>
          <w:sz w:val="17"/>
          <w:szCs w:val="17"/>
          <w:spacing w:val="56"/>
        </w:rPr>
        <w:t xml:space="preserve"> </w:t>
      </w:r>
      <w:r>
        <w:rPr>
          <w:rFonts w:ascii="KaiTi" w:hAnsi="KaiTi" w:eastAsia="KaiTi" w:cs="KaiTi"/>
          <w:sz w:val="17"/>
          <w:szCs w:val="17"/>
          <w:spacing w:val="-6"/>
        </w:rPr>
        <w:t>在社保统筹层级低、异地转移接续难、个人账户未做实的现状下，不少劳动者自</w:t>
      </w:r>
      <w:r>
        <w:rPr>
          <w:rFonts w:ascii="KaiTi" w:hAnsi="KaiTi" w:eastAsia="KaiTi" w:cs="KaiTi"/>
          <w:sz w:val="17"/>
          <w:szCs w:val="17"/>
        </w:rPr>
        <w:t xml:space="preserve"> </w:t>
      </w:r>
      <w:r>
        <w:rPr>
          <w:rFonts w:ascii="KaiTi" w:hAnsi="KaiTi" w:eastAsia="KaiTi" w:cs="KaiTi"/>
          <w:sz w:val="17"/>
          <w:szCs w:val="17"/>
          <w:spacing w:val="-10"/>
        </w:rPr>
        <w:t>身缺乏缴纳社保的意愿，希望尽量以现金方式获得全</w:t>
      </w:r>
      <w:r>
        <w:rPr>
          <w:rFonts w:ascii="KaiTi" w:hAnsi="KaiTi" w:eastAsia="KaiTi" w:cs="KaiTi"/>
          <w:sz w:val="17"/>
          <w:szCs w:val="17"/>
          <w:spacing w:val="-11"/>
        </w:rPr>
        <w:t>部劳动报酬。</w:t>
      </w:r>
    </w:p>
    <w:p>
      <w:pPr>
        <w:ind w:left="319" w:right="48" w:hanging="319"/>
        <w:spacing w:before="86" w:line="257" w:lineRule="auto"/>
        <w:rPr>
          <w:rFonts w:ascii="KaiTi" w:hAnsi="KaiTi" w:eastAsia="KaiTi" w:cs="KaiTi"/>
          <w:sz w:val="17"/>
          <w:szCs w:val="17"/>
        </w:rPr>
      </w:pPr>
      <w:r>
        <w:rPr>
          <w:rFonts w:ascii="KaiTi" w:hAnsi="KaiTi" w:eastAsia="KaiTi" w:cs="KaiTi"/>
          <w:sz w:val="17"/>
          <w:szCs w:val="17"/>
          <w:spacing w:val="-6"/>
        </w:rPr>
        <w:t>④</w:t>
      </w:r>
      <w:r>
        <w:rPr>
          <w:rFonts w:ascii="KaiTi" w:hAnsi="KaiTi" w:eastAsia="KaiTi" w:cs="KaiTi"/>
          <w:sz w:val="17"/>
          <w:szCs w:val="17"/>
          <w:spacing w:val="43"/>
        </w:rPr>
        <w:t xml:space="preserve"> </w:t>
      </w:r>
      <w:r>
        <w:rPr>
          <w:rFonts w:ascii="KaiTi" w:hAnsi="KaiTi" w:eastAsia="KaiTi" w:cs="KaiTi"/>
          <w:sz w:val="17"/>
          <w:szCs w:val="17"/>
          <w:spacing w:val="-6"/>
        </w:rPr>
        <w:t>例如，按照每一单工作任务提取固定比例或金额，将缴费纳入个人账户，多缴多</w:t>
      </w:r>
      <w:r>
        <w:rPr>
          <w:rFonts w:ascii="KaiTi" w:hAnsi="KaiTi" w:eastAsia="KaiTi" w:cs="KaiTi"/>
          <w:sz w:val="17"/>
          <w:szCs w:val="17"/>
        </w:rPr>
        <w:t xml:space="preserve"> </w:t>
      </w:r>
      <w:r>
        <w:rPr>
          <w:rFonts w:ascii="KaiTi" w:hAnsi="KaiTi" w:eastAsia="KaiTi" w:cs="KaiTi"/>
          <w:sz w:val="17"/>
          <w:szCs w:val="17"/>
          <w:spacing w:val="-11"/>
        </w:rPr>
        <w:t>得并设定封顶线，可能是一种潜在的改革方向。</w:t>
      </w:r>
    </w:p>
    <w:p>
      <w:pPr>
        <w:spacing w:line="257" w:lineRule="auto"/>
        <w:sectPr>
          <w:headerReference w:type="default" r:id="rId203"/>
          <w:pgSz w:w="7330" w:h="12480"/>
          <w:pgMar w:top="846" w:right="947" w:bottom="400" w:left="300" w:header="673" w:footer="0" w:gutter="0"/>
        </w:sectPr>
        <w:rPr>
          <w:rFonts w:ascii="KaiTi" w:hAnsi="KaiTi" w:eastAsia="KaiTi" w:cs="KaiTi"/>
          <w:sz w:val="17"/>
          <w:szCs w:val="17"/>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right="82" w:firstLine="105"/>
        <w:spacing w:before="69" w:line="308" w:lineRule="auto"/>
        <w:jc w:val="both"/>
        <w:rPr>
          <w:rFonts w:ascii="SimSun" w:hAnsi="SimSun" w:eastAsia="SimSun" w:cs="SimSun"/>
          <w:sz w:val="21"/>
          <w:szCs w:val="21"/>
        </w:rPr>
      </w:pPr>
      <w:r>
        <w:rPr>
          <w:rFonts w:ascii="SimSun" w:hAnsi="SimSun" w:eastAsia="SimSun" w:cs="SimSun"/>
          <w:sz w:val="21"/>
          <w:szCs w:val="21"/>
          <w:spacing w:val="-4"/>
        </w:rPr>
        <w:t>题。西方国家大部分采用“三分法”。欧盟法院最近正在不断扩大</w:t>
      </w:r>
      <w:r>
        <w:rPr>
          <w:rFonts w:ascii="SimSun" w:hAnsi="SimSun" w:eastAsia="SimSun" w:cs="SimSun"/>
          <w:sz w:val="21"/>
          <w:szCs w:val="21"/>
          <w:spacing w:val="4"/>
        </w:rPr>
        <w:t xml:space="preserve"> </w:t>
      </w:r>
      <w:r>
        <w:rPr>
          <w:rFonts w:ascii="SimSun" w:hAnsi="SimSun" w:eastAsia="SimSun" w:cs="SimSun"/>
          <w:sz w:val="21"/>
          <w:szCs w:val="21"/>
          <w:spacing w:val="-1"/>
        </w:rPr>
        <w:t>“工人”</w:t>
      </w:r>
      <w:r>
        <w:rPr>
          <w:rFonts w:ascii="Times New Roman" w:hAnsi="Times New Roman" w:eastAsia="Times New Roman" w:cs="Times New Roman"/>
          <w:sz w:val="21"/>
          <w:szCs w:val="21"/>
          <w:spacing w:val="-1"/>
        </w:rPr>
        <w:t>(worker)   </w:t>
      </w:r>
      <w:r>
        <w:rPr>
          <w:rFonts w:ascii="SimSun" w:hAnsi="SimSun" w:eastAsia="SimSun" w:cs="SimSun"/>
          <w:sz w:val="21"/>
          <w:szCs w:val="21"/>
          <w:spacing w:val="-1"/>
        </w:rPr>
        <w:t>这一概念的内涵，不</w:t>
      </w:r>
      <w:r>
        <w:rPr>
          <w:rFonts w:ascii="SimSun" w:hAnsi="SimSun" w:eastAsia="SimSun" w:cs="SimSun"/>
          <w:sz w:val="21"/>
          <w:szCs w:val="21"/>
          <w:spacing w:val="-2"/>
        </w:rPr>
        <w:t>再将其限定于传统劳动关系</w:t>
      </w:r>
      <w:r>
        <w:rPr>
          <w:rFonts w:ascii="SimSun" w:hAnsi="SimSun" w:eastAsia="SimSun" w:cs="SimSun"/>
          <w:sz w:val="21"/>
          <w:szCs w:val="21"/>
        </w:rPr>
        <w:t xml:space="preserve"> </w:t>
      </w:r>
      <w:r>
        <w:rPr>
          <w:rFonts w:ascii="SimSun" w:hAnsi="SimSun" w:eastAsia="SimSun" w:cs="SimSun"/>
          <w:sz w:val="21"/>
          <w:szCs w:val="21"/>
          <w:spacing w:val="-6"/>
        </w:rPr>
        <w:t>下的劳动者。在加拿大，</w:t>
      </w:r>
      <w:r>
        <w:rPr>
          <w:rFonts w:ascii="SimSun" w:hAnsi="SimSun" w:eastAsia="SimSun" w:cs="SimSun"/>
          <w:sz w:val="21"/>
          <w:szCs w:val="21"/>
          <w:spacing w:val="61"/>
        </w:rPr>
        <w:t xml:space="preserve"> </w:t>
      </w:r>
      <w:r>
        <w:rPr>
          <w:rFonts w:ascii="SimSun" w:hAnsi="SimSun" w:eastAsia="SimSun" w:cs="SimSun"/>
          <w:sz w:val="21"/>
          <w:szCs w:val="21"/>
          <w:spacing w:val="-6"/>
        </w:rPr>
        <w:t>一些省份在集体劳动法中扩大解释了雇员</w:t>
      </w:r>
      <w:r>
        <w:rPr>
          <w:rFonts w:ascii="SimSun" w:hAnsi="SimSun" w:eastAsia="SimSun" w:cs="SimSun"/>
          <w:sz w:val="21"/>
          <w:szCs w:val="21"/>
        </w:rPr>
        <w:t xml:space="preserve"> </w:t>
      </w:r>
      <w:r>
        <w:rPr>
          <w:rFonts w:ascii="SimSun" w:hAnsi="SimSun" w:eastAsia="SimSun" w:cs="SimSun"/>
          <w:sz w:val="21"/>
          <w:szCs w:val="21"/>
        </w:rPr>
        <w:t>的概念，扩张适用的主体主要是经济依赖承揽人</w:t>
      </w:r>
      <w:r>
        <w:rPr>
          <w:rFonts w:ascii="SimSun" w:hAnsi="SimSun" w:eastAsia="SimSun" w:cs="SimSun"/>
          <w:sz w:val="21"/>
          <w:szCs w:val="21"/>
          <w:spacing w:val="-1"/>
        </w:rPr>
        <w:t>，也就是说主要根</w:t>
      </w:r>
      <w:r>
        <w:rPr>
          <w:rFonts w:ascii="SimSun" w:hAnsi="SimSun" w:eastAsia="SimSun" w:cs="SimSun"/>
          <w:sz w:val="21"/>
          <w:szCs w:val="21"/>
        </w:rPr>
        <w:t xml:space="preserve"> </w:t>
      </w:r>
      <w:r>
        <w:rPr>
          <w:rFonts w:ascii="SimSun" w:hAnsi="SimSun" w:eastAsia="SimSun" w:cs="SimSun"/>
          <w:sz w:val="21"/>
          <w:szCs w:val="21"/>
          <w:spacing w:val="-7"/>
        </w:rPr>
        <w:t>据经济从属性的强弱来判断平台工人是不是平台企业的雇员。①2020</w:t>
      </w:r>
      <w:r>
        <w:rPr>
          <w:rFonts w:ascii="SimSun" w:hAnsi="SimSun" w:eastAsia="SimSun" w:cs="SimSun"/>
          <w:sz w:val="21"/>
          <w:szCs w:val="21"/>
          <w:spacing w:val="8"/>
        </w:rPr>
        <w:t xml:space="preserve"> </w:t>
      </w:r>
      <w:r>
        <w:rPr>
          <w:rFonts w:ascii="SimSun" w:hAnsi="SimSun" w:eastAsia="SimSun" w:cs="SimSun"/>
          <w:sz w:val="21"/>
          <w:szCs w:val="21"/>
        </w:rPr>
        <w:t>年1月在美国生效的《加州零工经济法》,将过去用来区分零工</w:t>
      </w:r>
      <w:r>
        <w:rPr>
          <w:rFonts w:ascii="SimSun" w:hAnsi="SimSun" w:eastAsia="SimSun" w:cs="SimSun"/>
          <w:sz w:val="21"/>
          <w:szCs w:val="21"/>
          <w:spacing w:val="-1"/>
        </w:rPr>
        <w:t>劳动</w:t>
      </w:r>
      <w:r>
        <w:rPr>
          <w:rFonts w:ascii="SimSun" w:hAnsi="SimSun" w:eastAsia="SimSun" w:cs="SimSun"/>
          <w:sz w:val="21"/>
          <w:szCs w:val="21"/>
        </w:rPr>
        <w:t xml:space="preserve"> </w:t>
      </w:r>
      <w:r>
        <w:rPr>
          <w:rFonts w:ascii="SimSun" w:hAnsi="SimSun" w:eastAsia="SimSun" w:cs="SimSun"/>
          <w:sz w:val="21"/>
          <w:szCs w:val="21"/>
          <w:spacing w:val="2"/>
        </w:rPr>
        <w:t>者究竟是雇员还是独立承揽人的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Borello</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检验标准改为</w:t>
      </w:r>
      <w:r>
        <w:rPr>
          <w:rFonts w:ascii="Times New Roman" w:hAnsi="Times New Roman" w:eastAsia="Times New Roman" w:cs="Times New Roman"/>
          <w:sz w:val="21"/>
          <w:szCs w:val="21"/>
        </w:rPr>
        <w:t>ABC</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检验标</w:t>
      </w:r>
      <w:r>
        <w:rPr>
          <w:rFonts w:ascii="SimSun" w:hAnsi="SimSun" w:eastAsia="SimSun" w:cs="SimSun"/>
          <w:sz w:val="21"/>
          <w:szCs w:val="21"/>
        </w:rPr>
        <w:t xml:space="preserve"> </w:t>
      </w:r>
      <w:r>
        <w:rPr>
          <w:rFonts w:ascii="SimSun" w:hAnsi="SimSun" w:eastAsia="SimSun" w:cs="SimSun"/>
          <w:sz w:val="21"/>
          <w:szCs w:val="21"/>
        </w:rPr>
        <w:t>准，而新标准的实施更加有利于将零工劳动者认定为雇员。②2021</w:t>
      </w:r>
      <w:r>
        <w:rPr>
          <w:rFonts w:ascii="SimSun" w:hAnsi="SimSun" w:eastAsia="SimSun" w:cs="SimSun"/>
          <w:sz w:val="21"/>
          <w:szCs w:val="21"/>
          <w:spacing w:val="5"/>
        </w:rPr>
        <w:t xml:space="preserve"> </w:t>
      </w:r>
      <w:r>
        <w:rPr>
          <w:rFonts w:ascii="SimSun" w:hAnsi="SimSun" w:eastAsia="SimSun" w:cs="SimSun"/>
          <w:sz w:val="21"/>
          <w:szCs w:val="21"/>
          <w:spacing w:val="5"/>
        </w:rPr>
        <w:t>年2月，英国最高法院将优步司机界定为“员工”</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worker</w:t>
      </w:r>
      <w:r>
        <w:rPr>
          <w:rFonts w:ascii="Times New Roman" w:hAnsi="Times New Roman" w:eastAsia="Times New Roman" w:cs="Times New Roman"/>
          <w:sz w:val="21"/>
          <w:szCs w:val="21"/>
          <w:spacing w:val="5"/>
        </w:rPr>
        <w:t>),    </w:t>
      </w:r>
      <w:r>
        <w:rPr>
          <w:rFonts w:ascii="SimSun" w:hAnsi="SimSun" w:eastAsia="SimSun" w:cs="SimSun"/>
          <w:sz w:val="21"/>
          <w:szCs w:val="21"/>
          <w:spacing w:val="5"/>
        </w:rPr>
        <w:t>这一</w:t>
      </w:r>
      <w:r>
        <w:rPr>
          <w:rFonts w:ascii="SimSun" w:hAnsi="SimSun" w:eastAsia="SimSun" w:cs="SimSun"/>
          <w:sz w:val="21"/>
          <w:szCs w:val="21"/>
          <w:spacing w:val="7"/>
        </w:rPr>
        <w:t xml:space="preserve"> </w:t>
      </w:r>
      <w:r>
        <w:rPr>
          <w:rFonts w:ascii="SimSun" w:hAnsi="SimSun" w:eastAsia="SimSun" w:cs="SimSun"/>
          <w:sz w:val="21"/>
          <w:szCs w:val="21"/>
          <w:spacing w:val="13"/>
        </w:rPr>
        <w:t>界定将其定性于雇员</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employee</w:t>
      </w:r>
      <w:r>
        <w:rPr>
          <w:rFonts w:ascii="Times New Roman" w:hAnsi="Times New Roman" w:eastAsia="Times New Roman" w:cs="Times New Roman"/>
          <w:sz w:val="21"/>
          <w:szCs w:val="21"/>
          <w:spacing w:val="13"/>
        </w:rPr>
        <w:t>)   </w:t>
      </w:r>
      <w:r>
        <w:rPr>
          <w:rFonts w:ascii="SimSun" w:hAnsi="SimSun" w:eastAsia="SimSun" w:cs="SimSun"/>
          <w:sz w:val="21"/>
          <w:szCs w:val="21"/>
          <w:spacing w:val="13"/>
        </w:rPr>
        <w:t>与自雇者</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self</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employed</w:t>
      </w:r>
      <w:r>
        <w:rPr>
          <w:rFonts w:ascii="Times New Roman" w:hAnsi="Times New Roman" w:eastAsia="Times New Roman" w:cs="Times New Roman"/>
          <w:sz w:val="21"/>
          <w:szCs w:val="21"/>
          <w:spacing w:val="13"/>
        </w:rPr>
        <w:t>) </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的中</w:t>
      </w:r>
      <w:r>
        <w:rPr>
          <w:rFonts w:ascii="SimSun" w:hAnsi="SimSun" w:eastAsia="SimSun" w:cs="SimSun"/>
          <w:sz w:val="21"/>
          <w:szCs w:val="21"/>
        </w:rPr>
        <w:t xml:space="preserve"> </w:t>
      </w:r>
      <w:r>
        <w:rPr>
          <w:rFonts w:ascii="SimSun" w:hAnsi="SimSun" w:eastAsia="SimSun" w:cs="SimSun"/>
          <w:sz w:val="21"/>
          <w:szCs w:val="21"/>
          <w:spacing w:val="3"/>
        </w:rPr>
        <w:t>间形态，可受到劳动法的部分保护(如最低工资</w:t>
      </w:r>
      <w:r>
        <w:rPr>
          <w:rFonts w:ascii="SimSun" w:hAnsi="SimSun" w:eastAsia="SimSun" w:cs="SimSun"/>
          <w:sz w:val="21"/>
          <w:szCs w:val="21"/>
          <w:spacing w:val="2"/>
        </w:rPr>
        <w:t>、休息休假、职业</w:t>
      </w:r>
      <w:r>
        <w:rPr>
          <w:rFonts w:ascii="SimSun" w:hAnsi="SimSun" w:eastAsia="SimSun" w:cs="SimSun"/>
          <w:sz w:val="21"/>
          <w:szCs w:val="21"/>
        </w:rPr>
        <w:t xml:space="preserve"> </w:t>
      </w:r>
      <w:r>
        <w:rPr>
          <w:rFonts w:ascii="SimSun" w:hAnsi="SimSun" w:eastAsia="SimSun" w:cs="SimSun"/>
          <w:sz w:val="21"/>
          <w:szCs w:val="21"/>
          <w:spacing w:val="3"/>
        </w:rPr>
        <w:t>危害防护等)。</w:t>
      </w:r>
    </w:p>
    <w:p>
      <w:pPr>
        <w:ind w:left="105" w:right="20" w:firstLine="440"/>
        <w:spacing w:before="112" w:line="304" w:lineRule="auto"/>
        <w:jc w:val="both"/>
        <w:rPr>
          <w:rFonts w:ascii="SimSun" w:hAnsi="SimSun" w:eastAsia="SimSun" w:cs="SimSun"/>
          <w:sz w:val="21"/>
          <w:szCs w:val="21"/>
        </w:rPr>
      </w:pPr>
      <w:r>
        <w:rPr>
          <w:rFonts w:ascii="SimSun" w:hAnsi="SimSun" w:eastAsia="SimSun" w:cs="SimSun"/>
          <w:sz w:val="21"/>
          <w:szCs w:val="21"/>
          <w:spacing w:val="-3"/>
        </w:rPr>
        <w:t>西班牙的做法比较特别，其在2021年通过了一项法案</w:t>
      </w:r>
      <w:r>
        <w:rPr>
          <w:rFonts w:ascii="SimSun" w:hAnsi="SimSun" w:eastAsia="SimSun" w:cs="SimSun"/>
          <w:sz w:val="21"/>
          <w:szCs w:val="21"/>
          <w:spacing w:val="-4"/>
        </w:rPr>
        <w:t>，又被称</w:t>
      </w:r>
      <w:r>
        <w:rPr>
          <w:rFonts w:ascii="SimSun" w:hAnsi="SimSun" w:eastAsia="SimSun" w:cs="SimSun"/>
          <w:sz w:val="21"/>
          <w:szCs w:val="21"/>
        </w:rPr>
        <w:t xml:space="preserve"> </w:t>
      </w:r>
      <w:r>
        <w:rPr>
          <w:rFonts w:ascii="SimSun" w:hAnsi="SimSun" w:eastAsia="SimSun" w:cs="SimSun"/>
          <w:sz w:val="21"/>
          <w:szCs w:val="21"/>
          <w:spacing w:val="-13"/>
        </w:rPr>
        <w:t>为“骑手法”,否定了全盘“自雇”的模式，</w:t>
      </w:r>
      <w:r>
        <w:rPr>
          <w:rFonts w:ascii="SimSun" w:hAnsi="SimSun" w:eastAsia="SimSun" w:cs="SimSun"/>
          <w:sz w:val="21"/>
          <w:szCs w:val="21"/>
          <w:spacing w:val="71"/>
        </w:rPr>
        <w:t xml:space="preserve"> </w:t>
      </w:r>
      <w:r>
        <w:rPr>
          <w:rFonts w:ascii="SimSun" w:hAnsi="SimSun" w:eastAsia="SimSun" w:cs="SimSun"/>
          <w:sz w:val="21"/>
          <w:szCs w:val="21"/>
          <w:spacing w:val="-13"/>
        </w:rPr>
        <w:t>一刀切地要求外卖平台 </w:t>
      </w:r>
      <w:r>
        <w:rPr>
          <w:rFonts w:ascii="SimSun" w:hAnsi="SimSun" w:eastAsia="SimSun" w:cs="SimSun"/>
          <w:sz w:val="21"/>
          <w:szCs w:val="21"/>
          <w:spacing w:val="-11"/>
        </w:rPr>
        <w:t>与所有外卖小哥建立正式雇佣关系，确定固定工资和权益。其实际后 </w:t>
      </w:r>
      <w:r>
        <w:rPr>
          <w:rFonts w:ascii="SimSun" w:hAnsi="SimSun" w:eastAsia="SimSun" w:cs="SimSun"/>
          <w:sz w:val="21"/>
          <w:szCs w:val="21"/>
          <w:spacing w:val="-3"/>
        </w:rPr>
        <w:t>果有待观察，但短期内已经导致英国外卖公</w:t>
      </w:r>
      <w:r>
        <w:rPr>
          <w:rFonts w:ascii="SimSun" w:hAnsi="SimSun" w:eastAsia="SimSun" w:cs="SimSun"/>
          <w:sz w:val="21"/>
          <w:szCs w:val="21"/>
          <w:spacing w:val="-4"/>
        </w:rPr>
        <w:t>司</w:t>
      </w:r>
      <w:r>
        <w:rPr>
          <w:rFonts w:ascii="Times New Roman" w:hAnsi="Times New Roman" w:eastAsia="Times New Roman" w:cs="Times New Roman"/>
          <w:sz w:val="21"/>
          <w:szCs w:val="21"/>
          <w:spacing w:val="-4"/>
        </w:rPr>
        <w:t>Deliveroo</w:t>
      </w:r>
      <w:r>
        <w:rPr>
          <w:rFonts w:ascii="SimSun" w:hAnsi="SimSun" w:eastAsia="SimSun" w:cs="SimSun"/>
          <w:sz w:val="21"/>
          <w:szCs w:val="21"/>
          <w:spacing w:val="-4"/>
        </w:rPr>
        <w:t>从西班牙退 </w:t>
      </w:r>
      <w:r>
        <w:rPr>
          <w:rFonts w:ascii="SimSun" w:hAnsi="SimSun" w:eastAsia="SimSun" w:cs="SimSun"/>
          <w:sz w:val="21"/>
          <w:szCs w:val="21"/>
          <w:spacing w:val="-8"/>
        </w:rPr>
        <w:t>出，旗下3000名外卖员失业。其他平台一方面大幅缩减外卖员人数，</w:t>
      </w:r>
      <w:r>
        <w:rPr>
          <w:rFonts w:ascii="SimSun" w:hAnsi="SimSun" w:eastAsia="SimSun" w:cs="SimSun"/>
          <w:sz w:val="21"/>
          <w:szCs w:val="21"/>
          <w:spacing w:val="9"/>
        </w:rPr>
        <w:t xml:space="preserve"> </w:t>
      </w:r>
      <w:r>
        <w:rPr>
          <w:rFonts w:ascii="SimSun" w:hAnsi="SimSun" w:eastAsia="SimSun" w:cs="SimSun"/>
          <w:sz w:val="21"/>
          <w:szCs w:val="21"/>
          <w:spacing w:val="-11"/>
        </w:rPr>
        <w:t>另一方面让外卖员拥有更高自主性，例如自主提高配送价格，选择配 </w:t>
      </w:r>
      <w:r>
        <w:rPr>
          <w:rFonts w:ascii="SimSun" w:hAnsi="SimSun" w:eastAsia="SimSun" w:cs="SimSun"/>
          <w:sz w:val="21"/>
          <w:szCs w:val="21"/>
          <w:spacing w:val="-10"/>
        </w:rPr>
        <w:t>送距离，以及自主选择配送时间等措施。可以预计，这些措施将会导</w:t>
      </w:r>
      <w:r>
        <w:rPr>
          <w:rFonts w:ascii="SimSun" w:hAnsi="SimSun" w:eastAsia="SimSun" w:cs="SimSun"/>
          <w:sz w:val="21"/>
          <w:szCs w:val="21"/>
          <w:spacing w:val="2"/>
        </w:rPr>
        <w:t xml:space="preserve"> </w:t>
      </w:r>
      <w:r>
        <w:rPr>
          <w:rFonts w:ascii="SimSun" w:hAnsi="SimSun" w:eastAsia="SimSun" w:cs="SimSun"/>
          <w:sz w:val="21"/>
          <w:szCs w:val="21"/>
          <w:spacing w:val="-11"/>
        </w:rPr>
        <w:t>致配送成本上升，并可能将上升成本转嫁给消费者。</w:t>
      </w:r>
    </w:p>
    <w:p>
      <w:pPr>
        <w:ind w:left="105" w:firstLine="429"/>
        <w:spacing w:before="110" w:line="284" w:lineRule="auto"/>
        <w:jc w:val="both"/>
        <w:rPr>
          <w:rFonts w:ascii="SimSun" w:hAnsi="SimSun" w:eastAsia="SimSun" w:cs="SimSun"/>
          <w:sz w:val="21"/>
          <w:szCs w:val="21"/>
        </w:rPr>
      </w:pPr>
      <w:r>
        <w:rPr>
          <w:rFonts w:ascii="SimSun" w:hAnsi="SimSun" w:eastAsia="SimSun" w:cs="SimSun"/>
          <w:sz w:val="21"/>
          <w:szCs w:val="21"/>
          <w:spacing w:val="-3"/>
        </w:rPr>
        <w:t>关于我国平台用工的定性，现实中存在很大争议，相关</w:t>
      </w:r>
      <w:r>
        <w:rPr>
          <w:rFonts w:ascii="SimSun" w:hAnsi="SimSun" w:eastAsia="SimSun" w:cs="SimSun"/>
          <w:sz w:val="21"/>
          <w:szCs w:val="21"/>
          <w:spacing w:val="-4"/>
        </w:rPr>
        <w:t>劳动法</w:t>
      </w:r>
      <w:r>
        <w:rPr>
          <w:rFonts w:ascii="SimSun" w:hAnsi="SimSun" w:eastAsia="SimSun" w:cs="SimSun"/>
          <w:sz w:val="21"/>
          <w:szCs w:val="21"/>
        </w:rPr>
        <w:t xml:space="preserve"> </w:t>
      </w:r>
      <w:r>
        <w:rPr>
          <w:rFonts w:ascii="SimSun" w:hAnsi="SimSun" w:eastAsia="SimSun" w:cs="SimSun"/>
          <w:sz w:val="21"/>
          <w:szCs w:val="21"/>
          <w:spacing w:val="-4"/>
        </w:rPr>
        <w:t>律也尚未进行调整，但近年来有关部门已经陆续出台了一些改革劳</w:t>
      </w:r>
      <w:r>
        <w:rPr>
          <w:rFonts w:ascii="SimSun" w:hAnsi="SimSun" w:eastAsia="SimSun" w:cs="SimSun"/>
          <w:sz w:val="21"/>
          <w:szCs w:val="21"/>
          <w:spacing w:val="3"/>
        </w:rPr>
        <w:t xml:space="preserve">  </w:t>
      </w:r>
      <w:r>
        <w:rPr>
          <w:rFonts w:ascii="SimSun" w:hAnsi="SimSun" w:eastAsia="SimSun" w:cs="SimSun"/>
          <w:sz w:val="21"/>
          <w:szCs w:val="21"/>
          <w:spacing w:val="-1"/>
        </w:rPr>
        <w:t>动者权益保护体系和社会保障体系、保护平台劳动者权益的政策。</w:t>
      </w:r>
    </w:p>
    <w:p>
      <w:pPr>
        <w:pStyle w:val="BodyText"/>
        <w:spacing w:line="350" w:lineRule="auto"/>
        <w:rPr/>
      </w:pPr>
      <w:r/>
    </w:p>
    <w:p>
      <w:pPr>
        <w:ind w:left="444" w:right="51" w:hanging="339"/>
        <w:spacing w:before="52" w:line="263" w:lineRule="auto"/>
        <w:rPr>
          <w:rFonts w:ascii="SimSun" w:hAnsi="SimSun" w:eastAsia="SimSun" w:cs="SimSun"/>
          <w:sz w:val="16"/>
          <w:szCs w:val="16"/>
        </w:rPr>
      </w:pPr>
      <w:r>
        <w:rPr>
          <w:rFonts w:ascii="KaiTi" w:hAnsi="KaiTi" w:eastAsia="KaiTi" w:cs="KaiTi"/>
          <w:sz w:val="16"/>
          <w:szCs w:val="16"/>
          <w:spacing w:val="7"/>
        </w:rPr>
        <w:t>①</w:t>
      </w:r>
      <w:r>
        <w:rPr>
          <w:rFonts w:ascii="KaiTi" w:hAnsi="KaiTi" w:eastAsia="KaiTi" w:cs="KaiTi"/>
          <w:sz w:val="16"/>
          <w:szCs w:val="16"/>
          <w:spacing w:val="66"/>
        </w:rPr>
        <w:t xml:space="preserve"> </w:t>
      </w:r>
      <w:r>
        <w:rPr>
          <w:rFonts w:ascii="KaiTi" w:hAnsi="KaiTi" w:eastAsia="KaiTi" w:cs="KaiTi"/>
          <w:sz w:val="16"/>
          <w:szCs w:val="16"/>
          <w:spacing w:val="7"/>
        </w:rPr>
        <w:t>班小辉.超越劳动关系：平台经济下集体劳动权的扩张及路径.法学，2020</w:t>
      </w:r>
      <w:r>
        <w:rPr>
          <w:rFonts w:ascii="KaiTi" w:hAnsi="KaiTi" w:eastAsia="KaiTi" w:cs="KaiTi"/>
          <w:sz w:val="16"/>
          <w:szCs w:val="16"/>
          <w:spacing w:val="6"/>
        </w:rPr>
        <w:t>(8):</w:t>
      </w:r>
      <w:r>
        <w:rPr>
          <w:rFonts w:ascii="KaiTi" w:hAnsi="KaiTi" w:eastAsia="KaiTi" w:cs="KaiTi"/>
          <w:sz w:val="16"/>
          <w:szCs w:val="16"/>
        </w:rPr>
        <w:t xml:space="preserve"> </w:t>
      </w:r>
      <w:r>
        <w:rPr>
          <w:rFonts w:ascii="SimSun" w:hAnsi="SimSun" w:eastAsia="SimSun" w:cs="SimSun"/>
          <w:sz w:val="16"/>
          <w:szCs w:val="16"/>
          <w:spacing w:val="-3"/>
        </w:rPr>
        <w:t>160-175.</w:t>
      </w:r>
    </w:p>
    <w:p>
      <w:pPr>
        <w:ind w:left="444" w:right="77" w:hanging="339"/>
        <w:spacing w:before="102" w:line="272" w:lineRule="auto"/>
        <w:rPr>
          <w:rFonts w:ascii="KaiTi" w:hAnsi="KaiTi" w:eastAsia="KaiTi" w:cs="KaiTi"/>
          <w:sz w:val="16"/>
          <w:szCs w:val="16"/>
        </w:rPr>
      </w:pPr>
      <w:r>
        <w:rPr>
          <w:rFonts w:ascii="KaiTi" w:hAnsi="KaiTi" w:eastAsia="KaiTi" w:cs="KaiTi"/>
          <w:sz w:val="16"/>
          <w:szCs w:val="16"/>
          <w:spacing w:val="5"/>
        </w:rPr>
        <w:t>②</w:t>
      </w:r>
      <w:r>
        <w:rPr>
          <w:rFonts w:ascii="KaiTi" w:hAnsi="KaiTi" w:eastAsia="KaiTi" w:cs="KaiTi"/>
          <w:sz w:val="16"/>
          <w:szCs w:val="16"/>
          <w:spacing w:val="56"/>
          <w:w w:val="101"/>
        </w:rPr>
        <w:t xml:space="preserve"> </w:t>
      </w:r>
      <w:r>
        <w:rPr>
          <w:rFonts w:ascii="KaiTi" w:hAnsi="KaiTi" w:eastAsia="KaiTi" w:cs="KaiTi"/>
          <w:sz w:val="16"/>
          <w:szCs w:val="16"/>
          <w:spacing w:val="5"/>
        </w:rPr>
        <w:t>涂永前，王倩云.零工经济崛起与零工劳动者权益保护——来自美国《加州零工</w:t>
      </w:r>
      <w:r>
        <w:rPr>
          <w:rFonts w:ascii="KaiTi" w:hAnsi="KaiTi" w:eastAsia="KaiTi" w:cs="KaiTi"/>
          <w:sz w:val="16"/>
          <w:szCs w:val="16"/>
        </w:rPr>
        <w:t xml:space="preserve"> </w:t>
      </w:r>
      <w:r>
        <w:rPr>
          <w:rFonts w:ascii="KaiTi" w:hAnsi="KaiTi" w:eastAsia="KaiTi" w:cs="KaiTi"/>
          <w:sz w:val="16"/>
          <w:szCs w:val="16"/>
          <w:spacing w:val="10"/>
        </w:rPr>
        <w:t>经济法》的启示.中国劳动关系学院学报，2020,34(</w:t>
      </w:r>
      <w:r>
        <w:rPr>
          <w:rFonts w:ascii="KaiTi" w:hAnsi="KaiTi" w:eastAsia="KaiTi" w:cs="KaiTi"/>
          <w:sz w:val="16"/>
          <w:szCs w:val="16"/>
          <w:spacing w:val="9"/>
        </w:rPr>
        <w:t>5):87-99.</w:t>
      </w:r>
    </w:p>
    <w:p>
      <w:pPr>
        <w:spacing w:line="272" w:lineRule="auto"/>
        <w:sectPr>
          <w:headerReference w:type="default" r:id="rId205"/>
          <w:pgSz w:w="7330" w:h="12480"/>
          <w:pgMar w:top="555" w:right="434" w:bottom="400" w:left="715" w:header="392" w:footer="0" w:gutter="0"/>
        </w:sectPr>
        <w:rPr>
          <w:rFonts w:ascii="KaiTi" w:hAnsi="KaiTi" w:eastAsia="KaiTi" w:cs="KaiTi"/>
          <w:sz w:val="16"/>
          <w:szCs w:val="16"/>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before="65" w:line="332" w:lineRule="auto"/>
        <w:jc w:val="both"/>
        <w:rPr>
          <w:rFonts w:ascii="SimSun" w:hAnsi="SimSun" w:eastAsia="SimSun" w:cs="SimSun"/>
          <w:sz w:val="20"/>
          <w:szCs w:val="20"/>
        </w:rPr>
      </w:pPr>
      <w:r>
        <w:rPr>
          <w:rFonts w:ascii="SimSun" w:hAnsi="SimSun" w:eastAsia="SimSun" w:cs="SimSun"/>
          <w:sz w:val="20"/>
          <w:szCs w:val="20"/>
          <w:spacing w:val="6"/>
        </w:rPr>
        <w:t>以网约车平台为例，交通运输部、工信部、公安部等七部门联合颁</w:t>
      </w:r>
      <w:r>
        <w:rPr>
          <w:rFonts w:ascii="SimSun" w:hAnsi="SimSun" w:eastAsia="SimSun" w:cs="SimSun"/>
          <w:sz w:val="20"/>
          <w:szCs w:val="20"/>
          <w:spacing w:val="1"/>
        </w:rPr>
        <w:t xml:space="preserve">  </w:t>
      </w:r>
      <w:r>
        <w:rPr>
          <w:rFonts w:ascii="SimSun" w:hAnsi="SimSun" w:eastAsia="SimSun" w:cs="SimSun"/>
          <w:sz w:val="20"/>
          <w:szCs w:val="20"/>
          <w:spacing w:val="9"/>
        </w:rPr>
        <w:t>布的《网络预约出租汽车经营服务管理暂行办法》</w:t>
      </w:r>
      <w:r>
        <w:rPr>
          <w:rFonts w:ascii="SimSun" w:hAnsi="SimSun" w:eastAsia="SimSun" w:cs="SimSun"/>
          <w:sz w:val="20"/>
          <w:szCs w:val="20"/>
          <w:spacing w:val="8"/>
        </w:rPr>
        <w:t>(2016年11月施</w:t>
      </w:r>
      <w:r>
        <w:rPr>
          <w:rFonts w:ascii="SimSun" w:hAnsi="SimSun" w:eastAsia="SimSun" w:cs="SimSun"/>
          <w:sz w:val="20"/>
          <w:szCs w:val="20"/>
        </w:rPr>
        <w:t xml:space="preserve">  </w:t>
      </w:r>
      <w:r>
        <w:rPr>
          <w:rFonts w:ascii="SimSun" w:hAnsi="SimSun" w:eastAsia="SimSun" w:cs="SimSun"/>
          <w:sz w:val="20"/>
          <w:szCs w:val="20"/>
          <w:spacing w:val="2"/>
        </w:rPr>
        <w:t>行)第十八条规定，“网约车平台公司应当……与驾驶员签订多种形</w:t>
      </w:r>
      <w:r>
        <w:rPr>
          <w:rFonts w:ascii="SimSun" w:hAnsi="SimSun" w:eastAsia="SimSun" w:cs="SimSun"/>
          <w:sz w:val="20"/>
          <w:szCs w:val="20"/>
          <w:spacing w:val="9"/>
        </w:rPr>
        <w:t xml:space="preserve">  </w:t>
      </w:r>
      <w:r>
        <w:rPr>
          <w:rFonts w:ascii="SimSun" w:hAnsi="SimSun" w:eastAsia="SimSun" w:cs="SimSun"/>
          <w:sz w:val="20"/>
          <w:szCs w:val="20"/>
          <w:spacing w:val="2"/>
        </w:rPr>
        <w:t>式的劳动合同或者协议，明确双方的权利和义务”,这基本认可了平</w:t>
      </w:r>
      <w:r>
        <w:rPr>
          <w:rFonts w:ascii="SimSun" w:hAnsi="SimSun" w:eastAsia="SimSun" w:cs="SimSun"/>
          <w:sz w:val="20"/>
          <w:szCs w:val="20"/>
          <w:spacing w:val="9"/>
        </w:rPr>
        <w:t xml:space="preserve">  </w:t>
      </w:r>
      <w:r>
        <w:rPr>
          <w:rFonts w:ascii="SimSun" w:hAnsi="SimSun" w:eastAsia="SimSun" w:cs="SimSun"/>
          <w:sz w:val="20"/>
          <w:szCs w:val="20"/>
          <w:spacing w:val="5"/>
        </w:rPr>
        <w:t>台与劳动者之间劳资关系的多元化。2019年12月的国务院常务会议</w:t>
      </w:r>
      <w:r>
        <w:rPr>
          <w:rFonts w:ascii="SimSun" w:hAnsi="SimSun" w:eastAsia="SimSun" w:cs="SimSun"/>
          <w:sz w:val="20"/>
          <w:szCs w:val="20"/>
          <w:spacing w:val="9"/>
        </w:rPr>
        <w:t xml:space="preserve">  </w:t>
      </w:r>
      <w:r>
        <w:rPr>
          <w:rFonts w:ascii="SimSun" w:hAnsi="SimSun" w:eastAsia="SimSun" w:cs="SimSun"/>
          <w:sz w:val="20"/>
          <w:szCs w:val="20"/>
          <w:spacing w:val="6"/>
        </w:rPr>
        <w:t>提出要大力支持灵活就业并明确提出“启动新就业形态人员职业伤</w:t>
      </w:r>
      <w:r>
        <w:rPr>
          <w:rFonts w:ascii="SimSun" w:hAnsi="SimSun" w:eastAsia="SimSun" w:cs="SimSun"/>
          <w:sz w:val="20"/>
          <w:szCs w:val="20"/>
          <w:spacing w:val="2"/>
        </w:rPr>
        <w:t xml:space="preserve">  </w:t>
      </w:r>
      <w:r>
        <w:rPr>
          <w:rFonts w:ascii="SimSun" w:hAnsi="SimSun" w:eastAsia="SimSun" w:cs="SimSun"/>
          <w:sz w:val="20"/>
          <w:szCs w:val="20"/>
          <w:spacing w:val="3"/>
        </w:rPr>
        <w:t>害保障试点”,这一重要的信号表明我国将会在</w:t>
      </w:r>
      <w:r>
        <w:rPr>
          <w:rFonts w:ascii="SimSun" w:hAnsi="SimSun" w:eastAsia="SimSun" w:cs="SimSun"/>
          <w:sz w:val="20"/>
          <w:szCs w:val="20"/>
          <w:spacing w:val="2"/>
        </w:rPr>
        <w:t>传统的社保体系之外</w:t>
      </w:r>
      <w:r>
        <w:rPr>
          <w:rFonts w:ascii="SimSun" w:hAnsi="SimSun" w:eastAsia="SimSun" w:cs="SimSun"/>
          <w:sz w:val="20"/>
          <w:szCs w:val="20"/>
        </w:rPr>
        <w:t xml:space="preserve">  </w:t>
      </w:r>
      <w:r>
        <w:rPr>
          <w:rFonts w:ascii="SimSun" w:hAnsi="SimSun" w:eastAsia="SimSun" w:cs="SimSun"/>
          <w:sz w:val="20"/>
          <w:szCs w:val="20"/>
          <w:spacing w:val="5"/>
        </w:rPr>
        <w:t>寻求新路径去保障新业态劳动者的职业安全。2</w:t>
      </w:r>
      <w:r>
        <w:rPr>
          <w:rFonts w:ascii="SimSun" w:hAnsi="SimSun" w:eastAsia="SimSun" w:cs="SimSun"/>
          <w:sz w:val="20"/>
          <w:szCs w:val="20"/>
          <w:spacing w:val="4"/>
        </w:rPr>
        <w:t>021年7月，人社部、</w:t>
      </w:r>
      <w:r>
        <w:rPr>
          <w:rFonts w:ascii="SimSun" w:hAnsi="SimSun" w:eastAsia="SimSun" w:cs="SimSun"/>
          <w:sz w:val="20"/>
          <w:szCs w:val="20"/>
        </w:rPr>
        <w:t xml:space="preserve"> </w:t>
      </w:r>
      <w:r>
        <w:rPr>
          <w:rFonts w:ascii="SimSun" w:hAnsi="SimSun" w:eastAsia="SimSun" w:cs="SimSun"/>
          <w:sz w:val="20"/>
          <w:szCs w:val="20"/>
          <w:spacing w:val="6"/>
        </w:rPr>
        <w:t>发改委等八部门联合发布《关于维护新就业形态劳动者劳动保障权</w:t>
      </w:r>
      <w:r>
        <w:rPr>
          <w:rFonts w:ascii="SimSun" w:hAnsi="SimSun" w:eastAsia="SimSun" w:cs="SimSun"/>
          <w:sz w:val="20"/>
          <w:szCs w:val="20"/>
          <w:spacing w:val="1"/>
        </w:rPr>
        <w:t xml:space="preserve">  </w:t>
      </w:r>
      <w:r>
        <w:rPr>
          <w:rFonts w:ascii="SimSun" w:hAnsi="SimSun" w:eastAsia="SimSun" w:cs="SimSun"/>
          <w:sz w:val="20"/>
          <w:szCs w:val="20"/>
          <w:spacing w:val="3"/>
        </w:rPr>
        <w:t>益的指导意见》,对新就业形态劳动者的权益保障进行</w:t>
      </w:r>
      <w:r>
        <w:rPr>
          <w:rFonts w:ascii="SimSun" w:hAnsi="SimSun" w:eastAsia="SimSun" w:cs="SimSun"/>
          <w:sz w:val="20"/>
          <w:szCs w:val="20"/>
          <w:spacing w:val="2"/>
        </w:rPr>
        <w:t>了较为全面的</w:t>
      </w:r>
      <w:r>
        <w:rPr>
          <w:rFonts w:ascii="SimSun" w:hAnsi="SimSun" w:eastAsia="SimSun" w:cs="SimSun"/>
          <w:sz w:val="20"/>
          <w:szCs w:val="20"/>
        </w:rPr>
        <w:t xml:space="preserve">  </w:t>
      </w:r>
      <w:r>
        <w:rPr>
          <w:rFonts w:ascii="SimSun" w:hAnsi="SimSun" w:eastAsia="SimSun" w:cs="SimSun"/>
          <w:sz w:val="20"/>
          <w:szCs w:val="20"/>
          <w:spacing w:val="8"/>
        </w:rPr>
        <w:t>规定，其中特别强调了放开灵活就业人员在就业地参加基本养老、</w:t>
      </w:r>
      <w:r>
        <w:rPr>
          <w:rFonts w:ascii="SimSun" w:hAnsi="SimSun" w:eastAsia="SimSun" w:cs="SimSun"/>
          <w:sz w:val="20"/>
          <w:szCs w:val="20"/>
          <w:spacing w:val="17"/>
        </w:rPr>
        <w:t xml:space="preserve"> </w:t>
      </w:r>
      <w:r>
        <w:rPr>
          <w:rFonts w:ascii="SimSun" w:hAnsi="SimSun" w:eastAsia="SimSun" w:cs="SimSun"/>
          <w:sz w:val="20"/>
          <w:szCs w:val="20"/>
          <w:spacing w:val="6"/>
        </w:rPr>
        <w:t>基本医疗保险的户籍限制，以及开展平台灵活就业人员职业伤害保</w:t>
      </w:r>
      <w:r>
        <w:rPr>
          <w:rFonts w:ascii="SimSun" w:hAnsi="SimSun" w:eastAsia="SimSun" w:cs="SimSun"/>
          <w:sz w:val="20"/>
          <w:szCs w:val="20"/>
          <w:spacing w:val="1"/>
        </w:rPr>
        <w:t xml:space="preserve">  </w:t>
      </w:r>
      <w:r>
        <w:rPr>
          <w:rFonts w:ascii="SimSun" w:hAnsi="SimSun" w:eastAsia="SimSun" w:cs="SimSun"/>
          <w:sz w:val="20"/>
          <w:szCs w:val="20"/>
          <w:spacing w:val="-1"/>
        </w:rPr>
        <w:t>障试点。该意见正式引入了劳动“三分法”的概念，“不完全符合确</w:t>
      </w:r>
      <w:r>
        <w:rPr>
          <w:rFonts w:ascii="SimSun" w:hAnsi="SimSun" w:eastAsia="SimSun" w:cs="SimSun"/>
          <w:sz w:val="20"/>
          <w:szCs w:val="20"/>
          <w:spacing w:val="5"/>
        </w:rPr>
        <w:t xml:space="preserve">  </w:t>
      </w:r>
      <w:r>
        <w:rPr>
          <w:rFonts w:ascii="SimSun" w:hAnsi="SimSun" w:eastAsia="SimSun" w:cs="SimSun"/>
          <w:sz w:val="20"/>
          <w:szCs w:val="20"/>
          <w:spacing w:val="2"/>
        </w:rPr>
        <w:t>立劳动关系情形”的新业态用工第一次正式出现在大众视野。随后，</w:t>
      </w:r>
      <w:r>
        <w:rPr>
          <w:rFonts w:ascii="SimSun" w:hAnsi="SimSun" w:eastAsia="SimSun" w:cs="SimSun"/>
          <w:sz w:val="20"/>
          <w:szCs w:val="20"/>
          <w:spacing w:val="8"/>
        </w:rPr>
        <w:t xml:space="preserve"> </w:t>
      </w:r>
      <w:r>
        <w:rPr>
          <w:rFonts w:ascii="SimSun" w:hAnsi="SimSun" w:eastAsia="SimSun" w:cs="SimSun"/>
          <w:sz w:val="20"/>
          <w:szCs w:val="20"/>
          <w:spacing w:val="6"/>
        </w:rPr>
        <w:t>市场监管总局等七部门联合发布《关于落实网络餐饮平台责任切实</w:t>
      </w:r>
      <w:r>
        <w:rPr>
          <w:rFonts w:ascii="SimSun" w:hAnsi="SimSun" w:eastAsia="SimSun" w:cs="SimSun"/>
          <w:sz w:val="20"/>
          <w:szCs w:val="20"/>
          <w:spacing w:val="2"/>
        </w:rPr>
        <w:t xml:space="preserve">  </w:t>
      </w:r>
      <w:r>
        <w:rPr>
          <w:rFonts w:ascii="SimSun" w:hAnsi="SimSun" w:eastAsia="SimSun" w:cs="SimSun"/>
          <w:sz w:val="20"/>
          <w:szCs w:val="20"/>
          <w:spacing w:val="3"/>
        </w:rPr>
        <w:t>维护外卖送餐员权益的指导意见》,这一意见主要针对</w:t>
      </w:r>
      <w:r>
        <w:rPr>
          <w:rFonts w:ascii="SimSun" w:hAnsi="SimSun" w:eastAsia="SimSun" w:cs="SimSun"/>
          <w:sz w:val="20"/>
          <w:szCs w:val="20"/>
          <w:spacing w:val="2"/>
        </w:rPr>
        <w:t>外卖送餐员的</w:t>
      </w:r>
      <w:r>
        <w:rPr>
          <w:rFonts w:ascii="SimSun" w:hAnsi="SimSun" w:eastAsia="SimSun" w:cs="SimSun"/>
          <w:sz w:val="20"/>
          <w:szCs w:val="20"/>
        </w:rPr>
        <w:t xml:space="preserve">  </w:t>
      </w:r>
      <w:r>
        <w:rPr>
          <w:rFonts w:ascii="SimSun" w:hAnsi="SimSun" w:eastAsia="SimSun" w:cs="SimSun"/>
          <w:sz w:val="20"/>
          <w:szCs w:val="20"/>
          <w:spacing w:val="6"/>
        </w:rPr>
        <w:t>劳动收入、劳动安全、社会保障、就业环境等，提出了保障其正当</w:t>
      </w:r>
    </w:p>
    <w:p>
      <w:pPr>
        <w:spacing w:line="219" w:lineRule="auto"/>
        <w:rPr>
          <w:rFonts w:ascii="SimSun" w:hAnsi="SimSun" w:eastAsia="SimSun" w:cs="SimSun"/>
          <w:sz w:val="20"/>
          <w:szCs w:val="20"/>
        </w:rPr>
      </w:pPr>
      <w:r>
        <w:rPr>
          <w:rFonts w:ascii="SimSun" w:hAnsi="SimSun" w:eastAsia="SimSun" w:cs="SimSun"/>
          <w:sz w:val="20"/>
          <w:szCs w:val="20"/>
          <w:spacing w:val="-4"/>
        </w:rPr>
        <w:t>权益的全方位要求。</w:t>
      </w:r>
    </w:p>
    <w:p>
      <w:pPr>
        <w:ind w:right="19" w:firstLine="420"/>
        <w:spacing w:before="124" w:line="332" w:lineRule="auto"/>
        <w:jc w:val="both"/>
        <w:rPr>
          <w:rFonts w:ascii="SimSun" w:hAnsi="SimSun" w:eastAsia="SimSun" w:cs="SimSun"/>
          <w:sz w:val="20"/>
          <w:szCs w:val="20"/>
        </w:rPr>
      </w:pPr>
      <w:r>
        <w:rPr>
          <w:rFonts w:ascii="SimSun" w:hAnsi="SimSun" w:eastAsia="SimSun" w:cs="SimSun"/>
          <w:sz w:val="20"/>
          <w:szCs w:val="20"/>
          <w:spacing w:val="17"/>
        </w:rPr>
        <w:t>在2021年8月18日国务院政策例行吹风会上，</w:t>
      </w:r>
      <w:r>
        <w:rPr>
          <w:rFonts w:ascii="SimSun" w:hAnsi="SimSun" w:eastAsia="SimSun" w:cs="SimSun"/>
          <w:sz w:val="20"/>
          <w:szCs w:val="20"/>
          <w:spacing w:val="16"/>
        </w:rPr>
        <w:t>人社部指出现</w:t>
      </w:r>
      <w:r>
        <w:rPr>
          <w:rFonts w:ascii="SimSun" w:hAnsi="SimSun" w:eastAsia="SimSun" w:cs="SimSun"/>
          <w:sz w:val="20"/>
          <w:szCs w:val="20"/>
        </w:rPr>
        <w:t xml:space="preserve"> </w:t>
      </w:r>
      <w:r>
        <w:rPr>
          <w:rFonts w:ascii="SimSun" w:hAnsi="SimSun" w:eastAsia="SimSun" w:cs="SimSun"/>
          <w:sz w:val="20"/>
          <w:szCs w:val="20"/>
          <w:spacing w:val="-6"/>
        </w:rPr>
        <w:t>阶段补齐劳动者权益保障短板的三方面工作包括：</w:t>
      </w:r>
      <w:r>
        <w:rPr>
          <w:rFonts w:ascii="SimSun" w:hAnsi="SimSun" w:eastAsia="SimSun" w:cs="SimSun"/>
          <w:sz w:val="20"/>
          <w:szCs w:val="20"/>
          <w:spacing w:val="57"/>
        </w:rPr>
        <w:t xml:space="preserve"> </w:t>
      </w:r>
      <w:r>
        <w:rPr>
          <w:rFonts w:ascii="SimSun" w:hAnsi="SimSun" w:eastAsia="SimSun" w:cs="SimSun"/>
          <w:sz w:val="20"/>
          <w:szCs w:val="20"/>
          <w:spacing w:val="-6"/>
        </w:rPr>
        <w:t>一是明确将不完</w:t>
      </w:r>
      <w:r>
        <w:rPr>
          <w:rFonts w:ascii="SimSun" w:hAnsi="SimSun" w:eastAsia="SimSun" w:cs="SimSun"/>
          <w:sz w:val="20"/>
          <w:szCs w:val="20"/>
          <w:spacing w:val="-7"/>
        </w:rPr>
        <w:t>全 </w:t>
      </w:r>
      <w:r>
        <w:rPr>
          <w:rFonts w:ascii="SimSun" w:hAnsi="SimSun" w:eastAsia="SimSun" w:cs="SimSun"/>
          <w:sz w:val="20"/>
          <w:szCs w:val="20"/>
        </w:rPr>
        <w:t>符合确立劳动关系情形的新就业形态劳动者</w:t>
      </w:r>
      <w:r>
        <w:rPr>
          <w:rFonts w:ascii="SimSun" w:hAnsi="SimSun" w:eastAsia="SimSun" w:cs="SimSun"/>
          <w:sz w:val="20"/>
          <w:szCs w:val="20"/>
          <w:spacing w:val="-1"/>
        </w:rPr>
        <w:t>纳入最低工资制度保障范</w:t>
      </w:r>
      <w:r>
        <w:rPr>
          <w:rFonts w:ascii="SimSun" w:hAnsi="SimSun" w:eastAsia="SimSun" w:cs="SimSun"/>
          <w:sz w:val="20"/>
          <w:szCs w:val="20"/>
        </w:rPr>
        <w:t xml:space="preserve"> </w:t>
      </w:r>
      <w:r>
        <w:rPr>
          <w:rFonts w:ascii="SimSun" w:hAnsi="SimSun" w:eastAsia="SimSun" w:cs="SimSun"/>
          <w:sz w:val="20"/>
          <w:szCs w:val="20"/>
          <w:spacing w:val="-1"/>
        </w:rPr>
        <w:t>围，企业要按时足额支付劳动报酬，科学确定劳动者的工作量和劳动 </w:t>
      </w:r>
      <w:r>
        <w:rPr>
          <w:rFonts w:ascii="SimSun" w:hAnsi="SimSun" w:eastAsia="SimSun" w:cs="SimSun"/>
          <w:sz w:val="20"/>
          <w:szCs w:val="20"/>
          <w:spacing w:val="-1"/>
        </w:rPr>
        <w:t>强度，合理确定休息办法；二是对企业制定修订直接涉及劳动者权益</w:t>
      </w:r>
      <w:r>
        <w:rPr>
          <w:rFonts w:ascii="SimSun" w:hAnsi="SimSun" w:eastAsia="SimSun" w:cs="SimSun"/>
          <w:sz w:val="20"/>
          <w:szCs w:val="20"/>
          <w:spacing w:val="16"/>
        </w:rPr>
        <w:t xml:space="preserve"> </w:t>
      </w:r>
      <w:r>
        <w:rPr>
          <w:rFonts w:ascii="SimSun" w:hAnsi="SimSun" w:eastAsia="SimSun" w:cs="SimSun"/>
          <w:sz w:val="20"/>
          <w:szCs w:val="20"/>
          <w:spacing w:val="2"/>
        </w:rPr>
        <w:t>的制度规则和平台算法，要充分听取工会和</w:t>
      </w:r>
      <w:r>
        <w:rPr>
          <w:rFonts w:ascii="SimSun" w:hAnsi="SimSun" w:eastAsia="SimSun" w:cs="SimSun"/>
          <w:sz w:val="20"/>
          <w:szCs w:val="20"/>
          <w:spacing w:val="1"/>
        </w:rPr>
        <w:t>劳动者代表的意见建议，</w:t>
      </w:r>
      <w:r>
        <w:rPr>
          <w:rFonts w:ascii="SimSun" w:hAnsi="SimSun" w:eastAsia="SimSun" w:cs="SimSun"/>
          <w:sz w:val="20"/>
          <w:szCs w:val="20"/>
        </w:rPr>
        <w:t xml:space="preserve"> </w:t>
      </w:r>
      <w:r>
        <w:rPr>
          <w:rFonts w:ascii="SimSun" w:hAnsi="SimSun" w:eastAsia="SimSun" w:cs="SimSun"/>
          <w:sz w:val="20"/>
          <w:szCs w:val="20"/>
          <w:spacing w:val="-1"/>
        </w:rPr>
        <w:t>并公示告知劳动者；三是强化职业伤害保障。此外，在公平就业、参</w:t>
      </w:r>
      <w:r>
        <w:rPr>
          <w:rFonts w:ascii="SimSun" w:hAnsi="SimSun" w:eastAsia="SimSun" w:cs="SimSun"/>
          <w:sz w:val="20"/>
          <w:szCs w:val="20"/>
          <w:spacing w:val="16"/>
        </w:rPr>
        <w:t xml:space="preserve"> </w:t>
      </w:r>
      <w:r>
        <w:rPr>
          <w:rFonts w:ascii="SimSun" w:hAnsi="SimSun" w:eastAsia="SimSun" w:cs="SimSun"/>
          <w:sz w:val="20"/>
          <w:szCs w:val="20"/>
        </w:rPr>
        <w:t>加职工基本养老保险、医疗保险以及城乡居民保</w:t>
      </w:r>
      <w:r>
        <w:rPr>
          <w:rFonts w:ascii="SimSun" w:hAnsi="SimSun" w:eastAsia="SimSun" w:cs="SimSun"/>
          <w:sz w:val="20"/>
          <w:szCs w:val="20"/>
          <w:spacing w:val="-1"/>
        </w:rPr>
        <w:t>险等方面，政策鼓励</w:t>
      </w:r>
    </w:p>
    <w:p>
      <w:pPr>
        <w:spacing w:line="218" w:lineRule="auto"/>
        <w:rPr>
          <w:rFonts w:ascii="SimSun" w:hAnsi="SimSun" w:eastAsia="SimSun" w:cs="SimSun"/>
          <w:sz w:val="20"/>
          <w:szCs w:val="20"/>
        </w:rPr>
      </w:pPr>
      <w:r>
        <w:rPr>
          <w:rFonts w:ascii="SimSun" w:hAnsi="SimSun" w:eastAsia="SimSun" w:cs="SimSun"/>
          <w:sz w:val="20"/>
          <w:szCs w:val="20"/>
        </w:rPr>
        <w:t>有条件的平台企业扩大参加城镇职工基本养老</w:t>
      </w:r>
      <w:r>
        <w:rPr>
          <w:rFonts w:ascii="SimSun" w:hAnsi="SimSun" w:eastAsia="SimSun" w:cs="SimSun"/>
          <w:sz w:val="20"/>
          <w:szCs w:val="20"/>
          <w:spacing w:val="-1"/>
        </w:rPr>
        <w:t>保险的员工数量；对服</w:t>
      </w:r>
    </w:p>
    <w:p>
      <w:pPr>
        <w:spacing w:line="218" w:lineRule="auto"/>
        <w:sectPr>
          <w:headerReference w:type="default" r:id="rId206"/>
          <w:pgSz w:w="7330" w:h="12480"/>
          <w:pgMar w:top="825" w:right="780" w:bottom="400" w:left="479" w:header="683" w:footer="0" w:gutter="0"/>
        </w:sectPr>
        <w:rPr>
          <w:rFonts w:ascii="SimSun" w:hAnsi="SimSun" w:eastAsia="SimSun" w:cs="SimSun"/>
          <w:sz w:val="20"/>
          <w:szCs w:val="20"/>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69"/>
        <w:spacing w:before="68" w:line="293" w:lineRule="auto"/>
        <w:jc w:val="both"/>
        <w:rPr>
          <w:rFonts w:ascii="SimSun" w:hAnsi="SimSun" w:eastAsia="SimSun" w:cs="SimSun"/>
          <w:sz w:val="21"/>
          <w:szCs w:val="21"/>
        </w:rPr>
      </w:pPr>
      <w:r>
        <w:rPr>
          <w:rFonts w:ascii="SimSun" w:hAnsi="SimSun" w:eastAsia="SimSun" w:cs="SimSun"/>
          <w:sz w:val="21"/>
          <w:szCs w:val="21"/>
          <w:spacing w:val="-10"/>
        </w:rPr>
        <w:t>务多平台的多元化零工就业者，鼓励按照城乡居民保险的标准参加医</w:t>
      </w:r>
      <w:r>
        <w:rPr>
          <w:rFonts w:ascii="SimSun" w:hAnsi="SimSun" w:eastAsia="SimSun" w:cs="SimSun"/>
          <w:sz w:val="21"/>
          <w:szCs w:val="21"/>
          <w:spacing w:val="1"/>
        </w:rPr>
        <w:t xml:space="preserve"> </w:t>
      </w:r>
      <w:r>
        <w:rPr>
          <w:rFonts w:ascii="SimSun" w:hAnsi="SimSun" w:eastAsia="SimSun" w:cs="SimSun"/>
          <w:sz w:val="21"/>
          <w:szCs w:val="21"/>
          <w:spacing w:val="-3"/>
        </w:rPr>
        <w:t>疗和养老保险；在不具备以上两种条件时，探索把五</w:t>
      </w:r>
      <w:r>
        <w:rPr>
          <w:rFonts w:ascii="SimSun" w:hAnsi="SimSun" w:eastAsia="SimSun" w:cs="SimSun"/>
          <w:sz w:val="21"/>
          <w:szCs w:val="21"/>
          <w:spacing w:val="-4"/>
        </w:rPr>
        <w:t>险一金进行分</w:t>
      </w:r>
      <w:r>
        <w:rPr>
          <w:rFonts w:ascii="SimSun" w:hAnsi="SimSun" w:eastAsia="SimSun" w:cs="SimSun"/>
          <w:sz w:val="21"/>
          <w:szCs w:val="21"/>
        </w:rPr>
        <w:t xml:space="preserve"> </w:t>
      </w:r>
      <w:r>
        <w:rPr>
          <w:rFonts w:ascii="SimSun" w:hAnsi="SimSun" w:eastAsia="SimSun" w:cs="SimSun"/>
          <w:sz w:val="21"/>
          <w:szCs w:val="21"/>
          <w:spacing w:val="-10"/>
        </w:rPr>
        <w:t>解，在不捆绑养老金和医保的前提下先缴纳其中最紧迫的部分，</w:t>
      </w:r>
      <w:r>
        <w:rPr>
          <w:rFonts w:ascii="SimSun" w:hAnsi="SimSun" w:eastAsia="SimSun" w:cs="SimSun"/>
          <w:sz w:val="21"/>
          <w:szCs w:val="21"/>
          <w:spacing w:val="-11"/>
        </w:rPr>
        <w:t>以便</w:t>
      </w:r>
      <w:r>
        <w:rPr>
          <w:rFonts w:ascii="SimSun" w:hAnsi="SimSun" w:eastAsia="SimSun" w:cs="SimSun"/>
          <w:sz w:val="21"/>
          <w:szCs w:val="21"/>
        </w:rPr>
        <w:t xml:space="preserve"> </w:t>
      </w:r>
      <w:r>
        <w:rPr>
          <w:rFonts w:ascii="SimSun" w:hAnsi="SimSun" w:eastAsia="SimSun" w:cs="SimSun"/>
          <w:sz w:val="21"/>
          <w:szCs w:val="21"/>
          <w:spacing w:val="-10"/>
        </w:rPr>
        <w:t>在不大幅度增加用工成本的基础上让灵活就业人员尽早得到最需要的</w:t>
      </w:r>
      <w:r>
        <w:rPr>
          <w:rFonts w:ascii="SimSun" w:hAnsi="SimSun" w:eastAsia="SimSun" w:cs="SimSun"/>
          <w:sz w:val="21"/>
          <w:szCs w:val="21"/>
          <w:spacing w:val="4"/>
        </w:rPr>
        <w:t xml:space="preserve"> </w:t>
      </w:r>
      <w:r>
        <w:rPr>
          <w:rFonts w:ascii="SimSun" w:hAnsi="SimSun" w:eastAsia="SimSun" w:cs="SimSun"/>
          <w:sz w:val="21"/>
          <w:szCs w:val="21"/>
          <w:spacing w:val="-10"/>
        </w:rPr>
        <w:t>保障。目前，广东等地开始试点允许平台企业为网约车、外卖</w:t>
      </w:r>
      <w:r>
        <w:rPr>
          <w:rFonts w:ascii="SimSun" w:hAnsi="SimSun" w:eastAsia="SimSun" w:cs="SimSun"/>
          <w:sz w:val="21"/>
          <w:szCs w:val="21"/>
          <w:spacing w:val="-11"/>
        </w:rPr>
        <w:t>、快递</w:t>
      </w:r>
      <w:r>
        <w:rPr>
          <w:rFonts w:ascii="SimSun" w:hAnsi="SimSun" w:eastAsia="SimSun" w:cs="SimSun"/>
          <w:sz w:val="21"/>
          <w:szCs w:val="21"/>
        </w:rPr>
        <w:t xml:space="preserve"> </w:t>
      </w:r>
      <w:r>
        <w:rPr>
          <w:rFonts w:ascii="SimSun" w:hAnsi="SimSun" w:eastAsia="SimSun" w:cs="SimSun"/>
          <w:sz w:val="21"/>
          <w:szCs w:val="21"/>
          <w:spacing w:val="-12"/>
        </w:rPr>
        <w:t>劳务等新业态从业人员单独缴纳工伤保险。</w:t>
      </w:r>
    </w:p>
    <w:p>
      <w:pPr>
        <w:pStyle w:val="BodyText"/>
        <w:spacing w:line="404" w:lineRule="auto"/>
        <w:rPr/>
      </w:pPr>
      <w:r/>
    </w:p>
    <w:p>
      <w:pPr>
        <w:ind w:left="834"/>
        <w:spacing w:before="104" w:line="219" w:lineRule="auto"/>
        <w:rPr>
          <w:rFonts w:ascii="SimSun" w:hAnsi="SimSun" w:eastAsia="SimSun" w:cs="SimSun"/>
          <w:sz w:val="32"/>
          <w:szCs w:val="32"/>
        </w:rPr>
      </w:pPr>
      <w:r>
        <w:rPr>
          <w:rFonts w:ascii="SimSun" w:hAnsi="SimSun" w:eastAsia="SimSun" w:cs="SimSun"/>
          <w:sz w:val="32"/>
          <w:szCs w:val="32"/>
          <w:b/>
          <w:bCs/>
          <w:spacing w:val="-5"/>
        </w:rPr>
        <w:t>平台经济崛起对收入分配的影响</w:t>
      </w:r>
    </w:p>
    <w:p>
      <w:pPr>
        <w:pStyle w:val="BodyText"/>
        <w:spacing w:line="268" w:lineRule="auto"/>
        <w:rPr/>
      </w:pPr>
      <w:r/>
    </w:p>
    <w:p>
      <w:pPr>
        <w:ind w:firstLine="440"/>
        <w:spacing w:before="68" w:line="298" w:lineRule="auto"/>
        <w:jc w:val="both"/>
        <w:rPr>
          <w:rFonts w:ascii="SimSun" w:hAnsi="SimSun" w:eastAsia="SimSun" w:cs="SimSun"/>
          <w:sz w:val="21"/>
          <w:szCs w:val="21"/>
        </w:rPr>
      </w:pPr>
      <w:r>
        <w:rPr>
          <w:rFonts w:ascii="SimSun" w:hAnsi="SimSun" w:eastAsia="SimSun" w:cs="SimSun"/>
          <w:sz w:val="21"/>
          <w:szCs w:val="21"/>
          <w:spacing w:val="-3"/>
        </w:rPr>
        <w:t>收入分配问题是当前全球各国共同面临的重要问题，也与平台</w:t>
      </w:r>
      <w:r>
        <w:rPr>
          <w:rFonts w:ascii="SimSun" w:hAnsi="SimSun" w:eastAsia="SimSun" w:cs="SimSun"/>
          <w:sz w:val="21"/>
          <w:szCs w:val="21"/>
          <w:spacing w:val="12"/>
        </w:rPr>
        <w:t xml:space="preserve"> </w:t>
      </w:r>
      <w:r>
        <w:rPr>
          <w:rFonts w:ascii="SimSun" w:hAnsi="SimSun" w:eastAsia="SimSun" w:cs="SimSun"/>
          <w:sz w:val="21"/>
          <w:szCs w:val="21"/>
          <w:spacing w:val="4"/>
        </w:rPr>
        <w:t>经济的治理密切相关。过去20年以来，受</w:t>
      </w:r>
      <w:r>
        <w:rPr>
          <w:rFonts w:ascii="SimSun" w:hAnsi="SimSun" w:eastAsia="SimSun" w:cs="SimSun"/>
          <w:sz w:val="21"/>
          <w:szCs w:val="21"/>
          <w:spacing w:val="3"/>
        </w:rPr>
        <w:t>益于优厚的税制和宽松 </w:t>
      </w:r>
      <w:r>
        <w:rPr>
          <w:rFonts w:ascii="SimSun" w:hAnsi="SimSun" w:eastAsia="SimSun" w:cs="SimSun"/>
          <w:sz w:val="21"/>
          <w:szCs w:val="21"/>
          <w:spacing w:val="-3"/>
        </w:rPr>
        <w:t>的监管环境，欧美国家一些大型互联网科技</w:t>
      </w:r>
      <w:r>
        <w:rPr>
          <w:rFonts w:ascii="SimSun" w:hAnsi="SimSun" w:eastAsia="SimSun" w:cs="SimSun"/>
          <w:sz w:val="21"/>
          <w:szCs w:val="21"/>
          <w:spacing w:val="-4"/>
        </w:rPr>
        <w:t>公司崛起。以成本加成 </w:t>
      </w:r>
      <w:r>
        <w:rPr>
          <w:rFonts w:ascii="SimSun" w:hAnsi="SimSun" w:eastAsia="SimSun" w:cs="SimSun"/>
          <w:sz w:val="21"/>
          <w:szCs w:val="21"/>
          <w:spacing w:val="-8"/>
        </w:rPr>
        <w:t>的增幅来衡量，其垄断程度不断强化，这也助推了贫富差距的扩大。</w:t>
      </w:r>
      <w:r>
        <w:rPr>
          <w:rFonts w:ascii="SimSun" w:hAnsi="SimSun" w:eastAsia="SimSun" w:cs="SimSun"/>
          <w:sz w:val="21"/>
          <w:szCs w:val="21"/>
          <w:spacing w:val="14"/>
        </w:rPr>
        <w:t xml:space="preserve"> </w:t>
      </w:r>
      <w:r>
        <w:rPr>
          <w:rFonts w:ascii="SimSun" w:hAnsi="SimSun" w:eastAsia="SimSun" w:cs="SimSun"/>
          <w:sz w:val="21"/>
          <w:szCs w:val="21"/>
          <w:spacing w:val="-3"/>
        </w:rPr>
        <w:t>有学者研究发现，贫富差距的扩大几乎与经</w:t>
      </w:r>
      <w:r>
        <w:rPr>
          <w:rFonts w:ascii="SimSun" w:hAnsi="SimSun" w:eastAsia="SimSun" w:cs="SimSun"/>
          <w:sz w:val="21"/>
          <w:szCs w:val="21"/>
          <w:spacing w:val="-4"/>
        </w:rPr>
        <w:t>济中的一切矛盾，例如 </w:t>
      </w:r>
      <w:r>
        <w:rPr>
          <w:rFonts w:ascii="SimSun" w:hAnsi="SimSun" w:eastAsia="SimSun" w:cs="SimSun"/>
          <w:sz w:val="21"/>
          <w:szCs w:val="21"/>
          <w:spacing w:val="-3"/>
        </w:rPr>
        <w:t>赤字、债务、违约、低生育率、低增长、低</w:t>
      </w:r>
      <w:r>
        <w:rPr>
          <w:rFonts w:ascii="SimSun" w:hAnsi="SimSun" w:eastAsia="SimSun" w:cs="SimSun"/>
          <w:sz w:val="21"/>
          <w:szCs w:val="21"/>
          <w:spacing w:val="-4"/>
        </w:rPr>
        <w:t>通胀、低利率、价值观 </w:t>
      </w:r>
      <w:r>
        <w:rPr>
          <w:rFonts w:ascii="SimSun" w:hAnsi="SimSun" w:eastAsia="SimSun" w:cs="SimSun"/>
          <w:sz w:val="21"/>
          <w:szCs w:val="21"/>
          <w:spacing w:val="-3"/>
        </w:rPr>
        <w:t>混乱等相关联。近年来，监管政策出现了转</w:t>
      </w:r>
      <w:r>
        <w:rPr>
          <w:rFonts w:ascii="SimSun" w:hAnsi="SimSun" w:eastAsia="SimSun" w:cs="SimSun"/>
          <w:sz w:val="21"/>
          <w:szCs w:val="21"/>
          <w:spacing w:val="-4"/>
        </w:rPr>
        <w:t>向，欧美多国除了纷纷 </w:t>
      </w:r>
      <w:r>
        <w:rPr>
          <w:rFonts w:ascii="SimSun" w:hAnsi="SimSun" w:eastAsia="SimSun" w:cs="SimSun"/>
          <w:sz w:val="21"/>
          <w:szCs w:val="21"/>
          <w:spacing w:val="-3"/>
        </w:rPr>
        <w:t>实施税制改革以缩小贫富差距外，还启动了</w:t>
      </w:r>
      <w:r>
        <w:rPr>
          <w:rFonts w:ascii="SimSun" w:hAnsi="SimSun" w:eastAsia="SimSun" w:cs="SimSun"/>
          <w:sz w:val="21"/>
          <w:szCs w:val="21"/>
          <w:spacing w:val="-4"/>
        </w:rPr>
        <w:t>针对大型科技企业的反 </w:t>
      </w:r>
      <w:r>
        <w:rPr>
          <w:rFonts w:ascii="SimSun" w:hAnsi="SimSun" w:eastAsia="SimSun" w:cs="SimSun"/>
          <w:sz w:val="21"/>
          <w:szCs w:val="21"/>
          <w:spacing w:val="-10"/>
        </w:rPr>
        <w:t>垄断与严监管。</w:t>
      </w:r>
    </w:p>
    <w:p>
      <w:pPr>
        <w:ind w:firstLine="440"/>
        <w:spacing w:before="168" w:line="326" w:lineRule="auto"/>
        <w:jc w:val="both"/>
        <w:rPr>
          <w:rFonts w:ascii="SimSun" w:hAnsi="SimSun" w:eastAsia="SimSun" w:cs="SimSun"/>
          <w:sz w:val="21"/>
          <w:szCs w:val="21"/>
        </w:rPr>
      </w:pPr>
      <w:r>
        <w:rPr>
          <w:rFonts w:ascii="SimSun" w:hAnsi="SimSun" w:eastAsia="SimSun" w:cs="SimSun"/>
          <w:sz w:val="21"/>
          <w:szCs w:val="21"/>
          <w:spacing w:val="-11"/>
        </w:rPr>
        <w:t>整体而言，平台经济的崛起，既可能通过增加就业与收入机会改</w:t>
      </w:r>
      <w:r>
        <w:rPr>
          <w:rFonts w:ascii="SimSun" w:hAnsi="SimSun" w:eastAsia="SimSun" w:cs="SimSun"/>
          <w:sz w:val="21"/>
          <w:szCs w:val="21"/>
          <w:spacing w:val="15"/>
        </w:rPr>
        <w:t xml:space="preserve"> </w:t>
      </w:r>
      <w:r>
        <w:rPr>
          <w:rFonts w:ascii="SimSun" w:hAnsi="SimSun" w:eastAsia="SimSun" w:cs="SimSun"/>
          <w:sz w:val="21"/>
          <w:szCs w:val="21"/>
          <w:spacing w:val="-8"/>
        </w:rPr>
        <w:t>善社会的整体收入分配状况，又可能通过改变劳资双方的力量对比，</w:t>
      </w:r>
    </w:p>
    <w:p>
      <w:pPr>
        <w:spacing w:line="219" w:lineRule="auto"/>
        <w:rPr>
          <w:rFonts w:ascii="SimSun" w:hAnsi="SimSun" w:eastAsia="SimSun" w:cs="SimSun"/>
          <w:sz w:val="21"/>
          <w:szCs w:val="21"/>
        </w:rPr>
      </w:pPr>
      <w:r>
        <w:rPr>
          <w:rFonts w:ascii="SimSun" w:hAnsi="SimSun" w:eastAsia="SimSun" w:cs="SimSun"/>
          <w:sz w:val="21"/>
          <w:szCs w:val="21"/>
          <w:spacing w:val="-10"/>
        </w:rPr>
        <w:t>以及扩大行业、地区之间的差距而对收入分配状况产</w:t>
      </w:r>
      <w:r>
        <w:rPr>
          <w:rFonts w:ascii="SimSun" w:hAnsi="SimSun" w:eastAsia="SimSun" w:cs="SimSun"/>
          <w:sz w:val="21"/>
          <w:szCs w:val="21"/>
          <w:spacing w:val="-11"/>
        </w:rPr>
        <w:t>生负面影响。</w:t>
      </w:r>
    </w:p>
    <w:p>
      <w:pPr>
        <w:pStyle w:val="BodyText"/>
        <w:spacing w:line="373" w:lineRule="auto"/>
        <w:rPr/>
      </w:pPr>
      <w:r/>
    </w:p>
    <w:p>
      <w:pPr>
        <w:ind w:left="3"/>
        <w:spacing w:before="82" w:line="221" w:lineRule="auto"/>
        <w:rPr>
          <w:rFonts w:ascii="SimHei" w:hAnsi="SimHei" w:eastAsia="SimHei" w:cs="SimHei"/>
          <w:sz w:val="25"/>
          <w:szCs w:val="25"/>
        </w:rPr>
      </w:pPr>
      <w:r>
        <w:rPr>
          <w:rFonts w:ascii="SimHei" w:hAnsi="SimHei" w:eastAsia="SimHei" w:cs="SimHei"/>
          <w:sz w:val="25"/>
          <w:szCs w:val="25"/>
          <w:b/>
          <w:bCs/>
          <w:spacing w:val="-12"/>
        </w:rPr>
        <w:t>平台经济发展对收入分配改善的正面作用</w:t>
      </w:r>
    </w:p>
    <w:p>
      <w:pPr>
        <w:pStyle w:val="BodyText"/>
        <w:spacing w:line="343" w:lineRule="auto"/>
        <w:rPr/>
      </w:pPr>
      <w:r/>
    </w:p>
    <w:p>
      <w:pPr>
        <w:ind w:right="5" w:firstLine="440"/>
        <w:spacing w:before="68" w:line="284" w:lineRule="auto"/>
        <w:jc w:val="both"/>
        <w:rPr>
          <w:rFonts w:ascii="SimSun" w:hAnsi="SimSun" w:eastAsia="SimSun" w:cs="SimSun"/>
          <w:sz w:val="21"/>
          <w:szCs w:val="21"/>
        </w:rPr>
      </w:pPr>
      <w:r>
        <w:rPr>
          <w:rFonts w:ascii="SimSun" w:hAnsi="SimSun" w:eastAsia="SimSun" w:cs="SimSun"/>
          <w:sz w:val="21"/>
          <w:szCs w:val="21"/>
          <w:spacing w:val="-9"/>
        </w:rPr>
        <w:t>一些研究认为，平台经济的发展可以缩小收入分配差距，包括城</w:t>
      </w:r>
      <w:r>
        <w:rPr>
          <w:rFonts w:ascii="SimSun" w:hAnsi="SimSun" w:eastAsia="SimSun" w:cs="SimSun"/>
          <w:sz w:val="21"/>
          <w:szCs w:val="21"/>
        </w:rPr>
        <w:t xml:space="preserve"> </w:t>
      </w:r>
      <w:r>
        <w:rPr>
          <w:rFonts w:ascii="SimSun" w:hAnsi="SimSun" w:eastAsia="SimSun" w:cs="SimSun"/>
          <w:sz w:val="21"/>
          <w:szCs w:val="21"/>
          <w:spacing w:val="-10"/>
        </w:rPr>
        <w:t>乡和地区收入差距。其中最重要的原因在于平台经济通</w:t>
      </w:r>
      <w:r>
        <w:rPr>
          <w:rFonts w:ascii="SimSun" w:hAnsi="SimSun" w:eastAsia="SimSun" w:cs="SimSun"/>
          <w:sz w:val="21"/>
          <w:szCs w:val="21"/>
          <w:spacing w:val="-11"/>
        </w:rPr>
        <w:t>过创造大量的 </w:t>
      </w:r>
      <w:r>
        <w:rPr>
          <w:rFonts w:ascii="SimSun" w:hAnsi="SimSun" w:eastAsia="SimSun" w:cs="SimSun"/>
          <w:sz w:val="21"/>
          <w:szCs w:val="21"/>
          <w:spacing w:val="-10"/>
        </w:rPr>
        <w:t>就业机会，尤其是灵活就业的机会，提高了低技能劳动者的收入，从</w:t>
      </w:r>
    </w:p>
    <w:p>
      <w:pPr>
        <w:spacing w:line="284" w:lineRule="auto"/>
        <w:sectPr>
          <w:headerReference w:type="default" r:id="rId207"/>
          <w:pgSz w:w="7330" w:h="12480"/>
          <w:pgMar w:top="527" w:right="514" w:bottom="400" w:left="739" w:header="36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89"/>
        <w:spacing w:before="69" w:line="306" w:lineRule="auto"/>
        <w:jc w:val="both"/>
        <w:rPr>
          <w:rFonts w:ascii="SimSun" w:hAnsi="SimSun" w:eastAsia="SimSun" w:cs="SimSun"/>
          <w:sz w:val="21"/>
          <w:szCs w:val="21"/>
        </w:rPr>
      </w:pPr>
      <w:r>
        <w:rPr>
          <w:rFonts w:ascii="SimSun" w:hAnsi="SimSun" w:eastAsia="SimSun" w:cs="SimSun"/>
          <w:sz w:val="21"/>
          <w:szCs w:val="21"/>
          <w:spacing w:val="-10"/>
        </w:rPr>
        <w:t>而能够降低不平等。比如在当前的中国，平</w:t>
      </w:r>
      <w:r>
        <w:rPr>
          <w:rFonts w:ascii="SimSun" w:hAnsi="SimSun" w:eastAsia="SimSun" w:cs="SimSun"/>
          <w:sz w:val="21"/>
          <w:szCs w:val="21"/>
          <w:spacing w:val="-11"/>
        </w:rPr>
        <w:t>台经济对就业的创造和带</w:t>
      </w:r>
      <w:r>
        <w:rPr>
          <w:rFonts w:ascii="SimSun" w:hAnsi="SimSun" w:eastAsia="SimSun" w:cs="SimSun"/>
          <w:sz w:val="21"/>
          <w:szCs w:val="21"/>
        </w:rPr>
        <w:t xml:space="preserve"> </w:t>
      </w:r>
      <w:r>
        <w:rPr>
          <w:rFonts w:ascii="SimSun" w:hAnsi="SimSun" w:eastAsia="SimSun" w:cs="SimSun"/>
          <w:sz w:val="21"/>
          <w:szCs w:val="21"/>
          <w:spacing w:val="-11"/>
        </w:rPr>
        <w:t>动作用就比较明显。平台经济催生的大量新型就业岗位，加上零工经</w:t>
      </w:r>
      <w:r>
        <w:rPr>
          <w:rFonts w:ascii="SimSun" w:hAnsi="SimSun" w:eastAsia="SimSun" w:cs="SimSun"/>
          <w:sz w:val="21"/>
          <w:szCs w:val="21"/>
          <w:spacing w:val="17"/>
        </w:rPr>
        <w:t xml:space="preserve"> </w:t>
      </w:r>
      <w:r>
        <w:rPr>
          <w:rFonts w:ascii="SimSun" w:hAnsi="SimSun" w:eastAsia="SimSun" w:cs="SimSun"/>
          <w:sz w:val="21"/>
          <w:szCs w:val="21"/>
          <w:spacing w:val="-10"/>
        </w:rPr>
        <w:t>济就业者灵活就业的特征，使得劳动者多元就业成</w:t>
      </w:r>
      <w:r>
        <w:rPr>
          <w:rFonts w:ascii="SimSun" w:hAnsi="SimSun" w:eastAsia="SimSun" w:cs="SimSun"/>
          <w:sz w:val="21"/>
          <w:szCs w:val="21"/>
          <w:spacing w:val="-11"/>
        </w:rPr>
        <w:t>为可能，为许多低</w:t>
      </w:r>
      <w:r>
        <w:rPr>
          <w:rFonts w:ascii="SimSun" w:hAnsi="SimSun" w:eastAsia="SimSun" w:cs="SimSun"/>
          <w:sz w:val="21"/>
          <w:szCs w:val="21"/>
        </w:rPr>
        <w:t xml:space="preserve"> </w:t>
      </w:r>
      <w:r>
        <w:rPr>
          <w:rFonts w:ascii="SimSun" w:hAnsi="SimSun" w:eastAsia="SimSun" w:cs="SimSun"/>
          <w:sz w:val="21"/>
          <w:szCs w:val="21"/>
          <w:spacing w:val="-11"/>
        </w:rPr>
        <w:t>收入人群提供了更为广泛的获取收入的途径。此外，吴清军指出，平</w:t>
      </w:r>
      <w:r>
        <w:rPr>
          <w:rFonts w:ascii="SimSun" w:hAnsi="SimSun" w:eastAsia="SimSun" w:cs="SimSun"/>
          <w:sz w:val="21"/>
          <w:szCs w:val="21"/>
          <w:spacing w:val="18"/>
        </w:rPr>
        <w:t xml:space="preserve"> </w:t>
      </w:r>
      <w:r>
        <w:rPr>
          <w:rFonts w:ascii="SimSun" w:hAnsi="SimSun" w:eastAsia="SimSun" w:cs="SimSun"/>
          <w:sz w:val="21"/>
          <w:szCs w:val="21"/>
          <w:spacing w:val="-11"/>
        </w:rPr>
        <w:t>台经济采用的大数据计酬模式也改变了传统的工资制度和工资支付模</w:t>
      </w:r>
      <w:r>
        <w:rPr>
          <w:rFonts w:ascii="SimSun" w:hAnsi="SimSun" w:eastAsia="SimSun" w:cs="SimSun"/>
          <w:sz w:val="21"/>
          <w:szCs w:val="21"/>
          <w:spacing w:val="17"/>
        </w:rPr>
        <w:t xml:space="preserve"> </w:t>
      </w:r>
      <w:r>
        <w:rPr>
          <w:rFonts w:ascii="SimSun" w:hAnsi="SimSun" w:eastAsia="SimSun" w:cs="SimSun"/>
          <w:sz w:val="21"/>
          <w:szCs w:val="21"/>
          <w:spacing w:val="-10"/>
        </w:rPr>
        <w:t>式，通过大数据精准计算劳动者在平台上的劳动给付</w:t>
      </w:r>
      <w:r>
        <w:rPr>
          <w:rFonts w:ascii="SimSun" w:hAnsi="SimSun" w:eastAsia="SimSun" w:cs="SimSun"/>
          <w:sz w:val="21"/>
          <w:szCs w:val="21"/>
          <w:spacing w:val="-11"/>
        </w:rPr>
        <w:t>，可以保障劳动</w:t>
      </w:r>
      <w:r>
        <w:rPr>
          <w:rFonts w:ascii="SimSun" w:hAnsi="SimSun" w:eastAsia="SimSun" w:cs="SimSun"/>
          <w:sz w:val="21"/>
          <w:szCs w:val="21"/>
        </w:rPr>
        <w:t xml:space="preserve"> </w:t>
      </w:r>
      <w:r>
        <w:rPr>
          <w:rFonts w:ascii="SimSun" w:hAnsi="SimSun" w:eastAsia="SimSun" w:cs="SimSun"/>
          <w:sz w:val="21"/>
          <w:szCs w:val="21"/>
          <w:spacing w:val="-11"/>
        </w:rPr>
        <w:t>者在收入上的公平性。①陈龙指出，平台经济对劳动者收入存在正面</w:t>
      </w:r>
      <w:r>
        <w:rPr>
          <w:rFonts w:ascii="SimSun" w:hAnsi="SimSun" w:eastAsia="SimSun" w:cs="SimSun"/>
          <w:sz w:val="21"/>
          <w:szCs w:val="21"/>
          <w:spacing w:val="17"/>
        </w:rPr>
        <w:t xml:space="preserve"> </w:t>
      </w:r>
      <w:r>
        <w:rPr>
          <w:rFonts w:ascii="SimSun" w:hAnsi="SimSun" w:eastAsia="SimSun" w:cs="SimSun"/>
          <w:sz w:val="21"/>
          <w:szCs w:val="21"/>
          <w:spacing w:val="-10"/>
        </w:rPr>
        <w:t>和负面的双向影响，其中正面影响体现在平台工作不存</w:t>
      </w:r>
      <w:r>
        <w:rPr>
          <w:rFonts w:ascii="SimSun" w:hAnsi="SimSun" w:eastAsia="SimSun" w:cs="SimSun"/>
          <w:sz w:val="21"/>
          <w:szCs w:val="21"/>
          <w:spacing w:val="-11"/>
        </w:rPr>
        <w:t>在拖欠工资的</w:t>
      </w:r>
      <w:r>
        <w:rPr>
          <w:rFonts w:ascii="SimSun" w:hAnsi="SimSun" w:eastAsia="SimSun" w:cs="SimSun"/>
          <w:sz w:val="21"/>
          <w:szCs w:val="21"/>
        </w:rPr>
        <w:t xml:space="preserve"> </w:t>
      </w:r>
      <w:r>
        <w:rPr>
          <w:rFonts w:ascii="SimSun" w:hAnsi="SimSun" w:eastAsia="SimSun" w:cs="SimSun"/>
          <w:sz w:val="21"/>
          <w:szCs w:val="21"/>
          <w:spacing w:val="-4"/>
        </w:rPr>
        <w:t>问题，且与年龄户籍无关的低门槛准入为广大务工人员提供了就业</w:t>
      </w:r>
      <w:r>
        <w:rPr>
          <w:rFonts w:ascii="SimSun" w:hAnsi="SimSun" w:eastAsia="SimSun" w:cs="SimSun"/>
          <w:sz w:val="21"/>
          <w:szCs w:val="21"/>
          <w:spacing w:val="12"/>
        </w:rPr>
        <w:t xml:space="preserve"> </w:t>
      </w:r>
      <w:r>
        <w:rPr>
          <w:rFonts w:ascii="SimSun" w:hAnsi="SimSun" w:eastAsia="SimSun" w:cs="SimSun"/>
          <w:sz w:val="21"/>
          <w:szCs w:val="21"/>
          <w:spacing w:val="-20"/>
        </w:rPr>
        <w:t>机会。②</w:t>
      </w:r>
    </w:p>
    <w:p>
      <w:pPr>
        <w:ind w:firstLine="440"/>
        <w:spacing w:before="113" w:line="309" w:lineRule="auto"/>
        <w:jc w:val="both"/>
        <w:rPr>
          <w:rFonts w:ascii="SimSun" w:hAnsi="SimSun" w:eastAsia="SimSun" w:cs="SimSun"/>
          <w:sz w:val="21"/>
          <w:szCs w:val="21"/>
        </w:rPr>
      </w:pPr>
      <w:r>
        <w:rPr>
          <w:rFonts w:ascii="SimSun" w:hAnsi="SimSun" w:eastAsia="SimSun" w:cs="SimSun"/>
          <w:sz w:val="21"/>
          <w:szCs w:val="21"/>
          <w:spacing w:val="-11"/>
        </w:rPr>
        <w:t>与此同时，互联网与数字技术的发展改变了许多行业的生产</w:t>
      </w:r>
      <w:r>
        <w:rPr>
          <w:rFonts w:ascii="SimSun" w:hAnsi="SimSun" w:eastAsia="SimSun" w:cs="SimSun"/>
          <w:sz w:val="21"/>
          <w:szCs w:val="21"/>
          <w:spacing w:val="-12"/>
        </w:rPr>
        <w:t>流程 </w:t>
      </w:r>
      <w:r>
        <w:rPr>
          <w:rFonts w:ascii="SimSun" w:hAnsi="SimSun" w:eastAsia="SimSun" w:cs="SimSun"/>
          <w:sz w:val="21"/>
          <w:szCs w:val="21"/>
          <w:spacing w:val="-8"/>
        </w:rPr>
        <w:t>和运营规则，降低了相关职业对所需劳动力的技能要求和工作门槛，</w:t>
      </w:r>
      <w:r>
        <w:rPr>
          <w:rFonts w:ascii="SimSun" w:hAnsi="SimSun" w:eastAsia="SimSun" w:cs="SimSun"/>
          <w:sz w:val="21"/>
          <w:szCs w:val="21"/>
          <w:spacing w:val="4"/>
        </w:rPr>
        <w:t xml:space="preserve"> </w:t>
      </w:r>
      <w:r>
        <w:rPr>
          <w:rFonts w:ascii="SimSun" w:hAnsi="SimSun" w:eastAsia="SimSun" w:cs="SimSun"/>
          <w:sz w:val="21"/>
          <w:szCs w:val="21"/>
          <w:spacing w:val="-7"/>
        </w:rPr>
        <w:t>为弱势群体就业赋能。例如，阿里巴巴的“云客服”,通过互联网技</w:t>
      </w:r>
      <w:r>
        <w:rPr>
          <w:rFonts w:ascii="SimSun" w:hAnsi="SimSun" w:eastAsia="SimSun" w:cs="SimSun"/>
          <w:sz w:val="21"/>
          <w:szCs w:val="21"/>
          <w:spacing w:val="1"/>
        </w:rPr>
        <w:t xml:space="preserve">  </w:t>
      </w:r>
      <w:r>
        <w:rPr>
          <w:rFonts w:ascii="SimSun" w:hAnsi="SimSun" w:eastAsia="SimSun" w:cs="SimSun"/>
          <w:sz w:val="21"/>
          <w:szCs w:val="21"/>
          <w:spacing w:val="-10"/>
        </w:rPr>
        <w:t>术远程为客户提供咨询服务，打破了传统客服行业对工作时间</w:t>
      </w:r>
      <w:r>
        <w:rPr>
          <w:rFonts w:ascii="SimSun" w:hAnsi="SimSun" w:eastAsia="SimSun" w:cs="SimSun"/>
          <w:sz w:val="21"/>
          <w:szCs w:val="21"/>
          <w:spacing w:val="-11"/>
        </w:rPr>
        <w:t>和地点</w:t>
      </w:r>
      <w:r>
        <w:rPr>
          <w:rFonts w:ascii="SimSun" w:hAnsi="SimSun" w:eastAsia="SimSun" w:cs="SimSun"/>
          <w:sz w:val="21"/>
          <w:szCs w:val="21"/>
        </w:rPr>
        <w:t xml:space="preserve">  </w:t>
      </w:r>
      <w:r>
        <w:rPr>
          <w:rFonts w:ascii="SimSun" w:hAnsi="SimSun" w:eastAsia="SimSun" w:cs="SimSun"/>
          <w:sz w:val="21"/>
          <w:szCs w:val="21"/>
          <w:spacing w:val="-11"/>
        </w:rPr>
        <w:t>的限定，而且云客服这一工作的技能可以通过简单的在线培训轻易获</w:t>
      </w:r>
      <w:r>
        <w:rPr>
          <w:rFonts w:ascii="SimSun" w:hAnsi="SimSun" w:eastAsia="SimSun" w:cs="SimSun"/>
          <w:sz w:val="21"/>
          <w:szCs w:val="21"/>
          <w:spacing w:val="8"/>
        </w:rPr>
        <w:t xml:space="preserve">  </w:t>
      </w:r>
      <w:r>
        <w:rPr>
          <w:rFonts w:ascii="SimSun" w:hAnsi="SimSun" w:eastAsia="SimSun" w:cs="SimSun"/>
          <w:sz w:val="21"/>
          <w:szCs w:val="21"/>
          <w:spacing w:val="-7"/>
        </w:rPr>
        <w:t>取，极大地降低了这一工作对于前期人力资本投入的要求(参见《阿</w:t>
      </w:r>
      <w:r>
        <w:rPr>
          <w:rFonts w:ascii="SimSun" w:hAnsi="SimSun" w:eastAsia="SimSun" w:cs="SimSun"/>
          <w:sz w:val="21"/>
          <w:szCs w:val="21"/>
          <w:spacing w:val="1"/>
        </w:rPr>
        <w:t xml:space="preserve">  </w:t>
      </w:r>
      <w:r>
        <w:rPr>
          <w:rFonts w:ascii="SimSun" w:hAnsi="SimSun" w:eastAsia="SimSun" w:cs="SimSun"/>
          <w:sz w:val="21"/>
          <w:szCs w:val="21"/>
          <w:spacing w:val="-10"/>
        </w:rPr>
        <w:t>里巴巴全生态灵活就业与就业质量研究报告》,2021)。虽然这一岗位</w:t>
      </w:r>
      <w:r>
        <w:rPr>
          <w:rFonts w:ascii="SimSun" w:hAnsi="SimSun" w:eastAsia="SimSun" w:cs="SimSun"/>
          <w:sz w:val="21"/>
          <w:szCs w:val="21"/>
          <w:spacing w:val="8"/>
        </w:rPr>
        <w:t xml:space="preserve">  </w:t>
      </w:r>
      <w:r>
        <w:rPr>
          <w:rFonts w:ascii="SimSun" w:hAnsi="SimSun" w:eastAsia="SimSun" w:cs="SimSun"/>
          <w:sz w:val="21"/>
          <w:szCs w:val="21"/>
          <w:spacing w:val="-10"/>
        </w:rPr>
        <w:t>并非为某一特定群体打造，但却凭借其拥有</w:t>
      </w:r>
      <w:r>
        <w:rPr>
          <w:rFonts w:ascii="SimSun" w:hAnsi="SimSun" w:eastAsia="SimSun" w:cs="SimSun"/>
          <w:sz w:val="21"/>
          <w:szCs w:val="21"/>
          <w:spacing w:val="-11"/>
        </w:rPr>
        <w:t>的独特优势吸引了大量有</w:t>
      </w:r>
      <w:r>
        <w:rPr>
          <w:rFonts w:ascii="SimSun" w:hAnsi="SimSun" w:eastAsia="SimSun" w:cs="SimSun"/>
          <w:sz w:val="21"/>
          <w:szCs w:val="21"/>
        </w:rPr>
        <w:t xml:space="preserve">  </w:t>
      </w:r>
      <w:r>
        <w:rPr>
          <w:rFonts w:ascii="SimSun" w:hAnsi="SimSun" w:eastAsia="SimSun" w:cs="SimSun"/>
          <w:sz w:val="21"/>
          <w:szCs w:val="21"/>
          <w:spacing w:val="-10"/>
        </w:rPr>
        <w:t>身体缺陷或行动障碍的人从事这一职业。近</w:t>
      </w:r>
      <w:r>
        <w:rPr>
          <w:rFonts w:ascii="SimSun" w:hAnsi="SimSun" w:eastAsia="SimSun" w:cs="SimSun"/>
          <w:sz w:val="21"/>
          <w:szCs w:val="21"/>
          <w:spacing w:val="-11"/>
        </w:rPr>
        <w:t>几年兴起的直播平台，为</w:t>
      </w:r>
      <w:r>
        <w:rPr>
          <w:rFonts w:ascii="SimSun" w:hAnsi="SimSun" w:eastAsia="SimSun" w:cs="SimSun"/>
          <w:sz w:val="21"/>
          <w:szCs w:val="21"/>
        </w:rPr>
        <w:t xml:space="preserve">  </w:t>
      </w:r>
      <w:r>
        <w:rPr>
          <w:rFonts w:ascii="SimSun" w:hAnsi="SimSun" w:eastAsia="SimSun" w:cs="SimSun"/>
          <w:sz w:val="21"/>
          <w:szCs w:val="21"/>
          <w:spacing w:val="-11"/>
        </w:rPr>
        <w:t>许多农民提供了足不出户获取收入的机会，这也为农村的脱贫工作与</w:t>
      </w:r>
      <w:r>
        <w:rPr>
          <w:rFonts w:ascii="SimSun" w:hAnsi="SimSun" w:eastAsia="SimSun" w:cs="SimSun"/>
          <w:sz w:val="21"/>
          <w:szCs w:val="21"/>
          <w:spacing w:val="2"/>
        </w:rPr>
        <w:t xml:space="preserve">  </w:t>
      </w:r>
      <w:r>
        <w:rPr>
          <w:rFonts w:ascii="SimSun" w:hAnsi="SimSun" w:eastAsia="SimSun" w:cs="SimSun"/>
          <w:sz w:val="21"/>
          <w:szCs w:val="21"/>
          <w:spacing w:val="-10"/>
        </w:rPr>
        <w:t>留守儿童问题的解决提供了新的思路。“村播”是与乡</w:t>
      </w:r>
      <w:r>
        <w:rPr>
          <w:rFonts w:ascii="SimSun" w:hAnsi="SimSun" w:eastAsia="SimSun" w:cs="SimSun"/>
          <w:sz w:val="21"/>
          <w:szCs w:val="21"/>
          <w:spacing w:val="-11"/>
        </w:rPr>
        <w:t>村内容相关的</w:t>
      </w:r>
      <w:r>
        <w:rPr>
          <w:rFonts w:ascii="SimSun" w:hAnsi="SimSun" w:eastAsia="SimSun" w:cs="SimSun"/>
          <w:sz w:val="21"/>
          <w:szCs w:val="21"/>
        </w:rPr>
        <w:t xml:space="preserve">  </w:t>
      </w:r>
      <w:r>
        <w:rPr>
          <w:rFonts w:ascii="SimSun" w:hAnsi="SimSun" w:eastAsia="SimSun" w:cs="SimSun"/>
          <w:sz w:val="21"/>
          <w:szCs w:val="21"/>
          <w:spacing w:val="3"/>
        </w:rPr>
        <w:t>直播形式的简称，淘宝直播平台的数据显示，截至2020年3月底，</w:t>
      </w:r>
      <w:r>
        <w:rPr>
          <w:rFonts w:ascii="SimSun" w:hAnsi="SimSun" w:eastAsia="SimSun" w:cs="SimSun"/>
          <w:sz w:val="21"/>
          <w:szCs w:val="21"/>
          <w:spacing w:val="5"/>
        </w:rPr>
        <w:t xml:space="preserve"> </w:t>
      </w:r>
      <w:r>
        <w:rPr>
          <w:rFonts w:ascii="SimSun" w:hAnsi="SimSun" w:eastAsia="SimSun" w:cs="SimSun"/>
          <w:sz w:val="21"/>
          <w:szCs w:val="21"/>
          <w:spacing w:val="-3"/>
        </w:rPr>
        <w:t>全国共有6万多名农民成为农村主播(参见《淘</w:t>
      </w:r>
      <w:r>
        <w:rPr>
          <w:rFonts w:ascii="SimSun" w:hAnsi="SimSun" w:eastAsia="SimSun" w:cs="SimSun"/>
          <w:sz w:val="21"/>
          <w:szCs w:val="21"/>
          <w:spacing w:val="-4"/>
        </w:rPr>
        <w:t>宝直播就业测算与新</w:t>
      </w:r>
    </w:p>
    <w:p>
      <w:pPr>
        <w:pStyle w:val="BodyText"/>
        <w:spacing w:line="339" w:lineRule="auto"/>
        <w:rPr/>
      </w:pPr>
      <w:r/>
    </w:p>
    <w:p>
      <w:pPr>
        <w:ind w:left="350" w:right="74" w:hanging="350"/>
        <w:spacing w:before="55" w:line="255" w:lineRule="auto"/>
        <w:rPr>
          <w:rFonts w:ascii="KaiTi" w:hAnsi="KaiTi" w:eastAsia="KaiTi" w:cs="KaiTi"/>
          <w:sz w:val="17"/>
          <w:szCs w:val="17"/>
        </w:rPr>
      </w:pPr>
      <w:r>
        <w:rPr>
          <w:rFonts w:ascii="KaiTi" w:hAnsi="KaiTi" w:eastAsia="KaiTi" w:cs="KaiTi"/>
          <w:sz w:val="17"/>
          <w:szCs w:val="17"/>
          <w:spacing w:val="-7"/>
        </w:rPr>
        <w:t>①</w:t>
      </w:r>
      <w:r>
        <w:rPr>
          <w:rFonts w:ascii="KaiTi" w:hAnsi="KaiTi" w:eastAsia="KaiTi" w:cs="KaiTi"/>
          <w:sz w:val="17"/>
          <w:szCs w:val="17"/>
          <w:spacing w:val="71"/>
        </w:rPr>
        <w:t xml:space="preserve"> </w:t>
      </w:r>
      <w:r>
        <w:rPr>
          <w:rFonts w:ascii="KaiTi" w:hAnsi="KaiTi" w:eastAsia="KaiTi" w:cs="KaiTi"/>
          <w:sz w:val="17"/>
          <w:szCs w:val="17"/>
          <w:spacing w:val="-7"/>
        </w:rPr>
        <w:t>吴清军.平台经济的新生产要素、新组织与新就业——以网约车</w:t>
      </w:r>
      <w:r>
        <w:rPr>
          <w:rFonts w:ascii="KaiTi" w:hAnsi="KaiTi" w:eastAsia="KaiTi" w:cs="KaiTi"/>
          <w:sz w:val="17"/>
          <w:szCs w:val="17"/>
          <w:spacing w:val="-8"/>
        </w:rPr>
        <w:t>市场为例.新经济</w:t>
      </w:r>
      <w:r>
        <w:rPr>
          <w:rFonts w:ascii="KaiTi" w:hAnsi="KaiTi" w:eastAsia="KaiTi" w:cs="KaiTi"/>
          <w:sz w:val="17"/>
          <w:szCs w:val="17"/>
        </w:rPr>
        <w:t xml:space="preserve"> </w:t>
      </w:r>
      <w:r>
        <w:rPr>
          <w:rFonts w:ascii="KaiTi" w:hAnsi="KaiTi" w:eastAsia="KaiTi" w:cs="KaiTi"/>
          <w:sz w:val="17"/>
          <w:szCs w:val="17"/>
          <w:spacing w:val="5"/>
        </w:rPr>
        <w:t>导刊，2020(3):29-35.</w:t>
      </w:r>
    </w:p>
    <w:p>
      <w:pPr>
        <w:ind w:left="329" w:right="50" w:hanging="329"/>
        <w:spacing w:before="91" w:line="249" w:lineRule="auto"/>
        <w:rPr>
          <w:rFonts w:ascii="Times New Roman" w:hAnsi="Times New Roman" w:eastAsia="Times New Roman" w:cs="Times New Roman"/>
          <w:sz w:val="17"/>
          <w:szCs w:val="17"/>
        </w:rPr>
      </w:pPr>
      <w:r>
        <w:rPr>
          <w:rFonts w:ascii="KaiTi" w:hAnsi="KaiTi" w:eastAsia="KaiTi" w:cs="KaiTi"/>
          <w:sz w:val="17"/>
          <w:szCs w:val="17"/>
          <w:spacing w:val="1"/>
        </w:rPr>
        <w:t>②</w:t>
      </w:r>
      <w:r>
        <w:rPr>
          <w:rFonts w:ascii="KaiTi" w:hAnsi="KaiTi" w:eastAsia="KaiTi" w:cs="KaiTi"/>
          <w:sz w:val="17"/>
          <w:szCs w:val="17"/>
          <w:spacing w:val="52"/>
        </w:rPr>
        <w:t xml:space="preserve"> </w:t>
      </w:r>
      <w:r>
        <w:rPr>
          <w:rFonts w:ascii="KaiTi" w:hAnsi="KaiTi" w:eastAsia="KaiTi" w:cs="KaiTi"/>
          <w:sz w:val="17"/>
          <w:szCs w:val="17"/>
          <w:spacing w:val="1"/>
        </w:rPr>
        <w:t>陈龙.平台经济的劳动权益保障挑战与对策建议——以外卖平台的骑</w:t>
      </w:r>
      <w:r>
        <w:rPr>
          <w:rFonts w:ascii="KaiTi" w:hAnsi="KaiTi" w:eastAsia="KaiTi" w:cs="KaiTi"/>
          <w:sz w:val="17"/>
          <w:szCs w:val="17"/>
        </w:rPr>
        <w:t>手劳动为</w:t>
      </w:r>
      <w:r>
        <w:rPr>
          <w:rFonts w:ascii="KaiTi" w:hAnsi="KaiTi" w:eastAsia="KaiTi" w:cs="KaiTi"/>
          <w:sz w:val="17"/>
          <w:szCs w:val="17"/>
        </w:rPr>
        <w:t xml:space="preserve"> </w:t>
      </w:r>
      <w:r>
        <w:rPr>
          <w:rFonts w:ascii="KaiTi" w:hAnsi="KaiTi" w:eastAsia="KaiTi" w:cs="KaiTi"/>
          <w:sz w:val="17"/>
          <w:szCs w:val="17"/>
          <w:spacing w:val="-6"/>
        </w:rPr>
        <w:t>例.社会治理，</w:t>
      </w:r>
      <w:r>
        <w:rPr>
          <w:rFonts w:ascii="KaiTi" w:hAnsi="KaiTi" w:eastAsia="KaiTi" w:cs="KaiTi"/>
          <w:sz w:val="17"/>
          <w:szCs w:val="17"/>
          <w:spacing w:val="-6"/>
        </w:rPr>
        <w:t xml:space="preserve"> </w:t>
      </w:r>
      <w:r>
        <w:rPr>
          <w:rFonts w:ascii="Times New Roman" w:hAnsi="Times New Roman" w:eastAsia="Times New Roman" w:cs="Times New Roman"/>
          <w:sz w:val="17"/>
          <w:szCs w:val="17"/>
          <w:spacing w:val="-6"/>
        </w:rPr>
        <w:t>2020(8):22-28.</w:t>
      </w:r>
    </w:p>
    <w:p>
      <w:pPr>
        <w:spacing w:line="249" w:lineRule="auto"/>
        <w:sectPr>
          <w:headerReference w:type="default" r:id="rId208"/>
          <w:pgSz w:w="7330" w:h="12480"/>
          <w:pgMar w:top="839" w:right="765" w:bottom="400" w:left="479" w:header="649" w:footer="0" w:gutter="0"/>
        </w:sectPr>
        <w:rPr>
          <w:rFonts w:ascii="Times New Roman" w:hAnsi="Times New Roman" w:eastAsia="Times New Roman" w:cs="Times New Roman"/>
          <w:sz w:val="17"/>
          <w:szCs w:val="17"/>
        </w:rPr>
      </w:pPr>
    </w:p>
    <w:p>
      <w:pPr>
        <w:pStyle w:val="BodyText"/>
        <w:spacing w:line="250" w:lineRule="auto"/>
        <w:rPr/>
      </w:pPr>
      <w:r>
        <w:drawing>
          <wp:anchor distT="0" distB="0" distL="0" distR="0" simplePos="0" relativeHeight="253464576" behindDoc="0" locked="0" layoutInCell="0" allowOverlap="1">
            <wp:simplePos x="0" y="0"/>
            <wp:positionH relativeFrom="page">
              <wp:posOffset>431802</wp:posOffset>
            </wp:positionH>
            <wp:positionV relativeFrom="page">
              <wp:posOffset>6680204</wp:posOffset>
            </wp:positionV>
            <wp:extent cx="1181092" cy="6350"/>
            <wp:effectExtent l="0" t="0" r="0" b="0"/>
            <wp:wrapNone/>
            <wp:docPr id="164" name="IM 164"/>
            <wp:cNvGraphicFramePr/>
            <a:graphic>
              <a:graphicData uri="http://schemas.openxmlformats.org/drawingml/2006/picture">
                <pic:pic>
                  <pic:nvPicPr>
                    <pic:cNvPr id="164" name="IM 164"/>
                    <pic:cNvPicPr/>
                  </pic:nvPicPr>
                  <pic:blipFill>
                    <a:blip r:embed="rId210"/>
                    <a:stretch>
                      <a:fillRect/>
                    </a:stretch>
                  </pic:blipFill>
                  <pic:spPr>
                    <a:xfrm rot="0">
                      <a:off x="0" y="0"/>
                      <a:ext cx="1181092"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ind w:right="85"/>
        <w:spacing w:before="68" w:line="269" w:lineRule="auto"/>
        <w:rPr>
          <w:rFonts w:ascii="SimSun" w:hAnsi="SimSun" w:eastAsia="SimSun" w:cs="SimSun"/>
          <w:sz w:val="21"/>
          <w:szCs w:val="21"/>
        </w:rPr>
      </w:pPr>
      <w:r>
        <w:rPr>
          <w:rFonts w:ascii="SimSun" w:hAnsi="SimSun" w:eastAsia="SimSun" w:cs="SimSun"/>
          <w:sz w:val="21"/>
          <w:szCs w:val="21"/>
          <w:spacing w:val="-6"/>
        </w:rPr>
        <w:t>就业形态研究报告》,2020),帮助当地销售土特</w:t>
      </w:r>
      <w:r>
        <w:rPr>
          <w:rFonts w:ascii="SimSun" w:hAnsi="SimSun" w:eastAsia="SimSun" w:cs="SimSun"/>
          <w:sz w:val="21"/>
          <w:szCs w:val="21"/>
          <w:spacing w:val="-7"/>
        </w:rPr>
        <w:t>产品，不仅提高了当</w:t>
      </w:r>
      <w:r>
        <w:rPr>
          <w:rFonts w:ascii="SimSun" w:hAnsi="SimSun" w:eastAsia="SimSun" w:cs="SimSun"/>
          <w:sz w:val="21"/>
          <w:szCs w:val="21"/>
        </w:rPr>
        <w:t xml:space="preserve"> </w:t>
      </w:r>
      <w:r>
        <w:rPr>
          <w:rFonts w:ascii="SimSun" w:hAnsi="SimSun" w:eastAsia="SimSun" w:cs="SimSun"/>
          <w:sz w:val="21"/>
          <w:szCs w:val="21"/>
          <w:spacing w:val="-11"/>
        </w:rPr>
        <w:t>地农户的收入，而且推动了农产品供应链的升级。</w:t>
      </w:r>
    </w:p>
    <w:p>
      <w:pPr>
        <w:ind w:firstLine="429"/>
        <w:spacing w:before="117" w:line="308" w:lineRule="auto"/>
        <w:jc w:val="both"/>
        <w:rPr>
          <w:rFonts w:ascii="SimSun" w:hAnsi="SimSun" w:eastAsia="SimSun" w:cs="SimSun"/>
          <w:sz w:val="21"/>
          <w:szCs w:val="21"/>
        </w:rPr>
      </w:pPr>
      <w:r>
        <w:rPr>
          <w:rFonts w:ascii="SimSun" w:hAnsi="SimSun" w:eastAsia="SimSun" w:cs="SimSun"/>
          <w:sz w:val="21"/>
          <w:szCs w:val="21"/>
          <w:spacing w:val="1"/>
        </w:rPr>
        <w:t>此外，平台经济的发展还通过为消费者(尤其是中低收入消费</w:t>
      </w:r>
      <w:r>
        <w:rPr>
          <w:rFonts w:ascii="SimSun" w:hAnsi="SimSun" w:eastAsia="SimSun" w:cs="SimSun"/>
          <w:sz w:val="21"/>
          <w:szCs w:val="21"/>
        </w:rPr>
        <w:t xml:space="preserve"> </w:t>
      </w:r>
      <w:r>
        <w:rPr>
          <w:rFonts w:ascii="SimSun" w:hAnsi="SimSun" w:eastAsia="SimSun" w:cs="SimSun"/>
          <w:sz w:val="21"/>
          <w:szCs w:val="21"/>
          <w:spacing w:val="-5"/>
        </w:rPr>
        <w:t>者)提供更为便利、实惠的商品与服务，提高了消费者的福利水平，</w:t>
      </w:r>
      <w:r>
        <w:rPr>
          <w:rFonts w:ascii="SimSun" w:hAnsi="SimSun" w:eastAsia="SimSun" w:cs="SimSun"/>
          <w:sz w:val="21"/>
          <w:szCs w:val="21"/>
          <w:spacing w:val="8"/>
        </w:rPr>
        <w:t xml:space="preserve"> </w:t>
      </w:r>
      <w:r>
        <w:rPr>
          <w:rFonts w:ascii="SimSun" w:hAnsi="SimSun" w:eastAsia="SimSun" w:cs="SimSun"/>
          <w:sz w:val="21"/>
          <w:szCs w:val="21"/>
          <w:spacing w:val="-11"/>
        </w:rPr>
        <w:t>这也是收入分配方面不容忽视的变化。互联网平台的崛起，改造了许</w:t>
      </w:r>
      <w:r>
        <w:rPr>
          <w:rFonts w:ascii="SimSun" w:hAnsi="SimSun" w:eastAsia="SimSun" w:cs="SimSun"/>
          <w:sz w:val="21"/>
          <w:szCs w:val="21"/>
          <w:spacing w:val="3"/>
        </w:rPr>
        <w:t xml:space="preserve">  </w:t>
      </w:r>
      <w:r>
        <w:rPr>
          <w:rFonts w:ascii="SimSun" w:hAnsi="SimSun" w:eastAsia="SimSun" w:cs="SimSun"/>
          <w:sz w:val="21"/>
          <w:szCs w:val="21"/>
          <w:spacing w:val="-11"/>
        </w:rPr>
        <w:t>多传统的产品或服务业态，让其以更有效率的方式提供给消费者，同</w:t>
      </w:r>
      <w:r>
        <w:rPr>
          <w:rFonts w:ascii="SimSun" w:hAnsi="SimSun" w:eastAsia="SimSun" w:cs="SimSun"/>
          <w:sz w:val="21"/>
          <w:szCs w:val="21"/>
          <w:spacing w:val="8"/>
        </w:rPr>
        <w:t xml:space="preserve">  </w:t>
      </w:r>
      <w:r>
        <w:rPr>
          <w:rFonts w:ascii="SimSun" w:hAnsi="SimSun" w:eastAsia="SimSun" w:cs="SimSun"/>
          <w:sz w:val="21"/>
          <w:szCs w:val="21"/>
          <w:spacing w:val="-10"/>
        </w:rPr>
        <w:t>时还催生了许多新的产品或服务业态，极大地拓展了消费的边界。例 </w:t>
      </w:r>
      <w:r>
        <w:rPr>
          <w:rFonts w:ascii="SimSun" w:hAnsi="SimSun" w:eastAsia="SimSun" w:cs="SimSun"/>
          <w:sz w:val="21"/>
          <w:szCs w:val="21"/>
          <w:spacing w:val="-10"/>
        </w:rPr>
        <w:t>如，传统出租车行业使用巡游接客的方式来实现供需匹配，效率比较 </w:t>
      </w:r>
      <w:r>
        <w:rPr>
          <w:rFonts w:ascii="SimSun" w:hAnsi="SimSun" w:eastAsia="SimSun" w:cs="SimSun"/>
          <w:sz w:val="21"/>
          <w:szCs w:val="21"/>
          <w:spacing w:val="-10"/>
        </w:rPr>
        <w:t>低，打车难成为长期困扰城市居民的问题。网约车平台的出现极大地 </w:t>
      </w:r>
      <w:r>
        <w:rPr>
          <w:rFonts w:ascii="SimSun" w:hAnsi="SimSun" w:eastAsia="SimSun" w:cs="SimSun"/>
          <w:sz w:val="21"/>
          <w:szCs w:val="21"/>
          <w:spacing w:val="-10"/>
        </w:rPr>
        <w:t>提高了打车服务的效率与服务水平，实实在在地提升了普通消费者的 </w:t>
      </w:r>
      <w:r>
        <w:rPr>
          <w:rFonts w:ascii="SimSun" w:hAnsi="SimSun" w:eastAsia="SimSun" w:cs="SimSun"/>
          <w:sz w:val="21"/>
          <w:szCs w:val="21"/>
          <w:spacing w:val="-10"/>
        </w:rPr>
        <w:t>福利。又如，外卖平台的出现则改变了传统的餐饮消费习惯，催生了</w:t>
      </w:r>
      <w:r>
        <w:rPr>
          <w:rFonts w:ascii="SimSun" w:hAnsi="SimSun" w:eastAsia="SimSun" w:cs="SimSun"/>
          <w:sz w:val="21"/>
          <w:szCs w:val="21"/>
          <w:spacing w:val="15"/>
        </w:rPr>
        <w:t xml:space="preserve"> </w:t>
      </w:r>
      <w:r>
        <w:rPr>
          <w:rFonts w:ascii="SimSun" w:hAnsi="SimSun" w:eastAsia="SimSun" w:cs="SimSun"/>
          <w:sz w:val="21"/>
          <w:szCs w:val="21"/>
          <w:spacing w:val="-10"/>
        </w:rPr>
        <w:t>新的外卖服务业态，使消费者可以足不出户</w:t>
      </w:r>
      <w:r>
        <w:rPr>
          <w:rFonts w:ascii="SimSun" w:hAnsi="SimSun" w:eastAsia="SimSun" w:cs="SimSun"/>
          <w:sz w:val="21"/>
          <w:szCs w:val="21"/>
          <w:spacing w:val="-11"/>
        </w:rPr>
        <w:t>享受餐饮产品。这些产品</w:t>
      </w:r>
      <w:r>
        <w:rPr>
          <w:rFonts w:ascii="SimSun" w:hAnsi="SimSun" w:eastAsia="SimSun" w:cs="SimSun"/>
          <w:sz w:val="21"/>
          <w:szCs w:val="21"/>
        </w:rPr>
        <w:t xml:space="preserve"> </w:t>
      </w:r>
      <w:r>
        <w:rPr>
          <w:rFonts w:ascii="SimSun" w:hAnsi="SimSun" w:eastAsia="SimSun" w:cs="SimSun"/>
          <w:sz w:val="21"/>
          <w:szCs w:val="21"/>
          <w:spacing w:val="-8"/>
        </w:rPr>
        <w:t>和服务供给方式的改变，可以直接起到改善消费者福利水平的作用，</w:t>
      </w:r>
      <w:r>
        <w:rPr>
          <w:rFonts w:ascii="SimSun" w:hAnsi="SimSun" w:eastAsia="SimSun" w:cs="SimSun"/>
          <w:sz w:val="21"/>
          <w:szCs w:val="21"/>
          <w:spacing w:val="14"/>
        </w:rPr>
        <w:t xml:space="preserve"> </w:t>
      </w:r>
      <w:r>
        <w:rPr>
          <w:rFonts w:ascii="SimSun" w:hAnsi="SimSun" w:eastAsia="SimSun" w:cs="SimSun"/>
          <w:sz w:val="21"/>
          <w:szCs w:val="21"/>
          <w:spacing w:val="-12"/>
        </w:rPr>
        <w:t>尤其对于中低收入群体的影响更大。</w:t>
      </w:r>
    </w:p>
    <w:p>
      <w:pPr>
        <w:pStyle w:val="BodyText"/>
        <w:spacing w:line="373"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4"/>
        </w:rPr>
        <w:t>平台经济对收入分配的潜在负面影响</w:t>
      </w:r>
    </w:p>
    <w:p>
      <w:pPr>
        <w:pStyle w:val="BodyText"/>
        <w:spacing w:line="339" w:lineRule="auto"/>
        <w:rPr/>
      </w:pPr>
      <w:r/>
    </w:p>
    <w:p>
      <w:pPr>
        <w:ind w:right="51" w:firstLine="439"/>
        <w:spacing w:before="68" w:line="303" w:lineRule="auto"/>
        <w:jc w:val="both"/>
        <w:rPr>
          <w:rFonts w:ascii="SimSun" w:hAnsi="SimSun" w:eastAsia="SimSun" w:cs="SimSun"/>
          <w:sz w:val="21"/>
          <w:szCs w:val="21"/>
        </w:rPr>
      </w:pPr>
      <w:r>
        <w:rPr>
          <w:rFonts w:ascii="SimSun" w:hAnsi="SimSun" w:eastAsia="SimSun" w:cs="SimSun"/>
          <w:sz w:val="21"/>
          <w:szCs w:val="21"/>
          <w:spacing w:val="-11"/>
        </w:rPr>
        <w:t>也有一些研究认为，平台经济对社会整体收入分配的影响是负面</w:t>
      </w:r>
      <w:r>
        <w:rPr>
          <w:rFonts w:ascii="SimSun" w:hAnsi="SimSun" w:eastAsia="SimSun" w:cs="SimSun"/>
          <w:sz w:val="21"/>
          <w:szCs w:val="21"/>
          <w:spacing w:val="5"/>
        </w:rPr>
        <w:t xml:space="preserve"> </w:t>
      </w:r>
      <w:r>
        <w:rPr>
          <w:rFonts w:ascii="SimSun" w:hAnsi="SimSun" w:eastAsia="SimSun" w:cs="SimSun"/>
          <w:sz w:val="21"/>
          <w:szCs w:val="21"/>
          <w:spacing w:val="-11"/>
        </w:rPr>
        <w:t>的，会导致社会收入分配的两极分化，不利于缩小地区收入差距。首</w:t>
      </w:r>
      <w:r>
        <w:rPr>
          <w:rFonts w:ascii="SimSun" w:hAnsi="SimSun" w:eastAsia="SimSun" w:cs="SimSun"/>
          <w:sz w:val="21"/>
          <w:szCs w:val="21"/>
          <w:spacing w:val="9"/>
        </w:rPr>
        <w:t xml:space="preserve"> </w:t>
      </w:r>
      <w:r>
        <w:rPr>
          <w:rFonts w:ascii="SimSun" w:hAnsi="SimSun" w:eastAsia="SimSun" w:cs="SimSun"/>
          <w:sz w:val="21"/>
          <w:szCs w:val="21"/>
          <w:spacing w:val="-9"/>
        </w:rPr>
        <w:t>先，不少理论与实证研究表明，数字经济的快速发</w:t>
      </w:r>
      <w:r>
        <w:rPr>
          <w:rFonts w:ascii="SimSun" w:hAnsi="SimSun" w:eastAsia="SimSun" w:cs="SimSun"/>
          <w:sz w:val="21"/>
          <w:szCs w:val="21"/>
          <w:spacing w:val="-10"/>
        </w:rPr>
        <w:t>展在短期内会降低</w:t>
      </w:r>
      <w:r>
        <w:rPr>
          <w:rFonts w:ascii="SimSun" w:hAnsi="SimSun" w:eastAsia="SimSun" w:cs="SimSun"/>
          <w:sz w:val="21"/>
          <w:szCs w:val="21"/>
        </w:rPr>
        <w:t xml:space="preserve"> </w:t>
      </w:r>
      <w:r>
        <w:rPr>
          <w:rFonts w:ascii="SimSun" w:hAnsi="SimSun" w:eastAsia="SimSun" w:cs="SimSun"/>
          <w:sz w:val="21"/>
          <w:szCs w:val="21"/>
          <w:spacing w:val="-3"/>
        </w:rPr>
        <w:t>劳动收入份额、提高资本收入份额。基于全球56个国家的数据研究</w:t>
      </w:r>
      <w:r>
        <w:rPr>
          <w:rFonts w:ascii="SimSun" w:hAnsi="SimSun" w:eastAsia="SimSun" w:cs="SimSun"/>
          <w:sz w:val="21"/>
          <w:szCs w:val="21"/>
        </w:rPr>
        <w:t xml:space="preserve"> </w:t>
      </w:r>
      <w:r>
        <w:rPr>
          <w:rFonts w:ascii="SimSun" w:hAnsi="SimSun" w:eastAsia="SimSun" w:cs="SimSun"/>
          <w:sz w:val="21"/>
          <w:szCs w:val="21"/>
          <w:spacing w:val="-11"/>
        </w:rPr>
        <w:t>发现，信息技术的进步将导致大多数国家中的劳动</w:t>
      </w:r>
      <w:r>
        <w:rPr>
          <w:rFonts w:ascii="SimSun" w:hAnsi="SimSun" w:eastAsia="SimSun" w:cs="SimSun"/>
          <w:sz w:val="21"/>
          <w:szCs w:val="21"/>
          <w:spacing w:val="-12"/>
        </w:rPr>
        <w:t>力收入份额出现下</w:t>
      </w:r>
      <w:r>
        <w:rPr>
          <w:rFonts w:ascii="SimSun" w:hAnsi="SimSun" w:eastAsia="SimSun" w:cs="SimSun"/>
          <w:sz w:val="21"/>
          <w:szCs w:val="21"/>
        </w:rPr>
        <w:t xml:space="preserve"> </w:t>
      </w:r>
      <w:r>
        <w:rPr>
          <w:rFonts w:ascii="SimSun" w:hAnsi="SimSun" w:eastAsia="SimSun" w:cs="SimSun"/>
          <w:sz w:val="21"/>
          <w:szCs w:val="21"/>
          <w:spacing w:val="-10"/>
        </w:rPr>
        <w:t>滑。①而与之相对的是，资本报酬在经济收入中的占比持续升高</w:t>
      </w:r>
      <w:r>
        <w:rPr>
          <w:rFonts w:ascii="SimSun" w:hAnsi="SimSun" w:eastAsia="SimSun" w:cs="SimSun"/>
          <w:sz w:val="21"/>
          <w:szCs w:val="21"/>
          <w:spacing w:val="-11"/>
        </w:rPr>
        <w:t>，更</w:t>
      </w:r>
      <w:r>
        <w:rPr>
          <w:rFonts w:ascii="SimSun" w:hAnsi="SimSun" w:eastAsia="SimSun" w:cs="SimSun"/>
          <w:sz w:val="21"/>
          <w:szCs w:val="21"/>
        </w:rPr>
        <w:t xml:space="preserve"> </w:t>
      </w:r>
      <w:r>
        <w:rPr>
          <w:rFonts w:ascii="SimSun" w:hAnsi="SimSun" w:eastAsia="SimSun" w:cs="SimSun"/>
          <w:sz w:val="21"/>
          <w:szCs w:val="21"/>
          <w:spacing w:val="-10"/>
        </w:rPr>
        <w:t>多的财富集中到少数资本所有者手中，最终加剧了资本所有者和一般</w:t>
      </w:r>
    </w:p>
    <w:p>
      <w:pPr>
        <w:pStyle w:val="BodyText"/>
        <w:spacing w:line="248" w:lineRule="auto"/>
        <w:rPr/>
      </w:pPr>
      <w:r/>
    </w:p>
    <w:p>
      <w:pPr>
        <w:pStyle w:val="BodyText"/>
        <w:spacing w:line="248" w:lineRule="auto"/>
        <w:rPr/>
      </w:pPr>
      <w:r/>
    </w:p>
    <w:p>
      <w:pPr>
        <w:spacing w:before="69" w:line="212" w:lineRule="auto"/>
        <w:rPr>
          <w:rFonts w:ascii="Times New Roman" w:hAnsi="Times New Roman" w:eastAsia="Times New Roman" w:cs="Times New Roman"/>
          <w:sz w:val="21"/>
          <w:szCs w:val="21"/>
        </w:rPr>
      </w:pPr>
      <w:r>
        <w:rPr>
          <w:rFonts w:ascii="SimSun" w:hAnsi="SimSun" w:eastAsia="SimSun" w:cs="SimSun"/>
          <w:sz w:val="21"/>
          <w:szCs w:val="21"/>
          <w:spacing w:val="-9"/>
          <w:w w:val="91"/>
        </w:rPr>
        <w:t>①</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9"/>
          <w:w w:val="91"/>
        </w:rPr>
        <w:t>L.Karabarbounis,B.Neiman,“The Global Decline of</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9"/>
          <w:w w:val="91"/>
        </w:rPr>
        <w:t>the Lab</w:t>
      </w:r>
      <w:r>
        <w:rPr>
          <w:rFonts w:ascii="Times New Roman" w:hAnsi="Times New Roman" w:eastAsia="Times New Roman" w:cs="Times New Roman"/>
          <w:sz w:val="21"/>
          <w:szCs w:val="21"/>
          <w:spacing w:val="-10"/>
          <w:w w:val="91"/>
        </w:rPr>
        <w:t>or Share”,The Quarterly</w:t>
      </w:r>
    </w:p>
    <w:p>
      <w:pPr>
        <w:ind w:left="299"/>
        <w:spacing w:before="58" w:line="199"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i/>
          <w:iCs/>
          <w:position w:val="2"/>
        </w:rPr>
        <w:t>Journal</w:t>
      </w:r>
      <w:r>
        <w:rPr>
          <w:rFonts w:ascii="Times New Roman" w:hAnsi="Times New Roman" w:eastAsia="Times New Roman" w:cs="Times New Roman"/>
          <w:sz w:val="15"/>
          <w:szCs w:val="15"/>
          <w:i/>
          <w:iCs/>
          <w:spacing w:val="9"/>
          <w:position w:val="2"/>
        </w:rPr>
        <w:t xml:space="preserve">     </w:t>
      </w:r>
      <w:r>
        <w:rPr>
          <w:rFonts w:ascii="Times New Roman" w:hAnsi="Times New Roman" w:eastAsia="Times New Roman" w:cs="Times New Roman"/>
          <w:sz w:val="15"/>
          <w:szCs w:val="15"/>
          <w:i/>
          <w:iCs/>
          <w:position w:val="2"/>
        </w:rPr>
        <w:t>of</w:t>
      </w:r>
      <w:r>
        <w:rPr>
          <w:rFonts w:ascii="Times New Roman" w:hAnsi="Times New Roman" w:eastAsia="Times New Roman" w:cs="Times New Roman"/>
          <w:sz w:val="15"/>
          <w:szCs w:val="15"/>
          <w:i/>
          <w:iCs/>
          <w:spacing w:val="8"/>
          <w:position w:val="2"/>
        </w:rPr>
        <w:t xml:space="preserve">    </w:t>
      </w:r>
      <w:r>
        <w:rPr>
          <w:rFonts w:ascii="Times New Roman" w:hAnsi="Times New Roman" w:eastAsia="Times New Roman" w:cs="Times New Roman"/>
          <w:sz w:val="15"/>
          <w:szCs w:val="15"/>
          <w:i/>
          <w:iCs/>
          <w:position w:val="2"/>
        </w:rPr>
        <w:t>Economics</w:t>
      </w:r>
      <w:r>
        <w:rPr>
          <w:rFonts w:ascii="Times New Roman" w:hAnsi="Times New Roman" w:eastAsia="Times New Roman" w:cs="Times New Roman"/>
          <w:sz w:val="15"/>
          <w:szCs w:val="15"/>
          <w:i/>
          <w:iCs/>
          <w:spacing w:val="1"/>
          <w:position w:val="2"/>
        </w:rPr>
        <w:t>,2014,129(1):61-103.</w:t>
      </w:r>
    </w:p>
    <w:p>
      <w:pPr>
        <w:spacing w:line="199" w:lineRule="exact"/>
        <w:sectPr>
          <w:headerReference w:type="default" r:id="rId209"/>
          <w:pgSz w:w="7330" w:h="12480"/>
          <w:pgMar w:top="509" w:right="584" w:bottom="400" w:left="670" w:header="354" w:footer="0" w:gutter="0"/>
        </w:sectPr>
        <w:rPr>
          <w:rFonts w:ascii="Times New Roman" w:hAnsi="Times New Roman" w:eastAsia="Times New Roman" w:cs="Times New Roman"/>
          <w:sz w:val="15"/>
          <w:szCs w:val="15"/>
        </w:rPr>
      </w:pPr>
    </w:p>
    <w:p>
      <w:pPr>
        <w:pStyle w:val="BodyText"/>
        <w:spacing w:line="252" w:lineRule="auto"/>
        <w:rPr/>
      </w:pPr>
      <w:r>
        <w:drawing>
          <wp:anchor distT="0" distB="0" distL="0" distR="0" simplePos="0" relativeHeight="253474816" behindDoc="0" locked="0" layoutInCell="0" allowOverlap="1">
            <wp:simplePos x="0" y="0"/>
            <wp:positionH relativeFrom="page">
              <wp:posOffset>234961</wp:posOffset>
            </wp:positionH>
            <wp:positionV relativeFrom="page">
              <wp:posOffset>5524531</wp:posOffset>
            </wp:positionV>
            <wp:extent cx="1168384" cy="6350"/>
            <wp:effectExtent l="0" t="0" r="0" b="0"/>
            <wp:wrapNone/>
            <wp:docPr id="166" name="IM 166"/>
            <wp:cNvGraphicFramePr/>
            <a:graphic>
              <a:graphicData uri="http://schemas.openxmlformats.org/drawingml/2006/picture">
                <pic:pic>
                  <pic:nvPicPr>
                    <pic:cNvPr id="166" name="IM 166"/>
                    <pic:cNvPicPr/>
                  </pic:nvPicPr>
                  <pic:blipFill>
                    <a:blip r:embed="rId212"/>
                    <a:stretch>
                      <a:fillRect/>
                    </a:stretch>
                  </pic:blipFill>
                  <pic:spPr>
                    <a:xfrm rot="0">
                      <a:off x="0" y="0"/>
                      <a:ext cx="1168384" cy="6350"/>
                    </a:xfrm>
                    <a:prstGeom prst="rect">
                      <a:avLst/>
                    </a:prstGeom>
                  </pic:spPr>
                </pic:pic>
              </a:graphicData>
            </a:graphic>
          </wp:anchor>
        </w:drawing>
      </w:r>
      <w:r/>
    </w:p>
    <w:p>
      <w:pPr>
        <w:pStyle w:val="BodyText"/>
        <w:spacing w:line="252" w:lineRule="auto"/>
        <w:rPr/>
      </w:pPr>
      <w:r/>
    </w:p>
    <w:p>
      <w:pPr>
        <w:pStyle w:val="BodyText"/>
        <w:spacing w:line="253" w:lineRule="auto"/>
        <w:rPr/>
      </w:pPr>
      <w:r/>
    </w:p>
    <w:p>
      <w:pPr>
        <w:pStyle w:val="BodyText"/>
        <w:spacing w:line="253" w:lineRule="auto"/>
        <w:rPr/>
      </w:pPr>
      <w:r/>
    </w:p>
    <w:p>
      <w:pPr>
        <w:spacing w:before="68" w:line="298" w:lineRule="auto"/>
        <w:jc w:val="both"/>
        <w:rPr>
          <w:rFonts w:ascii="SimSun" w:hAnsi="SimSun" w:eastAsia="SimSun" w:cs="SimSun"/>
          <w:sz w:val="21"/>
          <w:szCs w:val="21"/>
        </w:rPr>
      </w:pPr>
      <w:r>
        <w:rPr>
          <w:rFonts w:ascii="SimSun" w:hAnsi="SimSun" w:eastAsia="SimSun" w:cs="SimSun"/>
          <w:sz w:val="21"/>
          <w:szCs w:val="21"/>
          <w:spacing w:val="-4"/>
        </w:rPr>
        <w:t>劳动力之间的收入差距。本泽尔等通过构建两阶段世代交替模型发 </w:t>
      </w:r>
      <w:r>
        <w:rPr>
          <w:rFonts w:ascii="SimSun" w:hAnsi="SimSun" w:eastAsia="SimSun" w:cs="SimSun"/>
          <w:sz w:val="21"/>
          <w:szCs w:val="21"/>
          <w:spacing w:val="-10"/>
        </w:rPr>
        <w:t>现，随着时间的推移，人工智能生产率的提高会使资本在国民收入中</w:t>
      </w:r>
      <w:r>
        <w:rPr>
          <w:rFonts w:ascii="SimSun" w:hAnsi="SimSun" w:eastAsia="SimSun" w:cs="SimSun"/>
          <w:sz w:val="21"/>
          <w:szCs w:val="21"/>
          <w:spacing w:val="10"/>
        </w:rPr>
        <w:t xml:space="preserve"> </w:t>
      </w:r>
      <w:r>
        <w:rPr>
          <w:rFonts w:ascii="SimSun" w:hAnsi="SimSun" w:eastAsia="SimSun" w:cs="SimSun"/>
          <w:sz w:val="21"/>
          <w:szCs w:val="21"/>
          <w:spacing w:val="-10"/>
        </w:rPr>
        <w:t>的份额上升，而劳动所占份额不断下降。①邵文波和盛丹通过构建</w:t>
      </w:r>
      <w:r>
        <w:rPr>
          <w:rFonts w:ascii="SimSun" w:hAnsi="SimSun" w:eastAsia="SimSun" w:cs="SimSun"/>
          <w:sz w:val="21"/>
          <w:szCs w:val="21"/>
          <w:spacing w:val="-11"/>
        </w:rPr>
        <w:t>异 </w:t>
      </w:r>
      <w:r>
        <w:rPr>
          <w:rFonts w:ascii="SimSun" w:hAnsi="SimSun" w:eastAsia="SimSun" w:cs="SimSun"/>
          <w:sz w:val="21"/>
          <w:szCs w:val="21"/>
          <w:spacing w:val="-10"/>
        </w:rPr>
        <w:t>质性企业模型讨论了信息化与中国企业吸纳就</w:t>
      </w:r>
      <w:r>
        <w:rPr>
          <w:rFonts w:ascii="SimSun" w:hAnsi="SimSun" w:eastAsia="SimSun" w:cs="SimSun"/>
          <w:sz w:val="21"/>
          <w:szCs w:val="21"/>
          <w:spacing w:val="-11"/>
        </w:rPr>
        <w:t>业下降的关系，并用中</w:t>
      </w:r>
      <w:r>
        <w:rPr>
          <w:rFonts w:ascii="SimSun" w:hAnsi="SimSun" w:eastAsia="SimSun" w:cs="SimSun"/>
          <w:sz w:val="21"/>
          <w:szCs w:val="21"/>
        </w:rPr>
        <w:t xml:space="preserve"> </w:t>
      </w:r>
      <w:r>
        <w:rPr>
          <w:rFonts w:ascii="SimSun" w:hAnsi="SimSun" w:eastAsia="SimSun" w:cs="SimSun"/>
          <w:sz w:val="21"/>
          <w:szCs w:val="21"/>
          <w:spacing w:val="-11"/>
        </w:rPr>
        <w:t>国工业企业数据库进行了验证，发现信息化的发展会带来劳动收入占</w:t>
      </w:r>
      <w:r>
        <w:rPr>
          <w:rFonts w:ascii="SimSun" w:hAnsi="SimSun" w:eastAsia="SimSun" w:cs="SimSun"/>
          <w:sz w:val="21"/>
          <w:szCs w:val="21"/>
          <w:spacing w:val="7"/>
        </w:rPr>
        <w:t xml:space="preserve">  </w:t>
      </w:r>
      <w:r>
        <w:rPr>
          <w:rFonts w:ascii="SimSun" w:hAnsi="SimSun" w:eastAsia="SimSun" w:cs="SimSun"/>
          <w:sz w:val="21"/>
          <w:szCs w:val="21"/>
          <w:spacing w:val="-8"/>
        </w:rPr>
        <w:t>比的普遍下降。②郭凯明曾通过建立一个多部门动态一般均衡模型，</w:t>
      </w:r>
      <w:r>
        <w:rPr>
          <w:rFonts w:ascii="SimSun" w:hAnsi="SimSun" w:eastAsia="SimSun" w:cs="SimSun"/>
          <w:sz w:val="21"/>
          <w:szCs w:val="21"/>
          <w:spacing w:val="13"/>
        </w:rPr>
        <w:t xml:space="preserve"> </w:t>
      </w:r>
      <w:r>
        <w:rPr>
          <w:rFonts w:ascii="SimSun" w:hAnsi="SimSun" w:eastAsia="SimSun" w:cs="SimSun"/>
          <w:sz w:val="21"/>
          <w:szCs w:val="21"/>
          <w:spacing w:val="-4"/>
        </w:rPr>
        <w:t>指出人工智能相关技术的提高，会促使生产要素在产业部门间的流 </w:t>
      </w:r>
      <w:r>
        <w:rPr>
          <w:rFonts w:ascii="SimSun" w:hAnsi="SimSun" w:eastAsia="SimSun" w:cs="SimSun"/>
          <w:sz w:val="21"/>
          <w:szCs w:val="21"/>
          <w:spacing w:val="-10"/>
        </w:rPr>
        <w:t>动，从而导致劳动收入份额的变动。③余玲铮等基于广东企业调查</w:t>
      </w:r>
      <w:r>
        <w:rPr>
          <w:rFonts w:ascii="SimSun" w:hAnsi="SimSun" w:eastAsia="SimSun" w:cs="SimSun"/>
          <w:sz w:val="21"/>
          <w:szCs w:val="21"/>
          <w:spacing w:val="-11"/>
        </w:rPr>
        <w:t>数 </w:t>
      </w:r>
      <w:r>
        <w:rPr>
          <w:rFonts w:ascii="SimSun" w:hAnsi="SimSun" w:eastAsia="SimSun" w:cs="SimSun"/>
          <w:sz w:val="21"/>
          <w:szCs w:val="21"/>
          <w:spacing w:val="-10"/>
        </w:rPr>
        <w:t>据实证研究发现，由于机器人促进劳动生产率的增幅高于工资率的</w:t>
      </w:r>
      <w:r>
        <w:rPr>
          <w:rFonts w:ascii="SimSun" w:hAnsi="SimSun" w:eastAsia="SimSun" w:cs="SimSun"/>
          <w:sz w:val="21"/>
          <w:szCs w:val="21"/>
          <w:spacing w:val="-11"/>
        </w:rPr>
        <w:t>增 </w:t>
      </w:r>
      <w:r>
        <w:rPr>
          <w:rFonts w:ascii="SimSun" w:hAnsi="SimSun" w:eastAsia="SimSun" w:cs="SimSun"/>
          <w:sz w:val="21"/>
          <w:szCs w:val="21"/>
          <w:spacing w:val="-14"/>
        </w:rPr>
        <w:t>幅，从而使劳动收入份额下降。④</w:t>
      </w:r>
    </w:p>
    <w:p>
      <w:pPr>
        <w:ind w:right="49" w:firstLine="430"/>
        <w:spacing w:before="198" w:line="304" w:lineRule="auto"/>
        <w:jc w:val="both"/>
        <w:rPr>
          <w:rFonts w:ascii="SimSun" w:hAnsi="SimSun" w:eastAsia="SimSun" w:cs="SimSun"/>
          <w:sz w:val="21"/>
          <w:szCs w:val="21"/>
        </w:rPr>
      </w:pPr>
      <w:r>
        <w:rPr>
          <w:rFonts w:ascii="SimSun" w:hAnsi="SimSun" w:eastAsia="SimSun" w:cs="SimSun"/>
          <w:sz w:val="21"/>
          <w:szCs w:val="21"/>
          <w:spacing w:val="-4"/>
        </w:rPr>
        <w:t>其次，由于平台经济具有明显的规模效应，大部分互联网细分</w:t>
      </w:r>
      <w:r>
        <w:rPr>
          <w:rFonts w:ascii="SimSun" w:hAnsi="SimSun" w:eastAsia="SimSun" w:cs="SimSun"/>
          <w:sz w:val="21"/>
          <w:szCs w:val="21"/>
          <w:spacing w:val="5"/>
        </w:rPr>
        <w:t xml:space="preserve"> </w:t>
      </w:r>
      <w:r>
        <w:rPr>
          <w:rFonts w:ascii="SimSun" w:hAnsi="SimSun" w:eastAsia="SimSun" w:cs="SimSun"/>
          <w:sz w:val="21"/>
          <w:szCs w:val="21"/>
          <w:spacing w:val="-3"/>
        </w:rPr>
        <w:t>行业在经过激烈的市场竞争后，会形成一两家平台占</w:t>
      </w:r>
      <w:r>
        <w:rPr>
          <w:rFonts w:ascii="SimSun" w:hAnsi="SimSun" w:eastAsia="SimSun" w:cs="SimSun"/>
          <w:sz w:val="21"/>
          <w:szCs w:val="21"/>
          <w:spacing w:val="-4"/>
        </w:rPr>
        <w:t>主导的市场格</w:t>
      </w:r>
      <w:r>
        <w:rPr>
          <w:rFonts w:ascii="SimSun" w:hAnsi="SimSun" w:eastAsia="SimSun" w:cs="SimSun"/>
          <w:sz w:val="21"/>
          <w:szCs w:val="21"/>
        </w:rPr>
        <w:t xml:space="preserve"> </w:t>
      </w:r>
      <w:r>
        <w:rPr>
          <w:rFonts w:ascii="SimSun" w:hAnsi="SimSun" w:eastAsia="SimSun" w:cs="SimSun"/>
          <w:sz w:val="21"/>
          <w:szCs w:val="21"/>
          <w:spacing w:val="-10"/>
        </w:rPr>
        <w:t>局，从而出现垄断。如果垄断者利用垄断地位持续获取超额回</w:t>
      </w:r>
      <w:r>
        <w:rPr>
          <w:rFonts w:ascii="SimSun" w:hAnsi="SimSun" w:eastAsia="SimSun" w:cs="SimSun"/>
          <w:sz w:val="21"/>
          <w:szCs w:val="21"/>
          <w:spacing w:val="-11"/>
        </w:rPr>
        <w:t>报，会</w:t>
      </w:r>
      <w:r>
        <w:rPr>
          <w:rFonts w:ascii="SimSun" w:hAnsi="SimSun" w:eastAsia="SimSun" w:cs="SimSun"/>
          <w:sz w:val="21"/>
          <w:szCs w:val="21"/>
        </w:rPr>
        <w:t xml:space="preserve"> </w:t>
      </w:r>
      <w:r>
        <w:rPr>
          <w:rFonts w:ascii="SimSun" w:hAnsi="SimSun" w:eastAsia="SimSun" w:cs="SimSun"/>
          <w:sz w:val="21"/>
          <w:szCs w:val="21"/>
          <w:spacing w:val="-10"/>
        </w:rPr>
        <w:t>对整体社会福利造成损害。例如，为了在竞争中胜出，许多平台</w:t>
      </w:r>
      <w:r>
        <w:rPr>
          <w:rFonts w:ascii="SimSun" w:hAnsi="SimSun" w:eastAsia="SimSun" w:cs="SimSun"/>
          <w:sz w:val="21"/>
          <w:szCs w:val="21"/>
          <w:spacing w:val="-11"/>
        </w:rPr>
        <w:t>在早</w:t>
      </w:r>
      <w:r>
        <w:rPr>
          <w:rFonts w:ascii="SimSun" w:hAnsi="SimSun" w:eastAsia="SimSun" w:cs="SimSun"/>
          <w:sz w:val="21"/>
          <w:szCs w:val="21"/>
        </w:rPr>
        <w:t xml:space="preserve"> </w:t>
      </w:r>
      <w:r>
        <w:rPr>
          <w:rFonts w:ascii="SimSun" w:hAnsi="SimSun" w:eastAsia="SimSun" w:cs="SimSun"/>
          <w:sz w:val="21"/>
          <w:szCs w:val="21"/>
          <w:spacing w:val="-10"/>
        </w:rPr>
        <w:t>期会利用资金优势为供需双方提供高额补贴，以获取尽可能大的市场</w:t>
      </w:r>
      <w:r>
        <w:rPr>
          <w:rFonts w:ascii="SimSun" w:hAnsi="SimSun" w:eastAsia="SimSun" w:cs="SimSun"/>
          <w:sz w:val="21"/>
          <w:szCs w:val="21"/>
          <w:spacing w:val="1"/>
        </w:rPr>
        <w:t xml:space="preserve"> </w:t>
      </w:r>
      <w:r>
        <w:rPr>
          <w:rFonts w:ascii="SimSun" w:hAnsi="SimSun" w:eastAsia="SimSun" w:cs="SimSun"/>
          <w:sz w:val="21"/>
          <w:szCs w:val="21"/>
          <w:spacing w:val="-10"/>
        </w:rPr>
        <w:t>份额；等市场地位稳固后，平台则会逐步取消相关补贴，具体表现为</w:t>
      </w:r>
      <w:r>
        <w:rPr>
          <w:rFonts w:ascii="SimSun" w:hAnsi="SimSun" w:eastAsia="SimSun" w:cs="SimSun"/>
          <w:sz w:val="21"/>
          <w:szCs w:val="21"/>
        </w:rPr>
        <w:t xml:space="preserve"> </w:t>
      </w:r>
      <w:r>
        <w:rPr>
          <w:rFonts w:ascii="SimSun" w:hAnsi="SimSun" w:eastAsia="SimSun" w:cs="SimSun"/>
          <w:sz w:val="21"/>
          <w:szCs w:val="21"/>
          <w:spacing w:val="-9"/>
        </w:rPr>
        <w:t>网约车或外卖费用大幅上涨、骑手和司机分成下降、平</w:t>
      </w:r>
      <w:r>
        <w:rPr>
          <w:rFonts w:ascii="SimSun" w:hAnsi="SimSun" w:eastAsia="SimSun" w:cs="SimSun"/>
          <w:sz w:val="21"/>
          <w:szCs w:val="21"/>
          <w:spacing w:val="-10"/>
        </w:rPr>
        <w:t>台商户面临的</w:t>
      </w:r>
      <w:r>
        <w:rPr>
          <w:rFonts w:ascii="SimSun" w:hAnsi="SimSun" w:eastAsia="SimSun" w:cs="SimSun"/>
          <w:sz w:val="21"/>
          <w:szCs w:val="21"/>
        </w:rPr>
        <w:t xml:space="preserve"> </w:t>
      </w:r>
      <w:r>
        <w:rPr>
          <w:rFonts w:ascii="SimSun" w:hAnsi="SimSun" w:eastAsia="SimSun" w:cs="SimSun"/>
          <w:sz w:val="21"/>
          <w:szCs w:val="21"/>
          <w:spacing w:val="-10"/>
        </w:rPr>
        <w:t>营销费用提升等，这些现象在一定程度上引发了人们对平台经济的担</w:t>
      </w:r>
    </w:p>
    <w:p>
      <w:pPr>
        <w:pStyle w:val="BodyText"/>
        <w:spacing w:line="276" w:lineRule="auto"/>
        <w:rPr/>
      </w:pPr>
      <w:r/>
    </w:p>
    <w:p>
      <w:pPr>
        <w:pStyle w:val="BodyText"/>
        <w:spacing w:line="276" w:lineRule="auto"/>
        <w:rPr/>
      </w:pPr>
      <w:r/>
    </w:p>
    <w:p>
      <w:pPr>
        <w:spacing w:before="52"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67"/>
        </w:rPr>
        <w:t xml:space="preserve"> </w:t>
      </w:r>
      <w:r>
        <w:rPr>
          <w:rFonts w:ascii="Times New Roman" w:hAnsi="Times New Roman" w:eastAsia="Times New Roman" w:cs="Times New Roman"/>
          <w:sz w:val="16"/>
          <w:szCs w:val="16"/>
        </w:rPr>
        <w:t>S.G.Benzell,L.J.Kotlikoff,G.LaGarda,J.D.Sachs,“Robots               Are                Us:Some</w:t>
      </w:r>
    </w:p>
    <w:p>
      <w:pPr>
        <w:ind w:left="300"/>
        <w:spacing w:before="12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Economics</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rPr>
        <w:t>Human</w:t>
      </w:r>
      <w:r>
        <w:rPr>
          <w:rFonts w:ascii="Times New Roman" w:hAnsi="Times New Roman" w:eastAsia="Times New Roman" w:cs="Times New Roman"/>
          <w:sz w:val="16"/>
          <w:szCs w:val="16"/>
          <w:spacing w:val="27"/>
        </w:rPr>
        <w:t xml:space="preserve"> </w:t>
      </w:r>
      <w:r>
        <w:rPr>
          <w:rFonts w:ascii="Times New Roman" w:hAnsi="Times New Roman" w:eastAsia="Times New Roman" w:cs="Times New Roman"/>
          <w:sz w:val="16"/>
          <w:szCs w:val="16"/>
        </w:rPr>
        <w:t>Replacement",National</w:t>
      </w:r>
      <w:r>
        <w:rPr>
          <w:rFonts w:ascii="Times New Roman" w:hAnsi="Times New Roman" w:eastAsia="Times New Roman" w:cs="Times New Roman"/>
          <w:sz w:val="16"/>
          <w:szCs w:val="16"/>
          <w:spacing w:val="27"/>
          <w:w w:val="101"/>
        </w:rPr>
        <w:t xml:space="preserve"> </w:t>
      </w:r>
      <w:r>
        <w:rPr>
          <w:rFonts w:ascii="Times New Roman" w:hAnsi="Times New Roman" w:eastAsia="Times New Roman" w:cs="Times New Roman"/>
          <w:sz w:val="16"/>
          <w:szCs w:val="16"/>
        </w:rPr>
        <w:t>Bureau</w:t>
      </w:r>
      <w:r>
        <w:rPr>
          <w:rFonts w:ascii="Times New Roman" w:hAnsi="Times New Roman" w:eastAsia="Times New Roman" w:cs="Times New Roman"/>
          <w:sz w:val="16"/>
          <w:szCs w:val="16"/>
          <w:spacing w:val="29"/>
          <w:w w:val="102"/>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rPr>
        <w:t>Economic</w:t>
      </w:r>
      <w:r>
        <w:rPr>
          <w:rFonts w:ascii="Times New Roman" w:hAnsi="Times New Roman" w:eastAsia="Times New Roman" w:cs="Times New Roman"/>
          <w:sz w:val="16"/>
          <w:szCs w:val="16"/>
          <w:spacing w:val="27"/>
        </w:rPr>
        <w:t xml:space="preserve"> </w:t>
      </w:r>
      <w:r>
        <w:rPr>
          <w:rFonts w:ascii="Times New Roman" w:hAnsi="Times New Roman" w:eastAsia="Times New Roman" w:cs="Times New Roman"/>
          <w:sz w:val="16"/>
          <w:szCs w:val="16"/>
        </w:rPr>
        <w:t>Research</w:t>
      </w:r>
      <w:r>
        <w:rPr>
          <w:rFonts w:ascii="Times New Roman" w:hAnsi="Times New Roman" w:eastAsia="Times New Roman" w:cs="Times New Roman"/>
          <w:sz w:val="16"/>
          <w:szCs w:val="16"/>
          <w:spacing w:val="26"/>
          <w:w w:val="102"/>
        </w:rPr>
        <w:t xml:space="preserve"> </w:t>
      </w:r>
      <w:r>
        <w:rPr>
          <w:rFonts w:ascii="Times New Roman" w:hAnsi="Times New Roman" w:eastAsia="Times New Roman" w:cs="Times New Roman"/>
          <w:sz w:val="16"/>
          <w:szCs w:val="16"/>
        </w:rPr>
        <w:t>Wor</w:t>
      </w:r>
      <w:r>
        <w:rPr>
          <w:rFonts w:ascii="Times New Roman" w:hAnsi="Times New Roman" w:eastAsia="Times New Roman" w:cs="Times New Roman"/>
          <w:sz w:val="16"/>
          <w:szCs w:val="16"/>
          <w:spacing w:val="-1"/>
        </w:rPr>
        <w:t>king</w:t>
      </w:r>
    </w:p>
    <w:p>
      <w:pPr>
        <w:ind w:left="300"/>
        <w:spacing w:before="14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Paper   Series,No.20941,2015.</w:t>
      </w:r>
    </w:p>
    <w:p>
      <w:pPr>
        <w:ind w:left="300" w:right="175" w:hanging="300"/>
        <w:spacing w:before="97" w:line="282" w:lineRule="auto"/>
        <w:rPr>
          <w:rFonts w:ascii="SimSun" w:hAnsi="SimSun" w:eastAsia="SimSun" w:cs="SimSun"/>
          <w:sz w:val="16"/>
          <w:szCs w:val="16"/>
        </w:rPr>
      </w:pPr>
      <w:r>
        <w:rPr>
          <w:rFonts w:ascii="SimSun" w:hAnsi="SimSun" w:eastAsia="SimSun" w:cs="SimSun"/>
          <w:sz w:val="16"/>
          <w:szCs w:val="16"/>
          <w:spacing w:val="9"/>
        </w:rPr>
        <w:t>②</w:t>
      </w:r>
      <w:r>
        <w:rPr>
          <w:rFonts w:ascii="SimSun" w:hAnsi="SimSun" w:eastAsia="SimSun" w:cs="SimSun"/>
          <w:sz w:val="16"/>
          <w:szCs w:val="16"/>
          <w:spacing w:val="65"/>
        </w:rPr>
        <w:t xml:space="preserve"> </w:t>
      </w:r>
      <w:r>
        <w:rPr>
          <w:rFonts w:ascii="KaiTi" w:hAnsi="KaiTi" w:eastAsia="KaiTi" w:cs="KaiTi"/>
          <w:sz w:val="16"/>
          <w:szCs w:val="16"/>
          <w:spacing w:val="9"/>
        </w:rPr>
        <w:t>邵文波，盛丹.信息化与中国企业就业吸纳</w:t>
      </w:r>
      <w:r>
        <w:rPr>
          <w:rFonts w:ascii="KaiTi" w:hAnsi="KaiTi" w:eastAsia="KaiTi" w:cs="KaiTi"/>
          <w:sz w:val="16"/>
          <w:szCs w:val="16"/>
          <w:spacing w:val="8"/>
        </w:rPr>
        <w:t>下降之谜.经济研究，2017,52(6</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rPr>
        <w:t xml:space="preserve"> </w:t>
      </w:r>
      <w:r>
        <w:rPr>
          <w:rFonts w:ascii="SimSun" w:hAnsi="SimSun" w:eastAsia="SimSun" w:cs="SimSun"/>
          <w:sz w:val="16"/>
          <w:szCs w:val="16"/>
          <w:spacing w:val="-3"/>
        </w:rPr>
        <w:t>120-136.</w:t>
      </w:r>
    </w:p>
    <w:p>
      <w:pPr>
        <w:ind w:left="300" w:right="4" w:hanging="300"/>
        <w:spacing w:before="94" w:line="272" w:lineRule="auto"/>
        <w:rPr>
          <w:rFonts w:ascii="SimSun" w:hAnsi="SimSun" w:eastAsia="SimSun" w:cs="SimSun"/>
          <w:sz w:val="16"/>
          <w:szCs w:val="16"/>
        </w:rPr>
      </w:pPr>
      <w:r>
        <w:rPr>
          <w:rFonts w:ascii="KaiTi" w:hAnsi="KaiTi" w:eastAsia="KaiTi" w:cs="KaiTi"/>
          <w:sz w:val="16"/>
          <w:szCs w:val="16"/>
          <w:spacing w:val="14"/>
        </w:rPr>
        <w:t>③</w:t>
      </w:r>
      <w:r>
        <w:rPr>
          <w:rFonts w:ascii="KaiTi" w:hAnsi="KaiTi" w:eastAsia="KaiTi" w:cs="KaiTi"/>
          <w:sz w:val="16"/>
          <w:szCs w:val="16"/>
          <w:spacing w:val="67"/>
        </w:rPr>
        <w:t xml:space="preserve"> </w:t>
      </w:r>
      <w:r>
        <w:rPr>
          <w:rFonts w:ascii="KaiTi" w:hAnsi="KaiTi" w:eastAsia="KaiTi" w:cs="KaiTi"/>
          <w:sz w:val="16"/>
          <w:szCs w:val="16"/>
          <w:spacing w:val="14"/>
        </w:rPr>
        <w:t>郭凯明.人工智能发展、产业结构转型升级与劳动收入份额</w:t>
      </w:r>
      <w:r>
        <w:rPr>
          <w:rFonts w:ascii="KaiTi" w:hAnsi="KaiTi" w:eastAsia="KaiTi" w:cs="KaiTi"/>
          <w:sz w:val="16"/>
          <w:szCs w:val="16"/>
          <w:spacing w:val="13"/>
        </w:rPr>
        <w:t>变动.管理世界，</w:t>
      </w:r>
      <w:r>
        <w:rPr>
          <w:rFonts w:ascii="KaiTi" w:hAnsi="KaiTi" w:eastAsia="KaiTi" w:cs="KaiTi"/>
          <w:sz w:val="16"/>
          <w:szCs w:val="16"/>
        </w:rPr>
        <w:t xml:space="preserve"> </w:t>
      </w:r>
      <w:r>
        <w:rPr>
          <w:rFonts w:ascii="SimSun" w:hAnsi="SimSun" w:eastAsia="SimSun" w:cs="SimSun"/>
          <w:sz w:val="16"/>
          <w:szCs w:val="16"/>
        </w:rPr>
        <w:t>2019,35(7):60-77,202-203.</w:t>
      </w:r>
    </w:p>
    <w:p>
      <w:pPr>
        <w:ind w:left="300" w:right="62" w:hanging="300"/>
        <w:spacing w:before="98" w:line="266" w:lineRule="auto"/>
        <w:rPr>
          <w:rFonts w:ascii="KaiTi" w:hAnsi="KaiTi" w:eastAsia="KaiTi" w:cs="KaiTi"/>
          <w:sz w:val="16"/>
          <w:szCs w:val="16"/>
        </w:rPr>
      </w:pPr>
      <w:r>
        <w:rPr>
          <w:rFonts w:ascii="KaiTi" w:hAnsi="KaiTi" w:eastAsia="KaiTi" w:cs="KaiTi"/>
          <w:sz w:val="16"/>
          <w:szCs w:val="16"/>
          <w:spacing w:val="5"/>
        </w:rPr>
        <w:t>④</w:t>
      </w:r>
      <w:r>
        <w:rPr>
          <w:rFonts w:ascii="KaiTi" w:hAnsi="KaiTi" w:eastAsia="KaiTi" w:cs="KaiTi"/>
          <w:sz w:val="16"/>
          <w:szCs w:val="16"/>
          <w:spacing w:val="71"/>
        </w:rPr>
        <w:t xml:space="preserve"> </w:t>
      </w:r>
      <w:r>
        <w:rPr>
          <w:rFonts w:ascii="KaiTi" w:hAnsi="KaiTi" w:eastAsia="KaiTi" w:cs="KaiTi"/>
          <w:sz w:val="16"/>
          <w:szCs w:val="16"/>
          <w:spacing w:val="5"/>
        </w:rPr>
        <w:t>余玲铮，魏下海，吴春秀.机器人对劳动收入份额的影响研究——来自企业调查</w:t>
      </w:r>
      <w:r>
        <w:rPr>
          <w:rFonts w:ascii="KaiTi" w:hAnsi="KaiTi" w:eastAsia="KaiTi" w:cs="KaiTi"/>
          <w:sz w:val="16"/>
          <w:szCs w:val="16"/>
        </w:rPr>
        <w:t xml:space="preserve"> </w:t>
      </w:r>
      <w:r>
        <w:rPr>
          <w:rFonts w:ascii="KaiTi" w:hAnsi="KaiTi" w:eastAsia="KaiTi" w:cs="KaiTi"/>
          <w:sz w:val="16"/>
          <w:szCs w:val="16"/>
          <w:spacing w:val="10"/>
        </w:rPr>
        <w:t>的微观证据.中国人口科学，2019(4):114-125,128.</w:t>
      </w:r>
    </w:p>
    <w:p>
      <w:pPr>
        <w:spacing w:line="266" w:lineRule="auto"/>
        <w:sectPr>
          <w:headerReference w:type="default" r:id="rId211"/>
          <w:pgSz w:w="7330" w:h="12480"/>
          <w:pgMar w:top="808" w:right="895" w:bottom="400" w:left="359" w:header="645" w:footer="0" w:gutter="0"/>
        </w:sectPr>
        <w:rPr>
          <w:rFonts w:ascii="KaiTi" w:hAnsi="KaiTi" w:eastAsia="KaiTi" w:cs="KaiTi"/>
          <w:sz w:val="16"/>
          <w:szCs w:val="16"/>
        </w:rPr>
      </w:pPr>
    </w:p>
    <w:p>
      <w:pPr>
        <w:spacing w:line="220" w:lineRule="auto"/>
        <w:rPr>
          <w:rFonts w:ascii="SimHei" w:hAnsi="SimHei" w:eastAsia="SimHei" w:cs="SimHei"/>
          <w:sz w:val="18"/>
          <w:szCs w:val="18"/>
        </w:rPr>
      </w:pPr>
      <w:r>
        <w:drawing>
          <wp:anchor distT="0" distB="0" distL="0" distR="0" simplePos="0" relativeHeight="253485056" behindDoc="0" locked="0" layoutInCell="0" allowOverlap="1">
            <wp:simplePos x="0" y="0"/>
            <wp:positionH relativeFrom="page">
              <wp:posOffset>482583</wp:posOffset>
            </wp:positionH>
            <wp:positionV relativeFrom="page">
              <wp:posOffset>5588009</wp:posOffset>
            </wp:positionV>
            <wp:extent cx="1187469" cy="6350"/>
            <wp:effectExtent l="0" t="0" r="0" b="0"/>
            <wp:wrapNone/>
            <wp:docPr id="168" name="IM 168"/>
            <wp:cNvGraphicFramePr/>
            <a:graphic>
              <a:graphicData uri="http://schemas.openxmlformats.org/drawingml/2006/picture">
                <pic:pic>
                  <pic:nvPicPr>
                    <pic:cNvPr id="168" name="IM 168"/>
                    <pic:cNvPicPr/>
                  </pic:nvPicPr>
                  <pic:blipFill>
                    <a:blip r:embed="rId213"/>
                    <a:stretch>
                      <a:fillRect/>
                    </a:stretch>
                  </pic:blipFill>
                  <pic:spPr>
                    <a:xfrm rot="0">
                      <a:off x="0" y="0"/>
                      <a:ext cx="1187469" cy="6350"/>
                    </a:xfrm>
                    <a:prstGeom prst="rect">
                      <a:avLst/>
                    </a:prstGeom>
                  </pic:spPr>
                </pic:pic>
              </a:graphicData>
            </a:graphic>
          </wp:anchor>
        </w:drawing>
      </w:r>
      <w:r>
        <w:rPr>
          <w:rFonts w:ascii="SimSun" w:hAnsi="SimSun" w:eastAsia="SimSun" w:cs="SimSun"/>
          <w:sz w:val="13"/>
          <w:szCs w:val="13"/>
          <w:spacing w:val="-16"/>
          <w:w w:val="97"/>
          <w:position w:val="-1"/>
        </w:rPr>
        <w:t>168</w:t>
      </w:r>
      <w:r>
        <w:rPr>
          <w:rFonts w:ascii="SimSun" w:hAnsi="SimSun" w:eastAsia="SimSun" w:cs="SimSun"/>
          <w:sz w:val="13"/>
          <w:szCs w:val="13"/>
          <w:spacing w:val="2"/>
          <w:position w:val="-1"/>
        </w:rPr>
        <w:t xml:space="preserve">                        </w:t>
      </w:r>
      <w:r>
        <w:rPr>
          <w:rFonts w:ascii="SimSun" w:hAnsi="SimSun" w:eastAsia="SimSun" w:cs="SimSun"/>
          <w:sz w:val="13"/>
          <w:szCs w:val="13"/>
          <w:spacing w:val="1"/>
          <w:position w:val="-1"/>
        </w:rPr>
        <w:t xml:space="preserve">  </w:t>
      </w:r>
      <w:r>
        <w:rPr>
          <w:rFonts w:ascii="SimHei" w:hAnsi="SimHei" w:eastAsia="SimHei" w:cs="SimHei"/>
          <w:sz w:val="18"/>
          <w:szCs w:val="18"/>
          <w:spacing w:val="-16"/>
          <w:w w:val="97"/>
        </w:rPr>
        <w:t>平台经济——创新、治理与繁荣</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right="35"/>
        <w:spacing w:before="58" w:line="369" w:lineRule="auto"/>
        <w:jc w:val="both"/>
        <w:rPr>
          <w:rFonts w:ascii="SimSun" w:hAnsi="SimSun" w:eastAsia="SimSun" w:cs="SimSun"/>
          <w:sz w:val="18"/>
          <w:szCs w:val="18"/>
        </w:rPr>
      </w:pPr>
      <w:r>
        <w:rPr>
          <w:rFonts w:ascii="SimSun" w:hAnsi="SimSun" w:eastAsia="SimSun" w:cs="SimSun"/>
          <w:sz w:val="18"/>
          <w:szCs w:val="18"/>
          <w:spacing w:val="20"/>
        </w:rPr>
        <w:t>忧。怀特认为，数字经济为少数垄断组织或个人提供了更大的利润和</w:t>
      </w:r>
      <w:r>
        <w:rPr>
          <w:rFonts w:ascii="SimSun" w:hAnsi="SimSun" w:eastAsia="SimSun" w:cs="SimSun"/>
          <w:sz w:val="18"/>
          <w:szCs w:val="18"/>
          <w:spacing w:val="3"/>
        </w:rPr>
        <w:t xml:space="preserve"> </w:t>
      </w:r>
      <w:r>
        <w:rPr>
          <w:rFonts w:ascii="SimSun" w:hAnsi="SimSun" w:eastAsia="SimSun" w:cs="SimSun"/>
          <w:sz w:val="18"/>
          <w:szCs w:val="18"/>
          <w:spacing w:val="19"/>
        </w:rPr>
        <w:t>回报，而大多数人却为了一般的收入辛勤工作，从而使市场上的不平</w:t>
      </w:r>
      <w:r>
        <w:rPr>
          <w:rFonts w:ascii="SimSun" w:hAnsi="SimSun" w:eastAsia="SimSun" w:cs="SimSun"/>
          <w:sz w:val="18"/>
          <w:szCs w:val="18"/>
          <w:spacing w:val="7"/>
        </w:rPr>
        <w:t xml:space="preserve"> </w:t>
      </w:r>
      <w:r>
        <w:rPr>
          <w:rFonts w:ascii="SimSun" w:hAnsi="SimSun" w:eastAsia="SimSun" w:cs="SimSun"/>
          <w:sz w:val="18"/>
          <w:szCs w:val="18"/>
          <w:spacing w:val="20"/>
        </w:rPr>
        <w:t>等变得更加明显。①谢富胜等通过马克思主义政治经济学分析，指出</w:t>
      </w:r>
      <w:r>
        <w:rPr>
          <w:rFonts w:ascii="SimSun" w:hAnsi="SimSun" w:eastAsia="SimSun" w:cs="SimSun"/>
          <w:sz w:val="18"/>
          <w:szCs w:val="18"/>
          <w:spacing w:val="10"/>
        </w:rPr>
        <w:t xml:space="preserve"> </w:t>
      </w:r>
      <w:r>
        <w:rPr>
          <w:rFonts w:ascii="SimSun" w:hAnsi="SimSun" w:eastAsia="SimSun" w:cs="SimSun"/>
          <w:sz w:val="18"/>
          <w:szCs w:val="18"/>
          <w:spacing w:val="20"/>
        </w:rPr>
        <w:t>平台经济会导致不稳定的就业和工资。②数字平台通过对交易途径和</w:t>
      </w:r>
      <w:r>
        <w:rPr>
          <w:rFonts w:ascii="SimSun" w:hAnsi="SimSun" w:eastAsia="SimSun" w:cs="SimSun"/>
          <w:sz w:val="18"/>
          <w:szCs w:val="18"/>
          <w:spacing w:val="4"/>
        </w:rPr>
        <w:t xml:space="preserve"> </w:t>
      </w:r>
      <w:r>
        <w:rPr>
          <w:rFonts w:ascii="SimSun" w:hAnsi="SimSun" w:eastAsia="SimSun" w:cs="SimSun"/>
          <w:sz w:val="18"/>
          <w:szCs w:val="18"/>
          <w:spacing w:val="20"/>
        </w:rPr>
        <w:t>数据的垄断，使劳动者除了出卖劳动力、“自愿”延长劳动时间外别</w:t>
      </w:r>
      <w:r>
        <w:rPr>
          <w:rFonts w:ascii="SimSun" w:hAnsi="SimSun" w:eastAsia="SimSun" w:cs="SimSun"/>
          <w:sz w:val="18"/>
          <w:szCs w:val="18"/>
          <w:spacing w:val="3"/>
        </w:rPr>
        <w:t xml:space="preserve"> </w:t>
      </w:r>
      <w:r>
        <w:rPr>
          <w:rFonts w:ascii="SimSun" w:hAnsi="SimSun" w:eastAsia="SimSun" w:cs="SimSun"/>
          <w:sz w:val="18"/>
          <w:szCs w:val="18"/>
          <w:spacing w:val="21"/>
        </w:rPr>
        <w:t>无选择，而且平台通过灵活性规避了正式的劳动雇佣</w:t>
      </w:r>
      <w:r>
        <w:rPr>
          <w:rFonts w:ascii="SimSun" w:hAnsi="SimSun" w:eastAsia="SimSun" w:cs="SimSun"/>
          <w:sz w:val="18"/>
          <w:szCs w:val="18"/>
          <w:spacing w:val="20"/>
        </w:rPr>
        <w:t>关系，将风险和</w:t>
      </w:r>
      <w:r>
        <w:rPr>
          <w:rFonts w:ascii="SimSun" w:hAnsi="SimSun" w:eastAsia="SimSun" w:cs="SimSun"/>
          <w:sz w:val="18"/>
          <w:szCs w:val="18"/>
        </w:rPr>
        <w:t xml:space="preserve"> </w:t>
      </w:r>
      <w:r>
        <w:rPr>
          <w:rFonts w:ascii="SimSun" w:hAnsi="SimSun" w:eastAsia="SimSun" w:cs="SimSun"/>
          <w:sz w:val="18"/>
          <w:szCs w:val="18"/>
          <w:spacing w:val="20"/>
        </w:rPr>
        <w:t>成本全部转嫁给了劳动者，造成其收入的不稳定。陈龙根据田野</w:t>
      </w:r>
      <w:r>
        <w:rPr>
          <w:rFonts w:ascii="SimSun" w:hAnsi="SimSun" w:eastAsia="SimSun" w:cs="SimSun"/>
          <w:sz w:val="18"/>
          <w:szCs w:val="18"/>
          <w:spacing w:val="19"/>
        </w:rPr>
        <w:t>调查</w:t>
      </w:r>
      <w:r>
        <w:rPr>
          <w:rFonts w:ascii="SimSun" w:hAnsi="SimSun" w:eastAsia="SimSun" w:cs="SimSun"/>
          <w:sz w:val="18"/>
          <w:szCs w:val="18"/>
        </w:rPr>
        <w:t xml:space="preserve"> </w:t>
      </w:r>
      <w:r>
        <w:rPr>
          <w:rFonts w:ascii="SimSun" w:hAnsi="SimSun" w:eastAsia="SimSun" w:cs="SimSun"/>
          <w:sz w:val="18"/>
          <w:szCs w:val="18"/>
          <w:spacing w:val="20"/>
        </w:rPr>
        <w:t>指出，在一两家互联网平台独大的市场格局下，奖惩比例出现严</w:t>
      </w:r>
      <w:r>
        <w:rPr>
          <w:rFonts w:ascii="SimSun" w:hAnsi="SimSun" w:eastAsia="SimSun" w:cs="SimSun"/>
          <w:sz w:val="18"/>
          <w:szCs w:val="18"/>
          <w:spacing w:val="19"/>
        </w:rPr>
        <w:t>重失</w:t>
      </w:r>
      <w:r>
        <w:rPr>
          <w:rFonts w:ascii="SimSun" w:hAnsi="SimSun" w:eastAsia="SimSun" w:cs="SimSun"/>
          <w:sz w:val="18"/>
          <w:szCs w:val="18"/>
        </w:rPr>
        <w:t xml:space="preserve"> </w:t>
      </w:r>
      <w:r>
        <w:rPr>
          <w:rFonts w:ascii="SimSun" w:hAnsi="SimSun" w:eastAsia="SimSun" w:cs="SimSun"/>
          <w:sz w:val="18"/>
          <w:szCs w:val="18"/>
          <w:spacing w:val="20"/>
        </w:rPr>
        <w:t>衡情况，好评奖励被取消，而差评处罚却更加严苛，这种转变不利于</w:t>
      </w:r>
    </w:p>
    <w:p>
      <w:pPr>
        <w:spacing w:line="219" w:lineRule="auto"/>
        <w:rPr>
          <w:rFonts w:ascii="SimSun" w:hAnsi="SimSun" w:eastAsia="SimSun" w:cs="SimSun"/>
          <w:sz w:val="18"/>
          <w:szCs w:val="18"/>
        </w:rPr>
      </w:pPr>
      <w:r>
        <w:rPr>
          <w:rFonts w:ascii="SimSun" w:hAnsi="SimSun" w:eastAsia="SimSun" w:cs="SimSun"/>
          <w:sz w:val="18"/>
          <w:szCs w:val="18"/>
          <w:spacing w:val="20"/>
        </w:rPr>
        <w:t>劳动者的收入增长。@</w:t>
      </w:r>
    </w:p>
    <w:p>
      <w:pPr>
        <w:ind w:right="42" w:firstLine="440"/>
        <w:spacing w:before="146" w:line="369" w:lineRule="auto"/>
        <w:jc w:val="both"/>
        <w:rPr>
          <w:rFonts w:ascii="SimSun" w:hAnsi="SimSun" w:eastAsia="SimSun" w:cs="SimSun"/>
          <w:sz w:val="18"/>
          <w:szCs w:val="18"/>
        </w:rPr>
      </w:pPr>
      <w:r>
        <w:rPr>
          <w:rFonts w:ascii="SimSun" w:hAnsi="SimSun" w:eastAsia="SimSun" w:cs="SimSun"/>
          <w:sz w:val="18"/>
          <w:szCs w:val="18"/>
          <w:spacing w:val="19"/>
        </w:rPr>
        <w:t>再次，正如前文所述，平台经济中的劳资关系不同于传统的二分</w:t>
      </w:r>
      <w:r>
        <w:rPr>
          <w:rFonts w:ascii="SimSun" w:hAnsi="SimSun" w:eastAsia="SimSun" w:cs="SimSun"/>
          <w:sz w:val="18"/>
          <w:szCs w:val="18"/>
          <w:spacing w:val="4"/>
        </w:rPr>
        <w:t xml:space="preserve"> </w:t>
      </w:r>
      <w:r>
        <w:rPr>
          <w:rFonts w:ascii="SimSun" w:hAnsi="SimSun" w:eastAsia="SimSun" w:cs="SimSun"/>
          <w:sz w:val="18"/>
          <w:szCs w:val="18"/>
          <w:spacing w:val="20"/>
        </w:rPr>
        <w:t>法框架下的劳动关系或民事关系，劳动者权益保障体系未成形，此时</w:t>
      </w:r>
      <w:r>
        <w:rPr>
          <w:rFonts w:ascii="SimSun" w:hAnsi="SimSun" w:eastAsia="SimSun" w:cs="SimSun"/>
          <w:sz w:val="18"/>
          <w:szCs w:val="18"/>
        </w:rPr>
        <w:t xml:space="preserve"> </w:t>
      </w:r>
      <w:r>
        <w:rPr>
          <w:rFonts w:ascii="SimSun" w:hAnsi="SimSun" w:eastAsia="SimSun" w:cs="SimSun"/>
          <w:sz w:val="18"/>
          <w:szCs w:val="18"/>
          <w:spacing w:val="20"/>
        </w:rPr>
        <w:t>平台劳动者处于相对弱势地位，很有可能诱发收入分配恶化。更</w:t>
      </w:r>
      <w:r>
        <w:rPr>
          <w:rFonts w:ascii="SimSun" w:hAnsi="SimSun" w:eastAsia="SimSun" w:cs="SimSun"/>
          <w:sz w:val="18"/>
          <w:szCs w:val="18"/>
          <w:spacing w:val="19"/>
        </w:rPr>
        <w:t>进一</w:t>
      </w:r>
      <w:r>
        <w:rPr>
          <w:rFonts w:ascii="SimSun" w:hAnsi="SimSun" w:eastAsia="SimSun" w:cs="SimSun"/>
          <w:sz w:val="18"/>
          <w:szCs w:val="18"/>
        </w:rPr>
        <w:t xml:space="preserve"> </w:t>
      </w:r>
      <w:r>
        <w:rPr>
          <w:rFonts w:ascii="SimSun" w:hAnsi="SimSun" w:eastAsia="SimSun" w:cs="SimSun"/>
          <w:sz w:val="18"/>
          <w:szCs w:val="18"/>
          <w:spacing w:val="20"/>
        </w:rPr>
        <w:t>步，平台通常是包括算法在内的各项规则的制定者，而平台劳动者只</w:t>
      </w:r>
      <w:r>
        <w:rPr>
          <w:rFonts w:ascii="SimSun" w:hAnsi="SimSun" w:eastAsia="SimSun" w:cs="SimSun"/>
          <w:sz w:val="18"/>
          <w:szCs w:val="18"/>
          <w:spacing w:val="15"/>
        </w:rPr>
        <w:t xml:space="preserve"> </w:t>
      </w:r>
      <w:r>
        <w:rPr>
          <w:rFonts w:ascii="SimSun" w:hAnsi="SimSun" w:eastAsia="SimSun" w:cs="SimSun"/>
          <w:sz w:val="18"/>
          <w:szCs w:val="18"/>
          <w:spacing w:val="20"/>
        </w:rPr>
        <w:t>是各项规则的遵从者，难以与平台获得平等对话的权利，因此</w:t>
      </w:r>
      <w:r>
        <w:rPr>
          <w:rFonts w:ascii="SimSun" w:hAnsi="SimSun" w:eastAsia="SimSun" w:cs="SimSun"/>
          <w:sz w:val="18"/>
          <w:szCs w:val="18"/>
          <w:spacing w:val="19"/>
        </w:rPr>
        <w:t>在利益</w:t>
      </w:r>
      <w:r>
        <w:rPr>
          <w:rFonts w:ascii="SimSun" w:hAnsi="SimSun" w:eastAsia="SimSun" w:cs="SimSun"/>
          <w:sz w:val="18"/>
          <w:szCs w:val="18"/>
        </w:rPr>
        <w:t xml:space="preserve"> </w:t>
      </w:r>
      <w:r>
        <w:rPr>
          <w:rFonts w:ascii="SimSun" w:hAnsi="SimSun" w:eastAsia="SimSun" w:cs="SimSun"/>
          <w:sz w:val="18"/>
          <w:szCs w:val="18"/>
          <w:spacing w:val="20"/>
        </w:rPr>
        <w:t>分配中处于相对弱势地位。李胜蓝和江立华指出，平台劳动者虽</w:t>
      </w:r>
      <w:r>
        <w:rPr>
          <w:rFonts w:ascii="SimSun" w:hAnsi="SimSun" w:eastAsia="SimSun" w:cs="SimSun"/>
          <w:sz w:val="18"/>
          <w:szCs w:val="18"/>
          <w:spacing w:val="19"/>
        </w:rPr>
        <w:t>然是</w:t>
      </w:r>
      <w:r>
        <w:rPr>
          <w:rFonts w:ascii="SimSun" w:hAnsi="SimSun" w:eastAsia="SimSun" w:cs="SimSun"/>
          <w:sz w:val="18"/>
          <w:szCs w:val="18"/>
        </w:rPr>
        <w:t xml:space="preserve"> </w:t>
      </w:r>
      <w:r>
        <w:rPr>
          <w:rFonts w:ascii="SimSun" w:hAnsi="SimSun" w:eastAsia="SimSun" w:cs="SimSun"/>
          <w:sz w:val="18"/>
          <w:szCs w:val="18"/>
          <w:spacing w:val="20"/>
        </w:rPr>
        <w:t>被灵活的工作时间吸引，但在追求自由的过程中，却会被</w:t>
      </w:r>
      <w:r>
        <w:rPr>
          <w:rFonts w:ascii="SimSun" w:hAnsi="SimSun" w:eastAsia="SimSun" w:cs="SimSun"/>
          <w:sz w:val="18"/>
          <w:szCs w:val="18"/>
          <w:spacing w:val="19"/>
        </w:rPr>
        <w:t>平台以算法</w:t>
      </w:r>
      <w:r>
        <w:rPr>
          <w:rFonts w:ascii="SimSun" w:hAnsi="SimSun" w:eastAsia="SimSun" w:cs="SimSun"/>
          <w:sz w:val="18"/>
          <w:szCs w:val="18"/>
        </w:rPr>
        <w:t xml:space="preserve"> </w:t>
      </w:r>
      <w:r>
        <w:rPr>
          <w:rFonts w:ascii="SimSun" w:hAnsi="SimSun" w:eastAsia="SimSun" w:cs="SimSun"/>
          <w:sz w:val="18"/>
          <w:szCs w:val="18"/>
          <w:spacing w:val="20"/>
        </w:rPr>
        <w:t>束缚，并没有真正掌握劳动时间和收入，反而成为资方加快获取利润</w:t>
      </w:r>
    </w:p>
    <w:p>
      <w:pPr>
        <w:spacing w:line="217" w:lineRule="auto"/>
        <w:jc w:val="right"/>
        <w:rPr>
          <w:rFonts w:ascii="SimSun" w:hAnsi="SimSun" w:eastAsia="SimSun" w:cs="SimSun"/>
          <w:sz w:val="18"/>
          <w:szCs w:val="18"/>
        </w:rPr>
      </w:pPr>
      <w:r>
        <w:rPr>
          <w:rFonts w:ascii="SimSun" w:hAnsi="SimSun" w:eastAsia="SimSun" w:cs="SimSun"/>
          <w:sz w:val="18"/>
          <w:szCs w:val="18"/>
          <w:spacing w:val="22"/>
        </w:rPr>
        <w:t>的重要源泉。④哈利迪指出，为平台工作的自由职业者与雇员不同，</w:t>
      </w:r>
    </w:p>
    <w:p>
      <w:pPr>
        <w:pStyle w:val="BodyText"/>
        <w:spacing w:line="298" w:lineRule="auto"/>
        <w:rPr/>
      </w:pPr>
      <w:r/>
    </w:p>
    <w:p>
      <w:pPr>
        <w:pStyle w:val="BodyText"/>
        <w:spacing w:line="299" w:lineRule="auto"/>
        <w:rPr/>
      </w:pPr>
      <w:r/>
    </w:p>
    <w:p>
      <w:pPr>
        <w:ind w:left="340" w:right="30" w:hanging="340"/>
        <w:spacing w:before="58" w:line="258" w:lineRule="auto"/>
        <w:rPr>
          <w:rFonts w:ascii="Times New Roman" w:hAnsi="Times New Roman" w:eastAsia="Times New Roman" w:cs="Times New Roman"/>
          <w:sz w:val="18"/>
          <w:szCs w:val="18"/>
        </w:rPr>
      </w:pPr>
      <w:r>
        <w:rPr>
          <w:rFonts w:ascii="SimSun" w:hAnsi="SimSun" w:eastAsia="SimSun" w:cs="SimSun"/>
          <w:sz w:val="18"/>
          <w:szCs w:val="18"/>
          <w:spacing w:val="-4"/>
        </w:rPr>
        <w:t>①</w:t>
      </w:r>
      <w:r>
        <w:rPr>
          <w:rFonts w:ascii="SimSun" w:hAnsi="SimSun" w:eastAsia="SimSun" w:cs="SimSun"/>
          <w:sz w:val="18"/>
          <w:szCs w:val="18"/>
          <w:spacing w:val="36"/>
        </w:rPr>
        <w:t xml:space="preserve"> </w:t>
      </w:r>
      <w:r>
        <w:rPr>
          <w:rFonts w:ascii="Times New Roman" w:hAnsi="Times New Roman" w:eastAsia="Times New Roman" w:cs="Times New Roman"/>
          <w:sz w:val="18"/>
          <w:szCs w:val="18"/>
          <w:spacing w:val="-4"/>
        </w:rPr>
        <w:t>A.White,“A Universal Basic Income in the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4"/>
        </w:rPr>
        <w:t>Superstar (Digi</w:t>
      </w:r>
      <w:r>
        <w:rPr>
          <w:rFonts w:ascii="Times New Roman" w:hAnsi="Times New Roman" w:eastAsia="Times New Roman" w:cs="Times New Roman"/>
          <w:sz w:val="18"/>
          <w:szCs w:val="18"/>
          <w:spacing w:val="-5"/>
        </w:rPr>
        <w:t>tal)Economy”,Ethics and</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4"/>
        </w:rPr>
        <w:t>Social Welfare,2019,13(1):</w:t>
      </w:r>
      <w:r>
        <w:rPr>
          <w:rFonts w:ascii="Times New Roman" w:hAnsi="Times New Roman" w:eastAsia="Times New Roman" w:cs="Times New Roman"/>
          <w:sz w:val="18"/>
          <w:szCs w:val="18"/>
          <w:spacing w:val="-5"/>
        </w:rPr>
        <w:t>64-78.</w:t>
      </w:r>
    </w:p>
    <w:p>
      <w:pPr>
        <w:ind w:left="340" w:right="20" w:hanging="340"/>
        <w:spacing w:before="80" w:line="254" w:lineRule="auto"/>
        <w:rPr>
          <w:rFonts w:ascii="SimSun" w:hAnsi="SimSun" w:eastAsia="SimSun" w:cs="SimSun"/>
          <w:sz w:val="18"/>
          <w:szCs w:val="18"/>
        </w:rPr>
      </w:pPr>
      <w:r>
        <w:rPr>
          <w:rFonts w:ascii="KaiTi" w:hAnsi="KaiTi" w:eastAsia="KaiTi" w:cs="KaiTi"/>
          <w:sz w:val="18"/>
          <w:szCs w:val="18"/>
          <w:spacing w:val="-15"/>
        </w:rPr>
        <w:t>②</w:t>
      </w:r>
      <w:r>
        <w:rPr>
          <w:rFonts w:ascii="KaiTi" w:hAnsi="KaiTi" w:eastAsia="KaiTi" w:cs="KaiTi"/>
          <w:sz w:val="18"/>
          <w:szCs w:val="18"/>
          <w:spacing w:val="53"/>
        </w:rPr>
        <w:t xml:space="preserve"> </w:t>
      </w:r>
      <w:r>
        <w:rPr>
          <w:rFonts w:ascii="KaiTi" w:hAnsi="KaiTi" w:eastAsia="KaiTi" w:cs="KaiTi"/>
          <w:sz w:val="18"/>
          <w:szCs w:val="18"/>
          <w:spacing w:val="-15"/>
        </w:rPr>
        <w:t>谢富胜，吴越，王生升.平台经济全球化的政治经济学分析.中国社会科学，2019</w:t>
      </w:r>
      <w:r>
        <w:rPr>
          <w:rFonts w:ascii="KaiTi" w:hAnsi="KaiTi" w:eastAsia="KaiTi" w:cs="KaiTi"/>
          <w:sz w:val="18"/>
          <w:szCs w:val="18"/>
        </w:rPr>
        <w:t xml:space="preserve"> </w:t>
      </w:r>
      <w:r>
        <w:rPr>
          <w:rFonts w:ascii="SimSun" w:hAnsi="SimSun" w:eastAsia="SimSun" w:cs="SimSun"/>
          <w:sz w:val="18"/>
          <w:szCs w:val="18"/>
          <w:spacing w:val="-2"/>
        </w:rPr>
        <w:t>(12):62-81,200.</w:t>
      </w:r>
    </w:p>
    <w:p>
      <w:pPr>
        <w:ind w:left="340" w:right="25" w:hanging="340"/>
        <w:spacing w:before="68" w:line="252" w:lineRule="auto"/>
        <w:rPr>
          <w:rFonts w:ascii="KaiTi" w:hAnsi="KaiTi" w:eastAsia="KaiTi" w:cs="KaiTi"/>
          <w:sz w:val="18"/>
          <w:szCs w:val="18"/>
        </w:rPr>
      </w:pPr>
      <w:r>
        <w:rPr>
          <w:rFonts w:ascii="KaiTi" w:hAnsi="KaiTi" w:eastAsia="KaiTi" w:cs="KaiTi"/>
          <w:sz w:val="18"/>
          <w:szCs w:val="18"/>
          <w:spacing w:val="-9"/>
        </w:rPr>
        <w:t>③</w:t>
      </w:r>
      <w:r>
        <w:rPr>
          <w:rFonts w:ascii="KaiTi" w:hAnsi="KaiTi" w:eastAsia="KaiTi" w:cs="KaiTi"/>
          <w:sz w:val="18"/>
          <w:szCs w:val="18"/>
          <w:spacing w:val="48"/>
        </w:rPr>
        <w:t xml:space="preserve"> </w:t>
      </w:r>
      <w:r>
        <w:rPr>
          <w:rFonts w:ascii="KaiTi" w:hAnsi="KaiTi" w:eastAsia="KaiTi" w:cs="KaiTi"/>
          <w:sz w:val="18"/>
          <w:szCs w:val="18"/>
          <w:spacing w:val="-9"/>
        </w:rPr>
        <w:t>陈龙.平台经济的劳动权益保障挑战与对策建议——以外卖平台的骑手劳动为</w:t>
      </w:r>
      <w:r>
        <w:rPr>
          <w:rFonts w:ascii="KaiTi" w:hAnsi="KaiTi" w:eastAsia="KaiTi" w:cs="KaiTi"/>
          <w:sz w:val="18"/>
          <w:szCs w:val="18"/>
        </w:rPr>
        <w:t xml:space="preserve"> </w:t>
      </w:r>
      <w:r>
        <w:rPr>
          <w:rFonts w:ascii="KaiTi" w:hAnsi="KaiTi" w:eastAsia="KaiTi" w:cs="KaiTi"/>
          <w:sz w:val="18"/>
          <w:szCs w:val="18"/>
        </w:rPr>
        <w:t>例.社会治理，2020(8):22-28.</w:t>
      </w:r>
    </w:p>
    <w:p>
      <w:pPr>
        <w:ind w:left="340" w:right="23" w:hanging="340"/>
        <w:spacing w:before="65" w:line="259" w:lineRule="auto"/>
        <w:rPr>
          <w:rFonts w:ascii="KaiTi" w:hAnsi="KaiTi" w:eastAsia="KaiTi" w:cs="KaiTi"/>
          <w:sz w:val="18"/>
          <w:szCs w:val="18"/>
        </w:rPr>
      </w:pPr>
      <w:r>
        <w:rPr>
          <w:rFonts w:ascii="KaiTi" w:hAnsi="KaiTi" w:eastAsia="KaiTi" w:cs="KaiTi"/>
          <w:sz w:val="18"/>
          <w:szCs w:val="18"/>
          <w:spacing w:val="-18"/>
        </w:rPr>
        <w:t>④</w:t>
      </w:r>
      <w:r>
        <w:rPr>
          <w:rFonts w:ascii="KaiTi" w:hAnsi="KaiTi" w:eastAsia="KaiTi" w:cs="KaiTi"/>
          <w:sz w:val="18"/>
          <w:szCs w:val="18"/>
          <w:spacing w:val="57"/>
        </w:rPr>
        <w:t xml:space="preserve"> </w:t>
      </w:r>
      <w:r>
        <w:rPr>
          <w:rFonts w:ascii="KaiTi" w:hAnsi="KaiTi" w:eastAsia="KaiTi" w:cs="KaiTi"/>
          <w:sz w:val="18"/>
          <w:szCs w:val="18"/>
          <w:spacing w:val="-18"/>
        </w:rPr>
        <w:t>李胜蓝，江立华，新型劳动时间控制与虚假自由</w:t>
      </w:r>
      <w:r>
        <w:rPr>
          <w:rFonts w:ascii="KaiTi" w:hAnsi="KaiTi" w:eastAsia="KaiTi" w:cs="KaiTi"/>
          <w:sz w:val="18"/>
          <w:szCs w:val="18"/>
          <w:u w:val="single" w:color="auto"/>
          <w:spacing w:val="-18"/>
        </w:rPr>
        <w:t xml:space="preserve">    </w:t>
      </w:r>
      <w:r>
        <w:rPr>
          <w:rFonts w:ascii="KaiTi" w:hAnsi="KaiTi" w:eastAsia="KaiTi" w:cs="KaiTi"/>
          <w:sz w:val="18"/>
          <w:szCs w:val="18"/>
          <w:spacing w:val="-60"/>
        </w:rPr>
        <w:t xml:space="preserve"> </w:t>
      </w:r>
      <w:r>
        <w:rPr>
          <w:rFonts w:ascii="KaiTi" w:hAnsi="KaiTi" w:eastAsia="KaiTi" w:cs="KaiTi"/>
          <w:sz w:val="18"/>
          <w:szCs w:val="18"/>
          <w:spacing w:val="-18"/>
        </w:rPr>
        <w:t>外卖骑</w:t>
      </w:r>
      <w:r>
        <w:rPr>
          <w:rFonts w:ascii="KaiTi" w:hAnsi="KaiTi" w:eastAsia="KaiTi" w:cs="KaiTi"/>
          <w:sz w:val="18"/>
          <w:szCs w:val="18"/>
          <w:spacing w:val="-19"/>
        </w:rPr>
        <w:t>手的劳动过程研究.社</w:t>
      </w:r>
      <w:r>
        <w:rPr>
          <w:rFonts w:ascii="KaiTi" w:hAnsi="KaiTi" w:eastAsia="KaiTi" w:cs="KaiTi"/>
          <w:sz w:val="18"/>
          <w:szCs w:val="18"/>
        </w:rPr>
        <w:t xml:space="preserve"> </w:t>
      </w:r>
      <w:r>
        <w:rPr>
          <w:rFonts w:ascii="KaiTi" w:hAnsi="KaiTi" w:eastAsia="KaiTi" w:cs="KaiTi"/>
          <w:sz w:val="18"/>
          <w:szCs w:val="18"/>
        </w:rPr>
        <w:t>会学研究，2020,35(6):91-112,243-2</w:t>
      </w:r>
      <w:r>
        <w:rPr>
          <w:rFonts w:ascii="KaiTi" w:hAnsi="KaiTi" w:eastAsia="KaiTi" w:cs="KaiTi"/>
          <w:sz w:val="18"/>
          <w:szCs w:val="18"/>
          <w:spacing w:val="-1"/>
        </w:rPr>
        <w:t>44.</w:t>
      </w:r>
    </w:p>
    <w:p>
      <w:pPr>
        <w:spacing w:line="259" w:lineRule="auto"/>
        <w:sectPr>
          <w:headerReference w:type="default" r:id="rId1"/>
          <w:pgSz w:w="7330" w:h="12480"/>
          <w:pgMar w:top="365" w:right="529" w:bottom="400" w:left="739" w:header="0" w:footer="0" w:gutter="0"/>
        </w:sectPr>
        <w:rPr>
          <w:rFonts w:ascii="KaiTi" w:hAnsi="KaiTi" w:eastAsia="KaiTi" w:cs="KaiTi"/>
          <w:sz w:val="18"/>
          <w:szCs w:val="18"/>
        </w:rPr>
      </w:pPr>
    </w:p>
    <w:p>
      <w:pPr>
        <w:pStyle w:val="BodyText"/>
        <w:spacing w:line="253" w:lineRule="auto"/>
        <w:rPr/>
      </w:pPr>
      <w:r>
        <w:drawing>
          <wp:anchor distT="0" distB="0" distL="0" distR="0" simplePos="0" relativeHeight="253495296" behindDoc="0" locked="0" layoutInCell="0" allowOverlap="1">
            <wp:simplePos x="0" y="0"/>
            <wp:positionH relativeFrom="page">
              <wp:posOffset>260328</wp:posOffset>
            </wp:positionH>
            <wp:positionV relativeFrom="page">
              <wp:posOffset>5797541</wp:posOffset>
            </wp:positionV>
            <wp:extent cx="1168431" cy="6350"/>
            <wp:effectExtent l="0" t="0" r="0" b="0"/>
            <wp:wrapNone/>
            <wp:docPr id="170" name="IM 170"/>
            <wp:cNvGraphicFramePr/>
            <a:graphic>
              <a:graphicData uri="http://schemas.openxmlformats.org/drawingml/2006/picture">
                <pic:pic>
                  <pic:nvPicPr>
                    <pic:cNvPr id="170" name="IM 170"/>
                    <pic:cNvPicPr/>
                  </pic:nvPicPr>
                  <pic:blipFill>
                    <a:blip r:embed="rId215"/>
                    <a:stretch>
                      <a:fillRect/>
                    </a:stretch>
                  </pic:blipFill>
                  <pic:spPr>
                    <a:xfrm rot="0">
                      <a:off x="0" y="0"/>
                      <a:ext cx="1168431"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ind w:right="89"/>
        <w:spacing w:before="69" w:line="284" w:lineRule="auto"/>
        <w:jc w:val="both"/>
        <w:rPr>
          <w:rFonts w:ascii="SimSun" w:hAnsi="SimSun" w:eastAsia="SimSun" w:cs="SimSun"/>
          <w:sz w:val="21"/>
          <w:szCs w:val="21"/>
        </w:rPr>
      </w:pPr>
      <w:r>
        <w:rPr>
          <w:rFonts w:ascii="SimSun" w:hAnsi="SimSun" w:eastAsia="SimSun" w:cs="SimSun"/>
          <w:sz w:val="21"/>
          <w:szCs w:val="21"/>
          <w:spacing w:val="-10"/>
        </w:rPr>
        <w:t>平台通过剥夺相关的自由而把平台劳动者当作雇员，但</w:t>
      </w:r>
      <w:r>
        <w:rPr>
          <w:rFonts w:ascii="SimSun" w:hAnsi="SimSun" w:eastAsia="SimSun" w:cs="SimSun"/>
          <w:sz w:val="21"/>
          <w:szCs w:val="21"/>
          <w:spacing w:val="-11"/>
        </w:rPr>
        <w:t>在产生相关的</w:t>
      </w:r>
      <w:r>
        <w:rPr>
          <w:rFonts w:ascii="SimSun" w:hAnsi="SimSun" w:eastAsia="SimSun" w:cs="SimSun"/>
          <w:sz w:val="21"/>
          <w:szCs w:val="21"/>
        </w:rPr>
        <w:t xml:space="preserve"> </w:t>
      </w:r>
      <w:r>
        <w:rPr>
          <w:rFonts w:ascii="SimSun" w:hAnsi="SimSun" w:eastAsia="SimSun" w:cs="SimSun"/>
          <w:sz w:val="21"/>
          <w:szCs w:val="21"/>
          <w:spacing w:val="-11"/>
        </w:rPr>
        <w:t>风险时却把他们当作自由职业者，并且数字平台获得垄断地位可能会</w:t>
      </w:r>
      <w:r>
        <w:rPr>
          <w:rFonts w:ascii="SimSun" w:hAnsi="SimSun" w:eastAsia="SimSun" w:cs="SimSun"/>
          <w:sz w:val="21"/>
          <w:szCs w:val="21"/>
          <w:spacing w:val="17"/>
        </w:rPr>
        <w:t xml:space="preserve"> </w:t>
      </w:r>
      <w:r>
        <w:rPr>
          <w:rFonts w:ascii="SimSun" w:hAnsi="SimSun" w:eastAsia="SimSun" w:cs="SimSun"/>
          <w:sz w:val="21"/>
          <w:szCs w:val="21"/>
        </w:rPr>
        <w:t>对其劳动者的收入造成向下的压力。</w:t>
      </w:r>
    </w:p>
    <w:p>
      <w:pPr>
        <w:ind w:firstLine="409"/>
        <w:spacing w:before="102" w:line="302" w:lineRule="auto"/>
        <w:jc w:val="both"/>
        <w:rPr>
          <w:rFonts w:ascii="SimSun" w:hAnsi="SimSun" w:eastAsia="SimSun" w:cs="SimSun"/>
          <w:sz w:val="21"/>
          <w:szCs w:val="21"/>
        </w:rPr>
      </w:pPr>
      <w:r>
        <w:rPr>
          <w:rFonts w:ascii="SimSun" w:hAnsi="SimSun" w:eastAsia="SimSun" w:cs="SimSun"/>
          <w:sz w:val="21"/>
          <w:szCs w:val="21"/>
          <w:spacing w:val="-10"/>
        </w:rPr>
        <w:t>最后，数字经济的高速发展客观上增大了行业、城乡、地区间的 </w:t>
      </w:r>
      <w:r>
        <w:rPr>
          <w:rFonts w:ascii="SimSun" w:hAnsi="SimSun" w:eastAsia="SimSun" w:cs="SimSun"/>
          <w:sz w:val="21"/>
          <w:szCs w:val="21"/>
          <w:spacing w:val="-7"/>
        </w:rPr>
        <w:t>发展差距。在行业层面，根据国家统计局的数据，2019年信息传输、</w:t>
      </w:r>
      <w:r>
        <w:rPr>
          <w:rFonts w:ascii="SimSun" w:hAnsi="SimSun" w:eastAsia="SimSun" w:cs="SimSun"/>
          <w:sz w:val="21"/>
          <w:szCs w:val="21"/>
          <w:spacing w:val="7"/>
        </w:rPr>
        <w:t xml:space="preserve"> </w:t>
      </w:r>
      <w:r>
        <w:rPr>
          <w:rFonts w:ascii="SimSun" w:hAnsi="SimSun" w:eastAsia="SimSun" w:cs="SimSun"/>
          <w:sz w:val="21"/>
          <w:szCs w:val="21"/>
          <w:spacing w:val="-2"/>
        </w:rPr>
        <w:t>计算机服务与软件业在所有行业中平均工资最高，达到161352元，</w:t>
      </w:r>
      <w:r>
        <w:rPr>
          <w:rFonts w:ascii="SimSun" w:hAnsi="SimSun" w:eastAsia="SimSun" w:cs="SimSun"/>
          <w:sz w:val="21"/>
          <w:szCs w:val="21"/>
          <w:spacing w:val="7"/>
        </w:rPr>
        <w:t xml:space="preserve"> </w:t>
      </w:r>
      <w:r>
        <w:rPr>
          <w:rFonts w:ascii="SimSun" w:hAnsi="SimSun" w:eastAsia="SimSun" w:cs="SimSun"/>
          <w:sz w:val="21"/>
          <w:szCs w:val="21"/>
        </w:rPr>
        <w:t>是城镇单位就业人员平均工资90501元的</w:t>
      </w:r>
      <w:r>
        <w:rPr>
          <w:rFonts w:ascii="SimSun" w:hAnsi="SimSun" w:eastAsia="SimSun" w:cs="SimSun"/>
          <w:sz w:val="21"/>
          <w:szCs w:val="21"/>
          <w:spacing w:val="-1"/>
        </w:rPr>
        <w:t>1.78倍，相关行业的高速</w:t>
      </w:r>
      <w:r>
        <w:rPr>
          <w:rFonts w:ascii="SimSun" w:hAnsi="SimSun" w:eastAsia="SimSun" w:cs="SimSun"/>
          <w:sz w:val="21"/>
          <w:szCs w:val="21"/>
        </w:rPr>
        <w:t xml:space="preserve">  </w:t>
      </w:r>
      <w:r>
        <w:rPr>
          <w:rFonts w:ascii="SimSun" w:hAnsi="SimSun" w:eastAsia="SimSun" w:cs="SimSun"/>
          <w:sz w:val="21"/>
          <w:szCs w:val="21"/>
          <w:spacing w:val="-11"/>
        </w:rPr>
        <w:t>发展在客观上会拉大行业间的收入差距。在城乡与地区差距层面，数</w:t>
      </w:r>
      <w:r>
        <w:rPr>
          <w:rFonts w:ascii="SimSun" w:hAnsi="SimSun" w:eastAsia="SimSun" w:cs="SimSun"/>
          <w:sz w:val="21"/>
          <w:szCs w:val="21"/>
          <w:spacing w:val="8"/>
        </w:rPr>
        <w:t xml:space="preserve">  </w:t>
      </w:r>
      <w:r>
        <w:rPr>
          <w:rFonts w:ascii="SimSun" w:hAnsi="SimSun" w:eastAsia="SimSun" w:cs="SimSun"/>
          <w:sz w:val="21"/>
          <w:szCs w:val="21"/>
          <w:spacing w:val="-10"/>
        </w:rPr>
        <w:t>字经济的发展具有较强的规模效应，大部分互联</w:t>
      </w:r>
      <w:r>
        <w:rPr>
          <w:rFonts w:ascii="SimSun" w:hAnsi="SimSun" w:eastAsia="SimSun" w:cs="SimSun"/>
          <w:sz w:val="21"/>
          <w:szCs w:val="21"/>
          <w:spacing w:val="-11"/>
        </w:rPr>
        <w:t>网公司集中于北上广</w:t>
      </w:r>
      <w:r>
        <w:rPr>
          <w:rFonts w:ascii="SimSun" w:hAnsi="SimSun" w:eastAsia="SimSun" w:cs="SimSun"/>
          <w:sz w:val="21"/>
          <w:szCs w:val="21"/>
        </w:rPr>
        <w:t xml:space="preserve">  </w:t>
      </w:r>
      <w:r>
        <w:rPr>
          <w:rFonts w:ascii="SimSun" w:hAnsi="SimSun" w:eastAsia="SimSun" w:cs="SimSun"/>
          <w:sz w:val="21"/>
          <w:szCs w:val="21"/>
          <w:spacing w:val="-3"/>
        </w:rPr>
        <w:t>深杭等少数城市。赵新伟、王琦利用2010—2019年我国31个省份的</w:t>
      </w:r>
      <w:r>
        <w:rPr>
          <w:rFonts w:ascii="SimSun" w:hAnsi="SimSun" w:eastAsia="SimSun" w:cs="SimSun"/>
          <w:sz w:val="21"/>
          <w:szCs w:val="21"/>
          <w:spacing w:val="3"/>
        </w:rPr>
        <w:t xml:space="preserve">  </w:t>
      </w:r>
      <w:r>
        <w:rPr>
          <w:rFonts w:ascii="SimSun" w:hAnsi="SimSun" w:eastAsia="SimSun" w:cs="SimSun"/>
          <w:sz w:val="21"/>
          <w:szCs w:val="21"/>
          <w:spacing w:val="-9"/>
        </w:rPr>
        <w:t>面板数据，研究发现中国三大地区数字经济发展空间分布并不均衡，</w:t>
      </w:r>
      <w:r>
        <w:rPr>
          <w:rFonts w:ascii="SimSun" w:hAnsi="SimSun" w:eastAsia="SimSun" w:cs="SimSun"/>
          <w:sz w:val="21"/>
          <w:szCs w:val="21"/>
          <w:spacing w:val="3"/>
        </w:rPr>
        <w:t xml:space="preserve"> </w:t>
      </w:r>
      <w:r>
        <w:rPr>
          <w:rFonts w:ascii="SimSun" w:hAnsi="SimSun" w:eastAsia="SimSun" w:cs="SimSun"/>
          <w:sz w:val="21"/>
          <w:szCs w:val="21"/>
          <w:spacing w:val="-10"/>
        </w:rPr>
        <w:t>存在明显的地区差异。②段博等选取了中国284个地级市的有关数</w:t>
      </w:r>
      <w:r>
        <w:rPr>
          <w:rFonts w:ascii="SimSun" w:hAnsi="SimSun" w:eastAsia="SimSun" w:cs="SimSun"/>
          <w:sz w:val="21"/>
          <w:szCs w:val="21"/>
          <w:spacing w:val="-11"/>
        </w:rPr>
        <w:t>据，</w:t>
      </w:r>
      <w:r>
        <w:rPr>
          <w:rFonts w:ascii="SimSun" w:hAnsi="SimSun" w:eastAsia="SimSun" w:cs="SimSun"/>
          <w:sz w:val="21"/>
          <w:szCs w:val="21"/>
        </w:rPr>
        <w:t xml:space="preserve"> </w:t>
      </w:r>
      <w:r>
        <w:rPr>
          <w:rFonts w:ascii="SimSun" w:hAnsi="SimSun" w:eastAsia="SimSun" w:cs="SimSun"/>
          <w:sz w:val="21"/>
          <w:szCs w:val="21"/>
          <w:spacing w:val="-10"/>
        </w:rPr>
        <w:t>对数字经济影响地区差距的传导机制进行了检验，发现数字</w:t>
      </w:r>
      <w:r>
        <w:rPr>
          <w:rFonts w:ascii="SimSun" w:hAnsi="SimSun" w:eastAsia="SimSun" w:cs="SimSun"/>
          <w:sz w:val="21"/>
          <w:szCs w:val="21"/>
          <w:spacing w:val="-11"/>
        </w:rPr>
        <w:t>经济、制</w:t>
      </w:r>
      <w:r>
        <w:rPr>
          <w:rFonts w:ascii="SimSun" w:hAnsi="SimSun" w:eastAsia="SimSun" w:cs="SimSun"/>
          <w:sz w:val="21"/>
          <w:szCs w:val="21"/>
        </w:rPr>
        <w:t xml:space="preserve">  </w:t>
      </w:r>
      <w:r>
        <w:rPr>
          <w:rFonts w:ascii="SimSun" w:hAnsi="SimSun" w:eastAsia="SimSun" w:cs="SimSun"/>
          <w:sz w:val="21"/>
          <w:szCs w:val="21"/>
          <w:u w:val="single" w:color="auto"/>
          <w:spacing w:val="-10"/>
        </w:rPr>
        <w:t>造业</w:t>
      </w:r>
      <w:r>
        <w:rPr>
          <w:rFonts w:ascii="SimSun" w:hAnsi="SimSun" w:eastAsia="SimSun" w:cs="SimSun"/>
          <w:sz w:val="21"/>
          <w:szCs w:val="21"/>
          <w:spacing w:val="-10"/>
        </w:rPr>
        <w:t>集聚和地区差距的空间分布均呈现“东强</w:t>
      </w:r>
      <w:r>
        <w:rPr>
          <w:rFonts w:ascii="SimSun" w:hAnsi="SimSun" w:eastAsia="SimSun" w:cs="SimSun"/>
          <w:sz w:val="21"/>
          <w:szCs w:val="21"/>
          <w:spacing w:val="-11"/>
        </w:rPr>
        <w:t>西弱、南强北弱”的不</w:t>
      </w:r>
      <w:r>
        <w:rPr>
          <w:rFonts w:ascii="SimSun" w:hAnsi="SimSun" w:eastAsia="SimSun" w:cs="SimSun"/>
          <w:sz w:val="21"/>
          <w:szCs w:val="21"/>
        </w:rPr>
        <w:t xml:space="preserve">  </w:t>
      </w:r>
      <w:r>
        <w:rPr>
          <w:rFonts w:ascii="SimSun" w:hAnsi="SimSun" w:eastAsia="SimSun" w:cs="SimSun"/>
          <w:sz w:val="21"/>
          <w:szCs w:val="21"/>
          <w:spacing w:val="-3"/>
        </w:rPr>
        <w:t>均衡特征。③魏萍和陈晓文利用2010—2016年省级面板数</w:t>
      </w:r>
      <w:r>
        <w:rPr>
          <w:rFonts w:ascii="SimSun" w:hAnsi="SimSun" w:eastAsia="SimSun" w:cs="SimSun"/>
          <w:sz w:val="21"/>
          <w:szCs w:val="21"/>
          <w:spacing w:val="-4"/>
        </w:rPr>
        <w:t>据，实证</w:t>
      </w:r>
      <w:r>
        <w:rPr>
          <w:rFonts w:ascii="SimSun" w:hAnsi="SimSun" w:eastAsia="SimSun" w:cs="SimSun"/>
          <w:sz w:val="21"/>
          <w:szCs w:val="21"/>
        </w:rPr>
        <w:t xml:space="preserve">  </w:t>
      </w:r>
      <w:r>
        <w:rPr>
          <w:rFonts w:ascii="SimSun" w:hAnsi="SimSun" w:eastAsia="SimSun" w:cs="SimSun"/>
          <w:sz w:val="21"/>
          <w:szCs w:val="21"/>
          <w:spacing w:val="-10"/>
        </w:rPr>
        <w:t>检验了数字经济对城乡收入差距产生的影响及</w:t>
      </w:r>
      <w:r>
        <w:rPr>
          <w:rFonts w:ascii="SimSun" w:hAnsi="SimSun" w:eastAsia="SimSun" w:cs="SimSun"/>
          <w:sz w:val="21"/>
          <w:szCs w:val="21"/>
          <w:spacing w:val="-11"/>
        </w:rPr>
        <w:t>其空间溢出效应，结果</w:t>
      </w:r>
      <w:r>
        <w:rPr>
          <w:rFonts w:ascii="SimSun" w:hAnsi="SimSun" w:eastAsia="SimSun" w:cs="SimSun"/>
          <w:sz w:val="21"/>
          <w:szCs w:val="21"/>
        </w:rPr>
        <w:t xml:space="preserve">  </w:t>
      </w:r>
      <w:r>
        <w:rPr>
          <w:rFonts w:ascii="SimSun" w:hAnsi="SimSun" w:eastAsia="SimSun" w:cs="SimSun"/>
          <w:sz w:val="21"/>
          <w:szCs w:val="21"/>
          <w:spacing w:val="-11"/>
        </w:rPr>
        <w:t>表明在数字经济发展过程中，本地区的信息基础设施建设和互联网普</w:t>
      </w:r>
      <w:r>
        <w:rPr>
          <w:rFonts w:ascii="SimSun" w:hAnsi="SimSun" w:eastAsia="SimSun" w:cs="SimSun"/>
          <w:sz w:val="21"/>
          <w:szCs w:val="21"/>
          <w:spacing w:val="8"/>
        </w:rPr>
        <w:t xml:space="preserve">  </w:t>
      </w:r>
      <w:r>
        <w:rPr>
          <w:rFonts w:ascii="SimSun" w:hAnsi="SimSun" w:eastAsia="SimSun" w:cs="SimSun"/>
          <w:sz w:val="21"/>
          <w:szCs w:val="21"/>
          <w:spacing w:val="-16"/>
        </w:rPr>
        <w:t>及会拉大本地区的城乡收入差距。④</w:t>
      </w:r>
    </w:p>
    <w:p>
      <w:pPr>
        <w:pStyle w:val="BodyText"/>
        <w:spacing w:line="266" w:lineRule="auto"/>
        <w:rPr/>
      </w:pPr>
      <w:r/>
    </w:p>
    <w:p>
      <w:pPr>
        <w:pStyle w:val="BodyText"/>
        <w:spacing w:line="266" w:lineRule="auto"/>
        <w:rPr/>
      </w:pPr>
      <w:r/>
    </w:p>
    <w:p>
      <w:pPr>
        <w:pStyle w:val="BodyText"/>
        <w:spacing w:line="267" w:lineRule="auto"/>
        <w:rPr/>
      </w:pPr>
      <w:r/>
    </w:p>
    <w:p>
      <w:pPr>
        <w:pStyle w:val="BodyText"/>
        <w:spacing w:line="267" w:lineRule="auto"/>
        <w:rPr/>
      </w:pPr>
      <w:r/>
    </w:p>
    <w:p>
      <w:pPr>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9"/>
          <w:w w:val="89"/>
        </w:rPr>
        <w:t>①</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9"/>
          <w:w w:val="89"/>
        </w:rPr>
        <w:t>D.Halliday,“On the (Mis)classification of</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9"/>
          <w:w w:val="89"/>
        </w:rPr>
        <w:t>Paid L</w:t>
      </w:r>
      <w:r>
        <w:rPr>
          <w:rFonts w:ascii="Times New Roman" w:hAnsi="Times New Roman" w:eastAsia="Times New Roman" w:cs="Times New Roman"/>
          <w:sz w:val="21"/>
          <w:szCs w:val="21"/>
          <w:spacing w:val="-10"/>
          <w:w w:val="89"/>
        </w:rPr>
        <w:t>abor:When Should Gig Workers Have</w:t>
      </w:r>
    </w:p>
    <w:p>
      <w:pPr>
        <w:ind w:left="309"/>
        <w:spacing w:before="13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Employee   Status?",Politics   Philosophy   &amp;Economics,2021,20(3):229-250.</w:t>
      </w:r>
    </w:p>
    <w:p>
      <w:pPr>
        <w:ind w:left="309" w:right="58" w:hanging="309"/>
        <w:spacing w:before="100" w:line="272" w:lineRule="auto"/>
        <w:rPr>
          <w:rFonts w:ascii="SimSun" w:hAnsi="SimSun" w:eastAsia="SimSun" w:cs="SimSun"/>
          <w:sz w:val="16"/>
          <w:szCs w:val="16"/>
        </w:rPr>
      </w:pPr>
      <w:r>
        <w:rPr>
          <w:rFonts w:ascii="KaiTi" w:hAnsi="KaiTi" w:eastAsia="KaiTi" w:cs="KaiTi"/>
          <w:sz w:val="16"/>
          <w:szCs w:val="16"/>
          <w:spacing w:val="5"/>
        </w:rPr>
        <w:t>②</w:t>
      </w:r>
      <w:r>
        <w:rPr>
          <w:rFonts w:ascii="KaiTi" w:hAnsi="KaiTi" w:eastAsia="KaiTi" w:cs="KaiTi"/>
          <w:sz w:val="16"/>
          <w:szCs w:val="16"/>
          <w:spacing w:val="70"/>
        </w:rPr>
        <w:t xml:space="preserve"> </w:t>
      </w:r>
      <w:r>
        <w:rPr>
          <w:rFonts w:ascii="KaiTi" w:hAnsi="KaiTi" w:eastAsia="KaiTi" w:cs="KaiTi"/>
          <w:sz w:val="16"/>
          <w:szCs w:val="16"/>
          <w:spacing w:val="5"/>
        </w:rPr>
        <w:t>赵新伟，王琦.我国数字经济发展空间演进及地区差距分解.统计与决策，2021,</w:t>
      </w:r>
      <w:r>
        <w:rPr>
          <w:rFonts w:ascii="KaiTi" w:hAnsi="KaiTi" w:eastAsia="KaiTi" w:cs="KaiTi"/>
          <w:sz w:val="16"/>
          <w:szCs w:val="16"/>
        </w:rPr>
        <w:t xml:space="preserve"> </w:t>
      </w:r>
      <w:r>
        <w:rPr>
          <w:rFonts w:ascii="SimSun" w:hAnsi="SimSun" w:eastAsia="SimSun" w:cs="SimSun"/>
          <w:sz w:val="16"/>
          <w:szCs w:val="16"/>
        </w:rPr>
        <w:t>37(17):25-28.</w:t>
      </w:r>
    </w:p>
    <w:p>
      <w:pPr>
        <w:ind w:left="309" w:right="71" w:hanging="309"/>
        <w:spacing w:before="78" w:line="283" w:lineRule="auto"/>
        <w:rPr>
          <w:rFonts w:ascii="KaiTi" w:hAnsi="KaiTi" w:eastAsia="KaiTi" w:cs="KaiTi"/>
          <w:sz w:val="16"/>
          <w:szCs w:val="16"/>
        </w:rPr>
      </w:pPr>
      <w:r>
        <w:rPr>
          <w:rFonts w:ascii="KaiTi" w:hAnsi="KaiTi" w:eastAsia="KaiTi" w:cs="KaiTi"/>
          <w:sz w:val="16"/>
          <w:szCs w:val="16"/>
          <w:spacing w:val="7"/>
        </w:rPr>
        <w:t>③</w:t>
      </w:r>
      <w:r>
        <w:rPr>
          <w:rFonts w:ascii="KaiTi" w:hAnsi="KaiTi" w:eastAsia="KaiTi" w:cs="KaiTi"/>
          <w:sz w:val="16"/>
          <w:szCs w:val="16"/>
          <w:spacing w:val="67"/>
        </w:rPr>
        <w:t xml:space="preserve"> </w:t>
      </w:r>
      <w:r>
        <w:rPr>
          <w:rFonts w:ascii="KaiTi" w:hAnsi="KaiTi" w:eastAsia="KaiTi" w:cs="KaiTi"/>
          <w:sz w:val="16"/>
          <w:szCs w:val="16"/>
          <w:spacing w:val="7"/>
        </w:rPr>
        <w:t>段博，邵传林，段博.数字经济加剧了地区差距吗?</w:t>
      </w:r>
      <w:r>
        <w:rPr>
          <w:rFonts w:ascii="KaiTi" w:hAnsi="KaiTi" w:eastAsia="KaiTi" w:cs="KaiTi"/>
          <w:sz w:val="16"/>
          <w:szCs w:val="16"/>
          <w:spacing w:val="7"/>
        </w:rPr>
        <w:t xml:space="preserve"> </w:t>
      </w:r>
      <w:r>
        <w:rPr>
          <w:rFonts w:ascii="KaiTi" w:hAnsi="KaiTi" w:eastAsia="KaiTi" w:cs="KaiTi"/>
          <w:sz w:val="16"/>
          <w:szCs w:val="16"/>
          <w:u w:val="single" w:color="auto"/>
          <w:spacing w:val="6"/>
        </w:rPr>
        <w:t xml:space="preserve">    </w:t>
      </w:r>
      <w:r>
        <w:rPr>
          <w:rFonts w:ascii="KaiTi" w:hAnsi="KaiTi" w:eastAsia="KaiTi" w:cs="KaiTi"/>
          <w:sz w:val="16"/>
          <w:szCs w:val="16"/>
          <w:spacing w:val="-80"/>
        </w:rPr>
        <w:t xml:space="preserve"> </w:t>
      </w:r>
      <w:r>
        <w:rPr>
          <w:rFonts w:ascii="KaiTi" w:hAnsi="KaiTi" w:eastAsia="KaiTi" w:cs="KaiTi"/>
          <w:sz w:val="16"/>
          <w:szCs w:val="16"/>
          <w:spacing w:val="6"/>
        </w:rPr>
        <w:t>来自中国284个地级市</w:t>
      </w:r>
      <w:r>
        <w:rPr>
          <w:rFonts w:ascii="KaiTi" w:hAnsi="KaiTi" w:eastAsia="KaiTi" w:cs="KaiTi"/>
          <w:sz w:val="16"/>
          <w:szCs w:val="16"/>
        </w:rPr>
        <w:t xml:space="preserve"> </w:t>
      </w:r>
      <w:r>
        <w:rPr>
          <w:rFonts w:ascii="KaiTi" w:hAnsi="KaiTi" w:eastAsia="KaiTi" w:cs="KaiTi"/>
          <w:sz w:val="16"/>
          <w:szCs w:val="16"/>
          <w:spacing w:val="11"/>
        </w:rPr>
        <w:t>的经验证据.世界地理研究，2020,29(4):728-737.</w:t>
      </w:r>
    </w:p>
    <w:p>
      <w:pPr>
        <w:ind w:left="309" w:right="77" w:hanging="309"/>
        <w:spacing w:before="79" w:line="279" w:lineRule="auto"/>
        <w:rPr>
          <w:rFonts w:ascii="KaiTi" w:hAnsi="KaiTi" w:eastAsia="KaiTi" w:cs="KaiTi"/>
          <w:sz w:val="16"/>
          <w:szCs w:val="16"/>
        </w:rPr>
      </w:pPr>
      <w:r>
        <w:rPr>
          <w:rFonts w:ascii="KaiTi" w:hAnsi="KaiTi" w:eastAsia="KaiTi" w:cs="KaiTi"/>
          <w:sz w:val="16"/>
          <w:szCs w:val="16"/>
          <w:spacing w:val="5"/>
        </w:rPr>
        <w:t>④</w:t>
      </w:r>
      <w:r>
        <w:rPr>
          <w:rFonts w:ascii="KaiTi" w:hAnsi="KaiTi" w:eastAsia="KaiTi" w:cs="KaiTi"/>
          <w:sz w:val="16"/>
          <w:szCs w:val="16"/>
          <w:spacing w:val="66"/>
        </w:rPr>
        <w:t xml:space="preserve"> </w:t>
      </w:r>
      <w:r>
        <w:rPr>
          <w:rFonts w:ascii="KaiTi" w:hAnsi="KaiTi" w:eastAsia="KaiTi" w:cs="KaiTi"/>
          <w:sz w:val="16"/>
          <w:szCs w:val="16"/>
          <w:spacing w:val="5"/>
        </w:rPr>
        <w:t>魏萍，陈晓文.数字经济、空间溢出与城乡收入差距——基于空间杜宾模型的研</w:t>
      </w:r>
      <w:r>
        <w:rPr>
          <w:rFonts w:ascii="KaiTi" w:hAnsi="KaiTi" w:eastAsia="KaiTi" w:cs="KaiTi"/>
          <w:sz w:val="16"/>
          <w:szCs w:val="16"/>
        </w:rPr>
        <w:t xml:space="preserve"> </w:t>
      </w:r>
      <w:r>
        <w:rPr>
          <w:rFonts w:ascii="KaiTi" w:hAnsi="KaiTi" w:eastAsia="KaiTi" w:cs="KaiTi"/>
          <w:sz w:val="16"/>
          <w:szCs w:val="16"/>
          <w:spacing w:val="15"/>
        </w:rPr>
        <w:t>究.山东科技大学学报(社会科学版),202</w:t>
      </w:r>
      <w:r>
        <w:rPr>
          <w:rFonts w:ascii="KaiTi" w:hAnsi="KaiTi" w:eastAsia="KaiTi" w:cs="KaiTi"/>
          <w:sz w:val="16"/>
          <w:szCs w:val="16"/>
          <w:spacing w:val="14"/>
        </w:rPr>
        <w:t>0,22(3):75-88.</w:t>
      </w:r>
    </w:p>
    <w:p>
      <w:pPr>
        <w:spacing w:line="279" w:lineRule="auto"/>
        <w:sectPr>
          <w:headerReference w:type="default" r:id="rId214"/>
          <w:pgSz w:w="7330" w:h="12480"/>
          <w:pgMar w:top="788" w:right="854" w:bottom="400" w:left="390" w:header="625" w:footer="0" w:gutter="0"/>
        </w:sectPr>
        <w:rPr>
          <w:rFonts w:ascii="KaiTi" w:hAnsi="KaiTi" w:eastAsia="KaiTi" w:cs="KaiTi"/>
          <w:sz w:val="16"/>
          <w:szCs w:val="16"/>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对潜在负面影响的分析</w:t>
      </w:r>
    </w:p>
    <w:p>
      <w:pPr>
        <w:pStyle w:val="BodyText"/>
        <w:spacing w:line="351" w:lineRule="auto"/>
        <w:rPr/>
      </w:pPr>
      <w:r/>
    </w:p>
    <w:p>
      <w:pPr>
        <w:ind w:left="422"/>
        <w:spacing w:before="68" w:line="219" w:lineRule="auto"/>
        <w:rPr>
          <w:rFonts w:ascii="SimSun" w:hAnsi="SimSun" w:eastAsia="SimSun" w:cs="SimSun"/>
          <w:sz w:val="21"/>
          <w:szCs w:val="21"/>
        </w:rPr>
      </w:pPr>
      <w:r>
        <w:rPr>
          <w:rFonts w:ascii="SimSun" w:hAnsi="SimSun" w:eastAsia="SimSun" w:cs="SimSun"/>
          <w:sz w:val="21"/>
          <w:szCs w:val="21"/>
          <w:b/>
          <w:bCs/>
          <w:spacing w:val="-13"/>
        </w:rPr>
        <w:t>新工作替代旧工作使部分劳动者失业</w:t>
      </w:r>
    </w:p>
    <w:p>
      <w:pPr>
        <w:ind w:right="94" w:firstLine="420"/>
        <w:spacing w:before="112" w:line="297" w:lineRule="auto"/>
        <w:jc w:val="both"/>
        <w:rPr>
          <w:rFonts w:ascii="SimSun" w:hAnsi="SimSun" w:eastAsia="SimSun" w:cs="SimSun"/>
          <w:sz w:val="21"/>
          <w:szCs w:val="21"/>
        </w:rPr>
      </w:pPr>
      <w:r>
        <w:rPr>
          <w:rFonts w:ascii="SimSun" w:hAnsi="SimSun" w:eastAsia="SimSun" w:cs="SimSun"/>
          <w:sz w:val="21"/>
          <w:szCs w:val="21"/>
          <w:spacing w:val="-12"/>
        </w:rPr>
        <w:t>平台经济发展可以看作一种具有很强破坏性的创新活动，必然会</w:t>
      </w:r>
      <w:r>
        <w:rPr>
          <w:rFonts w:ascii="SimSun" w:hAnsi="SimSun" w:eastAsia="SimSun" w:cs="SimSun"/>
          <w:sz w:val="21"/>
          <w:szCs w:val="21"/>
          <w:spacing w:val="13"/>
        </w:rPr>
        <w:t xml:space="preserve"> </w:t>
      </w:r>
      <w:r>
        <w:rPr>
          <w:rFonts w:ascii="SimSun" w:hAnsi="SimSun" w:eastAsia="SimSun" w:cs="SimSun"/>
          <w:sz w:val="21"/>
          <w:szCs w:val="21"/>
          <w:spacing w:val="-11"/>
        </w:rPr>
        <w:t>导致较大的结构调整成本。平台的崛起，冲击了一些传统产业，导致</w:t>
      </w:r>
      <w:r>
        <w:rPr>
          <w:rFonts w:ascii="SimSun" w:hAnsi="SimSun" w:eastAsia="SimSun" w:cs="SimSun"/>
          <w:sz w:val="21"/>
          <w:szCs w:val="21"/>
          <w:spacing w:val="6"/>
        </w:rPr>
        <w:t xml:space="preserve"> </w:t>
      </w:r>
      <w:r>
        <w:rPr>
          <w:rFonts w:ascii="SimSun" w:hAnsi="SimSun" w:eastAsia="SimSun" w:cs="SimSun"/>
          <w:sz w:val="21"/>
          <w:szCs w:val="21"/>
          <w:spacing w:val="-12"/>
        </w:rPr>
        <w:t>了部分就业机会的消失。例如，在网约车平台兴起的早期，传统出租</w:t>
      </w:r>
      <w:r>
        <w:rPr>
          <w:rFonts w:ascii="SimSun" w:hAnsi="SimSun" w:eastAsia="SimSun" w:cs="SimSun"/>
          <w:sz w:val="21"/>
          <w:szCs w:val="21"/>
          <w:spacing w:val="16"/>
        </w:rPr>
        <w:t xml:space="preserve"> </w:t>
      </w:r>
      <w:r>
        <w:rPr>
          <w:rFonts w:ascii="SimSun" w:hAnsi="SimSun" w:eastAsia="SimSun" w:cs="SimSun"/>
          <w:sz w:val="21"/>
          <w:szCs w:val="21"/>
          <w:spacing w:val="-11"/>
        </w:rPr>
        <w:t>车司机因利益受损，曾一度进行激烈反抗，并导致一些地方政府因为</w:t>
      </w:r>
      <w:r>
        <w:rPr>
          <w:rFonts w:ascii="SimSun" w:hAnsi="SimSun" w:eastAsia="SimSun" w:cs="SimSun"/>
          <w:sz w:val="21"/>
          <w:szCs w:val="21"/>
          <w:spacing w:val="9"/>
        </w:rPr>
        <w:t xml:space="preserve"> </w:t>
      </w:r>
      <w:r>
        <w:rPr>
          <w:rFonts w:ascii="SimSun" w:hAnsi="SimSun" w:eastAsia="SimSun" w:cs="SimSun"/>
          <w:sz w:val="21"/>
          <w:szCs w:val="21"/>
          <w:spacing w:val="-12"/>
        </w:rPr>
        <w:t>担忧社会稳定而延迟向网约车发放牌照。</w:t>
      </w:r>
    </w:p>
    <w:p>
      <w:pPr>
        <w:ind w:firstLine="420"/>
        <w:spacing w:before="113" w:line="304" w:lineRule="auto"/>
        <w:jc w:val="both"/>
        <w:rPr>
          <w:rFonts w:ascii="SimSun" w:hAnsi="SimSun" w:eastAsia="SimSun" w:cs="SimSun"/>
          <w:sz w:val="21"/>
          <w:szCs w:val="21"/>
        </w:rPr>
      </w:pPr>
      <w:r>
        <w:rPr>
          <w:rFonts w:ascii="SimSun" w:hAnsi="SimSun" w:eastAsia="SimSun" w:cs="SimSun"/>
          <w:sz w:val="21"/>
          <w:szCs w:val="21"/>
          <w:spacing w:val="-11"/>
        </w:rPr>
        <w:t>传统就业机会的消失和新就业机会的出现，是技术进步导致的全 </w:t>
      </w:r>
      <w:r>
        <w:rPr>
          <w:rFonts w:ascii="SimSun" w:hAnsi="SimSun" w:eastAsia="SimSun" w:cs="SimSun"/>
          <w:sz w:val="21"/>
          <w:szCs w:val="21"/>
          <w:spacing w:val="-8"/>
        </w:rPr>
        <w:t>球性的结构性变革，无疑会带来短期的阵痛。在此过程中，低技能、</w:t>
      </w:r>
      <w:r>
        <w:rPr>
          <w:rFonts w:ascii="SimSun" w:hAnsi="SimSun" w:eastAsia="SimSun" w:cs="SimSun"/>
          <w:sz w:val="21"/>
          <w:szCs w:val="21"/>
          <w:spacing w:val="14"/>
        </w:rPr>
        <w:t xml:space="preserve"> </w:t>
      </w:r>
      <w:r>
        <w:rPr>
          <w:rFonts w:ascii="SimSun" w:hAnsi="SimSun" w:eastAsia="SimSun" w:cs="SimSun"/>
          <w:sz w:val="21"/>
          <w:szCs w:val="21"/>
          <w:spacing w:val="-11"/>
        </w:rPr>
        <w:t>弱势群体的利益往往受损。由于这种工作的变革在很大程度上是高效</w:t>
      </w:r>
      <w:r>
        <w:rPr>
          <w:rFonts w:ascii="SimSun" w:hAnsi="SimSun" w:eastAsia="SimSun" w:cs="SimSun"/>
          <w:sz w:val="21"/>
          <w:szCs w:val="21"/>
          <w:spacing w:val="3"/>
        </w:rPr>
        <w:t xml:space="preserve">  </w:t>
      </w:r>
      <w:r>
        <w:rPr>
          <w:rFonts w:ascii="SimSun" w:hAnsi="SimSun" w:eastAsia="SimSun" w:cs="SimSun"/>
          <w:sz w:val="21"/>
          <w:szCs w:val="21"/>
          <w:spacing w:val="-11"/>
        </w:rPr>
        <w:t>率对低效率的一种替代，劳动者和企业也会做出调整，适应变革。例</w:t>
      </w:r>
      <w:r>
        <w:rPr>
          <w:rFonts w:ascii="SimSun" w:hAnsi="SimSun" w:eastAsia="SimSun" w:cs="SimSun"/>
          <w:sz w:val="21"/>
          <w:szCs w:val="21"/>
          <w:spacing w:val="7"/>
        </w:rPr>
        <w:t xml:space="preserve">  </w:t>
      </w:r>
      <w:r>
        <w:rPr>
          <w:rFonts w:ascii="SimSun" w:hAnsi="SimSun" w:eastAsia="SimSun" w:cs="SimSun"/>
          <w:sz w:val="21"/>
          <w:szCs w:val="21"/>
          <w:spacing w:val="-11"/>
        </w:rPr>
        <w:t>如，随着网约车的发展，平台精确匹配提高效率的优势显露无遗，传</w:t>
      </w:r>
      <w:r>
        <w:rPr>
          <w:rFonts w:ascii="SimSun" w:hAnsi="SimSun" w:eastAsia="SimSun" w:cs="SimSun"/>
          <w:sz w:val="21"/>
          <w:szCs w:val="21"/>
          <w:spacing w:val="4"/>
        </w:rPr>
        <w:t xml:space="preserve">  </w:t>
      </w:r>
      <w:r>
        <w:rPr>
          <w:rFonts w:ascii="SimSun" w:hAnsi="SimSun" w:eastAsia="SimSun" w:cs="SimSun"/>
          <w:sz w:val="21"/>
          <w:szCs w:val="21"/>
          <w:spacing w:val="-11"/>
        </w:rPr>
        <w:t>统的巡游出租车司机大都主动或被动地适应了这种变革，各地的管制</w:t>
      </w:r>
      <w:r>
        <w:rPr>
          <w:rFonts w:ascii="SimSun" w:hAnsi="SimSun" w:eastAsia="SimSun" w:cs="SimSun"/>
          <w:sz w:val="21"/>
          <w:szCs w:val="21"/>
          <w:spacing w:val="8"/>
        </w:rPr>
        <w:t xml:space="preserve">  </w:t>
      </w:r>
      <w:r>
        <w:rPr>
          <w:rFonts w:ascii="SimSun" w:hAnsi="SimSun" w:eastAsia="SimSun" w:cs="SimSun"/>
          <w:sz w:val="21"/>
          <w:szCs w:val="21"/>
          <w:spacing w:val="-8"/>
        </w:rPr>
        <w:t>方式也在不断调整，传统巡游出租车与网约车之间的冲突大大弱化。</w:t>
      </w:r>
      <w:r>
        <w:rPr>
          <w:rFonts w:ascii="SimSun" w:hAnsi="SimSun" w:eastAsia="SimSun" w:cs="SimSun"/>
          <w:sz w:val="21"/>
          <w:szCs w:val="21"/>
          <w:spacing w:val="13"/>
        </w:rPr>
        <w:t xml:space="preserve"> </w:t>
      </w:r>
      <w:r>
        <w:rPr>
          <w:rFonts w:ascii="SimSun" w:hAnsi="SimSun" w:eastAsia="SimSun" w:cs="SimSun"/>
          <w:sz w:val="21"/>
          <w:szCs w:val="21"/>
          <w:spacing w:val="-10"/>
        </w:rPr>
        <w:t>对政府而言，好的管制应尊重客观规律，顺应变革，而非阻碍创新。</w:t>
      </w:r>
    </w:p>
    <w:p>
      <w:pPr>
        <w:ind w:right="19" w:firstLine="420"/>
        <w:spacing w:before="114" w:line="304" w:lineRule="auto"/>
        <w:jc w:val="both"/>
        <w:rPr>
          <w:rFonts w:ascii="SimSun" w:hAnsi="SimSun" w:eastAsia="SimSun" w:cs="SimSun"/>
          <w:sz w:val="21"/>
          <w:szCs w:val="21"/>
        </w:rPr>
      </w:pPr>
      <w:r>
        <w:rPr>
          <w:rFonts w:ascii="SimSun" w:hAnsi="SimSun" w:eastAsia="SimSun" w:cs="SimSun"/>
          <w:sz w:val="21"/>
          <w:szCs w:val="21"/>
          <w:spacing w:val="-11"/>
        </w:rPr>
        <w:t>面对结构性转型的阵痛，应当着眼于在发展中解决问题，即一方</w:t>
      </w:r>
      <w:r>
        <w:rPr>
          <w:rFonts w:ascii="SimSun" w:hAnsi="SimSun" w:eastAsia="SimSun" w:cs="SimSun"/>
          <w:sz w:val="21"/>
          <w:szCs w:val="21"/>
          <w:spacing w:val="4"/>
        </w:rPr>
        <w:t xml:space="preserve"> </w:t>
      </w:r>
      <w:r>
        <w:rPr>
          <w:rFonts w:ascii="SimSun" w:hAnsi="SimSun" w:eastAsia="SimSun" w:cs="SimSun"/>
          <w:sz w:val="21"/>
          <w:szCs w:val="21"/>
          <w:spacing w:val="-11"/>
        </w:rPr>
        <w:t>面鼓励创新、促进经济发展，另一方面通过转移支付等方式让发展的 </w:t>
      </w:r>
      <w:r>
        <w:rPr>
          <w:rFonts w:ascii="SimSun" w:hAnsi="SimSun" w:eastAsia="SimSun" w:cs="SimSun"/>
          <w:sz w:val="21"/>
          <w:szCs w:val="21"/>
          <w:spacing w:val="-11"/>
        </w:rPr>
        <w:t>红利惠及受损群体。为此，应当完善社会保障体系，更好地支持在平 </w:t>
      </w:r>
      <w:r>
        <w:rPr>
          <w:rFonts w:ascii="SimSun" w:hAnsi="SimSun" w:eastAsia="SimSun" w:cs="SimSun"/>
          <w:sz w:val="21"/>
          <w:szCs w:val="21"/>
          <w:spacing w:val="-11"/>
        </w:rPr>
        <w:t>台经济发展过程中受到冲击的群体维持生活水平，实现工作转型。如 </w:t>
      </w:r>
      <w:r>
        <w:rPr>
          <w:rFonts w:ascii="SimSun" w:hAnsi="SimSun" w:eastAsia="SimSun" w:cs="SimSun"/>
          <w:sz w:val="21"/>
          <w:szCs w:val="21"/>
          <w:spacing w:val="-8"/>
        </w:rPr>
        <w:t>果这些人不能平稳地转到新的就业岗位，或者缺乏必要</w:t>
      </w:r>
      <w:r>
        <w:rPr>
          <w:rFonts w:ascii="SimSun" w:hAnsi="SimSun" w:eastAsia="SimSun" w:cs="SimSun"/>
          <w:sz w:val="21"/>
          <w:szCs w:val="21"/>
          <w:spacing w:val="-9"/>
        </w:rPr>
        <w:t>的社会保障，</w:t>
      </w:r>
      <w:r>
        <w:rPr>
          <w:rFonts w:ascii="SimSun" w:hAnsi="SimSun" w:eastAsia="SimSun" w:cs="SimSun"/>
          <w:sz w:val="21"/>
          <w:szCs w:val="21"/>
        </w:rPr>
        <w:t xml:space="preserve"> </w:t>
      </w:r>
      <w:r>
        <w:rPr>
          <w:rFonts w:ascii="SimSun" w:hAnsi="SimSun" w:eastAsia="SimSun" w:cs="SimSun"/>
          <w:sz w:val="21"/>
          <w:szCs w:val="21"/>
          <w:spacing w:val="-16"/>
        </w:rPr>
        <w:t>很可能会造成社会矛盾，甚至阻碍平台经济的发展。近年来，</w:t>
      </w:r>
      <w:r>
        <w:rPr>
          <w:rFonts w:ascii="SimSun" w:hAnsi="SimSun" w:eastAsia="SimSun" w:cs="SimSun"/>
          <w:sz w:val="21"/>
          <w:szCs w:val="21"/>
          <w:spacing w:val="60"/>
        </w:rPr>
        <w:t xml:space="preserve"> </w:t>
      </w:r>
      <w:r>
        <w:rPr>
          <w:rFonts w:ascii="SimSun" w:hAnsi="SimSun" w:eastAsia="SimSun" w:cs="SimSun"/>
          <w:sz w:val="21"/>
          <w:szCs w:val="21"/>
          <w:spacing w:val="-16"/>
        </w:rPr>
        <w:t>一些国 </w:t>
      </w:r>
      <w:r>
        <w:rPr>
          <w:rFonts w:ascii="SimSun" w:hAnsi="SimSun" w:eastAsia="SimSun" w:cs="SimSun"/>
          <w:sz w:val="21"/>
          <w:szCs w:val="21"/>
          <w:spacing w:val="-16"/>
        </w:rPr>
        <w:t>家民粹主义势力抬头，全球化政策出现逆转，</w:t>
      </w:r>
      <w:r>
        <w:rPr>
          <w:rFonts w:ascii="SimSun" w:hAnsi="SimSun" w:eastAsia="SimSun" w:cs="SimSun"/>
          <w:sz w:val="21"/>
          <w:szCs w:val="21"/>
          <w:spacing w:val="60"/>
        </w:rPr>
        <w:t xml:space="preserve"> </w:t>
      </w:r>
      <w:r>
        <w:rPr>
          <w:rFonts w:ascii="SimSun" w:hAnsi="SimSun" w:eastAsia="SimSun" w:cs="SimSun"/>
          <w:sz w:val="21"/>
          <w:szCs w:val="21"/>
          <w:spacing w:val="-16"/>
        </w:rPr>
        <w:t>一个重要原因就是受到 </w:t>
      </w:r>
      <w:r>
        <w:rPr>
          <w:rFonts w:ascii="SimSun" w:hAnsi="SimSun" w:eastAsia="SimSun" w:cs="SimSun"/>
          <w:sz w:val="21"/>
          <w:szCs w:val="21"/>
          <w:spacing w:val="-15"/>
        </w:rPr>
        <w:t>冲击的部分工人与企业没有得到适当的补偿，这些教训值得中国借鉴。</w:t>
      </w:r>
    </w:p>
    <w:p>
      <w:pPr>
        <w:pStyle w:val="BodyText"/>
        <w:spacing w:line="388" w:lineRule="auto"/>
        <w:rPr/>
      </w:pPr>
      <w:r/>
    </w:p>
    <w:p>
      <w:pPr>
        <w:ind w:left="422"/>
        <w:spacing w:before="69" w:line="219" w:lineRule="auto"/>
        <w:rPr>
          <w:rFonts w:ascii="SimSun" w:hAnsi="SimSun" w:eastAsia="SimSun" w:cs="SimSun"/>
          <w:sz w:val="21"/>
          <w:szCs w:val="21"/>
        </w:rPr>
      </w:pPr>
      <w:r>
        <w:rPr>
          <w:rFonts w:ascii="SimSun" w:hAnsi="SimSun" w:eastAsia="SimSun" w:cs="SimSun"/>
          <w:sz w:val="21"/>
          <w:szCs w:val="21"/>
          <w:b/>
          <w:bCs/>
          <w:spacing w:val="-11"/>
        </w:rPr>
        <w:t>劳动收入份额下降</w:t>
      </w:r>
    </w:p>
    <w:p>
      <w:pPr>
        <w:ind w:left="420"/>
        <w:spacing w:before="122" w:line="219" w:lineRule="auto"/>
        <w:rPr>
          <w:rFonts w:ascii="SimSun" w:hAnsi="SimSun" w:eastAsia="SimSun" w:cs="SimSun"/>
          <w:sz w:val="21"/>
          <w:szCs w:val="21"/>
        </w:rPr>
      </w:pPr>
      <w:r>
        <w:rPr>
          <w:rFonts w:ascii="SimSun" w:hAnsi="SimSun" w:eastAsia="SimSun" w:cs="SimSun"/>
          <w:sz w:val="21"/>
          <w:szCs w:val="21"/>
          <w:spacing w:val="-10"/>
        </w:rPr>
        <w:t>以法国经济学家皮凯蒂的《21世纪资本论》为代表的系列研究指</w:t>
      </w:r>
    </w:p>
    <w:p>
      <w:pPr>
        <w:spacing w:line="219" w:lineRule="auto"/>
        <w:sectPr>
          <w:headerReference w:type="default" r:id="rId216"/>
          <w:pgSz w:w="7330" w:h="12480"/>
          <w:pgMar w:top="537" w:right="355" w:bottom="400" w:left="899" w:header="375" w:footer="0" w:gutter="0"/>
        </w:sectPr>
        <w:rPr>
          <w:rFonts w:ascii="SimSun" w:hAnsi="SimSun" w:eastAsia="SimSun" w:cs="SimSun"/>
          <w:sz w:val="21"/>
          <w:szCs w:val="21"/>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15"/>
        </w:rPr>
        <w:t>出，自20世纪80年代以来，在各要素的收入</w:t>
      </w:r>
      <w:r>
        <w:rPr>
          <w:rFonts w:ascii="SimSun" w:hAnsi="SimSun" w:eastAsia="SimSun" w:cs="SimSun"/>
          <w:sz w:val="19"/>
          <w:szCs w:val="19"/>
          <w:spacing w:val="14"/>
        </w:rPr>
        <w:t>分配中，劳动收入的份 </w:t>
      </w:r>
      <w:r>
        <w:rPr>
          <w:rFonts w:ascii="SimSun" w:hAnsi="SimSun" w:eastAsia="SimSun" w:cs="SimSun"/>
          <w:sz w:val="19"/>
          <w:szCs w:val="19"/>
          <w:spacing w:val="9"/>
        </w:rPr>
        <w:t>额出现明显下降。这是一个全球性的趋势，中国并非其中的例外。劳 </w:t>
      </w:r>
      <w:r>
        <w:rPr>
          <w:rFonts w:ascii="SimSun" w:hAnsi="SimSun" w:eastAsia="SimSun" w:cs="SimSun"/>
          <w:sz w:val="19"/>
          <w:szCs w:val="19"/>
          <w:spacing w:val="10"/>
        </w:rPr>
        <w:t>动收入份额下降的原因，则包括长期的产业结构变动、全</w:t>
      </w:r>
      <w:r>
        <w:rPr>
          <w:rFonts w:ascii="SimSun" w:hAnsi="SimSun" w:eastAsia="SimSun" w:cs="SimSun"/>
          <w:sz w:val="19"/>
          <w:szCs w:val="19"/>
          <w:spacing w:val="9"/>
        </w:rPr>
        <w:t>球化、税制</w:t>
      </w:r>
      <w:r>
        <w:rPr>
          <w:rFonts w:ascii="SimSun" w:hAnsi="SimSun" w:eastAsia="SimSun" w:cs="SimSun"/>
          <w:sz w:val="19"/>
          <w:szCs w:val="19"/>
        </w:rPr>
        <w:t xml:space="preserve"> </w:t>
      </w:r>
      <w:r>
        <w:rPr>
          <w:rFonts w:ascii="SimSun" w:hAnsi="SimSun" w:eastAsia="SimSun" w:cs="SimSun"/>
          <w:sz w:val="19"/>
          <w:szCs w:val="19"/>
          <w:spacing w:val="8"/>
        </w:rPr>
        <w:t>结构等因素。例如，从经济发展规律来看，劳动收入份额会呈现</w:t>
      </w:r>
      <w:r>
        <w:rPr>
          <w:rFonts w:ascii="Times New Roman" w:hAnsi="Times New Roman" w:eastAsia="Times New Roman" w:cs="Times New Roman"/>
          <w:sz w:val="19"/>
          <w:szCs w:val="19"/>
          <w:spacing w:val="8"/>
        </w:rPr>
        <w:t>U </w:t>
      </w:r>
      <w:r>
        <w:rPr>
          <w:rFonts w:ascii="SimSun" w:hAnsi="SimSun" w:eastAsia="SimSun" w:cs="SimSun"/>
          <w:sz w:val="19"/>
          <w:szCs w:val="19"/>
          <w:spacing w:val="8"/>
        </w:rPr>
        <w:t>形  </w:t>
      </w:r>
      <w:r>
        <w:rPr>
          <w:rFonts w:ascii="SimSun" w:hAnsi="SimSun" w:eastAsia="SimSun" w:cs="SimSun"/>
          <w:sz w:val="19"/>
          <w:szCs w:val="19"/>
          <w:spacing w:val="9"/>
        </w:rPr>
        <w:t>变化趋势；从经济波动规律来看，经济下行期劳动收入份额提高，这 </w:t>
      </w:r>
      <w:r>
        <w:rPr>
          <w:rFonts w:ascii="SimSun" w:hAnsi="SimSun" w:eastAsia="SimSun" w:cs="SimSun"/>
          <w:sz w:val="19"/>
          <w:szCs w:val="19"/>
          <w:spacing w:val="9"/>
        </w:rPr>
        <w:t>两点都可以同时解释金融危机之前劳动收入份额的下降和金融危机之 </w:t>
      </w:r>
      <w:r>
        <w:rPr>
          <w:rFonts w:ascii="SimSun" w:hAnsi="SimSun" w:eastAsia="SimSun" w:cs="SimSun"/>
          <w:sz w:val="19"/>
          <w:szCs w:val="19"/>
          <w:spacing w:val="10"/>
        </w:rPr>
        <w:t>后劳动收入份额的上升。另外，数字经济、平台经</w:t>
      </w:r>
      <w:r>
        <w:rPr>
          <w:rFonts w:ascii="SimSun" w:hAnsi="SimSun" w:eastAsia="SimSun" w:cs="SimSun"/>
          <w:sz w:val="19"/>
          <w:szCs w:val="19"/>
          <w:spacing w:val="9"/>
        </w:rPr>
        <w:t>济所代表的是一种</w:t>
      </w:r>
      <w:r>
        <w:rPr>
          <w:rFonts w:ascii="SimSun" w:hAnsi="SimSun" w:eastAsia="SimSun" w:cs="SimSun"/>
          <w:sz w:val="19"/>
          <w:szCs w:val="19"/>
        </w:rPr>
        <w:t xml:space="preserve"> </w:t>
      </w:r>
      <w:r>
        <w:rPr>
          <w:rFonts w:ascii="SimSun" w:hAnsi="SimSun" w:eastAsia="SimSun" w:cs="SimSun"/>
          <w:sz w:val="19"/>
          <w:szCs w:val="19"/>
          <w:spacing w:val="9"/>
        </w:rPr>
        <w:t>技能偏向型的技术进步，主要提升了对高技能劳动力的需求，因此带 </w:t>
      </w:r>
      <w:r>
        <w:rPr>
          <w:rFonts w:ascii="SimSun" w:hAnsi="SimSun" w:eastAsia="SimSun" w:cs="SimSun"/>
          <w:sz w:val="19"/>
          <w:szCs w:val="19"/>
          <w:spacing w:val="5"/>
        </w:rPr>
        <w:t>来了高技能劳动力技能溢价的不断上升，在一定程度上会加剧不平等。</w:t>
      </w:r>
      <w:r>
        <w:rPr>
          <w:rFonts w:ascii="SimSun" w:hAnsi="SimSun" w:eastAsia="SimSun" w:cs="SimSun"/>
          <w:sz w:val="19"/>
          <w:szCs w:val="19"/>
          <w:spacing w:val="9"/>
        </w:rPr>
        <w:t xml:space="preserve"> </w:t>
      </w:r>
      <w:r>
        <w:rPr>
          <w:rFonts w:ascii="SimSun" w:hAnsi="SimSun" w:eastAsia="SimSun" w:cs="SimSun"/>
          <w:sz w:val="19"/>
          <w:szCs w:val="19"/>
          <w:spacing w:val="9"/>
        </w:rPr>
        <w:t>总之，很难将这种全球性的劳动收入下降的长期趋势与短期内的平台 </w:t>
      </w:r>
      <w:r>
        <w:rPr>
          <w:rFonts w:ascii="SimSun" w:hAnsi="SimSun" w:eastAsia="SimSun" w:cs="SimSun"/>
          <w:sz w:val="19"/>
          <w:szCs w:val="19"/>
          <w:spacing w:val="9"/>
        </w:rPr>
        <w:t>经济、大型科技企业的崛起建立直接因果关系。与其说数字技术的发</w:t>
      </w:r>
    </w:p>
    <w:p>
      <w:pPr>
        <w:spacing w:line="219" w:lineRule="auto"/>
        <w:rPr>
          <w:rFonts w:ascii="SimSun" w:hAnsi="SimSun" w:eastAsia="SimSun" w:cs="SimSun"/>
          <w:sz w:val="19"/>
          <w:szCs w:val="19"/>
        </w:rPr>
      </w:pPr>
      <w:r>
        <w:rPr>
          <w:rFonts w:ascii="SimSun" w:hAnsi="SimSun" w:eastAsia="SimSun" w:cs="SimSun"/>
          <w:sz w:val="19"/>
          <w:szCs w:val="19"/>
          <w:spacing w:val="5"/>
        </w:rPr>
        <w:t>展是劳动收入份额下降的原因，不如说两者都是技术进步的结</w:t>
      </w:r>
      <w:r>
        <w:rPr>
          <w:rFonts w:ascii="SimSun" w:hAnsi="SimSun" w:eastAsia="SimSun" w:cs="SimSun"/>
          <w:sz w:val="19"/>
          <w:szCs w:val="19"/>
          <w:spacing w:val="4"/>
        </w:rPr>
        <w:t>果。</w:t>
      </w:r>
    </w:p>
    <w:p>
      <w:pPr>
        <w:pStyle w:val="BodyText"/>
        <w:spacing w:line="446" w:lineRule="auto"/>
        <w:rPr/>
      </w:pPr>
      <w:r/>
    </w:p>
    <w:p>
      <w:pPr>
        <w:ind w:left="412"/>
        <w:spacing w:before="61" w:line="219" w:lineRule="auto"/>
        <w:rPr>
          <w:rFonts w:ascii="SimSun" w:hAnsi="SimSun" w:eastAsia="SimSun" w:cs="SimSun"/>
          <w:sz w:val="19"/>
          <w:szCs w:val="19"/>
        </w:rPr>
      </w:pPr>
      <w:r>
        <w:rPr>
          <w:rFonts w:ascii="SimSun" w:hAnsi="SimSun" w:eastAsia="SimSun" w:cs="SimSun"/>
          <w:sz w:val="19"/>
          <w:szCs w:val="19"/>
          <w:b/>
          <w:bCs/>
          <w:spacing w:val="4"/>
        </w:rPr>
        <w:t>平台获得垄断地位后损害社会福利</w:t>
      </w:r>
    </w:p>
    <w:p>
      <w:pPr>
        <w:ind w:right="59" w:firstLine="410"/>
        <w:spacing w:before="117" w:line="350" w:lineRule="auto"/>
        <w:jc w:val="both"/>
        <w:rPr>
          <w:rFonts w:ascii="SimSun" w:hAnsi="SimSun" w:eastAsia="SimSun" w:cs="SimSun"/>
          <w:sz w:val="19"/>
          <w:szCs w:val="19"/>
        </w:rPr>
      </w:pPr>
      <w:r>
        <w:rPr>
          <w:rFonts w:ascii="SimSun" w:hAnsi="SimSun" w:eastAsia="SimSun" w:cs="SimSun"/>
          <w:sz w:val="19"/>
          <w:szCs w:val="19"/>
          <w:spacing w:val="9"/>
        </w:rPr>
        <w:t>这方面的问题主要涉及不正当竞争，并可能存在滥用市场支配地</w:t>
      </w:r>
      <w:r>
        <w:rPr>
          <w:rFonts w:ascii="SimSun" w:hAnsi="SimSun" w:eastAsia="SimSun" w:cs="SimSun"/>
          <w:sz w:val="19"/>
          <w:szCs w:val="19"/>
          <w:spacing w:val="4"/>
        </w:rPr>
        <w:t xml:space="preserve"> </w:t>
      </w:r>
      <w:r>
        <w:rPr>
          <w:rFonts w:ascii="SimSun" w:hAnsi="SimSun" w:eastAsia="SimSun" w:cs="SimSun"/>
          <w:sz w:val="19"/>
          <w:szCs w:val="19"/>
          <w:spacing w:val="10"/>
        </w:rPr>
        <w:t>位的嫌疑。应该认识到，这些问题并非平台经济所独有</w:t>
      </w:r>
      <w:r>
        <w:rPr>
          <w:rFonts w:ascii="SimSun" w:hAnsi="SimSun" w:eastAsia="SimSun" w:cs="SimSun"/>
          <w:sz w:val="19"/>
          <w:szCs w:val="19"/>
          <w:spacing w:val="9"/>
        </w:rPr>
        <w:t>，是反垄断与</w:t>
      </w:r>
      <w:r>
        <w:rPr>
          <w:rFonts w:ascii="SimSun" w:hAnsi="SimSun" w:eastAsia="SimSun" w:cs="SimSun"/>
          <w:sz w:val="19"/>
          <w:szCs w:val="19"/>
        </w:rPr>
        <w:t xml:space="preserve"> </w:t>
      </w:r>
      <w:r>
        <w:rPr>
          <w:rFonts w:ascii="SimSun" w:hAnsi="SimSun" w:eastAsia="SimSun" w:cs="SimSun"/>
          <w:sz w:val="19"/>
          <w:szCs w:val="19"/>
          <w:spacing w:val="9"/>
        </w:rPr>
        <w:t>反不正当竞争领域需要持续面对的问题。在运用法律法规进行监管方</w:t>
      </w:r>
    </w:p>
    <w:p>
      <w:pPr>
        <w:spacing w:line="218" w:lineRule="auto"/>
        <w:rPr>
          <w:rFonts w:ascii="SimSun" w:hAnsi="SimSun" w:eastAsia="SimSun" w:cs="SimSun"/>
          <w:sz w:val="19"/>
          <w:szCs w:val="19"/>
        </w:rPr>
      </w:pPr>
      <w:r>
        <w:rPr>
          <w:rFonts w:ascii="SimSun" w:hAnsi="SimSun" w:eastAsia="SimSun" w:cs="SimSun"/>
          <w:sz w:val="19"/>
          <w:szCs w:val="19"/>
          <w:spacing w:val="5"/>
        </w:rPr>
        <w:t>面，可参考本书其他章节的分析。</w:t>
      </w:r>
    </w:p>
    <w:p>
      <w:pPr>
        <w:pStyle w:val="BodyText"/>
        <w:spacing w:line="448" w:lineRule="auto"/>
        <w:rPr/>
      </w:pPr>
      <w:r/>
    </w:p>
    <w:p>
      <w:pPr>
        <w:ind w:left="412"/>
        <w:spacing w:before="62" w:line="219" w:lineRule="auto"/>
        <w:rPr>
          <w:rFonts w:ascii="SimSun" w:hAnsi="SimSun" w:eastAsia="SimSun" w:cs="SimSun"/>
          <w:sz w:val="19"/>
          <w:szCs w:val="19"/>
        </w:rPr>
      </w:pPr>
      <w:r>
        <w:rPr>
          <w:rFonts w:ascii="SimSun" w:hAnsi="SimSun" w:eastAsia="SimSun" w:cs="SimSun"/>
          <w:sz w:val="19"/>
          <w:szCs w:val="19"/>
          <w:b/>
          <w:bCs/>
          <w:spacing w:val="6"/>
        </w:rPr>
        <w:t>算法助力垄断</w:t>
      </w:r>
    </w:p>
    <w:p>
      <w:pPr>
        <w:ind w:right="56" w:firstLine="410"/>
        <w:spacing w:before="116" w:line="350" w:lineRule="auto"/>
        <w:jc w:val="both"/>
        <w:rPr>
          <w:rFonts w:ascii="SimSun" w:hAnsi="SimSun" w:eastAsia="SimSun" w:cs="SimSun"/>
          <w:sz w:val="19"/>
          <w:szCs w:val="19"/>
        </w:rPr>
      </w:pPr>
      <w:r>
        <w:rPr>
          <w:rFonts w:ascii="SimSun" w:hAnsi="SimSun" w:eastAsia="SimSun" w:cs="SimSun"/>
          <w:sz w:val="19"/>
          <w:szCs w:val="19"/>
          <w:spacing w:val="16"/>
        </w:rPr>
        <w:t>互联网平台高度依赖以效率优先为主要准则的算法，所谓“算</w:t>
      </w:r>
      <w:r>
        <w:rPr>
          <w:rFonts w:ascii="SimSun" w:hAnsi="SimSun" w:eastAsia="SimSun" w:cs="SimSun"/>
          <w:sz w:val="19"/>
          <w:szCs w:val="19"/>
          <w:spacing w:val="15"/>
        </w:rPr>
        <w:t xml:space="preserve"> </w:t>
      </w:r>
      <w:r>
        <w:rPr>
          <w:rFonts w:ascii="SimSun" w:hAnsi="SimSun" w:eastAsia="SimSun" w:cs="SimSun"/>
          <w:sz w:val="19"/>
          <w:szCs w:val="19"/>
          <w:spacing w:val="10"/>
        </w:rPr>
        <w:t>法霸权”“算法辖制”等问题已经引起了社会的高</w:t>
      </w:r>
      <w:r>
        <w:rPr>
          <w:rFonts w:ascii="SimSun" w:hAnsi="SimSun" w:eastAsia="SimSun" w:cs="SimSun"/>
          <w:sz w:val="19"/>
          <w:szCs w:val="19"/>
          <w:spacing w:val="9"/>
        </w:rPr>
        <w:t>度关注。零工劳动</w:t>
      </w:r>
      <w:r>
        <w:rPr>
          <w:rFonts w:ascii="SimSun" w:hAnsi="SimSun" w:eastAsia="SimSun" w:cs="SimSun"/>
          <w:sz w:val="19"/>
          <w:szCs w:val="19"/>
        </w:rPr>
        <w:t xml:space="preserve"> </w:t>
      </w:r>
      <w:r>
        <w:rPr>
          <w:rFonts w:ascii="SimSun" w:hAnsi="SimSun" w:eastAsia="SimSun" w:cs="SimSun"/>
          <w:sz w:val="19"/>
          <w:szCs w:val="19"/>
          <w:spacing w:val="9"/>
        </w:rPr>
        <w:t>者虽然在工作时间和工作长度方面有较大灵活性，但在工作任</w:t>
      </w:r>
      <w:r>
        <w:rPr>
          <w:rFonts w:ascii="SimSun" w:hAnsi="SimSun" w:eastAsia="SimSun" w:cs="SimSun"/>
          <w:sz w:val="19"/>
          <w:szCs w:val="19"/>
          <w:spacing w:val="8"/>
        </w:rPr>
        <w:t>务、报</w:t>
      </w:r>
      <w:r>
        <w:rPr>
          <w:rFonts w:ascii="SimSun" w:hAnsi="SimSun" w:eastAsia="SimSun" w:cs="SimSun"/>
          <w:sz w:val="19"/>
          <w:szCs w:val="19"/>
        </w:rPr>
        <w:t xml:space="preserve"> </w:t>
      </w:r>
      <w:r>
        <w:rPr>
          <w:rFonts w:ascii="SimSun" w:hAnsi="SimSun" w:eastAsia="SimSun" w:cs="SimSun"/>
          <w:sz w:val="19"/>
          <w:szCs w:val="19"/>
          <w:spacing w:val="9"/>
        </w:rPr>
        <w:t>酬福利等方面对平台有较强的从属性。平台经济的崛起使许多创业者</w:t>
      </w:r>
      <w:r>
        <w:rPr>
          <w:rFonts w:ascii="SimSun" w:hAnsi="SimSun" w:eastAsia="SimSun" w:cs="SimSun"/>
          <w:sz w:val="19"/>
          <w:szCs w:val="19"/>
          <w:spacing w:val="18"/>
        </w:rPr>
        <w:t xml:space="preserve"> </w:t>
      </w:r>
      <w:r>
        <w:rPr>
          <w:rFonts w:ascii="SimSun" w:hAnsi="SimSun" w:eastAsia="SimSun" w:cs="SimSun"/>
          <w:sz w:val="19"/>
          <w:szCs w:val="19"/>
          <w:spacing w:val="13"/>
        </w:rPr>
        <w:t>成了“平台依赖型创业者”,失去了传统创业活动的自主性。互联网</w:t>
      </w:r>
      <w:r>
        <w:rPr>
          <w:rFonts w:ascii="SimSun" w:hAnsi="SimSun" w:eastAsia="SimSun" w:cs="SimSun"/>
          <w:sz w:val="19"/>
          <w:szCs w:val="19"/>
          <w:spacing w:val="2"/>
        </w:rPr>
        <w:t xml:space="preserve"> </w:t>
      </w:r>
      <w:r>
        <w:rPr>
          <w:rFonts w:ascii="SimSun" w:hAnsi="SimSun" w:eastAsia="SimSun" w:cs="SimSun"/>
          <w:sz w:val="19"/>
          <w:szCs w:val="19"/>
          <w:spacing w:val="10"/>
        </w:rPr>
        <w:t>平台的算法设计，本质上是为了平衡商家、消费者、零工等</w:t>
      </w:r>
      <w:r>
        <w:rPr>
          <w:rFonts w:ascii="SimSun" w:hAnsi="SimSun" w:eastAsia="SimSun" w:cs="SimSun"/>
          <w:sz w:val="19"/>
          <w:szCs w:val="19"/>
          <w:spacing w:val="9"/>
        </w:rPr>
        <w:t>各方，以</w:t>
      </w:r>
    </w:p>
    <w:p>
      <w:pPr>
        <w:spacing w:line="219" w:lineRule="auto"/>
        <w:rPr>
          <w:rFonts w:ascii="SimSun" w:hAnsi="SimSun" w:eastAsia="SimSun" w:cs="SimSun"/>
          <w:sz w:val="19"/>
          <w:szCs w:val="19"/>
        </w:rPr>
      </w:pPr>
      <w:r>
        <w:rPr>
          <w:rFonts w:ascii="SimSun" w:hAnsi="SimSun" w:eastAsia="SimSun" w:cs="SimSun"/>
          <w:sz w:val="19"/>
          <w:szCs w:val="19"/>
          <w:spacing w:val="9"/>
        </w:rPr>
        <w:t>及平台自身的利益。以外卖平台为例，在发展早期，为了尽可能获得</w:t>
      </w:r>
    </w:p>
    <w:p>
      <w:pPr>
        <w:spacing w:line="219" w:lineRule="auto"/>
        <w:sectPr>
          <w:headerReference w:type="default" r:id="rId217"/>
          <w:pgSz w:w="7330" w:h="12480"/>
          <w:pgMar w:top="836" w:right="864" w:bottom="400" w:left="409" w:header="673" w:footer="0" w:gutter="0"/>
        </w:sectPr>
        <w:rPr>
          <w:rFonts w:ascii="SimSun" w:hAnsi="SimSun" w:eastAsia="SimSun" w:cs="SimSun"/>
          <w:sz w:val="19"/>
          <w:szCs w:val="19"/>
        </w:rPr>
      </w:pPr>
    </w:p>
    <w:p>
      <w:pPr>
        <w:pStyle w:val="BodyText"/>
        <w:spacing w:line="246" w:lineRule="auto"/>
        <w:rPr/>
      </w:pPr>
      <w:r>
        <w:drawing>
          <wp:anchor distT="0" distB="0" distL="0" distR="0" simplePos="0" relativeHeight="253526016" behindDoc="0" locked="0" layoutInCell="0" allowOverlap="1">
            <wp:simplePos x="0" y="0"/>
            <wp:positionH relativeFrom="page">
              <wp:posOffset>527034</wp:posOffset>
            </wp:positionH>
            <wp:positionV relativeFrom="page">
              <wp:posOffset>6794481</wp:posOffset>
            </wp:positionV>
            <wp:extent cx="1174761" cy="6350"/>
            <wp:effectExtent l="0" t="0" r="0" b="0"/>
            <wp:wrapNone/>
            <wp:docPr id="172" name="IM 172"/>
            <wp:cNvGraphicFramePr/>
            <a:graphic>
              <a:graphicData uri="http://schemas.openxmlformats.org/drawingml/2006/picture">
                <pic:pic>
                  <pic:nvPicPr>
                    <pic:cNvPr id="172" name="IM 172"/>
                    <pic:cNvPicPr/>
                  </pic:nvPicPr>
                  <pic:blipFill>
                    <a:blip r:embed="rId219"/>
                    <a:stretch>
                      <a:fillRect/>
                    </a:stretch>
                  </pic:blipFill>
                  <pic:spPr>
                    <a:xfrm rot="0">
                      <a:off x="0" y="0"/>
                      <a:ext cx="1174761" cy="6350"/>
                    </a:xfrm>
                    <a:prstGeom prst="rect">
                      <a:avLst/>
                    </a:prstGeom>
                  </pic:spPr>
                </pic:pic>
              </a:graphicData>
            </a:graphic>
          </wp:anchor>
        </w:drawing>
      </w:r>
      <w:r/>
    </w:p>
    <w:p>
      <w:pPr>
        <w:pStyle w:val="BodyText"/>
        <w:spacing w:line="246" w:lineRule="auto"/>
        <w:rPr/>
      </w:pPr>
      <w:r/>
    </w:p>
    <w:p>
      <w:pPr>
        <w:pStyle w:val="BodyText"/>
        <w:spacing w:line="247" w:lineRule="auto"/>
        <w:rPr/>
      </w:pPr>
      <w:r/>
    </w:p>
    <w:p>
      <w:pPr>
        <w:pStyle w:val="BodyText"/>
        <w:spacing w:line="247" w:lineRule="auto"/>
        <w:rPr/>
      </w:pPr>
      <w:r/>
    </w:p>
    <w:p>
      <w:pPr>
        <w:ind w:left="105" w:right="22"/>
        <w:spacing w:before="69" w:line="326" w:lineRule="auto"/>
        <w:jc w:val="both"/>
        <w:rPr>
          <w:rFonts w:ascii="SimSun" w:hAnsi="SimSun" w:eastAsia="SimSun" w:cs="SimSun"/>
          <w:sz w:val="21"/>
          <w:szCs w:val="21"/>
        </w:rPr>
      </w:pPr>
      <w:r>
        <w:rPr>
          <w:rFonts w:ascii="SimSun" w:hAnsi="SimSun" w:eastAsia="SimSun" w:cs="SimSun"/>
          <w:sz w:val="21"/>
          <w:szCs w:val="21"/>
          <w:spacing w:val="-11"/>
        </w:rPr>
        <w:t>更多的消费者，算法会倾向于消费者的利益，而往往不利于商家和骑</w:t>
      </w:r>
      <w:r>
        <w:rPr>
          <w:rFonts w:ascii="SimSun" w:hAnsi="SimSun" w:eastAsia="SimSun" w:cs="SimSun"/>
          <w:sz w:val="21"/>
          <w:szCs w:val="21"/>
          <w:spacing w:val="16"/>
        </w:rPr>
        <w:t xml:space="preserve"> </w:t>
      </w:r>
      <w:r>
        <w:rPr>
          <w:rFonts w:ascii="SimSun" w:hAnsi="SimSun" w:eastAsia="SimSun" w:cs="SimSun"/>
          <w:sz w:val="21"/>
          <w:szCs w:val="21"/>
          <w:spacing w:val="-3"/>
        </w:rPr>
        <w:t>手。骑手在平台算法规则的引导下越跑越快，</w:t>
      </w:r>
      <w:r>
        <w:rPr>
          <w:rFonts w:ascii="SimSun" w:hAnsi="SimSun" w:eastAsia="SimSun" w:cs="SimSun"/>
          <w:sz w:val="21"/>
          <w:szCs w:val="21"/>
          <w:spacing w:val="-4"/>
        </w:rPr>
        <w:t>事故风险上升。所谓</w:t>
      </w:r>
    </w:p>
    <w:p>
      <w:pPr>
        <w:spacing w:line="219" w:lineRule="auto"/>
        <w:rPr>
          <w:rFonts w:ascii="SimSun" w:hAnsi="SimSun" w:eastAsia="SimSun" w:cs="SimSun"/>
          <w:sz w:val="21"/>
          <w:szCs w:val="21"/>
        </w:rPr>
      </w:pPr>
      <w:r>
        <w:rPr>
          <w:rFonts w:ascii="SimSun" w:hAnsi="SimSun" w:eastAsia="SimSun" w:cs="SimSun"/>
          <w:sz w:val="21"/>
          <w:szCs w:val="21"/>
          <w:spacing w:val="-11"/>
        </w:rPr>
        <w:t>“困在算法里的骑手”等说法，引发了大众的关注。</w:t>
      </w:r>
    </w:p>
    <w:p>
      <w:pPr>
        <w:ind w:left="105" w:right="4" w:firstLine="410"/>
        <w:spacing w:before="91" w:line="300" w:lineRule="auto"/>
        <w:jc w:val="both"/>
        <w:rPr>
          <w:rFonts w:ascii="SimSun" w:hAnsi="SimSun" w:eastAsia="SimSun" w:cs="SimSun"/>
          <w:sz w:val="21"/>
          <w:szCs w:val="21"/>
        </w:rPr>
      </w:pPr>
      <w:r>
        <w:rPr>
          <w:rFonts w:ascii="SimSun" w:hAnsi="SimSun" w:eastAsia="SimSun" w:cs="SimSun"/>
          <w:sz w:val="21"/>
          <w:szCs w:val="21"/>
          <w:spacing w:val="-3"/>
        </w:rPr>
        <w:t>由于很难通过法律法规对算法进行事前详细规定，有必要采纳</w:t>
      </w:r>
      <w:r>
        <w:rPr>
          <w:rFonts w:ascii="SimSun" w:hAnsi="SimSun" w:eastAsia="SimSun" w:cs="SimSun"/>
          <w:sz w:val="21"/>
          <w:szCs w:val="21"/>
          <w:spacing w:val="13"/>
        </w:rPr>
        <w:t xml:space="preserve"> </w:t>
      </w:r>
      <w:r>
        <w:rPr>
          <w:rFonts w:ascii="SimSun" w:hAnsi="SimSun" w:eastAsia="SimSun" w:cs="SimSun"/>
          <w:sz w:val="21"/>
          <w:szCs w:val="21"/>
          <w:spacing w:val="-10"/>
        </w:rPr>
        <w:t>多元治理的思路克服所谓的“算法霸权”问题</w:t>
      </w:r>
      <w:r>
        <w:rPr>
          <w:rFonts w:ascii="SimSun" w:hAnsi="SimSun" w:eastAsia="SimSun" w:cs="SimSun"/>
          <w:sz w:val="21"/>
          <w:szCs w:val="21"/>
          <w:spacing w:val="-11"/>
        </w:rPr>
        <w:t>。贾开指出，在算法管</w:t>
      </w:r>
      <w:r>
        <w:rPr>
          <w:rFonts w:ascii="SimSun" w:hAnsi="SimSun" w:eastAsia="SimSun" w:cs="SimSun"/>
          <w:sz w:val="21"/>
          <w:szCs w:val="21"/>
        </w:rPr>
        <w:t xml:space="preserve"> </w:t>
      </w:r>
      <w:r>
        <w:rPr>
          <w:rFonts w:ascii="SimSun" w:hAnsi="SimSun" w:eastAsia="SimSun" w:cs="SimSun"/>
          <w:sz w:val="21"/>
          <w:szCs w:val="21"/>
          <w:spacing w:val="-11"/>
        </w:rPr>
        <w:t>理方面要提升透明度和规则制定的包容性，吸收来自劳动过程中的反</w:t>
      </w:r>
      <w:r>
        <w:rPr>
          <w:rFonts w:ascii="SimSun" w:hAnsi="SimSun" w:eastAsia="SimSun" w:cs="SimSun"/>
          <w:sz w:val="21"/>
          <w:szCs w:val="21"/>
          <w:spacing w:val="16"/>
        </w:rPr>
        <w:t xml:space="preserve"> </w:t>
      </w:r>
      <w:r>
        <w:rPr>
          <w:rFonts w:ascii="SimSun" w:hAnsi="SimSun" w:eastAsia="SimSun" w:cs="SimSun"/>
          <w:sz w:val="21"/>
          <w:szCs w:val="21"/>
          <w:spacing w:val="-10"/>
        </w:rPr>
        <w:t>馈，适时调整算法。①此外，应当加强企业的社会责任，发挥行业协</w:t>
      </w:r>
      <w:r>
        <w:rPr>
          <w:rFonts w:ascii="SimSun" w:hAnsi="SimSun" w:eastAsia="SimSun" w:cs="SimSun"/>
          <w:sz w:val="21"/>
          <w:szCs w:val="21"/>
          <w:spacing w:val="10"/>
        </w:rPr>
        <w:t xml:space="preserve"> </w:t>
      </w:r>
      <w:r>
        <w:rPr>
          <w:rFonts w:ascii="SimSun" w:hAnsi="SimSun" w:eastAsia="SimSun" w:cs="SimSun"/>
          <w:sz w:val="21"/>
          <w:szCs w:val="21"/>
          <w:spacing w:val="-11"/>
        </w:rPr>
        <w:t>会、工会的作用，鼓励当事方定期协商。最后，实施算法审计也是进</w:t>
      </w:r>
      <w:r>
        <w:rPr>
          <w:rFonts w:ascii="SimSun" w:hAnsi="SimSun" w:eastAsia="SimSun" w:cs="SimSun"/>
          <w:sz w:val="21"/>
          <w:szCs w:val="21"/>
          <w:spacing w:val="16"/>
        </w:rPr>
        <w:t xml:space="preserve"> </w:t>
      </w:r>
      <w:r>
        <w:rPr>
          <w:rFonts w:ascii="SimSun" w:hAnsi="SimSun" w:eastAsia="SimSun" w:cs="SimSun"/>
          <w:sz w:val="21"/>
          <w:szCs w:val="21"/>
          <w:spacing w:val="-11"/>
        </w:rPr>
        <w:t>行算法治理的手段之一，这方面可以参考本书其他章节的分析。</w:t>
      </w:r>
    </w:p>
    <w:p>
      <w:pPr>
        <w:pStyle w:val="BodyText"/>
        <w:spacing w:line="398" w:lineRule="auto"/>
        <w:rPr/>
      </w:pPr>
      <w:r/>
    </w:p>
    <w:p>
      <w:pPr>
        <w:ind w:left="517"/>
        <w:spacing w:before="68" w:line="219" w:lineRule="auto"/>
        <w:rPr>
          <w:rFonts w:ascii="SimSun" w:hAnsi="SimSun" w:eastAsia="SimSun" w:cs="SimSun"/>
          <w:sz w:val="21"/>
          <w:szCs w:val="21"/>
        </w:rPr>
      </w:pPr>
      <w:r>
        <w:rPr>
          <w:rFonts w:ascii="SimSun" w:hAnsi="SimSun" w:eastAsia="SimSun" w:cs="SimSun"/>
          <w:sz w:val="21"/>
          <w:szCs w:val="21"/>
          <w:b/>
          <w:bCs/>
          <w:spacing w:val="-14"/>
        </w:rPr>
        <w:t>行业、城乡、地区间的发展差距扩大</w:t>
      </w:r>
    </w:p>
    <w:p>
      <w:pPr>
        <w:ind w:left="105" w:right="20" w:firstLine="410"/>
        <w:spacing w:before="123" w:line="284" w:lineRule="auto"/>
        <w:jc w:val="both"/>
        <w:rPr>
          <w:rFonts w:ascii="SimSun" w:hAnsi="SimSun" w:eastAsia="SimSun" w:cs="SimSun"/>
          <w:sz w:val="21"/>
          <w:szCs w:val="21"/>
        </w:rPr>
      </w:pPr>
      <w:r>
        <w:rPr>
          <w:rFonts w:ascii="SimSun" w:hAnsi="SimSun" w:eastAsia="SimSun" w:cs="SimSun"/>
          <w:sz w:val="21"/>
          <w:szCs w:val="21"/>
          <w:spacing w:val="-11"/>
        </w:rPr>
        <w:t>不可否认，数字经济的高速发展客观上增大了行业、城乡、地区</w:t>
      </w:r>
      <w:r>
        <w:rPr>
          <w:rFonts w:ascii="SimSun" w:hAnsi="SimSun" w:eastAsia="SimSun" w:cs="SimSun"/>
          <w:sz w:val="21"/>
          <w:szCs w:val="21"/>
          <w:spacing w:val="14"/>
        </w:rPr>
        <w:t xml:space="preserve"> </w:t>
      </w:r>
      <w:r>
        <w:rPr>
          <w:rFonts w:ascii="SimSun" w:hAnsi="SimSun" w:eastAsia="SimSun" w:cs="SimSun"/>
          <w:sz w:val="21"/>
          <w:szCs w:val="21"/>
          <w:spacing w:val="-10"/>
        </w:rPr>
        <w:t>间的发展差距，但这是技术进步和城市化进</w:t>
      </w:r>
      <w:r>
        <w:rPr>
          <w:rFonts w:ascii="SimSun" w:hAnsi="SimSun" w:eastAsia="SimSun" w:cs="SimSun"/>
          <w:sz w:val="21"/>
          <w:szCs w:val="21"/>
          <w:spacing w:val="-11"/>
        </w:rPr>
        <w:t>程中必然出现的现象，是</w:t>
      </w:r>
      <w:r>
        <w:rPr>
          <w:rFonts w:ascii="SimSun" w:hAnsi="SimSun" w:eastAsia="SimSun" w:cs="SimSun"/>
          <w:sz w:val="21"/>
          <w:szCs w:val="21"/>
        </w:rPr>
        <w:t xml:space="preserve"> </w:t>
      </w:r>
      <w:r>
        <w:rPr>
          <w:rFonts w:ascii="SimSun" w:hAnsi="SimSun" w:eastAsia="SimSun" w:cs="SimSun"/>
          <w:sz w:val="21"/>
          <w:szCs w:val="21"/>
          <w:spacing w:val="-11"/>
        </w:rPr>
        <w:t>规模经济、集聚效应发挥作用的结果。</w:t>
      </w:r>
    </w:p>
    <w:p>
      <w:pPr>
        <w:ind w:left="105" w:right="24" w:firstLine="410"/>
        <w:spacing w:before="110" w:line="296" w:lineRule="auto"/>
        <w:jc w:val="both"/>
        <w:rPr>
          <w:rFonts w:ascii="SimSun" w:hAnsi="SimSun" w:eastAsia="SimSun" w:cs="SimSun"/>
          <w:sz w:val="21"/>
          <w:szCs w:val="21"/>
        </w:rPr>
      </w:pPr>
      <w:r>
        <w:rPr>
          <w:rFonts w:ascii="SimSun" w:hAnsi="SimSun" w:eastAsia="SimSun" w:cs="SimSun"/>
          <w:sz w:val="21"/>
          <w:szCs w:val="21"/>
          <w:spacing w:val="-11"/>
        </w:rPr>
        <w:t>总之，社会关注的与收入分配相关的诸多问题其实是技术进步导</w:t>
      </w:r>
      <w:r>
        <w:rPr>
          <w:rFonts w:ascii="SimSun" w:hAnsi="SimSun" w:eastAsia="SimSun" w:cs="SimSun"/>
          <w:sz w:val="21"/>
          <w:szCs w:val="21"/>
          <w:spacing w:val="10"/>
        </w:rPr>
        <w:t xml:space="preserve"> </w:t>
      </w:r>
      <w:r>
        <w:rPr>
          <w:rFonts w:ascii="SimSun" w:hAnsi="SimSun" w:eastAsia="SimSun" w:cs="SimSun"/>
          <w:sz w:val="21"/>
          <w:szCs w:val="21"/>
          <w:spacing w:val="-11"/>
        </w:rPr>
        <w:t>致的全球范围内广泛存在的问题。现实中，平台经济由于处于技术发</w:t>
      </w:r>
      <w:r>
        <w:rPr>
          <w:rFonts w:ascii="SimSun" w:hAnsi="SimSun" w:eastAsia="SimSun" w:cs="SimSun"/>
          <w:sz w:val="21"/>
          <w:szCs w:val="21"/>
          <w:spacing w:val="17"/>
        </w:rPr>
        <w:t xml:space="preserve"> </w:t>
      </w:r>
      <w:r>
        <w:rPr>
          <w:rFonts w:ascii="SimSun" w:hAnsi="SimSun" w:eastAsia="SimSun" w:cs="SimSun"/>
          <w:sz w:val="21"/>
          <w:szCs w:val="21"/>
          <w:spacing w:val="-10"/>
        </w:rPr>
        <w:t>展的前沿，且连接了消费者、商家、劳动者</w:t>
      </w:r>
      <w:r>
        <w:rPr>
          <w:rFonts w:ascii="SimSun" w:hAnsi="SimSun" w:eastAsia="SimSun" w:cs="SimSun"/>
          <w:sz w:val="21"/>
          <w:szCs w:val="21"/>
          <w:spacing w:val="-11"/>
        </w:rPr>
        <w:t>等多方，因此成为被关注</w:t>
      </w:r>
      <w:r>
        <w:rPr>
          <w:rFonts w:ascii="SimSun" w:hAnsi="SimSun" w:eastAsia="SimSun" w:cs="SimSun"/>
          <w:sz w:val="21"/>
          <w:szCs w:val="21"/>
        </w:rPr>
        <w:t xml:space="preserve"> </w:t>
      </w:r>
      <w:r>
        <w:rPr>
          <w:rFonts w:ascii="SimSun" w:hAnsi="SimSun" w:eastAsia="SimSun" w:cs="SimSun"/>
          <w:sz w:val="21"/>
          <w:szCs w:val="21"/>
          <w:spacing w:val="-10"/>
        </w:rPr>
        <w:t>的焦点。如果因此而限制平台的发展，会挫伤</w:t>
      </w:r>
      <w:r>
        <w:rPr>
          <w:rFonts w:ascii="SimSun" w:hAnsi="SimSun" w:eastAsia="SimSun" w:cs="SimSun"/>
          <w:sz w:val="21"/>
          <w:szCs w:val="21"/>
          <w:spacing w:val="-11"/>
        </w:rPr>
        <w:t>科技创新的积极性，不</w:t>
      </w:r>
      <w:r>
        <w:rPr>
          <w:rFonts w:ascii="SimSun" w:hAnsi="SimSun" w:eastAsia="SimSun" w:cs="SimSun"/>
          <w:sz w:val="21"/>
          <w:szCs w:val="21"/>
        </w:rPr>
        <w:t xml:space="preserve"> </w:t>
      </w:r>
      <w:r>
        <w:rPr>
          <w:rFonts w:ascii="SimSun" w:hAnsi="SimSun" w:eastAsia="SimSun" w:cs="SimSun"/>
          <w:sz w:val="21"/>
          <w:szCs w:val="21"/>
          <w:spacing w:val="-10"/>
        </w:rPr>
        <w:t>利于“做大蛋糕”,因而也就无法达到改善收入分配的目标。</w:t>
      </w:r>
    </w:p>
    <w:p>
      <w:pPr>
        <w:pStyle w:val="BodyText"/>
        <w:spacing w:line="361" w:lineRule="auto"/>
        <w:rPr/>
      </w:pPr>
      <w:r/>
    </w:p>
    <w:p>
      <w:pPr>
        <w:ind w:left="2519"/>
        <w:spacing w:before="105" w:line="220" w:lineRule="auto"/>
        <w:rPr>
          <w:rFonts w:ascii="SimSun" w:hAnsi="SimSun" w:eastAsia="SimSun" w:cs="SimSun"/>
          <w:sz w:val="32"/>
          <w:szCs w:val="32"/>
        </w:rPr>
      </w:pPr>
      <w:r>
        <w:rPr>
          <w:rFonts w:ascii="SimSun" w:hAnsi="SimSun" w:eastAsia="SimSun" w:cs="SimSun"/>
          <w:sz w:val="32"/>
          <w:szCs w:val="32"/>
          <w:b/>
          <w:bCs/>
          <w:spacing w:val="-6"/>
        </w:rPr>
        <w:t>政策建议</w:t>
      </w:r>
    </w:p>
    <w:p>
      <w:pPr>
        <w:pStyle w:val="BodyText"/>
        <w:spacing w:line="267" w:lineRule="auto"/>
        <w:rPr/>
      </w:pPr>
      <w:r/>
    </w:p>
    <w:p>
      <w:pPr>
        <w:ind w:left="105" w:right="27" w:firstLine="410"/>
        <w:spacing w:before="69" w:line="284" w:lineRule="auto"/>
        <w:jc w:val="both"/>
        <w:rPr>
          <w:rFonts w:ascii="SimSun" w:hAnsi="SimSun" w:eastAsia="SimSun" w:cs="SimSun"/>
          <w:sz w:val="21"/>
          <w:szCs w:val="21"/>
        </w:rPr>
      </w:pPr>
      <w:r>
        <w:rPr>
          <w:rFonts w:ascii="SimSun" w:hAnsi="SimSun" w:eastAsia="SimSun" w:cs="SimSun"/>
          <w:sz w:val="21"/>
          <w:szCs w:val="21"/>
          <w:spacing w:val="-11"/>
        </w:rPr>
        <w:t>总体来看，平台经济代表着一种先进的生产组织形式，而伴随平</w:t>
      </w:r>
      <w:r>
        <w:rPr>
          <w:rFonts w:ascii="SimSun" w:hAnsi="SimSun" w:eastAsia="SimSun" w:cs="SimSun"/>
          <w:sz w:val="21"/>
          <w:szCs w:val="21"/>
          <w:spacing w:val="6"/>
        </w:rPr>
        <w:t xml:space="preserve"> </w:t>
      </w:r>
      <w:r>
        <w:rPr>
          <w:rFonts w:ascii="SimSun" w:hAnsi="SimSun" w:eastAsia="SimSun" w:cs="SimSun"/>
          <w:sz w:val="21"/>
          <w:szCs w:val="21"/>
          <w:spacing w:val="-10"/>
        </w:rPr>
        <w:t>台经济发展出现的劳动就业、劳动者权益保</w:t>
      </w:r>
      <w:r>
        <w:rPr>
          <w:rFonts w:ascii="SimSun" w:hAnsi="SimSun" w:eastAsia="SimSun" w:cs="SimSun"/>
          <w:sz w:val="21"/>
          <w:szCs w:val="21"/>
          <w:spacing w:val="-11"/>
        </w:rPr>
        <w:t>障和收入分配方面的一些</w:t>
      </w:r>
      <w:r>
        <w:rPr>
          <w:rFonts w:ascii="SimSun" w:hAnsi="SimSun" w:eastAsia="SimSun" w:cs="SimSun"/>
          <w:sz w:val="21"/>
          <w:szCs w:val="21"/>
        </w:rPr>
        <w:t xml:space="preserve"> </w:t>
      </w:r>
      <w:r>
        <w:rPr>
          <w:rFonts w:ascii="SimSun" w:hAnsi="SimSun" w:eastAsia="SimSun" w:cs="SimSun"/>
          <w:sz w:val="21"/>
          <w:szCs w:val="21"/>
          <w:spacing w:val="-11"/>
        </w:rPr>
        <w:t>问题，是技术进步带来的全球劳动力市场结构性变革的结果，是制度</w:t>
      </w:r>
    </w:p>
    <w:p>
      <w:pPr>
        <w:pStyle w:val="BodyText"/>
        <w:spacing w:line="331" w:lineRule="auto"/>
        <w:rPr/>
      </w:pPr>
      <w:r/>
    </w:p>
    <w:p>
      <w:pPr>
        <w:ind w:left="455" w:hanging="350"/>
        <w:spacing w:before="59" w:line="265" w:lineRule="auto"/>
        <w:rPr>
          <w:rFonts w:ascii="SimSun" w:hAnsi="SimSun" w:eastAsia="SimSun" w:cs="SimSun"/>
          <w:sz w:val="16"/>
          <w:szCs w:val="16"/>
        </w:rPr>
      </w:pPr>
      <w:r>
        <w:rPr>
          <w:rFonts w:ascii="KaiTi" w:hAnsi="KaiTi" w:eastAsia="KaiTi" w:cs="KaiTi"/>
          <w:sz w:val="18"/>
          <w:szCs w:val="18"/>
          <w:spacing w:val="1"/>
        </w:rPr>
        <w:t>①</w:t>
      </w:r>
      <w:r>
        <w:rPr>
          <w:rFonts w:ascii="KaiTi" w:hAnsi="KaiTi" w:eastAsia="KaiTi" w:cs="KaiTi"/>
          <w:sz w:val="18"/>
          <w:szCs w:val="18"/>
          <w:spacing w:val="48"/>
        </w:rPr>
        <w:t xml:space="preserve"> </w:t>
      </w:r>
      <w:r>
        <w:rPr>
          <w:rFonts w:ascii="KaiTi" w:hAnsi="KaiTi" w:eastAsia="KaiTi" w:cs="KaiTi"/>
          <w:sz w:val="18"/>
          <w:szCs w:val="18"/>
          <w:spacing w:val="1"/>
        </w:rPr>
        <w:t>贾开.算法可以中立吗?——“零工经济”的新可能.文化纵横</w:t>
      </w:r>
      <w:r>
        <w:rPr>
          <w:rFonts w:ascii="KaiTi" w:hAnsi="KaiTi" w:eastAsia="KaiTi" w:cs="KaiTi"/>
          <w:sz w:val="18"/>
          <w:szCs w:val="18"/>
        </w:rPr>
        <w:t>，2021(4):</w:t>
      </w:r>
      <w:r>
        <w:rPr>
          <w:rFonts w:ascii="KaiTi" w:hAnsi="KaiTi" w:eastAsia="KaiTi" w:cs="KaiTi"/>
          <w:sz w:val="18"/>
          <w:szCs w:val="18"/>
        </w:rPr>
        <w:t xml:space="preserve"> </w:t>
      </w:r>
      <w:r>
        <w:rPr>
          <w:rFonts w:ascii="SimSun" w:hAnsi="SimSun" w:eastAsia="SimSun" w:cs="SimSun"/>
          <w:sz w:val="16"/>
          <w:szCs w:val="16"/>
          <w:spacing w:val="-1"/>
        </w:rPr>
        <w:t>117-124,159.</w:t>
      </w:r>
    </w:p>
    <w:p>
      <w:pPr>
        <w:spacing w:line="265" w:lineRule="auto"/>
        <w:sectPr>
          <w:headerReference w:type="default" r:id="rId218"/>
          <w:pgSz w:w="7330" w:h="12480"/>
          <w:pgMar w:top="515" w:right="501" w:bottom="400" w:left="704" w:header="353" w:footer="0" w:gutter="0"/>
        </w:sectPr>
        <w:rPr>
          <w:rFonts w:ascii="SimSun" w:hAnsi="SimSun" w:eastAsia="SimSun" w:cs="SimSun"/>
          <w:sz w:val="16"/>
          <w:szCs w:val="16"/>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right="13"/>
        <w:spacing w:before="62" w:line="350" w:lineRule="auto"/>
        <w:jc w:val="both"/>
        <w:rPr>
          <w:rFonts w:ascii="SimSun" w:hAnsi="SimSun" w:eastAsia="SimSun" w:cs="SimSun"/>
          <w:sz w:val="19"/>
          <w:szCs w:val="19"/>
        </w:rPr>
      </w:pPr>
      <w:r>
        <w:rPr>
          <w:rFonts w:ascii="SimSun" w:hAnsi="SimSun" w:eastAsia="SimSun" w:cs="SimSun"/>
          <w:sz w:val="19"/>
          <w:szCs w:val="19"/>
          <w:spacing w:val="9"/>
        </w:rPr>
        <w:t>配套不能适应技术进步和生产组织形式变革所产生的摩擦，不能因此</w:t>
      </w:r>
      <w:r>
        <w:rPr>
          <w:rFonts w:ascii="SimSun" w:hAnsi="SimSun" w:eastAsia="SimSun" w:cs="SimSun"/>
          <w:sz w:val="19"/>
          <w:szCs w:val="19"/>
          <w:spacing w:val="6"/>
        </w:rPr>
        <w:t xml:space="preserve"> </w:t>
      </w:r>
      <w:r>
        <w:rPr>
          <w:rFonts w:ascii="SimSun" w:hAnsi="SimSun" w:eastAsia="SimSun" w:cs="SimSun"/>
          <w:sz w:val="19"/>
          <w:szCs w:val="19"/>
          <w:spacing w:val="9"/>
        </w:rPr>
        <w:t>而否定平台经济的积极作用，而是应该着眼于在发展中解决问题。为</w:t>
      </w:r>
    </w:p>
    <w:p>
      <w:pPr>
        <w:spacing w:line="218" w:lineRule="auto"/>
        <w:rPr>
          <w:rFonts w:ascii="SimSun" w:hAnsi="SimSun" w:eastAsia="SimSun" w:cs="SimSun"/>
          <w:sz w:val="19"/>
          <w:szCs w:val="19"/>
        </w:rPr>
      </w:pPr>
      <w:r>
        <w:rPr>
          <w:rFonts w:ascii="SimSun" w:hAnsi="SimSun" w:eastAsia="SimSun" w:cs="SimSun"/>
          <w:sz w:val="19"/>
          <w:szCs w:val="19"/>
          <w:spacing w:val="5"/>
        </w:rPr>
        <w:t>此，本章提出如下政策建议：</w:t>
      </w:r>
    </w:p>
    <w:p>
      <w:pPr>
        <w:ind w:right="3" w:firstLine="409"/>
        <w:spacing w:before="135" w:line="350" w:lineRule="auto"/>
        <w:jc w:val="both"/>
        <w:rPr>
          <w:rFonts w:ascii="SimSun" w:hAnsi="SimSun" w:eastAsia="SimSun" w:cs="SimSun"/>
          <w:sz w:val="19"/>
          <w:szCs w:val="19"/>
        </w:rPr>
      </w:pPr>
      <w:r>
        <w:rPr>
          <w:rFonts w:ascii="SimSun" w:hAnsi="SimSun" w:eastAsia="SimSun" w:cs="SimSun"/>
          <w:sz w:val="19"/>
          <w:szCs w:val="19"/>
          <w:spacing w:val="9"/>
        </w:rPr>
        <w:t>第一，在平台治理过程中，针对因为不正当竞争和垄断导致消费</w:t>
      </w:r>
      <w:r>
        <w:rPr>
          <w:rFonts w:ascii="SimSun" w:hAnsi="SimSun" w:eastAsia="SimSun" w:cs="SimSun"/>
          <w:sz w:val="19"/>
          <w:szCs w:val="19"/>
          <w:spacing w:val="6"/>
        </w:rPr>
        <w:t xml:space="preserve"> </w:t>
      </w:r>
      <w:r>
        <w:rPr>
          <w:rFonts w:ascii="SimSun" w:hAnsi="SimSun" w:eastAsia="SimSun" w:cs="SimSun"/>
          <w:sz w:val="19"/>
          <w:szCs w:val="19"/>
          <w:spacing w:val="9"/>
        </w:rPr>
        <w:t>者和平台劳动者权益受损失等问题，应该通过完善监管体系、倡导企</w:t>
      </w:r>
      <w:r>
        <w:rPr>
          <w:rFonts w:ascii="SimSun" w:hAnsi="SimSun" w:eastAsia="SimSun" w:cs="SimSun"/>
          <w:sz w:val="19"/>
          <w:szCs w:val="19"/>
          <w:spacing w:val="7"/>
        </w:rPr>
        <w:t xml:space="preserve"> </w:t>
      </w:r>
      <w:r>
        <w:rPr>
          <w:rFonts w:ascii="SimSun" w:hAnsi="SimSun" w:eastAsia="SimSun" w:cs="SimSun"/>
          <w:sz w:val="19"/>
          <w:szCs w:val="19"/>
          <w:spacing w:val="4"/>
        </w:rPr>
        <w:t>业承担社会责任等加以纠正。</w:t>
      </w:r>
      <w:r>
        <w:rPr>
          <w:rFonts w:ascii="SimSun" w:hAnsi="SimSun" w:eastAsia="SimSun" w:cs="SimSun"/>
          <w:sz w:val="19"/>
          <w:szCs w:val="19"/>
          <w:spacing w:val="60"/>
        </w:rPr>
        <w:t xml:space="preserve"> </w:t>
      </w:r>
      <w:r>
        <w:rPr>
          <w:rFonts w:ascii="SimSun" w:hAnsi="SimSun" w:eastAsia="SimSun" w:cs="SimSun"/>
          <w:sz w:val="19"/>
          <w:szCs w:val="19"/>
          <w:spacing w:val="4"/>
        </w:rPr>
        <w:t>一个可能的途径是逐步建立起相关行业</w:t>
      </w:r>
      <w:r>
        <w:rPr>
          <w:rFonts w:ascii="SimSun" w:hAnsi="SimSun" w:eastAsia="SimSun" w:cs="SimSun"/>
          <w:sz w:val="19"/>
          <w:szCs w:val="19"/>
        </w:rPr>
        <w:t xml:space="preserve"> </w:t>
      </w:r>
      <w:r>
        <w:rPr>
          <w:rFonts w:ascii="SimSun" w:hAnsi="SimSun" w:eastAsia="SimSun" w:cs="SimSun"/>
          <w:sz w:val="19"/>
          <w:szCs w:val="19"/>
          <w:spacing w:val="9"/>
        </w:rPr>
        <w:t>协会和零工工会，担负起行业自律、劳动者权益协商，以及教育引导</w:t>
      </w:r>
    </w:p>
    <w:p>
      <w:pPr>
        <w:spacing w:line="220" w:lineRule="auto"/>
        <w:rPr>
          <w:rFonts w:ascii="SimSun" w:hAnsi="SimSun" w:eastAsia="SimSun" w:cs="SimSun"/>
          <w:sz w:val="19"/>
          <w:szCs w:val="19"/>
        </w:rPr>
      </w:pPr>
      <w:r>
        <w:rPr>
          <w:rFonts w:ascii="SimSun" w:hAnsi="SimSun" w:eastAsia="SimSun" w:cs="SimSun"/>
          <w:sz w:val="19"/>
          <w:szCs w:val="19"/>
          <w:spacing w:val="5"/>
        </w:rPr>
        <w:t>消费者的积极作用。</w:t>
      </w:r>
    </w:p>
    <w:p>
      <w:pPr>
        <w:ind w:right="2" w:firstLine="409"/>
        <w:spacing w:before="131" w:line="350" w:lineRule="auto"/>
        <w:jc w:val="both"/>
        <w:rPr>
          <w:rFonts w:ascii="SimSun" w:hAnsi="SimSun" w:eastAsia="SimSun" w:cs="SimSun"/>
          <w:sz w:val="19"/>
          <w:szCs w:val="19"/>
        </w:rPr>
      </w:pPr>
      <w:r>
        <w:rPr>
          <w:rFonts w:ascii="SimSun" w:hAnsi="SimSun" w:eastAsia="SimSun" w:cs="SimSun"/>
          <w:sz w:val="19"/>
          <w:szCs w:val="19"/>
          <w:spacing w:val="16"/>
        </w:rPr>
        <w:t>第二，调整现有的劳动法律制度，对劳动者权益保护体系和社</w:t>
      </w:r>
      <w:r>
        <w:rPr>
          <w:rFonts w:ascii="SimSun" w:hAnsi="SimSun" w:eastAsia="SimSun" w:cs="SimSun"/>
          <w:sz w:val="19"/>
          <w:szCs w:val="19"/>
          <w:spacing w:val="5"/>
        </w:rPr>
        <w:t xml:space="preserve"> </w:t>
      </w:r>
      <w:r>
        <w:rPr>
          <w:rFonts w:ascii="SimSun" w:hAnsi="SimSun" w:eastAsia="SimSun" w:cs="SimSun"/>
          <w:sz w:val="19"/>
          <w:szCs w:val="19"/>
          <w:spacing w:val="9"/>
        </w:rPr>
        <w:t>会保障体系进行相应改革，开辟新的服务模式，在顺应技术进步带来</w:t>
      </w:r>
      <w:r>
        <w:rPr>
          <w:rFonts w:ascii="SimSun" w:hAnsi="SimSun" w:eastAsia="SimSun" w:cs="SimSun"/>
          <w:sz w:val="19"/>
          <w:szCs w:val="19"/>
          <w:spacing w:val="7"/>
        </w:rPr>
        <w:t xml:space="preserve"> </w:t>
      </w:r>
      <w:r>
        <w:rPr>
          <w:rFonts w:ascii="SimSun" w:hAnsi="SimSun" w:eastAsia="SimSun" w:cs="SimSun"/>
          <w:sz w:val="19"/>
          <w:szCs w:val="19"/>
          <w:spacing w:val="10"/>
        </w:rPr>
        <w:t>的变革、不增加经济运行成本的同时，保护</w:t>
      </w:r>
      <w:r>
        <w:rPr>
          <w:rFonts w:ascii="SimSun" w:hAnsi="SimSun" w:eastAsia="SimSun" w:cs="SimSun"/>
          <w:sz w:val="19"/>
          <w:szCs w:val="19"/>
          <w:spacing w:val="9"/>
        </w:rPr>
        <w:t>好劳动者权益。目前平台</w:t>
      </w:r>
      <w:r>
        <w:rPr>
          <w:rFonts w:ascii="SimSun" w:hAnsi="SimSun" w:eastAsia="SimSun" w:cs="SimSun"/>
          <w:sz w:val="19"/>
          <w:szCs w:val="19"/>
        </w:rPr>
        <w:t xml:space="preserve"> </w:t>
      </w:r>
      <w:r>
        <w:rPr>
          <w:rFonts w:ascii="SimSun" w:hAnsi="SimSun" w:eastAsia="SimSun" w:cs="SimSun"/>
          <w:sz w:val="19"/>
          <w:szCs w:val="19"/>
          <w:spacing w:val="9"/>
        </w:rPr>
        <w:t>工作模式复杂多样，传统的劳动法律有关劳动关系和民事关系的“二 </w:t>
      </w:r>
      <w:r>
        <w:rPr>
          <w:rFonts w:ascii="SimSun" w:hAnsi="SimSun" w:eastAsia="SimSun" w:cs="SimSun"/>
          <w:sz w:val="19"/>
          <w:szCs w:val="19"/>
          <w:spacing w:val="9"/>
        </w:rPr>
        <w:t>分法”已经明显不适于平台工作的发展现状，需要使用新的范畴来重</w:t>
      </w:r>
      <w:r>
        <w:rPr>
          <w:rFonts w:ascii="SimSun" w:hAnsi="SimSun" w:eastAsia="SimSun" w:cs="SimSun"/>
          <w:sz w:val="19"/>
          <w:szCs w:val="19"/>
          <w:spacing w:val="8"/>
        </w:rPr>
        <w:t xml:space="preserve"> </w:t>
      </w:r>
      <w:r>
        <w:rPr>
          <w:rFonts w:ascii="SimSun" w:hAnsi="SimSun" w:eastAsia="SimSun" w:cs="SimSun"/>
          <w:sz w:val="19"/>
          <w:szCs w:val="19"/>
          <w:spacing w:val="9"/>
        </w:rPr>
        <w:t>新界定这种非标准劳动关系。例如，可以借鉴西方国家关于独立工作</w:t>
      </w:r>
      <w:r>
        <w:rPr>
          <w:rFonts w:ascii="SimSun" w:hAnsi="SimSun" w:eastAsia="SimSun" w:cs="SimSun"/>
          <w:sz w:val="19"/>
          <w:szCs w:val="19"/>
          <w:spacing w:val="11"/>
        </w:rPr>
        <w:t xml:space="preserve"> </w:t>
      </w:r>
      <w:r>
        <w:rPr>
          <w:rFonts w:ascii="SimSun" w:hAnsi="SimSun" w:eastAsia="SimSun" w:cs="SimSun"/>
          <w:sz w:val="19"/>
          <w:szCs w:val="19"/>
          <w:spacing w:val="9"/>
        </w:rPr>
        <w:t>者的界定，并以此为基础重新划分劳动者和平台之间权利和义务的范</w:t>
      </w:r>
    </w:p>
    <w:p>
      <w:pPr>
        <w:spacing w:line="219" w:lineRule="auto"/>
        <w:rPr>
          <w:rFonts w:ascii="SimSun" w:hAnsi="SimSun" w:eastAsia="SimSun" w:cs="SimSun"/>
          <w:sz w:val="19"/>
          <w:szCs w:val="19"/>
        </w:rPr>
      </w:pPr>
      <w:r>
        <w:rPr>
          <w:rFonts w:ascii="SimSun" w:hAnsi="SimSun" w:eastAsia="SimSun" w:cs="SimSun"/>
          <w:sz w:val="19"/>
          <w:szCs w:val="19"/>
          <w:spacing w:val="6"/>
        </w:rPr>
        <w:t>围，并进行相匹配的制度建设。</w:t>
      </w:r>
    </w:p>
    <w:p>
      <w:pPr>
        <w:ind w:firstLine="409"/>
        <w:spacing w:before="133" w:line="350" w:lineRule="auto"/>
        <w:jc w:val="both"/>
        <w:rPr>
          <w:rFonts w:ascii="SimSun" w:hAnsi="SimSun" w:eastAsia="SimSun" w:cs="SimSun"/>
          <w:sz w:val="19"/>
          <w:szCs w:val="19"/>
        </w:rPr>
      </w:pPr>
      <w:r>
        <w:rPr>
          <w:rFonts w:ascii="SimSun" w:hAnsi="SimSun" w:eastAsia="SimSun" w:cs="SimSun"/>
          <w:sz w:val="19"/>
          <w:szCs w:val="19"/>
          <w:spacing w:val="5"/>
        </w:rPr>
        <w:t>第三，调整现有社保制度， </w:t>
      </w:r>
      <w:r>
        <w:rPr>
          <w:rFonts w:ascii="SimSun" w:hAnsi="SimSun" w:eastAsia="SimSun" w:cs="SimSun"/>
          <w:sz w:val="19"/>
          <w:szCs w:val="19"/>
          <w:u w:val="single" w:color="auto"/>
          <w:spacing w:val="5"/>
        </w:rPr>
        <w:t>建立起适</w:t>
      </w:r>
      <w:r>
        <w:rPr>
          <w:rFonts w:ascii="SimSun" w:hAnsi="SimSun" w:eastAsia="SimSun" w:cs="SimSun"/>
          <w:sz w:val="19"/>
          <w:szCs w:val="19"/>
          <w:spacing w:val="5"/>
        </w:rPr>
        <w:t>用于平台经济发展的劳动者</w:t>
      </w:r>
      <w:r>
        <w:rPr>
          <w:rFonts w:ascii="SimSun" w:hAnsi="SimSun" w:eastAsia="SimSun" w:cs="SimSun"/>
          <w:sz w:val="19"/>
          <w:szCs w:val="19"/>
          <w:spacing w:val="8"/>
        </w:rPr>
        <w:t xml:space="preserve"> </w:t>
      </w:r>
      <w:r>
        <w:rPr>
          <w:rFonts w:ascii="SimSun" w:hAnsi="SimSun" w:eastAsia="SimSun" w:cs="SimSun"/>
          <w:sz w:val="19"/>
          <w:szCs w:val="19"/>
          <w:spacing w:val="9"/>
        </w:rPr>
        <w:t>权益保护网。传统的劳动关系与社保制度是基于工业经济时代的特征</w:t>
      </w:r>
      <w:r>
        <w:rPr>
          <w:rFonts w:ascii="SimSun" w:hAnsi="SimSun" w:eastAsia="SimSun" w:cs="SimSun"/>
          <w:sz w:val="19"/>
          <w:szCs w:val="19"/>
          <w:spacing w:val="7"/>
        </w:rPr>
        <w:t xml:space="preserve"> </w:t>
      </w:r>
      <w:r>
        <w:rPr>
          <w:rFonts w:ascii="SimSun" w:hAnsi="SimSun" w:eastAsia="SimSun" w:cs="SimSun"/>
          <w:sz w:val="19"/>
          <w:szCs w:val="19"/>
          <w:spacing w:val="10"/>
        </w:rPr>
        <w:t>而制定的，二者存在明显的绑定特征，而这与平</w:t>
      </w:r>
      <w:r>
        <w:rPr>
          <w:rFonts w:ascii="SimSun" w:hAnsi="SimSun" w:eastAsia="SimSun" w:cs="SimSun"/>
          <w:sz w:val="19"/>
          <w:szCs w:val="19"/>
          <w:spacing w:val="9"/>
        </w:rPr>
        <w:t>台经济时代下灵活用</w:t>
      </w:r>
      <w:r>
        <w:rPr>
          <w:rFonts w:ascii="SimSun" w:hAnsi="SimSun" w:eastAsia="SimSun" w:cs="SimSun"/>
          <w:sz w:val="19"/>
          <w:szCs w:val="19"/>
        </w:rPr>
        <w:t xml:space="preserve"> </w:t>
      </w:r>
      <w:r>
        <w:rPr>
          <w:rFonts w:ascii="SimSun" w:hAnsi="SimSun" w:eastAsia="SimSun" w:cs="SimSun"/>
          <w:sz w:val="19"/>
          <w:szCs w:val="19"/>
          <w:spacing w:val="12"/>
        </w:rPr>
        <w:t>工的特点不符。将社保与劳动关系“解绑”,并为具有灵活就业、非 </w:t>
      </w:r>
      <w:r>
        <w:rPr>
          <w:rFonts w:ascii="SimSun" w:hAnsi="SimSun" w:eastAsia="SimSun" w:cs="SimSun"/>
          <w:sz w:val="19"/>
          <w:szCs w:val="19"/>
          <w:spacing w:val="9"/>
        </w:rPr>
        <w:t>固定用工单位、非全职就业等特征的劳动者建立起合理的费用分摊制</w:t>
      </w:r>
    </w:p>
    <w:p>
      <w:pPr>
        <w:spacing w:line="219" w:lineRule="auto"/>
        <w:rPr>
          <w:rFonts w:ascii="SimSun" w:hAnsi="SimSun" w:eastAsia="SimSun" w:cs="SimSun"/>
          <w:sz w:val="19"/>
          <w:szCs w:val="19"/>
        </w:rPr>
      </w:pPr>
      <w:r>
        <w:rPr>
          <w:rFonts w:ascii="SimSun" w:hAnsi="SimSun" w:eastAsia="SimSun" w:cs="SimSun"/>
          <w:sz w:val="19"/>
          <w:szCs w:val="19"/>
          <w:spacing w:val="8"/>
        </w:rPr>
        <w:t>度，能大大拓宽城镇职工社保体系的覆盖范围。</w:t>
      </w:r>
    </w:p>
    <w:p>
      <w:pPr>
        <w:ind w:firstLine="409"/>
        <w:spacing w:before="133" w:line="350" w:lineRule="auto"/>
        <w:jc w:val="both"/>
        <w:rPr>
          <w:rFonts w:ascii="SimSun" w:hAnsi="SimSun" w:eastAsia="SimSun" w:cs="SimSun"/>
          <w:sz w:val="19"/>
          <w:szCs w:val="19"/>
        </w:rPr>
      </w:pPr>
      <w:r>
        <w:rPr>
          <w:rFonts w:ascii="SimSun" w:hAnsi="SimSun" w:eastAsia="SimSun" w:cs="SimSun"/>
          <w:sz w:val="19"/>
          <w:szCs w:val="19"/>
          <w:spacing w:val="9"/>
        </w:rPr>
        <w:t>第四，加大一般意义上的收入分配调节手段的力度，包括完善弱</w:t>
      </w:r>
      <w:r>
        <w:rPr>
          <w:rFonts w:ascii="SimSun" w:hAnsi="SimSun" w:eastAsia="SimSun" w:cs="SimSun"/>
          <w:sz w:val="19"/>
          <w:szCs w:val="19"/>
          <w:spacing w:val="3"/>
        </w:rPr>
        <w:t xml:space="preserve"> </w:t>
      </w:r>
      <w:r>
        <w:rPr>
          <w:rFonts w:ascii="SimSun" w:hAnsi="SimSun" w:eastAsia="SimSun" w:cs="SimSun"/>
          <w:sz w:val="19"/>
          <w:szCs w:val="19"/>
          <w:spacing w:val="9"/>
        </w:rPr>
        <w:t>势群体的保障体系，加快户籍制度改革以提升劳动要素的流动性，通</w:t>
      </w:r>
      <w:r>
        <w:rPr>
          <w:rFonts w:ascii="SimSun" w:hAnsi="SimSun" w:eastAsia="SimSun" w:cs="SimSun"/>
          <w:sz w:val="19"/>
          <w:szCs w:val="19"/>
          <w:spacing w:val="6"/>
        </w:rPr>
        <w:t xml:space="preserve"> </w:t>
      </w:r>
      <w:r>
        <w:rPr>
          <w:rFonts w:ascii="SimSun" w:hAnsi="SimSun" w:eastAsia="SimSun" w:cs="SimSun"/>
          <w:sz w:val="19"/>
          <w:szCs w:val="19"/>
          <w:spacing w:val="9"/>
        </w:rPr>
        <w:t>过土地制度改革提升农民财产性收入，加大公共教育投入力度以提升</w:t>
      </w:r>
      <w:r>
        <w:rPr>
          <w:rFonts w:ascii="SimSun" w:hAnsi="SimSun" w:eastAsia="SimSun" w:cs="SimSun"/>
          <w:sz w:val="19"/>
          <w:szCs w:val="19"/>
          <w:spacing w:val="8"/>
        </w:rPr>
        <w:t xml:space="preserve"> </w:t>
      </w:r>
      <w:r>
        <w:rPr>
          <w:rFonts w:ascii="SimSun" w:hAnsi="SimSun" w:eastAsia="SimSun" w:cs="SimSun"/>
          <w:sz w:val="19"/>
          <w:szCs w:val="19"/>
          <w:spacing w:val="10"/>
        </w:rPr>
        <w:t>低收入群体的人力资本水平，完善资本相关的税收</w:t>
      </w:r>
      <w:r>
        <w:rPr>
          <w:rFonts w:ascii="SimSun" w:hAnsi="SimSun" w:eastAsia="SimSun" w:cs="SimSun"/>
          <w:sz w:val="19"/>
          <w:szCs w:val="19"/>
          <w:spacing w:val="9"/>
        </w:rPr>
        <w:t>制度以避免税收出</w:t>
      </w:r>
    </w:p>
    <w:p>
      <w:pPr>
        <w:spacing w:before="1" w:line="219" w:lineRule="auto"/>
        <w:rPr>
          <w:rFonts w:ascii="SimSun" w:hAnsi="SimSun" w:eastAsia="SimSun" w:cs="SimSun"/>
          <w:sz w:val="19"/>
          <w:szCs w:val="19"/>
        </w:rPr>
      </w:pPr>
      <w:r>
        <w:rPr>
          <w:rFonts w:ascii="SimSun" w:hAnsi="SimSun" w:eastAsia="SimSun" w:cs="SimSun"/>
          <w:sz w:val="19"/>
          <w:szCs w:val="19"/>
        </w:rPr>
        <w:t>现累退性等。</w:t>
      </w:r>
    </w:p>
    <w:p>
      <w:pPr>
        <w:spacing w:line="219" w:lineRule="auto"/>
        <w:sectPr>
          <w:headerReference w:type="default" r:id="rId220"/>
          <w:pgSz w:w="7330" w:h="12480"/>
          <w:pgMar w:top="857" w:right="916" w:bottom="400" w:left="420" w:header="715" w:footer="0" w:gutter="0"/>
        </w:sectPr>
        <w:rPr>
          <w:rFonts w:ascii="SimSun" w:hAnsi="SimSun" w:eastAsia="SimSun" w:cs="SimSun"/>
          <w:sz w:val="19"/>
          <w:szCs w:val="19"/>
        </w:rPr>
      </w:pPr>
    </w:p>
    <w:p>
      <w:pPr>
        <w:spacing w:line="12467" w:lineRule="exact"/>
        <w:rPr/>
      </w:pPr>
      <w:r>
        <w:rPr>
          <w:position w:val="-249"/>
        </w:rPr>
        <w:drawing>
          <wp:inline distT="0" distB="0" distL="0" distR="0">
            <wp:extent cx="4654550" cy="7916698"/>
            <wp:effectExtent l="0" t="0" r="0" b="0"/>
            <wp:docPr id="174" name="IM 174"/>
            <wp:cNvGraphicFramePr/>
            <a:graphic>
              <a:graphicData uri="http://schemas.openxmlformats.org/drawingml/2006/picture">
                <pic:pic>
                  <pic:nvPicPr>
                    <pic:cNvPr id="174" name="IM 174"/>
                    <pic:cNvPicPr/>
                  </pic:nvPicPr>
                  <pic:blipFill>
                    <a:blip r:embed="rId221"/>
                    <a:stretch>
                      <a:fillRect/>
                    </a:stretch>
                  </pic:blipFill>
                  <pic:spPr>
                    <a:xfrm rot="0">
                      <a:off x="0" y="0"/>
                      <a:ext cx="4654550" cy="7916698"/>
                    </a:xfrm>
                    <a:prstGeom prst="rect">
                      <a:avLst/>
                    </a:prstGeom>
                  </pic:spPr>
                </pic:pic>
              </a:graphicData>
            </a:graphic>
          </wp:inline>
        </w:drawing>
      </w:r>
    </w:p>
    <w:p>
      <w:pPr>
        <w:spacing w:line="12467" w:lineRule="exact"/>
        <w:sectPr>
          <w:headerReference w:type="default" r:id="rId1"/>
          <w:pgSz w:w="7330" w:h="12480"/>
          <w:pgMar w:top="1" w:right="0" w:bottom="1" w:left="0" w:header="0" w:footer="0" w:gutter="0"/>
        </w:sectPr>
        <w:rPr/>
      </w:pPr>
    </w:p>
    <w:p>
      <w:pPr>
        <w:pStyle w:val="BodyText"/>
        <w:spacing w:line="274" w:lineRule="auto"/>
        <w:rPr/>
      </w:pPr>
      <w:r>
        <w:drawing>
          <wp:anchor distT="0" distB="0" distL="0" distR="0" simplePos="0" relativeHeight="253556736" behindDoc="0" locked="0" layoutInCell="0" allowOverlap="1">
            <wp:simplePos x="0" y="0"/>
            <wp:positionH relativeFrom="page">
              <wp:posOffset>260328</wp:posOffset>
            </wp:positionH>
            <wp:positionV relativeFrom="page">
              <wp:posOffset>7061229</wp:posOffset>
            </wp:positionV>
            <wp:extent cx="1168431" cy="6350"/>
            <wp:effectExtent l="0" t="0" r="0" b="0"/>
            <wp:wrapNone/>
            <wp:docPr id="176" name="IM 176"/>
            <wp:cNvGraphicFramePr/>
            <a:graphic>
              <a:graphicData uri="http://schemas.openxmlformats.org/drawingml/2006/picture">
                <pic:pic>
                  <pic:nvPicPr>
                    <pic:cNvPr id="176" name="IM 176"/>
                    <pic:cNvPicPr/>
                  </pic:nvPicPr>
                  <pic:blipFill>
                    <a:blip r:embed="rId222"/>
                    <a:stretch>
                      <a:fillRect/>
                    </a:stretch>
                  </pic:blipFill>
                  <pic:spPr>
                    <a:xfrm rot="0">
                      <a:off x="0" y="0"/>
                      <a:ext cx="1168431" cy="6350"/>
                    </a:xfrm>
                    <a:prstGeom prst="rect">
                      <a:avLst/>
                    </a:prstGeom>
                  </pic:spPr>
                </pic:pic>
              </a:graphicData>
            </a:graphic>
          </wp:anchor>
        </w:drawing>
      </w: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firstLine="849"/>
        <w:spacing w:line="3640" w:lineRule="exact"/>
        <w:rPr/>
      </w:pPr>
      <w:r>
        <w:rPr>
          <w:position w:val="-72"/>
        </w:rPr>
        <w:drawing>
          <wp:inline distT="0" distB="0" distL="0" distR="0">
            <wp:extent cx="2857521" cy="2311426"/>
            <wp:effectExtent l="0" t="0" r="0" b="0"/>
            <wp:docPr id="178" name="IM 178"/>
            <wp:cNvGraphicFramePr/>
            <a:graphic>
              <a:graphicData uri="http://schemas.openxmlformats.org/drawingml/2006/picture">
                <pic:pic>
                  <pic:nvPicPr>
                    <pic:cNvPr id="178" name="IM 178"/>
                    <pic:cNvPicPr/>
                  </pic:nvPicPr>
                  <pic:blipFill>
                    <a:blip r:embed="rId223"/>
                    <a:stretch>
                      <a:fillRect/>
                    </a:stretch>
                  </pic:blipFill>
                  <pic:spPr>
                    <a:xfrm rot="0">
                      <a:off x="0" y="0"/>
                      <a:ext cx="2857521" cy="2311426"/>
                    </a:xfrm>
                    <a:prstGeom prst="rect">
                      <a:avLst/>
                    </a:prstGeom>
                  </pic:spPr>
                </pic:pic>
              </a:graphicData>
            </a:graphic>
          </wp:inline>
        </w:drawing>
      </w:r>
    </w:p>
    <w:p>
      <w:pPr>
        <w:ind w:left="1199"/>
        <w:spacing w:before="276" w:line="668" w:lineRule="exact"/>
        <w:tabs>
          <w:tab w:val="left" w:pos="2600"/>
        </w:tabs>
        <w:rPr>
          <w:rFonts w:ascii="SimHei" w:hAnsi="SimHei" w:eastAsia="SimHei" w:cs="SimHei"/>
          <w:sz w:val="29"/>
          <w:szCs w:val="29"/>
        </w:rPr>
      </w:pPr>
      <w:r>
        <w:rPr>
          <w:rFonts w:ascii="SimHei" w:hAnsi="SimHei" w:eastAsia="SimHei" w:cs="SimHei"/>
          <w:sz w:val="29"/>
          <w:szCs w:val="29"/>
          <w:strike/>
          <w:position w:val="28"/>
        </w:rPr>
        <w:tab/>
      </w:r>
      <w:r>
        <w:rPr>
          <w:rFonts w:ascii="SimHei" w:hAnsi="SimHei" w:eastAsia="SimHei" w:cs="SimHei"/>
          <w:sz w:val="29"/>
          <w:szCs w:val="29"/>
          <w:spacing w:val="-41"/>
          <w:position w:val="28"/>
        </w:rPr>
        <w:t xml:space="preserve"> </w:t>
      </w:r>
      <w:r>
        <w:rPr>
          <w:rFonts w:ascii="SimHei" w:hAnsi="SimHei" w:eastAsia="SimHei" w:cs="SimHei"/>
          <w:sz w:val="29"/>
          <w:szCs w:val="29"/>
          <w:b/>
          <w:bCs/>
          <w:spacing w:val="-7"/>
          <w:position w:val="28"/>
        </w:rPr>
        <w:t>第五章</w:t>
      </w:r>
      <w:r>
        <w:rPr>
          <w:rFonts w:ascii="SimHei" w:hAnsi="SimHei" w:eastAsia="SimHei" w:cs="SimHei"/>
          <w:sz w:val="29"/>
          <w:szCs w:val="29"/>
          <w:spacing w:val="-78"/>
          <w:position w:val="28"/>
        </w:rPr>
        <w:t xml:space="preserve"> </w:t>
      </w:r>
      <w:r>
        <w:rPr>
          <w:rFonts w:ascii="SimHei" w:hAnsi="SimHei" w:eastAsia="SimHei" w:cs="SimHei"/>
          <w:sz w:val="29"/>
          <w:szCs w:val="29"/>
          <w:strike/>
          <w:position w:val="28"/>
        </w:rPr>
        <w:t xml:space="preserve">          </w:t>
      </w:r>
    </w:p>
    <w:p>
      <w:pPr>
        <w:ind w:left="1325"/>
        <w:spacing w:before="1" w:line="239" w:lineRule="auto"/>
        <w:rPr>
          <w:rFonts w:ascii="SimSun" w:hAnsi="SimSun" w:eastAsia="SimSun" w:cs="SimSun"/>
          <w:sz w:val="15"/>
          <w:szCs w:val="15"/>
        </w:rPr>
      </w:pPr>
      <w:r>
        <w:rPr>
          <w:rFonts w:ascii="SimSun" w:hAnsi="SimSun" w:eastAsia="SimSun" w:cs="SimSun"/>
          <w:sz w:val="36"/>
          <w:szCs w:val="36"/>
          <w:b/>
          <w:bCs/>
          <w:spacing w:val="-5"/>
        </w:rPr>
        <w:t>平台经济和国家治理</w:t>
      </w:r>
      <w:r>
        <w:rPr>
          <w:rFonts w:ascii="SimSun" w:hAnsi="SimSun" w:eastAsia="SimSun" w:cs="SimSun"/>
          <w:sz w:val="36"/>
          <w:szCs w:val="36"/>
          <w:spacing w:val="-121"/>
        </w:rPr>
        <w:t xml:space="preserve"> </w:t>
      </w:r>
      <w:r>
        <w:rPr>
          <w:rFonts w:ascii="SimSun" w:hAnsi="SimSun" w:eastAsia="SimSun" w:cs="SimSun"/>
          <w:sz w:val="15"/>
          <w:szCs w:val="15"/>
          <w:spacing w:val="-5"/>
          <w:position w:val="27"/>
        </w:rPr>
        <w:t>①</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56" w:line="223" w:lineRule="auto"/>
        <w:rPr>
          <w:rFonts w:ascii="SimSun" w:hAnsi="SimSun" w:eastAsia="SimSun" w:cs="SimSun"/>
          <w:sz w:val="17"/>
          <w:szCs w:val="17"/>
        </w:rPr>
      </w:pPr>
      <w:r>
        <w:rPr>
          <w:rFonts w:ascii="KaiTi" w:hAnsi="KaiTi" w:eastAsia="KaiTi" w:cs="KaiTi"/>
          <w:sz w:val="17"/>
          <w:szCs w:val="17"/>
          <w:spacing w:val="-8"/>
        </w:rPr>
        <w:t>①</w:t>
      </w:r>
      <w:r>
        <w:rPr>
          <w:rFonts w:ascii="KaiTi" w:hAnsi="KaiTi" w:eastAsia="KaiTi" w:cs="KaiTi"/>
          <w:sz w:val="17"/>
          <w:szCs w:val="17"/>
          <w:spacing w:val="64"/>
        </w:rPr>
        <w:t xml:space="preserve"> </w:t>
      </w:r>
      <w:r>
        <w:rPr>
          <w:rFonts w:ascii="KaiTi" w:hAnsi="KaiTi" w:eastAsia="KaiTi" w:cs="KaiTi"/>
          <w:sz w:val="17"/>
          <w:szCs w:val="17"/>
          <w:spacing w:val="-8"/>
        </w:rPr>
        <w:t>本章作者为席天扬</w:t>
      </w:r>
      <w:r>
        <w:rPr>
          <w:rFonts w:ascii="SimSun" w:hAnsi="SimSun" w:eastAsia="SimSun" w:cs="SimSun"/>
          <w:sz w:val="17"/>
          <w:szCs w:val="17"/>
          <w:spacing w:val="-8"/>
        </w:rPr>
        <w:t>。</w:t>
      </w:r>
    </w:p>
    <w:p>
      <w:pPr>
        <w:spacing w:line="223" w:lineRule="auto"/>
        <w:sectPr>
          <w:pgSz w:w="7330" w:h="12480"/>
          <w:pgMar w:top="400" w:right="1099" w:bottom="400" w:left="399" w:header="0" w:footer="0" w:gutter="0"/>
        </w:sectPr>
        <w:rPr>
          <w:rFonts w:ascii="SimSun" w:hAnsi="SimSun" w:eastAsia="SimSun" w:cs="SimSun"/>
          <w:sz w:val="17"/>
          <w:szCs w:val="17"/>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firstLine="800"/>
        <w:spacing w:line="2721" w:lineRule="exact"/>
        <w:rPr/>
      </w:pPr>
      <w:r>
        <w:rPr>
          <w:position w:val="-54"/>
        </w:rPr>
        <w:drawing>
          <wp:inline distT="0" distB="0" distL="0" distR="0">
            <wp:extent cx="2298696" cy="1727210"/>
            <wp:effectExtent l="0" t="0" r="0" b="0"/>
            <wp:docPr id="180" name="IM 180"/>
            <wp:cNvGraphicFramePr/>
            <a:graphic>
              <a:graphicData uri="http://schemas.openxmlformats.org/drawingml/2006/picture">
                <pic:pic>
                  <pic:nvPicPr>
                    <pic:cNvPr id="180" name="IM 180"/>
                    <pic:cNvPicPr/>
                  </pic:nvPicPr>
                  <pic:blipFill>
                    <a:blip r:embed="rId224"/>
                    <a:stretch>
                      <a:fillRect/>
                    </a:stretch>
                  </pic:blipFill>
                  <pic:spPr>
                    <a:xfrm rot="0">
                      <a:off x="0" y="0"/>
                      <a:ext cx="2298696" cy="1727210"/>
                    </a:xfrm>
                    <a:prstGeom prst="rect">
                      <a:avLst/>
                    </a:prstGeom>
                  </pic:spPr>
                </pic:pic>
              </a:graphicData>
            </a:graphic>
          </wp:inline>
        </w:drawing>
      </w:r>
    </w:p>
    <w:p>
      <w:pPr>
        <w:spacing w:line="2721" w:lineRule="exact"/>
        <w:sectPr>
          <w:pgSz w:w="7330" w:h="12480"/>
          <w:pgMar w:top="400" w:right="1099" w:bottom="400" w:left="1099" w:header="0" w:footer="0" w:gutter="0"/>
        </w:sectPr>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firstLine="409"/>
        <w:spacing w:before="68" w:line="303" w:lineRule="auto"/>
        <w:rPr>
          <w:rFonts w:ascii="SimSun" w:hAnsi="SimSun" w:eastAsia="SimSun" w:cs="SimSun"/>
          <w:sz w:val="21"/>
          <w:szCs w:val="21"/>
        </w:rPr>
      </w:pPr>
      <w:r>
        <w:rPr>
          <w:rFonts w:ascii="SimSun" w:hAnsi="SimSun" w:eastAsia="SimSun" w:cs="SimSun"/>
          <w:sz w:val="21"/>
          <w:szCs w:val="21"/>
          <w:spacing w:val="-4"/>
        </w:rPr>
        <w:t>党的十八届三中全会提出了“国家治理体系和治理能力现代化”</w:t>
      </w:r>
      <w:r>
        <w:rPr>
          <w:rFonts w:ascii="SimSun" w:hAnsi="SimSun" w:eastAsia="SimSun" w:cs="SimSun"/>
          <w:sz w:val="21"/>
          <w:szCs w:val="21"/>
          <w:spacing w:val="14"/>
        </w:rPr>
        <w:t xml:space="preserve"> </w:t>
      </w:r>
      <w:r>
        <w:rPr>
          <w:rFonts w:ascii="SimSun" w:hAnsi="SimSun" w:eastAsia="SimSun" w:cs="SimSun"/>
          <w:sz w:val="21"/>
          <w:szCs w:val="21"/>
          <w:spacing w:val="-10"/>
        </w:rPr>
        <w:t>这一重大命题。国家治理体系是一个国家的上层建筑，对于我们国家</w:t>
      </w:r>
      <w:r>
        <w:rPr>
          <w:rFonts w:ascii="SimSun" w:hAnsi="SimSun" w:eastAsia="SimSun" w:cs="SimSun"/>
          <w:sz w:val="21"/>
          <w:szCs w:val="21"/>
        </w:rPr>
        <w:t xml:space="preserve">   </w:t>
      </w:r>
      <w:r>
        <w:rPr>
          <w:rFonts w:ascii="SimSun" w:hAnsi="SimSun" w:eastAsia="SimSun" w:cs="SimSun"/>
          <w:sz w:val="21"/>
          <w:szCs w:val="21"/>
          <w:spacing w:val="-10"/>
        </w:rPr>
        <w:t>而言，就是在党的全面领导下，经济、政治、法律、社会、文化</w:t>
      </w:r>
      <w:r>
        <w:rPr>
          <w:rFonts w:ascii="SimSun" w:hAnsi="SimSun" w:eastAsia="SimSun" w:cs="SimSun"/>
          <w:sz w:val="21"/>
          <w:szCs w:val="21"/>
          <w:spacing w:val="-11"/>
        </w:rPr>
        <w:t>和生</w:t>
      </w:r>
      <w:r>
        <w:rPr>
          <w:rFonts w:ascii="SimSun" w:hAnsi="SimSun" w:eastAsia="SimSun" w:cs="SimSun"/>
          <w:sz w:val="21"/>
          <w:szCs w:val="21"/>
        </w:rPr>
        <w:t xml:space="preserve">   </w:t>
      </w:r>
      <w:r>
        <w:rPr>
          <w:rFonts w:ascii="SimSun" w:hAnsi="SimSun" w:eastAsia="SimSun" w:cs="SimSun"/>
          <w:sz w:val="21"/>
          <w:szCs w:val="21"/>
          <w:spacing w:val="-10"/>
        </w:rPr>
        <w:t>态环境等领域的管理机制和制度安排。国家治理体系的有效性主</w:t>
      </w:r>
      <w:r>
        <w:rPr>
          <w:rFonts w:ascii="SimSun" w:hAnsi="SimSun" w:eastAsia="SimSun" w:cs="SimSun"/>
          <w:sz w:val="21"/>
          <w:szCs w:val="21"/>
          <w:spacing w:val="-11"/>
        </w:rPr>
        <w:t>要表</w:t>
      </w:r>
      <w:r>
        <w:rPr>
          <w:rFonts w:ascii="SimSun" w:hAnsi="SimSun" w:eastAsia="SimSun" w:cs="SimSun"/>
          <w:sz w:val="21"/>
          <w:szCs w:val="21"/>
        </w:rPr>
        <w:t xml:space="preserve">   </w:t>
      </w:r>
      <w:r>
        <w:rPr>
          <w:rFonts w:ascii="SimSun" w:hAnsi="SimSun" w:eastAsia="SimSun" w:cs="SimSun"/>
          <w:sz w:val="21"/>
          <w:szCs w:val="21"/>
          <w:spacing w:val="-10"/>
        </w:rPr>
        <w:t>现为国家治理能力，也就是如何管理经济和社会事务，促进改</w:t>
      </w:r>
      <w:r>
        <w:rPr>
          <w:rFonts w:ascii="SimSun" w:hAnsi="SimSun" w:eastAsia="SimSun" w:cs="SimSun"/>
          <w:sz w:val="21"/>
          <w:szCs w:val="21"/>
          <w:spacing w:val="-11"/>
        </w:rPr>
        <w:t>革、发</w:t>
      </w:r>
      <w:r>
        <w:rPr>
          <w:rFonts w:ascii="SimSun" w:hAnsi="SimSun" w:eastAsia="SimSun" w:cs="SimSun"/>
          <w:sz w:val="21"/>
          <w:szCs w:val="21"/>
        </w:rPr>
        <w:t xml:space="preserve">   </w:t>
      </w:r>
      <w:r>
        <w:rPr>
          <w:rFonts w:ascii="SimSun" w:hAnsi="SimSun" w:eastAsia="SimSun" w:cs="SimSun"/>
          <w:sz w:val="21"/>
          <w:szCs w:val="21"/>
          <w:spacing w:val="-10"/>
        </w:rPr>
        <w:t>展、稳定，增进社会稳定与和谐，满足人民群众日益增长的对美</w:t>
      </w:r>
      <w:r>
        <w:rPr>
          <w:rFonts w:ascii="SimSun" w:hAnsi="SimSun" w:eastAsia="SimSun" w:cs="SimSun"/>
          <w:sz w:val="21"/>
          <w:szCs w:val="21"/>
          <w:spacing w:val="-11"/>
        </w:rPr>
        <w:t>好生</w:t>
      </w:r>
      <w:r>
        <w:rPr>
          <w:rFonts w:ascii="SimSun" w:hAnsi="SimSun" w:eastAsia="SimSun" w:cs="SimSun"/>
          <w:sz w:val="21"/>
          <w:szCs w:val="21"/>
        </w:rPr>
        <w:t xml:space="preserve">   </w:t>
      </w:r>
      <w:r>
        <w:rPr>
          <w:rFonts w:ascii="SimSun" w:hAnsi="SimSun" w:eastAsia="SimSun" w:cs="SimSun"/>
          <w:sz w:val="21"/>
          <w:szCs w:val="21"/>
          <w:spacing w:val="-11"/>
        </w:rPr>
        <w:t>活的需要。</w:t>
      </w:r>
    </w:p>
    <w:p>
      <w:pPr>
        <w:ind w:right="164" w:firstLine="409"/>
        <w:spacing w:before="111" w:line="304" w:lineRule="auto"/>
        <w:rPr>
          <w:rFonts w:ascii="SimSun" w:hAnsi="SimSun" w:eastAsia="SimSun" w:cs="SimSun"/>
          <w:sz w:val="21"/>
          <w:szCs w:val="21"/>
        </w:rPr>
      </w:pPr>
      <w:r>
        <w:rPr>
          <w:rFonts w:ascii="SimSun" w:hAnsi="SimSun" w:eastAsia="SimSun" w:cs="SimSun"/>
          <w:sz w:val="21"/>
          <w:szCs w:val="21"/>
          <w:spacing w:val="-2"/>
        </w:rPr>
        <w:t>随着移动通信技术的快速发展和以大数据为基础的人工智能技</w:t>
      </w:r>
      <w:r>
        <w:rPr>
          <w:rFonts w:ascii="SimSun" w:hAnsi="SimSun" w:eastAsia="SimSun" w:cs="SimSun"/>
          <w:sz w:val="21"/>
          <w:szCs w:val="21"/>
          <w:spacing w:val="2"/>
        </w:rPr>
        <w:t xml:space="preserve"> </w:t>
      </w:r>
      <w:r>
        <w:rPr>
          <w:rFonts w:ascii="SimSun" w:hAnsi="SimSun" w:eastAsia="SimSun" w:cs="SimSun"/>
          <w:sz w:val="21"/>
          <w:szCs w:val="21"/>
          <w:spacing w:val="-10"/>
        </w:rPr>
        <w:t>术的普遍应用，平台经济已经成为现代社会生活的基本要件。统计显</w:t>
      </w:r>
      <w:r>
        <w:rPr>
          <w:rFonts w:ascii="SimSun" w:hAnsi="SimSun" w:eastAsia="SimSun" w:cs="SimSun"/>
          <w:sz w:val="21"/>
          <w:szCs w:val="21"/>
          <w:spacing w:val="2"/>
        </w:rPr>
        <w:t xml:space="preserve"> </w:t>
      </w:r>
      <w:r>
        <w:rPr>
          <w:rFonts w:ascii="SimSun" w:hAnsi="SimSun" w:eastAsia="SimSun" w:cs="SimSun"/>
          <w:sz w:val="21"/>
          <w:szCs w:val="21"/>
        </w:rPr>
        <w:t>示，中国成年人每天用来看手机的平均时间为3小时16分钟，年轻</w:t>
      </w:r>
      <w:r>
        <w:rPr>
          <w:rFonts w:ascii="SimSun" w:hAnsi="SimSun" w:eastAsia="SimSun" w:cs="SimSun"/>
          <w:sz w:val="21"/>
          <w:szCs w:val="21"/>
          <w:spacing w:val="12"/>
        </w:rPr>
        <w:t xml:space="preserve"> </w:t>
      </w:r>
      <w:r>
        <w:rPr>
          <w:rFonts w:ascii="SimSun" w:hAnsi="SimSun" w:eastAsia="SimSun" w:cs="SimSun"/>
          <w:sz w:val="21"/>
          <w:szCs w:val="21"/>
          <w:spacing w:val="-7"/>
        </w:rPr>
        <w:t>人使用手机更可能高达8小时以上，这其中大部分时间消耗在移动端</w:t>
      </w:r>
      <w:r>
        <w:rPr>
          <w:rFonts w:ascii="SimSun" w:hAnsi="SimSun" w:eastAsia="SimSun" w:cs="SimSun"/>
          <w:sz w:val="21"/>
          <w:szCs w:val="21"/>
          <w:spacing w:val="14"/>
        </w:rPr>
        <w:t xml:space="preserve"> </w:t>
      </w:r>
      <w:r>
        <w:rPr>
          <w:rFonts w:ascii="SimSun" w:hAnsi="SimSun" w:eastAsia="SimSun" w:cs="SimSun"/>
          <w:sz w:val="21"/>
          <w:szCs w:val="21"/>
          <w:spacing w:val="-10"/>
        </w:rPr>
        <w:t>平台上。今天的人很难适应不能使用手机打车、缴费、购物、消费和</w:t>
      </w:r>
      <w:r>
        <w:rPr>
          <w:rFonts w:ascii="SimSun" w:hAnsi="SimSun" w:eastAsia="SimSun" w:cs="SimSun"/>
          <w:sz w:val="21"/>
          <w:szCs w:val="21"/>
          <w:spacing w:val="5"/>
        </w:rPr>
        <w:t xml:space="preserve"> </w:t>
      </w:r>
      <w:r>
        <w:rPr>
          <w:rFonts w:ascii="SimSun" w:hAnsi="SimSun" w:eastAsia="SimSun" w:cs="SimSun"/>
          <w:sz w:val="21"/>
          <w:szCs w:val="21"/>
          <w:spacing w:val="-10"/>
        </w:rPr>
        <w:t>获取新闻资讯的生活方式。历史唯物主义告诉我们，经济基础</w:t>
      </w:r>
      <w:r>
        <w:rPr>
          <w:rFonts w:ascii="SimSun" w:hAnsi="SimSun" w:eastAsia="SimSun" w:cs="SimSun"/>
          <w:sz w:val="21"/>
          <w:szCs w:val="21"/>
          <w:spacing w:val="-11"/>
        </w:rPr>
        <w:t>决定上</w:t>
      </w:r>
      <w:r>
        <w:rPr>
          <w:rFonts w:ascii="SimSun" w:hAnsi="SimSun" w:eastAsia="SimSun" w:cs="SimSun"/>
          <w:sz w:val="21"/>
          <w:szCs w:val="21"/>
        </w:rPr>
        <w:t xml:space="preserve"> </w:t>
      </w:r>
      <w:r>
        <w:rPr>
          <w:rFonts w:ascii="SimSun" w:hAnsi="SimSun" w:eastAsia="SimSun" w:cs="SimSun"/>
          <w:sz w:val="21"/>
          <w:szCs w:val="21"/>
          <w:spacing w:val="-10"/>
        </w:rPr>
        <w:t>层建筑。平台的功能和影响已经超越了经济和市场，成为国家</w:t>
      </w:r>
      <w:r>
        <w:rPr>
          <w:rFonts w:ascii="SimSun" w:hAnsi="SimSun" w:eastAsia="SimSun" w:cs="SimSun"/>
          <w:sz w:val="21"/>
          <w:szCs w:val="21"/>
          <w:spacing w:val="-11"/>
        </w:rPr>
        <w:t>治理体</w:t>
      </w:r>
      <w:r>
        <w:rPr>
          <w:rFonts w:ascii="SimSun" w:hAnsi="SimSun" w:eastAsia="SimSun" w:cs="SimSun"/>
          <w:sz w:val="21"/>
          <w:szCs w:val="21"/>
        </w:rPr>
        <w:t xml:space="preserve"> </w:t>
      </w:r>
      <w:r>
        <w:rPr>
          <w:rFonts w:ascii="SimSun" w:hAnsi="SimSun" w:eastAsia="SimSun" w:cs="SimSun"/>
          <w:sz w:val="21"/>
          <w:szCs w:val="21"/>
          <w:spacing w:val="-13"/>
        </w:rPr>
        <w:t>系建构过程中必须认真对待的问题。</w:t>
      </w:r>
    </w:p>
    <w:p>
      <w:pPr>
        <w:ind w:right="98" w:firstLine="409"/>
        <w:spacing w:before="117" w:line="298" w:lineRule="auto"/>
        <w:rPr>
          <w:rFonts w:ascii="SimSun" w:hAnsi="SimSun" w:eastAsia="SimSun" w:cs="SimSun"/>
          <w:sz w:val="21"/>
          <w:szCs w:val="21"/>
        </w:rPr>
      </w:pPr>
      <w:r>
        <w:rPr>
          <w:rFonts w:ascii="SimSun" w:hAnsi="SimSun" w:eastAsia="SimSun" w:cs="SimSun"/>
          <w:sz w:val="21"/>
          <w:szCs w:val="21"/>
          <w:spacing w:val="-12"/>
        </w:rPr>
        <w:t>我们认为，平台经济是提升国家治理能力的积极力量。</w:t>
      </w:r>
      <w:r>
        <w:rPr>
          <w:rFonts w:ascii="SimSun" w:hAnsi="SimSun" w:eastAsia="SimSun" w:cs="SimSun"/>
          <w:sz w:val="21"/>
          <w:szCs w:val="21"/>
          <w:spacing w:val="39"/>
        </w:rPr>
        <w:t xml:space="preserve"> </w:t>
      </w:r>
      <w:r>
        <w:rPr>
          <w:rFonts w:ascii="SimSun" w:hAnsi="SimSun" w:eastAsia="SimSun" w:cs="SimSun"/>
          <w:sz w:val="21"/>
          <w:szCs w:val="21"/>
          <w:spacing w:val="-13"/>
        </w:rPr>
        <w:t>一方面，</w:t>
      </w:r>
      <w:r>
        <w:rPr>
          <w:rFonts w:ascii="SimSun" w:hAnsi="SimSun" w:eastAsia="SimSun" w:cs="SimSun"/>
          <w:sz w:val="21"/>
          <w:szCs w:val="21"/>
        </w:rPr>
        <w:t xml:space="preserve"> </w:t>
      </w:r>
      <w:r>
        <w:rPr>
          <w:rFonts w:ascii="SimSun" w:hAnsi="SimSun" w:eastAsia="SimSun" w:cs="SimSun"/>
          <w:sz w:val="21"/>
          <w:szCs w:val="21"/>
          <w:spacing w:val="-10"/>
        </w:rPr>
        <w:t>平台经济的兴起提供了新的商业模式和经济增长点，改进了资</w:t>
      </w:r>
      <w:r>
        <w:rPr>
          <w:rFonts w:ascii="SimSun" w:hAnsi="SimSun" w:eastAsia="SimSun" w:cs="SimSun"/>
          <w:sz w:val="21"/>
          <w:szCs w:val="21"/>
          <w:spacing w:val="-11"/>
        </w:rPr>
        <w:t>源的配</w:t>
      </w:r>
      <w:r>
        <w:rPr>
          <w:rFonts w:ascii="SimSun" w:hAnsi="SimSun" w:eastAsia="SimSun" w:cs="SimSun"/>
          <w:sz w:val="21"/>
          <w:szCs w:val="21"/>
        </w:rPr>
        <w:t xml:space="preserve">  </w:t>
      </w:r>
      <w:r>
        <w:rPr>
          <w:rFonts w:ascii="SimSun" w:hAnsi="SimSun" w:eastAsia="SimSun" w:cs="SimSun"/>
          <w:sz w:val="21"/>
          <w:szCs w:val="21"/>
          <w:spacing w:val="-10"/>
        </w:rPr>
        <w:t>置效率，创造了多样化的劳动需求和灵活的就业机会，提高了居民的</w:t>
      </w:r>
      <w:r>
        <w:rPr>
          <w:rFonts w:ascii="SimSun" w:hAnsi="SimSun" w:eastAsia="SimSun" w:cs="SimSun"/>
          <w:sz w:val="21"/>
          <w:szCs w:val="21"/>
          <w:spacing w:val="2"/>
        </w:rPr>
        <w:t xml:space="preserve">  </w:t>
      </w:r>
      <w:r>
        <w:rPr>
          <w:rFonts w:ascii="SimSun" w:hAnsi="SimSun" w:eastAsia="SimSun" w:cs="SimSun"/>
          <w:sz w:val="21"/>
          <w:szCs w:val="21"/>
          <w:spacing w:val="-10"/>
        </w:rPr>
        <w:t>消费福利。另一方面，平台所提供的技术和商业模式也增强了政府治</w:t>
      </w:r>
      <w:r>
        <w:rPr>
          <w:rFonts w:ascii="SimSun" w:hAnsi="SimSun" w:eastAsia="SimSun" w:cs="SimSun"/>
          <w:sz w:val="21"/>
          <w:szCs w:val="21"/>
          <w:spacing w:val="3"/>
        </w:rPr>
        <w:t xml:space="preserve">  </w:t>
      </w:r>
      <w:r>
        <w:rPr>
          <w:rFonts w:ascii="SimSun" w:hAnsi="SimSun" w:eastAsia="SimSun" w:cs="SimSun"/>
          <w:sz w:val="21"/>
          <w:szCs w:val="21"/>
          <w:spacing w:val="-10"/>
        </w:rPr>
        <w:t>理能力，政府的平台化极大地增强了公共服务的效能。与此同时</w:t>
      </w:r>
      <w:r>
        <w:rPr>
          <w:rFonts w:ascii="SimSun" w:hAnsi="SimSun" w:eastAsia="SimSun" w:cs="SimSun"/>
          <w:sz w:val="21"/>
          <w:szCs w:val="21"/>
          <w:spacing w:val="-11"/>
        </w:rPr>
        <w:t>，平</w:t>
      </w:r>
      <w:r>
        <w:rPr>
          <w:rFonts w:ascii="SimSun" w:hAnsi="SimSun" w:eastAsia="SimSun" w:cs="SimSun"/>
          <w:sz w:val="21"/>
          <w:szCs w:val="21"/>
        </w:rPr>
        <w:t xml:space="preserve">  </w:t>
      </w:r>
      <w:r>
        <w:rPr>
          <w:rFonts w:ascii="SimSun" w:hAnsi="SimSun" w:eastAsia="SimSun" w:cs="SimSun"/>
          <w:sz w:val="21"/>
          <w:szCs w:val="21"/>
          <w:spacing w:val="-11"/>
        </w:rPr>
        <w:t>台经济对社会生活的全面嵌入也造成了一定程度的数字化依赖，平台</w:t>
      </w:r>
      <w:r>
        <w:rPr>
          <w:rFonts w:ascii="SimSun" w:hAnsi="SimSun" w:eastAsia="SimSun" w:cs="SimSun"/>
          <w:sz w:val="21"/>
          <w:szCs w:val="21"/>
          <w:spacing w:val="5"/>
        </w:rPr>
        <w:t xml:space="preserve">  </w:t>
      </w:r>
      <w:r>
        <w:rPr>
          <w:rFonts w:ascii="SimSun" w:hAnsi="SimSun" w:eastAsia="SimSun" w:cs="SimSun"/>
          <w:sz w:val="21"/>
          <w:szCs w:val="21"/>
          <w:spacing w:val="-11"/>
        </w:rPr>
        <w:t>化的公共服务对不同人群具有差异化的影响。同时，围绕平台企业的</w:t>
      </w:r>
      <w:r>
        <w:rPr>
          <w:rFonts w:ascii="SimSun" w:hAnsi="SimSun" w:eastAsia="SimSun" w:cs="SimSun"/>
          <w:sz w:val="21"/>
          <w:szCs w:val="21"/>
          <w:spacing w:val="2"/>
        </w:rPr>
        <w:t xml:space="preserve">  </w:t>
      </w:r>
      <w:r>
        <w:rPr>
          <w:rFonts w:ascii="SimSun" w:hAnsi="SimSun" w:eastAsia="SimSun" w:cs="SimSun"/>
          <w:sz w:val="21"/>
          <w:szCs w:val="21"/>
          <w:spacing w:val="-10"/>
        </w:rPr>
        <w:t>经营、发展也产生了关于劳动者权益、收入差距和数据安全等方面的</w:t>
      </w:r>
      <w:r>
        <w:rPr>
          <w:rFonts w:ascii="SimSun" w:hAnsi="SimSun" w:eastAsia="SimSun" w:cs="SimSun"/>
          <w:sz w:val="21"/>
          <w:szCs w:val="21"/>
          <w:spacing w:val="2"/>
        </w:rPr>
        <w:t xml:space="preserve">  </w:t>
      </w:r>
      <w:r>
        <w:rPr>
          <w:rFonts w:ascii="SimSun" w:hAnsi="SimSun" w:eastAsia="SimSun" w:cs="SimSun"/>
          <w:sz w:val="21"/>
          <w:szCs w:val="21"/>
          <w:spacing w:val="-10"/>
        </w:rPr>
        <w:t>舆论热点问题。如何正确管理数字技术对社会治理的多方面影响，对</w:t>
      </w:r>
    </w:p>
    <w:p>
      <w:pPr>
        <w:spacing w:line="298" w:lineRule="auto"/>
        <w:sectPr>
          <w:pgSz w:w="7330" w:h="12480"/>
          <w:pgMar w:top="400" w:right="696" w:bottom="400" w:left="440" w:header="0"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104"/>
        <w:spacing w:before="68" w:line="370" w:lineRule="exact"/>
        <w:rPr>
          <w:rFonts w:ascii="SimSun" w:hAnsi="SimSun" w:eastAsia="SimSun" w:cs="SimSun"/>
          <w:sz w:val="21"/>
          <w:szCs w:val="21"/>
        </w:rPr>
      </w:pPr>
      <w:r>
        <w:rPr>
          <w:rFonts w:ascii="SimSun" w:hAnsi="SimSun" w:eastAsia="SimSun" w:cs="SimSun"/>
          <w:sz w:val="21"/>
          <w:szCs w:val="21"/>
          <w:spacing w:val="-10"/>
          <w:position w:val="12"/>
        </w:rPr>
        <w:t>平台经济加以趋利避害的引导和监管，促进国家治理能力的提升，目</w:t>
      </w:r>
    </w:p>
    <w:p>
      <w:pPr>
        <w:ind w:left="104"/>
        <w:spacing w:line="218" w:lineRule="auto"/>
        <w:rPr>
          <w:rFonts w:ascii="SimSun" w:hAnsi="SimSun" w:eastAsia="SimSun" w:cs="SimSun"/>
          <w:sz w:val="21"/>
          <w:szCs w:val="21"/>
        </w:rPr>
      </w:pPr>
      <w:r>
        <w:rPr>
          <w:rFonts w:ascii="SimSun" w:hAnsi="SimSun" w:eastAsia="SimSun" w:cs="SimSun"/>
          <w:sz w:val="21"/>
          <w:szCs w:val="21"/>
          <w:spacing w:val="-12"/>
        </w:rPr>
        <w:t>前已经成为全球各国政府普遍重视的问题。</w:t>
      </w:r>
    </w:p>
    <w:p>
      <w:pPr>
        <w:ind w:right="118" w:firstLine="514"/>
        <w:spacing w:before="100" w:line="301" w:lineRule="auto"/>
        <w:jc w:val="both"/>
        <w:rPr>
          <w:rFonts w:ascii="SimSun" w:hAnsi="SimSun" w:eastAsia="SimSun" w:cs="SimSun"/>
          <w:sz w:val="21"/>
          <w:szCs w:val="21"/>
        </w:rPr>
      </w:pPr>
      <w:r>
        <w:rPr>
          <w:rFonts w:ascii="SimSun" w:hAnsi="SimSun" w:eastAsia="SimSun" w:cs="SimSun"/>
          <w:sz w:val="21"/>
          <w:szCs w:val="21"/>
          <w:spacing w:val="-11"/>
        </w:rPr>
        <w:t>本章从政府治理、社会治理、价值观念和监管策略四个层面阐述 </w:t>
      </w:r>
      <w:r>
        <w:rPr>
          <w:rFonts w:ascii="SimSun" w:hAnsi="SimSun" w:eastAsia="SimSun" w:cs="SimSun"/>
          <w:sz w:val="21"/>
          <w:szCs w:val="21"/>
          <w:spacing w:val="-7"/>
        </w:rPr>
        <w:t>平台经济和国家治理的关系。在政府治理层面，公共服务和数字平台</w:t>
      </w:r>
      <w:r>
        <w:rPr>
          <w:rFonts w:ascii="SimSun" w:hAnsi="SimSun" w:eastAsia="SimSun" w:cs="SimSun"/>
          <w:sz w:val="21"/>
          <w:szCs w:val="21"/>
          <w:spacing w:val="15"/>
        </w:rPr>
        <w:t xml:space="preserve"> </w:t>
      </w:r>
      <w:r>
        <w:rPr>
          <w:rFonts w:ascii="SimSun" w:hAnsi="SimSun" w:eastAsia="SimSun" w:cs="SimSun"/>
          <w:sz w:val="21"/>
          <w:szCs w:val="21"/>
          <w:spacing w:val="-7"/>
        </w:rPr>
        <w:t>的融合是全球范围内不可逆转的趋势。多国政府正在大力推动促进公 </w:t>
      </w:r>
      <w:r>
        <w:rPr>
          <w:rFonts w:ascii="SimSun" w:hAnsi="SimSun" w:eastAsia="SimSun" w:cs="SimSun"/>
          <w:sz w:val="21"/>
          <w:szCs w:val="21"/>
          <w:spacing w:val="-5"/>
        </w:rPr>
        <w:t>共服务系统的平台化改造，通过数字化技术提高公共服务的可得性，</w:t>
      </w:r>
      <w:r>
        <w:rPr>
          <w:rFonts w:ascii="SimSun" w:hAnsi="SimSun" w:eastAsia="SimSun" w:cs="SimSun"/>
          <w:sz w:val="21"/>
          <w:szCs w:val="21"/>
          <w:spacing w:val="18"/>
        </w:rPr>
        <w:t xml:space="preserve"> </w:t>
      </w:r>
      <w:r>
        <w:rPr>
          <w:rFonts w:ascii="SimSun" w:hAnsi="SimSun" w:eastAsia="SimSun" w:cs="SimSun"/>
          <w:sz w:val="21"/>
          <w:szCs w:val="21"/>
          <w:spacing w:val="-7"/>
        </w:rPr>
        <w:t>改进治理绩效。跨国研究表明，各国在促进政府设计的数字化、行政 </w:t>
      </w:r>
      <w:r>
        <w:rPr>
          <w:rFonts w:ascii="SimSun" w:hAnsi="SimSun" w:eastAsia="SimSun" w:cs="SimSun"/>
          <w:sz w:val="21"/>
          <w:szCs w:val="21"/>
          <w:spacing w:val="-7"/>
        </w:rPr>
        <w:t>系统数据驱动、行政系统平台化、政府服务的开放性、用户驱动性和 </w:t>
      </w:r>
      <w:r>
        <w:rPr>
          <w:rFonts w:ascii="SimSun" w:hAnsi="SimSun" w:eastAsia="SimSun" w:cs="SimSun"/>
          <w:sz w:val="21"/>
          <w:szCs w:val="21"/>
          <w:spacing w:val="-7"/>
        </w:rPr>
        <w:t>主动性等层面还有很大的提升空间，不同国家数字政府的发展速度和 </w:t>
      </w:r>
      <w:r>
        <w:rPr>
          <w:rFonts w:ascii="SimSun" w:hAnsi="SimSun" w:eastAsia="SimSun" w:cs="SimSun"/>
          <w:sz w:val="21"/>
          <w:szCs w:val="21"/>
        </w:rPr>
        <w:t>质量极不平衡。这种现状为新兴经济体在国家治理体</w:t>
      </w:r>
      <w:r>
        <w:rPr>
          <w:rFonts w:ascii="SimSun" w:hAnsi="SimSun" w:eastAsia="SimSun" w:cs="SimSun"/>
          <w:sz w:val="21"/>
          <w:szCs w:val="21"/>
          <w:spacing w:val="-1"/>
        </w:rPr>
        <w:t>系建设上实现 </w:t>
      </w:r>
      <w:r>
        <w:rPr>
          <w:rFonts w:ascii="SimSun" w:hAnsi="SimSun" w:eastAsia="SimSun" w:cs="SimSun"/>
          <w:sz w:val="21"/>
          <w:szCs w:val="21"/>
          <w:spacing w:val="-5"/>
        </w:rPr>
        <w:t>“弯道超车”提供了机遇，也对发展中国家的治理能力形成了挑战。</w:t>
      </w:r>
      <w:r>
        <w:rPr>
          <w:rFonts w:ascii="SimSun" w:hAnsi="SimSun" w:eastAsia="SimSun" w:cs="SimSun"/>
          <w:sz w:val="21"/>
          <w:szCs w:val="21"/>
          <w:spacing w:val="18"/>
        </w:rPr>
        <w:t xml:space="preserve"> </w:t>
      </w:r>
      <w:r>
        <w:rPr>
          <w:rFonts w:ascii="SimSun" w:hAnsi="SimSun" w:eastAsia="SimSun" w:cs="SimSun"/>
          <w:sz w:val="21"/>
          <w:szCs w:val="21"/>
          <w:spacing w:val="-7"/>
        </w:rPr>
        <w:t>得益于平台企业的蓬勃发展，近年来中国在数字化公共服务和政府数 </w:t>
      </w:r>
      <w:r>
        <w:rPr>
          <w:rFonts w:ascii="SimSun" w:hAnsi="SimSun" w:eastAsia="SimSun" w:cs="SimSun"/>
          <w:sz w:val="21"/>
          <w:szCs w:val="21"/>
          <w:spacing w:val="-7"/>
        </w:rPr>
        <w:t>字平台的建设上取得了令人瞩目的成效，但是数字政府发展仍然具有 </w:t>
      </w:r>
      <w:r>
        <w:rPr>
          <w:rFonts w:ascii="SimSun" w:hAnsi="SimSun" w:eastAsia="SimSun" w:cs="SimSun"/>
          <w:sz w:val="21"/>
          <w:szCs w:val="21"/>
          <w:spacing w:val="-7"/>
        </w:rPr>
        <w:t>不充分和不平衡的特征，其在不同地区和不同人群中的普及性存在较 </w:t>
      </w:r>
      <w:r>
        <w:rPr>
          <w:rFonts w:ascii="SimSun" w:hAnsi="SimSun" w:eastAsia="SimSun" w:cs="SimSun"/>
          <w:sz w:val="21"/>
          <w:szCs w:val="21"/>
          <w:spacing w:val="15"/>
        </w:rPr>
        <w:t>大差异。</w:t>
      </w:r>
    </w:p>
    <w:p>
      <w:pPr>
        <w:ind w:left="104" w:firstLine="429"/>
        <w:spacing w:before="235" w:line="308" w:lineRule="auto"/>
        <w:jc w:val="both"/>
        <w:rPr>
          <w:rFonts w:ascii="SimSun" w:hAnsi="SimSun" w:eastAsia="SimSun" w:cs="SimSun"/>
          <w:sz w:val="21"/>
          <w:szCs w:val="21"/>
        </w:rPr>
      </w:pPr>
      <w:r>
        <w:rPr>
          <w:rFonts w:ascii="SimSun" w:hAnsi="SimSun" w:eastAsia="SimSun" w:cs="SimSun"/>
          <w:sz w:val="21"/>
          <w:szCs w:val="21"/>
          <w:spacing w:val="-11"/>
        </w:rPr>
        <w:t>在社会治理层面，以社交媒体为载体的平台经济深刻地改变了民  </w:t>
      </w:r>
      <w:r>
        <w:rPr>
          <w:rFonts w:ascii="SimSun" w:hAnsi="SimSun" w:eastAsia="SimSun" w:cs="SimSun"/>
          <w:sz w:val="21"/>
          <w:szCs w:val="21"/>
          <w:spacing w:val="-10"/>
        </w:rPr>
        <w:t>众获取和传播信息的方式，并通过对文化价值、热点事件</w:t>
      </w:r>
      <w:r>
        <w:rPr>
          <w:rFonts w:ascii="SimSun" w:hAnsi="SimSun" w:eastAsia="SimSun" w:cs="SimSun"/>
          <w:sz w:val="21"/>
          <w:szCs w:val="21"/>
          <w:spacing w:val="-11"/>
        </w:rPr>
        <w:t>、政治参与</w:t>
      </w:r>
      <w:r>
        <w:rPr>
          <w:rFonts w:ascii="SimSun" w:hAnsi="SimSun" w:eastAsia="SimSun" w:cs="SimSun"/>
          <w:sz w:val="21"/>
          <w:szCs w:val="21"/>
        </w:rPr>
        <w:t xml:space="preserve">  </w:t>
      </w:r>
      <w:r>
        <w:rPr>
          <w:rFonts w:ascii="SimSun" w:hAnsi="SimSun" w:eastAsia="SimSun" w:cs="SimSun"/>
          <w:sz w:val="21"/>
          <w:szCs w:val="21"/>
          <w:spacing w:val="-4"/>
        </w:rPr>
        <w:t>行为的塑造影响着政治进程和社会稳定。从社交媒体在“颜色革命”</w:t>
      </w:r>
      <w:r>
        <w:rPr>
          <w:rFonts w:ascii="SimSun" w:hAnsi="SimSun" w:eastAsia="SimSun" w:cs="SimSun"/>
          <w:sz w:val="21"/>
          <w:szCs w:val="21"/>
          <w:spacing w:val="2"/>
        </w:rPr>
        <w:t xml:space="preserve"> </w:t>
      </w:r>
      <w:r>
        <w:rPr>
          <w:rFonts w:ascii="SimSun" w:hAnsi="SimSun" w:eastAsia="SimSun" w:cs="SimSun"/>
          <w:sz w:val="21"/>
          <w:szCs w:val="21"/>
        </w:rPr>
        <w:t>中的广泛使用，到英国脱欧“公投”,再到美国2016年、2020年总  </w:t>
      </w:r>
      <w:r>
        <w:rPr>
          <w:rFonts w:ascii="SimSun" w:hAnsi="SimSun" w:eastAsia="SimSun" w:cs="SimSun"/>
          <w:sz w:val="21"/>
          <w:szCs w:val="21"/>
          <w:spacing w:val="-5"/>
        </w:rPr>
        <w:t>统选举中针对脸书、推特、</w:t>
      </w:r>
      <w:r>
        <w:rPr>
          <w:rFonts w:ascii="Times New Roman" w:hAnsi="Times New Roman" w:eastAsia="Times New Roman" w:cs="Times New Roman"/>
          <w:sz w:val="21"/>
          <w:szCs w:val="21"/>
          <w:spacing w:val="-5"/>
        </w:rPr>
        <w:t>TikTok </w:t>
      </w:r>
      <w:r>
        <w:rPr>
          <w:rFonts w:ascii="SimSun" w:hAnsi="SimSun" w:eastAsia="SimSun" w:cs="SimSun"/>
          <w:sz w:val="21"/>
          <w:szCs w:val="21"/>
          <w:spacing w:val="-5"/>
        </w:rPr>
        <w:t>等社交媒体的争议，足以看出社</w:t>
      </w:r>
      <w:r>
        <w:rPr>
          <w:rFonts w:ascii="SimSun" w:hAnsi="SimSun" w:eastAsia="SimSun" w:cs="SimSun"/>
          <w:sz w:val="21"/>
          <w:szCs w:val="21"/>
          <w:spacing w:val="3"/>
        </w:rPr>
        <w:t xml:space="preserve">   </w:t>
      </w:r>
      <w:r>
        <w:rPr>
          <w:rFonts w:ascii="SimSun" w:hAnsi="SimSun" w:eastAsia="SimSun" w:cs="SimSun"/>
          <w:sz w:val="21"/>
          <w:szCs w:val="21"/>
          <w:spacing w:val="-10"/>
        </w:rPr>
        <w:t>交媒体平台所具有的全球性和革命性的政治影响</w:t>
      </w:r>
      <w:r>
        <w:rPr>
          <w:rFonts w:ascii="SimSun" w:hAnsi="SimSun" w:eastAsia="SimSun" w:cs="SimSun"/>
          <w:sz w:val="21"/>
          <w:szCs w:val="21"/>
          <w:spacing w:val="-11"/>
        </w:rPr>
        <w:t>。社交媒体的信息外</w:t>
      </w:r>
      <w:r>
        <w:rPr>
          <w:rFonts w:ascii="SimSun" w:hAnsi="SimSun" w:eastAsia="SimSun" w:cs="SimSun"/>
          <w:sz w:val="21"/>
          <w:szCs w:val="21"/>
        </w:rPr>
        <w:t xml:space="preserve">   </w:t>
      </w:r>
      <w:r>
        <w:rPr>
          <w:rFonts w:ascii="SimSun" w:hAnsi="SimSun" w:eastAsia="SimSun" w:cs="SimSun"/>
          <w:sz w:val="21"/>
          <w:szCs w:val="21"/>
          <w:spacing w:val="-11"/>
        </w:rPr>
        <w:t>溢性和数字技术本身的不可控性在这些事件中发挥了比政治体制和经</w:t>
      </w:r>
      <w:r>
        <w:rPr>
          <w:rFonts w:ascii="SimSun" w:hAnsi="SimSun" w:eastAsia="SimSun" w:cs="SimSun"/>
          <w:sz w:val="21"/>
          <w:szCs w:val="21"/>
          <w:spacing w:val="5"/>
        </w:rPr>
        <w:t xml:space="preserve">   </w:t>
      </w:r>
      <w:r>
        <w:rPr>
          <w:rFonts w:ascii="SimSun" w:hAnsi="SimSun" w:eastAsia="SimSun" w:cs="SimSun"/>
          <w:sz w:val="21"/>
          <w:szCs w:val="21"/>
          <w:spacing w:val="-11"/>
        </w:rPr>
        <w:t>济发展水平更大的作用。相比西方国家私人资本主导社交媒体平台发</w:t>
      </w:r>
      <w:r>
        <w:rPr>
          <w:rFonts w:ascii="SimSun" w:hAnsi="SimSun" w:eastAsia="SimSun" w:cs="SimSun"/>
          <w:sz w:val="21"/>
          <w:szCs w:val="21"/>
          <w:spacing w:val="5"/>
        </w:rPr>
        <w:t xml:space="preserve">   </w:t>
      </w:r>
      <w:r>
        <w:rPr>
          <w:rFonts w:ascii="SimSun" w:hAnsi="SimSun" w:eastAsia="SimSun" w:cs="SimSun"/>
          <w:sz w:val="21"/>
          <w:szCs w:val="21"/>
          <w:spacing w:val="-10"/>
        </w:rPr>
        <w:t>展模式，我国独特的信息监管模式和党对社</w:t>
      </w:r>
      <w:r>
        <w:rPr>
          <w:rFonts w:ascii="SimSun" w:hAnsi="SimSun" w:eastAsia="SimSun" w:cs="SimSun"/>
          <w:sz w:val="21"/>
          <w:szCs w:val="21"/>
          <w:spacing w:val="-11"/>
        </w:rPr>
        <w:t>会经济组织的全面领导具</w:t>
      </w:r>
      <w:r>
        <w:rPr>
          <w:rFonts w:ascii="SimSun" w:hAnsi="SimSun" w:eastAsia="SimSun" w:cs="SimSun"/>
          <w:sz w:val="21"/>
          <w:szCs w:val="21"/>
        </w:rPr>
        <w:t xml:space="preserve">   </w:t>
      </w:r>
      <w:r>
        <w:rPr>
          <w:rFonts w:ascii="SimSun" w:hAnsi="SimSun" w:eastAsia="SimSun" w:cs="SimSun"/>
          <w:sz w:val="21"/>
          <w:szCs w:val="21"/>
          <w:spacing w:val="-10"/>
        </w:rPr>
        <w:t>有体制性优势，有利于管理数字技术应用的不确定性</w:t>
      </w:r>
      <w:r>
        <w:rPr>
          <w:rFonts w:ascii="SimSun" w:hAnsi="SimSun" w:eastAsia="SimSun" w:cs="SimSun"/>
          <w:sz w:val="21"/>
          <w:szCs w:val="21"/>
          <w:spacing w:val="-11"/>
        </w:rPr>
        <w:t>，消除虚假信息</w:t>
      </w:r>
      <w:r>
        <w:rPr>
          <w:rFonts w:ascii="SimSun" w:hAnsi="SimSun" w:eastAsia="SimSun" w:cs="SimSun"/>
          <w:sz w:val="21"/>
          <w:szCs w:val="21"/>
        </w:rPr>
        <w:t xml:space="preserve">  </w:t>
      </w:r>
      <w:r>
        <w:rPr>
          <w:rFonts w:ascii="SimSun" w:hAnsi="SimSun" w:eastAsia="SimSun" w:cs="SimSun"/>
          <w:sz w:val="21"/>
          <w:szCs w:val="21"/>
          <w:spacing w:val="-11"/>
        </w:rPr>
        <w:t>对社会和谐及稳定的负面影响，引导平台经济成为有利于党的全面领</w:t>
      </w:r>
      <w:r>
        <w:rPr>
          <w:rFonts w:ascii="SimSun" w:hAnsi="SimSun" w:eastAsia="SimSun" w:cs="SimSun"/>
          <w:sz w:val="21"/>
          <w:szCs w:val="21"/>
          <w:spacing w:val="5"/>
        </w:rPr>
        <w:t xml:space="preserve">   </w:t>
      </w:r>
      <w:r>
        <w:rPr>
          <w:rFonts w:ascii="SimSun" w:hAnsi="SimSun" w:eastAsia="SimSun" w:cs="SimSun"/>
          <w:sz w:val="21"/>
          <w:szCs w:val="21"/>
          <w:spacing w:val="-12"/>
        </w:rPr>
        <w:t>导和国家治理体系的建设性力量。</w:t>
      </w:r>
    </w:p>
    <w:p>
      <w:pPr>
        <w:spacing w:line="308" w:lineRule="auto"/>
        <w:sectPr>
          <w:headerReference w:type="default" r:id="rId225"/>
          <w:pgSz w:w="7330" w:h="12480"/>
          <w:pgMar w:top="497" w:right="426" w:bottom="400" w:left="615" w:header="33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firstLine="409"/>
        <w:spacing w:before="68" w:line="308" w:lineRule="auto"/>
        <w:jc w:val="both"/>
        <w:rPr>
          <w:rFonts w:ascii="SimSun" w:hAnsi="SimSun" w:eastAsia="SimSun" w:cs="SimSun"/>
          <w:sz w:val="21"/>
          <w:szCs w:val="21"/>
        </w:rPr>
      </w:pPr>
      <w:r>
        <w:rPr>
          <w:rFonts w:ascii="SimSun" w:hAnsi="SimSun" w:eastAsia="SimSun" w:cs="SimSun"/>
          <w:sz w:val="21"/>
          <w:szCs w:val="21"/>
          <w:spacing w:val="-10"/>
        </w:rPr>
        <w:t>在价值观念层面，平台新兴商业模式以及就此</w:t>
      </w:r>
      <w:r>
        <w:rPr>
          <w:rFonts w:ascii="SimSun" w:hAnsi="SimSun" w:eastAsia="SimSun" w:cs="SimSun"/>
          <w:sz w:val="21"/>
          <w:szCs w:val="21"/>
          <w:spacing w:val="-11"/>
        </w:rPr>
        <w:t>产生的利益分配冲</w:t>
      </w:r>
      <w:r>
        <w:rPr>
          <w:rFonts w:ascii="SimSun" w:hAnsi="SimSun" w:eastAsia="SimSun" w:cs="SimSun"/>
          <w:sz w:val="21"/>
          <w:szCs w:val="21"/>
        </w:rPr>
        <w:t xml:space="preserve"> </w:t>
      </w:r>
      <w:r>
        <w:rPr>
          <w:rFonts w:ascii="SimSun" w:hAnsi="SimSun" w:eastAsia="SimSun" w:cs="SimSun"/>
          <w:sz w:val="21"/>
          <w:szCs w:val="21"/>
          <w:spacing w:val="-11"/>
        </w:rPr>
        <w:t>突屡屡成为近年来的热点事件。现行的法律、政策在消费者权益、数</w:t>
      </w:r>
      <w:r>
        <w:rPr>
          <w:rFonts w:ascii="SimSun" w:hAnsi="SimSun" w:eastAsia="SimSun" w:cs="SimSun"/>
          <w:sz w:val="21"/>
          <w:szCs w:val="21"/>
          <w:spacing w:val="7"/>
        </w:rPr>
        <w:t xml:space="preserve"> </w:t>
      </w:r>
      <w:r>
        <w:rPr>
          <w:rFonts w:ascii="SimSun" w:hAnsi="SimSun" w:eastAsia="SimSun" w:cs="SimSun"/>
          <w:sz w:val="21"/>
          <w:szCs w:val="21"/>
          <w:spacing w:val="-11"/>
        </w:rPr>
        <w:t>据安全和隐私、平台劳动者权益保护等领域滞后于平台商业模式的发</w:t>
      </w:r>
      <w:r>
        <w:rPr>
          <w:rFonts w:ascii="SimSun" w:hAnsi="SimSun" w:eastAsia="SimSun" w:cs="SimSun"/>
          <w:sz w:val="21"/>
          <w:szCs w:val="21"/>
          <w:spacing w:val="7"/>
        </w:rPr>
        <w:t xml:space="preserve"> </w:t>
      </w:r>
      <w:r>
        <w:rPr>
          <w:rFonts w:ascii="SimSun" w:hAnsi="SimSun" w:eastAsia="SimSun" w:cs="SimSun"/>
          <w:sz w:val="21"/>
          <w:szCs w:val="21"/>
          <w:spacing w:val="-11"/>
        </w:rPr>
        <w:t>展，形成了制度和监管的灰色地带，围绕着这些问题的争议和冲突也</w:t>
      </w:r>
      <w:r>
        <w:rPr>
          <w:rFonts w:ascii="SimSun" w:hAnsi="SimSun" w:eastAsia="SimSun" w:cs="SimSun"/>
          <w:sz w:val="21"/>
          <w:szCs w:val="21"/>
          <w:spacing w:val="10"/>
        </w:rPr>
        <w:t xml:space="preserve"> </w:t>
      </w:r>
      <w:r>
        <w:rPr>
          <w:rFonts w:ascii="SimSun" w:hAnsi="SimSun" w:eastAsia="SimSun" w:cs="SimSun"/>
          <w:sz w:val="21"/>
          <w:szCs w:val="21"/>
          <w:spacing w:val="-11"/>
        </w:rPr>
        <w:t>往往成为社会舆情关注的焦点。应当认识到，这些冲突来自技术进步</w:t>
      </w:r>
      <w:r>
        <w:rPr>
          <w:rFonts w:ascii="SimSun" w:hAnsi="SimSun" w:eastAsia="SimSun" w:cs="SimSun"/>
          <w:sz w:val="21"/>
          <w:szCs w:val="21"/>
          <w:spacing w:val="9"/>
        </w:rPr>
        <w:t xml:space="preserve"> </w:t>
      </w:r>
      <w:r>
        <w:rPr>
          <w:rFonts w:ascii="SimSun" w:hAnsi="SimSun" w:eastAsia="SimSun" w:cs="SimSun"/>
          <w:sz w:val="21"/>
          <w:szCs w:val="21"/>
          <w:spacing w:val="-11"/>
        </w:rPr>
        <w:t>和商业模式创新所导致的利益再分配、再谈判。多元利益诉求是健康</w:t>
      </w:r>
      <w:r>
        <w:rPr>
          <w:rFonts w:ascii="SimSun" w:hAnsi="SimSun" w:eastAsia="SimSun" w:cs="SimSun"/>
          <w:sz w:val="21"/>
          <w:szCs w:val="21"/>
          <w:spacing w:val="8"/>
        </w:rPr>
        <w:t xml:space="preserve"> </w:t>
      </w:r>
      <w:r>
        <w:rPr>
          <w:rFonts w:ascii="SimSun" w:hAnsi="SimSun" w:eastAsia="SimSun" w:cs="SimSun"/>
          <w:sz w:val="21"/>
          <w:szCs w:val="21"/>
          <w:spacing w:val="-10"/>
        </w:rPr>
        <w:t>社会的产物，是经济发展和结构转型的必然结果。从</w:t>
      </w:r>
      <w:r>
        <w:rPr>
          <w:rFonts w:ascii="SimSun" w:hAnsi="SimSun" w:eastAsia="SimSun" w:cs="SimSun"/>
          <w:sz w:val="21"/>
          <w:szCs w:val="21"/>
          <w:spacing w:val="-11"/>
        </w:rPr>
        <w:t>政策制定者的角</w:t>
      </w:r>
      <w:r>
        <w:rPr>
          <w:rFonts w:ascii="SimSun" w:hAnsi="SimSun" w:eastAsia="SimSun" w:cs="SimSun"/>
          <w:sz w:val="21"/>
          <w:szCs w:val="21"/>
        </w:rPr>
        <w:t xml:space="preserve"> </w:t>
      </w:r>
      <w:r>
        <w:rPr>
          <w:rFonts w:ascii="SimSun" w:hAnsi="SimSun" w:eastAsia="SimSun" w:cs="SimSun"/>
          <w:sz w:val="21"/>
          <w:szCs w:val="21"/>
          <w:spacing w:val="-11"/>
        </w:rPr>
        <w:t>度，有必要对针对平台经济的舆情加以科学的研判和认识，在监管政</w:t>
      </w:r>
      <w:r>
        <w:rPr>
          <w:rFonts w:ascii="SimSun" w:hAnsi="SimSun" w:eastAsia="SimSun" w:cs="SimSun"/>
          <w:sz w:val="21"/>
          <w:szCs w:val="21"/>
          <w:spacing w:val="7"/>
        </w:rPr>
        <w:t xml:space="preserve"> </w:t>
      </w:r>
      <w:r>
        <w:rPr>
          <w:rFonts w:ascii="SimSun" w:hAnsi="SimSun" w:eastAsia="SimSun" w:cs="SimSun"/>
          <w:sz w:val="21"/>
          <w:szCs w:val="21"/>
          <w:spacing w:val="-11"/>
        </w:rPr>
        <w:t>策的制定中既要充分地尊重舆情所反映的多元化利益诉求，特别是弱</w:t>
      </w:r>
      <w:r>
        <w:rPr>
          <w:rFonts w:ascii="SimSun" w:hAnsi="SimSun" w:eastAsia="SimSun" w:cs="SimSun"/>
          <w:sz w:val="21"/>
          <w:szCs w:val="21"/>
          <w:spacing w:val="16"/>
        </w:rPr>
        <w:t xml:space="preserve"> </w:t>
      </w:r>
      <w:r>
        <w:rPr>
          <w:rFonts w:ascii="SimSun" w:hAnsi="SimSun" w:eastAsia="SimSun" w:cs="SimSun"/>
          <w:sz w:val="21"/>
          <w:szCs w:val="21"/>
          <w:spacing w:val="-11"/>
        </w:rPr>
        <w:t>势群体的真实需要，也要避免监管政策对舆情的过度反应，抑制平台</w:t>
      </w:r>
      <w:r>
        <w:rPr>
          <w:rFonts w:ascii="SimSun" w:hAnsi="SimSun" w:eastAsia="SimSun" w:cs="SimSun"/>
          <w:sz w:val="21"/>
          <w:szCs w:val="21"/>
        </w:rPr>
        <w:t xml:space="preserve"> </w:t>
      </w:r>
      <w:r>
        <w:rPr>
          <w:rFonts w:ascii="SimSun" w:hAnsi="SimSun" w:eastAsia="SimSun" w:cs="SimSun"/>
          <w:sz w:val="21"/>
          <w:szCs w:val="21"/>
          <w:spacing w:val="-16"/>
        </w:rPr>
        <w:t>经济的活力。</w:t>
      </w:r>
    </w:p>
    <w:p>
      <w:pPr>
        <w:ind w:right="4" w:firstLine="420"/>
        <w:spacing w:before="125" w:line="302" w:lineRule="auto"/>
        <w:jc w:val="both"/>
        <w:rPr>
          <w:rFonts w:ascii="SimSun" w:hAnsi="SimSun" w:eastAsia="SimSun" w:cs="SimSun"/>
          <w:sz w:val="21"/>
          <w:szCs w:val="21"/>
        </w:rPr>
      </w:pPr>
      <w:r>
        <w:rPr>
          <w:rFonts w:ascii="SimSun" w:hAnsi="SimSun" w:eastAsia="SimSun" w:cs="SimSun"/>
          <w:sz w:val="21"/>
          <w:szCs w:val="21"/>
          <w:spacing w:val="-4"/>
        </w:rPr>
        <w:t>在监管协调层面，政策制定者面临着如何平衡多元化的利益诉</w:t>
      </w:r>
      <w:r>
        <w:rPr>
          <w:rFonts w:ascii="SimSun" w:hAnsi="SimSun" w:eastAsia="SimSun" w:cs="SimSun"/>
          <w:sz w:val="21"/>
          <w:szCs w:val="21"/>
          <w:spacing w:val="15"/>
        </w:rPr>
        <w:t xml:space="preserve"> </w:t>
      </w:r>
      <w:r>
        <w:rPr>
          <w:rFonts w:ascii="SimSun" w:hAnsi="SimSun" w:eastAsia="SimSun" w:cs="SimSun"/>
          <w:sz w:val="21"/>
          <w:szCs w:val="21"/>
          <w:spacing w:val="-4"/>
        </w:rPr>
        <w:t>求和促进平台经济更快、更好发展的难题。平台经济自身所具有的</w:t>
      </w:r>
      <w:r>
        <w:rPr>
          <w:rFonts w:ascii="SimSun" w:hAnsi="SimSun" w:eastAsia="SimSun" w:cs="SimSun"/>
          <w:sz w:val="21"/>
          <w:szCs w:val="21"/>
          <w:spacing w:val="11"/>
        </w:rPr>
        <w:t xml:space="preserve"> </w:t>
      </w:r>
      <w:r>
        <w:rPr>
          <w:rFonts w:ascii="SimSun" w:hAnsi="SimSun" w:eastAsia="SimSun" w:cs="SimSun"/>
          <w:sz w:val="21"/>
          <w:szCs w:val="21"/>
          <w:spacing w:val="-4"/>
        </w:rPr>
        <w:t>网络外部性和规模经济的特征决定了其在与利益相关者的博弈中处</w:t>
      </w:r>
      <w:r>
        <w:rPr>
          <w:rFonts w:ascii="SimSun" w:hAnsi="SimSun" w:eastAsia="SimSun" w:cs="SimSun"/>
          <w:sz w:val="21"/>
          <w:szCs w:val="21"/>
          <w:spacing w:val="3"/>
        </w:rPr>
        <w:t xml:space="preserve"> </w:t>
      </w:r>
      <w:r>
        <w:rPr>
          <w:rFonts w:ascii="SimSun" w:hAnsi="SimSun" w:eastAsia="SimSun" w:cs="SimSun"/>
          <w:sz w:val="21"/>
          <w:szCs w:val="21"/>
          <w:spacing w:val="-4"/>
        </w:rPr>
        <w:t>于优势地位。在实践中，平台的发展往往领先于监管政策，成为制</w:t>
      </w:r>
      <w:r>
        <w:rPr>
          <w:rFonts w:ascii="SimSun" w:hAnsi="SimSun" w:eastAsia="SimSun" w:cs="SimSun"/>
          <w:sz w:val="21"/>
          <w:szCs w:val="21"/>
          <w:spacing w:val="12"/>
        </w:rPr>
        <w:t xml:space="preserve"> </w:t>
      </w:r>
      <w:r>
        <w:rPr>
          <w:rFonts w:ascii="SimSun" w:hAnsi="SimSun" w:eastAsia="SimSun" w:cs="SimSun"/>
          <w:sz w:val="21"/>
          <w:szCs w:val="21"/>
          <w:spacing w:val="-4"/>
        </w:rPr>
        <w:t>度设计的议程设定者。同时，利益和诉求的多元化增加了社会大众</w:t>
      </w:r>
      <w:r>
        <w:rPr>
          <w:rFonts w:ascii="SimSun" w:hAnsi="SimSun" w:eastAsia="SimSun" w:cs="SimSun"/>
          <w:sz w:val="21"/>
          <w:szCs w:val="21"/>
          <w:spacing w:val="3"/>
        </w:rPr>
        <w:t xml:space="preserve"> </w:t>
      </w:r>
      <w:r>
        <w:rPr>
          <w:rFonts w:ascii="SimSun" w:hAnsi="SimSun" w:eastAsia="SimSun" w:cs="SimSun"/>
          <w:sz w:val="21"/>
          <w:szCs w:val="21"/>
          <w:spacing w:val="-4"/>
        </w:rPr>
        <w:t>的协调成本，针对核心利益诉求难以组织有效的集体行动。西方国</w:t>
      </w:r>
      <w:r>
        <w:rPr>
          <w:rFonts w:ascii="SimSun" w:hAnsi="SimSun" w:eastAsia="SimSun" w:cs="SimSun"/>
          <w:sz w:val="21"/>
          <w:szCs w:val="21"/>
          <w:spacing w:val="16"/>
        </w:rPr>
        <w:t xml:space="preserve"> </w:t>
      </w:r>
      <w:r>
        <w:rPr>
          <w:rFonts w:ascii="SimSun" w:hAnsi="SimSun" w:eastAsia="SimSun" w:cs="SimSun"/>
          <w:sz w:val="21"/>
          <w:szCs w:val="21"/>
          <w:spacing w:val="-4"/>
        </w:rPr>
        <w:t>家在平台经济监管立法上所面临的阻力表明，平台和大众的不对称</w:t>
      </w:r>
      <w:r>
        <w:rPr>
          <w:rFonts w:ascii="SimSun" w:hAnsi="SimSun" w:eastAsia="SimSun" w:cs="SimSun"/>
          <w:sz w:val="21"/>
          <w:szCs w:val="21"/>
          <w:spacing w:val="5"/>
        </w:rPr>
        <w:t xml:space="preserve"> </w:t>
      </w:r>
      <w:r>
        <w:rPr>
          <w:rFonts w:ascii="SimSun" w:hAnsi="SimSun" w:eastAsia="SimSun" w:cs="SimSun"/>
          <w:sz w:val="21"/>
          <w:szCs w:val="21"/>
          <w:spacing w:val="-4"/>
        </w:rPr>
        <w:t>影响力可能造成监管政策的偏向，不利于保护弱势群体的利益。监</w:t>
      </w:r>
      <w:r>
        <w:rPr>
          <w:rFonts w:ascii="SimSun" w:hAnsi="SimSun" w:eastAsia="SimSun" w:cs="SimSun"/>
          <w:sz w:val="21"/>
          <w:szCs w:val="21"/>
          <w:spacing w:val="3"/>
        </w:rPr>
        <w:t xml:space="preserve"> </w:t>
      </w:r>
      <w:r>
        <w:rPr>
          <w:rFonts w:ascii="SimSun" w:hAnsi="SimSun" w:eastAsia="SimSun" w:cs="SimSun"/>
          <w:sz w:val="21"/>
          <w:szCs w:val="21"/>
          <w:spacing w:val="-4"/>
        </w:rPr>
        <w:t>管政策的框架设定应当充分考虑平台经济的再分配效应，例如，通</w:t>
      </w:r>
      <w:r>
        <w:rPr>
          <w:rFonts w:ascii="SimSun" w:hAnsi="SimSun" w:eastAsia="SimSun" w:cs="SimSun"/>
          <w:sz w:val="21"/>
          <w:szCs w:val="21"/>
          <w:spacing w:val="3"/>
        </w:rPr>
        <w:t xml:space="preserve"> </w:t>
      </w:r>
      <w:r>
        <w:rPr>
          <w:rFonts w:ascii="SimSun" w:hAnsi="SimSun" w:eastAsia="SimSun" w:cs="SimSun"/>
          <w:sz w:val="21"/>
          <w:szCs w:val="21"/>
          <w:spacing w:val="-4"/>
        </w:rPr>
        <w:t>过数字税等机制对受到负面影响的弱势群体加以补偿，提高社会大</w:t>
      </w:r>
      <w:r>
        <w:rPr>
          <w:rFonts w:ascii="SimSun" w:hAnsi="SimSun" w:eastAsia="SimSun" w:cs="SimSun"/>
          <w:sz w:val="21"/>
          <w:szCs w:val="21"/>
          <w:spacing w:val="4"/>
        </w:rPr>
        <w:t xml:space="preserve"> </w:t>
      </w:r>
      <w:r>
        <w:rPr>
          <w:rFonts w:ascii="SimSun" w:hAnsi="SimSun" w:eastAsia="SimSun" w:cs="SimSun"/>
          <w:sz w:val="21"/>
          <w:szCs w:val="21"/>
          <w:spacing w:val="-4"/>
        </w:rPr>
        <w:t>众的获得感，推动平台经济成为实现共同富裕目标的积极力量。同</w:t>
      </w:r>
      <w:r>
        <w:rPr>
          <w:rFonts w:ascii="SimSun" w:hAnsi="SimSun" w:eastAsia="SimSun" w:cs="SimSun"/>
          <w:sz w:val="21"/>
          <w:szCs w:val="21"/>
          <w:spacing w:val="13"/>
        </w:rPr>
        <w:t xml:space="preserve"> </w:t>
      </w:r>
      <w:r>
        <w:rPr>
          <w:rFonts w:ascii="SimSun" w:hAnsi="SimSun" w:eastAsia="SimSun" w:cs="SimSun"/>
          <w:sz w:val="21"/>
          <w:szCs w:val="21"/>
          <w:spacing w:val="-4"/>
        </w:rPr>
        <w:t>时，应当认识到平台经济的壮大是科技进步推动经济社会转型的长</w:t>
      </w:r>
      <w:r>
        <w:rPr>
          <w:rFonts w:ascii="SimSun" w:hAnsi="SimSun" w:eastAsia="SimSun" w:cs="SimSun"/>
          <w:sz w:val="21"/>
          <w:szCs w:val="21"/>
          <w:spacing w:val="4"/>
        </w:rPr>
        <w:t xml:space="preserve"> </w:t>
      </w:r>
      <w:r>
        <w:rPr>
          <w:rFonts w:ascii="SimSun" w:hAnsi="SimSun" w:eastAsia="SimSun" w:cs="SimSun"/>
          <w:sz w:val="21"/>
          <w:szCs w:val="21"/>
          <w:spacing w:val="-4"/>
        </w:rPr>
        <w:t>期趋势，对提升国家治理能力和国际经济影响力具有积极意义。监</w:t>
      </w:r>
      <w:r>
        <w:rPr>
          <w:rFonts w:ascii="SimSun" w:hAnsi="SimSun" w:eastAsia="SimSun" w:cs="SimSun"/>
          <w:sz w:val="21"/>
          <w:szCs w:val="21"/>
          <w:spacing w:val="3"/>
        </w:rPr>
        <w:t xml:space="preserve"> </w:t>
      </w:r>
      <w:r>
        <w:rPr>
          <w:rFonts w:ascii="SimSun" w:hAnsi="SimSun" w:eastAsia="SimSun" w:cs="SimSun"/>
          <w:sz w:val="21"/>
          <w:szCs w:val="21"/>
          <w:spacing w:val="-4"/>
        </w:rPr>
        <w:t>管政策制定者有必要采取更加灵活和更具包容性的监管体制，鼓励</w:t>
      </w:r>
      <w:r>
        <w:rPr>
          <w:rFonts w:ascii="SimSun" w:hAnsi="SimSun" w:eastAsia="SimSun" w:cs="SimSun"/>
          <w:sz w:val="21"/>
          <w:szCs w:val="21"/>
          <w:spacing w:val="6"/>
        </w:rPr>
        <w:t xml:space="preserve"> </w:t>
      </w:r>
      <w:r>
        <w:rPr>
          <w:rFonts w:ascii="SimSun" w:hAnsi="SimSun" w:eastAsia="SimSun" w:cs="SimSun"/>
          <w:sz w:val="21"/>
          <w:szCs w:val="21"/>
          <w:spacing w:val="-4"/>
        </w:rPr>
        <w:t>国内企业走出去开拓海外特别是发展中国家的市场，帮助平台企业</w:t>
      </w:r>
      <w:r>
        <w:rPr>
          <w:rFonts w:ascii="SimSun" w:hAnsi="SimSun" w:eastAsia="SimSun" w:cs="SimSun"/>
          <w:sz w:val="21"/>
          <w:szCs w:val="21"/>
          <w:spacing w:val="2"/>
        </w:rPr>
        <w:t xml:space="preserve"> </w:t>
      </w:r>
      <w:r>
        <w:rPr>
          <w:rFonts w:ascii="SimSun" w:hAnsi="SimSun" w:eastAsia="SimSun" w:cs="SimSun"/>
          <w:sz w:val="21"/>
          <w:szCs w:val="21"/>
          <w:spacing w:val="-11"/>
        </w:rPr>
        <w:t>成长为全球性的行业领导者。</w:t>
      </w:r>
    </w:p>
    <w:p>
      <w:pPr>
        <w:spacing w:line="302" w:lineRule="auto"/>
        <w:sectPr>
          <w:headerReference w:type="default" r:id="rId226"/>
          <w:pgSz w:w="7330" w:h="12480"/>
          <w:pgMar w:top="799" w:right="906" w:bottom="400" w:left="420" w:header="633" w:footer="0" w:gutter="0"/>
        </w:sectPr>
        <w:rPr>
          <w:rFonts w:ascii="SimSun" w:hAnsi="SimSun" w:eastAsia="SimSun" w:cs="SimSun"/>
          <w:sz w:val="21"/>
          <w:szCs w:val="21"/>
        </w:rPr>
      </w:pPr>
    </w:p>
    <w:p>
      <w:pPr>
        <w:pStyle w:val="BodyText"/>
        <w:spacing w:line="314" w:lineRule="auto"/>
        <w:rPr/>
      </w:pPr>
      <w:r/>
    </w:p>
    <w:p>
      <w:pPr>
        <w:pStyle w:val="BodyText"/>
        <w:spacing w:line="315" w:lineRule="auto"/>
        <w:rPr/>
      </w:pPr>
      <w:r/>
    </w:p>
    <w:p>
      <w:pPr>
        <w:pStyle w:val="BodyText"/>
        <w:spacing w:line="315" w:lineRule="auto"/>
        <w:rPr/>
      </w:pPr>
      <w:r/>
    </w:p>
    <w:p>
      <w:pPr>
        <w:ind w:left="2394"/>
        <w:spacing w:before="107" w:line="219" w:lineRule="auto"/>
        <w:rPr>
          <w:rFonts w:ascii="SimSun" w:hAnsi="SimSun" w:eastAsia="SimSun" w:cs="SimSun"/>
          <w:sz w:val="33"/>
          <w:szCs w:val="33"/>
        </w:rPr>
      </w:pPr>
      <w:r>
        <w:rPr>
          <w:rFonts w:ascii="SimSun" w:hAnsi="SimSun" w:eastAsia="SimSun" w:cs="SimSun"/>
          <w:sz w:val="33"/>
          <w:szCs w:val="33"/>
          <w:b/>
          <w:bCs/>
          <w:spacing w:val="-13"/>
        </w:rPr>
        <w:t>政府治理</w:t>
      </w:r>
    </w:p>
    <w:p>
      <w:pPr>
        <w:pStyle w:val="BodyText"/>
        <w:spacing w:line="267" w:lineRule="auto"/>
        <w:rPr/>
      </w:pPr>
      <w:r/>
    </w:p>
    <w:p>
      <w:pPr>
        <w:ind w:firstLine="410"/>
        <w:spacing w:before="68" w:line="307" w:lineRule="auto"/>
        <w:jc w:val="both"/>
        <w:rPr>
          <w:rFonts w:ascii="SimSun" w:hAnsi="SimSun" w:eastAsia="SimSun" w:cs="SimSun"/>
          <w:sz w:val="21"/>
          <w:szCs w:val="21"/>
        </w:rPr>
      </w:pPr>
      <w:r>
        <w:rPr>
          <w:rFonts w:ascii="SimSun" w:hAnsi="SimSun" w:eastAsia="SimSun" w:cs="SimSun"/>
          <w:sz w:val="21"/>
          <w:szCs w:val="21"/>
          <w:spacing w:val="-3"/>
        </w:rPr>
        <w:t>行政体系和公共服务的数字化，是近年来全</w:t>
      </w:r>
      <w:r>
        <w:rPr>
          <w:rFonts w:ascii="SimSun" w:hAnsi="SimSun" w:eastAsia="SimSun" w:cs="SimSun"/>
          <w:sz w:val="21"/>
          <w:szCs w:val="21"/>
          <w:spacing w:val="-4"/>
        </w:rPr>
        <w:t>球公共治理领域结</w:t>
      </w:r>
      <w:r>
        <w:rPr>
          <w:rFonts w:ascii="SimSun" w:hAnsi="SimSun" w:eastAsia="SimSun" w:cs="SimSun"/>
          <w:sz w:val="21"/>
          <w:szCs w:val="21"/>
        </w:rPr>
        <w:t xml:space="preserve">  </w:t>
      </w:r>
      <w:r>
        <w:rPr>
          <w:rFonts w:ascii="SimSun" w:hAnsi="SimSun" w:eastAsia="SimSun" w:cs="SimSun"/>
          <w:sz w:val="21"/>
          <w:szCs w:val="21"/>
          <w:spacing w:val="-11"/>
        </w:rPr>
        <w:t>构转型的重要特征。“十四五”以来，我国政府把提高数字政府的效</w:t>
      </w:r>
      <w:r>
        <w:rPr>
          <w:rFonts w:ascii="SimSun" w:hAnsi="SimSun" w:eastAsia="SimSun" w:cs="SimSun"/>
          <w:sz w:val="21"/>
          <w:szCs w:val="21"/>
          <w:spacing w:val="8"/>
        </w:rPr>
        <w:t xml:space="preserve">  </w:t>
      </w:r>
      <w:r>
        <w:rPr>
          <w:rFonts w:ascii="SimSun" w:hAnsi="SimSun" w:eastAsia="SimSun" w:cs="SimSun"/>
          <w:sz w:val="21"/>
          <w:szCs w:val="21"/>
          <w:spacing w:val="-10"/>
        </w:rPr>
        <w:t>能、通过平台化的技术为公共服务赋能作为</w:t>
      </w:r>
      <w:r>
        <w:rPr>
          <w:rFonts w:ascii="SimSun" w:hAnsi="SimSun" w:eastAsia="SimSun" w:cs="SimSun"/>
          <w:sz w:val="21"/>
          <w:szCs w:val="21"/>
          <w:spacing w:val="-11"/>
        </w:rPr>
        <w:t>提升国家治理能力的重要</w:t>
      </w:r>
      <w:r>
        <w:rPr>
          <w:rFonts w:ascii="SimSun" w:hAnsi="SimSun" w:eastAsia="SimSun" w:cs="SimSun"/>
          <w:sz w:val="21"/>
          <w:szCs w:val="21"/>
        </w:rPr>
        <w:t xml:space="preserve">  </w:t>
      </w:r>
      <w:r>
        <w:rPr>
          <w:rFonts w:ascii="SimSun" w:hAnsi="SimSun" w:eastAsia="SimSun" w:cs="SimSun"/>
          <w:sz w:val="21"/>
          <w:szCs w:val="21"/>
          <w:spacing w:val="-10"/>
        </w:rPr>
        <w:t>课题，而平台企业在这一过程中扮演了重要</w:t>
      </w:r>
      <w:r>
        <w:rPr>
          <w:rFonts w:ascii="SimSun" w:hAnsi="SimSun" w:eastAsia="SimSun" w:cs="SimSun"/>
          <w:sz w:val="21"/>
          <w:szCs w:val="21"/>
          <w:spacing w:val="-11"/>
        </w:rPr>
        <w:t>角色。数字政府又被称为</w:t>
      </w:r>
      <w:r>
        <w:rPr>
          <w:rFonts w:ascii="SimSun" w:hAnsi="SimSun" w:eastAsia="SimSun" w:cs="SimSun"/>
          <w:sz w:val="21"/>
          <w:szCs w:val="21"/>
        </w:rPr>
        <w:t xml:space="preserve">  </w:t>
      </w:r>
      <w:r>
        <w:rPr>
          <w:rFonts w:ascii="SimSun" w:hAnsi="SimSun" w:eastAsia="SimSun" w:cs="SimSun"/>
          <w:sz w:val="21"/>
          <w:szCs w:val="21"/>
          <w:spacing w:val="-11"/>
        </w:rPr>
        <w:t>电子政府，表现为政府利用互联网通信技术和现代信息科技为公民提</w:t>
      </w:r>
      <w:r>
        <w:rPr>
          <w:rFonts w:ascii="SimSun" w:hAnsi="SimSun" w:eastAsia="SimSun" w:cs="SimSun"/>
          <w:sz w:val="21"/>
          <w:szCs w:val="21"/>
          <w:spacing w:val="8"/>
        </w:rPr>
        <w:t xml:space="preserve">  </w:t>
      </w:r>
      <w:r>
        <w:rPr>
          <w:rFonts w:ascii="SimSun" w:hAnsi="SimSun" w:eastAsia="SimSun" w:cs="SimSun"/>
          <w:sz w:val="21"/>
          <w:szCs w:val="21"/>
          <w:spacing w:val="-7"/>
        </w:rPr>
        <w:t>供公共服务，回应民众需求，并通过数字化平台体系提</w:t>
      </w:r>
      <w:r>
        <w:rPr>
          <w:rFonts w:ascii="SimSun" w:hAnsi="SimSun" w:eastAsia="SimSun" w:cs="SimSun"/>
          <w:sz w:val="21"/>
          <w:szCs w:val="21"/>
          <w:spacing w:val="-8"/>
        </w:rPr>
        <w:t>升行政能力。</w:t>
      </w:r>
      <w:r>
        <w:rPr>
          <w:rFonts w:ascii="SimSun" w:hAnsi="SimSun" w:eastAsia="SimSun" w:cs="SimSun"/>
          <w:sz w:val="21"/>
          <w:szCs w:val="21"/>
        </w:rPr>
        <w:t xml:space="preserve"> </w:t>
      </w:r>
      <w:r>
        <w:rPr>
          <w:rFonts w:ascii="Times New Roman" w:hAnsi="Times New Roman" w:eastAsia="Times New Roman" w:cs="Times New Roman"/>
          <w:sz w:val="21"/>
          <w:szCs w:val="21"/>
          <w:spacing w:val="-1"/>
        </w:rPr>
        <w:t>OECD</w:t>
      </w:r>
      <w:r>
        <w:rPr>
          <w:rFonts w:ascii="SimSun" w:hAnsi="SimSun" w:eastAsia="SimSun" w:cs="SimSun"/>
          <w:sz w:val="21"/>
          <w:szCs w:val="21"/>
          <w:spacing w:val="-1"/>
        </w:rPr>
        <w:t>发布的《2019年</w:t>
      </w:r>
      <w:r>
        <w:rPr>
          <w:rFonts w:ascii="Times New Roman" w:hAnsi="Times New Roman" w:eastAsia="Times New Roman" w:cs="Times New Roman"/>
          <w:sz w:val="21"/>
          <w:szCs w:val="21"/>
          <w:spacing w:val="-1"/>
        </w:rPr>
        <w:t>OECD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数字政府指数报告》从六个维度评价</w:t>
      </w:r>
      <w:r>
        <w:rPr>
          <w:rFonts w:ascii="SimSun" w:hAnsi="SimSun" w:eastAsia="SimSun" w:cs="SimSun"/>
          <w:sz w:val="21"/>
          <w:szCs w:val="21"/>
        </w:rPr>
        <w:t xml:space="preserve">  </w:t>
      </w:r>
      <w:r>
        <w:rPr>
          <w:rFonts w:ascii="SimSun" w:hAnsi="SimSun" w:eastAsia="SimSun" w:cs="SimSun"/>
          <w:sz w:val="21"/>
          <w:szCs w:val="21"/>
          <w:spacing w:val="-2"/>
        </w:rPr>
        <w:t>数字政府发展水平，总结了</w:t>
      </w:r>
      <w:r>
        <w:rPr>
          <w:rFonts w:ascii="Times New Roman" w:hAnsi="Times New Roman" w:eastAsia="Times New Roman" w:cs="Times New Roman"/>
          <w:sz w:val="21"/>
          <w:szCs w:val="21"/>
          <w:spacing w:val="-2"/>
        </w:rPr>
        <w:t>OECD</w:t>
      </w:r>
      <w:r>
        <w:rPr>
          <w:rFonts w:ascii="SimSun" w:hAnsi="SimSun" w:eastAsia="SimSun" w:cs="SimSun"/>
          <w:sz w:val="21"/>
          <w:szCs w:val="21"/>
          <w:spacing w:val="-2"/>
        </w:rPr>
        <w:t>国家中除了美国、澳大利亚、墨</w:t>
      </w:r>
      <w:r>
        <w:rPr>
          <w:rFonts w:ascii="SimSun" w:hAnsi="SimSun" w:eastAsia="SimSun" w:cs="SimSun"/>
          <w:sz w:val="21"/>
          <w:szCs w:val="21"/>
          <w:spacing w:val="8"/>
        </w:rPr>
        <w:t xml:space="preserve">  </w:t>
      </w:r>
      <w:r>
        <w:rPr>
          <w:rFonts w:ascii="SimSun" w:hAnsi="SimSun" w:eastAsia="SimSun" w:cs="SimSun"/>
          <w:sz w:val="21"/>
          <w:szCs w:val="21"/>
          <w:spacing w:val="-10"/>
        </w:rPr>
        <w:t>西哥、波兰、匈牙利、斯洛伐克、瑞士、土耳</w:t>
      </w:r>
      <w:r>
        <w:rPr>
          <w:rFonts w:ascii="SimSun" w:hAnsi="SimSun" w:eastAsia="SimSun" w:cs="SimSun"/>
          <w:sz w:val="21"/>
          <w:szCs w:val="21"/>
          <w:spacing w:val="-11"/>
        </w:rPr>
        <w:t>其以外的成员国的发展</w:t>
      </w:r>
      <w:r>
        <w:rPr>
          <w:rFonts w:ascii="SimSun" w:hAnsi="SimSun" w:eastAsia="SimSun" w:cs="SimSun"/>
          <w:sz w:val="21"/>
          <w:szCs w:val="21"/>
        </w:rPr>
        <w:t xml:space="preserve">  </w:t>
      </w:r>
      <w:r>
        <w:rPr>
          <w:rFonts w:ascii="SimSun" w:hAnsi="SimSun" w:eastAsia="SimSun" w:cs="SimSun"/>
          <w:sz w:val="21"/>
          <w:szCs w:val="21"/>
          <w:spacing w:val="-12"/>
        </w:rPr>
        <w:t>概况。六个维度的定义如下：</w:t>
      </w:r>
    </w:p>
    <w:p>
      <w:pPr>
        <w:pStyle w:val="BodyText"/>
        <w:spacing w:line="385" w:lineRule="auto"/>
        <w:rPr/>
      </w:pPr>
      <w:r/>
    </w:p>
    <w:p>
      <w:pPr>
        <w:ind w:left="410" w:right="117" w:firstLine="399"/>
        <w:spacing w:before="68" w:line="271" w:lineRule="auto"/>
        <w:rPr>
          <w:rFonts w:ascii="KaiTi" w:hAnsi="KaiTi" w:eastAsia="KaiTi" w:cs="KaiTi"/>
          <w:sz w:val="21"/>
          <w:szCs w:val="21"/>
        </w:rPr>
      </w:pPr>
      <w:r>
        <w:rPr>
          <w:rFonts w:ascii="KaiTi" w:hAnsi="KaiTi" w:eastAsia="KaiTi" w:cs="KaiTi"/>
          <w:sz w:val="21"/>
          <w:szCs w:val="21"/>
          <w:spacing w:val="-11"/>
        </w:rPr>
        <w:t>1.政府设计的数字化：利用数字技术思考和</w:t>
      </w:r>
      <w:r>
        <w:rPr>
          <w:rFonts w:ascii="KaiTi" w:hAnsi="KaiTi" w:eastAsia="KaiTi" w:cs="KaiTi"/>
          <w:sz w:val="21"/>
          <w:szCs w:val="21"/>
          <w:spacing w:val="-12"/>
        </w:rPr>
        <w:t>重新设计公共流</w:t>
      </w:r>
      <w:r>
        <w:rPr>
          <w:rFonts w:ascii="KaiTi" w:hAnsi="KaiTi" w:eastAsia="KaiTi" w:cs="KaiTi"/>
          <w:sz w:val="21"/>
          <w:szCs w:val="21"/>
        </w:rPr>
        <w:t xml:space="preserve"> </w:t>
      </w:r>
      <w:r>
        <w:rPr>
          <w:rFonts w:ascii="KaiTi" w:hAnsi="KaiTi" w:eastAsia="KaiTi" w:cs="KaiTi"/>
          <w:sz w:val="21"/>
          <w:szCs w:val="21"/>
          <w:spacing w:val="-11"/>
        </w:rPr>
        <w:t>程、简化程序，创建利益相关者沟通和参与的新渠道。</w:t>
      </w:r>
    </w:p>
    <w:p>
      <w:pPr>
        <w:ind w:left="410" w:firstLine="399"/>
        <w:spacing w:before="110" w:line="276" w:lineRule="auto"/>
        <w:rPr>
          <w:rFonts w:ascii="KaiTi" w:hAnsi="KaiTi" w:eastAsia="KaiTi" w:cs="KaiTi"/>
          <w:sz w:val="21"/>
          <w:szCs w:val="21"/>
        </w:rPr>
      </w:pPr>
      <w:r>
        <w:rPr>
          <w:rFonts w:ascii="KaiTi" w:hAnsi="KaiTi" w:eastAsia="KaiTi" w:cs="KaiTi"/>
          <w:sz w:val="21"/>
          <w:szCs w:val="21"/>
          <w:spacing w:val="-7"/>
        </w:rPr>
        <w:t>2.行政系统的数据驱动：将数据视为战略资产，建立治理、</w:t>
      </w:r>
      <w:r>
        <w:rPr>
          <w:rFonts w:ascii="KaiTi" w:hAnsi="KaiTi" w:eastAsia="KaiTi" w:cs="KaiTi"/>
          <w:sz w:val="21"/>
          <w:szCs w:val="21"/>
          <w:spacing w:val="3"/>
        </w:rPr>
        <w:t xml:space="preserve"> </w:t>
      </w:r>
      <w:r>
        <w:rPr>
          <w:rFonts w:ascii="KaiTi" w:hAnsi="KaiTi" w:eastAsia="KaiTi" w:cs="KaiTi"/>
          <w:sz w:val="21"/>
          <w:szCs w:val="21"/>
          <w:spacing w:val="-12"/>
        </w:rPr>
        <w:t>访问、共享和再使用机制。</w:t>
      </w:r>
    </w:p>
    <w:p>
      <w:pPr>
        <w:ind w:left="410" w:right="57" w:firstLine="399"/>
        <w:spacing w:before="106" w:line="270" w:lineRule="auto"/>
        <w:rPr>
          <w:rFonts w:ascii="KaiTi" w:hAnsi="KaiTi" w:eastAsia="KaiTi" w:cs="KaiTi"/>
          <w:sz w:val="21"/>
          <w:szCs w:val="21"/>
        </w:rPr>
      </w:pPr>
      <w:r>
        <w:rPr>
          <w:rFonts w:ascii="KaiTi" w:hAnsi="KaiTi" w:eastAsia="KaiTi" w:cs="KaiTi"/>
          <w:sz w:val="21"/>
          <w:szCs w:val="21"/>
          <w:spacing w:val="-2"/>
        </w:rPr>
        <w:t>3.行政系统的平台化：在公共服务设计和交付中关注用户</w:t>
      </w:r>
      <w:r>
        <w:rPr>
          <w:rFonts w:ascii="KaiTi" w:hAnsi="KaiTi" w:eastAsia="KaiTi" w:cs="KaiTi"/>
          <w:sz w:val="21"/>
          <w:szCs w:val="21"/>
          <w:spacing w:val="18"/>
        </w:rPr>
        <w:t xml:space="preserve"> </w:t>
      </w:r>
      <w:r>
        <w:rPr>
          <w:rFonts w:ascii="KaiTi" w:hAnsi="KaiTi" w:eastAsia="KaiTi" w:cs="KaiTi"/>
          <w:sz w:val="21"/>
          <w:szCs w:val="21"/>
          <w:spacing w:val="-11"/>
        </w:rPr>
        <w:t>需求。</w:t>
      </w:r>
    </w:p>
    <w:p>
      <w:pPr>
        <w:ind w:left="410" w:right="93" w:firstLine="399"/>
        <w:spacing w:before="104" w:line="263" w:lineRule="auto"/>
        <w:rPr>
          <w:rFonts w:ascii="KaiTi" w:hAnsi="KaiTi" w:eastAsia="KaiTi" w:cs="KaiTi"/>
          <w:sz w:val="21"/>
          <w:szCs w:val="21"/>
        </w:rPr>
      </w:pPr>
      <w:r>
        <w:rPr>
          <w:rFonts w:ascii="KaiTi" w:hAnsi="KaiTi" w:eastAsia="KaiTi" w:cs="KaiTi"/>
          <w:sz w:val="21"/>
          <w:szCs w:val="21"/>
          <w:spacing w:val="-11"/>
        </w:rPr>
        <w:t>4.政府系统默认开放：在现有法律允许并与国家和公共利益</w:t>
      </w:r>
      <w:r>
        <w:rPr>
          <w:rFonts w:ascii="KaiTi" w:hAnsi="KaiTi" w:eastAsia="KaiTi" w:cs="KaiTi"/>
          <w:sz w:val="21"/>
          <w:szCs w:val="21"/>
          <w:spacing w:val="17"/>
        </w:rPr>
        <w:t xml:space="preserve"> </w:t>
      </w:r>
      <w:r>
        <w:rPr>
          <w:rFonts w:ascii="KaiTi" w:hAnsi="KaiTi" w:eastAsia="KaiTi" w:cs="KaiTi"/>
          <w:sz w:val="21"/>
          <w:szCs w:val="21"/>
          <w:spacing w:val="-10"/>
        </w:rPr>
        <w:t>保持一致的前提下，默认向公众开放政府数据</w:t>
      </w:r>
      <w:r>
        <w:rPr>
          <w:rFonts w:ascii="KaiTi" w:hAnsi="KaiTi" w:eastAsia="KaiTi" w:cs="KaiTi"/>
          <w:sz w:val="21"/>
          <w:szCs w:val="21"/>
          <w:spacing w:val="-11"/>
        </w:rPr>
        <w:t>和决策过程。</w:t>
      </w:r>
    </w:p>
    <w:p>
      <w:pPr>
        <w:ind w:left="410" w:right="85" w:firstLine="399"/>
        <w:spacing w:before="124" w:line="262" w:lineRule="auto"/>
        <w:rPr>
          <w:rFonts w:ascii="KaiTi" w:hAnsi="KaiTi" w:eastAsia="KaiTi" w:cs="KaiTi"/>
          <w:sz w:val="21"/>
          <w:szCs w:val="21"/>
        </w:rPr>
      </w:pPr>
      <w:r>
        <w:rPr>
          <w:rFonts w:ascii="KaiTi" w:hAnsi="KaiTi" w:eastAsia="KaiTi" w:cs="KaiTi"/>
          <w:sz w:val="21"/>
          <w:szCs w:val="21"/>
          <w:spacing w:val="-10"/>
        </w:rPr>
        <w:t>5.政府平台的用户驱动性：在流程、服务和政策的形成</w:t>
      </w:r>
      <w:r>
        <w:rPr>
          <w:rFonts w:ascii="KaiTi" w:hAnsi="KaiTi" w:eastAsia="KaiTi" w:cs="KaiTi"/>
          <w:sz w:val="21"/>
          <w:szCs w:val="21"/>
          <w:spacing w:val="-11"/>
        </w:rPr>
        <w:t>中满</w:t>
      </w:r>
      <w:r>
        <w:rPr>
          <w:rFonts w:ascii="KaiTi" w:hAnsi="KaiTi" w:eastAsia="KaiTi" w:cs="KaiTi"/>
          <w:sz w:val="21"/>
          <w:szCs w:val="21"/>
        </w:rPr>
        <w:t xml:space="preserve"> </w:t>
      </w:r>
      <w:r>
        <w:rPr>
          <w:rFonts w:ascii="KaiTi" w:hAnsi="KaiTi" w:eastAsia="KaiTi" w:cs="KaiTi"/>
          <w:sz w:val="21"/>
          <w:szCs w:val="21"/>
          <w:spacing w:val="-11"/>
        </w:rPr>
        <w:t>足民众需求，并通过采用包容性机制来实现。</w:t>
      </w:r>
    </w:p>
    <w:p>
      <w:pPr>
        <w:ind w:left="410" w:right="100" w:firstLine="399"/>
        <w:spacing w:before="98" w:line="279" w:lineRule="auto"/>
        <w:rPr>
          <w:rFonts w:ascii="KaiTi" w:hAnsi="KaiTi" w:eastAsia="KaiTi" w:cs="KaiTi"/>
          <w:sz w:val="21"/>
          <w:szCs w:val="21"/>
        </w:rPr>
      </w:pPr>
      <w:r>
        <w:rPr>
          <w:rFonts w:ascii="KaiTi" w:hAnsi="KaiTi" w:eastAsia="KaiTi" w:cs="KaiTi"/>
          <w:sz w:val="21"/>
          <w:szCs w:val="21"/>
          <w:spacing w:val="-11"/>
        </w:rPr>
        <w:t>6.政府平台的主动性：主动预测并快速响应人们的需求，避</w:t>
      </w:r>
      <w:r>
        <w:rPr>
          <w:rFonts w:ascii="KaiTi" w:hAnsi="KaiTi" w:eastAsia="KaiTi" w:cs="KaiTi"/>
          <w:sz w:val="21"/>
          <w:szCs w:val="21"/>
          <w:spacing w:val="10"/>
        </w:rPr>
        <w:t xml:space="preserve"> </w:t>
      </w:r>
      <w:r>
        <w:rPr>
          <w:rFonts w:ascii="KaiTi" w:hAnsi="KaiTi" w:eastAsia="KaiTi" w:cs="KaiTi"/>
          <w:sz w:val="21"/>
          <w:szCs w:val="21"/>
          <w:spacing w:val="-12"/>
        </w:rPr>
        <w:t>免烦琐的行政程序。</w:t>
      </w:r>
    </w:p>
    <w:p>
      <w:pPr>
        <w:pStyle w:val="BodyText"/>
        <w:spacing w:line="392" w:lineRule="auto"/>
        <w:rPr/>
      </w:pPr>
      <w:r/>
    </w:p>
    <w:p>
      <w:pPr>
        <w:spacing w:before="69" w:line="218" w:lineRule="auto"/>
        <w:jc w:val="right"/>
        <w:rPr>
          <w:rFonts w:ascii="SimSun" w:hAnsi="SimSun" w:eastAsia="SimSun" w:cs="SimSun"/>
          <w:sz w:val="21"/>
          <w:szCs w:val="21"/>
        </w:rPr>
      </w:pPr>
      <w:r>
        <w:rPr>
          <w:rFonts w:ascii="SimSun" w:hAnsi="SimSun" w:eastAsia="SimSun" w:cs="SimSun"/>
          <w:sz w:val="21"/>
          <w:szCs w:val="21"/>
          <w:spacing w:val="-8"/>
        </w:rPr>
        <w:t>根据该报告，韩国、日本和哥伦比亚分别处在排行榜的前三位。</w:t>
      </w:r>
    </w:p>
    <w:p>
      <w:pPr>
        <w:spacing w:line="218" w:lineRule="auto"/>
        <w:sectPr>
          <w:headerReference w:type="default" r:id="rId227"/>
          <w:pgSz w:w="7330" w:h="12480"/>
          <w:pgMar w:top="539" w:right="434" w:bottom="400" w:left="809" w:header="375" w:footer="0" w:gutter="0"/>
        </w:sectPr>
        <w:rPr>
          <w:rFonts w:ascii="SimSun" w:hAnsi="SimSun" w:eastAsia="SimSun" w:cs="SimSun"/>
          <w:sz w:val="21"/>
          <w:szCs w:val="2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spacing w:before="68" w:line="301" w:lineRule="auto"/>
        <w:jc w:val="both"/>
        <w:rPr>
          <w:rFonts w:ascii="SimSun" w:hAnsi="SimSun" w:eastAsia="SimSun" w:cs="SimSun"/>
          <w:sz w:val="21"/>
          <w:szCs w:val="21"/>
        </w:rPr>
      </w:pPr>
      <w:r>
        <w:rPr>
          <w:rFonts w:ascii="SimSun" w:hAnsi="SimSun" w:eastAsia="SimSun" w:cs="SimSun"/>
          <w:sz w:val="21"/>
          <w:szCs w:val="21"/>
          <w:spacing w:val="-10"/>
        </w:rPr>
        <w:t>欧洲国家中在政府设计的数字化维度表现位居前十的国</w:t>
      </w:r>
      <w:r>
        <w:rPr>
          <w:rFonts w:ascii="SimSun" w:hAnsi="SimSun" w:eastAsia="SimSun" w:cs="SimSun"/>
          <w:sz w:val="21"/>
          <w:szCs w:val="21"/>
          <w:spacing w:val="-11"/>
        </w:rPr>
        <w:t>家依次为：西</w:t>
      </w:r>
      <w:r>
        <w:rPr>
          <w:rFonts w:ascii="SimSun" w:hAnsi="SimSun" w:eastAsia="SimSun" w:cs="SimSun"/>
          <w:sz w:val="21"/>
          <w:szCs w:val="21"/>
        </w:rPr>
        <w:t xml:space="preserve">  </w:t>
      </w:r>
      <w:r>
        <w:rPr>
          <w:rFonts w:ascii="SimSun" w:hAnsi="SimSun" w:eastAsia="SimSun" w:cs="SimSun"/>
          <w:sz w:val="21"/>
          <w:szCs w:val="21"/>
          <w:spacing w:val="-7"/>
        </w:rPr>
        <w:t>班牙、丹麦、英国、挪威、荷兰、葡萄牙、卢森堡。</w:t>
      </w:r>
      <w:r>
        <w:rPr>
          <w:rFonts w:ascii="SimSun" w:hAnsi="SimSun" w:eastAsia="SimSun" w:cs="SimSun"/>
          <w:sz w:val="21"/>
          <w:szCs w:val="21"/>
          <w:spacing w:val="-8"/>
        </w:rPr>
        <w:t>值得注意的是，</w:t>
      </w:r>
      <w:r>
        <w:rPr>
          <w:rFonts w:ascii="SimSun" w:hAnsi="SimSun" w:eastAsia="SimSun" w:cs="SimSun"/>
          <w:sz w:val="21"/>
          <w:szCs w:val="21"/>
        </w:rPr>
        <w:t xml:space="preserve"> </w:t>
      </w:r>
      <w:r>
        <w:rPr>
          <w:rFonts w:ascii="SimSun" w:hAnsi="SimSun" w:eastAsia="SimSun" w:cs="SimSun"/>
          <w:sz w:val="21"/>
          <w:szCs w:val="21"/>
          <w:spacing w:val="-11"/>
        </w:rPr>
        <w:t>德国、比利时和瑞典在排行榜中处在倒数位置，而拉美国家中经济状</w:t>
      </w:r>
      <w:r>
        <w:rPr>
          <w:rFonts w:ascii="SimSun" w:hAnsi="SimSun" w:eastAsia="SimSun" w:cs="SimSun"/>
          <w:sz w:val="21"/>
          <w:szCs w:val="21"/>
          <w:spacing w:val="8"/>
        </w:rPr>
        <w:t xml:space="preserve">  </w:t>
      </w:r>
      <w:r>
        <w:rPr>
          <w:rFonts w:ascii="SimSun" w:hAnsi="SimSun" w:eastAsia="SimSun" w:cs="SimSun"/>
          <w:sz w:val="21"/>
          <w:szCs w:val="21"/>
          <w:spacing w:val="-4"/>
        </w:rPr>
        <w:t>况相对较好的智利也处在倒数第四位。可见，政府设计数字化的表</w:t>
      </w:r>
      <w:r>
        <w:rPr>
          <w:rFonts w:ascii="SimSun" w:hAnsi="SimSun" w:eastAsia="SimSun" w:cs="SimSun"/>
          <w:sz w:val="21"/>
          <w:szCs w:val="21"/>
          <w:spacing w:val="7"/>
        </w:rPr>
        <w:t xml:space="preserve">  </w:t>
      </w:r>
      <w:r>
        <w:rPr>
          <w:rFonts w:ascii="SimSun" w:hAnsi="SimSun" w:eastAsia="SimSun" w:cs="SimSun"/>
          <w:sz w:val="21"/>
          <w:szCs w:val="21"/>
          <w:spacing w:val="-4"/>
        </w:rPr>
        <w:t>现和经济发展水平没有线性的相关关系，人均收入相对靠后的国家</w:t>
      </w:r>
      <w:r>
        <w:rPr>
          <w:rFonts w:ascii="SimSun" w:hAnsi="SimSun" w:eastAsia="SimSun" w:cs="SimSun"/>
          <w:sz w:val="21"/>
          <w:szCs w:val="21"/>
          <w:spacing w:val="8"/>
        </w:rPr>
        <w:t xml:space="preserve">  </w:t>
      </w:r>
      <w:r>
        <w:rPr>
          <w:rFonts w:ascii="SimSun" w:hAnsi="SimSun" w:eastAsia="SimSun" w:cs="SimSun"/>
          <w:sz w:val="21"/>
          <w:szCs w:val="21"/>
          <w:spacing w:val="-4"/>
        </w:rPr>
        <w:t>具有弯道超车的机会。韩国的保健福祉部开发了个人的医疗数据平</w:t>
      </w:r>
      <w:r>
        <w:rPr>
          <w:rFonts w:ascii="SimSun" w:hAnsi="SimSun" w:eastAsia="SimSun" w:cs="SimSun"/>
          <w:sz w:val="21"/>
          <w:szCs w:val="21"/>
          <w:spacing w:val="7"/>
        </w:rPr>
        <w:t xml:space="preserve">  </w:t>
      </w:r>
      <w:r>
        <w:rPr>
          <w:rFonts w:ascii="SimSun" w:hAnsi="SimSun" w:eastAsia="SimSun" w:cs="SimSun"/>
          <w:sz w:val="21"/>
          <w:szCs w:val="21"/>
          <w:spacing w:val="-1"/>
        </w:rPr>
        <w:t>台</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1"/>
        </w:rPr>
        <w:t>MyHealthWay,</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这个</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有点类似于我们的健康宝，但它不仅</w:t>
      </w:r>
      <w:r>
        <w:rPr>
          <w:rFonts w:ascii="SimSun" w:hAnsi="SimSun" w:eastAsia="SimSun" w:cs="SimSun"/>
          <w:sz w:val="21"/>
          <w:szCs w:val="21"/>
          <w:spacing w:val="-2"/>
        </w:rPr>
        <w:t>包 </w:t>
      </w:r>
      <w:r>
        <w:rPr>
          <w:rFonts w:ascii="SimSun" w:hAnsi="SimSun" w:eastAsia="SimSun" w:cs="SimSun"/>
          <w:sz w:val="21"/>
          <w:szCs w:val="21"/>
          <w:spacing w:val="-7"/>
        </w:rPr>
        <w:t>括疫苗和疫情的信息，还对接医保系统，整合个人检</w:t>
      </w:r>
      <w:r>
        <w:rPr>
          <w:rFonts w:ascii="SimSun" w:hAnsi="SimSun" w:eastAsia="SimSun" w:cs="SimSun"/>
          <w:sz w:val="21"/>
          <w:szCs w:val="21"/>
          <w:spacing w:val="-8"/>
        </w:rPr>
        <w:t>查数据和就诊、</w:t>
      </w:r>
      <w:r>
        <w:rPr>
          <w:rFonts w:ascii="SimSun" w:hAnsi="SimSun" w:eastAsia="SimSun" w:cs="SimSun"/>
          <w:sz w:val="21"/>
          <w:szCs w:val="21"/>
        </w:rPr>
        <w:t xml:space="preserve"> </w:t>
      </w:r>
      <w:r>
        <w:rPr>
          <w:rFonts w:ascii="SimSun" w:hAnsi="SimSun" w:eastAsia="SimSun" w:cs="SimSun"/>
          <w:sz w:val="21"/>
          <w:szCs w:val="21"/>
          <w:spacing w:val="-3"/>
        </w:rPr>
        <w:t>处方信息。哥伦比亚在2015年通过立法，推</w:t>
      </w:r>
      <w:r>
        <w:rPr>
          <w:rFonts w:ascii="SimSun" w:hAnsi="SimSun" w:eastAsia="SimSun" w:cs="SimSun"/>
          <w:sz w:val="21"/>
          <w:szCs w:val="21"/>
          <w:spacing w:val="-4"/>
        </w:rPr>
        <w:t>出了类似的应用。这个</w:t>
      </w:r>
      <w:r>
        <w:rPr>
          <w:rFonts w:ascii="SimSun" w:hAnsi="SimSun" w:eastAsia="SimSun" w:cs="SimSun"/>
          <w:sz w:val="21"/>
          <w:szCs w:val="21"/>
        </w:rPr>
        <w:t xml:space="preserve">  </w:t>
      </w:r>
      <w:r>
        <w:rPr>
          <w:rFonts w:ascii="SimSun" w:hAnsi="SimSun" w:eastAsia="SimSun" w:cs="SimSun"/>
          <w:sz w:val="21"/>
          <w:szCs w:val="21"/>
          <w:spacing w:val="-10"/>
        </w:rPr>
        <w:t>应用可以方便医生调取病人的既往病史和检查记录，甚至开展远程问</w:t>
      </w:r>
      <w:r>
        <w:rPr>
          <w:rFonts w:ascii="SimSun" w:hAnsi="SimSun" w:eastAsia="SimSun" w:cs="SimSun"/>
          <w:sz w:val="21"/>
          <w:szCs w:val="21"/>
          <w:spacing w:val="2"/>
        </w:rPr>
        <w:t xml:space="preserve"> </w:t>
      </w:r>
      <w:r>
        <w:rPr>
          <w:rFonts w:ascii="SimSun" w:hAnsi="SimSun" w:eastAsia="SimSun" w:cs="SimSun"/>
          <w:sz w:val="21"/>
          <w:szCs w:val="21"/>
          <w:spacing w:val="-8"/>
        </w:rPr>
        <w:t>诊。此外，哥伦比亚目前正在推行的数字身份证，和数字钱包相连，</w:t>
      </w:r>
      <w:r>
        <w:rPr>
          <w:rFonts w:ascii="SimSun" w:hAnsi="SimSun" w:eastAsia="SimSun" w:cs="SimSun"/>
          <w:sz w:val="21"/>
          <w:szCs w:val="21"/>
          <w:spacing w:val="3"/>
        </w:rPr>
        <w:t xml:space="preserve"> </w:t>
      </w:r>
      <w:r>
        <w:rPr>
          <w:rFonts w:ascii="SimSun" w:hAnsi="SimSun" w:eastAsia="SimSun" w:cs="SimSun"/>
          <w:sz w:val="21"/>
          <w:szCs w:val="21"/>
          <w:spacing w:val="-11"/>
        </w:rPr>
        <w:t>不仅可以直接办理各种业务，而且在疫情期间，哥伦比亚政府通过数</w:t>
      </w:r>
      <w:r>
        <w:rPr>
          <w:rFonts w:ascii="SimSun" w:hAnsi="SimSun" w:eastAsia="SimSun" w:cs="SimSun"/>
          <w:sz w:val="21"/>
          <w:szCs w:val="21"/>
          <w:spacing w:val="8"/>
        </w:rPr>
        <w:t xml:space="preserve">  </w:t>
      </w:r>
      <w:r>
        <w:rPr>
          <w:rFonts w:ascii="SimSun" w:hAnsi="SimSun" w:eastAsia="SimSun" w:cs="SimSun"/>
          <w:sz w:val="21"/>
          <w:szCs w:val="21"/>
          <w:spacing w:val="-11"/>
        </w:rPr>
        <w:t>字身份证和钱包直接向低收入群体发放补助，大大提高了救助的效率</w:t>
      </w:r>
      <w:r>
        <w:rPr>
          <w:rFonts w:ascii="SimSun" w:hAnsi="SimSun" w:eastAsia="SimSun" w:cs="SimSun"/>
          <w:sz w:val="21"/>
          <w:szCs w:val="21"/>
          <w:spacing w:val="9"/>
        </w:rPr>
        <w:t xml:space="preserve">  </w:t>
      </w:r>
      <w:r>
        <w:rPr>
          <w:rFonts w:ascii="SimSun" w:hAnsi="SimSun" w:eastAsia="SimSun" w:cs="SimSun"/>
          <w:sz w:val="21"/>
          <w:szCs w:val="21"/>
          <w:spacing w:val="-8"/>
        </w:rPr>
        <w:t>和精度。</w:t>
      </w:r>
    </w:p>
    <w:p>
      <w:pPr>
        <w:ind w:right="20" w:firstLine="419"/>
        <w:spacing w:before="246" w:line="300" w:lineRule="auto"/>
        <w:jc w:val="both"/>
        <w:rPr>
          <w:rFonts w:ascii="SimSun" w:hAnsi="SimSun" w:eastAsia="SimSun" w:cs="SimSun"/>
          <w:sz w:val="21"/>
          <w:szCs w:val="21"/>
        </w:rPr>
      </w:pPr>
      <w:r>
        <w:rPr>
          <w:rFonts w:ascii="Times New Roman" w:hAnsi="Times New Roman" w:eastAsia="Times New Roman" w:cs="Times New Roman"/>
          <w:sz w:val="21"/>
          <w:szCs w:val="21"/>
          <w:spacing w:val="-8"/>
        </w:rPr>
        <w:t>OECD</w:t>
      </w:r>
      <w:r>
        <w:rPr>
          <w:rFonts w:ascii="SimSun" w:hAnsi="SimSun" w:eastAsia="SimSun" w:cs="SimSun"/>
          <w:sz w:val="21"/>
          <w:szCs w:val="21"/>
          <w:spacing w:val="-8"/>
        </w:rPr>
        <w:t>的报告同时强调了，在政府设计的数字化方面各国仍有不</w:t>
      </w:r>
      <w:r>
        <w:rPr>
          <w:rFonts w:ascii="SimSun" w:hAnsi="SimSun" w:eastAsia="SimSun" w:cs="SimSun"/>
          <w:sz w:val="21"/>
          <w:szCs w:val="21"/>
          <w:spacing w:val="10"/>
        </w:rPr>
        <w:t xml:space="preserve"> </w:t>
      </w:r>
      <w:r>
        <w:rPr>
          <w:rFonts w:ascii="SimSun" w:hAnsi="SimSun" w:eastAsia="SimSun" w:cs="SimSun"/>
          <w:sz w:val="21"/>
          <w:szCs w:val="21"/>
          <w:spacing w:val="-4"/>
        </w:rPr>
        <w:t>足，表现较好的国家制定了完善的战略和领导数字化政府的协调机 </w:t>
      </w:r>
      <w:r>
        <w:rPr>
          <w:rFonts w:ascii="SimSun" w:hAnsi="SimSun" w:eastAsia="SimSun" w:cs="SimSun"/>
          <w:sz w:val="21"/>
          <w:szCs w:val="21"/>
          <w:spacing w:val="-10"/>
        </w:rPr>
        <w:t>构，然而大多数国家政府中负责领导和协调</w:t>
      </w:r>
      <w:r>
        <w:rPr>
          <w:rFonts w:ascii="SimSun" w:hAnsi="SimSun" w:eastAsia="SimSun" w:cs="SimSun"/>
          <w:sz w:val="21"/>
          <w:szCs w:val="21"/>
          <w:spacing w:val="-11"/>
        </w:rPr>
        <w:t>数字政府的机构只有有限 </w:t>
      </w:r>
      <w:r>
        <w:rPr>
          <w:rFonts w:ascii="SimSun" w:hAnsi="SimSun" w:eastAsia="SimSun" w:cs="SimSun"/>
          <w:sz w:val="21"/>
          <w:szCs w:val="21"/>
          <w:spacing w:val="-4"/>
        </w:rPr>
        <w:t>的决策责任，充当咨询参与者而不制定数字政府决策机制政策，这 </w:t>
      </w:r>
      <w:r>
        <w:rPr>
          <w:rFonts w:ascii="SimSun" w:hAnsi="SimSun" w:eastAsia="SimSun" w:cs="SimSun"/>
          <w:sz w:val="21"/>
          <w:szCs w:val="21"/>
          <w:spacing w:val="-7"/>
        </w:rPr>
        <w:t>就可能对政府数字化转型的速度产生负面影响。值得注意的是，85% </w:t>
      </w:r>
      <w:r>
        <w:rPr>
          <w:rFonts w:ascii="SimSun" w:hAnsi="SimSun" w:eastAsia="SimSun" w:cs="SimSun"/>
          <w:sz w:val="21"/>
          <w:szCs w:val="21"/>
          <w:spacing w:val="-8"/>
        </w:rPr>
        <w:t>的被调查国家实施了拥有单一身份的系统并建立了相应的数字系统，</w:t>
      </w:r>
      <w:r>
        <w:rPr>
          <w:rFonts w:ascii="SimSun" w:hAnsi="SimSun" w:eastAsia="SimSun" w:cs="SimSun"/>
          <w:sz w:val="21"/>
          <w:szCs w:val="21"/>
          <w:spacing w:val="3"/>
        </w:rPr>
        <w:t xml:space="preserve"> </w:t>
      </w:r>
      <w:r>
        <w:rPr>
          <w:rFonts w:ascii="SimSun" w:hAnsi="SimSun" w:eastAsia="SimSun" w:cs="SimSun"/>
          <w:sz w:val="21"/>
          <w:szCs w:val="21"/>
        </w:rPr>
        <w:t>但只有58%的国家可以保证公民通过数字化身份</w:t>
      </w:r>
      <w:r>
        <w:rPr>
          <w:rFonts w:ascii="SimSun" w:hAnsi="SimSun" w:eastAsia="SimSun" w:cs="SimSun"/>
          <w:sz w:val="21"/>
          <w:szCs w:val="21"/>
          <w:spacing w:val="-1"/>
        </w:rPr>
        <w:t>系统获得超过一半</w:t>
      </w:r>
      <w:r>
        <w:rPr>
          <w:rFonts w:ascii="SimSun" w:hAnsi="SimSun" w:eastAsia="SimSun" w:cs="SimSun"/>
          <w:sz w:val="21"/>
          <w:szCs w:val="21"/>
        </w:rPr>
        <w:t xml:space="preserve">  </w:t>
      </w:r>
      <w:r>
        <w:rPr>
          <w:rFonts w:ascii="SimSun" w:hAnsi="SimSun" w:eastAsia="SimSun" w:cs="SimSun"/>
          <w:sz w:val="21"/>
          <w:szCs w:val="21"/>
          <w:spacing w:val="-10"/>
        </w:rPr>
        <w:t>以上的公共服务。相比之下，我国在数字化</w:t>
      </w:r>
      <w:r>
        <w:rPr>
          <w:rFonts w:ascii="SimSun" w:hAnsi="SimSun" w:eastAsia="SimSun" w:cs="SimSun"/>
          <w:sz w:val="21"/>
          <w:szCs w:val="21"/>
          <w:spacing w:val="-11"/>
        </w:rPr>
        <w:t>身份系统与公共服务的对 </w:t>
      </w:r>
      <w:r>
        <w:rPr>
          <w:rFonts w:ascii="SimSun" w:hAnsi="SimSun" w:eastAsia="SimSun" w:cs="SimSun"/>
          <w:sz w:val="21"/>
          <w:szCs w:val="21"/>
          <w:spacing w:val="-10"/>
        </w:rPr>
        <w:t>接上具有一定的领先优势，目前身份证电子</w:t>
      </w:r>
      <w:r>
        <w:rPr>
          <w:rFonts w:ascii="SimSun" w:hAnsi="SimSun" w:eastAsia="SimSun" w:cs="SimSun"/>
          <w:sz w:val="21"/>
          <w:szCs w:val="21"/>
          <w:spacing w:val="-11"/>
        </w:rPr>
        <w:t>证照使用在我国已经较为 </w:t>
      </w:r>
      <w:r>
        <w:rPr>
          <w:rFonts w:ascii="SimSun" w:hAnsi="SimSun" w:eastAsia="SimSun" w:cs="SimSun"/>
          <w:sz w:val="21"/>
          <w:szCs w:val="21"/>
          <w:spacing w:val="-10"/>
        </w:rPr>
        <w:t>普及，使用电子身份证可以乘坐火车、入住</w:t>
      </w:r>
      <w:r>
        <w:rPr>
          <w:rFonts w:ascii="SimSun" w:hAnsi="SimSun" w:eastAsia="SimSun" w:cs="SimSun"/>
          <w:sz w:val="21"/>
          <w:szCs w:val="21"/>
          <w:spacing w:val="-11"/>
        </w:rPr>
        <w:t>酒店、预约参观景点，通 </w:t>
      </w:r>
      <w:r>
        <w:rPr>
          <w:rFonts w:ascii="SimSun" w:hAnsi="SimSun" w:eastAsia="SimSun" w:cs="SimSun"/>
          <w:sz w:val="21"/>
          <w:szCs w:val="21"/>
          <w:spacing w:val="-4"/>
        </w:rPr>
        <w:t>过微信和支付宝等个人账号的实名认证，公民可以获得大部分公共 </w:t>
      </w:r>
      <w:r>
        <w:rPr>
          <w:rFonts w:ascii="SimSun" w:hAnsi="SimSun" w:eastAsia="SimSun" w:cs="SimSun"/>
          <w:sz w:val="21"/>
          <w:szCs w:val="21"/>
          <w:spacing w:val="-9"/>
        </w:rPr>
        <w:t>服务。</w:t>
      </w:r>
    </w:p>
    <w:p>
      <w:pPr>
        <w:spacing w:before="219" w:line="219" w:lineRule="auto"/>
        <w:jc w:val="right"/>
        <w:rPr>
          <w:rFonts w:ascii="SimSun" w:hAnsi="SimSun" w:eastAsia="SimSun" w:cs="SimSun"/>
          <w:sz w:val="21"/>
          <w:szCs w:val="21"/>
        </w:rPr>
      </w:pPr>
      <w:r>
        <w:rPr>
          <w:rFonts w:ascii="SimSun" w:hAnsi="SimSun" w:eastAsia="SimSun" w:cs="SimSun"/>
          <w:sz w:val="21"/>
          <w:szCs w:val="21"/>
          <w:spacing w:val="-9"/>
        </w:rPr>
        <w:t>各国政府在行政系统的数据驱动方面的表现有较大的提升空间，</w:t>
      </w:r>
    </w:p>
    <w:p>
      <w:pPr>
        <w:spacing w:line="219" w:lineRule="auto"/>
        <w:sectPr>
          <w:headerReference w:type="default" r:id="rId228"/>
          <w:pgSz w:w="7330" w:h="12480"/>
          <w:pgMar w:top="779" w:right="854" w:bottom="400" w:left="390" w:header="613" w:footer="0" w:gutter="0"/>
        </w:sectPr>
        <w:rPr>
          <w:rFonts w:ascii="SimSun" w:hAnsi="SimSun" w:eastAsia="SimSun" w:cs="SimSun"/>
          <w:sz w:val="21"/>
          <w:szCs w:val="21"/>
        </w:rPr>
      </w:pP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123"/>
        <w:spacing w:before="68" w:line="303" w:lineRule="auto"/>
        <w:jc w:val="both"/>
        <w:rPr>
          <w:rFonts w:ascii="SimSun" w:hAnsi="SimSun" w:eastAsia="SimSun" w:cs="SimSun"/>
          <w:sz w:val="21"/>
          <w:szCs w:val="21"/>
        </w:rPr>
      </w:pPr>
      <w:r>
        <w:rPr>
          <w:rFonts w:ascii="Times New Roman" w:hAnsi="Times New Roman" w:eastAsia="Times New Roman" w:cs="Times New Roman"/>
          <w:sz w:val="21"/>
          <w:szCs w:val="21"/>
          <w:spacing w:val="-8"/>
        </w:rPr>
        <w:t>OECD</w:t>
      </w:r>
      <w:r>
        <w:rPr>
          <w:rFonts w:ascii="SimSun" w:hAnsi="SimSun" w:eastAsia="SimSun" w:cs="SimSun"/>
          <w:sz w:val="21"/>
          <w:szCs w:val="21"/>
          <w:spacing w:val="-8"/>
        </w:rPr>
        <w:t>的报告认为各国政府普遍未能充分利用数据作为数字政府的基</w:t>
      </w:r>
      <w:r>
        <w:rPr>
          <w:rFonts w:ascii="SimSun" w:hAnsi="SimSun" w:eastAsia="SimSun" w:cs="SimSun"/>
          <w:sz w:val="21"/>
          <w:szCs w:val="21"/>
          <w:spacing w:val="3"/>
        </w:rPr>
        <w:t xml:space="preserve"> </w:t>
      </w:r>
      <w:r>
        <w:rPr>
          <w:rFonts w:ascii="SimSun" w:hAnsi="SimSun" w:eastAsia="SimSun" w:cs="SimSun"/>
          <w:sz w:val="21"/>
          <w:szCs w:val="21"/>
        </w:rPr>
        <w:t>础来创建公共部门。截至2019年，只有12%的</w:t>
      </w:r>
      <w:r>
        <w:rPr>
          <w:rFonts w:ascii="SimSun" w:hAnsi="SimSun" w:eastAsia="SimSun" w:cs="SimSun"/>
          <w:sz w:val="21"/>
          <w:szCs w:val="21"/>
          <w:spacing w:val="-1"/>
        </w:rPr>
        <w:t>国家拥有单一的专用</w:t>
      </w:r>
      <w:r>
        <w:rPr>
          <w:rFonts w:ascii="SimSun" w:hAnsi="SimSun" w:eastAsia="SimSun" w:cs="SimSun"/>
          <w:sz w:val="21"/>
          <w:szCs w:val="21"/>
        </w:rPr>
        <w:t xml:space="preserve"> </w:t>
      </w:r>
      <w:r>
        <w:rPr>
          <w:rFonts w:ascii="SimSun" w:hAnsi="SimSun" w:eastAsia="SimSun" w:cs="SimSun"/>
          <w:sz w:val="21"/>
          <w:szCs w:val="21"/>
          <w:spacing w:val="3"/>
        </w:rPr>
        <w:t>数据政策，64%的国家制定了数据收集的规范，36%的国家针对数</w:t>
      </w:r>
      <w:r>
        <w:rPr>
          <w:rFonts w:ascii="SimSun" w:hAnsi="SimSun" w:eastAsia="SimSun" w:cs="SimSun"/>
          <w:sz w:val="21"/>
          <w:szCs w:val="21"/>
          <w:spacing w:val="4"/>
        </w:rPr>
        <w:t xml:space="preserve"> </w:t>
      </w:r>
      <w:r>
        <w:rPr>
          <w:rFonts w:ascii="SimSun" w:hAnsi="SimSun" w:eastAsia="SimSun" w:cs="SimSun"/>
          <w:sz w:val="21"/>
          <w:szCs w:val="21"/>
          <w:spacing w:val="-10"/>
        </w:rPr>
        <w:t>据使用的伦理、公平性和包容性制定了专门的政策并在付诸实践。在</w:t>
      </w:r>
      <w:r>
        <w:rPr>
          <w:rFonts w:ascii="SimSun" w:hAnsi="SimSun" w:eastAsia="SimSun" w:cs="SimSun"/>
          <w:sz w:val="21"/>
          <w:szCs w:val="21"/>
        </w:rPr>
        <w:t xml:space="preserve"> </w:t>
      </w:r>
      <w:r>
        <w:rPr>
          <w:rFonts w:ascii="SimSun" w:hAnsi="SimSun" w:eastAsia="SimSun" w:cs="SimSun"/>
          <w:sz w:val="21"/>
          <w:szCs w:val="21"/>
          <w:spacing w:val="-2"/>
        </w:rPr>
        <w:t>行政系统的数据驱动方面，表现最好的前十位</w:t>
      </w:r>
      <w:r>
        <w:rPr>
          <w:rFonts w:ascii="Times New Roman" w:hAnsi="Times New Roman" w:eastAsia="Times New Roman" w:cs="Times New Roman"/>
          <w:sz w:val="21"/>
          <w:szCs w:val="21"/>
          <w:spacing w:val="-2"/>
        </w:rPr>
        <w:t>OECD</w:t>
      </w:r>
      <w:r>
        <w:rPr>
          <w:rFonts w:ascii="SimSun" w:hAnsi="SimSun" w:eastAsia="SimSun" w:cs="SimSun"/>
          <w:sz w:val="21"/>
          <w:szCs w:val="21"/>
          <w:spacing w:val="-2"/>
        </w:rPr>
        <w:t>国家分别是英</w:t>
      </w:r>
      <w:r>
        <w:rPr>
          <w:rFonts w:ascii="SimSun" w:hAnsi="SimSun" w:eastAsia="SimSun" w:cs="SimSun"/>
          <w:sz w:val="21"/>
          <w:szCs w:val="21"/>
          <w:spacing w:val="8"/>
        </w:rPr>
        <w:t xml:space="preserve"> </w:t>
      </w:r>
      <w:r>
        <w:rPr>
          <w:rFonts w:ascii="SimSun" w:hAnsi="SimSun" w:eastAsia="SimSun" w:cs="SimSun"/>
          <w:sz w:val="21"/>
          <w:szCs w:val="21"/>
          <w:spacing w:val="-11"/>
        </w:rPr>
        <w:t>国、丹麦、韩国、西班牙、哥伦比亚、加拿大、日本、法国、葡萄牙</w:t>
      </w:r>
      <w:r>
        <w:rPr>
          <w:rFonts w:ascii="SimSun" w:hAnsi="SimSun" w:eastAsia="SimSun" w:cs="SimSun"/>
          <w:sz w:val="21"/>
          <w:szCs w:val="21"/>
          <w:spacing w:val="9"/>
        </w:rPr>
        <w:t xml:space="preserve"> </w:t>
      </w:r>
      <w:r>
        <w:rPr>
          <w:rFonts w:ascii="SimSun" w:hAnsi="SimSun" w:eastAsia="SimSun" w:cs="SimSun"/>
          <w:sz w:val="21"/>
          <w:szCs w:val="21"/>
          <w:spacing w:val="-7"/>
        </w:rPr>
        <w:t>和立陶宛。</w:t>
      </w:r>
    </w:p>
    <w:p>
      <w:pPr>
        <w:ind w:firstLine="440"/>
        <w:spacing w:before="114" w:line="305" w:lineRule="auto"/>
        <w:jc w:val="both"/>
        <w:rPr>
          <w:rFonts w:ascii="SimSun" w:hAnsi="SimSun" w:eastAsia="SimSun" w:cs="SimSun"/>
          <w:sz w:val="21"/>
          <w:szCs w:val="21"/>
        </w:rPr>
      </w:pPr>
      <w:r>
        <w:rPr>
          <w:rFonts w:ascii="SimSun" w:hAnsi="SimSun" w:eastAsia="SimSun" w:cs="SimSun"/>
          <w:sz w:val="21"/>
          <w:szCs w:val="21"/>
          <w:spacing w:val="-7"/>
        </w:rPr>
        <w:t>在政府平台的用户驱动性方面，丹麦、哥伦比亚、英国、韩国、</w:t>
      </w:r>
      <w:r>
        <w:rPr>
          <w:rFonts w:ascii="SimSun" w:hAnsi="SimSun" w:eastAsia="SimSun" w:cs="SimSun"/>
          <w:sz w:val="21"/>
          <w:szCs w:val="21"/>
        </w:rPr>
        <w:t xml:space="preserve"> </w:t>
      </w:r>
      <w:r>
        <w:rPr>
          <w:rFonts w:ascii="SimSun" w:hAnsi="SimSun" w:eastAsia="SimSun" w:cs="SimSun"/>
          <w:sz w:val="21"/>
          <w:szCs w:val="21"/>
          <w:spacing w:val="-3"/>
        </w:rPr>
        <w:t>日本处在</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3"/>
        </w:rPr>
        <w:t>OECD</w:t>
      </w:r>
      <w:r>
        <w:rPr>
          <w:rFonts w:ascii="SimSun" w:hAnsi="SimSun" w:eastAsia="SimSun" w:cs="SimSun"/>
          <w:sz w:val="21"/>
          <w:szCs w:val="21"/>
          <w:spacing w:val="-3"/>
        </w:rPr>
        <w:t>国家前列。表现最好的国家有类</w:t>
      </w:r>
      <w:r>
        <w:rPr>
          <w:rFonts w:ascii="SimSun" w:hAnsi="SimSun" w:eastAsia="SimSun" w:cs="SimSun"/>
          <w:sz w:val="21"/>
          <w:szCs w:val="21"/>
          <w:spacing w:val="-4"/>
        </w:rPr>
        <w:t>似的最佳实践：关</w:t>
      </w:r>
      <w:r>
        <w:rPr>
          <w:rFonts w:ascii="SimSun" w:hAnsi="SimSun" w:eastAsia="SimSun" w:cs="SimSun"/>
          <w:sz w:val="21"/>
          <w:szCs w:val="21"/>
        </w:rPr>
        <w:t xml:space="preserve">  </w:t>
      </w:r>
      <w:r>
        <w:rPr>
          <w:rFonts w:ascii="SimSun" w:hAnsi="SimSun" w:eastAsia="SimSun" w:cs="SimSun"/>
          <w:sz w:val="21"/>
          <w:szCs w:val="21"/>
          <w:spacing w:val="-12"/>
        </w:rPr>
        <w:t>键利益相关者一致参与设计和制定政策和服务，维护多种渠道、数字  </w:t>
      </w:r>
      <w:r>
        <w:rPr>
          <w:rFonts w:ascii="SimSun" w:hAnsi="SimSun" w:eastAsia="SimSun" w:cs="SimSun"/>
          <w:sz w:val="21"/>
          <w:szCs w:val="21"/>
          <w:spacing w:val="-12"/>
        </w:rPr>
        <w:t>机制和强制性指南。它们还积极让用户参与测试和评估敏捷服务设计  </w:t>
      </w:r>
      <w:r>
        <w:rPr>
          <w:rFonts w:ascii="SimSun" w:hAnsi="SimSun" w:eastAsia="SimSun" w:cs="SimSun"/>
          <w:sz w:val="21"/>
          <w:szCs w:val="21"/>
          <w:spacing w:val="-12"/>
        </w:rPr>
        <w:t>及实施。总体而言，各国政府数字平台的用户参与度仍然不高，对政  </w:t>
      </w:r>
      <w:r>
        <w:rPr>
          <w:rFonts w:ascii="SimSun" w:hAnsi="SimSun" w:eastAsia="SimSun" w:cs="SimSun"/>
          <w:sz w:val="21"/>
          <w:szCs w:val="21"/>
          <w:spacing w:val="6"/>
        </w:rPr>
        <w:t>策制定和服务交付流程的参与度分别为30%和36%,老年人、残疾</w:t>
      </w:r>
      <w:r>
        <w:rPr>
          <w:rFonts w:ascii="SimSun" w:hAnsi="SimSun" w:eastAsia="SimSun" w:cs="SimSun"/>
          <w:sz w:val="21"/>
          <w:szCs w:val="21"/>
          <w:spacing w:val="8"/>
        </w:rPr>
        <w:t xml:space="preserve">  </w:t>
      </w:r>
      <w:r>
        <w:rPr>
          <w:rFonts w:ascii="SimSun" w:hAnsi="SimSun" w:eastAsia="SimSun" w:cs="SimSun"/>
          <w:sz w:val="21"/>
          <w:szCs w:val="21"/>
        </w:rPr>
        <w:t>人、少数民族和妇女的参与度相对偏低。6</w:t>
      </w:r>
      <w:r>
        <w:rPr>
          <w:rFonts w:ascii="SimSun" w:hAnsi="SimSun" w:eastAsia="SimSun" w:cs="SimSun"/>
          <w:sz w:val="21"/>
          <w:szCs w:val="21"/>
          <w:spacing w:val="-1"/>
        </w:rPr>
        <w:t>1%的国家成立了专门的</w:t>
      </w:r>
      <w:r>
        <w:rPr>
          <w:rFonts w:ascii="SimSun" w:hAnsi="SimSun" w:eastAsia="SimSun" w:cs="SimSun"/>
          <w:sz w:val="21"/>
          <w:szCs w:val="21"/>
        </w:rPr>
        <w:t xml:space="preserve">  </w:t>
      </w:r>
      <w:r>
        <w:rPr>
          <w:rFonts w:ascii="SimSun" w:hAnsi="SimSun" w:eastAsia="SimSun" w:cs="SimSun"/>
          <w:sz w:val="21"/>
          <w:szCs w:val="21"/>
          <w:spacing w:val="-1"/>
        </w:rPr>
        <w:t>部门来测试和评估数字项目以及确保公民用户的参与，但只有49%</w:t>
      </w:r>
      <w:r>
        <w:rPr>
          <w:rFonts w:ascii="SimSun" w:hAnsi="SimSun" w:eastAsia="SimSun" w:cs="SimSun"/>
          <w:sz w:val="21"/>
          <w:szCs w:val="21"/>
          <w:spacing w:val="9"/>
        </w:rPr>
        <w:t xml:space="preserve">  </w:t>
      </w:r>
      <w:r>
        <w:rPr>
          <w:rFonts w:ascii="SimSun" w:hAnsi="SimSun" w:eastAsia="SimSun" w:cs="SimSun"/>
          <w:sz w:val="21"/>
          <w:szCs w:val="21"/>
          <w:spacing w:val="-10"/>
        </w:rPr>
        <w:t>的国家对用户的满意度有系统的评估体系。</w:t>
      </w:r>
    </w:p>
    <w:p>
      <w:pPr>
        <w:ind w:right="49" w:firstLine="449"/>
        <w:spacing w:before="107" w:line="308" w:lineRule="auto"/>
        <w:jc w:val="both"/>
        <w:rPr>
          <w:rFonts w:ascii="SimSun" w:hAnsi="SimSun" w:eastAsia="SimSun" w:cs="SimSun"/>
          <w:sz w:val="21"/>
          <w:szCs w:val="21"/>
        </w:rPr>
      </w:pPr>
      <w:r>
        <w:rPr>
          <w:rFonts w:ascii="SimSun" w:hAnsi="SimSun" w:eastAsia="SimSun" w:cs="SimSun"/>
          <w:sz w:val="21"/>
          <w:szCs w:val="21"/>
          <w:spacing w:val="-3"/>
        </w:rPr>
        <w:t>近年来，我国政府数字平台发展较快，数字</w:t>
      </w:r>
      <w:r>
        <w:rPr>
          <w:rFonts w:ascii="SimSun" w:hAnsi="SimSun" w:eastAsia="SimSun" w:cs="SimSun"/>
          <w:sz w:val="21"/>
          <w:szCs w:val="21"/>
          <w:spacing w:val="-4"/>
        </w:rPr>
        <w:t>化平台已经成为公</w:t>
      </w:r>
      <w:r>
        <w:rPr>
          <w:rFonts w:ascii="SimSun" w:hAnsi="SimSun" w:eastAsia="SimSun" w:cs="SimSun"/>
          <w:sz w:val="21"/>
          <w:szCs w:val="21"/>
        </w:rPr>
        <w:t xml:space="preserve"> </w:t>
      </w:r>
      <w:r>
        <w:rPr>
          <w:rFonts w:ascii="SimSun" w:hAnsi="SimSun" w:eastAsia="SimSun" w:cs="SimSun"/>
          <w:sz w:val="21"/>
          <w:szCs w:val="21"/>
          <w:spacing w:val="-4"/>
        </w:rPr>
        <w:t>共服务的重要组成部分。党的十九届四中全会、五中全会把数字政</w:t>
      </w:r>
      <w:r>
        <w:rPr>
          <w:rFonts w:ascii="SimSun" w:hAnsi="SimSun" w:eastAsia="SimSun" w:cs="SimSun"/>
          <w:sz w:val="21"/>
          <w:szCs w:val="21"/>
          <w:spacing w:val="1"/>
        </w:rPr>
        <w:t xml:space="preserve">  </w:t>
      </w:r>
      <w:r>
        <w:rPr>
          <w:rFonts w:ascii="SimSun" w:hAnsi="SimSun" w:eastAsia="SimSun" w:cs="SimSun"/>
          <w:sz w:val="21"/>
          <w:szCs w:val="21"/>
          <w:spacing w:val="-1"/>
        </w:rPr>
        <w:t>府的建设列为国家治理体系的重要目标，把数字经济、数字社会、</w:t>
      </w:r>
      <w:r>
        <w:rPr>
          <w:rFonts w:ascii="SimSun" w:hAnsi="SimSun" w:eastAsia="SimSun" w:cs="SimSun"/>
          <w:sz w:val="21"/>
          <w:szCs w:val="21"/>
          <w:spacing w:val="13"/>
        </w:rPr>
        <w:t xml:space="preserve"> </w:t>
      </w:r>
      <w:r>
        <w:rPr>
          <w:rFonts w:ascii="SimSun" w:hAnsi="SimSun" w:eastAsia="SimSun" w:cs="SimSun"/>
          <w:sz w:val="21"/>
          <w:szCs w:val="21"/>
          <w:spacing w:val="-4"/>
        </w:rPr>
        <w:t>数字政府同时列为数字化发展的三大支柱。在这一背景下，全国各</w:t>
      </w:r>
      <w:r>
        <w:rPr>
          <w:rFonts w:ascii="SimSun" w:hAnsi="SimSun" w:eastAsia="SimSun" w:cs="SimSun"/>
          <w:sz w:val="21"/>
          <w:szCs w:val="21"/>
          <w:spacing w:val="2"/>
        </w:rPr>
        <w:t xml:space="preserve">  </w:t>
      </w:r>
      <w:r>
        <w:rPr>
          <w:rFonts w:ascii="SimSun" w:hAnsi="SimSun" w:eastAsia="SimSun" w:cs="SimSun"/>
          <w:sz w:val="21"/>
          <w:szCs w:val="21"/>
          <w:spacing w:val="-4"/>
        </w:rPr>
        <w:t>地方政府把数字政府平台的建设提上了议事日程，并出台了大量与</w:t>
      </w:r>
      <w:r>
        <w:rPr>
          <w:rFonts w:ascii="SimSun" w:hAnsi="SimSun" w:eastAsia="SimSun" w:cs="SimSun"/>
          <w:sz w:val="21"/>
          <w:szCs w:val="21"/>
          <w:spacing w:val="5"/>
        </w:rPr>
        <w:t xml:space="preserve">  </w:t>
      </w:r>
      <w:r>
        <w:rPr>
          <w:rFonts w:ascii="SimSun" w:hAnsi="SimSun" w:eastAsia="SimSun" w:cs="SimSun"/>
          <w:sz w:val="21"/>
          <w:szCs w:val="21"/>
        </w:rPr>
        <w:t>之相关的政府文件和产业政策。2018年6</w:t>
      </w:r>
      <w:r>
        <w:rPr>
          <w:rFonts w:ascii="SimSun" w:hAnsi="SimSun" w:eastAsia="SimSun" w:cs="SimSun"/>
          <w:sz w:val="21"/>
          <w:szCs w:val="21"/>
          <w:spacing w:val="-1"/>
        </w:rPr>
        <w:t>月贵州省率先在全国发布</w:t>
      </w:r>
      <w:r>
        <w:rPr>
          <w:rFonts w:ascii="SimSun" w:hAnsi="SimSun" w:eastAsia="SimSun" w:cs="SimSun"/>
          <w:sz w:val="21"/>
          <w:szCs w:val="21"/>
        </w:rPr>
        <w:t xml:space="preserve">  </w:t>
      </w:r>
      <w:r>
        <w:rPr>
          <w:rFonts w:ascii="SimSun" w:hAnsi="SimSun" w:eastAsia="SimSun" w:cs="SimSun"/>
          <w:sz w:val="21"/>
          <w:szCs w:val="21"/>
          <w:spacing w:val="-5"/>
        </w:rPr>
        <w:t>了省级数字政府发展文件《贵州省人民政府关于促进大数据云计算</w:t>
      </w:r>
      <w:r>
        <w:rPr>
          <w:rFonts w:ascii="SimSun" w:hAnsi="SimSun" w:eastAsia="SimSun" w:cs="SimSun"/>
          <w:sz w:val="21"/>
          <w:szCs w:val="21"/>
          <w:spacing w:val="6"/>
        </w:rPr>
        <w:t xml:space="preserve">  </w:t>
      </w:r>
      <w:r>
        <w:rPr>
          <w:rFonts w:ascii="SimSun" w:hAnsi="SimSun" w:eastAsia="SimSun" w:cs="SimSun"/>
          <w:sz w:val="21"/>
          <w:szCs w:val="21"/>
        </w:rPr>
        <w:t>人工智能创新发展加快建设数字贵州的意见》</w:t>
      </w:r>
      <w:r>
        <w:rPr>
          <w:rFonts w:ascii="SimSun" w:hAnsi="SimSun" w:eastAsia="SimSun" w:cs="SimSun"/>
          <w:sz w:val="21"/>
          <w:szCs w:val="21"/>
          <w:spacing w:val="-1"/>
        </w:rPr>
        <w:t>,截至2020年底全国</w:t>
      </w:r>
      <w:r>
        <w:rPr>
          <w:rFonts w:ascii="SimSun" w:hAnsi="SimSun" w:eastAsia="SimSun" w:cs="SimSun"/>
          <w:sz w:val="21"/>
          <w:szCs w:val="21"/>
        </w:rPr>
        <w:t xml:space="preserve">  </w:t>
      </w:r>
      <w:r>
        <w:rPr>
          <w:rFonts w:ascii="SimSun" w:hAnsi="SimSun" w:eastAsia="SimSun" w:cs="SimSun"/>
          <w:sz w:val="21"/>
          <w:szCs w:val="21"/>
          <w:spacing w:val="-4"/>
        </w:rPr>
        <w:t>已有包括贵州、广西、广东、江苏、浙江、湖北、福建、山东、宁</w:t>
      </w:r>
      <w:r>
        <w:rPr>
          <w:rFonts w:ascii="SimSun" w:hAnsi="SimSun" w:eastAsia="SimSun" w:cs="SimSun"/>
          <w:sz w:val="21"/>
          <w:szCs w:val="21"/>
          <w:spacing w:val="5"/>
        </w:rPr>
        <w:t xml:space="preserve">  </w:t>
      </w:r>
      <w:r>
        <w:rPr>
          <w:rFonts w:ascii="SimSun" w:hAnsi="SimSun" w:eastAsia="SimSun" w:cs="SimSun"/>
          <w:sz w:val="21"/>
          <w:szCs w:val="21"/>
          <w:spacing w:val="-4"/>
        </w:rPr>
        <w:t>夏、黑龙江、山西、安徽、内蒙古在内的13</w:t>
      </w:r>
      <w:r>
        <w:rPr>
          <w:rFonts w:ascii="SimSun" w:hAnsi="SimSun" w:eastAsia="SimSun" w:cs="SimSun"/>
          <w:sz w:val="21"/>
          <w:szCs w:val="21"/>
          <w:spacing w:val="-5"/>
        </w:rPr>
        <w:t>个省级行政区制定了专</w:t>
      </w:r>
      <w:r>
        <w:rPr>
          <w:rFonts w:ascii="SimSun" w:hAnsi="SimSun" w:eastAsia="SimSun" w:cs="SimSun"/>
          <w:sz w:val="21"/>
          <w:szCs w:val="21"/>
        </w:rPr>
        <w:t xml:space="preserve">  </w:t>
      </w:r>
      <w:r>
        <w:rPr>
          <w:rFonts w:ascii="SimSun" w:hAnsi="SimSun" w:eastAsia="SimSun" w:cs="SimSun"/>
          <w:sz w:val="21"/>
          <w:szCs w:val="21"/>
          <w:spacing w:val="-3"/>
        </w:rPr>
        <w:t>门的数字政府发展规划，至少19个省级行政区</w:t>
      </w:r>
      <w:r>
        <w:rPr>
          <w:rFonts w:ascii="SimSun" w:hAnsi="SimSun" w:eastAsia="SimSun" w:cs="SimSun"/>
          <w:sz w:val="21"/>
          <w:szCs w:val="21"/>
          <w:spacing w:val="-4"/>
        </w:rPr>
        <w:t>成立了大数据管理局</w:t>
      </w:r>
    </w:p>
    <w:p>
      <w:pPr>
        <w:spacing w:line="308" w:lineRule="auto"/>
        <w:sectPr>
          <w:headerReference w:type="default" r:id="rId229"/>
          <w:pgSz w:w="7330" w:h="12480"/>
          <w:pgMar w:top="527" w:right="455" w:bottom="400" w:left="750" w:header="365" w:footer="0" w:gutter="0"/>
        </w:sectPr>
        <w:rPr>
          <w:rFonts w:ascii="SimSun" w:hAnsi="SimSun" w:eastAsia="SimSun" w:cs="SimSun"/>
          <w:sz w:val="21"/>
          <w:szCs w:val="21"/>
        </w:rPr>
      </w:pPr>
    </w:p>
    <w:p>
      <w:pPr>
        <w:ind w:left="2104"/>
        <w:spacing w:before="236" w:line="222" w:lineRule="auto"/>
        <w:rPr>
          <w:rFonts w:ascii="SimSun" w:hAnsi="SimSun" w:eastAsia="SimSun" w:cs="SimSun"/>
          <w:sz w:val="12"/>
          <w:szCs w:val="12"/>
        </w:rPr>
      </w:pPr>
      <w:r>
        <w:drawing>
          <wp:anchor distT="0" distB="0" distL="0" distR="0" simplePos="0" relativeHeight="253638656" behindDoc="0" locked="0" layoutInCell="0" allowOverlap="1">
            <wp:simplePos x="0" y="0"/>
            <wp:positionH relativeFrom="page">
              <wp:posOffset>247669</wp:posOffset>
            </wp:positionH>
            <wp:positionV relativeFrom="page">
              <wp:posOffset>6356318</wp:posOffset>
            </wp:positionV>
            <wp:extent cx="1174715" cy="6350"/>
            <wp:effectExtent l="0" t="0" r="0" b="0"/>
            <wp:wrapNone/>
            <wp:docPr id="182" name="IM 182"/>
            <wp:cNvGraphicFramePr/>
            <a:graphic>
              <a:graphicData uri="http://schemas.openxmlformats.org/drawingml/2006/picture">
                <pic:pic>
                  <pic:nvPicPr>
                    <pic:cNvPr id="182" name="IM 182"/>
                    <pic:cNvPicPr/>
                  </pic:nvPicPr>
                  <pic:blipFill>
                    <a:blip r:embed="rId230"/>
                    <a:stretch>
                      <a:fillRect/>
                    </a:stretch>
                  </pic:blipFill>
                  <pic:spPr>
                    <a:xfrm rot="0">
                      <a:off x="0" y="0"/>
                      <a:ext cx="1174715" cy="6350"/>
                    </a:xfrm>
                    <a:prstGeom prst="rect">
                      <a:avLst/>
                    </a:prstGeom>
                  </pic:spPr>
                </pic:pic>
              </a:graphicData>
            </a:graphic>
          </wp:anchor>
        </w:drawing>
      </w:r>
      <w:r>
        <w:rPr>
          <w:rFonts w:ascii="SimHei" w:hAnsi="SimHei" w:eastAsia="SimHei" w:cs="SimHei"/>
          <w:sz w:val="19"/>
          <w:szCs w:val="19"/>
          <w:spacing w:val="-22"/>
          <w:w w:val="96"/>
        </w:rPr>
        <w:t>第五章</w:t>
      </w:r>
      <w:r>
        <w:rPr>
          <w:rFonts w:ascii="SimHei" w:hAnsi="SimHei" w:eastAsia="SimHei" w:cs="SimHei"/>
          <w:sz w:val="19"/>
          <w:szCs w:val="19"/>
          <w:spacing w:val="-22"/>
          <w:w w:val="96"/>
        </w:rPr>
        <w:t xml:space="preserve"> </w:t>
      </w:r>
      <w:r>
        <w:rPr>
          <w:rFonts w:ascii="SimHei" w:hAnsi="SimHei" w:eastAsia="SimHei" w:cs="SimHei"/>
          <w:sz w:val="19"/>
          <w:szCs w:val="19"/>
          <w:spacing w:val="-22"/>
          <w:w w:val="96"/>
        </w:rPr>
        <w:t>平台经济和国家治理</w:t>
      </w:r>
      <w:r>
        <w:rPr>
          <w:rFonts w:ascii="SimHei" w:hAnsi="SimHei" w:eastAsia="SimHei" w:cs="SimHei"/>
          <w:sz w:val="19"/>
          <w:szCs w:val="19"/>
          <w:spacing w:val="2"/>
        </w:rPr>
        <w:t xml:space="preserve">                  </w:t>
      </w:r>
      <w:r>
        <w:rPr>
          <w:rFonts w:ascii="SimSun" w:hAnsi="SimSun" w:eastAsia="SimSun" w:cs="SimSun"/>
          <w:sz w:val="12"/>
          <w:szCs w:val="12"/>
          <w:spacing w:val="-3"/>
          <w:position w:val="-1"/>
        </w:rPr>
        <w:t>183</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95"/>
        <w:spacing w:before="62" w:line="217" w:lineRule="auto"/>
        <w:rPr>
          <w:rFonts w:ascii="SimSun" w:hAnsi="SimSun" w:eastAsia="SimSun" w:cs="SimSun"/>
          <w:sz w:val="19"/>
          <w:szCs w:val="19"/>
        </w:rPr>
      </w:pPr>
      <w:r>
        <w:rPr>
          <w:rFonts w:ascii="SimSun" w:hAnsi="SimSun" w:eastAsia="SimSun" w:cs="SimSun"/>
          <w:sz w:val="19"/>
          <w:szCs w:val="19"/>
          <w:spacing w:val="6"/>
        </w:rPr>
        <w:t>和数字政府建设领导小组。①</w:t>
      </w:r>
    </w:p>
    <w:p>
      <w:pPr>
        <w:ind w:left="94" w:right="53" w:firstLine="429"/>
        <w:spacing w:before="106" w:line="350" w:lineRule="auto"/>
        <w:jc w:val="both"/>
        <w:rPr>
          <w:rFonts w:ascii="SimSun" w:hAnsi="SimSun" w:eastAsia="SimSun" w:cs="SimSun"/>
          <w:sz w:val="19"/>
          <w:szCs w:val="19"/>
        </w:rPr>
      </w:pPr>
      <w:r>
        <w:rPr>
          <w:rFonts w:ascii="SimSun" w:hAnsi="SimSun" w:eastAsia="SimSun" w:cs="SimSun"/>
          <w:sz w:val="19"/>
          <w:szCs w:val="19"/>
          <w:spacing w:val="9"/>
        </w:rPr>
        <w:t>值得注意的是，各省份在推动数字政府的过程中，对数字政府的</w:t>
      </w:r>
      <w:r>
        <w:rPr>
          <w:rFonts w:ascii="SimSun" w:hAnsi="SimSun" w:eastAsia="SimSun" w:cs="SimSun"/>
          <w:sz w:val="19"/>
          <w:szCs w:val="19"/>
          <w:spacing w:val="11"/>
        </w:rPr>
        <w:t xml:space="preserve"> </w:t>
      </w:r>
      <w:r>
        <w:rPr>
          <w:rFonts w:ascii="SimSun" w:hAnsi="SimSun" w:eastAsia="SimSun" w:cs="SimSun"/>
          <w:sz w:val="19"/>
          <w:szCs w:val="19"/>
          <w:spacing w:val="9"/>
        </w:rPr>
        <w:t>运营公司采用了不同的股权和治理结构。其中，广东省的数字政府平</w:t>
      </w:r>
      <w:r>
        <w:rPr>
          <w:rFonts w:ascii="SimSun" w:hAnsi="SimSun" w:eastAsia="SimSun" w:cs="SimSun"/>
          <w:sz w:val="19"/>
          <w:szCs w:val="19"/>
          <w:spacing w:val="8"/>
        </w:rPr>
        <w:t xml:space="preserve"> </w:t>
      </w:r>
      <w:r>
        <w:rPr>
          <w:rFonts w:ascii="SimSun" w:hAnsi="SimSun" w:eastAsia="SimSun" w:cs="SimSun"/>
          <w:sz w:val="19"/>
          <w:szCs w:val="19"/>
          <w:spacing w:val="18"/>
        </w:rPr>
        <w:t>台运营方“数字广东网络建设有限公司”,由腾讯集团占股49%,联</w:t>
      </w:r>
      <w:r>
        <w:rPr>
          <w:rFonts w:ascii="SimSun" w:hAnsi="SimSun" w:eastAsia="SimSun" w:cs="SimSun"/>
          <w:sz w:val="19"/>
          <w:szCs w:val="19"/>
          <w:spacing w:val="3"/>
        </w:rPr>
        <w:t xml:space="preserve"> </w:t>
      </w:r>
      <w:r>
        <w:rPr>
          <w:rFonts w:ascii="SimSun" w:hAnsi="SimSun" w:eastAsia="SimSun" w:cs="SimSun"/>
          <w:sz w:val="19"/>
          <w:szCs w:val="19"/>
          <w:spacing w:val="19"/>
        </w:rPr>
        <w:t>通、电信、移动三大通信商占股51%。浙江省的数字政府</w:t>
      </w:r>
      <w:r>
        <w:rPr>
          <w:rFonts w:ascii="SimSun" w:hAnsi="SimSun" w:eastAsia="SimSun" w:cs="SimSun"/>
          <w:sz w:val="19"/>
          <w:szCs w:val="19"/>
          <w:spacing w:val="18"/>
        </w:rPr>
        <w:t>平台运营</w:t>
      </w:r>
      <w:r>
        <w:rPr>
          <w:rFonts w:ascii="SimSun" w:hAnsi="SimSun" w:eastAsia="SimSun" w:cs="SimSun"/>
          <w:sz w:val="19"/>
          <w:szCs w:val="19"/>
        </w:rPr>
        <w:t xml:space="preserve"> </w:t>
      </w:r>
      <w:r>
        <w:rPr>
          <w:rFonts w:ascii="SimSun" w:hAnsi="SimSun" w:eastAsia="SimSun" w:cs="SimSun"/>
          <w:sz w:val="19"/>
          <w:szCs w:val="19"/>
          <w:spacing w:val="22"/>
        </w:rPr>
        <w:t>机构“数字浙江技术运营有限公司”由阿里巴巴集团占股49</w:t>
      </w:r>
      <w:r>
        <w:rPr>
          <w:rFonts w:ascii="SimSun" w:hAnsi="SimSun" w:eastAsia="SimSun" w:cs="SimSun"/>
          <w:sz w:val="19"/>
          <w:szCs w:val="19"/>
          <w:spacing w:val="21"/>
        </w:rPr>
        <w:t>%,其</w:t>
      </w:r>
      <w:r>
        <w:rPr>
          <w:rFonts w:ascii="SimSun" w:hAnsi="SimSun" w:eastAsia="SimSun" w:cs="SimSun"/>
          <w:sz w:val="19"/>
          <w:szCs w:val="19"/>
        </w:rPr>
        <w:t xml:space="preserve"> </w:t>
      </w:r>
      <w:r>
        <w:rPr>
          <w:rFonts w:ascii="SimSun" w:hAnsi="SimSun" w:eastAsia="SimSun" w:cs="SimSun"/>
          <w:sz w:val="19"/>
          <w:szCs w:val="19"/>
          <w:spacing w:val="19"/>
        </w:rPr>
        <w:t>他国资占股51%。而其他省份的数字政府平台运营机构则大多数由</w:t>
      </w:r>
      <w:r>
        <w:rPr>
          <w:rFonts w:ascii="SimSun" w:hAnsi="SimSun" w:eastAsia="SimSun" w:cs="SimSun"/>
          <w:sz w:val="19"/>
          <w:szCs w:val="19"/>
          <w:spacing w:val="6"/>
        </w:rPr>
        <w:t xml:space="preserve"> </w:t>
      </w:r>
      <w:r>
        <w:rPr>
          <w:rFonts w:ascii="SimSun" w:hAnsi="SimSun" w:eastAsia="SimSun" w:cs="SimSun"/>
          <w:sz w:val="19"/>
          <w:szCs w:val="19"/>
          <w:spacing w:val="15"/>
        </w:rPr>
        <w:t>国资100%控股或由国有企业控股。可见平台企业发展水平较高，在</w:t>
      </w:r>
      <w:r>
        <w:rPr>
          <w:rFonts w:ascii="SimSun" w:hAnsi="SimSun" w:eastAsia="SimSun" w:cs="SimSun"/>
          <w:sz w:val="19"/>
          <w:szCs w:val="19"/>
          <w:spacing w:val="4"/>
        </w:rPr>
        <w:t xml:space="preserve"> </w:t>
      </w:r>
      <w:r>
        <w:rPr>
          <w:rFonts w:ascii="SimSun" w:hAnsi="SimSun" w:eastAsia="SimSun" w:cs="SimSun"/>
          <w:sz w:val="19"/>
          <w:szCs w:val="19"/>
          <w:spacing w:val="9"/>
        </w:rPr>
        <w:t>经济中占有重要影响的省份，企业也更多地参与到数字政府平台的建</w:t>
      </w:r>
      <w:r>
        <w:rPr>
          <w:rFonts w:ascii="SimSun" w:hAnsi="SimSun" w:eastAsia="SimSun" w:cs="SimSun"/>
          <w:sz w:val="19"/>
          <w:szCs w:val="19"/>
          <w:spacing w:val="7"/>
        </w:rPr>
        <w:t xml:space="preserve"> </w:t>
      </w:r>
      <w:r>
        <w:rPr>
          <w:rFonts w:ascii="SimSun" w:hAnsi="SimSun" w:eastAsia="SimSun" w:cs="SimSun"/>
          <w:sz w:val="19"/>
          <w:szCs w:val="19"/>
          <w:spacing w:val="9"/>
        </w:rPr>
        <w:t>设中，而广东和浙江两省的数字政府发展水平在各类研究机构的报告</w:t>
      </w:r>
    </w:p>
    <w:p>
      <w:pPr>
        <w:ind w:left="95"/>
        <w:spacing w:line="218" w:lineRule="auto"/>
        <w:rPr>
          <w:rFonts w:ascii="SimSun" w:hAnsi="SimSun" w:eastAsia="SimSun" w:cs="SimSun"/>
          <w:sz w:val="19"/>
          <w:szCs w:val="19"/>
        </w:rPr>
      </w:pPr>
      <w:r>
        <w:rPr>
          <w:rFonts w:ascii="SimSun" w:hAnsi="SimSun" w:eastAsia="SimSun" w:cs="SimSun"/>
          <w:sz w:val="19"/>
          <w:szCs w:val="19"/>
          <w:spacing w:val="7"/>
        </w:rPr>
        <w:t>中也处在全国数字政府建设的前列。</w:t>
      </w:r>
    </w:p>
    <w:p>
      <w:pPr>
        <w:ind w:right="2" w:firstLine="544"/>
        <w:spacing w:before="133" w:line="350" w:lineRule="auto"/>
        <w:jc w:val="both"/>
        <w:rPr>
          <w:rFonts w:ascii="SimSun" w:hAnsi="SimSun" w:eastAsia="SimSun" w:cs="SimSun"/>
          <w:sz w:val="19"/>
          <w:szCs w:val="19"/>
        </w:rPr>
      </w:pPr>
      <w:r>
        <w:rPr>
          <w:rFonts w:ascii="SimSun" w:hAnsi="SimSun" w:eastAsia="SimSun" w:cs="SimSun"/>
          <w:sz w:val="19"/>
          <w:szCs w:val="19"/>
          <w:spacing w:val="8"/>
        </w:rPr>
        <w:t>目前，平台企业广泛参与了我国数字政府平台的建设，在数字化</w:t>
      </w:r>
      <w:r>
        <w:rPr>
          <w:rFonts w:ascii="SimSun" w:hAnsi="SimSun" w:eastAsia="SimSun" w:cs="SimSun"/>
          <w:sz w:val="19"/>
          <w:szCs w:val="19"/>
          <w:spacing w:val="13"/>
        </w:rPr>
        <w:t xml:space="preserve"> </w:t>
      </w:r>
      <w:r>
        <w:rPr>
          <w:rFonts w:ascii="SimSun" w:hAnsi="SimSun" w:eastAsia="SimSun" w:cs="SimSun"/>
          <w:sz w:val="19"/>
          <w:szCs w:val="19"/>
          <w:spacing w:val="12"/>
        </w:rPr>
        <w:t>公共服务中发挥了重要作用，学术界将这一现象概括为“平台驱动的 </w:t>
      </w:r>
      <w:r>
        <w:rPr>
          <w:rFonts w:ascii="SimSun" w:hAnsi="SimSun" w:eastAsia="SimSun" w:cs="SimSun"/>
          <w:sz w:val="19"/>
          <w:szCs w:val="19"/>
          <w:spacing w:val="12"/>
        </w:rPr>
        <w:t>数字政府模式”。②以广东省为例，广东省政务服务平台推出“粤省 </w:t>
      </w:r>
      <w:r>
        <w:rPr>
          <w:rFonts w:ascii="SimSun" w:hAnsi="SimSun" w:eastAsia="SimSun" w:cs="SimSun"/>
          <w:sz w:val="19"/>
          <w:szCs w:val="19"/>
          <w:spacing w:val="18"/>
        </w:rPr>
        <w:t>事”微信小程序，全省实名注册用户超过9347万，占广东省常住人</w:t>
      </w:r>
      <w:r>
        <w:rPr>
          <w:rFonts w:ascii="SimSun" w:hAnsi="SimSun" w:eastAsia="SimSun" w:cs="SimSun"/>
          <w:sz w:val="19"/>
          <w:szCs w:val="19"/>
          <w:spacing w:val="2"/>
        </w:rPr>
        <w:t xml:space="preserve">  </w:t>
      </w:r>
      <w:r>
        <w:rPr>
          <w:rFonts w:ascii="SimSun" w:hAnsi="SimSun" w:eastAsia="SimSun" w:cs="SimSun"/>
          <w:sz w:val="19"/>
          <w:szCs w:val="19"/>
          <w:spacing w:val="20"/>
        </w:rPr>
        <w:t>口的74%以上。“粤省事”上线民生类服务1706项，累计业</w:t>
      </w:r>
      <w:r>
        <w:rPr>
          <w:rFonts w:ascii="SimSun" w:hAnsi="SimSun" w:eastAsia="SimSun" w:cs="SimSun"/>
          <w:sz w:val="19"/>
          <w:szCs w:val="19"/>
          <w:spacing w:val="19"/>
        </w:rPr>
        <w:t>务量超</w:t>
      </w:r>
      <w:r>
        <w:rPr>
          <w:rFonts w:ascii="SimSun" w:hAnsi="SimSun" w:eastAsia="SimSun" w:cs="SimSun"/>
          <w:sz w:val="19"/>
          <w:szCs w:val="19"/>
        </w:rPr>
        <w:t xml:space="preserve">  </w:t>
      </w:r>
      <w:r>
        <w:rPr>
          <w:rFonts w:ascii="SimSun" w:hAnsi="SimSun" w:eastAsia="SimSun" w:cs="SimSun"/>
          <w:sz w:val="19"/>
          <w:szCs w:val="19"/>
          <w:spacing w:val="18"/>
        </w:rPr>
        <w:t>过51亿件。针对企业的经营服务，推出了移动政务服务平台“粤商 </w:t>
      </w:r>
      <w:r>
        <w:rPr>
          <w:rFonts w:ascii="SimSun" w:hAnsi="SimSun" w:eastAsia="SimSun" w:cs="SimSun"/>
          <w:sz w:val="19"/>
          <w:szCs w:val="19"/>
          <w:spacing w:val="11"/>
        </w:rPr>
        <w:t>通”应用，注册商事主体超过600万，在全国率先实现了“免证办”。</w:t>
      </w:r>
      <w:r>
        <w:rPr>
          <w:rFonts w:ascii="SimSun" w:hAnsi="SimSun" w:eastAsia="SimSun" w:cs="SimSun"/>
          <w:sz w:val="19"/>
          <w:szCs w:val="19"/>
          <w:spacing w:val="12"/>
        </w:rPr>
        <w:t xml:space="preserve"> </w:t>
      </w:r>
      <w:r>
        <w:rPr>
          <w:rFonts w:ascii="SimSun" w:hAnsi="SimSun" w:eastAsia="SimSun" w:cs="SimSun"/>
          <w:sz w:val="19"/>
          <w:szCs w:val="19"/>
          <w:spacing w:val="12"/>
        </w:rPr>
        <w:t>“粤康码”在疫情防控中发挥了重要作用，不仅成为识别和登记全国 </w:t>
      </w:r>
      <w:r>
        <w:rPr>
          <w:rFonts w:ascii="SimSun" w:hAnsi="SimSun" w:eastAsia="SimSun" w:cs="SimSun"/>
          <w:sz w:val="19"/>
          <w:szCs w:val="19"/>
          <w:spacing w:val="12"/>
        </w:rPr>
        <w:t>各省份居民健康状况的重要平台，同时支持出入境健康申报和粤澳健</w:t>
      </w:r>
      <w:r>
        <w:rPr>
          <w:rFonts w:ascii="SimSun" w:hAnsi="SimSun" w:eastAsia="SimSun" w:cs="SimSun"/>
          <w:sz w:val="19"/>
          <w:szCs w:val="19"/>
          <w:spacing w:val="5"/>
        </w:rPr>
        <w:t xml:space="preserve">  </w:t>
      </w:r>
      <w:r>
        <w:rPr>
          <w:rFonts w:ascii="SimSun" w:hAnsi="SimSun" w:eastAsia="SimSun" w:cs="SimSun"/>
          <w:sz w:val="19"/>
          <w:szCs w:val="19"/>
          <w:spacing w:val="18"/>
        </w:rPr>
        <w:t>康码跨境互转互认，累计使用人数已突破1.06亿，在珠海口岸日均</w:t>
      </w:r>
    </w:p>
    <w:p>
      <w:pPr>
        <w:ind w:left="95"/>
        <w:spacing w:line="219" w:lineRule="auto"/>
        <w:rPr>
          <w:rFonts w:ascii="SimSun" w:hAnsi="SimSun" w:eastAsia="SimSun" w:cs="SimSun"/>
          <w:sz w:val="19"/>
          <w:szCs w:val="19"/>
        </w:rPr>
      </w:pPr>
      <w:r>
        <w:rPr>
          <w:rFonts w:ascii="SimSun" w:hAnsi="SimSun" w:eastAsia="SimSun" w:cs="SimSun"/>
          <w:sz w:val="19"/>
          <w:szCs w:val="19"/>
          <w:spacing w:val="18"/>
        </w:rPr>
        <w:t>约20万~30万人持“粤康码通关凭证”通关。与广东省类似，全国</w:t>
      </w:r>
    </w:p>
    <w:p>
      <w:pPr>
        <w:pStyle w:val="BodyText"/>
        <w:spacing w:line="386" w:lineRule="auto"/>
        <w:rPr/>
      </w:pPr>
      <w:r/>
    </w:p>
    <w:p>
      <w:pPr>
        <w:pStyle w:val="BodyText"/>
        <w:ind w:left="424" w:right="3" w:hanging="329"/>
        <w:spacing w:before="63" w:line="258" w:lineRule="auto"/>
        <w:rPr>
          <w:rFonts w:ascii="Times New Roman" w:hAnsi="Times New Roman" w:eastAsia="Times New Roman" w:cs="Times New Roman"/>
          <w:sz w:val="19"/>
          <w:szCs w:val="19"/>
        </w:rPr>
      </w:pPr>
      <w:r>
        <w:rPr>
          <w:rFonts w:ascii="KaiTi" w:hAnsi="KaiTi" w:eastAsia="KaiTi" w:cs="KaiTi"/>
          <w:sz w:val="19"/>
          <w:szCs w:val="19"/>
          <w:spacing w:val="-13"/>
          <w:w w:val="96"/>
        </w:rPr>
        <w:t>①</w:t>
      </w:r>
      <w:r>
        <w:rPr>
          <w:rFonts w:ascii="KaiTi" w:hAnsi="KaiTi" w:eastAsia="KaiTi" w:cs="KaiTi"/>
          <w:sz w:val="19"/>
          <w:szCs w:val="19"/>
          <w:spacing w:val="80"/>
        </w:rPr>
        <w:t xml:space="preserve"> </w:t>
      </w:r>
      <w:r>
        <w:rPr>
          <w:rFonts w:ascii="KaiTi" w:hAnsi="KaiTi" w:eastAsia="KaiTi" w:cs="KaiTi"/>
          <w:sz w:val="19"/>
          <w:szCs w:val="19"/>
          <w:spacing w:val="-13"/>
          <w:w w:val="96"/>
        </w:rPr>
        <w:t>冀永进.数字政府建设的典型模式：各省数字政府规划发布情况、省大数据局</w:t>
      </w:r>
      <w:r>
        <w:rPr>
          <w:rFonts w:ascii="KaiTi" w:hAnsi="KaiTi" w:eastAsia="KaiTi" w:cs="KaiTi"/>
          <w:sz w:val="19"/>
          <w:szCs w:val="19"/>
        </w:rPr>
        <w:t xml:space="preserve"> </w:t>
      </w:r>
      <w:r>
        <w:rPr>
          <w:rFonts w:ascii="KaiTi" w:hAnsi="KaiTi" w:eastAsia="KaiTi" w:cs="KaiTi"/>
          <w:sz w:val="19"/>
          <w:szCs w:val="19"/>
          <w:spacing w:val="-12"/>
        </w:rPr>
        <w:t>成立情况、省运营公司成立情况.数字政府政策库，</w:t>
      </w:r>
      <w:r>
        <w:rPr>
          <w:rFonts w:ascii="KaiTi" w:hAnsi="KaiTi" w:eastAsia="KaiTi" w:cs="KaiTi"/>
          <w:sz w:val="19"/>
          <w:szCs w:val="19"/>
          <w:spacing w:val="-13"/>
        </w:rPr>
        <w:t>2021-03-29,</w:t>
      </w:r>
      <w:r>
        <w:rPr>
          <w:rFonts w:ascii="Times New Roman" w:hAnsi="Times New Roman" w:eastAsia="Times New Roman" w:cs="Times New Roman"/>
          <w:sz w:val="19"/>
          <w:szCs w:val="19"/>
          <w:spacing w:val="-13"/>
        </w:rPr>
        <w:t>https:</w:t>
      </w:r>
      <w:r>
        <w:rPr>
          <w:sz w:val="19"/>
          <w:szCs w:val="19"/>
          <w:spacing w:val="-13"/>
        </w:rPr>
        <w:t>//www</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w w:val="91"/>
        </w:rPr>
        <w:t>smartcity.team/policies/digitalgovernment</w:t>
      </w:r>
      <w:r>
        <w:rPr>
          <w:rFonts w:ascii="Times New Roman" w:hAnsi="Times New Roman" w:eastAsia="Times New Roman" w:cs="Times New Roman"/>
          <w:sz w:val="19"/>
          <w:szCs w:val="19"/>
          <w:spacing w:val="-6"/>
          <w:w w:val="91"/>
        </w:rPr>
        <w:t>/geshengshuzizhengfumoshi/.</w:t>
      </w:r>
    </w:p>
    <w:p>
      <w:pPr>
        <w:ind w:left="424" w:hanging="329"/>
        <w:spacing w:before="90" w:line="247" w:lineRule="auto"/>
        <w:rPr>
          <w:rFonts w:ascii="SimSun" w:hAnsi="SimSun" w:eastAsia="SimSun" w:cs="SimSun"/>
          <w:sz w:val="19"/>
          <w:szCs w:val="19"/>
        </w:rPr>
      </w:pPr>
      <w:r>
        <w:rPr>
          <w:rFonts w:ascii="SimSun" w:hAnsi="SimSun" w:eastAsia="SimSun" w:cs="SimSun"/>
          <w:sz w:val="19"/>
          <w:szCs w:val="19"/>
          <w:spacing w:val="-23"/>
        </w:rPr>
        <w:t>②  </w:t>
      </w:r>
      <w:r>
        <w:rPr>
          <w:rFonts w:ascii="KaiTi" w:hAnsi="KaiTi" w:eastAsia="KaiTi" w:cs="KaiTi"/>
          <w:sz w:val="19"/>
          <w:szCs w:val="19"/>
          <w:spacing w:val="-23"/>
        </w:rPr>
        <w:t>北京大学课题组.平台</w:t>
      </w:r>
      <w:r>
        <w:rPr>
          <w:rFonts w:ascii="KaiTi" w:hAnsi="KaiTi" w:eastAsia="KaiTi" w:cs="KaiTi"/>
          <w:sz w:val="19"/>
          <w:szCs w:val="19"/>
          <w:spacing w:val="-22"/>
        </w:rPr>
        <w:t>驱动的数字政府：能力、转型与现代化，电子政务，202</w:t>
      </w:r>
      <w:r>
        <w:rPr>
          <w:rFonts w:ascii="KaiTi" w:hAnsi="KaiTi" w:eastAsia="KaiTi" w:cs="KaiTi"/>
          <w:sz w:val="19"/>
          <w:szCs w:val="19"/>
          <w:spacing w:val="-9"/>
        </w:rPr>
        <w:t>0</w:t>
      </w:r>
      <w:r>
        <w:rPr>
          <w:rFonts w:ascii="KaiTi" w:hAnsi="KaiTi" w:eastAsia="KaiTi" w:cs="KaiTi"/>
          <w:sz w:val="19"/>
          <w:szCs w:val="19"/>
          <w:spacing w:val="11"/>
        </w:rPr>
        <w:t xml:space="preserve"> </w:t>
      </w:r>
      <w:r>
        <w:rPr>
          <w:rFonts w:ascii="SimSun" w:hAnsi="SimSun" w:eastAsia="SimSun" w:cs="SimSun"/>
          <w:sz w:val="19"/>
          <w:szCs w:val="19"/>
          <w:spacing w:val="-4"/>
        </w:rPr>
        <w:t>(7):2-30.</w:t>
      </w:r>
    </w:p>
    <w:p>
      <w:pPr>
        <w:spacing w:line="247" w:lineRule="auto"/>
        <w:sectPr>
          <w:headerReference w:type="default" r:id="rId1"/>
          <w:pgSz w:w="7330" w:h="12480"/>
          <w:pgMar w:top="400" w:right="892" w:bottom="400" w:left="275" w:header="0" w:footer="0" w:gutter="0"/>
        </w:sectPr>
        <w:rPr>
          <w:rFonts w:ascii="SimSun" w:hAnsi="SimSun" w:eastAsia="SimSun" w:cs="SimSun"/>
          <w:sz w:val="19"/>
          <w:szCs w:val="19"/>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04" w:right="86"/>
        <w:spacing w:before="68" w:line="303" w:lineRule="auto"/>
        <w:jc w:val="both"/>
        <w:rPr>
          <w:rFonts w:ascii="SimSun" w:hAnsi="SimSun" w:eastAsia="SimSun" w:cs="SimSun"/>
          <w:sz w:val="21"/>
          <w:szCs w:val="21"/>
        </w:rPr>
      </w:pPr>
      <w:r>
        <w:rPr>
          <w:rFonts w:ascii="SimSun" w:hAnsi="SimSun" w:eastAsia="SimSun" w:cs="SimSun"/>
          <w:sz w:val="21"/>
          <w:szCs w:val="21"/>
          <w:spacing w:val="-11"/>
        </w:rPr>
        <w:t>各地政府推出了数量众多的数字政务服务移动端应用程序，这些程序</w:t>
      </w:r>
      <w:r>
        <w:rPr>
          <w:rFonts w:ascii="SimSun" w:hAnsi="SimSun" w:eastAsia="SimSun" w:cs="SimSun"/>
          <w:sz w:val="21"/>
          <w:szCs w:val="21"/>
          <w:spacing w:val="10"/>
        </w:rPr>
        <w:t xml:space="preserve"> </w:t>
      </w:r>
      <w:r>
        <w:rPr>
          <w:rFonts w:ascii="SimSun" w:hAnsi="SimSun" w:eastAsia="SimSun" w:cs="SimSun"/>
          <w:sz w:val="21"/>
          <w:szCs w:val="21"/>
          <w:spacing w:val="-10"/>
        </w:rPr>
        <w:t>大多数内嵌在微信小程序或者支付宝中，可以通过扫描二维码或者在</w:t>
      </w:r>
      <w:r>
        <w:rPr>
          <w:rFonts w:ascii="SimSun" w:hAnsi="SimSun" w:eastAsia="SimSun" w:cs="SimSun"/>
          <w:sz w:val="21"/>
          <w:szCs w:val="21"/>
        </w:rPr>
        <w:t xml:space="preserve"> </w:t>
      </w:r>
      <w:r>
        <w:rPr>
          <w:rFonts w:ascii="SimSun" w:hAnsi="SimSun" w:eastAsia="SimSun" w:cs="SimSun"/>
          <w:sz w:val="21"/>
          <w:szCs w:val="21"/>
          <w:spacing w:val="-10"/>
        </w:rPr>
        <w:t>微信和支付宝程序中搜索获得，注册和使用方便快捷。全国大部分省</w:t>
      </w:r>
      <w:r>
        <w:rPr>
          <w:rFonts w:ascii="SimSun" w:hAnsi="SimSun" w:eastAsia="SimSun" w:cs="SimSun"/>
          <w:sz w:val="21"/>
          <w:szCs w:val="21"/>
          <w:spacing w:val="7"/>
        </w:rPr>
        <w:t xml:space="preserve"> </w:t>
      </w:r>
      <w:r>
        <w:rPr>
          <w:rFonts w:ascii="SimSun" w:hAnsi="SimSun" w:eastAsia="SimSun" w:cs="SimSun"/>
          <w:sz w:val="21"/>
          <w:szCs w:val="21"/>
          <w:spacing w:val="-10"/>
        </w:rPr>
        <w:t>份推出了地方政府政务服务微信公众号，市民通过关注微信公众</w:t>
      </w:r>
      <w:r>
        <w:rPr>
          <w:rFonts w:ascii="SimSun" w:hAnsi="SimSun" w:eastAsia="SimSun" w:cs="SimSun"/>
          <w:sz w:val="21"/>
          <w:szCs w:val="21"/>
          <w:spacing w:val="-11"/>
        </w:rPr>
        <w:t>号就</w:t>
      </w:r>
      <w:r>
        <w:rPr>
          <w:rFonts w:ascii="SimSun" w:hAnsi="SimSun" w:eastAsia="SimSun" w:cs="SimSun"/>
          <w:sz w:val="21"/>
          <w:szCs w:val="21"/>
        </w:rPr>
        <w:t xml:space="preserve"> </w:t>
      </w:r>
      <w:r>
        <w:rPr>
          <w:rFonts w:ascii="SimSun" w:hAnsi="SimSun" w:eastAsia="SimSun" w:cs="SimSun"/>
          <w:sz w:val="21"/>
          <w:szCs w:val="21"/>
          <w:spacing w:val="-10"/>
        </w:rPr>
        <w:t>可以办理相关的业务。在疫情防控常态化的形势下，</w:t>
      </w:r>
      <w:r>
        <w:rPr>
          <w:rFonts w:ascii="SimSun" w:hAnsi="SimSun" w:eastAsia="SimSun" w:cs="SimSun"/>
          <w:sz w:val="21"/>
          <w:szCs w:val="21"/>
          <w:spacing w:val="-11"/>
        </w:rPr>
        <w:t>这些移动端应用</w:t>
      </w:r>
      <w:r>
        <w:rPr>
          <w:rFonts w:ascii="SimSun" w:hAnsi="SimSun" w:eastAsia="SimSun" w:cs="SimSun"/>
          <w:sz w:val="21"/>
          <w:szCs w:val="21"/>
        </w:rPr>
        <w:t xml:space="preserve"> </w:t>
      </w:r>
      <w:r>
        <w:rPr>
          <w:rFonts w:ascii="SimSun" w:hAnsi="SimSun" w:eastAsia="SimSun" w:cs="SimSun"/>
          <w:sz w:val="21"/>
          <w:szCs w:val="21"/>
          <w:spacing w:val="-10"/>
        </w:rPr>
        <w:t>程序已经深深嵌入社会治理体系，成为保障公共健康、提高公共</w:t>
      </w:r>
      <w:r>
        <w:rPr>
          <w:rFonts w:ascii="SimSun" w:hAnsi="SimSun" w:eastAsia="SimSun" w:cs="SimSun"/>
          <w:sz w:val="21"/>
          <w:szCs w:val="21"/>
          <w:spacing w:val="-11"/>
        </w:rPr>
        <w:t>服务</w:t>
      </w:r>
      <w:r>
        <w:rPr>
          <w:rFonts w:ascii="SimSun" w:hAnsi="SimSun" w:eastAsia="SimSun" w:cs="SimSun"/>
          <w:sz w:val="21"/>
          <w:szCs w:val="21"/>
        </w:rPr>
        <w:t xml:space="preserve"> </w:t>
      </w:r>
      <w:r>
        <w:rPr>
          <w:rFonts w:ascii="SimSun" w:hAnsi="SimSun" w:eastAsia="SimSun" w:cs="SimSun"/>
          <w:sz w:val="21"/>
          <w:szCs w:val="21"/>
          <w:spacing w:val="-11"/>
        </w:rPr>
        <w:t>质量、降低公共行政成本的助推器。</w:t>
      </w:r>
    </w:p>
    <w:p>
      <w:pPr>
        <w:ind w:firstLine="545"/>
        <w:spacing w:before="119" w:line="311" w:lineRule="auto"/>
        <w:jc w:val="both"/>
        <w:rPr>
          <w:rFonts w:ascii="SimSun" w:hAnsi="SimSun" w:eastAsia="SimSun" w:cs="SimSun"/>
          <w:sz w:val="21"/>
          <w:szCs w:val="21"/>
        </w:rPr>
      </w:pPr>
      <w:r>
        <w:rPr>
          <w:rFonts w:ascii="SimSun" w:hAnsi="SimSun" w:eastAsia="SimSun" w:cs="SimSun"/>
          <w:sz w:val="21"/>
          <w:szCs w:val="21"/>
          <w:spacing w:val="-11"/>
        </w:rPr>
        <w:t>平台企业与地方政府合作搭建政务平台对于提高我国社会治理水 </w:t>
      </w:r>
      <w:r>
        <w:rPr>
          <w:rFonts w:ascii="SimSun" w:hAnsi="SimSun" w:eastAsia="SimSun" w:cs="SimSun"/>
          <w:sz w:val="21"/>
          <w:szCs w:val="21"/>
          <w:spacing w:val="-6"/>
        </w:rPr>
        <w:t>平具有积极意义。首先，企业数字平台和地方政府的合作</w:t>
      </w:r>
      <w:r>
        <w:rPr>
          <w:rFonts w:ascii="SimSun" w:hAnsi="SimSun" w:eastAsia="SimSun" w:cs="SimSun"/>
          <w:sz w:val="21"/>
          <w:szCs w:val="21"/>
          <w:spacing w:val="-7"/>
        </w:rPr>
        <w:t>为政务平台</w:t>
      </w:r>
      <w:r>
        <w:rPr>
          <w:rFonts w:ascii="SimSun" w:hAnsi="SimSun" w:eastAsia="SimSun" w:cs="SimSun"/>
          <w:sz w:val="21"/>
          <w:szCs w:val="21"/>
        </w:rPr>
        <w:t xml:space="preserve"> </w:t>
      </w:r>
      <w:r>
        <w:rPr>
          <w:rFonts w:ascii="SimSun" w:hAnsi="SimSun" w:eastAsia="SimSun" w:cs="SimSun"/>
          <w:sz w:val="21"/>
          <w:szCs w:val="21"/>
          <w:spacing w:val="-7"/>
        </w:rPr>
        <w:t>的顺畅运行提供了技术保障，提高了政务平台的运行效应。其次，企</w:t>
      </w:r>
      <w:r>
        <w:rPr>
          <w:rFonts w:ascii="SimSun" w:hAnsi="SimSun" w:eastAsia="SimSun" w:cs="SimSun"/>
          <w:sz w:val="21"/>
          <w:szCs w:val="21"/>
          <w:spacing w:val="6"/>
        </w:rPr>
        <w:t xml:space="preserve">  </w:t>
      </w:r>
      <w:r>
        <w:rPr>
          <w:rFonts w:ascii="SimSun" w:hAnsi="SimSun" w:eastAsia="SimSun" w:cs="SimSun"/>
          <w:sz w:val="21"/>
          <w:szCs w:val="21"/>
          <w:spacing w:val="-6"/>
        </w:rPr>
        <w:t>业平台提高了地方政府的服务意识、服务水</w:t>
      </w:r>
      <w:r>
        <w:rPr>
          <w:rFonts w:ascii="SimSun" w:hAnsi="SimSun" w:eastAsia="SimSun" w:cs="SimSun"/>
          <w:sz w:val="21"/>
          <w:szCs w:val="21"/>
          <w:spacing w:val="-7"/>
        </w:rPr>
        <w:t>平以及对民众关切问题的</w:t>
      </w:r>
      <w:r>
        <w:rPr>
          <w:rFonts w:ascii="SimSun" w:hAnsi="SimSun" w:eastAsia="SimSun" w:cs="SimSun"/>
          <w:sz w:val="21"/>
          <w:szCs w:val="21"/>
        </w:rPr>
        <w:t xml:space="preserve">  </w:t>
      </w:r>
      <w:r>
        <w:rPr>
          <w:rFonts w:ascii="SimSun" w:hAnsi="SimSun" w:eastAsia="SimSun" w:cs="SimSun"/>
          <w:sz w:val="21"/>
          <w:szCs w:val="21"/>
          <w:spacing w:val="-7"/>
        </w:rPr>
        <w:t>回应效率。但同时，利用数字技术和平台模式化了的公共服务在实践</w:t>
      </w:r>
      <w:r>
        <w:rPr>
          <w:rFonts w:ascii="SimSun" w:hAnsi="SimSun" w:eastAsia="SimSun" w:cs="SimSun"/>
          <w:sz w:val="21"/>
          <w:szCs w:val="21"/>
          <w:spacing w:val="7"/>
        </w:rPr>
        <w:t xml:space="preserve">  </w:t>
      </w:r>
      <w:r>
        <w:rPr>
          <w:rFonts w:ascii="SimSun" w:hAnsi="SimSun" w:eastAsia="SimSun" w:cs="SimSun"/>
          <w:sz w:val="21"/>
          <w:szCs w:val="21"/>
          <w:spacing w:val="-7"/>
        </w:rPr>
        <w:t>中也存在发展不充分、不均衡的问题。对于不同的人群，以移动平台</w:t>
      </w:r>
      <w:r>
        <w:rPr>
          <w:rFonts w:ascii="SimSun" w:hAnsi="SimSun" w:eastAsia="SimSun" w:cs="SimSun"/>
          <w:sz w:val="21"/>
          <w:szCs w:val="21"/>
          <w:spacing w:val="2"/>
        </w:rPr>
        <w:t xml:space="preserve">  </w:t>
      </w:r>
      <w:r>
        <w:rPr>
          <w:rFonts w:ascii="SimSun" w:hAnsi="SimSun" w:eastAsia="SimSun" w:cs="SimSun"/>
          <w:sz w:val="21"/>
          <w:szCs w:val="21"/>
          <w:spacing w:val="-7"/>
        </w:rPr>
        <w:t>为载体的服务的可得性是不同的。知识背景、年龄、信息等因素形成</w:t>
      </w:r>
      <w:r>
        <w:rPr>
          <w:rFonts w:ascii="SimSun" w:hAnsi="SimSun" w:eastAsia="SimSun" w:cs="SimSun"/>
          <w:sz w:val="21"/>
          <w:szCs w:val="21"/>
          <w:spacing w:val="6"/>
        </w:rPr>
        <w:t xml:space="preserve">  </w:t>
      </w:r>
      <w:r>
        <w:rPr>
          <w:rFonts w:ascii="SimSun" w:hAnsi="SimSun" w:eastAsia="SimSun" w:cs="SimSun"/>
          <w:sz w:val="21"/>
          <w:szCs w:val="21"/>
          <w:spacing w:val="-3"/>
        </w:rPr>
        <w:t>了客观的“数字鸿沟”,给弱势人群使用移动</w:t>
      </w:r>
      <w:r>
        <w:rPr>
          <w:rFonts w:ascii="SimSun" w:hAnsi="SimSun" w:eastAsia="SimSun" w:cs="SimSun"/>
          <w:sz w:val="21"/>
          <w:szCs w:val="21"/>
          <w:spacing w:val="-4"/>
        </w:rPr>
        <w:t>政务应用程序造成了困</w:t>
      </w:r>
      <w:r>
        <w:rPr>
          <w:rFonts w:ascii="SimSun" w:hAnsi="SimSun" w:eastAsia="SimSun" w:cs="SimSun"/>
          <w:sz w:val="21"/>
          <w:szCs w:val="21"/>
        </w:rPr>
        <w:t xml:space="preserve">  </w:t>
      </w:r>
      <w:r>
        <w:rPr>
          <w:rFonts w:ascii="SimSun" w:hAnsi="SimSun" w:eastAsia="SimSun" w:cs="SimSun"/>
          <w:sz w:val="21"/>
          <w:szCs w:val="21"/>
          <w:spacing w:val="-11"/>
        </w:rPr>
        <w:t>难。疫情暴发初期，</w:t>
      </w:r>
      <w:r>
        <w:rPr>
          <w:rFonts w:ascii="SimSun" w:hAnsi="SimSun" w:eastAsia="SimSun" w:cs="SimSun"/>
          <w:sz w:val="21"/>
          <w:szCs w:val="21"/>
          <w:spacing w:val="51"/>
        </w:rPr>
        <w:t xml:space="preserve"> </w:t>
      </w:r>
      <w:r>
        <w:rPr>
          <w:rFonts w:ascii="SimSun" w:hAnsi="SimSun" w:eastAsia="SimSun" w:cs="SimSun"/>
          <w:sz w:val="21"/>
          <w:szCs w:val="21"/>
          <w:spacing w:val="-11"/>
        </w:rPr>
        <w:t>一则关于“老人无健康码乘地铁受阻”的新闻</w:t>
      </w:r>
      <w:r>
        <w:rPr>
          <w:rFonts w:ascii="SimSun" w:hAnsi="SimSun" w:eastAsia="SimSun" w:cs="SimSun"/>
          <w:sz w:val="21"/>
          <w:szCs w:val="21"/>
          <w:spacing w:val="-12"/>
        </w:rPr>
        <w:t>引 </w:t>
      </w:r>
      <w:r>
        <w:rPr>
          <w:rFonts w:ascii="SimSun" w:hAnsi="SimSun" w:eastAsia="SimSun" w:cs="SimSun"/>
          <w:sz w:val="21"/>
          <w:szCs w:val="21"/>
          <w:spacing w:val="-4"/>
        </w:rPr>
        <w:t>发了热议。为了解决“数字鸿沟”,有关部门也采取了积极的应对方</w:t>
      </w:r>
      <w:r>
        <w:rPr>
          <w:rFonts w:ascii="SimSun" w:hAnsi="SimSun" w:eastAsia="SimSun" w:cs="SimSun"/>
          <w:sz w:val="21"/>
          <w:szCs w:val="21"/>
          <w:spacing w:val="3"/>
        </w:rPr>
        <w:t xml:space="preserve">  </w:t>
      </w:r>
      <w:r>
        <w:rPr>
          <w:rFonts w:ascii="SimSun" w:hAnsi="SimSun" w:eastAsia="SimSun" w:cs="SimSun"/>
          <w:sz w:val="21"/>
          <w:szCs w:val="21"/>
          <w:spacing w:val="-6"/>
        </w:rPr>
        <w:t>案。国务院办公厅印发了《关于切实解决老</w:t>
      </w:r>
      <w:r>
        <w:rPr>
          <w:rFonts w:ascii="SimSun" w:hAnsi="SimSun" w:eastAsia="SimSun" w:cs="SimSun"/>
          <w:sz w:val="21"/>
          <w:szCs w:val="21"/>
          <w:spacing w:val="-7"/>
        </w:rPr>
        <w:t>年人运用智能技术困难的</w:t>
      </w:r>
      <w:r>
        <w:rPr>
          <w:rFonts w:ascii="SimSun" w:hAnsi="SimSun" w:eastAsia="SimSun" w:cs="SimSun"/>
          <w:sz w:val="21"/>
          <w:szCs w:val="21"/>
        </w:rPr>
        <w:t xml:space="preserve">  </w:t>
      </w:r>
      <w:r>
        <w:rPr>
          <w:rFonts w:ascii="SimSun" w:hAnsi="SimSun" w:eastAsia="SimSun" w:cs="SimSun"/>
          <w:sz w:val="21"/>
          <w:szCs w:val="21"/>
          <w:spacing w:val="-3"/>
        </w:rPr>
        <w:t>实施方案》,提出了要扩大适老化智能终端产品供给，推进互</w:t>
      </w:r>
      <w:r>
        <w:rPr>
          <w:rFonts w:ascii="SimSun" w:hAnsi="SimSun" w:eastAsia="SimSun" w:cs="SimSun"/>
          <w:sz w:val="21"/>
          <w:szCs w:val="21"/>
          <w:spacing w:val="-4"/>
        </w:rPr>
        <w:t>联网应</w:t>
      </w:r>
      <w:r>
        <w:rPr>
          <w:rFonts w:ascii="SimSun" w:hAnsi="SimSun" w:eastAsia="SimSun" w:cs="SimSun"/>
          <w:sz w:val="21"/>
          <w:szCs w:val="21"/>
        </w:rPr>
        <w:t xml:space="preserve">  </w:t>
      </w:r>
      <w:r>
        <w:rPr>
          <w:rFonts w:ascii="SimSun" w:hAnsi="SimSun" w:eastAsia="SimSun" w:cs="SimSun"/>
          <w:sz w:val="21"/>
          <w:szCs w:val="21"/>
          <w:spacing w:val="1"/>
        </w:rPr>
        <w:t>用适老化改造。全国交通运输工作会也研究如</w:t>
      </w:r>
      <w:r>
        <w:rPr>
          <w:rFonts w:ascii="SimSun" w:hAnsi="SimSun" w:eastAsia="SimSun" w:cs="SimSun"/>
          <w:sz w:val="21"/>
          <w:szCs w:val="21"/>
        </w:rPr>
        <w:t>何解决老年人出行的  </w:t>
      </w:r>
      <w:r>
        <w:rPr>
          <w:rFonts w:ascii="SimSun" w:hAnsi="SimSun" w:eastAsia="SimSun" w:cs="SimSun"/>
          <w:sz w:val="21"/>
          <w:szCs w:val="21"/>
          <w:spacing w:val="-10"/>
        </w:rPr>
        <w:t>“数字鸿沟”问题。总体来说，在平台服务的</w:t>
      </w:r>
      <w:r>
        <w:rPr>
          <w:rFonts w:ascii="SimSun" w:hAnsi="SimSun" w:eastAsia="SimSun" w:cs="SimSun"/>
          <w:sz w:val="21"/>
          <w:szCs w:val="21"/>
          <w:spacing w:val="-11"/>
        </w:rPr>
        <w:t>包容性发展方面， </w:t>
      </w:r>
      <w:r>
        <w:rPr>
          <w:rFonts w:ascii="SimSun" w:hAnsi="SimSun" w:eastAsia="SimSun" w:cs="SimSun"/>
          <w:sz w:val="21"/>
          <w:szCs w:val="21"/>
          <w:u w:val="single" w:color="auto"/>
          <w:spacing w:val="-11"/>
        </w:rPr>
        <w:t>这些</w:t>
      </w:r>
      <w:r>
        <w:rPr>
          <w:rFonts w:ascii="SimSun" w:hAnsi="SimSun" w:eastAsia="SimSun" w:cs="SimSun"/>
          <w:sz w:val="21"/>
          <w:szCs w:val="21"/>
        </w:rPr>
        <w:t xml:space="preserve">  </w:t>
      </w:r>
      <w:r>
        <w:rPr>
          <w:rFonts w:ascii="SimSun" w:hAnsi="SimSun" w:eastAsia="SimSun" w:cs="SimSun"/>
          <w:sz w:val="21"/>
          <w:szCs w:val="21"/>
          <w:spacing w:val="-6"/>
        </w:rPr>
        <w:t>年我国取得了相当的成绩，但是仍然有较大的提升空间。比</w:t>
      </w:r>
      <w:r>
        <w:rPr>
          <w:rFonts w:ascii="SimSun" w:hAnsi="SimSun" w:eastAsia="SimSun" w:cs="SimSun"/>
          <w:sz w:val="21"/>
          <w:szCs w:val="21"/>
          <w:spacing w:val="-7"/>
        </w:rPr>
        <w:t>如说专门</w:t>
      </w:r>
      <w:r>
        <w:rPr>
          <w:rFonts w:ascii="SimSun" w:hAnsi="SimSun" w:eastAsia="SimSun" w:cs="SimSun"/>
          <w:sz w:val="21"/>
          <w:szCs w:val="21"/>
        </w:rPr>
        <w:t xml:space="preserve"> </w:t>
      </w:r>
      <w:r>
        <w:rPr>
          <w:rFonts w:ascii="SimSun" w:hAnsi="SimSun" w:eastAsia="SimSun" w:cs="SimSun"/>
          <w:sz w:val="21"/>
          <w:szCs w:val="21"/>
          <w:spacing w:val="-4"/>
        </w:rPr>
        <w:t>面向残障人群和弱势群体的生活服务平台，在数量质量上仍然不足。</w:t>
      </w:r>
      <w:r>
        <w:rPr>
          <w:rFonts w:ascii="SimSun" w:hAnsi="SimSun" w:eastAsia="SimSun" w:cs="SimSun"/>
          <w:sz w:val="21"/>
          <w:szCs w:val="21"/>
          <w:spacing w:val="18"/>
        </w:rPr>
        <w:t xml:space="preserve"> </w:t>
      </w:r>
      <w:r>
        <w:rPr>
          <w:rFonts w:ascii="SimSun" w:hAnsi="SimSun" w:eastAsia="SimSun" w:cs="SimSun"/>
          <w:sz w:val="21"/>
          <w:szCs w:val="21"/>
        </w:rPr>
        <w:t>中国有8500万残障人士，他们在提升生活品质上面有很大需求，这</w:t>
      </w:r>
      <w:r>
        <w:rPr>
          <w:rFonts w:ascii="SimSun" w:hAnsi="SimSun" w:eastAsia="SimSun" w:cs="SimSun"/>
          <w:sz w:val="21"/>
          <w:szCs w:val="21"/>
          <w:spacing w:val="6"/>
        </w:rPr>
        <w:t xml:space="preserve">  </w:t>
      </w:r>
      <w:r>
        <w:rPr>
          <w:rFonts w:ascii="SimSun" w:hAnsi="SimSun" w:eastAsia="SimSun" w:cs="SimSun"/>
          <w:sz w:val="21"/>
          <w:szCs w:val="21"/>
          <w:spacing w:val="-7"/>
        </w:rPr>
        <w:t>方面需要更多的供给侧创新。平台企业在为弱势群体赋权，提升公共</w:t>
      </w:r>
      <w:r>
        <w:rPr>
          <w:rFonts w:ascii="SimSun" w:hAnsi="SimSun" w:eastAsia="SimSun" w:cs="SimSun"/>
          <w:sz w:val="21"/>
          <w:szCs w:val="21"/>
          <w:spacing w:val="6"/>
        </w:rPr>
        <w:t xml:space="preserve">  </w:t>
      </w:r>
      <w:r>
        <w:rPr>
          <w:rFonts w:ascii="SimSun" w:hAnsi="SimSun" w:eastAsia="SimSun" w:cs="SimSun"/>
          <w:sz w:val="21"/>
          <w:szCs w:val="21"/>
          <w:spacing w:val="-5"/>
        </w:rPr>
        <w:t>服务均等化和民众获得感上仍大有可为。</w:t>
      </w:r>
    </w:p>
    <w:p>
      <w:pPr>
        <w:spacing w:line="311" w:lineRule="auto"/>
        <w:sectPr>
          <w:headerReference w:type="default" r:id="rId231"/>
          <w:pgSz w:w="7330" w:h="12480"/>
          <w:pgMar w:top="519" w:right="365" w:bottom="400" w:left="764" w:header="355" w:footer="0" w:gutter="0"/>
        </w:sectPr>
        <w:rPr>
          <w:rFonts w:ascii="SimSun" w:hAnsi="SimSun" w:eastAsia="SimSun" w:cs="SimSun"/>
          <w:sz w:val="21"/>
          <w:szCs w:val="21"/>
        </w:rPr>
      </w:pPr>
    </w:p>
    <w:p>
      <w:pPr>
        <w:pStyle w:val="BodyText"/>
        <w:spacing w:line="318" w:lineRule="auto"/>
        <w:rPr/>
      </w:pPr>
      <w:r/>
    </w:p>
    <w:p>
      <w:pPr>
        <w:pStyle w:val="BodyText"/>
        <w:spacing w:line="318" w:lineRule="auto"/>
        <w:rPr/>
      </w:pPr>
      <w:r/>
    </w:p>
    <w:p>
      <w:pPr>
        <w:pStyle w:val="BodyText"/>
        <w:spacing w:line="318" w:lineRule="auto"/>
        <w:rPr/>
      </w:pPr>
      <w:r/>
    </w:p>
    <w:p>
      <w:pPr>
        <w:ind w:left="2364"/>
        <w:spacing w:before="108" w:line="219" w:lineRule="auto"/>
        <w:rPr>
          <w:rFonts w:ascii="SimSun" w:hAnsi="SimSun" w:eastAsia="SimSun" w:cs="SimSun"/>
          <w:sz w:val="33"/>
          <w:szCs w:val="33"/>
        </w:rPr>
      </w:pPr>
      <w:r>
        <w:rPr>
          <w:rFonts w:ascii="SimSun" w:hAnsi="SimSun" w:eastAsia="SimSun" w:cs="SimSun"/>
          <w:sz w:val="33"/>
          <w:szCs w:val="33"/>
          <w:b/>
          <w:bCs/>
          <w:spacing w:val="-13"/>
        </w:rPr>
        <w:t>社会治理</w:t>
      </w:r>
    </w:p>
    <w:p>
      <w:pPr>
        <w:pStyle w:val="BodyText"/>
        <w:spacing w:line="278" w:lineRule="auto"/>
        <w:rPr/>
      </w:pPr>
      <w:r/>
    </w:p>
    <w:p>
      <w:pPr>
        <w:ind w:right="79" w:firstLine="399"/>
        <w:spacing w:before="68" w:line="293" w:lineRule="auto"/>
        <w:jc w:val="both"/>
        <w:rPr>
          <w:rFonts w:ascii="SimSun" w:hAnsi="SimSun" w:eastAsia="SimSun" w:cs="SimSun"/>
          <w:sz w:val="21"/>
          <w:szCs w:val="21"/>
        </w:rPr>
      </w:pPr>
      <w:r>
        <w:rPr>
          <w:rFonts w:ascii="SimSun" w:hAnsi="SimSun" w:eastAsia="SimSun" w:cs="SimSun"/>
          <w:sz w:val="21"/>
          <w:szCs w:val="21"/>
          <w:spacing w:val="-11"/>
        </w:rPr>
        <w:t>从全球范围来看，平台经济在一定程度上改变了信息的传播和舆</w:t>
      </w:r>
      <w:r>
        <w:rPr>
          <w:rFonts w:ascii="SimSun" w:hAnsi="SimSun" w:eastAsia="SimSun" w:cs="SimSun"/>
          <w:sz w:val="21"/>
          <w:szCs w:val="21"/>
          <w:spacing w:val="7"/>
        </w:rPr>
        <w:t xml:space="preserve">  </w:t>
      </w:r>
      <w:r>
        <w:rPr>
          <w:rFonts w:ascii="SimSun" w:hAnsi="SimSun" w:eastAsia="SimSun" w:cs="SimSun"/>
          <w:sz w:val="21"/>
          <w:szCs w:val="21"/>
          <w:spacing w:val="-7"/>
        </w:rPr>
        <w:t>论生成机制，给世界各国的社会稳定性和治理能力带来</w:t>
      </w:r>
      <w:r>
        <w:rPr>
          <w:rFonts w:ascii="SimSun" w:hAnsi="SimSun" w:eastAsia="SimSun" w:cs="SimSun"/>
          <w:sz w:val="21"/>
          <w:szCs w:val="21"/>
          <w:spacing w:val="-8"/>
        </w:rPr>
        <w:t>了新的挑战。</w:t>
      </w:r>
      <w:r>
        <w:rPr>
          <w:rFonts w:ascii="SimSun" w:hAnsi="SimSun" w:eastAsia="SimSun" w:cs="SimSun"/>
          <w:sz w:val="21"/>
          <w:szCs w:val="21"/>
        </w:rPr>
        <w:t xml:space="preserve"> </w:t>
      </w:r>
      <w:r>
        <w:rPr>
          <w:rFonts w:ascii="SimSun" w:hAnsi="SimSun" w:eastAsia="SimSun" w:cs="SimSun"/>
          <w:sz w:val="21"/>
          <w:szCs w:val="21"/>
          <w:spacing w:val="-11"/>
        </w:rPr>
        <w:t>基于移动互联网的社交媒体平台正在取代传统媒体成为人们获取时事</w:t>
      </w:r>
      <w:r>
        <w:rPr>
          <w:rFonts w:ascii="SimSun" w:hAnsi="SimSun" w:eastAsia="SimSun" w:cs="SimSun"/>
          <w:sz w:val="21"/>
          <w:szCs w:val="21"/>
          <w:spacing w:val="9"/>
        </w:rPr>
        <w:t xml:space="preserve">  </w:t>
      </w:r>
      <w:r>
        <w:rPr>
          <w:rFonts w:ascii="SimSun" w:hAnsi="SimSun" w:eastAsia="SimSun" w:cs="SimSun"/>
          <w:sz w:val="21"/>
          <w:szCs w:val="21"/>
          <w:spacing w:val="-10"/>
        </w:rPr>
        <w:t>信息的主要来源。平台本身不进行内容生产，但社交媒体并不仅是中</w:t>
      </w:r>
      <w:r>
        <w:rPr>
          <w:rFonts w:ascii="SimSun" w:hAnsi="SimSun" w:eastAsia="SimSun" w:cs="SimSun"/>
          <w:sz w:val="21"/>
          <w:szCs w:val="21"/>
        </w:rPr>
        <w:t xml:space="preserve"> </w:t>
      </w:r>
      <w:r>
        <w:rPr>
          <w:rFonts w:ascii="SimSun" w:hAnsi="SimSun" w:eastAsia="SimSun" w:cs="SimSun"/>
          <w:sz w:val="21"/>
          <w:szCs w:val="21"/>
          <w:spacing w:val="-11"/>
        </w:rPr>
        <w:t>立的信息提供者，在实践中平台往往有可能对社交媒体的内容进行选</w:t>
      </w:r>
      <w:r>
        <w:rPr>
          <w:rFonts w:ascii="SimSun" w:hAnsi="SimSun" w:eastAsia="SimSun" w:cs="SimSun"/>
          <w:sz w:val="21"/>
          <w:szCs w:val="21"/>
          <w:spacing w:val="8"/>
        </w:rPr>
        <w:t xml:space="preserve">  </w:t>
      </w:r>
      <w:r>
        <w:rPr>
          <w:rFonts w:ascii="SimSun" w:hAnsi="SimSun" w:eastAsia="SimSun" w:cs="SimSun"/>
          <w:sz w:val="21"/>
          <w:szCs w:val="21"/>
          <w:spacing w:val="-11"/>
        </w:rPr>
        <w:t>择性引导和控制，进而影响围绕社会性事件的报道和讨论。</w:t>
      </w:r>
    </w:p>
    <w:p>
      <w:pPr>
        <w:ind w:right="167" w:firstLine="399"/>
        <w:spacing w:before="129" w:line="301" w:lineRule="auto"/>
        <w:jc w:val="both"/>
        <w:rPr>
          <w:rFonts w:ascii="SimSun" w:hAnsi="SimSun" w:eastAsia="SimSun" w:cs="SimSun"/>
          <w:sz w:val="21"/>
          <w:szCs w:val="21"/>
        </w:rPr>
      </w:pPr>
      <w:r>
        <w:rPr>
          <w:rFonts w:ascii="SimSun" w:hAnsi="SimSun" w:eastAsia="SimSun" w:cs="SimSun"/>
          <w:sz w:val="21"/>
          <w:szCs w:val="21"/>
          <w:spacing w:val="-4"/>
        </w:rPr>
        <w:t>目前，诸如推特、脸书、</w:t>
      </w:r>
      <w:r>
        <w:rPr>
          <w:rFonts w:ascii="Times New Roman" w:hAnsi="Times New Roman" w:eastAsia="Times New Roman" w:cs="Times New Roman"/>
          <w:sz w:val="21"/>
          <w:szCs w:val="21"/>
          <w:spacing w:val="-4"/>
        </w:rPr>
        <w:t>Instagram</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等社交媒体平台不仅是西方</w:t>
      </w:r>
      <w:r>
        <w:rPr>
          <w:rFonts w:ascii="SimSun" w:hAnsi="SimSun" w:eastAsia="SimSun" w:cs="SimSun"/>
          <w:sz w:val="21"/>
          <w:szCs w:val="21"/>
        </w:rPr>
        <w:t xml:space="preserve"> </w:t>
      </w:r>
      <w:r>
        <w:rPr>
          <w:rFonts w:ascii="SimSun" w:hAnsi="SimSun" w:eastAsia="SimSun" w:cs="SimSun"/>
          <w:sz w:val="21"/>
          <w:szCs w:val="21"/>
          <w:spacing w:val="-10"/>
        </w:rPr>
        <w:t>社会民众获取信息和保持社交联系的重要手</w:t>
      </w:r>
      <w:r>
        <w:rPr>
          <w:rFonts w:ascii="SimSun" w:hAnsi="SimSun" w:eastAsia="SimSun" w:cs="SimSun"/>
          <w:sz w:val="21"/>
          <w:szCs w:val="21"/>
          <w:spacing w:val="-11"/>
        </w:rPr>
        <w:t>段，在发展中国家也拥有</w:t>
      </w:r>
      <w:r>
        <w:rPr>
          <w:rFonts w:ascii="SimSun" w:hAnsi="SimSun" w:eastAsia="SimSun" w:cs="SimSun"/>
          <w:sz w:val="21"/>
          <w:szCs w:val="21"/>
        </w:rPr>
        <w:t xml:space="preserve"> </w:t>
      </w:r>
      <w:r>
        <w:rPr>
          <w:rFonts w:ascii="SimSun" w:hAnsi="SimSun" w:eastAsia="SimSun" w:cs="SimSun"/>
          <w:sz w:val="21"/>
          <w:szCs w:val="21"/>
          <w:spacing w:val="-10"/>
        </w:rPr>
        <w:t>大量用户，是发展中国家民众获取信息和彼</w:t>
      </w:r>
      <w:r>
        <w:rPr>
          <w:rFonts w:ascii="SimSun" w:hAnsi="SimSun" w:eastAsia="SimSun" w:cs="SimSun"/>
          <w:sz w:val="21"/>
          <w:szCs w:val="21"/>
          <w:spacing w:val="-11"/>
        </w:rPr>
        <w:t>此交流的主要媒介。这些</w:t>
      </w:r>
      <w:r>
        <w:rPr>
          <w:rFonts w:ascii="SimSun" w:hAnsi="SimSun" w:eastAsia="SimSun" w:cs="SimSun"/>
          <w:sz w:val="21"/>
          <w:szCs w:val="21"/>
        </w:rPr>
        <w:t xml:space="preserve"> </w:t>
      </w:r>
      <w:r>
        <w:rPr>
          <w:rFonts w:ascii="SimSun" w:hAnsi="SimSun" w:eastAsia="SimSun" w:cs="SimSun"/>
          <w:sz w:val="21"/>
          <w:szCs w:val="21"/>
          <w:spacing w:val="-10"/>
        </w:rPr>
        <w:t>社交媒体重新塑造了世界各国的政治观念形成和传播模式，</w:t>
      </w:r>
      <w:r>
        <w:rPr>
          <w:rFonts w:ascii="SimSun" w:hAnsi="SimSun" w:eastAsia="SimSun" w:cs="SimSun"/>
          <w:sz w:val="21"/>
          <w:szCs w:val="21"/>
          <w:spacing w:val="-11"/>
        </w:rPr>
        <w:t>并对政治</w:t>
      </w:r>
      <w:r>
        <w:rPr>
          <w:rFonts w:ascii="SimSun" w:hAnsi="SimSun" w:eastAsia="SimSun" w:cs="SimSun"/>
          <w:sz w:val="21"/>
          <w:szCs w:val="21"/>
        </w:rPr>
        <w:t xml:space="preserve"> </w:t>
      </w:r>
      <w:r>
        <w:rPr>
          <w:rFonts w:ascii="SimSun" w:hAnsi="SimSun" w:eastAsia="SimSun" w:cs="SimSun"/>
          <w:sz w:val="21"/>
          <w:szCs w:val="21"/>
          <w:spacing w:val="-13"/>
        </w:rPr>
        <w:t>进程产生了重要影响。</w:t>
      </w:r>
    </w:p>
    <w:p>
      <w:pPr>
        <w:ind w:firstLine="399"/>
        <w:spacing w:before="107" w:line="307" w:lineRule="auto"/>
        <w:jc w:val="both"/>
        <w:rPr>
          <w:rFonts w:ascii="SimSun" w:hAnsi="SimSun" w:eastAsia="SimSun" w:cs="SimSun"/>
          <w:sz w:val="21"/>
          <w:szCs w:val="21"/>
        </w:rPr>
      </w:pPr>
      <w:r>
        <w:rPr>
          <w:rFonts w:ascii="SimSun" w:hAnsi="SimSun" w:eastAsia="SimSun" w:cs="SimSun"/>
          <w:sz w:val="21"/>
          <w:szCs w:val="21"/>
          <w:spacing w:val="-3"/>
        </w:rPr>
        <w:t>在2010年的“颜色革命”中，抗议者使用社交媒体作为信</w:t>
      </w:r>
      <w:r>
        <w:rPr>
          <w:rFonts w:ascii="SimSun" w:hAnsi="SimSun" w:eastAsia="SimSun" w:cs="SimSun"/>
          <w:sz w:val="21"/>
          <w:szCs w:val="21"/>
          <w:spacing w:val="-4"/>
        </w:rPr>
        <w:t>息传  </w:t>
      </w:r>
      <w:r>
        <w:rPr>
          <w:rFonts w:ascii="SimSun" w:hAnsi="SimSun" w:eastAsia="SimSun" w:cs="SimSun"/>
          <w:sz w:val="21"/>
          <w:szCs w:val="21"/>
          <w:spacing w:val="-10"/>
        </w:rPr>
        <w:t>播、沟通和组织活动的工具，相关信息通过脸书、推特等</w:t>
      </w:r>
      <w:r>
        <w:rPr>
          <w:rFonts w:ascii="SimSun" w:hAnsi="SimSun" w:eastAsia="SimSun" w:cs="SimSun"/>
          <w:sz w:val="21"/>
          <w:szCs w:val="21"/>
          <w:spacing w:val="-11"/>
        </w:rPr>
        <w:t>平台在全球  </w:t>
      </w:r>
      <w:r>
        <w:rPr>
          <w:rFonts w:ascii="SimSun" w:hAnsi="SimSun" w:eastAsia="SimSun" w:cs="SimSun"/>
          <w:sz w:val="21"/>
          <w:szCs w:val="21"/>
          <w:spacing w:val="-10"/>
        </w:rPr>
        <w:t>社交媒体用户中迅速传播，引发了全球舆论的关注。研究</w:t>
      </w:r>
      <w:r>
        <w:rPr>
          <w:rFonts w:ascii="SimSun" w:hAnsi="SimSun" w:eastAsia="SimSun" w:cs="SimSun"/>
          <w:sz w:val="21"/>
          <w:szCs w:val="21"/>
          <w:spacing w:val="-11"/>
        </w:rPr>
        <w:t>表明，社交  </w:t>
      </w:r>
      <w:r>
        <w:rPr>
          <w:rFonts w:ascii="SimSun" w:hAnsi="SimSun" w:eastAsia="SimSun" w:cs="SimSun"/>
          <w:sz w:val="21"/>
          <w:szCs w:val="21"/>
          <w:spacing w:val="-10"/>
        </w:rPr>
        <w:t>网络在突尼斯和埃及的社会运动与政权更迭中起到了关键</w:t>
      </w:r>
      <w:r>
        <w:rPr>
          <w:rFonts w:ascii="SimSun" w:hAnsi="SimSun" w:eastAsia="SimSun" w:cs="SimSun"/>
          <w:sz w:val="21"/>
          <w:szCs w:val="21"/>
          <w:spacing w:val="-11"/>
        </w:rPr>
        <w:t>性作用。根  </w:t>
      </w:r>
      <w:r>
        <w:rPr>
          <w:rFonts w:ascii="SimSun" w:hAnsi="SimSun" w:eastAsia="SimSun" w:cs="SimSun"/>
          <w:sz w:val="21"/>
          <w:szCs w:val="21"/>
          <w:spacing w:val="-4"/>
        </w:rPr>
        <w:t>据阿联酋《国家报》,高达90%的埃及人和突尼斯人声称他们使用脸  </w:t>
      </w:r>
      <w:r>
        <w:rPr>
          <w:rFonts w:ascii="SimSun" w:hAnsi="SimSun" w:eastAsia="SimSun" w:cs="SimSun"/>
          <w:sz w:val="21"/>
          <w:szCs w:val="21"/>
          <w:spacing w:val="-1"/>
        </w:rPr>
        <w:t>书组织反政府抗议和传播信息。在2011年埃及爆发的“1·25革命”</w:t>
      </w:r>
      <w:r>
        <w:rPr>
          <w:rFonts w:ascii="SimSun" w:hAnsi="SimSun" w:eastAsia="SimSun" w:cs="SimSun"/>
          <w:sz w:val="21"/>
          <w:szCs w:val="21"/>
          <w:spacing w:val="1"/>
        </w:rPr>
        <w:t xml:space="preserve"> </w:t>
      </w:r>
      <w:r>
        <w:rPr>
          <w:rFonts w:ascii="SimSun" w:hAnsi="SimSun" w:eastAsia="SimSun" w:cs="SimSun"/>
          <w:sz w:val="21"/>
          <w:szCs w:val="21"/>
          <w:spacing w:val="-7"/>
        </w:rPr>
        <w:t>中，反对派通过脸书制作了大量传单和视频，获得了超过550万次的  </w:t>
      </w:r>
      <w:r>
        <w:rPr>
          <w:rFonts w:ascii="SimSun" w:hAnsi="SimSun" w:eastAsia="SimSun" w:cs="SimSun"/>
          <w:sz w:val="21"/>
          <w:szCs w:val="21"/>
          <w:spacing w:val="-10"/>
        </w:rPr>
        <w:t>观看量。华盛顿大学新闻网站报道，在总统穆巴拉克辞职</w:t>
      </w:r>
      <w:r>
        <w:rPr>
          <w:rFonts w:ascii="SimSun" w:hAnsi="SimSun" w:eastAsia="SimSun" w:cs="SimSun"/>
          <w:sz w:val="21"/>
          <w:szCs w:val="21"/>
          <w:spacing w:val="-11"/>
        </w:rPr>
        <w:t>前一周，推  </w:t>
      </w:r>
      <w:r>
        <w:rPr>
          <w:rFonts w:ascii="SimSun" w:hAnsi="SimSun" w:eastAsia="SimSun" w:cs="SimSun"/>
          <w:sz w:val="21"/>
          <w:szCs w:val="21"/>
          <w:spacing w:val="-7"/>
        </w:rPr>
        <w:t>特上关于埃及社会变革的推文总数从每天2300条迅速增加到23万条。 </w:t>
      </w:r>
      <w:r>
        <w:rPr>
          <w:rFonts w:ascii="SimSun" w:hAnsi="SimSun" w:eastAsia="SimSun" w:cs="SimSun"/>
          <w:sz w:val="21"/>
          <w:szCs w:val="21"/>
          <w:spacing w:val="-12"/>
        </w:rPr>
        <w:t>推特为了配合对示威活动的报道，甚至停止了原计划的系统更新。</w:t>
      </w:r>
    </w:p>
    <w:p>
      <w:pPr>
        <w:ind w:right="79" w:firstLine="399"/>
        <w:spacing w:before="131" w:line="285" w:lineRule="auto"/>
        <w:jc w:val="both"/>
        <w:rPr>
          <w:rFonts w:ascii="SimSun" w:hAnsi="SimSun" w:eastAsia="SimSun" w:cs="SimSun"/>
          <w:sz w:val="21"/>
          <w:szCs w:val="21"/>
        </w:rPr>
      </w:pPr>
      <w:r>
        <w:rPr>
          <w:rFonts w:ascii="SimSun" w:hAnsi="SimSun" w:eastAsia="SimSun" w:cs="SimSun"/>
          <w:sz w:val="21"/>
          <w:szCs w:val="21"/>
        </w:rPr>
        <w:t>社交媒体平台对各国民众的观念和政治参与也有一定的影响。</w:t>
      </w:r>
      <w:r>
        <w:rPr>
          <w:rFonts w:ascii="SimSun" w:hAnsi="SimSun" w:eastAsia="SimSun" w:cs="SimSun"/>
          <w:sz w:val="21"/>
          <w:szCs w:val="21"/>
          <w:spacing w:val="13"/>
        </w:rPr>
        <w:t xml:space="preserve"> </w:t>
      </w:r>
      <w:r>
        <w:rPr>
          <w:rFonts w:ascii="SimSun" w:hAnsi="SimSun" w:eastAsia="SimSun" w:cs="SimSun"/>
          <w:sz w:val="21"/>
          <w:szCs w:val="21"/>
          <w:spacing w:val="-3"/>
        </w:rPr>
        <w:t>2018年发表在《政治心理学前沿》杂志的一篇研究总结了美国、西 </w:t>
      </w:r>
      <w:r>
        <w:rPr>
          <w:rFonts w:ascii="SimSun" w:hAnsi="SimSun" w:eastAsia="SimSun" w:cs="SimSun"/>
          <w:sz w:val="21"/>
          <w:szCs w:val="21"/>
          <w:spacing w:val="-11"/>
        </w:rPr>
        <w:t>班牙、土耳其和乌克兰等国家的社交媒体大数据与社会抗议活动的关</w:t>
      </w:r>
      <w:r>
        <w:rPr>
          <w:rFonts w:ascii="SimSun" w:hAnsi="SimSun" w:eastAsia="SimSun" w:cs="SimSun"/>
          <w:sz w:val="21"/>
          <w:szCs w:val="21"/>
          <w:spacing w:val="9"/>
        </w:rPr>
        <w:t xml:space="preserve">  </w:t>
      </w:r>
      <w:r>
        <w:rPr>
          <w:rFonts w:ascii="SimSun" w:hAnsi="SimSun" w:eastAsia="SimSun" w:cs="SimSun"/>
          <w:sz w:val="21"/>
          <w:szCs w:val="21"/>
          <w:spacing w:val="-4"/>
        </w:rPr>
        <w:t>系，其研究结论显示社交媒体平台推动了对于涉及交通、投票、警</w:t>
      </w:r>
    </w:p>
    <w:p>
      <w:pPr>
        <w:spacing w:line="285" w:lineRule="auto"/>
        <w:sectPr>
          <w:headerReference w:type="default" r:id="rId232"/>
          <w:pgSz w:w="7330" w:h="12480"/>
          <w:pgMar w:top="868" w:right="825" w:bottom="400" w:left="339" w:header="695" w:footer="0" w:gutter="0"/>
        </w:sectPr>
        <w:rPr>
          <w:rFonts w:ascii="SimSun" w:hAnsi="SimSun" w:eastAsia="SimSun" w:cs="SimSun"/>
          <w:sz w:val="21"/>
          <w:szCs w:val="21"/>
        </w:rPr>
      </w:pPr>
    </w:p>
    <w:p>
      <w:pPr>
        <w:pStyle w:val="BodyText"/>
        <w:spacing w:line="251" w:lineRule="auto"/>
        <w:rPr/>
      </w:pPr>
      <w:r>
        <w:drawing>
          <wp:anchor distT="0" distB="0" distL="0" distR="0" simplePos="0" relativeHeight="253669376" behindDoc="0" locked="0" layoutInCell="0" allowOverlap="1">
            <wp:simplePos x="0" y="0"/>
            <wp:positionH relativeFrom="page">
              <wp:posOffset>527034</wp:posOffset>
            </wp:positionH>
            <wp:positionV relativeFrom="page">
              <wp:posOffset>6184905</wp:posOffset>
            </wp:positionV>
            <wp:extent cx="1181092" cy="6350"/>
            <wp:effectExtent l="0" t="0" r="0" b="0"/>
            <wp:wrapNone/>
            <wp:docPr id="184" name="IM 184"/>
            <wp:cNvGraphicFramePr/>
            <a:graphic>
              <a:graphicData uri="http://schemas.openxmlformats.org/drawingml/2006/picture">
                <pic:pic>
                  <pic:nvPicPr>
                    <pic:cNvPr id="184" name="IM 184"/>
                    <pic:cNvPicPr/>
                  </pic:nvPicPr>
                  <pic:blipFill>
                    <a:blip r:embed="rId234"/>
                    <a:stretch>
                      <a:fillRect/>
                    </a:stretch>
                  </pic:blipFill>
                  <pic:spPr>
                    <a:xfrm rot="0">
                      <a:off x="0" y="0"/>
                      <a:ext cx="1181092"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ind w:left="105" w:right="120"/>
        <w:spacing w:before="68" w:line="292" w:lineRule="auto"/>
        <w:jc w:val="both"/>
        <w:rPr>
          <w:rFonts w:ascii="SimSun" w:hAnsi="SimSun" w:eastAsia="SimSun" w:cs="SimSun"/>
          <w:sz w:val="21"/>
          <w:szCs w:val="21"/>
        </w:rPr>
      </w:pPr>
      <w:r>
        <w:rPr>
          <w:rFonts w:ascii="SimSun" w:hAnsi="SimSun" w:eastAsia="SimSun" w:cs="SimSun"/>
          <w:sz w:val="21"/>
          <w:szCs w:val="21"/>
          <w:spacing w:val="-11"/>
        </w:rPr>
        <w:t>力、冲突、医疗和法律支持的关键信息的交流，起到了协调抗议活动</w:t>
      </w:r>
      <w:r>
        <w:rPr>
          <w:rFonts w:ascii="SimSun" w:hAnsi="SimSun" w:eastAsia="SimSun" w:cs="SimSun"/>
          <w:sz w:val="21"/>
          <w:szCs w:val="21"/>
          <w:spacing w:val="2"/>
        </w:rPr>
        <w:t xml:space="preserve"> </w:t>
      </w:r>
      <w:r>
        <w:rPr>
          <w:rFonts w:ascii="SimSun" w:hAnsi="SimSun" w:eastAsia="SimSun" w:cs="SimSun"/>
          <w:sz w:val="21"/>
          <w:szCs w:val="21"/>
          <w:spacing w:val="-11"/>
        </w:rPr>
        <w:t>的作用。此外，社交媒体平台还促进了围绕抗议活动的情感交</w:t>
      </w:r>
      <w:r>
        <w:rPr>
          <w:rFonts w:ascii="SimSun" w:hAnsi="SimSun" w:eastAsia="SimSun" w:cs="SimSun"/>
          <w:sz w:val="21"/>
          <w:szCs w:val="21"/>
          <w:spacing w:val="-12"/>
        </w:rPr>
        <w:t>流，并</w:t>
      </w:r>
      <w:r>
        <w:rPr>
          <w:rFonts w:ascii="SimSun" w:hAnsi="SimSun" w:eastAsia="SimSun" w:cs="SimSun"/>
          <w:sz w:val="21"/>
          <w:szCs w:val="21"/>
        </w:rPr>
        <w:t xml:space="preserve"> </w:t>
      </w:r>
      <w:r>
        <w:rPr>
          <w:rFonts w:ascii="SimSun" w:hAnsi="SimSun" w:eastAsia="SimSun" w:cs="SimSun"/>
          <w:sz w:val="21"/>
          <w:szCs w:val="21"/>
          <w:spacing w:val="-11"/>
        </w:rPr>
        <w:t>强化了活动参与者的身份认同和一致化的意识形态倾向，使之表现出</w:t>
      </w:r>
      <w:r>
        <w:rPr>
          <w:rFonts w:ascii="SimSun" w:hAnsi="SimSun" w:eastAsia="SimSun" w:cs="SimSun"/>
          <w:sz w:val="21"/>
          <w:szCs w:val="21"/>
          <w:spacing w:val="13"/>
        </w:rPr>
        <w:t xml:space="preserve"> </w:t>
      </w:r>
      <w:r>
        <w:rPr>
          <w:rFonts w:ascii="SimSun" w:hAnsi="SimSun" w:eastAsia="SimSun" w:cs="SimSun"/>
          <w:sz w:val="21"/>
          <w:szCs w:val="21"/>
          <w:spacing w:val="-7"/>
        </w:rPr>
        <w:t>更强烈的愤怒、社会认同以及对公平、正义和经济剥削的担忧。</w:t>
      </w:r>
    </w:p>
    <w:p>
      <w:pPr>
        <w:ind w:firstLine="525"/>
        <w:spacing w:before="102" w:line="311" w:lineRule="auto"/>
        <w:jc w:val="both"/>
        <w:rPr>
          <w:rFonts w:ascii="SimSun" w:hAnsi="SimSun" w:eastAsia="SimSun" w:cs="SimSun"/>
          <w:sz w:val="21"/>
          <w:szCs w:val="21"/>
        </w:rPr>
      </w:pPr>
      <w:r>
        <w:rPr>
          <w:rFonts w:ascii="SimSun" w:hAnsi="SimSun" w:eastAsia="SimSun" w:cs="SimSun"/>
          <w:sz w:val="21"/>
          <w:szCs w:val="21"/>
          <w:spacing w:val="-7"/>
        </w:rPr>
        <w:t>社交媒体平台同样影响了一些国家的选举进程和宏观经济稳定。</w:t>
      </w:r>
      <w:r>
        <w:rPr>
          <w:rFonts w:ascii="SimSun" w:hAnsi="SimSun" w:eastAsia="SimSun" w:cs="SimSun"/>
          <w:sz w:val="21"/>
          <w:szCs w:val="21"/>
        </w:rPr>
        <w:t xml:space="preserve"> </w:t>
      </w:r>
      <w:r>
        <w:rPr>
          <w:rFonts w:ascii="SimSun" w:hAnsi="SimSun" w:eastAsia="SimSun" w:cs="SimSun"/>
          <w:sz w:val="21"/>
          <w:szCs w:val="21"/>
          <w:spacing w:val="7"/>
        </w:rPr>
        <w:t>这方面最有代表性的例子是2016年美国总</w:t>
      </w:r>
      <w:r>
        <w:rPr>
          <w:rFonts w:ascii="SimSun" w:hAnsi="SimSun" w:eastAsia="SimSun" w:cs="SimSun"/>
          <w:sz w:val="21"/>
          <w:szCs w:val="21"/>
          <w:spacing w:val="6"/>
        </w:rPr>
        <w:t>统选战。地产商出身的</w:t>
      </w:r>
      <w:r>
        <w:rPr>
          <w:rFonts w:ascii="SimSun" w:hAnsi="SimSun" w:eastAsia="SimSun" w:cs="SimSun"/>
          <w:sz w:val="21"/>
          <w:szCs w:val="21"/>
        </w:rPr>
        <w:t xml:space="preserve">  </w:t>
      </w:r>
      <w:r>
        <w:rPr>
          <w:rFonts w:ascii="SimSun" w:hAnsi="SimSun" w:eastAsia="SimSun" w:cs="SimSun"/>
          <w:sz w:val="21"/>
          <w:szCs w:val="21"/>
          <w:spacing w:val="-8"/>
        </w:rPr>
        <w:t>“政治素人”唐纳德·特朗普异军突起，突破了由共和、民主两党精</w:t>
      </w:r>
      <w:r>
        <w:rPr>
          <w:rFonts w:ascii="SimSun" w:hAnsi="SimSun" w:eastAsia="SimSun" w:cs="SimSun"/>
          <w:sz w:val="21"/>
          <w:szCs w:val="21"/>
          <w:spacing w:val="7"/>
        </w:rPr>
        <w:t xml:space="preserve">  </w:t>
      </w:r>
      <w:r>
        <w:rPr>
          <w:rFonts w:ascii="SimSun" w:hAnsi="SimSun" w:eastAsia="SimSun" w:cs="SimSun"/>
          <w:sz w:val="21"/>
          <w:szCs w:val="21"/>
          <w:spacing w:val="-7"/>
        </w:rPr>
        <w:t>英把控的政治网络，凭借保守派和美国中部</w:t>
      </w:r>
      <w:r>
        <w:rPr>
          <w:rFonts w:ascii="SimSun" w:hAnsi="SimSun" w:eastAsia="SimSun" w:cs="SimSun"/>
          <w:sz w:val="21"/>
          <w:szCs w:val="21"/>
          <w:spacing w:val="-8"/>
        </w:rPr>
        <w:t>“铁锈地带”蓝领工人的</w:t>
      </w:r>
      <w:r>
        <w:rPr>
          <w:rFonts w:ascii="SimSun" w:hAnsi="SimSun" w:eastAsia="SimSun" w:cs="SimSun"/>
          <w:sz w:val="21"/>
          <w:szCs w:val="21"/>
        </w:rPr>
        <w:t xml:space="preserve">  </w:t>
      </w:r>
      <w:r>
        <w:rPr>
          <w:rFonts w:ascii="SimSun" w:hAnsi="SimSun" w:eastAsia="SimSun" w:cs="SimSun"/>
          <w:sz w:val="21"/>
          <w:szCs w:val="21"/>
          <w:spacing w:val="-8"/>
        </w:rPr>
        <w:t>支持当选美国总统。在竞选初期，尚未获得媒体背书和共和党竞选平</w:t>
      </w:r>
      <w:r>
        <w:rPr>
          <w:rFonts w:ascii="SimSun" w:hAnsi="SimSun" w:eastAsia="SimSun" w:cs="SimSun"/>
          <w:sz w:val="21"/>
          <w:szCs w:val="21"/>
          <w:spacing w:val="6"/>
        </w:rPr>
        <w:t xml:space="preserve">  </w:t>
      </w:r>
      <w:r>
        <w:rPr>
          <w:rFonts w:ascii="SimSun" w:hAnsi="SimSun" w:eastAsia="SimSun" w:cs="SimSun"/>
          <w:sz w:val="21"/>
          <w:szCs w:val="21"/>
          <w:spacing w:val="-8"/>
        </w:rPr>
        <w:t>台支援的特朗普把推特作为宣传政见和影响选民的主要平台。甚至在</w:t>
      </w:r>
      <w:r>
        <w:rPr>
          <w:rFonts w:ascii="SimSun" w:hAnsi="SimSun" w:eastAsia="SimSun" w:cs="SimSun"/>
          <w:sz w:val="21"/>
          <w:szCs w:val="21"/>
          <w:spacing w:val="7"/>
        </w:rPr>
        <w:t xml:space="preserve">  </w:t>
      </w:r>
      <w:r>
        <w:rPr>
          <w:rFonts w:ascii="SimSun" w:hAnsi="SimSun" w:eastAsia="SimSun" w:cs="SimSun"/>
          <w:sz w:val="21"/>
          <w:szCs w:val="21"/>
          <w:spacing w:val="-7"/>
        </w:rPr>
        <w:t>四年总统任期里，他也频繁使用个人推特账</w:t>
      </w:r>
      <w:r>
        <w:rPr>
          <w:rFonts w:ascii="SimSun" w:hAnsi="SimSun" w:eastAsia="SimSun" w:cs="SimSun"/>
          <w:sz w:val="21"/>
          <w:szCs w:val="21"/>
          <w:spacing w:val="-8"/>
        </w:rPr>
        <w:t>号“真实的唐纳德·特朗</w:t>
      </w:r>
      <w:r>
        <w:rPr>
          <w:rFonts w:ascii="SimSun" w:hAnsi="SimSun" w:eastAsia="SimSun" w:cs="SimSun"/>
          <w:sz w:val="21"/>
          <w:szCs w:val="21"/>
        </w:rPr>
        <w:t xml:space="preserve">  </w:t>
      </w:r>
      <w:r>
        <w:rPr>
          <w:rFonts w:ascii="SimSun" w:hAnsi="SimSun" w:eastAsia="SimSun" w:cs="SimSun"/>
          <w:sz w:val="21"/>
          <w:szCs w:val="21"/>
        </w:rPr>
        <w:t>普”(@realDonaldTrump)</w:t>
      </w:r>
      <w:r>
        <w:rPr>
          <w:rFonts w:ascii="SimSun" w:hAnsi="SimSun" w:eastAsia="SimSun" w:cs="SimSun"/>
          <w:sz w:val="21"/>
          <w:szCs w:val="21"/>
          <w:spacing w:val="-1"/>
        </w:rPr>
        <w:t>作为信息发布的来源，以至于社会各界每</w:t>
      </w:r>
      <w:r>
        <w:rPr>
          <w:rFonts w:ascii="SimSun" w:hAnsi="SimSun" w:eastAsia="SimSun" w:cs="SimSun"/>
          <w:sz w:val="21"/>
          <w:szCs w:val="21"/>
        </w:rPr>
        <w:t xml:space="preserve">  </w:t>
      </w:r>
      <w:r>
        <w:rPr>
          <w:rFonts w:ascii="SimSun" w:hAnsi="SimSun" w:eastAsia="SimSun" w:cs="SimSun"/>
          <w:sz w:val="21"/>
          <w:szCs w:val="21"/>
          <w:spacing w:val="-1"/>
        </w:rPr>
        <w:t>天不是首先通过</w:t>
      </w:r>
      <w:r>
        <w:rPr>
          <w:rFonts w:ascii="Times New Roman" w:hAnsi="Times New Roman" w:eastAsia="Times New Roman" w:cs="Times New Roman"/>
          <w:sz w:val="21"/>
          <w:szCs w:val="21"/>
          <w:spacing w:val="-1"/>
        </w:rPr>
        <w:t>CNN</w:t>
      </w:r>
      <w:r>
        <w:rPr>
          <w:rFonts w:ascii="SimSun" w:hAnsi="SimSun" w:eastAsia="SimSun" w:cs="SimSun"/>
          <w:sz w:val="21"/>
          <w:szCs w:val="21"/>
          <w:spacing w:val="-1"/>
        </w:rPr>
        <w:t>(美国有线电视新闻网)</w:t>
      </w:r>
      <w:r>
        <w:rPr>
          <w:rFonts w:ascii="SimSun" w:hAnsi="SimSun" w:eastAsia="SimSun" w:cs="SimSun"/>
          <w:sz w:val="21"/>
          <w:szCs w:val="21"/>
          <w:spacing w:val="-2"/>
        </w:rPr>
        <w:t>或者《纽约时报》《华</w:t>
      </w:r>
      <w:r>
        <w:rPr>
          <w:rFonts w:ascii="SimSun" w:hAnsi="SimSun" w:eastAsia="SimSun" w:cs="SimSun"/>
          <w:sz w:val="21"/>
          <w:szCs w:val="21"/>
        </w:rPr>
        <w:t xml:space="preserve">  </w:t>
      </w:r>
      <w:r>
        <w:rPr>
          <w:rFonts w:ascii="SimSun" w:hAnsi="SimSun" w:eastAsia="SimSun" w:cs="SimSun"/>
          <w:sz w:val="21"/>
          <w:szCs w:val="21"/>
          <w:spacing w:val="-7"/>
        </w:rPr>
        <w:t>盛顿邮报》这些主流媒体，而是通过特朗普</w:t>
      </w:r>
      <w:r>
        <w:rPr>
          <w:rFonts w:ascii="SimSun" w:hAnsi="SimSun" w:eastAsia="SimSun" w:cs="SimSun"/>
          <w:sz w:val="21"/>
          <w:szCs w:val="21"/>
          <w:spacing w:val="-8"/>
        </w:rPr>
        <w:t>的推特来了解美国政治的</w:t>
      </w:r>
      <w:r>
        <w:rPr>
          <w:rFonts w:ascii="SimSun" w:hAnsi="SimSun" w:eastAsia="SimSun" w:cs="SimSun"/>
          <w:sz w:val="21"/>
          <w:szCs w:val="21"/>
        </w:rPr>
        <w:t xml:space="preserve">  </w:t>
      </w:r>
      <w:r>
        <w:rPr>
          <w:rFonts w:ascii="SimSun" w:hAnsi="SimSun" w:eastAsia="SimSun" w:cs="SimSun"/>
          <w:sz w:val="21"/>
          <w:szCs w:val="21"/>
          <w:spacing w:val="3"/>
        </w:rPr>
        <w:t>最新动向。截至2021年1月特朗普个人账号被关闭时，他的推特账</w:t>
      </w:r>
      <w:r>
        <w:rPr>
          <w:rFonts w:ascii="SimSun" w:hAnsi="SimSun" w:eastAsia="SimSun" w:cs="SimSun"/>
          <w:sz w:val="21"/>
          <w:szCs w:val="21"/>
        </w:rPr>
        <w:t xml:space="preserve">  </w:t>
      </w:r>
      <w:r>
        <w:rPr>
          <w:rFonts w:ascii="SimSun" w:hAnsi="SimSun" w:eastAsia="SimSun" w:cs="SimSun"/>
          <w:sz w:val="21"/>
          <w:szCs w:val="21"/>
          <w:spacing w:val="6"/>
        </w:rPr>
        <w:t>户共有8900万粉丝，相当于推特日活用户的48%</w:t>
      </w:r>
      <w:r>
        <w:rPr>
          <w:rFonts w:ascii="SimSun" w:hAnsi="SimSun" w:eastAsia="SimSun" w:cs="SimSun"/>
          <w:sz w:val="21"/>
          <w:szCs w:val="21"/>
          <w:spacing w:val="5"/>
        </w:rPr>
        <w:t>。根据美银美林、</w:t>
      </w:r>
      <w:r>
        <w:rPr>
          <w:rFonts w:ascii="SimSun" w:hAnsi="SimSun" w:eastAsia="SimSun" w:cs="SimSun"/>
          <w:sz w:val="21"/>
          <w:szCs w:val="21"/>
        </w:rPr>
        <w:t xml:space="preserve"> </w:t>
      </w:r>
      <w:r>
        <w:rPr>
          <w:rFonts w:ascii="SimSun" w:hAnsi="SimSun" w:eastAsia="SimSun" w:cs="SimSun"/>
          <w:sz w:val="21"/>
          <w:szCs w:val="21"/>
          <w:spacing w:val="-7"/>
        </w:rPr>
        <w:t>摩根大通等投资机构的研究，特朗普的推特还对金融市场产生了显著</w:t>
      </w:r>
      <w:r>
        <w:rPr>
          <w:rFonts w:ascii="SimSun" w:hAnsi="SimSun" w:eastAsia="SimSun" w:cs="SimSun"/>
          <w:sz w:val="21"/>
          <w:szCs w:val="21"/>
          <w:spacing w:val="3"/>
        </w:rPr>
        <w:t xml:space="preserve">  </w:t>
      </w:r>
      <w:r>
        <w:rPr>
          <w:rFonts w:ascii="SimSun" w:hAnsi="SimSun" w:eastAsia="SimSun" w:cs="SimSun"/>
          <w:sz w:val="21"/>
          <w:szCs w:val="21"/>
          <w:spacing w:val="7"/>
        </w:rPr>
        <w:t>影响。当特朗普的日发推文数少于5条时，</w:t>
      </w:r>
      <w:r>
        <w:rPr>
          <w:rFonts w:ascii="SimSun" w:hAnsi="SimSun" w:eastAsia="SimSun" w:cs="SimSun"/>
          <w:sz w:val="21"/>
          <w:szCs w:val="21"/>
          <w:spacing w:val="6"/>
        </w:rPr>
        <w:t>股市回报率达到5个基</w:t>
      </w:r>
      <w:r>
        <w:rPr>
          <w:rFonts w:ascii="SimSun" w:hAnsi="SimSun" w:eastAsia="SimSun" w:cs="SimSun"/>
          <w:sz w:val="21"/>
          <w:szCs w:val="21"/>
        </w:rPr>
        <w:t xml:space="preserve">  </w:t>
      </w:r>
      <w:r>
        <w:rPr>
          <w:rFonts w:ascii="SimSun" w:hAnsi="SimSun" w:eastAsia="SimSun" w:cs="SimSun"/>
          <w:sz w:val="21"/>
          <w:szCs w:val="21"/>
          <w:spacing w:val="-1"/>
        </w:rPr>
        <w:t>点，而当其日发推文数超过35条时，股市回报率跌至-9个基点。仅</w:t>
      </w:r>
      <w:r>
        <w:rPr>
          <w:rFonts w:ascii="SimSun" w:hAnsi="SimSun" w:eastAsia="SimSun" w:cs="SimSun"/>
          <w:sz w:val="21"/>
          <w:szCs w:val="21"/>
          <w:spacing w:val="8"/>
        </w:rPr>
        <w:t xml:space="preserve">  </w:t>
      </w:r>
      <w:r>
        <w:rPr>
          <w:rFonts w:ascii="SimSun" w:hAnsi="SimSun" w:eastAsia="SimSun" w:cs="SimSun"/>
          <w:sz w:val="21"/>
          <w:szCs w:val="21"/>
          <w:spacing w:val="9"/>
        </w:rPr>
        <w:t>在2018年至2019年9月期间，特朗普就有超过4000次</w:t>
      </w:r>
      <w:r>
        <w:rPr>
          <w:rFonts w:ascii="SimSun" w:hAnsi="SimSun" w:eastAsia="SimSun" w:cs="SimSun"/>
          <w:sz w:val="21"/>
          <w:szCs w:val="21"/>
          <w:spacing w:val="8"/>
        </w:rPr>
        <w:t>在美国股市</w:t>
      </w:r>
      <w:r>
        <w:rPr>
          <w:rFonts w:ascii="SimSun" w:hAnsi="SimSun" w:eastAsia="SimSun" w:cs="SimSun"/>
          <w:sz w:val="21"/>
          <w:szCs w:val="21"/>
        </w:rPr>
        <w:t xml:space="preserve">  </w:t>
      </w:r>
      <w:r>
        <w:rPr>
          <w:rFonts w:ascii="SimSun" w:hAnsi="SimSun" w:eastAsia="SimSun" w:cs="SimSun"/>
          <w:sz w:val="21"/>
          <w:szCs w:val="21"/>
          <w:spacing w:val="-5"/>
        </w:rPr>
        <w:t>营业期间发布推文，其中有146次带来了股票</w:t>
      </w:r>
      <w:r>
        <w:rPr>
          <w:rFonts w:ascii="SimSun" w:hAnsi="SimSun" w:eastAsia="SimSun" w:cs="SimSun"/>
          <w:sz w:val="21"/>
          <w:szCs w:val="21"/>
          <w:spacing w:val="-6"/>
        </w:rPr>
        <w:t>市场的显著波动。②</w:t>
      </w:r>
    </w:p>
    <w:p>
      <w:pPr>
        <w:spacing w:before="104" w:line="219" w:lineRule="auto"/>
        <w:jc w:val="right"/>
        <w:rPr>
          <w:rFonts w:ascii="SimSun" w:hAnsi="SimSun" w:eastAsia="SimSun" w:cs="SimSun"/>
          <w:sz w:val="21"/>
          <w:szCs w:val="21"/>
        </w:rPr>
      </w:pPr>
      <w:r>
        <w:rPr>
          <w:rFonts w:ascii="SimSun" w:hAnsi="SimSun" w:eastAsia="SimSun" w:cs="SimSun"/>
          <w:sz w:val="21"/>
          <w:szCs w:val="21"/>
          <w:spacing w:val="-9"/>
        </w:rPr>
        <w:t>如果说，在社交媒体上发推文帮助政客向选民推销自己的政见，</w:t>
      </w:r>
    </w:p>
    <w:p>
      <w:pPr>
        <w:pStyle w:val="BodyText"/>
        <w:spacing w:line="448" w:lineRule="auto"/>
        <w:rPr/>
      </w:pPr>
      <w:r/>
    </w:p>
    <w:p>
      <w:pPr>
        <w:ind w:left="105"/>
        <w:spacing w:before="49" w:line="212" w:lineRule="auto"/>
        <w:rPr>
          <w:rFonts w:ascii="Times New Roman" w:hAnsi="Times New Roman" w:eastAsia="Times New Roman" w:cs="Times New Roman"/>
          <w:sz w:val="15"/>
          <w:szCs w:val="15"/>
        </w:rPr>
      </w:pPr>
      <w:r>
        <w:rPr>
          <w:rFonts w:ascii="SimSun" w:hAnsi="SimSun" w:eastAsia="SimSun" w:cs="SimSun"/>
          <w:sz w:val="15"/>
          <w:szCs w:val="15"/>
        </w:rPr>
        <w:t>①</w:t>
      </w:r>
      <w:r>
        <w:rPr>
          <w:rFonts w:ascii="SimSun" w:hAnsi="SimSun" w:eastAsia="SimSun" w:cs="SimSun"/>
          <w:sz w:val="15"/>
          <w:szCs w:val="15"/>
          <w:spacing w:val="51"/>
        </w:rPr>
        <w:t xml:space="preserve"> </w:t>
      </w:r>
      <w:r>
        <w:rPr>
          <w:rFonts w:ascii="Times New Roman" w:hAnsi="Times New Roman" w:eastAsia="Times New Roman" w:cs="Times New Roman"/>
          <w:sz w:val="15"/>
          <w:szCs w:val="15"/>
        </w:rPr>
        <w:t>John</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rPr>
        <w:t>Jost,et</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rPr>
        <w:t>al.,“How   Social</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rPr>
        <w:t>Media</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rPr>
        <w:t>Facilitat</w:t>
      </w:r>
      <w:r>
        <w:rPr>
          <w:rFonts w:ascii="Times New Roman" w:hAnsi="Times New Roman" w:eastAsia="Times New Roman" w:cs="Times New Roman"/>
          <w:sz w:val="15"/>
          <w:szCs w:val="15"/>
          <w:spacing w:val="-1"/>
        </w:rPr>
        <w:t>es</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spacing w:val="-1"/>
        </w:rPr>
        <w:t>Political</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spacing w:val="-1"/>
        </w:rPr>
        <w:t>Protest:Information,Motivation,</w:t>
      </w:r>
    </w:p>
    <w:p>
      <w:pPr>
        <w:ind w:left="445"/>
        <w:spacing w:before="11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and    Social   Networks",Advances    in    Political    Psychology,2018,39(S1):85-11</w:t>
      </w:r>
      <w:r>
        <w:rPr>
          <w:rFonts w:ascii="Times New Roman" w:hAnsi="Times New Roman" w:eastAsia="Times New Roman" w:cs="Times New Roman"/>
          <w:sz w:val="15"/>
          <w:szCs w:val="15"/>
          <w:spacing w:val="-1"/>
        </w:rPr>
        <w:t>8.</w:t>
      </w:r>
    </w:p>
    <w:p>
      <w:pPr>
        <w:ind w:left="445" w:right="55" w:hanging="340"/>
        <w:spacing w:before="65" w:line="245" w:lineRule="auto"/>
        <w:rPr>
          <w:rFonts w:ascii="SimSun" w:hAnsi="SimSun" w:eastAsia="SimSun" w:cs="SimSun"/>
          <w:sz w:val="21"/>
          <w:szCs w:val="21"/>
        </w:rPr>
      </w:pPr>
      <w:r>
        <w:rPr>
          <w:rFonts w:ascii="KaiTi" w:hAnsi="KaiTi" w:eastAsia="KaiTi" w:cs="KaiTi"/>
          <w:sz w:val="21"/>
          <w:szCs w:val="21"/>
          <w:spacing w:val="-21"/>
          <w:w w:val="94"/>
        </w:rPr>
        <w:t>②</w:t>
      </w:r>
      <w:r>
        <w:rPr>
          <w:rFonts w:ascii="KaiTi" w:hAnsi="KaiTi" w:eastAsia="KaiTi" w:cs="KaiTi"/>
          <w:sz w:val="21"/>
          <w:szCs w:val="21"/>
          <w:spacing w:val="60"/>
        </w:rPr>
        <w:t xml:space="preserve"> </w:t>
      </w:r>
      <w:r>
        <w:rPr>
          <w:rFonts w:ascii="KaiTi" w:hAnsi="KaiTi" w:eastAsia="KaiTi" w:cs="KaiTi"/>
          <w:sz w:val="21"/>
          <w:szCs w:val="21"/>
          <w:spacing w:val="-21"/>
          <w:w w:val="94"/>
        </w:rPr>
        <w:t>吴家明.特朗普推特的“大数据”复盘：持续143个月、146次影响股市、</w:t>
      </w:r>
      <w:r>
        <w:rPr>
          <w:rFonts w:ascii="KaiTi" w:hAnsi="KaiTi" w:eastAsia="KaiTi" w:cs="KaiTi"/>
          <w:sz w:val="21"/>
          <w:szCs w:val="21"/>
          <w:spacing w:val="-22"/>
          <w:w w:val="94"/>
        </w:rPr>
        <w:t>近</w:t>
      </w:r>
      <w:r>
        <w:rPr>
          <w:rFonts w:ascii="KaiTi" w:hAnsi="KaiTi" w:eastAsia="KaiTi" w:cs="KaiTi"/>
          <w:sz w:val="21"/>
          <w:szCs w:val="21"/>
        </w:rPr>
        <w:t xml:space="preserve"> </w:t>
      </w:r>
      <w:r>
        <w:rPr>
          <w:rFonts w:ascii="KaiTi" w:hAnsi="KaiTi" w:eastAsia="KaiTi" w:cs="KaiTi"/>
          <w:sz w:val="21"/>
          <w:szCs w:val="21"/>
          <w:spacing w:val="-13"/>
          <w:w w:val="92"/>
        </w:rPr>
        <w:t>9000万粉丝.证券时报网，2021-01-09</w:t>
      </w:r>
      <w:r>
        <w:rPr>
          <w:rFonts w:ascii="KaiTi" w:hAnsi="KaiTi" w:eastAsia="KaiTi" w:cs="KaiTi"/>
          <w:sz w:val="21"/>
          <w:szCs w:val="21"/>
          <w:spacing w:val="-14"/>
          <w:w w:val="92"/>
        </w:rPr>
        <w:t>,</w:t>
      </w:r>
      <w:hyperlink w:history="true" r:id="rId235">
        <w:r>
          <w:rPr>
            <w:rFonts w:ascii="Times New Roman" w:hAnsi="Times New Roman" w:eastAsia="Times New Roman" w:cs="Times New Roman"/>
            <w:sz w:val="21"/>
            <w:szCs w:val="21"/>
            <w:spacing w:val="-14"/>
            <w:w w:val="92"/>
          </w:rPr>
          <w:t>https://news.stcn.com/news/202101/12021</w:t>
        </w:r>
      </w:hyperlink>
      <w:r>
        <w:rPr>
          <w:rFonts w:ascii="Times New Roman" w:hAnsi="Times New Roman" w:eastAsia="Times New Roman" w:cs="Times New Roman"/>
          <w:sz w:val="21"/>
          <w:szCs w:val="21"/>
        </w:rPr>
        <w:t xml:space="preserve"> </w:t>
      </w:r>
      <w:r>
        <w:rPr>
          <w:rFonts w:ascii="SimSun" w:hAnsi="SimSun" w:eastAsia="SimSun" w:cs="SimSun"/>
          <w:sz w:val="21"/>
          <w:szCs w:val="21"/>
          <w:spacing w:val="-21"/>
        </w:rPr>
        <w:t>01092717687.html</w:t>
      </w:r>
    </w:p>
    <w:p>
      <w:pPr>
        <w:spacing w:line="245" w:lineRule="auto"/>
        <w:sectPr>
          <w:headerReference w:type="default" r:id="rId233"/>
          <w:pgSz w:w="7330" w:h="12480"/>
          <w:pgMar w:top="559" w:right="425" w:bottom="400" w:left="694" w:header="394" w:footer="0" w:gutter="0"/>
        </w:sectPr>
        <w:rPr>
          <w:rFonts w:ascii="SimSun" w:hAnsi="SimSun" w:eastAsia="SimSun" w:cs="SimSun"/>
          <w:sz w:val="21"/>
          <w:szCs w:val="21"/>
        </w:rPr>
      </w:pPr>
    </w:p>
    <w:p>
      <w:pPr>
        <w:pStyle w:val="BodyText"/>
        <w:spacing w:line="255" w:lineRule="auto"/>
        <w:rPr/>
      </w:pPr>
      <w:r>
        <w:drawing>
          <wp:anchor distT="0" distB="0" distL="0" distR="0" simplePos="0" relativeHeight="253679616" behindDoc="0" locked="0" layoutInCell="0" allowOverlap="1">
            <wp:simplePos x="0" y="0"/>
            <wp:positionH relativeFrom="page">
              <wp:posOffset>228584</wp:posOffset>
            </wp:positionH>
            <wp:positionV relativeFrom="page">
              <wp:posOffset>6191244</wp:posOffset>
            </wp:positionV>
            <wp:extent cx="1168431" cy="6350"/>
            <wp:effectExtent l="0" t="0" r="0" b="0"/>
            <wp:wrapNone/>
            <wp:docPr id="186" name="IM 186"/>
            <wp:cNvGraphicFramePr/>
            <a:graphic>
              <a:graphicData uri="http://schemas.openxmlformats.org/drawingml/2006/picture">
                <pic:pic>
                  <pic:nvPicPr>
                    <pic:cNvPr id="186" name="IM 186"/>
                    <pic:cNvPicPr/>
                  </pic:nvPicPr>
                  <pic:blipFill>
                    <a:blip r:embed="rId237"/>
                    <a:stretch>
                      <a:fillRect/>
                    </a:stretch>
                  </pic:blipFill>
                  <pic:spPr>
                    <a:xfrm rot="0">
                      <a:off x="0" y="0"/>
                      <a:ext cx="1168431" cy="6350"/>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6" w:lineRule="auto"/>
        <w:rPr/>
      </w:pPr>
      <w:r/>
    </w:p>
    <w:p>
      <w:pPr>
        <w:ind w:right="13"/>
        <w:spacing w:before="65" w:line="332" w:lineRule="auto"/>
        <w:jc w:val="both"/>
        <w:rPr>
          <w:rFonts w:ascii="SimSun" w:hAnsi="SimSun" w:eastAsia="SimSun" w:cs="SimSun"/>
          <w:sz w:val="20"/>
          <w:szCs w:val="20"/>
        </w:rPr>
      </w:pPr>
      <w:r>
        <w:rPr>
          <w:rFonts w:ascii="SimSun" w:hAnsi="SimSun" w:eastAsia="SimSun" w:cs="SimSun"/>
          <w:sz w:val="20"/>
          <w:szCs w:val="20"/>
          <w:spacing w:val="6"/>
        </w:rPr>
        <w:t>有助于选民了解候选人的政治主张，促进选举竞争的透明度，2016</w:t>
      </w:r>
      <w:r>
        <w:rPr>
          <w:rFonts w:ascii="SimSun" w:hAnsi="SimSun" w:eastAsia="SimSun" w:cs="SimSun"/>
          <w:sz w:val="20"/>
          <w:szCs w:val="20"/>
          <w:spacing w:val="2"/>
        </w:rPr>
        <w:t xml:space="preserve"> </w:t>
      </w:r>
      <w:r>
        <w:rPr>
          <w:rFonts w:ascii="SimSun" w:hAnsi="SimSun" w:eastAsia="SimSun" w:cs="SimSun"/>
          <w:sz w:val="20"/>
          <w:szCs w:val="20"/>
          <w:spacing w:val="3"/>
        </w:rPr>
        <w:t>年之后爆出的脸书-剑桥分析数据丑闻则引发了美国朝野上下</w:t>
      </w:r>
      <w:r>
        <w:rPr>
          <w:rFonts w:ascii="SimSun" w:hAnsi="SimSun" w:eastAsia="SimSun" w:cs="SimSun"/>
          <w:sz w:val="20"/>
          <w:szCs w:val="20"/>
          <w:spacing w:val="2"/>
        </w:rPr>
        <w:t>和社会</w:t>
      </w:r>
      <w:r>
        <w:rPr>
          <w:rFonts w:ascii="SimSun" w:hAnsi="SimSun" w:eastAsia="SimSun" w:cs="SimSun"/>
          <w:sz w:val="20"/>
          <w:szCs w:val="20"/>
        </w:rPr>
        <w:t xml:space="preserve"> </w:t>
      </w:r>
      <w:r>
        <w:rPr>
          <w:rFonts w:ascii="SimSun" w:hAnsi="SimSun" w:eastAsia="SimSun" w:cs="SimSun"/>
          <w:sz w:val="20"/>
          <w:szCs w:val="20"/>
          <w:spacing w:val="-1"/>
        </w:rPr>
        <w:t>各界对于社交媒体平台可能导致政治操控的担忧。剑桥分析是一家总</w:t>
      </w:r>
      <w:r>
        <w:rPr>
          <w:rFonts w:ascii="SimSun" w:hAnsi="SimSun" w:eastAsia="SimSun" w:cs="SimSun"/>
          <w:sz w:val="20"/>
          <w:szCs w:val="20"/>
          <w:spacing w:val="18"/>
        </w:rPr>
        <w:t xml:space="preserve"> </w:t>
      </w:r>
      <w:r>
        <w:rPr>
          <w:rFonts w:ascii="SimSun" w:hAnsi="SimSun" w:eastAsia="SimSun" w:cs="SimSun"/>
          <w:sz w:val="20"/>
          <w:szCs w:val="20"/>
          <w:spacing w:val="-1"/>
        </w:rPr>
        <w:t>部位于英国的咨询公司，这家公司与剑桥大学的数据科学家合作开发</w:t>
      </w:r>
      <w:r>
        <w:rPr>
          <w:rFonts w:ascii="SimSun" w:hAnsi="SimSun" w:eastAsia="SimSun" w:cs="SimSun"/>
          <w:sz w:val="20"/>
          <w:szCs w:val="20"/>
          <w:spacing w:val="18"/>
        </w:rPr>
        <w:t xml:space="preserve"> </w:t>
      </w:r>
      <w:r>
        <w:rPr>
          <w:rFonts w:ascii="SimSun" w:hAnsi="SimSun" w:eastAsia="SimSun" w:cs="SimSun"/>
          <w:sz w:val="20"/>
          <w:szCs w:val="20"/>
          <w:spacing w:val="-4"/>
        </w:rPr>
        <w:t>了一款名为“这是你的数字生活”(Thi</w:t>
      </w:r>
      <w:r>
        <w:rPr>
          <w:rFonts w:ascii="SimSun" w:hAnsi="SimSun" w:eastAsia="SimSun" w:cs="SimSun"/>
          <w:sz w:val="20"/>
          <w:szCs w:val="20"/>
          <w:spacing w:val="-5"/>
        </w:rPr>
        <w:t>s I</w:t>
      </w:r>
      <w:r>
        <w:rPr>
          <w:rFonts w:ascii="Times New Roman" w:hAnsi="Times New Roman" w:eastAsia="Times New Roman" w:cs="Times New Roman"/>
          <w:sz w:val="20"/>
          <w:szCs w:val="20"/>
          <w:spacing w:val="-5"/>
        </w:rPr>
        <w:t>s</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5"/>
        </w:rPr>
        <w:t>Your</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spacing w:val="-5"/>
        </w:rPr>
        <w:t>Digital</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5"/>
        </w:rPr>
        <w:t>Life)  </w:t>
      </w:r>
      <w:r>
        <w:rPr>
          <w:rFonts w:ascii="SimSun" w:hAnsi="SimSun" w:eastAsia="SimSun" w:cs="SimSun"/>
          <w:sz w:val="20"/>
          <w:szCs w:val="20"/>
          <w:spacing w:val="-5"/>
        </w:rPr>
        <w:t>的应用，</w:t>
      </w:r>
      <w:r>
        <w:rPr>
          <w:rFonts w:ascii="SimSun" w:hAnsi="SimSun" w:eastAsia="SimSun" w:cs="SimSun"/>
          <w:sz w:val="20"/>
          <w:szCs w:val="20"/>
        </w:rPr>
        <w:t xml:space="preserve"> </w:t>
      </w:r>
      <w:r>
        <w:rPr>
          <w:rFonts w:ascii="SimSun" w:hAnsi="SimSun" w:eastAsia="SimSun" w:cs="SimSun"/>
          <w:sz w:val="20"/>
          <w:szCs w:val="20"/>
          <w:spacing w:val="2"/>
        </w:rPr>
        <w:t>通过提问来收集脸书用户的回答，并通过脸书的</w:t>
      </w:r>
      <w:r>
        <w:rPr>
          <w:rFonts w:ascii="SimSun" w:hAnsi="SimSun" w:eastAsia="SimSun" w:cs="SimSun"/>
          <w:sz w:val="20"/>
          <w:szCs w:val="20"/>
          <w:spacing w:val="-39"/>
        </w:rPr>
        <w:t xml:space="preserve"> </w:t>
      </w:r>
      <w:r>
        <w:rPr>
          <w:rFonts w:ascii="SimSun" w:hAnsi="SimSun" w:eastAsia="SimSun" w:cs="SimSun"/>
          <w:sz w:val="20"/>
          <w:szCs w:val="20"/>
        </w:rPr>
        <w:t>Open</w:t>
      </w:r>
      <w:r>
        <w:rPr>
          <w:rFonts w:ascii="SimSun" w:hAnsi="SimSun" w:eastAsia="SimSun" w:cs="SimSun"/>
          <w:sz w:val="20"/>
          <w:szCs w:val="20"/>
          <w:spacing w:val="29"/>
        </w:rPr>
        <w:t xml:space="preserve"> </w:t>
      </w:r>
      <w:r>
        <w:rPr>
          <w:rFonts w:ascii="SimSun" w:hAnsi="SimSun" w:eastAsia="SimSun" w:cs="SimSun"/>
          <w:sz w:val="20"/>
          <w:szCs w:val="20"/>
        </w:rPr>
        <w:t>Graph</w:t>
      </w:r>
      <w:r>
        <w:rPr>
          <w:rFonts w:ascii="SimSun" w:hAnsi="SimSun" w:eastAsia="SimSun" w:cs="SimSun"/>
          <w:sz w:val="20"/>
          <w:szCs w:val="20"/>
          <w:spacing w:val="-46"/>
        </w:rPr>
        <w:t xml:space="preserve"> </w:t>
      </w:r>
      <w:r>
        <w:rPr>
          <w:rFonts w:ascii="SimSun" w:hAnsi="SimSun" w:eastAsia="SimSun" w:cs="SimSun"/>
          <w:sz w:val="20"/>
          <w:szCs w:val="20"/>
          <w:spacing w:val="2"/>
        </w:rPr>
        <w:t>平台</w:t>
      </w:r>
      <w:r>
        <w:rPr>
          <w:rFonts w:ascii="SimHei" w:hAnsi="SimHei" w:eastAsia="SimHei" w:cs="SimHei"/>
          <w:sz w:val="20"/>
          <w:szCs w:val="20"/>
          <w:spacing w:val="2"/>
        </w:rPr>
        <w:t>收</w:t>
      </w:r>
      <w:r>
        <w:rPr>
          <w:rFonts w:ascii="SimHei" w:hAnsi="SimHei" w:eastAsia="SimHei" w:cs="SimHei"/>
          <w:sz w:val="20"/>
          <w:szCs w:val="20"/>
        </w:rPr>
        <w:t xml:space="preserve"> </w:t>
      </w:r>
      <w:r>
        <w:rPr>
          <w:rFonts w:ascii="SimSun" w:hAnsi="SimSun" w:eastAsia="SimSun" w:cs="SimSun"/>
          <w:sz w:val="20"/>
          <w:szCs w:val="20"/>
          <w:spacing w:val="6"/>
        </w:rPr>
        <w:t>集用户脸书好友的个人数据，获取了多达8700万份脸书个人用户资</w:t>
      </w:r>
      <w:r>
        <w:rPr>
          <w:rFonts w:ascii="SimSun" w:hAnsi="SimSun" w:eastAsia="SimSun" w:cs="SimSun"/>
          <w:sz w:val="20"/>
          <w:szCs w:val="20"/>
          <w:spacing w:val="8"/>
        </w:rPr>
        <w:t xml:space="preserve"> </w:t>
      </w:r>
      <w:r>
        <w:rPr>
          <w:rFonts w:ascii="SimSun" w:hAnsi="SimSun" w:eastAsia="SimSun" w:cs="SimSun"/>
          <w:sz w:val="20"/>
          <w:szCs w:val="20"/>
        </w:rPr>
        <w:t>料。有证据显示，特朗普的总统竞选团队获得了</w:t>
      </w:r>
      <w:r>
        <w:rPr>
          <w:rFonts w:ascii="SimSun" w:hAnsi="SimSun" w:eastAsia="SimSun" w:cs="SimSun"/>
          <w:sz w:val="20"/>
          <w:szCs w:val="20"/>
          <w:spacing w:val="-1"/>
        </w:rPr>
        <w:t>这些数据，并使用这</w:t>
      </w:r>
      <w:r>
        <w:rPr>
          <w:rFonts w:ascii="SimSun" w:hAnsi="SimSun" w:eastAsia="SimSun" w:cs="SimSun"/>
          <w:sz w:val="20"/>
          <w:szCs w:val="20"/>
        </w:rPr>
        <w:t xml:space="preserve"> </w:t>
      </w:r>
      <w:r>
        <w:rPr>
          <w:rFonts w:ascii="SimSun" w:hAnsi="SimSun" w:eastAsia="SimSun" w:cs="SimSun"/>
          <w:sz w:val="20"/>
          <w:szCs w:val="20"/>
          <w:spacing w:val="-1"/>
        </w:rPr>
        <w:t>些数据来构建心理档案，确定用户的个性特征和政治倾向，向特朗普</w:t>
      </w:r>
      <w:r>
        <w:rPr>
          <w:rFonts w:ascii="SimSun" w:hAnsi="SimSun" w:eastAsia="SimSun" w:cs="SimSun"/>
          <w:sz w:val="20"/>
          <w:szCs w:val="20"/>
          <w:spacing w:val="18"/>
        </w:rPr>
        <w:t xml:space="preserve"> </w:t>
      </w:r>
      <w:r>
        <w:rPr>
          <w:rFonts w:ascii="SimSun" w:hAnsi="SimSun" w:eastAsia="SimSun" w:cs="SimSun"/>
          <w:sz w:val="20"/>
          <w:szCs w:val="20"/>
          <w:spacing w:val="-1"/>
        </w:rPr>
        <w:t>支持者发送关于特朗普的正面信息和有关投票站的信息，向中间选民</w:t>
      </w:r>
      <w:r>
        <w:rPr>
          <w:rFonts w:ascii="SimSun" w:hAnsi="SimSun" w:eastAsia="SimSun" w:cs="SimSun"/>
          <w:sz w:val="20"/>
          <w:szCs w:val="20"/>
        </w:rPr>
        <w:t xml:space="preserve"> </w:t>
      </w:r>
      <w:r>
        <w:rPr>
          <w:rFonts w:ascii="SimSun" w:hAnsi="SimSun" w:eastAsia="SimSun" w:cs="SimSun"/>
          <w:sz w:val="20"/>
          <w:szCs w:val="20"/>
          <w:spacing w:val="2"/>
        </w:rPr>
        <w:t>发送关于希拉里·克林顿的负面信息。脸书-剑桥分析数据丑闻的曝</w:t>
      </w:r>
      <w:r>
        <w:rPr>
          <w:rFonts w:ascii="SimSun" w:hAnsi="SimSun" w:eastAsia="SimSun" w:cs="SimSun"/>
          <w:sz w:val="20"/>
          <w:szCs w:val="20"/>
          <w:spacing w:val="6"/>
        </w:rPr>
        <w:t xml:space="preserve"> </w:t>
      </w:r>
      <w:r>
        <w:rPr>
          <w:rFonts w:ascii="SimSun" w:hAnsi="SimSun" w:eastAsia="SimSun" w:cs="SimSun"/>
          <w:sz w:val="20"/>
          <w:szCs w:val="20"/>
          <w:spacing w:val="9"/>
        </w:rPr>
        <w:t>光使西方社会舆论哗然。美国联邦贸易委员会在2019年7月对于脸</w:t>
      </w:r>
    </w:p>
    <w:p>
      <w:pPr>
        <w:spacing w:line="218" w:lineRule="auto"/>
        <w:rPr>
          <w:rFonts w:ascii="SimSun" w:hAnsi="SimSun" w:eastAsia="SimSun" w:cs="SimSun"/>
          <w:sz w:val="20"/>
          <w:szCs w:val="20"/>
        </w:rPr>
      </w:pPr>
      <w:r>
        <w:rPr>
          <w:rFonts w:ascii="SimSun" w:hAnsi="SimSun" w:eastAsia="SimSun" w:cs="SimSun"/>
          <w:sz w:val="20"/>
          <w:szCs w:val="20"/>
          <w:spacing w:val="3"/>
        </w:rPr>
        <w:t>书违反用户隐私处以50亿美元的罚款。</w:t>
      </w:r>
    </w:p>
    <w:p>
      <w:pPr>
        <w:ind w:right="28" w:firstLine="420"/>
        <w:spacing w:before="120" w:line="316" w:lineRule="auto"/>
        <w:jc w:val="both"/>
        <w:rPr>
          <w:rFonts w:ascii="SimSun" w:hAnsi="SimSun" w:eastAsia="SimSun" w:cs="SimSun"/>
          <w:sz w:val="20"/>
          <w:szCs w:val="20"/>
        </w:rPr>
      </w:pPr>
      <w:r>
        <w:rPr>
          <w:rFonts w:ascii="SimSun" w:hAnsi="SimSun" w:eastAsia="SimSun" w:cs="SimSun"/>
          <w:sz w:val="20"/>
          <w:szCs w:val="20"/>
          <w:spacing w:val="-1"/>
        </w:rPr>
        <w:t>从上述案例不难看出，掌握用户大数据的社交媒体平台，不仅是</w:t>
      </w:r>
      <w:r>
        <w:rPr>
          <w:rFonts w:ascii="SimSun" w:hAnsi="SimSun" w:eastAsia="SimSun" w:cs="SimSun"/>
          <w:sz w:val="20"/>
          <w:szCs w:val="20"/>
          <w:spacing w:val="16"/>
        </w:rPr>
        <w:t xml:space="preserve"> </w:t>
      </w:r>
      <w:r>
        <w:rPr>
          <w:rFonts w:ascii="SimSun" w:hAnsi="SimSun" w:eastAsia="SimSun" w:cs="SimSun"/>
          <w:sz w:val="20"/>
          <w:szCs w:val="20"/>
          <w:spacing w:val="-1"/>
        </w:rPr>
        <w:t>一个信息传播和流通的媒介，更有可能成为政治信息传播的议程设定</w:t>
      </w:r>
      <w:r>
        <w:rPr>
          <w:rFonts w:ascii="SimSun" w:hAnsi="SimSun" w:eastAsia="SimSun" w:cs="SimSun"/>
          <w:sz w:val="20"/>
          <w:szCs w:val="20"/>
          <w:spacing w:val="18"/>
        </w:rPr>
        <w:t xml:space="preserve"> </w:t>
      </w:r>
      <w:r>
        <w:rPr>
          <w:rFonts w:ascii="SimSun" w:hAnsi="SimSun" w:eastAsia="SimSun" w:cs="SimSun"/>
          <w:sz w:val="20"/>
          <w:szCs w:val="20"/>
        </w:rPr>
        <w:t>者，具备了影响实际政治进程的能力。包括</w:t>
      </w:r>
      <w:r>
        <w:rPr>
          <w:rFonts w:ascii="SimSun" w:hAnsi="SimSun" w:eastAsia="SimSun" w:cs="SimSun"/>
          <w:sz w:val="20"/>
          <w:szCs w:val="20"/>
          <w:spacing w:val="-1"/>
        </w:rPr>
        <w:t>社交媒体在内的科技平台</w:t>
      </w:r>
      <w:r>
        <w:rPr>
          <w:rFonts w:ascii="SimSun" w:hAnsi="SimSun" w:eastAsia="SimSun" w:cs="SimSun"/>
          <w:sz w:val="20"/>
          <w:szCs w:val="20"/>
        </w:rPr>
        <w:t xml:space="preserve"> </w:t>
      </w:r>
      <w:r>
        <w:rPr>
          <w:rFonts w:ascii="SimSun" w:hAnsi="SimSun" w:eastAsia="SimSun" w:cs="SimSun"/>
          <w:sz w:val="20"/>
          <w:szCs w:val="20"/>
        </w:rPr>
        <w:t>深入参与了美国选举活动，在影响政治传播方面</w:t>
      </w:r>
      <w:r>
        <w:rPr>
          <w:rFonts w:ascii="SimSun" w:hAnsi="SimSun" w:eastAsia="SimSun" w:cs="SimSun"/>
          <w:sz w:val="20"/>
          <w:szCs w:val="20"/>
          <w:spacing w:val="-1"/>
        </w:rPr>
        <w:t>发挥了重要作用。①</w:t>
      </w:r>
      <w:r>
        <w:rPr>
          <w:rFonts w:ascii="SimSun" w:hAnsi="SimSun" w:eastAsia="SimSun" w:cs="SimSun"/>
          <w:sz w:val="20"/>
          <w:szCs w:val="20"/>
        </w:rPr>
        <w:t xml:space="preserve"> </w:t>
      </w:r>
      <w:r>
        <w:rPr>
          <w:rFonts w:ascii="SimSun" w:hAnsi="SimSun" w:eastAsia="SimSun" w:cs="SimSun"/>
          <w:sz w:val="20"/>
          <w:szCs w:val="20"/>
          <w:spacing w:val="6"/>
        </w:rPr>
        <w:t>对2016年美国总统竞选团队的访谈表明，科技公司有动力在政治领</w:t>
      </w:r>
      <w:r>
        <w:rPr>
          <w:rFonts w:ascii="SimSun" w:hAnsi="SimSun" w:eastAsia="SimSun" w:cs="SimSun"/>
          <w:sz w:val="20"/>
          <w:szCs w:val="20"/>
          <w:spacing w:val="1"/>
        </w:rPr>
        <w:t xml:space="preserve"> </w:t>
      </w:r>
      <w:r>
        <w:rPr>
          <w:rFonts w:ascii="SimSun" w:hAnsi="SimSun" w:eastAsia="SimSun" w:cs="SimSun"/>
          <w:sz w:val="20"/>
          <w:szCs w:val="20"/>
        </w:rPr>
        <w:t>域拓展营销、广告和游说工作。脸书、推特、谷歌不仅积极推广它们</w:t>
      </w:r>
      <w:r>
        <w:rPr>
          <w:rFonts w:ascii="SimSun" w:hAnsi="SimSun" w:eastAsia="SimSun" w:cs="SimSun"/>
          <w:sz w:val="20"/>
          <w:szCs w:val="20"/>
          <w:spacing w:val="13"/>
        </w:rPr>
        <w:t xml:space="preserve"> </w:t>
      </w:r>
      <w:r>
        <w:rPr>
          <w:rFonts w:ascii="SimSun" w:hAnsi="SimSun" w:eastAsia="SimSun" w:cs="SimSun"/>
          <w:sz w:val="20"/>
          <w:szCs w:val="20"/>
          <w:spacing w:val="-2"/>
        </w:rPr>
        <w:t>的服务和数字广告，还派出代表充当政党竞选活动的数字</w:t>
      </w:r>
      <w:r>
        <w:rPr>
          <w:rFonts w:ascii="SimSun" w:hAnsi="SimSun" w:eastAsia="SimSun" w:cs="SimSun"/>
          <w:sz w:val="20"/>
          <w:szCs w:val="20"/>
          <w:spacing w:val="-3"/>
        </w:rPr>
        <w:t>顾问。②</w:t>
      </w:r>
    </w:p>
    <w:p>
      <w:pPr>
        <w:ind w:right="7"/>
        <w:spacing w:before="124" w:line="212" w:lineRule="auto"/>
        <w:jc w:val="right"/>
        <w:rPr>
          <w:rFonts w:ascii="SimSun" w:hAnsi="SimSun" w:eastAsia="SimSun" w:cs="SimSun"/>
          <w:sz w:val="20"/>
          <w:szCs w:val="20"/>
        </w:rPr>
      </w:pPr>
      <w:r>
        <w:rPr>
          <w:rFonts w:ascii="SimSun" w:hAnsi="SimSun" w:eastAsia="SimSun" w:cs="SimSun"/>
          <w:sz w:val="20"/>
          <w:szCs w:val="20"/>
          <w:spacing w:val="6"/>
        </w:rPr>
        <w:t>近年来，</w:t>
      </w:r>
      <w:r>
        <w:rPr>
          <w:rFonts w:ascii="Times New Roman" w:hAnsi="Times New Roman" w:eastAsia="Times New Roman" w:cs="Times New Roman"/>
          <w:sz w:val="20"/>
          <w:szCs w:val="20"/>
        </w:rPr>
        <w:t>Instagram</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rPr>
        <w:t>TikTok</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等新兴社交媒体平台有后来居上的</w:t>
      </w:r>
    </w:p>
    <w:p>
      <w:pPr>
        <w:pStyle w:val="BodyText"/>
        <w:spacing w:line="245" w:lineRule="auto"/>
        <w:rPr/>
      </w:pPr>
      <w:r/>
    </w:p>
    <w:p>
      <w:pPr>
        <w:pStyle w:val="BodyText"/>
        <w:spacing w:line="245" w:lineRule="auto"/>
        <w:rPr/>
      </w:pPr>
      <w:r/>
    </w:p>
    <w:p>
      <w:pPr>
        <w:ind w:left="309" w:right="10" w:hanging="309"/>
        <w:spacing w:before="65" w:line="289" w:lineRule="auto"/>
        <w:rPr>
          <w:rFonts w:ascii="Times New Roman" w:hAnsi="Times New Roman" w:eastAsia="Times New Roman" w:cs="Times New Roman"/>
          <w:sz w:val="16"/>
          <w:szCs w:val="16"/>
        </w:rPr>
      </w:pPr>
      <w:r>
        <w:rPr>
          <w:rFonts w:ascii="SimSun" w:hAnsi="SimSun" w:eastAsia="SimSun" w:cs="SimSun"/>
          <w:sz w:val="20"/>
          <w:szCs w:val="20"/>
          <w:spacing w:val="-10"/>
          <w:w w:val="92"/>
        </w:rPr>
        <w:t>①</w:t>
      </w:r>
      <w:r>
        <w:rPr>
          <w:rFonts w:ascii="SimSun" w:hAnsi="SimSun" w:eastAsia="SimSun" w:cs="SimSun"/>
          <w:sz w:val="20"/>
          <w:szCs w:val="20"/>
          <w:spacing w:val="7"/>
        </w:rPr>
        <w:t xml:space="preserve"> </w:t>
      </w:r>
      <w:r>
        <w:rPr>
          <w:rFonts w:ascii="Times New Roman" w:hAnsi="Times New Roman" w:eastAsia="Times New Roman" w:cs="Times New Roman"/>
          <w:sz w:val="20"/>
          <w:szCs w:val="20"/>
          <w:spacing w:val="-10"/>
          <w:w w:val="92"/>
        </w:rPr>
        <w:t>Danicl Kreiss,Shannon C.McGregor,“Technology</w:t>
      </w:r>
      <w:r>
        <w:rPr>
          <w:rFonts w:ascii="Times New Roman" w:hAnsi="Times New Roman" w:eastAsia="Times New Roman" w:cs="Times New Roman"/>
          <w:sz w:val="20"/>
          <w:szCs w:val="20"/>
          <w:spacing w:val="-11"/>
          <w:w w:val="92"/>
        </w:rPr>
        <w:t xml:space="preserve"> Firms Shape Political Communication:</w:t>
      </w:r>
      <w:r>
        <w:rPr>
          <w:rFonts w:ascii="Times New Roman" w:hAnsi="Times New Roman" w:eastAsia="Times New Roman" w:cs="Times New Roman"/>
          <w:sz w:val="20"/>
          <w:szCs w:val="20"/>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rPr>
        <w:t>Work</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rPr>
        <w:t>of Microsoft,Faccbook,Twitter,and</w:t>
      </w:r>
      <w:r>
        <w:rPr>
          <w:rFonts w:ascii="Times New Roman" w:hAnsi="Times New Roman" w:eastAsia="Times New Roman" w:cs="Times New Roman"/>
          <w:sz w:val="16"/>
          <w:szCs w:val="16"/>
          <w:spacing w:val="16"/>
          <w:w w:val="101"/>
        </w:rPr>
        <w:t xml:space="preserve"> </w:t>
      </w:r>
      <w:r>
        <w:rPr>
          <w:rFonts w:ascii="Times New Roman" w:hAnsi="Times New Roman" w:eastAsia="Times New Roman" w:cs="Times New Roman"/>
          <w:sz w:val="16"/>
          <w:szCs w:val="16"/>
        </w:rPr>
        <w:t>Google</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w</w:t>
      </w:r>
      <w:r>
        <w:rPr>
          <w:rFonts w:ascii="Times New Roman" w:hAnsi="Times New Roman" w:eastAsia="Times New Roman" w:cs="Times New Roman"/>
          <w:sz w:val="16"/>
          <w:szCs w:val="16"/>
          <w:spacing w:val="-1"/>
        </w:rPr>
        <w:t>ith</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1"/>
        </w:rPr>
        <w:t>Campaigns</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During</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2016</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U.S.Presidential   Cycle",Political   Communication,2018,35(2):155-177.</w:t>
      </w:r>
    </w:p>
    <w:p>
      <w:pPr>
        <w:spacing w:before="65" w:line="212" w:lineRule="auto"/>
        <w:rPr>
          <w:rFonts w:ascii="Times New Roman" w:hAnsi="Times New Roman" w:eastAsia="Times New Roman" w:cs="Times New Roman"/>
          <w:sz w:val="20"/>
          <w:szCs w:val="20"/>
        </w:rPr>
      </w:pPr>
      <w:r>
        <w:rPr>
          <w:rFonts w:ascii="SimSun" w:hAnsi="SimSun" w:eastAsia="SimSun" w:cs="SimSun"/>
          <w:sz w:val="20"/>
          <w:szCs w:val="20"/>
          <w:spacing w:val="-8"/>
        </w:rPr>
        <w:t>②</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8"/>
        </w:rPr>
        <w:t>Daniel Kreiss,Shannon C.McGregor,“The</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8"/>
        </w:rPr>
        <w:t>‘Arbiters of</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8"/>
        </w:rPr>
        <w:t>What Our Voters</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8"/>
        </w:rPr>
        <w:t>See':</w:t>
      </w:r>
    </w:p>
    <w:p>
      <w:pPr>
        <w:spacing w:before="148"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Facebook</w:t>
      </w:r>
      <w:r>
        <w:rPr>
          <w:rFonts w:ascii="Times New Roman" w:hAnsi="Times New Roman" w:eastAsia="Times New Roman" w:cs="Times New Roman"/>
          <w:sz w:val="16"/>
          <w:szCs w:val="16"/>
          <w:spacing w:val="25"/>
          <w:w w:val="101"/>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rPr>
        <w:t>Google's</w:t>
      </w:r>
      <w:r>
        <w:rPr>
          <w:rFonts w:ascii="Times New Roman" w:hAnsi="Times New Roman" w:eastAsia="Times New Roman" w:cs="Times New Roman"/>
          <w:sz w:val="16"/>
          <w:szCs w:val="16"/>
          <w:spacing w:val="30"/>
          <w:w w:val="102"/>
        </w:rPr>
        <w:t xml:space="preserve"> </w:t>
      </w:r>
      <w:r>
        <w:rPr>
          <w:rFonts w:ascii="Times New Roman" w:hAnsi="Times New Roman" w:eastAsia="Times New Roman" w:cs="Times New Roman"/>
          <w:sz w:val="16"/>
          <w:szCs w:val="16"/>
        </w:rPr>
        <w:t>Struggle</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rPr>
        <w:t>with</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rPr>
        <w:t>P</w:t>
      </w:r>
      <w:r>
        <w:rPr>
          <w:rFonts w:ascii="Times New Roman" w:hAnsi="Times New Roman" w:eastAsia="Times New Roman" w:cs="Times New Roman"/>
          <w:sz w:val="16"/>
          <w:szCs w:val="16"/>
          <w:spacing w:val="-1"/>
        </w:rPr>
        <w:t>olicy,Process,and</w:t>
      </w:r>
      <w:r>
        <w:rPr>
          <w:rFonts w:ascii="Times New Roman" w:hAnsi="Times New Roman" w:eastAsia="Times New Roman" w:cs="Times New Roman"/>
          <w:sz w:val="16"/>
          <w:szCs w:val="16"/>
          <w:spacing w:val="24"/>
        </w:rPr>
        <w:t xml:space="preserve"> </w:t>
      </w:r>
      <w:r>
        <w:rPr>
          <w:rFonts w:ascii="Times New Roman" w:hAnsi="Times New Roman" w:eastAsia="Times New Roman" w:cs="Times New Roman"/>
          <w:sz w:val="16"/>
          <w:szCs w:val="16"/>
          <w:spacing w:val="-1"/>
        </w:rPr>
        <w:t>Enforcement</w:t>
      </w:r>
      <w:r>
        <w:rPr>
          <w:rFonts w:ascii="Times New Roman" w:hAnsi="Times New Roman" w:eastAsia="Times New Roman" w:cs="Times New Roman"/>
          <w:sz w:val="16"/>
          <w:szCs w:val="16"/>
          <w:spacing w:val="26"/>
        </w:rPr>
        <w:t xml:space="preserve"> </w:t>
      </w:r>
      <w:r>
        <w:rPr>
          <w:rFonts w:ascii="Times New Roman" w:hAnsi="Times New Roman" w:eastAsia="Times New Roman" w:cs="Times New Roman"/>
          <w:sz w:val="16"/>
          <w:szCs w:val="16"/>
          <w:spacing w:val="-1"/>
        </w:rPr>
        <w:t>around</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spacing w:val="-1"/>
        </w:rPr>
        <w:t>Political</w:t>
      </w:r>
    </w:p>
    <w:p>
      <w:pPr>
        <w:ind w:left="309"/>
        <w:spacing w:before="10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Advertising",Political      Communication,2019,36(4):499-522.</w:t>
      </w:r>
    </w:p>
    <w:p>
      <w:pPr>
        <w:spacing w:line="192" w:lineRule="auto"/>
        <w:sectPr>
          <w:headerReference w:type="default" r:id="rId236"/>
          <w:pgSz w:w="7330" w:h="12480"/>
          <w:pgMar w:top="839" w:right="936" w:bottom="400" w:left="350" w:header="673" w:footer="0" w:gutter="0"/>
        </w:sectPr>
        <w:rPr>
          <w:rFonts w:ascii="Times New Roman" w:hAnsi="Times New Roman" w:eastAsia="Times New Roman" w:cs="Times New Roman"/>
          <w:sz w:val="16"/>
          <w:szCs w:val="16"/>
        </w:rPr>
      </w:pPr>
    </w:p>
    <w:p>
      <w:pPr>
        <w:pStyle w:val="BodyText"/>
        <w:spacing w:line="257" w:lineRule="auto"/>
        <w:rPr/>
      </w:pPr>
      <w:r>
        <w:drawing>
          <wp:anchor distT="0" distB="0" distL="0" distR="0" simplePos="0" relativeHeight="253689856" behindDoc="0" locked="0" layoutInCell="0" allowOverlap="1">
            <wp:simplePos x="0" y="0"/>
            <wp:positionH relativeFrom="page">
              <wp:posOffset>501667</wp:posOffset>
            </wp:positionH>
            <wp:positionV relativeFrom="page">
              <wp:posOffset>5994392</wp:posOffset>
            </wp:positionV>
            <wp:extent cx="1181092" cy="6350"/>
            <wp:effectExtent l="0" t="0" r="0" b="0"/>
            <wp:wrapNone/>
            <wp:docPr id="188" name="IM 188"/>
            <wp:cNvGraphicFramePr/>
            <a:graphic>
              <a:graphicData uri="http://schemas.openxmlformats.org/drawingml/2006/picture">
                <pic:pic>
                  <pic:nvPicPr>
                    <pic:cNvPr id="188" name="IM 188"/>
                    <pic:cNvPicPr/>
                  </pic:nvPicPr>
                  <pic:blipFill>
                    <a:blip r:embed="rId239"/>
                    <a:stretch>
                      <a:fillRect/>
                    </a:stretch>
                  </pic:blipFill>
                  <pic:spPr>
                    <a:xfrm rot="0">
                      <a:off x="0" y="0"/>
                      <a:ext cx="1181092" cy="6350"/>
                    </a:xfrm>
                    <a:prstGeom prst="rect">
                      <a:avLst/>
                    </a:prstGeom>
                  </pic:spPr>
                </pic:pic>
              </a:graphicData>
            </a:graphic>
          </wp:anchor>
        </w:drawing>
      </w:r>
      <w:r/>
    </w:p>
    <w:p>
      <w:pPr>
        <w:pStyle w:val="BodyText"/>
        <w:spacing w:line="257" w:lineRule="auto"/>
        <w:rPr/>
      </w:pPr>
      <w:r/>
    </w:p>
    <w:p>
      <w:pPr>
        <w:pStyle w:val="BodyText"/>
        <w:spacing w:line="257" w:lineRule="auto"/>
        <w:rPr/>
      </w:pPr>
      <w:r/>
    </w:p>
    <w:p>
      <w:pPr>
        <w:pStyle w:val="BodyText"/>
        <w:spacing w:line="257" w:lineRule="auto"/>
        <w:rPr/>
      </w:pPr>
      <w:r/>
    </w:p>
    <w:p>
      <w:pPr>
        <w:spacing w:before="68" w:line="298" w:lineRule="auto"/>
        <w:jc w:val="both"/>
        <w:rPr>
          <w:rFonts w:ascii="SimSun" w:hAnsi="SimSun" w:eastAsia="SimSun" w:cs="SimSun"/>
          <w:sz w:val="25"/>
          <w:szCs w:val="25"/>
        </w:rPr>
      </w:pPr>
      <w:r>
        <w:rPr>
          <w:rFonts w:ascii="SimSun" w:hAnsi="SimSun" w:eastAsia="SimSun" w:cs="SimSun"/>
          <w:sz w:val="21"/>
          <w:szCs w:val="21"/>
          <w:spacing w:val="-6"/>
        </w:rPr>
        <w:t>趋势。脱胎于中国移动短视频应用平台“抖音”的</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6"/>
        </w:rPr>
        <w:t>TikTok</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在美国年</w:t>
      </w:r>
      <w:r>
        <w:rPr>
          <w:rFonts w:ascii="SimSun" w:hAnsi="SimSun" w:eastAsia="SimSun" w:cs="SimSun"/>
          <w:sz w:val="21"/>
          <w:szCs w:val="21"/>
        </w:rPr>
        <w:t xml:space="preserve">  </w:t>
      </w:r>
      <w:r>
        <w:rPr>
          <w:rFonts w:ascii="SimSun" w:hAnsi="SimSun" w:eastAsia="SimSun" w:cs="SimSun"/>
          <w:sz w:val="21"/>
          <w:szCs w:val="21"/>
          <w:spacing w:val="-1"/>
        </w:rPr>
        <w:t>轻人中迅速走红，尽管</w:t>
      </w:r>
      <w:r>
        <w:rPr>
          <w:rFonts w:ascii="Times New Roman" w:hAnsi="Times New Roman" w:eastAsia="Times New Roman" w:cs="Times New Roman"/>
          <w:sz w:val="21"/>
          <w:szCs w:val="21"/>
          <w:spacing w:val="-1"/>
        </w:rPr>
        <w:t>TikTok</w:t>
      </w:r>
      <w:r>
        <w:rPr>
          <w:rFonts w:ascii="SimSun" w:hAnsi="SimSun" w:eastAsia="SimSun" w:cs="SimSun"/>
          <w:sz w:val="21"/>
          <w:szCs w:val="21"/>
          <w:spacing w:val="-1"/>
        </w:rPr>
        <w:t>原本的用意是让用户发布自己跳舞、</w:t>
      </w:r>
      <w:r>
        <w:rPr>
          <w:rFonts w:ascii="SimSun" w:hAnsi="SimSun" w:eastAsia="SimSun" w:cs="SimSun"/>
          <w:sz w:val="21"/>
          <w:szCs w:val="21"/>
          <w:spacing w:val="17"/>
        </w:rPr>
        <w:t xml:space="preserve"> </w:t>
      </w:r>
      <w:r>
        <w:rPr>
          <w:rFonts w:ascii="SimSun" w:hAnsi="SimSun" w:eastAsia="SimSun" w:cs="SimSun"/>
          <w:sz w:val="21"/>
          <w:szCs w:val="21"/>
          <w:spacing w:val="4"/>
        </w:rPr>
        <w:t>假唱或才艺展示的片段，但在2019年之后</w:t>
      </w:r>
      <w:r>
        <w:rPr>
          <w:rFonts w:ascii="Times New Roman" w:hAnsi="Times New Roman" w:eastAsia="Times New Roman" w:cs="Times New Roman"/>
          <w:sz w:val="21"/>
          <w:szCs w:val="21"/>
        </w:rPr>
        <w:t>TikTok</w:t>
      </w:r>
      <w:r>
        <w:rPr>
          <w:rFonts w:ascii="SimSun" w:hAnsi="SimSun" w:eastAsia="SimSun" w:cs="SimSun"/>
          <w:sz w:val="21"/>
          <w:szCs w:val="21"/>
          <w:spacing w:val="4"/>
        </w:rPr>
        <w:t>上含有政治表达</w:t>
      </w:r>
      <w:r>
        <w:rPr>
          <w:rFonts w:ascii="SimSun" w:hAnsi="SimSun" w:eastAsia="SimSun" w:cs="SimSun"/>
          <w:sz w:val="21"/>
          <w:szCs w:val="21"/>
        </w:rPr>
        <w:t xml:space="preserve">  </w:t>
      </w:r>
      <w:r>
        <w:rPr>
          <w:rFonts w:ascii="SimSun" w:hAnsi="SimSun" w:eastAsia="SimSun" w:cs="SimSun"/>
          <w:sz w:val="21"/>
          <w:szCs w:val="21"/>
          <w:spacing w:val="-8"/>
        </w:rPr>
        <w:t>内容的短视频却激增。根据对一组美国共和党和民主党</w:t>
      </w:r>
      <w:r>
        <w:rPr>
          <w:rFonts w:ascii="SimSun" w:hAnsi="SimSun" w:eastAsia="SimSun" w:cs="SimSun"/>
          <w:sz w:val="21"/>
          <w:szCs w:val="21"/>
          <w:spacing w:val="-9"/>
        </w:rPr>
        <w:t>的视频分析，</w:t>
      </w:r>
      <w:r>
        <w:rPr>
          <w:rFonts w:ascii="SimSun" w:hAnsi="SimSun" w:eastAsia="SimSun" w:cs="SimSun"/>
          <w:sz w:val="21"/>
          <w:szCs w:val="21"/>
        </w:rPr>
        <w:t xml:space="preserve"> </w:t>
      </w:r>
      <w:r>
        <w:rPr>
          <w:rFonts w:ascii="Times New Roman" w:hAnsi="Times New Roman" w:eastAsia="Times New Roman" w:cs="Times New Roman"/>
          <w:sz w:val="21"/>
          <w:szCs w:val="21"/>
          <w:spacing w:val="-6"/>
        </w:rPr>
        <w:t>TikTok</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6"/>
        </w:rPr>
        <w:t>上的政治交流与其他社交媒体平台相比互动性更高，更容易</w:t>
      </w:r>
      <w:r>
        <w:rPr>
          <w:rFonts w:ascii="SimSun" w:hAnsi="SimSun" w:eastAsia="SimSun" w:cs="SimSun"/>
          <w:sz w:val="21"/>
          <w:szCs w:val="21"/>
        </w:rPr>
        <w:t xml:space="preserve"> </w:t>
      </w:r>
      <w:r>
        <w:rPr>
          <w:rFonts w:ascii="SimSun" w:hAnsi="SimSun" w:eastAsia="SimSun" w:cs="SimSun"/>
          <w:sz w:val="21"/>
          <w:szCs w:val="21"/>
          <w:spacing w:val="-3"/>
        </w:rPr>
        <w:t>形成不同观点和党派倾向的聚类。</w:t>
      </w:r>
      <w:r>
        <w:rPr>
          <w:rFonts w:ascii="Times New Roman" w:hAnsi="Times New Roman" w:eastAsia="Times New Roman" w:cs="Times New Roman"/>
          <w:sz w:val="21"/>
          <w:szCs w:val="21"/>
          <w:spacing w:val="-3"/>
        </w:rPr>
        <w:t>TikTok</w:t>
      </w:r>
      <w:r>
        <w:rPr>
          <w:rFonts w:ascii="SimSun" w:hAnsi="SimSun" w:eastAsia="SimSun" w:cs="SimSun"/>
          <w:sz w:val="21"/>
          <w:szCs w:val="21"/>
          <w:spacing w:val="-3"/>
        </w:rPr>
        <w:t>上政治观</w:t>
      </w:r>
      <w:r>
        <w:rPr>
          <w:rFonts w:ascii="SimSun" w:hAnsi="SimSun" w:eastAsia="SimSun" w:cs="SimSun"/>
          <w:sz w:val="21"/>
          <w:szCs w:val="21"/>
          <w:spacing w:val="-4"/>
        </w:rPr>
        <w:t>点的表达具有跨</w:t>
      </w:r>
      <w:r>
        <w:rPr>
          <w:rFonts w:ascii="SimSun" w:hAnsi="SimSun" w:eastAsia="SimSun" w:cs="SimSun"/>
          <w:sz w:val="21"/>
          <w:szCs w:val="21"/>
        </w:rPr>
        <w:t xml:space="preserve">  </w:t>
      </w:r>
      <w:r>
        <w:rPr>
          <w:rFonts w:ascii="SimSun" w:hAnsi="SimSun" w:eastAsia="SimSun" w:cs="SimSun"/>
          <w:sz w:val="21"/>
          <w:szCs w:val="21"/>
          <w:spacing w:val="-4"/>
        </w:rPr>
        <w:t>党派特征，其中共和党用户制作的视频得到了更多的回应，民主党</w:t>
      </w:r>
      <w:r>
        <w:rPr>
          <w:rFonts w:ascii="SimSun" w:hAnsi="SimSun" w:eastAsia="SimSun" w:cs="SimSun"/>
          <w:sz w:val="21"/>
          <w:szCs w:val="21"/>
          <w:spacing w:val="8"/>
        </w:rPr>
        <w:t xml:space="preserve">  </w:t>
      </w:r>
      <w:r>
        <w:rPr>
          <w:rFonts w:ascii="SimSun" w:hAnsi="SimSun" w:eastAsia="SimSun" w:cs="SimSun"/>
          <w:sz w:val="21"/>
          <w:szCs w:val="21"/>
          <w:spacing w:val="-12"/>
        </w:rPr>
        <w:t>则更多地参与跨党派讨论。①根据一项最新研究，</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2"/>
        </w:rPr>
        <w:t>TikTok </w:t>
      </w:r>
      <w:r>
        <w:rPr>
          <w:rFonts w:ascii="SimSun" w:hAnsi="SimSun" w:eastAsia="SimSun" w:cs="SimSun"/>
          <w:sz w:val="21"/>
          <w:szCs w:val="21"/>
          <w:spacing w:val="-12"/>
        </w:rPr>
        <w:t>对</w:t>
      </w:r>
      <w:r>
        <w:rPr>
          <w:rFonts w:ascii="SimSun" w:hAnsi="SimSun" w:eastAsia="SimSun" w:cs="SimSun"/>
          <w:sz w:val="21"/>
          <w:szCs w:val="21"/>
          <w:spacing w:val="-13"/>
        </w:rPr>
        <w:t>青少年参</w:t>
      </w:r>
      <w:r>
        <w:rPr>
          <w:rFonts w:ascii="SimSun" w:hAnsi="SimSun" w:eastAsia="SimSun" w:cs="SimSun"/>
          <w:sz w:val="21"/>
          <w:szCs w:val="21"/>
        </w:rPr>
        <w:t xml:space="preserve">  </w:t>
      </w:r>
      <w:r>
        <w:rPr>
          <w:rFonts w:ascii="SimSun" w:hAnsi="SimSun" w:eastAsia="SimSun" w:cs="SimSun"/>
          <w:sz w:val="21"/>
          <w:szCs w:val="21"/>
          <w:spacing w:val="-1"/>
        </w:rPr>
        <w:t>与在线政治行动以及获取政治信息作用较大，有超过37.4%的受访</w:t>
      </w:r>
      <w:r>
        <w:rPr>
          <w:rFonts w:ascii="SimSun" w:hAnsi="SimSun" w:eastAsia="SimSun" w:cs="SimSun"/>
          <w:sz w:val="21"/>
          <w:szCs w:val="21"/>
          <w:spacing w:val="8"/>
        </w:rPr>
        <w:t xml:space="preserve">  </w:t>
      </w:r>
      <w:r>
        <w:rPr>
          <w:rFonts w:ascii="SimSun" w:hAnsi="SimSun" w:eastAsia="SimSun" w:cs="SimSun"/>
          <w:sz w:val="21"/>
          <w:szCs w:val="21"/>
          <w:spacing w:val="-4"/>
        </w:rPr>
        <w:t>青少年用户表示</w:t>
      </w:r>
      <w:r>
        <w:rPr>
          <w:rFonts w:ascii="Times New Roman" w:hAnsi="Times New Roman" w:eastAsia="Times New Roman" w:cs="Times New Roman"/>
          <w:sz w:val="21"/>
          <w:szCs w:val="21"/>
          <w:spacing w:val="-4"/>
        </w:rPr>
        <w:t>TikTok</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是自己平时获得政治</w:t>
      </w:r>
      <w:r>
        <w:rPr>
          <w:rFonts w:ascii="SimSun" w:hAnsi="SimSun" w:eastAsia="SimSun" w:cs="SimSun"/>
          <w:sz w:val="21"/>
          <w:szCs w:val="21"/>
          <w:spacing w:val="-5"/>
        </w:rPr>
        <w:t>信息的最主要来源，超</w:t>
      </w:r>
      <w:r>
        <w:rPr>
          <w:rFonts w:ascii="SimSun" w:hAnsi="SimSun" w:eastAsia="SimSun" w:cs="SimSun"/>
          <w:sz w:val="21"/>
          <w:szCs w:val="21"/>
        </w:rPr>
        <w:t xml:space="preserve">  </w:t>
      </w:r>
      <w:r>
        <w:rPr>
          <w:rFonts w:ascii="SimSun" w:hAnsi="SimSun" w:eastAsia="SimSun" w:cs="SimSun"/>
          <w:sz w:val="21"/>
          <w:szCs w:val="21"/>
          <w:spacing w:val="-4"/>
        </w:rPr>
        <w:t>过11%的青少年用户表示平时主要用TikTok来发表自己的</w:t>
      </w:r>
      <w:r>
        <w:rPr>
          <w:rFonts w:ascii="SimSun" w:hAnsi="SimSun" w:eastAsia="SimSun" w:cs="SimSun"/>
          <w:sz w:val="21"/>
          <w:szCs w:val="21"/>
          <w:spacing w:val="-5"/>
        </w:rPr>
        <w:t>政治观点，</w:t>
      </w:r>
      <w:r>
        <w:rPr>
          <w:rFonts w:ascii="SimSun" w:hAnsi="SimSun" w:eastAsia="SimSun" w:cs="SimSun"/>
          <w:sz w:val="21"/>
          <w:szCs w:val="21"/>
        </w:rPr>
        <w:t xml:space="preserve"> </w:t>
      </w:r>
      <w:r>
        <w:rPr>
          <w:rFonts w:ascii="SimSun" w:hAnsi="SimSun" w:eastAsia="SimSun" w:cs="SimSun"/>
          <w:sz w:val="21"/>
          <w:szCs w:val="21"/>
          <w:spacing w:val="4"/>
        </w:rPr>
        <w:t>超过74%的受访者表示把</w:t>
      </w:r>
      <w:r>
        <w:rPr>
          <w:rFonts w:ascii="Times New Roman" w:hAnsi="Times New Roman" w:eastAsia="Times New Roman" w:cs="Times New Roman"/>
          <w:sz w:val="21"/>
          <w:szCs w:val="21"/>
        </w:rPr>
        <w:t>Instagram</w:t>
      </w:r>
      <w:r>
        <w:rPr>
          <w:rFonts w:ascii="SimSun" w:hAnsi="SimSun" w:eastAsia="SimSun" w:cs="SimSun"/>
          <w:sz w:val="21"/>
          <w:szCs w:val="21"/>
          <w:spacing w:val="4"/>
        </w:rPr>
        <w:t>作为表达政治观点的</w:t>
      </w:r>
      <w:r>
        <w:rPr>
          <w:rFonts w:ascii="SimSun" w:hAnsi="SimSun" w:eastAsia="SimSun" w:cs="SimSun"/>
          <w:sz w:val="21"/>
          <w:szCs w:val="21"/>
          <w:spacing w:val="3"/>
        </w:rPr>
        <w:t>主要平台。</w:t>
      </w:r>
      <w:r>
        <w:rPr>
          <w:rFonts w:ascii="SimSun" w:hAnsi="SimSun" w:eastAsia="SimSun" w:cs="SimSun"/>
          <w:sz w:val="21"/>
          <w:szCs w:val="21"/>
        </w:rPr>
        <w:t xml:space="preserve"> </w:t>
      </w:r>
      <w:r>
        <w:rPr>
          <w:rFonts w:ascii="SimSun" w:hAnsi="SimSun" w:eastAsia="SimSun" w:cs="SimSun"/>
          <w:sz w:val="21"/>
          <w:szCs w:val="21"/>
          <w:spacing w:val="-5"/>
        </w:rPr>
        <w:t>TikTok</w:t>
      </w:r>
      <w:r>
        <w:rPr>
          <w:rFonts w:ascii="SimSun" w:hAnsi="SimSun" w:eastAsia="SimSun" w:cs="SimSun"/>
          <w:sz w:val="21"/>
          <w:szCs w:val="21"/>
          <w:spacing w:val="-47"/>
        </w:rPr>
        <w:t xml:space="preserve"> </w:t>
      </w:r>
      <w:r>
        <w:rPr>
          <w:rFonts w:ascii="SimSun" w:hAnsi="SimSun" w:eastAsia="SimSun" w:cs="SimSun"/>
          <w:sz w:val="21"/>
          <w:szCs w:val="21"/>
          <w:spacing w:val="-5"/>
        </w:rPr>
        <w:t>在美国青少年中的走红甚至引发了美国朝野上下的关注，平</w:t>
      </w:r>
      <w:r>
        <w:rPr>
          <w:rFonts w:ascii="SimSun" w:hAnsi="SimSun" w:eastAsia="SimSun" w:cs="SimSun"/>
          <w:sz w:val="21"/>
          <w:szCs w:val="21"/>
        </w:rPr>
        <w:t xml:space="preserve">  </w:t>
      </w:r>
      <w:r>
        <w:rPr>
          <w:rFonts w:ascii="SimSun" w:hAnsi="SimSun" w:eastAsia="SimSun" w:cs="SimSun"/>
          <w:sz w:val="21"/>
          <w:szCs w:val="21"/>
          <w:spacing w:val="-4"/>
        </w:rPr>
        <w:t>台的政治影响力也是特朗普政府在2020年对</w:t>
      </w:r>
      <w:r>
        <w:rPr>
          <w:rFonts w:ascii="Times New Roman" w:hAnsi="Times New Roman" w:eastAsia="Times New Roman" w:cs="Times New Roman"/>
          <w:sz w:val="21"/>
          <w:szCs w:val="21"/>
          <w:spacing w:val="-5"/>
        </w:rPr>
        <w:t>TikTok </w:t>
      </w:r>
      <w:r>
        <w:rPr>
          <w:rFonts w:ascii="SimSun" w:hAnsi="SimSun" w:eastAsia="SimSun" w:cs="SimSun"/>
          <w:sz w:val="21"/>
          <w:szCs w:val="21"/>
          <w:spacing w:val="-5"/>
        </w:rPr>
        <w:t>进行封禁的主要</w:t>
      </w:r>
      <w:r>
        <w:rPr>
          <w:rFonts w:ascii="SimSun" w:hAnsi="SimSun" w:eastAsia="SimSun" w:cs="SimSun"/>
          <w:sz w:val="21"/>
          <w:szCs w:val="21"/>
        </w:rPr>
        <w:t xml:space="preserve">  </w:t>
      </w:r>
      <w:r>
        <w:rPr>
          <w:rFonts w:ascii="SimSun" w:hAnsi="SimSun" w:eastAsia="SimSun" w:cs="SimSun"/>
          <w:sz w:val="25"/>
          <w:szCs w:val="25"/>
          <w:spacing w:val="-38"/>
          <w:w w:val="94"/>
        </w:rPr>
        <w:t>理由。②</w:t>
      </w:r>
    </w:p>
    <w:p>
      <w:pPr>
        <w:ind w:firstLine="440"/>
        <w:spacing w:before="227" w:line="300" w:lineRule="auto"/>
        <w:jc w:val="both"/>
        <w:rPr>
          <w:rFonts w:ascii="SimSun" w:hAnsi="SimSun" w:eastAsia="SimSun" w:cs="SimSun"/>
          <w:sz w:val="21"/>
          <w:szCs w:val="21"/>
        </w:rPr>
      </w:pPr>
      <w:r>
        <w:rPr>
          <w:rFonts w:ascii="SimSun" w:hAnsi="SimSun" w:eastAsia="SimSun" w:cs="SimSun"/>
          <w:sz w:val="21"/>
          <w:szCs w:val="21"/>
          <w:spacing w:val="-8"/>
        </w:rPr>
        <w:t>社交类平台在对信息的管理上面临着自由和安全的两难</w:t>
      </w:r>
      <w:r>
        <w:rPr>
          <w:rFonts w:ascii="SimSun" w:hAnsi="SimSun" w:eastAsia="SimSun" w:cs="SimSun"/>
          <w:sz w:val="21"/>
          <w:szCs w:val="21"/>
          <w:spacing w:val="-9"/>
        </w:rPr>
        <w:t>。</w:t>
      </w:r>
      <w:r>
        <w:rPr>
          <w:rFonts w:ascii="SimSun" w:hAnsi="SimSun" w:eastAsia="SimSun" w:cs="SimSun"/>
          <w:sz w:val="21"/>
          <w:szCs w:val="21"/>
          <w:spacing w:val="41"/>
        </w:rPr>
        <w:t xml:space="preserve"> </w:t>
      </w:r>
      <w:r>
        <w:rPr>
          <w:rFonts w:ascii="SimSun" w:hAnsi="SimSun" w:eastAsia="SimSun" w:cs="SimSun"/>
          <w:sz w:val="21"/>
          <w:szCs w:val="21"/>
          <w:spacing w:val="-9"/>
        </w:rPr>
        <w:t>一方</w:t>
      </w:r>
      <w:r>
        <w:rPr>
          <w:rFonts w:ascii="SimSun" w:hAnsi="SimSun" w:eastAsia="SimSun" w:cs="SimSun"/>
          <w:sz w:val="21"/>
          <w:szCs w:val="21"/>
        </w:rPr>
        <w:t xml:space="preserve"> </w:t>
      </w:r>
      <w:r>
        <w:rPr>
          <w:rFonts w:ascii="SimSun" w:hAnsi="SimSun" w:eastAsia="SimSun" w:cs="SimSun"/>
          <w:sz w:val="21"/>
          <w:szCs w:val="21"/>
          <w:spacing w:val="-11"/>
        </w:rPr>
        <w:t>面，在自媒体时代，各种虚假信息和极端、煽动性的主张可能通过平</w:t>
      </w:r>
      <w:r>
        <w:rPr>
          <w:rFonts w:ascii="SimSun" w:hAnsi="SimSun" w:eastAsia="SimSun" w:cs="SimSun"/>
          <w:sz w:val="21"/>
          <w:szCs w:val="21"/>
          <w:spacing w:val="9"/>
        </w:rPr>
        <w:t xml:space="preserve">  </w:t>
      </w:r>
      <w:r>
        <w:rPr>
          <w:rFonts w:ascii="SimSun" w:hAnsi="SimSun" w:eastAsia="SimSun" w:cs="SimSun"/>
          <w:sz w:val="21"/>
          <w:szCs w:val="21"/>
          <w:spacing w:val="-11"/>
        </w:rPr>
        <w:t>台传播，对社会稳定和公共安全造成负面影响。另一方面，社交媒体</w:t>
      </w:r>
      <w:r>
        <w:rPr>
          <w:rFonts w:ascii="SimSun" w:hAnsi="SimSun" w:eastAsia="SimSun" w:cs="SimSun"/>
          <w:sz w:val="21"/>
          <w:szCs w:val="21"/>
          <w:spacing w:val="8"/>
        </w:rPr>
        <w:t xml:space="preserve">  </w:t>
      </w:r>
      <w:r>
        <w:rPr>
          <w:rFonts w:ascii="SimSun" w:hAnsi="SimSun" w:eastAsia="SimSun" w:cs="SimSun"/>
          <w:sz w:val="21"/>
          <w:szCs w:val="21"/>
          <w:spacing w:val="-11"/>
        </w:rPr>
        <w:t>的互动性和自发性特征决定了平台很难对每一条信息的内容加以严格</w:t>
      </w:r>
      <w:r>
        <w:rPr>
          <w:rFonts w:ascii="SimSun" w:hAnsi="SimSun" w:eastAsia="SimSun" w:cs="SimSun"/>
          <w:sz w:val="21"/>
          <w:szCs w:val="21"/>
          <w:spacing w:val="8"/>
        </w:rPr>
        <w:t xml:space="preserve">  </w:t>
      </w:r>
      <w:r>
        <w:rPr>
          <w:rFonts w:ascii="SimSun" w:hAnsi="SimSun" w:eastAsia="SimSun" w:cs="SimSun"/>
          <w:sz w:val="21"/>
          <w:szCs w:val="21"/>
          <w:spacing w:val="-10"/>
        </w:rPr>
        <w:t>甄别和审查。举例来说，某人在社交媒体发布的一条</w:t>
      </w:r>
      <w:r>
        <w:rPr>
          <w:rFonts w:ascii="SimSun" w:hAnsi="SimSun" w:eastAsia="SimSun" w:cs="SimSun"/>
          <w:sz w:val="21"/>
          <w:szCs w:val="21"/>
          <w:spacing w:val="-11"/>
        </w:rPr>
        <w:t>关于某地某公寓</w:t>
      </w:r>
      <w:r>
        <w:rPr>
          <w:rFonts w:ascii="SimSun" w:hAnsi="SimSun" w:eastAsia="SimSun" w:cs="SimSun"/>
          <w:sz w:val="21"/>
          <w:szCs w:val="21"/>
        </w:rPr>
        <w:t xml:space="preserve">  </w:t>
      </w:r>
      <w:r>
        <w:rPr>
          <w:rFonts w:ascii="SimSun" w:hAnsi="SimSun" w:eastAsia="SimSun" w:cs="SimSun"/>
          <w:sz w:val="21"/>
          <w:szCs w:val="21"/>
          <w:spacing w:val="-7"/>
        </w:rPr>
        <w:t>发生火灾的假消息，可能导致该楼的住户在慌乱中跳楼</w:t>
      </w:r>
      <w:r>
        <w:rPr>
          <w:rFonts w:ascii="SimSun" w:hAnsi="SimSun" w:eastAsia="SimSun" w:cs="SimSun"/>
          <w:sz w:val="21"/>
          <w:szCs w:val="21"/>
          <w:spacing w:val="-8"/>
        </w:rPr>
        <w:t>逃生而伤亡，</w:t>
      </w:r>
    </w:p>
    <w:p>
      <w:pPr>
        <w:pStyle w:val="BodyText"/>
        <w:spacing w:line="417" w:lineRule="auto"/>
        <w:rPr/>
      </w:pPr>
      <w:r/>
    </w:p>
    <w:p>
      <w:pPr>
        <w:ind w:left="340" w:right="49" w:hanging="340"/>
        <w:spacing w:before="68" w:line="260" w:lineRule="auto"/>
        <w:rPr>
          <w:rFonts w:ascii="Times New Roman" w:hAnsi="Times New Roman" w:eastAsia="Times New Roman" w:cs="Times New Roman"/>
          <w:sz w:val="16"/>
          <w:szCs w:val="16"/>
        </w:rPr>
      </w:pPr>
      <w:r>
        <w:rPr>
          <w:rFonts w:ascii="SimSun" w:hAnsi="SimSun" w:eastAsia="SimSun" w:cs="SimSun"/>
          <w:sz w:val="21"/>
          <w:szCs w:val="21"/>
          <w:spacing w:val="-5"/>
        </w:rPr>
        <w:t>①</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5"/>
        </w:rPr>
        <w:t>Juan Carlos Medina</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5"/>
        </w:rPr>
        <w:t>Serrano,et al.,“Dancing to the Partisan Beat:A Fi</w:t>
      </w:r>
      <w:r>
        <w:rPr>
          <w:rFonts w:ascii="Times New Roman" w:hAnsi="Times New Roman" w:eastAsia="Times New Roman" w:cs="Times New Roman"/>
          <w:sz w:val="21"/>
          <w:szCs w:val="21"/>
          <w:spacing w:val="-6"/>
        </w:rPr>
        <w:t>rst</w:t>
      </w:r>
      <w:r>
        <w:rPr>
          <w:rFonts w:ascii="Times New Roman" w:hAnsi="Times New Roman" w:eastAsia="Times New Roman" w:cs="Times New Roman"/>
          <w:sz w:val="21"/>
          <w:szCs w:val="21"/>
        </w:rPr>
        <w:t xml:space="preserve"> </w:t>
      </w:r>
      <w:r>
        <w:rPr>
          <w:rFonts w:ascii="Times New Roman" w:hAnsi="Times New Roman" w:eastAsia="Times New Roman" w:cs="Times New Roman"/>
          <w:sz w:val="16"/>
          <w:szCs w:val="16"/>
        </w:rPr>
        <w:t>Analysis</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rPr>
        <w:t>of  Political</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Communication</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on  TikTok",12th  ACM   Conference  on</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Web</w:t>
      </w:r>
    </w:p>
    <w:p>
      <w:pPr>
        <w:ind w:left="340"/>
        <w:spacing w:before="139" w:line="183" w:lineRule="auto"/>
        <w:rPr>
          <w:rFonts w:ascii="SimSun" w:hAnsi="SimSun" w:eastAsia="SimSun" w:cs="SimSun"/>
          <w:sz w:val="16"/>
          <w:szCs w:val="16"/>
        </w:rPr>
      </w:pPr>
      <w:r>
        <w:rPr>
          <w:rFonts w:ascii="SimSun" w:hAnsi="SimSun" w:eastAsia="SimSun" w:cs="SimSun"/>
          <w:sz w:val="16"/>
          <w:szCs w:val="16"/>
          <w:spacing w:val="-3"/>
        </w:rPr>
        <w:t>Science,2020-07-06.</w:t>
      </w:r>
    </w:p>
    <w:p>
      <w:pPr>
        <w:ind w:left="340" w:right="26" w:hanging="340"/>
        <w:spacing w:before="55" w:line="294" w:lineRule="auto"/>
        <w:rPr>
          <w:rFonts w:ascii="SimSun" w:hAnsi="SimSun" w:eastAsia="SimSun" w:cs="SimSun"/>
          <w:sz w:val="16"/>
          <w:szCs w:val="16"/>
        </w:rPr>
      </w:pPr>
      <w:r>
        <w:rPr>
          <w:rFonts w:ascii="SimSun" w:hAnsi="SimSun" w:eastAsia="SimSun" w:cs="SimSun"/>
          <w:sz w:val="21"/>
          <w:szCs w:val="21"/>
          <w:spacing w:val="-8"/>
        </w:rPr>
        <w:t>②</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8"/>
        </w:rPr>
        <w:t>Theo</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8"/>
        </w:rPr>
        <w:t>Sodani,Scott Mendenhall,“Binge-Swiping through Politics:TikTok's </w:t>
      </w:r>
      <w:r>
        <w:rPr>
          <w:rFonts w:ascii="Times New Roman" w:hAnsi="Times New Roman" w:eastAsia="Times New Roman" w:cs="Times New Roman"/>
          <w:sz w:val="16"/>
          <w:szCs w:val="16"/>
        </w:rPr>
        <w:t>Emerging  Role  in</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American   Government",Journal   of  Student  Research,2021,10(2),</w:t>
      </w:r>
      <w:r>
        <w:rPr>
          <w:rFonts w:ascii="Times New Roman" w:hAnsi="Times New Roman" w:eastAsia="Times New Roman" w:cs="Times New Roman"/>
          <w:sz w:val="16"/>
          <w:szCs w:val="16"/>
          <w:spacing w:val="1"/>
        </w:rPr>
        <w:t xml:space="preserve"> </w:t>
      </w:r>
      <w:r>
        <w:rPr>
          <w:rFonts w:ascii="SimSun" w:hAnsi="SimSun" w:eastAsia="SimSun" w:cs="SimSun"/>
          <w:sz w:val="16"/>
          <w:szCs w:val="16"/>
          <w:spacing w:val="-8"/>
        </w:rPr>
        <w:t>DOI:10.47611/jsrhs.v10i2.1777.</w:t>
      </w:r>
    </w:p>
    <w:p>
      <w:pPr>
        <w:spacing w:line="294" w:lineRule="auto"/>
        <w:sectPr>
          <w:headerReference w:type="default" r:id="rId238"/>
          <w:pgSz w:w="7330" w:h="12480"/>
          <w:pgMar w:top="539" w:right="485" w:bottom="400" w:left="759" w:header="375" w:footer="0" w:gutter="0"/>
        </w:sectPr>
        <w:rPr>
          <w:rFonts w:ascii="SimSun" w:hAnsi="SimSun" w:eastAsia="SimSun" w:cs="SimSun"/>
          <w:sz w:val="16"/>
          <w:szCs w:val="16"/>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04" w:right="77"/>
        <w:spacing w:before="69" w:line="325" w:lineRule="auto"/>
        <w:jc w:val="both"/>
        <w:rPr>
          <w:rFonts w:ascii="SimSun" w:hAnsi="SimSun" w:eastAsia="SimSun" w:cs="SimSun"/>
          <w:sz w:val="21"/>
          <w:szCs w:val="21"/>
        </w:rPr>
      </w:pPr>
      <w:r>
        <w:rPr>
          <w:rFonts w:ascii="SimSun" w:hAnsi="SimSun" w:eastAsia="SimSun" w:cs="SimSun"/>
          <w:sz w:val="21"/>
          <w:szCs w:val="21"/>
          <w:spacing w:val="-11"/>
        </w:rPr>
        <w:t>但如果平台必须对用户发布的每一条信息进行审核和负责，平台也许</w:t>
      </w:r>
      <w:r>
        <w:rPr>
          <w:rFonts w:ascii="SimSun" w:hAnsi="SimSun" w:eastAsia="SimSun" w:cs="SimSun"/>
          <w:sz w:val="21"/>
          <w:szCs w:val="21"/>
          <w:spacing w:val="16"/>
        </w:rPr>
        <w:t xml:space="preserve"> </w:t>
      </w:r>
      <w:r>
        <w:rPr>
          <w:rFonts w:ascii="SimSun" w:hAnsi="SimSun" w:eastAsia="SimSun" w:cs="SimSun"/>
          <w:sz w:val="21"/>
          <w:szCs w:val="21"/>
          <w:spacing w:val="-10"/>
        </w:rPr>
        <w:t>会被迫将未经验证的火灾信息默认为“不实”而删除，这就可能导致</w:t>
      </w:r>
    </w:p>
    <w:p>
      <w:pPr>
        <w:ind w:left="104"/>
        <w:spacing w:line="218" w:lineRule="auto"/>
        <w:rPr>
          <w:rFonts w:ascii="SimSun" w:hAnsi="SimSun" w:eastAsia="SimSun" w:cs="SimSun"/>
          <w:sz w:val="21"/>
          <w:szCs w:val="21"/>
        </w:rPr>
      </w:pPr>
      <w:r>
        <w:rPr>
          <w:rFonts w:ascii="SimSun" w:hAnsi="SimSun" w:eastAsia="SimSun" w:cs="SimSun"/>
          <w:sz w:val="21"/>
          <w:szCs w:val="21"/>
          <w:spacing w:val="-11"/>
        </w:rPr>
        <w:t>过滤掉一部分真实的信息，不利于社会治理。</w:t>
      </w:r>
    </w:p>
    <w:p>
      <w:pPr>
        <w:ind w:firstLine="514"/>
        <w:spacing w:before="99" w:line="311" w:lineRule="auto"/>
        <w:jc w:val="both"/>
        <w:rPr>
          <w:rFonts w:ascii="SimSun" w:hAnsi="SimSun" w:eastAsia="SimSun" w:cs="SimSun"/>
          <w:sz w:val="21"/>
          <w:szCs w:val="21"/>
        </w:rPr>
      </w:pPr>
      <w:r>
        <w:rPr>
          <w:rFonts w:ascii="SimSun" w:hAnsi="SimSun" w:eastAsia="SimSun" w:cs="SimSun"/>
          <w:sz w:val="21"/>
          <w:szCs w:val="21"/>
          <w:spacing w:val="-2"/>
        </w:rPr>
        <w:t>针对数据安全和隐私等公众普遍关注的问题，根据</w:t>
      </w:r>
      <w:r>
        <w:rPr>
          <w:rFonts w:ascii="SimSun" w:hAnsi="SimSun" w:eastAsia="SimSun" w:cs="SimSun"/>
          <w:sz w:val="21"/>
          <w:szCs w:val="21"/>
          <w:spacing w:val="-3"/>
        </w:rPr>
        <w:t>皮尤研究中</w:t>
      </w:r>
      <w:r>
        <w:rPr>
          <w:rFonts w:ascii="SimSun" w:hAnsi="SimSun" w:eastAsia="SimSun" w:cs="SimSun"/>
          <w:sz w:val="21"/>
          <w:szCs w:val="21"/>
        </w:rPr>
        <w:t xml:space="preserve"> </w:t>
      </w:r>
      <w:r>
        <w:rPr>
          <w:rFonts w:ascii="SimSun" w:hAnsi="SimSun" w:eastAsia="SimSun" w:cs="SimSun"/>
          <w:sz w:val="21"/>
          <w:szCs w:val="21"/>
        </w:rPr>
        <w:t>心在2018年开展的一项调查，在剑桥数据分析丑闻曝光之后，西方</w:t>
      </w:r>
      <w:r>
        <w:rPr>
          <w:rFonts w:ascii="SimSun" w:hAnsi="SimSun" w:eastAsia="SimSun" w:cs="SimSun"/>
          <w:sz w:val="21"/>
          <w:szCs w:val="21"/>
          <w:spacing w:val="1"/>
        </w:rPr>
        <w:t xml:space="preserve">  </w:t>
      </w:r>
      <w:r>
        <w:rPr>
          <w:rFonts w:ascii="SimSun" w:hAnsi="SimSun" w:eastAsia="SimSun" w:cs="SimSun"/>
          <w:sz w:val="21"/>
          <w:szCs w:val="21"/>
          <w:spacing w:val="17"/>
        </w:rPr>
        <w:t>社会54%的成年用户(18岁及以上)表示他们在过去1</w:t>
      </w:r>
      <w:r>
        <w:rPr>
          <w:rFonts w:ascii="SimSun" w:hAnsi="SimSun" w:eastAsia="SimSun" w:cs="SimSun"/>
          <w:sz w:val="21"/>
          <w:szCs w:val="21"/>
          <w:spacing w:val="16"/>
        </w:rPr>
        <w:t>2年中调整 </w:t>
      </w:r>
      <w:r>
        <w:rPr>
          <w:rFonts w:ascii="SimSun" w:hAnsi="SimSun" w:eastAsia="SimSun" w:cs="SimSun"/>
          <w:sz w:val="21"/>
          <w:szCs w:val="21"/>
        </w:rPr>
        <w:t>了隐私设置，禁止外部应用程序在未经用户允许的情况下调用他们</w:t>
      </w:r>
      <w:r>
        <w:rPr>
          <w:rFonts w:ascii="SimSun" w:hAnsi="SimSun" w:eastAsia="SimSun" w:cs="SimSun"/>
          <w:sz w:val="21"/>
          <w:szCs w:val="21"/>
          <w:spacing w:val="4"/>
        </w:rPr>
        <w:t xml:space="preserve">  </w:t>
      </w:r>
      <w:r>
        <w:rPr>
          <w:rFonts w:ascii="SimSun" w:hAnsi="SimSun" w:eastAsia="SimSun" w:cs="SimSun"/>
          <w:sz w:val="21"/>
          <w:szCs w:val="21"/>
          <w:spacing w:val="3"/>
        </w:rPr>
        <w:t>在社交媒体的发言、点赞以及好友信息。42%的用户在受访时已经  </w:t>
      </w:r>
      <w:r>
        <w:rPr>
          <w:rFonts w:ascii="SimSun" w:hAnsi="SimSun" w:eastAsia="SimSun" w:cs="SimSun"/>
          <w:sz w:val="21"/>
          <w:szCs w:val="21"/>
          <w:spacing w:val="4"/>
        </w:rPr>
        <w:t>有数周或更长时间没有登录使用脸书，26%的人表示已</w:t>
      </w:r>
      <w:r>
        <w:rPr>
          <w:rFonts w:ascii="SimSun" w:hAnsi="SimSun" w:eastAsia="SimSun" w:cs="SimSun"/>
          <w:sz w:val="21"/>
          <w:szCs w:val="21"/>
          <w:spacing w:val="3"/>
        </w:rPr>
        <w:t>经从手机中 </w:t>
      </w:r>
      <w:r>
        <w:rPr>
          <w:rFonts w:ascii="SimSun" w:hAnsi="SimSun" w:eastAsia="SimSun" w:cs="SimSun"/>
          <w:sz w:val="21"/>
          <w:szCs w:val="21"/>
        </w:rPr>
        <w:t>删除了脸书应用程序。也应当注意到，西方社会公众在重视隐私权</w:t>
      </w:r>
      <w:r>
        <w:rPr>
          <w:rFonts w:ascii="SimSun" w:hAnsi="SimSun" w:eastAsia="SimSun" w:cs="SimSun"/>
          <w:sz w:val="21"/>
          <w:szCs w:val="21"/>
          <w:spacing w:val="1"/>
        </w:rPr>
        <w:t xml:space="preserve">  </w:t>
      </w:r>
      <w:r>
        <w:rPr>
          <w:rFonts w:ascii="SimSun" w:hAnsi="SimSun" w:eastAsia="SimSun" w:cs="SimSun"/>
          <w:sz w:val="21"/>
          <w:szCs w:val="21"/>
          <w:spacing w:val="-4"/>
        </w:rPr>
        <w:t>的同时，同样积极地看待社交媒体作为开放性言论发布平台的价值，</w:t>
      </w:r>
      <w:r>
        <w:rPr>
          <w:rFonts w:ascii="SimSun" w:hAnsi="SimSun" w:eastAsia="SimSun" w:cs="SimSun"/>
          <w:sz w:val="21"/>
          <w:szCs w:val="21"/>
          <w:spacing w:val="8"/>
        </w:rPr>
        <w:t xml:space="preserve"> </w:t>
      </w:r>
      <w:r>
        <w:rPr>
          <w:rFonts w:ascii="SimSun" w:hAnsi="SimSun" w:eastAsia="SimSun" w:cs="SimSun"/>
          <w:sz w:val="21"/>
          <w:szCs w:val="21"/>
        </w:rPr>
        <w:t>大多数民众并不主张无限扩大社交媒体平台的言论责任。根据皮尤</w:t>
      </w:r>
      <w:r>
        <w:rPr>
          <w:rFonts w:ascii="SimSun" w:hAnsi="SimSun" w:eastAsia="SimSun" w:cs="SimSun"/>
          <w:sz w:val="21"/>
          <w:szCs w:val="21"/>
          <w:spacing w:val="1"/>
        </w:rPr>
        <w:t xml:space="preserve">  </w:t>
      </w:r>
      <w:r>
        <w:rPr>
          <w:rFonts w:ascii="SimSun" w:hAnsi="SimSun" w:eastAsia="SimSun" w:cs="SimSun"/>
          <w:sz w:val="21"/>
          <w:szCs w:val="21"/>
          <w:spacing w:val="14"/>
        </w:rPr>
        <w:t>研究中心在2021年4月所做的一项民意</w:t>
      </w:r>
      <w:r>
        <w:rPr>
          <w:rFonts w:ascii="SimSun" w:hAnsi="SimSun" w:eastAsia="SimSun" w:cs="SimSun"/>
          <w:sz w:val="21"/>
          <w:szCs w:val="21"/>
          <w:spacing w:val="13"/>
        </w:rPr>
        <w:t>调查，大约56%的成年受</w:t>
      </w:r>
      <w:r>
        <w:rPr>
          <w:rFonts w:ascii="SimSun" w:hAnsi="SimSun" w:eastAsia="SimSun" w:cs="SimSun"/>
          <w:sz w:val="21"/>
          <w:szCs w:val="21"/>
        </w:rPr>
        <w:t xml:space="preserve">  </w:t>
      </w:r>
      <w:r>
        <w:rPr>
          <w:rFonts w:ascii="SimSun" w:hAnsi="SimSun" w:eastAsia="SimSun" w:cs="SimSun"/>
          <w:sz w:val="21"/>
          <w:szCs w:val="21"/>
        </w:rPr>
        <w:t>访者反对因为用户在平台发布的不当言论对平台进行诉讼，这一比</w:t>
      </w:r>
      <w:r>
        <w:rPr>
          <w:rFonts w:ascii="SimSun" w:hAnsi="SimSun" w:eastAsia="SimSun" w:cs="SimSun"/>
          <w:sz w:val="21"/>
          <w:szCs w:val="21"/>
          <w:spacing w:val="3"/>
        </w:rPr>
        <w:t xml:space="preserve">  </w:t>
      </w:r>
      <w:r>
        <w:rPr>
          <w:rFonts w:ascii="SimSun" w:hAnsi="SimSun" w:eastAsia="SimSun" w:cs="SimSun"/>
          <w:sz w:val="21"/>
          <w:szCs w:val="21"/>
          <w:spacing w:val="4"/>
        </w:rPr>
        <w:t>例在社交媒体的经常使用者中更高达59%。在所有受访者中，认同</w:t>
      </w:r>
      <w:r>
        <w:rPr>
          <w:rFonts w:ascii="SimSun" w:hAnsi="SimSun" w:eastAsia="SimSun" w:cs="SimSun"/>
          <w:sz w:val="21"/>
          <w:szCs w:val="21"/>
          <w:spacing w:val="18"/>
        </w:rPr>
        <w:t xml:space="preserve"> </w:t>
      </w:r>
      <w:r>
        <w:rPr>
          <w:rFonts w:ascii="SimSun" w:hAnsi="SimSun" w:eastAsia="SimSun" w:cs="SimSun"/>
          <w:sz w:val="21"/>
          <w:szCs w:val="21"/>
          <w:spacing w:val="-7"/>
        </w:rPr>
        <w:t>“针对用户的不当言论起诉社交媒体平台将限制人们的言论自由”的</w:t>
      </w:r>
      <w:r>
        <w:rPr>
          <w:rFonts w:ascii="SimSun" w:hAnsi="SimSun" w:eastAsia="SimSun" w:cs="SimSun"/>
          <w:sz w:val="21"/>
          <w:szCs w:val="21"/>
          <w:spacing w:val="4"/>
        </w:rPr>
        <w:t xml:space="preserve">  </w:t>
      </w:r>
      <w:r>
        <w:rPr>
          <w:rFonts w:ascii="SimSun" w:hAnsi="SimSun" w:eastAsia="SimSun" w:cs="SimSun"/>
          <w:sz w:val="21"/>
          <w:szCs w:val="21"/>
        </w:rPr>
        <w:t>比例远远大于反对这一命题的比例。支持就用户言论追责社交媒体</w:t>
      </w:r>
      <w:r>
        <w:rPr>
          <w:rFonts w:ascii="SimSun" w:hAnsi="SimSun" w:eastAsia="SimSun" w:cs="SimSun"/>
          <w:sz w:val="21"/>
          <w:szCs w:val="21"/>
          <w:spacing w:val="1"/>
        </w:rPr>
        <w:t xml:space="preserve">  </w:t>
      </w:r>
      <w:r>
        <w:rPr>
          <w:rFonts w:ascii="SimSun" w:hAnsi="SimSun" w:eastAsia="SimSun" w:cs="SimSun"/>
          <w:sz w:val="21"/>
          <w:szCs w:val="21"/>
        </w:rPr>
        <w:t>的理由大部分来自对骚扰和霸凌类型言论的惩罚。这些行为在真实</w:t>
      </w:r>
      <w:r>
        <w:rPr>
          <w:rFonts w:ascii="SimSun" w:hAnsi="SimSun" w:eastAsia="SimSun" w:cs="SimSun"/>
          <w:sz w:val="21"/>
          <w:szCs w:val="21"/>
          <w:spacing w:val="2"/>
        </w:rPr>
        <w:t xml:space="preserve">  </w:t>
      </w:r>
      <w:r>
        <w:rPr>
          <w:rFonts w:ascii="SimSun" w:hAnsi="SimSun" w:eastAsia="SimSun" w:cs="SimSun"/>
          <w:sz w:val="21"/>
          <w:szCs w:val="21"/>
          <w:spacing w:val="-4"/>
        </w:rPr>
        <w:t>世界中可能引发更多人效仿，社会危害性更大，属于一种仇恨犯罪。</w:t>
      </w:r>
      <w:r>
        <w:rPr>
          <w:rFonts w:ascii="SimSun" w:hAnsi="SimSun" w:eastAsia="SimSun" w:cs="SimSun"/>
          <w:sz w:val="21"/>
          <w:szCs w:val="21"/>
          <w:spacing w:val="8"/>
        </w:rPr>
        <w:t xml:space="preserve"> </w:t>
      </w:r>
      <w:r>
        <w:rPr>
          <w:rFonts w:ascii="SimSun" w:hAnsi="SimSun" w:eastAsia="SimSun" w:cs="SimSun"/>
          <w:sz w:val="21"/>
          <w:szCs w:val="21"/>
        </w:rPr>
        <w:t>根据这种逻辑，社交媒体平台有责任对这些可能会导致仇恨犯罪的</w:t>
      </w:r>
      <w:r>
        <w:rPr>
          <w:rFonts w:ascii="SimSun" w:hAnsi="SimSun" w:eastAsia="SimSun" w:cs="SimSun"/>
          <w:sz w:val="21"/>
          <w:szCs w:val="21"/>
          <w:spacing w:val="5"/>
        </w:rPr>
        <w:t xml:space="preserve">  </w:t>
      </w:r>
      <w:r>
        <w:rPr>
          <w:rFonts w:ascii="SimSun" w:hAnsi="SimSun" w:eastAsia="SimSun" w:cs="SimSun"/>
          <w:sz w:val="21"/>
          <w:szCs w:val="21"/>
        </w:rPr>
        <w:t>行为加以审查和约束，对这些言论和行为的失察则可能意味着平台 </w:t>
      </w:r>
      <w:r>
        <w:rPr>
          <w:rFonts w:ascii="SimSun" w:hAnsi="SimSun" w:eastAsia="SimSun" w:cs="SimSun"/>
          <w:sz w:val="21"/>
          <w:szCs w:val="21"/>
          <w:spacing w:val="1"/>
        </w:rPr>
        <w:t>负有法律责任。</w:t>
      </w:r>
    </w:p>
    <w:p>
      <w:pPr>
        <w:ind w:left="104" w:right="56" w:firstLine="420"/>
        <w:spacing w:before="109" w:line="297" w:lineRule="auto"/>
        <w:jc w:val="both"/>
        <w:rPr>
          <w:rFonts w:ascii="SimSun" w:hAnsi="SimSun" w:eastAsia="SimSun" w:cs="SimSun"/>
          <w:sz w:val="21"/>
          <w:szCs w:val="21"/>
        </w:rPr>
      </w:pPr>
      <w:r>
        <w:rPr>
          <w:rFonts w:ascii="SimSun" w:hAnsi="SimSun" w:eastAsia="SimSun" w:cs="SimSun"/>
          <w:sz w:val="21"/>
          <w:szCs w:val="21"/>
          <w:spacing w:val="-3"/>
        </w:rPr>
        <w:t>不同于西方国家，中国的互联网监管体制是在党的领导下建立</w:t>
      </w:r>
      <w:r>
        <w:rPr>
          <w:rFonts w:ascii="SimSun" w:hAnsi="SimSun" w:eastAsia="SimSun" w:cs="SimSun"/>
          <w:sz w:val="21"/>
          <w:szCs w:val="21"/>
          <w:spacing w:val="18"/>
        </w:rPr>
        <w:t xml:space="preserve"> </w:t>
      </w:r>
      <w:r>
        <w:rPr>
          <w:rFonts w:ascii="SimSun" w:hAnsi="SimSun" w:eastAsia="SimSun" w:cs="SimSun"/>
          <w:sz w:val="21"/>
          <w:szCs w:val="21"/>
          <w:spacing w:val="-10"/>
        </w:rPr>
        <w:t>的，这就决定了对网络媒体和平台的信息监管也遵循一以贯</w:t>
      </w:r>
      <w:r>
        <w:rPr>
          <w:rFonts w:ascii="SimSun" w:hAnsi="SimSun" w:eastAsia="SimSun" w:cs="SimSun"/>
          <w:sz w:val="21"/>
          <w:szCs w:val="21"/>
          <w:spacing w:val="-11"/>
        </w:rPr>
        <w:t>之的政治</w:t>
      </w:r>
      <w:r>
        <w:rPr>
          <w:rFonts w:ascii="SimSun" w:hAnsi="SimSun" w:eastAsia="SimSun" w:cs="SimSun"/>
          <w:sz w:val="21"/>
          <w:szCs w:val="21"/>
        </w:rPr>
        <w:t xml:space="preserve"> </w:t>
      </w:r>
      <w:r>
        <w:rPr>
          <w:rFonts w:ascii="SimSun" w:hAnsi="SimSun" w:eastAsia="SimSun" w:cs="SimSun"/>
          <w:sz w:val="21"/>
          <w:szCs w:val="21"/>
          <w:spacing w:val="-11"/>
        </w:rPr>
        <w:t>逻辑，那就是对平台的监管政策不是由资本来决定的，而是在党的领</w:t>
      </w:r>
      <w:r>
        <w:rPr>
          <w:rFonts w:ascii="SimSun" w:hAnsi="SimSun" w:eastAsia="SimSun" w:cs="SimSun"/>
          <w:sz w:val="21"/>
          <w:szCs w:val="21"/>
          <w:spacing w:val="17"/>
        </w:rPr>
        <w:t xml:space="preserve"> </w:t>
      </w:r>
      <w:r>
        <w:rPr>
          <w:rFonts w:ascii="SimSun" w:hAnsi="SimSun" w:eastAsia="SimSun" w:cs="SimSun"/>
          <w:sz w:val="21"/>
          <w:szCs w:val="21"/>
          <w:spacing w:val="-11"/>
        </w:rPr>
        <w:t>导下，按照有利于国家安全、社会稳定、技术创新和经济发展的逻辑</w:t>
      </w:r>
      <w:r>
        <w:rPr>
          <w:rFonts w:ascii="SimSun" w:hAnsi="SimSun" w:eastAsia="SimSun" w:cs="SimSun"/>
          <w:sz w:val="21"/>
          <w:szCs w:val="21"/>
          <w:spacing w:val="16"/>
        </w:rPr>
        <w:t xml:space="preserve"> </w:t>
      </w:r>
      <w:r>
        <w:rPr>
          <w:rFonts w:ascii="SimSun" w:hAnsi="SimSun" w:eastAsia="SimSun" w:cs="SimSun"/>
          <w:sz w:val="21"/>
          <w:szCs w:val="21"/>
          <w:spacing w:val="-10"/>
        </w:rPr>
        <w:t>来推进的。相比西方国家去中心化的信息管理体制，我国政府自上而</w:t>
      </w:r>
    </w:p>
    <w:p>
      <w:pPr>
        <w:spacing w:line="297" w:lineRule="auto"/>
        <w:sectPr>
          <w:headerReference w:type="default" r:id="rId240"/>
          <w:pgSz w:w="7330" w:h="12480"/>
          <w:pgMar w:top="869" w:right="895" w:bottom="400" w:left="245" w:header="693" w:footer="0" w:gutter="0"/>
        </w:sectPr>
        <w:rPr>
          <w:rFonts w:ascii="SimSun" w:hAnsi="SimSun" w:eastAsia="SimSun" w:cs="SimSun"/>
          <w:sz w:val="21"/>
          <w:szCs w:val="21"/>
        </w:rPr>
      </w:pP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68" w:line="300" w:lineRule="auto"/>
        <w:jc w:val="both"/>
        <w:rPr>
          <w:rFonts w:ascii="SimSun" w:hAnsi="SimSun" w:eastAsia="SimSun" w:cs="SimSun"/>
          <w:sz w:val="21"/>
          <w:szCs w:val="21"/>
        </w:rPr>
      </w:pPr>
      <w:r>
        <w:rPr>
          <w:rFonts w:ascii="SimSun" w:hAnsi="SimSun" w:eastAsia="SimSun" w:cs="SimSun"/>
          <w:sz w:val="21"/>
          <w:szCs w:val="21"/>
          <w:spacing w:val="-10"/>
        </w:rPr>
        <w:t>下的信息监管和过滤机制有利于甄别虚假信息、消除自媒体平</w:t>
      </w:r>
      <w:r>
        <w:rPr>
          <w:rFonts w:ascii="SimSun" w:hAnsi="SimSun" w:eastAsia="SimSun" w:cs="SimSun"/>
          <w:sz w:val="21"/>
          <w:szCs w:val="21"/>
          <w:spacing w:val="-11"/>
        </w:rPr>
        <w:t>台对社</w:t>
      </w:r>
      <w:r>
        <w:rPr>
          <w:rFonts w:ascii="SimSun" w:hAnsi="SimSun" w:eastAsia="SimSun" w:cs="SimSun"/>
          <w:sz w:val="21"/>
          <w:szCs w:val="21"/>
        </w:rPr>
        <w:t xml:space="preserve"> </w:t>
      </w:r>
      <w:r>
        <w:rPr>
          <w:rFonts w:ascii="SimSun" w:hAnsi="SimSun" w:eastAsia="SimSun" w:cs="SimSun"/>
          <w:sz w:val="21"/>
          <w:szCs w:val="21"/>
          <w:spacing w:val="-4"/>
        </w:rPr>
        <w:t>会舆情的潜在负面影响。在这个监管逻辑之下，2017年国家网信办 </w:t>
      </w:r>
      <w:r>
        <w:rPr>
          <w:rFonts w:ascii="SimSun" w:hAnsi="SimSun" w:eastAsia="SimSun" w:cs="SimSun"/>
          <w:sz w:val="21"/>
          <w:szCs w:val="21"/>
          <w:spacing w:val="-11"/>
        </w:rPr>
        <w:t>出台的《互联网新闻信息服务管理规定》规定了不得设立外资经营的 </w:t>
      </w:r>
      <w:r>
        <w:rPr>
          <w:rFonts w:ascii="SimSun" w:hAnsi="SimSun" w:eastAsia="SimSun" w:cs="SimSun"/>
          <w:sz w:val="21"/>
          <w:szCs w:val="21"/>
          <w:spacing w:val="-11"/>
        </w:rPr>
        <w:t>互联网新闻信息服务单位，非公有资本不得介入互联网新闻信息采编 </w:t>
      </w:r>
      <w:r>
        <w:rPr>
          <w:rFonts w:ascii="SimSun" w:hAnsi="SimSun" w:eastAsia="SimSun" w:cs="SimSun"/>
          <w:sz w:val="21"/>
          <w:szCs w:val="21"/>
          <w:spacing w:val="-8"/>
        </w:rPr>
        <w:t>业务。这些政策在新闻资讯的生产和传播之间构筑了一</w:t>
      </w:r>
      <w:r>
        <w:rPr>
          <w:rFonts w:ascii="SimSun" w:hAnsi="SimSun" w:eastAsia="SimSun" w:cs="SimSun"/>
          <w:sz w:val="21"/>
          <w:szCs w:val="21"/>
          <w:spacing w:val="-9"/>
        </w:rPr>
        <w:t>道安全屏障，</w:t>
      </w:r>
      <w:r>
        <w:rPr>
          <w:rFonts w:ascii="SimSun" w:hAnsi="SimSun" w:eastAsia="SimSun" w:cs="SimSun"/>
          <w:sz w:val="21"/>
          <w:szCs w:val="21"/>
        </w:rPr>
        <w:t xml:space="preserve"> </w:t>
      </w:r>
      <w:r>
        <w:rPr>
          <w:rFonts w:ascii="SimSun" w:hAnsi="SimSun" w:eastAsia="SimSun" w:cs="SimSun"/>
          <w:sz w:val="21"/>
          <w:szCs w:val="21"/>
          <w:spacing w:val="-11"/>
        </w:rPr>
        <w:t>在保证平台参与的同时，减少了不准确信息对公众舆论的误导。</w:t>
      </w:r>
    </w:p>
    <w:p>
      <w:pPr>
        <w:ind w:right="16" w:firstLine="450"/>
        <w:spacing w:before="120" w:line="310" w:lineRule="auto"/>
        <w:jc w:val="both"/>
        <w:rPr>
          <w:rFonts w:ascii="SimSun" w:hAnsi="SimSun" w:eastAsia="SimSun" w:cs="SimSun"/>
          <w:sz w:val="21"/>
          <w:szCs w:val="21"/>
        </w:rPr>
      </w:pPr>
      <w:r>
        <w:rPr>
          <w:rFonts w:ascii="SimSun" w:hAnsi="SimSun" w:eastAsia="SimSun" w:cs="SimSun"/>
          <w:sz w:val="21"/>
          <w:szCs w:val="21"/>
          <w:spacing w:val="-3"/>
        </w:rPr>
        <w:t>客观来说，国内的媒体平台在内容风格、表现形式、传播</w:t>
      </w:r>
      <w:r>
        <w:rPr>
          <w:rFonts w:ascii="SimSun" w:hAnsi="SimSun" w:eastAsia="SimSun" w:cs="SimSun"/>
          <w:sz w:val="21"/>
          <w:szCs w:val="21"/>
          <w:spacing w:val="-4"/>
        </w:rPr>
        <w:t>方式</w:t>
      </w:r>
      <w:r>
        <w:rPr>
          <w:rFonts w:ascii="SimSun" w:hAnsi="SimSun" w:eastAsia="SimSun" w:cs="SimSun"/>
          <w:sz w:val="21"/>
          <w:szCs w:val="21"/>
        </w:rPr>
        <w:t xml:space="preserve"> </w:t>
      </w:r>
      <w:r>
        <w:rPr>
          <w:rFonts w:ascii="SimSun" w:hAnsi="SimSun" w:eastAsia="SimSun" w:cs="SimSun"/>
          <w:sz w:val="21"/>
          <w:szCs w:val="21"/>
          <w:spacing w:val="-10"/>
        </w:rPr>
        <w:t>和重点话题上呈现出百花齐放的特点。在微博之后，相继出现了微信</w:t>
      </w:r>
      <w:r>
        <w:rPr>
          <w:rFonts w:ascii="SimSun" w:hAnsi="SimSun" w:eastAsia="SimSun" w:cs="SimSun"/>
          <w:sz w:val="21"/>
          <w:szCs w:val="21"/>
          <w:spacing w:val="3"/>
        </w:rPr>
        <w:t xml:space="preserve"> </w:t>
      </w:r>
      <w:r>
        <w:rPr>
          <w:rFonts w:ascii="SimSun" w:hAnsi="SimSun" w:eastAsia="SimSun" w:cs="SimSun"/>
          <w:sz w:val="21"/>
          <w:szCs w:val="21"/>
          <w:spacing w:val="-11"/>
        </w:rPr>
        <w:t>公众号、今日头条、抖音、快手、哔哩哔哩、小红书等一批风格各异</w:t>
      </w:r>
      <w:r>
        <w:rPr>
          <w:rFonts w:ascii="SimSun" w:hAnsi="SimSun" w:eastAsia="SimSun" w:cs="SimSun"/>
          <w:sz w:val="21"/>
          <w:szCs w:val="21"/>
          <w:spacing w:val="11"/>
        </w:rPr>
        <w:t xml:space="preserve"> </w:t>
      </w:r>
      <w:r>
        <w:rPr>
          <w:rFonts w:ascii="SimSun" w:hAnsi="SimSun" w:eastAsia="SimSun" w:cs="SimSun"/>
          <w:sz w:val="21"/>
          <w:szCs w:val="21"/>
          <w:spacing w:val="-11"/>
        </w:rPr>
        <w:t>的平台，涌现了大量弘扬爱国主义、正能量的自媒体，促进了社会和</w:t>
      </w:r>
      <w:r>
        <w:rPr>
          <w:rFonts w:ascii="SimSun" w:hAnsi="SimSun" w:eastAsia="SimSun" w:cs="SimSun"/>
          <w:sz w:val="21"/>
          <w:szCs w:val="21"/>
          <w:spacing w:val="15"/>
        </w:rPr>
        <w:t xml:space="preserve"> </w:t>
      </w:r>
      <w:r>
        <w:rPr>
          <w:rFonts w:ascii="SimSun" w:hAnsi="SimSun" w:eastAsia="SimSun" w:cs="SimSun"/>
          <w:sz w:val="21"/>
          <w:szCs w:val="21"/>
          <w:spacing w:val="-10"/>
        </w:rPr>
        <w:t>谐和团结，在网络舆论上形成人民有信仰、国家有力量、民族有希望</w:t>
      </w:r>
      <w:r>
        <w:rPr>
          <w:rFonts w:ascii="SimSun" w:hAnsi="SimSun" w:eastAsia="SimSun" w:cs="SimSun"/>
          <w:sz w:val="21"/>
          <w:szCs w:val="21"/>
        </w:rPr>
        <w:t xml:space="preserve"> </w:t>
      </w:r>
      <w:r>
        <w:rPr>
          <w:rFonts w:ascii="SimSun" w:hAnsi="SimSun" w:eastAsia="SimSun" w:cs="SimSun"/>
          <w:sz w:val="21"/>
          <w:szCs w:val="21"/>
          <w:spacing w:val="-10"/>
        </w:rPr>
        <w:t>的整体氛围。诸如李子柒这样的自媒体在海外</w:t>
      </w:r>
      <w:r>
        <w:rPr>
          <w:rFonts w:ascii="SimSun" w:hAnsi="SimSun" w:eastAsia="SimSun" w:cs="SimSun"/>
          <w:sz w:val="21"/>
          <w:szCs w:val="21"/>
          <w:spacing w:val="-11"/>
        </w:rPr>
        <w:t>受众中的传播，对于向</w:t>
      </w:r>
      <w:r>
        <w:rPr>
          <w:rFonts w:ascii="SimSun" w:hAnsi="SimSun" w:eastAsia="SimSun" w:cs="SimSun"/>
          <w:sz w:val="21"/>
          <w:szCs w:val="21"/>
        </w:rPr>
        <w:t xml:space="preserve"> </w:t>
      </w:r>
      <w:r>
        <w:rPr>
          <w:rFonts w:ascii="SimSun" w:hAnsi="SimSun" w:eastAsia="SimSun" w:cs="SimSun"/>
          <w:sz w:val="21"/>
          <w:szCs w:val="21"/>
          <w:spacing w:val="-11"/>
        </w:rPr>
        <w:t>西方世界讲好中国故事、传播中国气象具有积极的作用。同时，也有</w:t>
      </w:r>
      <w:r>
        <w:rPr>
          <w:rFonts w:ascii="SimSun" w:hAnsi="SimSun" w:eastAsia="SimSun" w:cs="SimSun"/>
          <w:sz w:val="21"/>
          <w:szCs w:val="21"/>
          <w:spacing w:val="9"/>
        </w:rPr>
        <w:t xml:space="preserve"> </w:t>
      </w:r>
      <w:r>
        <w:rPr>
          <w:rFonts w:ascii="SimSun" w:hAnsi="SimSun" w:eastAsia="SimSun" w:cs="SimSun"/>
          <w:sz w:val="21"/>
          <w:szCs w:val="21"/>
          <w:spacing w:val="-10"/>
        </w:rPr>
        <w:t>很多研究表明，媒体平台对提高政务信息的透明度、改进政府</w:t>
      </w:r>
      <w:r>
        <w:rPr>
          <w:rFonts w:ascii="SimSun" w:hAnsi="SimSun" w:eastAsia="SimSun" w:cs="SimSun"/>
          <w:sz w:val="21"/>
          <w:szCs w:val="21"/>
          <w:spacing w:val="-11"/>
        </w:rPr>
        <w:t>的回应</w:t>
      </w:r>
      <w:r>
        <w:rPr>
          <w:rFonts w:ascii="SimSun" w:hAnsi="SimSun" w:eastAsia="SimSun" w:cs="SimSun"/>
          <w:sz w:val="21"/>
          <w:szCs w:val="21"/>
        </w:rPr>
        <w:t xml:space="preserve"> </w:t>
      </w:r>
      <w:r>
        <w:rPr>
          <w:rFonts w:ascii="SimSun" w:hAnsi="SimSun" w:eastAsia="SimSun" w:cs="SimSun"/>
          <w:sz w:val="21"/>
          <w:szCs w:val="21"/>
          <w:spacing w:val="-11"/>
        </w:rPr>
        <w:t>性具有积极作用。比如许多政府部门和地方政府开设了微博账号和微</w:t>
      </w:r>
      <w:r>
        <w:rPr>
          <w:rFonts w:ascii="SimSun" w:hAnsi="SimSun" w:eastAsia="SimSun" w:cs="SimSun"/>
          <w:sz w:val="21"/>
          <w:szCs w:val="21"/>
          <w:spacing w:val="6"/>
        </w:rPr>
        <w:t xml:space="preserve"> </w:t>
      </w:r>
      <w:r>
        <w:rPr>
          <w:rFonts w:ascii="SimSun" w:hAnsi="SimSun" w:eastAsia="SimSun" w:cs="SimSun"/>
          <w:sz w:val="21"/>
          <w:szCs w:val="21"/>
          <w:spacing w:val="-15"/>
        </w:rPr>
        <w:t>信公众号，及时发布政策信息。</w:t>
      </w:r>
      <w:r>
        <w:rPr>
          <w:rFonts w:ascii="SimSun" w:hAnsi="SimSun" w:eastAsia="SimSun" w:cs="SimSun"/>
          <w:sz w:val="21"/>
          <w:szCs w:val="21"/>
          <w:spacing w:val="34"/>
        </w:rPr>
        <w:t xml:space="preserve"> </w:t>
      </w:r>
      <w:r>
        <w:rPr>
          <w:rFonts w:ascii="SimSun" w:hAnsi="SimSun" w:eastAsia="SimSun" w:cs="SimSun"/>
          <w:sz w:val="21"/>
          <w:szCs w:val="21"/>
          <w:spacing w:val="-15"/>
        </w:rPr>
        <w:t>一些民众通过微博和人民网的</w:t>
      </w:r>
      <w:r>
        <w:rPr>
          <w:rFonts w:ascii="SimSun" w:hAnsi="SimSun" w:eastAsia="SimSun" w:cs="SimSun"/>
          <w:sz w:val="21"/>
          <w:szCs w:val="21"/>
          <w:spacing w:val="-16"/>
        </w:rPr>
        <w:t>领导留</w:t>
      </w:r>
      <w:r>
        <w:rPr>
          <w:rFonts w:ascii="SimSun" w:hAnsi="SimSun" w:eastAsia="SimSun" w:cs="SimSun"/>
          <w:sz w:val="21"/>
          <w:szCs w:val="21"/>
        </w:rPr>
        <w:t xml:space="preserve"> </w:t>
      </w:r>
      <w:r>
        <w:rPr>
          <w:rFonts w:ascii="SimSun" w:hAnsi="SimSun" w:eastAsia="SimSun" w:cs="SimSun"/>
          <w:sz w:val="21"/>
          <w:szCs w:val="21"/>
          <w:spacing w:val="-11"/>
        </w:rPr>
        <w:t>言板，向当地政府反映日常生活中遭遇的困难和亟待解决的问题，往</w:t>
      </w:r>
      <w:r>
        <w:rPr>
          <w:rFonts w:ascii="SimSun" w:hAnsi="SimSun" w:eastAsia="SimSun" w:cs="SimSun"/>
          <w:sz w:val="21"/>
          <w:szCs w:val="21"/>
          <w:spacing w:val="7"/>
        </w:rPr>
        <w:t xml:space="preserve"> </w:t>
      </w:r>
      <w:r>
        <w:rPr>
          <w:rFonts w:ascii="SimSun" w:hAnsi="SimSun" w:eastAsia="SimSun" w:cs="SimSun"/>
          <w:sz w:val="21"/>
          <w:szCs w:val="21"/>
          <w:spacing w:val="-10"/>
        </w:rPr>
        <w:t>往能够得到比较满意的回复和解决。也正因如此，在今天的网络环境</w:t>
      </w:r>
      <w:r>
        <w:rPr>
          <w:rFonts w:ascii="SimSun" w:hAnsi="SimSun" w:eastAsia="SimSun" w:cs="SimSun"/>
          <w:sz w:val="21"/>
          <w:szCs w:val="21"/>
          <w:spacing w:val="17"/>
        </w:rPr>
        <w:t xml:space="preserve"> </w:t>
      </w:r>
      <w:r>
        <w:rPr>
          <w:rFonts w:ascii="SimSun" w:hAnsi="SimSun" w:eastAsia="SimSun" w:cs="SimSun"/>
          <w:sz w:val="21"/>
          <w:szCs w:val="21"/>
          <w:spacing w:val="-11"/>
        </w:rPr>
        <w:t>中，虽然对于公共政策的发声是多元化的，对于一些热点问题的讨论</w:t>
      </w:r>
      <w:r>
        <w:rPr>
          <w:rFonts w:ascii="SimSun" w:hAnsi="SimSun" w:eastAsia="SimSun" w:cs="SimSun"/>
          <w:sz w:val="21"/>
          <w:szCs w:val="21"/>
          <w:spacing w:val="8"/>
        </w:rPr>
        <w:t xml:space="preserve"> </w:t>
      </w:r>
      <w:r>
        <w:rPr>
          <w:rFonts w:ascii="SimSun" w:hAnsi="SimSun" w:eastAsia="SimSun" w:cs="SimSun"/>
          <w:sz w:val="21"/>
          <w:szCs w:val="21"/>
          <w:spacing w:val="-11"/>
        </w:rPr>
        <w:t>有时候形成分歧甚至对立的观点，但是这些争论很少会演变为对国家</w:t>
      </w:r>
      <w:r>
        <w:rPr>
          <w:rFonts w:ascii="SimSun" w:hAnsi="SimSun" w:eastAsia="SimSun" w:cs="SimSun"/>
          <w:sz w:val="21"/>
          <w:szCs w:val="21"/>
          <w:spacing w:val="10"/>
        </w:rPr>
        <w:t xml:space="preserve"> </w:t>
      </w:r>
      <w:r>
        <w:rPr>
          <w:rFonts w:ascii="SimSun" w:hAnsi="SimSun" w:eastAsia="SimSun" w:cs="SimSun"/>
          <w:sz w:val="21"/>
          <w:szCs w:val="21"/>
          <w:spacing w:val="-11"/>
        </w:rPr>
        <w:t>发展道路和国家治理模式的怀疑。</w:t>
      </w:r>
    </w:p>
    <w:p>
      <w:pPr>
        <w:ind w:right="2" w:firstLine="450"/>
        <w:spacing w:before="120" w:line="290" w:lineRule="auto"/>
        <w:jc w:val="both"/>
        <w:rPr>
          <w:rFonts w:ascii="SimSun" w:hAnsi="SimSun" w:eastAsia="SimSun" w:cs="SimSun"/>
          <w:sz w:val="21"/>
          <w:szCs w:val="21"/>
        </w:rPr>
      </w:pPr>
      <w:r>
        <w:rPr>
          <w:rFonts w:ascii="SimSun" w:hAnsi="SimSun" w:eastAsia="SimSun" w:cs="SimSun"/>
          <w:sz w:val="21"/>
          <w:szCs w:val="21"/>
          <w:spacing w:val="-9"/>
        </w:rPr>
        <w:t>对于我国平台企业对于社会治理的影响，</w:t>
      </w:r>
      <w:r>
        <w:rPr>
          <w:rFonts w:ascii="SimSun" w:hAnsi="SimSun" w:eastAsia="SimSun" w:cs="SimSun"/>
          <w:sz w:val="21"/>
          <w:szCs w:val="21"/>
          <w:spacing w:val="69"/>
        </w:rPr>
        <w:t xml:space="preserve"> </w:t>
      </w:r>
      <w:r>
        <w:rPr>
          <w:rFonts w:ascii="SimSun" w:hAnsi="SimSun" w:eastAsia="SimSun" w:cs="SimSun"/>
          <w:sz w:val="21"/>
          <w:szCs w:val="21"/>
          <w:spacing w:val="-9"/>
        </w:rPr>
        <w:t>一个基本判断是平台</w:t>
      </w:r>
      <w:r>
        <w:rPr>
          <w:rFonts w:ascii="SimSun" w:hAnsi="SimSun" w:eastAsia="SimSun" w:cs="SimSun"/>
          <w:sz w:val="21"/>
          <w:szCs w:val="21"/>
        </w:rPr>
        <w:t xml:space="preserve"> </w:t>
      </w:r>
      <w:r>
        <w:rPr>
          <w:rFonts w:ascii="SimSun" w:hAnsi="SimSun" w:eastAsia="SimSun" w:cs="SimSun"/>
          <w:sz w:val="21"/>
          <w:szCs w:val="21"/>
          <w:spacing w:val="-11"/>
        </w:rPr>
        <w:t>是社会和谐和稳定的积极力量，平台不具备通过影响舆论改变公众观 </w:t>
      </w:r>
      <w:r>
        <w:rPr>
          <w:rFonts w:ascii="SimSun" w:hAnsi="SimSun" w:eastAsia="SimSun" w:cs="SimSun"/>
          <w:sz w:val="21"/>
          <w:szCs w:val="21"/>
          <w:spacing w:val="-11"/>
        </w:rPr>
        <w:t>念和社会治理模式的能力和意愿，也没有系统改变舆论的能力。这个 </w:t>
      </w:r>
      <w:r>
        <w:rPr>
          <w:rFonts w:ascii="SimSun" w:hAnsi="SimSun" w:eastAsia="SimSun" w:cs="SimSun"/>
          <w:sz w:val="21"/>
          <w:szCs w:val="21"/>
          <w:spacing w:val="-11"/>
        </w:rPr>
        <w:t>判断来自这些年互联网监管政策下平台经济快速发展和社会稳定的事 </w:t>
      </w:r>
      <w:r>
        <w:rPr>
          <w:rFonts w:ascii="SimSun" w:hAnsi="SimSun" w:eastAsia="SimSun" w:cs="SimSun"/>
          <w:sz w:val="21"/>
          <w:szCs w:val="21"/>
          <w:spacing w:val="-11"/>
        </w:rPr>
        <w:t>实，也来自对中国共产党全面领导下的政治体制的信心。</w:t>
      </w:r>
    </w:p>
    <w:p>
      <w:pPr>
        <w:spacing w:line="290" w:lineRule="auto"/>
        <w:sectPr>
          <w:headerReference w:type="default" r:id="rId241"/>
          <w:pgSz w:w="7330" w:h="12480"/>
          <w:pgMar w:top="569" w:right="585" w:bottom="400" w:left="689" w:header="395" w:footer="0" w:gutter="0"/>
        </w:sectPr>
        <w:rPr>
          <w:rFonts w:ascii="SimSun" w:hAnsi="SimSun" w:eastAsia="SimSun" w:cs="SimSun"/>
          <w:sz w:val="21"/>
          <w:szCs w:val="21"/>
        </w:rPr>
      </w:pPr>
    </w:p>
    <w:p>
      <w:pPr>
        <w:pStyle w:val="BodyText"/>
        <w:spacing w:line="314" w:lineRule="auto"/>
        <w:rPr/>
      </w:pPr>
      <w:r/>
    </w:p>
    <w:p>
      <w:pPr>
        <w:pStyle w:val="BodyText"/>
        <w:spacing w:line="315" w:lineRule="auto"/>
        <w:rPr/>
      </w:pPr>
      <w:r/>
    </w:p>
    <w:p>
      <w:pPr>
        <w:pStyle w:val="BodyText"/>
        <w:spacing w:line="315" w:lineRule="auto"/>
        <w:rPr/>
      </w:pPr>
      <w:r/>
    </w:p>
    <w:p>
      <w:pPr>
        <w:ind w:left="2364"/>
        <w:spacing w:before="107" w:line="218" w:lineRule="auto"/>
        <w:rPr>
          <w:rFonts w:ascii="SimSun" w:hAnsi="SimSun" w:eastAsia="SimSun" w:cs="SimSun"/>
          <w:sz w:val="33"/>
          <w:szCs w:val="33"/>
        </w:rPr>
      </w:pPr>
      <w:r>
        <w:rPr>
          <w:rFonts w:ascii="SimSun" w:hAnsi="SimSun" w:eastAsia="SimSun" w:cs="SimSun"/>
          <w:sz w:val="33"/>
          <w:szCs w:val="33"/>
          <w:b/>
          <w:bCs/>
          <w:spacing w:val="-12"/>
        </w:rPr>
        <w:t>价值观念</w:t>
      </w:r>
    </w:p>
    <w:p>
      <w:pPr>
        <w:pStyle w:val="BodyText"/>
        <w:spacing w:line="280" w:lineRule="auto"/>
        <w:rPr/>
      </w:pPr>
      <w:r/>
    </w:p>
    <w:p>
      <w:pPr>
        <w:ind w:firstLine="430"/>
        <w:spacing w:before="68" w:line="309" w:lineRule="auto"/>
        <w:jc w:val="both"/>
        <w:rPr>
          <w:rFonts w:ascii="SimSun" w:hAnsi="SimSun" w:eastAsia="SimSun" w:cs="SimSun"/>
          <w:sz w:val="21"/>
          <w:szCs w:val="21"/>
        </w:rPr>
      </w:pPr>
      <w:r>
        <w:rPr>
          <w:rFonts w:ascii="SimSun" w:hAnsi="SimSun" w:eastAsia="SimSun" w:cs="SimSun"/>
          <w:sz w:val="21"/>
          <w:szCs w:val="21"/>
          <w:spacing w:val="-11"/>
        </w:rPr>
        <w:t>当前围绕着国内互联网平台的经营模式和社会影响产生了众多热</w:t>
      </w:r>
      <w:r>
        <w:rPr>
          <w:rFonts w:ascii="SimSun" w:hAnsi="SimSun" w:eastAsia="SimSun" w:cs="SimSun"/>
          <w:sz w:val="21"/>
          <w:szCs w:val="21"/>
          <w:spacing w:val="8"/>
        </w:rPr>
        <w:t xml:space="preserve"> </w:t>
      </w:r>
      <w:r>
        <w:rPr>
          <w:rFonts w:ascii="SimSun" w:hAnsi="SimSun" w:eastAsia="SimSun" w:cs="SimSun"/>
          <w:sz w:val="21"/>
          <w:szCs w:val="21"/>
          <w:spacing w:val="-10"/>
        </w:rPr>
        <w:t>烈的讨论，诸如数据隐私、数据安全、平台垄</w:t>
      </w:r>
      <w:r>
        <w:rPr>
          <w:rFonts w:ascii="SimSun" w:hAnsi="SimSun" w:eastAsia="SimSun" w:cs="SimSun"/>
          <w:sz w:val="21"/>
          <w:szCs w:val="21"/>
          <w:spacing w:val="-11"/>
        </w:rPr>
        <w:t>断性、消费者保护和劳 </w:t>
      </w:r>
      <w:r>
        <w:rPr>
          <w:rFonts w:ascii="SimSun" w:hAnsi="SimSun" w:eastAsia="SimSun" w:cs="SimSun"/>
          <w:sz w:val="21"/>
          <w:szCs w:val="21"/>
          <w:spacing w:val="-8"/>
        </w:rPr>
        <w:t>动者权益、贫富差距等问题，这些也往往成为社会舆论关注的焦点。</w:t>
      </w:r>
      <w:r>
        <w:rPr>
          <w:rFonts w:ascii="SimSun" w:hAnsi="SimSun" w:eastAsia="SimSun" w:cs="SimSun"/>
          <w:sz w:val="21"/>
          <w:szCs w:val="21"/>
          <w:spacing w:val="4"/>
        </w:rPr>
        <w:t xml:space="preserve"> </w:t>
      </w:r>
      <w:r>
        <w:rPr>
          <w:rFonts w:ascii="SimSun" w:hAnsi="SimSun" w:eastAsia="SimSun" w:cs="SimSun"/>
          <w:sz w:val="21"/>
          <w:szCs w:val="21"/>
          <w:spacing w:val="-10"/>
        </w:rPr>
        <w:t>相关争议和讨论的来源并不相同：对用户数据</w:t>
      </w:r>
      <w:r>
        <w:rPr>
          <w:rFonts w:ascii="SimSun" w:hAnsi="SimSun" w:eastAsia="SimSun" w:cs="SimSun"/>
          <w:sz w:val="21"/>
          <w:szCs w:val="21"/>
          <w:spacing w:val="-11"/>
        </w:rPr>
        <w:t>的收集使用方式的争论 </w:t>
      </w:r>
      <w:r>
        <w:rPr>
          <w:rFonts w:ascii="SimSun" w:hAnsi="SimSun" w:eastAsia="SimSun" w:cs="SimSun"/>
          <w:sz w:val="21"/>
          <w:szCs w:val="21"/>
          <w:spacing w:val="-10"/>
        </w:rPr>
        <w:t>源自平台经济的技术特性；涉及垄断的问题与</w:t>
      </w:r>
      <w:r>
        <w:rPr>
          <w:rFonts w:ascii="SimSun" w:hAnsi="SimSun" w:eastAsia="SimSun" w:cs="SimSun"/>
          <w:sz w:val="21"/>
          <w:szCs w:val="21"/>
          <w:spacing w:val="-11"/>
        </w:rPr>
        <w:t>规模经济和网络外部性 </w:t>
      </w:r>
      <w:r>
        <w:rPr>
          <w:rFonts w:ascii="SimSun" w:hAnsi="SimSun" w:eastAsia="SimSun" w:cs="SimSun"/>
          <w:sz w:val="21"/>
          <w:szCs w:val="21"/>
          <w:spacing w:val="-10"/>
        </w:rPr>
        <w:t>有关，并不是平台经济独有的，但的确是平台</w:t>
      </w:r>
      <w:r>
        <w:rPr>
          <w:rFonts w:ascii="SimSun" w:hAnsi="SimSun" w:eastAsia="SimSun" w:cs="SimSun"/>
          <w:sz w:val="21"/>
          <w:szCs w:val="21"/>
          <w:spacing w:val="-11"/>
        </w:rPr>
        <w:t>经济出现后较为突出的 </w:t>
      </w:r>
      <w:r>
        <w:rPr>
          <w:rFonts w:ascii="SimSun" w:hAnsi="SimSun" w:eastAsia="SimSun" w:cs="SimSun"/>
          <w:sz w:val="21"/>
          <w:szCs w:val="21"/>
          <w:spacing w:val="-8"/>
        </w:rPr>
        <w:t>现象；劳动者权益保护既是经济转型时期许多企业面临的共性问题，</w:t>
      </w:r>
      <w:r>
        <w:rPr>
          <w:rFonts w:ascii="SimSun" w:hAnsi="SimSun" w:eastAsia="SimSun" w:cs="SimSun"/>
          <w:sz w:val="21"/>
          <w:szCs w:val="21"/>
          <w:spacing w:val="4"/>
        </w:rPr>
        <w:t xml:space="preserve"> </w:t>
      </w:r>
      <w:r>
        <w:rPr>
          <w:rFonts w:ascii="SimSun" w:hAnsi="SimSun" w:eastAsia="SimSun" w:cs="SimSun"/>
          <w:sz w:val="21"/>
          <w:szCs w:val="21"/>
          <w:spacing w:val="-10"/>
        </w:rPr>
        <w:t>也和新技术条件下原有劳动力市场中的雇佣关</w:t>
      </w:r>
      <w:r>
        <w:rPr>
          <w:rFonts w:ascii="SimSun" w:hAnsi="SimSun" w:eastAsia="SimSun" w:cs="SimSun"/>
          <w:sz w:val="21"/>
          <w:szCs w:val="21"/>
          <w:spacing w:val="-11"/>
        </w:rPr>
        <w:t>系向“零工经济”分化 </w:t>
      </w:r>
      <w:r>
        <w:rPr>
          <w:rFonts w:ascii="SimSun" w:hAnsi="SimSun" w:eastAsia="SimSun" w:cs="SimSun"/>
          <w:sz w:val="21"/>
          <w:szCs w:val="21"/>
          <w:spacing w:val="-10"/>
        </w:rPr>
        <w:t>转型有关；与贫富差距和社会流动有关的讨论</w:t>
      </w:r>
      <w:r>
        <w:rPr>
          <w:rFonts w:ascii="SimSun" w:hAnsi="SimSun" w:eastAsia="SimSun" w:cs="SimSun"/>
          <w:sz w:val="21"/>
          <w:szCs w:val="21"/>
          <w:spacing w:val="-11"/>
        </w:rPr>
        <w:t>，反映了大众对转型期 </w:t>
      </w:r>
      <w:r>
        <w:rPr>
          <w:rFonts w:ascii="SimSun" w:hAnsi="SimSun" w:eastAsia="SimSun" w:cs="SimSun"/>
          <w:sz w:val="21"/>
          <w:szCs w:val="21"/>
          <w:spacing w:val="-10"/>
        </w:rPr>
        <w:t>社会财富加速集中的关切和社会价值观所面临</w:t>
      </w:r>
      <w:r>
        <w:rPr>
          <w:rFonts w:ascii="SimSun" w:hAnsi="SimSun" w:eastAsia="SimSun" w:cs="SimSun"/>
          <w:sz w:val="21"/>
          <w:szCs w:val="21"/>
          <w:spacing w:val="-11"/>
        </w:rPr>
        <w:t>的挑战。从监管者和政 </w:t>
      </w:r>
      <w:r>
        <w:rPr>
          <w:rFonts w:ascii="SimSun" w:hAnsi="SimSun" w:eastAsia="SimSun" w:cs="SimSun"/>
          <w:sz w:val="21"/>
          <w:szCs w:val="21"/>
          <w:spacing w:val="-10"/>
        </w:rPr>
        <w:t>策制定者的角度而言，理解和吸收围绕平台经</w:t>
      </w:r>
      <w:r>
        <w:rPr>
          <w:rFonts w:ascii="SimSun" w:hAnsi="SimSun" w:eastAsia="SimSun" w:cs="SimSun"/>
          <w:sz w:val="21"/>
          <w:szCs w:val="21"/>
          <w:spacing w:val="-11"/>
        </w:rPr>
        <w:t>济的社会舆论中的公共 </w:t>
      </w:r>
      <w:r>
        <w:rPr>
          <w:rFonts w:ascii="SimSun" w:hAnsi="SimSun" w:eastAsia="SimSun" w:cs="SimSun"/>
          <w:sz w:val="21"/>
          <w:szCs w:val="21"/>
          <w:spacing w:val="-10"/>
        </w:rPr>
        <w:t>理性并将其转化为实际政策的底层逻辑，应当</w:t>
      </w:r>
      <w:r>
        <w:rPr>
          <w:rFonts w:ascii="SimSun" w:hAnsi="SimSun" w:eastAsia="SimSun" w:cs="SimSun"/>
          <w:sz w:val="21"/>
          <w:szCs w:val="21"/>
          <w:spacing w:val="-11"/>
        </w:rPr>
        <w:t>厘清哪些问题是由于平 </w:t>
      </w:r>
      <w:r>
        <w:rPr>
          <w:rFonts w:ascii="SimSun" w:hAnsi="SimSun" w:eastAsia="SimSun" w:cs="SimSun"/>
          <w:sz w:val="21"/>
          <w:szCs w:val="21"/>
          <w:spacing w:val="-10"/>
        </w:rPr>
        <w:t>台经济的技术条件和经营模式所导致的独有结</w:t>
      </w:r>
      <w:r>
        <w:rPr>
          <w:rFonts w:ascii="SimSun" w:hAnsi="SimSun" w:eastAsia="SimSun" w:cs="SimSun"/>
          <w:sz w:val="21"/>
          <w:szCs w:val="21"/>
          <w:spacing w:val="-11"/>
        </w:rPr>
        <w:t>果，哪些问题是我国在 </w:t>
      </w:r>
      <w:r>
        <w:rPr>
          <w:rFonts w:ascii="SimSun" w:hAnsi="SimSun" w:eastAsia="SimSun" w:cs="SimSun"/>
          <w:sz w:val="21"/>
          <w:szCs w:val="21"/>
          <w:spacing w:val="-12"/>
        </w:rPr>
        <w:t>经济发展和社会转型新时期面临的一般性问题。</w:t>
      </w:r>
    </w:p>
    <w:p>
      <w:pPr>
        <w:ind w:right="36" w:firstLine="430"/>
        <w:spacing w:before="106" w:line="308" w:lineRule="auto"/>
        <w:jc w:val="both"/>
        <w:rPr>
          <w:rFonts w:ascii="SimSun" w:hAnsi="SimSun" w:eastAsia="SimSun" w:cs="SimSun"/>
          <w:sz w:val="21"/>
          <w:szCs w:val="21"/>
        </w:rPr>
      </w:pPr>
      <w:r>
        <w:rPr>
          <w:rFonts w:ascii="SimSun" w:hAnsi="SimSun" w:eastAsia="SimSun" w:cs="SimSun"/>
          <w:sz w:val="21"/>
          <w:szCs w:val="21"/>
          <w:spacing w:val="-3"/>
        </w:rPr>
        <w:t>数据安全和用户隐私问题，既是科技平台企业经营过程中的技</w:t>
      </w:r>
      <w:r>
        <w:rPr>
          <w:rFonts w:ascii="SimSun" w:hAnsi="SimSun" w:eastAsia="SimSun" w:cs="SimSun"/>
          <w:sz w:val="21"/>
          <w:szCs w:val="21"/>
          <w:spacing w:val="8"/>
        </w:rPr>
        <w:t xml:space="preserve"> </w:t>
      </w:r>
      <w:r>
        <w:rPr>
          <w:rFonts w:ascii="SimSun" w:hAnsi="SimSun" w:eastAsia="SimSun" w:cs="SimSun"/>
          <w:sz w:val="21"/>
          <w:szCs w:val="21"/>
          <w:spacing w:val="-10"/>
        </w:rPr>
        <w:t>术创新带来的独特问题，也是西方和中国社会所面临的共性问题。由</w:t>
      </w:r>
      <w:r>
        <w:rPr>
          <w:rFonts w:ascii="SimSun" w:hAnsi="SimSun" w:eastAsia="SimSun" w:cs="SimSun"/>
          <w:sz w:val="21"/>
          <w:szCs w:val="21"/>
          <w:spacing w:val="2"/>
        </w:rPr>
        <w:t xml:space="preserve"> </w:t>
      </w:r>
      <w:r>
        <w:rPr>
          <w:rFonts w:ascii="SimSun" w:hAnsi="SimSun" w:eastAsia="SimSun" w:cs="SimSun"/>
          <w:sz w:val="21"/>
          <w:szCs w:val="21"/>
          <w:spacing w:val="-13"/>
        </w:rPr>
        <w:t>于历史原因， 一些民众对隐私权的重视不</w:t>
      </w:r>
      <w:r>
        <w:rPr>
          <w:rFonts w:ascii="SimSun" w:hAnsi="SimSun" w:eastAsia="SimSun" w:cs="SimSun"/>
          <w:sz w:val="21"/>
          <w:szCs w:val="21"/>
          <w:spacing w:val="-14"/>
        </w:rPr>
        <w:t>够，相关的立法和行业规范</w:t>
      </w:r>
      <w:r>
        <w:rPr>
          <w:rFonts w:ascii="SimSun" w:hAnsi="SimSun" w:eastAsia="SimSun" w:cs="SimSun"/>
          <w:sz w:val="21"/>
          <w:szCs w:val="21"/>
        </w:rPr>
        <w:t xml:space="preserve"> </w:t>
      </w:r>
      <w:r>
        <w:rPr>
          <w:rFonts w:ascii="SimSun" w:hAnsi="SimSun" w:eastAsia="SimSun" w:cs="SimSun"/>
          <w:sz w:val="21"/>
          <w:szCs w:val="21"/>
          <w:spacing w:val="-10"/>
        </w:rPr>
        <w:t>也不健全。同时，近年来新兴的移动互联网企</w:t>
      </w:r>
      <w:r>
        <w:rPr>
          <w:rFonts w:ascii="SimSun" w:hAnsi="SimSun" w:eastAsia="SimSun" w:cs="SimSun"/>
          <w:sz w:val="21"/>
          <w:szCs w:val="21"/>
          <w:spacing w:val="-11"/>
        </w:rPr>
        <w:t>业在国内迅速成长，市</w:t>
      </w:r>
      <w:r>
        <w:rPr>
          <w:rFonts w:ascii="SimSun" w:hAnsi="SimSun" w:eastAsia="SimSun" w:cs="SimSun"/>
          <w:sz w:val="21"/>
          <w:szCs w:val="21"/>
        </w:rPr>
        <w:t xml:space="preserve"> </w:t>
      </w:r>
      <w:r>
        <w:rPr>
          <w:rFonts w:ascii="SimSun" w:hAnsi="SimSun" w:eastAsia="SimSun" w:cs="SimSun"/>
          <w:sz w:val="21"/>
          <w:szCs w:val="21"/>
          <w:spacing w:val="-10"/>
        </w:rPr>
        <w:t>场结构更加碎片化，这些因素都可能使国内平台企业对</w:t>
      </w:r>
      <w:r>
        <w:rPr>
          <w:rFonts w:ascii="SimSun" w:hAnsi="SimSun" w:eastAsia="SimSun" w:cs="SimSun"/>
          <w:sz w:val="21"/>
          <w:szCs w:val="21"/>
          <w:spacing w:val="-11"/>
        </w:rPr>
        <w:t>于用户数据的</w:t>
      </w:r>
      <w:r>
        <w:rPr>
          <w:rFonts w:ascii="SimSun" w:hAnsi="SimSun" w:eastAsia="SimSun" w:cs="SimSun"/>
          <w:sz w:val="21"/>
          <w:szCs w:val="21"/>
        </w:rPr>
        <w:t xml:space="preserve"> </w:t>
      </w:r>
      <w:r>
        <w:rPr>
          <w:rFonts w:ascii="SimSun" w:hAnsi="SimSun" w:eastAsia="SimSun" w:cs="SimSun"/>
          <w:sz w:val="21"/>
          <w:szCs w:val="21"/>
          <w:spacing w:val="-10"/>
        </w:rPr>
        <w:t>调取和使用以及在用户隐私保护方面比西方社</w:t>
      </w:r>
      <w:r>
        <w:rPr>
          <w:rFonts w:ascii="SimSun" w:hAnsi="SimSun" w:eastAsia="SimSun" w:cs="SimSun"/>
          <w:sz w:val="21"/>
          <w:szCs w:val="21"/>
          <w:spacing w:val="-11"/>
        </w:rPr>
        <w:t>会更缺乏透明度和规范</w:t>
      </w:r>
      <w:r>
        <w:rPr>
          <w:rFonts w:ascii="SimSun" w:hAnsi="SimSun" w:eastAsia="SimSun" w:cs="SimSun"/>
          <w:sz w:val="21"/>
          <w:szCs w:val="21"/>
        </w:rPr>
        <w:t xml:space="preserve"> </w:t>
      </w:r>
      <w:r>
        <w:rPr>
          <w:rFonts w:ascii="SimSun" w:hAnsi="SimSun" w:eastAsia="SimSun" w:cs="SimSun"/>
          <w:sz w:val="21"/>
          <w:szCs w:val="21"/>
          <w:spacing w:val="-10"/>
        </w:rPr>
        <w:t>性。近年来屡次引发公众热议和监管部门关注的移动端应用在未经用</w:t>
      </w:r>
      <w:r>
        <w:rPr>
          <w:rFonts w:ascii="SimSun" w:hAnsi="SimSun" w:eastAsia="SimSun" w:cs="SimSun"/>
          <w:sz w:val="21"/>
          <w:szCs w:val="21"/>
          <w:spacing w:val="3"/>
        </w:rPr>
        <w:t xml:space="preserve"> </w:t>
      </w:r>
      <w:r>
        <w:rPr>
          <w:rFonts w:ascii="SimSun" w:hAnsi="SimSun" w:eastAsia="SimSun" w:cs="SimSun"/>
          <w:sz w:val="21"/>
          <w:szCs w:val="21"/>
          <w:spacing w:val="4"/>
        </w:rPr>
        <w:t>户授权同意(或者强制授权同意)的情况下访问</w:t>
      </w:r>
      <w:r>
        <w:rPr>
          <w:rFonts w:ascii="SimSun" w:hAnsi="SimSun" w:eastAsia="SimSun" w:cs="SimSun"/>
          <w:sz w:val="21"/>
          <w:szCs w:val="21"/>
          <w:spacing w:val="3"/>
        </w:rPr>
        <w:t>获取用户手机摄像</w:t>
      </w:r>
      <w:r>
        <w:rPr>
          <w:rFonts w:ascii="SimSun" w:hAnsi="SimSun" w:eastAsia="SimSun" w:cs="SimSun"/>
          <w:sz w:val="21"/>
          <w:szCs w:val="21"/>
        </w:rPr>
        <w:t xml:space="preserve"> </w:t>
      </w:r>
      <w:r>
        <w:rPr>
          <w:rFonts w:ascii="SimSun" w:hAnsi="SimSun" w:eastAsia="SimSun" w:cs="SimSun"/>
          <w:sz w:val="21"/>
          <w:szCs w:val="21"/>
          <w:spacing w:val="-11"/>
        </w:rPr>
        <w:t>头、麦克风、通信录、聊天记录和相册，就是比较突出的问题。上述</w:t>
      </w:r>
      <w:r>
        <w:rPr>
          <w:rFonts w:ascii="SimSun" w:hAnsi="SimSun" w:eastAsia="SimSun" w:cs="SimSun"/>
          <w:sz w:val="21"/>
          <w:szCs w:val="21"/>
          <w:spacing w:val="16"/>
        </w:rPr>
        <w:t xml:space="preserve"> </w:t>
      </w:r>
      <w:r>
        <w:rPr>
          <w:rFonts w:ascii="SimSun" w:hAnsi="SimSun" w:eastAsia="SimSun" w:cs="SimSun"/>
          <w:sz w:val="21"/>
          <w:szCs w:val="21"/>
          <w:spacing w:val="-11"/>
        </w:rPr>
        <w:t>领域的监管规范的缺失可能导致平台企业对用户基本权利和财产安全</w:t>
      </w:r>
      <w:r>
        <w:rPr>
          <w:rFonts w:ascii="SimSun" w:hAnsi="SimSun" w:eastAsia="SimSun" w:cs="SimSun"/>
          <w:sz w:val="21"/>
          <w:szCs w:val="21"/>
          <w:spacing w:val="18"/>
        </w:rPr>
        <w:t xml:space="preserve"> </w:t>
      </w:r>
      <w:r>
        <w:rPr>
          <w:rFonts w:ascii="SimSun" w:hAnsi="SimSun" w:eastAsia="SimSun" w:cs="SimSun"/>
          <w:sz w:val="21"/>
          <w:szCs w:val="21"/>
          <w:spacing w:val="-10"/>
        </w:rPr>
        <w:t>的损害，带来社会信任感的丧失，并引发公众对平台经济行业整体和</w:t>
      </w:r>
    </w:p>
    <w:p>
      <w:pPr>
        <w:spacing w:line="308" w:lineRule="auto"/>
        <w:sectPr>
          <w:headerReference w:type="default" r:id="rId242"/>
          <w:pgSz w:w="7330" w:h="12480"/>
          <w:pgMar w:top="878" w:right="924" w:bottom="400" w:left="339" w:header="715"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11"/>
        </w:rPr>
        <w:t>监管者的不满，损害政府的权威。目前，《中华人民共和国个人信息</w:t>
      </w:r>
      <w:r>
        <w:rPr>
          <w:rFonts w:ascii="SimSun" w:hAnsi="SimSun" w:eastAsia="SimSun" w:cs="SimSun"/>
          <w:sz w:val="21"/>
          <w:szCs w:val="21"/>
          <w:spacing w:val="6"/>
        </w:rPr>
        <w:t xml:space="preserve">  </w:t>
      </w:r>
      <w:r>
        <w:rPr>
          <w:rFonts w:ascii="SimSun" w:hAnsi="SimSun" w:eastAsia="SimSun" w:cs="SimSun"/>
          <w:sz w:val="21"/>
          <w:szCs w:val="21"/>
          <w:spacing w:val="-7"/>
        </w:rPr>
        <w:t>保护法(草案二次审议稿)》提出：“利用个人信</w:t>
      </w:r>
      <w:r>
        <w:rPr>
          <w:rFonts w:ascii="SimSun" w:hAnsi="SimSun" w:eastAsia="SimSun" w:cs="SimSun"/>
          <w:sz w:val="21"/>
          <w:szCs w:val="21"/>
          <w:spacing w:val="-8"/>
        </w:rPr>
        <w:t>息进行自动化决策，</w:t>
      </w:r>
      <w:r>
        <w:rPr>
          <w:rFonts w:ascii="SimSun" w:hAnsi="SimSun" w:eastAsia="SimSun" w:cs="SimSun"/>
          <w:sz w:val="21"/>
          <w:szCs w:val="21"/>
        </w:rPr>
        <w:t xml:space="preserve"> </w:t>
      </w:r>
      <w:r>
        <w:rPr>
          <w:rFonts w:ascii="SimSun" w:hAnsi="SimSun" w:eastAsia="SimSun" w:cs="SimSun"/>
          <w:sz w:val="21"/>
          <w:szCs w:val="21"/>
          <w:spacing w:val="-10"/>
        </w:rPr>
        <w:t>应当保证决策的透明度和结果公平合理。”类似政策的出台标志着监 </w:t>
      </w:r>
      <w:r>
        <w:rPr>
          <w:rFonts w:ascii="SimSun" w:hAnsi="SimSun" w:eastAsia="SimSun" w:cs="SimSun"/>
          <w:sz w:val="21"/>
          <w:szCs w:val="21"/>
          <w:spacing w:val="-11"/>
        </w:rPr>
        <w:t>管部门和政策制定者把数据隐私和安全从一种道德规范转化为法定义</w:t>
      </w:r>
      <w:r>
        <w:rPr>
          <w:rFonts w:ascii="SimSun" w:hAnsi="SimSun" w:eastAsia="SimSun" w:cs="SimSun"/>
          <w:sz w:val="21"/>
          <w:szCs w:val="21"/>
          <w:spacing w:val="4"/>
        </w:rPr>
        <w:t xml:space="preserve">  </w:t>
      </w:r>
      <w:r>
        <w:rPr>
          <w:rFonts w:ascii="SimSun" w:hAnsi="SimSun" w:eastAsia="SimSun" w:cs="SimSun"/>
          <w:sz w:val="21"/>
          <w:szCs w:val="21"/>
          <w:spacing w:val="-11"/>
        </w:rPr>
        <w:t>务，是监管者积极回应与平台相关的公众关切的体现。</w:t>
      </w:r>
    </w:p>
    <w:p>
      <w:pPr>
        <w:ind w:firstLine="429"/>
        <w:spacing w:before="127" w:line="302" w:lineRule="auto"/>
        <w:jc w:val="both"/>
        <w:rPr>
          <w:rFonts w:ascii="SimSun" w:hAnsi="SimSun" w:eastAsia="SimSun" w:cs="SimSun"/>
          <w:sz w:val="21"/>
          <w:szCs w:val="21"/>
        </w:rPr>
      </w:pPr>
      <w:r>
        <w:rPr>
          <w:rFonts w:ascii="SimSun" w:hAnsi="SimSun" w:eastAsia="SimSun" w:cs="SimSun"/>
          <w:sz w:val="21"/>
          <w:szCs w:val="21"/>
          <w:spacing w:val="-3"/>
        </w:rPr>
        <w:t>对平台企业劳动者福利、算法对劳动者的控制等问题的社会讨</w:t>
      </w:r>
      <w:r>
        <w:rPr>
          <w:rFonts w:ascii="SimSun" w:hAnsi="SimSun" w:eastAsia="SimSun" w:cs="SimSun"/>
          <w:sz w:val="21"/>
          <w:szCs w:val="21"/>
          <w:spacing w:val="2"/>
        </w:rPr>
        <w:t xml:space="preserve"> </w:t>
      </w:r>
      <w:r>
        <w:rPr>
          <w:rFonts w:ascii="SimSun" w:hAnsi="SimSun" w:eastAsia="SimSun" w:cs="SimSun"/>
          <w:sz w:val="21"/>
          <w:szCs w:val="21"/>
          <w:spacing w:val="-4"/>
        </w:rPr>
        <w:t>论，反映了公众日益增长的对劳动者权益的需求和现有劳动保障体</w:t>
      </w:r>
      <w:r>
        <w:rPr>
          <w:rFonts w:ascii="SimSun" w:hAnsi="SimSun" w:eastAsia="SimSun" w:cs="SimSun"/>
          <w:sz w:val="21"/>
          <w:szCs w:val="21"/>
          <w:spacing w:val="1"/>
        </w:rPr>
        <w:t xml:space="preserve">  </w:t>
      </w:r>
      <w:r>
        <w:rPr>
          <w:rFonts w:ascii="SimSun" w:hAnsi="SimSun" w:eastAsia="SimSun" w:cs="SimSun"/>
          <w:sz w:val="21"/>
          <w:szCs w:val="21"/>
          <w:spacing w:val="-8"/>
        </w:rPr>
        <w:t>制之间的矛盾，也凸显了平台经济的特殊性。从全社会的角度来看，</w:t>
      </w:r>
      <w:r>
        <w:rPr>
          <w:rFonts w:ascii="SimSun" w:hAnsi="SimSun" w:eastAsia="SimSun" w:cs="SimSun"/>
          <w:sz w:val="21"/>
          <w:szCs w:val="21"/>
          <w:spacing w:val="14"/>
        </w:rPr>
        <w:t xml:space="preserve"> </w:t>
      </w:r>
      <w:r>
        <w:rPr>
          <w:rFonts w:ascii="SimSun" w:hAnsi="SimSun" w:eastAsia="SimSun" w:cs="SimSun"/>
          <w:sz w:val="21"/>
          <w:szCs w:val="21"/>
          <w:spacing w:val="4"/>
        </w:rPr>
        <w:t>平台企业从业者的劳动收入和待遇并不算低，但其</w:t>
      </w:r>
      <w:r>
        <w:rPr>
          <w:rFonts w:ascii="SimSun" w:hAnsi="SimSun" w:eastAsia="SimSun" w:cs="SimSun"/>
          <w:sz w:val="21"/>
          <w:szCs w:val="21"/>
          <w:spacing w:val="3"/>
        </w:rPr>
        <w:t>工作具有强度 </w:t>
      </w:r>
      <w:r>
        <w:rPr>
          <w:rFonts w:ascii="SimSun" w:hAnsi="SimSun" w:eastAsia="SimSun" w:cs="SimSun"/>
          <w:sz w:val="21"/>
          <w:szCs w:val="21"/>
          <w:spacing w:val="-9"/>
        </w:rPr>
        <w:t>高、时间长、压力大、不确定性强的特点。</w:t>
      </w:r>
      <w:r>
        <w:rPr>
          <w:rFonts w:ascii="SimSun" w:hAnsi="SimSun" w:eastAsia="SimSun" w:cs="SimSun"/>
          <w:sz w:val="21"/>
          <w:szCs w:val="21"/>
          <w:spacing w:val="51"/>
        </w:rPr>
        <w:t xml:space="preserve"> </w:t>
      </w:r>
      <w:r>
        <w:rPr>
          <w:rFonts w:ascii="SimSun" w:hAnsi="SimSun" w:eastAsia="SimSun" w:cs="SimSun"/>
          <w:sz w:val="21"/>
          <w:szCs w:val="21"/>
          <w:spacing w:val="-9"/>
        </w:rPr>
        <w:t>一些科技平台类企业的</w:t>
      </w:r>
      <w:r>
        <w:rPr>
          <w:rFonts w:ascii="SimSun" w:hAnsi="SimSun" w:eastAsia="SimSun" w:cs="SimSun"/>
          <w:sz w:val="21"/>
          <w:szCs w:val="21"/>
        </w:rPr>
        <w:t xml:space="preserve">  </w:t>
      </w:r>
      <w:r>
        <w:rPr>
          <w:rFonts w:ascii="SimSun" w:hAnsi="SimSun" w:eastAsia="SimSun" w:cs="SimSun"/>
          <w:sz w:val="21"/>
          <w:szCs w:val="21"/>
          <w:spacing w:val="-7"/>
        </w:rPr>
        <w:t>程序员虽然属于高收入群体，但其工作时间长期被迫遵循“996”模</w:t>
      </w:r>
      <w:r>
        <w:rPr>
          <w:rFonts w:ascii="SimSun" w:hAnsi="SimSun" w:eastAsia="SimSun" w:cs="SimSun"/>
          <w:sz w:val="21"/>
          <w:szCs w:val="21"/>
        </w:rPr>
        <w:t xml:space="preserve">  </w:t>
      </w:r>
      <w:r>
        <w:rPr>
          <w:rFonts w:ascii="SimSun" w:hAnsi="SimSun" w:eastAsia="SimSun" w:cs="SimSun"/>
          <w:sz w:val="21"/>
          <w:szCs w:val="21"/>
          <w:spacing w:val="-4"/>
        </w:rPr>
        <w:t>式，无暇照顾个人健康和家庭。而身处中年的科技行业员工一旦因</w:t>
      </w:r>
      <w:r>
        <w:rPr>
          <w:rFonts w:ascii="SimSun" w:hAnsi="SimSun" w:eastAsia="SimSun" w:cs="SimSun"/>
          <w:sz w:val="21"/>
          <w:szCs w:val="21"/>
          <w:spacing w:val="16"/>
        </w:rPr>
        <w:t xml:space="preserve"> </w:t>
      </w:r>
      <w:r>
        <w:rPr>
          <w:rFonts w:ascii="SimSun" w:hAnsi="SimSun" w:eastAsia="SimSun" w:cs="SimSun"/>
          <w:sz w:val="21"/>
          <w:szCs w:val="21"/>
          <w:spacing w:val="-4"/>
        </w:rPr>
        <w:t>为健康或岗位调整原因失去工作就很难重新就业，这种职业上的不</w:t>
      </w:r>
      <w:r>
        <w:rPr>
          <w:rFonts w:ascii="SimSun" w:hAnsi="SimSun" w:eastAsia="SimSun" w:cs="SimSun"/>
          <w:sz w:val="21"/>
          <w:szCs w:val="21"/>
          <w:spacing w:val="3"/>
        </w:rPr>
        <w:t xml:space="preserve">  </w:t>
      </w:r>
      <w:r>
        <w:rPr>
          <w:rFonts w:ascii="SimSun" w:hAnsi="SimSun" w:eastAsia="SimSun" w:cs="SimSun"/>
          <w:sz w:val="21"/>
          <w:szCs w:val="21"/>
          <w:spacing w:val="-3"/>
        </w:rPr>
        <w:t>确定性容易在社会舆论上转换为中产阶层的</w:t>
      </w:r>
      <w:r>
        <w:rPr>
          <w:rFonts w:ascii="SimSun" w:hAnsi="SimSun" w:eastAsia="SimSun" w:cs="SimSun"/>
          <w:sz w:val="21"/>
          <w:szCs w:val="21"/>
          <w:spacing w:val="-4"/>
        </w:rPr>
        <w:t>不安全感。在快递、外 </w:t>
      </w:r>
      <w:r>
        <w:rPr>
          <w:rFonts w:ascii="SimSun" w:hAnsi="SimSun" w:eastAsia="SimSun" w:cs="SimSun"/>
          <w:sz w:val="21"/>
          <w:szCs w:val="21"/>
          <w:spacing w:val="-4"/>
        </w:rPr>
        <w:t>卖、出行平台上使用的算法机制，则把劳动者置于数字程序控制之</w:t>
      </w:r>
      <w:r>
        <w:rPr>
          <w:rFonts w:ascii="SimSun" w:hAnsi="SimSun" w:eastAsia="SimSun" w:cs="SimSun"/>
          <w:sz w:val="21"/>
          <w:szCs w:val="21"/>
          <w:spacing w:val="1"/>
        </w:rPr>
        <w:t xml:space="preserve">  </w:t>
      </w:r>
      <w:r>
        <w:rPr>
          <w:rFonts w:ascii="SimSun" w:hAnsi="SimSun" w:eastAsia="SimSun" w:cs="SimSun"/>
          <w:sz w:val="21"/>
          <w:szCs w:val="21"/>
          <w:spacing w:val="-4"/>
        </w:rPr>
        <w:t>下，劳动者自己和他人的努力与业绩提升通过算法进一步转化成更</w:t>
      </w:r>
      <w:r>
        <w:rPr>
          <w:rFonts w:ascii="SimSun" w:hAnsi="SimSun" w:eastAsia="SimSun" w:cs="SimSun"/>
          <w:sz w:val="21"/>
          <w:szCs w:val="21"/>
          <w:spacing w:val="2"/>
        </w:rPr>
        <w:t xml:space="preserve">  </w:t>
      </w:r>
      <w:r>
        <w:rPr>
          <w:rFonts w:ascii="SimSun" w:hAnsi="SimSun" w:eastAsia="SimSun" w:cs="SimSun"/>
          <w:sz w:val="21"/>
          <w:szCs w:val="21"/>
          <w:u w:val="single" w:color="auto"/>
          <w:spacing w:val="-3"/>
        </w:rPr>
        <w:t>严苛</w:t>
      </w:r>
      <w:r>
        <w:rPr>
          <w:rFonts w:ascii="SimSun" w:hAnsi="SimSun" w:eastAsia="SimSun" w:cs="SimSun"/>
          <w:sz w:val="21"/>
          <w:szCs w:val="21"/>
          <w:spacing w:val="-3"/>
        </w:rPr>
        <w:t>的考核标准，形成一种劳动者相互竞争</w:t>
      </w:r>
      <w:r>
        <w:rPr>
          <w:rFonts w:ascii="SimSun" w:hAnsi="SimSun" w:eastAsia="SimSun" w:cs="SimSun"/>
          <w:sz w:val="21"/>
          <w:szCs w:val="21"/>
          <w:spacing w:val="-4"/>
        </w:rPr>
        <w:t>的囚徒困境。意大利的 </w:t>
      </w:r>
      <w:r>
        <w:rPr>
          <w:rFonts w:ascii="SimSun" w:hAnsi="SimSun" w:eastAsia="SimSun" w:cs="SimSun"/>
          <w:sz w:val="21"/>
          <w:szCs w:val="21"/>
          <w:spacing w:val="-7"/>
        </w:rPr>
        <w:t>个人数据保护机构</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7"/>
        </w:rPr>
        <w:t>Garante </w:t>
      </w:r>
      <w:r>
        <w:rPr>
          <w:rFonts w:ascii="SimSun" w:hAnsi="SimSun" w:eastAsia="SimSun" w:cs="SimSun"/>
          <w:sz w:val="21"/>
          <w:szCs w:val="21"/>
          <w:spacing w:val="-7"/>
        </w:rPr>
        <w:t>对两家在线外卖公司使用算法歧视“零工</w:t>
      </w:r>
      <w:r>
        <w:rPr>
          <w:rFonts w:ascii="SimSun" w:hAnsi="SimSun" w:eastAsia="SimSun" w:cs="SimSun"/>
          <w:sz w:val="21"/>
          <w:szCs w:val="21"/>
        </w:rPr>
        <w:t xml:space="preserve"> </w:t>
      </w:r>
      <w:r>
        <w:rPr>
          <w:rFonts w:ascii="SimSun" w:hAnsi="SimSun" w:eastAsia="SimSun" w:cs="SimSun"/>
          <w:sz w:val="21"/>
          <w:szCs w:val="21"/>
          <w:spacing w:val="-4"/>
        </w:rPr>
        <w:t>经济”从业者进行了处罚。这两家公司被发现使用算法系统对外卖</w:t>
      </w:r>
      <w:r>
        <w:rPr>
          <w:rFonts w:ascii="SimSun" w:hAnsi="SimSun" w:eastAsia="SimSun" w:cs="SimSun"/>
          <w:sz w:val="21"/>
          <w:szCs w:val="21"/>
          <w:spacing w:val="2"/>
        </w:rPr>
        <w:t xml:space="preserve">  </w:t>
      </w:r>
      <w:r>
        <w:rPr>
          <w:rFonts w:ascii="SimSun" w:hAnsi="SimSun" w:eastAsia="SimSun" w:cs="SimSun"/>
          <w:sz w:val="21"/>
          <w:szCs w:val="21"/>
          <w:spacing w:val="-4"/>
        </w:rPr>
        <w:t>员的能力和表现进行打分，根据分值高低向骑手分配外卖订单，但</w:t>
      </w:r>
      <w:r>
        <w:rPr>
          <w:rFonts w:ascii="SimSun" w:hAnsi="SimSun" w:eastAsia="SimSun" w:cs="SimSun"/>
          <w:sz w:val="21"/>
          <w:szCs w:val="21"/>
          <w:spacing w:val="1"/>
        </w:rPr>
        <w:t xml:space="preserve">  </w:t>
      </w:r>
      <w:r>
        <w:rPr>
          <w:rFonts w:ascii="SimSun" w:hAnsi="SimSun" w:eastAsia="SimSun" w:cs="SimSun"/>
          <w:sz w:val="21"/>
          <w:szCs w:val="21"/>
          <w:spacing w:val="-3"/>
        </w:rPr>
        <w:t>没有告知骑手该算法系统的存在，也没有对</w:t>
      </w:r>
      <w:r>
        <w:rPr>
          <w:rFonts w:ascii="SimSun" w:hAnsi="SimSun" w:eastAsia="SimSun" w:cs="SimSun"/>
          <w:sz w:val="21"/>
          <w:szCs w:val="21"/>
          <w:spacing w:val="-4"/>
        </w:rPr>
        <w:t>算法系统的准确性和合 </w:t>
      </w:r>
      <w:r>
        <w:rPr>
          <w:rFonts w:ascii="SimSun" w:hAnsi="SimSun" w:eastAsia="SimSun" w:cs="SimSun"/>
          <w:sz w:val="21"/>
          <w:szCs w:val="21"/>
          <w:spacing w:val="-10"/>
        </w:rPr>
        <w:t>理性进行系统评估。</w:t>
      </w:r>
    </w:p>
    <w:p>
      <w:pPr>
        <w:ind w:right="70" w:firstLine="420"/>
        <w:spacing w:before="263" w:line="297" w:lineRule="auto"/>
        <w:jc w:val="both"/>
        <w:rPr>
          <w:rFonts w:ascii="SimSun" w:hAnsi="SimSun" w:eastAsia="SimSun" w:cs="SimSun"/>
          <w:sz w:val="21"/>
          <w:szCs w:val="21"/>
        </w:rPr>
      </w:pPr>
      <w:r>
        <w:rPr>
          <w:rFonts w:ascii="SimSun" w:hAnsi="SimSun" w:eastAsia="SimSun" w:cs="SimSun"/>
          <w:sz w:val="21"/>
          <w:szCs w:val="21"/>
          <w:spacing w:val="-3"/>
        </w:rPr>
        <w:t>在国内与“零工经济”相关的平台经营中，基于</w:t>
      </w:r>
      <w:r>
        <w:rPr>
          <w:rFonts w:ascii="SimSun" w:hAnsi="SimSun" w:eastAsia="SimSun" w:cs="SimSun"/>
          <w:sz w:val="21"/>
          <w:szCs w:val="21"/>
          <w:spacing w:val="-4"/>
        </w:rPr>
        <w:t>算法对于劳动</w:t>
      </w:r>
      <w:r>
        <w:rPr>
          <w:rFonts w:ascii="SimSun" w:hAnsi="SimSun" w:eastAsia="SimSun" w:cs="SimSun"/>
          <w:sz w:val="21"/>
          <w:szCs w:val="21"/>
        </w:rPr>
        <w:t xml:space="preserve"> </w:t>
      </w:r>
      <w:r>
        <w:rPr>
          <w:rFonts w:ascii="SimSun" w:hAnsi="SimSun" w:eastAsia="SimSun" w:cs="SimSun"/>
          <w:sz w:val="21"/>
          <w:szCs w:val="21"/>
          <w:spacing w:val="-11"/>
        </w:rPr>
        <w:t>者的控制和歧视性对待同样存在，而这方面的立法和行业规范尚未健</w:t>
      </w:r>
      <w:r>
        <w:rPr>
          <w:rFonts w:ascii="SimSun" w:hAnsi="SimSun" w:eastAsia="SimSun" w:cs="SimSun"/>
          <w:sz w:val="21"/>
          <w:szCs w:val="21"/>
          <w:spacing w:val="6"/>
        </w:rPr>
        <w:t xml:space="preserve"> </w:t>
      </w:r>
      <w:r>
        <w:rPr>
          <w:rFonts w:ascii="SimSun" w:hAnsi="SimSun" w:eastAsia="SimSun" w:cs="SimSun"/>
          <w:sz w:val="21"/>
          <w:szCs w:val="21"/>
          <w:spacing w:val="-16"/>
        </w:rPr>
        <w:t>全。在一条有上千万人次观看的网络短视频中，</w:t>
      </w:r>
      <w:r>
        <w:rPr>
          <w:rFonts w:ascii="SimSun" w:hAnsi="SimSun" w:eastAsia="SimSun" w:cs="SimSun"/>
          <w:sz w:val="21"/>
          <w:szCs w:val="21"/>
          <w:spacing w:val="57"/>
        </w:rPr>
        <w:t xml:space="preserve"> </w:t>
      </w:r>
      <w:r>
        <w:rPr>
          <w:rFonts w:ascii="SimSun" w:hAnsi="SimSun" w:eastAsia="SimSun" w:cs="SimSun"/>
          <w:sz w:val="21"/>
          <w:szCs w:val="21"/>
          <w:spacing w:val="-16"/>
        </w:rPr>
        <w:t>一名外卖骑手对受雇</w:t>
      </w:r>
      <w:r>
        <w:rPr>
          <w:rFonts w:ascii="SimSun" w:hAnsi="SimSun" w:eastAsia="SimSun" w:cs="SimSun"/>
          <w:sz w:val="21"/>
          <w:szCs w:val="21"/>
        </w:rPr>
        <w:t xml:space="preserve"> </w:t>
      </w:r>
      <w:r>
        <w:rPr>
          <w:rFonts w:ascii="SimSun" w:hAnsi="SimSun" w:eastAsia="SimSun" w:cs="SimSun"/>
          <w:sz w:val="21"/>
          <w:szCs w:val="21"/>
          <w:spacing w:val="-7"/>
        </w:rPr>
        <w:t>的外卖平台提出“三问”:“第一，为什么把订单</w:t>
      </w:r>
      <w:r>
        <w:rPr>
          <w:rFonts w:ascii="SimSun" w:hAnsi="SimSun" w:eastAsia="SimSun" w:cs="SimSun"/>
          <w:sz w:val="21"/>
          <w:szCs w:val="21"/>
          <w:spacing w:val="-8"/>
        </w:rPr>
        <w:t>完成时间由50分钟</w:t>
      </w:r>
      <w:r>
        <w:rPr>
          <w:rFonts w:ascii="SimSun" w:hAnsi="SimSun" w:eastAsia="SimSun" w:cs="SimSun"/>
          <w:sz w:val="21"/>
          <w:szCs w:val="21"/>
        </w:rPr>
        <w:t xml:space="preserve"> </w:t>
      </w:r>
      <w:r>
        <w:rPr>
          <w:rFonts w:ascii="SimSun" w:hAnsi="SimSun" w:eastAsia="SimSun" w:cs="SimSun"/>
          <w:sz w:val="21"/>
          <w:szCs w:val="21"/>
          <w:spacing w:val="6"/>
        </w:rPr>
        <w:t>降到40分钟，又降到30分钟，有的甚至为20多分钟?第二，为什</w:t>
      </w:r>
    </w:p>
    <w:p>
      <w:pPr>
        <w:spacing w:line="297" w:lineRule="auto"/>
        <w:sectPr>
          <w:headerReference w:type="default" r:id="rId243"/>
          <w:pgSz w:w="7330" w:h="12480"/>
          <w:pgMar w:top="577" w:right="454" w:bottom="400" w:left="799" w:header="415" w:footer="0" w:gutter="0"/>
        </w:sectPr>
        <w:rPr>
          <w:rFonts w:ascii="SimSun" w:hAnsi="SimSun" w:eastAsia="SimSun" w:cs="SimSun"/>
          <w:sz w:val="21"/>
          <w:szCs w:val="21"/>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4"/>
        <w:spacing w:before="69" w:line="306" w:lineRule="auto"/>
        <w:jc w:val="both"/>
        <w:rPr>
          <w:rFonts w:ascii="SimSun" w:hAnsi="SimSun" w:eastAsia="SimSun" w:cs="SimSun"/>
          <w:sz w:val="21"/>
          <w:szCs w:val="21"/>
        </w:rPr>
      </w:pPr>
      <w:r>
        <w:rPr>
          <w:rFonts w:ascii="SimSun" w:hAnsi="SimSun" w:eastAsia="SimSun" w:cs="SimSun"/>
          <w:sz w:val="21"/>
          <w:szCs w:val="21"/>
          <w:spacing w:val="-7"/>
        </w:rPr>
        <w:t>么订单超时以后不问原因就扣款，申诉不予通过?第三，为什么超时</w:t>
      </w:r>
      <w:r>
        <w:rPr>
          <w:rFonts w:ascii="SimSun" w:hAnsi="SimSun" w:eastAsia="SimSun" w:cs="SimSun"/>
          <w:sz w:val="21"/>
          <w:szCs w:val="21"/>
          <w:spacing w:val="5"/>
        </w:rPr>
        <w:t xml:space="preserve"> </w:t>
      </w:r>
      <w:r>
        <w:rPr>
          <w:rFonts w:ascii="SimSun" w:hAnsi="SimSun" w:eastAsia="SimSun" w:cs="SimSun"/>
          <w:sz w:val="21"/>
          <w:szCs w:val="21"/>
          <w:spacing w:val="-4"/>
        </w:rPr>
        <w:t>订单有投诉、有差评，封号一天，而且客户在线申请退款的这个订</w:t>
      </w:r>
      <w:r>
        <w:rPr>
          <w:rFonts w:ascii="SimSun" w:hAnsi="SimSun" w:eastAsia="SimSun" w:cs="SimSun"/>
          <w:sz w:val="21"/>
          <w:szCs w:val="21"/>
          <w:spacing w:val="15"/>
        </w:rPr>
        <w:t xml:space="preserve"> </w:t>
      </w:r>
      <w:r>
        <w:rPr>
          <w:rFonts w:ascii="SimSun" w:hAnsi="SimSun" w:eastAsia="SimSun" w:cs="SimSun"/>
          <w:sz w:val="21"/>
          <w:szCs w:val="21"/>
        </w:rPr>
        <w:t>单，实际上由当时送单的骑手买单?”订单时</w:t>
      </w:r>
      <w:r>
        <w:rPr>
          <w:rFonts w:ascii="SimSun" w:hAnsi="SimSun" w:eastAsia="SimSun" w:cs="SimSun"/>
          <w:sz w:val="21"/>
          <w:szCs w:val="21"/>
          <w:spacing w:val="-1"/>
        </w:rPr>
        <w:t>间从50分钟到20分钟</w:t>
      </w:r>
      <w:r>
        <w:rPr>
          <w:rFonts w:ascii="SimSun" w:hAnsi="SimSun" w:eastAsia="SimSun" w:cs="SimSun"/>
          <w:sz w:val="21"/>
          <w:szCs w:val="21"/>
        </w:rPr>
        <w:t xml:space="preserve"> </w:t>
      </w:r>
      <w:r>
        <w:rPr>
          <w:rFonts w:ascii="SimSun" w:hAnsi="SimSun" w:eastAsia="SimSun" w:cs="SimSun"/>
          <w:sz w:val="21"/>
          <w:szCs w:val="21"/>
          <w:spacing w:val="-10"/>
        </w:rPr>
        <w:t>一降再降，可能是基于大数据的算法“优化”的结果</w:t>
      </w:r>
      <w:r>
        <w:rPr>
          <w:rFonts w:ascii="SimSun" w:hAnsi="SimSun" w:eastAsia="SimSun" w:cs="SimSun"/>
          <w:sz w:val="21"/>
          <w:szCs w:val="21"/>
          <w:spacing w:val="-11"/>
        </w:rPr>
        <w:t>。虽然算法本身</w:t>
      </w:r>
      <w:r>
        <w:rPr>
          <w:rFonts w:ascii="SimSun" w:hAnsi="SimSun" w:eastAsia="SimSun" w:cs="SimSun"/>
          <w:sz w:val="21"/>
          <w:szCs w:val="21"/>
        </w:rPr>
        <w:t xml:space="preserve"> </w:t>
      </w:r>
      <w:r>
        <w:rPr>
          <w:rFonts w:ascii="SimSun" w:hAnsi="SimSun" w:eastAsia="SimSun" w:cs="SimSun"/>
          <w:sz w:val="21"/>
          <w:szCs w:val="21"/>
          <w:spacing w:val="-11"/>
        </w:rPr>
        <w:t>是中性的，但其标准是人为制定的，反映了企业经营者的目标。围绕</w:t>
      </w:r>
      <w:r>
        <w:rPr>
          <w:rFonts w:ascii="SimSun" w:hAnsi="SimSun" w:eastAsia="SimSun" w:cs="SimSun"/>
          <w:sz w:val="21"/>
          <w:szCs w:val="21"/>
          <w:spacing w:val="16"/>
        </w:rPr>
        <w:t xml:space="preserve"> </w:t>
      </w:r>
      <w:r>
        <w:rPr>
          <w:rFonts w:ascii="SimSun" w:hAnsi="SimSun" w:eastAsia="SimSun" w:cs="SimSun"/>
          <w:sz w:val="21"/>
          <w:szCs w:val="21"/>
          <w:spacing w:val="-4"/>
        </w:rPr>
        <w:t>算法和劳动者权益的争议乃至一些情绪化的舆论反应不是孤立的现</w:t>
      </w:r>
      <w:r>
        <w:rPr>
          <w:rFonts w:ascii="SimSun" w:hAnsi="SimSun" w:eastAsia="SimSun" w:cs="SimSun"/>
          <w:sz w:val="21"/>
          <w:szCs w:val="21"/>
          <w:spacing w:val="13"/>
        </w:rPr>
        <w:t xml:space="preserve"> </w:t>
      </w:r>
      <w:r>
        <w:rPr>
          <w:rFonts w:ascii="SimSun" w:hAnsi="SimSun" w:eastAsia="SimSun" w:cs="SimSun"/>
          <w:sz w:val="21"/>
          <w:szCs w:val="21"/>
          <w:spacing w:val="-4"/>
        </w:rPr>
        <w:t>象，反映了社会大众对平台企业不平衡的权力和责任结构的一种担</w:t>
      </w:r>
      <w:r>
        <w:rPr>
          <w:rFonts w:ascii="SimSun" w:hAnsi="SimSun" w:eastAsia="SimSun" w:cs="SimSun"/>
          <w:sz w:val="21"/>
          <w:szCs w:val="21"/>
          <w:spacing w:val="14"/>
        </w:rPr>
        <w:t xml:space="preserve"> </w:t>
      </w:r>
      <w:r>
        <w:rPr>
          <w:rFonts w:ascii="SimSun" w:hAnsi="SimSun" w:eastAsia="SimSun" w:cs="SimSun"/>
          <w:sz w:val="21"/>
          <w:szCs w:val="21"/>
          <w:spacing w:val="-10"/>
        </w:rPr>
        <w:t>忧：某些平台可以通过算法和大数据对劳动者施加比传统雇佣制下更</w:t>
      </w:r>
      <w:r>
        <w:rPr>
          <w:rFonts w:ascii="SimSun" w:hAnsi="SimSun" w:eastAsia="SimSun" w:cs="SimSun"/>
          <w:sz w:val="21"/>
          <w:szCs w:val="21"/>
          <w:spacing w:val="8"/>
        </w:rPr>
        <w:t xml:space="preserve"> </w:t>
      </w:r>
      <w:r>
        <w:rPr>
          <w:rFonts w:ascii="SimSun" w:hAnsi="SimSun" w:eastAsia="SimSun" w:cs="SimSun"/>
          <w:sz w:val="21"/>
          <w:szCs w:val="21"/>
          <w:spacing w:val="-13"/>
        </w:rPr>
        <w:t>为严格的监督和控制。</w:t>
      </w:r>
    </w:p>
    <w:p>
      <w:pPr>
        <w:ind w:firstLine="409"/>
        <w:spacing w:before="116" w:line="311" w:lineRule="auto"/>
        <w:jc w:val="both"/>
        <w:rPr>
          <w:rFonts w:ascii="SimSun" w:hAnsi="SimSun" w:eastAsia="SimSun" w:cs="SimSun"/>
          <w:sz w:val="21"/>
          <w:szCs w:val="21"/>
        </w:rPr>
      </w:pPr>
      <w:r>
        <w:rPr>
          <w:rFonts w:ascii="SimSun" w:hAnsi="SimSun" w:eastAsia="SimSun" w:cs="SimSun"/>
          <w:sz w:val="21"/>
          <w:szCs w:val="21"/>
          <w:spacing w:val="-3"/>
        </w:rPr>
        <w:t>在对平台经济的讨论中也出现了对于社会流动性下降和财富集</w:t>
      </w:r>
      <w:r>
        <w:rPr>
          <w:rFonts w:ascii="SimSun" w:hAnsi="SimSun" w:eastAsia="SimSun" w:cs="SimSun"/>
          <w:sz w:val="21"/>
          <w:szCs w:val="21"/>
          <w:spacing w:val="8"/>
        </w:rPr>
        <w:t xml:space="preserve"> </w:t>
      </w:r>
      <w:r>
        <w:rPr>
          <w:rFonts w:ascii="SimSun" w:hAnsi="SimSun" w:eastAsia="SimSun" w:cs="SimSun"/>
          <w:sz w:val="21"/>
          <w:szCs w:val="21"/>
          <w:spacing w:val="-7"/>
        </w:rPr>
        <w:t>中、社会贫富差距加大的关切，对于“996是福报”之类言论的舆论</w:t>
      </w:r>
      <w:r>
        <w:rPr>
          <w:rFonts w:ascii="SimSun" w:hAnsi="SimSun" w:eastAsia="SimSun" w:cs="SimSun"/>
          <w:sz w:val="21"/>
          <w:szCs w:val="21"/>
          <w:spacing w:val="10"/>
        </w:rPr>
        <w:t xml:space="preserve"> </w:t>
      </w:r>
      <w:r>
        <w:rPr>
          <w:rFonts w:ascii="SimSun" w:hAnsi="SimSun" w:eastAsia="SimSun" w:cs="SimSun"/>
          <w:sz w:val="21"/>
          <w:szCs w:val="21"/>
          <w:spacing w:val="-11"/>
        </w:rPr>
        <w:t>反弹。这些舆论不是简单宣泄仇富情绪或反对创新、进步，而是高速</w:t>
      </w:r>
      <w:r>
        <w:rPr>
          <w:rFonts w:ascii="SimSun" w:hAnsi="SimSun" w:eastAsia="SimSun" w:cs="SimSun"/>
          <w:sz w:val="21"/>
          <w:szCs w:val="21"/>
          <w:spacing w:val="16"/>
        </w:rPr>
        <w:t xml:space="preserve"> </w:t>
      </w:r>
      <w:r>
        <w:rPr>
          <w:rFonts w:ascii="SimSun" w:hAnsi="SimSun" w:eastAsia="SimSun" w:cs="SimSun"/>
          <w:sz w:val="21"/>
          <w:szCs w:val="21"/>
          <w:spacing w:val="-15"/>
        </w:rPr>
        <w:t>发展的转型社会中价值观冲突的体现。</w:t>
      </w:r>
      <w:r>
        <w:rPr>
          <w:rFonts w:ascii="SimSun" w:hAnsi="SimSun" w:eastAsia="SimSun" w:cs="SimSun"/>
          <w:sz w:val="21"/>
          <w:szCs w:val="21"/>
          <w:spacing w:val="38"/>
        </w:rPr>
        <w:t xml:space="preserve"> </w:t>
      </w:r>
      <w:r>
        <w:rPr>
          <w:rFonts w:ascii="SimSun" w:hAnsi="SimSun" w:eastAsia="SimSun" w:cs="SimSun"/>
          <w:sz w:val="21"/>
          <w:szCs w:val="21"/>
          <w:spacing w:val="-15"/>
        </w:rPr>
        <w:t>一些网络视频不仅会引用《资</w:t>
      </w:r>
      <w:r>
        <w:rPr>
          <w:rFonts w:ascii="SimSun" w:hAnsi="SimSun" w:eastAsia="SimSun" w:cs="SimSun"/>
          <w:sz w:val="21"/>
          <w:szCs w:val="21"/>
        </w:rPr>
        <w:t xml:space="preserve"> </w:t>
      </w:r>
      <w:r>
        <w:rPr>
          <w:rFonts w:ascii="SimSun" w:hAnsi="SimSun" w:eastAsia="SimSun" w:cs="SimSun"/>
          <w:sz w:val="21"/>
          <w:szCs w:val="21"/>
          <w:spacing w:val="-10"/>
        </w:rPr>
        <w:t>本论》等马克思主义经典著作，同时也会引用电视剧《觉醒年代》中</w:t>
      </w:r>
      <w:r>
        <w:rPr>
          <w:rFonts w:ascii="SimSun" w:hAnsi="SimSun" w:eastAsia="SimSun" w:cs="SimSun"/>
          <w:sz w:val="21"/>
          <w:szCs w:val="21"/>
        </w:rPr>
        <w:t xml:space="preserve"> </w:t>
      </w:r>
      <w:r>
        <w:rPr>
          <w:rFonts w:ascii="SimSun" w:hAnsi="SimSun" w:eastAsia="SimSun" w:cs="SimSun"/>
          <w:sz w:val="21"/>
          <w:szCs w:val="21"/>
          <w:spacing w:val="-4"/>
        </w:rPr>
        <w:t>李大钊、陈独秀领导工人运动时的台词。亚当·斯密在《道德情操</w:t>
      </w:r>
      <w:r>
        <w:rPr>
          <w:rFonts w:ascii="SimSun" w:hAnsi="SimSun" w:eastAsia="SimSun" w:cs="SimSun"/>
          <w:sz w:val="21"/>
          <w:szCs w:val="21"/>
          <w:spacing w:val="15"/>
        </w:rPr>
        <w:t xml:space="preserve"> </w:t>
      </w:r>
      <w:r>
        <w:rPr>
          <w:rFonts w:ascii="SimSun" w:hAnsi="SimSun" w:eastAsia="SimSun" w:cs="SimSun"/>
          <w:sz w:val="21"/>
          <w:szCs w:val="21"/>
          <w:spacing w:val="-10"/>
        </w:rPr>
        <w:t>论》里指出经济不平等对社会的长期健康发展有负面影响，他的理由</w:t>
      </w:r>
      <w:r>
        <w:rPr>
          <w:rFonts w:ascii="SimSun" w:hAnsi="SimSun" w:eastAsia="SimSun" w:cs="SimSun"/>
          <w:sz w:val="21"/>
          <w:szCs w:val="21"/>
          <w:spacing w:val="2"/>
        </w:rPr>
        <w:t xml:space="preserve"> </w:t>
      </w:r>
      <w:r>
        <w:rPr>
          <w:rFonts w:ascii="SimSun" w:hAnsi="SimSun" w:eastAsia="SimSun" w:cs="SimSun"/>
          <w:sz w:val="21"/>
          <w:szCs w:val="21"/>
          <w:spacing w:val="-10"/>
        </w:rPr>
        <w:t>并不是发展经济所主张的不平等会加剧贫困、收入下降，引发社会矛</w:t>
      </w:r>
      <w:r>
        <w:rPr>
          <w:rFonts w:ascii="SimSun" w:hAnsi="SimSun" w:eastAsia="SimSun" w:cs="SimSun"/>
          <w:sz w:val="21"/>
          <w:szCs w:val="21"/>
          <w:spacing w:val="13"/>
        </w:rPr>
        <w:t xml:space="preserve"> </w:t>
      </w:r>
      <w:r>
        <w:rPr>
          <w:rFonts w:ascii="SimSun" w:hAnsi="SimSun" w:eastAsia="SimSun" w:cs="SimSun"/>
          <w:sz w:val="21"/>
          <w:szCs w:val="21"/>
          <w:spacing w:val="-10"/>
        </w:rPr>
        <w:t>盾，而是认为财富的过度集中会导致社会大众对富人的共情增加，对</w:t>
      </w:r>
      <w:r>
        <w:rPr>
          <w:rFonts w:ascii="SimSun" w:hAnsi="SimSun" w:eastAsia="SimSun" w:cs="SimSun"/>
          <w:sz w:val="21"/>
          <w:szCs w:val="21"/>
          <w:spacing w:val="7"/>
        </w:rPr>
        <w:t xml:space="preserve"> </w:t>
      </w:r>
      <w:r>
        <w:rPr>
          <w:rFonts w:ascii="SimSun" w:hAnsi="SimSun" w:eastAsia="SimSun" w:cs="SimSun"/>
          <w:sz w:val="21"/>
          <w:szCs w:val="21"/>
          <w:spacing w:val="-4"/>
        </w:rPr>
        <w:t>穷人的共情减少，最终降低整个社会的道德水平，侵蚀社会的价值</w:t>
      </w:r>
      <w:r>
        <w:rPr>
          <w:rFonts w:ascii="SimSun" w:hAnsi="SimSun" w:eastAsia="SimSun" w:cs="SimSun"/>
          <w:sz w:val="21"/>
          <w:szCs w:val="21"/>
          <w:spacing w:val="13"/>
        </w:rPr>
        <w:t xml:space="preserve"> </w:t>
      </w:r>
      <w:r>
        <w:rPr>
          <w:rFonts w:ascii="SimSun" w:hAnsi="SimSun" w:eastAsia="SimSun" w:cs="SimSun"/>
          <w:sz w:val="21"/>
          <w:szCs w:val="21"/>
          <w:spacing w:val="-10"/>
        </w:rPr>
        <w:t>观。关于平台企业的经营行为、劳动者权益</w:t>
      </w:r>
      <w:r>
        <w:rPr>
          <w:rFonts w:ascii="SimSun" w:hAnsi="SimSun" w:eastAsia="SimSun" w:cs="SimSun"/>
          <w:sz w:val="21"/>
          <w:szCs w:val="21"/>
          <w:spacing w:val="-11"/>
        </w:rPr>
        <w:t>和企业文化、管理者言行</w:t>
      </w:r>
      <w:r>
        <w:rPr>
          <w:rFonts w:ascii="SimSun" w:hAnsi="SimSun" w:eastAsia="SimSun" w:cs="SimSun"/>
          <w:sz w:val="21"/>
          <w:szCs w:val="21"/>
        </w:rPr>
        <w:t xml:space="preserve"> </w:t>
      </w:r>
      <w:r>
        <w:rPr>
          <w:rFonts w:ascii="SimSun" w:hAnsi="SimSun" w:eastAsia="SimSun" w:cs="SimSun"/>
          <w:sz w:val="21"/>
          <w:szCs w:val="21"/>
          <w:spacing w:val="-11"/>
        </w:rPr>
        <w:t>的舆论反弹，反映出青年群体对平台企业的经济影响力所导致的话语</w:t>
      </w:r>
      <w:r>
        <w:rPr>
          <w:rFonts w:ascii="SimSun" w:hAnsi="SimSun" w:eastAsia="SimSun" w:cs="SimSun"/>
          <w:sz w:val="21"/>
          <w:szCs w:val="21"/>
          <w:spacing w:val="17"/>
        </w:rPr>
        <w:t xml:space="preserve"> </w:t>
      </w:r>
      <w:r>
        <w:rPr>
          <w:rFonts w:ascii="SimSun" w:hAnsi="SimSun" w:eastAsia="SimSun" w:cs="SimSun"/>
          <w:sz w:val="21"/>
          <w:szCs w:val="21"/>
          <w:spacing w:val="-4"/>
        </w:rPr>
        <w:t>权垄断的关注，这种多元化的争鸣和批判是一个健康社会的舆论特</w:t>
      </w:r>
      <w:r>
        <w:rPr>
          <w:rFonts w:ascii="SimSun" w:hAnsi="SimSun" w:eastAsia="SimSun" w:cs="SimSun"/>
          <w:sz w:val="21"/>
          <w:szCs w:val="21"/>
          <w:spacing w:val="12"/>
        </w:rPr>
        <w:t xml:space="preserve"> </w:t>
      </w:r>
      <w:r>
        <w:rPr>
          <w:rFonts w:ascii="SimSun" w:hAnsi="SimSun" w:eastAsia="SimSun" w:cs="SimSun"/>
          <w:sz w:val="21"/>
          <w:szCs w:val="21"/>
          <w:spacing w:val="-10"/>
        </w:rPr>
        <w:t>色。监管部门可以提供更为宽松和开放的公共讨论</w:t>
      </w:r>
      <w:r>
        <w:rPr>
          <w:rFonts w:ascii="SimSun" w:hAnsi="SimSun" w:eastAsia="SimSun" w:cs="SimSun"/>
          <w:sz w:val="21"/>
          <w:szCs w:val="21"/>
          <w:spacing w:val="-11"/>
        </w:rPr>
        <w:t>空间，鼓励和引导</w:t>
      </w:r>
      <w:r>
        <w:rPr>
          <w:rFonts w:ascii="SimSun" w:hAnsi="SimSun" w:eastAsia="SimSun" w:cs="SimSun"/>
          <w:sz w:val="21"/>
          <w:szCs w:val="21"/>
        </w:rPr>
        <w:t xml:space="preserve"> </w:t>
      </w:r>
      <w:r>
        <w:rPr>
          <w:rFonts w:ascii="SimSun" w:hAnsi="SimSun" w:eastAsia="SimSun" w:cs="SimSun"/>
          <w:sz w:val="21"/>
          <w:szCs w:val="21"/>
          <w:spacing w:val="-11"/>
        </w:rPr>
        <w:t>平台企业更多地参与针对数据安全、消费者权益、隐私保护、劳动者</w:t>
      </w:r>
      <w:r>
        <w:rPr>
          <w:rFonts w:ascii="SimSun" w:hAnsi="SimSun" w:eastAsia="SimSun" w:cs="SimSun"/>
          <w:sz w:val="21"/>
          <w:szCs w:val="21"/>
          <w:spacing w:val="18"/>
        </w:rPr>
        <w:t xml:space="preserve"> </w:t>
      </w:r>
      <w:r>
        <w:rPr>
          <w:rFonts w:ascii="SimSun" w:hAnsi="SimSun" w:eastAsia="SimSun" w:cs="SimSun"/>
          <w:sz w:val="21"/>
          <w:szCs w:val="21"/>
          <w:spacing w:val="-11"/>
        </w:rPr>
        <w:t>权益、收入差距等问题的讨论，更好地听取公众意见和践行企业社会</w:t>
      </w:r>
      <w:r>
        <w:rPr>
          <w:rFonts w:ascii="SimSun" w:hAnsi="SimSun" w:eastAsia="SimSun" w:cs="SimSun"/>
          <w:sz w:val="21"/>
          <w:szCs w:val="21"/>
          <w:spacing w:val="17"/>
        </w:rPr>
        <w:t xml:space="preserve"> </w:t>
      </w:r>
      <w:r>
        <w:rPr>
          <w:rFonts w:ascii="SimSun" w:hAnsi="SimSun" w:eastAsia="SimSun" w:cs="SimSun"/>
          <w:sz w:val="21"/>
          <w:szCs w:val="21"/>
          <w:spacing w:val="-6"/>
        </w:rPr>
        <w:t>责任。</w:t>
      </w:r>
    </w:p>
    <w:p>
      <w:pPr>
        <w:spacing w:line="311" w:lineRule="auto"/>
        <w:sectPr>
          <w:headerReference w:type="default" r:id="rId244"/>
          <w:pgSz w:w="7330" w:h="12480"/>
          <w:pgMar w:top="869" w:right="965" w:bottom="400" w:left="350" w:header="703" w:footer="0" w:gutter="0"/>
        </w:sectPr>
        <w:rPr>
          <w:rFonts w:ascii="SimSun" w:hAnsi="SimSun" w:eastAsia="SimSun" w:cs="SimSun"/>
          <w:sz w:val="21"/>
          <w:szCs w:val="21"/>
        </w:rPr>
      </w:pPr>
    </w:p>
    <w:p>
      <w:pPr>
        <w:spacing w:line="220" w:lineRule="auto"/>
        <w:rPr>
          <w:rFonts w:ascii="SimHei" w:hAnsi="SimHei" w:eastAsia="SimHei" w:cs="SimHei"/>
          <w:sz w:val="20"/>
          <w:szCs w:val="20"/>
        </w:rPr>
      </w:pPr>
      <w:r>
        <w:drawing>
          <wp:anchor distT="0" distB="0" distL="0" distR="0" simplePos="0" relativeHeight="253751296" behindDoc="0" locked="0" layoutInCell="0" allowOverlap="1">
            <wp:simplePos x="0" y="0"/>
            <wp:positionH relativeFrom="page">
              <wp:posOffset>527034</wp:posOffset>
            </wp:positionH>
            <wp:positionV relativeFrom="page">
              <wp:posOffset>6527811</wp:posOffset>
            </wp:positionV>
            <wp:extent cx="1181092" cy="6350"/>
            <wp:effectExtent l="0" t="0" r="0" b="0"/>
            <wp:wrapNone/>
            <wp:docPr id="190" name="IM 190"/>
            <wp:cNvGraphicFramePr/>
            <a:graphic>
              <a:graphicData uri="http://schemas.openxmlformats.org/drawingml/2006/picture">
                <pic:pic>
                  <pic:nvPicPr>
                    <pic:cNvPr id="190" name="IM 190"/>
                    <pic:cNvPicPr/>
                  </pic:nvPicPr>
                  <pic:blipFill>
                    <a:blip r:embed="rId245"/>
                    <a:stretch>
                      <a:fillRect/>
                    </a:stretch>
                  </pic:blipFill>
                  <pic:spPr>
                    <a:xfrm rot="0">
                      <a:off x="0" y="0"/>
                      <a:ext cx="1181092" cy="6350"/>
                    </a:xfrm>
                    <a:prstGeom prst="rect">
                      <a:avLst/>
                    </a:prstGeom>
                  </pic:spPr>
                </pic:pic>
              </a:graphicData>
            </a:graphic>
          </wp:anchor>
        </w:drawing>
      </w:r>
      <w:r>
        <w:rPr>
          <w:rFonts w:ascii="SimSun" w:hAnsi="SimSun" w:eastAsia="SimSun" w:cs="SimSun"/>
          <w:sz w:val="11"/>
          <w:szCs w:val="11"/>
          <w:spacing w:val="-5"/>
        </w:rPr>
        <w:t>194</w:t>
      </w:r>
      <w:r>
        <w:rPr>
          <w:rFonts w:ascii="SimSun" w:hAnsi="SimSun" w:eastAsia="SimSun" w:cs="SimSun"/>
          <w:sz w:val="11"/>
          <w:szCs w:val="11"/>
          <w:spacing w:val="1"/>
        </w:rPr>
        <w:t xml:space="preserve">                            </w:t>
      </w:r>
      <w:r>
        <w:rPr>
          <w:rFonts w:ascii="SimSun" w:hAnsi="SimSun" w:eastAsia="SimSun" w:cs="SimSun"/>
          <w:sz w:val="11"/>
          <w:szCs w:val="11"/>
        </w:rPr>
        <w:t xml:space="preserve">    </w:t>
      </w:r>
      <w:r>
        <w:rPr>
          <w:rFonts w:ascii="SimHei" w:hAnsi="SimHei" w:eastAsia="SimHei" w:cs="SimHei"/>
          <w:sz w:val="20"/>
          <w:szCs w:val="20"/>
          <w:spacing w:val="-16"/>
          <w:w w:val="86"/>
        </w:rPr>
        <w:t>平台经济——创新、治理与繁荣</w:t>
      </w:r>
    </w:p>
    <w:p>
      <w:pPr>
        <w:pStyle w:val="BodyText"/>
        <w:spacing w:line="300" w:lineRule="auto"/>
        <w:rPr/>
      </w:pPr>
      <w:r/>
    </w:p>
    <w:p>
      <w:pPr>
        <w:pStyle w:val="BodyText"/>
        <w:spacing w:line="300" w:lineRule="auto"/>
        <w:rPr/>
      </w:pPr>
      <w:r/>
    </w:p>
    <w:p>
      <w:pPr>
        <w:pStyle w:val="BodyText"/>
        <w:spacing w:line="300" w:lineRule="auto"/>
        <w:rPr/>
      </w:pPr>
      <w:r/>
    </w:p>
    <w:p>
      <w:pPr>
        <w:ind w:left="2414"/>
        <w:spacing w:before="107" w:line="219" w:lineRule="auto"/>
        <w:rPr>
          <w:rFonts w:ascii="SimSun" w:hAnsi="SimSun" w:eastAsia="SimSun" w:cs="SimSun"/>
          <w:sz w:val="33"/>
          <w:szCs w:val="33"/>
        </w:rPr>
      </w:pPr>
      <w:r>
        <w:rPr>
          <w:rFonts w:ascii="SimSun" w:hAnsi="SimSun" w:eastAsia="SimSun" w:cs="SimSun"/>
          <w:sz w:val="33"/>
          <w:szCs w:val="33"/>
          <w:b/>
          <w:bCs/>
          <w:spacing w:val="-14"/>
        </w:rPr>
        <w:t>监管策略</w:t>
      </w:r>
    </w:p>
    <w:p>
      <w:pPr>
        <w:pStyle w:val="BodyText"/>
        <w:spacing w:line="283" w:lineRule="auto"/>
        <w:rPr/>
      </w:pPr>
      <w:r/>
    </w:p>
    <w:p>
      <w:pPr>
        <w:ind w:right="10" w:firstLine="440"/>
        <w:spacing w:before="65" w:line="332" w:lineRule="auto"/>
        <w:jc w:val="both"/>
        <w:rPr>
          <w:rFonts w:ascii="SimSun" w:hAnsi="SimSun" w:eastAsia="SimSun" w:cs="SimSun"/>
          <w:sz w:val="20"/>
          <w:szCs w:val="20"/>
        </w:rPr>
      </w:pPr>
      <w:r>
        <w:rPr>
          <w:rFonts w:ascii="SimSun" w:hAnsi="SimSun" w:eastAsia="SimSun" w:cs="SimSun"/>
          <w:sz w:val="20"/>
          <w:szCs w:val="20"/>
          <w:spacing w:val="6"/>
        </w:rPr>
        <w:t>针对平台企业的监管政策制定是一个包含了监管部门、平台企</w:t>
      </w:r>
      <w:r>
        <w:rPr>
          <w:rFonts w:ascii="SimSun" w:hAnsi="SimSun" w:eastAsia="SimSun" w:cs="SimSun"/>
          <w:sz w:val="20"/>
          <w:szCs w:val="20"/>
          <w:spacing w:val="15"/>
        </w:rPr>
        <w:t xml:space="preserve"> </w:t>
      </w:r>
      <w:r>
        <w:rPr>
          <w:rFonts w:ascii="SimSun" w:hAnsi="SimSun" w:eastAsia="SimSun" w:cs="SimSun"/>
          <w:sz w:val="20"/>
          <w:szCs w:val="20"/>
        </w:rPr>
        <w:t>业、消费者、平台从业者、其他利益相关的社会</w:t>
      </w:r>
      <w:r>
        <w:rPr>
          <w:rFonts w:ascii="SimSun" w:hAnsi="SimSun" w:eastAsia="SimSun" w:cs="SimSun"/>
          <w:sz w:val="20"/>
          <w:szCs w:val="20"/>
          <w:spacing w:val="-1"/>
        </w:rPr>
        <w:t>团体和非政府组织在</w:t>
      </w:r>
      <w:r>
        <w:rPr>
          <w:rFonts w:ascii="SimSun" w:hAnsi="SimSun" w:eastAsia="SimSun" w:cs="SimSun"/>
          <w:sz w:val="20"/>
          <w:szCs w:val="20"/>
        </w:rPr>
        <w:t xml:space="preserve"> </w:t>
      </w:r>
      <w:r>
        <w:rPr>
          <w:rFonts w:ascii="SimSun" w:hAnsi="SimSun" w:eastAsia="SimSun" w:cs="SimSun"/>
          <w:sz w:val="20"/>
          <w:szCs w:val="20"/>
          <w:spacing w:val="-1"/>
        </w:rPr>
        <w:t>内的复杂利益平衡和政策审议过程。监管者往往</w:t>
      </w:r>
      <w:r>
        <w:rPr>
          <w:rFonts w:ascii="SimSun" w:hAnsi="SimSun" w:eastAsia="SimSun" w:cs="SimSun"/>
          <w:sz w:val="20"/>
          <w:szCs w:val="20"/>
          <w:spacing w:val="-2"/>
        </w:rPr>
        <w:t>并非从固定的政策偏 </w:t>
      </w:r>
      <w:r>
        <w:rPr>
          <w:rFonts w:ascii="SimSun" w:hAnsi="SimSun" w:eastAsia="SimSun" w:cs="SimSun"/>
          <w:sz w:val="20"/>
          <w:szCs w:val="20"/>
        </w:rPr>
        <w:t>好或主观先验假设出发设定监管规则，而是综合</w:t>
      </w:r>
      <w:r>
        <w:rPr>
          <w:rFonts w:ascii="SimSun" w:hAnsi="SimSun" w:eastAsia="SimSun" w:cs="SimSun"/>
          <w:sz w:val="20"/>
          <w:szCs w:val="20"/>
          <w:spacing w:val="-1"/>
        </w:rPr>
        <w:t>考虑各个利益相关方</w:t>
      </w:r>
      <w:r>
        <w:rPr>
          <w:rFonts w:ascii="SimSun" w:hAnsi="SimSun" w:eastAsia="SimSun" w:cs="SimSun"/>
          <w:sz w:val="20"/>
          <w:szCs w:val="20"/>
        </w:rPr>
        <w:t xml:space="preserve"> </w:t>
      </w:r>
      <w:r>
        <w:rPr>
          <w:rFonts w:ascii="SimSun" w:hAnsi="SimSun" w:eastAsia="SimSun" w:cs="SimSun"/>
          <w:sz w:val="20"/>
          <w:szCs w:val="20"/>
          <w:spacing w:val="1"/>
        </w:rPr>
        <w:t>的意见和社会舆论，并对监管方向和先验认识不断进行调整和优化。</w:t>
      </w:r>
      <w:r>
        <w:rPr>
          <w:rFonts w:ascii="SimSun" w:hAnsi="SimSun" w:eastAsia="SimSun" w:cs="SimSun"/>
          <w:sz w:val="20"/>
          <w:szCs w:val="20"/>
          <w:spacing w:val="9"/>
        </w:rPr>
        <w:t xml:space="preserve"> </w:t>
      </w:r>
      <w:r>
        <w:rPr>
          <w:rFonts w:ascii="SimSun" w:hAnsi="SimSun" w:eastAsia="SimSun" w:cs="SimSun"/>
          <w:sz w:val="20"/>
          <w:szCs w:val="20"/>
        </w:rPr>
        <w:t>在此过程中，平台既可能与利益相关方结成联盟</w:t>
      </w:r>
      <w:r>
        <w:rPr>
          <w:rFonts w:ascii="SimSun" w:hAnsi="SimSun" w:eastAsia="SimSun" w:cs="SimSun"/>
          <w:sz w:val="20"/>
          <w:szCs w:val="20"/>
          <w:spacing w:val="-1"/>
        </w:rPr>
        <w:t>，通过各种渠道和机</w:t>
      </w:r>
      <w:r>
        <w:rPr>
          <w:rFonts w:ascii="SimSun" w:hAnsi="SimSun" w:eastAsia="SimSun" w:cs="SimSun"/>
          <w:sz w:val="20"/>
          <w:szCs w:val="20"/>
        </w:rPr>
        <w:t xml:space="preserve"> </w:t>
      </w:r>
      <w:r>
        <w:rPr>
          <w:rFonts w:ascii="SimSun" w:hAnsi="SimSun" w:eastAsia="SimSun" w:cs="SimSun"/>
          <w:sz w:val="20"/>
          <w:szCs w:val="20"/>
        </w:rPr>
        <w:t>制影响监管政策，也可能对政府监管部门进行</w:t>
      </w:r>
      <w:r>
        <w:rPr>
          <w:rFonts w:ascii="SimSun" w:hAnsi="SimSun" w:eastAsia="SimSun" w:cs="SimSun"/>
          <w:sz w:val="20"/>
          <w:szCs w:val="20"/>
          <w:spacing w:val="-1"/>
        </w:rPr>
        <w:t>积极的协调与响应，前</w:t>
      </w:r>
    </w:p>
    <w:p>
      <w:pPr>
        <w:spacing w:line="219" w:lineRule="auto"/>
        <w:rPr>
          <w:rFonts w:ascii="SimSun" w:hAnsi="SimSun" w:eastAsia="SimSun" w:cs="SimSun"/>
          <w:sz w:val="20"/>
          <w:szCs w:val="20"/>
        </w:rPr>
      </w:pPr>
      <w:r>
        <w:rPr>
          <w:rFonts w:ascii="SimSun" w:hAnsi="SimSun" w:eastAsia="SimSun" w:cs="SimSun"/>
          <w:sz w:val="20"/>
          <w:szCs w:val="20"/>
          <w:spacing w:val="-2"/>
        </w:rPr>
        <w:t>瞻性地对自身的经营策略和模式做出调整，以适应监管规则的变化。</w:t>
      </w:r>
    </w:p>
    <w:p>
      <w:pPr>
        <w:ind w:right="17" w:firstLine="440"/>
        <w:spacing w:before="127" w:line="321" w:lineRule="auto"/>
        <w:jc w:val="both"/>
        <w:rPr>
          <w:rFonts w:ascii="SimSun" w:hAnsi="SimSun" w:eastAsia="SimSun" w:cs="SimSun"/>
          <w:sz w:val="20"/>
          <w:szCs w:val="20"/>
        </w:rPr>
      </w:pPr>
      <w:r>
        <w:rPr>
          <w:rFonts w:ascii="SimSun" w:hAnsi="SimSun" w:eastAsia="SimSun" w:cs="SimSun"/>
          <w:sz w:val="20"/>
          <w:szCs w:val="20"/>
        </w:rPr>
        <w:t>在一项由新兴技术创造的平台经济模式诞生</w:t>
      </w:r>
      <w:r>
        <w:rPr>
          <w:rFonts w:ascii="SimSun" w:hAnsi="SimSun" w:eastAsia="SimSun" w:cs="SimSun"/>
          <w:sz w:val="20"/>
          <w:szCs w:val="20"/>
          <w:spacing w:val="-1"/>
        </w:rPr>
        <w:t>之初，往往并无针对</w:t>
      </w:r>
      <w:r>
        <w:rPr>
          <w:rFonts w:ascii="SimSun" w:hAnsi="SimSun" w:eastAsia="SimSun" w:cs="SimSun"/>
          <w:sz w:val="20"/>
          <w:szCs w:val="20"/>
        </w:rPr>
        <w:t xml:space="preserve"> </w:t>
      </w:r>
      <w:r>
        <w:rPr>
          <w:rFonts w:ascii="SimSun" w:hAnsi="SimSun" w:eastAsia="SimSun" w:cs="SimSun"/>
          <w:sz w:val="20"/>
          <w:szCs w:val="20"/>
        </w:rPr>
        <w:t>特定平台经济形态的监管规则。新兴科技平台公</w:t>
      </w:r>
      <w:r>
        <w:rPr>
          <w:rFonts w:ascii="SimSun" w:hAnsi="SimSun" w:eastAsia="SimSun" w:cs="SimSun"/>
          <w:sz w:val="20"/>
          <w:szCs w:val="20"/>
          <w:spacing w:val="-1"/>
        </w:rPr>
        <w:t>司不仅给经济和市场</w:t>
      </w:r>
      <w:r>
        <w:rPr>
          <w:rFonts w:ascii="SimSun" w:hAnsi="SimSun" w:eastAsia="SimSun" w:cs="SimSun"/>
          <w:sz w:val="20"/>
          <w:szCs w:val="20"/>
        </w:rPr>
        <w:t xml:space="preserve"> </w:t>
      </w:r>
      <w:r>
        <w:rPr>
          <w:rFonts w:ascii="SimSun" w:hAnsi="SimSun" w:eastAsia="SimSun" w:cs="SimSun"/>
          <w:sz w:val="20"/>
          <w:szCs w:val="20"/>
          <w:spacing w:val="-1"/>
        </w:rPr>
        <w:t>带来冲击，也导致监管框架中形成了新的空白。发端于美国市场的网</w:t>
      </w:r>
      <w:r>
        <w:rPr>
          <w:rFonts w:ascii="SimSun" w:hAnsi="SimSun" w:eastAsia="SimSun" w:cs="SimSun"/>
          <w:sz w:val="20"/>
          <w:szCs w:val="20"/>
          <w:spacing w:val="15"/>
        </w:rPr>
        <w:t xml:space="preserve"> </w:t>
      </w:r>
      <w:r>
        <w:rPr>
          <w:rFonts w:ascii="SimSun" w:hAnsi="SimSun" w:eastAsia="SimSun" w:cs="SimSun"/>
          <w:sz w:val="20"/>
          <w:szCs w:val="20"/>
          <w:spacing w:val="-1"/>
        </w:rPr>
        <w:t>约车平台模式就是如此。优步的崛起一方面为消费者带来了便利，另</w:t>
      </w:r>
      <w:r>
        <w:rPr>
          <w:rFonts w:ascii="SimSun" w:hAnsi="SimSun" w:eastAsia="SimSun" w:cs="SimSun"/>
          <w:sz w:val="20"/>
          <w:szCs w:val="20"/>
          <w:spacing w:val="16"/>
        </w:rPr>
        <w:t xml:space="preserve"> </w:t>
      </w:r>
      <w:r>
        <w:rPr>
          <w:rFonts w:ascii="SimSun" w:hAnsi="SimSun" w:eastAsia="SimSun" w:cs="SimSun"/>
          <w:sz w:val="20"/>
          <w:szCs w:val="20"/>
          <w:spacing w:val="-1"/>
        </w:rPr>
        <w:t>一方面也对地方的出租车行业造成了冲击，但原有的监管政策和法律</w:t>
      </w:r>
      <w:r>
        <w:rPr>
          <w:rFonts w:ascii="SimSun" w:hAnsi="SimSun" w:eastAsia="SimSun" w:cs="SimSun"/>
          <w:sz w:val="20"/>
          <w:szCs w:val="20"/>
          <w:spacing w:val="18"/>
        </w:rPr>
        <w:t xml:space="preserve"> </w:t>
      </w:r>
      <w:r>
        <w:rPr>
          <w:rFonts w:ascii="SimSun" w:hAnsi="SimSun" w:eastAsia="SimSun" w:cs="SimSun"/>
          <w:sz w:val="20"/>
          <w:szCs w:val="20"/>
        </w:rPr>
        <w:t>规则只针对出租车行业，无法解决优步是否合</w:t>
      </w:r>
      <w:r>
        <w:rPr>
          <w:rFonts w:ascii="SimSun" w:hAnsi="SimSun" w:eastAsia="SimSun" w:cs="SimSun"/>
          <w:sz w:val="20"/>
          <w:szCs w:val="20"/>
          <w:spacing w:val="-1"/>
        </w:rPr>
        <w:t>法、合规，以及如何才</w:t>
      </w:r>
      <w:r>
        <w:rPr>
          <w:rFonts w:ascii="SimSun" w:hAnsi="SimSun" w:eastAsia="SimSun" w:cs="SimSun"/>
          <w:sz w:val="20"/>
          <w:szCs w:val="20"/>
        </w:rPr>
        <w:t xml:space="preserve"> </w:t>
      </w:r>
      <w:r>
        <w:rPr>
          <w:rFonts w:ascii="SimSun" w:hAnsi="SimSun" w:eastAsia="SimSun" w:cs="SimSun"/>
          <w:sz w:val="20"/>
          <w:szCs w:val="20"/>
          <w:spacing w:val="-1"/>
        </w:rPr>
        <w:t>能够使之合法、合规的问题。在优步的案例中，原有的监管规则并没</w:t>
      </w:r>
      <w:r>
        <w:rPr>
          <w:rFonts w:ascii="SimSun" w:hAnsi="SimSun" w:eastAsia="SimSun" w:cs="SimSun"/>
          <w:sz w:val="20"/>
          <w:szCs w:val="20"/>
          <w:spacing w:val="13"/>
        </w:rPr>
        <w:t xml:space="preserve"> </w:t>
      </w:r>
      <w:r>
        <w:rPr>
          <w:rFonts w:ascii="SimSun" w:hAnsi="SimSun" w:eastAsia="SimSun" w:cs="SimSun"/>
          <w:sz w:val="20"/>
          <w:szCs w:val="20"/>
        </w:rPr>
        <w:t>有放松，但是在新的经营模式兴起后被市场的</w:t>
      </w:r>
      <w:r>
        <w:rPr>
          <w:rFonts w:ascii="SimSun" w:hAnsi="SimSun" w:eastAsia="SimSun" w:cs="SimSun"/>
          <w:sz w:val="20"/>
          <w:szCs w:val="20"/>
          <w:spacing w:val="-1"/>
        </w:rPr>
        <w:t>新进入者避开了。这就</w:t>
      </w:r>
      <w:r>
        <w:rPr>
          <w:rFonts w:ascii="SimSun" w:hAnsi="SimSun" w:eastAsia="SimSun" w:cs="SimSun"/>
          <w:sz w:val="20"/>
          <w:szCs w:val="20"/>
        </w:rPr>
        <w:t xml:space="preserve"> </w:t>
      </w:r>
      <w:r>
        <w:rPr>
          <w:rFonts w:ascii="SimSun" w:hAnsi="SimSun" w:eastAsia="SimSun" w:cs="SimSun"/>
          <w:sz w:val="20"/>
          <w:szCs w:val="20"/>
        </w:rPr>
        <w:t>使得拥有平台力量的新进入者获得了制定标准</w:t>
      </w:r>
      <w:r>
        <w:rPr>
          <w:rFonts w:ascii="SimSun" w:hAnsi="SimSun" w:eastAsia="SimSun" w:cs="SimSun"/>
          <w:sz w:val="20"/>
          <w:szCs w:val="20"/>
          <w:spacing w:val="-1"/>
        </w:rPr>
        <w:t>和控制议程的权力，造</w:t>
      </w:r>
      <w:r>
        <w:rPr>
          <w:rFonts w:ascii="SimSun" w:hAnsi="SimSun" w:eastAsia="SimSun" w:cs="SimSun"/>
          <w:sz w:val="20"/>
          <w:szCs w:val="20"/>
        </w:rPr>
        <w:t xml:space="preserve"> </w:t>
      </w:r>
      <w:r>
        <w:rPr>
          <w:rFonts w:ascii="SimSun" w:hAnsi="SimSun" w:eastAsia="SimSun" w:cs="SimSun"/>
          <w:sz w:val="20"/>
          <w:szCs w:val="20"/>
          <w:spacing w:val="-5"/>
        </w:rPr>
        <w:t>成一种实际上的监管俘获。①</w:t>
      </w:r>
    </w:p>
    <w:p>
      <w:pPr>
        <w:ind w:right="38" w:firstLine="440"/>
        <w:spacing w:before="117" w:line="332" w:lineRule="auto"/>
        <w:jc w:val="both"/>
        <w:rPr>
          <w:rFonts w:ascii="SimSun" w:hAnsi="SimSun" w:eastAsia="SimSun" w:cs="SimSun"/>
          <w:sz w:val="20"/>
          <w:szCs w:val="20"/>
        </w:rPr>
      </w:pPr>
      <w:r>
        <w:rPr>
          <w:rFonts w:ascii="SimSun" w:hAnsi="SimSun" w:eastAsia="SimSun" w:cs="SimSun"/>
          <w:sz w:val="20"/>
          <w:szCs w:val="20"/>
          <w:spacing w:val="-1"/>
        </w:rPr>
        <w:t>同时，平台往往与消费者以及平台从业者组成游说同盟。在优步</w:t>
      </w:r>
      <w:r>
        <w:rPr>
          <w:rFonts w:ascii="SimSun" w:hAnsi="SimSun" w:eastAsia="SimSun" w:cs="SimSun"/>
          <w:sz w:val="20"/>
          <w:szCs w:val="20"/>
        </w:rPr>
        <w:t xml:space="preserve"> </w:t>
      </w:r>
      <w:r>
        <w:rPr>
          <w:rFonts w:ascii="SimSun" w:hAnsi="SimSun" w:eastAsia="SimSun" w:cs="SimSun"/>
          <w:sz w:val="20"/>
          <w:szCs w:val="20"/>
          <w:spacing w:val="-1"/>
        </w:rPr>
        <w:t>的案例中，消费者和司机在社交媒体上的发声使得监管部门采取了较</w:t>
      </w:r>
    </w:p>
    <w:p>
      <w:pPr>
        <w:spacing w:before="1" w:line="218" w:lineRule="auto"/>
        <w:rPr>
          <w:rFonts w:ascii="SimSun" w:hAnsi="SimSun" w:eastAsia="SimSun" w:cs="SimSun"/>
          <w:sz w:val="20"/>
          <w:szCs w:val="20"/>
        </w:rPr>
      </w:pPr>
      <w:r>
        <w:rPr>
          <w:rFonts w:ascii="SimSun" w:hAnsi="SimSun" w:eastAsia="SimSun" w:cs="SimSun"/>
          <w:sz w:val="20"/>
          <w:szCs w:val="20"/>
          <w:spacing w:val="6"/>
        </w:rPr>
        <w:t>为审慎的态度。美国学者2020年发表在《比较</w:t>
      </w:r>
      <w:r>
        <w:rPr>
          <w:rFonts w:ascii="SimSun" w:hAnsi="SimSun" w:eastAsia="SimSun" w:cs="SimSun"/>
          <w:sz w:val="20"/>
          <w:szCs w:val="20"/>
          <w:spacing w:val="5"/>
        </w:rPr>
        <w:t>政治研究》的论文对</w:t>
      </w:r>
    </w:p>
    <w:p>
      <w:pPr>
        <w:pStyle w:val="BodyText"/>
        <w:spacing w:line="281" w:lineRule="auto"/>
        <w:rPr/>
      </w:pPr>
      <w:r/>
    </w:p>
    <w:p>
      <w:pPr>
        <w:pStyle w:val="BodyText"/>
        <w:spacing w:line="282" w:lineRule="auto"/>
        <w:rPr/>
      </w:pPr>
      <w:r/>
    </w:p>
    <w:p>
      <w:pPr>
        <w:ind w:left="329" w:hanging="329"/>
        <w:spacing w:before="65" w:line="242" w:lineRule="auto"/>
        <w:rPr>
          <w:rFonts w:ascii="Times New Roman" w:hAnsi="Times New Roman" w:eastAsia="Times New Roman" w:cs="Times New Roman"/>
          <w:sz w:val="20"/>
          <w:szCs w:val="20"/>
        </w:rPr>
      </w:pPr>
      <w:r>
        <w:rPr>
          <w:rFonts w:ascii="SimSun" w:hAnsi="SimSun" w:eastAsia="SimSun" w:cs="SimSun"/>
          <w:sz w:val="20"/>
          <w:szCs w:val="20"/>
          <w:spacing w:val="-4"/>
        </w:rPr>
        <w:t>① </w:t>
      </w:r>
      <w:r>
        <w:rPr>
          <w:rFonts w:ascii="Times New Roman" w:hAnsi="Times New Roman" w:eastAsia="Times New Roman" w:cs="Times New Roman"/>
          <w:sz w:val="20"/>
          <w:szCs w:val="20"/>
          <w:spacing w:val="-4"/>
        </w:rPr>
        <w:t>Ruth Berins Collier,V.B.Dubal,Christopher Carter,“Disrupting Regulation,</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10"/>
        </w:rPr>
        <w:t>Regulatin</w:t>
      </w:r>
      <w:r>
        <w:rPr>
          <w:rFonts w:ascii="Times New Roman" w:hAnsi="Times New Roman" w:eastAsia="Times New Roman" w:cs="Times New Roman"/>
          <w:sz w:val="20"/>
          <w:szCs w:val="20"/>
          <w:spacing w:val="-9"/>
        </w:rPr>
        <w:t>g Disruption:The Politics of</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spacing w:val="-9"/>
        </w:rPr>
        <w:t>Uber in the United States"</w:t>
      </w:r>
      <w:r>
        <w:rPr>
          <w:rFonts w:ascii="Times New Roman" w:hAnsi="Times New Roman" w:eastAsia="Times New Roman" w:cs="Times New Roman"/>
          <w:sz w:val="20"/>
          <w:szCs w:val="20"/>
          <w:spacing w:val="-10"/>
        </w:rPr>
        <w:t>,Perspectives o</w:t>
      </w:r>
      <w:r>
        <w:rPr>
          <w:rFonts w:ascii="Times New Roman" w:hAnsi="Times New Roman" w:eastAsia="Times New Roman" w:cs="Times New Roman"/>
          <w:sz w:val="20"/>
          <w:szCs w:val="20"/>
          <w:spacing w:val="-1"/>
        </w:rPr>
        <w:t>n</w:t>
      </w:r>
    </w:p>
    <w:p>
      <w:pPr>
        <w:ind w:left="326"/>
        <w:spacing w:before="85" w:line="208" w:lineRule="auto"/>
        <w:rPr>
          <w:rFonts w:ascii="SimSun" w:hAnsi="SimSun" w:eastAsia="SimSun" w:cs="SimSun"/>
          <w:sz w:val="21"/>
          <w:szCs w:val="21"/>
        </w:rPr>
      </w:pPr>
      <w:r>
        <w:rPr>
          <w:rFonts w:ascii="SimSun" w:hAnsi="SimSun" w:eastAsia="SimSun" w:cs="SimSun"/>
          <w:sz w:val="21"/>
          <w:szCs w:val="21"/>
          <w:i/>
          <w:iCs/>
          <w:spacing w:val="-26"/>
          <w:w w:val="96"/>
        </w:rPr>
        <w:t>Politics.2018,16(4):91</w:t>
      </w:r>
      <w:r>
        <w:rPr>
          <w:rFonts w:ascii="SimSun" w:hAnsi="SimSun" w:eastAsia="SimSun" w:cs="SimSun"/>
          <w:sz w:val="21"/>
          <w:szCs w:val="21"/>
          <w:i/>
          <w:iCs/>
          <w:spacing w:val="-27"/>
          <w:w w:val="96"/>
        </w:rPr>
        <w:t>9-937.</w:t>
      </w:r>
    </w:p>
    <w:p>
      <w:pPr>
        <w:spacing w:line="208" w:lineRule="auto"/>
        <w:sectPr>
          <w:headerReference w:type="default" r:id="rId1"/>
          <w:pgSz w:w="7330" w:h="12480"/>
          <w:pgMar w:top="366" w:right="479" w:bottom="400" w:left="799" w:header="0" w:footer="0" w:gutter="0"/>
        </w:sectPr>
        <w:rPr>
          <w:rFonts w:ascii="SimSun" w:hAnsi="SimSun" w:eastAsia="SimSun" w:cs="SimSun"/>
          <w:sz w:val="21"/>
          <w:szCs w:val="21"/>
        </w:rPr>
      </w:pP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spacing w:before="69" w:line="307" w:lineRule="auto"/>
        <w:jc w:val="both"/>
        <w:rPr>
          <w:rFonts w:ascii="SimSun" w:hAnsi="SimSun" w:eastAsia="SimSun" w:cs="SimSun"/>
          <w:sz w:val="21"/>
          <w:szCs w:val="21"/>
        </w:rPr>
      </w:pPr>
      <w:r>
        <w:rPr>
          <w:rFonts w:ascii="SimSun" w:hAnsi="SimSun" w:eastAsia="SimSun" w:cs="SimSun"/>
          <w:sz w:val="21"/>
          <w:szCs w:val="21"/>
          <w:spacing w:val="-8"/>
        </w:rPr>
        <w:t>平台和消费者之间的利益联盟进行了分析。</w:t>
      </w:r>
      <w:r>
        <w:rPr>
          <w:rFonts w:ascii="Times New Roman" w:hAnsi="Times New Roman" w:eastAsia="Times New Roman" w:cs="Times New Roman"/>
          <w:sz w:val="21"/>
          <w:szCs w:val="21"/>
          <w:spacing w:val="-8"/>
        </w:rPr>
        <w:t>Amazon   Prime </w:t>
      </w:r>
      <w:r>
        <w:rPr>
          <w:rFonts w:ascii="SimSun" w:hAnsi="SimSun" w:eastAsia="SimSun" w:cs="SimSun"/>
          <w:sz w:val="21"/>
          <w:szCs w:val="21"/>
          <w:spacing w:val="-8"/>
        </w:rPr>
        <w:t>是亚马逊 </w:t>
      </w:r>
      <w:r>
        <w:rPr>
          <w:rFonts w:ascii="SimSun" w:hAnsi="SimSun" w:eastAsia="SimSun" w:cs="SimSun"/>
          <w:sz w:val="21"/>
          <w:szCs w:val="21"/>
          <w:spacing w:val="-11"/>
        </w:rPr>
        <w:t>推出的付费会员服务，会员可以以优惠的价格享受亚马逊的商品和快 </w:t>
      </w:r>
      <w:r>
        <w:rPr>
          <w:rFonts w:ascii="SimSun" w:hAnsi="SimSun" w:eastAsia="SimSun" w:cs="SimSun"/>
          <w:sz w:val="21"/>
          <w:szCs w:val="21"/>
          <w:spacing w:val="-11"/>
        </w:rPr>
        <w:t>递服务。尽管亚马逊对中小商户收取高额租金，并且通过上下游产业</w:t>
      </w:r>
      <w:r>
        <w:rPr>
          <w:rFonts w:ascii="SimSun" w:hAnsi="SimSun" w:eastAsia="SimSun" w:cs="SimSun"/>
          <w:sz w:val="21"/>
          <w:szCs w:val="21"/>
          <w:spacing w:val="16"/>
        </w:rPr>
        <w:t xml:space="preserve"> </w:t>
      </w:r>
      <w:r>
        <w:rPr>
          <w:rFonts w:ascii="SimSun" w:hAnsi="SimSun" w:eastAsia="SimSun" w:cs="SimSun"/>
          <w:sz w:val="21"/>
          <w:szCs w:val="21"/>
          <w:spacing w:val="-10"/>
        </w:rPr>
        <w:t>链的一体化对潜在进入者形成壁垒，监管部门应用反</w:t>
      </w:r>
      <w:r>
        <w:rPr>
          <w:rFonts w:ascii="SimSun" w:hAnsi="SimSun" w:eastAsia="SimSun" w:cs="SimSun"/>
          <w:sz w:val="21"/>
          <w:szCs w:val="21"/>
          <w:spacing w:val="-11"/>
        </w:rPr>
        <w:t>垄断条例对诸如</w:t>
      </w:r>
      <w:r>
        <w:rPr>
          <w:rFonts w:ascii="SimSun" w:hAnsi="SimSun" w:eastAsia="SimSun" w:cs="SimSun"/>
          <w:sz w:val="21"/>
          <w:szCs w:val="21"/>
        </w:rPr>
        <w:t xml:space="preserve"> </w:t>
      </w:r>
      <w:r>
        <w:rPr>
          <w:rFonts w:ascii="SimSun" w:hAnsi="SimSun" w:eastAsia="SimSun" w:cs="SimSun"/>
          <w:sz w:val="21"/>
          <w:szCs w:val="21"/>
          <w:spacing w:val="-11"/>
        </w:rPr>
        <w:t>亚马逊这样的大型平台进行监管是极为审慎的。其原因不在于平台通 </w:t>
      </w:r>
      <w:r>
        <w:rPr>
          <w:rFonts w:ascii="SimSun" w:hAnsi="SimSun" w:eastAsia="SimSun" w:cs="SimSun"/>
          <w:sz w:val="21"/>
          <w:szCs w:val="21"/>
          <w:spacing w:val="-11"/>
        </w:rPr>
        <w:t>过政治游说施加影响，也不是大平台的规模足以左右市场，而是消费 </w:t>
      </w:r>
      <w:r>
        <w:rPr>
          <w:rFonts w:ascii="SimSun" w:hAnsi="SimSun" w:eastAsia="SimSun" w:cs="SimSun"/>
          <w:sz w:val="21"/>
          <w:szCs w:val="21"/>
          <w:spacing w:val="-9"/>
        </w:rPr>
        <w:t>者对平台商品、服务和信息的依赖。当平台拥有来自消费者的支持，</w:t>
      </w:r>
      <w:r>
        <w:rPr>
          <w:rFonts w:ascii="SimSun" w:hAnsi="SimSun" w:eastAsia="SimSun" w:cs="SimSun"/>
          <w:sz w:val="21"/>
          <w:szCs w:val="21"/>
          <w:spacing w:val="14"/>
        </w:rPr>
        <w:t xml:space="preserve"> </w:t>
      </w:r>
      <w:r>
        <w:rPr>
          <w:rFonts w:ascii="SimSun" w:hAnsi="SimSun" w:eastAsia="SimSun" w:cs="SimSun"/>
          <w:sz w:val="21"/>
          <w:szCs w:val="21"/>
          <w:spacing w:val="-4"/>
        </w:rPr>
        <w:t>消费者可能会通过各种渠道表达对监管部门</w:t>
      </w:r>
      <w:r>
        <w:rPr>
          <w:rFonts w:ascii="SimSun" w:hAnsi="SimSun" w:eastAsia="SimSun" w:cs="SimSun"/>
          <w:sz w:val="21"/>
          <w:szCs w:val="21"/>
          <w:spacing w:val="-5"/>
        </w:rPr>
        <w:t>限制平台经营方式的不 </w:t>
      </w:r>
      <w:r>
        <w:rPr>
          <w:rFonts w:ascii="SimSun" w:hAnsi="SimSun" w:eastAsia="SimSun" w:cs="SimSun"/>
          <w:sz w:val="21"/>
          <w:szCs w:val="21"/>
          <w:spacing w:val="-11"/>
        </w:rPr>
        <w:t>满。因此在围绕平台监管的政策博弈中，往往形成监管者为一方、消 </w:t>
      </w:r>
      <w:r>
        <w:rPr>
          <w:rFonts w:ascii="SimSun" w:hAnsi="SimSun" w:eastAsia="SimSun" w:cs="SimSun"/>
          <w:sz w:val="21"/>
          <w:szCs w:val="21"/>
          <w:spacing w:val="-11"/>
        </w:rPr>
        <w:t>费者和平台结成的潜在联盟为另一方的博弈局面。</w:t>
      </w:r>
    </w:p>
    <w:p>
      <w:pPr>
        <w:ind w:right="56" w:firstLine="430"/>
        <w:spacing w:before="133" w:line="299" w:lineRule="auto"/>
        <w:jc w:val="both"/>
        <w:rPr>
          <w:rFonts w:ascii="SimSun" w:hAnsi="SimSun" w:eastAsia="SimSun" w:cs="SimSun"/>
          <w:sz w:val="21"/>
          <w:szCs w:val="21"/>
        </w:rPr>
      </w:pPr>
      <w:r>
        <w:rPr>
          <w:rFonts w:ascii="SimSun" w:hAnsi="SimSun" w:eastAsia="SimSun" w:cs="SimSun"/>
          <w:sz w:val="21"/>
          <w:szCs w:val="21"/>
          <w:spacing w:val="-4"/>
        </w:rPr>
        <w:t>平台化企业的经济模式所蕴含的规模经济和自然垄</w:t>
      </w:r>
      <w:r>
        <w:rPr>
          <w:rFonts w:ascii="SimSun" w:hAnsi="SimSun" w:eastAsia="SimSun" w:cs="SimSun"/>
          <w:sz w:val="21"/>
          <w:szCs w:val="21"/>
          <w:spacing w:val="-5"/>
        </w:rPr>
        <w:t>断属性使之</w:t>
      </w:r>
      <w:r>
        <w:rPr>
          <w:rFonts w:ascii="SimSun" w:hAnsi="SimSun" w:eastAsia="SimSun" w:cs="SimSun"/>
          <w:sz w:val="21"/>
          <w:szCs w:val="21"/>
        </w:rPr>
        <w:t xml:space="preserve"> </w:t>
      </w:r>
      <w:r>
        <w:rPr>
          <w:rFonts w:ascii="SimSun" w:hAnsi="SimSun" w:eastAsia="SimSun" w:cs="SimSun"/>
          <w:sz w:val="21"/>
          <w:szCs w:val="21"/>
          <w:spacing w:val="-11"/>
        </w:rPr>
        <w:t>处在一种相对于中小商户和劳动者的不对称权力结构中。由</w:t>
      </w:r>
      <w:r>
        <w:rPr>
          <w:rFonts w:ascii="SimSun" w:hAnsi="SimSun" w:eastAsia="SimSun" w:cs="SimSun"/>
          <w:sz w:val="21"/>
          <w:szCs w:val="21"/>
          <w:spacing w:val="-12"/>
        </w:rPr>
        <w:t>于既有法</w:t>
      </w:r>
      <w:r>
        <w:rPr>
          <w:rFonts w:ascii="SimSun" w:hAnsi="SimSun" w:eastAsia="SimSun" w:cs="SimSun"/>
          <w:sz w:val="21"/>
          <w:szCs w:val="21"/>
        </w:rPr>
        <w:t xml:space="preserve"> </w:t>
      </w:r>
      <w:r>
        <w:rPr>
          <w:rFonts w:ascii="SimSun" w:hAnsi="SimSun" w:eastAsia="SimSun" w:cs="SimSun"/>
          <w:sz w:val="21"/>
          <w:szCs w:val="21"/>
          <w:spacing w:val="-11"/>
        </w:rPr>
        <w:t>律监管体系对平台经济的社会性收益与成本缺乏全面理解，再加上消</w:t>
      </w:r>
      <w:r>
        <w:rPr>
          <w:rFonts w:ascii="SimSun" w:hAnsi="SimSun" w:eastAsia="SimSun" w:cs="SimSun"/>
          <w:sz w:val="21"/>
          <w:szCs w:val="21"/>
          <w:spacing w:val="8"/>
        </w:rPr>
        <w:t xml:space="preserve"> </w:t>
      </w:r>
      <w:r>
        <w:rPr>
          <w:rFonts w:ascii="SimSun" w:hAnsi="SimSun" w:eastAsia="SimSun" w:cs="SimSun"/>
          <w:sz w:val="21"/>
          <w:szCs w:val="21"/>
          <w:spacing w:val="-11"/>
        </w:rPr>
        <w:t>费者依赖的存在，使得平台经营处在一种监管真空状态。美国有</w:t>
      </w:r>
      <w:r>
        <w:rPr>
          <w:rFonts w:ascii="SimSun" w:hAnsi="SimSun" w:eastAsia="SimSun" w:cs="SimSun"/>
          <w:sz w:val="21"/>
          <w:szCs w:val="21"/>
          <w:spacing w:val="-12"/>
        </w:rPr>
        <w:t>学者</w:t>
      </w:r>
      <w:r>
        <w:rPr>
          <w:rFonts w:ascii="SimSun" w:hAnsi="SimSun" w:eastAsia="SimSun" w:cs="SimSun"/>
          <w:sz w:val="21"/>
          <w:szCs w:val="21"/>
        </w:rPr>
        <w:t xml:space="preserve"> </w:t>
      </w:r>
      <w:r>
        <w:rPr>
          <w:rFonts w:ascii="SimSun" w:hAnsi="SimSun" w:eastAsia="SimSun" w:cs="SimSun"/>
          <w:sz w:val="21"/>
          <w:szCs w:val="21"/>
          <w:spacing w:val="-11"/>
        </w:rPr>
        <w:t>把平台企业拥有的市场力量看作一种“波兰尼式”双重运动，</w:t>
      </w:r>
      <w:r>
        <w:rPr>
          <w:rFonts w:ascii="SimSun" w:hAnsi="SimSun" w:eastAsia="SimSun" w:cs="SimSun"/>
          <w:sz w:val="21"/>
          <w:szCs w:val="21"/>
          <w:spacing w:val="-12"/>
        </w:rPr>
        <w:t>认为技</w:t>
      </w:r>
      <w:r>
        <w:rPr>
          <w:rFonts w:ascii="SimSun" w:hAnsi="SimSun" w:eastAsia="SimSun" w:cs="SimSun"/>
          <w:sz w:val="21"/>
          <w:szCs w:val="21"/>
        </w:rPr>
        <w:t xml:space="preserve"> </w:t>
      </w:r>
      <w:r>
        <w:rPr>
          <w:rFonts w:ascii="SimSun" w:hAnsi="SimSun" w:eastAsia="SimSun" w:cs="SimSun"/>
          <w:sz w:val="21"/>
          <w:szCs w:val="21"/>
          <w:spacing w:val="-11"/>
        </w:rPr>
        <w:t>术创新有时候会领先于社会经济结构的调整，因此应主动而</w:t>
      </w:r>
      <w:r>
        <w:rPr>
          <w:rFonts w:ascii="SimSun" w:hAnsi="SimSun" w:eastAsia="SimSun" w:cs="SimSun"/>
          <w:sz w:val="21"/>
          <w:szCs w:val="21"/>
          <w:spacing w:val="-12"/>
        </w:rPr>
        <w:t>为，通过</w:t>
      </w:r>
      <w:r>
        <w:rPr>
          <w:rFonts w:ascii="SimSun" w:hAnsi="SimSun" w:eastAsia="SimSun" w:cs="SimSun"/>
          <w:sz w:val="21"/>
          <w:szCs w:val="21"/>
        </w:rPr>
        <w:t xml:space="preserve"> </w:t>
      </w:r>
      <w:r>
        <w:rPr>
          <w:rFonts w:ascii="SimSun" w:hAnsi="SimSun" w:eastAsia="SimSun" w:cs="SimSun"/>
          <w:sz w:val="21"/>
          <w:szCs w:val="21"/>
          <w:spacing w:val="-11"/>
        </w:rPr>
        <w:t>社会和制度层面的改革去重新平衡技术变革导致的社会性失衡</w:t>
      </w:r>
      <w:r>
        <w:rPr>
          <w:rFonts w:ascii="SimSun" w:hAnsi="SimSun" w:eastAsia="SimSun" w:cs="SimSun"/>
          <w:sz w:val="21"/>
          <w:szCs w:val="21"/>
          <w:spacing w:val="-12"/>
        </w:rPr>
        <w:t>。②欧</w:t>
      </w:r>
      <w:r>
        <w:rPr>
          <w:rFonts w:ascii="SimSun" w:hAnsi="SimSun" w:eastAsia="SimSun" w:cs="SimSun"/>
          <w:sz w:val="21"/>
          <w:szCs w:val="21"/>
        </w:rPr>
        <w:t xml:space="preserve"> </w:t>
      </w:r>
      <w:r>
        <w:rPr>
          <w:rFonts w:ascii="SimSun" w:hAnsi="SimSun" w:eastAsia="SimSun" w:cs="SimSun"/>
          <w:sz w:val="21"/>
          <w:szCs w:val="21"/>
          <w:spacing w:val="-4"/>
        </w:rPr>
        <w:t>盟于2020年提出的《数字市场法》和《数字服务法》草案表明监管</w:t>
      </w:r>
      <w:r>
        <w:rPr>
          <w:rFonts w:ascii="SimSun" w:hAnsi="SimSun" w:eastAsia="SimSun" w:cs="SimSun"/>
          <w:sz w:val="21"/>
          <w:szCs w:val="21"/>
          <w:spacing w:val="4"/>
        </w:rPr>
        <w:t xml:space="preserve"> </w:t>
      </w:r>
      <w:r>
        <w:rPr>
          <w:rFonts w:ascii="SimSun" w:hAnsi="SimSun" w:eastAsia="SimSun" w:cs="SimSun"/>
          <w:sz w:val="21"/>
          <w:szCs w:val="21"/>
          <w:spacing w:val="3"/>
        </w:rPr>
        <w:t>重点已从竞争(和反垄断)转向建立更加平衡和具有包容性的制度</w:t>
      </w:r>
      <w:r>
        <w:rPr>
          <w:rFonts w:ascii="SimSun" w:hAnsi="SimSun" w:eastAsia="SimSun" w:cs="SimSun"/>
          <w:sz w:val="21"/>
          <w:szCs w:val="21"/>
          <w:spacing w:val="4"/>
        </w:rPr>
        <w:t xml:space="preserve"> </w:t>
      </w:r>
      <w:r>
        <w:rPr>
          <w:rFonts w:ascii="SimSun" w:hAnsi="SimSun" w:eastAsia="SimSun" w:cs="SimSun"/>
          <w:sz w:val="21"/>
          <w:szCs w:val="21"/>
          <w:spacing w:val="-10"/>
        </w:rPr>
        <w:t>安排。</w:t>
      </w:r>
    </w:p>
    <w:p>
      <w:pPr>
        <w:ind w:right="23" w:firstLine="440"/>
        <w:spacing w:before="185" w:line="284" w:lineRule="auto"/>
        <w:jc w:val="both"/>
        <w:rPr>
          <w:rFonts w:ascii="SimSun" w:hAnsi="SimSun" w:eastAsia="SimSun" w:cs="SimSun"/>
          <w:sz w:val="21"/>
          <w:szCs w:val="21"/>
        </w:rPr>
      </w:pPr>
      <w:r>
        <w:rPr>
          <w:rFonts w:ascii="SimSun" w:hAnsi="SimSun" w:eastAsia="SimSun" w:cs="SimSun"/>
          <w:sz w:val="21"/>
          <w:szCs w:val="21"/>
          <w:spacing w:val="-11"/>
        </w:rPr>
        <w:t>国内关于美团、滴滴等生活服务类平台企业的监管政策博弈，也</w:t>
      </w:r>
      <w:r>
        <w:rPr>
          <w:rFonts w:ascii="SimSun" w:hAnsi="SimSun" w:eastAsia="SimSun" w:cs="SimSun"/>
          <w:sz w:val="21"/>
          <w:szCs w:val="21"/>
          <w:spacing w:val="8"/>
        </w:rPr>
        <w:t xml:space="preserve"> </w:t>
      </w:r>
      <w:r>
        <w:rPr>
          <w:rFonts w:ascii="SimSun" w:hAnsi="SimSun" w:eastAsia="SimSun" w:cs="SimSun"/>
          <w:sz w:val="21"/>
          <w:szCs w:val="21"/>
          <w:spacing w:val="-8"/>
        </w:rPr>
        <w:t>可能受到平台-消费者潜在同盟的影响。例如，尽管基于大数据的算</w:t>
      </w:r>
      <w:r>
        <w:rPr>
          <w:rFonts w:ascii="SimSun" w:hAnsi="SimSun" w:eastAsia="SimSun" w:cs="SimSun"/>
          <w:sz w:val="21"/>
          <w:szCs w:val="21"/>
          <w:spacing w:val="13"/>
        </w:rPr>
        <w:t xml:space="preserve"> </w:t>
      </w:r>
      <w:r>
        <w:rPr>
          <w:rFonts w:ascii="SimSun" w:hAnsi="SimSun" w:eastAsia="SimSun" w:cs="SimSun"/>
          <w:sz w:val="21"/>
          <w:szCs w:val="21"/>
          <w:spacing w:val="-11"/>
        </w:rPr>
        <w:t>法增加了外卖骑手工作的强度并降低其工作福利，外卖本身的便捷性</w:t>
      </w:r>
    </w:p>
    <w:p>
      <w:pPr>
        <w:pStyle w:val="BodyText"/>
        <w:spacing w:line="318" w:lineRule="auto"/>
        <w:rPr/>
      </w:pPr>
      <w:r/>
    </w:p>
    <w:p>
      <w:pPr>
        <w:ind w:left="310" w:right="34" w:hanging="310"/>
        <w:spacing w:before="68" w:line="267" w:lineRule="auto"/>
        <w:rPr>
          <w:rFonts w:ascii="Times New Roman" w:hAnsi="Times New Roman" w:eastAsia="Times New Roman" w:cs="Times New Roman"/>
          <w:sz w:val="15"/>
          <w:szCs w:val="15"/>
        </w:rPr>
      </w:pPr>
      <w:r>
        <w:rPr>
          <w:rFonts w:ascii="SimSun" w:hAnsi="SimSun" w:eastAsia="SimSun" w:cs="SimSun"/>
          <w:sz w:val="21"/>
          <w:szCs w:val="21"/>
          <w:spacing w:val="-10"/>
          <w:w w:val="91"/>
        </w:rPr>
        <w:t>①</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0"/>
          <w:w w:val="91"/>
        </w:rPr>
        <w:t>Pepper D.Culpepper,Kathleen Thelen,“Are We all Amazon Primed?Consumers and</w:t>
      </w:r>
      <w:r>
        <w:rPr>
          <w:rFonts w:ascii="Times New Roman" w:hAnsi="Times New Roman" w:eastAsia="Times New Roman" w:cs="Times New Roman"/>
          <w:sz w:val="21"/>
          <w:szCs w:val="21"/>
        </w:rPr>
        <w:t xml:space="preserve"> </w:t>
      </w:r>
      <w:r>
        <w:rPr>
          <w:rFonts w:ascii="Times New Roman" w:hAnsi="Times New Roman" w:eastAsia="Times New Roman" w:cs="Times New Roman"/>
          <w:sz w:val="15"/>
          <w:szCs w:val="15"/>
        </w:rPr>
        <w:t>the   Politics    of   Platform    Power",Comparative   Political    Studies,2020,53(2):288-318.</w:t>
      </w:r>
    </w:p>
    <w:p>
      <w:pPr>
        <w:ind w:left="310" w:right="22" w:hanging="310"/>
        <w:spacing w:before="108" w:line="282" w:lineRule="auto"/>
        <w:rPr>
          <w:rFonts w:ascii="Times New Roman" w:hAnsi="Times New Roman" w:eastAsia="Times New Roman" w:cs="Times New Roman"/>
          <w:sz w:val="15"/>
          <w:szCs w:val="15"/>
        </w:rPr>
      </w:pPr>
      <w:r>
        <w:rPr>
          <w:rFonts w:ascii="SimSun" w:hAnsi="SimSun" w:eastAsia="SimSun" w:cs="SimSun"/>
          <w:sz w:val="15"/>
          <w:szCs w:val="15"/>
        </w:rPr>
        <w:t>②  </w:t>
      </w:r>
      <w:r>
        <w:rPr>
          <w:rFonts w:ascii="Times New Roman" w:hAnsi="Times New Roman" w:eastAsia="Times New Roman" w:cs="Times New Roman"/>
          <w:sz w:val="15"/>
          <w:szCs w:val="15"/>
        </w:rPr>
        <w:t>John   W.Cioffi,Martin</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rPr>
        <w:t>F.Kenney,John</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rPr>
        <w:t>Zysman,“Plat</w:t>
      </w:r>
      <w:r>
        <w:rPr>
          <w:rFonts w:ascii="Times New Roman" w:hAnsi="Times New Roman" w:eastAsia="Times New Roman" w:cs="Times New Roman"/>
          <w:sz w:val="15"/>
          <w:szCs w:val="15"/>
          <w:spacing w:val="-1"/>
        </w:rPr>
        <w:t>form</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1"/>
        </w:rPr>
        <w:t>Power</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spacing w:val="-1"/>
        </w:rPr>
        <w:t>and</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1"/>
        </w:rPr>
        <w:t>Regulatory</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spacing w:val="-1"/>
        </w:rPr>
        <w:t>Politics:</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Polanyi  for  the  21st  Century",BRIE  Working  Paper,University</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rPr>
        <w:t>of  California,2021.</w:t>
      </w:r>
    </w:p>
    <w:p>
      <w:pPr>
        <w:spacing w:line="282" w:lineRule="auto"/>
        <w:sectPr>
          <w:headerReference w:type="default" r:id="rId246"/>
          <w:pgSz w:w="7330" w:h="12480"/>
          <w:pgMar w:top="819" w:right="875" w:bottom="400" w:left="409" w:header="663" w:footer="0" w:gutter="0"/>
        </w:sectPr>
        <w:rPr>
          <w:rFonts w:ascii="Times New Roman" w:hAnsi="Times New Roman" w:eastAsia="Times New Roman" w:cs="Times New Roman"/>
          <w:sz w:val="15"/>
          <w:szCs w:val="15"/>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firstLine="105"/>
        <w:spacing w:before="69" w:line="303" w:lineRule="auto"/>
        <w:jc w:val="both"/>
        <w:rPr>
          <w:rFonts w:ascii="SimSun" w:hAnsi="SimSun" w:eastAsia="SimSun" w:cs="SimSun"/>
          <w:sz w:val="21"/>
          <w:szCs w:val="21"/>
        </w:rPr>
      </w:pPr>
      <w:r>
        <w:rPr>
          <w:rFonts w:ascii="SimSun" w:hAnsi="SimSun" w:eastAsia="SimSun" w:cs="SimSun"/>
          <w:sz w:val="21"/>
          <w:szCs w:val="21"/>
          <w:spacing w:val="-10"/>
        </w:rPr>
        <w:t>和派送时间的减少却增加了消费者福利。在由</w:t>
      </w:r>
      <w:r>
        <w:rPr>
          <w:rFonts w:ascii="SimSun" w:hAnsi="SimSun" w:eastAsia="SimSun" w:cs="SimSun"/>
          <w:sz w:val="21"/>
          <w:szCs w:val="21"/>
          <w:spacing w:val="-11"/>
        </w:rPr>
        <w:t>算法驱动的中小商户和 </w:t>
      </w:r>
      <w:r>
        <w:rPr>
          <w:rFonts w:ascii="SimSun" w:hAnsi="SimSun" w:eastAsia="SimSun" w:cs="SimSun"/>
          <w:sz w:val="21"/>
          <w:szCs w:val="21"/>
          <w:spacing w:val="-7"/>
        </w:rPr>
        <w:t>外卖骑手不断“内卷”的经济模式中，由消费者享有的增值福利是由</w:t>
      </w:r>
      <w:r>
        <w:rPr>
          <w:rFonts w:ascii="SimSun" w:hAnsi="SimSun" w:eastAsia="SimSun" w:cs="SimSun"/>
          <w:sz w:val="21"/>
          <w:szCs w:val="21"/>
          <w:spacing w:val="17"/>
        </w:rPr>
        <w:t xml:space="preserve"> </w:t>
      </w:r>
      <w:r>
        <w:rPr>
          <w:rFonts w:ascii="SimSun" w:hAnsi="SimSun" w:eastAsia="SimSun" w:cs="SimSun"/>
          <w:sz w:val="21"/>
          <w:szCs w:val="21"/>
          <w:spacing w:val="-7"/>
        </w:rPr>
        <w:t>中小商户和外卖骑手买单的。而一旦监管部门通过制定规则禁止或平 </w:t>
      </w:r>
      <w:r>
        <w:rPr>
          <w:rFonts w:ascii="SimSun" w:hAnsi="SimSun" w:eastAsia="SimSun" w:cs="SimSun"/>
          <w:sz w:val="21"/>
          <w:szCs w:val="21"/>
          <w:spacing w:val="-7"/>
        </w:rPr>
        <w:t>台使用算法对商户和骑手进行评估，则可能意味着通过行政干预把原 </w:t>
      </w:r>
      <w:r>
        <w:rPr>
          <w:rFonts w:ascii="SimSun" w:hAnsi="SimSun" w:eastAsia="SimSun" w:cs="SimSun"/>
          <w:sz w:val="21"/>
          <w:szCs w:val="21"/>
          <w:spacing w:val="-7"/>
        </w:rPr>
        <w:t>本由消费者分享的“蛋糕”重新切给商户和骑手，造成部分消费者的 </w:t>
      </w:r>
      <w:r>
        <w:rPr>
          <w:rFonts w:ascii="SimSun" w:hAnsi="SimSun" w:eastAsia="SimSun" w:cs="SimSun"/>
          <w:sz w:val="21"/>
          <w:szCs w:val="21"/>
          <w:spacing w:val="-7"/>
        </w:rPr>
        <w:t>不满。应当认识到，上述矛盾是技术和商业模式的创新所导致的多元 </w:t>
      </w:r>
      <w:r>
        <w:rPr>
          <w:rFonts w:ascii="SimSun" w:hAnsi="SimSun" w:eastAsia="SimSun" w:cs="SimSun"/>
          <w:sz w:val="21"/>
          <w:szCs w:val="21"/>
          <w:spacing w:val="-4"/>
        </w:rPr>
        <w:t>化利益冲突的必然产物。平台的模式的确为</w:t>
      </w:r>
      <w:r>
        <w:rPr>
          <w:rFonts w:ascii="SimSun" w:hAnsi="SimSun" w:eastAsia="SimSun" w:cs="SimSun"/>
          <w:sz w:val="21"/>
          <w:szCs w:val="21"/>
          <w:spacing w:val="-5"/>
        </w:rPr>
        <w:t>消费者带来了各种便利，</w:t>
      </w:r>
      <w:r>
        <w:rPr>
          <w:rFonts w:ascii="SimSun" w:hAnsi="SimSun" w:eastAsia="SimSun" w:cs="SimSun"/>
          <w:sz w:val="21"/>
          <w:szCs w:val="21"/>
        </w:rPr>
        <w:t xml:space="preserve"> </w:t>
      </w:r>
      <w:r>
        <w:rPr>
          <w:rFonts w:ascii="SimSun" w:hAnsi="SimSun" w:eastAsia="SimSun" w:cs="SimSun"/>
          <w:sz w:val="21"/>
          <w:szCs w:val="21"/>
          <w:spacing w:val="-7"/>
        </w:rPr>
        <w:t>提高了消费者福利，但是这种便利很大程度上是以平台低于实际运作 </w:t>
      </w:r>
      <w:r>
        <w:rPr>
          <w:rFonts w:ascii="SimSun" w:hAnsi="SimSun" w:eastAsia="SimSun" w:cs="SimSun"/>
          <w:sz w:val="21"/>
          <w:szCs w:val="21"/>
          <w:spacing w:val="-7"/>
        </w:rPr>
        <w:t>成本的定价为前提的。平台在运营和布局市场的初期大量依靠从资本 </w:t>
      </w:r>
      <w:r>
        <w:rPr>
          <w:rFonts w:ascii="SimSun" w:hAnsi="SimSun" w:eastAsia="SimSun" w:cs="SimSun"/>
          <w:sz w:val="21"/>
          <w:szCs w:val="21"/>
        </w:rPr>
        <w:t>市场获得的融资补贴以低于运行成本的价格收费，创造</w:t>
      </w:r>
      <w:r>
        <w:rPr>
          <w:rFonts w:ascii="SimSun" w:hAnsi="SimSun" w:eastAsia="SimSun" w:cs="SimSun"/>
          <w:sz w:val="21"/>
          <w:szCs w:val="21"/>
          <w:spacing w:val="-1"/>
        </w:rPr>
        <w:t>了平台模式 </w:t>
      </w:r>
      <w:r>
        <w:rPr>
          <w:rFonts w:ascii="SimSun" w:hAnsi="SimSun" w:eastAsia="SimSun" w:cs="SimSun"/>
          <w:sz w:val="21"/>
          <w:szCs w:val="21"/>
          <w:spacing w:val="-7"/>
        </w:rPr>
        <w:t>“免费午餐”的假象。监管政策应该充分考虑消费者、劳动者以及受 </w:t>
      </w:r>
      <w:r>
        <w:rPr>
          <w:rFonts w:ascii="SimSun" w:hAnsi="SimSun" w:eastAsia="SimSun" w:cs="SimSun"/>
          <w:sz w:val="21"/>
          <w:szCs w:val="21"/>
          <w:spacing w:val="-7"/>
        </w:rPr>
        <w:t>到平台经济影响的中小企业主的利益，通过规范平台的经营、定价和 </w:t>
      </w:r>
      <w:r>
        <w:rPr>
          <w:rFonts w:ascii="SimSun" w:hAnsi="SimSun" w:eastAsia="SimSun" w:cs="SimSun"/>
          <w:sz w:val="21"/>
          <w:szCs w:val="21"/>
          <w:spacing w:val="-7"/>
        </w:rPr>
        <w:t>劳动用工制度，建立符合分配正义的监管规则，使社会各界能够分享 </w:t>
      </w:r>
      <w:r>
        <w:rPr>
          <w:rFonts w:ascii="SimSun" w:hAnsi="SimSun" w:eastAsia="SimSun" w:cs="SimSun"/>
          <w:sz w:val="21"/>
          <w:szCs w:val="21"/>
          <w:spacing w:val="-7"/>
        </w:rPr>
        <w:t>平台经济增长的红利。在科技创新和金融化对新兴产业发展越来越重 </w:t>
      </w:r>
      <w:r>
        <w:rPr>
          <w:rFonts w:ascii="SimSun" w:hAnsi="SimSun" w:eastAsia="SimSun" w:cs="SimSun"/>
          <w:sz w:val="21"/>
          <w:szCs w:val="21"/>
          <w:spacing w:val="-7"/>
        </w:rPr>
        <w:t>要的今天，平台经济应该成为构建共同富裕社会的中坚力量。政府监 </w:t>
      </w:r>
      <w:r>
        <w:rPr>
          <w:rFonts w:ascii="SimSun" w:hAnsi="SimSun" w:eastAsia="SimSun" w:cs="SimSun"/>
          <w:sz w:val="21"/>
          <w:szCs w:val="21"/>
          <w:spacing w:val="-7"/>
        </w:rPr>
        <w:t>管部门可以通过推动数字税、平台公益基金等形式，促进社会收入再 </w:t>
      </w:r>
      <w:r>
        <w:rPr>
          <w:rFonts w:ascii="SimSun" w:hAnsi="SimSun" w:eastAsia="SimSun" w:cs="SimSun"/>
          <w:sz w:val="21"/>
          <w:szCs w:val="21"/>
          <w:spacing w:val="-4"/>
        </w:rPr>
        <w:t>分配和三次分配，为平台经济的从业者提供</w:t>
      </w:r>
      <w:r>
        <w:rPr>
          <w:rFonts w:ascii="SimSun" w:hAnsi="SimSun" w:eastAsia="SimSun" w:cs="SimSun"/>
          <w:sz w:val="21"/>
          <w:szCs w:val="21"/>
          <w:spacing w:val="-5"/>
        </w:rPr>
        <w:t>多样化的劳动技能培训，</w:t>
      </w:r>
      <w:r>
        <w:rPr>
          <w:rFonts w:ascii="SimSun" w:hAnsi="SimSun" w:eastAsia="SimSun" w:cs="SimSun"/>
          <w:sz w:val="21"/>
          <w:szCs w:val="21"/>
        </w:rPr>
        <w:t xml:space="preserve"> </w:t>
      </w:r>
      <w:r>
        <w:rPr>
          <w:rFonts w:ascii="SimSun" w:hAnsi="SimSun" w:eastAsia="SimSun" w:cs="SimSun"/>
          <w:sz w:val="21"/>
          <w:szCs w:val="21"/>
        </w:rPr>
        <w:t>帮助因为平台经济而受到影响的个体商户和中小企业主</w:t>
      </w:r>
      <w:r>
        <w:rPr>
          <w:rFonts w:ascii="SimSun" w:hAnsi="SimSun" w:eastAsia="SimSun" w:cs="SimSun"/>
          <w:sz w:val="21"/>
          <w:szCs w:val="21"/>
          <w:spacing w:val="-1"/>
        </w:rPr>
        <w:t>再就业、再 </w:t>
      </w:r>
      <w:r>
        <w:rPr>
          <w:rFonts w:ascii="SimSun" w:hAnsi="SimSun" w:eastAsia="SimSun" w:cs="SimSun"/>
          <w:sz w:val="21"/>
          <w:szCs w:val="21"/>
          <w:spacing w:val="22"/>
        </w:rPr>
        <w:t>创业。</w:t>
      </w:r>
    </w:p>
    <w:p>
      <w:pPr>
        <w:pStyle w:val="BodyText"/>
        <w:spacing w:line="252" w:lineRule="auto"/>
        <w:rPr/>
      </w:pPr>
      <w:r/>
    </w:p>
    <w:p>
      <w:pPr>
        <w:pStyle w:val="BodyText"/>
        <w:spacing w:line="253" w:lineRule="auto"/>
        <w:rPr/>
      </w:pPr>
      <w:r/>
    </w:p>
    <w:p>
      <w:pPr>
        <w:ind w:left="2519"/>
        <w:spacing w:before="107" w:line="220" w:lineRule="auto"/>
        <w:rPr>
          <w:rFonts w:ascii="SimSun" w:hAnsi="SimSun" w:eastAsia="SimSun" w:cs="SimSun"/>
          <w:sz w:val="33"/>
          <w:szCs w:val="33"/>
        </w:rPr>
      </w:pPr>
      <w:r>
        <w:rPr>
          <w:rFonts w:ascii="SimSun" w:hAnsi="SimSun" w:eastAsia="SimSun" w:cs="SimSun"/>
          <w:sz w:val="33"/>
          <w:szCs w:val="33"/>
          <w:b/>
          <w:bCs/>
          <w:spacing w:val="-12"/>
        </w:rPr>
        <w:t>政策建议</w:t>
      </w:r>
    </w:p>
    <w:p>
      <w:pPr>
        <w:pStyle w:val="BodyText"/>
        <w:spacing w:line="264" w:lineRule="auto"/>
        <w:rPr/>
      </w:pPr>
      <w:r/>
    </w:p>
    <w:p>
      <w:pPr>
        <w:ind w:left="105" w:right="26" w:firstLine="440"/>
        <w:spacing w:before="68" w:line="297" w:lineRule="auto"/>
        <w:jc w:val="both"/>
        <w:rPr>
          <w:rFonts w:ascii="SimSun" w:hAnsi="SimSun" w:eastAsia="SimSun" w:cs="SimSun"/>
          <w:sz w:val="21"/>
          <w:szCs w:val="21"/>
        </w:rPr>
      </w:pPr>
      <w:r>
        <w:rPr>
          <w:rFonts w:ascii="SimSun" w:hAnsi="SimSun" w:eastAsia="SimSun" w:cs="SimSun"/>
          <w:sz w:val="21"/>
          <w:szCs w:val="21"/>
          <w:spacing w:val="-3"/>
        </w:rPr>
        <w:t>在我国经济发展水平步入高中等收入门槛的今天，世界级科技</w:t>
      </w:r>
      <w:r>
        <w:rPr>
          <w:rFonts w:ascii="SimSun" w:hAnsi="SimSun" w:eastAsia="SimSun" w:cs="SimSun"/>
          <w:sz w:val="21"/>
          <w:szCs w:val="21"/>
          <w:spacing w:val="8"/>
        </w:rPr>
        <w:t xml:space="preserve"> </w:t>
      </w:r>
      <w:r>
        <w:rPr>
          <w:rFonts w:ascii="SimSun" w:hAnsi="SimSun" w:eastAsia="SimSun" w:cs="SimSun"/>
          <w:sz w:val="21"/>
          <w:szCs w:val="21"/>
          <w:spacing w:val="-4"/>
        </w:rPr>
        <w:t>平台型企业的涌现是我国综合国力不断提升的体现，也是全社会科</w:t>
      </w:r>
      <w:r>
        <w:rPr>
          <w:rFonts w:ascii="SimSun" w:hAnsi="SimSun" w:eastAsia="SimSun" w:cs="SimSun"/>
          <w:sz w:val="21"/>
          <w:szCs w:val="21"/>
          <w:spacing w:val="12"/>
        </w:rPr>
        <w:t xml:space="preserve"> </w:t>
      </w:r>
      <w:r>
        <w:rPr>
          <w:rFonts w:ascii="SimSun" w:hAnsi="SimSun" w:eastAsia="SimSun" w:cs="SimSun"/>
          <w:sz w:val="21"/>
          <w:szCs w:val="21"/>
          <w:spacing w:val="-4"/>
        </w:rPr>
        <w:t>技和产业创新的结果。没有巨大的本土市场规模和消费能力，没有</w:t>
      </w:r>
      <w:r>
        <w:rPr>
          <w:rFonts w:ascii="SimSun" w:hAnsi="SimSun" w:eastAsia="SimSun" w:cs="SimSun"/>
          <w:sz w:val="21"/>
          <w:szCs w:val="21"/>
          <w:spacing w:val="15"/>
        </w:rPr>
        <w:t xml:space="preserve"> </w:t>
      </w:r>
      <w:r>
        <w:rPr>
          <w:rFonts w:ascii="SimSun" w:hAnsi="SimSun" w:eastAsia="SimSun" w:cs="SimSun"/>
          <w:sz w:val="21"/>
          <w:szCs w:val="21"/>
          <w:spacing w:val="-3"/>
        </w:rPr>
        <w:t>完整的产业链和工业体系，没有改革开放以来不断</w:t>
      </w:r>
      <w:r>
        <w:rPr>
          <w:rFonts w:ascii="SimSun" w:hAnsi="SimSun" w:eastAsia="SimSun" w:cs="SimSun"/>
          <w:sz w:val="21"/>
          <w:szCs w:val="21"/>
          <w:spacing w:val="-4"/>
        </w:rPr>
        <w:t>累积的科技能力</w:t>
      </w:r>
      <w:r>
        <w:rPr>
          <w:rFonts w:ascii="SimSun" w:hAnsi="SimSun" w:eastAsia="SimSun" w:cs="SimSun"/>
          <w:sz w:val="21"/>
          <w:szCs w:val="21"/>
        </w:rPr>
        <w:t xml:space="preserve"> </w:t>
      </w:r>
      <w:r>
        <w:rPr>
          <w:rFonts w:ascii="SimSun" w:hAnsi="SimSun" w:eastAsia="SimSun" w:cs="SimSun"/>
          <w:sz w:val="21"/>
          <w:szCs w:val="21"/>
          <w:spacing w:val="-4"/>
        </w:rPr>
        <w:t>和科研人才储备，没有鼓励竞争与创新的国家产业政策的推动，就</w:t>
      </w:r>
    </w:p>
    <w:p>
      <w:pPr>
        <w:spacing w:line="297" w:lineRule="auto"/>
        <w:sectPr>
          <w:headerReference w:type="default" r:id="rId247"/>
          <w:pgSz w:w="7330" w:h="12480"/>
          <w:pgMar w:top="537" w:right="634" w:bottom="400" w:left="525" w:header="375"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right="25"/>
        <w:spacing w:before="62" w:line="350" w:lineRule="auto"/>
        <w:jc w:val="both"/>
        <w:rPr>
          <w:rFonts w:ascii="SimSun" w:hAnsi="SimSun" w:eastAsia="SimSun" w:cs="SimSun"/>
          <w:sz w:val="19"/>
          <w:szCs w:val="19"/>
        </w:rPr>
      </w:pPr>
      <w:r>
        <w:rPr>
          <w:rFonts w:ascii="SimSun" w:hAnsi="SimSun" w:eastAsia="SimSun" w:cs="SimSun"/>
          <w:sz w:val="19"/>
          <w:szCs w:val="19"/>
          <w:spacing w:val="16"/>
        </w:rPr>
        <w:t>不可能出现世界领先的科技平台企业。面对平台经济迅速发展过程</w:t>
      </w:r>
      <w:r>
        <w:rPr>
          <w:rFonts w:ascii="SimSun" w:hAnsi="SimSun" w:eastAsia="SimSun" w:cs="SimSun"/>
          <w:sz w:val="19"/>
          <w:szCs w:val="19"/>
          <w:spacing w:val="11"/>
        </w:rPr>
        <w:t xml:space="preserve"> </w:t>
      </w:r>
      <w:r>
        <w:rPr>
          <w:rFonts w:ascii="SimSun" w:hAnsi="SimSun" w:eastAsia="SimSun" w:cs="SimSun"/>
          <w:sz w:val="19"/>
          <w:szCs w:val="19"/>
          <w:spacing w:val="16"/>
        </w:rPr>
        <w:t>中产生的问题，监管政策和监管框架的选择需要审慎地权衡各利益</w:t>
      </w:r>
      <w:r>
        <w:rPr>
          <w:rFonts w:ascii="SimSun" w:hAnsi="SimSun" w:eastAsia="SimSun" w:cs="SimSun"/>
          <w:sz w:val="19"/>
          <w:szCs w:val="19"/>
          <w:spacing w:val="13"/>
        </w:rPr>
        <w:t xml:space="preserve"> </w:t>
      </w:r>
      <w:r>
        <w:rPr>
          <w:rFonts w:ascii="SimSun" w:hAnsi="SimSun" w:eastAsia="SimSun" w:cs="SimSun"/>
          <w:sz w:val="19"/>
          <w:szCs w:val="19"/>
          <w:spacing w:val="17"/>
        </w:rPr>
        <w:t>相关方的诉求和国家发展的长期目标，对平台经济的贡献和潜</w:t>
      </w:r>
      <w:r>
        <w:rPr>
          <w:rFonts w:ascii="SimSun" w:hAnsi="SimSun" w:eastAsia="SimSun" w:cs="SimSun"/>
          <w:sz w:val="19"/>
          <w:szCs w:val="19"/>
          <w:spacing w:val="16"/>
        </w:rPr>
        <w:t>在问</w:t>
      </w:r>
      <w:r>
        <w:rPr>
          <w:rFonts w:ascii="SimSun" w:hAnsi="SimSun" w:eastAsia="SimSun" w:cs="SimSun"/>
          <w:sz w:val="19"/>
          <w:szCs w:val="19"/>
        </w:rPr>
        <w:t xml:space="preserve"> </w:t>
      </w:r>
      <w:r>
        <w:rPr>
          <w:rFonts w:ascii="SimSun" w:hAnsi="SimSun" w:eastAsia="SimSun" w:cs="SimSun"/>
          <w:sz w:val="19"/>
          <w:szCs w:val="19"/>
          <w:spacing w:val="16"/>
        </w:rPr>
        <w:t>题加以客观评估。就科技平台企业的政治和社会影响而言，我们有</w:t>
      </w:r>
    </w:p>
    <w:p>
      <w:pPr>
        <w:spacing w:line="219" w:lineRule="auto"/>
        <w:rPr>
          <w:rFonts w:ascii="SimSun" w:hAnsi="SimSun" w:eastAsia="SimSun" w:cs="SimSun"/>
          <w:sz w:val="19"/>
          <w:szCs w:val="19"/>
        </w:rPr>
      </w:pPr>
      <w:r>
        <w:rPr>
          <w:rFonts w:ascii="SimSun" w:hAnsi="SimSun" w:eastAsia="SimSun" w:cs="SimSun"/>
          <w:sz w:val="19"/>
          <w:szCs w:val="19"/>
          <w:spacing w:val="7"/>
        </w:rPr>
        <w:t>如下综合判断。</w:t>
      </w:r>
    </w:p>
    <w:p>
      <w:pPr>
        <w:ind w:right="19" w:firstLine="410"/>
        <w:spacing w:before="153" w:line="350" w:lineRule="auto"/>
        <w:jc w:val="both"/>
        <w:rPr>
          <w:rFonts w:ascii="SimSun" w:hAnsi="SimSun" w:eastAsia="SimSun" w:cs="SimSun"/>
          <w:sz w:val="19"/>
          <w:szCs w:val="19"/>
        </w:rPr>
      </w:pPr>
      <w:r>
        <w:rPr>
          <w:rFonts w:ascii="SimSun" w:hAnsi="SimSun" w:eastAsia="SimSun" w:cs="SimSun"/>
          <w:sz w:val="19"/>
          <w:szCs w:val="19"/>
          <w:spacing w:val="10"/>
        </w:rPr>
        <w:t>首先，科技平台企业有助于提升而不是降低政府治理的</w:t>
      </w:r>
      <w:r>
        <w:rPr>
          <w:rFonts w:ascii="SimSun" w:hAnsi="SimSun" w:eastAsia="SimSun" w:cs="SimSun"/>
          <w:sz w:val="19"/>
          <w:szCs w:val="19"/>
          <w:spacing w:val="9"/>
        </w:rPr>
        <w:t>绩效，对</w:t>
      </w:r>
      <w:r>
        <w:rPr>
          <w:rFonts w:ascii="SimSun" w:hAnsi="SimSun" w:eastAsia="SimSun" w:cs="SimSun"/>
          <w:sz w:val="19"/>
          <w:szCs w:val="19"/>
        </w:rPr>
        <w:t xml:space="preserve"> </w:t>
      </w:r>
      <w:r>
        <w:rPr>
          <w:rFonts w:ascii="SimSun" w:hAnsi="SimSun" w:eastAsia="SimSun" w:cs="SimSun"/>
          <w:sz w:val="19"/>
          <w:szCs w:val="19"/>
          <w:spacing w:val="9"/>
        </w:rPr>
        <w:t>社会治理和经济发展具有长期的正面影响。无论是行政系统平台的技</w:t>
      </w:r>
      <w:r>
        <w:rPr>
          <w:rFonts w:ascii="SimSun" w:hAnsi="SimSun" w:eastAsia="SimSun" w:cs="SimSun"/>
          <w:sz w:val="19"/>
          <w:szCs w:val="19"/>
          <w:spacing w:val="17"/>
        </w:rPr>
        <w:t xml:space="preserve"> </w:t>
      </w:r>
      <w:r>
        <w:rPr>
          <w:rFonts w:ascii="SimSun" w:hAnsi="SimSun" w:eastAsia="SimSun" w:cs="SimSun"/>
          <w:sz w:val="19"/>
          <w:szCs w:val="19"/>
          <w:spacing w:val="10"/>
        </w:rPr>
        <w:t>术支持和后台建设，还是健康码、出行、信用积分等</w:t>
      </w:r>
      <w:r>
        <w:rPr>
          <w:rFonts w:ascii="SimSun" w:hAnsi="SimSun" w:eastAsia="SimSun" w:cs="SimSun"/>
          <w:sz w:val="19"/>
          <w:szCs w:val="19"/>
          <w:spacing w:val="9"/>
        </w:rPr>
        <w:t>个人信息系统的</w:t>
      </w:r>
      <w:r>
        <w:rPr>
          <w:rFonts w:ascii="SimSun" w:hAnsi="SimSun" w:eastAsia="SimSun" w:cs="SimSun"/>
          <w:sz w:val="19"/>
          <w:szCs w:val="19"/>
        </w:rPr>
        <w:t xml:space="preserve"> </w:t>
      </w:r>
      <w:r>
        <w:rPr>
          <w:rFonts w:ascii="SimSun" w:hAnsi="SimSun" w:eastAsia="SimSun" w:cs="SimSun"/>
          <w:sz w:val="19"/>
          <w:szCs w:val="19"/>
          <w:spacing w:val="9"/>
        </w:rPr>
        <w:t>建立，抑或是微信、支付宝等应用平台和政府公共服务的对接，都体</w:t>
      </w:r>
      <w:r>
        <w:rPr>
          <w:rFonts w:ascii="SimSun" w:hAnsi="SimSun" w:eastAsia="SimSun" w:cs="SimSun"/>
          <w:sz w:val="19"/>
          <w:szCs w:val="19"/>
          <w:spacing w:val="17"/>
        </w:rPr>
        <w:t xml:space="preserve"> </w:t>
      </w:r>
      <w:r>
        <w:rPr>
          <w:rFonts w:ascii="SimSun" w:hAnsi="SimSun" w:eastAsia="SimSun" w:cs="SimSun"/>
          <w:sz w:val="19"/>
          <w:szCs w:val="19"/>
          <w:spacing w:val="10"/>
        </w:rPr>
        <w:t>现出平台已经成为现代社会治理体系的一个重要环节，提</w:t>
      </w:r>
      <w:r>
        <w:rPr>
          <w:rFonts w:ascii="SimSun" w:hAnsi="SimSun" w:eastAsia="SimSun" w:cs="SimSun"/>
          <w:sz w:val="19"/>
          <w:szCs w:val="19"/>
          <w:spacing w:val="9"/>
        </w:rPr>
        <w:t>升了国家治</w:t>
      </w:r>
    </w:p>
    <w:p>
      <w:pPr>
        <w:spacing w:line="219" w:lineRule="auto"/>
        <w:rPr>
          <w:rFonts w:ascii="SimSun" w:hAnsi="SimSun" w:eastAsia="SimSun" w:cs="SimSun"/>
          <w:sz w:val="19"/>
          <w:szCs w:val="19"/>
        </w:rPr>
      </w:pPr>
      <w:r>
        <w:rPr>
          <w:rFonts w:ascii="SimSun" w:hAnsi="SimSun" w:eastAsia="SimSun" w:cs="SimSun"/>
          <w:sz w:val="19"/>
          <w:szCs w:val="19"/>
          <w:spacing w:val="6"/>
        </w:rPr>
        <w:t>理能力。</w:t>
      </w:r>
    </w:p>
    <w:p>
      <w:pPr>
        <w:ind w:right="17" w:firstLine="410"/>
        <w:spacing w:before="113" w:line="350" w:lineRule="auto"/>
        <w:jc w:val="both"/>
        <w:rPr>
          <w:rFonts w:ascii="SimSun" w:hAnsi="SimSun" w:eastAsia="SimSun" w:cs="SimSun"/>
          <w:sz w:val="19"/>
          <w:szCs w:val="19"/>
        </w:rPr>
      </w:pPr>
      <w:r>
        <w:rPr>
          <w:rFonts w:ascii="SimSun" w:hAnsi="SimSun" w:eastAsia="SimSun" w:cs="SimSun"/>
          <w:sz w:val="19"/>
          <w:szCs w:val="19"/>
          <w:spacing w:val="10"/>
        </w:rPr>
        <w:t>其次，平台经济对其他行业和不同人群的冲击，是技术进步</w:t>
      </w:r>
      <w:r>
        <w:rPr>
          <w:rFonts w:ascii="SimSun" w:hAnsi="SimSun" w:eastAsia="SimSun" w:cs="SimSun"/>
          <w:sz w:val="19"/>
          <w:szCs w:val="19"/>
          <w:spacing w:val="9"/>
        </w:rPr>
        <w:t>所带</w:t>
      </w:r>
      <w:r>
        <w:rPr>
          <w:rFonts w:ascii="SimSun" w:hAnsi="SimSun" w:eastAsia="SimSun" w:cs="SimSun"/>
          <w:sz w:val="19"/>
          <w:szCs w:val="19"/>
        </w:rPr>
        <w:t xml:space="preserve"> </w:t>
      </w:r>
      <w:r>
        <w:rPr>
          <w:rFonts w:ascii="SimSun" w:hAnsi="SimSun" w:eastAsia="SimSun" w:cs="SimSun"/>
          <w:sz w:val="19"/>
          <w:szCs w:val="19"/>
          <w:spacing w:val="10"/>
        </w:rPr>
        <w:t>来的经济和社会结构转型的产物，反映了多元化的利益诉求。针对用</w:t>
      </w:r>
      <w:r>
        <w:rPr>
          <w:rFonts w:ascii="SimSun" w:hAnsi="SimSun" w:eastAsia="SimSun" w:cs="SimSun"/>
          <w:sz w:val="19"/>
          <w:szCs w:val="19"/>
          <w:spacing w:val="2"/>
        </w:rPr>
        <w:t xml:space="preserve"> </w:t>
      </w:r>
      <w:r>
        <w:rPr>
          <w:rFonts w:ascii="SimSun" w:hAnsi="SimSun" w:eastAsia="SimSun" w:cs="SimSun"/>
          <w:sz w:val="19"/>
          <w:szCs w:val="19"/>
          <w:spacing w:val="10"/>
        </w:rPr>
        <w:t>户隐私、数据安全、消费者和劳动者权益等问题的讨论，也是多元社</w:t>
      </w:r>
      <w:r>
        <w:rPr>
          <w:rFonts w:ascii="SimSun" w:hAnsi="SimSun" w:eastAsia="SimSun" w:cs="SimSun"/>
          <w:sz w:val="19"/>
          <w:szCs w:val="19"/>
          <w:spacing w:val="6"/>
        </w:rPr>
        <w:t xml:space="preserve"> </w:t>
      </w:r>
      <w:r>
        <w:rPr>
          <w:rFonts w:ascii="SimSun" w:hAnsi="SimSun" w:eastAsia="SimSun" w:cs="SimSun"/>
          <w:sz w:val="19"/>
          <w:szCs w:val="19"/>
          <w:spacing w:val="9"/>
        </w:rPr>
        <w:t>会的正常舆论特征，不是平台经济独有的现象。涉及行业规范、利益</w:t>
      </w:r>
      <w:r>
        <w:rPr>
          <w:rFonts w:ascii="SimSun" w:hAnsi="SimSun" w:eastAsia="SimSun" w:cs="SimSun"/>
          <w:sz w:val="19"/>
          <w:szCs w:val="19"/>
          <w:spacing w:val="18"/>
        </w:rPr>
        <w:t xml:space="preserve"> </w:t>
      </w:r>
      <w:r>
        <w:rPr>
          <w:rFonts w:ascii="SimSun" w:hAnsi="SimSun" w:eastAsia="SimSun" w:cs="SimSun"/>
          <w:sz w:val="19"/>
          <w:szCs w:val="19"/>
          <w:spacing w:val="10"/>
        </w:rPr>
        <w:t>分配和企业社会责任的问题，是可以通过监管政策和企</w:t>
      </w:r>
      <w:r>
        <w:rPr>
          <w:rFonts w:ascii="SimSun" w:hAnsi="SimSun" w:eastAsia="SimSun" w:cs="SimSun"/>
          <w:sz w:val="19"/>
          <w:szCs w:val="19"/>
          <w:spacing w:val="9"/>
        </w:rPr>
        <w:t>业自身战略调</w:t>
      </w:r>
    </w:p>
    <w:p>
      <w:pPr>
        <w:spacing w:line="219" w:lineRule="auto"/>
        <w:rPr>
          <w:rFonts w:ascii="SimSun" w:hAnsi="SimSun" w:eastAsia="SimSun" w:cs="SimSun"/>
          <w:sz w:val="19"/>
          <w:szCs w:val="19"/>
        </w:rPr>
      </w:pPr>
      <w:r>
        <w:rPr>
          <w:rFonts w:ascii="SimSun" w:hAnsi="SimSun" w:eastAsia="SimSun" w:cs="SimSun"/>
          <w:sz w:val="19"/>
          <w:szCs w:val="19"/>
          <w:spacing w:val="5"/>
        </w:rPr>
        <w:t>整加以解决完善的。</w:t>
      </w:r>
    </w:p>
    <w:p>
      <w:pPr>
        <w:ind w:firstLine="410"/>
        <w:spacing w:before="142" w:line="350" w:lineRule="auto"/>
        <w:jc w:val="both"/>
        <w:rPr>
          <w:rFonts w:ascii="SimSun" w:hAnsi="SimSun" w:eastAsia="SimSun" w:cs="SimSun"/>
          <w:sz w:val="19"/>
          <w:szCs w:val="19"/>
        </w:rPr>
      </w:pPr>
      <w:r>
        <w:rPr>
          <w:rFonts w:ascii="SimSun" w:hAnsi="SimSun" w:eastAsia="SimSun" w:cs="SimSun"/>
          <w:sz w:val="19"/>
          <w:szCs w:val="19"/>
          <w:spacing w:val="9"/>
        </w:rPr>
        <w:t>最后，不同于欧美国家私人资本决定平台经济发展的模式，我国</w:t>
      </w:r>
      <w:r>
        <w:rPr>
          <w:rFonts w:ascii="SimSun" w:hAnsi="SimSun" w:eastAsia="SimSun" w:cs="SimSun"/>
          <w:sz w:val="19"/>
          <w:szCs w:val="19"/>
          <w:spacing w:val="16"/>
        </w:rPr>
        <w:t xml:space="preserve"> </w:t>
      </w:r>
      <w:r>
        <w:rPr>
          <w:rFonts w:ascii="SimSun" w:hAnsi="SimSun" w:eastAsia="SimSun" w:cs="SimSun"/>
          <w:sz w:val="19"/>
          <w:szCs w:val="19"/>
          <w:spacing w:val="9"/>
        </w:rPr>
        <w:t>的信息监管体制和党对社会经济组织的全面领导具有体制性优势。平</w:t>
      </w:r>
      <w:r>
        <w:rPr>
          <w:rFonts w:ascii="SimSun" w:hAnsi="SimSun" w:eastAsia="SimSun" w:cs="SimSun"/>
          <w:sz w:val="19"/>
          <w:szCs w:val="19"/>
          <w:spacing w:val="18"/>
        </w:rPr>
        <w:t xml:space="preserve"> </w:t>
      </w:r>
      <w:r>
        <w:rPr>
          <w:rFonts w:ascii="SimSun" w:hAnsi="SimSun" w:eastAsia="SimSun" w:cs="SimSun"/>
          <w:sz w:val="19"/>
          <w:szCs w:val="19"/>
          <w:spacing w:val="9"/>
        </w:rPr>
        <w:t>台企业的崛起得益于中国庞大的人口和市场、完善的基础设施、完整</w:t>
      </w:r>
      <w:r>
        <w:rPr>
          <w:rFonts w:ascii="SimSun" w:hAnsi="SimSun" w:eastAsia="SimSun" w:cs="SimSun"/>
          <w:sz w:val="19"/>
          <w:szCs w:val="19"/>
          <w:spacing w:val="18"/>
        </w:rPr>
        <w:t xml:space="preserve"> </w:t>
      </w:r>
      <w:r>
        <w:rPr>
          <w:rFonts w:ascii="SimSun" w:hAnsi="SimSun" w:eastAsia="SimSun" w:cs="SimSun"/>
          <w:sz w:val="19"/>
          <w:szCs w:val="19"/>
          <w:spacing w:val="10"/>
        </w:rPr>
        <w:t>的供应链、稳定的社会环境及政府对科技创新行业的大力支持。平台</w:t>
      </w:r>
      <w:r>
        <w:rPr>
          <w:rFonts w:ascii="SimSun" w:hAnsi="SimSun" w:eastAsia="SimSun" w:cs="SimSun"/>
          <w:sz w:val="19"/>
          <w:szCs w:val="19"/>
        </w:rPr>
        <w:t xml:space="preserve"> </w:t>
      </w:r>
      <w:r>
        <w:rPr>
          <w:rFonts w:ascii="SimSun" w:hAnsi="SimSun" w:eastAsia="SimSun" w:cs="SimSun"/>
          <w:sz w:val="19"/>
          <w:szCs w:val="19"/>
          <w:spacing w:val="9"/>
        </w:rPr>
        <w:t>企业的发展离不开这些基础条件，企业也不具备左右监管政策和改变</w:t>
      </w:r>
      <w:r>
        <w:rPr>
          <w:rFonts w:ascii="SimSun" w:hAnsi="SimSun" w:eastAsia="SimSun" w:cs="SimSun"/>
          <w:sz w:val="19"/>
          <w:szCs w:val="19"/>
          <w:spacing w:val="17"/>
        </w:rPr>
        <w:t xml:space="preserve"> </w:t>
      </w:r>
      <w:r>
        <w:rPr>
          <w:rFonts w:ascii="SimSun" w:hAnsi="SimSun" w:eastAsia="SimSun" w:cs="SimSun"/>
          <w:sz w:val="19"/>
          <w:szCs w:val="19"/>
          <w:spacing w:val="11"/>
        </w:rPr>
        <w:t>现有经济社会秩序的意图和能力。从政府治理和社会治理的</w:t>
      </w:r>
      <w:r>
        <w:rPr>
          <w:rFonts w:ascii="SimSun" w:hAnsi="SimSun" w:eastAsia="SimSun" w:cs="SimSun"/>
          <w:sz w:val="19"/>
          <w:szCs w:val="19"/>
          <w:spacing w:val="10"/>
        </w:rPr>
        <w:t>长期目标</w:t>
      </w:r>
      <w:r>
        <w:rPr>
          <w:rFonts w:ascii="SimSun" w:hAnsi="SimSun" w:eastAsia="SimSun" w:cs="SimSun"/>
          <w:sz w:val="19"/>
          <w:szCs w:val="19"/>
        </w:rPr>
        <w:t xml:space="preserve"> </w:t>
      </w:r>
      <w:r>
        <w:rPr>
          <w:rFonts w:ascii="SimSun" w:hAnsi="SimSun" w:eastAsia="SimSun" w:cs="SimSun"/>
          <w:sz w:val="19"/>
          <w:szCs w:val="19"/>
          <w:spacing w:val="10"/>
        </w:rPr>
        <w:t>出发，应当积极地吸纳平台企业成为现代化国家治理体</w:t>
      </w:r>
      <w:r>
        <w:rPr>
          <w:rFonts w:ascii="SimSun" w:hAnsi="SimSun" w:eastAsia="SimSun" w:cs="SimSun"/>
          <w:sz w:val="19"/>
          <w:szCs w:val="19"/>
          <w:spacing w:val="9"/>
        </w:rPr>
        <w:t>系的参与者和</w:t>
      </w:r>
      <w:r>
        <w:rPr>
          <w:rFonts w:ascii="SimSun" w:hAnsi="SimSun" w:eastAsia="SimSun" w:cs="SimSun"/>
          <w:sz w:val="19"/>
          <w:szCs w:val="19"/>
        </w:rPr>
        <w:t xml:space="preserve"> </w:t>
      </w:r>
      <w:r>
        <w:rPr>
          <w:rFonts w:ascii="SimSun" w:hAnsi="SimSun" w:eastAsia="SimSun" w:cs="SimSun"/>
          <w:sz w:val="19"/>
          <w:szCs w:val="19"/>
          <w:spacing w:val="9"/>
        </w:rPr>
        <w:t>建设者，建立并完善能够促进平台经济发展和国家治理能力提升的耦</w:t>
      </w:r>
    </w:p>
    <w:p>
      <w:pPr>
        <w:spacing w:line="218" w:lineRule="auto"/>
        <w:rPr>
          <w:rFonts w:ascii="SimSun" w:hAnsi="SimSun" w:eastAsia="SimSun" w:cs="SimSun"/>
          <w:sz w:val="19"/>
          <w:szCs w:val="19"/>
        </w:rPr>
      </w:pPr>
      <w:r>
        <w:rPr>
          <w:rFonts w:ascii="SimSun" w:hAnsi="SimSun" w:eastAsia="SimSun" w:cs="SimSun"/>
          <w:sz w:val="19"/>
          <w:szCs w:val="19"/>
          <w:spacing w:val="6"/>
        </w:rPr>
        <w:t>合机制。</w:t>
      </w:r>
    </w:p>
    <w:p>
      <w:pPr>
        <w:ind w:left="410"/>
        <w:spacing w:before="146" w:line="219" w:lineRule="auto"/>
        <w:rPr>
          <w:rFonts w:ascii="SimSun" w:hAnsi="SimSun" w:eastAsia="SimSun" w:cs="SimSun"/>
          <w:sz w:val="19"/>
          <w:szCs w:val="19"/>
        </w:rPr>
      </w:pPr>
      <w:r>
        <w:rPr>
          <w:rFonts w:ascii="SimSun" w:hAnsi="SimSun" w:eastAsia="SimSun" w:cs="SimSun"/>
          <w:sz w:val="19"/>
          <w:szCs w:val="19"/>
          <w:spacing w:val="8"/>
        </w:rPr>
        <w:t>基于上述判断，我们提出如下政策性建议。</w:t>
      </w:r>
    </w:p>
    <w:p>
      <w:pPr>
        <w:spacing w:line="219" w:lineRule="auto"/>
        <w:sectPr>
          <w:headerReference w:type="default" r:id="rId248"/>
          <w:pgSz w:w="7330" w:h="12480"/>
          <w:pgMar w:top="846" w:right="992" w:bottom="400" w:left="309" w:header="683" w:footer="0"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20" w:firstLine="410"/>
        <w:spacing w:before="68" w:line="292" w:lineRule="auto"/>
        <w:jc w:val="both"/>
        <w:rPr>
          <w:rFonts w:ascii="SimSun" w:hAnsi="SimSun" w:eastAsia="SimSun" w:cs="SimSun"/>
          <w:sz w:val="21"/>
          <w:szCs w:val="21"/>
        </w:rPr>
      </w:pPr>
      <w:r>
        <w:rPr>
          <w:rFonts w:ascii="SimSun" w:hAnsi="SimSun" w:eastAsia="SimSun" w:cs="SimSun"/>
          <w:sz w:val="21"/>
          <w:szCs w:val="21"/>
          <w:spacing w:val="-11"/>
        </w:rPr>
        <w:t>引导和鼓励平台企业和地方政府合作开展基础性公共服务平台建 </w:t>
      </w:r>
      <w:r>
        <w:rPr>
          <w:rFonts w:ascii="SimSun" w:hAnsi="SimSun" w:eastAsia="SimSun" w:cs="SimSun"/>
          <w:sz w:val="21"/>
          <w:szCs w:val="21"/>
          <w:spacing w:val="-10"/>
        </w:rPr>
        <w:t>设，以解决公共服务发展不充分、不均衡的</w:t>
      </w:r>
      <w:r>
        <w:rPr>
          <w:rFonts w:ascii="SimSun" w:hAnsi="SimSun" w:eastAsia="SimSun" w:cs="SimSun"/>
          <w:sz w:val="21"/>
          <w:szCs w:val="21"/>
          <w:spacing w:val="-11"/>
        </w:rPr>
        <w:t>问题为突破口，通过政府 </w:t>
      </w:r>
      <w:r>
        <w:rPr>
          <w:rFonts w:ascii="SimSun" w:hAnsi="SimSun" w:eastAsia="SimSun" w:cs="SimSun"/>
          <w:sz w:val="21"/>
          <w:szCs w:val="21"/>
          <w:spacing w:val="-1"/>
        </w:rPr>
        <w:t>采购、税收、</w:t>
      </w:r>
      <w:r>
        <w:rPr>
          <w:rFonts w:ascii="Times New Roman" w:hAnsi="Times New Roman" w:eastAsia="Times New Roman" w:cs="Times New Roman"/>
          <w:sz w:val="21"/>
          <w:szCs w:val="21"/>
          <w:spacing w:val="-1"/>
        </w:rPr>
        <w:t>PPP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(政府和社会资本合作)项目、融资优惠等措施，</w:t>
      </w:r>
      <w:r>
        <w:rPr>
          <w:rFonts w:ascii="SimSun" w:hAnsi="SimSun" w:eastAsia="SimSun" w:cs="SimSun"/>
          <w:sz w:val="21"/>
          <w:szCs w:val="21"/>
        </w:rPr>
        <w:t xml:space="preserve"> </w:t>
      </w:r>
      <w:r>
        <w:rPr>
          <w:rFonts w:ascii="SimSun" w:hAnsi="SimSun" w:eastAsia="SimSun" w:cs="SimSun"/>
          <w:sz w:val="21"/>
          <w:szCs w:val="21"/>
          <w:spacing w:val="-10"/>
        </w:rPr>
        <w:t>扩大平台企业在经济欠发达地区的公共服务技术投</w:t>
      </w:r>
      <w:r>
        <w:rPr>
          <w:rFonts w:ascii="SimSun" w:hAnsi="SimSun" w:eastAsia="SimSun" w:cs="SimSun"/>
          <w:sz w:val="21"/>
          <w:szCs w:val="21"/>
          <w:spacing w:val="-11"/>
        </w:rPr>
        <w:t>入和参与度。</w:t>
      </w:r>
    </w:p>
    <w:p>
      <w:pPr>
        <w:ind w:firstLine="410"/>
        <w:spacing w:before="111" w:line="285" w:lineRule="auto"/>
        <w:jc w:val="both"/>
        <w:rPr>
          <w:rFonts w:ascii="SimSun" w:hAnsi="SimSun" w:eastAsia="SimSun" w:cs="SimSun"/>
          <w:sz w:val="21"/>
          <w:szCs w:val="21"/>
        </w:rPr>
      </w:pPr>
      <w:r>
        <w:rPr>
          <w:rFonts w:ascii="SimSun" w:hAnsi="SimSun" w:eastAsia="SimSun" w:cs="SimSun"/>
          <w:sz w:val="21"/>
          <w:szCs w:val="21"/>
          <w:spacing w:val="-11"/>
        </w:rPr>
        <w:t>针对平台企业的行业规范和社会责任创造更为开放灵活的公共讨</w:t>
      </w:r>
      <w:r>
        <w:rPr>
          <w:rFonts w:ascii="SimSun" w:hAnsi="SimSun" w:eastAsia="SimSun" w:cs="SimSun"/>
          <w:sz w:val="21"/>
          <w:szCs w:val="21"/>
          <w:spacing w:val="4"/>
        </w:rPr>
        <w:t xml:space="preserve">  </w:t>
      </w:r>
      <w:r>
        <w:rPr>
          <w:rFonts w:ascii="SimSun" w:hAnsi="SimSun" w:eastAsia="SimSun" w:cs="SimSun"/>
          <w:sz w:val="21"/>
          <w:szCs w:val="21"/>
          <w:spacing w:val="-7"/>
        </w:rPr>
        <w:t>论空间，鼓励和引导平台企业更多地参与对数据安全、</w:t>
      </w:r>
      <w:r>
        <w:rPr>
          <w:rFonts w:ascii="SimSun" w:hAnsi="SimSun" w:eastAsia="SimSun" w:cs="SimSun"/>
          <w:sz w:val="21"/>
          <w:szCs w:val="21"/>
          <w:spacing w:val="-8"/>
        </w:rPr>
        <w:t>消费者权益、</w:t>
      </w:r>
      <w:r>
        <w:rPr>
          <w:rFonts w:ascii="SimSun" w:hAnsi="SimSun" w:eastAsia="SimSun" w:cs="SimSun"/>
          <w:sz w:val="21"/>
          <w:szCs w:val="21"/>
        </w:rPr>
        <w:t xml:space="preserve"> </w:t>
      </w:r>
      <w:r>
        <w:rPr>
          <w:rFonts w:ascii="SimSun" w:hAnsi="SimSun" w:eastAsia="SimSun" w:cs="SimSun"/>
          <w:sz w:val="21"/>
          <w:szCs w:val="21"/>
          <w:spacing w:val="-10"/>
        </w:rPr>
        <w:t>隐私保护、劳动者权益、收入差距等问题的讨论，</w:t>
      </w:r>
      <w:r>
        <w:rPr>
          <w:rFonts w:ascii="SimSun" w:hAnsi="SimSun" w:eastAsia="SimSun" w:cs="SimSun"/>
          <w:sz w:val="21"/>
          <w:szCs w:val="21"/>
          <w:spacing w:val="-11"/>
        </w:rPr>
        <w:t>更好地听取公众意</w:t>
      </w:r>
      <w:r>
        <w:rPr>
          <w:rFonts w:ascii="SimSun" w:hAnsi="SimSun" w:eastAsia="SimSun" w:cs="SimSun"/>
          <w:sz w:val="21"/>
          <w:szCs w:val="21"/>
        </w:rPr>
        <w:t xml:space="preserve">  </w:t>
      </w:r>
      <w:r>
        <w:rPr>
          <w:rFonts w:ascii="SimSun" w:hAnsi="SimSun" w:eastAsia="SimSun" w:cs="SimSun"/>
          <w:sz w:val="21"/>
          <w:szCs w:val="21"/>
          <w:spacing w:val="-12"/>
        </w:rPr>
        <w:t>见和实践企业社会责任。</w:t>
      </w:r>
    </w:p>
    <w:p>
      <w:pPr>
        <w:ind w:firstLine="410"/>
        <w:spacing w:before="143" w:line="290" w:lineRule="auto"/>
        <w:jc w:val="both"/>
        <w:rPr>
          <w:rFonts w:ascii="SimSun" w:hAnsi="SimSun" w:eastAsia="SimSun" w:cs="SimSun"/>
          <w:sz w:val="21"/>
          <w:szCs w:val="21"/>
        </w:rPr>
      </w:pPr>
      <w:r>
        <w:rPr>
          <w:rFonts w:ascii="SimSun" w:hAnsi="SimSun" w:eastAsia="SimSun" w:cs="SimSun"/>
          <w:sz w:val="21"/>
          <w:szCs w:val="21"/>
          <w:spacing w:val="-8"/>
        </w:rPr>
        <w:t>积极引导平台经济参与社会收入再分配和三次分配体系的构建，</w:t>
      </w:r>
      <w:r>
        <w:rPr>
          <w:rFonts w:ascii="SimSun" w:hAnsi="SimSun" w:eastAsia="SimSun" w:cs="SimSun"/>
          <w:sz w:val="21"/>
          <w:szCs w:val="21"/>
          <w:spacing w:val="18"/>
        </w:rPr>
        <w:t xml:space="preserve"> </w:t>
      </w:r>
      <w:r>
        <w:rPr>
          <w:rFonts w:ascii="SimSun" w:hAnsi="SimSun" w:eastAsia="SimSun" w:cs="SimSun"/>
          <w:sz w:val="21"/>
          <w:szCs w:val="21"/>
          <w:spacing w:val="-10"/>
        </w:rPr>
        <w:t>使平台企业成为建设共同富裕社会的中坚力量</w:t>
      </w:r>
      <w:r>
        <w:rPr>
          <w:rFonts w:ascii="SimSun" w:hAnsi="SimSun" w:eastAsia="SimSun" w:cs="SimSun"/>
          <w:sz w:val="21"/>
          <w:szCs w:val="21"/>
          <w:spacing w:val="-11"/>
        </w:rPr>
        <w:t>。通过数字税、平台公</w:t>
      </w:r>
      <w:r>
        <w:rPr>
          <w:rFonts w:ascii="SimSun" w:hAnsi="SimSun" w:eastAsia="SimSun" w:cs="SimSun"/>
          <w:sz w:val="21"/>
          <w:szCs w:val="21"/>
        </w:rPr>
        <w:t xml:space="preserve">  </w:t>
      </w:r>
      <w:r>
        <w:rPr>
          <w:rFonts w:ascii="SimSun" w:hAnsi="SimSun" w:eastAsia="SimSun" w:cs="SimSun"/>
          <w:sz w:val="21"/>
          <w:szCs w:val="21"/>
          <w:spacing w:val="-10"/>
        </w:rPr>
        <w:t>益基金等形式促进全民共享平台经济的发展，提高平台</w:t>
      </w:r>
      <w:r>
        <w:rPr>
          <w:rFonts w:ascii="SimSun" w:hAnsi="SimSun" w:eastAsia="SimSun" w:cs="SimSun"/>
          <w:sz w:val="21"/>
          <w:szCs w:val="21"/>
          <w:spacing w:val="-11"/>
        </w:rPr>
        <w:t>经济从业者的</w:t>
      </w:r>
      <w:r>
        <w:rPr>
          <w:rFonts w:ascii="SimSun" w:hAnsi="SimSun" w:eastAsia="SimSun" w:cs="SimSun"/>
          <w:sz w:val="21"/>
          <w:szCs w:val="21"/>
        </w:rPr>
        <w:t xml:space="preserve">  </w:t>
      </w:r>
      <w:r>
        <w:rPr>
          <w:rFonts w:ascii="SimSun" w:hAnsi="SimSun" w:eastAsia="SimSun" w:cs="SimSun"/>
          <w:sz w:val="21"/>
          <w:szCs w:val="21"/>
          <w:spacing w:val="-10"/>
        </w:rPr>
        <w:t>劳动技能和人力资本，帮助因为平台经济而受到影响的个体商户和中</w:t>
      </w:r>
      <w:r>
        <w:rPr>
          <w:rFonts w:ascii="SimSun" w:hAnsi="SimSun" w:eastAsia="SimSun" w:cs="SimSun"/>
          <w:sz w:val="21"/>
          <w:szCs w:val="21"/>
        </w:rPr>
        <w:t xml:space="preserve"> </w:t>
      </w:r>
      <w:r>
        <w:rPr>
          <w:rFonts w:ascii="SimSun" w:hAnsi="SimSun" w:eastAsia="SimSun" w:cs="SimSun"/>
          <w:sz w:val="21"/>
          <w:szCs w:val="21"/>
          <w:spacing w:val="-12"/>
        </w:rPr>
        <w:t>小企业主再就业、再创业。</w:t>
      </w:r>
    </w:p>
    <w:p>
      <w:pPr>
        <w:ind w:right="20" w:firstLine="410"/>
        <w:spacing w:before="149" w:line="278" w:lineRule="auto"/>
        <w:jc w:val="both"/>
        <w:rPr>
          <w:rFonts w:ascii="SimSun" w:hAnsi="SimSun" w:eastAsia="SimSun" w:cs="SimSun"/>
          <w:sz w:val="21"/>
          <w:szCs w:val="21"/>
        </w:rPr>
      </w:pPr>
      <w:r>
        <w:rPr>
          <w:rFonts w:ascii="SimSun" w:hAnsi="SimSun" w:eastAsia="SimSun" w:cs="SimSun"/>
          <w:sz w:val="21"/>
          <w:szCs w:val="21"/>
          <w:spacing w:val="-8"/>
        </w:rPr>
        <w:t>教育公众正确认识技术进步和经济结构转型带来的多元化</w:t>
      </w:r>
      <w:r>
        <w:rPr>
          <w:rFonts w:ascii="SimSun" w:hAnsi="SimSun" w:eastAsia="SimSun" w:cs="SimSun"/>
          <w:sz w:val="21"/>
          <w:szCs w:val="21"/>
          <w:spacing w:val="-9"/>
        </w:rPr>
        <w:t>影响，</w:t>
      </w:r>
      <w:r>
        <w:rPr>
          <w:rFonts w:ascii="SimSun" w:hAnsi="SimSun" w:eastAsia="SimSun" w:cs="SimSun"/>
          <w:sz w:val="21"/>
          <w:szCs w:val="21"/>
        </w:rPr>
        <w:t xml:space="preserve"> </w:t>
      </w:r>
      <w:r>
        <w:rPr>
          <w:rFonts w:ascii="SimSun" w:hAnsi="SimSun" w:eastAsia="SimSun" w:cs="SimSun"/>
          <w:sz w:val="21"/>
          <w:szCs w:val="21"/>
          <w:spacing w:val="-10"/>
        </w:rPr>
        <w:t>对民粹化和以流量为目的的极端言论进行必要</w:t>
      </w:r>
      <w:r>
        <w:rPr>
          <w:rFonts w:ascii="SimSun" w:hAnsi="SimSun" w:eastAsia="SimSun" w:cs="SimSun"/>
          <w:sz w:val="21"/>
          <w:szCs w:val="21"/>
          <w:spacing w:val="-11"/>
        </w:rPr>
        <w:t>的疏导与管理，避免舆 </w:t>
      </w:r>
      <w:r>
        <w:rPr>
          <w:rFonts w:ascii="SimSun" w:hAnsi="SimSun" w:eastAsia="SimSun" w:cs="SimSun"/>
          <w:sz w:val="21"/>
          <w:szCs w:val="21"/>
          <w:spacing w:val="-11"/>
        </w:rPr>
        <w:t>情引导监管。</w:t>
      </w:r>
    </w:p>
    <w:p>
      <w:pPr>
        <w:spacing w:line="278" w:lineRule="auto"/>
        <w:sectPr>
          <w:headerReference w:type="default" r:id="rId249"/>
          <w:pgSz w:w="7330" w:h="12480"/>
          <w:pgMar w:top="538" w:right="364" w:bottom="400" w:left="879" w:header="375" w:footer="0" w:gutter="0"/>
        </w:sectPr>
        <w:rPr>
          <w:rFonts w:ascii="SimSun" w:hAnsi="SimSun" w:eastAsia="SimSun" w:cs="SimSun"/>
          <w:sz w:val="21"/>
          <w:szCs w:val="21"/>
        </w:rPr>
      </w:pPr>
    </w:p>
    <w:p>
      <w:pPr>
        <w:pStyle w:val="BodyText"/>
        <w:spacing w:line="274" w:lineRule="auto"/>
        <w:rPr/>
      </w:pPr>
      <w:r>
        <w:drawing>
          <wp:anchor distT="0" distB="0" distL="0" distR="0" simplePos="0" relativeHeight="253802496" behindDoc="0" locked="0" layoutInCell="0" allowOverlap="1">
            <wp:simplePos x="0" y="0"/>
            <wp:positionH relativeFrom="page">
              <wp:posOffset>241292</wp:posOffset>
            </wp:positionH>
            <wp:positionV relativeFrom="page">
              <wp:posOffset>7073909</wp:posOffset>
            </wp:positionV>
            <wp:extent cx="1168384" cy="6350"/>
            <wp:effectExtent l="0" t="0" r="0" b="0"/>
            <wp:wrapNone/>
            <wp:docPr id="192" name="IM 192"/>
            <wp:cNvGraphicFramePr/>
            <a:graphic>
              <a:graphicData uri="http://schemas.openxmlformats.org/drawingml/2006/picture">
                <pic:pic>
                  <pic:nvPicPr>
                    <pic:cNvPr id="192" name="IM 192"/>
                    <pic:cNvPicPr/>
                  </pic:nvPicPr>
                  <pic:blipFill>
                    <a:blip r:embed="rId250"/>
                    <a:stretch>
                      <a:fillRect/>
                    </a:stretch>
                  </pic:blipFill>
                  <pic:spPr>
                    <a:xfrm rot="0">
                      <a:off x="0" y="0"/>
                      <a:ext cx="1168384" cy="6350"/>
                    </a:xfrm>
                    <a:prstGeom prst="rect">
                      <a:avLst/>
                    </a:prstGeom>
                  </pic:spPr>
                </pic:pic>
              </a:graphicData>
            </a:graphic>
          </wp:anchor>
        </w:drawing>
      </w: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firstLine="849"/>
        <w:spacing w:line="3650" w:lineRule="exact"/>
        <w:rPr/>
      </w:pPr>
      <w:r>
        <w:rPr>
          <w:position w:val="-73"/>
        </w:rPr>
        <w:drawing>
          <wp:inline distT="0" distB="0" distL="0" distR="0">
            <wp:extent cx="2838484" cy="2317765"/>
            <wp:effectExtent l="0" t="0" r="0" b="0"/>
            <wp:docPr id="194" name="IM 194"/>
            <wp:cNvGraphicFramePr/>
            <a:graphic>
              <a:graphicData uri="http://schemas.openxmlformats.org/drawingml/2006/picture">
                <pic:pic>
                  <pic:nvPicPr>
                    <pic:cNvPr id="194" name="IM 194"/>
                    <pic:cNvPicPr/>
                  </pic:nvPicPr>
                  <pic:blipFill>
                    <a:blip r:embed="rId251"/>
                    <a:stretch>
                      <a:fillRect/>
                    </a:stretch>
                  </pic:blipFill>
                  <pic:spPr>
                    <a:xfrm rot="0">
                      <a:off x="0" y="0"/>
                      <a:ext cx="2838484" cy="2317765"/>
                    </a:xfrm>
                    <a:prstGeom prst="rect">
                      <a:avLst/>
                    </a:prstGeom>
                  </pic:spPr>
                </pic:pic>
              </a:graphicData>
            </a:graphic>
          </wp:inline>
        </w:drawing>
      </w:r>
    </w:p>
    <w:p>
      <w:pPr>
        <w:ind w:left="1179"/>
        <w:spacing w:before="265" w:line="222" w:lineRule="auto"/>
        <w:tabs>
          <w:tab w:val="left" w:pos="2570"/>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41"/>
        </w:rPr>
        <w:t xml:space="preserve"> </w:t>
      </w:r>
      <w:r>
        <w:rPr>
          <w:rFonts w:ascii="SimHei" w:hAnsi="SimHei" w:eastAsia="SimHei" w:cs="SimHei"/>
          <w:sz w:val="29"/>
          <w:szCs w:val="29"/>
          <w:b/>
          <w:bCs/>
          <w:spacing w:val="-7"/>
        </w:rPr>
        <w:t>第六章</w:t>
      </w:r>
      <w:r>
        <w:rPr>
          <w:rFonts w:ascii="SimHei" w:hAnsi="SimHei" w:eastAsia="SimHei" w:cs="SimHei"/>
          <w:sz w:val="29"/>
          <w:szCs w:val="29"/>
          <w:spacing w:val="-68"/>
        </w:rPr>
        <w:t xml:space="preserve"> </w:t>
      </w:r>
      <w:r>
        <w:rPr>
          <w:rFonts w:ascii="SimHei" w:hAnsi="SimHei" w:eastAsia="SimHei" w:cs="SimHei"/>
          <w:sz w:val="29"/>
          <w:szCs w:val="29"/>
          <w:strike/>
        </w:rPr>
        <w:t xml:space="preserve">          </w:t>
      </w:r>
    </w:p>
    <w:p>
      <w:pPr>
        <w:pStyle w:val="BodyText"/>
        <w:spacing w:line="295" w:lineRule="auto"/>
        <w:rPr/>
      </w:pPr>
      <w:r/>
    </w:p>
    <w:p>
      <w:pPr>
        <w:ind w:left="1765"/>
        <w:spacing w:before="117" w:line="480" w:lineRule="exact"/>
        <w:rPr>
          <w:rFonts w:ascii="SimSun" w:hAnsi="SimSun" w:eastAsia="SimSun" w:cs="SimSun"/>
          <w:sz w:val="36"/>
          <w:szCs w:val="36"/>
        </w:rPr>
      </w:pPr>
      <w:r>
        <w:rPr>
          <w:rFonts w:ascii="SimSun" w:hAnsi="SimSun" w:eastAsia="SimSun" w:cs="SimSun"/>
          <w:sz w:val="36"/>
          <w:szCs w:val="36"/>
          <w:b/>
          <w:bCs/>
          <w:spacing w:val="-9"/>
          <w:position w:val="7"/>
        </w:rPr>
        <w:t>数字金融平台的</w:t>
      </w:r>
    </w:p>
    <w:p>
      <w:pPr>
        <w:ind w:left="1745"/>
        <w:spacing w:before="1" w:line="219" w:lineRule="auto"/>
        <w:rPr>
          <w:rFonts w:ascii="SimSun" w:hAnsi="SimSun" w:eastAsia="SimSun" w:cs="SimSun"/>
          <w:sz w:val="36"/>
          <w:szCs w:val="36"/>
        </w:rPr>
      </w:pPr>
      <w:r>
        <w:rPr>
          <w:rFonts w:ascii="SimSun" w:hAnsi="SimSun" w:eastAsia="SimSun" w:cs="SimSun"/>
          <w:sz w:val="36"/>
          <w:szCs w:val="36"/>
          <w:b/>
          <w:bCs/>
          <w:spacing w:val="-6"/>
        </w:rPr>
        <w:t>创新发展与监管</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20"/>
        <w:spacing w:before="56" w:line="223" w:lineRule="auto"/>
        <w:rPr>
          <w:rFonts w:ascii="KaiTi" w:hAnsi="KaiTi" w:eastAsia="KaiTi" w:cs="KaiTi"/>
          <w:sz w:val="17"/>
          <w:szCs w:val="17"/>
        </w:rPr>
      </w:pPr>
      <w:r>
        <w:rPr>
          <w:rFonts w:ascii="KaiTi" w:hAnsi="KaiTi" w:eastAsia="KaiTi" w:cs="KaiTi"/>
          <w:sz w:val="17"/>
          <w:szCs w:val="17"/>
          <w:spacing w:val="-13"/>
        </w:rPr>
        <w:t>①</w:t>
      </w:r>
      <w:r>
        <w:rPr>
          <w:rFonts w:ascii="KaiTi" w:hAnsi="KaiTi" w:eastAsia="KaiTi" w:cs="KaiTi"/>
          <w:sz w:val="17"/>
          <w:szCs w:val="17"/>
          <w:spacing w:val="76"/>
        </w:rPr>
        <w:t xml:space="preserve"> </w:t>
      </w:r>
      <w:r>
        <w:rPr>
          <w:rFonts w:ascii="KaiTi" w:hAnsi="KaiTi" w:eastAsia="KaiTi" w:cs="KaiTi"/>
          <w:sz w:val="17"/>
          <w:szCs w:val="17"/>
          <w:spacing w:val="-13"/>
        </w:rPr>
        <w:t>本章作者为黄卓、朱丽。</w:t>
      </w:r>
    </w:p>
    <w:p>
      <w:pPr>
        <w:spacing w:line="223" w:lineRule="auto"/>
        <w:sectPr>
          <w:headerReference w:type="default" r:id="rId1"/>
          <w:pgSz w:w="7330" w:h="12480"/>
          <w:pgMar w:top="400" w:right="1099" w:bottom="400" w:left="379" w:header="0" w:footer="0" w:gutter="0"/>
        </w:sectPr>
        <w:rPr>
          <w:rFonts w:ascii="KaiTi" w:hAnsi="KaiTi" w:eastAsia="KaiTi" w:cs="KaiTi"/>
          <w:sz w:val="17"/>
          <w:szCs w:val="17"/>
        </w:rPr>
      </w:pPr>
    </w:p>
    <w:p>
      <w:pPr>
        <w:pStyle w:val="BodyText"/>
        <w:rPr/>
      </w:pPr>
      <w:r/>
    </w:p>
    <w:p>
      <w:pPr>
        <w:sectPr>
          <w:pgSz w:w="7330" w:h="12480"/>
          <w:pgMar w:top="0" w:right="0" w:bottom="0" w:left="0" w:header="0" w:footer="0" w:gutter="0"/>
        </w:sectPr>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firstLine="390"/>
        <w:spacing w:before="65" w:line="316" w:lineRule="auto"/>
        <w:jc w:val="both"/>
        <w:rPr>
          <w:rFonts w:ascii="SimSun" w:hAnsi="SimSun" w:eastAsia="SimSun" w:cs="SimSun"/>
          <w:sz w:val="20"/>
          <w:szCs w:val="20"/>
        </w:rPr>
      </w:pPr>
      <w:r>
        <w:rPr>
          <w:rFonts w:ascii="SimSun" w:hAnsi="SimSun" w:eastAsia="SimSun" w:cs="SimSun"/>
          <w:sz w:val="20"/>
          <w:szCs w:val="20"/>
          <w:spacing w:val="7"/>
        </w:rPr>
        <w:t>数字金融平台(也称金融科技平台)是指以数字技术为</w:t>
      </w:r>
      <w:r>
        <w:rPr>
          <w:rFonts w:ascii="SimSun" w:hAnsi="SimSun" w:eastAsia="SimSun" w:cs="SimSun"/>
          <w:sz w:val="20"/>
          <w:szCs w:val="20"/>
          <w:spacing w:val="6"/>
        </w:rPr>
        <w:t>核心提供 </w:t>
      </w:r>
      <w:r>
        <w:rPr>
          <w:rFonts w:ascii="SimSun" w:hAnsi="SimSun" w:eastAsia="SimSun" w:cs="SimSun"/>
          <w:sz w:val="20"/>
          <w:szCs w:val="20"/>
        </w:rPr>
        <w:t>或赋能金融服务的平台型互联网科技企业或金融机构。数字金融平台</w:t>
      </w:r>
      <w:r>
        <w:rPr>
          <w:rFonts w:ascii="SimSun" w:hAnsi="SimSun" w:eastAsia="SimSun" w:cs="SimSun"/>
          <w:sz w:val="20"/>
          <w:szCs w:val="20"/>
          <w:spacing w:val="10"/>
        </w:rPr>
        <w:t xml:space="preserve"> </w:t>
      </w:r>
      <w:r>
        <w:rPr>
          <w:rFonts w:ascii="SimSun" w:hAnsi="SimSun" w:eastAsia="SimSun" w:cs="SimSun"/>
          <w:sz w:val="20"/>
          <w:szCs w:val="20"/>
        </w:rPr>
        <w:t>是平台经济发展的重要领域，也是推动中国金融体系建设的重要创新</w:t>
      </w:r>
      <w:r>
        <w:rPr>
          <w:rFonts w:ascii="SimSun" w:hAnsi="SimSun" w:eastAsia="SimSun" w:cs="SimSun"/>
          <w:sz w:val="20"/>
          <w:szCs w:val="20"/>
          <w:spacing w:val="17"/>
        </w:rPr>
        <w:t xml:space="preserve"> </w:t>
      </w:r>
      <w:r>
        <w:rPr>
          <w:rFonts w:ascii="SimSun" w:hAnsi="SimSun" w:eastAsia="SimSun" w:cs="SimSun"/>
          <w:sz w:val="20"/>
          <w:szCs w:val="20"/>
          <w:spacing w:val="-1"/>
        </w:rPr>
        <w:t>力量。得益于庞大的人口基数、普惠金融服务供给不足等因素，数字</w:t>
      </w:r>
      <w:r>
        <w:rPr>
          <w:rFonts w:ascii="SimSun" w:hAnsi="SimSun" w:eastAsia="SimSun" w:cs="SimSun"/>
          <w:sz w:val="20"/>
          <w:szCs w:val="20"/>
          <w:spacing w:val="8"/>
        </w:rPr>
        <w:t xml:space="preserve">  </w:t>
      </w:r>
      <w:r>
        <w:rPr>
          <w:rFonts w:ascii="SimSun" w:hAnsi="SimSun" w:eastAsia="SimSun" w:cs="SimSun"/>
          <w:sz w:val="20"/>
          <w:szCs w:val="20"/>
        </w:rPr>
        <w:t>金融平台在中国得到了快速发展。目前，中</w:t>
      </w:r>
      <w:r>
        <w:rPr>
          <w:rFonts w:ascii="SimSun" w:hAnsi="SimSun" w:eastAsia="SimSun" w:cs="SimSun"/>
          <w:sz w:val="20"/>
          <w:szCs w:val="20"/>
          <w:spacing w:val="-1"/>
        </w:rPr>
        <w:t>国数字金融的发展不管在 </w:t>
      </w:r>
      <w:r>
        <w:rPr>
          <w:rFonts w:ascii="SimSun" w:hAnsi="SimSun" w:eastAsia="SimSun" w:cs="SimSun"/>
          <w:sz w:val="20"/>
          <w:szCs w:val="20"/>
          <w:spacing w:val="2"/>
        </w:rPr>
        <w:t>市场规模还是技术水平方面都处于国际领先地位，特别是移动支付、</w:t>
      </w:r>
      <w:r>
        <w:rPr>
          <w:rFonts w:ascii="SimSun" w:hAnsi="SimSun" w:eastAsia="SimSun" w:cs="SimSun"/>
          <w:sz w:val="20"/>
          <w:szCs w:val="20"/>
          <w:spacing w:val="8"/>
        </w:rPr>
        <w:t xml:space="preserve"> </w:t>
      </w:r>
      <w:r>
        <w:rPr>
          <w:rFonts w:ascii="SimSun" w:hAnsi="SimSun" w:eastAsia="SimSun" w:cs="SimSun"/>
          <w:sz w:val="20"/>
          <w:szCs w:val="20"/>
          <w:spacing w:val="-2"/>
        </w:rPr>
        <w:t>线上投资、大科技信贷以及互联网银行等领域。</w:t>
      </w:r>
    </w:p>
    <w:p>
      <w:pPr>
        <w:ind w:firstLine="390"/>
        <w:spacing w:before="130" w:line="330" w:lineRule="auto"/>
        <w:jc w:val="both"/>
        <w:rPr>
          <w:rFonts w:ascii="SimSun" w:hAnsi="SimSun" w:eastAsia="SimSun" w:cs="SimSun"/>
          <w:sz w:val="20"/>
          <w:szCs w:val="20"/>
        </w:rPr>
      </w:pPr>
      <w:r>
        <w:rPr>
          <w:rFonts w:ascii="SimSun" w:hAnsi="SimSun" w:eastAsia="SimSun" w:cs="SimSun"/>
          <w:sz w:val="20"/>
          <w:szCs w:val="20"/>
          <w:spacing w:val="3"/>
        </w:rPr>
        <w:t>中国数字金融平台的积极作用体现在支持实体经济</w:t>
      </w:r>
      <w:r>
        <w:rPr>
          <w:rFonts w:ascii="SimSun" w:hAnsi="SimSun" w:eastAsia="SimSun" w:cs="SimSun"/>
          <w:sz w:val="20"/>
          <w:szCs w:val="20"/>
          <w:spacing w:val="2"/>
        </w:rPr>
        <w:t>的创新发展。</w:t>
      </w:r>
      <w:r>
        <w:rPr>
          <w:rFonts w:ascii="SimSun" w:hAnsi="SimSun" w:eastAsia="SimSun" w:cs="SimSun"/>
          <w:sz w:val="20"/>
          <w:szCs w:val="20"/>
        </w:rPr>
        <w:t xml:space="preserve"> </w:t>
      </w:r>
      <w:r>
        <w:rPr>
          <w:rFonts w:ascii="SimSun" w:hAnsi="SimSun" w:eastAsia="SimSun" w:cs="SimSun"/>
          <w:sz w:val="20"/>
          <w:szCs w:val="20"/>
          <w:spacing w:val="-1"/>
        </w:rPr>
        <w:t>第一，借助于科技平台的规模效应，中国的移动支付平台显著降低了</w:t>
      </w:r>
      <w:r>
        <w:rPr>
          <w:rFonts w:ascii="SimSun" w:hAnsi="SimSun" w:eastAsia="SimSun" w:cs="SimSun"/>
          <w:sz w:val="20"/>
          <w:szCs w:val="20"/>
          <w:spacing w:val="9"/>
        </w:rPr>
        <w:t xml:space="preserve">  </w:t>
      </w:r>
      <w:r>
        <w:rPr>
          <w:rFonts w:ascii="SimSun" w:hAnsi="SimSun" w:eastAsia="SimSun" w:cs="SimSun"/>
          <w:sz w:val="20"/>
          <w:szCs w:val="20"/>
        </w:rPr>
        <w:t>金融服务的边际成本，创新了场景化的金融</w:t>
      </w:r>
      <w:r>
        <w:rPr>
          <w:rFonts w:ascii="SimSun" w:hAnsi="SimSun" w:eastAsia="SimSun" w:cs="SimSun"/>
          <w:sz w:val="20"/>
          <w:szCs w:val="20"/>
          <w:spacing w:val="-1"/>
        </w:rPr>
        <w:t>服务，构建了世界领先的 </w:t>
      </w:r>
      <w:r>
        <w:rPr>
          <w:rFonts w:ascii="SimSun" w:hAnsi="SimSun" w:eastAsia="SimSun" w:cs="SimSun"/>
          <w:sz w:val="20"/>
          <w:szCs w:val="20"/>
        </w:rPr>
        <w:t>数字金融基础设施。第二，中国数字金融平</w:t>
      </w:r>
      <w:r>
        <w:rPr>
          <w:rFonts w:ascii="SimSun" w:hAnsi="SimSun" w:eastAsia="SimSun" w:cs="SimSun"/>
          <w:sz w:val="20"/>
          <w:szCs w:val="20"/>
          <w:spacing w:val="-1"/>
        </w:rPr>
        <w:t>台有效利用大科技平台的 </w:t>
      </w:r>
      <w:r>
        <w:rPr>
          <w:rFonts w:ascii="SimSun" w:hAnsi="SimSun" w:eastAsia="SimSun" w:cs="SimSun"/>
          <w:sz w:val="20"/>
          <w:szCs w:val="20"/>
        </w:rPr>
        <w:t>海量用户和大数据风控技术，发展出中国特</w:t>
      </w:r>
      <w:r>
        <w:rPr>
          <w:rFonts w:ascii="SimSun" w:hAnsi="SimSun" w:eastAsia="SimSun" w:cs="SimSun"/>
          <w:sz w:val="20"/>
          <w:szCs w:val="20"/>
          <w:spacing w:val="-1"/>
        </w:rPr>
        <w:t>色的大科技信贷模式，在 </w:t>
      </w:r>
      <w:r>
        <w:rPr>
          <w:rFonts w:ascii="SimSun" w:hAnsi="SimSun" w:eastAsia="SimSun" w:cs="SimSun"/>
          <w:sz w:val="20"/>
          <w:szCs w:val="20"/>
          <w:spacing w:val="-1"/>
        </w:rPr>
        <w:t>改善中小微企业和信用白户群体的融资难问题的同时也有利于中国社</w:t>
      </w:r>
      <w:r>
        <w:rPr>
          <w:rFonts w:ascii="SimSun" w:hAnsi="SimSun" w:eastAsia="SimSun" w:cs="SimSun"/>
          <w:sz w:val="20"/>
          <w:szCs w:val="20"/>
          <w:spacing w:val="7"/>
        </w:rPr>
        <w:t xml:space="preserve">  </w:t>
      </w:r>
      <w:r>
        <w:rPr>
          <w:rFonts w:ascii="SimSun" w:hAnsi="SimSun" w:eastAsia="SimSun" w:cs="SimSun"/>
          <w:sz w:val="20"/>
          <w:szCs w:val="20"/>
        </w:rPr>
        <w:t>会信用体系的完善。第三，中国数字金融平台通过</w:t>
      </w:r>
      <w:r>
        <w:rPr>
          <w:rFonts w:ascii="SimSun" w:hAnsi="SimSun" w:eastAsia="SimSun" w:cs="SimSun"/>
          <w:sz w:val="20"/>
          <w:szCs w:val="20"/>
          <w:spacing w:val="-1"/>
        </w:rPr>
        <w:t>与传统金融机构的</w:t>
      </w:r>
    </w:p>
    <w:p>
      <w:pPr>
        <w:spacing w:line="218" w:lineRule="auto"/>
        <w:rPr>
          <w:rFonts w:ascii="SimSun" w:hAnsi="SimSun" w:eastAsia="SimSun" w:cs="SimSun"/>
          <w:sz w:val="20"/>
          <w:szCs w:val="20"/>
        </w:rPr>
      </w:pPr>
      <w:r>
        <w:rPr>
          <w:rFonts w:ascii="SimSun" w:hAnsi="SimSun" w:eastAsia="SimSun" w:cs="SimSun"/>
          <w:sz w:val="20"/>
          <w:szCs w:val="20"/>
          <w:spacing w:val="-2"/>
        </w:rPr>
        <w:t>竞争与合作，促进了传统金融机构的数字化转型。</w:t>
      </w:r>
    </w:p>
    <w:p>
      <w:pPr>
        <w:ind w:right="48" w:firstLine="390"/>
        <w:spacing w:before="126" w:line="332" w:lineRule="auto"/>
        <w:jc w:val="both"/>
        <w:rPr>
          <w:rFonts w:ascii="SimSun" w:hAnsi="SimSun" w:eastAsia="SimSun" w:cs="SimSun"/>
          <w:sz w:val="20"/>
          <w:szCs w:val="20"/>
        </w:rPr>
      </w:pPr>
      <w:r>
        <w:rPr>
          <w:rFonts w:ascii="SimSun" w:hAnsi="SimSun" w:eastAsia="SimSun" w:cs="SimSun"/>
          <w:sz w:val="20"/>
          <w:szCs w:val="20"/>
          <w:spacing w:val="1"/>
        </w:rPr>
        <w:t>数字金融平台兼具科技和金融的双重属性，由此带来了一些潜在</w:t>
      </w:r>
      <w:r>
        <w:rPr>
          <w:rFonts w:ascii="SimSun" w:hAnsi="SimSun" w:eastAsia="SimSun" w:cs="SimSun"/>
          <w:sz w:val="20"/>
          <w:szCs w:val="20"/>
          <w:spacing w:val="2"/>
        </w:rPr>
        <w:t xml:space="preserve"> </w:t>
      </w:r>
      <w:r>
        <w:rPr>
          <w:rFonts w:ascii="SimSun" w:hAnsi="SimSun" w:eastAsia="SimSun" w:cs="SimSun"/>
          <w:sz w:val="20"/>
          <w:szCs w:val="20"/>
        </w:rPr>
        <w:t>的风险和对监管的挑战。中国的数字金融平台在快速发展的过程中出</w:t>
      </w:r>
      <w:r>
        <w:rPr>
          <w:rFonts w:ascii="SimSun" w:hAnsi="SimSun" w:eastAsia="SimSun" w:cs="SimSun"/>
          <w:sz w:val="20"/>
          <w:szCs w:val="20"/>
          <w:spacing w:val="13"/>
        </w:rPr>
        <w:t xml:space="preserve"> </w:t>
      </w:r>
      <w:r>
        <w:rPr>
          <w:rFonts w:ascii="SimSun" w:hAnsi="SimSun" w:eastAsia="SimSun" w:cs="SimSun"/>
          <w:sz w:val="20"/>
          <w:szCs w:val="20"/>
        </w:rPr>
        <w:t>现了合规性问题、与传统监管框架的适配性下降的问题、大数据风控</w:t>
      </w:r>
      <w:r>
        <w:rPr>
          <w:rFonts w:ascii="SimSun" w:hAnsi="SimSun" w:eastAsia="SimSun" w:cs="SimSun"/>
          <w:sz w:val="20"/>
          <w:szCs w:val="20"/>
          <w:spacing w:val="17"/>
        </w:rPr>
        <w:t xml:space="preserve"> </w:t>
      </w:r>
      <w:r>
        <w:rPr>
          <w:rFonts w:ascii="SimSun" w:hAnsi="SimSun" w:eastAsia="SimSun" w:cs="SimSun"/>
          <w:sz w:val="20"/>
          <w:szCs w:val="20"/>
        </w:rPr>
        <w:t>的有效性问题、系统性金融风险问题、金融消费者权益保护问</w:t>
      </w:r>
      <w:r>
        <w:rPr>
          <w:rFonts w:ascii="SimSun" w:hAnsi="SimSun" w:eastAsia="SimSun" w:cs="SimSun"/>
          <w:sz w:val="20"/>
          <w:szCs w:val="20"/>
          <w:spacing w:val="-1"/>
        </w:rPr>
        <w:t>题、金</w:t>
      </w:r>
      <w:r>
        <w:rPr>
          <w:rFonts w:ascii="SimSun" w:hAnsi="SimSun" w:eastAsia="SimSun" w:cs="SimSun"/>
          <w:sz w:val="20"/>
          <w:szCs w:val="20"/>
        </w:rPr>
        <w:t xml:space="preserve"> </w:t>
      </w:r>
      <w:r>
        <w:rPr>
          <w:rFonts w:ascii="SimSun" w:hAnsi="SimSun" w:eastAsia="SimSun" w:cs="SimSun"/>
          <w:sz w:val="20"/>
          <w:szCs w:val="20"/>
        </w:rPr>
        <w:t>融基础设施的准公共性和稳定性问题，以及平台垄断问题与数据治理</w:t>
      </w:r>
      <w:r>
        <w:rPr>
          <w:rFonts w:ascii="SimSun" w:hAnsi="SimSun" w:eastAsia="SimSun" w:cs="SimSun"/>
          <w:sz w:val="20"/>
          <w:szCs w:val="20"/>
          <w:spacing w:val="15"/>
        </w:rPr>
        <w:t xml:space="preserve"> </w:t>
      </w:r>
      <w:r>
        <w:rPr>
          <w:rFonts w:ascii="SimSun" w:hAnsi="SimSun" w:eastAsia="SimSun" w:cs="SimSun"/>
          <w:sz w:val="20"/>
          <w:szCs w:val="20"/>
        </w:rPr>
        <w:t>问题。完善数字金融平台监管的重要挑战是，如何平衡风险和</w:t>
      </w:r>
      <w:r>
        <w:rPr>
          <w:rFonts w:ascii="SimSun" w:hAnsi="SimSun" w:eastAsia="SimSun" w:cs="SimSun"/>
          <w:sz w:val="20"/>
          <w:szCs w:val="20"/>
          <w:spacing w:val="-1"/>
        </w:rPr>
        <w:t>创新之</w:t>
      </w:r>
      <w:r>
        <w:rPr>
          <w:rFonts w:ascii="SimSun" w:hAnsi="SimSun" w:eastAsia="SimSun" w:cs="SimSun"/>
          <w:sz w:val="20"/>
          <w:szCs w:val="20"/>
        </w:rPr>
        <w:t xml:space="preserve"> </w:t>
      </w:r>
      <w:r>
        <w:rPr>
          <w:rFonts w:ascii="SimSun" w:hAnsi="SimSun" w:eastAsia="SimSun" w:cs="SimSun"/>
          <w:sz w:val="20"/>
          <w:szCs w:val="20"/>
        </w:rPr>
        <w:t>间的关系。这既要防范数字金融平台的金融风险和应对金融体系的威 </w:t>
      </w:r>
      <w:r>
        <w:rPr>
          <w:rFonts w:ascii="SimSun" w:hAnsi="SimSun" w:eastAsia="SimSun" w:cs="SimSun"/>
          <w:sz w:val="20"/>
          <w:szCs w:val="20"/>
        </w:rPr>
        <w:t>胁，又要鼓励其发挥创新动能，引领中国金融行</w:t>
      </w:r>
      <w:r>
        <w:rPr>
          <w:rFonts w:ascii="SimSun" w:hAnsi="SimSun" w:eastAsia="SimSun" w:cs="SimSun"/>
          <w:sz w:val="20"/>
          <w:szCs w:val="20"/>
          <w:spacing w:val="-1"/>
        </w:rPr>
        <w:t>业持续创新发展。为</w:t>
      </w:r>
    </w:p>
    <w:p>
      <w:pPr>
        <w:spacing w:line="219" w:lineRule="auto"/>
        <w:rPr>
          <w:rFonts w:ascii="SimSun" w:hAnsi="SimSun" w:eastAsia="SimSun" w:cs="SimSun"/>
          <w:sz w:val="20"/>
          <w:szCs w:val="20"/>
        </w:rPr>
      </w:pPr>
      <w:r>
        <w:rPr>
          <w:rFonts w:ascii="SimSun" w:hAnsi="SimSun" w:eastAsia="SimSun" w:cs="SimSun"/>
          <w:sz w:val="20"/>
          <w:szCs w:val="20"/>
          <w:spacing w:val="7"/>
        </w:rPr>
        <w:t>此，需要建立一个适应数字金融平台和数字金融行业</w:t>
      </w:r>
      <w:r>
        <w:rPr>
          <w:rFonts w:ascii="SimSun" w:hAnsi="SimSun" w:eastAsia="SimSun" w:cs="SimSun"/>
          <w:sz w:val="20"/>
          <w:szCs w:val="20"/>
          <w:spacing w:val="6"/>
        </w:rPr>
        <w:t>发展的监管框</w:t>
      </w:r>
    </w:p>
    <w:p>
      <w:pPr>
        <w:spacing w:line="219" w:lineRule="auto"/>
        <w:sectPr>
          <w:pgSz w:w="7330" w:h="12480"/>
          <w:pgMar w:top="400" w:right="980" w:bottom="400" w:left="280" w:header="0" w:footer="0" w:gutter="0"/>
        </w:sectPr>
        <w:rPr>
          <w:rFonts w:ascii="SimSun" w:hAnsi="SimSun" w:eastAsia="SimSun" w:cs="SimSun"/>
          <w:sz w:val="20"/>
          <w:szCs w:val="20"/>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架，坚持金融支持实体经济的原则，引导数字金融平台的创新方向。</w:t>
      </w:r>
    </w:p>
    <w:p>
      <w:pPr>
        <w:pStyle w:val="BodyText"/>
        <w:spacing w:line="354" w:lineRule="auto"/>
        <w:rPr/>
      </w:pPr>
      <w:r/>
    </w:p>
    <w:p>
      <w:pPr>
        <w:ind w:left="834"/>
        <w:spacing w:before="104" w:line="219" w:lineRule="auto"/>
        <w:rPr>
          <w:rFonts w:ascii="SimSun" w:hAnsi="SimSun" w:eastAsia="SimSun" w:cs="SimSun"/>
          <w:sz w:val="32"/>
          <w:szCs w:val="32"/>
        </w:rPr>
      </w:pPr>
      <w:r>
        <w:rPr>
          <w:rFonts w:ascii="SimSun" w:hAnsi="SimSun" w:eastAsia="SimSun" w:cs="SimSun"/>
          <w:sz w:val="32"/>
          <w:szCs w:val="32"/>
          <w:b/>
          <w:bCs/>
          <w:spacing w:val="-5"/>
        </w:rPr>
        <w:t>中国数字金融平台的发展和特点</w:t>
      </w:r>
    </w:p>
    <w:p>
      <w:pPr>
        <w:pStyle w:val="BodyText"/>
        <w:spacing w:line="268" w:lineRule="auto"/>
        <w:rPr/>
      </w:pPr>
      <w:r/>
    </w:p>
    <w:p>
      <w:pPr>
        <w:ind w:right="41" w:firstLine="449"/>
        <w:spacing w:before="69" w:line="297" w:lineRule="auto"/>
        <w:jc w:val="both"/>
        <w:rPr>
          <w:rFonts w:ascii="SimSun" w:hAnsi="SimSun" w:eastAsia="SimSun" w:cs="SimSun"/>
          <w:sz w:val="21"/>
          <w:szCs w:val="21"/>
        </w:rPr>
      </w:pPr>
      <w:r>
        <w:rPr>
          <w:rFonts w:ascii="SimSun" w:hAnsi="SimSun" w:eastAsia="SimSun" w:cs="SimSun"/>
          <w:sz w:val="21"/>
          <w:szCs w:val="21"/>
          <w:spacing w:val="-11"/>
        </w:rPr>
        <w:t>通过兼顾数字金融的科技属性和金融属性，中国金融业跑步进入</w:t>
      </w:r>
      <w:r>
        <w:rPr>
          <w:rFonts w:ascii="SimSun" w:hAnsi="SimSun" w:eastAsia="SimSun" w:cs="SimSun"/>
          <w:sz w:val="21"/>
          <w:szCs w:val="21"/>
          <w:spacing w:val="15"/>
        </w:rPr>
        <w:t xml:space="preserve"> </w:t>
      </w:r>
      <w:r>
        <w:rPr>
          <w:rFonts w:ascii="SimSun" w:hAnsi="SimSun" w:eastAsia="SimSun" w:cs="SimSun"/>
          <w:sz w:val="21"/>
          <w:szCs w:val="21"/>
          <w:spacing w:val="-11"/>
        </w:rPr>
        <w:t>数字金融时代。在中国加速进入数字金融时代的过程中，数字金融平</w:t>
      </w:r>
      <w:r>
        <w:rPr>
          <w:rFonts w:ascii="SimSun" w:hAnsi="SimSun" w:eastAsia="SimSun" w:cs="SimSun"/>
          <w:sz w:val="21"/>
          <w:szCs w:val="21"/>
          <w:spacing w:val="18"/>
        </w:rPr>
        <w:t xml:space="preserve"> </w:t>
      </w:r>
      <w:r>
        <w:rPr>
          <w:rFonts w:ascii="SimSun" w:hAnsi="SimSun" w:eastAsia="SimSun" w:cs="SimSun"/>
          <w:sz w:val="21"/>
          <w:szCs w:val="21"/>
          <w:spacing w:val="-11"/>
        </w:rPr>
        <w:t>台发挥了重要作用。数字金融平台作为数字技术、平台</w:t>
      </w:r>
      <w:r>
        <w:rPr>
          <w:rFonts w:ascii="SimSun" w:hAnsi="SimSun" w:eastAsia="SimSun" w:cs="SimSun"/>
          <w:sz w:val="21"/>
          <w:szCs w:val="21"/>
          <w:spacing w:val="-12"/>
        </w:rPr>
        <w:t>和金融业务的 </w:t>
      </w:r>
      <w:r>
        <w:rPr>
          <w:rFonts w:ascii="SimSun" w:hAnsi="SimSun" w:eastAsia="SimSun" w:cs="SimSun"/>
          <w:sz w:val="21"/>
          <w:szCs w:val="21"/>
          <w:spacing w:val="-10"/>
        </w:rPr>
        <w:t>综合体，依托数字技术有效降低了金融服务成</w:t>
      </w:r>
      <w:r>
        <w:rPr>
          <w:rFonts w:ascii="SimSun" w:hAnsi="SimSun" w:eastAsia="SimSun" w:cs="SimSun"/>
          <w:sz w:val="21"/>
          <w:szCs w:val="21"/>
          <w:spacing w:val="-11"/>
        </w:rPr>
        <w:t>本，扩大了金融服务范</w:t>
      </w:r>
      <w:r>
        <w:rPr>
          <w:rFonts w:ascii="SimSun" w:hAnsi="SimSun" w:eastAsia="SimSun" w:cs="SimSun"/>
          <w:sz w:val="21"/>
          <w:szCs w:val="21"/>
        </w:rPr>
        <w:t xml:space="preserve"> </w:t>
      </w:r>
      <w:r>
        <w:rPr>
          <w:rFonts w:ascii="SimSun" w:hAnsi="SimSun" w:eastAsia="SimSun" w:cs="SimSun"/>
          <w:sz w:val="21"/>
          <w:szCs w:val="21"/>
          <w:spacing w:val="-11"/>
        </w:rPr>
        <w:t>围，促进了金融产品创新，为中国数字经济的发展注入了新活力。</w:t>
      </w:r>
    </w:p>
    <w:p>
      <w:pPr>
        <w:pStyle w:val="BodyText"/>
        <w:spacing w:line="384"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中国数字金融平台的发展处于国际领先水平</w:t>
      </w:r>
    </w:p>
    <w:p>
      <w:pPr>
        <w:pStyle w:val="BodyText"/>
        <w:spacing w:line="354" w:lineRule="auto"/>
        <w:rPr/>
      </w:pPr>
      <w:r/>
    </w:p>
    <w:p>
      <w:pPr>
        <w:ind w:right="34" w:firstLine="469"/>
        <w:spacing w:before="68" w:line="302" w:lineRule="auto"/>
        <w:jc w:val="both"/>
        <w:rPr>
          <w:rFonts w:ascii="SimSun" w:hAnsi="SimSun" w:eastAsia="SimSun" w:cs="SimSun"/>
          <w:sz w:val="21"/>
          <w:szCs w:val="21"/>
        </w:rPr>
      </w:pPr>
      <w:r>
        <w:rPr>
          <w:rFonts w:ascii="SimSun" w:hAnsi="SimSun" w:eastAsia="SimSun" w:cs="SimSun"/>
          <w:sz w:val="21"/>
          <w:szCs w:val="21"/>
          <w:spacing w:val="-11"/>
        </w:rPr>
        <w:t>借助于中国庞大的市场规模和先进的数字科技水平，</w:t>
      </w:r>
      <w:r>
        <w:rPr>
          <w:rFonts w:ascii="SimSun" w:hAnsi="SimSun" w:eastAsia="SimSun" w:cs="SimSun"/>
          <w:sz w:val="21"/>
          <w:szCs w:val="21"/>
          <w:spacing w:val="-12"/>
        </w:rPr>
        <w:t>中国数字金</w:t>
      </w:r>
      <w:r>
        <w:rPr>
          <w:rFonts w:ascii="SimSun" w:hAnsi="SimSun" w:eastAsia="SimSun" w:cs="SimSun"/>
          <w:sz w:val="21"/>
          <w:szCs w:val="21"/>
        </w:rPr>
        <w:t xml:space="preserve"> </w:t>
      </w:r>
      <w:r>
        <w:rPr>
          <w:rFonts w:ascii="SimSun" w:hAnsi="SimSun" w:eastAsia="SimSun" w:cs="SimSun"/>
          <w:sz w:val="21"/>
          <w:szCs w:val="21"/>
          <w:spacing w:val="-7"/>
        </w:rPr>
        <w:t>融平台的市场竞争力已达到全球领先水平。据H2</w:t>
      </w:r>
      <w:r>
        <w:rPr>
          <w:rFonts w:ascii="SimSun" w:hAnsi="SimSun" w:eastAsia="SimSun" w:cs="SimSun"/>
          <w:sz w:val="21"/>
          <w:szCs w:val="21"/>
          <w:spacing w:val="-8"/>
        </w:rPr>
        <w:t xml:space="preserve"> Ventures and KPMG</w:t>
      </w:r>
      <w:r>
        <w:rPr>
          <w:rFonts w:ascii="SimSun" w:hAnsi="SimSun" w:eastAsia="SimSun" w:cs="SimSun"/>
          <w:sz w:val="21"/>
          <w:szCs w:val="21"/>
        </w:rPr>
        <w:t xml:space="preserve"> </w:t>
      </w:r>
      <w:r>
        <w:rPr>
          <w:rFonts w:ascii="SimSun" w:hAnsi="SimSun" w:eastAsia="SimSun" w:cs="SimSun"/>
          <w:sz w:val="21"/>
          <w:szCs w:val="21"/>
          <w:spacing w:val="-3"/>
        </w:rPr>
        <w:t>公布的全球金融科技100强榜单显示，前11家企业中，</w:t>
      </w:r>
      <w:r>
        <w:rPr>
          <w:rFonts w:ascii="SimSun" w:hAnsi="SimSun" w:eastAsia="SimSun" w:cs="SimSun"/>
          <w:sz w:val="21"/>
          <w:szCs w:val="21"/>
          <w:spacing w:val="-4"/>
        </w:rPr>
        <w:t>中国企业(蚂</w:t>
      </w:r>
      <w:r>
        <w:rPr>
          <w:rFonts w:ascii="SimSun" w:hAnsi="SimSun" w:eastAsia="SimSun" w:cs="SimSun"/>
          <w:sz w:val="21"/>
          <w:szCs w:val="21"/>
        </w:rPr>
        <w:t xml:space="preserve"> </w:t>
      </w:r>
      <w:r>
        <w:rPr>
          <w:rFonts w:ascii="SimSun" w:hAnsi="SimSun" w:eastAsia="SimSun" w:cs="SimSun"/>
          <w:sz w:val="21"/>
          <w:szCs w:val="21"/>
          <w:spacing w:val="7"/>
        </w:rPr>
        <w:t>蚁金服、京东数科、度小满金融、陆金所)占比超过了1/3(见表</w:t>
      </w:r>
      <w:r>
        <w:rPr>
          <w:rFonts w:ascii="SimSun" w:hAnsi="SimSun" w:eastAsia="SimSun" w:cs="SimSun"/>
          <w:sz w:val="21"/>
          <w:szCs w:val="21"/>
          <w:spacing w:val="3"/>
        </w:rPr>
        <w:t xml:space="preserve"> </w:t>
      </w:r>
      <w:r>
        <w:rPr>
          <w:rFonts w:ascii="SimSun" w:hAnsi="SimSun" w:eastAsia="SimSun" w:cs="SimSun"/>
          <w:sz w:val="21"/>
          <w:szCs w:val="21"/>
          <w:spacing w:val="-3"/>
        </w:rPr>
        <w:t>6-1)。此外，2019年阿里巴巴在云计算等金融科技相关领</w:t>
      </w:r>
      <w:r>
        <w:rPr>
          <w:rFonts w:ascii="SimSun" w:hAnsi="SimSun" w:eastAsia="SimSun" w:cs="SimSun"/>
          <w:sz w:val="21"/>
          <w:szCs w:val="21"/>
          <w:spacing w:val="-4"/>
        </w:rPr>
        <w:t>域的亚太</w:t>
      </w:r>
      <w:r>
        <w:rPr>
          <w:rFonts w:ascii="SimSun" w:hAnsi="SimSun" w:eastAsia="SimSun" w:cs="SimSun"/>
          <w:sz w:val="21"/>
          <w:szCs w:val="21"/>
        </w:rPr>
        <w:t xml:space="preserve"> </w:t>
      </w:r>
      <w:r>
        <w:rPr>
          <w:rFonts w:ascii="SimSun" w:hAnsi="SimSun" w:eastAsia="SimSun" w:cs="SimSun"/>
          <w:sz w:val="21"/>
          <w:szCs w:val="21"/>
          <w:spacing w:val="-2"/>
        </w:rPr>
        <w:t>市场份额高达28.2%,并已连续三年位列亚太首位。腾讯依托电商、</w:t>
      </w:r>
      <w:r>
        <w:rPr>
          <w:rFonts w:ascii="SimSun" w:hAnsi="SimSun" w:eastAsia="SimSun" w:cs="SimSun"/>
          <w:sz w:val="21"/>
          <w:szCs w:val="21"/>
          <w:spacing w:val="18"/>
        </w:rPr>
        <w:t xml:space="preserve"> </w:t>
      </w:r>
      <w:r>
        <w:rPr>
          <w:rFonts w:ascii="SimSun" w:hAnsi="SimSun" w:eastAsia="SimSun" w:cs="SimSun"/>
          <w:sz w:val="21"/>
          <w:szCs w:val="21"/>
          <w:spacing w:val="-11"/>
        </w:rPr>
        <w:t>社交、游戏和娱乐等领域，以垂直发展客户并为其提供腾讯云解决方</w:t>
      </w:r>
      <w:r>
        <w:rPr>
          <w:rFonts w:ascii="SimSun" w:hAnsi="SimSun" w:eastAsia="SimSun" w:cs="SimSun"/>
          <w:sz w:val="21"/>
          <w:szCs w:val="21"/>
          <w:spacing w:val="16"/>
        </w:rPr>
        <w:t xml:space="preserve"> </w:t>
      </w:r>
      <w:r>
        <w:rPr>
          <w:rFonts w:ascii="SimSun" w:hAnsi="SimSun" w:eastAsia="SimSun" w:cs="SimSun"/>
          <w:sz w:val="21"/>
          <w:szCs w:val="21"/>
          <w:spacing w:val="-11"/>
        </w:rPr>
        <w:t>案的方式，在金融科技行业也占据了很高的市场份额。</w:t>
      </w:r>
    </w:p>
    <w:p>
      <w:pPr>
        <w:ind w:left="1652"/>
        <w:spacing w:before="308" w:line="221" w:lineRule="auto"/>
        <w:rPr>
          <w:rFonts w:ascii="SimHei" w:hAnsi="SimHei" w:eastAsia="SimHei" w:cs="SimHei"/>
          <w:sz w:val="21"/>
          <w:szCs w:val="21"/>
        </w:rPr>
      </w:pPr>
      <w:r>
        <w:rPr>
          <w:rFonts w:ascii="SimHei" w:hAnsi="SimHei" w:eastAsia="SimHei" w:cs="SimHei"/>
          <w:sz w:val="21"/>
          <w:szCs w:val="21"/>
          <w:b/>
          <w:bCs/>
          <w:spacing w:val="-25"/>
        </w:rPr>
        <w:t>表6-1</w:t>
      </w:r>
      <w:r>
        <w:rPr>
          <w:rFonts w:ascii="SimHei" w:hAnsi="SimHei" w:eastAsia="SimHei" w:cs="SimHei"/>
          <w:sz w:val="21"/>
          <w:szCs w:val="21"/>
          <w:spacing w:val="61"/>
        </w:rPr>
        <w:t xml:space="preserve"> </w:t>
      </w:r>
      <w:r>
        <w:rPr>
          <w:rFonts w:ascii="SimHei" w:hAnsi="SimHei" w:eastAsia="SimHei" w:cs="SimHei"/>
          <w:sz w:val="21"/>
          <w:szCs w:val="21"/>
          <w:b/>
          <w:bCs/>
          <w:spacing w:val="-25"/>
        </w:rPr>
        <w:t>世界范围内的数字金融平台</w:t>
      </w:r>
    </w:p>
    <w:p>
      <w:pPr>
        <w:spacing w:line="59" w:lineRule="exact"/>
        <w:rPr/>
      </w:pPr>
      <w:r/>
    </w:p>
    <w:tbl>
      <w:tblPr>
        <w:tblStyle w:val="TableNormal"/>
        <w:tblW w:w="6060"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44"/>
        <w:gridCol w:w="2891"/>
        <w:gridCol w:w="1825"/>
      </w:tblGrid>
      <w:tr>
        <w:trPr>
          <w:trHeight w:val="373" w:hRule="atLeast"/>
        </w:trPr>
        <w:tc>
          <w:tcPr>
            <w:tcW w:w="1344" w:type="dxa"/>
            <w:vAlign w:val="top"/>
            <w:tcBorders>
              <w:bottom w:val="single" w:color="000000" w:sz="4" w:space="0"/>
              <w:top w:val="single" w:color="000000" w:sz="4" w:space="0"/>
            </w:tcBorders>
          </w:tcPr>
          <w:p>
            <w:pPr>
              <w:pStyle w:val="TableText"/>
              <w:ind w:left="502"/>
              <w:spacing w:before="111" w:line="221" w:lineRule="auto"/>
              <w:rPr>
                <w:sz w:val="16"/>
                <w:szCs w:val="16"/>
              </w:rPr>
            </w:pPr>
            <w:r>
              <w:rPr>
                <w:sz w:val="16"/>
                <w:szCs w:val="16"/>
                <w:b/>
                <w:bCs/>
                <w:spacing w:val="6"/>
              </w:rPr>
              <w:t>排名</w:t>
            </w:r>
          </w:p>
        </w:tc>
        <w:tc>
          <w:tcPr>
            <w:tcW w:w="2891" w:type="dxa"/>
            <w:vAlign w:val="top"/>
            <w:tcBorders>
              <w:bottom w:val="single" w:color="000000" w:sz="4" w:space="0"/>
              <w:top w:val="single" w:color="000000" w:sz="4" w:space="0"/>
            </w:tcBorders>
          </w:tcPr>
          <w:p>
            <w:pPr>
              <w:pStyle w:val="TableText"/>
              <w:ind w:left="1288"/>
              <w:spacing w:before="111" w:line="221" w:lineRule="auto"/>
              <w:rPr>
                <w:sz w:val="16"/>
                <w:szCs w:val="16"/>
              </w:rPr>
            </w:pPr>
            <w:r>
              <w:rPr>
                <w:sz w:val="16"/>
                <w:szCs w:val="16"/>
                <w:b/>
                <w:bCs/>
                <w:spacing w:val="6"/>
              </w:rPr>
              <w:t>公司</w:t>
            </w:r>
          </w:p>
        </w:tc>
        <w:tc>
          <w:tcPr>
            <w:tcW w:w="1825" w:type="dxa"/>
            <w:vAlign w:val="top"/>
            <w:tcBorders>
              <w:bottom w:val="single" w:color="000000" w:sz="4" w:space="0"/>
              <w:top w:val="single" w:color="000000" w:sz="4" w:space="0"/>
            </w:tcBorders>
          </w:tcPr>
          <w:p>
            <w:pPr>
              <w:pStyle w:val="TableText"/>
              <w:ind w:left="767"/>
              <w:spacing w:before="109" w:line="220" w:lineRule="auto"/>
              <w:rPr>
                <w:sz w:val="16"/>
                <w:szCs w:val="16"/>
              </w:rPr>
            </w:pPr>
            <w:r>
              <w:rPr>
                <w:sz w:val="16"/>
                <w:szCs w:val="16"/>
                <w:b/>
                <w:bCs/>
              </w:rPr>
              <w:t>国家</w:t>
            </w:r>
          </w:p>
        </w:tc>
      </w:tr>
      <w:tr>
        <w:trPr>
          <w:trHeight w:val="389" w:hRule="atLeast"/>
        </w:trPr>
        <w:tc>
          <w:tcPr>
            <w:tcW w:w="1344" w:type="dxa"/>
            <w:vAlign w:val="top"/>
            <w:tcBorders>
              <w:top w:val="single" w:color="000000" w:sz="4" w:space="0"/>
            </w:tcBorders>
          </w:tcPr>
          <w:p>
            <w:pPr>
              <w:pStyle w:val="TableText"/>
              <w:ind w:left="619"/>
              <w:spacing w:before="159" w:line="184" w:lineRule="auto"/>
              <w:rPr>
                <w:sz w:val="16"/>
                <w:szCs w:val="16"/>
              </w:rPr>
            </w:pPr>
            <w:r>
              <w:rPr>
                <w:sz w:val="16"/>
                <w:szCs w:val="16"/>
              </w:rPr>
              <w:t>1</w:t>
            </w:r>
          </w:p>
        </w:tc>
        <w:tc>
          <w:tcPr>
            <w:tcW w:w="2891" w:type="dxa"/>
            <w:vAlign w:val="top"/>
            <w:tcBorders>
              <w:top w:val="single" w:color="000000" w:sz="4" w:space="0"/>
            </w:tcBorders>
          </w:tcPr>
          <w:p>
            <w:pPr>
              <w:pStyle w:val="TableText"/>
              <w:ind w:left="525"/>
              <w:spacing w:before="119" w:line="220" w:lineRule="auto"/>
              <w:rPr>
                <w:sz w:val="16"/>
                <w:szCs w:val="16"/>
              </w:rPr>
            </w:pPr>
            <w:r>
              <w:rPr>
                <w:sz w:val="16"/>
                <w:szCs w:val="16"/>
              </w:rPr>
              <w:t>Ant</w:t>
            </w:r>
            <w:r>
              <w:rPr>
                <w:sz w:val="16"/>
                <w:szCs w:val="16"/>
                <w:spacing w:val="5"/>
              </w:rPr>
              <w:t xml:space="preserve"> </w:t>
            </w:r>
            <w:r>
              <w:rPr>
                <w:sz w:val="16"/>
                <w:szCs w:val="16"/>
              </w:rPr>
              <w:t>Financial</w:t>
            </w:r>
            <w:r>
              <w:rPr>
                <w:sz w:val="16"/>
                <w:szCs w:val="16"/>
                <w:spacing w:val="5"/>
              </w:rPr>
              <w:t>(蚂蚁金服)</w:t>
            </w:r>
          </w:p>
        </w:tc>
        <w:tc>
          <w:tcPr>
            <w:tcW w:w="1825" w:type="dxa"/>
            <w:vAlign w:val="top"/>
            <w:tcBorders>
              <w:top w:val="single" w:color="000000" w:sz="4" w:space="0"/>
            </w:tcBorders>
          </w:tcPr>
          <w:p>
            <w:pPr>
              <w:pStyle w:val="TableText"/>
              <w:ind w:left="764"/>
              <w:spacing w:before="119" w:line="220" w:lineRule="auto"/>
              <w:rPr>
                <w:sz w:val="16"/>
                <w:szCs w:val="16"/>
              </w:rPr>
            </w:pPr>
            <w:r>
              <w:rPr>
                <w:sz w:val="16"/>
                <w:szCs w:val="16"/>
                <w:spacing w:val="19"/>
              </w:rPr>
              <w:t>中国</w:t>
            </w:r>
          </w:p>
        </w:tc>
      </w:tr>
      <w:tr>
        <w:trPr>
          <w:trHeight w:val="377" w:hRule="atLeast"/>
        </w:trPr>
        <w:tc>
          <w:tcPr>
            <w:tcW w:w="1344" w:type="dxa"/>
            <w:vAlign w:val="top"/>
          </w:tcPr>
          <w:p>
            <w:pPr>
              <w:pStyle w:val="TableText"/>
              <w:ind w:left="619"/>
              <w:spacing w:before="160" w:line="183" w:lineRule="auto"/>
              <w:rPr>
                <w:sz w:val="16"/>
                <w:szCs w:val="16"/>
              </w:rPr>
            </w:pPr>
            <w:r>
              <w:rPr>
                <w:sz w:val="16"/>
                <w:szCs w:val="16"/>
              </w:rPr>
              <w:t>2</w:t>
            </w:r>
          </w:p>
        </w:tc>
        <w:tc>
          <w:tcPr>
            <w:tcW w:w="2891" w:type="dxa"/>
            <w:vAlign w:val="top"/>
          </w:tcPr>
          <w:p>
            <w:pPr>
              <w:pStyle w:val="TableText"/>
              <w:ind w:left="1286"/>
              <w:spacing w:before="135"/>
              <w:rPr>
                <w:sz w:val="16"/>
                <w:szCs w:val="16"/>
              </w:rPr>
            </w:pPr>
            <w:r>
              <w:rPr>
                <w:sz w:val="16"/>
                <w:szCs w:val="16"/>
                <w:spacing w:val="-1"/>
              </w:rPr>
              <w:t>Grab</w:t>
            </w:r>
          </w:p>
        </w:tc>
        <w:tc>
          <w:tcPr>
            <w:tcW w:w="1825" w:type="dxa"/>
            <w:vAlign w:val="top"/>
          </w:tcPr>
          <w:p>
            <w:pPr>
              <w:pStyle w:val="TableText"/>
              <w:ind w:left="684"/>
              <w:spacing w:before="120" w:line="220" w:lineRule="auto"/>
              <w:rPr>
                <w:sz w:val="16"/>
                <w:szCs w:val="16"/>
              </w:rPr>
            </w:pPr>
            <w:r>
              <w:rPr>
                <w:sz w:val="16"/>
                <w:szCs w:val="16"/>
                <w:spacing w:val="-2"/>
              </w:rPr>
              <w:t>新加坡</w:t>
            </w:r>
          </w:p>
        </w:tc>
      </w:tr>
      <w:tr>
        <w:trPr>
          <w:trHeight w:val="373" w:hRule="atLeast"/>
        </w:trPr>
        <w:tc>
          <w:tcPr>
            <w:tcW w:w="1344" w:type="dxa"/>
            <w:vAlign w:val="top"/>
          </w:tcPr>
          <w:p>
            <w:pPr>
              <w:pStyle w:val="TableText"/>
              <w:ind w:left="619"/>
              <w:spacing w:before="153" w:line="183" w:lineRule="auto"/>
              <w:rPr>
                <w:sz w:val="16"/>
                <w:szCs w:val="16"/>
              </w:rPr>
            </w:pPr>
            <w:r>
              <w:rPr>
                <w:sz w:val="16"/>
                <w:szCs w:val="16"/>
              </w:rPr>
              <w:t>3</w:t>
            </w:r>
          </w:p>
        </w:tc>
        <w:tc>
          <w:tcPr>
            <w:tcW w:w="2891" w:type="dxa"/>
            <w:vAlign w:val="top"/>
          </w:tcPr>
          <w:p>
            <w:pPr>
              <w:pStyle w:val="TableText"/>
              <w:ind w:left="645"/>
              <w:spacing w:before="111" w:line="218" w:lineRule="auto"/>
              <w:rPr>
                <w:sz w:val="16"/>
                <w:szCs w:val="16"/>
              </w:rPr>
            </w:pPr>
            <w:r>
              <w:rPr>
                <w:sz w:val="16"/>
                <w:szCs w:val="16"/>
              </w:rPr>
              <w:t>JD</w:t>
            </w:r>
            <w:r>
              <w:rPr>
                <w:sz w:val="16"/>
                <w:szCs w:val="16"/>
                <w:spacing w:val="4"/>
              </w:rPr>
              <w:t xml:space="preserve"> </w:t>
            </w:r>
            <w:r>
              <w:rPr>
                <w:sz w:val="16"/>
                <w:szCs w:val="16"/>
              </w:rPr>
              <w:t>Finance</w:t>
            </w:r>
            <w:r>
              <w:rPr>
                <w:sz w:val="16"/>
                <w:szCs w:val="16"/>
                <w:spacing w:val="4"/>
              </w:rPr>
              <w:t>(京东数科)</w:t>
            </w:r>
          </w:p>
        </w:tc>
        <w:tc>
          <w:tcPr>
            <w:tcW w:w="1825" w:type="dxa"/>
            <w:vAlign w:val="top"/>
          </w:tcPr>
          <w:p>
            <w:pPr>
              <w:pStyle w:val="TableText"/>
              <w:ind w:left="764"/>
              <w:spacing w:before="113" w:line="220" w:lineRule="auto"/>
              <w:rPr>
                <w:sz w:val="16"/>
                <w:szCs w:val="16"/>
              </w:rPr>
            </w:pPr>
            <w:r>
              <w:rPr>
                <w:sz w:val="16"/>
                <w:szCs w:val="16"/>
                <w:spacing w:val="19"/>
              </w:rPr>
              <w:t>中国</w:t>
            </w:r>
          </w:p>
        </w:tc>
      </w:tr>
      <w:tr>
        <w:trPr>
          <w:trHeight w:val="378" w:hRule="atLeast"/>
        </w:trPr>
        <w:tc>
          <w:tcPr>
            <w:tcW w:w="1344" w:type="dxa"/>
            <w:vAlign w:val="top"/>
            <w:tcBorders>
              <w:bottom w:val="single" w:color="000000" w:sz="4" w:space="0"/>
            </w:tcBorders>
          </w:tcPr>
          <w:p>
            <w:pPr>
              <w:pStyle w:val="TableText"/>
              <w:ind w:left="619"/>
              <w:spacing w:before="160" w:line="183" w:lineRule="auto"/>
              <w:rPr>
                <w:sz w:val="16"/>
                <w:szCs w:val="16"/>
              </w:rPr>
            </w:pPr>
            <w:r>
              <w:rPr>
                <w:sz w:val="16"/>
                <w:szCs w:val="16"/>
              </w:rPr>
              <w:t>4</w:t>
            </w:r>
          </w:p>
        </w:tc>
        <w:tc>
          <w:tcPr>
            <w:tcW w:w="2891" w:type="dxa"/>
            <w:vAlign w:val="top"/>
            <w:tcBorders>
              <w:bottom w:val="single" w:color="000000" w:sz="4" w:space="0"/>
            </w:tcBorders>
          </w:tcPr>
          <w:p>
            <w:pPr>
              <w:pStyle w:val="TableText"/>
              <w:ind w:left="1245"/>
              <w:spacing w:before="118" w:line="218" w:lineRule="auto"/>
              <w:rPr>
                <w:sz w:val="16"/>
                <w:szCs w:val="16"/>
              </w:rPr>
            </w:pPr>
            <w:r>
              <w:rPr>
                <w:sz w:val="16"/>
                <w:szCs w:val="16"/>
                <w:spacing w:val="-1"/>
              </w:rPr>
              <w:t>GoJek</w:t>
            </w:r>
          </w:p>
        </w:tc>
        <w:tc>
          <w:tcPr>
            <w:tcW w:w="1825" w:type="dxa"/>
            <w:vAlign w:val="top"/>
            <w:tcBorders>
              <w:bottom w:val="single" w:color="000000" w:sz="4" w:space="0"/>
            </w:tcBorders>
          </w:tcPr>
          <w:p>
            <w:pPr>
              <w:pStyle w:val="TableText"/>
              <w:ind w:left="524"/>
              <w:spacing w:before="119" w:line="219" w:lineRule="auto"/>
              <w:rPr>
                <w:sz w:val="16"/>
                <w:szCs w:val="16"/>
              </w:rPr>
            </w:pPr>
            <w:r>
              <w:rPr>
                <w:sz w:val="16"/>
                <w:szCs w:val="16"/>
                <w:spacing w:val="1"/>
              </w:rPr>
              <w:t>印度尼西亚</w:t>
            </w:r>
          </w:p>
        </w:tc>
      </w:tr>
    </w:tbl>
    <w:p>
      <w:pPr>
        <w:pStyle w:val="BodyText"/>
        <w:rPr/>
      </w:pPr>
      <w:r/>
    </w:p>
    <w:p>
      <w:pPr>
        <w:sectPr>
          <w:headerReference w:type="default" r:id="rId252"/>
          <w:pgSz w:w="7330" w:h="12480"/>
          <w:pgMar w:top="537" w:right="479" w:bottom="400" w:left="770" w:header="375" w:footer="0" w:gutter="0"/>
        </w:sectPr>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right="26"/>
        <w:spacing w:before="68" w:line="220" w:lineRule="auto"/>
        <w:jc w:val="right"/>
        <w:rPr>
          <w:rFonts w:ascii="SimSun" w:hAnsi="SimSun" w:eastAsia="SimSun" w:cs="SimSun"/>
          <w:sz w:val="21"/>
          <w:szCs w:val="21"/>
        </w:rPr>
      </w:pPr>
      <w:r>
        <w:rPr>
          <w:rFonts w:ascii="SimSun" w:hAnsi="SimSun" w:eastAsia="SimSun" w:cs="SimSun"/>
          <w:sz w:val="21"/>
          <w:szCs w:val="21"/>
          <w:spacing w:val="-17"/>
          <w:w w:val="97"/>
        </w:rPr>
        <w:t>(续表)</w:t>
      </w:r>
    </w:p>
    <w:p>
      <w:pPr>
        <w:spacing w:line="25" w:lineRule="exact"/>
        <w:rPr/>
      </w:pPr>
      <w:r/>
    </w:p>
    <w:tbl>
      <w:tblPr>
        <w:tblStyle w:val="TableNormal"/>
        <w:tblW w:w="604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39"/>
        <w:gridCol w:w="3491"/>
        <w:gridCol w:w="1419"/>
      </w:tblGrid>
      <w:tr>
        <w:trPr>
          <w:trHeight w:val="384" w:hRule="atLeast"/>
        </w:trPr>
        <w:tc>
          <w:tcPr>
            <w:tcW w:w="1139" w:type="dxa"/>
            <w:vAlign w:val="top"/>
            <w:tcBorders>
              <w:bottom w:val="single" w:color="000000" w:sz="4" w:space="0"/>
              <w:top w:val="single" w:color="000000" w:sz="4" w:space="0"/>
            </w:tcBorders>
          </w:tcPr>
          <w:p>
            <w:pPr>
              <w:pStyle w:val="TableText"/>
              <w:ind w:left="402"/>
              <w:spacing w:before="151" w:line="221" w:lineRule="auto"/>
              <w:rPr>
                <w:sz w:val="16"/>
                <w:szCs w:val="16"/>
              </w:rPr>
            </w:pPr>
            <w:r>
              <w:rPr>
                <w:sz w:val="16"/>
                <w:szCs w:val="16"/>
                <w:b/>
                <w:bCs/>
                <w:spacing w:val="6"/>
              </w:rPr>
              <w:t>排名</w:t>
            </w:r>
          </w:p>
        </w:tc>
        <w:tc>
          <w:tcPr>
            <w:tcW w:w="3491" w:type="dxa"/>
            <w:vAlign w:val="top"/>
            <w:tcBorders>
              <w:bottom w:val="single" w:color="000000" w:sz="4" w:space="0"/>
              <w:top w:val="single" w:color="000000" w:sz="4" w:space="0"/>
            </w:tcBorders>
          </w:tcPr>
          <w:p>
            <w:pPr>
              <w:pStyle w:val="TableText"/>
              <w:ind w:left="1543"/>
              <w:spacing w:before="151" w:line="221" w:lineRule="auto"/>
              <w:rPr>
                <w:sz w:val="16"/>
                <w:szCs w:val="16"/>
              </w:rPr>
            </w:pPr>
            <w:r>
              <w:rPr>
                <w:sz w:val="16"/>
                <w:szCs w:val="16"/>
                <w:b/>
                <w:bCs/>
                <w:spacing w:val="7"/>
              </w:rPr>
              <w:t>公司</w:t>
            </w:r>
          </w:p>
        </w:tc>
        <w:tc>
          <w:tcPr>
            <w:tcW w:w="1419" w:type="dxa"/>
            <w:vAlign w:val="top"/>
            <w:tcBorders>
              <w:bottom w:val="single" w:color="000000" w:sz="4" w:space="0"/>
              <w:top w:val="single" w:color="000000" w:sz="4" w:space="0"/>
            </w:tcBorders>
          </w:tcPr>
          <w:p>
            <w:pPr>
              <w:pStyle w:val="TableText"/>
              <w:ind w:left="512"/>
              <w:spacing w:before="159" w:line="220" w:lineRule="auto"/>
              <w:rPr>
                <w:sz w:val="16"/>
                <w:szCs w:val="16"/>
              </w:rPr>
            </w:pPr>
            <w:r>
              <w:rPr>
                <w:sz w:val="16"/>
                <w:szCs w:val="16"/>
                <w:b/>
                <w:bCs/>
              </w:rPr>
              <w:t>国家</w:t>
            </w:r>
          </w:p>
        </w:tc>
      </w:tr>
      <w:tr>
        <w:trPr>
          <w:trHeight w:val="379" w:hRule="atLeast"/>
        </w:trPr>
        <w:tc>
          <w:tcPr>
            <w:tcW w:w="1139" w:type="dxa"/>
            <w:vAlign w:val="top"/>
            <w:tcBorders>
              <w:top w:val="single" w:color="000000" w:sz="4" w:space="0"/>
            </w:tcBorders>
          </w:tcPr>
          <w:p>
            <w:pPr>
              <w:pStyle w:val="TableText"/>
              <w:ind w:left="519"/>
              <w:spacing w:before="159" w:line="182" w:lineRule="auto"/>
              <w:rPr>
                <w:sz w:val="16"/>
                <w:szCs w:val="16"/>
              </w:rPr>
            </w:pPr>
            <w:r>
              <w:rPr>
                <w:sz w:val="16"/>
                <w:szCs w:val="16"/>
              </w:rPr>
              <w:t>5</w:t>
            </w:r>
          </w:p>
        </w:tc>
        <w:tc>
          <w:tcPr>
            <w:tcW w:w="3491" w:type="dxa"/>
            <w:vAlign w:val="top"/>
            <w:tcBorders>
              <w:top w:val="single" w:color="000000" w:sz="4" w:space="0"/>
            </w:tcBorders>
          </w:tcPr>
          <w:p>
            <w:pPr>
              <w:pStyle w:val="TableText"/>
              <w:ind w:left="1500"/>
              <w:spacing w:before="139" w:line="182" w:lineRule="auto"/>
              <w:rPr>
                <w:sz w:val="16"/>
                <w:szCs w:val="16"/>
              </w:rPr>
            </w:pPr>
            <w:r>
              <w:rPr>
                <w:sz w:val="16"/>
                <w:szCs w:val="16"/>
                <w:spacing w:val="-1"/>
              </w:rPr>
              <w:t>Paytm</w:t>
            </w:r>
          </w:p>
        </w:tc>
        <w:tc>
          <w:tcPr>
            <w:tcW w:w="1419" w:type="dxa"/>
            <w:vAlign w:val="top"/>
            <w:tcBorders>
              <w:top w:val="single" w:color="000000" w:sz="4" w:space="0"/>
            </w:tcBorders>
          </w:tcPr>
          <w:p>
            <w:pPr>
              <w:pStyle w:val="TableText"/>
              <w:ind w:left="510"/>
              <w:spacing w:before="117" w:line="219" w:lineRule="auto"/>
              <w:rPr>
                <w:sz w:val="16"/>
                <w:szCs w:val="16"/>
              </w:rPr>
            </w:pPr>
            <w:r>
              <w:rPr>
                <w:sz w:val="16"/>
                <w:szCs w:val="16"/>
                <w:spacing w:val="4"/>
              </w:rPr>
              <w:t>印度</w:t>
            </w:r>
          </w:p>
        </w:tc>
      </w:tr>
      <w:tr>
        <w:trPr>
          <w:trHeight w:val="369" w:hRule="atLeast"/>
        </w:trPr>
        <w:tc>
          <w:tcPr>
            <w:tcW w:w="1139" w:type="dxa"/>
            <w:vAlign w:val="top"/>
          </w:tcPr>
          <w:p>
            <w:pPr>
              <w:pStyle w:val="TableText"/>
              <w:ind w:left="519"/>
              <w:spacing w:before="149" w:line="183" w:lineRule="auto"/>
              <w:rPr>
                <w:sz w:val="16"/>
                <w:szCs w:val="16"/>
              </w:rPr>
            </w:pPr>
            <w:r>
              <w:rPr>
                <w:sz w:val="16"/>
                <w:szCs w:val="16"/>
              </w:rPr>
              <w:t>6</w:t>
            </w:r>
          </w:p>
        </w:tc>
        <w:tc>
          <w:tcPr>
            <w:tcW w:w="3491" w:type="dxa"/>
            <w:vAlign w:val="top"/>
          </w:tcPr>
          <w:p>
            <w:pPr>
              <w:pStyle w:val="TableText"/>
              <w:ind w:left="420"/>
              <w:spacing w:before="108" w:line="219" w:lineRule="auto"/>
              <w:rPr>
                <w:sz w:val="16"/>
                <w:szCs w:val="16"/>
              </w:rPr>
            </w:pPr>
            <w:r>
              <w:rPr>
                <w:sz w:val="16"/>
                <w:szCs w:val="16"/>
              </w:rPr>
              <w:t>Du</w:t>
            </w:r>
            <w:r>
              <w:rPr>
                <w:sz w:val="16"/>
                <w:szCs w:val="16"/>
                <w:spacing w:val="3"/>
              </w:rPr>
              <w:t xml:space="preserve"> </w:t>
            </w:r>
            <w:r>
              <w:rPr>
                <w:sz w:val="16"/>
                <w:szCs w:val="16"/>
              </w:rPr>
              <w:t>Xiaoman</w:t>
            </w:r>
            <w:r>
              <w:rPr>
                <w:sz w:val="16"/>
                <w:szCs w:val="16"/>
                <w:spacing w:val="3"/>
              </w:rPr>
              <w:t xml:space="preserve"> </w:t>
            </w:r>
            <w:r>
              <w:rPr>
                <w:sz w:val="16"/>
                <w:szCs w:val="16"/>
              </w:rPr>
              <w:t>Financial</w:t>
            </w:r>
            <w:r>
              <w:rPr>
                <w:sz w:val="16"/>
                <w:szCs w:val="16"/>
                <w:spacing w:val="3"/>
              </w:rPr>
              <w:t>(度小满金融)</w:t>
            </w:r>
          </w:p>
        </w:tc>
        <w:tc>
          <w:tcPr>
            <w:tcW w:w="1419" w:type="dxa"/>
            <w:vAlign w:val="top"/>
          </w:tcPr>
          <w:p>
            <w:pPr>
              <w:pStyle w:val="TableText"/>
              <w:ind w:left="510"/>
              <w:spacing w:before="109" w:line="220" w:lineRule="auto"/>
              <w:rPr>
                <w:sz w:val="16"/>
                <w:szCs w:val="16"/>
              </w:rPr>
            </w:pPr>
            <w:r>
              <w:rPr>
                <w:sz w:val="16"/>
                <w:szCs w:val="16"/>
                <w:spacing w:val="19"/>
              </w:rPr>
              <w:t>中国</w:t>
            </w:r>
          </w:p>
        </w:tc>
      </w:tr>
      <w:tr>
        <w:trPr>
          <w:trHeight w:val="373" w:hRule="atLeast"/>
        </w:trPr>
        <w:tc>
          <w:tcPr>
            <w:tcW w:w="1139" w:type="dxa"/>
            <w:vAlign w:val="top"/>
          </w:tcPr>
          <w:p>
            <w:pPr>
              <w:pStyle w:val="TableText"/>
              <w:ind w:left="519"/>
              <w:spacing w:before="151" w:line="182" w:lineRule="auto"/>
              <w:rPr>
                <w:sz w:val="16"/>
                <w:szCs w:val="16"/>
              </w:rPr>
            </w:pPr>
            <w:r>
              <w:rPr>
                <w:sz w:val="16"/>
                <w:szCs w:val="16"/>
              </w:rPr>
              <w:t>7</w:t>
            </w:r>
          </w:p>
        </w:tc>
        <w:tc>
          <w:tcPr>
            <w:tcW w:w="3491" w:type="dxa"/>
            <w:vAlign w:val="top"/>
          </w:tcPr>
          <w:p>
            <w:pPr>
              <w:pStyle w:val="TableText"/>
              <w:ind w:left="1421"/>
              <w:spacing w:before="130" w:line="183" w:lineRule="auto"/>
              <w:rPr>
                <w:sz w:val="16"/>
                <w:szCs w:val="16"/>
              </w:rPr>
            </w:pPr>
            <w:r>
              <w:rPr>
                <w:sz w:val="16"/>
                <w:szCs w:val="16"/>
                <w:spacing w:val="-1"/>
              </w:rPr>
              <w:t>Compass</w:t>
            </w:r>
          </w:p>
        </w:tc>
        <w:tc>
          <w:tcPr>
            <w:tcW w:w="1419" w:type="dxa"/>
            <w:vAlign w:val="top"/>
          </w:tcPr>
          <w:p>
            <w:pPr>
              <w:pStyle w:val="TableText"/>
              <w:ind w:left="510"/>
              <w:spacing w:before="110" w:line="220" w:lineRule="auto"/>
              <w:rPr>
                <w:sz w:val="16"/>
                <w:szCs w:val="16"/>
              </w:rPr>
            </w:pPr>
            <w:r>
              <w:rPr>
                <w:sz w:val="16"/>
                <w:szCs w:val="16"/>
                <w:spacing w:val="8"/>
              </w:rPr>
              <w:t>美国</w:t>
            </w:r>
          </w:p>
        </w:tc>
      </w:tr>
      <w:tr>
        <w:trPr>
          <w:trHeight w:val="379" w:hRule="atLeast"/>
        </w:trPr>
        <w:tc>
          <w:tcPr>
            <w:tcW w:w="1139" w:type="dxa"/>
            <w:vAlign w:val="top"/>
          </w:tcPr>
          <w:p>
            <w:pPr>
              <w:pStyle w:val="TableText"/>
              <w:ind w:left="519"/>
              <w:spacing w:before="157" w:line="183" w:lineRule="auto"/>
              <w:rPr>
                <w:sz w:val="16"/>
                <w:szCs w:val="16"/>
              </w:rPr>
            </w:pPr>
            <w:r>
              <w:rPr>
                <w:sz w:val="16"/>
                <w:szCs w:val="16"/>
              </w:rPr>
              <w:t>8</w:t>
            </w:r>
          </w:p>
        </w:tc>
        <w:tc>
          <w:tcPr>
            <w:tcW w:w="3491" w:type="dxa"/>
            <w:vAlign w:val="top"/>
          </w:tcPr>
          <w:p>
            <w:pPr>
              <w:pStyle w:val="TableText"/>
              <w:ind w:left="1581"/>
              <w:spacing w:before="132"/>
              <w:rPr>
                <w:sz w:val="16"/>
                <w:szCs w:val="16"/>
              </w:rPr>
            </w:pPr>
            <w:r>
              <w:rPr>
                <w:sz w:val="16"/>
                <w:szCs w:val="16"/>
                <w:spacing w:val="-2"/>
              </w:rPr>
              <w:t>Ola</w:t>
            </w:r>
          </w:p>
        </w:tc>
        <w:tc>
          <w:tcPr>
            <w:tcW w:w="1419" w:type="dxa"/>
            <w:vAlign w:val="top"/>
          </w:tcPr>
          <w:p>
            <w:pPr>
              <w:pStyle w:val="TableText"/>
              <w:ind w:left="510"/>
              <w:spacing w:before="116" w:line="219" w:lineRule="auto"/>
              <w:rPr>
                <w:sz w:val="16"/>
                <w:szCs w:val="16"/>
              </w:rPr>
            </w:pPr>
            <w:r>
              <w:rPr>
                <w:sz w:val="16"/>
                <w:szCs w:val="16"/>
                <w:spacing w:val="4"/>
              </w:rPr>
              <w:t>印度</w:t>
            </w:r>
          </w:p>
        </w:tc>
      </w:tr>
      <w:tr>
        <w:trPr>
          <w:trHeight w:val="380" w:hRule="atLeast"/>
        </w:trPr>
        <w:tc>
          <w:tcPr>
            <w:tcW w:w="1139" w:type="dxa"/>
            <w:vAlign w:val="top"/>
          </w:tcPr>
          <w:p>
            <w:pPr>
              <w:pStyle w:val="TableText"/>
              <w:ind w:left="519"/>
              <w:spacing w:before="158" w:line="183" w:lineRule="auto"/>
              <w:rPr>
                <w:sz w:val="16"/>
                <w:szCs w:val="16"/>
              </w:rPr>
            </w:pPr>
            <w:r>
              <w:rPr>
                <w:sz w:val="16"/>
                <w:szCs w:val="16"/>
              </w:rPr>
              <w:t>9</w:t>
            </w:r>
          </w:p>
        </w:tc>
        <w:tc>
          <w:tcPr>
            <w:tcW w:w="3491" w:type="dxa"/>
            <w:vAlign w:val="top"/>
          </w:tcPr>
          <w:p>
            <w:pPr>
              <w:pStyle w:val="TableText"/>
              <w:ind w:left="1380"/>
              <w:spacing w:before="113" w:line="214" w:lineRule="auto"/>
              <w:rPr>
                <w:sz w:val="16"/>
                <w:szCs w:val="16"/>
              </w:rPr>
            </w:pPr>
            <w:r>
              <w:rPr>
                <w:sz w:val="16"/>
                <w:szCs w:val="16"/>
                <w:spacing w:val="-1"/>
              </w:rPr>
              <w:t>Opendoor</w:t>
            </w:r>
          </w:p>
        </w:tc>
        <w:tc>
          <w:tcPr>
            <w:tcW w:w="1419" w:type="dxa"/>
            <w:vAlign w:val="top"/>
          </w:tcPr>
          <w:p>
            <w:pPr>
              <w:pStyle w:val="TableText"/>
              <w:ind w:left="510"/>
              <w:spacing w:before="118" w:line="220" w:lineRule="auto"/>
              <w:rPr>
                <w:sz w:val="16"/>
                <w:szCs w:val="16"/>
              </w:rPr>
            </w:pPr>
            <w:r>
              <w:rPr>
                <w:sz w:val="16"/>
                <w:szCs w:val="16"/>
                <w:spacing w:val="8"/>
              </w:rPr>
              <w:t>美国</w:t>
            </w:r>
          </w:p>
        </w:tc>
      </w:tr>
      <w:tr>
        <w:trPr>
          <w:trHeight w:val="373" w:hRule="atLeast"/>
        </w:trPr>
        <w:tc>
          <w:tcPr>
            <w:tcW w:w="1139" w:type="dxa"/>
            <w:vAlign w:val="top"/>
          </w:tcPr>
          <w:p>
            <w:pPr>
              <w:pStyle w:val="TableText"/>
              <w:ind w:left="479"/>
              <w:spacing w:before="158" w:line="184" w:lineRule="auto"/>
              <w:rPr>
                <w:sz w:val="16"/>
                <w:szCs w:val="16"/>
              </w:rPr>
            </w:pPr>
            <w:r>
              <w:rPr>
                <w:sz w:val="16"/>
                <w:szCs w:val="16"/>
                <w:spacing w:val="-5"/>
              </w:rPr>
              <w:t>10</w:t>
            </w:r>
          </w:p>
        </w:tc>
        <w:tc>
          <w:tcPr>
            <w:tcW w:w="3491" w:type="dxa"/>
            <w:vAlign w:val="top"/>
          </w:tcPr>
          <w:p>
            <w:pPr>
              <w:pStyle w:val="TableText"/>
              <w:ind w:left="1380"/>
              <w:spacing w:before="133"/>
              <w:rPr>
                <w:sz w:val="16"/>
                <w:szCs w:val="16"/>
              </w:rPr>
            </w:pPr>
            <w:r>
              <w:rPr>
                <w:sz w:val="16"/>
                <w:szCs w:val="16"/>
                <w:spacing w:val="-1"/>
              </w:rPr>
              <w:t>OakNorth</w:t>
            </w:r>
          </w:p>
        </w:tc>
        <w:tc>
          <w:tcPr>
            <w:tcW w:w="1419" w:type="dxa"/>
            <w:vAlign w:val="top"/>
          </w:tcPr>
          <w:p>
            <w:pPr>
              <w:pStyle w:val="TableText"/>
              <w:ind w:left="510"/>
              <w:spacing w:before="118" w:line="220" w:lineRule="auto"/>
              <w:rPr>
                <w:sz w:val="16"/>
                <w:szCs w:val="16"/>
              </w:rPr>
            </w:pPr>
            <w:r>
              <w:rPr>
                <w:sz w:val="16"/>
                <w:szCs w:val="16"/>
                <w:spacing w:val="8"/>
              </w:rPr>
              <w:t>英国</w:t>
            </w:r>
          </w:p>
        </w:tc>
      </w:tr>
      <w:tr>
        <w:trPr>
          <w:trHeight w:val="373" w:hRule="atLeast"/>
        </w:trPr>
        <w:tc>
          <w:tcPr>
            <w:tcW w:w="1139" w:type="dxa"/>
            <w:vAlign w:val="top"/>
            <w:tcBorders>
              <w:bottom w:val="single" w:color="000000" w:sz="4" w:space="0"/>
            </w:tcBorders>
          </w:tcPr>
          <w:p>
            <w:pPr>
              <w:pStyle w:val="TableText"/>
              <w:ind w:left="479"/>
              <w:spacing w:before="154" w:line="184" w:lineRule="auto"/>
              <w:rPr>
                <w:sz w:val="16"/>
                <w:szCs w:val="16"/>
              </w:rPr>
            </w:pPr>
            <w:r>
              <w:rPr>
                <w:sz w:val="16"/>
                <w:szCs w:val="16"/>
                <w:spacing w:val="-5"/>
              </w:rPr>
              <w:t>11</w:t>
            </w:r>
          </w:p>
        </w:tc>
        <w:tc>
          <w:tcPr>
            <w:tcW w:w="3491" w:type="dxa"/>
            <w:vAlign w:val="top"/>
            <w:tcBorders>
              <w:bottom w:val="single" w:color="000000" w:sz="4" w:space="0"/>
            </w:tcBorders>
          </w:tcPr>
          <w:p>
            <w:pPr>
              <w:pStyle w:val="TableText"/>
              <w:ind w:left="1181"/>
              <w:spacing w:before="115" w:line="220" w:lineRule="auto"/>
              <w:rPr>
                <w:sz w:val="16"/>
                <w:szCs w:val="16"/>
              </w:rPr>
            </w:pPr>
            <w:r>
              <w:rPr>
                <w:sz w:val="16"/>
                <w:szCs w:val="16"/>
              </w:rPr>
              <w:t>Lufax</w:t>
            </w:r>
            <w:r>
              <w:rPr>
                <w:sz w:val="16"/>
                <w:szCs w:val="16"/>
                <w:spacing w:val="7"/>
              </w:rPr>
              <w:t>(陆金所)</w:t>
            </w:r>
          </w:p>
        </w:tc>
        <w:tc>
          <w:tcPr>
            <w:tcW w:w="1419" w:type="dxa"/>
            <w:vAlign w:val="top"/>
            <w:tcBorders>
              <w:bottom w:val="single" w:color="000000" w:sz="4" w:space="0"/>
            </w:tcBorders>
          </w:tcPr>
          <w:p>
            <w:pPr>
              <w:pStyle w:val="TableText"/>
              <w:ind w:left="510"/>
              <w:spacing w:before="115" w:line="220" w:lineRule="auto"/>
              <w:rPr>
                <w:sz w:val="16"/>
                <w:szCs w:val="16"/>
              </w:rPr>
            </w:pPr>
            <w:r>
              <w:rPr>
                <w:sz w:val="16"/>
                <w:szCs w:val="16"/>
                <w:spacing w:val="19"/>
              </w:rPr>
              <w:t>中国</w:t>
            </w:r>
          </w:p>
        </w:tc>
      </w:tr>
    </w:tbl>
    <w:p>
      <w:pPr>
        <w:ind w:left="350"/>
        <w:spacing w:before="91" w:line="215" w:lineRule="auto"/>
        <w:rPr>
          <w:rFonts w:ascii="SimSun" w:hAnsi="SimSun" w:eastAsia="SimSun" w:cs="SimSun"/>
          <w:sz w:val="16"/>
          <w:szCs w:val="16"/>
        </w:rPr>
      </w:pPr>
      <w:r>
        <w:rPr>
          <w:rFonts w:ascii="KaiTi" w:hAnsi="KaiTi" w:eastAsia="KaiTi" w:cs="KaiTi"/>
          <w:sz w:val="16"/>
          <w:szCs w:val="16"/>
          <w:spacing w:val="-1"/>
        </w:rPr>
        <w:t>资料来源：</w:t>
      </w:r>
      <w:r>
        <w:rPr>
          <w:rFonts w:ascii="Times New Roman" w:hAnsi="Times New Roman" w:eastAsia="Times New Roman" w:cs="Times New Roman"/>
          <w:sz w:val="16"/>
          <w:szCs w:val="16"/>
          <w:spacing w:val="-1"/>
        </w:rPr>
        <w:t>H2</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spacing w:val="-1"/>
        </w:rPr>
        <w:t>Ventures</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KPMG,2019</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1"/>
        </w:rPr>
        <w:t>Fintech100</w:t>
      </w:r>
      <w:r>
        <w:rPr>
          <w:rFonts w:ascii="SimSun" w:hAnsi="SimSun" w:eastAsia="SimSun" w:cs="SimSun"/>
          <w:sz w:val="16"/>
          <w:szCs w:val="16"/>
          <w:spacing w:val="-1"/>
        </w:rPr>
        <w:t>。</w:t>
      </w:r>
    </w:p>
    <w:p>
      <w:pPr>
        <w:pStyle w:val="BodyText"/>
        <w:spacing w:line="321" w:lineRule="auto"/>
        <w:rPr/>
      </w:pPr>
      <w:r/>
    </w:p>
    <w:p>
      <w:pPr>
        <w:ind w:left="40" w:firstLine="409"/>
        <w:spacing w:before="68" w:line="308" w:lineRule="auto"/>
        <w:jc w:val="both"/>
        <w:rPr>
          <w:rFonts w:ascii="SimSun" w:hAnsi="SimSun" w:eastAsia="SimSun" w:cs="SimSun"/>
          <w:sz w:val="21"/>
          <w:szCs w:val="21"/>
        </w:rPr>
      </w:pPr>
      <w:r>
        <w:rPr>
          <w:rFonts w:ascii="SimSun" w:hAnsi="SimSun" w:eastAsia="SimSun" w:cs="SimSun"/>
          <w:sz w:val="21"/>
          <w:szCs w:val="21"/>
          <w:spacing w:val="-11"/>
        </w:rPr>
        <w:t>中国数字金融平台在科技水平、创新活跃度、发展潜力等方面也</w:t>
      </w:r>
      <w:r>
        <w:rPr>
          <w:rFonts w:ascii="SimSun" w:hAnsi="SimSun" w:eastAsia="SimSun" w:cs="SimSun"/>
          <w:sz w:val="21"/>
          <w:szCs w:val="21"/>
          <w:spacing w:val="4"/>
        </w:rPr>
        <w:t xml:space="preserve">  </w:t>
      </w:r>
      <w:r>
        <w:rPr>
          <w:rFonts w:ascii="SimSun" w:hAnsi="SimSun" w:eastAsia="SimSun" w:cs="SimSun"/>
          <w:sz w:val="21"/>
          <w:szCs w:val="21"/>
        </w:rPr>
        <w:t>位于世界前列。零壹智库的统计显示，自2017年</w:t>
      </w:r>
      <w:r>
        <w:rPr>
          <w:rFonts w:ascii="SimSun" w:hAnsi="SimSun" w:eastAsia="SimSun" w:cs="SimSun"/>
          <w:sz w:val="21"/>
          <w:szCs w:val="21"/>
          <w:spacing w:val="-1"/>
        </w:rPr>
        <w:t>至2021年6月的五</w:t>
      </w:r>
      <w:r>
        <w:rPr>
          <w:rFonts w:ascii="SimSun" w:hAnsi="SimSun" w:eastAsia="SimSun" w:cs="SimSun"/>
          <w:sz w:val="21"/>
          <w:szCs w:val="21"/>
        </w:rPr>
        <w:t xml:space="preserve">  </w:t>
      </w:r>
      <w:r>
        <w:rPr>
          <w:rFonts w:ascii="SimSun" w:hAnsi="SimSun" w:eastAsia="SimSun" w:cs="SimSun"/>
          <w:sz w:val="21"/>
          <w:szCs w:val="21"/>
          <w:spacing w:val="-3"/>
        </w:rPr>
        <w:t>年间，全球金融科技领域共1.94万件专利获</w:t>
      </w:r>
      <w:r>
        <w:rPr>
          <w:rFonts w:ascii="SimSun" w:hAnsi="SimSun" w:eastAsia="SimSun" w:cs="SimSun"/>
          <w:sz w:val="21"/>
          <w:szCs w:val="21"/>
          <w:spacing w:val="-4"/>
        </w:rPr>
        <w:t>得授权，其中获得授权</w:t>
      </w:r>
      <w:r>
        <w:rPr>
          <w:rFonts w:ascii="SimSun" w:hAnsi="SimSun" w:eastAsia="SimSun" w:cs="SimSun"/>
          <w:sz w:val="21"/>
          <w:szCs w:val="21"/>
        </w:rPr>
        <w:t xml:space="preserve">  </w:t>
      </w:r>
      <w:r>
        <w:rPr>
          <w:rFonts w:ascii="SimSun" w:hAnsi="SimSun" w:eastAsia="SimSun" w:cs="SimSun"/>
          <w:sz w:val="21"/>
          <w:szCs w:val="21"/>
          <w:spacing w:val="9"/>
        </w:rPr>
        <w:t>专利数量最多的国家是美国(8862件)和中国(大陆地区3720件、</w:t>
      </w:r>
      <w:r>
        <w:rPr>
          <w:rFonts w:ascii="SimSun" w:hAnsi="SimSun" w:eastAsia="SimSun" w:cs="SimSun"/>
          <w:sz w:val="21"/>
          <w:szCs w:val="21"/>
          <w:spacing w:val="11"/>
        </w:rPr>
        <w:t xml:space="preserve"> </w:t>
      </w:r>
      <w:r>
        <w:rPr>
          <w:rFonts w:ascii="SimSun" w:hAnsi="SimSun" w:eastAsia="SimSun" w:cs="SimSun"/>
          <w:sz w:val="21"/>
          <w:szCs w:val="21"/>
          <w:spacing w:val="6"/>
        </w:rPr>
        <w:t>台湾地区2040件),且中国金融科技专利申请数量已经超过</w:t>
      </w:r>
      <w:r>
        <w:rPr>
          <w:rFonts w:ascii="SimSun" w:hAnsi="SimSun" w:eastAsia="SimSun" w:cs="SimSun"/>
          <w:sz w:val="21"/>
          <w:szCs w:val="21"/>
          <w:spacing w:val="5"/>
        </w:rPr>
        <w:t>美国。</w:t>
      </w:r>
      <w:r>
        <w:rPr>
          <w:rFonts w:ascii="SimSun" w:hAnsi="SimSun" w:eastAsia="SimSun" w:cs="SimSun"/>
          <w:sz w:val="21"/>
          <w:szCs w:val="21"/>
        </w:rPr>
        <w:t xml:space="preserve"> </w:t>
      </w:r>
      <w:r>
        <w:rPr>
          <w:rFonts w:ascii="SimSun" w:hAnsi="SimSun" w:eastAsia="SimSun" w:cs="SimSun"/>
          <w:sz w:val="21"/>
          <w:szCs w:val="21"/>
        </w:rPr>
        <w:t>截至2019年末，中国平安以1604项金融科技专利申请</w:t>
      </w:r>
      <w:r>
        <w:rPr>
          <w:rFonts w:ascii="SimSun" w:hAnsi="SimSun" w:eastAsia="SimSun" w:cs="SimSun"/>
          <w:sz w:val="21"/>
          <w:szCs w:val="21"/>
          <w:spacing w:val="-1"/>
        </w:rPr>
        <w:t>量位列榜首，</w:t>
      </w:r>
      <w:r>
        <w:rPr>
          <w:rFonts w:ascii="SimSun" w:hAnsi="SimSun" w:eastAsia="SimSun" w:cs="SimSun"/>
          <w:sz w:val="21"/>
          <w:szCs w:val="21"/>
        </w:rPr>
        <w:t xml:space="preserve"> </w:t>
      </w:r>
      <w:r>
        <w:rPr>
          <w:rFonts w:ascii="SimSun" w:hAnsi="SimSun" w:eastAsia="SimSun" w:cs="SimSun"/>
          <w:sz w:val="21"/>
          <w:szCs w:val="21"/>
          <w:spacing w:val="-11"/>
        </w:rPr>
        <w:t>阿里巴巴则紧随其后。此外，中国的数字金融平台在移动支付、大科</w:t>
      </w:r>
      <w:r>
        <w:rPr>
          <w:rFonts w:ascii="SimSun" w:hAnsi="SimSun" w:eastAsia="SimSun" w:cs="SimSun"/>
          <w:sz w:val="21"/>
          <w:szCs w:val="21"/>
          <w:spacing w:val="7"/>
        </w:rPr>
        <w:t xml:space="preserve">  </w:t>
      </w:r>
      <w:r>
        <w:rPr>
          <w:rFonts w:ascii="SimSun" w:hAnsi="SimSun" w:eastAsia="SimSun" w:cs="SimSun"/>
          <w:sz w:val="21"/>
          <w:szCs w:val="21"/>
          <w:spacing w:val="-10"/>
        </w:rPr>
        <w:t>技信贷、互联网银行等领域的技术水平也位于世界前列。全球金融中</w:t>
      </w:r>
      <w:r>
        <w:rPr>
          <w:rFonts w:ascii="SimSun" w:hAnsi="SimSun" w:eastAsia="SimSun" w:cs="SimSun"/>
          <w:sz w:val="21"/>
          <w:szCs w:val="21"/>
        </w:rPr>
        <w:t xml:space="preserve"> </w:t>
      </w:r>
      <w:r>
        <w:rPr>
          <w:rFonts w:ascii="SimSun" w:hAnsi="SimSun" w:eastAsia="SimSun" w:cs="SimSun"/>
          <w:sz w:val="21"/>
          <w:szCs w:val="21"/>
          <w:spacing w:val="-10"/>
        </w:rPr>
        <w:t>心指数是用来衡量各金融中心的市场灵活度、适应性以</w:t>
      </w:r>
      <w:r>
        <w:rPr>
          <w:rFonts w:ascii="SimSun" w:hAnsi="SimSun" w:eastAsia="SimSun" w:cs="SimSun"/>
          <w:sz w:val="21"/>
          <w:szCs w:val="21"/>
          <w:spacing w:val="-11"/>
        </w:rPr>
        <w:t>及发展潜力的</w:t>
      </w:r>
      <w:r>
        <w:rPr>
          <w:rFonts w:ascii="SimSun" w:hAnsi="SimSun" w:eastAsia="SimSun" w:cs="SimSun"/>
          <w:sz w:val="21"/>
          <w:szCs w:val="21"/>
        </w:rPr>
        <w:t xml:space="preserve">  </w:t>
      </w:r>
      <w:r>
        <w:rPr>
          <w:rFonts w:ascii="SimSun" w:hAnsi="SimSun" w:eastAsia="SimSun" w:cs="SimSun"/>
          <w:sz w:val="21"/>
          <w:szCs w:val="21"/>
          <w:spacing w:val="-2"/>
        </w:rPr>
        <w:t>一个重要指标，最新的全球金融中心指数</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(GFIC)   </w:t>
      </w:r>
      <w:r>
        <w:rPr>
          <w:rFonts w:ascii="SimSun" w:hAnsi="SimSun" w:eastAsia="SimSun" w:cs="SimSun"/>
          <w:sz w:val="21"/>
          <w:szCs w:val="21"/>
          <w:spacing w:val="-3"/>
        </w:rPr>
        <w:t>显示，在金融科 </w:t>
      </w:r>
      <w:r>
        <w:rPr>
          <w:rFonts w:ascii="SimSun" w:hAnsi="SimSun" w:eastAsia="SimSun" w:cs="SimSun"/>
          <w:sz w:val="21"/>
          <w:szCs w:val="21"/>
          <w:spacing w:val="-11"/>
        </w:rPr>
        <w:t>技中心排名中，中国的上海、北京、深圳进入前十名。</w:t>
      </w:r>
    </w:p>
    <w:p>
      <w:pPr>
        <w:ind w:left="40" w:right="83" w:firstLine="399"/>
        <w:spacing w:before="109" w:line="297" w:lineRule="auto"/>
        <w:jc w:val="both"/>
        <w:rPr>
          <w:rFonts w:ascii="SimSun" w:hAnsi="SimSun" w:eastAsia="SimSun" w:cs="SimSun"/>
          <w:sz w:val="21"/>
          <w:szCs w:val="21"/>
        </w:rPr>
      </w:pPr>
      <w:r>
        <w:rPr>
          <w:rFonts w:ascii="SimSun" w:hAnsi="SimSun" w:eastAsia="SimSun" w:cs="SimSun"/>
          <w:sz w:val="21"/>
          <w:szCs w:val="21"/>
          <w:spacing w:val="-10"/>
        </w:rPr>
        <w:t>数字金融平台在中国数字金融行业发展中发挥了关键性作用。中</w:t>
      </w:r>
      <w:r>
        <w:rPr>
          <w:rFonts w:ascii="SimSun" w:hAnsi="SimSun" w:eastAsia="SimSun" w:cs="SimSun"/>
          <w:sz w:val="21"/>
          <w:szCs w:val="21"/>
        </w:rPr>
        <w:t xml:space="preserve"> </w:t>
      </w:r>
      <w:r>
        <w:rPr>
          <w:rFonts w:ascii="SimSun" w:hAnsi="SimSun" w:eastAsia="SimSun" w:cs="SimSun"/>
          <w:sz w:val="21"/>
          <w:szCs w:val="21"/>
          <w:spacing w:val="-3"/>
        </w:rPr>
        <w:t>国数字金融的第一个发展阶段是传统金融机构</w:t>
      </w:r>
      <w:r>
        <w:rPr>
          <w:rFonts w:ascii="SimSun" w:hAnsi="SimSun" w:eastAsia="SimSun" w:cs="SimSun"/>
          <w:sz w:val="21"/>
          <w:szCs w:val="21"/>
          <w:spacing w:val="-4"/>
        </w:rPr>
        <w:t>互联网化。自20世纪</w:t>
      </w:r>
      <w:r>
        <w:rPr>
          <w:rFonts w:ascii="SimSun" w:hAnsi="SimSun" w:eastAsia="SimSun" w:cs="SimSun"/>
          <w:sz w:val="21"/>
          <w:szCs w:val="21"/>
        </w:rPr>
        <w:t xml:space="preserve"> </w:t>
      </w:r>
      <w:r>
        <w:rPr>
          <w:rFonts w:ascii="SimSun" w:hAnsi="SimSun" w:eastAsia="SimSun" w:cs="SimSun"/>
          <w:sz w:val="21"/>
          <w:szCs w:val="21"/>
          <w:spacing w:val="-3"/>
        </w:rPr>
        <w:t>90年代开始，商业银行开始借鉴国外银行发展经验，将</w:t>
      </w:r>
      <w:r>
        <w:rPr>
          <w:rFonts w:ascii="SimSun" w:hAnsi="SimSun" w:eastAsia="SimSun" w:cs="SimSun"/>
          <w:sz w:val="21"/>
          <w:szCs w:val="21"/>
          <w:spacing w:val="-4"/>
        </w:rPr>
        <w:t>信息技术和</w:t>
      </w:r>
      <w:r>
        <w:rPr>
          <w:rFonts w:ascii="SimSun" w:hAnsi="SimSun" w:eastAsia="SimSun" w:cs="SimSun"/>
          <w:sz w:val="21"/>
          <w:szCs w:val="21"/>
        </w:rPr>
        <w:t xml:space="preserve"> </w:t>
      </w:r>
      <w:r>
        <w:rPr>
          <w:rFonts w:ascii="SimSun" w:hAnsi="SimSun" w:eastAsia="SimSun" w:cs="SimSun"/>
          <w:sz w:val="21"/>
          <w:szCs w:val="21"/>
          <w:spacing w:val="-11"/>
        </w:rPr>
        <w:t>互联网技术融入金融业务服务，该阶段的数字金融业务集中在业务咨</w:t>
      </w:r>
      <w:r>
        <w:rPr>
          <w:rFonts w:ascii="SimSun" w:hAnsi="SimSun" w:eastAsia="SimSun" w:cs="SimSun"/>
          <w:sz w:val="21"/>
          <w:szCs w:val="21"/>
          <w:spacing w:val="18"/>
        </w:rPr>
        <w:t xml:space="preserve"> </w:t>
      </w:r>
      <w:r>
        <w:rPr>
          <w:rFonts w:ascii="SimSun" w:hAnsi="SimSun" w:eastAsia="SimSun" w:cs="SimSun"/>
          <w:sz w:val="21"/>
          <w:szCs w:val="21"/>
          <w:spacing w:val="-10"/>
        </w:rPr>
        <w:t>询、存取款、转账、支付等基本金融服务范围。中国数字金融平</w:t>
      </w:r>
      <w:r>
        <w:rPr>
          <w:rFonts w:ascii="SimSun" w:hAnsi="SimSun" w:eastAsia="SimSun" w:cs="SimSun"/>
          <w:sz w:val="21"/>
          <w:szCs w:val="21"/>
          <w:spacing w:val="-11"/>
        </w:rPr>
        <w:t>台诞</w:t>
      </w:r>
    </w:p>
    <w:p>
      <w:pPr>
        <w:spacing w:line="297" w:lineRule="auto"/>
        <w:sectPr>
          <w:headerReference w:type="default" r:id="rId253"/>
          <w:pgSz w:w="7330" w:h="12480"/>
          <w:pgMar w:top="845" w:right="854" w:bottom="400" w:left="350" w:header="683" w:footer="0" w:gutter="0"/>
        </w:sectPr>
        <w:rPr>
          <w:rFonts w:ascii="SimSun" w:hAnsi="SimSun" w:eastAsia="SimSun" w:cs="SimSun"/>
          <w:sz w:val="21"/>
          <w:szCs w:val="21"/>
        </w:rPr>
      </w:pP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ind w:right="34"/>
        <w:spacing w:before="68" w:line="299" w:lineRule="auto"/>
        <w:jc w:val="both"/>
        <w:rPr>
          <w:rFonts w:ascii="SimSun" w:hAnsi="SimSun" w:eastAsia="SimSun" w:cs="SimSun"/>
          <w:sz w:val="21"/>
          <w:szCs w:val="21"/>
        </w:rPr>
      </w:pPr>
      <w:r>
        <w:rPr>
          <w:rFonts w:ascii="SimSun" w:hAnsi="SimSun" w:eastAsia="SimSun" w:cs="SimSun"/>
          <w:sz w:val="21"/>
          <w:szCs w:val="21"/>
          <w:spacing w:val="-11"/>
        </w:rPr>
        <w:t>生于数字金融发展第二阶段，并助力中国金融行业发展跑步进入数字</w:t>
      </w:r>
      <w:r>
        <w:rPr>
          <w:rFonts w:ascii="SimSun" w:hAnsi="SimSun" w:eastAsia="SimSun" w:cs="SimSun"/>
          <w:sz w:val="21"/>
          <w:szCs w:val="21"/>
          <w:spacing w:val="18"/>
        </w:rPr>
        <w:t xml:space="preserve"> </w:t>
      </w:r>
      <w:r>
        <w:rPr>
          <w:rFonts w:ascii="SimSun" w:hAnsi="SimSun" w:eastAsia="SimSun" w:cs="SimSun"/>
          <w:sz w:val="21"/>
          <w:szCs w:val="21"/>
          <w:spacing w:val="-11"/>
        </w:rPr>
        <w:t>金融时代。在该阶段，蚂蚁金服、腾讯金融等中国数字金融平台的雏</w:t>
      </w:r>
      <w:r>
        <w:rPr>
          <w:rFonts w:ascii="SimSun" w:hAnsi="SimSun" w:eastAsia="SimSun" w:cs="SimSun"/>
          <w:sz w:val="21"/>
          <w:szCs w:val="21"/>
          <w:spacing w:val="16"/>
        </w:rPr>
        <w:t xml:space="preserve"> </w:t>
      </w:r>
      <w:r>
        <w:rPr>
          <w:rFonts w:ascii="SimSun" w:hAnsi="SimSun" w:eastAsia="SimSun" w:cs="SimSun"/>
          <w:sz w:val="21"/>
          <w:szCs w:val="21"/>
          <w:spacing w:val="-10"/>
        </w:rPr>
        <w:t>形开始出现。其阶段性特点是金融科技平台借助海量</w:t>
      </w:r>
      <w:r>
        <w:rPr>
          <w:rFonts w:ascii="SimSun" w:hAnsi="SimSun" w:eastAsia="SimSun" w:cs="SimSun"/>
          <w:sz w:val="21"/>
          <w:szCs w:val="21"/>
          <w:spacing w:val="-11"/>
        </w:rPr>
        <w:t>用户，运用自身</w:t>
      </w:r>
      <w:r>
        <w:rPr>
          <w:rFonts w:ascii="SimSun" w:hAnsi="SimSun" w:eastAsia="SimSun" w:cs="SimSun"/>
          <w:sz w:val="21"/>
          <w:szCs w:val="21"/>
        </w:rPr>
        <w:t xml:space="preserve"> </w:t>
      </w:r>
      <w:r>
        <w:rPr>
          <w:rFonts w:ascii="SimSun" w:hAnsi="SimSun" w:eastAsia="SimSun" w:cs="SimSun"/>
          <w:sz w:val="21"/>
          <w:szCs w:val="21"/>
          <w:spacing w:val="-10"/>
        </w:rPr>
        <w:t>数字技术能力，提供网络借贷、网络消费金融、网络众</w:t>
      </w:r>
      <w:r>
        <w:rPr>
          <w:rFonts w:ascii="SimSun" w:hAnsi="SimSun" w:eastAsia="SimSun" w:cs="SimSun"/>
          <w:sz w:val="21"/>
          <w:szCs w:val="21"/>
          <w:spacing w:val="-11"/>
        </w:rPr>
        <w:t>筹等多样化的</w:t>
      </w:r>
      <w:r>
        <w:rPr>
          <w:rFonts w:ascii="SimSun" w:hAnsi="SimSun" w:eastAsia="SimSun" w:cs="SimSun"/>
          <w:sz w:val="21"/>
          <w:szCs w:val="21"/>
        </w:rPr>
        <w:t xml:space="preserve"> </w:t>
      </w:r>
      <w:r>
        <w:rPr>
          <w:rFonts w:ascii="SimSun" w:hAnsi="SimSun" w:eastAsia="SimSun" w:cs="SimSun"/>
          <w:sz w:val="21"/>
          <w:szCs w:val="21"/>
          <w:spacing w:val="-11"/>
        </w:rPr>
        <w:t>金融服务。在该阶段数字金融平台借助智能手机的普及和爆发式增长</w:t>
      </w:r>
      <w:r>
        <w:rPr>
          <w:rFonts w:ascii="SimSun" w:hAnsi="SimSun" w:eastAsia="SimSun" w:cs="SimSun"/>
          <w:sz w:val="21"/>
          <w:szCs w:val="21"/>
          <w:spacing w:val="18"/>
        </w:rPr>
        <w:t xml:space="preserve"> </w:t>
      </w:r>
      <w:r>
        <w:rPr>
          <w:rFonts w:ascii="SimSun" w:hAnsi="SimSun" w:eastAsia="SimSun" w:cs="SimSun"/>
          <w:sz w:val="21"/>
          <w:szCs w:val="21"/>
          <w:spacing w:val="-11"/>
        </w:rPr>
        <w:t>趋势，创新性将金融业务与海量用户紧密连接。通过将传统金融服务</w:t>
      </w:r>
      <w:r>
        <w:rPr>
          <w:rFonts w:ascii="SimSun" w:hAnsi="SimSun" w:eastAsia="SimSun" w:cs="SimSun"/>
          <w:sz w:val="21"/>
          <w:szCs w:val="21"/>
          <w:spacing w:val="18"/>
        </w:rPr>
        <w:t xml:space="preserve"> </w:t>
      </w:r>
      <w:r>
        <w:rPr>
          <w:rFonts w:ascii="SimSun" w:hAnsi="SimSun" w:eastAsia="SimSun" w:cs="SimSun"/>
          <w:sz w:val="21"/>
          <w:szCs w:val="21"/>
          <w:spacing w:val="-11"/>
        </w:rPr>
        <w:t>与电子商务、社交网络在衣食住行等多场景下运用，有效发挥了平台</w:t>
      </w:r>
      <w:r>
        <w:rPr>
          <w:rFonts w:ascii="SimSun" w:hAnsi="SimSun" w:eastAsia="SimSun" w:cs="SimSun"/>
          <w:sz w:val="21"/>
          <w:szCs w:val="21"/>
        </w:rPr>
        <w:t xml:space="preserve"> </w:t>
      </w:r>
      <w:r>
        <w:rPr>
          <w:rFonts w:ascii="SimSun" w:hAnsi="SimSun" w:eastAsia="SimSun" w:cs="SimSun"/>
          <w:sz w:val="21"/>
          <w:szCs w:val="21"/>
          <w:spacing w:val="-12"/>
        </w:rPr>
        <w:t>自身个性化服务用户的优势。在中国数字金融发展的第三个阶段，数</w:t>
      </w:r>
      <w:r>
        <w:rPr>
          <w:rFonts w:ascii="SimSun" w:hAnsi="SimSun" w:eastAsia="SimSun" w:cs="SimSun"/>
          <w:sz w:val="21"/>
          <w:szCs w:val="21"/>
          <w:spacing w:val="17"/>
        </w:rPr>
        <w:t xml:space="preserve"> </w:t>
      </w:r>
      <w:r>
        <w:rPr>
          <w:rFonts w:ascii="SimSun" w:hAnsi="SimSun" w:eastAsia="SimSun" w:cs="SimSun"/>
          <w:sz w:val="21"/>
          <w:szCs w:val="21"/>
          <w:spacing w:val="-11"/>
        </w:rPr>
        <w:t>字金融平台促使以商业银行为代表的传统金融机构全面进行数字化转</w:t>
      </w:r>
      <w:r>
        <w:rPr>
          <w:rFonts w:ascii="SimSun" w:hAnsi="SimSun" w:eastAsia="SimSun" w:cs="SimSun"/>
          <w:sz w:val="21"/>
          <w:szCs w:val="21"/>
          <w:spacing w:val="17"/>
        </w:rPr>
        <w:t xml:space="preserve"> </w:t>
      </w:r>
      <w:r>
        <w:rPr>
          <w:rFonts w:ascii="SimSun" w:hAnsi="SimSun" w:eastAsia="SimSun" w:cs="SimSun"/>
          <w:sz w:val="21"/>
          <w:szCs w:val="21"/>
          <w:spacing w:val="-11"/>
        </w:rPr>
        <w:t>型升级，提升了中国金融行业的数字化水平和服务实体经济的效率。</w:t>
      </w:r>
    </w:p>
    <w:p>
      <w:pPr>
        <w:pStyle w:val="BodyText"/>
        <w:spacing w:line="452"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中国数字金融平台由第三方支付平台逐渐演变而来</w:t>
      </w:r>
    </w:p>
    <w:p>
      <w:pPr>
        <w:pStyle w:val="BodyText"/>
        <w:spacing w:line="371" w:lineRule="auto"/>
        <w:rPr/>
      </w:pPr>
      <w:r/>
    </w:p>
    <w:p>
      <w:pPr>
        <w:ind w:firstLine="440"/>
        <w:spacing w:before="68" w:line="301" w:lineRule="auto"/>
        <w:jc w:val="both"/>
        <w:rPr>
          <w:rFonts w:ascii="SimSun" w:hAnsi="SimSun" w:eastAsia="SimSun" w:cs="SimSun"/>
          <w:sz w:val="21"/>
          <w:szCs w:val="21"/>
        </w:rPr>
      </w:pPr>
      <w:r>
        <w:rPr>
          <w:rFonts w:ascii="SimSun" w:hAnsi="SimSun" w:eastAsia="SimSun" w:cs="SimSun"/>
          <w:sz w:val="21"/>
          <w:szCs w:val="21"/>
          <w:spacing w:val="-3"/>
        </w:rPr>
        <w:t>科技赋能平台从传统金融的支付功能入手，切入金融科技赛道</w:t>
      </w:r>
      <w:r>
        <w:rPr>
          <w:rFonts w:ascii="SimSun" w:hAnsi="SimSun" w:eastAsia="SimSun" w:cs="SimSun"/>
          <w:sz w:val="21"/>
          <w:szCs w:val="21"/>
        </w:rPr>
        <w:t xml:space="preserve"> </w:t>
      </w:r>
      <w:r>
        <w:rPr>
          <w:rFonts w:ascii="SimSun" w:hAnsi="SimSun" w:eastAsia="SimSun" w:cs="SimSun"/>
          <w:sz w:val="21"/>
          <w:szCs w:val="21"/>
          <w:spacing w:val="-3"/>
        </w:rPr>
        <w:t>后开始深度渗透，逐渐发展成综合性的数字金融</w:t>
      </w:r>
      <w:r>
        <w:rPr>
          <w:rFonts w:ascii="SimSun" w:hAnsi="SimSun" w:eastAsia="SimSun" w:cs="SimSun"/>
          <w:sz w:val="21"/>
          <w:szCs w:val="21"/>
          <w:spacing w:val="-4"/>
        </w:rPr>
        <w:t>平台。蚂蚁集团的</w:t>
      </w:r>
      <w:r>
        <w:rPr>
          <w:rFonts w:ascii="SimSun" w:hAnsi="SimSun" w:eastAsia="SimSun" w:cs="SimSun"/>
          <w:sz w:val="21"/>
          <w:szCs w:val="21"/>
        </w:rPr>
        <w:t xml:space="preserve"> </w:t>
      </w:r>
      <w:r>
        <w:rPr>
          <w:rFonts w:ascii="SimSun" w:hAnsi="SimSun" w:eastAsia="SimSun" w:cs="SimSun"/>
          <w:sz w:val="21"/>
          <w:szCs w:val="21"/>
          <w:spacing w:val="-4"/>
        </w:rPr>
        <w:t>发展是中国数字金融平台发展历程的典型代表。蚂蚁集团以传统金</w:t>
      </w:r>
      <w:r>
        <w:rPr>
          <w:rFonts w:ascii="SimSun" w:hAnsi="SimSun" w:eastAsia="SimSun" w:cs="SimSun"/>
          <w:sz w:val="21"/>
          <w:szCs w:val="21"/>
          <w:spacing w:val="13"/>
        </w:rPr>
        <w:t xml:space="preserve"> </w:t>
      </w:r>
      <w:r>
        <w:rPr>
          <w:rFonts w:ascii="SimSun" w:hAnsi="SimSun" w:eastAsia="SimSun" w:cs="SimSun"/>
          <w:sz w:val="21"/>
          <w:szCs w:val="21"/>
          <w:spacing w:val="-4"/>
        </w:rPr>
        <w:t>融的痛点精准切入，借助中国巨大的互联网流量红利，以支付宝为</w:t>
      </w:r>
      <w:r>
        <w:rPr>
          <w:rFonts w:ascii="SimSun" w:hAnsi="SimSun" w:eastAsia="SimSun" w:cs="SimSun"/>
          <w:sz w:val="21"/>
          <w:szCs w:val="21"/>
          <w:spacing w:val="15"/>
        </w:rPr>
        <w:t xml:space="preserve"> </w:t>
      </w:r>
      <w:r>
        <w:rPr>
          <w:rFonts w:ascii="SimSun" w:hAnsi="SimSun" w:eastAsia="SimSun" w:cs="SimSun"/>
          <w:sz w:val="21"/>
          <w:szCs w:val="21"/>
          <w:spacing w:val="-3"/>
        </w:rPr>
        <w:t>核心，将支付宝数字支付作为引流入口，瞄准传</w:t>
      </w:r>
      <w:r>
        <w:rPr>
          <w:rFonts w:ascii="SimSun" w:hAnsi="SimSun" w:eastAsia="SimSun" w:cs="SimSun"/>
          <w:sz w:val="21"/>
          <w:szCs w:val="21"/>
          <w:spacing w:val="-4"/>
        </w:rPr>
        <w:t>统金融服务模式的</w:t>
      </w:r>
      <w:r>
        <w:rPr>
          <w:rFonts w:ascii="SimSun" w:hAnsi="SimSun" w:eastAsia="SimSun" w:cs="SimSun"/>
          <w:sz w:val="21"/>
          <w:szCs w:val="21"/>
        </w:rPr>
        <w:t xml:space="preserve"> </w:t>
      </w:r>
      <w:r>
        <w:rPr>
          <w:rFonts w:ascii="SimSun" w:hAnsi="SimSun" w:eastAsia="SimSun" w:cs="SimSun"/>
          <w:sz w:val="21"/>
          <w:szCs w:val="21"/>
          <w:spacing w:val="-4"/>
        </w:rPr>
        <w:t>痛点，以发挥支付的连接功能和流量优势，从单一支付发展到提供</w:t>
      </w:r>
      <w:r>
        <w:rPr>
          <w:rFonts w:ascii="SimSun" w:hAnsi="SimSun" w:eastAsia="SimSun" w:cs="SimSun"/>
          <w:sz w:val="21"/>
          <w:szCs w:val="21"/>
          <w:spacing w:val="12"/>
        </w:rPr>
        <w:t xml:space="preserve"> </w:t>
      </w:r>
      <w:r>
        <w:rPr>
          <w:rFonts w:ascii="SimSun" w:hAnsi="SimSun" w:eastAsia="SimSun" w:cs="SimSun"/>
          <w:sz w:val="21"/>
          <w:szCs w:val="21"/>
          <w:spacing w:val="-4"/>
        </w:rPr>
        <w:t>各种信贷、财富管理服务，再到深耕金融科技领域位，最终发展为</w:t>
      </w:r>
      <w:r>
        <w:rPr>
          <w:rFonts w:ascii="SimSun" w:hAnsi="SimSun" w:eastAsia="SimSun" w:cs="SimSun"/>
          <w:sz w:val="21"/>
          <w:szCs w:val="21"/>
          <w:spacing w:val="15"/>
        </w:rPr>
        <w:t xml:space="preserve"> </w:t>
      </w:r>
      <w:r>
        <w:rPr>
          <w:rFonts w:ascii="SimSun" w:hAnsi="SimSun" w:eastAsia="SimSun" w:cs="SimSun"/>
          <w:sz w:val="21"/>
          <w:szCs w:val="21"/>
          <w:spacing w:val="-3"/>
        </w:rPr>
        <w:t>综合性数字金融服务平台。具体来说，2004—2011年，为解决电商</w:t>
      </w:r>
      <w:r>
        <w:rPr>
          <w:rFonts w:ascii="SimSun" w:hAnsi="SimSun" w:eastAsia="SimSun" w:cs="SimSun"/>
          <w:sz w:val="21"/>
          <w:szCs w:val="21"/>
          <w:spacing w:val="1"/>
        </w:rPr>
        <w:t xml:space="preserve"> </w:t>
      </w:r>
      <w:r>
        <w:rPr>
          <w:rFonts w:ascii="SimSun" w:hAnsi="SimSun" w:eastAsia="SimSun" w:cs="SimSun"/>
          <w:sz w:val="21"/>
          <w:szCs w:val="21"/>
          <w:spacing w:val="-4"/>
        </w:rPr>
        <w:t>行业支付的信任问题，蚂蚁金服创立了支付宝，主要聚焦于扩大流</w:t>
      </w:r>
      <w:r>
        <w:rPr>
          <w:rFonts w:ascii="SimSun" w:hAnsi="SimSun" w:eastAsia="SimSun" w:cs="SimSun"/>
          <w:sz w:val="21"/>
          <w:szCs w:val="21"/>
          <w:spacing w:val="13"/>
        </w:rPr>
        <w:t xml:space="preserve"> </w:t>
      </w:r>
      <w:r>
        <w:rPr>
          <w:rFonts w:ascii="SimSun" w:hAnsi="SimSun" w:eastAsia="SimSun" w:cs="SimSun"/>
          <w:sz w:val="21"/>
          <w:szCs w:val="21"/>
          <w:spacing w:val="-3"/>
        </w:rPr>
        <w:t>量规模，力求将单一产品做到极致；2012—2016年，蚂蚁</w:t>
      </w:r>
      <w:r>
        <w:rPr>
          <w:rFonts w:ascii="SimSun" w:hAnsi="SimSun" w:eastAsia="SimSun" w:cs="SimSun"/>
          <w:sz w:val="21"/>
          <w:szCs w:val="21"/>
          <w:spacing w:val="-4"/>
        </w:rPr>
        <w:t>金服以普</w:t>
      </w:r>
      <w:r>
        <w:rPr>
          <w:rFonts w:ascii="SimSun" w:hAnsi="SimSun" w:eastAsia="SimSun" w:cs="SimSun"/>
          <w:sz w:val="21"/>
          <w:szCs w:val="21"/>
        </w:rPr>
        <w:t xml:space="preserve"> </w:t>
      </w:r>
      <w:r>
        <w:rPr>
          <w:rFonts w:ascii="SimSun" w:hAnsi="SimSun" w:eastAsia="SimSun" w:cs="SimSun"/>
          <w:sz w:val="21"/>
          <w:szCs w:val="21"/>
          <w:spacing w:val="-4"/>
        </w:rPr>
        <w:t>惠金融为切入点，将业务延展至信贷、理财、保险等金融领域，获</w:t>
      </w:r>
      <w:r>
        <w:rPr>
          <w:rFonts w:ascii="SimSun" w:hAnsi="SimSun" w:eastAsia="SimSun" w:cs="SimSun"/>
          <w:sz w:val="21"/>
          <w:szCs w:val="21"/>
          <w:spacing w:val="13"/>
        </w:rPr>
        <w:t xml:space="preserve"> </w:t>
      </w:r>
      <w:r>
        <w:rPr>
          <w:rFonts w:ascii="SimSun" w:hAnsi="SimSun" w:eastAsia="SimSun" w:cs="SimSun"/>
          <w:sz w:val="21"/>
          <w:szCs w:val="21"/>
          <w:spacing w:val="-1"/>
        </w:rPr>
        <w:t>得了包括银行、保险、公募、私募等在内的8类牌照，其旗下金融</w:t>
      </w:r>
      <w:r>
        <w:rPr>
          <w:rFonts w:ascii="SimSun" w:hAnsi="SimSun" w:eastAsia="SimSun" w:cs="SimSun"/>
          <w:sz w:val="21"/>
          <w:szCs w:val="21"/>
          <w:spacing w:val="18"/>
        </w:rPr>
        <w:t xml:space="preserve"> </w:t>
      </w:r>
      <w:r>
        <w:rPr>
          <w:rFonts w:ascii="SimSun" w:hAnsi="SimSun" w:eastAsia="SimSun" w:cs="SimSun"/>
          <w:sz w:val="21"/>
          <w:szCs w:val="21"/>
          <w:spacing w:val="3"/>
        </w:rPr>
        <w:t>机构超过20家；2017年至今，随着金融监管不断趋严，蚂蚁金服</w:t>
      </w:r>
    </w:p>
    <w:p>
      <w:pPr>
        <w:spacing w:line="301" w:lineRule="auto"/>
        <w:sectPr>
          <w:headerReference w:type="default" r:id="rId254"/>
          <w:pgSz w:w="7330" w:h="12480"/>
          <w:pgMar w:top="539" w:right="620" w:bottom="400" w:left="680" w:header="375" w:footer="0" w:gutter="0"/>
        </w:sectPr>
        <w:rPr>
          <w:rFonts w:ascii="SimSun" w:hAnsi="SimSun" w:eastAsia="SimSun" w:cs="SimSun"/>
          <w:sz w:val="21"/>
          <w:szCs w:val="21"/>
        </w:rPr>
      </w:pPr>
    </w:p>
    <w:p>
      <w:pPr>
        <w:pStyle w:val="BodyText"/>
        <w:spacing w:line="243" w:lineRule="auto"/>
        <w:rPr/>
      </w:pPr>
      <w:r>
        <w:drawing>
          <wp:anchor distT="0" distB="0" distL="0" distR="0" simplePos="0" relativeHeight="253863936" behindDoc="0" locked="0" layoutInCell="0" allowOverlap="1">
            <wp:simplePos x="0" y="0"/>
            <wp:positionH relativeFrom="page">
              <wp:posOffset>222255</wp:posOffset>
            </wp:positionH>
            <wp:positionV relativeFrom="page">
              <wp:posOffset>6902417</wp:posOffset>
            </wp:positionV>
            <wp:extent cx="1168384" cy="6350"/>
            <wp:effectExtent l="0" t="0" r="0" b="0"/>
            <wp:wrapNone/>
            <wp:docPr id="196" name="IM 196"/>
            <wp:cNvGraphicFramePr/>
            <a:graphic>
              <a:graphicData uri="http://schemas.openxmlformats.org/drawingml/2006/picture">
                <pic:pic>
                  <pic:nvPicPr>
                    <pic:cNvPr id="196" name="IM 196"/>
                    <pic:cNvPicPr/>
                  </pic:nvPicPr>
                  <pic:blipFill>
                    <a:blip r:embed="rId256"/>
                    <a:stretch>
                      <a:fillRect/>
                    </a:stretch>
                  </pic:blipFill>
                  <pic:spPr>
                    <a:xfrm rot="0">
                      <a:off x="0" y="0"/>
                      <a:ext cx="1168384" cy="6350"/>
                    </a:xfrm>
                    <a:prstGeom prst="rect">
                      <a:avLst/>
                    </a:prstGeom>
                  </pic:spPr>
                </pic:pic>
              </a:graphicData>
            </a:graphic>
          </wp:anchor>
        </w:drawing>
      </w:r>
      <w:r/>
    </w:p>
    <w:p>
      <w:pPr>
        <w:pStyle w:val="BodyText"/>
        <w:spacing w:line="244" w:lineRule="auto"/>
        <w:rPr/>
      </w:pPr>
      <w:r/>
    </w:p>
    <w:p>
      <w:pPr>
        <w:pStyle w:val="BodyText"/>
        <w:spacing w:line="244" w:lineRule="auto"/>
        <w:rPr/>
      </w:pPr>
      <w:r/>
    </w:p>
    <w:p>
      <w:pPr>
        <w:pStyle w:val="BodyText"/>
        <w:spacing w:line="244" w:lineRule="auto"/>
        <w:rPr/>
      </w:pPr>
      <w:r/>
    </w:p>
    <w:p>
      <w:pPr>
        <w:spacing w:before="68" w:line="293" w:lineRule="auto"/>
        <w:jc w:val="both"/>
        <w:rPr>
          <w:rFonts w:ascii="SimSun" w:hAnsi="SimSun" w:eastAsia="SimSun" w:cs="SimSun"/>
          <w:sz w:val="21"/>
          <w:szCs w:val="21"/>
        </w:rPr>
      </w:pPr>
      <w:r>
        <w:rPr>
          <w:rFonts w:ascii="SimSun" w:hAnsi="SimSun" w:eastAsia="SimSun" w:cs="SimSun"/>
          <w:sz w:val="21"/>
          <w:szCs w:val="21"/>
          <w:spacing w:val="-3"/>
        </w:rPr>
        <w:t>在2020年更名为蚂蚁集团，并将其战略由金融转向科技领域。①自</w:t>
      </w:r>
      <w:r>
        <w:rPr>
          <w:rFonts w:ascii="SimSun" w:hAnsi="SimSun" w:eastAsia="SimSun" w:cs="SimSun"/>
          <w:sz w:val="21"/>
          <w:szCs w:val="21"/>
          <w:spacing w:val="16"/>
        </w:rPr>
        <w:t xml:space="preserve"> </w:t>
      </w:r>
      <w:r>
        <w:rPr>
          <w:rFonts w:ascii="SimSun" w:hAnsi="SimSun" w:eastAsia="SimSun" w:cs="SimSun"/>
          <w:sz w:val="21"/>
          <w:szCs w:val="21"/>
          <w:spacing w:val="-3"/>
        </w:rPr>
        <w:t>此，蚂蚁金服全面实现从第三方支付平台到综合</w:t>
      </w:r>
      <w:r>
        <w:rPr>
          <w:rFonts w:ascii="SimSun" w:hAnsi="SimSun" w:eastAsia="SimSun" w:cs="SimSun"/>
          <w:sz w:val="21"/>
          <w:szCs w:val="21"/>
          <w:spacing w:val="-4"/>
        </w:rPr>
        <w:t>性数字金融平台的</w:t>
      </w:r>
      <w:r>
        <w:rPr>
          <w:rFonts w:ascii="SimSun" w:hAnsi="SimSun" w:eastAsia="SimSun" w:cs="SimSun"/>
          <w:sz w:val="21"/>
          <w:szCs w:val="21"/>
        </w:rPr>
        <w:t xml:space="preserve"> </w:t>
      </w:r>
      <w:r>
        <w:rPr>
          <w:rFonts w:ascii="SimSun" w:hAnsi="SimSun" w:eastAsia="SimSun" w:cs="SimSun"/>
          <w:sz w:val="21"/>
          <w:szCs w:val="21"/>
          <w:spacing w:val="-4"/>
        </w:rPr>
        <w:t>整体转变，进而实现解决原有传统金融机构普惠性、精准性、便利</w:t>
      </w:r>
      <w:r>
        <w:rPr>
          <w:rFonts w:ascii="SimSun" w:hAnsi="SimSun" w:eastAsia="SimSun" w:cs="SimSun"/>
          <w:sz w:val="21"/>
          <w:szCs w:val="21"/>
        </w:rPr>
        <w:t xml:space="preserve"> </w:t>
      </w:r>
      <w:r>
        <w:rPr>
          <w:rFonts w:ascii="SimSun" w:hAnsi="SimSun" w:eastAsia="SimSun" w:cs="SimSun"/>
          <w:sz w:val="21"/>
          <w:szCs w:val="21"/>
          <w:spacing w:val="-11"/>
        </w:rPr>
        <w:t>性三大痛点的新能力。</w:t>
      </w:r>
    </w:p>
    <w:p>
      <w:pPr>
        <w:pStyle w:val="BodyText"/>
        <w:spacing w:line="45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6"/>
        </w:rPr>
        <w:t>中国数字金融平台的特点：规模大、聚合广、颠覆性强</w:t>
      </w:r>
    </w:p>
    <w:p>
      <w:pPr>
        <w:pStyle w:val="BodyText"/>
        <w:spacing w:line="363" w:lineRule="auto"/>
        <w:rPr/>
      </w:pPr>
      <w:r/>
    </w:p>
    <w:p>
      <w:pPr>
        <w:ind w:right="24" w:firstLine="309"/>
        <w:spacing w:before="68" w:line="300" w:lineRule="auto"/>
        <w:jc w:val="both"/>
        <w:rPr>
          <w:rFonts w:ascii="SimSun" w:hAnsi="SimSun" w:eastAsia="SimSun" w:cs="SimSun"/>
          <w:sz w:val="21"/>
          <w:szCs w:val="21"/>
        </w:rPr>
      </w:pPr>
      <w:r>
        <w:rPr>
          <w:rFonts w:ascii="SimSun" w:hAnsi="SimSun" w:eastAsia="SimSun" w:cs="SimSun"/>
          <w:sz w:val="21"/>
          <w:szCs w:val="21"/>
          <w:spacing w:val="-3"/>
        </w:rPr>
        <w:t>与国际金融科技平台相比，中国数字金融平台的规模更大，聚</w:t>
      </w:r>
      <w:r>
        <w:rPr>
          <w:rFonts w:ascii="SimSun" w:hAnsi="SimSun" w:eastAsia="SimSun" w:cs="SimSun"/>
          <w:sz w:val="21"/>
          <w:szCs w:val="21"/>
        </w:rPr>
        <w:t xml:space="preserve">  </w:t>
      </w:r>
      <w:r>
        <w:rPr>
          <w:rFonts w:ascii="SimSun" w:hAnsi="SimSun" w:eastAsia="SimSun" w:cs="SimSun"/>
          <w:sz w:val="21"/>
          <w:szCs w:val="21"/>
          <w:spacing w:val="-11"/>
        </w:rPr>
        <w:t>合的业务更加丰富。中国传统金融服务供给的不充分为数字金融平台</w:t>
      </w:r>
      <w:r>
        <w:rPr>
          <w:rFonts w:ascii="SimSun" w:hAnsi="SimSun" w:eastAsia="SimSun" w:cs="SimSun"/>
          <w:sz w:val="21"/>
          <w:szCs w:val="21"/>
          <w:spacing w:val="10"/>
        </w:rPr>
        <w:t xml:space="preserve"> </w:t>
      </w:r>
      <w:r>
        <w:rPr>
          <w:rFonts w:ascii="SimSun" w:hAnsi="SimSun" w:eastAsia="SimSun" w:cs="SimSun"/>
          <w:sz w:val="21"/>
          <w:szCs w:val="21"/>
          <w:spacing w:val="-11"/>
        </w:rPr>
        <w:t>的发展提供了更大的空间，与国际的金融科技行业平台相比，中国数</w:t>
      </w:r>
      <w:r>
        <w:rPr>
          <w:rFonts w:ascii="SimSun" w:hAnsi="SimSun" w:eastAsia="SimSun" w:cs="SimSun"/>
          <w:sz w:val="21"/>
          <w:szCs w:val="21"/>
          <w:spacing w:val="17"/>
        </w:rPr>
        <w:t xml:space="preserve"> </w:t>
      </w:r>
      <w:r>
        <w:rPr>
          <w:rFonts w:ascii="SimSun" w:hAnsi="SimSun" w:eastAsia="SimSun" w:cs="SimSun"/>
          <w:sz w:val="21"/>
          <w:szCs w:val="21"/>
          <w:spacing w:val="-10"/>
        </w:rPr>
        <w:t>字金融平台的发展规模更大。聚合广度方面</w:t>
      </w:r>
      <w:r>
        <w:rPr>
          <w:rFonts w:ascii="SimSun" w:hAnsi="SimSun" w:eastAsia="SimSun" w:cs="SimSun"/>
          <w:sz w:val="21"/>
          <w:szCs w:val="21"/>
          <w:spacing w:val="-11"/>
        </w:rPr>
        <w:t>，以支付宝和微信支付为</w:t>
      </w:r>
      <w:r>
        <w:rPr>
          <w:rFonts w:ascii="SimSun" w:hAnsi="SimSun" w:eastAsia="SimSun" w:cs="SimSun"/>
          <w:sz w:val="21"/>
          <w:szCs w:val="21"/>
        </w:rPr>
        <w:t xml:space="preserve"> </w:t>
      </w:r>
      <w:r>
        <w:rPr>
          <w:rFonts w:ascii="SimSun" w:hAnsi="SimSun" w:eastAsia="SimSun" w:cs="SimSun"/>
          <w:sz w:val="21"/>
          <w:szCs w:val="21"/>
          <w:spacing w:val="-11"/>
        </w:rPr>
        <w:t>例，中国的数字金融平台聚合了各种各样的生活类服务，而国外的数</w:t>
      </w:r>
      <w:r>
        <w:rPr>
          <w:rFonts w:ascii="SimSun" w:hAnsi="SimSun" w:eastAsia="SimSun" w:cs="SimSun"/>
          <w:sz w:val="21"/>
          <w:szCs w:val="21"/>
          <w:spacing w:val="17"/>
        </w:rPr>
        <w:t xml:space="preserve"> </w:t>
      </w:r>
      <w:r>
        <w:rPr>
          <w:rFonts w:ascii="SimSun" w:hAnsi="SimSun" w:eastAsia="SimSun" w:cs="SimSun"/>
          <w:sz w:val="21"/>
          <w:szCs w:val="21"/>
          <w:spacing w:val="-11"/>
        </w:rPr>
        <w:t>字金融平台更多是补充性的，或聚焦于技术性创</w:t>
      </w:r>
      <w:r>
        <w:rPr>
          <w:rFonts w:ascii="SimSun" w:hAnsi="SimSun" w:eastAsia="SimSun" w:cs="SimSun"/>
          <w:sz w:val="21"/>
          <w:szCs w:val="21"/>
          <w:spacing w:val="-12"/>
        </w:rPr>
        <w:t>新。</w:t>
      </w:r>
    </w:p>
    <w:p>
      <w:pPr>
        <w:ind w:right="19" w:firstLine="309"/>
        <w:spacing w:before="106" w:line="307" w:lineRule="auto"/>
        <w:jc w:val="both"/>
        <w:rPr>
          <w:rFonts w:ascii="SimSun" w:hAnsi="SimSun" w:eastAsia="SimSun" w:cs="SimSun"/>
          <w:sz w:val="21"/>
          <w:szCs w:val="21"/>
        </w:rPr>
      </w:pPr>
      <w:r>
        <w:rPr>
          <w:rFonts w:ascii="SimSun" w:hAnsi="SimSun" w:eastAsia="SimSun" w:cs="SimSun"/>
          <w:sz w:val="21"/>
          <w:szCs w:val="21"/>
          <w:spacing w:val="-11"/>
        </w:rPr>
        <w:t>数字金融平台解决了中国传统金融服务中的很多痛点，对中国整</w:t>
      </w:r>
      <w:r>
        <w:rPr>
          <w:rFonts w:ascii="SimSun" w:hAnsi="SimSun" w:eastAsia="SimSun" w:cs="SimSun"/>
          <w:sz w:val="21"/>
          <w:szCs w:val="21"/>
          <w:spacing w:val="8"/>
        </w:rPr>
        <w:t xml:space="preserve">  </w:t>
      </w:r>
      <w:r>
        <w:rPr>
          <w:rFonts w:ascii="SimSun" w:hAnsi="SimSun" w:eastAsia="SimSun" w:cs="SimSun"/>
          <w:sz w:val="21"/>
          <w:szCs w:val="21"/>
          <w:spacing w:val="-11"/>
        </w:rPr>
        <w:t>个金融业的发展更具颠覆性。首先，数字金融平台存在长尾效应，可</w:t>
      </w:r>
      <w:r>
        <w:rPr>
          <w:rFonts w:ascii="SimSun" w:hAnsi="SimSun" w:eastAsia="SimSun" w:cs="SimSun"/>
          <w:sz w:val="21"/>
          <w:szCs w:val="21"/>
          <w:spacing w:val="17"/>
        </w:rPr>
        <w:t xml:space="preserve"> </w:t>
      </w:r>
      <w:r>
        <w:rPr>
          <w:rFonts w:ascii="SimSun" w:hAnsi="SimSun" w:eastAsia="SimSun" w:cs="SimSun"/>
          <w:sz w:val="21"/>
          <w:szCs w:val="21"/>
          <w:spacing w:val="-10"/>
        </w:rPr>
        <w:t>以用边际成本几乎为零的方式，连接到数以亿计的乡村</w:t>
      </w:r>
      <w:r>
        <w:rPr>
          <w:rFonts w:ascii="SimSun" w:hAnsi="SimSun" w:eastAsia="SimSun" w:cs="SimSun"/>
          <w:sz w:val="21"/>
          <w:szCs w:val="21"/>
          <w:spacing w:val="-11"/>
        </w:rPr>
        <w:t>和偏远区域的</w:t>
      </w:r>
      <w:r>
        <w:rPr>
          <w:rFonts w:ascii="SimSun" w:hAnsi="SimSun" w:eastAsia="SimSun" w:cs="SimSun"/>
          <w:sz w:val="21"/>
          <w:szCs w:val="21"/>
        </w:rPr>
        <w:t xml:space="preserve"> </w:t>
      </w:r>
      <w:r>
        <w:rPr>
          <w:rFonts w:ascii="SimSun" w:hAnsi="SimSun" w:eastAsia="SimSun" w:cs="SimSun"/>
          <w:sz w:val="21"/>
          <w:szCs w:val="21"/>
          <w:spacing w:val="-4"/>
        </w:rPr>
        <w:t>低收入人群、中小微企业等传统金融很难触达的用户，进而高效率</w:t>
      </w:r>
      <w:r>
        <w:rPr>
          <w:rFonts w:ascii="SimSun" w:hAnsi="SimSun" w:eastAsia="SimSun" w:cs="SimSun"/>
          <w:sz w:val="21"/>
          <w:szCs w:val="21"/>
          <w:spacing w:val="14"/>
        </w:rPr>
        <w:t xml:space="preserve"> </w:t>
      </w:r>
      <w:r>
        <w:rPr>
          <w:rFonts w:ascii="SimSun" w:hAnsi="SimSun" w:eastAsia="SimSun" w:cs="SimSun"/>
          <w:sz w:val="21"/>
          <w:szCs w:val="21"/>
          <w:spacing w:val="-11"/>
        </w:rPr>
        <w:t>地解决传统金融所面临的“获客难”问题。其次，得益于包括蚂蚁金</w:t>
      </w:r>
      <w:r>
        <w:rPr>
          <w:rFonts w:ascii="SimSun" w:hAnsi="SimSun" w:eastAsia="SimSun" w:cs="SimSun"/>
          <w:sz w:val="21"/>
          <w:szCs w:val="21"/>
          <w:spacing w:val="17"/>
        </w:rPr>
        <w:t xml:space="preserve"> </w:t>
      </w:r>
      <w:r>
        <w:rPr>
          <w:rFonts w:ascii="SimSun" w:hAnsi="SimSun" w:eastAsia="SimSun" w:cs="SimSun"/>
          <w:sz w:val="21"/>
          <w:szCs w:val="21"/>
          <w:spacing w:val="-10"/>
        </w:rPr>
        <w:t>服、腾讯金融、京东数科、陆金所等在内的数字金</w:t>
      </w:r>
      <w:r>
        <w:rPr>
          <w:rFonts w:ascii="SimSun" w:hAnsi="SimSun" w:eastAsia="SimSun" w:cs="SimSun"/>
          <w:sz w:val="21"/>
          <w:szCs w:val="21"/>
          <w:spacing w:val="-11"/>
        </w:rPr>
        <w:t>融平台的不断探索</w:t>
      </w:r>
      <w:r>
        <w:rPr>
          <w:rFonts w:ascii="SimSun" w:hAnsi="SimSun" w:eastAsia="SimSun" w:cs="SimSun"/>
          <w:sz w:val="21"/>
          <w:szCs w:val="21"/>
        </w:rPr>
        <w:t xml:space="preserve"> </w:t>
      </w:r>
      <w:r>
        <w:rPr>
          <w:rFonts w:ascii="SimSun" w:hAnsi="SimSun" w:eastAsia="SimSun" w:cs="SimSun"/>
          <w:sz w:val="21"/>
          <w:szCs w:val="21"/>
          <w:spacing w:val="-4"/>
        </w:rPr>
        <w:t>创新，人们只要借助一部智能手机就可以无障碍地获得众多金融服</w:t>
      </w:r>
      <w:r>
        <w:rPr>
          <w:rFonts w:ascii="SimSun" w:hAnsi="SimSun" w:eastAsia="SimSun" w:cs="SimSun"/>
          <w:sz w:val="21"/>
          <w:szCs w:val="21"/>
          <w:spacing w:val="13"/>
        </w:rPr>
        <w:t xml:space="preserve"> </w:t>
      </w:r>
      <w:r>
        <w:rPr>
          <w:rFonts w:ascii="SimSun" w:hAnsi="SimSun" w:eastAsia="SimSun" w:cs="SimSun"/>
          <w:sz w:val="21"/>
          <w:szCs w:val="21"/>
          <w:spacing w:val="-11"/>
        </w:rPr>
        <w:t>务，如支付、信贷和理财等。然后，数字金融平台运用数字技术，缓</w:t>
      </w:r>
      <w:r>
        <w:rPr>
          <w:rFonts w:ascii="SimSun" w:hAnsi="SimSun" w:eastAsia="SimSun" w:cs="SimSun"/>
          <w:sz w:val="21"/>
          <w:szCs w:val="21"/>
          <w:spacing w:val="16"/>
        </w:rPr>
        <w:t xml:space="preserve"> </w:t>
      </w:r>
      <w:r>
        <w:rPr>
          <w:rFonts w:ascii="SimSun" w:hAnsi="SimSun" w:eastAsia="SimSun" w:cs="SimSun"/>
          <w:sz w:val="21"/>
          <w:szCs w:val="21"/>
          <w:spacing w:val="-11"/>
        </w:rPr>
        <w:t>解了传统金融服务中的信息不对称问题，在一定程度上解决了传统金</w:t>
      </w:r>
      <w:r>
        <w:rPr>
          <w:rFonts w:ascii="SimSun" w:hAnsi="SimSun" w:eastAsia="SimSun" w:cs="SimSun"/>
          <w:sz w:val="21"/>
          <w:szCs w:val="21"/>
          <w:spacing w:val="17"/>
        </w:rPr>
        <w:t xml:space="preserve"> </w:t>
      </w:r>
      <w:r>
        <w:rPr>
          <w:rFonts w:ascii="SimSun" w:hAnsi="SimSun" w:eastAsia="SimSun" w:cs="SimSun"/>
          <w:sz w:val="21"/>
          <w:szCs w:val="21"/>
          <w:spacing w:val="-12"/>
        </w:rPr>
        <w:t>融机构面临的“风控难”问题。</w:t>
      </w:r>
    </w:p>
    <w:p>
      <w:pPr>
        <w:pStyle w:val="BodyText"/>
        <w:spacing w:line="298" w:lineRule="auto"/>
        <w:rPr/>
      </w:pPr>
      <w:r/>
    </w:p>
    <w:p>
      <w:pPr>
        <w:pStyle w:val="BodyText"/>
        <w:spacing w:line="298" w:lineRule="auto"/>
        <w:rPr/>
      </w:pPr>
      <w:r/>
    </w:p>
    <w:p>
      <w:pPr>
        <w:pStyle w:val="BodyText"/>
        <w:spacing w:line="299" w:lineRule="auto"/>
        <w:rPr/>
      </w:pPr>
      <w:r/>
    </w:p>
    <w:p>
      <w:pPr>
        <w:ind w:left="309" w:right="4" w:hanging="309"/>
        <w:spacing w:before="52" w:line="272" w:lineRule="auto"/>
        <w:rPr>
          <w:rFonts w:ascii="KaiTi" w:hAnsi="KaiTi" w:eastAsia="KaiTi" w:cs="KaiTi"/>
          <w:sz w:val="16"/>
          <w:szCs w:val="16"/>
        </w:rPr>
      </w:pPr>
      <w:r>
        <w:rPr>
          <w:rFonts w:ascii="SimSun" w:hAnsi="SimSun" w:eastAsia="SimSun" w:cs="SimSun"/>
          <w:sz w:val="16"/>
          <w:szCs w:val="16"/>
          <w:spacing w:val="3"/>
        </w:rPr>
        <w:t>①</w:t>
      </w:r>
      <w:r>
        <w:rPr>
          <w:rFonts w:ascii="SimSun" w:hAnsi="SimSun" w:eastAsia="SimSun" w:cs="SimSun"/>
          <w:sz w:val="16"/>
          <w:szCs w:val="16"/>
          <w:spacing w:val="58"/>
        </w:rPr>
        <w:t xml:space="preserve"> </w:t>
      </w:r>
      <w:r>
        <w:rPr>
          <w:rFonts w:ascii="KaiTi" w:hAnsi="KaiTi" w:eastAsia="KaiTi" w:cs="KaiTi"/>
          <w:sz w:val="16"/>
          <w:szCs w:val="16"/>
          <w:spacing w:val="3"/>
        </w:rPr>
        <w:t>任泽平，曹志楠，黄斯佳.解码蚂蚁：如何成为全球最大独角兽.恒大研究院研究</w:t>
      </w:r>
      <w:r>
        <w:rPr>
          <w:rFonts w:ascii="KaiTi" w:hAnsi="KaiTi" w:eastAsia="KaiTi" w:cs="KaiTi"/>
          <w:sz w:val="16"/>
          <w:szCs w:val="16"/>
        </w:rPr>
        <w:t xml:space="preserve"> </w:t>
      </w:r>
      <w:r>
        <w:rPr>
          <w:rFonts w:ascii="KaiTi" w:hAnsi="KaiTi" w:eastAsia="KaiTi" w:cs="KaiTi"/>
          <w:sz w:val="16"/>
          <w:szCs w:val="16"/>
        </w:rPr>
        <w:t>报告，2020-10-11.</w:t>
      </w:r>
    </w:p>
    <w:p>
      <w:pPr>
        <w:spacing w:line="272" w:lineRule="auto"/>
        <w:sectPr>
          <w:headerReference w:type="default" r:id="rId255"/>
          <w:pgSz w:w="7330" w:h="12480"/>
          <w:pgMar w:top="855" w:right="965" w:bottom="400" w:left="350" w:header="693" w:footer="0" w:gutter="0"/>
        </w:sectPr>
        <w:rPr>
          <w:rFonts w:ascii="KaiTi" w:hAnsi="KaiTi" w:eastAsia="KaiTi" w:cs="KaiTi"/>
          <w:sz w:val="16"/>
          <w:szCs w:val="16"/>
        </w:rPr>
      </w:pPr>
    </w:p>
    <w:p>
      <w:pPr>
        <w:pStyle w:val="BodyText"/>
        <w:spacing w:line="249" w:lineRule="auto"/>
        <w:rPr/>
      </w:pPr>
      <w:r>
        <w:drawing>
          <wp:anchor distT="0" distB="0" distL="0" distR="0" simplePos="0" relativeHeight="253874176" behindDoc="0" locked="0" layoutInCell="0" allowOverlap="1">
            <wp:simplePos x="0" y="0"/>
            <wp:positionH relativeFrom="page">
              <wp:posOffset>253998</wp:posOffset>
            </wp:positionH>
            <wp:positionV relativeFrom="page">
              <wp:posOffset>4864078</wp:posOffset>
            </wp:positionV>
            <wp:extent cx="520705" cy="6350"/>
            <wp:effectExtent l="0" t="0" r="0" b="0"/>
            <wp:wrapNone/>
            <wp:docPr id="198" name="IM 198"/>
            <wp:cNvGraphicFramePr/>
            <a:graphic>
              <a:graphicData uri="http://schemas.openxmlformats.org/drawingml/2006/picture">
                <pic:pic>
                  <pic:nvPicPr>
                    <pic:cNvPr id="198" name="IM 198"/>
                    <pic:cNvPicPr/>
                  </pic:nvPicPr>
                  <pic:blipFill>
                    <a:blip r:embed="rId258"/>
                    <a:stretch>
                      <a:fillRect/>
                    </a:stretch>
                  </pic:blipFill>
                  <pic:spPr>
                    <a:xfrm rot="0">
                      <a:off x="0" y="0"/>
                      <a:ext cx="520705" cy="6350"/>
                    </a:xfrm>
                    <a:prstGeom prst="rect">
                      <a:avLst/>
                    </a:prstGeom>
                  </pic:spPr>
                </pic:pic>
              </a:graphicData>
            </a:graphic>
          </wp:anchor>
        </w:drawing>
      </w:r>
      <w:r/>
    </w:p>
    <w:p>
      <w:pPr>
        <w:pStyle w:val="BodyText"/>
        <w:spacing w:line="249" w:lineRule="auto"/>
        <w:rPr/>
      </w:pPr>
      <w:r/>
    </w:p>
    <w:p>
      <w:pPr>
        <w:pStyle w:val="BodyText"/>
        <w:spacing w:line="250" w:lineRule="auto"/>
        <w:rPr/>
      </w:pPr>
      <w:r/>
    </w:p>
    <w:p>
      <w:pPr>
        <w:pStyle w:val="BodyText"/>
        <w:spacing w:line="250" w:lineRule="auto"/>
        <w:rPr/>
      </w:pPr>
      <w:r/>
    </w:p>
    <w:p>
      <w:pPr>
        <w:ind w:left="253"/>
        <w:spacing w:before="81" w:line="221" w:lineRule="auto"/>
        <w:rPr>
          <w:rFonts w:ascii="SimHei" w:hAnsi="SimHei" w:eastAsia="SimHei" w:cs="SimHei"/>
          <w:sz w:val="25"/>
          <w:szCs w:val="25"/>
        </w:rPr>
      </w:pPr>
      <w:r>
        <w:rPr>
          <w:rFonts w:ascii="SimHei" w:hAnsi="SimHei" w:eastAsia="SimHei" w:cs="SimHei"/>
          <w:sz w:val="25"/>
          <w:szCs w:val="25"/>
          <w:b/>
          <w:bCs/>
          <w:spacing w:val="-13"/>
        </w:rPr>
        <w:t>中国数字金融平台的发展模式为市场拉动型</w:t>
      </w:r>
    </w:p>
    <w:p>
      <w:pPr>
        <w:pStyle w:val="BodyText"/>
        <w:spacing w:line="340" w:lineRule="auto"/>
        <w:rPr/>
      </w:pPr>
      <w:r/>
    </w:p>
    <w:p>
      <w:pPr>
        <w:ind w:left="250" w:right="75" w:firstLine="304"/>
        <w:spacing w:before="68" w:line="293" w:lineRule="auto"/>
        <w:jc w:val="both"/>
        <w:rPr>
          <w:rFonts w:ascii="SimSun" w:hAnsi="SimSun" w:eastAsia="SimSun" w:cs="SimSun"/>
          <w:sz w:val="21"/>
          <w:szCs w:val="21"/>
        </w:rPr>
      </w:pPr>
      <w:r>
        <w:rPr>
          <w:rFonts w:ascii="SimSun" w:hAnsi="SimSun" w:eastAsia="SimSun" w:cs="SimSun"/>
          <w:sz w:val="21"/>
          <w:szCs w:val="21"/>
          <w:spacing w:val="-6"/>
        </w:rPr>
        <w:t>《亚洲金融合作协会金融科技实践报告》总</w:t>
      </w:r>
      <w:r>
        <w:rPr>
          <w:rFonts w:ascii="SimSun" w:hAnsi="SimSun" w:eastAsia="SimSun" w:cs="SimSun"/>
          <w:sz w:val="21"/>
          <w:szCs w:val="21"/>
          <w:spacing w:val="-7"/>
        </w:rPr>
        <w:t>结出五种金融科技发</w:t>
      </w:r>
      <w:r>
        <w:rPr>
          <w:rFonts w:ascii="SimSun" w:hAnsi="SimSun" w:eastAsia="SimSun" w:cs="SimSun"/>
          <w:sz w:val="21"/>
          <w:szCs w:val="21"/>
        </w:rPr>
        <w:t xml:space="preserve"> </w:t>
      </w:r>
      <w:r>
        <w:rPr>
          <w:rFonts w:ascii="SimSun" w:hAnsi="SimSun" w:eastAsia="SimSun" w:cs="SimSun"/>
          <w:sz w:val="21"/>
          <w:szCs w:val="21"/>
          <w:spacing w:val="-11"/>
        </w:rPr>
        <w:t>展模式：美国、英国、中国分别表现为技术推动模式、规则推动模式</w:t>
      </w:r>
      <w:r>
        <w:rPr>
          <w:rFonts w:ascii="SimSun" w:hAnsi="SimSun" w:eastAsia="SimSun" w:cs="SimSun"/>
          <w:sz w:val="21"/>
          <w:szCs w:val="21"/>
          <w:spacing w:val="16"/>
        </w:rPr>
        <w:t xml:space="preserve"> </w:t>
      </w:r>
      <w:r>
        <w:rPr>
          <w:rFonts w:ascii="SimSun" w:hAnsi="SimSun" w:eastAsia="SimSun" w:cs="SimSun"/>
          <w:sz w:val="21"/>
          <w:szCs w:val="21"/>
          <w:spacing w:val="-4"/>
        </w:rPr>
        <w:t>和市场拉动模式，以及以日本、印尼为代表的混合竞争模式，以韩</w:t>
      </w:r>
      <w:r>
        <w:rPr>
          <w:rFonts w:ascii="SimSun" w:hAnsi="SimSun" w:eastAsia="SimSun" w:cs="SimSun"/>
          <w:sz w:val="21"/>
          <w:szCs w:val="21"/>
          <w:spacing w:val="18"/>
        </w:rPr>
        <w:t xml:space="preserve"> </w:t>
      </w:r>
      <w:r>
        <w:rPr>
          <w:rFonts w:ascii="SimSun" w:hAnsi="SimSun" w:eastAsia="SimSun" w:cs="SimSun"/>
          <w:sz w:val="21"/>
          <w:szCs w:val="21"/>
          <w:spacing w:val="-11"/>
        </w:rPr>
        <w:t>国、以色列为代表的以点带面模式。</w:t>
      </w:r>
    </w:p>
    <w:p>
      <w:pPr>
        <w:ind w:left="250" w:firstLine="469"/>
        <w:spacing w:before="104" w:line="308" w:lineRule="auto"/>
        <w:jc w:val="both"/>
        <w:rPr>
          <w:rFonts w:ascii="SimSun" w:hAnsi="SimSun" w:eastAsia="SimSun" w:cs="SimSun"/>
          <w:sz w:val="21"/>
          <w:szCs w:val="21"/>
        </w:rPr>
      </w:pPr>
      <w:r>
        <w:rPr>
          <w:rFonts w:ascii="SimSun" w:hAnsi="SimSun" w:eastAsia="SimSun" w:cs="SimSun"/>
          <w:sz w:val="21"/>
          <w:szCs w:val="21"/>
          <w:spacing w:val="-11"/>
        </w:rPr>
        <w:t>中国数字金融平台的发展得益于庞大的数字经济市场规模和旺盛</w:t>
      </w:r>
      <w:r>
        <w:rPr>
          <w:rFonts w:ascii="SimSun" w:hAnsi="SimSun" w:eastAsia="SimSun" w:cs="SimSun"/>
          <w:sz w:val="21"/>
          <w:szCs w:val="21"/>
          <w:spacing w:val="8"/>
        </w:rPr>
        <w:t xml:space="preserve"> </w:t>
      </w:r>
      <w:r>
        <w:rPr>
          <w:rFonts w:ascii="SimSun" w:hAnsi="SimSun" w:eastAsia="SimSun" w:cs="SimSun"/>
          <w:sz w:val="21"/>
          <w:szCs w:val="21"/>
        </w:rPr>
        <w:t>的数字金融市场需求。首先，中国信息通信研究院2021年4月发布</w:t>
      </w:r>
      <w:r>
        <w:rPr>
          <w:rFonts w:ascii="SimSun" w:hAnsi="SimSun" w:eastAsia="SimSun" w:cs="SimSun"/>
          <w:sz w:val="21"/>
          <w:szCs w:val="21"/>
          <w:spacing w:val="2"/>
        </w:rPr>
        <w:t xml:space="preserve">  </w:t>
      </w:r>
      <w:r>
        <w:rPr>
          <w:rFonts w:ascii="SimSun" w:hAnsi="SimSun" w:eastAsia="SimSun" w:cs="SimSun"/>
          <w:sz w:val="21"/>
          <w:szCs w:val="21"/>
          <w:spacing w:val="-3"/>
        </w:rPr>
        <w:t>的《中国数字经济发展白皮书》显示，2020</w:t>
      </w:r>
      <w:r>
        <w:rPr>
          <w:rFonts w:ascii="SimSun" w:hAnsi="SimSun" w:eastAsia="SimSun" w:cs="SimSun"/>
          <w:sz w:val="21"/>
          <w:szCs w:val="21"/>
          <w:spacing w:val="-4"/>
        </w:rPr>
        <w:t>年我国数字经济规模达</w:t>
      </w:r>
      <w:r>
        <w:rPr>
          <w:rFonts w:ascii="SimSun" w:hAnsi="SimSun" w:eastAsia="SimSun" w:cs="SimSun"/>
          <w:sz w:val="21"/>
          <w:szCs w:val="21"/>
        </w:rPr>
        <w:t xml:space="preserve">  </w:t>
      </w:r>
      <w:r>
        <w:rPr>
          <w:rFonts w:ascii="SimSun" w:hAnsi="SimSun" w:eastAsia="SimSun" w:cs="SimSun"/>
          <w:sz w:val="21"/>
          <w:szCs w:val="21"/>
        </w:rPr>
        <w:t>到39.2万亿元，占</w:t>
      </w:r>
      <w:r>
        <w:rPr>
          <w:rFonts w:ascii="Times New Roman" w:hAnsi="Times New Roman" w:eastAsia="Times New Roman" w:cs="Times New Roman"/>
          <w:sz w:val="21"/>
          <w:szCs w:val="21"/>
        </w:rPr>
        <w:t>GDP</w:t>
      </w:r>
      <w:r>
        <w:rPr>
          <w:rFonts w:ascii="SimSun" w:hAnsi="SimSun" w:eastAsia="SimSun" w:cs="SimSun"/>
          <w:sz w:val="21"/>
          <w:szCs w:val="21"/>
        </w:rPr>
        <w:t>的比重为38.6%,依然保持9.7%</w:t>
      </w:r>
      <w:r>
        <w:rPr>
          <w:rFonts w:ascii="SimSun" w:hAnsi="SimSun" w:eastAsia="SimSun" w:cs="SimSun"/>
          <w:sz w:val="21"/>
          <w:szCs w:val="21"/>
          <w:spacing w:val="-1"/>
        </w:rPr>
        <w:t>的高位增长。</w:t>
      </w:r>
      <w:r>
        <w:rPr>
          <w:rFonts w:ascii="SimSun" w:hAnsi="SimSun" w:eastAsia="SimSun" w:cs="SimSun"/>
          <w:sz w:val="21"/>
          <w:szCs w:val="21"/>
        </w:rPr>
        <w:t xml:space="preserve"> </w:t>
      </w:r>
      <w:r>
        <w:rPr>
          <w:rFonts w:ascii="SimSun" w:hAnsi="SimSun" w:eastAsia="SimSun" w:cs="SimSun"/>
          <w:sz w:val="21"/>
          <w:szCs w:val="21"/>
          <w:spacing w:val="-11"/>
        </w:rPr>
        <w:t>其次，传统金融服务的痛点需要新的金融商业模式，数字技术赋能数</w:t>
      </w:r>
      <w:r>
        <w:rPr>
          <w:rFonts w:ascii="SimSun" w:hAnsi="SimSun" w:eastAsia="SimSun" w:cs="SimSun"/>
          <w:sz w:val="21"/>
          <w:szCs w:val="21"/>
          <w:spacing w:val="8"/>
        </w:rPr>
        <w:t xml:space="preserve">  </w:t>
      </w:r>
      <w:r>
        <w:rPr>
          <w:rFonts w:ascii="SimSun" w:hAnsi="SimSun" w:eastAsia="SimSun" w:cs="SimSun"/>
          <w:sz w:val="21"/>
          <w:szCs w:val="21"/>
          <w:spacing w:val="-10"/>
        </w:rPr>
        <w:t>字金融新商业模式，为金融业的发展提供了新动能。新商业</w:t>
      </w:r>
      <w:r>
        <w:rPr>
          <w:rFonts w:ascii="SimSun" w:hAnsi="SimSun" w:eastAsia="SimSun" w:cs="SimSun"/>
          <w:sz w:val="21"/>
          <w:szCs w:val="21"/>
          <w:spacing w:val="-11"/>
        </w:rPr>
        <w:t>模式可以</w:t>
      </w:r>
      <w:r>
        <w:rPr>
          <w:rFonts w:ascii="SimSun" w:hAnsi="SimSun" w:eastAsia="SimSun" w:cs="SimSun"/>
          <w:sz w:val="21"/>
          <w:szCs w:val="21"/>
        </w:rPr>
        <w:t xml:space="preserve">  </w:t>
      </w:r>
      <w:r>
        <w:rPr>
          <w:rFonts w:ascii="SimSun" w:hAnsi="SimSun" w:eastAsia="SimSun" w:cs="SimSun"/>
          <w:sz w:val="21"/>
          <w:szCs w:val="21"/>
          <w:spacing w:val="-11"/>
        </w:rPr>
        <w:t>利用数字技术解决传统金融服务供给不足的问题，例如通过覆盖长尾</w:t>
      </w:r>
      <w:r>
        <w:rPr>
          <w:rFonts w:ascii="SimSun" w:hAnsi="SimSun" w:eastAsia="SimSun" w:cs="SimSun"/>
          <w:sz w:val="21"/>
          <w:szCs w:val="21"/>
          <w:spacing w:val="8"/>
        </w:rPr>
        <w:t xml:space="preserve">  </w:t>
      </w:r>
      <w:r>
        <w:rPr>
          <w:rFonts w:ascii="SimSun" w:hAnsi="SimSun" w:eastAsia="SimSun" w:cs="SimSun"/>
          <w:sz w:val="21"/>
          <w:szCs w:val="21"/>
          <w:spacing w:val="-11"/>
        </w:rPr>
        <w:t>用户和探索业务可持续性，解决普惠金融问题。然后，随着中国数字</w:t>
      </w:r>
      <w:r>
        <w:rPr>
          <w:rFonts w:ascii="SimSun" w:hAnsi="SimSun" w:eastAsia="SimSun" w:cs="SimSun"/>
          <w:sz w:val="21"/>
          <w:szCs w:val="21"/>
          <w:spacing w:val="9"/>
        </w:rPr>
        <w:t xml:space="preserve">  </w:t>
      </w:r>
      <w:r>
        <w:rPr>
          <w:rFonts w:ascii="SimSun" w:hAnsi="SimSun" w:eastAsia="SimSun" w:cs="SimSun"/>
          <w:sz w:val="21"/>
          <w:szCs w:val="21"/>
          <w:spacing w:val="-10"/>
        </w:rPr>
        <w:t>金融业态的创新和完善，数字金融领域内包</w:t>
      </w:r>
      <w:r>
        <w:rPr>
          <w:rFonts w:ascii="SimSun" w:hAnsi="SimSun" w:eastAsia="SimSun" w:cs="SimSun"/>
          <w:sz w:val="21"/>
          <w:szCs w:val="21"/>
          <w:spacing w:val="-11"/>
        </w:rPr>
        <w:t>括支付宝、微信的在线支</w:t>
      </w:r>
      <w:r>
        <w:rPr>
          <w:rFonts w:ascii="SimSun" w:hAnsi="SimSun" w:eastAsia="SimSun" w:cs="SimSun"/>
          <w:sz w:val="21"/>
          <w:szCs w:val="21"/>
        </w:rPr>
        <w:t xml:space="preserve">  </w:t>
      </w:r>
      <w:r>
        <w:rPr>
          <w:rFonts w:ascii="SimSun" w:hAnsi="SimSun" w:eastAsia="SimSun" w:cs="SimSun"/>
          <w:sz w:val="21"/>
          <w:szCs w:val="21"/>
          <w:spacing w:val="-11"/>
        </w:rPr>
        <w:t>付系统、阿里小贷及基于各场景的供应链金融融资贷款等新商业模式</w:t>
      </w:r>
      <w:r>
        <w:rPr>
          <w:rFonts w:ascii="SimSun" w:hAnsi="SimSun" w:eastAsia="SimSun" w:cs="SimSun"/>
          <w:sz w:val="21"/>
          <w:szCs w:val="21"/>
          <w:spacing w:val="8"/>
        </w:rPr>
        <w:t xml:space="preserve">  </w:t>
      </w:r>
      <w:r>
        <w:rPr>
          <w:rFonts w:ascii="SimSun" w:hAnsi="SimSun" w:eastAsia="SimSun" w:cs="SimSun"/>
          <w:sz w:val="21"/>
          <w:szCs w:val="21"/>
          <w:spacing w:val="-10"/>
        </w:rPr>
        <w:t>在不断涌现并不断冲击传统金融机构的发展模式，促使传统金融机构</w:t>
      </w:r>
    </w:p>
    <w:p>
      <w:pPr>
        <w:ind w:left="250"/>
        <w:spacing w:before="110" w:line="219" w:lineRule="auto"/>
        <w:rPr>
          <w:rFonts w:ascii="SimSun" w:hAnsi="SimSun" w:eastAsia="SimSun" w:cs="SimSun"/>
          <w:sz w:val="21"/>
          <w:szCs w:val="21"/>
        </w:rPr>
      </w:pPr>
      <w:r>
        <w:rPr>
          <w:rFonts w:ascii="SimSun" w:hAnsi="SimSun" w:eastAsia="SimSun" w:cs="SimSun"/>
          <w:sz w:val="21"/>
          <w:szCs w:val="21"/>
          <w:spacing w:val="-10"/>
        </w:rPr>
        <w:t>不断提高对数字金融科技的重视程度。</w:t>
      </w:r>
    </w:p>
    <w:p>
      <w:pPr>
        <w:pStyle w:val="BodyText"/>
        <w:spacing w:line="384" w:lineRule="auto"/>
        <w:rPr/>
      </w:pPr>
      <w:r/>
    </w:p>
    <w:p>
      <w:pPr>
        <w:ind w:left="253"/>
        <w:spacing w:before="82" w:line="221" w:lineRule="auto"/>
        <w:rPr>
          <w:rFonts w:ascii="SimHei" w:hAnsi="SimHei" w:eastAsia="SimHei" w:cs="SimHei"/>
          <w:sz w:val="25"/>
          <w:szCs w:val="25"/>
        </w:rPr>
      </w:pPr>
      <w:r>
        <w:rPr>
          <w:rFonts w:ascii="SimHei" w:hAnsi="SimHei" w:eastAsia="SimHei" w:cs="SimHei"/>
          <w:sz w:val="25"/>
          <w:szCs w:val="25"/>
          <w:b/>
          <w:bCs/>
          <w:spacing w:val="-13"/>
        </w:rPr>
        <w:t>中国头部数字金融平台已开始布局海外市场</w:t>
      </w:r>
    </w:p>
    <w:p>
      <w:pPr>
        <w:pStyle w:val="BodyText"/>
        <w:spacing w:line="351" w:lineRule="auto"/>
        <w:rPr/>
      </w:pPr>
      <w:r/>
    </w:p>
    <w:p>
      <w:pPr>
        <w:ind w:left="250" w:right="30" w:firstLine="479"/>
        <w:spacing w:before="69" w:line="296" w:lineRule="auto"/>
        <w:jc w:val="both"/>
        <w:rPr>
          <w:rFonts w:ascii="SimSun" w:hAnsi="SimSun" w:eastAsia="SimSun" w:cs="SimSun"/>
          <w:sz w:val="21"/>
          <w:szCs w:val="21"/>
        </w:rPr>
      </w:pPr>
      <w:r>
        <w:rPr>
          <w:rFonts w:ascii="SimSun" w:hAnsi="SimSun" w:eastAsia="SimSun" w:cs="SimSun"/>
          <w:sz w:val="21"/>
          <w:szCs w:val="21"/>
          <w:spacing w:val="-11"/>
        </w:rPr>
        <w:t>中国的数字金融平台成为中国金融行业国际化探索的先锋队，它</w:t>
      </w:r>
      <w:r>
        <w:rPr>
          <w:rFonts w:ascii="SimSun" w:hAnsi="SimSun" w:eastAsia="SimSun" w:cs="SimSun"/>
          <w:sz w:val="21"/>
          <w:szCs w:val="21"/>
          <w:spacing w:val="1"/>
        </w:rPr>
        <w:t xml:space="preserve"> </w:t>
      </w:r>
      <w:r>
        <w:rPr>
          <w:rFonts w:ascii="SimSun" w:hAnsi="SimSun" w:eastAsia="SimSun" w:cs="SimSun"/>
          <w:sz w:val="21"/>
          <w:szCs w:val="21"/>
          <w:spacing w:val="-11"/>
        </w:rPr>
        <w:t>们凭借其技术优势和在中国市场积累的成功经验积极探索拓展国际业 </w:t>
      </w:r>
      <w:r>
        <w:rPr>
          <w:rFonts w:ascii="SimSun" w:hAnsi="SimSun" w:eastAsia="SimSun" w:cs="SimSun"/>
          <w:sz w:val="21"/>
          <w:szCs w:val="21"/>
          <w:spacing w:val="-3"/>
        </w:rPr>
        <w:t>务。2020年以来，我国头部的几家数字金融平台开始</w:t>
      </w:r>
      <w:r>
        <w:rPr>
          <w:rFonts w:ascii="SimSun" w:hAnsi="SimSun" w:eastAsia="SimSun" w:cs="SimSun"/>
          <w:sz w:val="21"/>
          <w:szCs w:val="21"/>
          <w:spacing w:val="-4"/>
        </w:rPr>
        <w:t>积极布局海外</w:t>
      </w:r>
      <w:r>
        <w:rPr>
          <w:rFonts w:ascii="SimSun" w:hAnsi="SimSun" w:eastAsia="SimSun" w:cs="SimSun"/>
          <w:sz w:val="21"/>
          <w:szCs w:val="21"/>
        </w:rPr>
        <w:t xml:space="preserve"> </w:t>
      </w:r>
      <w:r>
        <w:rPr>
          <w:rFonts w:ascii="SimSun" w:hAnsi="SimSun" w:eastAsia="SimSun" w:cs="SimSun"/>
          <w:sz w:val="21"/>
          <w:szCs w:val="21"/>
          <w:spacing w:val="-7"/>
        </w:rPr>
        <w:t>市场，成为中国金融机构出海的先锋队。蚂蚁集团已经对至少9个国</w:t>
      </w:r>
      <w:r>
        <w:rPr>
          <w:rFonts w:ascii="SimSun" w:hAnsi="SimSun" w:eastAsia="SimSun" w:cs="SimSun"/>
          <w:sz w:val="21"/>
          <w:szCs w:val="21"/>
          <w:spacing w:val="14"/>
        </w:rPr>
        <w:t xml:space="preserve"> </w:t>
      </w:r>
      <w:r>
        <w:rPr>
          <w:rFonts w:ascii="SimSun" w:hAnsi="SimSun" w:eastAsia="SimSun" w:cs="SimSun"/>
          <w:sz w:val="21"/>
          <w:szCs w:val="21"/>
          <w:spacing w:val="-11"/>
        </w:rPr>
        <w:t>家的相关金融科技企业投资，力图帮助其打造本土化支付宝。其中蚂 </w:t>
      </w:r>
      <w:r>
        <w:rPr>
          <w:rFonts w:ascii="SimSun" w:hAnsi="SimSun" w:eastAsia="SimSun" w:cs="SimSun"/>
          <w:sz w:val="21"/>
          <w:szCs w:val="21"/>
          <w:spacing w:val="-5"/>
        </w:rPr>
        <w:t>蚁集团投资的印度的</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5"/>
        </w:rPr>
        <w:t>Paytm</w:t>
      </w:r>
      <w:r>
        <w:rPr>
          <w:rFonts w:ascii="SimSun" w:hAnsi="SimSun" w:eastAsia="SimSun" w:cs="SimSun"/>
          <w:sz w:val="21"/>
          <w:szCs w:val="21"/>
          <w:spacing w:val="-5"/>
        </w:rPr>
        <w:t>和韩国的</w:t>
      </w:r>
      <w:r>
        <w:rPr>
          <w:rFonts w:ascii="Times New Roman" w:hAnsi="Times New Roman" w:eastAsia="Times New Roman" w:cs="Times New Roman"/>
          <w:sz w:val="21"/>
          <w:szCs w:val="21"/>
          <w:spacing w:val="-5"/>
        </w:rPr>
        <w:t>Kakao Pay</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5"/>
        </w:rPr>
        <w:t>均已上市；同时，腾</w:t>
      </w:r>
    </w:p>
    <w:p>
      <w:pPr>
        <w:spacing w:line="296" w:lineRule="auto"/>
        <w:sectPr>
          <w:headerReference w:type="default" r:id="rId257"/>
          <w:pgSz w:w="7330" w:h="12480"/>
          <w:pgMar w:top="548" w:right="594" w:bottom="400" w:left="399" w:header="385"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right="94"/>
        <w:spacing w:before="69" w:line="267" w:lineRule="auto"/>
        <w:rPr>
          <w:rFonts w:ascii="SimSun" w:hAnsi="SimSun" w:eastAsia="SimSun" w:cs="SimSun"/>
          <w:sz w:val="21"/>
          <w:szCs w:val="21"/>
        </w:rPr>
      </w:pPr>
      <w:r>
        <w:rPr>
          <w:rFonts w:ascii="SimSun" w:hAnsi="SimSun" w:eastAsia="SimSun" w:cs="SimSun"/>
          <w:sz w:val="21"/>
          <w:szCs w:val="21"/>
          <w:spacing w:val="-10"/>
        </w:rPr>
        <w:t>讯与蚂蚁集团均已获得新加坡数字银行牌照</w:t>
      </w:r>
      <w:r>
        <w:rPr>
          <w:rFonts w:ascii="SimSun" w:hAnsi="SimSun" w:eastAsia="SimSun" w:cs="SimSun"/>
          <w:sz w:val="21"/>
          <w:szCs w:val="21"/>
          <w:spacing w:val="-11"/>
        </w:rPr>
        <w:t>，腾讯业已成为东南亚最</w:t>
      </w:r>
      <w:r>
        <w:rPr>
          <w:rFonts w:ascii="SimSun" w:hAnsi="SimSun" w:eastAsia="SimSun" w:cs="SimSun"/>
          <w:sz w:val="21"/>
          <w:szCs w:val="21"/>
        </w:rPr>
        <w:t xml:space="preserve"> </w:t>
      </w:r>
      <w:r>
        <w:rPr>
          <w:rFonts w:ascii="SimSun" w:hAnsi="SimSun" w:eastAsia="SimSun" w:cs="SimSun"/>
          <w:sz w:val="21"/>
          <w:szCs w:val="21"/>
          <w:spacing w:val="-10"/>
        </w:rPr>
        <w:t>大电商</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0"/>
        </w:rPr>
        <w:t>Shoppee </w:t>
      </w:r>
      <w:r>
        <w:rPr>
          <w:rFonts w:ascii="SimSun" w:hAnsi="SimSun" w:eastAsia="SimSun" w:cs="SimSun"/>
          <w:sz w:val="21"/>
          <w:szCs w:val="21"/>
          <w:spacing w:val="-10"/>
        </w:rPr>
        <w:t>的第一大股东。</w:t>
      </w:r>
    </w:p>
    <w:p>
      <w:pPr>
        <w:pStyle w:val="BodyText"/>
        <w:spacing w:line="357" w:lineRule="auto"/>
        <w:rPr/>
      </w:pPr>
      <w:r/>
    </w:p>
    <w:p>
      <w:pPr>
        <w:ind w:left="1734" w:right="809" w:hanging="860"/>
        <w:spacing w:before="104" w:line="216" w:lineRule="auto"/>
        <w:rPr>
          <w:rFonts w:ascii="SimSun" w:hAnsi="SimSun" w:eastAsia="SimSun" w:cs="SimSun"/>
          <w:sz w:val="32"/>
          <w:szCs w:val="32"/>
        </w:rPr>
      </w:pPr>
      <w:r>
        <w:rPr>
          <w:rFonts w:ascii="SimSun" w:hAnsi="SimSun" w:eastAsia="SimSun" w:cs="SimSun"/>
          <w:sz w:val="32"/>
          <w:szCs w:val="32"/>
          <w:b/>
          <w:bCs/>
          <w:spacing w:val="-10"/>
        </w:rPr>
        <w:t>中国数字金融平台的积极作用：</w:t>
      </w:r>
      <w:r>
        <w:rPr>
          <w:rFonts w:ascii="SimSun" w:hAnsi="SimSun" w:eastAsia="SimSun" w:cs="SimSun"/>
          <w:sz w:val="32"/>
          <w:szCs w:val="32"/>
          <w:spacing w:val="12"/>
        </w:rPr>
        <w:t xml:space="preserve"> </w:t>
      </w:r>
      <w:r>
        <w:rPr>
          <w:rFonts w:ascii="SimSun" w:hAnsi="SimSun" w:eastAsia="SimSun" w:cs="SimSun"/>
          <w:sz w:val="32"/>
          <w:szCs w:val="32"/>
          <w:b/>
          <w:bCs/>
          <w:spacing w:val="-5"/>
        </w:rPr>
        <w:t>支持实体经济发展</w:t>
      </w:r>
    </w:p>
    <w:p>
      <w:pPr>
        <w:pStyle w:val="BodyText"/>
        <w:spacing w:line="257" w:lineRule="auto"/>
        <w:rPr/>
      </w:pPr>
      <w:r/>
    </w:p>
    <w:p>
      <w:pPr>
        <w:ind w:right="74" w:firstLine="409"/>
        <w:spacing w:before="68" w:line="301" w:lineRule="auto"/>
        <w:jc w:val="both"/>
        <w:rPr>
          <w:rFonts w:ascii="SimSun" w:hAnsi="SimSun" w:eastAsia="SimSun" w:cs="SimSun"/>
          <w:sz w:val="21"/>
          <w:szCs w:val="21"/>
        </w:rPr>
      </w:pPr>
      <w:r>
        <w:rPr>
          <w:rFonts w:ascii="SimSun" w:hAnsi="SimSun" w:eastAsia="SimSun" w:cs="SimSun"/>
          <w:sz w:val="21"/>
          <w:szCs w:val="21"/>
          <w:spacing w:val="-10"/>
        </w:rPr>
        <w:t>数字金融平台从第三方支付业务切入，将数字技术逐步融入金融</w:t>
      </w:r>
      <w:r>
        <w:rPr>
          <w:rFonts w:ascii="SimSun" w:hAnsi="SimSun" w:eastAsia="SimSun" w:cs="SimSun"/>
          <w:sz w:val="21"/>
          <w:szCs w:val="21"/>
        </w:rPr>
        <w:t xml:space="preserve"> </w:t>
      </w:r>
      <w:r>
        <w:rPr>
          <w:rFonts w:ascii="SimSun" w:hAnsi="SimSun" w:eastAsia="SimSun" w:cs="SimSun"/>
          <w:sz w:val="21"/>
          <w:szCs w:val="21"/>
          <w:spacing w:val="-11"/>
        </w:rPr>
        <w:t>领域的各个环节，进而开启了数字技术和金融业务不断融合的数字金</w:t>
      </w:r>
      <w:r>
        <w:rPr>
          <w:rFonts w:ascii="SimSun" w:hAnsi="SimSun" w:eastAsia="SimSun" w:cs="SimSun"/>
          <w:sz w:val="21"/>
          <w:szCs w:val="21"/>
          <w:spacing w:val="17"/>
        </w:rPr>
        <w:t xml:space="preserve"> </w:t>
      </w:r>
      <w:r>
        <w:rPr>
          <w:rFonts w:ascii="SimSun" w:hAnsi="SimSun" w:eastAsia="SimSun" w:cs="SimSun"/>
          <w:sz w:val="21"/>
          <w:szCs w:val="21"/>
          <w:spacing w:val="-10"/>
        </w:rPr>
        <w:t>融新时代。数字金融平台对社会经济发展具</w:t>
      </w:r>
      <w:r>
        <w:rPr>
          <w:rFonts w:ascii="SimSun" w:hAnsi="SimSun" w:eastAsia="SimSun" w:cs="SimSun"/>
          <w:sz w:val="21"/>
          <w:szCs w:val="21"/>
          <w:spacing w:val="-11"/>
        </w:rPr>
        <w:t>有积极意义，它在弥补传</w:t>
      </w:r>
      <w:r>
        <w:rPr>
          <w:rFonts w:ascii="SimSun" w:hAnsi="SimSun" w:eastAsia="SimSun" w:cs="SimSun"/>
          <w:sz w:val="21"/>
          <w:szCs w:val="21"/>
        </w:rPr>
        <w:t xml:space="preserve"> </w:t>
      </w:r>
      <w:r>
        <w:rPr>
          <w:rFonts w:ascii="SimSun" w:hAnsi="SimSun" w:eastAsia="SimSun" w:cs="SimSun"/>
          <w:sz w:val="21"/>
          <w:szCs w:val="21"/>
          <w:spacing w:val="-11"/>
        </w:rPr>
        <w:t>统金融服务不足、提升客户体验的同时促进整个金融体系的数字化转</w:t>
      </w:r>
      <w:r>
        <w:rPr>
          <w:rFonts w:ascii="SimSun" w:hAnsi="SimSun" w:eastAsia="SimSun" w:cs="SimSun"/>
          <w:sz w:val="21"/>
          <w:szCs w:val="21"/>
          <w:spacing w:val="17"/>
        </w:rPr>
        <w:t xml:space="preserve"> </w:t>
      </w:r>
      <w:r>
        <w:rPr>
          <w:rFonts w:ascii="SimSun" w:hAnsi="SimSun" w:eastAsia="SimSun" w:cs="SimSun"/>
          <w:sz w:val="21"/>
          <w:szCs w:val="21"/>
          <w:spacing w:val="-11"/>
        </w:rPr>
        <w:t>型。此外，数字科技驱动社会化分工合作的不断深化，对支持实体经</w:t>
      </w:r>
      <w:r>
        <w:rPr>
          <w:rFonts w:ascii="SimSun" w:hAnsi="SimSun" w:eastAsia="SimSun" w:cs="SimSun"/>
          <w:sz w:val="21"/>
          <w:szCs w:val="21"/>
          <w:spacing w:val="17"/>
        </w:rPr>
        <w:t xml:space="preserve"> </w:t>
      </w:r>
      <w:r>
        <w:rPr>
          <w:rFonts w:ascii="SimSun" w:hAnsi="SimSun" w:eastAsia="SimSun" w:cs="SimSun"/>
          <w:sz w:val="21"/>
          <w:szCs w:val="21"/>
          <w:spacing w:val="-13"/>
        </w:rPr>
        <w:t>济的发展也具有重要意义。</w:t>
      </w:r>
    </w:p>
    <w:p>
      <w:pPr>
        <w:pStyle w:val="BodyText"/>
        <w:spacing w:line="443"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26"/>
        </w:rPr>
        <w:t>构建数字金融基础设施</w:t>
      </w:r>
    </w:p>
    <w:p>
      <w:pPr>
        <w:pStyle w:val="BodyText"/>
        <w:spacing w:line="352" w:lineRule="auto"/>
        <w:rPr/>
      </w:pPr>
      <w:r/>
    </w:p>
    <w:p>
      <w:pPr>
        <w:ind w:right="95" w:firstLine="409"/>
        <w:spacing w:before="68" w:line="268" w:lineRule="auto"/>
        <w:rPr>
          <w:rFonts w:ascii="SimSun" w:hAnsi="SimSun" w:eastAsia="SimSun" w:cs="SimSun"/>
          <w:sz w:val="21"/>
          <w:szCs w:val="21"/>
        </w:rPr>
      </w:pPr>
      <w:r>
        <w:rPr>
          <w:rFonts w:ascii="SimSun" w:hAnsi="SimSun" w:eastAsia="SimSun" w:cs="SimSun"/>
          <w:sz w:val="21"/>
          <w:szCs w:val="21"/>
          <w:spacing w:val="-11"/>
        </w:rPr>
        <w:t>数字金融平台通过创新的一站式金融服务，运用庞大用户的网络</w:t>
      </w:r>
      <w:r>
        <w:rPr>
          <w:rFonts w:ascii="SimSun" w:hAnsi="SimSun" w:eastAsia="SimSun" w:cs="SimSun"/>
          <w:sz w:val="21"/>
          <w:szCs w:val="21"/>
          <w:spacing w:val="6"/>
        </w:rPr>
        <w:t xml:space="preserve"> </w:t>
      </w:r>
      <w:r>
        <w:rPr>
          <w:rFonts w:ascii="SimSun" w:hAnsi="SimSun" w:eastAsia="SimSun" w:cs="SimSun"/>
          <w:sz w:val="21"/>
          <w:szCs w:val="21"/>
          <w:spacing w:val="-11"/>
        </w:rPr>
        <w:t>外部效应，构建全球领先的数字金融基础设施。</w:t>
      </w:r>
    </w:p>
    <w:p>
      <w:pPr>
        <w:ind w:firstLine="409"/>
        <w:spacing w:before="118" w:line="299" w:lineRule="auto"/>
        <w:rPr>
          <w:rFonts w:ascii="SimSun" w:hAnsi="SimSun" w:eastAsia="SimSun" w:cs="SimSun"/>
          <w:sz w:val="21"/>
          <w:szCs w:val="21"/>
        </w:rPr>
      </w:pPr>
      <w:r>
        <w:rPr>
          <w:rFonts w:ascii="SimSun" w:hAnsi="SimSun" w:eastAsia="SimSun" w:cs="SimSun"/>
          <w:sz w:val="21"/>
          <w:szCs w:val="21"/>
          <w:spacing w:val="-4"/>
        </w:rPr>
        <w:t>数字金融平台借助边际成本几乎为零的网络外部效应，有效降</w:t>
      </w:r>
      <w:r>
        <w:rPr>
          <w:rFonts w:ascii="SimSun" w:hAnsi="SimSun" w:eastAsia="SimSun" w:cs="SimSun"/>
          <w:sz w:val="21"/>
          <w:szCs w:val="21"/>
          <w:spacing w:val="8"/>
        </w:rPr>
        <w:t xml:space="preserve">  </w:t>
      </w:r>
      <w:r>
        <w:rPr>
          <w:rFonts w:ascii="SimSun" w:hAnsi="SimSun" w:eastAsia="SimSun" w:cs="SimSun"/>
          <w:sz w:val="21"/>
          <w:szCs w:val="21"/>
          <w:spacing w:val="-4"/>
        </w:rPr>
        <w:t>低了金融服务成本，促进了世界领先水平的数字金融基础设施的构</w:t>
      </w:r>
      <w:r>
        <w:rPr>
          <w:rFonts w:ascii="SimSun" w:hAnsi="SimSun" w:eastAsia="SimSun" w:cs="SimSun"/>
          <w:sz w:val="21"/>
          <w:szCs w:val="21"/>
          <w:spacing w:val="9"/>
        </w:rPr>
        <w:t xml:space="preserve">  </w:t>
      </w:r>
      <w:r>
        <w:rPr>
          <w:rFonts w:ascii="SimSun" w:hAnsi="SimSun" w:eastAsia="SimSun" w:cs="SimSun"/>
          <w:sz w:val="21"/>
          <w:szCs w:val="21"/>
          <w:spacing w:val="10"/>
        </w:rPr>
        <w:t>建。2019年，中国移动支付的普及率已经高达86%,位居全球第</w:t>
      </w:r>
      <w:r>
        <w:rPr>
          <w:rFonts w:ascii="SimSun" w:hAnsi="SimSun" w:eastAsia="SimSun" w:cs="SimSun"/>
          <w:sz w:val="21"/>
          <w:szCs w:val="21"/>
          <w:spacing w:val="6"/>
        </w:rPr>
        <w:t xml:space="preserve">  </w:t>
      </w:r>
      <w:r>
        <w:rPr>
          <w:rFonts w:ascii="SimSun" w:hAnsi="SimSun" w:eastAsia="SimSun" w:cs="SimSun"/>
          <w:sz w:val="21"/>
          <w:szCs w:val="21"/>
          <w:spacing w:val="-4"/>
        </w:rPr>
        <w:t>一；支付宝、微信支付的用户数均超过10亿，客户规模庞大。用户</w:t>
      </w:r>
      <w:r>
        <w:rPr>
          <w:rFonts w:ascii="SimSun" w:hAnsi="SimSun" w:eastAsia="SimSun" w:cs="SimSun"/>
          <w:sz w:val="21"/>
          <w:szCs w:val="21"/>
          <w:spacing w:val="4"/>
        </w:rPr>
        <w:t xml:space="preserve">  </w:t>
      </w:r>
      <w:r>
        <w:rPr>
          <w:rFonts w:ascii="SimSun" w:hAnsi="SimSun" w:eastAsia="SimSun" w:cs="SimSun"/>
          <w:sz w:val="21"/>
          <w:szCs w:val="21"/>
        </w:rPr>
        <w:t>规模不断增加带来的网络效应带动了金融服务成本的</w:t>
      </w:r>
      <w:r>
        <w:rPr>
          <w:rFonts w:ascii="SimSun" w:hAnsi="SimSun" w:eastAsia="SimSun" w:cs="SimSun"/>
          <w:sz w:val="21"/>
          <w:szCs w:val="21"/>
          <w:spacing w:val="-1"/>
        </w:rPr>
        <w:t>降低。例如，</w:t>
      </w:r>
      <w:r>
        <w:rPr>
          <w:rFonts w:ascii="SimSun" w:hAnsi="SimSun" w:eastAsia="SimSun" w:cs="SimSun"/>
          <w:sz w:val="21"/>
          <w:szCs w:val="21"/>
        </w:rPr>
        <w:t xml:space="preserve"> </w:t>
      </w:r>
      <w:r>
        <w:rPr>
          <w:rFonts w:ascii="SimSun" w:hAnsi="SimSun" w:eastAsia="SimSun" w:cs="SimSun"/>
          <w:sz w:val="21"/>
          <w:szCs w:val="21"/>
          <w:spacing w:val="2"/>
        </w:rPr>
        <w:t>目前中国移动支付的平均费率为0.5%~0.6%,而美国的平均费率为</w:t>
      </w:r>
      <w:r>
        <w:rPr>
          <w:rFonts w:ascii="SimSun" w:hAnsi="SimSun" w:eastAsia="SimSun" w:cs="SimSun"/>
          <w:sz w:val="21"/>
          <w:szCs w:val="21"/>
          <w:spacing w:val="6"/>
        </w:rPr>
        <w:t xml:space="preserve">  </w:t>
      </w:r>
      <w:r>
        <w:rPr>
          <w:rFonts w:ascii="SimSun" w:hAnsi="SimSun" w:eastAsia="SimSun" w:cs="SimSun"/>
          <w:sz w:val="21"/>
          <w:szCs w:val="21"/>
          <w:spacing w:val="3"/>
        </w:rPr>
        <w:t>2%~3%,中国的费率只有美国的1/4~1/5,该费率在国际范围内也属</w:t>
      </w:r>
      <w:r>
        <w:rPr>
          <w:rFonts w:ascii="SimSun" w:hAnsi="SimSun" w:eastAsia="SimSun" w:cs="SimSun"/>
          <w:sz w:val="21"/>
          <w:szCs w:val="21"/>
          <w:spacing w:val="5"/>
        </w:rPr>
        <w:t xml:space="preserve">  </w:t>
      </w:r>
      <w:r>
        <w:rPr>
          <w:rFonts w:ascii="SimSun" w:hAnsi="SimSun" w:eastAsia="SimSun" w:cs="SimSun"/>
          <w:sz w:val="21"/>
          <w:szCs w:val="21"/>
          <w:spacing w:val="-10"/>
        </w:rPr>
        <w:t>于较低水平。在移动支付领域，我国已经构建</w:t>
      </w:r>
      <w:r>
        <w:rPr>
          <w:rFonts w:ascii="SimSun" w:hAnsi="SimSun" w:eastAsia="SimSun" w:cs="SimSun"/>
          <w:sz w:val="21"/>
          <w:szCs w:val="21"/>
          <w:spacing w:val="-11"/>
        </w:rPr>
        <w:t>了全球领先的数字金融</w:t>
      </w:r>
      <w:r>
        <w:rPr>
          <w:rFonts w:ascii="SimSun" w:hAnsi="SimSun" w:eastAsia="SimSun" w:cs="SimSun"/>
          <w:sz w:val="21"/>
          <w:szCs w:val="21"/>
        </w:rPr>
        <w:t xml:space="preserve">  </w:t>
      </w:r>
      <w:r>
        <w:rPr>
          <w:rFonts w:ascii="SimSun" w:hAnsi="SimSun" w:eastAsia="SimSun" w:cs="SimSun"/>
          <w:sz w:val="21"/>
          <w:szCs w:val="21"/>
          <w:spacing w:val="-10"/>
        </w:rPr>
        <w:t>基础设施，实现了对发达国家的“弯道超车”。支付宝的月度活跃用</w:t>
      </w:r>
      <w:r>
        <w:rPr>
          <w:rFonts w:ascii="SimSun" w:hAnsi="SimSun" w:eastAsia="SimSun" w:cs="SimSun"/>
          <w:sz w:val="21"/>
          <w:szCs w:val="21"/>
          <w:spacing w:val="3"/>
        </w:rPr>
        <w:t xml:space="preserve"> </w:t>
      </w:r>
      <w:r>
        <w:rPr>
          <w:rFonts w:ascii="SimSun" w:hAnsi="SimSun" w:eastAsia="SimSun" w:cs="SimSun"/>
          <w:sz w:val="21"/>
          <w:szCs w:val="21"/>
          <w:spacing w:val="3"/>
        </w:rPr>
        <w:t>户于2017年已经达到4.99亿人，到2020年二季度已经达到7.11亿</w:t>
      </w:r>
    </w:p>
    <w:p>
      <w:pPr>
        <w:spacing w:line="299" w:lineRule="auto"/>
        <w:sectPr>
          <w:headerReference w:type="default" r:id="rId259"/>
          <w:pgSz w:w="7330" w:h="12480"/>
          <w:pgMar w:top="835" w:right="844" w:bottom="400" w:left="399" w:header="673"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85" w:firstLine="104"/>
        <w:spacing w:before="68" w:line="299" w:lineRule="auto"/>
        <w:jc w:val="both"/>
        <w:rPr>
          <w:rFonts w:ascii="SimSun" w:hAnsi="SimSun" w:eastAsia="SimSun" w:cs="SimSun"/>
          <w:sz w:val="21"/>
          <w:szCs w:val="21"/>
        </w:rPr>
      </w:pPr>
      <w:r>
        <w:rPr>
          <w:rFonts w:ascii="SimSun" w:hAnsi="SimSun" w:eastAsia="SimSun" w:cs="SimSun"/>
          <w:sz w:val="21"/>
          <w:szCs w:val="21"/>
          <w:spacing w:val="-4"/>
        </w:rPr>
        <w:t>人，其增长速度可见一斑。另外，作为中国数字金融平台的诞生之</w:t>
      </w:r>
      <w:r>
        <w:rPr>
          <w:rFonts w:ascii="SimSun" w:hAnsi="SimSun" w:eastAsia="SimSun" w:cs="SimSun"/>
          <w:sz w:val="21"/>
          <w:szCs w:val="21"/>
          <w:spacing w:val="3"/>
        </w:rPr>
        <w:t xml:space="preserve"> </w:t>
      </w:r>
      <w:r>
        <w:rPr>
          <w:rFonts w:ascii="SimSun" w:hAnsi="SimSun" w:eastAsia="SimSun" w:cs="SimSun"/>
          <w:sz w:val="21"/>
          <w:szCs w:val="21"/>
        </w:rPr>
        <w:t>地，中国移动支付市场发展迅猛且空间巨大。中国人民银</w:t>
      </w:r>
      <w:r>
        <w:rPr>
          <w:rFonts w:ascii="SimSun" w:hAnsi="SimSun" w:eastAsia="SimSun" w:cs="SimSun"/>
          <w:sz w:val="21"/>
          <w:szCs w:val="21"/>
          <w:spacing w:val="-1"/>
        </w:rPr>
        <w:t>行的数据</w:t>
      </w:r>
      <w:r>
        <w:rPr>
          <w:rFonts w:ascii="SimSun" w:hAnsi="SimSun" w:eastAsia="SimSun" w:cs="SimSun"/>
          <w:sz w:val="21"/>
          <w:szCs w:val="21"/>
        </w:rPr>
        <w:t xml:space="preserve"> </w:t>
      </w:r>
      <w:r>
        <w:rPr>
          <w:rFonts w:ascii="SimSun" w:hAnsi="SimSun" w:eastAsia="SimSun" w:cs="SimSun"/>
          <w:sz w:val="21"/>
          <w:szCs w:val="21"/>
          <w:spacing w:val="7"/>
        </w:rPr>
        <w:t>显示，2019年中国电子支付规模为2607万亿元。艾媒咨询发布的</w:t>
      </w:r>
      <w:r>
        <w:rPr>
          <w:rFonts w:ascii="SimSun" w:hAnsi="SimSun" w:eastAsia="SimSun" w:cs="SimSun"/>
          <w:sz w:val="21"/>
          <w:szCs w:val="21"/>
          <w:spacing w:val="6"/>
        </w:rPr>
        <w:t xml:space="preserve"> </w:t>
      </w:r>
      <w:r>
        <w:rPr>
          <w:rFonts w:ascii="SimSun" w:hAnsi="SimSun" w:eastAsia="SimSun" w:cs="SimSun"/>
          <w:sz w:val="21"/>
          <w:szCs w:val="21"/>
          <w:spacing w:val="-6"/>
        </w:rPr>
        <w:t>《2020年中美第三方支付行业专题研究报告》显示，2019年中美移动</w:t>
      </w:r>
      <w:r>
        <w:rPr>
          <w:rFonts w:ascii="SimSun" w:hAnsi="SimSun" w:eastAsia="SimSun" w:cs="SimSun"/>
          <w:sz w:val="21"/>
          <w:szCs w:val="21"/>
          <w:spacing w:val="18"/>
        </w:rPr>
        <w:t xml:space="preserve"> </w:t>
      </w:r>
      <w:r>
        <w:rPr>
          <w:rFonts w:ascii="SimSun" w:hAnsi="SimSun" w:eastAsia="SimSun" w:cs="SimSun"/>
          <w:sz w:val="21"/>
          <w:szCs w:val="21"/>
        </w:rPr>
        <w:t>支付用户规模分别为7.33亿人和0.64亿人，中国的市场规模是美国</w:t>
      </w:r>
      <w:r>
        <w:rPr>
          <w:rFonts w:ascii="SimSun" w:hAnsi="SimSun" w:eastAsia="SimSun" w:cs="SimSun"/>
          <w:sz w:val="21"/>
          <w:szCs w:val="21"/>
          <w:spacing w:val="5"/>
        </w:rPr>
        <w:t xml:space="preserve"> </w:t>
      </w:r>
      <w:r>
        <w:rPr>
          <w:rFonts w:ascii="SimSun" w:hAnsi="SimSun" w:eastAsia="SimSun" w:cs="SimSun"/>
          <w:sz w:val="21"/>
          <w:szCs w:val="21"/>
          <w:spacing w:val="10"/>
        </w:rPr>
        <w:t>的11.45倍。</w:t>
      </w:r>
    </w:p>
    <w:p>
      <w:pPr>
        <w:ind w:left="104" w:firstLine="430"/>
        <w:spacing w:before="117" w:line="306" w:lineRule="auto"/>
        <w:jc w:val="both"/>
        <w:rPr>
          <w:rFonts w:ascii="SimSun" w:hAnsi="SimSun" w:eastAsia="SimSun" w:cs="SimSun"/>
          <w:sz w:val="21"/>
          <w:szCs w:val="21"/>
        </w:rPr>
      </w:pPr>
      <w:r>
        <w:rPr>
          <w:rFonts w:ascii="SimSun" w:hAnsi="SimSun" w:eastAsia="SimSun" w:cs="SimSun"/>
          <w:sz w:val="21"/>
          <w:szCs w:val="21"/>
        </w:rPr>
        <w:t>数字金融平台整合多种金融(信贷、理财、保险)</w:t>
      </w:r>
      <w:r>
        <w:rPr>
          <w:rFonts w:ascii="SimSun" w:hAnsi="SimSun" w:eastAsia="SimSun" w:cs="SimSun"/>
          <w:sz w:val="21"/>
          <w:szCs w:val="21"/>
          <w:spacing w:val="-1"/>
        </w:rPr>
        <w:t>和生活服务，</w:t>
      </w:r>
      <w:r>
        <w:rPr>
          <w:rFonts w:ascii="SimSun" w:hAnsi="SimSun" w:eastAsia="SimSun" w:cs="SimSun"/>
          <w:sz w:val="21"/>
          <w:szCs w:val="21"/>
        </w:rPr>
        <w:t xml:space="preserve"> </w:t>
      </w:r>
      <w:r>
        <w:rPr>
          <w:rFonts w:ascii="SimSun" w:hAnsi="SimSun" w:eastAsia="SimSun" w:cs="SimSun"/>
          <w:sz w:val="21"/>
          <w:szCs w:val="21"/>
          <w:spacing w:val="-11"/>
        </w:rPr>
        <w:t>一站式解决小额金融需求和生活服务需求，有效改善了用户体验。例</w:t>
      </w:r>
      <w:r>
        <w:rPr>
          <w:rFonts w:ascii="SimSun" w:hAnsi="SimSun" w:eastAsia="SimSun" w:cs="SimSun"/>
          <w:sz w:val="21"/>
          <w:szCs w:val="21"/>
          <w:spacing w:val="7"/>
        </w:rPr>
        <w:t xml:space="preserve">  </w:t>
      </w:r>
      <w:r>
        <w:rPr>
          <w:rFonts w:ascii="SimSun" w:hAnsi="SimSun" w:eastAsia="SimSun" w:cs="SimSun"/>
          <w:sz w:val="21"/>
          <w:szCs w:val="21"/>
          <w:spacing w:val="-11"/>
        </w:rPr>
        <w:t>如，微信和支付宝以支付为核心，以衍生的金融服务为主体，打造平</w:t>
      </w:r>
      <w:r>
        <w:rPr>
          <w:rFonts w:ascii="SimSun" w:hAnsi="SimSun" w:eastAsia="SimSun" w:cs="SimSun"/>
          <w:sz w:val="21"/>
          <w:szCs w:val="21"/>
          <w:spacing w:val="4"/>
        </w:rPr>
        <w:t xml:space="preserve">  </w:t>
      </w:r>
      <w:r>
        <w:rPr>
          <w:rFonts w:ascii="SimSun" w:hAnsi="SimSun" w:eastAsia="SimSun" w:cs="SimSun"/>
          <w:sz w:val="21"/>
          <w:szCs w:val="21"/>
          <w:spacing w:val="-11"/>
        </w:rPr>
        <w:t>台理财、信贷、保险等金融功能，并包含了出行、公益、捐赠等衣食</w:t>
      </w:r>
      <w:r>
        <w:rPr>
          <w:rFonts w:ascii="SimSun" w:hAnsi="SimSun" w:eastAsia="SimSun" w:cs="SimSun"/>
          <w:sz w:val="21"/>
          <w:szCs w:val="21"/>
          <w:spacing w:val="4"/>
        </w:rPr>
        <w:t xml:space="preserve">  </w:t>
      </w:r>
      <w:r>
        <w:rPr>
          <w:rFonts w:ascii="SimSun" w:hAnsi="SimSun" w:eastAsia="SimSun" w:cs="SimSun"/>
          <w:sz w:val="21"/>
          <w:szCs w:val="21"/>
          <w:spacing w:val="-11"/>
        </w:rPr>
        <w:t>住行的方方面面。而要像微信支付和支付宝这样覆盖衣食住行等多种</w:t>
      </w:r>
      <w:r>
        <w:rPr>
          <w:rFonts w:ascii="SimSun" w:hAnsi="SimSun" w:eastAsia="SimSun" w:cs="SimSun"/>
          <w:sz w:val="21"/>
          <w:szCs w:val="21"/>
          <w:spacing w:val="6"/>
        </w:rPr>
        <w:t xml:space="preserve">  </w:t>
      </w:r>
      <w:r>
        <w:rPr>
          <w:rFonts w:ascii="SimSun" w:hAnsi="SimSun" w:eastAsia="SimSun" w:cs="SimSun"/>
          <w:sz w:val="21"/>
          <w:szCs w:val="21"/>
          <w:spacing w:val="-3"/>
        </w:rPr>
        <w:t>功能，在美国可能需要下载10多个</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才能够实现。数字金融平台</w:t>
      </w:r>
      <w:r>
        <w:rPr>
          <w:rFonts w:ascii="SimSun" w:hAnsi="SimSun" w:eastAsia="SimSun" w:cs="SimSun"/>
          <w:sz w:val="21"/>
          <w:szCs w:val="21"/>
        </w:rPr>
        <w:t xml:space="preserve">  </w:t>
      </w:r>
      <w:r>
        <w:rPr>
          <w:rFonts w:ascii="SimSun" w:hAnsi="SimSun" w:eastAsia="SimSun" w:cs="SimSun"/>
          <w:sz w:val="21"/>
          <w:szCs w:val="21"/>
          <w:spacing w:val="-8"/>
        </w:rPr>
        <w:t>改善用户体验的另一个典型例子是数字金融平台上的医疗服务功能。</w:t>
      </w:r>
      <w:r>
        <w:rPr>
          <w:rFonts w:ascii="SimSun" w:hAnsi="SimSun" w:eastAsia="SimSun" w:cs="SimSun"/>
          <w:sz w:val="21"/>
          <w:szCs w:val="21"/>
          <w:spacing w:val="14"/>
        </w:rPr>
        <w:t xml:space="preserve"> </w:t>
      </w:r>
      <w:r>
        <w:rPr>
          <w:rFonts w:ascii="SimSun" w:hAnsi="SimSun" w:eastAsia="SimSun" w:cs="SimSun"/>
          <w:sz w:val="21"/>
          <w:szCs w:val="21"/>
          <w:spacing w:val="-11"/>
        </w:rPr>
        <w:t>数字金融平台将移动支付和医院相连接，患者可通过手机预付挂号诊</w:t>
      </w:r>
      <w:r>
        <w:rPr>
          <w:rFonts w:ascii="SimSun" w:hAnsi="SimSun" w:eastAsia="SimSun" w:cs="SimSun"/>
          <w:sz w:val="21"/>
          <w:szCs w:val="21"/>
          <w:spacing w:val="4"/>
        </w:rPr>
        <w:t xml:space="preserve">  </w:t>
      </w:r>
      <w:r>
        <w:rPr>
          <w:rFonts w:ascii="SimSun" w:hAnsi="SimSun" w:eastAsia="SimSun" w:cs="SimSun"/>
          <w:sz w:val="21"/>
          <w:szCs w:val="21"/>
          <w:spacing w:val="-10"/>
        </w:rPr>
        <w:t>疗费用，提升了就医体验。</w:t>
      </w:r>
    </w:p>
    <w:p>
      <w:pPr>
        <w:ind w:left="104" w:right="74" w:firstLine="430"/>
        <w:spacing w:before="109" w:line="295" w:lineRule="auto"/>
        <w:jc w:val="both"/>
        <w:rPr>
          <w:rFonts w:ascii="SimSun" w:hAnsi="SimSun" w:eastAsia="SimSun" w:cs="SimSun"/>
          <w:sz w:val="21"/>
          <w:szCs w:val="21"/>
        </w:rPr>
      </w:pPr>
      <w:r>
        <w:rPr>
          <w:rFonts w:ascii="SimSun" w:hAnsi="SimSun" w:eastAsia="SimSun" w:cs="SimSun"/>
          <w:sz w:val="21"/>
          <w:szCs w:val="21"/>
          <w:spacing w:val="-11"/>
        </w:rPr>
        <w:t>数字金融平台激活了以用户为核心的场景化金融服务创新，沉淀</w:t>
      </w:r>
      <w:r>
        <w:rPr>
          <w:rFonts w:ascii="SimSun" w:hAnsi="SimSun" w:eastAsia="SimSun" w:cs="SimSun"/>
          <w:sz w:val="21"/>
          <w:szCs w:val="21"/>
          <w:spacing w:val="17"/>
        </w:rPr>
        <w:t xml:space="preserve"> </w:t>
      </w:r>
      <w:r>
        <w:rPr>
          <w:rFonts w:ascii="SimSun" w:hAnsi="SimSun" w:eastAsia="SimSun" w:cs="SimSun"/>
          <w:sz w:val="21"/>
          <w:szCs w:val="21"/>
          <w:spacing w:val="-10"/>
        </w:rPr>
        <w:t>了海量个人和小微企业用户的信息和数字足迹，为平台的进一</w:t>
      </w:r>
      <w:r>
        <w:rPr>
          <w:rFonts w:ascii="SimSun" w:hAnsi="SimSun" w:eastAsia="SimSun" w:cs="SimSun"/>
          <w:sz w:val="21"/>
          <w:szCs w:val="21"/>
          <w:spacing w:val="-11"/>
        </w:rPr>
        <w:t>步创新</w:t>
      </w:r>
      <w:r>
        <w:rPr>
          <w:rFonts w:ascii="SimSun" w:hAnsi="SimSun" w:eastAsia="SimSun" w:cs="SimSun"/>
          <w:sz w:val="21"/>
          <w:szCs w:val="21"/>
        </w:rPr>
        <w:t xml:space="preserve"> </w:t>
      </w:r>
      <w:r>
        <w:rPr>
          <w:rFonts w:ascii="SimSun" w:hAnsi="SimSun" w:eastAsia="SimSun" w:cs="SimSun"/>
          <w:sz w:val="21"/>
          <w:szCs w:val="21"/>
          <w:spacing w:val="-5"/>
        </w:rPr>
        <w:t>奠定了数据基础。O20</w:t>
      </w:r>
      <w:r>
        <w:rPr>
          <w:rFonts w:ascii="SimSun" w:hAnsi="SimSun" w:eastAsia="SimSun" w:cs="SimSun"/>
          <w:sz w:val="21"/>
          <w:szCs w:val="21"/>
          <w:spacing w:val="37"/>
        </w:rPr>
        <w:t xml:space="preserve"> </w:t>
      </w:r>
      <w:r>
        <w:rPr>
          <w:rFonts w:ascii="SimSun" w:hAnsi="SimSun" w:eastAsia="SimSun" w:cs="SimSun"/>
          <w:sz w:val="21"/>
          <w:szCs w:val="21"/>
          <w:spacing w:val="-5"/>
        </w:rPr>
        <w:t>服务、网约车、共享单车、共享充电宝、无</w:t>
      </w:r>
      <w:r>
        <w:rPr>
          <w:rFonts w:ascii="SimSun" w:hAnsi="SimSun" w:eastAsia="SimSun" w:cs="SimSun"/>
          <w:sz w:val="21"/>
          <w:szCs w:val="21"/>
        </w:rPr>
        <w:t xml:space="preserve"> </w:t>
      </w:r>
      <w:r>
        <w:rPr>
          <w:rFonts w:ascii="SimSun" w:hAnsi="SimSun" w:eastAsia="SimSun" w:cs="SimSun"/>
          <w:sz w:val="21"/>
          <w:szCs w:val="21"/>
          <w:spacing w:val="-11"/>
        </w:rPr>
        <w:t>人餐厅、无人超市、直播电商等都属于场景化金融创新性服务。数字</w:t>
      </w:r>
      <w:r>
        <w:rPr>
          <w:rFonts w:ascii="SimSun" w:hAnsi="SimSun" w:eastAsia="SimSun" w:cs="SimSun"/>
          <w:sz w:val="21"/>
          <w:szCs w:val="21"/>
          <w:spacing w:val="8"/>
        </w:rPr>
        <w:t xml:space="preserve"> </w:t>
      </w:r>
      <w:r>
        <w:rPr>
          <w:rFonts w:ascii="SimSun" w:hAnsi="SimSun" w:eastAsia="SimSun" w:cs="SimSun"/>
          <w:sz w:val="21"/>
          <w:szCs w:val="21"/>
          <w:spacing w:val="-11"/>
        </w:rPr>
        <w:t>金融平台在提供场景化金融服务的过程中，也沉淀了海量个人与小微</w:t>
      </w:r>
      <w:r>
        <w:rPr>
          <w:rFonts w:ascii="SimSun" w:hAnsi="SimSun" w:eastAsia="SimSun" w:cs="SimSun"/>
          <w:sz w:val="21"/>
          <w:szCs w:val="21"/>
          <w:spacing w:val="6"/>
        </w:rPr>
        <w:t xml:space="preserve"> </w:t>
      </w:r>
      <w:r>
        <w:rPr>
          <w:rFonts w:ascii="SimSun" w:hAnsi="SimSun" w:eastAsia="SimSun" w:cs="SimSun"/>
          <w:sz w:val="21"/>
          <w:szCs w:val="21"/>
          <w:spacing w:val="-11"/>
        </w:rPr>
        <w:t>企业用户的业务和信用等数字足迹信息，为平台将来的进一步创新打</w:t>
      </w:r>
      <w:r>
        <w:rPr>
          <w:rFonts w:ascii="SimSun" w:hAnsi="SimSun" w:eastAsia="SimSun" w:cs="SimSun"/>
          <w:sz w:val="21"/>
          <w:szCs w:val="21"/>
          <w:spacing w:val="8"/>
        </w:rPr>
        <w:t xml:space="preserve"> </w:t>
      </w:r>
      <w:r>
        <w:rPr>
          <w:rFonts w:ascii="SimSun" w:hAnsi="SimSun" w:eastAsia="SimSun" w:cs="SimSun"/>
          <w:sz w:val="21"/>
          <w:szCs w:val="21"/>
          <w:spacing w:val="-12"/>
        </w:rPr>
        <w:t>下了坚实的数据基础。</w:t>
      </w:r>
    </w:p>
    <w:p>
      <w:pPr>
        <w:pStyle w:val="BodyText"/>
        <w:spacing w:line="432" w:lineRule="auto"/>
        <w:rPr/>
      </w:pPr>
      <w:r/>
    </w:p>
    <w:p>
      <w:pPr>
        <w:ind w:left="108"/>
        <w:spacing w:before="81" w:line="221" w:lineRule="auto"/>
        <w:rPr>
          <w:rFonts w:ascii="SimHei" w:hAnsi="SimHei" w:eastAsia="SimHei" w:cs="SimHei"/>
          <w:sz w:val="25"/>
          <w:szCs w:val="25"/>
        </w:rPr>
      </w:pPr>
      <w:r>
        <w:rPr>
          <w:rFonts w:ascii="SimHei" w:hAnsi="SimHei" w:eastAsia="SimHei" w:cs="SimHei"/>
          <w:sz w:val="25"/>
          <w:szCs w:val="25"/>
          <w:b/>
          <w:bCs/>
          <w:spacing w:val="-12"/>
        </w:rPr>
        <w:t>完善社会征信体系</w:t>
      </w:r>
    </w:p>
    <w:p>
      <w:pPr>
        <w:pStyle w:val="BodyText"/>
        <w:spacing w:line="363" w:lineRule="auto"/>
        <w:rPr/>
      </w:pPr>
      <w:r/>
    </w:p>
    <w:p>
      <w:pPr>
        <w:ind w:left="104" w:right="69" w:firstLine="430"/>
        <w:spacing w:before="68" w:line="264" w:lineRule="auto"/>
        <w:rPr>
          <w:rFonts w:ascii="SimSun" w:hAnsi="SimSun" w:eastAsia="SimSun" w:cs="SimSun"/>
          <w:sz w:val="21"/>
          <w:szCs w:val="21"/>
        </w:rPr>
      </w:pPr>
      <w:r>
        <w:rPr>
          <w:rFonts w:ascii="SimSun" w:hAnsi="SimSun" w:eastAsia="SimSun" w:cs="SimSun"/>
          <w:sz w:val="21"/>
          <w:szCs w:val="21"/>
          <w:spacing w:val="-10"/>
        </w:rPr>
        <w:t>大科技信贷改善了中小微企业融资问题，有助于社</w:t>
      </w:r>
      <w:r>
        <w:rPr>
          <w:rFonts w:ascii="SimSun" w:hAnsi="SimSun" w:eastAsia="SimSun" w:cs="SimSun"/>
          <w:sz w:val="21"/>
          <w:szCs w:val="21"/>
          <w:spacing w:val="-11"/>
        </w:rPr>
        <w:t>会征信体系的</w:t>
      </w:r>
      <w:r>
        <w:rPr>
          <w:rFonts w:ascii="SimSun" w:hAnsi="SimSun" w:eastAsia="SimSun" w:cs="SimSun"/>
          <w:sz w:val="21"/>
          <w:szCs w:val="21"/>
        </w:rPr>
        <w:t xml:space="preserve"> </w:t>
      </w:r>
      <w:r>
        <w:rPr>
          <w:rFonts w:ascii="SimSun" w:hAnsi="SimSun" w:eastAsia="SimSun" w:cs="SimSun"/>
          <w:sz w:val="21"/>
          <w:szCs w:val="21"/>
          <w:spacing w:val="-9"/>
        </w:rPr>
        <w:t>完善。</w:t>
      </w:r>
    </w:p>
    <w:p>
      <w:pPr>
        <w:spacing w:line="264" w:lineRule="auto"/>
        <w:sectPr>
          <w:headerReference w:type="default" r:id="rId260"/>
          <w:pgSz w:w="7330" w:h="12480"/>
          <w:pgMar w:top="527" w:right="474" w:bottom="400" w:left="654" w:header="365" w:footer="0" w:gutter="0"/>
        </w:sectPr>
        <w:rPr>
          <w:rFonts w:ascii="SimSun" w:hAnsi="SimSun" w:eastAsia="SimSun" w:cs="SimSun"/>
          <w:sz w:val="21"/>
          <w:szCs w:val="21"/>
        </w:rPr>
      </w:pPr>
    </w:p>
    <w:p>
      <w:pPr>
        <w:pStyle w:val="BodyText"/>
        <w:spacing w:line="251" w:lineRule="auto"/>
        <w:rPr/>
      </w:pPr>
      <w:r>
        <w:drawing>
          <wp:anchor distT="0" distB="0" distL="0" distR="0" simplePos="0" relativeHeight="253904896" behindDoc="0" locked="0" layoutInCell="0" allowOverlap="1">
            <wp:simplePos x="0" y="0"/>
            <wp:positionH relativeFrom="page">
              <wp:posOffset>209547</wp:posOffset>
            </wp:positionH>
            <wp:positionV relativeFrom="page">
              <wp:posOffset>7067568</wp:posOffset>
            </wp:positionV>
            <wp:extent cx="1168384" cy="6350"/>
            <wp:effectExtent l="0" t="0" r="0" b="0"/>
            <wp:wrapNone/>
            <wp:docPr id="200" name="IM 200"/>
            <wp:cNvGraphicFramePr/>
            <a:graphic>
              <a:graphicData uri="http://schemas.openxmlformats.org/drawingml/2006/picture">
                <pic:pic>
                  <pic:nvPicPr>
                    <pic:cNvPr id="200" name="IM 200"/>
                    <pic:cNvPicPr/>
                  </pic:nvPicPr>
                  <pic:blipFill>
                    <a:blip r:embed="rId262"/>
                    <a:stretch>
                      <a:fillRect/>
                    </a:stretch>
                  </pic:blipFill>
                  <pic:spPr>
                    <a:xfrm rot="0">
                      <a:off x="0" y="0"/>
                      <a:ext cx="1168384"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right="73" w:firstLine="409"/>
        <w:spacing w:before="68" w:line="310" w:lineRule="auto"/>
        <w:jc w:val="both"/>
        <w:rPr>
          <w:rFonts w:ascii="SimSun" w:hAnsi="SimSun" w:eastAsia="SimSun" w:cs="SimSun"/>
          <w:sz w:val="21"/>
          <w:szCs w:val="21"/>
        </w:rPr>
      </w:pPr>
      <w:r>
        <w:rPr>
          <w:rFonts w:ascii="SimSun" w:hAnsi="SimSun" w:eastAsia="SimSun" w:cs="SimSun"/>
          <w:sz w:val="21"/>
          <w:szCs w:val="21"/>
          <w:spacing w:val="-3"/>
        </w:rPr>
        <w:t>大科技信贷利用大科技平台和大数据分析，有效改善了信息不</w:t>
      </w:r>
      <w:r>
        <w:rPr>
          <w:rFonts w:ascii="SimSun" w:hAnsi="SimSun" w:eastAsia="SimSun" w:cs="SimSun"/>
          <w:sz w:val="21"/>
          <w:szCs w:val="21"/>
          <w:spacing w:val="1"/>
        </w:rPr>
        <w:t xml:space="preserve"> </w:t>
      </w:r>
      <w:r>
        <w:rPr>
          <w:rFonts w:ascii="SimSun" w:hAnsi="SimSun" w:eastAsia="SimSun" w:cs="SimSun"/>
          <w:sz w:val="21"/>
          <w:szCs w:val="21"/>
          <w:spacing w:val="-10"/>
        </w:rPr>
        <w:t>对称问题。大科技平台借助大数据分析使信息采集、精准画</w:t>
      </w:r>
      <w:r>
        <w:rPr>
          <w:rFonts w:ascii="SimSun" w:hAnsi="SimSun" w:eastAsia="SimSun" w:cs="SimSun"/>
          <w:sz w:val="21"/>
          <w:szCs w:val="21"/>
          <w:spacing w:val="-11"/>
        </w:rPr>
        <w:t>像、用户</w:t>
      </w:r>
      <w:r>
        <w:rPr>
          <w:rFonts w:ascii="SimSun" w:hAnsi="SimSun" w:eastAsia="SimSun" w:cs="SimSun"/>
          <w:sz w:val="21"/>
          <w:szCs w:val="21"/>
        </w:rPr>
        <w:t xml:space="preserve"> </w:t>
      </w:r>
      <w:r>
        <w:rPr>
          <w:rFonts w:ascii="SimSun" w:hAnsi="SimSun" w:eastAsia="SimSun" w:cs="SimSun"/>
          <w:sz w:val="21"/>
          <w:szCs w:val="21"/>
          <w:spacing w:val="-4"/>
        </w:rPr>
        <w:t>获得等变得更便捷和准确。大科技平台利用平台的生态和场景化服</w:t>
      </w:r>
      <w:r>
        <w:rPr>
          <w:rFonts w:ascii="SimSun" w:hAnsi="SimSun" w:eastAsia="SimSun" w:cs="SimSun"/>
          <w:sz w:val="21"/>
          <w:szCs w:val="21"/>
          <w:spacing w:val="3"/>
        </w:rPr>
        <w:t xml:space="preserve"> </w:t>
      </w:r>
      <w:r>
        <w:rPr>
          <w:rFonts w:ascii="SimSun" w:hAnsi="SimSun" w:eastAsia="SimSun" w:cs="SimSun"/>
          <w:sz w:val="21"/>
          <w:szCs w:val="21"/>
          <w:spacing w:val="-11"/>
        </w:rPr>
        <w:t>务，使风控更加有效，信用风险定价更加科学。金融的本质是资金的</w:t>
      </w:r>
      <w:r>
        <w:rPr>
          <w:rFonts w:ascii="SimSun" w:hAnsi="SimSun" w:eastAsia="SimSun" w:cs="SimSun"/>
          <w:sz w:val="21"/>
          <w:szCs w:val="21"/>
          <w:spacing w:val="14"/>
        </w:rPr>
        <w:t xml:space="preserve"> </w:t>
      </w:r>
      <w:r>
        <w:rPr>
          <w:rFonts w:ascii="SimSun" w:hAnsi="SimSun" w:eastAsia="SimSun" w:cs="SimSun"/>
          <w:sz w:val="21"/>
          <w:szCs w:val="21"/>
          <w:spacing w:val="-11"/>
        </w:rPr>
        <w:t>融通，在资金融通过程中最大的障碍是信息不对称。如果用信用风险</w:t>
      </w:r>
      <w:r>
        <w:rPr>
          <w:rFonts w:ascii="SimSun" w:hAnsi="SimSun" w:eastAsia="SimSun" w:cs="SimSun"/>
          <w:sz w:val="21"/>
          <w:szCs w:val="21"/>
          <w:spacing w:val="7"/>
        </w:rPr>
        <w:t xml:space="preserve"> </w:t>
      </w:r>
      <w:r>
        <w:rPr>
          <w:rFonts w:ascii="SimSun" w:hAnsi="SimSun" w:eastAsia="SimSun" w:cs="SimSun"/>
          <w:sz w:val="21"/>
          <w:szCs w:val="21"/>
          <w:spacing w:val="-16"/>
        </w:rPr>
        <w:t>举例，在借贷的过程中存在两种信息不对称：</w:t>
      </w:r>
      <w:r>
        <w:rPr>
          <w:rFonts w:ascii="SimSun" w:hAnsi="SimSun" w:eastAsia="SimSun" w:cs="SimSun"/>
          <w:sz w:val="21"/>
          <w:szCs w:val="21"/>
          <w:spacing w:val="52"/>
        </w:rPr>
        <w:t xml:space="preserve"> </w:t>
      </w:r>
      <w:r>
        <w:rPr>
          <w:rFonts w:ascii="SimSun" w:hAnsi="SimSun" w:eastAsia="SimSun" w:cs="SimSun"/>
          <w:sz w:val="21"/>
          <w:szCs w:val="21"/>
          <w:spacing w:val="-16"/>
        </w:rPr>
        <w:t>一种是事前的信息不对</w:t>
      </w:r>
      <w:r>
        <w:rPr>
          <w:rFonts w:ascii="SimSun" w:hAnsi="SimSun" w:eastAsia="SimSun" w:cs="SimSun"/>
          <w:sz w:val="21"/>
          <w:szCs w:val="21"/>
        </w:rPr>
        <w:t xml:space="preserve"> </w:t>
      </w:r>
      <w:r>
        <w:rPr>
          <w:rFonts w:ascii="SimSun" w:hAnsi="SimSun" w:eastAsia="SimSun" w:cs="SimSun"/>
          <w:sz w:val="21"/>
          <w:szCs w:val="21"/>
          <w:spacing w:val="-11"/>
        </w:rPr>
        <w:t>称，即投资人不知道借款人的信用如何，风险有多高；第二种是事后</w:t>
      </w:r>
      <w:r>
        <w:rPr>
          <w:rFonts w:ascii="SimSun" w:hAnsi="SimSun" w:eastAsia="SimSun" w:cs="SimSun"/>
          <w:sz w:val="21"/>
          <w:szCs w:val="21"/>
          <w:spacing w:val="13"/>
        </w:rPr>
        <w:t xml:space="preserve"> </w:t>
      </w:r>
      <w:r>
        <w:rPr>
          <w:rFonts w:ascii="SimSun" w:hAnsi="SimSun" w:eastAsia="SimSun" w:cs="SimSun"/>
          <w:sz w:val="21"/>
          <w:szCs w:val="21"/>
          <w:spacing w:val="-11"/>
        </w:rPr>
        <w:t>信息不对称，即借完钱之后，投资人不知道借款人有没有尽最大努力</w:t>
      </w:r>
      <w:r>
        <w:rPr>
          <w:rFonts w:ascii="SimSun" w:hAnsi="SimSun" w:eastAsia="SimSun" w:cs="SimSun"/>
          <w:sz w:val="21"/>
          <w:szCs w:val="21"/>
          <w:spacing w:val="16"/>
        </w:rPr>
        <w:t xml:space="preserve"> </w:t>
      </w:r>
      <w:r>
        <w:rPr>
          <w:rFonts w:ascii="SimSun" w:hAnsi="SimSun" w:eastAsia="SimSun" w:cs="SimSun"/>
          <w:sz w:val="21"/>
          <w:szCs w:val="21"/>
          <w:spacing w:val="-11"/>
        </w:rPr>
        <w:t>还款。传统方法如人工调查或者审查财务数据的方式，可以降低和缓</w:t>
      </w:r>
      <w:r>
        <w:rPr>
          <w:rFonts w:ascii="SimSun" w:hAnsi="SimSun" w:eastAsia="SimSun" w:cs="SimSun"/>
          <w:sz w:val="21"/>
          <w:szCs w:val="21"/>
          <w:spacing w:val="6"/>
        </w:rPr>
        <w:t xml:space="preserve"> </w:t>
      </w:r>
      <w:r>
        <w:rPr>
          <w:rFonts w:ascii="SimSun" w:hAnsi="SimSun" w:eastAsia="SimSun" w:cs="SimSun"/>
          <w:sz w:val="21"/>
          <w:szCs w:val="21"/>
          <w:spacing w:val="-11"/>
        </w:rPr>
        <w:t>解事前信息不对称；提供担保、提供抵押品、催收、法院起诉等方式</w:t>
      </w:r>
      <w:r>
        <w:rPr>
          <w:rFonts w:ascii="SimSun" w:hAnsi="SimSun" w:eastAsia="SimSun" w:cs="SimSun"/>
          <w:sz w:val="21"/>
          <w:szCs w:val="21"/>
          <w:spacing w:val="6"/>
        </w:rPr>
        <w:t xml:space="preserve"> </w:t>
      </w:r>
      <w:r>
        <w:rPr>
          <w:rFonts w:ascii="SimSun" w:hAnsi="SimSun" w:eastAsia="SimSun" w:cs="SimSun"/>
          <w:sz w:val="21"/>
          <w:szCs w:val="21"/>
          <w:spacing w:val="-11"/>
        </w:rPr>
        <w:t>可以缓解事后的信息不对称。但传统的缓解和消除信息不对称方法的</w:t>
      </w:r>
      <w:r>
        <w:rPr>
          <w:rFonts w:ascii="SimSun" w:hAnsi="SimSun" w:eastAsia="SimSun" w:cs="SimSun"/>
          <w:sz w:val="21"/>
          <w:szCs w:val="21"/>
          <w:spacing w:val="14"/>
        </w:rPr>
        <w:t xml:space="preserve"> </w:t>
      </w:r>
      <w:r>
        <w:rPr>
          <w:rFonts w:ascii="SimSun" w:hAnsi="SimSun" w:eastAsia="SimSun" w:cs="SimSun"/>
          <w:sz w:val="21"/>
          <w:szCs w:val="21"/>
          <w:spacing w:val="-11"/>
        </w:rPr>
        <w:t>成本普遍较高，这对于小微企业或者小额信贷而言，在商业上不具可</w:t>
      </w:r>
      <w:r>
        <w:rPr>
          <w:rFonts w:ascii="SimSun" w:hAnsi="SimSun" w:eastAsia="SimSun" w:cs="SimSun"/>
          <w:sz w:val="21"/>
          <w:szCs w:val="21"/>
          <w:spacing w:val="7"/>
        </w:rPr>
        <w:t xml:space="preserve"> </w:t>
      </w:r>
      <w:r>
        <w:rPr>
          <w:rFonts w:ascii="SimSun" w:hAnsi="SimSun" w:eastAsia="SimSun" w:cs="SimSun"/>
          <w:sz w:val="21"/>
          <w:szCs w:val="21"/>
          <w:spacing w:val="-11"/>
        </w:rPr>
        <w:t>操作性。大科技信贷在海量获客和大批量信息采集的基础上，可以实</w:t>
      </w:r>
      <w:r>
        <w:rPr>
          <w:rFonts w:ascii="SimSun" w:hAnsi="SimSun" w:eastAsia="SimSun" w:cs="SimSun"/>
          <w:sz w:val="21"/>
          <w:szCs w:val="21"/>
          <w:spacing w:val="9"/>
        </w:rPr>
        <w:t xml:space="preserve"> </w:t>
      </w:r>
      <w:r>
        <w:rPr>
          <w:rFonts w:ascii="SimSun" w:hAnsi="SimSun" w:eastAsia="SimSun" w:cs="SimSun"/>
          <w:sz w:val="21"/>
          <w:szCs w:val="21"/>
          <w:spacing w:val="-11"/>
        </w:rPr>
        <w:t>现对用户的精准画像和数据的相互验证，有效缓解了金融服务中事前</w:t>
      </w:r>
      <w:r>
        <w:rPr>
          <w:rFonts w:ascii="SimSun" w:hAnsi="SimSun" w:eastAsia="SimSun" w:cs="SimSun"/>
          <w:sz w:val="21"/>
          <w:szCs w:val="21"/>
          <w:spacing w:val="9"/>
        </w:rPr>
        <w:t xml:space="preserve"> </w:t>
      </w:r>
      <w:r>
        <w:rPr>
          <w:rFonts w:ascii="SimSun" w:hAnsi="SimSun" w:eastAsia="SimSun" w:cs="SimSun"/>
          <w:sz w:val="21"/>
          <w:szCs w:val="21"/>
          <w:spacing w:val="-11"/>
        </w:rPr>
        <w:t>和事后信息不对称问题，有效改善中小微企业融资难、融资贵问题。</w:t>
      </w:r>
    </w:p>
    <w:p>
      <w:pPr>
        <w:ind w:firstLine="409"/>
        <w:spacing w:before="112" w:line="300" w:lineRule="auto"/>
        <w:jc w:val="both"/>
        <w:rPr>
          <w:rFonts w:ascii="SimSun" w:hAnsi="SimSun" w:eastAsia="SimSun" w:cs="SimSun"/>
          <w:sz w:val="21"/>
          <w:szCs w:val="21"/>
        </w:rPr>
      </w:pPr>
      <w:r>
        <w:rPr>
          <w:rFonts w:ascii="SimSun" w:hAnsi="SimSun" w:eastAsia="SimSun" w:cs="SimSun"/>
          <w:sz w:val="21"/>
          <w:szCs w:val="21"/>
          <w:spacing w:val="-11"/>
        </w:rPr>
        <w:t>大科技信贷平台结合自身的特点，利用大数据分析进行风控来服 </w:t>
      </w:r>
      <w:r>
        <w:rPr>
          <w:rFonts w:ascii="SimSun" w:hAnsi="SimSun" w:eastAsia="SimSun" w:cs="SimSun"/>
          <w:sz w:val="21"/>
          <w:szCs w:val="21"/>
          <w:spacing w:val="-11"/>
        </w:rPr>
        <w:t>务小微企业。大科技信贷平台利用不同类型的数据降低信用风险提供</w:t>
      </w:r>
      <w:r>
        <w:rPr>
          <w:rFonts w:ascii="SimSun" w:hAnsi="SimSun" w:eastAsia="SimSun" w:cs="SimSun"/>
          <w:sz w:val="21"/>
          <w:szCs w:val="21"/>
          <w:spacing w:val="2"/>
        </w:rPr>
        <w:t xml:space="preserve">  </w:t>
      </w:r>
      <w:r>
        <w:rPr>
          <w:rFonts w:ascii="SimSun" w:hAnsi="SimSun" w:eastAsia="SimSun" w:cs="SimSun"/>
          <w:sz w:val="21"/>
          <w:szCs w:val="21"/>
          <w:spacing w:val="-11"/>
        </w:rPr>
        <w:t>小额信贷服务，迄今为止形成了多种模式，具体包括：网商银行借助</w:t>
      </w:r>
      <w:r>
        <w:rPr>
          <w:rFonts w:ascii="SimSun" w:hAnsi="SimSun" w:eastAsia="SimSun" w:cs="SimSun"/>
          <w:sz w:val="21"/>
          <w:szCs w:val="21"/>
          <w:spacing w:val="5"/>
        </w:rPr>
        <w:t xml:space="preserve">  </w:t>
      </w:r>
      <w:r>
        <w:rPr>
          <w:rFonts w:ascii="SimSun" w:hAnsi="SimSun" w:eastAsia="SimSun" w:cs="SimSun"/>
          <w:sz w:val="21"/>
          <w:szCs w:val="21"/>
          <w:spacing w:val="-8"/>
        </w:rPr>
        <w:t>阿里电商数据和蚂蚁集团大数据风控体系进行风控的小额信贷模式、</w:t>
      </w:r>
      <w:r>
        <w:rPr>
          <w:rFonts w:ascii="SimSun" w:hAnsi="SimSun" w:eastAsia="SimSun" w:cs="SimSun"/>
          <w:sz w:val="21"/>
          <w:szCs w:val="21"/>
          <w:spacing w:val="13"/>
        </w:rPr>
        <w:t xml:space="preserve"> </w:t>
      </w:r>
      <w:r>
        <w:rPr>
          <w:rFonts w:ascii="SimSun" w:hAnsi="SimSun" w:eastAsia="SimSun" w:cs="SimSun"/>
          <w:sz w:val="21"/>
          <w:szCs w:val="21"/>
          <w:spacing w:val="-10"/>
        </w:rPr>
        <w:t>微众银行利用社交数据进行风控的小额信贷模</w:t>
      </w:r>
      <w:r>
        <w:rPr>
          <w:rFonts w:ascii="SimSun" w:hAnsi="SimSun" w:eastAsia="SimSun" w:cs="SimSun"/>
          <w:sz w:val="21"/>
          <w:szCs w:val="21"/>
          <w:spacing w:val="-11"/>
        </w:rPr>
        <w:t>式和新网银行通过平台</w:t>
      </w:r>
      <w:r>
        <w:rPr>
          <w:rFonts w:ascii="SimSun" w:hAnsi="SimSun" w:eastAsia="SimSun" w:cs="SimSun"/>
          <w:sz w:val="21"/>
          <w:szCs w:val="21"/>
        </w:rPr>
        <w:t xml:space="preserve"> </w:t>
      </w:r>
      <w:r>
        <w:rPr>
          <w:rFonts w:ascii="SimSun" w:hAnsi="SimSun" w:eastAsia="SimSun" w:cs="SimSun"/>
          <w:sz w:val="21"/>
          <w:szCs w:val="21"/>
          <w:spacing w:val="-12"/>
        </w:rPr>
        <w:t>合作进行风控的小额信贷模式。</w:t>
      </w:r>
    </w:p>
    <w:p>
      <w:pPr>
        <w:ind w:right="76" w:firstLine="409"/>
        <w:spacing w:before="109" w:line="291" w:lineRule="auto"/>
        <w:jc w:val="both"/>
        <w:rPr>
          <w:rFonts w:ascii="SimSun" w:hAnsi="SimSun" w:eastAsia="SimSun" w:cs="SimSun"/>
          <w:sz w:val="21"/>
          <w:szCs w:val="21"/>
        </w:rPr>
      </w:pPr>
      <w:r>
        <w:rPr>
          <w:rFonts w:ascii="SimSun" w:hAnsi="SimSun" w:eastAsia="SimSun" w:cs="SimSun"/>
          <w:sz w:val="21"/>
          <w:szCs w:val="21"/>
          <w:spacing w:val="-3"/>
        </w:rPr>
        <w:t>阿里系的网商银行借助阿里电商数据优势，运用蚂蚁集团</w:t>
      </w:r>
      <w:r>
        <w:rPr>
          <w:rFonts w:ascii="SimSun" w:hAnsi="SimSun" w:eastAsia="SimSun" w:cs="SimSun"/>
          <w:sz w:val="21"/>
          <w:szCs w:val="21"/>
          <w:spacing w:val="-4"/>
        </w:rPr>
        <w:t>大数</w:t>
      </w:r>
      <w:r>
        <w:rPr>
          <w:rFonts w:ascii="SimSun" w:hAnsi="SimSun" w:eastAsia="SimSun" w:cs="SimSun"/>
          <w:sz w:val="21"/>
          <w:szCs w:val="21"/>
        </w:rPr>
        <w:t xml:space="preserve"> </w:t>
      </w:r>
      <w:r>
        <w:rPr>
          <w:rFonts w:ascii="SimSun" w:hAnsi="SimSun" w:eastAsia="SimSun" w:cs="SimSun"/>
          <w:sz w:val="21"/>
          <w:szCs w:val="21"/>
          <w:spacing w:val="-11"/>
        </w:rPr>
        <w:t>据风控体系，服务了大量的中小微企业，并将贷款的不良率控制在较</w:t>
      </w:r>
      <w:r>
        <w:rPr>
          <w:rFonts w:ascii="SimSun" w:hAnsi="SimSun" w:eastAsia="SimSun" w:cs="SimSun"/>
          <w:sz w:val="21"/>
          <w:szCs w:val="21"/>
          <w:spacing w:val="7"/>
        </w:rPr>
        <w:t xml:space="preserve"> </w:t>
      </w:r>
      <w:r>
        <w:rPr>
          <w:rFonts w:ascii="SimSun" w:hAnsi="SimSun" w:eastAsia="SimSun" w:cs="SimSun"/>
          <w:sz w:val="21"/>
          <w:szCs w:val="21"/>
          <w:spacing w:val="-7"/>
        </w:rPr>
        <w:t>低水平。阿里网商银行依托阿里巴巴网上的交易数据，推出了31</w:t>
      </w:r>
      <w:r>
        <w:rPr>
          <w:rFonts w:ascii="SimSun" w:hAnsi="SimSun" w:eastAsia="SimSun" w:cs="SimSun"/>
          <w:sz w:val="21"/>
          <w:szCs w:val="21"/>
          <w:spacing w:val="-8"/>
        </w:rPr>
        <w:t>0服</w:t>
      </w:r>
      <w:r>
        <w:rPr>
          <w:rFonts w:ascii="SimSun" w:hAnsi="SimSun" w:eastAsia="SimSun" w:cs="SimSun"/>
          <w:sz w:val="21"/>
          <w:szCs w:val="21"/>
        </w:rPr>
        <w:t xml:space="preserve"> </w:t>
      </w:r>
      <w:r>
        <w:rPr>
          <w:rFonts w:ascii="SimSun" w:hAnsi="SimSun" w:eastAsia="SimSun" w:cs="SimSun"/>
          <w:sz w:val="21"/>
          <w:szCs w:val="21"/>
        </w:rPr>
        <w:t>务①,截至2020年，网商银行已经服务了35</w:t>
      </w:r>
      <w:r>
        <w:rPr>
          <w:rFonts w:ascii="SimSun" w:hAnsi="SimSun" w:eastAsia="SimSun" w:cs="SimSun"/>
          <w:sz w:val="21"/>
          <w:szCs w:val="21"/>
          <w:spacing w:val="-1"/>
        </w:rPr>
        <w:t>00万小微企业，相当于</w:t>
      </w:r>
    </w:p>
    <w:p>
      <w:pPr>
        <w:pStyle w:val="BodyText"/>
        <w:spacing w:line="473" w:lineRule="auto"/>
        <w:rPr/>
      </w:pPr>
      <w:r/>
    </w:p>
    <w:p>
      <w:pPr>
        <w:spacing w:before="52" w:line="220" w:lineRule="auto"/>
        <w:rPr>
          <w:rFonts w:ascii="SimSun" w:hAnsi="SimSun" w:eastAsia="SimSun" w:cs="SimSun"/>
          <w:sz w:val="16"/>
          <w:szCs w:val="16"/>
        </w:rPr>
      </w:pPr>
      <w:r>
        <w:rPr>
          <w:rFonts w:ascii="SimSun" w:hAnsi="SimSun" w:eastAsia="SimSun" w:cs="SimSun"/>
          <w:sz w:val="16"/>
          <w:szCs w:val="16"/>
          <w:spacing w:val="6"/>
        </w:rPr>
        <w:t>①</w:t>
      </w:r>
      <w:r>
        <w:rPr>
          <w:rFonts w:ascii="SimSun" w:hAnsi="SimSun" w:eastAsia="SimSun" w:cs="SimSun"/>
          <w:sz w:val="16"/>
          <w:szCs w:val="16"/>
          <w:spacing w:val="2"/>
        </w:rPr>
        <w:t xml:space="preserve">  </w:t>
      </w:r>
      <w:r>
        <w:rPr>
          <w:rFonts w:ascii="KaiTi" w:hAnsi="KaiTi" w:eastAsia="KaiTi" w:cs="KaiTi"/>
          <w:sz w:val="16"/>
          <w:szCs w:val="16"/>
          <w:spacing w:val="6"/>
        </w:rPr>
        <w:t>310服务是指3分钟申贷，1秒钟放贷，全程零人工干预</w:t>
      </w:r>
      <w:r>
        <w:rPr>
          <w:rFonts w:ascii="SimSun" w:hAnsi="SimSun" w:eastAsia="SimSun" w:cs="SimSun"/>
          <w:sz w:val="16"/>
          <w:szCs w:val="16"/>
          <w:spacing w:val="6"/>
        </w:rPr>
        <w:t>。</w:t>
      </w:r>
    </w:p>
    <w:p>
      <w:pPr>
        <w:spacing w:line="220" w:lineRule="auto"/>
        <w:sectPr>
          <w:headerReference w:type="default" r:id="rId261"/>
          <w:pgSz w:w="7330" w:h="12480"/>
          <w:pgMar w:top="819" w:right="934" w:bottom="400" w:left="320" w:header="652" w:footer="0" w:gutter="0"/>
        </w:sectPr>
        <w:rPr>
          <w:rFonts w:ascii="SimSun" w:hAnsi="SimSun" w:eastAsia="SimSun" w:cs="SimSun"/>
          <w:sz w:val="16"/>
          <w:szCs w:val="16"/>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176"/>
        <w:spacing w:before="68" w:line="301" w:lineRule="auto"/>
        <w:jc w:val="both"/>
        <w:rPr>
          <w:rFonts w:ascii="SimSun" w:hAnsi="SimSun" w:eastAsia="SimSun" w:cs="SimSun"/>
          <w:sz w:val="21"/>
          <w:szCs w:val="21"/>
        </w:rPr>
      </w:pPr>
      <w:r>
        <w:rPr>
          <w:rFonts w:ascii="SimSun" w:hAnsi="SimSun" w:eastAsia="SimSun" w:cs="SimSun"/>
          <w:sz w:val="21"/>
          <w:szCs w:val="21"/>
          <w:spacing w:val="-7"/>
        </w:rPr>
        <w:t>中国小微企业总量的1/3。具体而言，蚂蚁集团微贷科技平台的线上</w:t>
      </w:r>
      <w:r>
        <w:rPr>
          <w:rFonts w:ascii="SimSun" w:hAnsi="SimSun" w:eastAsia="SimSun" w:cs="SimSun"/>
          <w:sz w:val="21"/>
          <w:szCs w:val="21"/>
          <w:spacing w:val="9"/>
        </w:rPr>
        <w:t xml:space="preserve"> </w:t>
      </w:r>
      <w:r>
        <w:rPr>
          <w:rFonts w:ascii="SimSun" w:hAnsi="SimSun" w:eastAsia="SimSun" w:cs="SimSun"/>
          <w:sz w:val="21"/>
          <w:szCs w:val="21"/>
          <w:spacing w:val="-11"/>
        </w:rPr>
        <w:t>信用贷款，依托于阿里巴巴的电商运营与消费数据，利用蚂蚁的大数</w:t>
      </w:r>
      <w:r>
        <w:rPr>
          <w:rFonts w:ascii="SimSun" w:hAnsi="SimSun" w:eastAsia="SimSun" w:cs="SimSun"/>
          <w:sz w:val="21"/>
          <w:szCs w:val="21"/>
          <w:spacing w:val="17"/>
        </w:rPr>
        <w:t xml:space="preserve"> </w:t>
      </w:r>
      <w:r>
        <w:rPr>
          <w:rFonts w:ascii="SimSun" w:hAnsi="SimSun" w:eastAsia="SimSun" w:cs="SimSun"/>
          <w:sz w:val="21"/>
          <w:szCs w:val="21"/>
          <w:spacing w:val="-3"/>
        </w:rPr>
        <w:t>据风控体系，促成的消费信贷及小微经营者信贷</w:t>
      </w:r>
      <w:r>
        <w:rPr>
          <w:rFonts w:ascii="SimSun" w:hAnsi="SimSun" w:eastAsia="SimSun" w:cs="SimSun"/>
          <w:sz w:val="21"/>
          <w:szCs w:val="21"/>
          <w:spacing w:val="-4"/>
        </w:rPr>
        <w:t>余额已经从2017年</w:t>
      </w:r>
      <w:r>
        <w:rPr>
          <w:rFonts w:ascii="SimSun" w:hAnsi="SimSun" w:eastAsia="SimSun" w:cs="SimSun"/>
          <w:sz w:val="21"/>
          <w:szCs w:val="21"/>
        </w:rPr>
        <w:t xml:space="preserve"> </w:t>
      </w:r>
      <w:r>
        <w:rPr>
          <w:rFonts w:ascii="SimSun" w:hAnsi="SimSun" w:eastAsia="SimSun" w:cs="SimSun"/>
          <w:sz w:val="21"/>
          <w:szCs w:val="21"/>
          <w:spacing w:val="9"/>
        </w:rPr>
        <w:t>12月31日的6.475亿元攀升至2020年</w:t>
      </w:r>
      <w:r>
        <w:rPr>
          <w:rFonts w:ascii="SimSun" w:hAnsi="SimSun" w:eastAsia="SimSun" w:cs="SimSun"/>
          <w:sz w:val="21"/>
          <w:szCs w:val="21"/>
          <w:spacing w:val="8"/>
        </w:rPr>
        <w:t>6月30日的21.536亿元。小</w:t>
      </w:r>
      <w:r>
        <w:rPr>
          <w:rFonts w:ascii="SimSun" w:hAnsi="SimSun" w:eastAsia="SimSun" w:cs="SimSun"/>
          <w:sz w:val="21"/>
          <w:szCs w:val="21"/>
        </w:rPr>
        <w:t xml:space="preserve"> </w:t>
      </w:r>
      <w:r>
        <w:rPr>
          <w:rFonts w:ascii="SimSun" w:hAnsi="SimSun" w:eastAsia="SimSun" w:cs="SimSun"/>
          <w:sz w:val="21"/>
          <w:szCs w:val="21"/>
          <w:spacing w:val="-3"/>
        </w:rPr>
        <w:t>微经营者信贷余额逾期率也呈现较低水平，其</w:t>
      </w:r>
      <w:r>
        <w:rPr>
          <w:rFonts w:ascii="SimSun" w:hAnsi="SimSun" w:eastAsia="SimSun" w:cs="SimSun"/>
          <w:sz w:val="21"/>
          <w:szCs w:val="21"/>
          <w:spacing w:val="-4"/>
        </w:rPr>
        <w:t>中，30天的逾期率不</w:t>
      </w:r>
      <w:r>
        <w:rPr>
          <w:rFonts w:ascii="SimSun" w:hAnsi="SimSun" w:eastAsia="SimSun" w:cs="SimSun"/>
          <w:sz w:val="21"/>
          <w:szCs w:val="21"/>
        </w:rPr>
        <w:t xml:space="preserve"> </w:t>
      </w:r>
      <w:r>
        <w:rPr>
          <w:rFonts w:ascii="SimSun" w:hAnsi="SimSun" w:eastAsia="SimSun" w:cs="SimSun"/>
          <w:sz w:val="21"/>
          <w:szCs w:val="21"/>
          <w:spacing w:val="9"/>
        </w:rPr>
        <w:t>超过1.67%,90天的逾期率不超过2.17%,远低于2019年全国普惠</w:t>
      </w:r>
      <w:r>
        <w:rPr>
          <w:rFonts w:ascii="SimSun" w:hAnsi="SimSun" w:eastAsia="SimSun" w:cs="SimSun"/>
          <w:sz w:val="21"/>
          <w:szCs w:val="21"/>
          <w:spacing w:val="5"/>
        </w:rPr>
        <w:t xml:space="preserve"> </w:t>
      </w:r>
      <w:r>
        <w:rPr>
          <w:rFonts w:ascii="SimSun" w:hAnsi="SimSun" w:eastAsia="SimSun" w:cs="SimSun"/>
          <w:sz w:val="21"/>
          <w:szCs w:val="21"/>
          <w:spacing w:val="-3"/>
        </w:rPr>
        <w:t>型小微企业贷款3.75%的不良率。</w:t>
      </w:r>
    </w:p>
    <w:p>
      <w:pPr>
        <w:ind w:right="92" w:firstLine="429"/>
        <w:spacing w:before="112" w:line="304" w:lineRule="auto"/>
        <w:jc w:val="both"/>
        <w:rPr>
          <w:rFonts w:ascii="SimSun" w:hAnsi="SimSun" w:eastAsia="SimSun" w:cs="SimSun"/>
          <w:sz w:val="21"/>
          <w:szCs w:val="21"/>
        </w:rPr>
      </w:pPr>
      <w:r>
        <w:rPr>
          <w:rFonts w:ascii="SimSun" w:hAnsi="SimSun" w:eastAsia="SimSun" w:cs="SimSun"/>
          <w:sz w:val="21"/>
          <w:szCs w:val="21"/>
          <w:spacing w:val="-11"/>
        </w:rPr>
        <w:t>微众银行的小额贷款模式通过社交数据来进行风控。微众银行的 </w:t>
      </w:r>
      <w:r>
        <w:rPr>
          <w:rFonts w:ascii="SimSun" w:hAnsi="SimSun" w:eastAsia="SimSun" w:cs="SimSun"/>
          <w:sz w:val="21"/>
          <w:szCs w:val="21"/>
          <w:spacing w:val="-3"/>
        </w:rPr>
        <w:t>微粒贷产品为面向个人的无抵押贷款。截至2019年，微众银行已向 </w:t>
      </w:r>
      <w:r>
        <w:rPr>
          <w:rFonts w:ascii="SimSun" w:hAnsi="SimSun" w:eastAsia="SimSun" w:cs="SimSun"/>
          <w:sz w:val="21"/>
          <w:szCs w:val="21"/>
          <w:spacing w:val="-6"/>
        </w:rPr>
        <w:t>超过2800万客户发放超过4.6亿笔贷款，累计放款额超过3</w:t>
      </w:r>
      <w:r>
        <w:rPr>
          <w:rFonts w:ascii="SimSun" w:hAnsi="SimSun" w:eastAsia="SimSun" w:cs="SimSun"/>
          <w:sz w:val="21"/>
          <w:szCs w:val="21"/>
          <w:spacing w:val="-7"/>
        </w:rPr>
        <w:t>.7万亿元。</w:t>
      </w:r>
      <w:r>
        <w:rPr>
          <w:rFonts w:ascii="SimSun" w:hAnsi="SimSun" w:eastAsia="SimSun" w:cs="SimSun"/>
          <w:sz w:val="21"/>
          <w:szCs w:val="21"/>
        </w:rPr>
        <w:t xml:space="preserve"> </w:t>
      </w:r>
      <w:r>
        <w:rPr>
          <w:rFonts w:ascii="SimSun" w:hAnsi="SimSun" w:eastAsia="SimSun" w:cs="SimSun"/>
          <w:sz w:val="21"/>
          <w:szCs w:val="21"/>
          <w:spacing w:val="3"/>
        </w:rPr>
        <w:t>更重要的是，授信客户中约78%从事非白领服务业，约80%</w:t>
      </w:r>
      <w:r>
        <w:rPr>
          <w:rFonts w:ascii="SimSun" w:hAnsi="SimSun" w:eastAsia="SimSun" w:cs="SimSun"/>
          <w:sz w:val="21"/>
          <w:szCs w:val="21"/>
          <w:spacing w:val="2"/>
        </w:rPr>
        <w:t>为大专</w:t>
      </w:r>
      <w:r>
        <w:rPr>
          <w:rFonts w:ascii="SimSun" w:hAnsi="SimSun" w:eastAsia="SimSun" w:cs="SimSun"/>
          <w:sz w:val="21"/>
          <w:szCs w:val="21"/>
        </w:rPr>
        <w:t xml:space="preserve">  </w:t>
      </w:r>
      <w:r>
        <w:rPr>
          <w:rFonts w:ascii="SimSun" w:hAnsi="SimSun" w:eastAsia="SimSun" w:cs="SimSun"/>
          <w:sz w:val="21"/>
          <w:szCs w:val="21"/>
          <w:spacing w:val="7"/>
        </w:rPr>
        <w:t>及以下学历；笔均贷款约为8000元，超过70%已结清贷款的利息</w:t>
      </w:r>
      <w:r>
        <w:rPr>
          <w:rFonts w:ascii="SimSun" w:hAnsi="SimSun" w:eastAsia="SimSun" w:cs="SimSun"/>
          <w:sz w:val="21"/>
          <w:szCs w:val="21"/>
          <w:spacing w:val="1"/>
        </w:rPr>
        <w:t xml:space="preserve">  </w:t>
      </w:r>
      <w:r>
        <w:rPr>
          <w:rFonts w:ascii="SimSun" w:hAnsi="SimSun" w:eastAsia="SimSun" w:cs="SimSun"/>
          <w:sz w:val="21"/>
          <w:szCs w:val="21"/>
          <w:spacing w:val="-7"/>
        </w:rPr>
        <w:t>低于100元。此外，微众银行还向民营企业提供普惠型信贷服务。截</w:t>
      </w:r>
      <w:r>
        <w:rPr>
          <w:rFonts w:ascii="SimSun" w:hAnsi="SimSun" w:eastAsia="SimSun" w:cs="SimSun"/>
          <w:sz w:val="21"/>
          <w:szCs w:val="21"/>
          <w:spacing w:val="5"/>
        </w:rPr>
        <w:t xml:space="preserve">  </w:t>
      </w:r>
      <w:r>
        <w:rPr>
          <w:rFonts w:ascii="SimSun" w:hAnsi="SimSun" w:eastAsia="SimSun" w:cs="SimSun"/>
          <w:sz w:val="21"/>
          <w:szCs w:val="21"/>
          <w:spacing w:val="-3"/>
        </w:rPr>
        <w:t>至2019年末，微众银行“微业贷”为民营企业中的</w:t>
      </w:r>
      <w:r>
        <w:rPr>
          <w:rFonts w:ascii="SimSun" w:hAnsi="SimSun" w:eastAsia="SimSun" w:cs="SimSun"/>
          <w:sz w:val="21"/>
          <w:szCs w:val="21"/>
          <w:spacing w:val="-4"/>
        </w:rPr>
        <w:t>23万户小微企业</w:t>
      </w:r>
      <w:r>
        <w:rPr>
          <w:rFonts w:ascii="SimSun" w:hAnsi="SimSun" w:eastAsia="SimSun" w:cs="SimSun"/>
          <w:sz w:val="21"/>
          <w:szCs w:val="21"/>
        </w:rPr>
        <w:t xml:space="preserve">  </w:t>
      </w:r>
      <w:r>
        <w:rPr>
          <w:rFonts w:ascii="SimSun" w:hAnsi="SimSun" w:eastAsia="SimSun" w:cs="SimSun"/>
          <w:sz w:val="21"/>
          <w:szCs w:val="21"/>
          <w:spacing w:val="-6"/>
        </w:rPr>
        <w:t>提供了普惠型信贷服务，61%的民营企业首次获得银行授信支持。</w:t>
      </w:r>
    </w:p>
    <w:p>
      <w:pPr>
        <w:ind w:firstLine="429"/>
        <w:spacing w:before="110" w:line="304" w:lineRule="auto"/>
        <w:jc w:val="both"/>
        <w:rPr>
          <w:rFonts w:ascii="SimSun" w:hAnsi="SimSun" w:eastAsia="SimSun" w:cs="SimSun"/>
          <w:sz w:val="21"/>
          <w:szCs w:val="21"/>
        </w:rPr>
      </w:pPr>
      <w:r>
        <w:rPr>
          <w:rFonts w:ascii="SimSun" w:hAnsi="SimSun" w:eastAsia="SimSun" w:cs="SimSun"/>
          <w:sz w:val="21"/>
          <w:szCs w:val="21"/>
          <w:spacing w:val="-11"/>
        </w:rPr>
        <w:t>新网银行的小额信贷模式通过合作平台进行风控。通过与合作平  </w:t>
      </w:r>
      <w:r>
        <w:rPr>
          <w:rFonts w:ascii="SimSun" w:hAnsi="SimSun" w:eastAsia="SimSun" w:cs="SimSun"/>
          <w:sz w:val="21"/>
          <w:szCs w:val="21"/>
          <w:spacing w:val="3"/>
        </w:rPr>
        <w:t>台的数据合作，截至2019年二季度，新网银行已累计放款2527亿  </w:t>
      </w:r>
      <w:r>
        <w:rPr>
          <w:rFonts w:ascii="SimSun" w:hAnsi="SimSun" w:eastAsia="SimSun" w:cs="SimSun"/>
          <w:sz w:val="21"/>
          <w:szCs w:val="21"/>
          <w:spacing w:val="3"/>
        </w:rPr>
        <w:t>元，有效触达用户数突破2435万人，借款笔数7868万笔，贷款余  </w:t>
      </w:r>
      <w:r>
        <w:rPr>
          <w:rFonts w:ascii="SimSun" w:hAnsi="SimSun" w:eastAsia="SimSun" w:cs="SimSun"/>
          <w:sz w:val="21"/>
          <w:szCs w:val="21"/>
        </w:rPr>
        <w:t>额843亿元。具体来看，普惠型小微贷款在贷余</w:t>
      </w:r>
      <w:r>
        <w:rPr>
          <w:rFonts w:ascii="SimSun" w:hAnsi="SimSun" w:eastAsia="SimSun" w:cs="SimSun"/>
          <w:sz w:val="21"/>
          <w:szCs w:val="21"/>
          <w:spacing w:val="-1"/>
        </w:rPr>
        <w:t>额9.22亿元，户均</w:t>
      </w:r>
      <w:r>
        <w:rPr>
          <w:rFonts w:ascii="SimSun" w:hAnsi="SimSun" w:eastAsia="SimSun" w:cs="SimSun"/>
          <w:sz w:val="21"/>
          <w:szCs w:val="21"/>
        </w:rPr>
        <w:t xml:space="preserve">   </w:t>
      </w:r>
      <w:r>
        <w:rPr>
          <w:rFonts w:ascii="SimSun" w:hAnsi="SimSun" w:eastAsia="SimSun" w:cs="SimSun"/>
          <w:sz w:val="21"/>
          <w:szCs w:val="21"/>
        </w:rPr>
        <w:t>8.31万元；有超过80%的用户集中在三、</w:t>
      </w:r>
      <w:r>
        <w:rPr>
          <w:rFonts w:ascii="SimSun" w:hAnsi="SimSun" w:eastAsia="SimSun" w:cs="SimSun"/>
          <w:sz w:val="21"/>
          <w:szCs w:val="21"/>
          <w:spacing w:val="-1"/>
        </w:rPr>
        <w:t>四线城市等经济欠发达地</w:t>
      </w:r>
      <w:r>
        <w:rPr>
          <w:rFonts w:ascii="SimSun" w:hAnsi="SimSun" w:eastAsia="SimSun" w:cs="SimSun"/>
          <w:sz w:val="21"/>
          <w:szCs w:val="21"/>
        </w:rPr>
        <w:t xml:space="preserve">   </w:t>
      </w:r>
      <w:r>
        <w:rPr>
          <w:rFonts w:ascii="SimSun" w:hAnsi="SimSun" w:eastAsia="SimSun" w:cs="SimSun"/>
          <w:sz w:val="21"/>
          <w:szCs w:val="21"/>
          <w:spacing w:val="-16"/>
        </w:rPr>
        <w:t>区，而且15.12%的用户为“无征信报告”“无信用记录”“无贷款记录”</w:t>
      </w:r>
      <w:r>
        <w:rPr>
          <w:rFonts w:ascii="SimSun" w:hAnsi="SimSun" w:eastAsia="SimSun" w:cs="SimSun"/>
          <w:sz w:val="21"/>
          <w:szCs w:val="21"/>
          <w:spacing w:val="16"/>
        </w:rPr>
        <w:t xml:space="preserve"> </w:t>
      </w:r>
      <w:r>
        <w:rPr>
          <w:rFonts w:ascii="SimSun" w:hAnsi="SimSun" w:eastAsia="SimSun" w:cs="SimSun"/>
          <w:sz w:val="21"/>
          <w:szCs w:val="21"/>
          <w:spacing w:val="-8"/>
        </w:rPr>
        <w:t>的信用白户。</w:t>
      </w:r>
    </w:p>
    <w:p>
      <w:pPr>
        <w:ind w:right="72" w:firstLine="429"/>
        <w:spacing w:before="99" w:line="297" w:lineRule="auto"/>
        <w:jc w:val="both"/>
        <w:rPr>
          <w:rFonts w:ascii="SimSun" w:hAnsi="SimSun" w:eastAsia="SimSun" w:cs="SimSun"/>
          <w:sz w:val="21"/>
          <w:szCs w:val="21"/>
        </w:rPr>
      </w:pPr>
      <w:r>
        <w:rPr>
          <w:rFonts w:ascii="SimSun" w:hAnsi="SimSun" w:eastAsia="SimSun" w:cs="SimSun"/>
          <w:sz w:val="21"/>
          <w:szCs w:val="21"/>
          <w:spacing w:val="-8"/>
        </w:rPr>
        <w:t>数字金融平台将平台所积累的数字足迹与传统的征信数据结合，</w:t>
      </w:r>
      <w:r>
        <w:rPr>
          <w:rFonts w:ascii="SimSun" w:hAnsi="SimSun" w:eastAsia="SimSun" w:cs="SimSun"/>
          <w:sz w:val="21"/>
          <w:szCs w:val="21"/>
          <w:spacing w:val="17"/>
        </w:rPr>
        <w:t xml:space="preserve"> </w:t>
      </w:r>
      <w:r>
        <w:rPr>
          <w:rFonts w:ascii="SimSun" w:hAnsi="SimSun" w:eastAsia="SimSun" w:cs="SimSun"/>
          <w:sz w:val="21"/>
          <w:szCs w:val="21"/>
          <w:spacing w:val="-11"/>
        </w:rPr>
        <w:t>可促进征信和社会信用体系建设。海量的信用白户在平台上产生了大</w:t>
      </w:r>
      <w:r>
        <w:rPr>
          <w:rFonts w:ascii="SimSun" w:hAnsi="SimSun" w:eastAsia="SimSun" w:cs="SimSun"/>
          <w:sz w:val="21"/>
          <w:szCs w:val="21"/>
          <w:spacing w:val="9"/>
        </w:rPr>
        <w:t xml:space="preserve">  </w:t>
      </w:r>
      <w:r>
        <w:rPr>
          <w:rFonts w:ascii="SimSun" w:hAnsi="SimSun" w:eastAsia="SimSun" w:cs="SimSun"/>
          <w:sz w:val="21"/>
          <w:szCs w:val="21"/>
          <w:spacing w:val="-10"/>
        </w:rPr>
        <w:t>量的交易、信用记录，如果这些数据与传统的</w:t>
      </w:r>
      <w:r>
        <w:rPr>
          <w:rFonts w:ascii="SimSun" w:hAnsi="SimSun" w:eastAsia="SimSun" w:cs="SimSun"/>
          <w:sz w:val="21"/>
          <w:szCs w:val="21"/>
          <w:spacing w:val="-11"/>
        </w:rPr>
        <w:t>征信数据相结合，有望</w:t>
      </w:r>
      <w:r>
        <w:rPr>
          <w:rFonts w:ascii="SimSun" w:hAnsi="SimSun" w:eastAsia="SimSun" w:cs="SimSun"/>
          <w:sz w:val="21"/>
          <w:szCs w:val="21"/>
        </w:rPr>
        <w:t xml:space="preserve">  </w:t>
      </w:r>
      <w:r>
        <w:rPr>
          <w:rFonts w:ascii="SimSun" w:hAnsi="SimSun" w:eastAsia="SimSun" w:cs="SimSun"/>
          <w:sz w:val="21"/>
          <w:szCs w:val="21"/>
          <w:spacing w:val="-11"/>
        </w:rPr>
        <w:t>促进国家征信和信用服务体系的完善。具体而言，大科技平台可以连</w:t>
      </w:r>
      <w:r>
        <w:rPr>
          <w:rFonts w:ascii="SimSun" w:hAnsi="SimSun" w:eastAsia="SimSun" w:cs="SimSun"/>
          <w:sz w:val="21"/>
          <w:szCs w:val="21"/>
          <w:spacing w:val="8"/>
        </w:rPr>
        <w:t xml:space="preserve">  </w:t>
      </w:r>
      <w:r>
        <w:rPr>
          <w:rFonts w:ascii="SimSun" w:hAnsi="SimSun" w:eastAsia="SimSun" w:cs="SimSun"/>
          <w:sz w:val="21"/>
          <w:szCs w:val="21"/>
          <w:spacing w:val="-10"/>
        </w:rPr>
        <w:t>接数以亿计的用户，多增加一个用户的成本几乎为零，因此用</w:t>
      </w:r>
      <w:r>
        <w:rPr>
          <w:rFonts w:ascii="SimSun" w:hAnsi="SimSun" w:eastAsia="SimSun" w:cs="SimSun"/>
          <w:sz w:val="21"/>
          <w:szCs w:val="21"/>
          <w:spacing w:val="-11"/>
        </w:rPr>
        <w:t>户量越</w:t>
      </w:r>
    </w:p>
    <w:p>
      <w:pPr>
        <w:spacing w:line="297" w:lineRule="auto"/>
        <w:sectPr>
          <w:headerReference w:type="default" r:id="rId263"/>
          <w:pgSz w:w="7330" w:h="12480"/>
          <w:pgMar w:top="537" w:right="422" w:bottom="400" w:left="729" w:header="384"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right="55"/>
        <w:spacing w:before="69" w:line="297" w:lineRule="auto"/>
        <w:jc w:val="both"/>
        <w:rPr>
          <w:rFonts w:ascii="SimSun" w:hAnsi="SimSun" w:eastAsia="SimSun" w:cs="SimSun"/>
          <w:sz w:val="21"/>
          <w:szCs w:val="21"/>
        </w:rPr>
      </w:pPr>
      <w:r>
        <w:rPr>
          <w:rFonts w:ascii="SimSun" w:hAnsi="SimSun" w:eastAsia="SimSun" w:cs="SimSun"/>
          <w:sz w:val="21"/>
          <w:szCs w:val="21"/>
          <w:spacing w:val="-11"/>
        </w:rPr>
        <w:t>大，科技平台的优势越明显；用户在平台上的数字足迹累积起来</w:t>
      </w:r>
      <w:r>
        <w:rPr>
          <w:rFonts w:ascii="SimSun" w:hAnsi="SimSun" w:eastAsia="SimSun" w:cs="SimSun"/>
          <w:sz w:val="21"/>
          <w:szCs w:val="21"/>
          <w:spacing w:val="-12"/>
        </w:rPr>
        <w:t>所形</w:t>
      </w:r>
      <w:r>
        <w:rPr>
          <w:rFonts w:ascii="SimSun" w:hAnsi="SimSun" w:eastAsia="SimSun" w:cs="SimSun"/>
          <w:sz w:val="21"/>
          <w:szCs w:val="21"/>
        </w:rPr>
        <w:t xml:space="preserve"> </w:t>
      </w:r>
      <w:r>
        <w:rPr>
          <w:rFonts w:ascii="SimSun" w:hAnsi="SimSun" w:eastAsia="SimSun" w:cs="SimSun"/>
          <w:sz w:val="21"/>
          <w:szCs w:val="21"/>
          <w:spacing w:val="-11"/>
        </w:rPr>
        <w:t>成的大数据，既可以用于平台上活动与交易的实时监测，也可以用于</w:t>
      </w:r>
      <w:r>
        <w:rPr>
          <w:rFonts w:ascii="SimSun" w:hAnsi="SimSun" w:eastAsia="SimSun" w:cs="SimSun"/>
          <w:sz w:val="21"/>
          <w:szCs w:val="21"/>
        </w:rPr>
        <w:t xml:space="preserve"> </w:t>
      </w:r>
      <w:r>
        <w:rPr>
          <w:rFonts w:ascii="SimSun" w:hAnsi="SimSun" w:eastAsia="SimSun" w:cs="SimSun"/>
          <w:sz w:val="21"/>
          <w:szCs w:val="21"/>
          <w:spacing w:val="-11"/>
        </w:rPr>
        <w:t>大数据风控。此外，大科技平台上沉淀的海量用户征信信息是</w:t>
      </w:r>
      <w:r>
        <w:rPr>
          <w:rFonts w:ascii="SimSun" w:hAnsi="SimSun" w:eastAsia="SimSun" w:cs="SimSun"/>
          <w:sz w:val="21"/>
          <w:szCs w:val="21"/>
          <w:spacing w:val="-12"/>
        </w:rPr>
        <w:t>传统金</w:t>
      </w:r>
      <w:r>
        <w:rPr>
          <w:rFonts w:ascii="SimSun" w:hAnsi="SimSun" w:eastAsia="SimSun" w:cs="SimSun"/>
          <w:sz w:val="21"/>
          <w:szCs w:val="21"/>
        </w:rPr>
        <w:t xml:space="preserve"> </w:t>
      </w:r>
      <w:r>
        <w:rPr>
          <w:rFonts w:ascii="SimSun" w:hAnsi="SimSun" w:eastAsia="SimSun" w:cs="SimSun"/>
          <w:sz w:val="21"/>
          <w:szCs w:val="21"/>
          <w:spacing w:val="-10"/>
        </w:rPr>
        <w:t>融机构所不能触及之处，如果将这些信息与社会信用信息相结合，将</w:t>
      </w:r>
      <w:r>
        <w:rPr>
          <w:rFonts w:ascii="SimSun" w:hAnsi="SimSun" w:eastAsia="SimSun" w:cs="SimSun"/>
          <w:sz w:val="21"/>
          <w:szCs w:val="21"/>
          <w:spacing w:val="8"/>
        </w:rPr>
        <w:t xml:space="preserve"> </w:t>
      </w:r>
      <w:r>
        <w:rPr>
          <w:rFonts w:ascii="SimSun" w:hAnsi="SimSun" w:eastAsia="SimSun" w:cs="SimSun"/>
          <w:sz w:val="21"/>
          <w:szCs w:val="21"/>
          <w:spacing w:val="-13"/>
        </w:rPr>
        <w:t>有利于国家征信和信用服务体系的完善。</w:t>
      </w:r>
    </w:p>
    <w:p>
      <w:pPr>
        <w:ind w:firstLine="409"/>
        <w:spacing w:before="106" w:line="300" w:lineRule="auto"/>
        <w:jc w:val="both"/>
        <w:rPr>
          <w:rFonts w:ascii="SimSun" w:hAnsi="SimSun" w:eastAsia="SimSun" w:cs="SimSun"/>
          <w:sz w:val="21"/>
          <w:szCs w:val="21"/>
        </w:rPr>
      </w:pPr>
      <w:r>
        <w:rPr>
          <w:rFonts w:ascii="SimSun" w:hAnsi="SimSun" w:eastAsia="SimSun" w:cs="SimSun"/>
          <w:sz w:val="21"/>
          <w:szCs w:val="21"/>
          <w:spacing w:val="-11"/>
        </w:rPr>
        <w:t>数字金融平台促进了征信体系的市场化发展。征信体系是现代经 </w:t>
      </w:r>
      <w:r>
        <w:rPr>
          <w:rFonts w:ascii="SimSun" w:hAnsi="SimSun" w:eastAsia="SimSun" w:cs="SimSun"/>
          <w:sz w:val="21"/>
          <w:szCs w:val="21"/>
          <w:spacing w:val="-8"/>
        </w:rPr>
        <w:t>济重要的金融基础设施，能降低社会的信用成本和系统性金融风险。</w:t>
      </w:r>
      <w:r>
        <w:rPr>
          <w:rFonts w:ascii="SimSun" w:hAnsi="SimSun" w:eastAsia="SimSun" w:cs="SimSun"/>
          <w:sz w:val="21"/>
          <w:szCs w:val="21"/>
          <w:spacing w:val="3"/>
        </w:rPr>
        <w:t xml:space="preserve"> </w:t>
      </w:r>
      <w:r>
        <w:rPr>
          <w:rFonts w:ascii="SimSun" w:hAnsi="SimSun" w:eastAsia="SimSun" w:cs="SimSun"/>
          <w:sz w:val="21"/>
          <w:szCs w:val="21"/>
          <w:spacing w:val="-9"/>
        </w:rPr>
        <w:t>目前我国征信体系主要以公共部门为主导，以央行征信中心为主体。</w:t>
      </w:r>
      <w:r>
        <w:rPr>
          <w:rFonts w:ascii="SimSun" w:hAnsi="SimSun" w:eastAsia="SimSun" w:cs="SimSun"/>
          <w:sz w:val="21"/>
          <w:szCs w:val="21"/>
          <w:spacing w:val="3"/>
        </w:rPr>
        <w:t xml:space="preserve"> </w:t>
      </w:r>
      <w:r>
        <w:rPr>
          <w:rFonts w:ascii="SimSun" w:hAnsi="SimSun" w:eastAsia="SimSun" w:cs="SimSun"/>
          <w:sz w:val="21"/>
          <w:szCs w:val="21"/>
          <w:spacing w:val="-4"/>
        </w:rPr>
        <w:t>我国于2003年设立央行征信管理局，2006年成立中国人民银行征信</w:t>
      </w:r>
      <w:r>
        <w:rPr>
          <w:rFonts w:ascii="SimSun" w:hAnsi="SimSun" w:eastAsia="SimSun" w:cs="SimSun"/>
          <w:sz w:val="21"/>
          <w:szCs w:val="21"/>
          <w:spacing w:val="7"/>
        </w:rPr>
        <w:t xml:space="preserve">  </w:t>
      </w:r>
      <w:r>
        <w:rPr>
          <w:rFonts w:ascii="SimSun" w:hAnsi="SimSun" w:eastAsia="SimSun" w:cs="SimSun"/>
          <w:sz w:val="21"/>
          <w:szCs w:val="21"/>
          <w:spacing w:val="-4"/>
        </w:rPr>
        <w:t>中心，2013年起发布《征信业管理条例》等一系列文件，2015年基</w:t>
      </w:r>
      <w:r>
        <w:rPr>
          <w:rFonts w:ascii="SimSun" w:hAnsi="SimSun" w:eastAsia="SimSun" w:cs="SimSun"/>
          <w:sz w:val="21"/>
          <w:szCs w:val="21"/>
          <w:spacing w:val="4"/>
        </w:rPr>
        <w:t xml:space="preserve">  </w:t>
      </w:r>
      <w:r>
        <w:rPr>
          <w:rFonts w:ascii="SimSun" w:hAnsi="SimSun" w:eastAsia="SimSun" w:cs="SimSun"/>
          <w:sz w:val="21"/>
          <w:szCs w:val="21"/>
          <w:spacing w:val="-11"/>
        </w:rPr>
        <w:t>本建立由公共部门主导、以央行征信中心为主体的个人征信体系。信</w:t>
      </w:r>
      <w:r>
        <w:rPr>
          <w:rFonts w:ascii="SimSun" w:hAnsi="SimSun" w:eastAsia="SimSun" w:cs="SimSun"/>
          <w:sz w:val="21"/>
          <w:szCs w:val="21"/>
          <w:spacing w:val="1"/>
        </w:rPr>
        <w:t xml:space="preserve">  </w:t>
      </w:r>
      <w:r>
        <w:rPr>
          <w:rFonts w:ascii="SimSun" w:hAnsi="SimSun" w:eastAsia="SimSun" w:cs="SimSun"/>
          <w:sz w:val="21"/>
          <w:szCs w:val="21"/>
          <w:spacing w:val="-8"/>
        </w:rPr>
        <w:t>用信息主要来自银行等金融机构的信贷数据和公共部门的信用信息。</w:t>
      </w:r>
      <w:r>
        <w:rPr>
          <w:rFonts w:ascii="SimSun" w:hAnsi="SimSun" w:eastAsia="SimSun" w:cs="SimSun"/>
          <w:sz w:val="21"/>
          <w:szCs w:val="21"/>
          <w:spacing w:val="3"/>
        </w:rPr>
        <w:t xml:space="preserve"> </w:t>
      </w:r>
      <w:r>
        <w:rPr>
          <w:rFonts w:ascii="SimSun" w:hAnsi="SimSun" w:eastAsia="SimSun" w:cs="SimSun"/>
          <w:sz w:val="21"/>
          <w:szCs w:val="21"/>
          <w:spacing w:val="2"/>
        </w:rPr>
        <w:t>截至2020年12月底，征信系统共收录11亿自然人、6092.3万户企</w:t>
      </w:r>
      <w:r>
        <w:rPr>
          <w:rFonts w:ascii="SimSun" w:hAnsi="SimSun" w:eastAsia="SimSun" w:cs="SimSun"/>
          <w:sz w:val="21"/>
          <w:szCs w:val="21"/>
          <w:spacing w:val="9"/>
        </w:rPr>
        <w:t xml:space="preserve">  </w:t>
      </w:r>
      <w:r>
        <w:rPr>
          <w:rFonts w:ascii="SimSun" w:hAnsi="SimSun" w:eastAsia="SimSun" w:cs="SimSun"/>
          <w:sz w:val="21"/>
          <w:szCs w:val="21"/>
          <w:spacing w:val="-4"/>
        </w:rPr>
        <w:t>业及其他组织；其中，收录小微企业3656.1万户、个体工商户1167</w:t>
      </w:r>
      <w:r>
        <w:rPr>
          <w:rFonts w:ascii="SimSun" w:hAnsi="SimSun" w:eastAsia="SimSun" w:cs="SimSun"/>
          <w:sz w:val="21"/>
          <w:szCs w:val="21"/>
          <w:spacing w:val="8"/>
        </w:rPr>
        <w:t xml:space="preserve">  </w:t>
      </w:r>
      <w:r>
        <w:rPr>
          <w:rFonts w:ascii="SimSun" w:hAnsi="SimSun" w:eastAsia="SimSun" w:cs="SimSun"/>
          <w:sz w:val="21"/>
          <w:szCs w:val="21"/>
          <w:spacing w:val="-11"/>
        </w:rPr>
        <w:t>万户。此外，在中国金融行业提高金融服务效率方面，个人征信数据</w:t>
      </w:r>
      <w:r>
        <w:rPr>
          <w:rFonts w:ascii="SimSun" w:hAnsi="SimSun" w:eastAsia="SimSun" w:cs="SimSun"/>
          <w:sz w:val="21"/>
          <w:szCs w:val="21"/>
        </w:rPr>
        <w:t xml:space="preserve">  </w:t>
      </w:r>
      <w:r>
        <w:rPr>
          <w:rFonts w:ascii="SimSun" w:hAnsi="SimSun" w:eastAsia="SimSun" w:cs="SimSun"/>
          <w:sz w:val="21"/>
          <w:szCs w:val="21"/>
          <w:spacing w:val="-13"/>
        </w:rPr>
        <w:t>和业务的完善也发挥着至关重要的作用。</w:t>
      </w:r>
    </w:p>
    <w:p>
      <w:pPr>
        <w:ind w:firstLine="429"/>
        <w:spacing w:before="215" w:line="307" w:lineRule="auto"/>
        <w:jc w:val="both"/>
        <w:rPr>
          <w:rFonts w:ascii="SimSun" w:hAnsi="SimSun" w:eastAsia="SimSun" w:cs="SimSun"/>
          <w:sz w:val="21"/>
          <w:szCs w:val="21"/>
        </w:rPr>
      </w:pPr>
      <w:r>
        <w:rPr>
          <w:rFonts w:ascii="SimSun" w:hAnsi="SimSun" w:eastAsia="SimSun" w:cs="SimSun"/>
          <w:sz w:val="21"/>
          <w:szCs w:val="21"/>
          <w:spacing w:val="-11"/>
        </w:rPr>
        <w:t>个人征信业务获批是大数据风控的发端，且伴随着数字金融的不</w:t>
      </w:r>
      <w:r>
        <w:rPr>
          <w:rFonts w:ascii="SimSun" w:hAnsi="SimSun" w:eastAsia="SimSun" w:cs="SimSun"/>
          <w:sz w:val="21"/>
          <w:szCs w:val="21"/>
          <w:spacing w:val="7"/>
        </w:rPr>
        <w:t xml:space="preserve"> </w:t>
      </w:r>
      <w:r>
        <w:rPr>
          <w:rFonts w:ascii="SimSun" w:hAnsi="SimSun" w:eastAsia="SimSun" w:cs="SimSun"/>
          <w:sz w:val="21"/>
          <w:szCs w:val="21"/>
          <w:spacing w:val="-1"/>
        </w:rPr>
        <w:t>断发展演化。2015年有8家市场化机构获准开始个人征信业务准备</w:t>
      </w:r>
      <w:r>
        <w:rPr>
          <w:rFonts w:ascii="SimSun" w:hAnsi="SimSun" w:eastAsia="SimSun" w:cs="SimSun"/>
          <w:sz w:val="21"/>
          <w:szCs w:val="21"/>
          <w:spacing w:val="6"/>
        </w:rPr>
        <w:t xml:space="preserve">  </w:t>
      </w:r>
      <w:r>
        <w:rPr>
          <w:rFonts w:ascii="SimSun" w:hAnsi="SimSun" w:eastAsia="SimSun" w:cs="SimSun"/>
          <w:sz w:val="21"/>
          <w:szCs w:val="21"/>
          <w:spacing w:val="-11"/>
        </w:rPr>
        <w:t>工作，其目的在于成立公共征信和市场化征信机构的混合体制，同时</w:t>
      </w:r>
      <w:r>
        <w:rPr>
          <w:rFonts w:ascii="SimSun" w:hAnsi="SimSun" w:eastAsia="SimSun" w:cs="SimSun"/>
          <w:sz w:val="21"/>
          <w:szCs w:val="21"/>
        </w:rPr>
        <w:t xml:space="preserve">  </w:t>
      </w:r>
      <w:r>
        <w:rPr>
          <w:rFonts w:ascii="SimSun" w:hAnsi="SimSun" w:eastAsia="SimSun" w:cs="SimSun"/>
          <w:sz w:val="21"/>
          <w:szCs w:val="21"/>
          <w:spacing w:val="-11"/>
        </w:rPr>
        <w:t>将数字金融平台和其他新型信贷活动中的信用信息纳入征信</w:t>
      </w:r>
      <w:r>
        <w:rPr>
          <w:rFonts w:ascii="SimSun" w:hAnsi="SimSun" w:eastAsia="SimSun" w:cs="SimSun"/>
          <w:sz w:val="21"/>
          <w:szCs w:val="21"/>
          <w:spacing w:val="-12"/>
        </w:rPr>
        <w:t>体系，进</w:t>
      </w:r>
      <w:r>
        <w:rPr>
          <w:rFonts w:ascii="SimSun" w:hAnsi="SimSun" w:eastAsia="SimSun" w:cs="SimSun"/>
          <w:sz w:val="21"/>
          <w:szCs w:val="21"/>
        </w:rPr>
        <w:t xml:space="preserve">  </w:t>
      </w:r>
      <w:r>
        <w:rPr>
          <w:rFonts w:ascii="SimSun" w:hAnsi="SimSun" w:eastAsia="SimSun" w:cs="SimSun"/>
          <w:sz w:val="21"/>
          <w:szCs w:val="21"/>
          <w:spacing w:val="-4"/>
        </w:rPr>
        <w:t>而规范大数据风控中的个人信用信息的收集和使用。2018年百行征</w:t>
      </w:r>
      <w:r>
        <w:rPr>
          <w:rFonts w:ascii="SimSun" w:hAnsi="SimSun" w:eastAsia="SimSun" w:cs="SimSun"/>
          <w:sz w:val="21"/>
          <w:szCs w:val="21"/>
          <w:spacing w:val="1"/>
        </w:rPr>
        <w:t xml:space="preserve">  </w:t>
      </w:r>
      <w:r>
        <w:rPr>
          <w:rFonts w:ascii="SimSun" w:hAnsi="SimSun" w:eastAsia="SimSun" w:cs="SimSun"/>
          <w:sz w:val="21"/>
          <w:szCs w:val="21"/>
          <w:spacing w:val="-8"/>
        </w:rPr>
        <w:t>信获准成立使得征信创新有了新进展。百行征信除基础征信服务外，</w:t>
      </w:r>
      <w:r>
        <w:rPr>
          <w:rFonts w:ascii="SimSun" w:hAnsi="SimSun" w:eastAsia="SimSun" w:cs="SimSun"/>
          <w:sz w:val="21"/>
          <w:szCs w:val="21"/>
          <w:spacing w:val="3"/>
        </w:rPr>
        <w:t xml:space="preserve"> </w:t>
      </w:r>
      <w:r>
        <w:rPr>
          <w:rFonts w:ascii="SimSun" w:hAnsi="SimSun" w:eastAsia="SimSun" w:cs="SimSun"/>
          <w:sz w:val="21"/>
          <w:szCs w:val="21"/>
          <w:spacing w:val="-11"/>
        </w:rPr>
        <w:t>还提供特别关注名单、信息核验、反欺诈、场景定制评分、信贷行为</w:t>
      </w:r>
      <w:r>
        <w:rPr>
          <w:rFonts w:ascii="SimSun" w:hAnsi="SimSun" w:eastAsia="SimSun" w:cs="SimSun"/>
          <w:sz w:val="21"/>
          <w:szCs w:val="21"/>
        </w:rPr>
        <w:t xml:space="preserve">  </w:t>
      </w:r>
      <w:r>
        <w:rPr>
          <w:rFonts w:ascii="SimSun" w:hAnsi="SimSun" w:eastAsia="SimSun" w:cs="SimSun"/>
          <w:sz w:val="21"/>
          <w:szCs w:val="21"/>
          <w:spacing w:val="-10"/>
        </w:rPr>
        <w:t>标签、共债预警等增值服务，相对于央行而</w:t>
      </w:r>
      <w:r>
        <w:rPr>
          <w:rFonts w:ascii="SimSun" w:hAnsi="SimSun" w:eastAsia="SimSun" w:cs="SimSun"/>
          <w:sz w:val="21"/>
          <w:szCs w:val="21"/>
          <w:spacing w:val="-11"/>
        </w:rPr>
        <w:t>言，可以提供更加个性化 </w:t>
      </w:r>
      <w:r>
        <w:rPr>
          <w:rFonts w:ascii="SimSun" w:hAnsi="SimSun" w:eastAsia="SimSun" w:cs="SimSun"/>
          <w:sz w:val="21"/>
          <w:szCs w:val="21"/>
          <w:spacing w:val="-4"/>
        </w:rPr>
        <w:t>的服务来满足多样化需求。基于此，百行征信发展迅猛，截至2020 </w:t>
      </w:r>
      <w:r>
        <w:rPr>
          <w:rFonts w:ascii="SimSun" w:hAnsi="SimSun" w:eastAsia="SimSun" w:cs="SimSun"/>
          <w:sz w:val="21"/>
          <w:szCs w:val="21"/>
        </w:rPr>
        <w:t>年底，累计拓展法人金融机构2084家，收</w:t>
      </w:r>
      <w:r>
        <w:rPr>
          <w:rFonts w:ascii="SimSun" w:hAnsi="SimSun" w:eastAsia="SimSun" w:cs="SimSun"/>
          <w:sz w:val="21"/>
          <w:szCs w:val="21"/>
          <w:spacing w:val="-1"/>
        </w:rPr>
        <w:t>录信息主体超2亿人。个</w:t>
      </w:r>
      <w:r>
        <w:rPr>
          <w:rFonts w:ascii="SimSun" w:hAnsi="SimSun" w:eastAsia="SimSun" w:cs="SimSun"/>
          <w:sz w:val="21"/>
          <w:szCs w:val="21"/>
        </w:rPr>
        <w:t xml:space="preserve">  </w:t>
      </w:r>
      <w:r>
        <w:rPr>
          <w:rFonts w:ascii="SimSun" w:hAnsi="SimSun" w:eastAsia="SimSun" w:cs="SimSun"/>
          <w:sz w:val="21"/>
          <w:szCs w:val="21"/>
          <w:spacing w:val="-4"/>
        </w:rPr>
        <w:t>人信用报告全年使用量为1.67亿笔，特别关注名单、信息核验、反</w:t>
      </w:r>
    </w:p>
    <w:p>
      <w:pPr>
        <w:spacing w:line="307" w:lineRule="auto"/>
        <w:sectPr>
          <w:headerReference w:type="default" r:id="rId264"/>
          <w:pgSz w:w="7330" w:h="12480"/>
          <w:pgMar w:top="835" w:right="1065" w:bottom="400" w:left="200" w:header="673"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spacing w:before="62" w:line="350" w:lineRule="auto"/>
        <w:jc w:val="both"/>
        <w:rPr>
          <w:rFonts w:ascii="SimSun" w:hAnsi="SimSun" w:eastAsia="SimSun" w:cs="SimSun"/>
          <w:sz w:val="19"/>
          <w:szCs w:val="19"/>
        </w:rPr>
      </w:pPr>
      <w:r>
        <w:rPr>
          <w:rFonts w:ascii="SimSun" w:hAnsi="SimSun" w:eastAsia="SimSun" w:cs="SimSun"/>
          <w:sz w:val="19"/>
          <w:szCs w:val="19"/>
          <w:spacing w:val="9"/>
        </w:rPr>
        <w:t>欺诈系列等增值产品使用量为1.49亿笔，所有产品全年使用量为</w:t>
      </w:r>
      <w:r>
        <w:rPr>
          <w:rFonts w:ascii="Times New Roman" w:hAnsi="Times New Roman" w:eastAsia="Times New Roman" w:cs="Times New Roman"/>
          <w:sz w:val="19"/>
          <w:szCs w:val="19"/>
          <w:spacing w:val="9"/>
        </w:rPr>
        <w:t>3.16</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8"/>
        </w:rPr>
        <w:t>亿笔。2020年12月，朴道征信获准成立</w:t>
      </w:r>
      <w:r>
        <w:rPr>
          <w:rFonts w:ascii="SimSun" w:hAnsi="SimSun" w:eastAsia="SimSun" w:cs="SimSun"/>
          <w:sz w:val="19"/>
          <w:szCs w:val="19"/>
          <w:spacing w:val="17"/>
        </w:rPr>
        <w:t>，其大股东包含北京金控、</w:t>
      </w:r>
      <w:r>
        <w:rPr>
          <w:rFonts w:ascii="SimSun" w:hAnsi="SimSun" w:eastAsia="SimSun" w:cs="SimSun"/>
          <w:sz w:val="19"/>
          <w:szCs w:val="19"/>
        </w:rPr>
        <w:t xml:space="preserve"> </w:t>
      </w:r>
      <w:r>
        <w:rPr>
          <w:rFonts w:ascii="SimSun" w:hAnsi="SimSun" w:eastAsia="SimSun" w:cs="SimSun"/>
          <w:sz w:val="19"/>
          <w:szCs w:val="19"/>
          <w:spacing w:val="9"/>
        </w:rPr>
        <w:t>京东数科、小米等，该征信机构依托京东数科的生态信用数据。2021 </w:t>
      </w:r>
      <w:r>
        <w:rPr>
          <w:rFonts w:ascii="SimSun" w:hAnsi="SimSun" w:eastAsia="SimSun" w:cs="SimSun"/>
          <w:sz w:val="19"/>
          <w:szCs w:val="19"/>
          <w:spacing w:val="16"/>
        </w:rPr>
        <w:t>年11月，央行受理钱塘征信的成立申请，</w:t>
      </w:r>
      <w:r>
        <w:rPr>
          <w:rFonts w:ascii="SimSun" w:hAnsi="SimSun" w:eastAsia="SimSun" w:cs="SimSun"/>
          <w:sz w:val="19"/>
          <w:szCs w:val="19"/>
          <w:spacing w:val="15"/>
        </w:rPr>
        <w:t>从钱塘征信的股权结构中</w:t>
      </w:r>
      <w:r>
        <w:rPr>
          <w:rFonts w:ascii="SimSun" w:hAnsi="SimSun" w:eastAsia="SimSun" w:cs="SimSun"/>
          <w:sz w:val="19"/>
          <w:szCs w:val="19"/>
        </w:rPr>
        <w:t xml:space="preserve">  </w:t>
      </w:r>
      <w:r>
        <w:rPr>
          <w:rFonts w:ascii="SimSun" w:hAnsi="SimSun" w:eastAsia="SimSun" w:cs="SimSun"/>
          <w:sz w:val="19"/>
          <w:szCs w:val="19"/>
          <w:spacing w:val="10"/>
        </w:rPr>
        <w:t>可以获悉，其大股东包括浙江旅投集团、蚂蚁</w:t>
      </w:r>
      <w:r>
        <w:rPr>
          <w:rFonts w:ascii="SimSun" w:hAnsi="SimSun" w:eastAsia="SimSun" w:cs="SimSun"/>
          <w:sz w:val="19"/>
          <w:szCs w:val="19"/>
          <w:spacing w:val="9"/>
        </w:rPr>
        <w:t>集团、传化集团等，依</w:t>
      </w:r>
    </w:p>
    <w:p>
      <w:pPr>
        <w:spacing w:line="219" w:lineRule="auto"/>
        <w:rPr>
          <w:rFonts w:ascii="SimSun" w:hAnsi="SimSun" w:eastAsia="SimSun" w:cs="SimSun"/>
          <w:sz w:val="19"/>
          <w:szCs w:val="19"/>
        </w:rPr>
      </w:pPr>
      <w:r>
        <w:rPr>
          <w:rFonts w:ascii="SimSun" w:hAnsi="SimSun" w:eastAsia="SimSun" w:cs="SimSun"/>
          <w:sz w:val="19"/>
          <w:szCs w:val="19"/>
          <w:spacing w:val="9"/>
        </w:rPr>
        <w:t>托蚂蚁集团的征信和个人信用数据进行运营</w:t>
      </w:r>
      <w:r>
        <w:rPr>
          <w:rFonts w:ascii="SimSun" w:hAnsi="SimSun" w:eastAsia="SimSun" w:cs="SimSun"/>
          <w:sz w:val="19"/>
          <w:szCs w:val="19"/>
          <w:spacing w:val="8"/>
        </w:rPr>
        <w:t>和拓展。</w:t>
      </w:r>
    </w:p>
    <w:p>
      <w:pPr>
        <w:pStyle w:val="BodyText"/>
        <w:spacing w:line="413" w:lineRule="auto"/>
        <w:rPr/>
      </w:pPr>
      <w:r/>
    </w:p>
    <w:p>
      <w:pPr>
        <w:ind w:left="3"/>
        <w:spacing w:before="75" w:line="221" w:lineRule="auto"/>
        <w:rPr>
          <w:rFonts w:ascii="SimHei" w:hAnsi="SimHei" w:eastAsia="SimHei" w:cs="SimHei"/>
          <w:sz w:val="23"/>
          <w:szCs w:val="23"/>
        </w:rPr>
      </w:pPr>
      <w:r>
        <w:rPr>
          <w:rFonts w:ascii="SimHei" w:hAnsi="SimHei" w:eastAsia="SimHei" w:cs="SimHei"/>
          <w:sz w:val="23"/>
          <w:szCs w:val="23"/>
          <w:b/>
          <w:bCs/>
          <w:spacing w:val="6"/>
        </w:rPr>
        <w:t>促进传统金融机构转型</w:t>
      </w:r>
    </w:p>
    <w:p>
      <w:pPr>
        <w:pStyle w:val="BodyText"/>
        <w:spacing w:line="383" w:lineRule="auto"/>
        <w:rPr/>
      </w:pPr>
      <w:r/>
    </w:p>
    <w:p>
      <w:pPr>
        <w:ind w:right="14"/>
        <w:spacing w:before="62" w:line="370" w:lineRule="exact"/>
        <w:jc w:val="right"/>
        <w:rPr>
          <w:rFonts w:ascii="SimSun" w:hAnsi="SimSun" w:eastAsia="SimSun" w:cs="SimSun"/>
          <w:sz w:val="19"/>
          <w:szCs w:val="19"/>
        </w:rPr>
      </w:pPr>
      <w:r>
        <w:rPr>
          <w:rFonts w:ascii="SimSun" w:hAnsi="SimSun" w:eastAsia="SimSun" w:cs="SimSun"/>
          <w:sz w:val="19"/>
          <w:szCs w:val="19"/>
          <w:spacing w:val="10"/>
          <w:position w:val="13"/>
        </w:rPr>
        <w:t>数字金融平台通过与传统金融机构的竞争与合作，促进传统金融</w:t>
      </w:r>
    </w:p>
    <w:p>
      <w:pPr>
        <w:spacing w:line="218" w:lineRule="auto"/>
        <w:rPr>
          <w:rFonts w:ascii="SimSun" w:hAnsi="SimSun" w:eastAsia="SimSun" w:cs="SimSun"/>
          <w:sz w:val="19"/>
          <w:szCs w:val="19"/>
        </w:rPr>
      </w:pPr>
      <w:r>
        <w:rPr>
          <w:rFonts w:ascii="SimSun" w:hAnsi="SimSun" w:eastAsia="SimSun" w:cs="SimSun"/>
          <w:sz w:val="19"/>
          <w:szCs w:val="19"/>
          <w:spacing w:val="9"/>
        </w:rPr>
        <w:t>机构的数字化转型升级。</w:t>
      </w:r>
    </w:p>
    <w:p>
      <w:pPr>
        <w:ind w:right="35" w:firstLine="449"/>
        <w:spacing w:before="125" w:line="340" w:lineRule="auto"/>
        <w:rPr>
          <w:rFonts w:ascii="SimSun" w:hAnsi="SimSun" w:eastAsia="SimSun" w:cs="SimSun"/>
          <w:sz w:val="19"/>
          <w:szCs w:val="19"/>
        </w:rPr>
      </w:pPr>
      <w:r>
        <w:rPr>
          <w:rFonts w:ascii="SimSun" w:hAnsi="SimSun" w:eastAsia="SimSun" w:cs="SimSun"/>
          <w:sz w:val="19"/>
          <w:szCs w:val="19"/>
          <w:spacing w:val="16"/>
        </w:rPr>
        <w:t>如2013年推出的余额宝给银行活期存款带来竞争</w:t>
      </w:r>
      <w:r>
        <w:rPr>
          <w:rFonts w:ascii="SimSun" w:hAnsi="SimSun" w:eastAsia="SimSun" w:cs="SimSun"/>
          <w:sz w:val="19"/>
          <w:szCs w:val="19"/>
          <w:spacing w:val="15"/>
        </w:rPr>
        <w:t>压力，促进传</w:t>
      </w:r>
      <w:r>
        <w:rPr>
          <w:rFonts w:ascii="SimSun" w:hAnsi="SimSun" w:eastAsia="SimSun" w:cs="SimSun"/>
          <w:sz w:val="19"/>
          <w:szCs w:val="19"/>
        </w:rPr>
        <w:t xml:space="preserve"> </w:t>
      </w:r>
      <w:r>
        <w:rPr>
          <w:rFonts w:ascii="SimSun" w:hAnsi="SimSun" w:eastAsia="SimSun" w:cs="SimSun"/>
          <w:sz w:val="19"/>
          <w:szCs w:val="19"/>
          <w:spacing w:val="15"/>
        </w:rPr>
        <w:t>统银行在存款端的利率市场化，甚至出现了2017年传统银行“存款</w:t>
      </w:r>
      <w:r>
        <w:rPr>
          <w:rFonts w:ascii="SimSun" w:hAnsi="SimSun" w:eastAsia="SimSun" w:cs="SimSun"/>
          <w:sz w:val="19"/>
          <w:szCs w:val="19"/>
          <w:spacing w:val="12"/>
        </w:rPr>
        <w:t xml:space="preserve"> </w:t>
      </w:r>
      <w:r>
        <w:rPr>
          <w:rFonts w:ascii="SimSun" w:hAnsi="SimSun" w:eastAsia="SimSun" w:cs="SimSun"/>
          <w:sz w:val="19"/>
          <w:szCs w:val="19"/>
          <w:spacing w:val="9"/>
        </w:rPr>
        <w:t>搬家”的说法。竞争效应促使传统金融机构被迫改变，并开始积极探</w:t>
      </w:r>
    </w:p>
    <w:p>
      <w:pPr>
        <w:spacing w:before="1" w:line="219" w:lineRule="auto"/>
        <w:rPr>
          <w:rFonts w:ascii="SimSun" w:hAnsi="SimSun" w:eastAsia="SimSun" w:cs="SimSun"/>
          <w:sz w:val="19"/>
          <w:szCs w:val="19"/>
        </w:rPr>
      </w:pPr>
      <w:r>
        <w:rPr>
          <w:rFonts w:ascii="SimSun" w:hAnsi="SimSun" w:eastAsia="SimSun" w:cs="SimSun"/>
          <w:sz w:val="19"/>
          <w:szCs w:val="19"/>
          <w:spacing w:val="8"/>
        </w:rPr>
        <w:t>索数字化转型升级的新路径。</w:t>
      </w:r>
    </w:p>
    <w:p>
      <w:pPr>
        <w:ind w:right="36" w:firstLine="449"/>
        <w:spacing w:before="161" w:line="350" w:lineRule="auto"/>
        <w:rPr>
          <w:rFonts w:ascii="SimSun" w:hAnsi="SimSun" w:eastAsia="SimSun" w:cs="SimSun"/>
          <w:sz w:val="19"/>
          <w:szCs w:val="19"/>
        </w:rPr>
      </w:pPr>
      <w:r>
        <w:rPr>
          <w:rFonts w:ascii="SimSun" w:hAnsi="SimSun" w:eastAsia="SimSun" w:cs="SimSun"/>
          <w:sz w:val="19"/>
          <w:szCs w:val="19"/>
          <w:spacing w:val="9"/>
        </w:rPr>
        <w:t>商业银行在传统金融业务中扮演着金融中介的角色，数字金融平</w:t>
      </w:r>
      <w:r>
        <w:rPr>
          <w:rFonts w:ascii="SimSun" w:hAnsi="SimSun" w:eastAsia="SimSun" w:cs="SimSun"/>
          <w:sz w:val="19"/>
          <w:szCs w:val="19"/>
          <w:spacing w:val="16"/>
        </w:rPr>
        <w:t xml:space="preserve"> </w:t>
      </w:r>
      <w:r>
        <w:rPr>
          <w:rFonts w:ascii="SimSun" w:hAnsi="SimSun" w:eastAsia="SimSun" w:cs="SimSun"/>
          <w:sz w:val="19"/>
          <w:szCs w:val="19"/>
          <w:spacing w:val="9"/>
        </w:rPr>
        <w:t>台挑战了银行的金融中介地位并促进传统金融机构积极进行数字化转</w:t>
      </w:r>
      <w:r>
        <w:rPr>
          <w:rFonts w:ascii="SimSun" w:hAnsi="SimSun" w:eastAsia="SimSun" w:cs="SimSun"/>
          <w:sz w:val="19"/>
          <w:szCs w:val="19"/>
          <w:spacing w:val="17"/>
        </w:rPr>
        <w:t xml:space="preserve"> </w:t>
      </w:r>
      <w:r>
        <w:rPr>
          <w:rFonts w:ascii="SimSun" w:hAnsi="SimSun" w:eastAsia="SimSun" w:cs="SimSun"/>
          <w:sz w:val="19"/>
          <w:szCs w:val="19"/>
          <w:spacing w:val="10"/>
        </w:rPr>
        <w:t>型。商业银行既是资金清算和货币流通的中介，又是信息中介和信用</w:t>
      </w:r>
      <w:r>
        <w:rPr>
          <w:rFonts w:ascii="SimSun" w:hAnsi="SimSun" w:eastAsia="SimSun" w:cs="SimSun"/>
          <w:sz w:val="19"/>
          <w:szCs w:val="19"/>
          <w:spacing w:val="1"/>
        </w:rPr>
        <w:t xml:space="preserve"> </w:t>
      </w:r>
      <w:r>
        <w:rPr>
          <w:rFonts w:ascii="SimSun" w:hAnsi="SimSun" w:eastAsia="SimSun" w:cs="SimSun"/>
          <w:sz w:val="19"/>
          <w:szCs w:val="19"/>
          <w:spacing w:val="9"/>
        </w:rPr>
        <w:t>中介。银行通过对接资金需求方和资金闲置方，作为中间人降低双方</w:t>
      </w:r>
      <w:r>
        <w:rPr>
          <w:rFonts w:ascii="SimSun" w:hAnsi="SimSun" w:eastAsia="SimSun" w:cs="SimSun"/>
          <w:sz w:val="19"/>
          <w:szCs w:val="19"/>
          <w:spacing w:val="16"/>
        </w:rPr>
        <w:t xml:space="preserve"> </w:t>
      </w:r>
      <w:r>
        <w:rPr>
          <w:rFonts w:ascii="SimSun" w:hAnsi="SimSun" w:eastAsia="SimSun" w:cs="SimSun"/>
          <w:sz w:val="19"/>
          <w:szCs w:val="19"/>
          <w:spacing w:val="10"/>
        </w:rPr>
        <w:t>的信息收集成本。而数字金融平台从多个方</w:t>
      </w:r>
      <w:r>
        <w:rPr>
          <w:rFonts w:ascii="SimSun" w:hAnsi="SimSun" w:eastAsia="SimSun" w:cs="SimSun"/>
          <w:sz w:val="19"/>
          <w:szCs w:val="19"/>
          <w:spacing w:val="9"/>
        </w:rPr>
        <w:t>面挑战了传统银行的金融</w:t>
      </w:r>
      <w:r>
        <w:rPr>
          <w:rFonts w:ascii="SimSun" w:hAnsi="SimSun" w:eastAsia="SimSun" w:cs="SimSun"/>
          <w:sz w:val="19"/>
          <w:szCs w:val="19"/>
        </w:rPr>
        <w:t xml:space="preserve"> </w:t>
      </w:r>
      <w:r>
        <w:rPr>
          <w:rFonts w:ascii="SimSun" w:hAnsi="SimSun" w:eastAsia="SimSun" w:cs="SimSun"/>
          <w:sz w:val="19"/>
          <w:szCs w:val="19"/>
          <w:spacing w:val="10"/>
        </w:rPr>
        <w:t>中介地位，如基于互联网的扫码支付、快捷转账等功</w:t>
      </w:r>
      <w:r>
        <w:rPr>
          <w:rFonts w:ascii="SimSun" w:hAnsi="SimSun" w:eastAsia="SimSun" w:cs="SimSun"/>
          <w:sz w:val="19"/>
          <w:szCs w:val="19"/>
          <w:spacing w:val="9"/>
        </w:rPr>
        <w:t>能冲击了银行的</w:t>
      </w:r>
      <w:r>
        <w:rPr>
          <w:rFonts w:ascii="SimSun" w:hAnsi="SimSun" w:eastAsia="SimSun" w:cs="SimSun"/>
          <w:sz w:val="19"/>
          <w:szCs w:val="19"/>
        </w:rPr>
        <w:t xml:space="preserve"> </w:t>
      </w:r>
      <w:r>
        <w:rPr>
          <w:rFonts w:ascii="SimSun" w:hAnsi="SimSun" w:eastAsia="SimSun" w:cs="SimSun"/>
          <w:sz w:val="19"/>
          <w:szCs w:val="19"/>
          <w:spacing w:val="9"/>
        </w:rPr>
        <w:t>支付清算中介地位；互联网理财、网络信贷、供应链融资等功能为有</w:t>
      </w:r>
      <w:r>
        <w:rPr>
          <w:rFonts w:ascii="SimSun" w:hAnsi="SimSun" w:eastAsia="SimSun" w:cs="SimSun"/>
          <w:sz w:val="19"/>
          <w:szCs w:val="19"/>
          <w:spacing w:val="18"/>
        </w:rPr>
        <w:t xml:space="preserve"> </w:t>
      </w:r>
      <w:r>
        <w:rPr>
          <w:rFonts w:ascii="SimSun" w:hAnsi="SimSun" w:eastAsia="SimSun" w:cs="SimSun"/>
          <w:sz w:val="19"/>
          <w:szCs w:val="19"/>
          <w:spacing w:val="10"/>
        </w:rPr>
        <w:t>存款、贷款需求的客户提供比传统银行更便捷、</w:t>
      </w:r>
      <w:r>
        <w:rPr>
          <w:rFonts w:ascii="SimSun" w:hAnsi="SimSun" w:eastAsia="SimSun" w:cs="SimSun"/>
          <w:sz w:val="19"/>
          <w:szCs w:val="19"/>
          <w:spacing w:val="9"/>
        </w:rPr>
        <w:t>更低成本的服务，冲</w:t>
      </w:r>
      <w:r>
        <w:rPr>
          <w:rFonts w:ascii="SimSun" w:hAnsi="SimSun" w:eastAsia="SimSun" w:cs="SimSun"/>
          <w:sz w:val="19"/>
          <w:szCs w:val="19"/>
        </w:rPr>
        <w:t xml:space="preserve"> </w:t>
      </w:r>
      <w:r>
        <w:rPr>
          <w:rFonts w:ascii="SimSun" w:hAnsi="SimSun" w:eastAsia="SimSun" w:cs="SimSun"/>
          <w:sz w:val="19"/>
          <w:szCs w:val="19"/>
          <w:spacing w:val="10"/>
        </w:rPr>
        <w:t>击了银行的信息中介和信用中介地位。国有银行年报</w:t>
      </w:r>
      <w:r>
        <w:rPr>
          <w:rFonts w:ascii="SimSun" w:hAnsi="SimSun" w:eastAsia="SimSun" w:cs="SimSun"/>
          <w:sz w:val="19"/>
          <w:szCs w:val="19"/>
          <w:spacing w:val="9"/>
        </w:rPr>
        <w:t>数据显示，利息</w:t>
      </w:r>
      <w:r>
        <w:rPr>
          <w:rFonts w:ascii="SimSun" w:hAnsi="SimSun" w:eastAsia="SimSun" w:cs="SimSun"/>
          <w:sz w:val="19"/>
          <w:szCs w:val="19"/>
        </w:rPr>
        <w:t xml:space="preserve"> </w:t>
      </w:r>
      <w:r>
        <w:rPr>
          <w:rFonts w:ascii="SimSun" w:hAnsi="SimSun" w:eastAsia="SimSun" w:cs="SimSun"/>
          <w:sz w:val="19"/>
          <w:szCs w:val="19"/>
          <w:spacing w:val="16"/>
        </w:rPr>
        <w:t>收入占银行总收入的比重超2/3,银行的</w:t>
      </w:r>
      <w:r>
        <w:rPr>
          <w:rFonts w:ascii="SimSun" w:hAnsi="SimSun" w:eastAsia="SimSun" w:cs="SimSun"/>
          <w:sz w:val="19"/>
          <w:szCs w:val="19"/>
          <w:spacing w:val="15"/>
        </w:rPr>
        <w:t>存款量受到冲击会对银行的</w:t>
      </w:r>
      <w:r>
        <w:rPr>
          <w:rFonts w:ascii="SimSun" w:hAnsi="SimSun" w:eastAsia="SimSun" w:cs="SimSun"/>
          <w:sz w:val="19"/>
          <w:szCs w:val="19"/>
        </w:rPr>
        <w:t xml:space="preserve"> </w:t>
      </w:r>
      <w:r>
        <w:rPr>
          <w:rFonts w:ascii="SimSun" w:hAnsi="SimSun" w:eastAsia="SimSun" w:cs="SimSun"/>
          <w:sz w:val="19"/>
          <w:szCs w:val="19"/>
          <w:spacing w:val="9"/>
        </w:rPr>
        <w:t>中介地位产生巨大影响。而随着社会资金大量涌入数字金融平台，银</w:t>
      </w:r>
    </w:p>
    <w:p>
      <w:pPr>
        <w:spacing w:before="1" w:line="218" w:lineRule="auto"/>
        <w:rPr>
          <w:rFonts w:ascii="SimSun" w:hAnsi="SimSun" w:eastAsia="SimSun" w:cs="SimSun"/>
          <w:sz w:val="19"/>
          <w:szCs w:val="19"/>
        </w:rPr>
      </w:pPr>
      <w:r>
        <w:rPr>
          <w:rFonts w:ascii="SimSun" w:hAnsi="SimSun" w:eastAsia="SimSun" w:cs="SimSun"/>
          <w:sz w:val="19"/>
          <w:szCs w:val="19"/>
          <w:spacing w:val="16"/>
        </w:rPr>
        <w:t>行存款的利息收入不断下降，银行的网点数量也开始缩减。从银行</w:t>
      </w:r>
    </w:p>
    <w:p>
      <w:pPr>
        <w:spacing w:line="218" w:lineRule="auto"/>
        <w:sectPr>
          <w:headerReference w:type="default" r:id="rId265"/>
          <w:pgSz w:w="7330" w:h="12480"/>
          <w:pgMar w:top="547" w:right="474" w:bottom="400" w:left="779" w:header="385" w:footer="0" w:gutter="0"/>
        </w:sectPr>
        <w:rPr>
          <w:rFonts w:ascii="SimSun" w:hAnsi="SimSun" w:eastAsia="SimSun" w:cs="SimSun"/>
          <w:sz w:val="19"/>
          <w:szCs w:val="19"/>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69" w:line="300" w:lineRule="auto"/>
        <w:jc w:val="both"/>
        <w:rPr>
          <w:rFonts w:ascii="SimSun" w:hAnsi="SimSun" w:eastAsia="SimSun" w:cs="SimSun"/>
          <w:sz w:val="21"/>
          <w:szCs w:val="21"/>
        </w:rPr>
      </w:pPr>
      <w:r>
        <w:rPr>
          <w:rFonts w:ascii="SimSun" w:hAnsi="SimSun" w:eastAsia="SimSun" w:cs="SimSun"/>
          <w:sz w:val="21"/>
          <w:szCs w:val="21"/>
          <w:spacing w:val="-3"/>
        </w:rPr>
        <w:t>新设网点数可以看出，2017年开始，银行关</w:t>
      </w:r>
      <w:r>
        <w:rPr>
          <w:rFonts w:ascii="SimSun" w:hAnsi="SimSun" w:eastAsia="SimSun" w:cs="SimSun"/>
          <w:sz w:val="21"/>
          <w:szCs w:val="21"/>
          <w:spacing w:val="-4"/>
        </w:rPr>
        <w:t>闭的网点数量已超过新</w:t>
      </w:r>
      <w:r>
        <w:rPr>
          <w:rFonts w:ascii="SimSun" w:hAnsi="SimSun" w:eastAsia="SimSun" w:cs="SimSun"/>
          <w:sz w:val="21"/>
          <w:szCs w:val="21"/>
        </w:rPr>
        <w:t xml:space="preserve">  </w:t>
      </w:r>
      <w:r>
        <w:rPr>
          <w:rFonts w:ascii="SimSun" w:hAnsi="SimSun" w:eastAsia="SimSun" w:cs="SimSun"/>
          <w:sz w:val="21"/>
          <w:szCs w:val="21"/>
          <w:spacing w:val="-8"/>
        </w:rPr>
        <w:t>设网点数量，银行的网点扩张时代已结束。受数字金融平台的影响，</w:t>
      </w:r>
      <w:r>
        <w:rPr>
          <w:rFonts w:ascii="SimSun" w:hAnsi="SimSun" w:eastAsia="SimSun" w:cs="SimSun"/>
          <w:sz w:val="21"/>
          <w:szCs w:val="21"/>
          <w:spacing w:val="4"/>
        </w:rPr>
        <w:t xml:space="preserve"> </w:t>
      </w:r>
      <w:r>
        <w:rPr>
          <w:rFonts w:ascii="SimSun" w:hAnsi="SimSun" w:eastAsia="SimSun" w:cs="SimSun"/>
          <w:sz w:val="21"/>
          <w:szCs w:val="21"/>
          <w:spacing w:val="-3"/>
        </w:rPr>
        <w:t>传统金融机构也开始数字化转型。如2013年</w:t>
      </w:r>
      <w:r>
        <w:rPr>
          <w:rFonts w:ascii="SimSun" w:hAnsi="SimSun" w:eastAsia="SimSun" w:cs="SimSun"/>
          <w:sz w:val="21"/>
          <w:szCs w:val="21"/>
          <w:spacing w:val="-4"/>
        </w:rPr>
        <w:t>推出的余额宝给银行活</w:t>
      </w:r>
      <w:r>
        <w:rPr>
          <w:rFonts w:ascii="SimSun" w:hAnsi="SimSun" w:eastAsia="SimSun" w:cs="SimSun"/>
          <w:sz w:val="21"/>
          <w:szCs w:val="21"/>
        </w:rPr>
        <w:t xml:space="preserve">  </w:t>
      </w:r>
      <w:r>
        <w:rPr>
          <w:rFonts w:ascii="SimSun" w:hAnsi="SimSun" w:eastAsia="SimSun" w:cs="SimSun"/>
          <w:sz w:val="21"/>
          <w:szCs w:val="21"/>
          <w:spacing w:val="-7"/>
        </w:rPr>
        <w:t>期存款带来竞争压力，促进了传统银行在存款端的利率</w:t>
      </w:r>
      <w:r>
        <w:rPr>
          <w:rFonts w:ascii="SimSun" w:hAnsi="SimSun" w:eastAsia="SimSun" w:cs="SimSun"/>
          <w:sz w:val="21"/>
          <w:szCs w:val="21"/>
          <w:spacing w:val="-8"/>
        </w:rPr>
        <w:t>市场化进程。</w:t>
      </w:r>
      <w:r>
        <w:rPr>
          <w:rFonts w:ascii="SimSun" w:hAnsi="SimSun" w:eastAsia="SimSun" w:cs="SimSun"/>
          <w:sz w:val="21"/>
          <w:szCs w:val="21"/>
        </w:rPr>
        <w:t xml:space="preserve"> </w:t>
      </w:r>
      <w:r>
        <w:rPr>
          <w:rFonts w:ascii="SimSun" w:hAnsi="SimSun" w:eastAsia="SimSun" w:cs="SimSun"/>
          <w:sz w:val="21"/>
          <w:szCs w:val="21"/>
          <w:spacing w:val="-6"/>
        </w:rPr>
        <w:t>2017年传统银行“存款搬家”的现实进一步促使传统金融</w:t>
      </w:r>
      <w:r>
        <w:rPr>
          <w:rFonts w:ascii="SimSun" w:hAnsi="SimSun" w:eastAsia="SimSun" w:cs="SimSun"/>
          <w:sz w:val="21"/>
          <w:szCs w:val="21"/>
          <w:spacing w:val="-7"/>
        </w:rPr>
        <w:t>机构转变，</w:t>
      </w:r>
      <w:r>
        <w:rPr>
          <w:rFonts w:ascii="SimSun" w:hAnsi="SimSun" w:eastAsia="SimSun" w:cs="SimSun"/>
          <w:sz w:val="21"/>
          <w:szCs w:val="21"/>
        </w:rPr>
        <w:t xml:space="preserve"> </w:t>
      </w:r>
      <w:r>
        <w:rPr>
          <w:rFonts w:ascii="SimSun" w:hAnsi="SimSun" w:eastAsia="SimSun" w:cs="SimSun"/>
          <w:sz w:val="21"/>
          <w:szCs w:val="21"/>
          <w:spacing w:val="-11"/>
        </w:rPr>
        <w:t>并开始积极探索数字化转型升级的新路径。</w:t>
      </w:r>
    </w:p>
    <w:p>
      <w:pPr>
        <w:ind w:right="93" w:firstLine="420"/>
        <w:spacing w:before="96" w:line="307" w:lineRule="auto"/>
        <w:jc w:val="both"/>
        <w:rPr>
          <w:rFonts w:ascii="SimSun" w:hAnsi="SimSun" w:eastAsia="SimSun" w:cs="SimSun"/>
          <w:sz w:val="21"/>
          <w:szCs w:val="21"/>
        </w:rPr>
      </w:pPr>
      <w:r>
        <w:rPr>
          <w:rFonts w:ascii="SimSun" w:hAnsi="SimSun" w:eastAsia="SimSun" w:cs="SimSun"/>
          <w:sz w:val="21"/>
          <w:szCs w:val="21"/>
          <w:spacing w:val="-3"/>
        </w:rPr>
        <w:t>商业银行在数字化转型升级的同时，也与数字金融平台和金融</w:t>
      </w:r>
      <w:r>
        <w:rPr>
          <w:rFonts w:ascii="SimSun" w:hAnsi="SimSun" w:eastAsia="SimSun" w:cs="SimSun"/>
          <w:sz w:val="21"/>
          <w:szCs w:val="21"/>
          <w:spacing w:val="1"/>
        </w:rPr>
        <w:t xml:space="preserve"> </w:t>
      </w:r>
      <w:r>
        <w:rPr>
          <w:rFonts w:ascii="SimSun" w:hAnsi="SimSun" w:eastAsia="SimSun" w:cs="SimSun"/>
          <w:sz w:val="21"/>
          <w:szCs w:val="21"/>
          <w:spacing w:val="-11"/>
        </w:rPr>
        <w:t>科技</w:t>
      </w:r>
      <w:r>
        <w:rPr>
          <w:rFonts w:ascii="SimSun" w:hAnsi="SimSun" w:eastAsia="SimSun" w:cs="SimSun"/>
          <w:sz w:val="21"/>
          <w:szCs w:val="21"/>
          <w:u w:val="single" w:color="auto"/>
          <w:spacing w:val="-11"/>
        </w:rPr>
        <w:t>企业</w:t>
      </w:r>
      <w:r>
        <w:rPr>
          <w:rFonts w:ascii="SimSun" w:hAnsi="SimSun" w:eastAsia="SimSun" w:cs="SimSun"/>
          <w:sz w:val="21"/>
          <w:szCs w:val="21"/>
          <w:spacing w:val="-11"/>
        </w:rPr>
        <w:t>展开合作。数字化金融平台的科技力量可赋能商业银行的发</w:t>
      </w:r>
      <w:r>
        <w:rPr>
          <w:rFonts w:ascii="SimSun" w:hAnsi="SimSun" w:eastAsia="SimSun" w:cs="SimSun"/>
          <w:sz w:val="21"/>
          <w:szCs w:val="21"/>
          <w:spacing w:val="17"/>
        </w:rPr>
        <w:t xml:space="preserve"> </w:t>
      </w:r>
      <w:r>
        <w:rPr>
          <w:rFonts w:ascii="SimSun" w:hAnsi="SimSun" w:eastAsia="SimSun" w:cs="SimSun"/>
          <w:sz w:val="21"/>
          <w:szCs w:val="21"/>
          <w:spacing w:val="-11"/>
        </w:rPr>
        <w:t>展并加快其数字化转型的步伐。通过与数字化金融平台的合作，商业</w:t>
      </w:r>
      <w:r>
        <w:rPr>
          <w:rFonts w:ascii="SimSun" w:hAnsi="SimSun" w:eastAsia="SimSun" w:cs="SimSun"/>
          <w:sz w:val="21"/>
          <w:szCs w:val="21"/>
          <w:spacing w:val="16"/>
        </w:rPr>
        <w:t xml:space="preserve"> </w:t>
      </w:r>
      <w:r>
        <w:rPr>
          <w:rFonts w:ascii="SimSun" w:hAnsi="SimSun" w:eastAsia="SimSun" w:cs="SimSun"/>
          <w:sz w:val="21"/>
          <w:szCs w:val="21"/>
          <w:spacing w:val="2"/>
        </w:rPr>
        <w:t>银行的技术进步路线经历了</w:t>
      </w:r>
      <w:r>
        <w:rPr>
          <w:rFonts w:ascii="Times New Roman" w:hAnsi="Times New Roman" w:eastAsia="Times New Roman" w:cs="Times New Roman"/>
          <w:sz w:val="21"/>
          <w:szCs w:val="21"/>
        </w:rPr>
        <w:t>ATM</w:t>
      </w:r>
      <w:r>
        <w:rPr>
          <w:rFonts w:ascii="SimSun" w:hAnsi="SimSun" w:eastAsia="SimSun" w:cs="SimSun"/>
          <w:sz w:val="21"/>
          <w:szCs w:val="21"/>
          <w:spacing w:val="2"/>
        </w:rPr>
        <w:t>机(自动取款机)、网上银行、电</w:t>
      </w:r>
      <w:r>
        <w:rPr>
          <w:rFonts w:ascii="SimSun" w:hAnsi="SimSun" w:eastAsia="SimSun" w:cs="SimSun"/>
          <w:sz w:val="21"/>
          <w:szCs w:val="21"/>
          <w:spacing w:val="10"/>
        </w:rPr>
        <w:t xml:space="preserve"> </w:t>
      </w:r>
      <w:r>
        <w:rPr>
          <w:rFonts w:ascii="SimSun" w:hAnsi="SimSun" w:eastAsia="SimSun" w:cs="SimSun"/>
          <w:sz w:val="21"/>
          <w:szCs w:val="21"/>
          <w:spacing w:val="-11"/>
        </w:rPr>
        <w:t>话银行、手机银行、智能银行、开放银行等阶段。商业银行数字技术</w:t>
      </w:r>
      <w:r>
        <w:rPr>
          <w:rFonts w:ascii="SimSun" w:hAnsi="SimSun" w:eastAsia="SimSun" w:cs="SimSun"/>
          <w:sz w:val="21"/>
          <w:szCs w:val="21"/>
          <w:spacing w:val="18"/>
        </w:rPr>
        <w:t xml:space="preserve"> </w:t>
      </w:r>
      <w:r>
        <w:rPr>
          <w:rFonts w:ascii="SimSun" w:hAnsi="SimSun" w:eastAsia="SimSun" w:cs="SimSun"/>
          <w:sz w:val="21"/>
          <w:szCs w:val="21"/>
          <w:spacing w:val="-10"/>
        </w:rPr>
        <w:t>的提升有效降低了银行对物理网点的依赖，提高了金融服</w:t>
      </w:r>
      <w:r>
        <w:rPr>
          <w:rFonts w:ascii="SimSun" w:hAnsi="SimSun" w:eastAsia="SimSun" w:cs="SimSun"/>
          <w:sz w:val="21"/>
          <w:szCs w:val="21"/>
          <w:spacing w:val="-11"/>
        </w:rPr>
        <w:t>务的覆盖和</w:t>
      </w:r>
      <w:r>
        <w:rPr>
          <w:rFonts w:ascii="SimSun" w:hAnsi="SimSun" w:eastAsia="SimSun" w:cs="SimSun"/>
          <w:sz w:val="21"/>
          <w:szCs w:val="21"/>
        </w:rPr>
        <w:t xml:space="preserve"> </w:t>
      </w:r>
      <w:r>
        <w:rPr>
          <w:rFonts w:ascii="SimSun" w:hAnsi="SimSun" w:eastAsia="SimSun" w:cs="SimSun"/>
          <w:sz w:val="21"/>
          <w:szCs w:val="21"/>
          <w:spacing w:val="-10"/>
        </w:rPr>
        <w:t>触达能力；人工智能和大数据风控体系的运用有效提升</w:t>
      </w:r>
      <w:r>
        <w:rPr>
          <w:rFonts w:ascii="SimSun" w:hAnsi="SimSun" w:eastAsia="SimSun" w:cs="SimSun"/>
          <w:sz w:val="21"/>
          <w:szCs w:val="21"/>
          <w:spacing w:val="-11"/>
        </w:rPr>
        <w:t>了商业银行的</w:t>
      </w:r>
      <w:r>
        <w:rPr>
          <w:rFonts w:ascii="SimSun" w:hAnsi="SimSun" w:eastAsia="SimSun" w:cs="SimSun"/>
          <w:sz w:val="21"/>
          <w:szCs w:val="21"/>
        </w:rPr>
        <w:t xml:space="preserve"> </w:t>
      </w:r>
      <w:r>
        <w:rPr>
          <w:rFonts w:ascii="SimSun" w:hAnsi="SimSun" w:eastAsia="SimSun" w:cs="SimSun"/>
          <w:sz w:val="21"/>
          <w:szCs w:val="21"/>
          <w:spacing w:val="-10"/>
        </w:rPr>
        <w:t>风险管理能力；商业银行与金融科技公司合作</w:t>
      </w:r>
      <w:r>
        <w:rPr>
          <w:rFonts w:ascii="SimSun" w:hAnsi="SimSun" w:eastAsia="SimSun" w:cs="SimSun"/>
          <w:sz w:val="21"/>
          <w:szCs w:val="21"/>
          <w:spacing w:val="-11"/>
        </w:rPr>
        <w:t>或者自建金融科技子公</w:t>
      </w:r>
      <w:r>
        <w:rPr>
          <w:rFonts w:ascii="SimSun" w:hAnsi="SimSun" w:eastAsia="SimSun" w:cs="SimSun"/>
          <w:sz w:val="21"/>
          <w:szCs w:val="21"/>
        </w:rPr>
        <w:t xml:space="preserve"> </w:t>
      </w:r>
      <w:r>
        <w:rPr>
          <w:rFonts w:ascii="SimSun" w:hAnsi="SimSun" w:eastAsia="SimSun" w:cs="SimSun"/>
          <w:sz w:val="21"/>
          <w:szCs w:val="21"/>
          <w:spacing w:val="-3"/>
        </w:rPr>
        <w:t>司，有助于其向开放银行转型；此外，2021</w:t>
      </w:r>
      <w:r>
        <w:rPr>
          <w:rFonts w:ascii="SimSun" w:hAnsi="SimSun" w:eastAsia="SimSun" w:cs="SimSun"/>
          <w:sz w:val="21"/>
          <w:szCs w:val="21"/>
          <w:spacing w:val="-4"/>
        </w:rPr>
        <w:t>年商业银行也开始积极</w:t>
      </w:r>
      <w:r>
        <w:rPr>
          <w:rFonts w:ascii="SimSun" w:hAnsi="SimSun" w:eastAsia="SimSun" w:cs="SimSun"/>
          <w:sz w:val="21"/>
          <w:szCs w:val="21"/>
        </w:rPr>
        <w:t xml:space="preserve"> </w:t>
      </w:r>
      <w:r>
        <w:rPr>
          <w:rFonts w:ascii="SimSun" w:hAnsi="SimSun" w:eastAsia="SimSun" w:cs="SimSun"/>
          <w:sz w:val="21"/>
          <w:szCs w:val="21"/>
          <w:spacing w:val="-11"/>
        </w:rPr>
        <w:t>拥抱数字人民币。</w:t>
      </w:r>
    </w:p>
    <w:p>
      <w:pPr>
        <w:ind w:right="19" w:firstLine="420"/>
        <w:spacing w:before="137" w:line="299" w:lineRule="auto"/>
        <w:jc w:val="both"/>
        <w:rPr>
          <w:rFonts w:ascii="SimSun" w:hAnsi="SimSun" w:eastAsia="SimSun" w:cs="SimSun"/>
          <w:sz w:val="21"/>
          <w:szCs w:val="21"/>
        </w:rPr>
      </w:pPr>
      <w:r>
        <w:rPr>
          <w:rFonts w:ascii="SimSun" w:hAnsi="SimSun" w:eastAsia="SimSun" w:cs="SimSun"/>
          <w:sz w:val="21"/>
          <w:szCs w:val="21"/>
          <w:spacing w:val="-8"/>
        </w:rPr>
        <w:t>数字金融平台和传统金融机构合作，将通过改变传统金融模式，</w:t>
      </w:r>
      <w:r>
        <w:rPr>
          <w:rFonts w:ascii="SimSun" w:hAnsi="SimSun" w:eastAsia="SimSun" w:cs="SimSun"/>
          <w:sz w:val="21"/>
          <w:szCs w:val="21"/>
          <w:spacing w:val="8"/>
        </w:rPr>
        <w:t xml:space="preserve"> </w:t>
      </w:r>
      <w:r>
        <w:rPr>
          <w:rFonts w:ascii="SimSun" w:hAnsi="SimSun" w:eastAsia="SimSun" w:cs="SimSun"/>
          <w:sz w:val="21"/>
          <w:szCs w:val="21"/>
          <w:spacing w:val="-10"/>
        </w:rPr>
        <w:t>为用户提供多元化、全场景化的无感和无边</w:t>
      </w:r>
      <w:r>
        <w:rPr>
          <w:rFonts w:ascii="SimSun" w:hAnsi="SimSun" w:eastAsia="SimSun" w:cs="SimSun"/>
          <w:sz w:val="21"/>
          <w:szCs w:val="21"/>
          <w:spacing w:val="-11"/>
        </w:rPr>
        <w:t>界创新型金融服务。与传</w:t>
      </w:r>
      <w:r>
        <w:rPr>
          <w:rFonts w:ascii="SimSun" w:hAnsi="SimSun" w:eastAsia="SimSun" w:cs="SimSun"/>
          <w:sz w:val="21"/>
          <w:szCs w:val="21"/>
        </w:rPr>
        <w:t xml:space="preserve">  </w:t>
      </w:r>
      <w:r>
        <w:rPr>
          <w:rFonts w:ascii="SimSun" w:hAnsi="SimSun" w:eastAsia="SimSun" w:cs="SimSun"/>
          <w:sz w:val="21"/>
          <w:szCs w:val="21"/>
          <w:spacing w:val="-11"/>
        </w:rPr>
        <w:t>统金融机构不同的是，数字金融平台具有数字化的天然优势和低成本</w:t>
      </w:r>
      <w:r>
        <w:rPr>
          <w:rFonts w:ascii="SimSun" w:hAnsi="SimSun" w:eastAsia="SimSun" w:cs="SimSun"/>
          <w:sz w:val="21"/>
          <w:szCs w:val="21"/>
          <w:spacing w:val="9"/>
        </w:rPr>
        <w:t xml:space="preserve">  </w:t>
      </w:r>
      <w:r>
        <w:rPr>
          <w:rFonts w:ascii="SimSun" w:hAnsi="SimSun" w:eastAsia="SimSun" w:cs="SimSun"/>
          <w:sz w:val="21"/>
          <w:szCs w:val="21"/>
          <w:spacing w:val="-10"/>
        </w:rPr>
        <w:t>获客能力。数字金融平台由于拥有海量的用户和数据，借助数字技术 </w:t>
      </w:r>
      <w:r>
        <w:rPr>
          <w:rFonts w:ascii="SimSun" w:hAnsi="SimSun" w:eastAsia="SimSun" w:cs="SimSun"/>
          <w:sz w:val="21"/>
          <w:szCs w:val="21"/>
          <w:spacing w:val="-10"/>
        </w:rPr>
        <w:t>以科技赋能金融信贷风控，可以为长尾客户提</w:t>
      </w:r>
      <w:r>
        <w:rPr>
          <w:rFonts w:ascii="SimSun" w:hAnsi="SimSun" w:eastAsia="SimSun" w:cs="SimSun"/>
          <w:sz w:val="21"/>
          <w:szCs w:val="21"/>
          <w:spacing w:val="-11"/>
        </w:rPr>
        <w:t>供金融服务。传统金融</w:t>
      </w:r>
      <w:r>
        <w:rPr>
          <w:rFonts w:ascii="SimSun" w:hAnsi="SimSun" w:eastAsia="SimSun" w:cs="SimSun"/>
          <w:sz w:val="21"/>
          <w:szCs w:val="21"/>
        </w:rPr>
        <w:t xml:space="preserve">  </w:t>
      </w:r>
      <w:r>
        <w:rPr>
          <w:rFonts w:ascii="SimSun" w:hAnsi="SimSun" w:eastAsia="SimSun" w:cs="SimSun"/>
          <w:sz w:val="21"/>
          <w:szCs w:val="21"/>
          <w:spacing w:val="-10"/>
        </w:rPr>
        <w:t>机构由于金融资源配置不合理，往往根据“二八理论”将服务的重点 </w:t>
      </w:r>
      <w:r>
        <w:rPr>
          <w:rFonts w:ascii="SimSun" w:hAnsi="SimSun" w:eastAsia="SimSun" w:cs="SimSun"/>
          <w:sz w:val="21"/>
          <w:szCs w:val="21"/>
          <w:spacing w:val="3"/>
        </w:rPr>
        <w:t>放在20%的重要客户，而忽视了剩余80%的小微客户；而数字金融</w:t>
      </w:r>
      <w:r>
        <w:rPr>
          <w:rFonts w:ascii="SimSun" w:hAnsi="SimSun" w:eastAsia="SimSun" w:cs="SimSun"/>
          <w:sz w:val="21"/>
          <w:szCs w:val="21"/>
          <w:spacing w:val="8"/>
        </w:rPr>
        <w:t xml:space="preserve">  </w:t>
      </w:r>
      <w:r>
        <w:rPr>
          <w:rFonts w:ascii="SimSun" w:hAnsi="SimSun" w:eastAsia="SimSun" w:cs="SimSun"/>
          <w:sz w:val="21"/>
          <w:szCs w:val="21"/>
        </w:rPr>
        <w:t>服务的重点则放在了长尾市场中80%的小微</w:t>
      </w:r>
      <w:r>
        <w:rPr>
          <w:rFonts w:ascii="SimSun" w:hAnsi="SimSun" w:eastAsia="SimSun" w:cs="SimSun"/>
          <w:sz w:val="21"/>
          <w:szCs w:val="21"/>
          <w:spacing w:val="-1"/>
        </w:rPr>
        <w:t>客户，通过场景化来满</w:t>
      </w:r>
      <w:r>
        <w:rPr>
          <w:rFonts w:ascii="SimSun" w:hAnsi="SimSun" w:eastAsia="SimSun" w:cs="SimSun"/>
          <w:sz w:val="21"/>
          <w:szCs w:val="21"/>
        </w:rPr>
        <w:t xml:space="preserve">  </w:t>
      </w:r>
      <w:r>
        <w:rPr>
          <w:rFonts w:ascii="SimSun" w:hAnsi="SimSun" w:eastAsia="SimSun" w:cs="SimSun"/>
          <w:sz w:val="21"/>
          <w:szCs w:val="21"/>
          <w:spacing w:val="-10"/>
        </w:rPr>
        <w:t>足小微客户的金融需求，其有效性在疫情的特殊挑战</w:t>
      </w:r>
      <w:r>
        <w:rPr>
          <w:rFonts w:ascii="SimSun" w:hAnsi="SimSun" w:eastAsia="SimSun" w:cs="SimSun"/>
          <w:sz w:val="21"/>
          <w:szCs w:val="21"/>
          <w:spacing w:val="-11"/>
        </w:rPr>
        <w:t>下表现得尤为突</w:t>
      </w:r>
      <w:r>
        <w:rPr>
          <w:rFonts w:ascii="SimSun" w:hAnsi="SimSun" w:eastAsia="SimSun" w:cs="SimSun"/>
          <w:sz w:val="21"/>
          <w:szCs w:val="21"/>
        </w:rPr>
        <w:t xml:space="preserve">  </w:t>
      </w:r>
      <w:r>
        <w:rPr>
          <w:rFonts w:ascii="SimSun" w:hAnsi="SimSun" w:eastAsia="SimSun" w:cs="SimSun"/>
          <w:sz w:val="21"/>
          <w:szCs w:val="21"/>
          <w:spacing w:val="-10"/>
        </w:rPr>
        <w:t>出。报告显示，数字信贷的发展可以起到缓解疫情冲击的作用，</w:t>
      </w:r>
      <w:r>
        <w:rPr>
          <w:rFonts w:ascii="SimSun" w:hAnsi="SimSun" w:eastAsia="SimSun" w:cs="SimSun"/>
          <w:sz w:val="21"/>
          <w:szCs w:val="21"/>
          <w:spacing w:val="-11"/>
        </w:rPr>
        <w:t>数字</w:t>
      </w:r>
    </w:p>
    <w:p>
      <w:pPr>
        <w:spacing w:line="299" w:lineRule="auto"/>
        <w:sectPr>
          <w:headerReference w:type="default" r:id="rId266"/>
          <w:pgSz w:w="7330" w:h="12480"/>
          <w:pgMar w:top="799" w:right="895" w:bottom="400" w:left="329" w:header="632" w:footer="0" w:gutter="0"/>
        </w:sectPr>
        <w:rPr>
          <w:rFonts w:ascii="SimSun" w:hAnsi="SimSun" w:eastAsia="SimSun" w:cs="SimSun"/>
          <w:sz w:val="21"/>
          <w:szCs w:val="21"/>
        </w:rPr>
      </w:pP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ind w:left="30"/>
        <w:spacing w:before="68" w:line="297" w:lineRule="auto"/>
        <w:jc w:val="both"/>
        <w:rPr>
          <w:rFonts w:ascii="SimSun" w:hAnsi="SimSun" w:eastAsia="SimSun" w:cs="SimSun"/>
          <w:sz w:val="21"/>
          <w:szCs w:val="21"/>
        </w:rPr>
      </w:pPr>
      <w:r>
        <w:rPr>
          <w:rFonts w:ascii="SimSun" w:hAnsi="SimSun" w:eastAsia="SimSun" w:cs="SimSun"/>
          <w:sz w:val="21"/>
          <w:szCs w:val="21"/>
          <w:spacing w:val="-3"/>
        </w:rPr>
        <w:t>信贷发展水平每增长1%,疫情对经营的冲击</w:t>
      </w:r>
      <w:r>
        <w:rPr>
          <w:rFonts w:ascii="SimSun" w:hAnsi="SimSun" w:eastAsia="SimSun" w:cs="SimSun"/>
          <w:sz w:val="21"/>
          <w:szCs w:val="21"/>
          <w:spacing w:val="-4"/>
        </w:rPr>
        <w:t>就会减少2.57%。①疫情</w:t>
      </w:r>
      <w:r>
        <w:rPr>
          <w:rFonts w:ascii="SimSun" w:hAnsi="SimSun" w:eastAsia="SimSun" w:cs="SimSun"/>
          <w:sz w:val="21"/>
          <w:szCs w:val="21"/>
        </w:rPr>
        <w:t xml:space="preserve">  </w:t>
      </w:r>
      <w:r>
        <w:rPr>
          <w:rFonts w:ascii="SimSun" w:hAnsi="SimSun" w:eastAsia="SimSun" w:cs="SimSun"/>
          <w:sz w:val="21"/>
          <w:szCs w:val="21"/>
          <w:spacing w:val="-4"/>
        </w:rPr>
        <w:t>也进一步促使传统金融机构开始借助数字化平台不断进行数字化转</w:t>
      </w:r>
      <w:r>
        <w:rPr>
          <w:rFonts w:ascii="SimSun" w:hAnsi="SimSun" w:eastAsia="SimSun" w:cs="SimSun"/>
          <w:sz w:val="21"/>
          <w:szCs w:val="21"/>
          <w:spacing w:val="1"/>
        </w:rPr>
        <w:t xml:space="preserve">  </w:t>
      </w:r>
      <w:r>
        <w:rPr>
          <w:rFonts w:ascii="SimSun" w:hAnsi="SimSun" w:eastAsia="SimSun" w:cs="SimSun"/>
          <w:sz w:val="21"/>
          <w:szCs w:val="21"/>
          <w:spacing w:val="-7"/>
        </w:rPr>
        <w:t>型。作为国内互联网科技行业巨头，BATJ (百度、阿里巴巴、腾讯、</w:t>
      </w:r>
      <w:r>
        <w:rPr>
          <w:rFonts w:ascii="SimSun" w:hAnsi="SimSun" w:eastAsia="SimSun" w:cs="SimSun"/>
          <w:sz w:val="21"/>
          <w:szCs w:val="21"/>
          <w:spacing w:val="9"/>
        </w:rPr>
        <w:t xml:space="preserve"> </w:t>
      </w:r>
      <w:r>
        <w:rPr>
          <w:rFonts w:ascii="SimSun" w:hAnsi="SimSun" w:eastAsia="SimSun" w:cs="SimSun"/>
          <w:sz w:val="21"/>
          <w:szCs w:val="21"/>
          <w:spacing w:val="-7"/>
        </w:rPr>
        <w:t>京东)等企业拥有其平台业务所形成的大量用户数据，如百度的</w:t>
      </w:r>
      <w:r>
        <w:rPr>
          <w:rFonts w:ascii="SimSun" w:hAnsi="SimSun" w:eastAsia="SimSun" w:cs="SimSun"/>
          <w:sz w:val="21"/>
          <w:szCs w:val="21"/>
          <w:spacing w:val="-8"/>
        </w:rPr>
        <w:t>搜索</w:t>
      </w:r>
      <w:r>
        <w:rPr>
          <w:rFonts w:ascii="SimSun" w:hAnsi="SimSun" w:eastAsia="SimSun" w:cs="SimSun"/>
          <w:sz w:val="21"/>
          <w:szCs w:val="21"/>
        </w:rPr>
        <w:t xml:space="preserve">  </w:t>
      </w:r>
      <w:r>
        <w:rPr>
          <w:rFonts w:ascii="SimSun" w:hAnsi="SimSun" w:eastAsia="SimSun" w:cs="SimSun"/>
          <w:sz w:val="21"/>
          <w:szCs w:val="21"/>
          <w:spacing w:val="-11"/>
        </w:rPr>
        <w:t>数据、阿里巴巴和京东的交易数据、腾讯的社交数据等。这些数据是</w:t>
      </w:r>
      <w:r>
        <w:rPr>
          <w:rFonts w:ascii="SimSun" w:hAnsi="SimSun" w:eastAsia="SimSun" w:cs="SimSun"/>
          <w:sz w:val="21"/>
          <w:szCs w:val="21"/>
          <w:spacing w:val="4"/>
        </w:rPr>
        <w:t xml:space="preserve">  </w:t>
      </w:r>
      <w:r>
        <w:rPr>
          <w:rFonts w:ascii="SimSun" w:hAnsi="SimSun" w:eastAsia="SimSun" w:cs="SimSun"/>
          <w:sz w:val="21"/>
          <w:szCs w:val="21"/>
          <w:spacing w:val="-11"/>
        </w:rPr>
        <w:t>提供场景化金融或类金融服务的基础，即通过大数据分析，不但有利</w:t>
      </w:r>
      <w:r>
        <w:rPr>
          <w:rFonts w:ascii="SimSun" w:hAnsi="SimSun" w:eastAsia="SimSun" w:cs="SimSun"/>
          <w:sz w:val="21"/>
          <w:szCs w:val="21"/>
          <w:spacing w:val="6"/>
        </w:rPr>
        <w:t xml:space="preserve">  </w:t>
      </w:r>
      <w:r>
        <w:rPr>
          <w:rFonts w:ascii="SimSun" w:hAnsi="SimSun" w:eastAsia="SimSun" w:cs="SimSun"/>
          <w:sz w:val="21"/>
          <w:szCs w:val="21"/>
          <w:spacing w:val="-11"/>
        </w:rPr>
        <w:t>于实现精准营销，满足个性化需求，而且可以构建基于大数据的风控</w:t>
      </w:r>
      <w:r>
        <w:rPr>
          <w:rFonts w:ascii="SimSun" w:hAnsi="SimSun" w:eastAsia="SimSun" w:cs="SimSun"/>
          <w:sz w:val="21"/>
          <w:szCs w:val="21"/>
          <w:spacing w:val="3"/>
        </w:rPr>
        <w:t xml:space="preserve">  </w:t>
      </w:r>
      <w:r>
        <w:rPr>
          <w:rFonts w:ascii="SimSun" w:hAnsi="SimSun" w:eastAsia="SimSun" w:cs="SimSun"/>
          <w:sz w:val="21"/>
          <w:szCs w:val="21"/>
          <w:spacing w:val="-11"/>
        </w:rPr>
        <w:t>模型，提高金融服务效率。</w:t>
      </w:r>
    </w:p>
    <w:p>
      <w:pPr>
        <w:ind w:left="30" w:right="79" w:firstLine="420"/>
        <w:spacing w:before="173" w:line="300" w:lineRule="auto"/>
        <w:jc w:val="both"/>
        <w:rPr>
          <w:rFonts w:ascii="SimSun" w:hAnsi="SimSun" w:eastAsia="SimSun" w:cs="SimSun"/>
          <w:sz w:val="21"/>
          <w:szCs w:val="21"/>
        </w:rPr>
      </w:pPr>
      <w:r>
        <w:rPr>
          <w:rFonts w:ascii="SimSun" w:hAnsi="SimSun" w:eastAsia="SimSun" w:cs="SimSun"/>
          <w:sz w:val="21"/>
          <w:szCs w:val="21"/>
          <w:spacing w:val="-11"/>
        </w:rPr>
        <w:t>数字金融平台和传统金融机构的合作，使得新型金融服务的获取</w:t>
      </w:r>
      <w:r>
        <w:rPr>
          <w:rFonts w:ascii="SimSun" w:hAnsi="SimSun" w:eastAsia="SimSun" w:cs="SimSun"/>
          <w:sz w:val="21"/>
          <w:szCs w:val="21"/>
          <w:spacing w:val="6"/>
        </w:rPr>
        <w:t xml:space="preserve"> </w:t>
      </w:r>
      <w:r>
        <w:rPr>
          <w:rFonts w:ascii="SimSun" w:hAnsi="SimSun" w:eastAsia="SimSun" w:cs="SimSun"/>
          <w:sz w:val="21"/>
          <w:szCs w:val="21"/>
          <w:spacing w:val="-7"/>
        </w:rPr>
        <w:t>变得更加便捷，用户的多元化需求也将得到更高效的满足。2017年3</w:t>
      </w:r>
      <w:r>
        <w:rPr>
          <w:rFonts w:ascii="SimSun" w:hAnsi="SimSun" w:eastAsia="SimSun" w:cs="SimSun"/>
          <w:sz w:val="21"/>
          <w:szCs w:val="21"/>
          <w:spacing w:val="10"/>
        </w:rPr>
        <w:t xml:space="preserve"> </w:t>
      </w:r>
      <w:r>
        <w:rPr>
          <w:rFonts w:ascii="SimSun" w:hAnsi="SimSun" w:eastAsia="SimSun" w:cs="SimSun"/>
          <w:sz w:val="21"/>
          <w:szCs w:val="21"/>
          <w:spacing w:val="-17"/>
        </w:rPr>
        <w:t>月，中国建设银行与蚂蚁金融合作，</w:t>
      </w:r>
      <w:r>
        <w:rPr>
          <w:rFonts w:ascii="SimSun" w:hAnsi="SimSun" w:eastAsia="SimSun" w:cs="SimSun"/>
          <w:sz w:val="21"/>
          <w:szCs w:val="21"/>
          <w:spacing w:val="64"/>
        </w:rPr>
        <w:t xml:space="preserve"> </w:t>
      </w:r>
      <w:r>
        <w:rPr>
          <w:rFonts w:ascii="SimSun" w:hAnsi="SimSun" w:eastAsia="SimSun" w:cs="SimSun"/>
          <w:sz w:val="21"/>
          <w:szCs w:val="21"/>
          <w:spacing w:val="-17"/>
        </w:rPr>
        <w:t>一方面，将建行理财产品引入支</w:t>
      </w:r>
      <w:r>
        <w:rPr>
          <w:rFonts w:ascii="SimSun" w:hAnsi="SimSun" w:eastAsia="SimSun" w:cs="SimSun"/>
          <w:sz w:val="21"/>
          <w:szCs w:val="21"/>
        </w:rPr>
        <w:t xml:space="preserve"> </w:t>
      </w:r>
      <w:r>
        <w:rPr>
          <w:rFonts w:ascii="SimSun" w:hAnsi="SimSun" w:eastAsia="SimSun" w:cs="SimSun"/>
          <w:sz w:val="21"/>
          <w:szCs w:val="21"/>
          <w:spacing w:val="-11"/>
        </w:rPr>
        <w:t>付宝，用户可直接在支付宝购买；另一方面，建行借助蚂蚁金服的先</w:t>
      </w:r>
      <w:r>
        <w:rPr>
          <w:rFonts w:ascii="SimSun" w:hAnsi="SimSun" w:eastAsia="SimSun" w:cs="SimSun"/>
          <w:sz w:val="21"/>
          <w:szCs w:val="21"/>
          <w:spacing w:val="9"/>
        </w:rPr>
        <w:t xml:space="preserve"> </w:t>
      </w:r>
      <w:r>
        <w:rPr>
          <w:rFonts w:ascii="SimSun" w:hAnsi="SimSun" w:eastAsia="SimSun" w:cs="SimSun"/>
          <w:sz w:val="21"/>
          <w:szCs w:val="21"/>
          <w:spacing w:val="-11"/>
        </w:rPr>
        <w:t>进技术开通财富号，为用户提供个性化、定制化服务，并开始信用互</w:t>
      </w:r>
      <w:r>
        <w:rPr>
          <w:rFonts w:ascii="SimSun" w:hAnsi="SimSun" w:eastAsia="SimSun" w:cs="SimSun"/>
          <w:sz w:val="21"/>
          <w:szCs w:val="21"/>
          <w:spacing w:val="6"/>
        </w:rPr>
        <w:t xml:space="preserve"> </w:t>
      </w:r>
      <w:r>
        <w:rPr>
          <w:rFonts w:ascii="SimSun" w:hAnsi="SimSun" w:eastAsia="SimSun" w:cs="SimSun"/>
          <w:sz w:val="21"/>
          <w:szCs w:val="21"/>
        </w:rPr>
        <w:t>通。此外，2020年3月中国工商银行与中国</w:t>
      </w:r>
      <w:r>
        <w:rPr>
          <w:rFonts w:ascii="SimSun" w:hAnsi="SimSun" w:eastAsia="SimSun" w:cs="SimSun"/>
          <w:sz w:val="21"/>
          <w:szCs w:val="21"/>
          <w:spacing w:val="-1"/>
        </w:rPr>
        <w:t>银联、支付宝合作，实</w:t>
      </w:r>
      <w:r>
        <w:rPr>
          <w:rFonts w:ascii="SimSun" w:hAnsi="SimSun" w:eastAsia="SimSun" w:cs="SimSun"/>
          <w:sz w:val="21"/>
          <w:szCs w:val="21"/>
        </w:rPr>
        <w:t xml:space="preserve"> </w:t>
      </w:r>
      <w:r>
        <w:rPr>
          <w:rFonts w:ascii="SimSun" w:hAnsi="SimSun" w:eastAsia="SimSun" w:cs="SimSun"/>
          <w:sz w:val="21"/>
          <w:szCs w:val="21"/>
          <w:spacing w:val="-7"/>
        </w:rPr>
        <w:t>现与支付宝的互扫互认。随后，招商银行和平安银行也</w:t>
      </w:r>
      <w:r>
        <w:rPr>
          <w:rFonts w:ascii="SimSun" w:hAnsi="SimSun" w:eastAsia="SimSun" w:cs="SimSun"/>
          <w:sz w:val="21"/>
          <w:szCs w:val="21"/>
          <w:spacing w:val="-8"/>
        </w:rPr>
        <w:t>相继在4月实</w:t>
      </w:r>
      <w:r>
        <w:rPr>
          <w:rFonts w:ascii="SimSun" w:hAnsi="SimSun" w:eastAsia="SimSun" w:cs="SimSun"/>
          <w:sz w:val="21"/>
          <w:szCs w:val="21"/>
        </w:rPr>
        <w:t xml:space="preserve"> </w:t>
      </w:r>
      <w:r>
        <w:rPr>
          <w:rFonts w:ascii="SimSun" w:hAnsi="SimSun" w:eastAsia="SimSun" w:cs="SimSun"/>
          <w:sz w:val="21"/>
          <w:szCs w:val="21"/>
          <w:spacing w:val="-11"/>
        </w:rPr>
        <w:t>现与支付宝二维码互扫互认。与此同时，数字金融平台也可以通过对</w:t>
      </w:r>
      <w:r>
        <w:rPr>
          <w:rFonts w:ascii="SimSun" w:hAnsi="SimSun" w:eastAsia="SimSun" w:cs="SimSun"/>
          <w:sz w:val="21"/>
          <w:szCs w:val="21"/>
          <w:spacing w:val="7"/>
        </w:rPr>
        <w:t xml:space="preserve"> </w:t>
      </w:r>
      <w:r>
        <w:rPr>
          <w:rFonts w:ascii="SimSun" w:hAnsi="SimSun" w:eastAsia="SimSun" w:cs="SimSun"/>
          <w:sz w:val="21"/>
          <w:szCs w:val="21"/>
          <w:spacing w:val="-11"/>
        </w:rPr>
        <w:t>传统金融业的拓展提升用户体验。以蚂蚁金服为例，它利用自身的技</w:t>
      </w:r>
      <w:r>
        <w:rPr>
          <w:rFonts w:ascii="SimSun" w:hAnsi="SimSun" w:eastAsia="SimSun" w:cs="SimSun"/>
          <w:sz w:val="21"/>
          <w:szCs w:val="21"/>
          <w:spacing w:val="7"/>
        </w:rPr>
        <w:t xml:space="preserve"> </w:t>
      </w:r>
      <w:r>
        <w:rPr>
          <w:rFonts w:ascii="SimSun" w:hAnsi="SimSun" w:eastAsia="SimSun" w:cs="SimSun"/>
          <w:sz w:val="21"/>
          <w:szCs w:val="21"/>
          <w:spacing w:val="-11"/>
        </w:rPr>
        <w:t>术积累，通过与传统金融行业的合作，使其金融服务由移动支付拓展</w:t>
      </w:r>
      <w:r>
        <w:rPr>
          <w:rFonts w:ascii="SimSun" w:hAnsi="SimSun" w:eastAsia="SimSun" w:cs="SimSun"/>
          <w:sz w:val="21"/>
          <w:szCs w:val="21"/>
          <w:spacing w:val="9"/>
        </w:rPr>
        <w:t xml:space="preserve"> </w:t>
      </w:r>
      <w:r>
        <w:rPr>
          <w:rFonts w:ascii="SimSun" w:hAnsi="SimSun" w:eastAsia="SimSun" w:cs="SimSun"/>
          <w:sz w:val="21"/>
          <w:szCs w:val="21"/>
          <w:spacing w:val="-11"/>
        </w:rPr>
        <w:t>至智能理财、场景化金融等多个领域，在与传统商业银行进行合作的</w:t>
      </w:r>
      <w:r>
        <w:rPr>
          <w:rFonts w:ascii="SimSun" w:hAnsi="SimSun" w:eastAsia="SimSun" w:cs="SimSun"/>
          <w:sz w:val="21"/>
          <w:szCs w:val="21"/>
          <w:spacing w:val="14"/>
        </w:rPr>
        <w:t xml:space="preserve"> </w:t>
      </w:r>
      <w:r>
        <w:rPr>
          <w:rFonts w:ascii="SimSun" w:hAnsi="SimSun" w:eastAsia="SimSun" w:cs="SimSun"/>
          <w:sz w:val="21"/>
          <w:szCs w:val="21"/>
          <w:spacing w:val="-11"/>
        </w:rPr>
        <w:t>过程中，为更多的用户和中小微企业提供了更好的服务体验。</w:t>
      </w:r>
    </w:p>
    <w:p>
      <w:pPr>
        <w:ind w:left="30" w:right="78" w:firstLine="409"/>
        <w:spacing w:before="212" w:line="286" w:lineRule="auto"/>
        <w:jc w:val="both"/>
        <w:rPr>
          <w:rFonts w:ascii="SimSun" w:hAnsi="SimSun" w:eastAsia="SimSun" w:cs="SimSun"/>
          <w:sz w:val="21"/>
          <w:szCs w:val="21"/>
        </w:rPr>
      </w:pPr>
      <w:r>
        <w:rPr>
          <w:rFonts w:ascii="SimSun" w:hAnsi="SimSun" w:eastAsia="SimSun" w:cs="SimSun"/>
          <w:sz w:val="21"/>
          <w:szCs w:val="21"/>
          <w:spacing w:val="-3"/>
        </w:rPr>
        <w:t>传统金融机构纷纷进行数字化转型探索，其金融科技水平和能</w:t>
      </w:r>
      <w:r>
        <w:rPr>
          <w:rFonts w:ascii="SimSun" w:hAnsi="SimSun" w:eastAsia="SimSun" w:cs="SimSun"/>
          <w:sz w:val="21"/>
          <w:szCs w:val="21"/>
        </w:rPr>
        <w:t xml:space="preserve"> </w:t>
      </w:r>
      <w:r>
        <w:rPr>
          <w:rFonts w:ascii="SimSun" w:hAnsi="SimSun" w:eastAsia="SimSun" w:cs="SimSun"/>
          <w:sz w:val="21"/>
          <w:szCs w:val="21"/>
          <w:spacing w:val="3"/>
        </w:rPr>
        <w:t>力有较快提升。零壹智库发布的《2021年全球金融科技专利质量</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3"/>
        </w:rPr>
        <w:t>TOP10</w:t>
      </w:r>
      <w:r>
        <w:rPr>
          <w:rFonts w:ascii="SimSun" w:hAnsi="SimSun" w:eastAsia="SimSun" w:cs="SimSun"/>
          <w:sz w:val="21"/>
          <w:szCs w:val="21"/>
          <w:spacing w:val="-3"/>
        </w:rPr>
        <w:t>》报告显示，全球金融科技专利申请数量排在前10位的企业</w:t>
      </w:r>
    </w:p>
    <w:p>
      <w:pPr>
        <w:pStyle w:val="BodyText"/>
        <w:spacing w:line="343" w:lineRule="auto"/>
        <w:rPr/>
      </w:pPr>
      <w:r/>
    </w:p>
    <w:p>
      <w:pPr>
        <w:ind w:left="339" w:right="29" w:hanging="309"/>
        <w:spacing w:before="52" w:line="268" w:lineRule="auto"/>
        <w:rPr>
          <w:rFonts w:ascii="SimSun" w:hAnsi="SimSun" w:eastAsia="SimSun" w:cs="SimSun"/>
          <w:sz w:val="16"/>
          <w:szCs w:val="16"/>
        </w:rPr>
      </w:pPr>
      <w:r>
        <w:rPr>
          <w:rFonts w:ascii="KaiTi" w:hAnsi="KaiTi" w:eastAsia="KaiTi" w:cs="KaiTi"/>
          <w:sz w:val="16"/>
          <w:szCs w:val="16"/>
        </w:rPr>
        <w:t>①</w:t>
      </w:r>
      <w:r>
        <w:rPr>
          <w:rFonts w:ascii="KaiTi" w:hAnsi="KaiTi" w:eastAsia="KaiTi" w:cs="KaiTi"/>
          <w:sz w:val="16"/>
          <w:szCs w:val="16"/>
          <w:spacing w:val="68"/>
          <w:w w:val="101"/>
        </w:rPr>
        <w:t xml:space="preserve"> </w:t>
      </w:r>
      <w:r>
        <w:rPr>
          <w:rFonts w:ascii="KaiTi" w:hAnsi="KaiTi" w:eastAsia="KaiTi" w:cs="KaiTi"/>
          <w:sz w:val="16"/>
          <w:szCs w:val="16"/>
        </w:rPr>
        <w:t>北京大学数字金融研究中心、蚂蚁金融服务集团研究院联合课题组.中国个体经营</w:t>
      </w:r>
      <w:r>
        <w:rPr>
          <w:rFonts w:ascii="KaiTi" w:hAnsi="KaiTi" w:eastAsia="KaiTi" w:cs="KaiTi"/>
          <w:sz w:val="16"/>
          <w:szCs w:val="16"/>
        </w:rPr>
        <w:t xml:space="preserve"> </w:t>
      </w:r>
      <w:r>
        <w:rPr>
          <w:rFonts w:ascii="KaiTi" w:hAnsi="KaiTi" w:eastAsia="KaiTi" w:cs="KaiTi"/>
          <w:sz w:val="16"/>
          <w:szCs w:val="16"/>
          <w:spacing w:val="2"/>
        </w:rPr>
        <w:t>户研究系列报告之一：2020中国个体经营户总量测算与新冠疫情冲击评估——兼</w:t>
      </w:r>
      <w:r>
        <w:rPr>
          <w:rFonts w:ascii="KaiTi" w:hAnsi="KaiTi" w:eastAsia="KaiTi" w:cs="KaiTi"/>
          <w:sz w:val="16"/>
          <w:szCs w:val="16"/>
          <w:spacing w:val="2"/>
        </w:rPr>
        <w:t xml:space="preserve"> </w:t>
      </w:r>
      <w:r>
        <w:rPr>
          <w:rFonts w:ascii="STXinwei" w:hAnsi="STXinwei" w:eastAsia="STXinwei" w:cs="STXinwei"/>
          <w:sz w:val="21"/>
          <w:szCs w:val="21"/>
          <w:spacing w:val="-14"/>
          <w:w w:val="97"/>
        </w:rPr>
        <w:t>论金融科技“稳经济”的价值，</w:t>
      </w:r>
      <w:r>
        <w:rPr>
          <w:rFonts w:ascii="SimSun" w:hAnsi="SimSun" w:eastAsia="SimSun" w:cs="SimSun"/>
          <w:sz w:val="21"/>
          <w:szCs w:val="21"/>
          <w:spacing w:val="-14"/>
          <w:w w:val="97"/>
        </w:rPr>
        <w:t>2020-02-28,</w:t>
      </w:r>
      <w:r>
        <w:rPr>
          <w:rFonts w:ascii="Times New Roman" w:hAnsi="Times New Roman" w:eastAsia="Times New Roman" w:cs="Times New Roman"/>
          <w:sz w:val="21"/>
          <w:szCs w:val="21"/>
          <w:spacing w:val="-14"/>
          <w:w w:val="97"/>
        </w:rPr>
        <w:t>htps:/wwwidfipku.</w:t>
      </w:r>
      <w:r>
        <w:rPr>
          <w:rFonts w:ascii="Times New Roman" w:hAnsi="Times New Roman" w:eastAsia="Times New Roman" w:cs="Times New Roman"/>
          <w:sz w:val="21"/>
          <w:szCs w:val="21"/>
          <w:spacing w:val="-15"/>
          <w:w w:val="97"/>
        </w:rPr>
        <w:t>edu.cn/bqzt/</w:t>
      </w:r>
      <w:r>
        <w:rPr>
          <w:rFonts w:ascii="Times New Roman" w:hAnsi="Times New Roman" w:eastAsia="Times New Roman" w:cs="Times New Roman"/>
          <w:sz w:val="21"/>
          <w:szCs w:val="21"/>
        </w:rPr>
        <w:t xml:space="preserve"> </w:t>
      </w:r>
      <w:r>
        <w:rPr>
          <w:rFonts w:ascii="SimSun" w:hAnsi="SimSun" w:eastAsia="SimSun" w:cs="SimSun"/>
          <w:sz w:val="16"/>
          <w:szCs w:val="16"/>
          <w:spacing w:val="-3"/>
        </w:rPr>
        <w:t>xw/501534.htm.</w:t>
      </w:r>
    </w:p>
    <w:p>
      <w:pPr>
        <w:spacing w:line="268" w:lineRule="auto"/>
        <w:sectPr>
          <w:headerReference w:type="default" r:id="rId267"/>
          <w:pgSz w:w="7330" w:h="12480"/>
          <w:pgMar w:top="508" w:right="460" w:bottom="400" w:left="759" w:header="345" w:footer="0" w:gutter="0"/>
        </w:sectPr>
        <w:rPr>
          <w:rFonts w:ascii="SimSun" w:hAnsi="SimSun" w:eastAsia="SimSun" w:cs="SimSun"/>
          <w:sz w:val="16"/>
          <w:szCs w:val="16"/>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68" w:line="307" w:lineRule="auto"/>
        <w:jc w:val="both"/>
        <w:rPr>
          <w:rFonts w:ascii="SimSun" w:hAnsi="SimSun" w:eastAsia="SimSun" w:cs="SimSun"/>
          <w:sz w:val="21"/>
          <w:szCs w:val="21"/>
        </w:rPr>
      </w:pPr>
      <w:r>
        <w:rPr>
          <w:rFonts w:ascii="SimSun" w:hAnsi="SimSun" w:eastAsia="SimSun" w:cs="SimSun"/>
          <w:sz w:val="21"/>
          <w:szCs w:val="21"/>
          <w:spacing w:val="-8"/>
        </w:rPr>
        <w:t>中有8家中国企业，它们分别是平安集团、蚂蚁集团、阿里巴巴、中</w:t>
      </w:r>
      <w:r>
        <w:rPr>
          <w:rFonts w:ascii="SimSun" w:hAnsi="SimSun" w:eastAsia="SimSun" w:cs="SimSun"/>
          <w:sz w:val="21"/>
          <w:szCs w:val="21"/>
          <w:spacing w:val="16"/>
        </w:rPr>
        <w:t xml:space="preserve"> </w:t>
      </w:r>
      <w:r>
        <w:rPr>
          <w:rFonts w:ascii="SimSun" w:hAnsi="SimSun" w:eastAsia="SimSun" w:cs="SimSun"/>
          <w:sz w:val="21"/>
          <w:szCs w:val="21"/>
          <w:spacing w:val="-7"/>
        </w:rPr>
        <w:t>国银行、腾讯、建设银行、工商银行和国家电网，其他2家为美国企</w:t>
      </w:r>
      <w:r>
        <w:rPr>
          <w:rFonts w:ascii="SimSun" w:hAnsi="SimSun" w:eastAsia="SimSun" w:cs="SimSun"/>
          <w:sz w:val="21"/>
          <w:szCs w:val="21"/>
          <w:spacing w:val="12"/>
        </w:rPr>
        <w:t xml:space="preserve"> </w:t>
      </w:r>
      <w:r>
        <w:rPr>
          <w:rFonts w:ascii="SimSun" w:hAnsi="SimSun" w:eastAsia="SimSun" w:cs="SimSun"/>
          <w:sz w:val="21"/>
          <w:szCs w:val="21"/>
          <w:spacing w:val="-11"/>
        </w:rPr>
        <w:t>业。其中传统银行中的典型代表如中国银行、建设银行、工商银行已 </w:t>
      </w:r>
      <w:r>
        <w:rPr>
          <w:rFonts w:ascii="SimSun" w:hAnsi="SimSun" w:eastAsia="SimSun" w:cs="SimSun"/>
          <w:sz w:val="21"/>
          <w:szCs w:val="21"/>
          <w:spacing w:val="-11"/>
        </w:rPr>
        <w:t>呈现出较强的金融科技水平和能力，并在传统金融机构数字化转型方 </w:t>
      </w:r>
      <w:r>
        <w:rPr>
          <w:rFonts w:ascii="SimSun" w:hAnsi="SimSun" w:eastAsia="SimSun" w:cs="SimSun"/>
          <w:sz w:val="21"/>
          <w:szCs w:val="21"/>
          <w:spacing w:val="-11"/>
        </w:rPr>
        <w:t>面做出了有效尝试。中国互联网金融协会、瞭望智库联合撰写的《中 </w:t>
      </w:r>
      <w:r>
        <w:rPr>
          <w:rFonts w:ascii="SimSun" w:hAnsi="SimSun" w:eastAsia="SimSun" w:cs="SimSun"/>
          <w:sz w:val="21"/>
          <w:szCs w:val="21"/>
          <w:spacing w:val="-11"/>
        </w:rPr>
        <w:t>国商业银行数字化转型调查研究报告》指出：国有银行在数字金融发 </w:t>
      </w:r>
      <w:r>
        <w:rPr>
          <w:rFonts w:ascii="SimSun" w:hAnsi="SimSun" w:eastAsia="SimSun" w:cs="SimSun"/>
          <w:sz w:val="21"/>
          <w:szCs w:val="21"/>
          <w:spacing w:val="-1"/>
        </w:rPr>
        <w:t>展初期领衔商业银行的数字转型，股份制银行2013年</w:t>
      </w:r>
      <w:r>
        <w:rPr>
          <w:rFonts w:ascii="SimSun" w:hAnsi="SimSun" w:eastAsia="SimSun" w:cs="SimSun"/>
          <w:sz w:val="21"/>
          <w:szCs w:val="21"/>
          <w:spacing w:val="-2"/>
        </w:rPr>
        <w:t>起迅速增长，</w:t>
      </w:r>
      <w:r>
        <w:rPr>
          <w:rFonts w:ascii="SimSun" w:hAnsi="SimSun" w:eastAsia="SimSun" w:cs="SimSun"/>
          <w:sz w:val="21"/>
          <w:szCs w:val="21"/>
        </w:rPr>
        <w:t xml:space="preserve"> </w:t>
      </w:r>
      <w:r>
        <w:rPr>
          <w:rFonts w:ascii="SimSun" w:hAnsi="SimSun" w:eastAsia="SimSun" w:cs="SimSun"/>
          <w:sz w:val="21"/>
          <w:szCs w:val="21"/>
          <w:spacing w:val="-11"/>
        </w:rPr>
        <w:t>与国有银行的差距逐渐缩小；民营银行具有“天生数字化”优势，后 </w:t>
      </w:r>
      <w:r>
        <w:rPr>
          <w:rFonts w:ascii="SimSun" w:hAnsi="SimSun" w:eastAsia="SimSun" w:cs="SimSun"/>
          <w:sz w:val="21"/>
          <w:szCs w:val="21"/>
          <w:spacing w:val="-11"/>
        </w:rPr>
        <w:t>来居上；其他银行则起步较晚，且增速较慢，与国有银行、股份制银 </w:t>
      </w:r>
      <w:r>
        <w:rPr>
          <w:rFonts w:ascii="SimSun" w:hAnsi="SimSun" w:eastAsia="SimSun" w:cs="SimSun"/>
          <w:sz w:val="21"/>
          <w:szCs w:val="21"/>
          <w:spacing w:val="-11"/>
        </w:rPr>
        <w:t>行的数字化水平还存在较大差距。</w:t>
      </w:r>
    </w:p>
    <w:p>
      <w:pPr>
        <w:ind w:firstLine="390"/>
        <w:spacing w:before="109" w:line="298" w:lineRule="auto"/>
        <w:jc w:val="both"/>
        <w:rPr>
          <w:rFonts w:ascii="SimSun" w:hAnsi="SimSun" w:eastAsia="SimSun" w:cs="SimSun"/>
          <w:sz w:val="21"/>
          <w:szCs w:val="21"/>
        </w:rPr>
      </w:pPr>
      <w:r>
        <w:rPr>
          <w:rFonts w:ascii="SimSun" w:hAnsi="SimSun" w:eastAsia="SimSun" w:cs="SimSun"/>
          <w:sz w:val="21"/>
          <w:szCs w:val="21"/>
          <w:spacing w:val="-2"/>
        </w:rPr>
        <w:t>在支付领域内也有传统金融机构成功构建数字金融平台的</w:t>
      </w:r>
      <w:r>
        <w:rPr>
          <w:rFonts w:ascii="SimSun" w:hAnsi="SimSun" w:eastAsia="SimSun" w:cs="SimSun"/>
          <w:sz w:val="21"/>
          <w:szCs w:val="21"/>
          <w:spacing w:val="-3"/>
        </w:rPr>
        <w:t>。如</w:t>
      </w:r>
      <w:r>
        <w:rPr>
          <w:rFonts w:ascii="SimSun" w:hAnsi="SimSun" w:eastAsia="SimSun" w:cs="SimSun"/>
          <w:sz w:val="21"/>
          <w:szCs w:val="21"/>
        </w:rPr>
        <w:t xml:space="preserve"> </w:t>
      </w:r>
      <w:r>
        <w:rPr>
          <w:rFonts w:ascii="SimSun" w:hAnsi="SimSun" w:eastAsia="SimSun" w:cs="SimSun"/>
          <w:sz w:val="21"/>
          <w:szCs w:val="21"/>
          <w:spacing w:val="-4"/>
        </w:rPr>
        <w:t>光大银行运用其国有控股的身份，把全国各地的生活缴费、政务缴 </w:t>
      </w:r>
      <w:r>
        <w:rPr>
          <w:rFonts w:ascii="SimSun" w:hAnsi="SimSun" w:eastAsia="SimSun" w:cs="SimSun"/>
          <w:sz w:val="21"/>
          <w:szCs w:val="21"/>
          <w:spacing w:val="-8"/>
        </w:rPr>
        <w:t>费、行业缴费等各类缴费资源进行全面整合、统一接入</w:t>
      </w:r>
      <w:r>
        <w:rPr>
          <w:rFonts w:ascii="SimSun" w:hAnsi="SimSun" w:eastAsia="SimSun" w:cs="SimSun"/>
          <w:sz w:val="21"/>
          <w:szCs w:val="21"/>
          <w:spacing w:val="-9"/>
        </w:rPr>
        <w:t>、统一标准，</w:t>
      </w:r>
      <w:r>
        <w:rPr>
          <w:rFonts w:ascii="SimSun" w:hAnsi="SimSun" w:eastAsia="SimSun" w:cs="SimSun"/>
          <w:sz w:val="21"/>
          <w:szCs w:val="21"/>
        </w:rPr>
        <w:t xml:space="preserve"> </w:t>
      </w:r>
      <w:r>
        <w:rPr>
          <w:rFonts w:ascii="SimSun" w:hAnsi="SimSun" w:eastAsia="SimSun" w:cs="SimSun"/>
          <w:sz w:val="21"/>
          <w:szCs w:val="21"/>
          <w:spacing w:val="-4"/>
        </w:rPr>
        <w:t>于2010年推出了“云缴费”平台，通过云缴费平台聚合公共缴费资 </w:t>
      </w:r>
      <w:r>
        <w:rPr>
          <w:rFonts w:ascii="SimSun" w:hAnsi="SimSun" w:eastAsia="SimSun" w:cs="SimSun"/>
          <w:sz w:val="21"/>
          <w:szCs w:val="21"/>
          <w:spacing w:val="-11"/>
        </w:rPr>
        <w:t>源，建立了业内首家全国集中的公共事业缴费开放平台。光大银行还 </w:t>
      </w:r>
      <w:r>
        <w:rPr>
          <w:rFonts w:ascii="SimSun" w:hAnsi="SimSun" w:eastAsia="SimSun" w:cs="SimSun"/>
          <w:sz w:val="21"/>
          <w:szCs w:val="21"/>
          <w:spacing w:val="-11"/>
        </w:rPr>
        <w:t>将“云缴费”平台向代理缴费服务的各类合作伙伴开放，希望借助合 </w:t>
      </w:r>
      <w:r>
        <w:rPr>
          <w:rFonts w:ascii="SimSun" w:hAnsi="SimSun" w:eastAsia="SimSun" w:cs="SimSun"/>
          <w:sz w:val="21"/>
          <w:szCs w:val="21"/>
          <w:spacing w:val="-10"/>
        </w:rPr>
        <w:t>作伙伴的不同场景、渠道等，为广泛的客户提供全面、优质和</w:t>
      </w:r>
      <w:r>
        <w:rPr>
          <w:rFonts w:ascii="SimSun" w:hAnsi="SimSun" w:eastAsia="SimSun" w:cs="SimSun"/>
          <w:sz w:val="21"/>
          <w:szCs w:val="21"/>
          <w:spacing w:val="-11"/>
        </w:rPr>
        <w:t>个性化</w:t>
      </w:r>
      <w:r>
        <w:rPr>
          <w:rFonts w:ascii="SimSun" w:hAnsi="SimSun" w:eastAsia="SimSun" w:cs="SimSun"/>
          <w:sz w:val="21"/>
          <w:szCs w:val="21"/>
        </w:rPr>
        <w:t xml:space="preserve"> </w:t>
      </w:r>
      <w:r>
        <w:rPr>
          <w:rFonts w:ascii="SimSun" w:hAnsi="SimSun" w:eastAsia="SimSun" w:cs="SimSun"/>
          <w:sz w:val="21"/>
          <w:szCs w:val="21"/>
          <w:spacing w:val="-3"/>
        </w:rPr>
        <w:t>的生活缴费服务。截至2021年底，该平台已涵盖了包含20个大类超</w:t>
      </w:r>
      <w:r>
        <w:rPr>
          <w:rFonts w:ascii="SimSun" w:hAnsi="SimSun" w:eastAsia="SimSun" w:cs="SimSun"/>
          <w:sz w:val="21"/>
          <w:szCs w:val="21"/>
          <w:spacing w:val="3"/>
        </w:rPr>
        <w:t xml:space="preserve"> </w:t>
      </w:r>
      <w:r>
        <w:rPr>
          <w:rFonts w:ascii="SimSun" w:hAnsi="SimSun" w:eastAsia="SimSun" w:cs="SimSun"/>
          <w:sz w:val="21"/>
          <w:szCs w:val="21"/>
          <w:spacing w:val="1"/>
        </w:rPr>
        <w:t>过11000项缴费项目，覆盖了300多个城市，可</w:t>
      </w:r>
      <w:r>
        <w:rPr>
          <w:rFonts w:ascii="SimSun" w:hAnsi="SimSun" w:eastAsia="SimSun" w:cs="SimSun"/>
          <w:sz w:val="21"/>
          <w:szCs w:val="21"/>
        </w:rPr>
        <w:t>服务人群超10亿。</w:t>
      </w:r>
    </w:p>
    <w:p>
      <w:pPr>
        <w:pStyle w:val="BodyText"/>
        <w:spacing w:line="434" w:lineRule="auto"/>
        <w:rPr/>
      </w:pPr>
      <w:r/>
    </w:p>
    <w:p>
      <w:pPr>
        <w:ind w:left="1094"/>
        <w:spacing w:before="104" w:line="219" w:lineRule="auto"/>
        <w:rPr>
          <w:rFonts w:ascii="SimSun" w:hAnsi="SimSun" w:eastAsia="SimSun" w:cs="SimSun"/>
          <w:sz w:val="32"/>
          <w:szCs w:val="32"/>
        </w:rPr>
      </w:pPr>
      <w:r>
        <w:rPr>
          <w:rFonts w:ascii="SimSun" w:hAnsi="SimSun" w:eastAsia="SimSun" w:cs="SimSun"/>
          <w:sz w:val="32"/>
          <w:szCs w:val="32"/>
          <w:b/>
          <w:bCs/>
          <w:spacing w:val="-5"/>
        </w:rPr>
        <w:t>数字金融平台的风险和问题</w:t>
      </w:r>
    </w:p>
    <w:p>
      <w:pPr>
        <w:pStyle w:val="BodyText"/>
        <w:spacing w:line="289" w:lineRule="auto"/>
        <w:rPr/>
      </w:pPr>
      <w:r/>
    </w:p>
    <w:p>
      <w:pPr>
        <w:ind w:right="20" w:firstLine="420"/>
        <w:spacing w:before="69" w:line="286" w:lineRule="auto"/>
        <w:jc w:val="both"/>
        <w:rPr>
          <w:rFonts w:ascii="SimSun" w:hAnsi="SimSun" w:eastAsia="SimSun" w:cs="SimSun"/>
          <w:sz w:val="21"/>
          <w:szCs w:val="21"/>
        </w:rPr>
      </w:pPr>
      <w:r>
        <w:rPr>
          <w:rFonts w:ascii="SimSun" w:hAnsi="SimSun" w:eastAsia="SimSun" w:cs="SimSun"/>
          <w:sz w:val="21"/>
          <w:szCs w:val="21"/>
          <w:spacing w:val="-2"/>
        </w:rPr>
        <w:t>作为一种特殊形式的平台，数字金融平台既具有平台的</w:t>
      </w:r>
      <w:r>
        <w:rPr>
          <w:rFonts w:ascii="SimSun" w:hAnsi="SimSun" w:eastAsia="SimSun" w:cs="SimSun"/>
          <w:sz w:val="21"/>
          <w:szCs w:val="21"/>
          <w:spacing w:val="-3"/>
        </w:rPr>
        <w:t>共性问</w:t>
      </w:r>
      <w:r>
        <w:rPr>
          <w:rFonts w:ascii="SimSun" w:hAnsi="SimSun" w:eastAsia="SimSun" w:cs="SimSun"/>
          <w:sz w:val="21"/>
          <w:szCs w:val="21"/>
        </w:rPr>
        <w:t xml:space="preserve"> </w:t>
      </w:r>
      <w:r>
        <w:rPr>
          <w:rFonts w:ascii="SimSun" w:hAnsi="SimSun" w:eastAsia="SimSun" w:cs="SimSun"/>
          <w:sz w:val="21"/>
          <w:szCs w:val="21"/>
          <w:spacing w:val="-11"/>
        </w:rPr>
        <w:t>题，也有金融行业特有的金融风险。相较于平台反垄断等议题，金融</w:t>
      </w:r>
      <w:r>
        <w:rPr>
          <w:rFonts w:ascii="SimSun" w:hAnsi="SimSun" w:eastAsia="SimSun" w:cs="SimSun"/>
          <w:sz w:val="21"/>
          <w:szCs w:val="21"/>
          <w:spacing w:val="10"/>
        </w:rPr>
        <w:t xml:space="preserve"> </w:t>
      </w:r>
      <w:r>
        <w:rPr>
          <w:rFonts w:ascii="SimSun" w:hAnsi="SimSun" w:eastAsia="SimSun" w:cs="SimSun"/>
          <w:sz w:val="21"/>
          <w:szCs w:val="21"/>
          <w:spacing w:val="-11"/>
        </w:rPr>
        <w:t>平台更需要关注的是技术和金融的边界无法完全区分所带来的一系列</w:t>
      </w:r>
      <w:r>
        <w:rPr>
          <w:rFonts w:ascii="SimSun" w:hAnsi="SimSun" w:eastAsia="SimSun" w:cs="SimSun"/>
          <w:sz w:val="21"/>
          <w:szCs w:val="21"/>
          <w:spacing w:val="15"/>
        </w:rPr>
        <w:t xml:space="preserve"> </w:t>
      </w:r>
      <w:r>
        <w:rPr>
          <w:rFonts w:ascii="SimSun" w:hAnsi="SimSun" w:eastAsia="SimSun" w:cs="SimSun"/>
          <w:sz w:val="21"/>
          <w:szCs w:val="21"/>
          <w:spacing w:val="-11"/>
        </w:rPr>
        <w:t>风险和问题。</w:t>
      </w:r>
    </w:p>
    <w:p>
      <w:pPr>
        <w:spacing w:line="286" w:lineRule="auto"/>
        <w:sectPr>
          <w:headerReference w:type="default" r:id="rId268"/>
          <w:pgSz w:w="7330" w:h="12480"/>
          <w:pgMar w:top="808" w:right="865" w:bottom="400" w:left="409" w:header="642" w:footer="0" w:gutter="0"/>
        </w:sectPr>
        <w:rPr>
          <w:rFonts w:ascii="SimSun" w:hAnsi="SimSun" w:eastAsia="SimSun" w:cs="SimSun"/>
          <w:sz w:val="21"/>
          <w:szCs w:val="21"/>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3"/>
        <w:spacing w:before="75" w:line="221" w:lineRule="auto"/>
        <w:rPr>
          <w:rFonts w:ascii="SimHei" w:hAnsi="SimHei" w:eastAsia="SimHei" w:cs="SimHei"/>
          <w:sz w:val="23"/>
          <w:szCs w:val="23"/>
        </w:rPr>
      </w:pPr>
      <w:r>
        <w:rPr>
          <w:rFonts w:ascii="SimHei" w:hAnsi="SimHei" w:eastAsia="SimHei" w:cs="SimHei"/>
          <w:sz w:val="23"/>
          <w:szCs w:val="23"/>
          <w:b/>
          <w:bCs/>
          <w:spacing w:val="6"/>
        </w:rPr>
        <w:t>合规性和传统监管框架的适配性</w:t>
      </w:r>
    </w:p>
    <w:p>
      <w:pPr>
        <w:pStyle w:val="BodyText"/>
        <w:spacing w:line="352" w:lineRule="auto"/>
        <w:rPr/>
      </w:pPr>
      <w:r/>
    </w:p>
    <w:p>
      <w:pPr>
        <w:ind w:firstLine="440"/>
        <w:spacing w:before="62" w:line="350" w:lineRule="auto"/>
        <w:jc w:val="both"/>
        <w:rPr>
          <w:rFonts w:ascii="SimSun" w:hAnsi="SimSun" w:eastAsia="SimSun" w:cs="SimSun"/>
          <w:sz w:val="19"/>
          <w:szCs w:val="19"/>
        </w:rPr>
      </w:pPr>
      <w:r>
        <w:rPr>
          <w:rFonts w:ascii="SimSun" w:hAnsi="SimSun" w:eastAsia="SimSun" w:cs="SimSun"/>
          <w:sz w:val="19"/>
          <w:szCs w:val="19"/>
          <w:spacing w:val="9"/>
        </w:rPr>
        <w:t>强监管环境将是未来短期内金融监管的主旋律，数字金融平台监</w:t>
      </w:r>
      <w:r>
        <w:rPr>
          <w:rFonts w:ascii="SimSun" w:hAnsi="SimSun" w:eastAsia="SimSun" w:cs="SimSun"/>
          <w:sz w:val="19"/>
          <w:szCs w:val="19"/>
          <w:spacing w:val="15"/>
        </w:rPr>
        <w:t xml:space="preserve"> </w:t>
      </w:r>
      <w:r>
        <w:rPr>
          <w:rFonts w:ascii="SimSun" w:hAnsi="SimSun" w:eastAsia="SimSun" w:cs="SimSun"/>
          <w:sz w:val="19"/>
          <w:szCs w:val="19"/>
          <w:spacing w:val="9"/>
        </w:rPr>
        <w:t>管的合规性则排在首位。明确合规与否首先需要明确监管套利、科技</w:t>
      </w:r>
      <w:r>
        <w:rPr>
          <w:rFonts w:ascii="SimSun" w:hAnsi="SimSun" w:eastAsia="SimSun" w:cs="SimSun"/>
          <w:sz w:val="19"/>
          <w:szCs w:val="19"/>
          <w:spacing w:val="8"/>
        </w:rPr>
        <w:t xml:space="preserve">  </w:t>
      </w:r>
      <w:r>
        <w:rPr>
          <w:rFonts w:ascii="SimSun" w:hAnsi="SimSun" w:eastAsia="SimSun" w:cs="SimSun"/>
          <w:sz w:val="19"/>
          <w:szCs w:val="19"/>
          <w:spacing w:val="9"/>
        </w:rPr>
        <w:t>和金融业务的区别。监管套利是指利用数字金融科技平台的名义来开</w:t>
      </w:r>
      <w:r>
        <w:rPr>
          <w:rFonts w:ascii="SimSun" w:hAnsi="SimSun" w:eastAsia="SimSun" w:cs="SimSun"/>
          <w:sz w:val="19"/>
          <w:szCs w:val="19"/>
          <w:spacing w:val="8"/>
        </w:rPr>
        <w:t xml:space="preserve">  </w:t>
      </w:r>
      <w:r>
        <w:rPr>
          <w:rFonts w:ascii="SimSun" w:hAnsi="SimSun" w:eastAsia="SimSun" w:cs="SimSun"/>
          <w:sz w:val="19"/>
          <w:szCs w:val="19"/>
          <w:spacing w:val="12"/>
        </w:rPr>
        <w:t>展金融业务，随着金融监管越发严格，监管套利的空间将逐渐缩小。</w:t>
      </w:r>
      <w:r>
        <w:rPr>
          <w:rFonts w:ascii="SimSun" w:hAnsi="SimSun" w:eastAsia="SimSun" w:cs="SimSun"/>
          <w:sz w:val="19"/>
          <w:szCs w:val="19"/>
          <w:spacing w:val="14"/>
        </w:rPr>
        <w:t xml:space="preserve"> </w:t>
      </w:r>
      <w:r>
        <w:rPr>
          <w:rFonts w:ascii="SimSun" w:hAnsi="SimSun" w:eastAsia="SimSun" w:cs="SimSun"/>
          <w:sz w:val="19"/>
          <w:szCs w:val="19"/>
          <w:spacing w:val="10"/>
        </w:rPr>
        <w:t>有的数字金融平台既包含金融业务，又包含科技性的</w:t>
      </w:r>
      <w:r>
        <w:rPr>
          <w:rFonts w:ascii="SimSun" w:hAnsi="SimSun" w:eastAsia="SimSun" w:cs="SimSun"/>
          <w:sz w:val="19"/>
          <w:szCs w:val="19"/>
          <w:spacing w:val="9"/>
        </w:rPr>
        <w:t>非金融业务，如</w:t>
      </w:r>
      <w:r>
        <w:rPr>
          <w:rFonts w:ascii="SimSun" w:hAnsi="SimSun" w:eastAsia="SimSun" w:cs="SimSun"/>
          <w:sz w:val="19"/>
          <w:szCs w:val="19"/>
        </w:rPr>
        <w:t xml:space="preserve">  </w:t>
      </w:r>
      <w:r>
        <w:rPr>
          <w:rFonts w:ascii="SimSun" w:hAnsi="SimSun" w:eastAsia="SimSun" w:cs="SimSun"/>
          <w:sz w:val="19"/>
          <w:szCs w:val="19"/>
          <w:spacing w:val="16"/>
        </w:rPr>
        <w:t>何在同一监管框架下对金融业务和科技型业务分别监管成为重要问 </w:t>
      </w:r>
      <w:r>
        <w:rPr>
          <w:rFonts w:ascii="SimSun" w:hAnsi="SimSun" w:eastAsia="SimSun" w:cs="SimSun"/>
          <w:sz w:val="19"/>
          <w:szCs w:val="19"/>
          <w:spacing w:val="9"/>
        </w:rPr>
        <w:t>题。多种业务混合在一起导致了传统监管框架的适配性下降，未来监</w:t>
      </w:r>
      <w:r>
        <w:rPr>
          <w:rFonts w:ascii="SimSun" w:hAnsi="SimSun" w:eastAsia="SimSun" w:cs="SimSun"/>
          <w:sz w:val="19"/>
          <w:szCs w:val="19"/>
          <w:spacing w:val="8"/>
        </w:rPr>
        <w:t xml:space="preserve">  </w:t>
      </w:r>
      <w:r>
        <w:rPr>
          <w:rFonts w:ascii="SimSun" w:hAnsi="SimSun" w:eastAsia="SimSun" w:cs="SimSun"/>
          <w:sz w:val="19"/>
          <w:szCs w:val="19"/>
          <w:spacing w:val="9"/>
        </w:rPr>
        <w:t>管需要不断进行细分和完善。与此同时，某些超大型数字金融平台还</w:t>
      </w:r>
    </w:p>
    <w:p>
      <w:pPr>
        <w:spacing w:line="219" w:lineRule="auto"/>
        <w:rPr>
          <w:rFonts w:ascii="SimSun" w:hAnsi="SimSun" w:eastAsia="SimSun" w:cs="SimSun"/>
          <w:sz w:val="19"/>
          <w:szCs w:val="19"/>
        </w:rPr>
      </w:pPr>
      <w:r>
        <w:rPr>
          <w:rFonts w:ascii="SimSun" w:hAnsi="SimSun" w:eastAsia="SimSun" w:cs="SimSun"/>
          <w:sz w:val="19"/>
          <w:szCs w:val="19"/>
          <w:spacing w:val="6"/>
        </w:rPr>
        <w:t>可能存在影响市场秩序的行为。</w:t>
      </w:r>
    </w:p>
    <w:p>
      <w:pPr>
        <w:pStyle w:val="BodyText"/>
        <w:spacing w:line="433" w:lineRule="auto"/>
        <w:rPr/>
      </w:pPr>
      <w:r/>
    </w:p>
    <w:p>
      <w:pPr>
        <w:ind w:left="3"/>
        <w:spacing w:before="75" w:line="221" w:lineRule="auto"/>
        <w:rPr>
          <w:rFonts w:ascii="SimHei" w:hAnsi="SimHei" w:eastAsia="SimHei" w:cs="SimHei"/>
          <w:sz w:val="23"/>
          <w:szCs w:val="23"/>
        </w:rPr>
      </w:pPr>
      <w:r>
        <w:rPr>
          <w:rFonts w:ascii="SimHei" w:hAnsi="SimHei" w:eastAsia="SimHei" w:cs="SimHei"/>
          <w:sz w:val="23"/>
          <w:szCs w:val="23"/>
          <w:b/>
          <w:bCs/>
          <w:spacing w:val="7"/>
        </w:rPr>
        <w:t>大数据风控的有效性</w:t>
      </w:r>
    </w:p>
    <w:p>
      <w:pPr>
        <w:pStyle w:val="BodyText"/>
        <w:spacing w:line="352" w:lineRule="auto"/>
        <w:rPr/>
      </w:pPr>
      <w:r/>
    </w:p>
    <w:p>
      <w:pPr>
        <w:ind w:right="46" w:firstLine="440"/>
        <w:spacing w:before="62" w:line="350" w:lineRule="auto"/>
        <w:jc w:val="both"/>
        <w:rPr>
          <w:rFonts w:ascii="SimSun" w:hAnsi="SimSun" w:eastAsia="SimSun" w:cs="SimSun"/>
          <w:sz w:val="19"/>
          <w:szCs w:val="19"/>
        </w:rPr>
      </w:pPr>
      <w:r>
        <w:rPr>
          <w:rFonts w:ascii="SimSun" w:hAnsi="SimSun" w:eastAsia="SimSun" w:cs="SimSun"/>
          <w:sz w:val="19"/>
          <w:szCs w:val="19"/>
          <w:spacing w:val="9"/>
        </w:rPr>
        <w:t>新的数字技术手段的运用有效解决了风控难的问题。随着数字金</w:t>
      </w:r>
      <w:r>
        <w:rPr>
          <w:rFonts w:ascii="SimSun" w:hAnsi="SimSun" w:eastAsia="SimSun" w:cs="SimSun"/>
          <w:sz w:val="19"/>
          <w:szCs w:val="19"/>
          <w:spacing w:val="15"/>
        </w:rPr>
        <w:t xml:space="preserve"> </w:t>
      </w:r>
      <w:r>
        <w:rPr>
          <w:rFonts w:ascii="SimSun" w:hAnsi="SimSun" w:eastAsia="SimSun" w:cs="SimSun"/>
          <w:sz w:val="19"/>
          <w:szCs w:val="19"/>
          <w:spacing w:val="10"/>
        </w:rPr>
        <w:t>融平台的发展，金融风险集聚问题越发凸显，人们开始呼吁摒弃传统</w:t>
      </w:r>
      <w:r>
        <w:rPr>
          <w:rFonts w:ascii="SimSun" w:hAnsi="SimSun" w:eastAsia="SimSun" w:cs="SimSun"/>
          <w:sz w:val="19"/>
          <w:szCs w:val="19"/>
          <w:spacing w:val="7"/>
        </w:rPr>
        <w:t xml:space="preserve"> </w:t>
      </w:r>
      <w:r>
        <w:rPr>
          <w:rFonts w:ascii="SimSun" w:hAnsi="SimSun" w:eastAsia="SimSun" w:cs="SimSun"/>
          <w:sz w:val="19"/>
          <w:szCs w:val="19"/>
          <w:spacing w:val="9"/>
        </w:rPr>
        <w:t>风控模式，转而转向利用大数据建模、数据挖掘、数据征信等新技术</w:t>
      </w:r>
      <w:r>
        <w:rPr>
          <w:rFonts w:ascii="SimSun" w:hAnsi="SimSun" w:eastAsia="SimSun" w:cs="SimSun"/>
          <w:sz w:val="19"/>
          <w:szCs w:val="19"/>
          <w:spacing w:val="17"/>
        </w:rPr>
        <w:t xml:space="preserve"> </w:t>
      </w:r>
      <w:r>
        <w:rPr>
          <w:rFonts w:ascii="SimSun" w:hAnsi="SimSun" w:eastAsia="SimSun" w:cs="SimSun"/>
          <w:sz w:val="19"/>
          <w:szCs w:val="19"/>
          <w:spacing w:val="10"/>
        </w:rPr>
        <w:t>手段来解决风控问题。不同于传统风控依靠抵押物、</w:t>
      </w:r>
      <w:r>
        <w:rPr>
          <w:rFonts w:ascii="SimSun" w:hAnsi="SimSun" w:eastAsia="SimSun" w:cs="SimSun"/>
          <w:sz w:val="19"/>
          <w:szCs w:val="19"/>
          <w:spacing w:val="9"/>
        </w:rPr>
        <w:t>收入流水证明的</w:t>
      </w:r>
      <w:r>
        <w:rPr>
          <w:rFonts w:ascii="SimSun" w:hAnsi="SimSun" w:eastAsia="SimSun" w:cs="SimSun"/>
          <w:sz w:val="19"/>
          <w:szCs w:val="19"/>
        </w:rPr>
        <w:t xml:space="preserve"> </w:t>
      </w:r>
      <w:r>
        <w:rPr>
          <w:rFonts w:ascii="SimSun" w:hAnsi="SimSun" w:eastAsia="SimSun" w:cs="SimSun"/>
          <w:sz w:val="19"/>
          <w:szCs w:val="19"/>
          <w:spacing w:val="9"/>
        </w:rPr>
        <w:t>方式，大数据风控往往依赖平台累积的业务数据，通过系统调阅电子</w:t>
      </w:r>
      <w:r>
        <w:rPr>
          <w:rFonts w:ascii="SimSun" w:hAnsi="SimSun" w:eastAsia="SimSun" w:cs="SimSun"/>
          <w:sz w:val="19"/>
          <w:szCs w:val="19"/>
          <w:spacing w:val="17"/>
        </w:rPr>
        <w:t xml:space="preserve"> </w:t>
      </w:r>
      <w:r>
        <w:rPr>
          <w:rFonts w:ascii="SimSun" w:hAnsi="SimSun" w:eastAsia="SimSun" w:cs="SimSun"/>
          <w:sz w:val="19"/>
          <w:szCs w:val="19"/>
          <w:spacing w:val="9"/>
        </w:rPr>
        <w:t>化交易历史信息，完成信贷调查、用户信用评级、风险定价、审批决</w:t>
      </w:r>
      <w:r>
        <w:rPr>
          <w:rFonts w:ascii="SimSun" w:hAnsi="SimSun" w:eastAsia="SimSun" w:cs="SimSun"/>
          <w:sz w:val="19"/>
          <w:szCs w:val="19"/>
          <w:spacing w:val="16"/>
        </w:rPr>
        <w:t xml:space="preserve"> </w:t>
      </w:r>
      <w:r>
        <w:rPr>
          <w:rFonts w:ascii="SimSun" w:hAnsi="SimSun" w:eastAsia="SimSun" w:cs="SimSun"/>
          <w:sz w:val="19"/>
          <w:szCs w:val="19"/>
          <w:spacing w:val="10"/>
        </w:rPr>
        <w:t>策及放款审查等一系列信贷流程，这极大地降低了</w:t>
      </w:r>
      <w:r>
        <w:rPr>
          <w:rFonts w:ascii="SimSun" w:hAnsi="SimSun" w:eastAsia="SimSun" w:cs="SimSun"/>
          <w:sz w:val="19"/>
          <w:szCs w:val="19"/>
          <w:spacing w:val="9"/>
        </w:rPr>
        <w:t>中小微企业的融资</w:t>
      </w:r>
      <w:r>
        <w:rPr>
          <w:rFonts w:ascii="SimSun" w:hAnsi="SimSun" w:eastAsia="SimSun" w:cs="SimSun"/>
          <w:sz w:val="19"/>
          <w:szCs w:val="19"/>
        </w:rPr>
        <w:t xml:space="preserve"> </w:t>
      </w:r>
      <w:r>
        <w:rPr>
          <w:rFonts w:ascii="SimSun" w:hAnsi="SimSun" w:eastAsia="SimSun" w:cs="SimSun"/>
          <w:sz w:val="19"/>
          <w:szCs w:val="19"/>
          <w:spacing w:val="10"/>
        </w:rPr>
        <w:t>成本和信用评价难的问题。此外，数字技术的应用也打破了传统信贷</w:t>
      </w:r>
      <w:r>
        <w:rPr>
          <w:rFonts w:ascii="SimSun" w:hAnsi="SimSun" w:eastAsia="SimSun" w:cs="SimSun"/>
          <w:sz w:val="19"/>
          <w:szCs w:val="19"/>
          <w:spacing w:val="8"/>
        </w:rPr>
        <w:t xml:space="preserve"> </w:t>
      </w:r>
      <w:r>
        <w:rPr>
          <w:rFonts w:ascii="SimSun" w:hAnsi="SimSun" w:eastAsia="SimSun" w:cs="SimSun"/>
          <w:sz w:val="19"/>
          <w:szCs w:val="19"/>
          <w:spacing w:val="9"/>
        </w:rPr>
        <w:t>行业的地域限制，使金融资源能够在全国乃至全球得到优化配置，有</w:t>
      </w:r>
    </w:p>
    <w:p>
      <w:pPr>
        <w:spacing w:line="219" w:lineRule="auto"/>
        <w:rPr>
          <w:rFonts w:ascii="SimSun" w:hAnsi="SimSun" w:eastAsia="SimSun" w:cs="SimSun"/>
          <w:sz w:val="19"/>
          <w:szCs w:val="19"/>
        </w:rPr>
      </w:pPr>
      <w:r>
        <w:rPr>
          <w:rFonts w:ascii="SimSun" w:hAnsi="SimSun" w:eastAsia="SimSun" w:cs="SimSun"/>
          <w:sz w:val="19"/>
          <w:szCs w:val="19"/>
          <w:spacing w:val="8"/>
        </w:rPr>
        <w:t>效缓解了中小微企业融资难、融资贵的两难困境。</w:t>
      </w:r>
    </w:p>
    <w:p>
      <w:pPr>
        <w:ind w:right="46" w:firstLine="440"/>
        <w:spacing w:before="144" w:line="359" w:lineRule="auto"/>
        <w:jc w:val="both"/>
        <w:rPr>
          <w:rFonts w:ascii="SimSun" w:hAnsi="SimSun" w:eastAsia="SimSun" w:cs="SimSun"/>
          <w:sz w:val="19"/>
          <w:szCs w:val="19"/>
        </w:rPr>
      </w:pPr>
      <w:r>
        <w:rPr>
          <w:rFonts w:ascii="SimSun" w:hAnsi="SimSun" w:eastAsia="SimSun" w:cs="SimSun"/>
          <w:sz w:val="19"/>
          <w:szCs w:val="19"/>
          <w:spacing w:val="9"/>
        </w:rPr>
        <w:t>但大数据风控并不一定是有效的。大数据风控的一个失败例子就</w:t>
      </w:r>
      <w:r>
        <w:rPr>
          <w:rFonts w:ascii="SimSun" w:hAnsi="SimSun" w:eastAsia="SimSun" w:cs="SimSun"/>
          <w:sz w:val="19"/>
          <w:szCs w:val="19"/>
          <w:spacing w:val="15"/>
        </w:rPr>
        <w:t xml:space="preserve"> </w:t>
      </w:r>
      <w:r>
        <w:rPr>
          <w:rFonts w:ascii="SimSun" w:hAnsi="SimSun" w:eastAsia="SimSun" w:cs="SimSun"/>
          <w:sz w:val="19"/>
          <w:szCs w:val="19"/>
          <w:spacing w:val="8"/>
        </w:rPr>
        <w:t>是</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8"/>
        </w:rPr>
        <w:t>P2P,   </w:t>
      </w:r>
      <w:r>
        <w:rPr>
          <w:rFonts w:ascii="SimSun" w:hAnsi="SimSun" w:eastAsia="SimSun" w:cs="SimSun"/>
          <w:sz w:val="19"/>
          <w:szCs w:val="19"/>
          <w:spacing w:val="8"/>
        </w:rPr>
        <w:t>究其根源，这与</w:t>
      </w:r>
      <w:r>
        <w:rPr>
          <w:rFonts w:ascii="Times New Roman" w:hAnsi="Times New Roman" w:eastAsia="Times New Roman" w:cs="Times New Roman"/>
          <w:sz w:val="19"/>
          <w:szCs w:val="19"/>
          <w:spacing w:val="8"/>
        </w:rPr>
        <w:t>P2P</w:t>
      </w:r>
      <w:r>
        <w:rPr>
          <w:rFonts w:ascii="Times New Roman" w:hAnsi="Times New Roman" w:eastAsia="Times New Roman" w:cs="Times New Roman"/>
          <w:sz w:val="19"/>
          <w:szCs w:val="19"/>
          <w:spacing w:val="29"/>
          <w:w w:val="101"/>
        </w:rPr>
        <w:t xml:space="preserve"> </w:t>
      </w:r>
      <w:r>
        <w:rPr>
          <w:rFonts w:ascii="SimSun" w:hAnsi="SimSun" w:eastAsia="SimSun" w:cs="SimSun"/>
          <w:sz w:val="19"/>
          <w:szCs w:val="19"/>
          <w:spacing w:val="8"/>
        </w:rPr>
        <w:t>业务的本质逻辑密不可分。</w:t>
      </w:r>
      <w:r>
        <w:rPr>
          <w:rFonts w:ascii="Times New Roman" w:hAnsi="Times New Roman" w:eastAsia="Times New Roman" w:cs="Times New Roman"/>
          <w:sz w:val="19"/>
          <w:szCs w:val="19"/>
          <w:spacing w:val="8"/>
        </w:rPr>
        <w:t>P2P  </w:t>
      </w:r>
      <w:r>
        <w:rPr>
          <w:rFonts w:ascii="SimSun" w:hAnsi="SimSun" w:eastAsia="SimSun" w:cs="SimSun"/>
          <w:sz w:val="19"/>
          <w:szCs w:val="19"/>
          <w:spacing w:val="7"/>
        </w:rPr>
        <w:t>的理想</w:t>
      </w:r>
    </w:p>
    <w:p>
      <w:pPr>
        <w:spacing w:line="218" w:lineRule="auto"/>
        <w:rPr>
          <w:rFonts w:ascii="SimSun" w:hAnsi="SimSun" w:eastAsia="SimSun" w:cs="SimSun"/>
          <w:sz w:val="19"/>
          <w:szCs w:val="19"/>
        </w:rPr>
      </w:pPr>
      <w:r>
        <w:rPr>
          <w:rFonts w:ascii="SimSun" w:hAnsi="SimSun" w:eastAsia="SimSun" w:cs="SimSun"/>
          <w:sz w:val="19"/>
          <w:szCs w:val="19"/>
          <w:spacing w:val="9"/>
        </w:rPr>
        <w:t>模式是“个体和个体之间通过互联网平台实现直接借贷”。凭借健全</w:t>
      </w:r>
    </w:p>
    <w:p>
      <w:pPr>
        <w:spacing w:line="218" w:lineRule="auto"/>
        <w:sectPr>
          <w:headerReference w:type="default" r:id="rId269"/>
          <w:pgSz w:w="7330" w:h="12480"/>
          <w:pgMar w:top="527" w:right="494" w:bottom="400" w:left="759" w:header="365" w:footer="0" w:gutter="0"/>
        </w:sectPr>
        <w:rPr>
          <w:rFonts w:ascii="SimSun" w:hAnsi="SimSun" w:eastAsia="SimSun" w:cs="SimSun"/>
          <w:sz w:val="19"/>
          <w:szCs w:val="19"/>
        </w:rPr>
      </w:pP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right="61"/>
        <w:spacing w:before="69" w:line="308" w:lineRule="auto"/>
        <w:jc w:val="both"/>
        <w:rPr>
          <w:rFonts w:ascii="SimSun" w:hAnsi="SimSun" w:eastAsia="SimSun" w:cs="SimSun"/>
          <w:sz w:val="21"/>
          <w:szCs w:val="21"/>
        </w:rPr>
      </w:pPr>
      <w:r>
        <w:rPr>
          <w:rFonts w:ascii="SimSun" w:hAnsi="SimSun" w:eastAsia="SimSun" w:cs="SimSun"/>
          <w:sz w:val="21"/>
          <w:szCs w:val="21"/>
          <w:spacing w:val="-12"/>
        </w:rPr>
        <w:t>的征信体系以及成熟的信用评级机构， </w:t>
      </w:r>
      <w:r>
        <w:rPr>
          <w:rFonts w:ascii="Times New Roman" w:hAnsi="Times New Roman" w:eastAsia="Times New Roman" w:cs="Times New Roman"/>
          <w:sz w:val="21"/>
          <w:szCs w:val="21"/>
          <w:spacing w:val="-12"/>
        </w:rPr>
        <w:t>P2P </w:t>
      </w:r>
      <w:r>
        <w:rPr>
          <w:rFonts w:ascii="SimSun" w:hAnsi="SimSun" w:eastAsia="SimSun" w:cs="SimSun"/>
          <w:sz w:val="21"/>
          <w:szCs w:val="21"/>
          <w:spacing w:val="-12"/>
        </w:rPr>
        <w:t>成为一种基于互联网的陌</w:t>
      </w:r>
      <w:r>
        <w:rPr>
          <w:rFonts w:ascii="SimSun" w:hAnsi="SimSun" w:eastAsia="SimSun" w:cs="SimSun"/>
          <w:sz w:val="21"/>
          <w:szCs w:val="21"/>
          <w:spacing w:val="10"/>
        </w:rPr>
        <w:t xml:space="preserve"> </w:t>
      </w:r>
      <w:r>
        <w:rPr>
          <w:rFonts w:ascii="SimSun" w:hAnsi="SimSun" w:eastAsia="SimSun" w:cs="SimSun"/>
          <w:sz w:val="21"/>
          <w:szCs w:val="21"/>
          <w:spacing w:val="-1"/>
        </w:rPr>
        <w:t>生人借贷新模式。当</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P2P</w:t>
      </w:r>
      <w:r>
        <w:rPr>
          <w:rFonts w:ascii="SimSun" w:hAnsi="SimSun" w:eastAsia="SimSun" w:cs="SimSun"/>
          <w:sz w:val="21"/>
          <w:szCs w:val="21"/>
          <w:spacing w:val="-1"/>
        </w:rPr>
        <w:t>被引入中国后，由于</w:t>
      </w:r>
      <w:r>
        <w:rPr>
          <w:rFonts w:ascii="Times New Roman" w:hAnsi="Times New Roman" w:eastAsia="Times New Roman" w:cs="Times New Roman"/>
          <w:sz w:val="21"/>
          <w:szCs w:val="21"/>
          <w:spacing w:val="-1"/>
        </w:rPr>
        <w:t>P2P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覆盖人群还不能</w:t>
      </w:r>
      <w:r>
        <w:rPr>
          <w:rFonts w:ascii="SimSun" w:hAnsi="SimSun" w:eastAsia="SimSun" w:cs="SimSun"/>
          <w:sz w:val="21"/>
          <w:szCs w:val="21"/>
        </w:rPr>
        <w:t xml:space="preserve"> </w:t>
      </w:r>
      <w:r>
        <w:rPr>
          <w:rFonts w:ascii="SimSun" w:hAnsi="SimSun" w:eastAsia="SimSun" w:cs="SimSun"/>
          <w:sz w:val="21"/>
          <w:szCs w:val="21"/>
          <w:spacing w:val="-11"/>
        </w:rPr>
        <w:t>够形成类似电商平台的海量数据信息和大数据样本，因此并没有创建</w:t>
      </w:r>
      <w:r>
        <w:rPr>
          <w:rFonts w:ascii="SimSun" w:hAnsi="SimSun" w:eastAsia="SimSun" w:cs="SimSun"/>
          <w:sz w:val="21"/>
          <w:szCs w:val="21"/>
          <w:spacing w:val="17"/>
        </w:rPr>
        <w:t xml:space="preserve"> </w:t>
      </w:r>
      <w:r>
        <w:rPr>
          <w:rFonts w:ascii="SimSun" w:hAnsi="SimSun" w:eastAsia="SimSun" w:cs="SimSun"/>
          <w:sz w:val="21"/>
          <w:szCs w:val="21"/>
          <w:spacing w:val="-10"/>
        </w:rPr>
        <w:t>有效的信用评分模型和测算违约率的数据基础。受限于</w:t>
      </w:r>
      <w:r>
        <w:rPr>
          <w:rFonts w:ascii="SimSun" w:hAnsi="SimSun" w:eastAsia="SimSun" w:cs="SimSun"/>
          <w:sz w:val="21"/>
          <w:szCs w:val="21"/>
          <w:spacing w:val="-11"/>
        </w:rPr>
        <w:t>我国不完善的</w:t>
      </w:r>
      <w:r>
        <w:rPr>
          <w:rFonts w:ascii="SimSun" w:hAnsi="SimSun" w:eastAsia="SimSun" w:cs="SimSun"/>
          <w:sz w:val="21"/>
          <w:szCs w:val="21"/>
        </w:rPr>
        <w:t xml:space="preserve"> </w:t>
      </w:r>
      <w:r>
        <w:rPr>
          <w:rFonts w:ascii="SimSun" w:hAnsi="SimSun" w:eastAsia="SimSun" w:cs="SimSun"/>
          <w:sz w:val="21"/>
          <w:szCs w:val="21"/>
          <w:spacing w:val="-2"/>
        </w:rPr>
        <w:t>民间征信体系，大数据风控的弊端在</w:t>
      </w:r>
      <w:r>
        <w:rPr>
          <w:rFonts w:ascii="Times New Roman" w:hAnsi="Times New Roman" w:eastAsia="Times New Roman" w:cs="Times New Roman"/>
          <w:sz w:val="21"/>
          <w:szCs w:val="21"/>
          <w:spacing w:val="-2"/>
        </w:rPr>
        <w:t>P2P</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行业中不断凸显，风控在</w:t>
      </w:r>
      <w:r>
        <w:rPr>
          <w:rFonts w:ascii="SimSun" w:hAnsi="SimSun" w:eastAsia="SimSun" w:cs="SimSun"/>
          <w:sz w:val="21"/>
          <w:szCs w:val="21"/>
        </w:rPr>
        <w:t xml:space="preserve"> </w:t>
      </w:r>
      <w:r>
        <w:rPr>
          <w:rFonts w:ascii="SimSun" w:hAnsi="SimSun" w:eastAsia="SimSun" w:cs="SimSun"/>
          <w:sz w:val="21"/>
          <w:szCs w:val="21"/>
          <w:spacing w:val="-9"/>
        </w:rPr>
        <w:t>贷前和贷后两个阶段不断异化。</w:t>
      </w:r>
      <w:r>
        <w:rPr>
          <w:rFonts w:ascii="Times New Roman" w:hAnsi="Times New Roman" w:eastAsia="Times New Roman" w:cs="Times New Roman"/>
          <w:sz w:val="21"/>
          <w:szCs w:val="21"/>
          <w:spacing w:val="-9"/>
        </w:rPr>
        <w:t>P2P </w:t>
      </w:r>
      <w:r>
        <w:rPr>
          <w:rFonts w:ascii="SimSun" w:hAnsi="SimSun" w:eastAsia="SimSun" w:cs="SimSun"/>
          <w:sz w:val="21"/>
          <w:szCs w:val="21"/>
          <w:spacing w:val="-9"/>
        </w:rPr>
        <w:t>开始由英美的纯线上模式，异化</w:t>
      </w:r>
      <w:r>
        <w:rPr>
          <w:rFonts w:ascii="SimSun" w:hAnsi="SimSun" w:eastAsia="SimSun" w:cs="SimSun"/>
          <w:sz w:val="21"/>
          <w:szCs w:val="21"/>
          <w:spacing w:val="4"/>
        </w:rPr>
        <w:t xml:space="preserve"> </w:t>
      </w:r>
      <w:r>
        <w:rPr>
          <w:rFonts w:ascii="SimSun" w:hAnsi="SimSun" w:eastAsia="SimSun" w:cs="SimSun"/>
          <w:sz w:val="21"/>
          <w:szCs w:val="21"/>
          <w:spacing w:val="-10"/>
        </w:rPr>
        <w:t>为中国特有的“线上融资、线下风控”、贷前信用审核和</w:t>
      </w:r>
      <w:r>
        <w:rPr>
          <w:rFonts w:ascii="SimSun" w:hAnsi="SimSun" w:eastAsia="SimSun" w:cs="SimSun"/>
          <w:sz w:val="21"/>
          <w:szCs w:val="21"/>
          <w:spacing w:val="-11"/>
        </w:rPr>
        <w:t>贷后担保相</w:t>
      </w:r>
      <w:r>
        <w:rPr>
          <w:rFonts w:ascii="SimSun" w:hAnsi="SimSun" w:eastAsia="SimSun" w:cs="SimSun"/>
          <w:sz w:val="21"/>
          <w:szCs w:val="21"/>
        </w:rPr>
        <w:t xml:space="preserve"> </w:t>
      </w:r>
      <w:r>
        <w:rPr>
          <w:rFonts w:ascii="SimSun" w:hAnsi="SimSun" w:eastAsia="SimSun" w:cs="SimSun"/>
          <w:sz w:val="21"/>
          <w:szCs w:val="21"/>
          <w:spacing w:val="-10"/>
        </w:rPr>
        <w:t>结合的新模式。由于贷前信用审核比较依赖人工线</w:t>
      </w:r>
      <w:r>
        <w:rPr>
          <w:rFonts w:ascii="SimSun" w:hAnsi="SimSun" w:eastAsia="SimSun" w:cs="SimSun"/>
          <w:sz w:val="21"/>
          <w:szCs w:val="21"/>
          <w:spacing w:val="-11"/>
        </w:rPr>
        <w:t>下实施，存在线下</w:t>
      </w:r>
      <w:r>
        <w:rPr>
          <w:rFonts w:ascii="SimSun" w:hAnsi="SimSun" w:eastAsia="SimSun" w:cs="SimSun"/>
          <w:sz w:val="21"/>
          <w:szCs w:val="21"/>
        </w:rPr>
        <w:t xml:space="preserve"> </w:t>
      </w:r>
      <w:r>
        <w:rPr>
          <w:rFonts w:ascii="SimSun" w:hAnsi="SimSun" w:eastAsia="SimSun" w:cs="SimSun"/>
          <w:sz w:val="21"/>
          <w:szCs w:val="21"/>
          <w:spacing w:val="-11"/>
        </w:rPr>
        <w:t>人工信用审核过程中的道德风险和欺诈风险，因此虽然贷后引入了担</w:t>
      </w:r>
      <w:r>
        <w:rPr>
          <w:rFonts w:ascii="SimSun" w:hAnsi="SimSun" w:eastAsia="SimSun" w:cs="SimSun"/>
          <w:sz w:val="21"/>
          <w:szCs w:val="21"/>
          <w:spacing w:val="18"/>
        </w:rPr>
        <w:t xml:space="preserve"> </w:t>
      </w:r>
      <w:r>
        <w:rPr>
          <w:rFonts w:ascii="SimSun" w:hAnsi="SimSun" w:eastAsia="SimSun" w:cs="SimSun"/>
          <w:sz w:val="21"/>
          <w:szCs w:val="21"/>
          <w:spacing w:val="-10"/>
        </w:rPr>
        <w:t>保机构共担风险，但并未从业务本质上解决风控问题。所以，风控问</w:t>
      </w:r>
      <w:r>
        <w:rPr>
          <w:rFonts w:ascii="SimSun" w:hAnsi="SimSun" w:eastAsia="SimSun" w:cs="SimSun"/>
          <w:sz w:val="21"/>
          <w:szCs w:val="21"/>
          <w:spacing w:val="2"/>
        </w:rPr>
        <w:t xml:space="preserve"> </w:t>
      </w:r>
      <w:r>
        <w:rPr>
          <w:rFonts w:ascii="SimSun" w:hAnsi="SimSun" w:eastAsia="SimSun" w:cs="SimSun"/>
          <w:sz w:val="21"/>
          <w:szCs w:val="21"/>
          <w:spacing w:val="-7"/>
        </w:rPr>
        <w:t>题一直是</w:t>
      </w:r>
      <w:r>
        <w:rPr>
          <w:rFonts w:ascii="Times New Roman" w:hAnsi="Times New Roman" w:eastAsia="Times New Roman" w:cs="Times New Roman"/>
          <w:sz w:val="21"/>
          <w:szCs w:val="21"/>
          <w:spacing w:val="-7"/>
        </w:rPr>
        <w:t>P2P</w:t>
      </w:r>
      <w:r>
        <w:rPr>
          <w:rFonts w:ascii="SimSun" w:hAnsi="SimSun" w:eastAsia="SimSun" w:cs="SimSun"/>
          <w:sz w:val="21"/>
          <w:szCs w:val="21"/>
          <w:spacing w:val="-7"/>
        </w:rPr>
        <w:t>行业中国本土化发展过程中不可逾越的巨大障碍。</w:t>
      </w:r>
    </w:p>
    <w:p>
      <w:pPr>
        <w:pStyle w:val="BodyText"/>
        <w:spacing w:line="394"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4"/>
        </w:rPr>
        <w:t>系统性金融风险</w:t>
      </w:r>
    </w:p>
    <w:p>
      <w:pPr>
        <w:pStyle w:val="BodyText"/>
        <w:spacing w:line="337" w:lineRule="auto"/>
        <w:rPr/>
      </w:pPr>
      <w:r/>
    </w:p>
    <w:p>
      <w:pPr>
        <w:ind w:firstLine="420"/>
        <w:spacing w:before="68" w:line="309" w:lineRule="auto"/>
        <w:jc w:val="both"/>
        <w:rPr>
          <w:rFonts w:ascii="SimSun" w:hAnsi="SimSun" w:eastAsia="SimSun" w:cs="SimSun"/>
          <w:sz w:val="21"/>
          <w:szCs w:val="21"/>
        </w:rPr>
      </w:pPr>
      <w:r>
        <w:rPr>
          <w:rFonts w:ascii="SimSun" w:hAnsi="SimSun" w:eastAsia="SimSun" w:cs="SimSun"/>
          <w:sz w:val="21"/>
          <w:szCs w:val="21"/>
          <w:spacing w:val="-10"/>
        </w:rPr>
        <w:t>数字金融平台在移动支付、征信等领域存在较强的风险溢</w:t>
      </w:r>
      <w:r>
        <w:rPr>
          <w:rFonts w:ascii="SimSun" w:hAnsi="SimSun" w:eastAsia="SimSun" w:cs="SimSun"/>
          <w:sz w:val="21"/>
          <w:szCs w:val="21"/>
          <w:spacing w:val="-11"/>
        </w:rPr>
        <w:t>出效应</w:t>
      </w:r>
      <w:r>
        <w:rPr>
          <w:rFonts w:ascii="SimSun" w:hAnsi="SimSun" w:eastAsia="SimSun" w:cs="SimSun"/>
          <w:sz w:val="21"/>
          <w:szCs w:val="21"/>
        </w:rPr>
        <w:t xml:space="preserve"> </w:t>
      </w:r>
      <w:r>
        <w:rPr>
          <w:rFonts w:ascii="SimSun" w:hAnsi="SimSun" w:eastAsia="SimSun" w:cs="SimSun"/>
          <w:sz w:val="21"/>
          <w:szCs w:val="21"/>
          <w:spacing w:val="-10"/>
        </w:rPr>
        <w:t>及稳定性问题。数字金融平台的高业务量和广</w:t>
      </w:r>
      <w:r>
        <w:rPr>
          <w:rFonts w:ascii="SimSun" w:hAnsi="SimSun" w:eastAsia="SimSun" w:cs="SimSun"/>
          <w:sz w:val="21"/>
          <w:szCs w:val="21"/>
          <w:spacing w:val="-11"/>
        </w:rPr>
        <w:t>泛关联性，使得其自身 </w:t>
      </w:r>
      <w:r>
        <w:rPr>
          <w:rFonts w:ascii="SimSun" w:hAnsi="SimSun" w:eastAsia="SimSun" w:cs="SimSun"/>
          <w:sz w:val="21"/>
          <w:szCs w:val="21"/>
          <w:spacing w:val="-10"/>
        </w:rPr>
        <w:t>成为重要金融机构的同时，也具有很强的风险</w:t>
      </w:r>
      <w:r>
        <w:rPr>
          <w:rFonts w:ascii="SimSun" w:hAnsi="SimSun" w:eastAsia="SimSun" w:cs="SimSun"/>
          <w:sz w:val="21"/>
          <w:szCs w:val="21"/>
          <w:spacing w:val="-11"/>
        </w:rPr>
        <w:t>溢出效应，所以对其监 </w:t>
      </w:r>
      <w:r>
        <w:rPr>
          <w:rFonts w:ascii="SimSun" w:hAnsi="SimSun" w:eastAsia="SimSun" w:cs="SimSun"/>
          <w:sz w:val="21"/>
          <w:szCs w:val="21"/>
          <w:spacing w:val="-10"/>
        </w:rPr>
        <w:t>管要参照系统重要性金融机构来进行。这是因</w:t>
      </w:r>
      <w:r>
        <w:rPr>
          <w:rFonts w:ascii="SimSun" w:hAnsi="SimSun" w:eastAsia="SimSun" w:cs="SimSun"/>
          <w:sz w:val="21"/>
          <w:szCs w:val="21"/>
          <w:spacing w:val="-11"/>
        </w:rPr>
        <w:t>为经济运行如果存在过 </w:t>
      </w:r>
      <w:r>
        <w:rPr>
          <w:rFonts w:ascii="SimSun" w:hAnsi="SimSun" w:eastAsia="SimSun" w:cs="SimSun"/>
          <w:sz w:val="21"/>
          <w:szCs w:val="21"/>
          <w:spacing w:val="-10"/>
        </w:rPr>
        <w:t>高的杠杆率，就容易导致系统性风险。未来如</w:t>
      </w:r>
      <w:r>
        <w:rPr>
          <w:rFonts w:ascii="SimSun" w:hAnsi="SimSun" w:eastAsia="SimSun" w:cs="SimSun"/>
          <w:sz w:val="21"/>
          <w:szCs w:val="21"/>
          <w:spacing w:val="-11"/>
        </w:rPr>
        <w:t>何设置互联网金融控股 </w:t>
      </w:r>
      <w:r>
        <w:rPr>
          <w:rFonts w:ascii="SimSun" w:hAnsi="SimSun" w:eastAsia="SimSun" w:cs="SimSun"/>
          <w:sz w:val="21"/>
          <w:szCs w:val="21"/>
          <w:spacing w:val="-10"/>
        </w:rPr>
        <w:t>公司的监管体系、防范系统性金融风险，是金</w:t>
      </w:r>
      <w:r>
        <w:rPr>
          <w:rFonts w:ascii="SimSun" w:hAnsi="SimSun" w:eastAsia="SimSun" w:cs="SimSun"/>
          <w:sz w:val="21"/>
          <w:szCs w:val="21"/>
          <w:spacing w:val="-11"/>
        </w:rPr>
        <w:t>融监管需要迫切讨论的 </w:t>
      </w:r>
      <w:r>
        <w:rPr>
          <w:rFonts w:ascii="SimSun" w:hAnsi="SimSun" w:eastAsia="SimSun" w:cs="SimSun"/>
          <w:sz w:val="21"/>
          <w:szCs w:val="21"/>
          <w:spacing w:val="-13"/>
        </w:rPr>
        <w:t>问题。</w:t>
      </w:r>
      <w:r>
        <w:rPr>
          <w:rFonts w:ascii="SimSun" w:hAnsi="SimSun" w:eastAsia="SimSun" w:cs="SimSun"/>
          <w:sz w:val="21"/>
          <w:szCs w:val="21"/>
          <w:spacing w:val="-23"/>
        </w:rPr>
        <w:t xml:space="preserve"> </w:t>
      </w:r>
      <w:r>
        <w:rPr>
          <w:rFonts w:ascii="SimSun" w:hAnsi="SimSun" w:eastAsia="SimSun" w:cs="SimSun"/>
          <w:sz w:val="21"/>
          <w:szCs w:val="21"/>
          <w:spacing w:val="-13"/>
        </w:rPr>
        <w:t>一些消费信贷机构没有很好地履行必要的风控责任，无序扩张 </w:t>
      </w:r>
      <w:r>
        <w:rPr>
          <w:rFonts w:ascii="SimSun" w:hAnsi="SimSun" w:eastAsia="SimSun" w:cs="SimSun"/>
          <w:sz w:val="21"/>
          <w:szCs w:val="21"/>
          <w:spacing w:val="-10"/>
        </w:rPr>
        <w:t>业务，诸如现金贷中的“校园贷”、按揭贷中</w:t>
      </w:r>
      <w:r>
        <w:rPr>
          <w:rFonts w:ascii="SimSun" w:hAnsi="SimSun" w:eastAsia="SimSun" w:cs="SimSun"/>
          <w:sz w:val="21"/>
          <w:szCs w:val="21"/>
          <w:spacing w:val="-11"/>
        </w:rPr>
        <w:t>的“零首付”等，大大 </w:t>
      </w:r>
      <w:r>
        <w:rPr>
          <w:rFonts w:ascii="SimSun" w:hAnsi="SimSun" w:eastAsia="SimSun" w:cs="SimSun"/>
          <w:sz w:val="21"/>
          <w:szCs w:val="21"/>
          <w:spacing w:val="-15"/>
        </w:rPr>
        <w:t>提高了家户杠杆率，放大了金融风险。</w:t>
      </w:r>
      <w:r>
        <w:rPr>
          <w:rFonts w:ascii="SimSun" w:hAnsi="SimSun" w:eastAsia="SimSun" w:cs="SimSun"/>
          <w:sz w:val="21"/>
          <w:szCs w:val="21"/>
          <w:spacing w:val="39"/>
        </w:rPr>
        <w:t xml:space="preserve"> </w:t>
      </w:r>
      <w:r>
        <w:rPr>
          <w:rFonts w:ascii="SimSun" w:hAnsi="SimSun" w:eastAsia="SimSun" w:cs="SimSun"/>
          <w:sz w:val="21"/>
          <w:szCs w:val="21"/>
          <w:spacing w:val="-15"/>
        </w:rPr>
        <w:t>一些科技平台在个别细分业务 </w:t>
      </w:r>
      <w:r>
        <w:rPr>
          <w:rFonts w:ascii="SimSun" w:hAnsi="SimSun" w:eastAsia="SimSun" w:cs="SimSun"/>
          <w:sz w:val="21"/>
          <w:szCs w:val="21"/>
          <w:spacing w:val="-8"/>
        </w:rPr>
        <w:t>诸如移动支付的市场份额非常高，同时还横跨许多不同的金融业务，</w:t>
      </w:r>
      <w:r>
        <w:rPr>
          <w:rFonts w:ascii="SimSun" w:hAnsi="SimSun" w:eastAsia="SimSun" w:cs="SimSun"/>
          <w:sz w:val="21"/>
          <w:szCs w:val="21"/>
          <w:spacing w:val="4"/>
        </w:rPr>
        <w:t xml:space="preserve"> </w:t>
      </w:r>
      <w:r>
        <w:rPr>
          <w:rFonts w:ascii="SimSun" w:hAnsi="SimSun" w:eastAsia="SimSun" w:cs="SimSun"/>
          <w:sz w:val="21"/>
          <w:szCs w:val="21"/>
          <w:spacing w:val="-10"/>
        </w:rPr>
        <w:t>这既引发了监管部门对其市场垄断的担忧，也</w:t>
      </w:r>
      <w:r>
        <w:rPr>
          <w:rFonts w:ascii="SimSun" w:hAnsi="SimSun" w:eastAsia="SimSun" w:cs="SimSun"/>
          <w:sz w:val="21"/>
          <w:szCs w:val="21"/>
          <w:spacing w:val="-11"/>
        </w:rPr>
        <w:t>引起了监管部门对系统 </w:t>
      </w:r>
      <w:r>
        <w:rPr>
          <w:rFonts w:ascii="SimSun" w:hAnsi="SimSun" w:eastAsia="SimSun" w:cs="SimSun"/>
          <w:sz w:val="21"/>
          <w:szCs w:val="21"/>
          <w:spacing w:val="-13"/>
        </w:rPr>
        <w:t>性金融风险的关注。</w:t>
      </w:r>
    </w:p>
    <w:p>
      <w:pPr>
        <w:spacing w:line="309" w:lineRule="auto"/>
        <w:sectPr>
          <w:headerReference w:type="default" r:id="rId270"/>
          <w:pgSz w:w="7330" w:h="12480"/>
          <w:pgMar w:top="855" w:right="914" w:bottom="400" w:left="350" w:header="693" w:footer="0" w:gutter="0"/>
        </w:sectPr>
        <w:rPr>
          <w:rFonts w:ascii="SimSun" w:hAnsi="SimSun" w:eastAsia="SimSun" w:cs="SimSun"/>
          <w:sz w:val="21"/>
          <w:szCs w:val="21"/>
        </w:rPr>
      </w:pPr>
    </w:p>
    <w:p>
      <w:pPr>
        <w:pStyle w:val="BodyText"/>
        <w:spacing w:line="260" w:lineRule="auto"/>
        <w:rPr/>
      </w:pPr>
      <w:r>
        <w:drawing>
          <wp:anchor distT="0" distB="0" distL="0" distR="0" simplePos="0" relativeHeight="253997056" behindDoc="0" locked="0" layoutInCell="0" allowOverlap="1">
            <wp:simplePos x="0" y="0"/>
            <wp:positionH relativeFrom="page">
              <wp:posOffset>527034</wp:posOffset>
            </wp:positionH>
            <wp:positionV relativeFrom="page">
              <wp:posOffset>6705569</wp:posOffset>
            </wp:positionV>
            <wp:extent cx="1174761" cy="6418"/>
            <wp:effectExtent l="0" t="0" r="0" b="0"/>
            <wp:wrapNone/>
            <wp:docPr id="202" name="IM 202"/>
            <wp:cNvGraphicFramePr/>
            <a:graphic>
              <a:graphicData uri="http://schemas.openxmlformats.org/drawingml/2006/picture">
                <pic:pic>
                  <pic:nvPicPr>
                    <pic:cNvPr id="202" name="IM 202"/>
                    <pic:cNvPicPr/>
                  </pic:nvPicPr>
                  <pic:blipFill>
                    <a:blip r:embed="rId272"/>
                    <a:stretch>
                      <a:fillRect/>
                    </a:stretch>
                  </pic:blipFill>
                  <pic:spPr>
                    <a:xfrm rot="0">
                      <a:off x="0" y="0"/>
                      <a:ext cx="1174761" cy="6418"/>
                    </a:xfrm>
                    <a:prstGeom prst="rect">
                      <a:avLst/>
                    </a:prstGeom>
                  </pic:spPr>
                </pic:pic>
              </a:graphicData>
            </a:graphic>
          </wp:anchor>
        </w:drawing>
      </w:r>
      <w:r/>
    </w:p>
    <w:p>
      <w:pPr>
        <w:pStyle w:val="BodyText"/>
        <w:spacing w:line="260" w:lineRule="auto"/>
        <w:rPr/>
      </w:pPr>
      <w:r/>
    </w:p>
    <w:p>
      <w:pPr>
        <w:pStyle w:val="BodyText"/>
        <w:spacing w:line="260" w:lineRule="auto"/>
        <w:rPr/>
      </w:pPr>
      <w:r/>
    </w:p>
    <w:p>
      <w:pPr>
        <w:pStyle w:val="BodyText"/>
        <w:spacing w:line="260"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5"/>
        </w:rPr>
        <w:t>金融消费者的权益保护</w:t>
      </w:r>
    </w:p>
    <w:p>
      <w:pPr>
        <w:pStyle w:val="BodyText"/>
        <w:spacing w:line="346" w:lineRule="auto"/>
        <w:rPr/>
      </w:pPr>
      <w:r/>
    </w:p>
    <w:p>
      <w:pPr>
        <w:ind w:firstLine="449"/>
        <w:spacing w:before="69" w:line="308" w:lineRule="auto"/>
        <w:jc w:val="both"/>
        <w:rPr>
          <w:rFonts w:ascii="SimSun" w:hAnsi="SimSun" w:eastAsia="SimSun" w:cs="SimSun"/>
          <w:sz w:val="21"/>
          <w:szCs w:val="21"/>
        </w:rPr>
      </w:pPr>
      <w:r>
        <w:rPr>
          <w:rFonts w:ascii="SimSun" w:hAnsi="SimSun" w:eastAsia="SimSun" w:cs="SimSun"/>
          <w:sz w:val="21"/>
          <w:szCs w:val="21"/>
          <w:spacing w:val="-16"/>
        </w:rPr>
        <w:t>对金融消费者权益的保护主要体现在两个方面，</w:t>
      </w:r>
      <w:r>
        <w:rPr>
          <w:rFonts w:ascii="SimSun" w:hAnsi="SimSun" w:eastAsia="SimSun" w:cs="SimSun"/>
          <w:sz w:val="21"/>
          <w:szCs w:val="21"/>
          <w:spacing w:val="50"/>
        </w:rPr>
        <w:t xml:space="preserve"> </w:t>
      </w:r>
      <w:r>
        <w:rPr>
          <w:rFonts w:ascii="SimSun" w:hAnsi="SimSun" w:eastAsia="SimSun" w:cs="SimSun"/>
          <w:sz w:val="21"/>
          <w:szCs w:val="21"/>
          <w:spacing w:val="-17"/>
        </w:rPr>
        <w:t>一个是避免过度</w:t>
      </w:r>
      <w:r>
        <w:rPr>
          <w:rFonts w:ascii="SimSun" w:hAnsi="SimSun" w:eastAsia="SimSun" w:cs="SimSun"/>
          <w:sz w:val="21"/>
          <w:szCs w:val="21"/>
        </w:rPr>
        <w:t xml:space="preserve"> </w:t>
      </w:r>
      <w:r>
        <w:rPr>
          <w:rFonts w:ascii="SimSun" w:hAnsi="SimSun" w:eastAsia="SimSun" w:cs="SimSun"/>
          <w:sz w:val="21"/>
          <w:szCs w:val="21"/>
          <w:spacing w:val="-11"/>
        </w:rPr>
        <w:t>负债，另一个是倡导投资者适当性。金融科技要从促进社会信用体系</w:t>
      </w:r>
      <w:r>
        <w:rPr>
          <w:rFonts w:ascii="SimSun" w:hAnsi="SimSun" w:eastAsia="SimSun" w:cs="SimSun"/>
          <w:sz w:val="21"/>
          <w:szCs w:val="21"/>
          <w:spacing w:val="8"/>
        </w:rPr>
        <w:t xml:space="preserve">  </w:t>
      </w:r>
      <w:r>
        <w:rPr>
          <w:rFonts w:ascii="SimSun" w:hAnsi="SimSun" w:eastAsia="SimSun" w:cs="SimSun"/>
          <w:sz w:val="21"/>
          <w:szCs w:val="21"/>
          <w:spacing w:val="-11"/>
        </w:rPr>
        <w:t>建设的角度出发，运用更多金融工具挖掘商业价值，用更高的颗粒度</w:t>
      </w:r>
      <w:r>
        <w:rPr>
          <w:rFonts w:ascii="SimSun" w:hAnsi="SimSun" w:eastAsia="SimSun" w:cs="SimSun"/>
          <w:sz w:val="21"/>
          <w:szCs w:val="21"/>
          <w:spacing w:val="5"/>
        </w:rPr>
        <w:t xml:space="preserve">  </w:t>
      </w:r>
      <w:r>
        <w:rPr>
          <w:rFonts w:ascii="SimSun" w:hAnsi="SimSun" w:eastAsia="SimSun" w:cs="SimSun"/>
          <w:sz w:val="21"/>
          <w:szCs w:val="21"/>
          <w:spacing w:val="-11"/>
        </w:rPr>
        <w:t>画像进行信用等级评估，创造更便利的信用场景，为消费者提供金融</w:t>
      </w:r>
      <w:r>
        <w:rPr>
          <w:rFonts w:ascii="SimSun" w:hAnsi="SimSun" w:eastAsia="SimSun" w:cs="SimSun"/>
          <w:sz w:val="21"/>
          <w:szCs w:val="21"/>
          <w:spacing w:val="4"/>
        </w:rPr>
        <w:t xml:space="preserve">  </w:t>
      </w:r>
      <w:r>
        <w:rPr>
          <w:rFonts w:ascii="SimSun" w:hAnsi="SimSun" w:eastAsia="SimSun" w:cs="SimSun"/>
          <w:sz w:val="21"/>
          <w:szCs w:val="21"/>
          <w:spacing w:val="-11"/>
        </w:rPr>
        <w:t>服务。在此过程中，应注意避免诱使数字金融平台放贷过于宽松和便</w:t>
      </w:r>
      <w:r>
        <w:rPr>
          <w:rFonts w:ascii="SimSun" w:hAnsi="SimSun" w:eastAsia="SimSun" w:cs="SimSun"/>
          <w:sz w:val="21"/>
          <w:szCs w:val="21"/>
          <w:spacing w:val="4"/>
        </w:rPr>
        <w:t xml:space="preserve">  </w:t>
      </w:r>
      <w:r>
        <w:rPr>
          <w:rFonts w:ascii="SimSun" w:hAnsi="SimSun" w:eastAsia="SimSun" w:cs="SimSun"/>
          <w:sz w:val="21"/>
          <w:szCs w:val="21"/>
          <w:spacing w:val="-11"/>
        </w:rPr>
        <w:t>捷，使得消费者产生过度负债进而陷入“债务陷阱”的可能。与此同</w:t>
      </w:r>
      <w:r>
        <w:rPr>
          <w:rFonts w:ascii="SimSun" w:hAnsi="SimSun" w:eastAsia="SimSun" w:cs="SimSun"/>
          <w:sz w:val="21"/>
          <w:szCs w:val="21"/>
          <w:spacing w:val="8"/>
        </w:rPr>
        <w:t xml:space="preserve">  </w:t>
      </w:r>
      <w:r>
        <w:rPr>
          <w:rFonts w:ascii="SimSun" w:hAnsi="SimSun" w:eastAsia="SimSun" w:cs="SimSun"/>
          <w:sz w:val="21"/>
          <w:szCs w:val="21"/>
          <w:spacing w:val="-11"/>
        </w:rPr>
        <w:t>时，过度负债也会累积社会金融风险，为金融机构带来债务无法回收</w:t>
      </w:r>
      <w:r>
        <w:rPr>
          <w:rFonts w:ascii="SimSun" w:hAnsi="SimSun" w:eastAsia="SimSun" w:cs="SimSun"/>
          <w:sz w:val="21"/>
          <w:szCs w:val="21"/>
          <w:spacing w:val="3"/>
        </w:rPr>
        <w:t xml:space="preserve">  </w:t>
      </w:r>
      <w:r>
        <w:rPr>
          <w:rFonts w:ascii="SimSun" w:hAnsi="SimSun" w:eastAsia="SimSun" w:cs="SimSun"/>
          <w:sz w:val="21"/>
          <w:szCs w:val="21"/>
          <w:spacing w:val="-4"/>
        </w:rPr>
        <w:t>或损失的风险。目前，中国居民负债率屡创新高，据央行2020年上</w:t>
      </w:r>
      <w:r>
        <w:rPr>
          <w:rFonts w:ascii="SimSun" w:hAnsi="SimSun" w:eastAsia="SimSun" w:cs="SimSun"/>
          <w:sz w:val="21"/>
          <w:szCs w:val="21"/>
          <w:spacing w:val="5"/>
        </w:rPr>
        <w:t xml:space="preserve">  </w:t>
      </w:r>
      <w:r>
        <w:rPr>
          <w:rFonts w:ascii="SimSun" w:hAnsi="SimSun" w:eastAsia="SimSun" w:cs="SimSun"/>
          <w:sz w:val="21"/>
          <w:szCs w:val="21"/>
          <w:spacing w:val="3"/>
        </w:rPr>
        <w:t>半年统计，中国居民负债率近59%,人均负债4万元。关</w:t>
      </w:r>
      <w:r>
        <w:rPr>
          <w:rFonts w:ascii="SimSun" w:hAnsi="SimSun" w:eastAsia="SimSun" w:cs="SimSun"/>
          <w:sz w:val="21"/>
          <w:szCs w:val="21"/>
          <w:spacing w:val="2"/>
        </w:rPr>
        <w:t>于该问题，</w:t>
      </w:r>
      <w:r>
        <w:rPr>
          <w:rFonts w:ascii="SimSun" w:hAnsi="SimSun" w:eastAsia="SimSun" w:cs="SimSun"/>
          <w:sz w:val="21"/>
          <w:szCs w:val="21"/>
        </w:rPr>
        <w:t xml:space="preserve"> </w:t>
      </w:r>
      <w:r>
        <w:rPr>
          <w:rFonts w:ascii="Times New Roman" w:hAnsi="Times New Roman" w:eastAsia="Times New Roman" w:cs="Times New Roman"/>
          <w:sz w:val="21"/>
          <w:szCs w:val="21"/>
          <w:spacing w:val="-4"/>
        </w:rPr>
        <w:t>2021</w:t>
      </w:r>
      <w:r>
        <w:rPr>
          <w:rFonts w:ascii="SimSun" w:hAnsi="SimSun" w:eastAsia="SimSun" w:cs="SimSun"/>
          <w:sz w:val="21"/>
          <w:szCs w:val="21"/>
          <w:spacing w:val="-4"/>
        </w:rPr>
        <w:t>年央行工作会议已明确表明，严禁金融产品过度营销，诱导过</w:t>
      </w:r>
      <w:r>
        <w:rPr>
          <w:rFonts w:ascii="SimSun" w:hAnsi="SimSun" w:eastAsia="SimSun" w:cs="SimSun"/>
          <w:sz w:val="21"/>
          <w:szCs w:val="21"/>
          <w:spacing w:val="5"/>
        </w:rPr>
        <w:t xml:space="preserve">  </w:t>
      </w:r>
      <w:r>
        <w:rPr>
          <w:rFonts w:ascii="SimSun" w:hAnsi="SimSun" w:eastAsia="SimSun" w:cs="SimSun"/>
          <w:sz w:val="21"/>
          <w:szCs w:val="21"/>
          <w:spacing w:val="-8"/>
        </w:rPr>
        <w:t>度负债。</w:t>
      </w:r>
    </w:p>
    <w:p>
      <w:pPr>
        <w:ind w:right="23" w:firstLine="469"/>
        <w:spacing w:before="104" w:line="308" w:lineRule="auto"/>
        <w:jc w:val="both"/>
        <w:rPr>
          <w:rFonts w:ascii="SimSun" w:hAnsi="SimSun" w:eastAsia="SimSun" w:cs="SimSun"/>
          <w:sz w:val="21"/>
          <w:szCs w:val="21"/>
        </w:rPr>
      </w:pPr>
      <w:r>
        <w:rPr>
          <w:rFonts w:ascii="SimSun" w:hAnsi="SimSun" w:eastAsia="SimSun" w:cs="SimSun"/>
          <w:sz w:val="21"/>
          <w:szCs w:val="21"/>
          <w:spacing w:val="-11"/>
        </w:rPr>
        <w:t>金融消费者权益保护也应该体现在倡导投资者适当性方面。国家</w:t>
      </w:r>
      <w:r>
        <w:rPr>
          <w:rFonts w:ascii="SimSun" w:hAnsi="SimSun" w:eastAsia="SimSun" w:cs="SimSun"/>
          <w:sz w:val="21"/>
          <w:szCs w:val="21"/>
          <w:spacing w:val="8"/>
        </w:rPr>
        <w:t xml:space="preserve"> </w:t>
      </w:r>
      <w:r>
        <w:rPr>
          <w:rFonts w:ascii="SimSun" w:hAnsi="SimSun" w:eastAsia="SimSun" w:cs="SimSun"/>
          <w:sz w:val="21"/>
          <w:szCs w:val="21"/>
          <w:spacing w:val="-8"/>
        </w:rPr>
        <w:t>十部委曾联合发布《关于促进互联网金融健康发展的指导意见》,要 </w:t>
      </w:r>
      <w:r>
        <w:rPr>
          <w:rFonts w:ascii="SimSun" w:hAnsi="SimSun" w:eastAsia="SimSun" w:cs="SimSun"/>
          <w:sz w:val="21"/>
          <w:szCs w:val="21"/>
          <w:spacing w:val="-11"/>
        </w:rPr>
        <w:t>求从业机构“要研究建立互联网金融的合格投资者制度，提升投资者 </w:t>
      </w:r>
      <w:r>
        <w:rPr>
          <w:rFonts w:ascii="SimSun" w:hAnsi="SimSun" w:eastAsia="SimSun" w:cs="SimSun"/>
          <w:sz w:val="21"/>
          <w:szCs w:val="21"/>
          <w:spacing w:val="-13"/>
        </w:rPr>
        <w:t>保护水平”,“审慎甄别客户身份和评估客户风险承受能力，不能将产</w:t>
      </w:r>
      <w:r>
        <w:rPr>
          <w:rFonts w:ascii="SimSun" w:hAnsi="SimSun" w:eastAsia="SimSun" w:cs="SimSun"/>
          <w:sz w:val="21"/>
          <w:szCs w:val="21"/>
        </w:rPr>
        <w:t xml:space="preserve"> </w:t>
      </w:r>
      <w:r>
        <w:rPr>
          <w:rFonts w:ascii="SimSun" w:hAnsi="SimSun" w:eastAsia="SimSun" w:cs="SimSun"/>
          <w:sz w:val="21"/>
          <w:szCs w:val="21"/>
          <w:spacing w:val="-11"/>
        </w:rPr>
        <w:t>品销售给与风险承受能力不相匹配的客户”。但目前金融科技产品市 </w:t>
      </w:r>
      <w:r>
        <w:rPr>
          <w:rFonts w:ascii="SimSun" w:hAnsi="SimSun" w:eastAsia="SimSun" w:cs="SimSun"/>
          <w:sz w:val="21"/>
          <w:szCs w:val="21"/>
          <w:spacing w:val="-10"/>
        </w:rPr>
        <w:t>场上仍存在一些问题，如了解客户适当性义</w:t>
      </w:r>
      <w:r>
        <w:rPr>
          <w:rFonts w:ascii="SimSun" w:hAnsi="SimSun" w:eastAsia="SimSun" w:cs="SimSun"/>
          <w:sz w:val="21"/>
          <w:szCs w:val="21"/>
          <w:spacing w:val="-11"/>
        </w:rPr>
        <w:t>务履行不充分，金融产品</w:t>
      </w:r>
      <w:r>
        <w:rPr>
          <w:rFonts w:ascii="SimSun" w:hAnsi="SimSun" w:eastAsia="SimSun" w:cs="SimSun"/>
          <w:sz w:val="21"/>
          <w:szCs w:val="21"/>
        </w:rPr>
        <w:t xml:space="preserve"> </w:t>
      </w:r>
      <w:r>
        <w:rPr>
          <w:rFonts w:ascii="SimSun" w:hAnsi="SimSun" w:eastAsia="SimSun" w:cs="SimSun"/>
          <w:sz w:val="21"/>
          <w:szCs w:val="21"/>
          <w:spacing w:val="-11"/>
        </w:rPr>
        <w:t>复杂化导致的告知产品详情的义务履行不充分，适当推介给客户的义 </w:t>
      </w:r>
      <w:r>
        <w:rPr>
          <w:rFonts w:ascii="SimSun" w:hAnsi="SimSun" w:eastAsia="SimSun" w:cs="SimSun"/>
          <w:sz w:val="21"/>
          <w:szCs w:val="21"/>
          <w:spacing w:val="-11"/>
        </w:rPr>
        <w:t>务履行不充分，告知客户或说明金融风险等级和收益的义务履行不充 </w:t>
      </w:r>
      <w:r>
        <w:rPr>
          <w:rFonts w:ascii="SimSun" w:hAnsi="SimSun" w:eastAsia="SimSun" w:cs="SimSun"/>
          <w:sz w:val="21"/>
          <w:szCs w:val="21"/>
          <w:spacing w:val="-11"/>
        </w:rPr>
        <w:t>分等。①这就要求数字金融平台需秉持以客户为中心的经营理念，运 </w:t>
      </w:r>
      <w:r>
        <w:rPr>
          <w:rFonts w:ascii="SimSun" w:hAnsi="SimSun" w:eastAsia="SimSun" w:cs="SimSun"/>
          <w:sz w:val="21"/>
          <w:szCs w:val="21"/>
          <w:spacing w:val="-11"/>
        </w:rPr>
        <w:t>用金融科技手段创建客户和金融产品的适配性评估体系，根据客户特 </w:t>
      </w:r>
      <w:r>
        <w:rPr>
          <w:rFonts w:ascii="SimSun" w:hAnsi="SimSun" w:eastAsia="SimSun" w:cs="SimSun"/>
          <w:sz w:val="21"/>
          <w:szCs w:val="21"/>
          <w:spacing w:val="-11"/>
        </w:rPr>
        <w:t>点实施金融科技产品的差异化信息披露和推介，将合适的产品卖给合</w:t>
      </w:r>
    </w:p>
    <w:p>
      <w:pPr>
        <w:pStyle w:val="BodyText"/>
        <w:spacing w:line="274" w:lineRule="auto"/>
        <w:rPr/>
      </w:pPr>
      <w:r/>
    </w:p>
    <w:p>
      <w:pPr>
        <w:pStyle w:val="BodyText"/>
        <w:spacing w:line="275" w:lineRule="auto"/>
        <w:rPr/>
      </w:pPr>
      <w:r/>
    </w:p>
    <w:p>
      <w:pPr>
        <w:ind w:left="329" w:right="25" w:hanging="329"/>
        <w:spacing w:before="52" w:line="260" w:lineRule="auto"/>
        <w:rPr>
          <w:rFonts w:ascii="SimSun" w:hAnsi="SimSun" w:eastAsia="SimSun" w:cs="SimSun"/>
          <w:sz w:val="16"/>
          <w:szCs w:val="16"/>
        </w:rPr>
      </w:pPr>
      <w:r>
        <w:rPr>
          <w:rFonts w:ascii="KaiTi" w:hAnsi="KaiTi" w:eastAsia="KaiTi" w:cs="KaiTi"/>
          <w:sz w:val="16"/>
          <w:szCs w:val="16"/>
          <w:spacing w:val="8"/>
        </w:rPr>
        <w:t>①</w:t>
      </w:r>
      <w:r>
        <w:rPr>
          <w:rFonts w:ascii="KaiTi" w:hAnsi="KaiTi" w:eastAsia="KaiTi" w:cs="KaiTi"/>
          <w:sz w:val="16"/>
          <w:szCs w:val="16"/>
          <w:spacing w:val="3"/>
        </w:rPr>
        <w:t xml:space="preserve">  </w:t>
      </w:r>
      <w:r>
        <w:rPr>
          <w:rFonts w:ascii="KaiTi" w:hAnsi="KaiTi" w:eastAsia="KaiTi" w:cs="KaiTi"/>
          <w:sz w:val="16"/>
          <w:szCs w:val="16"/>
          <w:spacing w:val="8"/>
        </w:rPr>
        <w:t>黄震，刘仪曼.金融科技产品交易视角下的适当性义务研究.金融</w:t>
      </w:r>
      <w:r>
        <w:rPr>
          <w:rFonts w:ascii="KaiTi" w:hAnsi="KaiTi" w:eastAsia="KaiTi" w:cs="KaiTi"/>
          <w:sz w:val="16"/>
          <w:szCs w:val="16"/>
          <w:spacing w:val="7"/>
        </w:rPr>
        <w:t>理论与教学，</w:t>
      </w:r>
      <w:r>
        <w:rPr>
          <w:rFonts w:ascii="KaiTi" w:hAnsi="KaiTi" w:eastAsia="KaiTi" w:cs="KaiTi"/>
          <w:sz w:val="16"/>
          <w:szCs w:val="16"/>
        </w:rPr>
        <w:t xml:space="preserve"> </w:t>
      </w:r>
      <w:r>
        <w:rPr>
          <w:rFonts w:ascii="SimSun" w:hAnsi="SimSun" w:eastAsia="SimSun" w:cs="SimSun"/>
          <w:sz w:val="16"/>
          <w:szCs w:val="16"/>
        </w:rPr>
        <w:t>2021(2):1-5,16.</w:t>
      </w:r>
    </w:p>
    <w:p>
      <w:pPr>
        <w:spacing w:line="260" w:lineRule="auto"/>
        <w:sectPr>
          <w:headerReference w:type="default" r:id="rId271"/>
          <w:pgSz w:w="7330" w:h="12480"/>
          <w:pgMar w:top="549" w:right="465" w:bottom="400" w:left="790" w:header="385" w:footer="0" w:gutter="0"/>
        </w:sectPr>
        <w:rPr>
          <w:rFonts w:ascii="SimSun" w:hAnsi="SimSun" w:eastAsia="SimSun" w:cs="SimSun"/>
          <w:sz w:val="16"/>
          <w:szCs w:val="16"/>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spacing w:before="62" w:line="380" w:lineRule="exact"/>
        <w:rPr>
          <w:rFonts w:ascii="SimSun" w:hAnsi="SimSun" w:eastAsia="SimSun" w:cs="SimSun"/>
          <w:sz w:val="19"/>
          <w:szCs w:val="19"/>
        </w:rPr>
      </w:pPr>
      <w:r>
        <w:rPr>
          <w:rFonts w:ascii="SimSun" w:hAnsi="SimSun" w:eastAsia="SimSun" w:cs="SimSun"/>
          <w:sz w:val="19"/>
          <w:szCs w:val="19"/>
          <w:spacing w:val="9"/>
          <w:position w:val="14"/>
        </w:rPr>
        <w:t>适的投资者，推动数字金融平台由过度营销向客户身份体系化识别和</w:t>
      </w:r>
    </w:p>
    <w:p>
      <w:pPr>
        <w:spacing w:line="219" w:lineRule="auto"/>
        <w:rPr>
          <w:rFonts w:ascii="SimSun" w:hAnsi="SimSun" w:eastAsia="SimSun" w:cs="SimSun"/>
          <w:sz w:val="19"/>
          <w:szCs w:val="19"/>
        </w:rPr>
      </w:pPr>
      <w:r>
        <w:rPr>
          <w:rFonts w:ascii="SimSun" w:hAnsi="SimSun" w:eastAsia="SimSun" w:cs="SimSun"/>
          <w:sz w:val="19"/>
          <w:szCs w:val="19"/>
          <w:spacing w:val="3"/>
        </w:rPr>
        <w:t>适当营销过渡。</w:t>
      </w:r>
    </w:p>
    <w:p>
      <w:pPr>
        <w:pStyle w:val="BodyText"/>
        <w:spacing w:line="423" w:lineRule="auto"/>
        <w:rPr/>
      </w:pPr>
      <w:r/>
    </w:p>
    <w:p>
      <w:pPr>
        <w:ind w:left="3"/>
        <w:spacing w:before="75" w:line="221" w:lineRule="auto"/>
        <w:rPr>
          <w:rFonts w:ascii="SimHei" w:hAnsi="SimHei" w:eastAsia="SimHei" w:cs="SimHei"/>
          <w:sz w:val="23"/>
          <w:szCs w:val="23"/>
        </w:rPr>
      </w:pPr>
      <w:r>
        <w:rPr>
          <w:rFonts w:ascii="SimHei" w:hAnsi="SimHei" w:eastAsia="SimHei" w:cs="SimHei"/>
          <w:sz w:val="23"/>
          <w:szCs w:val="23"/>
          <w:b/>
          <w:bCs/>
          <w:spacing w:val="6"/>
        </w:rPr>
        <w:t>金融基础设施的准公共性和稳定性</w:t>
      </w:r>
    </w:p>
    <w:p>
      <w:pPr>
        <w:pStyle w:val="BodyText"/>
        <w:spacing w:line="352" w:lineRule="auto"/>
        <w:rPr/>
      </w:pPr>
      <w:r/>
    </w:p>
    <w:p>
      <w:pPr>
        <w:ind w:firstLine="420"/>
        <w:spacing w:before="62" w:line="350" w:lineRule="auto"/>
        <w:jc w:val="both"/>
        <w:rPr>
          <w:rFonts w:ascii="SimSun" w:hAnsi="SimSun" w:eastAsia="SimSun" w:cs="SimSun"/>
          <w:sz w:val="19"/>
          <w:szCs w:val="19"/>
        </w:rPr>
      </w:pPr>
      <w:r>
        <w:rPr>
          <w:rFonts w:ascii="SimSun" w:hAnsi="SimSun" w:eastAsia="SimSun" w:cs="SimSun"/>
          <w:sz w:val="19"/>
          <w:szCs w:val="19"/>
          <w:spacing w:val="16"/>
        </w:rPr>
        <w:t>数字金融平台已成为金融基础设施，其突出特性是运用科技平</w:t>
      </w:r>
      <w:r>
        <w:rPr>
          <w:rFonts w:ascii="SimSun" w:hAnsi="SimSun" w:eastAsia="SimSun" w:cs="SimSun"/>
          <w:sz w:val="19"/>
          <w:szCs w:val="19"/>
          <w:spacing w:val="15"/>
        </w:rPr>
        <w:t xml:space="preserve"> </w:t>
      </w:r>
      <w:r>
        <w:rPr>
          <w:rFonts w:ascii="SimSun" w:hAnsi="SimSun" w:eastAsia="SimSun" w:cs="SimSun"/>
          <w:sz w:val="19"/>
          <w:szCs w:val="19"/>
          <w:spacing w:val="11"/>
        </w:rPr>
        <w:t>台、云计算、大数据等数字技术，在金融行业领域推出新金融产品、</w:t>
      </w:r>
      <w:r>
        <w:rPr>
          <w:rFonts w:ascii="SimSun" w:hAnsi="SimSun" w:eastAsia="SimSun" w:cs="SimSun"/>
          <w:sz w:val="19"/>
          <w:szCs w:val="19"/>
          <w:spacing w:val="14"/>
        </w:rPr>
        <w:t xml:space="preserve"> </w:t>
      </w:r>
      <w:r>
        <w:rPr>
          <w:rFonts w:ascii="SimSun" w:hAnsi="SimSun" w:eastAsia="SimSun" w:cs="SimSun"/>
          <w:sz w:val="19"/>
          <w:szCs w:val="19"/>
          <w:spacing w:val="3"/>
        </w:rPr>
        <w:t>新金融模式、新业务流程。其创新性应用主要表现在两个方面，</w:t>
      </w:r>
      <w:r>
        <w:rPr>
          <w:rFonts w:ascii="SimSun" w:hAnsi="SimSun" w:eastAsia="SimSun" w:cs="SimSun"/>
          <w:sz w:val="19"/>
          <w:szCs w:val="19"/>
          <w:spacing w:val="81"/>
        </w:rPr>
        <w:t xml:space="preserve"> </w:t>
      </w:r>
      <w:r>
        <w:rPr>
          <w:rFonts w:ascii="SimSun" w:hAnsi="SimSun" w:eastAsia="SimSun" w:cs="SimSun"/>
          <w:sz w:val="19"/>
          <w:szCs w:val="19"/>
          <w:spacing w:val="3"/>
        </w:rPr>
        <w:t>一是 </w:t>
      </w:r>
      <w:r>
        <w:rPr>
          <w:rFonts w:ascii="SimSun" w:hAnsi="SimSun" w:eastAsia="SimSun" w:cs="SimSun"/>
          <w:sz w:val="19"/>
          <w:szCs w:val="19"/>
          <w:spacing w:val="9"/>
        </w:rPr>
        <w:t>新型科技平台为金融业务提供数字科技解决方案</w:t>
      </w:r>
      <w:r>
        <w:rPr>
          <w:rFonts w:ascii="SimSun" w:hAnsi="SimSun" w:eastAsia="SimSun" w:cs="SimSun"/>
          <w:sz w:val="19"/>
          <w:szCs w:val="19"/>
          <w:spacing w:val="8"/>
        </w:rPr>
        <w:t>，二是借助数字技术 </w:t>
      </w:r>
      <w:r>
        <w:rPr>
          <w:rFonts w:ascii="SimSun" w:hAnsi="SimSun" w:eastAsia="SimSun" w:cs="SimSun"/>
          <w:sz w:val="19"/>
          <w:szCs w:val="19"/>
          <w:spacing w:val="9"/>
        </w:rPr>
        <w:t>改善金融服务。前者从降低成本上着眼，后者从</w:t>
      </w:r>
      <w:r>
        <w:rPr>
          <w:rFonts w:ascii="SimSun" w:hAnsi="SimSun" w:eastAsia="SimSun" w:cs="SimSun"/>
          <w:sz w:val="19"/>
          <w:szCs w:val="19"/>
          <w:spacing w:val="8"/>
        </w:rPr>
        <w:t>提高效率上发力，这 </w:t>
      </w:r>
      <w:r>
        <w:rPr>
          <w:rFonts w:ascii="SimSun" w:hAnsi="SimSun" w:eastAsia="SimSun" w:cs="SimSun"/>
          <w:sz w:val="19"/>
          <w:szCs w:val="19"/>
          <w:spacing w:val="9"/>
        </w:rPr>
        <w:t>是数字金融平台推动金融业发展的底层逻辑。数</w:t>
      </w:r>
      <w:r>
        <w:rPr>
          <w:rFonts w:ascii="SimSun" w:hAnsi="SimSun" w:eastAsia="SimSun" w:cs="SimSun"/>
          <w:sz w:val="19"/>
          <w:szCs w:val="19"/>
          <w:spacing w:val="8"/>
        </w:rPr>
        <w:t>字金融平台场景化大 </w:t>
      </w:r>
      <w:r>
        <w:rPr>
          <w:rFonts w:ascii="SimSun" w:hAnsi="SimSun" w:eastAsia="SimSun" w:cs="SimSun"/>
          <w:sz w:val="19"/>
          <w:szCs w:val="19"/>
          <w:spacing w:val="9"/>
        </w:rPr>
        <w:t>数据分析突破了传统金融机构的风控壁垒，并覆</w:t>
      </w:r>
      <w:r>
        <w:rPr>
          <w:rFonts w:ascii="SimSun" w:hAnsi="SimSun" w:eastAsia="SimSun" w:cs="SimSun"/>
          <w:sz w:val="19"/>
          <w:szCs w:val="19"/>
          <w:spacing w:val="8"/>
        </w:rPr>
        <w:t>盖到大众生活衣食住 </w:t>
      </w:r>
      <w:r>
        <w:rPr>
          <w:rFonts w:ascii="SimSun" w:hAnsi="SimSun" w:eastAsia="SimSun" w:cs="SimSun"/>
          <w:sz w:val="19"/>
          <w:szCs w:val="19"/>
          <w:spacing w:val="9"/>
        </w:rPr>
        <w:t>行的方方面面，具备了金融基础设施的属性，因</w:t>
      </w:r>
      <w:r>
        <w:rPr>
          <w:rFonts w:ascii="SimSun" w:hAnsi="SimSun" w:eastAsia="SimSun" w:cs="SimSun"/>
          <w:sz w:val="19"/>
          <w:szCs w:val="19"/>
          <w:spacing w:val="8"/>
        </w:rPr>
        <w:t>此其规范运营至关重 </w:t>
      </w:r>
      <w:r>
        <w:rPr>
          <w:rFonts w:ascii="SimSun" w:hAnsi="SimSun" w:eastAsia="SimSun" w:cs="SimSun"/>
          <w:sz w:val="19"/>
          <w:szCs w:val="19"/>
          <w:spacing w:val="9"/>
        </w:rPr>
        <w:t>要。也正是基于此，具有金融基础设施特性的数字金融平台，在进行</w:t>
      </w:r>
    </w:p>
    <w:p>
      <w:pPr>
        <w:spacing w:line="219" w:lineRule="auto"/>
        <w:rPr>
          <w:rFonts w:ascii="SimSun" w:hAnsi="SimSun" w:eastAsia="SimSun" w:cs="SimSun"/>
          <w:sz w:val="19"/>
          <w:szCs w:val="19"/>
        </w:rPr>
      </w:pPr>
      <w:r>
        <w:rPr>
          <w:rFonts w:ascii="SimSun" w:hAnsi="SimSun" w:eastAsia="SimSun" w:cs="SimSun"/>
          <w:sz w:val="19"/>
          <w:szCs w:val="19"/>
          <w:spacing w:val="8"/>
        </w:rPr>
        <w:t>商务决策时不能完全从商业利益出发，而需要同时兼顾公共利益。</w:t>
      </w:r>
    </w:p>
    <w:p>
      <w:pPr>
        <w:ind w:right="27" w:firstLine="420"/>
        <w:spacing w:before="130" w:line="351" w:lineRule="auto"/>
        <w:jc w:val="both"/>
        <w:rPr>
          <w:rFonts w:ascii="SimSun" w:hAnsi="SimSun" w:eastAsia="SimSun" w:cs="SimSun"/>
          <w:sz w:val="19"/>
          <w:szCs w:val="19"/>
        </w:rPr>
      </w:pPr>
      <w:r>
        <w:rPr>
          <w:rFonts w:ascii="SimSun" w:hAnsi="SimSun" w:eastAsia="SimSun" w:cs="SimSun"/>
          <w:sz w:val="19"/>
          <w:szCs w:val="19"/>
          <w:spacing w:val="17"/>
        </w:rPr>
        <w:t>数据作为新生产要素并被提升到国家战略高度，这对拥有海量</w:t>
      </w:r>
      <w:r>
        <w:rPr>
          <w:rFonts w:ascii="SimSun" w:hAnsi="SimSun" w:eastAsia="SimSun" w:cs="SimSun"/>
          <w:sz w:val="19"/>
          <w:szCs w:val="19"/>
          <w:spacing w:val="7"/>
        </w:rPr>
        <w:t xml:space="preserve"> </w:t>
      </w:r>
      <w:r>
        <w:rPr>
          <w:rFonts w:ascii="SimSun" w:hAnsi="SimSun" w:eastAsia="SimSun" w:cs="SimSun"/>
          <w:sz w:val="19"/>
          <w:szCs w:val="19"/>
          <w:spacing w:val="9"/>
        </w:rPr>
        <w:t>数据的数字金融平台的稳定性提出了更高的要求。现有的数字金融平</w:t>
      </w:r>
      <w:r>
        <w:rPr>
          <w:rFonts w:ascii="SimSun" w:hAnsi="SimSun" w:eastAsia="SimSun" w:cs="SimSun"/>
          <w:sz w:val="19"/>
          <w:szCs w:val="19"/>
          <w:spacing w:val="7"/>
        </w:rPr>
        <w:t xml:space="preserve"> </w:t>
      </w:r>
      <w:r>
        <w:rPr>
          <w:rFonts w:ascii="SimSun" w:hAnsi="SimSun" w:eastAsia="SimSun" w:cs="SimSun"/>
          <w:sz w:val="19"/>
          <w:szCs w:val="19"/>
          <w:spacing w:val="9"/>
        </w:rPr>
        <w:t>台，通过免费的第三方支付市场获取海量的平台客户信息，尽管这些</w:t>
      </w:r>
      <w:r>
        <w:rPr>
          <w:rFonts w:ascii="SimSun" w:hAnsi="SimSun" w:eastAsia="SimSun" w:cs="SimSun"/>
          <w:sz w:val="19"/>
          <w:szCs w:val="19"/>
          <w:spacing w:val="8"/>
        </w:rPr>
        <w:t xml:space="preserve"> </w:t>
      </w:r>
      <w:r>
        <w:rPr>
          <w:rFonts w:ascii="SimSun" w:hAnsi="SimSun" w:eastAsia="SimSun" w:cs="SimSun"/>
          <w:sz w:val="19"/>
          <w:szCs w:val="19"/>
          <w:spacing w:val="9"/>
        </w:rPr>
        <w:t>支付平台所提供的支付业务并不会从中获利，但却可以获得更多新数</w:t>
      </w:r>
      <w:r>
        <w:rPr>
          <w:rFonts w:ascii="SimSun" w:hAnsi="SimSun" w:eastAsia="SimSun" w:cs="SimSun"/>
          <w:sz w:val="19"/>
          <w:szCs w:val="19"/>
          <w:spacing w:val="7"/>
        </w:rPr>
        <w:t xml:space="preserve"> </w:t>
      </w:r>
      <w:r>
        <w:rPr>
          <w:rFonts w:ascii="SimSun" w:hAnsi="SimSun" w:eastAsia="SimSun" w:cs="SimSun"/>
          <w:sz w:val="19"/>
          <w:szCs w:val="19"/>
          <w:spacing w:val="9"/>
        </w:rPr>
        <w:t>据这一新的生产要素。在中共中央、国务院印发的《关于构建更加完</w:t>
      </w:r>
      <w:r>
        <w:rPr>
          <w:rFonts w:ascii="SimSun" w:hAnsi="SimSun" w:eastAsia="SimSun" w:cs="SimSun"/>
          <w:sz w:val="19"/>
          <w:szCs w:val="19"/>
          <w:spacing w:val="8"/>
        </w:rPr>
        <w:t xml:space="preserve"> </w:t>
      </w:r>
      <w:r>
        <w:rPr>
          <w:rFonts w:ascii="SimSun" w:hAnsi="SimSun" w:eastAsia="SimSun" w:cs="SimSun"/>
          <w:sz w:val="19"/>
          <w:szCs w:val="19"/>
          <w:spacing w:val="10"/>
        </w:rPr>
        <w:t>善的要素市场化配置体制机制的意见》中，数据作为生产要素已经引</w:t>
      </w:r>
      <w:r>
        <w:rPr>
          <w:rFonts w:ascii="SimSun" w:hAnsi="SimSun" w:eastAsia="SimSun" w:cs="SimSun"/>
          <w:sz w:val="19"/>
          <w:szCs w:val="19"/>
          <w:spacing w:val="1"/>
        </w:rPr>
        <w:t xml:space="preserve"> </w:t>
      </w:r>
      <w:r>
        <w:rPr>
          <w:rFonts w:ascii="SimSun" w:hAnsi="SimSun" w:eastAsia="SimSun" w:cs="SimSun"/>
          <w:sz w:val="19"/>
          <w:szCs w:val="19"/>
          <w:spacing w:val="9"/>
        </w:rPr>
        <w:t>起中央层面的高度重视并被提升到国家战略地位高度。基于海量的支 </w:t>
      </w:r>
      <w:r>
        <w:rPr>
          <w:rFonts w:ascii="SimSun" w:hAnsi="SimSun" w:eastAsia="SimSun" w:cs="SimSun"/>
          <w:sz w:val="19"/>
          <w:szCs w:val="19"/>
          <w:spacing w:val="9"/>
        </w:rPr>
        <w:t>付交易信息，蚂蚁金服识别风险的能力极强，比普通中小银行识别能</w:t>
      </w:r>
      <w:r>
        <w:rPr>
          <w:rFonts w:ascii="SimSun" w:hAnsi="SimSun" w:eastAsia="SimSun" w:cs="SimSun"/>
          <w:sz w:val="19"/>
          <w:szCs w:val="19"/>
          <w:spacing w:val="8"/>
        </w:rPr>
        <w:t xml:space="preserve"> </w:t>
      </w:r>
      <w:r>
        <w:rPr>
          <w:rFonts w:ascii="SimSun" w:hAnsi="SimSun" w:eastAsia="SimSun" w:cs="SimSun"/>
          <w:sz w:val="19"/>
          <w:szCs w:val="19"/>
          <w:spacing w:val="9"/>
        </w:rPr>
        <w:t>力高出一倍以上，因此其助贷中小银行进行贷款和获客极为有效。现</w:t>
      </w:r>
      <w:r>
        <w:rPr>
          <w:rFonts w:ascii="SimSun" w:hAnsi="SimSun" w:eastAsia="SimSun" w:cs="SimSun"/>
          <w:sz w:val="19"/>
          <w:szCs w:val="19"/>
          <w:spacing w:val="6"/>
        </w:rPr>
        <w:t xml:space="preserve"> </w:t>
      </w:r>
      <w:r>
        <w:rPr>
          <w:rFonts w:ascii="SimSun" w:hAnsi="SimSun" w:eastAsia="SimSun" w:cs="SimSun"/>
          <w:sz w:val="19"/>
          <w:szCs w:val="19"/>
          <w:spacing w:val="4"/>
        </w:rPr>
        <w:t>在接受数字金融平台服务或合作的银行数量已过半，</w:t>
      </w:r>
      <w:r>
        <w:rPr>
          <w:rFonts w:ascii="SimSun" w:hAnsi="SimSun" w:eastAsia="SimSun" w:cs="SimSun"/>
          <w:sz w:val="19"/>
          <w:szCs w:val="19"/>
          <w:spacing w:val="62"/>
        </w:rPr>
        <w:t xml:space="preserve"> </w:t>
      </w:r>
      <w:r>
        <w:rPr>
          <w:rFonts w:ascii="SimSun" w:hAnsi="SimSun" w:eastAsia="SimSun" w:cs="SimSun"/>
          <w:sz w:val="19"/>
          <w:szCs w:val="19"/>
          <w:spacing w:val="4"/>
        </w:rPr>
        <w:t>一旦数字金融平</w:t>
      </w:r>
      <w:r>
        <w:rPr>
          <w:rFonts w:ascii="SimSun" w:hAnsi="SimSun" w:eastAsia="SimSun" w:cs="SimSun"/>
          <w:sz w:val="19"/>
          <w:szCs w:val="19"/>
        </w:rPr>
        <w:t xml:space="preserve"> </w:t>
      </w:r>
      <w:r>
        <w:rPr>
          <w:rFonts w:ascii="SimSun" w:hAnsi="SimSun" w:eastAsia="SimSun" w:cs="SimSun"/>
          <w:sz w:val="19"/>
          <w:szCs w:val="19"/>
          <w:spacing w:val="9"/>
        </w:rPr>
        <w:t>台的算法出现问题，就会产生无法避免的系统性风险，因此应该对数</w:t>
      </w:r>
    </w:p>
    <w:p>
      <w:pPr>
        <w:spacing w:line="218" w:lineRule="auto"/>
        <w:rPr>
          <w:rFonts w:ascii="SimSun" w:hAnsi="SimSun" w:eastAsia="SimSun" w:cs="SimSun"/>
          <w:sz w:val="19"/>
          <w:szCs w:val="19"/>
        </w:rPr>
      </w:pPr>
      <w:r>
        <w:rPr>
          <w:rFonts w:ascii="SimSun" w:hAnsi="SimSun" w:eastAsia="SimSun" w:cs="SimSun"/>
          <w:sz w:val="19"/>
          <w:szCs w:val="19"/>
          <w:spacing w:val="9"/>
        </w:rPr>
        <w:t>字金融平台加强政府监督，强调其公共性并保证其稳定性，降低可能</w:t>
      </w:r>
    </w:p>
    <w:p>
      <w:pPr>
        <w:spacing w:line="218" w:lineRule="auto"/>
        <w:sectPr>
          <w:headerReference w:type="default" r:id="rId273"/>
          <w:pgSz w:w="7330" w:h="12480"/>
          <w:pgMar w:top="859" w:right="1024" w:bottom="400" w:left="259" w:header="695" w:footer="0"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40"/>
        <w:spacing w:before="68" w:line="292" w:lineRule="auto"/>
        <w:jc w:val="both"/>
        <w:rPr>
          <w:rFonts w:ascii="SimSun" w:hAnsi="SimSun" w:eastAsia="SimSun" w:cs="SimSun"/>
          <w:sz w:val="21"/>
          <w:szCs w:val="21"/>
        </w:rPr>
      </w:pPr>
      <w:r>
        <w:rPr>
          <w:rFonts w:ascii="SimSun" w:hAnsi="SimSun" w:eastAsia="SimSun" w:cs="SimSun"/>
          <w:sz w:val="21"/>
          <w:szCs w:val="21"/>
          <w:spacing w:val="-8"/>
        </w:rPr>
        <w:t>发生的系统性风险。此外，已经成为金融基础设施的数字金融平台，</w:t>
      </w:r>
      <w:r>
        <w:rPr>
          <w:rFonts w:ascii="SimSun" w:hAnsi="SimSun" w:eastAsia="SimSun" w:cs="SimSun"/>
          <w:sz w:val="21"/>
          <w:szCs w:val="21"/>
          <w:spacing w:val="3"/>
        </w:rPr>
        <w:t xml:space="preserve"> </w:t>
      </w:r>
      <w:r>
        <w:rPr>
          <w:rFonts w:ascii="SimSun" w:hAnsi="SimSun" w:eastAsia="SimSun" w:cs="SimSun"/>
          <w:sz w:val="21"/>
          <w:szCs w:val="21"/>
          <w:spacing w:val="-10"/>
        </w:rPr>
        <w:t>其运行的稳定性会影响整个金融活动的正常</w:t>
      </w:r>
      <w:r>
        <w:rPr>
          <w:rFonts w:ascii="SimSun" w:hAnsi="SimSun" w:eastAsia="SimSun" w:cs="SimSun"/>
          <w:sz w:val="21"/>
          <w:szCs w:val="21"/>
          <w:spacing w:val="-11"/>
        </w:rPr>
        <w:t>运行。比如，假设发生大 </w:t>
      </w:r>
      <w:r>
        <w:rPr>
          <w:rFonts w:ascii="SimSun" w:hAnsi="SimSun" w:eastAsia="SimSun" w:cs="SimSun"/>
          <w:sz w:val="21"/>
          <w:szCs w:val="21"/>
          <w:spacing w:val="-8"/>
        </w:rPr>
        <w:t>规模断网、断电或者自然灾害等突发情况，移动支付无法正常使用，</w:t>
      </w:r>
      <w:r>
        <w:rPr>
          <w:rFonts w:ascii="SimSun" w:hAnsi="SimSun" w:eastAsia="SimSun" w:cs="SimSun"/>
          <w:sz w:val="21"/>
          <w:szCs w:val="21"/>
          <w:spacing w:val="3"/>
        </w:rPr>
        <w:t xml:space="preserve"> </w:t>
      </w:r>
      <w:r>
        <w:rPr>
          <w:rFonts w:ascii="SimSun" w:hAnsi="SimSun" w:eastAsia="SimSun" w:cs="SimSun"/>
          <w:sz w:val="21"/>
          <w:szCs w:val="21"/>
          <w:spacing w:val="-10"/>
        </w:rPr>
        <w:t>则会造成商品交易无法完成，由此带来交易</w:t>
      </w:r>
      <w:r>
        <w:rPr>
          <w:rFonts w:ascii="SimSun" w:hAnsi="SimSun" w:eastAsia="SimSun" w:cs="SimSun"/>
          <w:sz w:val="21"/>
          <w:szCs w:val="21"/>
          <w:spacing w:val="-11"/>
        </w:rPr>
        <w:t>成本的上升和社会生活的 </w:t>
      </w:r>
      <w:r>
        <w:rPr>
          <w:rFonts w:ascii="SimSun" w:hAnsi="SimSun" w:eastAsia="SimSun" w:cs="SimSun"/>
          <w:sz w:val="21"/>
          <w:szCs w:val="21"/>
          <w:spacing w:val="-10"/>
        </w:rPr>
        <w:t>混乱。</w:t>
      </w:r>
    </w:p>
    <w:p>
      <w:pPr>
        <w:pStyle w:val="BodyText"/>
        <w:spacing w:line="46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5"/>
        </w:rPr>
        <w:t>平台垄断问题</w:t>
      </w:r>
    </w:p>
    <w:p>
      <w:pPr>
        <w:pStyle w:val="BodyText"/>
        <w:spacing w:line="362" w:lineRule="auto"/>
        <w:rPr/>
      </w:pPr>
      <w:r/>
    </w:p>
    <w:p>
      <w:pPr>
        <w:ind w:firstLine="420"/>
        <w:spacing w:before="69" w:line="304" w:lineRule="auto"/>
        <w:jc w:val="both"/>
        <w:rPr>
          <w:rFonts w:ascii="SimSun" w:hAnsi="SimSun" w:eastAsia="SimSun" w:cs="SimSun"/>
          <w:sz w:val="21"/>
          <w:szCs w:val="21"/>
        </w:rPr>
      </w:pPr>
      <w:r>
        <w:rPr>
          <w:rFonts w:ascii="SimSun" w:hAnsi="SimSun" w:eastAsia="SimSun" w:cs="SimSun"/>
          <w:sz w:val="21"/>
          <w:szCs w:val="21"/>
          <w:spacing w:val="-11"/>
        </w:rPr>
        <w:t>关于数字金融平台垄断问题，我们需要着重关注其是否存在滥用</w:t>
      </w:r>
      <w:r>
        <w:rPr>
          <w:rFonts w:ascii="SimSun" w:hAnsi="SimSun" w:eastAsia="SimSun" w:cs="SimSun"/>
          <w:sz w:val="21"/>
          <w:szCs w:val="21"/>
          <w:spacing w:val="5"/>
        </w:rPr>
        <w:t xml:space="preserve">  </w:t>
      </w:r>
      <w:r>
        <w:rPr>
          <w:rFonts w:ascii="SimSun" w:hAnsi="SimSun" w:eastAsia="SimSun" w:cs="SimSun"/>
          <w:sz w:val="21"/>
          <w:szCs w:val="21"/>
          <w:spacing w:val="-8"/>
        </w:rPr>
        <w:t>市场权利，阻碍正常竞争秩序的行为。随着数据成为新的生产要素，</w:t>
      </w:r>
      <w:r>
        <w:rPr>
          <w:rFonts w:ascii="SimSun" w:hAnsi="SimSun" w:eastAsia="SimSun" w:cs="SimSun"/>
          <w:sz w:val="21"/>
          <w:szCs w:val="21"/>
          <w:spacing w:val="3"/>
        </w:rPr>
        <w:t xml:space="preserve"> </w:t>
      </w:r>
      <w:r>
        <w:rPr>
          <w:rFonts w:ascii="SimSun" w:hAnsi="SimSun" w:eastAsia="SimSun" w:cs="SimSun"/>
          <w:sz w:val="21"/>
          <w:szCs w:val="21"/>
          <w:spacing w:val="-11"/>
        </w:rPr>
        <w:t>数字金融平台在解决金融信息不对称问题的同时，也造成了数据不对</w:t>
      </w:r>
      <w:r>
        <w:rPr>
          <w:rFonts w:ascii="SimSun" w:hAnsi="SimSun" w:eastAsia="SimSun" w:cs="SimSun"/>
          <w:sz w:val="21"/>
          <w:szCs w:val="21"/>
          <w:spacing w:val="8"/>
        </w:rPr>
        <w:t xml:space="preserve">  </w:t>
      </w:r>
      <w:r>
        <w:rPr>
          <w:rFonts w:ascii="SimSun" w:hAnsi="SimSun" w:eastAsia="SimSun" w:cs="SimSun"/>
          <w:sz w:val="21"/>
          <w:szCs w:val="21"/>
          <w:spacing w:val="-11"/>
        </w:rPr>
        <w:t>称。数字金融平台天然具有“数据垄断”的优势，在金融数据重要性</w:t>
      </w:r>
      <w:r>
        <w:rPr>
          <w:rFonts w:ascii="SimSun" w:hAnsi="SimSun" w:eastAsia="SimSun" w:cs="SimSun"/>
          <w:sz w:val="21"/>
          <w:szCs w:val="21"/>
          <w:spacing w:val="8"/>
        </w:rPr>
        <w:t xml:space="preserve">  </w:t>
      </w:r>
      <w:r>
        <w:rPr>
          <w:rFonts w:ascii="SimSun" w:hAnsi="SimSun" w:eastAsia="SimSun" w:cs="SimSun"/>
          <w:sz w:val="21"/>
          <w:szCs w:val="21"/>
          <w:spacing w:val="-10"/>
        </w:rPr>
        <w:t>更加重要的行业中，数字金融平台的海量数据获取优势</w:t>
      </w:r>
      <w:r>
        <w:rPr>
          <w:rFonts w:ascii="SimSun" w:hAnsi="SimSun" w:eastAsia="SimSun" w:cs="SimSun"/>
          <w:sz w:val="21"/>
          <w:szCs w:val="21"/>
          <w:spacing w:val="-11"/>
        </w:rPr>
        <w:t>对市场竞争的</w:t>
      </w:r>
      <w:r>
        <w:rPr>
          <w:rFonts w:ascii="SimSun" w:hAnsi="SimSun" w:eastAsia="SimSun" w:cs="SimSun"/>
          <w:sz w:val="21"/>
          <w:szCs w:val="21"/>
        </w:rPr>
        <w:t xml:space="preserve">  </w:t>
      </w:r>
      <w:r>
        <w:rPr>
          <w:rFonts w:ascii="SimSun" w:hAnsi="SimSun" w:eastAsia="SimSun" w:cs="SimSun"/>
          <w:sz w:val="21"/>
          <w:szCs w:val="21"/>
          <w:spacing w:val="-10"/>
        </w:rPr>
        <w:t>影响更加深远。因此，要采取措施来应对数字金融平</w:t>
      </w:r>
      <w:r>
        <w:rPr>
          <w:rFonts w:ascii="SimSun" w:hAnsi="SimSun" w:eastAsia="SimSun" w:cs="SimSun"/>
          <w:sz w:val="21"/>
          <w:szCs w:val="21"/>
          <w:spacing w:val="-11"/>
        </w:rPr>
        <w:t>台垄断中的信息</w:t>
      </w:r>
      <w:r>
        <w:rPr>
          <w:rFonts w:ascii="SimSun" w:hAnsi="SimSun" w:eastAsia="SimSun" w:cs="SimSun"/>
          <w:sz w:val="21"/>
          <w:szCs w:val="21"/>
        </w:rPr>
        <w:t xml:space="preserve">  </w:t>
      </w:r>
      <w:r>
        <w:rPr>
          <w:rFonts w:ascii="SimSun" w:hAnsi="SimSun" w:eastAsia="SimSun" w:cs="SimSun"/>
          <w:sz w:val="21"/>
          <w:szCs w:val="21"/>
          <w:spacing w:val="-7"/>
        </w:rPr>
        <w:t>不对称问题。为此需要政府从法律法规创新和完善、强化数据监管、</w:t>
      </w:r>
      <w:r>
        <w:rPr>
          <w:rFonts w:ascii="SimSun" w:hAnsi="SimSun" w:eastAsia="SimSun" w:cs="SimSun"/>
          <w:sz w:val="21"/>
          <w:szCs w:val="21"/>
          <w:spacing w:val="13"/>
        </w:rPr>
        <w:t xml:space="preserve"> </w:t>
      </w:r>
      <w:r>
        <w:rPr>
          <w:rFonts w:ascii="SimSun" w:hAnsi="SimSun" w:eastAsia="SimSun" w:cs="SimSun"/>
          <w:sz w:val="21"/>
          <w:szCs w:val="21"/>
          <w:spacing w:val="-10"/>
        </w:rPr>
        <w:t>规范数据治理等方面入手，构建和拓展新型普惠金</w:t>
      </w:r>
      <w:r>
        <w:rPr>
          <w:rFonts w:ascii="SimSun" w:hAnsi="SimSun" w:eastAsia="SimSun" w:cs="SimSun"/>
          <w:sz w:val="21"/>
          <w:szCs w:val="21"/>
          <w:spacing w:val="-11"/>
        </w:rPr>
        <w:t>融服务体系。</w:t>
      </w:r>
    </w:p>
    <w:p>
      <w:pPr>
        <w:ind w:right="20" w:firstLine="420"/>
        <w:spacing w:before="110" w:line="293" w:lineRule="auto"/>
        <w:jc w:val="both"/>
        <w:rPr>
          <w:rFonts w:ascii="SimSun" w:hAnsi="SimSun" w:eastAsia="SimSun" w:cs="SimSun"/>
          <w:sz w:val="21"/>
          <w:szCs w:val="21"/>
        </w:rPr>
      </w:pPr>
      <w:r>
        <w:rPr>
          <w:rFonts w:ascii="SimSun" w:hAnsi="SimSun" w:eastAsia="SimSun" w:cs="SimSun"/>
          <w:sz w:val="21"/>
          <w:szCs w:val="21"/>
          <w:spacing w:val="-10"/>
        </w:rPr>
        <w:t>加强市场监督和反垄断对规范数字金融平台健康有序发展具有重</w:t>
      </w:r>
      <w:r>
        <w:rPr>
          <w:rFonts w:ascii="SimSun" w:hAnsi="SimSun" w:eastAsia="SimSun" w:cs="SimSun"/>
          <w:sz w:val="21"/>
          <w:szCs w:val="21"/>
          <w:spacing w:val="8"/>
        </w:rPr>
        <w:t xml:space="preserve"> </w:t>
      </w:r>
      <w:r>
        <w:rPr>
          <w:rFonts w:ascii="SimSun" w:hAnsi="SimSun" w:eastAsia="SimSun" w:cs="SimSun"/>
          <w:sz w:val="21"/>
          <w:szCs w:val="21"/>
          <w:spacing w:val="-10"/>
        </w:rPr>
        <w:t>要意义。市场垄断的认定取决于对“市场”的</w:t>
      </w:r>
      <w:r>
        <w:rPr>
          <w:rFonts w:ascii="SimSun" w:hAnsi="SimSun" w:eastAsia="SimSun" w:cs="SimSun"/>
          <w:sz w:val="21"/>
          <w:szCs w:val="21"/>
          <w:spacing w:val="-11"/>
        </w:rPr>
        <w:t>界定。如在移动支付市</w:t>
      </w:r>
      <w:r>
        <w:rPr>
          <w:rFonts w:ascii="SimSun" w:hAnsi="SimSun" w:eastAsia="SimSun" w:cs="SimSun"/>
          <w:sz w:val="21"/>
          <w:szCs w:val="21"/>
        </w:rPr>
        <w:t xml:space="preserve">  </w:t>
      </w:r>
      <w:r>
        <w:rPr>
          <w:rFonts w:ascii="SimSun" w:hAnsi="SimSun" w:eastAsia="SimSun" w:cs="SimSun"/>
          <w:sz w:val="21"/>
          <w:szCs w:val="21"/>
        </w:rPr>
        <w:t>场领域，支付宝和微信支付占90%以上的市场份额，但是如果以中 </w:t>
      </w:r>
      <w:r>
        <w:rPr>
          <w:rFonts w:ascii="SimSun" w:hAnsi="SimSun" w:eastAsia="SimSun" w:cs="SimSun"/>
          <w:sz w:val="21"/>
          <w:szCs w:val="21"/>
          <w:spacing w:val="-7"/>
        </w:rPr>
        <w:t>国2600万亿元的数字支付市场来说，这两家占的市场份额就很小了。</w:t>
      </w:r>
      <w:r>
        <w:rPr>
          <w:rFonts w:ascii="SimSun" w:hAnsi="SimSun" w:eastAsia="SimSun" w:cs="SimSun"/>
          <w:sz w:val="21"/>
          <w:szCs w:val="21"/>
          <w:spacing w:val="7"/>
        </w:rPr>
        <w:t xml:space="preserve"> </w:t>
      </w:r>
      <w:r>
        <w:rPr>
          <w:rFonts w:ascii="SimSun" w:hAnsi="SimSun" w:eastAsia="SimSun" w:cs="SimSun"/>
          <w:sz w:val="21"/>
          <w:szCs w:val="21"/>
          <w:spacing w:val="-10"/>
        </w:rPr>
        <w:t>但不容忽视的是加强市场监管和反垄断对于数</w:t>
      </w:r>
      <w:r>
        <w:rPr>
          <w:rFonts w:ascii="SimSun" w:hAnsi="SimSun" w:eastAsia="SimSun" w:cs="SimSun"/>
          <w:sz w:val="21"/>
          <w:szCs w:val="21"/>
          <w:spacing w:val="-11"/>
        </w:rPr>
        <w:t>字金融平台发展、规范</w:t>
      </w:r>
      <w:r>
        <w:rPr>
          <w:rFonts w:ascii="SimSun" w:hAnsi="SimSun" w:eastAsia="SimSun" w:cs="SimSun"/>
          <w:sz w:val="21"/>
          <w:szCs w:val="21"/>
        </w:rPr>
        <w:t xml:space="preserve">  </w:t>
      </w:r>
      <w:r>
        <w:rPr>
          <w:rFonts w:ascii="SimSun" w:hAnsi="SimSun" w:eastAsia="SimSun" w:cs="SimSun"/>
          <w:sz w:val="21"/>
          <w:szCs w:val="21"/>
          <w:spacing w:val="-11"/>
        </w:rPr>
        <w:t>金融市场行为具有极为重要的作用。</w:t>
      </w:r>
    </w:p>
    <w:p>
      <w:pPr>
        <w:pStyle w:val="BodyText"/>
        <w:spacing w:line="242" w:lineRule="auto"/>
        <w:rPr/>
      </w:pPr>
      <w:r/>
    </w:p>
    <w:p>
      <w:pPr>
        <w:pStyle w:val="BodyText"/>
        <w:spacing w:line="243"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5"/>
        </w:rPr>
        <w:t>数据治理问题</w:t>
      </w:r>
    </w:p>
    <w:p>
      <w:pPr>
        <w:pStyle w:val="BodyText"/>
        <w:spacing w:line="360" w:lineRule="auto"/>
        <w:rPr/>
      </w:pPr>
      <w:r/>
    </w:p>
    <w:p>
      <w:pPr>
        <w:ind w:right="19" w:firstLine="420"/>
        <w:spacing w:before="69" w:line="268" w:lineRule="auto"/>
        <w:rPr>
          <w:rFonts w:ascii="SimSun" w:hAnsi="SimSun" w:eastAsia="SimSun" w:cs="SimSun"/>
          <w:sz w:val="21"/>
          <w:szCs w:val="21"/>
        </w:rPr>
      </w:pPr>
      <w:r>
        <w:rPr>
          <w:rFonts w:ascii="SimSun" w:hAnsi="SimSun" w:eastAsia="SimSun" w:cs="SimSun"/>
          <w:sz w:val="21"/>
          <w:szCs w:val="21"/>
          <w:spacing w:val="-8"/>
        </w:rPr>
        <w:t>解决数据治理问题，首先需要关注的是算法的透明性和稳定性。</w:t>
      </w:r>
      <w:r>
        <w:rPr>
          <w:rFonts w:ascii="SimSun" w:hAnsi="SimSun" w:eastAsia="SimSun" w:cs="SimSun"/>
          <w:sz w:val="21"/>
          <w:szCs w:val="21"/>
          <w:spacing w:val="7"/>
        </w:rPr>
        <w:t xml:space="preserve"> </w:t>
      </w:r>
      <w:r>
        <w:rPr>
          <w:rFonts w:ascii="SimSun" w:hAnsi="SimSun" w:eastAsia="SimSun" w:cs="SimSun"/>
          <w:sz w:val="21"/>
          <w:szCs w:val="21"/>
          <w:spacing w:val="-11"/>
        </w:rPr>
        <w:t>由于新业态兴起后监管体系尚未完善，数据安全性问题仍存在诸多隐</w:t>
      </w:r>
    </w:p>
    <w:p>
      <w:pPr>
        <w:spacing w:line="268" w:lineRule="auto"/>
        <w:sectPr>
          <w:headerReference w:type="default" r:id="rId274"/>
          <w:pgSz w:w="7330" w:h="12480"/>
          <w:pgMar w:top="527" w:right="315" w:bottom="400" w:left="910" w:header="36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right="20"/>
        <w:spacing w:before="68" w:line="307" w:lineRule="auto"/>
        <w:jc w:val="both"/>
        <w:rPr>
          <w:rFonts w:ascii="SimSun" w:hAnsi="SimSun" w:eastAsia="SimSun" w:cs="SimSun"/>
          <w:sz w:val="21"/>
          <w:szCs w:val="21"/>
        </w:rPr>
      </w:pPr>
      <w:r>
        <w:rPr>
          <w:rFonts w:ascii="SimSun" w:hAnsi="SimSun" w:eastAsia="SimSun" w:cs="SimSun"/>
          <w:sz w:val="21"/>
          <w:szCs w:val="21"/>
          <w:spacing w:val="-8"/>
        </w:rPr>
        <w:t>患，数字金融平台需要不断提升金融科技水平来应对数据治理问题，</w:t>
      </w:r>
      <w:r>
        <w:rPr>
          <w:rFonts w:ascii="SimSun" w:hAnsi="SimSun" w:eastAsia="SimSun" w:cs="SimSun"/>
          <w:sz w:val="21"/>
          <w:szCs w:val="21"/>
          <w:spacing w:val="3"/>
        </w:rPr>
        <w:t xml:space="preserve"> </w:t>
      </w:r>
      <w:r>
        <w:rPr>
          <w:rFonts w:ascii="SimSun" w:hAnsi="SimSun" w:eastAsia="SimSun" w:cs="SimSun"/>
          <w:sz w:val="21"/>
          <w:szCs w:val="21"/>
          <w:spacing w:val="-10"/>
        </w:rPr>
        <w:t>如算法的透明性和稳定性问题。数字金融平</w:t>
      </w:r>
      <w:r>
        <w:rPr>
          <w:rFonts w:ascii="SimSun" w:hAnsi="SimSun" w:eastAsia="SimSun" w:cs="SimSun"/>
          <w:sz w:val="21"/>
          <w:szCs w:val="21"/>
          <w:spacing w:val="-11"/>
        </w:rPr>
        <w:t>台凭借数字技术，虽然可 </w:t>
      </w:r>
      <w:r>
        <w:rPr>
          <w:rFonts w:ascii="SimSun" w:hAnsi="SimSun" w:eastAsia="SimSun" w:cs="SimSun"/>
          <w:sz w:val="21"/>
          <w:szCs w:val="21"/>
          <w:spacing w:val="-10"/>
        </w:rPr>
        <w:t>以降低客户对传统网点的依赖性，并极大提</w:t>
      </w:r>
      <w:r>
        <w:rPr>
          <w:rFonts w:ascii="SimSun" w:hAnsi="SimSun" w:eastAsia="SimSun" w:cs="SimSun"/>
          <w:sz w:val="21"/>
          <w:szCs w:val="21"/>
          <w:spacing w:val="-11"/>
        </w:rPr>
        <w:t>升其传播速度和人群覆盖 </w:t>
      </w:r>
      <w:r>
        <w:rPr>
          <w:rFonts w:ascii="SimSun" w:hAnsi="SimSun" w:eastAsia="SimSun" w:cs="SimSun"/>
          <w:sz w:val="21"/>
          <w:szCs w:val="21"/>
          <w:spacing w:val="-10"/>
        </w:rPr>
        <w:t>量，但由于新业态的监管体系尚未完善，为</w:t>
      </w:r>
      <w:r>
        <w:rPr>
          <w:rFonts w:ascii="SimSun" w:hAnsi="SimSun" w:eastAsia="SimSun" w:cs="SimSun"/>
          <w:sz w:val="21"/>
          <w:szCs w:val="21"/>
          <w:spacing w:val="-11"/>
        </w:rPr>
        <w:t>用户带来便捷、高效、多 </w:t>
      </w:r>
      <w:r>
        <w:rPr>
          <w:rFonts w:ascii="SimSun" w:hAnsi="SimSun" w:eastAsia="SimSun" w:cs="SimSun"/>
          <w:sz w:val="21"/>
          <w:szCs w:val="21"/>
          <w:spacing w:val="-10"/>
        </w:rPr>
        <w:t>样化服务的同时也带来了诸多安全隐患。有</w:t>
      </w:r>
      <w:r>
        <w:rPr>
          <w:rFonts w:ascii="SimSun" w:hAnsi="SimSun" w:eastAsia="SimSun" w:cs="SimSun"/>
          <w:sz w:val="21"/>
          <w:szCs w:val="21"/>
          <w:spacing w:val="-11"/>
        </w:rPr>
        <w:t>研究显示，针对金融机构 </w:t>
      </w:r>
      <w:r>
        <w:rPr>
          <w:rFonts w:ascii="SimSun" w:hAnsi="SimSun" w:eastAsia="SimSun" w:cs="SimSun"/>
          <w:sz w:val="21"/>
          <w:szCs w:val="21"/>
          <w:spacing w:val="-10"/>
        </w:rPr>
        <w:t>的网络攻击时有发生，数字金融平台漏洞数</w:t>
      </w:r>
      <w:r>
        <w:rPr>
          <w:rFonts w:ascii="SimSun" w:hAnsi="SimSun" w:eastAsia="SimSun" w:cs="SimSun"/>
          <w:sz w:val="21"/>
          <w:szCs w:val="21"/>
          <w:spacing w:val="-11"/>
        </w:rPr>
        <w:t>量是一般网站的两倍，数 </w:t>
      </w:r>
      <w:r>
        <w:rPr>
          <w:rFonts w:ascii="SimSun" w:hAnsi="SimSun" w:eastAsia="SimSun" w:cs="SimSun"/>
          <w:sz w:val="21"/>
          <w:szCs w:val="21"/>
          <w:spacing w:val="-10"/>
        </w:rPr>
        <w:t>字金融平台遭受攻击的可能是一般网站的三</w:t>
      </w:r>
      <w:r>
        <w:rPr>
          <w:rFonts w:ascii="SimSun" w:hAnsi="SimSun" w:eastAsia="SimSun" w:cs="SimSun"/>
          <w:sz w:val="21"/>
          <w:szCs w:val="21"/>
          <w:spacing w:val="-11"/>
        </w:rPr>
        <w:t>倍，其所存储的数据面临 </w:t>
      </w:r>
      <w:r>
        <w:rPr>
          <w:rFonts w:ascii="SimSun" w:hAnsi="SimSun" w:eastAsia="SimSun" w:cs="SimSun"/>
          <w:sz w:val="21"/>
          <w:szCs w:val="21"/>
          <w:spacing w:val="-10"/>
        </w:rPr>
        <w:t>泄露和毁损的风险。数字金融平台需要不断</w:t>
      </w:r>
      <w:r>
        <w:rPr>
          <w:rFonts w:ascii="SimSun" w:hAnsi="SimSun" w:eastAsia="SimSun" w:cs="SimSun"/>
          <w:sz w:val="21"/>
          <w:szCs w:val="21"/>
          <w:spacing w:val="-11"/>
        </w:rPr>
        <w:t>提升金融科技水平来保障 </w:t>
      </w:r>
      <w:r>
        <w:rPr>
          <w:rFonts w:ascii="SimSun" w:hAnsi="SimSun" w:eastAsia="SimSun" w:cs="SimSun"/>
          <w:sz w:val="21"/>
          <w:szCs w:val="21"/>
          <w:spacing w:val="-10"/>
        </w:rPr>
        <w:t>客户数据安全，进而在技术上降低发生危及</w:t>
      </w:r>
      <w:r>
        <w:rPr>
          <w:rFonts w:ascii="SimSun" w:hAnsi="SimSun" w:eastAsia="SimSun" w:cs="SimSun"/>
          <w:sz w:val="21"/>
          <w:szCs w:val="21"/>
          <w:spacing w:val="-11"/>
        </w:rPr>
        <w:t>个人、国家或社会秩序隐 </w:t>
      </w:r>
      <w:r>
        <w:rPr>
          <w:rFonts w:ascii="SimSun" w:hAnsi="SimSun" w:eastAsia="SimSun" w:cs="SimSun"/>
          <w:sz w:val="21"/>
          <w:szCs w:val="21"/>
          <w:spacing w:val="-15"/>
        </w:rPr>
        <w:t>患的可能性。</w:t>
      </w:r>
    </w:p>
    <w:p>
      <w:pPr>
        <w:ind w:right="20" w:firstLine="409"/>
        <w:spacing w:before="104" w:line="306" w:lineRule="auto"/>
        <w:jc w:val="both"/>
        <w:rPr>
          <w:rFonts w:ascii="SimSun" w:hAnsi="SimSun" w:eastAsia="SimSun" w:cs="SimSun"/>
          <w:sz w:val="21"/>
          <w:szCs w:val="21"/>
        </w:rPr>
      </w:pPr>
      <w:r>
        <w:rPr>
          <w:rFonts w:ascii="SimSun" w:hAnsi="SimSun" w:eastAsia="SimSun" w:cs="SimSun"/>
          <w:sz w:val="21"/>
          <w:szCs w:val="21"/>
          <w:spacing w:val="-3"/>
        </w:rPr>
        <w:t>此外，数据安全、个人信用信息和隐私保护等问题，也是需要</w:t>
      </w:r>
      <w:r>
        <w:rPr>
          <w:rFonts w:ascii="SimSun" w:hAnsi="SimSun" w:eastAsia="SimSun" w:cs="SimSun"/>
          <w:sz w:val="21"/>
          <w:szCs w:val="21"/>
          <w:spacing w:val="10"/>
        </w:rPr>
        <w:t xml:space="preserve"> </w:t>
      </w:r>
      <w:r>
        <w:rPr>
          <w:rFonts w:ascii="SimSun" w:hAnsi="SimSun" w:eastAsia="SimSun" w:cs="SimSun"/>
          <w:sz w:val="21"/>
          <w:szCs w:val="21"/>
          <w:spacing w:val="-4"/>
        </w:rPr>
        <w:t>关注的重要方面。数据安全问题还涉及个人信用信息的使用和共享 </w:t>
      </w:r>
      <w:r>
        <w:rPr>
          <w:rFonts w:ascii="SimSun" w:hAnsi="SimSun" w:eastAsia="SimSun" w:cs="SimSun"/>
          <w:sz w:val="21"/>
          <w:szCs w:val="21"/>
          <w:spacing w:val="-9"/>
        </w:rPr>
        <w:t>问题。金融业务必然需要获取个人身份和信用信息，</w:t>
      </w:r>
      <w:r>
        <w:rPr>
          <w:rFonts w:ascii="SimSun" w:hAnsi="SimSun" w:eastAsia="SimSun" w:cs="SimSun"/>
          <w:sz w:val="21"/>
          <w:szCs w:val="21"/>
          <w:spacing w:val="56"/>
        </w:rPr>
        <w:t xml:space="preserve"> </w:t>
      </w:r>
      <w:r>
        <w:rPr>
          <w:rFonts w:ascii="SimSun" w:hAnsi="SimSun" w:eastAsia="SimSun" w:cs="SimSun"/>
          <w:sz w:val="21"/>
          <w:szCs w:val="21"/>
          <w:spacing w:val="-9"/>
        </w:rPr>
        <w:t>一方面这</w:t>
      </w:r>
      <w:r>
        <w:rPr>
          <w:rFonts w:ascii="SimSun" w:hAnsi="SimSun" w:eastAsia="SimSun" w:cs="SimSun"/>
          <w:sz w:val="21"/>
          <w:szCs w:val="21"/>
          <w:spacing w:val="-10"/>
        </w:rPr>
        <w:t>些平 </w:t>
      </w:r>
      <w:r>
        <w:rPr>
          <w:rFonts w:ascii="SimSun" w:hAnsi="SimSun" w:eastAsia="SimSun" w:cs="SimSun"/>
          <w:sz w:val="21"/>
          <w:szCs w:val="21"/>
          <w:spacing w:val="-4"/>
        </w:rPr>
        <w:t>台会在自己平台的业务或服务中用到以上信息，另一方面，在和其 </w:t>
      </w:r>
      <w:r>
        <w:rPr>
          <w:rFonts w:ascii="SimSun" w:hAnsi="SimSun" w:eastAsia="SimSun" w:cs="SimSun"/>
          <w:sz w:val="21"/>
          <w:szCs w:val="21"/>
          <w:spacing w:val="-8"/>
        </w:rPr>
        <w:t>他金融机构合作的过程中，平台会面临该信息如何与其他机构共享，</w:t>
      </w:r>
      <w:r>
        <w:rPr>
          <w:rFonts w:ascii="SimSun" w:hAnsi="SimSun" w:eastAsia="SimSun" w:cs="SimSun"/>
          <w:sz w:val="21"/>
          <w:szCs w:val="21"/>
          <w:spacing w:val="3"/>
        </w:rPr>
        <w:t xml:space="preserve"> </w:t>
      </w:r>
      <w:r>
        <w:rPr>
          <w:rFonts w:ascii="SimSun" w:hAnsi="SimSun" w:eastAsia="SimSun" w:cs="SimSun"/>
          <w:sz w:val="21"/>
          <w:szCs w:val="21"/>
          <w:spacing w:val="-4"/>
        </w:rPr>
        <w:t>及合作过程中的使用边界和权责问题。现有的金融数据流通和共享 </w:t>
      </w:r>
      <w:r>
        <w:rPr>
          <w:rFonts w:ascii="SimSun" w:hAnsi="SimSun" w:eastAsia="SimSun" w:cs="SimSun"/>
          <w:sz w:val="21"/>
          <w:szCs w:val="21"/>
          <w:spacing w:val="-4"/>
        </w:rPr>
        <w:t>存在数据权属不清、权益分配规则不明确、数据纠纷解决机制不健 </w:t>
      </w:r>
      <w:r>
        <w:rPr>
          <w:rFonts w:ascii="SimSun" w:hAnsi="SimSun" w:eastAsia="SimSun" w:cs="SimSun"/>
          <w:sz w:val="21"/>
          <w:szCs w:val="21"/>
          <w:spacing w:val="-4"/>
        </w:rPr>
        <w:t>全等问题，进而使现有数字金融平台在数据共享和流通方面的积极 </w:t>
      </w:r>
      <w:r>
        <w:rPr>
          <w:rFonts w:ascii="SimSun" w:hAnsi="SimSun" w:eastAsia="SimSun" w:cs="SimSun"/>
          <w:sz w:val="21"/>
          <w:szCs w:val="21"/>
          <w:spacing w:val="-8"/>
        </w:rPr>
        <w:t>性不高。</w:t>
      </w:r>
    </w:p>
    <w:p>
      <w:pPr>
        <w:pStyle w:val="BodyText"/>
        <w:spacing w:line="351" w:lineRule="auto"/>
        <w:rPr/>
      </w:pPr>
      <w:r/>
    </w:p>
    <w:p>
      <w:pPr>
        <w:ind w:left="794"/>
        <w:spacing w:before="107" w:line="219" w:lineRule="auto"/>
        <w:rPr>
          <w:rFonts w:ascii="SimSun" w:hAnsi="SimSun" w:eastAsia="SimSun" w:cs="SimSun"/>
          <w:sz w:val="33"/>
          <w:szCs w:val="33"/>
        </w:rPr>
      </w:pPr>
      <w:r>
        <w:rPr>
          <w:rFonts w:ascii="SimSun" w:hAnsi="SimSun" w:eastAsia="SimSun" w:cs="SimSun"/>
          <w:sz w:val="33"/>
          <w:szCs w:val="33"/>
          <w:b/>
          <w:bCs/>
          <w:spacing w:val="-15"/>
        </w:rPr>
        <w:t>数字金融平台的监管和政策建议</w:t>
      </w:r>
    </w:p>
    <w:p>
      <w:pPr>
        <w:pStyle w:val="BodyText"/>
        <w:spacing w:line="266" w:lineRule="auto"/>
        <w:rPr/>
      </w:pPr>
      <w:r/>
    </w:p>
    <w:p>
      <w:pPr>
        <w:ind w:firstLine="409"/>
        <w:spacing w:before="69" w:line="297" w:lineRule="auto"/>
        <w:jc w:val="both"/>
        <w:rPr>
          <w:rFonts w:ascii="SimSun" w:hAnsi="SimSun" w:eastAsia="SimSun" w:cs="SimSun"/>
          <w:sz w:val="21"/>
          <w:szCs w:val="21"/>
        </w:rPr>
      </w:pPr>
      <w:r>
        <w:rPr>
          <w:rFonts w:ascii="SimSun" w:hAnsi="SimSun" w:eastAsia="SimSun" w:cs="SimSun"/>
          <w:sz w:val="21"/>
          <w:szCs w:val="21"/>
          <w:spacing w:val="-8"/>
        </w:rPr>
        <w:t>过去中国数字金融发展速度之快，与以往的监管态度密不可分。</w:t>
      </w:r>
      <w:r>
        <w:rPr>
          <w:rFonts w:ascii="SimSun" w:hAnsi="SimSun" w:eastAsia="SimSun" w:cs="SimSun"/>
          <w:sz w:val="21"/>
          <w:szCs w:val="21"/>
          <w:spacing w:val="17"/>
        </w:rPr>
        <w:t xml:space="preserve"> </w:t>
      </w:r>
      <w:r>
        <w:rPr>
          <w:rFonts w:ascii="SimSun" w:hAnsi="SimSun" w:eastAsia="SimSun" w:cs="SimSun"/>
          <w:sz w:val="21"/>
          <w:szCs w:val="21"/>
          <w:spacing w:val="-7"/>
        </w:rPr>
        <w:t>在数字金融行业发展初期，监管对数字金融平台采取</w:t>
      </w:r>
      <w:r>
        <w:rPr>
          <w:rFonts w:ascii="SimSun" w:hAnsi="SimSun" w:eastAsia="SimSun" w:cs="SimSun"/>
          <w:sz w:val="21"/>
          <w:szCs w:val="21"/>
          <w:spacing w:val="-8"/>
        </w:rPr>
        <w:t>了相对包容的、</w:t>
      </w:r>
      <w:r>
        <w:rPr>
          <w:rFonts w:ascii="SimSun" w:hAnsi="SimSun" w:eastAsia="SimSun" w:cs="SimSun"/>
          <w:sz w:val="21"/>
          <w:szCs w:val="21"/>
        </w:rPr>
        <w:t xml:space="preserve"> </w:t>
      </w:r>
      <w:r>
        <w:rPr>
          <w:rFonts w:ascii="SimSun" w:hAnsi="SimSun" w:eastAsia="SimSun" w:cs="SimSun"/>
          <w:sz w:val="21"/>
          <w:szCs w:val="21"/>
          <w:spacing w:val="-11"/>
        </w:rPr>
        <w:t>务实的态度，进而促成了数字金融平台发展的众多创新。随着中国数</w:t>
      </w:r>
      <w:r>
        <w:rPr>
          <w:rFonts w:ascii="SimSun" w:hAnsi="SimSun" w:eastAsia="SimSun" w:cs="SimSun"/>
          <w:sz w:val="21"/>
          <w:szCs w:val="21"/>
          <w:spacing w:val="8"/>
        </w:rPr>
        <w:t xml:space="preserve">  </w:t>
      </w:r>
      <w:r>
        <w:rPr>
          <w:rFonts w:ascii="SimSun" w:hAnsi="SimSun" w:eastAsia="SimSun" w:cs="SimSun"/>
          <w:sz w:val="21"/>
          <w:szCs w:val="21"/>
          <w:spacing w:val="-11"/>
        </w:rPr>
        <w:t>字金融发展的不断深入，未来最大的外部环境变化是从野蛮生长向金</w:t>
      </w:r>
      <w:r>
        <w:rPr>
          <w:rFonts w:ascii="SimSun" w:hAnsi="SimSun" w:eastAsia="SimSun" w:cs="SimSun"/>
          <w:sz w:val="21"/>
          <w:szCs w:val="21"/>
          <w:spacing w:val="8"/>
        </w:rPr>
        <w:t xml:space="preserve">  </w:t>
      </w:r>
      <w:r>
        <w:rPr>
          <w:rFonts w:ascii="SimSun" w:hAnsi="SimSun" w:eastAsia="SimSun" w:cs="SimSun"/>
          <w:sz w:val="21"/>
          <w:szCs w:val="21"/>
          <w:spacing w:val="-10"/>
        </w:rPr>
        <w:t>融监管全覆盖的转变，无论是科技公司还是金融机构都应该接受同样</w:t>
      </w:r>
    </w:p>
    <w:p>
      <w:pPr>
        <w:spacing w:line="297" w:lineRule="auto"/>
        <w:sectPr>
          <w:headerReference w:type="default" r:id="rId275"/>
          <w:pgSz w:w="7330" w:h="12480"/>
          <w:pgMar w:top="875" w:right="855" w:bottom="400" w:left="390" w:header="712" w:footer="0" w:gutter="0"/>
        </w:sectPr>
        <w:rPr>
          <w:rFonts w:ascii="SimSun" w:hAnsi="SimSun" w:eastAsia="SimSun" w:cs="SimSun"/>
          <w:sz w:val="21"/>
          <w:szCs w:val="21"/>
        </w:rPr>
      </w:pP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spacing w:before="61" w:line="219" w:lineRule="auto"/>
        <w:rPr>
          <w:rFonts w:ascii="SimSun" w:hAnsi="SimSun" w:eastAsia="SimSun" w:cs="SimSun"/>
          <w:sz w:val="19"/>
          <w:szCs w:val="19"/>
        </w:rPr>
      </w:pPr>
      <w:r>
        <w:rPr>
          <w:rFonts w:ascii="SimSun" w:hAnsi="SimSun" w:eastAsia="SimSun" w:cs="SimSun"/>
          <w:sz w:val="19"/>
          <w:szCs w:val="19"/>
          <w:spacing w:val="8"/>
        </w:rPr>
        <w:t>的监管，这已成为数字金融领域的共识。</w:t>
      </w:r>
    </w:p>
    <w:p>
      <w:pPr>
        <w:pStyle w:val="BodyText"/>
        <w:spacing w:line="465"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10"/>
        </w:rPr>
        <w:t>平</w:t>
      </w:r>
      <w:r>
        <w:rPr>
          <w:rFonts w:ascii="SimHei" w:hAnsi="SimHei" w:eastAsia="SimHei" w:cs="SimHei"/>
          <w:sz w:val="19"/>
          <w:szCs w:val="19"/>
          <w:spacing w:val="-34"/>
        </w:rPr>
        <w:t xml:space="preserve"> </w:t>
      </w:r>
      <w:r>
        <w:rPr>
          <w:rFonts w:ascii="SimHei" w:hAnsi="SimHei" w:eastAsia="SimHei" w:cs="SimHei"/>
          <w:sz w:val="19"/>
          <w:szCs w:val="19"/>
          <w:b/>
          <w:bCs/>
          <w:spacing w:val="-10"/>
        </w:rPr>
        <w:t>衡</w:t>
      </w:r>
      <w:r>
        <w:rPr>
          <w:rFonts w:ascii="SimHei" w:hAnsi="SimHei" w:eastAsia="SimHei" w:cs="SimHei"/>
          <w:sz w:val="19"/>
          <w:szCs w:val="19"/>
          <w:spacing w:val="-33"/>
        </w:rPr>
        <w:t xml:space="preserve"> </w:t>
      </w:r>
      <w:r>
        <w:rPr>
          <w:rFonts w:ascii="SimHei" w:hAnsi="SimHei" w:eastAsia="SimHei" w:cs="SimHei"/>
          <w:sz w:val="19"/>
          <w:szCs w:val="19"/>
          <w:b/>
          <w:bCs/>
          <w:spacing w:val="-10"/>
        </w:rPr>
        <w:t>创</w:t>
      </w:r>
      <w:r>
        <w:rPr>
          <w:rFonts w:ascii="SimHei" w:hAnsi="SimHei" w:eastAsia="SimHei" w:cs="SimHei"/>
          <w:sz w:val="19"/>
          <w:szCs w:val="19"/>
          <w:spacing w:val="-33"/>
        </w:rPr>
        <w:t xml:space="preserve"> </w:t>
      </w:r>
      <w:r>
        <w:rPr>
          <w:rFonts w:ascii="SimHei" w:hAnsi="SimHei" w:eastAsia="SimHei" w:cs="SimHei"/>
          <w:sz w:val="19"/>
          <w:szCs w:val="19"/>
          <w:b/>
          <w:bCs/>
          <w:spacing w:val="-10"/>
        </w:rPr>
        <w:t>新</w:t>
      </w:r>
      <w:r>
        <w:rPr>
          <w:rFonts w:ascii="SimHei" w:hAnsi="SimHei" w:eastAsia="SimHei" w:cs="SimHei"/>
          <w:sz w:val="19"/>
          <w:szCs w:val="19"/>
          <w:spacing w:val="-31"/>
        </w:rPr>
        <w:t xml:space="preserve"> </w:t>
      </w:r>
      <w:r>
        <w:rPr>
          <w:rFonts w:ascii="SimHei" w:hAnsi="SimHei" w:eastAsia="SimHei" w:cs="SimHei"/>
          <w:sz w:val="19"/>
          <w:szCs w:val="19"/>
          <w:b/>
          <w:bCs/>
          <w:spacing w:val="-10"/>
        </w:rPr>
        <w:t>和</w:t>
      </w:r>
      <w:r>
        <w:rPr>
          <w:rFonts w:ascii="SimHei" w:hAnsi="SimHei" w:eastAsia="SimHei" w:cs="SimHei"/>
          <w:sz w:val="19"/>
          <w:szCs w:val="19"/>
          <w:spacing w:val="-32"/>
        </w:rPr>
        <w:t xml:space="preserve"> </w:t>
      </w:r>
      <w:r>
        <w:rPr>
          <w:rFonts w:ascii="SimHei" w:hAnsi="SimHei" w:eastAsia="SimHei" w:cs="SimHei"/>
          <w:sz w:val="19"/>
          <w:szCs w:val="19"/>
          <w:b/>
          <w:bCs/>
          <w:spacing w:val="-10"/>
        </w:rPr>
        <w:t>风</w:t>
      </w:r>
      <w:r>
        <w:rPr>
          <w:rFonts w:ascii="SimHei" w:hAnsi="SimHei" w:eastAsia="SimHei" w:cs="SimHei"/>
          <w:sz w:val="19"/>
          <w:szCs w:val="19"/>
          <w:spacing w:val="-24"/>
        </w:rPr>
        <w:t xml:space="preserve"> </w:t>
      </w:r>
      <w:r>
        <w:rPr>
          <w:rFonts w:ascii="SimHei" w:hAnsi="SimHei" w:eastAsia="SimHei" w:cs="SimHei"/>
          <w:sz w:val="19"/>
          <w:szCs w:val="19"/>
          <w:b/>
          <w:bCs/>
          <w:spacing w:val="-10"/>
        </w:rPr>
        <w:t>险</w:t>
      </w:r>
      <w:r>
        <w:rPr>
          <w:rFonts w:ascii="SimHei" w:hAnsi="SimHei" w:eastAsia="SimHei" w:cs="SimHei"/>
          <w:sz w:val="19"/>
          <w:szCs w:val="19"/>
          <w:spacing w:val="-30"/>
        </w:rPr>
        <w:t xml:space="preserve"> </w:t>
      </w:r>
      <w:r>
        <w:rPr>
          <w:rFonts w:ascii="SimHei" w:hAnsi="SimHei" w:eastAsia="SimHei" w:cs="SimHei"/>
          <w:sz w:val="19"/>
          <w:szCs w:val="19"/>
          <w:b/>
          <w:bCs/>
          <w:spacing w:val="-10"/>
        </w:rPr>
        <w:t>管</w:t>
      </w:r>
      <w:r>
        <w:rPr>
          <w:rFonts w:ascii="SimHei" w:hAnsi="SimHei" w:eastAsia="SimHei" w:cs="SimHei"/>
          <w:sz w:val="19"/>
          <w:szCs w:val="19"/>
          <w:spacing w:val="-33"/>
        </w:rPr>
        <w:t xml:space="preserve"> </w:t>
      </w:r>
      <w:r>
        <w:rPr>
          <w:rFonts w:ascii="SimHei" w:hAnsi="SimHei" w:eastAsia="SimHei" w:cs="SimHei"/>
          <w:sz w:val="19"/>
          <w:szCs w:val="19"/>
          <w:b/>
          <w:bCs/>
          <w:spacing w:val="-10"/>
        </w:rPr>
        <w:t>控</w:t>
      </w:r>
    </w:p>
    <w:p>
      <w:pPr>
        <w:pStyle w:val="BodyText"/>
        <w:spacing w:line="360" w:lineRule="auto"/>
        <w:rPr/>
      </w:pPr>
      <w:r/>
    </w:p>
    <w:p>
      <w:pPr>
        <w:ind w:right="60" w:firstLine="469"/>
        <w:spacing w:before="62" w:line="350" w:lineRule="auto"/>
        <w:jc w:val="both"/>
        <w:rPr>
          <w:rFonts w:ascii="SimSun" w:hAnsi="SimSun" w:eastAsia="SimSun" w:cs="SimSun"/>
          <w:sz w:val="19"/>
          <w:szCs w:val="19"/>
        </w:rPr>
      </w:pPr>
      <w:r>
        <w:rPr>
          <w:rFonts w:ascii="SimSun" w:hAnsi="SimSun" w:eastAsia="SimSun" w:cs="SimSun"/>
          <w:sz w:val="19"/>
          <w:szCs w:val="19"/>
          <w:spacing w:val="9"/>
        </w:rPr>
        <w:t>实现创新和风险管控的平衡既要防范数字金融平台的金融风险及</w:t>
      </w:r>
      <w:r>
        <w:rPr>
          <w:rFonts w:ascii="SimSun" w:hAnsi="SimSun" w:eastAsia="SimSun" w:cs="SimSun"/>
          <w:sz w:val="19"/>
          <w:szCs w:val="19"/>
          <w:spacing w:val="7"/>
        </w:rPr>
        <w:t xml:space="preserve"> </w:t>
      </w:r>
      <w:r>
        <w:rPr>
          <w:rFonts w:ascii="SimSun" w:hAnsi="SimSun" w:eastAsia="SimSun" w:cs="SimSun"/>
          <w:sz w:val="19"/>
          <w:szCs w:val="19"/>
          <w:spacing w:val="15"/>
        </w:rPr>
        <w:t>其对金融体系的威胁，又要鼓励其发挥创新动能。过去近20年，数 </w:t>
      </w:r>
      <w:r>
        <w:rPr>
          <w:rFonts w:ascii="SimSun" w:hAnsi="SimSun" w:eastAsia="SimSun" w:cs="SimSun"/>
          <w:sz w:val="19"/>
          <w:szCs w:val="19"/>
          <w:spacing w:val="9"/>
        </w:rPr>
        <w:t>字金融在取得许多突破性创新的同时，也产生了不少风险，遗留了许 </w:t>
      </w:r>
      <w:r>
        <w:rPr>
          <w:rFonts w:ascii="SimSun" w:hAnsi="SimSun" w:eastAsia="SimSun" w:cs="SimSun"/>
          <w:sz w:val="19"/>
          <w:szCs w:val="19"/>
          <w:spacing w:val="12"/>
        </w:rPr>
        <w:t>多尚未解决的问题。如</w:t>
      </w:r>
      <w:r>
        <w:rPr>
          <w:rFonts w:ascii="SimSun" w:hAnsi="SimSun" w:eastAsia="SimSun" w:cs="SimSun"/>
          <w:sz w:val="19"/>
          <w:szCs w:val="19"/>
          <w:spacing w:val="-31"/>
        </w:rPr>
        <w:t xml:space="preserve"> </w:t>
      </w:r>
      <w:r>
        <w:rPr>
          <w:rFonts w:ascii="SimSun" w:hAnsi="SimSun" w:eastAsia="SimSun" w:cs="SimSun"/>
          <w:sz w:val="19"/>
          <w:szCs w:val="19"/>
          <w:spacing w:val="12"/>
        </w:rPr>
        <w:t>P2P 完全脱离了信息中介的定位，其从2007</w:t>
      </w:r>
      <w:r>
        <w:rPr>
          <w:rFonts w:ascii="SimSun" w:hAnsi="SimSun" w:eastAsia="SimSun" w:cs="SimSun"/>
          <w:sz w:val="19"/>
          <w:szCs w:val="19"/>
        </w:rPr>
        <w:t xml:space="preserve">  </w:t>
      </w:r>
      <w:r>
        <w:rPr>
          <w:rFonts w:ascii="SimSun" w:hAnsi="SimSun" w:eastAsia="SimSun" w:cs="SimSun"/>
          <w:sz w:val="19"/>
          <w:szCs w:val="19"/>
          <w:spacing w:val="14"/>
        </w:rPr>
        <w:t>年起步，在2015年平台数达到峰值，再到2020年清零，即使到现在</w:t>
      </w:r>
      <w:r>
        <w:rPr>
          <w:rFonts w:ascii="SimSun" w:hAnsi="SimSun" w:eastAsia="SimSun" w:cs="SimSun"/>
          <w:sz w:val="19"/>
          <w:szCs w:val="19"/>
          <w:spacing w:val="17"/>
        </w:rPr>
        <w:t xml:space="preserve"> </w:t>
      </w:r>
      <w:r>
        <w:rPr>
          <w:rFonts w:ascii="SimSun" w:hAnsi="SimSun" w:eastAsia="SimSun" w:cs="SimSun"/>
          <w:sz w:val="19"/>
          <w:szCs w:val="19"/>
          <w:spacing w:val="4"/>
        </w:rPr>
        <w:t>仍遗留许多金融与社会风险问题；</w:t>
      </w:r>
      <w:r>
        <w:rPr>
          <w:rFonts w:ascii="SimSun" w:hAnsi="SimSun" w:eastAsia="SimSun" w:cs="SimSun"/>
          <w:sz w:val="19"/>
          <w:szCs w:val="19"/>
          <w:spacing w:val="65"/>
        </w:rPr>
        <w:t xml:space="preserve"> </w:t>
      </w:r>
      <w:r>
        <w:rPr>
          <w:rFonts w:ascii="SimSun" w:hAnsi="SimSun" w:eastAsia="SimSun" w:cs="SimSun"/>
          <w:sz w:val="19"/>
          <w:szCs w:val="19"/>
          <w:spacing w:val="4"/>
        </w:rPr>
        <w:t>一些消费信贷机构没有</w:t>
      </w:r>
      <w:r>
        <w:rPr>
          <w:rFonts w:ascii="SimSun" w:hAnsi="SimSun" w:eastAsia="SimSun" w:cs="SimSun"/>
          <w:sz w:val="19"/>
          <w:szCs w:val="19"/>
          <w:spacing w:val="3"/>
        </w:rPr>
        <w:t>很好地履行 </w:t>
      </w:r>
      <w:r>
        <w:rPr>
          <w:rFonts w:ascii="SimSun" w:hAnsi="SimSun" w:eastAsia="SimSun" w:cs="SimSun"/>
          <w:sz w:val="19"/>
          <w:szCs w:val="19"/>
          <w:spacing w:val="10"/>
        </w:rPr>
        <w:t>必要的风控责任，无序扩张业务，诸如现金贷中</w:t>
      </w:r>
      <w:r>
        <w:rPr>
          <w:rFonts w:ascii="SimSun" w:hAnsi="SimSun" w:eastAsia="SimSun" w:cs="SimSun"/>
          <w:sz w:val="19"/>
          <w:szCs w:val="19"/>
          <w:spacing w:val="9"/>
        </w:rPr>
        <w:t>的“校园贷”、按揭</w:t>
      </w:r>
      <w:r>
        <w:rPr>
          <w:rFonts w:ascii="SimSun" w:hAnsi="SimSun" w:eastAsia="SimSun" w:cs="SimSun"/>
          <w:sz w:val="19"/>
          <w:szCs w:val="19"/>
        </w:rPr>
        <w:t xml:space="preserve"> </w:t>
      </w:r>
      <w:r>
        <w:rPr>
          <w:rFonts w:ascii="SimSun" w:hAnsi="SimSun" w:eastAsia="SimSun" w:cs="SimSun"/>
          <w:sz w:val="19"/>
          <w:szCs w:val="19"/>
          <w:spacing w:val="9"/>
        </w:rPr>
        <w:t>贷中的“零首付”等，大大提高了杠杆率，放大了金融风险；甚至一 </w:t>
      </w:r>
      <w:r>
        <w:rPr>
          <w:rFonts w:ascii="SimSun" w:hAnsi="SimSun" w:eastAsia="SimSun" w:cs="SimSun"/>
          <w:sz w:val="19"/>
          <w:szCs w:val="19"/>
          <w:spacing w:val="12"/>
        </w:rPr>
        <w:t>些科技平台在将个别业务细分的同时，还横跨许多不</w:t>
      </w:r>
      <w:r>
        <w:rPr>
          <w:rFonts w:ascii="SimSun" w:hAnsi="SimSun" w:eastAsia="SimSun" w:cs="SimSun"/>
          <w:sz w:val="19"/>
          <w:szCs w:val="19"/>
          <w:spacing w:val="11"/>
        </w:rPr>
        <w:t>同的金融业务，</w:t>
      </w:r>
      <w:r>
        <w:rPr>
          <w:rFonts w:ascii="SimSun" w:hAnsi="SimSun" w:eastAsia="SimSun" w:cs="SimSun"/>
          <w:sz w:val="19"/>
          <w:szCs w:val="19"/>
        </w:rPr>
        <w:t xml:space="preserve"> </w:t>
      </w:r>
      <w:r>
        <w:rPr>
          <w:rFonts w:ascii="SimSun" w:hAnsi="SimSun" w:eastAsia="SimSun" w:cs="SimSun"/>
          <w:sz w:val="19"/>
          <w:szCs w:val="19"/>
          <w:spacing w:val="10"/>
        </w:rPr>
        <w:t>这既引发了监管部门对其市场垄断的担忧，也引起了监管部门</w:t>
      </w:r>
      <w:r>
        <w:rPr>
          <w:rFonts w:ascii="SimSun" w:hAnsi="SimSun" w:eastAsia="SimSun" w:cs="SimSun"/>
          <w:sz w:val="19"/>
          <w:szCs w:val="19"/>
          <w:spacing w:val="9"/>
        </w:rPr>
        <w:t>对其系</w:t>
      </w:r>
      <w:r>
        <w:rPr>
          <w:rFonts w:ascii="SimSun" w:hAnsi="SimSun" w:eastAsia="SimSun" w:cs="SimSun"/>
          <w:sz w:val="19"/>
          <w:szCs w:val="19"/>
        </w:rPr>
        <w:t xml:space="preserve"> </w:t>
      </w:r>
      <w:r>
        <w:rPr>
          <w:rFonts w:ascii="SimSun" w:hAnsi="SimSun" w:eastAsia="SimSun" w:cs="SimSun"/>
          <w:sz w:val="19"/>
          <w:szCs w:val="19"/>
          <w:spacing w:val="17"/>
        </w:rPr>
        <w:t>统性金融风险的关注。随着数字金融风险频发和潜在问题</w:t>
      </w:r>
      <w:r>
        <w:rPr>
          <w:rFonts w:ascii="SimSun" w:hAnsi="SimSun" w:eastAsia="SimSun" w:cs="SimSun"/>
          <w:sz w:val="19"/>
          <w:szCs w:val="19"/>
          <w:spacing w:val="16"/>
        </w:rPr>
        <w:t>的不断凸</w:t>
      </w:r>
    </w:p>
    <w:p>
      <w:pPr>
        <w:spacing w:line="219" w:lineRule="auto"/>
        <w:rPr>
          <w:rFonts w:ascii="SimSun" w:hAnsi="SimSun" w:eastAsia="SimSun" w:cs="SimSun"/>
          <w:sz w:val="19"/>
          <w:szCs w:val="19"/>
        </w:rPr>
      </w:pPr>
      <w:r>
        <w:rPr>
          <w:rFonts w:ascii="SimSun" w:hAnsi="SimSun" w:eastAsia="SimSun" w:cs="SimSun"/>
          <w:sz w:val="19"/>
          <w:szCs w:val="19"/>
          <w:spacing w:val="8"/>
        </w:rPr>
        <w:t>显，未来的监管需要在创新和风险二者间取得平衡。</w:t>
      </w:r>
    </w:p>
    <w:p>
      <w:pPr>
        <w:ind w:firstLine="459"/>
        <w:spacing w:before="132" w:line="350" w:lineRule="auto"/>
        <w:jc w:val="both"/>
        <w:rPr>
          <w:rFonts w:ascii="SimSun" w:hAnsi="SimSun" w:eastAsia="SimSun" w:cs="SimSun"/>
          <w:sz w:val="19"/>
          <w:szCs w:val="19"/>
        </w:rPr>
      </w:pPr>
      <w:r>
        <w:rPr>
          <w:rFonts w:ascii="SimSun" w:hAnsi="SimSun" w:eastAsia="SimSun" w:cs="SimSun"/>
          <w:sz w:val="19"/>
          <w:szCs w:val="19"/>
          <w:spacing w:val="12"/>
        </w:rPr>
        <w:t>应构建一个适应数字金融平台和数字金融行业发展的监管框</w:t>
      </w:r>
      <w:r>
        <w:rPr>
          <w:rFonts w:ascii="SimSun" w:hAnsi="SimSun" w:eastAsia="SimSun" w:cs="SimSun"/>
          <w:sz w:val="19"/>
          <w:szCs w:val="19"/>
          <w:spacing w:val="11"/>
        </w:rPr>
        <w:t>架，</w:t>
      </w:r>
      <w:r>
        <w:rPr>
          <w:rFonts w:ascii="SimSun" w:hAnsi="SimSun" w:eastAsia="SimSun" w:cs="SimSun"/>
          <w:sz w:val="19"/>
          <w:szCs w:val="19"/>
        </w:rPr>
        <w:t xml:space="preserve"> </w:t>
      </w:r>
      <w:r>
        <w:rPr>
          <w:rFonts w:ascii="SimSun" w:hAnsi="SimSun" w:eastAsia="SimSun" w:cs="SimSun"/>
          <w:sz w:val="19"/>
          <w:szCs w:val="19"/>
          <w:spacing w:val="16"/>
        </w:rPr>
        <w:t>坚持以金融支持实体经济来引导数字金融平台的创新方向。回顾数</w:t>
      </w:r>
      <w:r>
        <w:rPr>
          <w:rFonts w:ascii="SimSun" w:hAnsi="SimSun" w:eastAsia="SimSun" w:cs="SimSun"/>
          <w:sz w:val="19"/>
          <w:szCs w:val="19"/>
          <w:spacing w:val="6"/>
        </w:rPr>
        <w:t xml:space="preserve">  </w:t>
      </w:r>
      <w:r>
        <w:rPr>
          <w:rFonts w:ascii="SimSun" w:hAnsi="SimSun" w:eastAsia="SimSun" w:cs="SimSun"/>
          <w:sz w:val="19"/>
          <w:szCs w:val="19"/>
          <w:spacing w:val="17"/>
        </w:rPr>
        <w:t>字金融发展历程中产生的各种问题，大多与监管缺</w:t>
      </w:r>
      <w:r>
        <w:rPr>
          <w:rFonts w:ascii="SimSun" w:hAnsi="SimSun" w:eastAsia="SimSun" w:cs="SimSun"/>
          <w:sz w:val="19"/>
          <w:szCs w:val="19"/>
          <w:spacing w:val="16"/>
        </w:rPr>
        <w:t>失或者监管不当</w:t>
      </w:r>
      <w:r>
        <w:rPr>
          <w:rFonts w:ascii="SimSun" w:hAnsi="SimSun" w:eastAsia="SimSun" w:cs="SimSun"/>
          <w:sz w:val="19"/>
          <w:szCs w:val="19"/>
        </w:rPr>
        <w:t xml:space="preserve">  </w:t>
      </w:r>
      <w:r>
        <w:rPr>
          <w:rFonts w:ascii="SimSun" w:hAnsi="SimSun" w:eastAsia="SimSun" w:cs="SimSun"/>
          <w:sz w:val="19"/>
          <w:szCs w:val="19"/>
          <w:spacing w:val="16"/>
        </w:rPr>
        <w:t>有关。虽然数字化时代已经到来，但中国的数字金融监管相关法律</w:t>
      </w:r>
      <w:r>
        <w:rPr>
          <w:rFonts w:ascii="SimSun" w:hAnsi="SimSun" w:eastAsia="SimSun" w:cs="SimSun"/>
          <w:sz w:val="19"/>
          <w:szCs w:val="19"/>
          <w:spacing w:val="6"/>
        </w:rPr>
        <w:t xml:space="preserve">  </w:t>
      </w:r>
      <w:r>
        <w:rPr>
          <w:rFonts w:ascii="SimSun" w:hAnsi="SimSun" w:eastAsia="SimSun" w:cs="SimSun"/>
          <w:sz w:val="19"/>
          <w:szCs w:val="19"/>
          <w:spacing w:val="17"/>
        </w:rPr>
        <w:t>体系尚不完善，金融监管部门的合作机制尚未建立。平衡创新和风</w:t>
      </w:r>
      <w:r>
        <w:rPr>
          <w:rFonts w:ascii="SimSun" w:hAnsi="SimSun" w:eastAsia="SimSun" w:cs="SimSun"/>
          <w:sz w:val="19"/>
          <w:szCs w:val="19"/>
          <w:spacing w:val="2"/>
        </w:rPr>
        <w:t xml:space="preserve">  </w:t>
      </w:r>
      <w:r>
        <w:rPr>
          <w:rFonts w:ascii="SimSun" w:hAnsi="SimSun" w:eastAsia="SimSun" w:cs="SimSun"/>
          <w:sz w:val="19"/>
          <w:szCs w:val="19"/>
          <w:spacing w:val="16"/>
        </w:rPr>
        <w:t>险的最佳选择，是提升金融监管科技创新，支撑和推动传统金融业</w:t>
      </w:r>
      <w:r>
        <w:rPr>
          <w:rFonts w:ascii="SimSun" w:hAnsi="SimSun" w:eastAsia="SimSun" w:cs="SimSun"/>
          <w:sz w:val="19"/>
          <w:szCs w:val="19"/>
          <w:spacing w:val="5"/>
        </w:rPr>
        <w:t xml:space="preserve">  </w:t>
      </w:r>
      <w:r>
        <w:rPr>
          <w:rFonts w:ascii="SimSun" w:hAnsi="SimSun" w:eastAsia="SimSun" w:cs="SimSun"/>
          <w:sz w:val="19"/>
          <w:szCs w:val="19"/>
          <w:spacing w:val="17"/>
        </w:rPr>
        <w:t>向数字金融甚至智能金融转变。目前，各国在大数</w:t>
      </w:r>
      <w:r>
        <w:rPr>
          <w:rFonts w:ascii="SimSun" w:hAnsi="SimSun" w:eastAsia="SimSun" w:cs="SimSun"/>
          <w:sz w:val="19"/>
          <w:szCs w:val="19"/>
          <w:spacing w:val="16"/>
        </w:rPr>
        <w:t>据技术和人工智</w:t>
      </w:r>
      <w:r>
        <w:rPr>
          <w:rFonts w:ascii="SimSun" w:hAnsi="SimSun" w:eastAsia="SimSun" w:cs="SimSun"/>
          <w:sz w:val="19"/>
          <w:szCs w:val="19"/>
        </w:rPr>
        <w:t xml:space="preserve">  </w:t>
      </w:r>
      <w:r>
        <w:rPr>
          <w:rFonts w:ascii="SimSun" w:hAnsi="SimSun" w:eastAsia="SimSun" w:cs="SimSun"/>
          <w:sz w:val="19"/>
          <w:szCs w:val="19"/>
          <w:spacing w:val="16"/>
        </w:rPr>
        <w:t>能技术领域已展开了激烈竞争，数字技术和传统金融业的融合极有</w:t>
      </w:r>
      <w:r>
        <w:rPr>
          <w:rFonts w:ascii="SimSun" w:hAnsi="SimSun" w:eastAsia="SimSun" w:cs="SimSun"/>
          <w:sz w:val="19"/>
          <w:szCs w:val="19"/>
          <w:spacing w:val="7"/>
        </w:rPr>
        <w:t xml:space="preserve">  </w:t>
      </w:r>
      <w:r>
        <w:rPr>
          <w:rFonts w:ascii="SimSun" w:hAnsi="SimSun" w:eastAsia="SimSun" w:cs="SimSun"/>
          <w:sz w:val="19"/>
          <w:szCs w:val="19"/>
          <w:spacing w:val="16"/>
        </w:rPr>
        <w:t>可能推进现有金融业、金融科技向智能金融转变，从而推动金融行</w:t>
      </w:r>
      <w:r>
        <w:rPr>
          <w:rFonts w:ascii="SimSun" w:hAnsi="SimSun" w:eastAsia="SimSun" w:cs="SimSun"/>
          <w:sz w:val="19"/>
          <w:szCs w:val="19"/>
          <w:spacing w:val="7"/>
        </w:rPr>
        <w:t xml:space="preserve">  </w:t>
      </w:r>
      <w:r>
        <w:rPr>
          <w:rFonts w:ascii="SimSun" w:hAnsi="SimSun" w:eastAsia="SimSun" w:cs="SimSun"/>
          <w:sz w:val="19"/>
          <w:szCs w:val="19"/>
          <w:spacing w:val="16"/>
        </w:rPr>
        <w:t>业的颠覆性变革和跨越式发展。伴随着金融业务数据化趋势和人工</w:t>
      </w:r>
    </w:p>
    <w:p>
      <w:pPr>
        <w:spacing w:line="219" w:lineRule="auto"/>
        <w:rPr>
          <w:rFonts w:ascii="SimSun" w:hAnsi="SimSun" w:eastAsia="SimSun" w:cs="SimSun"/>
          <w:sz w:val="19"/>
          <w:szCs w:val="19"/>
        </w:rPr>
      </w:pPr>
      <w:r>
        <w:rPr>
          <w:rFonts w:ascii="SimSun" w:hAnsi="SimSun" w:eastAsia="SimSun" w:cs="SimSun"/>
          <w:sz w:val="19"/>
          <w:szCs w:val="19"/>
          <w:spacing w:val="13"/>
        </w:rPr>
        <w:t>智能、区块链、云计算的迅速发展，“金融监管</w:t>
      </w:r>
      <w:r>
        <w:rPr>
          <w:rFonts w:ascii="SimSun" w:hAnsi="SimSun" w:eastAsia="SimSun" w:cs="SimSun"/>
          <w:sz w:val="19"/>
          <w:szCs w:val="19"/>
          <w:spacing w:val="12"/>
        </w:rPr>
        <w:t>+大数据”“银行服</w:t>
      </w:r>
    </w:p>
    <w:p>
      <w:pPr>
        <w:spacing w:line="219" w:lineRule="auto"/>
        <w:sectPr>
          <w:headerReference w:type="default" r:id="rId276"/>
          <w:pgSz w:w="7330" w:h="12480"/>
          <w:pgMar w:top="587" w:right="444" w:bottom="400" w:left="770" w:header="425" w:footer="0" w:gutter="0"/>
        </w:sectPr>
        <w:rPr>
          <w:rFonts w:ascii="SimSun" w:hAnsi="SimSun" w:eastAsia="SimSun" w:cs="SimSun"/>
          <w:sz w:val="19"/>
          <w:szCs w:val="19"/>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45"/>
        <w:spacing w:before="68" w:line="326" w:lineRule="auto"/>
        <w:jc w:val="both"/>
        <w:rPr>
          <w:rFonts w:ascii="SimSun" w:hAnsi="SimSun" w:eastAsia="SimSun" w:cs="SimSun"/>
          <w:sz w:val="21"/>
          <w:szCs w:val="21"/>
        </w:rPr>
      </w:pPr>
      <w:r>
        <w:rPr>
          <w:rFonts w:ascii="SimSun" w:hAnsi="SimSun" w:eastAsia="SimSun" w:cs="SimSun"/>
          <w:sz w:val="21"/>
          <w:szCs w:val="21"/>
          <w:spacing w:val="-1"/>
        </w:rPr>
        <w:t>务+互联网”等监管科技创新也迅猛发展。这不仅需要数字金融科</w:t>
      </w:r>
      <w:r>
        <w:rPr>
          <w:rFonts w:ascii="SimSun" w:hAnsi="SimSun" w:eastAsia="SimSun" w:cs="SimSun"/>
          <w:sz w:val="21"/>
          <w:szCs w:val="21"/>
          <w:spacing w:val="18"/>
        </w:rPr>
        <w:t xml:space="preserve"> </w:t>
      </w:r>
      <w:r>
        <w:rPr>
          <w:rFonts w:ascii="SimSun" w:hAnsi="SimSun" w:eastAsia="SimSun" w:cs="SimSun"/>
          <w:sz w:val="21"/>
          <w:szCs w:val="21"/>
          <w:spacing w:val="-3"/>
        </w:rPr>
        <w:t>技创新在市场上进行测试性应用，更需要审慎的新科技</w:t>
      </w:r>
      <w:r>
        <w:rPr>
          <w:rFonts w:ascii="SimSun" w:hAnsi="SimSun" w:eastAsia="SimSun" w:cs="SimSun"/>
          <w:sz w:val="21"/>
          <w:szCs w:val="21"/>
          <w:spacing w:val="-4"/>
        </w:rPr>
        <w:t>支撑下的系</w:t>
      </w:r>
    </w:p>
    <w:p>
      <w:pPr>
        <w:spacing w:line="219" w:lineRule="auto"/>
        <w:rPr>
          <w:rFonts w:ascii="SimSun" w:hAnsi="SimSun" w:eastAsia="SimSun" w:cs="SimSun"/>
          <w:sz w:val="21"/>
          <w:szCs w:val="21"/>
        </w:rPr>
      </w:pPr>
      <w:r>
        <w:rPr>
          <w:rFonts w:ascii="SimSun" w:hAnsi="SimSun" w:eastAsia="SimSun" w:cs="SimSun"/>
          <w:sz w:val="21"/>
          <w:szCs w:val="21"/>
          <w:spacing w:val="-13"/>
        </w:rPr>
        <w:t>统化全流程监管。</w:t>
      </w:r>
    </w:p>
    <w:p>
      <w:pPr>
        <w:pStyle w:val="BodyText"/>
        <w:spacing w:line="373"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完善对系统重要性数字金融平台的监管办法</w:t>
      </w:r>
    </w:p>
    <w:p>
      <w:pPr>
        <w:pStyle w:val="BodyText"/>
        <w:spacing w:line="349" w:lineRule="auto"/>
        <w:rPr/>
      </w:pPr>
      <w:r/>
    </w:p>
    <w:p>
      <w:pPr>
        <w:ind w:firstLine="409"/>
        <w:spacing w:before="68" w:line="308" w:lineRule="auto"/>
        <w:jc w:val="both"/>
        <w:rPr>
          <w:rFonts w:ascii="SimSun" w:hAnsi="SimSun" w:eastAsia="SimSun" w:cs="SimSun"/>
          <w:sz w:val="21"/>
          <w:szCs w:val="21"/>
        </w:rPr>
      </w:pPr>
      <w:r>
        <w:rPr>
          <w:rFonts w:ascii="SimSun" w:hAnsi="SimSun" w:eastAsia="SimSun" w:cs="SimSun"/>
          <w:sz w:val="21"/>
          <w:szCs w:val="21"/>
          <w:spacing w:val="-11"/>
        </w:rPr>
        <w:t>市场监管总局拟将平台分类分级划分为超级平台、大型平台和中</w:t>
      </w:r>
      <w:r>
        <w:rPr>
          <w:rFonts w:ascii="SimSun" w:hAnsi="SimSun" w:eastAsia="SimSun" w:cs="SimSun"/>
          <w:sz w:val="21"/>
          <w:szCs w:val="21"/>
          <w:spacing w:val="18"/>
        </w:rPr>
        <w:t xml:space="preserve"> </w:t>
      </w:r>
      <w:r>
        <w:rPr>
          <w:rFonts w:ascii="SimSun" w:hAnsi="SimSun" w:eastAsia="SimSun" w:cs="SimSun"/>
          <w:sz w:val="21"/>
          <w:szCs w:val="21"/>
          <w:spacing w:val="-10"/>
        </w:rPr>
        <w:t>小平台，这对完善系统重要性数字金融平台的</w:t>
      </w:r>
      <w:r>
        <w:rPr>
          <w:rFonts w:ascii="SimSun" w:hAnsi="SimSun" w:eastAsia="SimSun" w:cs="SimSun"/>
          <w:sz w:val="21"/>
          <w:szCs w:val="21"/>
          <w:spacing w:val="-11"/>
        </w:rPr>
        <w:t>监管具有促进作用。具</w:t>
      </w:r>
      <w:r>
        <w:rPr>
          <w:rFonts w:ascii="SimSun" w:hAnsi="SimSun" w:eastAsia="SimSun" w:cs="SimSun"/>
          <w:sz w:val="21"/>
          <w:szCs w:val="21"/>
        </w:rPr>
        <w:t xml:space="preserve"> </w:t>
      </w:r>
      <w:r>
        <w:rPr>
          <w:rFonts w:ascii="SimSun" w:hAnsi="SimSun" w:eastAsia="SimSun" w:cs="SimSun"/>
          <w:sz w:val="21"/>
          <w:szCs w:val="21"/>
          <w:spacing w:val="-4"/>
        </w:rPr>
        <w:t>有系统重要性的超级平台经营者，由于是海量数据的拥有者和诞生</w:t>
      </w:r>
      <w:r>
        <w:rPr>
          <w:rFonts w:ascii="SimSun" w:hAnsi="SimSun" w:eastAsia="SimSun" w:cs="SimSun"/>
          <w:sz w:val="21"/>
          <w:szCs w:val="21"/>
          <w:spacing w:val="14"/>
        </w:rPr>
        <w:t xml:space="preserve"> </w:t>
      </w:r>
      <w:r>
        <w:rPr>
          <w:rFonts w:ascii="SimSun" w:hAnsi="SimSun" w:eastAsia="SimSun" w:cs="SimSun"/>
          <w:sz w:val="21"/>
          <w:szCs w:val="21"/>
          <w:spacing w:val="-15"/>
        </w:rPr>
        <w:t>地，更应当建立健全数据安全审查与内控机制。</w:t>
      </w:r>
      <w:r>
        <w:rPr>
          <w:rFonts w:ascii="SimSun" w:hAnsi="SimSun" w:eastAsia="SimSun" w:cs="SimSun"/>
          <w:sz w:val="21"/>
          <w:szCs w:val="21"/>
          <w:spacing w:val="35"/>
        </w:rPr>
        <w:t xml:space="preserve"> </w:t>
      </w:r>
      <w:r>
        <w:rPr>
          <w:rFonts w:ascii="SimSun" w:hAnsi="SimSun" w:eastAsia="SimSun" w:cs="SimSun"/>
          <w:sz w:val="21"/>
          <w:szCs w:val="21"/>
          <w:spacing w:val="-15"/>
        </w:rPr>
        <w:t>一方面，必须对涉及</w:t>
      </w:r>
      <w:r>
        <w:rPr>
          <w:rFonts w:ascii="SimSun" w:hAnsi="SimSun" w:eastAsia="SimSun" w:cs="SimSun"/>
          <w:sz w:val="21"/>
          <w:szCs w:val="21"/>
        </w:rPr>
        <w:t xml:space="preserve"> </w:t>
      </w:r>
      <w:r>
        <w:rPr>
          <w:rFonts w:ascii="SimSun" w:hAnsi="SimSun" w:eastAsia="SimSun" w:cs="SimSun"/>
          <w:sz w:val="21"/>
          <w:szCs w:val="21"/>
          <w:spacing w:val="-4"/>
        </w:rPr>
        <w:t>国家和社会公共利益的数据开发行为进行依法规范，在个人信息处</w:t>
      </w:r>
      <w:r>
        <w:rPr>
          <w:rFonts w:ascii="SimSun" w:hAnsi="SimSun" w:eastAsia="SimSun" w:cs="SimSun"/>
          <w:sz w:val="21"/>
          <w:szCs w:val="21"/>
          <w:spacing w:val="13"/>
        </w:rPr>
        <w:t xml:space="preserve"> </w:t>
      </w:r>
      <w:r>
        <w:rPr>
          <w:rFonts w:ascii="SimSun" w:hAnsi="SimSun" w:eastAsia="SimSun" w:cs="SimSun"/>
          <w:sz w:val="21"/>
          <w:szCs w:val="21"/>
          <w:spacing w:val="-11"/>
        </w:rPr>
        <w:t>理、数据的跨境流动等方面确保数据安全；另一方面，系统重要性数</w:t>
      </w:r>
      <w:r>
        <w:rPr>
          <w:rFonts w:ascii="SimSun" w:hAnsi="SimSun" w:eastAsia="SimSun" w:cs="SimSun"/>
          <w:sz w:val="21"/>
          <w:szCs w:val="21"/>
          <w:spacing w:val="17"/>
        </w:rPr>
        <w:t xml:space="preserve"> </w:t>
      </w:r>
      <w:r>
        <w:rPr>
          <w:rFonts w:ascii="SimSun" w:hAnsi="SimSun" w:eastAsia="SimSun" w:cs="SimSun"/>
          <w:sz w:val="21"/>
          <w:szCs w:val="21"/>
          <w:spacing w:val="-11"/>
        </w:rPr>
        <w:t>字金融平台由于自身所具备的规模、数据、技术等优势，更应当在数</w:t>
      </w:r>
      <w:r>
        <w:rPr>
          <w:rFonts w:ascii="SimSun" w:hAnsi="SimSun" w:eastAsia="SimSun" w:cs="SimSun"/>
          <w:sz w:val="21"/>
          <w:szCs w:val="21"/>
          <w:spacing w:val="17"/>
        </w:rPr>
        <w:t xml:space="preserve"> </w:t>
      </w:r>
      <w:r>
        <w:rPr>
          <w:rFonts w:ascii="SimSun" w:hAnsi="SimSun" w:eastAsia="SimSun" w:cs="SimSun"/>
          <w:sz w:val="21"/>
          <w:szCs w:val="21"/>
          <w:spacing w:val="-11"/>
        </w:rPr>
        <w:t>字金融时代发挥公平竞争示范引领作用。超级平台经营者在提供相关</w:t>
      </w:r>
      <w:r>
        <w:rPr>
          <w:rFonts w:ascii="SimSun" w:hAnsi="SimSun" w:eastAsia="SimSun" w:cs="SimSun"/>
          <w:sz w:val="21"/>
          <w:szCs w:val="21"/>
          <w:spacing w:val="18"/>
        </w:rPr>
        <w:t xml:space="preserve"> </w:t>
      </w:r>
      <w:r>
        <w:rPr>
          <w:rFonts w:ascii="SimSun" w:hAnsi="SimSun" w:eastAsia="SimSun" w:cs="SimSun"/>
          <w:sz w:val="21"/>
          <w:szCs w:val="21"/>
          <w:spacing w:val="-7"/>
        </w:rPr>
        <w:t>产品或服务时，应遵守公平和非歧视原则，平等对待平台自身(或关</w:t>
      </w:r>
      <w:r>
        <w:rPr>
          <w:rFonts w:ascii="SimSun" w:hAnsi="SimSun" w:eastAsia="SimSun" w:cs="SimSun"/>
          <w:sz w:val="21"/>
          <w:szCs w:val="21"/>
          <w:spacing w:val="3"/>
        </w:rPr>
        <w:t xml:space="preserve"> </w:t>
      </w:r>
      <w:r>
        <w:rPr>
          <w:rFonts w:ascii="SimSun" w:hAnsi="SimSun" w:eastAsia="SimSun" w:cs="SimSun"/>
          <w:sz w:val="21"/>
          <w:szCs w:val="21"/>
          <w:spacing w:val="-7"/>
        </w:rPr>
        <w:t>联企业)和平台内经营者，同时也不能实施自我优待。对数字金融平</w:t>
      </w:r>
      <w:r>
        <w:rPr>
          <w:rFonts w:ascii="SimSun" w:hAnsi="SimSun" w:eastAsia="SimSun" w:cs="SimSun"/>
          <w:sz w:val="21"/>
          <w:szCs w:val="21"/>
          <w:spacing w:val="3"/>
        </w:rPr>
        <w:t xml:space="preserve"> </w:t>
      </w:r>
      <w:r>
        <w:rPr>
          <w:rFonts w:ascii="SimSun" w:hAnsi="SimSun" w:eastAsia="SimSun" w:cs="SimSun"/>
          <w:sz w:val="21"/>
          <w:szCs w:val="21"/>
          <w:spacing w:val="-9"/>
        </w:rPr>
        <w:t>台实施与传统金融服务的一致性监管，完善个人信用信息管理条例，</w:t>
      </w:r>
      <w:r>
        <w:rPr>
          <w:rFonts w:ascii="SimSun" w:hAnsi="SimSun" w:eastAsia="SimSun" w:cs="SimSun"/>
          <w:sz w:val="21"/>
          <w:szCs w:val="21"/>
          <w:spacing w:val="14"/>
        </w:rPr>
        <w:t xml:space="preserve"> </w:t>
      </w:r>
      <w:r>
        <w:rPr>
          <w:rFonts w:ascii="SimSun" w:hAnsi="SimSun" w:eastAsia="SimSun" w:cs="SimSun"/>
          <w:sz w:val="21"/>
          <w:szCs w:val="21"/>
          <w:spacing w:val="-12"/>
        </w:rPr>
        <w:t>增加个人征信公司牌照数量刻不容缓。</w:t>
      </w:r>
    </w:p>
    <w:p>
      <w:pPr>
        <w:ind w:right="46" w:firstLine="409"/>
        <w:spacing w:before="117" w:line="306" w:lineRule="auto"/>
        <w:jc w:val="both"/>
        <w:rPr>
          <w:rFonts w:ascii="SimSun" w:hAnsi="SimSun" w:eastAsia="SimSun" w:cs="SimSun"/>
          <w:sz w:val="21"/>
          <w:szCs w:val="21"/>
        </w:rPr>
      </w:pPr>
      <w:r>
        <w:rPr>
          <w:rFonts w:ascii="SimSun" w:hAnsi="SimSun" w:eastAsia="SimSun" w:cs="SimSun"/>
          <w:sz w:val="21"/>
          <w:szCs w:val="21"/>
          <w:spacing w:val="-11"/>
        </w:rPr>
        <w:t>数字金融平台的大数据分析授信仍需要不断规范，风险责任和服</w:t>
      </w:r>
      <w:r>
        <w:rPr>
          <w:rFonts w:ascii="SimSun" w:hAnsi="SimSun" w:eastAsia="SimSun" w:cs="SimSun"/>
          <w:sz w:val="21"/>
          <w:szCs w:val="21"/>
          <w:spacing w:val="4"/>
        </w:rPr>
        <w:t xml:space="preserve"> </w:t>
      </w:r>
      <w:r>
        <w:rPr>
          <w:rFonts w:ascii="SimSun" w:hAnsi="SimSun" w:eastAsia="SimSun" w:cs="SimSun"/>
          <w:sz w:val="21"/>
          <w:szCs w:val="21"/>
          <w:spacing w:val="-11"/>
        </w:rPr>
        <w:t>务边界也需厘清。金融机构借助数字金融平台的海量数据优势和风控</w:t>
      </w:r>
      <w:r>
        <w:rPr>
          <w:rFonts w:ascii="SimSun" w:hAnsi="SimSun" w:eastAsia="SimSun" w:cs="SimSun"/>
          <w:sz w:val="21"/>
          <w:szCs w:val="21"/>
          <w:spacing w:val="17"/>
        </w:rPr>
        <w:t xml:space="preserve"> </w:t>
      </w:r>
      <w:r>
        <w:rPr>
          <w:rFonts w:ascii="SimSun" w:hAnsi="SimSun" w:eastAsia="SimSun" w:cs="SimSun"/>
          <w:sz w:val="21"/>
          <w:szCs w:val="21"/>
          <w:spacing w:val="-11"/>
        </w:rPr>
        <w:t>技术，使其利用大数据分析助贷成为可能。如果金融机构能将数字金</w:t>
      </w:r>
      <w:r>
        <w:rPr>
          <w:rFonts w:ascii="SimSun" w:hAnsi="SimSun" w:eastAsia="SimSun" w:cs="SimSun"/>
          <w:sz w:val="21"/>
          <w:szCs w:val="21"/>
          <w:spacing w:val="17"/>
        </w:rPr>
        <w:t xml:space="preserve"> </w:t>
      </w:r>
      <w:r>
        <w:rPr>
          <w:rFonts w:ascii="SimSun" w:hAnsi="SimSun" w:eastAsia="SimSun" w:cs="SimSun"/>
          <w:sz w:val="21"/>
          <w:szCs w:val="21"/>
          <w:spacing w:val="-11"/>
        </w:rPr>
        <w:t>融平台的大数据分析授信用于助贷，则能更好地提高金融机构的贷款</w:t>
      </w:r>
      <w:r>
        <w:rPr>
          <w:rFonts w:ascii="SimSun" w:hAnsi="SimSun" w:eastAsia="SimSun" w:cs="SimSun"/>
          <w:sz w:val="21"/>
          <w:szCs w:val="21"/>
          <w:spacing w:val="17"/>
        </w:rPr>
        <w:t xml:space="preserve"> </w:t>
      </w:r>
      <w:r>
        <w:rPr>
          <w:rFonts w:ascii="SimSun" w:hAnsi="SimSun" w:eastAsia="SimSun" w:cs="SimSun"/>
          <w:sz w:val="21"/>
          <w:szCs w:val="21"/>
          <w:spacing w:val="-14"/>
        </w:rPr>
        <w:t>效率。 一些数字金融平台背靠互联网巨头，在提供金融技术、综合性</w:t>
      </w:r>
      <w:r>
        <w:rPr>
          <w:rFonts w:ascii="SimSun" w:hAnsi="SimSun" w:eastAsia="SimSun" w:cs="SimSun"/>
          <w:sz w:val="21"/>
          <w:szCs w:val="21"/>
          <w:spacing w:val="15"/>
        </w:rPr>
        <w:t xml:space="preserve"> </w:t>
      </w:r>
      <w:r>
        <w:rPr>
          <w:rFonts w:ascii="SimSun" w:hAnsi="SimSun" w:eastAsia="SimSun" w:cs="SimSun"/>
          <w:sz w:val="21"/>
          <w:szCs w:val="21"/>
          <w:spacing w:val="-10"/>
        </w:rPr>
        <w:t>助贷业务的同时，也在不断输出流量和场景。助贷机构</w:t>
      </w:r>
      <w:r>
        <w:rPr>
          <w:rFonts w:ascii="SimSun" w:hAnsi="SimSun" w:eastAsia="SimSun" w:cs="SimSun"/>
          <w:sz w:val="21"/>
          <w:szCs w:val="21"/>
          <w:spacing w:val="-11"/>
        </w:rPr>
        <w:t>与商业银行的</w:t>
      </w:r>
      <w:r>
        <w:rPr>
          <w:rFonts w:ascii="SimSun" w:hAnsi="SimSun" w:eastAsia="SimSun" w:cs="SimSun"/>
          <w:sz w:val="21"/>
          <w:szCs w:val="21"/>
        </w:rPr>
        <w:t xml:space="preserve"> </w:t>
      </w:r>
      <w:r>
        <w:rPr>
          <w:rFonts w:ascii="SimSun" w:hAnsi="SimSun" w:eastAsia="SimSun" w:cs="SimSun"/>
          <w:sz w:val="21"/>
          <w:szCs w:val="21"/>
          <w:spacing w:val="-10"/>
        </w:rPr>
        <w:t>合作也需要不断规范，逐步走向“助贷机构-征信公司-商业银行”的</w:t>
      </w:r>
      <w:r>
        <w:rPr>
          <w:rFonts w:ascii="SimSun" w:hAnsi="SimSun" w:eastAsia="SimSun" w:cs="SimSun"/>
          <w:sz w:val="21"/>
          <w:szCs w:val="21"/>
          <w:spacing w:val="4"/>
        </w:rPr>
        <w:t xml:space="preserve"> </w:t>
      </w:r>
      <w:r>
        <w:rPr>
          <w:rFonts w:ascii="SimSun" w:hAnsi="SimSun" w:eastAsia="SimSun" w:cs="SimSun"/>
          <w:sz w:val="21"/>
          <w:szCs w:val="21"/>
          <w:spacing w:val="-10"/>
        </w:rPr>
        <w:t>模式。目前监管的明确指向是，压实风险责任，明确放贷人定</w:t>
      </w:r>
      <w:r>
        <w:rPr>
          <w:rFonts w:ascii="SimSun" w:hAnsi="SimSun" w:eastAsia="SimSun" w:cs="SimSun"/>
          <w:sz w:val="21"/>
          <w:szCs w:val="21"/>
          <w:spacing w:val="-11"/>
        </w:rPr>
        <w:t>位，同</w:t>
      </w:r>
      <w:r>
        <w:rPr>
          <w:rFonts w:ascii="SimSun" w:hAnsi="SimSun" w:eastAsia="SimSun" w:cs="SimSun"/>
          <w:sz w:val="21"/>
          <w:szCs w:val="21"/>
        </w:rPr>
        <w:t xml:space="preserve"> </w:t>
      </w:r>
      <w:r>
        <w:rPr>
          <w:rFonts w:ascii="SimSun" w:hAnsi="SimSun" w:eastAsia="SimSun" w:cs="SimSun"/>
          <w:sz w:val="21"/>
          <w:szCs w:val="21"/>
          <w:spacing w:val="-11"/>
        </w:rPr>
        <w:t>时要求助贷方不能越俎代庖，但最终到底如何界定仍然存在一定的模</w:t>
      </w:r>
    </w:p>
    <w:p>
      <w:pPr>
        <w:spacing w:line="306" w:lineRule="auto"/>
        <w:sectPr>
          <w:headerReference w:type="default" r:id="rId277"/>
          <w:pgSz w:w="7330" w:h="12480"/>
          <w:pgMar w:top="869" w:right="884" w:bottom="400" w:left="399" w:header="702"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糊性，需要监管机构不断规范厘清。</w:t>
      </w:r>
    </w:p>
    <w:p>
      <w:pPr>
        <w:pStyle w:val="BodyText"/>
        <w:spacing w:line="373" w:lineRule="auto"/>
        <w:rPr/>
      </w:pPr>
      <w:r/>
    </w:p>
    <w:p>
      <w:pPr>
        <w:ind w:left="3"/>
        <w:spacing w:before="82" w:line="213" w:lineRule="auto"/>
        <w:rPr>
          <w:rFonts w:ascii="SimHei" w:hAnsi="SimHei" w:eastAsia="SimHei" w:cs="SimHei"/>
          <w:sz w:val="25"/>
          <w:szCs w:val="25"/>
        </w:rPr>
      </w:pPr>
      <w:r>
        <w:rPr>
          <w:rFonts w:ascii="SimHei" w:hAnsi="SimHei" w:eastAsia="SimHei" w:cs="SimHei"/>
          <w:sz w:val="25"/>
          <w:szCs w:val="25"/>
          <w:b/>
          <w:bCs/>
          <w:spacing w:val="-13"/>
        </w:rPr>
        <w:t>发展监管科技，实现穿透式监督</w:t>
      </w:r>
    </w:p>
    <w:p>
      <w:pPr>
        <w:pStyle w:val="BodyText"/>
        <w:spacing w:line="365" w:lineRule="auto"/>
        <w:rPr/>
      </w:pPr>
      <w:r/>
    </w:p>
    <w:p>
      <w:pPr>
        <w:ind w:firstLine="440"/>
        <w:spacing w:before="69" w:line="305" w:lineRule="auto"/>
        <w:jc w:val="both"/>
        <w:rPr>
          <w:rFonts w:ascii="SimSun" w:hAnsi="SimSun" w:eastAsia="SimSun" w:cs="SimSun"/>
          <w:sz w:val="21"/>
          <w:szCs w:val="21"/>
        </w:rPr>
      </w:pPr>
      <w:r>
        <w:rPr>
          <w:rFonts w:ascii="SimSun" w:hAnsi="SimSun" w:eastAsia="SimSun" w:cs="SimSun"/>
          <w:sz w:val="21"/>
          <w:szCs w:val="21"/>
          <w:spacing w:val="-4"/>
        </w:rPr>
        <w:t>数字技术与金融场景深度融合后，虽然可以优化和提升金融服 </w:t>
      </w:r>
      <w:r>
        <w:rPr>
          <w:rFonts w:ascii="SimSun" w:hAnsi="SimSun" w:eastAsia="SimSun" w:cs="SimSun"/>
          <w:sz w:val="21"/>
          <w:szCs w:val="21"/>
          <w:spacing w:val="-10"/>
        </w:rPr>
        <w:t>务的便捷性、普惠性，但在原有单一金融业务经营风险的基础</w:t>
      </w:r>
      <w:r>
        <w:rPr>
          <w:rFonts w:ascii="SimSun" w:hAnsi="SimSun" w:eastAsia="SimSun" w:cs="SimSun"/>
          <w:sz w:val="21"/>
          <w:szCs w:val="21"/>
          <w:spacing w:val="-11"/>
        </w:rPr>
        <w:t>上，技</w:t>
      </w:r>
      <w:r>
        <w:rPr>
          <w:rFonts w:ascii="SimSun" w:hAnsi="SimSun" w:eastAsia="SimSun" w:cs="SimSun"/>
          <w:sz w:val="21"/>
          <w:szCs w:val="21"/>
        </w:rPr>
        <w:t xml:space="preserve">  </w:t>
      </w:r>
      <w:r>
        <w:rPr>
          <w:rFonts w:ascii="SimSun" w:hAnsi="SimSun" w:eastAsia="SimSun" w:cs="SimSun"/>
          <w:sz w:val="21"/>
          <w:szCs w:val="21"/>
          <w:spacing w:val="-10"/>
        </w:rPr>
        <w:t>术安全和风险叠加等新挑战也不断呈现。伴随着数字金融时代的到来 </w:t>
      </w:r>
      <w:r>
        <w:rPr>
          <w:rFonts w:ascii="SimSun" w:hAnsi="SimSun" w:eastAsia="SimSun" w:cs="SimSun"/>
          <w:sz w:val="21"/>
          <w:szCs w:val="21"/>
          <w:spacing w:val="-10"/>
        </w:rPr>
        <w:t>和数字技术的迅猛发展，科技创新性应用于金融业务正如火</w:t>
      </w:r>
      <w:r>
        <w:rPr>
          <w:rFonts w:ascii="SimSun" w:hAnsi="SimSun" w:eastAsia="SimSun" w:cs="SimSun"/>
          <w:sz w:val="21"/>
          <w:szCs w:val="21"/>
          <w:spacing w:val="-11"/>
        </w:rPr>
        <w:t>如茶地进</w:t>
      </w:r>
      <w:r>
        <w:rPr>
          <w:rFonts w:ascii="SimSun" w:hAnsi="SimSun" w:eastAsia="SimSun" w:cs="SimSun"/>
          <w:sz w:val="21"/>
          <w:szCs w:val="21"/>
        </w:rPr>
        <w:t xml:space="preserve">  </w:t>
      </w:r>
      <w:r>
        <w:rPr>
          <w:rFonts w:ascii="SimSun" w:hAnsi="SimSun" w:eastAsia="SimSun" w:cs="SimSun"/>
          <w:sz w:val="21"/>
          <w:szCs w:val="21"/>
          <w:spacing w:val="-9"/>
        </w:rPr>
        <w:t>行。数字技术赋能下的金融业务和场景的创</w:t>
      </w:r>
      <w:r>
        <w:rPr>
          <w:rFonts w:ascii="SimSun" w:hAnsi="SimSun" w:eastAsia="SimSun" w:cs="SimSun"/>
          <w:sz w:val="21"/>
          <w:szCs w:val="21"/>
          <w:spacing w:val="-10"/>
        </w:rPr>
        <w:t>新性融合，让人们充分认 </w:t>
      </w:r>
      <w:r>
        <w:rPr>
          <w:rFonts w:ascii="SimSun" w:hAnsi="SimSun" w:eastAsia="SimSun" w:cs="SimSun"/>
          <w:sz w:val="21"/>
          <w:szCs w:val="21"/>
          <w:spacing w:val="-10"/>
        </w:rPr>
        <w:t>识到了科技是第一生产力。科技元素不断融入金融行业后，推动金融</w:t>
      </w:r>
      <w:r>
        <w:rPr>
          <w:rFonts w:ascii="SimSun" w:hAnsi="SimSun" w:eastAsia="SimSun" w:cs="SimSun"/>
          <w:sz w:val="21"/>
          <w:szCs w:val="21"/>
        </w:rPr>
        <w:t xml:space="preserve">  </w:t>
      </w:r>
      <w:r>
        <w:rPr>
          <w:rFonts w:ascii="SimSun" w:hAnsi="SimSun" w:eastAsia="SimSun" w:cs="SimSun"/>
          <w:sz w:val="21"/>
          <w:szCs w:val="21"/>
          <w:spacing w:val="-4"/>
        </w:rPr>
        <w:t>领域新模式的不断涌现，“数字技术+场景”的跨界融合层出不穷。</w:t>
      </w:r>
      <w:r>
        <w:rPr>
          <w:rFonts w:ascii="SimSun" w:hAnsi="SimSun" w:eastAsia="SimSun" w:cs="SimSun"/>
          <w:sz w:val="21"/>
          <w:szCs w:val="21"/>
          <w:spacing w:val="18"/>
        </w:rPr>
        <w:t xml:space="preserve"> </w:t>
      </w:r>
      <w:r>
        <w:rPr>
          <w:rFonts w:ascii="SimSun" w:hAnsi="SimSun" w:eastAsia="SimSun" w:cs="SimSun"/>
          <w:sz w:val="21"/>
          <w:szCs w:val="21"/>
          <w:spacing w:val="-10"/>
        </w:rPr>
        <w:t>监管需要创新性融合科技力量，在全场景、生态化、动态化</w:t>
      </w:r>
      <w:r>
        <w:rPr>
          <w:rFonts w:ascii="SimSun" w:hAnsi="SimSun" w:eastAsia="SimSun" w:cs="SimSun"/>
          <w:sz w:val="21"/>
          <w:szCs w:val="21"/>
          <w:spacing w:val="-11"/>
        </w:rPr>
        <w:t>、全局性</w:t>
      </w:r>
      <w:r>
        <w:rPr>
          <w:rFonts w:ascii="SimSun" w:hAnsi="SimSun" w:eastAsia="SimSun" w:cs="SimSun"/>
          <w:sz w:val="21"/>
          <w:szCs w:val="21"/>
        </w:rPr>
        <w:t xml:space="preserve">  </w:t>
      </w:r>
      <w:r>
        <w:rPr>
          <w:rFonts w:ascii="SimSun" w:hAnsi="SimSun" w:eastAsia="SimSun" w:cs="SimSun"/>
          <w:sz w:val="21"/>
          <w:szCs w:val="21"/>
          <w:spacing w:val="-10"/>
        </w:rPr>
        <w:t>等多方面进行前瞻性和预判性的监管，着力缩短监管科技和数字金融</w:t>
      </w:r>
      <w:r>
        <w:rPr>
          <w:rFonts w:ascii="SimSun" w:hAnsi="SimSun" w:eastAsia="SimSun" w:cs="SimSun"/>
          <w:sz w:val="21"/>
          <w:szCs w:val="21"/>
        </w:rPr>
        <w:t xml:space="preserve">  </w:t>
      </w:r>
      <w:r>
        <w:rPr>
          <w:rFonts w:ascii="SimSun" w:hAnsi="SimSun" w:eastAsia="SimSun" w:cs="SimSun"/>
          <w:sz w:val="21"/>
          <w:szCs w:val="21"/>
          <w:spacing w:val="-9"/>
        </w:rPr>
        <w:t>功能发展趋势之间的距离。</w:t>
      </w:r>
    </w:p>
    <w:p>
      <w:pPr>
        <w:ind w:firstLine="440"/>
        <w:spacing w:before="134" w:line="308" w:lineRule="auto"/>
        <w:jc w:val="both"/>
        <w:rPr>
          <w:rFonts w:ascii="SimSun" w:hAnsi="SimSun" w:eastAsia="SimSun" w:cs="SimSun"/>
          <w:sz w:val="21"/>
          <w:szCs w:val="21"/>
        </w:rPr>
      </w:pPr>
      <w:r>
        <w:rPr>
          <w:rFonts w:ascii="SimSun" w:hAnsi="SimSun" w:eastAsia="SimSun" w:cs="SimSun"/>
          <w:sz w:val="21"/>
          <w:szCs w:val="21"/>
          <w:spacing w:val="-4"/>
        </w:rPr>
        <w:t>数字金融平台与金融、科技融合在一起，业务会呈现较为复杂 </w:t>
      </w:r>
      <w:r>
        <w:rPr>
          <w:rFonts w:ascii="SimSun" w:hAnsi="SimSun" w:eastAsia="SimSun" w:cs="SimSun"/>
          <w:sz w:val="21"/>
          <w:szCs w:val="21"/>
          <w:spacing w:val="-3"/>
        </w:rPr>
        <w:t>的状态，因此必须实施穿透式监管。央行2022年印发的《金融科技</w:t>
      </w:r>
      <w:r>
        <w:rPr>
          <w:rFonts w:ascii="SimSun" w:hAnsi="SimSun" w:eastAsia="SimSun" w:cs="SimSun"/>
          <w:sz w:val="21"/>
          <w:szCs w:val="21"/>
        </w:rPr>
        <w:t xml:space="preserve">  </w:t>
      </w:r>
      <w:r>
        <w:rPr>
          <w:rFonts w:ascii="SimSun" w:hAnsi="SimSun" w:eastAsia="SimSun" w:cs="SimSun"/>
          <w:sz w:val="21"/>
          <w:szCs w:val="21"/>
          <w:spacing w:val="-3"/>
        </w:rPr>
        <w:t>发展规划(2022—2025年)》明确指出，要“加快监管科技的全方位</w:t>
      </w:r>
      <w:r>
        <w:rPr>
          <w:rFonts w:ascii="SimSun" w:hAnsi="SimSun" w:eastAsia="SimSun" w:cs="SimSun"/>
          <w:sz w:val="21"/>
          <w:szCs w:val="21"/>
          <w:spacing w:val="4"/>
        </w:rPr>
        <w:t xml:space="preserve">  </w:t>
      </w:r>
      <w:r>
        <w:rPr>
          <w:rFonts w:ascii="SimSun" w:hAnsi="SimSun" w:eastAsia="SimSun" w:cs="SimSun"/>
          <w:sz w:val="21"/>
          <w:szCs w:val="21"/>
          <w:spacing w:val="-14"/>
        </w:rPr>
        <w:t>应用，强化数字化监管能力建设，对金融科技创新实施穿透式监管”。</w:t>
      </w:r>
      <w:r>
        <w:rPr>
          <w:rFonts w:ascii="SimSun" w:hAnsi="SimSun" w:eastAsia="SimSun" w:cs="SimSun"/>
          <w:sz w:val="21"/>
          <w:szCs w:val="21"/>
          <w:spacing w:val="17"/>
        </w:rPr>
        <w:t xml:space="preserve"> </w:t>
      </w:r>
      <w:r>
        <w:rPr>
          <w:rFonts w:ascii="SimSun" w:hAnsi="SimSun" w:eastAsia="SimSun" w:cs="SimSun"/>
          <w:sz w:val="21"/>
          <w:szCs w:val="21"/>
          <w:spacing w:val="-10"/>
        </w:rPr>
        <w:t>传统的金融监管方式已经跟不上数字金融的业务发展，需要进行全程 </w:t>
      </w:r>
      <w:r>
        <w:rPr>
          <w:rFonts w:ascii="SimSun" w:hAnsi="SimSun" w:eastAsia="SimSun" w:cs="SimSun"/>
          <w:sz w:val="21"/>
          <w:szCs w:val="21"/>
          <w:spacing w:val="-10"/>
        </w:rPr>
        <w:t>和全方位的科技监管，这种监管将呈现穿透式的特征。即以监</w:t>
      </w:r>
      <w:r>
        <w:rPr>
          <w:rFonts w:ascii="SimSun" w:hAnsi="SimSun" w:eastAsia="SimSun" w:cs="SimSun"/>
          <w:sz w:val="21"/>
          <w:szCs w:val="21"/>
          <w:spacing w:val="-11"/>
        </w:rPr>
        <w:t>管科技</w:t>
      </w:r>
      <w:r>
        <w:rPr>
          <w:rFonts w:ascii="SimSun" w:hAnsi="SimSun" w:eastAsia="SimSun" w:cs="SimSun"/>
          <w:sz w:val="21"/>
          <w:szCs w:val="21"/>
        </w:rPr>
        <w:t xml:space="preserve">  </w:t>
      </w:r>
      <w:r>
        <w:rPr>
          <w:rFonts w:ascii="SimSun" w:hAnsi="SimSun" w:eastAsia="SimSun" w:cs="SimSun"/>
          <w:sz w:val="21"/>
          <w:szCs w:val="21"/>
          <w:spacing w:val="-10"/>
        </w:rPr>
        <w:t>应对数字金融新型科技风险，完善金融科技监管，加强数据穿透金融</w:t>
      </w:r>
      <w:r>
        <w:rPr>
          <w:rFonts w:ascii="SimSun" w:hAnsi="SimSun" w:eastAsia="SimSun" w:cs="SimSun"/>
          <w:sz w:val="21"/>
          <w:szCs w:val="21"/>
        </w:rPr>
        <w:t xml:space="preserve">  </w:t>
      </w:r>
      <w:r>
        <w:rPr>
          <w:rFonts w:ascii="SimSun" w:hAnsi="SimSun" w:eastAsia="SimSun" w:cs="SimSun"/>
          <w:sz w:val="21"/>
          <w:szCs w:val="21"/>
          <w:spacing w:val="-10"/>
        </w:rPr>
        <w:t>业务，对数字技术全过程进行安全防护。如依托科技监管持续</w:t>
      </w:r>
      <w:r>
        <w:rPr>
          <w:rFonts w:ascii="SimSun" w:hAnsi="SimSun" w:eastAsia="SimSun" w:cs="SimSun"/>
          <w:sz w:val="21"/>
          <w:szCs w:val="21"/>
          <w:spacing w:val="-11"/>
        </w:rPr>
        <w:t>监测数</w:t>
      </w:r>
      <w:r>
        <w:rPr>
          <w:rFonts w:ascii="SimSun" w:hAnsi="SimSun" w:eastAsia="SimSun" w:cs="SimSun"/>
          <w:sz w:val="21"/>
          <w:szCs w:val="21"/>
        </w:rPr>
        <w:t xml:space="preserve">  </w:t>
      </w:r>
      <w:r>
        <w:rPr>
          <w:rFonts w:ascii="SimSun" w:hAnsi="SimSun" w:eastAsia="SimSun" w:cs="SimSun"/>
          <w:sz w:val="21"/>
          <w:szCs w:val="21"/>
          <w:spacing w:val="-10"/>
        </w:rPr>
        <w:t>字渠道的业务流量、服务流量，防范网络风险攻击；从前端数字</w:t>
      </w:r>
      <w:r>
        <w:rPr>
          <w:rFonts w:ascii="SimSun" w:hAnsi="SimSun" w:eastAsia="SimSun" w:cs="SimSun"/>
          <w:sz w:val="21"/>
          <w:szCs w:val="21"/>
          <w:spacing w:val="-11"/>
        </w:rPr>
        <w:t>渠道</w:t>
      </w:r>
      <w:r>
        <w:rPr>
          <w:rFonts w:ascii="SimSun" w:hAnsi="SimSun" w:eastAsia="SimSun" w:cs="SimSun"/>
          <w:sz w:val="21"/>
          <w:szCs w:val="21"/>
        </w:rPr>
        <w:t xml:space="preserve">  </w:t>
      </w:r>
      <w:r>
        <w:rPr>
          <w:rFonts w:ascii="SimSun" w:hAnsi="SimSun" w:eastAsia="SimSun" w:cs="SimSun"/>
          <w:sz w:val="21"/>
          <w:szCs w:val="21"/>
          <w:spacing w:val="-10"/>
        </w:rPr>
        <w:t>向后台传导，进而用科技守住金融安全底线；保障数字金融业务的稳</w:t>
      </w:r>
      <w:r>
        <w:rPr>
          <w:rFonts w:ascii="SimSun" w:hAnsi="SimSun" w:eastAsia="SimSun" w:cs="SimSun"/>
          <w:sz w:val="21"/>
          <w:szCs w:val="21"/>
        </w:rPr>
        <w:t xml:space="preserve">  </w:t>
      </w:r>
      <w:r>
        <w:rPr>
          <w:rFonts w:ascii="SimSun" w:hAnsi="SimSun" w:eastAsia="SimSun" w:cs="SimSun"/>
          <w:sz w:val="21"/>
          <w:szCs w:val="21"/>
          <w:spacing w:val="-10"/>
        </w:rPr>
        <w:t>定高效运行；保护消费者合法权益。穿透式监管是金融科技监管的升</w:t>
      </w:r>
      <w:r>
        <w:rPr>
          <w:rFonts w:ascii="SimSun" w:hAnsi="SimSun" w:eastAsia="SimSun" w:cs="SimSun"/>
          <w:sz w:val="21"/>
          <w:szCs w:val="21"/>
        </w:rPr>
        <w:t xml:space="preserve">  </w:t>
      </w:r>
      <w:r>
        <w:rPr>
          <w:rFonts w:ascii="SimSun" w:hAnsi="SimSun" w:eastAsia="SimSun" w:cs="SimSun"/>
          <w:sz w:val="21"/>
          <w:szCs w:val="21"/>
          <w:spacing w:val="-11"/>
        </w:rPr>
        <w:t>级，是构筑金融和科技风险防火墙的有益尝试。</w:t>
      </w:r>
    </w:p>
    <w:p>
      <w:pPr>
        <w:spacing w:line="308" w:lineRule="auto"/>
        <w:sectPr>
          <w:headerReference w:type="default" r:id="rId278"/>
          <w:pgSz w:w="7330" w:h="12480"/>
          <w:pgMar w:top="538" w:right="495" w:bottom="400" w:left="739" w:header="375" w:footer="0" w:gutter="0"/>
        </w:sectPr>
        <w:rPr>
          <w:rFonts w:ascii="SimSun" w:hAnsi="SimSun" w:eastAsia="SimSun" w:cs="SimSun"/>
          <w:sz w:val="21"/>
          <w:szCs w:val="21"/>
        </w:rPr>
      </w:pP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08"/>
        <w:spacing w:before="81" w:line="213" w:lineRule="auto"/>
        <w:rPr>
          <w:rFonts w:ascii="SimHei" w:hAnsi="SimHei" w:eastAsia="SimHei" w:cs="SimHei"/>
          <w:sz w:val="25"/>
          <w:szCs w:val="25"/>
        </w:rPr>
      </w:pPr>
      <w:r>
        <w:rPr>
          <w:rFonts w:ascii="SimHei" w:hAnsi="SimHei" w:eastAsia="SimHei" w:cs="SimHei"/>
          <w:sz w:val="25"/>
          <w:szCs w:val="25"/>
          <w:b/>
          <w:bCs/>
          <w:spacing w:val="-14"/>
        </w:rPr>
        <w:t>发展监管沙盒，构建合适的监管框架</w:t>
      </w:r>
    </w:p>
    <w:p>
      <w:pPr>
        <w:pStyle w:val="BodyText"/>
        <w:spacing w:line="367" w:lineRule="auto"/>
        <w:rPr/>
      </w:pPr>
      <w:r/>
    </w:p>
    <w:p>
      <w:pPr>
        <w:ind w:right="15" w:firstLine="504"/>
        <w:spacing w:before="68" w:line="309" w:lineRule="auto"/>
        <w:jc w:val="both"/>
        <w:rPr>
          <w:rFonts w:ascii="SimSun" w:hAnsi="SimSun" w:eastAsia="SimSun" w:cs="SimSun"/>
          <w:sz w:val="21"/>
          <w:szCs w:val="21"/>
        </w:rPr>
      </w:pPr>
      <w:r>
        <w:rPr>
          <w:rFonts w:ascii="SimSun" w:hAnsi="SimSun" w:eastAsia="SimSun" w:cs="SimSun"/>
          <w:sz w:val="21"/>
          <w:szCs w:val="21"/>
          <w:spacing w:val="-6"/>
        </w:rPr>
        <w:t>金融科技创新监管也要与时俱进，实行中国式“监管沙盒”,即</w:t>
      </w:r>
      <w:r>
        <w:rPr>
          <w:rFonts w:ascii="SimSun" w:hAnsi="SimSun" w:eastAsia="SimSun" w:cs="SimSun"/>
          <w:sz w:val="21"/>
          <w:szCs w:val="21"/>
          <w:spacing w:val="3"/>
        </w:rPr>
        <w:t xml:space="preserve"> </w:t>
      </w:r>
      <w:r>
        <w:rPr>
          <w:rFonts w:ascii="SimSun" w:hAnsi="SimSun" w:eastAsia="SimSun" w:cs="SimSun"/>
          <w:sz w:val="21"/>
          <w:szCs w:val="21"/>
          <w:spacing w:val="-6"/>
        </w:rPr>
        <w:t>“金融科技创新监管试点”。2019年12月，中国人民银行在北京率先</w:t>
      </w:r>
      <w:r>
        <w:rPr>
          <w:rFonts w:ascii="SimSun" w:hAnsi="SimSun" w:eastAsia="SimSun" w:cs="SimSun"/>
          <w:sz w:val="21"/>
          <w:szCs w:val="21"/>
          <w:spacing w:val="3"/>
        </w:rPr>
        <w:t xml:space="preserve"> </w:t>
      </w:r>
      <w:r>
        <w:rPr>
          <w:rFonts w:ascii="SimSun" w:hAnsi="SimSun" w:eastAsia="SimSun" w:cs="SimSun"/>
          <w:sz w:val="21"/>
          <w:szCs w:val="21"/>
          <w:spacing w:val="-7"/>
        </w:rPr>
        <w:t>开展金融科技创新监管试点，首批试点涵盖数字金融等多方面应用场</w:t>
      </w:r>
      <w:r>
        <w:rPr>
          <w:rFonts w:ascii="SimSun" w:hAnsi="SimSun" w:eastAsia="SimSun" w:cs="SimSun"/>
          <w:sz w:val="21"/>
          <w:szCs w:val="21"/>
          <w:spacing w:val="16"/>
        </w:rPr>
        <w:t xml:space="preserve"> </w:t>
      </w:r>
      <w:r>
        <w:rPr>
          <w:rFonts w:ascii="SimSun" w:hAnsi="SimSun" w:eastAsia="SimSun" w:cs="SimSun"/>
          <w:sz w:val="21"/>
          <w:szCs w:val="21"/>
          <w:spacing w:val="-1"/>
        </w:rPr>
        <w:t>景，聚焦大数据、</w:t>
      </w:r>
      <w:r>
        <w:rPr>
          <w:rFonts w:ascii="Times New Roman" w:hAnsi="Times New Roman" w:eastAsia="Times New Roman" w:cs="Times New Roman"/>
          <w:sz w:val="21"/>
          <w:szCs w:val="21"/>
          <w:spacing w:val="-1"/>
        </w:rPr>
        <w:t>AI</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、区块链等前沿技术，被称为中国</w:t>
      </w:r>
      <w:r>
        <w:rPr>
          <w:rFonts w:ascii="SimSun" w:hAnsi="SimSun" w:eastAsia="SimSun" w:cs="SimSun"/>
          <w:sz w:val="21"/>
          <w:szCs w:val="21"/>
          <w:spacing w:val="-2"/>
        </w:rPr>
        <w:t>版金融科技</w:t>
      </w:r>
      <w:r>
        <w:rPr>
          <w:rFonts w:ascii="SimSun" w:hAnsi="SimSun" w:eastAsia="SimSun" w:cs="SimSun"/>
          <w:sz w:val="21"/>
          <w:szCs w:val="21"/>
        </w:rPr>
        <w:t xml:space="preserve"> </w:t>
      </w:r>
      <w:r>
        <w:rPr>
          <w:rFonts w:ascii="SimSun" w:hAnsi="SimSun" w:eastAsia="SimSun" w:cs="SimSun"/>
          <w:sz w:val="21"/>
          <w:szCs w:val="21"/>
          <w:spacing w:val="-13"/>
        </w:rPr>
        <w:t>“监管沙盒”。“监管沙盒”的设计原理是，把一些创新性的业务放到</w:t>
      </w:r>
      <w:r>
        <w:rPr>
          <w:rFonts w:ascii="SimSun" w:hAnsi="SimSun" w:eastAsia="SimSun" w:cs="SimSun"/>
          <w:sz w:val="21"/>
          <w:szCs w:val="21"/>
        </w:rPr>
        <w:t xml:space="preserve"> </w:t>
      </w:r>
      <w:r>
        <w:rPr>
          <w:rFonts w:ascii="SimSun" w:hAnsi="SimSun" w:eastAsia="SimSun" w:cs="SimSun"/>
          <w:sz w:val="21"/>
          <w:szCs w:val="21"/>
          <w:spacing w:val="-7"/>
        </w:rPr>
        <w:t>可控的环境中进行试点，给其更多的信息披露，进</w:t>
      </w:r>
      <w:r>
        <w:rPr>
          <w:rFonts w:ascii="SimSun" w:hAnsi="SimSun" w:eastAsia="SimSun" w:cs="SimSun"/>
          <w:sz w:val="21"/>
          <w:szCs w:val="21"/>
          <w:spacing w:val="-8"/>
        </w:rPr>
        <w:t>而观察试点的具体</w:t>
      </w:r>
      <w:r>
        <w:rPr>
          <w:rFonts w:ascii="SimSun" w:hAnsi="SimSun" w:eastAsia="SimSun" w:cs="SimSun"/>
          <w:sz w:val="21"/>
          <w:szCs w:val="21"/>
        </w:rPr>
        <w:t xml:space="preserve"> </w:t>
      </w:r>
      <w:r>
        <w:rPr>
          <w:rFonts w:ascii="SimSun" w:hAnsi="SimSun" w:eastAsia="SimSun" w:cs="SimSun"/>
          <w:sz w:val="21"/>
          <w:szCs w:val="21"/>
          <w:spacing w:val="-6"/>
        </w:rPr>
        <w:t>反应，如果风险可控并具有一定的创新性，可考虑进一步推广。</w:t>
      </w:r>
      <w:r>
        <w:rPr>
          <w:rFonts w:ascii="SimSun" w:hAnsi="SimSun" w:eastAsia="SimSun" w:cs="SimSun"/>
          <w:sz w:val="21"/>
          <w:szCs w:val="21"/>
          <w:spacing w:val="-7"/>
        </w:rPr>
        <w:t>2020</w:t>
      </w:r>
      <w:r>
        <w:rPr>
          <w:rFonts w:ascii="SimSun" w:hAnsi="SimSun" w:eastAsia="SimSun" w:cs="SimSun"/>
          <w:sz w:val="21"/>
          <w:szCs w:val="21"/>
        </w:rPr>
        <w:t xml:space="preserve"> </w:t>
      </w:r>
      <w:r>
        <w:rPr>
          <w:rFonts w:ascii="SimSun" w:hAnsi="SimSun" w:eastAsia="SimSun" w:cs="SimSun"/>
          <w:sz w:val="21"/>
          <w:szCs w:val="21"/>
          <w:spacing w:val="-7"/>
        </w:rPr>
        <w:t>年北京市组织的第二批试点项目具备业务普惠性、技术创新性、风险</w:t>
      </w:r>
      <w:r>
        <w:rPr>
          <w:rFonts w:ascii="SimSun" w:hAnsi="SimSun" w:eastAsia="SimSun" w:cs="SimSun"/>
          <w:sz w:val="21"/>
          <w:szCs w:val="21"/>
          <w:spacing w:val="12"/>
        </w:rPr>
        <w:t xml:space="preserve"> </w:t>
      </w:r>
      <w:r>
        <w:rPr>
          <w:rFonts w:ascii="SimSun" w:hAnsi="SimSun" w:eastAsia="SimSun" w:cs="SimSun"/>
          <w:sz w:val="21"/>
          <w:szCs w:val="21"/>
        </w:rPr>
        <w:t>可控性等特点，申报主体既包含持牌金融机构，也涵盖金融科技企</w:t>
      </w:r>
      <w:r>
        <w:rPr>
          <w:rFonts w:ascii="SimSun" w:hAnsi="SimSun" w:eastAsia="SimSun" w:cs="SimSun"/>
          <w:sz w:val="21"/>
          <w:szCs w:val="21"/>
          <w:spacing w:val="12"/>
        </w:rPr>
        <w:t xml:space="preserve"> </w:t>
      </w:r>
      <w:r>
        <w:rPr>
          <w:rFonts w:ascii="SimSun" w:hAnsi="SimSun" w:eastAsia="SimSun" w:cs="SimSun"/>
          <w:sz w:val="21"/>
          <w:szCs w:val="21"/>
          <w:spacing w:val="-6"/>
        </w:rPr>
        <w:t>业，未来试点成效需要更多的评估和有效推广。</w:t>
      </w:r>
    </w:p>
    <w:p>
      <w:pPr>
        <w:ind w:left="105" w:firstLine="410"/>
        <w:spacing w:before="108" w:line="308" w:lineRule="auto"/>
        <w:jc w:val="both"/>
        <w:rPr>
          <w:rFonts w:ascii="SimSun" w:hAnsi="SimSun" w:eastAsia="SimSun" w:cs="SimSun"/>
          <w:sz w:val="21"/>
          <w:szCs w:val="21"/>
        </w:rPr>
      </w:pPr>
      <w:r>
        <w:rPr>
          <w:rFonts w:ascii="SimSun" w:hAnsi="SimSun" w:eastAsia="SimSun" w:cs="SimSun"/>
          <w:sz w:val="21"/>
          <w:szCs w:val="21"/>
          <w:spacing w:val="-10"/>
        </w:rPr>
        <w:t>从更大的格局看，数字金融的主要挑战在于如何构</w:t>
      </w:r>
      <w:r>
        <w:rPr>
          <w:rFonts w:ascii="SimSun" w:hAnsi="SimSun" w:eastAsia="SimSun" w:cs="SimSun"/>
          <w:sz w:val="21"/>
          <w:szCs w:val="21"/>
          <w:spacing w:val="-11"/>
        </w:rPr>
        <w:t>建一个合适的</w:t>
      </w:r>
      <w:r>
        <w:rPr>
          <w:rFonts w:ascii="SimSun" w:hAnsi="SimSun" w:eastAsia="SimSun" w:cs="SimSun"/>
          <w:sz w:val="21"/>
          <w:szCs w:val="21"/>
        </w:rPr>
        <w:t xml:space="preserve"> </w:t>
      </w:r>
      <w:r>
        <w:rPr>
          <w:rFonts w:ascii="SimSun" w:hAnsi="SimSun" w:eastAsia="SimSun" w:cs="SimSun"/>
          <w:sz w:val="21"/>
          <w:szCs w:val="21"/>
          <w:spacing w:val="-3"/>
        </w:rPr>
        <w:t>监管框架。监管部门从2015年开始着手整治数字金融，由于过去监</w:t>
      </w:r>
      <w:r>
        <w:rPr>
          <w:rFonts w:ascii="SimSun" w:hAnsi="SimSun" w:eastAsia="SimSun" w:cs="SimSun"/>
          <w:sz w:val="21"/>
          <w:szCs w:val="21"/>
        </w:rPr>
        <w:t xml:space="preserve"> </w:t>
      </w:r>
      <w:r>
        <w:rPr>
          <w:rFonts w:ascii="SimSun" w:hAnsi="SimSun" w:eastAsia="SimSun" w:cs="SimSun"/>
          <w:sz w:val="21"/>
          <w:szCs w:val="21"/>
          <w:spacing w:val="-10"/>
        </w:rPr>
        <w:t>管空白、规则执行不彻底的现象时有发生，就需要构建合适的</w:t>
      </w:r>
      <w:r>
        <w:rPr>
          <w:rFonts w:ascii="SimSun" w:hAnsi="SimSun" w:eastAsia="SimSun" w:cs="SimSun"/>
          <w:sz w:val="21"/>
          <w:szCs w:val="21"/>
          <w:spacing w:val="-11"/>
        </w:rPr>
        <w:t>数字金</w:t>
      </w:r>
      <w:r>
        <w:rPr>
          <w:rFonts w:ascii="SimSun" w:hAnsi="SimSun" w:eastAsia="SimSun" w:cs="SimSun"/>
          <w:sz w:val="21"/>
          <w:szCs w:val="21"/>
        </w:rPr>
        <w:t xml:space="preserve"> </w:t>
      </w:r>
      <w:r>
        <w:rPr>
          <w:rFonts w:ascii="SimSun" w:hAnsi="SimSun" w:eastAsia="SimSun" w:cs="SimSun"/>
          <w:sz w:val="21"/>
          <w:szCs w:val="21"/>
          <w:spacing w:val="-10"/>
        </w:rPr>
        <w:t>融平台全面监管框架来进行系统化规范，进而将金融监管覆盖交易的</w:t>
      </w:r>
      <w:r>
        <w:rPr>
          <w:rFonts w:ascii="SimSun" w:hAnsi="SimSun" w:eastAsia="SimSun" w:cs="SimSun"/>
          <w:sz w:val="21"/>
          <w:szCs w:val="21"/>
          <w:spacing w:val="4"/>
        </w:rPr>
        <w:t xml:space="preserve"> </w:t>
      </w:r>
      <w:r>
        <w:rPr>
          <w:rFonts w:ascii="SimSun" w:hAnsi="SimSun" w:eastAsia="SimSun" w:cs="SimSun"/>
          <w:sz w:val="21"/>
          <w:szCs w:val="21"/>
          <w:spacing w:val="-10"/>
        </w:rPr>
        <w:t>全流程。即所有的金融交易都要受到监管，做到金融监管全覆</w:t>
      </w:r>
      <w:r>
        <w:rPr>
          <w:rFonts w:ascii="SimSun" w:hAnsi="SimSun" w:eastAsia="SimSun" w:cs="SimSun"/>
          <w:sz w:val="21"/>
          <w:szCs w:val="21"/>
          <w:spacing w:val="-11"/>
        </w:rPr>
        <w:t>盖，监</w:t>
      </w:r>
      <w:r>
        <w:rPr>
          <w:rFonts w:ascii="SimSun" w:hAnsi="SimSun" w:eastAsia="SimSun" w:cs="SimSun"/>
          <w:sz w:val="21"/>
          <w:szCs w:val="21"/>
        </w:rPr>
        <w:t xml:space="preserve"> </w:t>
      </w:r>
      <w:r>
        <w:rPr>
          <w:rFonts w:ascii="SimSun" w:hAnsi="SimSun" w:eastAsia="SimSun" w:cs="SimSun"/>
          <w:sz w:val="21"/>
          <w:szCs w:val="21"/>
          <w:spacing w:val="-10"/>
        </w:rPr>
        <w:t>管要一视同仁；规范金融牌照监管和设置多业务间防火墙；完善</w:t>
      </w:r>
      <w:r>
        <w:rPr>
          <w:rFonts w:ascii="SimSun" w:hAnsi="SimSun" w:eastAsia="SimSun" w:cs="SimSun"/>
          <w:sz w:val="21"/>
          <w:szCs w:val="21"/>
          <w:spacing w:val="-11"/>
        </w:rPr>
        <w:t>数字</w:t>
      </w:r>
      <w:r>
        <w:rPr>
          <w:rFonts w:ascii="SimSun" w:hAnsi="SimSun" w:eastAsia="SimSun" w:cs="SimSun"/>
          <w:sz w:val="21"/>
          <w:szCs w:val="21"/>
        </w:rPr>
        <w:t xml:space="preserve"> </w:t>
      </w:r>
      <w:r>
        <w:rPr>
          <w:rFonts w:ascii="SimSun" w:hAnsi="SimSun" w:eastAsia="SimSun" w:cs="SimSun"/>
          <w:sz w:val="21"/>
          <w:szCs w:val="21"/>
          <w:spacing w:val="-3"/>
        </w:rPr>
        <w:t>金融业务的准入机制和分类牌照(如金融控股集团)。目前中国有25</w:t>
      </w:r>
      <w:r>
        <w:rPr>
          <w:rFonts w:ascii="SimSun" w:hAnsi="SimSun" w:eastAsia="SimSun" w:cs="SimSun"/>
          <w:sz w:val="21"/>
          <w:szCs w:val="21"/>
          <w:spacing w:val="4"/>
        </w:rPr>
        <w:t xml:space="preserve"> </w:t>
      </w:r>
      <w:r>
        <w:rPr>
          <w:rFonts w:ascii="SimSun" w:hAnsi="SimSun" w:eastAsia="SimSun" w:cs="SimSun"/>
          <w:sz w:val="21"/>
          <w:szCs w:val="21"/>
          <w:spacing w:val="-10"/>
        </w:rPr>
        <w:t>类重要的金融牌照，在金融监管趋严的背景下金融牌照价值</w:t>
      </w:r>
      <w:r>
        <w:rPr>
          <w:rFonts w:ascii="SimSun" w:hAnsi="SimSun" w:eastAsia="SimSun" w:cs="SimSun"/>
          <w:sz w:val="21"/>
          <w:szCs w:val="21"/>
          <w:spacing w:val="-11"/>
        </w:rPr>
        <w:t>激增，业</w:t>
      </w:r>
      <w:r>
        <w:rPr>
          <w:rFonts w:ascii="SimSun" w:hAnsi="SimSun" w:eastAsia="SimSun" w:cs="SimSun"/>
          <w:sz w:val="21"/>
          <w:szCs w:val="21"/>
        </w:rPr>
        <w:t xml:space="preserve"> </w:t>
      </w:r>
      <w:r>
        <w:rPr>
          <w:rFonts w:ascii="SimSun" w:hAnsi="SimSun" w:eastAsia="SimSun" w:cs="SimSun"/>
          <w:sz w:val="21"/>
          <w:szCs w:val="21"/>
          <w:spacing w:val="-11"/>
        </w:rPr>
        <w:t>内甚至开始将持有金融牌照与企业综合实力画等号。而目前一些数字</w:t>
      </w:r>
      <w:r>
        <w:rPr>
          <w:rFonts w:ascii="SimSun" w:hAnsi="SimSun" w:eastAsia="SimSun" w:cs="SimSun"/>
          <w:sz w:val="21"/>
          <w:szCs w:val="21"/>
          <w:spacing w:val="8"/>
        </w:rPr>
        <w:t xml:space="preserve"> </w:t>
      </w:r>
      <w:r>
        <w:rPr>
          <w:rFonts w:ascii="SimSun" w:hAnsi="SimSun" w:eastAsia="SimSun" w:cs="SimSun"/>
          <w:sz w:val="21"/>
          <w:szCs w:val="21"/>
          <w:spacing w:val="-10"/>
        </w:rPr>
        <w:t>金融平台的业务非常复杂，可能要参照金融控股集团的方式进行牌照</w:t>
      </w:r>
      <w:r>
        <w:rPr>
          <w:rFonts w:ascii="SimSun" w:hAnsi="SimSun" w:eastAsia="SimSun" w:cs="SimSun"/>
          <w:sz w:val="21"/>
          <w:szCs w:val="21"/>
          <w:spacing w:val="5"/>
        </w:rPr>
        <w:t xml:space="preserve"> </w:t>
      </w:r>
      <w:r>
        <w:rPr>
          <w:rFonts w:ascii="SimSun" w:hAnsi="SimSun" w:eastAsia="SimSun" w:cs="SimSun"/>
          <w:sz w:val="21"/>
          <w:szCs w:val="21"/>
          <w:spacing w:val="-9"/>
        </w:rPr>
        <w:t>管理；另外，持有多张金融牌照的数字金融平台要在业务</w:t>
      </w:r>
      <w:r>
        <w:rPr>
          <w:rFonts w:ascii="SimSun" w:hAnsi="SimSun" w:eastAsia="SimSun" w:cs="SimSun"/>
          <w:sz w:val="21"/>
          <w:szCs w:val="21"/>
          <w:spacing w:val="-10"/>
        </w:rPr>
        <w:t>之间设立必</w:t>
      </w:r>
      <w:r>
        <w:rPr>
          <w:rFonts w:ascii="SimSun" w:hAnsi="SimSun" w:eastAsia="SimSun" w:cs="SimSun"/>
          <w:sz w:val="21"/>
          <w:szCs w:val="21"/>
        </w:rPr>
        <w:t xml:space="preserve"> </w:t>
      </w:r>
      <w:r>
        <w:rPr>
          <w:rFonts w:ascii="SimSun" w:hAnsi="SimSun" w:eastAsia="SimSun" w:cs="SimSun"/>
          <w:sz w:val="21"/>
          <w:szCs w:val="21"/>
          <w:spacing w:val="-11"/>
        </w:rPr>
        <w:t>要的防火墙。</w:t>
      </w:r>
    </w:p>
    <w:p>
      <w:pPr>
        <w:spacing w:line="308" w:lineRule="auto"/>
        <w:sectPr>
          <w:headerReference w:type="default" r:id="rId279"/>
          <w:pgSz w:w="7330" w:h="12480"/>
          <w:pgMar w:top="885" w:right="1013" w:bottom="400" w:left="184" w:header="722" w:footer="0" w:gutter="0"/>
        </w:sectPr>
        <w:rPr>
          <w:rFonts w:ascii="SimSun" w:hAnsi="SimSun" w:eastAsia="SimSun" w:cs="SimSun"/>
          <w:sz w:val="21"/>
          <w:szCs w:val="21"/>
        </w:rPr>
      </w:pP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规范数字金融平台与商业银行等传统金融机构的合作</w:t>
      </w:r>
    </w:p>
    <w:p>
      <w:pPr>
        <w:pStyle w:val="BodyText"/>
        <w:spacing w:line="351" w:lineRule="auto"/>
        <w:rPr/>
      </w:pPr>
      <w:r/>
    </w:p>
    <w:p>
      <w:pPr>
        <w:ind w:firstLine="440"/>
        <w:spacing w:before="68" w:line="307" w:lineRule="auto"/>
        <w:jc w:val="both"/>
        <w:rPr>
          <w:rFonts w:ascii="SimSun" w:hAnsi="SimSun" w:eastAsia="SimSun" w:cs="SimSun"/>
          <w:sz w:val="21"/>
          <w:szCs w:val="21"/>
        </w:rPr>
      </w:pPr>
      <w:r>
        <w:rPr>
          <w:rFonts w:ascii="SimSun" w:hAnsi="SimSun" w:eastAsia="SimSun" w:cs="SimSun"/>
          <w:sz w:val="21"/>
          <w:szCs w:val="21"/>
          <w:spacing w:val="-11"/>
        </w:rPr>
        <w:t>数字金融平台和金融机构应合作发展。数字金融平台具有海量的</w:t>
      </w:r>
      <w:r>
        <w:rPr>
          <w:rFonts w:ascii="SimSun" w:hAnsi="SimSun" w:eastAsia="SimSun" w:cs="SimSun"/>
          <w:sz w:val="21"/>
          <w:szCs w:val="21"/>
          <w:spacing w:val="12"/>
        </w:rPr>
        <w:t xml:space="preserve"> </w:t>
      </w:r>
      <w:r>
        <w:rPr>
          <w:rFonts w:ascii="SimSun" w:hAnsi="SimSun" w:eastAsia="SimSun" w:cs="SimSun"/>
          <w:sz w:val="21"/>
          <w:szCs w:val="21"/>
          <w:spacing w:val="-11"/>
        </w:rPr>
        <w:t>数据和先进的技术，金融机构具有丰富的金融从业经验和雄厚的资本</w:t>
      </w:r>
      <w:r>
        <w:rPr>
          <w:rFonts w:ascii="SimSun" w:hAnsi="SimSun" w:eastAsia="SimSun" w:cs="SimSun"/>
          <w:sz w:val="21"/>
          <w:szCs w:val="21"/>
          <w:spacing w:val="9"/>
        </w:rPr>
        <w:t xml:space="preserve">  </w:t>
      </w:r>
      <w:r>
        <w:rPr>
          <w:rFonts w:ascii="SimSun" w:hAnsi="SimSun" w:eastAsia="SimSun" w:cs="SimSun"/>
          <w:sz w:val="21"/>
          <w:szCs w:val="21"/>
          <w:spacing w:val="-10"/>
        </w:rPr>
        <w:t>金，两者融合将共同推进金融科技新业态的</w:t>
      </w:r>
      <w:r>
        <w:rPr>
          <w:rFonts w:ascii="SimSun" w:hAnsi="SimSun" w:eastAsia="SimSun" w:cs="SimSun"/>
          <w:sz w:val="21"/>
          <w:szCs w:val="21"/>
          <w:spacing w:val="-11"/>
        </w:rPr>
        <w:t>繁荣发展。金融领域的未</w:t>
      </w:r>
      <w:r>
        <w:rPr>
          <w:rFonts w:ascii="SimSun" w:hAnsi="SimSun" w:eastAsia="SimSun" w:cs="SimSun"/>
          <w:sz w:val="21"/>
          <w:szCs w:val="21"/>
        </w:rPr>
        <w:t xml:space="preserve">  </w:t>
      </w:r>
      <w:r>
        <w:rPr>
          <w:rFonts w:ascii="SimSun" w:hAnsi="SimSun" w:eastAsia="SimSun" w:cs="SimSun"/>
          <w:sz w:val="21"/>
          <w:szCs w:val="21"/>
          <w:spacing w:val="-11"/>
        </w:rPr>
        <w:t>来发展方向更多是传统机构的数字化转型升级，在此过程中，数字金</w:t>
      </w:r>
      <w:r>
        <w:rPr>
          <w:rFonts w:ascii="SimSun" w:hAnsi="SimSun" w:eastAsia="SimSun" w:cs="SimSun"/>
          <w:sz w:val="21"/>
          <w:szCs w:val="21"/>
          <w:spacing w:val="8"/>
        </w:rPr>
        <w:t xml:space="preserve">  </w:t>
      </w:r>
      <w:r>
        <w:rPr>
          <w:rFonts w:ascii="SimSun" w:hAnsi="SimSun" w:eastAsia="SimSun" w:cs="SimSun"/>
          <w:sz w:val="21"/>
          <w:szCs w:val="21"/>
          <w:spacing w:val="-10"/>
        </w:rPr>
        <w:t>融平台和传统金融机构会有更多的合作空间。数字金融平台在合作中</w:t>
      </w:r>
      <w:r>
        <w:rPr>
          <w:rFonts w:ascii="SimSun" w:hAnsi="SimSun" w:eastAsia="SimSun" w:cs="SimSun"/>
          <w:sz w:val="21"/>
          <w:szCs w:val="21"/>
        </w:rPr>
        <w:t xml:space="preserve"> </w:t>
      </w:r>
      <w:r>
        <w:rPr>
          <w:rFonts w:ascii="SimSun" w:hAnsi="SimSun" w:eastAsia="SimSun" w:cs="SimSun"/>
          <w:sz w:val="21"/>
          <w:szCs w:val="21"/>
          <w:spacing w:val="-8"/>
        </w:rPr>
        <w:t>的主要角色和职能是为金融机构提供潜在用户数据和系统技术支持，</w:t>
      </w:r>
      <w:r>
        <w:rPr>
          <w:rFonts w:ascii="SimSun" w:hAnsi="SimSun" w:eastAsia="SimSun" w:cs="SimSun"/>
          <w:sz w:val="21"/>
          <w:szCs w:val="21"/>
          <w:spacing w:val="4"/>
        </w:rPr>
        <w:t xml:space="preserve"> </w:t>
      </w:r>
      <w:r>
        <w:rPr>
          <w:rFonts w:ascii="SimSun" w:hAnsi="SimSun" w:eastAsia="SimSun" w:cs="SimSun"/>
          <w:sz w:val="21"/>
          <w:szCs w:val="21"/>
          <w:spacing w:val="-11"/>
        </w:rPr>
        <w:t>帮助金融机构扩展客户资源，通过更高质量的客户数据分析，为用户</w:t>
      </w:r>
      <w:r>
        <w:rPr>
          <w:rFonts w:ascii="SimSun" w:hAnsi="SimSun" w:eastAsia="SimSun" w:cs="SimSun"/>
          <w:sz w:val="21"/>
          <w:szCs w:val="21"/>
          <w:spacing w:val="8"/>
        </w:rPr>
        <w:t xml:space="preserve">  </w:t>
      </w:r>
      <w:r>
        <w:rPr>
          <w:rFonts w:ascii="SimSun" w:hAnsi="SimSun" w:eastAsia="SimSun" w:cs="SimSun"/>
          <w:sz w:val="21"/>
          <w:szCs w:val="21"/>
          <w:spacing w:val="-7"/>
        </w:rPr>
        <w:t>提供更加便捷和个性化的金融服务。目前的主要模式是</w:t>
      </w:r>
      <w:r>
        <w:rPr>
          <w:rFonts w:ascii="SimSun" w:hAnsi="SimSun" w:eastAsia="SimSun" w:cs="SimSun"/>
          <w:sz w:val="21"/>
          <w:szCs w:val="21"/>
          <w:spacing w:val="-8"/>
        </w:rPr>
        <w:t>引流、助贷、</w:t>
      </w:r>
      <w:r>
        <w:rPr>
          <w:rFonts w:ascii="SimSun" w:hAnsi="SimSun" w:eastAsia="SimSun" w:cs="SimSun"/>
          <w:sz w:val="21"/>
          <w:szCs w:val="21"/>
        </w:rPr>
        <w:t xml:space="preserve"> </w:t>
      </w:r>
      <w:r>
        <w:rPr>
          <w:rFonts w:ascii="SimSun" w:hAnsi="SimSun" w:eastAsia="SimSun" w:cs="SimSun"/>
          <w:sz w:val="21"/>
          <w:szCs w:val="21"/>
          <w:spacing w:val="-11"/>
        </w:rPr>
        <w:t>联合贷款、销售等，未来的合作方式和合作规范还比较模糊，需要进</w:t>
      </w:r>
      <w:r>
        <w:rPr>
          <w:rFonts w:ascii="SimSun" w:hAnsi="SimSun" w:eastAsia="SimSun" w:cs="SimSun"/>
          <w:sz w:val="21"/>
          <w:szCs w:val="21"/>
          <w:spacing w:val="8"/>
        </w:rPr>
        <w:t xml:space="preserve">  </w:t>
      </w:r>
      <w:r>
        <w:rPr>
          <w:rFonts w:ascii="SimSun" w:hAnsi="SimSun" w:eastAsia="SimSun" w:cs="SimSun"/>
          <w:sz w:val="21"/>
          <w:szCs w:val="21"/>
          <w:spacing w:val="-7"/>
        </w:rPr>
        <w:t>一步明确。</w:t>
      </w:r>
    </w:p>
    <w:p>
      <w:pPr>
        <w:pStyle w:val="BodyText"/>
        <w:spacing w:line="382" w:lineRule="auto"/>
        <w:rPr/>
      </w:pPr>
      <w:r/>
    </w:p>
    <w:p>
      <w:pPr>
        <w:ind w:left="3"/>
        <w:spacing w:before="82" w:line="221" w:lineRule="auto"/>
        <w:rPr>
          <w:rFonts w:ascii="SimHei" w:hAnsi="SimHei" w:eastAsia="SimHei" w:cs="SimHei"/>
          <w:sz w:val="25"/>
          <w:szCs w:val="25"/>
        </w:rPr>
      </w:pPr>
      <w:r>
        <w:rPr>
          <w:rFonts w:ascii="SimHei" w:hAnsi="SimHei" w:eastAsia="SimHei" w:cs="SimHei"/>
          <w:sz w:val="25"/>
          <w:szCs w:val="25"/>
          <w:b/>
          <w:bCs/>
          <w:spacing w:val="-13"/>
        </w:rPr>
        <w:t>完善数字金融平台的数据治理</w:t>
      </w:r>
    </w:p>
    <w:p>
      <w:pPr>
        <w:pStyle w:val="BodyText"/>
        <w:spacing w:line="358" w:lineRule="auto"/>
        <w:rPr/>
      </w:pPr>
      <w:r/>
    </w:p>
    <w:p>
      <w:pPr>
        <w:ind w:right="45" w:firstLine="450"/>
        <w:spacing w:before="68" w:line="308" w:lineRule="auto"/>
        <w:jc w:val="both"/>
        <w:rPr>
          <w:rFonts w:ascii="SimSun" w:hAnsi="SimSun" w:eastAsia="SimSun" w:cs="SimSun"/>
          <w:sz w:val="21"/>
          <w:szCs w:val="21"/>
        </w:rPr>
      </w:pPr>
      <w:r>
        <w:rPr>
          <w:rFonts w:ascii="SimSun" w:hAnsi="SimSun" w:eastAsia="SimSun" w:cs="SimSun"/>
          <w:sz w:val="21"/>
          <w:szCs w:val="21"/>
          <w:spacing w:val="-11"/>
        </w:rPr>
        <w:t>数据的隐私性保护和公平性要贯穿数据治理的全流程，规范数字</w:t>
      </w:r>
      <w:r>
        <w:rPr>
          <w:rFonts w:ascii="SimSun" w:hAnsi="SimSun" w:eastAsia="SimSun" w:cs="SimSun"/>
          <w:sz w:val="21"/>
          <w:szCs w:val="21"/>
          <w:spacing w:val="16"/>
        </w:rPr>
        <w:t xml:space="preserve"> </w:t>
      </w:r>
      <w:r>
        <w:rPr>
          <w:rFonts w:ascii="SimSun" w:hAnsi="SimSun" w:eastAsia="SimSun" w:cs="SimSun"/>
          <w:sz w:val="21"/>
          <w:szCs w:val="21"/>
          <w:spacing w:val="-11"/>
        </w:rPr>
        <w:t>金融平台对个人数据的采集、存储、处理和使用各环节。数字经济提</w:t>
      </w:r>
      <w:r>
        <w:rPr>
          <w:rFonts w:ascii="SimSun" w:hAnsi="SimSun" w:eastAsia="SimSun" w:cs="SimSun"/>
          <w:sz w:val="21"/>
          <w:szCs w:val="21"/>
          <w:spacing w:val="17"/>
        </w:rPr>
        <w:t xml:space="preserve"> </w:t>
      </w:r>
      <w:r>
        <w:rPr>
          <w:rFonts w:ascii="SimSun" w:hAnsi="SimSun" w:eastAsia="SimSun" w:cs="SimSun"/>
          <w:sz w:val="21"/>
          <w:szCs w:val="21"/>
          <w:spacing w:val="-11"/>
        </w:rPr>
        <w:t>高经济效率的前提是做好数据治理，当前中国在数据治理方面仍然面</w:t>
      </w:r>
      <w:r>
        <w:rPr>
          <w:rFonts w:ascii="SimSun" w:hAnsi="SimSun" w:eastAsia="SimSun" w:cs="SimSun"/>
          <w:sz w:val="21"/>
          <w:szCs w:val="21"/>
          <w:spacing w:val="17"/>
        </w:rPr>
        <w:t xml:space="preserve"> </w:t>
      </w:r>
      <w:r>
        <w:rPr>
          <w:rFonts w:ascii="SimSun" w:hAnsi="SimSun" w:eastAsia="SimSun" w:cs="SimSun"/>
          <w:sz w:val="21"/>
          <w:szCs w:val="21"/>
          <w:spacing w:val="-13"/>
        </w:rPr>
        <w:t>临极大挑战。 一方面，大型科技公司过度</w:t>
      </w:r>
      <w:r>
        <w:rPr>
          <w:rFonts w:ascii="SimSun" w:hAnsi="SimSun" w:eastAsia="SimSun" w:cs="SimSun"/>
          <w:sz w:val="21"/>
          <w:szCs w:val="21"/>
          <w:spacing w:val="-14"/>
        </w:rPr>
        <w:t>采集、混用、侵犯用户数据</w:t>
      </w:r>
      <w:r>
        <w:rPr>
          <w:rFonts w:ascii="SimSun" w:hAnsi="SimSun" w:eastAsia="SimSun" w:cs="SimSun"/>
          <w:sz w:val="21"/>
          <w:szCs w:val="21"/>
        </w:rPr>
        <w:t xml:space="preserve"> </w:t>
      </w:r>
      <w:r>
        <w:rPr>
          <w:rFonts w:ascii="SimSun" w:hAnsi="SimSun" w:eastAsia="SimSun" w:cs="SimSun"/>
          <w:sz w:val="21"/>
          <w:szCs w:val="21"/>
          <w:spacing w:val="-10"/>
        </w:rPr>
        <w:t>隐私权，具体体现在：消费者在使用金融服</w:t>
      </w:r>
      <w:r>
        <w:rPr>
          <w:rFonts w:ascii="SimSun" w:hAnsi="SimSun" w:eastAsia="SimSun" w:cs="SimSun"/>
          <w:sz w:val="21"/>
          <w:szCs w:val="21"/>
          <w:spacing w:val="-11"/>
        </w:rPr>
        <w:t>务时需要向平台提供极为</w:t>
      </w:r>
      <w:r>
        <w:rPr>
          <w:rFonts w:ascii="SimSun" w:hAnsi="SimSun" w:eastAsia="SimSun" w:cs="SimSun"/>
          <w:sz w:val="21"/>
          <w:szCs w:val="21"/>
        </w:rPr>
        <w:t xml:space="preserve"> </w:t>
      </w:r>
      <w:r>
        <w:rPr>
          <w:rFonts w:ascii="SimSun" w:hAnsi="SimSun" w:eastAsia="SimSun" w:cs="SimSun"/>
          <w:sz w:val="21"/>
          <w:szCs w:val="21"/>
          <w:spacing w:val="-10"/>
        </w:rPr>
        <w:t>详尽的个人信息，过度采集信息现象比比皆是</w:t>
      </w:r>
      <w:r>
        <w:rPr>
          <w:rFonts w:ascii="SimSun" w:hAnsi="SimSun" w:eastAsia="SimSun" w:cs="SimSun"/>
          <w:sz w:val="21"/>
          <w:szCs w:val="21"/>
          <w:spacing w:val="-11"/>
        </w:rPr>
        <w:t>；金融科技公司将同一</w:t>
      </w:r>
      <w:r>
        <w:rPr>
          <w:rFonts w:ascii="SimSun" w:hAnsi="SimSun" w:eastAsia="SimSun" w:cs="SimSun"/>
          <w:sz w:val="21"/>
          <w:szCs w:val="21"/>
        </w:rPr>
        <w:t xml:space="preserve"> </w:t>
      </w:r>
      <w:r>
        <w:rPr>
          <w:rFonts w:ascii="SimSun" w:hAnsi="SimSun" w:eastAsia="SimSun" w:cs="SimSun"/>
          <w:sz w:val="21"/>
          <w:szCs w:val="21"/>
          <w:spacing w:val="-10"/>
        </w:rPr>
        <w:t>客户的信息用在不同产品线上，这种商业行</w:t>
      </w:r>
      <w:r>
        <w:rPr>
          <w:rFonts w:ascii="SimSun" w:hAnsi="SimSun" w:eastAsia="SimSun" w:cs="SimSun"/>
          <w:sz w:val="21"/>
          <w:szCs w:val="21"/>
          <w:spacing w:val="-11"/>
        </w:rPr>
        <w:t>为在发达国家会被认为是</w:t>
      </w:r>
      <w:r>
        <w:rPr>
          <w:rFonts w:ascii="SimSun" w:hAnsi="SimSun" w:eastAsia="SimSun" w:cs="SimSun"/>
          <w:sz w:val="21"/>
          <w:szCs w:val="21"/>
        </w:rPr>
        <w:t xml:space="preserve"> </w:t>
      </w:r>
      <w:r>
        <w:rPr>
          <w:rFonts w:ascii="SimSun" w:hAnsi="SimSun" w:eastAsia="SimSun" w:cs="SimSun"/>
          <w:sz w:val="21"/>
          <w:szCs w:val="21"/>
          <w:spacing w:val="-11"/>
        </w:rPr>
        <w:t>侵犯客户隐私而加以禁止，而在中国却非常普遍。另一方面，大型科</w:t>
      </w:r>
      <w:r>
        <w:rPr>
          <w:rFonts w:ascii="SimSun" w:hAnsi="SimSun" w:eastAsia="SimSun" w:cs="SimSun"/>
          <w:sz w:val="21"/>
          <w:szCs w:val="21"/>
          <w:spacing w:val="16"/>
        </w:rPr>
        <w:t xml:space="preserve"> </w:t>
      </w:r>
      <w:r>
        <w:rPr>
          <w:rFonts w:ascii="SimSun" w:hAnsi="SimSun" w:eastAsia="SimSun" w:cs="SimSun"/>
          <w:sz w:val="21"/>
          <w:szCs w:val="21"/>
          <w:spacing w:val="-11"/>
        </w:rPr>
        <w:t>技公司在开发数据后利用不足，阻碍客户在不同平台之间进行自由选</w:t>
      </w:r>
      <w:r>
        <w:rPr>
          <w:rFonts w:ascii="SimSun" w:hAnsi="SimSun" w:eastAsia="SimSun" w:cs="SimSun"/>
          <w:sz w:val="21"/>
          <w:szCs w:val="21"/>
          <w:spacing w:val="16"/>
        </w:rPr>
        <w:t xml:space="preserve"> </w:t>
      </w:r>
      <w:r>
        <w:rPr>
          <w:rFonts w:ascii="SimSun" w:hAnsi="SimSun" w:eastAsia="SimSun" w:cs="SimSun"/>
          <w:sz w:val="21"/>
          <w:szCs w:val="21"/>
          <w:spacing w:val="-10"/>
        </w:rPr>
        <w:t>择。受传统金融的信用和风险评估体系所限，大型科</w:t>
      </w:r>
      <w:r>
        <w:rPr>
          <w:rFonts w:ascii="SimSun" w:hAnsi="SimSun" w:eastAsia="SimSun" w:cs="SimSun"/>
          <w:sz w:val="21"/>
          <w:szCs w:val="21"/>
          <w:spacing w:val="-11"/>
        </w:rPr>
        <w:t>技平台的客户信</w:t>
      </w:r>
      <w:r>
        <w:rPr>
          <w:rFonts w:ascii="SimSun" w:hAnsi="SimSun" w:eastAsia="SimSun" w:cs="SimSun"/>
          <w:sz w:val="21"/>
          <w:szCs w:val="21"/>
        </w:rPr>
        <w:t xml:space="preserve"> </w:t>
      </w:r>
      <w:r>
        <w:rPr>
          <w:rFonts w:ascii="SimSun" w:hAnsi="SimSun" w:eastAsia="SimSun" w:cs="SimSun"/>
          <w:sz w:val="21"/>
          <w:szCs w:val="21"/>
          <w:spacing w:val="-10"/>
        </w:rPr>
        <w:t>息不向行业银行开放，进而导致信用评级在传</w:t>
      </w:r>
      <w:r>
        <w:rPr>
          <w:rFonts w:ascii="SimSun" w:hAnsi="SimSun" w:eastAsia="SimSun" w:cs="SimSun"/>
          <w:sz w:val="21"/>
          <w:szCs w:val="21"/>
          <w:spacing w:val="-11"/>
        </w:rPr>
        <w:t>统金融体系中存在挑战</w:t>
      </w:r>
      <w:r>
        <w:rPr>
          <w:rFonts w:ascii="SimSun" w:hAnsi="SimSun" w:eastAsia="SimSun" w:cs="SimSun"/>
          <w:sz w:val="21"/>
          <w:szCs w:val="21"/>
        </w:rPr>
        <w:t xml:space="preserve"> </w:t>
      </w:r>
      <w:r>
        <w:rPr>
          <w:rFonts w:ascii="SimSun" w:hAnsi="SimSun" w:eastAsia="SimSun" w:cs="SimSun"/>
          <w:sz w:val="21"/>
          <w:szCs w:val="21"/>
          <w:spacing w:val="-10"/>
        </w:rPr>
        <w:t>的用户，最终只能依赖数字金融平台获得放贷或者助贷等服务，限制</w:t>
      </w:r>
    </w:p>
    <w:p>
      <w:pPr>
        <w:spacing w:line="308" w:lineRule="auto"/>
        <w:sectPr>
          <w:headerReference w:type="default" r:id="rId280"/>
          <w:pgSz w:w="7330" w:h="12480"/>
          <w:pgMar w:top="567" w:right="435" w:bottom="400" w:left="809" w:header="405" w:footer="0" w:gutter="0"/>
        </w:sectPr>
        <w:rPr>
          <w:rFonts w:ascii="SimSun" w:hAnsi="SimSun" w:eastAsia="SimSun" w:cs="SimSun"/>
          <w:sz w:val="21"/>
          <w:szCs w:val="21"/>
        </w:rPr>
      </w:pP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了贷款用户自由选择的可能性。</w:t>
      </w:r>
    </w:p>
    <w:p>
      <w:pPr>
        <w:ind w:firstLine="399"/>
        <w:spacing w:before="111" w:line="350" w:lineRule="auto"/>
        <w:jc w:val="both"/>
        <w:rPr>
          <w:rFonts w:ascii="SimSun" w:hAnsi="SimSun" w:eastAsia="SimSun" w:cs="SimSun"/>
          <w:sz w:val="19"/>
          <w:szCs w:val="19"/>
        </w:rPr>
      </w:pPr>
      <w:r>
        <w:rPr>
          <w:rFonts w:ascii="SimSun" w:hAnsi="SimSun" w:eastAsia="SimSun" w:cs="SimSun"/>
          <w:sz w:val="19"/>
          <w:szCs w:val="19"/>
          <w:spacing w:val="9"/>
        </w:rPr>
        <w:t>建设公共数据共享平台的同时要对算法进行监控并构筑风险防火</w:t>
      </w:r>
      <w:r>
        <w:rPr>
          <w:rFonts w:ascii="SimSun" w:hAnsi="SimSun" w:eastAsia="SimSun" w:cs="SimSun"/>
          <w:sz w:val="19"/>
          <w:szCs w:val="19"/>
          <w:spacing w:val="14"/>
        </w:rPr>
        <w:t xml:space="preserve"> </w:t>
      </w:r>
      <w:r>
        <w:rPr>
          <w:rFonts w:ascii="SimSun" w:hAnsi="SimSun" w:eastAsia="SimSun" w:cs="SimSun"/>
          <w:sz w:val="19"/>
          <w:szCs w:val="19"/>
          <w:spacing w:val="9"/>
        </w:rPr>
        <w:t>墙。数字金融领域内的很多信息是沉淀在公共部门的，如果要更好地</w:t>
      </w:r>
      <w:r>
        <w:rPr>
          <w:rFonts w:ascii="SimSun" w:hAnsi="SimSun" w:eastAsia="SimSun" w:cs="SimSun"/>
          <w:sz w:val="19"/>
          <w:szCs w:val="19"/>
          <w:spacing w:val="16"/>
        </w:rPr>
        <w:t xml:space="preserve"> </w:t>
      </w:r>
      <w:r>
        <w:rPr>
          <w:rFonts w:ascii="SimSun" w:hAnsi="SimSun" w:eastAsia="SimSun" w:cs="SimSun"/>
          <w:sz w:val="19"/>
          <w:szCs w:val="19"/>
          <w:spacing w:val="9"/>
        </w:rPr>
        <w:t>降低风险，需要将个人数据和公共数据匹配使用。数字金融平台在提</w:t>
      </w:r>
      <w:r>
        <w:rPr>
          <w:rFonts w:ascii="SimSun" w:hAnsi="SimSun" w:eastAsia="SimSun" w:cs="SimSun"/>
          <w:sz w:val="19"/>
          <w:szCs w:val="19"/>
          <w:spacing w:val="17"/>
        </w:rPr>
        <w:t xml:space="preserve"> </w:t>
      </w:r>
      <w:r>
        <w:rPr>
          <w:rFonts w:ascii="SimSun" w:hAnsi="SimSun" w:eastAsia="SimSun" w:cs="SimSun"/>
          <w:sz w:val="19"/>
          <w:szCs w:val="19"/>
          <w:spacing w:val="9"/>
        </w:rPr>
        <w:t>升金融效率和客户体验方面主要依靠平台算法，通过算法，平台几乎</w:t>
      </w:r>
      <w:r>
        <w:rPr>
          <w:rFonts w:ascii="SimSun" w:hAnsi="SimSun" w:eastAsia="SimSun" w:cs="SimSun"/>
          <w:sz w:val="19"/>
          <w:szCs w:val="19"/>
          <w:spacing w:val="17"/>
        </w:rPr>
        <w:t xml:space="preserve"> </w:t>
      </w:r>
      <w:r>
        <w:rPr>
          <w:rFonts w:ascii="SimSun" w:hAnsi="SimSun" w:eastAsia="SimSun" w:cs="SimSun"/>
          <w:sz w:val="19"/>
          <w:szCs w:val="19"/>
          <w:spacing w:val="9"/>
        </w:rPr>
        <w:t>能将个人生活行为全面数字化，且处于相对支配地位。所以拥有个人</w:t>
      </w:r>
      <w:r>
        <w:rPr>
          <w:rFonts w:ascii="SimSun" w:hAnsi="SimSun" w:eastAsia="SimSun" w:cs="SimSun"/>
          <w:sz w:val="19"/>
          <w:szCs w:val="19"/>
          <w:spacing w:val="16"/>
        </w:rPr>
        <w:t xml:space="preserve"> </w:t>
      </w:r>
      <w:r>
        <w:rPr>
          <w:rFonts w:ascii="SimSun" w:hAnsi="SimSun" w:eastAsia="SimSun" w:cs="SimSun"/>
          <w:sz w:val="19"/>
          <w:szCs w:val="19"/>
          <w:spacing w:val="10"/>
        </w:rPr>
        <w:t>全面数字化信息的数字金融平台若开放算法，与沉</w:t>
      </w:r>
      <w:r>
        <w:rPr>
          <w:rFonts w:ascii="SimSun" w:hAnsi="SimSun" w:eastAsia="SimSun" w:cs="SimSun"/>
          <w:sz w:val="19"/>
          <w:szCs w:val="19"/>
          <w:spacing w:val="9"/>
        </w:rPr>
        <w:t>淀在公共部门的信</w:t>
      </w:r>
      <w:r>
        <w:rPr>
          <w:rFonts w:ascii="SimSun" w:hAnsi="SimSun" w:eastAsia="SimSun" w:cs="SimSun"/>
          <w:sz w:val="19"/>
          <w:szCs w:val="19"/>
        </w:rPr>
        <w:t xml:space="preserve"> </w:t>
      </w:r>
      <w:r>
        <w:rPr>
          <w:rFonts w:ascii="SimSun" w:hAnsi="SimSun" w:eastAsia="SimSun" w:cs="SimSun"/>
          <w:sz w:val="19"/>
          <w:szCs w:val="19"/>
          <w:spacing w:val="9"/>
        </w:rPr>
        <w:t>息匹配使用，数字共享平台的数据治理将会衍生出更大的金融、社会</w:t>
      </w:r>
      <w:r>
        <w:rPr>
          <w:rFonts w:ascii="SimSun" w:hAnsi="SimSun" w:eastAsia="SimSun" w:cs="SimSun"/>
          <w:sz w:val="19"/>
          <w:szCs w:val="19"/>
          <w:spacing w:val="17"/>
        </w:rPr>
        <w:t xml:space="preserve"> </w:t>
      </w:r>
      <w:r>
        <w:rPr>
          <w:rFonts w:ascii="SimSun" w:hAnsi="SimSun" w:eastAsia="SimSun" w:cs="SimSun"/>
          <w:sz w:val="19"/>
          <w:szCs w:val="19"/>
          <w:spacing w:val="10"/>
        </w:rPr>
        <w:t>和经济价值。此外，还应该构建基于公共信用信息数据共享平</w:t>
      </w:r>
      <w:r>
        <w:rPr>
          <w:rFonts w:ascii="SimSun" w:hAnsi="SimSun" w:eastAsia="SimSun" w:cs="SimSun"/>
          <w:sz w:val="19"/>
          <w:szCs w:val="19"/>
          <w:spacing w:val="9"/>
        </w:rPr>
        <w:t>台的智</w:t>
      </w:r>
      <w:r>
        <w:rPr>
          <w:rFonts w:ascii="SimSun" w:hAnsi="SimSun" w:eastAsia="SimSun" w:cs="SimSun"/>
          <w:sz w:val="19"/>
          <w:szCs w:val="19"/>
        </w:rPr>
        <w:t xml:space="preserve"> </w:t>
      </w:r>
      <w:r>
        <w:rPr>
          <w:rFonts w:ascii="SimSun" w:hAnsi="SimSun" w:eastAsia="SimSun" w:cs="SimSun"/>
          <w:sz w:val="19"/>
          <w:szCs w:val="19"/>
          <w:spacing w:val="9"/>
        </w:rPr>
        <w:t>能算法评估和审核体系，提升算法的可解释性、透明度和公平性，通</w:t>
      </w:r>
      <w:r>
        <w:rPr>
          <w:rFonts w:ascii="SimSun" w:hAnsi="SimSun" w:eastAsia="SimSun" w:cs="SimSun"/>
          <w:sz w:val="19"/>
          <w:szCs w:val="19"/>
          <w:spacing w:val="16"/>
        </w:rPr>
        <w:t xml:space="preserve"> </w:t>
      </w:r>
      <w:r>
        <w:rPr>
          <w:rFonts w:ascii="SimSun" w:hAnsi="SimSun" w:eastAsia="SimSun" w:cs="SimSun"/>
          <w:sz w:val="19"/>
          <w:szCs w:val="19"/>
          <w:spacing w:val="10"/>
        </w:rPr>
        <w:t>过负面清单、风险补偿、平台算力提升等方式和措施，加强共享平台</w:t>
      </w:r>
    </w:p>
    <w:p>
      <w:pPr>
        <w:spacing w:line="218" w:lineRule="auto"/>
        <w:rPr>
          <w:rFonts w:ascii="SimSun" w:hAnsi="SimSun" w:eastAsia="SimSun" w:cs="SimSun"/>
          <w:sz w:val="19"/>
          <w:szCs w:val="19"/>
        </w:rPr>
      </w:pPr>
      <w:r>
        <w:rPr>
          <w:rFonts w:ascii="SimSun" w:hAnsi="SimSun" w:eastAsia="SimSun" w:cs="SimSun"/>
          <w:sz w:val="19"/>
          <w:szCs w:val="19"/>
          <w:spacing w:val="5"/>
        </w:rPr>
        <w:t>上的金融和科技风险防火墙。</w:t>
      </w:r>
    </w:p>
    <w:p>
      <w:pPr>
        <w:spacing w:line="218" w:lineRule="auto"/>
        <w:sectPr>
          <w:headerReference w:type="default" r:id="rId281"/>
          <w:pgSz w:w="7330" w:h="12480"/>
          <w:pgMar w:top="839" w:right="1029" w:bottom="400" w:left="300" w:header="673" w:footer="0" w:gutter="0"/>
        </w:sectPr>
        <w:rPr>
          <w:rFonts w:ascii="SimSun" w:hAnsi="SimSun" w:eastAsia="SimSun" w:cs="SimSun"/>
          <w:sz w:val="19"/>
          <w:szCs w:val="19"/>
        </w:rPr>
      </w:pPr>
    </w:p>
    <w:p>
      <w:pPr>
        <w:spacing w:line="12467" w:lineRule="exact"/>
        <w:rPr/>
      </w:pPr>
      <w:r>
        <w:rPr>
          <w:position w:val="-249"/>
        </w:rPr>
        <w:drawing>
          <wp:inline distT="0" distB="0" distL="0" distR="0">
            <wp:extent cx="4654550" cy="7916698"/>
            <wp:effectExtent l="0" t="0" r="0" b="0"/>
            <wp:docPr id="204" name="IM 204"/>
            <wp:cNvGraphicFramePr/>
            <a:graphic>
              <a:graphicData uri="http://schemas.openxmlformats.org/drawingml/2006/picture">
                <pic:pic>
                  <pic:nvPicPr>
                    <pic:cNvPr id="204" name="IM 204"/>
                    <pic:cNvPicPr/>
                  </pic:nvPicPr>
                  <pic:blipFill>
                    <a:blip r:embed="rId282"/>
                    <a:stretch>
                      <a:fillRect/>
                    </a:stretch>
                  </pic:blipFill>
                  <pic:spPr>
                    <a:xfrm rot="0">
                      <a:off x="0" y="0"/>
                      <a:ext cx="4654550" cy="7916698"/>
                    </a:xfrm>
                    <a:prstGeom prst="rect">
                      <a:avLst/>
                    </a:prstGeom>
                  </pic:spPr>
                </pic:pic>
              </a:graphicData>
            </a:graphic>
          </wp:inline>
        </w:drawing>
      </w:r>
    </w:p>
    <w:p>
      <w:pPr>
        <w:spacing w:line="12467" w:lineRule="exact"/>
        <w:sectPr>
          <w:headerReference w:type="default" r:id="rId1"/>
          <w:pgSz w:w="7330" w:h="12480"/>
          <w:pgMar w:top="1" w:right="0" w:bottom="1" w:left="0" w:header="0" w:footer="0" w:gutter="0"/>
        </w:sectPr>
        <w:rPr/>
      </w:pPr>
    </w:p>
    <w:p>
      <w:pPr>
        <w:pStyle w:val="BodyText"/>
        <w:spacing w:line="278" w:lineRule="auto"/>
        <w:rPr/>
      </w:pPr>
      <w:r>
        <w:drawing>
          <wp:anchor distT="0" distB="0" distL="0" distR="0" simplePos="0" relativeHeight="254109696" behindDoc="0" locked="0" layoutInCell="0" allowOverlap="1">
            <wp:simplePos x="0" y="0"/>
            <wp:positionH relativeFrom="page">
              <wp:posOffset>196841</wp:posOffset>
            </wp:positionH>
            <wp:positionV relativeFrom="page">
              <wp:posOffset>7092928</wp:posOffset>
            </wp:positionV>
            <wp:extent cx="1168431" cy="6350"/>
            <wp:effectExtent l="0" t="0" r="0" b="0"/>
            <wp:wrapNone/>
            <wp:docPr id="206" name="IM 206"/>
            <wp:cNvGraphicFramePr/>
            <a:graphic>
              <a:graphicData uri="http://schemas.openxmlformats.org/drawingml/2006/picture">
                <pic:pic>
                  <pic:nvPicPr>
                    <pic:cNvPr id="206" name="IM 206"/>
                    <pic:cNvPicPr/>
                  </pic:nvPicPr>
                  <pic:blipFill>
                    <a:blip r:embed="rId283"/>
                    <a:stretch>
                      <a:fillRect/>
                    </a:stretch>
                  </pic:blipFill>
                  <pic:spPr>
                    <a:xfrm rot="0">
                      <a:off x="0" y="0"/>
                      <a:ext cx="1168431" cy="6350"/>
                    </a:xfrm>
                    <a:prstGeom prst="rect">
                      <a:avLst/>
                    </a:prstGeom>
                  </pic:spPr>
                </pic:pic>
              </a:graphicData>
            </a:graphic>
          </wp:anchor>
        </w:drawing>
      </w: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9" w:lineRule="auto"/>
        <w:rPr/>
      </w:pPr>
      <w:r/>
    </w:p>
    <w:p>
      <w:pPr>
        <w:ind w:firstLine="860"/>
        <w:spacing w:line="3650" w:lineRule="exact"/>
        <w:rPr/>
      </w:pPr>
      <w:r>
        <w:rPr>
          <w:position w:val="-72"/>
        </w:rPr>
        <w:drawing>
          <wp:inline distT="0" distB="0" distL="0" distR="0">
            <wp:extent cx="2838437" cy="2317687"/>
            <wp:effectExtent l="0" t="0" r="0" b="0"/>
            <wp:docPr id="208" name="IM 208"/>
            <wp:cNvGraphicFramePr/>
            <a:graphic>
              <a:graphicData uri="http://schemas.openxmlformats.org/drawingml/2006/picture">
                <pic:pic>
                  <pic:nvPicPr>
                    <pic:cNvPr id="208" name="IM 208"/>
                    <pic:cNvPicPr/>
                  </pic:nvPicPr>
                  <pic:blipFill>
                    <a:blip r:embed="rId284"/>
                    <a:stretch>
                      <a:fillRect/>
                    </a:stretch>
                  </pic:blipFill>
                  <pic:spPr>
                    <a:xfrm rot="0">
                      <a:off x="0" y="0"/>
                      <a:ext cx="2838437" cy="2317687"/>
                    </a:xfrm>
                    <a:prstGeom prst="rect">
                      <a:avLst/>
                    </a:prstGeom>
                  </pic:spPr>
                </pic:pic>
              </a:graphicData>
            </a:graphic>
          </wp:inline>
        </w:drawing>
      </w:r>
    </w:p>
    <w:p>
      <w:pPr>
        <w:ind w:left="1179"/>
        <w:spacing w:before="280" w:line="222" w:lineRule="auto"/>
        <w:tabs>
          <w:tab w:val="left" w:pos="2580"/>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55"/>
        </w:rPr>
        <w:t xml:space="preserve"> </w:t>
      </w:r>
      <w:r>
        <w:rPr>
          <w:rFonts w:ascii="SimHei" w:hAnsi="SimHei" w:eastAsia="SimHei" w:cs="SimHei"/>
          <w:sz w:val="29"/>
          <w:szCs w:val="29"/>
          <w:spacing w:val="-4"/>
        </w:rPr>
        <w:t>第七章</w:t>
      </w:r>
      <w:r>
        <w:rPr>
          <w:rFonts w:ascii="SimHei" w:hAnsi="SimHei" w:eastAsia="SimHei" w:cs="SimHei"/>
          <w:sz w:val="29"/>
          <w:szCs w:val="29"/>
          <w:spacing w:val="-74"/>
        </w:rPr>
        <w:t xml:space="preserve"> </w:t>
      </w:r>
      <w:r>
        <w:rPr>
          <w:rFonts w:ascii="SimHei" w:hAnsi="SimHei" w:eastAsia="SimHei" w:cs="SimHei"/>
          <w:sz w:val="29"/>
          <w:szCs w:val="29"/>
          <w:strike/>
        </w:rPr>
        <w:t xml:space="preserve">          </w:t>
      </w:r>
    </w:p>
    <w:p>
      <w:pPr>
        <w:pStyle w:val="BodyText"/>
        <w:spacing w:line="302" w:lineRule="auto"/>
        <w:rPr/>
      </w:pPr>
      <w:r/>
    </w:p>
    <w:p>
      <w:pPr>
        <w:ind w:left="1855"/>
        <w:spacing w:before="117" w:line="219" w:lineRule="auto"/>
        <w:rPr>
          <w:rFonts w:ascii="SimSun" w:hAnsi="SimSun" w:eastAsia="SimSun" w:cs="SimSun"/>
          <w:sz w:val="36"/>
          <w:szCs w:val="36"/>
        </w:rPr>
      </w:pPr>
      <w:r>
        <w:rPr>
          <w:rFonts w:ascii="SimSun" w:hAnsi="SimSun" w:eastAsia="SimSun" w:cs="SimSun"/>
          <w:sz w:val="36"/>
          <w:szCs w:val="36"/>
          <w:b/>
          <w:bCs/>
          <w:spacing w:val="-16"/>
        </w:rPr>
        <w:t>数字经济治理：</w:t>
      </w:r>
    </w:p>
    <w:p>
      <w:pPr>
        <w:ind w:left="1365"/>
        <w:spacing w:before="50" w:line="219" w:lineRule="auto"/>
        <w:rPr>
          <w:rFonts w:ascii="SimSun" w:hAnsi="SimSun" w:eastAsia="SimSun" w:cs="SimSun"/>
          <w:sz w:val="36"/>
          <w:szCs w:val="36"/>
        </w:rPr>
      </w:pPr>
      <w:r>
        <w:rPr>
          <w:rFonts w:ascii="SimSun" w:hAnsi="SimSun" w:eastAsia="SimSun" w:cs="SimSun"/>
          <w:sz w:val="36"/>
          <w:szCs w:val="36"/>
          <w:b/>
          <w:bCs/>
          <w:spacing w:val="-7"/>
        </w:rPr>
        <w:t>国际政治经济学视角</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left="10"/>
        <w:spacing w:before="55" w:line="223" w:lineRule="auto"/>
        <w:rPr>
          <w:rFonts w:ascii="KaiTi" w:hAnsi="KaiTi" w:eastAsia="KaiTi" w:cs="KaiTi"/>
          <w:sz w:val="17"/>
          <w:szCs w:val="17"/>
        </w:rPr>
      </w:pPr>
      <w:r>
        <w:rPr>
          <w:rFonts w:ascii="KaiTi" w:hAnsi="KaiTi" w:eastAsia="KaiTi" w:cs="KaiTi"/>
          <w:sz w:val="17"/>
          <w:szCs w:val="17"/>
          <w:spacing w:val="-12"/>
        </w:rPr>
        <w:t>①</w:t>
      </w:r>
      <w:r>
        <w:rPr>
          <w:rFonts w:ascii="KaiTi" w:hAnsi="KaiTi" w:eastAsia="KaiTi" w:cs="KaiTi"/>
          <w:sz w:val="17"/>
          <w:szCs w:val="17"/>
          <w:spacing w:val="50"/>
        </w:rPr>
        <w:t xml:space="preserve"> </w:t>
      </w:r>
      <w:r>
        <w:rPr>
          <w:rFonts w:ascii="KaiTi" w:hAnsi="KaiTi" w:eastAsia="KaiTi" w:cs="KaiTi"/>
          <w:sz w:val="17"/>
          <w:szCs w:val="17"/>
          <w:spacing w:val="-12"/>
        </w:rPr>
        <w:t>本章作者为查道炯。</w:t>
      </w:r>
    </w:p>
    <w:p>
      <w:pPr>
        <w:spacing w:line="223" w:lineRule="auto"/>
        <w:sectPr>
          <w:pgSz w:w="7330" w:h="12480"/>
          <w:pgMar w:top="400" w:right="1099" w:bottom="400" w:left="309" w:header="0" w:footer="0" w:gutter="0"/>
        </w:sectPr>
        <w:rPr>
          <w:rFonts w:ascii="KaiTi" w:hAnsi="KaiTi" w:eastAsia="KaiTi" w:cs="KaiTi"/>
          <w:sz w:val="17"/>
          <w:szCs w:val="17"/>
        </w:rPr>
      </w:pP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3" w:lineRule="auto"/>
        <w:rPr/>
      </w:pPr>
      <w:r/>
    </w:p>
    <w:p>
      <w:pPr>
        <w:ind w:firstLine="830"/>
        <w:spacing w:line="2710" w:lineRule="exact"/>
        <w:rPr/>
      </w:pPr>
      <w:r>
        <w:rPr>
          <w:position w:val="-54"/>
        </w:rPr>
        <w:drawing>
          <wp:inline distT="0" distB="0" distL="0" distR="0">
            <wp:extent cx="2292365" cy="1720791"/>
            <wp:effectExtent l="0" t="0" r="0" b="0"/>
            <wp:docPr id="210" name="IM 210"/>
            <wp:cNvGraphicFramePr/>
            <a:graphic>
              <a:graphicData uri="http://schemas.openxmlformats.org/drawingml/2006/picture">
                <pic:pic>
                  <pic:nvPicPr>
                    <pic:cNvPr id="210" name="IM 210"/>
                    <pic:cNvPicPr/>
                  </pic:nvPicPr>
                  <pic:blipFill>
                    <a:blip r:embed="rId285"/>
                    <a:stretch>
                      <a:fillRect/>
                    </a:stretch>
                  </pic:blipFill>
                  <pic:spPr>
                    <a:xfrm rot="0">
                      <a:off x="0" y="0"/>
                      <a:ext cx="2292365" cy="1720791"/>
                    </a:xfrm>
                    <a:prstGeom prst="rect">
                      <a:avLst/>
                    </a:prstGeom>
                  </pic:spPr>
                </pic:pic>
              </a:graphicData>
            </a:graphic>
          </wp:inline>
        </w:drawing>
      </w:r>
    </w:p>
    <w:p>
      <w:pPr>
        <w:spacing w:line="2710" w:lineRule="exact"/>
        <w:sectPr>
          <w:pgSz w:w="7330" w:h="12480"/>
          <w:pgMar w:top="400" w:right="1099" w:bottom="400" w:left="1099" w:header="0" w:footer="0" w:gutter="0"/>
        </w:sectPr>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399"/>
        <w:spacing w:before="69" w:line="311" w:lineRule="auto"/>
        <w:jc w:val="both"/>
        <w:rPr>
          <w:rFonts w:ascii="SimSun" w:hAnsi="SimSun" w:eastAsia="SimSun" w:cs="SimSun"/>
          <w:sz w:val="21"/>
          <w:szCs w:val="21"/>
        </w:rPr>
      </w:pPr>
      <w:r>
        <w:rPr>
          <w:rFonts w:ascii="SimSun" w:hAnsi="SimSun" w:eastAsia="SimSun" w:cs="SimSun"/>
          <w:sz w:val="21"/>
          <w:szCs w:val="21"/>
          <w:spacing w:val="-10"/>
        </w:rPr>
        <w:t>跨国贸易是国际经济关系的一个组成部分，建立在信息技术和高 </w:t>
      </w:r>
      <w:r>
        <w:rPr>
          <w:rFonts w:ascii="SimSun" w:hAnsi="SimSun" w:eastAsia="SimSun" w:cs="SimSun"/>
          <w:sz w:val="21"/>
          <w:szCs w:val="21"/>
          <w:spacing w:val="-9"/>
        </w:rPr>
        <w:t>科技之上的业态使跨国贸易形式不断创新，国际上对数字与贸易</w:t>
      </w:r>
      <w:r>
        <w:rPr>
          <w:rFonts w:ascii="SimSun" w:hAnsi="SimSun" w:eastAsia="SimSun" w:cs="SimSun"/>
          <w:sz w:val="21"/>
          <w:szCs w:val="21"/>
          <w:spacing w:val="-10"/>
        </w:rPr>
        <w:t>的关</w:t>
      </w:r>
      <w:r>
        <w:rPr>
          <w:rFonts w:ascii="SimSun" w:hAnsi="SimSun" w:eastAsia="SimSun" w:cs="SimSun"/>
          <w:sz w:val="21"/>
          <w:szCs w:val="21"/>
        </w:rPr>
        <w:t xml:space="preserve"> </w:t>
      </w:r>
      <w:r>
        <w:rPr>
          <w:rFonts w:ascii="SimSun" w:hAnsi="SimSun" w:eastAsia="SimSun" w:cs="SimSun"/>
          <w:sz w:val="21"/>
          <w:szCs w:val="21"/>
          <w:spacing w:val="-3"/>
        </w:rPr>
        <w:t>注已经从21世纪初追求缩小不同经济体之间的数字</w:t>
      </w:r>
      <w:r>
        <w:rPr>
          <w:rFonts w:ascii="SimSun" w:hAnsi="SimSun" w:eastAsia="SimSun" w:cs="SimSun"/>
          <w:sz w:val="21"/>
          <w:szCs w:val="21"/>
          <w:spacing w:val="-4"/>
        </w:rPr>
        <w:t>鸿沟转向全球适 </w:t>
      </w:r>
      <w:r>
        <w:rPr>
          <w:rFonts w:ascii="SimSun" w:hAnsi="SimSun" w:eastAsia="SimSun" w:cs="SimSun"/>
          <w:sz w:val="21"/>
          <w:szCs w:val="21"/>
          <w:spacing w:val="-10"/>
        </w:rPr>
        <w:t>用的数字经济治理规则。从国际政治层面看，传统的国家主权概念与 </w:t>
      </w:r>
      <w:r>
        <w:rPr>
          <w:rFonts w:ascii="SimSun" w:hAnsi="SimSun" w:eastAsia="SimSun" w:cs="SimSun"/>
          <w:sz w:val="21"/>
          <w:szCs w:val="21"/>
          <w:spacing w:val="-10"/>
        </w:rPr>
        <w:t>国家领土相关，数字空间则具有无地理疆界性、全球性和开放性，二 </w:t>
      </w:r>
      <w:r>
        <w:rPr>
          <w:rFonts w:ascii="SimSun" w:hAnsi="SimSun" w:eastAsia="SimSun" w:cs="SimSun"/>
          <w:sz w:val="21"/>
          <w:szCs w:val="21"/>
          <w:spacing w:val="-15"/>
        </w:rPr>
        <w:t>者存在难以调和的矛盾。</w:t>
      </w:r>
      <w:r>
        <w:rPr>
          <w:rFonts w:ascii="SimSun" w:hAnsi="SimSun" w:eastAsia="SimSun" w:cs="SimSun"/>
          <w:sz w:val="21"/>
          <w:szCs w:val="21"/>
          <w:spacing w:val="41"/>
        </w:rPr>
        <w:t xml:space="preserve"> </w:t>
      </w:r>
      <w:r>
        <w:rPr>
          <w:rFonts w:ascii="SimSun" w:hAnsi="SimSun" w:eastAsia="SimSun" w:cs="SimSun"/>
          <w:sz w:val="21"/>
          <w:szCs w:val="21"/>
          <w:spacing w:val="-15"/>
        </w:rPr>
        <w:t>一个国家固然拥有对数据跨国界传输和处理</w:t>
      </w:r>
      <w:r>
        <w:rPr>
          <w:rFonts w:ascii="SimSun" w:hAnsi="SimSun" w:eastAsia="SimSun" w:cs="SimSun"/>
          <w:sz w:val="21"/>
          <w:szCs w:val="21"/>
        </w:rPr>
        <w:t xml:space="preserve"> </w:t>
      </w:r>
      <w:r>
        <w:rPr>
          <w:rFonts w:ascii="SimSun" w:hAnsi="SimSun" w:eastAsia="SimSun" w:cs="SimSun"/>
          <w:sz w:val="21"/>
          <w:szCs w:val="21"/>
          <w:spacing w:val="-10"/>
        </w:rPr>
        <w:t>的主权权力和能力，但是数据没有跨越国界却依然能够被第三国的主 </w:t>
      </w:r>
      <w:r>
        <w:rPr>
          <w:rFonts w:ascii="SimSun" w:hAnsi="SimSun" w:eastAsia="SimSun" w:cs="SimSun"/>
          <w:sz w:val="21"/>
          <w:szCs w:val="21"/>
          <w:spacing w:val="-11"/>
        </w:rPr>
        <w:t>体访问，国家管辖权也就只有在被尽可能广泛接受的基础上才具有效</w:t>
      </w:r>
      <w:r>
        <w:rPr>
          <w:rFonts w:ascii="SimSun" w:hAnsi="SimSun" w:eastAsia="SimSun" w:cs="SimSun"/>
          <w:sz w:val="21"/>
          <w:szCs w:val="21"/>
          <w:spacing w:val="3"/>
        </w:rPr>
        <w:t xml:space="preserve">  </w:t>
      </w:r>
      <w:r>
        <w:rPr>
          <w:rFonts w:ascii="SimSun" w:hAnsi="SimSun" w:eastAsia="SimSun" w:cs="SimSun"/>
          <w:sz w:val="21"/>
          <w:szCs w:val="21"/>
          <w:spacing w:val="-8"/>
        </w:rPr>
        <w:t>力。而且，国家间的数字鸿沟依然存在，数据价值链是全球产品链、</w:t>
      </w:r>
      <w:r>
        <w:rPr>
          <w:rFonts w:ascii="SimSun" w:hAnsi="SimSun" w:eastAsia="SimSun" w:cs="SimSun"/>
          <w:sz w:val="21"/>
          <w:szCs w:val="21"/>
          <w:spacing w:val="14"/>
        </w:rPr>
        <w:t xml:space="preserve"> </w:t>
      </w:r>
      <w:r>
        <w:rPr>
          <w:rFonts w:ascii="SimSun" w:hAnsi="SimSun" w:eastAsia="SimSun" w:cs="SimSun"/>
          <w:sz w:val="21"/>
          <w:szCs w:val="21"/>
          <w:spacing w:val="-10"/>
        </w:rPr>
        <w:t>产业链和价值链的一部分。这些都是所有国家必须面对的现实。原始 </w:t>
      </w:r>
      <w:r>
        <w:rPr>
          <w:rFonts w:ascii="SimSun" w:hAnsi="SimSun" w:eastAsia="SimSun" w:cs="SimSun"/>
          <w:sz w:val="21"/>
          <w:szCs w:val="21"/>
          <w:spacing w:val="-3"/>
        </w:rPr>
        <w:t>数据，包括个人数据，经过转化(从数据收集、分析</w:t>
      </w:r>
      <w:r>
        <w:rPr>
          <w:rFonts w:ascii="SimSun" w:hAnsi="SimSun" w:eastAsia="SimSun" w:cs="SimSun"/>
          <w:sz w:val="21"/>
          <w:szCs w:val="21"/>
          <w:spacing w:val="-4"/>
        </w:rPr>
        <w:t>到处理)形成数 </w:t>
      </w:r>
      <w:r>
        <w:rPr>
          <w:rFonts w:ascii="SimSun" w:hAnsi="SimSun" w:eastAsia="SimSun" w:cs="SimSun"/>
          <w:sz w:val="21"/>
          <w:szCs w:val="21"/>
          <w:spacing w:val="-3"/>
        </w:rPr>
        <w:t>字智能，既可用于商业目的而具有交易价值</w:t>
      </w:r>
      <w:r>
        <w:rPr>
          <w:rFonts w:ascii="SimSun" w:hAnsi="SimSun" w:eastAsia="SimSun" w:cs="SimSun"/>
          <w:sz w:val="21"/>
          <w:szCs w:val="21"/>
          <w:spacing w:val="-4"/>
        </w:rPr>
        <w:t>，也可服务于社会目标 </w:t>
      </w:r>
      <w:r>
        <w:rPr>
          <w:rFonts w:ascii="SimSun" w:hAnsi="SimSun" w:eastAsia="SimSun" w:cs="SimSun"/>
          <w:sz w:val="21"/>
          <w:szCs w:val="21"/>
          <w:spacing w:val="-8"/>
        </w:rPr>
        <w:t>而具有社会价值。</w:t>
      </w:r>
      <w:r>
        <w:rPr>
          <w:rFonts w:ascii="SimSun" w:hAnsi="SimSun" w:eastAsia="SimSun" w:cs="SimSun"/>
          <w:sz w:val="21"/>
          <w:szCs w:val="21"/>
          <w:spacing w:val="40"/>
        </w:rPr>
        <w:t xml:space="preserve"> </w:t>
      </w:r>
      <w:r>
        <w:rPr>
          <w:rFonts w:ascii="SimSun" w:hAnsi="SimSun" w:eastAsia="SimSun" w:cs="SimSun"/>
          <w:sz w:val="21"/>
          <w:szCs w:val="21"/>
          <w:spacing w:val="-8"/>
        </w:rPr>
        <w:t>一方面，没有原始数据就没有数字智</w:t>
      </w:r>
      <w:r>
        <w:rPr>
          <w:rFonts w:ascii="SimSun" w:hAnsi="SimSun" w:eastAsia="SimSun" w:cs="SimSun"/>
          <w:sz w:val="21"/>
          <w:szCs w:val="21"/>
          <w:spacing w:val="-9"/>
        </w:rPr>
        <w:t>能；另一方 </w:t>
      </w:r>
      <w:r>
        <w:rPr>
          <w:rFonts w:ascii="SimSun" w:hAnsi="SimSun" w:eastAsia="SimSun" w:cs="SimSun"/>
          <w:sz w:val="21"/>
          <w:szCs w:val="21"/>
          <w:spacing w:val="-10"/>
        </w:rPr>
        <w:t>面，要想创造并获得价值，既需要原始数据，也需要具备将数据变为 </w:t>
      </w:r>
      <w:r>
        <w:rPr>
          <w:rFonts w:ascii="SimSun" w:hAnsi="SimSun" w:eastAsia="SimSun" w:cs="SimSun"/>
          <w:sz w:val="21"/>
          <w:szCs w:val="21"/>
          <w:spacing w:val="-10"/>
        </w:rPr>
        <w:t>数字智能的能力。随着数据作为一种经济资源以及跨境数据流动发挥 </w:t>
      </w:r>
      <w:r>
        <w:rPr>
          <w:rFonts w:ascii="SimSun" w:hAnsi="SimSun" w:eastAsia="SimSun" w:cs="SimSun"/>
          <w:sz w:val="21"/>
          <w:szCs w:val="21"/>
          <w:spacing w:val="-10"/>
        </w:rPr>
        <w:t>越来越大的作用，数字鸿沟又呈现出与数据价值链有关的新层面。所 </w:t>
      </w:r>
      <w:r>
        <w:rPr>
          <w:rFonts w:ascii="SimSun" w:hAnsi="SimSun" w:eastAsia="SimSun" w:cs="SimSun"/>
          <w:sz w:val="21"/>
          <w:szCs w:val="21"/>
          <w:spacing w:val="-10"/>
        </w:rPr>
        <w:t>以，形成被广泛认可的国际数字经济治理规则应该是所有国家的共同 </w:t>
      </w:r>
      <w:r>
        <w:rPr>
          <w:rFonts w:ascii="SimSun" w:hAnsi="SimSun" w:eastAsia="SimSun" w:cs="SimSun"/>
          <w:sz w:val="21"/>
          <w:szCs w:val="21"/>
          <w:spacing w:val="-9"/>
        </w:rPr>
        <w:t>追求。</w:t>
      </w:r>
    </w:p>
    <w:p>
      <w:pPr>
        <w:ind w:right="46" w:firstLine="324"/>
        <w:spacing w:before="109" w:line="300" w:lineRule="auto"/>
        <w:jc w:val="both"/>
        <w:rPr>
          <w:rFonts w:ascii="SimSun" w:hAnsi="SimSun" w:eastAsia="SimSun" w:cs="SimSun"/>
          <w:sz w:val="21"/>
          <w:szCs w:val="21"/>
        </w:rPr>
      </w:pPr>
      <w:r>
        <w:rPr>
          <w:rFonts w:ascii="SimSun" w:hAnsi="SimSun" w:eastAsia="SimSun" w:cs="SimSun"/>
          <w:sz w:val="21"/>
          <w:szCs w:val="21"/>
          <w:spacing w:val="-7"/>
        </w:rPr>
        <w:t>“治理”一词源于英文且有着深刻的政治学含义，用于讨论国际</w:t>
      </w:r>
      <w:r>
        <w:rPr>
          <w:rFonts w:ascii="SimSun" w:hAnsi="SimSun" w:eastAsia="SimSun" w:cs="SimSun"/>
          <w:sz w:val="21"/>
          <w:szCs w:val="21"/>
          <w:spacing w:val="18"/>
        </w:rPr>
        <w:t xml:space="preserve"> </w:t>
      </w:r>
      <w:r>
        <w:rPr>
          <w:rFonts w:ascii="SimSun" w:hAnsi="SimSun" w:eastAsia="SimSun" w:cs="SimSun"/>
          <w:sz w:val="21"/>
          <w:szCs w:val="21"/>
          <w:spacing w:val="-10"/>
        </w:rPr>
        <w:t>经济和政治现象，基于研究对象、时空范畴的选择，以及研究</w:t>
      </w:r>
      <w:r>
        <w:rPr>
          <w:rFonts w:ascii="SimSun" w:hAnsi="SimSun" w:eastAsia="SimSun" w:cs="SimSun"/>
          <w:sz w:val="21"/>
          <w:szCs w:val="21"/>
          <w:spacing w:val="-11"/>
        </w:rPr>
        <w:t>和国际</w:t>
      </w:r>
      <w:r>
        <w:rPr>
          <w:rFonts w:ascii="SimSun" w:hAnsi="SimSun" w:eastAsia="SimSun" w:cs="SimSun"/>
          <w:sz w:val="21"/>
          <w:szCs w:val="21"/>
        </w:rPr>
        <w:t xml:space="preserve"> </w:t>
      </w:r>
      <w:r>
        <w:rPr>
          <w:rFonts w:ascii="SimSun" w:hAnsi="SimSun" w:eastAsia="SimSun" w:cs="SimSun"/>
          <w:sz w:val="21"/>
          <w:szCs w:val="21"/>
          <w:spacing w:val="-10"/>
        </w:rPr>
        <w:t>谈判所谋求的不同利益，其议题设置和因果归因等都相当复杂。更确</w:t>
      </w:r>
      <w:r>
        <w:rPr>
          <w:rFonts w:ascii="SimSun" w:hAnsi="SimSun" w:eastAsia="SimSun" w:cs="SimSun"/>
          <w:sz w:val="21"/>
          <w:szCs w:val="21"/>
          <w:spacing w:val="4"/>
        </w:rPr>
        <w:t xml:space="preserve"> </w:t>
      </w:r>
      <w:r>
        <w:rPr>
          <w:rFonts w:ascii="SimSun" w:hAnsi="SimSun" w:eastAsia="SimSun" w:cs="SimSun"/>
          <w:sz w:val="21"/>
          <w:szCs w:val="21"/>
          <w:spacing w:val="-14"/>
        </w:rPr>
        <w:t>切一点说，治理是一种追求， 一个过程。本文借用弗朗西斯·福山在</w:t>
      </w:r>
      <w:r>
        <w:rPr>
          <w:rFonts w:ascii="SimSun" w:hAnsi="SimSun" w:eastAsia="SimSun" w:cs="SimSun"/>
          <w:sz w:val="21"/>
          <w:szCs w:val="21"/>
          <w:spacing w:val="8"/>
        </w:rPr>
        <w:t xml:space="preserve"> </w:t>
      </w:r>
      <w:r>
        <w:rPr>
          <w:rFonts w:ascii="SimSun" w:hAnsi="SimSun" w:eastAsia="SimSun" w:cs="SimSun"/>
          <w:sz w:val="21"/>
          <w:szCs w:val="21"/>
          <w:spacing w:val="-11"/>
        </w:rPr>
        <w:t>详尽考察文献后对“治理”含义的归纳：国际合作不仅在传统意义上</w:t>
      </w:r>
      <w:r>
        <w:rPr>
          <w:rFonts w:ascii="SimSun" w:hAnsi="SimSun" w:eastAsia="SimSun" w:cs="SimSun"/>
          <w:sz w:val="21"/>
          <w:szCs w:val="21"/>
          <w:spacing w:val="7"/>
        </w:rPr>
        <w:t xml:space="preserve"> </w:t>
      </w:r>
      <w:r>
        <w:rPr>
          <w:rFonts w:ascii="SimSun" w:hAnsi="SimSun" w:eastAsia="SimSun" w:cs="SimSun"/>
          <w:sz w:val="21"/>
          <w:szCs w:val="21"/>
          <w:spacing w:val="1"/>
        </w:rPr>
        <w:t>的国家体系之内展开，还应有非主权国家主体的参与(国际治理</w:t>
      </w:r>
      <w:r>
        <w:rPr>
          <w:rFonts w:ascii="SimSun" w:hAnsi="SimSun" w:eastAsia="SimSun" w:cs="SimSun"/>
          <w:sz w:val="21"/>
          <w:szCs w:val="21"/>
        </w:rPr>
        <w:t>);</w:t>
      </w:r>
    </w:p>
    <w:p>
      <w:pPr>
        <w:spacing w:line="300" w:lineRule="auto"/>
        <w:sectPr>
          <w:pgSz w:w="7330" w:h="12480"/>
          <w:pgMar w:top="400" w:right="924" w:bottom="400" w:left="329" w:header="0" w:footer="0" w:gutter="0"/>
        </w:sectPr>
        <w:rPr>
          <w:rFonts w:ascii="SimSun" w:hAnsi="SimSun" w:eastAsia="SimSun" w:cs="SimSun"/>
          <w:sz w:val="21"/>
          <w:szCs w:val="21"/>
        </w:rPr>
      </w:pPr>
    </w:p>
    <w:p>
      <w:pPr>
        <w:pStyle w:val="BodyText"/>
        <w:spacing w:line="248" w:lineRule="auto"/>
        <w:rPr/>
      </w:pPr>
      <w:r>
        <w:drawing>
          <wp:anchor distT="0" distB="0" distL="0" distR="0" simplePos="0" relativeHeight="254140416" behindDoc="0" locked="0" layoutInCell="0" allowOverlap="1">
            <wp:simplePos x="0" y="0"/>
            <wp:positionH relativeFrom="page">
              <wp:posOffset>457216</wp:posOffset>
            </wp:positionH>
            <wp:positionV relativeFrom="page">
              <wp:posOffset>6343638</wp:posOffset>
            </wp:positionV>
            <wp:extent cx="1181092" cy="6350"/>
            <wp:effectExtent l="0" t="0" r="0" b="0"/>
            <wp:wrapNone/>
            <wp:docPr id="212" name="IM 212"/>
            <wp:cNvGraphicFramePr/>
            <a:graphic>
              <a:graphicData uri="http://schemas.openxmlformats.org/drawingml/2006/picture">
                <pic:pic>
                  <pic:nvPicPr>
                    <pic:cNvPr id="212" name="IM 212"/>
                    <pic:cNvPicPr/>
                  </pic:nvPicPr>
                  <pic:blipFill>
                    <a:blip r:embed="rId287"/>
                    <a:stretch>
                      <a:fillRect/>
                    </a:stretch>
                  </pic:blipFill>
                  <pic:spPr>
                    <a:xfrm rot="0">
                      <a:off x="0" y="0"/>
                      <a:ext cx="1181092" cy="6350"/>
                    </a:xfrm>
                    <a:prstGeom prst="rect">
                      <a:avLst/>
                    </a:prstGeom>
                  </pic:spPr>
                </pic:pic>
              </a:graphicData>
            </a:graphic>
          </wp:anchor>
        </w:drawing>
      </w:r>
      <w:r/>
    </w:p>
    <w:p>
      <w:pPr>
        <w:pStyle w:val="BodyText"/>
        <w:spacing w:line="248" w:lineRule="auto"/>
        <w:rPr/>
      </w:pPr>
      <w:r/>
    </w:p>
    <w:p>
      <w:pPr>
        <w:pStyle w:val="BodyText"/>
        <w:spacing w:line="249" w:lineRule="auto"/>
        <w:rPr/>
      </w:pPr>
      <w:r/>
    </w:p>
    <w:p>
      <w:pPr>
        <w:pStyle w:val="BodyText"/>
        <w:spacing w:line="249" w:lineRule="auto"/>
        <w:rPr/>
      </w:pPr>
      <w:r/>
    </w:p>
    <w:p>
      <w:pPr>
        <w:ind w:left="105"/>
        <w:spacing w:before="69" w:line="289" w:lineRule="auto"/>
        <w:jc w:val="both"/>
        <w:rPr>
          <w:rFonts w:ascii="SimSun" w:hAnsi="SimSun" w:eastAsia="SimSun" w:cs="SimSun"/>
          <w:sz w:val="21"/>
          <w:szCs w:val="21"/>
        </w:rPr>
      </w:pPr>
      <w:r>
        <w:rPr>
          <w:rFonts w:ascii="SimSun" w:hAnsi="SimSun" w:eastAsia="SimSun" w:cs="SimSun"/>
          <w:sz w:val="21"/>
          <w:szCs w:val="21"/>
          <w:spacing w:val="3"/>
        </w:rPr>
        <w:t>国家为有效履行其政策而不断对公共管理做出调整(善治);企业、</w:t>
      </w:r>
      <w:r>
        <w:rPr>
          <w:rFonts w:ascii="SimSun" w:hAnsi="SimSun" w:eastAsia="SimSun" w:cs="SimSun"/>
          <w:sz w:val="21"/>
          <w:szCs w:val="21"/>
          <w:spacing w:val="8"/>
        </w:rPr>
        <w:t xml:space="preserve"> </w:t>
      </w:r>
      <w:r>
        <w:rPr>
          <w:rFonts w:ascii="SimSun" w:hAnsi="SimSun" w:eastAsia="SimSun" w:cs="SimSun"/>
          <w:sz w:val="21"/>
          <w:szCs w:val="21"/>
          <w:spacing w:val="-10"/>
        </w:rPr>
        <w:t>社会网络和个人在国内适应政府的公共政策且在国际层面形成自我约 </w:t>
      </w:r>
      <w:r>
        <w:rPr>
          <w:rFonts w:ascii="SimSun" w:hAnsi="SimSun" w:eastAsia="SimSun" w:cs="SimSun"/>
          <w:sz w:val="21"/>
          <w:szCs w:val="21"/>
          <w:spacing w:val="-7"/>
        </w:rPr>
        <w:t>束的行为规范(自我治理)。①</w:t>
      </w:r>
    </w:p>
    <w:p>
      <w:pPr>
        <w:ind w:right="46" w:firstLine="545"/>
        <w:spacing w:before="80" w:line="305" w:lineRule="auto"/>
        <w:jc w:val="both"/>
        <w:rPr>
          <w:rFonts w:ascii="SimSun" w:hAnsi="SimSun" w:eastAsia="SimSun" w:cs="SimSun"/>
          <w:sz w:val="21"/>
          <w:szCs w:val="21"/>
        </w:rPr>
      </w:pPr>
      <w:r>
        <w:rPr>
          <w:rFonts w:ascii="SimSun" w:hAnsi="SimSun" w:eastAsia="SimSun" w:cs="SimSun"/>
          <w:sz w:val="21"/>
          <w:szCs w:val="21"/>
          <w:spacing w:val="-10"/>
        </w:rPr>
        <w:t>数字经济和数字贸易的范畴是一个在统计学和经济统计</w:t>
      </w:r>
      <w:r>
        <w:rPr>
          <w:rFonts w:ascii="SimSun" w:hAnsi="SimSun" w:eastAsia="SimSun" w:cs="SimSun"/>
          <w:sz w:val="21"/>
          <w:szCs w:val="21"/>
          <w:spacing w:val="-11"/>
        </w:rPr>
        <w:t>实践中颇</w:t>
      </w:r>
      <w:r>
        <w:rPr>
          <w:rFonts w:ascii="SimSun" w:hAnsi="SimSun" w:eastAsia="SimSun" w:cs="SimSun"/>
          <w:sz w:val="21"/>
          <w:szCs w:val="21"/>
        </w:rPr>
        <w:t xml:space="preserve"> </w:t>
      </w:r>
      <w:r>
        <w:rPr>
          <w:rFonts w:ascii="SimSun" w:hAnsi="SimSun" w:eastAsia="SimSun" w:cs="SimSun"/>
          <w:sz w:val="21"/>
          <w:szCs w:val="21"/>
          <w:spacing w:val="-7"/>
        </w:rPr>
        <w:t>具争议的议题。就本章所集中关注的数字贸易而言，狭义的数字贸易</w:t>
      </w:r>
      <w:r>
        <w:rPr>
          <w:rFonts w:ascii="SimSun" w:hAnsi="SimSun" w:eastAsia="SimSun" w:cs="SimSun"/>
          <w:sz w:val="21"/>
          <w:szCs w:val="21"/>
          <w:spacing w:val="15"/>
        </w:rPr>
        <w:t xml:space="preserve"> </w:t>
      </w:r>
      <w:r>
        <w:rPr>
          <w:rFonts w:ascii="SimSun" w:hAnsi="SimSun" w:eastAsia="SimSun" w:cs="SimSun"/>
          <w:sz w:val="21"/>
          <w:szCs w:val="21"/>
          <w:spacing w:val="-7"/>
        </w:rPr>
        <w:t>定义主要围绕信息通信技术产业和个别数字化程度高的产业展开，从</w:t>
      </w:r>
      <w:r>
        <w:rPr>
          <w:rFonts w:ascii="SimSun" w:hAnsi="SimSun" w:eastAsia="SimSun" w:cs="SimSun"/>
          <w:sz w:val="21"/>
          <w:szCs w:val="21"/>
          <w:spacing w:val="1"/>
        </w:rPr>
        <w:t xml:space="preserve"> </w:t>
      </w:r>
      <w:r>
        <w:rPr>
          <w:rFonts w:ascii="SimSun" w:hAnsi="SimSun" w:eastAsia="SimSun" w:cs="SimSun"/>
          <w:sz w:val="21"/>
          <w:szCs w:val="21"/>
          <w:spacing w:val="-7"/>
        </w:rPr>
        <w:t>连接生产和消费的交易视角出发，认为一项交易满足“数字订购”或</w:t>
      </w:r>
      <w:r>
        <w:rPr>
          <w:rFonts w:ascii="SimSun" w:hAnsi="SimSun" w:eastAsia="SimSun" w:cs="SimSun"/>
          <w:sz w:val="21"/>
          <w:szCs w:val="21"/>
          <w:spacing w:val="3"/>
        </w:rPr>
        <w:t xml:space="preserve"> </w:t>
      </w:r>
      <w:r>
        <w:rPr>
          <w:rFonts w:ascii="SimSun" w:hAnsi="SimSun" w:eastAsia="SimSun" w:cs="SimSun"/>
          <w:sz w:val="21"/>
          <w:szCs w:val="21"/>
          <w:spacing w:val="-7"/>
        </w:rPr>
        <w:t>“数字交付”特征，就属于数字贸易。②而广义的定义则可包括数字</w:t>
      </w:r>
      <w:r>
        <w:rPr>
          <w:rFonts w:ascii="SimSun" w:hAnsi="SimSun" w:eastAsia="SimSun" w:cs="SimSun"/>
          <w:sz w:val="21"/>
          <w:szCs w:val="21"/>
          <w:spacing w:val="3"/>
        </w:rPr>
        <w:t xml:space="preserve"> </w:t>
      </w:r>
      <w:r>
        <w:rPr>
          <w:rFonts w:ascii="SimSun" w:hAnsi="SimSun" w:eastAsia="SimSun" w:cs="SimSun"/>
          <w:sz w:val="21"/>
          <w:szCs w:val="21"/>
          <w:spacing w:val="-7"/>
        </w:rPr>
        <w:t>技术与经济社会广泛融合产生的所有经济活动。在实践层面，统计规</w:t>
      </w:r>
      <w:r>
        <w:rPr>
          <w:rFonts w:ascii="SimSun" w:hAnsi="SimSun" w:eastAsia="SimSun" w:cs="SimSun"/>
          <w:sz w:val="21"/>
          <w:szCs w:val="21"/>
          <w:spacing w:val="2"/>
        </w:rPr>
        <w:t xml:space="preserve"> </w:t>
      </w:r>
      <w:r>
        <w:rPr>
          <w:rFonts w:ascii="SimSun" w:hAnsi="SimSun" w:eastAsia="SimSun" w:cs="SimSun"/>
          <w:sz w:val="21"/>
          <w:szCs w:val="21"/>
          <w:spacing w:val="-7"/>
        </w:rPr>
        <w:t>则依然属国家主权范畴，数字经济没有或者说难有被不同国家广泛接</w:t>
      </w:r>
      <w:r>
        <w:rPr>
          <w:rFonts w:ascii="SimSun" w:hAnsi="SimSun" w:eastAsia="SimSun" w:cs="SimSun"/>
          <w:sz w:val="21"/>
          <w:szCs w:val="21"/>
          <w:spacing w:val="1"/>
        </w:rPr>
        <w:t xml:space="preserve"> </w:t>
      </w:r>
      <w:r>
        <w:rPr>
          <w:rFonts w:ascii="SimSun" w:hAnsi="SimSun" w:eastAsia="SimSun" w:cs="SimSun"/>
          <w:sz w:val="21"/>
          <w:szCs w:val="21"/>
          <w:spacing w:val="12"/>
        </w:rPr>
        <w:t>受的定义。</w:t>
      </w:r>
    </w:p>
    <w:p>
      <w:pPr>
        <w:ind w:left="105" w:right="26" w:firstLine="460"/>
        <w:spacing w:before="114" w:line="308" w:lineRule="auto"/>
        <w:jc w:val="both"/>
        <w:rPr>
          <w:rFonts w:ascii="SimSun" w:hAnsi="SimSun" w:eastAsia="SimSun" w:cs="SimSun"/>
          <w:sz w:val="21"/>
          <w:szCs w:val="21"/>
        </w:rPr>
      </w:pPr>
      <w:r>
        <w:rPr>
          <w:rFonts w:ascii="SimSun" w:hAnsi="SimSun" w:eastAsia="SimSun" w:cs="SimSun"/>
          <w:sz w:val="21"/>
          <w:szCs w:val="21"/>
          <w:spacing w:val="-10"/>
        </w:rPr>
        <w:t>数字经济所涉及的国内和国际层次的所有议题都可被纳入</w:t>
      </w:r>
      <w:r>
        <w:rPr>
          <w:rFonts w:ascii="SimSun" w:hAnsi="SimSun" w:eastAsia="SimSun" w:cs="SimSun"/>
          <w:sz w:val="21"/>
          <w:szCs w:val="21"/>
          <w:spacing w:val="-11"/>
        </w:rPr>
        <w:t>治理研</w:t>
      </w:r>
      <w:r>
        <w:rPr>
          <w:rFonts w:ascii="SimSun" w:hAnsi="SimSun" w:eastAsia="SimSun" w:cs="SimSun"/>
          <w:sz w:val="21"/>
          <w:szCs w:val="21"/>
        </w:rPr>
        <w:t xml:space="preserve"> </w:t>
      </w:r>
      <w:r>
        <w:rPr>
          <w:rFonts w:ascii="SimSun" w:hAnsi="SimSun" w:eastAsia="SimSun" w:cs="SimSun"/>
          <w:sz w:val="21"/>
          <w:szCs w:val="21"/>
          <w:spacing w:val="-10"/>
        </w:rPr>
        <w:t>究的范畴。例如，电商平台“二选—”“大数据杀熟”等</w:t>
      </w:r>
      <w:r>
        <w:rPr>
          <w:rFonts w:ascii="SimSun" w:hAnsi="SimSun" w:eastAsia="SimSun" w:cs="SimSun"/>
          <w:sz w:val="21"/>
          <w:szCs w:val="21"/>
          <w:spacing w:val="-11"/>
        </w:rPr>
        <w:t>市场垄断和</w:t>
      </w:r>
      <w:r>
        <w:rPr>
          <w:rFonts w:ascii="SimSun" w:hAnsi="SimSun" w:eastAsia="SimSun" w:cs="SimSun"/>
          <w:sz w:val="21"/>
          <w:szCs w:val="21"/>
        </w:rPr>
        <w:t xml:space="preserve"> </w:t>
      </w:r>
      <w:r>
        <w:rPr>
          <w:rFonts w:ascii="SimSun" w:hAnsi="SimSun" w:eastAsia="SimSun" w:cs="SimSun"/>
          <w:sz w:val="21"/>
          <w:szCs w:val="21"/>
          <w:spacing w:val="-11"/>
        </w:rPr>
        <w:t>竞争创新议题主要属善治领域。发行主权数字货币、管理一些平台企 </w:t>
      </w:r>
      <w:r>
        <w:rPr>
          <w:rFonts w:ascii="SimSun" w:hAnsi="SimSun" w:eastAsia="SimSun" w:cs="SimSun"/>
          <w:sz w:val="21"/>
          <w:szCs w:val="21"/>
          <w:spacing w:val="-11"/>
        </w:rPr>
        <w:t>业的数字货币、应对数据泄露、隐私保护等既关乎以国家为主体的善 </w:t>
      </w:r>
      <w:r>
        <w:rPr>
          <w:rFonts w:ascii="SimSun" w:hAnsi="SimSun" w:eastAsia="SimSun" w:cs="SimSun"/>
          <w:sz w:val="21"/>
          <w:szCs w:val="21"/>
          <w:spacing w:val="-11"/>
        </w:rPr>
        <w:t>治，也因其措施有国际关联和影响而同时属于国际治理范畴。而数字 </w:t>
      </w:r>
      <w:r>
        <w:rPr>
          <w:rFonts w:ascii="SimSun" w:hAnsi="SimSun" w:eastAsia="SimSun" w:cs="SimSun"/>
          <w:sz w:val="21"/>
          <w:szCs w:val="21"/>
          <w:spacing w:val="-3"/>
        </w:rPr>
        <w:t>技术标准、行业行为规范(包括对用户行为的约束)等则既</w:t>
      </w:r>
      <w:r>
        <w:rPr>
          <w:rFonts w:ascii="SimSun" w:hAnsi="SimSun" w:eastAsia="SimSun" w:cs="SimSun"/>
          <w:sz w:val="21"/>
          <w:szCs w:val="21"/>
          <w:spacing w:val="-4"/>
        </w:rPr>
        <w:t>有自我治</w:t>
      </w:r>
      <w:r>
        <w:rPr>
          <w:rFonts w:ascii="SimSun" w:hAnsi="SimSun" w:eastAsia="SimSun" w:cs="SimSun"/>
          <w:sz w:val="21"/>
          <w:szCs w:val="21"/>
        </w:rPr>
        <w:t xml:space="preserve"> </w:t>
      </w:r>
      <w:r>
        <w:rPr>
          <w:rFonts w:ascii="SimSun" w:hAnsi="SimSun" w:eastAsia="SimSun" w:cs="SimSun"/>
          <w:sz w:val="21"/>
          <w:szCs w:val="21"/>
          <w:spacing w:val="-11"/>
        </w:rPr>
        <w:t>理的成分，也在形成国际性规则过程中涉及国际治理。创新是数字经 </w:t>
      </w:r>
      <w:r>
        <w:rPr>
          <w:rFonts w:ascii="SimSun" w:hAnsi="SimSun" w:eastAsia="SimSun" w:cs="SimSun"/>
          <w:sz w:val="21"/>
          <w:szCs w:val="21"/>
          <w:spacing w:val="-11"/>
        </w:rPr>
        <w:t>济的基因，新议题层出不穷，需要研究的是如何治理。就像众多话题 </w:t>
      </w:r>
      <w:r>
        <w:rPr>
          <w:rFonts w:ascii="SimSun" w:hAnsi="SimSun" w:eastAsia="SimSun" w:cs="SimSun"/>
          <w:sz w:val="21"/>
          <w:szCs w:val="21"/>
          <w:spacing w:val="-10"/>
        </w:rPr>
        <w:t>领域一样，规则制定是治理的根本，其中由谁基于何种利益</w:t>
      </w:r>
      <w:r>
        <w:rPr>
          <w:rFonts w:ascii="SimSun" w:hAnsi="SimSun" w:eastAsia="SimSun" w:cs="SimSun"/>
          <w:sz w:val="21"/>
          <w:szCs w:val="21"/>
          <w:spacing w:val="-11"/>
        </w:rPr>
        <w:t>制定规则</w:t>
      </w:r>
      <w:r>
        <w:rPr>
          <w:rFonts w:ascii="SimSun" w:hAnsi="SimSun" w:eastAsia="SimSun" w:cs="SimSun"/>
          <w:sz w:val="21"/>
          <w:szCs w:val="21"/>
        </w:rPr>
        <w:t xml:space="preserve"> </w:t>
      </w:r>
      <w:r>
        <w:rPr>
          <w:rFonts w:ascii="SimSun" w:hAnsi="SimSun" w:eastAsia="SimSun" w:cs="SimSun"/>
          <w:sz w:val="21"/>
          <w:szCs w:val="21"/>
          <w:spacing w:val="-10"/>
        </w:rPr>
        <w:t>是各方争论的要点。对提供网络平台服务的企业、使用数字服务的用</w:t>
      </w:r>
      <w:r>
        <w:rPr>
          <w:rFonts w:ascii="SimSun" w:hAnsi="SimSun" w:eastAsia="SimSun" w:cs="SimSun"/>
          <w:sz w:val="21"/>
          <w:szCs w:val="21"/>
          <w:spacing w:val="3"/>
        </w:rPr>
        <w:t xml:space="preserve"> </w:t>
      </w:r>
      <w:r>
        <w:rPr>
          <w:rFonts w:ascii="SimSun" w:hAnsi="SimSun" w:eastAsia="SimSun" w:cs="SimSun"/>
          <w:sz w:val="21"/>
          <w:szCs w:val="21"/>
          <w:spacing w:val="-4"/>
        </w:rPr>
        <w:t>户(包括个人用户)而言，无论是自我治理还是外部介入治理，都是 </w:t>
      </w:r>
      <w:r>
        <w:rPr>
          <w:rFonts w:ascii="SimSun" w:hAnsi="SimSun" w:eastAsia="SimSun" w:cs="SimSun"/>
          <w:sz w:val="21"/>
          <w:szCs w:val="21"/>
          <w:spacing w:val="-11"/>
        </w:rPr>
        <w:t>数字治理内涵的一个单元。</w:t>
      </w:r>
    </w:p>
    <w:p>
      <w:pPr>
        <w:pStyle w:val="BodyText"/>
        <w:spacing w:line="385" w:lineRule="auto"/>
        <w:rPr/>
      </w:pPr>
      <w:r/>
    </w:p>
    <w:p>
      <w:pPr>
        <w:ind w:left="464" w:right="54" w:hanging="359"/>
        <w:spacing w:before="52" w:line="257"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46"/>
        </w:rPr>
        <w:t xml:space="preserve"> </w:t>
      </w:r>
      <w:r>
        <w:rPr>
          <w:rFonts w:ascii="Times New Roman" w:hAnsi="Times New Roman" w:eastAsia="Times New Roman" w:cs="Times New Roman"/>
          <w:sz w:val="16"/>
          <w:szCs w:val="16"/>
        </w:rPr>
        <w:t>Francis</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Fukuyama,The</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rPr>
        <w:t>Great</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Disruption:Human</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rPr>
        <w:t>Nature</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Reconstitution</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Social</w:t>
      </w:r>
      <w:r>
        <w:rPr>
          <w:rFonts w:ascii="Times New Roman" w:hAnsi="Times New Roman" w:eastAsia="Times New Roman" w:cs="Times New Roman"/>
          <w:sz w:val="16"/>
          <w:szCs w:val="16"/>
          <w:spacing w:val="39"/>
        </w:rPr>
        <w:t xml:space="preserve"> </w:t>
      </w:r>
      <w:r>
        <w:rPr>
          <w:rFonts w:ascii="Times New Roman" w:hAnsi="Times New Roman" w:eastAsia="Times New Roman" w:cs="Times New Roman"/>
          <w:sz w:val="16"/>
          <w:szCs w:val="16"/>
        </w:rPr>
        <w:t>Order,New</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York:The</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F</w:t>
      </w:r>
      <w:r>
        <w:rPr>
          <w:rFonts w:ascii="Times New Roman" w:hAnsi="Times New Roman" w:eastAsia="Times New Roman" w:cs="Times New Roman"/>
          <w:sz w:val="16"/>
          <w:szCs w:val="16"/>
          <w:spacing w:val="-1"/>
        </w:rPr>
        <w:t>ree</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Press,1999.</w:t>
      </w:r>
    </w:p>
    <w:p>
      <w:pPr>
        <w:ind w:left="455" w:right="54" w:hanging="350"/>
        <w:spacing w:before="119" w:line="271"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65"/>
        </w:rPr>
        <w:t xml:space="preserve"> </w:t>
      </w:r>
      <w:r>
        <w:rPr>
          <w:rFonts w:ascii="Times New Roman" w:hAnsi="Times New Roman" w:eastAsia="Times New Roman" w:cs="Times New Roman"/>
          <w:sz w:val="16"/>
          <w:szCs w:val="16"/>
        </w:rPr>
        <w:t>OECD,WTO  and  IMF,Handbook  on  Measuring  Digital </w:t>
      </w:r>
      <w:r>
        <w:rPr>
          <w:rFonts w:ascii="Times New Roman" w:hAnsi="Times New Roman" w:eastAsia="Times New Roman" w:cs="Times New Roman"/>
          <w:sz w:val="16"/>
          <w:szCs w:val="16"/>
          <w:spacing w:val="-1"/>
        </w:rPr>
        <w:t xml:space="preserve"> Trade,Version  1,2020,https://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www.oecd.org/sdd/its/handbook-on-measuring-digital-trad</w:t>
      </w:r>
      <w:r>
        <w:rPr>
          <w:rFonts w:ascii="Times New Roman" w:hAnsi="Times New Roman" w:eastAsia="Times New Roman" w:cs="Times New Roman"/>
          <w:sz w:val="16"/>
          <w:szCs w:val="16"/>
          <w:spacing w:val="-1"/>
        </w:rPr>
        <w:t>e.htm.</w:t>
      </w:r>
    </w:p>
    <w:p>
      <w:pPr>
        <w:spacing w:line="271" w:lineRule="auto"/>
        <w:sectPr>
          <w:headerReference w:type="default" r:id="rId286"/>
          <w:pgSz w:w="7330" w:h="12480"/>
          <w:pgMar w:top="537" w:right="565" w:bottom="400" w:left="575" w:header="375" w:footer="0" w:gutter="0"/>
        </w:sectPr>
        <w:rPr>
          <w:rFonts w:ascii="Times New Roman" w:hAnsi="Times New Roman" w:eastAsia="Times New Roman" w:cs="Times New Roman"/>
          <w:sz w:val="16"/>
          <w:szCs w:val="16"/>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firstLine="390"/>
        <w:spacing w:before="68" w:line="307" w:lineRule="auto"/>
        <w:jc w:val="both"/>
        <w:rPr>
          <w:rFonts w:ascii="SimSun" w:hAnsi="SimSun" w:eastAsia="SimSun" w:cs="SimSun"/>
          <w:sz w:val="21"/>
          <w:szCs w:val="21"/>
        </w:rPr>
      </w:pPr>
      <w:r>
        <w:rPr>
          <w:rFonts w:ascii="SimSun" w:hAnsi="SimSun" w:eastAsia="SimSun" w:cs="SimSun"/>
          <w:sz w:val="21"/>
          <w:szCs w:val="21"/>
          <w:spacing w:val="-10"/>
        </w:rPr>
        <w:t>基于上述认知，本章从国际政治经济学的视角讨论中国与世界在</w:t>
      </w:r>
      <w:r>
        <w:rPr>
          <w:rFonts w:ascii="SimSun" w:hAnsi="SimSun" w:eastAsia="SimSun" w:cs="SimSun"/>
          <w:sz w:val="21"/>
          <w:szCs w:val="21"/>
          <w:spacing w:val="4"/>
        </w:rPr>
        <w:t xml:space="preserve">  </w:t>
      </w:r>
      <w:r>
        <w:rPr>
          <w:rFonts w:ascii="SimSun" w:hAnsi="SimSun" w:eastAsia="SimSun" w:cs="SimSun"/>
          <w:sz w:val="21"/>
          <w:szCs w:val="21"/>
          <w:spacing w:val="-10"/>
        </w:rPr>
        <w:t>数字贸易领域互动所涉及的几个治理议题。从国际政治经济学的角度</w:t>
      </w:r>
      <w:r>
        <w:rPr>
          <w:rFonts w:ascii="SimSun" w:hAnsi="SimSun" w:eastAsia="SimSun" w:cs="SimSun"/>
          <w:sz w:val="21"/>
          <w:szCs w:val="21"/>
        </w:rPr>
        <w:t xml:space="preserve">  </w:t>
      </w:r>
      <w:r>
        <w:rPr>
          <w:rFonts w:ascii="SimSun" w:hAnsi="SimSun" w:eastAsia="SimSun" w:cs="SimSun"/>
          <w:sz w:val="21"/>
          <w:szCs w:val="21"/>
          <w:spacing w:val="-10"/>
        </w:rPr>
        <w:t>看，以经济和贸易数字化为特征的第四次工业革命通过数字网络与实</w:t>
      </w:r>
      <w:r>
        <w:rPr>
          <w:rFonts w:ascii="SimSun" w:hAnsi="SimSun" w:eastAsia="SimSun" w:cs="SimSun"/>
          <w:sz w:val="21"/>
          <w:szCs w:val="21"/>
        </w:rPr>
        <w:t xml:space="preserve">  </w:t>
      </w:r>
      <w:r>
        <w:rPr>
          <w:rFonts w:ascii="SimSun" w:hAnsi="SimSun" w:eastAsia="SimSun" w:cs="SimSun"/>
          <w:sz w:val="21"/>
          <w:szCs w:val="21"/>
          <w:spacing w:val="-10"/>
        </w:rPr>
        <w:t>体生产和交易系统的融合，将数字化和高度自动化的生产技术、新的</w:t>
      </w:r>
      <w:r>
        <w:rPr>
          <w:rFonts w:ascii="SimSun" w:hAnsi="SimSun" w:eastAsia="SimSun" w:cs="SimSun"/>
          <w:sz w:val="21"/>
          <w:szCs w:val="21"/>
          <w:spacing w:val="2"/>
        </w:rPr>
        <w:t xml:space="preserve">  </w:t>
      </w:r>
      <w:r>
        <w:rPr>
          <w:rFonts w:ascii="SimSun" w:hAnsi="SimSun" w:eastAsia="SimSun" w:cs="SimSun"/>
          <w:sz w:val="21"/>
          <w:szCs w:val="21"/>
          <w:spacing w:val="-10"/>
        </w:rPr>
        <w:t>数据来源、物联网、算法、云计算、大数据分析、人工智能等知识和</w:t>
      </w:r>
      <w:r>
        <w:rPr>
          <w:rFonts w:ascii="SimSun" w:hAnsi="SimSun" w:eastAsia="SimSun" w:cs="SimSun"/>
          <w:sz w:val="21"/>
          <w:szCs w:val="21"/>
          <w:spacing w:val="2"/>
        </w:rPr>
        <w:t xml:space="preserve">  </w:t>
      </w:r>
      <w:r>
        <w:rPr>
          <w:rFonts w:ascii="SimSun" w:hAnsi="SimSun" w:eastAsia="SimSun" w:cs="SimSun"/>
          <w:sz w:val="21"/>
          <w:szCs w:val="21"/>
          <w:spacing w:val="-7"/>
        </w:rPr>
        <w:t>技术要素转化为新的生产要素。与此同时，人类社会对生命、财富、</w:t>
      </w:r>
      <w:r>
        <w:rPr>
          <w:rFonts w:ascii="SimSun" w:hAnsi="SimSun" w:eastAsia="SimSun" w:cs="SimSun"/>
          <w:sz w:val="21"/>
          <w:szCs w:val="21"/>
          <w:spacing w:val="3"/>
        </w:rPr>
        <w:t xml:space="preserve"> </w:t>
      </w:r>
      <w:r>
        <w:rPr>
          <w:rFonts w:ascii="SimSun" w:hAnsi="SimSun" w:eastAsia="SimSun" w:cs="SimSun"/>
          <w:sz w:val="21"/>
          <w:szCs w:val="21"/>
          <w:spacing w:val="-10"/>
        </w:rPr>
        <w:t>秩序、公正等维系个人和社会生活有序演变的要素的重视与渴望</w:t>
      </w:r>
      <w:r>
        <w:rPr>
          <w:rFonts w:ascii="SimSun" w:hAnsi="SimSun" w:eastAsia="SimSun" w:cs="SimSun"/>
          <w:sz w:val="21"/>
          <w:szCs w:val="21"/>
          <w:spacing w:val="-11"/>
        </w:rPr>
        <w:t>，事</w:t>
      </w:r>
      <w:r>
        <w:rPr>
          <w:rFonts w:ascii="SimSun" w:hAnsi="SimSun" w:eastAsia="SimSun" w:cs="SimSun"/>
          <w:sz w:val="21"/>
          <w:szCs w:val="21"/>
        </w:rPr>
        <w:t xml:space="preserve">  </w:t>
      </w:r>
      <w:r>
        <w:rPr>
          <w:rFonts w:ascii="SimSun" w:hAnsi="SimSun" w:eastAsia="SimSun" w:cs="SimSun"/>
          <w:sz w:val="21"/>
          <w:szCs w:val="21"/>
          <w:spacing w:val="-10"/>
        </w:rPr>
        <w:t>关数字化技术的运用在政策和政治层面的舒适度。在国家间的政治与</w:t>
      </w:r>
      <w:r>
        <w:rPr>
          <w:rFonts w:ascii="SimSun" w:hAnsi="SimSun" w:eastAsia="SimSun" w:cs="SimSun"/>
          <w:sz w:val="21"/>
          <w:szCs w:val="21"/>
          <w:spacing w:val="2"/>
        </w:rPr>
        <w:t xml:space="preserve">  </w:t>
      </w:r>
      <w:r>
        <w:rPr>
          <w:rFonts w:ascii="SimSun" w:hAnsi="SimSun" w:eastAsia="SimSun" w:cs="SimSun"/>
          <w:sz w:val="21"/>
          <w:szCs w:val="21"/>
          <w:spacing w:val="-10"/>
        </w:rPr>
        <w:t>经济关系方面，数字技术的运用既丰富了地缘竞争与合作的内容，也</w:t>
      </w:r>
      <w:r>
        <w:rPr>
          <w:rFonts w:ascii="SimSun" w:hAnsi="SimSun" w:eastAsia="SimSun" w:cs="SimSun"/>
          <w:sz w:val="21"/>
          <w:szCs w:val="21"/>
        </w:rPr>
        <w:t xml:space="preserve">  </w:t>
      </w:r>
      <w:r>
        <w:rPr>
          <w:rFonts w:ascii="SimSun" w:hAnsi="SimSun" w:eastAsia="SimSun" w:cs="SimSun"/>
          <w:sz w:val="21"/>
          <w:szCs w:val="21"/>
          <w:spacing w:val="-12"/>
        </w:rPr>
        <w:t>使得治理过程更加复杂。</w:t>
      </w:r>
    </w:p>
    <w:p>
      <w:pPr>
        <w:ind w:right="87" w:firstLine="390"/>
        <w:spacing w:before="115" w:line="317" w:lineRule="auto"/>
        <w:jc w:val="both"/>
        <w:rPr>
          <w:rFonts w:ascii="SimSun" w:hAnsi="SimSun" w:eastAsia="SimSun" w:cs="SimSun"/>
          <w:sz w:val="21"/>
          <w:szCs w:val="21"/>
        </w:rPr>
      </w:pPr>
      <w:r>
        <w:rPr>
          <w:rFonts w:ascii="SimSun" w:hAnsi="SimSun" w:eastAsia="SimSun" w:cs="SimSun"/>
          <w:sz w:val="21"/>
          <w:szCs w:val="21"/>
          <w:spacing w:val="-10"/>
        </w:rPr>
        <w:t>本章内容由四节组成。第一节从地缘政治的视角审视国际层面的</w:t>
      </w:r>
      <w:r>
        <w:rPr>
          <w:rFonts w:ascii="SimSun" w:hAnsi="SimSun" w:eastAsia="SimSun" w:cs="SimSun"/>
          <w:sz w:val="21"/>
          <w:szCs w:val="21"/>
          <w:spacing w:val="14"/>
        </w:rPr>
        <w:t xml:space="preserve"> </w:t>
      </w:r>
      <w:r>
        <w:rPr>
          <w:rFonts w:ascii="SimSun" w:hAnsi="SimSun" w:eastAsia="SimSun" w:cs="SimSun"/>
          <w:sz w:val="21"/>
          <w:szCs w:val="21"/>
          <w:spacing w:val="-10"/>
        </w:rPr>
        <w:t>数字经济态势，这些知识应有利于研判中国的数字经济及其治</w:t>
      </w:r>
      <w:r>
        <w:rPr>
          <w:rFonts w:ascii="SimSun" w:hAnsi="SimSun" w:eastAsia="SimSun" w:cs="SimSun"/>
          <w:sz w:val="21"/>
          <w:szCs w:val="21"/>
          <w:spacing w:val="-11"/>
        </w:rPr>
        <w:t>理所处</w:t>
      </w:r>
      <w:r>
        <w:rPr>
          <w:rFonts w:ascii="SimSun" w:hAnsi="SimSun" w:eastAsia="SimSun" w:cs="SimSun"/>
          <w:sz w:val="21"/>
          <w:szCs w:val="21"/>
        </w:rPr>
        <w:t xml:space="preserve"> </w:t>
      </w:r>
      <w:r>
        <w:rPr>
          <w:rFonts w:ascii="SimSun" w:hAnsi="SimSun" w:eastAsia="SimSun" w:cs="SimSun"/>
          <w:sz w:val="21"/>
          <w:szCs w:val="21"/>
          <w:spacing w:val="-10"/>
        </w:rPr>
        <w:t>的国际地缘政治环境。第二节介绍并讨论数字贸易规则课题，特别是</w:t>
      </w:r>
      <w:r>
        <w:rPr>
          <w:rFonts w:ascii="SimSun" w:hAnsi="SimSun" w:eastAsia="SimSun" w:cs="SimSun"/>
          <w:sz w:val="21"/>
          <w:szCs w:val="21"/>
        </w:rPr>
        <w:t xml:space="preserve"> </w:t>
      </w:r>
      <w:r>
        <w:rPr>
          <w:rFonts w:ascii="SimSun" w:hAnsi="SimSun" w:eastAsia="SimSun" w:cs="SimSun"/>
          <w:sz w:val="21"/>
          <w:szCs w:val="21"/>
          <w:spacing w:val="-10"/>
        </w:rPr>
        <w:t>在近年美国与欧盟更积极地试图引领形成全球适用的数字经贸规则的</w:t>
      </w:r>
      <w:r>
        <w:rPr>
          <w:rFonts w:ascii="SimSun" w:hAnsi="SimSun" w:eastAsia="SimSun" w:cs="SimSun"/>
          <w:sz w:val="21"/>
          <w:szCs w:val="21"/>
          <w:spacing w:val="4"/>
        </w:rPr>
        <w:t xml:space="preserve"> </w:t>
      </w:r>
      <w:r>
        <w:rPr>
          <w:rFonts w:ascii="SimSun" w:hAnsi="SimSun" w:eastAsia="SimSun" w:cs="SimSun"/>
          <w:sz w:val="21"/>
          <w:szCs w:val="21"/>
          <w:spacing w:val="-10"/>
        </w:rPr>
        <w:t>背景下，了解相关课题的态势演变是把握中国所处国际地缘经</w:t>
      </w:r>
      <w:r>
        <w:rPr>
          <w:rFonts w:ascii="SimSun" w:hAnsi="SimSun" w:eastAsia="SimSun" w:cs="SimSun"/>
          <w:sz w:val="21"/>
          <w:szCs w:val="21"/>
          <w:spacing w:val="-11"/>
        </w:rPr>
        <w:t>济环境</w:t>
      </w:r>
      <w:r>
        <w:rPr>
          <w:rFonts w:ascii="SimSun" w:hAnsi="SimSun" w:eastAsia="SimSun" w:cs="SimSun"/>
          <w:sz w:val="21"/>
          <w:szCs w:val="21"/>
        </w:rPr>
        <w:t xml:space="preserve"> </w:t>
      </w:r>
      <w:r>
        <w:rPr>
          <w:rFonts w:ascii="SimSun" w:hAnsi="SimSun" w:eastAsia="SimSun" w:cs="SimSun"/>
          <w:sz w:val="21"/>
          <w:szCs w:val="21"/>
          <w:spacing w:val="-10"/>
        </w:rPr>
        <w:t>的一部分。第三节简要介绍近年在全球范围内已经取得统治性地位的</w:t>
      </w:r>
      <w:r>
        <w:rPr>
          <w:rFonts w:ascii="SimSun" w:hAnsi="SimSun" w:eastAsia="SimSun" w:cs="SimSun"/>
          <w:sz w:val="21"/>
          <w:szCs w:val="21"/>
          <w:spacing w:val="4"/>
        </w:rPr>
        <w:t xml:space="preserve"> </w:t>
      </w:r>
      <w:r>
        <w:rPr>
          <w:rFonts w:ascii="SimSun" w:hAnsi="SimSun" w:eastAsia="SimSun" w:cs="SimSun"/>
          <w:sz w:val="21"/>
          <w:szCs w:val="21"/>
          <w:spacing w:val="-10"/>
        </w:rPr>
        <w:t>超级平台在美国和欧盟所经历的监管案例，梳理发达国家网络平台治</w:t>
      </w:r>
      <w:r>
        <w:rPr>
          <w:rFonts w:ascii="SimSun" w:hAnsi="SimSun" w:eastAsia="SimSun" w:cs="SimSun"/>
          <w:sz w:val="21"/>
          <w:szCs w:val="21"/>
          <w:spacing w:val="6"/>
        </w:rPr>
        <w:t xml:space="preserve"> </w:t>
      </w:r>
      <w:r>
        <w:rPr>
          <w:rFonts w:ascii="SimSun" w:hAnsi="SimSun" w:eastAsia="SimSun" w:cs="SimSun"/>
          <w:sz w:val="21"/>
          <w:szCs w:val="21"/>
          <w:spacing w:val="-10"/>
        </w:rPr>
        <w:t>理的基础性和结构性追求，对提高中国平台治理质量有参考意义。第</w:t>
      </w:r>
      <w:r>
        <w:rPr>
          <w:rFonts w:ascii="SimSun" w:hAnsi="SimSun" w:eastAsia="SimSun" w:cs="SimSun"/>
          <w:sz w:val="21"/>
          <w:szCs w:val="21"/>
          <w:spacing w:val="2"/>
        </w:rPr>
        <w:t xml:space="preserve"> </w:t>
      </w:r>
      <w:r>
        <w:rPr>
          <w:rFonts w:ascii="SimSun" w:hAnsi="SimSun" w:eastAsia="SimSun" w:cs="SimSun"/>
          <w:sz w:val="21"/>
          <w:szCs w:val="21"/>
          <w:spacing w:val="-10"/>
        </w:rPr>
        <w:t>四节从促进中国与外国在数字经济治理领域的政策连通出发，结合前</w:t>
      </w:r>
    </w:p>
    <w:p>
      <w:pPr>
        <w:spacing w:line="219" w:lineRule="auto"/>
        <w:rPr>
          <w:rFonts w:ascii="SimSun" w:hAnsi="SimSun" w:eastAsia="SimSun" w:cs="SimSun"/>
          <w:sz w:val="21"/>
          <w:szCs w:val="21"/>
        </w:rPr>
      </w:pPr>
      <w:r>
        <w:rPr>
          <w:rFonts w:ascii="SimSun" w:hAnsi="SimSun" w:eastAsia="SimSun" w:cs="SimSun"/>
          <w:sz w:val="21"/>
          <w:szCs w:val="21"/>
          <w:spacing w:val="-11"/>
        </w:rPr>
        <w:t>三节内容，总结全文。</w:t>
      </w:r>
    </w:p>
    <w:p>
      <w:pPr>
        <w:pStyle w:val="BodyText"/>
        <w:spacing w:line="354" w:lineRule="auto"/>
        <w:rPr/>
      </w:pPr>
      <w:r/>
    </w:p>
    <w:p>
      <w:pPr>
        <w:ind w:left="1574"/>
        <w:spacing w:before="104" w:line="219" w:lineRule="auto"/>
        <w:rPr>
          <w:rFonts w:ascii="SimSun" w:hAnsi="SimSun" w:eastAsia="SimSun" w:cs="SimSun"/>
          <w:sz w:val="32"/>
          <w:szCs w:val="32"/>
        </w:rPr>
      </w:pPr>
      <w:r>
        <w:rPr>
          <w:rFonts w:ascii="SimSun" w:hAnsi="SimSun" w:eastAsia="SimSun" w:cs="SimSun"/>
          <w:sz w:val="32"/>
          <w:szCs w:val="32"/>
          <w:b/>
          <w:bCs/>
          <w:spacing w:val="-5"/>
        </w:rPr>
        <w:t>数字经济的地缘政治</w:t>
      </w:r>
    </w:p>
    <w:p>
      <w:pPr>
        <w:pStyle w:val="BodyText"/>
        <w:spacing w:line="288" w:lineRule="auto"/>
        <w:rPr/>
      </w:pPr>
      <w:r/>
    </w:p>
    <w:p>
      <w:pPr>
        <w:ind w:right="93" w:firstLine="390"/>
        <w:spacing w:before="68" w:line="286" w:lineRule="auto"/>
        <w:jc w:val="both"/>
        <w:rPr>
          <w:rFonts w:ascii="SimSun" w:hAnsi="SimSun" w:eastAsia="SimSun" w:cs="SimSun"/>
          <w:sz w:val="21"/>
          <w:szCs w:val="21"/>
        </w:rPr>
      </w:pPr>
      <w:r>
        <w:rPr>
          <w:rFonts w:ascii="SimSun" w:hAnsi="SimSun" w:eastAsia="SimSun" w:cs="SimSun"/>
          <w:sz w:val="21"/>
          <w:szCs w:val="21"/>
          <w:spacing w:val="-3"/>
        </w:rPr>
        <w:t>一个国家经济增长所依赖的跨国贸易，特别是数字技术运用所</w:t>
      </w:r>
      <w:r>
        <w:rPr>
          <w:rFonts w:ascii="SimSun" w:hAnsi="SimSun" w:eastAsia="SimSun" w:cs="SimSun"/>
          <w:sz w:val="21"/>
          <w:szCs w:val="21"/>
          <w:spacing w:val="17"/>
        </w:rPr>
        <w:t xml:space="preserve"> </w:t>
      </w:r>
      <w:r>
        <w:rPr>
          <w:rFonts w:ascii="SimSun" w:hAnsi="SimSun" w:eastAsia="SimSun" w:cs="SimSun"/>
          <w:sz w:val="21"/>
          <w:szCs w:val="21"/>
          <w:spacing w:val="-3"/>
        </w:rPr>
        <w:t>催生的新的全球贸易环境，日益成为地缘政治竞争的</w:t>
      </w:r>
      <w:r>
        <w:rPr>
          <w:rFonts w:ascii="SimSun" w:hAnsi="SimSun" w:eastAsia="SimSun" w:cs="SimSun"/>
          <w:sz w:val="21"/>
          <w:szCs w:val="21"/>
          <w:spacing w:val="-4"/>
        </w:rPr>
        <w:t>主要领域，这</w:t>
      </w:r>
      <w:r>
        <w:rPr>
          <w:rFonts w:ascii="SimSun" w:hAnsi="SimSun" w:eastAsia="SimSun" w:cs="SimSun"/>
          <w:sz w:val="21"/>
          <w:szCs w:val="21"/>
        </w:rPr>
        <w:t xml:space="preserve"> </w:t>
      </w:r>
      <w:r>
        <w:rPr>
          <w:rFonts w:ascii="SimSun" w:hAnsi="SimSun" w:eastAsia="SimSun" w:cs="SimSun"/>
          <w:sz w:val="21"/>
          <w:szCs w:val="21"/>
          <w:spacing w:val="-9"/>
        </w:rPr>
        <w:t>不是一个新现象。纵观历史，强国为避免直接军事对抗，</w:t>
      </w:r>
      <w:r>
        <w:rPr>
          <w:rFonts w:ascii="SimSun" w:hAnsi="SimSun" w:eastAsia="SimSun" w:cs="SimSun"/>
          <w:sz w:val="21"/>
          <w:szCs w:val="21"/>
          <w:spacing w:val="66"/>
        </w:rPr>
        <w:t xml:space="preserve"> </w:t>
      </w:r>
      <w:r>
        <w:rPr>
          <w:rFonts w:ascii="SimSun" w:hAnsi="SimSun" w:eastAsia="SimSun" w:cs="SimSun"/>
          <w:sz w:val="21"/>
          <w:szCs w:val="21"/>
          <w:spacing w:val="-9"/>
        </w:rPr>
        <w:t>一直毫不</w:t>
      </w:r>
      <w:r>
        <w:rPr>
          <w:rFonts w:ascii="SimSun" w:hAnsi="SimSun" w:eastAsia="SimSun" w:cs="SimSun"/>
          <w:sz w:val="21"/>
          <w:szCs w:val="21"/>
        </w:rPr>
        <w:t xml:space="preserve"> </w:t>
      </w:r>
      <w:r>
        <w:rPr>
          <w:rFonts w:ascii="SimSun" w:hAnsi="SimSun" w:eastAsia="SimSun" w:cs="SimSun"/>
          <w:sz w:val="21"/>
          <w:szCs w:val="21"/>
          <w:spacing w:val="-3"/>
        </w:rPr>
        <w:t>犹豫地将跨国经贸条件作为外交政策工具，以</w:t>
      </w:r>
      <w:r>
        <w:rPr>
          <w:rFonts w:ascii="SimSun" w:hAnsi="SimSun" w:eastAsia="SimSun" w:cs="SimSun"/>
          <w:sz w:val="21"/>
          <w:szCs w:val="21"/>
          <w:spacing w:val="-4"/>
        </w:rPr>
        <w:t>维持其在国际事务中</w:t>
      </w:r>
    </w:p>
    <w:p>
      <w:pPr>
        <w:spacing w:line="286" w:lineRule="auto"/>
        <w:sectPr>
          <w:headerReference w:type="default" r:id="rId288"/>
          <w:pgSz w:w="7330" w:h="12480"/>
          <w:pgMar w:top="829" w:right="875" w:bottom="400" w:left="359" w:header="665" w:footer="0" w:gutter="0"/>
        </w:sectPr>
        <w:rPr>
          <w:rFonts w:ascii="SimSun" w:hAnsi="SimSun" w:eastAsia="SimSun" w:cs="SimSun"/>
          <w:sz w:val="21"/>
          <w:szCs w:val="21"/>
        </w:rPr>
      </w:pPr>
    </w:p>
    <w:p>
      <w:pPr>
        <w:pStyle w:val="BodyText"/>
        <w:spacing w:line="247" w:lineRule="auto"/>
        <w:rPr/>
      </w:pPr>
      <w:r>
        <w:drawing>
          <wp:anchor distT="0" distB="0" distL="0" distR="0" simplePos="0" relativeHeight="254160896" behindDoc="0" locked="0" layoutInCell="0" allowOverlap="1">
            <wp:simplePos x="0" y="0"/>
            <wp:positionH relativeFrom="page">
              <wp:posOffset>558778</wp:posOffset>
            </wp:positionH>
            <wp:positionV relativeFrom="page">
              <wp:posOffset>6508716</wp:posOffset>
            </wp:positionV>
            <wp:extent cx="1181137" cy="6418"/>
            <wp:effectExtent l="0" t="0" r="0" b="0"/>
            <wp:wrapNone/>
            <wp:docPr id="214" name="IM 214"/>
            <wp:cNvGraphicFramePr/>
            <a:graphic>
              <a:graphicData uri="http://schemas.openxmlformats.org/drawingml/2006/picture">
                <pic:pic>
                  <pic:nvPicPr>
                    <pic:cNvPr id="214" name="IM 214"/>
                    <pic:cNvPicPr/>
                  </pic:nvPicPr>
                  <pic:blipFill>
                    <a:blip r:embed="rId290"/>
                    <a:stretch>
                      <a:fillRect/>
                    </a:stretch>
                  </pic:blipFill>
                  <pic:spPr>
                    <a:xfrm rot="0">
                      <a:off x="0" y="0"/>
                      <a:ext cx="1181137" cy="6418"/>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7" w:lineRule="auto"/>
        <w:rPr/>
      </w:pPr>
      <w:r/>
    </w:p>
    <w:p>
      <w:pPr>
        <w:ind w:right="125"/>
        <w:spacing w:before="69" w:line="297" w:lineRule="auto"/>
        <w:jc w:val="both"/>
        <w:rPr>
          <w:rFonts w:ascii="SimSun" w:hAnsi="SimSun" w:eastAsia="SimSun" w:cs="SimSun"/>
          <w:sz w:val="21"/>
          <w:szCs w:val="21"/>
        </w:rPr>
      </w:pPr>
      <w:r>
        <w:rPr>
          <w:rFonts w:ascii="SimSun" w:hAnsi="SimSun" w:eastAsia="SimSun" w:cs="SimSun"/>
          <w:sz w:val="21"/>
          <w:szCs w:val="21"/>
          <w:spacing w:val="-3"/>
        </w:rPr>
        <w:t>的竞争优势。随着技术的发展和数字贸易的重要性日益</w:t>
      </w:r>
      <w:r>
        <w:rPr>
          <w:rFonts w:ascii="SimSun" w:hAnsi="SimSun" w:eastAsia="SimSun" w:cs="SimSun"/>
          <w:sz w:val="21"/>
          <w:szCs w:val="21"/>
          <w:spacing w:val="-4"/>
        </w:rPr>
        <w:t>增加，数字</w:t>
      </w:r>
      <w:r>
        <w:rPr>
          <w:rFonts w:ascii="SimSun" w:hAnsi="SimSun" w:eastAsia="SimSun" w:cs="SimSun"/>
          <w:sz w:val="21"/>
          <w:szCs w:val="21"/>
        </w:rPr>
        <w:t xml:space="preserve"> </w:t>
      </w:r>
      <w:r>
        <w:rPr>
          <w:rFonts w:ascii="SimSun" w:hAnsi="SimSun" w:eastAsia="SimSun" w:cs="SimSun"/>
          <w:sz w:val="21"/>
          <w:szCs w:val="21"/>
          <w:spacing w:val="-4"/>
        </w:rPr>
        <w:t>空间和数据的使用已经成为争夺规则制定权的新领域。不同的国家</w:t>
      </w:r>
      <w:r>
        <w:rPr>
          <w:rFonts w:ascii="SimSun" w:hAnsi="SimSun" w:eastAsia="SimSun" w:cs="SimSun"/>
          <w:sz w:val="21"/>
          <w:szCs w:val="21"/>
          <w:spacing w:val="7"/>
        </w:rPr>
        <w:t xml:space="preserve"> </w:t>
      </w:r>
      <w:r>
        <w:rPr>
          <w:rFonts w:ascii="SimSun" w:hAnsi="SimSun" w:eastAsia="SimSun" w:cs="SimSun"/>
          <w:sz w:val="21"/>
          <w:szCs w:val="21"/>
          <w:spacing w:val="-3"/>
        </w:rPr>
        <w:t>之间并未就谁拥有、控制和经营数据的权力达成一致</w:t>
      </w:r>
      <w:r>
        <w:rPr>
          <w:rFonts w:ascii="SimSun" w:hAnsi="SimSun" w:eastAsia="SimSun" w:cs="SimSun"/>
          <w:sz w:val="21"/>
          <w:szCs w:val="21"/>
          <w:spacing w:val="-4"/>
        </w:rPr>
        <w:t>。就像军事领</w:t>
      </w:r>
      <w:r>
        <w:rPr>
          <w:rFonts w:ascii="SimSun" w:hAnsi="SimSun" w:eastAsia="SimSun" w:cs="SimSun"/>
          <w:sz w:val="21"/>
          <w:szCs w:val="21"/>
        </w:rPr>
        <w:t xml:space="preserve"> </w:t>
      </w:r>
      <w:r>
        <w:rPr>
          <w:rFonts w:ascii="SimSun" w:hAnsi="SimSun" w:eastAsia="SimSun" w:cs="SimSun"/>
          <w:sz w:val="21"/>
          <w:szCs w:val="21"/>
          <w:spacing w:val="-4"/>
        </w:rPr>
        <w:t>域一样，地缘政治竟争是管理经济和贸易数字化所带来的新挑战的</w:t>
      </w:r>
      <w:r>
        <w:rPr>
          <w:rFonts w:ascii="SimSun" w:hAnsi="SimSun" w:eastAsia="SimSun" w:cs="SimSun"/>
          <w:sz w:val="21"/>
          <w:szCs w:val="21"/>
          <w:spacing w:val="11"/>
        </w:rPr>
        <w:t xml:space="preserve"> </w:t>
      </w:r>
      <w:r>
        <w:rPr>
          <w:rFonts w:ascii="SimSun" w:hAnsi="SimSun" w:eastAsia="SimSun" w:cs="SimSun"/>
          <w:sz w:val="21"/>
          <w:szCs w:val="21"/>
          <w:spacing w:val="-14"/>
        </w:rPr>
        <w:t>日常性现实。</w:t>
      </w:r>
    </w:p>
    <w:p>
      <w:pPr>
        <w:ind w:firstLine="440"/>
        <w:spacing w:before="128" w:line="293" w:lineRule="auto"/>
        <w:jc w:val="both"/>
        <w:rPr>
          <w:rFonts w:ascii="SimSun" w:hAnsi="SimSun" w:eastAsia="SimSun" w:cs="SimSun"/>
          <w:sz w:val="21"/>
          <w:szCs w:val="21"/>
        </w:rPr>
      </w:pPr>
      <w:r>
        <w:rPr>
          <w:rFonts w:ascii="SimSun" w:hAnsi="SimSun" w:eastAsia="SimSun" w:cs="SimSun"/>
          <w:sz w:val="21"/>
          <w:szCs w:val="21"/>
          <w:spacing w:val="-7"/>
        </w:rPr>
        <w:t>其实，从物理性的基础设施看，跨国数字空间并不具有虚拟性。</w:t>
      </w:r>
      <w:r>
        <w:rPr>
          <w:rFonts w:ascii="SimSun" w:hAnsi="SimSun" w:eastAsia="SimSun" w:cs="SimSun"/>
          <w:sz w:val="21"/>
          <w:szCs w:val="21"/>
        </w:rPr>
        <w:t xml:space="preserve"> </w:t>
      </w:r>
      <w:r>
        <w:rPr>
          <w:rFonts w:ascii="SimSun" w:hAnsi="SimSun" w:eastAsia="SimSun" w:cs="SimSun"/>
          <w:sz w:val="21"/>
          <w:szCs w:val="21"/>
          <w:spacing w:val="-12"/>
        </w:rPr>
        <w:t>今日全球范围内数字技术所促成的产品、服务、数据交换活动的雏形  </w:t>
      </w:r>
      <w:r>
        <w:rPr>
          <w:rFonts w:ascii="SimSun" w:hAnsi="SimSun" w:eastAsia="SimSun" w:cs="SimSun"/>
          <w:sz w:val="21"/>
          <w:szCs w:val="21"/>
          <w:spacing w:val="-7"/>
        </w:rPr>
        <w:t>可回溯到1837年电报的发明及其被用于辅助跨境商务往来。从</w:t>
      </w:r>
      <w:r>
        <w:rPr>
          <w:rFonts w:ascii="SimSun" w:hAnsi="SimSun" w:eastAsia="SimSun" w:cs="SimSun"/>
          <w:sz w:val="21"/>
          <w:szCs w:val="21"/>
          <w:spacing w:val="-8"/>
        </w:rPr>
        <w:t>电报、</w:t>
      </w:r>
      <w:r>
        <w:rPr>
          <w:rFonts w:ascii="SimSun" w:hAnsi="SimSun" w:eastAsia="SimSun" w:cs="SimSun"/>
          <w:sz w:val="21"/>
          <w:szCs w:val="21"/>
        </w:rPr>
        <w:t xml:space="preserve"> </w:t>
      </w:r>
      <w:r>
        <w:rPr>
          <w:rFonts w:ascii="SimSun" w:hAnsi="SimSun" w:eastAsia="SimSun" w:cs="SimSun"/>
          <w:sz w:val="21"/>
          <w:szCs w:val="21"/>
          <w:spacing w:val="-11"/>
        </w:rPr>
        <w:t>电话、传真等电子通信手段的跨国运用开始，到世界经济运行进入电</w:t>
      </w:r>
      <w:r>
        <w:rPr>
          <w:rFonts w:ascii="SimSun" w:hAnsi="SimSun" w:eastAsia="SimSun" w:cs="SimSun"/>
          <w:sz w:val="21"/>
          <w:szCs w:val="21"/>
          <w:spacing w:val="5"/>
        </w:rPr>
        <w:t xml:space="preserve">  </w:t>
      </w:r>
      <w:r>
        <w:rPr>
          <w:rFonts w:ascii="SimSun" w:hAnsi="SimSun" w:eastAsia="SimSun" w:cs="SimSun"/>
          <w:sz w:val="21"/>
          <w:szCs w:val="21"/>
          <w:spacing w:val="-12"/>
        </w:rPr>
        <w:t>子化和网络化的今天，呈现在日常用户面前的“虚拟”交流和交易便  </w:t>
      </w:r>
      <w:r>
        <w:rPr>
          <w:rFonts w:ascii="SimSun" w:hAnsi="SimSun" w:eastAsia="SimSun" w:cs="SimSun"/>
          <w:sz w:val="21"/>
          <w:szCs w:val="21"/>
          <w:spacing w:val="-11"/>
        </w:rPr>
        <w:t>利，都是建立在卫星、海底通信光缆等实体通信基础设施之上的。</w:t>
      </w:r>
    </w:p>
    <w:p>
      <w:pPr>
        <w:ind w:right="101" w:firstLine="440"/>
        <w:spacing w:before="138" w:line="302" w:lineRule="auto"/>
        <w:jc w:val="both"/>
        <w:rPr>
          <w:rFonts w:ascii="SimSun" w:hAnsi="SimSun" w:eastAsia="SimSun" w:cs="SimSun"/>
          <w:sz w:val="21"/>
          <w:szCs w:val="21"/>
        </w:rPr>
      </w:pPr>
      <w:r>
        <w:rPr>
          <w:rFonts w:ascii="SimSun" w:hAnsi="SimSun" w:eastAsia="SimSun" w:cs="SimSun"/>
          <w:sz w:val="21"/>
          <w:szCs w:val="21"/>
          <w:spacing w:val="-11"/>
        </w:rPr>
        <w:t>特别是因特网，其跨国连接必须依靠海底光缆登陆点、计算机自</w:t>
      </w:r>
      <w:r>
        <w:rPr>
          <w:rFonts w:ascii="SimSun" w:hAnsi="SimSun" w:eastAsia="SimSun" w:cs="SimSun"/>
          <w:sz w:val="21"/>
          <w:szCs w:val="21"/>
          <w:spacing w:val="10"/>
        </w:rPr>
        <w:t xml:space="preserve"> </w:t>
      </w:r>
      <w:r>
        <w:rPr>
          <w:rFonts w:ascii="SimSun" w:hAnsi="SimSun" w:eastAsia="SimSun" w:cs="SimSun"/>
          <w:sz w:val="21"/>
          <w:szCs w:val="21"/>
          <w:spacing w:val="-10"/>
        </w:rPr>
        <w:t>治系统编号、路由交换点等基于地理环境的</w:t>
      </w:r>
      <w:r>
        <w:rPr>
          <w:rFonts w:ascii="SimSun" w:hAnsi="SimSun" w:eastAsia="SimSun" w:cs="SimSun"/>
          <w:sz w:val="21"/>
          <w:szCs w:val="21"/>
          <w:spacing w:val="-11"/>
        </w:rPr>
        <w:t>要件支撑和维护。维系因</w:t>
      </w:r>
      <w:r>
        <w:rPr>
          <w:rFonts w:ascii="SimSun" w:hAnsi="SimSun" w:eastAsia="SimSun" w:cs="SimSun"/>
          <w:sz w:val="21"/>
          <w:szCs w:val="21"/>
        </w:rPr>
        <w:t xml:space="preserve"> </w:t>
      </w:r>
      <w:r>
        <w:rPr>
          <w:rFonts w:ascii="SimSun" w:hAnsi="SimSun" w:eastAsia="SimSun" w:cs="SimSun"/>
          <w:sz w:val="21"/>
          <w:szCs w:val="21"/>
        </w:rPr>
        <w:t>特网全球运营的根服务器，全球共有13台，其</w:t>
      </w:r>
      <w:r>
        <w:rPr>
          <w:rFonts w:ascii="SimSun" w:hAnsi="SimSun" w:eastAsia="SimSun" w:cs="SimSun"/>
          <w:sz w:val="21"/>
          <w:szCs w:val="21"/>
          <w:spacing w:val="-1"/>
        </w:rPr>
        <w:t>中10台位于美国(另</w:t>
      </w:r>
      <w:r>
        <w:rPr>
          <w:rFonts w:ascii="SimSun" w:hAnsi="SimSun" w:eastAsia="SimSun" w:cs="SimSun"/>
          <w:sz w:val="21"/>
          <w:szCs w:val="21"/>
        </w:rPr>
        <w:t xml:space="preserve"> </w:t>
      </w:r>
      <w:r>
        <w:rPr>
          <w:rFonts w:ascii="SimSun" w:hAnsi="SimSun" w:eastAsia="SimSun" w:cs="SimSun"/>
          <w:sz w:val="21"/>
          <w:szCs w:val="21"/>
          <w:spacing w:val="-4"/>
        </w:rPr>
        <w:t>外3台在英国、瑞典和日本)。这虽然是互联网发展历史所致，但正</w:t>
      </w:r>
      <w:r>
        <w:rPr>
          <w:rFonts w:ascii="SimSun" w:hAnsi="SimSun" w:eastAsia="SimSun" w:cs="SimSun"/>
          <w:sz w:val="21"/>
          <w:szCs w:val="21"/>
          <w:spacing w:val="11"/>
        </w:rPr>
        <w:t xml:space="preserve"> </w:t>
      </w:r>
      <w:r>
        <w:rPr>
          <w:rFonts w:ascii="SimSun" w:hAnsi="SimSun" w:eastAsia="SimSun" w:cs="SimSun"/>
          <w:sz w:val="21"/>
          <w:szCs w:val="21"/>
          <w:spacing w:val="-11"/>
        </w:rPr>
        <w:t>如一些美国的研究人员所言，它使得根服务器的所在国政府有实力利</w:t>
      </w:r>
      <w:r>
        <w:rPr>
          <w:rFonts w:ascii="SimSun" w:hAnsi="SimSun" w:eastAsia="SimSun" w:cs="SimSun"/>
          <w:sz w:val="21"/>
          <w:szCs w:val="21"/>
          <w:spacing w:val="13"/>
        </w:rPr>
        <w:t xml:space="preserve"> </w:t>
      </w:r>
      <w:r>
        <w:rPr>
          <w:rFonts w:ascii="SimSun" w:hAnsi="SimSun" w:eastAsia="SimSun" w:cs="SimSun"/>
          <w:sz w:val="21"/>
          <w:szCs w:val="21"/>
          <w:spacing w:val="-10"/>
        </w:rPr>
        <w:t>用全球通信网络收集他方信息(“望远镜”)和限制甚至排斥他方使用</w:t>
      </w:r>
      <w:r>
        <w:rPr>
          <w:rFonts w:ascii="SimSun" w:hAnsi="SimSun" w:eastAsia="SimSun" w:cs="SimSun"/>
          <w:sz w:val="21"/>
          <w:szCs w:val="21"/>
          <w:spacing w:val="3"/>
        </w:rPr>
        <w:t xml:space="preserve"> </w:t>
      </w:r>
      <w:r>
        <w:rPr>
          <w:rFonts w:ascii="SimSun" w:hAnsi="SimSun" w:eastAsia="SimSun" w:cs="SimSun"/>
          <w:sz w:val="21"/>
          <w:szCs w:val="21"/>
          <w:spacing w:val="-17"/>
        </w:rPr>
        <w:t>(“咽喉”),从而谋取地缘战略优势。①</w:t>
      </w:r>
    </w:p>
    <w:p>
      <w:pPr>
        <w:ind w:right="50" w:firstLine="440"/>
        <w:spacing w:before="116" w:line="290" w:lineRule="auto"/>
        <w:jc w:val="both"/>
        <w:rPr>
          <w:rFonts w:ascii="SimSun" w:hAnsi="SimSun" w:eastAsia="SimSun" w:cs="SimSun"/>
          <w:sz w:val="21"/>
          <w:szCs w:val="21"/>
        </w:rPr>
      </w:pPr>
      <w:r>
        <w:rPr>
          <w:rFonts w:ascii="SimSun" w:hAnsi="SimSun" w:eastAsia="SimSun" w:cs="SimSun"/>
          <w:sz w:val="21"/>
          <w:szCs w:val="21"/>
          <w:spacing w:val="-11"/>
        </w:rPr>
        <w:t>当然，控制或排斥他国的网络使用仅仅是一个可选项。毕竟，全</w:t>
      </w:r>
      <w:r>
        <w:rPr>
          <w:rFonts w:ascii="SimSun" w:hAnsi="SimSun" w:eastAsia="SimSun" w:cs="SimSun"/>
          <w:sz w:val="21"/>
          <w:szCs w:val="21"/>
          <w:spacing w:val="16"/>
        </w:rPr>
        <w:t xml:space="preserve"> </w:t>
      </w:r>
      <w:r>
        <w:rPr>
          <w:rFonts w:ascii="SimSun" w:hAnsi="SimSun" w:eastAsia="SimSun" w:cs="SimSun"/>
          <w:sz w:val="21"/>
          <w:szCs w:val="21"/>
          <w:spacing w:val="-10"/>
        </w:rPr>
        <w:t>球范围内通信基础设施互联互通程度的提高，有利于有控制能力的</w:t>
      </w:r>
      <w:r>
        <w:rPr>
          <w:rFonts w:ascii="SimSun" w:hAnsi="SimSun" w:eastAsia="SimSun" w:cs="SimSun"/>
          <w:sz w:val="21"/>
          <w:szCs w:val="21"/>
          <w:spacing w:val="-11"/>
        </w:rPr>
        <w:t>国 </w:t>
      </w:r>
      <w:r>
        <w:rPr>
          <w:rFonts w:ascii="SimSun" w:hAnsi="SimSun" w:eastAsia="SimSun" w:cs="SimSun"/>
          <w:sz w:val="21"/>
          <w:szCs w:val="21"/>
          <w:spacing w:val="-10"/>
        </w:rPr>
        <w:t>家的企业布局其跨国生产和经营网络并从中得益。对根服务器不在</w:t>
      </w:r>
      <w:r>
        <w:rPr>
          <w:rFonts w:ascii="SimSun" w:hAnsi="SimSun" w:eastAsia="SimSun" w:cs="SimSun"/>
          <w:sz w:val="21"/>
          <w:szCs w:val="21"/>
          <w:spacing w:val="-11"/>
        </w:rPr>
        <w:t>其 </w:t>
      </w:r>
      <w:r>
        <w:rPr>
          <w:rFonts w:ascii="SimSun" w:hAnsi="SimSun" w:eastAsia="SimSun" w:cs="SimSun"/>
          <w:sz w:val="21"/>
          <w:szCs w:val="21"/>
          <w:spacing w:val="-11"/>
        </w:rPr>
        <w:t>管辖范围内的国家而言，其境内的跨国通信基础设施连接点同时也是</w:t>
      </w:r>
      <w:r>
        <w:rPr>
          <w:rFonts w:ascii="SimSun" w:hAnsi="SimSun" w:eastAsia="SimSun" w:cs="SimSun"/>
          <w:sz w:val="21"/>
          <w:szCs w:val="21"/>
          <w:spacing w:val="4"/>
        </w:rPr>
        <w:t xml:space="preserve">  </w:t>
      </w:r>
      <w:r>
        <w:rPr>
          <w:rFonts w:ascii="SimSun" w:hAnsi="SimSun" w:eastAsia="SimSun" w:cs="SimSun"/>
          <w:sz w:val="21"/>
          <w:szCs w:val="21"/>
          <w:spacing w:val="-8"/>
        </w:rPr>
        <w:t>信息流通的控制点。这样，对各方而言，在没有发生战争的情形下，</w:t>
      </w:r>
    </w:p>
    <w:p>
      <w:pPr>
        <w:pStyle w:val="BodyText"/>
        <w:spacing w:line="319" w:lineRule="auto"/>
        <w:rPr/>
      </w:pPr>
      <w:r/>
    </w:p>
    <w:p>
      <w:pPr>
        <w:pStyle w:val="BodyText"/>
        <w:spacing w:line="320" w:lineRule="auto"/>
        <w:rPr/>
      </w:pPr>
      <w:r/>
    </w:p>
    <w:p>
      <w:pPr>
        <w:ind w:left="379" w:right="14" w:hanging="379"/>
        <w:spacing w:before="49" w:line="301" w:lineRule="auto"/>
        <w:rPr>
          <w:rFonts w:ascii="Times New Roman" w:hAnsi="Times New Roman" w:eastAsia="Times New Roman" w:cs="Times New Roman"/>
          <w:sz w:val="18"/>
          <w:szCs w:val="18"/>
        </w:rPr>
      </w:pPr>
      <w:r>
        <w:rPr>
          <w:rFonts w:ascii="SimSun" w:hAnsi="SimSun" w:eastAsia="SimSun" w:cs="SimSun"/>
          <w:sz w:val="15"/>
          <w:szCs w:val="15"/>
        </w:rPr>
        <w:t>①</w:t>
      </w:r>
      <w:r>
        <w:rPr>
          <w:rFonts w:ascii="SimSun" w:hAnsi="SimSun" w:eastAsia="SimSun" w:cs="SimSun"/>
          <w:sz w:val="15"/>
          <w:szCs w:val="15"/>
          <w:spacing w:val="60"/>
          <w:w w:val="101"/>
        </w:rPr>
        <w:t xml:space="preserve"> </w:t>
      </w:r>
      <w:r>
        <w:rPr>
          <w:rFonts w:ascii="Times New Roman" w:hAnsi="Times New Roman" w:eastAsia="Times New Roman" w:cs="Times New Roman"/>
          <w:sz w:val="15"/>
          <w:szCs w:val="15"/>
        </w:rPr>
        <w:t>Natasha   Tusikov,“Internet    Platforms   Weaponizing    </w:t>
      </w:r>
      <w:r>
        <w:rPr>
          <w:rFonts w:ascii="Times New Roman" w:hAnsi="Times New Roman" w:eastAsia="Times New Roman" w:cs="Times New Roman"/>
          <w:sz w:val="15"/>
          <w:szCs w:val="15"/>
          <w:spacing w:val="-1"/>
        </w:rPr>
        <w:t>Choke   Points”,in    Daniel    Drezner,   </w:t>
      </w:r>
      <w:r>
        <w:rPr>
          <w:rFonts w:ascii="Times New Roman" w:hAnsi="Times New Roman" w:eastAsia="Times New Roman" w:cs="Times New Roman"/>
          <w:sz w:val="15"/>
          <w:szCs w:val="15"/>
        </w:rPr>
        <w:t>Henry</w:t>
      </w:r>
      <w:r>
        <w:rPr>
          <w:rFonts w:ascii="Times New Roman" w:hAnsi="Times New Roman" w:eastAsia="Times New Roman" w:cs="Times New Roman"/>
          <w:sz w:val="15"/>
          <w:szCs w:val="15"/>
          <w:spacing w:val="18"/>
        </w:rPr>
        <w:t xml:space="preserve">  </w:t>
      </w:r>
      <w:r>
        <w:rPr>
          <w:rFonts w:ascii="Times New Roman" w:hAnsi="Times New Roman" w:eastAsia="Times New Roman" w:cs="Times New Roman"/>
          <w:sz w:val="15"/>
          <w:szCs w:val="15"/>
        </w:rPr>
        <w:t>Farrell   and</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rPr>
        <w:t>Abraham   L.Newman,editors,The</w:t>
      </w:r>
      <w:r>
        <w:rPr>
          <w:rFonts w:ascii="Times New Roman" w:hAnsi="Times New Roman" w:eastAsia="Times New Roman" w:cs="Times New Roman"/>
          <w:sz w:val="15"/>
          <w:szCs w:val="15"/>
          <w:spacing w:val="17"/>
        </w:rPr>
        <w:t xml:space="preserve">  </w:t>
      </w:r>
      <w:r>
        <w:rPr>
          <w:rFonts w:ascii="Times New Roman" w:hAnsi="Times New Roman" w:eastAsia="Times New Roman" w:cs="Times New Roman"/>
          <w:sz w:val="15"/>
          <w:szCs w:val="15"/>
        </w:rPr>
        <w:t>Uses   and</w:t>
      </w:r>
      <w:r>
        <w:rPr>
          <w:rFonts w:ascii="Times New Roman" w:hAnsi="Times New Roman" w:eastAsia="Times New Roman" w:cs="Times New Roman"/>
          <w:sz w:val="15"/>
          <w:szCs w:val="15"/>
          <w:spacing w:val="17"/>
        </w:rPr>
        <w:t xml:space="preserve">  </w:t>
      </w:r>
      <w:r>
        <w:rPr>
          <w:rFonts w:ascii="Times New Roman" w:hAnsi="Times New Roman" w:eastAsia="Times New Roman" w:cs="Times New Roman"/>
          <w:sz w:val="15"/>
          <w:szCs w:val="15"/>
        </w:rPr>
        <w:t>Abuse</w:t>
      </w:r>
      <w:r>
        <w:rPr>
          <w:rFonts w:ascii="Times New Roman" w:hAnsi="Times New Roman" w:eastAsia="Times New Roman" w:cs="Times New Roman"/>
          <w:sz w:val="15"/>
          <w:szCs w:val="15"/>
          <w:spacing w:val="-1"/>
        </w:rPr>
        <w:t>s   of</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spacing w:val="-1"/>
        </w:rPr>
        <w:t>Weaponized</w:t>
      </w:r>
      <w:r>
        <w:rPr>
          <w:rFonts w:ascii="Times New Roman" w:hAnsi="Times New Roman" w:eastAsia="Times New Roman" w:cs="Times New Roman"/>
          <w:sz w:val="15"/>
          <w:szCs w:val="15"/>
        </w:rPr>
        <w:t xml:space="preserve"> </w:t>
      </w:r>
      <w:r>
        <w:rPr>
          <w:rFonts w:ascii="Times New Roman" w:hAnsi="Times New Roman" w:eastAsia="Times New Roman" w:cs="Times New Roman"/>
          <w:sz w:val="18"/>
          <w:szCs w:val="18"/>
          <w:spacing w:val="-4"/>
        </w:rPr>
        <w:t>Interdependence.Washington,D.C:Brook</w:t>
      </w:r>
      <w:r>
        <w:rPr>
          <w:rFonts w:ascii="Times New Roman" w:hAnsi="Times New Roman" w:eastAsia="Times New Roman" w:cs="Times New Roman"/>
          <w:sz w:val="18"/>
          <w:szCs w:val="18"/>
          <w:spacing w:val="-5"/>
        </w:rPr>
        <w:t>ings Institution Press,2021:Chapter 7.</w:t>
      </w:r>
    </w:p>
    <w:p>
      <w:pPr>
        <w:spacing w:line="301" w:lineRule="auto"/>
        <w:sectPr>
          <w:headerReference w:type="default" r:id="rId289"/>
          <w:pgSz w:w="7330" w:h="12480"/>
          <w:pgMar w:top="547" w:right="385" w:bottom="400" w:left="820" w:header="394" w:footer="0" w:gutter="0"/>
        </w:sectPr>
        <w:rPr>
          <w:rFonts w:ascii="Times New Roman" w:hAnsi="Times New Roman" w:eastAsia="Times New Roman" w:cs="Times New Roman"/>
          <w:sz w:val="18"/>
          <w:szCs w:val="18"/>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77"/>
        <w:spacing w:before="68" w:line="284" w:lineRule="auto"/>
        <w:jc w:val="both"/>
        <w:rPr>
          <w:rFonts w:ascii="SimSun" w:hAnsi="SimSun" w:eastAsia="SimSun" w:cs="SimSun"/>
          <w:sz w:val="21"/>
          <w:szCs w:val="21"/>
        </w:rPr>
      </w:pPr>
      <w:r>
        <w:rPr>
          <w:rFonts w:ascii="SimSun" w:hAnsi="SimSun" w:eastAsia="SimSun" w:cs="SimSun"/>
          <w:sz w:val="21"/>
          <w:szCs w:val="21"/>
          <w:spacing w:val="-4"/>
        </w:rPr>
        <w:t>国家间数字经济关系的相互依存既是现实，也是一种值得呵护的理</w:t>
      </w:r>
      <w:r>
        <w:rPr>
          <w:rFonts w:ascii="SimSun" w:hAnsi="SimSun" w:eastAsia="SimSun" w:cs="SimSun"/>
          <w:sz w:val="21"/>
          <w:szCs w:val="21"/>
          <w:spacing w:val="12"/>
        </w:rPr>
        <w:t xml:space="preserve"> </w:t>
      </w:r>
      <w:r>
        <w:rPr>
          <w:rFonts w:ascii="SimSun" w:hAnsi="SimSun" w:eastAsia="SimSun" w:cs="SimSun"/>
          <w:sz w:val="21"/>
          <w:szCs w:val="21"/>
          <w:spacing w:val="-11"/>
        </w:rPr>
        <w:t>念，维护网络的平稳运行是公共利益所在，强国在因特网的运行过程</w:t>
      </w:r>
      <w:r>
        <w:rPr>
          <w:rFonts w:ascii="SimSun" w:hAnsi="SimSun" w:eastAsia="SimSun" w:cs="SimSun"/>
          <w:sz w:val="21"/>
          <w:szCs w:val="21"/>
          <w:spacing w:val="15"/>
        </w:rPr>
        <w:t xml:space="preserve"> </w:t>
      </w:r>
      <w:r>
        <w:rPr>
          <w:rFonts w:ascii="SimSun" w:hAnsi="SimSun" w:eastAsia="SimSun" w:cs="SimSun"/>
          <w:sz w:val="21"/>
          <w:szCs w:val="21"/>
          <w:spacing w:val="-12"/>
        </w:rPr>
        <w:t>中实施霸权行为的空间因此受到制约。</w:t>
      </w:r>
    </w:p>
    <w:p>
      <w:pPr>
        <w:ind w:right="73" w:firstLine="409"/>
        <w:spacing w:before="113" w:line="300" w:lineRule="auto"/>
        <w:jc w:val="both"/>
        <w:rPr>
          <w:rFonts w:ascii="SimSun" w:hAnsi="SimSun" w:eastAsia="SimSun" w:cs="SimSun"/>
          <w:sz w:val="21"/>
          <w:szCs w:val="21"/>
        </w:rPr>
      </w:pPr>
      <w:r>
        <w:rPr>
          <w:rFonts w:ascii="SimSun" w:hAnsi="SimSun" w:eastAsia="SimSun" w:cs="SimSun"/>
          <w:sz w:val="21"/>
          <w:szCs w:val="21"/>
          <w:spacing w:val="-4"/>
        </w:rPr>
        <w:t>这就解释了为什么数字经济、数字贸易的国际合作讨论的重要</w:t>
      </w:r>
      <w:r>
        <w:rPr>
          <w:rFonts w:ascii="SimSun" w:hAnsi="SimSun" w:eastAsia="SimSun" w:cs="SimSun"/>
          <w:sz w:val="21"/>
          <w:szCs w:val="21"/>
          <w:spacing w:val="17"/>
        </w:rPr>
        <w:t xml:space="preserve"> </w:t>
      </w:r>
      <w:r>
        <w:rPr>
          <w:rFonts w:ascii="SimSun" w:hAnsi="SimSun" w:eastAsia="SimSun" w:cs="SimSun"/>
          <w:sz w:val="21"/>
          <w:szCs w:val="21"/>
          <w:spacing w:val="-11"/>
        </w:rPr>
        <w:t>关注点之一是不同国家的监管政策的兼容程度。所有国家，特别是大</w:t>
      </w:r>
      <w:r>
        <w:rPr>
          <w:rFonts w:ascii="SimSun" w:hAnsi="SimSun" w:eastAsia="SimSun" w:cs="SimSun"/>
          <w:sz w:val="21"/>
          <w:szCs w:val="21"/>
          <w:spacing w:val="18"/>
        </w:rPr>
        <w:t xml:space="preserve"> </w:t>
      </w:r>
      <w:r>
        <w:rPr>
          <w:rFonts w:ascii="SimSun" w:hAnsi="SimSun" w:eastAsia="SimSun" w:cs="SimSun"/>
          <w:sz w:val="21"/>
          <w:szCs w:val="21"/>
          <w:spacing w:val="-10"/>
        </w:rPr>
        <w:t>国，都为实现从潜在的国际数字贸易中获得最</w:t>
      </w:r>
      <w:r>
        <w:rPr>
          <w:rFonts w:ascii="SimSun" w:hAnsi="SimSun" w:eastAsia="SimSun" w:cs="SimSun"/>
          <w:sz w:val="21"/>
          <w:szCs w:val="21"/>
          <w:spacing w:val="-11"/>
        </w:rPr>
        <w:t>大化收益而对跨国数据</w:t>
      </w:r>
      <w:r>
        <w:rPr>
          <w:rFonts w:ascii="SimSun" w:hAnsi="SimSun" w:eastAsia="SimSun" w:cs="SimSun"/>
          <w:sz w:val="21"/>
          <w:szCs w:val="21"/>
        </w:rPr>
        <w:t xml:space="preserve"> </w:t>
      </w:r>
      <w:r>
        <w:rPr>
          <w:rFonts w:ascii="SimSun" w:hAnsi="SimSun" w:eastAsia="SimSun" w:cs="SimSun"/>
          <w:sz w:val="21"/>
          <w:szCs w:val="21"/>
          <w:spacing w:val="-10"/>
        </w:rPr>
        <w:t>流动和以数字方式进行的跨国交易实施监管</w:t>
      </w:r>
      <w:r>
        <w:rPr>
          <w:rFonts w:ascii="SimSun" w:hAnsi="SimSun" w:eastAsia="SimSun" w:cs="SimSun"/>
          <w:sz w:val="21"/>
          <w:szCs w:val="21"/>
          <w:spacing w:val="-11"/>
        </w:rPr>
        <w:t>。就像监管实体经济和实</w:t>
      </w:r>
      <w:r>
        <w:rPr>
          <w:rFonts w:ascii="SimSun" w:hAnsi="SimSun" w:eastAsia="SimSun" w:cs="SimSun"/>
          <w:sz w:val="21"/>
          <w:szCs w:val="21"/>
        </w:rPr>
        <w:t xml:space="preserve"> </w:t>
      </w:r>
      <w:r>
        <w:rPr>
          <w:rFonts w:ascii="SimSun" w:hAnsi="SimSun" w:eastAsia="SimSun" w:cs="SimSun"/>
          <w:sz w:val="21"/>
          <w:szCs w:val="21"/>
          <w:spacing w:val="-4"/>
        </w:rPr>
        <w:t>物贸易一样，监管以国家管辖区为基本单位，体现的是其实力和竞</w:t>
      </w:r>
      <w:r>
        <w:rPr>
          <w:rFonts w:ascii="SimSun" w:hAnsi="SimSun" w:eastAsia="SimSun" w:cs="SimSun"/>
          <w:sz w:val="21"/>
          <w:szCs w:val="21"/>
          <w:spacing w:val="15"/>
        </w:rPr>
        <w:t xml:space="preserve"> </w:t>
      </w:r>
      <w:r>
        <w:rPr>
          <w:rFonts w:ascii="SimSun" w:hAnsi="SimSun" w:eastAsia="SimSun" w:cs="SimSun"/>
          <w:sz w:val="21"/>
          <w:szCs w:val="21"/>
          <w:spacing w:val="-10"/>
        </w:rPr>
        <w:t>争力。</w:t>
      </w:r>
    </w:p>
    <w:p>
      <w:pPr>
        <w:ind w:firstLine="409"/>
        <w:spacing w:before="112" w:line="309" w:lineRule="auto"/>
        <w:jc w:val="both"/>
        <w:rPr>
          <w:rFonts w:ascii="SimSun" w:hAnsi="SimSun" w:eastAsia="SimSun" w:cs="SimSun"/>
          <w:sz w:val="21"/>
          <w:szCs w:val="21"/>
        </w:rPr>
      </w:pPr>
      <w:r>
        <w:rPr>
          <w:rFonts w:ascii="SimSun" w:hAnsi="SimSun" w:eastAsia="SimSun" w:cs="SimSun"/>
          <w:sz w:val="21"/>
          <w:szCs w:val="21"/>
          <w:spacing w:val="-11"/>
        </w:rPr>
        <w:t>提高不同国家监管政策兼容程度的愿景受到少数企业在全球数据 </w:t>
      </w:r>
      <w:r>
        <w:rPr>
          <w:rFonts w:ascii="SimSun" w:hAnsi="SimSun" w:eastAsia="SimSun" w:cs="SimSun"/>
          <w:sz w:val="21"/>
          <w:szCs w:val="21"/>
          <w:spacing w:val="-10"/>
        </w:rPr>
        <w:t>价值链中居于统治性地位这一现实的约束。“</w:t>
      </w:r>
      <w:r>
        <w:rPr>
          <w:rFonts w:ascii="SimSun" w:hAnsi="SimSun" w:eastAsia="SimSun" w:cs="SimSun"/>
          <w:sz w:val="21"/>
          <w:szCs w:val="21"/>
          <w:spacing w:val="-11"/>
        </w:rPr>
        <w:t>数据价值链”作为概念 </w:t>
      </w:r>
      <w:r>
        <w:rPr>
          <w:rFonts w:ascii="SimSun" w:hAnsi="SimSun" w:eastAsia="SimSun" w:cs="SimSun"/>
          <w:sz w:val="21"/>
          <w:szCs w:val="21"/>
          <w:spacing w:val="-10"/>
        </w:rPr>
        <w:t>比较容易描述：支持数据收集、存储、分析和</w:t>
      </w:r>
      <w:r>
        <w:rPr>
          <w:rFonts w:ascii="SimSun" w:hAnsi="SimSun" w:eastAsia="SimSun" w:cs="SimSun"/>
          <w:sz w:val="21"/>
          <w:szCs w:val="21"/>
          <w:spacing w:val="-11"/>
        </w:rPr>
        <w:t>建模的企业，将数据转 </w:t>
      </w:r>
      <w:r>
        <w:rPr>
          <w:rFonts w:ascii="SimSun" w:hAnsi="SimSun" w:eastAsia="SimSun" w:cs="SimSun"/>
          <w:sz w:val="21"/>
          <w:szCs w:val="21"/>
          <w:spacing w:val="-8"/>
        </w:rPr>
        <w:t>化为数字智能并通过商业用途将其货币化，从而创造出价值。但是，</w:t>
      </w:r>
      <w:r>
        <w:rPr>
          <w:rFonts w:ascii="SimSun" w:hAnsi="SimSun" w:eastAsia="SimSun" w:cs="SimSun"/>
          <w:sz w:val="21"/>
          <w:szCs w:val="21"/>
          <w:spacing w:val="4"/>
        </w:rPr>
        <w:t xml:space="preserve"> </w:t>
      </w:r>
      <w:r>
        <w:rPr>
          <w:rFonts w:ascii="SimSun" w:hAnsi="SimSun" w:eastAsia="SimSun" w:cs="SimSun"/>
          <w:sz w:val="21"/>
          <w:szCs w:val="21"/>
          <w:spacing w:val="-10"/>
        </w:rPr>
        <w:t>在全球范围内，特别是发展中国家，缺乏基于</w:t>
      </w:r>
      <w:r>
        <w:rPr>
          <w:rFonts w:ascii="SimSun" w:hAnsi="SimSun" w:eastAsia="SimSun" w:cs="SimSun"/>
          <w:sz w:val="21"/>
          <w:szCs w:val="21"/>
          <w:spacing w:val="-11"/>
        </w:rPr>
        <w:t>其关键组成部分和范畴 </w:t>
      </w:r>
      <w:r>
        <w:rPr>
          <w:rFonts w:ascii="SimSun" w:hAnsi="SimSun" w:eastAsia="SimSun" w:cs="SimSun"/>
          <w:sz w:val="21"/>
          <w:szCs w:val="21"/>
          <w:spacing w:val="-10"/>
        </w:rPr>
        <w:t>的可靠统计数据。众多的全球数字经济统计文</w:t>
      </w:r>
      <w:r>
        <w:rPr>
          <w:rFonts w:ascii="SimSun" w:hAnsi="SimSun" w:eastAsia="SimSun" w:cs="SimSun"/>
          <w:sz w:val="21"/>
          <w:szCs w:val="21"/>
          <w:spacing w:val="-11"/>
        </w:rPr>
        <w:t>献中，联合国贸易和发 </w:t>
      </w:r>
      <w:r>
        <w:rPr>
          <w:rFonts w:ascii="SimSun" w:hAnsi="SimSun" w:eastAsia="SimSun" w:cs="SimSun"/>
          <w:sz w:val="21"/>
          <w:szCs w:val="21"/>
          <w:spacing w:val="-4"/>
        </w:rPr>
        <w:t>展会议推出的《数字经济报告》所涵盖的地理范围最广。该报告的 </w:t>
      </w:r>
      <w:r>
        <w:rPr>
          <w:rFonts w:ascii="SimSun" w:hAnsi="SimSun" w:eastAsia="SimSun" w:cs="SimSun"/>
          <w:sz w:val="21"/>
          <w:szCs w:val="21"/>
          <w:spacing w:val="-5"/>
        </w:rPr>
        <w:t>2019年版称，根据定义的不同，数字经济的规模估计占世界</w:t>
      </w:r>
      <w:r>
        <w:rPr>
          <w:rFonts w:ascii="Times New Roman" w:hAnsi="Times New Roman" w:eastAsia="Times New Roman" w:cs="Times New Roman"/>
          <w:sz w:val="21"/>
          <w:szCs w:val="21"/>
          <w:spacing w:val="-5"/>
        </w:rPr>
        <w:t>GDP </w:t>
      </w:r>
      <w:r>
        <w:rPr>
          <w:rFonts w:ascii="SimSun" w:hAnsi="SimSun" w:eastAsia="SimSun" w:cs="SimSun"/>
          <w:sz w:val="21"/>
          <w:szCs w:val="21"/>
          <w:spacing w:val="-5"/>
        </w:rPr>
        <w:t>的 </w:t>
      </w:r>
      <w:r>
        <w:rPr>
          <w:rFonts w:ascii="SimSun" w:hAnsi="SimSun" w:eastAsia="SimSun" w:cs="SimSun"/>
          <w:sz w:val="21"/>
          <w:szCs w:val="21"/>
        </w:rPr>
        <w:t>4.5%~15.5%,就信息和通信技术部门的附加值</w:t>
      </w:r>
      <w:r>
        <w:rPr>
          <w:rFonts w:ascii="SimSun" w:hAnsi="SimSun" w:eastAsia="SimSun" w:cs="SimSun"/>
          <w:sz w:val="21"/>
          <w:szCs w:val="21"/>
          <w:spacing w:val="-1"/>
        </w:rPr>
        <w:t>而言，美国和中国加</w:t>
      </w:r>
      <w:r>
        <w:rPr>
          <w:rFonts w:ascii="SimSun" w:hAnsi="SimSun" w:eastAsia="SimSun" w:cs="SimSun"/>
          <w:sz w:val="21"/>
          <w:szCs w:val="21"/>
        </w:rPr>
        <w:t xml:space="preserve">  </w:t>
      </w:r>
      <w:r>
        <w:rPr>
          <w:rFonts w:ascii="SimSun" w:hAnsi="SimSun" w:eastAsia="SimSun" w:cs="SimSun"/>
          <w:sz w:val="21"/>
          <w:szCs w:val="21"/>
        </w:rPr>
        <w:t>起来几乎占世界总量的40%。前一数据中1</w:t>
      </w:r>
      <w:r>
        <w:rPr>
          <w:rFonts w:ascii="SimSun" w:hAnsi="SimSun" w:eastAsia="SimSun" w:cs="SimSun"/>
          <w:sz w:val="21"/>
          <w:szCs w:val="21"/>
          <w:spacing w:val="-1"/>
        </w:rPr>
        <w:t>1个百分点的估值差体现</w:t>
      </w:r>
      <w:r>
        <w:rPr>
          <w:rFonts w:ascii="SimSun" w:hAnsi="SimSun" w:eastAsia="SimSun" w:cs="SimSun"/>
          <w:sz w:val="21"/>
          <w:szCs w:val="21"/>
        </w:rPr>
        <w:t xml:space="preserve">  </w:t>
      </w:r>
      <w:r>
        <w:rPr>
          <w:rFonts w:ascii="SimSun" w:hAnsi="SimSun" w:eastAsia="SimSun" w:cs="SimSun"/>
          <w:sz w:val="21"/>
          <w:szCs w:val="21"/>
          <w:spacing w:val="-8"/>
        </w:rPr>
        <w:t>的是统计难度。虽然在描述世界数字经济时中国和美国经常被并提，</w:t>
      </w:r>
      <w:r>
        <w:rPr>
          <w:rFonts w:ascii="SimSun" w:hAnsi="SimSun" w:eastAsia="SimSun" w:cs="SimSun"/>
          <w:sz w:val="21"/>
          <w:szCs w:val="21"/>
          <w:spacing w:val="4"/>
        </w:rPr>
        <w:t xml:space="preserve"> </w:t>
      </w:r>
      <w:r>
        <w:rPr>
          <w:rFonts w:ascii="SimSun" w:hAnsi="SimSun" w:eastAsia="SimSun" w:cs="SimSun"/>
          <w:sz w:val="21"/>
          <w:szCs w:val="21"/>
          <w:spacing w:val="-10"/>
        </w:rPr>
        <w:t>但两国的数字经济生态不同，除了少数技术开</w:t>
      </w:r>
      <w:r>
        <w:rPr>
          <w:rFonts w:ascii="SimSun" w:hAnsi="SimSun" w:eastAsia="SimSun" w:cs="SimSun"/>
          <w:sz w:val="21"/>
          <w:szCs w:val="21"/>
          <w:spacing w:val="-11"/>
        </w:rPr>
        <w:t>发所涉及的市场融资活 </w:t>
      </w:r>
      <w:r>
        <w:rPr>
          <w:rFonts w:ascii="SimSun" w:hAnsi="SimSun" w:eastAsia="SimSun" w:cs="SimSun"/>
          <w:sz w:val="21"/>
          <w:szCs w:val="21"/>
          <w:spacing w:val="-12"/>
        </w:rPr>
        <w:t>动外，二者之间相互渗透的程度也比较低。</w:t>
      </w:r>
    </w:p>
    <w:p>
      <w:pPr>
        <w:ind w:right="48" w:firstLine="409"/>
        <w:spacing w:before="112" w:line="296" w:lineRule="auto"/>
        <w:jc w:val="both"/>
        <w:rPr>
          <w:rFonts w:ascii="SimSun" w:hAnsi="SimSun" w:eastAsia="SimSun" w:cs="SimSun"/>
          <w:sz w:val="21"/>
          <w:szCs w:val="21"/>
        </w:rPr>
      </w:pPr>
      <w:r>
        <w:rPr>
          <w:rFonts w:ascii="SimSun" w:hAnsi="SimSun" w:eastAsia="SimSun" w:cs="SimSun"/>
          <w:sz w:val="21"/>
          <w:szCs w:val="21"/>
          <w:spacing w:val="-16"/>
        </w:rPr>
        <w:t>就数字经济大国的监管模式而言，</w:t>
      </w:r>
      <w:r>
        <w:rPr>
          <w:rFonts w:ascii="SimSun" w:hAnsi="SimSun" w:eastAsia="SimSun" w:cs="SimSun"/>
          <w:sz w:val="21"/>
          <w:szCs w:val="21"/>
          <w:spacing w:val="59"/>
        </w:rPr>
        <w:t xml:space="preserve"> </w:t>
      </w:r>
      <w:r>
        <w:rPr>
          <w:rFonts w:ascii="SimSun" w:hAnsi="SimSun" w:eastAsia="SimSun" w:cs="SimSun"/>
          <w:sz w:val="21"/>
          <w:szCs w:val="21"/>
          <w:spacing w:val="-16"/>
        </w:rPr>
        <w:t>一般认为，美国遵循“自由放</w:t>
      </w:r>
      <w:r>
        <w:rPr>
          <w:rFonts w:ascii="SimSun" w:hAnsi="SimSun" w:eastAsia="SimSun" w:cs="SimSun"/>
          <w:sz w:val="21"/>
          <w:szCs w:val="21"/>
        </w:rPr>
        <w:t xml:space="preserve"> </w:t>
      </w:r>
      <w:r>
        <w:rPr>
          <w:rFonts w:ascii="SimSun" w:hAnsi="SimSun" w:eastAsia="SimSun" w:cs="SimSun"/>
          <w:sz w:val="21"/>
          <w:szCs w:val="21"/>
          <w:spacing w:val="-10"/>
        </w:rPr>
        <w:t>任”的监管哲学，其数字经济治理目标是继</w:t>
      </w:r>
      <w:r>
        <w:rPr>
          <w:rFonts w:ascii="SimSun" w:hAnsi="SimSun" w:eastAsia="SimSun" w:cs="SimSun"/>
          <w:sz w:val="21"/>
          <w:szCs w:val="21"/>
          <w:spacing w:val="-11"/>
        </w:rPr>
        <w:t>续支持经济增长和维持美</w:t>
      </w:r>
      <w:r>
        <w:rPr>
          <w:rFonts w:ascii="SimSun" w:hAnsi="SimSun" w:eastAsia="SimSun" w:cs="SimSun"/>
          <w:sz w:val="21"/>
          <w:szCs w:val="21"/>
        </w:rPr>
        <w:t xml:space="preserve"> </w:t>
      </w:r>
      <w:r>
        <w:rPr>
          <w:rFonts w:ascii="SimSun" w:hAnsi="SimSun" w:eastAsia="SimSun" w:cs="SimSun"/>
          <w:sz w:val="21"/>
          <w:szCs w:val="21"/>
          <w:spacing w:val="-11"/>
        </w:rPr>
        <w:t>国企业在数字技术上的全球领先地位。的确，以美国为基地的全球性</w:t>
      </w:r>
      <w:r>
        <w:rPr>
          <w:rFonts w:ascii="SimSun" w:hAnsi="SimSun" w:eastAsia="SimSun" w:cs="SimSun"/>
          <w:sz w:val="21"/>
          <w:szCs w:val="21"/>
          <w:spacing w:val="16"/>
        </w:rPr>
        <w:t xml:space="preserve"> </w:t>
      </w:r>
      <w:r>
        <w:rPr>
          <w:rFonts w:ascii="SimSun" w:hAnsi="SimSun" w:eastAsia="SimSun" w:cs="SimSun"/>
          <w:sz w:val="21"/>
          <w:szCs w:val="21"/>
          <w:spacing w:val="-10"/>
        </w:rPr>
        <w:t>数字平台在主要业务领域已经取得了统治性市场地位。联合国贸易和</w:t>
      </w:r>
      <w:r>
        <w:rPr>
          <w:rFonts w:ascii="SimSun" w:hAnsi="SimSun" w:eastAsia="SimSun" w:cs="SimSun"/>
          <w:sz w:val="21"/>
          <w:szCs w:val="21"/>
          <w:spacing w:val="15"/>
        </w:rPr>
        <w:t xml:space="preserve"> </w:t>
      </w:r>
      <w:r>
        <w:rPr>
          <w:rFonts w:ascii="SimSun" w:hAnsi="SimSun" w:eastAsia="SimSun" w:cs="SimSun"/>
          <w:sz w:val="21"/>
          <w:szCs w:val="21"/>
          <w:spacing w:val="-3"/>
        </w:rPr>
        <w:t>发展会议《2019年数字经济报告》基于2017年的市值统计，谷歌拥</w:t>
      </w:r>
    </w:p>
    <w:p>
      <w:pPr>
        <w:spacing w:line="296" w:lineRule="auto"/>
        <w:sectPr>
          <w:headerReference w:type="default" r:id="rId291"/>
          <w:pgSz w:w="7330" w:h="12480"/>
          <w:pgMar w:top="829" w:right="914" w:bottom="400" w:left="350" w:header="652" w:footer="0" w:gutter="0"/>
        </w:sectPr>
        <w:rPr>
          <w:rFonts w:ascii="SimSun" w:hAnsi="SimSun" w:eastAsia="SimSun" w:cs="SimSun"/>
          <w:sz w:val="21"/>
          <w:szCs w:val="21"/>
        </w:rPr>
      </w:pPr>
    </w:p>
    <w:p>
      <w:pPr>
        <w:pStyle w:val="BodyText"/>
        <w:spacing w:line="251" w:lineRule="auto"/>
        <w:rPr/>
      </w:pPr>
      <w:r>
        <w:drawing>
          <wp:anchor distT="0" distB="0" distL="0" distR="0" simplePos="0" relativeHeight="254181376" behindDoc="0" locked="0" layoutInCell="0" allowOverlap="1">
            <wp:simplePos x="0" y="0"/>
            <wp:positionH relativeFrom="page">
              <wp:posOffset>419096</wp:posOffset>
            </wp:positionH>
            <wp:positionV relativeFrom="page">
              <wp:posOffset>6896076</wp:posOffset>
            </wp:positionV>
            <wp:extent cx="1174761" cy="6350"/>
            <wp:effectExtent l="0" t="0" r="0" b="0"/>
            <wp:wrapNone/>
            <wp:docPr id="216" name="IM 216"/>
            <wp:cNvGraphicFramePr/>
            <a:graphic>
              <a:graphicData uri="http://schemas.openxmlformats.org/drawingml/2006/picture">
                <pic:pic>
                  <pic:nvPicPr>
                    <pic:cNvPr id="216" name="IM 216"/>
                    <pic:cNvPicPr/>
                  </pic:nvPicPr>
                  <pic:blipFill>
                    <a:blip r:embed="rId293"/>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2" w:lineRule="auto"/>
        <w:rPr/>
      </w:pPr>
      <w:r/>
    </w:p>
    <w:p>
      <w:pPr>
        <w:pStyle w:val="BodyText"/>
        <w:spacing w:line="252" w:lineRule="auto"/>
        <w:rPr/>
      </w:pPr>
      <w:r/>
    </w:p>
    <w:p>
      <w:pPr>
        <w:ind w:right="92"/>
        <w:spacing w:before="69" w:line="300" w:lineRule="auto"/>
        <w:jc w:val="both"/>
        <w:rPr>
          <w:rFonts w:ascii="SimSun" w:hAnsi="SimSun" w:eastAsia="SimSun" w:cs="SimSun"/>
          <w:sz w:val="21"/>
          <w:szCs w:val="21"/>
        </w:rPr>
      </w:pPr>
      <w:r>
        <w:rPr>
          <w:rFonts w:ascii="SimSun" w:hAnsi="SimSun" w:eastAsia="SimSun" w:cs="SimSun"/>
          <w:sz w:val="21"/>
          <w:szCs w:val="21"/>
          <w:spacing w:val="3"/>
        </w:rPr>
        <w:t>有大约90%的互联网搜索市场。脸书占据了全球2/3的社交媒体市</w:t>
      </w:r>
      <w:r>
        <w:rPr>
          <w:rFonts w:ascii="SimSun" w:hAnsi="SimSun" w:eastAsia="SimSun" w:cs="SimSun"/>
          <w:sz w:val="21"/>
          <w:szCs w:val="21"/>
          <w:spacing w:val="18"/>
        </w:rPr>
        <w:t xml:space="preserve"> </w:t>
      </w:r>
      <w:r>
        <w:rPr>
          <w:rFonts w:ascii="SimSun" w:hAnsi="SimSun" w:eastAsia="SimSun" w:cs="SimSun"/>
          <w:sz w:val="21"/>
          <w:szCs w:val="21"/>
        </w:rPr>
        <w:t>场，是全球90%以上经济体排名第一的社交媒</w:t>
      </w:r>
      <w:r>
        <w:rPr>
          <w:rFonts w:ascii="SimSun" w:hAnsi="SimSun" w:eastAsia="SimSun" w:cs="SimSun"/>
          <w:sz w:val="21"/>
          <w:szCs w:val="21"/>
          <w:spacing w:val="-1"/>
        </w:rPr>
        <w:t>体平台。亚马逊在全</w:t>
      </w:r>
      <w:r>
        <w:rPr>
          <w:rFonts w:ascii="SimSun" w:hAnsi="SimSun" w:eastAsia="SimSun" w:cs="SimSun"/>
          <w:sz w:val="21"/>
          <w:szCs w:val="21"/>
        </w:rPr>
        <w:t xml:space="preserve"> </w:t>
      </w:r>
      <w:r>
        <w:rPr>
          <w:rFonts w:ascii="SimSun" w:hAnsi="SimSun" w:eastAsia="SimSun" w:cs="SimSun"/>
          <w:sz w:val="21"/>
          <w:szCs w:val="21"/>
        </w:rPr>
        <w:t>球在线零售活动中占有近40%的份额，其亚</w:t>
      </w:r>
      <w:r>
        <w:rPr>
          <w:rFonts w:ascii="SimSun" w:hAnsi="SimSun" w:eastAsia="SimSun" w:cs="SimSun"/>
          <w:sz w:val="21"/>
          <w:szCs w:val="21"/>
          <w:spacing w:val="-1"/>
        </w:rPr>
        <w:t>马逊网络服务在全球云</w:t>
      </w:r>
      <w:r>
        <w:rPr>
          <w:rFonts w:ascii="SimSun" w:hAnsi="SimSun" w:eastAsia="SimSun" w:cs="SimSun"/>
          <w:sz w:val="21"/>
          <w:szCs w:val="21"/>
        </w:rPr>
        <w:t xml:space="preserve"> </w:t>
      </w:r>
      <w:r>
        <w:rPr>
          <w:rFonts w:ascii="SimSun" w:hAnsi="SimSun" w:eastAsia="SimSun" w:cs="SimSun"/>
          <w:sz w:val="21"/>
          <w:szCs w:val="21"/>
          <w:spacing w:val="-11"/>
        </w:rPr>
        <w:t>基础设施服务市场中也占有类似的份额。而在全球数字平台市值中排</w:t>
      </w:r>
      <w:r>
        <w:rPr>
          <w:rFonts w:ascii="SimSun" w:hAnsi="SimSun" w:eastAsia="SimSun" w:cs="SimSun"/>
          <w:sz w:val="21"/>
          <w:szCs w:val="21"/>
          <w:spacing w:val="16"/>
        </w:rPr>
        <w:t xml:space="preserve"> </w:t>
      </w:r>
      <w:r>
        <w:rPr>
          <w:rFonts w:ascii="SimSun" w:hAnsi="SimSun" w:eastAsia="SimSun" w:cs="SimSun"/>
          <w:sz w:val="21"/>
          <w:szCs w:val="21"/>
          <w:spacing w:val="-10"/>
        </w:rPr>
        <w:t>名前十位的两家中国企业，腾讯和阿里巴巴，</w:t>
      </w:r>
      <w:r>
        <w:rPr>
          <w:rFonts w:ascii="SimSun" w:hAnsi="SimSun" w:eastAsia="SimSun" w:cs="SimSun"/>
          <w:sz w:val="21"/>
          <w:szCs w:val="21"/>
          <w:spacing w:val="-11"/>
        </w:rPr>
        <w:t>其业务经营范畴则高度</w:t>
      </w:r>
      <w:r>
        <w:rPr>
          <w:rFonts w:ascii="SimSun" w:hAnsi="SimSun" w:eastAsia="SimSun" w:cs="SimSun"/>
          <w:sz w:val="21"/>
          <w:szCs w:val="21"/>
        </w:rPr>
        <w:t xml:space="preserve"> </w:t>
      </w:r>
      <w:r>
        <w:rPr>
          <w:rFonts w:ascii="SimSun" w:hAnsi="SimSun" w:eastAsia="SimSun" w:cs="SimSun"/>
          <w:sz w:val="21"/>
          <w:szCs w:val="21"/>
          <w:spacing w:val="-12"/>
        </w:rPr>
        <w:t>集中在中国境内。</w:t>
      </w:r>
    </w:p>
    <w:p>
      <w:pPr>
        <w:ind w:firstLine="429"/>
        <w:spacing w:before="107" w:line="297" w:lineRule="auto"/>
        <w:jc w:val="both"/>
        <w:rPr>
          <w:rFonts w:ascii="SimSun" w:hAnsi="SimSun" w:eastAsia="SimSun" w:cs="SimSun"/>
          <w:sz w:val="21"/>
          <w:szCs w:val="21"/>
        </w:rPr>
      </w:pPr>
      <w:r>
        <w:rPr>
          <w:rFonts w:ascii="SimSun" w:hAnsi="SimSun" w:eastAsia="SimSun" w:cs="SimSun"/>
          <w:sz w:val="21"/>
          <w:szCs w:val="21"/>
          <w:spacing w:val="-11"/>
        </w:rPr>
        <w:t>欧盟的数字经济监管哲学，在支持美国所秉持的基础性立场的同 </w:t>
      </w:r>
      <w:r>
        <w:rPr>
          <w:rFonts w:ascii="SimSun" w:hAnsi="SimSun" w:eastAsia="SimSun" w:cs="SimSun"/>
          <w:sz w:val="21"/>
          <w:szCs w:val="21"/>
          <w:spacing w:val="-7"/>
        </w:rPr>
        <w:t>时，对数据的跨境流动环节更大程度上优先考虑了个</w:t>
      </w:r>
      <w:r>
        <w:rPr>
          <w:rFonts w:ascii="SimSun" w:hAnsi="SimSun" w:eastAsia="SimSun" w:cs="SimSun"/>
          <w:sz w:val="21"/>
          <w:szCs w:val="21"/>
          <w:spacing w:val="-8"/>
        </w:rPr>
        <w:t>人权利的保护，</w:t>
      </w:r>
      <w:r>
        <w:rPr>
          <w:rFonts w:ascii="SimSun" w:hAnsi="SimSun" w:eastAsia="SimSun" w:cs="SimSun"/>
          <w:sz w:val="21"/>
          <w:szCs w:val="21"/>
        </w:rPr>
        <w:t xml:space="preserve"> </w:t>
      </w:r>
      <w:r>
        <w:rPr>
          <w:rFonts w:ascii="SimSun" w:hAnsi="SimSun" w:eastAsia="SimSun" w:cs="SimSun"/>
          <w:sz w:val="21"/>
          <w:szCs w:val="21"/>
          <w:spacing w:val="-7"/>
        </w:rPr>
        <w:t>强调个人对数据拥有根本性权利。欧盟自2018年5月起正式施行《通</w:t>
      </w:r>
      <w:r>
        <w:rPr>
          <w:rFonts w:ascii="SimSun" w:hAnsi="SimSun" w:eastAsia="SimSun" w:cs="SimSun"/>
          <w:sz w:val="21"/>
          <w:szCs w:val="21"/>
          <w:spacing w:val="7"/>
        </w:rPr>
        <w:t xml:space="preserve">  </w:t>
      </w:r>
      <w:r>
        <w:rPr>
          <w:rFonts w:ascii="SimSun" w:hAnsi="SimSun" w:eastAsia="SimSun" w:cs="SimSun"/>
          <w:sz w:val="21"/>
          <w:szCs w:val="21"/>
          <w:spacing w:val="-7"/>
        </w:rPr>
        <w:t>用数据保护条例》,作为对1995年通过的个人数据保护指令的升级规</w:t>
      </w:r>
      <w:r>
        <w:rPr>
          <w:rFonts w:ascii="SimSun" w:hAnsi="SimSun" w:eastAsia="SimSun" w:cs="SimSun"/>
          <w:sz w:val="21"/>
          <w:szCs w:val="21"/>
          <w:spacing w:val="8"/>
        </w:rPr>
        <w:t xml:space="preserve">  </w:t>
      </w:r>
      <w:r>
        <w:rPr>
          <w:rFonts w:ascii="SimSun" w:hAnsi="SimSun" w:eastAsia="SimSun" w:cs="SimSun"/>
          <w:sz w:val="21"/>
          <w:szCs w:val="21"/>
          <w:spacing w:val="-11"/>
        </w:rPr>
        <w:t>范。面对欧盟境内数字经济与信息社会的新发展和新趋势，欧洲立法</w:t>
      </w:r>
      <w:r>
        <w:rPr>
          <w:rFonts w:ascii="SimSun" w:hAnsi="SimSun" w:eastAsia="SimSun" w:cs="SimSun"/>
          <w:sz w:val="21"/>
          <w:szCs w:val="21"/>
          <w:spacing w:val="7"/>
        </w:rPr>
        <w:t xml:space="preserve">  </w:t>
      </w:r>
      <w:r>
        <w:rPr>
          <w:rFonts w:ascii="SimSun" w:hAnsi="SimSun" w:eastAsia="SimSun" w:cs="SimSun"/>
          <w:sz w:val="21"/>
          <w:szCs w:val="21"/>
          <w:spacing w:val="-11"/>
        </w:rPr>
        <w:t>者建构的回应方案是引入具有普遍约束力的欧盟统一立法，提升个人</w:t>
      </w:r>
      <w:r>
        <w:rPr>
          <w:rFonts w:ascii="SimSun" w:hAnsi="SimSun" w:eastAsia="SimSun" w:cs="SimSun"/>
          <w:sz w:val="21"/>
          <w:szCs w:val="21"/>
          <w:spacing w:val="8"/>
        </w:rPr>
        <w:t xml:space="preserve">  </w:t>
      </w:r>
      <w:r>
        <w:rPr>
          <w:rFonts w:ascii="SimSun" w:hAnsi="SimSun" w:eastAsia="SimSun" w:cs="SimSun"/>
          <w:sz w:val="21"/>
          <w:szCs w:val="21"/>
          <w:spacing w:val="-10"/>
        </w:rPr>
        <w:t>数据流转的治理水平。这同时也对全球数据</w:t>
      </w:r>
      <w:r>
        <w:rPr>
          <w:rFonts w:ascii="SimSun" w:hAnsi="SimSun" w:eastAsia="SimSun" w:cs="SimSun"/>
          <w:sz w:val="21"/>
          <w:szCs w:val="21"/>
          <w:spacing w:val="-11"/>
        </w:rPr>
        <w:t>治理的未来走向有着现实</w:t>
      </w:r>
      <w:r>
        <w:rPr>
          <w:rFonts w:ascii="SimSun" w:hAnsi="SimSun" w:eastAsia="SimSun" w:cs="SimSun"/>
          <w:sz w:val="21"/>
          <w:szCs w:val="21"/>
        </w:rPr>
        <w:t xml:space="preserve">  </w:t>
      </w:r>
      <w:r>
        <w:rPr>
          <w:rFonts w:ascii="SimSun" w:hAnsi="SimSun" w:eastAsia="SimSun" w:cs="SimSun"/>
          <w:sz w:val="21"/>
          <w:szCs w:val="21"/>
          <w:spacing w:val="-8"/>
        </w:rPr>
        <w:t>的深刻影响。</w:t>
      </w:r>
    </w:p>
    <w:p>
      <w:pPr>
        <w:ind w:firstLine="429"/>
        <w:spacing w:before="201" w:line="289" w:lineRule="auto"/>
        <w:jc w:val="both"/>
        <w:rPr>
          <w:rFonts w:ascii="SimSun" w:hAnsi="SimSun" w:eastAsia="SimSun" w:cs="SimSun"/>
          <w:sz w:val="21"/>
          <w:szCs w:val="21"/>
        </w:rPr>
      </w:pPr>
      <w:r>
        <w:rPr>
          <w:rFonts w:ascii="SimSun" w:hAnsi="SimSun" w:eastAsia="SimSun" w:cs="SimSun"/>
          <w:sz w:val="21"/>
          <w:szCs w:val="21"/>
          <w:spacing w:val="-8"/>
        </w:rPr>
        <w:t>中国的数字经济监管更强调网络主权，以确保网络和国家</w:t>
      </w:r>
      <w:r>
        <w:rPr>
          <w:rFonts w:ascii="SimSun" w:hAnsi="SimSun" w:eastAsia="SimSun" w:cs="SimSun"/>
          <w:sz w:val="21"/>
          <w:szCs w:val="21"/>
          <w:spacing w:val="-9"/>
        </w:rPr>
        <w:t>安全。</w:t>
      </w:r>
      <w:r>
        <w:rPr>
          <w:rFonts w:ascii="SimSun" w:hAnsi="SimSun" w:eastAsia="SimSun" w:cs="SimSun"/>
          <w:sz w:val="21"/>
          <w:szCs w:val="21"/>
        </w:rPr>
        <w:t xml:space="preserve"> </w:t>
      </w:r>
      <w:r>
        <w:rPr>
          <w:rFonts w:ascii="Times New Roman" w:hAnsi="Times New Roman" w:eastAsia="Times New Roman" w:cs="Times New Roman"/>
          <w:sz w:val="21"/>
          <w:szCs w:val="21"/>
          <w:spacing w:val="-2"/>
        </w:rPr>
        <w:t>OECD</w:t>
      </w:r>
      <w:r>
        <w:rPr>
          <w:rFonts w:ascii="SimSun" w:hAnsi="SimSun" w:eastAsia="SimSun" w:cs="SimSun"/>
          <w:sz w:val="21"/>
          <w:szCs w:val="21"/>
          <w:spacing w:val="-2"/>
        </w:rPr>
        <w:t>开发的服务贸易限制性指数将所涵盖的40个主要经济体的跨</w:t>
      </w:r>
      <w:r>
        <w:rPr>
          <w:rFonts w:ascii="SimSun" w:hAnsi="SimSun" w:eastAsia="SimSun" w:cs="SimSun"/>
          <w:sz w:val="21"/>
          <w:szCs w:val="21"/>
          <w:spacing w:val="8"/>
        </w:rPr>
        <w:t xml:space="preserve">  </w:t>
      </w:r>
      <w:r>
        <w:rPr>
          <w:rFonts w:ascii="SimSun" w:hAnsi="SimSun" w:eastAsia="SimSun" w:cs="SimSun"/>
          <w:sz w:val="21"/>
          <w:szCs w:val="21"/>
          <w:spacing w:val="-10"/>
        </w:rPr>
        <w:t>境数据流动政策进行量化评估，中国、印度尼西亚、南非、</w:t>
      </w:r>
      <w:r>
        <w:rPr>
          <w:rFonts w:ascii="SimSun" w:hAnsi="SimSun" w:eastAsia="SimSun" w:cs="SimSun"/>
          <w:sz w:val="21"/>
          <w:szCs w:val="21"/>
          <w:spacing w:val="-11"/>
        </w:rPr>
        <w:t>巴西、印</w:t>
      </w:r>
      <w:r>
        <w:rPr>
          <w:rFonts w:ascii="SimSun" w:hAnsi="SimSun" w:eastAsia="SimSun" w:cs="SimSun"/>
          <w:sz w:val="21"/>
          <w:szCs w:val="21"/>
        </w:rPr>
        <w:t xml:space="preserve">  </w:t>
      </w:r>
      <w:r>
        <w:rPr>
          <w:rFonts w:ascii="SimSun" w:hAnsi="SimSun" w:eastAsia="SimSun" w:cs="SimSun"/>
          <w:sz w:val="21"/>
          <w:szCs w:val="21"/>
          <w:spacing w:val="-11"/>
        </w:rPr>
        <w:t>度、俄罗斯等国家限制指数偏高，而瑞士、澳大利亚、美国、挪威等</w:t>
      </w:r>
      <w:r>
        <w:rPr>
          <w:rFonts w:ascii="SimSun" w:hAnsi="SimSun" w:eastAsia="SimSun" w:cs="SimSun"/>
          <w:sz w:val="21"/>
          <w:szCs w:val="21"/>
          <w:spacing w:val="9"/>
        </w:rPr>
        <w:t xml:space="preserve">  </w:t>
      </w:r>
      <w:r>
        <w:rPr>
          <w:rFonts w:ascii="SimSun" w:hAnsi="SimSun" w:eastAsia="SimSun" w:cs="SimSun"/>
          <w:sz w:val="21"/>
          <w:szCs w:val="21"/>
          <w:spacing w:val="-16"/>
        </w:rPr>
        <w:t>国家限制指数较低。①</w:t>
      </w:r>
    </w:p>
    <w:p>
      <w:pPr>
        <w:ind w:firstLine="429"/>
        <w:spacing w:before="134" w:line="297" w:lineRule="auto"/>
        <w:jc w:val="both"/>
        <w:rPr>
          <w:rFonts w:ascii="SimSun" w:hAnsi="SimSun" w:eastAsia="SimSun" w:cs="SimSun"/>
          <w:sz w:val="21"/>
          <w:szCs w:val="21"/>
        </w:rPr>
      </w:pPr>
      <w:r>
        <w:rPr>
          <w:rFonts w:ascii="SimSun" w:hAnsi="SimSun" w:eastAsia="SimSun" w:cs="SimSun"/>
          <w:sz w:val="21"/>
          <w:szCs w:val="21"/>
          <w:spacing w:val="-11"/>
        </w:rPr>
        <w:t>我们也要看到，“数字主权”所表述的关注点在不同国家间具有 </w:t>
      </w:r>
      <w:r>
        <w:rPr>
          <w:rFonts w:ascii="SimSun" w:hAnsi="SimSun" w:eastAsia="SimSun" w:cs="SimSun"/>
          <w:sz w:val="21"/>
          <w:szCs w:val="21"/>
          <w:spacing w:val="-7"/>
        </w:rPr>
        <w:t>共通性。出于对数据资源的保护、国家安全的需要以</w:t>
      </w:r>
      <w:r>
        <w:rPr>
          <w:rFonts w:ascii="SimSun" w:hAnsi="SimSun" w:eastAsia="SimSun" w:cs="SimSun"/>
          <w:sz w:val="21"/>
          <w:szCs w:val="21"/>
          <w:spacing w:val="-8"/>
        </w:rPr>
        <w:t>及防止行政权、</w:t>
      </w:r>
      <w:r>
        <w:rPr>
          <w:rFonts w:ascii="SimSun" w:hAnsi="SimSun" w:eastAsia="SimSun" w:cs="SimSun"/>
          <w:sz w:val="21"/>
          <w:szCs w:val="21"/>
        </w:rPr>
        <w:t xml:space="preserve"> </w:t>
      </w:r>
      <w:r>
        <w:rPr>
          <w:rFonts w:ascii="SimSun" w:hAnsi="SimSun" w:eastAsia="SimSun" w:cs="SimSun"/>
          <w:sz w:val="21"/>
          <w:szCs w:val="21"/>
          <w:spacing w:val="-10"/>
        </w:rPr>
        <w:t>司法权落空等目的，跨境数据流动所涉及的“</w:t>
      </w:r>
      <w:r>
        <w:rPr>
          <w:rFonts w:ascii="SimSun" w:hAnsi="SimSun" w:eastAsia="SimSun" w:cs="SimSun"/>
          <w:sz w:val="21"/>
          <w:szCs w:val="21"/>
          <w:spacing w:val="-11"/>
        </w:rPr>
        <w:t>跨境数据传输”“数据</w:t>
      </w:r>
      <w:r>
        <w:rPr>
          <w:rFonts w:ascii="SimSun" w:hAnsi="SimSun" w:eastAsia="SimSun" w:cs="SimSun"/>
          <w:sz w:val="21"/>
          <w:szCs w:val="21"/>
        </w:rPr>
        <w:t xml:space="preserve">  </w:t>
      </w:r>
      <w:r>
        <w:rPr>
          <w:rFonts w:ascii="SimSun" w:hAnsi="SimSun" w:eastAsia="SimSun" w:cs="SimSun"/>
          <w:sz w:val="21"/>
          <w:szCs w:val="21"/>
          <w:spacing w:val="-10"/>
        </w:rPr>
        <w:t>本地化存储”“数据隐私保护”等重大议题的国内监管与国</w:t>
      </w:r>
      <w:r>
        <w:rPr>
          <w:rFonts w:ascii="SimSun" w:hAnsi="SimSun" w:eastAsia="SimSun" w:cs="SimSun"/>
          <w:sz w:val="21"/>
          <w:szCs w:val="21"/>
          <w:spacing w:val="-11"/>
        </w:rPr>
        <w:t>际规则制</w:t>
      </w:r>
      <w:r>
        <w:rPr>
          <w:rFonts w:ascii="SimSun" w:hAnsi="SimSun" w:eastAsia="SimSun" w:cs="SimSun"/>
          <w:sz w:val="21"/>
          <w:szCs w:val="21"/>
        </w:rPr>
        <w:t xml:space="preserve">  </w:t>
      </w:r>
      <w:r>
        <w:rPr>
          <w:rFonts w:ascii="SimSun" w:hAnsi="SimSun" w:eastAsia="SimSun" w:cs="SimSun"/>
          <w:sz w:val="21"/>
          <w:szCs w:val="21"/>
          <w:spacing w:val="-11"/>
        </w:rPr>
        <w:t>定，已经成为新的国际经贸博弈的内容。</w:t>
      </w:r>
    </w:p>
    <w:p>
      <w:pPr>
        <w:ind w:left="429"/>
        <w:spacing w:before="120" w:line="219" w:lineRule="auto"/>
        <w:rPr>
          <w:rFonts w:ascii="SimSun" w:hAnsi="SimSun" w:eastAsia="SimSun" w:cs="SimSun"/>
          <w:sz w:val="21"/>
          <w:szCs w:val="21"/>
        </w:rPr>
      </w:pPr>
      <w:r>
        <w:rPr>
          <w:rFonts w:ascii="SimSun" w:hAnsi="SimSun" w:eastAsia="SimSun" w:cs="SimSun"/>
          <w:sz w:val="21"/>
          <w:szCs w:val="21"/>
          <w:spacing w:val="-10"/>
        </w:rPr>
        <w:t>在全球数字经济关系中，体现地缘政治博弈的另一个领域是数字</w:t>
      </w:r>
    </w:p>
    <w:p>
      <w:pPr>
        <w:pStyle w:val="BodyText"/>
        <w:spacing w:line="432" w:lineRule="auto"/>
        <w:rPr/>
      </w:pPr>
      <w:r/>
    </w:p>
    <w:p>
      <w:pPr>
        <w:spacing w:before="59" w:line="220" w:lineRule="auto"/>
        <w:rPr>
          <w:rFonts w:ascii="KaiTi" w:hAnsi="KaiTi" w:eastAsia="KaiTi" w:cs="KaiTi"/>
          <w:sz w:val="18"/>
          <w:szCs w:val="18"/>
        </w:rPr>
      </w:pPr>
      <w:r>
        <w:rPr>
          <w:rFonts w:ascii="KaiTi" w:hAnsi="KaiTi" w:eastAsia="KaiTi" w:cs="KaiTi"/>
          <w:sz w:val="18"/>
          <w:szCs w:val="18"/>
          <w:spacing w:val="-8"/>
        </w:rPr>
        <w:t>①</w:t>
      </w:r>
      <w:r>
        <w:rPr>
          <w:rFonts w:ascii="KaiTi" w:hAnsi="KaiTi" w:eastAsia="KaiTi" w:cs="KaiTi"/>
          <w:sz w:val="18"/>
          <w:szCs w:val="18"/>
          <w:spacing w:val="55"/>
        </w:rPr>
        <w:t xml:space="preserve"> </w:t>
      </w:r>
      <w:r>
        <w:rPr>
          <w:rFonts w:ascii="KaiTi" w:hAnsi="KaiTi" w:eastAsia="KaiTi" w:cs="KaiTi"/>
          <w:sz w:val="18"/>
          <w:szCs w:val="18"/>
          <w:spacing w:val="-8"/>
        </w:rPr>
        <w:t>张茉楠.跨境数据流动：全球态势与中国对策.开放</w:t>
      </w:r>
      <w:r>
        <w:rPr>
          <w:rFonts w:ascii="KaiTi" w:hAnsi="KaiTi" w:eastAsia="KaiTi" w:cs="KaiTi"/>
          <w:sz w:val="18"/>
          <w:szCs w:val="18"/>
          <w:spacing w:val="-9"/>
        </w:rPr>
        <w:t>导报，2020(2):44-50.</w:t>
      </w:r>
    </w:p>
    <w:p>
      <w:pPr>
        <w:spacing w:line="220" w:lineRule="auto"/>
        <w:sectPr>
          <w:headerReference w:type="default" r:id="rId292"/>
          <w:pgSz w:w="7330" w:h="12480"/>
          <w:pgMar w:top="559" w:right="594" w:bottom="400" w:left="650" w:header="392" w:footer="0" w:gutter="0"/>
        </w:sectPr>
        <w:rPr>
          <w:rFonts w:ascii="KaiTi" w:hAnsi="KaiTi" w:eastAsia="KaiTi" w:cs="KaiTi"/>
          <w:sz w:val="18"/>
          <w:szCs w:val="18"/>
        </w:rPr>
      </w:pP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spacing w:before="68" w:line="311" w:lineRule="auto"/>
        <w:jc w:val="both"/>
        <w:rPr>
          <w:rFonts w:ascii="SimSun" w:hAnsi="SimSun" w:eastAsia="SimSun" w:cs="SimSun"/>
          <w:sz w:val="21"/>
          <w:szCs w:val="21"/>
        </w:rPr>
      </w:pPr>
      <w:r>
        <w:rPr>
          <w:rFonts w:ascii="SimSun" w:hAnsi="SimSun" w:eastAsia="SimSun" w:cs="SimSun"/>
          <w:sz w:val="21"/>
          <w:szCs w:val="21"/>
          <w:spacing w:val="-11"/>
        </w:rPr>
        <w:t>技术。这既是技术作为传统国际经济和经贸关系的延续，也呈现出新</w:t>
      </w:r>
      <w:r>
        <w:rPr>
          <w:rFonts w:ascii="SimSun" w:hAnsi="SimSun" w:eastAsia="SimSun" w:cs="SimSun"/>
          <w:sz w:val="21"/>
          <w:szCs w:val="21"/>
          <w:spacing w:val="8"/>
        </w:rPr>
        <w:t xml:space="preserve">  </w:t>
      </w:r>
      <w:r>
        <w:rPr>
          <w:rFonts w:ascii="SimSun" w:hAnsi="SimSun" w:eastAsia="SimSun" w:cs="SimSun"/>
          <w:sz w:val="21"/>
          <w:szCs w:val="21"/>
          <w:spacing w:val="-7"/>
        </w:rPr>
        <w:t>的特点。近年，美国围绕数字技术通过了几个值得关注的新的立法。</w:t>
      </w:r>
      <w:r>
        <w:rPr>
          <w:rFonts w:ascii="SimSun" w:hAnsi="SimSun" w:eastAsia="SimSun" w:cs="SimSun"/>
          <w:sz w:val="21"/>
          <w:szCs w:val="21"/>
          <w:spacing w:val="13"/>
        </w:rPr>
        <w:t xml:space="preserve"> </w:t>
      </w:r>
      <w:r>
        <w:rPr>
          <w:rFonts w:ascii="SimSun" w:hAnsi="SimSun" w:eastAsia="SimSun" w:cs="SimSun"/>
          <w:sz w:val="21"/>
          <w:szCs w:val="21"/>
          <w:spacing w:val="-3"/>
        </w:rPr>
        <w:t>2016年以来，美国严格限制涉及重大科学技</w:t>
      </w:r>
      <w:r>
        <w:rPr>
          <w:rFonts w:ascii="SimSun" w:hAnsi="SimSun" w:eastAsia="SimSun" w:cs="SimSun"/>
          <w:sz w:val="21"/>
          <w:szCs w:val="21"/>
          <w:spacing w:val="-4"/>
        </w:rPr>
        <w:t>术及基础领域的技术数</w:t>
      </w:r>
      <w:r>
        <w:rPr>
          <w:rFonts w:ascii="SimSun" w:hAnsi="SimSun" w:eastAsia="SimSun" w:cs="SimSun"/>
          <w:sz w:val="21"/>
          <w:szCs w:val="21"/>
        </w:rPr>
        <w:t xml:space="preserve">  </w:t>
      </w:r>
      <w:r>
        <w:rPr>
          <w:rFonts w:ascii="SimSun" w:hAnsi="SimSun" w:eastAsia="SimSun" w:cs="SimSun"/>
          <w:sz w:val="21"/>
          <w:szCs w:val="21"/>
          <w:spacing w:val="-11"/>
        </w:rPr>
        <w:t>据和敏感数据的跨境转移，并通过“长臂管辖权”和庞大的情报网络</w:t>
      </w:r>
      <w:r>
        <w:rPr>
          <w:rFonts w:ascii="SimSun" w:hAnsi="SimSun" w:eastAsia="SimSun" w:cs="SimSun"/>
          <w:sz w:val="21"/>
          <w:szCs w:val="21"/>
          <w:spacing w:val="9"/>
        </w:rPr>
        <w:t xml:space="preserve">  </w:t>
      </w:r>
      <w:r>
        <w:rPr>
          <w:rFonts w:ascii="SimSun" w:hAnsi="SimSun" w:eastAsia="SimSun" w:cs="SimSun"/>
          <w:sz w:val="21"/>
          <w:szCs w:val="21"/>
          <w:spacing w:val="1"/>
        </w:rPr>
        <w:t>加以执行。2018年3月，美国议会通过</w:t>
      </w:r>
      <w:r>
        <w:rPr>
          <w:rFonts w:ascii="SimSun" w:hAnsi="SimSun" w:eastAsia="SimSun" w:cs="SimSun"/>
          <w:sz w:val="21"/>
          <w:szCs w:val="21"/>
        </w:rPr>
        <w:t>《澄清境外数据的合法使用  </w:t>
      </w:r>
      <w:r>
        <w:rPr>
          <w:rFonts w:ascii="SimSun" w:hAnsi="SimSun" w:eastAsia="SimSun" w:cs="SimSun"/>
          <w:sz w:val="21"/>
          <w:szCs w:val="21"/>
          <w:spacing w:val="-11"/>
        </w:rPr>
        <w:t>法案》。该法案秉承“谁拥有数据谁就拥有数据控制权”的原则，打</w:t>
      </w:r>
      <w:r>
        <w:rPr>
          <w:rFonts w:ascii="SimSun" w:hAnsi="SimSun" w:eastAsia="SimSun" w:cs="SimSun"/>
          <w:sz w:val="21"/>
          <w:szCs w:val="21"/>
          <w:spacing w:val="9"/>
        </w:rPr>
        <w:t xml:space="preserve">  </w:t>
      </w:r>
      <w:r>
        <w:rPr>
          <w:rFonts w:ascii="SimSun" w:hAnsi="SimSun" w:eastAsia="SimSun" w:cs="SimSun"/>
          <w:sz w:val="21"/>
          <w:szCs w:val="21"/>
          <w:spacing w:val="-7"/>
        </w:rPr>
        <w:t>破了以往的“服务器标准”,转而实施“数据控制者”标准，允许政</w:t>
      </w:r>
      <w:r>
        <w:rPr>
          <w:rFonts w:ascii="SimSun" w:hAnsi="SimSun" w:eastAsia="SimSun" w:cs="SimSun"/>
          <w:sz w:val="21"/>
          <w:szCs w:val="21"/>
          <w:spacing w:val="1"/>
        </w:rPr>
        <w:t xml:space="preserve">  </w:t>
      </w:r>
      <w:r>
        <w:rPr>
          <w:rFonts w:ascii="SimSun" w:hAnsi="SimSun" w:eastAsia="SimSun" w:cs="SimSun"/>
          <w:sz w:val="21"/>
          <w:szCs w:val="21"/>
          <w:spacing w:val="-11"/>
        </w:rPr>
        <w:t>府跨境调取数据。美国还通过限制重要技术数据出口以及特定数据领</w:t>
      </w:r>
      <w:r>
        <w:rPr>
          <w:rFonts w:ascii="SimSun" w:hAnsi="SimSun" w:eastAsia="SimSun" w:cs="SimSun"/>
          <w:sz w:val="21"/>
          <w:szCs w:val="21"/>
          <w:spacing w:val="8"/>
        </w:rPr>
        <w:t xml:space="preserve">  </w:t>
      </w:r>
      <w:r>
        <w:rPr>
          <w:rFonts w:ascii="SimSun" w:hAnsi="SimSun" w:eastAsia="SimSun" w:cs="SimSun"/>
          <w:sz w:val="21"/>
          <w:szCs w:val="21"/>
          <w:spacing w:val="-6"/>
        </w:rPr>
        <w:t>域的外国投资进行数据跨境流动管制。例如，2018年8月推出的《出</w:t>
      </w:r>
      <w:r>
        <w:rPr>
          <w:rFonts w:ascii="SimSun" w:hAnsi="SimSun" w:eastAsia="SimSun" w:cs="SimSun"/>
          <w:sz w:val="21"/>
          <w:szCs w:val="21"/>
        </w:rPr>
        <w:t xml:space="preserve">  </w:t>
      </w:r>
      <w:r>
        <w:rPr>
          <w:rFonts w:ascii="SimSun" w:hAnsi="SimSun" w:eastAsia="SimSun" w:cs="SimSun"/>
          <w:sz w:val="21"/>
          <w:szCs w:val="21"/>
          <w:spacing w:val="-11"/>
        </w:rPr>
        <w:t>口管制改革法案》就特别规定，出口管制不仅限于“硬件”出口，还</w:t>
      </w:r>
      <w:r>
        <w:rPr>
          <w:rFonts w:ascii="SimSun" w:hAnsi="SimSun" w:eastAsia="SimSun" w:cs="SimSun"/>
          <w:sz w:val="21"/>
          <w:szCs w:val="21"/>
          <w:spacing w:val="8"/>
        </w:rPr>
        <w:t xml:space="preserve">  </w:t>
      </w:r>
      <w:r>
        <w:rPr>
          <w:rFonts w:ascii="SimSun" w:hAnsi="SimSun" w:eastAsia="SimSun" w:cs="SimSun"/>
          <w:sz w:val="21"/>
          <w:szCs w:val="21"/>
          <w:spacing w:val="-7"/>
        </w:rPr>
        <w:t>包括“软件”,如科学技术数据要传输到美国境外的服务器或数据出</w:t>
      </w:r>
      <w:r>
        <w:rPr>
          <w:rFonts w:ascii="SimSun" w:hAnsi="SimSun" w:eastAsia="SimSun" w:cs="SimSun"/>
          <w:sz w:val="21"/>
          <w:szCs w:val="21"/>
          <w:spacing w:val="9"/>
        </w:rPr>
        <w:t xml:space="preserve">  </w:t>
      </w:r>
      <w:r>
        <w:rPr>
          <w:rFonts w:ascii="SimSun" w:hAnsi="SimSun" w:eastAsia="SimSun" w:cs="SimSun"/>
          <w:sz w:val="21"/>
          <w:szCs w:val="21"/>
          <w:spacing w:val="-4"/>
        </w:rPr>
        <w:t>境，必须获得商务部产业与安全局的出口许可。在外国投资审查方</w:t>
      </w:r>
      <w:r>
        <w:rPr>
          <w:rFonts w:ascii="SimSun" w:hAnsi="SimSun" w:eastAsia="SimSun" w:cs="SimSun"/>
          <w:sz w:val="21"/>
          <w:szCs w:val="21"/>
          <w:spacing w:val="6"/>
        </w:rPr>
        <w:t xml:space="preserve">  </w:t>
      </w:r>
      <w:r>
        <w:rPr>
          <w:rFonts w:ascii="SimSun" w:hAnsi="SimSun" w:eastAsia="SimSun" w:cs="SimSun"/>
          <w:sz w:val="21"/>
          <w:szCs w:val="21"/>
          <w:spacing w:val="-10"/>
        </w:rPr>
        <w:t>面，《外国投资风险审查现代化法案》的一</w:t>
      </w:r>
      <w:r>
        <w:rPr>
          <w:rFonts w:ascii="SimSun" w:hAnsi="SimSun" w:eastAsia="SimSun" w:cs="SimSun"/>
          <w:sz w:val="21"/>
          <w:szCs w:val="21"/>
          <w:spacing w:val="-11"/>
        </w:rPr>
        <w:t>项关键内容在于扩大管辖</w:t>
      </w:r>
      <w:r>
        <w:rPr>
          <w:rFonts w:ascii="SimSun" w:hAnsi="SimSun" w:eastAsia="SimSun" w:cs="SimSun"/>
          <w:sz w:val="21"/>
          <w:szCs w:val="21"/>
        </w:rPr>
        <w:t xml:space="preserve">  </w:t>
      </w:r>
      <w:r>
        <w:rPr>
          <w:rFonts w:ascii="SimSun" w:hAnsi="SimSun" w:eastAsia="SimSun" w:cs="SimSun"/>
          <w:sz w:val="21"/>
          <w:szCs w:val="21"/>
          <w:spacing w:val="-17"/>
        </w:rPr>
        <w:t>权，涉及“关键技术”“关键基础设施”“关键或敏感数据”的美国企</w:t>
      </w:r>
      <w:r>
        <w:rPr>
          <w:rFonts w:ascii="SimSun" w:hAnsi="SimSun" w:eastAsia="SimSun" w:cs="SimSun"/>
          <w:sz w:val="21"/>
          <w:szCs w:val="21"/>
          <w:spacing w:val="2"/>
        </w:rPr>
        <w:t xml:space="preserve">  </w:t>
      </w:r>
      <w:r>
        <w:rPr>
          <w:rFonts w:ascii="SimSun" w:hAnsi="SimSun" w:eastAsia="SimSun" w:cs="SimSun"/>
          <w:sz w:val="21"/>
          <w:szCs w:val="21"/>
          <w:spacing w:val="-10"/>
        </w:rPr>
        <w:t>业做出的特定非控股外国投资，都会被纳入</w:t>
      </w:r>
      <w:r>
        <w:rPr>
          <w:rFonts w:ascii="SimSun" w:hAnsi="SimSun" w:eastAsia="SimSun" w:cs="SimSun"/>
          <w:sz w:val="21"/>
          <w:szCs w:val="21"/>
          <w:spacing w:val="-11"/>
        </w:rPr>
        <w:t>安全审查范围。这些法案</w:t>
      </w:r>
      <w:r>
        <w:rPr>
          <w:rFonts w:ascii="SimSun" w:hAnsi="SimSun" w:eastAsia="SimSun" w:cs="SimSun"/>
          <w:sz w:val="21"/>
          <w:szCs w:val="21"/>
        </w:rPr>
        <w:t xml:space="preserve">  </w:t>
      </w:r>
      <w:r>
        <w:rPr>
          <w:rFonts w:ascii="SimSun" w:hAnsi="SimSun" w:eastAsia="SimSun" w:cs="SimSun"/>
          <w:sz w:val="21"/>
          <w:szCs w:val="21"/>
          <w:spacing w:val="-10"/>
        </w:rPr>
        <w:t>的实施对中国企业在美国市场的数字技术活动的</w:t>
      </w:r>
      <w:r>
        <w:rPr>
          <w:rFonts w:ascii="SimSun" w:hAnsi="SimSun" w:eastAsia="SimSun" w:cs="SimSun"/>
          <w:sz w:val="21"/>
          <w:szCs w:val="21"/>
          <w:spacing w:val="-11"/>
        </w:rPr>
        <w:t>遏制作用，是国内外</w:t>
      </w:r>
      <w:r>
        <w:rPr>
          <w:rFonts w:ascii="SimSun" w:hAnsi="SimSun" w:eastAsia="SimSun" w:cs="SimSun"/>
          <w:sz w:val="21"/>
          <w:szCs w:val="21"/>
        </w:rPr>
        <w:t xml:space="preserve">  </w:t>
      </w:r>
      <w:r>
        <w:rPr>
          <w:rFonts w:ascii="SimSun" w:hAnsi="SimSun" w:eastAsia="SimSun" w:cs="SimSun"/>
          <w:sz w:val="21"/>
          <w:szCs w:val="21"/>
          <w:spacing w:val="-11"/>
        </w:rPr>
        <w:t>技术地缘政治研究中的常见课题。</w:t>
      </w:r>
    </w:p>
    <w:p>
      <w:pPr>
        <w:ind w:right="95" w:firstLine="420"/>
        <w:spacing w:before="119" w:line="307" w:lineRule="auto"/>
        <w:jc w:val="both"/>
        <w:rPr>
          <w:rFonts w:ascii="SimSun" w:hAnsi="SimSun" w:eastAsia="SimSun" w:cs="SimSun"/>
          <w:sz w:val="21"/>
          <w:szCs w:val="21"/>
        </w:rPr>
      </w:pPr>
      <w:r>
        <w:rPr>
          <w:rFonts w:ascii="SimSun" w:hAnsi="SimSun" w:eastAsia="SimSun" w:cs="SimSun"/>
          <w:sz w:val="21"/>
          <w:szCs w:val="21"/>
          <w:spacing w:val="-11"/>
        </w:rPr>
        <w:t>地缘政治在全球数字经济治理中第三方面的体现是一些国家有选</w:t>
      </w:r>
      <w:r>
        <w:rPr>
          <w:rFonts w:ascii="SimSun" w:hAnsi="SimSun" w:eastAsia="SimSun" w:cs="SimSun"/>
          <w:sz w:val="21"/>
          <w:szCs w:val="21"/>
          <w:spacing w:val="14"/>
        </w:rPr>
        <w:t xml:space="preserve"> </w:t>
      </w:r>
      <w:r>
        <w:rPr>
          <w:rFonts w:ascii="SimSun" w:hAnsi="SimSun" w:eastAsia="SimSun" w:cs="SimSun"/>
          <w:sz w:val="21"/>
          <w:szCs w:val="21"/>
          <w:spacing w:val="-10"/>
        </w:rPr>
        <w:t>择性地将推动数字贸易的议题嵌入其与战略和经济盟友之间的</w:t>
      </w:r>
      <w:r>
        <w:rPr>
          <w:rFonts w:ascii="SimSun" w:hAnsi="SimSun" w:eastAsia="SimSun" w:cs="SimSun"/>
          <w:sz w:val="21"/>
          <w:szCs w:val="21"/>
          <w:spacing w:val="-11"/>
        </w:rPr>
        <w:t>自由贸</w:t>
      </w:r>
      <w:r>
        <w:rPr>
          <w:rFonts w:ascii="SimSun" w:hAnsi="SimSun" w:eastAsia="SimSun" w:cs="SimSun"/>
          <w:sz w:val="21"/>
          <w:szCs w:val="21"/>
        </w:rPr>
        <w:t xml:space="preserve"> </w:t>
      </w:r>
      <w:r>
        <w:rPr>
          <w:rFonts w:ascii="SimSun" w:hAnsi="SimSun" w:eastAsia="SimSun" w:cs="SimSun"/>
          <w:sz w:val="21"/>
          <w:szCs w:val="21"/>
        </w:rPr>
        <w:t>易安排。例如，2012年3月生效的《美韩自由贸易协定》是美国与</w:t>
      </w:r>
      <w:r>
        <w:rPr>
          <w:rFonts w:ascii="SimSun" w:hAnsi="SimSun" w:eastAsia="SimSun" w:cs="SimSun"/>
          <w:sz w:val="21"/>
          <w:szCs w:val="21"/>
          <w:spacing w:val="11"/>
        </w:rPr>
        <w:t xml:space="preserve"> </w:t>
      </w:r>
      <w:r>
        <w:rPr>
          <w:rFonts w:ascii="SimSun" w:hAnsi="SimSun" w:eastAsia="SimSun" w:cs="SimSun"/>
          <w:sz w:val="21"/>
          <w:szCs w:val="21"/>
          <w:spacing w:val="-10"/>
        </w:rPr>
        <w:t>亚洲主要经济体签订的第一个类似协定，其中数字产品的</w:t>
      </w:r>
      <w:r>
        <w:rPr>
          <w:rFonts w:ascii="SimSun" w:hAnsi="SimSun" w:eastAsia="SimSun" w:cs="SimSun"/>
          <w:sz w:val="21"/>
          <w:szCs w:val="21"/>
          <w:spacing w:val="-11"/>
        </w:rPr>
        <w:t>立法模式和</w:t>
      </w:r>
      <w:r>
        <w:rPr>
          <w:rFonts w:ascii="SimSun" w:hAnsi="SimSun" w:eastAsia="SimSun" w:cs="SimSun"/>
          <w:sz w:val="21"/>
          <w:szCs w:val="21"/>
        </w:rPr>
        <w:t xml:space="preserve"> </w:t>
      </w:r>
      <w:r>
        <w:rPr>
          <w:rFonts w:ascii="SimSun" w:hAnsi="SimSun" w:eastAsia="SimSun" w:cs="SimSun"/>
          <w:sz w:val="21"/>
          <w:szCs w:val="21"/>
          <w:spacing w:val="-10"/>
        </w:rPr>
        <w:t>立法方向等内容代表美国试图引导跨境电子商务、数字贸易</w:t>
      </w:r>
      <w:r>
        <w:rPr>
          <w:rFonts w:ascii="SimSun" w:hAnsi="SimSun" w:eastAsia="SimSun" w:cs="SimSun"/>
          <w:sz w:val="21"/>
          <w:szCs w:val="21"/>
          <w:spacing w:val="-11"/>
        </w:rPr>
        <w:t>等方面制</w:t>
      </w:r>
      <w:r>
        <w:rPr>
          <w:rFonts w:ascii="SimSun" w:hAnsi="SimSun" w:eastAsia="SimSun" w:cs="SimSun"/>
          <w:sz w:val="21"/>
          <w:szCs w:val="21"/>
        </w:rPr>
        <w:t xml:space="preserve"> </w:t>
      </w:r>
      <w:r>
        <w:rPr>
          <w:rFonts w:ascii="SimSun" w:hAnsi="SimSun" w:eastAsia="SimSun" w:cs="SimSun"/>
          <w:sz w:val="21"/>
          <w:szCs w:val="21"/>
          <w:spacing w:val="-9"/>
        </w:rPr>
        <w:t>度规范的努力。之后的《日美数字贸易协定</w:t>
      </w:r>
      <w:r>
        <w:rPr>
          <w:rFonts w:ascii="SimSun" w:hAnsi="SimSun" w:eastAsia="SimSun" w:cs="SimSun"/>
          <w:sz w:val="21"/>
          <w:szCs w:val="21"/>
          <w:spacing w:val="-10"/>
        </w:rPr>
        <w:t>》(2019年)、《美墨加协</w:t>
      </w:r>
      <w:r>
        <w:rPr>
          <w:rFonts w:ascii="SimSun" w:hAnsi="SimSun" w:eastAsia="SimSun" w:cs="SimSun"/>
          <w:sz w:val="21"/>
          <w:szCs w:val="21"/>
        </w:rPr>
        <w:t xml:space="preserve"> </w:t>
      </w:r>
      <w:r>
        <w:rPr>
          <w:rFonts w:ascii="SimSun" w:hAnsi="SimSun" w:eastAsia="SimSun" w:cs="SimSun"/>
          <w:sz w:val="21"/>
          <w:szCs w:val="21"/>
          <w:spacing w:val="-3"/>
        </w:rPr>
        <w:t>定》(2020年)更对经济盟友的数字知识产权、跨境数据传输自由等</w:t>
      </w:r>
      <w:r>
        <w:rPr>
          <w:rFonts w:ascii="SimSun" w:hAnsi="SimSun" w:eastAsia="SimSun" w:cs="SimSun"/>
          <w:sz w:val="21"/>
          <w:szCs w:val="21"/>
          <w:spacing w:val="14"/>
        </w:rPr>
        <w:t xml:space="preserve"> </w:t>
      </w:r>
      <w:r>
        <w:rPr>
          <w:rFonts w:ascii="SimSun" w:hAnsi="SimSun" w:eastAsia="SimSun" w:cs="SimSun"/>
          <w:sz w:val="21"/>
          <w:szCs w:val="21"/>
          <w:spacing w:val="1"/>
        </w:rPr>
        <w:t>方面做出了优于协定外成员的市场准入规定。在2</w:t>
      </w:r>
      <w:r>
        <w:rPr>
          <w:rFonts w:ascii="SimSun" w:hAnsi="SimSun" w:eastAsia="SimSun" w:cs="SimSun"/>
          <w:sz w:val="21"/>
          <w:szCs w:val="21"/>
        </w:rPr>
        <w:t>021年8月，媒体 </w:t>
      </w:r>
      <w:r>
        <w:rPr>
          <w:rFonts w:ascii="SimSun" w:hAnsi="SimSun" w:eastAsia="SimSun" w:cs="SimSun"/>
          <w:sz w:val="21"/>
          <w:szCs w:val="21"/>
          <w:spacing w:val="-10"/>
        </w:rPr>
        <w:t>报道美国拜登政府正在起草环太平洋国家数</w:t>
      </w:r>
      <w:r>
        <w:rPr>
          <w:rFonts w:ascii="SimSun" w:hAnsi="SimSun" w:eastAsia="SimSun" w:cs="SimSun"/>
          <w:sz w:val="21"/>
          <w:szCs w:val="21"/>
          <w:spacing w:val="-11"/>
        </w:rPr>
        <w:t>字贸易协议的提案，可能</w:t>
      </w:r>
      <w:r>
        <w:rPr>
          <w:rFonts w:ascii="SimSun" w:hAnsi="SimSun" w:eastAsia="SimSun" w:cs="SimSun"/>
          <w:sz w:val="21"/>
          <w:szCs w:val="21"/>
        </w:rPr>
        <w:t xml:space="preserve"> </w:t>
      </w:r>
      <w:r>
        <w:rPr>
          <w:rFonts w:ascii="SimSun" w:hAnsi="SimSun" w:eastAsia="SimSun" w:cs="SimSun"/>
          <w:sz w:val="21"/>
          <w:szCs w:val="21"/>
          <w:spacing w:val="-10"/>
        </w:rPr>
        <w:t>涵盖的内容包括跨境信息流动、数字隐私和人工智能使用标准。拜登</w:t>
      </w:r>
    </w:p>
    <w:p>
      <w:pPr>
        <w:spacing w:line="307" w:lineRule="auto"/>
        <w:sectPr>
          <w:headerReference w:type="default" r:id="rId294"/>
          <w:pgSz w:w="7330" w:h="12480"/>
          <w:pgMar w:top="819" w:right="875" w:bottom="400" w:left="350" w:header="652"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0"/>
        </w:rPr>
        <w:t>政府的提案将仅向美国在亚太地区的盟友开放，</w:t>
      </w:r>
      <w:r>
        <w:rPr>
          <w:rFonts w:ascii="SimSun" w:hAnsi="SimSun" w:eastAsia="SimSun" w:cs="SimSun"/>
          <w:sz w:val="21"/>
          <w:szCs w:val="21"/>
          <w:spacing w:val="-11"/>
        </w:rPr>
        <w:t>不包括中国。</w:t>
      </w:r>
    </w:p>
    <w:p>
      <w:pPr>
        <w:ind w:right="35" w:firstLine="440"/>
        <w:spacing w:before="114" w:line="295" w:lineRule="auto"/>
        <w:jc w:val="both"/>
        <w:rPr>
          <w:rFonts w:ascii="SimSun" w:hAnsi="SimSun" w:eastAsia="SimSun" w:cs="SimSun"/>
          <w:sz w:val="21"/>
          <w:szCs w:val="21"/>
        </w:rPr>
      </w:pPr>
      <w:r>
        <w:rPr>
          <w:rFonts w:ascii="SimSun" w:hAnsi="SimSun" w:eastAsia="SimSun" w:cs="SimSun"/>
          <w:sz w:val="21"/>
          <w:szCs w:val="21"/>
          <w:spacing w:val="-11"/>
        </w:rPr>
        <w:t>地缘政治思维中零和竞争的一面使得网络空间、互联网都面临碎</w:t>
      </w:r>
      <w:r>
        <w:rPr>
          <w:rFonts w:ascii="SimSun" w:hAnsi="SimSun" w:eastAsia="SimSun" w:cs="SimSun"/>
          <w:sz w:val="21"/>
          <w:szCs w:val="21"/>
          <w:spacing w:val="16"/>
        </w:rPr>
        <w:t xml:space="preserve"> </w:t>
      </w:r>
      <w:r>
        <w:rPr>
          <w:rFonts w:ascii="SimSun" w:hAnsi="SimSun" w:eastAsia="SimSun" w:cs="SimSun"/>
          <w:sz w:val="21"/>
          <w:szCs w:val="21"/>
          <w:spacing w:val="-11"/>
        </w:rPr>
        <w:t>片化的风险。企业的跨国数字经济行为，不论是数字赋能、数字可交</w:t>
      </w:r>
      <w:r>
        <w:rPr>
          <w:rFonts w:ascii="SimSun" w:hAnsi="SimSun" w:eastAsia="SimSun" w:cs="SimSun"/>
          <w:sz w:val="21"/>
          <w:szCs w:val="21"/>
          <w:spacing w:val="17"/>
        </w:rPr>
        <w:t xml:space="preserve"> </w:t>
      </w:r>
      <w:r>
        <w:rPr>
          <w:rFonts w:ascii="SimSun" w:hAnsi="SimSun" w:eastAsia="SimSun" w:cs="SimSun"/>
          <w:sz w:val="21"/>
          <w:szCs w:val="21"/>
          <w:spacing w:val="-10"/>
        </w:rPr>
        <w:t>付，还是并购初创企业、境外融资，都必须以</w:t>
      </w:r>
      <w:r>
        <w:rPr>
          <w:rFonts w:ascii="SimSun" w:hAnsi="SimSun" w:eastAsia="SimSun" w:cs="SimSun"/>
          <w:sz w:val="21"/>
          <w:szCs w:val="21"/>
          <w:spacing w:val="-11"/>
        </w:rPr>
        <w:t>获得交易过程相关国家</w:t>
      </w:r>
      <w:r>
        <w:rPr>
          <w:rFonts w:ascii="SimSun" w:hAnsi="SimSun" w:eastAsia="SimSun" w:cs="SimSun"/>
          <w:sz w:val="21"/>
          <w:szCs w:val="21"/>
        </w:rPr>
        <w:t xml:space="preserve"> </w:t>
      </w:r>
      <w:r>
        <w:rPr>
          <w:rFonts w:ascii="SimSun" w:hAnsi="SimSun" w:eastAsia="SimSun" w:cs="SimSun"/>
          <w:sz w:val="21"/>
          <w:szCs w:val="21"/>
          <w:spacing w:val="-10"/>
        </w:rPr>
        <w:t>的监管许可为前提。又如，云计算和大数据中心是数字企业</w:t>
      </w:r>
      <w:r>
        <w:rPr>
          <w:rFonts w:ascii="SimSun" w:hAnsi="SimSun" w:eastAsia="SimSun" w:cs="SimSun"/>
          <w:sz w:val="21"/>
          <w:szCs w:val="21"/>
          <w:spacing w:val="-11"/>
        </w:rPr>
        <w:t>提供算力</w:t>
      </w:r>
      <w:r>
        <w:rPr>
          <w:rFonts w:ascii="SimSun" w:hAnsi="SimSun" w:eastAsia="SimSun" w:cs="SimSun"/>
          <w:sz w:val="21"/>
          <w:szCs w:val="21"/>
        </w:rPr>
        <w:t xml:space="preserve"> </w:t>
      </w:r>
      <w:r>
        <w:rPr>
          <w:rFonts w:ascii="SimSun" w:hAnsi="SimSun" w:eastAsia="SimSun" w:cs="SimSun"/>
          <w:sz w:val="21"/>
          <w:szCs w:val="21"/>
          <w:spacing w:val="-11"/>
        </w:rPr>
        <w:t>服务所依赖的基础设施，其跨国布局事关管辖区的市场准入、运营监</w:t>
      </w:r>
      <w:r>
        <w:rPr>
          <w:rFonts w:ascii="SimSun" w:hAnsi="SimSun" w:eastAsia="SimSun" w:cs="SimSun"/>
          <w:sz w:val="21"/>
          <w:szCs w:val="21"/>
          <w:spacing w:val="17"/>
        </w:rPr>
        <w:t xml:space="preserve"> </w:t>
      </w:r>
      <w:r>
        <w:rPr>
          <w:rFonts w:ascii="SimSun" w:hAnsi="SimSun" w:eastAsia="SimSun" w:cs="SimSun"/>
          <w:sz w:val="21"/>
          <w:szCs w:val="21"/>
          <w:spacing w:val="-10"/>
        </w:rPr>
        <w:t>管政策，而这些政策的选择往往以国别而不</w:t>
      </w:r>
      <w:r>
        <w:rPr>
          <w:rFonts w:ascii="SimSun" w:hAnsi="SimSun" w:eastAsia="SimSun" w:cs="SimSun"/>
          <w:sz w:val="21"/>
          <w:szCs w:val="21"/>
          <w:spacing w:val="-11"/>
        </w:rPr>
        <w:t>是网络空间的全球性作为</w:t>
      </w:r>
      <w:r>
        <w:rPr>
          <w:rFonts w:ascii="SimSun" w:hAnsi="SimSun" w:eastAsia="SimSun" w:cs="SimSun"/>
          <w:sz w:val="21"/>
          <w:szCs w:val="21"/>
        </w:rPr>
        <w:t xml:space="preserve"> </w:t>
      </w:r>
      <w:r>
        <w:rPr>
          <w:rFonts w:ascii="SimSun" w:hAnsi="SimSun" w:eastAsia="SimSun" w:cs="SimSun"/>
          <w:sz w:val="21"/>
          <w:szCs w:val="21"/>
          <w:spacing w:val="-8"/>
        </w:rPr>
        <w:t>分界点。</w:t>
      </w:r>
    </w:p>
    <w:p>
      <w:pPr>
        <w:ind w:firstLine="440"/>
        <w:spacing w:before="170" w:line="304" w:lineRule="auto"/>
        <w:jc w:val="both"/>
        <w:rPr>
          <w:rFonts w:ascii="SimSun" w:hAnsi="SimSun" w:eastAsia="SimSun" w:cs="SimSun"/>
          <w:sz w:val="21"/>
          <w:szCs w:val="21"/>
        </w:rPr>
      </w:pPr>
      <w:r>
        <w:rPr>
          <w:rFonts w:ascii="SimSun" w:hAnsi="SimSun" w:eastAsia="SimSun" w:cs="SimSun"/>
          <w:sz w:val="21"/>
          <w:szCs w:val="21"/>
          <w:spacing w:val="-11"/>
        </w:rPr>
        <w:t>尽管如此，我们也必须同时看到，“地缘政治”这个分析视角适</w:t>
      </w:r>
      <w:r>
        <w:rPr>
          <w:rFonts w:ascii="SimSun" w:hAnsi="SimSun" w:eastAsia="SimSun" w:cs="SimSun"/>
          <w:sz w:val="21"/>
          <w:szCs w:val="21"/>
          <w:spacing w:val="14"/>
        </w:rPr>
        <w:t xml:space="preserve"> </w:t>
      </w:r>
      <w:r>
        <w:rPr>
          <w:rFonts w:ascii="SimSun" w:hAnsi="SimSun" w:eastAsia="SimSun" w:cs="SimSun"/>
          <w:sz w:val="21"/>
          <w:szCs w:val="21"/>
          <w:spacing w:val="-10"/>
        </w:rPr>
        <w:t>用于观察和分享包括中国在内所有国家的涉</w:t>
      </w:r>
      <w:r>
        <w:rPr>
          <w:rFonts w:ascii="SimSun" w:hAnsi="SimSun" w:eastAsia="SimSun" w:cs="SimSun"/>
          <w:sz w:val="21"/>
          <w:szCs w:val="21"/>
          <w:spacing w:val="-11"/>
        </w:rPr>
        <w:t>外经济政策。国际经济格 </w:t>
      </w:r>
      <w:r>
        <w:rPr>
          <w:rFonts w:ascii="SimSun" w:hAnsi="SimSun" w:eastAsia="SimSun" w:cs="SimSun"/>
          <w:sz w:val="21"/>
          <w:szCs w:val="21"/>
          <w:spacing w:val="-8"/>
        </w:rPr>
        <w:t>局演变的本质依然是在相互依存的国际体系中谋求自身的发展机遇。</w:t>
      </w:r>
      <w:r>
        <w:rPr>
          <w:rFonts w:ascii="SimSun" w:hAnsi="SimSun" w:eastAsia="SimSun" w:cs="SimSun"/>
          <w:sz w:val="21"/>
          <w:szCs w:val="21"/>
          <w:spacing w:val="3"/>
        </w:rPr>
        <w:t xml:space="preserve"> </w:t>
      </w:r>
      <w:r>
        <w:rPr>
          <w:rFonts w:ascii="SimSun" w:hAnsi="SimSun" w:eastAsia="SimSun" w:cs="SimSun"/>
          <w:sz w:val="21"/>
          <w:szCs w:val="21"/>
          <w:spacing w:val="-10"/>
        </w:rPr>
        <w:t>就研判中国所面临的外部世界地缘政治环境</w:t>
      </w:r>
      <w:r>
        <w:rPr>
          <w:rFonts w:ascii="SimSun" w:hAnsi="SimSun" w:eastAsia="SimSun" w:cs="SimSun"/>
          <w:sz w:val="21"/>
          <w:szCs w:val="21"/>
          <w:spacing w:val="-11"/>
        </w:rPr>
        <w:t>而言，我们的基本思路应 </w:t>
      </w:r>
      <w:r>
        <w:rPr>
          <w:rFonts w:ascii="SimSun" w:hAnsi="SimSun" w:eastAsia="SimSun" w:cs="SimSun"/>
          <w:sz w:val="21"/>
          <w:szCs w:val="21"/>
          <w:spacing w:val="-10"/>
        </w:rPr>
        <w:t>该是基于数字经济在全球层面相互依存的本</w:t>
      </w:r>
      <w:r>
        <w:rPr>
          <w:rFonts w:ascii="SimSun" w:hAnsi="SimSun" w:eastAsia="SimSun" w:cs="SimSun"/>
          <w:sz w:val="21"/>
          <w:szCs w:val="21"/>
          <w:spacing w:val="-11"/>
        </w:rPr>
        <w:t>质，通过参与国际规则的 </w:t>
      </w:r>
      <w:r>
        <w:rPr>
          <w:rFonts w:ascii="SimSun" w:hAnsi="SimSun" w:eastAsia="SimSun" w:cs="SimSun"/>
          <w:sz w:val="21"/>
          <w:szCs w:val="21"/>
          <w:spacing w:val="-10"/>
        </w:rPr>
        <w:t>形成而对不友善的一方形成制度性牵制。更为重要的是，要聚焦国内</w:t>
      </w:r>
      <w:r>
        <w:rPr>
          <w:rFonts w:ascii="SimSun" w:hAnsi="SimSun" w:eastAsia="SimSun" w:cs="SimSun"/>
          <w:sz w:val="21"/>
          <w:szCs w:val="21"/>
          <w:spacing w:val="6"/>
        </w:rPr>
        <w:t xml:space="preserve"> </w:t>
      </w:r>
      <w:r>
        <w:rPr>
          <w:rFonts w:ascii="SimSun" w:hAnsi="SimSun" w:eastAsia="SimSun" w:cs="SimSun"/>
          <w:sz w:val="21"/>
          <w:szCs w:val="21"/>
          <w:spacing w:val="-10"/>
        </w:rPr>
        <w:t>数字经济治理的调整，在数字治理和数字贸</w:t>
      </w:r>
      <w:r>
        <w:rPr>
          <w:rFonts w:ascii="SimSun" w:hAnsi="SimSun" w:eastAsia="SimSun" w:cs="SimSun"/>
          <w:sz w:val="21"/>
          <w:szCs w:val="21"/>
          <w:spacing w:val="-11"/>
        </w:rPr>
        <w:t>易政策领域对尽可能多的 </w:t>
      </w:r>
      <w:r>
        <w:rPr>
          <w:rFonts w:ascii="SimSun" w:hAnsi="SimSun" w:eastAsia="SimSun" w:cs="SimSun"/>
          <w:sz w:val="21"/>
          <w:szCs w:val="21"/>
          <w:spacing w:val="-11"/>
        </w:rPr>
        <w:t>国家提高兼容程度。这才是地缘经济、地缘政治分析的落脚点。</w:t>
      </w:r>
    </w:p>
    <w:p>
      <w:pPr>
        <w:pStyle w:val="BodyText"/>
        <w:spacing w:line="353" w:lineRule="auto"/>
        <w:rPr/>
      </w:pPr>
      <w:r/>
    </w:p>
    <w:p>
      <w:pPr>
        <w:ind w:left="1804"/>
        <w:spacing w:before="107" w:line="219" w:lineRule="auto"/>
        <w:rPr>
          <w:rFonts w:ascii="SimSun" w:hAnsi="SimSun" w:eastAsia="SimSun" w:cs="SimSun"/>
          <w:sz w:val="33"/>
          <w:szCs w:val="33"/>
        </w:rPr>
      </w:pPr>
      <w:r>
        <w:rPr>
          <w:rFonts w:ascii="SimSun" w:hAnsi="SimSun" w:eastAsia="SimSun" w:cs="SimSun"/>
          <w:sz w:val="33"/>
          <w:szCs w:val="33"/>
          <w:b/>
          <w:bCs/>
          <w:spacing w:val="-15"/>
        </w:rPr>
        <w:t>国际数字贸易规则</w:t>
      </w:r>
    </w:p>
    <w:p>
      <w:pPr>
        <w:pStyle w:val="BodyText"/>
        <w:spacing w:line="266" w:lineRule="auto"/>
        <w:rPr/>
      </w:pPr>
      <w:r/>
    </w:p>
    <w:p>
      <w:pPr>
        <w:ind w:right="36" w:firstLine="440"/>
        <w:spacing w:before="68" w:line="297" w:lineRule="auto"/>
        <w:jc w:val="both"/>
        <w:rPr>
          <w:rFonts w:ascii="SimSun" w:hAnsi="SimSun" w:eastAsia="SimSun" w:cs="SimSun"/>
          <w:sz w:val="21"/>
          <w:szCs w:val="21"/>
        </w:rPr>
      </w:pPr>
      <w:r>
        <w:rPr>
          <w:rFonts w:ascii="SimSun" w:hAnsi="SimSun" w:eastAsia="SimSun" w:cs="SimSun"/>
          <w:sz w:val="21"/>
          <w:szCs w:val="21"/>
          <w:spacing w:val="-3"/>
        </w:rPr>
        <w:t>讨论国际数字贸易规则所面临的一大难题是如何对数据进</w:t>
      </w:r>
      <w:r>
        <w:rPr>
          <w:rFonts w:ascii="SimSun" w:hAnsi="SimSun" w:eastAsia="SimSun" w:cs="SimSun"/>
          <w:sz w:val="21"/>
          <w:szCs w:val="21"/>
          <w:spacing w:val="-4"/>
        </w:rPr>
        <w:t>行分</w:t>
      </w:r>
      <w:r>
        <w:rPr>
          <w:rFonts w:ascii="SimSun" w:hAnsi="SimSun" w:eastAsia="SimSun" w:cs="SimSun"/>
          <w:sz w:val="21"/>
          <w:szCs w:val="21"/>
        </w:rPr>
        <w:t xml:space="preserve"> </w:t>
      </w:r>
      <w:r>
        <w:rPr>
          <w:rFonts w:ascii="SimSun" w:hAnsi="SimSun" w:eastAsia="SimSun" w:cs="SimSun"/>
          <w:sz w:val="21"/>
          <w:szCs w:val="21"/>
          <w:spacing w:val="-11"/>
        </w:rPr>
        <w:t>类。例如，收集数据是出于商业目的还是公共目的，数据是被</w:t>
      </w:r>
      <w:r>
        <w:rPr>
          <w:rFonts w:ascii="SimSun" w:hAnsi="SimSun" w:eastAsia="SimSun" w:cs="SimSun"/>
          <w:sz w:val="21"/>
          <w:szCs w:val="21"/>
          <w:u w:val="single" w:color="auto"/>
          <w:spacing w:val="-11"/>
        </w:rPr>
        <w:t>企业还</w:t>
      </w:r>
      <w:r>
        <w:rPr>
          <w:rFonts w:ascii="SimSun" w:hAnsi="SimSun" w:eastAsia="SimSun" w:cs="SimSun"/>
          <w:sz w:val="21"/>
          <w:szCs w:val="21"/>
          <w:spacing w:val="17"/>
        </w:rPr>
        <w:t xml:space="preserve"> </w:t>
      </w:r>
      <w:r>
        <w:rPr>
          <w:rFonts w:ascii="SimSun" w:hAnsi="SimSun" w:eastAsia="SimSun" w:cs="SimSun"/>
          <w:sz w:val="21"/>
          <w:szCs w:val="21"/>
          <w:spacing w:val="-11"/>
        </w:rPr>
        <w:t>是公共部门使用，数据是即时数据还是历史数据，数据是敏感数据还</w:t>
      </w:r>
      <w:r>
        <w:rPr>
          <w:rFonts w:ascii="SimSun" w:hAnsi="SimSun" w:eastAsia="SimSun" w:cs="SimSun"/>
          <w:sz w:val="21"/>
          <w:szCs w:val="21"/>
          <w:spacing w:val="17"/>
        </w:rPr>
        <w:t xml:space="preserve"> </w:t>
      </w:r>
      <w:r>
        <w:rPr>
          <w:rFonts w:ascii="SimSun" w:hAnsi="SimSun" w:eastAsia="SimSun" w:cs="SimSun"/>
          <w:sz w:val="21"/>
          <w:szCs w:val="21"/>
          <w:spacing w:val="-4"/>
        </w:rPr>
        <w:t>是非敏感数据，数据是个人数据还是非个人数据，等等。在一国之</w:t>
      </w:r>
      <w:r>
        <w:rPr>
          <w:rFonts w:ascii="SimSun" w:hAnsi="SimSun" w:eastAsia="SimSun" w:cs="SimSun"/>
          <w:sz w:val="21"/>
          <w:szCs w:val="21"/>
          <w:spacing w:val="13"/>
        </w:rPr>
        <w:t xml:space="preserve"> </w:t>
      </w:r>
      <w:r>
        <w:rPr>
          <w:rFonts w:ascii="SimSun" w:hAnsi="SimSun" w:eastAsia="SimSun" w:cs="SimSun"/>
          <w:sz w:val="21"/>
          <w:szCs w:val="21"/>
          <w:spacing w:val="-10"/>
        </w:rPr>
        <w:t>内，数据分类事关如何从监管入手处理数据收集、使用的规则；在国</w:t>
      </w:r>
      <w:r>
        <w:rPr>
          <w:rFonts w:ascii="SimSun" w:hAnsi="SimSun" w:eastAsia="SimSun" w:cs="SimSun"/>
          <w:sz w:val="21"/>
          <w:szCs w:val="21"/>
        </w:rPr>
        <w:t xml:space="preserve"> </w:t>
      </w:r>
      <w:r>
        <w:rPr>
          <w:rFonts w:ascii="SimSun" w:hAnsi="SimSun" w:eastAsia="SimSun" w:cs="SimSun"/>
          <w:sz w:val="21"/>
          <w:szCs w:val="21"/>
          <w:spacing w:val="-10"/>
        </w:rPr>
        <w:t>际层面，不同的分类与境外访问权限设置高度相关。处理国家</w:t>
      </w:r>
      <w:r>
        <w:rPr>
          <w:rFonts w:ascii="SimSun" w:hAnsi="SimSun" w:eastAsia="SimSun" w:cs="SimSun"/>
          <w:sz w:val="21"/>
          <w:szCs w:val="21"/>
          <w:spacing w:val="-11"/>
        </w:rPr>
        <w:t>间关系</w:t>
      </w:r>
      <w:r>
        <w:rPr>
          <w:rFonts w:ascii="SimSun" w:hAnsi="SimSun" w:eastAsia="SimSun" w:cs="SimSun"/>
          <w:sz w:val="21"/>
          <w:szCs w:val="21"/>
        </w:rPr>
        <w:t xml:space="preserve"> </w:t>
      </w:r>
      <w:r>
        <w:rPr>
          <w:rFonts w:ascii="SimSun" w:hAnsi="SimSun" w:eastAsia="SimSun" w:cs="SimSun"/>
          <w:sz w:val="21"/>
          <w:szCs w:val="21"/>
          <w:spacing w:val="-11"/>
        </w:rPr>
        <w:t>的基本原则是尊重对方的管辖权，所以难以形成全球统一的数据分类</w:t>
      </w:r>
      <w:r>
        <w:rPr>
          <w:rFonts w:ascii="SimSun" w:hAnsi="SimSun" w:eastAsia="SimSun" w:cs="SimSun"/>
          <w:sz w:val="21"/>
          <w:szCs w:val="21"/>
          <w:spacing w:val="17"/>
        </w:rPr>
        <w:t xml:space="preserve"> </w:t>
      </w:r>
      <w:r>
        <w:rPr>
          <w:rFonts w:ascii="SimSun" w:hAnsi="SimSun" w:eastAsia="SimSun" w:cs="SimSun"/>
          <w:sz w:val="21"/>
          <w:szCs w:val="21"/>
          <w:spacing w:val="-4"/>
        </w:rPr>
        <w:t>标准。</w:t>
      </w:r>
    </w:p>
    <w:p>
      <w:pPr>
        <w:spacing w:line="297" w:lineRule="auto"/>
        <w:sectPr>
          <w:headerReference w:type="default" r:id="rId295"/>
          <w:pgSz w:w="7330" w:h="12480"/>
          <w:pgMar w:top="549" w:right="505" w:bottom="400" w:left="759" w:header="385"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187" w:firstLine="399"/>
        <w:spacing w:before="68" w:line="300" w:lineRule="auto"/>
        <w:jc w:val="both"/>
        <w:rPr>
          <w:rFonts w:ascii="SimSun" w:hAnsi="SimSun" w:eastAsia="SimSun" w:cs="SimSun"/>
          <w:sz w:val="21"/>
          <w:szCs w:val="21"/>
        </w:rPr>
      </w:pPr>
      <w:r>
        <w:rPr>
          <w:rFonts w:ascii="SimSun" w:hAnsi="SimSun" w:eastAsia="SimSun" w:cs="SimSun"/>
          <w:sz w:val="21"/>
          <w:szCs w:val="21"/>
          <w:spacing w:val="-10"/>
        </w:rPr>
        <w:t>国际上近年出现了一种看法：数据已成为“21世纪的石油”。虽</w:t>
      </w:r>
      <w:r>
        <w:rPr>
          <w:rFonts w:ascii="SimSun" w:hAnsi="SimSun" w:eastAsia="SimSun" w:cs="SimSun"/>
          <w:sz w:val="21"/>
          <w:szCs w:val="21"/>
          <w:spacing w:val="1"/>
        </w:rPr>
        <w:t xml:space="preserve"> </w:t>
      </w:r>
      <w:r>
        <w:rPr>
          <w:rFonts w:ascii="SimSun" w:hAnsi="SimSun" w:eastAsia="SimSun" w:cs="SimSun"/>
          <w:sz w:val="21"/>
          <w:szCs w:val="21"/>
          <w:spacing w:val="-10"/>
        </w:rPr>
        <w:t>然数据在当今和未来经济社会生活中的不可</w:t>
      </w:r>
      <w:r>
        <w:rPr>
          <w:rFonts w:ascii="SimSun" w:hAnsi="SimSun" w:eastAsia="SimSun" w:cs="SimSun"/>
          <w:sz w:val="21"/>
          <w:szCs w:val="21"/>
          <w:spacing w:val="-11"/>
        </w:rPr>
        <w:t>或缺性与石油自工业化初</w:t>
      </w:r>
      <w:r>
        <w:rPr>
          <w:rFonts w:ascii="SimSun" w:hAnsi="SimSun" w:eastAsia="SimSun" w:cs="SimSun"/>
          <w:sz w:val="21"/>
          <w:szCs w:val="21"/>
        </w:rPr>
        <w:t xml:space="preserve"> </w:t>
      </w:r>
      <w:r>
        <w:rPr>
          <w:rFonts w:ascii="SimSun" w:hAnsi="SimSun" w:eastAsia="SimSun" w:cs="SimSun"/>
          <w:sz w:val="21"/>
          <w:szCs w:val="21"/>
          <w:spacing w:val="-11"/>
        </w:rPr>
        <w:t>期以来的关键性可以比拟，经济数据化的发展方向也不可逆，但一个</w:t>
      </w:r>
      <w:r>
        <w:rPr>
          <w:rFonts w:ascii="SimSun" w:hAnsi="SimSun" w:eastAsia="SimSun" w:cs="SimSun"/>
          <w:sz w:val="21"/>
          <w:szCs w:val="21"/>
          <w:spacing w:val="17"/>
        </w:rPr>
        <w:t xml:space="preserve"> </w:t>
      </w:r>
      <w:r>
        <w:rPr>
          <w:rFonts w:ascii="SimSun" w:hAnsi="SimSun" w:eastAsia="SimSun" w:cs="SimSun"/>
          <w:sz w:val="21"/>
          <w:szCs w:val="21"/>
          <w:spacing w:val="-10"/>
        </w:rPr>
        <w:t>具体数据流向他国并不像石油那样因易手而“</w:t>
      </w:r>
      <w:r>
        <w:rPr>
          <w:rFonts w:ascii="SimSun" w:hAnsi="SimSun" w:eastAsia="SimSun" w:cs="SimSun"/>
          <w:sz w:val="21"/>
          <w:szCs w:val="21"/>
          <w:spacing w:val="-11"/>
        </w:rPr>
        <w:t>失去”。这是因为数据</w:t>
      </w:r>
      <w:r>
        <w:rPr>
          <w:rFonts w:ascii="SimSun" w:hAnsi="SimSun" w:eastAsia="SimSun" w:cs="SimSun"/>
          <w:sz w:val="21"/>
          <w:szCs w:val="21"/>
        </w:rPr>
        <w:t xml:space="preserve"> </w:t>
      </w:r>
      <w:r>
        <w:rPr>
          <w:rFonts w:ascii="SimSun" w:hAnsi="SimSun" w:eastAsia="SimSun" w:cs="SimSun"/>
          <w:sz w:val="21"/>
          <w:szCs w:val="21"/>
          <w:spacing w:val="-11"/>
        </w:rPr>
        <w:t>的生产方有备份留存的选项，购买方支付的是使用费，而被出售的数</w:t>
      </w:r>
      <w:r>
        <w:rPr>
          <w:rFonts w:ascii="SimSun" w:hAnsi="SimSun" w:eastAsia="SimSun" w:cs="SimSun"/>
          <w:sz w:val="21"/>
          <w:szCs w:val="21"/>
          <w:spacing w:val="17"/>
        </w:rPr>
        <w:t xml:space="preserve"> </w:t>
      </w:r>
      <w:r>
        <w:rPr>
          <w:rFonts w:ascii="SimSun" w:hAnsi="SimSun" w:eastAsia="SimSun" w:cs="SimSun"/>
          <w:sz w:val="21"/>
          <w:szCs w:val="21"/>
          <w:spacing w:val="-12"/>
        </w:rPr>
        <w:t>据依然留在销售方并继续为其产生价值。</w:t>
      </w:r>
    </w:p>
    <w:p>
      <w:pPr>
        <w:ind w:right="134" w:firstLine="399"/>
        <w:spacing w:before="116" w:line="302" w:lineRule="auto"/>
        <w:jc w:val="both"/>
        <w:rPr>
          <w:rFonts w:ascii="SimSun" w:hAnsi="SimSun" w:eastAsia="SimSun" w:cs="SimSun"/>
          <w:sz w:val="21"/>
          <w:szCs w:val="21"/>
        </w:rPr>
      </w:pPr>
      <w:r>
        <w:rPr>
          <w:rFonts w:ascii="SimSun" w:hAnsi="SimSun" w:eastAsia="SimSun" w:cs="SimSun"/>
          <w:sz w:val="21"/>
          <w:szCs w:val="21"/>
          <w:spacing w:val="-10"/>
        </w:rPr>
        <w:t>从国际政治经济学的角度讨论全球数据治理时，</w:t>
      </w:r>
      <w:r>
        <w:rPr>
          <w:rFonts w:ascii="SimSun" w:hAnsi="SimSun" w:eastAsia="SimSun" w:cs="SimSun"/>
          <w:sz w:val="21"/>
          <w:szCs w:val="21"/>
          <w:spacing w:val="-11"/>
        </w:rPr>
        <w:t>将数据视为一种</w:t>
      </w:r>
      <w:r>
        <w:rPr>
          <w:rFonts w:ascii="SimSun" w:hAnsi="SimSun" w:eastAsia="SimSun" w:cs="SimSun"/>
          <w:sz w:val="21"/>
          <w:szCs w:val="21"/>
        </w:rPr>
        <w:t xml:space="preserve"> </w:t>
      </w:r>
      <w:r>
        <w:rPr>
          <w:rFonts w:ascii="SimSun" w:hAnsi="SimSun" w:eastAsia="SimSun" w:cs="SimSun"/>
          <w:sz w:val="21"/>
          <w:szCs w:val="21"/>
          <w:spacing w:val="-2"/>
        </w:rPr>
        <w:t>(全球)公共品有助于拓展在全球范围共享的数据范畴和数据量，从</w:t>
      </w:r>
      <w:r>
        <w:rPr>
          <w:rFonts w:ascii="SimSun" w:hAnsi="SimSun" w:eastAsia="SimSun" w:cs="SimSun"/>
          <w:sz w:val="21"/>
          <w:szCs w:val="21"/>
          <w:spacing w:val="13"/>
        </w:rPr>
        <w:t xml:space="preserve"> </w:t>
      </w:r>
      <w:r>
        <w:rPr>
          <w:rFonts w:ascii="SimSun" w:hAnsi="SimSun" w:eastAsia="SimSun" w:cs="SimSun"/>
          <w:sz w:val="21"/>
          <w:szCs w:val="21"/>
          <w:spacing w:val="-7"/>
        </w:rPr>
        <w:t>而促成开发有助于应对全球重大发展挑战(贫困、健康、饥饿和气候</w:t>
      </w:r>
      <w:r>
        <w:rPr>
          <w:rFonts w:ascii="SimSun" w:hAnsi="SimSun" w:eastAsia="SimSun" w:cs="SimSun"/>
          <w:sz w:val="21"/>
          <w:szCs w:val="21"/>
          <w:spacing w:val="2"/>
        </w:rPr>
        <w:t xml:space="preserve"> </w:t>
      </w:r>
      <w:r>
        <w:rPr>
          <w:rFonts w:ascii="SimSun" w:hAnsi="SimSun" w:eastAsia="SimSun" w:cs="SimSun"/>
          <w:sz w:val="21"/>
          <w:szCs w:val="21"/>
          <w:spacing w:val="-7"/>
        </w:rPr>
        <w:t>变化等)的公共品。到目前为止，这种认知所体现的更多是一种学术</w:t>
      </w:r>
      <w:r>
        <w:rPr>
          <w:rFonts w:ascii="SimSun" w:hAnsi="SimSun" w:eastAsia="SimSun" w:cs="SimSun"/>
          <w:sz w:val="21"/>
          <w:szCs w:val="21"/>
          <w:spacing w:val="3"/>
        </w:rPr>
        <w:t xml:space="preserve"> </w:t>
      </w:r>
      <w:r>
        <w:rPr>
          <w:rFonts w:ascii="SimSun" w:hAnsi="SimSun" w:eastAsia="SimSun" w:cs="SimSun"/>
          <w:sz w:val="21"/>
          <w:szCs w:val="21"/>
          <w:spacing w:val="-11"/>
        </w:rPr>
        <w:t>理念，但它有利于为国际合作和国内善治两个层面的数字治理所追求</w:t>
      </w:r>
      <w:r>
        <w:rPr>
          <w:rFonts w:ascii="SimSun" w:hAnsi="SimSun" w:eastAsia="SimSun" w:cs="SimSun"/>
          <w:sz w:val="21"/>
          <w:szCs w:val="21"/>
          <w:spacing w:val="18"/>
        </w:rPr>
        <w:t xml:space="preserve"> </w:t>
      </w:r>
      <w:r>
        <w:rPr>
          <w:rFonts w:ascii="SimSun" w:hAnsi="SimSun" w:eastAsia="SimSun" w:cs="SimSun"/>
          <w:sz w:val="21"/>
          <w:szCs w:val="21"/>
          <w:spacing w:val="-11"/>
        </w:rPr>
        <w:t>的广度设置边际，也有利于鼓励数字企业在其谋利过程中为社会提供</w:t>
      </w:r>
      <w:r>
        <w:rPr>
          <w:rFonts w:ascii="SimSun" w:hAnsi="SimSun" w:eastAsia="SimSun" w:cs="SimSun"/>
          <w:sz w:val="21"/>
          <w:szCs w:val="21"/>
          <w:spacing w:val="15"/>
        </w:rPr>
        <w:t xml:space="preserve"> </w:t>
      </w:r>
      <w:r>
        <w:rPr>
          <w:rFonts w:ascii="SimSun" w:hAnsi="SimSun" w:eastAsia="SimSun" w:cs="SimSun"/>
          <w:sz w:val="21"/>
          <w:szCs w:val="21"/>
          <w:spacing w:val="-12"/>
        </w:rPr>
        <w:t>公共品，提高自我治理的社会认可程度。</w:t>
      </w:r>
    </w:p>
    <w:p>
      <w:pPr>
        <w:ind w:firstLine="399"/>
        <w:spacing w:before="106" w:line="308" w:lineRule="auto"/>
        <w:jc w:val="both"/>
        <w:rPr>
          <w:rFonts w:ascii="SimSun" w:hAnsi="SimSun" w:eastAsia="SimSun" w:cs="SimSun"/>
          <w:sz w:val="21"/>
          <w:szCs w:val="21"/>
        </w:rPr>
      </w:pPr>
      <w:r>
        <w:rPr>
          <w:rFonts w:ascii="SimSun" w:hAnsi="SimSun" w:eastAsia="SimSun" w:cs="SimSun"/>
          <w:sz w:val="21"/>
          <w:szCs w:val="21"/>
          <w:spacing w:val="-11"/>
        </w:rPr>
        <w:t>接下来的讨论还是有必要从几个基础性概念开始。“经济数字化”</w:t>
      </w:r>
      <w:r>
        <w:rPr>
          <w:rFonts w:ascii="SimSun" w:hAnsi="SimSun" w:eastAsia="SimSun" w:cs="SimSun"/>
          <w:sz w:val="21"/>
          <w:szCs w:val="21"/>
          <w:spacing w:val="7"/>
        </w:rPr>
        <w:t xml:space="preserve"> </w:t>
      </w:r>
      <w:r>
        <w:rPr>
          <w:rFonts w:ascii="SimSun" w:hAnsi="SimSun" w:eastAsia="SimSun" w:cs="SimSun"/>
          <w:sz w:val="21"/>
          <w:szCs w:val="21"/>
          <w:spacing w:val="-11"/>
        </w:rPr>
        <w:t>至少包含两大领域：“数据赋能”涵盖跨境商务，数字技术的运用为</w:t>
      </w:r>
      <w:r>
        <w:rPr>
          <w:rFonts w:ascii="SimSun" w:hAnsi="SimSun" w:eastAsia="SimSun" w:cs="SimSun"/>
          <w:sz w:val="21"/>
          <w:szCs w:val="21"/>
        </w:rPr>
        <w:t xml:space="preserve">   </w:t>
      </w:r>
      <w:r>
        <w:rPr>
          <w:rFonts w:ascii="SimSun" w:hAnsi="SimSun" w:eastAsia="SimSun" w:cs="SimSun"/>
          <w:sz w:val="21"/>
          <w:szCs w:val="21"/>
          <w:spacing w:val="-11"/>
        </w:rPr>
        <w:t>实体经济行为增添了方便和活力，载体以实物类商品为主；“数字可</w:t>
      </w:r>
      <w:r>
        <w:rPr>
          <w:rFonts w:ascii="SimSun" w:hAnsi="SimSun" w:eastAsia="SimSun" w:cs="SimSun"/>
          <w:sz w:val="21"/>
          <w:szCs w:val="21"/>
          <w:spacing w:val="5"/>
        </w:rPr>
        <w:t xml:space="preserve">   </w:t>
      </w:r>
      <w:r>
        <w:rPr>
          <w:rFonts w:ascii="SimSun" w:hAnsi="SimSun" w:eastAsia="SimSun" w:cs="SimSun"/>
          <w:sz w:val="21"/>
          <w:szCs w:val="21"/>
          <w:spacing w:val="-11"/>
        </w:rPr>
        <w:t>交付”则包括电信、计算机和信息服务、文化娱乐、知识产权、保险</w:t>
      </w:r>
      <w:r>
        <w:rPr>
          <w:rFonts w:ascii="SimSun" w:hAnsi="SimSun" w:eastAsia="SimSun" w:cs="SimSun"/>
          <w:sz w:val="21"/>
          <w:szCs w:val="21"/>
          <w:spacing w:val="5"/>
        </w:rPr>
        <w:t xml:space="preserve">   </w:t>
      </w:r>
      <w:r>
        <w:rPr>
          <w:rFonts w:ascii="SimSun" w:hAnsi="SimSun" w:eastAsia="SimSun" w:cs="SimSun"/>
          <w:sz w:val="21"/>
          <w:szCs w:val="21"/>
          <w:spacing w:val="-11"/>
        </w:rPr>
        <w:t>和金融服务等服务贸易行为，载体以信息等知识类商品为主。“平台</w:t>
      </w:r>
      <w:r>
        <w:rPr>
          <w:rFonts w:ascii="SimSun" w:hAnsi="SimSun" w:eastAsia="SimSun" w:cs="SimSun"/>
          <w:sz w:val="21"/>
          <w:szCs w:val="21"/>
          <w:spacing w:val="3"/>
        </w:rPr>
        <w:t xml:space="preserve">   </w:t>
      </w:r>
      <w:r>
        <w:rPr>
          <w:rFonts w:ascii="SimSun" w:hAnsi="SimSun" w:eastAsia="SimSun" w:cs="SimSun"/>
          <w:sz w:val="21"/>
          <w:szCs w:val="21"/>
          <w:spacing w:val="-3"/>
        </w:rPr>
        <w:t>化数字服务”是对近20年新兴的跨境商业行为的归类，主</w:t>
      </w:r>
      <w:r>
        <w:rPr>
          <w:rFonts w:ascii="SimSun" w:hAnsi="SimSun" w:eastAsia="SimSun" w:cs="SimSun"/>
          <w:sz w:val="21"/>
          <w:szCs w:val="21"/>
          <w:spacing w:val="-4"/>
        </w:rPr>
        <w:t>要指搜索  </w:t>
      </w:r>
      <w:r>
        <w:rPr>
          <w:rFonts w:ascii="SimSun" w:hAnsi="SimSun" w:eastAsia="SimSun" w:cs="SimSun"/>
          <w:sz w:val="21"/>
          <w:szCs w:val="21"/>
          <w:spacing w:val="-10"/>
        </w:rPr>
        <w:t>引擎、新闻服务、网络社交平台等不断创新的信息交换行为，其中包  </w:t>
      </w:r>
      <w:r>
        <w:rPr>
          <w:rFonts w:ascii="SimSun" w:hAnsi="SimSun" w:eastAsia="SimSun" w:cs="SimSun"/>
          <w:sz w:val="21"/>
          <w:szCs w:val="21"/>
          <w:spacing w:val="-11"/>
        </w:rPr>
        <w:t>括不以营利为目的的知识服务。“数字数据”指的是为数据分析、人</w:t>
      </w:r>
      <w:r>
        <w:rPr>
          <w:rFonts w:ascii="SimSun" w:hAnsi="SimSun" w:eastAsia="SimSun" w:cs="SimSun"/>
          <w:sz w:val="21"/>
          <w:szCs w:val="21"/>
          <w:spacing w:val="5"/>
        </w:rPr>
        <w:t xml:space="preserve">   </w:t>
      </w:r>
      <w:r>
        <w:rPr>
          <w:rFonts w:ascii="SimSun" w:hAnsi="SimSun" w:eastAsia="SimSun" w:cs="SimSun"/>
          <w:sz w:val="21"/>
          <w:szCs w:val="21"/>
          <w:spacing w:val="-11"/>
        </w:rPr>
        <w:t>工智能、区块链、物联网、云计算和其他基于互联网的服务等提供基</w:t>
      </w:r>
      <w:r>
        <w:rPr>
          <w:rFonts w:ascii="SimSun" w:hAnsi="SimSun" w:eastAsia="SimSun" w:cs="SimSun"/>
          <w:sz w:val="21"/>
          <w:szCs w:val="21"/>
          <w:spacing w:val="5"/>
        </w:rPr>
        <w:t xml:space="preserve">   </w:t>
      </w:r>
      <w:r>
        <w:rPr>
          <w:rFonts w:ascii="SimSun" w:hAnsi="SimSun" w:eastAsia="SimSun" w:cs="SimSun"/>
          <w:sz w:val="21"/>
          <w:szCs w:val="21"/>
          <w:spacing w:val="-10"/>
        </w:rPr>
        <w:t>础的数字量，也是数字经济强国之间竞争的</w:t>
      </w:r>
      <w:r>
        <w:rPr>
          <w:rFonts w:ascii="SimSun" w:hAnsi="SimSun" w:eastAsia="SimSun" w:cs="SimSun"/>
          <w:sz w:val="21"/>
          <w:szCs w:val="21"/>
          <w:spacing w:val="-11"/>
        </w:rPr>
        <w:t>核心领域。这些概念所描</w:t>
      </w:r>
      <w:r>
        <w:rPr>
          <w:rFonts w:ascii="SimSun" w:hAnsi="SimSun" w:eastAsia="SimSun" w:cs="SimSun"/>
          <w:sz w:val="21"/>
          <w:szCs w:val="21"/>
        </w:rPr>
        <w:t xml:space="preserve">  </w:t>
      </w:r>
      <w:r>
        <w:rPr>
          <w:rFonts w:ascii="SimSun" w:hAnsi="SimSun" w:eastAsia="SimSun" w:cs="SimSun"/>
          <w:sz w:val="21"/>
          <w:szCs w:val="21"/>
          <w:spacing w:val="-10"/>
        </w:rPr>
        <w:t>述的现象都是不同国家和社会之间正常交往的一部分。</w:t>
      </w:r>
    </w:p>
    <w:p>
      <w:pPr>
        <w:ind w:right="183" w:firstLine="399"/>
        <w:spacing w:before="112" w:line="284" w:lineRule="auto"/>
        <w:jc w:val="both"/>
        <w:rPr>
          <w:rFonts w:ascii="SimSun" w:hAnsi="SimSun" w:eastAsia="SimSun" w:cs="SimSun"/>
          <w:sz w:val="21"/>
          <w:szCs w:val="21"/>
        </w:rPr>
      </w:pPr>
      <w:r>
        <w:rPr>
          <w:rFonts w:ascii="SimSun" w:hAnsi="SimSun" w:eastAsia="SimSun" w:cs="SimSun"/>
          <w:sz w:val="21"/>
          <w:szCs w:val="21"/>
          <w:spacing w:val="-11"/>
        </w:rPr>
        <w:t>国际数字贸易规则是货物的跨国贸易规则的延伸。传统上，货物</w:t>
      </w:r>
      <w:r>
        <w:rPr>
          <w:rFonts w:ascii="SimSun" w:hAnsi="SimSun" w:eastAsia="SimSun" w:cs="SimSun"/>
          <w:sz w:val="21"/>
          <w:szCs w:val="21"/>
          <w:spacing w:val="17"/>
        </w:rPr>
        <w:t xml:space="preserve"> </w:t>
      </w:r>
      <w:r>
        <w:rPr>
          <w:rFonts w:ascii="SimSun" w:hAnsi="SimSun" w:eastAsia="SimSun" w:cs="SimSun"/>
          <w:sz w:val="21"/>
          <w:szCs w:val="21"/>
          <w:spacing w:val="-11"/>
        </w:rPr>
        <w:t>的跨国贸易由不同国家的进出口双方根据供需对接而形成物流。国际</w:t>
      </w:r>
      <w:r>
        <w:rPr>
          <w:rFonts w:ascii="SimSun" w:hAnsi="SimSun" w:eastAsia="SimSun" w:cs="SimSun"/>
          <w:sz w:val="21"/>
          <w:szCs w:val="21"/>
          <w:spacing w:val="17"/>
        </w:rPr>
        <w:t xml:space="preserve"> </w:t>
      </w:r>
      <w:r>
        <w:rPr>
          <w:rFonts w:ascii="SimSun" w:hAnsi="SimSun" w:eastAsia="SimSun" w:cs="SimSun"/>
          <w:sz w:val="21"/>
          <w:szCs w:val="21"/>
          <w:spacing w:val="-10"/>
        </w:rPr>
        <w:t>陆运、海运、航空、保险市场随之形成，且形成了成熟的</w:t>
      </w:r>
      <w:r>
        <w:rPr>
          <w:rFonts w:ascii="SimSun" w:hAnsi="SimSun" w:eastAsia="SimSun" w:cs="SimSun"/>
          <w:sz w:val="21"/>
          <w:szCs w:val="21"/>
          <w:spacing w:val="-11"/>
        </w:rPr>
        <w:t>规则自理和</w:t>
      </w:r>
    </w:p>
    <w:p>
      <w:pPr>
        <w:spacing w:line="284" w:lineRule="auto"/>
        <w:sectPr>
          <w:headerReference w:type="default" r:id="rId296"/>
          <w:pgSz w:w="7330" w:h="12480"/>
          <w:pgMar w:top="826" w:right="640" w:bottom="400" w:left="510" w:header="652"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13"/>
        <w:spacing w:before="68" w:line="297" w:lineRule="auto"/>
        <w:jc w:val="both"/>
        <w:rPr>
          <w:rFonts w:ascii="SimSun" w:hAnsi="SimSun" w:eastAsia="SimSun" w:cs="SimSun"/>
          <w:sz w:val="21"/>
          <w:szCs w:val="21"/>
        </w:rPr>
      </w:pPr>
      <w:r>
        <w:rPr>
          <w:rFonts w:ascii="SimSun" w:hAnsi="SimSun" w:eastAsia="SimSun" w:cs="SimSun"/>
          <w:sz w:val="21"/>
          <w:szCs w:val="21"/>
          <w:spacing w:val="-7"/>
        </w:rPr>
        <w:t>自律。非贸易性质的私人包裹的跨国流动规则在万国邮政联盟(1874</w:t>
      </w:r>
      <w:r>
        <w:rPr>
          <w:rFonts w:ascii="SimSun" w:hAnsi="SimSun" w:eastAsia="SimSun" w:cs="SimSun"/>
          <w:sz w:val="21"/>
          <w:szCs w:val="21"/>
          <w:spacing w:val="15"/>
        </w:rPr>
        <w:t xml:space="preserve"> </w:t>
      </w:r>
      <w:r>
        <w:rPr>
          <w:rFonts w:ascii="SimSun" w:hAnsi="SimSun" w:eastAsia="SimSun" w:cs="SimSun"/>
          <w:sz w:val="21"/>
          <w:szCs w:val="21"/>
        </w:rPr>
        <w:t>年成立)框架下协调。万国邮政联盟自1969年开始采取减轻发展中</w:t>
      </w:r>
      <w:r>
        <w:rPr>
          <w:rFonts w:ascii="SimSun" w:hAnsi="SimSun" w:eastAsia="SimSun" w:cs="SimSun"/>
          <w:sz w:val="21"/>
          <w:szCs w:val="21"/>
          <w:spacing w:val="16"/>
        </w:rPr>
        <w:t xml:space="preserve"> </w:t>
      </w:r>
      <w:r>
        <w:rPr>
          <w:rFonts w:ascii="SimSun" w:hAnsi="SimSun" w:eastAsia="SimSun" w:cs="SimSun"/>
          <w:sz w:val="21"/>
          <w:szCs w:val="21"/>
          <w:spacing w:val="-3"/>
        </w:rPr>
        <w:t>国家用户的邮资负担的政策。2019年美国提出的邮资改革</w:t>
      </w:r>
      <w:r>
        <w:rPr>
          <w:rFonts w:ascii="SimSun" w:hAnsi="SimSun" w:eastAsia="SimSun" w:cs="SimSun"/>
          <w:sz w:val="21"/>
          <w:szCs w:val="21"/>
          <w:spacing w:val="-4"/>
        </w:rPr>
        <w:t>要求得到</w:t>
      </w:r>
      <w:r>
        <w:rPr>
          <w:rFonts w:ascii="SimSun" w:hAnsi="SimSun" w:eastAsia="SimSun" w:cs="SimSun"/>
          <w:sz w:val="21"/>
          <w:szCs w:val="21"/>
        </w:rPr>
        <w:t xml:space="preserve"> </w:t>
      </w:r>
      <w:r>
        <w:rPr>
          <w:rFonts w:ascii="SimSun" w:hAnsi="SimSun" w:eastAsia="SimSun" w:cs="SimSun"/>
          <w:sz w:val="21"/>
          <w:szCs w:val="21"/>
          <w:spacing w:val="4"/>
        </w:rPr>
        <w:t>重视，自2020年7月起，进口函件业务量超过7.5万吨的国家可自</w:t>
      </w:r>
      <w:r>
        <w:rPr>
          <w:rFonts w:ascii="SimSun" w:hAnsi="SimSun" w:eastAsia="SimSun" w:cs="SimSun"/>
          <w:sz w:val="21"/>
          <w:szCs w:val="21"/>
          <w:spacing w:val="6"/>
        </w:rPr>
        <w:t xml:space="preserve"> </w:t>
      </w:r>
      <w:r>
        <w:rPr>
          <w:rFonts w:ascii="SimSun" w:hAnsi="SimSun" w:eastAsia="SimSun" w:cs="SimSun"/>
          <w:sz w:val="21"/>
          <w:szCs w:val="21"/>
          <w:spacing w:val="-11"/>
        </w:rPr>
        <w:t>行定义终端费率体系。</w:t>
      </w:r>
    </w:p>
    <w:p>
      <w:pPr>
        <w:ind w:firstLine="429"/>
        <w:spacing w:before="110" w:line="297" w:lineRule="auto"/>
        <w:jc w:val="both"/>
        <w:rPr>
          <w:rFonts w:ascii="SimSun" w:hAnsi="SimSun" w:eastAsia="SimSun" w:cs="SimSun"/>
          <w:sz w:val="21"/>
          <w:szCs w:val="21"/>
        </w:rPr>
      </w:pPr>
      <w:r>
        <w:rPr>
          <w:rFonts w:ascii="SimSun" w:hAnsi="SimSun" w:eastAsia="SimSun" w:cs="SimSun"/>
          <w:sz w:val="21"/>
          <w:szCs w:val="21"/>
          <w:spacing w:val="-11"/>
        </w:rPr>
        <w:t>跨</w:t>
      </w:r>
      <w:r>
        <w:rPr>
          <w:rFonts w:ascii="SimSun" w:hAnsi="SimSun" w:eastAsia="SimSun" w:cs="SimSun"/>
          <w:sz w:val="21"/>
          <w:szCs w:val="21"/>
          <w:spacing w:val="-10"/>
        </w:rPr>
        <w:t>国通信用的电报、电话、传真等电信技术的互联互通，</w:t>
      </w:r>
      <w:r>
        <w:rPr>
          <w:rFonts w:ascii="SimSun" w:hAnsi="SimSun" w:eastAsia="SimSun" w:cs="SimSun"/>
          <w:sz w:val="21"/>
          <w:szCs w:val="21"/>
          <w:spacing w:val="-11"/>
        </w:rPr>
        <w:t>由国</w:t>
      </w:r>
      <w:r>
        <w:rPr>
          <w:rFonts w:ascii="SimSun" w:hAnsi="SimSun" w:eastAsia="SimSun" w:cs="SimSun"/>
          <w:sz w:val="21"/>
          <w:szCs w:val="21"/>
          <w:spacing w:val="-10"/>
        </w:rPr>
        <w:t>际</w:t>
      </w:r>
      <w:r>
        <w:rPr>
          <w:rFonts w:ascii="SimSun" w:hAnsi="SimSun" w:eastAsia="SimSun" w:cs="SimSun"/>
          <w:sz w:val="21"/>
          <w:szCs w:val="21"/>
        </w:rPr>
        <w:t xml:space="preserve"> </w:t>
      </w:r>
      <w:r>
        <w:rPr>
          <w:rFonts w:ascii="SimSun" w:hAnsi="SimSun" w:eastAsia="SimSun" w:cs="SimSun"/>
          <w:sz w:val="21"/>
          <w:szCs w:val="21"/>
          <w:spacing w:val="3"/>
        </w:rPr>
        <w:t>电信联盟(1865年成立)协调，通过划分全球无线电频谱和卫星轨</w:t>
      </w:r>
      <w:r>
        <w:rPr>
          <w:rFonts w:ascii="SimSun" w:hAnsi="SimSun" w:eastAsia="SimSun" w:cs="SimSun"/>
          <w:sz w:val="21"/>
          <w:szCs w:val="21"/>
          <w:spacing w:val="16"/>
        </w:rPr>
        <w:t xml:space="preserve"> </w:t>
      </w:r>
      <w:r>
        <w:rPr>
          <w:rFonts w:ascii="SimSun" w:hAnsi="SimSun" w:eastAsia="SimSun" w:cs="SimSun"/>
          <w:sz w:val="21"/>
          <w:szCs w:val="21"/>
          <w:spacing w:val="-11"/>
        </w:rPr>
        <w:t>道、制定技术标准等途径促成了全球用户间在技术使用层面的无缝对</w:t>
      </w:r>
      <w:r>
        <w:rPr>
          <w:rFonts w:ascii="SimSun" w:hAnsi="SimSun" w:eastAsia="SimSun" w:cs="SimSun"/>
          <w:sz w:val="21"/>
          <w:szCs w:val="21"/>
          <w:spacing w:val="17"/>
        </w:rPr>
        <w:t xml:space="preserve"> </w:t>
      </w:r>
      <w:r>
        <w:rPr>
          <w:rFonts w:ascii="SimSun" w:hAnsi="SimSun" w:eastAsia="SimSun" w:cs="SimSun"/>
          <w:sz w:val="21"/>
          <w:szCs w:val="21"/>
          <w:spacing w:val="-10"/>
        </w:rPr>
        <w:t>接。电缆、卫星、光缆等跨国电信设施的互</w:t>
      </w:r>
      <w:r>
        <w:rPr>
          <w:rFonts w:ascii="SimSun" w:hAnsi="SimSun" w:eastAsia="SimSun" w:cs="SimSun"/>
          <w:sz w:val="21"/>
          <w:szCs w:val="21"/>
          <w:spacing w:val="-11"/>
        </w:rPr>
        <w:t>联互通则由国家许可、行</w:t>
      </w:r>
      <w:r>
        <w:rPr>
          <w:rFonts w:ascii="SimSun" w:hAnsi="SimSun" w:eastAsia="SimSun" w:cs="SimSun"/>
          <w:sz w:val="21"/>
          <w:szCs w:val="21"/>
        </w:rPr>
        <w:t xml:space="preserve"> </w:t>
      </w:r>
      <w:r>
        <w:rPr>
          <w:rFonts w:ascii="SimSun" w:hAnsi="SimSun" w:eastAsia="SimSun" w:cs="SimSun"/>
          <w:sz w:val="21"/>
          <w:szCs w:val="21"/>
          <w:spacing w:val="-10"/>
        </w:rPr>
        <w:t>业协同形成接收站、接入点。</w:t>
      </w:r>
    </w:p>
    <w:p>
      <w:pPr>
        <w:ind w:right="12" w:firstLine="429"/>
        <w:spacing w:before="130" w:line="293" w:lineRule="auto"/>
        <w:jc w:val="both"/>
        <w:rPr>
          <w:rFonts w:ascii="SimSun" w:hAnsi="SimSun" w:eastAsia="SimSun" w:cs="SimSun"/>
          <w:sz w:val="21"/>
          <w:szCs w:val="21"/>
        </w:rPr>
      </w:pPr>
      <w:r>
        <w:rPr>
          <w:rFonts w:ascii="SimSun" w:hAnsi="SimSun" w:eastAsia="SimSun" w:cs="SimSun"/>
          <w:sz w:val="21"/>
          <w:szCs w:val="21"/>
          <w:spacing w:val="-3"/>
        </w:rPr>
        <w:t>管理今日世界货物贸易的《商品名称及编码协调制度》是19</w:t>
      </w:r>
      <w:r>
        <w:rPr>
          <w:rFonts w:ascii="SimSun" w:hAnsi="SimSun" w:eastAsia="SimSun" w:cs="SimSun"/>
          <w:sz w:val="21"/>
          <w:szCs w:val="21"/>
          <w:spacing w:val="-4"/>
        </w:rPr>
        <w:t>83</w:t>
      </w:r>
      <w:r>
        <w:rPr>
          <w:rFonts w:ascii="SimSun" w:hAnsi="SimSun" w:eastAsia="SimSun" w:cs="SimSun"/>
          <w:sz w:val="21"/>
          <w:szCs w:val="21"/>
        </w:rPr>
        <w:t xml:space="preserve"> </w:t>
      </w:r>
      <w:r>
        <w:rPr>
          <w:rFonts w:ascii="SimSun" w:hAnsi="SimSun" w:eastAsia="SimSun" w:cs="SimSun"/>
          <w:sz w:val="21"/>
          <w:szCs w:val="21"/>
          <w:spacing w:val="4"/>
        </w:rPr>
        <w:t>年才由海关合作理事会(现世界海关组织)制定的协调系统，中国 </w:t>
      </w:r>
      <w:r>
        <w:rPr>
          <w:rFonts w:ascii="SimSun" w:hAnsi="SimSun" w:eastAsia="SimSun" w:cs="SimSun"/>
          <w:sz w:val="21"/>
          <w:szCs w:val="21"/>
          <w:spacing w:val="5"/>
        </w:rPr>
        <w:t>在1992年正式采用。设立国际通用商品编码</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HS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编码)是为了确</w:t>
      </w:r>
      <w:r>
        <w:rPr>
          <w:rFonts w:ascii="SimSun" w:hAnsi="SimSun" w:eastAsia="SimSun" w:cs="SimSun"/>
          <w:sz w:val="21"/>
          <w:szCs w:val="21"/>
        </w:rPr>
        <w:t xml:space="preserve"> </w:t>
      </w:r>
      <w:r>
        <w:rPr>
          <w:rFonts w:ascii="SimSun" w:hAnsi="SimSun" w:eastAsia="SimSun" w:cs="SimSun"/>
          <w:sz w:val="21"/>
          <w:szCs w:val="21"/>
          <w:spacing w:val="-10"/>
        </w:rPr>
        <w:t>定商品的唯一性。该编码制度将产品按“章</w:t>
      </w:r>
      <w:r>
        <w:rPr>
          <w:rFonts w:ascii="SimSun" w:hAnsi="SimSun" w:eastAsia="SimSun" w:cs="SimSun"/>
          <w:sz w:val="21"/>
          <w:szCs w:val="21"/>
          <w:spacing w:val="-11"/>
        </w:rPr>
        <w:t>”“品目”“子目”进行</w:t>
      </w:r>
      <w:r>
        <w:rPr>
          <w:rFonts w:ascii="SimSun" w:hAnsi="SimSun" w:eastAsia="SimSun" w:cs="SimSun"/>
          <w:sz w:val="21"/>
          <w:szCs w:val="21"/>
        </w:rPr>
        <w:t xml:space="preserve"> </w:t>
      </w:r>
      <w:r>
        <w:rPr>
          <w:rFonts w:ascii="SimSun" w:hAnsi="SimSun" w:eastAsia="SimSun" w:cs="SimSun"/>
          <w:sz w:val="21"/>
          <w:szCs w:val="21"/>
          <w:spacing w:val="-3"/>
        </w:rPr>
        <w:t>6位数字编码，各成员方则可自行加上子目而形成8位或更多数目的</w:t>
      </w:r>
      <w:r>
        <w:rPr>
          <w:rFonts w:ascii="SimSun" w:hAnsi="SimSun" w:eastAsia="SimSun" w:cs="SimSun"/>
          <w:sz w:val="21"/>
          <w:szCs w:val="21"/>
          <w:spacing w:val="15"/>
        </w:rPr>
        <w:t xml:space="preserve"> </w:t>
      </w:r>
      <w:r>
        <w:rPr>
          <w:rFonts w:ascii="SimSun" w:hAnsi="SimSun" w:eastAsia="SimSun" w:cs="SimSun"/>
          <w:sz w:val="21"/>
          <w:szCs w:val="21"/>
          <w:spacing w:val="-9"/>
        </w:rPr>
        <w:t>编码。</w:t>
      </w:r>
    </w:p>
    <w:p>
      <w:pPr>
        <w:ind w:right="7" w:firstLine="429"/>
        <w:spacing w:before="143" w:line="302" w:lineRule="auto"/>
        <w:jc w:val="both"/>
        <w:rPr>
          <w:rFonts w:ascii="SimSun" w:hAnsi="SimSun" w:eastAsia="SimSun" w:cs="SimSun"/>
          <w:sz w:val="21"/>
          <w:szCs w:val="21"/>
        </w:rPr>
      </w:pPr>
      <w:r>
        <w:rPr>
          <w:rFonts w:ascii="SimSun" w:hAnsi="SimSun" w:eastAsia="SimSun" w:cs="SimSun"/>
          <w:sz w:val="21"/>
          <w:szCs w:val="21"/>
          <w:spacing w:val="-11"/>
        </w:rPr>
        <w:t>一款商品的编码与国际贸易中的原产地规则相连。随着产品贸易</w:t>
      </w:r>
      <w:r>
        <w:rPr>
          <w:rFonts w:ascii="SimSun" w:hAnsi="SimSun" w:eastAsia="SimSun" w:cs="SimSun"/>
          <w:sz w:val="21"/>
          <w:szCs w:val="21"/>
          <w:spacing w:val="17"/>
        </w:rPr>
        <w:t xml:space="preserve"> </w:t>
      </w:r>
      <w:r>
        <w:rPr>
          <w:rFonts w:ascii="SimSun" w:hAnsi="SimSun" w:eastAsia="SimSun" w:cs="SimSun"/>
          <w:sz w:val="21"/>
          <w:szCs w:val="21"/>
          <w:spacing w:val="-11"/>
        </w:rPr>
        <w:t>和加工过程的国际化，“原产地”与“原产国”之间出现了差异。但</w:t>
      </w:r>
      <w:r>
        <w:rPr>
          <w:rFonts w:ascii="SimSun" w:hAnsi="SimSun" w:eastAsia="SimSun" w:cs="SimSun"/>
          <w:sz w:val="21"/>
          <w:szCs w:val="21"/>
          <w:spacing w:val="17"/>
        </w:rPr>
        <w:t xml:space="preserve"> </w:t>
      </w:r>
      <w:r>
        <w:rPr>
          <w:rFonts w:ascii="SimSun" w:hAnsi="SimSun" w:eastAsia="SimSun" w:cs="SimSun"/>
          <w:sz w:val="21"/>
          <w:szCs w:val="21"/>
          <w:spacing w:val="-10"/>
        </w:rPr>
        <w:t>世界贸易组织并没有对原产地做出具体规定</w:t>
      </w:r>
      <w:r>
        <w:rPr>
          <w:rFonts w:ascii="SimSun" w:hAnsi="SimSun" w:eastAsia="SimSun" w:cs="SimSun"/>
          <w:sz w:val="21"/>
          <w:szCs w:val="21"/>
          <w:spacing w:val="-11"/>
        </w:rPr>
        <w:t>。其成员的普遍性做法是</w:t>
      </w:r>
      <w:r>
        <w:rPr>
          <w:rFonts w:ascii="SimSun" w:hAnsi="SimSun" w:eastAsia="SimSun" w:cs="SimSun"/>
          <w:sz w:val="21"/>
          <w:szCs w:val="21"/>
        </w:rPr>
        <w:t xml:space="preserve"> </w:t>
      </w:r>
      <w:r>
        <w:rPr>
          <w:rFonts w:ascii="SimSun" w:hAnsi="SimSun" w:eastAsia="SimSun" w:cs="SimSun"/>
          <w:sz w:val="21"/>
          <w:szCs w:val="21"/>
          <w:spacing w:val="-6"/>
        </w:rPr>
        <w:t>以“完全获得”(没有境外价值形成成分)、“</w:t>
      </w:r>
      <w:r>
        <w:rPr>
          <w:rFonts w:ascii="SimSun" w:hAnsi="SimSun" w:eastAsia="SimSun" w:cs="SimSun"/>
          <w:sz w:val="21"/>
          <w:szCs w:val="21"/>
          <w:spacing w:val="-7"/>
        </w:rPr>
        <w:t>实质性改变”(出口品</w:t>
      </w:r>
      <w:r>
        <w:rPr>
          <w:rFonts w:ascii="SimSun" w:hAnsi="SimSun" w:eastAsia="SimSun" w:cs="SimSun"/>
          <w:sz w:val="21"/>
          <w:szCs w:val="21"/>
        </w:rPr>
        <w:t xml:space="preserve"> </w:t>
      </w:r>
      <w:r>
        <w:rPr>
          <w:rFonts w:ascii="SimSun" w:hAnsi="SimSun" w:eastAsia="SimSun" w:cs="SimSun"/>
          <w:sz w:val="21"/>
          <w:szCs w:val="21"/>
          <w:spacing w:val="-6"/>
        </w:rPr>
        <w:t>包含境外加工成分)来确定是否给予税收优惠。由</w:t>
      </w:r>
      <w:r>
        <w:rPr>
          <w:rFonts w:ascii="SimSun" w:hAnsi="SimSun" w:eastAsia="SimSun" w:cs="SimSun"/>
          <w:sz w:val="21"/>
          <w:szCs w:val="21"/>
          <w:spacing w:val="-7"/>
        </w:rPr>
        <w:t>出口方的商品检验</w:t>
      </w:r>
      <w:r>
        <w:rPr>
          <w:rFonts w:ascii="SimSun" w:hAnsi="SimSun" w:eastAsia="SimSun" w:cs="SimSun"/>
          <w:sz w:val="21"/>
          <w:szCs w:val="21"/>
        </w:rPr>
        <w:t xml:space="preserve"> </w:t>
      </w:r>
      <w:r>
        <w:rPr>
          <w:rFonts w:ascii="SimSun" w:hAnsi="SimSun" w:eastAsia="SimSun" w:cs="SimSun"/>
          <w:sz w:val="21"/>
          <w:szCs w:val="21"/>
          <w:spacing w:val="-11"/>
        </w:rPr>
        <w:t>检疫机构开具的原产地证书则是进口方通关验收、征收关税的重要凭</w:t>
      </w:r>
      <w:r>
        <w:rPr>
          <w:rFonts w:ascii="SimSun" w:hAnsi="SimSun" w:eastAsia="SimSun" w:cs="SimSun"/>
          <w:sz w:val="21"/>
          <w:szCs w:val="21"/>
          <w:spacing w:val="18"/>
        </w:rPr>
        <w:t xml:space="preserve"> </w:t>
      </w:r>
      <w:r>
        <w:rPr>
          <w:rFonts w:ascii="SimSun" w:hAnsi="SimSun" w:eastAsia="SimSun" w:cs="SimSun"/>
          <w:sz w:val="21"/>
          <w:szCs w:val="21"/>
          <w:spacing w:val="-11"/>
        </w:rPr>
        <w:t>证，也是贸易关系人交接货物、结算货款、索赔理赔的凭据。</w:t>
      </w:r>
    </w:p>
    <w:p>
      <w:pPr>
        <w:ind w:right="7" w:firstLine="429"/>
        <w:spacing w:before="99" w:line="285" w:lineRule="auto"/>
        <w:jc w:val="both"/>
        <w:rPr>
          <w:rFonts w:ascii="SimSun" w:hAnsi="SimSun" w:eastAsia="SimSun" w:cs="SimSun"/>
          <w:sz w:val="21"/>
          <w:szCs w:val="21"/>
        </w:rPr>
      </w:pPr>
      <w:r>
        <w:rPr>
          <w:rFonts w:ascii="SimSun" w:hAnsi="SimSun" w:eastAsia="SimSun" w:cs="SimSun"/>
          <w:sz w:val="21"/>
          <w:szCs w:val="21"/>
          <w:spacing w:val="-14"/>
        </w:rPr>
        <w:t>世界贸易组织的海关估价规定遵循三大原则：货物必须“有形”;</w:t>
      </w:r>
      <w:r>
        <w:rPr>
          <w:rFonts w:ascii="SimSun" w:hAnsi="SimSun" w:eastAsia="SimSun" w:cs="SimSun"/>
          <w:sz w:val="21"/>
          <w:szCs w:val="21"/>
          <w:spacing w:val="11"/>
        </w:rPr>
        <w:t xml:space="preserve"> </w:t>
      </w:r>
      <w:r>
        <w:rPr>
          <w:rFonts w:ascii="SimSun" w:hAnsi="SimSun" w:eastAsia="SimSun" w:cs="SimSun"/>
          <w:sz w:val="21"/>
          <w:szCs w:val="21"/>
          <w:spacing w:val="-10"/>
        </w:rPr>
        <w:t>以“成交价格”为基础确定完税价格；征税</w:t>
      </w:r>
      <w:r>
        <w:rPr>
          <w:rFonts w:ascii="SimSun" w:hAnsi="SimSun" w:eastAsia="SimSun" w:cs="SimSun"/>
          <w:sz w:val="21"/>
          <w:szCs w:val="21"/>
          <w:spacing w:val="-11"/>
        </w:rPr>
        <w:t>基于纳税人的住所和账册</w:t>
      </w:r>
      <w:r>
        <w:rPr>
          <w:rFonts w:ascii="SimSun" w:hAnsi="SimSun" w:eastAsia="SimSun" w:cs="SimSun"/>
          <w:sz w:val="21"/>
          <w:szCs w:val="21"/>
        </w:rPr>
        <w:t xml:space="preserve"> </w:t>
      </w:r>
      <w:r>
        <w:rPr>
          <w:rFonts w:ascii="SimSun" w:hAnsi="SimSun" w:eastAsia="SimSun" w:cs="SimSun"/>
          <w:sz w:val="21"/>
          <w:szCs w:val="21"/>
          <w:spacing w:val="-10"/>
        </w:rPr>
        <w:t>凭证。</w:t>
      </w:r>
    </w:p>
    <w:p>
      <w:pPr>
        <w:spacing w:before="131" w:line="219" w:lineRule="auto"/>
        <w:jc w:val="right"/>
        <w:rPr>
          <w:rFonts w:ascii="SimSun" w:hAnsi="SimSun" w:eastAsia="SimSun" w:cs="SimSun"/>
          <w:sz w:val="21"/>
          <w:szCs w:val="21"/>
        </w:rPr>
      </w:pPr>
      <w:r>
        <w:rPr>
          <w:rFonts w:ascii="SimSun" w:hAnsi="SimSun" w:eastAsia="SimSun" w:cs="SimSun"/>
          <w:sz w:val="21"/>
          <w:szCs w:val="21"/>
          <w:spacing w:val="-2"/>
        </w:rPr>
        <w:t>从20世纪70年代后期开始，ICT</w:t>
      </w:r>
      <w:r>
        <w:rPr>
          <w:rFonts w:ascii="SimSun" w:hAnsi="SimSun" w:eastAsia="SimSun" w:cs="SimSun"/>
          <w:sz w:val="21"/>
          <w:szCs w:val="21"/>
          <w:spacing w:val="-13"/>
        </w:rPr>
        <w:t xml:space="preserve"> </w:t>
      </w:r>
      <w:r>
        <w:rPr>
          <w:rFonts w:ascii="SimSun" w:hAnsi="SimSun" w:eastAsia="SimSun" w:cs="SimSun"/>
          <w:sz w:val="21"/>
          <w:szCs w:val="21"/>
          <w:spacing w:val="-2"/>
        </w:rPr>
        <w:t>的开发加速，其应用的国际化</w:t>
      </w:r>
    </w:p>
    <w:p>
      <w:pPr>
        <w:spacing w:line="219" w:lineRule="auto"/>
        <w:sectPr>
          <w:headerReference w:type="default" r:id="rId297"/>
          <w:pgSz w:w="7330" w:h="12480"/>
          <w:pgMar w:top="549" w:right="551" w:bottom="400" w:left="750" w:header="373"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104"/>
        <w:spacing w:before="68" w:line="297" w:lineRule="auto"/>
        <w:jc w:val="both"/>
        <w:rPr>
          <w:rFonts w:ascii="SimSun" w:hAnsi="SimSun" w:eastAsia="SimSun" w:cs="SimSun"/>
          <w:sz w:val="21"/>
          <w:szCs w:val="21"/>
        </w:rPr>
      </w:pPr>
      <w:r>
        <w:rPr>
          <w:rFonts w:ascii="SimSun" w:hAnsi="SimSun" w:eastAsia="SimSun" w:cs="SimSun"/>
          <w:sz w:val="21"/>
          <w:szCs w:val="21"/>
          <w:spacing w:val="-4"/>
        </w:rPr>
        <w:t>步伐加快。为了形成尽可能全球一致的规则，世界贸易组织在1997 </w:t>
      </w:r>
      <w:r>
        <w:rPr>
          <w:rFonts w:ascii="SimSun" w:hAnsi="SimSun" w:eastAsia="SimSun" w:cs="SimSun"/>
          <w:sz w:val="21"/>
          <w:szCs w:val="21"/>
          <w:spacing w:val="-7"/>
        </w:rPr>
        <w:t>年通过了《信息技术协定》。该协定涵盖的主要是“有形”产品，也 </w:t>
      </w:r>
      <w:r>
        <w:rPr>
          <w:rFonts w:ascii="SimSun" w:hAnsi="SimSun" w:eastAsia="SimSun" w:cs="SimSun"/>
          <w:sz w:val="21"/>
          <w:szCs w:val="21"/>
          <w:spacing w:val="1"/>
        </w:rPr>
        <w:t>就是通称的</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产品，包括半导体、计算机和电信设备</w:t>
      </w:r>
      <w:r>
        <w:rPr>
          <w:rFonts w:ascii="SimSun" w:hAnsi="SimSun" w:eastAsia="SimSun" w:cs="SimSun"/>
          <w:sz w:val="21"/>
          <w:szCs w:val="21"/>
        </w:rPr>
        <w:t>。就像2020 </w:t>
      </w:r>
      <w:r>
        <w:rPr>
          <w:rFonts w:ascii="SimSun" w:hAnsi="SimSun" w:eastAsia="SimSun" w:cs="SimSun"/>
          <w:sz w:val="21"/>
          <w:szCs w:val="21"/>
          <w:spacing w:val="-5"/>
        </w:rPr>
        <w:t>年改革前的跨国邮资费率逻辑一样，基于缩小全球数字鸿沟的理念，</w:t>
      </w:r>
      <w:r>
        <w:rPr>
          <w:rFonts w:ascii="SimSun" w:hAnsi="SimSun" w:eastAsia="SimSun" w:cs="SimSun"/>
          <w:sz w:val="21"/>
          <w:szCs w:val="21"/>
          <w:spacing w:val="18"/>
        </w:rPr>
        <w:t xml:space="preserve"> </w:t>
      </w:r>
      <w:r>
        <w:rPr>
          <w:rFonts w:ascii="SimSun" w:hAnsi="SimSun" w:eastAsia="SimSun" w:cs="SimSun"/>
          <w:sz w:val="21"/>
          <w:szCs w:val="21"/>
          <w:spacing w:val="-6"/>
        </w:rPr>
        <w:t>《信息技术协定》的成员同意对八大类核心</w:t>
      </w:r>
      <w:r>
        <w:rPr>
          <w:rFonts w:ascii="Times New Roman" w:hAnsi="Times New Roman" w:eastAsia="Times New Roman" w:cs="Times New Roman"/>
          <w:sz w:val="21"/>
          <w:szCs w:val="21"/>
          <w:spacing w:val="-6"/>
        </w:rPr>
        <w:t>ICT</w:t>
      </w:r>
      <w:r>
        <w:rPr>
          <w:rFonts w:ascii="SimSun" w:hAnsi="SimSun" w:eastAsia="SimSun" w:cs="SimSun"/>
          <w:sz w:val="21"/>
          <w:szCs w:val="21"/>
          <w:spacing w:val="-6"/>
        </w:rPr>
        <w:t>商品免征关税。</w:t>
      </w:r>
    </w:p>
    <w:p>
      <w:pPr>
        <w:ind w:left="104" w:right="36" w:firstLine="420"/>
        <w:spacing w:before="112" w:line="300" w:lineRule="auto"/>
        <w:jc w:val="both"/>
        <w:rPr>
          <w:rFonts w:ascii="SimSun" w:hAnsi="SimSun" w:eastAsia="SimSun" w:cs="SimSun"/>
          <w:sz w:val="21"/>
          <w:szCs w:val="21"/>
        </w:rPr>
      </w:pPr>
      <w:r>
        <w:rPr>
          <w:rFonts w:ascii="Times New Roman" w:hAnsi="Times New Roman" w:eastAsia="Times New Roman" w:cs="Times New Roman"/>
          <w:sz w:val="21"/>
          <w:szCs w:val="21"/>
          <w:spacing w:val="-7"/>
        </w:rPr>
        <w:t>ICT</w:t>
      </w:r>
      <w:r>
        <w:rPr>
          <w:rFonts w:ascii="SimSun" w:hAnsi="SimSun" w:eastAsia="SimSun" w:cs="SimSun"/>
          <w:sz w:val="21"/>
          <w:szCs w:val="21"/>
          <w:spacing w:val="-7"/>
        </w:rPr>
        <w:t>商品贸易的一大特点是企业创新的进度超前于政府间贸易监</w:t>
      </w:r>
      <w:r>
        <w:rPr>
          <w:rFonts w:ascii="SimSun" w:hAnsi="SimSun" w:eastAsia="SimSun" w:cs="SimSun"/>
          <w:sz w:val="21"/>
          <w:szCs w:val="21"/>
          <w:spacing w:val="12"/>
        </w:rPr>
        <w:t xml:space="preserve"> </w:t>
      </w:r>
      <w:r>
        <w:rPr>
          <w:rFonts w:ascii="SimSun" w:hAnsi="SimSun" w:eastAsia="SimSun" w:cs="SimSun"/>
          <w:sz w:val="21"/>
          <w:szCs w:val="21"/>
          <w:spacing w:val="-2"/>
        </w:rPr>
        <w:t>管政策达成协议的进度。以发达国家为成员的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2"/>
        </w:rPr>
        <w:t>OECD</w:t>
      </w:r>
      <w:r>
        <w:rPr>
          <w:rFonts w:ascii="SimSun" w:hAnsi="SimSun" w:eastAsia="SimSun" w:cs="SimSun"/>
          <w:sz w:val="21"/>
          <w:szCs w:val="21"/>
          <w:spacing w:val="-3"/>
        </w:rPr>
        <w:t>在2007年推出</w:t>
      </w:r>
      <w:r>
        <w:rPr>
          <w:rFonts w:ascii="SimSun" w:hAnsi="SimSun" w:eastAsia="SimSun" w:cs="SimSun"/>
          <w:sz w:val="21"/>
          <w:szCs w:val="21"/>
        </w:rPr>
        <w:t xml:space="preserve"> </w:t>
      </w:r>
      <w:r>
        <w:rPr>
          <w:rFonts w:ascii="SimSun" w:hAnsi="SimSun" w:eastAsia="SimSun" w:cs="SimSun"/>
          <w:sz w:val="21"/>
          <w:szCs w:val="21"/>
          <w:spacing w:val="5"/>
        </w:rPr>
        <w:t>新的</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商品归类，初期包含94种商品。世界贸易组织在2015年</w:t>
      </w:r>
      <w:r>
        <w:rPr>
          <w:rFonts w:ascii="SimSun" w:hAnsi="SimSun" w:eastAsia="SimSun" w:cs="SimSun"/>
          <w:sz w:val="21"/>
          <w:szCs w:val="21"/>
          <w:spacing w:val="7"/>
        </w:rPr>
        <w:t xml:space="preserve"> </w:t>
      </w:r>
      <w:r>
        <w:rPr>
          <w:rFonts w:ascii="SimSun" w:hAnsi="SimSun" w:eastAsia="SimSun" w:cs="SimSun"/>
          <w:sz w:val="21"/>
          <w:szCs w:val="21"/>
          <w:spacing w:val="-7"/>
        </w:rPr>
        <w:t>达成更新《信息技术协定》的谈判协议，新增201项产品。这些在成</w:t>
      </w:r>
      <w:r>
        <w:rPr>
          <w:rFonts w:ascii="SimSun" w:hAnsi="SimSun" w:eastAsia="SimSun" w:cs="SimSun"/>
          <w:sz w:val="21"/>
          <w:szCs w:val="21"/>
          <w:spacing w:val="10"/>
        </w:rPr>
        <w:t xml:space="preserve"> </w:t>
      </w:r>
      <w:r>
        <w:rPr>
          <w:rFonts w:ascii="SimSun" w:hAnsi="SimSun" w:eastAsia="SimSun" w:cs="SimSun"/>
          <w:sz w:val="21"/>
          <w:szCs w:val="21"/>
          <w:spacing w:val="-6"/>
        </w:rPr>
        <w:t>员方之间贸易免税的产品依然维持前6位数编码，</w:t>
      </w:r>
      <w:r>
        <w:rPr>
          <w:rFonts w:ascii="SimSun" w:hAnsi="SimSun" w:eastAsia="SimSun" w:cs="SimSun"/>
          <w:sz w:val="21"/>
          <w:szCs w:val="21"/>
          <w:spacing w:val="-7"/>
        </w:rPr>
        <w:t>创新产品则由成员</w:t>
      </w:r>
      <w:r>
        <w:rPr>
          <w:rFonts w:ascii="SimSun" w:hAnsi="SimSun" w:eastAsia="SimSun" w:cs="SimSun"/>
          <w:sz w:val="21"/>
          <w:szCs w:val="21"/>
        </w:rPr>
        <w:t xml:space="preserve"> </w:t>
      </w:r>
      <w:r>
        <w:rPr>
          <w:rFonts w:ascii="SimSun" w:hAnsi="SimSun" w:eastAsia="SimSun" w:cs="SimSun"/>
          <w:sz w:val="21"/>
          <w:szCs w:val="21"/>
          <w:spacing w:val="-12"/>
        </w:rPr>
        <w:t>方在其后添加编码数目。</w:t>
      </w:r>
    </w:p>
    <w:p>
      <w:pPr>
        <w:ind w:left="104" w:right="48" w:firstLine="420"/>
        <w:spacing w:before="120" w:line="298" w:lineRule="auto"/>
        <w:jc w:val="both"/>
        <w:rPr>
          <w:rFonts w:ascii="SimSun" w:hAnsi="SimSun" w:eastAsia="SimSun" w:cs="SimSun"/>
          <w:sz w:val="21"/>
          <w:szCs w:val="21"/>
        </w:rPr>
      </w:pPr>
      <w:r>
        <w:rPr>
          <w:rFonts w:ascii="SimSun" w:hAnsi="SimSun" w:eastAsia="SimSun" w:cs="SimSun"/>
          <w:sz w:val="21"/>
          <w:szCs w:val="21"/>
          <w:spacing w:val="-3"/>
        </w:rPr>
        <w:t>互联网、数字平台、人工智能等技术的开发和广泛运用，使确</w:t>
      </w:r>
      <w:r>
        <w:rPr>
          <w:rFonts w:ascii="SimSun" w:hAnsi="SimSun" w:eastAsia="SimSun" w:cs="SimSun"/>
          <w:sz w:val="21"/>
          <w:szCs w:val="21"/>
          <w:spacing w:val="6"/>
        </w:rPr>
        <w:t xml:space="preserve"> </w:t>
      </w:r>
      <w:r>
        <w:rPr>
          <w:rFonts w:ascii="SimSun" w:hAnsi="SimSun" w:eastAsia="SimSun" w:cs="SimSun"/>
          <w:sz w:val="21"/>
          <w:szCs w:val="21"/>
          <w:spacing w:val="-11"/>
        </w:rPr>
        <w:t>认企业实体变得更为复杂。以这些技术为途径发生的价值交换，对基</w:t>
      </w:r>
      <w:r>
        <w:rPr>
          <w:rFonts w:ascii="SimSun" w:hAnsi="SimSun" w:eastAsia="SimSun" w:cs="SimSun"/>
          <w:sz w:val="21"/>
          <w:szCs w:val="21"/>
          <w:spacing w:val="17"/>
        </w:rPr>
        <w:t xml:space="preserve"> </w:t>
      </w:r>
      <w:r>
        <w:rPr>
          <w:rFonts w:ascii="SimSun" w:hAnsi="SimSun" w:eastAsia="SimSun" w:cs="SimSun"/>
          <w:sz w:val="21"/>
          <w:szCs w:val="21"/>
          <w:spacing w:val="-10"/>
        </w:rPr>
        <w:t>于“有形”货物、在境内设有可核实的实体地址和账册的</w:t>
      </w:r>
      <w:r>
        <w:rPr>
          <w:rFonts w:ascii="SimSun" w:hAnsi="SimSun" w:eastAsia="SimSun" w:cs="SimSun"/>
          <w:sz w:val="21"/>
          <w:szCs w:val="21"/>
          <w:spacing w:val="-11"/>
        </w:rPr>
        <w:t>原产地或原</w:t>
      </w:r>
      <w:r>
        <w:rPr>
          <w:rFonts w:ascii="SimSun" w:hAnsi="SimSun" w:eastAsia="SimSun" w:cs="SimSun"/>
          <w:sz w:val="21"/>
          <w:szCs w:val="21"/>
        </w:rPr>
        <w:t xml:space="preserve"> </w:t>
      </w:r>
      <w:r>
        <w:rPr>
          <w:rFonts w:ascii="SimSun" w:hAnsi="SimSun" w:eastAsia="SimSun" w:cs="SimSun"/>
          <w:sz w:val="21"/>
          <w:szCs w:val="21"/>
          <w:spacing w:val="-3"/>
        </w:rPr>
        <w:t>产国政策形成了监管挑战。1984年，海关合</w:t>
      </w:r>
      <w:r>
        <w:rPr>
          <w:rFonts w:ascii="SimSun" w:hAnsi="SimSun" w:eastAsia="SimSun" w:cs="SimSun"/>
          <w:sz w:val="21"/>
          <w:szCs w:val="21"/>
          <w:spacing w:val="-4"/>
        </w:rPr>
        <w:t>作理事会的估价委员会</w:t>
      </w:r>
      <w:r>
        <w:rPr>
          <w:rFonts w:ascii="SimSun" w:hAnsi="SimSun" w:eastAsia="SimSun" w:cs="SimSun"/>
          <w:sz w:val="21"/>
          <w:szCs w:val="21"/>
        </w:rPr>
        <w:t xml:space="preserve"> </w:t>
      </w:r>
      <w:r>
        <w:rPr>
          <w:rFonts w:ascii="SimSun" w:hAnsi="SimSun" w:eastAsia="SimSun" w:cs="SimSun"/>
          <w:sz w:val="21"/>
          <w:szCs w:val="21"/>
          <w:spacing w:val="-7"/>
        </w:rPr>
        <w:t>通过了《关于软件海关估价的决定》,缔约方可选择仅按照介质的价</w:t>
      </w:r>
      <w:r>
        <w:rPr>
          <w:rFonts w:ascii="SimSun" w:hAnsi="SimSun" w:eastAsia="SimSun" w:cs="SimSun"/>
          <w:sz w:val="21"/>
          <w:szCs w:val="21"/>
          <w:spacing w:val="2"/>
        </w:rPr>
        <w:t xml:space="preserve"> </w:t>
      </w:r>
      <w:r>
        <w:rPr>
          <w:rFonts w:ascii="SimSun" w:hAnsi="SimSun" w:eastAsia="SimSun" w:cs="SimSun"/>
          <w:sz w:val="21"/>
          <w:szCs w:val="21"/>
          <w:spacing w:val="-11"/>
        </w:rPr>
        <w:t>值，也可按介质与所载软件或数据的总价确定完税价格。虽然海关合</w:t>
      </w:r>
      <w:r>
        <w:rPr>
          <w:rFonts w:ascii="SimSun" w:hAnsi="SimSun" w:eastAsia="SimSun" w:cs="SimSun"/>
          <w:sz w:val="21"/>
          <w:szCs w:val="21"/>
          <w:spacing w:val="17"/>
        </w:rPr>
        <w:t xml:space="preserve"> </w:t>
      </w:r>
      <w:r>
        <w:rPr>
          <w:rFonts w:ascii="SimSun" w:hAnsi="SimSun" w:eastAsia="SimSun" w:cs="SimSun"/>
          <w:sz w:val="21"/>
          <w:szCs w:val="21"/>
          <w:spacing w:val="-3"/>
        </w:rPr>
        <w:t>作理事会在1994年通过改名为世界海关组织而提高了其对成员</w:t>
      </w:r>
      <w:r>
        <w:rPr>
          <w:rFonts w:ascii="SimSun" w:hAnsi="SimSun" w:eastAsia="SimSun" w:cs="SimSun"/>
          <w:sz w:val="21"/>
          <w:szCs w:val="21"/>
          <w:spacing w:val="-4"/>
        </w:rPr>
        <w:t>方的</w:t>
      </w:r>
      <w:r>
        <w:rPr>
          <w:rFonts w:ascii="SimSun" w:hAnsi="SimSun" w:eastAsia="SimSun" w:cs="SimSun"/>
          <w:sz w:val="21"/>
          <w:szCs w:val="21"/>
        </w:rPr>
        <w:t xml:space="preserve"> </w:t>
      </w:r>
      <w:r>
        <w:rPr>
          <w:rFonts w:ascii="SimSun" w:hAnsi="SimSun" w:eastAsia="SimSun" w:cs="SimSun"/>
          <w:sz w:val="21"/>
          <w:szCs w:val="21"/>
          <w:spacing w:val="-11"/>
        </w:rPr>
        <w:t>约束力，但在实践过程中，成员方在产品编码和征税政策中的裁量权</w:t>
      </w:r>
      <w:r>
        <w:rPr>
          <w:rFonts w:ascii="SimSun" w:hAnsi="SimSun" w:eastAsia="SimSun" w:cs="SimSun"/>
          <w:sz w:val="21"/>
          <w:szCs w:val="21"/>
          <w:spacing w:val="16"/>
        </w:rPr>
        <w:t xml:space="preserve"> </w:t>
      </w:r>
      <w:r>
        <w:rPr>
          <w:rFonts w:ascii="SimSun" w:hAnsi="SimSun" w:eastAsia="SimSun" w:cs="SimSun"/>
          <w:sz w:val="21"/>
          <w:szCs w:val="21"/>
          <w:spacing w:val="-10"/>
        </w:rPr>
        <w:t>更大。</w:t>
      </w:r>
    </w:p>
    <w:p>
      <w:pPr>
        <w:ind w:left="104" w:firstLine="420"/>
        <w:spacing w:before="177" w:line="303" w:lineRule="auto"/>
        <w:jc w:val="both"/>
        <w:rPr>
          <w:rFonts w:ascii="SimSun" w:hAnsi="SimSun" w:eastAsia="SimSun" w:cs="SimSun"/>
          <w:sz w:val="21"/>
          <w:szCs w:val="21"/>
        </w:rPr>
      </w:pPr>
      <w:r>
        <w:rPr>
          <w:rFonts w:ascii="SimSun" w:hAnsi="SimSun" w:eastAsia="SimSun" w:cs="SimSun"/>
          <w:sz w:val="21"/>
          <w:szCs w:val="21"/>
          <w:spacing w:val="-9"/>
        </w:rPr>
        <w:t>也就是说，伴随着ICT、</w:t>
      </w:r>
      <w:r>
        <w:rPr>
          <w:rFonts w:ascii="SimSun" w:hAnsi="SimSun" w:eastAsia="SimSun" w:cs="SimSun"/>
          <w:sz w:val="21"/>
          <w:szCs w:val="21"/>
          <w:spacing w:val="-25"/>
        </w:rPr>
        <w:t xml:space="preserve"> </w:t>
      </w:r>
      <w:r>
        <w:rPr>
          <w:rFonts w:ascii="SimSun" w:hAnsi="SimSun" w:eastAsia="SimSun" w:cs="SimSun"/>
          <w:sz w:val="21"/>
          <w:szCs w:val="21"/>
          <w:spacing w:val="-9"/>
        </w:rPr>
        <w:t>数字化服务技术的发展以及商业模式的</w:t>
      </w:r>
      <w:r>
        <w:rPr>
          <w:rFonts w:ascii="SimSun" w:hAnsi="SimSun" w:eastAsia="SimSun" w:cs="SimSun"/>
          <w:sz w:val="21"/>
          <w:szCs w:val="21"/>
        </w:rPr>
        <w:t xml:space="preserve"> </w:t>
      </w:r>
      <w:r>
        <w:rPr>
          <w:rFonts w:ascii="SimSun" w:hAnsi="SimSun" w:eastAsia="SimSun" w:cs="SimSun"/>
          <w:sz w:val="21"/>
          <w:szCs w:val="21"/>
          <w:spacing w:val="-4"/>
        </w:rPr>
        <w:t>不断更新，国际贸易生态走过了一个不断多样化的过程。传统“产 </w:t>
      </w:r>
      <w:r>
        <w:rPr>
          <w:rFonts w:ascii="SimSun" w:hAnsi="SimSun" w:eastAsia="SimSun" w:cs="SimSun"/>
          <w:sz w:val="21"/>
          <w:szCs w:val="21"/>
          <w:spacing w:val="-10"/>
        </w:rPr>
        <w:t>品”和“服务”的分类边界逐渐变得模糊。此</w:t>
      </w:r>
      <w:r>
        <w:rPr>
          <w:rFonts w:ascii="SimSun" w:hAnsi="SimSun" w:eastAsia="SimSun" w:cs="SimSun"/>
          <w:sz w:val="21"/>
          <w:szCs w:val="21"/>
          <w:spacing w:val="-11"/>
        </w:rPr>
        <w:t>外，在全球价值链重构 </w:t>
      </w:r>
      <w:r>
        <w:rPr>
          <w:rFonts w:ascii="SimSun" w:hAnsi="SimSun" w:eastAsia="SimSun" w:cs="SimSun"/>
          <w:sz w:val="21"/>
          <w:szCs w:val="21"/>
          <w:spacing w:val="-7"/>
        </w:rPr>
        <w:t>的过程中， 一些跨国公司的注册地与实际经营地分离。而贸易往往 </w:t>
      </w:r>
      <w:r>
        <w:rPr>
          <w:rFonts w:ascii="SimSun" w:hAnsi="SimSun" w:eastAsia="SimSun" w:cs="SimSun"/>
          <w:sz w:val="21"/>
          <w:szCs w:val="21"/>
          <w:spacing w:val="-4"/>
        </w:rPr>
        <w:t>与税收紧密联系，大多时候，关税征收的依</w:t>
      </w:r>
      <w:r>
        <w:rPr>
          <w:rFonts w:ascii="SimSun" w:hAnsi="SimSun" w:eastAsia="SimSun" w:cs="SimSun"/>
          <w:sz w:val="21"/>
          <w:szCs w:val="21"/>
          <w:spacing w:val="-5"/>
        </w:rPr>
        <w:t>据是实体运输媒介(车、</w:t>
      </w:r>
      <w:r>
        <w:rPr>
          <w:rFonts w:ascii="SimSun" w:hAnsi="SimSun" w:eastAsia="SimSun" w:cs="SimSun"/>
          <w:sz w:val="21"/>
          <w:szCs w:val="21"/>
        </w:rPr>
        <w:t xml:space="preserve"> </w:t>
      </w:r>
      <w:r>
        <w:rPr>
          <w:rFonts w:ascii="SimSun" w:hAnsi="SimSun" w:eastAsia="SimSun" w:cs="SimSun"/>
          <w:sz w:val="21"/>
          <w:szCs w:val="21"/>
          <w:spacing w:val="-4"/>
        </w:rPr>
        <w:t>船、飞机等)所转运贸易品的价值，与贸易</w:t>
      </w:r>
      <w:r>
        <w:rPr>
          <w:rFonts w:ascii="SimSun" w:hAnsi="SimSun" w:eastAsia="SimSun" w:cs="SimSun"/>
          <w:sz w:val="21"/>
          <w:szCs w:val="21"/>
          <w:spacing w:val="-5"/>
        </w:rPr>
        <w:t>品的原产地挂钩。然而，</w:t>
      </w:r>
      <w:r>
        <w:rPr>
          <w:rFonts w:ascii="SimSun" w:hAnsi="SimSun" w:eastAsia="SimSun" w:cs="SimSun"/>
          <w:sz w:val="21"/>
          <w:szCs w:val="21"/>
        </w:rPr>
        <w:t xml:space="preserve"> </w:t>
      </w:r>
      <w:r>
        <w:rPr>
          <w:rFonts w:ascii="SimSun" w:hAnsi="SimSun" w:eastAsia="SimSun" w:cs="SimSun"/>
          <w:sz w:val="21"/>
          <w:szCs w:val="21"/>
          <w:spacing w:val="-11"/>
        </w:rPr>
        <w:t>当贸易品不以实物的方式跨境交易时，那又</w:t>
      </w:r>
      <w:r>
        <w:rPr>
          <w:rFonts w:ascii="SimSun" w:hAnsi="SimSun" w:eastAsia="SimSun" w:cs="SimSun"/>
          <w:sz w:val="21"/>
          <w:szCs w:val="21"/>
          <w:spacing w:val="-12"/>
        </w:rPr>
        <w:t>该如何定义?</w:t>
      </w:r>
    </w:p>
    <w:p>
      <w:pPr>
        <w:spacing w:line="303" w:lineRule="auto"/>
        <w:sectPr>
          <w:headerReference w:type="default" r:id="rId298"/>
          <w:pgSz w:w="7330" w:h="12480"/>
          <w:pgMar w:top="797" w:right="934" w:bottom="400" w:left="224" w:header="635"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firstLine="344"/>
        <w:spacing w:before="69" w:line="297" w:lineRule="auto"/>
        <w:jc w:val="both"/>
        <w:rPr>
          <w:rFonts w:ascii="SimSun" w:hAnsi="SimSun" w:eastAsia="SimSun" w:cs="SimSun"/>
          <w:sz w:val="21"/>
          <w:szCs w:val="21"/>
        </w:rPr>
      </w:pPr>
      <w:r>
        <w:rPr>
          <w:rFonts w:ascii="SimSun" w:hAnsi="SimSun" w:eastAsia="SimSun" w:cs="SimSun"/>
          <w:sz w:val="21"/>
          <w:szCs w:val="21"/>
          <w:spacing w:val="-7"/>
        </w:rPr>
        <w:t>“数字化产品”主要是指数据、软件、视听产品、电子图书等可</w:t>
      </w:r>
      <w:r>
        <w:rPr>
          <w:rFonts w:ascii="SimSun" w:hAnsi="SimSun" w:eastAsia="SimSun" w:cs="SimSun"/>
          <w:sz w:val="21"/>
          <w:szCs w:val="21"/>
          <w:spacing w:val="8"/>
        </w:rPr>
        <w:t xml:space="preserve"> </w:t>
      </w:r>
      <w:r>
        <w:rPr>
          <w:rFonts w:ascii="SimSun" w:hAnsi="SimSun" w:eastAsia="SimSun" w:cs="SimSun"/>
          <w:sz w:val="21"/>
          <w:szCs w:val="21"/>
          <w:spacing w:val="-10"/>
        </w:rPr>
        <w:t>数字化并通过互联网传输的产品或服务。传统上，此类产品具有</w:t>
      </w:r>
      <w:r>
        <w:rPr>
          <w:rFonts w:ascii="SimSun" w:hAnsi="SimSun" w:eastAsia="SimSun" w:cs="SimSun"/>
          <w:sz w:val="21"/>
          <w:szCs w:val="21"/>
          <w:spacing w:val="-11"/>
        </w:rPr>
        <w:t>有形</w:t>
      </w:r>
      <w:r>
        <w:rPr>
          <w:rFonts w:ascii="SimSun" w:hAnsi="SimSun" w:eastAsia="SimSun" w:cs="SimSun"/>
          <w:sz w:val="21"/>
          <w:szCs w:val="21"/>
        </w:rPr>
        <w:t xml:space="preserve"> </w:t>
      </w:r>
      <w:r>
        <w:rPr>
          <w:rFonts w:ascii="SimSun" w:hAnsi="SimSun" w:eastAsia="SimSun" w:cs="SimSun"/>
          <w:sz w:val="21"/>
          <w:szCs w:val="21"/>
          <w:spacing w:val="-10"/>
        </w:rPr>
        <w:t>的物质载体，被归类在货物范畴，应征收关税。但是，在互联</w:t>
      </w:r>
      <w:r>
        <w:rPr>
          <w:rFonts w:ascii="SimSun" w:hAnsi="SimSun" w:eastAsia="SimSun" w:cs="SimSun"/>
          <w:sz w:val="21"/>
          <w:szCs w:val="21"/>
          <w:spacing w:val="-11"/>
        </w:rPr>
        <w:t>网环境</w:t>
      </w:r>
      <w:r>
        <w:rPr>
          <w:rFonts w:ascii="SimSun" w:hAnsi="SimSun" w:eastAsia="SimSun" w:cs="SimSun"/>
          <w:sz w:val="21"/>
          <w:szCs w:val="21"/>
        </w:rPr>
        <w:t xml:space="preserve"> </w:t>
      </w:r>
      <w:r>
        <w:rPr>
          <w:rFonts w:ascii="SimSun" w:hAnsi="SimSun" w:eastAsia="SimSun" w:cs="SimSun"/>
          <w:sz w:val="21"/>
          <w:szCs w:val="21"/>
          <w:spacing w:val="-8"/>
        </w:rPr>
        <w:t>下，跨境数字化产品(例如电子书、数字影像、数字音乐、动漫、电 </w:t>
      </w:r>
      <w:r>
        <w:rPr>
          <w:rFonts w:ascii="SimSun" w:hAnsi="SimSun" w:eastAsia="SimSun" w:cs="SimSun"/>
          <w:sz w:val="21"/>
          <w:szCs w:val="21"/>
          <w:spacing w:val="-10"/>
        </w:rPr>
        <w:t>游、软件等越来越丰富的数字产品，还有搜索引擎、社交媒体、卫星</w:t>
      </w:r>
      <w:r>
        <w:rPr>
          <w:rFonts w:ascii="SimSun" w:hAnsi="SimSun" w:eastAsia="SimSun" w:cs="SimSun"/>
          <w:sz w:val="21"/>
          <w:szCs w:val="21"/>
        </w:rPr>
        <w:t xml:space="preserve"> </w:t>
      </w:r>
      <w:r>
        <w:rPr>
          <w:rFonts w:ascii="SimSun" w:hAnsi="SimSun" w:eastAsia="SimSun" w:cs="SimSun"/>
          <w:sz w:val="21"/>
          <w:szCs w:val="21"/>
          <w:spacing w:val="-7"/>
        </w:rPr>
        <w:t>定位、远程医疗、远程教育等)通过网络进行电子传输。不仅“原产</w:t>
      </w:r>
      <w:r>
        <w:rPr>
          <w:rFonts w:ascii="SimSun" w:hAnsi="SimSun" w:eastAsia="SimSun" w:cs="SimSun"/>
          <w:sz w:val="21"/>
          <w:szCs w:val="21"/>
          <w:spacing w:val="16"/>
        </w:rPr>
        <w:t xml:space="preserve"> </w:t>
      </w:r>
      <w:r>
        <w:rPr>
          <w:rFonts w:ascii="SimSun" w:hAnsi="SimSun" w:eastAsia="SimSun" w:cs="SimSun"/>
          <w:sz w:val="21"/>
          <w:szCs w:val="21"/>
          <w:spacing w:val="-10"/>
        </w:rPr>
        <w:t>地”“原产国”难以界定，海关在跨境交易中如何发挥功能，也遇到</w:t>
      </w:r>
      <w:r>
        <w:rPr>
          <w:rFonts w:ascii="SimSun" w:hAnsi="SimSun" w:eastAsia="SimSun" w:cs="SimSun"/>
          <w:sz w:val="21"/>
          <w:szCs w:val="21"/>
          <w:spacing w:val="3"/>
        </w:rPr>
        <w:t xml:space="preserve"> </w:t>
      </w:r>
      <w:r>
        <w:rPr>
          <w:rFonts w:ascii="SimSun" w:hAnsi="SimSun" w:eastAsia="SimSun" w:cs="SimSun"/>
          <w:sz w:val="21"/>
          <w:szCs w:val="21"/>
          <w:spacing w:val="-15"/>
        </w:rPr>
        <w:t>了新的挑战。</w:t>
      </w:r>
    </w:p>
    <w:p>
      <w:pPr>
        <w:ind w:right="19" w:firstLine="449"/>
        <w:spacing w:before="172" w:line="306" w:lineRule="auto"/>
        <w:jc w:val="both"/>
        <w:rPr>
          <w:rFonts w:ascii="SimSun" w:hAnsi="SimSun" w:eastAsia="SimSun" w:cs="SimSun"/>
          <w:sz w:val="21"/>
          <w:szCs w:val="21"/>
        </w:rPr>
      </w:pPr>
      <w:r>
        <w:rPr>
          <w:rFonts w:ascii="SimSun" w:hAnsi="SimSun" w:eastAsia="SimSun" w:cs="SimSun"/>
          <w:sz w:val="21"/>
          <w:szCs w:val="21"/>
          <w:spacing w:val="-4"/>
        </w:rPr>
        <w:t>1996年，数字化产品议题在世界贸易组织新加坡部长级会议上</w:t>
      </w:r>
      <w:r>
        <w:rPr>
          <w:rFonts w:ascii="SimSun" w:hAnsi="SimSun" w:eastAsia="SimSun" w:cs="SimSun"/>
          <w:sz w:val="21"/>
          <w:szCs w:val="21"/>
          <w:spacing w:val="13"/>
        </w:rPr>
        <w:t xml:space="preserve"> </w:t>
      </w:r>
      <w:r>
        <w:rPr>
          <w:rFonts w:ascii="SimSun" w:hAnsi="SimSun" w:eastAsia="SimSun" w:cs="SimSun"/>
          <w:sz w:val="21"/>
          <w:szCs w:val="21"/>
        </w:rPr>
        <w:t>被首次提及，但各方对此类产品的归类(货物贸易、服务贸易，抑</w:t>
      </w:r>
      <w:r>
        <w:rPr>
          <w:rFonts w:ascii="SimSun" w:hAnsi="SimSun" w:eastAsia="SimSun" w:cs="SimSun"/>
          <w:sz w:val="21"/>
          <w:szCs w:val="21"/>
          <w:spacing w:val="17"/>
        </w:rPr>
        <w:t xml:space="preserve"> </w:t>
      </w:r>
      <w:r>
        <w:rPr>
          <w:rFonts w:ascii="SimSun" w:hAnsi="SimSun" w:eastAsia="SimSun" w:cs="SimSun"/>
          <w:sz w:val="21"/>
          <w:szCs w:val="21"/>
        </w:rPr>
        <w:t>或是知识产权贸易)持不同见解，相应地出现了围绕其适用贸易规</w:t>
      </w:r>
      <w:r>
        <w:rPr>
          <w:rFonts w:ascii="SimSun" w:hAnsi="SimSun" w:eastAsia="SimSun" w:cs="SimSun"/>
          <w:sz w:val="21"/>
          <w:szCs w:val="21"/>
          <w:spacing w:val="12"/>
        </w:rPr>
        <w:t xml:space="preserve"> </w:t>
      </w:r>
      <w:r>
        <w:rPr>
          <w:rFonts w:ascii="SimSun" w:hAnsi="SimSun" w:eastAsia="SimSun" w:cs="SimSun"/>
          <w:sz w:val="21"/>
          <w:szCs w:val="21"/>
          <w:spacing w:val="-3"/>
        </w:rPr>
        <w:t>则的争议，是适用于世界贸易组织的货物贸易协定、服务贸易协定</w:t>
      </w:r>
      <w:r>
        <w:rPr>
          <w:rFonts w:ascii="SimSun" w:hAnsi="SimSun" w:eastAsia="SimSun" w:cs="SimSun"/>
          <w:sz w:val="21"/>
          <w:szCs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GATS</w:t>
      </w:r>
      <w:r>
        <w:rPr>
          <w:rFonts w:ascii="Times New Roman" w:hAnsi="Times New Roman" w:eastAsia="Times New Roman" w:cs="Times New Roman"/>
          <w:sz w:val="21"/>
          <w:szCs w:val="21"/>
          <w:spacing w:val="2"/>
        </w:rPr>
        <w:t>),   </w:t>
      </w:r>
      <w:r>
        <w:rPr>
          <w:rFonts w:ascii="SimSun" w:hAnsi="SimSun" w:eastAsia="SimSun" w:cs="SimSun"/>
          <w:sz w:val="21"/>
          <w:szCs w:val="21"/>
          <w:spacing w:val="2"/>
        </w:rPr>
        <w:t>还是与贸易相关的知识产权协定</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TRIPS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37"/>
        </w:rPr>
        <w:t xml:space="preserve"> </w:t>
      </w:r>
      <w:r>
        <w:rPr>
          <w:rFonts w:ascii="SimSun" w:hAnsi="SimSun" w:eastAsia="SimSun" w:cs="SimSun"/>
          <w:sz w:val="21"/>
          <w:szCs w:val="21"/>
          <w:spacing w:val="1"/>
        </w:rPr>
        <w:t>国际贸易管</w:t>
      </w:r>
      <w:r>
        <w:rPr>
          <w:rFonts w:ascii="SimSun" w:hAnsi="SimSun" w:eastAsia="SimSun" w:cs="SimSun"/>
          <w:sz w:val="21"/>
          <w:szCs w:val="21"/>
        </w:rPr>
        <w:t xml:space="preserve"> </w:t>
      </w:r>
      <w:r>
        <w:rPr>
          <w:rFonts w:ascii="SimSun" w:hAnsi="SimSun" w:eastAsia="SimSun" w:cs="SimSun"/>
          <w:sz w:val="21"/>
          <w:szCs w:val="21"/>
          <w:spacing w:val="-3"/>
        </w:rPr>
        <w:t>理界采用了“电子传输”这个较为模糊的表述。1998年世界贸易组</w:t>
      </w:r>
      <w:r>
        <w:rPr>
          <w:rFonts w:ascii="SimSun" w:hAnsi="SimSun" w:eastAsia="SimSun" w:cs="SimSun"/>
          <w:sz w:val="21"/>
          <w:szCs w:val="21"/>
        </w:rPr>
        <w:t xml:space="preserve"> </w:t>
      </w:r>
      <w:r>
        <w:rPr>
          <w:rFonts w:ascii="SimSun" w:hAnsi="SimSun" w:eastAsia="SimSun" w:cs="SimSun"/>
          <w:sz w:val="21"/>
          <w:szCs w:val="21"/>
          <w:spacing w:val="-3"/>
        </w:rPr>
        <w:t>织部长级会议申明中提到成员同意继续目前不对电子传</w:t>
      </w:r>
      <w:r>
        <w:rPr>
          <w:rFonts w:ascii="SimSun" w:hAnsi="SimSun" w:eastAsia="SimSun" w:cs="SimSun"/>
          <w:sz w:val="21"/>
          <w:szCs w:val="21"/>
          <w:spacing w:val="-4"/>
        </w:rPr>
        <w:t>输征收海关</w:t>
      </w:r>
      <w:r>
        <w:rPr>
          <w:rFonts w:ascii="SimSun" w:hAnsi="SimSun" w:eastAsia="SimSun" w:cs="SimSun"/>
          <w:sz w:val="21"/>
          <w:szCs w:val="21"/>
        </w:rPr>
        <w:t xml:space="preserve"> </w:t>
      </w:r>
      <w:r>
        <w:rPr>
          <w:rFonts w:ascii="SimSun" w:hAnsi="SimSun" w:eastAsia="SimSun" w:cs="SimSun"/>
          <w:sz w:val="21"/>
          <w:szCs w:val="21"/>
          <w:spacing w:val="-3"/>
        </w:rPr>
        <w:t>关税的做法。世界贸易组织虽然在1998年就通过了《关于全球电子</w:t>
      </w:r>
      <w:r>
        <w:rPr>
          <w:rFonts w:ascii="SimSun" w:hAnsi="SimSun" w:eastAsia="SimSun" w:cs="SimSun"/>
          <w:sz w:val="21"/>
          <w:szCs w:val="21"/>
          <w:spacing w:val="1"/>
        </w:rPr>
        <w:t xml:space="preserve"> </w:t>
      </w:r>
      <w:r>
        <w:rPr>
          <w:rFonts w:ascii="SimSun" w:hAnsi="SimSun" w:eastAsia="SimSun" w:cs="SimSun"/>
          <w:sz w:val="21"/>
          <w:szCs w:val="21"/>
          <w:spacing w:val="-6"/>
        </w:rPr>
        <w:t>商务的宣言》,但此后多年对电子商务议题只有讨论，并没多</w:t>
      </w:r>
      <w:r>
        <w:rPr>
          <w:rFonts w:ascii="SimSun" w:hAnsi="SimSun" w:eastAsia="SimSun" w:cs="SimSun"/>
          <w:sz w:val="21"/>
          <w:szCs w:val="21"/>
          <w:spacing w:val="-7"/>
        </w:rPr>
        <w:t>少实质</w:t>
      </w:r>
      <w:r>
        <w:rPr>
          <w:rFonts w:ascii="SimSun" w:hAnsi="SimSun" w:eastAsia="SimSun" w:cs="SimSun"/>
          <w:sz w:val="21"/>
          <w:szCs w:val="21"/>
        </w:rPr>
        <w:t xml:space="preserve"> </w:t>
      </w:r>
      <w:r>
        <w:rPr>
          <w:rFonts w:ascii="SimSun" w:hAnsi="SimSun" w:eastAsia="SimSun" w:cs="SimSun"/>
          <w:sz w:val="21"/>
          <w:szCs w:val="21"/>
          <w:spacing w:val="-20"/>
        </w:rPr>
        <w:t>进展。①</w:t>
      </w:r>
    </w:p>
    <w:p>
      <w:pPr>
        <w:ind w:firstLine="449"/>
        <w:spacing w:before="112" w:line="296" w:lineRule="auto"/>
        <w:jc w:val="both"/>
        <w:rPr>
          <w:rFonts w:ascii="SimSun" w:hAnsi="SimSun" w:eastAsia="SimSun" w:cs="SimSun"/>
          <w:sz w:val="21"/>
          <w:szCs w:val="21"/>
        </w:rPr>
      </w:pPr>
      <w:r>
        <w:rPr>
          <w:rFonts w:ascii="SimSun" w:hAnsi="SimSun" w:eastAsia="SimSun" w:cs="SimSun"/>
          <w:sz w:val="21"/>
          <w:szCs w:val="21"/>
          <w:spacing w:val="-10"/>
        </w:rPr>
        <w:t>在世界贸易组织框架下，1998年，“电子商务”被定义为“通过</w:t>
      </w:r>
      <w:r>
        <w:rPr>
          <w:rFonts w:ascii="SimSun" w:hAnsi="SimSun" w:eastAsia="SimSun" w:cs="SimSun"/>
          <w:sz w:val="21"/>
          <w:szCs w:val="21"/>
          <w:spacing w:val="6"/>
        </w:rPr>
        <w:t xml:space="preserve"> </w:t>
      </w:r>
      <w:r>
        <w:rPr>
          <w:rFonts w:ascii="SimSun" w:hAnsi="SimSun" w:eastAsia="SimSun" w:cs="SimSun"/>
          <w:sz w:val="21"/>
          <w:szCs w:val="21"/>
          <w:spacing w:val="-10"/>
        </w:rPr>
        <w:t>电子的方式或媒介制造、经销、营销、销售货物或服务”。②联合国</w:t>
      </w:r>
      <w:r>
        <w:rPr>
          <w:rFonts w:ascii="SimSun" w:hAnsi="SimSun" w:eastAsia="SimSun" w:cs="SimSun"/>
          <w:sz w:val="21"/>
          <w:szCs w:val="21"/>
          <w:spacing w:val="9"/>
        </w:rPr>
        <w:t xml:space="preserve"> </w:t>
      </w:r>
      <w:r>
        <w:rPr>
          <w:rFonts w:ascii="SimSun" w:hAnsi="SimSun" w:eastAsia="SimSun" w:cs="SimSun"/>
          <w:sz w:val="21"/>
          <w:szCs w:val="21"/>
          <w:spacing w:val="-2"/>
        </w:rPr>
        <w:t>贸易和发展会议在2000年将电子商务的形态分为四</w:t>
      </w:r>
      <w:r>
        <w:rPr>
          <w:rFonts w:ascii="SimSun" w:hAnsi="SimSun" w:eastAsia="SimSun" w:cs="SimSun"/>
          <w:sz w:val="21"/>
          <w:szCs w:val="21"/>
          <w:spacing w:val="-3"/>
        </w:rPr>
        <w:t>类，即</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B2B</w:t>
      </w:r>
      <w:r>
        <w:rPr>
          <w:rFonts w:ascii="SimSun" w:hAnsi="SimSun" w:eastAsia="SimSun" w:cs="SimSun"/>
          <w:sz w:val="21"/>
          <w:szCs w:val="21"/>
          <w:spacing w:val="-3"/>
        </w:rPr>
        <w:t>(</w:t>
      </w:r>
      <w:r>
        <w:rPr>
          <w:rFonts w:ascii="SimSun" w:hAnsi="SimSun" w:eastAsia="SimSun" w:cs="SimSun"/>
          <w:sz w:val="21"/>
          <w:szCs w:val="21"/>
          <w:spacing w:val="-35"/>
        </w:rPr>
        <w:t xml:space="preserve"> </w:t>
      </w:r>
      <w:r>
        <w:rPr>
          <w:rFonts w:ascii="SimSun" w:hAnsi="SimSun" w:eastAsia="SimSun" w:cs="SimSun"/>
          <w:sz w:val="21"/>
          <w:szCs w:val="21"/>
          <w:spacing w:val="-3"/>
        </w:rPr>
        <w:t>企</w:t>
      </w:r>
      <w:r>
        <w:rPr>
          <w:rFonts w:ascii="SimSun" w:hAnsi="SimSun" w:eastAsia="SimSun" w:cs="SimSun"/>
          <w:sz w:val="21"/>
          <w:szCs w:val="21"/>
        </w:rPr>
        <w:t xml:space="preserve"> </w:t>
      </w:r>
      <w:r>
        <w:rPr>
          <w:rFonts w:ascii="SimSun" w:hAnsi="SimSun" w:eastAsia="SimSun" w:cs="SimSun"/>
          <w:sz w:val="21"/>
          <w:szCs w:val="21"/>
          <w:spacing w:val="-4"/>
        </w:rPr>
        <w:t>业到企业)、</w:t>
      </w:r>
      <w:r>
        <w:rPr>
          <w:rFonts w:ascii="Times New Roman" w:hAnsi="Times New Roman" w:eastAsia="Times New Roman" w:cs="Times New Roman"/>
          <w:sz w:val="21"/>
          <w:szCs w:val="21"/>
          <w:spacing w:val="-4"/>
        </w:rPr>
        <w:t>B2C</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4"/>
        </w:rPr>
        <w:t>(企业到消费者)、</w:t>
      </w:r>
      <w:r>
        <w:rPr>
          <w:rFonts w:ascii="Times New Roman" w:hAnsi="Times New Roman" w:eastAsia="Times New Roman" w:cs="Times New Roman"/>
          <w:sz w:val="21"/>
          <w:szCs w:val="21"/>
          <w:spacing w:val="-4"/>
        </w:rPr>
        <w:t>B2G</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(企业到政府)、</w:t>
      </w:r>
      <w:r>
        <w:rPr>
          <w:rFonts w:ascii="Times New Roman" w:hAnsi="Times New Roman" w:eastAsia="Times New Roman" w:cs="Times New Roman"/>
          <w:sz w:val="21"/>
          <w:szCs w:val="21"/>
          <w:spacing w:val="-4"/>
        </w:rPr>
        <w:t>C2C</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4"/>
        </w:rPr>
        <w:t>(</w:t>
      </w:r>
      <w:r>
        <w:rPr>
          <w:rFonts w:ascii="SimSun" w:hAnsi="SimSun" w:eastAsia="SimSun" w:cs="SimSun"/>
          <w:sz w:val="21"/>
          <w:szCs w:val="21"/>
          <w:spacing w:val="-5"/>
        </w:rPr>
        <w:t xml:space="preserve"> 消</w:t>
      </w:r>
      <w:r>
        <w:rPr>
          <w:rFonts w:ascii="SimSun" w:hAnsi="SimSun" w:eastAsia="SimSun" w:cs="SimSun"/>
          <w:sz w:val="21"/>
          <w:szCs w:val="21"/>
        </w:rPr>
        <w:t xml:space="preserve"> </w:t>
      </w:r>
      <w:r>
        <w:rPr>
          <w:rFonts w:ascii="SimSun" w:hAnsi="SimSun" w:eastAsia="SimSun" w:cs="SimSun"/>
          <w:sz w:val="21"/>
          <w:szCs w:val="21"/>
          <w:spacing w:val="4"/>
        </w:rPr>
        <w:t>费者到消费者),既涵盖可以数字化交付的有形商品，也涵盖无形</w:t>
      </w:r>
      <w:r>
        <w:rPr>
          <w:rFonts w:ascii="SimSun" w:hAnsi="SimSun" w:eastAsia="SimSun" w:cs="SimSun"/>
          <w:sz w:val="21"/>
          <w:szCs w:val="21"/>
          <w:spacing w:val="2"/>
        </w:rPr>
        <w:t xml:space="preserve"> </w:t>
      </w:r>
      <w:r>
        <w:rPr>
          <w:rFonts w:ascii="SimSun" w:hAnsi="SimSun" w:eastAsia="SimSun" w:cs="SimSun"/>
          <w:sz w:val="21"/>
          <w:szCs w:val="21"/>
        </w:rPr>
        <w:t>(数字的)产品和服务。美国国际贸易委员会</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(USITC)   </w:t>
      </w:r>
      <w:r>
        <w:rPr>
          <w:rFonts w:ascii="SimSun" w:hAnsi="SimSun" w:eastAsia="SimSun" w:cs="SimSun"/>
          <w:sz w:val="21"/>
          <w:szCs w:val="21"/>
        </w:rPr>
        <w:t>则在2013年</w:t>
      </w:r>
    </w:p>
    <w:p>
      <w:pPr>
        <w:pStyle w:val="BodyText"/>
        <w:spacing w:line="285" w:lineRule="auto"/>
        <w:rPr/>
      </w:pPr>
      <w:r/>
    </w:p>
    <w:p>
      <w:pPr>
        <w:spacing w:before="55" w:line="227" w:lineRule="auto"/>
        <w:rPr>
          <w:rFonts w:ascii="STXingkai" w:hAnsi="STXingkai" w:eastAsia="STXingkai" w:cs="STXingkai"/>
          <w:sz w:val="16"/>
          <w:szCs w:val="16"/>
        </w:rPr>
      </w:pPr>
      <w:r>
        <w:rPr>
          <w:rFonts w:ascii="KaiTi" w:hAnsi="KaiTi" w:eastAsia="KaiTi" w:cs="KaiTi"/>
          <w:sz w:val="16"/>
          <w:szCs w:val="16"/>
          <w:spacing w:val="5"/>
        </w:rPr>
        <w:t>①</w:t>
      </w:r>
      <w:r>
        <w:rPr>
          <w:rFonts w:ascii="KaiTi" w:hAnsi="KaiTi" w:eastAsia="KaiTi" w:cs="KaiTi"/>
          <w:sz w:val="16"/>
          <w:szCs w:val="16"/>
          <w:spacing w:val="57"/>
        </w:rPr>
        <w:t xml:space="preserve"> </w:t>
      </w:r>
      <w:r>
        <w:rPr>
          <w:rFonts w:ascii="STXingkai" w:hAnsi="STXingkai" w:eastAsia="STXingkai" w:cs="STXingkai"/>
          <w:sz w:val="16"/>
          <w:szCs w:val="16"/>
          <w:spacing w:val="5"/>
        </w:rPr>
        <w:t>戴慧.跨境数字贸易的发展与国际治理.中国发展观察，2021</w:t>
      </w:r>
      <w:r>
        <w:rPr>
          <w:rFonts w:ascii="STXingkai" w:hAnsi="STXingkai" w:eastAsia="STXingkai" w:cs="STXingkai"/>
          <w:sz w:val="16"/>
          <w:szCs w:val="16"/>
          <w:spacing w:val="21"/>
        </w:rPr>
        <w:t xml:space="preserve"> </w:t>
      </w:r>
      <w:r>
        <w:rPr>
          <w:rFonts w:ascii="Times New Roman" w:hAnsi="Times New Roman" w:eastAsia="Times New Roman" w:cs="Times New Roman"/>
          <w:sz w:val="16"/>
          <w:szCs w:val="16"/>
          <w:spacing w:val="5"/>
        </w:rPr>
        <w:t>(9-10):63-69  </w:t>
      </w:r>
      <w:r>
        <w:rPr>
          <w:rFonts w:ascii="Times New Roman" w:hAnsi="Times New Roman" w:eastAsia="Times New Roman" w:cs="Times New Roman"/>
          <w:sz w:val="16"/>
          <w:szCs w:val="16"/>
          <w:spacing w:val="4"/>
        </w:rPr>
        <w:t xml:space="preserve">     </w:t>
      </w:r>
      <w:r>
        <w:rPr>
          <w:rFonts w:ascii="STXingkai" w:hAnsi="STXingkai" w:eastAsia="STXingkai" w:cs="STXingkai"/>
          <w:sz w:val="16"/>
          <w:szCs w:val="16"/>
          <w:spacing w:val="4"/>
        </w:rPr>
        <w:t>.</w:t>
      </w:r>
    </w:p>
    <w:p>
      <w:pPr>
        <w:ind w:left="379" w:right="23" w:hanging="379"/>
        <w:spacing w:before="70" w:line="272" w:lineRule="auto"/>
        <w:rPr>
          <w:rFonts w:ascii="KaiTi" w:hAnsi="KaiTi" w:eastAsia="KaiTi" w:cs="KaiTi"/>
          <w:sz w:val="16"/>
          <w:szCs w:val="16"/>
        </w:rPr>
      </w:pPr>
      <w:r>
        <w:rPr>
          <w:rFonts w:ascii="KaiTi" w:hAnsi="KaiTi" w:eastAsia="KaiTi" w:cs="KaiTi"/>
          <w:sz w:val="16"/>
          <w:szCs w:val="16"/>
          <w:spacing w:val="1"/>
        </w:rPr>
        <w:t>②</w:t>
      </w:r>
      <w:r>
        <w:rPr>
          <w:rFonts w:ascii="KaiTi" w:hAnsi="KaiTi" w:eastAsia="KaiTi" w:cs="KaiTi"/>
          <w:sz w:val="16"/>
          <w:szCs w:val="16"/>
          <w:spacing w:val="56"/>
        </w:rPr>
        <w:t xml:space="preserve"> </w:t>
      </w:r>
      <w:r>
        <w:rPr>
          <w:rFonts w:ascii="KaiTi" w:hAnsi="KaiTi" w:eastAsia="KaiTi" w:cs="KaiTi"/>
          <w:sz w:val="16"/>
          <w:szCs w:val="16"/>
          <w:spacing w:val="1"/>
        </w:rPr>
        <w:t>乔斯林·马德琳，安德里亚斯·马瑞尔.无疆界的数字服务贸易，该如何统计?.白</w:t>
      </w:r>
      <w:r>
        <w:rPr>
          <w:rFonts w:ascii="KaiTi" w:hAnsi="KaiTi" w:eastAsia="KaiTi" w:cs="KaiTi"/>
          <w:sz w:val="16"/>
          <w:szCs w:val="16"/>
        </w:rPr>
        <w:t xml:space="preserve"> </w:t>
      </w:r>
      <w:r>
        <w:rPr>
          <w:rFonts w:ascii="KaiTi" w:hAnsi="KaiTi" w:eastAsia="KaiTi" w:cs="KaiTi"/>
          <w:sz w:val="16"/>
          <w:szCs w:val="16"/>
          <w:spacing w:val="12"/>
        </w:rPr>
        <w:t>晓柯，编译.金融市场研究，2016,51(</w:t>
      </w:r>
      <w:r>
        <w:rPr>
          <w:rFonts w:ascii="KaiTi" w:hAnsi="KaiTi" w:eastAsia="KaiTi" w:cs="KaiTi"/>
          <w:sz w:val="16"/>
          <w:szCs w:val="16"/>
          <w:spacing w:val="11"/>
        </w:rPr>
        <w:t>8):27-35.</w:t>
      </w:r>
    </w:p>
    <w:p>
      <w:pPr>
        <w:spacing w:line="272" w:lineRule="auto"/>
        <w:sectPr>
          <w:headerReference w:type="default" r:id="rId299"/>
          <w:pgSz w:w="7330" w:h="12480"/>
          <w:pgMar w:top="547" w:right="631" w:bottom="400" w:left="659" w:header="385" w:footer="0" w:gutter="0"/>
        </w:sectPr>
        <w:rPr>
          <w:rFonts w:ascii="KaiTi" w:hAnsi="KaiTi" w:eastAsia="KaiTi" w:cs="KaiTi"/>
          <w:sz w:val="16"/>
          <w:szCs w:val="16"/>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right="56"/>
        <w:spacing w:before="62" w:line="360" w:lineRule="auto"/>
        <w:jc w:val="both"/>
        <w:rPr>
          <w:rFonts w:ascii="SimSun" w:hAnsi="SimSun" w:eastAsia="SimSun" w:cs="SimSun"/>
          <w:sz w:val="19"/>
          <w:szCs w:val="19"/>
        </w:rPr>
      </w:pPr>
      <w:r>
        <w:rPr>
          <w:rFonts w:ascii="SimSun" w:hAnsi="SimSun" w:eastAsia="SimSun" w:cs="SimSun"/>
          <w:sz w:val="19"/>
          <w:szCs w:val="19"/>
          <w:spacing w:val="13"/>
        </w:rPr>
        <w:t>7月发布的《美国与全球经济中的数字贸易》中将“</w:t>
      </w:r>
      <w:r>
        <w:rPr>
          <w:rFonts w:ascii="SimSun" w:hAnsi="SimSun" w:eastAsia="SimSun" w:cs="SimSun"/>
          <w:sz w:val="19"/>
          <w:szCs w:val="19"/>
          <w:spacing w:val="12"/>
        </w:rPr>
        <w:t>数字贸易”定义</w:t>
      </w:r>
      <w:r>
        <w:rPr>
          <w:rFonts w:ascii="SimSun" w:hAnsi="SimSun" w:eastAsia="SimSun" w:cs="SimSun"/>
          <w:sz w:val="19"/>
          <w:szCs w:val="19"/>
        </w:rPr>
        <w:t xml:space="preserve"> </w:t>
      </w:r>
      <w:r>
        <w:rPr>
          <w:rFonts w:ascii="SimSun" w:hAnsi="SimSun" w:eastAsia="SimSun" w:cs="SimSun"/>
          <w:sz w:val="19"/>
          <w:szCs w:val="19"/>
          <w:spacing w:val="9"/>
        </w:rPr>
        <w:t>为：通过互联网传输产品和服务的国内商务和国际贸易活动，交易标</w:t>
      </w:r>
      <w:r>
        <w:rPr>
          <w:rFonts w:ascii="SimSun" w:hAnsi="SimSun" w:eastAsia="SimSun" w:cs="SimSun"/>
          <w:sz w:val="19"/>
          <w:szCs w:val="19"/>
          <w:spacing w:val="16"/>
        </w:rPr>
        <w:t xml:space="preserve"> </w:t>
      </w:r>
      <w:r>
        <w:rPr>
          <w:rFonts w:ascii="SimSun" w:hAnsi="SimSun" w:eastAsia="SimSun" w:cs="SimSun"/>
          <w:sz w:val="19"/>
          <w:szCs w:val="19"/>
          <w:spacing w:val="10"/>
        </w:rPr>
        <w:t>的包括音乐、游戏、视频、书籍等数字内容，社交媒体、用户</w:t>
      </w:r>
      <w:r>
        <w:rPr>
          <w:rFonts w:ascii="SimSun" w:hAnsi="SimSun" w:eastAsia="SimSun" w:cs="SimSun"/>
          <w:sz w:val="19"/>
          <w:szCs w:val="19"/>
          <w:spacing w:val="9"/>
        </w:rPr>
        <w:t>评论网</w:t>
      </w:r>
      <w:r>
        <w:rPr>
          <w:rFonts w:ascii="SimSun" w:hAnsi="SimSun" w:eastAsia="SimSun" w:cs="SimSun"/>
          <w:sz w:val="19"/>
          <w:szCs w:val="19"/>
        </w:rPr>
        <w:t xml:space="preserve"> </w:t>
      </w:r>
      <w:r>
        <w:rPr>
          <w:rFonts w:ascii="SimSun" w:hAnsi="SimSun" w:eastAsia="SimSun" w:cs="SimSun"/>
          <w:sz w:val="19"/>
          <w:szCs w:val="19"/>
          <w:spacing w:val="10"/>
        </w:rPr>
        <w:t>站等数字媒介，搜索引擎，其他产品与服务。</w:t>
      </w:r>
      <w:r>
        <w:rPr>
          <w:rFonts w:ascii="SimSun" w:hAnsi="SimSun" w:eastAsia="SimSun" w:cs="SimSun"/>
          <w:sz w:val="19"/>
          <w:szCs w:val="19"/>
          <w:spacing w:val="9"/>
        </w:rPr>
        <w:t>这一定义实质上对“产</w:t>
      </w:r>
    </w:p>
    <w:p>
      <w:pPr>
        <w:spacing w:line="219" w:lineRule="auto"/>
        <w:rPr>
          <w:rFonts w:ascii="SimSun" w:hAnsi="SimSun" w:eastAsia="SimSun" w:cs="SimSun"/>
          <w:sz w:val="19"/>
          <w:szCs w:val="19"/>
        </w:rPr>
      </w:pPr>
      <w:r>
        <w:rPr>
          <w:rFonts w:ascii="SimSun" w:hAnsi="SimSun" w:eastAsia="SimSun" w:cs="SimSun"/>
          <w:sz w:val="19"/>
          <w:szCs w:val="19"/>
          <w:spacing w:val="7"/>
        </w:rPr>
        <w:t>品”与“服务”的分界进行了模糊处理。</w:t>
      </w:r>
    </w:p>
    <w:p>
      <w:pPr>
        <w:ind w:right="45" w:firstLine="409"/>
        <w:spacing w:before="106" w:line="349" w:lineRule="auto"/>
        <w:jc w:val="both"/>
        <w:rPr>
          <w:rFonts w:ascii="SimSun" w:hAnsi="SimSun" w:eastAsia="SimSun" w:cs="SimSun"/>
          <w:sz w:val="19"/>
          <w:szCs w:val="19"/>
        </w:rPr>
      </w:pPr>
      <w:r>
        <w:rPr>
          <w:rFonts w:ascii="SimSun" w:hAnsi="SimSun" w:eastAsia="SimSun" w:cs="SimSun"/>
          <w:sz w:val="19"/>
          <w:szCs w:val="19"/>
          <w:spacing w:val="9"/>
        </w:rPr>
        <w:t>不论是用“电子商务”还是“数字贸易”作为归类名称，也不论</w:t>
      </w:r>
      <w:r>
        <w:rPr>
          <w:rFonts w:ascii="SimSun" w:hAnsi="SimSun" w:eastAsia="SimSun" w:cs="SimSun"/>
          <w:sz w:val="19"/>
          <w:szCs w:val="19"/>
          <w:spacing w:val="6"/>
        </w:rPr>
        <w:t xml:space="preserve"> </w:t>
      </w:r>
      <w:r>
        <w:rPr>
          <w:rFonts w:ascii="SimSun" w:hAnsi="SimSun" w:eastAsia="SimSun" w:cs="SimSun"/>
          <w:sz w:val="19"/>
          <w:szCs w:val="19"/>
          <w:spacing w:val="10"/>
        </w:rPr>
        <w:t>不同的经济体和国际机制如何定义其涵盖范畴，各经济体都面临数字</w:t>
      </w:r>
      <w:r>
        <w:rPr>
          <w:rFonts w:ascii="SimSun" w:hAnsi="SimSun" w:eastAsia="SimSun" w:cs="SimSun"/>
          <w:sz w:val="19"/>
          <w:szCs w:val="19"/>
          <w:spacing w:val="8"/>
        </w:rPr>
        <w:t xml:space="preserve"> </w:t>
      </w:r>
      <w:r>
        <w:rPr>
          <w:rFonts w:ascii="SimSun" w:hAnsi="SimSun" w:eastAsia="SimSun" w:cs="SimSun"/>
          <w:sz w:val="19"/>
          <w:szCs w:val="19"/>
          <w:spacing w:val="10"/>
        </w:rPr>
        <w:t>经济征税权的确立、利润份额分配、打击税收流失等问题。世界贸易</w:t>
      </w:r>
      <w:r>
        <w:rPr>
          <w:rFonts w:ascii="SimSun" w:hAnsi="SimSun" w:eastAsia="SimSun" w:cs="SimSun"/>
          <w:sz w:val="19"/>
          <w:szCs w:val="19"/>
        </w:rPr>
        <w:t xml:space="preserve"> </w:t>
      </w:r>
      <w:r>
        <w:rPr>
          <w:rFonts w:ascii="SimSun" w:hAnsi="SimSun" w:eastAsia="SimSun" w:cs="SimSun"/>
          <w:sz w:val="19"/>
          <w:szCs w:val="19"/>
          <w:spacing w:val="9"/>
        </w:rPr>
        <w:t>组织《海关估价协议》要求被估价的产品必须是有形的，海关如何对</w:t>
      </w:r>
    </w:p>
    <w:p>
      <w:pPr>
        <w:spacing w:line="217" w:lineRule="auto"/>
        <w:rPr>
          <w:rFonts w:ascii="SimSun" w:hAnsi="SimSun" w:eastAsia="SimSun" w:cs="SimSun"/>
          <w:sz w:val="19"/>
          <w:szCs w:val="19"/>
        </w:rPr>
      </w:pPr>
      <w:r>
        <w:rPr>
          <w:rFonts w:ascii="SimSun" w:hAnsi="SimSun" w:eastAsia="SimSun" w:cs="SimSun"/>
          <w:sz w:val="19"/>
          <w:szCs w:val="19"/>
          <w:spacing w:val="7"/>
        </w:rPr>
        <w:t>数字交易进行估价和征税，难以达成国际共识。</w:t>
      </w:r>
    </w:p>
    <w:p>
      <w:pPr>
        <w:ind w:firstLine="409"/>
        <w:spacing w:before="133" w:line="350" w:lineRule="auto"/>
        <w:jc w:val="both"/>
        <w:rPr>
          <w:rFonts w:ascii="SimSun" w:hAnsi="SimSun" w:eastAsia="SimSun" w:cs="SimSun"/>
          <w:sz w:val="19"/>
          <w:szCs w:val="19"/>
        </w:rPr>
      </w:pPr>
      <w:r>
        <w:rPr>
          <w:rFonts w:ascii="SimSun" w:hAnsi="SimSun" w:eastAsia="SimSun" w:cs="SimSun"/>
          <w:sz w:val="19"/>
          <w:szCs w:val="19"/>
          <w:spacing w:val="15"/>
        </w:rPr>
        <w:t>1998年后的历届世界贸易组织部长级会议都维持了对数字化产 </w:t>
      </w:r>
      <w:r>
        <w:rPr>
          <w:rFonts w:ascii="SimSun" w:hAnsi="SimSun" w:eastAsia="SimSun" w:cs="SimSun"/>
          <w:sz w:val="19"/>
          <w:szCs w:val="19"/>
          <w:spacing w:val="21"/>
        </w:rPr>
        <w:t>品免征关税的安排。2020年12月世界贸易组织电子商务谈判全体</w:t>
      </w:r>
      <w:r>
        <w:rPr>
          <w:rFonts w:ascii="SimSun" w:hAnsi="SimSun" w:eastAsia="SimSun" w:cs="SimSun"/>
          <w:sz w:val="19"/>
          <w:szCs w:val="19"/>
          <w:spacing w:val="16"/>
        </w:rPr>
        <w:t xml:space="preserve"> </w:t>
      </w:r>
      <w:r>
        <w:rPr>
          <w:rFonts w:ascii="SimSun" w:hAnsi="SimSun" w:eastAsia="SimSun" w:cs="SimSun"/>
          <w:sz w:val="19"/>
          <w:szCs w:val="19"/>
          <w:spacing w:val="16"/>
        </w:rPr>
        <w:t>成员发布的联合声明提到最新的谈判进展：参与方已基于成员提案</w:t>
      </w:r>
      <w:r>
        <w:rPr>
          <w:rFonts w:ascii="SimSun" w:hAnsi="SimSun" w:eastAsia="SimSun" w:cs="SimSun"/>
          <w:sz w:val="19"/>
          <w:szCs w:val="19"/>
          <w:spacing w:val="14"/>
        </w:rPr>
        <w:t xml:space="preserve"> </w:t>
      </w:r>
      <w:r>
        <w:rPr>
          <w:rFonts w:ascii="SimSun" w:hAnsi="SimSun" w:eastAsia="SimSun" w:cs="SimSun"/>
          <w:sz w:val="19"/>
          <w:szCs w:val="19"/>
          <w:spacing w:val="19"/>
        </w:rPr>
        <w:t>拟出统一谈判文本，在多方面的小组讨论中取得</w:t>
      </w:r>
      <w:r>
        <w:rPr>
          <w:rFonts w:ascii="SimSun" w:hAnsi="SimSun" w:eastAsia="SimSun" w:cs="SimSun"/>
          <w:sz w:val="19"/>
          <w:szCs w:val="19"/>
          <w:spacing w:val="18"/>
        </w:rPr>
        <w:t>较好的谈判进展，</w:t>
      </w:r>
      <w:r>
        <w:rPr>
          <w:rFonts w:ascii="SimSun" w:hAnsi="SimSun" w:eastAsia="SimSun" w:cs="SimSun"/>
          <w:sz w:val="19"/>
          <w:szCs w:val="19"/>
        </w:rPr>
        <w:t xml:space="preserve"> </w:t>
      </w:r>
      <w:r>
        <w:rPr>
          <w:rFonts w:ascii="SimSun" w:hAnsi="SimSun" w:eastAsia="SimSun" w:cs="SimSun"/>
          <w:sz w:val="19"/>
          <w:szCs w:val="19"/>
          <w:spacing w:val="12"/>
        </w:rPr>
        <w:t>包括电子签名认证、无纸化贸易、电子传输的关税、</w:t>
      </w:r>
      <w:r>
        <w:rPr>
          <w:rFonts w:ascii="SimSun" w:hAnsi="SimSun" w:eastAsia="SimSun" w:cs="SimSun"/>
          <w:sz w:val="19"/>
          <w:szCs w:val="19"/>
          <w:spacing w:val="11"/>
        </w:rPr>
        <w:t>开放政府数据、</w:t>
      </w:r>
      <w:r>
        <w:rPr>
          <w:rFonts w:ascii="SimSun" w:hAnsi="SimSun" w:eastAsia="SimSun" w:cs="SimSun"/>
          <w:sz w:val="19"/>
          <w:szCs w:val="19"/>
        </w:rPr>
        <w:t xml:space="preserve"> </w:t>
      </w:r>
      <w:r>
        <w:rPr>
          <w:rFonts w:ascii="SimSun" w:hAnsi="SimSun" w:eastAsia="SimSun" w:cs="SimSun"/>
          <w:sz w:val="19"/>
          <w:szCs w:val="19"/>
          <w:spacing w:val="15"/>
        </w:rPr>
        <w:t>开放网络准入、消费者保护、源代码等；但在达成高标准协定至关 </w:t>
      </w:r>
      <w:r>
        <w:rPr>
          <w:rFonts w:ascii="SimSun" w:hAnsi="SimSun" w:eastAsia="SimSun" w:cs="SimSun"/>
          <w:sz w:val="19"/>
          <w:szCs w:val="19"/>
          <w:spacing w:val="16"/>
        </w:rPr>
        <w:t>重要的数据流动方面，讨论仍在继续。另外，声明提到的参与技术</w:t>
      </w:r>
    </w:p>
    <w:p>
      <w:pPr>
        <w:spacing w:line="217" w:lineRule="auto"/>
        <w:rPr>
          <w:rFonts w:ascii="SimSun" w:hAnsi="SimSun" w:eastAsia="SimSun" w:cs="SimSun"/>
          <w:sz w:val="19"/>
          <w:szCs w:val="19"/>
        </w:rPr>
      </w:pPr>
      <w:r>
        <w:rPr>
          <w:rFonts w:ascii="SimSun" w:hAnsi="SimSun" w:eastAsia="SimSun" w:cs="SimSun"/>
          <w:sz w:val="19"/>
          <w:szCs w:val="19"/>
          <w:spacing w:val="8"/>
        </w:rPr>
        <w:t>方面讨论的代表中没有中国，这点未来可能会有所影响。①</w:t>
      </w:r>
    </w:p>
    <w:p>
      <w:pPr>
        <w:ind w:right="45" w:firstLine="409"/>
        <w:spacing w:before="140" w:line="358" w:lineRule="auto"/>
        <w:jc w:val="both"/>
        <w:rPr>
          <w:rFonts w:ascii="SimSun" w:hAnsi="SimSun" w:eastAsia="SimSun" w:cs="SimSun"/>
          <w:sz w:val="19"/>
          <w:szCs w:val="19"/>
        </w:rPr>
      </w:pPr>
      <w:r>
        <w:rPr>
          <w:rFonts w:ascii="SimSun" w:hAnsi="SimSun" w:eastAsia="SimSun" w:cs="SimSun"/>
          <w:sz w:val="19"/>
          <w:szCs w:val="19"/>
          <w:spacing w:val="17"/>
        </w:rPr>
        <w:t>在全球数字贸易规则谈判中，具有较强影响力的三大力量是美</w:t>
      </w:r>
      <w:r>
        <w:rPr>
          <w:rFonts w:ascii="SimSun" w:hAnsi="SimSun" w:eastAsia="SimSun" w:cs="SimSun"/>
          <w:sz w:val="19"/>
          <w:szCs w:val="19"/>
          <w:spacing w:val="9"/>
        </w:rPr>
        <w:t xml:space="preserve"> </w:t>
      </w:r>
      <w:r>
        <w:rPr>
          <w:rFonts w:ascii="SimSun" w:hAnsi="SimSun" w:eastAsia="SimSun" w:cs="SimSun"/>
          <w:sz w:val="19"/>
          <w:szCs w:val="19"/>
          <w:spacing w:val="9"/>
        </w:rPr>
        <w:t>国、欧盟和中国。这三方的诉求内容都相当丰富且处于不断变化的过</w:t>
      </w:r>
    </w:p>
    <w:p>
      <w:pPr>
        <w:spacing w:line="217" w:lineRule="auto"/>
        <w:rPr>
          <w:rFonts w:ascii="SimSun" w:hAnsi="SimSun" w:eastAsia="SimSun" w:cs="SimSun"/>
          <w:sz w:val="19"/>
          <w:szCs w:val="19"/>
        </w:rPr>
      </w:pPr>
      <w:r>
        <w:rPr>
          <w:rFonts w:ascii="SimSun" w:hAnsi="SimSun" w:eastAsia="SimSun" w:cs="SimSun"/>
          <w:sz w:val="19"/>
          <w:szCs w:val="19"/>
          <w:spacing w:val="7"/>
        </w:rPr>
        <w:t>程中，基于专业研究人员的提炼，本节转述各自诉求的要点。②</w:t>
      </w:r>
    </w:p>
    <w:p>
      <w:pPr>
        <w:ind w:left="409"/>
        <w:spacing w:before="108" w:line="380" w:lineRule="exact"/>
        <w:rPr>
          <w:rFonts w:ascii="SimSun" w:hAnsi="SimSun" w:eastAsia="SimSun" w:cs="SimSun"/>
          <w:sz w:val="19"/>
          <w:szCs w:val="19"/>
        </w:rPr>
      </w:pPr>
      <w:r>
        <w:rPr>
          <w:rFonts w:ascii="SimSun" w:hAnsi="SimSun" w:eastAsia="SimSun" w:cs="SimSun"/>
          <w:sz w:val="19"/>
          <w:szCs w:val="19"/>
          <w:spacing w:val="16"/>
          <w:position w:val="14"/>
        </w:rPr>
        <w:t>美国提案的特点是全面倡导“数字贸易”新规则。美国是世界</w:t>
      </w:r>
    </w:p>
    <w:p>
      <w:pPr>
        <w:spacing w:before="1" w:line="219" w:lineRule="auto"/>
        <w:rPr>
          <w:rFonts w:ascii="SimSun" w:hAnsi="SimSun" w:eastAsia="SimSun" w:cs="SimSun"/>
          <w:sz w:val="19"/>
          <w:szCs w:val="19"/>
        </w:rPr>
      </w:pPr>
      <w:r>
        <w:rPr>
          <w:rFonts w:ascii="SimSun" w:hAnsi="SimSun" w:eastAsia="SimSun" w:cs="SimSun"/>
          <w:sz w:val="19"/>
          <w:szCs w:val="19"/>
          <w:spacing w:val="9"/>
        </w:rPr>
        <w:t>贸易组织电子商务谈判的积极推动者，主张“全面且富有雄心”的高</w:t>
      </w:r>
    </w:p>
    <w:p>
      <w:pPr>
        <w:pStyle w:val="BodyText"/>
        <w:spacing w:line="345" w:lineRule="auto"/>
        <w:rPr/>
      </w:pPr>
      <w:r/>
    </w:p>
    <w:p>
      <w:pPr>
        <w:spacing w:before="49" w:line="212" w:lineRule="auto"/>
        <w:rPr>
          <w:rFonts w:ascii="Times New Roman" w:hAnsi="Times New Roman" w:eastAsia="Times New Roman" w:cs="Times New Roman"/>
          <w:sz w:val="15"/>
          <w:szCs w:val="15"/>
        </w:rPr>
      </w:pPr>
      <w:r>
        <w:rPr>
          <w:rFonts w:ascii="KaiTi" w:hAnsi="KaiTi" w:eastAsia="KaiTi" w:cs="KaiTi"/>
          <w:sz w:val="15"/>
          <w:szCs w:val="15"/>
          <w:spacing w:val="9"/>
        </w:rPr>
        <w:t>①</w:t>
      </w:r>
      <w:r>
        <w:rPr>
          <w:rFonts w:ascii="KaiTi" w:hAnsi="KaiTi" w:eastAsia="KaiTi" w:cs="KaiTi"/>
          <w:sz w:val="15"/>
          <w:szCs w:val="15"/>
          <w:spacing w:val="71"/>
        </w:rPr>
        <w:t xml:space="preserve"> </w:t>
      </w:r>
      <w:r>
        <w:rPr>
          <w:rFonts w:ascii="KaiTi" w:hAnsi="KaiTi" w:eastAsia="KaiTi" w:cs="KaiTi"/>
          <w:sz w:val="15"/>
          <w:szCs w:val="15"/>
          <w:spacing w:val="9"/>
        </w:rPr>
        <w:t>戴慧.跨境数字贸易的发展与国际治理，中国发展观察，202</w:t>
      </w:r>
      <w:r>
        <w:rPr>
          <w:rFonts w:ascii="KaiTi" w:hAnsi="KaiTi" w:eastAsia="KaiTi" w:cs="KaiTi"/>
          <w:sz w:val="15"/>
          <w:szCs w:val="15"/>
          <w:spacing w:val="8"/>
        </w:rPr>
        <w:t>1(9-1</w:t>
      </w:r>
      <w:r>
        <w:rPr>
          <w:rFonts w:ascii="Times New Roman" w:hAnsi="Times New Roman" w:eastAsia="Times New Roman" w:cs="Times New Roman"/>
          <w:sz w:val="15"/>
          <w:szCs w:val="15"/>
          <w:spacing w:val="8"/>
        </w:rPr>
        <w:t>0):63-69.</w:t>
      </w:r>
    </w:p>
    <w:p>
      <w:pPr>
        <w:ind w:left="280" w:right="27" w:hanging="280"/>
        <w:spacing w:before="121" w:line="306" w:lineRule="auto"/>
        <w:rPr>
          <w:rFonts w:ascii="SimSun" w:hAnsi="SimSun" w:eastAsia="SimSun" w:cs="SimSun"/>
          <w:sz w:val="15"/>
          <w:szCs w:val="15"/>
        </w:rPr>
      </w:pPr>
      <w:r>
        <w:rPr>
          <w:rFonts w:ascii="KaiTi" w:hAnsi="KaiTi" w:eastAsia="KaiTi" w:cs="KaiTi"/>
          <w:sz w:val="15"/>
          <w:szCs w:val="15"/>
          <w:spacing w:val="10"/>
        </w:rPr>
        <w:t>②</w:t>
      </w:r>
      <w:r>
        <w:rPr>
          <w:rFonts w:ascii="KaiTi" w:hAnsi="KaiTi" w:eastAsia="KaiTi" w:cs="KaiTi"/>
          <w:sz w:val="15"/>
          <w:szCs w:val="15"/>
          <w:spacing w:val="10"/>
        </w:rPr>
        <w:t xml:space="preserve">  </w:t>
      </w:r>
      <w:r>
        <w:rPr>
          <w:rFonts w:ascii="KaiTi" w:hAnsi="KaiTi" w:eastAsia="KaiTi" w:cs="KaiTi"/>
          <w:sz w:val="15"/>
          <w:szCs w:val="15"/>
          <w:spacing w:val="10"/>
        </w:rPr>
        <w:t>本段之后的三段内容较多采用了对外经贸大学法学院教授的研究成果。石静霞.数</w:t>
      </w:r>
      <w:r>
        <w:rPr>
          <w:rFonts w:ascii="KaiTi" w:hAnsi="KaiTi" w:eastAsia="KaiTi" w:cs="KaiTi"/>
          <w:sz w:val="15"/>
          <w:szCs w:val="15"/>
          <w:spacing w:val="8"/>
        </w:rPr>
        <w:t xml:space="preserve"> </w:t>
      </w:r>
      <w:r>
        <w:rPr>
          <w:rFonts w:ascii="KaiTi" w:hAnsi="KaiTi" w:eastAsia="KaiTi" w:cs="KaiTi"/>
          <w:sz w:val="15"/>
          <w:szCs w:val="15"/>
          <w:spacing w:val="12"/>
        </w:rPr>
        <w:t>字经济背景下的</w:t>
      </w:r>
      <w:r>
        <w:rPr>
          <w:rFonts w:ascii="KaiTi" w:hAnsi="KaiTi" w:eastAsia="KaiTi" w:cs="KaiTi"/>
          <w:sz w:val="15"/>
          <w:szCs w:val="15"/>
          <w:spacing w:val="-37"/>
        </w:rPr>
        <w:t xml:space="preserve"> </w:t>
      </w:r>
      <w:r>
        <w:rPr>
          <w:rFonts w:ascii="Times New Roman" w:hAnsi="Times New Roman" w:eastAsia="Times New Roman" w:cs="Times New Roman"/>
          <w:sz w:val="15"/>
          <w:szCs w:val="15"/>
        </w:rPr>
        <w:t>WTO</w:t>
      </w:r>
      <w:r>
        <w:rPr>
          <w:rFonts w:ascii="Times New Roman" w:hAnsi="Times New Roman" w:eastAsia="Times New Roman" w:cs="Times New Roman"/>
          <w:sz w:val="15"/>
          <w:szCs w:val="15"/>
          <w:spacing w:val="34"/>
        </w:rPr>
        <w:t xml:space="preserve"> </w:t>
      </w:r>
      <w:r>
        <w:rPr>
          <w:rFonts w:ascii="KaiTi" w:hAnsi="KaiTi" w:eastAsia="KaiTi" w:cs="KaiTi"/>
          <w:sz w:val="15"/>
          <w:szCs w:val="15"/>
          <w:spacing w:val="12"/>
        </w:rPr>
        <w:t>电子商务诸边谈判：最新发展及焦点问题.东方法学，2020</w:t>
      </w:r>
      <w:r>
        <w:rPr>
          <w:rFonts w:ascii="KaiTi" w:hAnsi="KaiTi" w:eastAsia="KaiTi" w:cs="KaiTi"/>
          <w:sz w:val="15"/>
          <w:szCs w:val="15"/>
        </w:rPr>
        <w:t xml:space="preserve"> </w:t>
      </w:r>
      <w:r>
        <w:rPr>
          <w:rFonts w:ascii="SimSun" w:hAnsi="SimSun" w:eastAsia="SimSun" w:cs="SimSun"/>
          <w:sz w:val="15"/>
          <w:szCs w:val="15"/>
          <w:spacing w:val="-3"/>
        </w:rPr>
        <w:t>(2):170-184.</w:t>
      </w:r>
    </w:p>
    <w:p>
      <w:pPr>
        <w:spacing w:line="306" w:lineRule="auto"/>
        <w:sectPr>
          <w:headerReference w:type="default" r:id="rId300"/>
          <w:pgSz w:w="7330" w:h="12480"/>
          <w:pgMar w:top="815" w:right="875" w:bottom="400" w:left="399" w:header="662" w:footer="0" w:gutter="0"/>
        </w:sectPr>
        <w:rPr>
          <w:rFonts w:ascii="SimSun" w:hAnsi="SimSun" w:eastAsia="SimSun" w:cs="SimSun"/>
          <w:sz w:val="15"/>
          <w:szCs w:val="15"/>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9"/>
        <w:spacing w:before="62" w:line="351" w:lineRule="auto"/>
        <w:jc w:val="both"/>
        <w:rPr>
          <w:rFonts w:ascii="SimSun" w:hAnsi="SimSun" w:eastAsia="SimSun" w:cs="SimSun"/>
          <w:sz w:val="19"/>
          <w:szCs w:val="19"/>
        </w:rPr>
      </w:pPr>
      <w:r>
        <w:rPr>
          <w:rFonts w:ascii="SimSun" w:hAnsi="SimSun" w:eastAsia="SimSun" w:cs="SimSun"/>
          <w:sz w:val="19"/>
          <w:szCs w:val="19"/>
          <w:spacing w:val="10"/>
        </w:rPr>
        <w:t>标准贸易规则能够确保开放公平和竞争的全球数字经济，降低数字贸</w:t>
      </w:r>
      <w:r>
        <w:rPr>
          <w:rFonts w:ascii="SimSun" w:hAnsi="SimSun" w:eastAsia="SimSun" w:cs="SimSun"/>
          <w:sz w:val="19"/>
          <w:szCs w:val="19"/>
          <w:spacing w:val="3"/>
        </w:rPr>
        <w:t xml:space="preserve">  </w:t>
      </w:r>
      <w:r>
        <w:rPr>
          <w:rFonts w:ascii="SimSun" w:hAnsi="SimSun" w:eastAsia="SimSun" w:cs="SimSun"/>
          <w:sz w:val="19"/>
          <w:szCs w:val="19"/>
          <w:spacing w:val="19"/>
        </w:rPr>
        <w:t>易壁垒。2019年4月，美国提交的《数字贸易协定</w:t>
      </w:r>
      <w:r>
        <w:rPr>
          <w:rFonts w:ascii="SimSun" w:hAnsi="SimSun" w:eastAsia="SimSun" w:cs="SimSun"/>
          <w:sz w:val="19"/>
          <w:szCs w:val="19"/>
          <w:spacing w:val="18"/>
        </w:rPr>
        <w:t>》建议以“数字</w:t>
      </w:r>
      <w:r>
        <w:rPr>
          <w:rFonts w:ascii="SimSun" w:hAnsi="SimSun" w:eastAsia="SimSun" w:cs="SimSun"/>
          <w:sz w:val="19"/>
          <w:szCs w:val="19"/>
        </w:rPr>
        <w:t xml:space="preserve">  </w:t>
      </w:r>
      <w:r>
        <w:rPr>
          <w:rFonts w:ascii="SimSun" w:hAnsi="SimSun" w:eastAsia="SimSun" w:cs="SimSun"/>
          <w:sz w:val="19"/>
          <w:szCs w:val="19"/>
          <w:spacing w:val="13"/>
        </w:rPr>
        <w:t>贸易”概念取代“电子商务”,大部分内容超出现有世界贸易组织协</w:t>
      </w:r>
      <w:r>
        <w:rPr>
          <w:rFonts w:ascii="SimSun" w:hAnsi="SimSun" w:eastAsia="SimSun" w:cs="SimSun"/>
          <w:sz w:val="19"/>
          <w:szCs w:val="19"/>
          <w:spacing w:val="2"/>
        </w:rPr>
        <w:t xml:space="preserve">  </w:t>
      </w:r>
      <w:r>
        <w:rPr>
          <w:rFonts w:ascii="SimSun" w:hAnsi="SimSun" w:eastAsia="SimSun" w:cs="SimSun"/>
          <w:sz w:val="19"/>
          <w:szCs w:val="19"/>
          <w:spacing w:val="10"/>
        </w:rPr>
        <w:t>定的范围，且包含了清晰明确的义务和规则，显示出美国推动</w:t>
      </w:r>
      <w:r>
        <w:rPr>
          <w:rFonts w:ascii="SimSun" w:hAnsi="SimSun" w:eastAsia="SimSun" w:cs="SimSun"/>
          <w:sz w:val="19"/>
          <w:szCs w:val="19"/>
          <w:spacing w:val="9"/>
        </w:rPr>
        <w:t>制定高</w:t>
      </w:r>
      <w:r>
        <w:rPr>
          <w:rFonts w:ascii="SimSun" w:hAnsi="SimSun" w:eastAsia="SimSun" w:cs="SimSun"/>
          <w:sz w:val="19"/>
          <w:szCs w:val="19"/>
        </w:rPr>
        <w:t xml:space="preserve">  </w:t>
      </w:r>
      <w:r>
        <w:rPr>
          <w:rFonts w:ascii="SimSun" w:hAnsi="SimSun" w:eastAsia="SimSun" w:cs="SimSun"/>
          <w:sz w:val="19"/>
          <w:szCs w:val="19"/>
          <w:spacing w:val="7"/>
        </w:rPr>
        <w:t>标准和更开放的数字贸易规则的意图。事实上，《美韩自由贸</w:t>
      </w:r>
      <w:r>
        <w:rPr>
          <w:rFonts w:ascii="SimSun" w:hAnsi="SimSun" w:eastAsia="SimSun" w:cs="SimSun"/>
          <w:sz w:val="19"/>
          <w:szCs w:val="19"/>
          <w:spacing w:val="6"/>
        </w:rPr>
        <w:t>易协定》</w:t>
      </w:r>
      <w:r>
        <w:rPr>
          <w:rFonts w:ascii="SimSun" w:hAnsi="SimSun" w:eastAsia="SimSun" w:cs="SimSun"/>
          <w:sz w:val="19"/>
          <w:szCs w:val="19"/>
        </w:rPr>
        <w:t xml:space="preserve"> </w:t>
      </w:r>
      <w:r>
        <w:rPr>
          <w:rFonts w:ascii="SimSun" w:hAnsi="SimSun" w:eastAsia="SimSun" w:cs="SimSun"/>
          <w:sz w:val="19"/>
          <w:szCs w:val="19"/>
          <w:spacing w:val="17"/>
        </w:rPr>
        <w:t>是第一个有专题涉及此议题的国际协议。美国的立场不仅体现在它</w:t>
      </w:r>
      <w:r>
        <w:rPr>
          <w:rFonts w:ascii="SimSun" w:hAnsi="SimSun" w:eastAsia="SimSun" w:cs="SimSun"/>
          <w:sz w:val="19"/>
          <w:szCs w:val="19"/>
        </w:rPr>
        <w:t xml:space="preserve">  </w:t>
      </w:r>
      <w:r>
        <w:rPr>
          <w:rFonts w:ascii="SimSun" w:hAnsi="SimSun" w:eastAsia="SimSun" w:cs="SimSun"/>
          <w:sz w:val="19"/>
          <w:szCs w:val="19"/>
          <w:spacing w:val="13"/>
        </w:rPr>
        <w:t>与其他国家签订的双边协议中，也体现在《跨太平洋伙</w:t>
      </w:r>
      <w:r>
        <w:rPr>
          <w:rFonts w:ascii="SimSun" w:hAnsi="SimSun" w:eastAsia="SimSun" w:cs="SimSun"/>
          <w:sz w:val="19"/>
          <w:szCs w:val="19"/>
          <w:spacing w:val="12"/>
        </w:rPr>
        <w:t>伴关系协定》</w:t>
      </w:r>
      <w:r>
        <w:rPr>
          <w:rFonts w:ascii="SimSun" w:hAnsi="SimSun" w:eastAsia="SimSun" w:cs="SimSun"/>
          <w:sz w:val="19"/>
          <w:szCs w:val="19"/>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TPP</w:t>
      </w:r>
      <w:r>
        <w:rPr>
          <w:rFonts w:ascii="Times New Roman" w:hAnsi="Times New Roman" w:eastAsia="Times New Roman" w:cs="Times New Roman"/>
          <w:sz w:val="19"/>
          <w:szCs w:val="19"/>
          <w:spacing w:val="12"/>
        </w:rPr>
        <w:t>)   </w:t>
      </w:r>
      <w:r>
        <w:rPr>
          <w:rFonts w:ascii="SimSun" w:hAnsi="SimSun" w:eastAsia="SimSun" w:cs="SimSun"/>
          <w:sz w:val="19"/>
          <w:szCs w:val="19"/>
          <w:spacing w:val="12"/>
        </w:rPr>
        <w:t>和特朗普政府已退出的《全面与进步跨太平洋</w:t>
      </w:r>
      <w:r>
        <w:rPr>
          <w:rFonts w:ascii="SimSun" w:hAnsi="SimSun" w:eastAsia="SimSun" w:cs="SimSun"/>
          <w:sz w:val="19"/>
          <w:szCs w:val="19"/>
          <w:spacing w:val="11"/>
        </w:rPr>
        <w:t>伙伴关系协定》</w:t>
      </w:r>
      <w:r>
        <w:rPr>
          <w:rFonts w:ascii="SimSun" w:hAnsi="SimSun" w:eastAsia="SimSun" w:cs="SimSun"/>
          <w:sz w:val="19"/>
          <w:szCs w:val="19"/>
        </w:rPr>
        <w:t xml:space="preserve"> </w:t>
      </w:r>
      <w:r>
        <w:rPr>
          <w:rFonts w:ascii="SimSun" w:hAnsi="SimSun" w:eastAsia="SimSun" w:cs="SimSun"/>
          <w:sz w:val="19"/>
          <w:szCs w:val="19"/>
          <w:spacing w:val="7"/>
        </w:rPr>
        <w:t>(</w:t>
      </w:r>
      <w:r>
        <w:rPr>
          <w:rFonts w:ascii="SimSun" w:hAnsi="SimSun" w:eastAsia="SimSun" w:cs="SimSun"/>
          <w:sz w:val="19"/>
          <w:szCs w:val="19"/>
        </w:rPr>
        <w:t>CPTPP</w:t>
      </w:r>
      <w:r>
        <w:rPr>
          <w:rFonts w:ascii="SimSun" w:hAnsi="SimSun" w:eastAsia="SimSun" w:cs="SimSun"/>
          <w:sz w:val="19"/>
          <w:szCs w:val="19"/>
          <w:spacing w:val="7"/>
        </w:rPr>
        <w:t>)、  修订后的《美墨加贸易协定》文本之中。</w:t>
      </w:r>
      <w:r>
        <w:rPr>
          <w:rFonts w:ascii="SimSun" w:hAnsi="SimSun" w:eastAsia="SimSun" w:cs="SimSun"/>
          <w:sz w:val="19"/>
          <w:szCs w:val="19"/>
          <w:spacing w:val="6"/>
        </w:rPr>
        <w:t>基于美国对数字</w:t>
      </w:r>
      <w:r>
        <w:rPr>
          <w:rFonts w:ascii="SimSun" w:hAnsi="SimSun" w:eastAsia="SimSun" w:cs="SimSun"/>
          <w:sz w:val="19"/>
          <w:szCs w:val="19"/>
        </w:rPr>
        <w:t xml:space="preserve">  </w:t>
      </w:r>
      <w:r>
        <w:rPr>
          <w:rFonts w:ascii="SimSun" w:hAnsi="SimSun" w:eastAsia="SimSun" w:cs="SimSun"/>
          <w:sz w:val="19"/>
          <w:szCs w:val="19"/>
          <w:spacing w:val="10"/>
        </w:rPr>
        <w:t>贸易的高度关注和在该领域的已有基础，其提案对世界贸易组织电子</w:t>
      </w:r>
    </w:p>
    <w:p>
      <w:pPr>
        <w:ind w:left="29"/>
        <w:spacing w:line="219" w:lineRule="auto"/>
        <w:rPr>
          <w:rFonts w:ascii="SimSun" w:hAnsi="SimSun" w:eastAsia="SimSun" w:cs="SimSun"/>
          <w:sz w:val="19"/>
          <w:szCs w:val="19"/>
        </w:rPr>
      </w:pPr>
      <w:r>
        <w:rPr>
          <w:rFonts w:ascii="SimSun" w:hAnsi="SimSun" w:eastAsia="SimSun" w:cs="SimSun"/>
          <w:sz w:val="19"/>
          <w:szCs w:val="19"/>
          <w:spacing w:val="8"/>
        </w:rPr>
        <w:t>商务谈判的议题设定和未来走向具有关键影响。</w:t>
      </w:r>
    </w:p>
    <w:p>
      <w:pPr>
        <w:ind w:left="29" w:right="6" w:firstLine="479"/>
        <w:spacing w:before="108" w:line="328" w:lineRule="auto"/>
        <w:rPr>
          <w:rFonts w:ascii="SimSun" w:hAnsi="SimSun" w:eastAsia="SimSun" w:cs="SimSun"/>
          <w:sz w:val="19"/>
          <w:szCs w:val="19"/>
        </w:rPr>
      </w:pPr>
      <w:r>
        <w:rPr>
          <w:rFonts w:ascii="SimSun" w:hAnsi="SimSun" w:eastAsia="SimSun" w:cs="SimSun"/>
          <w:sz w:val="19"/>
          <w:szCs w:val="19"/>
          <w:spacing w:val="7"/>
        </w:rPr>
        <w:t>与美国和中国相比，欧盟在全球数字经济中虽然更像是“用户”,</w:t>
      </w:r>
      <w:r>
        <w:rPr>
          <w:rFonts w:ascii="SimSun" w:hAnsi="SimSun" w:eastAsia="SimSun" w:cs="SimSun"/>
          <w:sz w:val="19"/>
          <w:szCs w:val="19"/>
        </w:rPr>
        <w:t xml:space="preserve"> </w:t>
      </w:r>
      <w:r>
        <w:rPr>
          <w:rFonts w:ascii="SimSun" w:hAnsi="SimSun" w:eastAsia="SimSun" w:cs="SimSun"/>
          <w:sz w:val="19"/>
          <w:szCs w:val="19"/>
          <w:spacing w:val="9"/>
        </w:rPr>
        <w:t>但也在数字经济的价值创造环节发挥着重要的作用。所以，欧盟偏向  </w:t>
      </w:r>
      <w:r>
        <w:rPr>
          <w:rFonts w:ascii="SimSun" w:hAnsi="SimSun" w:eastAsia="SimSun" w:cs="SimSun"/>
          <w:sz w:val="19"/>
          <w:szCs w:val="19"/>
          <w:spacing w:val="17"/>
        </w:rPr>
        <w:t>于强调以高标准贸易规则和严格隐私保护来规范全</w:t>
      </w:r>
      <w:r>
        <w:rPr>
          <w:rFonts w:ascii="SimSun" w:hAnsi="SimSun" w:eastAsia="SimSun" w:cs="SimSun"/>
          <w:sz w:val="19"/>
          <w:szCs w:val="19"/>
          <w:spacing w:val="16"/>
        </w:rPr>
        <w:t>球数字经济的发</w:t>
      </w:r>
      <w:r>
        <w:rPr>
          <w:rFonts w:ascii="SimSun" w:hAnsi="SimSun" w:eastAsia="SimSun" w:cs="SimSun"/>
          <w:sz w:val="19"/>
          <w:szCs w:val="19"/>
        </w:rPr>
        <w:t xml:space="preserve">  </w:t>
      </w:r>
      <w:r>
        <w:rPr>
          <w:rFonts w:ascii="SimSun" w:hAnsi="SimSun" w:eastAsia="SimSun" w:cs="SimSun"/>
          <w:sz w:val="19"/>
          <w:szCs w:val="19"/>
          <w:spacing w:val="17"/>
        </w:rPr>
        <w:t>展。欧盟的谈判目标在于达成高标准的规则和承诺，</w:t>
      </w:r>
      <w:r>
        <w:rPr>
          <w:rFonts w:ascii="SimSun" w:hAnsi="SimSun" w:eastAsia="SimSun" w:cs="SimSun"/>
          <w:sz w:val="19"/>
          <w:szCs w:val="19"/>
          <w:spacing w:val="16"/>
        </w:rPr>
        <w:t>增加规制可预</w:t>
      </w:r>
      <w:r>
        <w:rPr>
          <w:rFonts w:ascii="SimSun" w:hAnsi="SimSun" w:eastAsia="SimSun" w:cs="SimSun"/>
          <w:sz w:val="19"/>
          <w:szCs w:val="19"/>
        </w:rPr>
        <w:t xml:space="preserve">  </w:t>
      </w:r>
      <w:r>
        <w:rPr>
          <w:rFonts w:ascii="SimSun" w:hAnsi="SimSun" w:eastAsia="SimSun" w:cs="SimSun"/>
          <w:sz w:val="19"/>
          <w:szCs w:val="19"/>
          <w:spacing w:val="11"/>
        </w:rPr>
        <w:t>见性并改善市场准入条件，其提案内容与美国有诸多重合。2020年，</w:t>
      </w:r>
      <w:r>
        <w:rPr>
          <w:rFonts w:ascii="SimSun" w:hAnsi="SimSun" w:eastAsia="SimSun" w:cs="SimSun"/>
          <w:sz w:val="19"/>
          <w:szCs w:val="19"/>
          <w:spacing w:val="12"/>
        </w:rPr>
        <w:t xml:space="preserve"> </w:t>
      </w:r>
      <w:r>
        <w:rPr>
          <w:rFonts w:ascii="SimSun" w:hAnsi="SimSun" w:eastAsia="SimSun" w:cs="SimSun"/>
          <w:sz w:val="19"/>
          <w:szCs w:val="19"/>
          <w:spacing w:val="16"/>
        </w:rPr>
        <w:t>欧盟推出《数字服务法》和《数字市场法》草案，作</w:t>
      </w:r>
      <w:r>
        <w:rPr>
          <w:rFonts w:ascii="SimSun" w:hAnsi="SimSun" w:eastAsia="SimSun" w:cs="SimSun"/>
          <w:sz w:val="19"/>
          <w:szCs w:val="19"/>
          <w:spacing w:val="15"/>
        </w:rPr>
        <w:t>为对其在2016</w:t>
      </w:r>
      <w:r>
        <w:rPr>
          <w:rFonts w:ascii="SimSun" w:hAnsi="SimSun" w:eastAsia="SimSun" w:cs="SimSun"/>
          <w:sz w:val="19"/>
          <w:szCs w:val="19"/>
        </w:rPr>
        <w:t xml:space="preserve">  </w:t>
      </w:r>
      <w:r>
        <w:rPr>
          <w:rFonts w:ascii="SimSun" w:hAnsi="SimSun" w:eastAsia="SimSun" w:cs="SimSun"/>
          <w:sz w:val="19"/>
          <w:szCs w:val="19"/>
          <w:spacing w:val="6"/>
        </w:rPr>
        <w:t>年通过的《通用数据保护条例》</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GDPR</w:t>
      </w:r>
      <w:r>
        <w:rPr>
          <w:rFonts w:ascii="Times New Roman" w:hAnsi="Times New Roman" w:eastAsia="Times New Roman" w:cs="Times New Roman"/>
          <w:sz w:val="19"/>
          <w:szCs w:val="19"/>
          <w:spacing w:val="6"/>
        </w:rPr>
        <w:t>)    </w:t>
      </w:r>
      <w:r>
        <w:rPr>
          <w:rFonts w:ascii="SimSun" w:hAnsi="SimSun" w:eastAsia="SimSun" w:cs="SimSun"/>
          <w:sz w:val="19"/>
          <w:szCs w:val="19"/>
          <w:spacing w:val="6"/>
        </w:rPr>
        <w:t>的补充。</w:t>
      </w:r>
    </w:p>
    <w:p>
      <w:pPr>
        <w:ind w:left="29" w:right="39" w:firstLine="460"/>
        <w:spacing w:before="151" w:line="350" w:lineRule="auto"/>
        <w:rPr>
          <w:rFonts w:ascii="SimSun" w:hAnsi="SimSun" w:eastAsia="SimSun" w:cs="SimSun"/>
          <w:sz w:val="19"/>
          <w:szCs w:val="19"/>
        </w:rPr>
      </w:pPr>
      <w:r>
        <w:rPr>
          <w:rFonts w:ascii="SimSun" w:hAnsi="SimSun" w:eastAsia="SimSun" w:cs="SimSun"/>
          <w:sz w:val="19"/>
          <w:szCs w:val="19"/>
          <w:spacing w:val="17"/>
        </w:rPr>
        <w:t>中国提案的主要诉求是改善跨境电子商务的贸易环境。在</w:t>
      </w:r>
      <w:r>
        <w:rPr>
          <w:rFonts w:ascii="SimSun" w:hAnsi="SimSun" w:eastAsia="SimSun" w:cs="SimSun"/>
          <w:sz w:val="19"/>
          <w:szCs w:val="19"/>
          <w:spacing w:val="16"/>
        </w:rPr>
        <w:t>世界</w:t>
      </w:r>
      <w:r>
        <w:rPr>
          <w:rFonts w:ascii="SimSun" w:hAnsi="SimSun" w:eastAsia="SimSun" w:cs="SimSun"/>
          <w:sz w:val="19"/>
          <w:szCs w:val="19"/>
        </w:rPr>
        <w:t xml:space="preserve"> </w:t>
      </w:r>
      <w:r>
        <w:rPr>
          <w:rFonts w:ascii="SimSun" w:hAnsi="SimSun" w:eastAsia="SimSun" w:cs="SimSun"/>
          <w:sz w:val="19"/>
          <w:szCs w:val="19"/>
          <w:spacing w:val="11"/>
        </w:rPr>
        <w:t>贸易组织框架下，中国于2019年提交了三份提案。与美欧提案相比，</w:t>
      </w:r>
      <w:r>
        <w:rPr>
          <w:rFonts w:ascii="SimSun" w:hAnsi="SimSun" w:eastAsia="SimSun" w:cs="SimSun"/>
          <w:sz w:val="19"/>
          <w:szCs w:val="19"/>
          <w:spacing w:val="12"/>
        </w:rPr>
        <w:t xml:space="preserve"> </w:t>
      </w:r>
      <w:r>
        <w:rPr>
          <w:rFonts w:ascii="SimSun" w:hAnsi="SimSun" w:eastAsia="SimSun" w:cs="SimSun"/>
          <w:sz w:val="19"/>
          <w:szCs w:val="19"/>
          <w:spacing w:val="9"/>
        </w:rPr>
        <w:t>中国提案的内容偏原则性和声明性，无具体条文建议，但体现了我国 </w:t>
      </w:r>
      <w:r>
        <w:rPr>
          <w:rFonts w:ascii="SimSun" w:hAnsi="SimSun" w:eastAsia="SimSun" w:cs="SimSun"/>
          <w:sz w:val="19"/>
          <w:szCs w:val="19"/>
          <w:spacing w:val="20"/>
        </w:rPr>
        <w:t>主张的谈判目标、原则、方向和重点等。此外，中国</w:t>
      </w:r>
      <w:r>
        <w:rPr>
          <w:rFonts w:ascii="SimSun" w:hAnsi="SimSun" w:eastAsia="SimSun" w:cs="SimSun"/>
          <w:sz w:val="19"/>
          <w:szCs w:val="19"/>
          <w:spacing w:val="19"/>
        </w:rPr>
        <w:t>在2019年9月</w:t>
      </w:r>
      <w:r>
        <w:rPr>
          <w:rFonts w:ascii="SimSun" w:hAnsi="SimSun" w:eastAsia="SimSun" w:cs="SimSun"/>
          <w:sz w:val="19"/>
          <w:szCs w:val="19"/>
        </w:rPr>
        <w:t xml:space="preserve"> </w:t>
      </w:r>
      <w:r>
        <w:rPr>
          <w:rFonts w:ascii="SimSun" w:hAnsi="SimSun" w:eastAsia="SimSun" w:cs="SimSun"/>
          <w:sz w:val="19"/>
          <w:szCs w:val="19"/>
          <w:spacing w:val="18"/>
        </w:rPr>
        <w:t>的提案则主要涉及对</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18"/>
        </w:rPr>
        <w:t>产品的非歧视待遇，包括：世界贸易</w:t>
      </w:r>
      <w:r>
        <w:rPr>
          <w:rFonts w:ascii="SimSun" w:hAnsi="SimSun" w:eastAsia="SimSun" w:cs="SimSun"/>
          <w:sz w:val="19"/>
          <w:szCs w:val="19"/>
          <w:spacing w:val="17"/>
        </w:rPr>
        <w:t>组织</w:t>
      </w:r>
      <w:r>
        <w:rPr>
          <w:rFonts w:ascii="SimSun" w:hAnsi="SimSun" w:eastAsia="SimSun" w:cs="SimSun"/>
          <w:sz w:val="19"/>
          <w:szCs w:val="19"/>
        </w:rPr>
        <w:t xml:space="preserve"> </w:t>
      </w:r>
      <w:r>
        <w:rPr>
          <w:rFonts w:ascii="SimSun" w:hAnsi="SimSun" w:eastAsia="SimSun" w:cs="SimSun"/>
          <w:sz w:val="19"/>
          <w:szCs w:val="19"/>
          <w:spacing w:val="9"/>
        </w:rPr>
        <w:t>成员应给予其他成员的企业和电子商务相关网络设备及产品非歧视待 </w:t>
      </w:r>
      <w:r>
        <w:rPr>
          <w:rFonts w:ascii="SimSun" w:hAnsi="SimSun" w:eastAsia="SimSun" w:cs="SimSun"/>
          <w:sz w:val="19"/>
          <w:szCs w:val="19"/>
          <w:spacing w:val="17"/>
        </w:rPr>
        <w:t>遇；不能排除或限制</w:t>
      </w:r>
      <w:r>
        <w:rPr>
          <w:rFonts w:ascii="Times New Roman" w:hAnsi="Times New Roman" w:eastAsia="Times New Roman" w:cs="Times New Roman"/>
          <w:sz w:val="19"/>
          <w:szCs w:val="19"/>
        </w:rPr>
        <w:t>ICT</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7"/>
        </w:rPr>
        <w:t>产品或设备的供应，除非根据合法公共政 </w:t>
      </w:r>
      <w:r>
        <w:rPr>
          <w:rFonts w:ascii="SimSun" w:hAnsi="SimSun" w:eastAsia="SimSun" w:cs="SimSun"/>
          <w:sz w:val="19"/>
          <w:szCs w:val="19"/>
          <w:spacing w:val="10"/>
        </w:rPr>
        <w:t>策目标进行充分调查；不应阻止公共电信网络或服务提供者选择其网</w:t>
      </w:r>
    </w:p>
    <w:p>
      <w:pPr>
        <w:ind w:left="29"/>
        <w:spacing w:line="219" w:lineRule="auto"/>
        <w:rPr>
          <w:rFonts w:ascii="SimSun" w:hAnsi="SimSun" w:eastAsia="SimSun" w:cs="SimSun"/>
          <w:sz w:val="19"/>
          <w:szCs w:val="19"/>
        </w:rPr>
      </w:pPr>
      <w:r>
        <w:rPr>
          <w:rFonts w:ascii="SimSun" w:hAnsi="SimSun" w:eastAsia="SimSun" w:cs="SimSun"/>
          <w:sz w:val="19"/>
          <w:szCs w:val="19"/>
          <w:spacing w:val="10"/>
        </w:rPr>
        <w:t>络和服务的支持技术以及与该技术关联的网络设备和产品；</w:t>
      </w:r>
      <w:r>
        <w:rPr>
          <w:rFonts w:ascii="SimSun" w:hAnsi="SimSun" w:eastAsia="SimSun" w:cs="SimSun"/>
          <w:sz w:val="19"/>
          <w:szCs w:val="19"/>
          <w:spacing w:val="9"/>
        </w:rPr>
        <w:t>不应阻碍</w:t>
      </w:r>
    </w:p>
    <w:p>
      <w:pPr>
        <w:spacing w:line="219" w:lineRule="auto"/>
        <w:sectPr>
          <w:headerReference w:type="default" r:id="rId301"/>
          <w:pgSz w:w="7330" w:h="12480"/>
          <w:pgMar w:top="528" w:right="425" w:bottom="400" w:left="770" w:header="384" w:footer="0"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83"/>
        <w:spacing w:before="68" w:line="284" w:lineRule="auto"/>
        <w:jc w:val="both"/>
        <w:rPr>
          <w:rFonts w:ascii="SimSun" w:hAnsi="SimSun" w:eastAsia="SimSun" w:cs="SimSun"/>
          <w:sz w:val="21"/>
          <w:szCs w:val="21"/>
        </w:rPr>
      </w:pPr>
      <w:r>
        <w:rPr>
          <w:rFonts w:ascii="SimSun" w:hAnsi="SimSun" w:eastAsia="SimSun" w:cs="SimSun"/>
          <w:sz w:val="21"/>
          <w:szCs w:val="21"/>
          <w:spacing w:val="-11"/>
        </w:rPr>
        <w:t>与电子商务相关的网络设备和产品的供应链，特别是那些基于长期商</w:t>
      </w:r>
      <w:r>
        <w:rPr>
          <w:rFonts w:ascii="SimSun" w:hAnsi="SimSun" w:eastAsia="SimSun" w:cs="SimSun"/>
          <w:sz w:val="21"/>
          <w:szCs w:val="21"/>
          <w:spacing w:val="12"/>
        </w:rPr>
        <w:t xml:space="preserve"> </w:t>
      </w:r>
      <w:r>
        <w:rPr>
          <w:rFonts w:ascii="SimSun" w:hAnsi="SimSun" w:eastAsia="SimSun" w:cs="SimSun"/>
          <w:sz w:val="21"/>
          <w:szCs w:val="21"/>
          <w:spacing w:val="-10"/>
        </w:rPr>
        <w:t>业合作的供应链。这是谈判中唯一涉及此方面内容的成员提案，与中</w:t>
      </w:r>
      <w:r>
        <w:rPr>
          <w:rFonts w:ascii="SimSun" w:hAnsi="SimSun" w:eastAsia="SimSun" w:cs="SimSun"/>
          <w:sz w:val="21"/>
          <w:szCs w:val="21"/>
          <w:spacing w:val="10"/>
        </w:rPr>
        <w:t xml:space="preserve"> </w:t>
      </w:r>
      <w:r>
        <w:rPr>
          <w:rFonts w:ascii="SimSun" w:hAnsi="SimSun" w:eastAsia="SimSun" w:cs="SimSun"/>
          <w:sz w:val="21"/>
          <w:szCs w:val="21"/>
          <w:spacing w:val="-8"/>
        </w:rPr>
        <w:t>国华为产品和5</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8"/>
        </w:rPr>
        <w:t>技术在美国受到的不公平待遇直接相</w:t>
      </w:r>
      <w:r>
        <w:rPr>
          <w:rFonts w:ascii="SimSun" w:hAnsi="SimSun" w:eastAsia="SimSun" w:cs="SimSun"/>
          <w:sz w:val="21"/>
          <w:szCs w:val="21"/>
          <w:spacing w:val="-9"/>
        </w:rPr>
        <w:t>关。</w:t>
      </w:r>
    </w:p>
    <w:p>
      <w:pPr>
        <w:ind w:firstLine="399"/>
        <w:spacing w:before="117" w:line="306" w:lineRule="auto"/>
        <w:jc w:val="both"/>
        <w:rPr>
          <w:rFonts w:ascii="SimSun" w:hAnsi="SimSun" w:eastAsia="SimSun" w:cs="SimSun"/>
          <w:sz w:val="21"/>
          <w:szCs w:val="21"/>
        </w:rPr>
      </w:pPr>
      <w:r>
        <w:rPr>
          <w:rFonts w:ascii="SimSun" w:hAnsi="SimSun" w:eastAsia="SimSun" w:cs="SimSun"/>
          <w:sz w:val="21"/>
          <w:szCs w:val="21"/>
          <w:spacing w:val="1"/>
        </w:rPr>
        <w:t>数字税(或数字服务税)是国际数字贸易规则谈判中的</w:t>
      </w:r>
      <w:r>
        <w:rPr>
          <w:rFonts w:ascii="SimSun" w:hAnsi="SimSun" w:eastAsia="SimSun" w:cs="SimSun"/>
          <w:sz w:val="21"/>
          <w:szCs w:val="21"/>
        </w:rPr>
        <w:t>新课题。 </w:t>
      </w:r>
      <w:r>
        <w:rPr>
          <w:rFonts w:ascii="SimSun" w:hAnsi="SimSun" w:eastAsia="SimSun" w:cs="SimSun"/>
          <w:sz w:val="21"/>
          <w:szCs w:val="21"/>
          <w:spacing w:val="-10"/>
        </w:rPr>
        <w:t>依据现行规则，互联网企业只需在总部注册所在地一次性缴税</w:t>
      </w:r>
      <w:r>
        <w:rPr>
          <w:rFonts w:ascii="SimSun" w:hAnsi="SimSun" w:eastAsia="SimSun" w:cs="SimSun"/>
          <w:sz w:val="21"/>
          <w:szCs w:val="21"/>
          <w:spacing w:val="-11"/>
        </w:rPr>
        <w:t>。欧盟</w:t>
      </w:r>
      <w:r>
        <w:rPr>
          <w:rFonts w:ascii="SimSun" w:hAnsi="SimSun" w:eastAsia="SimSun" w:cs="SimSun"/>
          <w:sz w:val="21"/>
          <w:szCs w:val="21"/>
        </w:rPr>
        <w:t xml:space="preserve">  </w:t>
      </w:r>
      <w:r>
        <w:rPr>
          <w:rFonts w:ascii="SimSun" w:hAnsi="SimSun" w:eastAsia="SimSun" w:cs="SimSun"/>
          <w:sz w:val="21"/>
          <w:szCs w:val="21"/>
          <w:spacing w:val="4"/>
        </w:rPr>
        <w:t>提出的数字税系针对某些数字服务(互联网业务)产生的有效利润  </w:t>
      </w:r>
      <w:r>
        <w:rPr>
          <w:rFonts w:ascii="SimSun" w:hAnsi="SimSun" w:eastAsia="SimSun" w:cs="SimSun"/>
          <w:sz w:val="21"/>
          <w:szCs w:val="21"/>
          <w:spacing w:val="-11"/>
        </w:rPr>
        <w:t>专门征收的税种，任何一个欧盟成员国均可对境内发生的互联网业务</w:t>
      </w:r>
      <w:r>
        <w:rPr>
          <w:rFonts w:ascii="SimSun" w:hAnsi="SimSun" w:eastAsia="SimSun" w:cs="SimSun"/>
          <w:sz w:val="21"/>
          <w:szCs w:val="21"/>
          <w:spacing w:val="4"/>
        </w:rPr>
        <w:t xml:space="preserve">  </w:t>
      </w:r>
      <w:r>
        <w:rPr>
          <w:rFonts w:ascii="SimSun" w:hAnsi="SimSun" w:eastAsia="SimSun" w:cs="SimSun"/>
          <w:sz w:val="21"/>
          <w:szCs w:val="21"/>
          <w:spacing w:val="-7"/>
        </w:rPr>
        <w:t>所产生的利润征税。法国在2019年成为全球首个开征数字税的国家。</w:t>
      </w:r>
      <w:r>
        <w:rPr>
          <w:rFonts w:ascii="SimSun" w:hAnsi="SimSun" w:eastAsia="SimSun" w:cs="SimSun"/>
          <w:sz w:val="21"/>
          <w:szCs w:val="21"/>
          <w:spacing w:val="18"/>
        </w:rPr>
        <w:t xml:space="preserve"> </w:t>
      </w:r>
      <w:r>
        <w:rPr>
          <w:rFonts w:ascii="SimSun" w:hAnsi="SimSun" w:eastAsia="SimSun" w:cs="SimSun"/>
          <w:sz w:val="21"/>
          <w:szCs w:val="21"/>
          <w:spacing w:val="-3"/>
        </w:rPr>
        <w:t>截至2021年3月，奥地利、法国、匈牙利、意大利、波</w:t>
      </w:r>
      <w:r>
        <w:rPr>
          <w:rFonts w:ascii="SimSun" w:hAnsi="SimSun" w:eastAsia="SimSun" w:cs="SimSun"/>
          <w:sz w:val="21"/>
          <w:szCs w:val="21"/>
          <w:spacing w:val="-4"/>
        </w:rPr>
        <w:t>兰、西班牙、</w:t>
      </w:r>
      <w:r>
        <w:rPr>
          <w:rFonts w:ascii="SimSun" w:hAnsi="SimSun" w:eastAsia="SimSun" w:cs="SimSun"/>
          <w:sz w:val="21"/>
          <w:szCs w:val="21"/>
        </w:rPr>
        <w:t xml:space="preserve"> </w:t>
      </w:r>
      <w:r>
        <w:rPr>
          <w:rFonts w:ascii="SimSun" w:hAnsi="SimSun" w:eastAsia="SimSun" w:cs="SimSun"/>
          <w:sz w:val="21"/>
          <w:szCs w:val="21"/>
          <w:spacing w:val="-7"/>
        </w:rPr>
        <w:t>土耳其和英国8个国家已征收数字税。其他一些欧</w:t>
      </w:r>
      <w:r>
        <w:rPr>
          <w:rFonts w:ascii="SimSun" w:hAnsi="SimSun" w:eastAsia="SimSun" w:cs="SimSun"/>
          <w:sz w:val="21"/>
          <w:szCs w:val="21"/>
          <w:spacing w:val="-8"/>
        </w:rPr>
        <w:t>洲国家也在推动数</w:t>
      </w:r>
      <w:r>
        <w:rPr>
          <w:rFonts w:ascii="SimSun" w:hAnsi="SimSun" w:eastAsia="SimSun" w:cs="SimSun"/>
          <w:sz w:val="21"/>
          <w:szCs w:val="21"/>
        </w:rPr>
        <w:t xml:space="preserve">  </w:t>
      </w:r>
      <w:r>
        <w:rPr>
          <w:rFonts w:ascii="SimSun" w:hAnsi="SimSun" w:eastAsia="SimSun" w:cs="SimSun"/>
          <w:sz w:val="21"/>
          <w:szCs w:val="21"/>
          <w:spacing w:val="-10"/>
        </w:rPr>
        <w:t>字税的征收。尽管欧洲各国尚未形成统一的数字税法案，但欧盟</w:t>
      </w:r>
      <w:r>
        <w:rPr>
          <w:rFonts w:ascii="SimSun" w:hAnsi="SimSun" w:eastAsia="SimSun" w:cs="SimSun"/>
          <w:sz w:val="21"/>
          <w:szCs w:val="21"/>
          <w:spacing w:val="-11"/>
        </w:rPr>
        <w:t>一直</w:t>
      </w:r>
      <w:r>
        <w:rPr>
          <w:rFonts w:ascii="SimSun" w:hAnsi="SimSun" w:eastAsia="SimSun" w:cs="SimSun"/>
          <w:sz w:val="21"/>
          <w:szCs w:val="21"/>
        </w:rPr>
        <w:t xml:space="preserve">  </w:t>
      </w:r>
      <w:r>
        <w:rPr>
          <w:rFonts w:ascii="SimSun" w:hAnsi="SimSun" w:eastAsia="SimSun" w:cs="SimSun"/>
          <w:sz w:val="21"/>
          <w:szCs w:val="21"/>
          <w:spacing w:val="-10"/>
        </w:rPr>
        <w:t>在努力推进这项工作。</w:t>
      </w:r>
    </w:p>
    <w:p>
      <w:pPr>
        <w:ind w:right="94" w:firstLine="399"/>
        <w:spacing w:before="120" w:line="290" w:lineRule="auto"/>
        <w:jc w:val="both"/>
        <w:rPr>
          <w:rFonts w:ascii="SimSun" w:hAnsi="SimSun" w:eastAsia="SimSun" w:cs="SimSun"/>
          <w:sz w:val="21"/>
          <w:szCs w:val="21"/>
        </w:rPr>
      </w:pPr>
      <w:r>
        <w:rPr>
          <w:rFonts w:ascii="SimSun" w:hAnsi="SimSun" w:eastAsia="SimSun" w:cs="SimSun"/>
          <w:sz w:val="21"/>
          <w:szCs w:val="21"/>
          <w:spacing w:val="-4"/>
        </w:rPr>
        <w:t>目前，数字税的征收对象——大型互联网公司都是美国的，中</w:t>
      </w:r>
      <w:r>
        <w:rPr>
          <w:rFonts w:ascii="SimSun" w:hAnsi="SimSun" w:eastAsia="SimSun" w:cs="SimSun"/>
          <w:sz w:val="21"/>
          <w:szCs w:val="21"/>
          <w:spacing w:val="9"/>
        </w:rPr>
        <w:t xml:space="preserve"> </w:t>
      </w:r>
      <w:r>
        <w:rPr>
          <w:rFonts w:ascii="SimSun" w:hAnsi="SimSun" w:eastAsia="SimSun" w:cs="SimSun"/>
          <w:sz w:val="21"/>
          <w:szCs w:val="21"/>
          <w:spacing w:val="-10"/>
        </w:rPr>
        <w:t>国的互联网公司在境外，特别在欧洲的业务量有限，数字税之争主要</w:t>
      </w:r>
      <w:r>
        <w:rPr>
          <w:rFonts w:ascii="SimSun" w:hAnsi="SimSun" w:eastAsia="SimSun" w:cs="SimSun"/>
          <w:sz w:val="21"/>
          <w:szCs w:val="21"/>
        </w:rPr>
        <w:t xml:space="preserve"> </w:t>
      </w:r>
      <w:r>
        <w:rPr>
          <w:rFonts w:ascii="SimSun" w:hAnsi="SimSun" w:eastAsia="SimSun" w:cs="SimSun"/>
          <w:sz w:val="21"/>
          <w:szCs w:val="21"/>
          <w:spacing w:val="-10"/>
        </w:rPr>
        <w:t>在欧洲和美国之间发生。美国政府一直强烈反对欧盟的数字税</w:t>
      </w:r>
      <w:r>
        <w:rPr>
          <w:rFonts w:ascii="SimSun" w:hAnsi="SimSun" w:eastAsia="SimSun" w:cs="SimSun"/>
          <w:sz w:val="21"/>
          <w:szCs w:val="21"/>
          <w:spacing w:val="-11"/>
        </w:rPr>
        <w:t>征收计</w:t>
      </w:r>
      <w:r>
        <w:rPr>
          <w:rFonts w:ascii="SimSun" w:hAnsi="SimSun" w:eastAsia="SimSun" w:cs="SimSun"/>
          <w:sz w:val="21"/>
          <w:szCs w:val="21"/>
        </w:rPr>
        <w:t xml:space="preserve"> </w:t>
      </w:r>
      <w:r>
        <w:rPr>
          <w:rFonts w:ascii="SimSun" w:hAnsi="SimSun" w:eastAsia="SimSun" w:cs="SimSun"/>
          <w:sz w:val="21"/>
          <w:szCs w:val="21"/>
        </w:rPr>
        <w:t>划，2021年7月美国财政部官员明确表示，数字税提案可能会对美</w:t>
      </w:r>
      <w:r>
        <w:rPr>
          <w:rFonts w:ascii="SimSun" w:hAnsi="SimSun" w:eastAsia="SimSun" w:cs="SimSun"/>
          <w:sz w:val="21"/>
          <w:szCs w:val="21"/>
          <w:spacing w:val="14"/>
        </w:rPr>
        <w:t xml:space="preserve"> </w:t>
      </w:r>
      <w:r>
        <w:rPr>
          <w:rFonts w:ascii="SimSun" w:hAnsi="SimSun" w:eastAsia="SimSun" w:cs="SimSun"/>
          <w:sz w:val="21"/>
          <w:szCs w:val="21"/>
          <w:spacing w:val="-11"/>
        </w:rPr>
        <w:t>国企业构成歧视。协调一致的欧洲数字税征收计划遂暂时搁浅。</w:t>
      </w:r>
    </w:p>
    <w:p>
      <w:pPr>
        <w:ind w:right="73" w:firstLine="399"/>
        <w:spacing w:before="148" w:line="299" w:lineRule="auto"/>
        <w:jc w:val="both"/>
        <w:rPr>
          <w:rFonts w:ascii="SimSun" w:hAnsi="SimSun" w:eastAsia="SimSun" w:cs="SimSun"/>
          <w:sz w:val="21"/>
          <w:szCs w:val="21"/>
        </w:rPr>
      </w:pPr>
      <w:r>
        <w:rPr>
          <w:rFonts w:ascii="SimSun" w:hAnsi="SimSun" w:eastAsia="SimSun" w:cs="SimSun"/>
          <w:sz w:val="21"/>
          <w:szCs w:val="21"/>
          <w:spacing w:val="-10"/>
        </w:rPr>
        <w:t>数字贸易日益成为自由贸易协定谈判的专项课题。亚太地区</w:t>
      </w:r>
      <w:r>
        <w:rPr>
          <w:rFonts w:ascii="SimSun" w:hAnsi="SimSun" w:eastAsia="SimSun" w:cs="SimSun"/>
          <w:sz w:val="21"/>
          <w:szCs w:val="21"/>
          <w:spacing w:val="-11"/>
        </w:rPr>
        <w:t>是全</w:t>
      </w:r>
      <w:r>
        <w:rPr>
          <w:rFonts w:ascii="SimSun" w:hAnsi="SimSun" w:eastAsia="SimSun" w:cs="SimSun"/>
          <w:sz w:val="21"/>
          <w:szCs w:val="21"/>
        </w:rPr>
        <w:t xml:space="preserve"> </w:t>
      </w:r>
      <w:r>
        <w:rPr>
          <w:rFonts w:ascii="SimSun" w:hAnsi="SimSun" w:eastAsia="SimSun" w:cs="SimSun"/>
          <w:sz w:val="21"/>
          <w:szCs w:val="21"/>
          <w:spacing w:val="-4"/>
        </w:rPr>
        <w:t>球数字贸易最有活力的地区。在亚太地区，</w:t>
      </w:r>
      <w:r>
        <w:rPr>
          <w:rFonts w:ascii="Times New Roman" w:hAnsi="Times New Roman" w:eastAsia="Times New Roman" w:cs="Times New Roman"/>
          <w:sz w:val="21"/>
          <w:szCs w:val="21"/>
          <w:spacing w:val="-4"/>
        </w:rPr>
        <w:t>CPTPP </w:t>
      </w:r>
      <w:r>
        <w:rPr>
          <w:rFonts w:ascii="SimSun" w:hAnsi="SimSun" w:eastAsia="SimSun" w:cs="SimSun"/>
          <w:sz w:val="21"/>
          <w:szCs w:val="21"/>
          <w:spacing w:val="-4"/>
        </w:rPr>
        <w:t>是第一个考虑数</w:t>
      </w:r>
      <w:r>
        <w:rPr>
          <w:rFonts w:ascii="SimSun" w:hAnsi="SimSun" w:eastAsia="SimSun" w:cs="SimSun"/>
          <w:sz w:val="21"/>
          <w:szCs w:val="21"/>
          <w:spacing w:val="4"/>
        </w:rPr>
        <w:t xml:space="preserve"> </w:t>
      </w:r>
      <w:r>
        <w:rPr>
          <w:rFonts w:ascii="SimSun" w:hAnsi="SimSun" w:eastAsia="SimSun" w:cs="SimSun"/>
          <w:sz w:val="21"/>
          <w:szCs w:val="21"/>
          <w:spacing w:val="-3"/>
        </w:rPr>
        <w:t>字贸易重要性的贸易协定，它承袭了由美国牵头谈判的</w:t>
      </w:r>
      <w:r>
        <w:rPr>
          <w:rFonts w:ascii="Times New Roman" w:hAnsi="Times New Roman" w:eastAsia="Times New Roman" w:cs="Times New Roman"/>
          <w:sz w:val="21"/>
          <w:szCs w:val="21"/>
          <w:spacing w:val="-3"/>
        </w:rPr>
        <w:t>TPP </w:t>
      </w:r>
      <w:r>
        <w:rPr>
          <w:rFonts w:ascii="SimSun" w:hAnsi="SimSun" w:eastAsia="SimSun" w:cs="SimSun"/>
          <w:sz w:val="21"/>
          <w:szCs w:val="21"/>
          <w:spacing w:val="-3"/>
        </w:rPr>
        <w:t>中的数</w:t>
      </w:r>
      <w:r>
        <w:rPr>
          <w:rFonts w:ascii="SimSun" w:hAnsi="SimSun" w:eastAsia="SimSun" w:cs="SimSun"/>
          <w:sz w:val="21"/>
          <w:szCs w:val="21"/>
        </w:rPr>
        <w:t xml:space="preserve"> </w:t>
      </w:r>
      <w:r>
        <w:rPr>
          <w:rFonts w:ascii="SimSun" w:hAnsi="SimSun" w:eastAsia="SimSun" w:cs="SimSun"/>
          <w:sz w:val="21"/>
          <w:szCs w:val="21"/>
          <w:spacing w:val="4"/>
        </w:rPr>
        <w:t>字贸易的所有规则。2022年1月1日开始实施的《</w:t>
      </w:r>
      <w:r>
        <w:rPr>
          <w:rFonts w:ascii="SimSun" w:hAnsi="SimSun" w:eastAsia="SimSun" w:cs="SimSun"/>
          <w:sz w:val="21"/>
          <w:szCs w:val="21"/>
          <w:spacing w:val="3"/>
        </w:rPr>
        <w:t>区域全面经济伙</w:t>
      </w:r>
      <w:r>
        <w:rPr>
          <w:rFonts w:ascii="SimSun" w:hAnsi="SimSun" w:eastAsia="SimSun" w:cs="SimSun"/>
          <w:sz w:val="21"/>
          <w:szCs w:val="21"/>
        </w:rPr>
        <w:t xml:space="preserve"> </w:t>
      </w:r>
      <w:r>
        <w:rPr>
          <w:rFonts w:ascii="SimSun" w:hAnsi="SimSun" w:eastAsia="SimSun" w:cs="SimSun"/>
          <w:sz w:val="21"/>
          <w:szCs w:val="21"/>
          <w:spacing w:val="-8"/>
        </w:rPr>
        <w:t>伴关系协定》</w:t>
      </w:r>
      <w:r>
        <w:rPr>
          <w:rFonts w:ascii="Times New Roman" w:hAnsi="Times New Roman" w:eastAsia="Times New Roman" w:cs="Times New Roman"/>
          <w:sz w:val="21"/>
          <w:szCs w:val="21"/>
          <w:spacing w:val="-8"/>
        </w:rPr>
        <w:t>(RCEP)   </w:t>
      </w:r>
      <w:r>
        <w:rPr>
          <w:rFonts w:ascii="SimSun" w:hAnsi="SimSun" w:eastAsia="SimSun" w:cs="SimSun"/>
          <w:sz w:val="21"/>
          <w:szCs w:val="21"/>
          <w:spacing w:val="-8"/>
        </w:rPr>
        <w:t>中的第十二章“电子商务”关注的是数字贸易</w:t>
      </w:r>
      <w:r>
        <w:rPr>
          <w:rFonts w:ascii="SimSun" w:hAnsi="SimSun" w:eastAsia="SimSun" w:cs="SimSun"/>
          <w:sz w:val="21"/>
          <w:szCs w:val="21"/>
          <w:spacing w:val="7"/>
        </w:rPr>
        <w:t xml:space="preserve"> </w:t>
      </w:r>
      <w:r>
        <w:rPr>
          <w:rFonts w:ascii="SimSun" w:hAnsi="SimSun" w:eastAsia="SimSun" w:cs="SimSun"/>
          <w:sz w:val="21"/>
          <w:szCs w:val="21"/>
          <w:spacing w:val="-7"/>
        </w:rPr>
        <w:t>规则，涵盖数据跨境流动、个人信息保护、计算设施的地理位置(数</w:t>
      </w:r>
      <w:r>
        <w:rPr>
          <w:rFonts w:ascii="SimSun" w:hAnsi="SimSun" w:eastAsia="SimSun" w:cs="SimSun"/>
          <w:sz w:val="21"/>
          <w:szCs w:val="21"/>
          <w:spacing w:val="12"/>
        </w:rPr>
        <w:t xml:space="preserve"> </w:t>
      </w:r>
      <w:r>
        <w:rPr>
          <w:rFonts w:ascii="SimSun" w:hAnsi="SimSun" w:eastAsia="SimSun" w:cs="SimSun"/>
          <w:sz w:val="21"/>
          <w:szCs w:val="21"/>
          <w:spacing w:val="-3"/>
        </w:rPr>
        <w:t>据本地化)、网络安全四大主题。新加坡、新西兰和智利于2020年6</w:t>
      </w:r>
      <w:r>
        <w:rPr>
          <w:rFonts w:ascii="SimSun" w:hAnsi="SimSun" w:eastAsia="SimSun" w:cs="SimSun"/>
          <w:sz w:val="21"/>
          <w:szCs w:val="21"/>
          <w:spacing w:val="5"/>
        </w:rPr>
        <w:t xml:space="preserve"> </w:t>
      </w:r>
      <w:r>
        <w:rPr>
          <w:rFonts w:ascii="SimSun" w:hAnsi="SimSun" w:eastAsia="SimSun" w:cs="SimSun"/>
          <w:sz w:val="21"/>
          <w:szCs w:val="21"/>
          <w:spacing w:val="-2"/>
        </w:rPr>
        <w:t>月签署的《数字经济伙伴关系协定》</w:t>
      </w:r>
      <w:r>
        <w:rPr>
          <w:rFonts w:ascii="Times New Roman" w:hAnsi="Times New Roman" w:eastAsia="Times New Roman" w:cs="Times New Roman"/>
          <w:sz w:val="21"/>
          <w:szCs w:val="21"/>
          <w:spacing w:val="-2"/>
        </w:rPr>
        <w:t>(DEPA)   </w:t>
      </w:r>
      <w:r>
        <w:rPr>
          <w:rFonts w:ascii="SimSun" w:hAnsi="SimSun" w:eastAsia="SimSun" w:cs="SimSun"/>
          <w:sz w:val="21"/>
          <w:szCs w:val="21"/>
          <w:spacing w:val="-2"/>
        </w:rPr>
        <w:t>扩大了</w:t>
      </w:r>
      <w:r>
        <w:rPr>
          <w:rFonts w:ascii="Times New Roman" w:hAnsi="Times New Roman" w:eastAsia="Times New Roman" w:cs="Times New Roman"/>
          <w:sz w:val="21"/>
          <w:szCs w:val="21"/>
          <w:spacing w:val="-2"/>
        </w:rPr>
        <w:t>TPP </w:t>
      </w:r>
      <w:r>
        <w:rPr>
          <w:rFonts w:ascii="SimSun" w:hAnsi="SimSun" w:eastAsia="SimSun" w:cs="SimSun"/>
          <w:sz w:val="21"/>
          <w:szCs w:val="21"/>
          <w:spacing w:val="-2"/>
        </w:rPr>
        <w:t>所涵盖的</w:t>
      </w:r>
      <w:r>
        <w:rPr>
          <w:rFonts w:ascii="SimSun" w:hAnsi="SimSun" w:eastAsia="SimSun" w:cs="SimSun"/>
          <w:sz w:val="21"/>
          <w:szCs w:val="21"/>
          <w:spacing w:val="2"/>
        </w:rPr>
        <w:t xml:space="preserve"> </w:t>
      </w:r>
      <w:r>
        <w:rPr>
          <w:rFonts w:ascii="SimSun" w:hAnsi="SimSun" w:eastAsia="SimSun" w:cs="SimSun"/>
          <w:sz w:val="21"/>
          <w:szCs w:val="21"/>
          <w:spacing w:val="-10"/>
        </w:rPr>
        <w:t>范畴，其中的条款涉及电子发票和支付、数字隐私和数据跨境流</w:t>
      </w:r>
      <w:r>
        <w:rPr>
          <w:rFonts w:ascii="SimSun" w:hAnsi="SimSun" w:eastAsia="SimSun" w:cs="SimSun"/>
          <w:sz w:val="21"/>
          <w:szCs w:val="21"/>
          <w:spacing w:val="-11"/>
        </w:rPr>
        <w:t>动等</w:t>
      </w:r>
      <w:r>
        <w:rPr>
          <w:rFonts w:ascii="SimSun" w:hAnsi="SimSun" w:eastAsia="SimSun" w:cs="SimSun"/>
          <w:sz w:val="21"/>
          <w:szCs w:val="21"/>
        </w:rPr>
        <w:t xml:space="preserve"> </w:t>
      </w:r>
      <w:r>
        <w:rPr>
          <w:rFonts w:ascii="SimSun" w:hAnsi="SimSun" w:eastAsia="SimSun" w:cs="SimSun"/>
          <w:sz w:val="21"/>
          <w:szCs w:val="21"/>
          <w:spacing w:val="-12"/>
        </w:rPr>
        <w:t>进出口企业日常操作的内容。</w:t>
      </w:r>
    </w:p>
    <w:p>
      <w:pPr>
        <w:spacing w:line="299" w:lineRule="auto"/>
        <w:sectPr>
          <w:headerReference w:type="default" r:id="rId302"/>
          <w:pgSz w:w="7330" w:h="12480"/>
          <w:pgMar w:top="808" w:right="854" w:bottom="400" w:left="379" w:header="645"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104" w:right="87" w:firstLine="429"/>
        <w:spacing w:before="68" w:line="308" w:lineRule="auto"/>
        <w:jc w:val="both"/>
        <w:rPr>
          <w:rFonts w:ascii="SimSun" w:hAnsi="SimSun" w:eastAsia="SimSun" w:cs="SimSun"/>
          <w:sz w:val="21"/>
          <w:szCs w:val="21"/>
        </w:rPr>
      </w:pPr>
      <w:r>
        <w:rPr>
          <w:rFonts w:ascii="SimSun" w:hAnsi="SimSun" w:eastAsia="SimSun" w:cs="SimSun"/>
          <w:sz w:val="21"/>
          <w:szCs w:val="21"/>
        </w:rPr>
        <w:t>中国在</w:t>
      </w:r>
      <w:r>
        <w:rPr>
          <w:rFonts w:ascii="Times New Roman" w:hAnsi="Times New Roman" w:eastAsia="Times New Roman" w:cs="Times New Roman"/>
          <w:sz w:val="21"/>
          <w:szCs w:val="21"/>
        </w:rPr>
        <w:t>RCEP</w:t>
      </w:r>
      <w:r>
        <w:rPr>
          <w:rFonts w:ascii="SimSun" w:hAnsi="SimSun" w:eastAsia="SimSun" w:cs="SimSun"/>
          <w:sz w:val="21"/>
          <w:szCs w:val="21"/>
        </w:rPr>
        <w:t>的谈判和实施过程中发挥了积极作用，也已申请</w:t>
      </w:r>
      <w:r>
        <w:rPr>
          <w:rFonts w:ascii="SimSun" w:hAnsi="SimSun" w:eastAsia="SimSun" w:cs="SimSun"/>
          <w:sz w:val="21"/>
          <w:szCs w:val="21"/>
          <w:spacing w:val="18"/>
        </w:rPr>
        <w:t xml:space="preserve"> </w:t>
      </w:r>
      <w:r>
        <w:rPr>
          <w:rFonts w:ascii="SimSun" w:hAnsi="SimSun" w:eastAsia="SimSun" w:cs="SimSun"/>
          <w:sz w:val="21"/>
          <w:szCs w:val="21"/>
          <w:spacing w:val="-4"/>
        </w:rPr>
        <w:t>加入</w:t>
      </w:r>
      <w:r>
        <w:rPr>
          <w:rFonts w:ascii="Times New Roman" w:hAnsi="Times New Roman" w:eastAsia="Times New Roman" w:cs="Times New Roman"/>
          <w:sz w:val="21"/>
          <w:szCs w:val="21"/>
          <w:spacing w:val="-4"/>
        </w:rPr>
        <w:t>CPTPP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DEPA</w:t>
      </w:r>
      <w:r>
        <w:rPr>
          <w:rFonts w:ascii="SimSun" w:hAnsi="SimSun" w:eastAsia="SimSun" w:cs="SimSun"/>
          <w:sz w:val="21"/>
          <w:szCs w:val="21"/>
          <w:spacing w:val="-4"/>
        </w:rPr>
        <w:t>。在未来的条约谈判中，不论是电子商务、数</w:t>
      </w:r>
      <w:r>
        <w:rPr>
          <w:rFonts w:ascii="SimSun" w:hAnsi="SimSun" w:eastAsia="SimSun" w:cs="SimSun"/>
          <w:sz w:val="21"/>
          <w:szCs w:val="21"/>
        </w:rPr>
        <w:t xml:space="preserve"> </w:t>
      </w:r>
      <w:r>
        <w:rPr>
          <w:rFonts w:ascii="SimSun" w:hAnsi="SimSun" w:eastAsia="SimSun" w:cs="SimSun"/>
          <w:sz w:val="21"/>
          <w:szCs w:val="21"/>
          <w:spacing w:val="-11"/>
        </w:rPr>
        <w:t>字贸易、数字税等偏重经济性的课题，还是数据储存本地化、数字跨</w:t>
      </w:r>
      <w:r>
        <w:rPr>
          <w:rFonts w:ascii="SimSun" w:hAnsi="SimSun" w:eastAsia="SimSun" w:cs="SimSun"/>
          <w:sz w:val="21"/>
          <w:szCs w:val="21"/>
          <w:spacing w:val="6"/>
        </w:rPr>
        <w:t xml:space="preserve"> </w:t>
      </w:r>
      <w:r>
        <w:rPr>
          <w:rFonts w:ascii="SimSun" w:hAnsi="SimSun" w:eastAsia="SimSun" w:cs="SimSun"/>
          <w:sz w:val="21"/>
          <w:szCs w:val="21"/>
          <w:spacing w:val="-11"/>
        </w:rPr>
        <w:t>境监管、隐私保护等偏重政治性的课题，都将是一个多方利益磨合的</w:t>
      </w:r>
      <w:r>
        <w:rPr>
          <w:rFonts w:ascii="SimSun" w:hAnsi="SimSun" w:eastAsia="SimSun" w:cs="SimSun"/>
          <w:sz w:val="21"/>
          <w:szCs w:val="21"/>
          <w:spacing w:val="14"/>
        </w:rPr>
        <w:t xml:space="preserve"> </w:t>
      </w:r>
      <w:r>
        <w:rPr>
          <w:rFonts w:ascii="SimSun" w:hAnsi="SimSun" w:eastAsia="SimSun" w:cs="SimSun"/>
          <w:sz w:val="21"/>
          <w:szCs w:val="21"/>
          <w:spacing w:val="-11"/>
        </w:rPr>
        <w:t>过程。谈判所追求的公平、公正交往理念具有全球性。中国数字经济</w:t>
      </w:r>
      <w:r>
        <w:rPr>
          <w:rFonts w:ascii="SimSun" w:hAnsi="SimSun" w:eastAsia="SimSun" w:cs="SimSun"/>
          <w:sz w:val="21"/>
          <w:szCs w:val="21"/>
          <w:spacing w:val="8"/>
        </w:rPr>
        <w:t xml:space="preserve"> </w:t>
      </w:r>
      <w:r>
        <w:rPr>
          <w:rFonts w:ascii="SimSun" w:hAnsi="SimSun" w:eastAsia="SimSun" w:cs="SimSun"/>
          <w:sz w:val="21"/>
          <w:szCs w:val="21"/>
          <w:spacing w:val="-11"/>
        </w:rPr>
        <w:t>的进一步发展有赖于进一步融入数据经济全球产业链。在国家监管法</w:t>
      </w:r>
      <w:r>
        <w:rPr>
          <w:rFonts w:ascii="SimSun" w:hAnsi="SimSun" w:eastAsia="SimSun" w:cs="SimSun"/>
          <w:sz w:val="21"/>
          <w:szCs w:val="21"/>
          <w:spacing w:val="5"/>
        </w:rPr>
        <w:t xml:space="preserve"> </w:t>
      </w:r>
      <w:r>
        <w:rPr>
          <w:rFonts w:ascii="SimSun" w:hAnsi="SimSun" w:eastAsia="SimSun" w:cs="SimSun"/>
          <w:sz w:val="21"/>
          <w:szCs w:val="21"/>
          <w:spacing w:val="-11"/>
        </w:rPr>
        <w:t>规和政策层面，提高数字经济和贸易领域规则的相互认可程度特别重</w:t>
      </w:r>
      <w:r>
        <w:rPr>
          <w:rFonts w:ascii="SimSun" w:hAnsi="SimSun" w:eastAsia="SimSun" w:cs="SimSun"/>
          <w:sz w:val="21"/>
          <w:szCs w:val="21"/>
          <w:spacing w:val="8"/>
        </w:rPr>
        <w:t xml:space="preserve"> </w:t>
      </w:r>
      <w:r>
        <w:rPr>
          <w:rFonts w:ascii="SimSun" w:hAnsi="SimSun" w:eastAsia="SimSun" w:cs="SimSun"/>
          <w:sz w:val="21"/>
          <w:szCs w:val="21"/>
          <w:spacing w:val="-11"/>
        </w:rPr>
        <w:t>要。与此同时，将承诺接受的国际性规则嵌入国内监管的理念和实际</w:t>
      </w:r>
      <w:r>
        <w:rPr>
          <w:rFonts w:ascii="SimSun" w:hAnsi="SimSun" w:eastAsia="SimSun" w:cs="SimSun"/>
          <w:sz w:val="21"/>
          <w:szCs w:val="21"/>
          <w:spacing w:val="7"/>
        </w:rPr>
        <w:t xml:space="preserve"> </w:t>
      </w:r>
      <w:r>
        <w:rPr>
          <w:rFonts w:ascii="SimSun" w:hAnsi="SimSun" w:eastAsia="SimSun" w:cs="SimSun"/>
          <w:sz w:val="21"/>
          <w:szCs w:val="21"/>
          <w:spacing w:val="-11"/>
        </w:rPr>
        <w:t>操作，促进企业在监管框架下进行商业模式的创新，可巩固中外在数</w:t>
      </w:r>
      <w:r>
        <w:rPr>
          <w:rFonts w:ascii="SimSun" w:hAnsi="SimSun" w:eastAsia="SimSun" w:cs="SimSun"/>
          <w:sz w:val="21"/>
          <w:szCs w:val="21"/>
          <w:spacing w:val="7"/>
        </w:rPr>
        <w:t xml:space="preserve"> </w:t>
      </w:r>
      <w:r>
        <w:rPr>
          <w:rFonts w:ascii="SimSun" w:hAnsi="SimSun" w:eastAsia="SimSun" w:cs="SimSun"/>
          <w:sz w:val="21"/>
          <w:szCs w:val="21"/>
          <w:spacing w:val="-10"/>
        </w:rPr>
        <w:t>字经济和数字贸易领域的相互依存关系，在不断变化的国际地缘政治</w:t>
      </w:r>
      <w:r>
        <w:rPr>
          <w:rFonts w:ascii="SimSun" w:hAnsi="SimSun" w:eastAsia="SimSun" w:cs="SimSun"/>
          <w:sz w:val="21"/>
          <w:szCs w:val="21"/>
          <w:spacing w:val="16"/>
        </w:rPr>
        <w:t xml:space="preserve"> </w:t>
      </w:r>
      <w:r>
        <w:rPr>
          <w:rFonts w:ascii="SimSun" w:hAnsi="SimSun" w:eastAsia="SimSun" w:cs="SimSun"/>
          <w:sz w:val="21"/>
          <w:szCs w:val="21"/>
          <w:spacing w:val="-11"/>
        </w:rPr>
        <w:t>和地缘经济生态中具有压舱石的效应。</w:t>
      </w:r>
    </w:p>
    <w:p>
      <w:pPr>
        <w:pStyle w:val="BodyText"/>
        <w:spacing w:line="363" w:lineRule="auto"/>
        <w:rPr/>
      </w:pPr>
      <w:r/>
    </w:p>
    <w:p>
      <w:pPr>
        <w:ind w:left="1249"/>
        <w:spacing w:before="104" w:line="220" w:lineRule="auto"/>
        <w:rPr>
          <w:rFonts w:ascii="SimSun" w:hAnsi="SimSun" w:eastAsia="SimSun" w:cs="SimSun"/>
          <w:sz w:val="32"/>
          <w:szCs w:val="32"/>
        </w:rPr>
      </w:pPr>
      <w:r>
        <w:rPr>
          <w:rFonts w:ascii="SimSun" w:hAnsi="SimSun" w:eastAsia="SimSun" w:cs="SimSun"/>
          <w:sz w:val="32"/>
          <w:szCs w:val="32"/>
          <w:b/>
          <w:bCs/>
          <w:spacing w:val="-5"/>
        </w:rPr>
        <w:t>发达国家的新一轮平台治理</w:t>
      </w:r>
    </w:p>
    <w:p>
      <w:pPr>
        <w:pStyle w:val="BodyText"/>
        <w:spacing w:line="268" w:lineRule="auto"/>
        <w:rPr/>
      </w:pPr>
      <w:r/>
    </w:p>
    <w:p>
      <w:pPr>
        <w:ind w:left="104" w:firstLine="429"/>
        <w:spacing w:before="69" w:line="293" w:lineRule="auto"/>
        <w:jc w:val="both"/>
        <w:rPr>
          <w:rFonts w:ascii="SimSun" w:hAnsi="SimSun" w:eastAsia="SimSun" w:cs="SimSun"/>
          <w:sz w:val="21"/>
          <w:szCs w:val="21"/>
        </w:rPr>
      </w:pPr>
      <w:r>
        <w:rPr>
          <w:rFonts w:ascii="SimSun" w:hAnsi="SimSun" w:eastAsia="SimSun" w:cs="SimSun"/>
          <w:sz w:val="21"/>
          <w:szCs w:val="21"/>
        </w:rPr>
        <w:t>发达国家一度将网络平台企业视为在国内和国际经济、政治、</w:t>
      </w:r>
      <w:r>
        <w:rPr>
          <w:rFonts w:ascii="SimSun" w:hAnsi="SimSun" w:eastAsia="SimSun" w:cs="SimSun"/>
          <w:sz w:val="21"/>
          <w:szCs w:val="21"/>
          <w:spacing w:val="3"/>
        </w:rPr>
        <w:t xml:space="preserve"> </w:t>
      </w:r>
      <w:r>
        <w:rPr>
          <w:rFonts w:ascii="SimSun" w:hAnsi="SimSun" w:eastAsia="SimSun" w:cs="SimSun"/>
          <w:sz w:val="21"/>
          <w:szCs w:val="21"/>
          <w:spacing w:val="-4"/>
        </w:rPr>
        <w:t>文化生活中提供“解放性技术”服务的实体，认为应创造政策空间</w:t>
      </w:r>
      <w:r>
        <w:rPr>
          <w:rFonts w:ascii="SimSun" w:hAnsi="SimSun" w:eastAsia="SimSun" w:cs="SimSun"/>
          <w:sz w:val="21"/>
          <w:szCs w:val="21"/>
          <w:spacing w:val="7"/>
        </w:rPr>
        <w:t xml:space="preserve">  </w:t>
      </w:r>
      <w:r>
        <w:rPr>
          <w:rFonts w:ascii="SimSun" w:hAnsi="SimSun" w:eastAsia="SimSun" w:cs="SimSun"/>
          <w:sz w:val="21"/>
          <w:szCs w:val="21"/>
          <w:spacing w:val="-4"/>
        </w:rPr>
        <w:t>使其发展壮大。特别是因为在世界范围内占绝对领先地位的平台产</w:t>
      </w:r>
      <w:r>
        <w:rPr>
          <w:rFonts w:ascii="SimSun" w:hAnsi="SimSun" w:eastAsia="SimSun" w:cs="SimSun"/>
          <w:sz w:val="21"/>
          <w:szCs w:val="21"/>
          <w:spacing w:val="3"/>
        </w:rPr>
        <w:t xml:space="preserve">  </w:t>
      </w:r>
      <w:r>
        <w:rPr>
          <w:rFonts w:ascii="SimSun" w:hAnsi="SimSun" w:eastAsia="SimSun" w:cs="SimSun"/>
          <w:sz w:val="21"/>
          <w:szCs w:val="21"/>
          <w:spacing w:val="-3"/>
        </w:rPr>
        <w:t>品和服务由少数以美国为主的大型技术公司提供，平台企业被视为</w:t>
      </w:r>
      <w:r>
        <w:rPr>
          <w:rFonts w:ascii="SimSun" w:hAnsi="SimSun" w:eastAsia="SimSun" w:cs="SimSun"/>
          <w:sz w:val="21"/>
          <w:szCs w:val="21"/>
          <w:spacing w:val="3"/>
        </w:rPr>
        <w:t xml:space="preserve">  </w:t>
      </w:r>
      <w:r>
        <w:rPr>
          <w:rFonts w:ascii="SimSun" w:hAnsi="SimSun" w:eastAsia="SimSun" w:cs="SimSun"/>
          <w:sz w:val="21"/>
          <w:szCs w:val="21"/>
          <w:spacing w:val="-3"/>
        </w:rPr>
        <w:t>推动西方在技术和服务领域创新乃至在国际政治层面引导世界潮流</w:t>
      </w:r>
      <w:r>
        <w:rPr>
          <w:rFonts w:ascii="SimSun" w:hAnsi="SimSun" w:eastAsia="SimSun" w:cs="SimSun"/>
          <w:sz w:val="21"/>
          <w:szCs w:val="21"/>
          <w:spacing w:val="2"/>
        </w:rPr>
        <w:t xml:space="preserve">  </w:t>
      </w:r>
      <w:r>
        <w:rPr>
          <w:rFonts w:ascii="SimSun" w:hAnsi="SimSun" w:eastAsia="SimSun" w:cs="SimSun"/>
          <w:sz w:val="21"/>
          <w:szCs w:val="21"/>
          <w:spacing w:val="-11"/>
        </w:rPr>
        <w:t>的载体。</w:t>
      </w:r>
    </w:p>
    <w:p>
      <w:pPr>
        <w:ind w:right="93" w:firstLine="534"/>
        <w:spacing w:before="154" w:line="303" w:lineRule="auto"/>
        <w:jc w:val="both"/>
        <w:rPr>
          <w:rFonts w:ascii="SimSun" w:hAnsi="SimSun" w:eastAsia="SimSun" w:cs="SimSun"/>
          <w:sz w:val="21"/>
          <w:szCs w:val="21"/>
        </w:rPr>
      </w:pPr>
      <w:r>
        <w:rPr>
          <w:rFonts w:ascii="SimSun" w:hAnsi="SimSun" w:eastAsia="SimSun" w:cs="SimSun"/>
          <w:sz w:val="21"/>
          <w:szCs w:val="21"/>
          <w:spacing w:val="-4"/>
        </w:rPr>
        <w:t>从国际政治学视角看，对于大型通信技术企业，有必要从让其</w:t>
      </w:r>
      <w:r>
        <w:rPr>
          <w:rFonts w:ascii="SimSun" w:hAnsi="SimSun" w:eastAsia="SimSun" w:cs="SimSun"/>
          <w:sz w:val="21"/>
          <w:szCs w:val="21"/>
          <w:spacing w:val="15"/>
        </w:rPr>
        <w:t xml:space="preserve"> </w:t>
      </w:r>
      <w:r>
        <w:rPr>
          <w:rFonts w:ascii="SimSun" w:hAnsi="SimSun" w:eastAsia="SimSun" w:cs="SimSun"/>
          <w:sz w:val="21"/>
          <w:szCs w:val="21"/>
          <w:spacing w:val="-6"/>
        </w:rPr>
        <w:t>“发展”转向对其“治理”的思维被广泛接受，较为直接</w:t>
      </w:r>
      <w:r>
        <w:rPr>
          <w:rFonts w:ascii="SimSun" w:hAnsi="SimSun" w:eastAsia="SimSun" w:cs="SimSun"/>
          <w:sz w:val="21"/>
          <w:szCs w:val="21"/>
          <w:spacing w:val="-7"/>
        </w:rPr>
        <w:t>的因素之一</w:t>
      </w:r>
      <w:r>
        <w:rPr>
          <w:rFonts w:ascii="SimSun" w:hAnsi="SimSun" w:eastAsia="SimSun" w:cs="SimSun"/>
          <w:sz w:val="21"/>
          <w:szCs w:val="21"/>
        </w:rPr>
        <w:t xml:space="preserve"> </w:t>
      </w:r>
      <w:r>
        <w:rPr>
          <w:rFonts w:ascii="SimSun" w:hAnsi="SimSun" w:eastAsia="SimSun" w:cs="SimSun"/>
          <w:sz w:val="21"/>
          <w:szCs w:val="21"/>
          <w:spacing w:val="-7"/>
        </w:rPr>
        <w:t>是脸书等头部平台企业的运行导致使用其服务的国家的政</w:t>
      </w:r>
      <w:r>
        <w:rPr>
          <w:rFonts w:ascii="SimSun" w:hAnsi="SimSun" w:eastAsia="SimSun" w:cs="SimSun"/>
          <w:sz w:val="21"/>
          <w:szCs w:val="21"/>
          <w:spacing w:val="-8"/>
        </w:rPr>
        <w:t>治生态进一</w:t>
      </w:r>
      <w:r>
        <w:rPr>
          <w:rFonts w:ascii="SimSun" w:hAnsi="SimSun" w:eastAsia="SimSun" w:cs="SimSun"/>
          <w:sz w:val="21"/>
          <w:szCs w:val="21"/>
        </w:rPr>
        <w:t xml:space="preserve"> </w:t>
      </w:r>
      <w:r>
        <w:rPr>
          <w:rFonts w:ascii="SimSun" w:hAnsi="SimSun" w:eastAsia="SimSun" w:cs="SimSun"/>
          <w:sz w:val="21"/>
          <w:szCs w:val="21"/>
        </w:rPr>
        <w:t>步复杂化。在国际层面，成立于2004年的脸书一度因为在2010</w:t>
      </w:r>
      <w:r>
        <w:rPr>
          <w:rFonts w:ascii="SimSun" w:hAnsi="SimSun" w:eastAsia="SimSun" w:cs="SimSun"/>
          <w:sz w:val="21"/>
          <w:szCs w:val="21"/>
          <w:spacing w:val="-1"/>
        </w:rPr>
        <w:t>年突</w:t>
      </w:r>
      <w:r>
        <w:rPr>
          <w:rFonts w:ascii="SimSun" w:hAnsi="SimSun" w:eastAsia="SimSun" w:cs="SimSun"/>
          <w:sz w:val="21"/>
          <w:szCs w:val="21"/>
        </w:rPr>
        <w:t xml:space="preserve"> </w:t>
      </w:r>
      <w:r>
        <w:rPr>
          <w:rFonts w:ascii="SimSun" w:hAnsi="SimSun" w:eastAsia="SimSun" w:cs="SimSun"/>
          <w:sz w:val="21"/>
          <w:szCs w:val="21"/>
          <w:spacing w:val="-7"/>
        </w:rPr>
        <w:t>尼斯、埃及等国的“颜色革命”中被抗议民众广泛</w:t>
      </w:r>
      <w:r>
        <w:rPr>
          <w:rFonts w:ascii="SimSun" w:hAnsi="SimSun" w:eastAsia="SimSun" w:cs="SimSun"/>
          <w:sz w:val="21"/>
          <w:szCs w:val="21"/>
          <w:spacing w:val="-8"/>
        </w:rPr>
        <w:t>使用而在西方政策</w:t>
      </w:r>
      <w:r>
        <w:rPr>
          <w:rFonts w:ascii="SimSun" w:hAnsi="SimSun" w:eastAsia="SimSun" w:cs="SimSun"/>
          <w:sz w:val="21"/>
          <w:szCs w:val="21"/>
        </w:rPr>
        <w:t xml:space="preserve"> </w:t>
      </w:r>
      <w:r>
        <w:rPr>
          <w:rFonts w:ascii="SimSun" w:hAnsi="SimSun" w:eastAsia="SimSun" w:cs="SimSun"/>
          <w:sz w:val="21"/>
          <w:szCs w:val="21"/>
          <w:spacing w:val="-7"/>
        </w:rPr>
        <w:t>研究界受到好评。但当脸书等社交平台的“民主变革”能量在发达国</w:t>
      </w:r>
      <w:r>
        <w:rPr>
          <w:rFonts w:ascii="SimSun" w:hAnsi="SimSun" w:eastAsia="SimSun" w:cs="SimSun"/>
          <w:sz w:val="21"/>
          <w:szCs w:val="21"/>
          <w:spacing w:val="4"/>
        </w:rPr>
        <w:t xml:space="preserve"> </w:t>
      </w:r>
      <w:r>
        <w:rPr>
          <w:rFonts w:ascii="SimSun" w:hAnsi="SimSun" w:eastAsia="SimSun" w:cs="SimSun"/>
          <w:sz w:val="21"/>
          <w:szCs w:val="21"/>
          <w:spacing w:val="-7"/>
        </w:rPr>
        <w:t>家社会展现后，其“反社会”的一面受到广泛关注，约束其功能的呼</w:t>
      </w:r>
    </w:p>
    <w:p>
      <w:pPr>
        <w:spacing w:line="303" w:lineRule="auto"/>
        <w:sectPr>
          <w:headerReference w:type="default" r:id="rId303"/>
          <w:pgSz w:w="7330" w:h="12480"/>
          <w:pgMar w:top="498" w:right="475" w:bottom="400" w:left="645" w:header="323" w:footer="0" w:gutter="0"/>
        </w:sectPr>
        <w:rPr>
          <w:rFonts w:ascii="SimSun" w:hAnsi="SimSun" w:eastAsia="SimSun" w:cs="SimSun"/>
          <w:sz w:val="21"/>
          <w:szCs w:val="21"/>
        </w:rPr>
      </w:pP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right="91"/>
        <w:spacing w:before="68" w:line="283" w:lineRule="auto"/>
        <w:jc w:val="both"/>
        <w:rPr>
          <w:rFonts w:ascii="SimSun" w:hAnsi="SimSun" w:eastAsia="SimSun" w:cs="SimSun"/>
          <w:sz w:val="21"/>
          <w:szCs w:val="21"/>
        </w:rPr>
      </w:pPr>
      <w:r>
        <w:rPr>
          <w:rFonts w:ascii="SimSun" w:hAnsi="SimSun" w:eastAsia="SimSun" w:cs="SimSun"/>
          <w:sz w:val="21"/>
          <w:szCs w:val="21"/>
          <w:spacing w:val="-15"/>
        </w:rPr>
        <w:t>声开始得到越来越多的重视。</w:t>
      </w:r>
      <w:r>
        <w:rPr>
          <w:rFonts w:ascii="SimSun" w:hAnsi="SimSun" w:eastAsia="SimSun" w:cs="SimSun"/>
          <w:sz w:val="21"/>
          <w:szCs w:val="21"/>
          <w:spacing w:val="37"/>
        </w:rPr>
        <w:t xml:space="preserve"> </w:t>
      </w:r>
      <w:r>
        <w:rPr>
          <w:rFonts w:ascii="SimSun" w:hAnsi="SimSun" w:eastAsia="SimSun" w:cs="SimSun"/>
          <w:sz w:val="21"/>
          <w:szCs w:val="21"/>
          <w:spacing w:val="-15"/>
        </w:rPr>
        <w:t>一本被广泛引用的专著甚至指控脸书已</w:t>
      </w:r>
      <w:r>
        <w:rPr>
          <w:rFonts w:ascii="SimSun" w:hAnsi="SimSun" w:eastAsia="SimSun" w:cs="SimSun"/>
          <w:sz w:val="21"/>
          <w:szCs w:val="21"/>
        </w:rPr>
        <w:t xml:space="preserve"> </w:t>
      </w:r>
      <w:r>
        <w:rPr>
          <w:rFonts w:ascii="SimSun" w:hAnsi="SimSun" w:eastAsia="SimSun" w:cs="SimSun"/>
          <w:sz w:val="21"/>
          <w:szCs w:val="21"/>
          <w:spacing w:val="-11"/>
        </w:rPr>
        <w:t>经远远超出其为个人用户提供交流的功能而成为大众政治平台，而且</w:t>
      </w:r>
      <w:r>
        <w:rPr>
          <w:rFonts w:ascii="SimSun" w:hAnsi="SimSun" w:eastAsia="SimSun" w:cs="SimSun"/>
          <w:sz w:val="21"/>
          <w:szCs w:val="21"/>
          <w:spacing w:val="18"/>
        </w:rPr>
        <w:t xml:space="preserve"> </w:t>
      </w:r>
      <w:r>
        <w:rPr>
          <w:rFonts w:ascii="SimSun" w:hAnsi="SimSun" w:eastAsia="SimSun" w:cs="SimSun"/>
          <w:sz w:val="21"/>
          <w:szCs w:val="21"/>
          <w:spacing w:val="-13"/>
        </w:rPr>
        <w:t>是“世界各地民主和知识型文化败坏”的推手。①</w:t>
      </w:r>
    </w:p>
    <w:p>
      <w:pPr>
        <w:ind w:firstLine="409"/>
        <w:spacing w:before="121" w:line="295" w:lineRule="auto"/>
        <w:jc w:val="both"/>
        <w:rPr>
          <w:rFonts w:ascii="SimSun" w:hAnsi="SimSun" w:eastAsia="SimSun" w:cs="SimSun"/>
          <w:sz w:val="21"/>
          <w:szCs w:val="21"/>
        </w:rPr>
      </w:pPr>
      <w:r>
        <w:rPr>
          <w:rFonts w:ascii="SimSun" w:hAnsi="SimSun" w:eastAsia="SimSun" w:cs="SimSun"/>
          <w:sz w:val="21"/>
          <w:szCs w:val="21"/>
          <w:spacing w:val="-8"/>
        </w:rPr>
        <w:t>维系平台生态系统的核心角色是平台企业及使用其服务的政府、</w:t>
      </w:r>
      <w:r>
        <w:rPr>
          <w:rFonts w:ascii="SimSun" w:hAnsi="SimSun" w:eastAsia="SimSun" w:cs="SimSun"/>
          <w:sz w:val="21"/>
          <w:szCs w:val="21"/>
          <w:spacing w:val="18"/>
        </w:rPr>
        <w:t xml:space="preserve"> </w:t>
      </w:r>
      <w:r>
        <w:rPr>
          <w:rFonts w:ascii="SimSun" w:hAnsi="SimSun" w:eastAsia="SimSun" w:cs="SimSun"/>
          <w:sz w:val="21"/>
          <w:szCs w:val="21"/>
          <w:spacing w:val="-10"/>
        </w:rPr>
        <w:t>实体和个人。此外，平台的辅助性角色包括第三</w:t>
      </w:r>
      <w:r>
        <w:rPr>
          <w:rFonts w:ascii="SimSun" w:hAnsi="SimSun" w:eastAsia="SimSun" w:cs="SimSun"/>
          <w:sz w:val="21"/>
          <w:szCs w:val="21"/>
          <w:spacing w:val="-11"/>
        </w:rPr>
        <w:t>方数据中介机构、广</w:t>
      </w:r>
      <w:r>
        <w:rPr>
          <w:rFonts w:ascii="SimSun" w:hAnsi="SimSun" w:eastAsia="SimSun" w:cs="SimSun"/>
          <w:sz w:val="21"/>
          <w:szCs w:val="21"/>
        </w:rPr>
        <w:t xml:space="preserve">  </w:t>
      </w:r>
      <w:r>
        <w:rPr>
          <w:rFonts w:ascii="SimSun" w:hAnsi="SimSun" w:eastAsia="SimSun" w:cs="SimSun"/>
          <w:sz w:val="21"/>
          <w:szCs w:val="21"/>
          <w:spacing w:val="-10"/>
        </w:rPr>
        <w:t>告商、软件开发者。这些角色的作用在生态</w:t>
      </w:r>
      <w:r>
        <w:rPr>
          <w:rFonts w:ascii="SimSun" w:hAnsi="SimSun" w:eastAsia="SimSun" w:cs="SimSun"/>
          <w:sz w:val="21"/>
          <w:szCs w:val="21"/>
          <w:spacing w:val="-11"/>
        </w:rPr>
        <w:t>系统中相辅相成，缺一不</w:t>
      </w:r>
      <w:r>
        <w:rPr>
          <w:rFonts w:ascii="SimSun" w:hAnsi="SimSun" w:eastAsia="SimSun" w:cs="SimSun"/>
          <w:sz w:val="21"/>
          <w:szCs w:val="21"/>
        </w:rPr>
        <w:t xml:space="preserve">  </w:t>
      </w:r>
      <w:r>
        <w:rPr>
          <w:rFonts w:ascii="SimSun" w:hAnsi="SimSun" w:eastAsia="SimSun" w:cs="SimSun"/>
          <w:sz w:val="21"/>
          <w:szCs w:val="21"/>
          <w:spacing w:val="-11"/>
        </w:rPr>
        <w:t>可。所以，从政治学的角度看，“平台治理”研究中形成的认知包括</w:t>
      </w:r>
      <w:r>
        <w:rPr>
          <w:rFonts w:ascii="SimSun" w:hAnsi="SimSun" w:eastAsia="SimSun" w:cs="SimSun"/>
          <w:sz w:val="21"/>
          <w:szCs w:val="21"/>
          <w:spacing w:val="8"/>
        </w:rPr>
        <w:t xml:space="preserve">  </w:t>
      </w:r>
      <w:r>
        <w:rPr>
          <w:rFonts w:ascii="SimSun" w:hAnsi="SimSun" w:eastAsia="SimSun" w:cs="SimSun"/>
          <w:sz w:val="21"/>
          <w:szCs w:val="21"/>
          <w:spacing w:val="-9"/>
        </w:rPr>
        <w:t>三大流派：平台行使政府职能、平台在政府行为中生存发展、</w:t>
      </w:r>
      <w:r>
        <w:rPr>
          <w:rFonts w:ascii="SimSun" w:hAnsi="SimSun" w:eastAsia="SimSun" w:cs="SimSun"/>
          <w:sz w:val="21"/>
          <w:szCs w:val="21"/>
          <w:spacing w:val="-10"/>
        </w:rPr>
        <w:t>平台企</w:t>
      </w:r>
      <w:r>
        <w:rPr>
          <w:rFonts w:ascii="SimSun" w:hAnsi="SimSun" w:eastAsia="SimSun" w:cs="SimSun"/>
          <w:sz w:val="21"/>
          <w:szCs w:val="21"/>
        </w:rPr>
        <w:t xml:space="preserve"> </w:t>
      </w:r>
      <w:r>
        <w:rPr>
          <w:rFonts w:ascii="SimSun" w:hAnsi="SimSun" w:eastAsia="SimSun" w:cs="SimSun"/>
          <w:sz w:val="21"/>
          <w:szCs w:val="21"/>
          <w:spacing w:val="-3"/>
        </w:rPr>
        <w:t>业就是企业。就平台治理模式而言，可分为自我治</w:t>
      </w:r>
      <w:r>
        <w:rPr>
          <w:rFonts w:ascii="SimSun" w:hAnsi="SimSun" w:eastAsia="SimSun" w:cs="SimSun"/>
          <w:sz w:val="21"/>
          <w:szCs w:val="21"/>
          <w:spacing w:val="-4"/>
        </w:rPr>
        <w:t>理、外部角色治</w:t>
      </w:r>
      <w:r>
        <w:rPr>
          <w:rFonts w:ascii="SimSun" w:hAnsi="SimSun" w:eastAsia="SimSun" w:cs="SimSun"/>
          <w:sz w:val="21"/>
          <w:szCs w:val="21"/>
        </w:rPr>
        <w:t xml:space="preserve">  </w:t>
      </w:r>
      <w:r>
        <w:rPr>
          <w:rFonts w:ascii="SimSun" w:hAnsi="SimSun" w:eastAsia="SimSun" w:cs="SimSun"/>
          <w:sz w:val="21"/>
          <w:szCs w:val="21"/>
          <w:spacing w:val="-13"/>
        </w:rPr>
        <w:t>理、共同治理。②政府依然是平台治理的关键性角色。</w:t>
      </w:r>
    </w:p>
    <w:p>
      <w:pPr>
        <w:ind w:right="89" w:firstLine="409"/>
        <w:spacing w:before="154" w:line="292" w:lineRule="auto"/>
        <w:jc w:val="both"/>
        <w:rPr>
          <w:rFonts w:ascii="SimSun" w:hAnsi="SimSun" w:eastAsia="SimSun" w:cs="SimSun"/>
          <w:sz w:val="21"/>
          <w:szCs w:val="21"/>
        </w:rPr>
      </w:pPr>
      <w:r>
        <w:rPr>
          <w:rFonts w:ascii="SimSun" w:hAnsi="SimSun" w:eastAsia="SimSun" w:cs="SimSun"/>
          <w:sz w:val="21"/>
          <w:szCs w:val="21"/>
          <w:spacing w:val="-11"/>
        </w:rPr>
        <w:t>从经济政策视角看，对大型通信技术企业，政府要在维护公平的</w:t>
      </w:r>
      <w:r>
        <w:rPr>
          <w:rFonts w:ascii="SimSun" w:hAnsi="SimSun" w:eastAsia="SimSun" w:cs="SimSun"/>
          <w:sz w:val="21"/>
          <w:szCs w:val="21"/>
          <w:spacing w:val="12"/>
        </w:rPr>
        <w:t xml:space="preserve"> </w:t>
      </w:r>
      <w:r>
        <w:rPr>
          <w:rFonts w:ascii="SimSun" w:hAnsi="SimSun" w:eastAsia="SimSun" w:cs="SimSun"/>
          <w:sz w:val="21"/>
          <w:szCs w:val="21"/>
          <w:spacing w:val="-10"/>
        </w:rPr>
        <w:t>商业环境和促进创新之间找到平衡，在相关</w:t>
      </w:r>
      <w:r>
        <w:rPr>
          <w:rFonts w:ascii="SimSun" w:hAnsi="SimSun" w:eastAsia="SimSun" w:cs="SimSun"/>
          <w:sz w:val="21"/>
          <w:szCs w:val="21"/>
          <w:spacing w:val="-11"/>
        </w:rPr>
        <w:t>企业形成品牌效应之后不</w:t>
      </w:r>
      <w:r>
        <w:rPr>
          <w:rFonts w:ascii="SimSun" w:hAnsi="SimSun" w:eastAsia="SimSun" w:cs="SimSun"/>
          <w:sz w:val="21"/>
          <w:szCs w:val="21"/>
        </w:rPr>
        <w:t xml:space="preserve"> </w:t>
      </w:r>
      <w:r>
        <w:rPr>
          <w:rFonts w:ascii="SimSun" w:hAnsi="SimSun" w:eastAsia="SimSun" w:cs="SimSun"/>
          <w:sz w:val="21"/>
          <w:szCs w:val="21"/>
          <w:spacing w:val="-10"/>
        </w:rPr>
        <w:t>久就要对其进行治理。就像针对其他行业的</w:t>
      </w:r>
      <w:r>
        <w:rPr>
          <w:rFonts w:ascii="SimSun" w:hAnsi="SimSun" w:eastAsia="SimSun" w:cs="SimSun"/>
          <w:sz w:val="21"/>
          <w:szCs w:val="21"/>
          <w:spacing w:val="-11"/>
        </w:rPr>
        <w:t>治理一样，反垄断是调节</w:t>
      </w:r>
      <w:r>
        <w:rPr>
          <w:rFonts w:ascii="SimSun" w:hAnsi="SimSun" w:eastAsia="SimSun" w:cs="SimSun"/>
          <w:sz w:val="21"/>
          <w:szCs w:val="21"/>
        </w:rPr>
        <w:t xml:space="preserve"> </w:t>
      </w:r>
      <w:r>
        <w:rPr>
          <w:rFonts w:ascii="SimSun" w:hAnsi="SimSun" w:eastAsia="SimSun" w:cs="SimSun"/>
          <w:sz w:val="21"/>
          <w:szCs w:val="21"/>
          <w:spacing w:val="-12"/>
        </w:rPr>
        <w:t>政府、企业、个人利益之间关系的重要工具。</w:t>
      </w:r>
    </w:p>
    <w:p>
      <w:pPr>
        <w:ind w:right="56" w:firstLine="409"/>
        <w:spacing w:before="118" w:line="306" w:lineRule="auto"/>
        <w:jc w:val="both"/>
        <w:rPr>
          <w:rFonts w:ascii="SimSun" w:hAnsi="SimSun" w:eastAsia="SimSun" w:cs="SimSun"/>
          <w:sz w:val="21"/>
          <w:szCs w:val="21"/>
        </w:rPr>
      </w:pPr>
      <w:r>
        <w:rPr>
          <w:rFonts w:ascii="SimSun" w:hAnsi="SimSun" w:eastAsia="SimSun" w:cs="SimSun"/>
          <w:sz w:val="21"/>
          <w:szCs w:val="21"/>
          <w:spacing w:val="-10"/>
        </w:rPr>
        <w:t>其实，以反垄断为工具的互联网行业治理较早体现在美国政府对</w:t>
      </w:r>
      <w:r>
        <w:rPr>
          <w:rFonts w:ascii="SimSun" w:hAnsi="SimSun" w:eastAsia="SimSun" w:cs="SimSun"/>
          <w:sz w:val="21"/>
          <w:szCs w:val="21"/>
          <w:spacing w:val="17"/>
        </w:rPr>
        <w:t xml:space="preserve"> </w:t>
      </w:r>
      <w:r>
        <w:rPr>
          <w:rFonts w:ascii="SimSun" w:hAnsi="SimSun" w:eastAsia="SimSun" w:cs="SimSun"/>
          <w:sz w:val="21"/>
          <w:szCs w:val="21"/>
          <w:spacing w:val="-3"/>
        </w:rPr>
        <w:t>微软公司的诉讼中。20世纪80年代，微软公</w:t>
      </w:r>
      <w:r>
        <w:rPr>
          <w:rFonts w:ascii="SimSun" w:hAnsi="SimSun" w:eastAsia="SimSun" w:cs="SimSun"/>
          <w:sz w:val="21"/>
          <w:szCs w:val="21"/>
          <w:spacing w:val="-4"/>
        </w:rPr>
        <w:t>司成为全球最大的软件</w:t>
      </w:r>
      <w:r>
        <w:rPr>
          <w:rFonts w:ascii="SimSun" w:hAnsi="SimSun" w:eastAsia="SimSun" w:cs="SimSun"/>
          <w:sz w:val="21"/>
          <w:szCs w:val="21"/>
        </w:rPr>
        <w:t xml:space="preserve"> </w:t>
      </w:r>
      <w:r>
        <w:rPr>
          <w:rFonts w:ascii="SimSun" w:hAnsi="SimSun" w:eastAsia="SimSun" w:cs="SimSun"/>
          <w:sz w:val="21"/>
          <w:szCs w:val="21"/>
          <w:spacing w:val="1"/>
        </w:rPr>
        <w:t>商，掌握了90%以上的个人电脑操作系统市场。同时，包</w:t>
      </w:r>
      <w:r>
        <w:rPr>
          <w:rFonts w:ascii="SimSun" w:hAnsi="SimSun" w:eastAsia="SimSun" w:cs="SimSun"/>
          <w:sz w:val="21"/>
          <w:szCs w:val="21"/>
        </w:rPr>
        <w:t>括网景公 </w:t>
      </w:r>
      <w:r>
        <w:rPr>
          <w:rFonts w:ascii="SimSun" w:hAnsi="SimSun" w:eastAsia="SimSun" w:cs="SimSun"/>
          <w:sz w:val="21"/>
          <w:szCs w:val="21"/>
          <w:spacing w:val="-4"/>
        </w:rPr>
        <w:t>司在内的企业控告微软涉嫌不正当竞争和垄断行为。1989年，美国</w:t>
      </w:r>
      <w:r>
        <w:rPr>
          <w:rFonts w:ascii="SimSun" w:hAnsi="SimSun" w:eastAsia="SimSun" w:cs="SimSun"/>
          <w:sz w:val="21"/>
          <w:szCs w:val="21"/>
          <w:spacing w:val="14"/>
        </w:rPr>
        <w:t xml:space="preserve"> </w:t>
      </w:r>
      <w:r>
        <w:rPr>
          <w:rFonts w:ascii="SimSun" w:hAnsi="SimSun" w:eastAsia="SimSun" w:cs="SimSun"/>
          <w:sz w:val="21"/>
          <w:szCs w:val="21"/>
          <w:spacing w:val="-10"/>
        </w:rPr>
        <w:t>联邦贸易委员会着手对微软展开调查。美国司法部门的</w:t>
      </w:r>
      <w:r>
        <w:rPr>
          <w:rFonts w:ascii="SimSun" w:hAnsi="SimSun" w:eastAsia="SimSun" w:cs="SimSun"/>
          <w:sz w:val="21"/>
          <w:szCs w:val="21"/>
          <w:spacing w:val="-11"/>
        </w:rPr>
        <w:t>诉讼和微软的</w:t>
      </w:r>
      <w:r>
        <w:rPr>
          <w:rFonts w:ascii="SimSun" w:hAnsi="SimSun" w:eastAsia="SimSun" w:cs="SimSun"/>
          <w:sz w:val="21"/>
          <w:szCs w:val="21"/>
        </w:rPr>
        <w:t xml:space="preserve"> </w:t>
      </w:r>
      <w:r>
        <w:rPr>
          <w:rFonts w:ascii="SimSun" w:hAnsi="SimSun" w:eastAsia="SimSun" w:cs="SimSun"/>
          <w:sz w:val="21"/>
          <w:szCs w:val="21"/>
          <w:spacing w:val="-6"/>
        </w:rPr>
        <w:t>反诉讼在2000年告一段落。微软被法官判定</w:t>
      </w:r>
      <w:r>
        <w:rPr>
          <w:rFonts w:ascii="SimSun" w:hAnsi="SimSun" w:eastAsia="SimSun" w:cs="SimSun"/>
          <w:sz w:val="21"/>
          <w:szCs w:val="21"/>
          <w:spacing w:val="-7"/>
        </w:rPr>
        <w:t>违反了《谢尔曼法》,构</w:t>
      </w:r>
      <w:r>
        <w:rPr>
          <w:rFonts w:ascii="SimSun" w:hAnsi="SimSun" w:eastAsia="SimSun" w:cs="SimSun"/>
          <w:sz w:val="21"/>
          <w:szCs w:val="21"/>
        </w:rPr>
        <w:t xml:space="preserve"> </w:t>
      </w:r>
      <w:r>
        <w:rPr>
          <w:rFonts w:ascii="SimSun" w:hAnsi="SimSun" w:eastAsia="SimSun" w:cs="SimSun"/>
          <w:sz w:val="21"/>
          <w:szCs w:val="21"/>
          <w:spacing w:val="-11"/>
        </w:rPr>
        <w:t>成三项罪名：通过反竞争行为维持垄断，企图垄断浏览器市场，将其</w:t>
      </w:r>
      <w:r>
        <w:rPr>
          <w:rFonts w:ascii="SimSun" w:hAnsi="SimSun" w:eastAsia="SimSun" w:cs="SimSun"/>
          <w:sz w:val="21"/>
          <w:szCs w:val="21"/>
          <w:spacing w:val="17"/>
        </w:rPr>
        <w:t xml:space="preserve"> </w:t>
      </w:r>
      <w:r>
        <w:rPr>
          <w:rFonts w:ascii="SimSun" w:hAnsi="SimSun" w:eastAsia="SimSun" w:cs="SimSun"/>
          <w:sz w:val="21"/>
          <w:szCs w:val="21"/>
          <w:spacing w:val="-10"/>
        </w:rPr>
        <w:t>浏览器与操作系统捆绑。微软被责令分拆成两个公司，将电脑</w:t>
      </w:r>
      <w:r>
        <w:rPr>
          <w:rFonts w:ascii="SimSun" w:hAnsi="SimSun" w:eastAsia="SimSun" w:cs="SimSun"/>
          <w:sz w:val="21"/>
          <w:szCs w:val="21"/>
          <w:spacing w:val="-11"/>
        </w:rPr>
        <w:t>操作系</w:t>
      </w:r>
      <w:r>
        <w:rPr>
          <w:rFonts w:ascii="SimSun" w:hAnsi="SimSun" w:eastAsia="SimSun" w:cs="SimSun"/>
          <w:sz w:val="21"/>
          <w:szCs w:val="21"/>
        </w:rPr>
        <w:t xml:space="preserve"> </w:t>
      </w:r>
      <w:r>
        <w:rPr>
          <w:rFonts w:ascii="SimSun" w:hAnsi="SimSun" w:eastAsia="SimSun" w:cs="SimSun"/>
          <w:sz w:val="21"/>
          <w:szCs w:val="21"/>
          <w:spacing w:val="-15"/>
        </w:rPr>
        <w:t>统和软件应用系统分离。</w:t>
      </w:r>
      <w:r>
        <w:rPr>
          <w:rFonts w:ascii="SimSun" w:hAnsi="SimSun" w:eastAsia="SimSun" w:cs="SimSun"/>
          <w:sz w:val="21"/>
          <w:szCs w:val="21"/>
          <w:spacing w:val="50"/>
        </w:rPr>
        <w:t xml:space="preserve"> </w:t>
      </w:r>
      <w:r>
        <w:rPr>
          <w:rFonts w:ascii="SimSun" w:hAnsi="SimSun" w:eastAsia="SimSun" w:cs="SimSun"/>
          <w:sz w:val="21"/>
          <w:szCs w:val="21"/>
          <w:spacing w:val="-15"/>
        </w:rPr>
        <w:t>一年后，微软公司与美国司法部达成庭外和</w:t>
      </w:r>
    </w:p>
    <w:p>
      <w:pPr>
        <w:pStyle w:val="BodyText"/>
        <w:spacing w:line="315" w:lineRule="auto"/>
        <w:rPr/>
      </w:pPr>
      <w:r/>
    </w:p>
    <w:p>
      <w:pPr>
        <w:ind w:left="319" w:right="59" w:hanging="319"/>
        <w:spacing w:before="53" w:line="283" w:lineRule="auto"/>
        <w:rPr>
          <w:rFonts w:ascii="Times New Roman" w:hAnsi="Times New Roman" w:eastAsia="Times New Roman" w:cs="Times New Roman"/>
          <w:sz w:val="16"/>
          <w:szCs w:val="16"/>
        </w:rPr>
      </w:pPr>
      <w:r>
        <w:rPr>
          <w:rFonts w:ascii="SimSun" w:hAnsi="SimSun" w:eastAsia="SimSun" w:cs="SimSun"/>
          <w:sz w:val="16"/>
          <w:szCs w:val="16"/>
        </w:rPr>
        <w:t>①  </w:t>
      </w:r>
      <w:r>
        <w:rPr>
          <w:rFonts w:ascii="Times New Roman" w:hAnsi="Times New Roman" w:eastAsia="Times New Roman" w:cs="Times New Roman"/>
          <w:sz w:val="16"/>
          <w:szCs w:val="16"/>
        </w:rPr>
        <w:t>Siva</w:t>
      </w:r>
      <w:r>
        <w:rPr>
          <w:rFonts w:ascii="Times New Roman" w:hAnsi="Times New Roman" w:eastAsia="Times New Roman" w:cs="Times New Roman"/>
          <w:sz w:val="16"/>
          <w:szCs w:val="16"/>
          <w:spacing w:val="20"/>
          <w:w w:val="102"/>
        </w:rPr>
        <w:t xml:space="preserve"> </w:t>
      </w:r>
      <w:r>
        <w:rPr>
          <w:rFonts w:ascii="Times New Roman" w:hAnsi="Times New Roman" w:eastAsia="Times New Roman" w:cs="Times New Roman"/>
          <w:sz w:val="16"/>
          <w:szCs w:val="16"/>
        </w:rPr>
        <w:t>Vaidhyanathan,Antisocial</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rPr>
        <w:t>Media:How</w:t>
      </w:r>
      <w:r>
        <w:rPr>
          <w:rFonts w:ascii="Times New Roman" w:hAnsi="Times New Roman" w:eastAsia="Times New Roman" w:cs="Times New Roman"/>
          <w:sz w:val="16"/>
          <w:szCs w:val="16"/>
          <w:spacing w:val="21"/>
        </w:rPr>
        <w:t xml:space="preserve"> </w:t>
      </w:r>
      <w:r>
        <w:rPr>
          <w:rFonts w:ascii="Times New Roman" w:hAnsi="Times New Roman" w:eastAsia="Times New Roman" w:cs="Times New Roman"/>
          <w:sz w:val="16"/>
          <w:szCs w:val="16"/>
        </w:rPr>
        <w:t>Fa</w:t>
      </w:r>
      <w:r>
        <w:rPr>
          <w:rFonts w:ascii="Times New Roman" w:hAnsi="Times New Roman" w:eastAsia="Times New Roman" w:cs="Times New Roman"/>
          <w:sz w:val="16"/>
          <w:szCs w:val="16"/>
          <w:spacing w:val="-1"/>
        </w:rPr>
        <w:t>cebook</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1"/>
        </w:rPr>
        <w:t>Disconnects</w:t>
      </w:r>
      <w:r>
        <w:rPr>
          <w:rFonts w:ascii="Times New Roman" w:hAnsi="Times New Roman" w:eastAsia="Times New Roman" w:cs="Times New Roman"/>
          <w:sz w:val="16"/>
          <w:szCs w:val="16"/>
          <w:spacing w:val="19"/>
          <w:w w:val="101"/>
        </w:rPr>
        <w:t xml:space="preserve"> </w:t>
      </w:r>
      <w:r>
        <w:rPr>
          <w:rFonts w:ascii="Times New Roman" w:hAnsi="Times New Roman" w:eastAsia="Times New Roman" w:cs="Times New Roman"/>
          <w:sz w:val="16"/>
          <w:szCs w:val="16"/>
          <w:spacing w:val="-1"/>
        </w:rPr>
        <w:t>Us</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spacing w:val="-1"/>
        </w:rPr>
        <w:t>Undermines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Democracy.Oxford  University   Press,2018:3.</w:t>
      </w:r>
    </w:p>
    <w:p>
      <w:pPr>
        <w:spacing w:before="116" w:line="212"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75"/>
        </w:rPr>
        <w:t xml:space="preserve"> </w:t>
      </w:r>
      <w:r>
        <w:rPr>
          <w:rFonts w:ascii="Times New Roman" w:hAnsi="Times New Roman" w:eastAsia="Times New Roman" w:cs="Times New Roman"/>
          <w:sz w:val="16"/>
          <w:szCs w:val="16"/>
        </w:rPr>
        <w:t>Robert    Gorwa,“What    is     Platform    Governan</w:t>
      </w:r>
      <w:r>
        <w:rPr>
          <w:rFonts w:ascii="Times New Roman" w:hAnsi="Times New Roman" w:eastAsia="Times New Roman" w:cs="Times New Roman"/>
          <w:sz w:val="16"/>
          <w:szCs w:val="16"/>
          <w:spacing w:val="-1"/>
        </w:rPr>
        <w:t>ce?”Information,Communication     &amp;</w:t>
      </w:r>
    </w:p>
    <w:p>
      <w:pPr>
        <w:ind w:left="318"/>
        <w:spacing w:before="123" w:line="215" w:lineRule="auto"/>
        <w:rPr>
          <w:rFonts w:ascii="SimSun" w:hAnsi="SimSun" w:eastAsia="SimSun" w:cs="SimSun"/>
          <w:sz w:val="16"/>
          <w:szCs w:val="16"/>
        </w:rPr>
      </w:pPr>
      <w:r>
        <w:rPr>
          <w:rFonts w:ascii="SimSun" w:hAnsi="SimSun" w:eastAsia="SimSun" w:cs="SimSun"/>
          <w:sz w:val="16"/>
          <w:szCs w:val="16"/>
          <w:i/>
          <w:iCs/>
          <w:spacing w:val="-6"/>
        </w:rPr>
        <w:t>Society,2019,22(6):854-871.</w:t>
      </w:r>
    </w:p>
    <w:p>
      <w:pPr>
        <w:spacing w:line="215" w:lineRule="auto"/>
        <w:sectPr>
          <w:headerReference w:type="default" r:id="rId304"/>
          <w:pgSz w:w="7330" w:h="12480"/>
          <w:pgMar w:top="775" w:right="945" w:bottom="400" w:left="300" w:header="613" w:footer="0" w:gutter="0"/>
        </w:sectPr>
        <w:rPr>
          <w:rFonts w:ascii="SimSun" w:hAnsi="SimSun" w:eastAsia="SimSun" w:cs="SimSun"/>
          <w:sz w:val="16"/>
          <w:szCs w:val="16"/>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20"/>
        <w:spacing w:before="68" w:line="302" w:lineRule="auto"/>
        <w:jc w:val="both"/>
        <w:rPr>
          <w:rFonts w:ascii="SimSun" w:hAnsi="SimSun" w:eastAsia="SimSun" w:cs="SimSun"/>
          <w:sz w:val="21"/>
          <w:szCs w:val="21"/>
        </w:rPr>
      </w:pPr>
      <w:r>
        <w:rPr>
          <w:rFonts w:ascii="SimSun" w:hAnsi="SimSun" w:eastAsia="SimSun" w:cs="SimSun"/>
          <w:sz w:val="21"/>
          <w:szCs w:val="21"/>
          <w:spacing w:val="-10"/>
        </w:rPr>
        <w:t>解，微软公司承诺执行一系列限制其商业惯</w:t>
      </w:r>
      <w:r>
        <w:rPr>
          <w:rFonts w:ascii="SimSun" w:hAnsi="SimSun" w:eastAsia="SimSun" w:cs="SimSun"/>
          <w:sz w:val="21"/>
          <w:szCs w:val="21"/>
          <w:spacing w:val="-11"/>
        </w:rPr>
        <w:t>例的规定，逃过了被分拆 </w:t>
      </w:r>
      <w:r>
        <w:rPr>
          <w:rFonts w:ascii="SimSun" w:hAnsi="SimSun" w:eastAsia="SimSun" w:cs="SimSun"/>
          <w:sz w:val="21"/>
          <w:szCs w:val="21"/>
          <w:spacing w:val="-4"/>
        </w:rPr>
        <w:t>的命运。过程中，计算机的应用向智能手机、平板电脑、电子阅读 </w:t>
      </w:r>
      <w:r>
        <w:rPr>
          <w:rFonts w:ascii="SimSun" w:hAnsi="SimSun" w:eastAsia="SimSun" w:cs="SimSun"/>
          <w:sz w:val="21"/>
          <w:szCs w:val="21"/>
          <w:spacing w:val="-8"/>
        </w:rPr>
        <w:t>器等产品拓展，引起官司的</w:t>
      </w:r>
      <w:r>
        <w:rPr>
          <w:rFonts w:ascii="Times New Roman" w:hAnsi="Times New Roman" w:eastAsia="Times New Roman" w:cs="Times New Roman"/>
          <w:sz w:val="21"/>
          <w:szCs w:val="21"/>
          <w:spacing w:val="-8"/>
        </w:rPr>
        <w:t>Windows </w:t>
      </w:r>
      <w:r>
        <w:rPr>
          <w:rFonts w:ascii="SimSun" w:hAnsi="SimSun" w:eastAsia="SimSun" w:cs="SimSun"/>
          <w:sz w:val="21"/>
          <w:szCs w:val="21"/>
          <w:spacing w:val="-8"/>
        </w:rPr>
        <w:t>操作系统不再具有统治性地位。</w:t>
      </w:r>
      <w:r>
        <w:rPr>
          <w:rFonts w:ascii="SimSun" w:hAnsi="SimSun" w:eastAsia="SimSun" w:cs="SimSun"/>
          <w:sz w:val="21"/>
          <w:szCs w:val="21"/>
          <w:spacing w:val="18"/>
        </w:rPr>
        <w:t xml:space="preserve"> </w:t>
      </w:r>
      <w:r>
        <w:rPr>
          <w:rFonts w:ascii="SimSun" w:hAnsi="SimSun" w:eastAsia="SimSun" w:cs="SimSun"/>
          <w:sz w:val="21"/>
          <w:szCs w:val="21"/>
          <w:spacing w:val="-10"/>
        </w:rPr>
        <w:t>微软公司的竞争对手，例如苹果和谷歌，在</w:t>
      </w:r>
      <w:r>
        <w:rPr>
          <w:rFonts w:ascii="SimSun" w:hAnsi="SimSun" w:eastAsia="SimSun" w:cs="SimSun"/>
          <w:sz w:val="21"/>
          <w:szCs w:val="21"/>
          <w:spacing w:val="-11"/>
        </w:rPr>
        <w:t>此过程中成长为超大型电 </w:t>
      </w:r>
      <w:r>
        <w:rPr>
          <w:rFonts w:ascii="SimSun" w:hAnsi="SimSun" w:eastAsia="SimSun" w:cs="SimSun"/>
          <w:sz w:val="21"/>
          <w:szCs w:val="21"/>
          <w:spacing w:val="-10"/>
        </w:rPr>
        <w:t>子科技企业，且具有全球性影响力。微软等</w:t>
      </w:r>
      <w:r>
        <w:rPr>
          <w:rFonts w:ascii="SimSun" w:hAnsi="SimSun" w:eastAsia="SimSun" w:cs="SimSun"/>
          <w:sz w:val="21"/>
          <w:szCs w:val="21"/>
          <w:spacing w:val="-11"/>
        </w:rPr>
        <w:t>以创新为发展基石的企业 </w:t>
      </w:r>
      <w:r>
        <w:rPr>
          <w:rFonts w:ascii="SimSun" w:hAnsi="SimSun" w:eastAsia="SimSun" w:cs="SimSun"/>
          <w:sz w:val="21"/>
          <w:szCs w:val="21"/>
          <w:spacing w:val="-10"/>
        </w:rPr>
        <w:t>在追求自身壮大和应对政府监管之间的成功</w:t>
      </w:r>
      <w:r>
        <w:rPr>
          <w:rFonts w:ascii="SimSun" w:hAnsi="SimSun" w:eastAsia="SimSun" w:cs="SimSun"/>
          <w:sz w:val="21"/>
          <w:szCs w:val="21"/>
          <w:spacing w:val="-11"/>
        </w:rPr>
        <w:t>经验，被推荐为教科书式 </w:t>
      </w:r>
      <w:r>
        <w:rPr>
          <w:rFonts w:ascii="SimSun" w:hAnsi="SimSun" w:eastAsia="SimSun" w:cs="SimSun"/>
          <w:sz w:val="21"/>
          <w:szCs w:val="21"/>
          <w:spacing w:val="-11"/>
        </w:rPr>
        <w:t>的样本。</w:t>
      </w:r>
    </w:p>
    <w:p>
      <w:pPr>
        <w:ind w:right="56" w:firstLine="440"/>
        <w:spacing w:before="102" w:line="300" w:lineRule="auto"/>
        <w:jc w:val="both"/>
        <w:rPr>
          <w:rFonts w:ascii="SimSun" w:hAnsi="SimSun" w:eastAsia="SimSun" w:cs="SimSun"/>
          <w:sz w:val="21"/>
          <w:szCs w:val="21"/>
        </w:rPr>
      </w:pPr>
      <w:r>
        <w:rPr>
          <w:rFonts w:ascii="SimSun" w:hAnsi="SimSun" w:eastAsia="SimSun" w:cs="SimSun"/>
          <w:sz w:val="21"/>
          <w:szCs w:val="21"/>
          <w:spacing w:val="-11"/>
        </w:rPr>
        <w:t>就政府与市场互动的逻辑而言，从微软案的后续发展我们不难看</w:t>
      </w:r>
      <w:r>
        <w:rPr>
          <w:rFonts w:ascii="SimSun" w:hAnsi="SimSun" w:eastAsia="SimSun" w:cs="SimSun"/>
          <w:sz w:val="21"/>
          <w:szCs w:val="21"/>
          <w:spacing w:val="15"/>
        </w:rPr>
        <w:t xml:space="preserve"> </w:t>
      </w:r>
      <w:r>
        <w:rPr>
          <w:rFonts w:ascii="SimSun" w:hAnsi="SimSun" w:eastAsia="SimSun" w:cs="SimSun"/>
          <w:sz w:val="21"/>
          <w:szCs w:val="21"/>
          <w:spacing w:val="-11"/>
        </w:rPr>
        <w:t>出，国家利益在美国反垄断实践中的分量正在逐渐上升。虽然微软被</w:t>
      </w:r>
      <w:r>
        <w:rPr>
          <w:rFonts w:ascii="SimSun" w:hAnsi="SimSun" w:eastAsia="SimSun" w:cs="SimSun"/>
          <w:sz w:val="21"/>
          <w:szCs w:val="21"/>
          <w:spacing w:val="17"/>
        </w:rPr>
        <w:t xml:space="preserve"> </w:t>
      </w:r>
      <w:r>
        <w:rPr>
          <w:rFonts w:ascii="SimSun" w:hAnsi="SimSun" w:eastAsia="SimSun" w:cs="SimSun"/>
          <w:sz w:val="21"/>
          <w:szCs w:val="21"/>
          <w:spacing w:val="-11"/>
        </w:rPr>
        <w:t>判垄断成立，美国政府既未对微软处以罚款，也没有将公司分解。微</w:t>
      </w:r>
      <w:r>
        <w:rPr>
          <w:rFonts w:ascii="SimSun" w:hAnsi="SimSun" w:eastAsia="SimSun" w:cs="SimSun"/>
          <w:sz w:val="21"/>
          <w:szCs w:val="21"/>
          <w:spacing w:val="16"/>
        </w:rPr>
        <w:t xml:space="preserve"> </w:t>
      </w:r>
      <w:r>
        <w:rPr>
          <w:rFonts w:ascii="SimSun" w:hAnsi="SimSun" w:eastAsia="SimSun" w:cs="SimSun"/>
          <w:sz w:val="21"/>
          <w:szCs w:val="21"/>
          <w:spacing w:val="-10"/>
        </w:rPr>
        <w:t>软公司本身也在过程中不断调整自己的行为</w:t>
      </w:r>
      <w:r>
        <w:rPr>
          <w:rFonts w:ascii="SimSun" w:hAnsi="SimSun" w:eastAsia="SimSun" w:cs="SimSun"/>
          <w:sz w:val="21"/>
          <w:szCs w:val="21"/>
          <w:spacing w:val="-11"/>
        </w:rPr>
        <w:t>，根据变化中的政府监管</w:t>
      </w:r>
      <w:r>
        <w:rPr>
          <w:rFonts w:ascii="SimSun" w:hAnsi="SimSun" w:eastAsia="SimSun" w:cs="SimSun"/>
          <w:sz w:val="21"/>
          <w:szCs w:val="21"/>
        </w:rPr>
        <w:t xml:space="preserve"> </w:t>
      </w:r>
      <w:r>
        <w:rPr>
          <w:rFonts w:ascii="SimSun" w:hAnsi="SimSun" w:eastAsia="SimSun" w:cs="SimSun"/>
          <w:sz w:val="21"/>
          <w:szCs w:val="21"/>
          <w:spacing w:val="-10"/>
        </w:rPr>
        <w:t>政策提高自己合规的程度。反垄断只有在鼓</w:t>
      </w:r>
      <w:r>
        <w:rPr>
          <w:rFonts w:ascii="SimSun" w:hAnsi="SimSun" w:eastAsia="SimSun" w:cs="SimSun"/>
          <w:sz w:val="21"/>
          <w:szCs w:val="21"/>
          <w:spacing w:val="-11"/>
        </w:rPr>
        <w:t>励技术创新、保障公平竞</w:t>
      </w:r>
      <w:r>
        <w:rPr>
          <w:rFonts w:ascii="SimSun" w:hAnsi="SimSun" w:eastAsia="SimSun" w:cs="SimSun"/>
          <w:sz w:val="21"/>
          <w:szCs w:val="21"/>
        </w:rPr>
        <w:t xml:space="preserve"> </w:t>
      </w:r>
      <w:r>
        <w:rPr>
          <w:rFonts w:ascii="SimSun" w:hAnsi="SimSun" w:eastAsia="SimSun" w:cs="SimSun"/>
          <w:sz w:val="21"/>
          <w:szCs w:val="21"/>
          <w:spacing w:val="-10"/>
        </w:rPr>
        <w:t>争，并通过持续创新来确保消费者福利最大化</w:t>
      </w:r>
      <w:r>
        <w:rPr>
          <w:rFonts w:ascii="SimSun" w:hAnsi="SimSun" w:eastAsia="SimSun" w:cs="SimSun"/>
          <w:sz w:val="21"/>
          <w:szCs w:val="21"/>
          <w:spacing w:val="-11"/>
        </w:rPr>
        <w:t>时才有意义。</w:t>
      </w:r>
    </w:p>
    <w:p>
      <w:pPr>
        <w:ind w:firstLine="440"/>
        <w:spacing w:before="113" w:line="298" w:lineRule="auto"/>
        <w:jc w:val="both"/>
        <w:rPr>
          <w:rFonts w:ascii="SimSun" w:hAnsi="SimSun" w:eastAsia="SimSun" w:cs="SimSun"/>
          <w:sz w:val="21"/>
          <w:szCs w:val="21"/>
        </w:rPr>
      </w:pPr>
      <w:r>
        <w:rPr>
          <w:rFonts w:ascii="SimSun" w:hAnsi="SimSun" w:eastAsia="SimSun" w:cs="SimSun"/>
          <w:sz w:val="21"/>
          <w:szCs w:val="21"/>
          <w:spacing w:val="-3"/>
        </w:rPr>
        <w:t>观察发达国家的平台治理，将微软反垄断案放在长周期的美国</w:t>
      </w:r>
      <w:r>
        <w:rPr>
          <w:rFonts w:ascii="SimSun" w:hAnsi="SimSun" w:eastAsia="SimSun" w:cs="SimSun"/>
          <w:sz w:val="21"/>
          <w:szCs w:val="21"/>
          <w:spacing w:val="11"/>
        </w:rPr>
        <w:t xml:space="preserve"> </w:t>
      </w:r>
      <w:r>
        <w:rPr>
          <w:rFonts w:ascii="SimSun" w:hAnsi="SimSun" w:eastAsia="SimSun" w:cs="SimSun"/>
          <w:sz w:val="21"/>
          <w:szCs w:val="21"/>
          <w:spacing w:val="-4"/>
        </w:rPr>
        <w:t>经济治理中审视是有益的。在美国，反垄断的理念具有长期性，但</w:t>
      </w:r>
      <w:r>
        <w:rPr>
          <w:rFonts w:ascii="SimSun" w:hAnsi="SimSun" w:eastAsia="SimSun" w:cs="SimSun"/>
          <w:sz w:val="21"/>
          <w:szCs w:val="21"/>
          <w:spacing w:val="6"/>
        </w:rPr>
        <w:t xml:space="preserve">  </w:t>
      </w:r>
      <w:r>
        <w:rPr>
          <w:rFonts w:ascii="SimSun" w:hAnsi="SimSun" w:eastAsia="SimSun" w:cs="SimSun"/>
          <w:sz w:val="21"/>
          <w:szCs w:val="21"/>
          <w:spacing w:val="-4"/>
        </w:rPr>
        <w:t>反垄断执法却具有周期性，且与保护主义思潮交替出现(见图7-1)。</w:t>
      </w:r>
      <w:r>
        <w:rPr>
          <w:rFonts w:ascii="SimSun" w:hAnsi="SimSun" w:eastAsia="SimSun" w:cs="SimSun"/>
          <w:sz w:val="21"/>
          <w:szCs w:val="21"/>
          <w:spacing w:val="16"/>
        </w:rPr>
        <w:t xml:space="preserve"> </w:t>
      </w:r>
      <w:r>
        <w:rPr>
          <w:rFonts w:ascii="SimSun" w:hAnsi="SimSun" w:eastAsia="SimSun" w:cs="SimSun"/>
          <w:sz w:val="21"/>
          <w:szCs w:val="21"/>
          <w:spacing w:val="-3"/>
        </w:rPr>
        <w:t>支撑这种周期性的大背景之一是美国对自己在国际经</w:t>
      </w:r>
      <w:r>
        <w:rPr>
          <w:rFonts w:ascii="SimSun" w:hAnsi="SimSun" w:eastAsia="SimSun" w:cs="SimSun"/>
          <w:sz w:val="21"/>
          <w:szCs w:val="21"/>
          <w:spacing w:val="-4"/>
        </w:rPr>
        <w:t>济与政治格局</w:t>
      </w:r>
      <w:r>
        <w:rPr>
          <w:rFonts w:ascii="SimSun" w:hAnsi="SimSun" w:eastAsia="SimSun" w:cs="SimSun"/>
          <w:sz w:val="21"/>
          <w:szCs w:val="21"/>
        </w:rPr>
        <w:t xml:space="preserve">  </w:t>
      </w:r>
      <w:r>
        <w:rPr>
          <w:rFonts w:ascii="SimSun" w:hAnsi="SimSun" w:eastAsia="SimSun" w:cs="SimSun"/>
          <w:sz w:val="21"/>
          <w:szCs w:val="21"/>
          <w:spacing w:val="-4"/>
        </w:rPr>
        <w:t>中相对地位的判断。当美国在国际竞争中处于不利地位的判断成为</w:t>
      </w:r>
      <w:r>
        <w:rPr>
          <w:rFonts w:ascii="SimSun" w:hAnsi="SimSun" w:eastAsia="SimSun" w:cs="SimSun"/>
          <w:sz w:val="21"/>
          <w:szCs w:val="21"/>
          <w:spacing w:val="7"/>
        </w:rPr>
        <w:t xml:space="preserve">  </w:t>
      </w:r>
      <w:r>
        <w:rPr>
          <w:rFonts w:ascii="SimSun" w:hAnsi="SimSun" w:eastAsia="SimSun" w:cs="SimSun"/>
          <w:sz w:val="21"/>
          <w:szCs w:val="21"/>
          <w:spacing w:val="-4"/>
        </w:rPr>
        <w:t>共识时，保护主义思潮随之占上风。保护主义思潮所追求的是通过</w:t>
      </w:r>
      <w:r>
        <w:rPr>
          <w:rFonts w:ascii="SimSun" w:hAnsi="SimSun" w:eastAsia="SimSun" w:cs="SimSun"/>
          <w:sz w:val="21"/>
          <w:szCs w:val="21"/>
          <w:spacing w:val="6"/>
        </w:rPr>
        <w:t xml:space="preserve">  </w:t>
      </w:r>
      <w:r>
        <w:rPr>
          <w:rFonts w:ascii="SimSun" w:hAnsi="SimSun" w:eastAsia="SimSun" w:cs="SimSun"/>
          <w:sz w:val="21"/>
          <w:szCs w:val="21"/>
          <w:spacing w:val="-3"/>
        </w:rPr>
        <w:t>挤压进口产品和服务维护美国经济在全球的地位。当反垄断成为</w:t>
      </w:r>
      <w:r>
        <w:rPr>
          <w:rFonts w:ascii="SimSun" w:hAnsi="SimSun" w:eastAsia="SimSun" w:cs="SimSun"/>
          <w:sz w:val="21"/>
          <w:szCs w:val="21"/>
          <w:spacing w:val="-4"/>
        </w:rPr>
        <w:t>潮 </w:t>
      </w:r>
      <w:r>
        <w:rPr>
          <w:rFonts w:ascii="SimSun" w:hAnsi="SimSun" w:eastAsia="SimSun" w:cs="SimSun"/>
          <w:sz w:val="21"/>
          <w:szCs w:val="21"/>
          <w:spacing w:val="3"/>
        </w:rPr>
        <w:t>流，则是基于对国内现状的判断，期望通过促进竞争推动</w:t>
      </w:r>
      <w:r>
        <w:rPr>
          <w:rFonts w:ascii="Times New Roman" w:hAnsi="Times New Roman" w:eastAsia="Times New Roman" w:cs="Times New Roman"/>
          <w:sz w:val="21"/>
          <w:szCs w:val="21"/>
        </w:rPr>
        <w:t>GDP</w:t>
      </w:r>
      <w:r>
        <w:rPr>
          <w:rFonts w:ascii="SimSun" w:hAnsi="SimSun" w:eastAsia="SimSun" w:cs="SimSun"/>
          <w:sz w:val="21"/>
          <w:szCs w:val="21"/>
          <w:spacing w:val="3"/>
        </w:rPr>
        <w:t>的</w:t>
      </w:r>
      <w:r>
        <w:rPr>
          <w:rFonts w:ascii="SimSun" w:hAnsi="SimSun" w:eastAsia="SimSun" w:cs="SimSun"/>
          <w:sz w:val="21"/>
          <w:szCs w:val="21"/>
          <w:spacing w:val="7"/>
        </w:rPr>
        <w:t xml:space="preserve">  </w:t>
      </w:r>
      <w:r>
        <w:rPr>
          <w:rFonts w:ascii="SimSun" w:hAnsi="SimSun" w:eastAsia="SimSun" w:cs="SimSun"/>
          <w:sz w:val="21"/>
          <w:szCs w:val="21"/>
          <w:spacing w:val="-9"/>
        </w:rPr>
        <w:t>增长。</w:t>
      </w:r>
    </w:p>
    <w:p>
      <w:pPr>
        <w:ind w:right="35" w:firstLine="440"/>
        <w:spacing w:before="187" w:line="297" w:lineRule="auto"/>
        <w:jc w:val="both"/>
        <w:rPr>
          <w:rFonts w:ascii="SimSun" w:hAnsi="SimSun" w:eastAsia="SimSun" w:cs="SimSun"/>
          <w:sz w:val="21"/>
          <w:szCs w:val="21"/>
        </w:rPr>
      </w:pPr>
      <w:r>
        <w:rPr>
          <w:rFonts w:ascii="SimSun" w:hAnsi="SimSun" w:eastAsia="SimSun" w:cs="SimSun"/>
          <w:sz w:val="21"/>
          <w:szCs w:val="21"/>
          <w:spacing w:val="5"/>
        </w:rPr>
        <w:t>在20世纪70年代，反垄断浪潮在美国出现，以求促进国内经</w:t>
      </w:r>
      <w:r>
        <w:rPr>
          <w:rFonts w:ascii="SimSun" w:hAnsi="SimSun" w:eastAsia="SimSun" w:cs="SimSun"/>
          <w:sz w:val="21"/>
          <w:szCs w:val="21"/>
          <w:spacing w:val="8"/>
        </w:rPr>
        <w:t xml:space="preserve"> </w:t>
      </w:r>
      <w:r>
        <w:rPr>
          <w:rFonts w:ascii="SimSun" w:hAnsi="SimSun" w:eastAsia="SimSun" w:cs="SimSun"/>
          <w:sz w:val="21"/>
          <w:szCs w:val="21"/>
          <w:spacing w:val="5"/>
        </w:rPr>
        <w:t>济发展。美国的保护主义浪潮出现在80年代</w:t>
      </w:r>
      <w:r>
        <w:rPr>
          <w:rFonts w:ascii="SimSun" w:hAnsi="SimSun" w:eastAsia="SimSun" w:cs="SimSun"/>
          <w:sz w:val="21"/>
          <w:szCs w:val="21"/>
          <w:spacing w:val="4"/>
        </w:rPr>
        <w:t>，主要是基于来自日</w:t>
      </w:r>
      <w:r>
        <w:rPr>
          <w:rFonts w:ascii="SimSun" w:hAnsi="SimSun" w:eastAsia="SimSun" w:cs="SimSun"/>
          <w:sz w:val="21"/>
          <w:szCs w:val="21"/>
        </w:rPr>
        <w:t xml:space="preserve"> </w:t>
      </w:r>
      <w:r>
        <w:rPr>
          <w:rFonts w:ascii="SimSun" w:hAnsi="SimSun" w:eastAsia="SimSun" w:cs="SimSun"/>
          <w:sz w:val="21"/>
          <w:szCs w:val="21"/>
          <w:spacing w:val="-4"/>
        </w:rPr>
        <w:t>本的经济竞争。在90年代，反垄断在美国又一次形成共识，但其激</w:t>
      </w:r>
      <w:r>
        <w:rPr>
          <w:rFonts w:ascii="SimSun" w:hAnsi="SimSun" w:eastAsia="SimSun" w:cs="SimSun"/>
          <w:sz w:val="21"/>
          <w:szCs w:val="21"/>
          <w:spacing w:val="17"/>
        </w:rPr>
        <w:t xml:space="preserve"> </w:t>
      </w:r>
      <w:r>
        <w:rPr>
          <w:rFonts w:ascii="SimSun" w:hAnsi="SimSun" w:eastAsia="SimSun" w:cs="SimSun"/>
          <w:sz w:val="21"/>
          <w:szCs w:val="21"/>
          <w:spacing w:val="-4"/>
        </w:rPr>
        <w:t>烈程度远远低于70年代。在中国经济被视为冲击了美国国际地位之</w:t>
      </w:r>
      <w:r>
        <w:rPr>
          <w:rFonts w:ascii="SimSun" w:hAnsi="SimSun" w:eastAsia="SimSun" w:cs="SimSun"/>
          <w:sz w:val="21"/>
          <w:szCs w:val="21"/>
          <w:spacing w:val="17"/>
        </w:rPr>
        <w:t xml:space="preserve"> </w:t>
      </w:r>
      <w:r>
        <w:rPr>
          <w:rFonts w:ascii="SimSun" w:hAnsi="SimSun" w:eastAsia="SimSun" w:cs="SimSun"/>
          <w:sz w:val="21"/>
          <w:szCs w:val="21"/>
          <w:spacing w:val="-4"/>
        </w:rPr>
        <w:t>前，美国的保护主义和反垄断都处于低潮期。近年保护主义和反垄</w:t>
      </w:r>
    </w:p>
    <w:p>
      <w:pPr>
        <w:spacing w:line="297" w:lineRule="auto"/>
        <w:sectPr>
          <w:headerReference w:type="default" r:id="rId305"/>
          <w:pgSz w:w="7330" w:h="12480"/>
          <w:pgMar w:top="489" w:right="475" w:bottom="400" w:left="770" w:header="325" w:footer="0" w:gutter="0"/>
        </w:sectPr>
        <w:rPr>
          <w:rFonts w:ascii="SimSun" w:hAnsi="SimSun" w:eastAsia="SimSun" w:cs="SimSun"/>
          <w:sz w:val="21"/>
          <w:szCs w:val="21"/>
        </w:rPr>
      </w:pP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line="2570" w:lineRule="exact"/>
        <w:rPr/>
      </w:pPr>
      <w:r>
        <w:rPr>
          <w:position w:val="-51"/>
        </w:rPr>
        <w:drawing>
          <wp:inline distT="0" distB="0" distL="0" distR="0">
            <wp:extent cx="3860809" cy="1631954"/>
            <wp:effectExtent l="0" t="0" r="0" b="0"/>
            <wp:docPr id="218" name="IM 218"/>
            <wp:cNvGraphicFramePr/>
            <a:graphic>
              <a:graphicData uri="http://schemas.openxmlformats.org/drawingml/2006/picture">
                <pic:pic>
                  <pic:nvPicPr>
                    <pic:cNvPr id="218" name="IM 218"/>
                    <pic:cNvPicPr/>
                  </pic:nvPicPr>
                  <pic:blipFill>
                    <a:blip r:embed="rId307"/>
                    <a:stretch>
                      <a:fillRect/>
                    </a:stretch>
                  </pic:blipFill>
                  <pic:spPr>
                    <a:xfrm rot="0">
                      <a:off x="0" y="0"/>
                      <a:ext cx="3860809" cy="1631954"/>
                    </a:xfrm>
                    <a:prstGeom prst="rect">
                      <a:avLst/>
                    </a:prstGeom>
                  </pic:spPr>
                </pic:pic>
              </a:graphicData>
            </a:graphic>
          </wp:inline>
        </w:drawing>
      </w:r>
    </w:p>
    <w:p>
      <w:pPr>
        <w:ind w:left="1002"/>
        <w:spacing w:before="202" w:line="219" w:lineRule="auto"/>
        <w:rPr>
          <w:rFonts w:ascii="SimHei" w:hAnsi="SimHei" w:eastAsia="SimHei" w:cs="SimHei"/>
          <w:sz w:val="20"/>
          <w:szCs w:val="20"/>
        </w:rPr>
      </w:pPr>
      <w:r>
        <w:rPr>
          <w:rFonts w:ascii="SimHei" w:hAnsi="SimHei" w:eastAsia="SimHei" w:cs="SimHei"/>
          <w:sz w:val="20"/>
          <w:szCs w:val="20"/>
          <w:b/>
          <w:bCs/>
          <w:spacing w:val="-9"/>
        </w:rPr>
        <w:t>图7-1</w:t>
      </w:r>
      <w:r>
        <w:rPr>
          <w:rFonts w:ascii="SimHei" w:hAnsi="SimHei" w:eastAsia="SimHei" w:cs="SimHei"/>
          <w:sz w:val="20"/>
          <w:szCs w:val="20"/>
          <w:spacing w:val="92"/>
        </w:rPr>
        <w:t xml:space="preserve"> </w:t>
      </w:r>
      <w:r>
        <w:rPr>
          <w:rFonts w:ascii="SimHei" w:hAnsi="SimHei" w:eastAsia="SimHei" w:cs="SimHei"/>
          <w:sz w:val="20"/>
          <w:szCs w:val="20"/>
          <w:b/>
          <w:bCs/>
          <w:spacing w:val="-9"/>
        </w:rPr>
        <w:t>美国司法部1970—2016年反垄断执法数量</w:t>
      </w:r>
    </w:p>
    <w:p>
      <w:pPr>
        <w:ind w:left="40" w:right="72" w:firstLine="359"/>
        <w:spacing w:before="165" w:line="237" w:lineRule="auto"/>
        <w:jc w:val="both"/>
        <w:rPr>
          <w:rFonts w:ascii="SimSun" w:hAnsi="SimSun" w:eastAsia="SimSun" w:cs="SimSun"/>
          <w:sz w:val="20"/>
          <w:szCs w:val="20"/>
        </w:rPr>
      </w:pPr>
      <w:r>
        <w:rPr>
          <w:rFonts w:ascii="SimSun" w:hAnsi="SimSun" w:eastAsia="SimSun" w:cs="SimSun"/>
          <w:sz w:val="20"/>
          <w:szCs w:val="20"/>
          <w:spacing w:val="-8"/>
          <w:w w:val="92"/>
        </w:rPr>
        <w:t>资料来源：</w:t>
      </w:r>
      <w:r>
        <w:rPr>
          <w:rFonts w:ascii="Times New Roman" w:hAnsi="Times New Roman" w:eastAsia="Times New Roman" w:cs="Times New Roman"/>
          <w:sz w:val="20"/>
          <w:szCs w:val="20"/>
          <w:spacing w:val="-8"/>
          <w:w w:val="92"/>
        </w:rPr>
        <w:t>“Workload</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8"/>
          <w:w w:val="92"/>
        </w:rPr>
        <w:t>Statistics”,https</w:t>
      </w:r>
      <w:r>
        <w:rPr>
          <w:rFonts w:ascii="Times New Roman" w:hAnsi="Times New Roman" w:eastAsia="Times New Roman" w:cs="Times New Roman"/>
          <w:sz w:val="20"/>
          <w:szCs w:val="20"/>
          <w:spacing w:val="-9"/>
          <w:w w:val="92"/>
        </w:rPr>
        <w:t>:/wwwjustice.gov/atr/division-operations,</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9"/>
          <w:w w:val="92"/>
        </w:rPr>
        <w:t>转</w:t>
      </w:r>
      <w:r>
        <w:rPr>
          <w:rFonts w:ascii="SimSun" w:hAnsi="SimSun" w:eastAsia="SimSun" w:cs="SimSun"/>
          <w:sz w:val="20"/>
          <w:szCs w:val="20"/>
        </w:rPr>
        <w:t xml:space="preserve"> </w:t>
      </w:r>
      <w:r>
        <w:rPr>
          <w:rFonts w:ascii="SimSun" w:hAnsi="SimSun" w:eastAsia="SimSun" w:cs="SimSun"/>
          <w:sz w:val="16"/>
          <w:szCs w:val="16"/>
        </w:rPr>
        <w:t>引自</w:t>
      </w:r>
      <w:r>
        <w:rPr>
          <w:rFonts w:ascii="SimSun" w:hAnsi="SimSun" w:eastAsia="SimSun" w:cs="SimSun"/>
          <w:sz w:val="16"/>
          <w:szCs w:val="16"/>
          <w:spacing w:val="-22"/>
        </w:rPr>
        <w:t xml:space="preserve"> </w:t>
      </w:r>
      <w:r>
        <w:rPr>
          <w:rFonts w:ascii="Times New Roman" w:hAnsi="Times New Roman" w:eastAsia="Times New Roman" w:cs="Times New Roman"/>
          <w:sz w:val="16"/>
          <w:szCs w:val="16"/>
        </w:rPr>
        <w:t>Yale</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rPr>
        <w:t>School</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rPr>
        <w:t>of Management,Antitrust</w:t>
      </w:r>
      <w:r>
        <w:rPr>
          <w:rFonts w:ascii="Times New Roman" w:hAnsi="Times New Roman" w:eastAsia="Times New Roman" w:cs="Times New Roman"/>
          <w:sz w:val="16"/>
          <w:szCs w:val="16"/>
          <w:spacing w:val="25"/>
        </w:rPr>
        <w:t xml:space="preserve"> </w:t>
      </w:r>
      <w:r>
        <w:rPr>
          <w:rFonts w:ascii="Times New Roman" w:hAnsi="Times New Roman" w:eastAsia="Times New Roman" w:cs="Times New Roman"/>
          <w:sz w:val="16"/>
          <w:szCs w:val="16"/>
        </w:rPr>
        <w:t>Enforcement</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rPr>
        <w:t>Data,</w:t>
      </w:r>
      <w:hyperlink w:history="true" r:id="rId308">
        <w:r>
          <w:rPr>
            <w:rFonts w:ascii="Times New Roman" w:hAnsi="Times New Roman" w:eastAsia="Times New Roman" w:cs="Times New Roman"/>
            <w:sz w:val="16"/>
            <w:szCs w:val="16"/>
          </w:rPr>
          <w:t>http</w:t>
        </w:r>
        <w:r>
          <w:rPr>
            <w:rFonts w:ascii="Times New Roman" w:hAnsi="Times New Roman" w:eastAsia="Times New Roman" w:cs="Times New Roman"/>
            <w:sz w:val="16"/>
            <w:szCs w:val="16"/>
            <w:spacing w:val="-1"/>
          </w:rPr>
          <w:t>s://som.yale.edu/faculty</w:t>
        </w:r>
      </w:hyperlink>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20"/>
          <w:szCs w:val="20"/>
          <w:spacing w:val="-5"/>
          <w:w w:val="91"/>
        </w:rPr>
        <w:t>research-centers/centers-initiatives/</w:t>
      </w:r>
      <w:r>
        <w:rPr>
          <w:rFonts w:ascii="Times New Roman" w:hAnsi="Times New Roman" w:eastAsia="Times New Roman" w:cs="Times New Roman"/>
          <w:sz w:val="20"/>
          <w:szCs w:val="20"/>
          <w:spacing w:val="-6"/>
          <w:w w:val="91"/>
        </w:rPr>
        <w:t>thurman-arnold-project-at-yale/antitrust-enforcement-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rPr>
        <w:t>data-</w:t>
      </w:r>
      <w:r>
        <w:rPr>
          <w:rFonts w:ascii="KaiTi" w:hAnsi="KaiTi" w:eastAsia="KaiTi" w:cs="KaiTi"/>
          <w:sz w:val="20"/>
          <w:szCs w:val="20"/>
          <w:spacing w:val="-7"/>
        </w:rPr>
        <w:t>0(2021年8月19日查阅)</w:t>
      </w:r>
      <w:r>
        <w:rPr>
          <w:rFonts w:ascii="SimSun" w:hAnsi="SimSun" w:eastAsia="SimSun" w:cs="SimSun"/>
          <w:sz w:val="20"/>
          <w:szCs w:val="20"/>
          <w:spacing w:val="-7"/>
        </w:rPr>
        <w:t>。</w:t>
      </w:r>
    </w:p>
    <w:p>
      <w:pPr>
        <w:pStyle w:val="BodyText"/>
        <w:spacing w:line="313" w:lineRule="auto"/>
        <w:rPr/>
      </w:pPr>
      <w:r/>
    </w:p>
    <w:p>
      <w:pPr>
        <w:pStyle w:val="BodyText"/>
        <w:spacing w:line="314" w:lineRule="auto"/>
        <w:rPr/>
      </w:pPr>
      <w:r/>
    </w:p>
    <w:p>
      <w:pPr>
        <w:ind w:left="40"/>
        <w:spacing w:before="65" w:line="380" w:lineRule="exact"/>
        <w:rPr>
          <w:rFonts w:ascii="SimSun" w:hAnsi="SimSun" w:eastAsia="SimSun" w:cs="SimSun"/>
          <w:sz w:val="20"/>
          <w:szCs w:val="20"/>
        </w:rPr>
      </w:pPr>
      <w:r>
        <w:rPr>
          <w:rFonts w:ascii="SimSun" w:hAnsi="SimSun" w:eastAsia="SimSun" w:cs="SimSun"/>
          <w:sz w:val="20"/>
          <w:szCs w:val="20"/>
          <w:spacing w:val="7"/>
          <w:position w:val="13"/>
        </w:rPr>
        <w:t>断思潮同时上升的现象，在美国的政治和经济治理历史上还是</w:t>
      </w:r>
      <w:r>
        <w:rPr>
          <w:rFonts w:ascii="SimSun" w:hAnsi="SimSun" w:eastAsia="SimSun" w:cs="SimSun"/>
          <w:sz w:val="20"/>
          <w:szCs w:val="20"/>
          <w:spacing w:val="6"/>
          <w:position w:val="13"/>
        </w:rPr>
        <w:t>第一</w:t>
      </w:r>
    </w:p>
    <w:p>
      <w:pPr>
        <w:ind w:left="40"/>
        <w:spacing w:line="219" w:lineRule="auto"/>
        <w:rPr>
          <w:rFonts w:ascii="SimSun" w:hAnsi="SimSun" w:eastAsia="SimSun" w:cs="SimSun"/>
          <w:sz w:val="20"/>
          <w:szCs w:val="20"/>
        </w:rPr>
      </w:pPr>
      <w:r>
        <w:rPr>
          <w:rFonts w:ascii="SimSun" w:hAnsi="SimSun" w:eastAsia="SimSun" w:cs="SimSun"/>
          <w:sz w:val="20"/>
          <w:szCs w:val="20"/>
          <w:spacing w:val="-1"/>
        </w:rPr>
        <w:t>次出现。</w:t>
      </w:r>
    </w:p>
    <w:p>
      <w:pPr>
        <w:ind w:left="40" w:firstLine="429"/>
        <w:spacing w:before="125" w:line="332" w:lineRule="auto"/>
        <w:jc w:val="both"/>
        <w:rPr>
          <w:rFonts w:ascii="SimSun" w:hAnsi="SimSun" w:eastAsia="SimSun" w:cs="SimSun"/>
          <w:sz w:val="20"/>
          <w:szCs w:val="20"/>
        </w:rPr>
      </w:pPr>
      <w:r>
        <w:rPr>
          <w:rFonts w:ascii="SimSun" w:hAnsi="SimSun" w:eastAsia="SimSun" w:cs="SimSun"/>
          <w:sz w:val="20"/>
          <w:szCs w:val="20"/>
          <w:spacing w:val="7"/>
        </w:rPr>
        <w:t>同样是指责微软垄断，欧洲的做法却与美国不同。微软公司在</w:t>
      </w:r>
      <w:r>
        <w:rPr>
          <w:rFonts w:ascii="SimSun" w:hAnsi="SimSun" w:eastAsia="SimSun" w:cs="SimSun"/>
          <w:sz w:val="20"/>
          <w:szCs w:val="20"/>
          <w:spacing w:val="10"/>
        </w:rPr>
        <w:t xml:space="preserve"> </w:t>
      </w:r>
      <w:r>
        <w:rPr>
          <w:rFonts w:ascii="SimSun" w:hAnsi="SimSun" w:eastAsia="SimSun" w:cs="SimSun"/>
          <w:sz w:val="20"/>
          <w:szCs w:val="20"/>
          <w:spacing w:val="6"/>
        </w:rPr>
        <w:t>欧洲遭到滥用市场垄断优势的指控可回溯到1993年，它被另一家公</w:t>
      </w:r>
      <w:r>
        <w:rPr>
          <w:rFonts w:ascii="SimSun" w:hAnsi="SimSun" w:eastAsia="SimSun" w:cs="SimSun"/>
          <w:sz w:val="20"/>
          <w:szCs w:val="20"/>
          <w:spacing w:val="2"/>
        </w:rPr>
        <w:t xml:space="preserve">  </w:t>
      </w:r>
      <w:r>
        <w:rPr>
          <w:rFonts w:ascii="SimSun" w:hAnsi="SimSun" w:eastAsia="SimSun" w:cs="SimSun"/>
          <w:sz w:val="20"/>
          <w:szCs w:val="20"/>
          <w:spacing w:val="6"/>
        </w:rPr>
        <w:t>司投诉通过征收特许权使用费排挤竞争对手。双方在1994年以和解</w:t>
      </w:r>
      <w:r>
        <w:rPr>
          <w:rFonts w:ascii="SimSun" w:hAnsi="SimSun" w:eastAsia="SimSun" w:cs="SimSun"/>
          <w:sz w:val="20"/>
          <w:szCs w:val="20"/>
        </w:rPr>
        <w:t xml:space="preserve">  </w:t>
      </w:r>
      <w:r>
        <w:rPr>
          <w:rFonts w:ascii="SimSun" w:hAnsi="SimSun" w:eastAsia="SimSun" w:cs="SimSun"/>
          <w:sz w:val="20"/>
          <w:szCs w:val="20"/>
          <w:spacing w:val="6"/>
        </w:rPr>
        <w:t>方式终止了部分有争议的特许权许可行为。1998年，美国太阳微电</w:t>
      </w:r>
      <w:r>
        <w:rPr>
          <w:rFonts w:ascii="SimSun" w:hAnsi="SimSun" w:eastAsia="SimSun" w:cs="SimSun"/>
          <w:sz w:val="20"/>
          <w:szCs w:val="20"/>
          <w:spacing w:val="2"/>
        </w:rPr>
        <w:t xml:space="preserve">  </w:t>
      </w:r>
      <w:r>
        <w:rPr>
          <w:rFonts w:ascii="SimSun" w:hAnsi="SimSun" w:eastAsia="SimSun" w:cs="SimSun"/>
          <w:sz w:val="20"/>
          <w:szCs w:val="20"/>
          <w:spacing w:val="7"/>
        </w:rPr>
        <w:t>子公司向欧盟委员会投诉，宣称因为微软公司拒</w:t>
      </w:r>
      <w:r>
        <w:rPr>
          <w:rFonts w:ascii="SimSun" w:hAnsi="SimSun" w:eastAsia="SimSun" w:cs="SimSun"/>
          <w:sz w:val="20"/>
          <w:szCs w:val="20"/>
          <w:spacing w:val="6"/>
        </w:rPr>
        <w:t>绝提供操作系统相</w:t>
      </w:r>
      <w:r>
        <w:rPr>
          <w:rFonts w:ascii="SimSun" w:hAnsi="SimSun" w:eastAsia="SimSun" w:cs="SimSun"/>
          <w:sz w:val="20"/>
          <w:szCs w:val="20"/>
        </w:rPr>
        <w:t xml:space="preserve">  </w:t>
      </w:r>
      <w:r>
        <w:rPr>
          <w:rFonts w:ascii="SimSun" w:hAnsi="SimSun" w:eastAsia="SimSun" w:cs="SimSun"/>
          <w:sz w:val="20"/>
          <w:szCs w:val="20"/>
          <w:spacing w:val="6"/>
        </w:rPr>
        <w:t>关兼容信息，太阳微电子公司无法开发与操作系统相兼容的软件产</w:t>
      </w:r>
      <w:r>
        <w:rPr>
          <w:rFonts w:ascii="SimSun" w:hAnsi="SimSun" w:eastAsia="SimSun" w:cs="SimSun"/>
          <w:sz w:val="20"/>
          <w:szCs w:val="20"/>
          <w:spacing w:val="8"/>
        </w:rPr>
        <w:t xml:space="preserve">  </w:t>
      </w:r>
      <w:r>
        <w:rPr>
          <w:rFonts w:ascii="SimSun" w:hAnsi="SimSun" w:eastAsia="SimSun" w:cs="SimSun"/>
          <w:sz w:val="20"/>
          <w:szCs w:val="20"/>
          <w:spacing w:val="6"/>
        </w:rPr>
        <w:t>品，进而使太阳微电子公司无法在服务器操作市场上生存发展。该</w:t>
      </w:r>
      <w:r>
        <w:rPr>
          <w:rFonts w:ascii="SimSun" w:hAnsi="SimSun" w:eastAsia="SimSun" w:cs="SimSun"/>
          <w:sz w:val="20"/>
          <w:szCs w:val="20"/>
          <w:spacing w:val="7"/>
        </w:rPr>
        <w:t xml:space="preserve">  </w:t>
      </w:r>
      <w:r>
        <w:rPr>
          <w:rFonts w:ascii="SimSun" w:hAnsi="SimSun" w:eastAsia="SimSun" w:cs="SimSun"/>
          <w:sz w:val="20"/>
          <w:szCs w:val="20"/>
          <w:spacing w:val="9"/>
        </w:rPr>
        <w:t>投诉正式拉开欧盟反垄断机构对微软公司系列反垄断调查的序幕。</w:t>
      </w:r>
      <w:r>
        <w:rPr>
          <w:rFonts w:ascii="SimSun" w:hAnsi="SimSun" w:eastAsia="SimSun" w:cs="SimSun"/>
          <w:sz w:val="20"/>
          <w:szCs w:val="20"/>
          <w:spacing w:val="18"/>
        </w:rPr>
        <w:t xml:space="preserve"> </w:t>
      </w:r>
      <w:r>
        <w:rPr>
          <w:rFonts w:ascii="SimSun" w:hAnsi="SimSun" w:eastAsia="SimSun" w:cs="SimSun"/>
          <w:sz w:val="20"/>
          <w:szCs w:val="20"/>
          <w:spacing w:val="6"/>
        </w:rPr>
        <w:t>欧盟反垄断机构在对微软公司反垄断调查的基础上，判罚态度日趋  </w:t>
      </w:r>
      <w:r>
        <w:rPr>
          <w:rFonts w:ascii="SimSun" w:hAnsi="SimSun" w:eastAsia="SimSun" w:cs="SimSun"/>
          <w:sz w:val="20"/>
          <w:szCs w:val="20"/>
          <w:spacing w:val="6"/>
        </w:rPr>
        <w:t>强硬。2004年欧盟委员会要求微软公司提供不带自身媒体播放器的</w:t>
      </w:r>
    </w:p>
    <w:p>
      <w:pPr>
        <w:ind w:left="40"/>
        <w:spacing w:before="1" w:line="218" w:lineRule="auto"/>
        <w:rPr>
          <w:rFonts w:ascii="SimSun" w:hAnsi="SimSun" w:eastAsia="SimSun" w:cs="SimSun"/>
          <w:sz w:val="20"/>
          <w:szCs w:val="20"/>
        </w:rPr>
      </w:pPr>
      <w:r>
        <w:rPr>
          <w:rFonts w:ascii="SimSun" w:hAnsi="SimSun" w:eastAsia="SimSun" w:cs="SimSun"/>
          <w:sz w:val="20"/>
          <w:szCs w:val="20"/>
          <w:spacing w:val="6"/>
        </w:rPr>
        <w:t>操作系统版本，向竞争对手开放相关技术信息，以实现微软公司竞</w:t>
      </w:r>
    </w:p>
    <w:p>
      <w:pPr>
        <w:spacing w:line="218" w:lineRule="auto"/>
        <w:sectPr>
          <w:headerReference w:type="default" r:id="rId306"/>
          <w:pgSz w:w="7330" w:h="12480"/>
          <w:pgMar w:top="797" w:right="929" w:bottom="400" w:left="280" w:header="635" w:footer="0" w:gutter="0"/>
        </w:sectPr>
        <w:rPr>
          <w:rFonts w:ascii="SimSun" w:hAnsi="SimSun" w:eastAsia="SimSun" w:cs="SimSun"/>
          <w:sz w:val="20"/>
          <w:szCs w:val="20"/>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102"/>
        <w:spacing w:before="68" w:line="269" w:lineRule="auto"/>
        <w:rPr>
          <w:rFonts w:ascii="SimSun" w:hAnsi="SimSun" w:eastAsia="SimSun" w:cs="SimSun"/>
          <w:sz w:val="21"/>
          <w:szCs w:val="21"/>
        </w:rPr>
      </w:pPr>
      <w:r>
        <w:rPr>
          <w:rFonts w:ascii="SimSun" w:hAnsi="SimSun" w:eastAsia="SimSun" w:cs="SimSun"/>
          <w:sz w:val="21"/>
          <w:szCs w:val="21"/>
          <w:spacing w:val="-1"/>
        </w:rPr>
        <w:t>争对手的产品与微软公司平台的互操作性，并对微软公司处以近5</w:t>
      </w:r>
      <w:r>
        <w:rPr>
          <w:rFonts w:ascii="SimSun" w:hAnsi="SimSun" w:eastAsia="SimSun" w:cs="SimSun"/>
          <w:sz w:val="21"/>
          <w:szCs w:val="21"/>
          <w:spacing w:val="15"/>
        </w:rPr>
        <w:t xml:space="preserve"> </w:t>
      </w:r>
      <w:r>
        <w:rPr>
          <w:rFonts w:ascii="SimSun" w:hAnsi="SimSun" w:eastAsia="SimSun" w:cs="SimSun"/>
          <w:sz w:val="21"/>
          <w:szCs w:val="21"/>
          <w:spacing w:val="-10"/>
        </w:rPr>
        <w:t>亿欧元的罚款。</w:t>
      </w:r>
    </w:p>
    <w:p>
      <w:pPr>
        <w:ind w:right="72" w:firstLine="420"/>
        <w:spacing w:before="106" w:line="298" w:lineRule="auto"/>
        <w:jc w:val="both"/>
        <w:rPr>
          <w:rFonts w:ascii="SimSun" w:hAnsi="SimSun" w:eastAsia="SimSun" w:cs="SimSun"/>
          <w:sz w:val="21"/>
          <w:szCs w:val="21"/>
        </w:rPr>
      </w:pPr>
      <w:r>
        <w:rPr>
          <w:rFonts w:ascii="SimSun" w:hAnsi="SimSun" w:eastAsia="SimSun" w:cs="SimSun"/>
          <w:sz w:val="21"/>
          <w:szCs w:val="21"/>
          <w:spacing w:val="-11"/>
        </w:rPr>
        <w:t>根据专题研究，欧盟对微软公司垄断行为的判罚实际上是在市场</w:t>
      </w:r>
      <w:r>
        <w:rPr>
          <w:rFonts w:ascii="SimSun" w:hAnsi="SimSun" w:eastAsia="SimSun" w:cs="SimSun"/>
          <w:sz w:val="21"/>
          <w:szCs w:val="21"/>
          <w:spacing w:val="9"/>
        </w:rPr>
        <w:t xml:space="preserve"> </w:t>
      </w:r>
      <w:r>
        <w:rPr>
          <w:rFonts w:ascii="SimSun" w:hAnsi="SimSun" w:eastAsia="SimSun" w:cs="SimSun"/>
          <w:sz w:val="21"/>
          <w:szCs w:val="21"/>
          <w:spacing w:val="-11"/>
        </w:rPr>
        <w:t>竞争理念的影响下，在充分借鉴美国反垄断机构关涉微软公司垄断的</w:t>
      </w:r>
      <w:r>
        <w:rPr>
          <w:rFonts w:ascii="SimSun" w:hAnsi="SimSun" w:eastAsia="SimSun" w:cs="SimSun"/>
          <w:sz w:val="21"/>
          <w:szCs w:val="21"/>
          <w:spacing w:val="14"/>
        </w:rPr>
        <w:t xml:space="preserve"> </w:t>
      </w:r>
      <w:r>
        <w:rPr>
          <w:rFonts w:ascii="SimSun" w:hAnsi="SimSun" w:eastAsia="SimSun" w:cs="SimSun"/>
          <w:sz w:val="21"/>
          <w:szCs w:val="21"/>
          <w:spacing w:val="-11"/>
        </w:rPr>
        <w:t>相关技术数据基础上逐步形成的。出现这种情形，并非欧盟内部缺少</w:t>
      </w:r>
      <w:r>
        <w:rPr>
          <w:rFonts w:ascii="SimSun" w:hAnsi="SimSun" w:eastAsia="SimSun" w:cs="SimSun"/>
          <w:sz w:val="21"/>
          <w:szCs w:val="21"/>
          <w:spacing w:val="16"/>
        </w:rPr>
        <w:t xml:space="preserve"> </w:t>
      </w:r>
      <w:r>
        <w:rPr>
          <w:rFonts w:ascii="SimSun" w:hAnsi="SimSun" w:eastAsia="SimSun" w:cs="SimSun"/>
          <w:sz w:val="21"/>
          <w:szCs w:val="21"/>
          <w:spacing w:val="-11"/>
        </w:rPr>
        <w:t>反垄断案例，而是因为相关遭诉企业通常都是美国企业，比如微软公</w:t>
      </w:r>
      <w:r>
        <w:rPr>
          <w:rFonts w:ascii="SimSun" w:hAnsi="SimSun" w:eastAsia="SimSun" w:cs="SimSun"/>
          <w:sz w:val="21"/>
          <w:szCs w:val="21"/>
          <w:spacing w:val="10"/>
        </w:rPr>
        <w:t xml:space="preserve"> </w:t>
      </w:r>
      <w:r>
        <w:rPr>
          <w:rFonts w:ascii="SimSun" w:hAnsi="SimSun" w:eastAsia="SimSun" w:cs="SimSun"/>
          <w:sz w:val="21"/>
          <w:szCs w:val="21"/>
          <w:spacing w:val="-11"/>
        </w:rPr>
        <w:t>司或英特尔公司。由于欧盟反垄断机构本身的科技鉴别能力不足，以</w:t>
      </w:r>
      <w:r>
        <w:rPr>
          <w:rFonts w:ascii="SimSun" w:hAnsi="SimSun" w:eastAsia="SimSun" w:cs="SimSun"/>
          <w:sz w:val="21"/>
          <w:szCs w:val="21"/>
          <w:spacing w:val="16"/>
        </w:rPr>
        <w:t xml:space="preserve"> </w:t>
      </w:r>
      <w:r>
        <w:rPr>
          <w:rFonts w:ascii="SimSun" w:hAnsi="SimSun" w:eastAsia="SimSun" w:cs="SimSun"/>
          <w:sz w:val="21"/>
          <w:szCs w:val="21"/>
          <w:spacing w:val="-4"/>
        </w:rPr>
        <w:t>及在赴美国采集涉案企业技术数据方面具有法律与经济上的客观障</w:t>
      </w:r>
      <w:r>
        <w:rPr>
          <w:rFonts w:ascii="SimSun" w:hAnsi="SimSun" w:eastAsia="SimSun" w:cs="SimSun"/>
          <w:sz w:val="21"/>
          <w:szCs w:val="21"/>
          <w:spacing w:val="3"/>
        </w:rPr>
        <w:t xml:space="preserve"> </w:t>
      </w:r>
      <w:r>
        <w:rPr>
          <w:rFonts w:ascii="SimSun" w:hAnsi="SimSun" w:eastAsia="SimSun" w:cs="SimSun"/>
          <w:sz w:val="21"/>
          <w:szCs w:val="21"/>
          <w:spacing w:val="-11"/>
        </w:rPr>
        <w:t>碍，欧盟反垄断机构在涉及以微软公司为代表的美国企业反垄断案件</w:t>
      </w:r>
      <w:r>
        <w:rPr>
          <w:rFonts w:ascii="SimSun" w:hAnsi="SimSun" w:eastAsia="SimSun" w:cs="SimSun"/>
          <w:sz w:val="21"/>
          <w:szCs w:val="21"/>
          <w:spacing w:val="7"/>
        </w:rPr>
        <w:t xml:space="preserve"> </w:t>
      </w:r>
      <w:r>
        <w:rPr>
          <w:rFonts w:ascii="SimSun" w:hAnsi="SimSun" w:eastAsia="SimSun" w:cs="SimSun"/>
          <w:sz w:val="21"/>
          <w:szCs w:val="21"/>
          <w:spacing w:val="-10"/>
        </w:rPr>
        <w:t>中，较多地从裁判技术角度借鉴了美国反垄断</w:t>
      </w:r>
      <w:r>
        <w:rPr>
          <w:rFonts w:ascii="SimSun" w:hAnsi="SimSun" w:eastAsia="SimSun" w:cs="SimSun"/>
          <w:sz w:val="21"/>
          <w:szCs w:val="21"/>
          <w:spacing w:val="-11"/>
        </w:rPr>
        <w:t>执法机构在同类案件中</w:t>
      </w:r>
      <w:r>
        <w:rPr>
          <w:rFonts w:ascii="SimSun" w:hAnsi="SimSun" w:eastAsia="SimSun" w:cs="SimSun"/>
          <w:sz w:val="21"/>
          <w:szCs w:val="21"/>
        </w:rPr>
        <w:t xml:space="preserve"> </w:t>
      </w:r>
      <w:r>
        <w:rPr>
          <w:rFonts w:ascii="SimSun" w:hAnsi="SimSun" w:eastAsia="SimSun" w:cs="SimSun"/>
          <w:sz w:val="21"/>
          <w:szCs w:val="21"/>
          <w:spacing w:val="-8"/>
        </w:rPr>
        <w:t>的裁判依据。</w:t>
      </w:r>
    </w:p>
    <w:p>
      <w:pPr>
        <w:ind w:firstLine="420"/>
        <w:spacing w:before="188" w:line="306" w:lineRule="auto"/>
        <w:jc w:val="both"/>
        <w:rPr>
          <w:rFonts w:ascii="SimSun" w:hAnsi="SimSun" w:eastAsia="SimSun" w:cs="SimSun"/>
          <w:sz w:val="21"/>
          <w:szCs w:val="21"/>
        </w:rPr>
      </w:pPr>
      <w:r>
        <w:rPr>
          <w:rFonts w:ascii="SimSun" w:hAnsi="SimSun" w:eastAsia="SimSun" w:cs="SimSun"/>
          <w:sz w:val="21"/>
          <w:szCs w:val="21"/>
          <w:spacing w:val="-11"/>
        </w:rPr>
        <w:t>罚款是欧盟委员会针对在其互联网服务市场处于垄断地位的企业 </w:t>
      </w:r>
      <w:r>
        <w:rPr>
          <w:rFonts w:ascii="SimSun" w:hAnsi="SimSun" w:eastAsia="SimSun" w:cs="SimSun"/>
          <w:sz w:val="21"/>
          <w:szCs w:val="21"/>
          <w:spacing w:val="-3"/>
        </w:rPr>
        <w:t>的基本治理手段。例如，2006年，欧盟认为微软公司藐</w:t>
      </w:r>
      <w:r>
        <w:rPr>
          <w:rFonts w:ascii="SimSun" w:hAnsi="SimSun" w:eastAsia="SimSun" w:cs="SimSun"/>
          <w:sz w:val="21"/>
          <w:szCs w:val="21"/>
          <w:spacing w:val="-4"/>
        </w:rPr>
        <w:t>视欧盟委员 </w:t>
      </w:r>
      <w:r>
        <w:rPr>
          <w:rFonts w:ascii="SimSun" w:hAnsi="SimSun" w:eastAsia="SimSun" w:cs="SimSun"/>
          <w:sz w:val="21"/>
          <w:szCs w:val="21"/>
          <w:spacing w:val="-4"/>
        </w:rPr>
        <w:t>会2004年的反垄断裁决，拒不公开视窗操作系统准确、完整的技术</w:t>
      </w:r>
      <w:r>
        <w:rPr>
          <w:rFonts w:ascii="SimSun" w:hAnsi="SimSun" w:eastAsia="SimSun" w:cs="SimSun"/>
          <w:sz w:val="21"/>
          <w:szCs w:val="21"/>
          <w:spacing w:val="6"/>
        </w:rPr>
        <w:t xml:space="preserve">  </w:t>
      </w:r>
      <w:r>
        <w:rPr>
          <w:rFonts w:ascii="SimSun" w:hAnsi="SimSun" w:eastAsia="SimSun" w:cs="SimSun"/>
          <w:sz w:val="21"/>
          <w:szCs w:val="21"/>
          <w:spacing w:val="-7"/>
        </w:rPr>
        <w:t>资料，再次对其开出2.8亿欧元的罚单，并警告将采取包括最高日罚 </w:t>
      </w:r>
      <w:r>
        <w:rPr>
          <w:rFonts w:ascii="SimSun" w:hAnsi="SimSun" w:eastAsia="SimSun" w:cs="SimSun"/>
          <w:sz w:val="21"/>
          <w:szCs w:val="21"/>
          <w:spacing w:val="-7"/>
        </w:rPr>
        <w:t>金达300万欧元的措施。欧盟委员会在后续的反垄断裁决中，继续对</w:t>
      </w:r>
      <w:r>
        <w:rPr>
          <w:rFonts w:ascii="SimSun" w:hAnsi="SimSun" w:eastAsia="SimSun" w:cs="SimSun"/>
          <w:sz w:val="21"/>
          <w:szCs w:val="21"/>
        </w:rPr>
        <w:t xml:space="preserve">  </w:t>
      </w:r>
      <w:r>
        <w:rPr>
          <w:rFonts w:ascii="SimSun" w:hAnsi="SimSun" w:eastAsia="SimSun" w:cs="SimSun"/>
          <w:sz w:val="21"/>
          <w:szCs w:val="21"/>
          <w:spacing w:val="8"/>
        </w:rPr>
        <w:t>微软(2008年)和英特尔(2014年)处以巨额罚款(前者10亿美元，</w:t>
      </w:r>
      <w:r>
        <w:rPr>
          <w:rFonts w:ascii="SimSun" w:hAnsi="SimSun" w:eastAsia="SimSun" w:cs="SimSun"/>
          <w:sz w:val="21"/>
          <w:szCs w:val="21"/>
          <w:spacing w:val="18"/>
        </w:rPr>
        <w:t xml:space="preserve"> </w:t>
      </w:r>
      <w:r>
        <w:rPr>
          <w:rFonts w:ascii="SimSun" w:hAnsi="SimSun" w:eastAsia="SimSun" w:cs="SimSun"/>
          <w:sz w:val="21"/>
          <w:szCs w:val="21"/>
          <w:spacing w:val="-2"/>
        </w:rPr>
        <w:t>后者14亿美元)。2010年11</w:t>
      </w:r>
      <w:r>
        <w:rPr>
          <w:rFonts w:ascii="SimSun" w:hAnsi="SimSun" w:eastAsia="SimSun" w:cs="SimSun"/>
          <w:sz w:val="21"/>
          <w:szCs w:val="21"/>
          <w:spacing w:val="-34"/>
        </w:rPr>
        <w:t xml:space="preserve"> </w:t>
      </w:r>
      <w:r>
        <w:rPr>
          <w:rFonts w:ascii="SimSun" w:hAnsi="SimSun" w:eastAsia="SimSun" w:cs="SimSun"/>
          <w:sz w:val="21"/>
          <w:szCs w:val="21"/>
          <w:spacing w:val="-2"/>
        </w:rPr>
        <w:t>月，欧盟委员会发布通告，启动对谷歌 </w:t>
      </w:r>
      <w:r>
        <w:rPr>
          <w:rFonts w:ascii="SimSun" w:hAnsi="SimSun" w:eastAsia="SimSun" w:cs="SimSun"/>
          <w:sz w:val="21"/>
          <w:szCs w:val="21"/>
          <w:spacing w:val="-4"/>
        </w:rPr>
        <w:t>的反垄断调查，并于2016年开始对脸书公司进行反垄断调查。在认</w:t>
      </w:r>
      <w:r>
        <w:rPr>
          <w:rFonts w:ascii="SimSun" w:hAnsi="SimSun" w:eastAsia="SimSun" w:cs="SimSun"/>
          <w:sz w:val="21"/>
          <w:szCs w:val="21"/>
          <w:spacing w:val="6"/>
        </w:rPr>
        <w:t xml:space="preserve">  </w:t>
      </w:r>
      <w:r>
        <w:rPr>
          <w:rFonts w:ascii="SimSun" w:hAnsi="SimSun" w:eastAsia="SimSun" w:cs="SimSun"/>
          <w:sz w:val="21"/>
          <w:szCs w:val="21"/>
          <w:spacing w:val="-11"/>
        </w:rPr>
        <w:t>定存在垄断行为后，欧盟的做法都是以罚款结案。</w:t>
      </w:r>
    </w:p>
    <w:p>
      <w:pPr>
        <w:ind w:right="19" w:firstLine="420"/>
        <w:spacing w:before="111" w:line="292" w:lineRule="auto"/>
        <w:jc w:val="both"/>
        <w:rPr>
          <w:rFonts w:ascii="SimSun" w:hAnsi="SimSun" w:eastAsia="SimSun" w:cs="SimSun"/>
          <w:sz w:val="21"/>
          <w:szCs w:val="21"/>
        </w:rPr>
      </w:pPr>
      <w:r>
        <w:rPr>
          <w:rFonts w:ascii="SimSun" w:hAnsi="SimSun" w:eastAsia="SimSun" w:cs="SimSun"/>
          <w:sz w:val="21"/>
          <w:szCs w:val="21"/>
          <w:spacing w:val="-4"/>
        </w:rPr>
        <w:t>关于欧洲对美国的信息技术公司所采取的反垄断执法行为，美</w:t>
      </w:r>
      <w:r>
        <w:rPr>
          <w:rFonts w:ascii="SimSun" w:hAnsi="SimSun" w:eastAsia="SimSun" w:cs="SimSun"/>
          <w:sz w:val="21"/>
          <w:szCs w:val="21"/>
          <w:spacing w:val="17"/>
        </w:rPr>
        <w:t xml:space="preserve"> </w:t>
      </w:r>
      <w:r>
        <w:rPr>
          <w:rFonts w:ascii="SimSun" w:hAnsi="SimSun" w:eastAsia="SimSun" w:cs="SimSun"/>
          <w:sz w:val="21"/>
          <w:szCs w:val="21"/>
          <w:spacing w:val="-3"/>
        </w:rPr>
        <w:t>国政界倾向于认为欧洲是在走保护主义路线。例如，2015年，美国</w:t>
      </w:r>
      <w:r>
        <w:rPr>
          <w:rFonts w:ascii="SimSun" w:hAnsi="SimSun" w:eastAsia="SimSun" w:cs="SimSun"/>
          <w:sz w:val="21"/>
          <w:szCs w:val="21"/>
          <w:spacing w:val="13"/>
        </w:rPr>
        <w:t xml:space="preserve"> </w:t>
      </w:r>
      <w:r>
        <w:rPr>
          <w:rFonts w:ascii="SimSun" w:hAnsi="SimSun" w:eastAsia="SimSun" w:cs="SimSun"/>
          <w:sz w:val="21"/>
          <w:szCs w:val="21"/>
          <w:spacing w:val="-15"/>
        </w:rPr>
        <w:t>总统奥巴马在硅谷接受一名记者的采访时表示：“为谷歌和脸书辩护，</w:t>
      </w:r>
      <w:r>
        <w:rPr>
          <w:rFonts w:ascii="SimSun" w:hAnsi="SimSun" w:eastAsia="SimSun" w:cs="SimSun"/>
          <w:sz w:val="21"/>
          <w:szCs w:val="21"/>
          <w:spacing w:val="9"/>
        </w:rPr>
        <w:t xml:space="preserve"> </w:t>
      </w:r>
      <w:r>
        <w:rPr>
          <w:rFonts w:ascii="SimSun" w:hAnsi="SimSun" w:eastAsia="SimSun" w:cs="SimSun"/>
          <w:sz w:val="21"/>
          <w:szCs w:val="21"/>
          <w:spacing w:val="-10"/>
        </w:rPr>
        <w:t>有时候欧洲的反应……更多是基于商业利益而不是</w:t>
      </w:r>
      <w:r>
        <w:rPr>
          <w:rFonts w:ascii="SimSun" w:hAnsi="SimSun" w:eastAsia="SimSun" w:cs="SimSun"/>
          <w:sz w:val="21"/>
          <w:szCs w:val="21"/>
          <w:spacing w:val="-11"/>
        </w:rPr>
        <w:t>别的。”</w:t>
      </w:r>
    </w:p>
    <w:p>
      <w:pPr>
        <w:ind w:right="76" w:firstLine="420"/>
        <w:spacing w:before="111" w:line="283" w:lineRule="auto"/>
        <w:jc w:val="both"/>
        <w:rPr>
          <w:rFonts w:ascii="SimSun" w:hAnsi="SimSun" w:eastAsia="SimSun" w:cs="SimSun"/>
          <w:sz w:val="21"/>
          <w:szCs w:val="21"/>
        </w:rPr>
      </w:pPr>
      <w:r>
        <w:rPr>
          <w:rFonts w:ascii="SimSun" w:hAnsi="SimSun" w:eastAsia="SimSun" w:cs="SimSun"/>
          <w:sz w:val="21"/>
          <w:szCs w:val="21"/>
          <w:spacing w:val="-11"/>
        </w:rPr>
        <w:t>欧洲在全球网络治理制度建设中的核心能力是建章立制，这与技</w:t>
      </w:r>
      <w:r>
        <w:rPr>
          <w:rFonts w:ascii="SimSun" w:hAnsi="SimSun" w:eastAsia="SimSun" w:cs="SimSun"/>
          <w:sz w:val="21"/>
          <w:szCs w:val="21"/>
          <w:spacing w:val="5"/>
        </w:rPr>
        <w:t xml:space="preserve"> </w:t>
      </w:r>
      <w:r>
        <w:rPr>
          <w:rFonts w:ascii="SimSun" w:hAnsi="SimSun" w:eastAsia="SimSun" w:cs="SimSun"/>
          <w:sz w:val="21"/>
          <w:szCs w:val="21"/>
          <w:spacing w:val="-11"/>
        </w:rPr>
        <w:t>术和创新导向的美国和用户市场及数据流导向的中国不同。欧洲的网</w:t>
      </w:r>
      <w:r>
        <w:rPr>
          <w:rFonts w:ascii="SimSun" w:hAnsi="SimSun" w:eastAsia="SimSun" w:cs="SimSun"/>
          <w:sz w:val="21"/>
          <w:szCs w:val="21"/>
          <w:spacing w:val="18"/>
        </w:rPr>
        <w:t xml:space="preserve"> </w:t>
      </w:r>
      <w:r>
        <w:rPr>
          <w:rFonts w:ascii="SimSun" w:hAnsi="SimSun" w:eastAsia="SimSun" w:cs="SimSun"/>
          <w:sz w:val="21"/>
          <w:szCs w:val="21"/>
          <w:spacing w:val="-11"/>
        </w:rPr>
        <w:t>络经济治理，体现的是一种价值追求：由于寡头们追求垄断的目的是</w:t>
      </w:r>
    </w:p>
    <w:p>
      <w:pPr>
        <w:spacing w:line="283" w:lineRule="auto"/>
        <w:sectPr>
          <w:headerReference w:type="default" r:id="rId309"/>
          <w:pgSz w:w="7330" w:h="12480"/>
          <w:pgMar w:top="509" w:right="495" w:bottom="400" w:left="759" w:header="333" w:footer="0" w:gutter="0"/>
        </w:sectPr>
        <w:rPr>
          <w:rFonts w:ascii="SimSun" w:hAnsi="SimSun" w:eastAsia="SimSun" w:cs="SimSun"/>
          <w:sz w:val="21"/>
          <w:szCs w:val="21"/>
        </w:rPr>
      </w:pPr>
    </w:p>
    <w:p>
      <w:pPr>
        <w:pStyle w:val="BodyText"/>
        <w:spacing w:line="250" w:lineRule="auto"/>
        <w:rPr/>
      </w:pPr>
      <w:r>
        <w:drawing>
          <wp:anchor distT="0" distB="0" distL="0" distR="0" simplePos="0" relativeHeight="254334976" behindDoc="0" locked="0" layoutInCell="0" allowOverlap="1">
            <wp:simplePos x="0" y="0"/>
            <wp:positionH relativeFrom="page">
              <wp:posOffset>215878</wp:posOffset>
            </wp:positionH>
            <wp:positionV relativeFrom="page">
              <wp:posOffset>6896076</wp:posOffset>
            </wp:positionV>
            <wp:extent cx="1181138" cy="6350"/>
            <wp:effectExtent l="0" t="0" r="0" b="0"/>
            <wp:wrapNone/>
            <wp:docPr id="220" name="IM 220"/>
            <wp:cNvGraphicFramePr/>
            <a:graphic>
              <a:graphicData uri="http://schemas.openxmlformats.org/drawingml/2006/picture">
                <pic:pic>
                  <pic:nvPicPr>
                    <pic:cNvPr id="220" name="IM 220"/>
                    <pic:cNvPicPr/>
                  </pic:nvPicPr>
                  <pic:blipFill>
                    <a:blip r:embed="rId311"/>
                    <a:stretch>
                      <a:fillRect/>
                    </a:stretch>
                  </pic:blipFill>
                  <pic:spPr>
                    <a:xfrm rot="0">
                      <a:off x="0" y="0"/>
                      <a:ext cx="1181138"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ind w:right="82"/>
        <w:spacing w:before="62" w:line="360" w:lineRule="auto"/>
        <w:jc w:val="both"/>
        <w:rPr>
          <w:rFonts w:ascii="SimSun" w:hAnsi="SimSun" w:eastAsia="SimSun" w:cs="SimSun"/>
          <w:sz w:val="19"/>
          <w:szCs w:val="19"/>
        </w:rPr>
      </w:pPr>
      <w:r>
        <w:rPr>
          <w:rFonts w:ascii="SimSun" w:hAnsi="SimSun" w:eastAsia="SimSun" w:cs="SimSun"/>
          <w:sz w:val="19"/>
          <w:szCs w:val="19"/>
          <w:spacing w:val="9"/>
        </w:rPr>
        <w:t>在市场之外充当“物价局”的角色，也就是做一个定价者，现代立法</w:t>
      </w:r>
      <w:r>
        <w:rPr>
          <w:rFonts w:ascii="SimSun" w:hAnsi="SimSun" w:eastAsia="SimSun" w:cs="SimSun"/>
          <w:sz w:val="19"/>
          <w:szCs w:val="19"/>
          <w:spacing w:val="5"/>
        </w:rPr>
        <w:t xml:space="preserve"> </w:t>
      </w:r>
      <w:r>
        <w:rPr>
          <w:rFonts w:ascii="SimSun" w:hAnsi="SimSun" w:eastAsia="SimSun" w:cs="SimSun"/>
          <w:sz w:val="19"/>
          <w:szCs w:val="19"/>
          <w:spacing w:val="9"/>
        </w:rPr>
        <w:t>机构和行政权力机构必须在寡头利益和大众利益之间做出抉择，抑制</w:t>
      </w:r>
      <w:r>
        <w:rPr>
          <w:rFonts w:ascii="SimSun" w:hAnsi="SimSun" w:eastAsia="SimSun" w:cs="SimSun"/>
          <w:sz w:val="19"/>
          <w:szCs w:val="19"/>
          <w:spacing w:val="15"/>
        </w:rPr>
        <w:t xml:space="preserve"> </w:t>
      </w:r>
      <w:r>
        <w:rPr>
          <w:rFonts w:ascii="SimSun" w:hAnsi="SimSun" w:eastAsia="SimSun" w:cs="SimSun"/>
          <w:sz w:val="19"/>
          <w:szCs w:val="19"/>
          <w:spacing w:val="9"/>
        </w:rPr>
        <w:t>寡头利益，确保自由而充分的市场竞争，从而使大众享受到充分竞争</w:t>
      </w:r>
    </w:p>
    <w:p>
      <w:pPr>
        <w:spacing w:line="219" w:lineRule="auto"/>
        <w:rPr>
          <w:rFonts w:ascii="SimSun" w:hAnsi="SimSun" w:eastAsia="SimSun" w:cs="SimSun"/>
          <w:sz w:val="19"/>
          <w:szCs w:val="19"/>
        </w:rPr>
      </w:pPr>
      <w:r>
        <w:rPr>
          <w:rFonts w:ascii="SimSun" w:hAnsi="SimSun" w:eastAsia="SimSun" w:cs="SimSun"/>
          <w:sz w:val="19"/>
          <w:szCs w:val="19"/>
          <w:spacing w:val="7"/>
        </w:rPr>
        <w:t>带来的优质生活方式。</w:t>
      </w:r>
    </w:p>
    <w:p>
      <w:pPr>
        <w:ind w:right="3" w:firstLine="419"/>
        <w:spacing w:before="111" w:line="350" w:lineRule="auto"/>
        <w:jc w:val="both"/>
        <w:rPr>
          <w:rFonts w:ascii="SimSun" w:hAnsi="SimSun" w:eastAsia="SimSun" w:cs="SimSun"/>
          <w:sz w:val="19"/>
          <w:szCs w:val="19"/>
        </w:rPr>
      </w:pPr>
      <w:r>
        <w:rPr>
          <w:rFonts w:ascii="SimSun" w:hAnsi="SimSun" w:eastAsia="SimSun" w:cs="SimSun"/>
          <w:sz w:val="19"/>
          <w:szCs w:val="19"/>
          <w:spacing w:val="16"/>
        </w:rPr>
        <w:t>2020年10月，美国众议院的反垄断、</w:t>
      </w:r>
      <w:r>
        <w:rPr>
          <w:rFonts w:ascii="SimSun" w:hAnsi="SimSun" w:eastAsia="SimSun" w:cs="SimSun"/>
          <w:sz w:val="19"/>
          <w:szCs w:val="19"/>
          <w:spacing w:val="15"/>
        </w:rPr>
        <w:t>商业和行政法子委员会在</w:t>
      </w:r>
      <w:r>
        <w:rPr>
          <w:rFonts w:ascii="SimSun" w:hAnsi="SimSun" w:eastAsia="SimSun" w:cs="SimSun"/>
          <w:sz w:val="19"/>
          <w:szCs w:val="19"/>
        </w:rPr>
        <w:t xml:space="preserve"> </w:t>
      </w:r>
      <w:r>
        <w:rPr>
          <w:rFonts w:ascii="SimSun" w:hAnsi="SimSun" w:eastAsia="SimSun" w:cs="SimSun"/>
          <w:sz w:val="19"/>
          <w:szCs w:val="19"/>
          <w:spacing w:val="19"/>
        </w:rPr>
        <w:t>完成为期16个月的调查之后发表了长达450页的报</w:t>
      </w:r>
      <w:r>
        <w:rPr>
          <w:rFonts w:ascii="SimSun" w:hAnsi="SimSun" w:eastAsia="SimSun" w:cs="SimSun"/>
          <w:sz w:val="19"/>
          <w:szCs w:val="19"/>
          <w:spacing w:val="18"/>
        </w:rPr>
        <w:t>告，列举了“大</w:t>
      </w:r>
      <w:r>
        <w:rPr>
          <w:rFonts w:ascii="SimSun" w:hAnsi="SimSun" w:eastAsia="SimSun" w:cs="SimSun"/>
          <w:sz w:val="19"/>
          <w:szCs w:val="19"/>
        </w:rPr>
        <w:t xml:space="preserve"> </w:t>
      </w:r>
      <w:r>
        <w:rPr>
          <w:rFonts w:ascii="SimSun" w:hAnsi="SimSun" w:eastAsia="SimSun" w:cs="SimSun"/>
          <w:sz w:val="19"/>
          <w:szCs w:val="19"/>
          <w:spacing w:val="15"/>
        </w:rPr>
        <w:t>科技企业”(一般指脸书、谷歌、亚马逊、苹果)一系列被质疑的反</w:t>
      </w:r>
      <w:r>
        <w:rPr>
          <w:rFonts w:ascii="SimSun" w:hAnsi="SimSun" w:eastAsia="SimSun" w:cs="SimSun"/>
          <w:sz w:val="19"/>
          <w:szCs w:val="19"/>
          <w:spacing w:val="7"/>
        </w:rPr>
        <w:t xml:space="preserve">  </w:t>
      </w:r>
      <w:r>
        <w:rPr>
          <w:rFonts w:ascii="SimSun" w:hAnsi="SimSun" w:eastAsia="SimSun" w:cs="SimSun"/>
          <w:sz w:val="19"/>
          <w:szCs w:val="19"/>
          <w:spacing w:val="18"/>
        </w:rPr>
        <w:t>竞争行为。根据美国国会研究院所做的统计，截至2021年8月，报</w:t>
      </w:r>
      <w:r>
        <w:rPr>
          <w:rFonts w:ascii="SimSun" w:hAnsi="SimSun" w:eastAsia="SimSun" w:cs="SimSun"/>
          <w:sz w:val="19"/>
          <w:szCs w:val="19"/>
          <w:spacing w:val="2"/>
        </w:rPr>
        <w:t xml:space="preserve">  </w:t>
      </w:r>
      <w:r>
        <w:rPr>
          <w:rFonts w:ascii="SimSun" w:hAnsi="SimSun" w:eastAsia="SimSun" w:cs="SimSun"/>
          <w:sz w:val="19"/>
          <w:szCs w:val="19"/>
          <w:spacing w:val="9"/>
        </w:rPr>
        <w:t>告中所建议的政府监管措施体现在众议院提出的四个法案：《美国选 </w:t>
      </w:r>
      <w:r>
        <w:rPr>
          <w:rFonts w:ascii="SimSun" w:hAnsi="SimSun" w:eastAsia="SimSun" w:cs="SimSun"/>
          <w:sz w:val="19"/>
          <w:szCs w:val="19"/>
          <w:spacing w:val="-3"/>
        </w:rPr>
        <w:t>择与创新在线法案》《终结平台垄断法案》《平台竞争</w:t>
      </w:r>
      <w:r>
        <w:rPr>
          <w:rFonts w:ascii="SimSun" w:hAnsi="SimSun" w:eastAsia="SimSun" w:cs="SimSun"/>
          <w:sz w:val="19"/>
          <w:szCs w:val="19"/>
          <w:spacing w:val="-4"/>
        </w:rPr>
        <w:t>与机会法案》《通</w:t>
      </w:r>
      <w:r>
        <w:rPr>
          <w:rFonts w:ascii="SimSun" w:hAnsi="SimSun" w:eastAsia="SimSun" w:cs="SimSun"/>
          <w:sz w:val="19"/>
          <w:szCs w:val="19"/>
        </w:rPr>
        <w:t xml:space="preserve">  </w:t>
      </w:r>
      <w:r>
        <w:rPr>
          <w:rFonts w:ascii="SimSun" w:hAnsi="SimSun" w:eastAsia="SimSun" w:cs="SimSun"/>
          <w:sz w:val="19"/>
          <w:szCs w:val="19"/>
          <w:spacing w:val="3"/>
        </w:rPr>
        <w:t>过启用服务交换增强兼容性和竞争性法案》。①其中，《</w:t>
      </w:r>
      <w:r>
        <w:rPr>
          <w:rFonts w:ascii="SimSun" w:hAnsi="SimSun" w:eastAsia="SimSun" w:cs="SimSun"/>
          <w:sz w:val="19"/>
          <w:szCs w:val="19"/>
          <w:spacing w:val="2"/>
        </w:rPr>
        <w:t>终结平台垄断</w:t>
      </w:r>
      <w:r>
        <w:rPr>
          <w:rFonts w:ascii="SimSun" w:hAnsi="SimSun" w:eastAsia="SimSun" w:cs="SimSun"/>
          <w:sz w:val="19"/>
          <w:szCs w:val="19"/>
        </w:rPr>
        <w:t xml:space="preserve">  </w:t>
      </w:r>
      <w:r>
        <w:rPr>
          <w:rFonts w:ascii="SimSun" w:hAnsi="SimSun" w:eastAsia="SimSun" w:cs="SimSun"/>
          <w:sz w:val="19"/>
          <w:szCs w:val="19"/>
          <w:spacing w:val="9"/>
        </w:rPr>
        <w:t>法案》授予美国联邦贸易委员会独立诉讼权，以及与美国司法部等同 </w:t>
      </w:r>
      <w:r>
        <w:rPr>
          <w:rFonts w:ascii="SimSun" w:hAnsi="SimSun" w:eastAsia="SimSun" w:cs="SimSun"/>
          <w:sz w:val="19"/>
          <w:szCs w:val="19"/>
          <w:spacing w:val="9"/>
        </w:rPr>
        <w:t>的管辖权和执法权，这将是一个很大的改变。目前美国司法部作为行 </w:t>
      </w:r>
      <w:r>
        <w:rPr>
          <w:rFonts w:ascii="SimSun" w:hAnsi="SimSun" w:eastAsia="SimSun" w:cs="SimSun"/>
          <w:sz w:val="19"/>
          <w:szCs w:val="19"/>
          <w:spacing w:val="13"/>
        </w:rPr>
        <w:t>政部门之一</w:t>
      </w:r>
      <w:r>
        <w:rPr>
          <w:rFonts w:ascii="SimSun" w:hAnsi="SimSun" w:eastAsia="SimSun" w:cs="SimSun"/>
          <w:sz w:val="19"/>
          <w:szCs w:val="19"/>
          <w:spacing w:val="-39"/>
        </w:rPr>
        <w:t xml:space="preserve"> </w:t>
      </w:r>
      <w:r>
        <w:rPr>
          <w:rFonts w:ascii="SimSun" w:hAnsi="SimSun" w:eastAsia="SimSun" w:cs="SimSun"/>
          <w:sz w:val="19"/>
          <w:szCs w:val="19"/>
          <w:spacing w:val="13"/>
        </w:rPr>
        <w:t>，主要主管反垄断刑事案件(卡特尔)、民事案件(协议、</w:t>
      </w:r>
      <w:r>
        <w:rPr>
          <w:rFonts w:ascii="SimSun" w:hAnsi="SimSun" w:eastAsia="SimSun" w:cs="SimSun"/>
          <w:sz w:val="19"/>
          <w:szCs w:val="19"/>
        </w:rPr>
        <w:t xml:space="preserve"> </w:t>
      </w:r>
      <w:r>
        <w:rPr>
          <w:rFonts w:ascii="SimSun" w:hAnsi="SimSun" w:eastAsia="SimSun" w:cs="SimSun"/>
          <w:sz w:val="19"/>
          <w:szCs w:val="19"/>
          <w:spacing w:val="19"/>
        </w:rPr>
        <w:t>垄断、兼并)。作为一个主管民事案件(协议、垄</w:t>
      </w:r>
      <w:r>
        <w:rPr>
          <w:rFonts w:ascii="SimSun" w:hAnsi="SimSun" w:eastAsia="SimSun" w:cs="SimSun"/>
          <w:sz w:val="19"/>
          <w:szCs w:val="19"/>
          <w:spacing w:val="18"/>
        </w:rPr>
        <w:t>断、兼并)和行政</w:t>
      </w:r>
      <w:r>
        <w:rPr>
          <w:rFonts w:ascii="SimSun" w:hAnsi="SimSun" w:eastAsia="SimSun" w:cs="SimSun"/>
          <w:sz w:val="19"/>
          <w:szCs w:val="19"/>
        </w:rPr>
        <w:t xml:space="preserve">  </w:t>
      </w:r>
      <w:r>
        <w:rPr>
          <w:rFonts w:ascii="SimSun" w:hAnsi="SimSun" w:eastAsia="SimSun" w:cs="SimSun"/>
          <w:sz w:val="19"/>
          <w:szCs w:val="19"/>
          <w:spacing w:val="16"/>
        </w:rPr>
        <w:t>案件的机构，联邦贸易委员会在法案通过后可获得管理刑事案件的</w:t>
      </w:r>
    </w:p>
    <w:p>
      <w:pPr>
        <w:spacing w:line="219" w:lineRule="auto"/>
        <w:rPr>
          <w:rFonts w:ascii="SimSun" w:hAnsi="SimSun" w:eastAsia="SimSun" w:cs="SimSun"/>
          <w:sz w:val="19"/>
          <w:szCs w:val="19"/>
        </w:rPr>
      </w:pPr>
      <w:r>
        <w:rPr>
          <w:rFonts w:ascii="SimSun" w:hAnsi="SimSun" w:eastAsia="SimSun" w:cs="SimSun"/>
          <w:sz w:val="19"/>
          <w:szCs w:val="19"/>
          <w:spacing w:val="4"/>
        </w:rPr>
        <w:t>权力。</w:t>
      </w:r>
    </w:p>
    <w:p>
      <w:pPr>
        <w:ind w:right="3" w:firstLine="419"/>
        <w:spacing w:before="130" w:line="333" w:lineRule="auto"/>
        <w:jc w:val="both"/>
        <w:rPr>
          <w:rFonts w:ascii="SimSun" w:hAnsi="SimSun" w:eastAsia="SimSun" w:cs="SimSun"/>
          <w:sz w:val="19"/>
          <w:szCs w:val="19"/>
        </w:rPr>
      </w:pPr>
      <w:r>
        <w:rPr>
          <w:rFonts w:ascii="SimSun" w:hAnsi="SimSun" w:eastAsia="SimSun" w:cs="SimSun"/>
          <w:sz w:val="19"/>
          <w:szCs w:val="19"/>
          <w:spacing w:val="10"/>
        </w:rPr>
        <w:t>拜登执政时期发起了新一轮针对超大型平台企业的监管行动，原</w:t>
      </w:r>
      <w:r>
        <w:rPr>
          <w:rFonts w:ascii="SimSun" w:hAnsi="SimSun" w:eastAsia="SimSun" w:cs="SimSun"/>
          <w:sz w:val="19"/>
          <w:szCs w:val="19"/>
          <w:spacing w:val="4"/>
        </w:rPr>
        <w:t xml:space="preserve"> </w:t>
      </w:r>
      <w:r>
        <w:rPr>
          <w:rFonts w:ascii="SimSun" w:hAnsi="SimSun" w:eastAsia="SimSun" w:cs="SimSun"/>
          <w:sz w:val="19"/>
          <w:szCs w:val="19"/>
          <w:spacing w:val="15"/>
        </w:rPr>
        <w:t>因之一是受到新布兰迪斯主义理论(抑或是理想)的启发。极力推进</w:t>
      </w:r>
      <w:r>
        <w:rPr>
          <w:rFonts w:ascii="SimSun" w:hAnsi="SimSun" w:eastAsia="SimSun" w:cs="SimSun"/>
          <w:sz w:val="19"/>
          <w:szCs w:val="19"/>
          <w:spacing w:val="8"/>
        </w:rPr>
        <w:t xml:space="preserve">  </w:t>
      </w:r>
      <w:r>
        <w:rPr>
          <w:rFonts w:ascii="SimSun" w:hAnsi="SimSun" w:eastAsia="SimSun" w:cs="SimSun"/>
          <w:sz w:val="19"/>
          <w:szCs w:val="19"/>
          <w:spacing w:val="15"/>
        </w:rPr>
        <w:t>该思潮的莉娜·可汗等人在2021年夏天被延揽进入了拜登政府的反</w:t>
      </w:r>
      <w:r>
        <w:rPr>
          <w:rFonts w:ascii="SimSun" w:hAnsi="SimSun" w:eastAsia="SimSun" w:cs="SimSun"/>
          <w:sz w:val="19"/>
          <w:szCs w:val="19"/>
        </w:rPr>
        <w:t xml:space="preserve">  </w:t>
      </w:r>
      <w:r>
        <w:rPr>
          <w:rFonts w:ascii="SimSun" w:hAnsi="SimSun" w:eastAsia="SimSun" w:cs="SimSun"/>
          <w:sz w:val="19"/>
          <w:szCs w:val="19"/>
          <w:spacing w:val="9"/>
        </w:rPr>
        <w:t>垄断核心团队。新布兰迪斯主义高度质疑长期引导美国经济治理的芝</w:t>
      </w:r>
      <w:r>
        <w:rPr>
          <w:rFonts w:ascii="SimSun" w:hAnsi="SimSun" w:eastAsia="SimSun" w:cs="SimSun"/>
          <w:sz w:val="19"/>
          <w:szCs w:val="19"/>
          <w:spacing w:val="3"/>
        </w:rPr>
        <w:t xml:space="preserve">  </w:t>
      </w:r>
      <w:r>
        <w:rPr>
          <w:rFonts w:ascii="SimSun" w:hAnsi="SimSun" w:eastAsia="SimSun" w:cs="SimSun"/>
          <w:sz w:val="19"/>
          <w:szCs w:val="19"/>
          <w:spacing w:val="20"/>
        </w:rPr>
        <w:t>加哥学派所推崇的理念(以效率作为核心甚至唯一</w:t>
      </w:r>
      <w:r>
        <w:rPr>
          <w:rFonts w:ascii="SimSun" w:hAnsi="SimSun" w:eastAsia="SimSun" w:cs="SimSun"/>
          <w:sz w:val="19"/>
          <w:szCs w:val="19"/>
          <w:spacing w:val="-46"/>
        </w:rPr>
        <w:t xml:space="preserve"> </w:t>
      </w:r>
      <w:r>
        <w:rPr>
          <w:rFonts w:ascii="SimSun" w:hAnsi="SimSun" w:eastAsia="SimSun" w:cs="SimSun"/>
          <w:sz w:val="19"/>
          <w:szCs w:val="19"/>
          <w:spacing w:val="20"/>
        </w:rPr>
        <w:t>的追求),主张：</w:t>
      </w:r>
      <w:r>
        <w:rPr>
          <w:rFonts w:ascii="SimSun" w:hAnsi="SimSun" w:eastAsia="SimSun" w:cs="SimSun"/>
          <w:sz w:val="19"/>
          <w:szCs w:val="19"/>
        </w:rPr>
        <w:t xml:space="preserve"> </w:t>
      </w:r>
      <w:r>
        <w:rPr>
          <w:rFonts w:ascii="SimSun" w:hAnsi="SimSun" w:eastAsia="SimSun" w:cs="SimSun"/>
          <w:sz w:val="19"/>
          <w:szCs w:val="19"/>
          <w:spacing w:val="9"/>
        </w:rPr>
        <w:t>第一，反垄断的目标不应该是单纯追求经济效率，也应该包含竞</w:t>
      </w:r>
      <w:r>
        <w:rPr>
          <w:rFonts w:ascii="SimSun" w:hAnsi="SimSun" w:eastAsia="SimSun" w:cs="SimSun"/>
          <w:sz w:val="19"/>
          <w:szCs w:val="19"/>
          <w:spacing w:val="8"/>
        </w:rPr>
        <w:t>争和</w:t>
      </w:r>
      <w:r>
        <w:rPr>
          <w:rFonts w:ascii="SimSun" w:hAnsi="SimSun" w:eastAsia="SimSun" w:cs="SimSun"/>
          <w:sz w:val="19"/>
          <w:szCs w:val="19"/>
        </w:rPr>
        <w:t xml:space="preserve">  </w:t>
      </w:r>
      <w:r>
        <w:rPr>
          <w:rFonts w:ascii="SimSun" w:hAnsi="SimSun" w:eastAsia="SimSun" w:cs="SimSun"/>
          <w:sz w:val="19"/>
          <w:szCs w:val="19"/>
          <w:spacing w:val="9"/>
        </w:rPr>
        <w:t>经济民主；第二，垄断未必就是效率，规模和效率的关系并不是线性</w:t>
      </w:r>
    </w:p>
    <w:p>
      <w:pPr>
        <w:pStyle w:val="BodyText"/>
        <w:spacing w:line="263" w:lineRule="auto"/>
        <w:rPr/>
      </w:pPr>
      <w:r/>
    </w:p>
    <w:p>
      <w:pPr>
        <w:pStyle w:val="BodyText"/>
        <w:spacing w:line="264" w:lineRule="auto"/>
        <w:rPr/>
      </w:pPr>
      <w:r/>
    </w:p>
    <w:p>
      <w:pPr>
        <w:ind w:left="329" w:hanging="329"/>
        <w:spacing w:before="63" w:line="264" w:lineRule="auto"/>
        <w:rPr>
          <w:rFonts w:ascii="Times New Roman" w:hAnsi="Times New Roman" w:eastAsia="Times New Roman" w:cs="Times New Roman"/>
          <w:sz w:val="16"/>
          <w:szCs w:val="16"/>
        </w:rPr>
      </w:pPr>
      <w:r>
        <w:rPr>
          <w:rFonts w:ascii="SimSun" w:hAnsi="SimSun" w:eastAsia="SimSun" w:cs="SimSun"/>
          <w:sz w:val="19"/>
          <w:szCs w:val="19"/>
          <w:spacing w:val="-8"/>
        </w:rPr>
        <w:t>①</w:t>
      </w:r>
      <w:r>
        <w:rPr>
          <w:rFonts w:ascii="SimSun" w:hAnsi="SimSun" w:eastAsia="SimSun" w:cs="SimSun"/>
          <w:sz w:val="19"/>
          <w:szCs w:val="19"/>
          <w:spacing w:val="31"/>
        </w:rPr>
        <w:t xml:space="preserve"> </w:t>
      </w:r>
      <w:r>
        <w:rPr>
          <w:rFonts w:ascii="Times New Roman" w:hAnsi="Times New Roman" w:eastAsia="Times New Roman" w:cs="Times New Roman"/>
          <w:sz w:val="19"/>
          <w:szCs w:val="19"/>
          <w:spacing w:val="-8"/>
        </w:rPr>
        <w:t>Jay B.Sykes,“The Big Tech Antitrust Bills”,Con</w:t>
      </w:r>
      <w:r>
        <w:rPr>
          <w:rFonts w:ascii="Times New Roman" w:hAnsi="Times New Roman" w:eastAsia="Times New Roman" w:cs="Times New Roman"/>
          <w:sz w:val="19"/>
          <w:szCs w:val="19"/>
          <w:spacing w:val="-9"/>
        </w:rPr>
        <w:t>gressional Research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9"/>
        </w:rPr>
        <w:t>Service Report,</w:t>
      </w:r>
      <w:r>
        <w:rPr>
          <w:rFonts w:ascii="Times New Roman" w:hAnsi="Times New Roman" w:eastAsia="Times New Roman" w:cs="Times New Roman"/>
          <w:sz w:val="19"/>
          <w:szCs w:val="19"/>
        </w:rPr>
        <w:t xml:space="preserve"> </w:t>
      </w:r>
      <w:r>
        <w:rPr>
          <w:rFonts w:ascii="Times New Roman" w:hAnsi="Times New Roman" w:eastAsia="Times New Roman" w:cs="Times New Roman"/>
          <w:sz w:val="16"/>
          <w:szCs w:val="16"/>
        </w:rPr>
        <w:t>R46875,2021-08-13,</w:t>
      </w:r>
      <w:hyperlink w:history="true" r:id="rId312">
        <w:r>
          <w:rPr>
            <w:rFonts w:ascii="Times New Roman" w:hAnsi="Times New Roman" w:eastAsia="Times New Roman" w:cs="Times New Roman"/>
            <w:sz w:val="16"/>
            <w:szCs w:val="16"/>
          </w:rPr>
          <w:t>https://crsreports.congress.gov/product/pdf/R/R46875</w:t>
        </w:r>
      </w:hyperlink>
      <w:r>
        <w:rPr>
          <w:rFonts w:ascii="Times New Roman" w:hAnsi="Times New Roman" w:eastAsia="Times New Roman" w:cs="Times New Roman"/>
          <w:sz w:val="16"/>
          <w:szCs w:val="16"/>
        </w:rPr>
        <w:t>..</w:t>
      </w:r>
    </w:p>
    <w:p>
      <w:pPr>
        <w:spacing w:line="264" w:lineRule="auto"/>
        <w:sectPr>
          <w:headerReference w:type="default" r:id="rId310"/>
          <w:pgSz w:w="7330" w:h="12480"/>
          <w:pgMar w:top="836" w:right="941" w:bottom="400" w:left="320" w:header="662" w:footer="0" w:gutter="0"/>
        </w:sectPr>
        <w:rPr>
          <w:rFonts w:ascii="Times New Roman" w:hAnsi="Times New Roman" w:eastAsia="Times New Roman" w:cs="Times New Roman"/>
          <w:sz w:val="16"/>
          <w:szCs w:val="16"/>
        </w:rPr>
      </w:pPr>
    </w:p>
    <w:p>
      <w:pPr>
        <w:pStyle w:val="BodyText"/>
        <w:spacing w:line="251" w:lineRule="auto"/>
        <w:rPr/>
      </w:pPr>
      <w:r>
        <w:drawing>
          <wp:anchor distT="0" distB="0" distL="0" distR="0" simplePos="0" relativeHeight="254345216" behindDoc="0" locked="0" layoutInCell="0" allowOverlap="1">
            <wp:simplePos x="0" y="0"/>
            <wp:positionH relativeFrom="page">
              <wp:posOffset>495291</wp:posOffset>
            </wp:positionH>
            <wp:positionV relativeFrom="page">
              <wp:posOffset>6515131</wp:posOffset>
            </wp:positionV>
            <wp:extent cx="1181092" cy="6350"/>
            <wp:effectExtent l="0" t="0" r="0" b="0"/>
            <wp:wrapNone/>
            <wp:docPr id="222" name="IM 222"/>
            <wp:cNvGraphicFramePr/>
            <a:graphic>
              <a:graphicData uri="http://schemas.openxmlformats.org/drawingml/2006/picture">
                <pic:pic>
                  <pic:nvPicPr>
                    <pic:cNvPr id="222" name="IM 222"/>
                    <pic:cNvPicPr/>
                  </pic:nvPicPr>
                  <pic:blipFill>
                    <a:blip r:embed="rId314"/>
                    <a:stretch>
                      <a:fillRect/>
                    </a:stretch>
                  </pic:blipFill>
                  <pic:spPr>
                    <a:xfrm rot="0">
                      <a:off x="0" y="0"/>
                      <a:ext cx="1181092" cy="6350"/>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2" w:lineRule="auto"/>
        <w:rPr/>
      </w:pPr>
      <w:r/>
    </w:p>
    <w:p>
      <w:pPr>
        <w:ind w:right="146"/>
        <w:spacing w:before="68" w:line="292" w:lineRule="auto"/>
        <w:jc w:val="both"/>
        <w:rPr>
          <w:rFonts w:ascii="SimSun" w:hAnsi="SimSun" w:eastAsia="SimSun" w:cs="SimSun"/>
          <w:sz w:val="21"/>
          <w:szCs w:val="21"/>
        </w:rPr>
      </w:pPr>
      <w:r>
        <w:rPr>
          <w:rFonts w:ascii="SimSun" w:hAnsi="SimSun" w:eastAsia="SimSun" w:cs="SimSun"/>
          <w:sz w:val="21"/>
          <w:szCs w:val="21"/>
          <w:spacing w:val="-11"/>
        </w:rPr>
        <w:t>的，因此反垄断并不是对效率的破坏，而是对效率的促进；第三，反</w:t>
      </w:r>
      <w:r>
        <w:rPr>
          <w:rFonts w:ascii="SimSun" w:hAnsi="SimSun" w:eastAsia="SimSun" w:cs="SimSun"/>
          <w:sz w:val="21"/>
          <w:szCs w:val="21"/>
          <w:spacing w:val="16"/>
        </w:rPr>
        <w:t xml:space="preserve"> </w:t>
      </w:r>
      <w:r>
        <w:rPr>
          <w:rFonts w:ascii="SimSun" w:hAnsi="SimSun" w:eastAsia="SimSun" w:cs="SimSun"/>
          <w:sz w:val="21"/>
          <w:szCs w:val="21"/>
          <w:spacing w:val="-11"/>
        </w:rPr>
        <w:t>垄断的手段是多样的，除了依靠法律，还应该依靠舆论监督，以及人</w:t>
      </w:r>
      <w:r>
        <w:rPr>
          <w:rFonts w:ascii="SimSun" w:hAnsi="SimSun" w:eastAsia="SimSun" w:cs="SimSun"/>
          <w:sz w:val="21"/>
          <w:szCs w:val="21"/>
          <w:spacing w:val="17"/>
        </w:rPr>
        <w:t xml:space="preserve"> </w:t>
      </w:r>
      <w:r>
        <w:rPr>
          <w:rFonts w:ascii="SimSun" w:hAnsi="SimSun" w:eastAsia="SimSun" w:cs="SimSun"/>
          <w:sz w:val="21"/>
          <w:szCs w:val="21"/>
          <w:spacing w:val="-11"/>
        </w:rPr>
        <w:t>民参与等其他手段；第四，对于金融机构来讲，为了防止货币托拉斯</w:t>
      </w:r>
      <w:r>
        <w:rPr>
          <w:rFonts w:ascii="SimSun" w:hAnsi="SimSun" w:eastAsia="SimSun" w:cs="SimSun"/>
          <w:sz w:val="21"/>
          <w:szCs w:val="21"/>
          <w:spacing w:val="17"/>
        </w:rPr>
        <w:t xml:space="preserve"> </w:t>
      </w:r>
      <w:r>
        <w:rPr>
          <w:rFonts w:ascii="SimSun" w:hAnsi="SimSun" w:eastAsia="SimSun" w:cs="SimSun"/>
          <w:sz w:val="21"/>
          <w:szCs w:val="21"/>
          <w:spacing w:val="-5"/>
        </w:rPr>
        <w:t>的形成，保证业务之间的分离是十分必要的。</w:t>
      </w:r>
    </w:p>
    <w:p>
      <w:pPr>
        <w:ind w:right="124" w:firstLine="430"/>
        <w:spacing w:before="115" w:line="300" w:lineRule="auto"/>
        <w:jc w:val="both"/>
        <w:rPr>
          <w:rFonts w:ascii="SimSun" w:hAnsi="SimSun" w:eastAsia="SimSun" w:cs="SimSun"/>
          <w:sz w:val="21"/>
          <w:szCs w:val="21"/>
        </w:rPr>
      </w:pPr>
      <w:r>
        <w:rPr>
          <w:rFonts w:ascii="SimSun" w:hAnsi="SimSun" w:eastAsia="SimSun" w:cs="SimSun"/>
          <w:sz w:val="21"/>
          <w:szCs w:val="21"/>
          <w:spacing w:val="-3"/>
        </w:rPr>
        <w:t>就像持续了20年的微软反垄断案一样，相关的</w:t>
      </w:r>
      <w:r>
        <w:rPr>
          <w:rFonts w:ascii="SimSun" w:hAnsi="SimSun" w:eastAsia="SimSun" w:cs="SimSun"/>
          <w:sz w:val="21"/>
          <w:szCs w:val="21"/>
          <w:spacing w:val="-4"/>
        </w:rPr>
        <w:t>美国企业与其行</w:t>
      </w:r>
      <w:r>
        <w:rPr>
          <w:rFonts w:ascii="SimSun" w:hAnsi="SimSun" w:eastAsia="SimSun" w:cs="SimSun"/>
          <w:sz w:val="21"/>
          <w:szCs w:val="21"/>
        </w:rPr>
        <w:t xml:space="preserve"> </w:t>
      </w:r>
      <w:r>
        <w:rPr>
          <w:rFonts w:ascii="SimSun" w:hAnsi="SimSun" w:eastAsia="SimSun" w:cs="SimSun"/>
          <w:sz w:val="21"/>
          <w:szCs w:val="21"/>
          <w:spacing w:val="-10"/>
        </w:rPr>
        <w:t>政和立法当局之间的博弈，有可能是一个漫长的过程。原因之一是数</w:t>
      </w:r>
      <w:r>
        <w:rPr>
          <w:rFonts w:ascii="SimSun" w:hAnsi="SimSun" w:eastAsia="SimSun" w:cs="SimSun"/>
          <w:sz w:val="21"/>
          <w:szCs w:val="21"/>
          <w:spacing w:val="7"/>
        </w:rPr>
        <w:t xml:space="preserve"> </w:t>
      </w:r>
      <w:r>
        <w:rPr>
          <w:rFonts w:ascii="SimSun" w:hAnsi="SimSun" w:eastAsia="SimSun" w:cs="SimSun"/>
          <w:sz w:val="21"/>
          <w:szCs w:val="21"/>
          <w:spacing w:val="-10"/>
        </w:rPr>
        <w:t>据已经取代石油成为国际交易中最有价值的商品，反垄断</w:t>
      </w:r>
      <w:r>
        <w:rPr>
          <w:rFonts w:ascii="SimSun" w:hAnsi="SimSun" w:eastAsia="SimSun" w:cs="SimSun"/>
          <w:sz w:val="21"/>
          <w:szCs w:val="21"/>
          <w:spacing w:val="-11"/>
        </w:rPr>
        <w:t>不可能以损</w:t>
      </w:r>
      <w:r>
        <w:rPr>
          <w:rFonts w:ascii="SimSun" w:hAnsi="SimSun" w:eastAsia="SimSun" w:cs="SimSun"/>
          <w:sz w:val="21"/>
          <w:szCs w:val="21"/>
        </w:rPr>
        <w:t xml:space="preserve"> </w:t>
      </w:r>
      <w:r>
        <w:rPr>
          <w:rFonts w:ascii="SimSun" w:hAnsi="SimSun" w:eastAsia="SimSun" w:cs="SimSun"/>
          <w:sz w:val="21"/>
          <w:szCs w:val="21"/>
          <w:spacing w:val="-10"/>
        </w:rPr>
        <w:t>害美国的“大企业”在全球数据经济生态中</w:t>
      </w:r>
      <w:r>
        <w:rPr>
          <w:rFonts w:ascii="SimSun" w:hAnsi="SimSun" w:eastAsia="SimSun" w:cs="SimSun"/>
          <w:sz w:val="21"/>
          <w:szCs w:val="21"/>
          <w:spacing w:val="-11"/>
        </w:rPr>
        <w:t>的优势地位为代价。就美</w:t>
      </w:r>
      <w:r>
        <w:rPr>
          <w:rFonts w:ascii="SimSun" w:hAnsi="SimSun" w:eastAsia="SimSun" w:cs="SimSun"/>
          <w:sz w:val="21"/>
          <w:szCs w:val="21"/>
        </w:rPr>
        <w:t xml:space="preserve"> </w:t>
      </w:r>
      <w:r>
        <w:rPr>
          <w:rFonts w:ascii="SimSun" w:hAnsi="SimSun" w:eastAsia="SimSun" w:cs="SimSun"/>
          <w:sz w:val="21"/>
          <w:szCs w:val="21"/>
          <w:spacing w:val="-11"/>
        </w:rPr>
        <w:t>国的司法实践而言，在一项法案成为法律之后，执行强弱是服务于政</w:t>
      </w:r>
      <w:r>
        <w:rPr>
          <w:rFonts w:ascii="SimSun" w:hAnsi="SimSun" w:eastAsia="SimSun" w:cs="SimSun"/>
          <w:sz w:val="21"/>
          <w:szCs w:val="21"/>
          <w:spacing w:val="17"/>
        </w:rPr>
        <w:t xml:space="preserve"> </w:t>
      </w:r>
      <w:r>
        <w:rPr>
          <w:rFonts w:ascii="SimSun" w:hAnsi="SimSun" w:eastAsia="SimSun" w:cs="SimSun"/>
          <w:sz w:val="21"/>
          <w:szCs w:val="21"/>
          <w:spacing w:val="-11"/>
        </w:rPr>
        <w:t>治需求的，政府有搁置法律实施的选项。即便进入了司法环节，司法</w:t>
      </w:r>
      <w:r>
        <w:rPr>
          <w:rFonts w:ascii="SimSun" w:hAnsi="SimSun" w:eastAsia="SimSun" w:cs="SimSun"/>
          <w:sz w:val="21"/>
          <w:szCs w:val="21"/>
          <w:spacing w:val="16"/>
        </w:rPr>
        <w:t xml:space="preserve"> </w:t>
      </w:r>
      <w:r>
        <w:rPr>
          <w:rFonts w:ascii="SimSun" w:hAnsi="SimSun" w:eastAsia="SimSun" w:cs="SimSun"/>
          <w:sz w:val="21"/>
          <w:szCs w:val="21"/>
          <w:spacing w:val="-10"/>
        </w:rPr>
        <w:t>部反垄断司与联邦贸易委员会也没有审判权</w:t>
      </w:r>
      <w:r>
        <w:rPr>
          <w:rFonts w:ascii="SimSun" w:hAnsi="SimSun" w:eastAsia="SimSun" w:cs="SimSun"/>
          <w:sz w:val="21"/>
          <w:szCs w:val="21"/>
          <w:spacing w:val="-11"/>
        </w:rPr>
        <w:t>，企业在法院审判阶段有</w:t>
      </w:r>
      <w:r>
        <w:rPr>
          <w:rFonts w:ascii="SimSun" w:hAnsi="SimSun" w:eastAsia="SimSun" w:cs="SimSun"/>
          <w:sz w:val="21"/>
          <w:szCs w:val="21"/>
        </w:rPr>
        <w:t xml:space="preserve"> </w:t>
      </w:r>
      <w:r>
        <w:rPr>
          <w:rFonts w:ascii="SimSun" w:hAnsi="SimSun" w:eastAsia="SimSun" w:cs="SimSun"/>
          <w:sz w:val="21"/>
          <w:szCs w:val="21"/>
          <w:spacing w:val="-10"/>
        </w:rPr>
        <w:t>拖延判决的机会和能力。更何况，就公众利益</w:t>
      </w:r>
      <w:r>
        <w:rPr>
          <w:rFonts w:ascii="SimSun" w:hAnsi="SimSun" w:eastAsia="SimSun" w:cs="SimSun"/>
          <w:sz w:val="21"/>
          <w:szCs w:val="21"/>
          <w:spacing w:val="-11"/>
        </w:rPr>
        <w:t>保护而言，平台等数据</w:t>
      </w:r>
      <w:r>
        <w:rPr>
          <w:rFonts w:ascii="SimSun" w:hAnsi="SimSun" w:eastAsia="SimSun" w:cs="SimSun"/>
          <w:sz w:val="21"/>
          <w:szCs w:val="21"/>
        </w:rPr>
        <w:t xml:space="preserve"> </w:t>
      </w:r>
      <w:r>
        <w:rPr>
          <w:rFonts w:ascii="SimSun" w:hAnsi="SimSun" w:eastAsia="SimSun" w:cs="SimSun"/>
          <w:sz w:val="21"/>
          <w:szCs w:val="21"/>
          <w:spacing w:val="-4"/>
        </w:rPr>
        <w:t>经济早已是维系产业和国计民生所依，而且，平台向个人消费者提</w:t>
      </w:r>
      <w:r>
        <w:rPr>
          <w:rFonts w:ascii="SimSun" w:hAnsi="SimSun" w:eastAsia="SimSun" w:cs="SimSun"/>
          <w:sz w:val="21"/>
          <w:szCs w:val="21"/>
          <w:spacing w:val="13"/>
        </w:rPr>
        <w:t xml:space="preserve"> </w:t>
      </w:r>
      <w:r>
        <w:rPr>
          <w:rFonts w:ascii="SimSun" w:hAnsi="SimSun" w:eastAsia="SimSun" w:cs="SimSun"/>
          <w:sz w:val="21"/>
          <w:szCs w:val="21"/>
          <w:spacing w:val="-11"/>
        </w:rPr>
        <w:t>供“免费”服务以换取数据的做法会在一定程度上弱化“消费者利益</w:t>
      </w:r>
      <w:r>
        <w:rPr>
          <w:rFonts w:ascii="SimSun" w:hAnsi="SimSun" w:eastAsia="SimSun" w:cs="SimSun"/>
          <w:sz w:val="21"/>
          <w:szCs w:val="21"/>
          <w:spacing w:val="18"/>
        </w:rPr>
        <w:t xml:space="preserve"> </w:t>
      </w:r>
      <w:r>
        <w:rPr>
          <w:rFonts w:ascii="SimSun" w:hAnsi="SimSun" w:eastAsia="SimSun" w:cs="SimSun"/>
          <w:sz w:val="21"/>
          <w:szCs w:val="21"/>
          <w:spacing w:val="-10"/>
        </w:rPr>
        <w:t>受损”的抱怨。即便在欧洲，欧盟也在考虑对</w:t>
      </w:r>
      <w:r>
        <w:rPr>
          <w:rFonts w:ascii="SimSun" w:hAnsi="SimSun" w:eastAsia="SimSun" w:cs="SimSun"/>
          <w:sz w:val="21"/>
          <w:szCs w:val="21"/>
          <w:spacing w:val="-11"/>
        </w:rPr>
        <w:t>大企业的罚款设立上限</w:t>
      </w:r>
      <w:r>
        <w:rPr>
          <w:rFonts w:ascii="SimSun" w:hAnsi="SimSun" w:eastAsia="SimSun" w:cs="SimSun"/>
          <w:sz w:val="21"/>
          <w:szCs w:val="21"/>
        </w:rPr>
        <w:t xml:space="preserve"> </w:t>
      </w:r>
      <w:r>
        <w:rPr>
          <w:rFonts w:ascii="SimSun" w:hAnsi="SimSun" w:eastAsia="SimSun" w:cs="SimSun"/>
          <w:sz w:val="21"/>
          <w:szCs w:val="21"/>
          <w:spacing w:val="6"/>
        </w:rPr>
        <w:t>(市值的1%)。</w:t>
      </w:r>
    </w:p>
    <w:p>
      <w:pPr>
        <w:ind w:right="70" w:firstLine="440"/>
        <w:spacing w:before="224" w:line="296" w:lineRule="auto"/>
        <w:jc w:val="both"/>
        <w:rPr>
          <w:rFonts w:ascii="SimSun" w:hAnsi="SimSun" w:eastAsia="SimSun" w:cs="SimSun"/>
          <w:sz w:val="21"/>
          <w:szCs w:val="21"/>
        </w:rPr>
      </w:pPr>
      <w:r>
        <w:rPr>
          <w:rFonts w:ascii="SimSun" w:hAnsi="SimSun" w:eastAsia="SimSun" w:cs="SimSun"/>
          <w:sz w:val="21"/>
          <w:szCs w:val="21"/>
          <w:spacing w:val="-10"/>
        </w:rPr>
        <w:t>我们必须看到，欧美近年针对大型数字平台企业的治理行</w:t>
      </w:r>
      <w:r>
        <w:rPr>
          <w:rFonts w:ascii="SimSun" w:hAnsi="SimSun" w:eastAsia="SimSun" w:cs="SimSun"/>
          <w:sz w:val="21"/>
          <w:szCs w:val="21"/>
          <w:spacing w:val="-11"/>
        </w:rPr>
        <w:t>为是其</w:t>
      </w:r>
      <w:r>
        <w:rPr>
          <w:rFonts w:ascii="SimSun" w:hAnsi="SimSun" w:eastAsia="SimSun" w:cs="SimSun"/>
          <w:sz w:val="21"/>
          <w:szCs w:val="21"/>
        </w:rPr>
        <w:t xml:space="preserve"> </w:t>
      </w:r>
      <w:r>
        <w:rPr>
          <w:rFonts w:ascii="SimSun" w:hAnsi="SimSun" w:eastAsia="SimSun" w:cs="SimSun"/>
          <w:sz w:val="21"/>
          <w:szCs w:val="21"/>
          <w:spacing w:val="-10"/>
        </w:rPr>
        <w:t>市场制度建设历史的延续。在欧洲和美国，互</w:t>
      </w:r>
      <w:r>
        <w:rPr>
          <w:rFonts w:ascii="SimSun" w:hAnsi="SimSun" w:eastAsia="SimSun" w:cs="SimSun"/>
          <w:sz w:val="21"/>
          <w:szCs w:val="21"/>
          <w:spacing w:val="-11"/>
        </w:rPr>
        <w:t>联网平台治理受到重视 </w:t>
      </w:r>
      <w:r>
        <w:rPr>
          <w:rFonts w:ascii="SimSun" w:hAnsi="SimSun" w:eastAsia="SimSun" w:cs="SimSun"/>
          <w:sz w:val="21"/>
          <w:szCs w:val="21"/>
          <w:spacing w:val="-10"/>
        </w:rPr>
        <w:t>的原因之一是其在政治、社会和经济生活中的</w:t>
      </w:r>
      <w:r>
        <w:rPr>
          <w:rFonts w:ascii="SimSun" w:hAnsi="SimSun" w:eastAsia="SimSun" w:cs="SimSun"/>
          <w:sz w:val="21"/>
          <w:szCs w:val="21"/>
          <w:spacing w:val="-11"/>
        </w:rPr>
        <w:t>作用发生了转变。在美 </w:t>
      </w:r>
      <w:r>
        <w:rPr>
          <w:rFonts w:ascii="SimSun" w:hAnsi="SimSun" w:eastAsia="SimSun" w:cs="SimSun"/>
          <w:sz w:val="21"/>
          <w:szCs w:val="21"/>
          <w:spacing w:val="-10"/>
        </w:rPr>
        <w:t>国，新一轮反垄断讨论主要由学者、记者、律</w:t>
      </w:r>
      <w:r>
        <w:rPr>
          <w:rFonts w:ascii="SimSun" w:hAnsi="SimSun" w:eastAsia="SimSun" w:cs="SimSun"/>
          <w:sz w:val="21"/>
          <w:szCs w:val="21"/>
          <w:spacing w:val="-11"/>
        </w:rPr>
        <w:t>师和社会组织推动。欧 </w:t>
      </w:r>
      <w:r>
        <w:rPr>
          <w:rFonts w:ascii="SimSun" w:hAnsi="SimSun" w:eastAsia="SimSun" w:cs="SimSun"/>
          <w:sz w:val="21"/>
          <w:szCs w:val="21"/>
          <w:spacing w:val="-8"/>
        </w:rPr>
        <w:t>洲和美国在治理大型数字平台企业时所秉持的法理基础具有共通性，</w:t>
      </w:r>
      <w:r>
        <w:rPr>
          <w:rFonts w:ascii="SimSun" w:hAnsi="SimSun" w:eastAsia="SimSun" w:cs="SimSun"/>
          <w:sz w:val="21"/>
          <w:szCs w:val="21"/>
          <w:spacing w:val="4"/>
        </w:rPr>
        <w:t xml:space="preserve"> </w:t>
      </w:r>
      <w:r>
        <w:rPr>
          <w:rFonts w:ascii="SimSun" w:hAnsi="SimSun" w:eastAsia="SimSun" w:cs="SimSun"/>
          <w:sz w:val="21"/>
          <w:szCs w:val="21"/>
          <w:spacing w:val="-10"/>
        </w:rPr>
        <w:t>但绝不意味着美国政府治理网络平台所追求的</w:t>
      </w:r>
      <w:r>
        <w:rPr>
          <w:rFonts w:ascii="SimSun" w:hAnsi="SimSun" w:eastAsia="SimSun" w:cs="SimSun"/>
          <w:sz w:val="21"/>
          <w:szCs w:val="21"/>
          <w:spacing w:val="-11"/>
        </w:rPr>
        <w:t>是制约其发展，恰恰相 </w:t>
      </w:r>
      <w:r>
        <w:rPr>
          <w:rFonts w:ascii="SimSun" w:hAnsi="SimSun" w:eastAsia="SimSun" w:cs="SimSun"/>
          <w:sz w:val="21"/>
          <w:szCs w:val="21"/>
          <w:spacing w:val="-8"/>
        </w:rPr>
        <w:t>反，维护超级平台在其国内和全球经济与政治生态中的统治性地位，</w:t>
      </w:r>
      <w:r>
        <w:rPr>
          <w:rFonts w:ascii="SimSun" w:hAnsi="SimSun" w:eastAsia="SimSun" w:cs="SimSun"/>
          <w:sz w:val="21"/>
          <w:szCs w:val="21"/>
          <w:spacing w:val="4"/>
        </w:rPr>
        <w:t xml:space="preserve"> </w:t>
      </w:r>
      <w:r>
        <w:rPr>
          <w:rFonts w:ascii="SimSun" w:hAnsi="SimSun" w:eastAsia="SimSun" w:cs="SimSun"/>
          <w:sz w:val="21"/>
          <w:szCs w:val="21"/>
          <w:spacing w:val="-11"/>
        </w:rPr>
        <w:t>则是新一轮治理浪潮的本源性动力。</w:t>
      </w:r>
    </w:p>
    <w:p>
      <w:pPr>
        <w:pStyle w:val="BodyText"/>
        <w:spacing w:line="368" w:lineRule="auto"/>
        <w:rPr/>
      </w:pPr>
      <w:r/>
    </w:p>
    <w:p>
      <w:pPr>
        <w:ind w:left="320" w:hanging="320"/>
        <w:spacing w:before="52" w:line="248"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75"/>
          <w:w w:val="101"/>
        </w:rPr>
        <w:t xml:space="preserve"> </w:t>
      </w:r>
      <w:r>
        <w:rPr>
          <w:rFonts w:ascii="Times New Roman" w:hAnsi="Times New Roman" w:eastAsia="Times New Roman" w:cs="Times New Roman"/>
          <w:sz w:val="16"/>
          <w:szCs w:val="16"/>
        </w:rPr>
        <w:t>Lina   M.Khan,“Amazon's   Antitrust   Paradox”,The   Yale</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Law</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Journal,2017,1</w:t>
      </w:r>
      <w:r>
        <w:rPr>
          <w:rFonts w:ascii="Times New Roman" w:hAnsi="Times New Roman" w:eastAsia="Times New Roman" w:cs="Times New Roman"/>
          <w:sz w:val="16"/>
          <w:szCs w:val="16"/>
          <w:spacing w:val="-1"/>
        </w:rPr>
        <w:t>26(3):    </w:t>
      </w:r>
      <w:r>
        <w:rPr>
          <w:rFonts w:ascii="KaiTi" w:hAnsi="KaiTi" w:eastAsia="KaiTi" w:cs="KaiTi"/>
          <w:sz w:val="21"/>
          <w:szCs w:val="21"/>
          <w:spacing w:val="-19"/>
        </w:rPr>
        <w:t>710-805;陈永伟.从布兰代斯法官到“新布兰</w:t>
      </w:r>
      <w:r>
        <w:rPr>
          <w:rFonts w:ascii="KaiTi" w:hAnsi="KaiTi" w:eastAsia="KaiTi" w:cs="KaiTi"/>
          <w:sz w:val="21"/>
          <w:szCs w:val="21"/>
          <w:spacing w:val="-20"/>
        </w:rPr>
        <w:t>代斯主义”.经济观察报，</w:t>
      </w:r>
      <w:r>
        <w:rPr>
          <w:rFonts w:ascii="KaiTi" w:hAnsi="KaiTi" w:eastAsia="KaiTi" w:cs="KaiTi"/>
          <w:sz w:val="21"/>
          <w:szCs w:val="21"/>
        </w:rPr>
        <w:t xml:space="preserve"> </w:t>
      </w:r>
      <w:r>
        <w:rPr>
          <w:rFonts w:ascii="SimSun" w:hAnsi="SimSun" w:eastAsia="SimSun" w:cs="SimSun"/>
          <w:sz w:val="16"/>
          <w:szCs w:val="16"/>
          <w:spacing w:val="1"/>
        </w:rPr>
        <w:t>2021-08-02(35).</w:t>
      </w:r>
    </w:p>
    <w:p>
      <w:pPr>
        <w:spacing w:line="248" w:lineRule="auto"/>
        <w:sectPr>
          <w:headerReference w:type="default" r:id="rId313"/>
          <w:pgSz w:w="7330" w:h="12480"/>
          <w:pgMar w:top="517" w:right="434" w:bottom="400" w:left="759" w:header="355" w:footer="0" w:gutter="0"/>
        </w:sectPr>
        <w:rPr>
          <w:rFonts w:ascii="SimSun" w:hAnsi="SimSun" w:eastAsia="SimSun" w:cs="SimSun"/>
          <w:sz w:val="16"/>
          <w:szCs w:val="16"/>
        </w:rPr>
      </w:pP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left="944"/>
        <w:spacing w:before="101" w:line="219" w:lineRule="auto"/>
        <w:rPr>
          <w:rFonts w:ascii="SimSun" w:hAnsi="SimSun" w:eastAsia="SimSun" w:cs="SimSun"/>
          <w:sz w:val="31"/>
          <w:szCs w:val="31"/>
        </w:rPr>
      </w:pPr>
      <w:r>
        <w:rPr>
          <w:rFonts w:ascii="SimSun" w:hAnsi="SimSun" w:eastAsia="SimSun" w:cs="SimSun"/>
          <w:sz w:val="31"/>
          <w:szCs w:val="31"/>
          <w:b/>
          <w:bCs/>
          <w:spacing w:val="4"/>
        </w:rPr>
        <w:t>中国数字经济治理的国际维度</w:t>
      </w:r>
    </w:p>
    <w:p>
      <w:pPr>
        <w:pStyle w:val="BodyText"/>
        <w:spacing w:line="276" w:lineRule="auto"/>
        <w:rPr/>
      </w:pPr>
      <w:r/>
    </w:p>
    <w:p>
      <w:pPr>
        <w:ind w:firstLine="390"/>
        <w:spacing w:before="62" w:line="350" w:lineRule="auto"/>
        <w:jc w:val="both"/>
        <w:rPr>
          <w:rFonts w:ascii="SimSun" w:hAnsi="SimSun" w:eastAsia="SimSun" w:cs="SimSun"/>
          <w:sz w:val="19"/>
          <w:szCs w:val="19"/>
        </w:rPr>
      </w:pPr>
      <w:r>
        <w:rPr>
          <w:rFonts w:ascii="SimSun" w:hAnsi="SimSun" w:eastAsia="SimSun" w:cs="SimSun"/>
          <w:sz w:val="19"/>
          <w:szCs w:val="19"/>
          <w:spacing w:val="16"/>
        </w:rPr>
        <w:t>在国际数字贸易中，不论是数字赋能(跨境电商)还是数字可交</w:t>
      </w:r>
      <w:r>
        <w:rPr>
          <w:rFonts w:ascii="SimSun" w:hAnsi="SimSun" w:eastAsia="SimSun" w:cs="SimSun"/>
          <w:sz w:val="19"/>
          <w:szCs w:val="19"/>
          <w:spacing w:val="4"/>
        </w:rPr>
        <w:t xml:space="preserve">  </w:t>
      </w:r>
      <w:r>
        <w:rPr>
          <w:rFonts w:ascii="SimSun" w:hAnsi="SimSun" w:eastAsia="SimSun" w:cs="SimSun"/>
          <w:sz w:val="19"/>
          <w:szCs w:val="19"/>
          <w:spacing w:val="19"/>
        </w:rPr>
        <w:t>付(数字服务),互联网平台都发挥着催化剂的作用。新冠疫情大流</w:t>
      </w:r>
      <w:r>
        <w:rPr>
          <w:rFonts w:ascii="SimSun" w:hAnsi="SimSun" w:eastAsia="SimSun" w:cs="SimSun"/>
          <w:sz w:val="19"/>
          <w:szCs w:val="19"/>
          <w:spacing w:val="12"/>
        </w:rPr>
        <w:t xml:space="preserve"> </w:t>
      </w:r>
      <w:r>
        <w:rPr>
          <w:rFonts w:ascii="SimSun" w:hAnsi="SimSun" w:eastAsia="SimSun" w:cs="SimSun"/>
          <w:sz w:val="19"/>
          <w:szCs w:val="19"/>
          <w:spacing w:val="9"/>
        </w:rPr>
        <w:t>行刺激了全球数字化转型的加速，地缘政治、保护主义等现象日益凸 </w:t>
      </w:r>
      <w:r>
        <w:rPr>
          <w:rFonts w:ascii="SimSun" w:hAnsi="SimSun" w:eastAsia="SimSun" w:cs="SimSun"/>
          <w:sz w:val="19"/>
          <w:szCs w:val="19"/>
          <w:spacing w:val="10"/>
        </w:rPr>
        <w:t>显，围绕数字技术、芯片、软件、5</w:t>
      </w:r>
      <w:r>
        <w:rPr>
          <w:rFonts w:ascii="Times New Roman" w:hAnsi="Times New Roman" w:eastAsia="Times New Roman" w:cs="Times New Roman"/>
          <w:sz w:val="19"/>
          <w:szCs w:val="19"/>
          <w:spacing w:val="10"/>
        </w:rPr>
        <w:t>G</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0"/>
        </w:rPr>
        <w:t>、大数据、</w:t>
      </w:r>
      <w:r>
        <w:rPr>
          <w:rFonts w:ascii="SimSun" w:hAnsi="SimSun" w:eastAsia="SimSun" w:cs="SimSun"/>
          <w:sz w:val="19"/>
          <w:szCs w:val="19"/>
          <w:spacing w:val="9"/>
        </w:rPr>
        <w:t>云计算、人工智能、</w:t>
      </w:r>
      <w:r>
        <w:rPr>
          <w:rFonts w:ascii="SimSun" w:hAnsi="SimSun" w:eastAsia="SimSun" w:cs="SimSun"/>
          <w:sz w:val="19"/>
          <w:szCs w:val="19"/>
        </w:rPr>
        <w:t xml:space="preserve"> </w:t>
      </w:r>
      <w:r>
        <w:rPr>
          <w:rFonts w:ascii="SimSun" w:hAnsi="SimSun" w:eastAsia="SimSun" w:cs="SimSun"/>
          <w:sz w:val="19"/>
          <w:szCs w:val="19"/>
          <w:spacing w:val="12"/>
        </w:rPr>
        <w:t>物联网、3</w:t>
      </w:r>
      <w:r>
        <w:rPr>
          <w:rFonts w:ascii="Times New Roman" w:hAnsi="Times New Roman" w:eastAsia="Times New Roman" w:cs="Times New Roman"/>
          <w:sz w:val="19"/>
          <w:szCs w:val="19"/>
          <w:spacing w:val="12"/>
        </w:rPr>
        <w:t>D </w:t>
      </w:r>
      <w:r>
        <w:rPr>
          <w:rFonts w:ascii="SimSun" w:hAnsi="SimSun" w:eastAsia="SimSun" w:cs="SimSun"/>
          <w:sz w:val="19"/>
          <w:szCs w:val="19"/>
          <w:spacing w:val="12"/>
        </w:rPr>
        <w:t>打印、区块链等前沿技术的研发应用与标准制定等方面</w:t>
      </w:r>
    </w:p>
    <w:p>
      <w:pPr>
        <w:spacing w:line="219" w:lineRule="auto"/>
        <w:rPr>
          <w:rFonts w:ascii="SimSun" w:hAnsi="SimSun" w:eastAsia="SimSun" w:cs="SimSun"/>
          <w:sz w:val="19"/>
          <w:szCs w:val="19"/>
        </w:rPr>
      </w:pPr>
      <w:r>
        <w:rPr>
          <w:rFonts w:ascii="SimSun" w:hAnsi="SimSun" w:eastAsia="SimSun" w:cs="SimSun"/>
          <w:sz w:val="19"/>
          <w:szCs w:val="19"/>
          <w:spacing w:val="3"/>
        </w:rPr>
        <w:t>的竞争更加激烈。</w:t>
      </w:r>
    </w:p>
    <w:p>
      <w:pPr>
        <w:ind w:right="83" w:firstLine="390"/>
        <w:spacing w:before="133" w:line="350" w:lineRule="auto"/>
        <w:jc w:val="both"/>
        <w:rPr>
          <w:rFonts w:ascii="SimSun" w:hAnsi="SimSun" w:eastAsia="SimSun" w:cs="SimSun"/>
          <w:sz w:val="19"/>
          <w:szCs w:val="19"/>
        </w:rPr>
      </w:pPr>
      <w:r>
        <w:rPr>
          <w:rFonts w:ascii="SimSun" w:hAnsi="SimSun" w:eastAsia="SimSun" w:cs="SimSun"/>
          <w:sz w:val="19"/>
          <w:szCs w:val="19"/>
          <w:spacing w:val="9"/>
        </w:rPr>
        <w:t>一方面，中国在众多的全球数字经济统计中，就交易量而言处于</w:t>
      </w:r>
      <w:r>
        <w:rPr>
          <w:rFonts w:ascii="SimSun" w:hAnsi="SimSun" w:eastAsia="SimSun" w:cs="SimSun"/>
          <w:sz w:val="19"/>
          <w:szCs w:val="19"/>
          <w:spacing w:val="18"/>
        </w:rPr>
        <w:t xml:space="preserve"> </w:t>
      </w:r>
      <w:r>
        <w:rPr>
          <w:rFonts w:ascii="SimSun" w:hAnsi="SimSun" w:eastAsia="SimSun" w:cs="SimSun"/>
          <w:sz w:val="19"/>
          <w:szCs w:val="19"/>
          <w:spacing w:val="9"/>
        </w:rPr>
        <w:t>前列。另一方面，中国的数字平台在境外经营的规模依然有限，促进</w:t>
      </w:r>
      <w:r>
        <w:rPr>
          <w:rFonts w:ascii="SimSun" w:hAnsi="SimSun" w:eastAsia="SimSun" w:cs="SimSun"/>
          <w:sz w:val="19"/>
          <w:szCs w:val="19"/>
          <w:spacing w:val="6"/>
        </w:rPr>
        <w:t xml:space="preserve"> </w:t>
      </w:r>
      <w:r>
        <w:rPr>
          <w:rFonts w:ascii="SimSun" w:hAnsi="SimSun" w:eastAsia="SimSun" w:cs="SimSun"/>
          <w:sz w:val="19"/>
          <w:szCs w:val="19"/>
          <w:spacing w:val="9"/>
        </w:rPr>
        <w:t>其国际竞争力是中国数字经济对外投资合作必不可少的途径。这就是</w:t>
      </w:r>
    </w:p>
    <w:p>
      <w:pPr>
        <w:spacing w:line="219" w:lineRule="auto"/>
        <w:rPr>
          <w:rFonts w:ascii="SimSun" w:hAnsi="SimSun" w:eastAsia="SimSun" w:cs="SimSun"/>
          <w:sz w:val="19"/>
          <w:szCs w:val="19"/>
        </w:rPr>
      </w:pPr>
      <w:r>
        <w:rPr>
          <w:rFonts w:ascii="SimSun" w:hAnsi="SimSun" w:eastAsia="SimSun" w:cs="SimSun"/>
          <w:sz w:val="19"/>
          <w:szCs w:val="19"/>
          <w:spacing w:val="7"/>
        </w:rPr>
        <w:t>为什么思考中国平台治理必须将国际维度纳入视野。</w:t>
      </w:r>
    </w:p>
    <w:p>
      <w:pPr>
        <w:ind w:firstLine="390"/>
        <w:spacing w:before="132" w:line="350" w:lineRule="auto"/>
        <w:jc w:val="both"/>
        <w:rPr>
          <w:rFonts w:ascii="SimSun" w:hAnsi="SimSun" w:eastAsia="SimSun" w:cs="SimSun"/>
          <w:sz w:val="19"/>
          <w:szCs w:val="19"/>
        </w:rPr>
      </w:pPr>
      <w:r>
        <w:rPr>
          <w:rFonts w:ascii="SimSun" w:hAnsi="SimSun" w:eastAsia="SimSun" w:cs="SimSun"/>
          <w:sz w:val="19"/>
          <w:szCs w:val="19"/>
          <w:spacing w:val="3"/>
        </w:rPr>
        <w:t>从国际政治经济学的角度看，“治理”不等于“整顿”。在国内层 </w:t>
      </w:r>
      <w:r>
        <w:rPr>
          <w:rFonts w:ascii="SimSun" w:hAnsi="SimSun" w:eastAsia="SimSun" w:cs="SimSun"/>
          <w:sz w:val="19"/>
          <w:szCs w:val="19"/>
          <w:spacing w:val="9"/>
        </w:rPr>
        <w:t>面，治理所要表述的是一种理念：政府、市场、企业、个人等所有力 </w:t>
      </w:r>
      <w:r>
        <w:rPr>
          <w:rFonts w:ascii="SimSun" w:hAnsi="SimSun" w:eastAsia="SimSun" w:cs="SimSun"/>
          <w:sz w:val="19"/>
          <w:szCs w:val="19"/>
          <w:spacing w:val="12"/>
        </w:rPr>
        <w:t>量都向着促使局势(纷繁复杂的“乱象”)向一个更</w:t>
      </w:r>
      <w:r>
        <w:rPr>
          <w:rFonts w:ascii="SimSun" w:hAnsi="SimSun" w:eastAsia="SimSun" w:cs="SimSun"/>
          <w:sz w:val="19"/>
          <w:szCs w:val="19"/>
          <w:spacing w:val="11"/>
        </w:rPr>
        <w:t>有组织、有结构、</w:t>
      </w:r>
      <w:r>
        <w:rPr>
          <w:rFonts w:ascii="SimSun" w:hAnsi="SimSun" w:eastAsia="SimSun" w:cs="SimSun"/>
          <w:sz w:val="19"/>
          <w:szCs w:val="19"/>
        </w:rPr>
        <w:t xml:space="preserve"> </w:t>
      </w:r>
      <w:r>
        <w:rPr>
          <w:rFonts w:ascii="SimSun" w:hAnsi="SimSun" w:eastAsia="SimSun" w:cs="SimSun"/>
          <w:sz w:val="19"/>
          <w:szCs w:val="19"/>
          <w:spacing w:val="9"/>
        </w:rPr>
        <w:t>有管理的方向努力。在国际层面，“治理”所要表述的是一种转危为</w:t>
      </w:r>
      <w:r>
        <w:rPr>
          <w:rFonts w:ascii="SimSun" w:hAnsi="SimSun" w:eastAsia="SimSun" w:cs="SimSun"/>
          <w:sz w:val="19"/>
          <w:szCs w:val="19"/>
          <w:spacing w:val="4"/>
        </w:rPr>
        <w:t xml:space="preserve">  </w:t>
      </w:r>
      <w:r>
        <w:rPr>
          <w:rFonts w:ascii="SimSun" w:hAnsi="SimSun" w:eastAsia="SimSun" w:cs="SimSun"/>
          <w:sz w:val="19"/>
          <w:szCs w:val="19"/>
          <w:spacing w:val="9"/>
        </w:rPr>
        <w:t>机的认知。经济和技术全球化的发展态势已经出现了转变，特别是商</w:t>
      </w:r>
      <w:r>
        <w:rPr>
          <w:rFonts w:ascii="SimSun" w:hAnsi="SimSun" w:eastAsia="SimSun" w:cs="SimSun"/>
          <w:sz w:val="19"/>
          <w:szCs w:val="19"/>
          <w:spacing w:val="5"/>
        </w:rPr>
        <w:t xml:space="preserve">  </w:t>
      </w:r>
      <w:r>
        <w:rPr>
          <w:rFonts w:ascii="SimSun" w:hAnsi="SimSun" w:eastAsia="SimSun" w:cs="SimSun"/>
          <w:sz w:val="19"/>
          <w:szCs w:val="19"/>
          <w:spacing w:val="12"/>
        </w:rPr>
        <w:t>品、资金、技术、信息甚至人口跨国界流动的规模越来越大等考验，</w:t>
      </w:r>
      <w:r>
        <w:rPr>
          <w:rFonts w:ascii="SimSun" w:hAnsi="SimSun" w:eastAsia="SimSun" w:cs="SimSun"/>
          <w:sz w:val="19"/>
          <w:szCs w:val="19"/>
          <w:spacing w:val="4"/>
        </w:rPr>
        <w:t xml:space="preserve"> </w:t>
      </w:r>
      <w:r>
        <w:rPr>
          <w:rFonts w:ascii="SimSun" w:hAnsi="SimSun" w:eastAsia="SimSun" w:cs="SimSun"/>
          <w:sz w:val="19"/>
          <w:szCs w:val="19"/>
          <w:spacing w:val="9"/>
        </w:rPr>
        <w:t>要求所有的国家对其角色做出调整。也就是说，治理包括但不限于强</w:t>
      </w:r>
      <w:r>
        <w:rPr>
          <w:rFonts w:ascii="SimSun" w:hAnsi="SimSun" w:eastAsia="SimSun" w:cs="SimSun"/>
          <w:sz w:val="19"/>
          <w:szCs w:val="19"/>
          <w:spacing w:val="4"/>
        </w:rPr>
        <w:t xml:space="preserve">  </w:t>
      </w:r>
      <w:r>
        <w:rPr>
          <w:rFonts w:ascii="SimSun" w:hAnsi="SimSun" w:eastAsia="SimSun" w:cs="SimSun"/>
          <w:sz w:val="19"/>
          <w:szCs w:val="19"/>
          <w:spacing w:val="9"/>
        </w:rPr>
        <w:t>化政府的管制、政府间谈判这种传统公共政策思维，引导所有角色基</w:t>
      </w:r>
      <w:r>
        <w:rPr>
          <w:rFonts w:ascii="SimSun" w:hAnsi="SimSun" w:eastAsia="SimSun" w:cs="SimSun"/>
          <w:sz w:val="19"/>
          <w:szCs w:val="19"/>
          <w:spacing w:val="3"/>
        </w:rPr>
        <w:t xml:space="preserve">  </w:t>
      </w:r>
      <w:r>
        <w:rPr>
          <w:rFonts w:ascii="SimSun" w:hAnsi="SimSun" w:eastAsia="SimSun" w:cs="SimSun"/>
          <w:sz w:val="19"/>
          <w:szCs w:val="19"/>
          <w:spacing w:val="9"/>
        </w:rPr>
        <w:t>于自身利益调整策略，相互协商、妥协，从而使各方在整体平稳的状 </w:t>
      </w:r>
      <w:r>
        <w:rPr>
          <w:rFonts w:ascii="SimSun" w:hAnsi="SimSun" w:eastAsia="SimSun" w:cs="SimSun"/>
          <w:sz w:val="19"/>
          <w:szCs w:val="19"/>
          <w:spacing w:val="10"/>
        </w:rPr>
        <w:t>态下谋求发展。各角色都在治理的过程中追</w:t>
      </w:r>
      <w:r>
        <w:rPr>
          <w:rFonts w:ascii="SimSun" w:hAnsi="SimSun" w:eastAsia="SimSun" w:cs="SimSun"/>
          <w:sz w:val="19"/>
          <w:szCs w:val="19"/>
          <w:spacing w:val="9"/>
        </w:rPr>
        <w:t>求其能力的提高。这是一</w:t>
      </w:r>
    </w:p>
    <w:p>
      <w:pPr>
        <w:spacing w:line="219" w:lineRule="auto"/>
        <w:rPr>
          <w:rFonts w:ascii="SimSun" w:hAnsi="SimSun" w:eastAsia="SimSun" w:cs="SimSun"/>
          <w:sz w:val="19"/>
          <w:szCs w:val="19"/>
        </w:rPr>
      </w:pPr>
      <w:r>
        <w:rPr>
          <w:rFonts w:ascii="SimSun" w:hAnsi="SimSun" w:eastAsia="SimSun" w:cs="SimSun"/>
          <w:sz w:val="19"/>
          <w:szCs w:val="19"/>
          <w:spacing w:val="5"/>
        </w:rPr>
        <w:t>个过程，永无止境。</w:t>
      </w:r>
    </w:p>
    <w:p>
      <w:pPr>
        <w:ind w:right="84" w:firstLine="390"/>
        <w:spacing w:before="136" w:line="359" w:lineRule="auto"/>
        <w:jc w:val="both"/>
        <w:rPr>
          <w:rFonts w:ascii="SimSun" w:hAnsi="SimSun" w:eastAsia="SimSun" w:cs="SimSun"/>
          <w:sz w:val="19"/>
          <w:szCs w:val="19"/>
        </w:rPr>
      </w:pPr>
      <w:r>
        <w:rPr>
          <w:rFonts w:ascii="SimSun" w:hAnsi="SimSun" w:eastAsia="SimSun" w:cs="SimSun"/>
          <w:sz w:val="19"/>
          <w:szCs w:val="19"/>
          <w:spacing w:val="17"/>
        </w:rPr>
        <w:t>在国际经济和政治的合作与竞争背景下，互联网平台的治</w:t>
      </w:r>
      <w:r>
        <w:rPr>
          <w:rFonts w:ascii="SimSun" w:hAnsi="SimSun" w:eastAsia="SimSun" w:cs="SimSun"/>
          <w:sz w:val="19"/>
          <w:szCs w:val="19"/>
          <w:spacing w:val="16"/>
        </w:rPr>
        <w:t>理更</w:t>
      </w:r>
      <w:r>
        <w:rPr>
          <w:rFonts w:ascii="SimSun" w:hAnsi="SimSun" w:eastAsia="SimSun" w:cs="SimSun"/>
          <w:sz w:val="19"/>
          <w:szCs w:val="19"/>
        </w:rPr>
        <w:t xml:space="preserve"> </w:t>
      </w:r>
      <w:r>
        <w:rPr>
          <w:rFonts w:ascii="SimSun" w:hAnsi="SimSun" w:eastAsia="SimSun" w:cs="SimSun"/>
          <w:sz w:val="19"/>
          <w:szCs w:val="19"/>
          <w:spacing w:val="12"/>
        </w:rPr>
        <w:t>为复杂。如图7-2所示，平台企业既是国家监管的对象，也是国家在</w:t>
      </w:r>
      <w:r>
        <w:rPr>
          <w:rFonts w:ascii="SimSun" w:hAnsi="SimSun" w:eastAsia="SimSun" w:cs="SimSun"/>
          <w:sz w:val="19"/>
          <w:szCs w:val="19"/>
          <w:spacing w:val="2"/>
        </w:rPr>
        <w:t xml:space="preserve"> </w:t>
      </w:r>
      <w:r>
        <w:rPr>
          <w:rFonts w:ascii="SimSun" w:hAnsi="SimSun" w:eastAsia="SimSun" w:cs="SimSun"/>
          <w:sz w:val="19"/>
          <w:szCs w:val="19"/>
          <w:spacing w:val="9"/>
        </w:rPr>
        <w:t>国际上的整体竞争力所依；聚集用户才能提高平台企业依靠数据创新</w:t>
      </w:r>
    </w:p>
    <w:p>
      <w:pPr>
        <w:spacing w:line="218" w:lineRule="auto"/>
        <w:rPr>
          <w:rFonts w:ascii="SimSun" w:hAnsi="SimSun" w:eastAsia="SimSun" w:cs="SimSun"/>
          <w:sz w:val="19"/>
          <w:szCs w:val="19"/>
        </w:rPr>
      </w:pPr>
      <w:r>
        <w:rPr>
          <w:rFonts w:ascii="SimSun" w:hAnsi="SimSun" w:eastAsia="SimSun" w:cs="SimSun"/>
          <w:sz w:val="19"/>
          <w:szCs w:val="19"/>
          <w:spacing w:val="9"/>
        </w:rPr>
        <w:t>的核心竞争力，但用户的多元却给平台运行的经济与社会效果带来挑</w:t>
      </w:r>
    </w:p>
    <w:p>
      <w:pPr>
        <w:spacing w:line="218" w:lineRule="auto"/>
        <w:sectPr>
          <w:headerReference w:type="default" r:id="rId315"/>
          <w:pgSz w:w="7330" w:h="12480"/>
          <w:pgMar w:top="829" w:right="854" w:bottom="400" w:left="409" w:header="655" w:footer="0" w:gutter="0"/>
        </w:sectPr>
        <w:rPr>
          <w:rFonts w:ascii="SimSun" w:hAnsi="SimSun" w:eastAsia="SimSun" w:cs="SimSun"/>
          <w:sz w:val="19"/>
          <w:szCs w:val="19"/>
        </w:rPr>
      </w:pPr>
    </w:p>
    <w:p>
      <w:pPr>
        <w:spacing w:line="221" w:lineRule="auto"/>
        <w:rPr>
          <w:rFonts w:ascii="SimHei" w:hAnsi="SimHei" w:eastAsia="SimHei" w:cs="SimHei"/>
          <w:sz w:val="18"/>
          <w:szCs w:val="18"/>
        </w:rPr>
      </w:pPr>
      <w:r>
        <w:rPr>
          <w:rFonts w:ascii="SimSun" w:hAnsi="SimSun" w:eastAsia="SimSun" w:cs="SimSun"/>
          <w:sz w:val="12"/>
          <w:szCs w:val="12"/>
          <w:spacing w:val="-16"/>
          <w:w w:val="96"/>
          <w:position w:val="-2"/>
        </w:rPr>
        <w:t>254</w:t>
      </w:r>
      <w:r>
        <w:rPr>
          <w:rFonts w:ascii="SimSun" w:hAnsi="SimSun" w:eastAsia="SimSun" w:cs="SimSun"/>
          <w:sz w:val="12"/>
          <w:szCs w:val="12"/>
          <w:spacing w:val="2"/>
          <w:position w:val="-2"/>
        </w:rPr>
        <w:t xml:space="preserve">                        </w:t>
      </w:r>
      <w:r>
        <w:rPr>
          <w:rFonts w:ascii="SimSun" w:hAnsi="SimSun" w:eastAsia="SimSun" w:cs="SimSun"/>
          <w:sz w:val="12"/>
          <w:szCs w:val="12"/>
          <w:spacing w:val="1"/>
          <w:position w:val="-2"/>
        </w:rPr>
        <w:t xml:space="preserve">     </w:t>
      </w:r>
      <w:r>
        <w:rPr>
          <w:rFonts w:ascii="SimHei" w:hAnsi="SimHei" w:eastAsia="SimHei" w:cs="SimHei"/>
          <w:sz w:val="18"/>
          <w:szCs w:val="18"/>
          <w:spacing w:val="-16"/>
          <w:w w:val="96"/>
        </w:rPr>
        <w:t>平台经济——创新、治理与繁荣</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19"/>
        <w:spacing w:before="59" w:line="369" w:lineRule="auto"/>
        <w:jc w:val="both"/>
        <w:rPr>
          <w:rFonts w:ascii="SimSun" w:hAnsi="SimSun" w:eastAsia="SimSun" w:cs="SimSun"/>
          <w:sz w:val="18"/>
          <w:szCs w:val="18"/>
        </w:rPr>
      </w:pPr>
      <w:r>
        <w:rPr>
          <w:rFonts w:ascii="SimSun" w:hAnsi="SimSun" w:eastAsia="SimSun" w:cs="SimSun"/>
          <w:sz w:val="18"/>
          <w:szCs w:val="18"/>
          <w:spacing w:val="19"/>
        </w:rPr>
        <w:t>战；不同国家的同类企业之间的协同是实现跨国经营所需，但同时竞</w:t>
      </w:r>
      <w:r>
        <w:rPr>
          <w:rFonts w:ascii="SimSun" w:hAnsi="SimSun" w:eastAsia="SimSun" w:cs="SimSun"/>
          <w:sz w:val="18"/>
          <w:szCs w:val="18"/>
          <w:spacing w:val="18"/>
        </w:rPr>
        <w:t xml:space="preserve"> </w:t>
      </w:r>
      <w:r>
        <w:rPr>
          <w:rFonts w:ascii="SimSun" w:hAnsi="SimSun" w:eastAsia="SimSun" w:cs="SimSun"/>
          <w:sz w:val="18"/>
          <w:szCs w:val="18"/>
          <w:spacing w:val="14"/>
        </w:rPr>
        <w:t>争是互动的本质。所以，</w:t>
      </w:r>
      <w:r>
        <w:rPr>
          <w:rFonts w:ascii="SimSun" w:hAnsi="SimSun" w:eastAsia="SimSun" w:cs="SimSun"/>
          <w:sz w:val="18"/>
          <w:szCs w:val="18"/>
          <w:spacing w:val="77"/>
        </w:rPr>
        <w:t xml:space="preserve"> </w:t>
      </w:r>
      <w:r>
        <w:rPr>
          <w:rFonts w:ascii="SimSun" w:hAnsi="SimSun" w:eastAsia="SimSun" w:cs="SimSun"/>
          <w:sz w:val="18"/>
          <w:szCs w:val="18"/>
          <w:spacing w:val="14"/>
        </w:rPr>
        <w:t>一个国家的平台治理应是一种既积极又慎重</w:t>
      </w:r>
    </w:p>
    <w:p>
      <w:pPr>
        <w:spacing w:line="219" w:lineRule="auto"/>
        <w:rPr>
          <w:rFonts w:ascii="SimSun" w:hAnsi="SimSun" w:eastAsia="SimSun" w:cs="SimSun"/>
          <w:sz w:val="18"/>
          <w:szCs w:val="18"/>
        </w:rPr>
      </w:pPr>
      <w:r>
        <w:rPr>
          <w:rFonts w:ascii="SimSun" w:hAnsi="SimSun" w:eastAsia="SimSun" w:cs="SimSun"/>
          <w:sz w:val="18"/>
          <w:szCs w:val="18"/>
          <w:spacing w:val="18"/>
        </w:rPr>
        <w:t>的努力，核心是呵护企业的创新能力和合规经营能力。</w:t>
      </w:r>
    </w:p>
    <w:p>
      <w:pPr>
        <w:pStyle w:val="BodyText"/>
        <w:ind w:firstLine="950"/>
        <w:spacing w:before="138" w:line="3770" w:lineRule="exact"/>
        <w:rPr/>
      </w:pPr>
      <w:r>
        <w:rPr>
          <w:position w:val="-75"/>
        </w:rPr>
        <w:pict>
          <v:group id="_x0000_s84" style="mso-position-vertical-relative:line;mso-position-horizontal-relative:char;width:207.5pt;height:188.55pt;" filled="false" stroked="false" coordsize="4150,3771" coordorigin="0,0">
            <v:shape id="_x0000_s86" style="position:absolute;left:0;top:0;width:4150;height:3771;" filled="false" stroked="false" type="#_x0000_t75">
              <v:imagedata o:title="" r:id="rId316"/>
            </v:shape>
            <v:shape id="_x0000_s88" style="position:absolute;left:1579;top:957;width:2466;height:2420;" filled="false" stroked="false" type="#_x0000_t202">
              <v:fill on="false"/>
              <v:stroke on="false"/>
              <v:path/>
              <v:imagedata o:title=""/>
              <o:lock v:ext="edit" aspectratio="false"/>
              <v:textbox inset="0mm,0mm,0mm,0mm">
                <w:txbxContent>
                  <w:p>
                    <w:pPr>
                      <w:ind w:left="230"/>
                      <w:spacing w:before="20" w:line="235" w:lineRule="auto"/>
                      <w:rPr>
                        <w:rFonts w:ascii="SimSun" w:hAnsi="SimSun" w:eastAsia="SimSun" w:cs="SimSun"/>
                        <w:sz w:val="18"/>
                        <w:szCs w:val="18"/>
                      </w:rPr>
                    </w:pPr>
                    <w:r>
                      <w:rPr>
                        <w:rFonts w:ascii="SimSun" w:hAnsi="SimSun" w:eastAsia="SimSun" w:cs="SimSun"/>
                        <w:sz w:val="18"/>
                        <w:szCs w:val="18"/>
                        <w:spacing w:val="-7"/>
                      </w:rPr>
                      <w:t>国家</w:t>
                    </w:r>
                  </w:p>
                  <w:p>
                    <w:pPr>
                      <w:ind w:left="139"/>
                      <w:spacing w:line="219" w:lineRule="auto"/>
                      <w:rPr>
                        <w:rFonts w:ascii="SimSun" w:hAnsi="SimSun" w:eastAsia="SimSun" w:cs="SimSun"/>
                        <w:sz w:val="18"/>
                        <w:szCs w:val="18"/>
                      </w:rPr>
                    </w:pPr>
                    <w:r>
                      <w:rPr>
                        <w:rFonts w:ascii="SimSun" w:hAnsi="SimSun" w:eastAsia="SimSun" w:cs="SimSun"/>
                        <w:sz w:val="18"/>
                        <w:szCs w:val="18"/>
                        <w:spacing w:val="2"/>
                      </w:rPr>
                      <w:t>(监管)</w:t>
                    </w:r>
                  </w:p>
                  <w:p>
                    <w:pPr>
                      <w:spacing w:line="432" w:lineRule="auto"/>
                      <w:rPr>
                        <w:rFonts w:ascii="Arial"/>
                        <w:sz w:val="21"/>
                      </w:rPr>
                    </w:pPr>
                    <w:r/>
                  </w:p>
                  <w:p>
                    <w:pPr>
                      <w:ind w:right="20"/>
                      <w:spacing w:before="39" w:line="219" w:lineRule="auto"/>
                      <w:jc w:val="right"/>
                      <w:rPr>
                        <w:rFonts w:ascii="SimSun" w:hAnsi="SimSun" w:eastAsia="SimSun" w:cs="SimSun"/>
                        <w:sz w:val="12"/>
                        <w:szCs w:val="12"/>
                      </w:rPr>
                    </w:pPr>
                    <w:r>
                      <w:rPr>
                        <w:rFonts w:ascii="SimSun" w:hAnsi="SimSun" w:eastAsia="SimSun" w:cs="SimSun"/>
                        <w:sz w:val="12"/>
                        <w:szCs w:val="12"/>
                        <w:spacing w:val="3"/>
                      </w:rPr>
                      <w:t>利益磨合、合作与竟争交织</w:t>
                    </w:r>
                  </w:p>
                  <w:p>
                    <w:pPr>
                      <w:ind w:left="20"/>
                      <w:spacing w:before="1" w:line="221" w:lineRule="auto"/>
                      <w:rPr>
                        <w:rFonts w:ascii="SimSun" w:hAnsi="SimSun" w:eastAsia="SimSun" w:cs="SimSun"/>
                        <w:sz w:val="18"/>
                        <w:szCs w:val="18"/>
                      </w:rPr>
                    </w:pPr>
                    <w:r>
                      <w:rPr>
                        <w:rFonts w:ascii="SimSun" w:hAnsi="SimSun" w:eastAsia="SimSun" w:cs="SimSun"/>
                        <w:sz w:val="18"/>
                        <w:szCs w:val="18"/>
                        <w:spacing w:val="-16"/>
                      </w:rPr>
                      <w:t>跨国性组</w:t>
                    </w:r>
                  </w:p>
                  <w:p>
                    <w:pPr>
                      <w:ind w:left="29"/>
                      <w:spacing w:before="22" w:line="242" w:lineRule="exact"/>
                      <w:rPr>
                        <w:rFonts w:ascii="SimSun" w:hAnsi="SimSun" w:eastAsia="SimSun" w:cs="SimSun"/>
                        <w:sz w:val="18"/>
                        <w:szCs w:val="18"/>
                      </w:rPr>
                    </w:pPr>
                    <w:r>
                      <w:rPr>
                        <w:rFonts w:ascii="SimSun" w:hAnsi="SimSun" w:eastAsia="SimSun" w:cs="SimSun"/>
                        <w:sz w:val="18"/>
                        <w:szCs w:val="18"/>
                        <w:spacing w:val="-18"/>
                        <w:position w:val="4"/>
                      </w:rPr>
                      <w:t>织、协会</w:t>
                    </w:r>
                  </w:p>
                  <w:p>
                    <w:pPr>
                      <w:ind w:left="90"/>
                      <w:spacing w:line="220" w:lineRule="auto"/>
                      <w:rPr>
                        <w:rFonts w:ascii="SimSun" w:hAnsi="SimSun" w:eastAsia="SimSun" w:cs="SimSun"/>
                        <w:sz w:val="18"/>
                        <w:szCs w:val="18"/>
                      </w:rPr>
                    </w:pPr>
                    <w:r>
                      <w:rPr>
                        <w:rFonts w:ascii="SimSun" w:hAnsi="SimSun" w:eastAsia="SimSun" w:cs="SimSun"/>
                        <w:sz w:val="18"/>
                        <w:szCs w:val="18"/>
                        <w:spacing w:val="2"/>
                      </w:rPr>
                      <w:t>(协同)</w:t>
                    </w:r>
                  </w:p>
                  <w:p>
                    <w:pPr>
                      <w:ind w:left="1129"/>
                      <w:spacing w:before="204" w:line="241" w:lineRule="exact"/>
                      <w:rPr>
                        <w:rFonts w:ascii="SimSun" w:hAnsi="SimSun" w:eastAsia="SimSun" w:cs="SimSun"/>
                        <w:sz w:val="18"/>
                        <w:szCs w:val="18"/>
                      </w:rPr>
                    </w:pPr>
                    <w:r>
                      <w:rPr>
                        <w:rFonts w:ascii="SimSun" w:hAnsi="SimSun" w:eastAsia="SimSun" w:cs="SimSun"/>
                        <w:sz w:val="18"/>
                        <w:szCs w:val="18"/>
                        <w:spacing w:val="-12"/>
                        <w:position w:val="3"/>
                      </w:rPr>
                      <w:t>企业</w:t>
                    </w:r>
                  </w:p>
                  <w:p>
                    <w:pPr>
                      <w:ind w:left="1019"/>
                      <w:spacing w:line="220" w:lineRule="auto"/>
                      <w:rPr>
                        <w:rFonts w:ascii="SimSun" w:hAnsi="SimSun" w:eastAsia="SimSun" w:cs="SimSun"/>
                        <w:sz w:val="18"/>
                        <w:szCs w:val="18"/>
                      </w:rPr>
                    </w:pPr>
                    <w:r>
                      <w:rPr>
                        <w:rFonts w:ascii="SimSun" w:hAnsi="SimSun" w:eastAsia="SimSun" w:cs="SimSun"/>
                        <w:sz w:val="18"/>
                        <w:szCs w:val="18"/>
                        <w:spacing w:val="-1"/>
                      </w:rPr>
                      <w:t>(创新)</w:t>
                    </w:r>
                  </w:p>
                </w:txbxContent>
              </v:textbox>
            </v:shape>
            <v:shape id="_x0000_s90" style="position:absolute;left:730;top:2907;width:570;height:460;" filled="false" stroked="false" type="#_x0000_t202">
              <v:fill on="false"/>
              <v:stroke on="false"/>
              <v:path/>
              <v:imagedata o:title=""/>
              <o:lock v:ext="edit" aspectratio="false"/>
              <v:textbox inset="0mm,0mm,0mm,0mm">
                <w:txbxContent>
                  <w:p>
                    <w:pPr>
                      <w:ind w:left="20" w:right="20" w:firstLine="79"/>
                      <w:spacing w:before="19" w:line="234" w:lineRule="auto"/>
                      <w:rPr>
                        <w:rFonts w:ascii="SimSun" w:hAnsi="SimSun" w:eastAsia="SimSun" w:cs="SimSun"/>
                        <w:sz w:val="18"/>
                        <w:szCs w:val="18"/>
                      </w:rPr>
                    </w:pPr>
                    <w:r>
                      <w:rPr>
                        <w:rFonts w:ascii="SimSun" w:hAnsi="SimSun" w:eastAsia="SimSun" w:cs="SimSun"/>
                        <w:sz w:val="18"/>
                        <w:szCs w:val="18"/>
                        <w:spacing w:val="-5"/>
                      </w:rPr>
                      <w:t>用户</w:t>
                    </w:r>
                    <w:r>
                      <w:rPr>
                        <w:rFonts w:ascii="SimSun" w:hAnsi="SimSun" w:eastAsia="SimSun" w:cs="SimSun"/>
                        <w:sz w:val="18"/>
                        <w:szCs w:val="18"/>
                      </w:rPr>
                      <w:t xml:space="preserve">  </w:t>
                    </w:r>
                    <w:r>
                      <w:rPr>
                        <w:rFonts w:ascii="SimSun" w:hAnsi="SimSun" w:eastAsia="SimSun" w:cs="SimSun"/>
                        <w:sz w:val="18"/>
                        <w:szCs w:val="18"/>
                        <w:spacing w:val="-3"/>
                      </w:rPr>
                      <w:t>(选择)</w:t>
                    </w:r>
                  </w:p>
                </w:txbxContent>
              </v:textbox>
            </v:shape>
            <v:shape id="_x0000_s92" style="position:absolute;left:2759;top:334;width:141;height:148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spacing w:val="20"/>
                      </w:rPr>
                      <w:t>国内治理、国家间意名燕方</w:t>
                    </w:r>
                  </w:p>
                </w:txbxContent>
              </v:textbox>
            </v:shape>
            <v:shape id="_x0000_s94" style="position:absolute;left:289;top:2222;width:141;height:1381;" filled="false" stroked="false" type="#_x0000_t202">
              <v:fill on="false"/>
              <v:stroke on="false"/>
              <v:path/>
              <v:imagedata o:title=""/>
              <o:lock v:ext="edit" aspectratio="false"/>
              <v:textbox inset="0mm,0mm,0mm,0mm" style="layout-flow:vertical-ideographic;">
                <w:txbxContent>
                  <w:p>
                    <w:pPr>
                      <w:ind w:left="20"/>
                      <w:spacing w:before="20" w:line="213" w:lineRule="auto"/>
                      <w:rPr>
                        <w:rFonts w:ascii="SimSun" w:hAnsi="SimSun" w:eastAsia="SimSun" w:cs="SimSun"/>
                        <w:sz w:val="10"/>
                        <w:szCs w:val="10"/>
                      </w:rPr>
                    </w:pPr>
                    <w:r>
                      <w:rPr>
                        <w:rFonts w:ascii="SimSun" w:hAnsi="SimSun" w:eastAsia="SimSun" w:cs="SimSun"/>
                        <w:sz w:val="10"/>
                        <w:szCs w:val="10"/>
                        <w:spacing w:val="6"/>
                      </w:rPr>
                      <w:t>平</w:t>
                    </w:r>
                    <w:r>
                      <w:rPr>
                        <w:rFonts w:ascii="SimSun" w:hAnsi="SimSun" w:eastAsia="SimSun" w:cs="SimSun"/>
                        <w:sz w:val="10"/>
                        <w:szCs w:val="10"/>
                        <w:spacing w:val="-20"/>
                      </w:rPr>
                      <w:t xml:space="preserve"> </w:t>
                    </w:r>
                    <w:r>
                      <w:rPr>
                        <w:rFonts w:ascii="SimSun" w:hAnsi="SimSun" w:eastAsia="SimSun" w:cs="SimSun"/>
                        <w:sz w:val="10"/>
                        <w:szCs w:val="10"/>
                        <w:spacing w:val="6"/>
                      </w:rPr>
                      <w:t>台</w:t>
                    </w:r>
                    <w:r>
                      <w:rPr>
                        <w:rFonts w:ascii="SimSun" w:hAnsi="SimSun" w:eastAsia="SimSun" w:cs="SimSun"/>
                        <w:sz w:val="10"/>
                        <w:szCs w:val="10"/>
                        <w:spacing w:val="-26"/>
                      </w:rPr>
                      <w:t xml:space="preserve"> </w:t>
                    </w:r>
                    <w:r>
                      <w:rPr>
                        <w:rFonts w:ascii="SimSun" w:hAnsi="SimSun" w:eastAsia="SimSun" w:cs="SimSun"/>
                        <w:sz w:val="10"/>
                        <w:szCs w:val="10"/>
                        <w:spacing w:val="6"/>
                      </w:rPr>
                      <w:t>利</w:t>
                    </w:r>
                    <w:r>
                      <w:rPr>
                        <w:rFonts w:ascii="SimSun" w:hAnsi="SimSun" w:eastAsia="SimSun" w:cs="SimSun"/>
                        <w:sz w:val="10"/>
                        <w:szCs w:val="10"/>
                        <w:spacing w:val="-26"/>
                      </w:rPr>
                      <w:t xml:space="preserve"> </w:t>
                    </w:r>
                    <w:r>
                      <w:rPr>
                        <w:rFonts w:ascii="SimSun" w:hAnsi="SimSun" w:eastAsia="SimSun" w:cs="SimSun"/>
                        <w:sz w:val="10"/>
                        <w:szCs w:val="10"/>
                        <w:spacing w:val="6"/>
                      </w:rPr>
                      <w:t>用,</w:t>
                    </w:r>
                    <w:r>
                      <w:rPr>
                        <w:rFonts w:ascii="SimSun" w:hAnsi="SimSun" w:eastAsia="SimSun" w:cs="SimSun"/>
                        <w:sz w:val="10"/>
                        <w:szCs w:val="10"/>
                        <w:spacing w:val="-25"/>
                      </w:rPr>
                      <w:t xml:space="preserve"> </w:t>
                    </w:r>
                    <w:r>
                      <w:rPr>
                        <w:rFonts w:ascii="SimSun" w:hAnsi="SimSun" w:eastAsia="SimSun" w:cs="SimSun"/>
                        <w:sz w:val="10"/>
                        <w:szCs w:val="10"/>
                        <w:spacing w:val="6"/>
                      </w:rPr>
                      <w:t>获</w:t>
                    </w:r>
                    <w:r>
                      <w:rPr>
                        <w:rFonts w:ascii="SimSun" w:hAnsi="SimSun" w:eastAsia="SimSun" w:cs="SimSun"/>
                        <w:sz w:val="10"/>
                        <w:szCs w:val="10"/>
                        <w:spacing w:val="-26"/>
                      </w:rPr>
                      <w:t xml:space="preserve"> </w:t>
                    </w:r>
                    <w:r>
                      <w:rPr>
                        <w:rFonts w:ascii="SimSun" w:hAnsi="SimSun" w:eastAsia="SimSun" w:cs="SimSun"/>
                        <w:sz w:val="10"/>
                        <w:szCs w:val="10"/>
                        <w:spacing w:val="6"/>
                      </w:rPr>
                      <w:t>奇</w:t>
                    </w:r>
                    <w:r>
                      <w:rPr>
                        <w:rFonts w:ascii="SimSun" w:hAnsi="SimSun" w:eastAsia="SimSun" w:cs="SimSun"/>
                        <w:sz w:val="10"/>
                        <w:szCs w:val="10"/>
                        <w:spacing w:val="-26"/>
                      </w:rPr>
                      <w:t xml:space="preserve"> </w:t>
                    </w:r>
                    <w:r>
                      <w:rPr>
                        <w:rFonts w:ascii="SimSun" w:hAnsi="SimSun" w:eastAsia="SimSun" w:cs="SimSun"/>
                        <w:sz w:val="10"/>
                        <w:szCs w:val="10"/>
                        <w:spacing w:val="6"/>
                      </w:rPr>
                      <w:t>能</w:t>
                    </w:r>
                    <w:r>
                      <w:rPr>
                        <w:rFonts w:ascii="SimSun" w:hAnsi="SimSun" w:eastAsia="SimSun" w:cs="SimSun"/>
                        <w:sz w:val="10"/>
                        <w:szCs w:val="10"/>
                        <w:spacing w:val="-26"/>
                      </w:rPr>
                      <w:t xml:space="preserve"> </w:t>
                    </w:r>
                    <w:r>
                      <w:rPr>
                        <w:rFonts w:ascii="SimSun" w:hAnsi="SimSun" w:eastAsia="SimSun" w:cs="SimSun"/>
                        <w:sz w:val="10"/>
                        <w:szCs w:val="10"/>
                        <w:spacing w:val="6"/>
                      </w:rPr>
                      <w:t>力</w:t>
                    </w:r>
                    <w:r>
                      <w:rPr>
                        <w:rFonts w:ascii="SimSun" w:hAnsi="SimSun" w:eastAsia="SimSun" w:cs="SimSun"/>
                        <w:sz w:val="10"/>
                        <w:szCs w:val="10"/>
                        <w:spacing w:val="-26"/>
                      </w:rPr>
                      <w:t xml:space="preserve"> </w:t>
                    </w:r>
                    <w:r>
                      <w:rPr>
                        <w:rFonts w:ascii="SimSun" w:hAnsi="SimSun" w:eastAsia="SimSun" w:cs="SimSun"/>
                        <w:sz w:val="10"/>
                        <w:szCs w:val="10"/>
                        <w:spacing w:val="6"/>
                      </w:rPr>
                      <w:t>据</w:t>
                    </w:r>
                    <w:r>
                      <w:rPr>
                        <w:rFonts w:ascii="SimSun" w:hAnsi="SimSun" w:eastAsia="SimSun" w:cs="SimSun"/>
                        <w:sz w:val="10"/>
                        <w:szCs w:val="10"/>
                        <w:spacing w:val="-26"/>
                      </w:rPr>
                      <w:t xml:space="preserve"> </w:t>
                    </w:r>
                    <w:r>
                      <w:rPr>
                        <w:rFonts w:ascii="SimSun" w:hAnsi="SimSun" w:eastAsia="SimSun" w:cs="SimSun"/>
                        <w:sz w:val="10"/>
                        <w:szCs w:val="10"/>
                        <w:spacing w:val="6"/>
                      </w:rPr>
                      <w:t>开</w:t>
                    </w:r>
                  </w:p>
                </w:txbxContent>
              </v:textbox>
            </v:shape>
            <v:shape id="_x0000_s96" style="position:absolute;left:3274;top:2235;width:141;height:1356;"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FangSong" w:hAnsi="FangSong" w:eastAsia="FangSong" w:cs="FangSong"/>
                        <w:sz w:val="10"/>
                        <w:szCs w:val="10"/>
                      </w:rPr>
                    </w:pPr>
                    <w:r>
                      <w:rPr>
                        <w:rFonts w:ascii="FangSong" w:hAnsi="FangSong" w:eastAsia="FangSong" w:cs="FangSong"/>
                        <w:sz w:val="10"/>
                        <w:szCs w:val="10"/>
                        <w:spacing w:val="19"/>
                      </w:rPr>
                      <w:t>技术和市场祭黄能力提开</w:t>
                    </w:r>
                  </w:p>
                </w:txbxContent>
              </v:textbox>
            </v:shape>
          </v:group>
        </w:pict>
      </w:r>
    </w:p>
    <w:p>
      <w:pPr>
        <w:ind w:left="1232"/>
        <w:spacing w:before="243" w:line="221" w:lineRule="auto"/>
        <w:rPr>
          <w:rFonts w:ascii="SimHei" w:hAnsi="SimHei" w:eastAsia="SimHei" w:cs="SimHei"/>
          <w:sz w:val="18"/>
          <w:szCs w:val="18"/>
        </w:rPr>
      </w:pPr>
      <w:r>
        <w:rPr>
          <w:rFonts w:ascii="SimHei" w:hAnsi="SimHei" w:eastAsia="SimHei" w:cs="SimHei"/>
          <w:sz w:val="18"/>
          <w:szCs w:val="18"/>
          <w:b/>
          <w:bCs/>
          <w:spacing w:val="9"/>
        </w:rPr>
        <w:t>图7-2互联网平台治理：不同利益方的追求</w:t>
      </w:r>
    </w:p>
    <w:p>
      <w:pPr>
        <w:pStyle w:val="BodyText"/>
        <w:spacing w:line="358" w:lineRule="auto"/>
        <w:rPr/>
      </w:pPr>
      <w:r/>
    </w:p>
    <w:p>
      <w:pPr>
        <w:pStyle w:val="BodyText"/>
        <w:spacing w:line="358" w:lineRule="auto"/>
        <w:rPr/>
      </w:pPr>
      <w:r/>
    </w:p>
    <w:p>
      <w:pPr>
        <w:ind w:left="3"/>
        <w:spacing w:before="75" w:line="222" w:lineRule="auto"/>
        <w:rPr>
          <w:rFonts w:ascii="SimHei" w:hAnsi="SimHei" w:eastAsia="SimHei" w:cs="SimHei"/>
          <w:sz w:val="23"/>
          <w:szCs w:val="23"/>
        </w:rPr>
      </w:pPr>
      <w:r>
        <w:rPr>
          <w:rFonts w:ascii="SimHei" w:hAnsi="SimHei" w:eastAsia="SimHei" w:cs="SimHei"/>
          <w:sz w:val="23"/>
          <w:szCs w:val="23"/>
          <w:b/>
          <w:bCs/>
          <w:spacing w:val="8"/>
        </w:rPr>
        <w:t>国家监管</w:t>
      </w:r>
    </w:p>
    <w:p>
      <w:pPr>
        <w:pStyle w:val="BodyText"/>
        <w:spacing w:line="396" w:lineRule="auto"/>
        <w:rPr/>
      </w:pPr>
      <w:r/>
    </w:p>
    <w:p>
      <w:pPr>
        <w:ind w:firstLine="420"/>
        <w:spacing w:before="59" w:line="369" w:lineRule="auto"/>
        <w:jc w:val="both"/>
        <w:rPr>
          <w:rFonts w:ascii="SimSun" w:hAnsi="SimSun" w:eastAsia="SimSun" w:cs="SimSun"/>
          <w:sz w:val="18"/>
          <w:szCs w:val="18"/>
        </w:rPr>
      </w:pPr>
      <w:r>
        <w:rPr>
          <w:rFonts w:ascii="SimSun" w:hAnsi="SimSun" w:eastAsia="SimSun" w:cs="SimSun"/>
          <w:sz w:val="18"/>
          <w:szCs w:val="18"/>
          <w:spacing w:val="19"/>
        </w:rPr>
        <w:t>融入数字经济全球产业链是提高中国数字经济国际竞争力的必要</w:t>
      </w:r>
      <w:r>
        <w:rPr>
          <w:rFonts w:ascii="SimSun" w:hAnsi="SimSun" w:eastAsia="SimSun" w:cs="SimSun"/>
          <w:sz w:val="18"/>
          <w:szCs w:val="18"/>
          <w:spacing w:val="16"/>
        </w:rPr>
        <w:t xml:space="preserve"> </w:t>
      </w:r>
      <w:r>
        <w:rPr>
          <w:rFonts w:ascii="SimSun" w:hAnsi="SimSun" w:eastAsia="SimSun" w:cs="SimSun"/>
          <w:sz w:val="18"/>
          <w:szCs w:val="18"/>
          <w:spacing w:val="20"/>
        </w:rPr>
        <w:t>途径。不论是提供电子商务、金融、社交媒体和游戏服</w:t>
      </w:r>
      <w:r>
        <w:rPr>
          <w:rFonts w:ascii="SimSun" w:hAnsi="SimSun" w:eastAsia="SimSun" w:cs="SimSun"/>
          <w:sz w:val="18"/>
          <w:szCs w:val="18"/>
          <w:spacing w:val="19"/>
        </w:rPr>
        <w:t>务，还是参与</w:t>
      </w:r>
      <w:r>
        <w:rPr>
          <w:rFonts w:ascii="SimSun" w:hAnsi="SimSun" w:eastAsia="SimSun" w:cs="SimSun"/>
          <w:sz w:val="18"/>
          <w:szCs w:val="18"/>
        </w:rPr>
        <w:t xml:space="preserve"> </w:t>
      </w:r>
      <w:r>
        <w:rPr>
          <w:rFonts w:ascii="SimSun" w:hAnsi="SimSun" w:eastAsia="SimSun" w:cs="SimSun"/>
          <w:sz w:val="18"/>
          <w:szCs w:val="18"/>
          <w:spacing w:val="20"/>
        </w:rPr>
        <w:t>境外智慧城市建设、电子政务服务，目的地国家的平台监管都</w:t>
      </w:r>
      <w:r>
        <w:rPr>
          <w:rFonts w:ascii="SimSun" w:hAnsi="SimSun" w:eastAsia="SimSun" w:cs="SimSun"/>
          <w:sz w:val="18"/>
          <w:szCs w:val="18"/>
          <w:spacing w:val="19"/>
        </w:rPr>
        <w:t>是中国</w:t>
      </w:r>
      <w:r>
        <w:rPr>
          <w:rFonts w:ascii="SimSun" w:hAnsi="SimSun" w:eastAsia="SimSun" w:cs="SimSun"/>
          <w:sz w:val="18"/>
          <w:szCs w:val="18"/>
        </w:rPr>
        <w:t xml:space="preserve"> </w:t>
      </w:r>
      <w:r>
        <w:rPr>
          <w:rFonts w:ascii="SimSun" w:hAnsi="SimSun" w:eastAsia="SimSun" w:cs="SimSun"/>
          <w:sz w:val="18"/>
          <w:szCs w:val="18"/>
          <w:spacing w:val="25"/>
        </w:rPr>
        <w:t>企业必须适应的政策环境。2020年印度政府以相关产品会危害该国</w:t>
      </w:r>
      <w:r>
        <w:rPr>
          <w:rFonts w:ascii="SimSun" w:hAnsi="SimSun" w:eastAsia="SimSun" w:cs="SimSun"/>
          <w:sz w:val="18"/>
          <w:szCs w:val="18"/>
          <w:spacing w:val="2"/>
        </w:rPr>
        <w:t xml:space="preserve"> </w:t>
      </w:r>
      <w:r>
        <w:rPr>
          <w:rFonts w:ascii="SimSun" w:hAnsi="SimSun" w:eastAsia="SimSun" w:cs="SimSun"/>
          <w:sz w:val="18"/>
          <w:szCs w:val="18"/>
          <w:spacing w:val="20"/>
        </w:rPr>
        <w:t>的“主权完整、国家安全和公共秩序”为由，禁用中</w:t>
      </w:r>
      <w:r>
        <w:rPr>
          <w:rFonts w:ascii="SimSun" w:hAnsi="SimSun" w:eastAsia="SimSun" w:cs="SimSun"/>
          <w:sz w:val="18"/>
          <w:szCs w:val="18"/>
          <w:spacing w:val="19"/>
        </w:rPr>
        <w:t>国企业所提供的</w:t>
      </w:r>
      <w:r>
        <w:rPr>
          <w:rFonts w:ascii="SimSun" w:hAnsi="SimSun" w:eastAsia="SimSun" w:cs="SimSun"/>
          <w:sz w:val="18"/>
          <w:szCs w:val="18"/>
        </w:rPr>
        <w:t xml:space="preserve"> </w:t>
      </w:r>
      <w:r>
        <w:rPr>
          <w:rFonts w:ascii="SimSun" w:hAnsi="SimSun" w:eastAsia="SimSun" w:cs="SimSun"/>
          <w:sz w:val="18"/>
          <w:szCs w:val="18"/>
        </w:rPr>
        <w:t>App</w:t>
      </w:r>
      <w:r>
        <w:rPr>
          <w:rFonts w:ascii="SimSun" w:hAnsi="SimSun" w:eastAsia="SimSun" w:cs="SimSun"/>
          <w:sz w:val="18"/>
          <w:szCs w:val="18"/>
          <w:spacing w:val="19"/>
        </w:rPr>
        <w:t>。</w:t>
      </w:r>
      <w:r>
        <w:rPr>
          <w:rFonts w:ascii="SimSun" w:hAnsi="SimSun" w:eastAsia="SimSun" w:cs="SimSun"/>
          <w:sz w:val="18"/>
          <w:szCs w:val="18"/>
          <w:spacing w:val="60"/>
        </w:rPr>
        <w:t xml:space="preserve"> </w:t>
      </w:r>
      <w:r>
        <w:rPr>
          <w:rFonts w:ascii="SimSun" w:hAnsi="SimSun" w:eastAsia="SimSun" w:cs="SimSun"/>
          <w:sz w:val="18"/>
          <w:szCs w:val="18"/>
          <w:spacing w:val="19"/>
        </w:rPr>
        <w:t>印度将市场准入“武器化”的做法与中印在国家层面突</w:t>
      </w:r>
      <w:r>
        <w:rPr>
          <w:rFonts w:ascii="SimSun" w:hAnsi="SimSun" w:eastAsia="SimSun" w:cs="SimSun"/>
          <w:sz w:val="18"/>
          <w:szCs w:val="18"/>
          <w:spacing w:val="18"/>
        </w:rPr>
        <w:t>变的安</w:t>
      </w:r>
      <w:r>
        <w:rPr>
          <w:rFonts w:ascii="SimSun" w:hAnsi="SimSun" w:eastAsia="SimSun" w:cs="SimSun"/>
          <w:sz w:val="18"/>
          <w:szCs w:val="18"/>
        </w:rPr>
        <w:t xml:space="preserve"> </w:t>
      </w:r>
      <w:r>
        <w:rPr>
          <w:rFonts w:ascii="SimSun" w:hAnsi="SimSun" w:eastAsia="SimSun" w:cs="SimSun"/>
          <w:sz w:val="18"/>
          <w:szCs w:val="18"/>
          <w:spacing w:val="19"/>
        </w:rPr>
        <w:t>全关系高度相关，具有一定的特殊性。但中国的网络平台服务进入他</w:t>
      </w:r>
    </w:p>
    <w:p>
      <w:pPr>
        <w:spacing w:before="1" w:line="219" w:lineRule="auto"/>
        <w:rPr>
          <w:rFonts w:ascii="SimSun" w:hAnsi="SimSun" w:eastAsia="SimSun" w:cs="SimSun"/>
          <w:sz w:val="18"/>
          <w:szCs w:val="18"/>
        </w:rPr>
      </w:pPr>
      <w:r>
        <w:rPr>
          <w:rFonts w:ascii="SimSun" w:hAnsi="SimSun" w:eastAsia="SimSun" w:cs="SimSun"/>
          <w:sz w:val="18"/>
          <w:szCs w:val="18"/>
          <w:spacing w:val="20"/>
        </w:rPr>
        <w:t>国市场所必须面对的地缘政治和政治外交挑</w:t>
      </w:r>
      <w:r>
        <w:rPr>
          <w:rFonts w:ascii="SimSun" w:hAnsi="SimSun" w:eastAsia="SimSun" w:cs="SimSun"/>
          <w:sz w:val="18"/>
          <w:szCs w:val="18"/>
          <w:spacing w:val="19"/>
        </w:rPr>
        <w:t>战具有结构性。前文所描</w:t>
      </w:r>
    </w:p>
    <w:p>
      <w:pPr>
        <w:spacing w:line="219" w:lineRule="auto"/>
        <w:sectPr>
          <w:headerReference w:type="default" r:id="rId1"/>
          <w:pgSz w:w="7330" w:h="12480"/>
          <w:pgMar w:top="325" w:right="610" w:bottom="400" w:left="709" w:header="0" w:footer="0" w:gutter="0"/>
        </w:sectPr>
        <w:rPr>
          <w:rFonts w:ascii="SimSun" w:hAnsi="SimSun" w:eastAsia="SimSun" w:cs="SimSun"/>
          <w:sz w:val="18"/>
          <w:szCs w:val="18"/>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right="95" w:firstLine="104"/>
        <w:spacing w:before="68" w:line="284" w:lineRule="auto"/>
        <w:jc w:val="both"/>
        <w:rPr>
          <w:rFonts w:ascii="SimSun" w:hAnsi="SimSun" w:eastAsia="SimSun" w:cs="SimSun"/>
          <w:sz w:val="21"/>
          <w:szCs w:val="21"/>
        </w:rPr>
      </w:pPr>
      <w:r>
        <w:rPr>
          <w:rFonts w:ascii="SimSun" w:hAnsi="SimSun" w:eastAsia="SimSun" w:cs="SimSun"/>
          <w:sz w:val="21"/>
          <w:szCs w:val="21"/>
          <w:spacing w:val="-11"/>
        </w:rPr>
        <w:t>述的平台国际政治生态，包括“武器化”和相互依存的本质特征，将</w:t>
      </w:r>
      <w:r>
        <w:rPr>
          <w:rFonts w:ascii="SimSun" w:hAnsi="SimSun" w:eastAsia="SimSun" w:cs="SimSun"/>
          <w:sz w:val="21"/>
          <w:szCs w:val="21"/>
          <w:spacing w:val="18"/>
        </w:rPr>
        <w:t xml:space="preserve"> </w:t>
      </w:r>
      <w:r>
        <w:rPr>
          <w:rFonts w:ascii="SimSun" w:hAnsi="SimSun" w:eastAsia="SimSun" w:cs="SimSun"/>
          <w:sz w:val="21"/>
          <w:szCs w:val="21"/>
        </w:rPr>
        <w:t>长期存在。针对这种局面，中国的平台企业治理应以呵护相关企业</w:t>
      </w:r>
      <w:r>
        <w:rPr>
          <w:rFonts w:ascii="SimSun" w:hAnsi="SimSun" w:eastAsia="SimSun" w:cs="SimSun"/>
          <w:sz w:val="21"/>
          <w:szCs w:val="21"/>
          <w:spacing w:val="1"/>
        </w:rPr>
        <w:t xml:space="preserve"> </w:t>
      </w:r>
      <w:r>
        <w:rPr>
          <w:rFonts w:ascii="SimSun" w:hAnsi="SimSun" w:eastAsia="SimSun" w:cs="SimSun"/>
          <w:sz w:val="21"/>
          <w:szCs w:val="21"/>
          <w:spacing w:val="-11"/>
        </w:rPr>
        <w:t>“走出去”所依赖的技术和经营创新能力为基础性目标。</w:t>
      </w:r>
    </w:p>
    <w:p>
      <w:pPr>
        <w:ind w:left="104" w:firstLine="410"/>
        <w:spacing w:before="124" w:line="295" w:lineRule="auto"/>
        <w:jc w:val="both"/>
        <w:rPr>
          <w:rFonts w:ascii="SimSun" w:hAnsi="SimSun" w:eastAsia="SimSun" w:cs="SimSun"/>
          <w:sz w:val="21"/>
          <w:szCs w:val="21"/>
        </w:rPr>
      </w:pPr>
      <w:r>
        <w:rPr>
          <w:rFonts w:ascii="SimSun" w:hAnsi="SimSun" w:eastAsia="SimSun" w:cs="SimSun"/>
          <w:sz w:val="21"/>
          <w:szCs w:val="21"/>
          <w:spacing w:val="-11"/>
        </w:rPr>
        <w:t>数字贸易规则的制定，包括数字数据的问题，有赖双边安排和多</w:t>
      </w:r>
      <w:r>
        <w:rPr>
          <w:rFonts w:ascii="SimSun" w:hAnsi="SimSun" w:eastAsia="SimSun" w:cs="SimSun"/>
          <w:sz w:val="21"/>
          <w:szCs w:val="21"/>
          <w:spacing w:val="7"/>
        </w:rPr>
        <w:t xml:space="preserve">  </w:t>
      </w:r>
      <w:r>
        <w:rPr>
          <w:rFonts w:ascii="SimSun" w:hAnsi="SimSun" w:eastAsia="SimSun" w:cs="SimSun"/>
          <w:sz w:val="21"/>
          <w:szCs w:val="21"/>
          <w:spacing w:val="-8"/>
        </w:rPr>
        <w:t>边谈判取得共识。而且，不仅国际关税政策协调已经有</w:t>
      </w:r>
      <w:r>
        <w:rPr>
          <w:rFonts w:ascii="SimSun" w:hAnsi="SimSun" w:eastAsia="SimSun" w:cs="SimSun"/>
          <w:sz w:val="21"/>
          <w:szCs w:val="21"/>
          <w:spacing w:val="-9"/>
        </w:rPr>
        <w:t>成熟的机制，</w:t>
      </w:r>
      <w:r>
        <w:rPr>
          <w:rFonts w:ascii="SimSun" w:hAnsi="SimSun" w:eastAsia="SimSun" w:cs="SimSun"/>
          <w:sz w:val="21"/>
          <w:szCs w:val="21"/>
        </w:rPr>
        <w:t xml:space="preserve"> </w:t>
      </w:r>
      <w:r>
        <w:rPr>
          <w:rFonts w:ascii="SimSun" w:hAnsi="SimSun" w:eastAsia="SimSun" w:cs="SimSun"/>
          <w:sz w:val="21"/>
          <w:szCs w:val="21"/>
          <w:spacing w:val="-10"/>
        </w:rPr>
        <w:t>所有国家的关税政策也都具有不对其整体经济的运行造成重大冲击的 </w:t>
      </w:r>
      <w:r>
        <w:rPr>
          <w:rFonts w:ascii="SimSun" w:hAnsi="SimSun" w:eastAsia="SimSun" w:cs="SimSun"/>
          <w:sz w:val="21"/>
          <w:szCs w:val="21"/>
          <w:spacing w:val="-10"/>
        </w:rPr>
        <w:t>特征。贸易规则层面的国际环境风险因此具有可预见性和可控性。中</w:t>
      </w:r>
      <w:r>
        <w:rPr>
          <w:rFonts w:ascii="SimSun" w:hAnsi="SimSun" w:eastAsia="SimSun" w:cs="SimSun"/>
          <w:sz w:val="21"/>
          <w:szCs w:val="21"/>
        </w:rPr>
        <w:t xml:space="preserve"> </w:t>
      </w:r>
      <w:r>
        <w:rPr>
          <w:rFonts w:ascii="SimSun" w:hAnsi="SimSun" w:eastAsia="SimSun" w:cs="SimSun"/>
          <w:sz w:val="21"/>
          <w:szCs w:val="21"/>
          <w:spacing w:val="-7"/>
        </w:rPr>
        <w:t>国政府的税务和海关管理部门应与中国的平台及相关企</w:t>
      </w:r>
      <w:r>
        <w:rPr>
          <w:rFonts w:ascii="SimSun" w:hAnsi="SimSun" w:eastAsia="SimSun" w:cs="SimSun"/>
          <w:sz w:val="21"/>
          <w:szCs w:val="21"/>
          <w:spacing w:val="-8"/>
        </w:rPr>
        <w:t>业形成合力，</w:t>
      </w:r>
      <w:r>
        <w:rPr>
          <w:rFonts w:ascii="SimSun" w:hAnsi="SimSun" w:eastAsia="SimSun" w:cs="SimSun"/>
          <w:sz w:val="21"/>
          <w:szCs w:val="21"/>
        </w:rPr>
        <w:t xml:space="preserve"> </w:t>
      </w:r>
      <w:r>
        <w:rPr>
          <w:rFonts w:ascii="SimSun" w:hAnsi="SimSun" w:eastAsia="SimSun" w:cs="SimSun"/>
          <w:sz w:val="21"/>
          <w:szCs w:val="21"/>
          <w:spacing w:val="-10"/>
        </w:rPr>
        <w:t>维护中国企业的利益，应对贸易壁垒，并积极参与全球数字贸</w:t>
      </w:r>
      <w:r>
        <w:rPr>
          <w:rFonts w:ascii="SimSun" w:hAnsi="SimSun" w:eastAsia="SimSun" w:cs="SimSun"/>
          <w:sz w:val="21"/>
          <w:szCs w:val="21"/>
          <w:spacing w:val="-11"/>
        </w:rPr>
        <w:t>易规则</w:t>
      </w:r>
      <w:r>
        <w:rPr>
          <w:rFonts w:ascii="SimSun" w:hAnsi="SimSun" w:eastAsia="SimSun" w:cs="SimSun"/>
          <w:sz w:val="21"/>
          <w:szCs w:val="21"/>
        </w:rPr>
        <w:t xml:space="preserve">  </w:t>
      </w:r>
      <w:r>
        <w:rPr>
          <w:rFonts w:ascii="SimSun" w:hAnsi="SimSun" w:eastAsia="SimSun" w:cs="SimSun"/>
          <w:sz w:val="21"/>
          <w:szCs w:val="21"/>
          <w:spacing w:val="-11"/>
        </w:rPr>
        <w:t>的制定。</w:t>
      </w:r>
    </w:p>
    <w:p>
      <w:pPr>
        <w:ind w:left="104" w:right="76" w:firstLine="410"/>
        <w:spacing w:before="166" w:line="292" w:lineRule="auto"/>
        <w:jc w:val="both"/>
        <w:rPr>
          <w:rFonts w:ascii="SimSun" w:hAnsi="SimSun" w:eastAsia="SimSun" w:cs="SimSun"/>
          <w:sz w:val="21"/>
          <w:szCs w:val="21"/>
        </w:rPr>
      </w:pPr>
      <w:r>
        <w:rPr>
          <w:rFonts w:ascii="SimSun" w:hAnsi="SimSun" w:eastAsia="SimSun" w:cs="SimSun"/>
          <w:sz w:val="21"/>
          <w:szCs w:val="21"/>
          <w:spacing w:val="-11"/>
        </w:rPr>
        <w:t>针对大型平台企业的反垄断，则是中国的平台治理应重点关注的</w:t>
      </w:r>
      <w:r>
        <w:rPr>
          <w:rFonts w:ascii="SimSun" w:hAnsi="SimSun" w:eastAsia="SimSun" w:cs="SimSun"/>
          <w:sz w:val="21"/>
          <w:szCs w:val="21"/>
          <w:spacing w:val="12"/>
        </w:rPr>
        <w:t xml:space="preserve"> </w:t>
      </w:r>
      <w:r>
        <w:rPr>
          <w:rFonts w:ascii="SimSun" w:hAnsi="SimSun" w:eastAsia="SimSun" w:cs="SimSun"/>
          <w:sz w:val="21"/>
          <w:szCs w:val="21"/>
          <w:spacing w:val="-10"/>
        </w:rPr>
        <w:t>国际维度。近年在中国、美国、欧洲同时出现的以反垄断为目标的政</w:t>
      </w:r>
      <w:r>
        <w:rPr>
          <w:rFonts w:ascii="SimSun" w:hAnsi="SimSun" w:eastAsia="SimSun" w:cs="SimSun"/>
          <w:sz w:val="21"/>
          <w:szCs w:val="21"/>
          <w:spacing w:val="7"/>
        </w:rPr>
        <w:t xml:space="preserve"> </w:t>
      </w:r>
      <w:r>
        <w:rPr>
          <w:rFonts w:ascii="SimSun" w:hAnsi="SimSun" w:eastAsia="SimSun" w:cs="SimSun"/>
          <w:sz w:val="21"/>
          <w:szCs w:val="21"/>
          <w:spacing w:val="-10"/>
        </w:rPr>
        <w:t>府监管，是一种全新的趋势。各管辖区的监管</w:t>
      </w:r>
      <w:r>
        <w:rPr>
          <w:rFonts w:ascii="SimSun" w:hAnsi="SimSun" w:eastAsia="SimSun" w:cs="SimSun"/>
          <w:sz w:val="21"/>
          <w:szCs w:val="21"/>
          <w:spacing w:val="-11"/>
        </w:rPr>
        <w:t>措施都是自身历史和核</w:t>
      </w:r>
      <w:r>
        <w:rPr>
          <w:rFonts w:ascii="SimSun" w:hAnsi="SimSun" w:eastAsia="SimSun" w:cs="SimSun"/>
          <w:sz w:val="21"/>
          <w:szCs w:val="21"/>
        </w:rPr>
        <w:t xml:space="preserve"> </w:t>
      </w:r>
      <w:r>
        <w:rPr>
          <w:rFonts w:ascii="SimSun" w:hAnsi="SimSun" w:eastAsia="SimSun" w:cs="SimSun"/>
          <w:sz w:val="21"/>
          <w:szCs w:val="21"/>
          <w:spacing w:val="-11"/>
        </w:rPr>
        <w:t>心价值追求的延续，不存在适合各国的统一之法。</w:t>
      </w:r>
    </w:p>
    <w:p>
      <w:pPr>
        <w:ind w:left="104" w:firstLine="410"/>
        <w:spacing w:before="110" w:line="303" w:lineRule="auto"/>
        <w:jc w:val="both"/>
        <w:rPr>
          <w:rFonts w:ascii="SimSun" w:hAnsi="SimSun" w:eastAsia="SimSun" w:cs="SimSun"/>
          <w:sz w:val="21"/>
          <w:szCs w:val="21"/>
        </w:rPr>
      </w:pPr>
      <w:r>
        <w:rPr>
          <w:rFonts w:ascii="SimSun" w:hAnsi="SimSun" w:eastAsia="SimSun" w:cs="SimSun"/>
          <w:sz w:val="21"/>
          <w:szCs w:val="21"/>
          <w:spacing w:val="-11"/>
        </w:rPr>
        <w:t>但是，通过监管保护并促进创新，则是把握国际经济竞争态势的</w:t>
      </w:r>
      <w:r>
        <w:rPr>
          <w:rFonts w:ascii="SimSun" w:hAnsi="SimSun" w:eastAsia="SimSun" w:cs="SimSun"/>
          <w:sz w:val="21"/>
          <w:szCs w:val="21"/>
          <w:spacing w:val="6"/>
        </w:rPr>
        <w:t xml:space="preserve">  </w:t>
      </w:r>
      <w:r>
        <w:rPr>
          <w:rFonts w:ascii="SimSun" w:hAnsi="SimSun" w:eastAsia="SimSun" w:cs="SimSun"/>
          <w:sz w:val="21"/>
          <w:szCs w:val="21"/>
          <w:spacing w:val="-11"/>
        </w:rPr>
        <w:t>应有之义。中国的数字经济是在较为严格的“防火墙”监管模式下发</w:t>
      </w:r>
      <w:r>
        <w:rPr>
          <w:rFonts w:ascii="SimSun" w:hAnsi="SimSun" w:eastAsia="SimSun" w:cs="SimSun"/>
          <w:sz w:val="21"/>
          <w:szCs w:val="21"/>
          <w:spacing w:val="8"/>
        </w:rPr>
        <w:t xml:space="preserve">  </w:t>
      </w:r>
      <w:r>
        <w:rPr>
          <w:rFonts w:ascii="SimSun" w:hAnsi="SimSun" w:eastAsia="SimSun" w:cs="SimSun"/>
          <w:sz w:val="21"/>
          <w:szCs w:val="21"/>
          <w:spacing w:val="-11"/>
        </w:rPr>
        <w:t>展的，其监管措施、监管理念和监管程度，特别是与美国和欧洲的监</w:t>
      </w:r>
      <w:r>
        <w:rPr>
          <w:rFonts w:ascii="SimSun" w:hAnsi="SimSun" w:eastAsia="SimSun" w:cs="SimSun"/>
          <w:sz w:val="21"/>
          <w:szCs w:val="21"/>
          <w:spacing w:val="8"/>
        </w:rPr>
        <w:t xml:space="preserve">  </w:t>
      </w:r>
      <w:r>
        <w:rPr>
          <w:rFonts w:ascii="SimSun" w:hAnsi="SimSun" w:eastAsia="SimSun" w:cs="SimSun"/>
          <w:sz w:val="21"/>
          <w:szCs w:val="21"/>
          <w:spacing w:val="-13"/>
        </w:rPr>
        <w:t>管之间的重叠、交叉和冲突，</w:t>
      </w:r>
      <w:r>
        <w:rPr>
          <w:rFonts w:ascii="SimSun" w:hAnsi="SimSun" w:eastAsia="SimSun" w:cs="SimSun"/>
          <w:sz w:val="21"/>
          <w:szCs w:val="21"/>
          <w:spacing w:val="69"/>
        </w:rPr>
        <w:t xml:space="preserve"> </w:t>
      </w:r>
      <w:r>
        <w:rPr>
          <w:rFonts w:ascii="SimSun" w:hAnsi="SimSun" w:eastAsia="SimSun" w:cs="SimSun"/>
          <w:sz w:val="21"/>
          <w:szCs w:val="21"/>
          <w:spacing w:val="-13"/>
        </w:rPr>
        <w:t>一直是国际投资界关注的内容。同时，</w:t>
      </w:r>
      <w:r>
        <w:rPr>
          <w:rFonts w:ascii="SimSun" w:hAnsi="SimSun" w:eastAsia="SimSun" w:cs="SimSun"/>
          <w:sz w:val="21"/>
          <w:szCs w:val="21"/>
        </w:rPr>
        <w:t xml:space="preserve"> </w:t>
      </w:r>
      <w:r>
        <w:rPr>
          <w:rFonts w:ascii="SimSun" w:hAnsi="SimSun" w:eastAsia="SimSun" w:cs="SimSun"/>
          <w:sz w:val="21"/>
          <w:szCs w:val="21"/>
          <w:spacing w:val="-10"/>
        </w:rPr>
        <w:t>国外将中国与其他国家的数字经济治理进行比较研究，所得出的结论 </w:t>
      </w:r>
      <w:r>
        <w:rPr>
          <w:rFonts w:ascii="SimSun" w:hAnsi="SimSun" w:eastAsia="SimSun" w:cs="SimSun"/>
          <w:sz w:val="21"/>
          <w:szCs w:val="21"/>
          <w:spacing w:val="-4"/>
        </w:rPr>
        <w:t>性观察也影响到外商投资(包括进入中国市场从事经营)的政治风险</w:t>
      </w:r>
      <w:r>
        <w:rPr>
          <w:rFonts w:ascii="SimSun" w:hAnsi="SimSun" w:eastAsia="SimSun" w:cs="SimSun"/>
          <w:sz w:val="21"/>
          <w:szCs w:val="21"/>
          <w:spacing w:val="8"/>
        </w:rPr>
        <w:t xml:space="preserve">  </w:t>
      </w:r>
      <w:r>
        <w:rPr>
          <w:rFonts w:ascii="SimSun" w:hAnsi="SimSun" w:eastAsia="SimSun" w:cs="SimSun"/>
          <w:sz w:val="21"/>
          <w:szCs w:val="21"/>
          <w:spacing w:val="-9"/>
        </w:rPr>
        <w:t>判断。</w:t>
      </w:r>
    </w:p>
    <w:p>
      <w:pPr>
        <w:ind w:left="104" w:right="76" w:firstLine="410"/>
        <w:spacing w:before="112" w:line="300" w:lineRule="auto"/>
        <w:jc w:val="both"/>
        <w:rPr>
          <w:rFonts w:ascii="SimSun" w:hAnsi="SimSun" w:eastAsia="SimSun" w:cs="SimSun"/>
          <w:sz w:val="21"/>
          <w:szCs w:val="21"/>
        </w:rPr>
      </w:pPr>
      <w:r>
        <w:rPr>
          <w:rFonts w:ascii="SimSun" w:hAnsi="SimSun" w:eastAsia="SimSun" w:cs="SimSun"/>
          <w:sz w:val="21"/>
          <w:szCs w:val="21"/>
          <w:spacing w:val="-3"/>
        </w:rPr>
        <w:t>我们必须看到，中国的数字平台要拓展境外业务，面临的国际</w:t>
      </w:r>
      <w:r>
        <w:rPr>
          <w:rFonts w:ascii="SimSun" w:hAnsi="SimSun" w:eastAsia="SimSun" w:cs="SimSun"/>
          <w:sz w:val="21"/>
          <w:szCs w:val="21"/>
          <w:spacing w:val="8"/>
        </w:rPr>
        <w:t xml:space="preserve"> </w:t>
      </w:r>
      <w:r>
        <w:rPr>
          <w:rFonts w:ascii="SimSun" w:hAnsi="SimSun" w:eastAsia="SimSun" w:cs="SimSun"/>
          <w:sz w:val="21"/>
          <w:szCs w:val="21"/>
          <w:spacing w:val="-11"/>
        </w:rPr>
        <w:t>政治挑战是严峻的。正如前文所提到的，现在美国的政治和经济治理</w:t>
      </w:r>
      <w:r>
        <w:rPr>
          <w:rFonts w:ascii="SimSun" w:hAnsi="SimSun" w:eastAsia="SimSun" w:cs="SimSun"/>
          <w:sz w:val="21"/>
          <w:szCs w:val="21"/>
          <w:spacing w:val="16"/>
        </w:rPr>
        <w:t xml:space="preserve"> </w:t>
      </w:r>
      <w:r>
        <w:rPr>
          <w:rFonts w:ascii="SimSun" w:hAnsi="SimSun" w:eastAsia="SimSun" w:cs="SimSun"/>
          <w:sz w:val="21"/>
          <w:szCs w:val="21"/>
          <w:spacing w:val="-10"/>
        </w:rPr>
        <w:t>首次出现了保护主义和反垄断思潮并行的现象，美国政</w:t>
      </w:r>
      <w:r>
        <w:rPr>
          <w:rFonts w:ascii="SimSun" w:hAnsi="SimSun" w:eastAsia="SimSun" w:cs="SimSun"/>
          <w:sz w:val="21"/>
          <w:szCs w:val="21"/>
          <w:spacing w:val="-11"/>
        </w:rPr>
        <w:t>商界所认定的</w:t>
      </w:r>
      <w:r>
        <w:rPr>
          <w:rFonts w:ascii="SimSun" w:hAnsi="SimSun" w:eastAsia="SimSun" w:cs="SimSun"/>
          <w:sz w:val="21"/>
          <w:szCs w:val="21"/>
        </w:rPr>
        <w:t xml:space="preserve"> </w:t>
      </w:r>
      <w:r>
        <w:rPr>
          <w:rFonts w:ascii="SimSun" w:hAnsi="SimSun" w:eastAsia="SimSun" w:cs="SimSun"/>
          <w:sz w:val="21"/>
          <w:szCs w:val="21"/>
          <w:spacing w:val="-11"/>
        </w:rPr>
        <w:t>国家竞争对象清晰，那就是中国。导致美国及其盟友认为中国是电子</w:t>
      </w:r>
      <w:r>
        <w:rPr>
          <w:rFonts w:ascii="SimSun" w:hAnsi="SimSun" w:eastAsia="SimSun" w:cs="SimSun"/>
          <w:sz w:val="21"/>
          <w:szCs w:val="21"/>
          <w:spacing w:val="18"/>
        </w:rPr>
        <w:t xml:space="preserve"> </w:t>
      </w:r>
      <w:r>
        <w:rPr>
          <w:rFonts w:ascii="SimSun" w:hAnsi="SimSun" w:eastAsia="SimSun" w:cs="SimSun"/>
          <w:sz w:val="21"/>
          <w:szCs w:val="21"/>
          <w:spacing w:val="-10"/>
        </w:rPr>
        <w:t>和数字技术领域竞争威胁的因素众多，包括人工智能等具有军民两用</w:t>
      </w:r>
      <w:r>
        <w:rPr>
          <w:rFonts w:ascii="SimSun" w:hAnsi="SimSun" w:eastAsia="SimSun" w:cs="SimSun"/>
          <w:sz w:val="21"/>
          <w:szCs w:val="21"/>
          <w:spacing w:val="3"/>
        </w:rPr>
        <w:t xml:space="preserve"> </w:t>
      </w:r>
      <w:r>
        <w:rPr>
          <w:rFonts w:ascii="SimSun" w:hAnsi="SimSun" w:eastAsia="SimSun" w:cs="SimSun"/>
          <w:sz w:val="21"/>
          <w:szCs w:val="21"/>
          <w:spacing w:val="-10"/>
        </w:rPr>
        <w:t>功能的技术。在这些前沿技术领域，将战略盟友、跨大西洋伙伴</w:t>
      </w:r>
      <w:r>
        <w:rPr>
          <w:rFonts w:ascii="SimSun" w:hAnsi="SimSun" w:eastAsia="SimSun" w:cs="SimSun"/>
          <w:sz w:val="21"/>
          <w:szCs w:val="21"/>
          <w:spacing w:val="-11"/>
        </w:rPr>
        <w:t>之间</w:t>
      </w:r>
    </w:p>
    <w:p>
      <w:pPr>
        <w:spacing w:line="300" w:lineRule="auto"/>
        <w:sectPr>
          <w:headerReference w:type="default" r:id="rId317"/>
          <w:pgSz w:w="7330" w:h="12480"/>
          <w:pgMar w:top="845" w:right="764" w:bottom="400" w:left="374" w:header="683" w:footer="0" w:gutter="0"/>
        </w:sectPr>
        <w:rPr>
          <w:rFonts w:ascii="SimSun" w:hAnsi="SimSun" w:eastAsia="SimSun" w:cs="SimSun"/>
          <w:sz w:val="21"/>
          <w:szCs w:val="21"/>
        </w:rPr>
      </w:pP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ind w:right="51"/>
        <w:spacing w:before="61" w:line="310" w:lineRule="auto"/>
        <w:jc w:val="both"/>
        <w:rPr>
          <w:rFonts w:ascii="SimSun" w:hAnsi="SimSun" w:eastAsia="SimSun" w:cs="SimSun"/>
          <w:sz w:val="19"/>
          <w:szCs w:val="19"/>
        </w:rPr>
      </w:pPr>
      <w:r>
        <w:rPr>
          <w:rFonts w:ascii="SimSun" w:hAnsi="SimSun" w:eastAsia="SimSun" w:cs="SimSun"/>
          <w:sz w:val="19"/>
          <w:szCs w:val="19"/>
          <w:spacing w:val="9"/>
        </w:rPr>
        <w:t>的合作定性为“国际合作”是时下美国和欧洲智库研究所推崇的应对</w:t>
      </w:r>
      <w:r>
        <w:rPr>
          <w:rFonts w:ascii="SimSun" w:hAnsi="SimSun" w:eastAsia="SimSun" w:cs="SimSun"/>
          <w:sz w:val="19"/>
          <w:szCs w:val="19"/>
          <w:spacing w:val="16"/>
        </w:rPr>
        <w:t xml:space="preserve"> </w:t>
      </w:r>
      <w:r>
        <w:rPr>
          <w:rFonts w:ascii="SimSun" w:hAnsi="SimSun" w:eastAsia="SimSun" w:cs="SimSun"/>
          <w:sz w:val="19"/>
          <w:szCs w:val="19"/>
          <w:spacing w:val="17"/>
        </w:rPr>
        <w:t>措施。此外，谷歌等美国企业在海底光缆等全球互联网基</w:t>
      </w:r>
      <w:r>
        <w:rPr>
          <w:rFonts w:ascii="SimSun" w:hAnsi="SimSun" w:eastAsia="SimSun" w:cs="SimSun"/>
          <w:sz w:val="19"/>
          <w:szCs w:val="19"/>
          <w:spacing w:val="16"/>
        </w:rPr>
        <w:t>础设施中</w:t>
      </w:r>
      <w:r>
        <w:rPr>
          <w:rFonts w:ascii="SimSun" w:hAnsi="SimSun" w:eastAsia="SimSun" w:cs="SimSun"/>
          <w:sz w:val="19"/>
          <w:szCs w:val="19"/>
        </w:rPr>
        <w:t xml:space="preserve"> </w:t>
      </w:r>
      <w:r>
        <w:rPr>
          <w:rFonts w:ascii="SimSun" w:hAnsi="SimSun" w:eastAsia="SimSun" w:cs="SimSun"/>
          <w:sz w:val="19"/>
          <w:szCs w:val="19"/>
          <w:spacing w:val="17"/>
        </w:rPr>
        <w:t>的绝对统治地位遇到了挑战，导致一些观察者担忧出</w:t>
      </w:r>
      <w:r>
        <w:rPr>
          <w:rFonts w:ascii="SimSun" w:hAnsi="SimSun" w:eastAsia="SimSun" w:cs="SimSun"/>
          <w:sz w:val="19"/>
          <w:szCs w:val="19"/>
          <w:spacing w:val="16"/>
        </w:rPr>
        <w:t>现全球互联网</w:t>
      </w:r>
      <w:r>
        <w:rPr>
          <w:rFonts w:ascii="SimSun" w:hAnsi="SimSun" w:eastAsia="SimSun" w:cs="SimSun"/>
          <w:sz w:val="19"/>
          <w:szCs w:val="19"/>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internet</w:t>
      </w:r>
      <w:r>
        <w:rPr>
          <w:rFonts w:ascii="Times New Roman" w:hAnsi="Times New Roman" w:eastAsia="Times New Roman" w:cs="Times New Roman"/>
          <w:sz w:val="19"/>
          <w:szCs w:val="19"/>
          <w:spacing w:val="5"/>
        </w:rPr>
        <w:t>)    </w:t>
      </w:r>
      <w:r>
        <w:rPr>
          <w:rFonts w:ascii="SimSun" w:hAnsi="SimSun" w:eastAsia="SimSun" w:cs="SimSun"/>
          <w:sz w:val="19"/>
          <w:szCs w:val="19"/>
          <w:spacing w:val="5"/>
        </w:rPr>
        <w:t>因为“没有谷歌”而变成“分裂网”</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splinternet</w:t>
      </w:r>
      <w:r>
        <w:rPr>
          <w:rFonts w:ascii="Times New Roman" w:hAnsi="Times New Roman" w:eastAsia="Times New Roman" w:cs="Times New Roman"/>
          <w:sz w:val="19"/>
          <w:szCs w:val="19"/>
          <w:spacing w:val="5"/>
        </w:rPr>
        <w:t>)</w:t>
      </w:r>
      <w:r>
        <w:rPr>
          <w:rFonts w:ascii="SimSun" w:hAnsi="SimSun" w:eastAsia="SimSun" w:cs="SimSun"/>
          <w:sz w:val="19"/>
          <w:szCs w:val="19"/>
          <w:spacing w:val="5"/>
        </w:rPr>
        <w:t>。</w:t>
      </w:r>
    </w:p>
    <w:p>
      <w:pPr>
        <w:ind w:right="4" w:firstLine="460"/>
        <w:spacing w:before="161" w:line="350" w:lineRule="auto"/>
        <w:jc w:val="both"/>
        <w:rPr>
          <w:rFonts w:ascii="SimSun" w:hAnsi="SimSun" w:eastAsia="SimSun" w:cs="SimSun"/>
          <w:sz w:val="19"/>
          <w:szCs w:val="19"/>
        </w:rPr>
      </w:pPr>
      <w:r>
        <w:rPr>
          <w:rFonts w:ascii="SimSun" w:hAnsi="SimSun" w:eastAsia="SimSun" w:cs="SimSun"/>
          <w:sz w:val="19"/>
          <w:szCs w:val="19"/>
          <w:spacing w:val="9"/>
        </w:rPr>
        <w:t>不过，就数据经济治理所追求的理念而言，中国在大国竞争中并</w:t>
      </w:r>
      <w:r>
        <w:rPr>
          <w:rFonts w:ascii="SimSun" w:hAnsi="SimSun" w:eastAsia="SimSun" w:cs="SimSun"/>
          <w:sz w:val="19"/>
          <w:szCs w:val="19"/>
          <w:spacing w:val="15"/>
        </w:rPr>
        <w:t xml:space="preserve"> </w:t>
      </w:r>
      <w:r>
        <w:rPr>
          <w:rFonts w:ascii="SimSun" w:hAnsi="SimSun" w:eastAsia="SimSun" w:cs="SimSun"/>
          <w:sz w:val="19"/>
          <w:szCs w:val="19"/>
          <w:spacing w:val="15"/>
        </w:rPr>
        <w:t>不孤立。例如，中国在2021年8月通过《个人信息保护法》,</w:t>
      </w:r>
      <w:r>
        <w:rPr>
          <w:rFonts w:ascii="SimSun" w:hAnsi="SimSun" w:eastAsia="SimSun" w:cs="SimSun"/>
          <w:sz w:val="19"/>
          <w:szCs w:val="19"/>
          <w:spacing w:val="14"/>
        </w:rPr>
        <w:t>目的便</w:t>
      </w:r>
      <w:r>
        <w:rPr>
          <w:rFonts w:ascii="SimSun" w:hAnsi="SimSun" w:eastAsia="SimSun" w:cs="SimSun"/>
          <w:sz w:val="19"/>
          <w:szCs w:val="19"/>
        </w:rPr>
        <w:t xml:space="preserve"> </w:t>
      </w:r>
      <w:r>
        <w:rPr>
          <w:rFonts w:ascii="SimSun" w:hAnsi="SimSun" w:eastAsia="SimSun" w:cs="SimSun"/>
          <w:sz w:val="19"/>
          <w:szCs w:val="19"/>
          <w:spacing w:val="15"/>
        </w:rPr>
        <w:t>是遏制个人信息被滥用，保护个人隐私。有鉴于欧盟已在2016年通</w:t>
      </w:r>
      <w:r>
        <w:rPr>
          <w:rFonts w:ascii="SimSun" w:hAnsi="SimSun" w:eastAsia="SimSun" w:cs="SimSun"/>
          <w:sz w:val="19"/>
          <w:szCs w:val="19"/>
          <w:spacing w:val="11"/>
        </w:rPr>
        <w:t xml:space="preserve"> </w:t>
      </w:r>
      <w:r>
        <w:rPr>
          <w:rFonts w:ascii="SimSun" w:hAnsi="SimSun" w:eastAsia="SimSun" w:cs="SimSun"/>
          <w:sz w:val="19"/>
          <w:szCs w:val="19"/>
          <w:spacing w:val="13"/>
        </w:rPr>
        <w:t>过《通用数据保护条例》,一些美国媒体惊叹美国</w:t>
      </w:r>
      <w:r>
        <w:rPr>
          <w:rFonts w:ascii="SimSun" w:hAnsi="SimSun" w:eastAsia="SimSun" w:cs="SimSun"/>
          <w:sz w:val="19"/>
          <w:szCs w:val="19"/>
          <w:spacing w:val="12"/>
        </w:rPr>
        <w:t>在同一领域的法规</w:t>
      </w:r>
      <w:r>
        <w:rPr>
          <w:rFonts w:ascii="SimSun" w:hAnsi="SimSun" w:eastAsia="SimSun" w:cs="SimSun"/>
          <w:sz w:val="19"/>
          <w:szCs w:val="19"/>
        </w:rPr>
        <w:t xml:space="preserve"> </w:t>
      </w:r>
      <w:r>
        <w:rPr>
          <w:rFonts w:ascii="SimSun" w:hAnsi="SimSun" w:eastAsia="SimSun" w:cs="SimSun"/>
          <w:sz w:val="19"/>
          <w:szCs w:val="19"/>
          <w:spacing w:val="9"/>
        </w:rPr>
        <w:t>建设反而处于落伍状态。将条文落实为企业的操作指引细节是在严峻</w:t>
      </w:r>
    </w:p>
    <w:p>
      <w:pPr>
        <w:spacing w:line="218" w:lineRule="auto"/>
        <w:rPr>
          <w:rFonts w:ascii="SimSun" w:hAnsi="SimSun" w:eastAsia="SimSun" w:cs="SimSun"/>
          <w:sz w:val="19"/>
          <w:szCs w:val="19"/>
        </w:rPr>
      </w:pPr>
      <w:r>
        <w:rPr>
          <w:rFonts w:ascii="SimSun" w:hAnsi="SimSun" w:eastAsia="SimSun" w:cs="SimSun"/>
          <w:sz w:val="19"/>
          <w:szCs w:val="19"/>
          <w:spacing w:val="8"/>
        </w:rPr>
        <w:t>的国际竞争环境中赢得信誉的关键所在。</w:t>
      </w:r>
    </w:p>
    <w:p>
      <w:pPr>
        <w:ind w:right="1" w:firstLine="460"/>
        <w:spacing w:before="156" w:line="340" w:lineRule="auto"/>
        <w:jc w:val="both"/>
        <w:rPr>
          <w:rFonts w:ascii="SimSun" w:hAnsi="SimSun" w:eastAsia="SimSun" w:cs="SimSun"/>
          <w:sz w:val="19"/>
          <w:szCs w:val="19"/>
        </w:rPr>
      </w:pPr>
      <w:r>
        <w:rPr>
          <w:rFonts w:ascii="SimSun" w:hAnsi="SimSun" w:eastAsia="SimSun" w:cs="SimSun"/>
          <w:sz w:val="19"/>
          <w:szCs w:val="19"/>
          <w:spacing w:val="17"/>
        </w:rPr>
        <w:t>我们必须看到，在国外，对平台企业的监管力度，既不体现在</w:t>
      </w:r>
      <w:r>
        <w:rPr>
          <w:rFonts w:ascii="SimSun" w:hAnsi="SimSun" w:eastAsia="SimSun" w:cs="SimSun"/>
          <w:sz w:val="19"/>
          <w:szCs w:val="19"/>
        </w:rPr>
        <w:t xml:space="preserve"> </w:t>
      </w:r>
      <w:r>
        <w:rPr>
          <w:rFonts w:ascii="SimSun" w:hAnsi="SimSun" w:eastAsia="SimSun" w:cs="SimSun"/>
          <w:sz w:val="19"/>
          <w:szCs w:val="19"/>
          <w:spacing w:val="9"/>
        </w:rPr>
        <w:t>对企业罚款的数额，也因平台企业对数据聚集的本质需求而没有简单</w:t>
      </w:r>
      <w:r>
        <w:rPr>
          <w:rFonts w:ascii="SimSun" w:hAnsi="SimSun" w:eastAsia="SimSun" w:cs="SimSun"/>
          <w:sz w:val="19"/>
          <w:szCs w:val="19"/>
          <w:spacing w:val="16"/>
        </w:rPr>
        <w:t xml:space="preserve"> </w:t>
      </w:r>
      <w:r>
        <w:rPr>
          <w:rFonts w:ascii="SimSun" w:hAnsi="SimSun" w:eastAsia="SimSun" w:cs="SimSun"/>
          <w:sz w:val="19"/>
          <w:szCs w:val="19"/>
          <w:spacing w:val="9"/>
        </w:rPr>
        <w:t>使用分拆等监管传统企业的做法。国家既有保护平台消费者利益的义</w:t>
      </w:r>
      <w:r>
        <w:rPr>
          <w:rFonts w:ascii="SimSun" w:hAnsi="SimSun" w:eastAsia="SimSun" w:cs="SimSun"/>
          <w:sz w:val="19"/>
          <w:szCs w:val="19"/>
          <w:spacing w:val="18"/>
        </w:rPr>
        <w:t xml:space="preserve"> </w:t>
      </w:r>
      <w:r>
        <w:rPr>
          <w:rFonts w:ascii="SimSun" w:hAnsi="SimSun" w:eastAsia="SimSun" w:cs="SimSun"/>
          <w:sz w:val="19"/>
          <w:szCs w:val="19"/>
          <w:spacing w:val="9"/>
        </w:rPr>
        <w:t>务，也有提高企业在国内和国际的竞争能力的义务。创新能力是所有</w:t>
      </w:r>
      <w:r>
        <w:rPr>
          <w:rFonts w:ascii="SimSun" w:hAnsi="SimSun" w:eastAsia="SimSun" w:cs="SimSun"/>
          <w:sz w:val="19"/>
          <w:szCs w:val="19"/>
          <w:spacing w:val="18"/>
        </w:rPr>
        <w:t xml:space="preserve"> </w:t>
      </w:r>
      <w:r>
        <w:rPr>
          <w:rFonts w:ascii="SimSun" w:hAnsi="SimSun" w:eastAsia="SimSun" w:cs="SimSun"/>
          <w:sz w:val="19"/>
          <w:szCs w:val="19"/>
          <w:spacing w:val="10"/>
        </w:rPr>
        <w:t>国家平台企业的命根，也是国家监管所应呵护</w:t>
      </w:r>
      <w:r>
        <w:rPr>
          <w:rFonts w:ascii="SimSun" w:hAnsi="SimSun" w:eastAsia="SimSun" w:cs="SimSun"/>
          <w:sz w:val="19"/>
          <w:szCs w:val="19"/>
          <w:spacing w:val="9"/>
        </w:rPr>
        <w:t>的对象。在企业和国家</w:t>
      </w:r>
      <w:r>
        <w:rPr>
          <w:rFonts w:ascii="SimSun" w:hAnsi="SimSun" w:eastAsia="SimSun" w:cs="SimSun"/>
          <w:sz w:val="19"/>
          <w:szCs w:val="19"/>
        </w:rPr>
        <w:t xml:space="preserve"> </w:t>
      </w:r>
      <w:r>
        <w:rPr>
          <w:rFonts w:ascii="SimSun" w:hAnsi="SimSun" w:eastAsia="SimSun" w:cs="SimSun"/>
          <w:sz w:val="19"/>
          <w:szCs w:val="19"/>
          <w:spacing w:val="4"/>
        </w:rPr>
        <w:t>都同时处于严峻的国际竞争的态势时，</w:t>
      </w:r>
      <w:r>
        <w:rPr>
          <w:rFonts w:ascii="SimSun" w:hAnsi="SimSun" w:eastAsia="SimSun" w:cs="SimSun"/>
          <w:sz w:val="19"/>
          <w:szCs w:val="19"/>
          <w:spacing w:val="72"/>
        </w:rPr>
        <w:t xml:space="preserve"> </w:t>
      </w:r>
      <w:r>
        <w:rPr>
          <w:rFonts w:ascii="SimSun" w:hAnsi="SimSun" w:eastAsia="SimSun" w:cs="SimSun"/>
          <w:sz w:val="19"/>
          <w:szCs w:val="19"/>
          <w:spacing w:val="4"/>
        </w:rPr>
        <w:t>一个国家对本国企业的监管可</w:t>
      </w:r>
    </w:p>
    <w:p>
      <w:pPr>
        <w:spacing w:line="219" w:lineRule="auto"/>
        <w:rPr>
          <w:rFonts w:ascii="SimSun" w:hAnsi="SimSun" w:eastAsia="SimSun" w:cs="SimSun"/>
          <w:sz w:val="19"/>
          <w:szCs w:val="19"/>
        </w:rPr>
      </w:pPr>
      <w:r>
        <w:rPr>
          <w:rFonts w:ascii="SimSun" w:hAnsi="SimSun" w:eastAsia="SimSun" w:cs="SimSun"/>
          <w:sz w:val="19"/>
          <w:szCs w:val="19"/>
          <w:spacing w:val="9"/>
        </w:rPr>
        <w:t>能具有先行者优势，但同时也应注意“先行者后果”效应。</w:t>
      </w:r>
    </w:p>
    <w:p>
      <w:pPr>
        <w:pStyle w:val="BodyText"/>
        <w:spacing w:line="453" w:lineRule="auto"/>
        <w:rPr/>
      </w:pPr>
      <w:r/>
    </w:p>
    <w:p>
      <w:pPr>
        <w:ind w:left="3"/>
        <w:spacing w:before="75" w:line="221" w:lineRule="auto"/>
        <w:rPr>
          <w:rFonts w:ascii="SimHei" w:hAnsi="SimHei" w:eastAsia="SimHei" w:cs="SimHei"/>
          <w:sz w:val="23"/>
          <w:szCs w:val="23"/>
        </w:rPr>
      </w:pPr>
      <w:r>
        <w:rPr>
          <w:rFonts w:ascii="SimHei" w:hAnsi="SimHei" w:eastAsia="SimHei" w:cs="SimHei"/>
          <w:sz w:val="23"/>
          <w:szCs w:val="23"/>
          <w:b/>
          <w:bCs/>
          <w:spacing w:val="6"/>
        </w:rPr>
        <w:t>平台自我治理</w:t>
      </w:r>
    </w:p>
    <w:p>
      <w:pPr>
        <w:pStyle w:val="BodyText"/>
        <w:spacing w:line="372" w:lineRule="auto"/>
        <w:rPr/>
      </w:pPr>
      <w:r/>
    </w:p>
    <w:p>
      <w:pPr>
        <w:ind w:firstLine="460"/>
        <w:spacing w:before="62" w:line="350" w:lineRule="auto"/>
        <w:jc w:val="both"/>
        <w:rPr>
          <w:rFonts w:ascii="SimSun" w:hAnsi="SimSun" w:eastAsia="SimSun" w:cs="SimSun"/>
          <w:sz w:val="19"/>
          <w:szCs w:val="19"/>
        </w:rPr>
      </w:pPr>
      <w:r>
        <w:rPr>
          <w:rFonts w:ascii="SimSun" w:hAnsi="SimSun" w:eastAsia="SimSun" w:cs="SimSun"/>
          <w:sz w:val="19"/>
          <w:szCs w:val="19"/>
          <w:spacing w:val="10"/>
        </w:rPr>
        <w:t>特别是在云计算服务、社交媒体、移动支付</w:t>
      </w:r>
      <w:r>
        <w:rPr>
          <w:rFonts w:ascii="SimSun" w:hAnsi="SimSun" w:eastAsia="SimSun" w:cs="SimSun"/>
          <w:sz w:val="19"/>
          <w:szCs w:val="19"/>
          <w:spacing w:val="9"/>
        </w:rPr>
        <w:t>、移动游戏、卫星导</w:t>
      </w:r>
      <w:r>
        <w:rPr>
          <w:rFonts w:ascii="SimSun" w:hAnsi="SimSun" w:eastAsia="SimSun" w:cs="SimSun"/>
          <w:sz w:val="19"/>
          <w:szCs w:val="19"/>
        </w:rPr>
        <w:t xml:space="preserve"> </w:t>
      </w:r>
      <w:r>
        <w:rPr>
          <w:rFonts w:ascii="SimSun" w:hAnsi="SimSun" w:eastAsia="SimSun" w:cs="SimSun"/>
          <w:sz w:val="19"/>
          <w:szCs w:val="19"/>
          <w:spacing w:val="9"/>
        </w:rPr>
        <w:t>航及位置服务等领域，因为事关数据跨境流动规则和广义的国家</w:t>
      </w:r>
      <w:r>
        <w:rPr>
          <w:rFonts w:ascii="SimSun" w:hAnsi="SimSun" w:eastAsia="SimSun" w:cs="SimSun"/>
          <w:sz w:val="19"/>
          <w:szCs w:val="19"/>
          <w:spacing w:val="8"/>
        </w:rPr>
        <w:t>安全 </w:t>
      </w:r>
      <w:r>
        <w:rPr>
          <w:rFonts w:ascii="SimSun" w:hAnsi="SimSun" w:eastAsia="SimSun" w:cs="SimSun"/>
          <w:sz w:val="19"/>
          <w:szCs w:val="19"/>
          <w:spacing w:val="10"/>
        </w:rPr>
        <w:t>与政治稳定，网络平台必须遵守的合规经营要求在扩大，且要考</w:t>
      </w:r>
      <w:r>
        <w:rPr>
          <w:rFonts w:ascii="SimSun" w:hAnsi="SimSun" w:eastAsia="SimSun" w:cs="SimSun"/>
          <w:sz w:val="19"/>
          <w:szCs w:val="19"/>
          <w:spacing w:val="9"/>
        </w:rPr>
        <w:t>虑国</w:t>
      </w:r>
      <w:r>
        <w:rPr>
          <w:rFonts w:ascii="SimSun" w:hAnsi="SimSun" w:eastAsia="SimSun" w:cs="SimSun"/>
          <w:sz w:val="19"/>
          <w:szCs w:val="19"/>
        </w:rPr>
        <w:t xml:space="preserve"> </w:t>
      </w:r>
      <w:r>
        <w:rPr>
          <w:rFonts w:ascii="SimSun" w:hAnsi="SimSun" w:eastAsia="SimSun" w:cs="SimSun"/>
          <w:sz w:val="19"/>
          <w:szCs w:val="19"/>
          <w:spacing w:val="9"/>
        </w:rPr>
        <w:t>内和国外的政策、法律、政治环境变化。对从事跨国经营的平台</w:t>
      </w:r>
      <w:r>
        <w:rPr>
          <w:rFonts w:ascii="SimSun" w:hAnsi="SimSun" w:eastAsia="SimSun" w:cs="SimSun"/>
          <w:sz w:val="19"/>
          <w:szCs w:val="19"/>
          <w:spacing w:val="8"/>
        </w:rPr>
        <w:t>企业 </w:t>
      </w:r>
      <w:r>
        <w:rPr>
          <w:rFonts w:ascii="SimSun" w:hAnsi="SimSun" w:eastAsia="SimSun" w:cs="SimSun"/>
          <w:sz w:val="19"/>
          <w:szCs w:val="19"/>
          <w:spacing w:val="9"/>
        </w:rPr>
        <w:t>而言，因可利用平台从事交易的实体众多且具有跨国性，合规责</w:t>
      </w:r>
      <w:r>
        <w:rPr>
          <w:rFonts w:ascii="SimSun" w:hAnsi="SimSun" w:eastAsia="SimSun" w:cs="SimSun"/>
          <w:sz w:val="19"/>
          <w:szCs w:val="19"/>
          <w:spacing w:val="8"/>
        </w:rPr>
        <w:t>任更 </w:t>
      </w:r>
      <w:r>
        <w:rPr>
          <w:rFonts w:ascii="SimSun" w:hAnsi="SimSun" w:eastAsia="SimSun" w:cs="SimSun"/>
          <w:sz w:val="19"/>
          <w:szCs w:val="19"/>
          <w:spacing w:val="22"/>
        </w:rPr>
        <w:t>高。将企业注册地(国)和交易目的地(国)的相关规则内化为企业</w:t>
      </w:r>
    </w:p>
    <w:p>
      <w:pPr>
        <w:spacing w:line="218" w:lineRule="auto"/>
        <w:rPr>
          <w:rFonts w:ascii="SimSun" w:hAnsi="SimSun" w:eastAsia="SimSun" w:cs="SimSun"/>
          <w:sz w:val="19"/>
          <w:szCs w:val="19"/>
        </w:rPr>
      </w:pPr>
      <w:r>
        <w:rPr>
          <w:rFonts w:ascii="SimSun" w:hAnsi="SimSun" w:eastAsia="SimSun" w:cs="SimSun"/>
          <w:sz w:val="19"/>
          <w:szCs w:val="19"/>
          <w:spacing w:val="6"/>
        </w:rPr>
        <w:t>自我治理的一环，才有望实现平稳发展。</w:t>
      </w:r>
    </w:p>
    <w:p>
      <w:pPr>
        <w:spacing w:line="218" w:lineRule="auto"/>
        <w:sectPr>
          <w:headerReference w:type="default" r:id="rId318"/>
          <w:pgSz w:w="7330" w:h="12480"/>
          <w:pgMar w:top="548" w:right="597" w:bottom="400" w:left="680" w:header="385" w:footer="0" w:gutter="0"/>
        </w:sectPr>
        <w:rPr>
          <w:rFonts w:ascii="SimSun" w:hAnsi="SimSun" w:eastAsia="SimSun" w:cs="SimSun"/>
          <w:sz w:val="19"/>
          <w:szCs w:val="19"/>
        </w:rPr>
      </w:pPr>
    </w:p>
    <w:p>
      <w:pPr>
        <w:ind w:left="1547"/>
        <w:spacing w:before="213" w:line="221" w:lineRule="auto"/>
        <w:rPr>
          <w:rFonts w:ascii="SimSun" w:hAnsi="SimSun" w:eastAsia="SimSun" w:cs="SimSun"/>
          <w:sz w:val="12"/>
          <w:szCs w:val="12"/>
        </w:rPr>
      </w:pPr>
      <w:r>
        <w:drawing>
          <wp:anchor distT="0" distB="0" distL="0" distR="0" simplePos="0" relativeHeight="254396416" behindDoc="0" locked="0" layoutInCell="0" allowOverlap="1">
            <wp:simplePos x="0" y="0"/>
            <wp:positionH relativeFrom="page">
              <wp:posOffset>260328</wp:posOffset>
            </wp:positionH>
            <wp:positionV relativeFrom="page">
              <wp:posOffset>6877057</wp:posOffset>
            </wp:positionV>
            <wp:extent cx="1168431" cy="6350"/>
            <wp:effectExtent l="0" t="0" r="0" b="0"/>
            <wp:wrapNone/>
            <wp:docPr id="224" name="IM 224"/>
            <wp:cNvGraphicFramePr/>
            <a:graphic>
              <a:graphicData uri="http://schemas.openxmlformats.org/drawingml/2006/picture">
                <pic:pic>
                  <pic:nvPicPr>
                    <pic:cNvPr id="224" name="IM 224"/>
                    <pic:cNvPicPr/>
                  </pic:nvPicPr>
                  <pic:blipFill>
                    <a:blip r:embed="rId319"/>
                    <a:stretch>
                      <a:fillRect/>
                    </a:stretch>
                  </pic:blipFill>
                  <pic:spPr>
                    <a:xfrm rot="0">
                      <a:off x="0" y="0"/>
                      <a:ext cx="1168431" cy="6350"/>
                    </a:xfrm>
                    <a:prstGeom prst="rect">
                      <a:avLst/>
                    </a:prstGeom>
                  </pic:spPr>
                </pic:pic>
              </a:graphicData>
            </a:graphic>
          </wp:anchor>
        </w:drawing>
      </w:r>
      <w:r>
        <w:rPr>
          <w:rFonts w:ascii="SimHei" w:hAnsi="SimHei" w:eastAsia="SimHei" w:cs="SimHei"/>
          <w:sz w:val="19"/>
          <w:szCs w:val="19"/>
          <w:b/>
          <w:bCs/>
          <w:spacing w:val="-27"/>
        </w:rPr>
        <w:t>第七章</w:t>
      </w:r>
      <w:r>
        <w:rPr>
          <w:rFonts w:ascii="SimHei" w:hAnsi="SimHei" w:eastAsia="SimHei" w:cs="SimHei"/>
          <w:sz w:val="19"/>
          <w:szCs w:val="19"/>
          <w:spacing w:val="-27"/>
        </w:rPr>
        <w:t xml:space="preserve">  </w:t>
      </w:r>
      <w:r>
        <w:rPr>
          <w:rFonts w:ascii="SimHei" w:hAnsi="SimHei" w:eastAsia="SimHei" w:cs="SimHei"/>
          <w:sz w:val="19"/>
          <w:szCs w:val="19"/>
          <w:b/>
          <w:bCs/>
          <w:spacing w:val="-27"/>
        </w:rPr>
        <w:t>数字经济治理：国际政治经济学视角</w:t>
      </w:r>
      <w:r>
        <w:rPr>
          <w:rFonts w:ascii="SimHei" w:hAnsi="SimHei" w:eastAsia="SimHei" w:cs="SimHei"/>
          <w:sz w:val="19"/>
          <w:szCs w:val="19"/>
          <w:spacing w:val="-27"/>
        </w:rPr>
        <w:t xml:space="preserve">          </w:t>
      </w:r>
      <w:r>
        <w:rPr>
          <w:rFonts w:ascii="SimHei" w:hAnsi="SimHei" w:eastAsia="SimHei" w:cs="SimHei"/>
          <w:sz w:val="19"/>
          <w:szCs w:val="19"/>
          <w:spacing w:val="-28"/>
        </w:rPr>
        <w:t xml:space="preserve">     </w:t>
      </w:r>
      <w:r>
        <w:rPr>
          <w:rFonts w:ascii="SimSun" w:hAnsi="SimSun" w:eastAsia="SimSun" w:cs="SimSun"/>
          <w:sz w:val="12"/>
          <w:szCs w:val="12"/>
          <w:spacing w:val="-2"/>
          <w:position w:val="-2"/>
        </w:rPr>
        <w:t>257</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right="77" w:firstLine="485"/>
        <w:spacing w:before="61" w:line="350" w:lineRule="auto"/>
        <w:jc w:val="both"/>
        <w:rPr>
          <w:rFonts w:ascii="SimSun" w:hAnsi="SimSun" w:eastAsia="SimSun" w:cs="SimSun"/>
          <w:sz w:val="19"/>
          <w:szCs w:val="19"/>
        </w:rPr>
      </w:pPr>
      <w:r>
        <w:rPr>
          <w:rFonts w:ascii="SimSun" w:hAnsi="SimSun" w:eastAsia="SimSun" w:cs="SimSun"/>
          <w:sz w:val="19"/>
          <w:szCs w:val="19"/>
          <w:spacing w:val="17"/>
        </w:rPr>
        <w:t>在跨国经济行为中，网络平台企业合规的必要途径之一是取得</w:t>
      </w:r>
      <w:r>
        <w:rPr>
          <w:rFonts w:ascii="SimSun" w:hAnsi="SimSun" w:eastAsia="SimSun" w:cs="SimSun"/>
          <w:sz w:val="19"/>
          <w:szCs w:val="19"/>
          <w:spacing w:val="7"/>
        </w:rPr>
        <w:t xml:space="preserve"> </w:t>
      </w:r>
      <w:r>
        <w:rPr>
          <w:rFonts w:ascii="SimSun" w:hAnsi="SimSun" w:eastAsia="SimSun" w:cs="SimSun"/>
          <w:sz w:val="19"/>
          <w:szCs w:val="19"/>
          <w:spacing w:val="25"/>
        </w:rPr>
        <w:t>国外同业企业的认可。例如，2021年5月到8月美国零售</w:t>
      </w:r>
      <w:r>
        <w:rPr>
          <w:rFonts w:ascii="SimSun" w:hAnsi="SimSun" w:eastAsia="SimSun" w:cs="SimSun"/>
          <w:sz w:val="19"/>
          <w:szCs w:val="19"/>
          <w:spacing w:val="24"/>
        </w:rPr>
        <w:t>巨头亚马</w:t>
      </w:r>
      <w:r>
        <w:rPr>
          <w:rFonts w:ascii="SimSun" w:hAnsi="SimSun" w:eastAsia="SimSun" w:cs="SimSun"/>
          <w:sz w:val="19"/>
          <w:szCs w:val="19"/>
        </w:rPr>
        <w:t xml:space="preserve"> </w:t>
      </w:r>
      <w:r>
        <w:rPr>
          <w:rFonts w:ascii="SimSun" w:hAnsi="SimSun" w:eastAsia="SimSun" w:cs="SimSun"/>
          <w:sz w:val="19"/>
          <w:szCs w:val="19"/>
          <w:spacing w:val="13"/>
        </w:rPr>
        <w:t>逊援引其《卖家行为准则》等格式条款，指责利用其平台</w:t>
      </w:r>
      <w:r>
        <w:rPr>
          <w:rFonts w:ascii="SimSun" w:hAnsi="SimSun" w:eastAsia="SimSun" w:cs="SimSun"/>
          <w:sz w:val="19"/>
          <w:szCs w:val="19"/>
          <w:spacing w:val="12"/>
        </w:rPr>
        <w:t>的中国卖家</w:t>
      </w:r>
      <w:r>
        <w:rPr>
          <w:rFonts w:ascii="SimSun" w:hAnsi="SimSun" w:eastAsia="SimSun" w:cs="SimSun"/>
          <w:sz w:val="19"/>
          <w:szCs w:val="19"/>
        </w:rPr>
        <w:t xml:space="preserve"> </w:t>
      </w:r>
      <w:r>
        <w:rPr>
          <w:rFonts w:ascii="SimSun" w:hAnsi="SimSun" w:eastAsia="SimSun" w:cs="SimSun"/>
          <w:sz w:val="19"/>
          <w:szCs w:val="19"/>
          <w:spacing w:val="5"/>
        </w:rPr>
        <w:t>“不当使用评论功能”“向消费者索取虚假评论”“通过礼品卡操纵评</w:t>
      </w:r>
      <w:r>
        <w:rPr>
          <w:rFonts w:ascii="SimSun" w:hAnsi="SimSun" w:eastAsia="SimSun" w:cs="SimSun"/>
          <w:sz w:val="19"/>
          <w:szCs w:val="19"/>
          <w:spacing w:val="16"/>
        </w:rPr>
        <w:t xml:space="preserve"> </w:t>
      </w:r>
      <w:r>
        <w:rPr>
          <w:rFonts w:ascii="SimSun" w:hAnsi="SimSun" w:eastAsia="SimSun" w:cs="SimSun"/>
          <w:sz w:val="19"/>
          <w:szCs w:val="19"/>
          <w:spacing w:val="19"/>
        </w:rPr>
        <w:t>论”,进而封闭后者的交易渠道，受影响的中国企业高达5万个。媒</w:t>
      </w:r>
      <w:r>
        <w:rPr>
          <w:rFonts w:ascii="SimSun" w:hAnsi="SimSun" w:eastAsia="SimSun" w:cs="SimSun"/>
          <w:sz w:val="19"/>
          <w:szCs w:val="19"/>
          <w:spacing w:val="1"/>
        </w:rPr>
        <w:t xml:space="preserve"> </w:t>
      </w:r>
      <w:r>
        <w:rPr>
          <w:rFonts w:ascii="SimSun" w:hAnsi="SimSun" w:eastAsia="SimSun" w:cs="SimSun"/>
          <w:sz w:val="19"/>
          <w:szCs w:val="19"/>
          <w:spacing w:val="12"/>
        </w:rPr>
        <w:t>体报道称自建独立网站是一些企业考虑的选项之一。其实，加强企业</w:t>
      </w:r>
    </w:p>
    <w:p>
      <w:pPr>
        <w:ind w:left="94"/>
        <w:spacing w:line="218" w:lineRule="auto"/>
        <w:rPr>
          <w:rFonts w:ascii="SimSun" w:hAnsi="SimSun" w:eastAsia="SimSun" w:cs="SimSun"/>
          <w:sz w:val="19"/>
          <w:szCs w:val="19"/>
        </w:rPr>
      </w:pPr>
      <w:r>
        <w:rPr>
          <w:rFonts w:ascii="SimSun" w:hAnsi="SimSun" w:eastAsia="SimSun" w:cs="SimSun"/>
          <w:sz w:val="19"/>
          <w:szCs w:val="19"/>
          <w:spacing w:val="6"/>
        </w:rPr>
        <w:t>自身经营伦理建设才是更为主动的应对之法。</w:t>
      </w:r>
    </w:p>
    <w:p>
      <w:pPr>
        <w:ind w:left="94" w:right="76" w:firstLine="390"/>
        <w:spacing w:before="134" w:line="350" w:lineRule="auto"/>
        <w:jc w:val="both"/>
        <w:rPr>
          <w:rFonts w:ascii="SimSun" w:hAnsi="SimSun" w:eastAsia="SimSun" w:cs="SimSun"/>
          <w:sz w:val="19"/>
          <w:szCs w:val="19"/>
        </w:rPr>
      </w:pPr>
      <w:r>
        <w:rPr>
          <w:rFonts w:ascii="SimSun" w:hAnsi="SimSun" w:eastAsia="SimSun" w:cs="SimSun"/>
          <w:sz w:val="19"/>
          <w:szCs w:val="19"/>
          <w:spacing w:val="10"/>
        </w:rPr>
        <w:t>中国平台企业通过加入国际同行协会来提高竞争力，在其自我治</w:t>
      </w:r>
      <w:r>
        <w:rPr>
          <w:rFonts w:ascii="SimSun" w:hAnsi="SimSun" w:eastAsia="SimSun" w:cs="SimSun"/>
          <w:sz w:val="19"/>
          <w:szCs w:val="19"/>
          <w:spacing w:val="5"/>
        </w:rPr>
        <w:t xml:space="preserve"> </w:t>
      </w:r>
      <w:r>
        <w:rPr>
          <w:rFonts w:ascii="SimSun" w:hAnsi="SimSun" w:eastAsia="SimSun" w:cs="SimSun"/>
          <w:sz w:val="19"/>
          <w:szCs w:val="19"/>
          <w:spacing w:val="9"/>
        </w:rPr>
        <w:t>理中越来越重要。行业标准与国家标准、企业标准共同构成国际技术</w:t>
      </w:r>
      <w:r>
        <w:rPr>
          <w:rFonts w:ascii="SimSun" w:hAnsi="SimSun" w:eastAsia="SimSun" w:cs="SimSun"/>
          <w:sz w:val="19"/>
          <w:szCs w:val="19"/>
          <w:spacing w:val="18"/>
        </w:rPr>
        <w:t xml:space="preserve"> </w:t>
      </w:r>
      <w:r>
        <w:rPr>
          <w:rFonts w:ascii="SimSun" w:hAnsi="SimSun" w:eastAsia="SimSun" w:cs="SimSun"/>
          <w:sz w:val="19"/>
          <w:szCs w:val="19"/>
          <w:spacing w:val="10"/>
        </w:rPr>
        <w:t>标准的生态。应用于互联网的所有技术，行业标准最为关键。这</w:t>
      </w:r>
      <w:r>
        <w:rPr>
          <w:rFonts w:ascii="SimSun" w:hAnsi="SimSun" w:eastAsia="SimSun" w:cs="SimSun"/>
          <w:sz w:val="19"/>
          <w:szCs w:val="19"/>
          <w:spacing w:val="9"/>
        </w:rPr>
        <w:t>是因</w:t>
      </w:r>
      <w:r>
        <w:rPr>
          <w:rFonts w:ascii="SimSun" w:hAnsi="SimSun" w:eastAsia="SimSun" w:cs="SimSun"/>
          <w:sz w:val="19"/>
          <w:szCs w:val="19"/>
        </w:rPr>
        <w:t xml:space="preserve"> </w:t>
      </w:r>
      <w:r>
        <w:rPr>
          <w:rFonts w:ascii="SimSun" w:hAnsi="SimSun" w:eastAsia="SimSun" w:cs="SimSun"/>
          <w:sz w:val="19"/>
          <w:szCs w:val="19"/>
          <w:spacing w:val="9"/>
        </w:rPr>
        <w:t>为企业标准和国家标准在国际上竞争成功的关键是对知识产权以及开</w:t>
      </w:r>
    </w:p>
    <w:p>
      <w:pPr>
        <w:ind w:left="94"/>
        <w:spacing w:before="1" w:line="219" w:lineRule="auto"/>
        <w:rPr>
          <w:rFonts w:ascii="SimSun" w:hAnsi="SimSun" w:eastAsia="SimSun" w:cs="SimSun"/>
          <w:sz w:val="19"/>
          <w:szCs w:val="19"/>
        </w:rPr>
      </w:pPr>
      <w:r>
        <w:rPr>
          <w:rFonts w:ascii="SimSun" w:hAnsi="SimSun" w:eastAsia="SimSun" w:cs="SimSun"/>
          <w:sz w:val="19"/>
          <w:szCs w:val="19"/>
          <w:spacing w:val="7"/>
        </w:rPr>
        <w:t>放且拥有体系结构和接口的标准的控制能力。</w:t>
      </w:r>
    </w:p>
    <w:p>
      <w:pPr>
        <w:ind w:left="94" w:firstLine="390"/>
        <w:spacing w:before="142" w:line="349" w:lineRule="auto"/>
        <w:jc w:val="both"/>
        <w:rPr>
          <w:rFonts w:ascii="SimSun" w:hAnsi="SimSun" w:eastAsia="SimSun" w:cs="SimSun"/>
          <w:sz w:val="19"/>
          <w:szCs w:val="19"/>
        </w:rPr>
      </w:pPr>
      <w:r>
        <w:rPr>
          <w:rFonts w:ascii="SimSun" w:hAnsi="SimSun" w:eastAsia="SimSun" w:cs="SimSun"/>
          <w:sz w:val="19"/>
          <w:szCs w:val="19"/>
          <w:spacing w:val="10"/>
        </w:rPr>
        <w:t>在国际上，围绕行业标准的磨合，自愿结社是基本模式。国际电</w:t>
      </w:r>
      <w:r>
        <w:rPr>
          <w:rFonts w:ascii="SimSun" w:hAnsi="SimSun" w:eastAsia="SimSun" w:cs="SimSun"/>
          <w:sz w:val="19"/>
          <w:szCs w:val="19"/>
        </w:rPr>
        <w:t xml:space="preserve">  </w:t>
      </w:r>
      <w:r>
        <w:rPr>
          <w:rFonts w:ascii="SimSun" w:hAnsi="SimSun" w:eastAsia="SimSun" w:cs="SimSun"/>
          <w:sz w:val="19"/>
          <w:szCs w:val="19"/>
          <w:spacing w:val="10"/>
        </w:rPr>
        <w:t>工委员会</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IEC</w:t>
      </w:r>
      <w:r>
        <w:rPr>
          <w:rFonts w:ascii="Times New Roman" w:hAnsi="Times New Roman" w:eastAsia="Times New Roman" w:cs="Times New Roman"/>
          <w:sz w:val="19"/>
          <w:szCs w:val="19"/>
          <w:spacing w:val="10"/>
        </w:rPr>
        <w:t>)    </w:t>
      </w:r>
      <w:r>
        <w:rPr>
          <w:rFonts w:ascii="SimSun" w:hAnsi="SimSun" w:eastAsia="SimSun" w:cs="SimSun"/>
          <w:sz w:val="19"/>
          <w:szCs w:val="19"/>
          <w:spacing w:val="10"/>
        </w:rPr>
        <w:t>和国际标准组织</w:t>
      </w:r>
      <w:r>
        <w:rPr>
          <w:rFonts w:ascii="SimSun" w:hAnsi="SimSun" w:eastAsia="SimSun" w:cs="SimSun"/>
          <w:sz w:val="19"/>
          <w:szCs w:val="19"/>
          <w:spacing w:val="-46"/>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ISO</w:t>
      </w:r>
      <w:r>
        <w:rPr>
          <w:rFonts w:ascii="Times New Roman" w:hAnsi="Times New Roman" w:eastAsia="Times New Roman" w:cs="Times New Roman"/>
          <w:sz w:val="19"/>
          <w:szCs w:val="19"/>
          <w:spacing w:val="10"/>
        </w:rPr>
        <w:t>)   </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是最有影响力的两大组织。</w:t>
      </w:r>
      <w:r>
        <w:rPr>
          <w:rFonts w:ascii="SimSun" w:hAnsi="SimSun" w:eastAsia="SimSun" w:cs="SimSun"/>
          <w:sz w:val="19"/>
          <w:szCs w:val="19"/>
        </w:rPr>
        <w:t xml:space="preserve"> </w:t>
      </w:r>
      <w:r>
        <w:rPr>
          <w:rFonts w:ascii="SimSun" w:hAnsi="SimSun" w:eastAsia="SimSun" w:cs="SimSun"/>
          <w:sz w:val="19"/>
          <w:szCs w:val="19"/>
          <w:spacing w:val="7"/>
        </w:rPr>
        <w:t>根据一项统计，中国提交</w:t>
      </w:r>
      <w:r>
        <w:rPr>
          <w:rFonts w:ascii="SimSun" w:hAnsi="SimSun" w:eastAsia="SimSun" w:cs="SimSun"/>
          <w:sz w:val="19"/>
          <w:szCs w:val="19"/>
          <w:spacing w:val="-25"/>
        </w:rPr>
        <w:t xml:space="preserve"> </w:t>
      </w:r>
      <w:r>
        <w:rPr>
          <w:rFonts w:ascii="Times New Roman" w:hAnsi="Times New Roman" w:eastAsia="Times New Roman" w:cs="Times New Roman"/>
          <w:sz w:val="19"/>
          <w:szCs w:val="19"/>
        </w:rPr>
        <w:t>ISO</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7"/>
        </w:rPr>
        <w:t>、</w:t>
      </w:r>
      <w:r>
        <w:rPr>
          <w:rFonts w:ascii="Times New Roman" w:hAnsi="Times New Roman" w:eastAsia="Times New Roman" w:cs="Times New Roman"/>
          <w:sz w:val="19"/>
          <w:szCs w:val="19"/>
        </w:rPr>
        <w:t>IE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并正式发布的国际标准占比仅为</w:t>
      </w:r>
      <w:r>
        <w:rPr>
          <w:rFonts w:ascii="SimSun" w:hAnsi="SimSun" w:eastAsia="SimSun" w:cs="SimSun"/>
          <w:sz w:val="19"/>
          <w:szCs w:val="19"/>
        </w:rPr>
        <w:t xml:space="preserve">  </w:t>
      </w:r>
      <w:r>
        <w:rPr>
          <w:rFonts w:ascii="SimSun" w:hAnsi="SimSun" w:eastAsia="SimSun" w:cs="SimSun"/>
          <w:sz w:val="19"/>
          <w:szCs w:val="19"/>
          <w:spacing w:val="17"/>
        </w:rPr>
        <w:t>1.58%,承担的</w:t>
      </w:r>
      <w:r>
        <w:rPr>
          <w:rFonts w:ascii="Times New Roman" w:hAnsi="Times New Roman" w:eastAsia="Times New Roman" w:cs="Times New Roman"/>
          <w:sz w:val="19"/>
          <w:szCs w:val="19"/>
        </w:rPr>
        <w:t>ISO</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7"/>
        </w:rPr>
        <w:t>、</w:t>
      </w:r>
      <w:r>
        <w:rPr>
          <w:rFonts w:ascii="Times New Roman" w:hAnsi="Times New Roman" w:eastAsia="Times New Roman" w:cs="Times New Roman"/>
          <w:sz w:val="19"/>
          <w:szCs w:val="19"/>
        </w:rPr>
        <w:t>IEC</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技术机构秘书处工作数量仍低于德国、美</w:t>
      </w:r>
      <w:r>
        <w:rPr>
          <w:rFonts w:ascii="SimSun" w:hAnsi="SimSun" w:eastAsia="SimSun" w:cs="SimSun"/>
          <w:sz w:val="19"/>
          <w:szCs w:val="19"/>
        </w:rPr>
        <w:t xml:space="preserve">  </w:t>
      </w:r>
      <w:r>
        <w:rPr>
          <w:rFonts w:ascii="SimSun" w:hAnsi="SimSun" w:eastAsia="SimSun" w:cs="SimSun"/>
          <w:sz w:val="19"/>
          <w:szCs w:val="19"/>
          <w:spacing w:val="9"/>
        </w:rPr>
        <w:t>国、日本等发达国家。①与这种彼强我弱判断形成严重对照的是，近</w:t>
      </w:r>
      <w:r>
        <w:rPr>
          <w:rFonts w:ascii="SimSun" w:hAnsi="SimSun" w:eastAsia="SimSun" w:cs="SimSun"/>
          <w:sz w:val="19"/>
          <w:szCs w:val="19"/>
          <w:spacing w:val="8"/>
        </w:rPr>
        <w:t xml:space="preserve">  </w:t>
      </w:r>
      <w:r>
        <w:rPr>
          <w:rFonts w:ascii="SimSun" w:hAnsi="SimSun" w:eastAsia="SimSun" w:cs="SimSun"/>
          <w:sz w:val="19"/>
          <w:szCs w:val="19"/>
          <w:spacing w:val="9"/>
        </w:rPr>
        <w:t>年来越来越多的美欧智库发布研究报告，将中国在国际标准，特别是  </w:t>
      </w:r>
      <w:r>
        <w:rPr>
          <w:rFonts w:ascii="SimSun" w:hAnsi="SimSun" w:eastAsia="SimSun" w:cs="SimSun"/>
          <w:sz w:val="19"/>
          <w:szCs w:val="19"/>
          <w:spacing w:val="10"/>
        </w:rPr>
        <w:t>电子技术标准领域的努力描绘成一种地缘政治</w:t>
      </w:r>
      <w:r>
        <w:rPr>
          <w:rFonts w:ascii="SimSun" w:hAnsi="SimSun" w:eastAsia="SimSun" w:cs="SimSun"/>
          <w:sz w:val="19"/>
          <w:szCs w:val="19"/>
          <w:spacing w:val="9"/>
        </w:rPr>
        <w:t>挑战甚至威胁。近年中 </w:t>
      </w:r>
      <w:r>
        <w:rPr>
          <w:rFonts w:ascii="SimSun" w:hAnsi="SimSun" w:eastAsia="SimSun" w:cs="SimSun"/>
          <w:sz w:val="19"/>
          <w:szCs w:val="19"/>
          <w:spacing w:val="13"/>
        </w:rPr>
        <w:t>美两国围绕字节跳动公司的</w:t>
      </w:r>
      <w:r>
        <w:rPr>
          <w:rFonts w:ascii="SimSun" w:hAnsi="SimSun" w:eastAsia="SimSun" w:cs="SimSun"/>
          <w:sz w:val="19"/>
          <w:szCs w:val="19"/>
          <w:spacing w:val="-31"/>
        </w:rPr>
        <w:t xml:space="preserve"> </w:t>
      </w:r>
      <w:r>
        <w:rPr>
          <w:rFonts w:ascii="Times New Roman" w:hAnsi="Times New Roman" w:eastAsia="Times New Roman" w:cs="Times New Roman"/>
          <w:sz w:val="19"/>
          <w:szCs w:val="19"/>
        </w:rPr>
        <w:t>TikTok</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13"/>
        </w:rPr>
        <w:t>算法监管权所发生的争议，给企</w:t>
      </w:r>
      <w:r>
        <w:rPr>
          <w:rFonts w:ascii="SimSun" w:hAnsi="SimSun" w:eastAsia="SimSun" w:cs="SimSun"/>
          <w:sz w:val="19"/>
          <w:szCs w:val="19"/>
        </w:rPr>
        <w:t xml:space="preserve">  </w:t>
      </w:r>
      <w:r>
        <w:rPr>
          <w:rFonts w:ascii="SimSun" w:hAnsi="SimSun" w:eastAsia="SimSun" w:cs="SimSun"/>
          <w:sz w:val="19"/>
          <w:szCs w:val="19"/>
          <w:spacing w:val="12"/>
        </w:rPr>
        <w:t>业的跨国技术应用事关国家间的地缘政治竞争这一判断提供了佐证。</w:t>
      </w:r>
      <w:r>
        <w:rPr>
          <w:rFonts w:ascii="SimSun" w:hAnsi="SimSun" w:eastAsia="SimSun" w:cs="SimSun"/>
          <w:sz w:val="19"/>
          <w:szCs w:val="19"/>
          <w:spacing w:val="14"/>
        </w:rPr>
        <w:t xml:space="preserve"> </w:t>
      </w:r>
      <w:r>
        <w:rPr>
          <w:rFonts w:ascii="SimSun" w:hAnsi="SimSun" w:eastAsia="SimSun" w:cs="SimSun"/>
          <w:sz w:val="19"/>
          <w:szCs w:val="19"/>
          <w:spacing w:val="9"/>
        </w:rPr>
        <w:t>特别是人工智能技术领域，因其军民两用的本质特性，从硬技术的开</w:t>
      </w:r>
    </w:p>
    <w:p>
      <w:pPr>
        <w:ind w:left="94"/>
        <w:spacing w:line="219" w:lineRule="auto"/>
        <w:rPr>
          <w:rFonts w:ascii="SimSun" w:hAnsi="SimSun" w:eastAsia="SimSun" w:cs="SimSun"/>
          <w:sz w:val="19"/>
          <w:szCs w:val="19"/>
        </w:rPr>
      </w:pPr>
      <w:r>
        <w:rPr>
          <w:rFonts w:ascii="SimSun" w:hAnsi="SimSun" w:eastAsia="SimSun" w:cs="SimSun"/>
          <w:sz w:val="19"/>
          <w:szCs w:val="19"/>
          <w:spacing w:val="8"/>
        </w:rPr>
        <w:t>发到行业标准的国际化，都将继续是国际竞争的焦点。</w:t>
      </w:r>
    </w:p>
    <w:p>
      <w:pPr>
        <w:ind w:left="485"/>
        <w:spacing w:before="155" w:line="219" w:lineRule="auto"/>
        <w:rPr>
          <w:rFonts w:ascii="SimSun" w:hAnsi="SimSun" w:eastAsia="SimSun" w:cs="SimSun"/>
          <w:sz w:val="19"/>
          <w:szCs w:val="19"/>
        </w:rPr>
      </w:pPr>
      <w:r>
        <w:rPr>
          <w:rFonts w:ascii="SimSun" w:hAnsi="SimSun" w:eastAsia="SimSun" w:cs="SimSun"/>
          <w:sz w:val="19"/>
          <w:szCs w:val="19"/>
          <w:spacing w:val="10"/>
        </w:rPr>
        <w:t>此外，与平台技术运用所伴生的伦理道德标准既是国内治理的一</w:t>
      </w:r>
    </w:p>
    <w:p>
      <w:pPr>
        <w:pStyle w:val="BodyText"/>
        <w:spacing w:line="256" w:lineRule="auto"/>
        <w:rPr/>
      </w:pPr>
      <w:r/>
    </w:p>
    <w:p>
      <w:pPr>
        <w:pStyle w:val="BodyText"/>
        <w:spacing w:line="256" w:lineRule="auto"/>
        <w:rPr/>
      </w:pPr>
      <w:r/>
    </w:p>
    <w:p>
      <w:pPr>
        <w:ind w:left="405" w:right="63" w:hanging="310"/>
        <w:spacing w:before="62" w:line="250" w:lineRule="auto"/>
        <w:rPr>
          <w:rFonts w:ascii="SimSun" w:hAnsi="SimSun" w:eastAsia="SimSun" w:cs="SimSun"/>
          <w:sz w:val="19"/>
          <w:szCs w:val="19"/>
        </w:rPr>
      </w:pPr>
      <w:r>
        <w:rPr>
          <w:rFonts w:ascii="SimSun" w:hAnsi="SimSun" w:eastAsia="SimSun" w:cs="SimSun"/>
          <w:sz w:val="19"/>
          <w:szCs w:val="19"/>
          <w:spacing w:val="-19"/>
          <w:w w:val="96"/>
        </w:rPr>
        <w:t>①</w:t>
      </w:r>
      <w:r>
        <w:rPr>
          <w:rFonts w:ascii="SimSun" w:hAnsi="SimSun" w:eastAsia="SimSun" w:cs="SimSun"/>
          <w:sz w:val="19"/>
          <w:szCs w:val="19"/>
          <w:spacing w:val="52"/>
        </w:rPr>
        <w:t xml:space="preserve"> </w:t>
      </w:r>
      <w:r>
        <w:rPr>
          <w:rFonts w:ascii="KaiTi" w:hAnsi="KaiTi" w:eastAsia="KaiTi" w:cs="KaiTi"/>
          <w:sz w:val="19"/>
          <w:szCs w:val="19"/>
          <w:spacing w:val="-19"/>
          <w:w w:val="96"/>
        </w:rPr>
        <w:t>杜传忠，陈维宣.全球新一代信息技术标准竞争态势及中国的应对战略.社会科学</w:t>
      </w:r>
      <w:r>
        <w:rPr>
          <w:rFonts w:ascii="KaiTi" w:hAnsi="KaiTi" w:eastAsia="KaiTi" w:cs="KaiTi"/>
          <w:sz w:val="19"/>
          <w:szCs w:val="19"/>
        </w:rPr>
        <w:t xml:space="preserve"> </w:t>
      </w:r>
      <w:r>
        <w:rPr>
          <w:rFonts w:ascii="SimSun" w:hAnsi="SimSun" w:eastAsia="SimSun" w:cs="SimSun"/>
          <w:sz w:val="19"/>
          <w:szCs w:val="19"/>
          <w:spacing w:val="-3"/>
        </w:rPr>
        <w:t>战线，2019(6):99.</w:t>
      </w:r>
    </w:p>
    <w:p>
      <w:pPr>
        <w:spacing w:line="250" w:lineRule="auto"/>
        <w:sectPr>
          <w:headerReference w:type="default" r:id="rId1"/>
          <w:pgSz w:w="7330" w:h="12480"/>
          <w:pgMar w:top="400" w:right="844" w:bottom="400" w:left="314" w:header="0" w:footer="0" w:gutter="0"/>
        </w:sectPr>
        <w:rPr>
          <w:rFonts w:ascii="SimSun" w:hAnsi="SimSun" w:eastAsia="SimSun" w:cs="SimSun"/>
          <w:sz w:val="19"/>
          <w:szCs w:val="19"/>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spacing w:before="68" w:line="300" w:lineRule="auto"/>
        <w:jc w:val="both"/>
        <w:rPr>
          <w:rFonts w:ascii="SimSun" w:hAnsi="SimSun" w:eastAsia="SimSun" w:cs="SimSun"/>
          <w:sz w:val="21"/>
          <w:szCs w:val="21"/>
        </w:rPr>
      </w:pPr>
      <w:r>
        <w:rPr>
          <w:rFonts w:ascii="SimSun" w:hAnsi="SimSun" w:eastAsia="SimSun" w:cs="SimSun"/>
          <w:sz w:val="21"/>
          <w:szCs w:val="21"/>
          <w:spacing w:val="-10"/>
        </w:rPr>
        <w:t>环，也已成为国际竞争的新焦点。从生物技术</w:t>
      </w:r>
      <w:r>
        <w:rPr>
          <w:rFonts w:ascii="SimSun" w:hAnsi="SimSun" w:eastAsia="SimSun" w:cs="SimSun"/>
          <w:sz w:val="21"/>
          <w:szCs w:val="21"/>
          <w:spacing w:val="-11"/>
        </w:rPr>
        <w:t>到人工智能，第四次工 </w:t>
      </w:r>
      <w:r>
        <w:rPr>
          <w:rFonts w:ascii="SimSun" w:hAnsi="SimSun" w:eastAsia="SimSun" w:cs="SimSun"/>
          <w:sz w:val="21"/>
          <w:szCs w:val="21"/>
          <w:spacing w:val="-8"/>
        </w:rPr>
        <w:t>业革命引发的爆炸式创新使有关伦理道德问题的讨论变得至关重要，</w:t>
      </w:r>
      <w:r>
        <w:rPr>
          <w:rFonts w:ascii="SimSun" w:hAnsi="SimSun" w:eastAsia="SimSun" w:cs="SimSun"/>
          <w:sz w:val="21"/>
          <w:szCs w:val="21"/>
          <w:spacing w:val="4"/>
        </w:rPr>
        <w:t xml:space="preserve"> </w:t>
      </w:r>
      <w:r>
        <w:rPr>
          <w:rFonts w:ascii="SimSun" w:hAnsi="SimSun" w:eastAsia="SimSun" w:cs="SimSun"/>
          <w:sz w:val="21"/>
          <w:szCs w:val="21"/>
          <w:spacing w:val="-10"/>
        </w:rPr>
        <w:t>技术进步将人类推到了新的伦理边界，人工智</w:t>
      </w:r>
      <w:r>
        <w:rPr>
          <w:rFonts w:ascii="SimSun" w:hAnsi="SimSun" w:eastAsia="SimSun" w:cs="SimSun"/>
          <w:sz w:val="21"/>
          <w:szCs w:val="21"/>
          <w:spacing w:val="-11"/>
        </w:rPr>
        <w:t>能也面临复杂的伦理边 </w:t>
      </w:r>
      <w:r>
        <w:rPr>
          <w:rFonts w:ascii="SimSun" w:hAnsi="SimSun" w:eastAsia="SimSun" w:cs="SimSun"/>
          <w:sz w:val="21"/>
          <w:szCs w:val="21"/>
          <w:spacing w:val="-10"/>
        </w:rPr>
        <w:t>界问题。面对这种局面，中国的平台企业应加</w:t>
      </w:r>
      <w:r>
        <w:rPr>
          <w:rFonts w:ascii="SimSun" w:hAnsi="SimSun" w:eastAsia="SimSun" w:cs="SimSun"/>
          <w:sz w:val="21"/>
          <w:szCs w:val="21"/>
          <w:spacing w:val="-11"/>
        </w:rPr>
        <w:t>强自我治理，提高其伦 </w:t>
      </w:r>
      <w:r>
        <w:rPr>
          <w:rFonts w:ascii="SimSun" w:hAnsi="SimSun" w:eastAsia="SimSun" w:cs="SimSun"/>
          <w:sz w:val="21"/>
          <w:szCs w:val="21"/>
          <w:spacing w:val="-10"/>
        </w:rPr>
        <w:t>理道德标准在国内的社会认可度，这样才有基</w:t>
      </w:r>
      <w:r>
        <w:rPr>
          <w:rFonts w:ascii="SimSun" w:hAnsi="SimSun" w:eastAsia="SimSun" w:cs="SimSun"/>
          <w:sz w:val="21"/>
          <w:szCs w:val="21"/>
          <w:spacing w:val="-11"/>
        </w:rPr>
        <w:t>础在国际协同过程中提 </w:t>
      </w:r>
      <w:r>
        <w:rPr>
          <w:rFonts w:ascii="SimSun" w:hAnsi="SimSun" w:eastAsia="SimSun" w:cs="SimSun"/>
          <w:sz w:val="21"/>
          <w:szCs w:val="21"/>
          <w:spacing w:val="-11"/>
        </w:rPr>
        <w:t>高自身的竞争力。</w:t>
      </w:r>
    </w:p>
    <w:p>
      <w:pPr>
        <w:ind w:firstLine="440"/>
        <w:spacing w:before="110" w:line="309" w:lineRule="auto"/>
        <w:jc w:val="both"/>
        <w:rPr>
          <w:rFonts w:ascii="SimSun" w:hAnsi="SimSun" w:eastAsia="SimSun" w:cs="SimSun"/>
          <w:sz w:val="21"/>
          <w:szCs w:val="21"/>
        </w:rPr>
      </w:pPr>
      <w:r>
        <w:rPr>
          <w:rFonts w:ascii="SimSun" w:hAnsi="SimSun" w:eastAsia="SimSun" w:cs="SimSun"/>
          <w:sz w:val="21"/>
          <w:szCs w:val="21"/>
          <w:spacing w:val="-10"/>
        </w:rPr>
        <w:t>全球范围内，特别是在数字平台所催生的跨国经济活动</w:t>
      </w:r>
      <w:r>
        <w:rPr>
          <w:rFonts w:ascii="SimSun" w:hAnsi="SimSun" w:eastAsia="SimSun" w:cs="SimSun"/>
          <w:sz w:val="21"/>
          <w:szCs w:val="21"/>
          <w:spacing w:val="-11"/>
        </w:rPr>
        <w:t>中影响力</w:t>
      </w:r>
      <w:r>
        <w:rPr>
          <w:rFonts w:ascii="SimSun" w:hAnsi="SimSun" w:eastAsia="SimSun" w:cs="SimSun"/>
          <w:sz w:val="21"/>
          <w:szCs w:val="21"/>
        </w:rPr>
        <w:t xml:space="preserve"> </w:t>
      </w:r>
      <w:r>
        <w:rPr>
          <w:rFonts w:ascii="SimSun" w:hAnsi="SimSun" w:eastAsia="SimSun" w:cs="SimSun"/>
          <w:sz w:val="21"/>
          <w:szCs w:val="21"/>
          <w:spacing w:val="-10"/>
        </w:rPr>
        <w:t>更强大的国家，立足于本国的核心价值诉求，</w:t>
      </w:r>
      <w:r>
        <w:rPr>
          <w:rFonts w:ascii="SimSun" w:hAnsi="SimSun" w:eastAsia="SimSun" w:cs="SimSun"/>
          <w:sz w:val="21"/>
          <w:szCs w:val="21"/>
          <w:spacing w:val="-11"/>
        </w:rPr>
        <w:t>都在探索优化数据治理 </w:t>
      </w:r>
      <w:r>
        <w:rPr>
          <w:rFonts w:ascii="SimSun" w:hAnsi="SimSun" w:eastAsia="SimSun" w:cs="SimSun"/>
          <w:sz w:val="21"/>
          <w:szCs w:val="21"/>
          <w:spacing w:val="-10"/>
        </w:rPr>
        <w:t>战略、政策以及法律规范的途径，试图为各自</w:t>
      </w:r>
      <w:r>
        <w:rPr>
          <w:rFonts w:ascii="SimSun" w:hAnsi="SimSun" w:eastAsia="SimSun" w:cs="SimSun"/>
          <w:sz w:val="21"/>
          <w:szCs w:val="21"/>
          <w:spacing w:val="-11"/>
        </w:rPr>
        <w:t>的数字平台在国际合作 </w:t>
      </w:r>
      <w:r>
        <w:rPr>
          <w:rFonts w:ascii="SimSun" w:hAnsi="SimSun" w:eastAsia="SimSun" w:cs="SimSun"/>
          <w:sz w:val="21"/>
          <w:szCs w:val="21"/>
          <w:spacing w:val="-16"/>
        </w:rPr>
        <w:t>与竞争中取得理想的博弈优势。</w:t>
      </w:r>
      <w:r>
        <w:rPr>
          <w:rFonts w:ascii="SimSun" w:hAnsi="SimSun" w:eastAsia="SimSun" w:cs="SimSun"/>
          <w:sz w:val="21"/>
          <w:szCs w:val="21"/>
          <w:spacing w:val="49"/>
        </w:rPr>
        <w:t xml:space="preserve"> </w:t>
      </w:r>
      <w:r>
        <w:rPr>
          <w:rFonts w:ascii="SimSun" w:hAnsi="SimSun" w:eastAsia="SimSun" w:cs="SimSun"/>
          <w:sz w:val="21"/>
          <w:szCs w:val="21"/>
          <w:spacing w:val="-16"/>
        </w:rPr>
        <w:t>一个国家的数字经济治理，像传统的</w:t>
      </w:r>
      <w:r>
        <w:rPr>
          <w:rFonts w:ascii="SimSun" w:hAnsi="SimSun" w:eastAsia="SimSun" w:cs="SimSun"/>
          <w:sz w:val="21"/>
          <w:szCs w:val="21"/>
        </w:rPr>
        <w:t xml:space="preserve">  </w:t>
      </w:r>
      <w:r>
        <w:rPr>
          <w:rFonts w:ascii="SimSun" w:hAnsi="SimSun" w:eastAsia="SimSun" w:cs="SimSun"/>
          <w:sz w:val="21"/>
          <w:szCs w:val="21"/>
          <w:spacing w:val="-10"/>
        </w:rPr>
        <w:t>农业和工业经济产业治理一样，既属国家主权</w:t>
      </w:r>
      <w:r>
        <w:rPr>
          <w:rFonts w:ascii="SimSun" w:hAnsi="SimSun" w:eastAsia="SimSun" w:cs="SimSun"/>
          <w:sz w:val="21"/>
          <w:szCs w:val="21"/>
          <w:spacing w:val="-11"/>
        </w:rPr>
        <w:t>范畴，又是国际经济秩 </w:t>
      </w:r>
      <w:r>
        <w:rPr>
          <w:rFonts w:ascii="SimSun" w:hAnsi="SimSun" w:eastAsia="SimSun" w:cs="SimSun"/>
          <w:sz w:val="21"/>
          <w:szCs w:val="21"/>
          <w:spacing w:val="-10"/>
        </w:rPr>
        <w:t>序塑造和变迁的一个组成部分。不同国家在数</w:t>
      </w:r>
      <w:r>
        <w:rPr>
          <w:rFonts w:ascii="SimSun" w:hAnsi="SimSun" w:eastAsia="SimSun" w:cs="SimSun"/>
          <w:sz w:val="21"/>
          <w:szCs w:val="21"/>
          <w:spacing w:val="-11"/>
        </w:rPr>
        <w:t>字经济规则制定领域存 </w:t>
      </w:r>
      <w:r>
        <w:rPr>
          <w:rFonts w:ascii="SimSun" w:hAnsi="SimSun" w:eastAsia="SimSun" w:cs="SimSun"/>
          <w:sz w:val="21"/>
          <w:szCs w:val="21"/>
          <w:spacing w:val="-8"/>
        </w:rPr>
        <w:t>在分歧，在全球数字经济治理尚未形成广泛共识或者普遍规则之时，</w:t>
      </w:r>
      <w:r>
        <w:rPr>
          <w:rFonts w:ascii="SimSun" w:hAnsi="SimSun" w:eastAsia="SimSun" w:cs="SimSun"/>
          <w:sz w:val="21"/>
          <w:szCs w:val="21"/>
          <w:spacing w:val="4"/>
        </w:rPr>
        <w:t xml:space="preserve"> </w:t>
      </w:r>
      <w:r>
        <w:rPr>
          <w:rFonts w:ascii="SimSun" w:hAnsi="SimSun" w:eastAsia="SimSun" w:cs="SimSun"/>
          <w:sz w:val="21"/>
          <w:szCs w:val="21"/>
          <w:spacing w:val="-10"/>
        </w:rPr>
        <w:t>各国只能率先制定自己的规则，促进数字经济</w:t>
      </w:r>
      <w:r>
        <w:rPr>
          <w:rFonts w:ascii="SimSun" w:hAnsi="SimSun" w:eastAsia="SimSun" w:cs="SimSun"/>
          <w:sz w:val="21"/>
          <w:szCs w:val="21"/>
          <w:spacing w:val="-11"/>
        </w:rPr>
        <w:t>在本国的发展，维护本 </w:t>
      </w:r>
      <w:r>
        <w:rPr>
          <w:rFonts w:ascii="SimSun" w:hAnsi="SimSun" w:eastAsia="SimSun" w:cs="SimSun"/>
          <w:sz w:val="21"/>
          <w:szCs w:val="21"/>
          <w:spacing w:val="-10"/>
        </w:rPr>
        <w:t>国数字企业参与国际竞争的利益。同时，基于</w:t>
      </w:r>
      <w:r>
        <w:rPr>
          <w:rFonts w:ascii="SimSun" w:hAnsi="SimSun" w:eastAsia="SimSun" w:cs="SimSun"/>
          <w:sz w:val="21"/>
          <w:szCs w:val="21"/>
          <w:spacing w:val="-11"/>
        </w:rPr>
        <w:t>数字经济从一诞生就必 </w:t>
      </w:r>
      <w:r>
        <w:rPr>
          <w:rFonts w:ascii="SimSun" w:hAnsi="SimSun" w:eastAsia="SimSun" w:cs="SimSun"/>
          <w:sz w:val="21"/>
          <w:szCs w:val="21"/>
          <w:spacing w:val="-10"/>
        </w:rPr>
        <w:t>须依赖以互联网为基础设施的事实，所有国家</w:t>
      </w:r>
      <w:r>
        <w:rPr>
          <w:rFonts w:ascii="SimSun" w:hAnsi="SimSun" w:eastAsia="SimSun" w:cs="SimSun"/>
          <w:sz w:val="21"/>
          <w:szCs w:val="21"/>
          <w:spacing w:val="-11"/>
        </w:rPr>
        <w:t>都对跨境电子商务和数 </w:t>
      </w:r>
      <w:r>
        <w:rPr>
          <w:rFonts w:ascii="SimSun" w:hAnsi="SimSun" w:eastAsia="SimSun" w:cs="SimSun"/>
          <w:sz w:val="21"/>
          <w:szCs w:val="21"/>
          <w:spacing w:val="-15"/>
        </w:rPr>
        <w:t>据贸易具有管辖权，</w:t>
      </w:r>
      <w:r>
        <w:rPr>
          <w:rFonts w:ascii="SimSun" w:hAnsi="SimSun" w:eastAsia="SimSun" w:cs="SimSun"/>
          <w:sz w:val="21"/>
          <w:szCs w:val="21"/>
          <w:spacing w:val="51"/>
        </w:rPr>
        <w:t xml:space="preserve"> </w:t>
      </w:r>
      <w:r>
        <w:rPr>
          <w:rFonts w:ascii="SimSun" w:hAnsi="SimSun" w:eastAsia="SimSun" w:cs="SimSun"/>
          <w:sz w:val="21"/>
          <w:szCs w:val="21"/>
          <w:spacing w:val="-15"/>
        </w:rPr>
        <w:t>一个国家的数字经济治</w:t>
      </w:r>
      <w:r>
        <w:rPr>
          <w:rFonts w:ascii="SimSun" w:hAnsi="SimSun" w:eastAsia="SimSun" w:cs="SimSun"/>
          <w:sz w:val="21"/>
          <w:szCs w:val="21"/>
          <w:spacing w:val="-16"/>
        </w:rPr>
        <w:t>理就必须适应数字经济的 </w:t>
      </w:r>
      <w:r>
        <w:rPr>
          <w:rFonts w:ascii="SimSun" w:hAnsi="SimSun" w:eastAsia="SimSun" w:cs="SimSun"/>
          <w:sz w:val="21"/>
          <w:szCs w:val="21"/>
          <w:spacing w:val="-10"/>
        </w:rPr>
        <w:t>国际生态，以应对贸易壁垒，在此过程中谋求</w:t>
      </w:r>
      <w:r>
        <w:rPr>
          <w:rFonts w:ascii="SimSun" w:hAnsi="SimSun" w:eastAsia="SimSun" w:cs="SimSun"/>
          <w:sz w:val="21"/>
          <w:szCs w:val="21"/>
          <w:spacing w:val="-11"/>
        </w:rPr>
        <w:t>其企业在全球数字经济 </w:t>
      </w:r>
      <w:r>
        <w:rPr>
          <w:rFonts w:ascii="SimSun" w:hAnsi="SimSun" w:eastAsia="SimSun" w:cs="SimSun"/>
          <w:sz w:val="21"/>
          <w:szCs w:val="21"/>
          <w:spacing w:val="-12"/>
        </w:rPr>
        <w:t>发展和竞争中的舒适度。</w:t>
      </w:r>
    </w:p>
    <w:p>
      <w:pPr>
        <w:spacing w:line="309" w:lineRule="auto"/>
        <w:sectPr>
          <w:headerReference w:type="default" r:id="rId320"/>
          <w:pgSz w:w="7330" w:h="12480"/>
          <w:pgMar w:top="507" w:right="574" w:bottom="400" w:left="689" w:header="345" w:footer="0" w:gutter="0"/>
        </w:sectPr>
        <w:rPr>
          <w:rFonts w:ascii="SimSun" w:hAnsi="SimSun" w:eastAsia="SimSun" w:cs="SimSun"/>
          <w:sz w:val="21"/>
          <w:szCs w:val="21"/>
        </w:rPr>
      </w:pPr>
    </w:p>
    <w:p>
      <w:pPr>
        <w:pStyle w:val="BodyText"/>
        <w:spacing w:line="268" w:lineRule="auto"/>
        <w:rPr/>
      </w:pPr>
      <w:r>
        <w:drawing>
          <wp:anchor distT="0" distB="0" distL="0" distR="0" simplePos="0" relativeHeight="254416896" behindDoc="0" locked="0" layoutInCell="0" allowOverlap="1">
            <wp:simplePos x="0" y="0"/>
            <wp:positionH relativeFrom="page">
              <wp:posOffset>209547</wp:posOffset>
            </wp:positionH>
            <wp:positionV relativeFrom="page">
              <wp:posOffset>7048470</wp:posOffset>
            </wp:positionV>
            <wp:extent cx="1162055" cy="6350"/>
            <wp:effectExtent l="0" t="0" r="0" b="0"/>
            <wp:wrapNone/>
            <wp:docPr id="226" name="IM 226"/>
            <wp:cNvGraphicFramePr/>
            <a:graphic>
              <a:graphicData uri="http://schemas.openxmlformats.org/drawingml/2006/picture">
                <pic:pic>
                  <pic:nvPicPr>
                    <pic:cNvPr id="226" name="IM 226"/>
                    <pic:cNvPicPr/>
                  </pic:nvPicPr>
                  <pic:blipFill>
                    <a:blip r:embed="rId321"/>
                    <a:stretch>
                      <a:fillRect/>
                    </a:stretch>
                  </pic:blipFill>
                  <pic:spPr>
                    <a:xfrm rot="0">
                      <a:off x="0" y="0"/>
                      <a:ext cx="1162055" cy="6350"/>
                    </a:xfrm>
                    <a:prstGeom prst="rect">
                      <a:avLst/>
                    </a:prstGeom>
                  </pic:spPr>
                </pic:pic>
              </a:graphicData>
            </a:graphic>
          </wp:anchor>
        </w:drawing>
      </w: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ind w:firstLine="860"/>
        <w:spacing w:line="3660" w:lineRule="exact"/>
        <w:rPr/>
      </w:pPr>
      <w:r>
        <w:rPr>
          <w:position w:val="-73"/>
        </w:rPr>
        <w:drawing>
          <wp:inline distT="0" distB="0" distL="0" distR="0">
            <wp:extent cx="2851144" cy="2324106"/>
            <wp:effectExtent l="0" t="0" r="0" b="0"/>
            <wp:docPr id="228" name="IM 228"/>
            <wp:cNvGraphicFramePr/>
            <a:graphic>
              <a:graphicData uri="http://schemas.openxmlformats.org/drawingml/2006/picture">
                <pic:pic>
                  <pic:nvPicPr>
                    <pic:cNvPr id="228" name="IM 228"/>
                    <pic:cNvPicPr/>
                  </pic:nvPicPr>
                  <pic:blipFill>
                    <a:blip r:embed="rId322"/>
                    <a:stretch>
                      <a:fillRect/>
                    </a:stretch>
                  </pic:blipFill>
                  <pic:spPr>
                    <a:xfrm rot="0">
                      <a:off x="0" y="0"/>
                      <a:ext cx="2851144" cy="2324106"/>
                    </a:xfrm>
                    <a:prstGeom prst="rect">
                      <a:avLst/>
                    </a:prstGeom>
                  </pic:spPr>
                </pic:pic>
              </a:graphicData>
            </a:graphic>
          </wp:inline>
        </w:drawing>
      </w:r>
    </w:p>
    <w:p>
      <w:pPr>
        <w:ind w:left="1190"/>
        <w:spacing w:before="247" w:line="222" w:lineRule="auto"/>
        <w:tabs>
          <w:tab w:val="left" w:pos="2588"/>
        </w:tabs>
        <w:rPr>
          <w:rFonts w:ascii="YouYuan" w:hAnsi="YouYuan" w:eastAsia="YouYuan" w:cs="YouYuan"/>
          <w:sz w:val="29"/>
          <w:szCs w:val="29"/>
        </w:rPr>
      </w:pPr>
      <w:r>
        <w:rPr>
          <w:rFonts w:ascii="YouYuan" w:hAnsi="YouYuan" w:eastAsia="YouYuan" w:cs="YouYuan"/>
          <w:sz w:val="29"/>
          <w:szCs w:val="29"/>
          <w:strike/>
        </w:rPr>
        <w:tab/>
      </w:r>
      <w:r>
        <w:rPr>
          <w:rFonts w:ascii="YouYuan" w:hAnsi="YouYuan" w:eastAsia="YouYuan" w:cs="YouYuan"/>
          <w:sz w:val="29"/>
          <w:szCs w:val="29"/>
          <w:spacing w:val="-60"/>
        </w:rPr>
        <w:t xml:space="preserve"> </w:t>
      </w:r>
      <w:r>
        <w:rPr>
          <w:rFonts w:ascii="YouYuan" w:hAnsi="YouYuan" w:eastAsia="YouYuan" w:cs="YouYuan"/>
          <w:sz w:val="29"/>
          <w:szCs w:val="29"/>
          <w:b/>
          <w:bCs/>
          <w:spacing w:val="-4"/>
        </w:rPr>
        <w:t>第八章</w:t>
      </w:r>
      <w:r>
        <w:rPr>
          <w:rFonts w:ascii="YouYuan" w:hAnsi="YouYuan" w:eastAsia="YouYuan" w:cs="YouYuan"/>
          <w:sz w:val="29"/>
          <w:szCs w:val="29"/>
          <w:spacing w:val="-67"/>
        </w:rPr>
        <w:t xml:space="preserve"> </w:t>
      </w:r>
      <w:r>
        <w:rPr>
          <w:rFonts w:ascii="YouYuan" w:hAnsi="YouYuan" w:eastAsia="YouYuan" w:cs="YouYuan"/>
          <w:sz w:val="29"/>
          <w:szCs w:val="29"/>
          <w:strike/>
        </w:rPr>
        <w:t xml:space="preserve">          </w:t>
      </w:r>
    </w:p>
    <w:p>
      <w:pPr>
        <w:pStyle w:val="BodyText"/>
        <w:spacing w:line="325" w:lineRule="auto"/>
        <w:rPr/>
      </w:pPr>
      <w:r/>
    </w:p>
    <w:p>
      <w:pPr>
        <w:ind w:left="1485"/>
        <w:spacing w:before="117" w:line="220" w:lineRule="auto"/>
        <w:rPr>
          <w:rFonts w:ascii="SimSun" w:hAnsi="SimSun" w:eastAsia="SimSun" w:cs="SimSun"/>
          <w:sz w:val="36"/>
          <w:szCs w:val="36"/>
        </w:rPr>
      </w:pPr>
      <w:r>
        <w:rPr>
          <w:rFonts w:ascii="SimSun" w:hAnsi="SimSun" w:eastAsia="SimSun" w:cs="SimSun"/>
          <w:sz w:val="36"/>
          <w:szCs w:val="36"/>
          <w:b/>
          <w:bCs/>
          <w:spacing w:val="-8"/>
        </w:rPr>
        <w:t>平台的经济学分析</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20"/>
        <w:spacing w:before="56" w:line="223" w:lineRule="auto"/>
        <w:rPr>
          <w:rFonts w:ascii="KaiTi" w:hAnsi="KaiTi" w:eastAsia="KaiTi" w:cs="KaiTi"/>
          <w:sz w:val="17"/>
          <w:szCs w:val="17"/>
        </w:rPr>
      </w:pPr>
      <w:r>
        <w:rPr>
          <w:rFonts w:ascii="KaiTi" w:hAnsi="KaiTi" w:eastAsia="KaiTi" w:cs="KaiTi"/>
          <w:sz w:val="17"/>
          <w:szCs w:val="17"/>
          <w:spacing w:val="-15"/>
        </w:rPr>
        <w:t>①</w:t>
      </w:r>
      <w:r>
        <w:rPr>
          <w:rFonts w:ascii="KaiTi" w:hAnsi="KaiTi" w:eastAsia="KaiTi" w:cs="KaiTi"/>
          <w:sz w:val="17"/>
          <w:szCs w:val="17"/>
          <w:spacing w:val="82"/>
        </w:rPr>
        <w:t xml:space="preserve"> </w:t>
      </w:r>
      <w:r>
        <w:rPr>
          <w:rFonts w:ascii="KaiTi" w:hAnsi="KaiTi" w:eastAsia="KaiTi" w:cs="KaiTi"/>
          <w:sz w:val="17"/>
          <w:szCs w:val="17"/>
          <w:spacing w:val="-15"/>
        </w:rPr>
        <w:t>本章作者为汪浩、巫和懋、刘航。</w:t>
      </w:r>
    </w:p>
    <w:p>
      <w:pPr>
        <w:spacing w:line="223" w:lineRule="auto"/>
        <w:sectPr>
          <w:headerReference w:type="default" r:id="rId1"/>
          <w:pgSz w:w="7330" w:h="12480"/>
          <w:pgMar w:top="400" w:right="1099" w:bottom="400" w:left="329" w:header="0" w:footer="0" w:gutter="0"/>
        </w:sectPr>
        <w:rPr>
          <w:rFonts w:ascii="KaiTi" w:hAnsi="KaiTi" w:eastAsia="KaiTi" w:cs="KaiTi"/>
          <w:sz w:val="17"/>
          <w:szCs w:val="17"/>
        </w:rPr>
      </w:pPr>
    </w:p>
    <w:p>
      <w:pPr>
        <w:spacing w:line="12467" w:lineRule="exact"/>
        <w:rPr/>
      </w:pPr>
      <w:r>
        <w:rPr>
          <w:position w:val="-249"/>
        </w:rPr>
        <w:drawing>
          <wp:inline distT="0" distB="0" distL="0" distR="0">
            <wp:extent cx="4654550" cy="7916698"/>
            <wp:effectExtent l="0" t="0" r="0" b="0"/>
            <wp:docPr id="230" name="IM 230"/>
            <wp:cNvGraphicFramePr/>
            <a:graphic>
              <a:graphicData uri="http://schemas.openxmlformats.org/drawingml/2006/picture">
                <pic:pic>
                  <pic:nvPicPr>
                    <pic:cNvPr id="230" name="IM 230"/>
                    <pic:cNvPicPr/>
                  </pic:nvPicPr>
                  <pic:blipFill>
                    <a:blip r:embed="rId323"/>
                    <a:stretch>
                      <a:fillRect/>
                    </a:stretch>
                  </pic:blipFill>
                  <pic:spPr>
                    <a:xfrm rot="0">
                      <a:off x="0" y="0"/>
                      <a:ext cx="4654550" cy="7916698"/>
                    </a:xfrm>
                    <a:prstGeom prst="rect">
                      <a:avLst/>
                    </a:prstGeom>
                  </pic:spPr>
                </pic:pic>
              </a:graphicData>
            </a:graphic>
          </wp:inline>
        </w:drawing>
      </w:r>
    </w:p>
    <w:p>
      <w:pPr>
        <w:spacing w:line="12467" w:lineRule="exact"/>
        <w:sectPr>
          <w:pgSz w:w="7330" w:h="12480"/>
          <w:pgMar w:top="1" w:right="0" w:bottom="1" w:left="0" w:header="0" w:footer="0" w:gutter="0"/>
        </w:sectPr>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16" w:firstLine="379"/>
        <w:spacing w:before="69" w:line="290" w:lineRule="auto"/>
        <w:jc w:val="both"/>
        <w:rPr>
          <w:rFonts w:ascii="SimSun" w:hAnsi="SimSun" w:eastAsia="SimSun" w:cs="SimSun"/>
          <w:sz w:val="21"/>
          <w:szCs w:val="21"/>
        </w:rPr>
      </w:pPr>
      <w:r>
        <w:rPr>
          <w:rFonts w:ascii="SimSun" w:hAnsi="SimSun" w:eastAsia="SimSun" w:cs="SimSun"/>
          <w:sz w:val="21"/>
          <w:szCs w:val="21"/>
          <w:spacing w:val="-10"/>
        </w:rPr>
        <w:t>基于互联网的数字平台既是信息交流和商品交易的渠道，也是数</w:t>
      </w:r>
      <w:r>
        <w:rPr>
          <w:rFonts w:ascii="SimSun" w:hAnsi="SimSun" w:eastAsia="SimSun" w:cs="SimSun"/>
          <w:sz w:val="21"/>
          <w:szCs w:val="21"/>
          <w:spacing w:val="7"/>
        </w:rPr>
        <w:t xml:space="preserve"> </w:t>
      </w:r>
      <w:r>
        <w:rPr>
          <w:rFonts w:ascii="SimSun" w:hAnsi="SimSun" w:eastAsia="SimSun" w:cs="SimSun"/>
          <w:sz w:val="21"/>
          <w:szCs w:val="21"/>
          <w:spacing w:val="-11"/>
        </w:rPr>
        <w:t>据收集的来源。平台的核心业务大多是流量和数据服务，具有覆盖面</w:t>
      </w:r>
      <w:r>
        <w:rPr>
          <w:rFonts w:ascii="SimSun" w:hAnsi="SimSun" w:eastAsia="SimSun" w:cs="SimSun"/>
          <w:sz w:val="21"/>
          <w:szCs w:val="21"/>
          <w:spacing w:val="17"/>
        </w:rPr>
        <w:t xml:space="preserve"> </w:t>
      </w:r>
      <w:r>
        <w:rPr>
          <w:rFonts w:ascii="SimSun" w:hAnsi="SimSun" w:eastAsia="SimSun" w:cs="SimSun"/>
          <w:sz w:val="21"/>
          <w:szCs w:val="21"/>
          <w:spacing w:val="-11"/>
        </w:rPr>
        <w:t>广、渗透性强的特点。平台深入社会生活的方方面面，不仅改变了人</w:t>
      </w:r>
      <w:r>
        <w:rPr>
          <w:rFonts w:ascii="SimSun" w:hAnsi="SimSun" w:eastAsia="SimSun" w:cs="SimSun"/>
          <w:sz w:val="21"/>
          <w:szCs w:val="21"/>
          <w:spacing w:val="17"/>
        </w:rPr>
        <w:t xml:space="preserve"> </w:t>
      </w:r>
      <w:r>
        <w:rPr>
          <w:rFonts w:ascii="SimSun" w:hAnsi="SimSun" w:eastAsia="SimSun" w:cs="SimSun"/>
          <w:sz w:val="21"/>
          <w:szCs w:val="21"/>
          <w:spacing w:val="-10"/>
        </w:rPr>
        <w:t>们的生活方式，也在不断重塑传统经济的结</w:t>
      </w:r>
      <w:r>
        <w:rPr>
          <w:rFonts w:ascii="SimSun" w:hAnsi="SimSun" w:eastAsia="SimSun" w:cs="SimSun"/>
          <w:sz w:val="21"/>
          <w:szCs w:val="21"/>
          <w:spacing w:val="-11"/>
        </w:rPr>
        <w:t>构和运行方式。平台还是</w:t>
      </w:r>
      <w:r>
        <w:rPr>
          <w:rFonts w:ascii="SimSun" w:hAnsi="SimSun" w:eastAsia="SimSun" w:cs="SimSun"/>
          <w:sz w:val="21"/>
          <w:szCs w:val="21"/>
        </w:rPr>
        <w:t xml:space="preserve"> </w:t>
      </w:r>
      <w:r>
        <w:rPr>
          <w:rFonts w:ascii="SimSun" w:hAnsi="SimSun" w:eastAsia="SimSun" w:cs="SimSun"/>
          <w:sz w:val="21"/>
          <w:szCs w:val="21"/>
          <w:spacing w:val="-11"/>
        </w:rPr>
        <w:t>数字技术和商业模式的创新主体，是大国竞争的重要领域。</w:t>
      </w:r>
    </w:p>
    <w:p>
      <w:pPr>
        <w:ind w:right="9" w:firstLine="379"/>
        <w:spacing w:before="124" w:line="308" w:lineRule="auto"/>
        <w:jc w:val="both"/>
        <w:rPr>
          <w:rFonts w:ascii="SimSun" w:hAnsi="SimSun" w:eastAsia="SimSun" w:cs="SimSun"/>
          <w:sz w:val="21"/>
          <w:szCs w:val="21"/>
        </w:rPr>
      </w:pPr>
      <w:r>
        <w:rPr>
          <w:rFonts w:ascii="SimSun" w:hAnsi="SimSun" w:eastAsia="SimSun" w:cs="SimSun"/>
          <w:sz w:val="21"/>
          <w:szCs w:val="21"/>
          <w:spacing w:val="-10"/>
        </w:rPr>
        <w:t>数字技术和平台经济在创造巨大价值的同时，也开始产生一些令</w:t>
      </w:r>
      <w:r>
        <w:rPr>
          <w:rFonts w:ascii="SimSun" w:hAnsi="SimSun" w:eastAsia="SimSun" w:cs="SimSun"/>
          <w:sz w:val="21"/>
          <w:szCs w:val="21"/>
          <w:spacing w:val="8"/>
        </w:rPr>
        <w:t xml:space="preserve"> </w:t>
      </w:r>
      <w:r>
        <w:rPr>
          <w:rFonts w:ascii="SimSun" w:hAnsi="SimSun" w:eastAsia="SimSun" w:cs="SimSun"/>
          <w:sz w:val="21"/>
          <w:szCs w:val="21"/>
          <w:spacing w:val="-11"/>
        </w:rPr>
        <w:t>人关注的现象和问题。大型平台可能滥用其市场垄断力量，打压竞争</w:t>
      </w:r>
      <w:r>
        <w:rPr>
          <w:rFonts w:ascii="SimSun" w:hAnsi="SimSun" w:eastAsia="SimSun" w:cs="SimSun"/>
          <w:sz w:val="21"/>
          <w:szCs w:val="21"/>
          <w:spacing w:val="17"/>
        </w:rPr>
        <w:t xml:space="preserve"> </w:t>
      </w:r>
      <w:r>
        <w:rPr>
          <w:rFonts w:ascii="SimSun" w:hAnsi="SimSun" w:eastAsia="SimSun" w:cs="SimSun"/>
          <w:sz w:val="21"/>
          <w:szCs w:val="21"/>
          <w:spacing w:val="-11"/>
        </w:rPr>
        <w:t>对手或阻止其他平台进入市场，损害消费者或平台内商家的权益；个</w:t>
      </w:r>
      <w:r>
        <w:rPr>
          <w:rFonts w:ascii="SimSun" w:hAnsi="SimSun" w:eastAsia="SimSun" w:cs="SimSun"/>
          <w:sz w:val="21"/>
          <w:szCs w:val="21"/>
          <w:spacing w:val="17"/>
        </w:rPr>
        <w:t xml:space="preserve"> </w:t>
      </w:r>
      <w:r>
        <w:rPr>
          <w:rFonts w:ascii="SimSun" w:hAnsi="SimSun" w:eastAsia="SimSun" w:cs="SimSun"/>
          <w:sz w:val="21"/>
          <w:szCs w:val="21"/>
          <w:spacing w:val="-4"/>
        </w:rPr>
        <w:t>别头部平台企业无边界扩张，经济和社会影响力巨大，存在新型垄</w:t>
      </w:r>
      <w:r>
        <w:rPr>
          <w:rFonts w:ascii="SimSun" w:hAnsi="SimSun" w:eastAsia="SimSun" w:cs="SimSun"/>
          <w:sz w:val="21"/>
          <w:szCs w:val="21"/>
          <w:spacing w:val="15"/>
        </w:rPr>
        <w:t xml:space="preserve"> </w:t>
      </w:r>
      <w:r>
        <w:rPr>
          <w:rFonts w:ascii="SimSun" w:hAnsi="SimSun" w:eastAsia="SimSun" w:cs="SimSun"/>
          <w:sz w:val="21"/>
          <w:szCs w:val="21"/>
          <w:spacing w:val="-10"/>
        </w:rPr>
        <w:t>断的可能性；平台在推动科技创新的同时，也通</w:t>
      </w:r>
      <w:r>
        <w:rPr>
          <w:rFonts w:ascii="SimSun" w:hAnsi="SimSun" w:eastAsia="SimSun" w:cs="SimSun"/>
          <w:sz w:val="21"/>
          <w:szCs w:val="21"/>
          <w:spacing w:val="-11"/>
        </w:rPr>
        <w:t>过收购兼并等方式抑</w:t>
      </w:r>
      <w:r>
        <w:rPr>
          <w:rFonts w:ascii="SimSun" w:hAnsi="SimSun" w:eastAsia="SimSun" w:cs="SimSun"/>
          <w:sz w:val="21"/>
          <w:szCs w:val="21"/>
        </w:rPr>
        <w:t xml:space="preserve"> </w:t>
      </w:r>
      <w:r>
        <w:rPr>
          <w:rFonts w:ascii="SimSun" w:hAnsi="SimSun" w:eastAsia="SimSun" w:cs="SimSun"/>
          <w:sz w:val="21"/>
          <w:szCs w:val="21"/>
          <w:spacing w:val="-11"/>
        </w:rPr>
        <w:t>制小型科技企业的发展；平台行业造就了一批超级富豪和一个高薪群</w:t>
      </w:r>
      <w:r>
        <w:rPr>
          <w:rFonts w:ascii="SimSun" w:hAnsi="SimSun" w:eastAsia="SimSun" w:cs="SimSun"/>
          <w:sz w:val="21"/>
          <w:szCs w:val="21"/>
          <w:spacing w:val="17"/>
        </w:rPr>
        <w:t xml:space="preserve"> </w:t>
      </w:r>
      <w:r>
        <w:rPr>
          <w:rFonts w:ascii="SimSun" w:hAnsi="SimSun" w:eastAsia="SimSun" w:cs="SimSun"/>
          <w:sz w:val="21"/>
          <w:szCs w:val="21"/>
          <w:spacing w:val="-11"/>
        </w:rPr>
        <w:t>体，同时也造就了一个数量庞大、工作强度高、社会保障低的社会阶</w:t>
      </w:r>
      <w:r>
        <w:rPr>
          <w:rFonts w:ascii="SimSun" w:hAnsi="SimSun" w:eastAsia="SimSun" w:cs="SimSun"/>
          <w:sz w:val="21"/>
          <w:szCs w:val="21"/>
          <w:spacing w:val="17"/>
        </w:rPr>
        <w:t xml:space="preserve"> </w:t>
      </w:r>
      <w:r>
        <w:rPr>
          <w:rFonts w:ascii="SimSun" w:hAnsi="SimSun" w:eastAsia="SimSun" w:cs="SimSun"/>
          <w:sz w:val="21"/>
          <w:szCs w:val="21"/>
          <w:spacing w:val="-11"/>
        </w:rPr>
        <w:t>层，可能加剧收入不平等；平台掌握海量的全样本、全方位数据，对</w:t>
      </w:r>
      <w:r>
        <w:rPr>
          <w:rFonts w:ascii="SimSun" w:hAnsi="SimSun" w:eastAsia="SimSun" w:cs="SimSun"/>
          <w:sz w:val="21"/>
          <w:szCs w:val="21"/>
          <w:spacing w:val="17"/>
        </w:rPr>
        <w:t xml:space="preserve"> </w:t>
      </w:r>
      <w:r>
        <w:rPr>
          <w:rFonts w:ascii="SimSun" w:hAnsi="SimSun" w:eastAsia="SimSun" w:cs="SimSun"/>
          <w:sz w:val="21"/>
          <w:szCs w:val="21"/>
          <w:spacing w:val="-10"/>
        </w:rPr>
        <w:t>消费者个人隐私、人身安全甚至社会稳定构成威胁。这些现</w:t>
      </w:r>
      <w:r>
        <w:rPr>
          <w:rFonts w:ascii="SimSun" w:hAnsi="SimSun" w:eastAsia="SimSun" w:cs="SimSun"/>
          <w:sz w:val="21"/>
          <w:szCs w:val="21"/>
          <w:spacing w:val="-11"/>
        </w:rPr>
        <w:t>象有些属</w:t>
      </w:r>
      <w:r>
        <w:rPr>
          <w:rFonts w:ascii="SimSun" w:hAnsi="SimSun" w:eastAsia="SimSun" w:cs="SimSun"/>
          <w:sz w:val="21"/>
          <w:szCs w:val="21"/>
        </w:rPr>
        <w:t xml:space="preserve"> </w:t>
      </w:r>
      <w:r>
        <w:rPr>
          <w:rFonts w:ascii="SimSun" w:hAnsi="SimSun" w:eastAsia="SimSun" w:cs="SimSun"/>
          <w:sz w:val="21"/>
          <w:szCs w:val="21"/>
          <w:spacing w:val="-10"/>
        </w:rPr>
        <w:t>于经济学范畴，需要从政府规制或反垄断的角度进行治理，</w:t>
      </w:r>
      <w:r>
        <w:rPr>
          <w:rFonts w:ascii="SimSun" w:hAnsi="SimSun" w:eastAsia="SimSun" w:cs="SimSun"/>
          <w:sz w:val="21"/>
          <w:szCs w:val="21"/>
          <w:spacing w:val="-11"/>
        </w:rPr>
        <w:t>有些则属</w:t>
      </w:r>
      <w:r>
        <w:rPr>
          <w:rFonts w:ascii="SimSun" w:hAnsi="SimSun" w:eastAsia="SimSun" w:cs="SimSun"/>
          <w:sz w:val="21"/>
          <w:szCs w:val="21"/>
        </w:rPr>
        <w:t xml:space="preserve"> </w:t>
      </w:r>
      <w:r>
        <w:rPr>
          <w:rFonts w:ascii="SimSun" w:hAnsi="SimSun" w:eastAsia="SimSun" w:cs="SimSun"/>
          <w:sz w:val="21"/>
          <w:szCs w:val="21"/>
          <w:spacing w:val="-10"/>
        </w:rPr>
        <w:t>于社会学或政治学范畴，需要从更高的层面进行</w:t>
      </w:r>
      <w:r>
        <w:rPr>
          <w:rFonts w:ascii="SimSun" w:hAnsi="SimSun" w:eastAsia="SimSun" w:cs="SimSun"/>
          <w:sz w:val="21"/>
          <w:szCs w:val="21"/>
          <w:spacing w:val="-11"/>
        </w:rPr>
        <w:t>研究和应对。</w:t>
      </w:r>
    </w:p>
    <w:p>
      <w:pPr>
        <w:pStyle w:val="BodyText"/>
        <w:spacing w:line="366" w:lineRule="auto"/>
        <w:rPr/>
      </w:pPr>
      <w:r/>
    </w:p>
    <w:p>
      <w:pPr>
        <w:ind w:left="1424"/>
        <w:spacing w:before="104" w:line="220" w:lineRule="auto"/>
        <w:rPr>
          <w:rFonts w:ascii="SimSun" w:hAnsi="SimSun" w:eastAsia="SimSun" w:cs="SimSun"/>
          <w:sz w:val="32"/>
          <w:szCs w:val="32"/>
        </w:rPr>
      </w:pPr>
      <w:r>
        <w:rPr>
          <w:rFonts w:ascii="SimSun" w:hAnsi="SimSun" w:eastAsia="SimSun" w:cs="SimSun"/>
          <w:sz w:val="32"/>
          <w:szCs w:val="32"/>
          <w:b/>
          <w:bCs/>
          <w:spacing w:val="-5"/>
        </w:rPr>
        <w:t>关于平台的经济学理论</w:t>
      </w:r>
    </w:p>
    <w:p>
      <w:pPr>
        <w:pStyle w:val="BodyText"/>
        <w:spacing w:line="267" w:lineRule="auto"/>
        <w:rPr/>
      </w:pPr>
      <w:r/>
    </w:p>
    <w:p>
      <w:pPr>
        <w:ind w:firstLine="379"/>
        <w:spacing w:before="69" w:line="297" w:lineRule="auto"/>
        <w:jc w:val="both"/>
        <w:rPr>
          <w:rFonts w:ascii="SimSun" w:hAnsi="SimSun" w:eastAsia="SimSun" w:cs="SimSun"/>
          <w:sz w:val="21"/>
          <w:szCs w:val="21"/>
        </w:rPr>
      </w:pPr>
      <w:r>
        <w:rPr>
          <w:rFonts w:ascii="SimSun" w:hAnsi="SimSun" w:eastAsia="SimSun" w:cs="SimSun"/>
          <w:sz w:val="21"/>
          <w:szCs w:val="21"/>
          <w:spacing w:val="-10"/>
        </w:rPr>
        <w:t>平台经济具有一些全新的特点，例如基础业务免费、收入来源多</w:t>
      </w:r>
      <w:r>
        <w:rPr>
          <w:rFonts w:ascii="SimSun" w:hAnsi="SimSun" w:eastAsia="SimSun" w:cs="SimSun"/>
          <w:sz w:val="21"/>
          <w:szCs w:val="21"/>
          <w:spacing w:val="17"/>
        </w:rPr>
        <w:t xml:space="preserve"> </w:t>
      </w:r>
      <w:r>
        <w:rPr>
          <w:rFonts w:ascii="SimSun" w:hAnsi="SimSun" w:eastAsia="SimSun" w:cs="SimSun"/>
          <w:sz w:val="21"/>
          <w:szCs w:val="21"/>
          <w:spacing w:val="-11"/>
        </w:rPr>
        <w:t>样、</w:t>
      </w:r>
      <w:r>
        <w:rPr>
          <w:rFonts w:ascii="SimSun" w:hAnsi="SimSun" w:eastAsia="SimSun" w:cs="SimSun"/>
          <w:sz w:val="21"/>
          <w:szCs w:val="21"/>
          <w:spacing w:val="-10"/>
        </w:rPr>
        <w:t>市场边界不清、平台职责模糊等，这些特点经常使人们对传统</w:t>
      </w:r>
      <w:r>
        <w:rPr>
          <w:rFonts w:ascii="SimSun" w:hAnsi="SimSun" w:eastAsia="SimSun" w:cs="SimSun"/>
          <w:sz w:val="21"/>
          <w:szCs w:val="21"/>
          <w:spacing w:val="-8"/>
        </w:rPr>
        <w:t>理</w:t>
      </w:r>
      <w:r>
        <w:rPr>
          <w:rFonts w:ascii="SimSun" w:hAnsi="SimSun" w:eastAsia="SimSun" w:cs="SimSun"/>
          <w:sz w:val="21"/>
          <w:szCs w:val="21"/>
          <w:spacing w:val="5"/>
        </w:rPr>
        <w:t xml:space="preserve"> </w:t>
      </w:r>
      <w:r>
        <w:rPr>
          <w:rFonts w:ascii="SimSun" w:hAnsi="SimSun" w:eastAsia="SimSun" w:cs="SimSun"/>
          <w:sz w:val="21"/>
          <w:szCs w:val="21"/>
          <w:spacing w:val="-11"/>
        </w:rPr>
        <w:t>论的适用性产生怀疑。我们认为，传统经济学中的相关理论在结合数</w:t>
      </w:r>
      <w:r>
        <w:rPr>
          <w:rFonts w:ascii="SimSun" w:hAnsi="SimSun" w:eastAsia="SimSun" w:cs="SimSun"/>
          <w:sz w:val="21"/>
          <w:szCs w:val="21"/>
          <w:spacing w:val="17"/>
        </w:rPr>
        <w:t xml:space="preserve"> </w:t>
      </w:r>
      <w:r>
        <w:rPr>
          <w:rFonts w:ascii="SimSun" w:hAnsi="SimSun" w:eastAsia="SimSun" w:cs="SimSun"/>
          <w:sz w:val="21"/>
          <w:szCs w:val="21"/>
          <w:spacing w:val="-11"/>
        </w:rPr>
        <w:t>字科技的一些特点之后，对平台经济仍然具有强大的解释力，这些理</w:t>
      </w:r>
      <w:r>
        <w:rPr>
          <w:rFonts w:ascii="SimSun" w:hAnsi="SimSun" w:eastAsia="SimSun" w:cs="SimSun"/>
          <w:sz w:val="21"/>
          <w:szCs w:val="21"/>
          <w:spacing w:val="15"/>
        </w:rPr>
        <w:t xml:space="preserve"> </w:t>
      </w:r>
      <w:r>
        <w:rPr>
          <w:rFonts w:ascii="SimSun" w:hAnsi="SimSun" w:eastAsia="SimSun" w:cs="SimSun"/>
          <w:sz w:val="21"/>
          <w:szCs w:val="21"/>
          <w:spacing w:val="-10"/>
        </w:rPr>
        <w:t>论包括规模经济、范围经济、网络外部性、可竞争性、兼容性</w:t>
      </w:r>
      <w:r>
        <w:rPr>
          <w:rFonts w:ascii="SimSun" w:hAnsi="SimSun" w:eastAsia="SimSun" w:cs="SimSun"/>
          <w:sz w:val="21"/>
          <w:szCs w:val="21"/>
          <w:spacing w:val="-11"/>
        </w:rPr>
        <w:t>等。数</w:t>
      </w:r>
    </w:p>
    <w:p>
      <w:pPr>
        <w:spacing w:line="297" w:lineRule="auto"/>
        <w:sectPr>
          <w:pgSz w:w="7330" w:h="12480"/>
          <w:pgMar w:top="400" w:right="1003" w:bottom="400" w:left="320" w:header="0" w:footer="0" w:gutter="0"/>
        </w:sectPr>
        <w:rPr>
          <w:rFonts w:ascii="SimSun" w:hAnsi="SimSun" w:eastAsia="SimSun" w:cs="SimSun"/>
          <w:sz w:val="21"/>
          <w:szCs w:val="21"/>
        </w:rPr>
      </w:pPr>
    </w:p>
    <w:p>
      <w:pPr>
        <w:pStyle w:val="BodyText"/>
        <w:spacing w:line="247" w:lineRule="auto"/>
        <w:rPr/>
      </w:pPr>
      <w:r>
        <w:drawing>
          <wp:anchor distT="0" distB="0" distL="0" distR="0" simplePos="0" relativeHeight="254447616" behindDoc="0" locked="0" layoutInCell="0" allowOverlap="1">
            <wp:simplePos x="0" y="0"/>
            <wp:positionH relativeFrom="page">
              <wp:posOffset>393682</wp:posOffset>
            </wp:positionH>
            <wp:positionV relativeFrom="page">
              <wp:posOffset>4870418</wp:posOffset>
            </wp:positionV>
            <wp:extent cx="393727" cy="6350"/>
            <wp:effectExtent l="0" t="0" r="0" b="0"/>
            <wp:wrapNone/>
            <wp:docPr id="232" name="IM 232"/>
            <wp:cNvGraphicFramePr/>
            <a:graphic>
              <a:graphicData uri="http://schemas.openxmlformats.org/drawingml/2006/picture">
                <pic:pic>
                  <pic:nvPicPr>
                    <pic:cNvPr id="232" name="IM 232"/>
                    <pic:cNvPicPr/>
                  </pic:nvPicPr>
                  <pic:blipFill>
                    <a:blip r:embed="rId325"/>
                    <a:stretch>
                      <a:fillRect/>
                    </a:stretch>
                  </pic:blipFill>
                  <pic:spPr>
                    <a:xfrm rot="0">
                      <a:off x="0" y="0"/>
                      <a:ext cx="393727" cy="6350"/>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ind w:left="140" w:right="58"/>
        <w:spacing w:before="61" w:line="350" w:lineRule="auto"/>
        <w:jc w:val="both"/>
        <w:rPr>
          <w:rFonts w:ascii="SimSun" w:hAnsi="SimSun" w:eastAsia="SimSun" w:cs="SimSun"/>
          <w:sz w:val="19"/>
          <w:szCs w:val="19"/>
        </w:rPr>
      </w:pPr>
      <w:r>
        <w:rPr>
          <w:rFonts w:ascii="SimSun" w:hAnsi="SimSun" w:eastAsia="SimSun" w:cs="SimSun"/>
          <w:sz w:val="19"/>
          <w:szCs w:val="19"/>
          <w:spacing w:val="10"/>
        </w:rPr>
        <w:t>字平台最广为人知的往往是其提供的免费服</w:t>
      </w:r>
      <w:r>
        <w:rPr>
          <w:rFonts w:ascii="SimSun" w:hAnsi="SimSun" w:eastAsia="SimSun" w:cs="SimSun"/>
          <w:sz w:val="19"/>
          <w:szCs w:val="19"/>
          <w:spacing w:val="9"/>
        </w:rPr>
        <w:t>务，但免费服务不是平台</w:t>
      </w:r>
      <w:r>
        <w:rPr>
          <w:rFonts w:ascii="SimSun" w:hAnsi="SimSun" w:eastAsia="SimSun" w:cs="SimSun"/>
          <w:sz w:val="19"/>
          <w:szCs w:val="19"/>
        </w:rPr>
        <w:t xml:space="preserve"> </w:t>
      </w:r>
      <w:r>
        <w:rPr>
          <w:rFonts w:ascii="SimSun" w:hAnsi="SimSun" w:eastAsia="SimSun" w:cs="SimSun"/>
          <w:sz w:val="19"/>
          <w:szCs w:val="19"/>
          <w:spacing w:val="9"/>
        </w:rPr>
        <w:t>的核心业务，而是其核心业务的基础。平台的核心业务大多在于流量</w:t>
      </w:r>
      <w:r>
        <w:rPr>
          <w:rFonts w:ascii="SimSun" w:hAnsi="SimSun" w:eastAsia="SimSun" w:cs="SimSun"/>
          <w:sz w:val="19"/>
          <w:szCs w:val="19"/>
          <w:spacing w:val="6"/>
        </w:rPr>
        <w:t xml:space="preserve"> </w:t>
      </w:r>
      <w:r>
        <w:rPr>
          <w:rFonts w:ascii="SimSun" w:hAnsi="SimSun" w:eastAsia="SimSun" w:cs="SimSun"/>
          <w:sz w:val="19"/>
          <w:szCs w:val="19"/>
          <w:spacing w:val="10"/>
        </w:rPr>
        <w:t>和数据服务，这是平台经济诸多新特点的根</w:t>
      </w:r>
      <w:r>
        <w:rPr>
          <w:rFonts w:ascii="SimSun" w:hAnsi="SimSun" w:eastAsia="SimSun" w:cs="SimSun"/>
          <w:sz w:val="19"/>
          <w:szCs w:val="19"/>
          <w:spacing w:val="9"/>
        </w:rPr>
        <w:t>源。另一方面，针对平台</w:t>
      </w:r>
      <w:r>
        <w:rPr>
          <w:rFonts w:ascii="SimSun" w:hAnsi="SimSun" w:eastAsia="SimSun" w:cs="SimSun"/>
          <w:sz w:val="19"/>
          <w:szCs w:val="19"/>
        </w:rPr>
        <w:t xml:space="preserve"> </w:t>
      </w:r>
      <w:r>
        <w:rPr>
          <w:rFonts w:ascii="SimSun" w:hAnsi="SimSun" w:eastAsia="SimSun" w:cs="SimSun"/>
          <w:sz w:val="19"/>
          <w:szCs w:val="19"/>
          <w:spacing w:val="9"/>
        </w:rPr>
        <w:t>经济的一些专门分析，如双边市场、隐私保护、大数据等，也对我们</w:t>
      </w:r>
    </w:p>
    <w:p>
      <w:pPr>
        <w:ind w:left="140"/>
        <w:spacing w:line="219" w:lineRule="auto"/>
        <w:rPr>
          <w:rFonts w:ascii="SimSun" w:hAnsi="SimSun" w:eastAsia="SimSun" w:cs="SimSun"/>
          <w:sz w:val="19"/>
          <w:szCs w:val="19"/>
        </w:rPr>
      </w:pPr>
      <w:r>
        <w:rPr>
          <w:rFonts w:ascii="SimSun" w:hAnsi="SimSun" w:eastAsia="SimSun" w:cs="SimSun"/>
          <w:sz w:val="19"/>
          <w:szCs w:val="19"/>
          <w:spacing w:val="7"/>
        </w:rPr>
        <w:t>理解平台经济有很大帮助。</w:t>
      </w:r>
    </w:p>
    <w:p>
      <w:pPr>
        <w:pStyle w:val="BodyText"/>
        <w:spacing w:line="433" w:lineRule="auto"/>
        <w:rPr/>
      </w:pPr>
      <w:r/>
    </w:p>
    <w:p>
      <w:pPr>
        <w:ind w:left="143"/>
        <w:spacing w:before="75" w:line="221" w:lineRule="auto"/>
        <w:rPr>
          <w:rFonts w:ascii="SimHei" w:hAnsi="SimHei" w:eastAsia="SimHei" w:cs="SimHei"/>
          <w:sz w:val="23"/>
          <w:szCs w:val="23"/>
        </w:rPr>
      </w:pPr>
      <w:r>
        <w:rPr>
          <w:rFonts w:ascii="SimHei" w:hAnsi="SimHei" w:eastAsia="SimHei" w:cs="SimHei"/>
          <w:sz w:val="23"/>
          <w:szCs w:val="23"/>
          <w:b/>
          <w:bCs/>
          <w:spacing w:val="6"/>
        </w:rPr>
        <w:t>规模经济、范围经济与网络外部性</w:t>
      </w:r>
    </w:p>
    <w:p>
      <w:pPr>
        <w:pStyle w:val="BodyText"/>
        <w:spacing w:line="365" w:lineRule="auto"/>
        <w:rPr/>
      </w:pPr>
      <w:r/>
    </w:p>
    <w:p>
      <w:pPr>
        <w:ind w:left="140" w:firstLine="469"/>
        <w:spacing w:before="61" w:line="359" w:lineRule="auto"/>
        <w:jc w:val="both"/>
        <w:rPr>
          <w:rFonts w:ascii="SimSun" w:hAnsi="SimSun" w:eastAsia="SimSun" w:cs="SimSun"/>
          <w:sz w:val="19"/>
          <w:szCs w:val="19"/>
        </w:rPr>
      </w:pPr>
      <w:r>
        <w:rPr>
          <w:rFonts w:ascii="SimSun" w:hAnsi="SimSun" w:eastAsia="SimSun" w:cs="SimSun"/>
          <w:sz w:val="19"/>
          <w:szCs w:val="19"/>
          <w:spacing w:val="9"/>
        </w:rPr>
        <w:t>数字平台的基础业务和核心业务一般都具有规模经济、范围经济</w:t>
      </w:r>
      <w:r>
        <w:rPr>
          <w:rFonts w:ascii="SimSun" w:hAnsi="SimSun" w:eastAsia="SimSun" w:cs="SimSun"/>
          <w:sz w:val="19"/>
          <w:szCs w:val="19"/>
          <w:spacing w:val="5"/>
        </w:rPr>
        <w:t xml:space="preserve"> </w:t>
      </w:r>
      <w:r>
        <w:rPr>
          <w:rFonts w:ascii="SimSun" w:hAnsi="SimSun" w:eastAsia="SimSun" w:cs="SimSun"/>
          <w:sz w:val="19"/>
          <w:szCs w:val="19"/>
          <w:spacing w:val="9"/>
        </w:rPr>
        <w:t>和网络外部性特征，这些传统经济特征与现代数据现象结合起来，形</w:t>
      </w:r>
    </w:p>
    <w:p>
      <w:pPr>
        <w:ind w:left="140"/>
        <w:spacing w:line="219" w:lineRule="auto"/>
        <w:rPr>
          <w:rFonts w:ascii="SimSun" w:hAnsi="SimSun" w:eastAsia="SimSun" w:cs="SimSun"/>
          <w:sz w:val="19"/>
          <w:szCs w:val="19"/>
        </w:rPr>
      </w:pPr>
      <w:r>
        <w:rPr>
          <w:rFonts w:ascii="SimSun" w:hAnsi="SimSun" w:eastAsia="SimSun" w:cs="SimSun"/>
          <w:sz w:val="19"/>
          <w:szCs w:val="19"/>
          <w:spacing w:val="7"/>
        </w:rPr>
        <w:t>成了平台经济的独特性。</w:t>
      </w:r>
    </w:p>
    <w:p>
      <w:pPr>
        <w:ind w:left="140" w:firstLine="469"/>
        <w:spacing w:before="113" w:line="350" w:lineRule="auto"/>
        <w:jc w:val="both"/>
        <w:rPr>
          <w:rFonts w:ascii="SimSun" w:hAnsi="SimSun" w:eastAsia="SimSun" w:cs="SimSun"/>
          <w:sz w:val="19"/>
          <w:szCs w:val="19"/>
        </w:rPr>
      </w:pPr>
      <w:r>
        <w:rPr>
          <w:rFonts w:ascii="SimSun" w:hAnsi="SimSun" w:eastAsia="SimSun" w:cs="SimSun"/>
          <w:sz w:val="19"/>
          <w:szCs w:val="19"/>
          <w:spacing w:val="16"/>
        </w:rPr>
        <w:t>规模经济和范围经济都是基于生产技术(生产成本)的概念。规</w:t>
      </w:r>
      <w:r>
        <w:rPr>
          <w:rFonts w:ascii="SimSun" w:hAnsi="SimSun" w:eastAsia="SimSun" w:cs="SimSun"/>
          <w:sz w:val="19"/>
          <w:szCs w:val="19"/>
        </w:rPr>
        <w:t xml:space="preserve"> </w:t>
      </w:r>
      <w:r>
        <w:rPr>
          <w:rFonts w:ascii="SimSun" w:hAnsi="SimSun" w:eastAsia="SimSun" w:cs="SimSun"/>
          <w:sz w:val="19"/>
          <w:szCs w:val="19"/>
          <w:spacing w:val="9"/>
        </w:rPr>
        <w:t>模经济意味着较高的产量对应较低的平均成本，因此大</w:t>
      </w:r>
      <w:r>
        <w:rPr>
          <w:rFonts w:ascii="SimSun" w:hAnsi="SimSun" w:eastAsia="SimSun" w:cs="SimSun"/>
          <w:sz w:val="19"/>
          <w:szCs w:val="19"/>
          <w:spacing w:val="8"/>
        </w:rPr>
        <w:t>企业的生产效 </w:t>
      </w:r>
      <w:r>
        <w:rPr>
          <w:rFonts w:ascii="SimSun" w:hAnsi="SimSun" w:eastAsia="SimSun" w:cs="SimSun"/>
          <w:sz w:val="19"/>
          <w:szCs w:val="19"/>
          <w:spacing w:val="4"/>
        </w:rPr>
        <w:t>率较高，进而市场竞争力较强。</w:t>
      </w:r>
      <w:r>
        <w:rPr>
          <w:rFonts w:ascii="SimSun" w:hAnsi="SimSun" w:eastAsia="SimSun" w:cs="SimSun"/>
          <w:sz w:val="19"/>
          <w:szCs w:val="19"/>
          <w:spacing w:val="53"/>
        </w:rPr>
        <w:t xml:space="preserve"> </w:t>
      </w:r>
      <w:r>
        <w:rPr>
          <w:rFonts w:ascii="SimSun" w:hAnsi="SimSun" w:eastAsia="SimSun" w:cs="SimSun"/>
          <w:sz w:val="19"/>
          <w:szCs w:val="19"/>
          <w:spacing w:val="4"/>
        </w:rPr>
        <w:t>一个与规模经济有关的概念是范围经 </w:t>
      </w:r>
      <w:r>
        <w:rPr>
          <w:rFonts w:ascii="SimSun" w:hAnsi="SimSun" w:eastAsia="SimSun" w:cs="SimSun"/>
          <w:sz w:val="19"/>
          <w:szCs w:val="19"/>
          <w:spacing w:val="9"/>
        </w:rPr>
        <w:t>济，指的是同时生产多种产品时的总成本低于分别生产</w:t>
      </w:r>
      <w:r>
        <w:rPr>
          <w:rFonts w:ascii="SimSun" w:hAnsi="SimSun" w:eastAsia="SimSun" w:cs="SimSun"/>
          <w:sz w:val="19"/>
          <w:szCs w:val="19"/>
          <w:spacing w:val="8"/>
        </w:rPr>
        <w:t>各个产品的成 </w:t>
      </w:r>
      <w:r>
        <w:rPr>
          <w:rFonts w:ascii="SimSun" w:hAnsi="SimSun" w:eastAsia="SimSun" w:cs="SimSun"/>
          <w:sz w:val="19"/>
          <w:szCs w:val="19"/>
          <w:spacing w:val="9"/>
        </w:rPr>
        <w:t>本之和，因此特定范围的多产品企业比单一产品企业效率更高。大多</w:t>
      </w:r>
    </w:p>
    <w:p>
      <w:pPr>
        <w:ind w:left="140"/>
        <w:spacing w:before="1" w:line="218" w:lineRule="auto"/>
        <w:rPr>
          <w:rFonts w:ascii="SimSun" w:hAnsi="SimSun" w:eastAsia="SimSun" w:cs="SimSun"/>
          <w:sz w:val="19"/>
          <w:szCs w:val="19"/>
        </w:rPr>
      </w:pPr>
      <w:r>
        <w:rPr>
          <w:rFonts w:ascii="SimSun" w:hAnsi="SimSun" w:eastAsia="SimSun" w:cs="SimSun"/>
          <w:sz w:val="19"/>
          <w:szCs w:val="19"/>
          <w:spacing w:val="9"/>
        </w:rPr>
        <w:t>数现代企业都提供多品种、多系列甚至多品牌的产品，因此规模经济</w:t>
      </w:r>
    </w:p>
    <w:p>
      <w:pPr>
        <w:ind w:left="140"/>
        <w:spacing w:before="135" w:line="219" w:lineRule="auto"/>
        <w:rPr>
          <w:rFonts w:ascii="SimSun" w:hAnsi="SimSun" w:eastAsia="SimSun" w:cs="SimSun"/>
          <w:sz w:val="19"/>
          <w:szCs w:val="19"/>
        </w:rPr>
      </w:pPr>
      <w:r>
        <w:rPr>
          <w:rFonts w:ascii="SimSun" w:hAnsi="SimSun" w:eastAsia="SimSun" w:cs="SimSun"/>
          <w:sz w:val="19"/>
          <w:szCs w:val="19"/>
          <w:spacing w:val="7"/>
        </w:rPr>
        <w:t>与范围经济之间的界限常常并不明显。</w:t>
      </w:r>
    </w:p>
    <w:p>
      <w:pPr>
        <w:ind w:left="140" w:firstLine="469"/>
        <w:spacing w:before="133" w:line="350" w:lineRule="auto"/>
        <w:jc w:val="both"/>
        <w:rPr>
          <w:rFonts w:ascii="SimSun" w:hAnsi="SimSun" w:eastAsia="SimSun" w:cs="SimSun"/>
          <w:sz w:val="19"/>
          <w:szCs w:val="19"/>
        </w:rPr>
      </w:pPr>
      <w:r>
        <w:rPr>
          <w:rFonts w:ascii="SimSun" w:hAnsi="SimSun" w:eastAsia="SimSun" w:cs="SimSun"/>
          <w:sz w:val="19"/>
          <w:szCs w:val="19"/>
          <w:spacing w:val="9"/>
        </w:rPr>
        <w:t>由于规模经济和范围经济的存在，企业只有将生产的规模做大才</w:t>
      </w:r>
      <w:r>
        <w:rPr>
          <w:rFonts w:ascii="SimSun" w:hAnsi="SimSun" w:eastAsia="SimSun" w:cs="SimSun"/>
          <w:sz w:val="19"/>
          <w:szCs w:val="19"/>
          <w:spacing w:val="4"/>
        </w:rPr>
        <w:t xml:space="preserve"> </w:t>
      </w:r>
      <w:r>
        <w:rPr>
          <w:rFonts w:ascii="SimSun" w:hAnsi="SimSun" w:eastAsia="SimSun" w:cs="SimSun"/>
          <w:sz w:val="19"/>
          <w:szCs w:val="19"/>
          <w:spacing w:val="9"/>
        </w:rPr>
        <w:t>能实现生产的有效性。大企业可以通过投资于价格昂</w:t>
      </w:r>
      <w:r>
        <w:rPr>
          <w:rFonts w:ascii="SimSun" w:hAnsi="SimSun" w:eastAsia="SimSun" w:cs="SimSun"/>
          <w:sz w:val="19"/>
          <w:szCs w:val="19"/>
          <w:spacing w:val="8"/>
        </w:rPr>
        <w:t>贵但技术先进的 </w:t>
      </w:r>
      <w:r>
        <w:rPr>
          <w:rFonts w:ascii="SimSun" w:hAnsi="SimSun" w:eastAsia="SimSun" w:cs="SimSun"/>
          <w:sz w:val="19"/>
          <w:szCs w:val="19"/>
          <w:spacing w:val="9"/>
        </w:rPr>
        <w:t>设备，从而获得较高的产品品质和生产效率，但是先</w:t>
      </w:r>
      <w:r>
        <w:rPr>
          <w:rFonts w:ascii="SimSun" w:hAnsi="SimSun" w:eastAsia="SimSun" w:cs="SimSun"/>
          <w:sz w:val="19"/>
          <w:szCs w:val="19"/>
          <w:spacing w:val="8"/>
        </w:rPr>
        <w:t>进技术的成本效 </w:t>
      </w:r>
      <w:r>
        <w:rPr>
          <w:rFonts w:ascii="SimSun" w:hAnsi="SimSun" w:eastAsia="SimSun" w:cs="SimSun"/>
          <w:sz w:val="19"/>
          <w:szCs w:val="19"/>
          <w:spacing w:val="9"/>
        </w:rPr>
        <w:t>应只有做大规模才能体现出来。例如一个先进的物流</w:t>
      </w:r>
      <w:r>
        <w:rPr>
          <w:rFonts w:ascii="SimSun" w:hAnsi="SimSun" w:eastAsia="SimSun" w:cs="SimSun"/>
          <w:sz w:val="19"/>
          <w:szCs w:val="19"/>
          <w:spacing w:val="8"/>
        </w:rPr>
        <w:t>平台需要大量的 </w:t>
      </w:r>
      <w:r>
        <w:rPr>
          <w:rFonts w:ascii="SimSun" w:hAnsi="SimSun" w:eastAsia="SimSun" w:cs="SimSun"/>
          <w:sz w:val="19"/>
          <w:szCs w:val="19"/>
          <w:spacing w:val="9"/>
        </w:rPr>
        <w:t>固定资产投资，只有当货物规模较大时，才能实现比较高的效率。同</w:t>
      </w:r>
      <w:r>
        <w:rPr>
          <w:rFonts w:ascii="SimSun" w:hAnsi="SimSun" w:eastAsia="SimSun" w:cs="SimSun"/>
          <w:sz w:val="19"/>
          <w:szCs w:val="19"/>
          <w:spacing w:val="16"/>
        </w:rPr>
        <w:t xml:space="preserve"> </w:t>
      </w:r>
      <w:r>
        <w:rPr>
          <w:rFonts w:ascii="SimSun" w:hAnsi="SimSun" w:eastAsia="SimSun" w:cs="SimSun"/>
          <w:sz w:val="19"/>
          <w:szCs w:val="19"/>
          <w:spacing w:val="9"/>
        </w:rPr>
        <w:t>时大企业还可以用一套设备或系统同时生产多种产品</w:t>
      </w:r>
      <w:r>
        <w:rPr>
          <w:rFonts w:ascii="SimSun" w:hAnsi="SimSun" w:eastAsia="SimSun" w:cs="SimSun"/>
          <w:sz w:val="19"/>
          <w:szCs w:val="19"/>
          <w:spacing w:val="8"/>
        </w:rPr>
        <w:t>或服务，通过范 </w:t>
      </w:r>
      <w:r>
        <w:rPr>
          <w:rFonts w:ascii="SimSun" w:hAnsi="SimSun" w:eastAsia="SimSun" w:cs="SimSun"/>
          <w:sz w:val="19"/>
          <w:szCs w:val="19"/>
          <w:spacing w:val="9"/>
        </w:rPr>
        <w:t>围经济进一步提高生产效率。例如小米和苹果公司都</w:t>
      </w:r>
      <w:r>
        <w:rPr>
          <w:rFonts w:ascii="SimSun" w:hAnsi="SimSun" w:eastAsia="SimSun" w:cs="SimSun"/>
          <w:sz w:val="19"/>
          <w:szCs w:val="19"/>
          <w:spacing w:val="8"/>
        </w:rPr>
        <w:t>是以销售网络为 </w:t>
      </w:r>
      <w:r>
        <w:rPr>
          <w:rFonts w:ascii="SimSun" w:hAnsi="SimSun" w:eastAsia="SimSun" w:cs="SimSun"/>
          <w:sz w:val="19"/>
          <w:szCs w:val="19"/>
          <w:spacing w:val="9"/>
        </w:rPr>
        <w:t>基础，涉猎很多不同产品的制造和供应，充分发挥了网络的范围经济</w:t>
      </w:r>
    </w:p>
    <w:p>
      <w:pPr>
        <w:ind w:left="140"/>
        <w:spacing w:line="219" w:lineRule="auto"/>
        <w:rPr>
          <w:rFonts w:ascii="SimSun" w:hAnsi="SimSun" w:eastAsia="SimSun" w:cs="SimSun"/>
          <w:sz w:val="19"/>
          <w:szCs w:val="19"/>
        </w:rPr>
      </w:pPr>
      <w:r>
        <w:rPr>
          <w:rFonts w:ascii="SimSun" w:hAnsi="SimSun" w:eastAsia="SimSun" w:cs="SimSun"/>
          <w:sz w:val="19"/>
          <w:szCs w:val="19"/>
          <w:spacing w:val="9"/>
        </w:rPr>
        <w:t>作用。数字平台企业建立“生态系统”的现象，是规模经济和范围经</w:t>
      </w:r>
    </w:p>
    <w:p>
      <w:pPr>
        <w:spacing w:line="219" w:lineRule="auto"/>
        <w:sectPr>
          <w:headerReference w:type="default" r:id="rId324"/>
          <w:pgSz w:w="7330" w:h="12480"/>
          <w:pgMar w:top="547" w:right="521" w:bottom="400" w:left="619" w:header="385" w:footer="0" w:gutter="0"/>
        </w:sectPr>
        <w:rPr>
          <w:rFonts w:ascii="SimSun" w:hAnsi="SimSun" w:eastAsia="SimSun" w:cs="SimSun"/>
          <w:sz w:val="19"/>
          <w:szCs w:val="19"/>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68" w:line="268" w:lineRule="auto"/>
        <w:rPr>
          <w:rFonts w:ascii="SimSun" w:hAnsi="SimSun" w:eastAsia="SimSun" w:cs="SimSun"/>
          <w:sz w:val="21"/>
          <w:szCs w:val="21"/>
        </w:rPr>
      </w:pPr>
      <w:r>
        <w:rPr>
          <w:rFonts w:ascii="SimSun" w:hAnsi="SimSun" w:eastAsia="SimSun" w:cs="SimSun"/>
          <w:sz w:val="21"/>
          <w:szCs w:val="21"/>
          <w:spacing w:val="-8"/>
        </w:rPr>
        <w:t>济更加高级的表现形式，通过在被投资企业之间建立良性互动关系，</w:t>
      </w:r>
      <w:r>
        <w:rPr>
          <w:rFonts w:ascii="SimSun" w:hAnsi="SimSun" w:eastAsia="SimSun" w:cs="SimSun"/>
          <w:sz w:val="21"/>
          <w:szCs w:val="21"/>
          <w:spacing w:val="14"/>
        </w:rPr>
        <w:t xml:space="preserve"> </w:t>
      </w:r>
      <w:r>
        <w:rPr>
          <w:rFonts w:ascii="SimSun" w:hAnsi="SimSun" w:eastAsia="SimSun" w:cs="SimSun"/>
          <w:sz w:val="21"/>
          <w:szCs w:val="21"/>
          <w:spacing w:val="-12"/>
        </w:rPr>
        <w:t>共享数据流量等资源，实现更高的收益。</w:t>
      </w:r>
    </w:p>
    <w:p>
      <w:pPr>
        <w:ind w:right="69" w:firstLine="420"/>
        <w:spacing w:before="109" w:line="303" w:lineRule="auto"/>
        <w:jc w:val="both"/>
        <w:rPr>
          <w:rFonts w:ascii="SimSun" w:hAnsi="SimSun" w:eastAsia="SimSun" w:cs="SimSun"/>
          <w:sz w:val="21"/>
          <w:szCs w:val="21"/>
        </w:rPr>
      </w:pPr>
      <w:r>
        <w:rPr>
          <w:rFonts w:ascii="SimSun" w:hAnsi="SimSun" w:eastAsia="SimSun" w:cs="SimSun"/>
          <w:sz w:val="21"/>
          <w:szCs w:val="21"/>
          <w:spacing w:val="-11"/>
        </w:rPr>
        <w:t>规模经济还体现为较高的科技研发效率。大企业可以集中较多的</w:t>
      </w:r>
      <w:r>
        <w:rPr>
          <w:rFonts w:ascii="SimSun" w:hAnsi="SimSun" w:eastAsia="SimSun" w:cs="SimSun"/>
          <w:sz w:val="21"/>
          <w:szCs w:val="21"/>
          <w:spacing w:val="12"/>
        </w:rPr>
        <w:t xml:space="preserve"> </w:t>
      </w:r>
      <w:r>
        <w:rPr>
          <w:rFonts w:ascii="SimSun" w:hAnsi="SimSun" w:eastAsia="SimSun" w:cs="SimSun"/>
          <w:sz w:val="21"/>
          <w:szCs w:val="21"/>
          <w:spacing w:val="-11"/>
        </w:rPr>
        <w:t>资源用于科技研发，同时避免在竞争条件下的重复研发现象。科技研</w:t>
      </w:r>
      <w:r>
        <w:rPr>
          <w:rFonts w:ascii="SimSun" w:hAnsi="SimSun" w:eastAsia="SimSun" w:cs="SimSun"/>
          <w:sz w:val="21"/>
          <w:szCs w:val="21"/>
          <w:spacing w:val="7"/>
        </w:rPr>
        <w:t xml:space="preserve"> </w:t>
      </w:r>
      <w:r>
        <w:rPr>
          <w:rFonts w:ascii="SimSun" w:hAnsi="SimSun" w:eastAsia="SimSun" w:cs="SimSun"/>
          <w:sz w:val="21"/>
          <w:szCs w:val="21"/>
          <w:spacing w:val="-7"/>
        </w:rPr>
        <w:t>发支出可以看作是一种“沉没成本”,而先进科技</w:t>
      </w:r>
      <w:r>
        <w:rPr>
          <w:rFonts w:ascii="SimSun" w:hAnsi="SimSun" w:eastAsia="SimSun" w:cs="SimSun"/>
          <w:sz w:val="21"/>
          <w:szCs w:val="21"/>
          <w:spacing w:val="-8"/>
        </w:rPr>
        <w:t>用于生产的产出越</w:t>
      </w:r>
      <w:r>
        <w:rPr>
          <w:rFonts w:ascii="SimSun" w:hAnsi="SimSun" w:eastAsia="SimSun" w:cs="SimSun"/>
          <w:sz w:val="21"/>
          <w:szCs w:val="21"/>
        </w:rPr>
        <w:t xml:space="preserve"> </w:t>
      </w:r>
      <w:r>
        <w:rPr>
          <w:rFonts w:ascii="SimSun" w:hAnsi="SimSun" w:eastAsia="SimSun" w:cs="SimSun"/>
          <w:sz w:val="21"/>
          <w:szCs w:val="21"/>
          <w:spacing w:val="-11"/>
        </w:rPr>
        <w:t>大，产生的效益就越大。大企业不仅有较强的能力投入科技研发，同</w:t>
      </w:r>
      <w:r>
        <w:rPr>
          <w:rFonts w:ascii="SimSun" w:hAnsi="SimSun" w:eastAsia="SimSun" w:cs="SimSun"/>
          <w:sz w:val="21"/>
          <w:szCs w:val="21"/>
          <w:spacing w:val="16"/>
        </w:rPr>
        <w:t xml:space="preserve"> </w:t>
      </w:r>
      <w:r>
        <w:rPr>
          <w:rFonts w:ascii="SimSun" w:hAnsi="SimSun" w:eastAsia="SimSun" w:cs="SimSun"/>
          <w:sz w:val="21"/>
          <w:szCs w:val="21"/>
          <w:spacing w:val="-11"/>
        </w:rPr>
        <w:t>时也能更充分地发掘先进科技的价值。虽然小企业数量众多、创新动</w:t>
      </w:r>
      <w:r>
        <w:rPr>
          <w:rFonts w:ascii="SimSun" w:hAnsi="SimSun" w:eastAsia="SimSun" w:cs="SimSun"/>
          <w:sz w:val="21"/>
          <w:szCs w:val="21"/>
          <w:spacing w:val="12"/>
        </w:rPr>
        <w:t xml:space="preserve"> </w:t>
      </w:r>
      <w:r>
        <w:rPr>
          <w:rFonts w:ascii="SimSun" w:hAnsi="SimSun" w:eastAsia="SimSun" w:cs="SimSun"/>
          <w:sz w:val="21"/>
          <w:szCs w:val="21"/>
          <w:spacing w:val="-11"/>
        </w:rPr>
        <w:t>机强且创新思维活跃，但经济实力弱，竞争压力大，且容易陷入重复</w:t>
      </w:r>
      <w:r>
        <w:rPr>
          <w:rFonts w:ascii="SimSun" w:hAnsi="SimSun" w:eastAsia="SimSun" w:cs="SimSun"/>
          <w:sz w:val="21"/>
          <w:szCs w:val="21"/>
          <w:spacing w:val="8"/>
        </w:rPr>
        <w:t xml:space="preserve"> </w:t>
      </w:r>
      <w:r>
        <w:rPr>
          <w:rFonts w:ascii="SimSun" w:hAnsi="SimSun" w:eastAsia="SimSun" w:cs="SimSun"/>
          <w:sz w:val="21"/>
          <w:szCs w:val="21"/>
          <w:spacing w:val="-9"/>
        </w:rPr>
        <w:t>研发。</w:t>
      </w:r>
    </w:p>
    <w:p>
      <w:pPr>
        <w:ind w:right="72" w:firstLine="420"/>
        <w:spacing w:before="104" w:line="305" w:lineRule="auto"/>
        <w:jc w:val="both"/>
        <w:rPr>
          <w:rFonts w:ascii="SimSun" w:hAnsi="SimSun" w:eastAsia="SimSun" w:cs="SimSun"/>
          <w:sz w:val="21"/>
          <w:szCs w:val="21"/>
        </w:rPr>
      </w:pPr>
      <w:r>
        <w:rPr>
          <w:rFonts w:ascii="SimSun" w:hAnsi="SimSun" w:eastAsia="SimSun" w:cs="SimSun"/>
          <w:sz w:val="21"/>
          <w:szCs w:val="21"/>
          <w:spacing w:val="-11"/>
        </w:rPr>
        <w:t>规模经济使生产有效性与配置有效性之间存在矛盾。在一个市场</w:t>
      </w:r>
      <w:r>
        <w:rPr>
          <w:rFonts w:ascii="SimSun" w:hAnsi="SimSun" w:eastAsia="SimSun" w:cs="SimSun"/>
          <w:sz w:val="21"/>
          <w:szCs w:val="21"/>
          <w:spacing w:val="9"/>
        </w:rPr>
        <w:t xml:space="preserve"> </w:t>
      </w:r>
      <w:r>
        <w:rPr>
          <w:rFonts w:ascii="SimSun" w:hAnsi="SimSun" w:eastAsia="SimSun" w:cs="SimSun"/>
          <w:sz w:val="21"/>
          <w:szCs w:val="21"/>
          <w:spacing w:val="-11"/>
        </w:rPr>
        <w:t>上，企业做大就意味着企业的数量较少，进而意味着市场竞争程度较</w:t>
      </w:r>
      <w:r>
        <w:rPr>
          <w:rFonts w:ascii="SimSun" w:hAnsi="SimSun" w:eastAsia="SimSun" w:cs="SimSun"/>
          <w:sz w:val="21"/>
          <w:szCs w:val="21"/>
          <w:spacing w:val="7"/>
        </w:rPr>
        <w:t xml:space="preserve"> </w:t>
      </w:r>
      <w:r>
        <w:rPr>
          <w:rFonts w:ascii="SimSun" w:hAnsi="SimSun" w:eastAsia="SimSun" w:cs="SimSun"/>
          <w:sz w:val="21"/>
          <w:szCs w:val="21"/>
          <w:spacing w:val="-11"/>
        </w:rPr>
        <w:t>低。但资源配置的有效性要求有充分的市场竞争，这就意味着市场上</w:t>
      </w:r>
      <w:r>
        <w:rPr>
          <w:rFonts w:ascii="SimSun" w:hAnsi="SimSun" w:eastAsia="SimSun" w:cs="SimSun"/>
          <w:sz w:val="21"/>
          <w:szCs w:val="21"/>
          <w:spacing w:val="7"/>
        </w:rPr>
        <w:t xml:space="preserve"> </w:t>
      </w:r>
      <w:r>
        <w:rPr>
          <w:rFonts w:ascii="SimSun" w:hAnsi="SimSun" w:eastAsia="SimSun" w:cs="SimSun"/>
          <w:sz w:val="21"/>
          <w:szCs w:val="21"/>
          <w:spacing w:val="-11"/>
        </w:rPr>
        <w:t>必须存在数量较多的“小企业”。因此，当存在显著规模经济时，生</w:t>
      </w:r>
      <w:r>
        <w:rPr>
          <w:rFonts w:ascii="SimSun" w:hAnsi="SimSun" w:eastAsia="SimSun" w:cs="SimSun"/>
          <w:sz w:val="21"/>
          <w:szCs w:val="21"/>
          <w:spacing w:val="8"/>
        </w:rPr>
        <w:t xml:space="preserve"> </w:t>
      </w:r>
      <w:r>
        <w:rPr>
          <w:rFonts w:ascii="SimSun" w:hAnsi="SimSun" w:eastAsia="SimSun" w:cs="SimSun"/>
          <w:sz w:val="21"/>
          <w:szCs w:val="21"/>
        </w:rPr>
        <w:t>产的有效性(要求企业做大)与产品配置的有</w:t>
      </w:r>
      <w:r>
        <w:rPr>
          <w:rFonts w:ascii="SimSun" w:hAnsi="SimSun" w:eastAsia="SimSun" w:cs="SimSun"/>
          <w:sz w:val="21"/>
          <w:szCs w:val="21"/>
          <w:spacing w:val="-1"/>
        </w:rPr>
        <w:t>效性(要求企业数量较</w:t>
      </w:r>
      <w:r>
        <w:rPr>
          <w:rFonts w:ascii="SimSun" w:hAnsi="SimSun" w:eastAsia="SimSun" w:cs="SimSun"/>
          <w:sz w:val="21"/>
          <w:szCs w:val="21"/>
        </w:rPr>
        <w:t xml:space="preserve"> </w:t>
      </w:r>
      <w:r>
        <w:rPr>
          <w:rFonts w:ascii="SimSun" w:hAnsi="SimSun" w:eastAsia="SimSun" w:cs="SimSun"/>
          <w:sz w:val="21"/>
          <w:szCs w:val="21"/>
          <w:spacing w:val="-7"/>
        </w:rPr>
        <w:t>多)之间存在矛盾，事实上这正是传统“规制经济学</w:t>
      </w:r>
      <w:r>
        <w:rPr>
          <w:rFonts w:ascii="SimSun" w:hAnsi="SimSun" w:eastAsia="SimSun" w:cs="SimSun"/>
          <w:sz w:val="21"/>
          <w:szCs w:val="21"/>
          <w:spacing w:val="-8"/>
        </w:rPr>
        <w:t>”中讨论的基本</w:t>
      </w:r>
      <w:r>
        <w:rPr>
          <w:rFonts w:ascii="SimSun" w:hAnsi="SimSun" w:eastAsia="SimSun" w:cs="SimSun"/>
          <w:sz w:val="21"/>
          <w:szCs w:val="21"/>
        </w:rPr>
        <w:t xml:space="preserve"> </w:t>
      </w:r>
      <w:r>
        <w:rPr>
          <w:rFonts w:ascii="SimSun" w:hAnsi="SimSun" w:eastAsia="SimSun" w:cs="SimSun"/>
          <w:sz w:val="21"/>
          <w:szCs w:val="21"/>
          <w:spacing w:val="-4"/>
        </w:rPr>
        <w:t>矛盾之一。在平台经济中，由于网络外部性的存在，矛</w:t>
      </w:r>
      <w:r>
        <w:rPr>
          <w:rFonts w:ascii="SimSun" w:hAnsi="SimSun" w:eastAsia="SimSun" w:cs="SimSun"/>
          <w:sz w:val="21"/>
          <w:szCs w:val="21"/>
          <w:spacing w:val="-5"/>
        </w:rPr>
        <w:t>盾变得更加</w:t>
      </w:r>
      <w:r>
        <w:rPr>
          <w:rFonts w:ascii="SimSun" w:hAnsi="SimSun" w:eastAsia="SimSun" w:cs="SimSun"/>
          <w:sz w:val="21"/>
          <w:szCs w:val="21"/>
        </w:rPr>
        <w:t xml:space="preserve"> </w:t>
      </w:r>
      <w:r>
        <w:rPr>
          <w:rFonts w:ascii="SimSun" w:hAnsi="SimSun" w:eastAsia="SimSun" w:cs="SimSun"/>
          <w:sz w:val="21"/>
          <w:szCs w:val="21"/>
          <w:spacing w:val="-9"/>
        </w:rPr>
        <w:t>尖锐。</w:t>
      </w:r>
    </w:p>
    <w:p>
      <w:pPr>
        <w:ind w:right="19" w:firstLine="420"/>
        <w:spacing w:before="105" w:line="303" w:lineRule="auto"/>
        <w:jc w:val="both"/>
        <w:rPr>
          <w:rFonts w:ascii="SimSun" w:hAnsi="SimSun" w:eastAsia="SimSun" w:cs="SimSun"/>
          <w:sz w:val="21"/>
          <w:szCs w:val="21"/>
        </w:rPr>
      </w:pPr>
      <w:r>
        <w:rPr>
          <w:rFonts w:ascii="SimSun" w:hAnsi="SimSun" w:eastAsia="SimSun" w:cs="SimSun"/>
          <w:sz w:val="21"/>
          <w:szCs w:val="21"/>
          <w:spacing w:val="-11"/>
        </w:rPr>
        <w:t>规模经济本身意味着过度竞争将导致生产有效性的下降，因而是</w:t>
      </w:r>
      <w:r>
        <w:rPr>
          <w:rFonts w:ascii="SimSun" w:hAnsi="SimSun" w:eastAsia="SimSun" w:cs="SimSun"/>
          <w:sz w:val="21"/>
          <w:szCs w:val="21"/>
          <w:spacing w:val="7"/>
        </w:rPr>
        <w:t xml:space="preserve"> </w:t>
      </w:r>
      <w:r>
        <w:rPr>
          <w:rFonts w:ascii="SimSun" w:hAnsi="SimSun" w:eastAsia="SimSun" w:cs="SimSun"/>
          <w:sz w:val="21"/>
          <w:szCs w:val="21"/>
          <w:spacing w:val="-10"/>
        </w:rPr>
        <w:t>不可取的。事实上，在没有政府规制的情况下，规模</w:t>
      </w:r>
      <w:r>
        <w:rPr>
          <w:rFonts w:ascii="SimSun" w:hAnsi="SimSun" w:eastAsia="SimSun" w:cs="SimSun"/>
          <w:sz w:val="21"/>
          <w:szCs w:val="21"/>
          <w:spacing w:val="-11"/>
        </w:rPr>
        <w:t>经济行业经常出</w:t>
      </w:r>
      <w:r>
        <w:rPr>
          <w:rFonts w:ascii="SimSun" w:hAnsi="SimSun" w:eastAsia="SimSun" w:cs="SimSun"/>
          <w:sz w:val="21"/>
          <w:szCs w:val="21"/>
        </w:rPr>
        <w:t xml:space="preserve"> </w:t>
      </w:r>
      <w:r>
        <w:rPr>
          <w:rFonts w:ascii="SimSun" w:hAnsi="SimSun" w:eastAsia="SimSun" w:cs="SimSun"/>
          <w:sz w:val="21"/>
          <w:szCs w:val="21"/>
          <w:spacing w:val="-11"/>
        </w:rPr>
        <w:t>现“过度进入”的现象。过多的企业进入虽然有利于竞争，但是造成 </w:t>
      </w:r>
      <w:r>
        <w:rPr>
          <w:rFonts w:ascii="SimSun" w:hAnsi="SimSun" w:eastAsia="SimSun" w:cs="SimSun"/>
          <w:sz w:val="21"/>
          <w:szCs w:val="21"/>
          <w:spacing w:val="-11"/>
        </w:rPr>
        <w:t>的固定资产投资浪费非常严重，企业无法发挥规模经济作用，总体效 </w:t>
      </w:r>
      <w:r>
        <w:rPr>
          <w:rFonts w:ascii="SimSun" w:hAnsi="SimSun" w:eastAsia="SimSun" w:cs="SimSun"/>
          <w:sz w:val="21"/>
          <w:szCs w:val="21"/>
          <w:spacing w:val="-8"/>
        </w:rPr>
        <w:t>率反而较低。这时可能需要由政府出面通过颁发牌照或</w:t>
      </w:r>
      <w:r>
        <w:rPr>
          <w:rFonts w:ascii="SimSun" w:hAnsi="SimSun" w:eastAsia="SimSun" w:cs="SimSun"/>
          <w:sz w:val="21"/>
          <w:szCs w:val="21"/>
          <w:spacing w:val="-9"/>
        </w:rPr>
        <w:t>者审批管理，</w:t>
      </w:r>
      <w:r>
        <w:rPr>
          <w:rFonts w:ascii="SimSun" w:hAnsi="SimSun" w:eastAsia="SimSun" w:cs="SimSun"/>
          <w:sz w:val="21"/>
          <w:szCs w:val="21"/>
        </w:rPr>
        <w:t xml:space="preserve"> </w:t>
      </w:r>
      <w:r>
        <w:rPr>
          <w:rFonts w:ascii="SimSun" w:hAnsi="SimSun" w:eastAsia="SimSun" w:cs="SimSun"/>
          <w:sz w:val="21"/>
          <w:szCs w:val="21"/>
          <w:spacing w:val="-4"/>
        </w:rPr>
        <w:t>对一些典型行业的企业数量加以限制，避免出现“一拥而上”的局 </w:t>
      </w:r>
      <w:r>
        <w:rPr>
          <w:rFonts w:ascii="SimSun" w:hAnsi="SimSun" w:eastAsia="SimSun" w:cs="SimSun"/>
          <w:sz w:val="21"/>
          <w:szCs w:val="21"/>
          <w:spacing w:val="-12"/>
        </w:rPr>
        <w:t>面，这些行业包括大型石油化工、通信、汽车制造等。</w:t>
      </w:r>
    </w:p>
    <w:p>
      <w:pPr>
        <w:ind w:right="60" w:firstLine="420"/>
        <w:spacing w:before="110" w:line="284" w:lineRule="auto"/>
        <w:jc w:val="both"/>
        <w:rPr>
          <w:rFonts w:ascii="SimSun" w:hAnsi="SimSun" w:eastAsia="SimSun" w:cs="SimSun"/>
          <w:sz w:val="21"/>
          <w:szCs w:val="21"/>
        </w:rPr>
      </w:pPr>
      <w:r>
        <w:rPr>
          <w:rFonts w:ascii="SimSun" w:hAnsi="SimSun" w:eastAsia="SimSun" w:cs="SimSun"/>
          <w:sz w:val="21"/>
          <w:szCs w:val="21"/>
          <w:spacing w:val="-10"/>
        </w:rPr>
        <w:t>与平台经济另一个非常相关的概念是“网络外部</w:t>
      </w:r>
      <w:r>
        <w:rPr>
          <w:rFonts w:ascii="SimSun" w:hAnsi="SimSun" w:eastAsia="SimSun" w:cs="SimSun"/>
          <w:sz w:val="21"/>
          <w:szCs w:val="21"/>
          <w:spacing w:val="-11"/>
        </w:rPr>
        <w:t>性”。当一个用</w:t>
      </w:r>
      <w:r>
        <w:rPr>
          <w:rFonts w:ascii="SimSun" w:hAnsi="SimSun" w:eastAsia="SimSun" w:cs="SimSun"/>
          <w:sz w:val="21"/>
          <w:szCs w:val="21"/>
        </w:rPr>
        <w:t xml:space="preserve"> </w:t>
      </w:r>
      <w:r>
        <w:rPr>
          <w:rFonts w:ascii="SimSun" w:hAnsi="SimSun" w:eastAsia="SimSun" w:cs="SimSun"/>
          <w:sz w:val="21"/>
          <w:szCs w:val="21"/>
          <w:spacing w:val="-11"/>
        </w:rPr>
        <w:t>户加入一个网络时，会影响这个网络对其他用户的价值，这个效应就</w:t>
      </w:r>
      <w:r>
        <w:rPr>
          <w:rFonts w:ascii="SimSun" w:hAnsi="SimSun" w:eastAsia="SimSun" w:cs="SimSun"/>
          <w:sz w:val="21"/>
          <w:szCs w:val="21"/>
          <w:spacing w:val="8"/>
        </w:rPr>
        <w:t xml:space="preserve"> </w:t>
      </w:r>
      <w:r>
        <w:rPr>
          <w:rFonts w:ascii="SimSun" w:hAnsi="SimSun" w:eastAsia="SimSun" w:cs="SimSun"/>
          <w:sz w:val="21"/>
          <w:szCs w:val="21"/>
          <w:spacing w:val="-11"/>
        </w:rPr>
        <w:t>是“网络外部性”。如果网络外部性的效应为正，那么一个网络的规</w:t>
      </w:r>
    </w:p>
    <w:p>
      <w:pPr>
        <w:spacing w:line="284" w:lineRule="auto"/>
        <w:sectPr>
          <w:headerReference w:type="default" r:id="rId326"/>
          <w:pgSz w:w="7330" w:h="12480"/>
          <w:pgMar w:top="815" w:right="895" w:bottom="400" w:left="359" w:header="652"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right="94" w:firstLine="104"/>
        <w:spacing w:before="68" w:line="293" w:lineRule="auto"/>
        <w:jc w:val="both"/>
        <w:rPr>
          <w:rFonts w:ascii="SimSun" w:hAnsi="SimSun" w:eastAsia="SimSun" w:cs="SimSun"/>
          <w:sz w:val="21"/>
          <w:szCs w:val="21"/>
        </w:rPr>
      </w:pPr>
      <w:r>
        <w:rPr>
          <w:rFonts w:ascii="SimSun" w:hAnsi="SimSun" w:eastAsia="SimSun" w:cs="SimSun"/>
          <w:sz w:val="21"/>
          <w:szCs w:val="21"/>
          <w:spacing w:val="-4"/>
        </w:rPr>
        <w:t>模越大，该网络对每个用户的使用价值就越高，这个效应也被称为</w:t>
      </w:r>
      <w:r>
        <w:rPr>
          <w:rFonts w:ascii="SimSun" w:hAnsi="SimSun" w:eastAsia="SimSun" w:cs="SimSun"/>
          <w:sz w:val="21"/>
          <w:szCs w:val="21"/>
          <w:spacing w:val="15"/>
        </w:rPr>
        <w:t xml:space="preserve"> </w:t>
      </w:r>
      <w:r>
        <w:rPr>
          <w:rFonts w:ascii="SimSun" w:hAnsi="SimSun" w:eastAsia="SimSun" w:cs="SimSun"/>
          <w:sz w:val="21"/>
          <w:szCs w:val="21"/>
          <w:spacing w:val="-14"/>
        </w:rPr>
        <w:t>“网络效应”。例如在通信网络或银行网络中，用户越多，消费者就越</w:t>
      </w:r>
      <w:r>
        <w:rPr>
          <w:rFonts w:ascii="SimSun" w:hAnsi="SimSun" w:eastAsia="SimSun" w:cs="SimSun"/>
          <w:sz w:val="21"/>
          <w:szCs w:val="21"/>
          <w:spacing w:val="16"/>
        </w:rPr>
        <w:t xml:space="preserve"> </w:t>
      </w:r>
      <w:r>
        <w:rPr>
          <w:rFonts w:ascii="SimSun" w:hAnsi="SimSun" w:eastAsia="SimSun" w:cs="SimSun"/>
          <w:sz w:val="21"/>
          <w:szCs w:val="21"/>
          <w:spacing w:val="-7"/>
        </w:rPr>
        <w:t>容易通过这个网络联系到自己想要联系的人，或者与交易伙伴完成金</w:t>
      </w:r>
      <w:r>
        <w:rPr>
          <w:rFonts w:ascii="SimSun" w:hAnsi="SimSun" w:eastAsia="SimSun" w:cs="SimSun"/>
          <w:sz w:val="21"/>
          <w:szCs w:val="21"/>
          <w:spacing w:val="2"/>
        </w:rPr>
        <w:t xml:space="preserve"> </w:t>
      </w:r>
      <w:r>
        <w:rPr>
          <w:rFonts w:ascii="SimSun" w:hAnsi="SimSun" w:eastAsia="SimSun" w:cs="SimSun"/>
          <w:sz w:val="21"/>
          <w:szCs w:val="21"/>
          <w:spacing w:val="15"/>
        </w:rPr>
        <w:t>融交易。</w:t>
      </w:r>
    </w:p>
    <w:p>
      <w:pPr>
        <w:ind w:left="104" w:right="20" w:firstLine="449"/>
        <w:spacing w:before="104" w:line="303" w:lineRule="auto"/>
        <w:jc w:val="both"/>
        <w:rPr>
          <w:rFonts w:ascii="SimSun" w:hAnsi="SimSun" w:eastAsia="SimSun" w:cs="SimSun"/>
          <w:sz w:val="21"/>
          <w:szCs w:val="21"/>
        </w:rPr>
      </w:pPr>
      <w:r>
        <w:rPr>
          <w:rFonts w:ascii="SimSun" w:hAnsi="SimSun" w:eastAsia="SimSun" w:cs="SimSun"/>
          <w:sz w:val="21"/>
          <w:szCs w:val="21"/>
          <w:spacing w:val="-11"/>
        </w:rPr>
        <w:t>网络外部性可以看作需求端的规模经济，但与供应端的规模经济</w:t>
      </w:r>
      <w:r>
        <w:rPr>
          <w:rFonts w:ascii="SimSun" w:hAnsi="SimSun" w:eastAsia="SimSun" w:cs="SimSun"/>
          <w:sz w:val="21"/>
          <w:szCs w:val="21"/>
          <w:spacing w:val="16"/>
        </w:rPr>
        <w:t xml:space="preserve"> </w:t>
      </w:r>
      <w:r>
        <w:rPr>
          <w:rFonts w:ascii="SimSun" w:hAnsi="SimSun" w:eastAsia="SimSun" w:cs="SimSun"/>
          <w:sz w:val="21"/>
          <w:szCs w:val="21"/>
          <w:spacing w:val="-10"/>
        </w:rPr>
        <w:t>不同，供应端的产出是物品，而需求端的消</w:t>
      </w:r>
      <w:r>
        <w:rPr>
          <w:rFonts w:ascii="SimSun" w:hAnsi="SimSun" w:eastAsia="SimSun" w:cs="SimSun"/>
          <w:sz w:val="21"/>
          <w:szCs w:val="21"/>
          <w:spacing w:val="-11"/>
        </w:rPr>
        <w:t>费者是能够独立决策的个 </w:t>
      </w:r>
      <w:r>
        <w:rPr>
          <w:rFonts w:ascii="SimSun" w:hAnsi="SimSun" w:eastAsia="SimSun" w:cs="SimSun"/>
          <w:sz w:val="21"/>
          <w:szCs w:val="21"/>
          <w:spacing w:val="-8"/>
        </w:rPr>
        <w:t>人。正是由于这个原因，网络效应更加容易造成“赢家通吃”现象。</w:t>
      </w:r>
      <w:r>
        <w:rPr>
          <w:rFonts w:ascii="SimSun" w:hAnsi="SimSun" w:eastAsia="SimSun" w:cs="SimSun"/>
          <w:sz w:val="21"/>
          <w:szCs w:val="21"/>
          <w:spacing w:val="3"/>
        </w:rPr>
        <w:t xml:space="preserve"> </w:t>
      </w:r>
      <w:r>
        <w:rPr>
          <w:rFonts w:ascii="SimSun" w:hAnsi="SimSun" w:eastAsia="SimSun" w:cs="SimSun"/>
          <w:sz w:val="21"/>
          <w:szCs w:val="21"/>
          <w:spacing w:val="-10"/>
        </w:rPr>
        <w:t>消费者会根据他们的预期，主动选择最有价</w:t>
      </w:r>
      <w:r>
        <w:rPr>
          <w:rFonts w:ascii="SimSun" w:hAnsi="SimSun" w:eastAsia="SimSun" w:cs="SimSun"/>
          <w:sz w:val="21"/>
          <w:szCs w:val="21"/>
          <w:spacing w:val="-11"/>
        </w:rPr>
        <w:t>值的网络加入，而消费者 </w:t>
      </w:r>
      <w:r>
        <w:rPr>
          <w:rFonts w:ascii="SimSun" w:hAnsi="SimSun" w:eastAsia="SimSun" w:cs="SimSun"/>
          <w:sz w:val="21"/>
          <w:szCs w:val="21"/>
          <w:spacing w:val="-11"/>
        </w:rPr>
        <w:t>预期是“自我实现”的，也就是说，大家普遍看好的网络最终会成为</w:t>
      </w:r>
      <w:r>
        <w:rPr>
          <w:rFonts w:ascii="SimSun" w:hAnsi="SimSun" w:eastAsia="SimSun" w:cs="SimSun"/>
          <w:sz w:val="21"/>
          <w:szCs w:val="21"/>
        </w:rPr>
        <w:t xml:space="preserve">  </w:t>
      </w:r>
      <w:r>
        <w:rPr>
          <w:rFonts w:ascii="SimSun" w:hAnsi="SimSun" w:eastAsia="SimSun" w:cs="SimSun"/>
          <w:sz w:val="21"/>
          <w:szCs w:val="21"/>
          <w:spacing w:val="-10"/>
        </w:rPr>
        <w:t>最有价值的网络。例如在通信和社交网络中</w:t>
      </w:r>
      <w:r>
        <w:rPr>
          <w:rFonts w:ascii="SimSun" w:hAnsi="SimSun" w:eastAsia="SimSun" w:cs="SimSun"/>
          <w:sz w:val="21"/>
          <w:szCs w:val="21"/>
          <w:spacing w:val="-11"/>
        </w:rPr>
        <w:t>，人们大多会主动加入最 </w:t>
      </w:r>
      <w:r>
        <w:rPr>
          <w:rFonts w:ascii="SimSun" w:hAnsi="SimSun" w:eastAsia="SimSun" w:cs="SimSun"/>
          <w:sz w:val="21"/>
          <w:szCs w:val="21"/>
          <w:spacing w:val="-11"/>
        </w:rPr>
        <w:t>大的网络，从而可能形成垄断局面。</w:t>
      </w:r>
    </w:p>
    <w:p>
      <w:pPr>
        <w:ind w:left="104" w:firstLine="449"/>
        <w:spacing w:before="129" w:line="298" w:lineRule="auto"/>
        <w:jc w:val="both"/>
        <w:rPr>
          <w:rFonts w:ascii="SimSun" w:hAnsi="SimSun" w:eastAsia="SimSun" w:cs="SimSun"/>
          <w:sz w:val="21"/>
          <w:szCs w:val="21"/>
        </w:rPr>
      </w:pPr>
      <w:r>
        <w:rPr>
          <w:rFonts w:ascii="SimSun" w:hAnsi="SimSun" w:eastAsia="SimSun" w:cs="SimSun"/>
          <w:sz w:val="21"/>
          <w:szCs w:val="21"/>
          <w:spacing w:val="-11"/>
        </w:rPr>
        <w:t>导致网络外部性的原因大致有两种。</w:t>
      </w:r>
      <w:r>
        <w:rPr>
          <w:rFonts w:ascii="SimSun" w:hAnsi="SimSun" w:eastAsia="SimSun" w:cs="SimSun"/>
          <w:sz w:val="21"/>
          <w:szCs w:val="21"/>
          <w:spacing w:val="38"/>
        </w:rPr>
        <w:t xml:space="preserve"> </w:t>
      </w:r>
      <w:r>
        <w:rPr>
          <w:rFonts w:ascii="SimSun" w:hAnsi="SimSun" w:eastAsia="SimSun" w:cs="SimSun"/>
          <w:sz w:val="21"/>
          <w:szCs w:val="21"/>
          <w:spacing w:val="-11"/>
        </w:rPr>
        <w:t>一种是“直接效应”,即一</w:t>
      </w:r>
      <w:r>
        <w:rPr>
          <w:rFonts w:ascii="SimSun" w:hAnsi="SimSun" w:eastAsia="SimSun" w:cs="SimSun"/>
          <w:sz w:val="21"/>
          <w:szCs w:val="21"/>
        </w:rPr>
        <w:t xml:space="preserve"> </w:t>
      </w:r>
      <w:r>
        <w:rPr>
          <w:rFonts w:ascii="SimSun" w:hAnsi="SimSun" w:eastAsia="SimSun" w:cs="SimSun"/>
          <w:sz w:val="21"/>
          <w:szCs w:val="21"/>
          <w:spacing w:val="-11"/>
        </w:rPr>
        <w:t>个新用户的加入直接提高了其他用户从网络中获得的好处，通信网络</w:t>
      </w:r>
      <w:r>
        <w:rPr>
          <w:rFonts w:ascii="SimSun" w:hAnsi="SimSun" w:eastAsia="SimSun" w:cs="SimSun"/>
          <w:sz w:val="21"/>
          <w:szCs w:val="21"/>
          <w:spacing w:val="9"/>
        </w:rPr>
        <w:t xml:space="preserve">  </w:t>
      </w:r>
      <w:r>
        <w:rPr>
          <w:rFonts w:ascii="SimSun" w:hAnsi="SimSun" w:eastAsia="SimSun" w:cs="SimSun"/>
          <w:sz w:val="21"/>
          <w:szCs w:val="21"/>
          <w:spacing w:val="-4"/>
        </w:rPr>
        <w:t>和电子商务平台就是典型例子，大网络更加有利于交流或交易的完</w:t>
      </w:r>
      <w:r>
        <w:rPr>
          <w:rFonts w:ascii="SimSun" w:hAnsi="SimSun" w:eastAsia="SimSun" w:cs="SimSun"/>
          <w:sz w:val="21"/>
          <w:szCs w:val="21"/>
          <w:spacing w:val="7"/>
        </w:rPr>
        <w:t xml:space="preserve">  </w:t>
      </w:r>
      <w:r>
        <w:rPr>
          <w:rFonts w:ascii="SimSun" w:hAnsi="SimSun" w:eastAsia="SimSun" w:cs="SimSun"/>
          <w:sz w:val="21"/>
          <w:szCs w:val="21"/>
          <w:spacing w:val="-7"/>
        </w:rPr>
        <w:t>成。另一种是“间接效应”,即当网络规模扩大时，为主产品提供的</w:t>
      </w:r>
      <w:r>
        <w:rPr>
          <w:rFonts w:ascii="SimSun" w:hAnsi="SimSun" w:eastAsia="SimSun" w:cs="SimSun"/>
          <w:sz w:val="21"/>
          <w:szCs w:val="21"/>
          <w:spacing w:val="4"/>
        </w:rPr>
        <w:t xml:space="preserve">  </w:t>
      </w:r>
      <w:r>
        <w:rPr>
          <w:rFonts w:ascii="SimSun" w:hAnsi="SimSun" w:eastAsia="SimSun" w:cs="SimSun"/>
          <w:sz w:val="21"/>
          <w:szCs w:val="21"/>
          <w:spacing w:val="-10"/>
        </w:rPr>
        <w:t>配套或应用会更加完备，从而使用户从该产品中获得的价</w:t>
      </w:r>
      <w:r>
        <w:rPr>
          <w:rFonts w:ascii="SimSun" w:hAnsi="SimSun" w:eastAsia="SimSun" w:cs="SimSun"/>
          <w:sz w:val="21"/>
          <w:szCs w:val="21"/>
          <w:spacing w:val="-11"/>
        </w:rPr>
        <w:t>值提升。例</w:t>
      </w:r>
      <w:r>
        <w:rPr>
          <w:rFonts w:ascii="SimSun" w:hAnsi="SimSun" w:eastAsia="SimSun" w:cs="SimSun"/>
          <w:sz w:val="21"/>
          <w:szCs w:val="21"/>
        </w:rPr>
        <w:t xml:space="preserve">  </w:t>
      </w:r>
      <w:r>
        <w:rPr>
          <w:rFonts w:ascii="SimSun" w:hAnsi="SimSun" w:eastAsia="SimSun" w:cs="SimSun"/>
          <w:sz w:val="21"/>
          <w:szCs w:val="21"/>
          <w:spacing w:val="-10"/>
        </w:rPr>
        <w:t>如当一种品牌的家用电器的销售量或保有量提高时，</w:t>
      </w:r>
      <w:r>
        <w:rPr>
          <w:rFonts w:ascii="SimSun" w:hAnsi="SimSun" w:eastAsia="SimSun" w:cs="SimSun"/>
          <w:sz w:val="21"/>
          <w:szCs w:val="21"/>
          <w:spacing w:val="-11"/>
        </w:rPr>
        <w:t>配套的维修维护</w:t>
      </w:r>
      <w:r>
        <w:rPr>
          <w:rFonts w:ascii="SimSun" w:hAnsi="SimSun" w:eastAsia="SimSun" w:cs="SimSun"/>
          <w:sz w:val="21"/>
          <w:szCs w:val="21"/>
        </w:rPr>
        <w:t xml:space="preserve">  </w:t>
      </w:r>
      <w:r>
        <w:rPr>
          <w:rFonts w:ascii="SimSun" w:hAnsi="SimSun" w:eastAsia="SimSun" w:cs="SimSun"/>
          <w:sz w:val="21"/>
          <w:szCs w:val="21"/>
          <w:spacing w:val="-7"/>
        </w:rPr>
        <w:t>服务系统就会更完善，包括更稠密的服务网点、更低</w:t>
      </w:r>
      <w:r>
        <w:rPr>
          <w:rFonts w:ascii="SimSun" w:hAnsi="SimSun" w:eastAsia="SimSun" w:cs="SimSun"/>
          <w:sz w:val="21"/>
          <w:szCs w:val="21"/>
          <w:spacing w:val="-8"/>
        </w:rPr>
        <w:t>廉的配件价格、</w:t>
      </w:r>
      <w:r>
        <w:rPr>
          <w:rFonts w:ascii="SimSun" w:hAnsi="SimSun" w:eastAsia="SimSun" w:cs="SimSun"/>
          <w:sz w:val="21"/>
          <w:szCs w:val="21"/>
        </w:rPr>
        <w:t xml:space="preserve"> </w:t>
      </w:r>
      <w:r>
        <w:rPr>
          <w:rFonts w:ascii="SimSun" w:hAnsi="SimSun" w:eastAsia="SimSun" w:cs="SimSun"/>
          <w:sz w:val="21"/>
          <w:szCs w:val="21"/>
          <w:spacing w:val="-10"/>
        </w:rPr>
        <w:t>更规范的服务、更好的长期可持续性等，从而</w:t>
      </w:r>
      <w:r>
        <w:rPr>
          <w:rFonts w:ascii="SimSun" w:hAnsi="SimSun" w:eastAsia="SimSun" w:cs="SimSun"/>
          <w:sz w:val="21"/>
          <w:szCs w:val="21"/>
          <w:spacing w:val="-11"/>
        </w:rPr>
        <w:t>提高消费者从该品牌家</w:t>
      </w:r>
      <w:r>
        <w:rPr>
          <w:rFonts w:ascii="SimSun" w:hAnsi="SimSun" w:eastAsia="SimSun" w:cs="SimSun"/>
          <w:sz w:val="21"/>
          <w:szCs w:val="21"/>
        </w:rPr>
        <w:t xml:space="preserve">  </w:t>
      </w:r>
      <w:r>
        <w:rPr>
          <w:rFonts w:ascii="SimSun" w:hAnsi="SimSun" w:eastAsia="SimSun" w:cs="SimSun"/>
          <w:sz w:val="21"/>
          <w:szCs w:val="21"/>
          <w:spacing w:val="-10"/>
        </w:rPr>
        <w:t>电中获得的效用。类似的现象也发生在操作系统</w:t>
      </w:r>
      <w:r>
        <w:rPr>
          <w:rFonts w:ascii="SimSun" w:hAnsi="SimSun" w:eastAsia="SimSun" w:cs="SimSun"/>
          <w:sz w:val="21"/>
          <w:szCs w:val="21"/>
          <w:spacing w:val="-11"/>
        </w:rPr>
        <w:t>应用软件上。</w:t>
      </w:r>
    </w:p>
    <w:p>
      <w:pPr>
        <w:ind w:left="104" w:right="26" w:firstLine="449"/>
        <w:spacing w:before="167" w:line="303" w:lineRule="auto"/>
        <w:jc w:val="both"/>
        <w:rPr>
          <w:rFonts w:ascii="SimSun" w:hAnsi="SimSun" w:eastAsia="SimSun" w:cs="SimSun"/>
          <w:sz w:val="21"/>
          <w:szCs w:val="21"/>
        </w:rPr>
      </w:pPr>
      <w:r>
        <w:rPr>
          <w:rFonts w:ascii="SimSun" w:hAnsi="SimSun" w:eastAsia="SimSun" w:cs="SimSun"/>
          <w:sz w:val="21"/>
          <w:szCs w:val="21"/>
          <w:spacing w:val="-3"/>
        </w:rPr>
        <w:t>在产业结构上，网络外部性的存在同样要求企业具有较大的规</w:t>
      </w:r>
      <w:r>
        <w:rPr>
          <w:rFonts w:ascii="SimSun" w:hAnsi="SimSun" w:eastAsia="SimSun" w:cs="SimSun"/>
          <w:sz w:val="21"/>
          <w:szCs w:val="21"/>
          <w:spacing w:val="18"/>
        </w:rPr>
        <w:t xml:space="preserve"> </w:t>
      </w:r>
      <w:r>
        <w:rPr>
          <w:rFonts w:ascii="SimSun" w:hAnsi="SimSun" w:eastAsia="SimSun" w:cs="SimSun"/>
          <w:sz w:val="21"/>
          <w:szCs w:val="21"/>
          <w:spacing w:val="-11"/>
        </w:rPr>
        <w:t>模。例如一个交易、社交、网游、网约车、外卖、短视频、网络游戏 </w:t>
      </w:r>
      <w:r>
        <w:rPr>
          <w:rFonts w:ascii="SimSun" w:hAnsi="SimSun" w:eastAsia="SimSun" w:cs="SimSun"/>
          <w:sz w:val="21"/>
          <w:szCs w:val="21"/>
          <w:spacing w:val="-10"/>
        </w:rPr>
        <w:t>等平台覆盖的人群越大，平台为用户提供的价值就越高，因</w:t>
      </w:r>
      <w:r>
        <w:rPr>
          <w:rFonts w:ascii="SimSun" w:hAnsi="SimSun" w:eastAsia="SimSun" w:cs="SimSun"/>
          <w:sz w:val="21"/>
          <w:szCs w:val="21"/>
          <w:spacing w:val="-11"/>
        </w:rPr>
        <w:t>而竞争力</w:t>
      </w:r>
      <w:r>
        <w:rPr>
          <w:rFonts w:ascii="SimSun" w:hAnsi="SimSun" w:eastAsia="SimSun" w:cs="SimSun"/>
          <w:sz w:val="21"/>
          <w:szCs w:val="21"/>
        </w:rPr>
        <w:t xml:space="preserve"> </w:t>
      </w:r>
      <w:r>
        <w:rPr>
          <w:rFonts w:ascii="SimSun" w:hAnsi="SimSun" w:eastAsia="SimSun" w:cs="SimSun"/>
          <w:sz w:val="21"/>
          <w:szCs w:val="21"/>
          <w:spacing w:val="-11"/>
        </w:rPr>
        <w:t>就越强。也正是由于这种类似规模经济的效应，在网络外部性显著的 </w:t>
      </w:r>
      <w:r>
        <w:rPr>
          <w:rFonts w:ascii="SimSun" w:hAnsi="SimSun" w:eastAsia="SimSun" w:cs="SimSun"/>
          <w:sz w:val="21"/>
          <w:szCs w:val="21"/>
          <w:spacing w:val="-10"/>
        </w:rPr>
        <w:t>市场，也存在生产有效性与配置有效性之间的矛盾。如果一个行业只</w:t>
      </w:r>
      <w:r>
        <w:rPr>
          <w:rFonts w:ascii="SimSun" w:hAnsi="SimSun" w:eastAsia="SimSun" w:cs="SimSun"/>
          <w:sz w:val="21"/>
          <w:szCs w:val="21"/>
          <w:spacing w:val="8"/>
        </w:rPr>
        <w:t xml:space="preserve"> </w:t>
      </w:r>
      <w:r>
        <w:rPr>
          <w:rFonts w:ascii="SimSun" w:hAnsi="SimSun" w:eastAsia="SimSun" w:cs="SimSun"/>
          <w:sz w:val="21"/>
          <w:szCs w:val="21"/>
          <w:spacing w:val="-11"/>
        </w:rPr>
        <w:t>有少数甚至一个平台，那么平台提供产品或服务的效率最高，这样就 </w:t>
      </w:r>
      <w:r>
        <w:rPr>
          <w:rFonts w:ascii="SimSun" w:hAnsi="SimSun" w:eastAsia="SimSun" w:cs="SimSun"/>
          <w:sz w:val="21"/>
          <w:szCs w:val="21"/>
          <w:spacing w:val="-10"/>
        </w:rPr>
        <w:t>形成了垄断，不利于产品配置的有效性。如果平台过多，消费者可以</w:t>
      </w:r>
    </w:p>
    <w:p>
      <w:pPr>
        <w:spacing w:line="303" w:lineRule="auto"/>
        <w:sectPr>
          <w:headerReference w:type="default" r:id="rId327"/>
          <w:pgSz w:w="7330" w:h="12480"/>
          <w:pgMar w:top="517" w:right="594" w:bottom="400" w:left="545" w:header="355"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109"/>
        <w:spacing w:before="69" w:line="284" w:lineRule="auto"/>
        <w:jc w:val="both"/>
        <w:rPr>
          <w:rFonts w:ascii="SimSun" w:hAnsi="SimSun" w:eastAsia="SimSun" w:cs="SimSun"/>
          <w:sz w:val="21"/>
          <w:szCs w:val="21"/>
        </w:rPr>
      </w:pPr>
      <w:r>
        <w:rPr>
          <w:rFonts w:ascii="SimSun" w:hAnsi="SimSun" w:eastAsia="SimSun" w:cs="SimSun"/>
          <w:sz w:val="21"/>
          <w:szCs w:val="21"/>
          <w:spacing w:val="-10"/>
        </w:rPr>
        <w:t>选择不同平台，从而提高平台之间竞争的激烈程度，但</w:t>
      </w:r>
      <w:r>
        <w:rPr>
          <w:rFonts w:ascii="SimSun" w:hAnsi="SimSun" w:eastAsia="SimSun" w:cs="SimSun"/>
          <w:sz w:val="21"/>
          <w:szCs w:val="21"/>
          <w:spacing w:val="-11"/>
        </w:rPr>
        <w:t>是每个平台的</w:t>
      </w:r>
      <w:r>
        <w:rPr>
          <w:rFonts w:ascii="SimSun" w:hAnsi="SimSun" w:eastAsia="SimSun" w:cs="SimSun"/>
          <w:sz w:val="21"/>
          <w:szCs w:val="21"/>
        </w:rPr>
        <w:t xml:space="preserve"> </w:t>
      </w:r>
      <w:r>
        <w:rPr>
          <w:rFonts w:ascii="SimSun" w:hAnsi="SimSun" w:eastAsia="SimSun" w:cs="SimSun"/>
          <w:sz w:val="21"/>
          <w:szCs w:val="21"/>
          <w:spacing w:val="-7"/>
        </w:rPr>
        <w:t>使用价值下降，各种交易成本(例如在平台间转换、比较价格或比较</w:t>
      </w:r>
      <w:r>
        <w:rPr>
          <w:rFonts w:ascii="SimSun" w:hAnsi="SimSun" w:eastAsia="SimSun" w:cs="SimSun"/>
          <w:sz w:val="21"/>
          <w:szCs w:val="21"/>
          <w:spacing w:val="2"/>
        </w:rPr>
        <w:t xml:space="preserve"> </w:t>
      </w:r>
      <w:r>
        <w:rPr>
          <w:rFonts w:ascii="SimSun" w:hAnsi="SimSun" w:eastAsia="SimSun" w:cs="SimSun"/>
          <w:sz w:val="21"/>
          <w:szCs w:val="21"/>
          <w:spacing w:val="-5"/>
        </w:rPr>
        <w:t>产品属性的成本)也可能会上升。</w:t>
      </w:r>
    </w:p>
    <w:p>
      <w:pPr>
        <w:ind w:firstLine="410"/>
        <w:spacing w:before="131" w:line="289" w:lineRule="auto"/>
        <w:jc w:val="both"/>
        <w:rPr>
          <w:rFonts w:ascii="SimSun" w:hAnsi="SimSun" w:eastAsia="SimSun" w:cs="SimSun"/>
          <w:sz w:val="21"/>
          <w:szCs w:val="21"/>
        </w:rPr>
      </w:pPr>
      <w:r>
        <w:rPr>
          <w:rFonts w:ascii="SimSun" w:hAnsi="SimSun" w:eastAsia="SimSun" w:cs="SimSun"/>
          <w:sz w:val="21"/>
          <w:szCs w:val="21"/>
          <w:spacing w:val="-7"/>
        </w:rPr>
        <w:t>当网络效应非常显著时，具有先发优势的企业可能会迅速扩张，</w:t>
      </w:r>
      <w:r>
        <w:rPr>
          <w:rFonts w:ascii="SimSun" w:hAnsi="SimSun" w:eastAsia="SimSun" w:cs="SimSun"/>
          <w:sz w:val="21"/>
          <w:szCs w:val="21"/>
          <w:spacing w:val="9"/>
        </w:rPr>
        <w:t xml:space="preserve"> </w:t>
      </w:r>
      <w:r>
        <w:rPr>
          <w:rFonts w:ascii="SimSun" w:hAnsi="SimSun" w:eastAsia="SimSun" w:cs="SimSun"/>
          <w:sz w:val="21"/>
          <w:szCs w:val="21"/>
          <w:spacing w:val="-4"/>
        </w:rPr>
        <w:t>从而取得巨大的成本优势，而成本优势又会转化为竞争中的价格优</w:t>
      </w:r>
      <w:r>
        <w:rPr>
          <w:rFonts w:ascii="SimSun" w:hAnsi="SimSun" w:eastAsia="SimSun" w:cs="SimSun"/>
          <w:sz w:val="21"/>
          <w:szCs w:val="21"/>
          <w:spacing w:val="6"/>
        </w:rPr>
        <w:t xml:space="preserve">  </w:t>
      </w:r>
      <w:r>
        <w:rPr>
          <w:rFonts w:ascii="SimSun" w:hAnsi="SimSun" w:eastAsia="SimSun" w:cs="SimSun"/>
          <w:sz w:val="21"/>
          <w:szCs w:val="21"/>
          <w:spacing w:val="-11"/>
        </w:rPr>
        <w:t>势。当在位企业的地位稳定后，其他企业就很难再进入市场，这样就</w:t>
      </w:r>
      <w:r>
        <w:rPr>
          <w:rFonts w:ascii="SimSun" w:hAnsi="SimSun" w:eastAsia="SimSun" w:cs="SimSun"/>
          <w:sz w:val="21"/>
          <w:szCs w:val="21"/>
          <w:spacing w:val="9"/>
        </w:rPr>
        <w:t xml:space="preserve">  </w:t>
      </w:r>
      <w:r>
        <w:rPr>
          <w:rFonts w:ascii="SimSun" w:hAnsi="SimSun" w:eastAsia="SimSun" w:cs="SimSun"/>
          <w:sz w:val="21"/>
          <w:szCs w:val="21"/>
          <w:spacing w:val="-11"/>
        </w:rPr>
        <w:t>形成垄断或少数寡头割据的局面。例如在操作系统和社交方面，就存</w:t>
      </w:r>
      <w:r>
        <w:rPr>
          <w:rFonts w:ascii="SimSun" w:hAnsi="SimSun" w:eastAsia="SimSun" w:cs="SimSun"/>
          <w:sz w:val="21"/>
          <w:szCs w:val="21"/>
          <w:spacing w:val="8"/>
        </w:rPr>
        <w:t xml:space="preserve">  </w:t>
      </w:r>
      <w:r>
        <w:rPr>
          <w:rFonts w:ascii="SimSun" w:hAnsi="SimSun" w:eastAsia="SimSun" w:cs="SimSun"/>
          <w:sz w:val="21"/>
          <w:szCs w:val="21"/>
          <w:spacing w:val="-11"/>
        </w:rPr>
        <w:t>在明显的垄断趋势，基本上是“赢家通吃”,市场竞争明显不足。</w:t>
      </w:r>
    </w:p>
    <w:p>
      <w:pPr>
        <w:ind w:right="40" w:firstLine="410"/>
        <w:spacing w:before="135" w:line="297" w:lineRule="auto"/>
        <w:jc w:val="both"/>
        <w:rPr>
          <w:rFonts w:ascii="SimSun" w:hAnsi="SimSun" w:eastAsia="SimSun" w:cs="SimSun"/>
          <w:sz w:val="21"/>
          <w:szCs w:val="21"/>
        </w:rPr>
      </w:pPr>
      <w:r>
        <w:rPr>
          <w:rFonts w:ascii="SimSun" w:hAnsi="SimSun" w:eastAsia="SimSun" w:cs="SimSun"/>
          <w:sz w:val="21"/>
          <w:szCs w:val="21"/>
          <w:spacing w:val="-11"/>
        </w:rPr>
        <w:t>无论是规模经济还是网络外部性，都不一定是“全局”的，而有 </w:t>
      </w:r>
      <w:r>
        <w:rPr>
          <w:rFonts w:ascii="SimSun" w:hAnsi="SimSun" w:eastAsia="SimSun" w:cs="SimSun"/>
          <w:sz w:val="21"/>
          <w:szCs w:val="21"/>
          <w:spacing w:val="-10"/>
        </w:rPr>
        <w:t>一定限度。即使在典型的规模经济行业，例如</w:t>
      </w:r>
      <w:r>
        <w:rPr>
          <w:rFonts w:ascii="SimSun" w:hAnsi="SimSun" w:eastAsia="SimSun" w:cs="SimSun"/>
          <w:sz w:val="21"/>
          <w:szCs w:val="21"/>
          <w:spacing w:val="-11"/>
        </w:rPr>
        <w:t>汽车制造，过大的规模 </w:t>
      </w:r>
      <w:r>
        <w:rPr>
          <w:rFonts w:ascii="SimSun" w:hAnsi="SimSun" w:eastAsia="SimSun" w:cs="SimSun"/>
          <w:sz w:val="21"/>
          <w:szCs w:val="21"/>
          <w:spacing w:val="-10"/>
        </w:rPr>
        <w:t>也会使固定成本节省的效应不再明显，而由</w:t>
      </w:r>
      <w:r>
        <w:rPr>
          <w:rFonts w:ascii="SimSun" w:hAnsi="SimSun" w:eastAsia="SimSun" w:cs="SimSun"/>
          <w:sz w:val="21"/>
          <w:szCs w:val="21"/>
          <w:spacing w:val="-11"/>
        </w:rPr>
        <w:t>于内部信息沟通困难等原 </w:t>
      </w:r>
      <w:r>
        <w:rPr>
          <w:rFonts w:ascii="SimSun" w:hAnsi="SimSun" w:eastAsia="SimSun" w:cs="SimSun"/>
          <w:sz w:val="21"/>
          <w:szCs w:val="21"/>
          <w:spacing w:val="-10"/>
        </w:rPr>
        <w:t>因导致的“大企业病”会越来越严重，最终</w:t>
      </w:r>
      <w:r>
        <w:rPr>
          <w:rFonts w:ascii="SimSun" w:hAnsi="SimSun" w:eastAsia="SimSun" w:cs="SimSun"/>
          <w:sz w:val="21"/>
          <w:szCs w:val="21"/>
          <w:spacing w:val="-11"/>
        </w:rPr>
        <w:t>导致规模不经济。当导致 </w:t>
      </w:r>
      <w:r>
        <w:rPr>
          <w:rFonts w:ascii="SimSun" w:hAnsi="SimSun" w:eastAsia="SimSun" w:cs="SimSun"/>
          <w:sz w:val="21"/>
          <w:szCs w:val="21"/>
          <w:spacing w:val="-8"/>
        </w:rPr>
        <w:t>规模不经济的因素超越导致规模经济的因素时，规模效应就会终止，</w:t>
      </w:r>
      <w:r>
        <w:rPr>
          <w:rFonts w:ascii="SimSun" w:hAnsi="SimSun" w:eastAsia="SimSun" w:cs="SimSun"/>
          <w:sz w:val="21"/>
          <w:szCs w:val="21"/>
          <w:spacing w:val="4"/>
        </w:rPr>
        <w:t xml:space="preserve"> </w:t>
      </w:r>
      <w:r>
        <w:rPr>
          <w:rFonts w:ascii="SimSun" w:hAnsi="SimSun" w:eastAsia="SimSun" w:cs="SimSun"/>
          <w:sz w:val="21"/>
          <w:szCs w:val="21"/>
          <w:spacing w:val="-10"/>
        </w:rPr>
        <w:t>企业达到最优生产规模。对于网络平台而言也</w:t>
      </w:r>
      <w:r>
        <w:rPr>
          <w:rFonts w:ascii="SimSun" w:hAnsi="SimSun" w:eastAsia="SimSun" w:cs="SimSun"/>
          <w:sz w:val="21"/>
          <w:szCs w:val="21"/>
          <w:spacing w:val="-11"/>
        </w:rPr>
        <w:t>是如此。我国当前的平 </w:t>
      </w:r>
      <w:r>
        <w:rPr>
          <w:rFonts w:ascii="SimSun" w:hAnsi="SimSun" w:eastAsia="SimSun" w:cs="SimSun"/>
          <w:sz w:val="21"/>
          <w:szCs w:val="21"/>
          <w:spacing w:val="-10"/>
        </w:rPr>
        <w:t>台经济领域，在规模经济与充分竞争之间存在</w:t>
      </w:r>
      <w:r>
        <w:rPr>
          <w:rFonts w:ascii="SimSun" w:hAnsi="SimSun" w:eastAsia="SimSun" w:cs="SimSun"/>
          <w:sz w:val="21"/>
          <w:szCs w:val="21"/>
          <w:spacing w:val="-11"/>
        </w:rPr>
        <w:t>各种不同的状态，应该 </w:t>
      </w:r>
      <w:r>
        <w:rPr>
          <w:rFonts w:ascii="SimSun" w:hAnsi="SimSun" w:eastAsia="SimSun" w:cs="SimSun"/>
          <w:sz w:val="21"/>
          <w:szCs w:val="21"/>
          <w:spacing w:val="-13"/>
        </w:rPr>
        <w:t>具体问题具体分析。</w:t>
      </w:r>
    </w:p>
    <w:p>
      <w:pPr>
        <w:ind w:right="40" w:firstLine="410"/>
        <w:spacing w:before="174" w:line="308" w:lineRule="auto"/>
        <w:jc w:val="both"/>
        <w:rPr>
          <w:rFonts w:ascii="SimSun" w:hAnsi="SimSun" w:eastAsia="SimSun" w:cs="SimSun"/>
          <w:sz w:val="21"/>
          <w:szCs w:val="21"/>
        </w:rPr>
      </w:pPr>
      <w:r>
        <w:rPr>
          <w:rFonts w:ascii="SimSun" w:hAnsi="SimSun" w:eastAsia="SimSun" w:cs="SimSun"/>
          <w:sz w:val="21"/>
          <w:szCs w:val="21"/>
          <w:spacing w:val="-10"/>
        </w:rPr>
        <w:t>虽然存在规模经济、范围经济和网络外部性，我国平台经济的多</w:t>
      </w:r>
      <w:r>
        <w:rPr>
          <w:rFonts w:ascii="SimSun" w:hAnsi="SimSun" w:eastAsia="SimSun" w:cs="SimSun"/>
          <w:sz w:val="21"/>
          <w:szCs w:val="21"/>
          <w:spacing w:val="7"/>
        </w:rPr>
        <w:t xml:space="preserve"> </w:t>
      </w:r>
      <w:r>
        <w:rPr>
          <w:rFonts w:ascii="SimSun" w:hAnsi="SimSun" w:eastAsia="SimSun" w:cs="SimSun"/>
          <w:sz w:val="21"/>
          <w:szCs w:val="21"/>
          <w:spacing w:val="-10"/>
        </w:rPr>
        <w:t>数领域已经从一家独大向百花齐放转变。虽然</w:t>
      </w:r>
      <w:r>
        <w:rPr>
          <w:rFonts w:ascii="SimSun" w:hAnsi="SimSun" w:eastAsia="SimSun" w:cs="SimSun"/>
          <w:sz w:val="21"/>
          <w:szCs w:val="21"/>
          <w:spacing w:val="-11"/>
        </w:rPr>
        <w:t>部分平台企业的规模仍 </w:t>
      </w:r>
      <w:r>
        <w:rPr>
          <w:rFonts w:ascii="SimSun" w:hAnsi="SimSun" w:eastAsia="SimSun" w:cs="SimSun"/>
          <w:sz w:val="21"/>
          <w:szCs w:val="21"/>
          <w:spacing w:val="-10"/>
        </w:rPr>
        <w:t>然很大，但是市场竞争程度已经较高，基本不</w:t>
      </w:r>
      <w:r>
        <w:rPr>
          <w:rFonts w:ascii="SimSun" w:hAnsi="SimSun" w:eastAsia="SimSun" w:cs="SimSun"/>
          <w:sz w:val="21"/>
          <w:szCs w:val="21"/>
          <w:spacing w:val="-11"/>
        </w:rPr>
        <w:t>存在垄断的可能性。例 </w:t>
      </w:r>
      <w:r>
        <w:rPr>
          <w:rFonts w:ascii="SimSun" w:hAnsi="SimSun" w:eastAsia="SimSun" w:cs="SimSun"/>
          <w:sz w:val="21"/>
          <w:szCs w:val="21"/>
          <w:spacing w:val="-10"/>
        </w:rPr>
        <w:t>如在电子商务领域，有包括天猫、京东、拼多</w:t>
      </w:r>
      <w:r>
        <w:rPr>
          <w:rFonts w:ascii="SimSun" w:hAnsi="SimSun" w:eastAsia="SimSun" w:cs="SimSun"/>
          <w:sz w:val="21"/>
          <w:szCs w:val="21"/>
          <w:spacing w:val="-11"/>
        </w:rPr>
        <w:t>多等大型综合平台，以 </w:t>
      </w:r>
      <w:r>
        <w:rPr>
          <w:rFonts w:ascii="SimSun" w:hAnsi="SimSun" w:eastAsia="SimSun" w:cs="SimSun"/>
          <w:sz w:val="21"/>
          <w:szCs w:val="21"/>
          <w:spacing w:val="-4"/>
        </w:rPr>
        <w:t>及许多其他小型特色平台，相互之间的竞争非常激烈；在网约车行 </w:t>
      </w:r>
      <w:r>
        <w:rPr>
          <w:rFonts w:ascii="SimSun" w:hAnsi="SimSun" w:eastAsia="SimSun" w:cs="SimSun"/>
          <w:sz w:val="21"/>
          <w:szCs w:val="21"/>
          <w:spacing w:val="-10"/>
        </w:rPr>
        <w:t>业，虽然滴滴的规模较大，但是也存在美团、</w:t>
      </w:r>
      <w:r>
        <w:rPr>
          <w:rFonts w:ascii="SimSun" w:hAnsi="SimSun" w:eastAsia="SimSun" w:cs="SimSun"/>
          <w:sz w:val="21"/>
          <w:szCs w:val="21"/>
          <w:spacing w:val="-11"/>
        </w:rPr>
        <w:t>曹操、首汽等多个竞争 </w:t>
      </w:r>
      <w:r>
        <w:rPr>
          <w:rFonts w:ascii="SimSun" w:hAnsi="SimSun" w:eastAsia="SimSun" w:cs="SimSun"/>
          <w:sz w:val="21"/>
          <w:szCs w:val="21"/>
          <w:spacing w:val="-10"/>
        </w:rPr>
        <w:t>者，任何谋求垄断的行为都会成为竞争者扩大</w:t>
      </w:r>
      <w:r>
        <w:rPr>
          <w:rFonts w:ascii="SimSun" w:hAnsi="SimSun" w:eastAsia="SimSun" w:cs="SimSun"/>
          <w:sz w:val="21"/>
          <w:szCs w:val="21"/>
          <w:spacing w:val="-11"/>
        </w:rPr>
        <w:t>市场份额的机会；在外 </w:t>
      </w:r>
      <w:r>
        <w:rPr>
          <w:rFonts w:ascii="SimSun" w:hAnsi="SimSun" w:eastAsia="SimSun" w:cs="SimSun"/>
          <w:sz w:val="21"/>
          <w:szCs w:val="21"/>
          <w:spacing w:val="-11"/>
        </w:rPr>
        <w:t>卖送餐行业，美团的市场份额较大，但是面临来自饿了么的竞</w:t>
      </w:r>
      <w:r>
        <w:rPr>
          <w:rFonts w:ascii="SimSun" w:hAnsi="SimSun" w:eastAsia="SimSun" w:cs="SimSun"/>
          <w:sz w:val="21"/>
          <w:szCs w:val="21"/>
          <w:spacing w:val="-12"/>
        </w:rPr>
        <w:t>争，其</w:t>
      </w:r>
      <w:r>
        <w:rPr>
          <w:rFonts w:ascii="SimSun" w:hAnsi="SimSun" w:eastAsia="SimSun" w:cs="SimSun"/>
          <w:sz w:val="21"/>
          <w:szCs w:val="21"/>
        </w:rPr>
        <w:t xml:space="preserve">  </w:t>
      </w:r>
      <w:r>
        <w:rPr>
          <w:rFonts w:ascii="SimSun" w:hAnsi="SimSun" w:eastAsia="SimSun" w:cs="SimSun"/>
          <w:sz w:val="21"/>
          <w:szCs w:val="21"/>
          <w:spacing w:val="-10"/>
        </w:rPr>
        <w:t>他平台也可能成为潜在竞争者；在支付方面，</w:t>
      </w:r>
      <w:r>
        <w:rPr>
          <w:rFonts w:ascii="SimSun" w:hAnsi="SimSun" w:eastAsia="SimSun" w:cs="SimSun"/>
          <w:sz w:val="21"/>
          <w:szCs w:val="21"/>
          <w:spacing w:val="-11"/>
        </w:rPr>
        <w:t>支付宝和财付通有一定 </w:t>
      </w:r>
      <w:r>
        <w:rPr>
          <w:rFonts w:ascii="SimSun" w:hAnsi="SimSun" w:eastAsia="SimSun" w:cs="SimSun"/>
          <w:sz w:val="21"/>
          <w:szCs w:val="21"/>
          <w:spacing w:val="-8"/>
        </w:rPr>
        <w:t>优势但相互竞争，同时还要与传统的银行、信用卡等支付体系竞争；</w:t>
      </w:r>
      <w:r>
        <w:rPr>
          <w:rFonts w:ascii="SimSun" w:hAnsi="SimSun" w:eastAsia="SimSun" w:cs="SimSun"/>
          <w:sz w:val="21"/>
          <w:szCs w:val="21"/>
          <w:spacing w:val="4"/>
        </w:rPr>
        <w:t xml:space="preserve"> </w:t>
      </w:r>
      <w:r>
        <w:rPr>
          <w:rFonts w:ascii="SimSun" w:hAnsi="SimSun" w:eastAsia="SimSun" w:cs="SimSun"/>
          <w:sz w:val="21"/>
          <w:szCs w:val="21"/>
          <w:spacing w:val="-3"/>
        </w:rPr>
        <w:t>在网络视频方面，无论是中长视频(爱奇艺、优</w:t>
      </w:r>
      <w:r>
        <w:rPr>
          <w:rFonts w:ascii="SimSun" w:hAnsi="SimSun" w:eastAsia="SimSun" w:cs="SimSun"/>
          <w:sz w:val="21"/>
          <w:szCs w:val="21"/>
          <w:spacing w:val="-4"/>
        </w:rPr>
        <w:t>酷、腾讯等)还是短</w:t>
      </w:r>
    </w:p>
    <w:p>
      <w:pPr>
        <w:spacing w:line="308" w:lineRule="auto"/>
        <w:sectPr>
          <w:headerReference w:type="default" r:id="rId328"/>
          <w:pgSz w:w="7330" w:h="12480"/>
          <w:pgMar w:top="799" w:right="774" w:bottom="400" w:left="449" w:header="632"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47"/>
        <w:spacing w:before="69" w:line="297" w:lineRule="auto"/>
        <w:jc w:val="both"/>
        <w:rPr>
          <w:rFonts w:ascii="SimSun" w:hAnsi="SimSun" w:eastAsia="SimSun" w:cs="SimSun"/>
          <w:sz w:val="21"/>
          <w:szCs w:val="21"/>
        </w:rPr>
      </w:pPr>
      <w:r>
        <w:rPr>
          <w:rFonts w:ascii="SimSun" w:hAnsi="SimSun" w:eastAsia="SimSun" w:cs="SimSun"/>
          <w:sz w:val="21"/>
          <w:szCs w:val="21"/>
        </w:rPr>
        <w:t>视频(抖音、快手等),都有非常充分的竞争。</w:t>
      </w:r>
      <w:r>
        <w:rPr>
          <w:rFonts w:ascii="SimSun" w:hAnsi="SimSun" w:eastAsia="SimSun" w:cs="SimSun"/>
          <w:sz w:val="21"/>
          <w:szCs w:val="21"/>
          <w:spacing w:val="-1"/>
        </w:rPr>
        <w:t>快递行业作为一个典</w:t>
      </w:r>
      <w:r>
        <w:rPr>
          <w:rFonts w:ascii="SimSun" w:hAnsi="SimSun" w:eastAsia="SimSun" w:cs="SimSun"/>
          <w:sz w:val="21"/>
          <w:szCs w:val="21"/>
        </w:rPr>
        <w:t xml:space="preserve"> </w:t>
      </w:r>
      <w:r>
        <w:rPr>
          <w:rFonts w:ascii="SimSun" w:hAnsi="SimSun" w:eastAsia="SimSun" w:cs="SimSun"/>
          <w:sz w:val="21"/>
          <w:szCs w:val="21"/>
          <w:spacing w:val="-11"/>
        </w:rPr>
        <w:t>型的规模效应行业，运营企业众多，竞争十分激烈，过度的竞争反而</w:t>
      </w:r>
      <w:r>
        <w:rPr>
          <w:rFonts w:ascii="SimSun" w:hAnsi="SimSun" w:eastAsia="SimSun" w:cs="SimSun"/>
          <w:sz w:val="21"/>
          <w:szCs w:val="21"/>
          <w:spacing w:val="9"/>
        </w:rPr>
        <w:t xml:space="preserve"> </w:t>
      </w:r>
      <w:r>
        <w:rPr>
          <w:rFonts w:ascii="SimSun" w:hAnsi="SimSun" w:eastAsia="SimSun" w:cs="SimSun"/>
          <w:sz w:val="21"/>
          <w:szCs w:val="21"/>
          <w:spacing w:val="-11"/>
        </w:rPr>
        <w:t>不利于企业的技术进步和服务改善。与一些小型经济体相比，我国具</w:t>
      </w:r>
      <w:r>
        <w:rPr>
          <w:rFonts w:ascii="SimSun" w:hAnsi="SimSun" w:eastAsia="SimSun" w:cs="SimSun"/>
          <w:sz w:val="21"/>
          <w:szCs w:val="21"/>
          <w:spacing w:val="10"/>
        </w:rPr>
        <w:t xml:space="preserve"> </w:t>
      </w:r>
      <w:r>
        <w:rPr>
          <w:rFonts w:ascii="SimSun" w:hAnsi="SimSun" w:eastAsia="SimSun" w:cs="SimSun"/>
          <w:sz w:val="21"/>
          <w:szCs w:val="21"/>
          <w:spacing w:val="-11"/>
        </w:rPr>
        <w:t>有“大市场”优势，庞大的市场规模经常可以容纳若干个平台同时运</w:t>
      </w:r>
      <w:r>
        <w:rPr>
          <w:rFonts w:ascii="SimSun" w:hAnsi="SimSun" w:eastAsia="SimSun" w:cs="SimSun"/>
          <w:sz w:val="21"/>
          <w:szCs w:val="21"/>
          <w:spacing w:val="6"/>
        </w:rPr>
        <w:t xml:space="preserve"> </w:t>
      </w:r>
      <w:r>
        <w:rPr>
          <w:rFonts w:ascii="SimSun" w:hAnsi="SimSun" w:eastAsia="SimSun" w:cs="SimSun"/>
          <w:sz w:val="21"/>
          <w:szCs w:val="21"/>
          <w:spacing w:val="-11"/>
        </w:rPr>
        <w:t>行，而不会过度影响规模和网络效应的发挥。</w:t>
      </w:r>
    </w:p>
    <w:p>
      <w:pPr>
        <w:ind w:right="23" w:firstLine="430"/>
        <w:spacing w:before="108" w:line="303" w:lineRule="auto"/>
        <w:jc w:val="both"/>
        <w:rPr>
          <w:rFonts w:ascii="SimSun" w:hAnsi="SimSun" w:eastAsia="SimSun" w:cs="SimSun"/>
          <w:sz w:val="21"/>
          <w:szCs w:val="21"/>
        </w:rPr>
      </w:pPr>
      <w:r>
        <w:rPr>
          <w:rFonts w:ascii="SimSun" w:hAnsi="SimSun" w:eastAsia="SimSun" w:cs="SimSun"/>
          <w:sz w:val="21"/>
          <w:szCs w:val="21"/>
          <w:spacing w:val="-12"/>
        </w:rPr>
        <w:t>另一方面，也有部分领域的平台保持着很高的市场集中度，竞争</w:t>
      </w:r>
      <w:r>
        <w:rPr>
          <w:rFonts w:ascii="SimSun" w:hAnsi="SimSun" w:eastAsia="SimSun" w:cs="SimSun"/>
          <w:sz w:val="21"/>
          <w:szCs w:val="21"/>
          <w:spacing w:val="3"/>
        </w:rPr>
        <w:t xml:space="preserve"> </w:t>
      </w:r>
      <w:r>
        <w:rPr>
          <w:rFonts w:ascii="SimSun" w:hAnsi="SimSun" w:eastAsia="SimSun" w:cs="SimSun"/>
          <w:sz w:val="21"/>
          <w:szCs w:val="21"/>
          <w:spacing w:val="-11"/>
        </w:rPr>
        <w:t>不足是主要矛盾。以网络社交平台为例，该行业头部企业的规模非常</w:t>
      </w:r>
      <w:r>
        <w:rPr>
          <w:rFonts w:ascii="SimSun" w:hAnsi="SimSun" w:eastAsia="SimSun" w:cs="SimSun"/>
          <w:sz w:val="21"/>
          <w:szCs w:val="21"/>
          <w:spacing w:val="10"/>
        </w:rPr>
        <w:t xml:space="preserve"> </w:t>
      </w:r>
      <w:r>
        <w:rPr>
          <w:rFonts w:ascii="SimSun" w:hAnsi="SimSun" w:eastAsia="SimSun" w:cs="SimSun"/>
          <w:sz w:val="21"/>
          <w:szCs w:val="21"/>
          <w:spacing w:val="-11"/>
        </w:rPr>
        <w:t>庞大，已经深入社会生活的每个角落，虽然基础业务对于用户是免费</w:t>
      </w:r>
      <w:r>
        <w:rPr>
          <w:rFonts w:ascii="SimSun" w:hAnsi="SimSun" w:eastAsia="SimSun" w:cs="SimSun"/>
          <w:sz w:val="21"/>
          <w:szCs w:val="21"/>
          <w:spacing w:val="11"/>
        </w:rPr>
        <w:t xml:space="preserve"> </w:t>
      </w:r>
      <w:r>
        <w:rPr>
          <w:rFonts w:ascii="SimSun" w:hAnsi="SimSun" w:eastAsia="SimSun" w:cs="SimSun"/>
          <w:sz w:val="21"/>
          <w:szCs w:val="21"/>
          <w:spacing w:val="-11"/>
        </w:rPr>
        <w:t>的，但是仍可以通过在企业端有偿提供“流量”导入服务，获得巨额</w:t>
      </w:r>
      <w:r>
        <w:rPr>
          <w:rFonts w:ascii="SimSun" w:hAnsi="SimSun" w:eastAsia="SimSun" w:cs="SimSun"/>
          <w:sz w:val="21"/>
          <w:szCs w:val="21"/>
          <w:spacing w:val="6"/>
        </w:rPr>
        <w:t xml:space="preserve"> </w:t>
      </w:r>
      <w:r>
        <w:rPr>
          <w:rFonts w:ascii="SimSun" w:hAnsi="SimSun" w:eastAsia="SimSun" w:cs="SimSun"/>
          <w:sz w:val="21"/>
          <w:szCs w:val="21"/>
          <w:spacing w:val="-11"/>
        </w:rPr>
        <w:t>利润和巨大的社会影响力。在这种情况下，鼓励进入、促进竞争是政</w:t>
      </w:r>
      <w:r>
        <w:rPr>
          <w:rFonts w:ascii="SimSun" w:hAnsi="SimSun" w:eastAsia="SimSun" w:cs="SimSun"/>
          <w:sz w:val="21"/>
          <w:szCs w:val="21"/>
          <w:spacing w:val="7"/>
        </w:rPr>
        <w:t xml:space="preserve"> </w:t>
      </w:r>
      <w:r>
        <w:rPr>
          <w:rFonts w:ascii="SimSun" w:hAnsi="SimSun" w:eastAsia="SimSun" w:cs="SimSun"/>
          <w:sz w:val="21"/>
          <w:szCs w:val="21"/>
          <w:spacing w:val="-10"/>
        </w:rPr>
        <w:t>策制定者需要努力的方向。虽然要努力保护数字平台的效率和企业的</w:t>
      </w:r>
      <w:r>
        <w:rPr>
          <w:rFonts w:ascii="SimSun" w:hAnsi="SimSun" w:eastAsia="SimSun" w:cs="SimSun"/>
          <w:sz w:val="21"/>
          <w:szCs w:val="21"/>
          <w:spacing w:val="4"/>
        </w:rPr>
        <w:t xml:space="preserve"> </w:t>
      </w:r>
      <w:r>
        <w:rPr>
          <w:rFonts w:ascii="SimSun" w:hAnsi="SimSun" w:eastAsia="SimSun" w:cs="SimSun"/>
          <w:sz w:val="21"/>
          <w:szCs w:val="21"/>
          <w:spacing w:val="-11"/>
        </w:rPr>
        <w:t>投资积极性，但也要防止过度垄断。</w:t>
      </w:r>
    </w:p>
    <w:p>
      <w:pPr>
        <w:ind w:right="1" w:firstLine="430"/>
        <w:spacing w:before="107" w:line="306" w:lineRule="auto"/>
        <w:jc w:val="both"/>
        <w:rPr>
          <w:rFonts w:ascii="SimSun" w:hAnsi="SimSun" w:eastAsia="SimSun" w:cs="SimSun"/>
          <w:sz w:val="21"/>
          <w:szCs w:val="21"/>
        </w:rPr>
      </w:pPr>
      <w:r>
        <w:rPr>
          <w:rFonts w:ascii="SimSun" w:hAnsi="SimSun" w:eastAsia="SimSun" w:cs="SimSun"/>
          <w:sz w:val="21"/>
          <w:szCs w:val="21"/>
          <w:spacing w:val="-11"/>
        </w:rPr>
        <w:t>网络</w:t>
      </w:r>
      <w:r>
        <w:rPr>
          <w:rFonts w:ascii="SimSun" w:hAnsi="SimSun" w:eastAsia="SimSun" w:cs="SimSun"/>
          <w:sz w:val="21"/>
          <w:szCs w:val="21"/>
          <w:spacing w:val="-10"/>
        </w:rPr>
        <w:t>外部性的另一面是数字平台的排他性。国内外很多</w:t>
      </w:r>
      <w:r>
        <w:rPr>
          <w:rFonts w:ascii="SimSun" w:hAnsi="SimSun" w:eastAsia="SimSun" w:cs="SimSun"/>
          <w:sz w:val="21"/>
          <w:szCs w:val="21"/>
          <w:spacing w:val="-11"/>
        </w:rPr>
        <w:t>平台企</w:t>
      </w:r>
      <w:r>
        <w:rPr>
          <w:rFonts w:ascii="SimSun" w:hAnsi="SimSun" w:eastAsia="SimSun" w:cs="SimSun"/>
          <w:sz w:val="21"/>
          <w:szCs w:val="21"/>
          <w:spacing w:val="-9"/>
        </w:rPr>
        <w:t>业</w:t>
      </w:r>
      <w:r>
        <w:rPr>
          <w:rFonts w:ascii="SimSun" w:hAnsi="SimSun" w:eastAsia="SimSun" w:cs="SimSun"/>
          <w:sz w:val="21"/>
          <w:szCs w:val="21"/>
        </w:rPr>
        <w:t xml:space="preserve"> </w:t>
      </w:r>
      <w:r>
        <w:rPr>
          <w:rFonts w:ascii="SimSun" w:hAnsi="SimSun" w:eastAsia="SimSun" w:cs="SimSun"/>
          <w:sz w:val="21"/>
          <w:szCs w:val="21"/>
          <w:spacing w:val="-11"/>
        </w:rPr>
        <w:t>在商业上的巨大成功，并不完全是因为企业家拥有超越常人的智慧或</w:t>
      </w:r>
      <w:r>
        <w:rPr>
          <w:rFonts w:ascii="SimSun" w:hAnsi="SimSun" w:eastAsia="SimSun" w:cs="SimSun"/>
          <w:sz w:val="21"/>
          <w:szCs w:val="21"/>
          <w:spacing w:val="8"/>
        </w:rPr>
        <w:t xml:space="preserve"> </w:t>
      </w:r>
      <w:r>
        <w:rPr>
          <w:rFonts w:ascii="SimSun" w:hAnsi="SimSun" w:eastAsia="SimSun" w:cs="SimSun"/>
          <w:sz w:val="21"/>
          <w:szCs w:val="21"/>
          <w:spacing w:val="-11"/>
        </w:rPr>
        <w:t>勤奋，在一定程度上也依赖运气和机遇。平台一旦取得先发优势，就</w:t>
      </w:r>
      <w:r>
        <w:rPr>
          <w:rFonts w:ascii="SimSun" w:hAnsi="SimSun" w:eastAsia="SimSun" w:cs="SimSun"/>
          <w:sz w:val="21"/>
          <w:szCs w:val="21"/>
          <w:spacing w:val="8"/>
        </w:rPr>
        <w:t xml:space="preserve"> </w:t>
      </w:r>
      <w:r>
        <w:rPr>
          <w:rFonts w:ascii="SimSun" w:hAnsi="SimSun" w:eastAsia="SimSun" w:cs="SimSun"/>
          <w:sz w:val="21"/>
          <w:szCs w:val="21"/>
          <w:spacing w:val="-11"/>
        </w:rPr>
        <w:t>可以利用网络效应成功“占座”并获得垄断地位，使得其他企业再难</w:t>
      </w:r>
      <w:r>
        <w:rPr>
          <w:rFonts w:ascii="SimSun" w:hAnsi="SimSun" w:eastAsia="SimSun" w:cs="SimSun"/>
          <w:sz w:val="21"/>
          <w:szCs w:val="21"/>
          <w:spacing w:val="7"/>
        </w:rPr>
        <w:t xml:space="preserve"> </w:t>
      </w:r>
      <w:r>
        <w:rPr>
          <w:rFonts w:ascii="SimSun" w:hAnsi="SimSun" w:eastAsia="SimSun" w:cs="SimSun"/>
          <w:sz w:val="21"/>
          <w:szCs w:val="21"/>
          <w:spacing w:val="-11"/>
        </w:rPr>
        <w:t>进入，这就是排他效应，对后发企业有一定的不公平性。事实上，许</w:t>
      </w:r>
      <w:r>
        <w:rPr>
          <w:rFonts w:ascii="SimSun" w:hAnsi="SimSun" w:eastAsia="SimSun" w:cs="SimSun"/>
          <w:sz w:val="21"/>
          <w:szCs w:val="21"/>
          <w:spacing w:val="6"/>
        </w:rPr>
        <w:t xml:space="preserve"> </w:t>
      </w:r>
      <w:r>
        <w:rPr>
          <w:rFonts w:ascii="SimSun" w:hAnsi="SimSun" w:eastAsia="SimSun" w:cs="SimSun"/>
          <w:sz w:val="21"/>
          <w:szCs w:val="21"/>
          <w:spacing w:val="-11"/>
        </w:rPr>
        <w:t>多领先的互联网企业的创始人，在早期都没有预见到今天的成功，甚</w:t>
      </w:r>
      <w:r>
        <w:rPr>
          <w:rFonts w:ascii="SimSun" w:hAnsi="SimSun" w:eastAsia="SimSun" w:cs="SimSun"/>
          <w:sz w:val="21"/>
          <w:szCs w:val="21"/>
          <w:spacing w:val="6"/>
        </w:rPr>
        <w:t xml:space="preserve"> </w:t>
      </w:r>
      <w:r>
        <w:rPr>
          <w:rFonts w:ascii="SimSun" w:hAnsi="SimSun" w:eastAsia="SimSun" w:cs="SimSun"/>
          <w:sz w:val="21"/>
          <w:szCs w:val="21"/>
          <w:spacing w:val="-11"/>
        </w:rPr>
        <w:t>至是在无法将企业转手出售的情况下，被迫亲自经营，最后却成就超</w:t>
      </w:r>
      <w:r>
        <w:rPr>
          <w:rFonts w:ascii="SimSun" w:hAnsi="SimSun" w:eastAsia="SimSun" w:cs="SimSun"/>
          <w:sz w:val="21"/>
          <w:szCs w:val="21"/>
          <w:spacing w:val="7"/>
        </w:rPr>
        <w:t xml:space="preserve"> </w:t>
      </w:r>
      <w:r>
        <w:rPr>
          <w:rFonts w:ascii="SimSun" w:hAnsi="SimSun" w:eastAsia="SimSun" w:cs="SimSun"/>
          <w:sz w:val="21"/>
          <w:szCs w:val="21"/>
          <w:spacing w:val="-11"/>
        </w:rPr>
        <w:t>级企业。远见、能力和勤奋都不一定是成功的秘诀，而网络效应和运</w:t>
      </w:r>
      <w:r>
        <w:rPr>
          <w:rFonts w:ascii="SimSun" w:hAnsi="SimSun" w:eastAsia="SimSun" w:cs="SimSun"/>
          <w:sz w:val="21"/>
          <w:szCs w:val="21"/>
          <w:spacing w:val="6"/>
        </w:rPr>
        <w:t xml:space="preserve"> </w:t>
      </w:r>
      <w:r>
        <w:rPr>
          <w:rFonts w:ascii="SimSun" w:hAnsi="SimSun" w:eastAsia="SimSun" w:cs="SimSun"/>
          <w:sz w:val="21"/>
          <w:szCs w:val="21"/>
          <w:spacing w:val="-16"/>
        </w:rPr>
        <w:t>气不可或缺，不能完全“以成败论英雄”。</w:t>
      </w:r>
    </w:p>
    <w:p>
      <w:pPr>
        <w:ind w:firstLine="430"/>
        <w:spacing w:before="111" w:line="300" w:lineRule="auto"/>
        <w:jc w:val="both"/>
        <w:rPr>
          <w:rFonts w:ascii="SimSun" w:hAnsi="SimSun" w:eastAsia="SimSun" w:cs="SimSun"/>
          <w:sz w:val="21"/>
          <w:szCs w:val="21"/>
        </w:rPr>
      </w:pPr>
      <w:r>
        <w:rPr>
          <w:rFonts w:ascii="SimSun" w:hAnsi="SimSun" w:eastAsia="SimSun" w:cs="SimSun"/>
          <w:sz w:val="21"/>
          <w:szCs w:val="21"/>
          <w:spacing w:val="-11"/>
        </w:rPr>
        <w:t>类</w:t>
      </w:r>
      <w:r>
        <w:rPr>
          <w:rFonts w:ascii="SimSun" w:hAnsi="SimSun" w:eastAsia="SimSun" w:cs="SimSun"/>
          <w:sz w:val="21"/>
          <w:szCs w:val="21"/>
          <w:spacing w:val="-10"/>
        </w:rPr>
        <w:t>似于历史上的荒地开发政策，为了鼓励企业家开拓数字</w:t>
      </w:r>
      <w:r>
        <w:rPr>
          <w:rFonts w:ascii="SimSun" w:hAnsi="SimSun" w:eastAsia="SimSun" w:cs="SimSun"/>
          <w:sz w:val="21"/>
          <w:szCs w:val="21"/>
          <w:spacing w:val="-11"/>
        </w:rPr>
        <w:t>科技</w:t>
      </w:r>
      <w:r>
        <w:rPr>
          <w:rFonts w:ascii="SimSun" w:hAnsi="SimSun" w:eastAsia="SimSun" w:cs="SimSun"/>
          <w:sz w:val="21"/>
          <w:szCs w:val="21"/>
          <w:spacing w:val="-10"/>
        </w:rPr>
        <w:t>新</w:t>
      </w:r>
      <w:r>
        <w:rPr>
          <w:rFonts w:ascii="SimSun" w:hAnsi="SimSun" w:eastAsia="SimSun" w:cs="SimSun"/>
          <w:sz w:val="21"/>
          <w:szCs w:val="21"/>
        </w:rPr>
        <w:t xml:space="preserve"> </w:t>
      </w:r>
      <w:r>
        <w:rPr>
          <w:rFonts w:ascii="SimSun" w:hAnsi="SimSun" w:eastAsia="SimSun" w:cs="SimSun"/>
          <w:sz w:val="21"/>
          <w:szCs w:val="21"/>
          <w:spacing w:val="-11"/>
        </w:rPr>
        <w:t>领域，在一定程度上实行“谁开发，谁拥有”的政策是有必要的，但</w:t>
      </w:r>
      <w:r>
        <w:rPr>
          <w:rFonts w:ascii="SimSun" w:hAnsi="SimSun" w:eastAsia="SimSun" w:cs="SimSun"/>
          <w:sz w:val="21"/>
          <w:szCs w:val="21"/>
          <w:spacing w:val="7"/>
        </w:rPr>
        <w:t xml:space="preserve"> </w:t>
      </w:r>
      <w:r>
        <w:rPr>
          <w:rFonts w:ascii="SimSun" w:hAnsi="SimSun" w:eastAsia="SimSun" w:cs="SimSun"/>
          <w:sz w:val="21"/>
          <w:szCs w:val="21"/>
          <w:spacing w:val="-11"/>
        </w:rPr>
        <w:t>不应绝对化。当这种基于先发优势的平台垄断影响到其他企业的发展</w:t>
      </w:r>
      <w:r>
        <w:rPr>
          <w:rFonts w:ascii="SimSun" w:hAnsi="SimSun" w:eastAsia="SimSun" w:cs="SimSun"/>
          <w:sz w:val="21"/>
          <w:szCs w:val="21"/>
          <w:spacing w:val="10"/>
        </w:rPr>
        <w:t xml:space="preserve"> </w:t>
      </w:r>
      <w:r>
        <w:rPr>
          <w:rFonts w:ascii="SimSun" w:hAnsi="SimSun" w:eastAsia="SimSun" w:cs="SimSun"/>
          <w:sz w:val="21"/>
          <w:szCs w:val="21"/>
          <w:spacing w:val="-10"/>
        </w:rPr>
        <w:t>空间时，政府应考虑适当予以限制，或者建立特定补偿机制。</w:t>
      </w:r>
      <w:r>
        <w:rPr>
          <w:rFonts w:ascii="SimSun" w:hAnsi="SimSun" w:eastAsia="SimSun" w:cs="SimSun"/>
          <w:sz w:val="21"/>
          <w:szCs w:val="21"/>
          <w:spacing w:val="-11"/>
        </w:rPr>
        <w:t>创建数</w:t>
      </w:r>
      <w:r>
        <w:rPr>
          <w:rFonts w:ascii="SimSun" w:hAnsi="SimSun" w:eastAsia="SimSun" w:cs="SimSun"/>
          <w:sz w:val="21"/>
          <w:szCs w:val="21"/>
        </w:rPr>
        <w:t xml:space="preserve"> </w:t>
      </w:r>
      <w:r>
        <w:rPr>
          <w:rFonts w:ascii="SimSun" w:hAnsi="SimSun" w:eastAsia="SimSun" w:cs="SimSun"/>
          <w:sz w:val="21"/>
          <w:szCs w:val="21"/>
          <w:spacing w:val="-11"/>
        </w:rPr>
        <w:t>字平台的企业家值得享有巨额的回报，社会也不应有仇富心理，但是</w:t>
      </w:r>
      <w:r>
        <w:rPr>
          <w:rFonts w:ascii="SimSun" w:hAnsi="SimSun" w:eastAsia="SimSun" w:cs="SimSun"/>
          <w:sz w:val="21"/>
          <w:szCs w:val="21"/>
          <w:spacing w:val="9"/>
        </w:rPr>
        <w:t xml:space="preserve"> </w:t>
      </w:r>
      <w:r>
        <w:rPr>
          <w:rFonts w:ascii="SimSun" w:hAnsi="SimSun" w:eastAsia="SimSun" w:cs="SimSun"/>
          <w:sz w:val="21"/>
          <w:szCs w:val="21"/>
          <w:spacing w:val="-10"/>
        </w:rPr>
        <w:t>他们同时也应该承担更多的社会责任，毕竟他们的成功是建立在排他</w:t>
      </w:r>
    </w:p>
    <w:p>
      <w:pPr>
        <w:spacing w:line="300" w:lineRule="auto"/>
        <w:sectPr>
          <w:headerReference w:type="default" r:id="rId329"/>
          <w:pgSz w:w="7330" w:h="12480"/>
          <w:pgMar w:top="489" w:right="541" w:bottom="400" w:left="759" w:header="325" w:footer="0" w:gutter="0"/>
        </w:sectPr>
        <w:rPr>
          <w:rFonts w:ascii="SimSun" w:hAnsi="SimSun" w:eastAsia="SimSun" w:cs="SimSun"/>
          <w:sz w:val="21"/>
          <w:szCs w:val="21"/>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9" w:line="220" w:lineRule="auto"/>
        <w:rPr>
          <w:rFonts w:ascii="SimSun" w:hAnsi="SimSun" w:eastAsia="SimSun" w:cs="SimSun"/>
          <w:sz w:val="21"/>
          <w:szCs w:val="21"/>
        </w:rPr>
      </w:pPr>
      <w:r>
        <w:rPr>
          <w:rFonts w:ascii="SimSun" w:hAnsi="SimSun" w:eastAsia="SimSun" w:cs="SimSun"/>
          <w:sz w:val="21"/>
          <w:szCs w:val="21"/>
          <w:spacing w:val="-12"/>
        </w:rPr>
        <w:t>性的网络效应基础之上。</w:t>
      </w:r>
    </w:p>
    <w:p>
      <w:pPr>
        <w:ind w:right="91" w:firstLine="399"/>
        <w:spacing w:before="120" w:line="304" w:lineRule="auto"/>
        <w:jc w:val="both"/>
        <w:rPr>
          <w:rFonts w:ascii="SimSun" w:hAnsi="SimSun" w:eastAsia="SimSun" w:cs="SimSun"/>
          <w:sz w:val="21"/>
          <w:szCs w:val="21"/>
        </w:rPr>
      </w:pPr>
      <w:r>
        <w:rPr>
          <w:rFonts w:ascii="SimSun" w:hAnsi="SimSun" w:eastAsia="SimSun" w:cs="SimSun"/>
          <w:sz w:val="21"/>
          <w:szCs w:val="21"/>
          <w:spacing w:val="-11"/>
        </w:rPr>
        <w:t>平台企业虽然为经济社会注入了很大的活力，但平台经济的发展</w:t>
      </w:r>
      <w:r>
        <w:rPr>
          <w:rFonts w:ascii="SimSun" w:hAnsi="SimSun" w:eastAsia="SimSun" w:cs="SimSun"/>
          <w:sz w:val="21"/>
          <w:szCs w:val="21"/>
          <w:spacing w:val="17"/>
        </w:rPr>
        <w:t xml:space="preserve"> </w:t>
      </w:r>
      <w:r>
        <w:rPr>
          <w:rFonts w:ascii="SimSun" w:hAnsi="SimSun" w:eastAsia="SimSun" w:cs="SimSun"/>
          <w:sz w:val="21"/>
          <w:szCs w:val="21"/>
          <w:spacing w:val="-10"/>
        </w:rPr>
        <w:t>更应强调信息科技的贡献，而不应完全归功于个别</w:t>
      </w:r>
      <w:r>
        <w:rPr>
          <w:rFonts w:ascii="SimSun" w:hAnsi="SimSun" w:eastAsia="SimSun" w:cs="SimSun"/>
          <w:sz w:val="21"/>
          <w:szCs w:val="21"/>
          <w:spacing w:val="-11"/>
        </w:rPr>
        <w:t>企业。正是由于信</w:t>
      </w:r>
      <w:r>
        <w:rPr>
          <w:rFonts w:ascii="SimSun" w:hAnsi="SimSun" w:eastAsia="SimSun" w:cs="SimSun"/>
          <w:sz w:val="21"/>
          <w:szCs w:val="21"/>
        </w:rPr>
        <w:t xml:space="preserve"> </w:t>
      </w:r>
      <w:r>
        <w:rPr>
          <w:rFonts w:ascii="SimSun" w:hAnsi="SimSun" w:eastAsia="SimSun" w:cs="SimSun"/>
          <w:sz w:val="21"/>
          <w:szCs w:val="21"/>
          <w:spacing w:val="-11"/>
        </w:rPr>
        <w:t>息的极端重要性，信息科技通过平台改变了世界，但平台本身只是承</w:t>
      </w:r>
      <w:r>
        <w:rPr>
          <w:rFonts w:ascii="SimSun" w:hAnsi="SimSun" w:eastAsia="SimSun" w:cs="SimSun"/>
          <w:sz w:val="21"/>
          <w:szCs w:val="21"/>
          <w:spacing w:val="18"/>
        </w:rPr>
        <w:t xml:space="preserve"> </w:t>
      </w:r>
      <w:r>
        <w:rPr>
          <w:rFonts w:ascii="SimSun" w:hAnsi="SimSun" w:eastAsia="SimSun" w:cs="SimSun"/>
          <w:sz w:val="21"/>
          <w:szCs w:val="21"/>
          <w:spacing w:val="-11"/>
        </w:rPr>
        <w:t>担了中介角色。世界离开了任何一个平台都不会陷入困境，因为很快</w:t>
      </w:r>
      <w:r>
        <w:rPr>
          <w:rFonts w:ascii="SimSun" w:hAnsi="SimSun" w:eastAsia="SimSun" w:cs="SimSun"/>
          <w:sz w:val="21"/>
          <w:szCs w:val="21"/>
          <w:spacing w:val="15"/>
        </w:rPr>
        <w:t xml:space="preserve"> </w:t>
      </w:r>
      <w:r>
        <w:rPr>
          <w:rFonts w:ascii="SimSun" w:hAnsi="SimSun" w:eastAsia="SimSun" w:cs="SimSun"/>
          <w:sz w:val="21"/>
          <w:szCs w:val="21"/>
          <w:spacing w:val="-11"/>
        </w:rPr>
        <w:t>就会有新的平台出现并完成替代，而无论哪个平台都必须依靠最先进</w:t>
      </w:r>
      <w:r>
        <w:rPr>
          <w:rFonts w:ascii="SimSun" w:hAnsi="SimSun" w:eastAsia="SimSun" w:cs="SimSun"/>
          <w:sz w:val="21"/>
          <w:szCs w:val="21"/>
          <w:spacing w:val="16"/>
        </w:rPr>
        <w:t xml:space="preserve"> </w:t>
      </w:r>
      <w:r>
        <w:rPr>
          <w:rFonts w:ascii="SimSun" w:hAnsi="SimSun" w:eastAsia="SimSun" w:cs="SimSun"/>
          <w:sz w:val="21"/>
          <w:szCs w:val="21"/>
          <w:spacing w:val="-11"/>
        </w:rPr>
        <w:t>的科学技术。虽然平台本身也是应用数字技术的重要贡献者，但仅靠</w:t>
      </w:r>
      <w:r>
        <w:rPr>
          <w:rFonts w:ascii="SimSun" w:hAnsi="SimSun" w:eastAsia="SimSun" w:cs="SimSun"/>
          <w:sz w:val="21"/>
          <w:szCs w:val="21"/>
          <w:spacing w:val="18"/>
        </w:rPr>
        <w:t xml:space="preserve"> </w:t>
      </w:r>
      <w:r>
        <w:rPr>
          <w:rFonts w:ascii="SimSun" w:hAnsi="SimSun" w:eastAsia="SimSun" w:cs="SimSun"/>
          <w:sz w:val="21"/>
          <w:szCs w:val="21"/>
          <w:spacing w:val="-11"/>
        </w:rPr>
        <w:t>其自身是远远不够的。当然，为包括数字平台企业的所有合法运营企</w:t>
      </w:r>
      <w:r>
        <w:rPr>
          <w:rFonts w:ascii="SimSun" w:hAnsi="SimSun" w:eastAsia="SimSun" w:cs="SimSun"/>
          <w:sz w:val="21"/>
          <w:szCs w:val="21"/>
          <w:spacing w:val="17"/>
        </w:rPr>
        <w:t xml:space="preserve"> </w:t>
      </w:r>
      <w:r>
        <w:rPr>
          <w:rFonts w:ascii="SimSun" w:hAnsi="SimSun" w:eastAsia="SimSun" w:cs="SimSun"/>
          <w:sz w:val="21"/>
          <w:szCs w:val="21"/>
          <w:spacing w:val="-11"/>
        </w:rPr>
        <w:t>业提供良好的营商环境，是政府应尽的职责。</w:t>
      </w:r>
    </w:p>
    <w:p>
      <w:pPr>
        <w:ind w:firstLine="399"/>
        <w:spacing w:before="111" w:line="307" w:lineRule="auto"/>
        <w:jc w:val="both"/>
        <w:rPr>
          <w:rFonts w:ascii="SimSun" w:hAnsi="SimSun" w:eastAsia="SimSun" w:cs="SimSun"/>
          <w:sz w:val="21"/>
          <w:szCs w:val="21"/>
        </w:rPr>
      </w:pPr>
      <w:r>
        <w:rPr>
          <w:rFonts w:ascii="SimSun" w:hAnsi="SimSun" w:eastAsia="SimSun" w:cs="SimSun"/>
          <w:sz w:val="21"/>
          <w:szCs w:val="21"/>
          <w:spacing w:val="-7"/>
        </w:rPr>
        <w:t>总之，传统经济学中的规模经济、范围经济和网络外部性理论，</w:t>
      </w:r>
      <w:r>
        <w:rPr>
          <w:rFonts w:ascii="SimSun" w:hAnsi="SimSun" w:eastAsia="SimSun" w:cs="SimSun"/>
          <w:sz w:val="21"/>
          <w:szCs w:val="21"/>
        </w:rPr>
        <w:t xml:space="preserve"> </w:t>
      </w:r>
      <w:r>
        <w:rPr>
          <w:rFonts w:ascii="SimSun" w:hAnsi="SimSun" w:eastAsia="SimSun" w:cs="SimSun"/>
          <w:sz w:val="21"/>
          <w:szCs w:val="21"/>
          <w:spacing w:val="-11"/>
        </w:rPr>
        <w:t>对理解数字平台的基础业务和核心业务仍然有很大帮助。平台企业规</w:t>
      </w:r>
      <w:r>
        <w:rPr>
          <w:rFonts w:ascii="SimSun" w:hAnsi="SimSun" w:eastAsia="SimSun" w:cs="SimSun"/>
          <w:sz w:val="21"/>
          <w:szCs w:val="21"/>
          <w:spacing w:val="8"/>
        </w:rPr>
        <w:t xml:space="preserve">  </w:t>
      </w:r>
      <w:r>
        <w:rPr>
          <w:rFonts w:ascii="SimSun" w:hAnsi="SimSun" w:eastAsia="SimSun" w:cs="SimSun"/>
          <w:sz w:val="21"/>
          <w:szCs w:val="21"/>
          <w:spacing w:val="-3"/>
        </w:rPr>
        <w:t>模效应与平台市场充分竞争之间存在着一定的矛盾，相较于传统</w:t>
      </w:r>
      <w:r>
        <w:rPr>
          <w:rFonts w:ascii="SimSun" w:hAnsi="SimSun" w:eastAsia="SimSun" w:cs="SimSun"/>
          <w:sz w:val="21"/>
          <w:szCs w:val="21"/>
          <w:spacing w:val="-4"/>
        </w:rPr>
        <w:t>经 </w:t>
      </w:r>
      <w:r>
        <w:rPr>
          <w:rFonts w:ascii="SimSun" w:hAnsi="SimSun" w:eastAsia="SimSun" w:cs="SimSun"/>
          <w:sz w:val="21"/>
          <w:szCs w:val="21"/>
          <w:spacing w:val="-10"/>
        </w:rPr>
        <w:t>济，由于在需求端存在网络外部性，这一矛盾表</w:t>
      </w:r>
      <w:r>
        <w:rPr>
          <w:rFonts w:ascii="SimSun" w:hAnsi="SimSun" w:eastAsia="SimSun" w:cs="SimSun"/>
          <w:sz w:val="21"/>
          <w:szCs w:val="21"/>
          <w:spacing w:val="-11"/>
        </w:rPr>
        <w:t>现得更为复杂。市场</w:t>
      </w:r>
      <w:r>
        <w:rPr>
          <w:rFonts w:ascii="SimSun" w:hAnsi="SimSun" w:eastAsia="SimSun" w:cs="SimSun"/>
          <w:sz w:val="21"/>
          <w:szCs w:val="21"/>
        </w:rPr>
        <w:t xml:space="preserve">  </w:t>
      </w:r>
      <w:r>
        <w:rPr>
          <w:rFonts w:ascii="SimSun" w:hAnsi="SimSun" w:eastAsia="SimSun" w:cs="SimSun"/>
          <w:sz w:val="21"/>
          <w:szCs w:val="21"/>
          <w:spacing w:val="-11"/>
        </w:rPr>
        <w:t>机制下既可能出现过度竞争，也可能出现过度垄断，应该根据具体情</w:t>
      </w:r>
      <w:r>
        <w:rPr>
          <w:rFonts w:ascii="SimSun" w:hAnsi="SimSun" w:eastAsia="SimSun" w:cs="SimSun"/>
          <w:sz w:val="21"/>
          <w:szCs w:val="21"/>
          <w:spacing w:val="9"/>
        </w:rPr>
        <w:t xml:space="preserve">  </w:t>
      </w:r>
      <w:r>
        <w:rPr>
          <w:rFonts w:ascii="SimSun" w:hAnsi="SimSun" w:eastAsia="SimSun" w:cs="SimSun"/>
          <w:sz w:val="21"/>
          <w:szCs w:val="21"/>
          <w:spacing w:val="-11"/>
        </w:rPr>
        <w:t>况采取适当的政策措施。总的来说，网络外部性更可能导致垄断，但</w:t>
      </w:r>
      <w:r>
        <w:rPr>
          <w:rFonts w:ascii="SimSun" w:hAnsi="SimSun" w:eastAsia="SimSun" w:cs="SimSun"/>
          <w:sz w:val="21"/>
          <w:szCs w:val="21"/>
          <w:spacing w:val="8"/>
        </w:rPr>
        <w:t xml:space="preserve">  </w:t>
      </w:r>
      <w:r>
        <w:rPr>
          <w:rFonts w:ascii="SimSun" w:hAnsi="SimSun" w:eastAsia="SimSun" w:cs="SimSun"/>
          <w:sz w:val="21"/>
          <w:szCs w:val="21"/>
          <w:spacing w:val="-10"/>
        </w:rPr>
        <w:t>是我国具有大市场优势，垄断问题相对可控</w:t>
      </w:r>
      <w:r>
        <w:rPr>
          <w:rFonts w:ascii="SimSun" w:hAnsi="SimSun" w:eastAsia="SimSun" w:cs="SimSun"/>
          <w:sz w:val="21"/>
          <w:szCs w:val="21"/>
          <w:spacing w:val="-11"/>
        </w:rPr>
        <w:t>。数字平台企业的成功在</w:t>
      </w:r>
      <w:r>
        <w:rPr>
          <w:rFonts w:ascii="SimSun" w:hAnsi="SimSun" w:eastAsia="SimSun" w:cs="SimSun"/>
          <w:sz w:val="21"/>
          <w:szCs w:val="21"/>
        </w:rPr>
        <w:t xml:space="preserve">  </w:t>
      </w:r>
      <w:r>
        <w:rPr>
          <w:rFonts w:ascii="SimSun" w:hAnsi="SimSun" w:eastAsia="SimSun" w:cs="SimSun"/>
          <w:sz w:val="21"/>
          <w:szCs w:val="21"/>
          <w:spacing w:val="-10"/>
        </w:rPr>
        <w:t>一定程度上得益于先发优势和网络效应，而不完全是个人才</w:t>
      </w:r>
      <w:r>
        <w:rPr>
          <w:rFonts w:ascii="SimSun" w:hAnsi="SimSun" w:eastAsia="SimSun" w:cs="SimSun"/>
          <w:sz w:val="21"/>
          <w:szCs w:val="21"/>
          <w:spacing w:val="-11"/>
        </w:rPr>
        <w:t>华或努力</w:t>
      </w:r>
      <w:r>
        <w:rPr>
          <w:rFonts w:ascii="SimSun" w:hAnsi="SimSun" w:eastAsia="SimSun" w:cs="SimSun"/>
          <w:sz w:val="21"/>
          <w:szCs w:val="21"/>
        </w:rPr>
        <w:t xml:space="preserve">  </w:t>
      </w:r>
      <w:r>
        <w:rPr>
          <w:rFonts w:ascii="SimSun" w:hAnsi="SimSun" w:eastAsia="SimSun" w:cs="SimSun"/>
          <w:sz w:val="21"/>
          <w:szCs w:val="21"/>
          <w:spacing w:val="-11"/>
        </w:rPr>
        <w:t>的结果，因此从理论上看，让数字平台承担较多的社会责任并不违反</w:t>
      </w:r>
      <w:r>
        <w:rPr>
          <w:rFonts w:ascii="SimSun" w:hAnsi="SimSun" w:eastAsia="SimSun" w:cs="SimSun"/>
          <w:sz w:val="21"/>
          <w:szCs w:val="21"/>
          <w:spacing w:val="7"/>
        </w:rPr>
        <w:t xml:space="preserve">  </w:t>
      </w:r>
      <w:r>
        <w:rPr>
          <w:rFonts w:ascii="SimSun" w:hAnsi="SimSun" w:eastAsia="SimSun" w:cs="SimSun"/>
          <w:sz w:val="21"/>
          <w:szCs w:val="21"/>
          <w:spacing w:val="-8"/>
        </w:rPr>
        <w:t>公平原则。</w:t>
      </w:r>
    </w:p>
    <w:p>
      <w:pPr>
        <w:pStyle w:val="BodyText"/>
        <w:spacing w:line="359" w:lineRule="auto"/>
        <w:rPr/>
      </w:pPr>
      <w:r/>
    </w:p>
    <w:p>
      <w:pPr>
        <w:ind w:left="3"/>
        <w:spacing w:before="82" w:line="218" w:lineRule="auto"/>
        <w:rPr>
          <w:rFonts w:ascii="YouYuan" w:hAnsi="YouYuan" w:eastAsia="YouYuan" w:cs="YouYuan"/>
          <w:sz w:val="25"/>
          <w:szCs w:val="25"/>
        </w:rPr>
      </w:pPr>
      <w:r>
        <w:rPr>
          <w:rFonts w:ascii="YouYuan" w:hAnsi="YouYuan" w:eastAsia="YouYuan" w:cs="YouYuan"/>
          <w:sz w:val="25"/>
          <w:szCs w:val="25"/>
          <w:b/>
          <w:bCs/>
          <w:spacing w:val="-13"/>
        </w:rPr>
        <w:t>双边市场：价格结构的重要性</w:t>
      </w:r>
    </w:p>
    <w:p>
      <w:pPr>
        <w:pStyle w:val="BodyText"/>
        <w:spacing w:line="378" w:lineRule="auto"/>
        <w:rPr/>
      </w:pPr>
      <w:r/>
    </w:p>
    <w:p>
      <w:pPr>
        <w:ind w:right="80" w:firstLine="399"/>
        <w:spacing w:before="68" w:line="297" w:lineRule="auto"/>
        <w:jc w:val="both"/>
        <w:rPr>
          <w:rFonts w:ascii="SimSun" w:hAnsi="SimSun" w:eastAsia="SimSun" w:cs="SimSun"/>
          <w:sz w:val="21"/>
          <w:szCs w:val="21"/>
        </w:rPr>
      </w:pPr>
      <w:r>
        <w:rPr>
          <w:rFonts w:ascii="SimSun" w:hAnsi="SimSun" w:eastAsia="SimSun" w:cs="SimSun"/>
          <w:sz w:val="21"/>
          <w:szCs w:val="21"/>
          <w:spacing w:val="-3"/>
        </w:rPr>
        <w:t>双边市场或多边平台是最近20年在学术界兴起的一个关于平台</w:t>
      </w:r>
      <w:r>
        <w:rPr>
          <w:rFonts w:ascii="SimSun" w:hAnsi="SimSun" w:eastAsia="SimSun" w:cs="SimSun"/>
          <w:sz w:val="21"/>
          <w:szCs w:val="21"/>
          <w:spacing w:val="15"/>
        </w:rPr>
        <w:t xml:space="preserve"> </w:t>
      </w:r>
      <w:r>
        <w:rPr>
          <w:rFonts w:ascii="SimSun" w:hAnsi="SimSun" w:eastAsia="SimSun" w:cs="SimSun"/>
          <w:sz w:val="21"/>
          <w:szCs w:val="21"/>
          <w:spacing w:val="-9"/>
        </w:rPr>
        <w:t>的新理论。在一个双边市场上，</w:t>
      </w:r>
      <w:r>
        <w:rPr>
          <w:rFonts w:ascii="SimSun" w:hAnsi="SimSun" w:eastAsia="SimSun" w:cs="SimSun"/>
          <w:sz w:val="21"/>
          <w:szCs w:val="21"/>
          <w:spacing w:val="62"/>
        </w:rPr>
        <w:t xml:space="preserve"> </w:t>
      </w:r>
      <w:r>
        <w:rPr>
          <w:rFonts w:ascii="SimSun" w:hAnsi="SimSun" w:eastAsia="SimSun" w:cs="SimSun"/>
          <w:sz w:val="21"/>
          <w:szCs w:val="21"/>
          <w:spacing w:val="-9"/>
        </w:rPr>
        <w:t>一类用户(如卖方)数量的变化会影</w:t>
      </w:r>
      <w:r>
        <w:rPr>
          <w:rFonts w:ascii="SimSun" w:hAnsi="SimSun" w:eastAsia="SimSun" w:cs="SimSun"/>
          <w:sz w:val="21"/>
          <w:szCs w:val="21"/>
        </w:rPr>
        <w:t xml:space="preserve"> </w:t>
      </w:r>
      <w:r>
        <w:rPr>
          <w:rFonts w:ascii="SimSun" w:hAnsi="SimSun" w:eastAsia="SimSun" w:cs="SimSun"/>
          <w:sz w:val="21"/>
          <w:szCs w:val="21"/>
          <w:spacing w:val="-4"/>
        </w:rPr>
        <w:t>响另一类用户(如买方)的收益，即产生“网络外部性”。关于双边</w:t>
      </w:r>
      <w:r>
        <w:rPr>
          <w:rFonts w:ascii="SimSun" w:hAnsi="SimSun" w:eastAsia="SimSun" w:cs="SimSun"/>
          <w:sz w:val="21"/>
          <w:szCs w:val="21"/>
          <w:spacing w:val="16"/>
        </w:rPr>
        <w:t xml:space="preserve"> </w:t>
      </w:r>
      <w:r>
        <w:rPr>
          <w:rFonts w:ascii="SimSun" w:hAnsi="SimSun" w:eastAsia="SimSun" w:cs="SimSun"/>
          <w:sz w:val="21"/>
          <w:szCs w:val="21"/>
          <w:spacing w:val="-10"/>
        </w:rPr>
        <w:t>性的一个比较严格的定义是由罗歇和梯若尔给出的，如果平台向使用</w:t>
      </w:r>
      <w:r>
        <w:rPr>
          <w:rFonts w:ascii="SimSun" w:hAnsi="SimSun" w:eastAsia="SimSun" w:cs="SimSun"/>
          <w:sz w:val="21"/>
          <w:szCs w:val="21"/>
          <w:spacing w:val="3"/>
        </w:rPr>
        <w:t xml:space="preserve"> </w:t>
      </w:r>
      <w:r>
        <w:rPr>
          <w:rFonts w:ascii="SimSun" w:hAnsi="SimSun" w:eastAsia="SimSun" w:cs="SimSun"/>
          <w:sz w:val="21"/>
          <w:szCs w:val="21"/>
          <w:spacing w:val="-10"/>
        </w:rPr>
        <w:t>平台的各方收取的费用结构会直接影响平台的收入，那么这个平</w:t>
      </w:r>
      <w:r>
        <w:rPr>
          <w:rFonts w:ascii="SimSun" w:hAnsi="SimSun" w:eastAsia="SimSun" w:cs="SimSun"/>
          <w:sz w:val="21"/>
          <w:szCs w:val="21"/>
          <w:spacing w:val="-11"/>
        </w:rPr>
        <w:t>台就</w:t>
      </w:r>
    </w:p>
    <w:p>
      <w:pPr>
        <w:spacing w:line="297" w:lineRule="auto"/>
        <w:sectPr>
          <w:headerReference w:type="default" r:id="rId330"/>
          <w:pgSz w:w="7330" w:h="12480"/>
          <w:pgMar w:top="789" w:right="875" w:bottom="400" w:left="370" w:header="622" w:footer="0" w:gutter="0"/>
        </w:sectPr>
        <w:rPr>
          <w:rFonts w:ascii="SimSun" w:hAnsi="SimSun" w:eastAsia="SimSun" w:cs="SimSun"/>
          <w:sz w:val="21"/>
          <w:szCs w:val="21"/>
        </w:rPr>
      </w:pPr>
    </w:p>
    <w:p>
      <w:pPr>
        <w:pStyle w:val="BodyText"/>
        <w:spacing w:line="246" w:lineRule="auto"/>
        <w:rPr/>
      </w:pPr>
      <w:r>
        <w:drawing>
          <wp:anchor distT="0" distB="0" distL="0" distR="0" simplePos="0" relativeHeight="254509056" behindDoc="0" locked="0" layoutInCell="0" allowOverlap="1">
            <wp:simplePos x="0" y="0"/>
            <wp:positionH relativeFrom="page">
              <wp:posOffset>457216</wp:posOffset>
            </wp:positionH>
            <wp:positionV relativeFrom="page">
              <wp:posOffset>6680204</wp:posOffset>
            </wp:positionV>
            <wp:extent cx="1174715" cy="6350"/>
            <wp:effectExtent l="0" t="0" r="0" b="0"/>
            <wp:wrapNone/>
            <wp:docPr id="234" name="IM 234"/>
            <wp:cNvGraphicFramePr/>
            <a:graphic>
              <a:graphicData uri="http://schemas.openxmlformats.org/drawingml/2006/picture">
                <pic:pic>
                  <pic:nvPicPr>
                    <pic:cNvPr id="234" name="IM 234"/>
                    <pic:cNvPicPr/>
                  </pic:nvPicPr>
                  <pic:blipFill>
                    <a:blip r:embed="rId332"/>
                    <a:stretch>
                      <a:fillRect/>
                    </a:stretch>
                  </pic:blipFill>
                  <pic:spPr>
                    <a:xfrm rot="0">
                      <a:off x="0" y="0"/>
                      <a:ext cx="1174715"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ind w:right="20"/>
        <w:spacing w:before="68" w:line="292" w:lineRule="auto"/>
        <w:jc w:val="both"/>
        <w:rPr>
          <w:rFonts w:ascii="SimSun" w:hAnsi="SimSun" w:eastAsia="SimSun" w:cs="SimSun"/>
          <w:sz w:val="21"/>
          <w:szCs w:val="21"/>
        </w:rPr>
      </w:pPr>
      <w:r>
        <w:rPr>
          <w:rFonts w:ascii="SimSun" w:hAnsi="SimSun" w:eastAsia="SimSun" w:cs="SimSun"/>
          <w:sz w:val="21"/>
          <w:szCs w:val="21"/>
          <w:spacing w:val="-10"/>
        </w:rPr>
        <w:t>具有双边性。①直观上看，这是因为平台给一方的定价需要考虑对另</w:t>
      </w:r>
      <w:r>
        <w:rPr>
          <w:rFonts w:ascii="SimSun" w:hAnsi="SimSun" w:eastAsia="SimSun" w:cs="SimSun"/>
          <w:sz w:val="21"/>
          <w:szCs w:val="21"/>
          <w:spacing w:val="3"/>
        </w:rPr>
        <w:t xml:space="preserve"> </w:t>
      </w:r>
      <w:r>
        <w:rPr>
          <w:rFonts w:ascii="SimSun" w:hAnsi="SimSun" w:eastAsia="SimSun" w:cs="SimSun"/>
          <w:sz w:val="21"/>
          <w:szCs w:val="21"/>
          <w:spacing w:val="-8"/>
        </w:rPr>
        <w:t>一方的外部影响，因此价格结构非常重要。例如，在网络购物平台，</w:t>
      </w:r>
      <w:r>
        <w:rPr>
          <w:rFonts w:ascii="SimSun" w:hAnsi="SimSun" w:eastAsia="SimSun" w:cs="SimSun"/>
          <w:sz w:val="21"/>
          <w:szCs w:val="21"/>
          <w:spacing w:val="4"/>
        </w:rPr>
        <w:t xml:space="preserve"> </w:t>
      </w:r>
      <w:r>
        <w:rPr>
          <w:rFonts w:ascii="SimSun" w:hAnsi="SimSun" w:eastAsia="SimSun" w:cs="SimSun"/>
          <w:sz w:val="21"/>
          <w:szCs w:val="21"/>
          <w:spacing w:val="-10"/>
        </w:rPr>
        <w:t>平台企业可以对平台内的买家和卖家分别收取</w:t>
      </w:r>
      <w:r>
        <w:rPr>
          <w:rFonts w:ascii="SimSun" w:hAnsi="SimSun" w:eastAsia="SimSun" w:cs="SimSun"/>
          <w:sz w:val="21"/>
          <w:szCs w:val="21"/>
          <w:spacing w:val="-11"/>
        </w:rPr>
        <w:t>服务费，如果改变服务 </w:t>
      </w:r>
      <w:r>
        <w:rPr>
          <w:rFonts w:ascii="SimSun" w:hAnsi="SimSun" w:eastAsia="SimSun" w:cs="SimSun"/>
          <w:sz w:val="21"/>
          <w:szCs w:val="21"/>
          <w:spacing w:val="-11"/>
        </w:rPr>
        <w:t>费结构会影响平台收入，那么我们说这个购物平台具有双边性。</w:t>
      </w:r>
    </w:p>
    <w:p>
      <w:pPr>
        <w:ind w:firstLine="430"/>
        <w:spacing w:before="128" w:line="303" w:lineRule="auto"/>
        <w:jc w:val="both"/>
        <w:rPr>
          <w:rFonts w:ascii="SimSun" w:hAnsi="SimSun" w:eastAsia="SimSun" w:cs="SimSun"/>
          <w:sz w:val="21"/>
          <w:szCs w:val="21"/>
        </w:rPr>
      </w:pPr>
      <w:r>
        <w:rPr>
          <w:rFonts w:ascii="SimSun" w:hAnsi="SimSun" w:eastAsia="SimSun" w:cs="SimSun"/>
          <w:sz w:val="21"/>
          <w:szCs w:val="21"/>
          <w:spacing w:val="-13"/>
        </w:rPr>
        <w:t>在现实世界，</w:t>
      </w:r>
      <w:r>
        <w:rPr>
          <w:rFonts w:ascii="SimSun" w:hAnsi="SimSun" w:eastAsia="SimSun" w:cs="SimSun"/>
          <w:sz w:val="21"/>
          <w:szCs w:val="21"/>
          <w:spacing w:val="32"/>
        </w:rPr>
        <w:t xml:space="preserve"> </w:t>
      </w:r>
      <w:r>
        <w:rPr>
          <w:rFonts w:ascii="SimSun" w:hAnsi="SimSun" w:eastAsia="SimSun" w:cs="SimSun"/>
          <w:sz w:val="21"/>
          <w:szCs w:val="21"/>
          <w:spacing w:val="-13"/>
        </w:rPr>
        <w:t>一些平台市场的确可能具有双边或多边性。例如：</w:t>
      </w:r>
      <w:r>
        <w:rPr>
          <w:rFonts w:ascii="SimSun" w:hAnsi="SimSun" w:eastAsia="SimSun" w:cs="SimSun"/>
          <w:sz w:val="21"/>
          <w:szCs w:val="21"/>
        </w:rPr>
        <w:t xml:space="preserve"> </w:t>
      </w:r>
      <w:r>
        <w:rPr>
          <w:rFonts w:ascii="SimSun" w:hAnsi="SimSun" w:eastAsia="SimSun" w:cs="SimSun"/>
          <w:sz w:val="21"/>
          <w:szCs w:val="21"/>
          <w:spacing w:val="-11"/>
        </w:rPr>
        <w:t>婚介平台经常对男性和女性收取不同的费用，或者对有不同背景条件</w:t>
      </w:r>
      <w:r>
        <w:rPr>
          <w:rFonts w:ascii="SimSun" w:hAnsi="SimSun" w:eastAsia="SimSun" w:cs="SimSun"/>
          <w:sz w:val="21"/>
          <w:szCs w:val="21"/>
          <w:spacing w:val="8"/>
        </w:rPr>
        <w:t xml:space="preserve">  </w:t>
      </w:r>
      <w:r>
        <w:rPr>
          <w:rFonts w:ascii="SimSun" w:hAnsi="SimSun" w:eastAsia="SimSun" w:cs="SimSun"/>
          <w:sz w:val="21"/>
          <w:szCs w:val="21"/>
          <w:spacing w:val="-4"/>
        </w:rPr>
        <w:t>的征婚者收取不同的费用，其目的不完全是差别定价，也是为了提</w:t>
      </w:r>
      <w:r>
        <w:rPr>
          <w:rFonts w:ascii="SimSun" w:hAnsi="SimSun" w:eastAsia="SimSun" w:cs="SimSun"/>
          <w:sz w:val="21"/>
          <w:szCs w:val="21"/>
          <w:spacing w:val="6"/>
        </w:rPr>
        <w:t xml:space="preserve">  </w:t>
      </w:r>
      <w:r>
        <w:rPr>
          <w:rFonts w:ascii="SimSun" w:hAnsi="SimSun" w:eastAsia="SimSun" w:cs="SimSun"/>
          <w:sz w:val="21"/>
          <w:szCs w:val="21"/>
          <w:spacing w:val="-10"/>
        </w:rPr>
        <w:t>高匹配率；通信网络对打电话和接电话收取不</w:t>
      </w:r>
      <w:r>
        <w:rPr>
          <w:rFonts w:ascii="SimSun" w:hAnsi="SimSun" w:eastAsia="SimSun" w:cs="SimSun"/>
          <w:sz w:val="21"/>
          <w:szCs w:val="21"/>
          <w:spacing w:val="-11"/>
        </w:rPr>
        <w:t>同的价格；互联网金融</w:t>
      </w:r>
      <w:r>
        <w:rPr>
          <w:rFonts w:ascii="SimSun" w:hAnsi="SimSun" w:eastAsia="SimSun" w:cs="SimSun"/>
          <w:sz w:val="21"/>
          <w:szCs w:val="21"/>
        </w:rPr>
        <w:t xml:space="preserve">  </w:t>
      </w:r>
      <w:r>
        <w:rPr>
          <w:rFonts w:ascii="SimSun" w:hAnsi="SimSun" w:eastAsia="SimSun" w:cs="SimSun"/>
          <w:sz w:val="21"/>
          <w:szCs w:val="21"/>
          <w:spacing w:val="-11"/>
        </w:rPr>
        <w:t>平台对借款人和借出人制订不同的资金价格方案；外卖送餐平台对餐</w:t>
      </w:r>
      <w:r>
        <w:rPr>
          <w:rFonts w:ascii="SimSun" w:hAnsi="SimSun" w:eastAsia="SimSun" w:cs="SimSun"/>
          <w:sz w:val="21"/>
          <w:szCs w:val="21"/>
          <w:spacing w:val="8"/>
        </w:rPr>
        <w:t xml:space="preserve">  </w:t>
      </w:r>
      <w:r>
        <w:rPr>
          <w:rFonts w:ascii="SimSun" w:hAnsi="SimSun" w:eastAsia="SimSun" w:cs="SimSun"/>
          <w:sz w:val="21"/>
          <w:szCs w:val="21"/>
          <w:spacing w:val="-10"/>
        </w:rPr>
        <w:t>馆、食客和骑手设计复杂的网络服务和送餐费方案</w:t>
      </w:r>
      <w:r>
        <w:rPr>
          <w:rFonts w:ascii="SimSun" w:hAnsi="SimSun" w:eastAsia="SimSun" w:cs="SimSun"/>
          <w:sz w:val="21"/>
          <w:szCs w:val="21"/>
          <w:spacing w:val="-11"/>
        </w:rPr>
        <w:t>等。这些价格结构</w:t>
      </w:r>
      <w:r>
        <w:rPr>
          <w:rFonts w:ascii="SimSun" w:hAnsi="SimSun" w:eastAsia="SimSun" w:cs="SimSun"/>
          <w:sz w:val="21"/>
          <w:szCs w:val="21"/>
        </w:rPr>
        <w:t xml:space="preserve">  </w:t>
      </w:r>
      <w:r>
        <w:rPr>
          <w:rFonts w:ascii="SimSun" w:hAnsi="SimSun" w:eastAsia="SimSun" w:cs="SimSun"/>
          <w:sz w:val="21"/>
          <w:szCs w:val="21"/>
          <w:spacing w:val="-11"/>
        </w:rPr>
        <w:t>的存在意味着平台可能是双边甚至多边的。</w:t>
      </w:r>
    </w:p>
    <w:p>
      <w:pPr>
        <w:ind w:right="58" w:firstLine="430"/>
        <w:spacing w:before="105" w:line="306" w:lineRule="auto"/>
        <w:jc w:val="both"/>
        <w:rPr>
          <w:rFonts w:ascii="SimSun" w:hAnsi="SimSun" w:eastAsia="SimSun" w:cs="SimSun"/>
          <w:sz w:val="21"/>
          <w:szCs w:val="21"/>
        </w:rPr>
      </w:pPr>
      <w:r>
        <w:rPr>
          <w:rFonts w:ascii="SimSun" w:hAnsi="SimSun" w:eastAsia="SimSun" w:cs="SimSun"/>
          <w:sz w:val="21"/>
          <w:szCs w:val="21"/>
          <w:spacing w:val="-15"/>
        </w:rPr>
        <w:t>从实践角度看，</w:t>
      </w:r>
      <w:r>
        <w:rPr>
          <w:rFonts w:ascii="SimSun" w:hAnsi="SimSun" w:eastAsia="SimSun" w:cs="SimSun"/>
          <w:sz w:val="21"/>
          <w:szCs w:val="21"/>
          <w:spacing w:val="30"/>
        </w:rPr>
        <w:t xml:space="preserve"> </w:t>
      </w:r>
      <w:r>
        <w:rPr>
          <w:rFonts w:ascii="SimSun" w:hAnsi="SimSun" w:eastAsia="SimSun" w:cs="SimSun"/>
          <w:sz w:val="21"/>
          <w:szCs w:val="21"/>
          <w:spacing w:val="-15"/>
        </w:rPr>
        <w:t>一个有重要影响力的平台是否具有双边性，未必</w:t>
      </w:r>
      <w:r>
        <w:rPr>
          <w:rFonts w:ascii="SimSun" w:hAnsi="SimSun" w:eastAsia="SimSun" w:cs="SimSun"/>
          <w:sz w:val="21"/>
          <w:szCs w:val="21"/>
        </w:rPr>
        <w:t xml:space="preserve"> </w:t>
      </w:r>
      <w:r>
        <w:rPr>
          <w:rFonts w:ascii="SimSun" w:hAnsi="SimSun" w:eastAsia="SimSun" w:cs="SimSun"/>
          <w:sz w:val="21"/>
          <w:szCs w:val="21"/>
          <w:spacing w:val="-10"/>
        </w:rPr>
        <w:t>是显而易见的。有许多平台主要采用单边定价</w:t>
      </w:r>
      <w:r>
        <w:rPr>
          <w:rFonts w:ascii="SimSun" w:hAnsi="SimSun" w:eastAsia="SimSun" w:cs="SimSun"/>
          <w:sz w:val="21"/>
          <w:szCs w:val="21"/>
          <w:spacing w:val="-11"/>
        </w:rPr>
        <w:t>，例如电子商务平台一</w:t>
      </w:r>
      <w:r>
        <w:rPr>
          <w:rFonts w:ascii="SimSun" w:hAnsi="SimSun" w:eastAsia="SimSun" w:cs="SimSun"/>
          <w:sz w:val="21"/>
          <w:szCs w:val="21"/>
        </w:rPr>
        <w:t xml:space="preserve"> </w:t>
      </w:r>
      <w:r>
        <w:rPr>
          <w:rFonts w:ascii="SimSun" w:hAnsi="SimSun" w:eastAsia="SimSun" w:cs="SimSun"/>
          <w:sz w:val="21"/>
          <w:szCs w:val="21"/>
          <w:spacing w:val="-11"/>
        </w:rPr>
        <w:t>般对买方是免费的，仅对商户收费，这种单边定价意味着双边性无法</w:t>
      </w:r>
      <w:r>
        <w:rPr>
          <w:rFonts w:ascii="SimSun" w:hAnsi="SimSun" w:eastAsia="SimSun" w:cs="SimSun"/>
          <w:sz w:val="21"/>
          <w:szCs w:val="21"/>
          <w:spacing w:val="16"/>
        </w:rPr>
        <w:t xml:space="preserve"> </w:t>
      </w:r>
      <w:r>
        <w:rPr>
          <w:rFonts w:ascii="SimSun" w:hAnsi="SimSun" w:eastAsia="SimSun" w:cs="SimSun"/>
          <w:sz w:val="21"/>
          <w:szCs w:val="21"/>
          <w:spacing w:val="-7"/>
        </w:rPr>
        <w:t>体现出来。单边定价模式可能是最优双边定价的一个“边角解”,平</w:t>
      </w:r>
      <w:r>
        <w:rPr>
          <w:rFonts w:ascii="SimSun" w:hAnsi="SimSun" w:eastAsia="SimSun" w:cs="SimSun"/>
          <w:sz w:val="21"/>
          <w:szCs w:val="21"/>
          <w:spacing w:val="3"/>
        </w:rPr>
        <w:t xml:space="preserve"> </w:t>
      </w:r>
      <w:r>
        <w:rPr>
          <w:rFonts w:ascii="SimSun" w:hAnsi="SimSun" w:eastAsia="SimSun" w:cs="SimSun"/>
          <w:sz w:val="21"/>
          <w:szCs w:val="21"/>
          <w:spacing w:val="-11"/>
        </w:rPr>
        <w:t>台对其中一方的最优定价可能很低甚至是负的，但是由于支付成本较</w:t>
      </w:r>
      <w:r>
        <w:rPr>
          <w:rFonts w:ascii="SimSun" w:hAnsi="SimSun" w:eastAsia="SimSun" w:cs="SimSun"/>
          <w:sz w:val="21"/>
          <w:szCs w:val="21"/>
          <w:spacing w:val="17"/>
        </w:rPr>
        <w:t xml:space="preserve"> </w:t>
      </w:r>
      <w:r>
        <w:rPr>
          <w:rFonts w:ascii="SimSun" w:hAnsi="SimSun" w:eastAsia="SimSun" w:cs="SimSun"/>
          <w:sz w:val="21"/>
          <w:szCs w:val="21"/>
          <w:spacing w:val="-3"/>
        </w:rPr>
        <w:t>高，因此选择最简单的零价格。而一些社交平台(如微信)对多数用</w:t>
      </w:r>
      <w:r>
        <w:rPr>
          <w:rFonts w:ascii="SimSun" w:hAnsi="SimSun" w:eastAsia="SimSun" w:cs="SimSun"/>
          <w:sz w:val="21"/>
          <w:szCs w:val="21"/>
          <w:spacing w:val="4"/>
        </w:rPr>
        <w:t xml:space="preserve"> </w:t>
      </w:r>
      <w:r>
        <w:rPr>
          <w:rFonts w:ascii="SimSun" w:hAnsi="SimSun" w:eastAsia="SimSun" w:cs="SimSun"/>
          <w:sz w:val="21"/>
          <w:szCs w:val="21"/>
          <w:spacing w:val="-6"/>
        </w:rPr>
        <w:t>户是免费的，而且难以区分不同使用方(如信息的发</w:t>
      </w:r>
      <w:r>
        <w:rPr>
          <w:rFonts w:ascii="SimSun" w:hAnsi="SimSun" w:eastAsia="SimSun" w:cs="SimSun"/>
          <w:sz w:val="21"/>
          <w:szCs w:val="21"/>
          <w:spacing w:val="-7"/>
        </w:rPr>
        <w:t>送方和接收方),</w:t>
      </w:r>
      <w:r>
        <w:rPr>
          <w:rFonts w:ascii="SimSun" w:hAnsi="SimSun" w:eastAsia="SimSun" w:cs="SimSun"/>
          <w:sz w:val="21"/>
          <w:szCs w:val="21"/>
        </w:rPr>
        <w:t xml:space="preserve"> </w:t>
      </w:r>
      <w:r>
        <w:rPr>
          <w:rFonts w:ascii="SimSun" w:hAnsi="SimSun" w:eastAsia="SimSun" w:cs="SimSun"/>
          <w:sz w:val="21"/>
          <w:szCs w:val="21"/>
          <w:spacing w:val="-11"/>
        </w:rPr>
        <w:t>因此双边性也不明显。所以，虽然平台可能具有双边性，但是由于存</w:t>
      </w:r>
      <w:r>
        <w:rPr>
          <w:rFonts w:ascii="SimSun" w:hAnsi="SimSun" w:eastAsia="SimSun" w:cs="SimSun"/>
          <w:sz w:val="21"/>
          <w:szCs w:val="21"/>
          <w:spacing w:val="17"/>
        </w:rPr>
        <w:t xml:space="preserve"> </w:t>
      </w:r>
      <w:r>
        <w:rPr>
          <w:rFonts w:ascii="SimSun" w:hAnsi="SimSun" w:eastAsia="SimSun" w:cs="SimSun"/>
          <w:sz w:val="21"/>
          <w:szCs w:val="21"/>
          <w:spacing w:val="-11"/>
        </w:rPr>
        <w:t>在各种交易成本，主要还是体现为单边市场特征。</w:t>
      </w:r>
    </w:p>
    <w:p>
      <w:pPr>
        <w:ind w:right="58" w:firstLine="430"/>
        <w:spacing w:before="113" w:line="292" w:lineRule="auto"/>
        <w:jc w:val="both"/>
        <w:rPr>
          <w:rFonts w:ascii="SimSun" w:hAnsi="SimSun" w:eastAsia="SimSun" w:cs="SimSun"/>
          <w:sz w:val="21"/>
          <w:szCs w:val="21"/>
        </w:rPr>
      </w:pPr>
      <w:r>
        <w:rPr>
          <w:rFonts w:ascii="SimSun" w:hAnsi="SimSun" w:eastAsia="SimSun" w:cs="SimSun"/>
          <w:sz w:val="21"/>
          <w:szCs w:val="21"/>
          <w:spacing w:val="-3"/>
        </w:rPr>
        <w:t>餐饮外卖行业可能是比较典型的双边市场。外卖平台可以分别</w:t>
      </w:r>
      <w:r>
        <w:rPr>
          <w:rFonts w:ascii="SimSun" w:hAnsi="SimSun" w:eastAsia="SimSun" w:cs="SimSun"/>
          <w:sz w:val="21"/>
          <w:szCs w:val="21"/>
          <w:spacing w:val="6"/>
        </w:rPr>
        <w:t xml:space="preserve"> </w:t>
      </w:r>
      <w:r>
        <w:rPr>
          <w:rFonts w:ascii="SimSun" w:hAnsi="SimSun" w:eastAsia="SimSun" w:cs="SimSun"/>
          <w:sz w:val="21"/>
          <w:szCs w:val="21"/>
          <w:spacing w:val="-11"/>
        </w:rPr>
        <w:t>对通过平台进行交易的商户和消费者收取不同服务费，其中对消费者</w:t>
      </w:r>
      <w:r>
        <w:rPr>
          <w:rFonts w:ascii="SimSun" w:hAnsi="SimSun" w:eastAsia="SimSun" w:cs="SimSun"/>
          <w:sz w:val="21"/>
          <w:szCs w:val="21"/>
          <w:spacing w:val="18"/>
        </w:rPr>
        <w:t xml:space="preserve"> </w:t>
      </w:r>
      <w:r>
        <w:rPr>
          <w:rFonts w:ascii="SimSun" w:hAnsi="SimSun" w:eastAsia="SimSun" w:cs="SimSun"/>
          <w:sz w:val="21"/>
          <w:szCs w:val="21"/>
          <w:spacing w:val="-11"/>
        </w:rPr>
        <w:t>的收费经常以送货费的方式体现。大型外卖平台的确存在交叉补贴现</w:t>
      </w:r>
      <w:r>
        <w:rPr>
          <w:rFonts w:ascii="SimSun" w:hAnsi="SimSun" w:eastAsia="SimSun" w:cs="SimSun"/>
          <w:sz w:val="21"/>
          <w:szCs w:val="21"/>
          <w:spacing w:val="16"/>
        </w:rPr>
        <w:t xml:space="preserve"> </w:t>
      </w:r>
      <w:r>
        <w:rPr>
          <w:rFonts w:ascii="SimSun" w:hAnsi="SimSun" w:eastAsia="SimSun" w:cs="SimSun"/>
          <w:sz w:val="21"/>
          <w:szCs w:val="21"/>
          <w:spacing w:val="-15"/>
        </w:rPr>
        <w:t>象，特别是对消费者的补贴，体现了双边性特点。但是，</w:t>
      </w:r>
      <w:r>
        <w:rPr>
          <w:rFonts w:ascii="SimSun" w:hAnsi="SimSun" w:eastAsia="SimSun" w:cs="SimSun"/>
          <w:sz w:val="21"/>
          <w:szCs w:val="21"/>
          <w:spacing w:val="60"/>
        </w:rPr>
        <w:t xml:space="preserve"> </w:t>
      </w:r>
      <w:r>
        <w:rPr>
          <w:rFonts w:ascii="SimSun" w:hAnsi="SimSun" w:eastAsia="SimSun" w:cs="SimSun"/>
          <w:sz w:val="21"/>
          <w:szCs w:val="21"/>
          <w:spacing w:val="-15"/>
        </w:rPr>
        <w:t>一方面商户</w:t>
      </w:r>
    </w:p>
    <w:p>
      <w:pPr>
        <w:pStyle w:val="BodyText"/>
        <w:spacing w:line="272" w:lineRule="auto"/>
        <w:rPr/>
      </w:pPr>
      <w:r/>
    </w:p>
    <w:p>
      <w:pPr>
        <w:pStyle w:val="BodyText"/>
        <w:spacing w:line="273" w:lineRule="auto"/>
        <w:rPr/>
      </w:pPr>
      <w:r/>
    </w:p>
    <w:p>
      <w:pPr>
        <w:ind w:left="340" w:right="45" w:hanging="340"/>
        <w:spacing w:before="52" w:line="267"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60"/>
        </w:rPr>
        <w:t xml:space="preserve"> </w:t>
      </w:r>
      <w:r>
        <w:rPr>
          <w:rFonts w:ascii="Times New Roman" w:hAnsi="Times New Roman" w:eastAsia="Times New Roman" w:cs="Times New Roman"/>
          <w:sz w:val="16"/>
          <w:szCs w:val="16"/>
        </w:rPr>
        <w:t>J.Rochet,J.Tirole,“Two-Sided   Markets:A   Progress   Report”,The   RAND</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Journal</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2"/>
        </w:rPr>
        <w:t xml:space="preserve"> </w:t>
      </w:r>
      <w:r>
        <w:rPr>
          <w:rFonts w:ascii="SimSun" w:hAnsi="SimSun" w:eastAsia="SimSun" w:cs="SimSun"/>
          <w:sz w:val="16"/>
          <w:szCs w:val="16"/>
          <w:spacing w:val="-2"/>
        </w:rPr>
        <w:t>Economics,2006,37(3):645-667.</w:t>
      </w:r>
    </w:p>
    <w:p>
      <w:pPr>
        <w:spacing w:line="267" w:lineRule="auto"/>
        <w:sectPr>
          <w:headerReference w:type="default" r:id="rId331"/>
          <w:pgSz w:w="7330" w:h="12480"/>
          <w:pgMar w:top="498" w:right="554" w:bottom="400" w:left="689" w:header="335" w:footer="0" w:gutter="0"/>
        </w:sectPr>
        <w:rPr>
          <w:rFonts w:ascii="SimSun" w:hAnsi="SimSun" w:eastAsia="SimSun" w:cs="SimSun"/>
          <w:sz w:val="16"/>
          <w:szCs w:val="16"/>
        </w:rPr>
      </w:pPr>
    </w:p>
    <w:p>
      <w:pPr>
        <w:pStyle w:val="BodyText"/>
        <w:spacing w:line="250" w:lineRule="auto"/>
        <w:rPr/>
      </w:pPr>
      <w:r>
        <w:drawing>
          <wp:anchor distT="0" distB="0" distL="0" distR="0" simplePos="0" relativeHeight="254519296" behindDoc="0" locked="0" layoutInCell="0" allowOverlap="1">
            <wp:simplePos x="0" y="0"/>
            <wp:positionH relativeFrom="page">
              <wp:posOffset>190510</wp:posOffset>
            </wp:positionH>
            <wp:positionV relativeFrom="page">
              <wp:posOffset>6877057</wp:posOffset>
            </wp:positionV>
            <wp:extent cx="1174761" cy="6350"/>
            <wp:effectExtent l="0" t="0" r="0" b="0"/>
            <wp:wrapNone/>
            <wp:docPr id="236" name="IM 236"/>
            <wp:cNvGraphicFramePr/>
            <a:graphic>
              <a:graphicData uri="http://schemas.openxmlformats.org/drawingml/2006/picture">
                <pic:pic>
                  <pic:nvPicPr>
                    <pic:cNvPr id="236" name="IM 236"/>
                    <pic:cNvPicPr/>
                  </pic:nvPicPr>
                  <pic:blipFill>
                    <a:blip r:embed="rId334"/>
                    <a:stretch>
                      <a:fillRect/>
                    </a:stretch>
                  </pic:blipFill>
                  <pic:spPr>
                    <a:xfrm rot="0">
                      <a:off x="0" y="0"/>
                      <a:ext cx="1174761"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ind w:left="9" w:right="85"/>
        <w:spacing w:before="68" w:line="293" w:lineRule="auto"/>
        <w:jc w:val="both"/>
        <w:rPr>
          <w:rFonts w:ascii="SimSun" w:hAnsi="SimSun" w:eastAsia="SimSun" w:cs="SimSun"/>
          <w:sz w:val="21"/>
          <w:szCs w:val="21"/>
        </w:rPr>
      </w:pPr>
      <w:r>
        <w:rPr>
          <w:rFonts w:ascii="SimSun" w:hAnsi="SimSun" w:eastAsia="SimSun" w:cs="SimSun"/>
          <w:sz w:val="21"/>
          <w:szCs w:val="21"/>
          <w:spacing w:val="-7"/>
        </w:rPr>
        <w:t>可以“用脚投票”,减少使用收费过高的平台，</w:t>
      </w:r>
      <w:r>
        <w:rPr>
          <w:rFonts w:ascii="SimSun" w:hAnsi="SimSun" w:eastAsia="SimSun" w:cs="SimSun"/>
          <w:sz w:val="21"/>
          <w:szCs w:val="21"/>
          <w:spacing w:val="-8"/>
        </w:rPr>
        <w:t>促使平台降低收费标</w:t>
      </w:r>
      <w:r>
        <w:rPr>
          <w:rFonts w:ascii="SimSun" w:hAnsi="SimSun" w:eastAsia="SimSun" w:cs="SimSun"/>
          <w:sz w:val="21"/>
          <w:szCs w:val="21"/>
        </w:rPr>
        <w:t xml:space="preserve"> </w:t>
      </w:r>
      <w:r>
        <w:rPr>
          <w:rFonts w:ascii="SimSun" w:hAnsi="SimSun" w:eastAsia="SimSun" w:cs="SimSun"/>
          <w:sz w:val="21"/>
          <w:szCs w:val="21"/>
          <w:spacing w:val="-11"/>
        </w:rPr>
        <w:t>准，另一方面商户还可以通过提高价格，将过高的平台收费转嫁给消</w:t>
      </w:r>
      <w:r>
        <w:rPr>
          <w:rFonts w:ascii="SimSun" w:hAnsi="SimSun" w:eastAsia="SimSun" w:cs="SimSun"/>
          <w:sz w:val="21"/>
          <w:szCs w:val="21"/>
          <w:spacing w:val="18"/>
        </w:rPr>
        <w:t xml:space="preserve"> </w:t>
      </w:r>
      <w:r>
        <w:rPr>
          <w:rFonts w:ascii="SimSun" w:hAnsi="SimSun" w:eastAsia="SimSun" w:cs="SimSun"/>
          <w:sz w:val="21"/>
          <w:szCs w:val="21"/>
          <w:spacing w:val="-11"/>
        </w:rPr>
        <w:t>费者，这些效应都会在一定程度上抵消交叉补贴的作用。因此在有市</w:t>
      </w:r>
      <w:r>
        <w:rPr>
          <w:rFonts w:ascii="SimSun" w:hAnsi="SimSun" w:eastAsia="SimSun" w:cs="SimSun"/>
          <w:sz w:val="21"/>
          <w:szCs w:val="21"/>
          <w:spacing w:val="10"/>
        </w:rPr>
        <w:t xml:space="preserve"> </w:t>
      </w:r>
      <w:r>
        <w:rPr>
          <w:rFonts w:ascii="SimSun" w:hAnsi="SimSun" w:eastAsia="SimSun" w:cs="SimSun"/>
          <w:sz w:val="21"/>
          <w:szCs w:val="21"/>
          <w:spacing w:val="-12"/>
        </w:rPr>
        <w:t>场竞争的环境下，双边性的作用未必显著。</w:t>
      </w:r>
    </w:p>
    <w:p>
      <w:pPr>
        <w:ind w:left="9" w:firstLine="420"/>
        <w:spacing w:before="117" w:line="298" w:lineRule="auto"/>
        <w:jc w:val="both"/>
        <w:rPr>
          <w:rFonts w:ascii="SimSun" w:hAnsi="SimSun" w:eastAsia="SimSun" w:cs="SimSun"/>
          <w:sz w:val="21"/>
          <w:szCs w:val="21"/>
        </w:rPr>
      </w:pPr>
      <w:r>
        <w:rPr>
          <w:rFonts w:ascii="SimSun" w:hAnsi="SimSun" w:eastAsia="SimSun" w:cs="SimSun"/>
          <w:sz w:val="21"/>
          <w:szCs w:val="21"/>
          <w:spacing w:val="-10"/>
        </w:rPr>
        <w:t>双边平台理论可能对平台企业的定价实践有一定指导意义，但是</w:t>
      </w:r>
      <w:r>
        <w:rPr>
          <w:rFonts w:ascii="SimSun" w:hAnsi="SimSun" w:eastAsia="SimSun" w:cs="SimSun"/>
          <w:sz w:val="21"/>
          <w:szCs w:val="21"/>
          <w:spacing w:val="9"/>
        </w:rPr>
        <w:t xml:space="preserve"> </w:t>
      </w:r>
      <w:r>
        <w:rPr>
          <w:rFonts w:ascii="SimSun" w:hAnsi="SimSun" w:eastAsia="SimSun" w:cs="SimSun"/>
          <w:sz w:val="21"/>
          <w:szCs w:val="21"/>
          <w:spacing w:val="-8"/>
        </w:rPr>
        <w:t>在反垄断和规制方面，其意义并不十分清楚。①站在监管者的角度，</w:t>
      </w:r>
      <w:r>
        <w:rPr>
          <w:rFonts w:ascii="SimSun" w:hAnsi="SimSun" w:eastAsia="SimSun" w:cs="SimSun"/>
          <w:sz w:val="21"/>
          <w:szCs w:val="21"/>
          <w:spacing w:val="13"/>
        </w:rPr>
        <w:t xml:space="preserve"> </w:t>
      </w:r>
      <w:r>
        <w:rPr>
          <w:rFonts w:ascii="SimSun" w:hAnsi="SimSun" w:eastAsia="SimSun" w:cs="SimSun"/>
          <w:sz w:val="21"/>
          <w:szCs w:val="21"/>
          <w:spacing w:val="-8"/>
        </w:rPr>
        <w:t>最重要的还是要看是否存在垄断行为，是否有市场过度集中的倾向，</w:t>
      </w:r>
      <w:r>
        <w:rPr>
          <w:rFonts w:ascii="SimSun" w:hAnsi="SimSun" w:eastAsia="SimSun" w:cs="SimSun"/>
          <w:sz w:val="21"/>
          <w:szCs w:val="21"/>
          <w:spacing w:val="13"/>
        </w:rPr>
        <w:t xml:space="preserve"> </w:t>
      </w:r>
      <w:r>
        <w:rPr>
          <w:rFonts w:ascii="SimSun" w:hAnsi="SimSun" w:eastAsia="SimSun" w:cs="SimSun"/>
          <w:sz w:val="21"/>
          <w:szCs w:val="21"/>
          <w:spacing w:val="-8"/>
        </w:rPr>
        <w:t>以及是否存在资本无序扩张等问题，而未必会关心平台的定价模式。</w:t>
      </w:r>
      <w:r>
        <w:rPr>
          <w:rFonts w:ascii="SimSun" w:hAnsi="SimSun" w:eastAsia="SimSun" w:cs="SimSun"/>
          <w:sz w:val="21"/>
          <w:szCs w:val="21"/>
          <w:spacing w:val="13"/>
        </w:rPr>
        <w:t xml:space="preserve"> </w:t>
      </w:r>
      <w:r>
        <w:rPr>
          <w:rFonts w:ascii="SimSun" w:hAnsi="SimSun" w:eastAsia="SimSun" w:cs="SimSun"/>
          <w:sz w:val="21"/>
          <w:szCs w:val="21"/>
          <w:spacing w:val="-11"/>
        </w:rPr>
        <w:t>只要竞争充分，平台不太可能利用双边性获取超额利润，用户在不同</w:t>
      </w:r>
      <w:r>
        <w:rPr>
          <w:rFonts w:ascii="SimSun" w:hAnsi="SimSun" w:eastAsia="SimSun" w:cs="SimSun"/>
          <w:sz w:val="21"/>
          <w:szCs w:val="21"/>
          <w:spacing w:val="8"/>
        </w:rPr>
        <w:t xml:space="preserve">  </w:t>
      </w:r>
      <w:r>
        <w:rPr>
          <w:rFonts w:ascii="SimSun" w:hAnsi="SimSun" w:eastAsia="SimSun" w:cs="SimSun"/>
          <w:sz w:val="21"/>
          <w:szCs w:val="21"/>
          <w:spacing w:val="-15"/>
        </w:rPr>
        <w:t>平台之间的比较和转换限制了平台的定价空间。</w:t>
      </w:r>
      <w:r>
        <w:rPr>
          <w:rFonts w:ascii="SimSun" w:hAnsi="SimSun" w:eastAsia="SimSun" w:cs="SimSun"/>
          <w:sz w:val="21"/>
          <w:szCs w:val="21"/>
          <w:spacing w:val="35"/>
        </w:rPr>
        <w:t xml:space="preserve"> </w:t>
      </w:r>
      <w:r>
        <w:rPr>
          <w:rFonts w:ascii="SimSun" w:hAnsi="SimSun" w:eastAsia="SimSun" w:cs="SimSun"/>
          <w:sz w:val="21"/>
          <w:szCs w:val="21"/>
          <w:spacing w:val="-15"/>
        </w:rPr>
        <w:t>一个可</w:t>
      </w:r>
      <w:r>
        <w:rPr>
          <w:rFonts w:ascii="SimSun" w:hAnsi="SimSun" w:eastAsia="SimSun" w:cs="SimSun"/>
          <w:sz w:val="21"/>
          <w:szCs w:val="21"/>
          <w:spacing w:val="-16"/>
        </w:rPr>
        <w:t>能值得关注的</w:t>
      </w:r>
      <w:r>
        <w:rPr>
          <w:rFonts w:ascii="SimSun" w:hAnsi="SimSun" w:eastAsia="SimSun" w:cs="SimSun"/>
          <w:sz w:val="21"/>
          <w:szCs w:val="21"/>
        </w:rPr>
        <w:t xml:space="preserve">  </w:t>
      </w:r>
      <w:r>
        <w:rPr>
          <w:rFonts w:ascii="SimSun" w:hAnsi="SimSun" w:eastAsia="SimSun" w:cs="SimSun"/>
          <w:sz w:val="21"/>
          <w:szCs w:val="21"/>
          <w:spacing w:val="-11"/>
        </w:rPr>
        <w:t>现象是，由于双边平台对一边的定价会考虑对另一边的影响，因而有</w:t>
      </w:r>
      <w:r>
        <w:rPr>
          <w:rFonts w:ascii="SimSun" w:hAnsi="SimSun" w:eastAsia="SimSun" w:cs="SimSun"/>
          <w:sz w:val="21"/>
          <w:szCs w:val="21"/>
          <w:spacing w:val="4"/>
        </w:rPr>
        <w:t xml:space="preserve">  </w:t>
      </w:r>
      <w:r>
        <w:rPr>
          <w:rFonts w:ascii="SimSun" w:hAnsi="SimSun" w:eastAsia="SimSun" w:cs="SimSun"/>
          <w:sz w:val="21"/>
          <w:szCs w:val="21"/>
          <w:spacing w:val="-11"/>
        </w:rPr>
        <w:t>可能偏离成本定价原则，这个特点有时会导致公平问题，可能引起一</w:t>
      </w:r>
      <w:r>
        <w:rPr>
          <w:rFonts w:ascii="SimSun" w:hAnsi="SimSun" w:eastAsia="SimSun" w:cs="SimSun"/>
          <w:sz w:val="21"/>
          <w:szCs w:val="21"/>
          <w:spacing w:val="4"/>
        </w:rPr>
        <w:t xml:space="preserve">  </w:t>
      </w:r>
      <w:r>
        <w:rPr>
          <w:rFonts w:ascii="SimSun" w:hAnsi="SimSun" w:eastAsia="SimSun" w:cs="SimSun"/>
          <w:sz w:val="21"/>
          <w:szCs w:val="21"/>
          <w:spacing w:val="-12"/>
        </w:rPr>
        <w:t>些反垄断机构的关注。</w:t>
      </w:r>
    </w:p>
    <w:p>
      <w:pPr>
        <w:ind w:left="9" w:firstLine="420"/>
        <w:spacing w:before="177" w:line="301" w:lineRule="auto"/>
        <w:jc w:val="both"/>
        <w:rPr>
          <w:rFonts w:ascii="SimSun" w:hAnsi="SimSun" w:eastAsia="SimSun" w:cs="SimSun"/>
          <w:sz w:val="21"/>
          <w:szCs w:val="21"/>
        </w:rPr>
      </w:pPr>
      <w:r>
        <w:rPr>
          <w:rFonts w:ascii="SimSun" w:hAnsi="SimSun" w:eastAsia="SimSun" w:cs="SimSun"/>
          <w:sz w:val="21"/>
          <w:szCs w:val="21"/>
          <w:spacing w:val="-11"/>
        </w:rPr>
        <w:t>总之，曾在学术界广受关注的双边市场理论对于理解平台的定价 </w:t>
      </w:r>
      <w:r>
        <w:rPr>
          <w:rFonts w:ascii="SimSun" w:hAnsi="SimSun" w:eastAsia="SimSun" w:cs="SimSun"/>
          <w:sz w:val="21"/>
          <w:szCs w:val="21"/>
          <w:spacing w:val="-10"/>
        </w:rPr>
        <w:t>行为有一定指导意义，但是它在平台经济治理中的政策含义，目前看 </w:t>
      </w:r>
      <w:r>
        <w:rPr>
          <w:rFonts w:ascii="SimSun" w:hAnsi="SimSun" w:eastAsia="SimSun" w:cs="SimSun"/>
          <w:sz w:val="21"/>
          <w:szCs w:val="21"/>
          <w:spacing w:val="-11"/>
        </w:rPr>
        <w:t>来并不十分清楚。关于双边平台，监管者还是应回归传统视角，不必</w:t>
      </w:r>
      <w:r>
        <w:rPr>
          <w:rFonts w:ascii="SimSun" w:hAnsi="SimSun" w:eastAsia="SimSun" w:cs="SimSun"/>
          <w:sz w:val="21"/>
          <w:szCs w:val="21"/>
          <w:spacing w:val="7"/>
        </w:rPr>
        <w:t xml:space="preserve">  </w:t>
      </w:r>
      <w:r>
        <w:rPr>
          <w:rFonts w:ascii="SimSun" w:hAnsi="SimSun" w:eastAsia="SimSun" w:cs="SimSun"/>
          <w:sz w:val="21"/>
          <w:szCs w:val="21"/>
          <w:spacing w:val="-8"/>
        </w:rPr>
        <w:t>过度关注平台的价格结构是否合理、价格是否偏离成本等细节问题，</w:t>
      </w:r>
      <w:r>
        <w:rPr>
          <w:rFonts w:ascii="SimSun" w:hAnsi="SimSun" w:eastAsia="SimSun" w:cs="SimSun"/>
          <w:sz w:val="21"/>
          <w:szCs w:val="21"/>
          <w:spacing w:val="14"/>
        </w:rPr>
        <w:t xml:space="preserve"> </w:t>
      </w:r>
      <w:r>
        <w:rPr>
          <w:rFonts w:ascii="SimSun" w:hAnsi="SimSun" w:eastAsia="SimSun" w:cs="SimSun"/>
          <w:sz w:val="21"/>
          <w:szCs w:val="21"/>
          <w:spacing w:val="-10"/>
        </w:rPr>
        <w:t>而应重点关注平台垄断行为、市场过度集中、平台</w:t>
      </w:r>
      <w:r>
        <w:rPr>
          <w:rFonts w:ascii="SimSun" w:hAnsi="SimSun" w:eastAsia="SimSun" w:cs="SimSun"/>
          <w:sz w:val="21"/>
          <w:szCs w:val="21"/>
          <w:spacing w:val="-11"/>
        </w:rPr>
        <w:t>社会影响等重要问</w:t>
      </w:r>
      <w:r>
        <w:rPr>
          <w:rFonts w:ascii="SimSun" w:hAnsi="SimSun" w:eastAsia="SimSun" w:cs="SimSun"/>
          <w:sz w:val="21"/>
          <w:szCs w:val="21"/>
        </w:rPr>
        <w:t xml:space="preserve"> </w:t>
      </w:r>
      <w:r>
        <w:rPr>
          <w:rFonts w:ascii="SimSun" w:hAnsi="SimSun" w:eastAsia="SimSun" w:cs="SimSun"/>
          <w:sz w:val="21"/>
          <w:szCs w:val="21"/>
          <w:spacing w:val="-12"/>
        </w:rPr>
        <w:t>题，其中鼓励竞争是关键。</w:t>
      </w:r>
    </w:p>
    <w:p>
      <w:pPr>
        <w:pStyle w:val="BodyText"/>
        <w:spacing w:line="383" w:lineRule="auto"/>
        <w:rPr/>
      </w:pPr>
      <w:r/>
    </w:p>
    <w:p>
      <w:pPr>
        <w:ind w:left="13"/>
        <w:spacing w:before="81" w:line="222" w:lineRule="auto"/>
        <w:rPr>
          <w:rFonts w:ascii="SimHei" w:hAnsi="SimHei" w:eastAsia="SimHei" w:cs="SimHei"/>
          <w:sz w:val="25"/>
          <w:szCs w:val="25"/>
        </w:rPr>
      </w:pPr>
      <w:r>
        <w:rPr>
          <w:rFonts w:ascii="SimHei" w:hAnsi="SimHei" w:eastAsia="SimHei" w:cs="SimHei"/>
          <w:sz w:val="25"/>
          <w:szCs w:val="25"/>
          <w:b/>
          <w:bCs/>
          <w:spacing w:val="-14"/>
        </w:rPr>
        <w:t>可竞争性：既有规模经济又有充分竞争</w:t>
      </w:r>
    </w:p>
    <w:p>
      <w:pPr>
        <w:pStyle w:val="BodyText"/>
        <w:spacing w:line="352" w:lineRule="auto"/>
        <w:rPr/>
      </w:pPr>
      <w:r/>
    </w:p>
    <w:p>
      <w:pPr>
        <w:ind w:left="429"/>
        <w:spacing w:before="68" w:line="370" w:lineRule="exact"/>
        <w:rPr>
          <w:rFonts w:ascii="SimSun" w:hAnsi="SimSun" w:eastAsia="SimSun" w:cs="SimSun"/>
          <w:sz w:val="21"/>
          <w:szCs w:val="21"/>
        </w:rPr>
      </w:pPr>
      <w:r>
        <w:rPr>
          <w:rFonts w:ascii="SimSun" w:hAnsi="SimSun" w:eastAsia="SimSun" w:cs="SimSun"/>
          <w:sz w:val="21"/>
          <w:szCs w:val="21"/>
          <w:spacing w:val="-3"/>
          <w:position w:val="11"/>
        </w:rPr>
        <w:t>可竞争性市场理论是关于如何在规模经济条</w:t>
      </w:r>
      <w:r>
        <w:rPr>
          <w:rFonts w:ascii="SimSun" w:hAnsi="SimSun" w:eastAsia="SimSun" w:cs="SimSun"/>
          <w:sz w:val="21"/>
          <w:szCs w:val="21"/>
          <w:spacing w:val="-4"/>
          <w:position w:val="11"/>
        </w:rPr>
        <w:t>件下实现充分竞争</w:t>
      </w:r>
    </w:p>
    <w:p>
      <w:pPr>
        <w:ind w:left="9"/>
        <w:spacing w:before="1" w:line="219" w:lineRule="auto"/>
        <w:rPr>
          <w:rFonts w:ascii="SimSun" w:hAnsi="SimSun" w:eastAsia="SimSun" w:cs="SimSun"/>
          <w:sz w:val="21"/>
          <w:szCs w:val="21"/>
        </w:rPr>
      </w:pPr>
      <w:r>
        <w:rPr>
          <w:rFonts w:ascii="SimSun" w:hAnsi="SimSun" w:eastAsia="SimSun" w:cs="SimSun"/>
          <w:sz w:val="21"/>
          <w:szCs w:val="21"/>
          <w:spacing w:val="-10"/>
        </w:rPr>
        <w:t>的理论。当规模经济显著时，市场无法容纳</w:t>
      </w:r>
      <w:r>
        <w:rPr>
          <w:rFonts w:ascii="SimSun" w:hAnsi="SimSun" w:eastAsia="SimSun" w:cs="SimSun"/>
          <w:sz w:val="21"/>
          <w:szCs w:val="21"/>
          <w:spacing w:val="-11"/>
        </w:rPr>
        <w:t>多个企业同时运作，因而</w:t>
      </w:r>
    </w:p>
    <w:p>
      <w:pPr>
        <w:pStyle w:val="BodyText"/>
        <w:spacing w:line="275" w:lineRule="auto"/>
        <w:rPr/>
      </w:pPr>
      <w:r/>
    </w:p>
    <w:p>
      <w:pPr>
        <w:pStyle w:val="BodyText"/>
        <w:spacing w:line="275" w:lineRule="auto"/>
        <w:rPr/>
      </w:pPr>
      <w:r/>
    </w:p>
    <w:p>
      <w:pPr>
        <w:ind w:left="329" w:right="53" w:hanging="320"/>
        <w:spacing w:before="49" w:line="279" w:lineRule="auto"/>
        <w:rPr>
          <w:rFonts w:ascii="SimSun" w:hAnsi="SimSun" w:eastAsia="SimSun" w:cs="SimSun"/>
          <w:sz w:val="15"/>
          <w:szCs w:val="15"/>
        </w:rPr>
      </w:pPr>
      <w:r>
        <w:rPr>
          <w:rFonts w:ascii="SimSun" w:hAnsi="SimSun" w:eastAsia="SimSun" w:cs="SimSun"/>
          <w:sz w:val="15"/>
          <w:szCs w:val="15"/>
          <w:spacing w:val="18"/>
        </w:rPr>
        <w:t>①</w:t>
      </w:r>
      <w:r>
        <w:rPr>
          <w:rFonts w:ascii="SimSun" w:hAnsi="SimSun" w:eastAsia="SimSun" w:cs="SimSun"/>
          <w:sz w:val="15"/>
          <w:szCs w:val="15"/>
          <w:spacing w:val="6"/>
        </w:rPr>
        <w:t xml:space="preserve">  </w:t>
      </w:r>
      <w:r>
        <w:rPr>
          <w:rFonts w:ascii="KaiTi" w:hAnsi="KaiTi" w:eastAsia="KaiTi" w:cs="KaiTi"/>
          <w:sz w:val="15"/>
          <w:szCs w:val="15"/>
          <w:spacing w:val="18"/>
        </w:rPr>
        <w:t>昊汉洪，孟剑</w:t>
      </w:r>
      <w:r>
        <w:rPr>
          <w:rFonts w:ascii="KaiTi" w:hAnsi="KaiTi" w:eastAsia="KaiTi" w:cs="KaiTi"/>
          <w:sz w:val="15"/>
          <w:szCs w:val="15"/>
          <w:spacing w:val="-41"/>
        </w:rPr>
        <w:t xml:space="preserve"> </w:t>
      </w:r>
      <w:r>
        <w:rPr>
          <w:rFonts w:ascii="KaiTi" w:hAnsi="KaiTi" w:eastAsia="KaiTi" w:cs="KaiTi"/>
          <w:sz w:val="15"/>
          <w:szCs w:val="15"/>
          <w:spacing w:val="18"/>
        </w:rPr>
        <w:t>.双边市场理论与应用述评</w:t>
      </w:r>
      <w:r>
        <w:rPr>
          <w:rFonts w:ascii="KaiTi" w:hAnsi="KaiTi" w:eastAsia="KaiTi" w:cs="KaiTi"/>
          <w:sz w:val="15"/>
          <w:szCs w:val="15"/>
          <w:spacing w:val="-42"/>
        </w:rPr>
        <w:t xml:space="preserve"> </w:t>
      </w:r>
      <w:r>
        <w:rPr>
          <w:rFonts w:ascii="KaiTi" w:hAnsi="KaiTi" w:eastAsia="KaiTi" w:cs="KaiTi"/>
          <w:sz w:val="15"/>
          <w:szCs w:val="15"/>
          <w:spacing w:val="18"/>
        </w:rPr>
        <w:t>.</w:t>
      </w:r>
      <w:r>
        <w:rPr>
          <w:rFonts w:ascii="KaiTi" w:hAnsi="KaiTi" w:eastAsia="KaiTi" w:cs="KaiTi"/>
          <w:sz w:val="15"/>
          <w:szCs w:val="15"/>
          <w:spacing w:val="-29"/>
        </w:rPr>
        <w:t xml:space="preserve"> </w:t>
      </w:r>
      <w:r>
        <w:rPr>
          <w:rFonts w:ascii="KaiTi" w:hAnsi="KaiTi" w:eastAsia="KaiTi" w:cs="KaiTi"/>
          <w:sz w:val="15"/>
          <w:szCs w:val="15"/>
          <w:spacing w:val="18"/>
        </w:rPr>
        <w:t>中国人民大学学报，2014,28(2):</w:t>
      </w:r>
      <w:r>
        <w:rPr>
          <w:rFonts w:ascii="KaiTi" w:hAnsi="KaiTi" w:eastAsia="KaiTi" w:cs="KaiTi"/>
          <w:sz w:val="15"/>
          <w:szCs w:val="15"/>
        </w:rPr>
        <w:t xml:space="preserve"> </w:t>
      </w:r>
      <w:r>
        <w:rPr>
          <w:rFonts w:ascii="SimSun" w:hAnsi="SimSun" w:eastAsia="SimSun" w:cs="SimSun"/>
          <w:sz w:val="15"/>
          <w:szCs w:val="15"/>
          <w:spacing w:val="-3"/>
        </w:rPr>
        <w:t>149-156.</w:t>
      </w:r>
    </w:p>
    <w:p>
      <w:pPr>
        <w:spacing w:line="279" w:lineRule="auto"/>
        <w:sectPr>
          <w:headerReference w:type="default" r:id="rId333"/>
          <w:pgSz w:w="7330" w:h="12480"/>
          <w:pgMar w:top="808" w:right="945" w:bottom="400" w:left="300" w:header="642" w:footer="0" w:gutter="0"/>
        </w:sectPr>
        <w:rPr>
          <w:rFonts w:ascii="SimSun" w:hAnsi="SimSun" w:eastAsia="SimSun" w:cs="SimSun"/>
          <w:sz w:val="15"/>
          <w:szCs w:val="15"/>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right="187"/>
        <w:spacing w:before="68" w:line="304" w:lineRule="auto"/>
        <w:jc w:val="both"/>
        <w:rPr>
          <w:rFonts w:ascii="SimSun" w:hAnsi="SimSun" w:eastAsia="SimSun" w:cs="SimSun"/>
          <w:sz w:val="21"/>
          <w:szCs w:val="21"/>
        </w:rPr>
      </w:pPr>
      <w:r>
        <w:rPr>
          <w:rFonts w:ascii="SimSun" w:hAnsi="SimSun" w:eastAsia="SimSun" w:cs="SimSun"/>
          <w:sz w:val="21"/>
          <w:szCs w:val="21"/>
          <w:spacing w:val="-10"/>
        </w:rPr>
        <w:t>可能出现在位企业市场势力过大的问题。但是，当市场</w:t>
      </w:r>
      <w:r>
        <w:rPr>
          <w:rFonts w:ascii="SimSun" w:hAnsi="SimSun" w:eastAsia="SimSun" w:cs="SimSun"/>
          <w:sz w:val="21"/>
          <w:szCs w:val="21"/>
          <w:spacing w:val="-11"/>
        </w:rPr>
        <w:t>进入和退出的</w:t>
      </w:r>
      <w:r>
        <w:rPr>
          <w:rFonts w:ascii="SimSun" w:hAnsi="SimSun" w:eastAsia="SimSun" w:cs="SimSun"/>
          <w:sz w:val="21"/>
          <w:szCs w:val="21"/>
        </w:rPr>
        <w:t xml:space="preserve"> </w:t>
      </w:r>
      <w:r>
        <w:rPr>
          <w:rFonts w:ascii="SimSun" w:hAnsi="SimSun" w:eastAsia="SimSun" w:cs="SimSun"/>
          <w:sz w:val="21"/>
          <w:szCs w:val="21"/>
          <w:spacing w:val="-11"/>
        </w:rPr>
        <w:t>沉没成本较低，且可以快速完成时，在位企业受到潜在进入者迅速进</w:t>
      </w:r>
      <w:r>
        <w:rPr>
          <w:rFonts w:ascii="SimSun" w:hAnsi="SimSun" w:eastAsia="SimSun" w:cs="SimSun"/>
          <w:sz w:val="21"/>
          <w:szCs w:val="21"/>
          <w:spacing w:val="16"/>
        </w:rPr>
        <w:t xml:space="preserve"> </w:t>
      </w:r>
      <w:r>
        <w:rPr>
          <w:rFonts w:ascii="SimSun" w:hAnsi="SimSun" w:eastAsia="SimSun" w:cs="SimSun"/>
          <w:sz w:val="21"/>
          <w:szCs w:val="21"/>
          <w:spacing w:val="-4"/>
        </w:rPr>
        <w:t>入、获利并退出的威胁，不得不选择较低的价格，因而</w:t>
      </w:r>
      <w:r>
        <w:rPr>
          <w:rFonts w:ascii="SimSun" w:hAnsi="SimSun" w:eastAsia="SimSun" w:cs="SimSun"/>
          <w:sz w:val="21"/>
          <w:szCs w:val="21"/>
          <w:spacing w:val="-5"/>
        </w:rPr>
        <w:t>无法实现垄</w:t>
      </w:r>
      <w:r>
        <w:rPr>
          <w:rFonts w:ascii="SimSun" w:hAnsi="SimSun" w:eastAsia="SimSun" w:cs="SimSun"/>
          <w:sz w:val="21"/>
          <w:szCs w:val="21"/>
        </w:rPr>
        <w:t xml:space="preserve"> </w:t>
      </w:r>
      <w:r>
        <w:rPr>
          <w:rFonts w:ascii="SimSun" w:hAnsi="SimSun" w:eastAsia="SimSun" w:cs="SimSun"/>
          <w:sz w:val="21"/>
          <w:szCs w:val="21"/>
          <w:spacing w:val="-10"/>
        </w:rPr>
        <w:t>断。因此，在一个可竞争均衡中，既可以有规模</w:t>
      </w:r>
      <w:r>
        <w:rPr>
          <w:rFonts w:ascii="SimSun" w:hAnsi="SimSun" w:eastAsia="SimSun" w:cs="SimSun"/>
          <w:sz w:val="21"/>
          <w:szCs w:val="21"/>
          <w:spacing w:val="-11"/>
        </w:rPr>
        <w:t>经济，又由于市场外</w:t>
      </w:r>
      <w:r>
        <w:rPr>
          <w:rFonts w:ascii="SimSun" w:hAnsi="SimSun" w:eastAsia="SimSun" w:cs="SimSun"/>
          <w:sz w:val="21"/>
          <w:szCs w:val="21"/>
        </w:rPr>
        <w:t xml:space="preserve"> </w:t>
      </w:r>
      <w:r>
        <w:rPr>
          <w:rFonts w:ascii="SimSun" w:hAnsi="SimSun" w:eastAsia="SimSun" w:cs="SimSun"/>
          <w:sz w:val="21"/>
          <w:szCs w:val="21"/>
          <w:spacing w:val="-16"/>
        </w:rPr>
        <w:t>的竞争导致价格较低，实现“鱼和熊掌得兼”。例如在航空市场，</w:t>
      </w:r>
      <w:r>
        <w:rPr>
          <w:rFonts w:ascii="SimSun" w:hAnsi="SimSun" w:eastAsia="SimSun" w:cs="SimSun"/>
          <w:sz w:val="21"/>
          <w:szCs w:val="21"/>
          <w:spacing w:val="64"/>
        </w:rPr>
        <w:t xml:space="preserve"> </w:t>
      </w:r>
      <w:r>
        <w:rPr>
          <w:rFonts w:ascii="SimSun" w:hAnsi="SimSun" w:eastAsia="SimSun" w:cs="SimSun"/>
          <w:sz w:val="21"/>
          <w:szCs w:val="21"/>
          <w:spacing w:val="-16"/>
        </w:rPr>
        <w:t>一</w:t>
      </w:r>
      <w:r>
        <w:rPr>
          <w:rFonts w:ascii="SimSun" w:hAnsi="SimSun" w:eastAsia="SimSun" w:cs="SimSun"/>
          <w:sz w:val="21"/>
          <w:szCs w:val="21"/>
        </w:rPr>
        <w:t xml:space="preserve"> </w:t>
      </w:r>
      <w:r>
        <w:rPr>
          <w:rFonts w:ascii="SimSun" w:hAnsi="SimSun" w:eastAsia="SimSun" w:cs="SimSun"/>
          <w:sz w:val="21"/>
          <w:szCs w:val="21"/>
          <w:spacing w:val="-10"/>
        </w:rPr>
        <w:t>些冷门航线由于旅客过少，最多只能有一家航</w:t>
      </w:r>
      <w:r>
        <w:rPr>
          <w:rFonts w:ascii="SimSun" w:hAnsi="SimSun" w:eastAsia="SimSun" w:cs="SimSun"/>
          <w:sz w:val="21"/>
          <w:szCs w:val="21"/>
          <w:spacing w:val="-11"/>
        </w:rPr>
        <w:t>空公司运营，但是这家</w:t>
      </w:r>
      <w:r>
        <w:rPr>
          <w:rFonts w:ascii="SimSun" w:hAnsi="SimSun" w:eastAsia="SimSun" w:cs="SimSun"/>
          <w:sz w:val="21"/>
          <w:szCs w:val="21"/>
        </w:rPr>
        <w:t xml:space="preserve"> </w:t>
      </w:r>
      <w:r>
        <w:rPr>
          <w:rFonts w:ascii="SimSun" w:hAnsi="SimSun" w:eastAsia="SimSun" w:cs="SimSun"/>
          <w:sz w:val="21"/>
          <w:szCs w:val="21"/>
          <w:spacing w:val="-10"/>
        </w:rPr>
        <w:t>航空公司未必能收取垄断价格，因为其他航空</w:t>
      </w:r>
      <w:r>
        <w:rPr>
          <w:rFonts w:ascii="SimSun" w:hAnsi="SimSun" w:eastAsia="SimSun" w:cs="SimSun"/>
          <w:sz w:val="21"/>
          <w:szCs w:val="21"/>
          <w:spacing w:val="-11"/>
        </w:rPr>
        <w:t>公司可以随时进入。也</w:t>
      </w:r>
      <w:r>
        <w:rPr>
          <w:rFonts w:ascii="SimSun" w:hAnsi="SimSun" w:eastAsia="SimSun" w:cs="SimSun"/>
          <w:sz w:val="21"/>
          <w:szCs w:val="21"/>
        </w:rPr>
        <w:t xml:space="preserve"> </w:t>
      </w:r>
      <w:r>
        <w:rPr>
          <w:rFonts w:ascii="SimSun" w:hAnsi="SimSun" w:eastAsia="SimSun" w:cs="SimSun"/>
          <w:sz w:val="21"/>
          <w:szCs w:val="21"/>
          <w:spacing w:val="-10"/>
        </w:rPr>
        <w:t>就是说，来自其他航空公司的潜在竞争抑制了在位企</w:t>
      </w:r>
      <w:r>
        <w:rPr>
          <w:rFonts w:ascii="SimSun" w:hAnsi="SimSun" w:eastAsia="SimSun" w:cs="SimSun"/>
          <w:sz w:val="21"/>
          <w:szCs w:val="21"/>
          <w:spacing w:val="-11"/>
        </w:rPr>
        <w:t>业的市场势力。</w:t>
      </w:r>
    </w:p>
    <w:p>
      <w:pPr>
        <w:ind w:right="176" w:firstLine="420"/>
        <w:spacing w:before="109" w:line="300" w:lineRule="auto"/>
        <w:rPr>
          <w:rFonts w:ascii="SimSun" w:hAnsi="SimSun" w:eastAsia="SimSun" w:cs="SimSun"/>
          <w:sz w:val="21"/>
          <w:szCs w:val="21"/>
        </w:rPr>
      </w:pPr>
      <w:r>
        <w:rPr>
          <w:rFonts w:ascii="SimSun" w:hAnsi="SimSun" w:eastAsia="SimSun" w:cs="SimSun"/>
          <w:sz w:val="21"/>
          <w:szCs w:val="21"/>
          <w:spacing w:val="-11"/>
        </w:rPr>
        <w:t>在传统经济中，可竞争性是一个富有争议的概念。这是因为企业</w:t>
      </w:r>
      <w:r>
        <w:rPr>
          <w:rFonts w:ascii="SimSun" w:hAnsi="SimSun" w:eastAsia="SimSun" w:cs="SimSun"/>
          <w:sz w:val="21"/>
          <w:szCs w:val="21"/>
          <w:spacing w:val="13"/>
        </w:rPr>
        <w:t xml:space="preserve"> </w:t>
      </w:r>
      <w:r>
        <w:rPr>
          <w:rFonts w:ascii="SimSun" w:hAnsi="SimSun" w:eastAsia="SimSun" w:cs="SimSun"/>
          <w:sz w:val="21"/>
          <w:szCs w:val="21"/>
          <w:spacing w:val="-11"/>
        </w:rPr>
        <w:t>进入或退出市场通常都会伴随较高的沉没成本，使得潜在竞争压力难</w:t>
      </w:r>
      <w:r>
        <w:rPr>
          <w:rFonts w:ascii="SimSun" w:hAnsi="SimSun" w:eastAsia="SimSun" w:cs="SimSun"/>
          <w:sz w:val="21"/>
          <w:szCs w:val="21"/>
          <w:spacing w:val="17"/>
        </w:rPr>
        <w:t xml:space="preserve"> </w:t>
      </w:r>
      <w:r>
        <w:rPr>
          <w:rFonts w:ascii="SimSun" w:hAnsi="SimSun" w:eastAsia="SimSun" w:cs="SimSun"/>
          <w:sz w:val="21"/>
          <w:szCs w:val="21"/>
          <w:spacing w:val="-11"/>
        </w:rPr>
        <w:t>以成立。进入者迅速占领市场并获得一定利润本身就很困难</w:t>
      </w:r>
      <w:r>
        <w:rPr>
          <w:rFonts w:ascii="SimSun" w:hAnsi="SimSun" w:eastAsia="SimSun" w:cs="SimSun"/>
          <w:sz w:val="21"/>
          <w:szCs w:val="21"/>
          <w:spacing w:val="-12"/>
        </w:rPr>
        <w:t>，而在位</w:t>
      </w:r>
      <w:r>
        <w:rPr>
          <w:rFonts w:ascii="SimSun" w:hAnsi="SimSun" w:eastAsia="SimSun" w:cs="SimSun"/>
          <w:sz w:val="21"/>
          <w:szCs w:val="21"/>
        </w:rPr>
        <w:t xml:space="preserve"> </w:t>
      </w:r>
      <w:r>
        <w:rPr>
          <w:rFonts w:ascii="SimSun" w:hAnsi="SimSun" w:eastAsia="SimSun" w:cs="SimSun"/>
          <w:sz w:val="21"/>
          <w:szCs w:val="21"/>
          <w:spacing w:val="-11"/>
        </w:rPr>
        <w:t>企业还可以很快做出降价反应，并迫使其退出，因此进入者以这种方</w:t>
      </w:r>
      <w:r>
        <w:rPr>
          <w:rFonts w:ascii="SimSun" w:hAnsi="SimSun" w:eastAsia="SimSun" w:cs="SimSun"/>
          <w:sz w:val="21"/>
          <w:szCs w:val="21"/>
          <w:spacing w:val="16"/>
        </w:rPr>
        <w:t xml:space="preserve"> </w:t>
      </w:r>
      <w:r>
        <w:rPr>
          <w:rFonts w:ascii="SimSun" w:hAnsi="SimSun" w:eastAsia="SimSun" w:cs="SimSun"/>
          <w:sz w:val="21"/>
          <w:szCs w:val="21"/>
          <w:spacing w:val="-10"/>
        </w:rPr>
        <w:t>式获利的可能性不大。如果“可竞争”威胁</w:t>
      </w:r>
      <w:r>
        <w:rPr>
          <w:rFonts w:ascii="SimSun" w:hAnsi="SimSun" w:eastAsia="SimSun" w:cs="SimSun"/>
          <w:sz w:val="21"/>
          <w:szCs w:val="21"/>
          <w:spacing w:val="-11"/>
        </w:rPr>
        <w:t>并不十分可实现，那么在</w:t>
      </w:r>
      <w:r>
        <w:rPr>
          <w:rFonts w:ascii="SimSun" w:hAnsi="SimSun" w:eastAsia="SimSun" w:cs="SimSun"/>
          <w:sz w:val="21"/>
          <w:szCs w:val="21"/>
        </w:rPr>
        <w:t xml:space="preserve"> </w:t>
      </w:r>
      <w:r>
        <w:rPr>
          <w:rFonts w:ascii="SimSun" w:hAnsi="SimSun" w:eastAsia="SimSun" w:cs="SimSun"/>
          <w:sz w:val="21"/>
          <w:szCs w:val="21"/>
          <w:spacing w:val="-10"/>
        </w:rPr>
        <w:t>位企业不会因此选择低价销售。</w:t>
      </w:r>
    </w:p>
    <w:p>
      <w:pPr>
        <w:ind w:right="118" w:firstLine="420"/>
        <w:spacing w:before="107" w:line="307" w:lineRule="auto"/>
        <w:rPr>
          <w:rFonts w:ascii="SimSun" w:hAnsi="SimSun" w:eastAsia="SimSun" w:cs="SimSun"/>
          <w:sz w:val="21"/>
          <w:szCs w:val="21"/>
        </w:rPr>
      </w:pPr>
      <w:r>
        <w:rPr>
          <w:rFonts w:ascii="SimSun" w:hAnsi="SimSun" w:eastAsia="SimSun" w:cs="SimSun"/>
          <w:sz w:val="21"/>
          <w:szCs w:val="21"/>
          <w:spacing w:val="-3"/>
        </w:rPr>
        <w:t>但是传统理论中的“可竞争性”在平台经济时代可能具有</w:t>
      </w:r>
      <w:r>
        <w:rPr>
          <w:rFonts w:ascii="SimSun" w:hAnsi="SimSun" w:eastAsia="SimSun" w:cs="SimSun"/>
          <w:sz w:val="21"/>
          <w:szCs w:val="21"/>
          <w:spacing w:val="-4"/>
        </w:rPr>
        <w:t>特殊</w:t>
      </w:r>
      <w:r>
        <w:rPr>
          <w:rFonts w:ascii="SimSun" w:hAnsi="SimSun" w:eastAsia="SimSun" w:cs="SimSun"/>
          <w:sz w:val="21"/>
          <w:szCs w:val="21"/>
        </w:rPr>
        <w:t xml:space="preserve"> </w:t>
      </w:r>
      <w:r>
        <w:rPr>
          <w:rFonts w:ascii="SimSun" w:hAnsi="SimSun" w:eastAsia="SimSun" w:cs="SimSun"/>
          <w:sz w:val="21"/>
          <w:szCs w:val="21"/>
          <w:spacing w:val="-10"/>
        </w:rPr>
        <w:t>意义。表面上看，建立一个基于数字技术的</w:t>
      </w:r>
      <w:r>
        <w:rPr>
          <w:rFonts w:ascii="SimSun" w:hAnsi="SimSun" w:eastAsia="SimSun" w:cs="SimSun"/>
          <w:sz w:val="21"/>
          <w:szCs w:val="21"/>
          <w:spacing w:val="-11"/>
        </w:rPr>
        <w:t>大型平台的成本较高且耗 </w:t>
      </w:r>
      <w:r>
        <w:rPr>
          <w:rFonts w:ascii="SimSun" w:hAnsi="SimSun" w:eastAsia="SimSun" w:cs="SimSun"/>
          <w:sz w:val="21"/>
          <w:szCs w:val="21"/>
          <w:spacing w:val="-10"/>
        </w:rPr>
        <w:t>时较长，而且很多成本在退出时难以回收，</w:t>
      </w:r>
      <w:r>
        <w:rPr>
          <w:rFonts w:ascii="SimSun" w:hAnsi="SimSun" w:eastAsia="SimSun" w:cs="SimSun"/>
          <w:sz w:val="21"/>
          <w:szCs w:val="21"/>
          <w:spacing w:val="-11"/>
        </w:rPr>
        <w:t>因此市场进入伴随较高的 </w:t>
      </w:r>
      <w:r>
        <w:rPr>
          <w:rFonts w:ascii="SimSun" w:hAnsi="SimSun" w:eastAsia="SimSun" w:cs="SimSun"/>
          <w:sz w:val="21"/>
          <w:szCs w:val="21"/>
          <w:spacing w:val="-4"/>
        </w:rPr>
        <w:t>沉没成本，可竞争性仍然较低，但是平台行业往往已经存在多个经 </w:t>
      </w:r>
      <w:r>
        <w:rPr>
          <w:rFonts w:ascii="SimSun" w:hAnsi="SimSun" w:eastAsia="SimSun" w:cs="SimSun"/>
          <w:sz w:val="21"/>
          <w:szCs w:val="21"/>
          <w:spacing w:val="-3"/>
        </w:rPr>
        <w:t>营不同领域的在位平台，这些平台已经具备潜在的范围经济，有能</w:t>
      </w:r>
      <w:r>
        <w:rPr>
          <w:rFonts w:ascii="SimSun" w:hAnsi="SimSun" w:eastAsia="SimSun" w:cs="SimSun"/>
          <w:sz w:val="21"/>
          <w:szCs w:val="21"/>
          <w:spacing w:val="6"/>
        </w:rPr>
        <w:t xml:space="preserve"> </w:t>
      </w:r>
      <w:r>
        <w:rPr>
          <w:rFonts w:ascii="SimSun" w:hAnsi="SimSun" w:eastAsia="SimSun" w:cs="SimSun"/>
          <w:sz w:val="21"/>
          <w:szCs w:val="21"/>
          <w:spacing w:val="-8"/>
        </w:rPr>
        <w:t>力以较低的成本迅速进入其他业务领域，这为可竞争性创造了条件。</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5"/>
        </w:rPr>
        <w:t>2003—200</w:t>
      </w:r>
      <w:r>
        <w:rPr>
          <w:rFonts w:ascii="SimSun" w:hAnsi="SimSun" w:eastAsia="SimSun" w:cs="SimSun"/>
          <w:sz w:val="21"/>
          <w:szCs w:val="21"/>
          <w:spacing w:val="-5"/>
        </w:rPr>
        <w:t>6年，淘宝网将原来的</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6"/>
        </w:rPr>
        <w:t>2C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电商巨头</w:t>
      </w:r>
      <w:r>
        <w:rPr>
          <w:rFonts w:ascii="Times New Roman" w:hAnsi="Times New Roman" w:eastAsia="Times New Roman" w:cs="Times New Roman"/>
          <w:sz w:val="21"/>
          <w:szCs w:val="21"/>
          <w:spacing w:val="-6"/>
        </w:rPr>
        <w:t>eBay </w:t>
      </w:r>
      <w:r>
        <w:rPr>
          <w:rFonts w:ascii="SimSun" w:hAnsi="SimSun" w:eastAsia="SimSun" w:cs="SimSun"/>
          <w:sz w:val="21"/>
          <w:szCs w:val="21"/>
          <w:spacing w:val="-6"/>
        </w:rPr>
        <w:t>挤出中国市场，</w:t>
      </w:r>
      <w:r>
        <w:rPr>
          <w:rFonts w:ascii="SimSun" w:hAnsi="SimSun" w:eastAsia="SimSun" w:cs="SimSun"/>
          <w:sz w:val="21"/>
          <w:szCs w:val="21"/>
        </w:rPr>
        <w:t xml:space="preserve"> </w:t>
      </w:r>
      <w:r>
        <w:rPr>
          <w:rFonts w:ascii="SimSun" w:hAnsi="SimSun" w:eastAsia="SimSun" w:cs="SimSun"/>
          <w:sz w:val="21"/>
          <w:szCs w:val="21"/>
          <w:spacing w:val="-10"/>
        </w:rPr>
        <w:t>是说明平台经济具有可竞争性的一个典型例</w:t>
      </w:r>
      <w:r>
        <w:rPr>
          <w:rFonts w:ascii="SimSun" w:hAnsi="SimSun" w:eastAsia="SimSun" w:cs="SimSun"/>
          <w:sz w:val="21"/>
          <w:szCs w:val="21"/>
          <w:spacing w:val="-11"/>
        </w:rPr>
        <w:t>子。淘宝网从创立起就一 </w:t>
      </w:r>
      <w:r>
        <w:rPr>
          <w:rFonts w:ascii="SimSun" w:hAnsi="SimSun" w:eastAsia="SimSun" w:cs="SimSun"/>
          <w:sz w:val="21"/>
          <w:szCs w:val="21"/>
          <w:spacing w:val="-4"/>
        </w:rPr>
        <w:t>直提供免费交易服务，而</w:t>
      </w:r>
      <w:r>
        <w:rPr>
          <w:rFonts w:ascii="Times New Roman" w:hAnsi="Times New Roman" w:eastAsia="Times New Roman" w:cs="Times New Roman"/>
          <w:sz w:val="21"/>
          <w:szCs w:val="21"/>
          <w:spacing w:val="-4"/>
        </w:rPr>
        <w:t>eBay </w:t>
      </w:r>
      <w:r>
        <w:rPr>
          <w:rFonts w:ascii="SimSun" w:hAnsi="SimSun" w:eastAsia="SimSun" w:cs="SimSun"/>
          <w:sz w:val="21"/>
          <w:szCs w:val="21"/>
          <w:spacing w:val="-4"/>
        </w:rPr>
        <w:t>则坚持对商</w:t>
      </w:r>
      <w:r>
        <w:rPr>
          <w:rFonts w:ascii="SimSun" w:hAnsi="SimSun" w:eastAsia="SimSun" w:cs="SimSun"/>
          <w:sz w:val="21"/>
          <w:szCs w:val="21"/>
          <w:spacing w:val="-5"/>
        </w:rPr>
        <w:t>户收费，未能看到数据和</w:t>
      </w:r>
      <w:r>
        <w:rPr>
          <w:rFonts w:ascii="SimSun" w:hAnsi="SimSun" w:eastAsia="SimSun" w:cs="SimSun"/>
          <w:sz w:val="21"/>
          <w:szCs w:val="21"/>
        </w:rPr>
        <w:t xml:space="preserve"> </w:t>
      </w:r>
      <w:r>
        <w:rPr>
          <w:rFonts w:ascii="SimSun" w:hAnsi="SimSun" w:eastAsia="SimSun" w:cs="SimSun"/>
          <w:sz w:val="21"/>
          <w:szCs w:val="21"/>
          <w:spacing w:val="-12"/>
        </w:rPr>
        <w:t>流量的价值。</w:t>
      </w:r>
    </w:p>
    <w:p>
      <w:pPr>
        <w:ind w:firstLine="420"/>
        <w:spacing w:before="122" w:line="284" w:lineRule="auto"/>
        <w:rPr>
          <w:rFonts w:ascii="SimSun" w:hAnsi="SimSun" w:eastAsia="SimSun" w:cs="SimSun"/>
          <w:sz w:val="21"/>
          <w:szCs w:val="21"/>
        </w:rPr>
      </w:pPr>
      <w:r>
        <w:rPr>
          <w:rFonts w:ascii="SimSun" w:hAnsi="SimSun" w:eastAsia="SimSun" w:cs="SimSun"/>
          <w:sz w:val="21"/>
          <w:szCs w:val="21"/>
          <w:spacing w:val="-8"/>
        </w:rPr>
        <w:t>在我国，平台企业之间相互进入对方主营领域的事件时有发生，</w:t>
      </w:r>
      <w:r>
        <w:rPr>
          <w:rFonts w:ascii="SimSun" w:hAnsi="SimSun" w:eastAsia="SimSun" w:cs="SimSun"/>
          <w:sz w:val="21"/>
          <w:szCs w:val="21"/>
          <w:spacing w:val="3"/>
        </w:rPr>
        <w:t xml:space="preserve">  </w:t>
      </w:r>
      <w:r>
        <w:rPr>
          <w:rFonts w:ascii="SimSun" w:hAnsi="SimSun" w:eastAsia="SimSun" w:cs="SimSun"/>
          <w:sz w:val="21"/>
          <w:szCs w:val="21"/>
          <w:spacing w:val="-4"/>
        </w:rPr>
        <w:t>例如，美团进入网约车业务、百度进入外卖业务、微信通过“微商”</w:t>
      </w:r>
      <w:r>
        <w:rPr>
          <w:rFonts w:ascii="SimSun" w:hAnsi="SimSun" w:eastAsia="SimSun" w:cs="SimSun"/>
          <w:sz w:val="21"/>
          <w:szCs w:val="21"/>
          <w:spacing w:val="2"/>
        </w:rPr>
        <w:t xml:space="preserve"> </w:t>
      </w:r>
      <w:r>
        <w:rPr>
          <w:rFonts w:ascii="SimSun" w:hAnsi="SimSun" w:eastAsia="SimSun" w:cs="SimSun"/>
          <w:sz w:val="21"/>
          <w:szCs w:val="21"/>
          <w:spacing w:val="-3"/>
        </w:rPr>
        <w:t>进入网络购物业务等，这说明平台间相互进入的成本并不高。或者</w:t>
      </w:r>
    </w:p>
    <w:p>
      <w:pPr>
        <w:spacing w:line="284" w:lineRule="auto"/>
        <w:sectPr>
          <w:headerReference w:type="default" r:id="rId335"/>
          <w:pgSz w:w="7330" w:h="12480"/>
          <w:pgMar w:top="515" w:right="426" w:bottom="400" w:left="720" w:header="353"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96"/>
        <w:spacing w:before="69" w:line="264" w:lineRule="auto"/>
        <w:rPr>
          <w:rFonts w:ascii="SimSun" w:hAnsi="SimSun" w:eastAsia="SimSun" w:cs="SimSun"/>
          <w:sz w:val="21"/>
          <w:szCs w:val="21"/>
        </w:rPr>
      </w:pPr>
      <w:r>
        <w:rPr>
          <w:rFonts w:ascii="SimSun" w:hAnsi="SimSun" w:eastAsia="SimSun" w:cs="SimSun"/>
          <w:sz w:val="21"/>
          <w:szCs w:val="21"/>
          <w:spacing w:val="-11"/>
        </w:rPr>
        <w:t>说，在网络架构已经存在的前提下，发展新业务的边际成本较低，可</w:t>
      </w:r>
      <w:r>
        <w:rPr>
          <w:rFonts w:ascii="SimSun" w:hAnsi="SimSun" w:eastAsia="SimSun" w:cs="SimSun"/>
          <w:sz w:val="21"/>
          <w:szCs w:val="21"/>
          <w:spacing w:val="7"/>
        </w:rPr>
        <w:t xml:space="preserve"> </w:t>
      </w:r>
      <w:r>
        <w:rPr>
          <w:rFonts w:ascii="SimSun" w:hAnsi="SimSun" w:eastAsia="SimSun" w:cs="SimSun"/>
          <w:sz w:val="21"/>
          <w:szCs w:val="21"/>
          <w:spacing w:val="-7"/>
        </w:rPr>
        <w:t>行性较好。</w:t>
      </w:r>
    </w:p>
    <w:p>
      <w:pPr>
        <w:ind w:right="54" w:firstLine="399"/>
        <w:spacing w:before="131" w:line="293" w:lineRule="auto"/>
        <w:jc w:val="both"/>
        <w:rPr>
          <w:rFonts w:ascii="SimSun" w:hAnsi="SimSun" w:eastAsia="SimSun" w:cs="SimSun"/>
          <w:sz w:val="21"/>
          <w:szCs w:val="21"/>
        </w:rPr>
      </w:pPr>
      <w:r>
        <w:rPr>
          <w:rFonts w:ascii="SimSun" w:hAnsi="SimSun" w:eastAsia="SimSun" w:cs="SimSun"/>
          <w:sz w:val="21"/>
          <w:szCs w:val="21"/>
          <w:spacing w:val="-9"/>
        </w:rPr>
        <w:t>不过，这种实际发生的交叉进入事件并不支</w:t>
      </w:r>
      <w:r>
        <w:rPr>
          <w:rFonts w:ascii="SimSun" w:hAnsi="SimSun" w:eastAsia="SimSun" w:cs="SimSun"/>
          <w:sz w:val="21"/>
          <w:szCs w:val="21"/>
          <w:spacing w:val="-10"/>
        </w:rPr>
        <w:t>持可竞争理论，因为</w:t>
      </w:r>
      <w:r>
        <w:rPr>
          <w:rFonts w:ascii="SimSun" w:hAnsi="SimSun" w:eastAsia="SimSun" w:cs="SimSun"/>
          <w:sz w:val="21"/>
          <w:szCs w:val="21"/>
        </w:rPr>
        <w:t xml:space="preserve"> </w:t>
      </w:r>
      <w:r>
        <w:rPr>
          <w:rFonts w:ascii="SimSun" w:hAnsi="SimSun" w:eastAsia="SimSun" w:cs="SimSun"/>
          <w:sz w:val="21"/>
          <w:szCs w:val="21"/>
          <w:spacing w:val="-11"/>
        </w:rPr>
        <w:t>该理论认为仅仅是进入的“威胁”就可以确保在位企业选择低价，而</w:t>
      </w:r>
      <w:r>
        <w:rPr>
          <w:rFonts w:ascii="SimSun" w:hAnsi="SimSun" w:eastAsia="SimSun" w:cs="SimSun"/>
          <w:sz w:val="21"/>
          <w:szCs w:val="21"/>
          <w:spacing w:val="9"/>
        </w:rPr>
        <w:t xml:space="preserve"> </w:t>
      </w:r>
      <w:r>
        <w:rPr>
          <w:rFonts w:ascii="SimSun" w:hAnsi="SimSun" w:eastAsia="SimSun" w:cs="SimSun"/>
          <w:sz w:val="21"/>
          <w:szCs w:val="21"/>
          <w:spacing w:val="-11"/>
        </w:rPr>
        <w:t>进入本身不会实际发生。相互进入事件的发生表明，平台具有范围经</w:t>
      </w:r>
      <w:r>
        <w:rPr>
          <w:rFonts w:ascii="SimSun" w:hAnsi="SimSun" w:eastAsia="SimSun" w:cs="SimSun"/>
          <w:sz w:val="21"/>
          <w:szCs w:val="21"/>
          <w:spacing w:val="7"/>
        </w:rPr>
        <w:t xml:space="preserve"> </w:t>
      </w:r>
      <w:r>
        <w:rPr>
          <w:rFonts w:ascii="SimSun" w:hAnsi="SimSun" w:eastAsia="SimSun" w:cs="SimSun"/>
          <w:sz w:val="21"/>
          <w:szCs w:val="21"/>
          <w:spacing w:val="-4"/>
        </w:rPr>
        <w:t>济的特征，可以同时运行不同种类的业务，但是在网络已经存在的</w:t>
      </w:r>
      <w:r>
        <w:rPr>
          <w:rFonts w:ascii="SimSun" w:hAnsi="SimSun" w:eastAsia="SimSun" w:cs="SimSun"/>
          <w:sz w:val="21"/>
          <w:szCs w:val="21"/>
          <w:spacing w:val="11"/>
        </w:rPr>
        <w:t xml:space="preserve"> </w:t>
      </w:r>
      <w:r>
        <w:rPr>
          <w:rFonts w:ascii="SimSun" w:hAnsi="SimSun" w:eastAsia="SimSun" w:cs="SimSun"/>
          <w:sz w:val="21"/>
          <w:szCs w:val="21"/>
          <w:spacing w:val="-4"/>
        </w:rPr>
        <w:t>前提下，开展新业务的规模效应不明显，因此可以容纳多个企业同</w:t>
      </w:r>
      <w:r>
        <w:rPr>
          <w:rFonts w:ascii="SimSun" w:hAnsi="SimSun" w:eastAsia="SimSun" w:cs="SimSun"/>
          <w:sz w:val="21"/>
          <w:szCs w:val="21"/>
          <w:spacing w:val="13"/>
        </w:rPr>
        <w:t xml:space="preserve"> </w:t>
      </w:r>
      <w:r>
        <w:rPr>
          <w:rFonts w:ascii="SimSun" w:hAnsi="SimSun" w:eastAsia="SimSun" w:cs="SimSun"/>
          <w:sz w:val="21"/>
          <w:szCs w:val="21"/>
          <w:spacing w:val="-10"/>
        </w:rPr>
        <w:t>时运作。</w:t>
      </w:r>
    </w:p>
    <w:p>
      <w:pPr>
        <w:ind w:right="53" w:firstLine="399"/>
        <w:spacing w:before="147" w:line="284" w:lineRule="auto"/>
        <w:jc w:val="both"/>
        <w:rPr>
          <w:rFonts w:ascii="SimSun" w:hAnsi="SimSun" w:eastAsia="SimSun" w:cs="SimSun"/>
          <w:sz w:val="21"/>
          <w:szCs w:val="21"/>
        </w:rPr>
      </w:pPr>
      <w:r>
        <w:rPr>
          <w:rFonts w:ascii="SimSun" w:hAnsi="SimSun" w:eastAsia="SimSun" w:cs="SimSun"/>
          <w:sz w:val="21"/>
          <w:szCs w:val="21"/>
          <w:spacing w:val="-11"/>
        </w:rPr>
        <w:t>与我国不同，美国的主要数字科技平台一般不轻易进入别人的领</w:t>
      </w:r>
      <w:r>
        <w:rPr>
          <w:rFonts w:ascii="SimSun" w:hAnsi="SimSun" w:eastAsia="SimSun" w:cs="SimSun"/>
          <w:sz w:val="21"/>
          <w:szCs w:val="21"/>
          <w:spacing w:val="5"/>
        </w:rPr>
        <w:t xml:space="preserve"> </w:t>
      </w:r>
      <w:r>
        <w:rPr>
          <w:rFonts w:ascii="SimSun" w:hAnsi="SimSun" w:eastAsia="SimSun" w:cs="SimSun"/>
          <w:sz w:val="21"/>
          <w:szCs w:val="21"/>
          <w:spacing w:val="-9"/>
        </w:rPr>
        <w:t>域，这个现象似乎为可竞争性提供了证据。美</w:t>
      </w:r>
      <w:r>
        <w:rPr>
          <w:rFonts w:ascii="SimSun" w:hAnsi="SimSun" w:eastAsia="SimSun" w:cs="SimSun"/>
          <w:sz w:val="21"/>
          <w:szCs w:val="21"/>
          <w:spacing w:val="-10"/>
        </w:rPr>
        <w:t>国科技平台的这种“克</w:t>
      </w:r>
      <w:r>
        <w:rPr>
          <w:rFonts w:ascii="SimSun" w:hAnsi="SimSun" w:eastAsia="SimSun" w:cs="SimSun"/>
          <w:sz w:val="21"/>
          <w:szCs w:val="21"/>
        </w:rPr>
        <w:t xml:space="preserve"> </w:t>
      </w:r>
      <w:r>
        <w:rPr>
          <w:rFonts w:ascii="SimSun" w:hAnsi="SimSun" w:eastAsia="SimSun" w:cs="SimSun"/>
          <w:sz w:val="21"/>
          <w:szCs w:val="21"/>
          <w:spacing w:val="-13"/>
        </w:rPr>
        <w:t>制”至少有以下几种可能的解释。</w:t>
      </w:r>
    </w:p>
    <w:p>
      <w:pPr>
        <w:ind w:right="76" w:firstLine="399"/>
        <w:spacing w:before="121" w:line="292" w:lineRule="auto"/>
        <w:jc w:val="both"/>
        <w:rPr>
          <w:rFonts w:ascii="SimSun" w:hAnsi="SimSun" w:eastAsia="SimSun" w:cs="SimSun"/>
          <w:sz w:val="21"/>
          <w:szCs w:val="21"/>
        </w:rPr>
      </w:pPr>
      <w:r>
        <w:rPr>
          <w:rFonts w:ascii="SimSun" w:hAnsi="SimSun" w:eastAsia="SimSun" w:cs="SimSun"/>
          <w:sz w:val="21"/>
          <w:szCs w:val="21"/>
          <w:spacing w:val="-11"/>
        </w:rPr>
        <w:t>第一种解释是，每个平台都有较高的进入壁垒，使得进入非常困</w:t>
      </w:r>
      <w:r>
        <w:rPr>
          <w:rFonts w:ascii="SimSun" w:hAnsi="SimSun" w:eastAsia="SimSun" w:cs="SimSun"/>
          <w:sz w:val="21"/>
          <w:szCs w:val="21"/>
          <w:spacing w:val="17"/>
        </w:rPr>
        <w:t xml:space="preserve"> </w:t>
      </w:r>
      <w:r>
        <w:rPr>
          <w:rFonts w:ascii="SimSun" w:hAnsi="SimSun" w:eastAsia="SimSun" w:cs="SimSun"/>
          <w:sz w:val="21"/>
          <w:szCs w:val="21"/>
          <w:spacing w:val="-17"/>
        </w:rPr>
        <w:t>难。如果每个数字平台的科技水平都很高且差异性大，同时还受到规模</w:t>
      </w:r>
      <w:r>
        <w:rPr>
          <w:rFonts w:ascii="SimSun" w:hAnsi="SimSun" w:eastAsia="SimSun" w:cs="SimSun"/>
          <w:sz w:val="21"/>
          <w:szCs w:val="21"/>
          <w:spacing w:val="14"/>
        </w:rPr>
        <w:t xml:space="preserve"> </w:t>
      </w:r>
      <w:r>
        <w:rPr>
          <w:rFonts w:ascii="SimSun" w:hAnsi="SimSun" w:eastAsia="SimSun" w:cs="SimSun"/>
          <w:sz w:val="21"/>
          <w:szCs w:val="21"/>
          <w:spacing w:val="-14"/>
        </w:rPr>
        <w:t>经济和网络外部性的“庇护”,那么相互进入就会比较困难。在这种情</w:t>
      </w:r>
      <w:r>
        <w:rPr>
          <w:rFonts w:ascii="SimSun" w:hAnsi="SimSun" w:eastAsia="SimSun" w:cs="SimSun"/>
          <w:sz w:val="21"/>
          <w:szCs w:val="21"/>
          <w:spacing w:val="7"/>
        </w:rPr>
        <w:t xml:space="preserve"> </w:t>
      </w:r>
      <w:r>
        <w:rPr>
          <w:rFonts w:ascii="SimSun" w:hAnsi="SimSun" w:eastAsia="SimSun" w:cs="SimSun"/>
          <w:sz w:val="21"/>
          <w:szCs w:val="21"/>
          <w:spacing w:val="-17"/>
        </w:rPr>
        <w:t>况下，各平台也会享有较高的利润率，具体取决于平台间的技术门</w:t>
      </w:r>
      <w:r>
        <w:rPr>
          <w:rFonts w:ascii="SimSun" w:hAnsi="SimSun" w:eastAsia="SimSun" w:cs="SimSun"/>
          <w:sz w:val="21"/>
          <w:szCs w:val="21"/>
          <w:spacing w:val="-18"/>
        </w:rPr>
        <w:t>槛。</w:t>
      </w:r>
    </w:p>
    <w:p>
      <w:pPr>
        <w:ind w:firstLine="399"/>
        <w:spacing w:before="100" w:line="297" w:lineRule="auto"/>
        <w:jc w:val="both"/>
        <w:rPr>
          <w:rFonts w:ascii="SimSun" w:hAnsi="SimSun" w:eastAsia="SimSun" w:cs="SimSun"/>
          <w:sz w:val="21"/>
          <w:szCs w:val="21"/>
        </w:rPr>
      </w:pPr>
      <w:r>
        <w:rPr>
          <w:rFonts w:ascii="SimSun" w:hAnsi="SimSun" w:eastAsia="SimSun" w:cs="SimSun"/>
          <w:sz w:val="21"/>
          <w:szCs w:val="21"/>
          <w:spacing w:val="-11"/>
        </w:rPr>
        <w:t>第二种解释是，这种状态可能是“心照不宣的合谋”。平台之间</w:t>
      </w:r>
      <w:r>
        <w:rPr>
          <w:rFonts w:ascii="SimSun" w:hAnsi="SimSun" w:eastAsia="SimSun" w:cs="SimSun"/>
          <w:sz w:val="21"/>
          <w:szCs w:val="21"/>
          <w:spacing w:val="8"/>
        </w:rPr>
        <w:t xml:space="preserve">  </w:t>
      </w:r>
      <w:r>
        <w:rPr>
          <w:rFonts w:ascii="SimSun" w:hAnsi="SimSun" w:eastAsia="SimSun" w:cs="SimSun"/>
          <w:sz w:val="21"/>
          <w:szCs w:val="21"/>
          <w:spacing w:val="-8"/>
        </w:rPr>
        <w:t>达成某种默契，相互尊重对方的市场领地，如果某个平台打破默契，</w:t>
      </w:r>
      <w:r>
        <w:rPr>
          <w:rFonts w:ascii="SimSun" w:hAnsi="SimSun" w:eastAsia="SimSun" w:cs="SimSun"/>
          <w:sz w:val="21"/>
          <w:szCs w:val="21"/>
          <w:spacing w:val="13"/>
        </w:rPr>
        <w:t xml:space="preserve"> </w:t>
      </w:r>
      <w:r>
        <w:rPr>
          <w:rFonts w:ascii="SimSun" w:hAnsi="SimSun" w:eastAsia="SimSun" w:cs="SimSun"/>
          <w:sz w:val="21"/>
          <w:szCs w:val="21"/>
          <w:spacing w:val="-7"/>
        </w:rPr>
        <w:t>挑起跨界“战争”,那么被入侵的平台也会做出同样的跨界行为，最 </w:t>
      </w:r>
      <w:r>
        <w:rPr>
          <w:rFonts w:ascii="SimSun" w:hAnsi="SimSun" w:eastAsia="SimSun" w:cs="SimSun"/>
          <w:sz w:val="21"/>
          <w:szCs w:val="21"/>
          <w:spacing w:val="-10"/>
        </w:rPr>
        <w:t>终两败俱伤。预见到这种前景，各方都会保持克制。如果这个看法</w:t>
      </w:r>
      <w:r>
        <w:rPr>
          <w:rFonts w:ascii="SimSun" w:hAnsi="SimSun" w:eastAsia="SimSun" w:cs="SimSun"/>
          <w:sz w:val="21"/>
          <w:szCs w:val="21"/>
          <w:spacing w:val="-11"/>
        </w:rPr>
        <w:t>是 </w:t>
      </w:r>
      <w:r>
        <w:rPr>
          <w:rFonts w:ascii="SimSun" w:hAnsi="SimSun" w:eastAsia="SimSun" w:cs="SimSun"/>
          <w:sz w:val="21"/>
          <w:szCs w:val="21"/>
          <w:spacing w:val="-10"/>
        </w:rPr>
        <w:t>正确的，那么各个在位平台的利润应显著高于社</w:t>
      </w:r>
      <w:r>
        <w:rPr>
          <w:rFonts w:ascii="SimSun" w:hAnsi="SimSun" w:eastAsia="SimSun" w:cs="SimSun"/>
          <w:sz w:val="21"/>
          <w:szCs w:val="21"/>
          <w:spacing w:val="-11"/>
        </w:rPr>
        <w:t>会平均水平。</w:t>
      </w:r>
    </w:p>
    <w:p>
      <w:pPr>
        <w:ind w:firstLine="399"/>
        <w:spacing w:before="114" w:line="300" w:lineRule="auto"/>
        <w:jc w:val="both"/>
        <w:rPr>
          <w:rFonts w:ascii="SimSun" w:hAnsi="SimSun" w:eastAsia="SimSun" w:cs="SimSun"/>
          <w:sz w:val="21"/>
          <w:szCs w:val="21"/>
        </w:rPr>
      </w:pPr>
      <w:r>
        <w:rPr>
          <w:rFonts w:ascii="SimSun" w:hAnsi="SimSun" w:eastAsia="SimSun" w:cs="SimSun"/>
          <w:sz w:val="21"/>
          <w:szCs w:val="21"/>
          <w:spacing w:val="-11"/>
        </w:rPr>
        <w:t>第三种解释则是可竞争性。由于每个平台都面临其他平台跨界进</w:t>
      </w:r>
      <w:r>
        <w:rPr>
          <w:rFonts w:ascii="SimSun" w:hAnsi="SimSun" w:eastAsia="SimSun" w:cs="SimSun"/>
          <w:sz w:val="21"/>
          <w:szCs w:val="21"/>
          <w:spacing w:val="2"/>
        </w:rPr>
        <w:t xml:space="preserve">  </w:t>
      </w:r>
      <w:r>
        <w:rPr>
          <w:rFonts w:ascii="SimSun" w:hAnsi="SimSun" w:eastAsia="SimSun" w:cs="SimSun"/>
          <w:sz w:val="21"/>
          <w:szCs w:val="21"/>
          <w:spacing w:val="-10"/>
        </w:rPr>
        <w:t>入的可能性，因此不仅要努力做好自身业务，同时也不得不尽量降低 </w:t>
      </w:r>
      <w:r>
        <w:rPr>
          <w:rFonts w:ascii="SimSun" w:hAnsi="SimSun" w:eastAsia="SimSun" w:cs="SimSun"/>
          <w:sz w:val="21"/>
          <w:szCs w:val="21"/>
          <w:spacing w:val="-11"/>
        </w:rPr>
        <w:t>价格，让潜在进入者看不到赢利机会，放弃跨界进入的打算。在这种</w:t>
      </w:r>
      <w:r>
        <w:rPr>
          <w:rFonts w:ascii="SimSun" w:hAnsi="SimSun" w:eastAsia="SimSun" w:cs="SimSun"/>
          <w:sz w:val="21"/>
          <w:szCs w:val="21"/>
          <w:spacing w:val="6"/>
        </w:rPr>
        <w:t xml:space="preserve">  </w:t>
      </w:r>
      <w:r>
        <w:rPr>
          <w:rFonts w:ascii="SimSun" w:hAnsi="SimSun" w:eastAsia="SimSun" w:cs="SimSun"/>
          <w:sz w:val="21"/>
          <w:szCs w:val="21"/>
          <w:spacing w:val="-8"/>
        </w:rPr>
        <w:t>情况下，虽然每个领域都只有一个平台在运营，但市场效率却很高，</w:t>
      </w:r>
      <w:r>
        <w:rPr>
          <w:rFonts w:ascii="SimSun" w:hAnsi="SimSun" w:eastAsia="SimSun" w:cs="SimSun"/>
          <w:sz w:val="21"/>
          <w:szCs w:val="21"/>
          <w:spacing w:val="14"/>
        </w:rPr>
        <w:t xml:space="preserve"> </w:t>
      </w:r>
      <w:r>
        <w:rPr>
          <w:rFonts w:ascii="SimSun" w:hAnsi="SimSun" w:eastAsia="SimSun" w:cs="SimSun"/>
          <w:sz w:val="21"/>
          <w:szCs w:val="21"/>
          <w:spacing w:val="-11"/>
        </w:rPr>
        <w:t>消费者利益也得到了保障。支持这个看法的证据是平台看似具有垄断</w:t>
      </w:r>
      <w:r>
        <w:rPr>
          <w:rFonts w:ascii="SimSun" w:hAnsi="SimSun" w:eastAsia="SimSun" w:cs="SimSun"/>
          <w:sz w:val="21"/>
          <w:szCs w:val="21"/>
          <w:spacing w:val="3"/>
        </w:rPr>
        <w:t xml:space="preserve">  </w:t>
      </w:r>
      <w:r>
        <w:rPr>
          <w:rFonts w:ascii="SimSun" w:hAnsi="SimSun" w:eastAsia="SimSun" w:cs="SimSun"/>
          <w:sz w:val="21"/>
          <w:szCs w:val="21"/>
          <w:spacing w:val="-11"/>
        </w:rPr>
        <w:t>地位，但并没有获得超额利润。</w:t>
      </w:r>
    </w:p>
    <w:p>
      <w:pPr>
        <w:ind w:left="399"/>
        <w:spacing w:before="120" w:line="219" w:lineRule="auto"/>
        <w:rPr>
          <w:rFonts w:ascii="SimSun" w:hAnsi="SimSun" w:eastAsia="SimSun" w:cs="SimSun"/>
          <w:sz w:val="21"/>
          <w:szCs w:val="21"/>
        </w:rPr>
      </w:pPr>
      <w:r>
        <w:rPr>
          <w:rFonts w:ascii="SimSun" w:hAnsi="SimSun" w:eastAsia="SimSun" w:cs="SimSun"/>
          <w:sz w:val="21"/>
          <w:szCs w:val="21"/>
          <w:spacing w:val="-3"/>
        </w:rPr>
        <w:t>美国的四大数字平台企业(亚马逊、苹果、脸书和谷歌)的确拥</w:t>
      </w:r>
    </w:p>
    <w:p>
      <w:pPr>
        <w:spacing w:line="219" w:lineRule="auto"/>
        <w:sectPr>
          <w:headerReference w:type="default" r:id="rId336"/>
          <w:pgSz w:w="7330" w:h="12480"/>
          <w:pgMar w:top="789" w:right="875" w:bottom="400" w:left="379" w:header="622"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138"/>
        <w:spacing w:before="68" w:line="295" w:lineRule="auto"/>
        <w:jc w:val="both"/>
        <w:rPr>
          <w:rFonts w:ascii="SimSun" w:hAnsi="SimSun" w:eastAsia="SimSun" w:cs="SimSun"/>
          <w:sz w:val="21"/>
          <w:szCs w:val="21"/>
        </w:rPr>
      </w:pPr>
      <w:r>
        <w:rPr>
          <w:rFonts w:ascii="SimSun" w:hAnsi="SimSun" w:eastAsia="SimSun" w:cs="SimSun"/>
          <w:sz w:val="21"/>
          <w:szCs w:val="21"/>
          <w:spacing w:val="-11"/>
        </w:rPr>
        <w:t>有较高的科技水平，在各自的网络业务领域有较强的竞争力</w:t>
      </w:r>
      <w:r>
        <w:rPr>
          <w:rFonts w:ascii="SimSun" w:hAnsi="SimSun" w:eastAsia="SimSun" w:cs="SimSun"/>
          <w:sz w:val="21"/>
          <w:szCs w:val="21"/>
          <w:spacing w:val="-12"/>
        </w:rPr>
        <w:t>。另一方</w:t>
      </w:r>
      <w:r>
        <w:rPr>
          <w:rFonts w:ascii="SimSun" w:hAnsi="SimSun" w:eastAsia="SimSun" w:cs="SimSun"/>
          <w:sz w:val="21"/>
          <w:szCs w:val="21"/>
        </w:rPr>
        <w:t xml:space="preserve"> </w:t>
      </w:r>
      <w:r>
        <w:rPr>
          <w:rFonts w:ascii="SimSun" w:hAnsi="SimSun" w:eastAsia="SimSun" w:cs="SimSun"/>
          <w:sz w:val="21"/>
          <w:szCs w:val="21"/>
          <w:spacing w:val="-10"/>
        </w:rPr>
        <w:t>面，我们也注意到这些大型平台的赢利能力十分强大，与</w:t>
      </w:r>
      <w:r>
        <w:rPr>
          <w:rFonts w:ascii="SimSun" w:hAnsi="SimSun" w:eastAsia="SimSun" w:cs="SimSun"/>
          <w:sz w:val="21"/>
          <w:szCs w:val="21"/>
          <w:spacing w:val="-11"/>
        </w:rPr>
        <w:t>垄断特征相</w:t>
      </w:r>
      <w:r>
        <w:rPr>
          <w:rFonts w:ascii="SimSun" w:hAnsi="SimSun" w:eastAsia="SimSun" w:cs="SimSun"/>
          <w:sz w:val="21"/>
          <w:szCs w:val="21"/>
        </w:rPr>
        <w:t xml:space="preserve"> </w:t>
      </w:r>
      <w:r>
        <w:rPr>
          <w:rFonts w:ascii="SimSun" w:hAnsi="SimSun" w:eastAsia="SimSun" w:cs="SimSun"/>
          <w:sz w:val="21"/>
          <w:szCs w:val="21"/>
          <w:spacing w:val="-10"/>
        </w:rPr>
        <w:t>符。从这些现象来看，美国数字平台之间相互不进</w:t>
      </w:r>
      <w:r>
        <w:rPr>
          <w:rFonts w:ascii="SimSun" w:hAnsi="SimSun" w:eastAsia="SimSun" w:cs="SimSun"/>
          <w:sz w:val="21"/>
          <w:szCs w:val="21"/>
          <w:spacing w:val="-11"/>
        </w:rPr>
        <w:t>入，很可能符合第</w:t>
      </w:r>
      <w:r>
        <w:rPr>
          <w:rFonts w:ascii="SimSun" w:hAnsi="SimSun" w:eastAsia="SimSun" w:cs="SimSun"/>
          <w:sz w:val="21"/>
          <w:szCs w:val="21"/>
        </w:rPr>
        <w:t xml:space="preserve"> </w:t>
      </w:r>
      <w:r>
        <w:rPr>
          <w:rFonts w:ascii="SimSun" w:hAnsi="SimSun" w:eastAsia="SimSun" w:cs="SimSun"/>
          <w:sz w:val="21"/>
          <w:szCs w:val="21"/>
          <w:spacing w:val="-11"/>
        </w:rPr>
        <w:t>一或第二种解释。中美两国平台经济的不同特点，也从侧面反映了我</w:t>
      </w:r>
      <w:r>
        <w:rPr>
          <w:rFonts w:ascii="SimSun" w:hAnsi="SimSun" w:eastAsia="SimSun" w:cs="SimSun"/>
          <w:sz w:val="21"/>
          <w:szCs w:val="21"/>
          <w:spacing w:val="16"/>
        </w:rPr>
        <w:t xml:space="preserve"> </w:t>
      </w:r>
      <w:r>
        <w:rPr>
          <w:rFonts w:ascii="SimSun" w:hAnsi="SimSun" w:eastAsia="SimSun" w:cs="SimSun"/>
          <w:sz w:val="21"/>
          <w:szCs w:val="21"/>
          <w:spacing w:val="-11"/>
        </w:rPr>
        <w:t>国平台相对更强调商业模式创新，而科技水平较低的事实。</w:t>
      </w:r>
    </w:p>
    <w:p>
      <w:pPr>
        <w:ind w:right="90" w:firstLine="459"/>
        <w:spacing w:before="112" w:line="297" w:lineRule="auto"/>
        <w:jc w:val="both"/>
        <w:rPr>
          <w:rFonts w:ascii="SimSun" w:hAnsi="SimSun" w:eastAsia="SimSun" w:cs="SimSun"/>
          <w:sz w:val="21"/>
          <w:szCs w:val="21"/>
        </w:rPr>
      </w:pPr>
      <w:r>
        <w:rPr>
          <w:rFonts w:ascii="SimSun" w:hAnsi="SimSun" w:eastAsia="SimSun" w:cs="SimSun"/>
          <w:sz w:val="21"/>
          <w:szCs w:val="21"/>
          <w:spacing w:val="-11"/>
        </w:rPr>
        <w:t>可竞争性市场理论具有明显的反垄断或政府规制含义。政府在判</w:t>
      </w:r>
      <w:r>
        <w:rPr>
          <w:rFonts w:ascii="SimSun" w:hAnsi="SimSun" w:eastAsia="SimSun" w:cs="SimSun"/>
          <w:sz w:val="21"/>
          <w:szCs w:val="21"/>
          <w:spacing w:val="11"/>
        </w:rPr>
        <w:t xml:space="preserve"> </w:t>
      </w:r>
      <w:r>
        <w:rPr>
          <w:rFonts w:ascii="SimSun" w:hAnsi="SimSun" w:eastAsia="SimSun" w:cs="SimSun"/>
          <w:sz w:val="21"/>
          <w:szCs w:val="21"/>
          <w:spacing w:val="-11"/>
        </w:rPr>
        <w:t>断是否存在垄断时，不应仅看市场份额，还要看是否存在潜在的竞争</w:t>
      </w:r>
      <w:r>
        <w:rPr>
          <w:rFonts w:ascii="SimSun" w:hAnsi="SimSun" w:eastAsia="SimSun" w:cs="SimSun"/>
          <w:sz w:val="21"/>
          <w:szCs w:val="21"/>
          <w:spacing w:val="17"/>
        </w:rPr>
        <w:t xml:space="preserve"> </w:t>
      </w:r>
      <w:r>
        <w:rPr>
          <w:rFonts w:ascii="SimSun" w:hAnsi="SimSun" w:eastAsia="SimSun" w:cs="SimSun"/>
          <w:sz w:val="21"/>
          <w:szCs w:val="21"/>
          <w:spacing w:val="-10"/>
        </w:rPr>
        <w:t>者。如果潜在竞争者能够对在位企业形成有效的价格抑制作用，那么</w:t>
      </w:r>
      <w:r>
        <w:rPr>
          <w:rFonts w:ascii="SimSun" w:hAnsi="SimSun" w:eastAsia="SimSun" w:cs="SimSun"/>
          <w:sz w:val="21"/>
          <w:szCs w:val="21"/>
          <w:spacing w:val="5"/>
        </w:rPr>
        <w:t xml:space="preserve"> </w:t>
      </w:r>
      <w:r>
        <w:rPr>
          <w:rFonts w:ascii="SimSun" w:hAnsi="SimSun" w:eastAsia="SimSun" w:cs="SimSun"/>
          <w:sz w:val="21"/>
          <w:szCs w:val="21"/>
          <w:spacing w:val="-10"/>
        </w:rPr>
        <w:t>经济学意义上的垄断担忧较低。在存在多个大型平台</w:t>
      </w:r>
      <w:r>
        <w:rPr>
          <w:rFonts w:ascii="SimSun" w:hAnsi="SimSun" w:eastAsia="SimSun" w:cs="SimSun"/>
          <w:sz w:val="21"/>
          <w:szCs w:val="21"/>
          <w:spacing w:val="-11"/>
        </w:rPr>
        <w:t>的经济体中，如</w:t>
      </w:r>
      <w:r>
        <w:rPr>
          <w:rFonts w:ascii="SimSun" w:hAnsi="SimSun" w:eastAsia="SimSun" w:cs="SimSun"/>
          <w:sz w:val="21"/>
          <w:szCs w:val="21"/>
        </w:rPr>
        <w:t xml:space="preserve"> </w:t>
      </w:r>
      <w:r>
        <w:rPr>
          <w:rFonts w:ascii="SimSun" w:hAnsi="SimSun" w:eastAsia="SimSun" w:cs="SimSun"/>
          <w:sz w:val="21"/>
          <w:szCs w:val="21"/>
          <w:spacing w:val="-11"/>
        </w:rPr>
        <w:t>果平台间相互跨界进入的难度不大，那么垄断很难实现。</w:t>
      </w:r>
    </w:p>
    <w:p>
      <w:pPr>
        <w:ind w:right="49" w:firstLine="459"/>
        <w:spacing w:before="110" w:line="297" w:lineRule="auto"/>
        <w:jc w:val="both"/>
        <w:rPr>
          <w:rFonts w:ascii="SimSun" w:hAnsi="SimSun" w:eastAsia="SimSun" w:cs="SimSun"/>
          <w:sz w:val="21"/>
          <w:szCs w:val="21"/>
        </w:rPr>
      </w:pPr>
      <w:r>
        <w:rPr>
          <w:rFonts w:ascii="SimSun" w:hAnsi="SimSun" w:eastAsia="SimSun" w:cs="SimSun"/>
          <w:sz w:val="21"/>
          <w:szCs w:val="21"/>
          <w:spacing w:val="-11"/>
        </w:rPr>
        <w:t>但是，可竞争性市场理论难以化解政府对数字平台政治影响力的</w:t>
      </w:r>
      <w:r>
        <w:rPr>
          <w:rFonts w:ascii="SimSun" w:hAnsi="SimSun" w:eastAsia="SimSun" w:cs="SimSun"/>
          <w:sz w:val="21"/>
          <w:szCs w:val="21"/>
          <w:spacing w:val="12"/>
        </w:rPr>
        <w:t xml:space="preserve"> </w:t>
      </w:r>
      <w:r>
        <w:rPr>
          <w:rFonts w:ascii="SimSun" w:hAnsi="SimSun" w:eastAsia="SimSun" w:cs="SimSun"/>
          <w:sz w:val="21"/>
          <w:szCs w:val="21"/>
          <w:spacing w:val="-10"/>
        </w:rPr>
        <w:t>担忧，因为这种影响力主要与网络规模有关。即使平台</w:t>
      </w:r>
      <w:r>
        <w:rPr>
          <w:rFonts w:ascii="SimSun" w:hAnsi="SimSun" w:eastAsia="SimSun" w:cs="SimSun"/>
          <w:sz w:val="21"/>
          <w:szCs w:val="21"/>
          <w:spacing w:val="-11"/>
        </w:rPr>
        <w:t>的价格和利润</w:t>
      </w:r>
      <w:r>
        <w:rPr>
          <w:rFonts w:ascii="SimSun" w:hAnsi="SimSun" w:eastAsia="SimSun" w:cs="SimSun"/>
          <w:sz w:val="21"/>
          <w:szCs w:val="21"/>
        </w:rPr>
        <w:t xml:space="preserve">  </w:t>
      </w:r>
      <w:r>
        <w:rPr>
          <w:rFonts w:ascii="SimSun" w:hAnsi="SimSun" w:eastAsia="SimSun" w:cs="SimSun"/>
          <w:sz w:val="21"/>
          <w:szCs w:val="21"/>
          <w:spacing w:val="-11"/>
        </w:rPr>
        <w:t>较低，仍然可能拥有过度的影响力。例如，美国的社交平台推特，从</w:t>
      </w:r>
      <w:r>
        <w:rPr>
          <w:rFonts w:ascii="SimSun" w:hAnsi="SimSun" w:eastAsia="SimSun" w:cs="SimSun"/>
          <w:sz w:val="21"/>
          <w:szCs w:val="21"/>
          <w:spacing w:val="8"/>
        </w:rPr>
        <w:t xml:space="preserve">  </w:t>
      </w:r>
      <w:r>
        <w:rPr>
          <w:rFonts w:ascii="SimSun" w:hAnsi="SimSun" w:eastAsia="SimSun" w:cs="SimSun"/>
          <w:sz w:val="21"/>
          <w:szCs w:val="21"/>
          <w:spacing w:val="-7"/>
        </w:rPr>
        <w:t>利润上看并不算超大型企业，但是其政治和社会影响</w:t>
      </w:r>
      <w:r>
        <w:rPr>
          <w:rFonts w:ascii="SimSun" w:hAnsi="SimSun" w:eastAsia="SimSun" w:cs="SimSun"/>
          <w:sz w:val="21"/>
          <w:szCs w:val="21"/>
          <w:spacing w:val="-8"/>
        </w:rPr>
        <w:t>力却非常巨大。</w:t>
      </w:r>
      <w:r>
        <w:rPr>
          <w:rFonts w:ascii="SimSun" w:hAnsi="SimSun" w:eastAsia="SimSun" w:cs="SimSun"/>
          <w:sz w:val="21"/>
          <w:szCs w:val="21"/>
        </w:rPr>
        <w:t xml:space="preserve"> </w:t>
      </w:r>
      <w:r>
        <w:rPr>
          <w:rFonts w:ascii="SimSun" w:hAnsi="SimSun" w:eastAsia="SimSun" w:cs="SimSun"/>
          <w:sz w:val="21"/>
          <w:szCs w:val="21"/>
          <w:spacing w:val="-11"/>
        </w:rPr>
        <w:t>要解决这个问题，加强对平台的日常监管可能是必要的。</w:t>
      </w:r>
    </w:p>
    <w:p>
      <w:pPr>
        <w:ind w:right="96" w:firstLine="459"/>
        <w:spacing w:before="109" w:line="300" w:lineRule="auto"/>
        <w:jc w:val="both"/>
        <w:rPr>
          <w:rFonts w:ascii="SimSun" w:hAnsi="SimSun" w:eastAsia="SimSun" w:cs="SimSun"/>
          <w:sz w:val="21"/>
          <w:szCs w:val="21"/>
        </w:rPr>
      </w:pPr>
      <w:r>
        <w:rPr>
          <w:rFonts w:ascii="SimSun" w:hAnsi="SimSun" w:eastAsia="SimSun" w:cs="SimSun"/>
          <w:sz w:val="21"/>
          <w:szCs w:val="21"/>
          <w:spacing w:val="-11"/>
        </w:rPr>
        <w:t>总之，在观察平台经济时，不能仅从表象判断是否存在垄断，还</w:t>
      </w:r>
      <w:r>
        <w:rPr>
          <w:rFonts w:ascii="SimSun" w:hAnsi="SimSun" w:eastAsia="SimSun" w:cs="SimSun"/>
          <w:sz w:val="21"/>
          <w:szCs w:val="21"/>
          <w:spacing w:val="5"/>
        </w:rPr>
        <w:t xml:space="preserve"> </w:t>
      </w:r>
      <w:r>
        <w:rPr>
          <w:rFonts w:ascii="SimSun" w:hAnsi="SimSun" w:eastAsia="SimSun" w:cs="SimSun"/>
          <w:sz w:val="21"/>
          <w:szCs w:val="21"/>
          <w:spacing w:val="-10"/>
        </w:rPr>
        <w:t>要看是否存在进入成本较低的潜在竞争者，特别是位于相同区域</w:t>
      </w:r>
      <w:r>
        <w:rPr>
          <w:rFonts w:ascii="SimSun" w:hAnsi="SimSun" w:eastAsia="SimSun" w:cs="SimSun"/>
          <w:sz w:val="21"/>
          <w:szCs w:val="21"/>
          <w:spacing w:val="-11"/>
        </w:rPr>
        <w:t>、网</w:t>
      </w:r>
      <w:r>
        <w:rPr>
          <w:rFonts w:ascii="SimSun" w:hAnsi="SimSun" w:eastAsia="SimSun" w:cs="SimSun"/>
          <w:sz w:val="21"/>
          <w:szCs w:val="21"/>
        </w:rPr>
        <w:t xml:space="preserve"> </w:t>
      </w:r>
      <w:r>
        <w:rPr>
          <w:rFonts w:ascii="SimSun" w:hAnsi="SimSun" w:eastAsia="SimSun" w:cs="SimSun"/>
          <w:sz w:val="21"/>
          <w:szCs w:val="21"/>
          <w:spacing w:val="-10"/>
        </w:rPr>
        <w:t>络规模相当但主营业务不同的其他平台。如果潜在</w:t>
      </w:r>
      <w:r>
        <w:rPr>
          <w:rFonts w:ascii="SimSun" w:hAnsi="SimSun" w:eastAsia="SimSun" w:cs="SimSun"/>
          <w:sz w:val="21"/>
          <w:szCs w:val="21"/>
          <w:spacing w:val="-11"/>
        </w:rPr>
        <w:t>竞争是充分的，那</w:t>
      </w:r>
      <w:r>
        <w:rPr>
          <w:rFonts w:ascii="SimSun" w:hAnsi="SimSun" w:eastAsia="SimSun" w:cs="SimSun"/>
          <w:sz w:val="21"/>
          <w:szCs w:val="21"/>
        </w:rPr>
        <w:t xml:space="preserve"> </w:t>
      </w:r>
      <w:r>
        <w:rPr>
          <w:rFonts w:ascii="SimSun" w:hAnsi="SimSun" w:eastAsia="SimSun" w:cs="SimSun"/>
          <w:sz w:val="21"/>
          <w:szCs w:val="21"/>
          <w:spacing w:val="-11"/>
        </w:rPr>
        <w:t>么即使在位平台的规模很大，垄断的可能性仍然较低。可竞争均衡可</w:t>
      </w:r>
      <w:r>
        <w:rPr>
          <w:rFonts w:ascii="SimSun" w:hAnsi="SimSun" w:eastAsia="SimSun" w:cs="SimSun"/>
          <w:sz w:val="21"/>
          <w:szCs w:val="21"/>
          <w:spacing w:val="17"/>
        </w:rPr>
        <w:t xml:space="preserve"> </w:t>
      </w:r>
      <w:r>
        <w:rPr>
          <w:rFonts w:ascii="SimSun" w:hAnsi="SimSun" w:eastAsia="SimSun" w:cs="SimSun"/>
          <w:sz w:val="21"/>
          <w:szCs w:val="21"/>
          <w:spacing w:val="-10"/>
        </w:rPr>
        <w:t>以同时实现规模经济和充分竞争，既保持了平台的高效率，又让用户</w:t>
      </w:r>
      <w:r>
        <w:rPr>
          <w:rFonts w:ascii="SimSun" w:hAnsi="SimSun" w:eastAsia="SimSun" w:cs="SimSun"/>
          <w:sz w:val="21"/>
          <w:szCs w:val="21"/>
          <w:spacing w:val="6"/>
        </w:rPr>
        <w:t xml:space="preserve"> </w:t>
      </w:r>
      <w:r>
        <w:rPr>
          <w:rFonts w:ascii="SimSun" w:hAnsi="SimSun" w:eastAsia="SimSun" w:cs="SimSun"/>
          <w:sz w:val="21"/>
          <w:szCs w:val="21"/>
          <w:spacing w:val="-11"/>
        </w:rPr>
        <w:t>获得了低价格，因此是解决两者之间矛盾的一个理想方式。</w:t>
      </w:r>
    </w:p>
    <w:p>
      <w:pPr>
        <w:pStyle w:val="BodyText"/>
        <w:spacing w:line="388"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信息渠道、大数据与个人隐私</w:t>
      </w:r>
    </w:p>
    <w:p>
      <w:pPr>
        <w:pStyle w:val="BodyText"/>
        <w:spacing w:line="349" w:lineRule="auto"/>
        <w:rPr/>
      </w:pPr>
      <w:r/>
    </w:p>
    <w:p>
      <w:pPr>
        <w:ind w:firstLine="459"/>
        <w:spacing w:before="69" w:line="284" w:lineRule="auto"/>
        <w:jc w:val="both"/>
        <w:rPr>
          <w:rFonts w:ascii="SimSun" w:hAnsi="SimSun" w:eastAsia="SimSun" w:cs="SimSun"/>
          <w:sz w:val="21"/>
          <w:szCs w:val="21"/>
        </w:rPr>
      </w:pPr>
      <w:r>
        <w:rPr>
          <w:rFonts w:ascii="SimSun" w:hAnsi="SimSun" w:eastAsia="SimSun" w:cs="SimSun"/>
          <w:sz w:val="21"/>
          <w:szCs w:val="21"/>
          <w:spacing w:val="-8"/>
        </w:rPr>
        <w:t>数字平台与传统平台的关键区别，可能就在于前者在信息传送、</w:t>
      </w:r>
      <w:r>
        <w:rPr>
          <w:rFonts w:ascii="SimSun" w:hAnsi="SimSun" w:eastAsia="SimSun" w:cs="SimSun"/>
          <w:sz w:val="21"/>
          <w:szCs w:val="21"/>
          <w:spacing w:val="17"/>
        </w:rPr>
        <w:t xml:space="preserve"> </w:t>
      </w:r>
      <w:r>
        <w:rPr>
          <w:rFonts w:ascii="SimSun" w:hAnsi="SimSun" w:eastAsia="SimSun" w:cs="SimSun"/>
          <w:sz w:val="21"/>
          <w:szCs w:val="21"/>
          <w:spacing w:val="-11"/>
        </w:rPr>
        <w:t>分析、收集和使用等方面的巨大优势。数字平台之所以能够出</w:t>
      </w:r>
      <w:r>
        <w:rPr>
          <w:rFonts w:ascii="SimSun" w:hAnsi="SimSun" w:eastAsia="SimSun" w:cs="SimSun"/>
          <w:sz w:val="21"/>
          <w:szCs w:val="21"/>
          <w:spacing w:val="-12"/>
        </w:rPr>
        <w:t>现，本  </w:t>
      </w:r>
      <w:r>
        <w:rPr>
          <w:rFonts w:ascii="SimSun" w:hAnsi="SimSun" w:eastAsia="SimSun" w:cs="SimSun"/>
          <w:sz w:val="21"/>
          <w:szCs w:val="21"/>
          <w:spacing w:val="-8"/>
        </w:rPr>
        <w:t>身就是由于互联网信息技术的突破革命性地降低了交易的信息成本，</w:t>
      </w:r>
    </w:p>
    <w:p>
      <w:pPr>
        <w:spacing w:line="284" w:lineRule="auto"/>
        <w:sectPr>
          <w:headerReference w:type="default" r:id="rId337"/>
          <w:pgSz w:w="7330" w:h="12480"/>
          <w:pgMar w:top="517" w:right="425" w:bottom="400" w:left="770" w:header="355"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spacing w:before="65" w:line="390" w:lineRule="exact"/>
        <w:rPr>
          <w:rFonts w:ascii="SimSun" w:hAnsi="SimSun" w:eastAsia="SimSun" w:cs="SimSun"/>
          <w:sz w:val="20"/>
          <w:szCs w:val="20"/>
        </w:rPr>
      </w:pPr>
      <w:r>
        <w:rPr>
          <w:rFonts w:ascii="SimSun" w:hAnsi="SimSun" w:eastAsia="SimSun" w:cs="SimSun"/>
          <w:sz w:val="20"/>
          <w:szCs w:val="20"/>
          <w:position w:val="14"/>
        </w:rPr>
        <w:t>而且使得许多以前无法完成的交易成为可能。</w:t>
      </w:r>
      <w:r>
        <w:rPr>
          <w:rFonts w:ascii="SimSun" w:hAnsi="SimSun" w:eastAsia="SimSun" w:cs="SimSun"/>
          <w:sz w:val="20"/>
          <w:szCs w:val="20"/>
          <w:spacing w:val="-1"/>
          <w:position w:val="14"/>
        </w:rPr>
        <w:t>由于信息在现代社会的</w:t>
      </w:r>
    </w:p>
    <w:p>
      <w:pPr>
        <w:spacing w:line="218" w:lineRule="auto"/>
        <w:rPr>
          <w:rFonts w:ascii="SimSun" w:hAnsi="SimSun" w:eastAsia="SimSun" w:cs="SimSun"/>
          <w:sz w:val="20"/>
          <w:szCs w:val="20"/>
        </w:rPr>
      </w:pPr>
      <w:r>
        <w:rPr>
          <w:rFonts w:ascii="SimSun" w:hAnsi="SimSun" w:eastAsia="SimSun" w:cs="SimSun"/>
          <w:sz w:val="20"/>
          <w:szCs w:val="20"/>
          <w:spacing w:val="-2"/>
        </w:rPr>
        <w:t>极端重要性，数字平台最终给社会生活带来根本性变革。</w:t>
      </w:r>
    </w:p>
    <w:p>
      <w:pPr>
        <w:ind w:right="77" w:firstLine="399"/>
        <w:spacing w:before="96" w:line="332" w:lineRule="auto"/>
        <w:jc w:val="both"/>
        <w:rPr>
          <w:rFonts w:ascii="SimSun" w:hAnsi="SimSun" w:eastAsia="SimSun" w:cs="SimSun"/>
          <w:sz w:val="20"/>
          <w:szCs w:val="20"/>
        </w:rPr>
      </w:pPr>
      <w:r>
        <w:rPr>
          <w:rFonts w:ascii="SimSun" w:hAnsi="SimSun" w:eastAsia="SimSun" w:cs="SimSun"/>
          <w:sz w:val="20"/>
          <w:szCs w:val="20"/>
          <w:spacing w:val="6"/>
        </w:rPr>
        <w:t>数字平台企业首先是信息交流平台，在此基础上再开发各种业</w:t>
      </w:r>
      <w:r>
        <w:rPr>
          <w:rFonts w:ascii="SimSun" w:hAnsi="SimSun" w:eastAsia="SimSun" w:cs="SimSun"/>
          <w:sz w:val="20"/>
          <w:szCs w:val="20"/>
          <w:spacing w:val="13"/>
        </w:rPr>
        <w:t xml:space="preserve"> </w:t>
      </w:r>
      <w:r>
        <w:rPr>
          <w:rFonts w:ascii="SimSun" w:hAnsi="SimSun" w:eastAsia="SimSun" w:cs="SimSun"/>
          <w:sz w:val="20"/>
          <w:szCs w:val="20"/>
        </w:rPr>
        <w:t>务。例如，电子商务平台利用互联网为商户</w:t>
      </w:r>
      <w:r>
        <w:rPr>
          <w:rFonts w:ascii="SimSun" w:hAnsi="SimSun" w:eastAsia="SimSun" w:cs="SimSun"/>
          <w:sz w:val="20"/>
          <w:szCs w:val="20"/>
          <w:spacing w:val="-1"/>
        </w:rPr>
        <w:t>和消费者提供产品及需求</w:t>
      </w:r>
      <w:r>
        <w:rPr>
          <w:rFonts w:ascii="SimSun" w:hAnsi="SimSun" w:eastAsia="SimSun" w:cs="SimSun"/>
          <w:sz w:val="20"/>
          <w:szCs w:val="20"/>
        </w:rPr>
        <w:t xml:space="preserve"> </w:t>
      </w:r>
      <w:r>
        <w:rPr>
          <w:rFonts w:ascii="SimSun" w:hAnsi="SimSun" w:eastAsia="SimSun" w:cs="SimSun"/>
          <w:sz w:val="20"/>
          <w:szCs w:val="20"/>
        </w:rPr>
        <w:t>信息，这是完成交易的基础，同时平台还可以开</w:t>
      </w:r>
      <w:r>
        <w:rPr>
          <w:rFonts w:ascii="SimSun" w:hAnsi="SimSun" w:eastAsia="SimSun" w:cs="SimSun"/>
          <w:sz w:val="20"/>
          <w:szCs w:val="20"/>
          <w:spacing w:val="-1"/>
        </w:rPr>
        <w:t>展广告、支付、物流</w:t>
      </w:r>
      <w:r>
        <w:rPr>
          <w:rFonts w:ascii="SimSun" w:hAnsi="SimSun" w:eastAsia="SimSun" w:cs="SimSun"/>
          <w:sz w:val="20"/>
          <w:szCs w:val="20"/>
        </w:rPr>
        <w:t xml:space="preserve"> </w:t>
      </w:r>
      <w:r>
        <w:rPr>
          <w:rFonts w:ascii="SimSun" w:hAnsi="SimSun" w:eastAsia="SimSun" w:cs="SimSun"/>
          <w:sz w:val="20"/>
          <w:szCs w:val="20"/>
          <w:spacing w:val="6"/>
        </w:rPr>
        <w:t>等其他业务；社交平台通过移动互联网通道为人们提供信息交流服</w:t>
      </w:r>
      <w:r>
        <w:rPr>
          <w:rFonts w:ascii="SimSun" w:hAnsi="SimSun" w:eastAsia="SimSun" w:cs="SimSun"/>
          <w:sz w:val="20"/>
          <w:szCs w:val="20"/>
          <w:spacing w:val="2"/>
        </w:rPr>
        <w:t xml:space="preserve"> </w:t>
      </w:r>
      <w:r>
        <w:rPr>
          <w:rFonts w:ascii="SimSun" w:hAnsi="SimSun" w:eastAsia="SimSun" w:cs="SimSun"/>
          <w:sz w:val="20"/>
          <w:szCs w:val="20"/>
        </w:rPr>
        <w:t>务，在此基础上进行商业广告、消费流量、</w:t>
      </w:r>
      <w:r>
        <w:rPr>
          <w:rFonts w:ascii="SimSun" w:hAnsi="SimSun" w:eastAsia="SimSun" w:cs="SimSun"/>
          <w:sz w:val="20"/>
          <w:szCs w:val="20"/>
          <w:spacing w:val="-1"/>
        </w:rPr>
        <w:t>电子商务、电子政务、搜</w:t>
      </w:r>
      <w:r>
        <w:rPr>
          <w:rFonts w:ascii="SimSun" w:hAnsi="SimSun" w:eastAsia="SimSun" w:cs="SimSun"/>
          <w:sz w:val="20"/>
          <w:szCs w:val="20"/>
        </w:rPr>
        <w:t xml:space="preserve"> </w:t>
      </w:r>
      <w:r>
        <w:rPr>
          <w:rFonts w:ascii="SimSun" w:hAnsi="SimSun" w:eastAsia="SimSun" w:cs="SimSun"/>
          <w:sz w:val="20"/>
          <w:szCs w:val="20"/>
          <w:spacing w:val="-1"/>
        </w:rPr>
        <w:t>索引擎、支付等很多业务；视频平台首先提供了视频内容，进行消费</w:t>
      </w:r>
      <w:r>
        <w:rPr>
          <w:rFonts w:ascii="SimSun" w:hAnsi="SimSun" w:eastAsia="SimSun" w:cs="SimSun"/>
          <w:sz w:val="20"/>
          <w:szCs w:val="20"/>
          <w:spacing w:val="17"/>
        </w:rPr>
        <w:t xml:space="preserve"> </w:t>
      </w:r>
      <w:r>
        <w:rPr>
          <w:rFonts w:ascii="SimSun" w:hAnsi="SimSun" w:eastAsia="SimSun" w:cs="SimSun"/>
          <w:sz w:val="20"/>
          <w:szCs w:val="20"/>
        </w:rPr>
        <w:t>者信息收集，然后才能开发广告等其他业务</w:t>
      </w:r>
      <w:r>
        <w:rPr>
          <w:rFonts w:ascii="SimSun" w:hAnsi="SimSun" w:eastAsia="SimSun" w:cs="SimSun"/>
          <w:sz w:val="20"/>
          <w:szCs w:val="20"/>
          <w:spacing w:val="-1"/>
        </w:rPr>
        <w:t>。数字平台作为新型高效</w:t>
      </w:r>
    </w:p>
    <w:p>
      <w:pPr>
        <w:spacing w:line="219" w:lineRule="auto"/>
        <w:rPr>
          <w:rFonts w:ascii="SimSun" w:hAnsi="SimSun" w:eastAsia="SimSun" w:cs="SimSun"/>
          <w:sz w:val="20"/>
          <w:szCs w:val="20"/>
        </w:rPr>
      </w:pPr>
      <w:r>
        <w:rPr>
          <w:rFonts w:ascii="SimSun" w:hAnsi="SimSun" w:eastAsia="SimSun" w:cs="SimSun"/>
          <w:sz w:val="20"/>
          <w:szCs w:val="20"/>
          <w:spacing w:val="-2"/>
        </w:rPr>
        <w:t>的信息交流渠道的作用，是所有其他功能的基础。</w:t>
      </w:r>
    </w:p>
    <w:p>
      <w:pPr>
        <w:ind w:firstLine="399"/>
        <w:spacing w:before="122" w:line="313" w:lineRule="auto"/>
        <w:jc w:val="both"/>
        <w:rPr>
          <w:rFonts w:ascii="SimSun" w:hAnsi="SimSun" w:eastAsia="SimSun" w:cs="SimSun"/>
          <w:sz w:val="20"/>
          <w:szCs w:val="20"/>
        </w:rPr>
      </w:pPr>
      <w:r>
        <w:rPr>
          <w:rFonts w:ascii="SimSun" w:hAnsi="SimSun" w:eastAsia="SimSun" w:cs="SimSun"/>
          <w:sz w:val="20"/>
          <w:szCs w:val="20"/>
          <w:spacing w:val="-1"/>
        </w:rPr>
        <w:t>数据存储技术飞</w:t>
      </w:r>
      <w:r>
        <w:rPr>
          <w:rFonts w:ascii="SimSun" w:hAnsi="SimSun" w:eastAsia="SimSun" w:cs="SimSun"/>
          <w:sz w:val="20"/>
          <w:szCs w:val="20"/>
          <w:u w:val="single" w:color="auto"/>
          <w:spacing w:val="-1"/>
        </w:rPr>
        <w:t>速进</w:t>
      </w:r>
      <w:r>
        <w:rPr>
          <w:rFonts w:ascii="SimSun" w:hAnsi="SimSun" w:eastAsia="SimSun" w:cs="SimSun"/>
          <w:sz w:val="20"/>
          <w:szCs w:val="20"/>
          <w:spacing w:val="-1"/>
        </w:rPr>
        <w:t>步，使得平台上的海量历史数据可以低成本 </w:t>
      </w:r>
      <w:r>
        <w:rPr>
          <w:rFonts w:ascii="SimSun" w:hAnsi="SimSun" w:eastAsia="SimSun" w:cs="SimSun"/>
          <w:sz w:val="20"/>
          <w:szCs w:val="20"/>
        </w:rPr>
        <w:t>长期保存，并随时供调用分析，从而催生了大</w:t>
      </w:r>
      <w:r>
        <w:rPr>
          <w:rFonts w:ascii="SimSun" w:hAnsi="SimSun" w:eastAsia="SimSun" w:cs="SimSun"/>
          <w:sz w:val="20"/>
          <w:szCs w:val="20"/>
          <w:spacing w:val="-1"/>
        </w:rPr>
        <w:t>数据产业。广义的历史 </w:t>
      </w:r>
      <w:r>
        <w:rPr>
          <w:rFonts w:ascii="SimSun" w:hAnsi="SimSun" w:eastAsia="SimSun" w:cs="SimSun"/>
          <w:sz w:val="20"/>
          <w:szCs w:val="20"/>
          <w:spacing w:val="2"/>
        </w:rPr>
        <w:t>数据可以用于总结经验，预测未来，使得企业的经营规划更加精准，</w:t>
      </w:r>
      <w:r>
        <w:rPr>
          <w:rFonts w:ascii="SimSun" w:hAnsi="SimSun" w:eastAsia="SimSun" w:cs="SimSun"/>
          <w:sz w:val="20"/>
          <w:szCs w:val="20"/>
          <w:spacing w:val="9"/>
        </w:rPr>
        <w:t xml:space="preserve"> </w:t>
      </w:r>
      <w:r>
        <w:rPr>
          <w:rFonts w:ascii="SimSun" w:hAnsi="SimSun" w:eastAsia="SimSun" w:cs="SimSun"/>
          <w:sz w:val="20"/>
          <w:szCs w:val="20"/>
          <w:spacing w:val="-1"/>
        </w:rPr>
        <w:t>具有很大的商业价值，大数据因此甚至被称为一种新的生产要素，受</w:t>
      </w:r>
      <w:r>
        <w:rPr>
          <w:rFonts w:ascii="SimSun" w:hAnsi="SimSun" w:eastAsia="SimSun" w:cs="SimSun"/>
          <w:sz w:val="20"/>
          <w:szCs w:val="20"/>
          <w:spacing w:val="8"/>
        </w:rPr>
        <w:t xml:space="preserve">  </w:t>
      </w:r>
      <w:r>
        <w:rPr>
          <w:rFonts w:ascii="SimSun" w:hAnsi="SimSun" w:eastAsia="SimSun" w:cs="SimSun"/>
          <w:sz w:val="20"/>
          <w:szCs w:val="20"/>
          <w:spacing w:val="-1"/>
        </w:rPr>
        <w:t>到广泛重视。目前大数据产业正处于蓬勃发展时期，已经开始显示出</w:t>
      </w:r>
      <w:r>
        <w:rPr>
          <w:rFonts w:ascii="SimSun" w:hAnsi="SimSun" w:eastAsia="SimSun" w:cs="SimSun"/>
          <w:sz w:val="20"/>
          <w:szCs w:val="20"/>
          <w:spacing w:val="7"/>
        </w:rPr>
        <w:t xml:space="preserve">  </w:t>
      </w:r>
      <w:r>
        <w:rPr>
          <w:rFonts w:ascii="SimSun" w:hAnsi="SimSun" w:eastAsia="SimSun" w:cs="SimSun"/>
          <w:sz w:val="20"/>
          <w:szCs w:val="20"/>
          <w:spacing w:val="-4"/>
        </w:rPr>
        <w:t>巨大价值。</w:t>
      </w:r>
    </w:p>
    <w:p>
      <w:pPr>
        <w:ind w:right="77" w:firstLine="399"/>
        <w:spacing w:before="122" w:line="322" w:lineRule="auto"/>
        <w:jc w:val="both"/>
        <w:rPr>
          <w:rFonts w:ascii="SimSun" w:hAnsi="SimSun" w:eastAsia="SimSun" w:cs="SimSun"/>
          <w:sz w:val="20"/>
          <w:szCs w:val="20"/>
        </w:rPr>
      </w:pPr>
      <w:r>
        <w:rPr>
          <w:rFonts w:ascii="SimSun" w:hAnsi="SimSun" w:eastAsia="SimSun" w:cs="SimSun"/>
          <w:sz w:val="20"/>
          <w:szCs w:val="20"/>
          <w:spacing w:val="-1"/>
        </w:rPr>
        <w:t>数字平台天然具有收集数据的优势，也是大数据分析利用的主力</w:t>
      </w:r>
      <w:r>
        <w:rPr>
          <w:rFonts w:ascii="SimSun" w:hAnsi="SimSun" w:eastAsia="SimSun" w:cs="SimSun"/>
          <w:sz w:val="20"/>
          <w:szCs w:val="20"/>
          <w:spacing w:val="17"/>
        </w:rPr>
        <w:t xml:space="preserve"> </w:t>
      </w:r>
      <w:r>
        <w:rPr>
          <w:rFonts w:ascii="SimSun" w:hAnsi="SimSun" w:eastAsia="SimSun" w:cs="SimSun"/>
          <w:sz w:val="20"/>
          <w:szCs w:val="20"/>
          <w:spacing w:val="-1"/>
        </w:rPr>
        <w:t>之一。例如电子商务平台可以收集到海量的网上交易和浏览数据，根</w:t>
      </w:r>
      <w:r>
        <w:rPr>
          <w:rFonts w:ascii="SimSun" w:hAnsi="SimSun" w:eastAsia="SimSun" w:cs="SimSun"/>
          <w:sz w:val="20"/>
          <w:szCs w:val="20"/>
          <w:spacing w:val="11"/>
        </w:rPr>
        <w:t xml:space="preserve"> </w:t>
      </w:r>
      <w:r>
        <w:rPr>
          <w:rFonts w:ascii="SimSun" w:hAnsi="SimSun" w:eastAsia="SimSun" w:cs="SimSun"/>
          <w:sz w:val="20"/>
          <w:szCs w:val="20"/>
        </w:rPr>
        <w:t>据这些数据可以分析消费者偏好、发现高价值交</w:t>
      </w:r>
      <w:r>
        <w:rPr>
          <w:rFonts w:ascii="SimSun" w:hAnsi="SimSun" w:eastAsia="SimSun" w:cs="SimSun"/>
          <w:sz w:val="20"/>
          <w:szCs w:val="20"/>
          <w:spacing w:val="-1"/>
        </w:rPr>
        <w:t>易机会、预测产业发</w:t>
      </w:r>
      <w:r>
        <w:rPr>
          <w:rFonts w:ascii="SimSun" w:hAnsi="SimSun" w:eastAsia="SimSun" w:cs="SimSun"/>
          <w:sz w:val="20"/>
          <w:szCs w:val="20"/>
        </w:rPr>
        <w:t xml:space="preserve"> </w:t>
      </w:r>
      <w:r>
        <w:rPr>
          <w:rFonts w:ascii="SimSun" w:hAnsi="SimSun" w:eastAsia="SimSun" w:cs="SimSun"/>
          <w:sz w:val="20"/>
          <w:szCs w:val="20"/>
        </w:rPr>
        <w:t>展方向等。数据应用也可能具有一定的“负</w:t>
      </w:r>
      <w:r>
        <w:rPr>
          <w:rFonts w:ascii="SimSun" w:hAnsi="SimSun" w:eastAsia="SimSun" w:cs="SimSun"/>
          <w:sz w:val="20"/>
          <w:szCs w:val="20"/>
          <w:spacing w:val="-1"/>
        </w:rPr>
        <w:t>外部性”。例如亚马逊公</w:t>
      </w:r>
      <w:r>
        <w:rPr>
          <w:rFonts w:ascii="SimSun" w:hAnsi="SimSun" w:eastAsia="SimSun" w:cs="SimSun"/>
          <w:sz w:val="20"/>
          <w:szCs w:val="20"/>
        </w:rPr>
        <w:t xml:space="preserve"> </w:t>
      </w:r>
      <w:r>
        <w:rPr>
          <w:rFonts w:ascii="SimSun" w:hAnsi="SimSun" w:eastAsia="SimSun" w:cs="SimSun"/>
          <w:sz w:val="20"/>
          <w:szCs w:val="20"/>
          <w:spacing w:val="-1"/>
        </w:rPr>
        <w:t>司经常以“自营”的方式进入一些业务领域，而这些业务往往是在其</w:t>
      </w:r>
      <w:r>
        <w:rPr>
          <w:rFonts w:ascii="SimSun" w:hAnsi="SimSun" w:eastAsia="SimSun" w:cs="SimSun"/>
          <w:sz w:val="20"/>
          <w:szCs w:val="20"/>
          <w:spacing w:val="13"/>
        </w:rPr>
        <w:t xml:space="preserve"> </w:t>
      </w:r>
      <w:r>
        <w:rPr>
          <w:rFonts w:ascii="SimSun" w:hAnsi="SimSun" w:eastAsia="SimSun" w:cs="SimSun"/>
          <w:sz w:val="20"/>
          <w:szCs w:val="20"/>
          <w:spacing w:val="-1"/>
        </w:rPr>
        <w:t>网站上运营比较成功的第三方卖家的业务。这是电子商务平台企业利</w:t>
      </w:r>
      <w:r>
        <w:rPr>
          <w:rFonts w:ascii="SimSun" w:hAnsi="SimSun" w:eastAsia="SimSun" w:cs="SimSun"/>
          <w:sz w:val="20"/>
          <w:szCs w:val="20"/>
          <w:spacing w:val="5"/>
        </w:rPr>
        <w:t xml:space="preserve"> </w:t>
      </w:r>
      <w:r>
        <w:rPr>
          <w:rFonts w:ascii="SimSun" w:hAnsi="SimSun" w:eastAsia="SimSun" w:cs="SimSun"/>
          <w:sz w:val="20"/>
          <w:szCs w:val="20"/>
        </w:rPr>
        <w:t>用大数据的一个典型例子，这种数据利用方</w:t>
      </w:r>
      <w:r>
        <w:rPr>
          <w:rFonts w:ascii="SimSun" w:hAnsi="SimSun" w:eastAsia="SimSun" w:cs="SimSun"/>
          <w:sz w:val="20"/>
          <w:szCs w:val="20"/>
          <w:spacing w:val="-1"/>
        </w:rPr>
        <w:t>式会对被模仿的企业产生</w:t>
      </w:r>
      <w:r>
        <w:rPr>
          <w:rFonts w:ascii="SimSun" w:hAnsi="SimSun" w:eastAsia="SimSun" w:cs="SimSun"/>
          <w:sz w:val="20"/>
          <w:szCs w:val="20"/>
        </w:rPr>
        <w:t xml:space="preserve"> </w:t>
      </w:r>
      <w:r>
        <w:rPr>
          <w:rFonts w:ascii="SimSun" w:hAnsi="SimSun" w:eastAsia="SimSun" w:cs="SimSun"/>
          <w:sz w:val="20"/>
          <w:szCs w:val="20"/>
          <w:spacing w:val="2"/>
        </w:rPr>
        <w:t>不利影响。我国的领先数字平台企业喜欢构建所谓“生态系统”,进</w:t>
      </w:r>
      <w:r>
        <w:rPr>
          <w:rFonts w:ascii="SimSun" w:hAnsi="SimSun" w:eastAsia="SimSun" w:cs="SimSun"/>
          <w:sz w:val="20"/>
          <w:szCs w:val="20"/>
          <w:spacing w:val="16"/>
        </w:rPr>
        <w:t xml:space="preserve"> </w:t>
      </w:r>
      <w:r>
        <w:rPr>
          <w:rFonts w:ascii="SimSun" w:hAnsi="SimSun" w:eastAsia="SimSun" w:cs="SimSun"/>
          <w:sz w:val="20"/>
          <w:szCs w:val="20"/>
        </w:rPr>
        <w:t>入很多与平台业务无关的领域，这些领域的选择</w:t>
      </w:r>
      <w:r>
        <w:rPr>
          <w:rFonts w:ascii="SimSun" w:hAnsi="SimSun" w:eastAsia="SimSun" w:cs="SimSun"/>
          <w:sz w:val="20"/>
          <w:szCs w:val="20"/>
          <w:spacing w:val="-1"/>
        </w:rPr>
        <w:t>也可能是大数据分析</w:t>
      </w:r>
      <w:r>
        <w:rPr>
          <w:rFonts w:ascii="SimSun" w:hAnsi="SimSun" w:eastAsia="SimSun" w:cs="SimSun"/>
          <w:sz w:val="20"/>
          <w:szCs w:val="20"/>
        </w:rPr>
        <w:t xml:space="preserve"> </w:t>
      </w:r>
      <w:r>
        <w:rPr>
          <w:rFonts w:ascii="SimSun" w:hAnsi="SimSun" w:eastAsia="SimSun" w:cs="SimSun"/>
          <w:sz w:val="20"/>
          <w:szCs w:val="20"/>
          <w:spacing w:val="-1"/>
        </w:rPr>
        <w:t>的结果。除了与业务有关的数据，平台还可以利用其网络收集其他具</w:t>
      </w:r>
      <w:r>
        <w:rPr>
          <w:rFonts w:ascii="SimSun" w:hAnsi="SimSun" w:eastAsia="SimSun" w:cs="SimSun"/>
          <w:sz w:val="20"/>
          <w:szCs w:val="20"/>
          <w:spacing w:val="4"/>
        </w:rPr>
        <w:t xml:space="preserve"> </w:t>
      </w:r>
      <w:r>
        <w:rPr>
          <w:rFonts w:ascii="SimSun" w:hAnsi="SimSun" w:eastAsia="SimSun" w:cs="SimSun"/>
          <w:sz w:val="20"/>
          <w:szCs w:val="20"/>
        </w:rPr>
        <w:t>有社会价值的数据。例如，在抗击新冠疫情的</w:t>
      </w:r>
      <w:r>
        <w:rPr>
          <w:rFonts w:ascii="SimSun" w:hAnsi="SimSun" w:eastAsia="SimSun" w:cs="SimSun"/>
          <w:sz w:val="20"/>
          <w:szCs w:val="20"/>
          <w:spacing w:val="-1"/>
        </w:rPr>
        <w:t>过程中，平台企业在协</w:t>
      </w:r>
    </w:p>
    <w:p>
      <w:pPr>
        <w:spacing w:line="322" w:lineRule="auto"/>
        <w:sectPr>
          <w:headerReference w:type="default" r:id="rId338"/>
          <w:pgSz w:w="7330" w:h="12480"/>
          <w:pgMar w:top="794" w:right="939" w:bottom="400" w:left="320" w:header="652" w:footer="0" w:gutter="0"/>
        </w:sectPr>
        <w:rPr>
          <w:rFonts w:ascii="SimSun" w:hAnsi="SimSun" w:eastAsia="SimSun" w:cs="SimSun"/>
          <w:sz w:val="20"/>
          <w:szCs w:val="20"/>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right="127"/>
        <w:spacing w:before="68" w:line="268" w:lineRule="auto"/>
        <w:rPr>
          <w:rFonts w:ascii="SimSun" w:hAnsi="SimSun" w:eastAsia="SimSun" w:cs="SimSun"/>
          <w:sz w:val="21"/>
          <w:szCs w:val="21"/>
        </w:rPr>
      </w:pPr>
      <w:r>
        <w:rPr>
          <w:rFonts w:ascii="SimSun" w:hAnsi="SimSun" w:eastAsia="SimSun" w:cs="SimSun"/>
          <w:sz w:val="21"/>
          <w:szCs w:val="21"/>
          <w:spacing w:val="-11"/>
        </w:rPr>
        <w:t>作政府开发疫情跟踪系统方面，就展示出惊人的个人数据收集和处理</w:t>
      </w:r>
      <w:r>
        <w:rPr>
          <w:rFonts w:ascii="SimSun" w:hAnsi="SimSun" w:eastAsia="SimSun" w:cs="SimSun"/>
          <w:sz w:val="21"/>
          <w:szCs w:val="21"/>
          <w:spacing w:val="5"/>
        </w:rPr>
        <w:t xml:space="preserve"> </w:t>
      </w:r>
      <w:r>
        <w:rPr>
          <w:rFonts w:ascii="SimSun" w:hAnsi="SimSun" w:eastAsia="SimSun" w:cs="SimSun"/>
          <w:sz w:val="21"/>
          <w:szCs w:val="21"/>
          <w:spacing w:val="-11"/>
        </w:rPr>
        <w:t>能力，这种能力甚至超过了相关政府部门。</w:t>
      </w:r>
    </w:p>
    <w:p>
      <w:pPr>
        <w:ind w:left="449"/>
        <w:spacing w:before="122" w:line="219" w:lineRule="auto"/>
        <w:rPr>
          <w:rFonts w:ascii="SimSun" w:hAnsi="SimSun" w:eastAsia="SimSun" w:cs="SimSun"/>
          <w:sz w:val="21"/>
          <w:szCs w:val="21"/>
        </w:rPr>
      </w:pPr>
      <w:r>
        <w:rPr>
          <w:rFonts w:ascii="SimSun" w:hAnsi="SimSun" w:eastAsia="SimSun" w:cs="SimSun"/>
          <w:sz w:val="21"/>
          <w:szCs w:val="21"/>
          <w:spacing w:val="-11"/>
        </w:rPr>
        <w:t>作为一种新型生产要素，大数据有其特点。</w:t>
      </w:r>
    </w:p>
    <w:p>
      <w:pPr>
        <w:ind w:right="74" w:firstLine="449"/>
        <w:spacing w:before="98" w:line="286" w:lineRule="auto"/>
        <w:rPr>
          <w:rFonts w:ascii="SimSun" w:hAnsi="SimSun" w:eastAsia="SimSun" w:cs="SimSun"/>
          <w:sz w:val="21"/>
          <w:szCs w:val="21"/>
        </w:rPr>
      </w:pPr>
      <w:r>
        <w:rPr>
          <w:rFonts w:ascii="SimSun" w:hAnsi="SimSun" w:eastAsia="SimSun" w:cs="SimSun"/>
          <w:sz w:val="21"/>
          <w:szCs w:val="21"/>
          <w:spacing w:val="-11"/>
        </w:rPr>
        <w:t>第一，数据并不是零成本资源。平台原始数据的结构性和标准性</w:t>
      </w:r>
      <w:r>
        <w:rPr>
          <w:rFonts w:ascii="SimSun" w:hAnsi="SimSun" w:eastAsia="SimSun" w:cs="SimSun"/>
          <w:sz w:val="21"/>
          <w:szCs w:val="21"/>
          <w:spacing w:val="7"/>
        </w:rPr>
        <w:t xml:space="preserve"> </w:t>
      </w:r>
      <w:r>
        <w:rPr>
          <w:rFonts w:ascii="SimSun" w:hAnsi="SimSun" w:eastAsia="SimSun" w:cs="SimSun"/>
          <w:sz w:val="21"/>
          <w:szCs w:val="21"/>
          <w:spacing w:val="-11"/>
        </w:rPr>
        <w:t>很差，难以直接用于应用分析，需要经过细致的整理才能形成结构性</w:t>
      </w:r>
      <w:r>
        <w:rPr>
          <w:rFonts w:ascii="SimSun" w:hAnsi="SimSun" w:eastAsia="SimSun" w:cs="SimSun"/>
          <w:sz w:val="21"/>
          <w:szCs w:val="21"/>
          <w:spacing w:val="6"/>
        </w:rPr>
        <w:t xml:space="preserve"> </w:t>
      </w:r>
      <w:r>
        <w:rPr>
          <w:rFonts w:ascii="SimSun" w:hAnsi="SimSun" w:eastAsia="SimSun" w:cs="SimSun"/>
          <w:sz w:val="21"/>
          <w:szCs w:val="21"/>
          <w:spacing w:val="-11"/>
        </w:rPr>
        <w:t>好、方便使用的数据库。数据整理需要大量的人力和资金投入，而且</w:t>
      </w:r>
      <w:r>
        <w:rPr>
          <w:rFonts w:ascii="SimSun" w:hAnsi="SimSun" w:eastAsia="SimSun" w:cs="SimSun"/>
          <w:sz w:val="21"/>
          <w:szCs w:val="21"/>
          <w:spacing w:val="8"/>
        </w:rPr>
        <w:t xml:space="preserve"> </w:t>
      </w:r>
      <w:r>
        <w:rPr>
          <w:rFonts w:ascii="SimSun" w:hAnsi="SimSun" w:eastAsia="SimSun" w:cs="SimSun"/>
          <w:sz w:val="21"/>
          <w:szCs w:val="21"/>
          <w:spacing w:val="-11"/>
        </w:rPr>
        <w:t>这种投入与数据的使用目的相关。</w:t>
      </w:r>
    </w:p>
    <w:p>
      <w:pPr>
        <w:ind w:firstLine="449"/>
        <w:spacing w:before="141" w:line="292" w:lineRule="auto"/>
        <w:rPr>
          <w:rFonts w:ascii="SimSun" w:hAnsi="SimSun" w:eastAsia="SimSun" w:cs="SimSun"/>
          <w:sz w:val="21"/>
          <w:szCs w:val="21"/>
        </w:rPr>
      </w:pPr>
      <w:r>
        <w:rPr>
          <w:rFonts w:ascii="SimSun" w:hAnsi="SimSun" w:eastAsia="SimSun" w:cs="SimSun"/>
          <w:sz w:val="21"/>
          <w:szCs w:val="21"/>
          <w:spacing w:val="-8"/>
        </w:rPr>
        <w:t>第二，整理工作完成后，数据就不再具有物理意义上的稀</w:t>
      </w:r>
      <w:r>
        <w:rPr>
          <w:rFonts w:ascii="SimSun" w:hAnsi="SimSun" w:eastAsia="SimSun" w:cs="SimSun"/>
          <w:sz w:val="21"/>
          <w:szCs w:val="21"/>
          <w:spacing w:val="-9"/>
        </w:rPr>
        <w:t>缺性，</w:t>
      </w:r>
      <w:r>
        <w:rPr>
          <w:rFonts w:ascii="SimSun" w:hAnsi="SimSun" w:eastAsia="SimSun" w:cs="SimSun"/>
          <w:sz w:val="21"/>
          <w:szCs w:val="21"/>
        </w:rPr>
        <w:t xml:space="preserve"> </w:t>
      </w:r>
      <w:r>
        <w:rPr>
          <w:rFonts w:ascii="SimSun" w:hAnsi="SimSun" w:eastAsia="SimSun" w:cs="SimSun"/>
          <w:sz w:val="21"/>
          <w:szCs w:val="21"/>
          <w:spacing w:val="-11"/>
        </w:rPr>
        <w:t>可以低成本复制，这与传统资源完全不同。从这个角度看，数据共享</w:t>
      </w:r>
      <w:r>
        <w:rPr>
          <w:rFonts w:ascii="SimSun" w:hAnsi="SimSun" w:eastAsia="SimSun" w:cs="SimSun"/>
          <w:sz w:val="21"/>
          <w:szCs w:val="21"/>
          <w:spacing w:val="3"/>
        </w:rPr>
        <w:t xml:space="preserve">  </w:t>
      </w:r>
      <w:r>
        <w:rPr>
          <w:rFonts w:ascii="SimSun" w:hAnsi="SimSun" w:eastAsia="SimSun" w:cs="SimSun"/>
          <w:sz w:val="21"/>
          <w:szCs w:val="21"/>
          <w:spacing w:val="-11"/>
        </w:rPr>
        <w:t>潜在地可以最大化数据的价值。但由于数据的复杂性，共享过程中的</w:t>
      </w:r>
      <w:r>
        <w:rPr>
          <w:rFonts w:ascii="SimSun" w:hAnsi="SimSun" w:eastAsia="SimSun" w:cs="SimSun"/>
          <w:sz w:val="21"/>
          <w:szCs w:val="21"/>
          <w:spacing w:val="7"/>
        </w:rPr>
        <w:t xml:space="preserve">  </w:t>
      </w:r>
      <w:r>
        <w:rPr>
          <w:rFonts w:ascii="SimSun" w:hAnsi="SimSun" w:eastAsia="SimSun" w:cs="SimSun"/>
          <w:sz w:val="21"/>
          <w:szCs w:val="21"/>
          <w:spacing w:val="-10"/>
        </w:rPr>
        <w:t>利益分配是一个难题。</w:t>
      </w:r>
    </w:p>
    <w:p>
      <w:pPr>
        <w:ind w:right="64" w:firstLine="449"/>
        <w:spacing w:before="108" w:line="286" w:lineRule="auto"/>
        <w:rPr>
          <w:rFonts w:ascii="SimSun" w:hAnsi="SimSun" w:eastAsia="SimSun" w:cs="SimSun"/>
          <w:sz w:val="21"/>
          <w:szCs w:val="21"/>
        </w:rPr>
      </w:pPr>
      <w:r>
        <w:rPr>
          <w:rFonts w:ascii="SimSun" w:hAnsi="SimSun" w:eastAsia="SimSun" w:cs="SimSun"/>
          <w:sz w:val="21"/>
          <w:szCs w:val="21"/>
          <w:spacing w:val="-11"/>
        </w:rPr>
        <w:t>第三，虽然数据容易复制，但是数据的排他性使用仍然可能为使</w:t>
      </w:r>
      <w:r>
        <w:rPr>
          <w:rFonts w:ascii="SimSun" w:hAnsi="SimSun" w:eastAsia="SimSun" w:cs="SimSun"/>
          <w:sz w:val="21"/>
          <w:szCs w:val="21"/>
          <w:spacing w:val="17"/>
        </w:rPr>
        <w:t xml:space="preserve"> </w:t>
      </w:r>
      <w:r>
        <w:rPr>
          <w:rFonts w:ascii="SimSun" w:hAnsi="SimSun" w:eastAsia="SimSun" w:cs="SimSun"/>
          <w:sz w:val="21"/>
          <w:szCs w:val="21"/>
          <w:spacing w:val="-11"/>
        </w:rPr>
        <w:t>用者创造更大的价值，这为数据共享带来激励上的阻碍。例如，如果</w:t>
      </w:r>
      <w:r>
        <w:rPr>
          <w:rFonts w:ascii="SimSun" w:hAnsi="SimSun" w:eastAsia="SimSun" w:cs="SimSun"/>
          <w:sz w:val="21"/>
          <w:szCs w:val="21"/>
          <w:spacing w:val="10"/>
        </w:rPr>
        <w:t xml:space="preserve"> </w:t>
      </w:r>
      <w:r>
        <w:rPr>
          <w:rFonts w:ascii="SimSun" w:hAnsi="SimSun" w:eastAsia="SimSun" w:cs="SimSun"/>
          <w:sz w:val="21"/>
          <w:szCs w:val="21"/>
          <w:spacing w:val="-11"/>
        </w:rPr>
        <w:t>平台与整个社会共享其电子商务数据，那么显然不利于平台率先进入</w:t>
      </w:r>
      <w:r>
        <w:rPr>
          <w:rFonts w:ascii="SimSun" w:hAnsi="SimSun" w:eastAsia="SimSun" w:cs="SimSun"/>
          <w:sz w:val="21"/>
          <w:szCs w:val="21"/>
          <w:spacing w:val="7"/>
        </w:rPr>
        <w:t xml:space="preserve"> </w:t>
      </w:r>
      <w:r>
        <w:rPr>
          <w:rFonts w:ascii="SimSun" w:hAnsi="SimSun" w:eastAsia="SimSun" w:cs="SimSun"/>
          <w:sz w:val="21"/>
          <w:szCs w:val="21"/>
          <w:spacing w:val="-11"/>
        </w:rPr>
        <w:t>有发展前景的行业并获取较高利润。</w:t>
      </w:r>
    </w:p>
    <w:p>
      <w:pPr>
        <w:ind w:right="67" w:firstLine="449"/>
        <w:spacing w:before="143" w:line="297" w:lineRule="auto"/>
        <w:rPr>
          <w:rFonts w:ascii="SimSun" w:hAnsi="SimSun" w:eastAsia="SimSun" w:cs="SimSun"/>
          <w:sz w:val="21"/>
          <w:szCs w:val="21"/>
        </w:rPr>
      </w:pPr>
      <w:r>
        <w:rPr>
          <w:rFonts w:ascii="SimSun" w:hAnsi="SimSun" w:eastAsia="SimSun" w:cs="SimSun"/>
          <w:sz w:val="21"/>
          <w:szCs w:val="21"/>
          <w:spacing w:val="-11"/>
        </w:rPr>
        <w:t>第四，数据要素的复杂性还体现在其所有权和支配权一直存在法</w:t>
      </w:r>
      <w:r>
        <w:rPr>
          <w:rFonts w:ascii="SimSun" w:hAnsi="SimSun" w:eastAsia="SimSun" w:cs="SimSun"/>
          <w:sz w:val="21"/>
          <w:szCs w:val="21"/>
          <w:spacing w:val="14"/>
        </w:rPr>
        <w:t xml:space="preserve"> </w:t>
      </w:r>
      <w:r>
        <w:rPr>
          <w:rFonts w:ascii="SimSun" w:hAnsi="SimSun" w:eastAsia="SimSun" w:cs="SimSun"/>
          <w:sz w:val="21"/>
          <w:szCs w:val="21"/>
          <w:spacing w:val="-11"/>
        </w:rPr>
        <w:t>律上的争议。平台企业有动机垄断数据的使用，而市场监管者从经济</w:t>
      </w:r>
      <w:r>
        <w:rPr>
          <w:rFonts w:ascii="SimSun" w:hAnsi="SimSun" w:eastAsia="SimSun" w:cs="SimSun"/>
          <w:sz w:val="21"/>
          <w:szCs w:val="21"/>
          <w:spacing w:val="8"/>
        </w:rPr>
        <w:t xml:space="preserve"> </w:t>
      </w:r>
      <w:r>
        <w:rPr>
          <w:rFonts w:ascii="SimSun" w:hAnsi="SimSun" w:eastAsia="SimSun" w:cs="SimSun"/>
          <w:sz w:val="21"/>
          <w:szCs w:val="21"/>
          <w:spacing w:val="-11"/>
        </w:rPr>
        <w:t>效益和社会影响的角度出发，希望实现对数据更好的监管。打破数据</w:t>
      </w:r>
      <w:r>
        <w:rPr>
          <w:rFonts w:ascii="SimSun" w:hAnsi="SimSun" w:eastAsia="SimSun" w:cs="SimSun"/>
          <w:sz w:val="21"/>
          <w:szCs w:val="21"/>
          <w:spacing w:val="10"/>
        </w:rPr>
        <w:t xml:space="preserve"> </w:t>
      </w:r>
      <w:r>
        <w:rPr>
          <w:rFonts w:ascii="SimSun" w:hAnsi="SimSun" w:eastAsia="SimSun" w:cs="SimSun"/>
          <w:sz w:val="21"/>
          <w:szCs w:val="21"/>
          <w:spacing w:val="-11"/>
        </w:rPr>
        <w:t>垄断、提高数据使用效率、探索共享机制，是平台经济时代的一个重</w:t>
      </w:r>
      <w:r>
        <w:rPr>
          <w:rFonts w:ascii="SimSun" w:hAnsi="SimSun" w:eastAsia="SimSun" w:cs="SimSun"/>
          <w:sz w:val="21"/>
          <w:szCs w:val="21"/>
          <w:spacing w:val="8"/>
        </w:rPr>
        <w:t xml:space="preserve"> </w:t>
      </w:r>
      <w:r>
        <w:rPr>
          <w:rFonts w:ascii="SimSun" w:hAnsi="SimSun" w:eastAsia="SimSun" w:cs="SimSun"/>
          <w:sz w:val="21"/>
          <w:szCs w:val="21"/>
          <w:spacing w:val="-8"/>
        </w:rPr>
        <w:t>大课题。</w:t>
      </w:r>
    </w:p>
    <w:p>
      <w:pPr>
        <w:ind w:right="67" w:firstLine="449"/>
        <w:spacing w:before="102" w:line="302" w:lineRule="auto"/>
        <w:rPr>
          <w:rFonts w:ascii="SimSun" w:hAnsi="SimSun" w:eastAsia="SimSun" w:cs="SimSun"/>
          <w:sz w:val="21"/>
          <w:szCs w:val="21"/>
        </w:rPr>
      </w:pPr>
      <w:r>
        <w:rPr>
          <w:rFonts w:ascii="SimSun" w:hAnsi="SimSun" w:eastAsia="SimSun" w:cs="SimSun"/>
          <w:sz w:val="21"/>
          <w:szCs w:val="21"/>
          <w:spacing w:val="-11"/>
        </w:rPr>
        <w:t>与大数据相伴而生的另一个问题是隐私保护。当平台企业试图从</w:t>
      </w:r>
      <w:r>
        <w:rPr>
          <w:rFonts w:ascii="SimSun" w:hAnsi="SimSun" w:eastAsia="SimSun" w:cs="SimSun"/>
          <w:sz w:val="21"/>
          <w:szCs w:val="21"/>
          <w:spacing w:val="14"/>
        </w:rPr>
        <w:t xml:space="preserve"> </w:t>
      </w:r>
      <w:r>
        <w:rPr>
          <w:rFonts w:ascii="SimSun" w:hAnsi="SimSun" w:eastAsia="SimSun" w:cs="SimSun"/>
          <w:sz w:val="21"/>
          <w:szCs w:val="21"/>
          <w:spacing w:val="-10"/>
        </w:rPr>
        <w:t>数据中获利时，经常难以避免使用用户私人数据，从而产生各种形式</w:t>
      </w:r>
      <w:r>
        <w:rPr>
          <w:rFonts w:ascii="SimSun" w:hAnsi="SimSun" w:eastAsia="SimSun" w:cs="SimSun"/>
          <w:sz w:val="21"/>
          <w:szCs w:val="21"/>
          <w:spacing w:val="6"/>
        </w:rPr>
        <w:t xml:space="preserve"> </w:t>
      </w:r>
      <w:r>
        <w:rPr>
          <w:rFonts w:ascii="SimSun" w:hAnsi="SimSun" w:eastAsia="SimSun" w:cs="SimSun"/>
          <w:sz w:val="21"/>
          <w:szCs w:val="21"/>
          <w:spacing w:val="-11"/>
        </w:rPr>
        <w:t>的隐私问题，包括造成用户心理层面的不适和对用户生活的实质性干</w:t>
      </w:r>
      <w:r>
        <w:rPr>
          <w:rFonts w:ascii="SimSun" w:hAnsi="SimSun" w:eastAsia="SimSun" w:cs="SimSun"/>
          <w:sz w:val="21"/>
          <w:szCs w:val="21"/>
          <w:spacing w:val="6"/>
        </w:rPr>
        <w:t xml:space="preserve"> </w:t>
      </w:r>
      <w:r>
        <w:rPr>
          <w:rFonts w:ascii="SimSun" w:hAnsi="SimSun" w:eastAsia="SimSun" w:cs="SimSun"/>
          <w:sz w:val="21"/>
          <w:szCs w:val="21"/>
          <w:spacing w:val="-10"/>
        </w:rPr>
        <w:t>扰。总的来说，用户隐私保护与大数据商业价值之间存在一个取舍关</w:t>
      </w:r>
      <w:r>
        <w:rPr>
          <w:rFonts w:ascii="SimSun" w:hAnsi="SimSun" w:eastAsia="SimSun" w:cs="SimSun"/>
          <w:sz w:val="21"/>
          <w:szCs w:val="21"/>
          <w:spacing w:val="8"/>
        </w:rPr>
        <w:t xml:space="preserve"> </w:t>
      </w:r>
      <w:r>
        <w:rPr>
          <w:rFonts w:ascii="SimSun" w:hAnsi="SimSun" w:eastAsia="SimSun" w:cs="SimSun"/>
          <w:sz w:val="21"/>
          <w:szCs w:val="21"/>
          <w:spacing w:val="-10"/>
        </w:rPr>
        <w:t>系，隐私保护越严格，大数据的价值就越低，</w:t>
      </w:r>
      <w:r>
        <w:rPr>
          <w:rFonts w:ascii="SimSun" w:hAnsi="SimSun" w:eastAsia="SimSun" w:cs="SimSun"/>
          <w:sz w:val="21"/>
          <w:szCs w:val="21"/>
          <w:spacing w:val="-11"/>
        </w:rPr>
        <w:t>相关产业的发展就越困</w:t>
      </w:r>
      <w:r>
        <w:rPr>
          <w:rFonts w:ascii="SimSun" w:hAnsi="SimSun" w:eastAsia="SimSun" w:cs="SimSun"/>
          <w:sz w:val="21"/>
          <w:szCs w:val="21"/>
        </w:rPr>
        <w:t xml:space="preserve"> </w:t>
      </w:r>
      <w:r>
        <w:rPr>
          <w:rFonts w:ascii="SimSun" w:hAnsi="SimSun" w:eastAsia="SimSun" w:cs="SimSun"/>
          <w:sz w:val="21"/>
          <w:szCs w:val="21"/>
          <w:spacing w:val="-10"/>
        </w:rPr>
        <w:t>难。考虑到数字平台的巨大价值，特别是给消费者带来的便利，过度</w:t>
      </w:r>
      <w:r>
        <w:rPr>
          <w:rFonts w:ascii="SimSun" w:hAnsi="SimSun" w:eastAsia="SimSun" w:cs="SimSun"/>
          <w:sz w:val="21"/>
          <w:szCs w:val="21"/>
          <w:spacing w:val="10"/>
        </w:rPr>
        <w:t xml:space="preserve"> </w:t>
      </w:r>
      <w:r>
        <w:rPr>
          <w:rFonts w:ascii="SimSun" w:hAnsi="SimSun" w:eastAsia="SimSun" w:cs="SimSun"/>
          <w:sz w:val="21"/>
          <w:szCs w:val="21"/>
          <w:spacing w:val="-10"/>
        </w:rPr>
        <w:t>强调隐私保护并不可取，但完全放任也会损害</w:t>
      </w:r>
      <w:r>
        <w:rPr>
          <w:rFonts w:ascii="SimSun" w:hAnsi="SimSun" w:eastAsia="SimSun" w:cs="SimSun"/>
          <w:sz w:val="21"/>
          <w:szCs w:val="21"/>
          <w:spacing w:val="-11"/>
        </w:rPr>
        <w:t>消费者的整体利益。在</w:t>
      </w:r>
    </w:p>
    <w:p>
      <w:pPr>
        <w:spacing w:line="302" w:lineRule="auto"/>
        <w:sectPr>
          <w:headerReference w:type="default" r:id="rId339"/>
          <w:pgSz w:w="7330" w:h="12480"/>
          <w:pgMar w:top="517" w:right="475" w:bottom="400" w:left="750" w:header="355" w:footer="0" w:gutter="0"/>
        </w:sectPr>
        <w:rPr>
          <w:rFonts w:ascii="SimSun" w:hAnsi="SimSun" w:eastAsia="SimSun" w:cs="SimSun"/>
          <w:sz w:val="21"/>
          <w:szCs w:val="21"/>
        </w:rPr>
      </w:pPr>
    </w:p>
    <w:p>
      <w:pPr>
        <w:pStyle w:val="BodyText"/>
        <w:spacing w:line="247" w:lineRule="auto"/>
        <w:rPr/>
      </w:pPr>
      <w:r>
        <w:drawing>
          <wp:anchor distT="0" distB="0" distL="0" distR="0" simplePos="0" relativeHeight="254580736" behindDoc="0" locked="0" layoutInCell="0" allowOverlap="1">
            <wp:simplePos x="0" y="0"/>
            <wp:positionH relativeFrom="page">
              <wp:posOffset>2921008</wp:posOffset>
            </wp:positionH>
            <wp:positionV relativeFrom="page">
              <wp:posOffset>5791201</wp:posOffset>
            </wp:positionV>
            <wp:extent cx="1136641" cy="6350"/>
            <wp:effectExtent l="0" t="0" r="0" b="0"/>
            <wp:wrapNone/>
            <wp:docPr id="238" name="IM 238"/>
            <wp:cNvGraphicFramePr/>
            <a:graphic>
              <a:graphicData uri="http://schemas.openxmlformats.org/drawingml/2006/picture">
                <pic:pic>
                  <pic:nvPicPr>
                    <pic:cNvPr id="238" name="IM 238"/>
                    <pic:cNvPicPr/>
                  </pic:nvPicPr>
                  <pic:blipFill>
                    <a:blip r:embed="rId341"/>
                    <a:stretch>
                      <a:fillRect/>
                    </a:stretch>
                  </pic:blipFill>
                  <pic:spPr>
                    <a:xfrm rot="0">
                      <a:off x="0" y="0"/>
                      <a:ext cx="1136641" cy="6350"/>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7" w:lineRule="auto"/>
        <w:rPr/>
      </w:pPr>
      <w:r/>
    </w:p>
    <w:p>
      <w:pPr>
        <w:ind w:right="97"/>
        <w:spacing w:before="68" w:line="268" w:lineRule="auto"/>
        <w:rPr>
          <w:rFonts w:ascii="SimSun" w:hAnsi="SimSun" w:eastAsia="SimSun" w:cs="SimSun"/>
          <w:sz w:val="21"/>
          <w:szCs w:val="21"/>
        </w:rPr>
      </w:pPr>
      <w:r>
        <w:rPr>
          <w:rFonts w:ascii="SimSun" w:hAnsi="SimSun" w:eastAsia="SimSun" w:cs="SimSun"/>
          <w:sz w:val="21"/>
          <w:szCs w:val="21"/>
          <w:spacing w:val="-11"/>
        </w:rPr>
        <w:t>这个过程中还要考虑消费者的异质性，有些消费者愿意为个人隐私牺</w:t>
      </w:r>
      <w:r>
        <w:rPr>
          <w:rFonts w:ascii="SimSun" w:hAnsi="SimSun" w:eastAsia="SimSun" w:cs="SimSun"/>
          <w:sz w:val="21"/>
          <w:szCs w:val="21"/>
          <w:spacing w:val="6"/>
        </w:rPr>
        <w:t xml:space="preserve"> </w:t>
      </w:r>
      <w:r>
        <w:rPr>
          <w:rFonts w:ascii="SimSun" w:hAnsi="SimSun" w:eastAsia="SimSun" w:cs="SimSun"/>
          <w:sz w:val="21"/>
          <w:szCs w:val="21"/>
          <w:spacing w:val="-13"/>
        </w:rPr>
        <w:t>牲较多便利，有些则相反。</w:t>
      </w:r>
    </w:p>
    <w:p>
      <w:pPr>
        <w:ind w:right="82" w:firstLine="399"/>
        <w:spacing w:before="120" w:line="290" w:lineRule="auto"/>
        <w:jc w:val="both"/>
        <w:rPr>
          <w:rFonts w:ascii="SimSun" w:hAnsi="SimSun" w:eastAsia="SimSun" w:cs="SimSun"/>
          <w:sz w:val="21"/>
          <w:szCs w:val="21"/>
        </w:rPr>
      </w:pPr>
      <w:r>
        <w:rPr>
          <w:rFonts w:ascii="SimSun" w:hAnsi="SimSun" w:eastAsia="SimSun" w:cs="SimSun"/>
          <w:sz w:val="21"/>
          <w:szCs w:val="21"/>
          <w:spacing w:val="-3"/>
        </w:rPr>
        <w:t>隐私保护也是平台企业在竞争中需要考虑的一个因素。当平台</w:t>
      </w:r>
      <w:r>
        <w:rPr>
          <w:rFonts w:ascii="SimSun" w:hAnsi="SimSun" w:eastAsia="SimSun" w:cs="SimSun"/>
          <w:sz w:val="21"/>
          <w:szCs w:val="21"/>
          <w:spacing w:val="2"/>
        </w:rPr>
        <w:t xml:space="preserve"> </w:t>
      </w:r>
      <w:r>
        <w:rPr>
          <w:rFonts w:ascii="SimSun" w:hAnsi="SimSun" w:eastAsia="SimSun" w:cs="SimSun"/>
          <w:sz w:val="21"/>
          <w:szCs w:val="21"/>
          <w:spacing w:val="-11"/>
        </w:rPr>
        <w:t>收集更多的用户个人隐私时，可以开展更有价值的数据服务，例如为</w:t>
      </w:r>
      <w:r>
        <w:rPr>
          <w:rFonts w:ascii="SimSun" w:hAnsi="SimSun" w:eastAsia="SimSun" w:cs="SimSun"/>
          <w:sz w:val="21"/>
          <w:szCs w:val="21"/>
          <w:spacing w:val="9"/>
        </w:rPr>
        <w:t xml:space="preserve"> </w:t>
      </w:r>
      <w:r>
        <w:rPr>
          <w:rFonts w:ascii="SimSun" w:hAnsi="SimSun" w:eastAsia="SimSun" w:cs="SimSun"/>
          <w:sz w:val="21"/>
          <w:szCs w:val="21"/>
          <w:spacing w:val="-11"/>
        </w:rPr>
        <w:t>企业客户提供更精准的广告投放服务。但是，由于用户厌恶个人隐私</w:t>
      </w:r>
      <w:r>
        <w:rPr>
          <w:rFonts w:ascii="SimSun" w:hAnsi="SimSun" w:eastAsia="SimSun" w:cs="SimSun"/>
          <w:sz w:val="21"/>
          <w:szCs w:val="21"/>
          <w:spacing w:val="10"/>
        </w:rPr>
        <w:t xml:space="preserve"> </w:t>
      </w:r>
      <w:r>
        <w:rPr>
          <w:rFonts w:ascii="SimSun" w:hAnsi="SimSun" w:eastAsia="SimSun" w:cs="SimSun"/>
          <w:sz w:val="21"/>
          <w:szCs w:val="21"/>
          <w:spacing w:val="-11"/>
        </w:rPr>
        <w:t>数据被收集，这样又会降低用户使用本平台的意愿，从而减少广告受</w:t>
      </w:r>
      <w:r>
        <w:rPr>
          <w:rFonts w:ascii="SimSun" w:hAnsi="SimSun" w:eastAsia="SimSun" w:cs="SimSun"/>
          <w:sz w:val="21"/>
          <w:szCs w:val="21"/>
          <w:spacing w:val="7"/>
        </w:rPr>
        <w:t xml:space="preserve"> </w:t>
      </w:r>
      <w:r>
        <w:rPr>
          <w:rFonts w:ascii="SimSun" w:hAnsi="SimSun" w:eastAsia="SimSun" w:cs="SimSun"/>
          <w:sz w:val="21"/>
          <w:szCs w:val="21"/>
          <w:spacing w:val="-11"/>
        </w:rPr>
        <w:t>众。平台需要在这两个影响因素中进行最优的取</w:t>
      </w:r>
      <w:r>
        <w:rPr>
          <w:rFonts w:ascii="SimSun" w:hAnsi="SimSun" w:eastAsia="SimSun" w:cs="SimSun"/>
          <w:sz w:val="21"/>
          <w:szCs w:val="21"/>
          <w:spacing w:val="-12"/>
        </w:rPr>
        <w:t>舍。</w:t>
      </w:r>
    </w:p>
    <w:p>
      <w:pPr>
        <w:ind w:right="54" w:firstLine="399"/>
        <w:spacing w:before="147" w:line="297" w:lineRule="auto"/>
        <w:jc w:val="both"/>
        <w:rPr>
          <w:rFonts w:ascii="SimSun" w:hAnsi="SimSun" w:eastAsia="SimSun" w:cs="SimSun"/>
          <w:sz w:val="21"/>
          <w:szCs w:val="21"/>
        </w:rPr>
      </w:pPr>
      <w:r>
        <w:rPr>
          <w:rFonts w:ascii="SimSun" w:hAnsi="SimSun" w:eastAsia="SimSun" w:cs="SimSun"/>
          <w:sz w:val="21"/>
          <w:szCs w:val="21"/>
          <w:spacing w:val="-2"/>
        </w:rPr>
        <w:t>从实践结果看，当政府实行过强的隐私保护政策时，不利于网</w:t>
      </w:r>
      <w:r>
        <w:rPr>
          <w:rFonts w:ascii="SimSun" w:hAnsi="SimSun" w:eastAsia="SimSun" w:cs="SimSun"/>
          <w:sz w:val="21"/>
          <w:szCs w:val="21"/>
          <w:spacing w:val="3"/>
        </w:rPr>
        <w:t xml:space="preserve"> </w:t>
      </w:r>
      <w:r>
        <w:rPr>
          <w:rFonts w:ascii="SimSun" w:hAnsi="SimSun" w:eastAsia="SimSun" w:cs="SimSun"/>
          <w:sz w:val="21"/>
          <w:szCs w:val="21"/>
          <w:spacing w:val="-11"/>
        </w:rPr>
        <w:t>络技术和平台经济的发展。例如欧洲国家普遍采用较为严格的隐私保</w:t>
      </w:r>
      <w:r>
        <w:rPr>
          <w:rFonts w:ascii="SimSun" w:hAnsi="SimSun" w:eastAsia="SimSun" w:cs="SimSun"/>
          <w:sz w:val="21"/>
          <w:szCs w:val="21"/>
          <w:spacing w:val="5"/>
        </w:rPr>
        <w:t xml:space="preserve"> </w:t>
      </w:r>
      <w:r>
        <w:rPr>
          <w:rFonts w:ascii="SimSun" w:hAnsi="SimSun" w:eastAsia="SimSun" w:cs="SimSun"/>
          <w:sz w:val="21"/>
          <w:szCs w:val="21"/>
          <w:spacing w:val="-11"/>
        </w:rPr>
        <w:t>护政策，其数字经济的发展也比较落后，相反，中美两国的隐私保护</w:t>
      </w:r>
      <w:r>
        <w:rPr>
          <w:rFonts w:ascii="SimSun" w:hAnsi="SimSun" w:eastAsia="SimSun" w:cs="SimSun"/>
          <w:sz w:val="21"/>
          <w:szCs w:val="21"/>
          <w:spacing w:val="13"/>
        </w:rPr>
        <w:t xml:space="preserve"> </w:t>
      </w:r>
      <w:r>
        <w:rPr>
          <w:rFonts w:ascii="SimSun" w:hAnsi="SimSun" w:eastAsia="SimSun" w:cs="SimSun"/>
          <w:sz w:val="21"/>
          <w:szCs w:val="21"/>
          <w:spacing w:val="-11"/>
        </w:rPr>
        <w:t>环境相对宽松，平台经济的发展也相对较好。政府需要在隐私保护和</w:t>
      </w:r>
      <w:r>
        <w:rPr>
          <w:rFonts w:ascii="SimSun" w:hAnsi="SimSun" w:eastAsia="SimSun" w:cs="SimSun"/>
          <w:sz w:val="21"/>
          <w:szCs w:val="21"/>
          <w:spacing w:val="15"/>
        </w:rPr>
        <w:t xml:space="preserve"> </w:t>
      </w:r>
      <w:r>
        <w:rPr>
          <w:rFonts w:ascii="SimSun" w:hAnsi="SimSun" w:eastAsia="SimSun" w:cs="SimSun"/>
          <w:sz w:val="21"/>
          <w:szCs w:val="21"/>
          <w:spacing w:val="-11"/>
        </w:rPr>
        <w:t>产业发展之间适度平衡，争取在不显著伤害消费者隐私或防止隐私数</w:t>
      </w:r>
      <w:r>
        <w:rPr>
          <w:rFonts w:ascii="SimSun" w:hAnsi="SimSun" w:eastAsia="SimSun" w:cs="SimSun"/>
          <w:sz w:val="21"/>
          <w:szCs w:val="21"/>
          <w:spacing w:val="7"/>
        </w:rPr>
        <w:t xml:space="preserve"> </w:t>
      </w:r>
      <w:r>
        <w:rPr>
          <w:rFonts w:ascii="SimSun" w:hAnsi="SimSun" w:eastAsia="SimSun" w:cs="SimSun"/>
          <w:sz w:val="21"/>
          <w:szCs w:val="21"/>
          <w:spacing w:val="-11"/>
        </w:rPr>
        <w:t>据被不正当使用的情况下，适度发展信息产业，最终为消费者创造价</w:t>
      </w:r>
      <w:r>
        <w:rPr>
          <w:rFonts w:ascii="SimSun" w:hAnsi="SimSun" w:eastAsia="SimSun" w:cs="SimSun"/>
          <w:sz w:val="21"/>
          <w:szCs w:val="21"/>
          <w:spacing w:val="7"/>
        </w:rPr>
        <w:t xml:space="preserve"> </w:t>
      </w:r>
      <w:r>
        <w:rPr>
          <w:rFonts w:ascii="SimSun" w:hAnsi="SimSun" w:eastAsia="SimSun" w:cs="SimSun"/>
          <w:sz w:val="21"/>
          <w:szCs w:val="21"/>
          <w:spacing w:val="-11"/>
        </w:rPr>
        <w:t>值。最优的隐私保护政策与基于历史文化形成的社会价值观有关，每</w:t>
      </w:r>
      <w:r>
        <w:rPr>
          <w:rFonts w:ascii="SimSun" w:hAnsi="SimSun" w:eastAsia="SimSun" w:cs="SimSun"/>
          <w:sz w:val="21"/>
          <w:szCs w:val="21"/>
          <w:spacing w:val="7"/>
        </w:rPr>
        <w:t xml:space="preserve"> </w:t>
      </w:r>
      <w:r>
        <w:rPr>
          <w:rFonts w:ascii="SimSun" w:hAnsi="SimSun" w:eastAsia="SimSun" w:cs="SimSun"/>
          <w:sz w:val="21"/>
          <w:szCs w:val="21"/>
          <w:spacing w:val="-14"/>
        </w:rPr>
        <w:t>个国家各不相同。</w:t>
      </w:r>
    </w:p>
    <w:p>
      <w:pPr>
        <w:ind w:firstLine="399"/>
        <w:spacing w:before="179" w:line="297" w:lineRule="auto"/>
        <w:jc w:val="both"/>
        <w:rPr>
          <w:rFonts w:ascii="SimSun" w:hAnsi="SimSun" w:eastAsia="SimSun" w:cs="SimSun"/>
          <w:sz w:val="21"/>
          <w:szCs w:val="21"/>
        </w:rPr>
      </w:pPr>
      <w:r>
        <w:rPr>
          <w:rFonts w:ascii="SimSun" w:hAnsi="SimSun" w:eastAsia="SimSun" w:cs="SimSun"/>
          <w:sz w:val="21"/>
          <w:szCs w:val="21"/>
          <w:spacing w:val="-11"/>
        </w:rPr>
        <w:t>总之，信息是数字平台的首要关键词，平台的最基本功能是提供</w:t>
      </w:r>
      <w:r>
        <w:rPr>
          <w:rFonts w:ascii="SimSun" w:hAnsi="SimSun" w:eastAsia="SimSun" w:cs="SimSun"/>
          <w:sz w:val="21"/>
          <w:szCs w:val="21"/>
          <w:spacing w:val="1"/>
        </w:rPr>
        <w:t xml:space="preserve">  </w:t>
      </w:r>
      <w:r>
        <w:rPr>
          <w:rFonts w:ascii="SimSun" w:hAnsi="SimSun" w:eastAsia="SimSun" w:cs="SimSun"/>
          <w:sz w:val="21"/>
          <w:szCs w:val="21"/>
          <w:spacing w:val="-11"/>
        </w:rPr>
        <w:t>信息交流渠道，并因此成为信息收集、存储、加工和分析中心。大数</w:t>
      </w:r>
      <w:r>
        <w:rPr>
          <w:rFonts w:ascii="SimSun" w:hAnsi="SimSun" w:eastAsia="SimSun" w:cs="SimSun"/>
          <w:sz w:val="21"/>
          <w:szCs w:val="21"/>
          <w:spacing w:val="3"/>
        </w:rPr>
        <w:t xml:space="preserve">  </w:t>
      </w:r>
      <w:r>
        <w:rPr>
          <w:rFonts w:ascii="SimSun" w:hAnsi="SimSun" w:eastAsia="SimSun" w:cs="SimSun"/>
          <w:sz w:val="21"/>
          <w:szCs w:val="21"/>
          <w:spacing w:val="-11"/>
        </w:rPr>
        <w:t>据的价值巨大，甚至可能成为平台的主要利润来源，但是数据价值与</w:t>
      </w:r>
      <w:r>
        <w:rPr>
          <w:rFonts w:ascii="SimSun" w:hAnsi="SimSun" w:eastAsia="SimSun" w:cs="SimSun"/>
          <w:sz w:val="21"/>
          <w:szCs w:val="21"/>
          <w:spacing w:val="7"/>
        </w:rPr>
        <w:t xml:space="preserve">  </w:t>
      </w:r>
      <w:r>
        <w:rPr>
          <w:rFonts w:ascii="SimSun" w:hAnsi="SimSun" w:eastAsia="SimSun" w:cs="SimSun"/>
          <w:sz w:val="21"/>
          <w:szCs w:val="21"/>
          <w:spacing w:val="-14"/>
        </w:rPr>
        <w:t>隐私保护之间存在取舍关系，过度的数据收集和滥用会损害用户</w:t>
      </w:r>
      <w:r>
        <w:rPr>
          <w:rFonts w:ascii="SimSun" w:hAnsi="SimSun" w:eastAsia="SimSun" w:cs="SimSun"/>
          <w:sz w:val="21"/>
          <w:szCs w:val="21"/>
          <w:spacing w:val="-15"/>
        </w:rPr>
        <w:t>隐私，</w:t>
      </w:r>
      <w:r>
        <w:rPr>
          <w:rFonts w:ascii="SimSun" w:hAnsi="SimSun" w:eastAsia="SimSun" w:cs="SimSun"/>
          <w:sz w:val="21"/>
          <w:szCs w:val="21"/>
        </w:rPr>
        <w:t xml:space="preserve"> </w:t>
      </w:r>
      <w:r>
        <w:rPr>
          <w:rFonts w:ascii="SimSun" w:hAnsi="SimSun" w:eastAsia="SimSun" w:cs="SimSun"/>
          <w:sz w:val="21"/>
          <w:szCs w:val="21"/>
          <w:spacing w:val="-17"/>
        </w:rPr>
        <w:t>而过度的隐私保护也会阻碍信息产业的发展，需要根据国情进行权衡。</w:t>
      </w:r>
    </w:p>
    <w:p>
      <w:pPr>
        <w:pStyle w:val="BodyText"/>
        <w:spacing w:line="355" w:lineRule="auto"/>
        <w:rPr/>
      </w:pPr>
      <w:r/>
    </w:p>
    <w:p>
      <w:pPr>
        <w:ind w:left="1454"/>
        <w:spacing w:before="104" w:line="727" w:lineRule="exact"/>
        <w:rPr>
          <w:rFonts w:ascii="SimSun" w:hAnsi="SimSun" w:eastAsia="SimSun" w:cs="SimSun"/>
          <w:sz w:val="32"/>
          <w:szCs w:val="32"/>
        </w:rPr>
      </w:pPr>
      <w:r>
        <w:rPr>
          <w:rFonts w:ascii="SimSun" w:hAnsi="SimSun" w:eastAsia="SimSun" w:cs="SimSun"/>
          <w:sz w:val="32"/>
          <w:szCs w:val="32"/>
          <w:b/>
          <w:bCs/>
          <w:spacing w:val="-5"/>
          <w:position w:val="31"/>
        </w:rPr>
        <w:t>数字平台运行中的问题</w:t>
      </w:r>
    </w:p>
    <w:p>
      <w:pPr>
        <w:ind w:left="3"/>
        <w:spacing w:before="1" w:line="220" w:lineRule="auto"/>
        <w:rPr>
          <w:rFonts w:ascii="SimHei" w:hAnsi="SimHei" w:eastAsia="SimHei" w:cs="SimHei"/>
          <w:sz w:val="25"/>
          <w:szCs w:val="25"/>
        </w:rPr>
      </w:pPr>
      <w:r>
        <w:rPr>
          <w:rFonts w:ascii="SimHei" w:hAnsi="SimHei" w:eastAsia="SimHei" w:cs="SimHei"/>
          <w:sz w:val="25"/>
          <w:szCs w:val="25"/>
          <w:b/>
          <w:bCs/>
          <w:spacing w:val="-14"/>
        </w:rPr>
        <w:t>市场竞争与企业效率</w:t>
      </w:r>
    </w:p>
    <w:p>
      <w:pPr>
        <w:pStyle w:val="BodyText"/>
        <w:spacing w:line="343" w:lineRule="auto"/>
        <w:rPr/>
      </w:pPr>
      <w:r/>
    </w:p>
    <w:p>
      <w:pPr>
        <w:ind w:left="399"/>
        <w:spacing w:before="69" w:line="380" w:lineRule="exact"/>
        <w:rPr>
          <w:rFonts w:ascii="SimSun" w:hAnsi="SimSun" w:eastAsia="SimSun" w:cs="SimSun"/>
          <w:sz w:val="21"/>
          <w:szCs w:val="21"/>
        </w:rPr>
      </w:pPr>
      <w:r>
        <w:rPr>
          <w:rFonts w:ascii="SimSun" w:hAnsi="SimSun" w:eastAsia="SimSun" w:cs="SimSun"/>
          <w:sz w:val="21"/>
          <w:szCs w:val="21"/>
          <w:spacing w:val="-4"/>
          <w:position w:val="12"/>
        </w:rPr>
        <w:t>平台企业有很强的激励扩大自身规模，但所呈现出的机制却同</w:t>
      </w:r>
    </w:p>
    <w:p>
      <w:pPr>
        <w:spacing w:line="218" w:lineRule="auto"/>
        <w:rPr>
          <w:rFonts w:ascii="SimSun" w:hAnsi="SimSun" w:eastAsia="SimSun" w:cs="SimSun"/>
          <w:sz w:val="21"/>
          <w:szCs w:val="21"/>
        </w:rPr>
      </w:pPr>
      <w:r>
        <w:rPr>
          <w:rFonts w:ascii="SimSun" w:hAnsi="SimSun" w:eastAsia="SimSun" w:cs="SimSun"/>
          <w:sz w:val="21"/>
          <w:szCs w:val="21"/>
          <w:spacing w:val="-16"/>
        </w:rPr>
        <w:t>传统经济有很大区别。平台企业扩大规模主要有两方面的考虑：</w:t>
      </w:r>
      <w:r>
        <w:rPr>
          <w:rFonts w:ascii="SimSun" w:hAnsi="SimSun" w:eastAsia="SimSun" w:cs="SimSun"/>
          <w:sz w:val="21"/>
          <w:szCs w:val="21"/>
          <w:spacing w:val="64"/>
        </w:rPr>
        <w:t xml:space="preserve"> </w:t>
      </w:r>
      <w:r>
        <w:rPr>
          <w:rFonts w:ascii="SimSun" w:hAnsi="SimSun" w:eastAsia="SimSun" w:cs="SimSun"/>
          <w:sz w:val="21"/>
          <w:szCs w:val="21"/>
          <w:spacing w:val="-16"/>
        </w:rPr>
        <w:t>一是</w:t>
      </w:r>
    </w:p>
    <w:p>
      <w:pPr>
        <w:spacing w:line="218" w:lineRule="auto"/>
        <w:sectPr>
          <w:headerReference w:type="default" r:id="rId340"/>
          <w:pgSz w:w="7330" w:h="12480"/>
          <w:pgMar w:top="805" w:right="905" w:bottom="400" w:left="350" w:header="642" w:footer="0" w:gutter="0"/>
        </w:sectPr>
        <w:rPr>
          <w:rFonts w:ascii="SimSun" w:hAnsi="SimSun" w:eastAsia="SimSun" w:cs="SimSun"/>
          <w:sz w:val="21"/>
          <w:szCs w:val="21"/>
        </w:rPr>
      </w:pPr>
    </w:p>
    <w:p>
      <w:pPr>
        <w:spacing w:line="221" w:lineRule="auto"/>
        <w:rPr>
          <w:rFonts w:ascii="SimHei" w:hAnsi="SimHei" w:eastAsia="SimHei" w:cs="SimHei"/>
          <w:sz w:val="17"/>
          <w:szCs w:val="17"/>
        </w:rPr>
      </w:pPr>
      <w:r>
        <w:drawing>
          <wp:anchor distT="0" distB="0" distL="0" distR="0" simplePos="0" relativeHeight="254590976" behindDoc="0" locked="0" layoutInCell="0" allowOverlap="1">
            <wp:simplePos x="0" y="0"/>
            <wp:positionH relativeFrom="page">
              <wp:posOffset>482583</wp:posOffset>
            </wp:positionH>
            <wp:positionV relativeFrom="page">
              <wp:posOffset>5600688</wp:posOffset>
            </wp:positionV>
            <wp:extent cx="1187469" cy="6350"/>
            <wp:effectExtent l="0" t="0" r="0" b="0"/>
            <wp:wrapNone/>
            <wp:docPr id="240" name="IM 240"/>
            <wp:cNvGraphicFramePr/>
            <a:graphic>
              <a:graphicData uri="http://schemas.openxmlformats.org/drawingml/2006/picture">
                <pic:pic>
                  <pic:nvPicPr>
                    <pic:cNvPr id="240" name="IM 240"/>
                    <pic:cNvPicPr/>
                  </pic:nvPicPr>
                  <pic:blipFill>
                    <a:blip r:embed="rId342"/>
                    <a:stretch>
                      <a:fillRect/>
                    </a:stretch>
                  </pic:blipFill>
                  <pic:spPr>
                    <a:xfrm rot="0">
                      <a:off x="0" y="0"/>
                      <a:ext cx="1187469" cy="6350"/>
                    </a:xfrm>
                    <a:prstGeom prst="rect">
                      <a:avLst/>
                    </a:prstGeom>
                  </pic:spPr>
                </pic:pic>
              </a:graphicData>
            </a:graphic>
          </wp:anchor>
        </w:drawing>
      </w:r>
      <w:r>
        <w:rPr>
          <w:rFonts w:ascii="SimSun" w:hAnsi="SimSun" w:eastAsia="SimSun" w:cs="SimSun"/>
          <w:sz w:val="13"/>
          <w:szCs w:val="13"/>
          <w:spacing w:val="-8"/>
          <w:position w:val="-2"/>
        </w:rPr>
        <w:t>276                   </w:t>
      </w:r>
      <w:r>
        <w:rPr>
          <w:rFonts w:ascii="SimSun" w:hAnsi="SimSun" w:eastAsia="SimSun" w:cs="SimSun"/>
          <w:sz w:val="13"/>
          <w:szCs w:val="13"/>
          <w:spacing w:val="-9"/>
          <w:position w:val="-2"/>
        </w:rPr>
        <w:t xml:space="preserve">           </w:t>
      </w:r>
      <w:r>
        <w:rPr>
          <w:rFonts w:ascii="SimHei" w:hAnsi="SimHei" w:eastAsia="SimHei" w:cs="SimHei"/>
          <w:sz w:val="17"/>
          <w:szCs w:val="17"/>
          <w:spacing w:val="-9"/>
        </w:rPr>
        <w:t>平台经济——创新、治理与繁荣</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29" w:right="118"/>
        <w:spacing w:before="69" w:line="297" w:lineRule="auto"/>
        <w:jc w:val="both"/>
        <w:rPr>
          <w:rFonts w:ascii="SimSun" w:hAnsi="SimSun" w:eastAsia="SimSun" w:cs="SimSun"/>
          <w:sz w:val="21"/>
          <w:szCs w:val="21"/>
        </w:rPr>
      </w:pPr>
      <w:r>
        <w:rPr>
          <w:rFonts w:ascii="SimSun" w:hAnsi="SimSun" w:eastAsia="SimSun" w:cs="SimSun"/>
          <w:sz w:val="21"/>
          <w:szCs w:val="21"/>
          <w:spacing w:val="-10"/>
        </w:rPr>
        <w:t>网络外部性，即用户从一个网络中所获得收益同这个网络的规模正相</w:t>
      </w:r>
      <w:r>
        <w:rPr>
          <w:rFonts w:ascii="SimSun" w:hAnsi="SimSun" w:eastAsia="SimSun" w:cs="SimSun"/>
          <w:sz w:val="21"/>
          <w:szCs w:val="21"/>
          <w:spacing w:val="5"/>
        </w:rPr>
        <w:t xml:space="preserve"> </w:t>
      </w:r>
      <w:r>
        <w:rPr>
          <w:rFonts w:ascii="SimSun" w:hAnsi="SimSun" w:eastAsia="SimSun" w:cs="SimSun"/>
          <w:sz w:val="21"/>
          <w:szCs w:val="21"/>
          <w:spacing w:val="-10"/>
        </w:rPr>
        <w:t>关，这意味着平台企业要想吸引更多的用户，就必须想方设法扩大自</w:t>
      </w:r>
      <w:r>
        <w:rPr>
          <w:rFonts w:ascii="SimSun" w:hAnsi="SimSun" w:eastAsia="SimSun" w:cs="SimSun"/>
          <w:sz w:val="21"/>
          <w:szCs w:val="21"/>
          <w:spacing w:val="2"/>
        </w:rPr>
        <w:t xml:space="preserve"> </w:t>
      </w:r>
      <w:r>
        <w:rPr>
          <w:rFonts w:ascii="SimSun" w:hAnsi="SimSun" w:eastAsia="SimSun" w:cs="SimSun"/>
          <w:sz w:val="21"/>
          <w:szCs w:val="21"/>
          <w:spacing w:val="-11"/>
        </w:rPr>
        <w:t>身的规模；二是平台企业之间针对用户注意力的竞争，用户注意力主</w:t>
      </w:r>
      <w:r>
        <w:rPr>
          <w:rFonts w:ascii="SimSun" w:hAnsi="SimSun" w:eastAsia="SimSun" w:cs="SimSun"/>
          <w:sz w:val="21"/>
          <w:szCs w:val="21"/>
          <w:spacing w:val="10"/>
        </w:rPr>
        <w:t xml:space="preserve"> </w:t>
      </w:r>
      <w:r>
        <w:rPr>
          <w:rFonts w:ascii="SimSun" w:hAnsi="SimSun" w:eastAsia="SimSun" w:cs="SimSun"/>
          <w:sz w:val="21"/>
          <w:szCs w:val="21"/>
          <w:spacing w:val="-11"/>
        </w:rPr>
        <w:t>要体现为平台企业一段时间内能够吸引到的网络流量，流量越高，平</w:t>
      </w:r>
      <w:r>
        <w:rPr>
          <w:rFonts w:ascii="SimSun" w:hAnsi="SimSun" w:eastAsia="SimSun" w:cs="SimSun"/>
          <w:sz w:val="21"/>
          <w:szCs w:val="21"/>
          <w:spacing w:val="8"/>
        </w:rPr>
        <w:t xml:space="preserve"> </w:t>
      </w:r>
      <w:r>
        <w:rPr>
          <w:rFonts w:ascii="SimSun" w:hAnsi="SimSun" w:eastAsia="SimSun" w:cs="SimSun"/>
          <w:sz w:val="21"/>
          <w:szCs w:val="21"/>
          <w:spacing w:val="-12"/>
        </w:rPr>
        <w:t>台企业通过流量转化而来的需求也越高。</w:t>
      </w:r>
    </w:p>
    <w:p>
      <w:pPr>
        <w:ind w:left="29" w:right="124" w:firstLine="420"/>
        <w:spacing w:before="111" w:line="292" w:lineRule="auto"/>
        <w:jc w:val="both"/>
        <w:rPr>
          <w:rFonts w:ascii="SimSun" w:hAnsi="SimSun" w:eastAsia="SimSun" w:cs="SimSun"/>
          <w:sz w:val="21"/>
          <w:szCs w:val="21"/>
        </w:rPr>
      </w:pPr>
      <w:r>
        <w:rPr>
          <w:rFonts w:ascii="SimSun" w:hAnsi="SimSun" w:eastAsia="SimSun" w:cs="SimSun"/>
          <w:sz w:val="21"/>
          <w:szCs w:val="21"/>
          <w:spacing w:val="-11"/>
        </w:rPr>
        <w:t>平台经济中的规模效应往往体现为平台企业拥有大量的用户，而</w:t>
      </w:r>
      <w:r>
        <w:rPr>
          <w:rFonts w:ascii="SimSun" w:hAnsi="SimSun" w:eastAsia="SimSun" w:cs="SimSun"/>
          <w:sz w:val="21"/>
          <w:szCs w:val="21"/>
          <w:spacing w:val="7"/>
        </w:rPr>
        <w:t xml:space="preserve"> </w:t>
      </w:r>
      <w:r>
        <w:rPr>
          <w:rFonts w:ascii="SimSun" w:hAnsi="SimSun" w:eastAsia="SimSun" w:cs="SimSun"/>
          <w:sz w:val="21"/>
          <w:szCs w:val="21"/>
          <w:spacing w:val="-10"/>
        </w:rPr>
        <w:t>非传统意义上的产量或者销量。正是因为平台经济的规模效应主</w:t>
      </w:r>
      <w:r>
        <w:rPr>
          <w:rFonts w:ascii="SimSun" w:hAnsi="SimSun" w:eastAsia="SimSun" w:cs="SimSun"/>
          <w:sz w:val="21"/>
          <w:szCs w:val="21"/>
          <w:spacing w:val="-11"/>
        </w:rPr>
        <w:t>要表</w:t>
      </w:r>
      <w:r>
        <w:rPr>
          <w:rFonts w:ascii="SimSun" w:hAnsi="SimSun" w:eastAsia="SimSun" w:cs="SimSun"/>
          <w:sz w:val="21"/>
          <w:szCs w:val="21"/>
        </w:rPr>
        <w:t xml:space="preserve"> </w:t>
      </w:r>
      <w:r>
        <w:rPr>
          <w:rFonts w:ascii="SimSun" w:hAnsi="SimSun" w:eastAsia="SimSun" w:cs="SimSun"/>
          <w:sz w:val="21"/>
          <w:szCs w:val="21"/>
          <w:spacing w:val="-10"/>
        </w:rPr>
        <w:t>现在用户端，这使得平台经济中的规模经济与市场效率之间的</w:t>
      </w:r>
      <w:r>
        <w:rPr>
          <w:rFonts w:ascii="SimSun" w:hAnsi="SimSun" w:eastAsia="SimSun" w:cs="SimSun"/>
          <w:sz w:val="21"/>
          <w:szCs w:val="21"/>
          <w:spacing w:val="-11"/>
        </w:rPr>
        <w:t>冲突变</w:t>
      </w:r>
      <w:r>
        <w:rPr>
          <w:rFonts w:ascii="SimSun" w:hAnsi="SimSun" w:eastAsia="SimSun" w:cs="SimSun"/>
          <w:sz w:val="21"/>
          <w:szCs w:val="21"/>
        </w:rPr>
        <w:t xml:space="preserve"> </w:t>
      </w:r>
      <w:r>
        <w:rPr>
          <w:rFonts w:ascii="SimSun" w:hAnsi="SimSun" w:eastAsia="SimSun" w:cs="SimSun"/>
          <w:sz w:val="21"/>
          <w:szCs w:val="21"/>
          <w:spacing w:val="-15"/>
        </w:rPr>
        <w:t>得模糊。</w:t>
      </w:r>
    </w:p>
    <w:p>
      <w:pPr>
        <w:ind w:left="29" w:right="70" w:firstLine="420"/>
        <w:spacing w:before="108" w:line="292" w:lineRule="auto"/>
        <w:jc w:val="both"/>
        <w:rPr>
          <w:rFonts w:ascii="SimSun" w:hAnsi="SimSun" w:eastAsia="SimSun" w:cs="SimSun"/>
          <w:sz w:val="21"/>
          <w:szCs w:val="21"/>
        </w:rPr>
      </w:pPr>
      <w:r>
        <w:rPr>
          <w:rFonts w:ascii="SimSun" w:hAnsi="SimSun" w:eastAsia="SimSun" w:cs="SimSun"/>
          <w:sz w:val="21"/>
          <w:szCs w:val="21"/>
          <w:spacing w:val="-11"/>
        </w:rPr>
        <w:t>首先，由于用户往往注册一个行业内的多家平台企业，即多属而</w:t>
      </w:r>
      <w:r>
        <w:rPr>
          <w:rFonts w:ascii="SimSun" w:hAnsi="SimSun" w:eastAsia="SimSun" w:cs="SimSun"/>
          <w:sz w:val="21"/>
          <w:szCs w:val="21"/>
          <w:spacing w:val="7"/>
        </w:rPr>
        <w:t xml:space="preserve"> </w:t>
      </w:r>
      <w:r>
        <w:rPr>
          <w:rFonts w:ascii="SimSun" w:hAnsi="SimSun" w:eastAsia="SimSun" w:cs="SimSun"/>
          <w:sz w:val="21"/>
          <w:szCs w:val="21"/>
          <w:spacing w:val="-10"/>
        </w:rPr>
        <w:t>非单属，这显著限制了平台企业单方面提价的能力，因为提价可能在</w:t>
      </w:r>
      <w:r>
        <w:rPr>
          <w:rFonts w:ascii="SimSun" w:hAnsi="SimSun" w:eastAsia="SimSun" w:cs="SimSun"/>
          <w:sz w:val="21"/>
          <w:szCs w:val="21"/>
        </w:rPr>
        <w:t xml:space="preserve"> </w:t>
      </w:r>
      <w:r>
        <w:rPr>
          <w:rFonts w:ascii="SimSun" w:hAnsi="SimSun" w:eastAsia="SimSun" w:cs="SimSun"/>
          <w:sz w:val="21"/>
          <w:szCs w:val="21"/>
          <w:spacing w:val="-10"/>
        </w:rPr>
        <w:t>很短时间内就会导致用户大量流失。多栖意味用户在不同平</w:t>
      </w:r>
      <w:r>
        <w:rPr>
          <w:rFonts w:ascii="SimSun" w:hAnsi="SimSun" w:eastAsia="SimSun" w:cs="SimSun"/>
          <w:sz w:val="21"/>
          <w:szCs w:val="21"/>
          <w:spacing w:val="-11"/>
        </w:rPr>
        <w:t>台之间进</w:t>
      </w:r>
      <w:r>
        <w:rPr>
          <w:rFonts w:ascii="SimSun" w:hAnsi="SimSun" w:eastAsia="SimSun" w:cs="SimSun"/>
          <w:sz w:val="21"/>
          <w:szCs w:val="21"/>
        </w:rPr>
        <w:t xml:space="preserve"> </w:t>
      </w:r>
      <w:r>
        <w:rPr>
          <w:rFonts w:ascii="SimSun" w:hAnsi="SimSun" w:eastAsia="SimSun" w:cs="SimSun"/>
          <w:sz w:val="21"/>
          <w:szCs w:val="21"/>
          <w:spacing w:val="-15"/>
        </w:rPr>
        <w:t>行价格和服务品质比较的成本相对较低，从而加剧了平台之间的竞争。</w:t>
      </w:r>
    </w:p>
    <w:p>
      <w:pPr>
        <w:ind w:left="29" w:right="123" w:firstLine="420"/>
        <w:spacing w:before="113" w:line="302" w:lineRule="auto"/>
        <w:jc w:val="both"/>
        <w:rPr>
          <w:rFonts w:ascii="SimSun" w:hAnsi="SimSun" w:eastAsia="SimSun" w:cs="SimSun"/>
          <w:sz w:val="21"/>
          <w:szCs w:val="21"/>
        </w:rPr>
      </w:pPr>
      <w:r>
        <w:rPr>
          <w:rFonts w:ascii="SimSun" w:hAnsi="SimSun" w:eastAsia="SimSun" w:cs="SimSun"/>
          <w:sz w:val="21"/>
          <w:szCs w:val="21"/>
          <w:spacing w:val="-11"/>
        </w:rPr>
        <w:t>其次，由于不同行业平台企业之间的用户重叠度可能非常高，并</w:t>
      </w:r>
      <w:r>
        <w:rPr>
          <w:rFonts w:ascii="SimSun" w:hAnsi="SimSun" w:eastAsia="SimSun" w:cs="SimSun"/>
          <w:sz w:val="21"/>
          <w:szCs w:val="21"/>
          <w:spacing w:val="5"/>
        </w:rPr>
        <w:t xml:space="preserve"> </w:t>
      </w:r>
      <w:r>
        <w:rPr>
          <w:rFonts w:ascii="SimSun" w:hAnsi="SimSun" w:eastAsia="SimSun" w:cs="SimSun"/>
          <w:sz w:val="21"/>
          <w:szCs w:val="21"/>
          <w:spacing w:val="-11"/>
        </w:rPr>
        <w:t>且平台经济中大部分行业的进入成本或沉没成本很低，因此跨界竞争</w:t>
      </w:r>
      <w:r>
        <w:rPr>
          <w:rFonts w:ascii="SimSun" w:hAnsi="SimSun" w:eastAsia="SimSun" w:cs="SimSun"/>
          <w:sz w:val="21"/>
          <w:szCs w:val="21"/>
          <w:spacing w:val="7"/>
        </w:rPr>
        <w:t xml:space="preserve"> </w:t>
      </w:r>
      <w:r>
        <w:rPr>
          <w:rFonts w:ascii="SimSun" w:hAnsi="SimSun" w:eastAsia="SimSun" w:cs="SimSun"/>
          <w:sz w:val="21"/>
          <w:szCs w:val="21"/>
          <w:spacing w:val="-10"/>
        </w:rPr>
        <w:t>在平台经济中比较常见，这意味着平台企业即使已经占据了</w:t>
      </w:r>
      <w:r>
        <w:rPr>
          <w:rFonts w:ascii="SimSun" w:hAnsi="SimSun" w:eastAsia="SimSun" w:cs="SimSun"/>
          <w:sz w:val="21"/>
          <w:szCs w:val="21"/>
          <w:spacing w:val="-11"/>
        </w:rPr>
        <w:t>所在行业</w:t>
      </w:r>
      <w:r>
        <w:rPr>
          <w:rFonts w:ascii="SimSun" w:hAnsi="SimSun" w:eastAsia="SimSun" w:cs="SimSun"/>
          <w:sz w:val="21"/>
          <w:szCs w:val="21"/>
        </w:rPr>
        <w:t xml:space="preserve"> </w:t>
      </w:r>
      <w:r>
        <w:rPr>
          <w:rFonts w:ascii="SimSun" w:hAnsi="SimSun" w:eastAsia="SimSun" w:cs="SimSun"/>
          <w:sz w:val="21"/>
          <w:szCs w:val="21"/>
          <w:spacing w:val="-10"/>
        </w:rPr>
        <w:t>的大部分市场份额，也很难利用这种“垄断”地位而随意定</w:t>
      </w:r>
      <w:r>
        <w:rPr>
          <w:rFonts w:ascii="SimSun" w:hAnsi="SimSun" w:eastAsia="SimSun" w:cs="SimSun"/>
          <w:sz w:val="21"/>
          <w:szCs w:val="21"/>
          <w:spacing w:val="-11"/>
        </w:rPr>
        <w:t>价。上述</w:t>
      </w:r>
      <w:r>
        <w:rPr>
          <w:rFonts w:ascii="SimSun" w:hAnsi="SimSun" w:eastAsia="SimSun" w:cs="SimSun"/>
          <w:sz w:val="21"/>
          <w:szCs w:val="21"/>
        </w:rPr>
        <w:t xml:space="preserve"> </w:t>
      </w:r>
      <w:r>
        <w:rPr>
          <w:rFonts w:ascii="SimSun" w:hAnsi="SimSun" w:eastAsia="SimSun" w:cs="SimSun"/>
          <w:sz w:val="21"/>
          <w:szCs w:val="21"/>
          <w:spacing w:val="-10"/>
        </w:rPr>
        <w:t>两点因素使得平台经济的市场环境符合鲍莫尔等提出的“可竞争性市</w:t>
      </w:r>
      <w:r>
        <w:rPr>
          <w:rFonts w:ascii="SimSun" w:hAnsi="SimSun" w:eastAsia="SimSun" w:cs="SimSun"/>
          <w:sz w:val="21"/>
          <w:szCs w:val="21"/>
        </w:rPr>
        <w:t xml:space="preserve"> </w:t>
      </w:r>
      <w:r>
        <w:rPr>
          <w:rFonts w:ascii="SimSun" w:hAnsi="SimSun" w:eastAsia="SimSun" w:cs="SimSun"/>
          <w:sz w:val="21"/>
          <w:szCs w:val="21"/>
          <w:spacing w:val="-10"/>
        </w:rPr>
        <w:t>场”理论所设定的情形，因此，平台经济中有可能只需要少数</w:t>
      </w:r>
      <w:r>
        <w:rPr>
          <w:rFonts w:ascii="SimSun" w:hAnsi="SimSun" w:eastAsia="SimSun" w:cs="SimSun"/>
          <w:sz w:val="21"/>
          <w:szCs w:val="21"/>
          <w:spacing w:val="-11"/>
        </w:rPr>
        <w:t>几家企</w:t>
      </w:r>
      <w:r>
        <w:rPr>
          <w:rFonts w:ascii="SimSun" w:hAnsi="SimSun" w:eastAsia="SimSun" w:cs="SimSun"/>
          <w:sz w:val="21"/>
          <w:szCs w:val="21"/>
        </w:rPr>
        <w:t xml:space="preserve"> </w:t>
      </w:r>
      <w:r>
        <w:rPr>
          <w:rFonts w:ascii="SimSun" w:hAnsi="SimSun" w:eastAsia="SimSun" w:cs="SimSun"/>
          <w:sz w:val="21"/>
          <w:szCs w:val="21"/>
          <w:spacing w:val="-14"/>
        </w:rPr>
        <w:t>业便可以实现较高的市场效率。①</w:t>
      </w:r>
    </w:p>
    <w:p>
      <w:pPr>
        <w:pStyle w:val="BodyText"/>
        <w:spacing w:line="273" w:lineRule="auto"/>
        <w:rPr/>
      </w:pPr>
      <w:r/>
    </w:p>
    <w:p>
      <w:pPr>
        <w:ind w:left="368" w:hanging="339"/>
        <w:spacing w:before="55" w:line="294" w:lineRule="auto"/>
        <w:rPr>
          <w:rFonts w:ascii="KaiTi" w:hAnsi="KaiTi" w:eastAsia="KaiTi" w:cs="KaiTi"/>
          <w:sz w:val="17"/>
          <w:szCs w:val="17"/>
        </w:rPr>
      </w:pPr>
      <w:r>
        <w:rPr>
          <w:rFonts w:ascii="KaiTi" w:hAnsi="KaiTi" w:eastAsia="KaiTi" w:cs="KaiTi"/>
          <w:sz w:val="17"/>
          <w:szCs w:val="17"/>
          <w:spacing w:val="-8"/>
        </w:rPr>
        <w:t>①</w:t>
      </w:r>
      <w:r>
        <w:rPr>
          <w:rFonts w:ascii="KaiTi" w:hAnsi="KaiTi" w:eastAsia="KaiTi" w:cs="KaiTi"/>
          <w:sz w:val="17"/>
          <w:szCs w:val="17"/>
          <w:spacing w:val="72"/>
          <w:w w:val="101"/>
        </w:rPr>
        <w:t xml:space="preserve"> </w:t>
      </w:r>
      <w:r>
        <w:rPr>
          <w:rFonts w:ascii="KaiTi" w:hAnsi="KaiTi" w:eastAsia="KaiTi" w:cs="KaiTi"/>
          <w:sz w:val="17"/>
          <w:szCs w:val="17"/>
          <w:spacing w:val="-8"/>
        </w:rPr>
        <w:t>对于平台经济中的用户重叠程度，我们可以通过以下数据加以简单推断。根据益</w:t>
      </w:r>
      <w:r>
        <w:rPr>
          <w:rFonts w:ascii="KaiTi" w:hAnsi="KaiTi" w:eastAsia="KaiTi" w:cs="KaiTi"/>
          <w:sz w:val="17"/>
          <w:szCs w:val="17"/>
          <w:spacing w:val="-8"/>
        </w:rPr>
        <w:t xml:space="preserve">  </w:t>
      </w:r>
      <w:r>
        <w:rPr>
          <w:rFonts w:ascii="KaiTi" w:hAnsi="KaiTi" w:eastAsia="KaiTi" w:cs="KaiTi"/>
          <w:sz w:val="17"/>
          <w:szCs w:val="17"/>
          <w:spacing w:val="-2"/>
        </w:rPr>
        <w:t>普索中国在2018年7月发布的数据，我国网络支付行业用户数量为8.9亿人，而</w:t>
      </w:r>
      <w:r>
        <w:rPr>
          <w:rFonts w:ascii="KaiTi" w:hAnsi="KaiTi" w:eastAsia="KaiTi" w:cs="KaiTi"/>
          <w:sz w:val="17"/>
          <w:szCs w:val="17"/>
          <w:spacing w:val="7"/>
        </w:rPr>
        <w:t xml:space="preserve">  </w:t>
      </w:r>
      <w:r>
        <w:rPr>
          <w:rFonts w:ascii="KaiTi" w:hAnsi="KaiTi" w:eastAsia="KaiTi" w:cs="KaiTi"/>
          <w:sz w:val="17"/>
          <w:szCs w:val="17"/>
          <w:spacing w:val="-4"/>
        </w:rPr>
        <w:t>两家头部企业财付通(微信支付)和支付宝的用户数量分别为8.</w:t>
      </w:r>
      <w:r>
        <w:rPr>
          <w:rFonts w:ascii="KaiTi" w:hAnsi="KaiTi" w:eastAsia="KaiTi" w:cs="KaiTi"/>
          <w:sz w:val="17"/>
          <w:szCs w:val="17"/>
          <w:spacing w:val="-5"/>
        </w:rPr>
        <w:t>2亿人和6.5亿人，</w:t>
      </w:r>
      <w:r>
        <w:rPr>
          <w:rFonts w:ascii="KaiTi" w:hAnsi="KaiTi" w:eastAsia="KaiTi" w:cs="KaiTi"/>
          <w:sz w:val="17"/>
          <w:szCs w:val="17"/>
        </w:rPr>
        <w:t xml:space="preserve"> </w:t>
      </w:r>
      <w:r>
        <w:rPr>
          <w:rFonts w:ascii="KaiTi" w:hAnsi="KaiTi" w:eastAsia="KaiTi" w:cs="KaiTi"/>
          <w:sz w:val="17"/>
          <w:szCs w:val="17"/>
          <w:spacing w:val="-7"/>
        </w:rPr>
        <w:t>远超行业用户数量。按照中国互联网信息安全中心发布的数据，截至2020年3月，</w:t>
      </w:r>
      <w:r>
        <w:rPr>
          <w:rFonts w:ascii="KaiTi" w:hAnsi="KaiTi" w:eastAsia="KaiTi" w:cs="KaiTi"/>
          <w:sz w:val="17"/>
          <w:szCs w:val="17"/>
          <w:spacing w:val="15"/>
        </w:rPr>
        <w:t xml:space="preserve"> </w:t>
      </w:r>
      <w:r>
        <w:rPr>
          <w:rFonts w:ascii="KaiTi" w:hAnsi="KaiTi" w:eastAsia="KaiTi" w:cs="KaiTi"/>
          <w:sz w:val="17"/>
          <w:szCs w:val="17"/>
          <w:spacing w:val="-7"/>
        </w:rPr>
        <w:t>我国网络购物行业用户数量为7.10亿；而按该行业两家头部平台企业所发布的数</w:t>
      </w:r>
      <w:r>
        <w:rPr>
          <w:rFonts w:ascii="KaiTi" w:hAnsi="KaiTi" w:eastAsia="KaiTi" w:cs="KaiTi"/>
          <w:sz w:val="17"/>
          <w:szCs w:val="17"/>
          <w:spacing w:val="6"/>
        </w:rPr>
        <w:t xml:space="preserve">  </w:t>
      </w:r>
      <w:r>
        <w:rPr>
          <w:rFonts w:ascii="KaiTi" w:hAnsi="KaiTi" w:eastAsia="KaiTi" w:cs="KaiTi"/>
          <w:sz w:val="17"/>
          <w:szCs w:val="17"/>
          <w:spacing w:val="-1"/>
        </w:rPr>
        <w:t>据，阿里系的淘宝网和天猫2019年全年活跃</w:t>
      </w:r>
      <w:r>
        <w:rPr>
          <w:rFonts w:ascii="KaiTi" w:hAnsi="KaiTi" w:eastAsia="KaiTi" w:cs="KaiTi"/>
          <w:sz w:val="17"/>
          <w:szCs w:val="17"/>
          <w:spacing w:val="-2"/>
        </w:rPr>
        <w:t>用户数量为4.74亿，京东商城2019</w:t>
      </w:r>
      <w:r>
        <w:rPr>
          <w:rFonts w:ascii="KaiTi" w:hAnsi="KaiTi" w:eastAsia="KaiTi" w:cs="KaiTi"/>
          <w:sz w:val="17"/>
          <w:szCs w:val="17"/>
          <w:spacing w:val="-2"/>
        </w:rPr>
        <w:t xml:space="preserve"> </w:t>
      </w:r>
      <w:r>
        <w:rPr>
          <w:rFonts w:ascii="KaiTi" w:hAnsi="KaiTi" w:eastAsia="KaiTi" w:cs="KaiTi"/>
          <w:sz w:val="17"/>
          <w:szCs w:val="17"/>
          <w:spacing w:val="-7"/>
        </w:rPr>
        <w:t>年全年活跃用户数为3.61亿，两家用户之和超过行业用户数量，这还不包括为数</w:t>
      </w:r>
      <w:r>
        <w:rPr>
          <w:rFonts w:ascii="KaiTi" w:hAnsi="KaiTi" w:eastAsia="KaiTi" w:cs="KaiTi"/>
          <w:sz w:val="17"/>
          <w:szCs w:val="17"/>
          <w:spacing w:val="6"/>
        </w:rPr>
        <w:t xml:space="preserve">  </w:t>
      </w:r>
      <w:r>
        <w:rPr>
          <w:rFonts w:ascii="KaiTi" w:hAnsi="KaiTi" w:eastAsia="KaiTi" w:cs="KaiTi"/>
          <w:sz w:val="17"/>
          <w:szCs w:val="17"/>
          <w:spacing w:val="-12"/>
        </w:rPr>
        <w:t>不少的其他中小购物平台。</w:t>
      </w:r>
    </w:p>
    <w:p>
      <w:pPr>
        <w:spacing w:line="294" w:lineRule="auto"/>
        <w:sectPr>
          <w:headerReference w:type="default" r:id="rId1"/>
          <w:pgSz w:w="7330" w:h="12480"/>
          <w:pgMar w:top="305" w:right="455" w:bottom="400" w:left="720" w:header="0" w:footer="0" w:gutter="0"/>
        </w:sectPr>
        <w:rPr>
          <w:rFonts w:ascii="KaiTi" w:hAnsi="KaiTi" w:eastAsia="KaiTi" w:cs="KaiTi"/>
          <w:sz w:val="17"/>
          <w:szCs w:val="17"/>
        </w:rPr>
      </w:pPr>
    </w:p>
    <w:p>
      <w:pPr>
        <w:pStyle w:val="BodyText"/>
        <w:spacing w:line="249" w:lineRule="auto"/>
        <w:rPr/>
      </w:pPr>
      <w:r>
        <w:drawing>
          <wp:anchor distT="0" distB="0" distL="0" distR="0" simplePos="0" relativeHeight="254601216" behindDoc="0" locked="0" layoutInCell="0" allowOverlap="1">
            <wp:simplePos x="0" y="0"/>
            <wp:positionH relativeFrom="page">
              <wp:posOffset>209547</wp:posOffset>
            </wp:positionH>
            <wp:positionV relativeFrom="page">
              <wp:posOffset>6864377</wp:posOffset>
            </wp:positionV>
            <wp:extent cx="1174761" cy="6350"/>
            <wp:effectExtent l="0" t="0" r="0" b="0"/>
            <wp:wrapNone/>
            <wp:docPr id="242" name="IM 242"/>
            <wp:cNvGraphicFramePr/>
            <a:graphic>
              <a:graphicData uri="http://schemas.openxmlformats.org/drawingml/2006/picture">
                <pic:pic>
                  <pic:nvPicPr>
                    <pic:cNvPr id="242" name="IM 242"/>
                    <pic:cNvPicPr/>
                  </pic:nvPicPr>
                  <pic:blipFill>
                    <a:blip r:embed="rId344"/>
                    <a:stretch>
                      <a:fillRect/>
                    </a:stretch>
                  </pic:blipFill>
                  <pic:spPr>
                    <a:xfrm rot="0">
                      <a:off x="0" y="0"/>
                      <a:ext cx="1174761" cy="6350"/>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right="69" w:firstLine="399"/>
        <w:spacing w:before="69" w:line="291" w:lineRule="auto"/>
        <w:jc w:val="both"/>
        <w:rPr>
          <w:rFonts w:ascii="SimSun" w:hAnsi="SimSun" w:eastAsia="SimSun" w:cs="SimSun"/>
          <w:sz w:val="21"/>
          <w:szCs w:val="21"/>
        </w:rPr>
      </w:pPr>
      <w:r>
        <w:rPr>
          <w:rFonts w:ascii="SimSun" w:hAnsi="SimSun" w:eastAsia="SimSun" w:cs="SimSun"/>
          <w:sz w:val="21"/>
          <w:szCs w:val="21"/>
          <w:spacing w:val="-10"/>
        </w:rPr>
        <w:t>普拉特和瓦莱蒂指出了平台经济中用户重叠度对监管措施制定的</w:t>
      </w:r>
      <w:r>
        <w:rPr>
          <w:rFonts w:ascii="SimSun" w:hAnsi="SimSun" w:eastAsia="SimSun" w:cs="SimSun"/>
          <w:sz w:val="21"/>
          <w:szCs w:val="21"/>
          <w:spacing w:val="4"/>
        </w:rPr>
        <w:t xml:space="preserve"> </w:t>
      </w:r>
      <w:r>
        <w:rPr>
          <w:rFonts w:ascii="SimSun" w:hAnsi="SimSun" w:eastAsia="SimSun" w:cs="SimSun"/>
          <w:sz w:val="21"/>
          <w:szCs w:val="21"/>
          <w:spacing w:val="-10"/>
        </w:rPr>
        <w:t>重要性：如果两家平台企业的用户完全重合，那么两家平台</w:t>
      </w:r>
      <w:r>
        <w:rPr>
          <w:rFonts w:ascii="SimSun" w:hAnsi="SimSun" w:eastAsia="SimSun" w:cs="SimSun"/>
          <w:sz w:val="21"/>
          <w:szCs w:val="21"/>
          <w:spacing w:val="-11"/>
        </w:rPr>
        <w:t>合并所造</w:t>
      </w:r>
      <w:r>
        <w:rPr>
          <w:rFonts w:ascii="SimSun" w:hAnsi="SimSun" w:eastAsia="SimSun" w:cs="SimSun"/>
          <w:sz w:val="21"/>
          <w:szCs w:val="21"/>
        </w:rPr>
        <w:t xml:space="preserve"> </w:t>
      </w:r>
      <w:r>
        <w:rPr>
          <w:rFonts w:ascii="SimSun" w:hAnsi="SimSun" w:eastAsia="SimSun" w:cs="SimSun"/>
          <w:sz w:val="21"/>
          <w:szCs w:val="21"/>
          <w:spacing w:val="-10"/>
        </w:rPr>
        <w:t>成的福利损失最大；反之，如果两家平台企业的用户完全分离，两家</w:t>
      </w:r>
      <w:r>
        <w:rPr>
          <w:rFonts w:ascii="SimSun" w:hAnsi="SimSun" w:eastAsia="SimSun" w:cs="SimSun"/>
          <w:sz w:val="21"/>
          <w:szCs w:val="21"/>
        </w:rPr>
        <w:t xml:space="preserve"> </w:t>
      </w:r>
      <w:r>
        <w:rPr>
          <w:rFonts w:ascii="SimSun" w:hAnsi="SimSun" w:eastAsia="SimSun" w:cs="SimSun"/>
          <w:sz w:val="21"/>
          <w:szCs w:val="21"/>
          <w:spacing w:val="-16"/>
        </w:rPr>
        <w:t>企业合并的福利损失最低。①</w:t>
      </w:r>
    </w:p>
    <w:p>
      <w:pPr>
        <w:ind w:firstLine="399"/>
        <w:spacing w:before="115" w:line="290" w:lineRule="auto"/>
        <w:jc w:val="both"/>
        <w:rPr>
          <w:rFonts w:ascii="SimSun" w:hAnsi="SimSun" w:eastAsia="SimSun" w:cs="SimSun"/>
          <w:sz w:val="21"/>
          <w:szCs w:val="21"/>
        </w:rPr>
      </w:pPr>
      <w:r>
        <w:rPr>
          <w:rFonts w:ascii="SimSun" w:hAnsi="SimSun" w:eastAsia="SimSun" w:cs="SimSun"/>
          <w:sz w:val="21"/>
          <w:szCs w:val="21"/>
          <w:spacing w:val="-9"/>
        </w:rPr>
        <w:t>基于上述逻辑，平台经济市场竟争程度需要从同一行业的用</w:t>
      </w:r>
      <w:r>
        <w:rPr>
          <w:rFonts w:ascii="SimSun" w:hAnsi="SimSun" w:eastAsia="SimSun" w:cs="SimSun"/>
          <w:sz w:val="21"/>
          <w:szCs w:val="21"/>
          <w:spacing w:val="-10"/>
        </w:rPr>
        <w:t>户归</w:t>
      </w:r>
      <w:r>
        <w:rPr>
          <w:rFonts w:ascii="SimSun" w:hAnsi="SimSun" w:eastAsia="SimSun" w:cs="SimSun"/>
          <w:sz w:val="21"/>
          <w:szCs w:val="21"/>
        </w:rPr>
        <w:t xml:space="preserve"> </w:t>
      </w:r>
      <w:r>
        <w:rPr>
          <w:rFonts w:ascii="SimSun" w:hAnsi="SimSun" w:eastAsia="SimSun" w:cs="SimSun"/>
          <w:sz w:val="21"/>
          <w:szCs w:val="21"/>
          <w:spacing w:val="-8"/>
        </w:rPr>
        <w:t>属程度，以及不同行业的用户重叠程度两方面加以度量。对于前者，</w:t>
      </w:r>
      <w:r>
        <w:rPr>
          <w:rFonts w:ascii="SimSun" w:hAnsi="SimSun" w:eastAsia="SimSun" w:cs="SimSun"/>
          <w:sz w:val="21"/>
          <w:szCs w:val="21"/>
          <w:spacing w:val="13"/>
        </w:rPr>
        <w:t xml:space="preserve"> </w:t>
      </w:r>
      <w:r>
        <w:rPr>
          <w:rFonts w:ascii="SimSun" w:hAnsi="SimSun" w:eastAsia="SimSun" w:cs="SimSun"/>
          <w:sz w:val="21"/>
          <w:szCs w:val="21"/>
          <w:spacing w:val="-10"/>
        </w:rPr>
        <w:t>可以通过针对消费者的抽样调查加以测算；对于后者，则可以通过</w:t>
      </w:r>
      <w:r>
        <w:rPr>
          <w:rFonts w:ascii="SimSun" w:hAnsi="SimSun" w:eastAsia="SimSun" w:cs="SimSun"/>
          <w:sz w:val="21"/>
          <w:szCs w:val="21"/>
          <w:spacing w:val="-11"/>
        </w:rPr>
        <w:t>对 </w:t>
      </w:r>
      <w:r>
        <w:rPr>
          <w:rFonts w:ascii="SimSun" w:hAnsi="SimSun" w:eastAsia="SimSun" w:cs="SimSun"/>
          <w:sz w:val="21"/>
          <w:szCs w:val="21"/>
          <w:spacing w:val="-10"/>
        </w:rPr>
        <w:t>比平台经济各行业全部用户人数与行业内部各家企业的用户人数加</w:t>
      </w:r>
      <w:r>
        <w:rPr>
          <w:rFonts w:ascii="SimSun" w:hAnsi="SimSun" w:eastAsia="SimSun" w:cs="SimSun"/>
          <w:sz w:val="21"/>
          <w:szCs w:val="21"/>
          <w:spacing w:val="-11"/>
        </w:rPr>
        <w:t>总 </w:t>
      </w:r>
      <w:r>
        <w:rPr>
          <w:rFonts w:ascii="SimSun" w:hAnsi="SimSun" w:eastAsia="SimSun" w:cs="SimSun"/>
          <w:sz w:val="21"/>
          <w:szCs w:val="21"/>
          <w:spacing w:val="-13"/>
        </w:rPr>
        <w:t>之后的差异加以推断。</w:t>
      </w:r>
    </w:p>
    <w:p>
      <w:pPr>
        <w:pStyle w:val="BodyText"/>
        <w:spacing w:line="412" w:lineRule="auto"/>
        <w:rPr/>
      </w:pPr>
      <w:r/>
    </w:p>
    <w:p>
      <w:pPr>
        <w:ind w:left="3"/>
        <w:spacing w:before="82" w:line="221" w:lineRule="auto"/>
        <w:rPr>
          <w:rFonts w:ascii="SimHei" w:hAnsi="SimHei" w:eastAsia="SimHei" w:cs="SimHei"/>
          <w:sz w:val="25"/>
          <w:szCs w:val="25"/>
        </w:rPr>
      </w:pPr>
      <w:r>
        <w:rPr>
          <w:rFonts w:ascii="SimHei" w:hAnsi="SimHei" w:eastAsia="SimHei" w:cs="SimHei"/>
          <w:sz w:val="25"/>
          <w:szCs w:val="25"/>
          <w:b/>
          <w:bCs/>
          <w:spacing w:val="-15"/>
        </w:rPr>
        <w:t>平台企业与技术创新</w:t>
      </w:r>
    </w:p>
    <w:p>
      <w:pPr>
        <w:pStyle w:val="BodyText"/>
        <w:spacing w:line="371" w:lineRule="auto"/>
        <w:rPr/>
      </w:pPr>
      <w:r/>
    </w:p>
    <w:p>
      <w:pPr>
        <w:ind w:right="74" w:firstLine="399"/>
        <w:spacing w:before="68" w:line="279" w:lineRule="auto"/>
        <w:jc w:val="both"/>
        <w:rPr>
          <w:rFonts w:ascii="SimSun" w:hAnsi="SimSun" w:eastAsia="SimSun" w:cs="SimSun"/>
          <w:sz w:val="21"/>
          <w:szCs w:val="21"/>
        </w:rPr>
      </w:pPr>
      <w:r>
        <w:rPr>
          <w:rFonts w:ascii="SimSun" w:hAnsi="SimSun" w:eastAsia="SimSun" w:cs="SimSun"/>
          <w:sz w:val="21"/>
          <w:szCs w:val="21"/>
          <w:spacing w:val="-6"/>
        </w:rPr>
        <w:t>经济增长的根本动力来自技术的不断创新。那</w:t>
      </w:r>
      <w:r>
        <w:rPr>
          <w:rFonts w:ascii="SimSun" w:hAnsi="SimSun" w:eastAsia="SimSun" w:cs="SimSun"/>
          <w:sz w:val="21"/>
          <w:szCs w:val="21"/>
          <w:spacing w:val="-7"/>
        </w:rPr>
        <w:t>么,平台企业作为</w:t>
      </w:r>
      <w:r>
        <w:rPr>
          <w:rFonts w:ascii="SimSun" w:hAnsi="SimSun" w:eastAsia="SimSun" w:cs="SimSun"/>
          <w:sz w:val="21"/>
          <w:szCs w:val="21"/>
        </w:rPr>
        <w:t xml:space="preserve"> </w:t>
      </w:r>
      <w:r>
        <w:rPr>
          <w:rFonts w:ascii="SimSun" w:hAnsi="SimSun" w:eastAsia="SimSun" w:cs="SimSun"/>
          <w:sz w:val="21"/>
          <w:szCs w:val="21"/>
          <w:spacing w:val="-10"/>
        </w:rPr>
        <w:t>应用数字技术最为直接的主体，能否同时成为引领科技创新的主体?</w:t>
      </w:r>
      <w:r>
        <w:rPr>
          <w:rFonts w:ascii="SimSun" w:hAnsi="SimSun" w:eastAsia="SimSun" w:cs="SimSun"/>
          <w:sz w:val="21"/>
          <w:szCs w:val="21"/>
          <w:spacing w:val="2"/>
        </w:rPr>
        <w:t xml:space="preserve">  </w:t>
      </w:r>
      <w:r>
        <w:rPr>
          <w:rFonts w:ascii="SimSun" w:hAnsi="SimSun" w:eastAsia="SimSun" w:cs="SimSun"/>
          <w:sz w:val="21"/>
          <w:szCs w:val="21"/>
          <w:spacing w:val="-13"/>
        </w:rPr>
        <w:t>答案并不确定。</w:t>
      </w:r>
    </w:p>
    <w:p>
      <w:pPr>
        <w:ind w:right="73" w:firstLine="399"/>
        <w:spacing w:before="120" w:line="293" w:lineRule="auto"/>
        <w:jc w:val="both"/>
        <w:rPr>
          <w:rFonts w:ascii="SimSun" w:hAnsi="SimSun" w:eastAsia="SimSun" w:cs="SimSun"/>
          <w:sz w:val="21"/>
          <w:szCs w:val="21"/>
        </w:rPr>
      </w:pPr>
      <w:r>
        <w:rPr>
          <w:rFonts w:ascii="SimSun" w:hAnsi="SimSun" w:eastAsia="SimSun" w:cs="SimSun"/>
          <w:sz w:val="21"/>
          <w:szCs w:val="21"/>
          <w:spacing w:val="-10"/>
        </w:rPr>
        <w:t>我国国内市场的规模优势虽然为平台经济的发展提供了潜力</w:t>
      </w:r>
      <w:r>
        <w:rPr>
          <w:rFonts w:ascii="SimSun" w:hAnsi="SimSun" w:eastAsia="SimSun" w:cs="SimSun"/>
          <w:sz w:val="21"/>
          <w:szCs w:val="21"/>
          <w:spacing w:val="-11"/>
        </w:rPr>
        <w:t>巨大</w:t>
      </w:r>
      <w:r>
        <w:rPr>
          <w:rFonts w:ascii="SimSun" w:hAnsi="SimSun" w:eastAsia="SimSun" w:cs="SimSun"/>
          <w:sz w:val="21"/>
          <w:szCs w:val="21"/>
        </w:rPr>
        <w:t xml:space="preserve"> </w:t>
      </w:r>
      <w:r>
        <w:rPr>
          <w:rFonts w:ascii="SimSun" w:hAnsi="SimSun" w:eastAsia="SimSun" w:cs="SimSun"/>
          <w:sz w:val="21"/>
          <w:szCs w:val="21"/>
          <w:spacing w:val="-10"/>
        </w:rPr>
        <w:t>的市场需求，但也可能导致数字平台企业陷入低科技含量的流</w:t>
      </w:r>
      <w:r>
        <w:rPr>
          <w:rFonts w:ascii="SimSun" w:hAnsi="SimSun" w:eastAsia="SimSun" w:cs="SimSun"/>
          <w:sz w:val="21"/>
          <w:szCs w:val="21"/>
          <w:spacing w:val="-11"/>
        </w:rPr>
        <w:t>量竞争</w:t>
      </w:r>
      <w:r>
        <w:rPr>
          <w:rFonts w:ascii="SimSun" w:hAnsi="SimSun" w:eastAsia="SimSun" w:cs="SimSun"/>
          <w:sz w:val="21"/>
          <w:szCs w:val="21"/>
        </w:rPr>
        <w:t xml:space="preserve"> </w:t>
      </w:r>
      <w:r>
        <w:rPr>
          <w:rFonts w:ascii="SimSun" w:hAnsi="SimSun" w:eastAsia="SimSun" w:cs="SimSun"/>
          <w:sz w:val="21"/>
          <w:szCs w:val="21"/>
          <w:spacing w:val="-10"/>
        </w:rPr>
        <w:t>陷阱。从我国平台经济的发展来看，主要平台企业的创新大多体现在</w:t>
      </w:r>
      <w:r>
        <w:rPr>
          <w:rFonts w:ascii="SimSun" w:hAnsi="SimSun" w:eastAsia="SimSun" w:cs="SimSun"/>
          <w:sz w:val="21"/>
          <w:szCs w:val="21"/>
        </w:rPr>
        <w:t xml:space="preserve"> </w:t>
      </w:r>
      <w:r>
        <w:rPr>
          <w:rFonts w:ascii="SimSun" w:hAnsi="SimSun" w:eastAsia="SimSun" w:cs="SimSun"/>
          <w:sz w:val="21"/>
          <w:szCs w:val="21"/>
          <w:spacing w:val="-10"/>
        </w:rPr>
        <w:t>商业模式层面，而在技术层面的创新则令人不甚满意，特别是</w:t>
      </w:r>
      <w:r>
        <w:rPr>
          <w:rFonts w:ascii="SimSun" w:hAnsi="SimSun" w:eastAsia="SimSun" w:cs="SimSun"/>
          <w:sz w:val="21"/>
          <w:szCs w:val="21"/>
          <w:spacing w:val="-11"/>
        </w:rPr>
        <w:t>同国际</w:t>
      </w:r>
      <w:r>
        <w:rPr>
          <w:rFonts w:ascii="SimSun" w:hAnsi="SimSun" w:eastAsia="SimSun" w:cs="SimSun"/>
          <w:sz w:val="21"/>
          <w:szCs w:val="21"/>
        </w:rPr>
        <w:t xml:space="preserve"> </w:t>
      </w:r>
      <w:r>
        <w:rPr>
          <w:rFonts w:ascii="SimSun" w:hAnsi="SimSun" w:eastAsia="SimSun" w:cs="SimSun"/>
          <w:sz w:val="21"/>
          <w:szCs w:val="21"/>
          <w:spacing w:val="-11"/>
        </w:rPr>
        <w:t>上的大型平台企业相比。近期互联网头部企业在社区团购上开展的相</w:t>
      </w:r>
      <w:r>
        <w:rPr>
          <w:rFonts w:ascii="SimSun" w:hAnsi="SimSun" w:eastAsia="SimSun" w:cs="SimSun"/>
          <w:sz w:val="21"/>
          <w:szCs w:val="21"/>
          <w:spacing w:val="15"/>
        </w:rPr>
        <w:t xml:space="preserve"> </w:t>
      </w:r>
      <w:r>
        <w:rPr>
          <w:rFonts w:ascii="SimSun" w:hAnsi="SimSun" w:eastAsia="SimSun" w:cs="SimSun"/>
          <w:sz w:val="21"/>
          <w:szCs w:val="21"/>
          <w:spacing w:val="-13"/>
        </w:rPr>
        <w:t>关业务，更是为人所诟病。</w:t>
      </w:r>
    </w:p>
    <w:p>
      <w:pPr>
        <w:ind w:right="55" w:firstLine="399"/>
        <w:spacing w:before="160" w:line="284" w:lineRule="auto"/>
        <w:jc w:val="both"/>
        <w:rPr>
          <w:rFonts w:ascii="SimSun" w:hAnsi="SimSun" w:eastAsia="SimSun" w:cs="SimSun"/>
          <w:sz w:val="21"/>
          <w:szCs w:val="21"/>
        </w:rPr>
      </w:pPr>
      <w:r>
        <w:rPr>
          <w:rFonts w:ascii="SimSun" w:hAnsi="SimSun" w:eastAsia="SimSun" w:cs="SimSun"/>
          <w:sz w:val="21"/>
          <w:szCs w:val="21"/>
          <w:spacing w:val="-10"/>
        </w:rPr>
        <w:t>造成这一问题的根本原因很可能源自我国庞大的国内市场与平台</w:t>
      </w:r>
      <w:r>
        <w:rPr>
          <w:rFonts w:ascii="SimSun" w:hAnsi="SimSun" w:eastAsia="SimSun" w:cs="SimSun"/>
          <w:sz w:val="21"/>
          <w:szCs w:val="21"/>
          <w:spacing w:val="10"/>
        </w:rPr>
        <w:t xml:space="preserve"> </w:t>
      </w:r>
      <w:r>
        <w:rPr>
          <w:rFonts w:ascii="SimSun" w:hAnsi="SimSun" w:eastAsia="SimSun" w:cs="SimSun"/>
          <w:sz w:val="21"/>
          <w:szCs w:val="21"/>
          <w:spacing w:val="-10"/>
        </w:rPr>
        <w:t>经济中显著的网络效应之间持续的动态交互作用。我国平台经济发展</w:t>
      </w:r>
      <w:r>
        <w:rPr>
          <w:rFonts w:ascii="SimSun" w:hAnsi="SimSun" w:eastAsia="SimSun" w:cs="SimSun"/>
          <w:sz w:val="21"/>
          <w:szCs w:val="21"/>
        </w:rPr>
        <w:t xml:space="preserve"> </w:t>
      </w:r>
      <w:r>
        <w:rPr>
          <w:rFonts w:ascii="SimSun" w:hAnsi="SimSun" w:eastAsia="SimSun" w:cs="SimSun"/>
          <w:sz w:val="21"/>
          <w:szCs w:val="21"/>
          <w:spacing w:val="-10"/>
        </w:rPr>
        <w:t>至现阶段仍是以消费互联网为主导，而消费互联网各行业的竞争一直</w:t>
      </w:r>
    </w:p>
    <w:p>
      <w:pPr>
        <w:pStyle w:val="BodyText"/>
        <w:spacing w:line="262" w:lineRule="auto"/>
        <w:rPr/>
      </w:pPr>
      <w:r/>
    </w:p>
    <w:p>
      <w:pPr>
        <w:pStyle w:val="BodyText"/>
        <w:spacing w:line="263" w:lineRule="auto"/>
        <w:rPr/>
      </w:pPr>
      <w:r/>
    </w:p>
    <w:p>
      <w:pPr>
        <w:spacing w:before="52"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46"/>
        </w:rPr>
        <w:t xml:space="preserve"> </w:t>
      </w:r>
      <w:r>
        <w:rPr>
          <w:rFonts w:ascii="Times New Roman" w:hAnsi="Times New Roman" w:eastAsia="Times New Roman" w:cs="Times New Roman"/>
          <w:sz w:val="16"/>
          <w:szCs w:val="16"/>
        </w:rPr>
        <w:t>Andrea</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rPr>
        <w:t>Prat,Tommaso</w:t>
      </w:r>
      <w:r>
        <w:rPr>
          <w:rFonts w:ascii="Times New Roman" w:hAnsi="Times New Roman" w:eastAsia="Times New Roman" w:cs="Times New Roman"/>
          <w:sz w:val="16"/>
          <w:szCs w:val="16"/>
          <w:spacing w:val="17"/>
          <w:w w:val="102"/>
        </w:rPr>
        <w:t xml:space="preserve">  </w:t>
      </w:r>
      <w:r>
        <w:rPr>
          <w:rFonts w:ascii="Times New Roman" w:hAnsi="Times New Roman" w:eastAsia="Times New Roman" w:cs="Times New Roman"/>
          <w:sz w:val="16"/>
          <w:szCs w:val="16"/>
        </w:rPr>
        <w:t>Valletti,“Attention   Oligo</w:t>
      </w:r>
      <w:r>
        <w:rPr>
          <w:rFonts w:ascii="Times New Roman" w:hAnsi="Times New Roman" w:eastAsia="Times New Roman" w:cs="Times New Roman"/>
          <w:sz w:val="16"/>
          <w:szCs w:val="16"/>
          <w:spacing w:val="-1"/>
        </w:rPr>
        <w:t>poly”,American</w:t>
      </w:r>
      <w:r>
        <w:rPr>
          <w:rFonts w:ascii="Times New Roman" w:hAnsi="Times New Roman" w:eastAsia="Times New Roman" w:cs="Times New Roman"/>
          <w:sz w:val="16"/>
          <w:szCs w:val="16"/>
          <w:spacing w:val="18"/>
          <w:w w:val="102"/>
        </w:rPr>
        <w:t xml:space="preserve">  </w:t>
      </w:r>
      <w:r>
        <w:rPr>
          <w:rFonts w:ascii="Times New Roman" w:hAnsi="Times New Roman" w:eastAsia="Times New Roman" w:cs="Times New Roman"/>
          <w:sz w:val="16"/>
          <w:szCs w:val="16"/>
          <w:spacing w:val="-1"/>
        </w:rPr>
        <w:t>Economic</w:t>
      </w:r>
      <w:r>
        <w:rPr>
          <w:rFonts w:ascii="Times New Roman" w:hAnsi="Times New Roman" w:eastAsia="Times New Roman" w:cs="Times New Roman"/>
          <w:sz w:val="16"/>
          <w:szCs w:val="16"/>
          <w:spacing w:val="18"/>
          <w:w w:val="102"/>
        </w:rPr>
        <w:t xml:space="preserve">  </w:t>
      </w:r>
      <w:r>
        <w:rPr>
          <w:rFonts w:ascii="Times New Roman" w:hAnsi="Times New Roman" w:eastAsia="Times New Roman" w:cs="Times New Roman"/>
          <w:sz w:val="16"/>
          <w:szCs w:val="16"/>
          <w:spacing w:val="-1"/>
        </w:rPr>
        <w:t>Journal:</w:t>
      </w:r>
    </w:p>
    <w:p>
      <w:pPr>
        <w:ind w:left="289"/>
        <w:spacing w:before="14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Microeconomics</w:t>
      </w:r>
      <w:r>
        <w:rPr>
          <w:rFonts w:ascii="Times New Roman" w:hAnsi="Times New Roman" w:eastAsia="Times New Roman" w:cs="Times New Roman"/>
          <w:sz w:val="16"/>
          <w:szCs w:val="16"/>
          <w:i/>
          <w:iCs/>
          <w:spacing w:val="15"/>
          <w:w w:val="101"/>
        </w:rPr>
        <w:t xml:space="preserve">  </w:t>
      </w:r>
      <w:r>
        <w:rPr>
          <w:rFonts w:ascii="Times New Roman" w:hAnsi="Times New Roman" w:eastAsia="Times New Roman" w:cs="Times New Roman"/>
          <w:sz w:val="16"/>
          <w:szCs w:val="16"/>
          <w:i/>
          <w:iCs/>
        </w:rPr>
        <w:t>(forthcoming),20</w:t>
      </w:r>
      <w:r>
        <w:rPr>
          <w:rFonts w:ascii="Times New Roman" w:hAnsi="Times New Roman" w:eastAsia="Times New Roman" w:cs="Times New Roman"/>
          <w:sz w:val="16"/>
          <w:szCs w:val="16"/>
          <w:i/>
          <w:iCs/>
          <w:spacing w:val="-1"/>
        </w:rPr>
        <w:t>21.</w:t>
      </w:r>
    </w:p>
    <w:p>
      <w:pPr>
        <w:spacing w:line="192" w:lineRule="auto"/>
        <w:sectPr>
          <w:headerReference w:type="default" r:id="rId343"/>
          <w:pgSz w:w="7330" w:h="12480"/>
          <w:pgMar w:top="797" w:right="925" w:bottom="400" w:left="329" w:header="635" w:footer="0" w:gutter="0"/>
        </w:sectPr>
        <w:rPr>
          <w:rFonts w:ascii="Times New Roman" w:hAnsi="Times New Roman" w:eastAsia="Times New Roman" w:cs="Times New Roman"/>
          <w:sz w:val="16"/>
          <w:szCs w:val="16"/>
        </w:rPr>
      </w:pPr>
    </w:p>
    <w:p>
      <w:pPr>
        <w:spacing w:line="220" w:lineRule="auto"/>
        <w:rPr>
          <w:rFonts w:ascii="SimHei" w:hAnsi="SimHei" w:eastAsia="SimHei" w:cs="SimHei"/>
          <w:sz w:val="17"/>
          <w:szCs w:val="17"/>
        </w:rPr>
      </w:pPr>
      <w:r>
        <w:drawing>
          <wp:anchor distT="0" distB="0" distL="0" distR="0" simplePos="0" relativeHeight="254611456" behindDoc="0" locked="0" layoutInCell="0" allowOverlap="1">
            <wp:simplePos x="0" y="0"/>
            <wp:positionH relativeFrom="page">
              <wp:posOffset>457216</wp:posOffset>
            </wp:positionH>
            <wp:positionV relativeFrom="page">
              <wp:posOffset>6127767</wp:posOffset>
            </wp:positionV>
            <wp:extent cx="1174715" cy="6350"/>
            <wp:effectExtent l="0" t="0" r="0" b="0"/>
            <wp:wrapNone/>
            <wp:docPr id="244" name="IM 244"/>
            <wp:cNvGraphicFramePr/>
            <a:graphic>
              <a:graphicData uri="http://schemas.openxmlformats.org/drawingml/2006/picture">
                <pic:pic>
                  <pic:nvPicPr>
                    <pic:cNvPr id="244" name="IM 244"/>
                    <pic:cNvPicPr/>
                  </pic:nvPicPr>
                  <pic:blipFill>
                    <a:blip r:embed="rId345"/>
                    <a:stretch>
                      <a:fillRect/>
                    </a:stretch>
                  </pic:blipFill>
                  <pic:spPr>
                    <a:xfrm rot="0">
                      <a:off x="0" y="0"/>
                      <a:ext cx="1174715" cy="6350"/>
                    </a:xfrm>
                    <a:prstGeom prst="rect">
                      <a:avLst/>
                    </a:prstGeom>
                  </pic:spPr>
                </pic:pic>
              </a:graphicData>
            </a:graphic>
          </wp:anchor>
        </w:drawing>
      </w:r>
      <w:r>
        <w:rPr>
          <w:rFonts w:ascii="SimSun" w:hAnsi="SimSun" w:eastAsia="SimSun" w:cs="SimSun"/>
          <w:sz w:val="13"/>
          <w:szCs w:val="13"/>
          <w:spacing w:val="-14"/>
          <w:position w:val="-1"/>
        </w:rPr>
        <w:t>278</w:t>
      </w:r>
      <w:r>
        <w:rPr>
          <w:rFonts w:ascii="SimSun" w:hAnsi="SimSun" w:eastAsia="SimSun" w:cs="SimSun"/>
          <w:sz w:val="13"/>
          <w:szCs w:val="13"/>
          <w:spacing w:val="1"/>
          <w:position w:val="-1"/>
        </w:rPr>
        <w:t xml:space="preserve">                     </w:t>
      </w:r>
      <w:r>
        <w:rPr>
          <w:rFonts w:ascii="SimSun" w:hAnsi="SimSun" w:eastAsia="SimSun" w:cs="SimSun"/>
          <w:sz w:val="13"/>
          <w:szCs w:val="13"/>
          <w:position w:val="-1"/>
        </w:rPr>
        <w:t xml:space="preserve">      </w:t>
      </w:r>
      <w:r>
        <w:rPr>
          <w:rFonts w:ascii="SimHei" w:hAnsi="SimHei" w:eastAsia="SimHei" w:cs="SimHei"/>
          <w:sz w:val="17"/>
          <w:szCs w:val="17"/>
          <w:spacing w:val="-14"/>
        </w:rPr>
        <w:t>平台经济——创新、治理与繁荣</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right="105"/>
        <w:spacing w:before="68" w:line="292" w:lineRule="auto"/>
        <w:jc w:val="both"/>
        <w:rPr>
          <w:rFonts w:ascii="SimSun" w:hAnsi="SimSun" w:eastAsia="SimSun" w:cs="SimSun"/>
          <w:sz w:val="21"/>
          <w:szCs w:val="21"/>
        </w:rPr>
      </w:pPr>
      <w:r>
        <w:rPr>
          <w:rFonts w:ascii="SimSun" w:hAnsi="SimSun" w:eastAsia="SimSun" w:cs="SimSun"/>
          <w:sz w:val="21"/>
          <w:szCs w:val="21"/>
          <w:spacing w:val="-10"/>
        </w:rPr>
        <w:t>是以争夺用户为主导，以求最大化网络效应，追逐“流量为王、</w:t>
      </w:r>
      <w:r>
        <w:rPr>
          <w:rFonts w:ascii="SimSun" w:hAnsi="SimSun" w:eastAsia="SimSun" w:cs="SimSun"/>
          <w:sz w:val="21"/>
          <w:szCs w:val="21"/>
          <w:spacing w:val="-11"/>
        </w:rPr>
        <w:t>赢者</w:t>
      </w:r>
      <w:r>
        <w:rPr>
          <w:rFonts w:ascii="SimSun" w:hAnsi="SimSun" w:eastAsia="SimSun" w:cs="SimSun"/>
          <w:sz w:val="21"/>
          <w:szCs w:val="21"/>
        </w:rPr>
        <w:t xml:space="preserve"> </w:t>
      </w:r>
      <w:r>
        <w:rPr>
          <w:rFonts w:ascii="SimSun" w:hAnsi="SimSun" w:eastAsia="SimSun" w:cs="SimSun"/>
          <w:sz w:val="21"/>
          <w:szCs w:val="21"/>
          <w:spacing w:val="-3"/>
        </w:rPr>
        <w:t>通吃”的结果，比如网络零售市场(淘宝/天猫、京东、拼多</w:t>
      </w:r>
      <w:r>
        <w:rPr>
          <w:rFonts w:ascii="SimSun" w:hAnsi="SimSun" w:eastAsia="SimSun" w:cs="SimSun"/>
          <w:sz w:val="21"/>
          <w:szCs w:val="21"/>
          <w:spacing w:val="-4"/>
        </w:rPr>
        <w:t>多、微</w:t>
      </w:r>
      <w:r>
        <w:rPr>
          <w:rFonts w:ascii="SimSun" w:hAnsi="SimSun" w:eastAsia="SimSun" w:cs="SimSun"/>
          <w:sz w:val="21"/>
          <w:szCs w:val="21"/>
        </w:rPr>
        <w:t xml:space="preserve"> </w:t>
      </w:r>
      <w:r>
        <w:rPr>
          <w:rFonts w:ascii="SimSun" w:hAnsi="SimSun" w:eastAsia="SimSun" w:cs="SimSun"/>
          <w:sz w:val="21"/>
          <w:szCs w:val="21"/>
          <w:spacing w:val="-1"/>
        </w:rPr>
        <w:t>商等)的价格大战、网约车市场(滴滴、美团、首汽、优步等)的补</w:t>
      </w:r>
      <w:r>
        <w:rPr>
          <w:rFonts w:ascii="SimSun" w:hAnsi="SimSun" w:eastAsia="SimSun" w:cs="SimSun"/>
          <w:sz w:val="21"/>
          <w:szCs w:val="21"/>
          <w:spacing w:val="16"/>
        </w:rPr>
        <w:t xml:space="preserve"> </w:t>
      </w:r>
      <w:r>
        <w:rPr>
          <w:rFonts w:ascii="SimSun" w:hAnsi="SimSun" w:eastAsia="SimSun" w:cs="SimSun"/>
          <w:sz w:val="21"/>
          <w:szCs w:val="21"/>
          <w:spacing w:val="-2"/>
        </w:rPr>
        <w:t>贴大战、外卖市场(美团和饿了么)的红包大战等。</w:t>
      </w:r>
    </w:p>
    <w:p>
      <w:pPr>
        <w:ind w:right="29" w:firstLine="430"/>
        <w:spacing w:before="107" w:line="300" w:lineRule="auto"/>
        <w:jc w:val="both"/>
        <w:rPr>
          <w:rFonts w:ascii="SimSun" w:hAnsi="SimSun" w:eastAsia="SimSun" w:cs="SimSun"/>
          <w:sz w:val="21"/>
          <w:szCs w:val="21"/>
        </w:rPr>
      </w:pPr>
      <w:r>
        <w:rPr>
          <w:rFonts w:ascii="SimSun" w:hAnsi="SimSun" w:eastAsia="SimSun" w:cs="SimSun"/>
          <w:sz w:val="21"/>
          <w:szCs w:val="21"/>
          <w:spacing w:val="-10"/>
        </w:rPr>
        <w:t>在争夺用户的竞争中，平台企业为了获得更多的市场流量</w:t>
      </w:r>
      <w:r>
        <w:rPr>
          <w:rFonts w:ascii="SimSun" w:hAnsi="SimSun" w:eastAsia="SimSun" w:cs="SimSun"/>
          <w:sz w:val="21"/>
          <w:szCs w:val="21"/>
          <w:spacing w:val="-11"/>
        </w:rPr>
        <w:t>，往往</w:t>
      </w:r>
      <w:r>
        <w:rPr>
          <w:rFonts w:ascii="SimSun" w:hAnsi="SimSun" w:eastAsia="SimSun" w:cs="SimSun"/>
          <w:sz w:val="21"/>
          <w:szCs w:val="21"/>
        </w:rPr>
        <w:t xml:space="preserve"> </w:t>
      </w:r>
      <w:r>
        <w:rPr>
          <w:rFonts w:ascii="SimSun" w:hAnsi="SimSun" w:eastAsia="SimSun" w:cs="SimSun"/>
          <w:sz w:val="21"/>
          <w:szCs w:val="21"/>
          <w:spacing w:val="-8"/>
        </w:rPr>
        <w:t>不惜付出巨额资金成本，而这些资金本来可以用作数字技术的研发。</w:t>
      </w:r>
      <w:r>
        <w:rPr>
          <w:rFonts w:ascii="SimSun" w:hAnsi="SimSun" w:eastAsia="SimSun" w:cs="SimSun"/>
          <w:sz w:val="21"/>
          <w:szCs w:val="21"/>
          <w:spacing w:val="14"/>
        </w:rPr>
        <w:t xml:space="preserve"> </w:t>
      </w:r>
      <w:r>
        <w:rPr>
          <w:rFonts w:ascii="SimSun" w:hAnsi="SimSun" w:eastAsia="SimSun" w:cs="SimSun"/>
          <w:sz w:val="21"/>
          <w:szCs w:val="21"/>
          <w:spacing w:val="-11"/>
        </w:rPr>
        <w:t>另外，这些用来争夺客户的基金通常不是平台企业的自有资金，而是</w:t>
      </w:r>
      <w:r>
        <w:rPr>
          <w:rFonts w:ascii="SimSun" w:hAnsi="SimSun" w:eastAsia="SimSun" w:cs="SimSun"/>
          <w:sz w:val="21"/>
          <w:szCs w:val="21"/>
          <w:spacing w:val="4"/>
        </w:rPr>
        <w:t xml:space="preserve">  </w:t>
      </w:r>
      <w:r>
        <w:rPr>
          <w:rFonts w:ascii="SimSun" w:hAnsi="SimSun" w:eastAsia="SimSun" w:cs="SimSun"/>
          <w:sz w:val="21"/>
          <w:szCs w:val="21"/>
          <w:spacing w:val="-10"/>
        </w:rPr>
        <w:t>来自第三方资金公司，这些资金公司追求中短期的投资回报，与技术 </w:t>
      </w:r>
      <w:r>
        <w:rPr>
          <w:rFonts w:ascii="SimSun" w:hAnsi="SimSun" w:eastAsia="SimSun" w:cs="SimSun"/>
          <w:sz w:val="21"/>
          <w:szCs w:val="21"/>
          <w:spacing w:val="-10"/>
        </w:rPr>
        <w:t>研发所具有的长期性和不确定性存在内在的不相容性，从而进一步加 </w:t>
      </w:r>
      <w:r>
        <w:rPr>
          <w:rFonts w:ascii="SimSun" w:hAnsi="SimSun" w:eastAsia="SimSun" w:cs="SimSun"/>
          <w:sz w:val="21"/>
          <w:szCs w:val="21"/>
          <w:spacing w:val="-14"/>
        </w:rPr>
        <w:t>剧了我国数字平台在研发方面投入严重不足的问题。①</w:t>
      </w:r>
    </w:p>
    <w:p>
      <w:pPr>
        <w:ind w:right="100" w:firstLine="430"/>
        <w:spacing w:before="133" w:line="286" w:lineRule="auto"/>
        <w:jc w:val="both"/>
        <w:rPr>
          <w:rFonts w:ascii="SimSun" w:hAnsi="SimSun" w:eastAsia="SimSun" w:cs="SimSun"/>
          <w:sz w:val="21"/>
          <w:szCs w:val="21"/>
        </w:rPr>
      </w:pPr>
      <w:r>
        <w:rPr>
          <w:rFonts w:ascii="SimSun" w:hAnsi="SimSun" w:eastAsia="SimSun" w:cs="SimSun"/>
          <w:sz w:val="21"/>
          <w:szCs w:val="21"/>
          <w:spacing w:val="-11"/>
        </w:rPr>
        <w:t>此外，很多初创企业所拥有的技术很可能导致熊彼特提出的“创</w:t>
      </w:r>
      <w:r>
        <w:rPr>
          <w:rFonts w:ascii="SimSun" w:hAnsi="SimSun" w:eastAsia="SimSun" w:cs="SimSun"/>
          <w:sz w:val="21"/>
          <w:szCs w:val="21"/>
          <w:spacing w:val="1"/>
        </w:rPr>
        <w:t xml:space="preserve"> </w:t>
      </w:r>
      <w:r>
        <w:rPr>
          <w:rFonts w:ascii="SimSun" w:hAnsi="SimSun" w:eastAsia="SimSun" w:cs="SimSun"/>
          <w:sz w:val="21"/>
          <w:szCs w:val="21"/>
          <w:spacing w:val="-10"/>
        </w:rPr>
        <w:t>造性毁灭”。资金雄厚的平台企业为了避免被拥有新技术的</w:t>
      </w:r>
      <w:r>
        <w:rPr>
          <w:rFonts w:ascii="SimSun" w:hAnsi="SimSun" w:eastAsia="SimSun" w:cs="SimSun"/>
          <w:sz w:val="21"/>
          <w:szCs w:val="21"/>
          <w:spacing w:val="-11"/>
        </w:rPr>
        <w:t>初创企业</w:t>
      </w:r>
      <w:r>
        <w:rPr>
          <w:rFonts w:ascii="SimSun" w:hAnsi="SimSun" w:eastAsia="SimSun" w:cs="SimSun"/>
          <w:sz w:val="21"/>
          <w:szCs w:val="21"/>
        </w:rPr>
        <w:t xml:space="preserve"> </w:t>
      </w:r>
      <w:r>
        <w:rPr>
          <w:rFonts w:ascii="SimSun" w:hAnsi="SimSun" w:eastAsia="SimSun" w:cs="SimSun"/>
          <w:sz w:val="21"/>
          <w:szCs w:val="21"/>
          <w:spacing w:val="-10"/>
        </w:rPr>
        <w:t>颠覆，先发制人地收购这些初创企业，并且将这些技术束之高</w:t>
      </w:r>
      <w:r>
        <w:rPr>
          <w:rFonts w:ascii="SimSun" w:hAnsi="SimSun" w:eastAsia="SimSun" w:cs="SimSun"/>
          <w:sz w:val="21"/>
          <w:szCs w:val="21"/>
          <w:spacing w:val="-11"/>
        </w:rPr>
        <w:t>阁。这</w:t>
      </w:r>
      <w:r>
        <w:rPr>
          <w:rFonts w:ascii="SimSun" w:hAnsi="SimSun" w:eastAsia="SimSun" w:cs="SimSun"/>
          <w:sz w:val="21"/>
          <w:szCs w:val="21"/>
        </w:rPr>
        <w:t xml:space="preserve"> </w:t>
      </w:r>
      <w:r>
        <w:rPr>
          <w:rFonts w:ascii="SimSun" w:hAnsi="SimSun" w:eastAsia="SimSun" w:cs="SimSun"/>
          <w:sz w:val="21"/>
          <w:szCs w:val="21"/>
          <w:spacing w:val="-11"/>
        </w:rPr>
        <w:t>便产生了“猎杀式并购”的现象。</w:t>
      </w:r>
    </w:p>
    <w:p>
      <w:pPr>
        <w:ind w:right="75" w:firstLine="430"/>
        <w:spacing w:before="122" w:line="285" w:lineRule="auto"/>
        <w:jc w:val="both"/>
        <w:rPr>
          <w:rFonts w:ascii="SimSun" w:hAnsi="SimSun" w:eastAsia="SimSun" w:cs="SimSun"/>
          <w:sz w:val="21"/>
          <w:szCs w:val="21"/>
        </w:rPr>
      </w:pPr>
      <w:r>
        <w:rPr>
          <w:rFonts w:ascii="SimSun" w:hAnsi="SimSun" w:eastAsia="SimSun" w:cs="SimSun"/>
          <w:sz w:val="21"/>
          <w:szCs w:val="21"/>
          <w:spacing w:val="1"/>
        </w:rPr>
        <w:t>例如在2012年4月，美国的网络社交巨头脸书宣布以10亿美元</w:t>
      </w:r>
      <w:r>
        <w:rPr>
          <w:rFonts w:ascii="SimSun" w:hAnsi="SimSun" w:eastAsia="SimSun" w:cs="SimSun"/>
          <w:sz w:val="21"/>
          <w:szCs w:val="21"/>
          <w:spacing w:val="3"/>
        </w:rPr>
        <w:t xml:space="preserve"> </w:t>
      </w:r>
      <w:r>
        <w:rPr>
          <w:rFonts w:ascii="SimSun" w:hAnsi="SimSun" w:eastAsia="SimSun" w:cs="SimSun"/>
          <w:sz w:val="21"/>
          <w:szCs w:val="21"/>
          <w:spacing w:val="-3"/>
        </w:rPr>
        <w:t>收购图片分享应用</w:t>
      </w:r>
      <w:r>
        <w:rPr>
          <w:rFonts w:ascii="Times New Roman" w:hAnsi="Times New Roman" w:eastAsia="Times New Roman" w:cs="Times New Roman"/>
          <w:sz w:val="21"/>
          <w:szCs w:val="21"/>
          <w:spacing w:val="-3"/>
        </w:rPr>
        <w:t>Instagram</w:t>
      </w:r>
      <w:r>
        <w:rPr>
          <w:rFonts w:ascii="SimSun" w:hAnsi="SimSun" w:eastAsia="SimSun" w:cs="SimSun"/>
          <w:sz w:val="21"/>
          <w:szCs w:val="21"/>
          <w:spacing w:val="-3"/>
        </w:rPr>
        <w:t>。后续媒体曝光了扎克伯格的一系列电</w:t>
      </w:r>
      <w:r>
        <w:rPr>
          <w:rFonts w:ascii="SimSun" w:hAnsi="SimSun" w:eastAsia="SimSun" w:cs="SimSun"/>
          <w:sz w:val="21"/>
          <w:szCs w:val="21"/>
          <w:spacing w:val="13"/>
        </w:rPr>
        <w:t xml:space="preserve"> </w:t>
      </w:r>
      <w:r>
        <w:rPr>
          <w:rFonts w:ascii="SimSun" w:hAnsi="SimSun" w:eastAsia="SimSun" w:cs="SimSun"/>
          <w:sz w:val="21"/>
          <w:szCs w:val="21"/>
          <w:spacing w:val="-8"/>
        </w:rPr>
        <w:t>子邮件，扎克伯格将</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8"/>
        </w:rPr>
        <w:t>Instagram</w:t>
      </w:r>
      <w:r>
        <w:rPr>
          <w:rFonts w:ascii="SimSun" w:hAnsi="SimSun" w:eastAsia="SimSun" w:cs="SimSun"/>
          <w:sz w:val="21"/>
          <w:szCs w:val="21"/>
          <w:spacing w:val="-8"/>
        </w:rPr>
        <w:t>视作“新生竞争对手”,可能威胁脸书</w:t>
      </w:r>
      <w:r>
        <w:rPr>
          <w:rFonts w:ascii="SimSun" w:hAnsi="SimSun" w:eastAsia="SimSun" w:cs="SimSun"/>
          <w:sz w:val="21"/>
          <w:szCs w:val="21"/>
        </w:rPr>
        <w:t xml:space="preserve"> </w:t>
      </w:r>
      <w:r>
        <w:rPr>
          <w:rFonts w:ascii="SimSun" w:hAnsi="SimSun" w:eastAsia="SimSun" w:cs="SimSun"/>
          <w:sz w:val="21"/>
          <w:szCs w:val="21"/>
          <w:spacing w:val="-10"/>
        </w:rPr>
        <w:t>在社交网络领域的市场地位。这就是此次收购</w:t>
      </w:r>
      <w:r>
        <w:rPr>
          <w:rFonts w:ascii="SimSun" w:hAnsi="SimSun" w:eastAsia="SimSun" w:cs="SimSun"/>
          <w:sz w:val="21"/>
          <w:szCs w:val="21"/>
          <w:spacing w:val="-11"/>
        </w:rPr>
        <w:t>的重要动机。</w:t>
      </w:r>
    </w:p>
    <w:p>
      <w:pPr>
        <w:ind w:right="63" w:firstLine="430"/>
        <w:spacing w:before="142" w:line="292" w:lineRule="auto"/>
        <w:jc w:val="both"/>
        <w:rPr>
          <w:rFonts w:ascii="SimSun" w:hAnsi="SimSun" w:eastAsia="SimSun" w:cs="SimSun"/>
          <w:sz w:val="21"/>
          <w:szCs w:val="21"/>
        </w:rPr>
      </w:pPr>
      <w:r>
        <w:rPr>
          <w:rFonts w:ascii="SimSun" w:hAnsi="SimSun" w:eastAsia="SimSun" w:cs="SimSun"/>
          <w:sz w:val="21"/>
          <w:szCs w:val="21"/>
          <w:spacing w:val="-2"/>
        </w:rPr>
        <w:t>需要强调的是，平台经济中的并购现象非常普遍</w:t>
      </w:r>
      <w:r>
        <w:rPr>
          <w:rFonts w:ascii="SimSun" w:hAnsi="SimSun" w:eastAsia="SimSun" w:cs="SimSun"/>
          <w:sz w:val="21"/>
          <w:szCs w:val="21"/>
          <w:spacing w:val="-3"/>
        </w:rPr>
        <w:t>。比如，美国</w:t>
      </w:r>
      <w:r>
        <w:rPr>
          <w:rFonts w:ascii="SimSun" w:hAnsi="SimSun" w:eastAsia="SimSun" w:cs="SimSun"/>
          <w:sz w:val="21"/>
          <w:szCs w:val="21"/>
        </w:rPr>
        <w:t xml:space="preserve"> </w:t>
      </w:r>
      <w:r>
        <w:rPr>
          <w:rFonts w:ascii="SimSun" w:hAnsi="SimSun" w:eastAsia="SimSun" w:cs="SimSun"/>
          <w:sz w:val="21"/>
          <w:szCs w:val="21"/>
          <w:spacing w:val="-6"/>
        </w:rPr>
        <w:t>国会在2020年发布了《数字市场竞争调查报告》,列出了亚马</w:t>
      </w:r>
      <w:r>
        <w:rPr>
          <w:rFonts w:ascii="SimSun" w:hAnsi="SimSun" w:eastAsia="SimSun" w:cs="SimSun"/>
          <w:sz w:val="21"/>
          <w:szCs w:val="21"/>
          <w:spacing w:val="-7"/>
        </w:rPr>
        <w:t>逊、苹</w:t>
      </w:r>
      <w:r>
        <w:rPr>
          <w:rFonts w:ascii="SimSun" w:hAnsi="SimSun" w:eastAsia="SimSun" w:cs="SimSun"/>
          <w:sz w:val="21"/>
          <w:szCs w:val="21"/>
        </w:rPr>
        <w:t xml:space="preserve"> </w:t>
      </w:r>
      <w:r>
        <w:rPr>
          <w:rFonts w:ascii="SimSun" w:hAnsi="SimSun" w:eastAsia="SimSun" w:cs="SimSun"/>
          <w:sz w:val="21"/>
          <w:szCs w:val="21"/>
          <w:spacing w:val="-10"/>
        </w:rPr>
        <w:t>果、脸书、谷歌四家数字平台企业从创立伊始到报告撰写时</w:t>
      </w:r>
      <w:r>
        <w:rPr>
          <w:rFonts w:ascii="SimSun" w:hAnsi="SimSun" w:eastAsia="SimSun" w:cs="SimSun"/>
          <w:sz w:val="21"/>
          <w:szCs w:val="21"/>
          <w:spacing w:val="-11"/>
        </w:rPr>
        <w:t>为止，兼</w:t>
      </w:r>
      <w:r>
        <w:rPr>
          <w:rFonts w:ascii="SimSun" w:hAnsi="SimSun" w:eastAsia="SimSun" w:cs="SimSun"/>
          <w:sz w:val="21"/>
          <w:szCs w:val="21"/>
        </w:rPr>
        <w:t xml:space="preserve"> </w:t>
      </w:r>
      <w:r>
        <w:rPr>
          <w:rFonts w:ascii="SimSun" w:hAnsi="SimSun" w:eastAsia="SimSun" w:cs="SimSun"/>
          <w:sz w:val="21"/>
          <w:szCs w:val="21"/>
          <w:spacing w:val="-4"/>
        </w:rPr>
        <w:t>并与收购的详细记录，长达45页。在我国，以阿里巴巴、腾讯、京</w:t>
      </w:r>
    </w:p>
    <w:p>
      <w:pPr>
        <w:pStyle w:val="BodyText"/>
        <w:spacing w:line="404" w:lineRule="auto"/>
        <w:rPr/>
      </w:pPr>
      <w:r/>
    </w:p>
    <w:p>
      <w:pPr>
        <w:ind w:left="320" w:hanging="320"/>
        <w:spacing w:before="57" w:line="285" w:lineRule="auto"/>
        <w:rPr>
          <w:rFonts w:ascii="KaiTi" w:hAnsi="KaiTi" w:eastAsia="KaiTi" w:cs="KaiTi"/>
          <w:sz w:val="17"/>
          <w:szCs w:val="17"/>
        </w:rPr>
      </w:pPr>
      <w:r>
        <w:rPr>
          <w:rFonts w:ascii="SimSun" w:hAnsi="SimSun" w:eastAsia="SimSun" w:cs="SimSun"/>
          <w:sz w:val="17"/>
          <w:szCs w:val="17"/>
          <w:spacing w:val="-3"/>
        </w:rPr>
        <w:t>①</w:t>
      </w:r>
      <w:r>
        <w:rPr>
          <w:rFonts w:ascii="SimSun" w:hAnsi="SimSun" w:eastAsia="SimSun" w:cs="SimSun"/>
          <w:sz w:val="17"/>
          <w:szCs w:val="17"/>
          <w:spacing w:val="68"/>
          <w:w w:val="101"/>
        </w:rPr>
        <w:t xml:space="preserve"> </w:t>
      </w:r>
      <w:r>
        <w:rPr>
          <w:rFonts w:ascii="KaiTi" w:hAnsi="KaiTi" w:eastAsia="KaiTi" w:cs="KaiTi"/>
          <w:sz w:val="17"/>
          <w:szCs w:val="17"/>
          <w:spacing w:val="-3"/>
        </w:rPr>
        <w:t>这一点可以通过对比美国头部数字平台企业的研发投入加以说明。根据欧盟在</w:t>
      </w:r>
      <w:r>
        <w:rPr>
          <w:rFonts w:ascii="KaiTi" w:hAnsi="KaiTi" w:eastAsia="KaiTi" w:cs="KaiTi"/>
          <w:sz w:val="17"/>
          <w:szCs w:val="17"/>
        </w:rPr>
        <w:t xml:space="preserve">  </w:t>
      </w:r>
      <w:r>
        <w:rPr>
          <w:rFonts w:ascii="KaiTi" w:hAnsi="KaiTi" w:eastAsia="KaiTi" w:cs="KaiTi"/>
          <w:sz w:val="17"/>
          <w:szCs w:val="17"/>
          <w:spacing w:val="-4"/>
        </w:rPr>
        <w:t>2020年1月发布的数据，</w:t>
      </w:r>
      <w:r>
        <w:rPr>
          <w:rFonts w:ascii="KaiTi" w:hAnsi="KaiTi" w:eastAsia="KaiTi" w:cs="KaiTi"/>
          <w:sz w:val="17"/>
          <w:szCs w:val="17"/>
          <w:spacing w:val="-19"/>
        </w:rPr>
        <w:t xml:space="preserve"> </w:t>
      </w:r>
      <w:r>
        <w:rPr>
          <w:rFonts w:ascii="Times New Roman" w:hAnsi="Times New Roman" w:eastAsia="Times New Roman" w:cs="Times New Roman"/>
          <w:sz w:val="17"/>
          <w:szCs w:val="17"/>
          <w:spacing w:val="-4"/>
        </w:rPr>
        <w:t>Alphabet</w:t>
      </w:r>
      <w:r>
        <w:rPr>
          <w:rFonts w:ascii="SimSun" w:hAnsi="SimSun" w:eastAsia="SimSun" w:cs="SimSun"/>
          <w:sz w:val="17"/>
          <w:szCs w:val="17"/>
          <w:spacing w:val="-4"/>
        </w:rPr>
        <w:t>、</w:t>
      </w:r>
      <w:r>
        <w:rPr>
          <w:rFonts w:ascii="KaiTi" w:hAnsi="KaiTi" w:eastAsia="KaiTi" w:cs="KaiTi"/>
          <w:sz w:val="17"/>
          <w:szCs w:val="17"/>
          <w:spacing w:val="-4"/>
        </w:rPr>
        <w:t>苹果、脸书的研发投入分别为231.6亿欧元、</w:t>
      </w:r>
      <w:r>
        <w:rPr>
          <w:rFonts w:ascii="KaiTi" w:hAnsi="KaiTi" w:eastAsia="KaiTi" w:cs="KaiTi"/>
          <w:sz w:val="17"/>
          <w:szCs w:val="17"/>
        </w:rPr>
        <w:t xml:space="preserve"> </w:t>
      </w:r>
      <w:r>
        <w:rPr>
          <w:rFonts w:ascii="KaiTi" w:hAnsi="KaiTi" w:eastAsia="KaiTi" w:cs="KaiTi"/>
          <w:sz w:val="17"/>
          <w:szCs w:val="17"/>
        </w:rPr>
        <w:t>144.35亿欧元和121.06亿欧元(亚马逊未公布),而我国的阿里巴巴、腾讯和百</w:t>
      </w:r>
      <w:r>
        <w:rPr>
          <w:rFonts w:ascii="KaiTi" w:hAnsi="KaiTi" w:eastAsia="KaiTi" w:cs="KaiTi"/>
          <w:sz w:val="17"/>
          <w:szCs w:val="17"/>
          <w:spacing w:val="9"/>
        </w:rPr>
        <w:t xml:space="preserve">  </w:t>
      </w:r>
      <w:r>
        <w:rPr>
          <w:rFonts w:ascii="KaiTi" w:hAnsi="KaiTi" w:eastAsia="KaiTi" w:cs="KaiTi"/>
          <w:sz w:val="17"/>
          <w:szCs w:val="17"/>
          <w:spacing w:val="2"/>
        </w:rPr>
        <w:t>度的研发投入则为54.89亿欧元、58.71亿欧元和23.37亿欧元(京东仅披露了</w:t>
      </w:r>
      <w:r>
        <w:rPr>
          <w:rFonts w:ascii="KaiTi" w:hAnsi="KaiTi" w:eastAsia="KaiTi" w:cs="KaiTi"/>
          <w:sz w:val="17"/>
          <w:szCs w:val="17"/>
          <w:spacing w:val="5"/>
        </w:rPr>
        <w:t xml:space="preserve">  </w:t>
      </w:r>
      <w:r>
        <w:rPr>
          <w:rFonts w:ascii="KaiTi" w:hAnsi="KaiTi" w:eastAsia="KaiTi" w:cs="KaiTi"/>
          <w:sz w:val="17"/>
          <w:szCs w:val="17"/>
          <w:spacing w:val="-3"/>
        </w:rPr>
        <w:t>2017—2020年的研发投入，约为80亿欧元</w:t>
      </w:r>
      <w:r>
        <w:rPr>
          <w:rFonts w:ascii="KaiTi" w:hAnsi="KaiTi" w:eastAsia="KaiTi" w:cs="KaiTi"/>
          <w:sz w:val="17"/>
          <w:szCs w:val="17"/>
          <w:spacing w:val="-4"/>
        </w:rPr>
        <w:t>)。</w:t>
      </w:r>
    </w:p>
    <w:p>
      <w:pPr>
        <w:spacing w:line="285" w:lineRule="auto"/>
        <w:sectPr>
          <w:headerReference w:type="default" r:id="rId1"/>
          <w:pgSz w:w="7330" w:h="12480"/>
          <w:pgMar w:top="295" w:right="515" w:bottom="400" w:left="709" w:header="0" w:footer="0" w:gutter="0"/>
        </w:sectPr>
        <w:rPr>
          <w:rFonts w:ascii="KaiTi" w:hAnsi="KaiTi" w:eastAsia="KaiTi" w:cs="KaiTi"/>
          <w:sz w:val="17"/>
          <w:szCs w:val="17"/>
        </w:rPr>
      </w:pPr>
    </w:p>
    <w:p>
      <w:pPr>
        <w:pStyle w:val="BodyText"/>
        <w:spacing w:line="251" w:lineRule="auto"/>
        <w:rPr/>
      </w:pPr>
      <w:r>
        <w:drawing>
          <wp:anchor distT="0" distB="0" distL="0" distR="0" simplePos="0" relativeHeight="254621696" behindDoc="0" locked="0" layoutInCell="0" allowOverlap="1">
            <wp:simplePos x="0" y="0"/>
            <wp:positionH relativeFrom="page">
              <wp:posOffset>266706</wp:posOffset>
            </wp:positionH>
            <wp:positionV relativeFrom="page">
              <wp:posOffset>6883397</wp:posOffset>
            </wp:positionV>
            <wp:extent cx="1168384" cy="6350"/>
            <wp:effectExtent l="0" t="0" r="0" b="0"/>
            <wp:wrapNone/>
            <wp:docPr id="246" name="IM 246"/>
            <wp:cNvGraphicFramePr/>
            <a:graphic>
              <a:graphicData uri="http://schemas.openxmlformats.org/drawingml/2006/picture">
                <pic:pic>
                  <pic:nvPicPr>
                    <pic:cNvPr id="246" name="IM 246"/>
                    <pic:cNvPicPr/>
                  </pic:nvPicPr>
                  <pic:blipFill>
                    <a:blip r:embed="rId347"/>
                    <a:stretch>
                      <a:fillRect/>
                    </a:stretch>
                  </pic:blipFill>
                  <pic:spPr>
                    <a:xfrm rot="0">
                      <a:off x="0" y="0"/>
                      <a:ext cx="1168384"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right="96"/>
        <w:spacing w:before="68" w:line="284" w:lineRule="auto"/>
        <w:jc w:val="both"/>
        <w:rPr>
          <w:rFonts w:ascii="SimSun" w:hAnsi="SimSun" w:eastAsia="SimSun" w:cs="SimSun"/>
          <w:sz w:val="21"/>
          <w:szCs w:val="21"/>
        </w:rPr>
      </w:pPr>
      <w:r>
        <w:rPr>
          <w:rFonts w:ascii="SimSun" w:hAnsi="SimSun" w:eastAsia="SimSun" w:cs="SimSun"/>
          <w:sz w:val="21"/>
          <w:szCs w:val="21"/>
          <w:spacing w:val="-11"/>
        </w:rPr>
        <w:t>东、美团、滴滴等为代表的头部平台企业，同样通过收购或者</w:t>
      </w:r>
      <w:r>
        <w:rPr>
          <w:rFonts w:ascii="SimSun" w:hAnsi="SimSun" w:eastAsia="SimSun" w:cs="SimSun"/>
          <w:sz w:val="21"/>
          <w:szCs w:val="21"/>
          <w:spacing w:val="-12"/>
        </w:rPr>
        <w:t>持股其</w:t>
      </w:r>
      <w:r>
        <w:rPr>
          <w:rFonts w:ascii="SimSun" w:hAnsi="SimSun" w:eastAsia="SimSun" w:cs="SimSun"/>
          <w:sz w:val="21"/>
          <w:szCs w:val="21"/>
        </w:rPr>
        <w:t xml:space="preserve"> </w:t>
      </w:r>
      <w:r>
        <w:rPr>
          <w:rFonts w:ascii="SimSun" w:hAnsi="SimSun" w:eastAsia="SimSun" w:cs="SimSun"/>
          <w:sz w:val="21"/>
          <w:szCs w:val="21"/>
          <w:spacing w:val="-11"/>
        </w:rPr>
        <w:t>他互联网企业不断拓展自身业务边界，能够确保自己在很大程</w:t>
      </w:r>
      <w:r>
        <w:rPr>
          <w:rFonts w:ascii="SimSun" w:hAnsi="SimSun" w:eastAsia="SimSun" w:cs="SimSun"/>
          <w:sz w:val="21"/>
          <w:szCs w:val="21"/>
          <w:spacing w:val="-12"/>
        </w:rPr>
        <w:t>度上控</w:t>
      </w:r>
      <w:r>
        <w:rPr>
          <w:rFonts w:ascii="SimSun" w:hAnsi="SimSun" w:eastAsia="SimSun" w:cs="SimSun"/>
          <w:sz w:val="21"/>
          <w:szCs w:val="21"/>
        </w:rPr>
        <w:t xml:space="preserve"> </w:t>
      </w:r>
      <w:r>
        <w:rPr>
          <w:rFonts w:ascii="SimSun" w:hAnsi="SimSun" w:eastAsia="SimSun" w:cs="SimSun"/>
          <w:sz w:val="21"/>
          <w:szCs w:val="21"/>
          <w:spacing w:val="-13"/>
        </w:rPr>
        <w:t>制未来可能出现的竞争对手。</w:t>
      </w:r>
    </w:p>
    <w:p>
      <w:pPr>
        <w:ind w:firstLine="410"/>
        <w:spacing w:before="111" w:line="296" w:lineRule="auto"/>
        <w:jc w:val="both"/>
        <w:rPr>
          <w:rFonts w:ascii="SimSun" w:hAnsi="SimSun" w:eastAsia="SimSun" w:cs="SimSun"/>
          <w:sz w:val="21"/>
          <w:szCs w:val="21"/>
        </w:rPr>
      </w:pPr>
      <w:r>
        <w:rPr>
          <w:rFonts w:ascii="SimSun" w:hAnsi="SimSun" w:eastAsia="SimSun" w:cs="SimSun"/>
          <w:sz w:val="21"/>
          <w:szCs w:val="21"/>
          <w:spacing w:val="-8"/>
        </w:rPr>
        <w:t>有研究说明了大型平台企业收购初创企业对于创新的负面</w:t>
      </w:r>
      <w:r>
        <w:rPr>
          <w:rFonts w:ascii="SimSun" w:hAnsi="SimSun" w:eastAsia="SimSun" w:cs="SimSun"/>
          <w:sz w:val="21"/>
          <w:szCs w:val="21"/>
          <w:spacing w:val="-9"/>
        </w:rPr>
        <w:t>效应：</w:t>
      </w:r>
      <w:r>
        <w:rPr>
          <w:rFonts w:ascii="SimSun" w:hAnsi="SimSun" w:eastAsia="SimSun" w:cs="SimSun"/>
          <w:sz w:val="21"/>
          <w:szCs w:val="21"/>
        </w:rPr>
        <w:t xml:space="preserve"> </w:t>
      </w:r>
      <w:r>
        <w:rPr>
          <w:rFonts w:ascii="SimSun" w:hAnsi="SimSun" w:eastAsia="SimSun" w:cs="SimSun"/>
          <w:sz w:val="21"/>
          <w:szCs w:val="21"/>
          <w:spacing w:val="-8"/>
        </w:rPr>
        <w:t>由于平台经济存在显著的网络外部性，初创企业研发出来的新产品、</w:t>
      </w:r>
      <w:r>
        <w:rPr>
          <w:rFonts w:ascii="SimSun" w:hAnsi="SimSun" w:eastAsia="SimSun" w:cs="SimSun"/>
          <w:sz w:val="21"/>
          <w:szCs w:val="21"/>
          <w:spacing w:val="4"/>
        </w:rPr>
        <w:t xml:space="preserve"> </w:t>
      </w:r>
      <w:r>
        <w:rPr>
          <w:rFonts w:ascii="SimSun" w:hAnsi="SimSun" w:eastAsia="SimSun" w:cs="SimSun"/>
          <w:sz w:val="21"/>
          <w:szCs w:val="21"/>
          <w:spacing w:val="-9"/>
        </w:rPr>
        <w:t>新技术无法获得足够多的初始用户投入时间和精力进行学习和测试，</w:t>
      </w:r>
      <w:r>
        <w:rPr>
          <w:rFonts w:ascii="SimSun" w:hAnsi="SimSun" w:eastAsia="SimSun" w:cs="SimSun"/>
          <w:sz w:val="21"/>
          <w:szCs w:val="21"/>
          <w:spacing w:val="13"/>
        </w:rPr>
        <w:t xml:space="preserve"> </w:t>
      </w:r>
      <w:r>
        <w:rPr>
          <w:rFonts w:ascii="SimSun" w:hAnsi="SimSun" w:eastAsia="SimSun" w:cs="SimSun"/>
          <w:sz w:val="21"/>
          <w:szCs w:val="21"/>
          <w:spacing w:val="-11"/>
        </w:rPr>
        <w:t>这便导致拥有较高网络外部性的大型平台企业能够以较低的价</w:t>
      </w:r>
      <w:r>
        <w:rPr>
          <w:rFonts w:ascii="SimSun" w:hAnsi="SimSun" w:eastAsia="SimSun" w:cs="SimSun"/>
          <w:sz w:val="21"/>
          <w:szCs w:val="21"/>
          <w:spacing w:val="-12"/>
        </w:rPr>
        <w:t>格兼并</w:t>
      </w:r>
      <w:r>
        <w:rPr>
          <w:rFonts w:ascii="SimSun" w:hAnsi="SimSun" w:eastAsia="SimSun" w:cs="SimSun"/>
          <w:sz w:val="21"/>
          <w:szCs w:val="21"/>
        </w:rPr>
        <w:t xml:space="preserve">  </w:t>
      </w:r>
      <w:r>
        <w:rPr>
          <w:rFonts w:ascii="SimSun" w:hAnsi="SimSun" w:eastAsia="SimSun" w:cs="SimSun"/>
          <w:sz w:val="21"/>
          <w:szCs w:val="21"/>
          <w:spacing w:val="-13"/>
        </w:rPr>
        <w:t>这些初创企业，从而削弱了平台经济进行领域创新的动力。①</w:t>
      </w:r>
    </w:p>
    <w:p>
      <w:pPr>
        <w:ind w:right="74" w:firstLine="410"/>
        <w:spacing w:before="116" w:line="292" w:lineRule="auto"/>
        <w:jc w:val="both"/>
        <w:rPr>
          <w:rFonts w:ascii="SimSun" w:hAnsi="SimSun" w:eastAsia="SimSun" w:cs="SimSun"/>
          <w:sz w:val="21"/>
          <w:szCs w:val="21"/>
        </w:rPr>
      </w:pPr>
      <w:r>
        <w:rPr>
          <w:rFonts w:ascii="SimSun" w:hAnsi="SimSun" w:eastAsia="SimSun" w:cs="SimSun"/>
          <w:sz w:val="21"/>
          <w:szCs w:val="21"/>
          <w:spacing w:val="-17"/>
        </w:rPr>
        <w:t>因此，平台经济中技术创新水平需要从两个层面加以度量：</w:t>
      </w:r>
      <w:r>
        <w:rPr>
          <w:rFonts w:ascii="SimSun" w:hAnsi="SimSun" w:eastAsia="SimSun" w:cs="SimSun"/>
          <w:sz w:val="21"/>
          <w:szCs w:val="21"/>
          <w:spacing w:val="70"/>
        </w:rPr>
        <w:t xml:space="preserve"> </w:t>
      </w:r>
      <w:r>
        <w:rPr>
          <w:rFonts w:ascii="SimSun" w:hAnsi="SimSun" w:eastAsia="SimSun" w:cs="SimSun"/>
          <w:sz w:val="21"/>
          <w:szCs w:val="21"/>
          <w:spacing w:val="-17"/>
        </w:rPr>
        <w:t>一是</w:t>
      </w:r>
      <w:r>
        <w:rPr>
          <w:rFonts w:ascii="SimSun" w:hAnsi="SimSun" w:eastAsia="SimSun" w:cs="SimSun"/>
          <w:sz w:val="21"/>
          <w:szCs w:val="21"/>
        </w:rPr>
        <w:t xml:space="preserve"> </w:t>
      </w:r>
      <w:r>
        <w:rPr>
          <w:rFonts w:ascii="SimSun" w:hAnsi="SimSun" w:eastAsia="SimSun" w:cs="SimSun"/>
          <w:sz w:val="21"/>
          <w:szCs w:val="21"/>
          <w:spacing w:val="-11"/>
        </w:rPr>
        <w:t>平台企业自身在技术创新方面的经费投入量、相关专利的数</w:t>
      </w:r>
      <w:r>
        <w:rPr>
          <w:rFonts w:ascii="SimSun" w:hAnsi="SimSun" w:eastAsia="SimSun" w:cs="SimSun"/>
          <w:sz w:val="21"/>
          <w:szCs w:val="21"/>
          <w:spacing w:val="-12"/>
        </w:rPr>
        <w:t>量以及所</w:t>
      </w:r>
      <w:r>
        <w:rPr>
          <w:rFonts w:ascii="SimSun" w:hAnsi="SimSun" w:eastAsia="SimSun" w:cs="SimSun"/>
          <w:sz w:val="21"/>
          <w:szCs w:val="21"/>
        </w:rPr>
        <w:t xml:space="preserve"> </w:t>
      </w:r>
      <w:r>
        <w:rPr>
          <w:rFonts w:ascii="SimSun" w:hAnsi="SimSun" w:eastAsia="SimSun" w:cs="SimSun"/>
          <w:sz w:val="21"/>
          <w:szCs w:val="21"/>
          <w:spacing w:val="-11"/>
        </w:rPr>
        <w:t>获收益；二是平台企业并购的其他互联网初创企业所拥有技术</w:t>
      </w:r>
      <w:r>
        <w:rPr>
          <w:rFonts w:ascii="SimSun" w:hAnsi="SimSun" w:eastAsia="SimSun" w:cs="SimSun"/>
          <w:sz w:val="21"/>
          <w:szCs w:val="21"/>
          <w:spacing w:val="-12"/>
        </w:rPr>
        <w:t>在未来</w:t>
      </w:r>
      <w:r>
        <w:rPr>
          <w:rFonts w:ascii="SimSun" w:hAnsi="SimSun" w:eastAsia="SimSun" w:cs="SimSun"/>
          <w:sz w:val="21"/>
          <w:szCs w:val="21"/>
        </w:rPr>
        <w:t xml:space="preserve"> </w:t>
      </w:r>
      <w:r>
        <w:rPr>
          <w:rFonts w:ascii="SimSun" w:hAnsi="SimSun" w:eastAsia="SimSun" w:cs="SimSun"/>
          <w:sz w:val="21"/>
          <w:szCs w:val="21"/>
          <w:spacing w:val="-13"/>
        </w:rPr>
        <w:t>可能产生的经济效益。</w:t>
      </w:r>
    </w:p>
    <w:p>
      <w:pPr>
        <w:pStyle w:val="BodyText"/>
        <w:spacing w:line="385"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0"/>
        </w:rPr>
        <w:t>收入分配</w:t>
      </w:r>
    </w:p>
    <w:p>
      <w:pPr>
        <w:pStyle w:val="BodyText"/>
        <w:spacing w:line="348" w:lineRule="auto"/>
        <w:rPr/>
      </w:pPr>
      <w:r/>
    </w:p>
    <w:p>
      <w:pPr>
        <w:ind w:right="74" w:firstLine="410"/>
        <w:spacing w:before="69" w:line="268" w:lineRule="auto"/>
        <w:rPr>
          <w:rFonts w:ascii="SimSun" w:hAnsi="SimSun" w:eastAsia="SimSun" w:cs="SimSun"/>
          <w:sz w:val="21"/>
          <w:szCs w:val="21"/>
        </w:rPr>
      </w:pPr>
      <w:r>
        <w:rPr>
          <w:rFonts w:ascii="SimSun" w:hAnsi="SimSun" w:eastAsia="SimSun" w:cs="SimSun"/>
          <w:sz w:val="21"/>
          <w:szCs w:val="21"/>
          <w:spacing w:val="-11"/>
        </w:rPr>
        <w:t>虽然平台经济为传统经济注入了巨大的活力，但是平台经济可能</w:t>
      </w:r>
      <w:r>
        <w:rPr>
          <w:rFonts w:ascii="SimSun" w:hAnsi="SimSun" w:eastAsia="SimSun" w:cs="SimSun"/>
          <w:sz w:val="21"/>
          <w:szCs w:val="21"/>
          <w:spacing w:val="7"/>
        </w:rPr>
        <w:t xml:space="preserve"> </w:t>
      </w:r>
      <w:r>
        <w:rPr>
          <w:rFonts w:ascii="SimSun" w:hAnsi="SimSun" w:eastAsia="SimSun" w:cs="SimSun"/>
          <w:sz w:val="21"/>
          <w:szCs w:val="21"/>
          <w:spacing w:val="-12"/>
        </w:rPr>
        <w:t>对我国的收入分配以及社会公平产生负面影响。</w:t>
      </w:r>
    </w:p>
    <w:p>
      <w:pPr>
        <w:ind w:firstLine="410"/>
        <w:spacing w:before="108" w:line="303" w:lineRule="auto"/>
        <w:rPr>
          <w:rFonts w:ascii="SimSun" w:hAnsi="SimSun" w:eastAsia="SimSun" w:cs="SimSun"/>
          <w:sz w:val="21"/>
          <w:szCs w:val="21"/>
        </w:rPr>
      </w:pPr>
      <w:r>
        <w:rPr>
          <w:rFonts w:ascii="SimSun" w:hAnsi="SimSun" w:eastAsia="SimSun" w:cs="SimSun"/>
          <w:sz w:val="21"/>
          <w:szCs w:val="21"/>
          <w:spacing w:val="-8"/>
        </w:rPr>
        <w:t>首先，平台企业可能利用其掌握的用户个人数据进行差别</w:t>
      </w:r>
      <w:r>
        <w:rPr>
          <w:rFonts w:ascii="SimSun" w:hAnsi="SimSun" w:eastAsia="SimSun" w:cs="SimSun"/>
          <w:sz w:val="21"/>
          <w:szCs w:val="21"/>
          <w:spacing w:val="-9"/>
        </w:rPr>
        <w:t>定价，</w:t>
      </w:r>
      <w:r>
        <w:rPr>
          <w:rFonts w:ascii="SimSun" w:hAnsi="SimSun" w:eastAsia="SimSun" w:cs="SimSun"/>
          <w:sz w:val="21"/>
          <w:szCs w:val="21"/>
        </w:rPr>
        <w:t xml:space="preserve"> </w:t>
      </w:r>
      <w:r>
        <w:rPr>
          <w:rFonts w:ascii="SimSun" w:hAnsi="SimSun" w:eastAsia="SimSun" w:cs="SimSun"/>
          <w:sz w:val="21"/>
          <w:szCs w:val="21"/>
          <w:spacing w:val="-11"/>
        </w:rPr>
        <w:t>即“大数据杀熟”,通过侵占消费者剩余提高自身的利润空间。目前，</w:t>
      </w:r>
      <w:r>
        <w:rPr>
          <w:rFonts w:ascii="SimSun" w:hAnsi="SimSun" w:eastAsia="SimSun" w:cs="SimSun"/>
          <w:sz w:val="21"/>
          <w:szCs w:val="21"/>
        </w:rPr>
        <w:t xml:space="preserve"> </w:t>
      </w:r>
      <w:r>
        <w:rPr>
          <w:rFonts w:ascii="SimSun" w:hAnsi="SimSun" w:eastAsia="SimSun" w:cs="SimSun"/>
          <w:sz w:val="21"/>
          <w:szCs w:val="21"/>
          <w:spacing w:val="-11"/>
        </w:rPr>
        <w:t>平台企业可以掌握用户大量的个人信息数据，包括浏览记录、搜</w:t>
      </w:r>
      <w:r>
        <w:rPr>
          <w:rFonts w:ascii="SimSun" w:hAnsi="SimSun" w:eastAsia="SimSun" w:cs="SimSun"/>
          <w:sz w:val="21"/>
          <w:szCs w:val="21"/>
          <w:spacing w:val="-12"/>
        </w:rPr>
        <w:t>索记</w:t>
      </w:r>
      <w:r>
        <w:rPr>
          <w:rFonts w:ascii="SimSun" w:hAnsi="SimSun" w:eastAsia="SimSun" w:cs="SimSun"/>
          <w:sz w:val="21"/>
          <w:szCs w:val="21"/>
        </w:rPr>
        <w:t xml:space="preserve">  </w:t>
      </w:r>
      <w:r>
        <w:rPr>
          <w:rFonts w:ascii="SimSun" w:hAnsi="SimSun" w:eastAsia="SimSun" w:cs="SimSun"/>
          <w:sz w:val="21"/>
          <w:szCs w:val="21"/>
          <w:spacing w:val="-11"/>
        </w:rPr>
        <w:t>录、购买记录、支付方式和收货记录等，甚至在购物车中尚未完成支</w:t>
      </w:r>
      <w:r>
        <w:rPr>
          <w:rFonts w:ascii="SimSun" w:hAnsi="SimSun" w:eastAsia="SimSun" w:cs="SimSun"/>
          <w:sz w:val="21"/>
          <w:szCs w:val="21"/>
        </w:rPr>
        <w:t xml:space="preserve">  </w:t>
      </w:r>
      <w:r>
        <w:rPr>
          <w:rFonts w:ascii="SimSun" w:hAnsi="SimSun" w:eastAsia="SimSun" w:cs="SimSun"/>
          <w:sz w:val="21"/>
          <w:szCs w:val="21"/>
          <w:spacing w:val="-11"/>
        </w:rPr>
        <w:t>付的商品信息，都能够被平台企业识别、获取。通过这些数据，平台</w:t>
      </w:r>
      <w:r>
        <w:rPr>
          <w:rFonts w:ascii="SimSun" w:hAnsi="SimSun" w:eastAsia="SimSun" w:cs="SimSun"/>
          <w:sz w:val="21"/>
          <w:szCs w:val="21"/>
          <w:spacing w:val="10"/>
        </w:rPr>
        <w:t xml:space="preserve"> </w:t>
      </w:r>
      <w:r>
        <w:rPr>
          <w:rFonts w:ascii="SimSun" w:hAnsi="SimSun" w:eastAsia="SimSun" w:cs="SimSun"/>
          <w:sz w:val="21"/>
          <w:szCs w:val="21"/>
          <w:spacing w:val="-11"/>
        </w:rPr>
        <w:t>企业可以相当准确地识别出用户的偏好信息，这虽然可以赋能</w:t>
      </w:r>
      <w:r>
        <w:rPr>
          <w:rFonts w:ascii="SimSun" w:hAnsi="SimSun" w:eastAsia="SimSun" w:cs="SimSun"/>
          <w:sz w:val="21"/>
          <w:szCs w:val="21"/>
          <w:spacing w:val="-12"/>
        </w:rPr>
        <w:t>平台企</w:t>
      </w:r>
      <w:r>
        <w:rPr>
          <w:rFonts w:ascii="SimSun" w:hAnsi="SimSun" w:eastAsia="SimSun" w:cs="SimSun"/>
          <w:sz w:val="21"/>
          <w:szCs w:val="21"/>
        </w:rPr>
        <w:t xml:space="preserve">  </w:t>
      </w:r>
      <w:r>
        <w:rPr>
          <w:rFonts w:ascii="SimSun" w:hAnsi="SimSun" w:eastAsia="SimSun" w:cs="SimSun"/>
          <w:sz w:val="21"/>
          <w:szCs w:val="21"/>
          <w:spacing w:val="-11"/>
        </w:rPr>
        <w:t>业为用户推送匹配度更高的商品与服务，但同时也更加强化了平台企</w:t>
      </w:r>
    </w:p>
    <w:p>
      <w:pPr>
        <w:pStyle w:val="BodyText"/>
        <w:spacing w:line="294" w:lineRule="auto"/>
        <w:rPr/>
      </w:pPr>
      <w:r/>
    </w:p>
    <w:p>
      <w:pPr>
        <w:pStyle w:val="BodyText"/>
        <w:spacing w:line="294" w:lineRule="auto"/>
        <w:rPr/>
      </w:pPr>
      <w:r/>
    </w:p>
    <w:p>
      <w:pPr>
        <w:spacing w:before="50" w:line="21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S.K.Kamepalli,R.Rajan,L.Zingales,“Kill        Zone”,Becker        Frie</w:t>
      </w:r>
      <w:r>
        <w:rPr>
          <w:rFonts w:ascii="Times New Roman" w:hAnsi="Times New Roman" w:eastAsia="Times New Roman" w:cs="Times New Roman"/>
          <w:sz w:val="15"/>
          <w:szCs w:val="15"/>
          <w:spacing w:val="-1"/>
        </w:rPr>
        <w:t>dman        Institute         for</w:t>
      </w:r>
    </w:p>
    <w:p>
      <w:pPr>
        <w:ind w:left="310"/>
        <w:spacing w:before="10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Economics</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at</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University</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of</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Chicago</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Working</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Paper</w:t>
      </w:r>
      <w:r>
        <w:rPr>
          <w:rFonts w:ascii="Times New Roman" w:hAnsi="Times New Roman" w:eastAsia="Times New Roman" w:cs="Times New Roman"/>
          <w:sz w:val="15"/>
          <w:szCs w:val="15"/>
          <w:spacing w:val="1"/>
        </w:rPr>
        <w:t>,2021.</w:t>
      </w:r>
    </w:p>
    <w:p>
      <w:pPr>
        <w:spacing w:line="192" w:lineRule="auto"/>
        <w:sectPr>
          <w:headerReference w:type="default" r:id="rId346"/>
          <w:pgSz w:w="7330" w:h="12480"/>
          <w:pgMar w:top="819" w:right="855" w:bottom="400" w:left="409" w:header="662" w:footer="0" w:gutter="0"/>
        </w:sectPr>
        <w:rPr>
          <w:rFonts w:ascii="Times New Roman" w:hAnsi="Times New Roman" w:eastAsia="Times New Roman" w:cs="Times New Roman"/>
          <w:sz w:val="15"/>
          <w:szCs w:val="15"/>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306" w:lineRule="auto"/>
        <w:jc w:val="both"/>
        <w:rPr>
          <w:rFonts w:ascii="SimSun" w:hAnsi="SimSun" w:eastAsia="SimSun" w:cs="SimSun"/>
          <w:sz w:val="21"/>
          <w:szCs w:val="21"/>
        </w:rPr>
      </w:pPr>
      <w:r>
        <w:rPr>
          <w:rFonts w:ascii="SimSun" w:hAnsi="SimSun" w:eastAsia="SimSun" w:cs="SimSun"/>
          <w:sz w:val="21"/>
          <w:szCs w:val="21"/>
          <w:spacing w:val="-10"/>
        </w:rPr>
        <w:t>业作为“信息垄断者”的地位。平台可以基于用</w:t>
      </w:r>
      <w:r>
        <w:rPr>
          <w:rFonts w:ascii="SimSun" w:hAnsi="SimSun" w:eastAsia="SimSun" w:cs="SimSun"/>
          <w:sz w:val="21"/>
          <w:szCs w:val="21"/>
          <w:spacing w:val="-11"/>
        </w:rPr>
        <w:t>户的消费历史、消费</w:t>
      </w:r>
      <w:r>
        <w:rPr>
          <w:rFonts w:ascii="SimSun" w:hAnsi="SimSun" w:eastAsia="SimSun" w:cs="SimSun"/>
          <w:sz w:val="21"/>
          <w:szCs w:val="21"/>
        </w:rPr>
        <w:t xml:space="preserve">  </w:t>
      </w:r>
      <w:r>
        <w:rPr>
          <w:rFonts w:ascii="SimSun" w:hAnsi="SimSun" w:eastAsia="SimSun" w:cs="SimSun"/>
          <w:sz w:val="21"/>
          <w:szCs w:val="21"/>
          <w:spacing w:val="-10"/>
        </w:rPr>
        <w:t>频率、消费位置、消费水平等信息推断其具体的消费能力，</w:t>
      </w:r>
      <w:r>
        <w:rPr>
          <w:rFonts w:ascii="SimSun" w:hAnsi="SimSun" w:eastAsia="SimSun" w:cs="SimSun"/>
          <w:sz w:val="21"/>
          <w:szCs w:val="21"/>
          <w:spacing w:val="-11"/>
        </w:rPr>
        <w:t>针对不同</w:t>
      </w:r>
      <w:r>
        <w:rPr>
          <w:rFonts w:ascii="SimSun" w:hAnsi="SimSun" w:eastAsia="SimSun" w:cs="SimSun"/>
          <w:sz w:val="21"/>
          <w:szCs w:val="21"/>
        </w:rPr>
        <w:t xml:space="preserve">  </w:t>
      </w:r>
      <w:r>
        <w:rPr>
          <w:rFonts w:ascii="SimSun" w:hAnsi="SimSun" w:eastAsia="SimSun" w:cs="SimSun"/>
          <w:sz w:val="21"/>
          <w:szCs w:val="21"/>
          <w:spacing w:val="-10"/>
        </w:rPr>
        <w:t>的用户制定独特价格，导致用户福利水平下</w:t>
      </w:r>
      <w:r>
        <w:rPr>
          <w:rFonts w:ascii="SimSun" w:hAnsi="SimSun" w:eastAsia="SimSun" w:cs="SimSun"/>
          <w:sz w:val="21"/>
          <w:szCs w:val="21"/>
          <w:spacing w:val="-11"/>
        </w:rPr>
        <w:t>降。经济学原理通常认为</w:t>
      </w:r>
      <w:r>
        <w:rPr>
          <w:rFonts w:ascii="SimSun" w:hAnsi="SimSun" w:eastAsia="SimSun" w:cs="SimSun"/>
          <w:sz w:val="21"/>
          <w:szCs w:val="21"/>
        </w:rPr>
        <w:t xml:space="preserve">  </w:t>
      </w:r>
      <w:r>
        <w:rPr>
          <w:rFonts w:ascii="SimSun" w:hAnsi="SimSun" w:eastAsia="SimSun" w:cs="SimSun"/>
          <w:sz w:val="21"/>
          <w:szCs w:val="21"/>
          <w:spacing w:val="-11"/>
        </w:rPr>
        <w:t>一级价格歧视虽然有损于消费者福利，但可以通过提高总体的交易量</w:t>
      </w:r>
      <w:r>
        <w:rPr>
          <w:rFonts w:ascii="SimSun" w:hAnsi="SimSun" w:eastAsia="SimSun" w:cs="SimSun"/>
          <w:sz w:val="21"/>
          <w:szCs w:val="21"/>
          <w:spacing w:val="8"/>
        </w:rPr>
        <w:t xml:space="preserve">  </w:t>
      </w:r>
      <w:r>
        <w:rPr>
          <w:rFonts w:ascii="SimSun" w:hAnsi="SimSun" w:eastAsia="SimSun" w:cs="SimSun"/>
          <w:sz w:val="21"/>
          <w:szCs w:val="21"/>
          <w:spacing w:val="-11"/>
        </w:rPr>
        <w:t>提升整体社会福利水平。然而，在现实经济中，消费者和平台企业之</w:t>
      </w:r>
      <w:r>
        <w:rPr>
          <w:rFonts w:ascii="SimSun" w:hAnsi="SimSun" w:eastAsia="SimSun" w:cs="SimSun"/>
          <w:sz w:val="21"/>
          <w:szCs w:val="21"/>
          <w:spacing w:val="8"/>
        </w:rPr>
        <w:t xml:space="preserve">  </w:t>
      </w:r>
      <w:r>
        <w:rPr>
          <w:rFonts w:ascii="SimSun" w:hAnsi="SimSun" w:eastAsia="SimSun" w:cs="SimSun"/>
          <w:sz w:val="21"/>
          <w:szCs w:val="21"/>
          <w:spacing w:val="-11"/>
        </w:rPr>
        <w:t>间的交易是动态的、多次的，而非静态的单次交易，而且影响消费者</w:t>
      </w:r>
      <w:r>
        <w:rPr>
          <w:rFonts w:ascii="SimSun" w:hAnsi="SimSun" w:eastAsia="SimSun" w:cs="SimSun"/>
          <w:sz w:val="21"/>
          <w:szCs w:val="21"/>
          <w:spacing w:val="9"/>
        </w:rPr>
        <w:t xml:space="preserve">  </w:t>
      </w:r>
      <w:r>
        <w:rPr>
          <w:rFonts w:ascii="SimSun" w:hAnsi="SimSun" w:eastAsia="SimSun" w:cs="SimSun"/>
          <w:sz w:val="21"/>
          <w:szCs w:val="21"/>
          <w:spacing w:val="-7"/>
        </w:rPr>
        <w:t>购买行为的除了经济利益这个理性因素，还有对“公</w:t>
      </w:r>
      <w:r>
        <w:rPr>
          <w:rFonts w:ascii="SimSun" w:hAnsi="SimSun" w:eastAsia="SimSun" w:cs="SimSun"/>
          <w:sz w:val="21"/>
          <w:szCs w:val="21"/>
          <w:spacing w:val="-8"/>
        </w:rPr>
        <w:t>平性”的考量，</w:t>
      </w:r>
      <w:r>
        <w:rPr>
          <w:rFonts w:ascii="SimSun" w:hAnsi="SimSun" w:eastAsia="SimSun" w:cs="SimSun"/>
          <w:sz w:val="21"/>
          <w:szCs w:val="21"/>
        </w:rPr>
        <w:t xml:space="preserve"> </w:t>
      </w:r>
      <w:r>
        <w:rPr>
          <w:rFonts w:ascii="SimSun" w:hAnsi="SimSun" w:eastAsia="SimSun" w:cs="SimSun"/>
          <w:sz w:val="21"/>
          <w:szCs w:val="21"/>
          <w:spacing w:val="-11"/>
        </w:rPr>
        <w:t>不公平的交易本身可能给消费者带来伤害，并且可能导致市场交易量</w:t>
      </w:r>
      <w:r>
        <w:rPr>
          <w:rFonts w:ascii="SimSun" w:hAnsi="SimSun" w:eastAsia="SimSun" w:cs="SimSun"/>
          <w:sz w:val="21"/>
          <w:szCs w:val="21"/>
          <w:spacing w:val="8"/>
        </w:rPr>
        <w:t xml:space="preserve">  </w:t>
      </w:r>
      <w:r>
        <w:rPr>
          <w:rFonts w:ascii="SimSun" w:hAnsi="SimSun" w:eastAsia="SimSun" w:cs="SimSun"/>
          <w:sz w:val="21"/>
          <w:szCs w:val="21"/>
          <w:spacing w:val="-11"/>
        </w:rPr>
        <w:t>的下降。</w:t>
      </w:r>
    </w:p>
    <w:p>
      <w:pPr>
        <w:ind w:firstLine="419"/>
        <w:spacing w:before="129" w:line="310" w:lineRule="auto"/>
        <w:jc w:val="both"/>
        <w:rPr>
          <w:rFonts w:ascii="SimSun" w:hAnsi="SimSun" w:eastAsia="SimSun" w:cs="SimSun"/>
          <w:sz w:val="21"/>
          <w:szCs w:val="21"/>
        </w:rPr>
      </w:pPr>
      <w:r>
        <w:rPr>
          <w:rFonts w:ascii="SimSun" w:hAnsi="SimSun" w:eastAsia="SimSun" w:cs="SimSun"/>
          <w:sz w:val="21"/>
          <w:szCs w:val="21"/>
          <w:spacing w:val="-11"/>
        </w:rPr>
        <w:t>其次，在算法层面，平台企业广泛将算法应用于平台市场的运营 </w:t>
      </w:r>
      <w:r>
        <w:rPr>
          <w:rFonts w:ascii="SimSun" w:hAnsi="SimSun" w:eastAsia="SimSun" w:cs="SimSun"/>
          <w:sz w:val="21"/>
          <w:szCs w:val="21"/>
          <w:spacing w:val="-10"/>
        </w:rPr>
        <w:t>中，通过不断积累的海量数据提升算法的精度</w:t>
      </w:r>
      <w:r>
        <w:rPr>
          <w:rFonts w:ascii="SimSun" w:hAnsi="SimSun" w:eastAsia="SimSun" w:cs="SimSun"/>
          <w:sz w:val="21"/>
          <w:szCs w:val="21"/>
          <w:spacing w:val="-11"/>
        </w:rPr>
        <w:t>，平台企业可以实现管</w:t>
      </w:r>
      <w:r>
        <w:rPr>
          <w:rFonts w:ascii="SimSun" w:hAnsi="SimSun" w:eastAsia="SimSun" w:cs="SimSun"/>
          <w:sz w:val="21"/>
          <w:szCs w:val="21"/>
        </w:rPr>
        <w:t xml:space="preserve">  </w:t>
      </w:r>
      <w:r>
        <w:rPr>
          <w:rFonts w:ascii="SimSun" w:hAnsi="SimSun" w:eastAsia="SimSun" w:cs="SimSun"/>
          <w:sz w:val="21"/>
          <w:szCs w:val="21"/>
          <w:spacing w:val="-8"/>
        </w:rPr>
        <w:t>理效率与用户体验的持续改进，并在同其他企业的竞争中获得优势。</w:t>
      </w:r>
      <w:r>
        <w:rPr>
          <w:rFonts w:ascii="SimSun" w:hAnsi="SimSun" w:eastAsia="SimSun" w:cs="SimSun"/>
          <w:sz w:val="21"/>
          <w:szCs w:val="21"/>
          <w:spacing w:val="3"/>
        </w:rPr>
        <w:t xml:space="preserve"> </w:t>
      </w:r>
      <w:r>
        <w:rPr>
          <w:rFonts w:ascii="SimSun" w:hAnsi="SimSun" w:eastAsia="SimSun" w:cs="SimSun"/>
          <w:sz w:val="21"/>
          <w:szCs w:val="21"/>
          <w:spacing w:val="-10"/>
        </w:rPr>
        <w:t>但是，算法也可能被平台企业用来谋求提升自身利润，而损害了平台</w:t>
      </w:r>
      <w:r>
        <w:rPr>
          <w:rFonts w:ascii="SimSun" w:hAnsi="SimSun" w:eastAsia="SimSun" w:cs="SimSun"/>
          <w:sz w:val="21"/>
          <w:szCs w:val="21"/>
        </w:rPr>
        <w:t xml:space="preserve"> </w:t>
      </w:r>
      <w:r>
        <w:rPr>
          <w:rFonts w:ascii="SimSun" w:hAnsi="SimSun" w:eastAsia="SimSun" w:cs="SimSun"/>
          <w:sz w:val="21"/>
          <w:szCs w:val="21"/>
          <w:spacing w:val="-11"/>
        </w:rPr>
        <w:t>经济中其他参与者的利益。例如，以美团为代表的外卖平台，通过算</w:t>
      </w:r>
      <w:r>
        <w:rPr>
          <w:rFonts w:ascii="SimSun" w:hAnsi="SimSun" w:eastAsia="SimSun" w:cs="SimSun"/>
          <w:sz w:val="21"/>
          <w:szCs w:val="21"/>
          <w:spacing w:val="9"/>
        </w:rPr>
        <w:t xml:space="preserve">  </w:t>
      </w:r>
      <w:r>
        <w:rPr>
          <w:rFonts w:ascii="SimSun" w:hAnsi="SimSun" w:eastAsia="SimSun" w:cs="SimSun"/>
          <w:sz w:val="21"/>
          <w:szCs w:val="21"/>
          <w:spacing w:val="-10"/>
        </w:rPr>
        <w:t>法不断缩短外卖骑手的配送时间，导致骑手的配送压力越</w:t>
      </w:r>
      <w:r>
        <w:rPr>
          <w:rFonts w:ascii="SimSun" w:hAnsi="SimSun" w:eastAsia="SimSun" w:cs="SimSun"/>
          <w:sz w:val="21"/>
          <w:szCs w:val="21"/>
          <w:spacing w:val="-11"/>
        </w:rPr>
        <w:t>来越大。相</w:t>
      </w:r>
      <w:r>
        <w:rPr>
          <w:rFonts w:ascii="SimSun" w:hAnsi="SimSun" w:eastAsia="SimSun" w:cs="SimSun"/>
          <w:sz w:val="21"/>
          <w:szCs w:val="21"/>
        </w:rPr>
        <w:t xml:space="preserve">  </w:t>
      </w:r>
      <w:r>
        <w:rPr>
          <w:rFonts w:ascii="SimSun" w:hAnsi="SimSun" w:eastAsia="SimSun" w:cs="SimSun"/>
          <w:sz w:val="21"/>
          <w:szCs w:val="21"/>
        </w:rPr>
        <w:t>关统计数据表明，在2016年，外卖配送3公里的最长</w:t>
      </w:r>
      <w:r>
        <w:rPr>
          <w:rFonts w:ascii="SimSun" w:hAnsi="SimSun" w:eastAsia="SimSun" w:cs="SimSun"/>
          <w:sz w:val="21"/>
          <w:szCs w:val="21"/>
          <w:spacing w:val="-1"/>
        </w:rPr>
        <w:t>时限是1小时，</w:t>
      </w:r>
      <w:r>
        <w:rPr>
          <w:rFonts w:ascii="SimSun" w:hAnsi="SimSun" w:eastAsia="SimSun" w:cs="SimSun"/>
          <w:sz w:val="21"/>
          <w:szCs w:val="21"/>
        </w:rPr>
        <w:t xml:space="preserve"> </w:t>
      </w:r>
      <w:r>
        <w:rPr>
          <w:rFonts w:ascii="SimSun" w:hAnsi="SimSun" w:eastAsia="SimSun" w:cs="SimSun"/>
          <w:sz w:val="21"/>
          <w:szCs w:val="21"/>
          <w:spacing w:val="3"/>
        </w:rPr>
        <w:t>到了2018年则缩减至38分钟；并且，2019年外卖配送平均时长比</w:t>
      </w:r>
      <w:r>
        <w:rPr>
          <w:rFonts w:ascii="SimSun" w:hAnsi="SimSun" w:eastAsia="SimSun" w:cs="SimSun"/>
          <w:sz w:val="21"/>
          <w:szCs w:val="21"/>
          <w:spacing w:val="6"/>
        </w:rPr>
        <w:t xml:space="preserve">  </w:t>
      </w:r>
      <w:r>
        <w:rPr>
          <w:rFonts w:ascii="SimSun" w:hAnsi="SimSun" w:eastAsia="SimSun" w:cs="SimSun"/>
          <w:sz w:val="21"/>
          <w:szCs w:val="21"/>
          <w:spacing w:val="-3"/>
        </w:rPr>
        <w:t>2016年减少了10分钟，但每单配送距离却不降反升。这里面虽然有 </w:t>
      </w:r>
      <w:r>
        <w:rPr>
          <w:rFonts w:ascii="SimSun" w:hAnsi="SimSun" w:eastAsia="SimSun" w:cs="SimSun"/>
          <w:sz w:val="21"/>
          <w:szCs w:val="21"/>
          <w:spacing w:val="-10"/>
        </w:rPr>
        <w:t>配送工具的升级以及配送路线的优化等方面的贡献，但平台企业利用</w:t>
      </w:r>
      <w:r>
        <w:rPr>
          <w:rFonts w:ascii="SimSun" w:hAnsi="SimSun" w:eastAsia="SimSun" w:cs="SimSun"/>
          <w:sz w:val="21"/>
          <w:szCs w:val="21"/>
          <w:spacing w:val="3"/>
        </w:rPr>
        <w:t xml:space="preserve"> </w:t>
      </w:r>
      <w:r>
        <w:rPr>
          <w:rFonts w:ascii="SimSun" w:hAnsi="SimSun" w:eastAsia="SimSun" w:cs="SimSun"/>
          <w:sz w:val="21"/>
          <w:szCs w:val="21"/>
          <w:spacing w:val="-11"/>
        </w:rPr>
        <w:t>算法不断压缩骑手的配送时间所产生的“荆轮效应”也非常重要，这</w:t>
      </w:r>
      <w:r>
        <w:rPr>
          <w:rFonts w:ascii="SimSun" w:hAnsi="SimSun" w:eastAsia="SimSun" w:cs="SimSun"/>
          <w:sz w:val="21"/>
          <w:szCs w:val="21"/>
          <w:spacing w:val="8"/>
        </w:rPr>
        <w:t xml:space="preserve">  </w:t>
      </w:r>
      <w:r>
        <w:rPr>
          <w:rFonts w:ascii="SimSun" w:hAnsi="SimSun" w:eastAsia="SimSun" w:cs="SimSun"/>
          <w:sz w:val="21"/>
          <w:szCs w:val="21"/>
          <w:spacing w:val="-10"/>
        </w:rPr>
        <w:t>对骑手的权益造成了侵害。此外，平台企业还可以通过分析自身积累</w:t>
      </w:r>
      <w:r>
        <w:rPr>
          <w:rFonts w:ascii="SimSun" w:hAnsi="SimSun" w:eastAsia="SimSun" w:cs="SimSun"/>
          <w:sz w:val="21"/>
          <w:szCs w:val="21"/>
          <w:spacing w:val="1"/>
        </w:rPr>
        <w:t xml:space="preserve"> </w:t>
      </w:r>
      <w:r>
        <w:rPr>
          <w:rFonts w:ascii="SimSun" w:hAnsi="SimSun" w:eastAsia="SimSun" w:cs="SimSun"/>
          <w:sz w:val="21"/>
          <w:szCs w:val="21"/>
          <w:spacing w:val="-10"/>
        </w:rPr>
        <w:t>的用户层面的搜索、浏览和购买数据，在开展业务</w:t>
      </w:r>
      <w:r>
        <w:rPr>
          <w:rFonts w:ascii="SimSun" w:hAnsi="SimSun" w:eastAsia="SimSun" w:cs="SimSun"/>
          <w:sz w:val="21"/>
          <w:szCs w:val="21"/>
          <w:spacing w:val="-11"/>
        </w:rPr>
        <w:t>时对自己提供的商</w:t>
      </w:r>
      <w:r>
        <w:rPr>
          <w:rFonts w:ascii="SimSun" w:hAnsi="SimSun" w:eastAsia="SimSun" w:cs="SimSun"/>
          <w:sz w:val="21"/>
          <w:szCs w:val="21"/>
        </w:rPr>
        <w:t xml:space="preserve">  </w:t>
      </w:r>
      <w:r>
        <w:rPr>
          <w:rFonts w:ascii="SimSun" w:hAnsi="SimSun" w:eastAsia="SimSun" w:cs="SimSun"/>
          <w:sz w:val="21"/>
          <w:szCs w:val="21"/>
          <w:spacing w:val="-10"/>
        </w:rPr>
        <w:t>品和服务进行“自我优待”。例如，在2017年，谷歌因为在比价搜索</w:t>
      </w:r>
      <w:r>
        <w:rPr>
          <w:rFonts w:ascii="SimSun" w:hAnsi="SimSun" w:eastAsia="SimSun" w:cs="SimSun"/>
          <w:sz w:val="21"/>
          <w:szCs w:val="21"/>
          <w:spacing w:val="6"/>
        </w:rPr>
        <w:t xml:space="preserve">  </w:t>
      </w:r>
      <w:r>
        <w:rPr>
          <w:rFonts w:ascii="SimSun" w:hAnsi="SimSun" w:eastAsia="SimSun" w:cs="SimSun"/>
          <w:sz w:val="21"/>
          <w:szCs w:val="21"/>
          <w:spacing w:val="-3"/>
        </w:rPr>
        <w:t>中优先展示自己的商品而遭到欧盟24.2亿欧元的罚款；2018年</w:t>
      </w:r>
      <w:r>
        <w:rPr>
          <w:rFonts w:ascii="SimSun" w:hAnsi="SimSun" w:eastAsia="SimSun" w:cs="SimSun"/>
          <w:sz w:val="21"/>
          <w:szCs w:val="21"/>
          <w:spacing w:val="-4"/>
        </w:rPr>
        <w:t>，谷</w:t>
      </w:r>
      <w:r>
        <w:rPr>
          <w:rFonts w:ascii="SimSun" w:hAnsi="SimSun" w:eastAsia="SimSun" w:cs="SimSun"/>
          <w:sz w:val="21"/>
          <w:szCs w:val="21"/>
        </w:rPr>
        <w:t xml:space="preserve">  </w:t>
      </w:r>
      <w:r>
        <w:rPr>
          <w:rFonts w:ascii="SimSun" w:hAnsi="SimSun" w:eastAsia="SimSun" w:cs="SimSun"/>
          <w:sz w:val="21"/>
          <w:szCs w:val="21"/>
          <w:spacing w:val="-4"/>
        </w:rPr>
        <w:t>歌再度因要求安卓设备厂商预装自己的搜索软件而将竞争对手排除</w:t>
      </w:r>
      <w:r>
        <w:rPr>
          <w:rFonts w:ascii="SimSun" w:hAnsi="SimSun" w:eastAsia="SimSun" w:cs="SimSun"/>
          <w:sz w:val="21"/>
          <w:szCs w:val="21"/>
          <w:spacing w:val="7"/>
        </w:rPr>
        <w:t xml:space="preserve">  </w:t>
      </w:r>
      <w:r>
        <w:rPr>
          <w:rFonts w:ascii="SimSun" w:hAnsi="SimSun" w:eastAsia="SimSun" w:cs="SimSun"/>
          <w:sz w:val="21"/>
          <w:szCs w:val="21"/>
          <w:spacing w:val="-4"/>
        </w:rPr>
        <w:t>在外的“捆绑销售”和“排他性合同”,被判处</w:t>
      </w:r>
      <w:r>
        <w:rPr>
          <w:rFonts w:ascii="Times New Roman" w:hAnsi="Times New Roman" w:eastAsia="Times New Roman" w:cs="Times New Roman"/>
          <w:sz w:val="21"/>
          <w:szCs w:val="21"/>
          <w:spacing w:val="-4"/>
        </w:rPr>
        <w:t>43.3</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亿欧元的罚款；</w:t>
      </w:r>
      <w:r>
        <w:rPr>
          <w:rFonts w:ascii="SimSun" w:hAnsi="SimSun" w:eastAsia="SimSun" w:cs="SimSun"/>
          <w:sz w:val="21"/>
          <w:szCs w:val="21"/>
        </w:rPr>
        <w:t xml:space="preserve"> </w:t>
      </w:r>
      <w:r>
        <w:rPr>
          <w:rFonts w:ascii="SimSun" w:hAnsi="SimSun" w:eastAsia="SimSun" w:cs="SimSun"/>
          <w:sz w:val="21"/>
          <w:szCs w:val="21"/>
        </w:rPr>
        <w:t>2020年4月，相关媒体爆出亚马逊从独立第三方商家获得相关产品</w:t>
      </w:r>
    </w:p>
    <w:p>
      <w:pPr>
        <w:spacing w:line="310" w:lineRule="auto"/>
        <w:sectPr>
          <w:headerReference w:type="default" r:id="rId348"/>
          <w:pgSz w:w="7330" w:h="12480"/>
          <w:pgMar w:top="545" w:right="315" w:bottom="400" w:left="930" w:header="383" w:footer="0" w:gutter="0"/>
        </w:sectPr>
        <w:rPr>
          <w:rFonts w:ascii="SimSun" w:hAnsi="SimSun" w:eastAsia="SimSun" w:cs="SimSun"/>
          <w:sz w:val="21"/>
          <w:szCs w:val="21"/>
        </w:rPr>
      </w:pPr>
    </w:p>
    <w:p>
      <w:pPr>
        <w:pStyle w:val="BodyText"/>
        <w:spacing w:line="252" w:lineRule="auto"/>
        <w:rPr/>
      </w:pPr>
      <w:r>
        <w:drawing>
          <wp:anchor distT="0" distB="0" distL="0" distR="0" simplePos="0" relativeHeight="254642176" behindDoc="0" locked="0" layoutInCell="0" allowOverlap="1">
            <wp:simplePos x="0" y="0"/>
            <wp:positionH relativeFrom="page">
              <wp:posOffset>196841</wp:posOffset>
            </wp:positionH>
            <wp:positionV relativeFrom="page">
              <wp:posOffset>6883397</wp:posOffset>
            </wp:positionV>
            <wp:extent cx="1174761" cy="6350"/>
            <wp:effectExtent l="0" t="0" r="0" b="0"/>
            <wp:wrapNone/>
            <wp:docPr id="248" name="IM 248"/>
            <wp:cNvGraphicFramePr/>
            <a:graphic>
              <a:graphicData uri="http://schemas.openxmlformats.org/drawingml/2006/picture">
                <pic:pic>
                  <pic:nvPicPr>
                    <pic:cNvPr id="248" name="IM 248"/>
                    <pic:cNvPicPr/>
                  </pic:nvPicPr>
                  <pic:blipFill>
                    <a:blip r:embed="rId350"/>
                    <a:stretch>
                      <a:fillRect/>
                    </a:stretch>
                  </pic:blipFill>
                  <pic:spPr>
                    <a:xfrm rot="0">
                      <a:off x="0" y="0"/>
                      <a:ext cx="1174761" cy="6350"/>
                    </a:xfrm>
                    <a:prstGeom prst="rect">
                      <a:avLst/>
                    </a:prstGeom>
                  </pic:spPr>
                </pic:pic>
              </a:graphicData>
            </a:graphic>
          </wp:anchor>
        </w:drawing>
      </w:r>
      <w:r/>
    </w:p>
    <w:p>
      <w:pPr>
        <w:pStyle w:val="BodyText"/>
        <w:spacing w:line="252" w:lineRule="auto"/>
        <w:rPr/>
      </w:pPr>
      <w:r/>
    </w:p>
    <w:p>
      <w:pPr>
        <w:pStyle w:val="BodyText"/>
        <w:spacing w:line="252" w:lineRule="auto"/>
        <w:rPr/>
      </w:pPr>
      <w:r/>
    </w:p>
    <w:p>
      <w:pPr>
        <w:pStyle w:val="BodyText"/>
        <w:spacing w:line="252" w:lineRule="auto"/>
        <w:rPr/>
      </w:pPr>
      <w:r/>
    </w:p>
    <w:p>
      <w:pPr>
        <w:ind w:left="10" w:right="73"/>
        <w:spacing w:before="68" w:line="268" w:lineRule="auto"/>
        <w:rPr>
          <w:rFonts w:ascii="SimSun" w:hAnsi="SimSun" w:eastAsia="SimSun" w:cs="SimSun"/>
          <w:sz w:val="21"/>
          <w:szCs w:val="21"/>
        </w:rPr>
      </w:pPr>
      <w:r>
        <w:rPr>
          <w:rFonts w:ascii="SimSun" w:hAnsi="SimSun" w:eastAsia="SimSun" w:cs="SimSun"/>
          <w:sz w:val="21"/>
          <w:szCs w:val="21"/>
          <w:spacing w:val="-10"/>
        </w:rPr>
        <w:t>的销售数据，并将这些数据用来开发自家的</w:t>
      </w:r>
      <w:r>
        <w:rPr>
          <w:rFonts w:ascii="SimSun" w:hAnsi="SimSun" w:eastAsia="SimSun" w:cs="SimSun"/>
          <w:sz w:val="21"/>
          <w:szCs w:val="21"/>
          <w:spacing w:val="-11"/>
        </w:rPr>
        <w:t>产品，因而遭到欧盟监管</w:t>
      </w:r>
      <w:r>
        <w:rPr>
          <w:rFonts w:ascii="SimSun" w:hAnsi="SimSun" w:eastAsia="SimSun" w:cs="SimSun"/>
          <w:sz w:val="21"/>
          <w:szCs w:val="21"/>
        </w:rPr>
        <w:t xml:space="preserve"> </w:t>
      </w:r>
      <w:r>
        <w:rPr>
          <w:rFonts w:ascii="SimSun" w:hAnsi="SimSun" w:eastAsia="SimSun" w:cs="SimSun"/>
          <w:sz w:val="21"/>
          <w:szCs w:val="21"/>
          <w:spacing w:val="-12"/>
        </w:rPr>
        <w:t>部门的指控。</w:t>
      </w:r>
    </w:p>
    <w:p>
      <w:pPr>
        <w:ind w:left="10" w:firstLine="409"/>
        <w:spacing w:before="108" w:line="304" w:lineRule="auto"/>
        <w:jc w:val="both"/>
        <w:rPr>
          <w:rFonts w:ascii="SimSun" w:hAnsi="SimSun" w:eastAsia="SimSun" w:cs="SimSun"/>
          <w:sz w:val="21"/>
          <w:szCs w:val="21"/>
        </w:rPr>
      </w:pPr>
      <w:r>
        <w:rPr>
          <w:rFonts w:ascii="SimSun" w:hAnsi="SimSun" w:eastAsia="SimSun" w:cs="SimSun"/>
          <w:sz w:val="21"/>
          <w:szCs w:val="21"/>
          <w:spacing w:val="-11"/>
        </w:rPr>
        <w:t>再次，数字技术的不断进步推动平台经济的持续发展，可能造成 </w:t>
      </w:r>
      <w:r>
        <w:rPr>
          <w:rFonts w:ascii="SimSun" w:hAnsi="SimSun" w:eastAsia="SimSun" w:cs="SimSun"/>
          <w:sz w:val="21"/>
          <w:szCs w:val="21"/>
          <w:spacing w:val="-10"/>
        </w:rPr>
        <w:t>社会财富的过度集中。技术进步通常具有明</w:t>
      </w:r>
      <w:r>
        <w:rPr>
          <w:rFonts w:ascii="SimSun" w:hAnsi="SimSun" w:eastAsia="SimSun" w:cs="SimSun"/>
          <w:sz w:val="21"/>
          <w:szCs w:val="21"/>
          <w:spacing w:val="-11"/>
        </w:rPr>
        <w:t>显的偏向性：即能够较快 </w:t>
      </w:r>
      <w:r>
        <w:rPr>
          <w:rFonts w:ascii="SimSun" w:hAnsi="SimSun" w:eastAsia="SimSun" w:cs="SimSun"/>
          <w:sz w:val="21"/>
          <w:szCs w:val="21"/>
          <w:spacing w:val="-10"/>
        </w:rPr>
        <w:t>较好掌握新技术的高技能群体可以从中获益</w:t>
      </w:r>
      <w:r>
        <w:rPr>
          <w:rFonts w:ascii="SimSun" w:hAnsi="SimSun" w:eastAsia="SimSun" w:cs="SimSun"/>
          <w:sz w:val="21"/>
          <w:szCs w:val="21"/>
          <w:spacing w:val="-11"/>
        </w:rPr>
        <w:t>，而那些难以掌握新技术 </w:t>
      </w:r>
      <w:r>
        <w:rPr>
          <w:rFonts w:ascii="SimSun" w:hAnsi="SimSun" w:eastAsia="SimSun" w:cs="SimSun"/>
          <w:sz w:val="21"/>
          <w:szCs w:val="21"/>
          <w:spacing w:val="-8"/>
        </w:rPr>
        <w:t>的低技能群体则会受损。社会中的高技能群体的比例往往相对较小，</w:t>
      </w:r>
      <w:r>
        <w:rPr>
          <w:rFonts w:ascii="SimSun" w:hAnsi="SimSun" w:eastAsia="SimSun" w:cs="SimSun"/>
          <w:sz w:val="21"/>
          <w:szCs w:val="21"/>
          <w:spacing w:val="3"/>
        </w:rPr>
        <w:t xml:space="preserve"> </w:t>
      </w:r>
      <w:r>
        <w:rPr>
          <w:rFonts w:ascii="SimSun" w:hAnsi="SimSun" w:eastAsia="SimSun" w:cs="SimSun"/>
          <w:sz w:val="21"/>
          <w:szCs w:val="21"/>
          <w:spacing w:val="-4"/>
        </w:rPr>
        <w:t>因此，技术进步虽然有利于经济增长，但经常会造成收入分配的恶 </w:t>
      </w:r>
      <w:r>
        <w:rPr>
          <w:rFonts w:ascii="SimSun" w:hAnsi="SimSun" w:eastAsia="SimSun" w:cs="SimSun"/>
          <w:sz w:val="21"/>
          <w:szCs w:val="21"/>
          <w:spacing w:val="-10"/>
        </w:rPr>
        <w:t>化。研究表明，数字技术层面的创新所产生</w:t>
      </w:r>
      <w:r>
        <w:rPr>
          <w:rFonts w:ascii="SimSun" w:hAnsi="SimSun" w:eastAsia="SimSun" w:cs="SimSun"/>
          <w:sz w:val="21"/>
          <w:szCs w:val="21"/>
          <w:spacing w:val="-11"/>
        </w:rPr>
        <w:t>的市场势力与市场租金都 </w:t>
      </w:r>
      <w:r>
        <w:rPr>
          <w:rFonts w:ascii="SimSun" w:hAnsi="SimSun" w:eastAsia="SimSun" w:cs="SimSun"/>
          <w:sz w:val="21"/>
          <w:szCs w:val="21"/>
          <w:spacing w:val="-10"/>
        </w:rPr>
        <w:t>高于传统经济，并且高收入人群从中获利更</w:t>
      </w:r>
      <w:r>
        <w:rPr>
          <w:rFonts w:ascii="SimSun" w:hAnsi="SimSun" w:eastAsia="SimSun" w:cs="SimSun"/>
          <w:sz w:val="21"/>
          <w:szCs w:val="21"/>
          <w:spacing w:val="-11"/>
        </w:rPr>
        <w:t>多，从而导致更为严重的 </w:t>
      </w:r>
      <w:r>
        <w:rPr>
          <w:rFonts w:ascii="SimSun" w:hAnsi="SimSun" w:eastAsia="SimSun" w:cs="SimSun"/>
          <w:sz w:val="21"/>
          <w:szCs w:val="21"/>
          <w:spacing w:val="-8"/>
        </w:rPr>
        <w:t>收入不平等，该项研究利用</w:t>
      </w:r>
      <w:r>
        <w:rPr>
          <w:rFonts w:ascii="Times New Roman" w:hAnsi="Times New Roman" w:eastAsia="Times New Roman" w:cs="Times New Roman"/>
          <w:sz w:val="21"/>
          <w:szCs w:val="21"/>
          <w:spacing w:val="-8"/>
        </w:rPr>
        <w:t>OECD</w:t>
      </w:r>
      <w:r>
        <w:rPr>
          <w:rFonts w:ascii="SimSun" w:hAnsi="SimSun" w:eastAsia="SimSun" w:cs="SimSun"/>
          <w:sz w:val="21"/>
          <w:szCs w:val="21"/>
          <w:spacing w:val="-8"/>
        </w:rPr>
        <w:t>数据对这一结果进行</w:t>
      </w:r>
      <w:r>
        <w:rPr>
          <w:rFonts w:ascii="SimSun" w:hAnsi="SimSun" w:eastAsia="SimSun" w:cs="SimSun"/>
          <w:sz w:val="21"/>
          <w:szCs w:val="21"/>
          <w:spacing w:val="-9"/>
        </w:rPr>
        <w:t>了检验。①</w:t>
      </w:r>
    </w:p>
    <w:p>
      <w:pPr>
        <w:ind w:left="10" w:right="56" w:firstLine="409"/>
        <w:spacing w:before="116" w:line="304" w:lineRule="auto"/>
        <w:jc w:val="both"/>
        <w:rPr>
          <w:rFonts w:ascii="SimSun" w:hAnsi="SimSun" w:eastAsia="SimSun" w:cs="SimSun"/>
          <w:sz w:val="21"/>
          <w:szCs w:val="21"/>
        </w:rPr>
      </w:pPr>
      <w:r>
        <w:rPr>
          <w:rFonts w:ascii="SimSun" w:hAnsi="SimSun" w:eastAsia="SimSun" w:cs="SimSun"/>
          <w:sz w:val="21"/>
          <w:szCs w:val="21"/>
          <w:spacing w:val="-10"/>
        </w:rPr>
        <w:t>类似的问题在平台经济中表现得更为明显。这一方面缘于</w:t>
      </w:r>
      <w:r>
        <w:rPr>
          <w:rFonts w:ascii="SimSun" w:hAnsi="SimSun" w:eastAsia="SimSun" w:cs="SimSun"/>
          <w:sz w:val="21"/>
          <w:szCs w:val="21"/>
          <w:spacing w:val="-11"/>
        </w:rPr>
        <w:t>平台企</w:t>
      </w:r>
      <w:r>
        <w:rPr>
          <w:rFonts w:ascii="SimSun" w:hAnsi="SimSun" w:eastAsia="SimSun" w:cs="SimSun"/>
          <w:sz w:val="21"/>
          <w:szCs w:val="21"/>
        </w:rPr>
        <w:t xml:space="preserve"> </w:t>
      </w:r>
      <w:r>
        <w:rPr>
          <w:rFonts w:ascii="SimSun" w:hAnsi="SimSun" w:eastAsia="SimSun" w:cs="SimSun"/>
          <w:sz w:val="21"/>
          <w:szCs w:val="21"/>
          <w:spacing w:val="-11"/>
        </w:rPr>
        <w:t>业通过撮合大量的交易从中提成，聚少成多形成高额收益，并且平台</w:t>
      </w:r>
      <w:r>
        <w:rPr>
          <w:rFonts w:ascii="SimSun" w:hAnsi="SimSun" w:eastAsia="SimSun" w:cs="SimSun"/>
          <w:sz w:val="21"/>
          <w:szCs w:val="21"/>
          <w:spacing w:val="10"/>
        </w:rPr>
        <w:t xml:space="preserve"> </w:t>
      </w:r>
      <w:r>
        <w:rPr>
          <w:rFonts w:ascii="SimSun" w:hAnsi="SimSun" w:eastAsia="SimSun" w:cs="SimSun"/>
          <w:sz w:val="21"/>
          <w:szCs w:val="21"/>
          <w:spacing w:val="-11"/>
        </w:rPr>
        <w:t>企业能够利用自身拥有的市场优势地位，在同其他平台市场经营者进</w:t>
      </w:r>
      <w:r>
        <w:rPr>
          <w:rFonts w:ascii="SimSun" w:hAnsi="SimSun" w:eastAsia="SimSun" w:cs="SimSun"/>
          <w:sz w:val="21"/>
          <w:szCs w:val="21"/>
          <w:spacing w:val="16"/>
        </w:rPr>
        <w:t xml:space="preserve"> </w:t>
      </w:r>
      <w:r>
        <w:rPr>
          <w:rFonts w:ascii="SimSun" w:hAnsi="SimSun" w:eastAsia="SimSun" w:cs="SimSun"/>
          <w:sz w:val="21"/>
          <w:szCs w:val="21"/>
          <w:spacing w:val="-10"/>
        </w:rPr>
        <w:t>行利益分配时占有更高的比例。另一方面则是平台经</w:t>
      </w:r>
      <w:r>
        <w:rPr>
          <w:rFonts w:ascii="SimSun" w:hAnsi="SimSun" w:eastAsia="SimSun" w:cs="SimSun"/>
          <w:sz w:val="21"/>
          <w:szCs w:val="21"/>
          <w:spacing w:val="-11"/>
        </w:rPr>
        <w:t>济快速发展背后</w:t>
      </w:r>
      <w:r>
        <w:rPr>
          <w:rFonts w:ascii="SimSun" w:hAnsi="SimSun" w:eastAsia="SimSun" w:cs="SimSun"/>
          <w:sz w:val="21"/>
          <w:szCs w:val="21"/>
        </w:rPr>
        <w:t xml:space="preserve"> </w:t>
      </w:r>
      <w:r>
        <w:rPr>
          <w:rFonts w:ascii="SimSun" w:hAnsi="SimSun" w:eastAsia="SimSun" w:cs="SimSun"/>
          <w:sz w:val="21"/>
          <w:szCs w:val="21"/>
          <w:spacing w:val="-11"/>
        </w:rPr>
        <w:t>资本所起的作用。这些资本通常从外部获取，逐利性很高，经常导致</w:t>
      </w:r>
      <w:r>
        <w:rPr>
          <w:rFonts w:ascii="SimSun" w:hAnsi="SimSun" w:eastAsia="SimSun" w:cs="SimSun"/>
          <w:sz w:val="21"/>
          <w:szCs w:val="21"/>
          <w:spacing w:val="16"/>
        </w:rPr>
        <w:t xml:space="preserve"> </w:t>
      </w:r>
      <w:r>
        <w:rPr>
          <w:rFonts w:ascii="SimSun" w:hAnsi="SimSun" w:eastAsia="SimSun" w:cs="SimSun"/>
          <w:sz w:val="21"/>
          <w:szCs w:val="21"/>
          <w:spacing w:val="-10"/>
        </w:rPr>
        <w:t>平台企业成为少数人聚集个人财富的工具。平台经济与社会财富集中</w:t>
      </w:r>
      <w:r>
        <w:rPr>
          <w:rFonts w:ascii="SimSun" w:hAnsi="SimSun" w:eastAsia="SimSun" w:cs="SimSun"/>
          <w:sz w:val="21"/>
          <w:szCs w:val="21"/>
        </w:rPr>
        <w:t xml:space="preserve"> </w:t>
      </w:r>
      <w:r>
        <w:rPr>
          <w:rFonts w:ascii="SimSun" w:hAnsi="SimSun" w:eastAsia="SimSun" w:cs="SimSun"/>
          <w:sz w:val="21"/>
          <w:szCs w:val="21"/>
          <w:spacing w:val="-10"/>
        </w:rPr>
        <w:t>之间的关系可以通过平台企业的主要股东从资本市场上所获</w:t>
      </w:r>
      <w:r>
        <w:rPr>
          <w:rFonts w:ascii="SimSun" w:hAnsi="SimSun" w:eastAsia="SimSun" w:cs="SimSun"/>
          <w:sz w:val="21"/>
          <w:szCs w:val="21"/>
          <w:spacing w:val="-11"/>
        </w:rPr>
        <w:t>收益，以</w:t>
      </w:r>
      <w:r>
        <w:rPr>
          <w:rFonts w:ascii="SimSun" w:hAnsi="SimSun" w:eastAsia="SimSun" w:cs="SimSun"/>
          <w:sz w:val="21"/>
          <w:szCs w:val="21"/>
        </w:rPr>
        <w:t xml:space="preserve"> </w:t>
      </w:r>
      <w:r>
        <w:rPr>
          <w:rFonts w:ascii="SimSun" w:hAnsi="SimSun" w:eastAsia="SimSun" w:cs="SimSun"/>
          <w:sz w:val="21"/>
          <w:szCs w:val="21"/>
          <w:spacing w:val="-12"/>
        </w:rPr>
        <w:t>及平台经济中资本与劳动收入份额的变化加以推断。</w:t>
      </w:r>
    </w:p>
    <w:p>
      <w:pPr>
        <w:pStyle w:val="BodyText"/>
        <w:spacing w:line="394" w:lineRule="auto"/>
        <w:rPr/>
      </w:pPr>
      <w:r/>
    </w:p>
    <w:p>
      <w:pPr>
        <w:ind w:left="13"/>
        <w:spacing w:before="81" w:line="221" w:lineRule="auto"/>
        <w:rPr>
          <w:rFonts w:ascii="SimHei" w:hAnsi="SimHei" w:eastAsia="SimHei" w:cs="SimHei"/>
          <w:sz w:val="25"/>
          <w:szCs w:val="25"/>
        </w:rPr>
      </w:pPr>
      <w:r>
        <w:rPr>
          <w:rFonts w:ascii="SimHei" w:hAnsi="SimHei" w:eastAsia="SimHei" w:cs="SimHei"/>
          <w:sz w:val="25"/>
          <w:szCs w:val="25"/>
          <w:b/>
          <w:bCs/>
          <w:spacing w:val="-13"/>
        </w:rPr>
        <w:t>平台企业的社会责任</w:t>
      </w:r>
    </w:p>
    <w:p>
      <w:pPr>
        <w:pStyle w:val="BodyText"/>
        <w:spacing w:line="344" w:lineRule="auto"/>
        <w:rPr/>
      </w:pPr>
      <w:r/>
    </w:p>
    <w:p>
      <w:pPr>
        <w:ind w:left="10" w:right="75" w:firstLine="409"/>
        <w:spacing w:before="69" w:line="284" w:lineRule="auto"/>
        <w:jc w:val="both"/>
        <w:rPr>
          <w:rFonts w:ascii="SimSun" w:hAnsi="SimSun" w:eastAsia="SimSun" w:cs="SimSun"/>
          <w:sz w:val="21"/>
          <w:szCs w:val="21"/>
        </w:rPr>
      </w:pPr>
      <w:r>
        <w:rPr>
          <w:rFonts w:ascii="SimSun" w:hAnsi="SimSun" w:eastAsia="SimSun" w:cs="SimSun"/>
          <w:sz w:val="21"/>
          <w:szCs w:val="21"/>
          <w:spacing w:val="-11"/>
        </w:rPr>
        <w:t>平台企业应当承担一定的社会责任，这一点除了因为网络效应等</w:t>
      </w:r>
      <w:r>
        <w:rPr>
          <w:rFonts w:ascii="SimSun" w:hAnsi="SimSun" w:eastAsia="SimSun" w:cs="SimSun"/>
          <w:sz w:val="21"/>
          <w:szCs w:val="21"/>
          <w:spacing w:val="6"/>
        </w:rPr>
        <w:t xml:space="preserve"> </w:t>
      </w:r>
      <w:r>
        <w:rPr>
          <w:rFonts w:ascii="SimSun" w:hAnsi="SimSun" w:eastAsia="SimSun" w:cs="SimSun"/>
          <w:sz w:val="21"/>
          <w:szCs w:val="21"/>
          <w:spacing w:val="-11"/>
        </w:rPr>
        <w:t>因素使其获得先发优势从而享有巨额回报外，还由平台企业自身的特</w:t>
      </w:r>
      <w:r>
        <w:rPr>
          <w:rFonts w:ascii="SimSun" w:hAnsi="SimSun" w:eastAsia="SimSun" w:cs="SimSun"/>
          <w:sz w:val="21"/>
          <w:szCs w:val="21"/>
          <w:spacing w:val="15"/>
        </w:rPr>
        <w:t xml:space="preserve"> </w:t>
      </w:r>
      <w:r>
        <w:rPr>
          <w:rFonts w:ascii="SimSun" w:hAnsi="SimSun" w:eastAsia="SimSun" w:cs="SimSun"/>
          <w:sz w:val="21"/>
          <w:szCs w:val="21"/>
          <w:spacing w:val="-11"/>
        </w:rPr>
        <w:t>殊性质所决定。作为平台经济的主体，平台企业的双重属性以及所提</w:t>
      </w:r>
    </w:p>
    <w:p>
      <w:pPr>
        <w:pStyle w:val="BodyText"/>
        <w:spacing w:line="257" w:lineRule="auto"/>
        <w:rPr/>
      </w:pPr>
      <w:r/>
    </w:p>
    <w:p>
      <w:pPr>
        <w:pStyle w:val="BodyText"/>
        <w:spacing w:line="257" w:lineRule="auto"/>
        <w:rPr/>
      </w:pPr>
      <w:r/>
    </w:p>
    <w:p>
      <w:pPr>
        <w:ind w:left="319" w:right="44" w:hanging="309"/>
        <w:spacing w:before="69" w:line="245" w:lineRule="auto"/>
        <w:rPr>
          <w:rFonts w:ascii="Times New Roman" w:hAnsi="Times New Roman" w:eastAsia="Times New Roman" w:cs="Times New Roman"/>
          <w:sz w:val="16"/>
          <w:szCs w:val="16"/>
        </w:rPr>
      </w:pPr>
      <w:r>
        <w:rPr>
          <w:rFonts w:ascii="SimSun" w:hAnsi="SimSun" w:eastAsia="SimSun" w:cs="SimSun"/>
          <w:sz w:val="21"/>
          <w:szCs w:val="21"/>
          <w:spacing w:val="-10"/>
          <w:w w:val="95"/>
        </w:rPr>
        <w:t>①</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0"/>
          <w:w w:val="95"/>
        </w:rPr>
        <w:t>D.Guellec,C.Paunov,“Digital Innovation and the Distribution 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0"/>
          <w:w w:val="95"/>
        </w:rPr>
        <w:t>Income”,NBER</w:t>
      </w:r>
      <w:r>
        <w:rPr>
          <w:rFonts w:ascii="Times New Roman" w:hAnsi="Times New Roman" w:eastAsia="Times New Roman" w:cs="Times New Roman"/>
          <w:sz w:val="21"/>
          <w:szCs w:val="21"/>
        </w:rPr>
        <w:t xml:space="preserve"> </w:t>
      </w:r>
      <w:r>
        <w:rPr>
          <w:rFonts w:ascii="Times New Roman" w:hAnsi="Times New Roman" w:eastAsia="Times New Roman" w:cs="Times New Roman"/>
          <w:sz w:val="16"/>
          <w:szCs w:val="16"/>
        </w:rPr>
        <w:t>Working</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Paper</w:t>
      </w:r>
      <w:r>
        <w:rPr>
          <w:rFonts w:ascii="Times New Roman" w:hAnsi="Times New Roman" w:eastAsia="Times New Roman" w:cs="Times New Roman"/>
          <w:sz w:val="16"/>
          <w:szCs w:val="16"/>
          <w:spacing w:val="1"/>
        </w:rPr>
        <w:t>,2017.</w:t>
      </w:r>
    </w:p>
    <w:p>
      <w:pPr>
        <w:spacing w:line="245" w:lineRule="auto"/>
        <w:sectPr>
          <w:headerReference w:type="default" r:id="rId349"/>
          <w:pgSz w:w="7330" w:h="12480"/>
          <w:pgMar w:top="805" w:right="945" w:bottom="400" w:left="309" w:header="642" w:footer="0" w:gutter="0"/>
        </w:sectPr>
        <w:rPr>
          <w:rFonts w:ascii="Times New Roman" w:hAnsi="Times New Roman" w:eastAsia="Times New Roman" w:cs="Times New Roman"/>
          <w:sz w:val="16"/>
          <w:szCs w:val="16"/>
        </w:rPr>
      </w:pP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76"/>
        <w:spacing w:before="68" w:line="268" w:lineRule="auto"/>
        <w:rPr>
          <w:rFonts w:ascii="SimSun" w:hAnsi="SimSun" w:eastAsia="SimSun" w:cs="SimSun"/>
          <w:sz w:val="21"/>
          <w:szCs w:val="21"/>
        </w:rPr>
      </w:pPr>
      <w:r>
        <w:rPr>
          <w:rFonts w:ascii="SimSun" w:hAnsi="SimSun" w:eastAsia="SimSun" w:cs="SimSun"/>
          <w:sz w:val="21"/>
          <w:szCs w:val="21"/>
          <w:spacing w:val="-11"/>
        </w:rPr>
        <w:t>供的产品和服务的性质同传统经济存在着显著差别，使平台企业的社</w:t>
      </w:r>
      <w:r>
        <w:rPr>
          <w:rFonts w:ascii="SimSun" w:hAnsi="SimSun" w:eastAsia="SimSun" w:cs="SimSun"/>
          <w:sz w:val="21"/>
          <w:szCs w:val="21"/>
          <w:spacing w:val="17"/>
        </w:rPr>
        <w:t xml:space="preserve"> </w:t>
      </w:r>
      <w:r>
        <w:rPr>
          <w:rFonts w:ascii="SimSun" w:hAnsi="SimSun" w:eastAsia="SimSun" w:cs="SimSun"/>
          <w:sz w:val="21"/>
          <w:szCs w:val="21"/>
          <w:spacing w:val="-12"/>
        </w:rPr>
        <w:t>会责任问题显得尤为重要。</w:t>
      </w:r>
    </w:p>
    <w:p>
      <w:pPr>
        <w:ind w:firstLine="439"/>
        <w:spacing w:before="118" w:line="310" w:lineRule="auto"/>
        <w:rPr>
          <w:rFonts w:ascii="SimSun" w:hAnsi="SimSun" w:eastAsia="SimSun" w:cs="SimSun"/>
          <w:sz w:val="21"/>
          <w:szCs w:val="21"/>
        </w:rPr>
      </w:pPr>
      <w:r>
        <w:rPr>
          <w:rFonts w:ascii="SimSun" w:hAnsi="SimSun" w:eastAsia="SimSun" w:cs="SimSun"/>
          <w:sz w:val="21"/>
          <w:szCs w:val="21"/>
          <w:spacing w:val="-11"/>
        </w:rPr>
        <w:t>首先，平台企业存在“逐利性”和“公益性”的双重属性，而后</w:t>
      </w:r>
      <w:r>
        <w:rPr>
          <w:rFonts w:ascii="SimSun" w:hAnsi="SimSun" w:eastAsia="SimSun" w:cs="SimSun"/>
          <w:sz w:val="21"/>
          <w:szCs w:val="21"/>
          <w:spacing w:val="1"/>
        </w:rPr>
        <w:t xml:space="preserve"> </w:t>
      </w:r>
      <w:r>
        <w:rPr>
          <w:rFonts w:ascii="SimSun" w:hAnsi="SimSun" w:eastAsia="SimSun" w:cs="SimSun"/>
          <w:sz w:val="21"/>
          <w:szCs w:val="21"/>
          <w:spacing w:val="-11"/>
        </w:rPr>
        <w:t>者则意味着平台企业需要承担一定的社会责任。与传统企业相比</w:t>
      </w:r>
      <w:r>
        <w:rPr>
          <w:rFonts w:ascii="SimSun" w:hAnsi="SimSun" w:eastAsia="SimSun" w:cs="SimSun"/>
          <w:sz w:val="21"/>
          <w:szCs w:val="21"/>
          <w:spacing w:val="-12"/>
        </w:rPr>
        <w:t>，平</w:t>
      </w:r>
      <w:r>
        <w:rPr>
          <w:rFonts w:ascii="SimSun" w:hAnsi="SimSun" w:eastAsia="SimSun" w:cs="SimSun"/>
          <w:sz w:val="21"/>
          <w:szCs w:val="21"/>
        </w:rPr>
        <w:t xml:space="preserve">  </w:t>
      </w:r>
      <w:r>
        <w:rPr>
          <w:rFonts w:ascii="SimSun" w:hAnsi="SimSun" w:eastAsia="SimSun" w:cs="SimSun"/>
          <w:sz w:val="21"/>
          <w:szCs w:val="21"/>
          <w:spacing w:val="-4"/>
        </w:rPr>
        <w:t>台企业的一个典型特征是，这类企业既是追求自身利润最</w:t>
      </w:r>
      <w:r>
        <w:rPr>
          <w:rFonts w:ascii="SimSun" w:hAnsi="SimSun" w:eastAsia="SimSun" w:cs="SimSun"/>
          <w:sz w:val="21"/>
          <w:szCs w:val="21"/>
          <w:spacing w:val="-5"/>
        </w:rPr>
        <w:t>大化的主</w:t>
      </w:r>
      <w:r>
        <w:rPr>
          <w:rFonts w:ascii="SimSun" w:hAnsi="SimSun" w:eastAsia="SimSun" w:cs="SimSun"/>
          <w:sz w:val="21"/>
          <w:szCs w:val="21"/>
        </w:rPr>
        <w:t xml:space="preserve">  </w:t>
      </w:r>
      <w:r>
        <w:rPr>
          <w:rFonts w:ascii="SimSun" w:hAnsi="SimSun" w:eastAsia="SimSun" w:cs="SimSun"/>
          <w:sz w:val="21"/>
          <w:szCs w:val="21"/>
          <w:spacing w:val="-8"/>
        </w:rPr>
        <w:t>体，同时也在经营一个在线市场，尽力撮合买家和卖家之间的交易。</w:t>
      </w:r>
      <w:r>
        <w:rPr>
          <w:rFonts w:ascii="SimSun" w:hAnsi="SimSun" w:eastAsia="SimSun" w:cs="SimSun"/>
          <w:sz w:val="21"/>
          <w:szCs w:val="21"/>
          <w:spacing w:val="3"/>
        </w:rPr>
        <w:t xml:space="preserve"> </w:t>
      </w:r>
      <w:r>
        <w:rPr>
          <w:rFonts w:ascii="SimSun" w:hAnsi="SimSun" w:eastAsia="SimSun" w:cs="SimSun"/>
          <w:sz w:val="21"/>
          <w:szCs w:val="21"/>
          <w:spacing w:val="-10"/>
        </w:rPr>
        <w:t>前者表现为平台企业的逐利性，后者则表现</w:t>
      </w:r>
      <w:r>
        <w:rPr>
          <w:rFonts w:ascii="SimSun" w:hAnsi="SimSun" w:eastAsia="SimSun" w:cs="SimSun"/>
          <w:sz w:val="21"/>
          <w:szCs w:val="21"/>
          <w:spacing w:val="-11"/>
        </w:rPr>
        <w:t>为平台企业的公益性。双 </w:t>
      </w:r>
      <w:r>
        <w:rPr>
          <w:rFonts w:ascii="SimSun" w:hAnsi="SimSun" w:eastAsia="SimSun" w:cs="SimSun"/>
          <w:sz w:val="21"/>
          <w:szCs w:val="21"/>
          <w:spacing w:val="-11"/>
        </w:rPr>
        <w:t>重属性意味着平台企业能够作为一种“私人监管者”拥有对自身进行</w:t>
      </w:r>
      <w:r>
        <w:rPr>
          <w:rFonts w:ascii="SimSun" w:hAnsi="SimSun" w:eastAsia="SimSun" w:cs="SimSun"/>
          <w:sz w:val="21"/>
          <w:szCs w:val="21"/>
        </w:rPr>
        <w:t xml:space="preserve">  </w:t>
      </w:r>
      <w:r>
        <w:rPr>
          <w:rFonts w:ascii="SimSun" w:hAnsi="SimSun" w:eastAsia="SimSun" w:cs="SimSun"/>
          <w:sz w:val="21"/>
          <w:szCs w:val="21"/>
          <w:spacing w:val="-11"/>
        </w:rPr>
        <w:t>治理的动机。例如，像淘宝网、滴滴出行这类平台企业，便可以利用</w:t>
      </w:r>
      <w:r>
        <w:rPr>
          <w:rFonts w:ascii="SimSun" w:hAnsi="SimSun" w:eastAsia="SimSun" w:cs="SimSun"/>
          <w:sz w:val="21"/>
          <w:szCs w:val="21"/>
          <w:spacing w:val="13"/>
        </w:rPr>
        <w:t xml:space="preserve"> </w:t>
      </w:r>
      <w:r>
        <w:rPr>
          <w:rFonts w:ascii="SimSun" w:hAnsi="SimSun" w:eastAsia="SimSun" w:cs="SimSun"/>
          <w:sz w:val="21"/>
          <w:szCs w:val="21"/>
          <w:spacing w:val="-8"/>
        </w:rPr>
        <w:t>自身在数据和技术方面的优势，对平台上的经营</w:t>
      </w:r>
      <w:r>
        <w:rPr>
          <w:rFonts w:ascii="SimSun" w:hAnsi="SimSun" w:eastAsia="SimSun" w:cs="SimSun"/>
          <w:sz w:val="21"/>
          <w:szCs w:val="21"/>
          <w:spacing w:val="-9"/>
        </w:rPr>
        <w:t>者(淘宝网上的第三</w:t>
      </w:r>
      <w:r>
        <w:rPr>
          <w:rFonts w:ascii="SimSun" w:hAnsi="SimSun" w:eastAsia="SimSun" w:cs="SimSun"/>
          <w:sz w:val="21"/>
          <w:szCs w:val="21"/>
        </w:rPr>
        <w:t xml:space="preserve">  </w:t>
      </w:r>
      <w:r>
        <w:rPr>
          <w:rFonts w:ascii="SimSun" w:hAnsi="SimSun" w:eastAsia="SimSun" w:cs="SimSun"/>
          <w:sz w:val="21"/>
          <w:szCs w:val="21"/>
          <w:spacing w:val="-8"/>
        </w:rPr>
        <w:t>方卖家、滴滴出行的加盟司机)的行为进行监督，避免因平台经营者</w:t>
      </w:r>
      <w:r>
        <w:rPr>
          <w:rFonts w:ascii="SimSun" w:hAnsi="SimSun" w:eastAsia="SimSun" w:cs="SimSun"/>
          <w:sz w:val="21"/>
          <w:szCs w:val="21"/>
          <w:spacing w:val="6"/>
        </w:rPr>
        <w:t xml:space="preserve">  </w:t>
      </w:r>
      <w:r>
        <w:rPr>
          <w:rFonts w:ascii="SimSun" w:hAnsi="SimSun" w:eastAsia="SimSun" w:cs="SimSun"/>
          <w:sz w:val="21"/>
          <w:szCs w:val="21"/>
          <w:spacing w:val="-11"/>
        </w:rPr>
        <w:t>资质问题和责任心问题造成消费者权益受损事件的发生。例如，淘宝</w:t>
      </w:r>
      <w:r>
        <w:rPr>
          <w:rFonts w:ascii="SimSun" w:hAnsi="SimSun" w:eastAsia="SimSun" w:cs="SimSun"/>
          <w:sz w:val="21"/>
          <w:szCs w:val="21"/>
        </w:rPr>
        <w:t xml:space="preserve">  </w:t>
      </w:r>
      <w:r>
        <w:rPr>
          <w:rFonts w:ascii="SimSun" w:hAnsi="SimSun" w:eastAsia="SimSun" w:cs="SimSun"/>
          <w:sz w:val="21"/>
          <w:szCs w:val="21"/>
          <w:spacing w:val="-10"/>
        </w:rPr>
        <w:t>网便可以通过大数据技术等各类措施，对账</w:t>
      </w:r>
      <w:r>
        <w:rPr>
          <w:rFonts w:ascii="SimSun" w:hAnsi="SimSun" w:eastAsia="SimSun" w:cs="SimSun"/>
          <w:sz w:val="21"/>
          <w:szCs w:val="21"/>
          <w:spacing w:val="-11"/>
        </w:rPr>
        <w:t>户的交易、商品及店铺进 </w:t>
      </w:r>
      <w:r>
        <w:rPr>
          <w:rFonts w:ascii="SimSun" w:hAnsi="SimSun" w:eastAsia="SimSun" w:cs="SimSun"/>
          <w:sz w:val="21"/>
          <w:szCs w:val="21"/>
          <w:spacing w:val="-11"/>
        </w:rPr>
        <w:t>行多维度、全方位的综合风险排查，并对易造成交易风险账户的卖家</w:t>
      </w:r>
      <w:r>
        <w:rPr>
          <w:rFonts w:ascii="SimSun" w:hAnsi="SimSun" w:eastAsia="SimSun" w:cs="SimSun"/>
          <w:sz w:val="21"/>
          <w:szCs w:val="21"/>
        </w:rPr>
        <w:t xml:space="preserve">  </w:t>
      </w:r>
      <w:r>
        <w:rPr>
          <w:rFonts w:ascii="SimSun" w:hAnsi="SimSun" w:eastAsia="SimSun" w:cs="SimSun"/>
          <w:sz w:val="21"/>
          <w:szCs w:val="21"/>
          <w:spacing w:val="-10"/>
        </w:rPr>
        <w:t>进行限制，“90天内无法进行保证金解冻，</w:t>
      </w:r>
      <w:r>
        <w:rPr>
          <w:rFonts w:ascii="SimSun" w:hAnsi="SimSun" w:eastAsia="SimSun" w:cs="SimSun"/>
          <w:sz w:val="21"/>
          <w:szCs w:val="21"/>
          <w:spacing w:val="-11"/>
        </w:rPr>
        <w:t>同时对订单款项进行交易</w:t>
      </w:r>
      <w:r>
        <w:rPr>
          <w:rFonts w:ascii="SimSun" w:hAnsi="SimSun" w:eastAsia="SimSun" w:cs="SimSun"/>
          <w:sz w:val="21"/>
          <w:szCs w:val="21"/>
        </w:rPr>
        <w:t xml:space="preserve"> </w:t>
      </w:r>
      <w:r>
        <w:rPr>
          <w:rFonts w:ascii="SimSun" w:hAnsi="SimSun" w:eastAsia="SimSun" w:cs="SimSun"/>
          <w:sz w:val="21"/>
          <w:szCs w:val="21"/>
          <w:spacing w:val="-11"/>
        </w:rPr>
        <w:t>账期延长”。平台企业对平台经营者进行监督管理，实际上意味</w:t>
      </w:r>
      <w:r>
        <w:rPr>
          <w:rFonts w:ascii="SimSun" w:hAnsi="SimSun" w:eastAsia="SimSun" w:cs="SimSun"/>
          <w:sz w:val="21"/>
          <w:szCs w:val="21"/>
          <w:spacing w:val="-12"/>
        </w:rPr>
        <w:t>着平</w:t>
      </w:r>
      <w:r>
        <w:rPr>
          <w:rFonts w:ascii="SimSun" w:hAnsi="SimSun" w:eastAsia="SimSun" w:cs="SimSun"/>
          <w:sz w:val="21"/>
          <w:szCs w:val="21"/>
        </w:rPr>
        <w:t xml:space="preserve">  </w:t>
      </w:r>
      <w:r>
        <w:rPr>
          <w:rFonts w:ascii="SimSun" w:hAnsi="SimSun" w:eastAsia="SimSun" w:cs="SimSun"/>
          <w:sz w:val="21"/>
          <w:szCs w:val="21"/>
          <w:spacing w:val="-11"/>
        </w:rPr>
        <w:t>台企业在一定程度上发挥着传统经济中公共监管部门的作用，也就是</w:t>
      </w:r>
      <w:r>
        <w:rPr>
          <w:rFonts w:ascii="SimSun" w:hAnsi="SimSun" w:eastAsia="SimSun" w:cs="SimSun"/>
          <w:sz w:val="21"/>
          <w:szCs w:val="21"/>
        </w:rPr>
        <w:t xml:space="preserve">  </w:t>
      </w:r>
      <w:r>
        <w:rPr>
          <w:rFonts w:ascii="SimSun" w:hAnsi="SimSun" w:eastAsia="SimSun" w:cs="SimSun"/>
          <w:sz w:val="21"/>
          <w:szCs w:val="21"/>
          <w:spacing w:val="-10"/>
        </w:rPr>
        <w:t>承担了一定的社会责任。</w:t>
      </w:r>
    </w:p>
    <w:p>
      <w:pPr>
        <w:ind w:right="5" w:firstLine="479"/>
        <w:spacing w:before="98" w:line="306" w:lineRule="auto"/>
        <w:rPr>
          <w:rFonts w:ascii="SimSun" w:hAnsi="SimSun" w:eastAsia="SimSun" w:cs="SimSun"/>
          <w:sz w:val="21"/>
          <w:szCs w:val="21"/>
        </w:rPr>
      </w:pPr>
      <w:r>
        <w:rPr>
          <w:rFonts w:ascii="SimSun" w:hAnsi="SimSun" w:eastAsia="SimSun" w:cs="SimSun"/>
          <w:sz w:val="21"/>
          <w:szCs w:val="21"/>
          <w:spacing w:val="-4"/>
        </w:rPr>
        <w:t>其次，很多平台企业所提供的产品和服务可以被视作数字经济</w:t>
      </w:r>
      <w:r>
        <w:rPr>
          <w:rFonts w:ascii="SimSun" w:hAnsi="SimSun" w:eastAsia="SimSun" w:cs="SimSun"/>
          <w:sz w:val="21"/>
          <w:szCs w:val="21"/>
          <w:spacing w:val="16"/>
        </w:rPr>
        <w:t xml:space="preserve"> </w:t>
      </w:r>
      <w:r>
        <w:rPr>
          <w:rFonts w:ascii="SimSun" w:hAnsi="SimSun" w:eastAsia="SimSun" w:cs="SimSun"/>
          <w:sz w:val="21"/>
          <w:szCs w:val="21"/>
          <w:spacing w:val="-11"/>
        </w:rPr>
        <w:t>中的“关键信息基础设施”。例如，腾讯旗下的微信作为我国最大的</w:t>
      </w:r>
      <w:r>
        <w:rPr>
          <w:rFonts w:ascii="SimSun" w:hAnsi="SimSun" w:eastAsia="SimSun" w:cs="SimSun"/>
          <w:sz w:val="21"/>
          <w:szCs w:val="21"/>
          <w:spacing w:val="4"/>
        </w:rPr>
        <w:t xml:space="preserve"> </w:t>
      </w:r>
      <w:r>
        <w:rPr>
          <w:rFonts w:ascii="SimSun" w:hAnsi="SimSun" w:eastAsia="SimSun" w:cs="SimSun"/>
          <w:sz w:val="21"/>
          <w:szCs w:val="21"/>
          <w:spacing w:val="-4"/>
        </w:rPr>
        <w:t>网络社交平台，每天有超过10亿的活跃用户，已经成为名副其实的</w:t>
      </w:r>
      <w:r>
        <w:rPr>
          <w:rFonts w:ascii="SimSun" w:hAnsi="SimSun" w:eastAsia="SimSun" w:cs="SimSun"/>
          <w:sz w:val="21"/>
          <w:szCs w:val="21"/>
          <w:spacing w:val="5"/>
        </w:rPr>
        <w:t xml:space="preserve"> </w:t>
      </w:r>
      <w:r>
        <w:rPr>
          <w:rFonts w:ascii="SimSun" w:hAnsi="SimSun" w:eastAsia="SimSun" w:cs="SimSun"/>
          <w:sz w:val="21"/>
          <w:szCs w:val="21"/>
          <w:spacing w:val="-4"/>
        </w:rPr>
        <w:t>国民级应用软件；再如，阿里巴巴的淘宝网和天猫商城所形成的网 </w:t>
      </w:r>
      <w:r>
        <w:rPr>
          <w:rFonts w:ascii="SimSun" w:hAnsi="SimSun" w:eastAsia="SimSun" w:cs="SimSun"/>
          <w:sz w:val="21"/>
          <w:szCs w:val="21"/>
          <w:spacing w:val="-4"/>
        </w:rPr>
        <w:t>上零售市场，真正实现了全国统一的大市场，对打</w:t>
      </w:r>
      <w:r>
        <w:rPr>
          <w:rFonts w:ascii="SimSun" w:hAnsi="SimSun" w:eastAsia="SimSun" w:cs="SimSun"/>
          <w:sz w:val="21"/>
          <w:szCs w:val="21"/>
          <w:spacing w:val="-5"/>
        </w:rPr>
        <w:t>破零售领域地方</w:t>
      </w:r>
      <w:r>
        <w:rPr>
          <w:rFonts w:ascii="SimSun" w:hAnsi="SimSun" w:eastAsia="SimSun" w:cs="SimSun"/>
          <w:sz w:val="21"/>
          <w:szCs w:val="21"/>
        </w:rPr>
        <w:t xml:space="preserve">  </w:t>
      </w:r>
      <w:r>
        <w:rPr>
          <w:rFonts w:ascii="SimSun" w:hAnsi="SimSun" w:eastAsia="SimSun" w:cs="SimSun"/>
          <w:sz w:val="21"/>
          <w:szCs w:val="21"/>
          <w:spacing w:val="-2"/>
        </w:rPr>
        <w:t>保护主义起到了根本性作用。像微信、淘宝网、天猫商城、美团、</w:t>
      </w:r>
      <w:r>
        <w:rPr>
          <w:rFonts w:ascii="SimSun" w:hAnsi="SimSun" w:eastAsia="SimSun" w:cs="SimSun"/>
          <w:sz w:val="21"/>
          <w:szCs w:val="21"/>
          <w:spacing w:val="17"/>
        </w:rPr>
        <w:t xml:space="preserve"> </w:t>
      </w:r>
      <w:r>
        <w:rPr>
          <w:rFonts w:ascii="SimSun" w:hAnsi="SimSun" w:eastAsia="SimSun" w:cs="SimSun"/>
          <w:sz w:val="21"/>
          <w:szCs w:val="21"/>
          <w:spacing w:val="-4"/>
        </w:rPr>
        <w:t>今日头条这些应用程序已经深入人们的日常生活</w:t>
      </w:r>
      <w:r>
        <w:rPr>
          <w:rFonts w:ascii="SimSun" w:hAnsi="SimSun" w:eastAsia="SimSun" w:cs="SimSun"/>
          <w:sz w:val="21"/>
          <w:szCs w:val="21"/>
          <w:spacing w:val="-5"/>
        </w:rPr>
        <w:t>，如果这些应用遭</w:t>
      </w:r>
      <w:r>
        <w:rPr>
          <w:rFonts w:ascii="SimSun" w:hAnsi="SimSun" w:eastAsia="SimSun" w:cs="SimSun"/>
          <w:sz w:val="21"/>
          <w:szCs w:val="21"/>
        </w:rPr>
        <w:t xml:space="preserve">  </w:t>
      </w:r>
      <w:r>
        <w:rPr>
          <w:rFonts w:ascii="SimSun" w:hAnsi="SimSun" w:eastAsia="SimSun" w:cs="SimSun"/>
          <w:sz w:val="21"/>
          <w:szCs w:val="21"/>
          <w:spacing w:val="-4"/>
        </w:rPr>
        <w:t>到恶意破坏而丧失功能，会对普通民众的日常生活造成非常严重的</w:t>
      </w:r>
      <w:r>
        <w:rPr>
          <w:rFonts w:ascii="SimSun" w:hAnsi="SimSun" w:eastAsia="SimSun" w:cs="SimSun"/>
          <w:sz w:val="21"/>
          <w:szCs w:val="21"/>
          <w:spacing w:val="1"/>
        </w:rPr>
        <w:t xml:space="preserve"> </w:t>
      </w:r>
      <w:r>
        <w:rPr>
          <w:rFonts w:ascii="SimSun" w:hAnsi="SimSun" w:eastAsia="SimSun" w:cs="SimSun"/>
          <w:sz w:val="21"/>
          <w:szCs w:val="21"/>
        </w:rPr>
        <w:t>影响，甚至有可能危害到国家安全和国计民生。2</w:t>
      </w:r>
      <w:r>
        <w:rPr>
          <w:rFonts w:ascii="SimSun" w:hAnsi="SimSun" w:eastAsia="SimSun" w:cs="SimSun"/>
          <w:sz w:val="21"/>
          <w:szCs w:val="21"/>
          <w:spacing w:val="-1"/>
        </w:rPr>
        <w:t>021年7月，滴滴</w:t>
      </w:r>
    </w:p>
    <w:p>
      <w:pPr>
        <w:spacing w:line="306" w:lineRule="auto"/>
        <w:sectPr>
          <w:headerReference w:type="default" r:id="rId351"/>
          <w:pgSz w:w="7330" w:h="12480"/>
          <w:pgMar w:top="548" w:right="404" w:bottom="400" w:left="860" w:header="384"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105" w:right="97"/>
        <w:spacing w:before="68" w:line="295" w:lineRule="auto"/>
        <w:jc w:val="both"/>
        <w:rPr>
          <w:rFonts w:ascii="SimSun" w:hAnsi="SimSun" w:eastAsia="SimSun" w:cs="SimSun"/>
          <w:sz w:val="21"/>
          <w:szCs w:val="21"/>
        </w:rPr>
      </w:pPr>
      <w:r>
        <w:rPr>
          <w:rFonts w:ascii="SimSun" w:hAnsi="SimSun" w:eastAsia="SimSun" w:cs="SimSun"/>
          <w:sz w:val="21"/>
          <w:szCs w:val="21"/>
          <w:spacing w:val="-4"/>
        </w:rPr>
        <w:t>出行在海外上市可能造成国家层面数据泄露的事件</w:t>
      </w:r>
      <w:r>
        <w:rPr>
          <w:rFonts w:ascii="SimSun" w:hAnsi="SimSun" w:eastAsia="SimSun" w:cs="SimSun"/>
          <w:sz w:val="21"/>
          <w:szCs w:val="21"/>
          <w:spacing w:val="-5"/>
        </w:rPr>
        <w:t>，便引起了社会</w:t>
      </w:r>
      <w:r>
        <w:rPr>
          <w:rFonts w:ascii="SimSun" w:hAnsi="SimSun" w:eastAsia="SimSun" w:cs="SimSun"/>
          <w:sz w:val="21"/>
          <w:szCs w:val="21"/>
        </w:rPr>
        <w:t xml:space="preserve">  </w:t>
      </w:r>
      <w:r>
        <w:rPr>
          <w:rFonts w:ascii="SimSun" w:hAnsi="SimSun" w:eastAsia="SimSun" w:cs="SimSun"/>
          <w:sz w:val="21"/>
          <w:szCs w:val="21"/>
          <w:spacing w:val="-4"/>
        </w:rPr>
        <w:t>各界的广泛关注，国家网信办对滴滴进行审查的依据便是“防范国</w:t>
      </w:r>
      <w:r>
        <w:rPr>
          <w:rFonts w:ascii="SimSun" w:hAnsi="SimSun" w:eastAsia="SimSun" w:cs="SimSun"/>
          <w:sz w:val="21"/>
          <w:szCs w:val="21"/>
          <w:spacing w:val="6"/>
        </w:rPr>
        <w:t xml:space="preserve"> </w:t>
      </w:r>
      <w:r>
        <w:rPr>
          <w:rFonts w:ascii="SimSun" w:hAnsi="SimSun" w:eastAsia="SimSun" w:cs="SimSun"/>
          <w:sz w:val="21"/>
          <w:szCs w:val="21"/>
          <w:spacing w:val="-16"/>
        </w:rPr>
        <w:t>家数据安全风险”、“维护国家安全”和“保障公共利</w:t>
      </w:r>
      <w:r>
        <w:rPr>
          <w:rFonts w:ascii="SimSun" w:hAnsi="SimSun" w:eastAsia="SimSun" w:cs="SimSun"/>
          <w:sz w:val="21"/>
          <w:szCs w:val="21"/>
          <w:spacing w:val="-17"/>
        </w:rPr>
        <w:t>益”。因此，对</w:t>
      </w:r>
      <w:r>
        <w:rPr>
          <w:rFonts w:ascii="SimSun" w:hAnsi="SimSun" w:eastAsia="SimSun" w:cs="SimSun"/>
          <w:sz w:val="21"/>
          <w:szCs w:val="21"/>
        </w:rPr>
        <w:t xml:space="preserve"> </w:t>
      </w:r>
      <w:r>
        <w:rPr>
          <w:rFonts w:ascii="SimSun" w:hAnsi="SimSun" w:eastAsia="SimSun" w:cs="SimSun"/>
          <w:sz w:val="21"/>
          <w:szCs w:val="21"/>
          <w:spacing w:val="-1"/>
        </w:rPr>
        <w:t>于提供这些“关键信息基础设施”的产品和服务的平台企业而言，</w:t>
      </w:r>
      <w:r>
        <w:rPr>
          <w:rFonts w:ascii="SimSun" w:hAnsi="SimSun" w:eastAsia="SimSun" w:cs="SimSun"/>
          <w:sz w:val="21"/>
          <w:szCs w:val="21"/>
          <w:spacing w:val="3"/>
        </w:rPr>
        <w:t xml:space="preserve"> </w:t>
      </w:r>
      <w:r>
        <w:rPr>
          <w:rFonts w:ascii="SimSun" w:hAnsi="SimSun" w:eastAsia="SimSun" w:cs="SimSun"/>
          <w:sz w:val="21"/>
          <w:szCs w:val="21"/>
          <w:spacing w:val="-2"/>
        </w:rPr>
        <w:t>其运营的目标不应仅限于平台企业的私利，更应将网络的安全性、</w:t>
      </w:r>
      <w:r>
        <w:rPr>
          <w:rFonts w:ascii="SimSun" w:hAnsi="SimSun" w:eastAsia="SimSun" w:cs="SimSun"/>
          <w:sz w:val="21"/>
          <w:szCs w:val="21"/>
          <w:spacing w:val="17"/>
        </w:rPr>
        <w:t xml:space="preserve"> </w:t>
      </w:r>
      <w:r>
        <w:rPr>
          <w:rFonts w:ascii="SimSun" w:hAnsi="SimSun" w:eastAsia="SimSun" w:cs="SimSun"/>
          <w:sz w:val="21"/>
          <w:szCs w:val="21"/>
          <w:spacing w:val="-4"/>
        </w:rPr>
        <w:t>信息的安全性、软件运行的稳健性放在第一位，主动</w:t>
      </w:r>
      <w:r>
        <w:rPr>
          <w:rFonts w:ascii="SimSun" w:hAnsi="SimSun" w:eastAsia="SimSun" w:cs="SimSun"/>
          <w:sz w:val="21"/>
          <w:szCs w:val="21"/>
          <w:spacing w:val="-5"/>
        </w:rPr>
        <w:t>承担起维护关</w:t>
      </w:r>
      <w:r>
        <w:rPr>
          <w:rFonts w:ascii="SimSun" w:hAnsi="SimSun" w:eastAsia="SimSun" w:cs="SimSun"/>
          <w:sz w:val="21"/>
          <w:szCs w:val="21"/>
        </w:rPr>
        <w:t xml:space="preserve">  </w:t>
      </w:r>
      <w:r>
        <w:rPr>
          <w:rFonts w:ascii="SimSun" w:hAnsi="SimSun" w:eastAsia="SimSun" w:cs="SimSun"/>
          <w:sz w:val="21"/>
          <w:szCs w:val="21"/>
          <w:spacing w:val="-11"/>
        </w:rPr>
        <w:t>键信息基础设施安全的社会责任。</w:t>
      </w:r>
    </w:p>
    <w:p>
      <w:pPr>
        <w:ind w:firstLine="515"/>
        <w:spacing w:before="173" w:line="305" w:lineRule="auto"/>
        <w:jc w:val="both"/>
        <w:rPr>
          <w:rFonts w:ascii="SimSun" w:hAnsi="SimSun" w:eastAsia="SimSun" w:cs="SimSun"/>
          <w:sz w:val="21"/>
          <w:szCs w:val="21"/>
        </w:rPr>
      </w:pPr>
      <w:r>
        <w:rPr>
          <w:rFonts w:ascii="SimSun" w:hAnsi="SimSun" w:eastAsia="SimSun" w:cs="SimSun"/>
          <w:sz w:val="21"/>
          <w:szCs w:val="21"/>
          <w:spacing w:val="-5"/>
        </w:rPr>
        <w:t>最后，需要补充的是，欧盟在2020年12</w:t>
      </w:r>
      <w:r>
        <w:rPr>
          <w:rFonts w:ascii="SimSun" w:hAnsi="SimSun" w:eastAsia="SimSun" w:cs="SimSun"/>
          <w:sz w:val="21"/>
          <w:szCs w:val="21"/>
          <w:spacing w:val="-6"/>
        </w:rPr>
        <w:t>月公布的《数字市场法》</w:t>
      </w:r>
      <w:r>
        <w:rPr>
          <w:rFonts w:ascii="SimSun" w:hAnsi="SimSun" w:eastAsia="SimSun" w:cs="SimSun"/>
          <w:sz w:val="21"/>
          <w:szCs w:val="21"/>
        </w:rPr>
        <w:t xml:space="preserve"> </w:t>
      </w:r>
      <w:r>
        <w:rPr>
          <w:rFonts w:ascii="SimSun" w:hAnsi="SimSun" w:eastAsia="SimSun" w:cs="SimSun"/>
          <w:sz w:val="21"/>
          <w:szCs w:val="21"/>
          <w:spacing w:val="-8"/>
        </w:rPr>
        <w:t>草案中提出了“数字守门人”概念，这对界定平台企业的社会责任有</w:t>
      </w:r>
      <w:r>
        <w:rPr>
          <w:rFonts w:ascii="SimSun" w:hAnsi="SimSun" w:eastAsia="SimSun" w:cs="SimSun"/>
          <w:sz w:val="21"/>
          <w:szCs w:val="21"/>
          <w:spacing w:val="4"/>
        </w:rPr>
        <w:t xml:space="preserve">   </w:t>
      </w:r>
      <w:r>
        <w:rPr>
          <w:rFonts w:ascii="SimSun" w:hAnsi="SimSun" w:eastAsia="SimSun" w:cs="SimSun"/>
          <w:sz w:val="21"/>
          <w:szCs w:val="21"/>
          <w:spacing w:val="-8"/>
        </w:rPr>
        <w:t>着重要意义。第一，数字守门人概念的提出主要源自对数字市场开放</w:t>
      </w:r>
      <w:r>
        <w:rPr>
          <w:rFonts w:ascii="SimSun" w:hAnsi="SimSun" w:eastAsia="SimSun" w:cs="SimSun"/>
          <w:sz w:val="21"/>
          <w:szCs w:val="21"/>
          <w:spacing w:val="1"/>
        </w:rPr>
        <w:t xml:space="preserve">   </w:t>
      </w:r>
      <w:r>
        <w:rPr>
          <w:rFonts w:ascii="SimSun" w:hAnsi="SimSun" w:eastAsia="SimSun" w:cs="SimSun"/>
          <w:sz w:val="21"/>
          <w:szCs w:val="21"/>
          <w:spacing w:val="-7"/>
        </w:rPr>
        <w:t>性和公平性的考虑，这一点同平台企业需承担</w:t>
      </w:r>
      <w:r>
        <w:rPr>
          <w:rFonts w:ascii="SimSun" w:hAnsi="SimSun" w:eastAsia="SimSun" w:cs="SimSun"/>
          <w:sz w:val="21"/>
          <w:szCs w:val="21"/>
          <w:spacing w:val="-8"/>
        </w:rPr>
        <w:t>社会责任的基本原则相</w:t>
      </w:r>
      <w:r>
        <w:rPr>
          <w:rFonts w:ascii="SimSun" w:hAnsi="SimSun" w:eastAsia="SimSun" w:cs="SimSun"/>
          <w:sz w:val="21"/>
          <w:szCs w:val="21"/>
        </w:rPr>
        <w:t xml:space="preserve">  </w:t>
      </w:r>
      <w:r>
        <w:rPr>
          <w:rFonts w:ascii="SimSun" w:hAnsi="SimSun" w:eastAsia="SimSun" w:cs="SimSun"/>
          <w:sz w:val="21"/>
          <w:szCs w:val="21"/>
          <w:spacing w:val="-8"/>
        </w:rPr>
        <w:t>一致；第二，数字守门人的认定标准是平台企业是否拥有足够大的市</w:t>
      </w:r>
      <w:r>
        <w:rPr>
          <w:rFonts w:ascii="SimSun" w:hAnsi="SimSun" w:eastAsia="SimSun" w:cs="SimSun"/>
          <w:sz w:val="21"/>
          <w:szCs w:val="21"/>
          <w:spacing w:val="5"/>
        </w:rPr>
        <w:t xml:space="preserve">   </w:t>
      </w:r>
      <w:r>
        <w:rPr>
          <w:rFonts w:ascii="SimSun" w:hAnsi="SimSun" w:eastAsia="SimSun" w:cs="SimSun"/>
          <w:sz w:val="21"/>
          <w:szCs w:val="21"/>
          <w:spacing w:val="-8"/>
        </w:rPr>
        <w:t>场规模、足够多的用户数量以及足够高的市场地位，这一点同前文提</w:t>
      </w:r>
      <w:r>
        <w:rPr>
          <w:rFonts w:ascii="SimSun" w:hAnsi="SimSun" w:eastAsia="SimSun" w:cs="SimSun"/>
          <w:sz w:val="21"/>
          <w:szCs w:val="21"/>
          <w:spacing w:val="4"/>
        </w:rPr>
        <w:t xml:space="preserve">   </w:t>
      </w:r>
      <w:r>
        <w:rPr>
          <w:rFonts w:ascii="SimSun" w:hAnsi="SimSun" w:eastAsia="SimSun" w:cs="SimSun"/>
          <w:sz w:val="21"/>
          <w:szCs w:val="21"/>
          <w:spacing w:val="-1"/>
        </w:rPr>
        <w:t>到的平台企业的公益性及其提供产品和服务的“关键信息基</w:t>
      </w:r>
      <w:r>
        <w:rPr>
          <w:rFonts w:ascii="SimSun" w:hAnsi="SimSun" w:eastAsia="SimSun" w:cs="SimSun"/>
          <w:sz w:val="21"/>
          <w:szCs w:val="21"/>
          <w:spacing w:val="-2"/>
        </w:rPr>
        <w:t>础设施”</w:t>
      </w:r>
      <w:r>
        <w:rPr>
          <w:rFonts w:ascii="SimSun" w:hAnsi="SimSun" w:eastAsia="SimSun" w:cs="SimSun"/>
          <w:sz w:val="21"/>
          <w:szCs w:val="21"/>
        </w:rPr>
        <w:t xml:space="preserve"> </w:t>
      </w:r>
      <w:r>
        <w:rPr>
          <w:rFonts w:ascii="SimSun" w:hAnsi="SimSun" w:eastAsia="SimSun" w:cs="SimSun"/>
          <w:sz w:val="21"/>
          <w:szCs w:val="21"/>
          <w:spacing w:val="-8"/>
        </w:rPr>
        <w:t>属性相一致；第三，数字守门人需承担的主要是中立性义务，即保障</w:t>
      </w:r>
      <w:r>
        <w:rPr>
          <w:rFonts w:ascii="SimSun" w:hAnsi="SimSun" w:eastAsia="SimSun" w:cs="SimSun"/>
          <w:sz w:val="21"/>
          <w:szCs w:val="21"/>
          <w:spacing w:val="4"/>
        </w:rPr>
        <w:t xml:space="preserve">   </w:t>
      </w:r>
      <w:r>
        <w:rPr>
          <w:rFonts w:ascii="SimSun" w:hAnsi="SimSun" w:eastAsia="SimSun" w:cs="SimSun"/>
          <w:sz w:val="21"/>
          <w:szCs w:val="21"/>
          <w:spacing w:val="-14"/>
        </w:rPr>
        <w:t>“互联互通”,以及不允许“自我优待”“二选一”相关行为等。显然，</w:t>
      </w:r>
      <w:r>
        <w:rPr>
          <w:rFonts w:ascii="SimSun" w:hAnsi="SimSun" w:eastAsia="SimSun" w:cs="SimSun"/>
          <w:sz w:val="21"/>
          <w:szCs w:val="21"/>
          <w:spacing w:val="1"/>
        </w:rPr>
        <w:t xml:space="preserve">  </w:t>
      </w:r>
      <w:r>
        <w:rPr>
          <w:rFonts w:ascii="SimSun" w:hAnsi="SimSun" w:eastAsia="SimSun" w:cs="SimSun"/>
          <w:sz w:val="21"/>
          <w:szCs w:val="21"/>
          <w:spacing w:val="-8"/>
        </w:rPr>
        <w:t>平台企业履行这些义务的前提是确保数字市场的高效运行以及维护数</w:t>
      </w:r>
      <w:r>
        <w:rPr>
          <w:rFonts w:ascii="SimSun" w:hAnsi="SimSun" w:eastAsia="SimSun" w:cs="SimSun"/>
          <w:sz w:val="21"/>
          <w:szCs w:val="21"/>
          <w:spacing w:val="4"/>
        </w:rPr>
        <w:t xml:space="preserve">   </w:t>
      </w:r>
      <w:r>
        <w:rPr>
          <w:rFonts w:ascii="SimSun" w:hAnsi="SimSun" w:eastAsia="SimSun" w:cs="SimSun"/>
          <w:sz w:val="21"/>
          <w:szCs w:val="21"/>
          <w:spacing w:val="-6"/>
        </w:rPr>
        <w:t>据安全等企业社会责任的相关要求。</w:t>
      </w:r>
    </w:p>
    <w:p>
      <w:pPr>
        <w:pStyle w:val="BodyText"/>
        <w:spacing w:line="383" w:lineRule="auto"/>
        <w:rPr/>
      </w:pPr>
      <w:r/>
    </w:p>
    <w:p>
      <w:pPr>
        <w:ind w:left="569"/>
        <w:spacing w:before="104" w:line="219" w:lineRule="auto"/>
        <w:rPr>
          <w:rFonts w:ascii="SimSun" w:hAnsi="SimSun" w:eastAsia="SimSun" w:cs="SimSun"/>
          <w:sz w:val="32"/>
          <w:szCs w:val="32"/>
        </w:rPr>
      </w:pPr>
      <w:r>
        <w:rPr>
          <w:rFonts w:ascii="SimSun" w:hAnsi="SimSun" w:eastAsia="SimSun" w:cs="SimSun"/>
          <w:sz w:val="32"/>
          <w:szCs w:val="32"/>
          <w:b/>
          <w:bCs/>
          <w:spacing w:val="-5"/>
        </w:rPr>
        <w:t>数字平台反垄断与规制中的几个问题</w:t>
      </w:r>
    </w:p>
    <w:p>
      <w:pPr>
        <w:pStyle w:val="BodyText"/>
        <w:spacing w:line="282" w:lineRule="auto"/>
        <w:rPr/>
      </w:pPr>
      <w:r/>
    </w:p>
    <w:p>
      <w:pPr>
        <w:ind w:left="105" w:right="167" w:firstLine="420"/>
        <w:spacing w:before="69" w:line="300" w:lineRule="auto"/>
        <w:jc w:val="both"/>
        <w:rPr>
          <w:rFonts w:ascii="SimSun" w:hAnsi="SimSun" w:eastAsia="SimSun" w:cs="SimSun"/>
          <w:sz w:val="21"/>
          <w:szCs w:val="21"/>
        </w:rPr>
      </w:pPr>
      <w:r>
        <w:rPr>
          <w:rFonts w:ascii="SimSun" w:hAnsi="SimSun" w:eastAsia="SimSun" w:cs="SimSun"/>
          <w:sz w:val="21"/>
          <w:szCs w:val="21"/>
          <w:spacing w:val="-11"/>
        </w:rPr>
        <w:t>反垄断与规制是政府干预企业运行的常见方式，随着数字平台的</w:t>
      </w:r>
      <w:r>
        <w:rPr>
          <w:rFonts w:ascii="SimSun" w:hAnsi="SimSun" w:eastAsia="SimSun" w:cs="SimSun"/>
          <w:sz w:val="21"/>
          <w:szCs w:val="21"/>
          <w:spacing w:val="2"/>
        </w:rPr>
        <w:t xml:space="preserve"> </w:t>
      </w:r>
      <w:r>
        <w:rPr>
          <w:rFonts w:ascii="SimSun" w:hAnsi="SimSun" w:eastAsia="SimSun" w:cs="SimSun"/>
          <w:sz w:val="21"/>
          <w:szCs w:val="21"/>
          <w:spacing w:val="-11"/>
        </w:rPr>
        <w:t>经济和社会影响</w:t>
      </w:r>
      <w:r>
        <w:rPr>
          <w:rFonts w:ascii="SimSun" w:hAnsi="SimSun" w:eastAsia="SimSun" w:cs="SimSun"/>
          <w:sz w:val="21"/>
          <w:szCs w:val="21"/>
          <w:u w:val="single" w:color="auto"/>
          <w:spacing w:val="-11"/>
        </w:rPr>
        <w:t>力迅速</w:t>
      </w:r>
      <w:r>
        <w:rPr>
          <w:rFonts w:ascii="SimSun" w:hAnsi="SimSun" w:eastAsia="SimSun" w:cs="SimSun"/>
          <w:sz w:val="21"/>
          <w:szCs w:val="21"/>
          <w:spacing w:val="-11"/>
        </w:rPr>
        <w:t>扩大，数字平台的反垄断与规制问题越</w:t>
      </w:r>
      <w:r>
        <w:rPr>
          <w:rFonts w:ascii="SimSun" w:hAnsi="SimSun" w:eastAsia="SimSun" w:cs="SimSun"/>
          <w:sz w:val="21"/>
          <w:szCs w:val="21"/>
          <w:u w:val="single" w:color="auto"/>
          <w:spacing w:val="-11"/>
        </w:rPr>
        <w:t>来</w:t>
      </w:r>
      <w:r>
        <w:rPr>
          <w:rFonts w:ascii="SimSun" w:hAnsi="SimSun" w:eastAsia="SimSun" w:cs="SimSun"/>
          <w:sz w:val="21"/>
          <w:szCs w:val="21"/>
          <w:u w:val="single" w:color="auto"/>
          <w:spacing w:val="-12"/>
        </w:rPr>
        <w:t>越重</w:t>
      </w:r>
      <w:r>
        <w:rPr>
          <w:rFonts w:ascii="SimSun" w:hAnsi="SimSun" w:eastAsia="SimSun" w:cs="SimSun"/>
          <w:sz w:val="21"/>
          <w:szCs w:val="21"/>
        </w:rPr>
        <w:t xml:space="preserve"> </w:t>
      </w:r>
      <w:r>
        <w:rPr>
          <w:rFonts w:ascii="SimSun" w:hAnsi="SimSun" w:eastAsia="SimSun" w:cs="SimSun"/>
          <w:sz w:val="21"/>
          <w:szCs w:val="21"/>
          <w:spacing w:val="-11"/>
        </w:rPr>
        <w:t>要。如果大型平台的行为具有针对竞争对手的排他性，平台</w:t>
      </w:r>
      <w:r>
        <w:rPr>
          <w:rFonts w:ascii="SimSun" w:hAnsi="SimSun" w:eastAsia="SimSun" w:cs="SimSun"/>
          <w:sz w:val="21"/>
          <w:szCs w:val="21"/>
          <w:spacing w:val="-12"/>
        </w:rPr>
        <w:t>之间的兼</w:t>
      </w:r>
      <w:r>
        <w:rPr>
          <w:rFonts w:ascii="SimSun" w:hAnsi="SimSun" w:eastAsia="SimSun" w:cs="SimSun"/>
          <w:sz w:val="21"/>
          <w:szCs w:val="21"/>
        </w:rPr>
        <w:t xml:space="preserve"> </w:t>
      </w:r>
      <w:r>
        <w:rPr>
          <w:rFonts w:ascii="SimSun" w:hAnsi="SimSun" w:eastAsia="SimSun" w:cs="SimSun"/>
          <w:sz w:val="21"/>
          <w:szCs w:val="21"/>
          <w:spacing w:val="-11"/>
        </w:rPr>
        <w:t>并重组不利于保持市场竞争，或者平台行为违反公平原则，那么反垄</w:t>
      </w:r>
      <w:r>
        <w:rPr>
          <w:rFonts w:ascii="SimSun" w:hAnsi="SimSun" w:eastAsia="SimSun" w:cs="SimSun"/>
          <w:sz w:val="21"/>
          <w:szCs w:val="21"/>
        </w:rPr>
        <w:t xml:space="preserve"> </w:t>
      </w:r>
      <w:r>
        <w:rPr>
          <w:rFonts w:ascii="SimSun" w:hAnsi="SimSun" w:eastAsia="SimSun" w:cs="SimSun"/>
          <w:sz w:val="21"/>
          <w:szCs w:val="21"/>
          <w:spacing w:val="-11"/>
        </w:rPr>
        <w:t>断机构就可能介入调查并开展执法活动。与反垄断执法行为相比，政</w:t>
      </w:r>
      <w:r>
        <w:rPr>
          <w:rFonts w:ascii="SimSun" w:hAnsi="SimSun" w:eastAsia="SimSun" w:cs="SimSun"/>
          <w:sz w:val="21"/>
          <w:szCs w:val="21"/>
          <w:spacing w:val="17"/>
        </w:rPr>
        <w:t xml:space="preserve"> </w:t>
      </w:r>
      <w:r>
        <w:rPr>
          <w:rFonts w:ascii="SimSun" w:hAnsi="SimSun" w:eastAsia="SimSun" w:cs="SimSun"/>
          <w:sz w:val="21"/>
          <w:szCs w:val="21"/>
          <w:spacing w:val="-11"/>
        </w:rPr>
        <w:t>府规制更加强调日常的监督、管理和干预，但两者之间的界限在经济</w:t>
      </w:r>
    </w:p>
    <w:p>
      <w:pPr>
        <w:spacing w:line="300" w:lineRule="auto"/>
        <w:sectPr>
          <w:headerReference w:type="default" r:id="rId352"/>
          <w:pgSz w:w="7330" w:h="12480"/>
          <w:pgMar w:top="835" w:right="947" w:bottom="400" w:left="114" w:header="673" w:footer="0" w:gutter="0"/>
        </w:sectPr>
        <w:rPr>
          <w:rFonts w:ascii="SimSun" w:hAnsi="SimSun" w:eastAsia="SimSun" w:cs="SimSun"/>
          <w:sz w:val="21"/>
          <w:szCs w:val="21"/>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right="99"/>
        <w:spacing w:before="61" w:line="359" w:lineRule="auto"/>
        <w:jc w:val="both"/>
        <w:rPr>
          <w:rFonts w:ascii="SimSun" w:hAnsi="SimSun" w:eastAsia="SimSun" w:cs="SimSun"/>
          <w:sz w:val="19"/>
          <w:szCs w:val="19"/>
        </w:rPr>
      </w:pPr>
      <w:r>
        <w:rPr>
          <w:rFonts w:ascii="SimSun" w:hAnsi="SimSun" w:eastAsia="SimSun" w:cs="SimSun"/>
          <w:sz w:val="19"/>
          <w:szCs w:val="19"/>
          <w:spacing w:val="10"/>
        </w:rPr>
        <w:t>学意义上未必清晰。由于数字平台高度贴近最终消费者</w:t>
      </w:r>
      <w:r>
        <w:rPr>
          <w:rFonts w:ascii="SimSun" w:hAnsi="SimSun" w:eastAsia="SimSun" w:cs="SimSun"/>
          <w:sz w:val="19"/>
          <w:szCs w:val="19"/>
          <w:spacing w:val="9"/>
        </w:rPr>
        <w:t>的特点，可相</w:t>
      </w:r>
      <w:r>
        <w:rPr>
          <w:rFonts w:ascii="SimSun" w:hAnsi="SimSun" w:eastAsia="SimSun" w:cs="SimSun"/>
          <w:sz w:val="19"/>
          <w:szCs w:val="19"/>
        </w:rPr>
        <w:t xml:space="preserve"> </w:t>
      </w:r>
      <w:r>
        <w:rPr>
          <w:rFonts w:ascii="SimSun" w:hAnsi="SimSun" w:eastAsia="SimSun" w:cs="SimSun"/>
          <w:sz w:val="19"/>
          <w:szCs w:val="19"/>
          <w:spacing w:val="9"/>
        </w:rPr>
        <w:t>机调整的规制可能更加有利于保障平台经济的平稳发展，但同时也可</w:t>
      </w:r>
    </w:p>
    <w:p>
      <w:pPr>
        <w:spacing w:line="218" w:lineRule="auto"/>
        <w:rPr>
          <w:rFonts w:ascii="SimSun" w:hAnsi="SimSun" w:eastAsia="SimSun" w:cs="SimSun"/>
          <w:sz w:val="19"/>
          <w:szCs w:val="19"/>
        </w:rPr>
      </w:pPr>
      <w:r>
        <w:rPr>
          <w:rFonts w:ascii="SimSun" w:hAnsi="SimSun" w:eastAsia="SimSun" w:cs="SimSun"/>
          <w:sz w:val="19"/>
          <w:szCs w:val="19"/>
          <w:spacing w:val="8"/>
        </w:rPr>
        <w:t>能造成政府边界模糊、不当干预企业运营等问题。</w:t>
      </w:r>
    </w:p>
    <w:p>
      <w:pPr>
        <w:ind w:right="50" w:firstLine="440"/>
        <w:spacing w:before="124" w:line="350" w:lineRule="auto"/>
        <w:jc w:val="both"/>
        <w:rPr>
          <w:rFonts w:ascii="SimSun" w:hAnsi="SimSun" w:eastAsia="SimSun" w:cs="SimSun"/>
          <w:sz w:val="19"/>
          <w:szCs w:val="19"/>
        </w:rPr>
      </w:pPr>
      <w:r>
        <w:rPr>
          <w:rFonts w:ascii="SimSun" w:hAnsi="SimSun" w:eastAsia="SimSun" w:cs="SimSun"/>
          <w:sz w:val="19"/>
          <w:szCs w:val="19"/>
          <w:spacing w:val="17"/>
        </w:rPr>
        <w:t>反垄断的前提是市场边界的划分。应该明确的是，数字平台的</w:t>
      </w:r>
      <w:r>
        <w:rPr>
          <w:rFonts w:ascii="SimSun" w:hAnsi="SimSun" w:eastAsia="SimSun" w:cs="SimSun"/>
          <w:sz w:val="19"/>
          <w:szCs w:val="19"/>
          <w:spacing w:val="14"/>
        </w:rPr>
        <w:t xml:space="preserve"> </w:t>
      </w:r>
      <w:r>
        <w:rPr>
          <w:rFonts w:ascii="SimSun" w:hAnsi="SimSun" w:eastAsia="SimSun" w:cs="SimSun"/>
          <w:sz w:val="19"/>
          <w:szCs w:val="19"/>
          <w:spacing w:val="9"/>
        </w:rPr>
        <w:t>核心业务不是其免费或低价提供的基础服务，而更多是流量和数据服</w:t>
      </w:r>
      <w:r>
        <w:rPr>
          <w:rFonts w:ascii="SimSun" w:hAnsi="SimSun" w:eastAsia="SimSun" w:cs="SimSun"/>
          <w:sz w:val="19"/>
          <w:szCs w:val="19"/>
          <w:spacing w:val="16"/>
        </w:rPr>
        <w:t xml:space="preserve"> </w:t>
      </w:r>
      <w:r>
        <w:rPr>
          <w:rFonts w:ascii="SimSun" w:hAnsi="SimSun" w:eastAsia="SimSun" w:cs="SimSun"/>
          <w:sz w:val="19"/>
          <w:szCs w:val="19"/>
          <w:spacing w:val="9"/>
        </w:rPr>
        <w:t>务。平台通过基础服务汇集用户注意力，将其导向特定商户，从中获</w:t>
      </w:r>
      <w:r>
        <w:rPr>
          <w:rFonts w:ascii="SimSun" w:hAnsi="SimSun" w:eastAsia="SimSun" w:cs="SimSun"/>
          <w:sz w:val="19"/>
          <w:szCs w:val="19"/>
          <w:spacing w:val="17"/>
        </w:rPr>
        <w:t xml:space="preserve"> </w:t>
      </w:r>
      <w:r>
        <w:rPr>
          <w:rFonts w:ascii="SimSun" w:hAnsi="SimSun" w:eastAsia="SimSun" w:cs="SimSun"/>
          <w:sz w:val="19"/>
          <w:szCs w:val="19"/>
          <w:spacing w:val="9"/>
        </w:rPr>
        <w:t>取收入，同时通过分析历史数据为商户提供有偿咨询。过于强大的客</w:t>
      </w:r>
    </w:p>
    <w:p>
      <w:pPr>
        <w:spacing w:line="219" w:lineRule="auto"/>
        <w:rPr>
          <w:rFonts w:ascii="SimSun" w:hAnsi="SimSun" w:eastAsia="SimSun" w:cs="SimSun"/>
          <w:sz w:val="19"/>
          <w:szCs w:val="19"/>
        </w:rPr>
      </w:pPr>
      <w:r>
        <w:rPr>
          <w:rFonts w:ascii="SimSun" w:hAnsi="SimSun" w:eastAsia="SimSun" w:cs="SimSun"/>
          <w:sz w:val="19"/>
          <w:szCs w:val="19"/>
          <w:spacing w:val="9"/>
        </w:rPr>
        <w:t>户导流和数据分析能力，可能导致垄断，最终还</w:t>
      </w:r>
      <w:r>
        <w:rPr>
          <w:rFonts w:ascii="SimSun" w:hAnsi="SimSun" w:eastAsia="SimSun" w:cs="SimSun"/>
          <w:sz w:val="19"/>
          <w:szCs w:val="19"/>
          <w:spacing w:val="8"/>
        </w:rPr>
        <w:t>是由消费者买单。</w:t>
      </w:r>
    </w:p>
    <w:p>
      <w:pPr>
        <w:ind w:firstLine="440"/>
        <w:spacing w:before="113" w:line="350" w:lineRule="auto"/>
        <w:jc w:val="both"/>
        <w:rPr>
          <w:rFonts w:ascii="SimSun" w:hAnsi="SimSun" w:eastAsia="SimSun" w:cs="SimSun"/>
          <w:sz w:val="19"/>
          <w:szCs w:val="19"/>
        </w:rPr>
      </w:pPr>
      <w:r>
        <w:rPr>
          <w:rFonts w:ascii="SimSun" w:hAnsi="SimSun" w:eastAsia="SimSun" w:cs="SimSun"/>
          <w:sz w:val="19"/>
          <w:szCs w:val="19"/>
          <w:spacing w:val="8"/>
        </w:rPr>
        <w:t>根据我国《反垄断法》,反垄断的目的是“预防和制止垄断行为，</w:t>
      </w:r>
      <w:r>
        <w:rPr>
          <w:rFonts w:ascii="SimSun" w:hAnsi="SimSun" w:eastAsia="SimSun" w:cs="SimSun"/>
          <w:sz w:val="19"/>
          <w:szCs w:val="19"/>
          <w:spacing w:val="7"/>
        </w:rPr>
        <w:t xml:space="preserve"> </w:t>
      </w:r>
      <w:r>
        <w:rPr>
          <w:rFonts w:ascii="SimSun" w:hAnsi="SimSun" w:eastAsia="SimSun" w:cs="SimSun"/>
          <w:sz w:val="19"/>
          <w:szCs w:val="19"/>
          <w:spacing w:val="9"/>
        </w:rPr>
        <w:t>保护市场公平竞争，提高经济运行效率，维护消费者利益和社会公共</w:t>
      </w:r>
      <w:r>
        <w:rPr>
          <w:rFonts w:ascii="SimSun" w:hAnsi="SimSun" w:eastAsia="SimSun" w:cs="SimSun"/>
          <w:sz w:val="19"/>
          <w:szCs w:val="19"/>
          <w:spacing w:val="8"/>
        </w:rPr>
        <w:t xml:space="preserve">  </w:t>
      </w:r>
      <w:r>
        <w:rPr>
          <w:rFonts w:ascii="SimSun" w:hAnsi="SimSun" w:eastAsia="SimSun" w:cs="SimSun"/>
          <w:sz w:val="19"/>
          <w:szCs w:val="19"/>
          <w:spacing w:val="10"/>
        </w:rPr>
        <w:t>利益，促进社会主义市场经济健康发展”。其中没有</w:t>
      </w:r>
      <w:r>
        <w:rPr>
          <w:rFonts w:ascii="SimSun" w:hAnsi="SimSun" w:eastAsia="SimSun" w:cs="SimSun"/>
          <w:sz w:val="19"/>
          <w:szCs w:val="19"/>
          <w:spacing w:val="9"/>
        </w:rPr>
        <w:t>直接提及企业利</w:t>
      </w:r>
      <w:r>
        <w:rPr>
          <w:rFonts w:ascii="SimSun" w:hAnsi="SimSun" w:eastAsia="SimSun" w:cs="SimSun"/>
          <w:sz w:val="19"/>
          <w:szCs w:val="19"/>
        </w:rPr>
        <w:t xml:space="preserve">  </w:t>
      </w:r>
      <w:r>
        <w:rPr>
          <w:rFonts w:ascii="SimSun" w:hAnsi="SimSun" w:eastAsia="SimSun" w:cs="SimSun"/>
          <w:sz w:val="19"/>
          <w:szCs w:val="19"/>
          <w:spacing w:val="9"/>
        </w:rPr>
        <w:t>益，但是企业利益应该属于“社会公共利益”的一部分。事实上，过</w:t>
      </w:r>
      <w:r>
        <w:rPr>
          <w:rFonts w:ascii="SimSun" w:hAnsi="SimSun" w:eastAsia="SimSun" w:cs="SimSun"/>
          <w:sz w:val="19"/>
          <w:szCs w:val="19"/>
          <w:spacing w:val="8"/>
        </w:rPr>
        <w:t xml:space="preserve">  </w:t>
      </w:r>
      <w:r>
        <w:rPr>
          <w:rFonts w:ascii="SimSun" w:hAnsi="SimSun" w:eastAsia="SimSun" w:cs="SimSun"/>
          <w:sz w:val="19"/>
          <w:szCs w:val="19"/>
          <w:spacing w:val="9"/>
        </w:rPr>
        <w:t>度忽略企业利益，不一定是保护消费者利益或社会公共利益的最佳方</w:t>
      </w:r>
      <w:r>
        <w:rPr>
          <w:rFonts w:ascii="SimSun" w:hAnsi="SimSun" w:eastAsia="SimSun" w:cs="SimSun"/>
          <w:sz w:val="19"/>
          <w:szCs w:val="19"/>
          <w:spacing w:val="8"/>
        </w:rPr>
        <w:t xml:space="preserve">  </w:t>
      </w:r>
      <w:r>
        <w:rPr>
          <w:rFonts w:ascii="SimSun" w:hAnsi="SimSun" w:eastAsia="SimSun" w:cs="SimSun"/>
          <w:sz w:val="19"/>
          <w:szCs w:val="19"/>
          <w:spacing w:val="9"/>
        </w:rPr>
        <w:t>式。这是因为企业本身是为社会创造价值的，没有现代企业也就</w:t>
      </w:r>
      <w:r>
        <w:rPr>
          <w:rFonts w:ascii="SimSun" w:hAnsi="SimSun" w:eastAsia="SimSun" w:cs="SimSun"/>
          <w:sz w:val="19"/>
          <w:szCs w:val="19"/>
          <w:spacing w:val="8"/>
        </w:rPr>
        <w:t>没有</w:t>
      </w:r>
    </w:p>
    <w:p>
      <w:pPr>
        <w:spacing w:line="219" w:lineRule="auto"/>
        <w:rPr>
          <w:rFonts w:ascii="SimSun" w:hAnsi="SimSun" w:eastAsia="SimSun" w:cs="SimSun"/>
          <w:sz w:val="19"/>
          <w:szCs w:val="19"/>
        </w:rPr>
      </w:pPr>
      <w:r>
        <w:rPr>
          <w:rFonts w:ascii="SimSun" w:hAnsi="SimSun" w:eastAsia="SimSun" w:cs="SimSun"/>
          <w:sz w:val="19"/>
          <w:szCs w:val="19"/>
          <w:spacing w:val="9"/>
        </w:rPr>
        <w:t>现代经济，而且企业归根到底由消费者拥有。</w:t>
      </w:r>
    </w:p>
    <w:p>
      <w:pPr>
        <w:ind w:right="47" w:firstLine="440"/>
        <w:spacing w:before="133" w:line="350" w:lineRule="auto"/>
        <w:jc w:val="both"/>
        <w:rPr>
          <w:rFonts w:ascii="SimSun" w:hAnsi="SimSun" w:eastAsia="SimSun" w:cs="SimSun"/>
          <w:sz w:val="19"/>
          <w:szCs w:val="19"/>
        </w:rPr>
      </w:pPr>
      <w:r>
        <w:rPr>
          <w:rFonts w:ascii="SimSun" w:hAnsi="SimSun" w:eastAsia="SimSun" w:cs="SimSun"/>
          <w:sz w:val="19"/>
          <w:szCs w:val="19"/>
          <w:spacing w:val="17"/>
        </w:rPr>
        <w:t>我国市场规模巨大，消费层次丰富，在很多领域都可以容纳多 </w:t>
      </w:r>
      <w:r>
        <w:rPr>
          <w:rFonts w:ascii="SimSun" w:hAnsi="SimSun" w:eastAsia="SimSun" w:cs="SimSun"/>
          <w:sz w:val="19"/>
          <w:szCs w:val="19"/>
          <w:spacing w:val="9"/>
        </w:rPr>
        <w:t>个平台企业同台竞技。平台经济的一个基本特征是网络外部性，使平</w:t>
      </w:r>
      <w:r>
        <w:rPr>
          <w:rFonts w:ascii="SimSun" w:hAnsi="SimSun" w:eastAsia="SimSun" w:cs="SimSun"/>
          <w:sz w:val="19"/>
          <w:szCs w:val="19"/>
          <w:spacing w:val="17"/>
        </w:rPr>
        <w:t xml:space="preserve"> </w:t>
      </w:r>
      <w:r>
        <w:rPr>
          <w:rFonts w:ascii="SimSun" w:hAnsi="SimSun" w:eastAsia="SimSun" w:cs="SimSun"/>
          <w:sz w:val="19"/>
          <w:szCs w:val="19"/>
          <w:spacing w:val="9"/>
        </w:rPr>
        <w:t>台效率与充分竞争之间存在一定矛盾。网络外部性还使平台行业具有</w:t>
      </w:r>
      <w:r>
        <w:rPr>
          <w:rFonts w:ascii="SimSun" w:hAnsi="SimSun" w:eastAsia="SimSun" w:cs="SimSun"/>
          <w:sz w:val="19"/>
          <w:szCs w:val="19"/>
          <w:spacing w:val="18"/>
        </w:rPr>
        <w:t xml:space="preserve"> </w:t>
      </w:r>
      <w:r>
        <w:rPr>
          <w:rFonts w:ascii="SimSun" w:hAnsi="SimSun" w:eastAsia="SimSun" w:cs="SimSun"/>
          <w:sz w:val="19"/>
          <w:szCs w:val="19"/>
          <w:spacing w:val="9"/>
        </w:rPr>
        <w:t>先发优势，当一个平台成功占位后，新平台的进入就比较困难，但事</w:t>
      </w:r>
      <w:r>
        <w:rPr>
          <w:rFonts w:ascii="SimSun" w:hAnsi="SimSun" w:eastAsia="SimSun" w:cs="SimSun"/>
          <w:sz w:val="19"/>
          <w:szCs w:val="19"/>
          <w:spacing w:val="18"/>
        </w:rPr>
        <w:t xml:space="preserve"> </w:t>
      </w:r>
      <w:r>
        <w:rPr>
          <w:rFonts w:ascii="SimSun" w:hAnsi="SimSun" w:eastAsia="SimSun" w:cs="SimSun"/>
          <w:sz w:val="19"/>
          <w:szCs w:val="19"/>
          <w:spacing w:val="10"/>
        </w:rPr>
        <w:t>实证明，进入仍然是可能的。我国的多数平</w:t>
      </w:r>
      <w:r>
        <w:rPr>
          <w:rFonts w:ascii="SimSun" w:hAnsi="SimSun" w:eastAsia="SimSun" w:cs="SimSun"/>
          <w:sz w:val="19"/>
          <w:szCs w:val="19"/>
          <w:spacing w:val="9"/>
        </w:rPr>
        <w:t>台领域大多已从“一家独</w:t>
      </w:r>
      <w:r>
        <w:rPr>
          <w:rFonts w:ascii="SimSun" w:hAnsi="SimSun" w:eastAsia="SimSun" w:cs="SimSun"/>
          <w:sz w:val="19"/>
          <w:szCs w:val="19"/>
        </w:rPr>
        <w:t xml:space="preserve"> </w:t>
      </w:r>
      <w:r>
        <w:rPr>
          <w:rFonts w:ascii="SimSun" w:hAnsi="SimSun" w:eastAsia="SimSun" w:cs="SimSun"/>
          <w:sz w:val="19"/>
          <w:szCs w:val="19"/>
          <w:spacing w:val="9"/>
        </w:rPr>
        <w:t>大”向“百花齐放”转变。虽然部分平台的规模仍然很大，但是竞争</w:t>
      </w:r>
    </w:p>
    <w:p>
      <w:pPr>
        <w:spacing w:line="218" w:lineRule="auto"/>
        <w:rPr>
          <w:rFonts w:ascii="SimSun" w:hAnsi="SimSun" w:eastAsia="SimSun" w:cs="SimSun"/>
          <w:sz w:val="19"/>
          <w:szCs w:val="19"/>
        </w:rPr>
      </w:pPr>
      <w:r>
        <w:rPr>
          <w:rFonts w:ascii="SimSun" w:hAnsi="SimSun" w:eastAsia="SimSun" w:cs="SimSun"/>
          <w:sz w:val="19"/>
          <w:szCs w:val="19"/>
          <w:spacing w:val="8"/>
        </w:rPr>
        <w:t>已经比较充分，基本不存在垄断的可能性。例</w:t>
      </w:r>
      <w:r>
        <w:rPr>
          <w:rFonts w:ascii="SimSun" w:hAnsi="SimSun" w:eastAsia="SimSun" w:cs="SimSun"/>
          <w:sz w:val="19"/>
          <w:szCs w:val="19"/>
          <w:spacing w:val="7"/>
        </w:rPr>
        <w:t>如：</w:t>
      </w:r>
    </w:p>
    <w:p>
      <w:pPr>
        <w:pStyle w:val="BodyText"/>
        <w:spacing w:line="442" w:lineRule="auto"/>
        <w:rPr/>
      </w:pPr>
      <w:r/>
    </w:p>
    <w:p>
      <w:pPr>
        <w:ind w:left="580" w:hanging="140"/>
        <w:spacing w:before="63" w:line="352" w:lineRule="auto"/>
        <w:rPr>
          <w:rFonts w:ascii="KaiTi" w:hAnsi="KaiTi" w:eastAsia="KaiTi" w:cs="KaiTi"/>
          <w:sz w:val="19"/>
          <w:szCs w:val="19"/>
        </w:rPr>
      </w:pPr>
      <w:r>
        <w:rPr>
          <w:rFonts w:ascii="KaiTi" w:hAnsi="KaiTi" w:eastAsia="KaiTi" w:cs="KaiTi"/>
          <w:sz w:val="19"/>
          <w:szCs w:val="19"/>
          <w:spacing w:val="18"/>
        </w:rPr>
        <w:t>·</w:t>
      </w:r>
      <w:r>
        <w:rPr>
          <w:rFonts w:ascii="KaiTi" w:hAnsi="KaiTi" w:eastAsia="KaiTi" w:cs="KaiTi"/>
          <w:sz w:val="19"/>
          <w:szCs w:val="19"/>
          <w:spacing w:val="-58"/>
        </w:rPr>
        <w:t xml:space="preserve"> </w:t>
      </w:r>
      <w:r>
        <w:rPr>
          <w:rFonts w:ascii="KaiTi" w:hAnsi="KaiTi" w:eastAsia="KaiTi" w:cs="KaiTi"/>
          <w:sz w:val="19"/>
          <w:szCs w:val="19"/>
          <w:spacing w:val="18"/>
        </w:rPr>
        <w:t>在网络购物行业，虽然阿里巴巴集团的市场份额仍然偏大，</w:t>
      </w:r>
      <w:r>
        <w:rPr>
          <w:rFonts w:ascii="KaiTi" w:hAnsi="KaiTi" w:eastAsia="KaiTi" w:cs="KaiTi"/>
          <w:sz w:val="19"/>
          <w:szCs w:val="19"/>
        </w:rPr>
        <w:t xml:space="preserve"> </w:t>
      </w:r>
      <w:r>
        <w:rPr>
          <w:rFonts w:ascii="KaiTi" w:hAnsi="KaiTi" w:eastAsia="KaiTi" w:cs="KaiTi"/>
          <w:sz w:val="19"/>
          <w:szCs w:val="19"/>
          <w:spacing w:val="20"/>
        </w:rPr>
        <w:t>但有京东、微商、拼多多等竞争者，以及许多其他小型特色</w:t>
      </w:r>
    </w:p>
    <w:p>
      <w:pPr>
        <w:ind w:left="600"/>
        <w:spacing w:before="1" w:line="223" w:lineRule="auto"/>
        <w:rPr>
          <w:rFonts w:ascii="KaiTi" w:hAnsi="KaiTi" w:eastAsia="KaiTi" w:cs="KaiTi"/>
          <w:sz w:val="19"/>
          <w:szCs w:val="19"/>
        </w:rPr>
      </w:pPr>
      <w:r>
        <w:rPr>
          <w:rFonts w:ascii="KaiTi" w:hAnsi="KaiTi" w:eastAsia="KaiTi" w:cs="KaiTi"/>
          <w:sz w:val="19"/>
          <w:szCs w:val="19"/>
          <w:spacing w:val="-2"/>
        </w:rPr>
        <w:t>平台；</w:t>
      </w:r>
    </w:p>
    <w:p>
      <w:pPr>
        <w:ind w:left="440"/>
        <w:spacing w:before="126" w:line="220" w:lineRule="auto"/>
        <w:rPr>
          <w:rFonts w:ascii="KaiTi" w:hAnsi="KaiTi" w:eastAsia="KaiTi" w:cs="KaiTi"/>
          <w:sz w:val="19"/>
          <w:szCs w:val="19"/>
        </w:rPr>
      </w:pPr>
      <w:r>
        <w:rPr>
          <w:rFonts w:ascii="KaiTi" w:hAnsi="KaiTi" w:eastAsia="KaiTi" w:cs="KaiTi"/>
          <w:sz w:val="19"/>
          <w:szCs w:val="19"/>
          <w:spacing w:val="18"/>
        </w:rPr>
        <w:t>·在网约车行业，滴滴出行的规模较大，但</w:t>
      </w:r>
      <w:r>
        <w:rPr>
          <w:rFonts w:ascii="KaiTi" w:hAnsi="KaiTi" w:eastAsia="KaiTi" w:cs="KaiTi"/>
          <w:sz w:val="19"/>
          <w:szCs w:val="19"/>
          <w:spacing w:val="17"/>
        </w:rPr>
        <w:t>是也有美团这样的</w:t>
      </w:r>
    </w:p>
    <w:p>
      <w:pPr>
        <w:spacing w:line="220" w:lineRule="auto"/>
        <w:sectPr>
          <w:headerReference w:type="default" r:id="rId353"/>
          <w:pgSz w:w="7330" w:h="12480"/>
          <w:pgMar w:top="539" w:right="494" w:bottom="400" w:left="739" w:header="351" w:footer="0" w:gutter="0"/>
        </w:sectPr>
        <w:rPr>
          <w:rFonts w:ascii="KaiTi" w:hAnsi="KaiTi" w:eastAsia="KaiTi" w:cs="KaiTi"/>
          <w:sz w:val="19"/>
          <w:szCs w:val="19"/>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469" w:right="23"/>
        <w:spacing w:before="68" w:line="274" w:lineRule="auto"/>
        <w:rPr>
          <w:rFonts w:ascii="SimSun" w:hAnsi="SimSun" w:eastAsia="SimSun" w:cs="SimSun"/>
          <w:sz w:val="21"/>
          <w:szCs w:val="21"/>
        </w:rPr>
      </w:pPr>
      <w:r>
        <w:rPr>
          <w:rFonts w:ascii="KaiTi" w:hAnsi="KaiTi" w:eastAsia="KaiTi" w:cs="KaiTi"/>
          <w:sz w:val="21"/>
          <w:szCs w:val="21"/>
          <w:spacing w:val="1"/>
        </w:rPr>
        <w:t>竞争平台，出行服务公司更是数量众多，随时可能成为新的</w:t>
      </w:r>
      <w:r>
        <w:rPr>
          <w:rFonts w:ascii="KaiTi" w:hAnsi="KaiTi" w:eastAsia="KaiTi" w:cs="KaiTi"/>
          <w:sz w:val="21"/>
          <w:szCs w:val="21"/>
          <w:spacing w:val="14"/>
        </w:rPr>
        <w:t xml:space="preserve"> </w:t>
      </w:r>
      <w:r>
        <w:rPr>
          <w:rFonts w:ascii="SimSun" w:hAnsi="SimSun" w:eastAsia="SimSun" w:cs="SimSun"/>
          <w:sz w:val="21"/>
          <w:szCs w:val="21"/>
          <w:spacing w:val="-13"/>
        </w:rPr>
        <w:t>平台；</w:t>
      </w:r>
    </w:p>
    <w:p>
      <w:pPr>
        <w:ind w:right="2"/>
        <w:spacing w:before="77" w:line="220" w:lineRule="auto"/>
        <w:jc w:val="right"/>
        <w:rPr>
          <w:rFonts w:ascii="KaiTi" w:hAnsi="KaiTi" w:eastAsia="KaiTi" w:cs="KaiTi"/>
          <w:sz w:val="21"/>
          <w:szCs w:val="21"/>
        </w:rPr>
      </w:pPr>
      <w:r>
        <w:rPr>
          <w:rFonts w:ascii="KaiTi" w:hAnsi="KaiTi" w:eastAsia="KaiTi" w:cs="KaiTi"/>
          <w:sz w:val="21"/>
          <w:szCs w:val="21"/>
          <w:spacing w:val="-9"/>
        </w:rPr>
        <w:t>·在外卖餐饮行业，美团的市场份额较大，但是面临来自饿了么</w:t>
      </w:r>
    </w:p>
    <w:p>
      <w:pPr>
        <w:ind w:right="18"/>
        <w:spacing w:before="119" w:line="380" w:lineRule="exact"/>
        <w:jc w:val="right"/>
        <w:rPr>
          <w:rFonts w:ascii="KaiTi" w:hAnsi="KaiTi" w:eastAsia="KaiTi" w:cs="KaiTi"/>
          <w:sz w:val="21"/>
          <w:szCs w:val="21"/>
        </w:rPr>
      </w:pPr>
      <w:r>
        <w:rPr>
          <w:rFonts w:ascii="KaiTi" w:hAnsi="KaiTi" w:eastAsia="KaiTi" w:cs="KaiTi"/>
          <w:sz w:val="21"/>
          <w:szCs w:val="21"/>
          <w:spacing w:val="-6"/>
          <w:position w:val="12"/>
        </w:rPr>
        <w:t>的有力竞争，百度、抖音等大型平台也在伺机进入，对</w:t>
      </w:r>
      <w:r>
        <w:rPr>
          <w:rFonts w:ascii="KaiTi" w:hAnsi="KaiTi" w:eastAsia="KaiTi" w:cs="KaiTi"/>
          <w:sz w:val="21"/>
          <w:szCs w:val="21"/>
          <w:spacing w:val="-7"/>
          <w:position w:val="12"/>
        </w:rPr>
        <w:t>在位企</w:t>
      </w:r>
    </w:p>
    <w:p>
      <w:pPr>
        <w:ind w:left="469"/>
        <w:spacing w:line="228" w:lineRule="auto"/>
        <w:rPr>
          <w:rFonts w:ascii="KaiTi" w:hAnsi="KaiTi" w:eastAsia="KaiTi" w:cs="KaiTi"/>
          <w:sz w:val="21"/>
          <w:szCs w:val="21"/>
        </w:rPr>
      </w:pPr>
      <w:r>
        <w:rPr>
          <w:rFonts w:ascii="KaiTi" w:hAnsi="KaiTi" w:eastAsia="KaiTi" w:cs="KaiTi"/>
          <w:sz w:val="21"/>
          <w:szCs w:val="21"/>
          <w:spacing w:val="-15"/>
        </w:rPr>
        <w:t>业构成很大压力；</w:t>
      </w:r>
    </w:p>
    <w:p>
      <w:pPr>
        <w:ind w:right="9"/>
        <w:spacing w:before="90" w:line="220" w:lineRule="auto"/>
        <w:jc w:val="right"/>
        <w:rPr>
          <w:rFonts w:ascii="KaiTi" w:hAnsi="KaiTi" w:eastAsia="KaiTi" w:cs="KaiTi"/>
          <w:sz w:val="21"/>
          <w:szCs w:val="21"/>
        </w:rPr>
      </w:pPr>
      <w:r>
        <w:rPr>
          <w:rFonts w:ascii="KaiTi" w:hAnsi="KaiTi" w:eastAsia="KaiTi" w:cs="KaiTi"/>
          <w:sz w:val="21"/>
          <w:szCs w:val="21"/>
          <w:spacing w:val="-9"/>
        </w:rPr>
        <w:t>·移动支付领域，除了要与传统支付方式竞争，本身也</w:t>
      </w:r>
      <w:r>
        <w:rPr>
          <w:rFonts w:ascii="KaiTi" w:hAnsi="KaiTi" w:eastAsia="KaiTi" w:cs="KaiTi"/>
          <w:sz w:val="21"/>
          <w:szCs w:val="21"/>
          <w:spacing w:val="-10"/>
        </w:rPr>
        <w:t>存在支付</w:t>
      </w:r>
    </w:p>
    <w:p>
      <w:pPr>
        <w:ind w:left="469"/>
        <w:spacing w:before="106" w:line="225" w:lineRule="auto"/>
        <w:rPr>
          <w:rFonts w:ascii="KaiTi" w:hAnsi="KaiTi" w:eastAsia="KaiTi" w:cs="KaiTi"/>
          <w:sz w:val="21"/>
          <w:szCs w:val="21"/>
        </w:rPr>
      </w:pPr>
      <w:r>
        <w:rPr>
          <w:rFonts w:ascii="KaiTi" w:hAnsi="KaiTi" w:eastAsia="KaiTi" w:cs="KaiTi"/>
          <w:sz w:val="21"/>
          <w:szCs w:val="21"/>
          <w:spacing w:val="-14"/>
        </w:rPr>
        <w:t>宝和财付通之间的竞争；</w:t>
      </w:r>
    </w:p>
    <w:p>
      <w:pPr>
        <w:ind w:left="359"/>
        <w:spacing w:before="108" w:line="220" w:lineRule="auto"/>
        <w:rPr>
          <w:rFonts w:ascii="KaiTi" w:hAnsi="KaiTi" w:eastAsia="KaiTi" w:cs="KaiTi"/>
          <w:sz w:val="21"/>
          <w:szCs w:val="21"/>
        </w:rPr>
      </w:pPr>
      <w:r>
        <w:rPr>
          <w:rFonts w:ascii="KaiTi" w:hAnsi="KaiTi" w:eastAsia="KaiTi" w:cs="KaiTi"/>
          <w:sz w:val="21"/>
          <w:szCs w:val="21"/>
          <w:spacing w:val="-3"/>
        </w:rPr>
        <w:t>·快递行业虽然天然具有规模和网络效应，但是有很多企业进</w:t>
      </w:r>
    </w:p>
    <w:p>
      <w:pPr>
        <w:ind w:left="469"/>
        <w:spacing w:before="89" w:line="220" w:lineRule="auto"/>
        <w:rPr>
          <w:rFonts w:ascii="KaiTi" w:hAnsi="KaiTi" w:eastAsia="KaiTi" w:cs="KaiTi"/>
          <w:sz w:val="21"/>
          <w:szCs w:val="21"/>
        </w:rPr>
      </w:pPr>
      <w:r>
        <w:rPr>
          <w:rFonts w:ascii="KaiTi" w:hAnsi="KaiTi" w:eastAsia="KaiTi" w:cs="KaiTi"/>
          <w:sz w:val="21"/>
          <w:szCs w:val="21"/>
          <w:spacing w:val="-10"/>
        </w:rPr>
        <w:t>入，竞争十分激烈，对国民经济做出了巨大贡献；</w:t>
      </w:r>
    </w:p>
    <w:p>
      <w:pPr>
        <w:ind w:left="359"/>
        <w:spacing w:before="130" w:line="219" w:lineRule="auto"/>
        <w:rPr>
          <w:rFonts w:ascii="KaiTi" w:hAnsi="KaiTi" w:eastAsia="KaiTi" w:cs="KaiTi"/>
          <w:sz w:val="21"/>
          <w:szCs w:val="21"/>
        </w:rPr>
      </w:pPr>
      <w:r>
        <w:rPr>
          <w:rFonts w:ascii="KaiTi" w:hAnsi="KaiTi" w:eastAsia="KaiTi" w:cs="KaiTi"/>
          <w:sz w:val="21"/>
          <w:szCs w:val="21"/>
          <w:spacing w:val="-10"/>
        </w:rPr>
        <w:t>·在在线商旅方面，有携程、飞猪、去哪儿等多个平台</w:t>
      </w:r>
      <w:r>
        <w:rPr>
          <w:rFonts w:ascii="KaiTi" w:hAnsi="KaiTi" w:eastAsia="KaiTi" w:cs="KaiTi"/>
          <w:sz w:val="21"/>
          <w:szCs w:val="21"/>
          <w:spacing w:val="-11"/>
        </w:rPr>
        <w:t>，同时还</w:t>
      </w:r>
    </w:p>
    <w:p>
      <w:pPr>
        <w:ind w:left="469"/>
        <w:spacing w:before="104" w:line="223" w:lineRule="auto"/>
        <w:rPr>
          <w:rFonts w:ascii="KaiTi" w:hAnsi="KaiTi" w:eastAsia="KaiTi" w:cs="KaiTi"/>
          <w:sz w:val="21"/>
          <w:szCs w:val="21"/>
        </w:rPr>
      </w:pPr>
      <w:r>
        <w:rPr>
          <w:rFonts w:ascii="KaiTi" w:hAnsi="KaiTi" w:eastAsia="KaiTi" w:cs="KaiTi"/>
          <w:sz w:val="21"/>
          <w:szCs w:val="21"/>
          <w:spacing w:val="-13"/>
        </w:rPr>
        <w:t>与传统旅行社有一定竞争关系；</w:t>
      </w:r>
    </w:p>
    <w:p>
      <w:pPr>
        <w:ind w:right="26"/>
        <w:spacing w:before="113" w:line="220" w:lineRule="auto"/>
        <w:jc w:val="right"/>
        <w:rPr>
          <w:rFonts w:ascii="KaiTi" w:hAnsi="KaiTi" w:eastAsia="KaiTi" w:cs="KaiTi"/>
          <w:sz w:val="21"/>
          <w:szCs w:val="21"/>
        </w:rPr>
      </w:pPr>
      <w:r>
        <w:rPr>
          <w:rFonts w:ascii="KaiTi" w:hAnsi="KaiTi" w:eastAsia="KaiTi" w:cs="KaiTi"/>
          <w:sz w:val="21"/>
          <w:szCs w:val="21"/>
          <w:spacing w:val="-10"/>
        </w:rPr>
        <w:t>·在短视频方面，抖音和快手之间存在明显的竞争，很多其他平</w:t>
      </w:r>
    </w:p>
    <w:p>
      <w:pPr>
        <w:ind w:left="469" w:right="33"/>
        <w:spacing w:before="111" w:line="273" w:lineRule="auto"/>
        <w:rPr>
          <w:rFonts w:ascii="KaiTi" w:hAnsi="KaiTi" w:eastAsia="KaiTi" w:cs="KaiTi"/>
          <w:sz w:val="21"/>
          <w:szCs w:val="21"/>
        </w:rPr>
      </w:pPr>
      <w:r>
        <w:rPr>
          <w:rFonts w:ascii="KaiTi" w:hAnsi="KaiTi" w:eastAsia="KaiTi" w:cs="KaiTi"/>
          <w:sz w:val="21"/>
          <w:szCs w:val="21"/>
          <w:spacing w:val="-7"/>
        </w:rPr>
        <w:t>台也在开发短视频业务，同时还面临来自中视频甚至长视频平</w:t>
      </w:r>
      <w:r>
        <w:rPr>
          <w:rFonts w:ascii="KaiTi" w:hAnsi="KaiTi" w:eastAsia="KaiTi" w:cs="KaiTi"/>
          <w:sz w:val="21"/>
          <w:szCs w:val="21"/>
          <w:spacing w:val="9"/>
        </w:rPr>
        <w:t xml:space="preserve"> </w:t>
      </w:r>
      <w:r>
        <w:rPr>
          <w:rFonts w:ascii="KaiTi" w:hAnsi="KaiTi" w:eastAsia="KaiTi" w:cs="KaiTi"/>
          <w:sz w:val="21"/>
          <w:szCs w:val="21"/>
          <w:spacing w:val="-16"/>
        </w:rPr>
        <w:t>台的竞争；</w:t>
      </w:r>
    </w:p>
    <w:p>
      <w:pPr>
        <w:ind w:right="17"/>
        <w:spacing w:before="88" w:line="220" w:lineRule="auto"/>
        <w:jc w:val="right"/>
        <w:rPr>
          <w:rFonts w:ascii="KaiTi" w:hAnsi="KaiTi" w:eastAsia="KaiTi" w:cs="KaiTi"/>
          <w:sz w:val="21"/>
          <w:szCs w:val="21"/>
        </w:rPr>
      </w:pPr>
      <w:r>
        <w:rPr>
          <w:rFonts w:ascii="KaiTi" w:hAnsi="KaiTi" w:eastAsia="KaiTi" w:cs="KaiTi"/>
          <w:sz w:val="21"/>
          <w:szCs w:val="21"/>
          <w:spacing w:val="-10"/>
        </w:rPr>
        <w:t>·在搜索引擎行业，百度是优势企业，但是微信“搜一搜”等的</w:t>
      </w:r>
    </w:p>
    <w:p>
      <w:pPr>
        <w:ind w:left="469"/>
        <w:spacing w:before="114" w:line="224" w:lineRule="auto"/>
        <w:rPr>
          <w:rFonts w:ascii="KaiTi" w:hAnsi="KaiTi" w:eastAsia="KaiTi" w:cs="KaiTi"/>
          <w:sz w:val="21"/>
          <w:szCs w:val="21"/>
        </w:rPr>
      </w:pPr>
      <w:r>
        <w:rPr>
          <w:rFonts w:ascii="KaiTi" w:hAnsi="KaiTi" w:eastAsia="KaiTi" w:cs="KaiTi"/>
          <w:sz w:val="21"/>
          <w:szCs w:val="21"/>
          <w:spacing w:val="-15"/>
        </w:rPr>
        <w:t>市场份额在上升；</w:t>
      </w:r>
    </w:p>
    <w:p>
      <w:pPr>
        <w:ind w:left="359"/>
        <w:spacing w:before="101" w:line="220" w:lineRule="auto"/>
        <w:rPr>
          <w:rFonts w:ascii="KaiTi" w:hAnsi="KaiTi" w:eastAsia="KaiTi" w:cs="KaiTi"/>
          <w:sz w:val="21"/>
          <w:szCs w:val="21"/>
        </w:rPr>
      </w:pPr>
      <w:r>
        <w:rPr>
          <w:rFonts w:ascii="KaiTi" w:hAnsi="KaiTi" w:eastAsia="KaiTi" w:cs="KaiTi"/>
          <w:sz w:val="21"/>
          <w:szCs w:val="21"/>
          <w:spacing w:val="-13"/>
        </w:rPr>
        <w:t>·在地图服务方面，存在百度地图、高德地图、腾</w:t>
      </w:r>
      <w:r>
        <w:rPr>
          <w:rFonts w:ascii="KaiTi" w:hAnsi="KaiTi" w:eastAsia="KaiTi" w:cs="KaiTi"/>
          <w:sz w:val="21"/>
          <w:szCs w:val="21"/>
          <w:spacing w:val="-14"/>
        </w:rPr>
        <w:t>讯地图等。</w:t>
      </w:r>
    </w:p>
    <w:p>
      <w:pPr>
        <w:pStyle w:val="BodyText"/>
        <w:spacing w:line="406" w:lineRule="auto"/>
        <w:rPr/>
      </w:pPr>
      <w:r/>
    </w:p>
    <w:p>
      <w:pPr>
        <w:ind w:right="26"/>
        <w:spacing w:before="69" w:line="371" w:lineRule="exact"/>
        <w:jc w:val="right"/>
        <w:rPr>
          <w:rFonts w:ascii="SimSun" w:hAnsi="SimSun" w:eastAsia="SimSun" w:cs="SimSun"/>
          <w:sz w:val="21"/>
          <w:szCs w:val="21"/>
        </w:rPr>
      </w:pPr>
      <w:r>
        <w:rPr>
          <w:rFonts w:ascii="SimSun" w:hAnsi="SimSun" w:eastAsia="SimSun" w:cs="SimSun"/>
          <w:sz w:val="21"/>
          <w:szCs w:val="21"/>
          <w:spacing w:val="-10"/>
          <w:position w:val="12"/>
        </w:rPr>
        <w:t>在这些竞争充分的平台领域，政府应尽量允许市场来调节资源配</w:t>
      </w:r>
    </w:p>
    <w:p>
      <w:pPr>
        <w:spacing w:line="220" w:lineRule="auto"/>
        <w:rPr>
          <w:rFonts w:ascii="SimSun" w:hAnsi="SimSun" w:eastAsia="SimSun" w:cs="SimSun"/>
          <w:sz w:val="21"/>
          <w:szCs w:val="21"/>
        </w:rPr>
      </w:pPr>
      <w:r>
        <w:rPr>
          <w:rFonts w:ascii="SimSun" w:hAnsi="SimSun" w:eastAsia="SimSun" w:cs="SimSun"/>
          <w:sz w:val="21"/>
          <w:szCs w:val="21"/>
          <w:spacing w:val="-7"/>
        </w:rPr>
        <w:t>置，有些甚至还可以适当限制企业过度进入(如快递行业)。</w:t>
      </w:r>
    </w:p>
    <w:p>
      <w:pPr>
        <w:ind w:firstLine="359"/>
        <w:spacing w:before="100" w:line="300" w:lineRule="auto"/>
        <w:rPr>
          <w:rFonts w:ascii="SimSun" w:hAnsi="SimSun" w:eastAsia="SimSun" w:cs="SimSun"/>
          <w:sz w:val="21"/>
          <w:szCs w:val="21"/>
        </w:rPr>
      </w:pPr>
      <w:r>
        <w:rPr>
          <w:rFonts w:ascii="SimSun" w:hAnsi="SimSun" w:eastAsia="SimSun" w:cs="SimSun"/>
          <w:sz w:val="21"/>
          <w:szCs w:val="21"/>
          <w:spacing w:val="-10"/>
        </w:rPr>
        <w:t>也有个别平台领域保持着很高的市场集中度，竞争明显不足。例</w:t>
      </w:r>
      <w:r>
        <w:rPr>
          <w:rFonts w:ascii="SimSun" w:hAnsi="SimSun" w:eastAsia="SimSun" w:cs="SimSun"/>
          <w:sz w:val="21"/>
          <w:szCs w:val="21"/>
          <w:spacing w:val="5"/>
        </w:rPr>
        <w:t xml:space="preserve"> </w:t>
      </w:r>
      <w:r>
        <w:rPr>
          <w:rFonts w:ascii="SimSun" w:hAnsi="SimSun" w:eastAsia="SimSun" w:cs="SimSun"/>
          <w:sz w:val="21"/>
          <w:szCs w:val="21"/>
          <w:spacing w:val="-10"/>
        </w:rPr>
        <w:t>如部分社交平台的规模庞大，市场份额很高，深入社会</w:t>
      </w:r>
      <w:r>
        <w:rPr>
          <w:rFonts w:ascii="SimSun" w:hAnsi="SimSun" w:eastAsia="SimSun" w:cs="SimSun"/>
          <w:sz w:val="21"/>
          <w:szCs w:val="21"/>
          <w:spacing w:val="-11"/>
        </w:rPr>
        <w:t>生活的每个角</w:t>
      </w:r>
      <w:r>
        <w:rPr>
          <w:rFonts w:ascii="SimSun" w:hAnsi="SimSun" w:eastAsia="SimSun" w:cs="SimSun"/>
          <w:sz w:val="21"/>
          <w:szCs w:val="21"/>
        </w:rPr>
        <w:t xml:space="preserve"> </w:t>
      </w:r>
      <w:r>
        <w:rPr>
          <w:rFonts w:ascii="SimSun" w:hAnsi="SimSun" w:eastAsia="SimSun" w:cs="SimSun"/>
          <w:sz w:val="21"/>
          <w:szCs w:val="21"/>
          <w:spacing w:val="-11"/>
        </w:rPr>
        <w:t>落。虽然基础业务免费，但是通过强大的“流量”控制力，平台可以</w:t>
      </w:r>
      <w:r>
        <w:rPr>
          <w:rFonts w:ascii="SimSun" w:hAnsi="SimSun" w:eastAsia="SimSun" w:cs="SimSun"/>
          <w:sz w:val="21"/>
          <w:szCs w:val="21"/>
          <w:spacing w:val="17"/>
        </w:rPr>
        <w:t xml:space="preserve"> </w:t>
      </w:r>
      <w:r>
        <w:rPr>
          <w:rFonts w:ascii="SimSun" w:hAnsi="SimSun" w:eastAsia="SimSun" w:cs="SimSun"/>
          <w:sz w:val="21"/>
          <w:szCs w:val="21"/>
          <w:spacing w:val="-11"/>
        </w:rPr>
        <w:t>在很多商业场景获得巨大竞争优势，同时还拥有异乎寻常的社会影响</w:t>
      </w:r>
      <w:r>
        <w:rPr>
          <w:rFonts w:ascii="SimSun" w:hAnsi="SimSun" w:eastAsia="SimSun" w:cs="SimSun"/>
          <w:sz w:val="21"/>
          <w:szCs w:val="21"/>
          <w:spacing w:val="15"/>
        </w:rPr>
        <w:t xml:space="preserve"> </w:t>
      </w:r>
      <w:r>
        <w:rPr>
          <w:rFonts w:ascii="SimSun" w:hAnsi="SimSun" w:eastAsia="SimSun" w:cs="SimSun"/>
          <w:sz w:val="21"/>
          <w:szCs w:val="21"/>
          <w:spacing w:val="-11"/>
        </w:rPr>
        <w:t>力。在这种情况下，政府需要在保护平台运行效率和企业投资积极性</w:t>
      </w:r>
      <w:r>
        <w:rPr>
          <w:rFonts w:ascii="SimSun" w:hAnsi="SimSun" w:eastAsia="SimSun" w:cs="SimSun"/>
          <w:sz w:val="21"/>
          <w:szCs w:val="21"/>
          <w:spacing w:val="6"/>
        </w:rPr>
        <w:t xml:space="preserve"> </w:t>
      </w:r>
      <w:r>
        <w:rPr>
          <w:rFonts w:ascii="SimSun" w:hAnsi="SimSun" w:eastAsia="SimSun" w:cs="SimSun"/>
          <w:sz w:val="21"/>
          <w:szCs w:val="21"/>
          <w:spacing w:val="-13"/>
        </w:rPr>
        <w:t>的同时，适当促进竞争。</w:t>
      </w:r>
    </w:p>
    <w:p>
      <w:pPr>
        <w:ind w:right="26"/>
        <w:spacing w:before="112" w:line="219" w:lineRule="auto"/>
        <w:jc w:val="right"/>
        <w:rPr>
          <w:rFonts w:ascii="SimSun" w:hAnsi="SimSun" w:eastAsia="SimSun" w:cs="SimSun"/>
          <w:sz w:val="21"/>
          <w:szCs w:val="21"/>
        </w:rPr>
      </w:pPr>
      <w:r>
        <w:rPr>
          <w:rFonts w:ascii="SimSun" w:hAnsi="SimSun" w:eastAsia="SimSun" w:cs="SimSun"/>
          <w:sz w:val="21"/>
          <w:szCs w:val="21"/>
          <w:spacing w:val="-10"/>
        </w:rPr>
        <w:t>我国在反垄断和规制实践方面需要重视的另一个事实是，我国数</w:t>
      </w:r>
    </w:p>
    <w:p>
      <w:pPr>
        <w:spacing w:line="219" w:lineRule="auto"/>
        <w:sectPr>
          <w:headerReference w:type="default" r:id="rId354"/>
          <w:pgSz w:w="7330" w:h="12480"/>
          <w:pgMar w:top="847" w:right="894" w:bottom="400" w:left="440" w:header="685"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38"/>
        <w:spacing w:before="68" w:line="292" w:lineRule="auto"/>
        <w:jc w:val="both"/>
        <w:rPr>
          <w:rFonts w:ascii="SimSun" w:hAnsi="SimSun" w:eastAsia="SimSun" w:cs="SimSun"/>
          <w:sz w:val="21"/>
          <w:szCs w:val="21"/>
        </w:rPr>
      </w:pPr>
      <w:r>
        <w:rPr>
          <w:rFonts w:ascii="SimSun" w:hAnsi="SimSun" w:eastAsia="SimSun" w:cs="SimSun"/>
          <w:sz w:val="21"/>
          <w:szCs w:val="21"/>
          <w:spacing w:val="-10"/>
        </w:rPr>
        <w:t>字平台企业的科技水平与国际同行之间还有</w:t>
      </w:r>
      <w:r>
        <w:rPr>
          <w:rFonts w:ascii="SimSun" w:hAnsi="SimSun" w:eastAsia="SimSun" w:cs="SimSun"/>
          <w:sz w:val="21"/>
          <w:szCs w:val="21"/>
          <w:spacing w:val="-11"/>
        </w:rPr>
        <w:t>较大差距，鼓励创新仍然</w:t>
      </w:r>
      <w:r>
        <w:rPr>
          <w:rFonts w:ascii="SimSun" w:hAnsi="SimSun" w:eastAsia="SimSun" w:cs="SimSun"/>
          <w:sz w:val="21"/>
          <w:szCs w:val="21"/>
        </w:rPr>
        <w:t xml:space="preserve"> </w:t>
      </w:r>
      <w:r>
        <w:rPr>
          <w:rFonts w:ascii="SimSun" w:hAnsi="SimSun" w:eastAsia="SimSun" w:cs="SimSun"/>
          <w:sz w:val="21"/>
          <w:szCs w:val="21"/>
          <w:spacing w:val="-10"/>
        </w:rPr>
        <w:t>是当务之急。我国的数字平台主要在国内市场运</w:t>
      </w:r>
      <w:r>
        <w:rPr>
          <w:rFonts w:ascii="SimSun" w:hAnsi="SimSun" w:eastAsia="SimSun" w:cs="SimSun"/>
          <w:sz w:val="21"/>
          <w:szCs w:val="21"/>
          <w:spacing w:val="-11"/>
        </w:rPr>
        <w:t>营，而整个国际市场</w:t>
      </w:r>
      <w:r>
        <w:rPr>
          <w:rFonts w:ascii="SimSun" w:hAnsi="SimSun" w:eastAsia="SimSun" w:cs="SimSun"/>
          <w:sz w:val="21"/>
          <w:szCs w:val="21"/>
        </w:rPr>
        <w:t xml:space="preserve"> </w:t>
      </w:r>
      <w:r>
        <w:rPr>
          <w:rFonts w:ascii="SimSun" w:hAnsi="SimSun" w:eastAsia="SimSun" w:cs="SimSun"/>
          <w:sz w:val="21"/>
          <w:szCs w:val="21"/>
          <w:spacing w:val="-11"/>
        </w:rPr>
        <w:t>几乎都是美国平台的领地。帮助我国平台做大做强，在国际市场占领</w:t>
      </w:r>
      <w:r>
        <w:rPr>
          <w:rFonts w:ascii="SimSun" w:hAnsi="SimSun" w:eastAsia="SimSun" w:cs="SimSun"/>
          <w:sz w:val="21"/>
          <w:szCs w:val="21"/>
          <w:spacing w:val="17"/>
        </w:rPr>
        <w:t xml:space="preserve"> </w:t>
      </w:r>
      <w:r>
        <w:rPr>
          <w:rFonts w:ascii="SimSun" w:hAnsi="SimSun" w:eastAsia="SimSun" w:cs="SimSun"/>
          <w:sz w:val="21"/>
          <w:szCs w:val="21"/>
          <w:spacing w:val="-11"/>
        </w:rPr>
        <w:t>一席之地，对我国的经济和政治影响力的提升具有重要意义。</w:t>
      </w:r>
    </w:p>
    <w:p>
      <w:pPr>
        <w:pStyle w:val="BodyText"/>
        <w:spacing w:line="37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平台“可竞争性”:潜在竞争对垄断力量的约束</w:t>
      </w:r>
    </w:p>
    <w:p>
      <w:pPr>
        <w:pStyle w:val="BodyText"/>
        <w:spacing w:line="355" w:lineRule="auto"/>
        <w:rPr/>
      </w:pPr>
      <w:r/>
    </w:p>
    <w:p>
      <w:pPr>
        <w:ind w:right="2" w:firstLine="440"/>
        <w:spacing w:before="68" w:line="304" w:lineRule="auto"/>
        <w:jc w:val="both"/>
        <w:rPr>
          <w:rFonts w:ascii="SimSun" w:hAnsi="SimSun" w:eastAsia="SimSun" w:cs="SimSun"/>
          <w:sz w:val="21"/>
          <w:szCs w:val="21"/>
        </w:rPr>
      </w:pPr>
      <w:r>
        <w:rPr>
          <w:rFonts w:ascii="SimSun" w:hAnsi="SimSun" w:eastAsia="SimSun" w:cs="SimSun"/>
          <w:sz w:val="21"/>
          <w:szCs w:val="21"/>
          <w:spacing w:val="-11"/>
        </w:rPr>
        <w:t>在位平台会面临新进入者的竞争。由于网络平台的特性，最有可</w:t>
      </w:r>
      <w:r>
        <w:rPr>
          <w:rFonts w:ascii="SimSun" w:hAnsi="SimSun" w:eastAsia="SimSun" w:cs="SimSun"/>
          <w:sz w:val="21"/>
          <w:szCs w:val="21"/>
          <w:spacing w:val="15"/>
        </w:rPr>
        <w:t xml:space="preserve"> </w:t>
      </w:r>
      <w:r>
        <w:rPr>
          <w:rFonts w:ascii="SimSun" w:hAnsi="SimSun" w:eastAsia="SimSun" w:cs="SimSun"/>
          <w:sz w:val="21"/>
          <w:szCs w:val="21"/>
          <w:spacing w:val="-11"/>
        </w:rPr>
        <w:t>能进入的往往是在其他领域经营的平台，因为它们已经形成了足够规</w:t>
      </w:r>
      <w:r>
        <w:rPr>
          <w:rFonts w:ascii="SimSun" w:hAnsi="SimSun" w:eastAsia="SimSun" w:cs="SimSun"/>
          <w:sz w:val="21"/>
          <w:szCs w:val="21"/>
          <w:spacing w:val="17"/>
        </w:rPr>
        <w:t xml:space="preserve"> </w:t>
      </w:r>
      <w:r>
        <w:rPr>
          <w:rFonts w:ascii="SimSun" w:hAnsi="SimSun" w:eastAsia="SimSun" w:cs="SimSun"/>
          <w:sz w:val="21"/>
          <w:szCs w:val="21"/>
          <w:spacing w:val="-11"/>
        </w:rPr>
        <w:t>模的用户群体，进入的难度较低。“跨界”与“可竞争性”是平台反</w:t>
      </w:r>
      <w:r>
        <w:rPr>
          <w:rFonts w:ascii="SimSun" w:hAnsi="SimSun" w:eastAsia="SimSun" w:cs="SimSun"/>
          <w:sz w:val="21"/>
          <w:szCs w:val="21"/>
          <w:spacing w:val="15"/>
        </w:rPr>
        <w:t xml:space="preserve"> </w:t>
      </w:r>
      <w:r>
        <w:rPr>
          <w:rFonts w:ascii="SimSun" w:hAnsi="SimSun" w:eastAsia="SimSun" w:cs="SimSun"/>
          <w:sz w:val="21"/>
          <w:szCs w:val="21"/>
          <w:spacing w:val="-10"/>
        </w:rPr>
        <w:t>垄断实践中两个不同但密切相关的现象。跨界意味着实际出</w:t>
      </w:r>
      <w:r>
        <w:rPr>
          <w:rFonts w:ascii="SimSun" w:hAnsi="SimSun" w:eastAsia="SimSun" w:cs="SimSun"/>
          <w:sz w:val="21"/>
          <w:szCs w:val="21"/>
          <w:spacing w:val="-11"/>
        </w:rPr>
        <w:t>现了不同</w:t>
      </w:r>
      <w:r>
        <w:rPr>
          <w:rFonts w:ascii="SimSun" w:hAnsi="SimSun" w:eastAsia="SimSun" w:cs="SimSun"/>
          <w:sz w:val="21"/>
          <w:szCs w:val="21"/>
        </w:rPr>
        <w:t xml:space="preserve"> </w:t>
      </w:r>
      <w:r>
        <w:rPr>
          <w:rFonts w:ascii="SimSun" w:hAnsi="SimSun" w:eastAsia="SimSun" w:cs="SimSun"/>
          <w:sz w:val="21"/>
          <w:szCs w:val="21"/>
          <w:spacing w:val="-11"/>
        </w:rPr>
        <w:t>领域平台相互进入对方“领地”的行为，从而直接提高了市场竞争程</w:t>
      </w:r>
      <w:r>
        <w:rPr>
          <w:rFonts w:ascii="SimSun" w:hAnsi="SimSun" w:eastAsia="SimSun" w:cs="SimSun"/>
          <w:sz w:val="21"/>
          <w:szCs w:val="21"/>
          <w:spacing w:val="15"/>
        </w:rPr>
        <w:t xml:space="preserve"> </w:t>
      </w:r>
      <w:r>
        <w:rPr>
          <w:rFonts w:ascii="SimSun" w:hAnsi="SimSun" w:eastAsia="SimSun" w:cs="SimSun"/>
          <w:sz w:val="21"/>
          <w:szCs w:val="21"/>
          <w:spacing w:val="-4"/>
        </w:rPr>
        <w:t>度。可竞争性则意味着不同平台随时准备好(双向或单向)进入对方</w:t>
      </w:r>
      <w:r>
        <w:rPr>
          <w:rFonts w:ascii="SimSun" w:hAnsi="SimSun" w:eastAsia="SimSun" w:cs="SimSun"/>
          <w:sz w:val="21"/>
          <w:szCs w:val="21"/>
          <w:spacing w:val="17"/>
        </w:rPr>
        <w:t xml:space="preserve"> </w:t>
      </w:r>
      <w:r>
        <w:rPr>
          <w:rFonts w:ascii="SimSun" w:hAnsi="SimSun" w:eastAsia="SimSun" w:cs="SimSun"/>
          <w:sz w:val="21"/>
          <w:szCs w:val="21"/>
          <w:spacing w:val="-10"/>
        </w:rPr>
        <w:t>领地，由于预见到进入后无利可图，并没有实际进入，但是相互</w:t>
      </w:r>
      <w:r>
        <w:rPr>
          <w:rFonts w:ascii="SimSun" w:hAnsi="SimSun" w:eastAsia="SimSun" w:cs="SimSun"/>
          <w:sz w:val="21"/>
          <w:szCs w:val="21"/>
          <w:spacing w:val="-11"/>
        </w:rPr>
        <w:t>之间</w:t>
      </w:r>
      <w:r>
        <w:rPr>
          <w:rFonts w:ascii="SimSun" w:hAnsi="SimSun" w:eastAsia="SimSun" w:cs="SimSun"/>
          <w:sz w:val="21"/>
          <w:szCs w:val="21"/>
        </w:rPr>
        <w:t xml:space="preserve"> </w:t>
      </w:r>
      <w:r>
        <w:rPr>
          <w:rFonts w:ascii="SimSun" w:hAnsi="SimSun" w:eastAsia="SimSun" w:cs="SimSun"/>
          <w:sz w:val="21"/>
          <w:szCs w:val="21"/>
          <w:spacing w:val="-13"/>
        </w:rPr>
        <w:t>仍然形成竞争压力。</w:t>
      </w:r>
    </w:p>
    <w:p>
      <w:pPr>
        <w:ind w:right="1" w:firstLine="440"/>
        <w:spacing w:before="111" w:line="297" w:lineRule="auto"/>
        <w:jc w:val="both"/>
        <w:rPr>
          <w:rFonts w:ascii="SimSun" w:hAnsi="SimSun" w:eastAsia="SimSun" w:cs="SimSun"/>
          <w:sz w:val="21"/>
          <w:szCs w:val="21"/>
        </w:rPr>
      </w:pPr>
      <w:r>
        <w:rPr>
          <w:rFonts w:ascii="SimSun" w:hAnsi="SimSun" w:eastAsia="SimSun" w:cs="SimSun"/>
          <w:sz w:val="21"/>
          <w:szCs w:val="21"/>
          <w:spacing w:val="-11"/>
        </w:rPr>
        <w:t>显然，只有平台认为进入其他领域后仍然有利可图，才可能发生</w:t>
      </w:r>
      <w:r>
        <w:rPr>
          <w:rFonts w:ascii="SimSun" w:hAnsi="SimSun" w:eastAsia="SimSun" w:cs="SimSun"/>
          <w:sz w:val="21"/>
          <w:szCs w:val="21"/>
          <w:spacing w:val="16"/>
        </w:rPr>
        <w:t xml:space="preserve"> </w:t>
      </w:r>
      <w:r>
        <w:rPr>
          <w:rFonts w:ascii="SimSun" w:hAnsi="SimSun" w:eastAsia="SimSun" w:cs="SimSun"/>
          <w:sz w:val="21"/>
          <w:szCs w:val="21"/>
          <w:spacing w:val="-10"/>
        </w:rPr>
        <w:t>跨界行为。跨界进入新领域会产生一次性成本，其中很多还是不可回</w:t>
      </w:r>
      <w:r>
        <w:rPr>
          <w:rFonts w:ascii="SimSun" w:hAnsi="SimSun" w:eastAsia="SimSun" w:cs="SimSun"/>
          <w:sz w:val="21"/>
          <w:szCs w:val="21"/>
        </w:rPr>
        <w:t xml:space="preserve"> </w:t>
      </w:r>
      <w:r>
        <w:rPr>
          <w:rFonts w:ascii="SimSun" w:hAnsi="SimSun" w:eastAsia="SimSun" w:cs="SimSun"/>
          <w:sz w:val="21"/>
          <w:szCs w:val="21"/>
          <w:spacing w:val="-11"/>
        </w:rPr>
        <w:t>收的沉没成本。此外，积累行业经验也需要付出成本。因此与在位平</w:t>
      </w:r>
      <w:r>
        <w:rPr>
          <w:rFonts w:ascii="SimSun" w:hAnsi="SimSun" w:eastAsia="SimSun" w:cs="SimSun"/>
          <w:sz w:val="21"/>
          <w:szCs w:val="21"/>
          <w:spacing w:val="18"/>
        </w:rPr>
        <w:t xml:space="preserve"> </w:t>
      </w:r>
      <w:r>
        <w:rPr>
          <w:rFonts w:ascii="SimSun" w:hAnsi="SimSun" w:eastAsia="SimSun" w:cs="SimSun"/>
          <w:sz w:val="21"/>
          <w:szCs w:val="21"/>
          <w:spacing w:val="-16"/>
        </w:rPr>
        <w:t>台相比，进入者通常有一定劣势，如果在这种情况下还有利可图，</w:t>
      </w:r>
      <w:r>
        <w:rPr>
          <w:rFonts w:ascii="SimSun" w:hAnsi="SimSun" w:eastAsia="SimSun" w:cs="SimSun"/>
          <w:sz w:val="21"/>
          <w:szCs w:val="21"/>
          <w:spacing w:val="64"/>
        </w:rPr>
        <w:t xml:space="preserve"> </w:t>
      </w:r>
      <w:r>
        <w:rPr>
          <w:rFonts w:ascii="SimSun" w:hAnsi="SimSun" w:eastAsia="SimSun" w:cs="SimSun"/>
          <w:sz w:val="21"/>
          <w:szCs w:val="21"/>
          <w:spacing w:val="-16"/>
        </w:rPr>
        <w:t>一</w:t>
      </w:r>
      <w:r>
        <w:rPr>
          <w:rFonts w:ascii="SimSun" w:hAnsi="SimSun" w:eastAsia="SimSun" w:cs="SimSun"/>
          <w:sz w:val="21"/>
          <w:szCs w:val="21"/>
        </w:rPr>
        <w:t xml:space="preserve"> </w:t>
      </w:r>
      <w:r>
        <w:rPr>
          <w:rFonts w:ascii="SimSun" w:hAnsi="SimSun" w:eastAsia="SimSun" w:cs="SimSun"/>
          <w:sz w:val="21"/>
          <w:szCs w:val="21"/>
          <w:spacing w:val="-10"/>
        </w:rPr>
        <w:t>般是因为市场的竞争程度较低，还可以容纳更多平台共同经营。</w:t>
      </w:r>
    </w:p>
    <w:p>
      <w:pPr>
        <w:ind w:firstLine="440"/>
        <w:spacing w:before="112" w:line="295" w:lineRule="auto"/>
        <w:jc w:val="both"/>
        <w:rPr>
          <w:rFonts w:ascii="SimSun" w:hAnsi="SimSun" w:eastAsia="SimSun" w:cs="SimSun"/>
          <w:sz w:val="21"/>
          <w:szCs w:val="21"/>
        </w:rPr>
      </w:pPr>
      <w:r>
        <w:rPr>
          <w:rFonts w:ascii="SimSun" w:hAnsi="SimSun" w:eastAsia="SimSun" w:cs="SimSun"/>
          <w:sz w:val="21"/>
          <w:szCs w:val="21"/>
          <w:spacing w:val="-11"/>
        </w:rPr>
        <w:t>跨界竞争现象实际发生，说明平台业务的规模效应或网络效应不</w:t>
      </w:r>
      <w:r>
        <w:rPr>
          <w:rFonts w:ascii="SimSun" w:hAnsi="SimSun" w:eastAsia="SimSun" w:cs="SimSun"/>
          <w:sz w:val="21"/>
          <w:szCs w:val="21"/>
          <w:spacing w:val="17"/>
        </w:rPr>
        <w:t xml:space="preserve"> </w:t>
      </w:r>
      <w:r>
        <w:rPr>
          <w:rFonts w:ascii="SimSun" w:hAnsi="SimSun" w:eastAsia="SimSun" w:cs="SimSun"/>
          <w:sz w:val="21"/>
          <w:szCs w:val="21"/>
          <w:spacing w:val="-7"/>
        </w:rPr>
        <w:t>显著,或者两个平台的业务存在范围经济。在平台网络已经就位的情</w:t>
      </w:r>
      <w:r>
        <w:rPr>
          <w:rFonts w:ascii="SimSun" w:hAnsi="SimSun" w:eastAsia="SimSun" w:cs="SimSun"/>
          <w:sz w:val="21"/>
          <w:szCs w:val="21"/>
          <w:spacing w:val="3"/>
        </w:rPr>
        <w:t xml:space="preserve"> </w:t>
      </w:r>
      <w:r>
        <w:rPr>
          <w:rFonts w:ascii="SimSun" w:hAnsi="SimSun" w:eastAsia="SimSun" w:cs="SimSun"/>
          <w:sz w:val="21"/>
          <w:szCs w:val="21"/>
          <w:spacing w:val="-11"/>
        </w:rPr>
        <w:t>况下，开发其他服务项目的规模效应不明显，是完全可能的。例如抖</w:t>
      </w:r>
      <w:r>
        <w:rPr>
          <w:rFonts w:ascii="SimSun" w:hAnsi="SimSun" w:eastAsia="SimSun" w:cs="SimSun"/>
          <w:sz w:val="21"/>
          <w:szCs w:val="21"/>
          <w:spacing w:val="16"/>
        </w:rPr>
        <w:t xml:space="preserve"> </w:t>
      </w:r>
      <w:r>
        <w:rPr>
          <w:rFonts w:ascii="SimSun" w:hAnsi="SimSun" w:eastAsia="SimSun" w:cs="SimSun"/>
          <w:sz w:val="21"/>
          <w:szCs w:val="21"/>
          <w:spacing w:val="-11"/>
        </w:rPr>
        <w:t>音试图进入外卖市场时，已经拥有规模很大的用户网络，在需求端已</w:t>
      </w:r>
      <w:r>
        <w:rPr>
          <w:rFonts w:ascii="SimSun" w:hAnsi="SimSun" w:eastAsia="SimSun" w:cs="SimSun"/>
          <w:sz w:val="21"/>
          <w:szCs w:val="21"/>
          <w:spacing w:val="2"/>
        </w:rPr>
        <w:t xml:space="preserve"> </w:t>
      </w:r>
      <w:r>
        <w:rPr>
          <w:rFonts w:ascii="SimSun" w:hAnsi="SimSun" w:eastAsia="SimSun" w:cs="SimSun"/>
          <w:sz w:val="21"/>
          <w:szCs w:val="21"/>
          <w:spacing w:val="-11"/>
        </w:rPr>
        <w:t>经具备网络效应，在此基础上开发外卖业务，需要解决的主要是供应</w:t>
      </w:r>
      <w:r>
        <w:rPr>
          <w:rFonts w:ascii="SimSun" w:hAnsi="SimSun" w:eastAsia="SimSun" w:cs="SimSun"/>
          <w:sz w:val="21"/>
          <w:szCs w:val="21"/>
          <w:spacing w:val="17"/>
        </w:rPr>
        <w:t xml:space="preserve"> </w:t>
      </w:r>
      <w:r>
        <w:rPr>
          <w:rFonts w:ascii="SimSun" w:hAnsi="SimSun" w:eastAsia="SimSun" w:cs="SimSun"/>
          <w:sz w:val="21"/>
          <w:szCs w:val="21"/>
          <w:spacing w:val="-11"/>
        </w:rPr>
        <w:t>端的规模问题，这种规模效应有限，且经过努力完全可以迅速积累较</w:t>
      </w:r>
      <w:r>
        <w:rPr>
          <w:rFonts w:ascii="SimSun" w:hAnsi="SimSun" w:eastAsia="SimSun" w:cs="SimSun"/>
          <w:sz w:val="21"/>
          <w:szCs w:val="21"/>
          <w:spacing w:val="17"/>
        </w:rPr>
        <w:t xml:space="preserve"> </w:t>
      </w:r>
      <w:r>
        <w:rPr>
          <w:rFonts w:ascii="SimSun" w:hAnsi="SimSun" w:eastAsia="SimSun" w:cs="SimSun"/>
          <w:sz w:val="21"/>
          <w:szCs w:val="21"/>
          <w:spacing w:val="-8"/>
        </w:rPr>
        <w:t>多的卖家。</w:t>
      </w:r>
    </w:p>
    <w:p>
      <w:pPr>
        <w:spacing w:line="295" w:lineRule="auto"/>
        <w:sectPr>
          <w:headerReference w:type="default" r:id="rId355"/>
          <w:pgSz w:w="7330" w:h="12480"/>
          <w:pgMar w:top="558" w:right="529" w:bottom="400" w:left="770" w:header="392"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88" w:firstLine="399"/>
        <w:spacing w:before="68" w:line="300" w:lineRule="auto"/>
        <w:jc w:val="both"/>
        <w:rPr>
          <w:rFonts w:ascii="SimSun" w:hAnsi="SimSun" w:eastAsia="SimSun" w:cs="SimSun"/>
          <w:sz w:val="21"/>
          <w:szCs w:val="21"/>
        </w:rPr>
      </w:pPr>
      <w:r>
        <w:rPr>
          <w:rFonts w:ascii="SimSun" w:hAnsi="SimSun" w:eastAsia="SimSun" w:cs="SimSun"/>
          <w:sz w:val="21"/>
          <w:szCs w:val="21"/>
          <w:spacing w:val="-11"/>
        </w:rPr>
        <w:t>在竞争不足的领域，应鼓励新企业的进入，尤其应鼓励平台的相</w:t>
      </w:r>
      <w:r>
        <w:rPr>
          <w:rFonts w:ascii="SimSun" w:hAnsi="SimSun" w:eastAsia="SimSun" w:cs="SimSun"/>
          <w:sz w:val="21"/>
          <w:szCs w:val="21"/>
          <w:spacing w:val="13"/>
        </w:rPr>
        <w:t xml:space="preserve"> </w:t>
      </w:r>
      <w:r>
        <w:rPr>
          <w:rFonts w:ascii="SimSun" w:hAnsi="SimSun" w:eastAsia="SimSun" w:cs="SimSun"/>
          <w:sz w:val="21"/>
          <w:szCs w:val="21"/>
          <w:spacing w:val="-11"/>
        </w:rPr>
        <w:t>互跨界进入。跨界一方面可以降低平台服务价格，促使平台改善服务</w:t>
      </w:r>
      <w:r>
        <w:rPr>
          <w:rFonts w:ascii="SimSun" w:hAnsi="SimSun" w:eastAsia="SimSun" w:cs="SimSun"/>
          <w:sz w:val="21"/>
          <w:szCs w:val="21"/>
          <w:spacing w:val="8"/>
        </w:rPr>
        <w:t xml:space="preserve"> </w:t>
      </w:r>
      <w:r>
        <w:rPr>
          <w:rFonts w:ascii="SimSun" w:hAnsi="SimSun" w:eastAsia="SimSun" w:cs="SimSun"/>
          <w:sz w:val="21"/>
          <w:szCs w:val="21"/>
          <w:spacing w:val="-11"/>
        </w:rPr>
        <w:t>质量，从而提升消费者福利；另一方面也可以降低平台利润，防止资</w:t>
      </w:r>
      <w:r>
        <w:rPr>
          <w:rFonts w:ascii="SimSun" w:hAnsi="SimSun" w:eastAsia="SimSun" w:cs="SimSun"/>
          <w:sz w:val="21"/>
          <w:szCs w:val="21"/>
          <w:spacing w:val="13"/>
        </w:rPr>
        <w:t xml:space="preserve"> </w:t>
      </w:r>
      <w:r>
        <w:rPr>
          <w:rFonts w:ascii="SimSun" w:hAnsi="SimSun" w:eastAsia="SimSun" w:cs="SimSun"/>
          <w:sz w:val="21"/>
          <w:szCs w:val="21"/>
          <w:spacing w:val="-11"/>
        </w:rPr>
        <w:t>本无序扩张。但是跨界的前提是可以克服网络效应带来的障碍，在有</w:t>
      </w:r>
      <w:r>
        <w:rPr>
          <w:rFonts w:ascii="SimSun" w:hAnsi="SimSun" w:eastAsia="SimSun" w:cs="SimSun"/>
          <w:sz w:val="21"/>
          <w:szCs w:val="21"/>
          <w:spacing w:val="9"/>
        </w:rPr>
        <w:t xml:space="preserve"> </w:t>
      </w:r>
      <w:r>
        <w:rPr>
          <w:rFonts w:ascii="SimSun" w:hAnsi="SimSun" w:eastAsia="SimSun" w:cs="SimSun"/>
          <w:sz w:val="21"/>
          <w:szCs w:val="21"/>
          <w:spacing w:val="-7"/>
        </w:rPr>
        <w:t>些领域如社交平台，网络外部性非常显著,其他平</w:t>
      </w:r>
      <w:r>
        <w:rPr>
          <w:rFonts w:ascii="SimSun" w:hAnsi="SimSun" w:eastAsia="SimSun" w:cs="SimSun"/>
          <w:sz w:val="21"/>
          <w:szCs w:val="21"/>
          <w:spacing w:val="-8"/>
        </w:rPr>
        <w:t>台跨界进入则十分</w:t>
      </w:r>
      <w:r>
        <w:rPr>
          <w:rFonts w:ascii="SimSun" w:hAnsi="SimSun" w:eastAsia="SimSun" w:cs="SimSun"/>
          <w:sz w:val="21"/>
          <w:szCs w:val="21"/>
        </w:rPr>
        <w:t xml:space="preserve"> </w:t>
      </w:r>
      <w:r>
        <w:rPr>
          <w:rFonts w:ascii="SimSun" w:hAnsi="SimSun" w:eastAsia="SimSun" w:cs="SimSun"/>
          <w:sz w:val="21"/>
          <w:szCs w:val="21"/>
          <w:spacing w:val="-11"/>
        </w:rPr>
        <w:t>困难，如飞信、易信、来往等的尝试都没有</w:t>
      </w:r>
      <w:r>
        <w:rPr>
          <w:rFonts w:ascii="SimSun" w:hAnsi="SimSun" w:eastAsia="SimSun" w:cs="SimSun"/>
          <w:sz w:val="21"/>
          <w:szCs w:val="21"/>
          <w:spacing w:val="-12"/>
        </w:rPr>
        <w:t>成功。</w:t>
      </w:r>
    </w:p>
    <w:p>
      <w:pPr>
        <w:ind w:right="88" w:firstLine="399"/>
        <w:spacing w:before="106" w:line="305" w:lineRule="auto"/>
        <w:jc w:val="both"/>
        <w:rPr>
          <w:rFonts w:ascii="SimSun" w:hAnsi="SimSun" w:eastAsia="SimSun" w:cs="SimSun"/>
          <w:sz w:val="21"/>
          <w:szCs w:val="21"/>
        </w:rPr>
      </w:pPr>
      <w:r>
        <w:rPr>
          <w:rFonts w:ascii="SimSun" w:hAnsi="SimSun" w:eastAsia="SimSun" w:cs="SimSun"/>
          <w:sz w:val="21"/>
          <w:szCs w:val="21"/>
          <w:spacing w:val="-3"/>
        </w:rPr>
        <w:t>在一个多平台经济体中，某个具有显著规模经济或网</w:t>
      </w:r>
      <w:r>
        <w:rPr>
          <w:rFonts w:ascii="SimSun" w:hAnsi="SimSun" w:eastAsia="SimSun" w:cs="SimSun"/>
          <w:sz w:val="21"/>
          <w:szCs w:val="21"/>
          <w:spacing w:val="-4"/>
        </w:rPr>
        <w:t>络效应的</w:t>
      </w:r>
      <w:r>
        <w:rPr>
          <w:rFonts w:ascii="SimSun" w:hAnsi="SimSun" w:eastAsia="SimSun" w:cs="SimSun"/>
          <w:sz w:val="21"/>
          <w:szCs w:val="21"/>
        </w:rPr>
        <w:t xml:space="preserve"> </w:t>
      </w:r>
      <w:r>
        <w:rPr>
          <w:rFonts w:ascii="SimSun" w:hAnsi="SimSun" w:eastAsia="SimSun" w:cs="SimSun"/>
          <w:sz w:val="21"/>
          <w:szCs w:val="21"/>
          <w:spacing w:val="-11"/>
        </w:rPr>
        <w:t>平台领域是否具备可竞争性，主要取决于进入和退出该平台领域的沉</w:t>
      </w:r>
      <w:r>
        <w:rPr>
          <w:rFonts w:ascii="SimSun" w:hAnsi="SimSun" w:eastAsia="SimSun" w:cs="SimSun"/>
          <w:sz w:val="21"/>
          <w:szCs w:val="21"/>
          <w:spacing w:val="6"/>
        </w:rPr>
        <w:t xml:space="preserve"> </w:t>
      </w:r>
      <w:r>
        <w:rPr>
          <w:rFonts w:ascii="SimSun" w:hAnsi="SimSun" w:eastAsia="SimSun" w:cs="SimSun"/>
          <w:sz w:val="21"/>
          <w:szCs w:val="21"/>
          <w:spacing w:val="-14"/>
        </w:rPr>
        <w:t>没成本。 一个平台进入或退出另一个平台领域的沉没成本包括构建交</w:t>
      </w:r>
      <w:r>
        <w:rPr>
          <w:rFonts w:ascii="SimSun" w:hAnsi="SimSun" w:eastAsia="SimSun" w:cs="SimSun"/>
          <w:sz w:val="21"/>
          <w:szCs w:val="21"/>
          <w:spacing w:val="6"/>
        </w:rPr>
        <w:t xml:space="preserve"> </w:t>
      </w:r>
      <w:r>
        <w:rPr>
          <w:rFonts w:ascii="SimSun" w:hAnsi="SimSun" w:eastAsia="SimSun" w:cs="SimSun"/>
          <w:sz w:val="21"/>
          <w:szCs w:val="21"/>
          <w:spacing w:val="-11"/>
        </w:rPr>
        <w:t>易生态成本、技术研发成本、市场调研成本、人员培训成本、专项投</w:t>
      </w:r>
      <w:r>
        <w:rPr>
          <w:rFonts w:ascii="SimSun" w:hAnsi="SimSun" w:eastAsia="SimSun" w:cs="SimSun"/>
          <w:sz w:val="21"/>
          <w:szCs w:val="21"/>
          <w:spacing w:val="7"/>
        </w:rPr>
        <w:t xml:space="preserve"> </w:t>
      </w:r>
      <w:r>
        <w:rPr>
          <w:rFonts w:ascii="SimSun" w:hAnsi="SimSun" w:eastAsia="SimSun" w:cs="SimSun"/>
          <w:sz w:val="21"/>
          <w:szCs w:val="21"/>
          <w:spacing w:val="-11"/>
        </w:rPr>
        <w:t>资成本、广告宣传成本以及组织协同成本等。除了构建交易生态的成</w:t>
      </w:r>
      <w:r>
        <w:rPr>
          <w:rFonts w:ascii="SimSun" w:hAnsi="SimSun" w:eastAsia="SimSun" w:cs="SimSun"/>
          <w:sz w:val="21"/>
          <w:szCs w:val="21"/>
          <w:spacing w:val="8"/>
        </w:rPr>
        <w:t xml:space="preserve"> </w:t>
      </w:r>
      <w:r>
        <w:rPr>
          <w:rFonts w:ascii="SimSun" w:hAnsi="SimSun" w:eastAsia="SimSun" w:cs="SimSun"/>
          <w:sz w:val="21"/>
          <w:szCs w:val="21"/>
          <w:spacing w:val="-4"/>
        </w:rPr>
        <w:t>本，其他成本都是传统行业中常见的。构建一个能够自我生长的交</w:t>
      </w:r>
      <w:r>
        <w:rPr>
          <w:rFonts w:ascii="SimSun" w:hAnsi="SimSun" w:eastAsia="SimSun" w:cs="SimSun"/>
          <w:sz w:val="21"/>
          <w:szCs w:val="21"/>
          <w:spacing w:val="3"/>
        </w:rPr>
        <w:t xml:space="preserve"> </w:t>
      </w:r>
      <w:r>
        <w:rPr>
          <w:rFonts w:ascii="SimSun" w:hAnsi="SimSun" w:eastAsia="SimSun" w:cs="SimSun"/>
          <w:sz w:val="21"/>
          <w:szCs w:val="21"/>
          <w:spacing w:val="-5"/>
        </w:rPr>
        <w:t>易生态，可能是非常艰难的任务，基本上决定了平台领域的可竞争</w:t>
      </w:r>
      <w:r>
        <w:rPr>
          <w:rFonts w:ascii="SimSun" w:hAnsi="SimSun" w:eastAsia="SimSun" w:cs="SimSun"/>
          <w:sz w:val="21"/>
          <w:szCs w:val="21"/>
          <w:spacing w:val="12"/>
        </w:rPr>
        <w:t xml:space="preserve"> </w:t>
      </w:r>
      <w:r>
        <w:rPr>
          <w:rFonts w:ascii="SimSun" w:hAnsi="SimSun" w:eastAsia="SimSun" w:cs="SimSun"/>
          <w:sz w:val="21"/>
          <w:szCs w:val="21"/>
          <w:spacing w:val="-9"/>
        </w:rPr>
        <w:t>程度。</w:t>
      </w:r>
    </w:p>
    <w:p>
      <w:pPr>
        <w:ind w:firstLine="399"/>
        <w:spacing w:before="105" w:line="306" w:lineRule="auto"/>
        <w:jc w:val="both"/>
        <w:rPr>
          <w:rFonts w:ascii="SimSun" w:hAnsi="SimSun" w:eastAsia="SimSun" w:cs="SimSun"/>
          <w:sz w:val="21"/>
          <w:szCs w:val="21"/>
        </w:rPr>
      </w:pPr>
      <w:r>
        <w:rPr>
          <w:rFonts w:ascii="SimSun" w:hAnsi="SimSun" w:eastAsia="SimSun" w:cs="SimSun"/>
          <w:sz w:val="21"/>
          <w:szCs w:val="21"/>
          <w:spacing w:val="-11"/>
        </w:rPr>
        <w:t>直接评估一个平台领域的可竞争程度比较困难，原因是我们很难</w:t>
      </w:r>
      <w:r>
        <w:rPr>
          <w:rFonts w:ascii="SimSun" w:hAnsi="SimSun" w:eastAsia="SimSun" w:cs="SimSun"/>
          <w:sz w:val="21"/>
          <w:szCs w:val="21"/>
          <w:spacing w:val="2"/>
        </w:rPr>
        <w:t xml:space="preserve">  </w:t>
      </w:r>
      <w:r>
        <w:rPr>
          <w:rFonts w:ascii="SimSun" w:hAnsi="SimSun" w:eastAsia="SimSun" w:cs="SimSun"/>
          <w:sz w:val="21"/>
          <w:szCs w:val="21"/>
          <w:spacing w:val="-11"/>
        </w:rPr>
        <w:t>计算一个没有发生过的商业行为的成本。间接评估则主要看目标平台</w:t>
      </w:r>
      <w:r>
        <w:rPr>
          <w:rFonts w:ascii="SimSun" w:hAnsi="SimSun" w:eastAsia="SimSun" w:cs="SimSun"/>
          <w:sz w:val="21"/>
          <w:szCs w:val="21"/>
        </w:rPr>
        <w:t xml:space="preserve">  </w:t>
      </w:r>
      <w:r>
        <w:rPr>
          <w:rFonts w:ascii="SimSun" w:hAnsi="SimSun" w:eastAsia="SimSun" w:cs="SimSun"/>
          <w:sz w:val="21"/>
          <w:szCs w:val="21"/>
          <w:spacing w:val="-11"/>
        </w:rPr>
        <w:t>的市场占有率和赢利能力，如果平台的价格较高，赢利能力较强，那</w:t>
      </w:r>
      <w:r>
        <w:rPr>
          <w:rFonts w:ascii="SimSun" w:hAnsi="SimSun" w:eastAsia="SimSun" w:cs="SimSun"/>
          <w:sz w:val="21"/>
          <w:szCs w:val="21"/>
          <w:spacing w:val="6"/>
        </w:rPr>
        <w:t xml:space="preserve">  </w:t>
      </w:r>
      <w:r>
        <w:rPr>
          <w:rFonts w:ascii="SimSun" w:hAnsi="SimSun" w:eastAsia="SimSun" w:cs="SimSun"/>
          <w:sz w:val="21"/>
          <w:szCs w:val="21"/>
          <w:spacing w:val="-11"/>
        </w:rPr>
        <w:t>么说明至少在当前条件下，该领域的可竞争性较弱，如美国的四大科</w:t>
      </w:r>
      <w:r>
        <w:rPr>
          <w:rFonts w:ascii="SimSun" w:hAnsi="SimSun" w:eastAsia="SimSun" w:cs="SimSun"/>
          <w:sz w:val="21"/>
          <w:szCs w:val="21"/>
          <w:spacing w:val="3"/>
        </w:rPr>
        <w:t xml:space="preserve">  </w:t>
      </w:r>
      <w:r>
        <w:rPr>
          <w:rFonts w:ascii="SimSun" w:hAnsi="SimSun" w:eastAsia="SimSun" w:cs="SimSun"/>
          <w:sz w:val="21"/>
          <w:szCs w:val="21"/>
          <w:spacing w:val="-4"/>
        </w:rPr>
        <w:t>技平台(亚马逊、苹果、脸书、谷歌)。反之，如果一个垄断平台在</w:t>
      </w:r>
      <w:r>
        <w:rPr>
          <w:rFonts w:ascii="SimSun" w:hAnsi="SimSun" w:eastAsia="SimSun" w:cs="SimSun"/>
          <w:sz w:val="21"/>
          <w:szCs w:val="21"/>
          <w:spacing w:val="5"/>
        </w:rPr>
        <w:t xml:space="preserve">  </w:t>
      </w:r>
      <w:r>
        <w:rPr>
          <w:rFonts w:ascii="SimSun" w:hAnsi="SimSun" w:eastAsia="SimSun" w:cs="SimSun"/>
          <w:sz w:val="21"/>
          <w:szCs w:val="21"/>
          <w:spacing w:val="-8"/>
        </w:rPr>
        <w:t>步入稳定发展期后市场占有率很高，但仍然不能获得</w:t>
      </w:r>
      <w:r>
        <w:rPr>
          <w:rFonts w:ascii="SimSun" w:hAnsi="SimSun" w:eastAsia="SimSun" w:cs="SimSun"/>
          <w:sz w:val="21"/>
          <w:szCs w:val="21"/>
          <w:spacing w:val="-9"/>
        </w:rPr>
        <w:t>较高的利润率，</w:t>
      </w:r>
      <w:r>
        <w:rPr>
          <w:rFonts w:ascii="SimSun" w:hAnsi="SimSun" w:eastAsia="SimSun" w:cs="SimSun"/>
          <w:sz w:val="21"/>
          <w:szCs w:val="21"/>
        </w:rPr>
        <w:t xml:space="preserve"> </w:t>
      </w:r>
      <w:r>
        <w:rPr>
          <w:rFonts w:ascii="SimSun" w:hAnsi="SimSun" w:eastAsia="SimSun" w:cs="SimSun"/>
          <w:sz w:val="21"/>
          <w:szCs w:val="21"/>
          <w:spacing w:val="-11"/>
        </w:rPr>
        <w:t>则说明这个平台可能面临潜在竞争对手，可竞争性较强，如推特。不</w:t>
      </w:r>
      <w:r>
        <w:rPr>
          <w:rFonts w:ascii="SimSun" w:hAnsi="SimSun" w:eastAsia="SimSun" w:cs="SimSun"/>
          <w:sz w:val="21"/>
          <w:szCs w:val="21"/>
          <w:spacing w:val="4"/>
        </w:rPr>
        <w:t xml:space="preserve">  </w:t>
      </w:r>
      <w:r>
        <w:rPr>
          <w:rFonts w:ascii="SimSun" w:hAnsi="SimSun" w:eastAsia="SimSun" w:cs="SimSun"/>
          <w:sz w:val="21"/>
          <w:szCs w:val="21"/>
          <w:spacing w:val="-8"/>
        </w:rPr>
        <w:t>过，也有可能是因为这个平台所在市场的规模较小，开发价值不大，</w:t>
      </w:r>
      <w:r>
        <w:rPr>
          <w:rFonts w:ascii="SimSun" w:hAnsi="SimSun" w:eastAsia="SimSun" w:cs="SimSun"/>
          <w:sz w:val="21"/>
          <w:szCs w:val="21"/>
          <w:spacing w:val="14"/>
        </w:rPr>
        <w:t xml:space="preserve"> </w:t>
      </w:r>
      <w:r>
        <w:rPr>
          <w:rFonts w:ascii="SimSun" w:hAnsi="SimSun" w:eastAsia="SimSun" w:cs="SimSun"/>
          <w:sz w:val="21"/>
          <w:szCs w:val="21"/>
          <w:spacing w:val="-13"/>
        </w:rPr>
        <w:t>垄断者也无利可图。</w:t>
      </w:r>
    </w:p>
    <w:p>
      <w:pPr>
        <w:ind w:right="76" w:firstLine="399"/>
        <w:spacing w:before="111" w:line="292" w:lineRule="auto"/>
        <w:jc w:val="both"/>
        <w:rPr>
          <w:rFonts w:ascii="SimSun" w:hAnsi="SimSun" w:eastAsia="SimSun" w:cs="SimSun"/>
          <w:sz w:val="21"/>
          <w:szCs w:val="21"/>
        </w:rPr>
      </w:pPr>
      <w:r>
        <w:rPr>
          <w:rFonts w:ascii="SimSun" w:hAnsi="SimSun" w:eastAsia="SimSun" w:cs="SimSun"/>
          <w:sz w:val="21"/>
          <w:szCs w:val="21"/>
          <w:spacing w:val="-11"/>
        </w:rPr>
        <w:t>总之，反垄断机构应鼓励平台间的跨界经营，并通过政策手段降</w:t>
      </w:r>
      <w:r>
        <w:rPr>
          <w:rFonts w:ascii="SimSun" w:hAnsi="SimSun" w:eastAsia="SimSun" w:cs="SimSun"/>
          <w:sz w:val="21"/>
          <w:szCs w:val="21"/>
          <w:spacing w:val="7"/>
        </w:rPr>
        <w:t xml:space="preserve"> </w:t>
      </w:r>
      <w:r>
        <w:rPr>
          <w:rFonts w:ascii="SimSun" w:hAnsi="SimSun" w:eastAsia="SimSun" w:cs="SimSun"/>
          <w:sz w:val="21"/>
          <w:szCs w:val="21"/>
          <w:spacing w:val="-11"/>
        </w:rPr>
        <w:t>低跨界进入的成本或门槛。应从垄断的实质而不是表象来观察平台垄</w:t>
      </w:r>
      <w:r>
        <w:rPr>
          <w:rFonts w:ascii="SimSun" w:hAnsi="SimSun" w:eastAsia="SimSun" w:cs="SimSun"/>
          <w:sz w:val="21"/>
          <w:szCs w:val="21"/>
          <w:spacing w:val="9"/>
        </w:rPr>
        <w:t xml:space="preserve"> </w:t>
      </w:r>
      <w:r>
        <w:rPr>
          <w:rFonts w:ascii="SimSun" w:hAnsi="SimSun" w:eastAsia="SimSun" w:cs="SimSun"/>
          <w:sz w:val="21"/>
          <w:szCs w:val="21"/>
          <w:spacing w:val="-10"/>
        </w:rPr>
        <w:t>断问题。垄断的实质是持续的高价格和高利润率，表象则是高</w:t>
      </w:r>
      <w:r>
        <w:rPr>
          <w:rFonts w:ascii="SimSun" w:hAnsi="SimSun" w:eastAsia="SimSun" w:cs="SimSun"/>
          <w:sz w:val="21"/>
          <w:szCs w:val="21"/>
          <w:spacing w:val="-11"/>
        </w:rPr>
        <w:t>市场份</w:t>
      </w:r>
      <w:r>
        <w:rPr>
          <w:rFonts w:ascii="SimSun" w:hAnsi="SimSun" w:eastAsia="SimSun" w:cs="SimSun"/>
          <w:sz w:val="21"/>
          <w:szCs w:val="21"/>
        </w:rPr>
        <w:t xml:space="preserve"> </w:t>
      </w:r>
      <w:r>
        <w:rPr>
          <w:rFonts w:ascii="SimSun" w:hAnsi="SimSun" w:eastAsia="SimSun" w:cs="SimSun"/>
          <w:sz w:val="21"/>
          <w:szCs w:val="21"/>
          <w:spacing w:val="-10"/>
        </w:rPr>
        <w:t>额。可竞争性则意味着一个有高市场份额的企业不一定是具</w:t>
      </w:r>
      <w:r>
        <w:rPr>
          <w:rFonts w:ascii="SimSun" w:hAnsi="SimSun" w:eastAsia="SimSun" w:cs="SimSun"/>
          <w:sz w:val="21"/>
          <w:szCs w:val="21"/>
          <w:spacing w:val="-11"/>
        </w:rPr>
        <w:t>有垄断力</w:t>
      </w:r>
    </w:p>
    <w:p>
      <w:pPr>
        <w:spacing w:line="292" w:lineRule="auto"/>
        <w:sectPr>
          <w:headerReference w:type="default" r:id="rId356"/>
          <w:pgSz w:w="7330" w:h="12480"/>
          <w:pgMar w:top="845" w:right="854" w:bottom="400" w:left="399" w:header="683"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21"/>
        <w:spacing w:before="69" w:line="219" w:lineRule="auto"/>
        <w:rPr>
          <w:rFonts w:ascii="SimSun" w:hAnsi="SimSun" w:eastAsia="SimSun" w:cs="SimSun"/>
          <w:sz w:val="21"/>
          <w:szCs w:val="21"/>
        </w:rPr>
      </w:pPr>
      <w:r>
        <w:rPr>
          <w:rFonts w:ascii="SimSun" w:hAnsi="SimSun" w:eastAsia="SimSun" w:cs="SimSun"/>
          <w:sz w:val="21"/>
          <w:szCs w:val="21"/>
          <w:spacing w:val="-14"/>
        </w:rPr>
        <w:t>量的企业，而只是一个面临潜在竞争压力的“大企业</w:t>
      </w:r>
      <w:r>
        <w:rPr>
          <w:rFonts w:ascii="SimSun" w:hAnsi="SimSun" w:eastAsia="SimSun" w:cs="SimSun"/>
          <w:sz w:val="21"/>
          <w:szCs w:val="21"/>
          <w:spacing w:val="-15"/>
        </w:rPr>
        <w:t>”。</w:t>
      </w:r>
    </w:p>
    <w:p>
      <w:pPr>
        <w:pStyle w:val="BodyText"/>
        <w:spacing w:line="383" w:lineRule="auto"/>
        <w:rPr/>
      </w:pPr>
      <w:r/>
    </w:p>
    <w:p>
      <w:pPr>
        <w:spacing w:before="81" w:line="222" w:lineRule="auto"/>
        <w:rPr>
          <w:rFonts w:ascii="SimHei" w:hAnsi="SimHei" w:eastAsia="SimHei" w:cs="SimHei"/>
          <w:sz w:val="25"/>
          <w:szCs w:val="25"/>
        </w:rPr>
      </w:pPr>
      <w:r>
        <w:rPr>
          <w:rFonts w:ascii="SimHei" w:hAnsi="SimHei" w:eastAsia="SimHei" w:cs="SimHei"/>
          <w:sz w:val="25"/>
          <w:szCs w:val="25"/>
          <w:b/>
          <w:bCs/>
          <w:spacing w:val="-14"/>
        </w:rPr>
        <w:t>“二选一”政策的多样化影响</w:t>
      </w:r>
    </w:p>
    <w:p>
      <w:pPr>
        <w:pStyle w:val="BodyText"/>
        <w:spacing w:line="354" w:lineRule="auto"/>
        <w:rPr/>
      </w:pPr>
      <w:r/>
    </w:p>
    <w:p>
      <w:pPr>
        <w:ind w:left="16" w:right="75" w:firstLine="525"/>
        <w:spacing w:before="68" w:line="297" w:lineRule="auto"/>
        <w:jc w:val="both"/>
        <w:rPr>
          <w:rFonts w:ascii="SimSun" w:hAnsi="SimSun" w:eastAsia="SimSun" w:cs="SimSun"/>
          <w:sz w:val="21"/>
          <w:szCs w:val="21"/>
        </w:rPr>
      </w:pPr>
      <w:r>
        <w:rPr>
          <w:rFonts w:ascii="SimSun" w:hAnsi="SimSun" w:eastAsia="SimSun" w:cs="SimSun"/>
          <w:sz w:val="21"/>
          <w:szCs w:val="21"/>
          <w:spacing w:val="-3"/>
        </w:rPr>
        <w:t>平台企业经常要求平台内商家仅在本平台经营，不能同时</w:t>
      </w:r>
      <w:r>
        <w:rPr>
          <w:rFonts w:ascii="SimSun" w:hAnsi="SimSun" w:eastAsia="SimSun" w:cs="SimSun"/>
          <w:sz w:val="21"/>
          <w:szCs w:val="21"/>
          <w:spacing w:val="-4"/>
        </w:rPr>
        <w:t>在其</w:t>
      </w:r>
      <w:r>
        <w:rPr>
          <w:rFonts w:ascii="SimSun" w:hAnsi="SimSun" w:eastAsia="SimSun" w:cs="SimSun"/>
          <w:sz w:val="21"/>
          <w:szCs w:val="21"/>
        </w:rPr>
        <w:t xml:space="preserve"> </w:t>
      </w:r>
      <w:r>
        <w:rPr>
          <w:rFonts w:ascii="SimSun" w:hAnsi="SimSun" w:eastAsia="SimSun" w:cs="SimSun"/>
          <w:sz w:val="21"/>
          <w:szCs w:val="21"/>
          <w:spacing w:val="-14"/>
        </w:rPr>
        <w:t>他平台经营，这就是所谓的“二选一”。在我国，“二选一”涉嫌违反</w:t>
      </w:r>
      <w:r>
        <w:rPr>
          <w:rFonts w:ascii="SimSun" w:hAnsi="SimSun" w:eastAsia="SimSun" w:cs="SimSun"/>
          <w:sz w:val="21"/>
          <w:szCs w:val="21"/>
          <w:spacing w:val="14"/>
        </w:rPr>
        <w:t xml:space="preserve"> </w:t>
      </w:r>
      <w:r>
        <w:rPr>
          <w:rFonts w:ascii="SimSun" w:hAnsi="SimSun" w:eastAsia="SimSun" w:cs="SimSun"/>
          <w:sz w:val="21"/>
          <w:szCs w:val="21"/>
          <w:spacing w:val="-7"/>
        </w:rPr>
        <w:t>《反垄断法》第十七条，即“禁止具有市场支配地位的经营者从事下</w:t>
      </w:r>
      <w:r>
        <w:rPr>
          <w:rFonts w:ascii="SimSun" w:hAnsi="SimSun" w:eastAsia="SimSun" w:cs="SimSun"/>
          <w:sz w:val="21"/>
          <w:szCs w:val="21"/>
          <w:spacing w:val="13"/>
        </w:rPr>
        <w:t xml:space="preserve"> </w:t>
      </w:r>
      <w:r>
        <w:rPr>
          <w:rFonts w:ascii="SimSun" w:hAnsi="SimSun" w:eastAsia="SimSun" w:cs="SimSun"/>
          <w:sz w:val="21"/>
          <w:szCs w:val="21"/>
          <w:spacing w:val="-12"/>
        </w:rPr>
        <w:t>列滥用市场支配地位的行为：</w:t>
      </w:r>
      <w:r>
        <w:rPr>
          <w:rFonts w:ascii="SimSun" w:hAnsi="SimSun" w:eastAsia="SimSun" w:cs="SimSun"/>
          <w:sz w:val="21"/>
          <w:szCs w:val="21"/>
          <w:spacing w:val="68"/>
        </w:rPr>
        <w:t xml:space="preserve"> </w:t>
      </w:r>
      <w:r>
        <w:rPr>
          <w:rFonts w:ascii="SimSun" w:hAnsi="SimSun" w:eastAsia="SimSun" w:cs="SimSun"/>
          <w:sz w:val="21"/>
          <w:szCs w:val="21"/>
          <w:spacing w:val="-12"/>
        </w:rPr>
        <w:t>……没有正当理由，限定交易相对人只</w:t>
      </w:r>
      <w:r>
        <w:rPr>
          <w:rFonts w:ascii="SimSun" w:hAnsi="SimSun" w:eastAsia="SimSun" w:cs="SimSun"/>
          <w:sz w:val="21"/>
          <w:szCs w:val="21"/>
        </w:rPr>
        <w:t xml:space="preserve"> </w:t>
      </w:r>
      <w:r>
        <w:rPr>
          <w:rFonts w:ascii="SimSun" w:hAnsi="SimSun" w:eastAsia="SimSun" w:cs="SimSun"/>
          <w:sz w:val="21"/>
          <w:szCs w:val="21"/>
          <w:spacing w:val="-10"/>
        </w:rPr>
        <w:t>能与其进行交易或者只能与其指定的经营者进行交易”。</w:t>
      </w:r>
    </w:p>
    <w:p>
      <w:pPr>
        <w:ind w:left="121" w:right="20" w:firstLine="315"/>
        <w:spacing w:before="102" w:line="303" w:lineRule="auto"/>
        <w:jc w:val="both"/>
        <w:rPr>
          <w:rFonts w:ascii="SimSun" w:hAnsi="SimSun" w:eastAsia="SimSun" w:cs="SimSun"/>
          <w:sz w:val="21"/>
          <w:szCs w:val="21"/>
        </w:rPr>
      </w:pPr>
      <w:r>
        <w:rPr>
          <w:rFonts w:ascii="SimSun" w:hAnsi="SimSun" w:eastAsia="SimSun" w:cs="SimSun"/>
          <w:sz w:val="21"/>
          <w:szCs w:val="21"/>
          <w:spacing w:val="-11"/>
        </w:rPr>
        <w:t>“二选一”类似于传统经济中的“排他性地区代理”,即上游企业 </w:t>
      </w:r>
      <w:r>
        <w:rPr>
          <w:rFonts w:ascii="SimSun" w:hAnsi="SimSun" w:eastAsia="SimSun" w:cs="SimSun"/>
          <w:sz w:val="21"/>
          <w:szCs w:val="21"/>
          <w:spacing w:val="-10"/>
        </w:rPr>
        <w:t>在每个区域仅通过唯一经销商销售，但是两</w:t>
      </w:r>
      <w:r>
        <w:rPr>
          <w:rFonts w:ascii="SimSun" w:hAnsi="SimSun" w:eastAsia="SimSun" w:cs="SimSun"/>
          <w:sz w:val="21"/>
          <w:szCs w:val="21"/>
          <w:spacing w:val="-11"/>
        </w:rPr>
        <w:t>者之间也有明显区别。首 </w:t>
      </w:r>
      <w:r>
        <w:rPr>
          <w:rFonts w:ascii="SimSun" w:hAnsi="SimSun" w:eastAsia="SimSun" w:cs="SimSun"/>
          <w:sz w:val="21"/>
          <w:szCs w:val="21"/>
          <w:spacing w:val="-10"/>
        </w:rPr>
        <w:t>先，“二选一”政策一般都是平台提出的要</w:t>
      </w:r>
      <w:r>
        <w:rPr>
          <w:rFonts w:ascii="SimSun" w:hAnsi="SimSun" w:eastAsia="SimSun" w:cs="SimSun"/>
          <w:sz w:val="21"/>
          <w:szCs w:val="21"/>
          <w:spacing w:val="-11"/>
        </w:rPr>
        <w:t>求，而排他性地区代理经 </w:t>
      </w:r>
      <w:r>
        <w:rPr>
          <w:rFonts w:ascii="SimSun" w:hAnsi="SimSun" w:eastAsia="SimSun" w:cs="SimSun"/>
          <w:sz w:val="21"/>
          <w:szCs w:val="21"/>
          <w:spacing w:val="-10"/>
        </w:rPr>
        <w:t>常是上游产品企业的主动选择，甚至地区代</w:t>
      </w:r>
      <w:r>
        <w:rPr>
          <w:rFonts w:ascii="SimSun" w:hAnsi="SimSun" w:eastAsia="SimSun" w:cs="SimSun"/>
          <w:sz w:val="21"/>
          <w:szCs w:val="21"/>
          <w:spacing w:val="-11"/>
        </w:rPr>
        <w:t>理本身就是由上游企业扶 </w:t>
      </w:r>
      <w:r>
        <w:rPr>
          <w:rFonts w:ascii="SimSun" w:hAnsi="SimSun" w:eastAsia="SimSun" w:cs="SimSun"/>
          <w:sz w:val="21"/>
          <w:szCs w:val="21"/>
          <w:spacing w:val="-8"/>
        </w:rPr>
        <w:t>持建立的。其次，电子商务平台通常不会买断产品，而只提供通道，</w:t>
      </w:r>
      <w:r>
        <w:rPr>
          <w:rFonts w:ascii="SimSun" w:hAnsi="SimSun" w:eastAsia="SimSun" w:cs="SimSun"/>
          <w:sz w:val="21"/>
          <w:szCs w:val="21"/>
          <w:spacing w:val="3"/>
        </w:rPr>
        <w:t xml:space="preserve"> </w:t>
      </w:r>
      <w:r>
        <w:rPr>
          <w:rFonts w:ascii="SimSun" w:hAnsi="SimSun" w:eastAsia="SimSun" w:cs="SimSun"/>
          <w:sz w:val="21"/>
          <w:szCs w:val="21"/>
          <w:spacing w:val="-10"/>
        </w:rPr>
        <w:t>除了收取服务费之外，也不会干预产品定价</w:t>
      </w:r>
      <w:r>
        <w:rPr>
          <w:rFonts w:ascii="SimSun" w:hAnsi="SimSun" w:eastAsia="SimSun" w:cs="SimSun"/>
          <w:sz w:val="21"/>
          <w:szCs w:val="21"/>
          <w:spacing w:val="-11"/>
        </w:rPr>
        <w:t>。而传统经济中的下游企 </w:t>
      </w:r>
      <w:r>
        <w:rPr>
          <w:rFonts w:ascii="SimSun" w:hAnsi="SimSun" w:eastAsia="SimSun" w:cs="SimSun"/>
          <w:sz w:val="21"/>
          <w:szCs w:val="21"/>
          <w:spacing w:val="-11"/>
        </w:rPr>
        <w:t>业一般会买断上游企业的产品，然后定价销售。</w:t>
      </w:r>
    </w:p>
    <w:p>
      <w:pPr>
        <w:ind w:left="121" w:firstLine="420"/>
        <w:spacing w:before="107" w:line="308" w:lineRule="auto"/>
        <w:jc w:val="both"/>
        <w:rPr>
          <w:rFonts w:ascii="SimSun" w:hAnsi="SimSun" w:eastAsia="SimSun" w:cs="SimSun"/>
          <w:sz w:val="21"/>
          <w:szCs w:val="21"/>
        </w:rPr>
      </w:pPr>
      <w:r>
        <w:rPr>
          <w:rFonts w:ascii="SimSun" w:hAnsi="SimSun" w:eastAsia="SimSun" w:cs="SimSun"/>
          <w:sz w:val="21"/>
          <w:szCs w:val="21"/>
          <w:spacing w:val="-11"/>
        </w:rPr>
        <w:t>经济学理论对排他性地区代理有多种解释，其中一个比较有说服 </w:t>
      </w:r>
      <w:r>
        <w:rPr>
          <w:rFonts w:ascii="SimSun" w:hAnsi="SimSun" w:eastAsia="SimSun" w:cs="SimSun"/>
          <w:sz w:val="21"/>
          <w:szCs w:val="21"/>
          <w:spacing w:val="-10"/>
        </w:rPr>
        <w:t>力的理论认为“二选一”的目的是防止“搭便车”。上游的产品在向</w:t>
      </w:r>
      <w:r>
        <w:rPr>
          <w:rFonts w:ascii="SimSun" w:hAnsi="SimSun" w:eastAsia="SimSun" w:cs="SimSun"/>
          <w:sz w:val="21"/>
          <w:szCs w:val="21"/>
        </w:rPr>
        <w:t xml:space="preserve"> </w:t>
      </w:r>
      <w:r>
        <w:rPr>
          <w:rFonts w:ascii="SimSun" w:hAnsi="SimSun" w:eastAsia="SimSun" w:cs="SimSun"/>
          <w:sz w:val="21"/>
          <w:szCs w:val="21"/>
          <w:spacing w:val="-7"/>
        </w:rPr>
        <w:t>最终消费者销售的过程中，经常需要下游经销商提供</w:t>
      </w:r>
      <w:r>
        <w:rPr>
          <w:rFonts w:ascii="SimSun" w:hAnsi="SimSun" w:eastAsia="SimSun" w:cs="SimSun"/>
          <w:sz w:val="21"/>
          <w:szCs w:val="21"/>
          <w:spacing w:val="-8"/>
        </w:rPr>
        <w:t>各种销售服务，</w:t>
      </w:r>
      <w:r>
        <w:rPr>
          <w:rFonts w:ascii="SimSun" w:hAnsi="SimSun" w:eastAsia="SimSun" w:cs="SimSun"/>
          <w:sz w:val="21"/>
          <w:szCs w:val="21"/>
        </w:rPr>
        <w:t xml:space="preserve"> </w:t>
      </w:r>
      <w:r>
        <w:rPr>
          <w:rFonts w:ascii="SimSun" w:hAnsi="SimSun" w:eastAsia="SimSun" w:cs="SimSun"/>
          <w:sz w:val="21"/>
          <w:szCs w:val="21"/>
          <w:spacing w:val="-10"/>
        </w:rPr>
        <w:t>例如进行本地化广告推广、制订营销方案等。</w:t>
      </w:r>
      <w:r>
        <w:rPr>
          <w:rFonts w:ascii="SimSun" w:hAnsi="SimSun" w:eastAsia="SimSun" w:cs="SimSun"/>
          <w:sz w:val="21"/>
          <w:szCs w:val="21"/>
          <w:spacing w:val="-11"/>
        </w:rPr>
        <w:t>这些销售服务要密切结</w:t>
      </w:r>
      <w:r>
        <w:rPr>
          <w:rFonts w:ascii="SimSun" w:hAnsi="SimSun" w:eastAsia="SimSun" w:cs="SimSun"/>
          <w:sz w:val="21"/>
          <w:szCs w:val="21"/>
        </w:rPr>
        <w:t xml:space="preserve">  </w:t>
      </w:r>
      <w:r>
        <w:rPr>
          <w:rFonts w:ascii="SimSun" w:hAnsi="SimSun" w:eastAsia="SimSun" w:cs="SimSun"/>
          <w:sz w:val="21"/>
          <w:szCs w:val="21"/>
          <w:spacing w:val="-10"/>
        </w:rPr>
        <w:t>合当地的实际情况，因此只能由当地经销商进</w:t>
      </w:r>
      <w:r>
        <w:rPr>
          <w:rFonts w:ascii="SimSun" w:hAnsi="SimSun" w:eastAsia="SimSun" w:cs="SimSun"/>
          <w:sz w:val="21"/>
          <w:szCs w:val="21"/>
          <w:spacing w:val="-11"/>
        </w:rPr>
        <w:t>行。但是这些成本不菲</w:t>
      </w:r>
      <w:r>
        <w:rPr>
          <w:rFonts w:ascii="SimSun" w:hAnsi="SimSun" w:eastAsia="SimSun" w:cs="SimSun"/>
          <w:sz w:val="21"/>
          <w:szCs w:val="21"/>
        </w:rPr>
        <w:t xml:space="preserve">  </w:t>
      </w:r>
      <w:r>
        <w:rPr>
          <w:rFonts w:ascii="SimSun" w:hAnsi="SimSun" w:eastAsia="SimSun" w:cs="SimSun"/>
          <w:sz w:val="21"/>
          <w:szCs w:val="21"/>
          <w:spacing w:val="-7"/>
        </w:rPr>
        <w:t>的服务很容易被其他经销商“搭便车”,导致当地经销商提供这类服</w:t>
      </w:r>
      <w:r>
        <w:rPr>
          <w:rFonts w:ascii="SimSun" w:hAnsi="SimSun" w:eastAsia="SimSun" w:cs="SimSun"/>
          <w:sz w:val="21"/>
          <w:szCs w:val="21"/>
        </w:rPr>
        <w:t xml:space="preserve">  </w:t>
      </w:r>
      <w:r>
        <w:rPr>
          <w:rFonts w:ascii="SimSun" w:hAnsi="SimSun" w:eastAsia="SimSun" w:cs="SimSun"/>
          <w:sz w:val="21"/>
          <w:szCs w:val="21"/>
          <w:spacing w:val="-11"/>
        </w:rPr>
        <w:t>务的动机不足。另外，下游零售商还需要承担产品品质责任，因此零</w:t>
      </w:r>
      <w:r>
        <w:rPr>
          <w:rFonts w:ascii="SimSun" w:hAnsi="SimSun" w:eastAsia="SimSun" w:cs="SimSun"/>
          <w:sz w:val="21"/>
          <w:szCs w:val="21"/>
          <w:spacing w:val="8"/>
        </w:rPr>
        <w:t xml:space="preserve">  </w:t>
      </w:r>
      <w:r>
        <w:rPr>
          <w:rFonts w:ascii="SimSun" w:hAnsi="SimSun" w:eastAsia="SimSun" w:cs="SimSun"/>
          <w:sz w:val="21"/>
          <w:szCs w:val="21"/>
          <w:spacing w:val="-7"/>
        </w:rPr>
        <w:t>售商需要对产品进行“认证”,而认证过程经常也会产生成本，这项</w:t>
      </w:r>
      <w:r>
        <w:rPr>
          <w:rFonts w:ascii="SimSun" w:hAnsi="SimSun" w:eastAsia="SimSun" w:cs="SimSun"/>
          <w:sz w:val="21"/>
          <w:szCs w:val="21"/>
          <w:spacing w:val="3"/>
        </w:rPr>
        <w:t xml:space="preserve">  </w:t>
      </w:r>
      <w:r>
        <w:rPr>
          <w:rFonts w:ascii="SimSun" w:hAnsi="SimSun" w:eastAsia="SimSun" w:cs="SimSun"/>
          <w:sz w:val="21"/>
          <w:szCs w:val="21"/>
          <w:spacing w:val="-10"/>
        </w:rPr>
        <w:t>服务同样有被其他零售商搭便车的可能。为</w:t>
      </w:r>
      <w:r>
        <w:rPr>
          <w:rFonts w:ascii="SimSun" w:hAnsi="SimSun" w:eastAsia="SimSun" w:cs="SimSun"/>
          <w:sz w:val="21"/>
          <w:szCs w:val="21"/>
          <w:spacing w:val="-11"/>
        </w:rPr>
        <w:t>了鼓励下游经销商或零售</w:t>
      </w:r>
      <w:r>
        <w:rPr>
          <w:rFonts w:ascii="SimSun" w:hAnsi="SimSun" w:eastAsia="SimSun" w:cs="SimSun"/>
          <w:sz w:val="21"/>
          <w:szCs w:val="21"/>
        </w:rPr>
        <w:t xml:space="preserve">  </w:t>
      </w:r>
      <w:r>
        <w:rPr>
          <w:rFonts w:ascii="SimSun" w:hAnsi="SimSun" w:eastAsia="SimSun" w:cs="SimSun"/>
          <w:sz w:val="21"/>
          <w:szCs w:val="21"/>
          <w:spacing w:val="-10"/>
        </w:rPr>
        <w:t>商提供销售服务，上游企业可以在每个地区</w:t>
      </w:r>
      <w:r>
        <w:rPr>
          <w:rFonts w:ascii="SimSun" w:hAnsi="SimSun" w:eastAsia="SimSun" w:cs="SimSun"/>
          <w:sz w:val="21"/>
          <w:szCs w:val="21"/>
          <w:spacing w:val="-11"/>
        </w:rPr>
        <w:t>指定单个经销商，以消除</w:t>
      </w:r>
      <w:r>
        <w:rPr>
          <w:rFonts w:ascii="SimSun" w:hAnsi="SimSun" w:eastAsia="SimSun" w:cs="SimSun"/>
          <w:sz w:val="21"/>
          <w:szCs w:val="21"/>
        </w:rPr>
        <w:t xml:space="preserve">  </w:t>
      </w:r>
      <w:r>
        <w:rPr>
          <w:rFonts w:ascii="SimSun" w:hAnsi="SimSun" w:eastAsia="SimSun" w:cs="SimSun"/>
          <w:sz w:val="21"/>
          <w:szCs w:val="21"/>
          <w:spacing w:val="-10"/>
        </w:rPr>
        <w:t>搭便车问题。如果政府禁止排他性地区代理，就会出现下游销售</w:t>
      </w:r>
      <w:r>
        <w:rPr>
          <w:rFonts w:ascii="SimSun" w:hAnsi="SimSun" w:eastAsia="SimSun" w:cs="SimSun"/>
          <w:sz w:val="21"/>
          <w:szCs w:val="21"/>
          <w:spacing w:val="-11"/>
        </w:rPr>
        <w:t>服务</w:t>
      </w:r>
    </w:p>
    <w:p>
      <w:pPr>
        <w:spacing w:line="308" w:lineRule="auto"/>
        <w:sectPr>
          <w:headerReference w:type="default" r:id="rId357"/>
          <w:pgSz w:w="7330" w:h="12480"/>
          <w:pgMar w:top="567" w:right="475" w:bottom="400" w:left="648" w:header="405" w:footer="0" w:gutter="0"/>
        </w:sectPr>
        <w:rPr>
          <w:rFonts w:ascii="SimSun" w:hAnsi="SimSun" w:eastAsia="SimSun" w:cs="SimSun"/>
          <w:sz w:val="21"/>
          <w:szCs w:val="21"/>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68" w:line="381" w:lineRule="exact"/>
        <w:rPr>
          <w:rFonts w:ascii="SimSun" w:hAnsi="SimSun" w:eastAsia="SimSun" w:cs="SimSun"/>
          <w:sz w:val="21"/>
          <w:szCs w:val="21"/>
        </w:rPr>
      </w:pPr>
      <w:r>
        <w:rPr>
          <w:rFonts w:ascii="SimSun" w:hAnsi="SimSun" w:eastAsia="SimSun" w:cs="SimSun"/>
          <w:sz w:val="21"/>
          <w:szCs w:val="21"/>
          <w:spacing w:val="-3"/>
          <w:position w:val="12"/>
        </w:rPr>
        <w:t>提供不足，或者能够进入下游的上游产品减少，最终</w:t>
      </w:r>
      <w:r>
        <w:rPr>
          <w:rFonts w:ascii="SimSun" w:hAnsi="SimSun" w:eastAsia="SimSun" w:cs="SimSun"/>
          <w:sz w:val="21"/>
          <w:szCs w:val="21"/>
          <w:spacing w:val="-4"/>
          <w:position w:val="12"/>
        </w:rPr>
        <w:t>会降低产业利</w:t>
      </w:r>
    </w:p>
    <w:p>
      <w:pPr>
        <w:spacing w:line="220" w:lineRule="auto"/>
        <w:rPr>
          <w:rFonts w:ascii="SimSun" w:hAnsi="SimSun" w:eastAsia="SimSun" w:cs="SimSun"/>
          <w:sz w:val="21"/>
          <w:szCs w:val="21"/>
        </w:rPr>
      </w:pPr>
      <w:r>
        <w:rPr>
          <w:rFonts w:ascii="SimSun" w:hAnsi="SimSun" w:eastAsia="SimSun" w:cs="SimSun"/>
          <w:sz w:val="21"/>
          <w:szCs w:val="21"/>
          <w:spacing w:val="-12"/>
        </w:rPr>
        <w:t>润，而消费者也未必受益。</w:t>
      </w:r>
    </w:p>
    <w:p>
      <w:pPr>
        <w:ind w:right="4" w:firstLine="399"/>
        <w:spacing w:before="95" w:line="306" w:lineRule="auto"/>
        <w:jc w:val="both"/>
        <w:rPr>
          <w:rFonts w:ascii="SimSun" w:hAnsi="SimSun" w:eastAsia="SimSun" w:cs="SimSun"/>
          <w:sz w:val="21"/>
          <w:szCs w:val="21"/>
        </w:rPr>
      </w:pPr>
      <w:r>
        <w:rPr>
          <w:rFonts w:ascii="SimSun" w:hAnsi="SimSun" w:eastAsia="SimSun" w:cs="SimSun"/>
          <w:sz w:val="21"/>
          <w:szCs w:val="21"/>
          <w:spacing w:val="-11"/>
        </w:rPr>
        <w:t>平台经济中有类似的搭便车现象。传统商家“触网”需要学习大</w:t>
      </w:r>
      <w:r>
        <w:rPr>
          <w:rFonts w:ascii="SimSun" w:hAnsi="SimSun" w:eastAsia="SimSun" w:cs="SimSun"/>
          <w:sz w:val="21"/>
          <w:szCs w:val="21"/>
          <w:spacing w:val="16"/>
        </w:rPr>
        <w:t xml:space="preserve"> </w:t>
      </w:r>
      <w:r>
        <w:rPr>
          <w:rFonts w:ascii="SimSun" w:hAnsi="SimSun" w:eastAsia="SimSun" w:cs="SimSun"/>
          <w:sz w:val="21"/>
          <w:szCs w:val="21"/>
          <w:spacing w:val="-10"/>
        </w:rPr>
        <w:t>量相关知识，积累相关经验，建立网络品牌，而最具有</w:t>
      </w:r>
      <w:r>
        <w:rPr>
          <w:rFonts w:ascii="SimSun" w:hAnsi="SimSun" w:eastAsia="SimSun" w:cs="SimSun"/>
          <w:sz w:val="21"/>
          <w:szCs w:val="21"/>
          <w:spacing w:val="-11"/>
        </w:rPr>
        <w:t>这方面知识的</w:t>
      </w:r>
      <w:r>
        <w:rPr>
          <w:rFonts w:ascii="SimSun" w:hAnsi="SimSun" w:eastAsia="SimSun" w:cs="SimSun"/>
          <w:sz w:val="21"/>
          <w:szCs w:val="21"/>
        </w:rPr>
        <w:t xml:space="preserve"> </w:t>
      </w:r>
      <w:r>
        <w:rPr>
          <w:rFonts w:ascii="SimSun" w:hAnsi="SimSun" w:eastAsia="SimSun" w:cs="SimSun"/>
          <w:sz w:val="21"/>
          <w:szCs w:val="21"/>
          <w:spacing w:val="-10"/>
        </w:rPr>
        <w:t>正是平台本身。因此平台经常需要与商家合</w:t>
      </w:r>
      <w:r>
        <w:rPr>
          <w:rFonts w:ascii="SimSun" w:hAnsi="SimSun" w:eastAsia="SimSun" w:cs="SimSun"/>
          <w:sz w:val="21"/>
          <w:szCs w:val="21"/>
          <w:spacing w:val="-11"/>
        </w:rPr>
        <w:t>作，向商家传授网上销售</w:t>
      </w:r>
      <w:r>
        <w:rPr>
          <w:rFonts w:ascii="SimSun" w:hAnsi="SimSun" w:eastAsia="SimSun" w:cs="SimSun"/>
          <w:sz w:val="21"/>
          <w:szCs w:val="21"/>
        </w:rPr>
        <w:t xml:space="preserve"> </w:t>
      </w:r>
      <w:r>
        <w:rPr>
          <w:rFonts w:ascii="SimSun" w:hAnsi="SimSun" w:eastAsia="SimSun" w:cs="SimSun"/>
          <w:sz w:val="21"/>
          <w:szCs w:val="21"/>
          <w:spacing w:val="-7"/>
        </w:rPr>
        <w:t>的各种方法和经验，为商家提供创建品牌所需要的“流量”,提供产</w:t>
      </w:r>
      <w:r>
        <w:rPr>
          <w:rFonts w:ascii="SimSun" w:hAnsi="SimSun" w:eastAsia="SimSun" w:cs="SimSun"/>
          <w:sz w:val="21"/>
          <w:szCs w:val="21"/>
          <w:spacing w:val="6"/>
        </w:rPr>
        <w:t xml:space="preserve"> </w:t>
      </w:r>
      <w:r>
        <w:rPr>
          <w:rFonts w:ascii="SimSun" w:hAnsi="SimSun" w:eastAsia="SimSun" w:cs="SimSun"/>
          <w:sz w:val="21"/>
          <w:szCs w:val="21"/>
          <w:spacing w:val="-11"/>
        </w:rPr>
        <w:t>品研发所需要的数据或经验等，这个过程要求合作平台付出可观的成</w:t>
      </w:r>
      <w:r>
        <w:rPr>
          <w:rFonts w:ascii="SimSun" w:hAnsi="SimSun" w:eastAsia="SimSun" w:cs="SimSun"/>
          <w:sz w:val="21"/>
          <w:szCs w:val="21"/>
          <w:spacing w:val="18"/>
        </w:rPr>
        <w:t xml:space="preserve"> </w:t>
      </w:r>
      <w:r>
        <w:rPr>
          <w:rFonts w:ascii="SimSun" w:hAnsi="SimSun" w:eastAsia="SimSun" w:cs="SimSun"/>
          <w:sz w:val="21"/>
          <w:szCs w:val="21"/>
          <w:spacing w:val="-11"/>
        </w:rPr>
        <w:t>本或资源。例如，外卖平台美团在一项帮助小餐馆进行网上销售的咨</w:t>
      </w:r>
      <w:r>
        <w:rPr>
          <w:rFonts w:ascii="SimSun" w:hAnsi="SimSun" w:eastAsia="SimSun" w:cs="SimSun"/>
          <w:sz w:val="21"/>
          <w:szCs w:val="21"/>
          <w:spacing w:val="18"/>
        </w:rPr>
        <w:t xml:space="preserve"> </w:t>
      </w:r>
      <w:r>
        <w:rPr>
          <w:rFonts w:ascii="SimSun" w:hAnsi="SimSun" w:eastAsia="SimSun" w:cs="SimSun"/>
          <w:sz w:val="21"/>
          <w:szCs w:val="21"/>
          <w:spacing w:val="-10"/>
        </w:rPr>
        <w:t>询培训项目中，免费帮助了数千家餐馆，平均每家的成本达</w:t>
      </w:r>
      <w:r>
        <w:rPr>
          <w:rFonts w:ascii="SimSun" w:hAnsi="SimSun" w:eastAsia="SimSun" w:cs="SimSun"/>
          <w:sz w:val="21"/>
          <w:szCs w:val="21"/>
          <w:spacing w:val="-11"/>
        </w:rPr>
        <w:t>到千元以</w:t>
      </w:r>
      <w:r>
        <w:rPr>
          <w:rFonts w:ascii="SimSun" w:hAnsi="SimSun" w:eastAsia="SimSun" w:cs="SimSun"/>
          <w:sz w:val="21"/>
          <w:szCs w:val="21"/>
        </w:rPr>
        <w:t xml:space="preserve"> </w:t>
      </w:r>
      <w:r>
        <w:rPr>
          <w:rFonts w:ascii="SimSun" w:hAnsi="SimSun" w:eastAsia="SimSun" w:cs="SimSun"/>
          <w:sz w:val="21"/>
          <w:szCs w:val="21"/>
          <w:spacing w:val="-11"/>
        </w:rPr>
        <w:t>上；电子商务平台阿里巴巴也为商家提供很多免费的网上销售培训或</w:t>
      </w:r>
      <w:r>
        <w:rPr>
          <w:rFonts w:ascii="SimSun" w:hAnsi="SimSun" w:eastAsia="SimSun" w:cs="SimSun"/>
          <w:sz w:val="21"/>
          <w:szCs w:val="21"/>
          <w:spacing w:val="18"/>
        </w:rPr>
        <w:t xml:space="preserve"> </w:t>
      </w:r>
      <w:r>
        <w:rPr>
          <w:rFonts w:ascii="SimSun" w:hAnsi="SimSun" w:eastAsia="SimSun" w:cs="SimSun"/>
          <w:sz w:val="21"/>
          <w:szCs w:val="21"/>
          <w:spacing w:val="-14"/>
        </w:rPr>
        <w:t>咨询服务。</w:t>
      </w:r>
    </w:p>
    <w:p>
      <w:pPr>
        <w:ind w:right="6" w:firstLine="399"/>
        <w:spacing w:before="107" w:line="301" w:lineRule="auto"/>
        <w:jc w:val="both"/>
        <w:rPr>
          <w:rFonts w:ascii="SimSun" w:hAnsi="SimSun" w:eastAsia="SimSun" w:cs="SimSun"/>
          <w:sz w:val="21"/>
          <w:szCs w:val="21"/>
        </w:rPr>
      </w:pPr>
      <w:r>
        <w:rPr>
          <w:rFonts w:ascii="SimSun" w:hAnsi="SimSun" w:eastAsia="SimSun" w:cs="SimSun"/>
          <w:sz w:val="21"/>
          <w:szCs w:val="21"/>
          <w:spacing w:val="-11"/>
        </w:rPr>
        <w:t>如果没有“二选一”安排，接受某个平台业务培训、流量支持或</w:t>
      </w:r>
      <w:r>
        <w:rPr>
          <w:rFonts w:ascii="SimSun" w:hAnsi="SimSun" w:eastAsia="SimSun" w:cs="SimSun"/>
          <w:sz w:val="21"/>
          <w:szCs w:val="21"/>
          <w:spacing w:val="16"/>
        </w:rPr>
        <w:t xml:space="preserve"> </w:t>
      </w:r>
      <w:r>
        <w:rPr>
          <w:rFonts w:ascii="SimSun" w:hAnsi="SimSun" w:eastAsia="SimSun" w:cs="SimSun"/>
          <w:sz w:val="21"/>
          <w:szCs w:val="21"/>
          <w:spacing w:val="-11"/>
        </w:rPr>
        <w:t>品质认证的商家在成长起来后，可能会到其他平台开店，从而出现搭</w:t>
      </w:r>
      <w:r>
        <w:rPr>
          <w:rFonts w:ascii="SimSun" w:hAnsi="SimSun" w:eastAsia="SimSun" w:cs="SimSun"/>
          <w:sz w:val="21"/>
          <w:szCs w:val="21"/>
          <w:spacing w:val="16"/>
        </w:rPr>
        <w:t xml:space="preserve"> </w:t>
      </w:r>
      <w:r>
        <w:rPr>
          <w:rFonts w:ascii="SimSun" w:hAnsi="SimSun" w:eastAsia="SimSun" w:cs="SimSun"/>
          <w:sz w:val="21"/>
          <w:szCs w:val="21"/>
          <w:spacing w:val="-10"/>
        </w:rPr>
        <w:t>便车现象，使得原平台的利益得不到保护，因此平台提</w:t>
      </w:r>
      <w:r>
        <w:rPr>
          <w:rFonts w:ascii="SimSun" w:hAnsi="SimSun" w:eastAsia="SimSun" w:cs="SimSun"/>
          <w:sz w:val="21"/>
          <w:szCs w:val="21"/>
          <w:spacing w:val="-11"/>
        </w:rPr>
        <w:t>供这类服务的</w:t>
      </w:r>
      <w:r>
        <w:rPr>
          <w:rFonts w:ascii="SimSun" w:hAnsi="SimSun" w:eastAsia="SimSun" w:cs="SimSun"/>
          <w:sz w:val="21"/>
          <w:szCs w:val="21"/>
        </w:rPr>
        <w:t xml:space="preserve"> </w:t>
      </w:r>
      <w:r>
        <w:rPr>
          <w:rFonts w:ascii="SimSun" w:hAnsi="SimSun" w:eastAsia="SimSun" w:cs="SimSun"/>
          <w:sz w:val="21"/>
          <w:szCs w:val="21"/>
          <w:spacing w:val="-10"/>
        </w:rPr>
        <w:t>动机就会减弱，最终减慢商户触网的步伐。从这个</w:t>
      </w:r>
      <w:r>
        <w:rPr>
          <w:rFonts w:ascii="SimSun" w:hAnsi="SimSun" w:eastAsia="SimSun" w:cs="SimSun"/>
          <w:sz w:val="21"/>
          <w:szCs w:val="21"/>
          <w:spacing w:val="-11"/>
        </w:rPr>
        <w:t>角度看，如果严厉</w:t>
      </w:r>
      <w:r>
        <w:rPr>
          <w:rFonts w:ascii="SimSun" w:hAnsi="SimSun" w:eastAsia="SimSun" w:cs="SimSun"/>
          <w:sz w:val="21"/>
          <w:szCs w:val="21"/>
        </w:rPr>
        <w:t xml:space="preserve"> </w:t>
      </w:r>
      <w:r>
        <w:rPr>
          <w:rFonts w:ascii="SimSun" w:hAnsi="SimSun" w:eastAsia="SimSun" w:cs="SimSun"/>
          <w:sz w:val="21"/>
          <w:szCs w:val="21"/>
          <w:spacing w:val="-7"/>
        </w:rPr>
        <w:t>打击平台“二选一”,可能降低平台与商户之间的合作力度，未必有</w:t>
      </w:r>
      <w:r>
        <w:rPr>
          <w:rFonts w:ascii="SimSun" w:hAnsi="SimSun" w:eastAsia="SimSun" w:cs="SimSun"/>
          <w:sz w:val="21"/>
          <w:szCs w:val="21"/>
          <w:spacing w:val="4"/>
        </w:rPr>
        <w:t xml:space="preserve"> </w:t>
      </w:r>
      <w:r>
        <w:rPr>
          <w:rFonts w:ascii="SimSun" w:hAnsi="SimSun" w:eastAsia="SimSun" w:cs="SimSun"/>
          <w:sz w:val="21"/>
          <w:szCs w:val="21"/>
          <w:spacing w:val="-11"/>
        </w:rPr>
        <w:t>利于平台经济的发展。</w:t>
      </w:r>
    </w:p>
    <w:p>
      <w:pPr>
        <w:ind w:right="2" w:firstLine="294"/>
        <w:spacing w:before="111" w:line="304" w:lineRule="auto"/>
        <w:jc w:val="both"/>
        <w:rPr>
          <w:rFonts w:ascii="SimSun" w:hAnsi="SimSun" w:eastAsia="SimSun" w:cs="SimSun"/>
          <w:sz w:val="21"/>
          <w:szCs w:val="21"/>
        </w:rPr>
      </w:pPr>
      <w:r>
        <w:rPr>
          <w:rFonts w:ascii="SimSun" w:hAnsi="SimSun" w:eastAsia="SimSun" w:cs="SimSun"/>
          <w:sz w:val="21"/>
          <w:szCs w:val="21"/>
          <w:spacing w:val="-7"/>
        </w:rPr>
        <w:t>“二选一”也可能有减弱竞争的作用。当产品在各个平台都有销</w:t>
      </w:r>
      <w:r>
        <w:rPr>
          <w:rFonts w:ascii="SimSun" w:hAnsi="SimSun" w:eastAsia="SimSun" w:cs="SimSun"/>
          <w:sz w:val="21"/>
          <w:szCs w:val="21"/>
          <w:spacing w:val="14"/>
        </w:rPr>
        <w:t xml:space="preserve"> </w:t>
      </w:r>
      <w:r>
        <w:rPr>
          <w:rFonts w:ascii="SimSun" w:hAnsi="SimSun" w:eastAsia="SimSun" w:cs="SimSun"/>
          <w:sz w:val="21"/>
          <w:szCs w:val="21"/>
          <w:spacing w:val="-4"/>
        </w:rPr>
        <w:t>售时，消费者无须在平台间进行比较，产品价格主要取决于产品差</w:t>
      </w:r>
      <w:r>
        <w:rPr>
          <w:rFonts w:ascii="SimSun" w:hAnsi="SimSun" w:eastAsia="SimSun" w:cs="SimSun"/>
          <w:sz w:val="21"/>
          <w:szCs w:val="21"/>
          <w:spacing w:val="16"/>
        </w:rPr>
        <w:t xml:space="preserve"> </w:t>
      </w:r>
      <w:r>
        <w:rPr>
          <w:rFonts w:ascii="SimSun" w:hAnsi="SimSun" w:eastAsia="SimSun" w:cs="SimSun"/>
          <w:sz w:val="21"/>
          <w:szCs w:val="21"/>
          <w:spacing w:val="-10"/>
        </w:rPr>
        <w:t>异，而与平台差异无关。但是当每个产品只能在一个平台销售时</w:t>
      </w:r>
      <w:r>
        <w:rPr>
          <w:rFonts w:ascii="SimSun" w:hAnsi="SimSun" w:eastAsia="SimSun" w:cs="SimSun"/>
          <w:sz w:val="21"/>
          <w:szCs w:val="21"/>
          <w:spacing w:val="-11"/>
        </w:rPr>
        <w:t>，消</w:t>
      </w:r>
      <w:r>
        <w:rPr>
          <w:rFonts w:ascii="SimSun" w:hAnsi="SimSun" w:eastAsia="SimSun" w:cs="SimSun"/>
          <w:sz w:val="21"/>
          <w:szCs w:val="21"/>
        </w:rPr>
        <w:t xml:space="preserve"> </w:t>
      </w:r>
      <w:r>
        <w:rPr>
          <w:rFonts w:ascii="SimSun" w:hAnsi="SimSun" w:eastAsia="SimSun" w:cs="SimSun"/>
          <w:sz w:val="21"/>
          <w:szCs w:val="21"/>
          <w:spacing w:val="-11"/>
        </w:rPr>
        <w:t>费者可能需要在不同平台之间进行产品比较，这样可能提高消费者所</w:t>
      </w:r>
      <w:r>
        <w:rPr>
          <w:rFonts w:ascii="SimSun" w:hAnsi="SimSun" w:eastAsia="SimSun" w:cs="SimSun"/>
          <w:sz w:val="21"/>
          <w:szCs w:val="21"/>
          <w:spacing w:val="15"/>
        </w:rPr>
        <w:t xml:space="preserve"> </w:t>
      </w:r>
      <w:r>
        <w:rPr>
          <w:rFonts w:ascii="SimSun" w:hAnsi="SimSun" w:eastAsia="SimSun" w:cs="SimSun"/>
          <w:sz w:val="21"/>
          <w:szCs w:val="21"/>
          <w:spacing w:val="-10"/>
        </w:rPr>
        <w:t>感知到的产品差异，形成较高的均衡价格。只有当平台</w:t>
      </w:r>
      <w:r>
        <w:rPr>
          <w:rFonts w:ascii="SimSun" w:hAnsi="SimSun" w:eastAsia="SimSun" w:cs="SimSun"/>
          <w:sz w:val="21"/>
          <w:szCs w:val="21"/>
          <w:spacing w:val="-11"/>
        </w:rPr>
        <w:t>间或产品间的</w:t>
      </w:r>
      <w:r>
        <w:rPr>
          <w:rFonts w:ascii="SimSun" w:hAnsi="SimSun" w:eastAsia="SimSun" w:cs="SimSun"/>
          <w:sz w:val="21"/>
          <w:szCs w:val="21"/>
        </w:rPr>
        <w:t xml:space="preserve"> </w:t>
      </w:r>
      <w:r>
        <w:rPr>
          <w:rFonts w:ascii="SimSun" w:hAnsi="SimSun" w:eastAsia="SimSun" w:cs="SimSun"/>
          <w:sz w:val="21"/>
          <w:szCs w:val="21"/>
          <w:spacing w:val="-10"/>
        </w:rPr>
        <w:t>竞争非常充分时，“二选一”才不会显著影</w:t>
      </w:r>
      <w:r>
        <w:rPr>
          <w:rFonts w:ascii="SimSun" w:hAnsi="SimSun" w:eastAsia="SimSun" w:cs="SimSun"/>
          <w:sz w:val="21"/>
          <w:szCs w:val="21"/>
          <w:spacing w:val="-11"/>
        </w:rPr>
        <w:t>响消费者的购买价格。在</w:t>
      </w:r>
      <w:r>
        <w:rPr>
          <w:rFonts w:ascii="SimSun" w:hAnsi="SimSun" w:eastAsia="SimSun" w:cs="SimSun"/>
          <w:sz w:val="21"/>
          <w:szCs w:val="21"/>
        </w:rPr>
        <w:t xml:space="preserve"> </w:t>
      </w:r>
      <w:r>
        <w:rPr>
          <w:rFonts w:ascii="SimSun" w:hAnsi="SimSun" w:eastAsia="SimSun" w:cs="SimSun"/>
          <w:sz w:val="21"/>
          <w:szCs w:val="21"/>
          <w:spacing w:val="-11"/>
        </w:rPr>
        <w:t>很多产品市场，如家用电器、服装鞋帽、食品等，相互竞争的品牌数</w:t>
      </w:r>
      <w:r>
        <w:rPr>
          <w:rFonts w:ascii="SimSun" w:hAnsi="SimSun" w:eastAsia="SimSun" w:cs="SimSun"/>
          <w:sz w:val="21"/>
          <w:szCs w:val="21"/>
          <w:spacing w:val="17"/>
        </w:rPr>
        <w:t xml:space="preserve"> </w:t>
      </w:r>
      <w:r>
        <w:rPr>
          <w:rFonts w:ascii="SimSun" w:hAnsi="SimSun" w:eastAsia="SimSun" w:cs="SimSun"/>
          <w:sz w:val="21"/>
          <w:szCs w:val="21"/>
          <w:spacing w:val="-14"/>
        </w:rPr>
        <w:t>量的确很多，在这种情况下，“二选一”限制竞争的作用非常有限。</w:t>
      </w:r>
    </w:p>
    <w:p>
      <w:pPr>
        <w:ind w:firstLine="294"/>
        <w:spacing w:before="111" w:line="267" w:lineRule="auto"/>
        <w:jc w:val="both"/>
        <w:rPr>
          <w:rFonts w:ascii="SimSun" w:hAnsi="SimSun" w:eastAsia="SimSun" w:cs="SimSun"/>
          <w:sz w:val="21"/>
          <w:szCs w:val="21"/>
        </w:rPr>
      </w:pPr>
      <w:r>
        <w:rPr>
          <w:rFonts w:ascii="SimSun" w:hAnsi="SimSun" w:eastAsia="SimSun" w:cs="SimSun"/>
          <w:sz w:val="21"/>
          <w:szCs w:val="21"/>
          <w:spacing w:val="-6"/>
        </w:rPr>
        <w:t>“二选一”还可能不利于小平台的成长。如果商家</w:t>
      </w:r>
      <w:r>
        <w:rPr>
          <w:rFonts w:ascii="SimSun" w:hAnsi="SimSun" w:eastAsia="SimSun" w:cs="SimSun"/>
          <w:sz w:val="21"/>
          <w:szCs w:val="21"/>
          <w:spacing w:val="-7"/>
        </w:rPr>
        <w:t>只能在大平台</w:t>
      </w:r>
      <w:r>
        <w:rPr>
          <w:rFonts w:ascii="SimSun" w:hAnsi="SimSun" w:eastAsia="SimSun" w:cs="SimSun"/>
          <w:sz w:val="21"/>
          <w:szCs w:val="21"/>
        </w:rPr>
        <w:t xml:space="preserve"> </w:t>
      </w:r>
      <w:r>
        <w:rPr>
          <w:rFonts w:ascii="SimSun" w:hAnsi="SimSun" w:eastAsia="SimSun" w:cs="SimSun"/>
          <w:sz w:val="21"/>
          <w:szCs w:val="21"/>
          <w:spacing w:val="-10"/>
        </w:rPr>
        <w:t>和小平台之间进行选择，那么通常会选择网络效应显著的大平</w:t>
      </w:r>
      <w:r>
        <w:rPr>
          <w:rFonts w:ascii="SimSun" w:hAnsi="SimSun" w:eastAsia="SimSun" w:cs="SimSun"/>
          <w:sz w:val="21"/>
          <w:szCs w:val="21"/>
          <w:spacing w:val="-11"/>
        </w:rPr>
        <w:t>台，这</w:t>
      </w:r>
    </w:p>
    <w:p>
      <w:pPr>
        <w:spacing w:line="267" w:lineRule="auto"/>
        <w:sectPr>
          <w:headerReference w:type="default" r:id="rId358"/>
          <w:pgSz w:w="7330" w:h="12480"/>
          <w:pgMar w:top="865" w:right="937" w:bottom="400" w:left="390" w:header="702" w:footer="0" w:gutter="0"/>
        </w:sectPr>
        <w:rPr>
          <w:rFonts w:ascii="SimSun" w:hAnsi="SimSun" w:eastAsia="SimSun" w:cs="SimSun"/>
          <w:sz w:val="21"/>
          <w:szCs w:val="21"/>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11"/>
        <w:spacing w:before="62" w:line="380" w:lineRule="exact"/>
        <w:rPr>
          <w:rFonts w:ascii="SimSun" w:hAnsi="SimSun" w:eastAsia="SimSun" w:cs="SimSun"/>
          <w:sz w:val="19"/>
          <w:szCs w:val="19"/>
        </w:rPr>
      </w:pPr>
      <w:r>
        <w:rPr>
          <w:rFonts w:ascii="SimSun" w:hAnsi="SimSun" w:eastAsia="SimSun" w:cs="SimSun"/>
          <w:sz w:val="19"/>
          <w:szCs w:val="19"/>
          <w:spacing w:val="9"/>
          <w:position w:val="14"/>
        </w:rPr>
        <w:t>样小平台就难以做大，也难以成为大平台的有力竞争者。这是典型的</w:t>
      </w:r>
    </w:p>
    <w:p>
      <w:pPr>
        <w:ind w:left="111"/>
        <w:spacing w:line="219" w:lineRule="auto"/>
        <w:rPr>
          <w:rFonts w:ascii="SimSun" w:hAnsi="SimSun" w:eastAsia="SimSun" w:cs="SimSun"/>
          <w:sz w:val="19"/>
          <w:szCs w:val="19"/>
        </w:rPr>
      </w:pPr>
      <w:r>
        <w:rPr>
          <w:rFonts w:ascii="SimSun" w:hAnsi="SimSun" w:eastAsia="SimSun" w:cs="SimSun"/>
          <w:sz w:val="19"/>
          <w:szCs w:val="19"/>
          <w:spacing w:val="8"/>
        </w:rPr>
        <w:t>排他性作用，不利于加强竞争。</w:t>
      </w:r>
    </w:p>
    <w:p>
      <w:pPr>
        <w:ind w:left="111" w:right="4" w:firstLine="430"/>
        <w:spacing w:before="112" w:line="350" w:lineRule="auto"/>
        <w:jc w:val="both"/>
        <w:rPr>
          <w:rFonts w:ascii="SimSun" w:hAnsi="SimSun" w:eastAsia="SimSun" w:cs="SimSun"/>
          <w:sz w:val="19"/>
          <w:szCs w:val="19"/>
        </w:rPr>
      </w:pPr>
      <w:r>
        <w:rPr>
          <w:rFonts w:ascii="SimSun" w:hAnsi="SimSun" w:eastAsia="SimSun" w:cs="SimSun"/>
          <w:sz w:val="19"/>
          <w:szCs w:val="19"/>
          <w:spacing w:val="9"/>
        </w:rPr>
        <w:t>在实践上，杜绝平台的“二选一”政策非常困难。即使平台不执</w:t>
      </w:r>
      <w:r>
        <w:rPr>
          <w:rFonts w:ascii="SimSun" w:hAnsi="SimSun" w:eastAsia="SimSun" w:cs="SimSun"/>
          <w:sz w:val="19"/>
          <w:szCs w:val="19"/>
          <w:spacing w:val="4"/>
        </w:rPr>
        <w:t xml:space="preserve"> </w:t>
      </w:r>
      <w:r>
        <w:rPr>
          <w:rFonts w:ascii="SimSun" w:hAnsi="SimSun" w:eastAsia="SimSun" w:cs="SimSun"/>
          <w:sz w:val="19"/>
          <w:szCs w:val="19"/>
          <w:spacing w:val="12"/>
        </w:rPr>
        <w:t>行显性的“二选一”,也可以通过差别定价、算法歧视、拒绝交易等</w:t>
      </w:r>
      <w:r>
        <w:rPr>
          <w:rFonts w:ascii="SimSun" w:hAnsi="SimSun" w:eastAsia="SimSun" w:cs="SimSun"/>
          <w:sz w:val="19"/>
          <w:szCs w:val="19"/>
          <w:spacing w:val="13"/>
        </w:rPr>
        <w:t xml:space="preserve"> </w:t>
      </w:r>
      <w:r>
        <w:rPr>
          <w:rFonts w:ascii="SimSun" w:hAnsi="SimSun" w:eastAsia="SimSun" w:cs="SimSun"/>
          <w:sz w:val="19"/>
          <w:szCs w:val="19"/>
          <w:spacing w:val="9"/>
        </w:rPr>
        <w:t>方式，惩罚那些不遵守隐性约定的商户。“二选一”是否有“正当理</w:t>
      </w:r>
      <w:r>
        <w:rPr>
          <w:rFonts w:ascii="SimSun" w:hAnsi="SimSun" w:eastAsia="SimSun" w:cs="SimSun"/>
          <w:sz w:val="19"/>
          <w:szCs w:val="19"/>
          <w:spacing w:val="5"/>
        </w:rPr>
        <w:t xml:space="preserve"> </w:t>
      </w:r>
      <w:r>
        <w:rPr>
          <w:rFonts w:ascii="SimSun" w:hAnsi="SimSun" w:eastAsia="SimSun" w:cs="SimSun"/>
          <w:sz w:val="19"/>
          <w:szCs w:val="19"/>
          <w:spacing w:val="13"/>
        </w:rPr>
        <w:t>由”,非常难判断。如果反垄断机构严厉查处“二选一”行为，那么</w:t>
      </w:r>
      <w:r>
        <w:rPr>
          <w:rFonts w:ascii="SimSun" w:hAnsi="SimSun" w:eastAsia="SimSun" w:cs="SimSun"/>
          <w:sz w:val="19"/>
          <w:szCs w:val="19"/>
        </w:rPr>
        <w:t xml:space="preserve"> </w:t>
      </w:r>
      <w:r>
        <w:rPr>
          <w:rFonts w:ascii="SimSun" w:hAnsi="SimSun" w:eastAsia="SimSun" w:cs="SimSun"/>
          <w:sz w:val="19"/>
          <w:szCs w:val="19"/>
          <w:spacing w:val="9"/>
        </w:rPr>
        <w:t>平台很可能以各种理由提高进驻门槛，减少不合作商家的数量。过于</w:t>
      </w:r>
    </w:p>
    <w:p>
      <w:pPr>
        <w:ind w:left="111"/>
        <w:spacing w:line="218" w:lineRule="auto"/>
        <w:rPr>
          <w:rFonts w:ascii="SimSun" w:hAnsi="SimSun" w:eastAsia="SimSun" w:cs="SimSun"/>
          <w:sz w:val="19"/>
          <w:szCs w:val="19"/>
        </w:rPr>
      </w:pPr>
      <w:r>
        <w:rPr>
          <w:rFonts w:ascii="SimSun" w:hAnsi="SimSun" w:eastAsia="SimSun" w:cs="SimSun"/>
          <w:sz w:val="19"/>
          <w:szCs w:val="19"/>
          <w:spacing w:val="8"/>
        </w:rPr>
        <w:t>严厉的查处还可能干扰企业的正常合法经营。</w:t>
      </w:r>
    </w:p>
    <w:p>
      <w:pPr>
        <w:ind w:left="16" w:right="1" w:firstLine="525"/>
        <w:spacing w:before="135" w:line="350" w:lineRule="auto"/>
        <w:jc w:val="both"/>
        <w:rPr>
          <w:rFonts w:ascii="SimSun" w:hAnsi="SimSun" w:eastAsia="SimSun" w:cs="SimSun"/>
          <w:sz w:val="19"/>
          <w:szCs w:val="19"/>
        </w:rPr>
      </w:pPr>
      <w:r>
        <w:rPr>
          <w:rFonts w:ascii="SimSun" w:hAnsi="SimSun" w:eastAsia="SimSun" w:cs="SimSun"/>
          <w:sz w:val="19"/>
          <w:szCs w:val="19"/>
          <w:spacing w:val="9"/>
        </w:rPr>
        <w:t>总之，“二选一”对竞争和社会福利的影响是不确定的，取决于</w:t>
      </w:r>
      <w:r>
        <w:rPr>
          <w:rFonts w:ascii="SimSun" w:hAnsi="SimSun" w:eastAsia="SimSun" w:cs="SimSun"/>
          <w:sz w:val="19"/>
          <w:szCs w:val="19"/>
          <w:spacing w:val="8"/>
        </w:rPr>
        <w:t xml:space="preserve"> </w:t>
      </w:r>
      <w:r>
        <w:rPr>
          <w:rFonts w:ascii="SimSun" w:hAnsi="SimSun" w:eastAsia="SimSun" w:cs="SimSun"/>
          <w:sz w:val="19"/>
          <w:szCs w:val="19"/>
          <w:spacing w:val="12"/>
        </w:rPr>
        <w:t>各种市场条件。虽然无正当理由的“二选一”在我国已经被确认违反</w:t>
      </w:r>
      <w:r>
        <w:rPr>
          <w:rFonts w:ascii="SimSun" w:hAnsi="SimSun" w:eastAsia="SimSun" w:cs="SimSun"/>
          <w:sz w:val="19"/>
          <w:szCs w:val="19"/>
          <w:spacing w:val="10"/>
        </w:rPr>
        <w:t xml:space="preserve"> </w:t>
      </w:r>
      <w:r>
        <w:rPr>
          <w:rFonts w:ascii="SimSun" w:hAnsi="SimSun" w:eastAsia="SimSun" w:cs="SimSun"/>
          <w:sz w:val="19"/>
          <w:szCs w:val="19"/>
          <w:spacing w:val="10"/>
        </w:rPr>
        <w:t>《反垄断法》,但在实际执行上，完全杜绝</w:t>
      </w:r>
      <w:r>
        <w:rPr>
          <w:rFonts w:ascii="SimSun" w:hAnsi="SimSun" w:eastAsia="SimSun" w:cs="SimSun"/>
          <w:sz w:val="19"/>
          <w:szCs w:val="19"/>
          <w:spacing w:val="9"/>
        </w:rPr>
        <w:t>这种行为非常困难，也不宜</w:t>
      </w:r>
      <w:r>
        <w:rPr>
          <w:rFonts w:ascii="SimSun" w:hAnsi="SimSun" w:eastAsia="SimSun" w:cs="SimSun"/>
          <w:sz w:val="19"/>
          <w:szCs w:val="19"/>
        </w:rPr>
        <w:t xml:space="preserve"> </w:t>
      </w:r>
      <w:r>
        <w:rPr>
          <w:rFonts w:ascii="SimSun" w:hAnsi="SimSun" w:eastAsia="SimSun" w:cs="SimSun"/>
          <w:sz w:val="19"/>
          <w:szCs w:val="19"/>
          <w:spacing w:val="12"/>
        </w:rPr>
        <w:t>强求。所以，既要保护市场竞争，也要鼓励平台为商户提供个性化的</w:t>
      </w:r>
    </w:p>
    <w:p>
      <w:pPr>
        <w:ind w:left="111"/>
        <w:spacing w:line="219" w:lineRule="auto"/>
        <w:rPr>
          <w:rFonts w:ascii="SimSun" w:hAnsi="SimSun" w:eastAsia="SimSun" w:cs="SimSun"/>
          <w:sz w:val="19"/>
          <w:szCs w:val="19"/>
        </w:rPr>
      </w:pPr>
      <w:r>
        <w:rPr>
          <w:rFonts w:ascii="SimSun" w:hAnsi="SimSun" w:eastAsia="SimSun" w:cs="SimSun"/>
          <w:sz w:val="19"/>
          <w:szCs w:val="19"/>
          <w:spacing w:val="5"/>
        </w:rPr>
        <w:t>服务。</w:t>
      </w:r>
    </w:p>
    <w:p>
      <w:pPr>
        <w:pStyle w:val="BodyText"/>
        <w:spacing w:line="433" w:lineRule="auto"/>
        <w:rPr/>
      </w:pPr>
      <w:r/>
    </w:p>
    <w:p>
      <w:pPr>
        <w:spacing w:before="75" w:line="221" w:lineRule="auto"/>
        <w:rPr>
          <w:rFonts w:ascii="SimHei" w:hAnsi="SimHei" w:eastAsia="SimHei" w:cs="SimHei"/>
          <w:sz w:val="23"/>
          <w:szCs w:val="23"/>
        </w:rPr>
      </w:pPr>
      <w:r>
        <w:rPr>
          <w:rFonts w:ascii="SimHei" w:hAnsi="SimHei" w:eastAsia="SimHei" w:cs="SimHei"/>
          <w:sz w:val="23"/>
          <w:szCs w:val="23"/>
          <w:b/>
          <w:bCs/>
          <w:spacing w:val="6"/>
        </w:rPr>
        <w:t>“大数据杀熟”:是差别定价还是欺骗?</w:t>
      </w:r>
    </w:p>
    <w:p>
      <w:pPr>
        <w:pStyle w:val="BodyText"/>
        <w:spacing w:line="361" w:lineRule="auto"/>
        <w:rPr/>
      </w:pPr>
      <w:r/>
    </w:p>
    <w:p>
      <w:pPr>
        <w:ind w:left="111" w:firstLine="335"/>
        <w:spacing w:before="63" w:line="309" w:lineRule="auto"/>
        <w:jc w:val="both"/>
        <w:rPr>
          <w:rFonts w:ascii="SimSun" w:hAnsi="SimSun" w:eastAsia="SimSun" w:cs="SimSun"/>
          <w:sz w:val="23"/>
          <w:szCs w:val="23"/>
        </w:rPr>
      </w:pPr>
      <w:r>
        <w:rPr>
          <w:rFonts w:ascii="SimSun" w:hAnsi="SimSun" w:eastAsia="SimSun" w:cs="SimSun"/>
          <w:sz w:val="19"/>
          <w:szCs w:val="19"/>
          <w:spacing w:val="20"/>
        </w:rPr>
        <w:t>“大数据杀熟”在形式上属于差别定价行为。在我国，差别定</w:t>
      </w:r>
      <w:r>
        <w:rPr>
          <w:rFonts w:ascii="SimSun" w:hAnsi="SimSun" w:eastAsia="SimSun" w:cs="SimSun"/>
          <w:sz w:val="19"/>
          <w:szCs w:val="19"/>
          <w:spacing w:val="6"/>
        </w:rPr>
        <w:t xml:space="preserve"> </w:t>
      </w:r>
      <w:r>
        <w:rPr>
          <w:rFonts w:ascii="SimSun" w:hAnsi="SimSun" w:eastAsia="SimSun" w:cs="SimSun"/>
          <w:sz w:val="19"/>
          <w:szCs w:val="19"/>
          <w:spacing w:val="16"/>
        </w:rPr>
        <w:t>价存在法律法规方面的问题，例如没有充分理由的价格歧视可能违</w:t>
      </w:r>
      <w:r>
        <w:rPr>
          <w:rFonts w:ascii="SimSun" w:hAnsi="SimSun" w:eastAsia="SimSun" w:cs="SimSun"/>
          <w:sz w:val="19"/>
          <w:szCs w:val="19"/>
          <w:spacing w:val="3"/>
        </w:rPr>
        <w:t xml:space="preserve"> </w:t>
      </w:r>
      <w:r>
        <w:rPr>
          <w:rFonts w:ascii="SimSun" w:hAnsi="SimSun" w:eastAsia="SimSun" w:cs="SimSun"/>
          <w:sz w:val="19"/>
          <w:szCs w:val="19"/>
          <w:spacing w:val="16"/>
        </w:rPr>
        <w:t>反《反垄断法》第十七条第一款第(六)项或《</w:t>
      </w:r>
      <w:r>
        <w:rPr>
          <w:rFonts w:ascii="SimSun" w:hAnsi="SimSun" w:eastAsia="SimSun" w:cs="SimSun"/>
          <w:sz w:val="19"/>
          <w:szCs w:val="19"/>
          <w:spacing w:val="15"/>
        </w:rPr>
        <w:t>价格法》第十四条第</w:t>
      </w:r>
      <w:r>
        <w:rPr>
          <w:rFonts w:ascii="SimSun" w:hAnsi="SimSun" w:eastAsia="SimSun" w:cs="SimSun"/>
          <w:sz w:val="19"/>
          <w:szCs w:val="19"/>
        </w:rPr>
        <w:t xml:space="preserve"> </w:t>
      </w:r>
      <w:r>
        <w:rPr>
          <w:rFonts w:ascii="SimSun" w:hAnsi="SimSun" w:eastAsia="SimSun" w:cs="SimSun"/>
          <w:sz w:val="23"/>
          <w:szCs w:val="23"/>
          <w:spacing w:val="-1"/>
        </w:rPr>
        <w:t>(五)项。</w:t>
      </w:r>
    </w:p>
    <w:p>
      <w:pPr>
        <w:ind w:left="111" w:right="2" w:firstLine="430"/>
        <w:spacing w:before="101" w:line="350" w:lineRule="auto"/>
        <w:jc w:val="both"/>
        <w:rPr>
          <w:rFonts w:ascii="SimSun" w:hAnsi="SimSun" w:eastAsia="SimSun" w:cs="SimSun"/>
          <w:sz w:val="19"/>
          <w:szCs w:val="19"/>
        </w:rPr>
      </w:pPr>
      <w:r>
        <w:rPr>
          <w:rFonts w:ascii="SimSun" w:hAnsi="SimSun" w:eastAsia="SimSun" w:cs="SimSun"/>
          <w:sz w:val="19"/>
          <w:szCs w:val="19"/>
          <w:spacing w:val="9"/>
        </w:rPr>
        <w:t>平台的差别定价包括对新客和老客的差别定价，以及对有不同支</w:t>
      </w:r>
      <w:r>
        <w:rPr>
          <w:rFonts w:ascii="SimSun" w:hAnsi="SimSun" w:eastAsia="SimSun" w:cs="SimSun"/>
          <w:sz w:val="19"/>
          <w:szCs w:val="19"/>
          <w:spacing w:val="7"/>
        </w:rPr>
        <w:t xml:space="preserve"> </w:t>
      </w:r>
      <w:r>
        <w:rPr>
          <w:rFonts w:ascii="SimSun" w:hAnsi="SimSun" w:eastAsia="SimSun" w:cs="SimSun"/>
          <w:sz w:val="19"/>
          <w:szCs w:val="19"/>
          <w:spacing w:val="9"/>
        </w:rPr>
        <w:t>付意愿或能力的消费者的差别定价。对新客户执行较低的价格，目的</w:t>
      </w:r>
      <w:r>
        <w:rPr>
          <w:rFonts w:ascii="SimSun" w:hAnsi="SimSun" w:eastAsia="SimSun" w:cs="SimSun"/>
          <w:sz w:val="19"/>
          <w:szCs w:val="19"/>
          <w:spacing w:val="13"/>
        </w:rPr>
        <w:t xml:space="preserve"> </w:t>
      </w:r>
      <w:r>
        <w:rPr>
          <w:rFonts w:ascii="SimSun" w:hAnsi="SimSun" w:eastAsia="SimSun" w:cs="SimSun"/>
          <w:sz w:val="19"/>
          <w:szCs w:val="19"/>
          <w:spacing w:val="9"/>
        </w:rPr>
        <w:t>是吸引更多的消费者加入网络，这个做法在移动通信行业很常见。根</w:t>
      </w:r>
      <w:r>
        <w:rPr>
          <w:rFonts w:ascii="SimSun" w:hAnsi="SimSun" w:eastAsia="SimSun" w:cs="SimSun"/>
          <w:sz w:val="19"/>
          <w:szCs w:val="19"/>
          <w:spacing w:val="6"/>
        </w:rPr>
        <w:t xml:space="preserve"> </w:t>
      </w:r>
      <w:r>
        <w:rPr>
          <w:rFonts w:ascii="SimSun" w:hAnsi="SimSun" w:eastAsia="SimSun" w:cs="SimSun"/>
          <w:sz w:val="19"/>
          <w:szCs w:val="19"/>
          <w:spacing w:val="16"/>
        </w:rPr>
        <w:t>据支付能力定价则是比较典型的差别定价。由于平台掌握海量的数</w:t>
      </w:r>
    </w:p>
    <w:p>
      <w:pPr>
        <w:ind w:left="111"/>
        <w:spacing w:before="1" w:line="217" w:lineRule="auto"/>
        <w:rPr>
          <w:rFonts w:ascii="SimSun" w:hAnsi="SimSun" w:eastAsia="SimSun" w:cs="SimSun"/>
          <w:sz w:val="19"/>
          <w:szCs w:val="19"/>
        </w:rPr>
      </w:pPr>
      <w:r>
        <w:rPr>
          <w:rFonts w:ascii="SimSun" w:hAnsi="SimSun" w:eastAsia="SimSun" w:cs="SimSun"/>
          <w:sz w:val="19"/>
          <w:szCs w:val="19"/>
          <w:spacing w:val="8"/>
        </w:rPr>
        <w:t>据，在利用数据辅助定价方面具有显著优势。</w:t>
      </w:r>
    </w:p>
    <w:p>
      <w:pPr>
        <w:ind w:right="4"/>
        <w:spacing w:before="136" w:line="390" w:lineRule="exact"/>
        <w:jc w:val="right"/>
        <w:rPr>
          <w:rFonts w:ascii="SimSun" w:hAnsi="SimSun" w:eastAsia="SimSun" w:cs="SimSun"/>
          <w:sz w:val="19"/>
          <w:szCs w:val="19"/>
        </w:rPr>
      </w:pPr>
      <w:r>
        <w:rPr>
          <w:rFonts w:ascii="SimSun" w:hAnsi="SimSun" w:eastAsia="SimSun" w:cs="SimSun"/>
          <w:sz w:val="19"/>
          <w:szCs w:val="19"/>
          <w:spacing w:val="9"/>
          <w:position w:val="15"/>
        </w:rPr>
        <w:t>从理论上看，差别定价未必存在效率方面的问题。如果差别定价</w:t>
      </w:r>
    </w:p>
    <w:p>
      <w:pPr>
        <w:ind w:left="111"/>
        <w:spacing w:before="1" w:line="218" w:lineRule="auto"/>
        <w:rPr>
          <w:rFonts w:ascii="SimSun" w:hAnsi="SimSun" w:eastAsia="SimSun" w:cs="SimSun"/>
          <w:sz w:val="19"/>
          <w:szCs w:val="19"/>
        </w:rPr>
      </w:pPr>
      <w:r>
        <w:rPr>
          <w:rFonts w:ascii="SimSun" w:hAnsi="SimSun" w:eastAsia="SimSun" w:cs="SimSun"/>
          <w:sz w:val="19"/>
          <w:szCs w:val="19"/>
          <w:spacing w:val="9"/>
        </w:rPr>
        <w:t>能够鼓励企业提供更多的服务，还有可能提升社会总福利。但是差别</w:t>
      </w:r>
    </w:p>
    <w:p>
      <w:pPr>
        <w:spacing w:line="218" w:lineRule="auto"/>
        <w:sectPr>
          <w:headerReference w:type="default" r:id="rId359"/>
          <w:pgSz w:w="7330" w:h="12480"/>
          <w:pgMar w:top="557" w:right="537" w:bottom="400" w:left="668" w:header="395" w:footer="0" w:gutter="0"/>
        </w:sectPr>
        <w:rPr>
          <w:rFonts w:ascii="SimSun" w:hAnsi="SimSun" w:eastAsia="SimSun" w:cs="SimSun"/>
          <w:sz w:val="19"/>
          <w:szCs w:val="19"/>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9" w:line="284" w:lineRule="auto"/>
        <w:jc w:val="both"/>
        <w:rPr>
          <w:rFonts w:ascii="SimSun" w:hAnsi="SimSun" w:eastAsia="SimSun" w:cs="SimSun"/>
          <w:sz w:val="21"/>
          <w:szCs w:val="21"/>
        </w:rPr>
      </w:pPr>
      <w:r>
        <w:rPr>
          <w:rFonts w:ascii="SimSun" w:hAnsi="SimSun" w:eastAsia="SimSun" w:cs="SimSun"/>
          <w:sz w:val="21"/>
          <w:szCs w:val="21"/>
          <w:spacing w:val="-8"/>
        </w:rPr>
        <w:t>定价存在公平问题，在相同条件下，对不同消费者收取不同的价格，</w:t>
      </w:r>
      <w:r>
        <w:rPr>
          <w:rFonts w:ascii="SimSun" w:hAnsi="SimSun" w:eastAsia="SimSun" w:cs="SimSun"/>
          <w:sz w:val="21"/>
          <w:szCs w:val="21"/>
          <w:spacing w:val="4"/>
        </w:rPr>
        <w:t xml:space="preserve"> </w:t>
      </w:r>
      <w:r>
        <w:rPr>
          <w:rFonts w:ascii="SimSun" w:hAnsi="SimSun" w:eastAsia="SimSun" w:cs="SimSun"/>
          <w:sz w:val="21"/>
          <w:szCs w:val="21"/>
          <w:spacing w:val="-10"/>
        </w:rPr>
        <w:t>可能会引起消费者的高度反感。因此在很多国</w:t>
      </w:r>
      <w:r>
        <w:rPr>
          <w:rFonts w:ascii="SimSun" w:hAnsi="SimSun" w:eastAsia="SimSun" w:cs="SimSun"/>
          <w:sz w:val="21"/>
          <w:szCs w:val="21"/>
          <w:spacing w:val="-11"/>
        </w:rPr>
        <w:t>家，差别定价都受到不 </w:t>
      </w:r>
      <w:r>
        <w:rPr>
          <w:rFonts w:ascii="SimSun" w:hAnsi="SimSun" w:eastAsia="SimSun" w:cs="SimSun"/>
          <w:sz w:val="21"/>
          <w:szCs w:val="21"/>
          <w:spacing w:val="-17"/>
        </w:rPr>
        <w:t>同程度的限制。 一般来说，毫无理由的差</w:t>
      </w:r>
      <w:r>
        <w:rPr>
          <w:rFonts w:ascii="SimSun" w:hAnsi="SimSun" w:eastAsia="SimSun" w:cs="SimSun"/>
          <w:sz w:val="21"/>
          <w:szCs w:val="21"/>
          <w:spacing w:val="-18"/>
        </w:rPr>
        <w:t>别定价经常会违反相关法律。</w:t>
      </w:r>
    </w:p>
    <w:p>
      <w:pPr>
        <w:ind w:right="56" w:firstLine="409"/>
        <w:spacing w:before="108" w:line="301" w:lineRule="auto"/>
        <w:jc w:val="both"/>
        <w:rPr>
          <w:rFonts w:ascii="SimSun" w:hAnsi="SimSun" w:eastAsia="SimSun" w:cs="SimSun"/>
          <w:sz w:val="21"/>
          <w:szCs w:val="21"/>
        </w:rPr>
      </w:pPr>
      <w:r>
        <w:rPr>
          <w:rFonts w:ascii="SimSun" w:hAnsi="SimSun" w:eastAsia="SimSun" w:cs="SimSun"/>
          <w:sz w:val="21"/>
          <w:szCs w:val="21"/>
          <w:spacing w:val="-10"/>
        </w:rPr>
        <w:t>差别定价作为一种常见的商业行为，在实质上被完全消灭</w:t>
      </w:r>
      <w:r>
        <w:rPr>
          <w:rFonts w:ascii="SimSun" w:hAnsi="SimSun" w:eastAsia="SimSun" w:cs="SimSun"/>
          <w:sz w:val="21"/>
          <w:szCs w:val="21"/>
          <w:spacing w:val="-11"/>
        </w:rPr>
        <w:t>不太可</w:t>
      </w:r>
      <w:r>
        <w:rPr>
          <w:rFonts w:ascii="SimSun" w:hAnsi="SimSun" w:eastAsia="SimSun" w:cs="SimSun"/>
          <w:sz w:val="21"/>
          <w:szCs w:val="21"/>
        </w:rPr>
        <w:t xml:space="preserve"> </w:t>
      </w:r>
      <w:r>
        <w:rPr>
          <w:rFonts w:ascii="SimSun" w:hAnsi="SimSun" w:eastAsia="SimSun" w:cs="SimSun"/>
          <w:sz w:val="21"/>
          <w:szCs w:val="21"/>
          <w:spacing w:val="-11"/>
        </w:rPr>
        <w:t>能。企业经常进行轻微的产品差异化，然后收取差异很大的价格，这</w:t>
      </w:r>
      <w:r>
        <w:rPr>
          <w:rFonts w:ascii="SimSun" w:hAnsi="SimSun" w:eastAsia="SimSun" w:cs="SimSun"/>
          <w:sz w:val="21"/>
          <w:szCs w:val="21"/>
          <w:spacing w:val="17"/>
        </w:rPr>
        <w:t xml:space="preserve"> </w:t>
      </w:r>
      <w:r>
        <w:rPr>
          <w:rFonts w:ascii="SimSun" w:hAnsi="SimSun" w:eastAsia="SimSun" w:cs="SimSun"/>
          <w:sz w:val="21"/>
          <w:szCs w:val="21"/>
          <w:spacing w:val="-10"/>
        </w:rPr>
        <w:t>样就可以摆脱价格歧视的指责。企业也可以</w:t>
      </w:r>
      <w:r>
        <w:rPr>
          <w:rFonts w:ascii="SimSun" w:hAnsi="SimSun" w:eastAsia="SimSun" w:cs="SimSun"/>
          <w:sz w:val="21"/>
          <w:szCs w:val="21"/>
          <w:spacing w:val="-11"/>
        </w:rPr>
        <w:t>强调销售的时间和空间差</w:t>
      </w:r>
      <w:r>
        <w:rPr>
          <w:rFonts w:ascii="SimSun" w:hAnsi="SimSun" w:eastAsia="SimSun" w:cs="SimSun"/>
          <w:sz w:val="21"/>
          <w:szCs w:val="21"/>
        </w:rPr>
        <w:t xml:space="preserve"> </w:t>
      </w:r>
      <w:r>
        <w:rPr>
          <w:rFonts w:ascii="SimSun" w:hAnsi="SimSun" w:eastAsia="SimSun" w:cs="SimSun"/>
          <w:sz w:val="21"/>
          <w:szCs w:val="21"/>
          <w:spacing w:val="-11"/>
        </w:rPr>
        <w:t>异对成本的影响，从而实现跨时域或跨地域的差别定价。平台企业还</w:t>
      </w:r>
      <w:r>
        <w:rPr>
          <w:rFonts w:ascii="SimSun" w:hAnsi="SimSun" w:eastAsia="SimSun" w:cs="SimSun"/>
          <w:sz w:val="21"/>
          <w:szCs w:val="21"/>
          <w:spacing w:val="17"/>
        </w:rPr>
        <w:t xml:space="preserve"> </w:t>
      </w:r>
      <w:r>
        <w:rPr>
          <w:rFonts w:ascii="SimSun" w:hAnsi="SimSun" w:eastAsia="SimSun" w:cs="SimSun"/>
          <w:sz w:val="21"/>
          <w:szCs w:val="21"/>
          <w:spacing w:val="-7"/>
        </w:rPr>
        <w:t>可以利用“算法”,为支付能力较强的消费者匹配价格高昂的“高端</w:t>
      </w:r>
      <w:r>
        <w:rPr>
          <w:rFonts w:ascii="SimSun" w:hAnsi="SimSun" w:eastAsia="SimSun" w:cs="SimSun"/>
          <w:sz w:val="21"/>
          <w:szCs w:val="21"/>
          <w:spacing w:val="4"/>
        </w:rPr>
        <w:t xml:space="preserve"> </w:t>
      </w:r>
      <w:r>
        <w:rPr>
          <w:rFonts w:ascii="SimSun" w:hAnsi="SimSun" w:eastAsia="SimSun" w:cs="SimSun"/>
          <w:sz w:val="21"/>
          <w:szCs w:val="21"/>
          <w:spacing w:val="-28"/>
        </w:rPr>
        <w:t>服务”。</w:t>
      </w:r>
    </w:p>
    <w:p>
      <w:pPr>
        <w:ind w:right="70" w:firstLine="409"/>
        <w:spacing w:before="110" w:line="297" w:lineRule="auto"/>
        <w:jc w:val="both"/>
        <w:rPr>
          <w:rFonts w:ascii="SimSun" w:hAnsi="SimSun" w:eastAsia="SimSun" w:cs="SimSun"/>
          <w:sz w:val="21"/>
          <w:szCs w:val="21"/>
        </w:rPr>
      </w:pPr>
      <w:r>
        <w:rPr>
          <w:rFonts w:ascii="SimSun" w:hAnsi="SimSun" w:eastAsia="SimSun" w:cs="SimSun"/>
          <w:sz w:val="21"/>
          <w:szCs w:val="21"/>
          <w:spacing w:val="-11"/>
        </w:rPr>
        <w:t>在有竞争的情况下，理论上“大数据杀熟”并不是一个问题。如</w:t>
      </w:r>
      <w:r>
        <w:rPr>
          <w:rFonts w:ascii="SimSun" w:hAnsi="SimSun" w:eastAsia="SimSun" w:cs="SimSun"/>
          <w:sz w:val="21"/>
          <w:szCs w:val="21"/>
          <w:spacing w:val="11"/>
        </w:rPr>
        <w:t xml:space="preserve"> </w:t>
      </w:r>
      <w:r>
        <w:rPr>
          <w:rFonts w:ascii="SimSun" w:hAnsi="SimSun" w:eastAsia="SimSun" w:cs="SimSun"/>
          <w:sz w:val="21"/>
          <w:szCs w:val="21"/>
          <w:spacing w:val="-7"/>
        </w:rPr>
        <w:t>果消费者反感差别定价，完全可以“用脚投票”,选择加入不进行差</w:t>
      </w:r>
      <w:r>
        <w:rPr>
          <w:rFonts w:ascii="SimSun" w:hAnsi="SimSun" w:eastAsia="SimSun" w:cs="SimSun"/>
          <w:sz w:val="21"/>
          <w:szCs w:val="21"/>
          <w:spacing w:val="5"/>
        </w:rPr>
        <w:t xml:space="preserve"> </w:t>
      </w:r>
      <w:r>
        <w:rPr>
          <w:rFonts w:ascii="SimSun" w:hAnsi="SimSun" w:eastAsia="SimSun" w:cs="SimSun"/>
          <w:sz w:val="21"/>
          <w:szCs w:val="21"/>
          <w:spacing w:val="-11"/>
        </w:rPr>
        <w:t>别定价的平台。当市场有这种需求时，自然会有新的平台进入并提供</w:t>
      </w:r>
      <w:r>
        <w:rPr>
          <w:rFonts w:ascii="SimSun" w:hAnsi="SimSun" w:eastAsia="SimSun" w:cs="SimSun"/>
          <w:sz w:val="21"/>
          <w:szCs w:val="21"/>
          <w:spacing w:val="15"/>
        </w:rPr>
        <w:t xml:space="preserve"> </w:t>
      </w:r>
      <w:r>
        <w:rPr>
          <w:rFonts w:ascii="SimSun" w:hAnsi="SimSun" w:eastAsia="SimSun" w:cs="SimSun"/>
          <w:sz w:val="21"/>
          <w:szCs w:val="21"/>
          <w:spacing w:val="-4"/>
        </w:rPr>
        <w:t>无差别定价的服务来满足这种需求，而杀熟的平台则可能失去竞争</w:t>
      </w:r>
      <w:r>
        <w:rPr>
          <w:rFonts w:ascii="SimSun" w:hAnsi="SimSun" w:eastAsia="SimSun" w:cs="SimSun"/>
          <w:sz w:val="21"/>
          <w:szCs w:val="21"/>
          <w:spacing w:val="13"/>
        </w:rPr>
        <w:t xml:space="preserve"> </w:t>
      </w:r>
      <w:r>
        <w:rPr>
          <w:rFonts w:ascii="SimSun" w:hAnsi="SimSun" w:eastAsia="SimSun" w:cs="SimSun"/>
          <w:sz w:val="21"/>
          <w:szCs w:val="21"/>
          <w:spacing w:val="-11"/>
        </w:rPr>
        <w:t>力。因此，市场在很大程度上可以调节“大</w:t>
      </w:r>
      <w:r>
        <w:rPr>
          <w:rFonts w:ascii="SimSun" w:hAnsi="SimSun" w:eastAsia="SimSun" w:cs="SimSun"/>
          <w:sz w:val="21"/>
          <w:szCs w:val="21"/>
          <w:spacing w:val="-12"/>
        </w:rPr>
        <w:t>数据杀熟”现象。</w:t>
      </w:r>
    </w:p>
    <w:p>
      <w:pPr>
        <w:ind w:right="51" w:firstLine="409"/>
        <w:spacing w:before="109" w:line="300" w:lineRule="auto"/>
        <w:jc w:val="both"/>
        <w:rPr>
          <w:rFonts w:ascii="SimSun" w:hAnsi="SimSun" w:eastAsia="SimSun" w:cs="SimSun"/>
          <w:sz w:val="21"/>
          <w:szCs w:val="21"/>
        </w:rPr>
      </w:pPr>
      <w:r>
        <w:rPr>
          <w:rFonts w:ascii="SimSun" w:hAnsi="SimSun" w:eastAsia="SimSun" w:cs="SimSun"/>
          <w:sz w:val="21"/>
          <w:szCs w:val="21"/>
          <w:spacing w:val="-3"/>
        </w:rPr>
        <w:t>现实中平台的“大数据杀熟”与通常的差别定价相比有一个显</w:t>
      </w:r>
      <w:r>
        <w:rPr>
          <w:rFonts w:ascii="SimSun" w:hAnsi="SimSun" w:eastAsia="SimSun" w:cs="SimSun"/>
          <w:sz w:val="21"/>
          <w:szCs w:val="21"/>
          <w:spacing w:val="13"/>
        </w:rPr>
        <w:t xml:space="preserve"> </w:t>
      </w:r>
      <w:r>
        <w:rPr>
          <w:rFonts w:ascii="SimSun" w:hAnsi="SimSun" w:eastAsia="SimSun" w:cs="SimSun"/>
          <w:sz w:val="21"/>
          <w:szCs w:val="21"/>
          <w:spacing w:val="-11"/>
        </w:rPr>
        <w:t>著特点，即隐蔽性。大数据杀熟往往是在消费者不知情的情况下实施</w:t>
      </w:r>
      <w:r>
        <w:rPr>
          <w:rFonts w:ascii="SimSun" w:hAnsi="SimSun" w:eastAsia="SimSun" w:cs="SimSun"/>
          <w:sz w:val="21"/>
          <w:szCs w:val="21"/>
          <w:spacing w:val="18"/>
        </w:rPr>
        <w:t xml:space="preserve"> </w:t>
      </w:r>
      <w:r>
        <w:rPr>
          <w:rFonts w:ascii="SimSun" w:hAnsi="SimSun" w:eastAsia="SimSun" w:cs="SimSun"/>
          <w:sz w:val="21"/>
          <w:szCs w:val="21"/>
          <w:spacing w:val="-4"/>
        </w:rPr>
        <w:t>的，消费者仅知道自己支付的价格，而不了解其他消费者支付的价</w:t>
      </w:r>
      <w:r>
        <w:rPr>
          <w:rFonts w:ascii="SimSun" w:hAnsi="SimSun" w:eastAsia="SimSun" w:cs="SimSun"/>
          <w:sz w:val="21"/>
          <w:szCs w:val="21"/>
          <w:spacing w:val="13"/>
        </w:rPr>
        <w:t xml:space="preserve"> </w:t>
      </w:r>
      <w:r>
        <w:rPr>
          <w:rFonts w:ascii="SimSun" w:hAnsi="SimSun" w:eastAsia="SimSun" w:cs="SimSun"/>
          <w:sz w:val="21"/>
          <w:szCs w:val="21"/>
          <w:spacing w:val="-10"/>
        </w:rPr>
        <w:t>格，即使遭遇了“大数据杀熟”也意识不到</w:t>
      </w:r>
      <w:r>
        <w:rPr>
          <w:rFonts w:ascii="SimSun" w:hAnsi="SimSun" w:eastAsia="SimSun" w:cs="SimSun"/>
          <w:sz w:val="21"/>
          <w:szCs w:val="21"/>
          <w:spacing w:val="-11"/>
        </w:rPr>
        <w:t>，这种“大数据杀熟”具</w:t>
      </w:r>
      <w:r>
        <w:rPr>
          <w:rFonts w:ascii="SimSun" w:hAnsi="SimSun" w:eastAsia="SimSun" w:cs="SimSun"/>
          <w:sz w:val="21"/>
          <w:szCs w:val="21"/>
        </w:rPr>
        <w:t xml:space="preserve"> </w:t>
      </w:r>
      <w:r>
        <w:rPr>
          <w:rFonts w:ascii="SimSun" w:hAnsi="SimSun" w:eastAsia="SimSun" w:cs="SimSun"/>
          <w:sz w:val="21"/>
          <w:szCs w:val="21"/>
          <w:spacing w:val="-11"/>
        </w:rPr>
        <w:t>有欺骗消费者的嫌疑。对基于大数据的精准定价的最起码要求，是让</w:t>
      </w:r>
      <w:r>
        <w:rPr>
          <w:rFonts w:ascii="SimSun" w:hAnsi="SimSun" w:eastAsia="SimSun" w:cs="SimSun"/>
          <w:sz w:val="21"/>
          <w:szCs w:val="21"/>
          <w:spacing w:val="17"/>
        </w:rPr>
        <w:t xml:space="preserve"> </w:t>
      </w:r>
      <w:r>
        <w:rPr>
          <w:rFonts w:ascii="SimSun" w:hAnsi="SimSun" w:eastAsia="SimSun" w:cs="SimSun"/>
          <w:sz w:val="21"/>
          <w:szCs w:val="21"/>
          <w:spacing w:val="-13"/>
        </w:rPr>
        <w:t>消费者了解平台的定价策略。</w:t>
      </w:r>
    </w:p>
    <w:p>
      <w:pPr>
        <w:ind w:right="73" w:firstLine="304"/>
        <w:spacing w:before="111" w:line="293" w:lineRule="auto"/>
        <w:jc w:val="both"/>
        <w:rPr>
          <w:rFonts w:ascii="SimSun" w:hAnsi="SimSun" w:eastAsia="SimSun" w:cs="SimSun"/>
          <w:sz w:val="21"/>
          <w:szCs w:val="21"/>
        </w:rPr>
      </w:pPr>
      <w:r>
        <w:rPr>
          <w:rFonts w:ascii="SimSun" w:hAnsi="SimSun" w:eastAsia="SimSun" w:cs="SimSun"/>
          <w:sz w:val="21"/>
          <w:szCs w:val="21"/>
          <w:spacing w:val="-7"/>
        </w:rPr>
        <w:t>“大数据杀熟”还可能涉及个人隐私问题。如果允许平台利</w:t>
      </w:r>
      <w:r>
        <w:rPr>
          <w:rFonts w:ascii="SimSun" w:hAnsi="SimSun" w:eastAsia="SimSun" w:cs="SimSun"/>
          <w:sz w:val="21"/>
          <w:szCs w:val="21"/>
          <w:spacing w:val="-8"/>
        </w:rPr>
        <w:t>用个</w:t>
      </w:r>
      <w:r>
        <w:rPr>
          <w:rFonts w:ascii="SimSun" w:hAnsi="SimSun" w:eastAsia="SimSun" w:cs="SimSun"/>
          <w:sz w:val="21"/>
          <w:szCs w:val="21"/>
        </w:rPr>
        <w:t xml:space="preserve"> </w:t>
      </w:r>
      <w:r>
        <w:rPr>
          <w:rFonts w:ascii="SimSun" w:hAnsi="SimSun" w:eastAsia="SimSun" w:cs="SimSun"/>
          <w:sz w:val="21"/>
          <w:szCs w:val="21"/>
          <w:spacing w:val="-10"/>
        </w:rPr>
        <w:t>人数据获利，那么就会鼓励平台收集和分析消</w:t>
      </w:r>
      <w:r>
        <w:rPr>
          <w:rFonts w:ascii="SimSun" w:hAnsi="SimSun" w:eastAsia="SimSun" w:cs="SimSun"/>
          <w:sz w:val="21"/>
          <w:szCs w:val="21"/>
          <w:spacing w:val="-11"/>
        </w:rPr>
        <w:t>费者个人信息，从而掌</w:t>
      </w:r>
      <w:r>
        <w:rPr>
          <w:rFonts w:ascii="SimSun" w:hAnsi="SimSun" w:eastAsia="SimSun" w:cs="SimSun"/>
          <w:sz w:val="21"/>
          <w:szCs w:val="21"/>
        </w:rPr>
        <w:t xml:space="preserve"> </w:t>
      </w:r>
      <w:r>
        <w:rPr>
          <w:rFonts w:ascii="SimSun" w:hAnsi="SimSun" w:eastAsia="SimSun" w:cs="SimSun"/>
          <w:sz w:val="21"/>
          <w:szCs w:val="21"/>
          <w:spacing w:val="-11"/>
        </w:rPr>
        <w:t>握更多消费者个人隐私。这种数据的使用存在失控的风险，可能严重</w:t>
      </w:r>
      <w:r>
        <w:rPr>
          <w:rFonts w:ascii="SimSun" w:hAnsi="SimSun" w:eastAsia="SimSun" w:cs="SimSun"/>
          <w:sz w:val="21"/>
          <w:szCs w:val="21"/>
          <w:spacing w:val="18"/>
        </w:rPr>
        <w:t xml:space="preserve"> </w:t>
      </w:r>
      <w:r>
        <w:rPr>
          <w:rFonts w:ascii="SimSun" w:hAnsi="SimSun" w:eastAsia="SimSun" w:cs="SimSun"/>
          <w:sz w:val="21"/>
          <w:szCs w:val="21"/>
          <w:spacing w:val="-12"/>
        </w:rPr>
        <w:t>损害消费者利益。</w:t>
      </w:r>
    </w:p>
    <w:p>
      <w:pPr>
        <w:ind w:right="54" w:firstLine="409"/>
        <w:spacing w:before="106" w:line="284" w:lineRule="auto"/>
        <w:jc w:val="both"/>
        <w:rPr>
          <w:rFonts w:ascii="SimSun" w:hAnsi="SimSun" w:eastAsia="SimSun" w:cs="SimSun"/>
          <w:sz w:val="21"/>
          <w:szCs w:val="21"/>
        </w:rPr>
      </w:pPr>
      <w:r>
        <w:rPr>
          <w:rFonts w:ascii="SimSun" w:hAnsi="SimSun" w:eastAsia="SimSun" w:cs="SimSun"/>
          <w:sz w:val="21"/>
          <w:szCs w:val="21"/>
          <w:spacing w:val="-11"/>
        </w:rPr>
        <w:t>总之，“大数据杀熟”可能属于差别定价，也可能是一种欺骗消</w:t>
      </w:r>
      <w:r>
        <w:rPr>
          <w:rFonts w:ascii="SimSun" w:hAnsi="SimSun" w:eastAsia="SimSun" w:cs="SimSun"/>
          <w:sz w:val="21"/>
          <w:szCs w:val="21"/>
          <w:spacing w:val="16"/>
        </w:rPr>
        <w:t xml:space="preserve"> </w:t>
      </w:r>
      <w:r>
        <w:rPr>
          <w:rFonts w:ascii="SimSun" w:hAnsi="SimSun" w:eastAsia="SimSun" w:cs="SimSun"/>
          <w:sz w:val="21"/>
          <w:szCs w:val="21"/>
          <w:spacing w:val="-10"/>
        </w:rPr>
        <w:t>费者的行为，还有可能涉及隐私问题。在实践中完全禁止“大数据杀</w:t>
      </w:r>
      <w:r>
        <w:rPr>
          <w:rFonts w:ascii="SimSun" w:hAnsi="SimSun" w:eastAsia="SimSun" w:cs="SimSun"/>
          <w:sz w:val="21"/>
          <w:szCs w:val="21"/>
          <w:spacing w:val="10"/>
        </w:rPr>
        <w:t xml:space="preserve"> </w:t>
      </w:r>
      <w:r>
        <w:rPr>
          <w:rFonts w:ascii="SimSun" w:hAnsi="SimSun" w:eastAsia="SimSun" w:cs="SimSun"/>
          <w:sz w:val="21"/>
          <w:szCs w:val="21"/>
          <w:spacing w:val="-10"/>
        </w:rPr>
        <w:t>熟”并不容易，但政府应要求平台公开其定价原则或算法，让消</w:t>
      </w:r>
      <w:r>
        <w:rPr>
          <w:rFonts w:ascii="SimSun" w:hAnsi="SimSun" w:eastAsia="SimSun" w:cs="SimSun"/>
          <w:sz w:val="21"/>
          <w:szCs w:val="21"/>
          <w:spacing w:val="-11"/>
        </w:rPr>
        <w:t>费者</w:t>
      </w:r>
    </w:p>
    <w:p>
      <w:pPr>
        <w:spacing w:line="284" w:lineRule="auto"/>
        <w:sectPr>
          <w:headerReference w:type="default" r:id="rId360"/>
          <w:pgSz w:w="7330" w:h="12480"/>
          <w:pgMar w:top="845" w:right="984" w:bottom="400" w:left="280" w:header="683"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right="179"/>
        <w:spacing w:before="69" w:line="271" w:lineRule="auto"/>
        <w:rPr>
          <w:rFonts w:ascii="SimSun" w:hAnsi="SimSun" w:eastAsia="SimSun" w:cs="SimSun"/>
          <w:sz w:val="21"/>
          <w:szCs w:val="21"/>
        </w:rPr>
      </w:pPr>
      <w:r>
        <w:rPr>
          <w:rFonts w:ascii="SimSun" w:hAnsi="SimSun" w:eastAsia="SimSun" w:cs="SimSun"/>
          <w:sz w:val="21"/>
          <w:szCs w:val="21"/>
          <w:spacing w:val="-10"/>
        </w:rPr>
        <w:t>明明白白地选择和消费。另一方面，政府还可以通过鼓励竞</w:t>
      </w:r>
      <w:r>
        <w:rPr>
          <w:rFonts w:ascii="SimSun" w:hAnsi="SimSun" w:eastAsia="SimSun" w:cs="SimSun"/>
          <w:sz w:val="21"/>
          <w:szCs w:val="21"/>
          <w:spacing w:val="-11"/>
        </w:rPr>
        <w:t>争，抑制</w:t>
      </w:r>
      <w:r>
        <w:rPr>
          <w:rFonts w:ascii="SimSun" w:hAnsi="SimSun" w:eastAsia="SimSun" w:cs="SimSun"/>
          <w:sz w:val="21"/>
          <w:szCs w:val="21"/>
        </w:rPr>
        <w:t xml:space="preserve"> </w:t>
      </w:r>
      <w:r>
        <w:rPr>
          <w:rFonts w:ascii="SimSun" w:hAnsi="SimSun" w:eastAsia="SimSun" w:cs="SimSun"/>
          <w:sz w:val="21"/>
          <w:szCs w:val="21"/>
          <w:spacing w:val="-11"/>
        </w:rPr>
        <w:t>平台企业的差别定价行为。</w:t>
      </w:r>
    </w:p>
    <w:p>
      <w:pPr>
        <w:pStyle w:val="BodyText"/>
        <w:spacing w:line="428"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26"/>
        </w:rPr>
        <w:t>基础业务免费未必没有垄断问题</w:t>
      </w:r>
    </w:p>
    <w:p>
      <w:pPr>
        <w:pStyle w:val="BodyText"/>
        <w:spacing w:line="349" w:lineRule="auto"/>
        <w:rPr/>
      </w:pPr>
      <w:r/>
    </w:p>
    <w:p>
      <w:pPr>
        <w:ind w:right="148" w:firstLine="345"/>
        <w:spacing w:before="68" w:line="293" w:lineRule="auto"/>
        <w:jc w:val="both"/>
        <w:rPr>
          <w:rFonts w:ascii="SimSun" w:hAnsi="SimSun" w:eastAsia="SimSun" w:cs="SimSun"/>
          <w:sz w:val="21"/>
          <w:szCs w:val="21"/>
        </w:rPr>
      </w:pPr>
      <w:r>
        <w:rPr>
          <w:rFonts w:ascii="SimSun" w:hAnsi="SimSun" w:eastAsia="SimSun" w:cs="SimSun"/>
          <w:sz w:val="21"/>
          <w:szCs w:val="21"/>
          <w:spacing w:val="-11"/>
        </w:rPr>
        <w:t>“羊毛出在猪身上”,这个不合逻辑的比喻形象地描述了许多科技</w:t>
      </w:r>
      <w:r>
        <w:rPr>
          <w:rFonts w:ascii="SimSun" w:hAnsi="SimSun" w:eastAsia="SimSun" w:cs="SimSun"/>
          <w:sz w:val="21"/>
          <w:szCs w:val="21"/>
          <w:spacing w:val="16"/>
        </w:rPr>
        <w:t xml:space="preserve"> </w:t>
      </w:r>
      <w:r>
        <w:rPr>
          <w:rFonts w:ascii="SimSun" w:hAnsi="SimSun" w:eastAsia="SimSun" w:cs="SimSun"/>
          <w:sz w:val="21"/>
          <w:szCs w:val="21"/>
          <w:spacing w:val="-4"/>
        </w:rPr>
        <w:t>平台的盈利模式，即基础业务免费，但对各种增值业务(如</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5"/>
        </w:rPr>
        <w:t>“VIP </w:t>
      </w:r>
      <w:r>
        <w:rPr>
          <w:rFonts w:ascii="SimSun" w:hAnsi="SimSun" w:eastAsia="SimSun" w:cs="SimSun"/>
          <w:sz w:val="21"/>
          <w:szCs w:val="21"/>
          <w:spacing w:val="-5"/>
        </w:rPr>
        <w:t>服</w:t>
      </w:r>
      <w:r>
        <w:rPr>
          <w:rFonts w:ascii="SimSun" w:hAnsi="SimSun" w:eastAsia="SimSun" w:cs="SimSun"/>
          <w:sz w:val="21"/>
          <w:szCs w:val="21"/>
        </w:rPr>
        <w:t xml:space="preserve"> </w:t>
      </w:r>
      <w:r>
        <w:rPr>
          <w:rFonts w:ascii="SimSun" w:hAnsi="SimSun" w:eastAsia="SimSun" w:cs="SimSun"/>
          <w:sz w:val="21"/>
          <w:szCs w:val="21"/>
          <w:spacing w:val="-3"/>
        </w:rPr>
        <w:t>务”)或衍生业务(如电子商务平台的广告</w:t>
      </w:r>
      <w:r>
        <w:rPr>
          <w:rFonts w:ascii="SimSun" w:hAnsi="SimSun" w:eastAsia="SimSun" w:cs="SimSun"/>
          <w:sz w:val="21"/>
          <w:szCs w:val="21"/>
          <w:spacing w:val="-4"/>
        </w:rPr>
        <w:t>、数据、渠道、支付、物</w:t>
      </w:r>
      <w:r>
        <w:rPr>
          <w:rFonts w:ascii="SimSun" w:hAnsi="SimSun" w:eastAsia="SimSun" w:cs="SimSun"/>
          <w:sz w:val="21"/>
          <w:szCs w:val="21"/>
        </w:rPr>
        <w:t xml:space="preserve"> </w:t>
      </w:r>
      <w:r>
        <w:rPr>
          <w:rFonts w:ascii="SimSun" w:hAnsi="SimSun" w:eastAsia="SimSun" w:cs="SimSun"/>
          <w:sz w:val="21"/>
          <w:szCs w:val="21"/>
          <w:spacing w:val="-7"/>
        </w:rPr>
        <w:t>流等服务)收费。这种业务模式并不是互联网时代的创新，在传统经</w:t>
      </w:r>
      <w:r>
        <w:rPr>
          <w:rFonts w:ascii="SimSun" w:hAnsi="SimSun" w:eastAsia="SimSun" w:cs="SimSun"/>
          <w:sz w:val="21"/>
          <w:szCs w:val="21"/>
          <w:spacing w:val="2"/>
        </w:rPr>
        <w:t xml:space="preserve"> </w:t>
      </w:r>
      <w:r>
        <w:rPr>
          <w:rFonts w:ascii="SimSun" w:hAnsi="SimSun" w:eastAsia="SimSun" w:cs="SimSun"/>
          <w:sz w:val="21"/>
          <w:szCs w:val="21"/>
          <w:spacing w:val="-11"/>
        </w:rPr>
        <w:t>济中就存在，例如广播电视经常免费提供新闻、娱乐等节目，但是从</w:t>
      </w:r>
      <w:r>
        <w:rPr>
          <w:rFonts w:ascii="SimSun" w:hAnsi="SimSun" w:eastAsia="SimSun" w:cs="SimSun"/>
          <w:sz w:val="21"/>
          <w:szCs w:val="21"/>
          <w:spacing w:val="16"/>
        </w:rPr>
        <w:t xml:space="preserve"> </w:t>
      </w:r>
      <w:r>
        <w:rPr>
          <w:rFonts w:ascii="SimSun" w:hAnsi="SimSun" w:eastAsia="SimSun" w:cs="SimSun"/>
          <w:sz w:val="21"/>
          <w:szCs w:val="21"/>
          <w:spacing w:val="-10"/>
        </w:rPr>
        <w:t>广告中获取收入。</w:t>
      </w:r>
    </w:p>
    <w:p>
      <w:pPr>
        <w:ind w:right="111" w:firstLine="450"/>
        <w:spacing w:before="160" w:line="297" w:lineRule="auto"/>
        <w:rPr>
          <w:rFonts w:ascii="SimSun" w:hAnsi="SimSun" w:eastAsia="SimSun" w:cs="SimSun"/>
          <w:sz w:val="21"/>
          <w:szCs w:val="21"/>
        </w:rPr>
      </w:pPr>
      <w:r>
        <w:rPr>
          <w:rFonts w:ascii="SimSun" w:hAnsi="SimSun" w:eastAsia="SimSun" w:cs="SimSun"/>
          <w:sz w:val="21"/>
          <w:szCs w:val="21"/>
          <w:spacing w:val="-11"/>
        </w:rPr>
        <w:t>这种业务模式的形成，与交易成本结构和网络外部性有关系。各</w:t>
      </w:r>
      <w:r>
        <w:rPr>
          <w:rFonts w:ascii="SimSun" w:hAnsi="SimSun" w:eastAsia="SimSun" w:cs="SimSun"/>
          <w:sz w:val="21"/>
          <w:szCs w:val="21"/>
          <w:spacing w:val="6"/>
        </w:rPr>
        <w:t xml:space="preserve"> </w:t>
      </w:r>
      <w:r>
        <w:rPr>
          <w:rFonts w:ascii="SimSun" w:hAnsi="SimSun" w:eastAsia="SimSun" w:cs="SimSun"/>
          <w:sz w:val="21"/>
          <w:szCs w:val="21"/>
          <w:spacing w:val="-17"/>
        </w:rPr>
        <w:t>种业务都有不同的交易成本，包括收费行为本身也会产生成本，选择从</w:t>
      </w:r>
      <w:r>
        <w:rPr>
          <w:rFonts w:ascii="SimSun" w:hAnsi="SimSun" w:eastAsia="SimSun" w:cs="SimSun"/>
          <w:sz w:val="21"/>
          <w:szCs w:val="21"/>
          <w:spacing w:val="3"/>
        </w:rPr>
        <w:t xml:space="preserve"> </w:t>
      </w:r>
      <w:r>
        <w:rPr>
          <w:rFonts w:ascii="SimSun" w:hAnsi="SimSun" w:eastAsia="SimSun" w:cs="SimSun"/>
          <w:sz w:val="21"/>
          <w:szCs w:val="21"/>
          <w:spacing w:val="-17"/>
        </w:rPr>
        <w:t>适当的业务层面切入进行收费可以节约交易成本。网络外部性意味着做 </w:t>
      </w:r>
      <w:r>
        <w:rPr>
          <w:rFonts w:ascii="SimSun" w:hAnsi="SimSun" w:eastAsia="SimSun" w:cs="SimSun"/>
          <w:sz w:val="21"/>
          <w:szCs w:val="21"/>
          <w:spacing w:val="-14"/>
        </w:rPr>
        <w:t>大规模非常重要，通过基础业务免费，可以</w:t>
      </w:r>
      <w:r>
        <w:rPr>
          <w:rFonts w:ascii="SimSun" w:hAnsi="SimSun" w:eastAsia="SimSun" w:cs="SimSun"/>
          <w:sz w:val="21"/>
          <w:szCs w:val="21"/>
          <w:spacing w:val="-15"/>
        </w:rPr>
        <w:t>吸引更多消费者加入网络，</w:t>
      </w:r>
      <w:r>
        <w:rPr>
          <w:rFonts w:ascii="SimSun" w:hAnsi="SimSun" w:eastAsia="SimSun" w:cs="SimSun"/>
          <w:sz w:val="21"/>
          <w:szCs w:val="21"/>
        </w:rPr>
        <w:t xml:space="preserve"> </w:t>
      </w:r>
      <w:r>
        <w:rPr>
          <w:rFonts w:ascii="SimSun" w:hAnsi="SimSun" w:eastAsia="SimSun" w:cs="SimSun"/>
          <w:sz w:val="21"/>
          <w:szCs w:val="21"/>
          <w:spacing w:val="-17"/>
        </w:rPr>
        <w:t>从而实现增值和提高衍生业务的价值，同时还可以防止竞争者进入。</w:t>
      </w:r>
    </w:p>
    <w:p>
      <w:pPr>
        <w:ind w:firstLine="450"/>
        <w:spacing w:before="108" w:line="301" w:lineRule="auto"/>
        <w:rPr>
          <w:rFonts w:ascii="SimSun" w:hAnsi="SimSun" w:eastAsia="SimSun" w:cs="SimSun"/>
          <w:sz w:val="21"/>
          <w:szCs w:val="21"/>
        </w:rPr>
      </w:pPr>
      <w:r>
        <w:rPr>
          <w:rFonts w:ascii="SimSun" w:hAnsi="SimSun" w:eastAsia="SimSun" w:cs="SimSun"/>
          <w:sz w:val="21"/>
          <w:szCs w:val="21"/>
          <w:spacing w:val="-11"/>
        </w:rPr>
        <w:t>正如我们可以将一些广播电台看作广告服务提供商，我们也可以</w:t>
      </w:r>
      <w:r>
        <w:rPr>
          <w:rFonts w:ascii="SimSun" w:hAnsi="SimSun" w:eastAsia="SimSun" w:cs="SimSun"/>
          <w:sz w:val="21"/>
          <w:szCs w:val="21"/>
          <w:spacing w:val="7"/>
        </w:rPr>
        <w:t xml:space="preserve">  </w:t>
      </w:r>
      <w:r>
        <w:rPr>
          <w:rFonts w:ascii="SimSun" w:hAnsi="SimSun" w:eastAsia="SimSun" w:cs="SimSun"/>
          <w:sz w:val="21"/>
          <w:szCs w:val="21"/>
          <w:spacing w:val="-11"/>
        </w:rPr>
        <w:t>将数字平台看作相关增值业务和衍生业务的供应商，而不是基础业务</w:t>
      </w:r>
      <w:r>
        <w:rPr>
          <w:rFonts w:ascii="SimSun" w:hAnsi="SimSun" w:eastAsia="SimSun" w:cs="SimSun"/>
          <w:sz w:val="21"/>
          <w:szCs w:val="21"/>
          <w:spacing w:val="9"/>
        </w:rPr>
        <w:t xml:space="preserve">  </w:t>
      </w:r>
      <w:r>
        <w:rPr>
          <w:rFonts w:ascii="SimSun" w:hAnsi="SimSun" w:eastAsia="SimSun" w:cs="SimSun"/>
          <w:sz w:val="21"/>
          <w:szCs w:val="21"/>
          <w:spacing w:val="-7"/>
        </w:rPr>
        <w:t>的供应商，因为基础业务其实是平台的“成本中心”,增值业务和衍</w:t>
      </w:r>
      <w:r>
        <w:rPr>
          <w:rFonts w:ascii="SimSun" w:hAnsi="SimSun" w:eastAsia="SimSun" w:cs="SimSun"/>
          <w:sz w:val="21"/>
          <w:szCs w:val="21"/>
        </w:rPr>
        <w:t xml:space="preserve">  </w:t>
      </w:r>
      <w:r>
        <w:rPr>
          <w:rFonts w:ascii="SimSun" w:hAnsi="SimSun" w:eastAsia="SimSun" w:cs="SimSun"/>
          <w:sz w:val="21"/>
          <w:szCs w:val="21"/>
          <w:u w:val="single" w:color="auto"/>
          <w:spacing w:val="-17"/>
        </w:rPr>
        <w:t>生业</w:t>
      </w:r>
      <w:r>
        <w:rPr>
          <w:rFonts w:ascii="SimSun" w:hAnsi="SimSun" w:eastAsia="SimSun" w:cs="SimSun"/>
          <w:sz w:val="21"/>
          <w:szCs w:val="21"/>
          <w:spacing w:val="-17"/>
        </w:rPr>
        <w:t>务才是“收入中心”。从这个角度看，“羊毛”其实还是出在“羊”</w:t>
      </w:r>
      <w:r>
        <w:rPr>
          <w:rFonts w:ascii="SimSun" w:hAnsi="SimSun" w:eastAsia="SimSun" w:cs="SimSun"/>
          <w:sz w:val="21"/>
          <w:szCs w:val="21"/>
        </w:rPr>
        <w:t xml:space="preserve"> </w:t>
      </w:r>
      <w:r>
        <w:rPr>
          <w:rFonts w:ascii="SimSun" w:hAnsi="SimSun" w:eastAsia="SimSun" w:cs="SimSun"/>
          <w:sz w:val="21"/>
          <w:szCs w:val="21"/>
          <w:spacing w:val="-10"/>
        </w:rPr>
        <w:t>身上。人们往往过度关注了平台的基础业务</w:t>
      </w:r>
      <w:r>
        <w:rPr>
          <w:rFonts w:ascii="SimSun" w:hAnsi="SimSun" w:eastAsia="SimSun" w:cs="SimSun"/>
          <w:sz w:val="21"/>
          <w:szCs w:val="21"/>
          <w:spacing w:val="-11"/>
        </w:rPr>
        <w:t>，而忽视了基础业务在整</w:t>
      </w:r>
      <w:r>
        <w:rPr>
          <w:rFonts w:ascii="SimSun" w:hAnsi="SimSun" w:eastAsia="SimSun" w:cs="SimSun"/>
          <w:sz w:val="21"/>
          <w:szCs w:val="21"/>
        </w:rPr>
        <w:t xml:space="preserve">  </w:t>
      </w:r>
      <w:r>
        <w:rPr>
          <w:rFonts w:ascii="SimSun" w:hAnsi="SimSun" w:eastAsia="SimSun" w:cs="SimSun"/>
          <w:sz w:val="21"/>
          <w:szCs w:val="21"/>
          <w:spacing w:val="-10"/>
        </w:rPr>
        <w:t>个商业模式中的地位。</w:t>
      </w:r>
    </w:p>
    <w:p>
      <w:pPr>
        <w:ind w:right="146" w:firstLine="450"/>
        <w:spacing w:before="111" w:line="297" w:lineRule="auto"/>
        <w:rPr>
          <w:rFonts w:ascii="SimSun" w:hAnsi="SimSun" w:eastAsia="SimSun" w:cs="SimSun"/>
          <w:sz w:val="21"/>
          <w:szCs w:val="21"/>
        </w:rPr>
      </w:pPr>
      <w:r>
        <w:rPr>
          <w:rFonts w:ascii="SimSun" w:hAnsi="SimSun" w:eastAsia="SimSun" w:cs="SimSun"/>
          <w:sz w:val="21"/>
          <w:szCs w:val="21"/>
          <w:spacing w:val="-11"/>
        </w:rPr>
        <w:t>平台的免费服务与垄断并不矛盾。平台的垄断主要体现在它们赖</w:t>
      </w:r>
      <w:r>
        <w:rPr>
          <w:rFonts w:ascii="SimSun" w:hAnsi="SimSun" w:eastAsia="SimSun" w:cs="SimSun"/>
          <w:sz w:val="21"/>
          <w:szCs w:val="21"/>
          <w:spacing w:val="7"/>
        </w:rPr>
        <w:t xml:space="preserve"> </w:t>
      </w:r>
      <w:r>
        <w:rPr>
          <w:rFonts w:ascii="SimSun" w:hAnsi="SimSun" w:eastAsia="SimSun" w:cs="SimSun"/>
          <w:sz w:val="21"/>
          <w:szCs w:val="21"/>
          <w:spacing w:val="-10"/>
        </w:rPr>
        <w:t>以生存的增值业务和衍生业务上，这些业务对</w:t>
      </w:r>
      <w:r>
        <w:rPr>
          <w:rFonts w:ascii="SimSun" w:hAnsi="SimSun" w:eastAsia="SimSun" w:cs="SimSun"/>
          <w:sz w:val="21"/>
          <w:szCs w:val="21"/>
          <w:spacing w:val="-11"/>
        </w:rPr>
        <w:t>很多合作伙伴来说非常</w:t>
      </w:r>
      <w:r>
        <w:rPr>
          <w:rFonts w:ascii="SimSun" w:hAnsi="SimSun" w:eastAsia="SimSun" w:cs="SimSun"/>
          <w:sz w:val="21"/>
          <w:szCs w:val="21"/>
        </w:rPr>
        <w:t xml:space="preserve"> </w:t>
      </w:r>
      <w:r>
        <w:rPr>
          <w:rFonts w:ascii="SimSun" w:hAnsi="SimSun" w:eastAsia="SimSun" w:cs="SimSun"/>
          <w:sz w:val="21"/>
          <w:szCs w:val="21"/>
          <w:spacing w:val="-10"/>
        </w:rPr>
        <w:t>重要，很多依赖大型平台提供流量的商户需要为流量付出对价。平台</w:t>
      </w:r>
      <w:r>
        <w:rPr>
          <w:rFonts w:ascii="SimSun" w:hAnsi="SimSun" w:eastAsia="SimSun" w:cs="SimSun"/>
          <w:sz w:val="21"/>
          <w:szCs w:val="21"/>
        </w:rPr>
        <w:t xml:space="preserve"> </w:t>
      </w:r>
      <w:r>
        <w:rPr>
          <w:rFonts w:ascii="SimSun" w:hAnsi="SimSun" w:eastAsia="SimSun" w:cs="SimSun"/>
          <w:sz w:val="21"/>
          <w:szCs w:val="21"/>
          <w:spacing w:val="-11"/>
        </w:rPr>
        <w:t>的垄断程度越高，流量对价就越高，而这个对价最终还是要由消费者</w:t>
      </w:r>
      <w:r>
        <w:rPr>
          <w:rFonts w:ascii="SimSun" w:hAnsi="SimSun" w:eastAsia="SimSun" w:cs="SimSun"/>
          <w:sz w:val="21"/>
          <w:szCs w:val="21"/>
          <w:spacing w:val="18"/>
        </w:rPr>
        <w:t xml:space="preserve"> </w:t>
      </w:r>
      <w:r>
        <w:rPr>
          <w:rFonts w:ascii="SimSun" w:hAnsi="SimSun" w:eastAsia="SimSun" w:cs="SimSun"/>
          <w:sz w:val="21"/>
          <w:szCs w:val="21"/>
          <w:spacing w:val="-10"/>
        </w:rPr>
        <w:t>承担。平台正是通过基础业务免费获取一定程度的垄断地位，然后在</w:t>
      </w:r>
    </w:p>
    <w:p>
      <w:pPr>
        <w:spacing w:line="297" w:lineRule="auto"/>
        <w:sectPr>
          <w:headerReference w:type="default" r:id="rId361"/>
          <w:pgSz w:w="7330" w:h="12480"/>
          <w:pgMar w:top="559" w:right="393" w:bottom="400" w:left="759" w:header="385"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right="93"/>
        <w:spacing w:before="68" w:line="284" w:lineRule="auto"/>
        <w:jc w:val="both"/>
        <w:rPr>
          <w:rFonts w:ascii="SimSun" w:hAnsi="SimSun" w:eastAsia="SimSun" w:cs="SimSun"/>
          <w:sz w:val="21"/>
          <w:szCs w:val="21"/>
        </w:rPr>
      </w:pPr>
      <w:r>
        <w:rPr>
          <w:rFonts w:ascii="SimSun" w:hAnsi="SimSun" w:eastAsia="SimSun" w:cs="SimSun"/>
          <w:sz w:val="21"/>
          <w:szCs w:val="21"/>
          <w:spacing w:val="-11"/>
        </w:rPr>
        <w:t>针对商户的增值服务中获取垄断利润，最终还是体现在较高的消费价</w:t>
      </w:r>
      <w:r>
        <w:rPr>
          <w:rFonts w:ascii="SimSun" w:hAnsi="SimSun" w:eastAsia="SimSun" w:cs="SimSun"/>
          <w:sz w:val="21"/>
          <w:szCs w:val="21"/>
          <w:spacing w:val="7"/>
        </w:rPr>
        <w:t xml:space="preserve"> </w:t>
      </w:r>
      <w:r>
        <w:rPr>
          <w:rFonts w:ascii="SimSun" w:hAnsi="SimSun" w:eastAsia="SimSun" w:cs="SimSun"/>
          <w:sz w:val="21"/>
          <w:szCs w:val="21"/>
          <w:spacing w:val="-7"/>
        </w:rPr>
        <w:t>格上。基础业务免费其实是垄断的“护城河”,免费和垄</w:t>
      </w:r>
      <w:r>
        <w:rPr>
          <w:rFonts w:ascii="SimSun" w:hAnsi="SimSun" w:eastAsia="SimSun" w:cs="SimSun"/>
          <w:sz w:val="21"/>
          <w:szCs w:val="21"/>
          <w:spacing w:val="-8"/>
        </w:rPr>
        <w:t>断之间并不</w:t>
      </w:r>
      <w:r>
        <w:rPr>
          <w:rFonts w:ascii="SimSun" w:hAnsi="SimSun" w:eastAsia="SimSun" w:cs="SimSun"/>
          <w:sz w:val="21"/>
          <w:szCs w:val="21"/>
        </w:rPr>
        <w:t xml:space="preserve"> </w:t>
      </w:r>
      <w:r>
        <w:rPr>
          <w:rFonts w:ascii="SimSun" w:hAnsi="SimSun" w:eastAsia="SimSun" w:cs="SimSun"/>
          <w:sz w:val="21"/>
          <w:szCs w:val="21"/>
          <w:spacing w:val="-9"/>
        </w:rPr>
        <w:t>矛盾。</w:t>
      </w:r>
    </w:p>
    <w:p>
      <w:pPr>
        <w:ind w:firstLine="399"/>
        <w:spacing w:before="111" w:line="292" w:lineRule="auto"/>
        <w:jc w:val="both"/>
        <w:rPr>
          <w:rFonts w:ascii="SimSun" w:hAnsi="SimSun" w:eastAsia="SimSun" w:cs="SimSun"/>
          <w:sz w:val="21"/>
          <w:szCs w:val="21"/>
        </w:rPr>
      </w:pPr>
      <w:r>
        <w:rPr>
          <w:rFonts w:ascii="SimSun" w:hAnsi="SimSun" w:eastAsia="SimSun" w:cs="SimSun"/>
          <w:sz w:val="21"/>
          <w:szCs w:val="21"/>
          <w:spacing w:val="-8"/>
        </w:rPr>
        <w:t>我们应该肯定平台免费服务对消费者的价值，但这是信息科技、</w:t>
      </w:r>
      <w:r>
        <w:rPr>
          <w:rFonts w:ascii="SimSun" w:hAnsi="SimSun" w:eastAsia="SimSun" w:cs="SimSun"/>
          <w:sz w:val="21"/>
          <w:szCs w:val="21"/>
          <w:spacing w:val="17"/>
        </w:rPr>
        <w:t xml:space="preserve"> </w:t>
      </w:r>
      <w:r>
        <w:rPr>
          <w:rFonts w:ascii="SimSun" w:hAnsi="SimSun" w:eastAsia="SimSun" w:cs="SimSun"/>
          <w:sz w:val="21"/>
          <w:szCs w:val="21"/>
          <w:spacing w:val="-11"/>
        </w:rPr>
        <w:t>网络效应和潜在竞争带给消费者的礼物，而不是平台的恩赐。如果现</w:t>
      </w:r>
      <w:r>
        <w:rPr>
          <w:rFonts w:ascii="SimSun" w:hAnsi="SimSun" w:eastAsia="SimSun" w:cs="SimSun"/>
          <w:sz w:val="21"/>
          <w:szCs w:val="21"/>
          <w:spacing w:val="3"/>
        </w:rPr>
        <w:t xml:space="preserve">  </w:t>
      </w:r>
      <w:r>
        <w:rPr>
          <w:rFonts w:ascii="SimSun" w:hAnsi="SimSun" w:eastAsia="SimSun" w:cs="SimSun"/>
          <w:sz w:val="21"/>
          <w:szCs w:val="21"/>
          <w:spacing w:val="-11"/>
        </w:rPr>
        <w:t>有平台退出，那么很快就会有新的平台来提供几乎相同的服务。也就</w:t>
      </w:r>
      <w:r>
        <w:rPr>
          <w:rFonts w:ascii="SimSun" w:hAnsi="SimSun" w:eastAsia="SimSun" w:cs="SimSun"/>
          <w:sz w:val="21"/>
          <w:szCs w:val="21"/>
          <w:spacing w:val="4"/>
        </w:rPr>
        <w:t xml:space="preserve">  </w:t>
      </w:r>
      <w:r>
        <w:rPr>
          <w:rFonts w:ascii="SimSun" w:hAnsi="SimSun" w:eastAsia="SimSun" w:cs="SimSun"/>
          <w:sz w:val="21"/>
          <w:szCs w:val="21"/>
          <w:spacing w:val="-14"/>
        </w:rPr>
        <w:t>是说，平台本身并没有稀缺性，只是网络效应导致了“赢家通吃</w:t>
      </w:r>
      <w:r>
        <w:rPr>
          <w:rFonts w:ascii="SimSun" w:hAnsi="SimSun" w:eastAsia="SimSun" w:cs="SimSun"/>
          <w:sz w:val="21"/>
          <w:szCs w:val="21"/>
          <w:spacing w:val="-15"/>
        </w:rPr>
        <w:t>”。</w:t>
      </w:r>
    </w:p>
    <w:p>
      <w:pPr>
        <w:ind w:right="68" w:firstLine="399"/>
        <w:spacing w:before="112" w:line="297" w:lineRule="auto"/>
        <w:jc w:val="both"/>
        <w:rPr>
          <w:rFonts w:ascii="SimSun" w:hAnsi="SimSun" w:eastAsia="SimSun" w:cs="SimSun"/>
          <w:sz w:val="21"/>
          <w:szCs w:val="21"/>
        </w:rPr>
      </w:pPr>
      <w:r>
        <w:rPr>
          <w:rFonts w:ascii="SimSun" w:hAnsi="SimSun" w:eastAsia="SimSun" w:cs="SimSun"/>
          <w:sz w:val="21"/>
          <w:szCs w:val="21"/>
          <w:spacing w:val="-3"/>
        </w:rPr>
        <w:t>总之，平台的基础业务免费现象可能使人们对平台垄断产生怀</w:t>
      </w:r>
      <w:r>
        <w:rPr>
          <w:rFonts w:ascii="SimSun" w:hAnsi="SimSun" w:eastAsia="SimSun" w:cs="SimSun"/>
          <w:sz w:val="21"/>
          <w:szCs w:val="21"/>
          <w:spacing w:val="10"/>
        </w:rPr>
        <w:t xml:space="preserve"> </w:t>
      </w:r>
      <w:r>
        <w:rPr>
          <w:rFonts w:ascii="SimSun" w:hAnsi="SimSun" w:eastAsia="SimSun" w:cs="SimSun"/>
          <w:sz w:val="21"/>
          <w:szCs w:val="21"/>
          <w:spacing w:val="-10"/>
        </w:rPr>
        <w:t>疑，但这是一个错觉。平台的“利润中心”其实是基于基础业务的增</w:t>
      </w:r>
      <w:r>
        <w:rPr>
          <w:rFonts w:ascii="SimSun" w:hAnsi="SimSun" w:eastAsia="SimSun" w:cs="SimSun"/>
          <w:sz w:val="21"/>
          <w:szCs w:val="21"/>
          <w:spacing w:val="5"/>
        </w:rPr>
        <w:t xml:space="preserve"> </w:t>
      </w:r>
      <w:r>
        <w:rPr>
          <w:rFonts w:ascii="SimSun" w:hAnsi="SimSun" w:eastAsia="SimSun" w:cs="SimSun"/>
          <w:sz w:val="21"/>
          <w:szCs w:val="21"/>
          <w:spacing w:val="-7"/>
        </w:rPr>
        <w:t>值业务和衍生业务，而不是基础业务本身。作为“成本中心”,基础</w:t>
      </w:r>
      <w:r>
        <w:rPr>
          <w:rFonts w:ascii="SimSun" w:hAnsi="SimSun" w:eastAsia="SimSun" w:cs="SimSun"/>
          <w:sz w:val="21"/>
          <w:szCs w:val="21"/>
          <w:spacing w:val="15"/>
        </w:rPr>
        <w:t xml:space="preserve"> </w:t>
      </w:r>
      <w:r>
        <w:rPr>
          <w:rFonts w:ascii="SimSun" w:hAnsi="SimSun" w:eastAsia="SimSun" w:cs="SimSun"/>
          <w:sz w:val="21"/>
          <w:szCs w:val="21"/>
          <w:spacing w:val="-11"/>
        </w:rPr>
        <w:t>业务免费的目的恰恰是加强赢利业务的垄断地位，最终还是要由消费</w:t>
      </w:r>
      <w:r>
        <w:rPr>
          <w:rFonts w:ascii="SimSun" w:hAnsi="SimSun" w:eastAsia="SimSun" w:cs="SimSun"/>
          <w:sz w:val="21"/>
          <w:szCs w:val="21"/>
          <w:spacing w:val="11"/>
        </w:rPr>
        <w:t xml:space="preserve"> </w:t>
      </w:r>
      <w:r>
        <w:rPr>
          <w:rFonts w:ascii="SimSun" w:hAnsi="SimSun" w:eastAsia="SimSun" w:cs="SimSun"/>
          <w:sz w:val="21"/>
          <w:szCs w:val="21"/>
          <w:spacing w:val="-13"/>
        </w:rPr>
        <w:t>者为垄断买单。</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6"/>
        </w:rPr>
        <w:t>如何看待国际数字平台垄断</w:t>
      </w:r>
    </w:p>
    <w:p>
      <w:pPr>
        <w:pStyle w:val="BodyText"/>
        <w:spacing w:line="355" w:lineRule="auto"/>
        <w:rPr/>
      </w:pPr>
      <w:r/>
    </w:p>
    <w:p>
      <w:pPr>
        <w:ind w:firstLine="399"/>
        <w:spacing w:before="68" w:line="308" w:lineRule="auto"/>
        <w:jc w:val="both"/>
        <w:rPr>
          <w:rFonts w:ascii="SimSun" w:hAnsi="SimSun" w:eastAsia="SimSun" w:cs="SimSun"/>
          <w:sz w:val="21"/>
          <w:szCs w:val="21"/>
        </w:rPr>
      </w:pPr>
      <w:r>
        <w:rPr>
          <w:rFonts w:ascii="SimSun" w:hAnsi="SimSun" w:eastAsia="SimSun" w:cs="SimSun"/>
          <w:sz w:val="21"/>
          <w:szCs w:val="21"/>
          <w:spacing w:val="-11"/>
        </w:rPr>
        <w:t>无论是在传统经济还是在新经济领域，国外企业对国内市场垄断</w:t>
      </w:r>
      <w:r>
        <w:rPr>
          <w:rFonts w:ascii="SimSun" w:hAnsi="SimSun" w:eastAsia="SimSun" w:cs="SimSun"/>
          <w:sz w:val="21"/>
          <w:szCs w:val="21"/>
          <w:spacing w:val="2"/>
        </w:rPr>
        <w:t xml:space="preserve">  </w:t>
      </w:r>
      <w:r>
        <w:rPr>
          <w:rFonts w:ascii="SimSun" w:hAnsi="SimSun" w:eastAsia="SimSun" w:cs="SimSun"/>
          <w:sz w:val="21"/>
          <w:szCs w:val="21"/>
          <w:spacing w:val="-10"/>
        </w:rPr>
        <w:t>的危害性都会大于国内企业的垄断。从经济学角度看，垄断一方面扭 </w:t>
      </w:r>
      <w:r>
        <w:rPr>
          <w:rFonts w:ascii="SimSun" w:hAnsi="SimSun" w:eastAsia="SimSun" w:cs="SimSun"/>
          <w:sz w:val="21"/>
          <w:szCs w:val="21"/>
          <w:spacing w:val="-11"/>
        </w:rPr>
        <w:t>曲了价格，导致社会总福利的损失，另一方面还使利益分配不公平地</w:t>
      </w:r>
      <w:r>
        <w:rPr>
          <w:rFonts w:ascii="SimSun" w:hAnsi="SimSun" w:eastAsia="SimSun" w:cs="SimSun"/>
          <w:sz w:val="21"/>
          <w:szCs w:val="21"/>
          <w:spacing w:val="3"/>
        </w:rPr>
        <w:t xml:space="preserve">  </w:t>
      </w:r>
      <w:r>
        <w:rPr>
          <w:rFonts w:ascii="SimSun" w:hAnsi="SimSun" w:eastAsia="SimSun" w:cs="SimSun"/>
          <w:sz w:val="21"/>
          <w:szCs w:val="21"/>
          <w:spacing w:val="-11"/>
        </w:rPr>
        <w:t>偏向企业，而损害消费者利益。虽然国内企业的垄断会导致经济效率</w:t>
      </w:r>
      <w:r>
        <w:rPr>
          <w:rFonts w:ascii="SimSun" w:hAnsi="SimSun" w:eastAsia="SimSun" w:cs="SimSun"/>
          <w:sz w:val="21"/>
          <w:szCs w:val="21"/>
          <w:spacing w:val="4"/>
        </w:rPr>
        <w:t xml:space="preserve">  </w:t>
      </w:r>
      <w:r>
        <w:rPr>
          <w:rFonts w:ascii="SimSun" w:hAnsi="SimSun" w:eastAsia="SimSun" w:cs="SimSun"/>
          <w:sz w:val="21"/>
          <w:szCs w:val="21"/>
          <w:spacing w:val="-11"/>
        </w:rPr>
        <w:t>低下和分配不均，但至少垄断利润还留在国内循环，对国内经济还是</w:t>
      </w:r>
      <w:r>
        <w:rPr>
          <w:rFonts w:ascii="SimSun" w:hAnsi="SimSun" w:eastAsia="SimSun" w:cs="SimSun"/>
          <w:sz w:val="21"/>
          <w:szCs w:val="21"/>
          <w:spacing w:val="4"/>
        </w:rPr>
        <w:t xml:space="preserve">  </w:t>
      </w:r>
      <w:r>
        <w:rPr>
          <w:rFonts w:ascii="SimSun" w:hAnsi="SimSun" w:eastAsia="SimSun" w:cs="SimSun"/>
          <w:sz w:val="21"/>
          <w:szCs w:val="21"/>
          <w:spacing w:val="-8"/>
        </w:rPr>
        <w:t>有一定贡献的。相比之下，国外垄断企业不仅扭曲了国内市场价格，</w:t>
      </w:r>
      <w:r>
        <w:rPr>
          <w:rFonts w:ascii="SimSun" w:hAnsi="SimSun" w:eastAsia="SimSun" w:cs="SimSun"/>
          <w:sz w:val="21"/>
          <w:szCs w:val="21"/>
          <w:spacing w:val="14"/>
        </w:rPr>
        <w:t xml:space="preserve"> </w:t>
      </w:r>
      <w:r>
        <w:rPr>
          <w:rFonts w:ascii="SimSun" w:hAnsi="SimSun" w:eastAsia="SimSun" w:cs="SimSun"/>
          <w:sz w:val="21"/>
          <w:szCs w:val="21"/>
          <w:spacing w:val="-9"/>
        </w:rPr>
        <w:t>而且让超额利润最终流向国外，因此对本国经济的贡献更小。同理，</w:t>
      </w:r>
      <w:r>
        <w:rPr>
          <w:rFonts w:ascii="SimSun" w:hAnsi="SimSun" w:eastAsia="SimSun" w:cs="SimSun"/>
          <w:sz w:val="21"/>
          <w:szCs w:val="21"/>
          <w:spacing w:val="13"/>
        </w:rPr>
        <w:t xml:space="preserve"> </w:t>
      </w:r>
      <w:r>
        <w:rPr>
          <w:rFonts w:ascii="SimSun" w:hAnsi="SimSun" w:eastAsia="SimSun" w:cs="SimSun"/>
          <w:sz w:val="21"/>
          <w:szCs w:val="21"/>
          <w:spacing w:val="-8"/>
        </w:rPr>
        <w:t>国内企业在国际市场上的垄断地位非常有利于提升本国的经济利益。</w:t>
      </w:r>
      <w:r>
        <w:rPr>
          <w:rFonts w:ascii="SimSun" w:hAnsi="SimSun" w:eastAsia="SimSun" w:cs="SimSun"/>
          <w:sz w:val="21"/>
          <w:szCs w:val="21"/>
          <w:spacing w:val="13"/>
        </w:rPr>
        <w:t xml:space="preserve"> </w:t>
      </w:r>
      <w:r>
        <w:rPr>
          <w:rFonts w:ascii="SimSun" w:hAnsi="SimSun" w:eastAsia="SimSun" w:cs="SimSun"/>
          <w:sz w:val="21"/>
          <w:szCs w:val="21"/>
          <w:spacing w:val="-11"/>
        </w:rPr>
        <w:t>当然，我们也不赞成国内企业垄断国外市场，而应遵守当地法律，合</w:t>
      </w:r>
      <w:r>
        <w:rPr>
          <w:rFonts w:ascii="SimSun" w:hAnsi="SimSun" w:eastAsia="SimSun" w:cs="SimSun"/>
          <w:sz w:val="21"/>
          <w:szCs w:val="21"/>
          <w:spacing w:val="3"/>
        </w:rPr>
        <w:t xml:space="preserve">  </w:t>
      </w:r>
      <w:r>
        <w:rPr>
          <w:rFonts w:ascii="SimSun" w:hAnsi="SimSun" w:eastAsia="SimSun" w:cs="SimSun"/>
          <w:sz w:val="21"/>
          <w:szCs w:val="21"/>
          <w:spacing w:val="-11"/>
        </w:rPr>
        <w:t>法经营。考虑到垄断可能带来的政治风险，平台企业垄断外国市场经</w:t>
      </w:r>
      <w:r>
        <w:rPr>
          <w:rFonts w:ascii="SimSun" w:hAnsi="SimSun" w:eastAsia="SimSun" w:cs="SimSun"/>
          <w:sz w:val="21"/>
          <w:szCs w:val="21"/>
          <w:spacing w:val="3"/>
        </w:rPr>
        <w:t xml:space="preserve">  </w:t>
      </w:r>
      <w:r>
        <w:rPr>
          <w:rFonts w:ascii="SimSun" w:hAnsi="SimSun" w:eastAsia="SimSun" w:cs="SimSun"/>
          <w:sz w:val="21"/>
          <w:szCs w:val="21"/>
          <w:spacing w:val="-12"/>
        </w:rPr>
        <w:t>常会产生意想不到的成本。</w:t>
      </w:r>
    </w:p>
    <w:p>
      <w:pPr>
        <w:ind w:left="399"/>
        <w:spacing w:before="113" w:line="219" w:lineRule="auto"/>
        <w:rPr>
          <w:rFonts w:ascii="SimSun" w:hAnsi="SimSun" w:eastAsia="SimSun" w:cs="SimSun"/>
          <w:sz w:val="21"/>
          <w:szCs w:val="21"/>
        </w:rPr>
      </w:pPr>
      <w:r>
        <w:rPr>
          <w:rFonts w:ascii="SimSun" w:hAnsi="SimSun" w:eastAsia="SimSun" w:cs="SimSun"/>
          <w:sz w:val="21"/>
          <w:szCs w:val="21"/>
          <w:spacing w:val="-11"/>
        </w:rPr>
        <w:t>在全球化背景下，判断一个企业是否具有垄断地位，也应该将其</w:t>
      </w:r>
    </w:p>
    <w:p>
      <w:pPr>
        <w:spacing w:line="219" w:lineRule="auto"/>
        <w:sectPr>
          <w:headerReference w:type="default" r:id="rId362"/>
          <w:pgSz w:w="7330" w:h="12480"/>
          <w:pgMar w:top="835" w:right="834" w:bottom="400" w:left="420" w:header="673" w:footer="0" w:gutter="0"/>
        </w:sectPr>
        <w:rPr>
          <w:rFonts w:ascii="SimSun" w:hAnsi="SimSun" w:eastAsia="SimSun" w:cs="SimSun"/>
          <w:sz w:val="21"/>
          <w:szCs w:val="2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111" w:right="63"/>
        <w:spacing w:before="61" w:line="350" w:lineRule="auto"/>
        <w:jc w:val="both"/>
        <w:rPr>
          <w:rFonts w:ascii="SimSun" w:hAnsi="SimSun" w:eastAsia="SimSun" w:cs="SimSun"/>
          <w:sz w:val="19"/>
          <w:szCs w:val="19"/>
        </w:rPr>
      </w:pPr>
      <w:r>
        <w:rPr>
          <w:rFonts w:ascii="SimSun" w:hAnsi="SimSun" w:eastAsia="SimSun" w:cs="SimSun"/>
          <w:sz w:val="19"/>
          <w:szCs w:val="19"/>
          <w:spacing w:val="5"/>
        </w:rPr>
        <w:t>放在全球市场上考虑。</w:t>
      </w:r>
      <w:r>
        <w:rPr>
          <w:rFonts w:ascii="SimSun" w:hAnsi="SimSun" w:eastAsia="SimSun" w:cs="SimSun"/>
          <w:sz w:val="19"/>
          <w:szCs w:val="19"/>
          <w:spacing w:val="55"/>
        </w:rPr>
        <w:t xml:space="preserve"> </w:t>
      </w:r>
      <w:r>
        <w:rPr>
          <w:rFonts w:ascii="SimSun" w:hAnsi="SimSun" w:eastAsia="SimSun" w:cs="SimSun"/>
          <w:sz w:val="19"/>
          <w:szCs w:val="19"/>
          <w:spacing w:val="5"/>
        </w:rPr>
        <w:t>一个企业的竞争者不仅来自本国，还可能来自</w:t>
      </w:r>
      <w:r>
        <w:rPr>
          <w:rFonts w:ascii="SimSun" w:hAnsi="SimSun" w:eastAsia="SimSun" w:cs="SimSun"/>
          <w:sz w:val="19"/>
          <w:szCs w:val="19"/>
        </w:rPr>
        <w:t xml:space="preserve"> </w:t>
      </w:r>
      <w:r>
        <w:rPr>
          <w:rFonts w:ascii="SimSun" w:hAnsi="SimSun" w:eastAsia="SimSun" w:cs="SimSun"/>
          <w:sz w:val="19"/>
          <w:szCs w:val="19"/>
          <w:spacing w:val="9"/>
        </w:rPr>
        <w:t>国外，忽视外国竞争者会严重高估国内企业的垄断力量。如果外国平</w:t>
      </w:r>
      <w:r>
        <w:rPr>
          <w:rFonts w:ascii="SimSun" w:hAnsi="SimSun" w:eastAsia="SimSun" w:cs="SimSun"/>
          <w:sz w:val="19"/>
          <w:szCs w:val="19"/>
          <w:spacing w:val="8"/>
        </w:rPr>
        <w:t xml:space="preserve"> </w:t>
      </w:r>
      <w:r>
        <w:rPr>
          <w:rFonts w:ascii="SimSun" w:hAnsi="SimSun" w:eastAsia="SimSun" w:cs="SimSun"/>
          <w:sz w:val="19"/>
          <w:szCs w:val="19"/>
          <w:spacing w:val="12"/>
        </w:rPr>
        <w:t>台企业比较容易进入本国市场，那么也可能产生“可竞争性”,即使</w:t>
      </w:r>
      <w:r>
        <w:rPr>
          <w:rFonts w:ascii="SimSun" w:hAnsi="SimSun" w:eastAsia="SimSun" w:cs="SimSun"/>
          <w:sz w:val="19"/>
          <w:szCs w:val="19"/>
          <w:spacing w:val="13"/>
        </w:rPr>
        <w:t xml:space="preserve"> </w:t>
      </w:r>
      <w:r>
        <w:rPr>
          <w:rFonts w:ascii="SimSun" w:hAnsi="SimSun" w:eastAsia="SimSun" w:cs="SimSun"/>
          <w:sz w:val="19"/>
          <w:szCs w:val="19"/>
          <w:spacing w:val="9"/>
        </w:rPr>
        <w:t>本国企业的市场占有率高，也难以实行垄断，否则外国竞争者很快就</w:t>
      </w:r>
    </w:p>
    <w:p>
      <w:pPr>
        <w:ind w:left="111"/>
        <w:spacing w:line="218" w:lineRule="auto"/>
        <w:rPr>
          <w:rFonts w:ascii="SimSun" w:hAnsi="SimSun" w:eastAsia="SimSun" w:cs="SimSun"/>
          <w:sz w:val="19"/>
          <w:szCs w:val="19"/>
        </w:rPr>
      </w:pPr>
      <w:r>
        <w:rPr>
          <w:rFonts w:ascii="SimSun" w:hAnsi="SimSun" w:eastAsia="SimSun" w:cs="SimSun"/>
          <w:sz w:val="19"/>
          <w:szCs w:val="19"/>
          <w:spacing w:val="5"/>
        </w:rPr>
        <w:t>会进入本国市场。</w:t>
      </w:r>
    </w:p>
    <w:p>
      <w:pPr>
        <w:ind w:left="111" w:firstLine="429"/>
        <w:spacing w:before="123" w:line="350" w:lineRule="auto"/>
        <w:jc w:val="both"/>
        <w:rPr>
          <w:rFonts w:ascii="SimSun" w:hAnsi="SimSun" w:eastAsia="SimSun" w:cs="SimSun"/>
          <w:sz w:val="19"/>
          <w:szCs w:val="19"/>
        </w:rPr>
      </w:pPr>
      <w:r>
        <w:rPr>
          <w:rFonts w:ascii="SimSun" w:hAnsi="SimSun" w:eastAsia="SimSun" w:cs="SimSun"/>
          <w:sz w:val="19"/>
          <w:szCs w:val="19"/>
          <w:spacing w:val="11"/>
        </w:rPr>
        <w:t>国际反垄断审查的原则是要追求双赢。即使针对国外垄断企业，</w:t>
      </w:r>
      <w:r>
        <w:rPr>
          <w:rFonts w:ascii="SimSun" w:hAnsi="SimSun" w:eastAsia="SimSun" w:cs="SimSun"/>
          <w:sz w:val="19"/>
          <w:szCs w:val="19"/>
          <w:spacing w:val="6"/>
        </w:rPr>
        <w:t xml:space="preserve"> </w:t>
      </w:r>
      <w:r>
        <w:rPr>
          <w:rFonts w:ascii="SimSun" w:hAnsi="SimSun" w:eastAsia="SimSun" w:cs="SimSun"/>
          <w:sz w:val="19"/>
          <w:szCs w:val="19"/>
          <w:spacing w:val="9"/>
        </w:rPr>
        <w:t>我们也应该与它们开展合作或贸易，而不是直接将其拒之门外。垄断</w:t>
      </w:r>
      <w:r>
        <w:rPr>
          <w:rFonts w:ascii="SimSun" w:hAnsi="SimSun" w:eastAsia="SimSun" w:cs="SimSun"/>
          <w:sz w:val="19"/>
          <w:szCs w:val="19"/>
          <w:spacing w:val="3"/>
        </w:rPr>
        <w:t xml:space="preserve">  </w:t>
      </w:r>
      <w:r>
        <w:rPr>
          <w:rFonts w:ascii="SimSun" w:hAnsi="SimSun" w:eastAsia="SimSun" w:cs="SimSun"/>
          <w:sz w:val="19"/>
          <w:szCs w:val="19"/>
          <w:spacing w:val="9"/>
        </w:rPr>
        <w:t>企业往往也能提供国内所急需的产品或服务，交易仍然是互利的。对</w:t>
      </w:r>
      <w:r>
        <w:rPr>
          <w:rFonts w:ascii="SimSun" w:hAnsi="SimSun" w:eastAsia="SimSun" w:cs="SimSun"/>
          <w:sz w:val="19"/>
          <w:szCs w:val="19"/>
          <w:spacing w:val="3"/>
        </w:rPr>
        <w:t xml:space="preserve">  </w:t>
      </w:r>
      <w:r>
        <w:rPr>
          <w:rFonts w:ascii="SimSun" w:hAnsi="SimSun" w:eastAsia="SimSun" w:cs="SimSun"/>
          <w:sz w:val="19"/>
          <w:szCs w:val="19"/>
          <w:spacing w:val="9"/>
        </w:rPr>
        <w:t>于国际上的兼并与收购案例，如果有损害竞争的嫌疑，那么我国反垄</w:t>
      </w:r>
      <w:r>
        <w:rPr>
          <w:rFonts w:ascii="SimSun" w:hAnsi="SimSun" w:eastAsia="SimSun" w:cs="SimSun"/>
          <w:sz w:val="19"/>
          <w:szCs w:val="19"/>
          <w:spacing w:val="4"/>
        </w:rPr>
        <w:t xml:space="preserve">  </w:t>
      </w:r>
      <w:r>
        <w:rPr>
          <w:rFonts w:ascii="SimSun" w:hAnsi="SimSun" w:eastAsia="SimSun" w:cs="SimSun"/>
          <w:sz w:val="19"/>
          <w:szCs w:val="19"/>
          <w:spacing w:val="9"/>
        </w:rPr>
        <w:t>断机构在审批时需要权衡利弊。如果禁止兼并能够实际阻止垄断性兼</w:t>
      </w:r>
      <w:r>
        <w:rPr>
          <w:rFonts w:ascii="SimSun" w:hAnsi="SimSun" w:eastAsia="SimSun" w:cs="SimSun"/>
          <w:sz w:val="19"/>
          <w:szCs w:val="19"/>
          <w:spacing w:val="3"/>
        </w:rPr>
        <w:t xml:space="preserve">  </w:t>
      </w:r>
      <w:r>
        <w:rPr>
          <w:rFonts w:ascii="SimSun" w:hAnsi="SimSun" w:eastAsia="SimSun" w:cs="SimSun"/>
          <w:sz w:val="19"/>
          <w:szCs w:val="19"/>
          <w:spacing w:val="9"/>
        </w:rPr>
        <w:t>并，那么是最优结果，但如果国外企业会因此退出中国市场，那么我</w:t>
      </w:r>
      <w:r>
        <w:rPr>
          <w:rFonts w:ascii="SimSun" w:hAnsi="SimSun" w:eastAsia="SimSun" w:cs="SimSun"/>
          <w:sz w:val="19"/>
          <w:szCs w:val="19"/>
          <w:spacing w:val="3"/>
        </w:rPr>
        <w:t xml:space="preserve">  </w:t>
      </w:r>
      <w:r>
        <w:rPr>
          <w:rFonts w:ascii="SimSun" w:hAnsi="SimSun" w:eastAsia="SimSun" w:cs="SimSun"/>
          <w:sz w:val="19"/>
          <w:szCs w:val="19"/>
          <w:spacing w:val="9"/>
        </w:rPr>
        <w:t>国经济就可能承担较大损失，因此需要综合考虑。当然，我国是世界</w:t>
      </w:r>
      <w:r>
        <w:rPr>
          <w:rFonts w:ascii="SimSun" w:hAnsi="SimSun" w:eastAsia="SimSun" w:cs="SimSun"/>
          <w:sz w:val="19"/>
          <w:szCs w:val="19"/>
          <w:spacing w:val="3"/>
        </w:rPr>
        <w:t xml:space="preserve">  </w:t>
      </w:r>
      <w:r>
        <w:rPr>
          <w:rFonts w:ascii="SimSun" w:hAnsi="SimSun" w:eastAsia="SimSun" w:cs="SimSun"/>
          <w:sz w:val="19"/>
          <w:szCs w:val="19"/>
          <w:spacing w:val="8"/>
        </w:rPr>
        <w:t>上规模和发展潜力最大的市场之一，大型国外企业一般不会轻易退出</w:t>
      </w:r>
    </w:p>
    <w:p>
      <w:pPr>
        <w:ind w:left="111"/>
        <w:spacing w:line="219" w:lineRule="auto"/>
        <w:rPr>
          <w:rFonts w:ascii="SimSun" w:hAnsi="SimSun" w:eastAsia="SimSun" w:cs="SimSun"/>
          <w:sz w:val="19"/>
          <w:szCs w:val="19"/>
        </w:rPr>
      </w:pPr>
      <w:r>
        <w:rPr>
          <w:rFonts w:ascii="SimSun" w:hAnsi="SimSun" w:eastAsia="SimSun" w:cs="SimSun"/>
          <w:sz w:val="19"/>
          <w:szCs w:val="19"/>
          <w:spacing w:val="3"/>
        </w:rPr>
        <w:t>中国市场。</w:t>
      </w:r>
    </w:p>
    <w:p>
      <w:pPr>
        <w:ind w:left="111" w:right="20" w:firstLine="429"/>
        <w:spacing w:before="154" w:line="340" w:lineRule="auto"/>
        <w:jc w:val="both"/>
        <w:rPr>
          <w:rFonts w:ascii="SimSun" w:hAnsi="SimSun" w:eastAsia="SimSun" w:cs="SimSun"/>
          <w:sz w:val="19"/>
          <w:szCs w:val="19"/>
        </w:rPr>
      </w:pPr>
      <w:r>
        <w:rPr>
          <w:rFonts w:ascii="SimSun" w:hAnsi="SimSun" w:eastAsia="SimSun" w:cs="SimSun"/>
          <w:sz w:val="19"/>
          <w:szCs w:val="19"/>
          <w:spacing w:val="9"/>
        </w:rPr>
        <w:t>数字平台垄断与传统企业垄断的一个重要不同之处在于前者经常</w:t>
      </w:r>
      <w:r>
        <w:rPr>
          <w:rFonts w:ascii="SimSun" w:hAnsi="SimSun" w:eastAsia="SimSun" w:cs="SimSun"/>
          <w:sz w:val="19"/>
          <w:szCs w:val="19"/>
          <w:spacing w:val="17"/>
        </w:rPr>
        <w:t xml:space="preserve"> </w:t>
      </w:r>
      <w:r>
        <w:rPr>
          <w:rFonts w:ascii="SimSun" w:hAnsi="SimSun" w:eastAsia="SimSun" w:cs="SimSun"/>
          <w:sz w:val="19"/>
          <w:szCs w:val="19"/>
          <w:spacing w:val="9"/>
        </w:rPr>
        <w:t>有较大的社会影响力。由于国外平台在我国的</w:t>
      </w:r>
      <w:r>
        <w:rPr>
          <w:rFonts w:ascii="SimSun" w:hAnsi="SimSun" w:eastAsia="SimSun" w:cs="SimSun"/>
          <w:sz w:val="19"/>
          <w:szCs w:val="19"/>
          <w:spacing w:val="8"/>
        </w:rPr>
        <w:t>垄断地位更加可能产生 </w:t>
      </w:r>
      <w:r>
        <w:rPr>
          <w:rFonts w:ascii="SimSun" w:hAnsi="SimSun" w:eastAsia="SimSun" w:cs="SimSun"/>
          <w:sz w:val="19"/>
          <w:szCs w:val="19"/>
          <w:spacing w:val="9"/>
        </w:rPr>
        <w:t>不可控的政治或社会影响，尤其应重视国外平</w:t>
      </w:r>
      <w:r>
        <w:rPr>
          <w:rFonts w:ascii="SimSun" w:hAnsi="SimSun" w:eastAsia="SimSun" w:cs="SimSun"/>
          <w:sz w:val="19"/>
          <w:szCs w:val="19"/>
          <w:spacing w:val="8"/>
        </w:rPr>
        <w:t>台的反垄断工作。另一 </w:t>
      </w:r>
      <w:r>
        <w:rPr>
          <w:rFonts w:ascii="SimSun" w:hAnsi="SimSun" w:eastAsia="SimSun" w:cs="SimSun"/>
          <w:sz w:val="19"/>
          <w:szCs w:val="19"/>
          <w:spacing w:val="2"/>
        </w:rPr>
        <w:t>方面，“己所不欲，勿施于人”,也应督促本国平台在发展</w:t>
      </w:r>
      <w:r>
        <w:rPr>
          <w:rFonts w:ascii="SimSun" w:hAnsi="SimSun" w:eastAsia="SimSun" w:cs="SimSun"/>
          <w:sz w:val="19"/>
          <w:szCs w:val="19"/>
          <w:spacing w:val="1"/>
        </w:rPr>
        <w:t>国际业务时，</w:t>
      </w:r>
    </w:p>
    <w:p>
      <w:pPr>
        <w:ind w:left="111"/>
        <w:spacing w:before="1" w:line="218" w:lineRule="auto"/>
        <w:rPr>
          <w:rFonts w:ascii="SimSun" w:hAnsi="SimSun" w:eastAsia="SimSun" w:cs="SimSun"/>
          <w:sz w:val="19"/>
          <w:szCs w:val="19"/>
        </w:rPr>
      </w:pPr>
      <w:r>
        <w:rPr>
          <w:rFonts w:ascii="SimSun" w:hAnsi="SimSun" w:eastAsia="SimSun" w:cs="SimSun"/>
          <w:sz w:val="19"/>
          <w:szCs w:val="19"/>
          <w:spacing w:val="8"/>
        </w:rPr>
        <w:t>努力避免对当地社会政治生活造成不良影响。</w:t>
      </w:r>
    </w:p>
    <w:p>
      <w:pPr>
        <w:ind w:left="111" w:right="44" w:firstLine="429"/>
        <w:spacing w:before="155" w:line="350" w:lineRule="auto"/>
        <w:jc w:val="both"/>
        <w:rPr>
          <w:rFonts w:ascii="SimSun" w:hAnsi="SimSun" w:eastAsia="SimSun" w:cs="SimSun"/>
          <w:sz w:val="19"/>
          <w:szCs w:val="19"/>
        </w:rPr>
      </w:pPr>
      <w:r>
        <w:rPr>
          <w:rFonts w:ascii="SimSun" w:hAnsi="SimSun" w:eastAsia="SimSun" w:cs="SimSun"/>
          <w:sz w:val="19"/>
          <w:szCs w:val="19"/>
          <w:spacing w:val="9"/>
        </w:rPr>
        <w:t>总之，平台反垄断与规制应该依法依规进行，对国内国外企业一</w:t>
      </w:r>
      <w:r>
        <w:rPr>
          <w:rFonts w:ascii="SimSun" w:hAnsi="SimSun" w:eastAsia="SimSun" w:cs="SimSun"/>
          <w:sz w:val="19"/>
          <w:szCs w:val="19"/>
          <w:spacing w:val="17"/>
        </w:rPr>
        <w:t xml:space="preserve"> </w:t>
      </w:r>
      <w:r>
        <w:rPr>
          <w:rFonts w:ascii="SimSun" w:hAnsi="SimSun" w:eastAsia="SimSun" w:cs="SimSun"/>
          <w:sz w:val="19"/>
          <w:szCs w:val="19"/>
          <w:spacing w:val="9"/>
        </w:rPr>
        <w:t>视同仁，为国际贸易和交流提供保障，但同时也应意识到国外平台垄</w:t>
      </w:r>
      <w:r>
        <w:rPr>
          <w:rFonts w:ascii="SimSun" w:hAnsi="SimSun" w:eastAsia="SimSun" w:cs="SimSun"/>
          <w:sz w:val="19"/>
          <w:szCs w:val="19"/>
          <w:spacing w:val="8"/>
        </w:rPr>
        <w:t xml:space="preserve"> </w:t>
      </w:r>
      <w:r>
        <w:rPr>
          <w:rFonts w:ascii="SimSun" w:hAnsi="SimSun" w:eastAsia="SimSun" w:cs="SimSun"/>
          <w:sz w:val="19"/>
          <w:szCs w:val="19"/>
          <w:spacing w:val="9"/>
        </w:rPr>
        <w:t>断的特殊危害性。应鼓励本国平台通过科技创新，在遵守各国法律的</w:t>
      </w:r>
    </w:p>
    <w:p>
      <w:pPr>
        <w:ind w:left="111"/>
        <w:spacing w:line="219" w:lineRule="auto"/>
        <w:rPr>
          <w:rFonts w:ascii="SimSun" w:hAnsi="SimSun" w:eastAsia="SimSun" w:cs="SimSun"/>
          <w:sz w:val="19"/>
          <w:szCs w:val="19"/>
        </w:rPr>
      </w:pPr>
      <w:r>
        <w:rPr>
          <w:rFonts w:ascii="SimSun" w:hAnsi="SimSun" w:eastAsia="SimSun" w:cs="SimSun"/>
          <w:sz w:val="19"/>
          <w:szCs w:val="19"/>
          <w:spacing w:val="7"/>
        </w:rPr>
        <w:t>前提下，在国际市场上做大做强。</w:t>
      </w:r>
    </w:p>
    <w:p>
      <w:pPr>
        <w:pStyle w:val="BodyText"/>
        <w:spacing w:line="433" w:lineRule="auto"/>
        <w:rPr/>
      </w:pPr>
      <w:r/>
    </w:p>
    <w:p>
      <w:pPr>
        <w:spacing w:before="75" w:line="221" w:lineRule="auto"/>
        <w:rPr>
          <w:rFonts w:ascii="SimHei" w:hAnsi="SimHei" w:eastAsia="SimHei" w:cs="SimHei"/>
          <w:sz w:val="23"/>
          <w:szCs w:val="23"/>
        </w:rPr>
      </w:pPr>
      <w:r>
        <w:rPr>
          <w:rFonts w:ascii="SimHei" w:hAnsi="SimHei" w:eastAsia="SimHei" w:cs="SimHei"/>
          <w:sz w:val="23"/>
          <w:szCs w:val="23"/>
          <w:b/>
          <w:bCs/>
          <w:spacing w:val="5"/>
        </w:rPr>
        <w:t>“生态系统”:平台垄断的一种新形式</w:t>
      </w:r>
    </w:p>
    <w:p>
      <w:pPr>
        <w:pStyle w:val="BodyText"/>
        <w:spacing w:line="374" w:lineRule="auto"/>
        <w:rPr/>
      </w:pPr>
      <w:r/>
    </w:p>
    <w:p>
      <w:pPr>
        <w:ind w:left="541"/>
        <w:spacing w:before="62" w:line="219" w:lineRule="auto"/>
        <w:rPr>
          <w:rFonts w:ascii="SimSun" w:hAnsi="SimSun" w:eastAsia="SimSun" w:cs="SimSun"/>
          <w:sz w:val="19"/>
          <w:szCs w:val="19"/>
        </w:rPr>
      </w:pPr>
      <w:r>
        <w:rPr>
          <w:rFonts w:ascii="SimSun" w:hAnsi="SimSun" w:eastAsia="SimSun" w:cs="SimSun"/>
          <w:sz w:val="19"/>
          <w:szCs w:val="19"/>
          <w:spacing w:val="9"/>
        </w:rPr>
        <w:t>平台企业可能以流量控制为杠杆，建立以平台基础服务为中心的</w:t>
      </w:r>
    </w:p>
    <w:p>
      <w:pPr>
        <w:spacing w:line="219" w:lineRule="auto"/>
        <w:sectPr>
          <w:headerReference w:type="default" r:id="rId363"/>
          <w:pgSz w:w="7330" w:h="12480"/>
          <w:pgMar w:top="519" w:right="474" w:bottom="400" w:left="678" w:header="355" w:footer="0" w:gutter="0"/>
        </w:sectPr>
        <w:rPr>
          <w:rFonts w:ascii="SimSun" w:hAnsi="SimSun" w:eastAsia="SimSun" w:cs="SimSun"/>
          <w:sz w:val="19"/>
          <w:szCs w:val="19"/>
        </w:rPr>
      </w:pPr>
    </w:p>
    <w:p>
      <w:pPr>
        <w:pStyle w:val="BodyText"/>
        <w:spacing w:line="247" w:lineRule="auto"/>
        <w:rPr/>
      </w:pPr>
      <w:r>
        <w:drawing>
          <wp:anchor distT="0" distB="0" distL="0" distR="0" simplePos="0" relativeHeight="254785536" behindDoc="0" locked="0" layoutInCell="0" allowOverlap="1">
            <wp:simplePos x="0" y="0"/>
            <wp:positionH relativeFrom="page">
              <wp:posOffset>323863</wp:posOffset>
            </wp:positionH>
            <wp:positionV relativeFrom="page">
              <wp:posOffset>5981713</wp:posOffset>
            </wp:positionV>
            <wp:extent cx="1174715" cy="6350"/>
            <wp:effectExtent l="0" t="0" r="0" b="0"/>
            <wp:wrapNone/>
            <wp:docPr id="250" name="IM 250"/>
            <wp:cNvGraphicFramePr/>
            <a:graphic>
              <a:graphicData uri="http://schemas.openxmlformats.org/drawingml/2006/picture">
                <pic:pic>
                  <pic:nvPicPr>
                    <pic:cNvPr id="250" name="IM 250"/>
                    <pic:cNvPicPr/>
                  </pic:nvPicPr>
                  <pic:blipFill>
                    <a:blip r:embed="rId365"/>
                    <a:stretch>
                      <a:fillRect/>
                    </a:stretch>
                  </pic:blipFill>
                  <pic:spPr>
                    <a:xfrm rot="0">
                      <a:off x="0" y="0"/>
                      <a:ext cx="1174715" cy="6350"/>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8" w:lineRule="auto"/>
        <w:rPr/>
      </w:pPr>
      <w:r/>
    </w:p>
    <w:p>
      <w:pPr>
        <w:ind w:right="94"/>
        <w:spacing w:before="68" w:line="292" w:lineRule="auto"/>
        <w:jc w:val="both"/>
        <w:rPr>
          <w:rFonts w:ascii="SimSun" w:hAnsi="SimSun" w:eastAsia="SimSun" w:cs="SimSun"/>
          <w:sz w:val="21"/>
          <w:szCs w:val="21"/>
        </w:rPr>
      </w:pPr>
      <w:r>
        <w:rPr>
          <w:rFonts w:ascii="SimSun" w:hAnsi="SimSun" w:eastAsia="SimSun" w:cs="SimSun"/>
          <w:sz w:val="21"/>
          <w:szCs w:val="21"/>
          <w:spacing w:val="-11"/>
        </w:rPr>
        <w:t>商业体系，其中各个子系统相互支持配合，</w:t>
      </w:r>
      <w:r>
        <w:rPr>
          <w:rFonts w:ascii="SimSun" w:hAnsi="SimSun" w:eastAsia="SimSun" w:cs="SimSun"/>
          <w:sz w:val="21"/>
          <w:szCs w:val="21"/>
          <w:spacing w:val="-12"/>
        </w:rPr>
        <w:t>形成复杂的利益格局。传</w:t>
      </w:r>
      <w:r>
        <w:rPr>
          <w:rFonts w:ascii="SimSun" w:hAnsi="SimSun" w:eastAsia="SimSun" w:cs="SimSun"/>
          <w:sz w:val="21"/>
          <w:szCs w:val="21"/>
        </w:rPr>
        <w:t xml:space="preserve"> </w:t>
      </w:r>
      <w:r>
        <w:rPr>
          <w:rFonts w:ascii="SimSun" w:hAnsi="SimSun" w:eastAsia="SimSun" w:cs="SimSun"/>
          <w:sz w:val="21"/>
          <w:szCs w:val="21"/>
          <w:spacing w:val="-11"/>
        </w:rPr>
        <w:t>统反垄断理论在“生态系统”型垄断方面的论述相对比较薄弱，需要</w:t>
      </w:r>
      <w:r>
        <w:rPr>
          <w:rFonts w:ascii="SimSun" w:hAnsi="SimSun" w:eastAsia="SimSun" w:cs="SimSun"/>
          <w:sz w:val="21"/>
          <w:szCs w:val="21"/>
          <w:spacing w:val="9"/>
        </w:rPr>
        <w:t xml:space="preserve"> </w:t>
      </w:r>
      <w:r>
        <w:rPr>
          <w:rFonts w:ascii="SimSun" w:hAnsi="SimSun" w:eastAsia="SimSun" w:cs="SimSun"/>
          <w:sz w:val="21"/>
          <w:szCs w:val="21"/>
          <w:spacing w:val="-11"/>
        </w:rPr>
        <w:t>进一步研究。我们认为，所谓生态系统可能是数字平台在基础业务上</w:t>
      </w:r>
      <w:r>
        <w:rPr>
          <w:rFonts w:ascii="SimSun" w:hAnsi="SimSun" w:eastAsia="SimSun" w:cs="SimSun"/>
          <w:sz w:val="21"/>
          <w:szCs w:val="21"/>
          <w:spacing w:val="7"/>
        </w:rPr>
        <w:t xml:space="preserve"> </w:t>
      </w:r>
      <w:r>
        <w:rPr>
          <w:rFonts w:ascii="SimSun" w:hAnsi="SimSun" w:eastAsia="SimSun" w:cs="SimSun"/>
          <w:sz w:val="21"/>
          <w:szCs w:val="21"/>
          <w:spacing w:val="-13"/>
        </w:rPr>
        <w:t>的垄断力量向多领域延伸的表现。</w:t>
      </w:r>
    </w:p>
    <w:p>
      <w:pPr>
        <w:ind w:firstLine="420"/>
        <w:spacing w:before="117" w:line="303" w:lineRule="auto"/>
        <w:jc w:val="both"/>
        <w:rPr>
          <w:rFonts w:ascii="SimSun" w:hAnsi="SimSun" w:eastAsia="SimSun" w:cs="SimSun"/>
          <w:sz w:val="21"/>
          <w:szCs w:val="21"/>
        </w:rPr>
      </w:pPr>
      <w:r>
        <w:rPr>
          <w:rFonts w:ascii="SimSun" w:hAnsi="SimSun" w:eastAsia="SimSun" w:cs="SimSun"/>
          <w:sz w:val="21"/>
          <w:szCs w:val="21"/>
          <w:spacing w:val="-11"/>
        </w:rPr>
        <w:t>一个生态系统首先是一个企业集团，内部的各个企业之间存在复 </w:t>
      </w:r>
      <w:r>
        <w:rPr>
          <w:rFonts w:ascii="SimSun" w:hAnsi="SimSun" w:eastAsia="SimSun" w:cs="SimSun"/>
          <w:sz w:val="21"/>
          <w:szCs w:val="21"/>
          <w:spacing w:val="-10"/>
        </w:rPr>
        <w:t>杂的股权或合约关系，但是从产品角度看，</w:t>
      </w:r>
      <w:r>
        <w:rPr>
          <w:rFonts w:ascii="SimSun" w:hAnsi="SimSun" w:eastAsia="SimSun" w:cs="SimSun"/>
          <w:sz w:val="21"/>
          <w:szCs w:val="21"/>
          <w:spacing w:val="-11"/>
        </w:rPr>
        <w:t>经常不具有竞争关系，因</w:t>
      </w:r>
      <w:r>
        <w:rPr>
          <w:rFonts w:ascii="SimSun" w:hAnsi="SimSun" w:eastAsia="SimSun" w:cs="SimSun"/>
          <w:sz w:val="21"/>
          <w:szCs w:val="21"/>
        </w:rPr>
        <w:t xml:space="preserve"> </w:t>
      </w:r>
      <w:r>
        <w:rPr>
          <w:rFonts w:ascii="SimSun" w:hAnsi="SimSun" w:eastAsia="SimSun" w:cs="SimSun"/>
          <w:sz w:val="21"/>
          <w:szCs w:val="21"/>
          <w:spacing w:val="-11"/>
        </w:rPr>
        <w:t>此从传统理论的角度看，并没有垄断方面的问题。但是，企业之间的</w:t>
      </w:r>
      <w:r>
        <w:rPr>
          <w:rFonts w:ascii="SimSun" w:hAnsi="SimSun" w:eastAsia="SimSun" w:cs="SimSun"/>
          <w:sz w:val="21"/>
          <w:szCs w:val="21"/>
          <w:spacing w:val="7"/>
        </w:rPr>
        <w:t xml:space="preserve">  </w:t>
      </w:r>
      <w:r>
        <w:rPr>
          <w:rFonts w:ascii="SimSun" w:hAnsi="SimSun" w:eastAsia="SimSun" w:cs="SimSun"/>
          <w:sz w:val="21"/>
          <w:szCs w:val="21"/>
          <w:spacing w:val="-8"/>
        </w:rPr>
        <w:t>关系其实远比传统理论描述的复杂，许多看似“互补”的产品关系，</w:t>
      </w:r>
      <w:r>
        <w:rPr>
          <w:rFonts w:ascii="SimSun" w:hAnsi="SimSun" w:eastAsia="SimSun" w:cs="SimSun"/>
          <w:sz w:val="21"/>
          <w:szCs w:val="21"/>
          <w:spacing w:val="14"/>
        </w:rPr>
        <w:t xml:space="preserve"> </w:t>
      </w:r>
      <w:r>
        <w:rPr>
          <w:rFonts w:ascii="SimSun" w:hAnsi="SimSun" w:eastAsia="SimSun" w:cs="SimSun"/>
          <w:sz w:val="21"/>
          <w:szCs w:val="21"/>
          <w:spacing w:val="-11"/>
        </w:rPr>
        <w:t>其中可能也存在“替代”的成分。①一个生态系统过于庞大，也可能</w:t>
      </w:r>
      <w:r>
        <w:rPr>
          <w:rFonts w:ascii="SimSun" w:hAnsi="SimSun" w:eastAsia="SimSun" w:cs="SimSun"/>
          <w:sz w:val="21"/>
          <w:szCs w:val="21"/>
          <w:spacing w:val="4"/>
        </w:rPr>
        <w:t xml:space="preserve">  </w:t>
      </w:r>
      <w:r>
        <w:rPr>
          <w:rFonts w:ascii="SimSun" w:hAnsi="SimSun" w:eastAsia="SimSun" w:cs="SimSun"/>
          <w:sz w:val="21"/>
          <w:szCs w:val="21"/>
          <w:spacing w:val="-10"/>
        </w:rPr>
        <w:t>对竞争产生影响。与传统企业集团相比，数字平台生态系统的内部联 </w:t>
      </w:r>
      <w:r>
        <w:rPr>
          <w:rFonts w:ascii="SimSun" w:hAnsi="SimSun" w:eastAsia="SimSun" w:cs="SimSun"/>
          <w:sz w:val="21"/>
          <w:szCs w:val="21"/>
          <w:spacing w:val="-14"/>
        </w:rPr>
        <w:t>系可能更为复杂。</w:t>
      </w:r>
    </w:p>
    <w:p>
      <w:pPr>
        <w:ind w:right="60" w:firstLine="420"/>
        <w:spacing w:before="111" w:line="285" w:lineRule="auto"/>
        <w:jc w:val="both"/>
        <w:rPr>
          <w:rFonts w:ascii="SimSun" w:hAnsi="SimSun" w:eastAsia="SimSun" w:cs="SimSun"/>
          <w:sz w:val="21"/>
          <w:szCs w:val="21"/>
        </w:rPr>
      </w:pPr>
      <w:r>
        <w:rPr>
          <w:rFonts w:ascii="SimSun" w:hAnsi="SimSun" w:eastAsia="SimSun" w:cs="SimSun"/>
          <w:sz w:val="21"/>
          <w:szCs w:val="21"/>
          <w:spacing w:val="-10"/>
        </w:rPr>
        <w:t>首先，如果消费者通过一个数字平台的账户就可</w:t>
      </w:r>
      <w:r>
        <w:rPr>
          <w:rFonts w:ascii="SimSun" w:hAnsi="SimSun" w:eastAsia="SimSun" w:cs="SimSun"/>
          <w:sz w:val="21"/>
          <w:szCs w:val="21"/>
          <w:spacing w:val="-11"/>
        </w:rPr>
        <w:t>以无障碍地使用</w:t>
      </w:r>
      <w:r>
        <w:rPr>
          <w:rFonts w:ascii="SimSun" w:hAnsi="SimSun" w:eastAsia="SimSun" w:cs="SimSun"/>
          <w:sz w:val="21"/>
          <w:szCs w:val="21"/>
        </w:rPr>
        <w:t xml:space="preserve"> </w:t>
      </w:r>
      <w:r>
        <w:rPr>
          <w:rFonts w:ascii="SimSun" w:hAnsi="SimSun" w:eastAsia="SimSun" w:cs="SimSun"/>
          <w:sz w:val="21"/>
          <w:szCs w:val="21"/>
          <w:spacing w:val="-10"/>
        </w:rPr>
        <w:t>多种不同的服务，包括购物、支付、借贷、出行、办公、娱乐等，那</w:t>
      </w:r>
      <w:r>
        <w:rPr>
          <w:rFonts w:ascii="SimSun" w:hAnsi="SimSun" w:eastAsia="SimSun" w:cs="SimSun"/>
          <w:sz w:val="21"/>
          <w:szCs w:val="21"/>
          <w:spacing w:val="3"/>
        </w:rPr>
        <w:t xml:space="preserve"> </w:t>
      </w:r>
      <w:r>
        <w:rPr>
          <w:rFonts w:ascii="SimSun" w:hAnsi="SimSun" w:eastAsia="SimSun" w:cs="SimSun"/>
          <w:sz w:val="21"/>
          <w:szCs w:val="21"/>
          <w:spacing w:val="-11"/>
        </w:rPr>
        <w:t>么的确可能享有一定的便利，因而会对平台的“生态系统”形成较强</w:t>
      </w:r>
      <w:r>
        <w:rPr>
          <w:rFonts w:ascii="SimSun" w:hAnsi="SimSun" w:eastAsia="SimSun" w:cs="SimSun"/>
          <w:sz w:val="21"/>
          <w:szCs w:val="21"/>
          <w:spacing w:val="9"/>
        </w:rPr>
        <w:t xml:space="preserve"> </w:t>
      </w:r>
      <w:r>
        <w:rPr>
          <w:rFonts w:ascii="SimSun" w:hAnsi="SimSun" w:eastAsia="SimSun" w:cs="SimSun"/>
          <w:sz w:val="21"/>
          <w:szCs w:val="21"/>
          <w:spacing w:val="-12"/>
        </w:rPr>
        <w:t>的依赖，这个现象巩固了平台的市场地位。</w:t>
      </w:r>
    </w:p>
    <w:p>
      <w:pPr>
        <w:ind w:right="68" w:firstLine="420"/>
        <w:spacing w:before="140" w:line="286" w:lineRule="auto"/>
        <w:jc w:val="both"/>
        <w:rPr>
          <w:rFonts w:ascii="SimSun" w:hAnsi="SimSun" w:eastAsia="SimSun" w:cs="SimSun"/>
          <w:sz w:val="21"/>
          <w:szCs w:val="21"/>
        </w:rPr>
      </w:pPr>
      <w:r>
        <w:rPr>
          <w:rFonts w:ascii="SimSun" w:hAnsi="SimSun" w:eastAsia="SimSun" w:cs="SimSun"/>
          <w:sz w:val="21"/>
          <w:szCs w:val="21"/>
          <w:spacing w:val="-11"/>
        </w:rPr>
        <w:t>其次，生态系统内的企业可能具有较强的相互依赖关系，它们相</w:t>
      </w:r>
      <w:r>
        <w:rPr>
          <w:rFonts w:ascii="SimSun" w:hAnsi="SimSun" w:eastAsia="SimSun" w:cs="SimSun"/>
          <w:sz w:val="21"/>
          <w:szCs w:val="21"/>
          <w:spacing w:val="13"/>
        </w:rPr>
        <w:t xml:space="preserve"> </w:t>
      </w:r>
      <w:r>
        <w:rPr>
          <w:rFonts w:ascii="SimSun" w:hAnsi="SimSun" w:eastAsia="SimSun" w:cs="SimSun"/>
          <w:sz w:val="21"/>
          <w:szCs w:val="21"/>
          <w:spacing w:val="-16"/>
        </w:rPr>
        <w:t>互提供客源、资金、技术、渠道等各种生产要素，</w:t>
      </w:r>
      <w:r>
        <w:rPr>
          <w:rFonts w:ascii="SimSun" w:hAnsi="SimSun" w:eastAsia="SimSun" w:cs="SimSun"/>
          <w:sz w:val="21"/>
          <w:szCs w:val="21"/>
          <w:spacing w:val="55"/>
        </w:rPr>
        <w:t xml:space="preserve"> </w:t>
      </w:r>
      <w:r>
        <w:rPr>
          <w:rFonts w:ascii="SimSun" w:hAnsi="SimSun" w:eastAsia="SimSun" w:cs="SimSun"/>
          <w:sz w:val="21"/>
          <w:szCs w:val="21"/>
          <w:spacing w:val="-16"/>
        </w:rPr>
        <w:t>一旦脱离体系的支</w:t>
      </w:r>
      <w:r>
        <w:rPr>
          <w:rFonts w:ascii="SimSun" w:hAnsi="SimSun" w:eastAsia="SimSun" w:cs="SimSun"/>
          <w:sz w:val="21"/>
          <w:szCs w:val="21"/>
        </w:rPr>
        <w:t xml:space="preserve"> </w:t>
      </w:r>
      <w:r>
        <w:rPr>
          <w:rFonts w:ascii="SimSun" w:hAnsi="SimSun" w:eastAsia="SimSun" w:cs="SimSun"/>
          <w:sz w:val="21"/>
          <w:szCs w:val="21"/>
          <w:spacing w:val="-11"/>
        </w:rPr>
        <w:t>持，单个企业就难以生存。因此作为生态系统的中心，数字平台对系</w:t>
      </w:r>
      <w:r>
        <w:rPr>
          <w:rFonts w:ascii="SimSun" w:hAnsi="SimSun" w:eastAsia="SimSun" w:cs="SimSun"/>
          <w:sz w:val="21"/>
          <w:szCs w:val="21"/>
          <w:spacing w:val="17"/>
        </w:rPr>
        <w:t xml:space="preserve"> </w:t>
      </w:r>
      <w:r>
        <w:rPr>
          <w:rFonts w:ascii="SimSun" w:hAnsi="SimSun" w:eastAsia="SimSun" w:cs="SimSun"/>
          <w:sz w:val="21"/>
          <w:szCs w:val="21"/>
          <w:spacing w:val="-7"/>
        </w:rPr>
        <w:t>统内企业有较强的控制力，能够实现协同行动。</w:t>
      </w:r>
    </w:p>
    <w:p>
      <w:pPr>
        <w:ind w:left="420"/>
        <w:spacing w:before="139" w:line="219" w:lineRule="auto"/>
        <w:rPr>
          <w:rFonts w:ascii="SimSun" w:hAnsi="SimSun" w:eastAsia="SimSun" w:cs="SimSun"/>
          <w:sz w:val="21"/>
          <w:szCs w:val="21"/>
        </w:rPr>
      </w:pPr>
      <w:r>
        <w:rPr>
          <w:rFonts w:ascii="SimSun" w:hAnsi="SimSun" w:eastAsia="SimSun" w:cs="SimSun"/>
          <w:sz w:val="21"/>
          <w:szCs w:val="21"/>
          <w:spacing w:val="-11"/>
        </w:rPr>
        <w:t>再次，大型科技平台经常通过收购兼并的方式，消灭将来可能对</w:t>
      </w:r>
    </w:p>
    <w:p>
      <w:pPr>
        <w:pStyle w:val="BodyText"/>
        <w:spacing w:line="288" w:lineRule="auto"/>
        <w:rPr/>
      </w:pPr>
      <w:r/>
    </w:p>
    <w:p>
      <w:pPr>
        <w:pStyle w:val="BodyText"/>
        <w:spacing w:line="288" w:lineRule="auto"/>
        <w:rPr/>
      </w:pPr>
      <w:r/>
    </w:p>
    <w:p>
      <w:pPr>
        <w:spacing w:before="52" w:line="212" w:lineRule="auto"/>
        <w:rPr>
          <w:rFonts w:ascii="Times New Roman" w:hAnsi="Times New Roman" w:eastAsia="Times New Roman" w:cs="Times New Roman"/>
          <w:sz w:val="16"/>
          <w:szCs w:val="16"/>
        </w:rPr>
      </w:pPr>
      <w:r>
        <w:rPr>
          <w:rFonts w:ascii="SimSun" w:hAnsi="SimSun" w:eastAsia="SimSun" w:cs="SimSun"/>
          <w:sz w:val="16"/>
          <w:szCs w:val="16"/>
          <w:spacing w:val="1"/>
        </w:rPr>
        <w:t>①  </w:t>
      </w:r>
      <w:r>
        <w:rPr>
          <w:rFonts w:ascii="Times New Roman" w:hAnsi="Times New Roman" w:eastAsia="Times New Roman" w:cs="Times New Roman"/>
          <w:sz w:val="16"/>
          <w:szCs w:val="16"/>
        </w:rPr>
        <w:t>Wang</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Hao</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Integration</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Complementary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Multiproduct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Firms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Review</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Law</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1"/>
        </w:rPr>
        <w:t>&amp;</w:t>
      </w:r>
    </w:p>
    <w:p>
      <w:pPr>
        <w:ind w:left="318"/>
        <w:spacing w:before="103" w:line="216" w:lineRule="auto"/>
        <w:rPr>
          <w:rFonts w:ascii="SimSun" w:hAnsi="SimSun" w:eastAsia="SimSun" w:cs="SimSun"/>
          <w:sz w:val="16"/>
          <w:szCs w:val="16"/>
        </w:rPr>
      </w:pPr>
      <w:r>
        <w:rPr>
          <w:rFonts w:ascii="SimSun" w:hAnsi="SimSun" w:eastAsia="SimSun" w:cs="SimSun"/>
          <w:sz w:val="16"/>
          <w:szCs w:val="16"/>
          <w:i/>
          <w:iCs/>
          <w:spacing w:val="-2"/>
        </w:rPr>
        <w:t>Economics,2021,17(3):647-</w:t>
      </w:r>
      <w:r>
        <w:rPr>
          <w:rFonts w:ascii="SimSun" w:hAnsi="SimSun" w:eastAsia="SimSun" w:cs="SimSun"/>
          <w:sz w:val="16"/>
          <w:szCs w:val="16"/>
          <w:i/>
          <w:iCs/>
          <w:spacing w:val="-3"/>
        </w:rPr>
        <w:t>655.</w:t>
      </w:r>
    </w:p>
    <w:p>
      <w:pPr>
        <w:ind w:left="319" w:right="5" w:hanging="319"/>
        <w:spacing w:before="100" w:line="302" w:lineRule="auto"/>
        <w:rPr>
          <w:rFonts w:ascii="KaiTi" w:hAnsi="KaiTi" w:eastAsia="KaiTi" w:cs="KaiTi"/>
          <w:sz w:val="16"/>
          <w:szCs w:val="16"/>
        </w:rPr>
      </w:pPr>
      <w:r>
        <w:rPr>
          <w:rFonts w:ascii="KaiTi" w:hAnsi="KaiTi" w:eastAsia="KaiTi" w:cs="KaiTi"/>
          <w:sz w:val="16"/>
          <w:szCs w:val="16"/>
          <w:spacing w:val="3"/>
        </w:rPr>
        <w:t>②</w:t>
      </w:r>
      <w:r>
        <w:rPr>
          <w:rFonts w:ascii="KaiTi" w:hAnsi="KaiTi" w:eastAsia="KaiTi" w:cs="KaiTi"/>
          <w:sz w:val="16"/>
          <w:szCs w:val="16"/>
          <w:spacing w:val="46"/>
        </w:rPr>
        <w:t xml:space="preserve"> </w:t>
      </w:r>
      <w:r>
        <w:rPr>
          <w:rFonts w:ascii="KaiTi" w:hAnsi="KaiTi" w:eastAsia="KaiTi" w:cs="KaiTi"/>
          <w:sz w:val="16"/>
          <w:szCs w:val="16"/>
          <w:spacing w:val="3"/>
        </w:rPr>
        <w:t>平台总部干预系统内企业经营的机制有多种。第一，平台作为股东可</w:t>
      </w:r>
      <w:r>
        <w:rPr>
          <w:rFonts w:ascii="KaiTi" w:hAnsi="KaiTi" w:eastAsia="KaiTi" w:cs="KaiTi"/>
          <w:sz w:val="16"/>
          <w:szCs w:val="16"/>
          <w:spacing w:val="2"/>
        </w:rPr>
        <w:t>以在董事会</w:t>
      </w:r>
      <w:r>
        <w:rPr>
          <w:rFonts w:ascii="KaiTi" w:hAnsi="KaiTi" w:eastAsia="KaiTi" w:cs="KaiTi"/>
          <w:sz w:val="16"/>
          <w:szCs w:val="16"/>
        </w:rPr>
        <w:t xml:space="preserve">  </w:t>
      </w:r>
      <w:r>
        <w:rPr>
          <w:rFonts w:ascii="KaiTi" w:hAnsi="KaiTi" w:eastAsia="KaiTi" w:cs="KaiTi"/>
          <w:sz w:val="16"/>
          <w:szCs w:val="16"/>
        </w:rPr>
        <w:t>主张自身的权益；第二，平台可以通过影响企业高管的</w:t>
      </w:r>
      <w:r>
        <w:rPr>
          <w:rFonts w:ascii="KaiTi" w:hAnsi="KaiTi" w:eastAsia="KaiTi" w:cs="KaiTi"/>
          <w:sz w:val="16"/>
          <w:szCs w:val="16"/>
          <w:spacing w:val="-1"/>
        </w:rPr>
        <w:t>任命影响企业经营；第三，</w:t>
      </w:r>
      <w:r>
        <w:rPr>
          <w:rFonts w:ascii="KaiTi" w:hAnsi="KaiTi" w:eastAsia="KaiTi" w:cs="KaiTi"/>
          <w:sz w:val="16"/>
          <w:szCs w:val="16"/>
        </w:rPr>
        <w:t xml:space="preserve"> </w:t>
      </w:r>
      <w:r>
        <w:rPr>
          <w:rFonts w:ascii="KaiTi" w:hAnsi="KaiTi" w:eastAsia="KaiTi" w:cs="KaiTi"/>
          <w:sz w:val="16"/>
          <w:szCs w:val="16"/>
          <w:spacing w:val="2"/>
        </w:rPr>
        <w:t>考虑到平台的巨大影响力，系统内企业配合总部的整体策略，对自身也可能是有</w:t>
      </w:r>
      <w:r>
        <w:rPr>
          <w:rFonts w:ascii="KaiTi" w:hAnsi="KaiTi" w:eastAsia="KaiTi" w:cs="KaiTi"/>
          <w:sz w:val="16"/>
          <w:szCs w:val="16"/>
          <w:spacing w:val="4"/>
        </w:rPr>
        <w:t xml:space="preserve">  </w:t>
      </w:r>
      <w:r>
        <w:rPr>
          <w:rFonts w:ascii="KaiTi" w:hAnsi="KaiTi" w:eastAsia="KaiTi" w:cs="KaiTi"/>
          <w:sz w:val="16"/>
          <w:szCs w:val="16"/>
          <w:spacing w:val="2"/>
        </w:rPr>
        <w:t>利的。如果平台作为大股东，通过影响企业行为损害小股东利益，那么可能存在</w:t>
      </w:r>
      <w:r>
        <w:rPr>
          <w:rFonts w:ascii="KaiTi" w:hAnsi="KaiTi" w:eastAsia="KaiTi" w:cs="KaiTi"/>
          <w:sz w:val="16"/>
          <w:szCs w:val="16"/>
          <w:spacing w:val="4"/>
        </w:rPr>
        <w:t xml:space="preserve">  </w:t>
      </w:r>
      <w:r>
        <w:rPr>
          <w:rFonts w:ascii="KaiTi" w:hAnsi="KaiTi" w:eastAsia="KaiTi" w:cs="KaiTi"/>
          <w:sz w:val="16"/>
          <w:szCs w:val="16"/>
          <w:spacing w:val="-2"/>
        </w:rPr>
        <w:t>一定法律问题，但是这个行为经常难以查处。</w:t>
      </w:r>
    </w:p>
    <w:p>
      <w:pPr>
        <w:spacing w:line="302" w:lineRule="auto"/>
        <w:sectPr>
          <w:headerReference w:type="default" r:id="rId364"/>
          <w:pgSz w:w="7330" w:h="12480"/>
          <w:pgMar w:top="805" w:right="744" w:bottom="400" w:left="510" w:header="642" w:footer="0" w:gutter="0"/>
        </w:sectPr>
        <w:rPr>
          <w:rFonts w:ascii="KaiTi" w:hAnsi="KaiTi" w:eastAsia="KaiTi" w:cs="KaiTi"/>
          <w:sz w:val="16"/>
          <w:szCs w:val="16"/>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175"/>
        <w:spacing w:before="68" w:line="297" w:lineRule="auto"/>
        <w:jc w:val="both"/>
        <w:rPr>
          <w:rFonts w:ascii="SimSun" w:hAnsi="SimSun" w:eastAsia="SimSun" w:cs="SimSun"/>
          <w:sz w:val="21"/>
          <w:szCs w:val="21"/>
        </w:rPr>
      </w:pPr>
      <w:r>
        <w:rPr>
          <w:rFonts w:ascii="SimSun" w:hAnsi="SimSun" w:eastAsia="SimSun" w:cs="SimSun"/>
          <w:sz w:val="21"/>
          <w:szCs w:val="21"/>
          <w:spacing w:val="-11"/>
        </w:rPr>
        <w:t>自己构成威胁的新兴企业或技术。潜在竞争者</w:t>
      </w:r>
      <w:r>
        <w:rPr>
          <w:rFonts w:ascii="SimSun" w:hAnsi="SimSun" w:eastAsia="SimSun" w:cs="SimSun"/>
          <w:sz w:val="21"/>
          <w:szCs w:val="21"/>
          <w:spacing w:val="-12"/>
        </w:rPr>
        <w:t>被收购后，要么为平台</w:t>
      </w:r>
      <w:r>
        <w:rPr>
          <w:rFonts w:ascii="SimSun" w:hAnsi="SimSun" w:eastAsia="SimSun" w:cs="SimSun"/>
          <w:sz w:val="21"/>
          <w:szCs w:val="21"/>
        </w:rPr>
        <w:t xml:space="preserve"> </w:t>
      </w:r>
      <w:r>
        <w:rPr>
          <w:rFonts w:ascii="SimSun" w:hAnsi="SimSun" w:eastAsia="SimSun" w:cs="SimSun"/>
          <w:sz w:val="21"/>
          <w:szCs w:val="21"/>
          <w:spacing w:val="-15"/>
        </w:rPr>
        <w:t>所用，要么被“雪藏”。因此，</w:t>
      </w:r>
      <w:r>
        <w:rPr>
          <w:rFonts w:ascii="SimSun" w:hAnsi="SimSun" w:eastAsia="SimSun" w:cs="SimSun"/>
          <w:sz w:val="21"/>
          <w:szCs w:val="21"/>
          <w:spacing w:val="51"/>
        </w:rPr>
        <w:t xml:space="preserve"> </w:t>
      </w:r>
      <w:r>
        <w:rPr>
          <w:rFonts w:ascii="SimSun" w:hAnsi="SimSun" w:eastAsia="SimSun" w:cs="SimSun"/>
          <w:sz w:val="21"/>
          <w:szCs w:val="21"/>
          <w:spacing w:val="-15"/>
        </w:rPr>
        <w:t>一个被收购的初创企业在平台体系内</w:t>
      </w:r>
      <w:r>
        <w:rPr>
          <w:rFonts w:ascii="SimSun" w:hAnsi="SimSun" w:eastAsia="SimSun" w:cs="SimSun"/>
          <w:sz w:val="21"/>
          <w:szCs w:val="21"/>
        </w:rPr>
        <w:t xml:space="preserve"> </w:t>
      </w:r>
      <w:r>
        <w:rPr>
          <w:rFonts w:ascii="SimSun" w:hAnsi="SimSun" w:eastAsia="SimSun" w:cs="SimSun"/>
          <w:sz w:val="21"/>
          <w:szCs w:val="21"/>
          <w:spacing w:val="-11"/>
        </w:rPr>
        <w:t>发展不好，不一定代表平台的投资是失败的。这种通过收购限制竞争</w:t>
      </w:r>
      <w:r>
        <w:rPr>
          <w:rFonts w:ascii="SimSun" w:hAnsi="SimSun" w:eastAsia="SimSun" w:cs="SimSun"/>
          <w:sz w:val="21"/>
          <w:szCs w:val="21"/>
          <w:spacing w:val="17"/>
        </w:rPr>
        <w:t xml:space="preserve"> </w:t>
      </w:r>
      <w:r>
        <w:rPr>
          <w:rFonts w:ascii="SimSun" w:hAnsi="SimSun" w:eastAsia="SimSun" w:cs="SimSun"/>
          <w:sz w:val="21"/>
          <w:szCs w:val="21"/>
          <w:spacing w:val="-11"/>
        </w:rPr>
        <w:t>的现象不利于科技进步。不过，大型平台的频繁收购也为民间创新提</w:t>
      </w:r>
      <w:r>
        <w:rPr>
          <w:rFonts w:ascii="SimSun" w:hAnsi="SimSun" w:eastAsia="SimSun" w:cs="SimSun"/>
          <w:sz w:val="21"/>
          <w:szCs w:val="21"/>
          <w:spacing w:val="17"/>
        </w:rPr>
        <w:t xml:space="preserve"> </w:t>
      </w:r>
      <w:r>
        <w:rPr>
          <w:rFonts w:ascii="SimSun" w:hAnsi="SimSun" w:eastAsia="SimSun" w:cs="SimSun"/>
          <w:sz w:val="21"/>
          <w:szCs w:val="21"/>
          <w:spacing w:val="-10"/>
        </w:rPr>
        <w:t>供了大量资金，这是值得肯定的一面。</w:t>
      </w:r>
    </w:p>
    <w:p>
      <w:pPr>
        <w:ind w:firstLine="430"/>
        <w:spacing w:before="131" w:line="293" w:lineRule="auto"/>
        <w:jc w:val="both"/>
        <w:rPr>
          <w:rFonts w:ascii="SimSun" w:hAnsi="SimSun" w:eastAsia="SimSun" w:cs="SimSun"/>
          <w:sz w:val="21"/>
          <w:szCs w:val="21"/>
        </w:rPr>
      </w:pPr>
      <w:r>
        <w:rPr>
          <w:rFonts w:ascii="SimSun" w:hAnsi="SimSun" w:eastAsia="SimSun" w:cs="SimSun"/>
          <w:sz w:val="21"/>
          <w:szCs w:val="21"/>
          <w:spacing w:val="-11"/>
        </w:rPr>
        <w:t>数字平台“生态系统”的构建与大数据分析密切相关。平台天然  </w:t>
      </w:r>
      <w:r>
        <w:rPr>
          <w:rFonts w:ascii="SimSun" w:hAnsi="SimSun" w:eastAsia="SimSun" w:cs="SimSun"/>
          <w:sz w:val="21"/>
          <w:szCs w:val="21"/>
          <w:spacing w:val="-11"/>
        </w:rPr>
        <w:t>拥有数据和信息优势，能够比较超前地了解产业发展动态和方向，可</w:t>
      </w:r>
      <w:r>
        <w:rPr>
          <w:rFonts w:ascii="SimSun" w:hAnsi="SimSun" w:eastAsia="SimSun" w:cs="SimSun"/>
          <w:sz w:val="21"/>
          <w:szCs w:val="21"/>
          <w:spacing w:val="5"/>
        </w:rPr>
        <w:t xml:space="preserve">   </w:t>
      </w:r>
      <w:r>
        <w:rPr>
          <w:rFonts w:ascii="SimSun" w:hAnsi="SimSun" w:eastAsia="SimSun" w:cs="SimSun"/>
          <w:sz w:val="21"/>
          <w:szCs w:val="21"/>
          <w:spacing w:val="-11"/>
        </w:rPr>
        <w:t>以提前布局进入相关行业，逐渐形成产业集团。平台还可以利用其流</w:t>
      </w:r>
      <w:r>
        <w:rPr>
          <w:rFonts w:ascii="SimSun" w:hAnsi="SimSun" w:eastAsia="SimSun" w:cs="SimSun"/>
          <w:sz w:val="21"/>
          <w:szCs w:val="21"/>
          <w:spacing w:val="5"/>
        </w:rPr>
        <w:t xml:space="preserve">   </w:t>
      </w:r>
      <w:r>
        <w:rPr>
          <w:rFonts w:ascii="SimSun" w:hAnsi="SimSun" w:eastAsia="SimSun" w:cs="SimSun"/>
          <w:sz w:val="21"/>
          <w:szCs w:val="21"/>
          <w:spacing w:val="-4"/>
        </w:rPr>
        <w:t>量控制能力，帮助集团内的企业迅速扩大规模，同时限制非“嫡系”</w:t>
      </w:r>
      <w:r>
        <w:rPr>
          <w:rFonts w:ascii="SimSun" w:hAnsi="SimSun" w:eastAsia="SimSun" w:cs="SimSun"/>
          <w:sz w:val="21"/>
          <w:szCs w:val="21"/>
          <w:spacing w:val="2"/>
        </w:rPr>
        <w:t xml:space="preserve"> </w:t>
      </w:r>
      <w:r>
        <w:rPr>
          <w:rFonts w:ascii="SimSun" w:hAnsi="SimSun" w:eastAsia="SimSun" w:cs="SimSun"/>
          <w:sz w:val="21"/>
          <w:szCs w:val="21"/>
          <w:spacing w:val="-11"/>
        </w:rPr>
        <w:t>竞争者。这种情况可能促成资本无序扩张，不仅不利于其他企业的发</w:t>
      </w:r>
      <w:r>
        <w:rPr>
          <w:rFonts w:ascii="SimSun" w:hAnsi="SimSun" w:eastAsia="SimSun" w:cs="SimSun"/>
          <w:sz w:val="21"/>
          <w:szCs w:val="21"/>
          <w:spacing w:val="5"/>
        </w:rPr>
        <w:t xml:space="preserve">   </w:t>
      </w:r>
      <w:r>
        <w:rPr>
          <w:rFonts w:ascii="SimSun" w:hAnsi="SimSun" w:eastAsia="SimSun" w:cs="SimSun"/>
          <w:sz w:val="21"/>
          <w:szCs w:val="21"/>
          <w:spacing w:val="-12"/>
        </w:rPr>
        <w:t>展，而且可能导致财富的过度集中。</w:t>
      </w:r>
    </w:p>
    <w:p>
      <w:pPr>
        <w:ind w:right="78" w:firstLine="430"/>
        <w:spacing w:before="149" w:line="297" w:lineRule="auto"/>
        <w:jc w:val="both"/>
        <w:rPr>
          <w:rFonts w:ascii="SimSun" w:hAnsi="SimSun" w:eastAsia="SimSun" w:cs="SimSun"/>
          <w:sz w:val="21"/>
          <w:szCs w:val="21"/>
        </w:rPr>
      </w:pPr>
      <w:r>
        <w:rPr>
          <w:rFonts w:ascii="SimSun" w:hAnsi="SimSun" w:eastAsia="SimSun" w:cs="SimSun"/>
          <w:sz w:val="21"/>
          <w:szCs w:val="21"/>
          <w:spacing w:val="-8"/>
        </w:rPr>
        <w:t>平台生态系统反垄断同样存在企业效率与市场竞争之间的矛盾。</w:t>
      </w:r>
      <w:r>
        <w:rPr>
          <w:rFonts w:ascii="SimSun" w:hAnsi="SimSun" w:eastAsia="SimSun" w:cs="SimSun"/>
          <w:sz w:val="21"/>
          <w:szCs w:val="21"/>
          <w:spacing w:val="18"/>
        </w:rPr>
        <w:t xml:space="preserve"> </w:t>
      </w:r>
      <w:r>
        <w:rPr>
          <w:rFonts w:ascii="SimSun" w:hAnsi="SimSun" w:eastAsia="SimSun" w:cs="SimSun"/>
          <w:sz w:val="21"/>
          <w:szCs w:val="21"/>
          <w:spacing w:val="-4"/>
        </w:rPr>
        <w:t>在信息技术的支持下，建立庞大的生态系统经常有利于提高企业效</w:t>
      </w:r>
      <w:r>
        <w:rPr>
          <w:rFonts w:ascii="SimSun" w:hAnsi="SimSun" w:eastAsia="SimSun" w:cs="SimSun"/>
          <w:sz w:val="21"/>
          <w:szCs w:val="21"/>
          <w:spacing w:val="6"/>
        </w:rPr>
        <w:t xml:space="preserve">  </w:t>
      </w:r>
      <w:r>
        <w:rPr>
          <w:rFonts w:ascii="SimSun" w:hAnsi="SimSun" w:eastAsia="SimSun" w:cs="SimSun"/>
          <w:sz w:val="21"/>
          <w:szCs w:val="21"/>
          <w:spacing w:val="-3"/>
        </w:rPr>
        <w:t>率，但是往往不利于充分竞争，而且可能导致平台的社会影响力过</w:t>
      </w:r>
      <w:r>
        <w:rPr>
          <w:rFonts w:ascii="SimSun" w:hAnsi="SimSun" w:eastAsia="SimSun" w:cs="SimSun"/>
          <w:sz w:val="21"/>
          <w:szCs w:val="21"/>
          <w:spacing w:val="2"/>
        </w:rPr>
        <w:t xml:space="preserve">  </w:t>
      </w:r>
      <w:r>
        <w:rPr>
          <w:rFonts w:ascii="SimSun" w:hAnsi="SimSun" w:eastAsia="SimSun" w:cs="SimSun"/>
          <w:sz w:val="21"/>
          <w:szCs w:val="21"/>
          <w:spacing w:val="-11"/>
        </w:rPr>
        <w:t>大。考虑到平台生态系统对系统外企业的排他性影响，适当限制资本</w:t>
      </w:r>
      <w:r>
        <w:rPr>
          <w:rFonts w:ascii="SimSun" w:hAnsi="SimSun" w:eastAsia="SimSun" w:cs="SimSun"/>
          <w:sz w:val="21"/>
          <w:szCs w:val="21"/>
          <w:spacing w:val="9"/>
        </w:rPr>
        <w:t xml:space="preserve">  </w:t>
      </w:r>
      <w:r>
        <w:rPr>
          <w:rFonts w:ascii="SimSun" w:hAnsi="SimSun" w:eastAsia="SimSun" w:cs="SimSun"/>
          <w:sz w:val="21"/>
          <w:szCs w:val="21"/>
          <w:spacing w:val="-11"/>
        </w:rPr>
        <w:t>无序扩张，整体而言对社会是有利的。</w:t>
      </w:r>
    </w:p>
    <w:p>
      <w:pPr>
        <w:ind w:right="174" w:firstLine="430"/>
        <w:spacing w:before="101" w:line="293" w:lineRule="auto"/>
        <w:jc w:val="both"/>
        <w:rPr>
          <w:rFonts w:ascii="SimSun" w:hAnsi="SimSun" w:eastAsia="SimSun" w:cs="SimSun"/>
          <w:sz w:val="21"/>
          <w:szCs w:val="21"/>
        </w:rPr>
      </w:pPr>
      <w:r>
        <w:rPr>
          <w:rFonts w:ascii="SimSun" w:hAnsi="SimSun" w:eastAsia="SimSun" w:cs="SimSun"/>
          <w:sz w:val="21"/>
          <w:szCs w:val="21"/>
          <w:spacing w:val="-4"/>
        </w:rPr>
        <w:t>平台之所以能够建立巨大的生态系统，往往是因为其在某个基</w:t>
      </w:r>
      <w:r>
        <w:rPr>
          <w:rFonts w:ascii="SimSun" w:hAnsi="SimSun" w:eastAsia="SimSun" w:cs="SimSun"/>
          <w:sz w:val="21"/>
          <w:szCs w:val="21"/>
          <w:spacing w:val="15"/>
        </w:rPr>
        <w:t xml:space="preserve"> </w:t>
      </w:r>
      <w:r>
        <w:rPr>
          <w:rFonts w:ascii="SimSun" w:hAnsi="SimSun" w:eastAsia="SimSun" w:cs="SimSun"/>
          <w:sz w:val="21"/>
          <w:szCs w:val="21"/>
          <w:spacing w:val="-3"/>
        </w:rPr>
        <w:t>础业务上的垄断地位。例如如果没有微信和财付通带来的数据及流</w:t>
      </w:r>
      <w:r>
        <w:rPr>
          <w:rFonts w:ascii="SimSun" w:hAnsi="SimSun" w:eastAsia="SimSun" w:cs="SimSun"/>
          <w:sz w:val="21"/>
          <w:szCs w:val="21"/>
          <w:spacing w:val="4"/>
        </w:rPr>
        <w:t xml:space="preserve"> </w:t>
      </w:r>
      <w:r>
        <w:rPr>
          <w:rFonts w:ascii="SimSun" w:hAnsi="SimSun" w:eastAsia="SimSun" w:cs="SimSun"/>
          <w:sz w:val="21"/>
          <w:szCs w:val="21"/>
          <w:spacing w:val="-4"/>
        </w:rPr>
        <w:t>量，腾讯生态系统的扩张不可能如此顺利，同样，如果没有来自天</w:t>
      </w:r>
      <w:r>
        <w:rPr>
          <w:rFonts w:ascii="SimSun" w:hAnsi="SimSun" w:eastAsia="SimSun" w:cs="SimSun"/>
          <w:sz w:val="21"/>
          <w:szCs w:val="21"/>
          <w:spacing w:val="14"/>
        </w:rPr>
        <w:t xml:space="preserve"> </w:t>
      </w:r>
      <w:r>
        <w:rPr>
          <w:rFonts w:ascii="SimSun" w:hAnsi="SimSun" w:eastAsia="SimSun" w:cs="SimSun"/>
          <w:sz w:val="21"/>
          <w:szCs w:val="21"/>
          <w:spacing w:val="-10"/>
        </w:rPr>
        <w:t>猫、淘宝、支付宝的数据和流量，阿里巴巴生态系统也很难建立。因</w:t>
      </w:r>
      <w:r>
        <w:rPr>
          <w:rFonts w:ascii="SimSun" w:hAnsi="SimSun" w:eastAsia="SimSun" w:cs="SimSun"/>
          <w:sz w:val="21"/>
          <w:szCs w:val="21"/>
        </w:rPr>
        <w:t xml:space="preserve"> </w:t>
      </w:r>
      <w:r>
        <w:rPr>
          <w:rFonts w:ascii="SimSun" w:hAnsi="SimSun" w:eastAsia="SimSun" w:cs="SimSun"/>
          <w:sz w:val="21"/>
          <w:szCs w:val="21"/>
          <w:spacing w:val="-11"/>
        </w:rPr>
        <w:t>此，防止平台生态系统过度扩张，关键还在于破除平台在基础业务上</w:t>
      </w:r>
      <w:r>
        <w:rPr>
          <w:rFonts w:ascii="SimSun" w:hAnsi="SimSun" w:eastAsia="SimSun" w:cs="SimSun"/>
          <w:sz w:val="21"/>
          <w:szCs w:val="21"/>
          <w:spacing w:val="17"/>
        </w:rPr>
        <w:t xml:space="preserve"> </w:t>
      </w:r>
      <w:r>
        <w:rPr>
          <w:rFonts w:ascii="SimSun" w:hAnsi="SimSun" w:eastAsia="SimSun" w:cs="SimSun"/>
          <w:sz w:val="21"/>
          <w:szCs w:val="21"/>
          <w:spacing w:val="-11"/>
        </w:rPr>
        <w:t>的垄断。</w:t>
      </w:r>
    </w:p>
    <w:p>
      <w:pPr>
        <w:ind w:right="172" w:firstLine="430"/>
        <w:spacing w:before="169" w:line="286" w:lineRule="auto"/>
        <w:jc w:val="both"/>
        <w:rPr>
          <w:rFonts w:ascii="SimSun" w:hAnsi="SimSun" w:eastAsia="SimSun" w:cs="SimSun"/>
          <w:sz w:val="21"/>
          <w:szCs w:val="21"/>
        </w:rPr>
      </w:pPr>
      <w:r>
        <w:rPr>
          <w:rFonts w:ascii="SimSun" w:hAnsi="SimSun" w:eastAsia="SimSun" w:cs="SimSun"/>
          <w:sz w:val="21"/>
          <w:szCs w:val="21"/>
          <w:spacing w:val="-11"/>
        </w:rPr>
        <w:t>总之，生态系统可能是平台垄断力量向多领域延伸的表现，虽然</w:t>
      </w:r>
      <w:r>
        <w:rPr>
          <w:rFonts w:ascii="SimSun" w:hAnsi="SimSun" w:eastAsia="SimSun" w:cs="SimSun"/>
          <w:sz w:val="21"/>
          <w:szCs w:val="21"/>
          <w:spacing w:val="7"/>
        </w:rPr>
        <w:t xml:space="preserve"> </w:t>
      </w:r>
      <w:r>
        <w:rPr>
          <w:rFonts w:ascii="SimSun" w:hAnsi="SimSun" w:eastAsia="SimSun" w:cs="SimSun"/>
          <w:sz w:val="21"/>
          <w:szCs w:val="21"/>
          <w:spacing w:val="-11"/>
        </w:rPr>
        <w:t>可能提高社会整体生产效率，但也可能妨碍市场竞争，或导致财富过</w:t>
      </w:r>
      <w:r>
        <w:rPr>
          <w:rFonts w:ascii="SimSun" w:hAnsi="SimSun" w:eastAsia="SimSun" w:cs="SimSun"/>
          <w:sz w:val="21"/>
          <w:szCs w:val="21"/>
          <w:spacing w:val="16"/>
        </w:rPr>
        <w:t xml:space="preserve"> </w:t>
      </w:r>
      <w:r>
        <w:rPr>
          <w:rFonts w:ascii="SimSun" w:hAnsi="SimSun" w:eastAsia="SimSun" w:cs="SimSun"/>
          <w:sz w:val="21"/>
          <w:szCs w:val="21"/>
          <w:spacing w:val="-11"/>
        </w:rPr>
        <w:t>度集中。治理平台经济，防止资本无序扩张，需要研究如何从根本上</w:t>
      </w:r>
      <w:r>
        <w:rPr>
          <w:rFonts w:ascii="SimSun" w:hAnsi="SimSun" w:eastAsia="SimSun" w:cs="SimSun"/>
          <w:sz w:val="21"/>
          <w:szCs w:val="21"/>
          <w:spacing w:val="17"/>
        </w:rPr>
        <w:t xml:space="preserve"> </w:t>
      </w:r>
      <w:r>
        <w:rPr>
          <w:rFonts w:ascii="SimSun" w:hAnsi="SimSun" w:eastAsia="SimSun" w:cs="SimSun"/>
          <w:sz w:val="21"/>
          <w:szCs w:val="21"/>
          <w:spacing w:val="-11"/>
        </w:rPr>
        <w:t>破除数字平台垄断，特别是在平台基础业务上的垄断。</w:t>
      </w:r>
    </w:p>
    <w:p>
      <w:pPr>
        <w:spacing w:line="286" w:lineRule="auto"/>
        <w:sectPr>
          <w:headerReference w:type="default" r:id="rId366"/>
          <w:pgSz w:w="7330" w:h="12480"/>
          <w:pgMar w:top="507" w:right="506" w:bottom="400" w:left="639" w:header="345" w:footer="0" w:gutter="0"/>
        </w:sectPr>
        <w:rPr>
          <w:rFonts w:ascii="SimSun" w:hAnsi="SimSun" w:eastAsia="SimSun" w:cs="SimSun"/>
          <w:sz w:val="21"/>
          <w:szCs w:val="21"/>
        </w:rPr>
      </w:pP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ind w:left="3"/>
        <w:spacing w:before="69" w:line="221" w:lineRule="auto"/>
        <w:rPr>
          <w:rFonts w:ascii="SimHei" w:hAnsi="SimHei" w:eastAsia="SimHei" w:cs="SimHei"/>
          <w:sz w:val="21"/>
          <w:szCs w:val="21"/>
        </w:rPr>
      </w:pPr>
      <w:r>
        <w:rPr>
          <w:rFonts w:ascii="SimHei" w:hAnsi="SimHei" w:eastAsia="SimHei" w:cs="SimHei"/>
          <w:sz w:val="21"/>
          <w:szCs w:val="21"/>
          <w:b/>
          <w:bCs/>
          <w:spacing w:val="26"/>
        </w:rPr>
        <w:t>如何看待数字平台创立的全新市场</w:t>
      </w:r>
    </w:p>
    <w:p>
      <w:pPr>
        <w:pStyle w:val="BodyText"/>
        <w:spacing w:line="343" w:lineRule="auto"/>
        <w:rPr/>
      </w:pPr>
      <w:r/>
    </w:p>
    <w:p>
      <w:pPr>
        <w:ind w:firstLine="410"/>
        <w:spacing w:before="68" w:line="297" w:lineRule="auto"/>
        <w:jc w:val="both"/>
        <w:rPr>
          <w:rFonts w:ascii="SimSun" w:hAnsi="SimSun" w:eastAsia="SimSun" w:cs="SimSun"/>
          <w:sz w:val="21"/>
          <w:szCs w:val="21"/>
        </w:rPr>
      </w:pPr>
      <w:r>
        <w:rPr>
          <w:rFonts w:ascii="SimSun" w:hAnsi="SimSun" w:eastAsia="SimSun" w:cs="SimSun"/>
          <w:sz w:val="21"/>
          <w:szCs w:val="21"/>
          <w:spacing w:val="-11"/>
        </w:rPr>
        <w:t>在数字平台反垄断实践中有一个常见现象是，某项全新业务本身 </w:t>
      </w:r>
      <w:r>
        <w:rPr>
          <w:rFonts w:ascii="SimSun" w:hAnsi="SimSun" w:eastAsia="SimSun" w:cs="SimSun"/>
          <w:sz w:val="21"/>
          <w:szCs w:val="21"/>
          <w:spacing w:val="-10"/>
        </w:rPr>
        <w:t>是由一个平台企业开创的，这个平台自然成了这项业务的垄断者，</w:t>
      </w:r>
      <w:r>
        <w:rPr>
          <w:rFonts w:ascii="SimSun" w:hAnsi="SimSun" w:eastAsia="SimSun" w:cs="SimSun"/>
          <w:sz w:val="21"/>
          <w:szCs w:val="21"/>
          <w:spacing w:val="-11"/>
        </w:rPr>
        <w:t>或 </w:t>
      </w:r>
      <w:r>
        <w:rPr>
          <w:rFonts w:ascii="SimSun" w:hAnsi="SimSun" w:eastAsia="SimSun" w:cs="SimSun"/>
          <w:sz w:val="21"/>
          <w:szCs w:val="21"/>
          <w:spacing w:val="-8"/>
        </w:rPr>
        <w:t>者虽然先行者是若干个平台，但最终经过兼并重组成为一个垄断者。</w:t>
      </w:r>
      <w:r>
        <w:rPr>
          <w:rFonts w:ascii="SimSun" w:hAnsi="SimSun" w:eastAsia="SimSun" w:cs="SimSun"/>
          <w:sz w:val="21"/>
          <w:szCs w:val="21"/>
          <w:spacing w:val="13"/>
        </w:rPr>
        <w:t xml:space="preserve"> </w:t>
      </w:r>
      <w:r>
        <w:rPr>
          <w:rFonts w:ascii="SimSun" w:hAnsi="SimSun" w:eastAsia="SimSun" w:cs="SimSun"/>
          <w:sz w:val="21"/>
          <w:szCs w:val="21"/>
          <w:spacing w:val="-10"/>
        </w:rPr>
        <w:t>这里的问题在于，如何看待市场开创者的垄断，全新业务市场的兼</w:t>
      </w:r>
      <w:r>
        <w:rPr>
          <w:rFonts w:ascii="SimSun" w:hAnsi="SimSun" w:eastAsia="SimSun" w:cs="SimSun"/>
          <w:sz w:val="21"/>
          <w:szCs w:val="21"/>
          <w:spacing w:val="-11"/>
        </w:rPr>
        <w:t>并 </w:t>
      </w:r>
      <w:r>
        <w:rPr>
          <w:rFonts w:ascii="SimSun" w:hAnsi="SimSun" w:eastAsia="SimSun" w:cs="SimSun"/>
          <w:sz w:val="21"/>
          <w:szCs w:val="21"/>
          <w:spacing w:val="-12"/>
        </w:rPr>
        <w:t>重组能否通过反垄断审查。</w:t>
      </w:r>
    </w:p>
    <w:p>
      <w:pPr>
        <w:ind w:right="70" w:firstLine="410"/>
        <w:spacing w:before="129" w:line="297" w:lineRule="auto"/>
        <w:jc w:val="both"/>
        <w:rPr>
          <w:rFonts w:ascii="SimSun" w:hAnsi="SimSun" w:eastAsia="SimSun" w:cs="SimSun"/>
          <w:sz w:val="21"/>
          <w:szCs w:val="21"/>
        </w:rPr>
      </w:pPr>
      <w:r>
        <w:rPr>
          <w:rFonts w:ascii="SimSun" w:hAnsi="SimSun" w:eastAsia="SimSun" w:cs="SimSun"/>
          <w:sz w:val="21"/>
          <w:szCs w:val="21"/>
          <w:spacing w:val="-11"/>
        </w:rPr>
        <w:t>当一个企业创建一个全新市场，并自然成为该市场的垄断经营者</w:t>
      </w:r>
      <w:r>
        <w:rPr>
          <w:rFonts w:ascii="SimSun" w:hAnsi="SimSun" w:eastAsia="SimSun" w:cs="SimSun"/>
          <w:sz w:val="21"/>
          <w:szCs w:val="21"/>
          <w:spacing w:val="16"/>
        </w:rPr>
        <w:t xml:space="preserve"> </w:t>
      </w:r>
      <w:r>
        <w:rPr>
          <w:rFonts w:ascii="SimSun" w:hAnsi="SimSun" w:eastAsia="SimSun" w:cs="SimSun"/>
          <w:sz w:val="21"/>
          <w:szCs w:val="21"/>
          <w:spacing w:val="-10"/>
        </w:rPr>
        <w:t>时，情况类似于发明专利，本身不存在反垄断问题。专利保护在某种</w:t>
      </w:r>
      <w:r>
        <w:rPr>
          <w:rFonts w:ascii="SimSun" w:hAnsi="SimSun" w:eastAsia="SimSun" w:cs="SimSun"/>
          <w:sz w:val="21"/>
          <w:szCs w:val="21"/>
          <w:spacing w:val="3"/>
        </w:rPr>
        <w:t xml:space="preserve"> </w:t>
      </w:r>
      <w:r>
        <w:rPr>
          <w:rFonts w:ascii="SimSun" w:hAnsi="SimSun" w:eastAsia="SimSun" w:cs="SimSun"/>
          <w:sz w:val="21"/>
          <w:szCs w:val="21"/>
          <w:spacing w:val="-10"/>
        </w:rPr>
        <w:t>意义上就是通过赋予垄断利润来鼓励民间创新，同理，创立全新市场</w:t>
      </w:r>
      <w:r>
        <w:rPr>
          <w:rFonts w:ascii="SimSun" w:hAnsi="SimSun" w:eastAsia="SimSun" w:cs="SimSun"/>
          <w:sz w:val="21"/>
          <w:szCs w:val="21"/>
          <w:spacing w:val="1"/>
        </w:rPr>
        <w:t xml:space="preserve"> </w:t>
      </w:r>
      <w:r>
        <w:rPr>
          <w:rFonts w:ascii="SimSun" w:hAnsi="SimSun" w:eastAsia="SimSun" w:cs="SimSun"/>
          <w:sz w:val="21"/>
          <w:szCs w:val="21"/>
          <w:spacing w:val="-10"/>
        </w:rPr>
        <w:t>也需要企业家的创新和投入，并承担各种风险，而且这样的活</w:t>
      </w:r>
      <w:r>
        <w:rPr>
          <w:rFonts w:ascii="SimSun" w:hAnsi="SimSun" w:eastAsia="SimSun" w:cs="SimSun"/>
          <w:sz w:val="21"/>
          <w:szCs w:val="21"/>
          <w:spacing w:val="-11"/>
        </w:rPr>
        <w:t>动对社</w:t>
      </w:r>
      <w:r>
        <w:rPr>
          <w:rFonts w:ascii="SimSun" w:hAnsi="SimSun" w:eastAsia="SimSun" w:cs="SimSun"/>
          <w:sz w:val="21"/>
          <w:szCs w:val="21"/>
        </w:rPr>
        <w:t xml:space="preserve"> </w:t>
      </w:r>
      <w:r>
        <w:rPr>
          <w:rFonts w:ascii="SimSun" w:hAnsi="SimSun" w:eastAsia="SimSun" w:cs="SimSun"/>
          <w:sz w:val="21"/>
          <w:szCs w:val="21"/>
          <w:spacing w:val="-11"/>
        </w:rPr>
        <w:t>会可能产生巨大的正外部性，理应得到政府的鼓励和支持。</w:t>
      </w:r>
    </w:p>
    <w:p>
      <w:pPr>
        <w:ind w:right="70" w:firstLine="410"/>
        <w:spacing w:before="113" w:line="300" w:lineRule="auto"/>
        <w:jc w:val="both"/>
        <w:rPr>
          <w:rFonts w:ascii="SimSun" w:hAnsi="SimSun" w:eastAsia="SimSun" w:cs="SimSun"/>
          <w:sz w:val="21"/>
          <w:szCs w:val="21"/>
        </w:rPr>
      </w:pPr>
      <w:r>
        <w:rPr>
          <w:rFonts w:ascii="SimSun" w:hAnsi="SimSun" w:eastAsia="SimSun" w:cs="SimSun"/>
          <w:sz w:val="21"/>
          <w:szCs w:val="21"/>
          <w:spacing w:val="-11"/>
        </w:rPr>
        <w:t>信息技术平台的发展具有很大的不确定性，特别是在行业发展早</w:t>
      </w:r>
      <w:r>
        <w:rPr>
          <w:rFonts w:ascii="SimSun" w:hAnsi="SimSun" w:eastAsia="SimSun" w:cs="SimSun"/>
          <w:sz w:val="21"/>
          <w:szCs w:val="21"/>
          <w:spacing w:val="16"/>
        </w:rPr>
        <w:t xml:space="preserve"> </w:t>
      </w:r>
      <w:r>
        <w:rPr>
          <w:rFonts w:ascii="SimSun" w:hAnsi="SimSun" w:eastAsia="SimSun" w:cs="SimSun"/>
          <w:sz w:val="21"/>
          <w:szCs w:val="21"/>
          <w:spacing w:val="-10"/>
        </w:rPr>
        <w:t>期，人们很难判断市场的发展方向或状态。有些新兴市场甚至无法容</w:t>
      </w:r>
      <w:r>
        <w:rPr>
          <w:rFonts w:ascii="SimSun" w:hAnsi="SimSun" w:eastAsia="SimSun" w:cs="SimSun"/>
          <w:sz w:val="21"/>
          <w:szCs w:val="21"/>
        </w:rPr>
        <w:t xml:space="preserve"> </w:t>
      </w:r>
      <w:r>
        <w:rPr>
          <w:rFonts w:ascii="SimSun" w:hAnsi="SimSun" w:eastAsia="SimSun" w:cs="SimSun"/>
          <w:sz w:val="21"/>
          <w:szCs w:val="21"/>
          <w:spacing w:val="-10"/>
        </w:rPr>
        <w:t>纳太多企业进入，天然具有高度集中的特点。在这种条件下，</w:t>
      </w:r>
      <w:r>
        <w:rPr>
          <w:rFonts w:ascii="SimSun" w:hAnsi="SimSun" w:eastAsia="SimSun" w:cs="SimSun"/>
          <w:sz w:val="21"/>
          <w:szCs w:val="21"/>
          <w:spacing w:val="-11"/>
        </w:rPr>
        <w:t>过于严</w:t>
      </w:r>
      <w:r>
        <w:rPr>
          <w:rFonts w:ascii="SimSun" w:hAnsi="SimSun" w:eastAsia="SimSun" w:cs="SimSun"/>
          <w:sz w:val="21"/>
          <w:szCs w:val="21"/>
        </w:rPr>
        <w:t xml:space="preserve"> </w:t>
      </w:r>
      <w:r>
        <w:rPr>
          <w:rFonts w:ascii="SimSun" w:hAnsi="SimSun" w:eastAsia="SimSun" w:cs="SimSun"/>
          <w:sz w:val="21"/>
          <w:szCs w:val="21"/>
          <w:spacing w:val="-10"/>
        </w:rPr>
        <w:t>厉的反垄断介入不利于创新。在尊重知识产权的前提下，要依法保护</w:t>
      </w:r>
      <w:r>
        <w:rPr>
          <w:rFonts w:ascii="SimSun" w:hAnsi="SimSun" w:eastAsia="SimSun" w:cs="SimSun"/>
          <w:sz w:val="21"/>
          <w:szCs w:val="21"/>
          <w:spacing w:val="3"/>
        </w:rPr>
        <w:t xml:space="preserve"> </w:t>
      </w:r>
      <w:r>
        <w:rPr>
          <w:rFonts w:ascii="SimSun" w:hAnsi="SimSun" w:eastAsia="SimSun" w:cs="SimSun"/>
          <w:sz w:val="21"/>
          <w:szCs w:val="21"/>
          <w:spacing w:val="-10"/>
        </w:rPr>
        <w:t>竞争者进入新市场的权利，但是在没有新进入者的情况下，应允许创</w:t>
      </w:r>
      <w:r>
        <w:rPr>
          <w:rFonts w:ascii="SimSun" w:hAnsi="SimSun" w:eastAsia="SimSun" w:cs="SimSun"/>
          <w:sz w:val="21"/>
          <w:szCs w:val="21"/>
          <w:spacing w:val="3"/>
        </w:rPr>
        <w:t xml:space="preserve"> </w:t>
      </w:r>
      <w:r>
        <w:rPr>
          <w:rFonts w:ascii="SimSun" w:hAnsi="SimSun" w:eastAsia="SimSun" w:cs="SimSun"/>
          <w:sz w:val="21"/>
          <w:szCs w:val="21"/>
          <w:spacing w:val="-12"/>
        </w:rPr>
        <w:t>业者实行集中经营，探索行业发展方向。</w:t>
      </w:r>
    </w:p>
    <w:p>
      <w:pPr>
        <w:ind w:right="66" w:firstLine="410"/>
        <w:spacing w:before="107" w:line="306" w:lineRule="auto"/>
        <w:jc w:val="both"/>
        <w:rPr>
          <w:rFonts w:ascii="SimSun" w:hAnsi="SimSun" w:eastAsia="SimSun" w:cs="SimSun"/>
          <w:sz w:val="21"/>
          <w:szCs w:val="21"/>
        </w:rPr>
      </w:pPr>
      <w:r>
        <w:rPr>
          <w:rFonts w:ascii="SimSun" w:hAnsi="SimSun" w:eastAsia="SimSun" w:cs="SimSun"/>
          <w:sz w:val="21"/>
          <w:szCs w:val="21"/>
          <w:spacing w:val="-11"/>
        </w:rPr>
        <w:t>当新兴业务发展到一定规模，行业的兼并重组依照法律需要通过</w:t>
      </w:r>
      <w:r>
        <w:rPr>
          <w:rFonts w:ascii="SimSun" w:hAnsi="SimSun" w:eastAsia="SimSun" w:cs="SimSun"/>
          <w:sz w:val="21"/>
          <w:szCs w:val="21"/>
          <w:spacing w:val="14"/>
        </w:rPr>
        <w:t xml:space="preserve"> </w:t>
      </w:r>
      <w:r>
        <w:rPr>
          <w:rFonts w:ascii="SimSun" w:hAnsi="SimSun" w:eastAsia="SimSun" w:cs="SimSun"/>
          <w:sz w:val="21"/>
          <w:szCs w:val="21"/>
          <w:spacing w:val="-10"/>
        </w:rPr>
        <w:t>反垄断审查。但是一些数字平台创立的新业务其实都是传统业务</w:t>
      </w:r>
      <w:r>
        <w:rPr>
          <w:rFonts w:ascii="SimSun" w:hAnsi="SimSun" w:eastAsia="SimSun" w:cs="SimSun"/>
          <w:sz w:val="21"/>
          <w:szCs w:val="21"/>
          <w:spacing w:val="-11"/>
        </w:rPr>
        <w:t>的扩</w:t>
      </w:r>
      <w:r>
        <w:rPr>
          <w:rFonts w:ascii="SimSun" w:hAnsi="SimSun" w:eastAsia="SimSun" w:cs="SimSun"/>
          <w:sz w:val="21"/>
          <w:szCs w:val="21"/>
        </w:rPr>
        <w:t xml:space="preserve"> </w:t>
      </w:r>
      <w:r>
        <w:rPr>
          <w:rFonts w:ascii="SimSun" w:hAnsi="SimSun" w:eastAsia="SimSun" w:cs="SimSun"/>
          <w:sz w:val="21"/>
          <w:szCs w:val="21"/>
          <w:spacing w:val="-10"/>
        </w:rPr>
        <w:t>展和延伸，经常会提升而不是降低相关行业的竞争程度。例如电子商</w:t>
      </w:r>
      <w:r>
        <w:rPr>
          <w:rFonts w:ascii="SimSun" w:hAnsi="SimSun" w:eastAsia="SimSun" w:cs="SimSun"/>
          <w:sz w:val="21"/>
          <w:szCs w:val="21"/>
          <w:spacing w:val="2"/>
        </w:rPr>
        <w:t xml:space="preserve"> </w:t>
      </w:r>
      <w:r>
        <w:rPr>
          <w:rFonts w:ascii="SimSun" w:hAnsi="SimSun" w:eastAsia="SimSun" w:cs="SimSun"/>
          <w:sz w:val="21"/>
          <w:szCs w:val="21"/>
          <w:spacing w:val="-10"/>
        </w:rPr>
        <w:t>务平台的市场集中度较高，但电子商务是传统商业的新竞争者；网约</w:t>
      </w:r>
      <w:r>
        <w:rPr>
          <w:rFonts w:ascii="SimSun" w:hAnsi="SimSun" w:eastAsia="SimSun" w:cs="SimSun"/>
          <w:sz w:val="21"/>
          <w:szCs w:val="21"/>
          <w:spacing w:val="7"/>
        </w:rPr>
        <w:t xml:space="preserve"> </w:t>
      </w:r>
      <w:r>
        <w:rPr>
          <w:rFonts w:ascii="SimSun" w:hAnsi="SimSun" w:eastAsia="SimSun" w:cs="SimSun"/>
          <w:sz w:val="21"/>
          <w:szCs w:val="21"/>
          <w:spacing w:val="-10"/>
        </w:rPr>
        <w:t>车平台之间可能竞争有限，但网约车本身并不构成一个市场，而是整</w:t>
      </w:r>
      <w:r>
        <w:rPr>
          <w:rFonts w:ascii="SimSun" w:hAnsi="SimSun" w:eastAsia="SimSun" w:cs="SimSun"/>
          <w:sz w:val="21"/>
          <w:szCs w:val="21"/>
        </w:rPr>
        <w:t xml:space="preserve"> </w:t>
      </w:r>
      <w:r>
        <w:rPr>
          <w:rFonts w:ascii="SimSun" w:hAnsi="SimSun" w:eastAsia="SimSun" w:cs="SimSun"/>
          <w:sz w:val="21"/>
          <w:szCs w:val="21"/>
          <w:spacing w:val="-10"/>
        </w:rPr>
        <w:t>个出行市场的增量部分，事实上有利于竞争；餐饮外卖业务</w:t>
      </w:r>
      <w:r>
        <w:rPr>
          <w:rFonts w:ascii="SimSun" w:hAnsi="SimSun" w:eastAsia="SimSun" w:cs="SimSun"/>
          <w:sz w:val="21"/>
          <w:szCs w:val="21"/>
          <w:spacing w:val="-11"/>
        </w:rPr>
        <w:t>服务于餐</w:t>
      </w:r>
      <w:r>
        <w:rPr>
          <w:rFonts w:ascii="SimSun" w:hAnsi="SimSun" w:eastAsia="SimSun" w:cs="SimSun"/>
          <w:sz w:val="21"/>
          <w:szCs w:val="21"/>
        </w:rPr>
        <w:t xml:space="preserve"> </w:t>
      </w:r>
      <w:r>
        <w:rPr>
          <w:rFonts w:ascii="SimSun" w:hAnsi="SimSun" w:eastAsia="SimSun" w:cs="SimSun"/>
          <w:sz w:val="21"/>
          <w:szCs w:val="21"/>
          <w:spacing w:val="-10"/>
        </w:rPr>
        <w:t>饮行业，只是提高了传统外卖业务的效率，有利于提升餐饮行业的竞</w:t>
      </w:r>
      <w:r>
        <w:rPr>
          <w:rFonts w:ascii="SimSun" w:hAnsi="SimSun" w:eastAsia="SimSun" w:cs="SimSun"/>
          <w:sz w:val="21"/>
          <w:szCs w:val="21"/>
        </w:rPr>
        <w:t xml:space="preserve"> </w:t>
      </w:r>
      <w:r>
        <w:rPr>
          <w:rFonts w:ascii="SimSun" w:hAnsi="SimSun" w:eastAsia="SimSun" w:cs="SimSun"/>
          <w:sz w:val="21"/>
          <w:szCs w:val="21"/>
          <w:spacing w:val="-7"/>
        </w:rPr>
        <w:t>争。如果平台仅仅是对传统行业的“锦上添花”,那么专门讨论相关</w:t>
      </w:r>
      <w:r>
        <w:rPr>
          <w:rFonts w:ascii="SimSun" w:hAnsi="SimSun" w:eastAsia="SimSun" w:cs="SimSun"/>
          <w:sz w:val="21"/>
          <w:szCs w:val="21"/>
          <w:spacing w:val="13"/>
        </w:rPr>
        <w:t xml:space="preserve"> </w:t>
      </w:r>
      <w:r>
        <w:rPr>
          <w:rFonts w:ascii="SimSun" w:hAnsi="SimSun" w:eastAsia="SimSun" w:cs="SimSun"/>
          <w:sz w:val="21"/>
          <w:szCs w:val="21"/>
          <w:spacing w:val="-11"/>
        </w:rPr>
        <w:t>平台的市场集中度和反垄断，在逻辑上存在缺陷。</w:t>
      </w:r>
    </w:p>
    <w:p>
      <w:pPr>
        <w:spacing w:line="306" w:lineRule="auto"/>
        <w:sectPr>
          <w:headerReference w:type="default" r:id="rId367"/>
          <w:pgSz w:w="7330" w:h="12480"/>
          <w:pgMar w:top="808" w:right="895" w:bottom="400" w:left="359" w:header="645" w:footer="0" w:gutter="0"/>
        </w:sectPr>
        <w:rPr>
          <w:rFonts w:ascii="SimSun" w:hAnsi="SimSun" w:eastAsia="SimSun" w:cs="SimSun"/>
          <w:sz w:val="21"/>
          <w:szCs w:val="21"/>
        </w:rPr>
      </w:pP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firstLine="449"/>
        <w:spacing w:before="68" w:line="295" w:lineRule="auto"/>
        <w:jc w:val="both"/>
        <w:rPr>
          <w:rFonts w:ascii="SimSun" w:hAnsi="SimSun" w:eastAsia="SimSun" w:cs="SimSun"/>
          <w:sz w:val="21"/>
          <w:szCs w:val="21"/>
        </w:rPr>
      </w:pPr>
      <w:r>
        <w:rPr>
          <w:rFonts w:ascii="SimSun" w:hAnsi="SimSun" w:eastAsia="SimSun" w:cs="SimSun"/>
          <w:sz w:val="21"/>
          <w:szCs w:val="21"/>
          <w:spacing w:val="-11"/>
        </w:rPr>
        <w:t>如果平台业务进入成熟期，甚至替代传统业务模式成为主流，那</w:t>
      </w:r>
      <w:r>
        <w:rPr>
          <w:rFonts w:ascii="SimSun" w:hAnsi="SimSun" w:eastAsia="SimSun" w:cs="SimSun"/>
          <w:sz w:val="21"/>
          <w:szCs w:val="21"/>
          <w:spacing w:val="11"/>
        </w:rPr>
        <w:t xml:space="preserve"> </w:t>
      </w:r>
      <w:r>
        <w:rPr>
          <w:rFonts w:ascii="SimSun" w:hAnsi="SimSun" w:eastAsia="SimSun" w:cs="SimSun"/>
          <w:sz w:val="21"/>
          <w:szCs w:val="21"/>
          <w:spacing w:val="-11"/>
        </w:rPr>
        <w:t>么就应该从当前市场状况出发进行反垄断分析。在这个阶段，突破性</w:t>
      </w:r>
      <w:r>
        <w:rPr>
          <w:rFonts w:ascii="SimSun" w:hAnsi="SimSun" w:eastAsia="SimSun" w:cs="SimSun"/>
          <w:sz w:val="21"/>
          <w:szCs w:val="21"/>
          <w:spacing w:val="3"/>
        </w:rPr>
        <w:t xml:space="preserve">  </w:t>
      </w:r>
      <w:r>
        <w:rPr>
          <w:rFonts w:ascii="SimSun" w:hAnsi="SimSun" w:eastAsia="SimSun" w:cs="SimSun"/>
          <w:sz w:val="21"/>
          <w:szCs w:val="21"/>
          <w:spacing w:val="-11"/>
        </w:rPr>
        <w:t>的创新已经完成，对创新的“奖励”也已经兑现，最重要的是提升市</w:t>
      </w:r>
      <w:r>
        <w:rPr>
          <w:rFonts w:ascii="SimSun" w:hAnsi="SimSun" w:eastAsia="SimSun" w:cs="SimSun"/>
          <w:sz w:val="21"/>
          <w:szCs w:val="21"/>
          <w:spacing w:val="5"/>
        </w:rPr>
        <w:t xml:space="preserve">  </w:t>
      </w:r>
      <w:r>
        <w:rPr>
          <w:rFonts w:ascii="SimSun" w:hAnsi="SimSun" w:eastAsia="SimSun" w:cs="SimSun"/>
          <w:sz w:val="21"/>
          <w:szCs w:val="21"/>
          <w:spacing w:val="-11"/>
        </w:rPr>
        <w:t>场效率和社会公平，因此需要根据具体情况，适时研究可能出现的反</w:t>
      </w:r>
      <w:r>
        <w:rPr>
          <w:rFonts w:ascii="SimSun" w:hAnsi="SimSun" w:eastAsia="SimSun" w:cs="SimSun"/>
          <w:sz w:val="21"/>
          <w:szCs w:val="21"/>
          <w:spacing w:val="2"/>
        </w:rPr>
        <w:t xml:space="preserve">  </w:t>
      </w:r>
      <w:r>
        <w:rPr>
          <w:rFonts w:ascii="SimSun" w:hAnsi="SimSun" w:eastAsia="SimSun" w:cs="SimSun"/>
          <w:sz w:val="21"/>
          <w:szCs w:val="21"/>
          <w:spacing w:val="-11"/>
        </w:rPr>
        <w:t>垄断问题，避免出现“大而不能倒”的超级平台。如果平台还因为市</w:t>
      </w:r>
      <w:r>
        <w:rPr>
          <w:rFonts w:ascii="SimSun" w:hAnsi="SimSun" w:eastAsia="SimSun" w:cs="SimSun"/>
          <w:sz w:val="21"/>
          <w:szCs w:val="21"/>
          <w:spacing w:val="5"/>
        </w:rPr>
        <w:t xml:space="preserve">  </w:t>
      </w:r>
      <w:r>
        <w:rPr>
          <w:rFonts w:ascii="SimSun" w:hAnsi="SimSun" w:eastAsia="SimSun" w:cs="SimSun"/>
          <w:sz w:val="21"/>
          <w:szCs w:val="21"/>
          <w:spacing w:val="-8"/>
        </w:rPr>
        <w:t>场集中产生其他不利影响，例如收入分配、资本扩张、政治影响等，</w:t>
      </w:r>
      <w:r>
        <w:rPr>
          <w:rFonts w:ascii="SimSun" w:hAnsi="SimSun" w:eastAsia="SimSun" w:cs="SimSun"/>
          <w:sz w:val="21"/>
          <w:szCs w:val="21"/>
          <w:spacing w:val="13"/>
        </w:rPr>
        <w:t xml:space="preserve"> </w:t>
      </w:r>
      <w:r>
        <w:rPr>
          <w:rFonts w:ascii="SimSun" w:hAnsi="SimSun" w:eastAsia="SimSun" w:cs="SimSun"/>
          <w:sz w:val="21"/>
          <w:szCs w:val="21"/>
          <w:spacing w:val="-10"/>
        </w:rPr>
        <w:t>那么更应该加以重视。</w:t>
      </w:r>
    </w:p>
    <w:p>
      <w:pPr>
        <w:ind w:right="43" w:firstLine="449"/>
        <w:spacing w:before="148" w:line="292" w:lineRule="auto"/>
        <w:jc w:val="both"/>
        <w:rPr>
          <w:rFonts w:ascii="SimSun" w:hAnsi="SimSun" w:eastAsia="SimSun" w:cs="SimSun"/>
          <w:sz w:val="21"/>
          <w:szCs w:val="21"/>
        </w:rPr>
      </w:pPr>
      <w:r>
        <w:rPr>
          <w:rFonts w:ascii="SimSun" w:hAnsi="SimSun" w:eastAsia="SimSun" w:cs="SimSun"/>
          <w:sz w:val="21"/>
          <w:szCs w:val="21"/>
          <w:spacing w:val="-4"/>
        </w:rPr>
        <w:t>总之，对于由数字平台企业创立的全新市场，至少在行业发展</w:t>
      </w:r>
      <w:r>
        <w:rPr>
          <w:rFonts w:ascii="SimSun" w:hAnsi="SimSun" w:eastAsia="SimSun" w:cs="SimSun"/>
          <w:sz w:val="21"/>
          <w:szCs w:val="21"/>
          <w:spacing w:val="18"/>
        </w:rPr>
        <w:t xml:space="preserve"> </w:t>
      </w:r>
      <w:r>
        <w:rPr>
          <w:rFonts w:ascii="SimSun" w:hAnsi="SimSun" w:eastAsia="SimSun" w:cs="SimSun"/>
          <w:sz w:val="21"/>
          <w:szCs w:val="21"/>
          <w:spacing w:val="-11"/>
        </w:rPr>
        <w:t>早期，应该避免过于严厉的反垄断介入。应借鉴专利保护思想，对市</w:t>
      </w:r>
      <w:r>
        <w:rPr>
          <w:rFonts w:ascii="SimSun" w:hAnsi="SimSun" w:eastAsia="SimSun" w:cs="SimSun"/>
          <w:sz w:val="21"/>
          <w:szCs w:val="21"/>
          <w:spacing w:val="10"/>
        </w:rPr>
        <w:t xml:space="preserve"> </w:t>
      </w:r>
      <w:r>
        <w:rPr>
          <w:rFonts w:ascii="SimSun" w:hAnsi="SimSun" w:eastAsia="SimSun" w:cs="SimSun"/>
          <w:sz w:val="21"/>
          <w:szCs w:val="21"/>
          <w:spacing w:val="-11"/>
        </w:rPr>
        <w:t>场开创者进行鼓励。在行业发展进入稳定状态，发展的不确定性消除</w:t>
      </w:r>
      <w:r>
        <w:rPr>
          <w:rFonts w:ascii="SimSun" w:hAnsi="SimSun" w:eastAsia="SimSun" w:cs="SimSun"/>
          <w:sz w:val="21"/>
          <w:szCs w:val="21"/>
          <w:spacing w:val="9"/>
        </w:rPr>
        <w:t xml:space="preserve"> </w:t>
      </w:r>
      <w:r>
        <w:rPr>
          <w:rFonts w:ascii="SimSun" w:hAnsi="SimSun" w:eastAsia="SimSun" w:cs="SimSun"/>
          <w:sz w:val="21"/>
          <w:szCs w:val="21"/>
          <w:spacing w:val="-10"/>
        </w:rPr>
        <w:t>后，再研究可能的反垄断问题，以避免不当干预。</w:t>
      </w:r>
    </w:p>
    <w:p>
      <w:pPr>
        <w:pStyle w:val="BodyText"/>
        <w:spacing w:line="385"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2"/>
        </w:rPr>
        <w:t>互联互通</w:t>
      </w:r>
    </w:p>
    <w:p>
      <w:pPr>
        <w:pStyle w:val="BodyText"/>
        <w:spacing w:line="349" w:lineRule="auto"/>
        <w:rPr/>
      </w:pPr>
      <w:r/>
    </w:p>
    <w:p>
      <w:pPr>
        <w:ind w:firstLine="449"/>
        <w:spacing w:before="68" w:line="303" w:lineRule="auto"/>
        <w:jc w:val="both"/>
        <w:rPr>
          <w:rFonts w:ascii="SimSun" w:hAnsi="SimSun" w:eastAsia="SimSun" w:cs="SimSun"/>
          <w:sz w:val="21"/>
          <w:szCs w:val="21"/>
        </w:rPr>
      </w:pPr>
      <w:r>
        <w:rPr>
          <w:rFonts w:ascii="SimSun" w:hAnsi="SimSun" w:eastAsia="SimSun" w:cs="SimSun"/>
          <w:sz w:val="21"/>
          <w:szCs w:val="21"/>
          <w:spacing w:val="-11"/>
        </w:rPr>
        <w:t>通过强制或鼓励网络之间的互联互通或兼容性与互操作性，可以</w:t>
      </w:r>
      <w:r>
        <w:rPr>
          <w:rFonts w:ascii="SimSun" w:hAnsi="SimSun" w:eastAsia="SimSun" w:cs="SimSun"/>
          <w:sz w:val="21"/>
          <w:szCs w:val="21"/>
          <w:spacing w:val="14"/>
        </w:rPr>
        <w:t xml:space="preserve"> </w:t>
      </w:r>
      <w:r>
        <w:rPr>
          <w:rFonts w:ascii="SimSun" w:hAnsi="SimSun" w:eastAsia="SimSun" w:cs="SimSun"/>
          <w:sz w:val="21"/>
          <w:szCs w:val="21"/>
          <w:spacing w:val="-10"/>
        </w:rPr>
        <w:t>在很大程度上解决规模效应和充分竞争之间的矛盾。这个思路在传</w:t>
      </w:r>
      <w:r>
        <w:rPr>
          <w:rFonts w:ascii="SimSun" w:hAnsi="SimSun" w:eastAsia="SimSun" w:cs="SimSun"/>
          <w:sz w:val="21"/>
          <w:szCs w:val="21"/>
          <w:spacing w:val="-11"/>
        </w:rPr>
        <w:t>统 </w:t>
      </w:r>
      <w:r>
        <w:rPr>
          <w:rFonts w:ascii="SimSun" w:hAnsi="SimSun" w:eastAsia="SimSun" w:cs="SimSun"/>
          <w:sz w:val="21"/>
          <w:szCs w:val="21"/>
          <w:spacing w:val="-8"/>
        </w:rPr>
        <w:t>经济中就已经存在，例如在传统通信行业，由于显著的网络外部性，</w:t>
      </w:r>
      <w:r>
        <w:rPr>
          <w:rFonts w:ascii="SimSun" w:hAnsi="SimSun" w:eastAsia="SimSun" w:cs="SimSun"/>
          <w:sz w:val="21"/>
          <w:szCs w:val="21"/>
          <w:spacing w:val="13"/>
        </w:rPr>
        <w:t xml:space="preserve"> </w:t>
      </w:r>
      <w:r>
        <w:rPr>
          <w:rFonts w:ascii="SimSun" w:hAnsi="SimSun" w:eastAsia="SimSun" w:cs="SimSun"/>
          <w:sz w:val="21"/>
          <w:szCs w:val="21"/>
          <w:spacing w:val="-10"/>
        </w:rPr>
        <w:t>消费者强烈偏好大企业，很容易出现“赢家通吃”</w:t>
      </w:r>
      <w:r>
        <w:rPr>
          <w:rFonts w:ascii="SimSun" w:hAnsi="SimSun" w:eastAsia="SimSun" w:cs="SimSun"/>
          <w:sz w:val="21"/>
          <w:szCs w:val="21"/>
          <w:spacing w:val="-11"/>
        </w:rPr>
        <w:t>的结果。但是，由</w:t>
      </w:r>
      <w:r>
        <w:rPr>
          <w:rFonts w:ascii="SimSun" w:hAnsi="SimSun" w:eastAsia="SimSun" w:cs="SimSun"/>
          <w:sz w:val="21"/>
          <w:szCs w:val="21"/>
        </w:rPr>
        <w:t xml:space="preserve"> </w:t>
      </w:r>
      <w:r>
        <w:rPr>
          <w:rFonts w:ascii="SimSun" w:hAnsi="SimSun" w:eastAsia="SimSun" w:cs="SimSun"/>
          <w:sz w:val="21"/>
          <w:szCs w:val="21"/>
          <w:spacing w:val="-11"/>
        </w:rPr>
        <w:t>于政府执行强制性的“互联互通”规制，很多消费者也愿意使用更加</w:t>
      </w:r>
      <w:r>
        <w:rPr>
          <w:rFonts w:ascii="SimSun" w:hAnsi="SimSun" w:eastAsia="SimSun" w:cs="SimSun"/>
          <w:sz w:val="21"/>
          <w:szCs w:val="21"/>
          <w:spacing w:val="7"/>
        </w:rPr>
        <w:t xml:space="preserve">  </w:t>
      </w:r>
      <w:r>
        <w:rPr>
          <w:rFonts w:ascii="SimSun" w:hAnsi="SimSun" w:eastAsia="SimSun" w:cs="SimSun"/>
          <w:sz w:val="21"/>
          <w:szCs w:val="21"/>
          <w:spacing w:val="-10"/>
        </w:rPr>
        <w:t>个性化、规模较小的通信公司的服务，使得小公司也有生存空间，</w:t>
      </w:r>
      <w:r>
        <w:rPr>
          <w:rFonts w:ascii="SimSun" w:hAnsi="SimSun" w:eastAsia="SimSun" w:cs="SimSun"/>
          <w:sz w:val="21"/>
          <w:szCs w:val="21"/>
          <w:spacing w:val="-11"/>
        </w:rPr>
        <w:t>最 </w:t>
      </w:r>
      <w:r>
        <w:rPr>
          <w:rFonts w:ascii="SimSun" w:hAnsi="SimSun" w:eastAsia="SimSun" w:cs="SimSun"/>
          <w:sz w:val="21"/>
          <w:szCs w:val="21"/>
          <w:spacing w:val="-11"/>
        </w:rPr>
        <w:t>终不仅便利了消费者，还有力地保护了竞争。</w:t>
      </w:r>
    </w:p>
    <w:p>
      <w:pPr>
        <w:ind w:right="41" w:firstLine="449"/>
        <w:spacing w:before="109" w:line="297" w:lineRule="auto"/>
        <w:jc w:val="both"/>
        <w:rPr>
          <w:rFonts w:ascii="SimSun" w:hAnsi="SimSun" w:eastAsia="SimSun" w:cs="SimSun"/>
          <w:sz w:val="21"/>
          <w:szCs w:val="21"/>
        </w:rPr>
      </w:pPr>
      <w:r>
        <w:rPr>
          <w:rFonts w:ascii="SimSun" w:hAnsi="SimSun" w:eastAsia="SimSun" w:cs="SimSun"/>
          <w:sz w:val="21"/>
          <w:szCs w:val="21"/>
          <w:spacing w:val="-11"/>
        </w:rPr>
        <w:t>互联互通规制是现代通信业的基石，是“好的”政府规制的典型</w:t>
      </w:r>
      <w:r>
        <w:rPr>
          <w:rFonts w:ascii="SimSun" w:hAnsi="SimSun" w:eastAsia="SimSun" w:cs="SimSun"/>
          <w:sz w:val="21"/>
          <w:szCs w:val="21"/>
          <w:spacing w:val="10"/>
        </w:rPr>
        <w:t xml:space="preserve"> </w:t>
      </w:r>
      <w:r>
        <w:rPr>
          <w:rFonts w:ascii="SimSun" w:hAnsi="SimSun" w:eastAsia="SimSun" w:cs="SimSun"/>
          <w:sz w:val="21"/>
          <w:szCs w:val="21"/>
          <w:spacing w:val="-11"/>
        </w:rPr>
        <w:t>代表。互联互通在保留网络效应的同时，使垄断变得不可能。通信企</w:t>
      </w:r>
      <w:r>
        <w:rPr>
          <w:rFonts w:ascii="SimSun" w:hAnsi="SimSun" w:eastAsia="SimSun" w:cs="SimSun"/>
          <w:sz w:val="21"/>
          <w:szCs w:val="21"/>
          <w:spacing w:val="7"/>
        </w:rPr>
        <w:t xml:space="preserve"> </w:t>
      </w:r>
      <w:r>
        <w:rPr>
          <w:rFonts w:ascii="SimSun" w:hAnsi="SimSun" w:eastAsia="SimSun" w:cs="SimSun"/>
          <w:sz w:val="21"/>
          <w:szCs w:val="21"/>
          <w:spacing w:val="-11"/>
        </w:rPr>
        <w:t>业通过提升服务质量相互竞争，而不是通过相互打压、“烧钱”争夺</w:t>
      </w:r>
      <w:r>
        <w:rPr>
          <w:rFonts w:ascii="SimSun" w:hAnsi="SimSun" w:eastAsia="SimSun" w:cs="SimSun"/>
          <w:sz w:val="21"/>
          <w:szCs w:val="21"/>
          <w:spacing w:val="7"/>
        </w:rPr>
        <w:t xml:space="preserve"> </w:t>
      </w:r>
      <w:r>
        <w:rPr>
          <w:rFonts w:ascii="SimSun" w:hAnsi="SimSun" w:eastAsia="SimSun" w:cs="SimSun"/>
          <w:sz w:val="21"/>
          <w:szCs w:val="21"/>
          <w:spacing w:val="-11"/>
        </w:rPr>
        <w:t>用户。与数字平台中存在的“赢家通吃”问题相反，为了限制过度竞</w:t>
      </w:r>
      <w:r>
        <w:rPr>
          <w:rFonts w:ascii="SimSun" w:hAnsi="SimSun" w:eastAsia="SimSun" w:cs="SimSun"/>
          <w:sz w:val="21"/>
          <w:szCs w:val="21"/>
          <w:spacing w:val="9"/>
        </w:rPr>
        <w:t xml:space="preserve"> </w:t>
      </w:r>
      <w:r>
        <w:rPr>
          <w:rFonts w:ascii="SimSun" w:hAnsi="SimSun" w:eastAsia="SimSun" w:cs="SimSun"/>
          <w:sz w:val="21"/>
          <w:szCs w:val="21"/>
          <w:spacing w:val="-11"/>
        </w:rPr>
        <w:t>争，政府甚至还需要通过发放牌照限制通信</w:t>
      </w:r>
      <w:r>
        <w:rPr>
          <w:rFonts w:ascii="SimSun" w:hAnsi="SimSun" w:eastAsia="SimSun" w:cs="SimSun"/>
          <w:sz w:val="21"/>
          <w:szCs w:val="21"/>
          <w:spacing w:val="-12"/>
        </w:rPr>
        <w:t>企业的过度进入。</w:t>
      </w:r>
    </w:p>
    <w:p>
      <w:pPr>
        <w:spacing w:line="297" w:lineRule="auto"/>
        <w:sectPr>
          <w:headerReference w:type="default" r:id="rId368"/>
          <w:pgSz w:w="7330" w:h="12480"/>
          <w:pgMar w:top="508" w:right="575" w:bottom="400" w:left="680" w:header="333" w:footer="0" w:gutter="0"/>
        </w:sectPr>
        <w:rPr>
          <w:rFonts w:ascii="SimSun" w:hAnsi="SimSun" w:eastAsia="SimSun" w:cs="SimSun"/>
          <w:sz w:val="21"/>
          <w:szCs w:val="21"/>
        </w:rPr>
      </w:pPr>
    </w:p>
    <w:p>
      <w:pPr>
        <w:pStyle w:val="BodyText"/>
        <w:spacing w:line="250" w:lineRule="auto"/>
        <w:rPr/>
      </w:pPr>
      <w:r>
        <w:drawing>
          <wp:anchor distT="0" distB="0" distL="0" distR="0" simplePos="0" relativeHeight="254826496" behindDoc="0" locked="0" layoutInCell="0" allowOverlap="1">
            <wp:simplePos x="0" y="0"/>
            <wp:positionH relativeFrom="page">
              <wp:posOffset>273036</wp:posOffset>
            </wp:positionH>
            <wp:positionV relativeFrom="page">
              <wp:posOffset>6889737</wp:posOffset>
            </wp:positionV>
            <wp:extent cx="1174761" cy="6350"/>
            <wp:effectExtent l="0" t="0" r="0" b="0"/>
            <wp:wrapNone/>
            <wp:docPr id="252" name="IM 252"/>
            <wp:cNvGraphicFramePr/>
            <a:graphic>
              <a:graphicData uri="http://schemas.openxmlformats.org/drawingml/2006/picture">
                <pic:pic>
                  <pic:nvPicPr>
                    <pic:cNvPr id="252" name="IM 252"/>
                    <pic:cNvPicPr/>
                  </pic:nvPicPr>
                  <pic:blipFill>
                    <a:blip r:embed="rId370"/>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ind w:right="49" w:firstLine="399"/>
        <w:spacing w:before="69" w:line="301" w:lineRule="auto"/>
        <w:jc w:val="both"/>
        <w:rPr>
          <w:rFonts w:ascii="SimSun" w:hAnsi="SimSun" w:eastAsia="SimSun" w:cs="SimSun"/>
          <w:sz w:val="21"/>
          <w:szCs w:val="21"/>
        </w:rPr>
      </w:pPr>
      <w:r>
        <w:rPr>
          <w:rFonts w:ascii="SimSun" w:hAnsi="SimSun" w:eastAsia="SimSun" w:cs="SimSun"/>
          <w:sz w:val="21"/>
          <w:szCs w:val="21"/>
          <w:spacing w:val="-10"/>
        </w:rPr>
        <w:t>理论上，网络外部性可能导致多均衡现象。①在没有政府干预的</w:t>
      </w:r>
      <w:r>
        <w:rPr>
          <w:rFonts w:ascii="SimSun" w:hAnsi="SimSun" w:eastAsia="SimSun" w:cs="SimSun"/>
          <w:sz w:val="21"/>
          <w:szCs w:val="21"/>
          <w:spacing w:val="4"/>
        </w:rPr>
        <w:t xml:space="preserve"> </w:t>
      </w:r>
      <w:r>
        <w:rPr>
          <w:rFonts w:ascii="SimSun" w:hAnsi="SimSun" w:eastAsia="SimSun" w:cs="SimSun"/>
          <w:sz w:val="21"/>
          <w:szCs w:val="21"/>
          <w:spacing w:val="-11"/>
        </w:rPr>
        <w:t>情况下，市场可能形成多种不同的兼容格局，以及相应的市场效率和</w:t>
      </w:r>
      <w:r>
        <w:rPr>
          <w:rFonts w:ascii="SimSun" w:hAnsi="SimSun" w:eastAsia="SimSun" w:cs="SimSun"/>
          <w:sz w:val="21"/>
          <w:szCs w:val="21"/>
          <w:spacing w:val="15"/>
        </w:rPr>
        <w:t xml:space="preserve"> </w:t>
      </w:r>
      <w:r>
        <w:rPr>
          <w:rFonts w:ascii="SimSun" w:hAnsi="SimSun" w:eastAsia="SimSun" w:cs="SimSun"/>
          <w:sz w:val="21"/>
          <w:szCs w:val="21"/>
          <w:spacing w:val="-11"/>
        </w:rPr>
        <w:t>利益分配，其中一些兼容格局可能显著优于其他。因此，在一个成熟</w:t>
      </w:r>
      <w:r>
        <w:rPr>
          <w:rFonts w:ascii="SimSun" w:hAnsi="SimSun" w:eastAsia="SimSun" w:cs="SimSun"/>
          <w:sz w:val="21"/>
          <w:szCs w:val="21"/>
          <w:spacing w:val="10"/>
        </w:rPr>
        <w:t xml:space="preserve"> </w:t>
      </w:r>
      <w:r>
        <w:rPr>
          <w:rFonts w:ascii="SimSun" w:hAnsi="SimSun" w:eastAsia="SimSun" w:cs="SimSun"/>
          <w:sz w:val="21"/>
          <w:szCs w:val="21"/>
          <w:spacing w:val="-11"/>
        </w:rPr>
        <w:t>的网络业态中，通过适当的政府干预协调平台行为，实行最优水平的</w:t>
      </w:r>
      <w:r>
        <w:rPr>
          <w:rFonts w:ascii="SimSun" w:hAnsi="SimSun" w:eastAsia="SimSun" w:cs="SimSun"/>
          <w:sz w:val="21"/>
          <w:szCs w:val="21"/>
          <w:spacing w:val="14"/>
        </w:rPr>
        <w:t xml:space="preserve"> </w:t>
      </w:r>
      <w:r>
        <w:rPr>
          <w:rFonts w:ascii="SimSun" w:hAnsi="SimSun" w:eastAsia="SimSun" w:cs="SimSun"/>
          <w:sz w:val="21"/>
          <w:szCs w:val="21"/>
          <w:spacing w:val="-11"/>
        </w:rPr>
        <w:t>相互兼容，不仅能够改善市场结果，而且可以保证相关企业和消费者</w:t>
      </w:r>
      <w:r>
        <w:rPr>
          <w:rFonts w:ascii="SimSun" w:hAnsi="SimSun" w:eastAsia="SimSun" w:cs="SimSun"/>
          <w:sz w:val="21"/>
          <w:szCs w:val="21"/>
          <w:spacing w:val="8"/>
        </w:rPr>
        <w:t xml:space="preserve"> </w:t>
      </w:r>
      <w:r>
        <w:rPr>
          <w:rFonts w:ascii="SimSun" w:hAnsi="SimSun" w:eastAsia="SimSun" w:cs="SimSun"/>
          <w:sz w:val="21"/>
          <w:szCs w:val="21"/>
          <w:spacing w:val="-8"/>
        </w:rPr>
        <w:t>的激励相容。</w:t>
      </w:r>
    </w:p>
    <w:p>
      <w:pPr>
        <w:ind w:right="59" w:firstLine="399"/>
        <w:spacing w:before="117" w:line="306" w:lineRule="auto"/>
        <w:jc w:val="both"/>
        <w:rPr>
          <w:rFonts w:ascii="SimSun" w:hAnsi="SimSun" w:eastAsia="SimSun" w:cs="SimSun"/>
          <w:sz w:val="21"/>
          <w:szCs w:val="21"/>
        </w:rPr>
      </w:pPr>
      <w:r>
        <w:rPr>
          <w:rFonts w:ascii="SimSun" w:hAnsi="SimSun" w:eastAsia="SimSun" w:cs="SimSun"/>
          <w:sz w:val="21"/>
          <w:szCs w:val="21"/>
          <w:spacing w:val="-3"/>
        </w:rPr>
        <w:t>互联互通不仅包括平台之间相互开放外链，可以直接打开应用</w:t>
      </w:r>
      <w:r>
        <w:rPr>
          <w:rFonts w:ascii="SimSun" w:hAnsi="SimSun" w:eastAsia="SimSun" w:cs="SimSun"/>
          <w:sz w:val="21"/>
          <w:szCs w:val="21"/>
          <w:spacing w:val="5"/>
        </w:rPr>
        <w:t xml:space="preserve"> </w:t>
      </w:r>
      <w:r>
        <w:rPr>
          <w:rFonts w:ascii="SimSun" w:hAnsi="SimSun" w:eastAsia="SimSun" w:cs="SimSun"/>
          <w:sz w:val="21"/>
          <w:szCs w:val="21"/>
          <w:spacing w:val="-11"/>
        </w:rPr>
        <w:t>或网站，更重要的是同类型平台之间相互开放用户，使之可以直接访</w:t>
      </w:r>
      <w:r>
        <w:rPr>
          <w:rFonts w:ascii="SimSun" w:hAnsi="SimSun" w:eastAsia="SimSun" w:cs="SimSun"/>
          <w:sz w:val="21"/>
          <w:szCs w:val="21"/>
          <w:spacing w:val="9"/>
        </w:rPr>
        <w:t xml:space="preserve"> </w:t>
      </w:r>
      <w:r>
        <w:rPr>
          <w:rFonts w:ascii="SimSun" w:hAnsi="SimSun" w:eastAsia="SimSun" w:cs="SimSun"/>
          <w:sz w:val="21"/>
          <w:szCs w:val="21"/>
          <w:spacing w:val="-11"/>
        </w:rPr>
        <w:t>问。数字平台之间的互联互通可以在不损害网络效应的情况下促进平</w:t>
      </w:r>
      <w:r>
        <w:rPr>
          <w:rFonts w:ascii="SimSun" w:hAnsi="SimSun" w:eastAsia="SimSun" w:cs="SimSun"/>
          <w:sz w:val="21"/>
          <w:szCs w:val="21"/>
          <w:spacing w:val="8"/>
        </w:rPr>
        <w:t xml:space="preserve"> </w:t>
      </w:r>
      <w:r>
        <w:rPr>
          <w:rFonts w:ascii="SimSun" w:hAnsi="SimSun" w:eastAsia="SimSun" w:cs="SimSun"/>
          <w:sz w:val="21"/>
          <w:szCs w:val="21"/>
          <w:spacing w:val="-3"/>
        </w:rPr>
        <w:t>台间的竞争。例如，如果钉钉等社交平台可以</w:t>
      </w:r>
      <w:r>
        <w:rPr>
          <w:rFonts w:ascii="SimSun" w:hAnsi="SimSun" w:eastAsia="SimSun" w:cs="SimSun"/>
          <w:sz w:val="21"/>
          <w:szCs w:val="21"/>
          <w:spacing w:val="-4"/>
        </w:rPr>
        <w:t>直接联系到微信的用</w:t>
      </w:r>
      <w:r>
        <w:rPr>
          <w:rFonts w:ascii="SimSun" w:hAnsi="SimSun" w:eastAsia="SimSun" w:cs="SimSun"/>
          <w:sz w:val="21"/>
          <w:szCs w:val="21"/>
        </w:rPr>
        <w:t xml:space="preserve"> </w:t>
      </w:r>
      <w:r>
        <w:rPr>
          <w:rFonts w:ascii="SimSun" w:hAnsi="SimSun" w:eastAsia="SimSun" w:cs="SimSun"/>
          <w:sz w:val="21"/>
          <w:szCs w:val="21"/>
          <w:spacing w:val="-11"/>
        </w:rPr>
        <w:t>户，那么信息交流的效率会大幅提升。与此同时，微信之外的社交平</w:t>
      </w:r>
      <w:r>
        <w:rPr>
          <w:rFonts w:ascii="SimSun" w:hAnsi="SimSun" w:eastAsia="SimSun" w:cs="SimSun"/>
          <w:sz w:val="21"/>
          <w:szCs w:val="21"/>
          <w:spacing w:val="8"/>
        </w:rPr>
        <w:t xml:space="preserve"> </w:t>
      </w:r>
      <w:r>
        <w:rPr>
          <w:rFonts w:ascii="SimSun" w:hAnsi="SimSun" w:eastAsia="SimSun" w:cs="SimSun"/>
          <w:sz w:val="21"/>
          <w:szCs w:val="21"/>
          <w:spacing w:val="-11"/>
        </w:rPr>
        <w:t>台的成长空间也会被打开，从而形成竞争比较充分的市场结构。平台</w:t>
      </w:r>
      <w:r>
        <w:rPr>
          <w:rFonts w:ascii="SimSun" w:hAnsi="SimSun" w:eastAsia="SimSun" w:cs="SimSun"/>
          <w:sz w:val="21"/>
          <w:szCs w:val="21"/>
        </w:rPr>
        <w:t xml:space="preserve"> </w:t>
      </w:r>
      <w:r>
        <w:rPr>
          <w:rFonts w:ascii="SimSun" w:hAnsi="SimSun" w:eastAsia="SimSun" w:cs="SimSun"/>
          <w:sz w:val="21"/>
          <w:szCs w:val="21"/>
          <w:spacing w:val="-11"/>
        </w:rPr>
        <w:t>之间通过提高服务质量和科技含量来竞争，通过为消费者带来更好的</w:t>
      </w:r>
      <w:r>
        <w:rPr>
          <w:rFonts w:ascii="SimSun" w:hAnsi="SimSun" w:eastAsia="SimSun" w:cs="SimSun"/>
          <w:sz w:val="21"/>
          <w:szCs w:val="21"/>
          <w:spacing w:val="14"/>
        </w:rPr>
        <w:t xml:space="preserve"> </w:t>
      </w:r>
      <w:r>
        <w:rPr>
          <w:rFonts w:ascii="SimSun" w:hAnsi="SimSun" w:eastAsia="SimSun" w:cs="SimSun"/>
          <w:sz w:val="21"/>
          <w:szCs w:val="21"/>
          <w:spacing w:val="-11"/>
        </w:rPr>
        <w:t>体验获得竞争优势，这是更健康的竞争方式。因此互联互通实现了网</w:t>
      </w:r>
      <w:r>
        <w:rPr>
          <w:rFonts w:ascii="SimSun" w:hAnsi="SimSun" w:eastAsia="SimSun" w:cs="SimSun"/>
          <w:sz w:val="21"/>
          <w:szCs w:val="21"/>
          <w:spacing w:val="18"/>
        </w:rPr>
        <w:t xml:space="preserve"> </w:t>
      </w:r>
      <w:r>
        <w:rPr>
          <w:rFonts w:ascii="SimSun" w:hAnsi="SimSun" w:eastAsia="SimSun" w:cs="SimSun"/>
          <w:sz w:val="21"/>
          <w:szCs w:val="21"/>
          <w:spacing w:val="-19"/>
        </w:rPr>
        <w:t>络效应和充分竞争的“得兼”。</w:t>
      </w:r>
    </w:p>
    <w:p>
      <w:pPr>
        <w:ind w:firstLine="399"/>
        <w:spacing w:before="97" w:line="306" w:lineRule="auto"/>
        <w:jc w:val="both"/>
        <w:rPr>
          <w:rFonts w:ascii="SimSun" w:hAnsi="SimSun" w:eastAsia="SimSun" w:cs="SimSun"/>
          <w:sz w:val="21"/>
          <w:szCs w:val="21"/>
        </w:rPr>
      </w:pPr>
      <w:r>
        <w:rPr>
          <w:rFonts w:ascii="SimSun" w:hAnsi="SimSun" w:eastAsia="SimSun" w:cs="SimSun"/>
          <w:sz w:val="21"/>
          <w:szCs w:val="21"/>
          <w:spacing w:val="-11"/>
        </w:rPr>
        <w:t>互联互通在技术上可能有一定难度。首先，由于不同平台之间的 </w:t>
      </w:r>
      <w:r>
        <w:rPr>
          <w:rFonts w:ascii="SimSun" w:hAnsi="SimSun" w:eastAsia="SimSun" w:cs="SimSun"/>
          <w:sz w:val="21"/>
          <w:szCs w:val="21"/>
          <w:spacing w:val="-11"/>
        </w:rPr>
        <w:t>技术差异，相互兼容需要解决转换问题。例如微信和钉钉虽然有相似 </w:t>
      </w:r>
      <w:r>
        <w:rPr>
          <w:rFonts w:ascii="SimSun" w:hAnsi="SimSun" w:eastAsia="SimSun" w:cs="SimSun"/>
          <w:sz w:val="21"/>
          <w:szCs w:val="21"/>
          <w:spacing w:val="-10"/>
        </w:rPr>
        <w:t>之处，但在许多功能设计上还是有差异，不可能完全兼容；</w:t>
      </w:r>
      <w:r>
        <w:rPr>
          <w:rFonts w:ascii="SimSun" w:hAnsi="SimSun" w:eastAsia="SimSun" w:cs="SimSun"/>
          <w:sz w:val="21"/>
          <w:szCs w:val="21"/>
          <w:spacing w:val="-11"/>
        </w:rPr>
        <w:t>美团和饿</w:t>
      </w:r>
      <w:r>
        <w:rPr>
          <w:rFonts w:ascii="SimSun" w:hAnsi="SimSun" w:eastAsia="SimSun" w:cs="SimSun"/>
          <w:sz w:val="21"/>
          <w:szCs w:val="21"/>
        </w:rPr>
        <w:t xml:space="preserve"> </w:t>
      </w:r>
      <w:r>
        <w:rPr>
          <w:rFonts w:ascii="SimSun" w:hAnsi="SimSun" w:eastAsia="SimSun" w:cs="SimSun"/>
          <w:sz w:val="21"/>
          <w:szCs w:val="21"/>
          <w:spacing w:val="-8"/>
        </w:rPr>
        <w:t>了么都是外卖送餐平台，但不排除在技术实现方式上</w:t>
      </w:r>
      <w:r>
        <w:rPr>
          <w:rFonts w:ascii="SimSun" w:hAnsi="SimSun" w:eastAsia="SimSun" w:cs="SimSun"/>
          <w:sz w:val="21"/>
          <w:szCs w:val="21"/>
          <w:spacing w:val="-9"/>
        </w:rPr>
        <w:t>采用不同算法，</w:t>
      </w:r>
      <w:r>
        <w:rPr>
          <w:rFonts w:ascii="SimSun" w:hAnsi="SimSun" w:eastAsia="SimSun" w:cs="SimSun"/>
          <w:sz w:val="21"/>
          <w:szCs w:val="21"/>
        </w:rPr>
        <w:t xml:space="preserve"> </w:t>
      </w:r>
      <w:r>
        <w:rPr>
          <w:rFonts w:ascii="SimSun" w:hAnsi="SimSun" w:eastAsia="SimSun" w:cs="SimSun"/>
          <w:sz w:val="21"/>
          <w:szCs w:val="21"/>
          <w:spacing w:val="-10"/>
        </w:rPr>
        <w:t>共享餐馆或消费者信息也可能存在一定的技术困难。总的来说，平台</w:t>
      </w:r>
      <w:r>
        <w:rPr>
          <w:rFonts w:ascii="SimSun" w:hAnsi="SimSun" w:eastAsia="SimSun" w:cs="SimSun"/>
          <w:sz w:val="21"/>
          <w:szCs w:val="21"/>
          <w:spacing w:val="10"/>
        </w:rPr>
        <w:t xml:space="preserve"> </w:t>
      </w:r>
      <w:r>
        <w:rPr>
          <w:rFonts w:ascii="SimSun" w:hAnsi="SimSun" w:eastAsia="SimSun" w:cs="SimSun"/>
          <w:sz w:val="21"/>
          <w:szCs w:val="21"/>
          <w:spacing w:val="-11"/>
        </w:rPr>
        <w:t>间信息技术差异越大，兼容的成本越高，最终可能实现的兼容程度越 </w:t>
      </w:r>
      <w:r>
        <w:rPr>
          <w:rFonts w:ascii="SimSun" w:hAnsi="SimSun" w:eastAsia="SimSun" w:cs="SimSun"/>
          <w:sz w:val="21"/>
          <w:szCs w:val="21"/>
          <w:spacing w:val="-11"/>
        </w:rPr>
        <w:t>低。其次，互联互通规制还可能存在用户隐私方面的问题。当用户信 </w:t>
      </w:r>
      <w:r>
        <w:rPr>
          <w:rFonts w:ascii="SimSun" w:hAnsi="SimSun" w:eastAsia="SimSun" w:cs="SimSun"/>
          <w:sz w:val="21"/>
          <w:szCs w:val="21"/>
          <w:spacing w:val="-10"/>
        </w:rPr>
        <w:t>息向多个平台开放时，隐私保护的难度上升，技术</w:t>
      </w:r>
      <w:r>
        <w:rPr>
          <w:rFonts w:ascii="SimSun" w:hAnsi="SimSun" w:eastAsia="SimSun" w:cs="SimSun"/>
          <w:sz w:val="21"/>
          <w:szCs w:val="21"/>
          <w:spacing w:val="-11"/>
        </w:rPr>
        <w:t>手段需要升级。由</w:t>
      </w:r>
      <w:r>
        <w:rPr>
          <w:rFonts w:ascii="SimSun" w:hAnsi="SimSun" w:eastAsia="SimSun" w:cs="SimSun"/>
          <w:sz w:val="21"/>
          <w:szCs w:val="21"/>
        </w:rPr>
        <w:t xml:space="preserve"> </w:t>
      </w:r>
      <w:r>
        <w:rPr>
          <w:rFonts w:ascii="SimSun" w:hAnsi="SimSun" w:eastAsia="SimSun" w:cs="SimSun"/>
          <w:sz w:val="21"/>
          <w:szCs w:val="21"/>
          <w:spacing w:val="-10"/>
        </w:rPr>
        <w:t>于隐私保护不能由原注册平台完全负责，出现隐</w:t>
      </w:r>
      <w:r>
        <w:rPr>
          <w:rFonts w:ascii="SimSun" w:hAnsi="SimSun" w:eastAsia="SimSun" w:cs="SimSun"/>
          <w:sz w:val="21"/>
          <w:szCs w:val="21"/>
          <w:spacing w:val="-11"/>
        </w:rPr>
        <w:t>私泄露事故时追责也</w:t>
      </w:r>
    </w:p>
    <w:p>
      <w:pPr>
        <w:pStyle w:val="BodyText"/>
        <w:spacing w:line="253" w:lineRule="auto"/>
        <w:rPr/>
      </w:pPr>
      <w:r/>
    </w:p>
    <w:p>
      <w:pPr>
        <w:pStyle w:val="BodyText"/>
        <w:spacing w:line="254" w:lineRule="auto"/>
        <w:rPr/>
      </w:pPr>
      <w:r/>
    </w:p>
    <w:p>
      <w:pPr>
        <w:spacing w:before="58" w:line="212" w:lineRule="auto"/>
        <w:rPr>
          <w:rFonts w:ascii="Times New Roman" w:hAnsi="Times New Roman" w:eastAsia="Times New Roman" w:cs="Times New Roman"/>
          <w:sz w:val="18"/>
          <w:szCs w:val="18"/>
        </w:rPr>
      </w:pPr>
      <w:r>
        <w:rPr>
          <w:rFonts w:ascii="SimSun" w:hAnsi="SimSun" w:eastAsia="SimSun" w:cs="SimSun"/>
          <w:sz w:val="18"/>
          <w:szCs w:val="18"/>
        </w:rPr>
        <w:t>①</w:t>
      </w:r>
      <w:r>
        <w:rPr>
          <w:rFonts w:ascii="SimSun" w:hAnsi="SimSun" w:eastAsia="SimSun" w:cs="SimSun"/>
          <w:sz w:val="18"/>
          <w:szCs w:val="18"/>
          <w:spacing w:val="44"/>
        </w:rPr>
        <w:t xml:space="preserve"> </w:t>
      </w:r>
      <w:r>
        <w:rPr>
          <w:rFonts w:ascii="Times New Roman" w:hAnsi="Times New Roman" w:eastAsia="Times New Roman" w:cs="Times New Roman"/>
          <w:sz w:val="18"/>
          <w:szCs w:val="18"/>
        </w:rPr>
        <w:t>M.Katz,C.Shapiro,“Network    Externalities,Competition,and    Compatibility”,</w:t>
      </w:r>
    </w:p>
    <w:p>
      <w:pPr>
        <w:ind w:left="319"/>
        <w:spacing w:before="12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American</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Economic</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Review,1985,75(3):424-440.</w:t>
      </w:r>
    </w:p>
    <w:p>
      <w:pPr>
        <w:spacing w:line="192" w:lineRule="auto"/>
        <w:sectPr>
          <w:headerReference w:type="default" r:id="rId369"/>
          <w:pgSz w:w="7330" w:h="12480"/>
          <w:pgMar w:top="815" w:right="854" w:bottom="400" w:left="420" w:header="652" w:footer="0" w:gutter="0"/>
        </w:sectPr>
        <w:rPr>
          <w:rFonts w:ascii="Times New Roman" w:hAnsi="Times New Roman" w:eastAsia="Times New Roman" w:cs="Times New Roman"/>
          <w:sz w:val="16"/>
          <w:szCs w:val="16"/>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268" w:lineRule="auto"/>
        <w:rPr>
          <w:rFonts w:ascii="SimSun" w:hAnsi="SimSun" w:eastAsia="SimSun" w:cs="SimSun"/>
          <w:sz w:val="21"/>
          <w:szCs w:val="21"/>
        </w:rPr>
      </w:pPr>
      <w:r>
        <w:rPr>
          <w:rFonts w:ascii="SimSun" w:hAnsi="SimSun" w:eastAsia="SimSun" w:cs="SimSun"/>
          <w:sz w:val="21"/>
          <w:szCs w:val="21"/>
          <w:spacing w:val="-8"/>
        </w:rPr>
        <w:t>比较困难，这些都需要企业层面的追加投资和社会层面的立法跟进。</w:t>
      </w:r>
      <w:r>
        <w:rPr>
          <w:rFonts w:ascii="SimSun" w:hAnsi="SimSun" w:eastAsia="SimSun" w:cs="SimSun"/>
          <w:sz w:val="21"/>
          <w:szCs w:val="21"/>
          <w:spacing w:val="14"/>
        </w:rPr>
        <w:t xml:space="preserve"> </w:t>
      </w:r>
      <w:r>
        <w:rPr>
          <w:rFonts w:ascii="SimSun" w:hAnsi="SimSun" w:eastAsia="SimSun" w:cs="SimSun"/>
          <w:sz w:val="21"/>
          <w:szCs w:val="21"/>
          <w:spacing w:val="-11"/>
        </w:rPr>
        <w:t>但是总的来说，这些困难都是可以克服的。</w:t>
      </w:r>
    </w:p>
    <w:p>
      <w:pPr>
        <w:ind w:right="20" w:firstLine="440"/>
        <w:spacing w:before="113" w:line="302" w:lineRule="auto"/>
        <w:jc w:val="both"/>
        <w:rPr>
          <w:rFonts w:ascii="SimSun" w:hAnsi="SimSun" w:eastAsia="SimSun" w:cs="SimSun"/>
          <w:sz w:val="21"/>
          <w:szCs w:val="21"/>
        </w:rPr>
      </w:pPr>
      <w:r>
        <w:rPr>
          <w:rFonts w:ascii="SimSun" w:hAnsi="SimSun" w:eastAsia="SimSun" w:cs="SimSun"/>
          <w:sz w:val="21"/>
          <w:szCs w:val="21"/>
          <w:spacing w:val="-10"/>
        </w:rPr>
        <w:t>互联互通最大的难点还在于经济激励或利益分配。规模较大</w:t>
      </w:r>
      <w:r>
        <w:rPr>
          <w:rFonts w:ascii="SimSun" w:hAnsi="SimSun" w:eastAsia="SimSun" w:cs="SimSun"/>
          <w:sz w:val="21"/>
          <w:szCs w:val="21"/>
          <w:spacing w:val="-11"/>
        </w:rPr>
        <w:t>的平</w:t>
      </w:r>
      <w:r>
        <w:rPr>
          <w:rFonts w:ascii="SimSun" w:hAnsi="SimSun" w:eastAsia="SimSun" w:cs="SimSun"/>
          <w:sz w:val="21"/>
          <w:szCs w:val="21"/>
        </w:rPr>
        <w:t xml:space="preserve"> </w:t>
      </w:r>
      <w:r>
        <w:rPr>
          <w:rFonts w:ascii="SimSun" w:hAnsi="SimSun" w:eastAsia="SimSun" w:cs="SimSun"/>
          <w:sz w:val="21"/>
          <w:szCs w:val="21"/>
          <w:spacing w:val="-11"/>
        </w:rPr>
        <w:t>台对互联互通的贡献最大，而从中获益不大，同时还可能给自己制造 </w:t>
      </w:r>
      <w:r>
        <w:rPr>
          <w:rFonts w:ascii="SimSun" w:hAnsi="SimSun" w:eastAsia="SimSun" w:cs="SimSun"/>
          <w:sz w:val="21"/>
          <w:szCs w:val="21"/>
          <w:spacing w:val="-8"/>
        </w:rPr>
        <w:t>竞争对手，因此对兼容缺乏兴趣。除非政府强制或者</w:t>
      </w:r>
      <w:r>
        <w:rPr>
          <w:rFonts w:ascii="SimSun" w:hAnsi="SimSun" w:eastAsia="SimSun" w:cs="SimSun"/>
          <w:sz w:val="21"/>
          <w:szCs w:val="21"/>
          <w:spacing w:val="-9"/>
        </w:rPr>
        <w:t>有适当的补贴，</w:t>
      </w:r>
      <w:r>
        <w:rPr>
          <w:rFonts w:ascii="SimSun" w:hAnsi="SimSun" w:eastAsia="SimSun" w:cs="SimSun"/>
          <w:sz w:val="21"/>
          <w:szCs w:val="21"/>
        </w:rPr>
        <w:t xml:space="preserve"> </w:t>
      </w:r>
      <w:r>
        <w:rPr>
          <w:rFonts w:ascii="SimSun" w:hAnsi="SimSun" w:eastAsia="SimSun" w:cs="SimSun"/>
          <w:sz w:val="21"/>
          <w:szCs w:val="21"/>
          <w:spacing w:val="-11"/>
        </w:rPr>
        <w:t>大型平台一般不会主动兼容，甚至会消极抵制。从政府角度看，应该 </w:t>
      </w:r>
      <w:r>
        <w:rPr>
          <w:rFonts w:ascii="SimSun" w:hAnsi="SimSun" w:eastAsia="SimSun" w:cs="SimSun"/>
          <w:sz w:val="21"/>
          <w:szCs w:val="21"/>
          <w:spacing w:val="-11"/>
        </w:rPr>
        <w:t>考虑到大型平台在发展过程中有较大的投入，在建立互联互通规则的 </w:t>
      </w:r>
      <w:r>
        <w:rPr>
          <w:rFonts w:ascii="SimSun" w:hAnsi="SimSun" w:eastAsia="SimSun" w:cs="SimSun"/>
          <w:sz w:val="21"/>
          <w:szCs w:val="21"/>
          <w:spacing w:val="-11"/>
        </w:rPr>
        <w:t>过程中应给予适当补偿。如果完全互联互通不可行，那么限于基础功 </w:t>
      </w:r>
      <w:r>
        <w:rPr>
          <w:rFonts w:ascii="SimSun" w:hAnsi="SimSun" w:eastAsia="SimSun" w:cs="SimSun"/>
          <w:sz w:val="21"/>
          <w:szCs w:val="21"/>
          <w:spacing w:val="-11"/>
        </w:rPr>
        <w:t>能的部分兼容也会产生非常重大的社会效益。</w:t>
      </w:r>
    </w:p>
    <w:p>
      <w:pPr>
        <w:ind w:right="36" w:firstLine="440"/>
        <w:spacing w:before="101" w:line="292" w:lineRule="auto"/>
        <w:jc w:val="both"/>
        <w:rPr>
          <w:rFonts w:ascii="SimSun" w:hAnsi="SimSun" w:eastAsia="SimSun" w:cs="SimSun"/>
          <w:sz w:val="21"/>
          <w:szCs w:val="21"/>
        </w:rPr>
      </w:pPr>
      <w:r>
        <w:rPr>
          <w:rFonts w:ascii="SimSun" w:hAnsi="SimSun" w:eastAsia="SimSun" w:cs="SimSun"/>
          <w:sz w:val="21"/>
          <w:szCs w:val="21"/>
          <w:spacing w:val="-10"/>
        </w:rPr>
        <w:t>总之，数字平台之间的互联互通具有巨大的社会效益，值</w:t>
      </w:r>
      <w:r>
        <w:rPr>
          <w:rFonts w:ascii="SimSun" w:hAnsi="SimSun" w:eastAsia="SimSun" w:cs="SimSun"/>
          <w:sz w:val="21"/>
          <w:szCs w:val="21"/>
          <w:spacing w:val="-11"/>
        </w:rPr>
        <w:t>得积极</w:t>
      </w:r>
      <w:r>
        <w:rPr>
          <w:rFonts w:ascii="SimSun" w:hAnsi="SimSun" w:eastAsia="SimSun" w:cs="SimSun"/>
          <w:sz w:val="21"/>
          <w:szCs w:val="21"/>
        </w:rPr>
        <w:t xml:space="preserve"> </w:t>
      </w:r>
      <w:r>
        <w:rPr>
          <w:rFonts w:ascii="SimSun" w:hAnsi="SimSun" w:eastAsia="SimSun" w:cs="SimSun"/>
          <w:sz w:val="21"/>
          <w:szCs w:val="21"/>
          <w:spacing w:val="-11"/>
        </w:rPr>
        <w:t>探索。互联互通可能需要克服一些技术上的困难，但主要阻力还在于</w:t>
      </w:r>
      <w:r>
        <w:rPr>
          <w:rFonts w:ascii="SimSun" w:hAnsi="SimSun" w:eastAsia="SimSun" w:cs="SimSun"/>
          <w:sz w:val="21"/>
          <w:szCs w:val="21"/>
          <w:spacing w:val="10"/>
        </w:rPr>
        <w:t xml:space="preserve"> </w:t>
      </w:r>
      <w:r>
        <w:rPr>
          <w:rFonts w:ascii="SimSun" w:hAnsi="SimSun" w:eastAsia="SimSun" w:cs="SimSun"/>
          <w:sz w:val="21"/>
          <w:szCs w:val="21"/>
          <w:spacing w:val="-11"/>
        </w:rPr>
        <w:t>形成新的利益分配格局。在互联互通规制中，应适当照顾大型平台的</w:t>
      </w:r>
      <w:r>
        <w:rPr>
          <w:rFonts w:ascii="SimSun" w:hAnsi="SimSun" w:eastAsia="SimSun" w:cs="SimSun"/>
          <w:sz w:val="21"/>
          <w:szCs w:val="21"/>
          <w:spacing w:val="14"/>
        </w:rPr>
        <w:t xml:space="preserve"> </w:t>
      </w:r>
      <w:r>
        <w:rPr>
          <w:rFonts w:ascii="SimSun" w:hAnsi="SimSun" w:eastAsia="SimSun" w:cs="SimSun"/>
          <w:sz w:val="21"/>
          <w:szCs w:val="21"/>
          <w:spacing w:val="-11"/>
        </w:rPr>
        <w:t>既得利益，建立合理的补偿机制。</w:t>
      </w:r>
    </w:p>
    <w:p>
      <w:pPr>
        <w:pStyle w:val="BodyText"/>
        <w:spacing w:line="363" w:lineRule="auto"/>
        <w:rPr/>
      </w:pPr>
      <w:r/>
    </w:p>
    <w:p>
      <w:pPr>
        <w:ind w:left="2424"/>
        <w:spacing w:before="108" w:line="220" w:lineRule="auto"/>
        <w:rPr>
          <w:rFonts w:ascii="SimSun" w:hAnsi="SimSun" w:eastAsia="SimSun" w:cs="SimSun"/>
          <w:sz w:val="33"/>
          <w:szCs w:val="33"/>
        </w:rPr>
      </w:pPr>
      <w:r>
        <w:rPr>
          <w:rFonts w:ascii="SimSun" w:hAnsi="SimSun" w:eastAsia="SimSun" w:cs="SimSun"/>
          <w:sz w:val="33"/>
          <w:szCs w:val="33"/>
          <w:b/>
          <w:bCs/>
          <w:spacing w:val="-10"/>
        </w:rPr>
        <w:t>政策建议</w:t>
      </w:r>
    </w:p>
    <w:p>
      <w:pPr>
        <w:pStyle w:val="BodyText"/>
        <w:spacing w:line="266" w:lineRule="auto"/>
        <w:rPr/>
      </w:pPr>
      <w:r/>
    </w:p>
    <w:p>
      <w:pPr>
        <w:ind w:right="36" w:firstLine="440"/>
        <w:spacing w:before="68" w:line="285" w:lineRule="auto"/>
        <w:jc w:val="both"/>
        <w:rPr>
          <w:rFonts w:ascii="SimSun" w:hAnsi="SimSun" w:eastAsia="SimSun" w:cs="SimSun"/>
          <w:sz w:val="21"/>
          <w:szCs w:val="21"/>
        </w:rPr>
      </w:pPr>
      <w:r>
        <w:rPr>
          <w:rFonts w:ascii="SimSun" w:hAnsi="SimSun" w:eastAsia="SimSun" w:cs="SimSun"/>
          <w:sz w:val="21"/>
          <w:szCs w:val="21"/>
          <w:spacing w:val="-10"/>
        </w:rPr>
        <w:t>数字平台的核心业务大多是流量与数据服务，其基本特征</w:t>
      </w:r>
      <w:r>
        <w:rPr>
          <w:rFonts w:ascii="SimSun" w:hAnsi="SimSun" w:eastAsia="SimSun" w:cs="SimSun"/>
          <w:sz w:val="21"/>
          <w:szCs w:val="21"/>
          <w:spacing w:val="-11"/>
        </w:rPr>
        <w:t>包括规</w:t>
      </w:r>
      <w:r>
        <w:rPr>
          <w:rFonts w:ascii="SimSun" w:hAnsi="SimSun" w:eastAsia="SimSun" w:cs="SimSun"/>
          <w:sz w:val="21"/>
          <w:szCs w:val="21"/>
        </w:rPr>
        <w:t xml:space="preserve"> </w:t>
      </w:r>
      <w:r>
        <w:rPr>
          <w:rFonts w:ascii="SimSun" w:hAnsi="SimSun" w:eastAsia="SimSun" w:cs="SimSun"/>
          <w:sz w:val="21"/>
          <w:szCs w:val="21"/>
          <w:spacing w:val="-11"/>
        </w:rPr>
        <w:t>模经济、网络效应、可竞争性和大数据等，其中有些特征与传统经济</w:t>
      </w:r>
      <w:r>
        <w:rPr>
          <w:rFonts w:ascii="SimSun" w:hAnsi="SimSun" w:eastAsia="SimSun" w:cs="SimSun"/>
          <w:sz w:val="21"/>
          <w:szCs w:val="21"/>
          <w:spacing w:val="8"/>
        </w:rPr>
        <w:t xml:space="preserve"> </w:t>
      </w:r>
      <w:r>
        <w:rPr>
          <w:rFonts w:ascii="SimSun" w:hAnsi="SimSun" w:eastAsia="SimSun" w:cs="SimSun"/>
          <w:sz w:val="21"/>
          <w:szCs w:val="21"/>
          <w:spacing w:val="-11"/>
        </w:rPr>
        <w:t>的一些行业类似，有些是数字平台行业所特有。理解平台经济运行机</w:t>
      </w:r>
      <w:r>
        <w:rPr>
          <w:rFonts w:ascii="SimSun" w:hAnsi="SimSun" w:eastAsia="SimSun" w:cs="SimSun"/>
          <w:sz w:val="21"/>
          <w:szCs w:val="21"/>
          <w:spacing w:val="6"/>
        </w:rPr>
        <w:t xml:space="preserve"> </w:t>
      </w:r>
      <w:r>
        <w:rPr>
          <w:rFonts w:ascii="SimSun" w:hAnsi="SimSun" w:eastAsia="SimSun" w:cs="SimSun"/>
          <w:sz w:val="21"/>
          <w:szCs w:val="21"/>
          <w:spacing w:val="-10"/>
        </w:rPr>
        <w:t>制，研究平台行业反垄断和规制，都应从平台的基本特征出发。</w:t>
      </w:r>
    </w:p>
    <w:p>
      <w:pPr>
        <w:ind w:right="29" w:firstLine="440"/>
        <w:spacing w:before="143" w:line="300" w:lineRule="auto"/>
        <w:jc w:val="both"/>
        <w:rPr>
          <w:rFonts w:ascii="SimSun" w:hAnsi="SimSun" w:eastAsia="SimSun" w:cs="SimSun"/>
          <w:sz w:val="21"/>
          <w:szCs w:val="21"/>
        </w:rPr>
      </w:pPr>
      <w:r>
        <w:rPr>
          <w:rFonts w:ascii="SimSun" w:hAnsi="SimSun" w:eastAsia="SimSun" w:cs="SimSun"/>
          <w:sz w:val="21"/>
          <w:szCs w:val="21"/>
          <w:spacing w:val="-10"/>
        </w:rPr>
        <w:t>应该肯定平台企业对社会的巨大贡献，但平台仍然应承担较多的</w:t>
      </w:r>
      <w:r>
        <w:rPr>
          <w:rFonts w:ascii="SimSun" w:hAnsi="SimSun" w:eastAsia="SimSun" w:cs="SimSun"/>
          <w:sz w:val="21"/>
          <w:szCs w:val="21"/>
          <w:spacing w:val="4"/>
        </w:rPr>
        <w:t xml:space="preserve"> </w:t>
      </w:r>
      <w:r>
        <w:rPr>
          <w:rFonts w:ascii="SimSun" w:hAnsi="SimSun" w:eastAsia="SimSun" w:cs="SimSun"/>
          <w:sz w:val="21"/>
          <w:szCs w:val="21"/>
          <w:spacing w:val="-10"/>
        </w:rPr>
        <w:t>社会责任。大型平台的竞争优势主要源自先发优势和网络外部</w:t>
      </w:r>
      <w:r>
        <w:rPr>
          <w:rFonts w:ascii="SimSun" w:hAnsi="SimSun" w:eastAsia="SimSun" w:cs="SimSun"/>
          <w:sz w:val="21"/>
          <w:szCs w:val="21"/>
          <w:spacing w:val="-11"/>
        </w:rPr>
        <w:t>性，这</w:t>
      </w:r>
      <w:r>
        <w:rPr>
          <w:rFonts w:ascii="SimSun" w:hAnsi="SimSun" w:eastAsia="SimSun" w:cs="SimSun"/>
          <w:sz w:val="21"/>
          <w:szCs w:val="21"/>
        </w:rPr>
        <w:t xml:space="preserve"> </w:t>
      </w:r>
      <w:r>
        <w:rPr>
          <w:rFonts w:ascii="SimSun" w:hAnsi="SimSun" w:eastAsia="SimSun" w:cs="SimSun"/>
          <w:sz w:val="21"/>
          <w:szCs w:val="21"/>
          <w:spacing w:val="-11"/>
        </w:rPr>
        <w:t>种“占座”式的商业成功可能对其他市场主体产生不公平的排他性影 </w:t>
      </w:r>
      <w:r>
        <w:rPr>
          <w:rFonts w:ascii="SimSun" w:hAnsi="SimSun" w:eastAsia="SimSun" w:cs="SimSun"/>
          <w:sz w:val="21"/>
          <w:szCs w:val="21"/>
          <w:spacing w:val="-11"/>
        </w:rPr>
        <w:t>响。大型平台在跨行业的市场竞争中拥有广泛而显著的优势，最终可 </w:t>
      </w:r>
      <w:r>
        <w:rPr>
          <w:rFonts w:ascii="SimSun" w:hAnsi="SimSun" w:eastAsia="SimSun" w:cs="SimSun"/>
          <w:sz w:val="21"/>
          <w:szCs w:val="21"/>
          <w:spacing w:val="-11"/>
        </w:rPr>
        <w:t>能导致财富过度集中和资本无序扩张等负面社会影响。因此，政府对 </w:t>
      </w:r>
      <w:r>
        <w:rPr>
          <w:rFonts w:ascii="SimSun" w:hAnsi="SimSun" w:eastAsia="SimSun" w:cs="SimSun"/>
          <w:sz w:val="21"/>
          <w:szCs w:val="21"/>
          <w:spacing w:val="-11"/>
        </w:rPr>
        <w:t>大型平台进行适当监管是必要的，平台也有义务承担更多社会责任。</w:t>
      </w:r>
    </w:p>
    <w:p>
      <w:pPr>
        <w:ind w:right="26"/>
        <w:spacing w:before="102" w:line="219" w:lineRule="auto"/>
        <w:jc w:val="right"/>
        <w:rPr>
          <w:rFonts w:ascii="SimSun" w:hAnsi="SimSun" w:eastAsia="SimSun" w:cs="SimSun"/>
          <w:sz w:val="21"/>
          <w:szCs w:val="21"/>
        </w:rPr>
      </w:pPr>
      <w:r>
        <w:rPr>
          <w:rFonts w:ascii="SimSun" w:hAnsi="SimSun" w:eastAsia="SimSun" w:cs="SimSun"/>
          <w:sz w:val="21"/>
          <w:szCs w:val="21"/>
          <w:spacing w:val="-10"/>
        </w:rPr>
        <w:t>我国有市场规模巨大的优势，数字平台经济在总体上竞争是比较</w:t>
      </w:r>
    </w:p>
    <w:p>
      <w:pPr>
        <w:spacing w:line="219" w:lineRule="auto"/>
        <w:sectPr>
          <w:headerReference w:type="default" r:id="rId371"/>
          <w:pgSz w:w="7330" w:h="12480"/>
          <w:pgMar w:top="527" w:right="545" w:bottom="400" w:left="709" w:header="365"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right="55"/>
        <w:spacing w:before="61" w:line="350" w:lineRule="auto"/>
        <w:jc w:val="both"/>
        <w:rPr>
          <w:rFonts w:ascii="SimSun" w:hAnsi="SimSun" w:eastAsia="SimSun" w:cs="SimSun"/>
          <w:sz w:val="19"/>
          <w:szCs w:val="19"/>
        </w:rPr>
      </w:pPr>
      <w:r>
        <w:rPr>
          <w:rFonts w:ascii="SimSun" w:hAnsi="SimSun" w:eastAsia="SimSun" w:cs="SimSun"/>
          <w:sz w:val="19"/>
          <w:szCs w:val="19"/>
          <w:spacing w:val="15"/>
        </w:rPr>
        <w:t>充分的，仅在个别领域(如社交平台)存在过度集中的问题。我国的</w:t>
      </w:r>
      <w:r>
        <w:rPr>
          <w:rFonts w:ascii="SimSun" w:hAnsi="SimSun" w:eastAsia="SimSun" w:cs="SimSun"/>
          <w:sz w:val="19"/>
          <w:szCs w:val="19"/>
          <w:spacing w:val="13"/>
        </w:rPr>
        <w:t xml:space="preserve"> </w:t>
      </w:r>
      <w:r>
        <w:rPr>
          <w:rFonts w:ascii="SimSun" w:hAnsi="SimSun" w:eastAsia="SimSun" w:cs="SimSun"/>
          <w:sz w:val="19"/>
          <w:szCs w:val="19"/>
          <w:spacing w:val="10"/>
        </w:rPr>
        <w:t>平台企业虽然在商业模式方面有很多创新，但科技水平明显落后</w:t>
      </w:r>
      <w:r>
        <w:rPr>
          <w:rFonts w:ascii="SimSun" w:hAnsi="SimSun" w:eastAsia="SimSun" w:cs="SimSun"/>
          <w:sz w:val="19"/>
          <w:szCs w:val="19"/>
          <w:spacing w:val="9"/>
        </w:rPr>
        <w:t>于国</w:t>
      </w:r>
      <w:r>
        <w:rPr>
          <w:rFonts w:ascii="SimSun" w:hAnsi="SimSun" w:eastAsia="SimSun" w:cs="SimSun"/>
          <w:sz w:val="19"/>
          <w:szCs w:val="19"/>
        </w:rPr>
        <w:t xml:space="preserve"> </w:t>
      </w:r>
      <w:r>
        <w:rPr>
          <w:rFonts w:ascii="SimSun" w:hAnsi="SimSun" w:eastAsia="SimSun" w:cs="SimSun"/>
          <w:sz w:val="19"/>
          <w:szCs w:val="19"/>
          <w:spacing w:val="9"/>
        </w:rPr>
        <w:t>际同行。平台行业治理既要反对大型平台的垄断行为，也要支持平台</w:t>
      </w:r>
    </w:p>
    <w:p>
      <w:pPr>
        <w:spacing w:line="219" w:lineRule="auto"/>
        <w:rPr>
          <w:rFonts w:ascii="SimSun" w:hAnsi="SimSun" w:eastAsia="SimSun" w:cs="SimSun"/>
          <w:sz w:val="19"/>
          <w:szCs w:val="19"/>
        </w:rPr>
      </w:pPr>
      <w:r>
        <w:rPr>
          <w:rFonts w:ascii="SimSun" w:hAnsi="SimSun" w:eastAsia="SimSun" w:cs="SimSun"/>
          <w:sz w:val="19"/>
          <w:szCs w:val="19"/>
          <w:spacing w:val="9"/>
        </w:rPr>
        <w:t>持续创新，在国际市场做大做强。平台治理</w:t>
      </w:r>
      <w:r>
        <w:rPr>
          <w:rFonts w:ascii="SimSun" w:hAnsi="SimSun" w:eastAsia="SimSun" w:cs="SimSun"/>
          <w:sz w:val="19"/>
          <w:szCs w:val="19"/>
          <w:spacing w:val="8"/>
        </w:rPr>
        <w:t>可以有以下切入点：</w:t>
      </w:r>
    </w:p>
    <w:p>
      <w:pPr>
        <w:ind w:right="62" w:firstLine="409"/>
        <w:spacing w:before="134" w:line="350" w:lineRule="auto"/>
        <w:jc w:val="both"/>
        <w:rPr>
          <w:rFonts w:ascii="SimSun" w:hAnsi="SimSun" w:eastAsia="SimSun" w:cs="SimSun"/>
          <w:sz w:val="19"/>
          <w:szCs w:val="19"/>
        </w:rPr>
      </w:pPr>
      <w:r>
        <w:rPr>
          <w:rFonts w:ascii="SimSun" w:hAnsi="SimSun" w:eastAsia="SimSun" w:cs="SimSun"/>
          <w:sz w:val="19"/>
          <w:szCs w:val="19"/>
          <w:spacing w:val="9"/>
        </w:rPr>
        <w:t>第一，研究主要面向大型平台的税收调节体系，包括数</w:t>
      </w:r>
      <w:r>
        <w:rPr>
          <w:rFonts w:ascii="SimSun" w:hAnsi="SimSun" w:eastAsia="SimSun" w:cs="SimSun"/>
          <w:sz w:val="19"/>
          <w:szCs w:val="19"/>
          <w:spacing w:val="8"/>
        </w:rPr>
        <w:t>字税和所</w:t>
      </w:r>
      <w:r>
        <w:rPr>
          <w:rFonts w:ascii="SimSun" w:hAnsi="SimSun" w:eastAsia="SimSun" w:cs="SimSun"/>
          <w:sz w:val="19"/>
          <w:szCs w:val="19"/>
        </w:rPr>
        <w:t xml:space="preserve"> </w:t>
      </w:r>
      <w:r>
        <w:rPr>
          <w:rFonts w:ascii="SimSun" w:hAnsi="SimSun" w:eastAsia="SimSun" w:cs="SimSun"/>
          <w:sz w:val="19"/>
          <w:szCs w:val="19"/>
          <w:spacing w:val="10"/>
        </w:rPr>
        <w:t>得税。市场垄断程度高、赢利能力强的平台，应</w:t>
      </w:r>
      <w:r>
        <w:rPr>
          <w:rFonts w:ascii="SimSun" w:hAnsi="SimSun" w:eastAsia="SimSun" w:cs="SimSun"/>
          <w:sz w:val="19"/>
          <w:szCs w:val="19"/>
          <w:spacing w:val="9"/>
        </w:rPr>
        <w:t>该承担高于社会平均</w:t>
      </w:r>
      <w:r>
        <w:rPr>
          <w:rFonts w:ascii="SimSun" w:hAnsi="SimSun" w:eastAsia="SimSun" w:cs="SimSun"/>
          <w:sz w:val="19"/>
          <w:szCs w:val="19"/>
        </w:rPr>
        <w:t xml:space="preserve"> </w:t>
      </w:r>
      <w:r>
        <w:rPr>
          <w:rFonts w:ascii="SimSun" w:hAnsi="SimSun" w:eastAsia="SimSun" w:cs="SimSun"/>
          <w:sz w:val="19"/>
          <w:szCs w:val="19"/>
          <w:spacing w:val="10"/>
        </w:rPr>
        <w:t>水平的税收，这是平台社会责任的重要组成部</w:t>
      </w:r>
      <w:r>
        <w:rPr>
          <w:rFonts w:ascii="SimSun" w:hAnsi="SimSun" w:eastAsia="SimSun" w:cs="SimSun"/>
          <w:sz w:val="19"/>
          <w:szCs w:val="19"/>
          <w:spacing w:val="9"/>
        </w:rPr>
        <w:t>分，也是防止资本无序</w:t>
      </w:r>
    </w:p>
    <w:p>
      <w:pPr>
        <w:spacing w:line="220" w:lineRule="auto"/>
        <w:rPr>
          <w:rFonts w:ascii="SimSun" w:hAnsi="SimSun" w:eastAsia="SimSun" w:cs="SimSun"/>
          <w:sz w:val="19"/>
          <w:szCs w:val="19"/>
        </w:rPr>
      </w:pPr>
      <w:r>
        <w:rPr>
          <w:rFonts w:ascii="SimSun" w:hAnsi="SimSun" w:eastAsia="SimSun" w:cs="SimSun"/>
          <w:sz w:val="19"/>
          <w:szCs w:val="19"/>
          <w:spacing w:val="5"/>
        </w:rPr>
        <w:t>扩张的重要手段。</w:t>
      </w:r>
    </w:p>
    <w:p>
      <w:pPr>
        <w:ind w:right="59" w:firstLine="409"/>
        <w:spacing w:before="132" w:line="350" w:lineRule="auto"/>
        <w:jc w:val="both"/>
        <w:rPr>
          <w:rFonts w:ascii="SimSun" w:hAnsi="SimSun" w:eastAsia="SimSun" w:cs="SimSun"/>
          <w:sz w:val="19"/>
          <w:szCs w:val="19"/>
        </w:rPr>
      </w:pPr>
      <w:r>
        <w:rPr>
          <w:rFonts w:ascii="SimSun" w:hAnsi="SimSun" w:eastAsia="SimSun" w:cs="SimSun"/>
          <w:sz w:val="19"/>
          <w:szCs w:val="19"/>
          <w:spacing w:val="17"/>
        </w:rPr>
        <w:t>第二，努力降低数字平台市场的准入门槛。鼓励</w:t>
      </w:r>
      <w:r>
        <w:rPr>
          <w:rFonts w:ascii="SimSun" w:hAnsi="SimSun" w:eastAsia="SimSun" w:cs="SimSun"/>
          <w:sz w:val="19"/>
          <w:szCs w:val="19"/>
          <w:spacing w:val="16"/>
        </w:rPr>
        <w:t>进入是最好的</w:t>
      </w:r>
      <w:r>
        <w:rPr>
          <w:rFonts w:ascii="SimSun" w:hAnsi="SimSun" w:eastAsia="SimSun" w:cs="SimSun"/>
          <w:sz w:val="19"/>
          <w:szCs w:val="19"/>
        </w:rPr>
        <w:t xml:space="preserve"> </w:t>
      </w:r>
      <w:r>
        <w:rPr>
          <w:rFonts w:ascii="SimSun" w:hAnsi="SimSun" w:eastAsia="SimSun" w:cs="SimSun"/>
          <w:sz w:val="19"/>
          <w:szCs w:val="19"/>
          <w:spacing w:val="9"/>
        </w:rPr>
        <w:t>竞争政策，在竞争不足的领域，可考虑通过适当的政策措施和政府扶</w:t>
      </w:r>
      <w:r>
        <w:rPr>
          <w:rFonts w:ascii="SimSun" w:hAnsi="SimSun" w:eastAsia="SimSun" w:cs="SimSun"/>
          <w:sz w:val="19"/>
          <w:szCs w:val="19"/>
          <w:spacing w:val="15"/>
        </w:rPr>
        <w:t xml:space="preserve"> </w:t>
      </w:r>
      <w:r>
        <w:rPr>
          <w:rFonts w:ascii="SimSun" w:hAnsi="SimSun" w:eastAsia="SimSun" w:cs="SimSun"/>
          <w:sz w:val="19"/>
          <w:szCs w:val="19"/>
          <w:spacing w:val="10"/>
        </w:rPr>
        <w:t>持，帮助新平台进入并参与竞争，反对在位大型平台</w:t>
      </w:r>
      <w:r>
        <w:rPr>
          <w:rFonts w:ascii="SimSun" w:hAnsi="SimSun" w:eastAsia="SimSun" w:cs="SimSun"/>
          <w:sz w:val="19"/>
          <w:szCs w:val="19"/>
          <w:spacing w:val="9"/>
        </w:rPr>
        <w:t>利用其市场优势</w:t>
      </w:r>
    </w:p>
    <w:p>
      <w:pPr>
        <w:spacing w:line="219" w:lineRule="auto"/>
        <w:rPr>
          <w:rFonts w:ascii="SimSun" w:hAnsi="SimSun" w:eastAsia="SimSun" w:cs="SimSun"/>
          <w:sz w:val="19"/>
          <w:szCs w:val="19"/>
        </w:rPr>
      </w:pPr>
      <w:r>
        <w:rPr>
          <w:rFonts w:ascii="SimSun" w:hAnsi="SimSun" w:eastAsia="SimSun" w:cs="SimSun"/>
          <w:sz w:val="19"/>
          <w:szCs w:val="19"/>
          <w:spacing w:val="5"/>
        </w:rPr>
        <w:t>地位阻碍竞争。</w:t>
      </w:r>
    </w:p>
    <w:p>
      <w:pPr>
        <w:ind w:right="19" w:firstLine="409"/>
        <w:spacing w:before="132" w:line="350" w:lineRule="auto"/>
        <w:jc w:val="both"/>
        <w:rPr>
          <w:rFonts w:ascii="SimSun" w:hAnsi="SimSun" w:eastAsia="SimSun" w:cs="SimSun"/>
          <w:sz w:val="19"/>
          <w:szCs w:val="19"/>
        </w:rPr>
      </w:pPr>
      <w:r>
        <w:rPr>
          <w:rFonts w:ascii="SimSun" w:hAnsi="SimSun" w:eastAsia="SimSun" w:cs="SimSun"/>
          <w:sz w:val="19"/>
          <w:szCs w:val="19"/>
          <w:spacing w:val="9"/>
        </w:rPr>
        <w:t>第三，在反垄断实践方面，应强调具体问题具体分析。对于平台</w:t>
      </w:r>
      <w:r>
        <w:rPr>
          <w:rFonts w:ascii="SimSun" w:hAnsi="SimSun" w:eastAsia="SimSun" w:cs="SimSun"/>
          <w:sz w:val="19"/>
          <w:szCs w:val="19"/>
          <w:spacing w:val="17"/>
        </w:rPr>
        <w:t xml:space="preserve"> </w:t>
      </w:r>
      <w:r>
        <w:rPr>
          <w:rFonts w:ascii="SimSun" w:hAnsi="SimSun" w:eastAsia="SimSun" w:cs="SimSun"/>
          <w:sz w:val="19"/>
          <w:szCs w:val="19"/>
          <w:spacing w:val="3"/>
        </w:rPr>
        <w:t>的疑似垄断行为，如“二选一”“大数据杀熟”等，应充分考虑其复杂</w:t>
      </w:r>
      <w:r>
        <w:rPr>
          <w:rFonts w:ascii="SimSun" w:hAnsi="SimSun" w:eastAsia="SimSun" w:cs="SimSun"/>
          <w:sz w:val="19"/>
          <w:szCs w:val="19"/>
          <w:spacing w:val="10"/>
        </w:rPr>
        <w:t xml:space="preserve"> </w:t>
      </w:r>
      <w:r>
        <w:rPr>
          <w:rFonts w:ascii="SimSun" w:hAnsi="SimSun" w:eastAsia="SimSun" w:cs="SimSun"/>
          <w:sz w:val="19"/>
          <w:szCs w:val="19"/>
          <w:spacing w:val="9"/>
        </w:rPr>
        <w:t>性和隐蔽性，同时结合相关的市场环境进行分析，避免过度干预；对</w:t>
      </w:r>
      <w:r>
        <w:rPr>
          <w:rFonts w:ascii="SimSun" w:hAnsi="SimSun" w:eastAsia="SimSun" w:cs="SimSun"/>
          <w:sz w:val="19"/>
          <w:szCs w:val="19"/>
          <w:spacing w:val="16"/>
        </w:rPr>
        <w:t xml:space="preserve"> </w:t>
      </w:r>
      <w:r>
        <w:rPr>
          <w:rFonts w:ascii="SimSun" w:hAnsi="SimSun" w:eastAsia="SimSun" w:cs="SimSun"/>
          <w:sz w:val="19"/>
          <w:szCs w:val="19"/>
          <w:spacing w:val="10"/>
        </w:rPr>
        <w:t>于竞争比较充分或者存在潜在竞争的“可竞</w:t>
      </w:r>
      <w:r>
        <w:rPr>
          <w:rFonts w:ascii="SimSun" w:hAnsi="SimSun" w:eastAsia="SimSun" w:cs="SimSun"/>
          <w:sz w:val="19"/>
          <w:szCs w:val="19"/>
          <w:spacing w:val="9"/>
        </w:rPr>
        <w:t>争性”市场，可适当放松</w:t>
      </w:r>
      <w:r>
        <w:rPr>
          <w:rFonts w:ascii="SimSun" w:hAnsi="SimSun" w:eastAsia="SimSun" w:cs="SimSun"/>
          <w:sz w:val="19"/>
          <w:szCs w:val="19"/>
        </w:rPr>
        <w:t xml:space="preserve"> </w:t>
      </w:r>
      <w:r>
        <w:rPr>
          <w:rFonts w:ascii="SimSun" w:hAnsi="SimSun" w:eastAsia="SimSun" w:cs="SimSun"/>
          <w:sz w:val="19"/>
          <w:szCs w:val="19"/>
          <w:spacing w:val="11"/>
        </w:rPr>
        <w:t>反垄断审查；平台在免费业务上的垄断是平台核心业务垄断的基础，</w:t>
      </w:r>
      <w:r>
        <w:rPr>
          <w:rFonts w:ascii="SimSun" w:hAnsi="SimSun" w:eastAsia="SimSun" w:cs="SimSun"/>
          <w:sz w:val="19"/>
          <w:szCs w:val="19"/>
          <w:spacing w:val="4"/>
        </w:rPr>
        <w:t xml:space="preserve"> </w:t>
      </w:r>
      <w:r>
        <w:rPr>
          <w:rFonts w:ascii="SimSun" w:hAnsi="SimSun" w:eastAsia="SimSun" w:cs="SimSun"/>
          <w:sz w:val="19"/>
          <w:szCs w:val="19"/>
          <w:spacing w:val="10"/>
        </w:rPr>
        <w:t>应被纳入反垄断监管范畴；对于以“生态系统”方式无序扩张的平台</w:t>
      </w:r>
      <w:r>
        <w:rPr>
          <w:rFonts w:ascii="SimSun" w:hAnsi="SimSun" w:eastAsia="SimSun" w:cs="SimSun"/>
          <w:sz w:val="19"/>
          <w:szCs w:val="19"/>
        </w:rPr>
        <w:t xml:space="preserve"> </w:t>
      </w:r>
      <w:r>
        <w:rPr>
          <w:rFonts w:ascii="SimSun" w:hAnsi="SimSun" w:eastAsia="SimSun" w:cs="SimSun"/>
          <w:sz w:val="19"/>
          <w:szCs w:val="19"/>
          <w:spacing w:val="10"/>
        </w:rPr>
        <w:t>企业集团，重点是要破除其在基础业务上的垄断；对</w:t>
      </w:r>
      <w:r>
        <w:rPr>
          <w:rFonts w:ascii="SimSun" w:hAnsi="SimSun" w:eastAsia="SimSun" w:cs="SimSun"/>
          <w:sz w:val="19"/>
          <w:szCs w:val="19"/>
          <w:spacing w:val="9"/>
        </w:rPr>
        <w:t>初创科技平台的</w:t>
      </w:r>
    </w:p>
    <w:p>
      <w:pPr>
        <w:spacing w:before="1" w:line="218" w:lineRule="auto"/>
        <w:jc w:val="right"/>
        <w:rPr>
          <w:rFonts w:ascii="SimSun" w:hAnsi="SimSun" w:eastAsia="SimSun" w:cs="SimSun"/>
          <w:sz w:val="19"/>
          <w:szCs w:val="19"/>
        </w:rPr>
      </w:pPr>
      <w:r>
        <w:rPr>
          <w:rFonts w:ascii="SimSun" w:hAnsi="SimSun" w:eastAsia="SimSun" w:cs="SimSun"/>
          <w:sz w:val="19"/>
          <w:szCs w:val="19"/>
          <w:spacing w:val="5"/>
        </w:rPr>
        <w:t>垄断地位应采取较为宽容的态度，以鼓励创新，并帮助行业尽快成长。</w:t>
      </w:r>
    </w:p>
    <w:p>
      <w:pPr>
        <w:ind w:right="67" w:firstLine="409"/>
        <w:spacing w:before="155" w:line="340" w:lineRule="auto"/>
        <w:jc w:val="both"/>
        <w:rPr>
          <w:rFonts w:ascii="SimSun" w:hAnsi="SimSun" w:eastAsia="SimSun" w:cs="SimSun"/>
          <w:sz w:val="19"/>
          <w:szCs w:val="19"/>
        </w:rPr>
      </w:pPr>
      <w:r>
        <w:rPr>
          <w:rFonts w:ascii="SimSun" w:hAnsi="SimSun" w:eastAsia="SimSun" w:cs="SimSun"/>
          <w:sz w:val="19"/>
          <w:szCs w:val="19"/>
          <w:spacing w:val="9"/>
        </w:rPr>
        <w:t>第四，在平台规制方面，应积极探索在竞争平台之间实现互联互</w:t>
      </w:r>
      <w:r>
        <w:rPr>
          <w:rFonts w:ascii="SimSun" w:hAnsi="SimSun" w:eastAsia="SimSun" w:cs="SimSun"/>
          <w:sz w:val="19"/>
          <w:szCs w:val="19"/>
          <w:spacing w:val="4"/>
        </w:rPr>
        <w:t xml:space="preserve"> </w:t>
      </w:r>
      <w:r>
        <w:rPr>
          <w:rFonts w:ascii="SimSun" w:hAnsi="SimSun" w:eastAsia="SimSun" w:cs="SimSun"/>
          <w:sz w:val="19"/>
          <w:szCs w:val="19"/>
          <w:spacing w:val="9"/>
        </w:rPr>
        <w:t>通，努力在不损害规模经济和网络效应的情况下实现充分竞争。互联</w:t>
      </w:r>
      <w:r>
        <w:rPr>
          <w:rFonts w:ascii="SimSun" w:hAnsi="SimSun" w:eastAsia="SimSun" w:cs="SimSun"/>
          <w:sz w:val="19"/>
          <w:szCs w:val="19"/>
          <w:spacing w:val="16"/>
        </w:rPr>
        <w:t xml:space="preserve"> </w:t>
      </w:r>
      <w:r>
        <w:rPr>
          <w:rFonts w:ascii="SimSun" w:hAnsi="SimSun" w:eastAsia="SimSun" w:cs="SimSun"/>
          <w:sz w:val="19"/>
          <w:szCs w:val="19"/>
          <w:spacing w:val="9"/>
        </w:rPr>
        <w:t>互通的思路在基础业务比较简单、网络外部性比较显著而市场垄断程</w:t>
      </w:r>
    </w:p>
    <w:p>
      <w:pPr>
        <w:spacing w:before="1" w:line="219" w:lineRule="auto"/>
        <w:rPr>
          <w:rFonts w:ascii="SimSun" w:hAnsi="SimSun" w:eastAsia="SimSun" w:cs="SimSun"/>
          <w:sz w:val="19"/>
          <w:szCs w:val="19"/>
        </w:rPr>
      </w:pPr>
      <w:r>
        <w:rPr>
          <w:rFonts w:ascii="SimSun" w:hAnsi="SimSun" w:eastAsia="SimSun" w:cs="SimSun"/>
          <w:sz w:val="19"/>
          <w:szCs w:val="19"/>
          <w:spacing w:val="7"/>
        </w:rPr>
        <w:t>度较高的领域尤其重要。</w:t>
      </w:r>
    </w:p>
    <w:p>
      <w:pPr>
        <w:ind w:right="64" w:firstLine="409"/>
        <w:spacing w:before="143" w:line="350" w:lineRule="auto"/>
        <w:jc w:val="both"/>
        <w:rPr>
          <w:rFonts w:ascii="SimSun" w:hAnsi="SimSun" w:eastAsia="SimSun" w:cs="SimSun"/>
          <w:sz w:val="19"/>
          <w:szCs w:val="19"/>
        </w:rPr>
      </w:pPr>
      <w:r>
        <w:rPr>
          <w:rFonts w:ascii="SimSun" w:hAnsi="SimSun" w:eastAsia="SimSun" w:cs="SimSun"/>
          <w:sz w:val="19"/>
          <w:szCs w:val="19"/>
          <w:spacing w:val="9"/>
        </w:rPr>
        <w:t>第五，在尽量不干预企业决策的前提下，加强对大型平台的日常</w:t>
      </w:r>
      <w:r>
        <w:rPr>
          <w:rFonts w:ascii="SimSun" w:hAnsi="SimSun" w:eastAsia="SimSun" w:cs="SimSun"/>
          <w:sz w:val="19"/>
          <w:szCs w:val="19"/>
          <w:spacing w:val="7"/>
        </w:rPr>
        <w:t xml:space="preserve"> </w:t>
      </w:r>
      <w:r>
        <w:rPr>
          <w:rFonts w:ascii="SimSun" w:hAnsi="SimSun" w:eastAsia="SimSun" w:cs="SimSun"/>
          <w:sz w:val="19"/>
          <w:szCs w:val="19"/>
          <w:spacing w:val="9"/>
        </w:rPr>
        <w:t>监督，确保平台行为合法合规，同时稳定社会预期。避免在出现重大</w:t>
      </w:r>
    </w:p>
    <w:p>
      <w:pPr>
        <w:spacing w:before="1" w:line="218" w:lineRule="auto"/>
        <w:rPr>
          <w:rFonts w:ascii="SimSun" w:hAnsi="SimSun" w:eastAsia="SimSun" w:cs="SimSun"/>
          <w:sz w:val="19"/>
          <w:szCs w:val="19"/>
        </w:rPr>
      </w:pPr>
      <w:r>
        <w:rPr>
          <w:rFonts w:ascii="SimSun" w:hAnsi="SimSun" w:eastAsia="SimSun" w:cs="SimSun"/>
          <w:sz w:val="19"/>
          <w:szCs w:val="19"/>
          <w:spacing w:val="5"/>
        </w:rPr>
        <w:t>负面事件或者已经产生显著不利影响之后，</w:t>
      </w:r>
      <w:r>
        <w:rPr>
          <w:rFonts w:ascii="SimSun" w:hAnsi="SimSun" w:eastAsia="SimSun" w:cs="SimSun"/>
          <w:sz w:val="19"/>
          <w:szCs w:val="19"/>
          <w:spacing w:val="4"/>
        </w:rPr>
        <w:t>再采取救火式的紧急措施。</w:t>
      </w:r>
    </w:p>
    <w:p>
      <w:pPr>
        <w:spacing w:line="218" w:lineRule="auto"/>
        <w:sectPr>
          <w:headerReference w:type="default" r:id="rId372"/>
          <w:pgSz w:w="7330" w:h="12480"/>
          <w:pgMar w:top="824" w:right="885" w:bottom="400" w:left="390" w:header="682" w:footer="0" w:gutter="0"/>
        </w:sectPr>
        <w:rPr>
          <w:rFonts w:ascii="SimSun" w:hAnsi="SimSun" w:eastAsia="SimSun" w:cs="SimSun"/>
          <w:sz w:val="19"/>
          <w:szCs w:val="19"/>
        </w:rPr>
      </w:pPr>
    </w:p>
    <w:p>
      <w:pPr>
        <w:spacing w:line="12467" w:lineRule="exact"/>
        <w:rPr/>
      </w:pPr>
      <w:r>
        <w:rPr>
          <w:position w:val="-249"/>
        </w:rPr>
        <w:drawing>
          <wp:inline distT="0" distB="0" distL="0" distR="0">
            <wp:extent cx="4654550" cy="7916698"/>
            <wp:effectExtent l="0" t="0" r="0" b="0"/>
            <wp:docPr id="254" name="IM 254"/>
            <wp:cNvGraphicFramePr/>
            <a:graphic>
              <a:graphicData uri="http://schemas.openxmlformats.org/drawingml/2006/picture">
                <pic:pic>
                  <pic:nvPicPr>
                    <pic:cNvPr id="254" name="IM 254"/>
                    <pic:cNvPicPr/>
                  </pic:nvPicPr>
                  <pic:blipFill>
                    <a:blip r:embed="rId373"/>
                    <a:stretch>
                      <a:fillRect/>
                    </a:stretch>
                  </pic:blipFill>
                  <pic:spPr>
                    <a:xfrm rot="0">
                      <a:off x="0" y="0"/>
                      <a:ext cx="4654550" cy="7916698"/>
                    </a:xfrm>
                    <a:prstGeom prst="rect">
                      <a:avLst/>
                    </a:prstGeom>
                  </pic:spPr>
                </pic:pic>
              </a:graphicData>
            </a:graphic>
          </wp:inline>
        </w:drawing>
      </w:r>
    </w:p>
    <w:p>
      <w:pPr>
        <w:spacing w:line="12467" w:lineRule="exact"/>
        <w:sectPr>
          <w:headerReference w:type="default" r:id="rId1"/>
          <w:pgSz w:w="7330" w:h="12480"/>
          <w:pgMar w:top="1" w:right="0" w:bottom="1" w:left="0" w:header="0" w:footer="0" w:gutter="0"/>
        </w:sectPr>
        <w:rPr/>
      </w:pPr>
    </w:p>
    <w:p>
      <w:pPr>
        <w:pStyle w:val="BodyText"/>
        <w:spacing w:line="270" w:lineRule="auto"/>
        <w:rPr/>
      </w:pPr>
      <w:r>
        <w:drawing>
          <wp:anchor distT="0" distB="0" distL="0" distR="0" simplePos="0" relativeHeight="254867456" behindDoc="0" locked="0" layoutInCell="0" allowOverlap="1">
            <wp:simplePos x="0" y="0"/>
            <wp:positionH relativeFrom="page">
              <wp:posOffset>260328</wp:posOffset>
            </wp:positionH>
            <wp:positionV relativeFrom="page">
              <wp:posOffset>7054815</wp:posOffset>
            </wp:positionV>
            <wp:extent cx="1174761" cy="6418"/>
            <wp:effectExtent l="0" t="0" r="0" b="0"/>
            <wp:wrapNone/>
            <wp:docPr id="256" name="IM 256"/>
            <wp:cNvGraphicFramePr/>
            <a:graphic>
              <a:graphicData uri="http://schemas.openxmlformats.org/drawingml/2006/picture">
                <pic:pic>
                  <pic:nvPicPr>
                    <pic:cNvPr id="256" name="IM 256"/>
                    <pic:cNvPicPr/>
                  </pic:nvPicPr>
                  <pic:blipFill>
                    <a:blip r:embed="rId374"/>
                    <a:stretch>
                      <a:fillRect/>
                    </a:stretch>
                  </pic:blipFill>
                  <pic:spPr>
                    <a:xfrm rot="0">
                      <a:off x="0" y="0"/>
                      <a:ext cx="1174761" cy="6418"/>
                    </a:xfrm>
                    <a:prstGeom prst="rect">
                      <a:avLst/>
                    </a:prstGeom>
                  </pic:spPr>
                </pic:pic>
              </a:graphicData>
            </a:graphic>
          </wp:anchor>
        </w:drawing>
      </w: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firstLine="840"/>
        <w:spacing w:line="3650" w:lineRule="exact"/>
        <w:rPr/>
      </w:pPr>
      <w:r>
        <w:rPr>
          <w:position w:val="-73"/>
        </w:rPr>
        <w:drawing>
          <wp:inline distT="0" distB="0" distL="0" distR="0">
            <wp:extent cx="2863851" cy="2317767"/>
            <wp:effectExtent l="0" t="0" r="0" b="0"/>
            <wp:docPr id="258" name="IM 258"/>
            <wp:cNvGraphicFramePr/>
            <a:graphic>
              <a:graphicData uri="http://schemas.openxmlformats.org/drawingml/2006/picture">
                <pic:pic>
                  <pic:nvPicPr>
                    <pic:cNvPr id="258" name="IM 258"/>
                    <pic:cNvPicPr/>
                  </pic:nvPicPr>
                  <pic:blipFill>
                    <a:blip r:embed="rId375"/>
                    <a:stretch>
                      <a:fillRect/>
                    </a:stretch>
                  </pic:blipFill>
                  <pic:spPr>
                    <a:xfrm rot="0">
                      <a:off x="0" y="0"/>
                      <a:ext cx="2863851" cy="2317767"/>
                    </a:xfrm>
                    <a:prstGeom prst="rect">
                      <a:avLst/>
                    </a:prstGeom>
                  </pic:spPr>
                </pic:pic>
              </a:graphicData>
            </a:graphic>
          </wp:inline>
        </w:drawing>
      </w:r>
    </w:p>
    <w:p>
      <w:pPr>
        <w:ind w:left="1180"/>
        <w:spacing w:before="276" w:line="763" w:lineRule="exact"/>
        <w:tabs>
          <w:tab w:val="left" w:pos="2570"/>
        </w:tabs>
        <w:rPr>
          <w:rFonts w:ascii="SimHei" w:hAnsi="SimHei" w:eastAsia="SimHei" w:cs="SimHei"/>
          <w:sz w:val="29"/>
          <w:szCs w:val="29"/>
        </w:rPr>
      </w:pPr>
      <w:r>
        <w:rPr>
          <w:rFonts w:ascii="SimHei" w:hAnsi="SimHei" w:eastAsia="SimHei" w:cs="SimHei"/>
          <w:sz w:val="29"/>
          <w:szCs w:val="29"/>
          <w:strike/>
          <w:position w:val="36"/>
        </w:rPr>
        <w:tab/>
      </w:r>
      <w:r>
        <w:rPr>
          <w:rFonts w:ascii="SimHei" w:hAnsi="SimHei" w:eastAsia="SimHei" w:cs="SimHei"/>
          <w:sz w:val="29"/>
          <w:szCs w:val="29"/>
          <w:spacing w:val="-31"/>
          <w:position w:val="36"/>
        </w:rPr>
        <w:t xml:space="preserve"> </w:t>
      </w:r>
      <w:r>
        <w:rPr>
          <w:rFonts w:ascii="SimHei" w:hAnsi="SimHei" w:eastAsia="SimHei" w:cs="SimHei"/>
          <w:sz w:val="29"/>
          <w:szCs w:val="29"/>
          <w:b/>
          <w:bCs/>
          <w:spacing w:val="-7"/>
          <w:position w:val="36"/>
        </w:rPr>
        <w:t>第九章</w:t>
      </w:r>
      <w:r>
        <w:rPr>
          <w:rFonts w:ascii="SimHei" w:hAnsi="SimHei" w:eastAsia="SimHei" w:cs="SimHei"/>
          <w:sz w:val="29"/>
          <w:szCs w:val="29"/>
          <w:spacing w:val="-68"/>
          <w:position w:val="36"/>
        </w:rPr>
        <w:t xml:space="preserve"> </w:t>
      </w:r>
      <w:r>
        <w:rPr>
          <w:rFonts w:ascii="SimHei" w:hAnsi="SimHei" w:eastAsia="SimHei" w:cs="SimHei"/>
          <w:sz w:val="29"/>
          <w:szCs w:val="29"/>
          <w:strike/>
          <w:position w:val="36"/>
        </w:rPr>
        <w:t xml:space="preserve">          </w:t>
      </w:r>
    </w:p>
    <w:p>
      <w:pPr>
        <w:ind w:left="1115"/>
        <w:spacing w:line="219" w:lineRule="auto"/>
        <w:rPr>
          <w:rFonts w:ascii="SimSun" w:hAnsi="SimSun" w:eastAsia="SimSun" w:cs="SimSun"/>
          <w:sz w:val="36"/>
          <w:szCs w:val="36"/>
        </w:rPr>
      </w:pPr>
      <w:r>
        <w:rPr>
          <w:rFonts w:ascii="SimSun" w:hAnsi="SimSun" w:eastAsia="SimSun" w:cs="SimSun"/>
          <w:sz w:val="36"/>
          <w:szCs w:val="36"/>
          <w:b/>
          <w:bCs/>
          <w:spacing w:val="-5"/>
        </w:rPr>
        <w:t>平台经济中的数据治理</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30"/>
        <w:spacing w:before="55" w:line="223" w:lineRule="auto"/>
        <w:rPr>
          <w:rFonts w:ascii="KaiTi" w:hAnsi="KaiTi" w:eastAsia="KaiTi" w:cs="KaiTi"/>
          <w:sz w:val="17"/>
          <w:szCs w:val="17"/>
        </w:rPr>
      </w:pPr>
      <w:r>
        <w:rPr>
          <w:rFonts w:ascii="SimSun" w:hAnsi="SimSun" w:eastAsia="SimSun" w:cs="SimSun"/>
          <w:sz w:val="17"/>
          <w:szCs w:val="17"/>
          <w:spacing w:val="-13"/>
        </w:rPr>
        <w:t>①</w:t>
      </w:r>
      <w:r>
        <w:rPr>
          <w:rFonts w:ascii="SimSun" w:hAnsi="SimSun" w:eastAsia="SimSun" w:cs="SimSun"/>
          <w:sz w:val="17"/>
          <w:szCs w:val="17"/>
          <w:spacing w:val="79"/>
        </w:rPr>
        <w:t xml:space="preserve"> </w:t>
      </w:r>
      <w:r>
        <w:rPr>
          <w:rFonts w:ascii="KaiTi" w:hAnsi="KaiTi" w:eastAsia="KaiTi" w:cs="KaiTi"/>
          <w:sz w:val="17"/>
          <w:szCs w:val="17"/>
          <w:spacing w:val="-13"/>
        </w:rPr>
        <w:t>本章作者为沈艳、张俊妮。</w:t>
      </w:r>
    </w:p>
    <w:p>
      <w:pPr>
        <w:spacing w:line="223" w:lineRule="auto"/>
        <w:sectPr>
          <w:pgSz w:w="7330" w:h="12480"/>
          <w:pgMar w:top="400" w:right="1099" w:bottom="400" w:left="409" w:header="0" w:footer="0" w:gutter="0"/>
        </w:sectPr>
        <w:rPr>
          <w:rFonts w:ascii="KaiTi" w:hAnsi="KaiTi" w:eastAsia="KaiTi" w:cs="KaiTi"/>
          <w:sz w:val="17"/>
          <w:szCs w:val="17"/>
        </w:rPr>
      </w:pP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ind w:firstLine="780"/>
        <w:spacing w:line="2760" w:lineRule="exact"/>
        <w:rPr/>
      </w:pPr>
      <w:r>
        <w:rPr>
          <w:position w:val="-55"/>
        </w:rPr>
        <w:drawing>
          <wp:inline distT="0" distB="0" distL="0" distR="0">
            <wp:extent cx="2279658" cy="1752569"/>
            <wp:effectExtent l="0" t="0" r="0" b="0"/>
            <wp:docPr id="260" name="IM 260"/>
            <wp:cNvGraphicFramePr/>
            <a:graphic>
              <a:graphicData uri="http://schemas.openxmlformats.org/drawingml/2006/picture">
                <pic:pic>
                  <pic:nvPicPr>
                    <pic:cNvPr id="260" name="IM 260"/>
                    <pic:cNvPicPr/>
                  </pic:nvPicPr>
                  <pic:blipFill>
                    <a:blip r:embed="rId376"/>
                    <a:stretch>
                      <a:fillRect/>
                    </a:stretch>
                  </pic:blipFill>
                  <pic:spPr>
                    <a:xfrm rot="0">
                      <a:off x="0" y="0"/>
                      <a:ext cx="2279658" cy="1752569"/>
                    </a:xfrm>
                    <a:prstGeom prst="rect">
                      <a:avLst/>
                    </a:prstGeom>
                  </pic:spPr>
                </pic:pic>
              </a:graphicData>
            </a:graphic>
          </wp:inline>
        </w:drawing>
      </w:r>
    </w:p>
    <w:p>
      <w:pPr>
        <w:spacing w:line="2760" w:lineRule="exact"/>
        <w:sectPr>
          <w:pgSz w:w="7330" w:h="12480"/>
          <w:pgMar w:top="400" w:right="1099" w:bottom="400" w:left="1099" w:header="0" w:footer="0" w:gutter="0"/>
        </w:sectPr>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409"/>
        <w:spacing w:before="68" w:line="307" w:lineRule="auto"/>
        <w:jc w:val="both"/>
        <w:rPr>
          <w:rFonts w:ascii="SimSun" w:hAnsi="SimSun" w:eastAsia="SimSun" w:cs="SimSun"/>
          <w:sz w:val="21"/>
          <w:szCs w:val="21"/>
        </w:rPr>
      </w:pPr>
      <w:r>
        <w:rPr>
          <w:rFonts w:ascii="SimSun" w:hAnsi="SimSun" w:eastAsia="SimSun" w:cs="SimSun"/>
          <w:sz w:val="21"/>
          <w:szCs w:val="21"/>
          <w:spacing w:val="-10"/>
        </w:rPr>
        <w:t>数字时代，数据这一生产要素的应用给经济建设、社会生</w:t>
      </w:r>
      <w:r>
        <w:rPr>
          <w:rFonts w:ascii="SimSun" w:hAnsi="SimSun" w:eastAsia="SimSun" w:cs="SimSun"/>
          <w:sz w:val="21"/>
          <w:szCs w:val="21"/>
          <w:spacing w:val="-11"/>
        </w:rPr>
        <w:t>活和政</w:t>
      </w:r>
      <w:r>
        <w:rPr>
          <w:rFonts w:ascii="SimSun" w:hAnsi="SimSun" w:eastAsia="SimSun" w:cs="SimSun"/>
          <w:sz w:val="21"/>
          <w:szCs w:val="21"/>
        </w:rPr>
        <w:t xml:space="preserve">  </w:t>
      </w:r>
      <w:r>
        <w:rPr>
          <w:rFonts w:ascii="SimSun" w:hAnsi="SimSun" w:eastAsia="SimSun" w:cs="SimSun"/>
          <w:sz w:val="21"/>
          <w:szCs w:val="21"/>
          <w:spacing w:val="-10"/>
        </w:rPr>
        <w:t>府治理带来革命性影响，在催生新业务模式、提升企业生产效率、强</w:t>
      </w:r>
      <w:r>
        <w:rPr>
          <w:rFonts w:ascii="SimSun" w:hAnsi="SimSun" w:eastAsia="SimSun" w:cs="SimSun"/>
          <w:sz w:val="21"/>
          <w:szCs w:val="21"/>
          <w:spacing w:val="4"/>
        </w:rPr>
        <w:t xml:space="preserve">  </w:t>
      </w:r>
      <w:r>
        <w:rPr>
          <w:rFonts w:ascii="SimSun" w:hAnsi="SimSun" w:eastAsia="SimSun" w:cs="SimSun"/>
          <w:sz w:val="21"/>
          <w:szCs w:val="21"/>
          <w:spacing w:val="-10"/>
        </w:rPr>
        <w:t>化政府治理能力等方面发挥了重要作用。我国一直高度重视数据的应</w:t>
      </w:r>
      <w:r>
        <w:rPr>
          <w:rFonts w:ascii="SimSun" w:hAnsi="SimSun" w:eastAsia="SimSun" w:cs="SimSun"/>
          <w:sz w:val="21"/>
          <w:szCs w:val="21"/>
          <w:spacing w:val="3"/>
        </w:rPr>
        <w:t xml:space="preserve">  </w:t>
      </w:r>
      <w:r>
        <w:rPr>
          <w:rFonts w:ascii="SimSun" w:hAnsi="SimSun" w:eastAsia="SimSun" w:cs="SimSun"/>
          <w:sz w:val="21"/>
          <w:szCs w:val="21"/>
          <w:spacing w:val="-3"/>
        </w:rPr>
        <w:t>用和监管。2015年9月，国务院印发《促进大数据发展行动纲要》。</w:t>
      </w:r>
      <w:r>
        <w:rPr>
          <w:rFonts w:ascii="SimSun" w:hAnsi="SimSun" w:eastAsia="SimSun" w:cs="SimSun"/>
          <w:sz w:val="21"/>
          <w:szCs w:val="21"/>
          <w:spacing w:val="4"/>
        </w:rPr>
        <w:t xml:space="preserve"> </w:t>
      </w:r>
      <w:r>
        <w:rPr>
          <w:rFonts w:ascii="SimSun" w:hAnsi="SimSun" w:eastAsia="SimSun" w:cs="SimSun"/>
          <w:sz w:val="21"/>
          <w:szCs w:val="21"/>
        </w:rPr>
        <w:t>2015年10月，党的十八届五中全会将大数据战略上升为国家战略。</w:t>
      </w:r>
      <w:r>
        <w:rPr>
          <w:rFonts w:ascii="SimSun" w:hAnsi="SimSun" w:eastAsia="SimSun" w:cs="SimSun"/>
          <w:sz w:val="21"/>
          <w:szCs w:val="21"/>
          <w:spacing w:val="14"/>
        </w:rPr>
        <w:t xml:space="preserve"> </w:t>
      </w:r>
      <w:r>
        <w:rPr>
          <w:rFonts w:ascii="SimSun" w:hAnsi="SimSun" w:eastAsia="SimSun" w:cs="SimSun"/>
          <w:sz w:val="21"/>
          <w:szCs w:val="21"/>
          <w:spacing w:val="1"/>
        </w:rPr>
        <w:t>2020年4月，中共中央、国务院《关于构建更加</w:t>
      </w:r>
      <w:r>
        <w:rPr>
          <w:rFonts w:ascii="SimSun" w:hAnsi="SimSun" w:eastAsia="SimSun" w:cs="SimSun"/>
          <w:sz w:val="21"/>
          <w:szCs w:val="21"/>
        </w:rPr>
        <w:t>完善的要素市场化  </w:t>
      </w:r>
      <w:r>
        <w:rPr>
          <w:rFonts w:ascii="SimSun" w:hAnsi="SimSun" w:eastAsia="SimSun" w:cs="SimSun"/>
          <w:sz w:val="21"/>
          <w:szCs w:val="21"/>
          <w:spacing w:val="-10"/>
        </w:rPr>
        <w:t>配置体制机制的意见》(下称《意见》)正式公布。《意见》首次将数</w:t>
      </w:r>
      <w:r>
        <w:rPr>
          <w:rFonts w:ascii="SimSun" w:hAnsi="SimSun" w:eastAsia="SimSun" w:cs="SimSun"/>
          <w:sz w:val="21"/>
          <w:szCs w:val="21"/>
          <w:spacing w:val="8"/>
        </w:rPr>
        <w:t xml:space="preserve">  </w:t>
      </w:r>
      <w:r>
        <w:rPr>
          <w:rFonts w:ascii="SimSun" w:hAnsi="SimSun" w:eastAsia="SimSun" w:cs="SimSun"/>
          <w:sz w:val="21"/>
          <w:szCs w:val="21"/>
          <w:spacing w:val="-10"/>
        </w:rPr>
        <w:t>据作为一种新型生产要素列入官方文件，并提出三个核心目标，即推</w:t>
      </w:r>
      <w:r>
        <w:rPr>
          <w:rFonts w:ascii="SimSun" w:hAnsi="SimSun" w:eastAsia="SimSun" w:cs="SimSun"/>
          <w:sz w:val="21"/>
          <w:szCs w:val="21"/>
          <w:spacing w:val="3"/>
        </w:rPr>
        <w:t xml:space="preserve">  </w:t>
      </w:r>
      <w:r>
        <w:rPr>
          <w:rFonts w:ascii="SimSun" w:hAnsi="SimSun" w:eastAsia="SimSun" w:cs="SimSun"/>
          <w:sz w:val="21"/>
          <w:szCs w:val="21"/>
          <w:spacing w:val="-10"/>
        </w:rPr>
        <w:t>进政府数据开放共享、提升社会数据资源价值与加强数据</w:t>
      </w:r>
      <w:r>
        <w:rPr>
          <w:rFonts w:ascii="SimSun" w:hAnsi="SimSun" w:eastAsia="SimSun" w:cs="SimSun"/>
          <w:sz w:val="21"/>
          <w:szCs w:val="21"/>
          <w:spacing w:val="-11"/>
        </w:rPr>
        <w:t>资源整合和</w:t>
      </w:r>
      <w:r>
        <w:rPr>
          <w:rFonts w:ascii="SimSun" w:hAnsi="SimSun" w:eastAsia="SimSun" w:cs="SimSun"/>
          <w:sz w:val="21"/>
          <w:szCs w:val="21"/>
        </w:rPr>
        <w:t xml:space="preserve">  </w:t>
      </w:r>
      <w:r>
        <w:rPr>
          <w:rFonts w:ascii="SimSun" w:hAnsi="SimSun" w:eastAsia="SimSun" w:cs="SimSun"/>
          <w:sz w:val="21"/>
          <w:szCs w:val="21"/>
          <w:spacing w:val="-13"/>
        </w:rPr>
        <w:t>安全保护。</w:t>
      </w:r>
    </w:p>
    <w:p>
      <w:pPr>
        <w:ind w:right="98" w:firstLine="409"/>
        <w:spacing w:before="109" w:line="292" w:lineRule="auto"/>
        <w:jc w:val="both"/>
        <w:rPr>
          <w:rFonts w:ascii="SimSun" w:hAnsi="SimSun" w:eastAsia="SimSun" w:cs="SimSun"/>
          <w:sz w:val="21"/>
          <w:szCs w:val="21"/>
        </w:rPr>
      </w:pPr>
      <w:r>
        <w:rPr>
          <w:rFonts w:ascii="SimSun" w:hAnsi="SimSun" w:eastAsia="SimSun" w:cs="SimSun"/>
          <w:sz w:val="21"/>
          <w:szCs w:val="21"/>
          <w:spacing w:val="-10"/>
        </w:rPr>
        <w:t>但是，数字经济发展过程中，对数据的应用也在数据共</w:t>
      </w:r>
      <w:r>
        <w:rPr>
          <w:rFonts w:ascii="SimSun" w:hAnsi="SimSun" w:eastAsia="SimSun" w:cs="SimSun"/>
          <w:sz w:val="21"/>
          <w:szCs w:val="21"/>
          <w:spacing w:val="-11"/>
        </w:rPr>
        <w:t>享、算法</w:t>
      </w:r>
      <w:r>
        <w:rPr>
          <w:rFonts w:ascii="SimSun" w:hAnsi="SimSun" w:eastAsia="SimSun" w:cs="SimSun"/>
          <w:sz w:val="21"/>
          <w:szCs w:val="21"/>
        </w:rPr>
        <w:t xml:space="preserve"> </w:t>
      </w:r>
      <w:r>
        <w:rPr>
          <w:rFonts w:ascii="SimSun" w:hAnsi="SimSun" w:eastAsia="SimSun" w:cs="SimSun"/>
          <w:sz w:val="21"/>
          <w:szCs w:val="21"/>
          <w:spacing w:val="-10"/>
        </w:rPr>
        <w:t>治理、个人信息保护和数据安全等方面带来了</w:t>
      </w:r>
      <w:r>
        <w:rPr>
          <w:rFonts w:ascii="SimSun" w:hAnsi="SimSun" w:eastAsia="SimSun" w:cs="SimSun"/>
          <w:sz w:val="21"/>
          <w:szCs w:val="21"/>
          <w:spacing w:val="-11"/>
        </w:rPr>
        <w:t>诸多新挑战。由于数据</w:t>
      </w:r>
      <w:r>
        <w:rPr>
          <w:rFonts w:ascii="SimSun" w:hAnsi="SimSun" w:eastAsia="SimSun" w:cs="SimSun"/>
          <w:sz w:val="21"/>
          <w:szCs w:val="21"/>
        </w:rPr>
        <w:t xml:space="preserve"> </w:t>
      </w:r>
      <w:r>
        <w:rPr>
          <w:rFonts w:ascii="SimSun" w:hAnsi="SimSun" w:eastAsia="SimSun" w:cs="SimSun"/>
          <w:sz w:val="21"/>
          <w:szCs w:val="21"/>
          <w:spacing w:val="-10"/>
        </w:rPr>
        <w:t>这一生产要素所具有的重要战略价值和实践意义，妥善做好数据治理</w:t>
      </w:r>
      <w:r>
        <w:rPr>
          <w:rFonts w:ascii="SimSun" w:hAnsi="SimSun" w:eastAsia="SimSun" w:cs="SimSun"/>
          <w:sz w:val="21"/>
          <w:szCs w:val="21"/>
          <w:spacing w:val="5"/>
        </w:rPr>
        <w:t xml:space="preserve"> </w:t>
      </w:r>
      <w:r>
        <w:rPr>
          <w:rFonts w:ascii="SimSun" w:hAnsi="SimSun" w:eastAsia="SimSun" w:cs="SimSun"/>
          <w:sz w:val="21"/>
          <w:szCs w:val="21"/>
          <w:spacing w:val="-12"/>
        </w:rPr>
        <w:t>工作是推进国家核心竞争力的必然要求。</w:t>
      </w:r>
    </w:p>
    <w:p>
      <w:pPr>
        <w:ind w:firstLine="409"/>
        <w:spacing w:before="111" w:line="292" w:lineRule="auto"/>
        <w:jc w:val="both"/>
        <w:rPr>
          <w:rFonts w:ascii="SimSun" w:hAnsi="SimSun" w:eastAsia="SimSun" w:cs="SimSun"/>
          <w:sz w:val="21"/>
          <w:szCs w:val="21"/>
        </w:rPr>
      </w:pPr>
      <w:r>
        <w:rPr>
          <w:rFonts w:ascii="SimSun" w:hAnsi="SimSun" w:eastAsia="SimSun" w:cs="SimSun"/>
          <w:sz w:val="21"/>
          <w:szCs w:val="21"/>
          <w:spacing w:val="-7"/>
        </w:rPr>
        <w:t>本章着重讨论平台监管中的数据治理问题。与《意见》相对应，</w:t>
      </w:r>
      <w:r>
        <w:rPr>
          <w:rFonts w:ascii="SimSun" w:hAnsi="SimSun" w:eastAsia="SimSun" w:cs="SimSun"/>
          <w:sz w:val="21"/>
          <w:szCs w:val="21"/>
          <w:spacing w:val="10"/>
        </w:rPr>
        <w:t xml:space="preserve"> </w:t>
      </w:r>
      <w:r>
        <w:rPr>
          <w:rFonts w:ascii="SimSun" w:hAnsi="SimSun" w:eastAsia="SimSun" w:cs="SimSun"/>
          <w:sz w:val="21"/>
          <w:szCs w:val="21"/>
          <w:spacing w:val="-10"/>
        </w:rPr>
        <w:t>本章将从数据作为生产要素的治理、对平台算法的治理、个人信息保</w:t>
      </w:r>
      <w:r>
        <w:rPr>
          <w:rFonts w:ascii="SimSun" w:hAnsi="SimSun" w:eastAsia="SimSun" w:cs="SimSun"/>
          <w:sz w:val="21"/>
          <w:szCs w:val="21"/>
          <w:spacing w:val="2"/>
        </w:rPr>
        <w:t xml:space="preserve">  </w:t>
      </w:r>
      <w:r>
        <w:rPr>
          <w:rFonts w:ascii="SimSun" w:hAnsi="SimSun" w:eastAsia="SimSun" w:cs="SimSun"/>
          <w:sz w:val="21"/>
          <w:szCs w:val="21"/>
          <w:spacing w:val="-11"/>
        </w:rPr>
        <w:t>护与数据安全这三个角度，尤其是算法治理方面展开，并在此基础上</w:t>
      </w:r>
      <w:r>
        <w:rPr>
          <w:rFonts w:ascii="SimSun" w:hAnsi="SimSun" w:eastAsia="SimSun" w:cs="SimSun"/>
          <w:sz w:val="21"/>
          <w:szCs w:val="21"/>
          <w:spacing w:val="8"/>
        </w:rPr>
        <w:t xml:space="preserve">  </w:t>
      </w:r>
      <w:r>
        <w:rPr>
          <w:rFonts w:ascii="SimSun" w:hAnsi="SimSun" w:eastAsia="SimSun" w:cs="SimSun"/>
          <w:sz w:val="21"/>
          <w:szCs w:val="21"/>
          <w:spacing w:val="-13"/>
        </w:rPr>
        <w:t>进一步提出政策建议。</w:t>
      </w:r>
    </w:p>
    <w:p>
      <w:pPr>
        <w:pStyle w:val="BodyText"/>
        <w:spacing w:line="364" w:lineRule="auto"/>
        <w:rPr/>
      </w:pPr>
      <w:r/>
    </w:p>
    <w:p>
      <w:pPr>
        <w:ind w:left="1584"/>
        <w:spacing w:before="104" w:line="219" w:lineRule="auto"/>
        <w:rPr>
          <w:rFonts w:ascii="SimSun" w:hAnsi="SimSun" w:eastAsia="SimSun" w:cs="SimSun"/>
          <w:sz w:val="32"/>
          <w:szCs w:val="32"/>
        </w:rPr>
      </w:pPr>
      <w:r>
        <w:rPr>
          <w:rFonts w:ascii="SimSun" w:hAnsi="SimSun" w:eastAsia="SimSun" w:cs="SimSun"/>
          <w:sz w:val="32"/>
          <w:szCs w:val="32"/>
          <w:b/>
          <w:bCs/>
          <w:spacing w:val="-5"/>
        </w:rPr>
        <w:t>数据生产要素的治理</w:t>
      </w:r>
    </w:p>
    <w:p>
      <w:pPr>
        <w:pStyle w:val="BodyText"/>
        <w:spacing w:line="270" w:lineRule="auto"/>
        <w:rPr/>
      </w:pPr>
      <w:r/>
    </w:p>
    <w:p>
      <w:pPr>
        <w:ind w:right="97" w:firstLine="409"/>
        <w:spacing w:before="69" w:line="325" w:lineRule="auto"/>
        <w:jc w:val="both"/>
        <w:rPr>
          <w:rFonts w:ascii="SimSun" w:hAnsi="SimSun" w:eastAsia="SimSun" w:cs="SimSun"/>
          <w:sz w:val="21"/>
          <w:szCs w:val="21"/>
        </w:rPr>
      </w:pPr>
      <w:r>
        <w:rPr>
          <w:rFonts w:ascii="SimSun" w:hAnsi="SimSun" w:eastAsia="SimSun" w:cs="SimSun"/>
          <w:sz w:val="21"/>
          <w:szCs w:val="21"/>
          <w:spacing w:val="-10"/>
        </w:rPr>
        <w:t>数据这一生产要素是大力发展数字经济的必要元素，如</w:t>
      </w:r>
      <w:r>
        <w:rPr>
          <w:rFonts w:ascii="SimSun" w:hAnsi="SimSun" w:eastAsia="SimSun" w:cs="SimSun"/>
          <w:sz w:val="21"/>
          <w:szCs w:val="21"/>
          <w:spacing w:val="-11"/>
        </w:rPr>
        <w:t>果运用得</w:t>
      </w:r>
      <w:r>
        <w:rPr>
          <w:rFonts w:ascii="SimSun" w:hAnsi="SimSun" w:eastAsia="SimSun" w:cs="SimSun"/>
          <w:sz w:val="21"/>
          <w:szCs w:val="21"/>
        </w:rPr>
        <w:t xml:space="preserve"> </w:t>
      </w:r>
      <w:r>
        <w:rPr>
          <w:rFonts w:ascii="SimSun" w:hAnsi="SimSun" w:eastAsia="SimSun" w:cs="SimSun"/>
          <w:sz w:val="21"/>
          <w:szCs w:val="21"/>
          <w:spacing w:val="-11"/>
        </w:rPr>
        <w:t>当，数据将在技术创新和业务模式创新中发挥重要作用。但是目前对</w:t>
      </w:r>
    </w:p>
    <w:p>
      <w:pPr>
        <w:spacing w:line="219" w:lineRule="auto"/>
        <w:rPr>
          <w:rFonts w:ascii="SimSun" w:hAnsi="SimSun" w:eastAsia="SimSun" w:cs="SimSun"/>
          <w:sz w:val="21"/>
          <w:szCs w:val="21"/>
        </w:rPr>
      </w:pPr>
      <w:r>
        <w:rPr>
          <w:rFonts w:ascii="SimSun" w:hAnsi="SimSun" w:eastAsia="SimSun" w:cs="SimSun"/>
          <w:sz w:val="21"/>
          <w:szCs w:val="21"/>
          <w:spacing w:val="-10"/>
        </w:rPr>
        <w:t>数据确权、数据共享与数据使用等问题仍然存在很多争论，所以需要</w:t>
      </w:r>
    </w:p>
    <w:p>
      <w:pPr>
        <w:spacing w:line="219" w:lineRule="auto"/>
        <w:sectPr>
          <w:pgSz w:w="7330" w:h="12480"/>
          <w:pgMar w:top="400" w:right="754" w:bottom="400" w:left="469" w:header="0"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10"/>
        </w:rPr>
        <w:t>先从这三方面梳理相关的治理挑战。</w:t>
      </w:r>
    </w:p>
    <w:p>
      <w:pPr>
        <w:pStyle w:val="BodyText"/>
        <w:spacing w:line="38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2"/>
        </w:rPr>
        <w:t>数据作为生产要素的确权难度与现有安排</w:t>
      </w:r>
    </w:p>
    <w:p>
      <w:pPr>
        <w:pStyle w:val="BodyText"/>
        <w:spacing w:line="329" w:lineRule="auto"/>
        <w:rPr/>
      </w:pPr>
      <w:r/>
    </w:p>
    <w:p>
      <w:pPr>
        <w:ind w:right="72" w:firstLine="439"/>
        <w:spacing w:before="68" w:line="319" w:lineRule="auto"/>
        <w:rPr>
          <w:rFonts w:ascii="SimSun" w:hAnsi="SimSun" w:eastAsia="SimSun" w:cs="SimSun"/>
          <w:sz w:val="21"/>
          <w:szCs w:val="21"/>
        </w:rPr>
      </w:pPr>
      <w:r>
        <w:rPr>
          <w:rFonts w:ascii="SimSun" w:hAnsi="SimSun" w:eastAsia="SimSun" w:cs="SimSun"/>
          <w:sz w:val="21"/>
          <w:szCs w:val="21"/>
          <w:spacing w:val="-9"/>
        </w:rPr>
        <w:t>首先，数据具有准公共品的特征，在确权与交易方面均存在</w:t>
      </w:r>
      <w:r>
        <w:rPr>
          <w:rFonts w:ascii="SimSun" w:hAnsi="SimSun" w:eastAsia="SimSun" w:cs="SimSun"/>
          <w:sz w:val="21"/>
          <w:szCs w:val="21"/>
          <w:spacing w:val="-10"/>
        </w:rPr>
        <w:t>不少</w:t>
      </w:r>
      <w:r>
        <w:rPr>
          <w:rFonts w:ascii="SimSun" w:hAnsi="SimSun" w:eastAsia="SimSun" w:cs="SimSun"/>
          <w:sz w:val="21"/>
          <w:szCs w:val="21"/>
        </w:rPr>
        <w:t xml:space="preserve"> </w:t>
      </w:r>
      <w:r>
        <w:rPr>
          <w:rFonts w:ascii="SimSun" w:hAnsi="SimSun" w:eastAsia="SimSun" w:cs="SimSun"/>
          <w:sz w:val="21"/>
          <w:szCs w:val="21"/>
          <w:spacing w:val="-9"/>
        </w:rPr>
        <w:t>挑战。 一方面，这是因为数据具有“非竞争性”,即由于数据使用的</w:t>
      </w:r>
      <w:r>
        <w:rPr>
          <w:rFonts w:ascii="SimSun" w:hAnsi="SimSun" w:eastAsia="SimSun" w:cs="SimSun"/>
          <w:sz w:val="21"/>
          <w:szCs w:val="21"/>
          <w:spacing w:val="3"/>
        </w:rPr>
        <w:t xml:space="preserve"> </w:t>
      </w:r>
      <w:r>
        <w:rPr>
          <w:rFonts w:ascii="SimSun" w:hAnsi="SimSun" w:eastAsia="SimSun" w:cs="SimSun"/>
          <w:sz w:val="21"/>
          <w:szCs w:val="21"/>
          <w:spacing w:val="-15"/>
        </w:rPr>
        <w:t>边际成本几乎为零，</w:t>
      </w:r>
      <w:r>
        <w:rPr>
          <w:rFonts w:ascii="SimSun" w:hAnsi="SimSun" w:eastAsia="SimSun" w:cs="SimSun"/>
          <w:sz w:val="21"/>
          <w:szCs w:val="21"/>
          <w:spacing w:val="64"/>
        </w:rPr>
        <w:t xml:space="preserve"> </w:t>
      </w:r>
      <w:r>
        <w:rPr>
          <w:rFonts w:ascii="SimSun" w:hAnsi="SimSun" w:eastAsia="SimSun" w:cs="SimSun"/>
          <w:sz w:val="21"/>
          <w:szCs w:val="21"/>
          <w:spacing w:val="-15"/>
        </w:rPr>
        <w:t>一方使用数据并不影响其他各方使用数据；另一</w:t>
      </w:r>
      <w:r>
        <w:rPr>
          <w:rFonts w:ascii="SimSun" w:hAnsi="SimSun" w:eastAsia="SimSun" w:cs="SimSun"/>
          <w:sz w:val="21"/>
          <w:szCs w:val="21"/>
        </w:rPr>
        <w:t xml:space="preserve"> </w:t>
      </w:r>
      <w:r>
        <w:rPr>
          <w:rFonts w:ascii="SimSun" w:hAnsi="SimSun" w:eastAsia="SimSun" w:cs="SimSun"/>
          <w:sz w:val="21"/>
          <w:szCs w:val="21"/>
          <w:spacing w:val="-10"/>
        </w:rPr>
        <w:t>方面，数据也具有部分排他性，就是当一些平台企业收集、拥有并控</w:t>
      </w:r>
      <w:r>
        <w:rPr>
          <w:rFonts w:ascii="SimSun" w:hAnsi="SimSun" w:eastAsia="SimSun" w:cs="SimSun"/>
          <w:sz w:val="21"/>
          <w:szCs w:val="21"/>
          <w:spacing w:val="17"/>
        </w:rPr>
        <w:t xml:space="preserve"> </w:t>
      </w:r>
      <w:r>
        <w:rPr>
          <w:rFonts w:ascii="SimSun" w:hAnsi="SimSun" w:eastAsia="SimSun" w:cs="SimSun"/>
          <w:sz w:val="21"/>
          <w:szCs w:val="21"/>
          <w:spacing w:val="-10"/>
        </w:rPr>
        <w:t>制数据后，可以把其他竟争对手排斥在外。数据的准公共品特征与数</w:t>
      </w:r>
      <w:r>
        <w:rPr>
          <w:rFonts w:ascii="SimSun" w:hAnsi="SimSun" w:eastAsia="SimSun" w:cs="SimSun"/>
          <w:sz w:val="21"/>
          <w:szCs w:val="21"/>
          <w:spacing w:val="17"/>
        </w:rPr>
        <w:t xml:space="preserve"> </w:t>
      </w:r>
      <w:r>
        <w:rPr>
          <w:rFonts w:ascii="SimSun" w:hAnsi="SimSun" w:eastAsia="SimSun" w:cs="SimSun"/>
          <w:sz w:val="21"/>
          <w:szCs w:val="21"/>
          <w:spacing w:val="-8"/>
        </w:rPr>
        <w:t>据自身的独特性，导致我们在确权与交易方面存在较</w:t>
      </w:r>
      <w:r>
        <w:rPr>
          <w:rFonts w:ascii="SimSun" w:hAnsi="SimSun" w:eastAsia="SimSun" w:cs="SimSun"/>
          <w:sz w:val="21"/>
          <w:szCs w:val="21"/>
          <w:spacing w:val="-9"/>
        </w:rPr>
        <w:t>大挑战。例如，</w:t>
      </w:r>
      <w:r>
        <w:rPr>
          <w:rFonts w:ascii="SimSun" w:hAnsi="SimSun" w:eastAsia="SimSun" w:cs="SimSun"/>
          <w:sz w:val="21"/>
          <w:szCs w:val="21"/>
        </w:rPr>
        <w:t xml:space="preserve"> </w:t>
      </w:r>
      <w:r>
        <w:rPr>
          <w:rFonts w:ascii="SimSun" w:hAnsi="SimSun" w:eastAsia="SimSun" w:cs="SimSun"/>
          <w:sz w:val="21"/>
          <w:szCs w:val="21"/>
          <w:spacing w:val="-2"/>
        </w:rPr>
        <w:t>通过对现有讨论的整理，我们发现与数据有关</w:t>
      </w:r>
      <w:r>
        <w:rPr>
          <w:rFonts w:ascii="SimSun" w:hAnsi="SimSun" w:eastAsia="SimSun" w:cs="SimSun"/>
          <w:sz w:val="21"/>
          <w:szCs w:val="21"/>
          <w:spacing w:val="-3"/>
        </w:rPr>
        <w:t>的权属至少有如下20</w:t>
      </w:r>
    </w:p>
    <w:p>
      <w:pPr>
        <w:spacing w:line="216" w:lineRule="auto"/>
        <w:rPr>
          <w:rFonts w:ascii="SimSun" w:hAnsi="SimSun" w:eastAsia="SimSun" w:cs="SimSun"/>
          <w:sz w:val="21"/>
          <w:szCs w:val="21"/>
        </w:rPr>
      </w:pPr>
      <w:r>
        <w:rPr>
          <w:rFonts w:ascii="SimSun" w:hAnsi="SimSun" w:eastAsia="SimSun" w:cs="SimSun"/>
          <w:sz w:val="21"/>
          <w:szCs w:val="21"/>
          <w:spacing w:val="1"/>
        </w:rPr>
        <w:t>种(见表9-1),那么要明确权属困难很大。</w:t>
      </w:r>
    </w:p>
    <w:p>
      <w:pPr>
        <w:ind w:left="1852"/>
        <w:spacing w:before="284" w:line="222" w:lineRule="auto"/>
        <w:rPr>
          <w:rFonts w:ascii="SimHei" w:hAnsi="SimHei" w:eastAsia="SimHei" w:cs="SimHei"/>
          <w:sz w:val="21"/>
          <w:szCs w:val="21"/>
        </w:rPr>
      </w:pPr>
      <w:r>
        <w:rPr>
          <w:rFonts w:ascii="SimHei" w:hAnsi="SimHei" w:eastAsia="SimHei" w:cs="SimHei"/>
          <w:sz w:val="21"/>
          <w:szCs w:val="21"/>
          <w:b/>
          <w:bCs/>
          <w:spacing w:val="-23"/>
        </w:rPr>
        <w:t>表9-1</w:t>
      </w:r>
      <w:r>
        <w:rPr>
          <w:rFonts w:ascii="SimHei" w:hAnsi="SimHei" w:eastAsia="SimHei" w:cs="SimHei"/>
          <w:sz w:val="21"/>
          <w:szCs w:val="21"/>
          <w:spacing w:val="59"/>
        </w:rPr>
        <w:t xml:space="preserve"> </w:t>
      </w:r>
      <w:r>
        <w:rPr>
          <w:rFonts w:ascii="SimHei" w:hAnsi="SimHei" w:eastAsia="SimHei" w:cs="SimHei"/>
          <w:sz w:val="21"/>
          <w:szCs w:val="21"/>
          <w:b/>
          <w:bCs/>
          <w:spacing w:val="-23"/>
        </w:rPr>
        <w:t>与数据主体有关的权属</w:t>
      </w:r>
    </w:p>
    <w:p>
      <w:pPr>
        <w:spacing w:line="66" w:lineRule="exact"/>
        <w:rPr/>
      </w:pPr>
      <w:r/>
    </w:p>
    <w:tbl>
      <w:tblPr>
        <w:tblStyle w:val="TableNormal"/>
        <w:tblW w:w="6070" w:type="dxa"/>
        <w:tblInd w:w="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7"/>
        <w:gridCol w:w="1278"/>
        <w:gridCol w:w="4335"/>
      </w:tblGrid>
      <w:tr>
        <w:trPr>
          <w:trHeight w:val="324" w:hRule="atLeast"/>
        </w:trPr>
        <w:tc>
          <w:tcPr>
            <w:tcW w:w="457" w:type="dxa"/>
            <w:vAlign w:val="top"/>
            <w:tcBorders>
              <w:bottom w:val="single" w:color="000000" w:sz="4" w:space="0"/>
              <w:top w:val="single" w:color="000000" w:sz="4" w:space="0"/>
            </w:tcBorders>
          </w:tcPr>
          <w:p>
            <w:pPr>
              <w:rPr>
                <w:rFonts w:ascii="Arial"/>
                <w:sz w:val="21"/>
              </w:rPr>
            </w:pPr>
            <w:r/>
          </w:p>
        </w:tc>
        <w:tc>
          <w:tcPr>
            <w:tcW w:w="1278" w:type="dxa"/>
            <w:vAlign w:val="top"/>
            <w:tcBorders>
              <w:bottom w:val="single" w:color="000000" w:sz="4" w:space="0"/>
              <w:top w:val="single" w:color="000000" w:sz="4" w:space="0"/>
            </w:tcBorders>
          </w:tcPr>
          <w:p>
            <w:pPr>
              <w:pStyle w:val="TableText"/>
              <w:ind w:left="525"/>
              <w:spacing w:before="119" w:line="219" w:lineRule="auto"/>
              <w:rPr>
                <w:sz w:val="16"/>
                <w:szCs w:val="16"/>
              </w:rPr>
            </w:pPr>
            <w:r>
              <w:rPr>
                <w:sz w:val="16"/>
                <w:szCs w:val="16"/>
                <w:b/>
                <w:bCs/>
                <w:spacing w:val="-4"/>
              </w:rPr>
              <w:t>权属</w:t>
            </w:r>
          </w:p>
        </w:tc>
        <w:tc>
          <w:tcPr>
            <w:tcW w:w="4335" w:type="dxa"/>
            <w:vAlign w:val="top"/>
            <w:tcBorders>
              <w:bottom w:val="single" w:color="000000" w:sz="4" w:space="0"/>
              <w:top w:val="single" w:color="000000" w:sz="4" w:space="0"/>
            </w:tcBorders>
          </w:tcPr>
          <w:p>
            <w:pPr>
              <w:pStyle w:val="TableText"/>
              <w:ind w:left="1987"/>
              <w:spacing w:before="119" w:line="219" w:lineRule="auto"/>
              <w:rPr>
                <w:sz w:val="16"/>
                <w:szCs w:val="16"/>
              </w:rPr>
            </w:pPr>
            <w:r>
              <w:rPr>
                <w:sz w:val="16"/>
                <w:szCs w:val="16"/>
                <w:b/>
                <w:bCs/>
                <w:spacing w:val="1"/>
              </w:rPr>
              <w:t>内涵</w:t>
            </w:r>
          </w:p>
        </w:tc>
      </w:tr>
      <w:tr>
        <w:trPr>
          <w:trHeight w:val="344" w:hRule="atLeast"/>
        </w:trPr>
        <w:tc>
          <w:tcPr>
            <w:tcW w:w="457" w:type="dxa"/>
            <w:vAlign w:val="top"/>
            <w:tcBorders>
              <w:top w:val="single" w:color="000000" w:sz="4" w:space="0"/>
            </w:tcBorders>
          </w:tcPr>
          <w:p>
            <w:pPr>
              <w:pStyle w:val="TableText"/>
              <w:ind w:left="110"/>
              <w:spacing w:before="157" w:line="184" w:lineRule="auto"/>
              <w:rPr>
                <w:sz w:val="16"/>
                <w:szCs w:val="16"/>
              </w:rPr>
            </w:pPr>
            <w:r>
              <w:rPr>
                <w:sz w:val="16"/>
                <w:szCs w:val="16"/>
              </w:rPr>
              <w:t>1</w:t>
            </w:r>
          </w:p>
        </w:tc>
        <w:tc>
          <w:tcPr>
            <w:tcW w:w="1278" w:type="dxa"/>
            <w:vAlign w:val="top"/>
            <w:tcBorders>
              <w:top w:val="single" w:color="000000" w:sz="4" w:space="0"/>
            </w:tcBorders>
          </w:tcPr>
          <w:p>
            <w:pPr>
              <w:pStyle w:val="TableText"/>
              <w:ind w:left="203"/>
              <w:spacing w:before="76" w:line="219" w:lineRule="auto"/>
              <w:rPr>
                <w:sz w:val="16"/>
                <w:szCs w:val="16"/>
              </w:rPr>
            </w:pPr>
            <w:r>
              <w:rPr>
                <w:sz w:val="16"/>
                <w:szCs w:val="16"/>
                <w:spacing w:val="-3"/>
              </w:rPr>
              <w:t>管辖权</w:t>
            </w:r>
          </w:p>
        </w:tc>
        <w:tc>
          <w:tcPr>
            <w:tcW w:w="4335" w:type="dxa"/>
            <w:vAlign w:val="top"/>
            <w:tcBorders>
              <w:top w:val="single" w:color="000000" w:sz="4" w:space="0"/>
            </w:tcBorders>
          </w:tcPr>
          <w:p>
            <w:pPr>
              <w:pStyle w:val="TableText"/>
              <w:ind w:left="85"/>
              <w:spacing w:before="117" w:line="219" w:lineRule="auto"/>
              <w:rPr>
                <w:sz w:val="16"/>
                <w:szCs w:val="16"/>
              </w:rPr>
            </w:pPr>
            <w:r>
              <w:rPr>
                <w:sz w:val="16"/>
                <w:szCs w:val="16"/>
              </w:rPr>
              <w:t>决定如何或者由谁使用数据</w:t>
            </w:r>
          </w:p>
        </w:tc>
      </w:tr>
      <w:tr>
        <w:trPr>
          <w:trHeight w:val="310" w:hRule="atLeast"/>
        </w:trPr>
        <w:tc>
          <w:tcPr>
            <w:tcW w:w="457" w:type="dxa"/>
            <w:vAlign w:val="top"/>
          </w:tcPr>
          <w:p>
            <w:pPr>
              <w:pStyle w:val="TableText"/>
              <w:ind w:left="110"/>
              <w:spacing w:before="114" w:line="183" w:lineRule="auto"/>
              <w:rPr>
                <w:sz w:val="16"/>
                <w:szCs w:val="16"/>
              </w:rPr>
            </w:pPr>
            <w:r>
              <w:rPr>
                <w:sz w:val="16"/>
                <w:szCs w:val="16"/>
              </w:rPr>
              <w:t>2</w:t>
            </w:r>
          </w:p>
        </w:tc>
        <w:tc>
          <w:tcPr>
            <w:tcW w:w="1278" w:type="dxa"/>
            <w:vAlign w:val="top"/>
          </w:tcPr>
          <w:p>
            <w:pPr>
              <w:pStyle w:val="TableText"/>
              <w:ind w:left="213"/>
              <w:spacing w:before="73" w:line="219" w:lineRule="auto"/>
              <w:rPr>
                <w:sz w:val="16"/>
                <w:szCs w:val="16"/>
              </w:rPr>
            </w:pPr>
            <w:r>
              <w:rPr>
                <w:sz w:val="16"/>
                <w:szCs w:val="16"/>
                <w:spacing w:val="-2"/>
              </w:rPr>
              <w:t>访问权</w:t>
            </w:r>
          </w:p>
        </w:tc>
        <w:tc>
          <w:tcPr>
            <w:tcW w:w="4335" w:type="dxa"/>
            <w:vAlign w:val="top"/>
          </w:tcPr>
          <w:p>
            <w:pPr>
              <w:pStyle w:val="TableText"/>
              <w:ind w:left="85"/>
              <w:spacing w:before="73" w:line="219" w:lineRule="auto"/>
              <w:rPr>
                <w:sz w:val="16"/>
                <w:szCs w:val="16"/>
              </w:rPr>
            </w:pPr>
            <w:r>
              <w:rPr>
                <w:sz w:val="16"/>
                <w:szCs w:val="16"/>
              </w:rPr>
              <w:t>知道有关自己的个人信息是否被处理并获取有关处理信息</w:t>
            </w:r>
          </w:p>
        </w:tc>
      </w:tr>
      <w:tr>
        <w:trPr>
          <w:trHeight w:val="319" w:hRule="atLeast"/>
        </w:trPr>
        <w:tc>
          <w:tcPr>
            <w:tcW w:w="457" w:type="dxa"/>
            <w:vAlign w:val="top"/>
          </w:tcPr>
          <w:p>
            <w:pPr>
              <w:pStyle w:val="TableText"/>
              <w:ind w:left="110"/>
              <w:spacing w:before="124" w:line="183" w:lineRule="auto"/>
              <w:rPr>
                <w:sz w:val="16"/>
                <w:szCs w:val="16"/>
              </w:rPr>
            </w:pPr>
            <w:r>
              <w:rPr>
                <w:sz w:val="16"/>
                <w:szCs w:val="16"/>
              </w:rPr>
              <w:t>3</w:t>
            </w:r>
          </w:p>
        </w:tc>
        <w:tc>
          <w:tcPr>
            <w:tcW w:w="1278" w:type="dxa"/>
            <w:vAlign w:val="top"/>
          </w:tcPr>
          <w:p>
            <w:pPr>
              <w:pStyle w:val="TableText"/>
              <w:ind w:left="203"/>
              <w:spacing w:before="83" w:line="219" w:lineRule="auto"/>
              <w:rPr>
                <w:sz w:val="16"/>
                <w:szCs w:val="16"/>
              </w:rPr>
            </w:pPr>
            <w:r>
              <w:rPr>
                <w:sz w:val="16"/>
                <w:szCs w:val="16"/>
                <w:spacing w:val="-2"/>
              </w:rPr>
              <w:t>使用权</w:t>
            </w:r>
          </w:p>
        </w:tc>
        <w:tc>
          <w:tcPr>
            <w:tcW w:w="4335" w:type="dxa"/>
            <w:vAlign w:val="top"/>
          </w:tcPr>
          <w:p>
            <w:pPr>
              <w:pStyle w:val="TableText"/>
              <w:ind w:left="85"/>
              <w:spacing w:before="83" w:line="219" w:lineRule="auto"/>
              <w:rPr>
                <w:sz w:val="16"/>
                <w:szCs w:val="16"/>
              </w:rPr>
            </w:pPr>
            <w:r>
              <w:rPr>
                <w:sz w:val="16"/>
                <w:szCs w:val="16"/>
                <w:spacing w:val="-1"/>
              </w:rPr>
              <w:t>对数据的使用权</w:t>
            </w:r>
          </w:p>
        </w:tc>
      </w:tr>
      <w:tr>
        <w:trPr>
          <w:trHeight w:val="319" w:hRule="atLeast"/>
        </w:trPr>
        <w:tc>
          <w:tcPr>
            <w:tcW w:w="457" w:type="dxa"/>
            <w:vAlign w:val="top"/>
          </w:tcPr>
          <w:p>
            <w:pPr>
              <w:pStyle w:val="TableText"/>
              <w:ind w:left="110"/>
              <w:spacing w:before="125" w:line="183" w:lineRule="auto"/>
              <w:rPr>
                <w:sz w:val="16"/>
                <w:szCs w:val="16"/>
              </w:rPr>
            </w:pPr>
            <w:r>
              <w:rPr>
                <w:sz w:val="16"/>
                <w:szCs w:val="16"/>
              </w:rPr>
              <w:t>4</w:t>
            </w:r>
          </w:p>
        </w:tc>
        <w:tc>
          <w:tcPr>
            <w:tcW w:w="1278" w:type="dxa"/>
            <w:vAlign w:val="top"/>
          </w:tcPr>
          <w:p>
            <w:pPr>
              <w:pStyle w:val="TableText"/>
              <w:ind w:left="213"/>
              <w:spacing w:before="84" w:line="219" w:lineRule="auto"/>
              <w:rPr>
                <w:sz w:val="16"/>
                <w:szCs w:val="16"/>
              </w:rPr>
            </w:pPr>
            <w:r>
              <w:rPr>
                <w:sz w:val="16"/>
                <w:szCs w:val="16"/>
                <w:spacing w:val="-2"/>
              </w:rPr>
              <w:t>更正权</w:t>
            </w:r>
          </w:p>
        </w:tc>
        <w:tc>
          <w:tcPr>
            <w:tcW w:w="4335" w:type="dxa"/>
            <w:vAlign w:val="top"/>
          </w:tcPr>
          <w:p>
            <w:pPr>
              <w:pStyle w:val="TableText"/>
              <w:ind w:left="85"/>
              <w:spacing w:before="84" w:line="219" w:lineRule="auto"/>
              <w:rPr>
                <w:sz w:val="16"/>
                <w:szCs w:val="16"/>
              </w:rPr>
            </w:pPr>
            <w:r>
              <w:rPr>
                <w:sz w:val="16"/>
                <w:szCs w:val="16"/>
                <w:spacing w:val="-1"/>
              </w:rPr>
              <w:t>数据主体有权请求更正错误数据、完善不完整的个人数据</w:t>
            </w:r>
          </w:p>
        </w:tc>
      </w:tr>
      <w:tr>
        <w:trPr>
          <w:trHeight w:val="315" w:hRule="atLeast"/>
        </w:trPr>
        <w:tc>
          <w:tcPr>
            <w:tcW w:w="457" w:type="dxa"/>
            <w:vAlign w:val="top"/>
          </w:tcPr>
          <w:p>
            <w:pPr>
              <w:pStyle w:val="TableText"/>
              <w:ind w:left="120"/>
              <w:spacing w:before="127" w:line="182" w:lineRule="auto"/>
              <w:rPr>
                <w:sz w:val="16"/>
                <w:szCs w:val="16"/>
              </w:rPr>
            </w:pPr>
            <w:r>
              <w:rPr>
                <w:sz w:val="16"/>
                <w:szCs w:val="16"/>
              </w:rPr>
              <w:t>5</w:t>
            </w:r>
          </w:p>
        </w:tc>
        <w:tc>
          <w:tcPr>
            <w:tcW w:w="1278" w:type="dxa"/>
            <w:vAlign w:val="top"/>
          </w:tcPr>
          <w:p>
            <w:pPr>
              <w:pStyle w:val="TableText"/>
              <w:ind w:left="213"/>
              <w:spacing w:before="85" w:line="219" w:lineRule="auto"/>
              <w:rPr>
                <w:sz w:val="16"/>
                <w:szCs w:val="16"/>
              </w:rPr>
            </w:pPr>
            <w:r>
              <w:rPr>
                <w:sz w:val="16"/>
                <w:szCs w:val="16"/>
                <w:spacing w:val="-2"/>
              </w:rPr>
              <w:t>被遗忘权</w:t>
            </w:r>
          </w:p>
        </w:tc>
        <w:tc>
          <w:tcPr>
            <w:tcW w:w="4335" w:type="dxa"/>
            <w:vAlign w:val="top"/>
          </w:tcPr>
          <w:p>
            <w:pPr>
              <w:pStyle w:val="TableText"/>
              <w:ind w:left="85"/>
              <w:spacing w:before="85" w:line="219" w:lineRule="auto"/>
              <w:rPr>
                <w:sz w:val="16"/>
                <w:szCs w:val="16"/>
              </w:rPr>
            </w:pPr>
            <w:r>
              <w:rPr>
                <w:sz w:val="16"/>
                <w:szCs w:val="16"/>
                <w:spacing w:val="-1"/>
              </w:rPr>
              <w:t>特定情形下可请求清除相关个人数据</w:t>
            </w:r>
          </w:p>
        </w:tc>
      </w:tr>
      <w:tr>
        <w:trPr>
          <w:trHeight w:val="314" w:hRule="atLeast"/>
        </w:trPr>
        <w:tc>
          <w:tcPr>
            <w:tcW w:w="457" w:type="dxa"/>
            <w:vAlign w:val="top"/>
          </w:tcPr>
          <w:p>
            <w:pPr>
              <w:pStyle w:val="TableText"/>
              <w:ind w:left="120"/>
              <w:spacing w:before="121" w:line="183" w:lineRule="auto"/>
              <w:rPr>
                <w:sz w:val="16"/>
                <w:szCs w:val="16"/>
              </w:rPr>
            </w:pPr>
            <w:r>
              <w:rPr>
                <w:sz w:val="16"/>
                <w:szCs w:val="16"/>
              </w:rPr>
              <w:t>6</w:t>
            </w:r>
          </w:p>
        </w:tc>
        <w:tc>
          <w:tcPr>
            <w:tcW w:w="1278" w:type="dxa"/>
            <w:vAlign w:val="top"/>
          </w:tcPr>
          <w:p>
            <w:pPr>
              <w:pStyle w:val="TableText"/>
              <w:ind w:left="193"/>
              <w:spacing w:before="80" w:line="219" w:lineRule="auto"/>
              <w:rPr>
                <w:sz w:val="16"/>
                <w:szCs w:val="16"/>
              </w:rPr>
            </w:pPr>
            <w:r>
              <w:rPr>
                <w:sz w:val="16"/>
                <w:szCs w:val="16"/>
                <w:spacing w:val="1"/>
              </w:rPr>
              <w:t>限制处理权</w:t>
            </w:r>
          </w:p>
        </w:tc>
        <w:tc>
          <w:tcPr>
            <w:tcW w:w="4335" w:type="dxa"/>
            <w:vAlign w:val="top"/>
          </w:tcPr>
          <w:p>
            <w:pPr>
              <w:pStyle w:val="TableText"/>
              <w:ind w:left="85"/>
              <w:spacing w:before="80" w:line="219" w:lineRule="auto"/>
              <w:rPr>
                <w:sz w:val="16"/>
                <w:szCs w:val="16"/>
              </w:rPr>
            </w:pPr>
            <w:r>
              <w:rPr>
                <w:sz w:val="16"/>
                <w:szCs w:val="16"/>
                <w:spacing w:val="-1"/>
              </w:rPr>
              <w:t>特定情形下可请求停止数据处理行为</w:t>
            </w:r>
          </w:p>
        </w:tc>
      </w:tr>
      <w:tr>
        <w:trPr>
          <w:trHeight w:val="320" w:hRule="atLeast"/>
        </w:trPr>
        <w:tc>
          <w:tcPr>
            <w:tcW w:w="457" w:type="dxa"/>
            <w:vAlign w:val="top"/>
          </w:tcPr>
          <w:p>
            <w:pPr>
              <w:pStyle w:val="TableText"/>
              <w:ind w:left="100"/>
              <w:spacing w:before="128" w:line="182" w:lineRule="auto"/>
              <w:rPr>
                <w:sz w:val="16"/>
                <w:szCs w:val="16"/>
              </w:rPr>
            </w:pPr>
            <w:r>
              <w:rPr>
                <w:sz w:val="16"/>
                <w:szCs w:val="16"/>
              </w:rPr>
              <w:t>7</w:t>
            </w:r>
          </w:p>
        </w:tc>
        <w:tc>
          <w:tcPr>
            <w:tcW w:w="1278" w:type="dxa"/>
            <w:vAlign w:val="top"/>
          </w:tcPr>
          <w:p>
            <w:pPr>
              <w:pStyle w:val="TableText"/>
              <w:ind w:left="213"/>
              <w:spacing w:before="86" w:line="219" w:lineRule="auto"/>
              <w:rPr>
                <w:sz w:val="16"/>
                <w:szCs w:val="16"/>
              </w:rPr>
            </w:pPr>
            <w:r>
              <w:rPr>
                <w:sz w:val="16"/>
                <w:szCs w:val="16"/>
                <w:spacing w:val="-2"/>
              </w:rPr>
              <w:t>便携权</w:t>
            </w:r>
          </w:p>
        </w:tc>
        <w:tc>
          <w:tcPr>
            <w:tcW w:w="4335" w:type="dxa"/>
            <w:vAlign w:val="top"/>
          </w:tcPr>
          <w:p>
            <w:pPr>
              <w:pStyle w:val="TableText"/>
              <w:ind w:left="85"/>
              <w:spacing w:before="85" w:line="219" w:lineRule="auto"/>
              <w:rPr>
                <w:sz w:val="16"/>
                <w:szCs w:val="16"/>
              </w:rPr>
            </w:pPr>
            <w:r>
              <w:rPr>
                <w:sz w:val="16"/>
                <w:szCs w:val="16"/>
                <w:spacing w:val="-1"/>
              </w:rPr>
              <w:t>获取和移转已提供的个人数据</w:t>
            </w:r>
          </w:p>
        </w:tc>
      </w:tr>
      <w:tr>
        <w:trPr>
          <w:trHeight w:val="319" w:hRule="atLeast"/>
        </w:trPr>
        <w:tc>
          <w:tcPr>
            <w:tcW w:w="457" w:type="dxa"/>
            <w:vAlign w:val="top"/>
          </w:tcPr>
          <w:p>
            <w:pPr>
              <w:pStyle w:val="TableText"/>
              <w:ind w:left="110"/>
              <w:spacing w:before="127" w:line="183" w:lineRule="auto"/>
              <w:rPr>
                <w:sz w:val="16"/>
                <w:szCs w:val="16"/>
              </w:rPr>
            </w:pPr>
            <w:r>
              <w:rPr>
                <w:sz w:val="16"/>
                <w:szCs w:val="16"/>
              </w:rPr>
              <w:t>8</w:t>
            </w:r>
          </w:p>
        </w:tc>
        <w:tc>
          <w:tcPr>
            <w:tcW w:w="1278" w:type="dxa"/>
            <w:vAlign w:val="top"/>
          </w:tcPr>
          <w:p>
            <w:pPr>
              <w:pStyle w:val="TableText"/>
              <w:ind w:left="213"/>
              <w:spacing w:before="86" w:line="219" w:lineRule="auto"/>
              <w:rPr>
                <w:sz w:val="16"/>
                <w:szCs w:val="16"/>
              </w:rPr>
            </w:pPr>
            <w:r>
              <w:rPr>
                <w:sz w:val="16"/>
                <w:szCs w:val="16"/>
                <w:spacing w:val="-2"/>
              </w:rPr>
              <w:t>拒绝权</w:t>
            </w:r>
          </w:p>
        </w:tc>
        <w:tc>
          <w:tcPr>
            <w:tcW w:w="4335" w:type="dxa"/>
            <w:vAlign w:val="top"/>
          </w:tcPr>
          <w:p>
            <w:pPr>
              <w:pStyle w:val="TableText"/>
              <w:ind w:left="85"/>
              <w:spacing w:before="86" w:line="219" w:lineRule="auto"/>
              <w:rPr>
                <w:sz w:val="16"/>
                <w:szCs w:val="16"/>
              </w:rPr>
            </w:pPr>
            <w:r>
              <w:rPr>
                <w:sz w:val="16"/>
                <w:szCs w:val="16"/>
                <w:spacing w:val="-1"/>
              </w:rPr>
              <w:t>拒绝基于公共利益或合法利益进行的个人数据处理</w:t>
            </w:r>
          </w:p>
        </w:tc>
      </w:tr>
      <w:tr>
        <w:trPr>
          <w:trHeight w:val="319" w:hRule="atLeast"/>
        </w:trPr>
        <w:tc>
          <w:tcPr>
            <w:tcW w:w="457" w:type="dxa"/>
            <w:vAlign w:val="top"/>
          </w:tcPr>
          <w:p>
            <w:pPr>
              <w:pStyle w:val="TableText"/>
              <w:ind w:left="110"/>
              <w:spacing w:before="128" w:line="183" w:lineRule="auto"/>
              <w:rPr>
                <w:sz w:val="16"/>
                <w:szCs w:val="16"/>
              </w:rPr>
            </w:pPr>
            <w:r>
              <w:rPr>
                <w:sz w:val="16"/>
                <w:szCs w:val="16"/>
              </w:rPr>
              <w:t>9</w:t>
            </w:r>
          </w:p>
        </w:tc>
        <w:tc>
          <w:tcPr>
            <w:tcW w:w="1278" w:type="dxa"/>
            <w:vAlign w:val="top"/>
          </w:tcPr>
          <w:p>
            <w:pPr>
              <w:pStyle w:val="TableText"/>
              <w:ind w:left="233"/>
              <w:spacing w:before="87" w:line="219" w:lineRule="auto"/>
              <w:rPr>
                <w:sz w:val="16"/>
                <w:szCs w:val="16"/>
              </w:rPr>
            </w:pPr>
            <w:r>
              <w:rPr>
                <w:sz w:val="16"/>
                <w:szCs w:val="16"/>
                <w:spacing w:val="1"/>
              </w:rPr>
              <w:t>自动化自决权</w:t>
            </w:r>
          </w:p>
        </w:tc>
        <w:tc>
          <w:tcPr>
            <w:tcW w:w="4335" w:type="dxa"/>
            <w:vAlign w:val="top"/>
          </w:tcPr>
          <w:p>
            <w:pPr>
              <w:pStyle w:val="TableText"/>
              <w:ind w:left="85"/>
              <w:spacing w:before="87" w:line="219" w:lineRule="auto"/>
              <w:rPr>
                <w:sz w:val="16"/>
                <w:szCs w:val="16"/>
              </w:rPr>
            </w:pPr>
            <w:r>
              <w:rPr>
                <w:sz w:val="16"/>
                <w:szCs w:val="16"/>
                <w:spacing w:val="-1"/>
              </w:rPr>
              <w:t>不受仅基于自动化处理得出的结果的约束</w:t>
            </w:r>
          </w:p>
        </w:tc>
      </w:tr>
      <w:tr>
        <w:trPr>
          <w:trHeight w:val="320" w:hRule="atLeast"/>
        </w:trPr>
        <w:tc>
          <w:tcPr>
            <w:tcW w:w="457" w:type="dxa"/>
            <w:vAlign w:val="top"/>
          </w:tcPr>
          <w:p>
            <w:pPr>
              <w:pStyle w:val="TableText"/>
              <w:ind w:left="130"/>
              <w:spacing w:before="128" w:line="184" w:lineRule="auto"/>
              <w:rPr>
                <w:sz w:val="16"/>
                <w:szCs w:val="16"/>
              </w:rPr>
            </w:pPr>
            <w:r>
              <w:rPr>
                <w:sz w:val="16"/>
                <w:szCs w:val="16"/>
                <w:spacing w:val="-5"/>
              </w:rPr>
              <w:t>10</w:t>
            </w:r>
          </w:p>
        </w:tc>
        <w:tc>
          <w:tcPr>
            <w:tcW w:w="1278" w:type="dxa"/>
            <w:vAlign w:val="top"/>
          </w:tcPr>
          <w:p>
            <w:pPr>
              <w:pStyle w:val="TableText"/>
              <w:ind w:left="213"/>
              <w:spacing w:before="88" w:line="219" w:lineRule="auto"/>
              <w:rPr>
                <w:sz w:val="16"/>
                <w:szCs w:val="16"/>
              </w:rPr>
            </w:pPr>
            <w:r>
              <w:rPr>
                <w:sz w:val="16"/>
                <w:szCs w:val="16"/>
                <w:spacing w:val="-2"/>
              </w:rPr>
              <w:t>排他权</w:t>
            </w:r>
          </w:p>
        </w:tc>
        <w:tc>
          <w:tcPr>
            <w:tcW w:w="4335" w:type="dxa"/>
            <w:vAlign w:val="top"/>
          </w:tcPr>
          <w:p>
            <w:pPr>
              <w:pStyle w:val="TableText"/>
              <w:ind w:left="85"/>
              <w:spacing w:before="88" w:line="219" w:lineRule="auto"/>
              <w:rPr>
                <w:sz w:val="16"/>
                <w:szCs w:val="16"/>
              </w:rPr>
            </w:pPr>
            <w:r>
              <w:rPr>
                <w:sz w:val="16"/>
                <w:szCs w:val="16"/>
                <w:spacing w:val="-1"/>
              </w:rPr>
              <w:t>对数据排除他人使用或从中获益的权利</w:t>
            </w:r>
          </w:p>
        </w:tc>
      </w:tr>
      <w:tr>
        <w:trPr>
          <w:trHeight w:val="324" w:hRule="atLeast"/>
        </w:trPr>
        <w:tc>
          <w:tcPr>
            <w:tcW w:w="457" w:type="dxa"/>
            <w:vAlign w:val="top"/>
          </w:tcPr>
          <w:p>
            <w:pPr>
              <w:pStyle w:val="TableText"/>
              <w:ind w:left="130"/>
              <w:spacing w:before="128" w:line="184" w:lineRule="auto"/>
              <w:rPr>
                <w:sz w:val="16"/>
                <w:szCs w:val="16"/>
              </w:rPr>
            </w:pPr>
            <w:r>
              <w:rPr>
                <w:sz w:val="16"/>
                <w:szCs w:val="16"/>
                <w:spacing w:val="-5"/>
              </w:rPr>
              <w:t>11</w:t>
            </w:r>
          </w:p>
        </w:tc>
        <w:tc>
          <w:tcPr>
            <w:tcW w:w="1278" w:type="dxa"/>
            <w:vAlign w:val="top"/>
          </w:tcPr>
          <w:p>
            <w:pPr>
              <w:pStyle w:val="TableText"/>
              <w:ind w:left="213"/>
              <w:spacing w:before="87" w:line="219" w:lineRule="auto"/>
              <w:rPr>
                <w:sz w:val="16"/>
                <w:szCs w:val="16"/>
              </w:rPr>
            </w:pPr>
            <w:r>
              <w:rPr>
                <w:sz w:val="16"/>
                <w:szCs w:val="16"/>
                <w:spacing w:val="-3"/>
              </w:rPr>
              <w:t>资本权</w:t>
            </w:r>
          </w:p>
        </w:tc>
        <w:tc>
          <w:tcPr>
            <w:tcW w:w="4335" w:type="dxa"/>
            <w:vAlign w:val="top"/>
          </w:tcPr>
          <w:p>
            <w:pPr>
              <w:pStyle w:val="TableText"/>
              <w:ind w:left="85"/>
              <w:spacing w:before="88" w:line="219" w:lineRule="auto"/>
              <w:rPr>
                <w:sz w:val="16"/>
                <w:szCs w:val="16"/>
              </w:rPr>
            </w:pPr>
            <w:r>
              <w:rPr>
                <w:sz w:val="16"/>
                <w:szCs w:val="16"/>
              </w:rPr>
              <w:t>出售、许可数据获得收益的权利</w:t>
            </w:r>
          </w:p>
        </w:tc>
      </w:tr>
      <w:tr>
        <w:trPr>
          <w:trHeight w:val="319" w:hRule="atLeast"/>
        </w:trPr>
        <w:tc>
          <w:tcPr>
            <w:tcW w:w="457" w:type="dxa"/>
            <w:vAlign w:val="top"/>
          </w:tcPr>
          <w:p>
            <w:pPr>
              <w:pStyle w:val="TableText"/>
              <w:ind w:left="130"/>
              <w:spacing w:before="134" w:line="184" w:lineRule="auto"/>
              <w:rPr>
                <w:sz w:val="16"/>
                <w:szCs w:val="16"/>
              </w:rPr>
            </w:pPr>
            <w:r>
              <w:rPr>
                <w:sz w:val="16"/>
                <w:szCs w:val="16"/>
                <w:spacing w:val="-5"/>
              </w:rPr>
              <w:t>12</w:t>
            </w:r>
          </w:p>
        </w:tc>
        <w:tc>
          <w:tcPr>
            <w:tcW w:w="1278" w:type="dxa"/>
            <w:vAlign w:val="top"/>
          </w:tcPr>
          <w:p>
            <w:pPr>
              <w:pStyle w:val="TableText"/>
              <w:ind w:left="203"/>
              <w:spacing w:before="94" w:line="219" w:lineRule="auto"/>
              <w:rPr>
                <w:sz w:val="16"/>
                <w:szCs w:val="16"/>
              </w:rPr>
            </w:pPr>
            <w:r>
              <w:rPr>
                <w:sz w:val="16"/>
                <w:szCs w:val="16"/>
                <w:spacing w:val="-3"/>
              </w:rPr>
              <w:t>收益权</w:t>
            </w:r>
          </w:p>
        </w:tc>
        <w:tc>
          <w:tcPr>
            <w:tcW w:w="4335" w:type="dxa"/>
            <w:vAlign w:val="top"/>
          </w:tcPr>
          <w:p>
            <w:pPr>
              <w:pStyle w:val="TableText"/>
              <w:ind w:left="85"/>
              <w:spacing w:before="94" w:line="219" w:lineRule="auto"/>
              <w:rPr>
                <w:sz w:val="16"/>
                <w:szCs w:val="16"/>
              </w:rPr>
            </w:pPr>
            <w:r>
              <w:rPr>
                <w:sz w:val="16"/>
                <w:szCs w:val="16"/>
                <w:spacing w:val="-1"/>
              </w:rPr>
              <w:t>享有因个人对数据的使用或者允许他人使用而产生的收益</w:t>
            </w:r>
          </w:p>
        </w:tc>
      </w:tr>
      <w:tr>
        <w:trPr>
          <w:trHeight w:val="315" w:hRule="atLeast"/>
        </w:trPr>
        <w:tc>
          <w:tcPr>
            <w:tcW w:w="457" w:type="dxa"/>
            <w:vAlign w:val="top"/>
          </w:tcPr>
          <w:p>
            <w:pPr>
              <w:pStyle w:val="TableText"/>
              <w:ind w:left="130"/>
              <w:spacing w:before="125" w:line="184" w:lineRule="auto"/>
              <w:rPr>
                <w:sz w:val="16"/>
                <w:szCs w:val="16"/>
              </w:rPr>
            </w:pPr>
            <w:r>
              <w:rPr>
                <w:sz w:val="16"/>
                <w:szCs w:val="16"/>
                <w:spacing w:val="-5"/>
              </w:rPr>
              <w:t>13</w:t>
            </w:r>
          </w:p>
        </w:tc>
        <w:tc>
          <w:tcPr>
            <w:tcW w:w="1278" w:type="dxa"/>
            <w:vAlign w:val="top"/>
          </w:tcPr>
          <w:p>
            <w:pPr>
              <w:pStyle w:val="TableText"/>
              <w:ind w:left="213"/>
              <w:spacing w:before="85" w:line="219" w:lineRule="auto"/>
              <w:rPr>
                <w:sz w:val="16"/>
                <w:szCs w:val="16"/>
              </w:rPr>
            </w:pPr>
            <w:r>
              <w:rPr>
                <w:sz w:val="16"/>
                <w:szCs w:val="16"/>
                <w:spacing w:val="2"/>
              </w:rPr>
              <w:t>占有权</w:t>
            </w:r>
          </w:p>
        </w:tc>
        <w:tc>
          <w:tcPr>
            <w:tcW w:w="4335" w:type="dxa"/>
            <w:vAlign w:val="top"/>
          </w:tcPr>
          <w:p>
            <w:pPr>
              <w:pStyle w:val="TableText"/>
              <w:ind w:left="85"/>
              <w:spacing w:before="85" w:line="219" w:lineRule="auto"/>
              <w:rPr>
                <w:sz w:val="16"/>
                <w:szCs w:val="16"/>
              </w:rPr>
            </w:pPr>
            <w:r>
              <w:rPr>
                <w:sz w:val="16"/>
                <w:szCs w:val="16"/>
                <w:spacing w:val="-1"/>
              </w:rPr>
              <w:t>对数据直接控制的权利</w:t>
            </w:r>
          </w:p>
        </w:tc>
      </w:tr>
      <w:tr>
        <w:trPr>
          <w:trHeight w:val="329" w:hRule="atLeast"/>
        </w:trPr>
        <w:tc>
          <w:tcPr>
            <w:tcW w:w="457" w:type="dxa"/>
            <w:vAlign w:val="top"/>
            <w:tcBorders>
              <w:bottom w:val="single" w:color="000000" w:sz="4" w:space="0"/>
            </w:tcBorders>
          </w:tcPr>
          <w:p>
            <w:pPr>
              <w:pStyle w:val="TableText"/>
              <w:ind w:left="120"/>
              <w:spacing w:before="131" w:line="184" w:lineRule="auto"/>
              <w:rPr>
                <w:sz w:val="16"/>
                <w:szCs w:val="16"/>
              </w:rPr>
            </w:pPr>
            <w:r>
              <w:rPr>
                <w:sz w:val="16"/>
                <w:szCs w:val="16"/>
                <w:spacing w:val="-5"/>
              </w:rPr>
              <w:t>14</w:t>
            </w:r>
          </w:p>
        </w:tc>
        <w:tc>
          <w:tcPr>
            <w:tcW w:w="1278" w:type="dxa"/>
            <w:vAlign w:val="top"/>
            <w:tcBorders>
              <w:bottom w:val="single" w:color="000000" w:sz="4" w:space="0"/>
            </w:tcBorders>
          </w:tcPr>
          <w:p>
            <w:pPr>
              <w:pStyle w:val="TableText"/>
              <w:ind w:left="213"/>
              <w:spacing w:before="90" w:line="219" w:lineRule="auto"/>
              <w:rPr>
                <w:sz w:val="16"/>
                <w:szCs w:val="16"/>
              </w:rPr>
            </w:pPr>
            <w:r>
              <w:rPr>
                <w:sz w:val="16"/>
                <w:szCs w:val="16"/>
                <w:spacing w:val="-1"/>
              </w:rPr>
              <w:t>损害赔偿权</w:t>
            </w:r>
          </w:p>
        </w:tc>
        <w:tc>
          <w:tcPr>
            <w:tcW w:w="4335" w:type="dxa"/>
            <w:vAlign w:val="top"/>
            <w:tcBorders>
              <w:bottom w:val="single" w:color="000000" w:sz="4" w:space="0"/>
            </w:tcBorders>
          </w:tcPr>
          <w:p>
            <w:pPr>
              <w:pStyle w:val="TableText"/>
              <w:ind w:left="85"/>
              <w:spacing w:before="90" w:line="219" w:lineRule="auto"/>
              <w:rPr>
                <w:sz w:val="16"/>
                <w:szCs w:val="16"/>
              </w:rPr>
            </w:pPr>
            <w:r>
              <w:rPr>
                <w:sz w:val="16"/>
                <w:szCs w:val="16"/>
                <w:spacing w:val="-1"/>
              </w:rPr>
              <w:t>对数据的侵夺和侵害有获得金钱赔偿的权利</w:t>
            </w:r>
          </w:p>
        </w:tc>
      </w:tr>
    </w:tbl>
    <w:p>
      <w:pPr>
        <w:pStyle w:val="BodyText"/>
        <w:rPr/>
      </w:pPr>
      <w:r/>
    </w:p>
    <w:p>
      <w:pPr>
        <w:sectPr>
          <w:headerReference w:type="default" r:id="rId377"/>
          <w:pgSz w:w="7330" w:h="12480"/>
          <w:pgMar w:top="497" w:right="519" w:bottom="400" w:left="670" w:header="335" w:footer="0" w:gutter="0"/>
        </w:sectPr>
        <w:rPr/>
      </w:pPr>
    </w:p>
    <w:p>
      <w:pPr>
        <w:pStyle w:val="BodyText"/>
        <w:spacing w:line="318" w:lineRule="auto"/>
        <w:rPr/>
      </w:pPr>
      <w:r/>
    </w:p>
    <w:p>
      <w:pPr>
        <w:pStyle w:val="BodyText"/>
        <w:spacing w:line="319" w:lineRule="auto"/>
        <w:rPr/>
      </w:pPr>
      <w:r/>
    </w:p>
    <w:p>
      <w:pPr>
        <w:pStyle w:val="BodyText"/>
        <w:spacing w:line="319" w:lineRule="auto"/>
        <w:rPr/>
      </w:pPr>
      <w:r/>
    </w:p>
    <w:p>
      <w:pPr>
        <w:ind w:right="5"/>
        <w:spacing w:before="69" w:line="220" w:lineRule="auto"/>
        <w:jc w:val="right"/>
        <w:rPr>
          <w:rFonts w:ascii="SimSun" w:hAnsi="SimSun" w:eastAsia="SimSun" w:cs="SimSun"/>
          <w:sz w:val="21"/>
          <w:szCs w:val="21"/>
        </w:rPr>
      </w:pPr>
      <w:r>
        <w:rPr>
          <w:rFonts w:ascii="SimSun" w:hAnsi="SimSun" w:eastAsia="SimSun" w:cs="SimSun"/>
          <w:sz w:val="21"/>
          <w:szCs w:val="21"/>
          <w:spacing w:val="-17"/>
          <w:w w:val="96"/>
        </w:rPr>
        <w:t>(续表)</w:t>
      </w:r>
    </w:p>
    <w:p>
      <w:pPr>
        <w:spacing w:line="35" w:lineRule="exact"/>
        <w:rPr/>
      </w:pPr>
      <w:r/>
    </w:p>
    <w:tbl>
      <w:tblPr>
        <w:tblStyle w:val="TableNormal"/>
        <w:tblW w:w="60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47"/>
        <w:gridCol w:w="1238"/>
        <w:gridCol w:w="4375"/>
      </w:tblGrid>
      <w:tr>
        <w:trPr>
          <w:trHeight w:val="333" w:hRule="atLeast"/>
        </w:trPr>
        <w:tc>
          <w:tcPr>
            <w:tcW w:w="447" w:type="dxa"/>
            <w:vAlign w:val="top"/>
            <w:tcBorders>
              <w:bottom w:val="single" w:color="000000" w:sz="4" w:space="0"/>
              <w:top w:val="single" w:color="000000" w:sz="4" w:space="0"/>
            </w:tcBorders>
          </w:tcPr>
          <w:p>
            <w:pPr>
              <w:rPr>
                <w:rFonts w:ascii="Arial"/>
                <w:sz w:val="21"/>
              </w:rPr>
            </w:pPr>
            <w:r/>
          </w:p>
        </w:tc>
        <w:tc>
          <w:tcPr>
            <w:tcW w:w="1238" w:type="dxa"/>
            <w:vAlign w:val="top"/>
            <w:tcBorders>
              <w:bottom w:val="single" w:color="000000" w:sz="4" w:space="0"/>
              <w:top w:val="single" w:color="000000" w:sz="4" w:space="0"/>
            </w:tcBorders>
          </w:tcPr>
          <w:p>
            <w:pPr>
              <w:pStyle w:val="TableText"/>
              <w:ind w:left="475"/>
              <w:spacing w:before="139" w:line="212" w:lineRule="auto"/>
              <w:rPr>
                <w:sz w:val="16"/>
                <w:szCs w:val="16"/>
              </w:rPr>
            </w:pPr>
            <w:r>
              <w:rPr>
                <w:sz w:val="16"/>
                <w:szCs w:val="16"/>
                <w:b/>
                <w:bCs/>
                <w:spacing w:val="-4"/>
              </w:rPr>
              <w:t>权属</w:t>
            </w:r>
          </w:p>
        </w:tc>
        <w:tc>
          <w:tcPr>
            <w:tcW w:w="4375" w:type="dxa"/>
            <w:vAlign w:val="top"/>
            <w:tcBorders>
              <w:bottom w:val="single" w:color="000000" w:sz="4" w:space="0"/>
              <w:top w:val="single" w:color="000000" w:sz="4" w:space="0"/>
            </w:tcBorders>
          </w:tcPr>
          <w:p>
            <w:pPr>
              <w:pStyle w:val="TableText"/>
              <w:ind w:left="2037"/>
              <w:spacing w:before="139" w:line="212" w:lineRule="auto"/>
              <w:rPr>
                <w:sz w:val="16"/>
                <w:szCs w:val="16"/>
              </w:rPr>
            </w:pPr>
            <w:r>
              <w:rPr>
                <w:sz w:val="16"/>
                <w:szCs w:val="16"/>
                <w:b/>
                <w:bCs/>
                <w:spacing w:val="1"/>
              </w:rPr>
              <w:t>内涵</w:t>
            </w:r>
          </w:p>
        </w:tc>
      </w:tr>
      <w:tr>
        <w:trPr>
          <w:trHeight w:val="319" w:hRule="atLeast"/>
        </w:trPr>
        <w:tc>
          <w:tcPr>
            <w:tcW w:w="447" w:type="dxa"/>
            <w:vAlign w:val="top"/>
            <w:tcBorders>
              <w:top w:val="single" w:color="000000" w:sz="4" w:space="0"/>
            </w:tcBorders>
          </w:tcPr>
          <w:p>
            <w:pPr>
              <w:pStyle w:val="TableText"/>
              <w:ind w:left="149"/>
              <w:spacing w:before="118" w:line="184" w:lineRule="auto"/>
              <w:rPr>
                <w:sz w:val="16"/>
                <w:szCs w:val="16"/>
              </w:rPr>
            </w:pPr>
            <w:r>
              <w:rPr>
                <w:sz w:val="16"/>
                <w:szCs w:val="16"/>
                <w:spacing w:val="-5"/>
              </w:rPr>
              <w:t>15</w:t>
            </w:r>
          </w:p>
        </w:tc>
        <w:tc>
          <w:tcPr>
            <w:tcW w:w="1238" w:type="dxa"/>
            <w:vAlign w:val="top"/>
            <w:tcBorders>
              <w:top w:val="single" w:color="000000" w:sz="4" w:space="0"/>
            </w:tcBorders>
          </w:tcPr>
          <w:p>
            <w:pPr>
              <w:pStyle w:val="TableText"/>
              <w:ind w:left="233"/>
              <w:spacing w:before="77" w:line="219" w:lineRule="auto"/>
              <w:rPr>
                <w:sz w:val="16"/>
                <w:szCs w:val="16"/>
              </w:rPr>
            </w:pPr>
            <w:r>
              <w:rPr>
                <w:sz w:val="16"/>
                <w:szCs w:val="16"/>
                <w:spacing w:val="-1"/>
              </w:rPr>
              <w:t>跨境传输权</w:t>
            </w:r>
          </w:p>
        </w:tc>
        <w:tc>
          <w:tcPr>
            <w:tcW w:w="4375" w:type="dxa"/>
            <w:vAlign w:val="top"/>
            <w:tcBorders>
              <w:top w:val="single" w:color="000000" w:sz="4" w:space="0"/>
            </w:tcBorders>
          </w:tcPr>
          <w:p>
            <w:pPr>
              <w:pStyle w:val="TableText"/>
              <w:ind w:left="124"/>
              <w:spacing w:before="78" w:line="219" w:lineRule="auto"/>
              <w:rPr>
                <w:sz w:val="16"/>
                <w:szCs w:val="16"/>
              </w:rPr>
            </w:pPr>
            <w:r>
              <w:rPr>
                <w:sz w:val="16"/>
                <w:szCs w:val="16"/>
                <w:spacing w:val="-1"/>
              </w:rPr>
              <w:t>数据自由跨境流通的权利</w:t>
            </w:r>
          </w:p>
        </w:tc>
      </w:tr>
      <w:tr>
        <w:trPr>
          <w:trHeight w:val="324" w:hRule="atLeast"/>
        </w:trPr>
        <w:tc>
          <w:tcPr>
            <w:tcW w:w="447" w:type="dxa"/>
            <w:vAlign w:val="top"/>
          </w:tcPr>
          <w:p>
            <w:pPr>
              <w:pStyle w:val="TableText"/>
              <w:ind w:left="149"/>
              <w:spacing w:before="130" w:line="184" w:lineRule="auto"/>
              <w:rPr>
                <w:sz w:val="16"/>
                <w:szCs w:val="16"/>
              </w:rPr>
            </w:pPr>
            <w:r>
              <w:rPr>
                <w:sz w:val="16"/>
                <w:szCs w:val="16"/>
                <w:spacing w:val="-5"/>
              </w:rPr>
              <w:t>16</w:t>
            </w:r>
          </w:p>
        </w:tc>
        <w:tc>
          <w:tcPr>
            <w:tcW w:w="1238" w:type="dxa"/>
            <w:vAlign w:val="top"/>
          </w:tcPr>
          <w:p>
            <w:pPr>
              <w:pStyle w:val="TableText"/>
              <w:ind w:left="212"/>
              <w:spacing w:before="89" w:line="219" w:lineRule="auto"/>
              <w:rPr>
                <w:sz w:val="16"/>
                <w:szCs w:val="16"/>
              </w:rPr>
            </w:pPr>
            <w:r>
              <w:rPr>
                <w:sz w:val="16"/>
                <w:szCs w:val="16"/>
                <w:spacing w:val="-2"/>
              </w:rPr>
              <w:t>保障权</w:t>
            </w:r>
          </w:p>
        </w:tc>
        <w:tc>
          <w:tcPr>
            <w:tcW w:w="4375" w:type="dxa"/>
            <w:vAlign w:val="top"/>
          </w:tcPr>
          <w:p>
            <w:pPr>
              <w:pStyle w:val="TableText"/>
              <w:ind w:left="124"/>
              <w:spacing w:before="89" w:line="219" w:lineRule="auto"/>
              <w:rPr>
                <w:sz w:val="16"/>
                <w:szCs w:val="16"/>
              </w:rPr>
            </w:pPr>
            <w:r>
              <w:rPr>
                <w:sz w:val="16"/>
                <w:szCs w:val="16"/>
                <w:spacing w:val="1"/>
              </w:rPr>
              <w:t>免于数据被侵夺的权利</w:t>
            </w:r>
          </w:p>
        </w:tc>
      </w:tr>
      <w:tr>
        <w:trPr>
          <w:trHeight w:val="324" w:hRule="atLeast"/>
        </w:trPr>
        <w:tc>
          <w:tcPr>
            <w:tcW w:w="447" w:type="dxa"/>
            <w:vAlign w:val="top"/>
          </w:tcPr>
          <w:p>
            <w:pPr>
              <w:pStyle w:val="TableText"/>
              <w:ind w:left="149"/>
              <w:spacing w:before="126" w:line="184" w:lineRule="auto"/>
              <w:rPr>
                <w:sz w:val="16"/>
                <w:szCs w:val="16"/>
              </w:rPr>
            </w:pPr>
            <w:r>
              <w:rPr>
                <w:sz w:val="16"/>
                <w:szCs w:val="16"/>
                <w:spacing w:val="-5"/>
              </w:rPr>
              <w:t>17</w:t>
            </w:r>
          </w:p>
        </w:tc>
        <w:tc>
          <w:tcPr>
            <w:tcW w:w="1238" w:type="dxa"/>
            <w:vAlign w:val="top"/>
          </w:tcPr>
          <w:p>
            <w:pPr>
              <w:pStyle w:val="TableText"/>
              <w:ind w:left="212"/>
              <w:spacing w:before="85" w:line="219" w:lineRule="auto"/>
              <w:rPr>
                <w:sz w:val="16"/>
                <w:szCs w:val="16"/>
              </w:rPr>
            </w:pPr>
            <w:r>
              <w:rPr>
                <w:sz w:val="16"/>
                <w:szCs w:val="16"/>
                <w:spacing w:val="-2"/>
              </w:rPr>
              <w:t>共享权</w:t>
            </w:r>
          </w:p>
        </w:tc>
        <w:tc>
          <w:tcPr>
            <w:tcW w:w="4375" w:type="dxa"/>
            <w:vAlign w:val="top"/>
          </w:tcPr>
          <w:p>
            <w:pPr>
              <w:pStyle w:val="TableText"/>
              <w:ind w:left="124"/>
              <w:spacing w:before="85" w:line="219" w:lineRule="auto"/>
              <w:rPr>
                <w:sz w:val="16"/>
                <w:szCs w:val="16"/>
              </w:rPr>
            </w:pPr>
            <w:r>
              <w:rPr>
                <w:sz w:val="16"/>
                <w:szCs w:val="16"/>
                <w:spacing w:val="-1"/>
              </w:rPr>
              <w:t>将数据与他人共享的权利</w:t>
            </w:r>
          </w:p>
        </w:tc>
      </w:tr>
      <w:tr>
        <w:trPr>
          <w:trHeight w:val="323" w:hRule="atLeast"/>
        </w:trPr>
        <w:tc>
          <w:tcPr>
            <w:tcW w:w="447" w:type="dxa"/>
            <w:vAlign w:val="top"/>
          </w:tcPr>
          <w:p>
            <w:pPr>
              <w:pStyle w:val="TableText"/>
              <w:ind w:left="149"/>
              <w:spacing w:before="132" w:line="184" w:lineRule="auto"/>
              <w:rPr>
                <w:sz w:val="16"/>
                <w:szCs w:val="16"/>
              </w:rPr>
            </w:pPr>
            <w:r>
              <w:rPr>
                <w:sz w:val="16"/>
                <w:szCs w:val="16"/>
                <w:spacing w:val="-5"/>
              </w:rPr>
              <w:t>18</w:t>
            </w:r>
          </w:p>
        </w:tc>
        <w:tc>
          <w:tcPr>
            <w:tcW w:w="1238" w:type="dxa"/>
            <w:vAlign w:val="top"/>
          </w:tcPr>
          <w:p>
            <w:pPr>
              <w:pStyle w:val="TableText"/>
              <w:ind w:left="233"/>
              <w:spacing w:before="92" w:line="220" w:lineRule="auto"/>
              <w:rPr>
                <w:sz w:val="16"/>
                <w:szCs w:val="16"/>
              </w:rPr>
            </w:pPr>
            <w:r>
              <w:rPr>
                <w:sz w:val="16"/>
                <w:szCs w:val="16"/>
                <w:spacing w:val="2"/>
              </w:rPr>
              <w:t>无期限限制</w:t>
            </w:r>
          </w:p>
        </w:tc>
        <w:tc>
          <w:tcPr>
            <w:tcW w:w="4375" w:type="dxa"/>
            <w:vAlign w:val="top"/>
          </w:tcPr>
          <w:p>
            <w:pPr>
              <w:pStyle w:val="TableText"/>
              <w:ind w:left="124"/>
              <w:spacing w:before="91" w:line="219" w:lineRule="auto"/>
              <w:rPr>
                <w:sz w:val="16"/>
                <w:szCs w:val="16"/>
              </w:rPr>
            </w:pPr>
            <w:r>
              <w:rPr>
                <w:sz w:val="16"/>
                <w:szCs w:val="16"/>
                <w:spacing w:val="-1"/>
              </w:rPr>
              <w:t>对数据的权利不应有时间限制</w:t>
            </w:r>
          </w:p>
        </w:tc>
      </w:tr>
      <w:tr>
        <w:trPr>
          <w:trHeight w:val="318" w:hRule="atLeast"/>
        </w:trPr>
        <w:tc>
          <w:tcPr>
            <w:tcW w:w="447" w:type="dxa"/>
            <w:vAlign w:val="top"/>
          </w:tcPr>
          <w:p>
            <w:pPr>
              <w:pStyle w:val="TableText"/>
              <w:ind w:left="149"/>
              <w:spacing w:before="128" w:line="184" w:lineRule="auto"/>
              <w:rPr>
                <w:sz w:val="16"/>
                <w:szCs w:val="16"/>
              </w:rPr>
            </w:pPr>
            <w:r>
              <w:rPr>
                <w:sz w:val="16"/>
                <w:szCs w:val="16"/>
                <w:spacing w:val="-5"/>
              </w:rPr>
              <w:t>19</w:t>
            </w:r>
          </w:p>
        </w:tc>
        <w:tc>
          <w:tcPr>
            <w:tcW w:w="1238" w:type="dxa"/>
            <w:vAlign w:val="top"/>
          </w:tcPr>
          <w:p>
            <w:pPr>
              <w:pStyle w:val="TableText"/>
              <w:ind w:left="152"/>
              <w:spacing w:before="88" w:line="219" w:lineRule="auto"/>
              <w:rPr>
                <w:sz w:val="16"/>
                <w:szCs w:val="16"/>
              </w:rPr>
            </w:pPr>
            <w:r>
              <w:rPr>
                <w:sz w:val="16"/>
                <w:szCs w:val="16"/>
                <w:spacing w:val="3"/>
              </w:rPr>
              <w:t>禁止有害使用</w:t>
            </w:r>
          </w:p>
        </w:tc>
        <w:tc>
          <w:tcPr>
            <w:tcW w:w="4375" w:type="dxa"/>
            <w:vAlign w:val="top"/>
          </w:tcPr>
          <w:p>
            <w:pPr>
              <w:pStyle w:val="TableText"/>
              <w:ind w:left="124"/>
              <w:spacing w:before="88" w:line="219" w:lineRule="auto"/>
              <w:rPr>
                <w:sz w:val="16"/>
                <w:szCs w:val="16"/>
              </w:rPr>
            </w:pPr>
            <w:r>
              <w:rPr>
                <w:sz w:val="16"/>
                <w:szCs w:val="16"/>
                <w:spacing w:val="-1"/>
              </w:rPr>
              <w:t>有权制止以有害他人的方式使用数据的权利</w:t>
            </w:r>
          </w:p>
        </w:tc>
      </w:tr>
      <w:tr>
        <w:trPr>
          <w:trHeight w:val="318" w:hRule="atLeast"/>
        </w:trPr>
        <w:tc>
          <w:tcPr>
            <w:tcW w:w="447" w:type="dxa"/>
            <w:vAlign w:val="top"/>
            <w:tcBorders>
              <w:bottom w:val="single" w:color="000000" w:sz="4" w:space="0"/>
            </w:tcBorders>
          </w:tcPr>
          <w:p>
            <w:pPr>
              <w:pStyle w:val="TableText"/>
              <w:ind w:left="149"/>
              <w:spacing w:before="131" w:line="183" w:lineRule="auto"/>
              <w:rPr>
                <w:sz w:val="16"/>
                <w:szCs w:val="16"/>
              </w:rPr>
            </w:pPr>
            <w:r>
              <w:rPr>
                <w:sz w:val="16"/>
                <w:szCs w:val="16"/>
                <w:spacing w:val="-3"/>
              </w:rPr>
              <w:t>20</w:t>
            </w:r>
          </w:p>
        </w:tc>
        <w:tc>
          <w:tcPr>
            <w:tcW w:w="1238" w:type="dxa"/>
            <w:vAlign w:val="top"/>
            <w:tcBorders>
              <w:bottom w:val="single" w:color="000000" w:sz="4" w:space="0"/>
            </w:tcBorders>
          </w:tcPr>
          <w:p>
            <w:pPr>
              <w:pStyle w:val="TableText"/>
              <w:ind w:left="233"/>
              <w:spacing w:before="90" w:line="219" w:lineRule="auto"/>
              <w:rPr>
                <w:sz w:val="16"/>
                <w:szCs w:val="16"/>
              </w:rPr>
            </w:pPr>
            <w:r>
              <w:rPr>
                <w:sz w:val="16"/>
                <w:szCs w:val="16"/>
                <w:spacing w:val="-1"/>
              </w:rPr>
              <w:t>剩余性权利</w:t>
            </w:r>
          </w:p>
        </w:tc>
        <w:tc>
          <w:tcPr>
            <w:tcW w:w="4375" w:type="dxa"/>
            <w:vAlign w:val="top"/>
            <w:tcBorders>
              <w:bottom w:val="single" w:color="000000" w:sz="4" w:space="0"/>
            </w:tcBorders>
          </w:tcPr>
          <w:p>
            <w:pPr>
              <w:pStyle w:val="TableText"/>
              <w:ind w:left="124"/>
              <w:spacing w:before="90" w:line="219" w:lineRule="auto"/>
              <w:rPr>
                <w:sz w:val="16"/>
                <w:szCs w:val="16"/>
              </w:rPr>
            </w:pPr>
            <w:r>
              <w:rPr>
                <w:sz w:val="16"/>
                <w:szCs w:val="16"/>
                <w:spacing w:val="-1"/>
              </w:rPr>
              <w:t>在某项权利消失之后收回所有权</w:t>
            </w:r>
          </w:p>
        </w:tc>
      </w:tr>
    </w:tbl>
    <w:p>
      <w:pPr>
        <w:ind w:left="39" w:firstLine="430"/>
        <w:spacing w:before="280" w:line="309" w:lineRule="auto"/>
        <w:jc w:val="both"/>
        <w:rPr>
          <w:rFonts w:ascii="SimSun" w:hAnsi="SimSun" w:eastAsia="SimSun" w:cs="SimSun"/>
          <w:sz w:val="21"/>
          <w:szCs w:val="21"/>
        </w:rPr>
      </w:pPr>
      <w:r>
        <w:rPr>
          <w:rFonts w:ascii="SimSun" w:hAnsi="SimSun" w:eastAsia="SimSun" w:cs="SimSun"/>
          <w:sz w:val="21"/>
          <w:szCs w:val="21"/>
          <w:spacing w:val="-17"/>
        </w:rPr>
        <w:t>目前企业数据确权的研究和实践有四种主要思路。</w:t>
      </w:r>
      <w:r>
        <w:rPr>
          <w:rFonts w:ascii="SimSun" w:hAnsi="SimSun" w:eastAsia="SimSun" w:cs="SimSun"/>
          <w:sz w:val="21"/>
          <w:szCs w:val="21"/>
          <w:spacing w:val="47"/>
        </w:rPr>
        <w:t xml:space="preserve"> </w:t>
      </w:r>
      <w:r>
        <w:rPr>
          <w:rFonts w:ascii="SimSun" w:hAnsi="SimSun" w:eastAsia="SimSun" w:cs="SimSun"/>
          <w:sz w:val="21"/>
          <w:szCs w:val="21"/>
          <w:spacing w:val="-17"/>
        </w:rPr>
        <w:t>一是赋予数据 </w:t>
      </w:r>
      <w:r>
        <w:rPr>
          <w:rFonts w:ascii="SimSun" w:hAnsi="SimSun" w:eastAsia="SimSun" w:cs="SimSun"/>
          <w:sz w:val="21"/>
          <w:szCs w:val="21"/>
          <w:spacing w:val="-4"/>
        </w:rPr>
        <w:t>新型财产权。德勤和阿里巴巴在2019年发布的研究报告认为，数据 </w:t>
      </w:r>
      <w:r>
        <w:rPr>
          <w:rFonts w:ascii="SimSun" w:hAnsi="SimSun" w:eastAsia="SimSun" w:cs="SimSun"/>
          <w:sz w:val="21"/>
          <w:szCs w:val="21"/>
          <w:spacing w:val="-8"/>
        </w:rPr>
        <w:t>既不完全符合“资产”的定义，也不完全符合“无形资</w:t>
      </w:r>
      <w:r>
        <w:rPr>
          <w:rFonts w:ascii="SimSun" w:hAnsi="SimSun" w:eastAsia="SimSun" w:cs="SimSun"/>
          <w:sz w:val="21"/>
          <w:szCs w:val="21"/>
          <w:spacing w:val="-9"/>
        </w:rPr>
        <w:t>产”的定义，</w:t>
      </w:r>
      <w:r>
        <w:rPr>
          <w:rFonts w:ascii="SimSun" w:hAnsi="SimSun" w:eastAsia="SimSun" w:cs="SimSun"/>
          <w:sz w:val="21"/>
          <w:szCs w:val="21"/>
        </w:rPr>
        <w:t xml:space="preserve"> </w:t>
      </w:r>
      <w:r>
        <w:rPr>
          <w:rFonts w:ascii="SimSun" w:hAnsi="SimSun" w:eastAsia="SimSun" w:cs="SimSun"/>
          <w:sz w:val="21"/>
          <w:szCs w:val="21"/>
          <w:spacing w:val="-11"/>
        </w:rPr>
        <w:t>因此不能完全按照财产权来界定。新型财产权是指认定用户对其数据 </w:t>
      </w:r>
      <w:r>
        <w:rPr>
          <w:rFonts w:ascii="SimSun" w:hAnsi="SimSun" w:eastAsia="SimSun" w:cs="SimSun"/>
          <w:sz w:val="21"/>
          <w:szCs w:val="21"/>
          <w:spacing w:val="-11"/>
        </w:rPr>
        <w:t>信息享有所有权，企业通过与用户进行协商，在其</w:t>
      </w:r>
      <w:r>
        <w:rPr>
          <w:rFonts w:ascii="SimSun" w:hAnsi="SimSun" w:eastAsia="SimSun" w:cs="SimSun"/>
          <w:sz w:val="21"/>
          <w:szCs w:val="21"/>
          <w:spacing w:val="-12"/>
        </w:rPr>
        <w:t>明确同意的条件下</w:t>
      </w:r>
      <w:r>
        <w:rPr>
          <w:rFonts w:ascii="SimSun" w:hAnsi="SimSun" w:eastAsia="SimSun" w:cs="SimSun"/>
          <w:sz w:val="21"/>
          <w:szCs w:val="21"/>
        </w:rPr>
        <w:t xml:space="preserve">  </w:t>
      </w:r>
      <w:r>
        <w:rPr>
          <w:rFonts w:ascii="SimSun" w:hAnsi="SimSun" w:eastAsia="SimSun" w:cs="SimSun"/>
          <w:sz w:val="21"/>
          <w:szCs w:val="21"/>
          <w:spacing w:val="-11"/>
        </w:rPr>
        <w:t>取得数据的所有权。二是数据信托，就是将用户与数据企业之间的关 </w:t>
      </w:r>
      <w:r>
        <w:rPr>
          <w:rFonts w:ascii="SimSun" w:hAnsi="SimSun" w:eastAsia="SimSun" w:cs="SimSun"/>
          <w:sz w:val="21"/>
          <w:szCs w:val="21"/>
          <w:spacing w:val="-11"/>
        </w:rPr>
        <w:t>系认定为基于用户数据的信托关系，其中用户是委托人，数据企业是 </w:t>
      </w:r>
      <w:r>
        <w:rPr>
          <w:rFonts w:ascii="SimSun" w:hAnsi="SimSun" w:eastAsia="SimSun" w:cs="SimSun"/>
          <w:sz w:val="21"/>
          <w:szCs w:val="21"/>
          <w:spacing w:val="-11"/>
        </w:rPr>
        <w:t>受托人。用户享有名义上的数据所有权，要求企业共享和使用数据时 </w:t>
      </w:r>
      <w:r>
        <w:rPr>
          <w:rFonts w:ascii="SimSun" w:hAnsi="SimSun" w:eastAsia="SimSun" w:cs="SimSun"/>
          <w:sz w:val="21"/>
          <w:szCs w:val="21"/>
          <w:spacing w:val="-11"/>
        </w:rPr>
        <w:t>不得损害委托人的利益。三是依靠合同法，即由数据所涉及的不同主 </w:t>
      </w:r>
      <w:r>
        <w:rPr>
          <w:rFonts w:ascii="SimSun" w:hAnsi="SimSun" w:eastAsia="SimSun" w:cs="SimSun"/>
          <w:sz w:val="21"/>
          <w:szCs w:val="21"/>
          <w:spacing w:val="-4"/>
        </w:rPr>
        <w:t>体根据实际情况，制定数据使用的方式和目的等双方必须遵守的规 </w:t>
      </w:r>
      <w:r>
        <w:rPr>
          <w:rFonts w:ascii="SimSun" w:hAnsi="SimSun" w:eastAsia="SimSun" w:cs="SimSun"/>
          <w:sz w:val="21"/>
          <w:szCs w:val="21"/>
          <w:spacing w:val="-11"/>
        </w:rPr>
        <w:t>则，来规制各自的权利和义务。四是强调数据治理的公共性，由公共 </w:t>
      </w:r>
      <w:r>
        <w:rPr>
          <w:rFonts w:ascii="SimSun" w:hAnsi="SimSun" w:eastAsia="SimSun" w:cs="SimSun"/>
          <w:sz w:val="21"/>
          <w:szCs w:val="21"/>
          <w:spacing w:val="-10"/>
        </w:rPr>
        <w:t>机构来管理数据。这一安排将数据治理的重点放在数据共享和使用行</w:t>
      </w:r>
      <w:r>
        <w:rPr>
          <w:rFonts w:ascii="SimSun" w:hAnsi="SimSun" w:eastAsia="SimSun" w:cs="SimSun"/>
          <w:sz w:val="21"/>
          <w:szCs w:val="21"/>
        </w:rPr>
        <w:t xml:space="preserve"> </w:t>
      </w:r>
      <w:r>
        <w:rPr>
          <w:rFonts w:ascii="SimSun" w:hAnsi="SimSun" w:eastAsia="SimSun" w:cs="SimSun"/>
          <w:sz w:val="21"/>
          <w:szCs w:val="21"/>
          <w:spacing w:val="-11"/>
        </w:rPr>
        <w:t>为以及产生的数据价值上，强调以科学的数据控制和操作规则体系来 </w:t>
      </w:r>
      <w:r>
        <w:rPr>
          <w:rFonts w:ascii="SimSun" w:hAnsi="SimSun" w:eastAsia="SimSun" w:cs="SimSun"/>
          <w:sz w:val="21"/>
          <w:szCs w:val="21"/>
          <w:spacing w:val="-12"/>
        </w:rPr>
        <w:t>权衡对数据主体、数据企业和社会的利益。</w:t>
      </w:r>
    </w:p>
    <w:p>
      <w:pPr>
        <w:ind w:left="39" w:firstLine="410"/>
        <w:spacing w:before="112" w:line="297" w:lineRule="auto"/>
        <w:jc w:val="both"/>
        <w:rPr>
          <w:rFonts w:ascii="SimSun" w:hAnsi="SimSun" w:eastAsia="SimSun" w:cs="SimSun"/>
          <w:sz w:val="21"/>
          <w:szCs w:val="21"/>
        </w:rPr>
      </w:pPr>
      <w:r>
        <w:rPr>
          <w:rFonts w:ascii="SimSun" w:hAnsi="SimSun" w:eastAsia="SimSun" w:cs="SimSun"/>
          <w:sz w:val="21"/>
          <w:szCs w:val="21"/>
          <w:spacing w:val="-11"/>
        </w:rPr>
        <w:t>数据治理中的上述四种思路各有利弊。新型财产权的好处是明晰</w:t>
      </w:r>
      <w:r>
        <w:rPr>
          <w:rFonts w:ascii="SimSun" w:hAnsi="SimSun" w:eastAsia="SimSun" w:cs="SimSun"/>
          <w:sz w:val="21"/>
          <w:szCs w:val="21"/>
          <w:spacing w:val="16"/>
        </w:rPr>
        <w:t xml:space="preserve"> </w:t>
      </w:r>
      <w:r>
        <w:rPr>
          <w:rFonts w:ascii="SimSun" w:hAnsi="SimSun" w:eastAsia="SimSun" w:cs="SimSun"/>
          <w:sz w:val="21"/>
          <w:szCs w:val="21"/>
          <w:spacing w:val="-11"/>
        </w:rPr>
        <w:t>了数据权属，但问题是数据共享与数据使用方面</w:t>
      </w:r>
      <w:r>
        <w:rPr>
          <w:rFonts w:ascii="SimSun" w:hAnsi="SimSun" w:eastAsia="SimSun" w:cs="SimSun"/>
          <w:sz w:val="21"/>
          <w:szCs w:val="21"/>
          <w:spacing w:val="-12"/>
        </w:rPr>
        <w:t>的规则仍然模糊。虽</w:t>
      </w:r>
      <w:r>
        <w:rPr>
          <w:rFonts w:ascii="SimSun" w:hAnsi="SimSun" w:eastAsia="SimSun" w:cs="SimSun"/>
          <w:sz w:val="21"/>
          <w:szCs w:val="21"/>
        </w:rPr>
        <w:t xml:space="preserve">  </w:t>
      </w:r>
      <w:r>
        <w:rPr>
          <w:rFonts w:ascii="SimSun" w:hAnsi="SimSun" w:eastAsia="SimSun" w:cs="SimSun"/>
          <w:sz w:val="21"/>
          <w:szCs w:val="21"/>
          <w:spacing w:val="-11"/>
        </w:rPr>
        <w:t>然用户赋权看似赋予了用户更多自主性，但用户往往不清楚数据究竟 </w:t>
      </w:r>
      <w:r>
        <w:rPr>
          <w:rFonts w:ascii="SimSun" w:hAnsi="SimSun" w:eastAsia="SimSun" w:cs="SimSun"/>
          <w:sz w:val="21"/>
          <w:szCs w:val="21"/>
          <w:spacing w:val="-11"/>
        </w:rPr>
        <w:t>怎么被使用与转让，也就无法评估企业共享与使用数据给自己带来的 </w:t>
      </w:r>
      <w:r>
        <w:rPr>
          <w:rFonts w:ascii="SimSun" w:hAnsi="SimSun" w:eastAsia="SimSun" w:cs="SimSun"/>
          <w:sz w:val="21"/>
          <w:szCs w:val="21"/>
          <w:spacing w:val="-8"/>
        </w:rPr>
        <w:t>后果。这样一方面可能导致一些用户全然拒绝企业使用</w:t>
      </w:r>
      <w:r>
        <w:rPr>
          <w:rFonts w:ascii="SimSun" w:hAnsi="SimSun" w:eastAsia="SimSun" w:cs="SimSun"/>
          <w:sz w:val="21"/>
          <w:szCs w:val="21"/>
          <w:spacing w:val="-9"/>
        </w:rPr>
        <w:t>自己的数据，</w:t>
      </w:r>
    </w:p>
    <w:p>
      <w:pPr>
        <w:spacing w:line="297" w:lineRule="auto"/>
        <w:sectPr>
          <w:headerReference w:type="default" r:id="rId378"/>
          <w:pgSz w:w="7330" w:h="12480"/>
          <w:pgMar w:top="788" w:right="864" w:bottom="400" w:left="370" w:header="625" w:footer="0" w:gutter="0"/>
        </w:sectPr>
        <w:rPr>
          <w:rFonts w:ascii="SimSun" w:hAnsi="SimSun" w:eastAsia="SimSun" w:cs="SimSun"/>
          <w:sz w:val="21"/>
          <w:szCs w:val="21"/>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94"/>
        <w:spacing w:before="68" w:line="298" w:lineRule="auto"/>
        <w:jc w:val="both"/>
        <w:rPr>
          <w:rFonts w:ascii="SimSun" w:hAnsi="SimSun" w:eastAsia="SimSun" w:cs="SimSun"/>
          <w:sz w:val="21"/>
          <w:szCs w:val="21"/>
        </w:rPr>
      </w:pPr>
      <w:r>
        <w:rPr>
          <w:rFonts w:ascii="SimSun" w:hAnsi="SimSun" w:eastAsia="SimSun" w:cs="SimSun"/>
          <w:sz w:val="21"/>
          <w:szCs w:val="21"/>
          <w:spacing w:val="-10"/>
        </w:rPr>
        <w:t>大数据出现系统性偏差；另一方面，在出现</w:t>
      </w:r>
      <w:r>
        <w:rPr>
          <w:rFonts w:ascii="SimSun" w:hAnsi="SimSun" w:eastAsia="SimSun" w:cs="SimSun"/>
          <w:sz w:val="21"/>
          <w:szCs w:val="21"/>
          <w:spacing w:val="-11"/>
        </w:rPr>
        <w:t>纠纷时，也难以通过现有</w:t>
      </w:r>
      <w:r>
        <w:rPr>
          <w:rFonts w:ascii="SimSun" w:hAnsi="SimSun" w:eastAsia="SimSun" w:cs="SimSun"/>
          <w:sz w:val="21"/>
          <w:szCs w:val="21"/>
        </w:rPr>
        <w:t xml:space="preserve"> </w:t>
      </w:r>
      <w:r>
        <w:rPr>
          <w:rFonts w:ascii="SimSun" w:hAnsi="SimSun" w:eastAsia="SimSun" w:cs="SimSun"/>
          <w:sz w:val="21"/>
          <w:szCs w:val="21"/>
          <w:spacing w:val="-10"/>
        </w:rPr>
        <w:t>法律框架来评估企业的数据共享与使用是否</w:t>
      </w:r>
      <w:r>
        <w:rPr>
          <w:rFonts w:ascii="SimSun" w:hAnsi="SimSun" w:eastAsia="SimSun" w:cs="SimSun"/>
          <w:sz w:val="21"/>
          <w:szCs w:val="21"/>
          <w:spacing w:val="-11"/>
        </w:rPr>
        <w:t>规范。数据信托的好处是</w:t>
      </w:r>
      <w:r>
        <w:rPr>
          <w:rFonts w:ascii="SimSun" w:hAnsi="SimSun" w:eastAsia="SimSun" w:cs="SimSun"/>
          <w:sz w:val="21"/>
          <w:szCs w:val="21"/>
        </w:rPr>
        <w:t xml:space="preserve"> </w:t>
      </w:r>
      <w:r>
        <w:rPr>
          <w:rFonts w:ascii="SimSun" w:hAnsi="SimSun" w:eastAsia="SimSun" w:cs="SimSun"/>
          <w:sz w:val="21"/>
          <w:szCs w:val="21"/>
          <w:spacing w:val="-10"/>
        </w:rPr>
        <w:t>在一定程度上以动态的方式控制数据企业的行为，但如果数据信托是</w:t>
      </w:r>
      <w:r>
        <w:rPr>
          <w:rFonts w:ascii="SimSun" w:hAnsi="SimSun" w:eastAsia="SimSun" w:cs="SimSun"/>
          <w:sz w:val="21"/>
          <w:szCs w:val="21"/>
          <w:spacing w:val="9"/>
        </w:rPr>
        <w:t xml:space="preserve"> </w:t>
      </w:r>
      <w:r>
        <w:rPr>
          <w:rFonts w:ascii="SimSun" w:hAnsi="SimSun" w:eastAsia="SimSun" w:cs="SimSun"/>
          <w:sz w:val="21"/>
          <w:szCs w:val="21"/>
          <w:spacing w:val="-10"/>
        </w:rPr>
        <w:t>单个用户对企业的行为，则仍然无法绕开用户未必清楚数据是否使用</w:t>
      </w:r>
      <w:r>
        <w:rPr>
          <w:rFonts w:ascii="SimSun" w:hAnsi="SimSun" w:eastAsia="SimSun" w:cs="SimSun"/>
          <w:sz w:val="21"/>
          <w:szCs w:val="21"/>
          <w:spacing w:val="3"/>
        </w:rPr>
        <w:t xml:space="preserve"> </w:t>
      </w:r>
      <w:r>
        <w:rPr>
          <w:rFonts w:ascii="SimSun" w:hAnsi="SimSun" w:eastAsia="SimSun" w:cs="SimSun"/>
          <w:sz w:val="21"/>
          <w:szCs w:val="21"/>
          <w:spacing w:val="-10"/>
        </w:rPr>
        <w:t>得当、是否损害自身利益的问题。合同法的好</w:t>
      </w:r>
      <w:r>
        <w:rPr>
          <w:rFonts w:ascii="SimSun" w:hAnsi="SimSun" w:eastAsia="SimSun" w:cs="SimSun"/>
          <w:sz w:val="21"/>
          <w:szCs w:val="21"/>
          <w:spacing w:val="-11"/>
        </w:rPr>
        <w:t>处是明确合同涉及的双</w:t>
      </w:r>
      <w:r>
        <w:rPr>
          <w:rFonts w:ascii="SimSun" w:hAnsi="SimSun" w:eastAsia="SimSun" w:cs="SimSun"/>
          <w:sz w:val="21"/>
          <w:szCs w:val="21"/>
        </w:rPr>
        <w:t xml:space="preserve"> </w:t>
      </w:r>
      <w:r>
        <w:rPr>
          <w:rFonts w:ascii="SimSun" w:hAnsi="SimSun" w:eastAsia="SimSun" w:cs="SimSun"/>
          <w:sz w:val="21"/>
          <w:szCs w:val="21"/>
          <w:spacing w:val="-11"/>
        </w:rPr>
        <w:t>方在数据使用与共享等方面的边界，但缺陷是无法排除由数据安全等</w:t>
      </w:r>
      <w:r>
        <w:rPr>
          <w:rFonts w:ascii="SimSun" w:hAnsi="SimSun" w:eastAsia="SimSun" w:cs="SimSun"/>
          <w:sz w:val="21"/>
          <w:szCs w:val="21"/>
          <w:spacing w:val="18"/>
        </w:rPr>
        <w:t xml:space="preserve"> </w:t>
      </w:r>
      <w:r>
        <w:rPr>
          <w:rFonts w:ascii="SimSun" w:hAnsi="SimSun" w:eastAsia="SimSun" w:cs="SimSun"/>
          <w:sz w:val="21"/>
          <w:szCs w:val="21"/>
          <w:spacing w:val="-10"/>
        </w:rPr>
        <w:t>因素导致的合同效力范围之外的第三方对数据权益</w:t>
      </w:r>
      <w:r>
        <w:rPr>
          <w:rFonts w:ascii="SimSun" w:hAnsi="SimSun" w:eastAsia="SimSun" w:cs="SimSun"/>
          <w:sz w:val="21"/>
          <w:szCs w:val="21"/>
          <w:spacing w:val="-11"/>
        </w:rPr>
        <w:t>的侵害。公共机构</w:t>
      </w:r>
      <w:r>
        <w:rPr>
          <w:rFonts w:ascii="SimSun" w:hAnsi="SimSun" w:eastAsia="SimSun" w:cs="SimSun"/>
          <w:sz w:val="21"/>
          <w:szCs w:val="21"/>
        </w:rPr>
        <w:t xml:space="preserve"> </w:t>
      </w:r>
      <w:r>
        <w:rPr>
          <w:rFonts w:ascii="SimSun" w:hAnsi="SimSun" w:eastAsia="SimSun" w:cs="SimSun"/>
          <w:sz w:val="21"/>
          <w:szCs w:val="21"/>
          <w:spacing w:val="-11"/>
        </w:rPr>
        <w:t>管理数据这一安排有很大潜力，但也存在数字经济下公共机构过度干</w:t>
      </w:r>
      <w:r>
        <w:rPr>
          <w:rFonts w:ascii="SimSun" w:hAnsi="SimSun" w:eastAsia="SimSun" w:cs="SimSun"/>
          <w:sz w:val="21"/>
          <w:szCs w:val="21"/>
          <w:spacing w:val="16"/>
        </w:rPr>
        <w:t xml:space="preserve"> </w:t>
      </w:r>
      <w:r>
        <w:rPr>
          <w:rFonts w:ascii="SimSun" w:hAnsi="SimSun" w:eastAsia="SimSun" w:cs="SimSun"/>
          <w:sz w:val="21"/>
          <w:szCs w:val="21"/>
          <w:spacing w:val="-12"/>
        </w:rPr>
        <w:t>涉个体数据权益的隐忧。</w:t>
      </w:r>
    </w:p>
    <w:p>
      <w:pPr>
        <w:ind w:firstLine="439"/>
        <w:spacing w:before="183" w:line="302" w:lineRule="auto"/>
        <w:jc w:val="both"/>
        <w:rPr>
          <w:rFonts w:ascii="SimSun" w:hAnsi="SimSun" w:eastAsia="SimSun" w:cs="SimSun"/>
          <w:sz w:val="21"/>
          <w:szCs w:val="21"/>
        </w:rPr>
      </w:pPr>
      <w:r>
        <w:rPr>
          <w:rFonts w:ascii="SimSun" w:hAnsi="SimSun" w:eastAsia="SimSun" w:cs="SimSun"/>
          <w:sz w:val="21"/>
          <w:szCs w:val="21"/>
          <w:spacing w:val="-18"/>
        </w:rPr>
        <w:t>在数据治理过程中，还容易存在“一管就死， 一放就乱”的问题：</w:t>
      </w:r>
      <w:r>
        <w:rPr>
          <w:rFonts w:ascii="SimSun" w:hAnsi="SimSun" w:eastAsia="SimSun" w:cs="SimSun"/>
          <w:sz w:val="21"/>
          <w:szCs w:val="21"/>
          <w:spacing w:val="9"/>
        </w:rPr>
        <w:t xml:space="preserve"> </w:t>
      </w:r>
      <w:r>
        <w:rPr>
          <w:rFonts w:ascii="SimSun" w:hAnsi="SimSun" w:eastAsia="SimSun" w:cs="SimSun"/>
          <w:sz w:val="21"/>
          <w:szCs w:val="21"/>
          <w:spacing w:val="-10"/>
        </w:rPr>
        <w:t>如果严格保护用户的数据权属，即个体不同意则数据企业</w:t>
      </w:r>
      <w:r>
        <w:rPr>
          <w:rFonts w:ascii="SimSun" w:hAnsi="SimSun" w:eastAsia="SimSun" w:cs="SimSun"/>
          <w:sz w:val="21"/>
          <w:szCs w:val="21"/>
          <w:spacing w:val="-11"/>
        </w:rPr>
        <w:t>无法分享和</w:t>
      </w:r>
      <w:r>
        <w:rPr>
          <w:rFonts w:ascii="SimSun" w:hAnsi="SimSun" w:eastAsia="SimSun" w:cs="SimSun"/>
          <w:sz w:val="21"/>
          <w:szCs w:val="21"/>
        </w:rPr>
        <w:t xml:space="preserve">  </w:t>
      </w:r>
      <w:r>
        <w:rPr>
          <w:rFonts w:ascii="SimSun" w:hAnsi="SimSun" w:eastAsia="SimSun" w:cs="SimSun"/>
          <w:sz w:val="21"/>
          <w:szCs w:val="21"/>
          <w:spacing w:val="-10"/>
        </w:rPr>
        <w:t>使用数据，那么就可能抑制数据发挥更大价值</w:t>
      </w:r>
      <w:r>
        <w:rPr>
          <w:rFonts w:ascii="SimSun" w:hAnsi="SimSun" w:eastAsia="SimSun" w:cs="SimSun"/>
          <w:sz w:val="21"/>
          <w:szCs w:val="21"/>
          <w:spacing w:val="-11"/>
        </w:rPr>
        <w:t>，从而扼杀创新；如果</w:t>
      </w:r>
      <w:r>
        <w:rPr>
          <w:rFonts w:ascii="SimSun" w:hAnsi="SimSun" w:eastAsia="SimSun" w:cs="SimSun"/>
          <w:sz w:val="21"/>
          <w:szCs w:val="21"/>
        </w:rPr>
        <w:t xml:space="preserve">  </w:t>
      </w:r>
      <w:r>
        <w:rPr>
          <w:rFonts w:ascii="SimSun" w:hAnsi="SimSun" w:eastAsia="SimSun" w:cs="SimSun"/>
          <w:sz w:val="21"/>
          <w:szCs w:val="21"/>
          <w:spacing w:val="-10"/>
        </w:rPr>
        <w:t>完全由数字企业主导数据权属及数据分享和使</w:t>
      </w:r>
      <w:r>
        <w:rPr>
          <w:rFonts w:ascii="SimSun" w:hAnsi="SimSun" w:eastAsia="SimSun" w:cs="SimSun"/>
          <w:sz w:val="21"/>
          <w:szCs w:val="21"/>
          <w:spacing w:val="-11"/>
        </w:rPr>
        <w:t>用过程，就可能放任私</w:t>
      </w:r>
      <w:r>
        <w:rPr>
          <w:rFonts w:ascii="SimSun" w:hAnsi="SimSun" w:eastAsia="SimSun" w:cs="SimSun"/>
          <w:sz w:val="21"/>
          <w:szCs w:val="21"/>
        </w:rPr>
        <w:t xml:space="preserve">  </w:t>
      </w:r>
      <w:r>
        <w:rPr>
          <w:rFonts w:ascii="SimSun" w:hAnsi="SimSun" w:eastAsia="SimSun" w:cs="SimSun"/>
          <w:sz w:val="21"/>
          <w:szCs w:val="21"/>
          <w:spacing w:val="-10"/>
        </w:rPr>
        <w:t>法主体的行为，造成更多的无序；如果完全交</w:t>
      </w:r>
      <w:r>
        <w:rPr>
          <w:rFonts w:ascii="SimSun" w:hAnsi="SimSun" w:eastAsia="SimSun" w:cs="SimSun"/>
          <w:sz w:val="21"/>
          <w:szCs w:val="21"/>
          <w:spacing w:val="-11"/>
        </w:rPr>
        <w:t>给公共机构来安排数据</w:t>
      </w:r>
      <w:r>
        <w:rPr>
          <w:rFonts w:ascii="SimSun" w:hAnsi="SimSun" w:eastAsia="SimSun" w:cs="SimSun"/>
          <w:sz w:val="21"/>
          <w:szCs w:val="21"/>
        </w:rPr>
        <w:t xml:space="preserve">  </w:t>
      </w:r>
      <w:r>
        <w:rPr>
          <w:rFonts w:ascii="SimSun" w:hAnsi="SimSun" w:eastAsia="SimSun" w:cs="SimSun"/>
          <w:sz w:val="21"/>
          <w:szCs w:val="21"/>
          <w:spacing w:val="-10"/>
        </w:rPr>
        <w:t>治理框架，就有可能让数据企业失去收集、处理数据并</w:t>
      </w:r>
      <w:r>
        <w:rPr>
          <w:rFonts w:ascii="SimSun" w:hAnsi="SimSun" w:eastAsia="SimSun" w:cs="SimSun"/>
          <w:sz w:val="21"/>
          <w:szCs w:val="21"/>
          <w:spacing w:val="-11"/>
        </w:rPr>
        <w:t>进一步创新的</w:t>
      </w:r>
      <w:r>
        <w:rPr>
          <w:rFonts w:ascii="SimSun" w:hAnsi="SimSun" w:eastAsia="SimSun" w:cs="SimSun"/>
          <w:sz w:val="21"/>
          <w:szCs w:val="21"/>
        </w:rPr>
        <w:t xml:space="preserve">  </w:t>
      </w:r>
      <w:r>
        <w:rPr>
          <w:rFonts w:ascii="SimSun" w:hAnsi="SimSun" w:eastAsia="SimSun" w:cs="SimSun"/>
          <w:sz w:val="21"/>
          <w:szCs w:val="21"/>
          <w:spacing w:val="-14"/>
        </w:rPr>
        <w:t>动力。因此，建立适合我国国情的数据治理框架，需</w:t>
      </w:r>
      <w:r>
        <w:rPr>
          <w:rFonts w:ascii="SimSun" w:hAnsi="SimSun" w:eastAsia="SimSun" w:cs="SimSun"/>
          <w:sz w:val="21"/>
          <w:szCs w:val="21"/>
          <w:spacing w:val="-15"/>
        </w:rPr>
        <w:t>要多措并举。</w:t>
      </w:r>
    </w:p>
    <w:p>
      <w:pPr>
        <w:pStyle w:val="BodyText"/>
        <w:spacing w:line="384"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欧美等国治理数据生产要素的主要措施</w:t>
      </w:r>
    </w:p>
    <w:p>
      <w:pPr>
        <w:pStyle w:val="BodyText"/>
        <w:spacing w:line="342" w:lineRule="auto"/>
        <w:rPr/>
      </w:pPr>
      <w:r/>
    </w:p>
    <w:p>
      <w:pPr>
        <w:ind w:right="43" w:firstLine="479"/>
        <w:spacing w:before="68" w:line="293" w:lineRule="auto"/>
        <w:jc w:val="both"/>
        <w:rPr>
          <w:rFonts w:ascii="SimSun" w:hAnsi="SimSun" w:eastAsia="SimSun" w:cs="SimSun"/>
          <w:sz w:val="21"/>
          <w:szCs w:val="21"/>
        </w:rPr>
      </w:pPr>
      <w:r>
        <w:rPr>
          <w:rFonts w:ascii="SimSun" w:hAnsi="SimSun" w:eastAsia="SimSun" w:cs="SimSun"/>
          <w:sz w:val="21"/>
          <w:szCs w:val="21"/>
          <w:spacing w:val="-7"/>
        </w:rPr>
        <w:t>总体来看，欧美法规和数据治理的重点是个人信息保护(相关措</w:t>
      </w:r>
      <w:r>
        <w:rPr>
          <w:rFonts w:ascii="SimSun" w:hAnsi="SimSun" w:eastAsia="SimSun" w:cs="SimSun"/>
          <w:sz w:val="21"/>
          <w:szCs w:val="21"/>
          <w:spacing w:val="1"/>
        </w:rPr>
        <w:t xml:space="preserve"> </w:t>
      </w:r>
      <w:r>
        <w:rPr>
          <w:rFonts w:ascii="SimSun" w:hAnsi="SimSun" w:eastAsia="SimSun" w:cs="SimSun"/>
          <w:sz w:val="21"/>
          <w:szCs w:val="21"/>
          <w:spacing w:val="-4"/>
        </w:rPr>
        <w:t>施将在“个人信息保护和数据安全”部分讨论),对数据共享、数据 </w:t>
      </w:r>
      <w:r>
        <w:rPr>
          <w:rFonts w:ascii="SimSun" w:hAnsi="SimSun" w:eastAsia="SimSun" w:cs="SimSun"/>
          <w:sz w:val="21"/>
          <w:szCs w:val="21"/>
          <w:spacing w:val="-11"/>
        </w:rPr>
        <w:t>使用中经济利益的保护和权衡，更多依靠已有法律法规的执行，基本 </w:t>
      </w:r>
      <w:r>
        <w:rPr>
          <w:rFonts w:ascii="SimSun" w:hAnsi="SimSun" w:eastAsia="SimSun" w:cs="SimSun"/>
          <w:sz w:val="21"/>
          <w:szCs w:val="21"/>
          <w:spacing w:val="-10"/>
        </w:rPr>
        <w:t>没有专门的立法。</w:t>
      </w:r>
    </w:p>
    <w:p>
      <w:pPr>
        <w:ind w:right="19" w:firstLine="479"/>
        <w:spacing w:before="117" w:line="286" w:lineRule="auto"/>
        <w:jc w:val="both"/>
        <w:rPr>
          <w:rFonts w:ascii="SimSun" w:hAnsi="SimSun" w:eastAsia="SimSun" w:cs="SimSun"/>
          <w:sz w:val="21"/>
          <w:szCs w:val="21"/>
        </w:rPr>
      </w:pPr>
      <w:r>
        <w:rPr>
          <w:rFonts w:ascii="SimSun" w:hAnsi="SimSun" w:eastAsia="SimSun" w:cs="SimSun"/>
          <w:sz w:val="21"/>
          <w:szCs w:val="21"/>
          <w:spacing w:val="1"/>
        </w:rPr>
        <w:t>美国的普通法系采用财产权概念，因此数据的实际拥有者(如</w:t>
      </w:r>
      <w:r>
        <w:rPr>
          <w:rFonts w:ascii="SimSun" w:hAnsi="SimSun" w:eastAsia="SimSun" w:cs="SimSun"/>
          <w:sz w:val="21"/>
          <w:szCs w:val="21"/>
          <w:spacing w:val="12"/>
        </w:rPr>
        <w:t xml:space="preserve"> </w:t>
      </w:r>
      <w:r>
        <w:rPr>
          <w:rFonts w:ascii="SimSun" w:hAnsi="SimSun" w:eastAsia="SimSun" w:cs="SimSun"/>
          <w:sz w:val="21"/>
          <w:szCs w:val="21"/>
          <w:spacing w:val="-7"/>
        </w:rPr>
        <w:t>数字企业)或数据经纪商的数据交易行为具有天然的合法性，只需保</w:t>
      </w:r>
      <w:r>
        <w:rPr>
          <w:rFonts w:ascii="SimSun" w:hAnsi="SimSun" w:eastAsia="SimSun" w:cs="SimSun"/>
          <w:sz w:val="21"/>
          <w:szCs w:val="21"/>
        </w:rPr>
        <w:t xml:space="preserve">  </w:t>
      </w:r>
      <w:r>
        <w:rPr>
          <w:rFonts w:ascii="SimSun" w:hAnsi="SimSun" w:eastAsia="SimSun" w:cs="SimSun"/>
          <w:sz w:val="21"/>
          <w:szCs w:val="21"/>
          <w:spacing w:val="-11"/>
        </w:rPr>
        <w:t>证在交易过程中不侵犯个人隐私权。美国通过规制数据的实际拥有者</w:t>
      </w:r>
      <w:r>
        <w:rPr>
          <w:rFonts w:ascii="SimSun" w:hAnsi="SimSun" w:eastAsia="SimSun" w:cs="SimSun"/>
          <w:sz w:val="21"/>
          <w:szCs w:val="21"/>
          <w:spacing w:val="9"/>
        </w:rPr>
        <w:t xml:space="preserve">  </w:t>
      </w:r>
      <w:r>
        <w:rPr>
          <w:rFonts w:ascii="SimSun" w:hAnsi="SimSun" w:eastAsia="SimSun" w:cs="SimSun"/>
          <w:sz w:val="21"/>
          <w:szCs w:val="21"/>
          <w:spacing w:val="-6"/>
        </w:rPr>
        <w:t>(如数字企业)或数据处理者的商业行为来规范数据交易。</w:t>
      </w:r>
    </w:p>
    <w:p>
      <w:pPr>
        <w:spacing w:line="286" w:lineRule="auto"/>
        <w:sectPr>
          <w:headerReference w:type="default" r:id="rId379"/>
          <w:pgSz w:w="7330" w:h="12480"/>
          <w:pgMar w:top="485" w:right="505" w:bottom="400" w:left="720" w:header="322"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firstLine="399"/>
        <w:spacing w:before="69" w:line="303" w:lineRule="auto"/>
        <w:jc w:val="both"/>
        <w:rPr>
          <w:rFonts w:ascii="SimSun" w:hAnsi="SimSun" w:eastAsia="SimSun" w:cs="SimSun"/>
          <w:sz w:val="21"/>
          <w:szCs w:val="21"/>
        </w:rPr>
      </w:pPr>
      <w:r>
        <w:rPr>
          <w:rFonts w:ascii="SimSun" w:hAnsi="SimSun" w:eastAsia="SimSun" w:cs="SimSun"/>
          <w:sz w:val="21"/>
          <w:szCs w:val="21"/>
          <w:spacing w:val="-8"/>
        </w:rPr>
        <w:t>美国的数据资产交易主要有两种模式。第一种是数据交易</w:t>
      </w:r>
      <w:r>
        <w:rPr>
          <w:rFonts w:ascii="SimSun" w:hAnsi="SimSun" w:eastAsia="SimSun" w:cs="SimSun"/>
          <w:sz w:val="21"/>
          <w:szCs w:val="21"/>
          <w:spacing w:val="-9"/>
        </w:rPr>
        <w:t>平台：</w:t>
      </w:r>
      <w:r>
        <w:rPr>
          <w:rFonts w:ascii="SimSun" w:hAnsi="SimSun" w:eastAsia="SimSun" w:cs="SimSun"/>
          <w:sz w:val="21"/>
          <w:szCs w:val="21"/>
        </w:rPr>
        <w:t xml:space="preserve"> </w:t>
      </w:r>
      <w:r>
        <w:rPr>
          <w:rFonts w:ascii="SimSun" w:hAnsi="SimSun" w:eastAsia="SimSun" w:cs="SimSun"/>
          <w:sz w:val="21"/>
          <w:szCs w:val="21"/>
          <w:spacing w:val="-11"/>
        </w:rPr>
        <w:t>平台作为中介为数据供应方和数据购买方提供数据交易撮合服务，数 </w:t>
      </w:r>
      <w:r>
        <w:rPr>
          <w:rFonts w:ascii="SimSun" w:hAnsi="SimSun" w:eastAsia="SimSun" w:cs="SimSun"/>
          <w:sz w:val="21"/>
          <w:szCs w:val="21"/>
          <w:spacing w:val="-11"/>
        </w:rPr>
        <w:t>据供应方、数据购买方都是经交易平台审核认证、自愿从事数据买卖 </w:t>
      </w:r>
      <w:r>
        <w:rPr>
          <w:rFonts w:ascii="SimSun" w:hAnsi="SimSun" w:eastAsia="SimSun" w:cs="SimSun"/>
          <w:sz w:val="21"/>
          <w:szCs w:val="21"/>
          <w:spacing w:val="-10"/>
        </w:rPr>
        <w:t>的实体公司；平台对交易数据的质量和交易过程的安全有监管责任和</w:t>
      </w:r>
      <w:r>
        <w:rPr>
          <w:rFonts w:ascii="SimSun" w:hAnsi="SimSun" w:eastAsia="SimSun" w:cs="SimSun"/>
          <w:sz w:val="21"/>
          <w:szCs w:val="21"/>
          <w:spacing w:val="5"/>
        </w:rPr>
        <w:t xml:space="preserve"> </w:t>
      </w:r>
      <w:r>
        <w:rPr>
          <w:rFonts w:ascii="SimSun" w:hAnsi="SimSun" w:eastAsia="SimSun" w:cs="SimSun"/>
          <w:sz w:val="21"/>
          <w:szCs w:val="21"/>
          <w:spacing w:val="-11"/>
        </w:rPr>
        <w:t>义务。第二种是综合数据服务平台：平台除了为数据供应方和数据购 </w:t>
      </w:r>
      <w:r>
        <w:rPr>
          <w:rFonts w:ascii="SimSun" w:hAnsi="SimSun" w:eastAsia="SimSun" w:cs="SimSun"/>
          <w:sz w:val="21"/>
          <w:szCs w:val="21"/>
          <w:spacing w:val="-11"/>
        </w:rPr>
        <w:t>买方提供中介服务之外，还可以采集、处理和存储数据，为客户提供 </w:t>
      </w:r>
      <w:r>
        <w:rPr>
          <w:rFonts w:ascii="SimSun" w:hAnsi="SimSun" w:eastAsia="SimSun" w:cs="SimSun"/>
          <w:sz w:val="21"/>
          <w:szCs w:val="21"/>
          <w:spacing w:val="-13"/>
        </w:rPr>
        <w:t>数据产品、解决方案等。</w:t>
      </w:r>
    </w:p>
    <w:p>
      <w:pPr>
        <w:ind w:right="73" w:firstLine="399"/>
        <w:spacing w:before="106" w:line="293" w:lineRule="auto"/>
        <w:jc w:val="both"/>
        <w:rPr>
          <w:rFonts w:ascii="SimSun" w:hAnsi="SimSun" w:eastAsia="SimSun" w:cs="SimSun"/>
          <w:sz w:val="21"/>
          <w:szCs w:val="21"/>
        </w:rPr>
      </w:pPr>
      <w:r>
        <w:rPr>
          <w:rFonts w:ascii="SimSun" w:hAnsi="SimSun" w:eastAsia="SimSun" w:cs="SimSun"/>
          <w:sz w:val="21"/>
          <w:szCs w:val="21"/>
          <w:spacing w:val="-11"/>
        </w:rPr>
        <w:t>欧盟认为，数据价值链和基于数据的商业模式各自不同，对数据</w:t>
      </w:r>
      <w:r>
        <w:rPr>
          <w:rFonts w:ascii="SimSun" w:hAnsi="SimSun" w:eastAsia="SimSun" w:cs="SimSun"/>
          <w:sz w:val="21"/>
          <w:szCs w:val="21"/>
          <w:spacing w:val="8"/>
        </w:rPr>
        <w:t xml:space="preserve"> </w:t>
      </w:r>
      <w:r>
        <w:rPr>
          <w:rFonts w:ascii="SimSun" w:hAnsi="SimSun" w:eastAsia="SimSun" w:cs="SimSun"/>
          <w:sz w:val="21"/>
          <w:szCs w:val="21"/>
          <w:spacing w:val="-11"/>
        </w:rPr>
        <w:t>共享问题一刀切的解决方案不可行，因此不应就数据共享采取横向立</w:t>
      </w:r>
      <w:r>
        <w:rPr>
          <w:rFonts w:ascii="SimSun" w:hAnsi="SimSun" w:eastAsia="SimSun" w:cs="SimSun"/>
          <w:sz w:val="21"/>
          <w:szCs w:val="21"/>
          <w:spacing w:val="6"/>
        </w:rPr>
        <w:t xml:space="preserve"> </w:t>
      </w:r>
      <w:r>
        <w:rPr>
          <w:rFonts w:ascii="SimSun" w:hAnsi="SimSun" w:eastAsia="SimSun" w:cs="SimSun"/>
          <w:sz w:val="21"/>
          <w:szCs w:val="21"/>
          <w:spacing w:val="-11"/>
        </w:rPr>
        <w:t>法，而应将基于信任的数据共享协议作为解决大多数问题的方式，使</w:t>
      </w:r>
      <w:r>
        <w:rPr>
          <w:rFonts w:ascii="SimSun" w:hAnsi="SimSun" w:eastAsia="SimSun" w:cs="SimSun"/>
          <w:sz w:val="21"/>
          <w:szCs w:val="21"/>
          <w:spacing w:val="9"/>
        </w:rPr>
        <w:t xml:space="preserve"> </w:t>
      </w:r>
      <w:r>
        <w:rPr>
          <w:rFonts w:ascii="SimSun" w:hAnsi="SimSun" w:eastAsia="SimSun" w:cs="SimSun"/>
          <w:sz w:val="21"/>
          <w:szCs w:val="21"/>
          <w:spacing w:val="-12"/>
        </w:rPr>
        <w:t>用合同法或竞争法来规制经济利益的侵害行为。</w:t>
      </w:r>
    </w:p>
    <w:p>
      <w:pPr>
        <w:ind w:right="72" w:firstLine="399"/>
        <w:spacing w:before="112" w:line="304" w:lineRule="auto"/>
        <w:jc w:val="both"/>
        <w:rPr>
          <w:rFonts w:ascii="SimSun" w:hAnsi="SimSun" w:eastAsia="SimSun" w:cs="SimSun"/>
          <w:sz w:val="21"/>
          <w:szCs w:val="21"/>
        </w:rPr>
      </w:pPr>
      <w:r>
        <w:rPr>
          <w:rFonts w:ascii="SimSun" w:hAnsi="SimSun" w:eastAsia="SimSun" w:cs="SimSun"/>
          <w:sz w:val="21"/>
          <w:szCs w:val="21"/>
          <w:spacing w:val="-3"/>
        </w:rPr>
        <w:t>2018年，欧盟委员会发布了《欧洲数据经济中的私营部门</w:t>
      </w:r>
      <w:r>
        <w:rPr>
          <w:rFonts w:ascii="SimSun" w:hAnsi="SimSun" w:eastAsia="SimSun" w:cs="SimSun"/>
          <w:sz w:val="21"/>
          <w:szCs w:val="21"/>
          <w:spacing w:val="-4"/>
        </w:rPr>
        <w:t>数据</w:t>
      </w:r>
      <w:r>
        <w:rPr>
          <w:rFonts w:ascii="SimSun" w:hAnsi="SimSun" w:eastAsia="SimSun" w:cs="SimSun"/>
          <w:sz w:val="21"/>
          <w:szCs w:val="21"/>
        </w:rPr>
        <w:t xml:space="preserve"> </w:t>
      </w:r>
      <w:r>
        <w:rPr>
          <w:rFonts w:ascii="SimSun" w:hAnsi="SimSun" w:eastAsia="SimSun" w:cs="SimSun"/>
          <w:sz w:val="21"/>
          <w:szCs w:val="21"/>
          <w:spacing w:val="-7"/>
        </w:rPr>
        <w:t>共享指南》,旨在从数据共享的法律、业务和技</w:t>
      </w:r>
      <w:r>
        <w:rPr>
          <w:rFonts w:ascii="SimSun" w:hAnsi="SimSun" w:eastAsia="SimSun" w:cs="SimSun"/>
          <w:sz w:val="21"/>
          <w:szCs w:val="21"/>
          <w:spacing w:val="-8"/>
        </w:rPr>
        <w:t>术等方面，为跨行业</w:t>
      </w:r>
      <w:r>
        <w:rPr>
          <w:rFonts w:ascii="SimSun" w:hAnsi="SimSun" w:eastAsia="SimSun" w:cs="SimSun"/>
          <w:sz w:val="21"/>
          <w:szCs w:val="21"/>
        </w:rPr>
        <w:t xml:space="preserve"> </w:t>
      </w:r>
      <w:r>
        <w:rPr>
          <w:rFonts w:ascii="SimSun" w:hAnsi="SimSun" w:eastAsia="SimSun" w:cs="SimSun"/>
          <w:sz w:val="21"/>
          <w:szCs w:val="21"/>
          <w:spacing w:val="-11"/>
        </w:rPr>
        <w:t>的数据持有和数据使用业务提供一个实用的工具箱。该指南给出了私</w:t>
      </w:r>
      <w:r>
        <w:rPr>
          <w:rFonts w:ascii="SimSun" w:hAnsi="SimSun" w:eastAsia="SimSun" w:cs="SimSun"/>
          <w:sz w:val="21"/>
          <w:szCs w:val="21"/>
          <w:spacing w:val="10"/>
        </w:rPr>
        <w:t xml:space="preserve"> </w:t>
      </w:r>
      <w:r>
        <w:rPr>
          <w:rFonts w:ascii="SimSun" w:hAnsi="SimSun" w:eastAsia="SimSun" w:cs="SimSun"/>
          <w:sz w:val="21"/>
          <w:szCs w:val="21"/>
          <w:spacing w:val="-11"/>
        </w:rPr>
        <w:t>营企业之间数据共享协议的五项原则：透明性、价值创造共享、相互</w:t>
      </w:r>
      <w:r>
        <w:rPr>
          <w:rFonts w:ascii="SimSun" w:hAnsi="SimSun" w:eastAsia="SimSun" w:cs="SimSun"/>
          <w:sz w:val="21"/>
          <w:szCs w:val="21"/>
          <w:spacing w:val="6"/>
        </w:rPr>
        <w:t xml:space="preserve"> </w:t>
      </w:r>
      <w:r>
        <w:rPr>
          <w:rFonts w:ascii="SimSun" w:hAnsi="SimSun" w:eastAsia="SimSun" w:cs="SimSun"/>
          <w:sz w:val="21"/>
          <w:szCs w:val="21"/>
          <w:spacing w:val="-11"/>
        </w:rPr>
        <w:t>尊重商业利益、确保良性竞争、最小化数据锁定。该指南还给出了私</w:t>
      </w:r>
      <w:r>
        <w:rPr>
          <w:rFonts w:ascii="SimSun" w:hAnsi="SimSun" w:eastAsia="SimSun" w:cs="SimSun"/>
          <w:sz w:val="21"/>
          <w:szCs w:val="21"/>
          <w:spacing w:val="10"/>
        </w:rPr>
        <w:t xml:space="preserve"> </w:t>
      </w:r>
      <w:r>
        <w:rPr>
          <w:rFonts w:ascii="SimSun" w:hAnsi="SimSun" w:eastAsia="SimSun" w:cs="SimSun"/>
          <w:sz w:val="21"/>
          <w:szCs w:val="21"/>
          <w:spacing w:val="-4"/>
        </w:rPr>
        <w:t>营企业向公共部门提供数据的共享原则：私营部门数据使用的相称</w:t>
      </w:r>
      <w:r>
        <w:rPr>
          <w:rFonts w:ascii="SimSun" w:hAnsi="SimSun" w:eastAsia="SimSun" w:cs="SimSun"/>
          <w:sz w:val="21"/>
          <w:szCs w:val="21"/>
          <w:spacing w:val="5"/>
        </w:rPr>
        <w:t xml:space="preserve"> </w:t>
      </w:r>
      <w:r>
        <w:rPr>
          <w:rFonts w:ascii="SimSun" w:hAnsi="SimSun" w:eastAsia="SimSun" w:cs="SimSun"/>
          <w:sz w:val="21"/>
          <w:szCs w:val="21"/>
          <w:spacing w:val="-11"/>
        </w:rPr>
        <w:t>性，目的限制，不造成伤害，数据再利用的条件，降低私营部门数据</w:t>
      </w:r>
      <w:r>
        <w:rPr>
          <w:rFonts w:ascii="SimSun" w:hAnsi="SimSun" w:eastAsia="SimSun" w:cs="SimSun"/>
          <w:sz w:val="21"/>
          <w:szCs w:val="21"/>
          <w:spacing w:val="10"/>
        </w:rPr>
        <w:t xml:space="preserve"> </w:t>
      </w:r>
      <w:r>
        <w:rPr>
          <w:rFonts w:ascii="SimSun" w:hAnsi="SimSun" w:eastAsia="SimSun" w:cs="SimSun"/>
          <w:sz w:val="21"/>
          <w:szCs w:val="21"/>
          <w:spacing w:val="-13"/>
        </w:rPr>
        <w:t>的局限性，透明性和社会参与。</w:t>
      </w:r>
    </w:p>
    <w:p>
      <w:pPr>
        <w:pStyle w:val="BodyText"/>
        <w:spacing w:line="446"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4"/>
        </w:rPr>
        <w:t>数据生产要素的治理建议</w:t>
      </w:r>
    </w:p>
    <w:p>
      <w:pPr>
        <w:pStyle w:val="BodyText"/>
        <w:spacing w:line="349" w:lineRule="auto"/>
        <w:rPr/>
      </w:pPr>
      <w:r/>
    </w:p>
    <w:p>
      <w:pPr>
        <w:ind w:right="48" w:firstLine="399"/>
        <w:spacing w:before="69" w:line="285" w:lineRule="auto"/>
        <w:jc w:val="both"/>
        <w:rPr>
          <w:rFonts w:ascii="SimSun" w:hAnsi="SimSun" w:eastAsia="SimSun" w:cs="SimSun"/>
          <w:sz w:val="21"/>
          <w:szCs w:val="21"/>
        </w:rPr>
      </w:pPr>
      <w:r>
        <w:rPr>
          <w:rFonts w:ascii="SimSun" w:hAnsi="SimSun" w:eastAsia="SimSun" w:cs="SimSun"/>
          <w:sz w:val="21"/>
          <w:szCs w:val="21"/>
          <w:spacing w:val="-6"/>
        </w:rPr>
        <w:t>综合已有数据治理思路(新型财产权、数据信托、依靠合同</w:t>
      </w:r>
      <w:r>
        <w:rPr>
          <w:rFonts w:ascii="SimSun" w:hAnsi="SimSun" w:eastAsia="SimSun" w:cs="SimSun"/>
          <w:sz w:val="21"/>
          <w:szCs w:val="21"/>
          <w:spacing w:val="-7"/>
        </w:rPr>
        <w:t>法和</w:t>
      </w:r>
      <w:r>
        <w:rPr>
          <w:rFonts w:ascii="SimSun" w:hAnsi="SimSun" w:eastAsia="SimSun" w:cs="SimSun"/>
          <w:sz w:val="21"/>
          <w:szCs w:val="21"/>
        </w:rPr>
        <w:t xml:space="preserve"> </w:t>
      </w:r>
      <w:r>
        <w:rPr>
          <w:rFonts w:ascii="SimSun" w:hAnsi="SimSun" w:eastAsia="SimSun" w:cs="SimSun"/>
          <w:sz w:val="21"/>
          <w:szCs w:val="21"/>
          <w:spacing w:val="-7"/>
        </w:rPr>
        <w:t>公共机构管理)以及欧美等国的实践来看，对我国数据生产要素的治</w:t>
      </w:r>
      <w:r>
        <w:rPr>
          <w:rFonts w:ascii="SimSun" w:hAnsi="SimSun" w:eastAsia="SimSun" w:cs="SimSun"/>
          <w:sz w:val="21"/>
          <w:szCs w:val="21"/>
          <w:spacing w:val="1"/>
        </w:rPr>
        <w:t xml:space="preserve"> </w:t>
      </w:r>
      <w:r>
        <w:rPr>
          <w:rFonts w:ascii="SimSun" w:hAnsi="SimSun" w:eastAsia="SimSun" w:cs="SimSun"/>
          <w:sz w:val="21"/>
          <w:szCs w:val="21"/>
          <w:spacing w:val="-12"/>
        </w:rPr>
        <w:t>理，有如下建议。</w:t>
      </w:r>
    </w:p>
    <w:p>
      <w:pPr>
        <w:ind w:right="73" w:firstLine="399"/>
        <w:spacing w:before="106" w:line="269" w:lineRule="auto"/>
        <w:rPr>
          <w:rFonts w:ascii="SimSun" w:hAnsi="SimSun" w:eastAsia="SimSun" w:cs="SimSun"/>
          <w:sz w:val="21"/>
          <w:szCs w:val="21"/>
        </w:rPr>
      </w:pPr>
      <w:r>
        <w:rPr>
          <w:rFonts w:ascii="SimSun" w:hAnsi="SimSun" w:eastAsia="SimSun" w:cs="SimSun"/>
          <w:sz w:val="21"/>
          <w:szCs w:val="21"/>
          <w:spacing w:val="-4"/>
        </w:rPr>
        <w:t>第一，培育数据交易市场的重点落在培育基于数据价值的数据</w:t>
      </w:r>
      <w:r>
        <w:rPr>
          <w:rFonts w:ascii="SimSun" w:hAnsi="SimSun" w:eastAsia="SimSun" w:cs="SimSun"/>
          <w:sz w:val="21"/>
          <w:szCs w:val="21"/>
          <w:spacing w:val="6"/>
        </w:rPr>
        <w:t xml:space="preserve"> </w:t>
      </w:r>
      <w:r>
        <w:rPr>
          <w:rFonts w:ascii="SimSun" w:hAnsi="SimSun" w:eastAsia="SimSun" w:cs="SimSun"/>
          <w:sz w:val="21"/>
          <w:szCs w:val="21"/>
          <w:spacing w:val="-11"/>
        </w:rPr>
        <w:t>服务交易，谨慎推进基于明确数据权属的基础数据交易。首先，由于</w:t>
      </w:r>
    </w:p>
    <w:p>
      <w:pPr>
        <w:spacing w:line="269" w:lineRule="auto"/>
        <w:sectPr>
          <w:headerReference w:type="default" r:id="rId380"/>
          <w:pgSz w:w="7330" w:h="12480"/>
          <w:pgMar w:top="789" w:right="855" w:bottom="400" w:left="420" w:header="623"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89"/>
        <w:spacing w:before="68" w:line="319" w:lineRule="auto"/>
        <w:jc w:val="both"/>
        <w:rPr>
          <w:rFonts w:ascii="SimSun" w:hAnsi="SimSun" w:eastAsia="SimSun" w:cs="SimSun"/>
          <w:sz w:val="21"/>
          <w:szCs w:val="21"/>
        </w:rPr>
      </w:pPr>
      <w:r>
        <w:rPr>
          <w:rFonts w:ascii="SimSun" w:hAnsi="SimSun" w:eastAsia="SimSun" w:cs="SimSun"/>
          <w:sz w:val="21"/>
          <w:szCs w:val="21"/>
          <w:spacing w:val="-11"/>
        </w:rPr>
        <w:t>数据生产要素的特殊性，明确数据权属有较大的难度；其次，用户信</w:t>
      </w:r>
      <w:r>
        <w:rPr>
          <w:rFonts w:ascii="SimSun" w:hAnsi="SimSun" w:eastAsia="SimSun" w:cs="SimSun"/>
          <w:sz w:val="21"/>
          <w:szCs w:val="21"/>
          <w:spacing w:val="12"/>
        </w:rPr>
        <w:t xml:space="preserve"> </w:t>
      </w:r>
      <w:r>
        <w:rPr>
          <w:rFonts w:ascii="SimSun" w:hAnsi="SimSun" w:eastAsia="SimSun" w:cs="SimSun"/>
          <w:sz w:val="21"/>
          <w:szCs w:val="21"/>
          <w:spacing w:val="-11"/>
        </w:rPr>
        <w:t>息，尤其是关于个人的姓名、地址等敏感信息的原始数据，不宜明确</w:t>
      </w:r>
      <w:r>
        <w:rPr>
          <w:rFonts w:ascii="SimSun" w:hAnsi="SimSun" w:eastAsia="SimSun" w:cs="SimSun"/>
          <w:sz w:val="21"/>
          <w:szCs w:val="21"/>
          <w:spacing w:val="14"/>
        </w:rPr>
        <w:t xml:space="preserve"> </w:t>
      </w:r>
      <w:r>
        <w:rPr>
          <w:rFonts w:ascii="SimSun" w:hAnsi="SimSun" w:eastAsia="SimSun" w:cs="SimSun"/>
          <w:sz w:val="21"/>
          <w:szCs w:val="21"/>
          <w:spacing w:val="-11"/>
        </w:rPr>
        <w:t>归属于非用户个人的第三方；最后，从国际经验看，欧美等国也没有</w:t>
      </w:r>
    </w:p>
    <w:p>
      <w:pPr>
        <w:spacing w:line="219" w:lineRule="auto"/>
        <w:rPr>
          <w:rFonts w:ascii="SimSun" w:hAnsi="SimSun" w:eastAsia="SimSun" w:cs="SimSun"/>
          <w:sz w:val="21"/>
          <w:szCs w:val="21"/>
        </w:rPr>
      </w:pPr>
      <w:r>
        <w:rPr>
          <w:rFonts w:ascii="SimSun" w:hAnsi="SimSun" w:eastAsia="SimSun" w:cs="SimSun"/>
          <w:sz w:val="21"/>
          <w:szCs w:val="21"/>
          <w:spacing w:val="-11"/>
        </w:rPr>
        <w:t>将数据权属划归第三方企业或者数据分销商的制度安排。</w:t>
      </w:r>
    </w:p>
    <w:p>
      <w:pPr>
        <w:ind w:right="75" w:firstLine="430"/>
        <w:spacing w:before="101" w:line="303" w:lineRule="auto"/>
        <w:jc w:val="both"/>
        <w:rPr>
          <w:rFonts w:ascii="SimSun" w:hAnsi="SimSun" w:eastAsia="SimSun" w:cs="SimSun"/>
          <w:sz w:val="21"/>
          <w:szCs w:val="21"/>
        </w:rPr>
      </w:pPr>
      <w:r>
        <w:rPr>
          <w:rFonts w:ascii="SimSun" w:hAnsi="SimSun" w:eastAsia="SimSun" w:cs="SimSun"/>
          <w:sz w:val="21"/>
          <w:szCs w:val="21"/>
          <w:spacing w:val="-8"/>
        </w:rPr>
        <w:t>第二，结合数据信托与公共机构管理，通过发放分级牌照(或者</w:t>
      </w:r>
      <w:r>
        <w:rPr>
          <w:rFonts w:ascii="SimSun" w:hAnsi="SimSun" w:eastAsia="SimSun" w:cs="SimSun"/>
          <w:sz w:val="21"/>
          <w:szCs w:val="21"/>
          <w:spacing w:val="17"/>
        </w:rPr>
        <w:t xml:space="preserve"> </w:t>
      </w:r>
      <w:r>
        <w:rPr>
          <w:rFonts w:ascii="SimSun" w:hAnsi="SimSun" w:eastAsia="SimSun" w:cs="SimSun"/>
          <w:sz w:val="21"/>
          <w:szCs w:val="21"/>
          <w:spacing w:val="-7"/>
        </w:rPr>
        <w:t>数据许可证)的方式来规范数据共享与使用。由</w:t>
      </w:r>
      <w:r>
        <w:rPr>
          <w:rFonts w:ascii="SimSun" w:hAnsi="SimSun" w:eastAsia="SimSun" w:cs="SimSun"/>
          <w:sz w:val="21"/>
          <w:szCs w:val="21"/>
          <w:spacing w:val="-8"/>
        </w:rPr>
        <w:t>公共机构颁发数据许</w:t>
      </w:r>
      <w:r>
        <w:rPr>
          <w:rFonts w:ascii="SimSun" w:hAnsi="SimSun" w:eastAsia="SimSun" w:cs="SimSun"/>
          <w:sz w:val="21"/>
          <w:szCs w:val="21"/>
        </w:rPr>
        <w:t xml:space="preserve"> </w:t>
      </w:r>
      <w:r>
        <w:rPr>
          <w:rFonts w:ascii="SimSun" w:hAnsi="SimSun" w:eastAsia="SimSun" w:cs="SimSun"/>
          <w:sz w:val="21"/>
          <w:szCs w:val="21"/>
          <w:spacing w:val="-4"/>
        </w:rPr>
        <w:t>可证的做法在世界数据保护制度中有先例。例如，1973年瑞典《数</w:t>
      </w:r>
      <w:r>
        <w:rPr>
          <w:rFonts w:ascii="SimSun" w:hAnsi="SimSun" w:eastAsia="SimSun" w:cs="SimSun"/>
          <w:sz w:val="21"/>
          <w:szCs w:val="21"/>
          <w:spacing w:val="11"/>
        </w:rPr>
        <w:t xml:space="preserve"> </w:t>
      </w:r>
      <w:r>
        <w:rPr>
          <w:rFonts w:ascii="SimSun" w:hAnsi="SimSun" w:eastAsia="SimSun" w:cs="SimSun"/>
          <w:sz w:val="21"/>
          <w:szCs w:val="21"/>
          <w:spacing w:val="-4"/>
        </w:rPr>
        <w:t>据法》就规定设立数据审查委员会负责立法的实施和个人数据的保</w:t>
      </w:r>
      <w:r>
        <w:rPr>
          <w:rFonts w:ascii="SimSun" w:hAnsi="SimSun" w:eastAsia="SimSun" w:cs="SimSun"/>
          <w:sz w:val="21"/>
          <w:szCs w:val="21"/>
          <w:spacing w:val="2"/>
        </w:rPr>
        <w:t xml:space="preserve"> </w:t>
      </w:r>
      <w:r>
        <w:rPr>
          <w:rFonts w:ascii="SimSun" w:hAnsi="SimSun" w:eastAsia="SimSun" w:cs="SimSun"/>
          <w:sz w:val="21"/>
          <w:szCs w:val="21"/>
          <w:spacing w:val="-11"/>
        </w:rPr>
        <w:t>护。鉴于数据确权的困难，将数据信托与公共机构管理相结合发放分</w:t>
      </w:r>
      <w:r>
        <w:rPr>
          <w:rFonts w:ascii="SimSun" w:hAnsi="SimSun" w:eastAsia="SimSun" w:cs="SimSun"/>
          <w:sz w:val="21"/>
          <w:szCs w:val="21"/>
          <w:spacing w:val="7"/>
        </w:rPr>
        <w:t xml:space="preserve"> </w:t>
      </w:r>
      <w:r>
        <w:rPr>
          <w:rFonts w:ascii="SimSun" w:hAnsi="SimSun" w:eastAsia="SimSun" w:cs="SimSun"/>
          <w:sz w:val="21"/>
          <w:szCs w:val="21"/>
          <w:spacing w:val="-4"/>
        </w:rPr>
        <w:t>级数据牌照(或数据许可证)的制度安排，既可以保护用户对自身数</w:t>
      </w:r>
      <w:r>
        <w:rPr>
          <w:rFonts w:ascii="SimSun" w:hAnsi="SimSun" w:eastAsia="SimSun" w:cs="SimSun"/>
          <w:sz w:val="21"/>
          <w:szCs w:val="21"/>
          <w:spacing w:val="7"/>
        </w:rPr>
        <w:t xml:space="preserve"> </w:t>
      </w:r>
      <w:r>
        <w:rPr>
          <w:rFonts w:ascii="SimSun" w:hAnsi="SimSun" w:eastAsia="SimSun" w:cs="SimSun"/>
          <w:sz w:val="21"/>
          <w:szCs w:val="21"/>
          <w:spacing w:val="-4"/>
        </w:rPr>
        <w:t>据的所有权，又能促进数据的分享和使用，推动数据要素市场的培</w:t>
      </w:r>
      <w:r>
        <w:rPr>
          <w:rFonts w:ascii="SimSun" w:hAnsi="SimSun" w:eastAsia="SimSun" w:cs="SimSun"/>
          <w:sz w:val="21"/>
          <w:szCs w:val="21"/>
          <w:spacing w:val="4"/>
        </w:rPr>
        <w:t xml:space="preserve"> </w:t>
      </w:r>
      <w:r>
        <w:rPr>
          <w:rFonts w:ascii="SimSun" w:hAnsi="SimSun" w:eastAsia="SimSun" w:cs="SimSun"/>
          <w:sz w:val="21"/>
          <w:szCs w:val="21"/>
          <w:spacing w:val="-12"/>
        </w:rPr>
        <w:t>育。这一制度安排需要如下几个要素。</w:t>
      </w:r>
    </w:p>
    <w:p>
      <w:pPr>
        <w:ind w:firstLine="430"/>
        <w:spacing w:before="130" w:line="299" w:lineRule="auto"/>
        <w:jc w:val="both"/>
        <w:rPr>
          <w:rFonts w:ascii="SimSun" w:hAnsi="SimSun" w:eastAsia="SimSun" w:cs="SimSun"/>
          <w:sz w:val="21"/>
          <w:szCs w:val="21"/>
        </w:rPr>
      </w:pPr>
      <w:r>
        <w:rPr>
          <w:rFonts w:ascii="SimSun" w:hAnsi="SimSun" w:eastAsia="SimSun" w:cs="SimSun"/>
          <w:sz w:val="21"/>
          <w:szCs w:val="21"/>
          <w:spacing w:val="-10"/>
        </w:rPr>
        <w:t>一、除了不应发放数据牌照的数据，均为发放数据牌照</w:t>
      </w:r>
      <w:r>
        <w:rPr>
          <w:rFonts w:ascii="SimSun" w:hAnsi="SimSun" w:eastAsia="SimSun" w:cs="SimSun"/>
          <w:sz w:val="21"/>
          <w:szCs w:val="21"/>
          <w:spacing w:val="-11"/>
        </w:rPr>
        <w:t>时可以考</w:t>
      </w:r>
      <w:r>
        <w:rPr>
          <w:rFonts w:ascii="SimSun" w:hAnsi="SimSun" w:eastAsia="SimSun" w:cs="SimSun"/>
          <w:sz w:val="21"/>
          <w:szCs w:val="21"/>
        </w:rPr>
        <w:t xml:space="preserve"> </w:t>
      </w:r>
      <w:r>
        <w:rPr>
          <w:rFonts w:ascii="SimSun" w:hAnsi="SimSun" w:eastAsia="SimSun" w:cs="SimSun"/>
          <w:sz w:val="21"/>
          <w:szCs w:val="21"/>
          <w:spacing w:val="-7"/>
        </w:rPr>
        <w:t>虑的数据类型。不应发放牌照的数据主要涉及以下几类：(1)应当免</w:t>
      </w:r>
      <w:r>
        <w:rPr>
          <w:rFonts w:ascii="SimSun" w:hAnsi="SimSun" w:eastAsia="SimSun" w:cs="SimSun"/>
          <w:sz w:val="21"/>
          <w:szCs w:val="21"/>
        </w:rPr>
        <w:t xml:space="preserve">  </w:t>
      </w:r>
      <w:r>
        <w:rPr>
          <w:rFonts w:ascii="SimSun" w:hAnsi="SimSun" w:eastAsia="SimSun" w:cs="SimSun"/>
          <w:sz w:val="21"/>
          <w:szCs w:val="21"/>
          <w:spacing w:val="-11"/>
        </w:rPr>
        <w:t>费提供的数据，指不涉密、应当免费向公众开放的数据，政府公开发</w:t>
      </w:r>
      <w:r>
        <w:rPr>
          <w:rFonts w:ascii="SimSun" w:hAnsi="SimSun" w:eastAsia="SimSun" w:cs="SimSun"/>
          <w:sz w:val="21"/>
          <w:szCs w:val="21"/>
          <w:spacing w:val="3"/>
        </w:rPr>
        <w:t xml:space="preserve">  </w:t>
      </w:r>
      <w:r>
        <w:rPr>
          <w:rFonts w:ascii="SimSun" w:hAnsi="SimSun" w:eastAsia="SimSun" w:cs="SimSun"/>
          <w:sz w:val="21"/>
          <w:szCs w:val="21"/>
          <w:spacing w:val="-7"/>
        </w:rPr>
        <w:t>布、用税收支撑相关数据；(2)经过公共机构开发后应当共享的公共</w:t>
      </w:r>
      <w:r>
        <w:rPr>
          <w:rFonts w:ascii="SimSun" w:hAnsi="SimSun" w:eastAsia="SimSun" w:cs="SimSun"/>
          <w:sz w:val="21"/>
          <w:szCs w:val="21"/>
        </w:rPr>
        <w:t xml:space="preserve">  </w:t>
      </w:r>
      <w:r>
        <w:rPr>
          <w:rFonts w:ascii="SimSun" w:hAnsi="SimSun" w:eastAsia="SimSun" w:cs="SimSun"/>
          <w:sz w:val="21"/>
          <w:szCs w:val="21"/>
          <w:spacing w:val="-7"/>
        </w:rPr>
        <w:t>数据，主要指由政府等有关部门协调后以付费的模式共享的数据(如</w:t>
      </w:r>
      <w:r>
        <w:rPr>
          <w:rFonts w:ascii="SimSun" w:hAnsi="SimSun" w:eastAsia="SimSun" w:cs="SimSun"/>
          <w:sz w:val="21"/>
          <w:szCs w:val="21"/>
        </w:rPr>
        <w:t xml:space="preserve">  </w:t>
      </w:r>
      <w:r>
        <w:rPr>
          <w:rFonts w:ascii="SimSun" w:hAnsi="SimSun" w:eastAsia="SimSun" w:cs="SimSun"/>
          <w:sz w:val="21"/>
          <w:szCs w:val="21"/>
          <w:spacing w:val="3"/>
        </w:rPr>
        <w:t>税务、水电等数据);(3)所有权归属清晰、有一定排他</w:t>
      </w:r>
      <w:r>
        <w:rPr>
          <w:rFonts w:ascii="SimSun" w:hAnsi="SimSun" w:eastAsia="SimSun" w:cs="SimSun"/>
          <w:sz w:val="21"/>
          <w:szCs w:val="21"/>
          <w:spacing w:val="2"/>
        </w:rPr>
        <w:t>性的数据，</w:t>
      </w:r>
      <w:r>
        <w:rPr>
          <w:rFonts w:ascii="SimSun" w:hAnsi="SimSun" w:eastAsia="SimSun" w:cs="SimSun"/>
          <w:sz w:val="21"/>
          <w:szCs w:val="21"/>
        </w:rPr>
        <w:t xml:space="preserve"> </w:t>
      </w:r>
      <w:r>
        <w:rPr>
          <w:rFonts w:ascii="SimSun" w:hAnsi="SimSun" w:eastAsia="SimSun" w:cs="SimSun"/>
          <w:sz w:val="21"/>
          <w:szCs w:val="21"/>
          <w:spacing w:val="-10"/>
        </w:rPr>
        <w:t>这类数据可以通过协议确立一定的排他性，</w:t>
      </w:r>
      <w:r>
        <w:rPr>
          <w:rFonts w:ascii="SimSun" w:hAnsi="SimSun" w:eastAsia="SimSun" w:cs="SimSun"/>
          <w:sz w:val="21"/>
          <w:szCs w:val="21"/>
          <w:spacing w:val="-11"/>
        </w:rPr>
        <w:t>由交易双方用俱乐部产品</w:t>
      </w:r>
      <w:r>
        <w:rPr>
          <w:rFonts w:ascii="SimSun" w:hAnsi="SimSun" w:eastAsia="SimSun" w:cs="SimSun"/>
          <w:sz w:val="21"/>
          <w:szCs w:val="21"/>
        </w:rPr>
        <w:t xml:space="preserve"> </w:t>
      </w:r>
      <w:r>
        <w:rPr>
          <w:rFonts w:ascii="SimSun" w:hAnsi="SimSun" w:eastAsia="SimSun" w:cs="SimSun"/>
          <w:sz w:val="21"/>
          <w:szCs w:val="21"/>
          <w:spacing w:val="-11"/>
        </w:rPr>
        <w:t>的付费模式即可达成交易，在这类数据使用中产生的争端可</w:t>
      </w:r>
      <w:r>
        <w:rPr>
          <w:rFonts w:ascii="SimSun" w:hAnsi="SimSun" w:eastAsia="SimSun" w:cs="SimSun"/>
          <w:sz w:val="21"/>
          <w:szCs w:val="21"/>
          <w:spacing w:val="-12"/>
        </w:rPr>
        <w:t>以在合同</w:t>
      </w:r>
      <w:r>
        <w:rPr>
          <w:rFonts w:ascii="SimSun" w:hAnsi="SimSun" w:eastAsia="SimSun" w:cs="SimSun"/>
          <w:sz w:val="21"/>
          <w:szCs w:val="21"/>
        </w:rPr>
        <w:t xml:space="preserve">  </w:t>
      </w:r>
      <w:r>
        <w:rPr>
          <w:rFonts w:ascii="SimSun" w:hAnsi="SimSun" w:eastAsia="SimSun" w:cs="SimSun"/>
          <w:sz w:val="21"/>
          <w:szCs w:val="21"/>
          <w:spacing w:val="-7"/>
        </w:rPr>
        <w:t>法等法律框架下解决；(4)其他不应发放牌照的数据，如涉及国家主</w:t>
      </w:r>
      <w:r>
        <w:rPr>
          <w:rFonts w:ascii="SimSun" w:hAnsi="SimSun" w:eastAsia="SimSun" w:cs="SimSun"/>
          <w:sz w:val="21"/>
          <w:szCs w:val="21"/>
          <w:spacing w:val="1"/>
        </w:rPr>
        <w:t xml:space="preserve">  </w:t>
      </w:r>
      <w:r>
        <w:rPr>
          <w:rFonts w:ascii="SimSun" w:hAnsi="SimSun" w:eastAsia="SimSun" w:cs="SimSun"/>
          <w:sz w:val="21"/>
          <w:szCs w:val="21"/>
          <w:spacing w:val="-16"/>
        </w:rPr>
        <w:t>权的数据， 一些未成年人数据等。</w:t>
      </w:r>
    </w:p>
    <w:p>
      <w:pPr>
        <w:ind w:right="75" w:firstLine="430"/>
        <w:spacing w:before="181" w:line="292" w:lineRule="auto"/>
        <w:jc w:val="both"/>
        <w:rPr>
          <w:rFonts w:ascii="SimSun" w:hAnsi="SimSun" w:eastAsia="SimSun" w:cs="SimSun"/>
          <w:sz w:val="21"/>
          <w:szCs w:val="21"/>
        </w:rPr>
      </w:pPr>
      <w:r>
        <w:rPr>
          <w:rFonts w:ascii="SimSun" w:hAnsi="SimSun" w:eastAsia="SimSun" w:cs="SimSun"/>
          <w:sz w:val="21"/>
          <w:szCs w:val="21"/>
          <w:spacing w:val="-11"/>
        </w:rPr>
        <w:t>二、数据牌照的类型分级可以按照基础数据的采集、分</w:t>
      </w:r>
      <w:r>
        <w:rPr>
          <w:rFonts w:ascii="SimSun" w:hAnsi="SimSun" w:eastAsia="SimSun" w:cs="SimSun"/>
          <w:sz w:val="21"/>
          <w:szCs w:val="21"/>
          <w:spacing w:val="-12"/>
        </w:rPr>
        <w:t>析，衍生</w:t>
      </w:r>
      <w:r>
        <w:rPr>
          <w:rFonts w:ascii="SimSun" w:hAnsi="SimSun" w:eastAsia="SimSun" w:cs="SimSun"/>
          <w:sz w:val="21"/>
          <w:szCs w:val="21"/>
        </w:rPr>
        <w:t xml:space="preserve"> </w:t>
      </w:r>
      <w:r>
        <w:rPr>
          <w:rFonts w:ascii="SimSun" w:hAnsi="SimSun" w:eastAsia="SimSun" w:cs="SimSun"/>
          <w:sz w:val="21"/>
          <w:szCs w:val="21"/>
          <w:spacing w:val="-11"/>
        </w:rPr>
        <w:t>数据的分析和研发等来分类。其中能够采集使用最原始数据的数据牌</w:t>
      </w:r>
      <w:r>
        <w:rPr>
          <w:rFonts w:ascii="SimSun" w:hAnsi="SimSun" w:eastAsia="SimSun" w:cs="SimSun"/>
          <w:sz w:val="21"/>
          <w:szCs w:val="21"/>
          <w:spacing w:val="7"/>
        </w:rPr>
        <w:t xml:space="preserve"> </w:t>
      </w:r>
      <w:r>
        <w:rPr>
          <w:rFonts w:ascii="SimSun" w:hAnsi="SimSun" w:eastAsia="SimSun" w:cs="SimSun"/>
          <w:sz w:val="21"/>
          <w:szCs w:val="21"/>
          <w:spacing w:val="-11"/>
        </w:rPr>
        <w:t>照等级较高，仅仅使用做过匿名处理的衍生数据等的分析和研发的等</w:t>
      </w:r>
      <w:r>
        <w:rPr>
          <w:rFonts w:ascii="SimSun" w:hAnsi="SimSun" w:eastAsia="SimSun" w:cs="SimSun"/>
          <w:sz w:val="21"/>
          <w:szCs w:val="21"/>
          <w:spacing w:val="8"/>
        </w:rPr>
        <w:t xml:space="preserve"> </w:t>
      </w:r>
      <w:r>
        <w:rPr>
          <w:rFonts w:ascii="SimSun" w:hAnsi="SimSun" w:eastAsia="SimSun" w:cs="SimSun"/>
          <w:sz w:val="21"/>
          <w:szCs w:val="21"/>
          <w:spacing w:val="-10"/>
        </w:rPr>
        <w:t>级较低；也可以安排一些数字企业获得全牌照</w:t>
      </w:r>
      <w:r>
        <w:rPr>
          <w:rFonts w:ascii="SimSun" w:hAnsi="SimSun" w:eastAsia="SimSun" w:cs="SimSun"/>
          <w:sz w:val="21"/>
          <w:szCs w:val="21"/>
          <w:spacing w:val="-11"/>
        </w:rPr>
        <w:t>使用的权限。</w:t>
      </w:r>
    </w:p>
    <w:p>
      <w:pPr>
        <w:ind w:left="430"/>
        <w:spacing w:before="110" w:line="219" w:lineRule="auto"/>
        <w:rPr>
          <w:rFonts w:ascii="SimSun" w:hAnsi="SimSun" w:eastAsia="SimSun" w:cs="SimSun"/>
          <w:sz w:val="21"/>
          <w:szCs w:val="21"/>
        </w:rPr>
      </w:pPr>
      <w:r>
        <w:rPr>
          <w:rFonts w:ascii="SimSun" w:hAnsi="SimSun" w:eastAsia="SimSun" w:cs="SimSun"/>
          <w:sz w:val="21"/>
          <w:szCs w:val="21"/>
          <w:spacing w:val="-10"/>
        </w:rPr>
        <w:t>三、明确数据牌照的发放、限制使用与吊销流程。用户将数据委</w:t>
      </w:r>
    </w:p>
    <w:p>
      <w:pPr>
        <w:spacing w:line="219" w:lineRule="auto"/>
        <w:sectPr>
          <w:headerReference w:type="default" r:id="rId381"/>
          <w:pgSz w:w="7330" w:h="12480"/>
          <w:pgMar w:top="489" w:right="475" w:bottom="400" w:left="779" w:header="322"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68" w:line="302" w:lineRule="auto"/>
        <w:jc w:val="both"/>
        <w:rPr>
          <w:rFonts w:ascii="SimSun" w:hAnsi="SimSun" w:eastAsia="SimSun" w:cs="SimSun"/>
          <w:sz w:val="21"/>
          <w:szCs w:val="21"/>
        </w:rPr>
      </w:pPr>
      <w:r>
        <w:rPr>
          <w:rFonts w:ascii="SimSun" w:hAnsi="SimSun" w:eastAsia="SimSun" w:cs="SimSun"/>
          <w:sz w:val="21"/>
          <w:szCs w:val="21"/>
          <w:spacing w:val="-10"/>
        </w:rPr>
        <w:t>托给专门受理、判断和颁发数据牌照的公共机</w:t>
      </w:r>
      <w:r>
        <w:rPr>
          <w:rFonts w:ascii="SimSun" w:hAnsi="SimSun" w:eastAsia="SimSun" w:cs="SimSun"/>
          <w:sz w:val="21"/>
          <w:szCs w:val="21"/>
          <w:spacing w:val="-11"/>
        </w:rPr>
        <w:t>构，公共机构作为受托 </w:t>
      </w:r>
      <w:r>
        <w:rPr>
          <w:rFonts w:ascii="SimSun" w:hAnsi="SimSun" w:eastAsia="SimSun" w:cs="SimSun"/>
          <w:sz w:val="21"/>
          <w:szCs w:val="21"/>
          <w:spacing w:val="-10"/>
        </w:rPr>
        <w:t>机构，要对申请的数据企业进行个案审查以决</w:t>
      </w:r>
      <w:r>
        <w:rPr>
          <w:rFonts w:ascii="SimSun" w:hAnsi="SimSun" w:eastAsia="SimSun" w:cs="SimSun"/>
          <w:sz w:val="21"/>
          <w:szCs w:val="21"/>
          <w:spacing w:val="-11"/>
        </w:rPr>
        <w:t>定是否给数据企业发放 </w:t>
      </w:r>
      <w:r>
        <w:rPr>
          <w:rFonts w:ascii="SimSun" w:hAnsi="SimSun" w:eastAsia="SimSun" w:cs="SimSun"/>
          <w:sz w:val="21"/>
          <w:szCs w:val="21"/>
          <w:spacing w:val="-11"/>
        </w:rPr>
        <w:t>分级数据牌照，并监督企业在约定的范围内共享和使用数据。</w:t>
      </w:r>
      <w:r>
        <w:rPr>
          <w:rFonts w:ascii="SimSun" w:hAnsi="SimSun" w:eastAsia="SimSun" w:cs="SimSun"/>
          <w:sz w:val="21"/>
          <w:szCs w:val="21"/>
          <w:spacing w:val="-12"/>
        </w:rPr>
        <w:t>通过执</w:t>
      </w:r>
      <w:r>
        <w:rPr>
          <w:rFonts w:ascii="SimSun" w:hAnsi="SimSun" w:eastAsia="SimSun" w:cs="SimSun"/>
          <w:sz w:val="21"/>
          <w:szCs w:val="21"/>
        </w:rPr>
        <w:t xml:space="preserve">  </w:t>
      </w:r>
      <w:r>
        <w:rPr>
          <w:rFonts w:ascii="SimSun" w:hAnsi="SimSun" w:eastAsia="SimSun" w:cs="SimSun"/>
          <w:sz w:val="21"/>
          <w:szCs w:val="21"/>
          <w:spacing w:val="-11"/>
        </w:rPr>
        <w:t>行分级牌照制度，让获得牌照的企业在限定范围内使用数据以及根据</w:t>
      </w:r>
      <w:r>
        <w:rPr>
          <w:rFonts w:ascii="SimSun" w:hAnsi="SimSun" w:eastAsia="SimSun" w:cs="SimSun"/>
          <w:sz w:val="21"/>
          <w:szCs w:val="21"/>
        </w:rPr>
        <w:t xml:space="preserve">  </w:t>
      </w:r>
      <w:r>
        <w:rPr>
          <w:rFonts w:ascii="SimSun" w:hAnsi="SimSun" w:eastAsia="SimSun" w:cs="SimSun"/>
          <w:sz w:val="21"/>
          <w:szCs w:val="21"/>
          <w:spacing w:val="-11"/>
        </w:rPr>
        <w:t>该数据产生的数据牌照框架内允许的衍生数据。如果相关用户</w:t>
      </w:r>
      <w:r>
        <w:rPr>
          <w:rFonts w:ascii="SimSun" w:hAnsi="SimSun" w:eastAsia="SimSun" w:cs="SimSun"/>
          <w:sz w:val="21"/>
          <w:szCs w:val="21"/>
          <w:spacing w:val="-12"/>
        </w:rPr>
        <w:t>发现企</w:t>
      </w:r>
      <w:r>
        <w:rPr>
          <w:rFonts w:ascii="SimSun" w:hAnsi="SimSun" w:eastAsia="SimSun" w:cs="SimSun"/>
          <w:sz w:val="21"/>
          <w:szCs w:val="21"/>
        </w:rPr>
        <w:t xml:space="preserve">  </w:t>
      </w:r>
      <w:r>
        <w:rPr>
          <w:rFonts w:ascii="SimSun" w:hAnsi="SimSun" w:eastAsia="SimSun" w:cs="SimSun"/>
          <w:sz w:val="21"/>
          <w:szCs w:val="21"/>
          <w:spacing w:val="-11"/>
        </w:rPr>
        <w:t>业的数据使用超出许可证支持的设计范围，可以提请确权中心介入调</w:t>
      </w:r>
      <w:r>
        <w:rPr>
          <w:rFonts w:ascii="SimSun" w:hAnsi="SimSun" w:eastAsia="SimSun" w:cs="SimSun"/>
          <w:sz w:val="21"/>
          <w:szCs w:val="21"/>
          <w:spacing w:val="2"/>
        </w:rPr>
        <w:t xml:space="preserve">  </w:t>
      </w:r>
      <w:r>
        <w:rPr>
          <w:rFonts w:ascii="SimSun" w:hAnsi="SimSun" w:eastAsia="SimSun" w:cs="SimSun"/>
          <w:sz w:val="21"/>
          <w:szCs w:val="21"/>
          <w:spacing w:val="-14"/>
        </w:rPr>
        <w:t>查。如果数</w:t>
      </w:r>
      <w:r>
        <w:rPr>
          <w:rFonts w:ascii="SimSun" w:hAnsi="SimSun" w:eastAsia="SimSun" w:cs="SimSun"/>
          <w:sz w:val="21"/>
          <w:szCs w:val="21"/>
          <w:u w:val="single" w:color="auto"/>
          <w:spacing w:val="-14"/>
        </w:rPr>
        <w:t>据企业违反</w:t>
      </w:r>
      <w:r>
        <w:rPr>
          <w:rFonts w:ascii="SimSun" w:hAnsi="SimSun" w:eastAsia="SimSun" w:cs="SimSun"/>
          <w:sz w:val="21"/>
          <w:szCs w:val="21"/>
          <w:spacing w:val="-14"/>
        </w:rPr>
        <w:t>约定，公共机构可以</w:t>
      </w:r>
      <w:r>
        <w:rPr>
          <w:rFonts w:ascii="SimSun" w:hAnsi="SimSun" w:eastAsia="SimSun" w:cs="SimSun"/>
          <w:sz w:val="21"/>
          <w:szCs w:val="21"/>
          <w:spacing w:val="-15"/>
        </w:rPr>
        <w:t>对牌照降级甚至吊销牌照。</w:t>
      </w:r>
    </w:p>
    <w:p>
      <w:pPr>
        <w:ind w:right="77" w:firstLine="410"/>
        <w:spacing w:before="109" w:line="319" w:lineRule="auto"/>
        <w:jc w:val="both"/>
        <w:rPr>
          <w:rFonts w:ascii="SimSun" w:hAnsi="SimSun" w:eastAsia="SimSun" w:cs="SimSun"/>
          <w:sz w:val="21"/>
          <w:szCs w:val="21"/>
        </w:rPr>
      </w:pPr>
      <w:r>
        <w:rPr>
          <w:rFonts w:ascii="SimSun" w:hAnsi="SimSun" w:eastAsia="SimSun" w:cs="SimSun"/>
          <w:sz w:val="21"/>
          <w:szCs w:val="21"/>
          <w:spacing w:val="-11"/>
        </w:rPr>
        <w:t>四、发放数据牌照的制度安排需要明确数据主体与数据企业的权</w:t>
      </w:r>
      <w:r>
        <w:rPr>
          <w:rFonts w:ascii="SimSun" w:hAnsi="SimSun" w:eastAsia="SimSun" w:cs="SimSun"/>
          <w:sz w:val="21"/>
          <w:szCs w:val="21"/>
          <w:spacing w:val="4"/>
        </w:rPr>
        <w:t xml:space="preserve"> </w:t>
      </w:r>
      <w:r>
        <w:rPr>
          <w:rFonts w:ascii="SimSun" w:hAnsi="SimSun" w:eastAsia="SimSun" w:cs="SimSun"/>
          <w:sz w:val="21"/>
          <w:szCs w:val="21"/>
          <w:spacing w:val="-11"/>
        </w:rPr>
        <w:t>益保护和争端处理机制，也就是需要监管部门明确数字企业的哪些行</w:t>
      </w:r>
      <w:r>
        <w:rPr>
          <w:rFonts w:ascii="SimSun" w:hAnsi="SimSun" w:eastAsia="SimSun" w:cs="SimSun"/>
          <w:sz w:val="21"/>
          <w:szCs w:val="21"/>
        </w:rPr>
        <w:t xml:space="preserve"> </w:t>
      </w:r>
      <w:r>
        <w:rPr>
          <w:rFonts w:ascii="SimSun" w:hAnsi="SimSun" w:eastAsia="SimSun" w:cs="SimSun"/>
          <w:sz w:val="21"/>
          <w:szCs w:val="21"/>
          <w:spacing w:val="-11"/>
        </w:rPr>
        <w:t>为属于侵权行为，并公布明确的数据争端处理流程。与此同时，还要</w:t>
      </w:r>
      <w:r>
        <w:rPr>
          <w:rFonts w:ascii="SimSun" w:hAnsi="SimSun" w:eastAsia="SimSun" w:cs="SimSun"/>
          <w:sz w:val="21"/>
          <w:szCs w:val="21"/>
        </w:rPr>
        <w:t xml:space="preserve"> </w:t>
      </w:r>
      <w:r>
        <w:rPr>
          <w:rFonts w:ascii="SimSun" w:hAnsi="SimSun" w:eastAsia="SimSun" w:cs="SimSun"/>
          <w:sz w:val="21"/>
          <w:szCs w:val="21"/>
          <w:spacing w:val="-11"/>
        </w:rPr>
        <w:t>发挥行业协会和第三方独立机构的作用，为提高公众数据素养、助力</w:t>
      </w:r>
    </w:p>
    <w:p>
      <w:pPr>
        <w:spacing w:line="218" w:lineRule="auto"/>
        <w:rPr>
          <w:rFonts w:ascii="SimSun" w:hAnsi="SimSun" w:eastAsia="SimSun" w:cs="SimSun"/>
          <w:sz w:val="21"/>
          <w:szCs w:val="21"/>
        </w:rPr>
      </w:pPr>
      <w:r>
        <w:rPr>
          <w:rFonts w:ascii="SimSun" w:hAnsi="SimSun" w:eastAsia="SimSun" w:cs="SimSun"/>
          <w:sz w:val="21"/>
          <w:szCs w:val="21"/>
          <w:spacing w:val="-13"/>
        </w:rPr>
        <w:t>纠纷解决等提供相关培训与教育。</w:t>
      </w:r>
    </w:p>
    <w:p>
      <w:pPr>
        <w:ind w:right="81" w:firstLine="410"/>
        <w:spacing w:before="97" w:line="306" w:lineRule="auto"/>
        <w:jc w:val="both"/>
        <w:rPr>
          <w:rFonts w:ascii="SimSun" w:hAnsi="SimSun" w:eastAsia="SimSun" w:cs="SimSun"/>
          <w:sz w:val="21"/>
          <w:szCs w:val="21"/>
        </w:rPr>
      </w:pPr>
      <w:r>
        <w:rPr>
          <w:rFonts w:ascii="SimSun" w:hAnsi="SimSun" w:eastAsia="SimSun" w:cs="SimSun"/>
          <w:sz w:val="21"/>
          <w:szCs w:val="21"/>
          <w:spacing w:val="-11"/>
        </w:rPr>
        <w:t>第三，数据相关交易的重心更多在培育数据产品相关服务</w:t>
      </w:r>
      <w:r>
        <w:rPr>
          <w:rFonts w:ascii="SimSun" w:hAnsi="SimSun" w:eastAsia="SimSun" w:cs="SimSun"/>
          <w:sz w:val="21"/>
          <w:szCs w:val="21"/>
          <w:spacing w:val="-12"/>
        </w:rPr>
        <w:t>的交易</w:t>
      </w:r>
      <w:r>
        <w:rPr>
          <w:rFonts w:ascii="SimSun" w:hAnsi="SimSun" w:eastAsia="SimSun" w:cs="SimSun"/>
          <w:sz w:val="21"/>
          <w:szCs w:val="21"/>
        </w:rPr>
        <w:t xml:space="preserve"> </w:t>
      </w:r>
      <w:r>
        <w:rPr>
          <w:rFonts w:ascii="SimSun" w:hAnsi="SimSun" w:eastAsia="SimSun" w:cs="SimSun"/>
          <w:sz w:val="21"/>
          <w:szCs w:val="21"/>
          <w:spacing w:val="-11"/>
        </w:rPr>
        <w:t>市场，而不是数据自身的交易市场。这是因为如果集中关注数据自身</w:t>
      </w:r>
      <w:r>
        <w:rPr>
          <w:rFonts w:ascii="SimSun" w:hAnsi="SimSun" w:eastAsia="SimSun" w:cs="SimSun"/>
          <w:sz w:val="21"/>
          <w:szCs w:val="21"/>
          <w:spacing w:val="3"/>
        </w:rPr>
        <w:t xml:space="preserve"> </w:t>
      </w:r>
      <w:r>
        <w:rPr>
          <w:rFonts w:ascii="SimSun" w:hAnsi="SimSun" w:eastAsia="SimSun" w:cs="SimSun"/>
          <w:sz w:val="21"/>
          <w:szCs w:val="21"/>
          <w:spacing w:val="-16"/>
        </w:rPr>
        <w:t>的交易，则由于以下两个主要原因，数据交易不易充分展开：</w:t>
      </w:r>
      <w:r>
        <w:rPr>
          <w:rFonts w:ascii="SimSun" w:hAnsi="SimSun" w:eastAsia="SimSun" w:cs="SimSun"/>
          <w:sz w:val="21"/>
          <w:szCs w:val="21"/>
          <w:spacing w:val="57"/>
        </w:rPr>
        <w:t xml:space="preserve"> </w:t>
      </w:r>
      <w:r>
        <w:rPr>
          <w:rFonts w:ascii="SimSun" w:hAnsi="SimSun" w:eastAsia="SimSun" w:cs="SimSun"/>
          <w:sz w:val="21"/>
          <w:szCs w:val="21"/>
          <w:spacing w:val="-16"/>
        </w:rPr>
        <w:t>一是由</w:t>
      </w:r>
      <w:r>
        <w:rPr>
          <w:rFonts w:ascii="SimSun" w:hAnsi="SimSun" w:eastAsia="SimSun" w:cs="SimSun"/>
          <w:sz w:val="21"/>
          <w:szCs w:val="21"/>
        </w:rPr>
        <w:t xml:space="preserve"> </w:t>
      </w:r>
      <w:r>
        <w:rPr>
          <w:rFonts w:ascii="SimSun" w:hAnsi="SimSun" w:eastAsia="SimSun" w:cs="SimSun"/>
          <w:sz w:val="21"/>
          <w:szCs w:val="21"/>
          <w:spacing w:val="-11"/>
        </w:rPr>
        <w:t>于数据边际成本几乎为零，数据的交易价格很容易被压低；二是数据</w:t>
      </w:r>
      <w:r>
        <w:rPr>
          <w:rFonts w:ascii="SimSun" w:hAnsi="SimSun" w:eastAsia="SimSun" w:cs="SimSun"/>
          <w:sz w:val="21"/>
          <w:szCs w:val="21"/>
        </w:rPr>
        <w:t xml:space="preserve"> </w:t>
      </w:r>
      <w:r>
        <w:rPr>
          <w:rFonts w:ascii="SimSun" w:hAnsi="SimSun" w:eastAsia="SimSun" w:cs="SimSun"/>
          <w:sz w:val="21"/>
          <w:szCs w:val="21"/>
          <w:spacing w:val="-11"/>
        </w:rPr>
        <w:t>泄露也可能导致免费数据泛滥，拥有大量数据的平台企业没有动力去</w:t>
      </w:r>
      <w:r>
        <w:rPr>
          <w:rFonts w:ascii="SimSun" w:hAnsi="SimSun" w:eastAsia="SimSun" w:cs="SimSun"/>
          <w:sz w:val="21"/>
          <w:szCs w:val="21"/>
          <w:spacing w:val="1"/>
        </w:rPr>
        <w:t xml:space="preserve"> </w:t>
      </w:r>
      <w:r>
        <w:rPr>
          <w:rFonts w:ascii="SimSun" w:hAnsi="SimSun" w:eastAsia="SimSun" w:cs="SimSun"/>
          <w:sz w:val="21"/>
          <w:szCs w:val="21"/>
          <w:spacing w:val="-11"/>
        </w:rPr>
        <w:t>提供大量数据。国内的大数据交易所难以开展数据交易的实践</w:t>
      </w:r>
      <w:r>
        <w:rPr>
          <w:rFonts w:ascii="SimSun" w:hAnsi="SimSun" w:eastAsia="SimSun" w:cs="SimSun"/>
          <w:sz w:val="21"/>
          <w:szCs w:val="21"/>
          <w:spacing w:val="-12"/>
        </w:rPr>
        <w:t>，也证</w:t>
      </w:r>
      <w:r>
        <w:rPr>
          <w:rFonts w:ascii="SimSun" w:hAnsi="SimSun" w:eastAsia="SimSun" w:cs="SimSun"/>
          <w:sz w:val="21"/>
          <w:szCs w:val="21"/>
        </w:rPr>
        <w:t xml:space="preserve"> </w:t>
      </w:r>
      <w:r>
        <w:rPr>
          <w:rFonts w:ascii="SimSun" w:hAnsi="SimSun" w:eastAsia="SimSun" w:cs="SimSun"/>
          <w:sz w:val="21"/>
          <w:szCs w:val="21"/>
          <w:spacing w:val="-11"/>
        </w:rPr>
        <w:t>实了这一点。在数据治理发展中，将发展重心放在与数据产品对应的</w:t>
      </w:r>
      <w:r>
        <w:rPr>
          <w:rFonts w:ascii="SimSun" w:hAnsi="SimSun" w:eastAsia="SimSun" w:cs="SimSun"/>
          <w:sz w:val="21"/>
          <w:szCs w:val="21"/>
          <w:spacing w:val="4"/>
        </w:rPr>
        <w:t xml:space="preserve"> </w:t>
      </w:r>
      <w:r>
        <w:rPr>
          <w:rFonts w:ascii="SimSun" w:hAnsi="SimSun" w:eastAsia="SimSun" w:cs="SimSun"/>
          <w:sz w:val="21"/>
          <w:szCs w:val="21"/>
          <w:spacing w:val="-11"/>
        </w:rPr>
        <w:t>服务方面，则因为数据服务往往是个性化定制，可以在很</w:t>
      </w:r>
      <w:r>
        <w:rPr>
          <w:rFonts w:ascii="SimSun" w:hAnsi="SimSun" w:eastAsia="SimSun" w:cs="SimSun"/>
          <w:sz w:val="21"/>
          <w:szCs w:val="21"/>
          <w:spacing w:val="-12"/>
        </w:rPr>
        <w:t>大程度上解</w:t>
      </w:r>
      <w:r>
        <w:rPr>
          <w:rFonts w:ascii="SimSun" w:hAnsi="SimSun" w:eastAsia="SimSun" w:cs="SimSun"/>
          <w:sz w:val="21"/>
          <w:szCs w:val="21"/>
        </w:rPr>
        <w:t xml:space="preserve"> </w:t>
      </w:r>
      <w:r>
        <w:rPr>
          <w:rFonts w:ascii="SimSun" w:hAnsi="SimSun" w:eastAsia="SimSun" w:cs="SimSun"/>
          <w:sz w:val="21"/>
          <w:szCs w:val="21"/>
          <w:spacing w:val="-11"/>
        </w:rPr>
        <w:t>决非竞争性问题，从而促进有效的数据要素市场的培训。</w:t>
      </w:r>
    </w:p>
    <w:p>
      <w:pPr>
        <w:pStyle w:val="BodyText"/>
        <w:spacing w:line="352" w:lineRule="auto"/>
        <w:rPr/>
      </w:pPr>
      <w:r/>
    </w:p>
    <w:p>
      <w:pPr>
        <w:ind w:left="2384"/>
        <w:spacing w:before="108" w:line="727" w:lineRule="exact"/>
        <w:rPr>
          <w:rFonts w:ascii="SimSun" w:hAnsi="SimSun" w:eastAsia="SimSun" w:cs="SimSun"/>
          <w:sz w:val="33"/>
          <w:szCs w:val="33"/>
        </w:rPr>
      </w:pPr>
      <w:r>
        <w:rPr>
          <w:rFonts w:ascii="SimSun" w:hAnsi="SimSun" w:eastAsia="SimSun" w:cs="SimSun"/>
          <w:sz w:val="33"/>
          <w:szCs w:val="33"/>
          <w:b/>
          <w:bCs/>
          <w:spacing w:val="-15"/>
          <w:position w:val="30"/>
        </w:rPr>
        <w:t>算法治理</w:t>
      </w:r>
    </w:p>
    <w:p>
      <w:pPr>
        <w:ind w:left="3"/>
        <w:spacing w:before="1" w:line="221" w:lineRule="auto"/>
        <w:rPr>
          <w:rFonts w:ascii="SimHei" w:hAnsi="SimHei" w:eastAsia="SimHei" w:cs="SimHei"/>
          <w:sz w:val="25"/>
          <w:szCs w:val="25"/>
        </w:rPr>
      </w:pPr>
      <w:r>
        <w:rPr>
          <w:rFonts w:ascii="SimHei" w:hAnsi="SimHei" w:eastAsia="SimHei" w:cs="SimHei"/>
          <w:sz w:val="25"/>
          <w:szCs w:val="25"/>
          <w:b/>
          <w:bCs/>
          <w:spacing w:val="-14"/>
        </w:rPr>
        <w:t>平台经济中的算法重要性</w:t>
      </w:r>
    </w:p>
    <w:p>
      <w:pPr>
        <w:pStyle w:val="BodyText"/>
        <w:spacing w:line="361"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11"/>
        </w:rPr>
        <w:t>数字时代平台经济中不容忽视的趋势是，算法正在成为社会治理</w:t>
      </w:r>
    </w:p>
    <w:p>
      <w:pPr>
        <w:spacing w:line="219" w:lineRule="auto"/>
        <w:sectPr>
          <w:headerReference w:type="default" r:id="rId382"/>
          <w:pgSz w:w="7330" w:h="12480"/>
          <w:pgMar w:top="865" w:right="904" w:bottom="400" w:left="359" w:header="691"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20" w:right="77"/>
        <w:spacing w:before="68" w:line="300" w:lineRule="auto"/>
        <w:jc w:val="both"/>
        <w:rPr>
          <w:rFonts w:ascii="SimSun" w:hAnsi="SimSun" w:eastAsia="SimSun" w:cs="SimSun"/>
          <w:sz w:val="21"/>
          <w:szCs w:val="21"/>
        </w:rPr>
      </w:pPr>
      <w:r>
        <w:rPr>
          <w:rFonts w:ascii="SimSun" w:hAnsi="SimSun" w:eastAsia="SimSun" w:cs="SimSun"/>
          <w:sz w:val="21"/>
          <w:szCs w:val="21"/>
          <w:spacing w:val="-11"/>
        </w:rPr>
        <w:t>的核心，关于人的重要决定越来越多由算法做出。根据《不列颠百科</w:t>
      </w:r>
      <w:r>
        <w:rPr>
          <w:rFonts w:ascii="SimSun" w:hAnsi="SimSun" w:eastAsia="SimSun" w:cs="SimSun"/>
          <w:sz w:val="21"/>
          <w:szCs w:val="21"/>
          <w:spacing w:val="5"/>
        </w:rPr>
        <w:t xml:space="preserve"> </w:t>
      </w:r>
      <w:r>
        <w:rPr>
          <w:rFonts w:ascii="SimSun" w:hAnsi="SimSun" w:eastAsia="SimSun" w:cs="SimSun"/>
          <w:sz w:val="21"/>
          <w:szCs w:val="21"/>
          <w:spacing w:val="-11"/>
        </w:rPr>
        <w:t>全书》的定义，算法是“在有限的步骤中生成问题答案或者解决方案</w:t>
      </w:r>
      <w:r>
        <w:rPr>
          <w:rFonts w:ascii="SimSun" w:hAnsi="SimSun" w:eastAsia="SimSun" w:cs="SimSun"/>
          <w:sz w:val="21"/>
          <w:szCs w:val="21"/>
          <w:spacing w:val="9"/>
        </w:rPr>
        <w:t xml:space="preserve"> </w:t>
      </w:r>
      <w:r>
        <w:rPr>
          <w:rFonts w:ascii="SimSun" w:hAnsi="SimSun" w:eastAsia="SimSun" w:cs="SimSun"/>
          <w:sz w:val="21"/>
          <w:szCs w:val="21"/>
          <w:spacing w:val="-11"/>
        </w:rPr>
        <w:t>的系统程序”。数字时代，随着大数据、云计算、人工智能和区块链</w:t>
      </w:r>
      <w:r>
        <w:rPr>
          <w:rFonts w:ascii="SimSun" w:hAnsi="SimSun" w:eastAsia="SimSun" w:cs="SimSun"/>
          <w:sz w:val="21"/>
          <w:szCs w:val="21"/>
          <w:spacing w:val="8"/>
        </w:rPr>
        <w:t xml:space="preserve"> </w:t>
      </w:r>
      <w:r>
        <w:rPr>
          <w:rFonts w:ascii="SimSun" w:hAnsi="SimSun" w:eastAsia="SimSun" w:cs="SimSun"/>
          <w:sz w:val="21"/>
          <w:szCs w:val="21"/>
          <w:spacing w:val="-11"/>
        </w:rPr>
        <w:t>等数字基础设施的发展，算法的运用推动平台经济发挥了如下四点优</w:t>
      </w:r>
      <w:r>
        <w:rPr>
          <w:rFonts w:ascii="SimSun" w:hAnsi="SimSun" w:eastAsia="SimSun" w:cs="SimSun"/>
          <w:sz w:val="21"/>
          <w:szCs w:val="21"/>
          <w:spacing w:val="7"/>
        </w:rPr>
        <w:t xml:space="preserve"> </w:t>
      </w:r>
      <w:r>
        <w:rPr>
          <w:rFonts w:ascii="SimSun" w:hAnsi="SimSun" w:eastAsia="SimSun" w:cs="SimSun"/>
          <w:sz w:val="21"/>
          <w:szCs w:val="21"/>
          <w:spacing w:val="-13"/>
        </w:rPr>
        <w:t>势：</w:t>
      </w:r>
      <w:r>
        <w:rPr>
          <w:rFonts w:ascii="SimSun" w:hAnsi="SimSun" w:eastAsia="SimSun" w:cs="SimSun"/>
          <w:sz w:val="21"/>
          <w:szCs w:val="21"/>
          <w:spacing w:val="-38"/>
        </w:rPr>
        <w:t xml:space="preserve"> </w:t>
      </w:r>
      <w:r>
        <w:rPr>
          <w:rFonts w:ascii="SimSun" w:hAnsi="SimSun" w:eastAsia="SimSun" w:cs="SimSun"/>
          <w:sz w:val="21"/>
          <w:szCs w:val="21"/>
          <w:spacing w:val="-13"/>
        </w:rPr>
        <w:t>一是推动市场环境更透明，信息更易于自由流动；二是降低了搜</w:t>
      </w:r>
      <w:r>
        <w:rPr>
          <w:rFonts w:ascii="SimSun" w:hAnsi="SimSun" w:eastAsia="SimSun" w:cs="SimSun"/>
          <w:sz w:val="21"/>
          <w:szCs w:val="21"/>
        </w:rPr>
        <w:t xml:space="preserve"> </w:t>
      </w:r>
      <w:r>
        <w:rPr>
          <w:rFonts w:ascii="SimSun" w:hAnsi="SimSun" w:eastAsia="SimSun" w:cs="SimSun"/>
          <w:sz w:val="21"/>
          <w:szCs w:val="21"/>
          <w:spacing w:val="-11"/>
        </w:rPr>
        <w:t>寻成本；三是降低了准入门槛；四是推动技术突破、效率提升，出现</w:t>
      </w:r>
      <w:r>
        <w:rPr>
          <w:rFonts w:ascii="SimSun" w:hAnsi="SimSun" w:eastAsia="SimSun" w:cs="SimSun"/>
          <w:sz w:val="21"/>
          <w:szCs w:val="21"/>
          <w:spacing w:val="6"/>
        </w:rPr>
        <w:t xml:space="preserve"> </w:t>
      </w:r>
      <w:r>
        <w:rPr>
          <w:rFonts w:ascii="SimSun" w:hAnsi="SimSun" w:eastAsia="SimSun" w:cs="SimSun"/>
          <w:sz w:val="21"/>
          <w:szCs w:val="21"/>
          <w:spacing w:val="-9"/>
        </w:rPr>
        <w:t>不少新业态。这些新业态可以被分为两类：</w:t>
      </w:r>
      <w:r>
        <w:rPr>
          <w:rFonts w:ascii="SimSun" w:hAnsi="SimSun" w:eastAsia="SimSun" w:cs="SimSun"/>
          <w:sz w:val="21"/>
          <w:szCs w:val="21"/>
          <w:spacing w:val="60"/>
        </w:rPr>
        <w:t xml:space="preserve"> </w:t>
      </w:r>
      <w:r>
        <w:rPr>
          <w:rFonts w:ascii="SimSun" w:hAnsi="SimSun" w:eastAsia="SimSun" w:cs="SimSun"/>
          <w:sz w:val="21"/>
          <w:szCs w:val="21"/>
          <w:spacing w:val="-9"/>
        </w:rPr>
        <w:t>一类业态属于从0到1的</w:t>
      </w:r>
      <w:r>
        <w:rPr>
          <w:rFonts w:ascii="SimSun" w:hAnsi="SimSun" w:eastAsia="SimSun" w:cs="SimSun"/>
          <w:sz w:val="21"/>
          <w:szCs w:val="21"/>
        </w:rPr>
        <w:t xml:space="preserve"> </w:t>
      </w:r>
      <w:r>
        <w:rPr>
          <w:rFonts w:ascii="SimSun" w:hAnsi="SimSun" w:eastAsia="SimSun" w:cs="SimSun"/>
          <w:sz w:val="21"/>
          <w:szCs w:val="21"/>
          <w:spacing w:val="-10"/>
        </w:rPr>
        <w:t>变化，是指将过去大量无法利用的信息用于新业态，例如利</w:t>
      </w:r>
      <w:r>
        <w:rPr>
          <w:rFonts w:ascii="SimSun" w:hAnsi="SimSun" w:eastAsia="SimSun" w:cs="SimSun"/>
          <w:sz w:val="21"/>
          <w:szCs w:val="21"/>
          <w:spacing w:val="-11"/>
        </w:rPr>
        <w:t>用驾驶员</w:t>
      </w:r>
      <w:r>
        <w:rPr>
          <w:rFonts w:ascii="SimSun" w:hAnsi="SimSun" w:eastAsia="SimSun" w:cs="SimSun"/>
          <w:sz w:val="21"/>
          <w:szCs w:val="21"/>
        </w:rPr>
        <w:t xml:space="preserve"> </w:t>
      </w:r>
      <w:r>
        <w:rPr>
          <w:rFonts w:ascii="SimSun" w:hAnsi="SimSun" w:eastAsia="SimSun" w:cs="SimSun"/>
          <w:sz w:val="21"/>
          <w:szCs w:val="21"/>
          <w:spacing w:val="-11"/>
        </w:rPr>
        <w:t>的身体姿态来判断其疲劳程度从而优化保险定价；另一类新业态则属</w:t>
      </w:r>
      <w:r>
        <w:rPr>
          <w:rFonts w:ascii="SimSun" w:hAnsi="SimSun" w:eastAsia="SimSun" w:cs="SimSun"/>
          <w:sz w:val="21"/>
          <w:szCs w:val="21"/>
          <w:spacing w:val="16"/>
        </w:rPr>
        <w:t xml:space="preserve"> </w:t>
      </w:r>
      <w:r>
        <w:rPr>
          <w:rFonts w:ascii="SimSun" w:hAnsi="SimSun" w:eastAsia="SimSun" w:cs="SimSun"/>
          <w:sz w:val="21"/>
          <w:szCs w:val="21"/>
          <w:spacing w:val="-1"/>
        </w:rPr>
        <w:t>于从1到</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
        </w:rPr>
        <w:t>的变化，这是指数字技术让满足长尾客户的需求变得更</w:t>
      </w:r>
      <w:r>
        <w:rPr>
          <w:rFonts w:ascii="SimSun" w:hAnsi="SimSun" w:eastAsia="SimSun" w:cs="SimSun"/>
          <w:sz w:val="21"/>
          <w:szCs w:val="21"/>
        </w:rPr>
        <w:t xml:space="preserve"> </w:t>
      </w:r>
      <w:r>
        <w:rPr>
          <w:rFonts w:ascii="SimSun" w:hAnsi="SimSun" w:eastAsia="SimSun" w:cs="SimSun"/>
          <w:sz w:val="21"/>
          <w:szCs w:val="21"/>
          <w:spacing w:val="-9"/>
        </w:rPr>
        <w:t>加容易，出现了更多个性化定制的产品。</w:t>
      </w:r>
    </w:p>
    <w:p>
      <w:pPr>
        <w:ind w:left="20" w:firstLine="420"/>
        <w:spacing w:before="200" w:line="309" w:lineRule="auto"/>
        <w:jc w:val="both"/>
        <w:rPr>
          <w:rFonts w:ascii="SimSun" w:hAnsi="SimSun" w:eastAsia="SimSun" w:cs="SimSun"/>
          <w:sz w:val="21"/>
          <w:szCs w:val="21"/>
        </w:rPr>
      </w:pPr>
      <w:r>
        <w:rPr>
          <w:rFonts w:ascii="SimSun" w:hAnsi="SimSun" w:eastAsia="SimSun" w:cs="SimSun"/>
          <w:sz w:val="21"/>
          <w:szCs w:val="21"/>
          <w:spacing w:val="-11"/>
        </w:rPr>
        <w:t>在获得算法驱动服务的福利的同时，算法的运用也带来一些新特 </w:t>
      </w:r>
      <w:r>
        <w:rPr>
          <w:rFonts w:ascii="SimSun" w:hAnsi="SimSun" w:eastAsia="SimSun" w:cs="SimSun"/>
          <w:sz w:val="21"/>
          <w:szCs w:val="21"/>
          <w:spacing w:val="-8"/>
        </w:rPr>
        <w:t>征，其中一个根本特征是，算法让人和个体以数据换“免费”服务。</w:t>
      </w:r>
      <w:r>
        <w:rPr>
          <w:rFonts w:ascii="SimSun" w:hAnsi="SimSun" w:eastAsia="SimSun" w:cs="SimSun"/>
          <w:sz w:val="21"/>
          <w:szCs w:val="21"/>
          <w:spacing w:val="13"/>
        </w:rPr>
        <w:t xml:space="preserve"> </w:t>
      </w:r>
      <w:r>
        <w:rPr>
          <w:rFonts w:ascii="SimSun" w:hAnsi="SimSun" w:eastAsia="SimSun" w:cs="SimSun"/>
          <w:sz w:val="21"/>
          <w:szCs w:val="21"/>
          <w:spacing w:val="-8"/>
        </w:rPr>
        <w:t>也就是说，人和个体不仅是服务对象，也成为生产新产</w:t>
      </w:r>
      <w:r>
        <w:rPr>
          <w:rFonts w:ascii="SimSun" w:hAnsi="SimSun" w:eastAsia="SimSun" w:cs="SimSun"/>
          <w:sz w:val="21"/>
          <w:szCs w:val="21"/>
          <w:spacing w:val="-9"/>
        </w:rPr>
        <w:t>品的新资源。</w:t>
      </w:r>
      <w:r>
        <w:rPr>
          <w:rFonts w:ascii="SimSun" w:hAnsi="SimSun" w:eastAsia="SimSun" w:cs="SimSun"/>
          <w:sz w:val="21"/>
          <w:szCs w:val="21"/>
        </w:rPr>
        <w:t xml:space="preserve"> </w:t>
      </w:r>
      <w:r>
        <w:rPr>
          <w:rFonts w:ascii="SimSun" w:hAnsi="SimSun" w:eastAsia="SimSun" w:cs="SimSun"/>
          <w:sz w:val="21"/>
          <w:szCs w:val="21"/>
          <w:spacing w:val="-11"/>
        </w:rPr>
        <w:t>具体来说，算法可分析并追踪客户日常生活并分析客户喜好，从而推</w:t>
      </w:r>
      <w:r>
        <w:rPr>
          <w:rFonts w:ascii="SimSun" w:hAnsi="SimSun" w:eastAsia="SimSun" w:cs="SimSun"/>
          <w:sz w:val="21"/>
          <w:szCs w:val="21"/>
          <w:spacing w:val="3"/>
        </w:rPr>
        <w:t xml:space="preserve">  </w:t>
      </w:r>
      <w:r>
        <w:rPr>
          <w:rFonts w:ascii="SimSun" w:hAnsi="SimSun" w:eastAsia="SimSun" w:cs="SimSun"/>
          <w:sz w:val="21"/>
          <w:szCs w:val="21"/>
          <w:spacing w:val="-10"/>
        </w:rPr>
        <w:t>荐更多个性化产品；成千上万个性化产品的出现，让人工定价变得</w:t>
      </w:r>
      <w:r>
        <w:rPr>
          <w:rFonts w:ascii="SimSun" w:hAnsi="SimSun" w:eastAsia="SimSun" w:cs="SimSun"/>
          <w:sz w:val="21"/>
          <w:szCs w:val="21"/>
          <w:spacing w:val="-11"/>
        </w:rPr>
        <w:t>越 </w:t>
      </w:r>
      <w:r>
        <w:rPr>
          <w:rFonts w:ascii="SimSun" w:hAnsi="SimSun" w:eastAsia="SimSun" w:cs="SimSun"/>
          <w:sz w:val="21"/>
          <w:szCs w:val="21"/>
          <w:spacing w:val="-11"/>
        </w:rPr>
        <w:t>来越不可行，头部平台开始转向由算法自动定价以及调整价格；面对</w:t>
      </w:r>
      <w:r>
        <w:rPr>
          <w:rFonts w:ascii="SimSun" w:hAnsi="SimSun" w:eastAsia="SimSun" w:cs="SimSun"/>
          <w:sz w:val="21"/>
          <w:szCs w:val="21"/>
          <w:spacing w:val="3"/>
        </w:rPr>
        <w:t xml:space="preserve">  </w:t>
      </w:r>
      <w:r>
        <w:rPr>
          <w:rFonts w:ascii="SimSun" w:hAnsi="SimSun" w:eastAsia="SimSun" w:cs="SimSun"/>
          <w:sz w:val="21"/>
          <w:szCs w:val="21"/>
          <w:spacing w:val="-10"/>
        </w:rPr>
        <w:t>市场的激烈竞争，平台也逐步采用算法来预测竞争对手的算法，在</w:t>
      </w:r>
      <w:r>
        <w:rPr>
          <w:rFonts w:ascii="SimSun" w:hAnsi="SimSun" w:eastAsia="SimSun" w:cs="SimSun"/>
          <w:sz w:val="21"/>
          <w:szCs w:val="21"/>
          <w:spacing w:val="-11"/>
        </w:rPr>
        <w:t>这 </w:t>
      </w:r>
      <w:r>
        <w:rPr>
          <w:rFonts w:ascii="SimSun" w:hAnsi="SimSun" w:eastAsia="SimSun" w:cs="SimSun"/>
          <w:sz w:val="21"/>
          <w:szCs w:val="21"/>
          <w:spacing w:val="-11"/>
        </w:rPr>
        <w:t>个过程中，线上平台的定价开始趋同，而线下门店为了与线上产品竞</w:t>
      </w:r>
      <w:r>
        <w:rPr>
          <w:rFonts w:ascii="SimSun" w:hAnsi="SimSun" w:eastAsia="SimSun" w:cs="SimSun"/>
          <w:sz w:val="21"/>
          <w:szCs w:val="21"/>
          <w:spacing w:val="4"/>
        </w:rPr>
        <w:t xml:space="preserve">  </w:t>
      </w:r>
      <w:r>
        <w:rPr>
          <w:rFonts w:ascii="SimSun" w:hAnsi="SimSun" w:eastAsia="SimSun" w:cs="SimSun"/>
          <w:sz w:val="21"/>
          <w:szCs w:val="21"/>
          <w:spacing w:val="-3"/>
        </w:rPr>
        <w:t>争，也会相应调整定价，从而出现线上线下趋同的现象。在此基础</w:t>
      </w:r>
      <w:r>
        <w:rPr>
          <w:rFonts w:ascii="SimSun" w:hAnsi="SimSun" w:eastAsia="SimSun" w:cs="SimSun"/>
          <w:sz w:val="21"/>
          <w:szCs w:val="21"/>
          <w:spacing w:val="7"/>
        </w:rPr>
        <w:t xml:space="preserve"> </w:t>
      </w:r>
      <w:r>
        <w:rPr>
          <w:rFonts w:ascii="SimSun" w:hAnsi="SimSun" w:eastAsia="SimSun" w:cs="SimSun"/>
          <w:sz w:val="21"/>
          <w:szCs w:val="21"/>
          <w:spacing w:val="-12"/>
        </w:rPr>
        <w:t>上，掌握数据优势的企业不仅在已有行业有优势，跨界并购也开始成</w:t>
      </w:r>
      <w:r>
        <w:rPr>
          <w:rFonts w:ascii="SimSun" w:hAnsi="SimSun" w:eastAsia="SimSun" w:cs="SimSun"/>
          <w:sz w:val="21"/>
          <w:szCs w:val="21"/>
          <w:spacing w:val="9"/>
        </w:rPr>
        <w:t xml:space="preserve">  </w:t>
      </w:r>
      <w:r>
        <w:rPr>
          <w:rFonts w:ascii="SimSun" w:hAnsi="SimSun" w:eastAsia="SimSun" w:cs="SimSun"/>
          <w:sz w:val="21"/>
          <w:szCs w:val="21"/>
          <w:spacing w:val="-14"/>
        </w:rPr>
        <w:t>为大势所趋；算法不仅可以影响一个企业的定价、</w:t>
      </w:r>
      <w:r>
        <w:rPr>
          <w:rFonts w:ascii="SimSun" w:hAnsi="SimSun" w:eastAsia="SimSun" w:cs="SimSun"/>
          <w:sz w:val="21"/>
          <w:szCs w:val="21"/>
          <w:spacing w:val="36"/>
        </w:rPr>
        <w:t xml:space="preserve"> </w:t>
      </w:r>
      <w:r>
        <w:rPr>
          <w:rFonts w:ascii="SimSun" w:hAnsi="SimSun" w:eastAsia="SimSun" w:cs="SimSun"/>
          <w:sz w:val="21"/>
          <w:szCs w:val="21"/>
          <w:spacing w:val="-15"/>
        </w:rPr>
        <w:t>一个行业的线上线</w:t>
      </w:r>
      <w:r>
        <w:rPr>
          <w:rFonts w:ascii="SimSun" w:hAnsi="SimSun" w:eastAsia="SimSun" w:cs="SimSun"/>
          <w:sz w:val="21"/>
          <w:szCs w:val="21"/>
        </w:rPr>
        <w:t xml:space="preserve"> </w:t>
      </w:r>
      <w:r>
        <w:rPr>
          <w:rFonts w:ascii="SimSun" w:hAnsi="SimSun" w:eastAsia="SimSun" w:cs="SimSun"/>
          <w:sz w:val="21"/>
          <w:szCs w:val="21"/>
          <w:spacing w:val="-10"/>
        </w:rPr>
        <w:t>下定价以及竞争格局，在收集使用者的政治态度和立场数据后，甚</w:t>
      </w:r>
      <w:r>
        <w:rPr>
          <w:rFonts w:ascii="SimSun" w:hAnsi="SimSun" w:eastAsia="SimSun" w:cs="SimSun"/>
          <w:sz w:val="21"/>
          <w:szCs w:val="21"/>
          <w:spacing w:val="-11"/>
        </w:rPr>
        <w:t>至 </w:t>
      </w:r>
      <w:r>
        <w:rPr>
          <w:rFonts w:ascii="SimSun" w:hAnsi="SimSun" w:eastAsia="SimSun" w:cs="SimSun"/>
          <w:sz w:val="21"/>
          <w:szCs w:val="21"/>
          <w:spacing w:val="-11"/>
        </w:rPr>
        <w:t>可以影响政治生态与国际政治格局。</w:t>
      </w:r>
    </w:p>
    <w:p>
      <w:pPr>
        <w:ind w:left="20" w:right="64" w:firstLine="420"/>
        <w:spacing w:before="109" w:line="284" w:lineRule="auto"/>
        <w:jc w:val="both"/>
        <w:rPr>
          <w:rFonts w:ascii="SimSun" w:hAnsi="SimSun" w:eastAsia="SimSun" w:cs="SimSun"/>
          <w:sz w:val="21"/>
          <w:szCs w:val="21"/>
        </w:rPr>
      </w:pPr>
      <w:r>
        <w:rPr>
          <w:rFonts w:ascii="SimSun" w:hAnsi="SimSun" w:eastAsia="SimSun" w:cs="SimSun"/>
          <w:sz w:val="21"/>
          <w:szCs w:val="21"/>
          <w:spacing w:val="-11"/>
        </w:rPr>
        <w:t>在这一趋势下，人们的衣食住行、生老病死、就业失业、言论传</w:t>
      </w:r>
      <w:r>
        <w:rPr>
          <w:rFonts w:ascii="SimSun" w:hAnsi="SimSun" w:eastAsia="SimSun" w:cs="SimSun"/>
          <w:sz w:val="21"/>
          <w:szCs w:val="21"/>
          <w:spacing w:val="17"/>
        </w:rPr>
        <w:t xml:space="preserve"> </w:t>
      </w:r>
      <w:r>
        <w:rPr>
          <w:rFonts w:ascii="SimSun" w:hAnsi="SimSun" w:eastAsia="SimSun" w:cs="SimSun"/>
          <w:sz w:val="21"/>
          <w:szCs w:val="21"/>
          <w:spacing w:val="-10"/>
        </w:rPr>
        <w:t>播，甚至司法审判，也越来越取决于算法的结果。例如，利用算法读</w:t>
      </w:r>
      <w:r>
        <w:rPr>
          <w:rFonts w:ascii="SimSun" w:hAnsi="SimSun" w:eastAsia="SimSun" w:cs="SimSun"/>
          <w:sz w:val="21"/>
          <w:szCs w:val="21"/>
          <w:spacing w:val="9"/>
        </w:rPr>
        <w:t xml:space="preserve"> </w:t>
      </w:r>
      <w:r>
        <w:rPr>
          <w:rFonts w:ascii="SimSun" w:hAnsi="SimSun" w:eastAsia="SimSun" w:cs="SimSun"/>
          <w:sz w:val="21"/>
          <w:szCs w:val="21"/>
          <w:spacing w:val="-11"/>
        </w:rPr>
        <w:t>一张医学影像片子只需几十秒，而且还不会因为情绪、疲劳出错；又</w:t>
      </w:r>
    </w:p>
    <w:p>
      <w:pPr>
        <w:spacing w:line="284" w:lineRule="auto"/>
        <w:sectPr>
          <w:headerReference w:type="default" r:id="rId383"/>
          <w:pgSz w:w="7330" w:h="12480"/>
          <w:pgMar w:top="549" w:right="425" w:bottom="400" w:left="809" w:header="385"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left="105" w:right="28"/>
        <w:spacing w:before="68" w:line="300" w:lineRule="auto"/>
        <w:jc w:val="both"/>
        <w:rPr>
          <w:rFonts w:ascii="SimSun" w:hAnsi="SimSun" w:eastAsia="SimSun" w:cs="SimSun"/>
          <w:sz w:val="21"/>
          <w:szCs w:val="21"/>
        </w:rPr>
      </w:pPr>
      <w:r>
        <w:rPr>
          <w:rFonts w:ascii="SimSun" w:hAnsi="SimSun" w:eastAsia="SimSun" w:cs="SimSun"/>
          <w:sz w:val="21"/>
          <w:szCs w:val="21"/>
          <w:spacing w:val="-11"/>
        </w:rPr>
        <w:t>如最新金融文献考察发现，如果用算法来推荐上市公司董事，那么这</w:t>
      </w:r>
      <w:r>
        <w:rPr>
          <w:rFonts w:ascii="SimSun" w:hAnsi="SimSun" w:eastAsia="SimSun" w:cs="SimSun"/>
          <w:sz w:val="21"/>
          <w:szCs w:val="21"/>
          <w:spacing w:val="7"/>
        </w:rPr>
        <w:t xml:space="preserve"> </w:t>
      </w:r>
      <w:r>
        <w:rPr>
          <w:rFonts w:ascii="SimSun" w:hAnsi="SimSun" w:eastAsia="SimSun" w:cs="SimSun"/>
          <w:sz w:val="21"/>
          <w:szCs w:val="21"/>
          <w:spacing w:val="-11"/>
        </w:rPr>
        <w:t>些上市公司的业绩总体比没有用算法推荐的好；再如亚马逊司机斯蒂</w:t>
      </w:r>
      <w:r>
        <w:rPr>
          <w:rFonts w:ascii="SimSun" w:hAnsi="SimSun" w:eastAsia="SimSun" w:cs="SimSun"/>
          <w:sz w:val="21"/>
          <w:szCs w:val="21"/>
          <w:spacing w:val="10"/>
        </w:rPr>
        <w:t xml:space="preserve"> </w:t>
      </w:r>
      <w:r>
        <w:rPr>
          <w:rFonts w:ascii="SimSun" w:hAnsi="SimSun" w:eastAsia="SimSun" w:cs="SimSun"/>
          <w:sz w:val="21"/>
          <w:szCs w:val="21"/>
          <w:spacing w:val="-6"/>
        </w:rPr>
        <w:t>芬·诺曼丁被算法解雇，以及美国司法机关利用</w:t>
      </w:r>
      <w:r>
        <w:rPr>
          <w:rFonts w:ascii="Times New Roman" w:hAnsi="Times New Roman" w:eastAsia="Times New Roman" w:cs="Times New Roman"/>
          <w:sz w:val="21"/>
          <w:szCs w:val="21"/>
          <w:spacing w:val="-6"/>
        </w:rPr>
        <w:t>COMPAS </w:t>
      </w:r>
      <w:r>
        <w:rPr>
          <w:rFonts w:ascii="SimSun" w:hAnsi="SimSun" w:eastAsia="SimSun" w:cs="SimSun"/>
          <w:sz w:val="21"/>
          <w:szCs w:val="21"/>
          <w:spacing w:val="-6"/>
        </w:rPr>
        <w:t>算法，基</w:t>
      </w:r>
      <w:r>
        <w:rPr>
          <w:rFonts w:ascii="SimSun" w:hAnsi="SimSun" w:eastAsia="SimSun" w:cs="SimSun"/>
          <w:sz w:val="21"/>
          <w:szCs w:val="21"/>
          <w:spacing w:val="3"/>
        </w:rPr>
        <w:t xml:space="preserve"> </w:t>
      </w:r>
      <w:r>
        <w:rPr>
          <w:rFonts w:ascii="SimSun" w:hAnsi="SimSun" w:eastAsia="SimSun" w:cs="SimSun"/>
          <w:sz w:val="21"/>
          <w:szCs w:val="21"/>
          <w:spacing w:val="-7"/>
        </w:rPr>
        <w:t>于被告人个人特征以及犯罪记录等137个因素评估他们未来两年内再</w:t>
      </w:r>
      <w:r>
        <w:rPr>
          <w:rFonts w:ascii="SimSun" w:hAnsi="SimSun" w:eastAsia="SimSun" w:cs="SimSun"/>
          <w:sz w:val="21"/>
          <w:szCs w:val="21"/>
        </w:rPr>
        <w:t xml:space="preserve"> </w:t>
      </w:r>
      <w:r>
        <w:rPr>
          <w:rFonts w:ascii="SimSun" w:hAnsi="SimSun" w:eastAsia="SimSun" w:cs="SimSun"/>
          <w:sz w:val="21"/>
          <w:szCs w:val="21"/>
          <w:spacing w:val="-11"/>
        </w:rPr>
        <w:t>次犯罪的可能性，评估结果会影响法官的判决。算法对社会的这种全</w:t>
      </w:r>
      <w:r>
        <w:rPr>
          <w:rFonts w:ascii="SimSun" w:hAnsi="SimSun" w:eastAsia="SimSun" w:cs="SimSun"/>
          <w:sz w:val="21"/>
          <w:szCs w:val="21"/>
          <w:spacing w:val="8"/>
        </w:rPr>
        <w:t xml:space="preserve"> </w:t>
      </w:r>
      <w:r>
        <w:rPr>
          <w:rFonts w:ascii="SimSun" w:hAnsi="SimSun" w:eastAsia="SimSun" w:cs="SimSun"/>
          <w:sz w:val="21"/>
          <w:szCs w:val="21"/>
          <w:spacing w:val="-11"/>
        </w:rPr>
        <w:t>方位影响，让算法治理越来越处于社会治理的核心地位而备受关注。</w:t>
      </w:r>
    </w:p>
    <w:p>
      <w:pPr>
        <w:pStyle w:val="BodyText"/>
        <w:spacing w:line="436" w:lineRule="auto"/>
        <w:rPr/>
      </w:pPr>
      <w:r/>
    </w:p>
    <w:p>
      <w:pPr>
        <w:ind w:left="108"/>
        <w:spacing w:before="69" w:line="222" w:lineRule="auto"/>
        <w:rPr>
          <w:rFonts w:ascii="SimHei" w:hAnsi="SimHei" w:eastAsia="SimHei" w:cs="SimHei"/>
          <w:sz w:val="21"/>
          <w:szCs w:val="21"/>
        </w:rPr>
      </w:pPr>
      <w:r>
        <w:rPr>
          <w:rFonts w:ascii="SimHei" w:hAnsi="SimHei" w:eastAsia="SimHei" w:cs="SimHei"/>
          <w:sz w:val="21"/>
          <w:szCs w:val="21"/>
          <w:b/>
          <w:bCs/>
          <w:spacing w:val="26"/>
        </w:rPr>
        <w:t>平台经济中的算法治理挑战</w:t>
      </w:r>
    </w:p>
    <w:p>
      <w:pPr>
        <w:pStyle w:val="BodyText"/>
        <w:spacing w:line="360" w:lineRule="auto"/>
        <w:rPr/>
      </w:pPr>
      <w:r/>
    </w:p>
    <w:p>
      <w:pPr>
        <w:ind w:right="7"/>
        <w:spacing w:before="68" w:line="371" w:lineRule="exact"/>
        <w:jc w:val="right"/>
        <w:rPr>
          <w:rFonts w:ascii="SimSun" w:hAnsi="SimSun" w:eastAsia="SimSun" w:cs="SimSun"/>
          <w:sz w:val="21"/>
          <w:szCs w:val="21"/>
        </w:rPr>
      </w:pPr>
      <w:r>
        <w:rPr>
          <w:rFonts w:ascii="SimSun" w:hAnsi="SimSun" w:eastAsia="SimSun" w:cs="SimSun"/>
          <w:sz w:val="21"/>
          <w:szCs w:val="21"/>
          <w:spacing w:val="-3"/>
          <w:position w:val="12"/>
        </w:rPr>
        <w:t>在带来众多机遇的同时，算法的应用也带来不少管理方面的挑</w:t>
      </w:r>
    </w:p>
    <w:p>
      <w:pPr>
        <w:ind w:left="105"/>
        <w:spacing w:line="219" w:lineRule="auto"/>
        <w:rPr>
          <w:rFonts w:ascii="SimSun" w:hAnsi="SimSun" w:eastAsia="SimSun" w:cs="SimSun"/>
          <w:sz w:val="21"/>
          <w:szCs w:val="21"/>
        </w:rPr>
      </w:pPr>
      <w:r>
        <w:rPr>
          <w:rFonts w:ascii="SimSun" w:hAnsi="SimSun" w:eastAsia="SimSun" w:cs="SimSun"/>
          <w:sz w:val="21"/>
          <w:szCs w:val="21"/>
          <w:spacing w:val="-10"/>
        </w:rPr>
        <w:t>战，其中算法歧视、算法黑箱、算法助力垄断等问题</w:t>
      </w:r>
      <w:r>
        <w:rPr>
          <w:rFonts w:ascii="SimSun" w:hAnsi="SimSun" w:eastAsia="SimSun" w:cs="SimSun"/>
          <w:sz w:val="21"/>
          <w:szCs w:val="21"/>
          <w:spacing w:val="-11"/>
        </w:rPr>
        <w:t>格外受关注。</w:t>
      </w:r>
    </w:p>
    <w:p>
      <w:pPr>
        <w:ind w:firstLine="514"/>
        <w:spacing w:before="97" w:line="301" w:lineRule="auto"/>
        <w:tabs>
          <w:tab w:val="left" w:pos="105"/>
        </w:tabs>
        <w:rPr>
          <w:rFonts w:ascii="SimSun" w:hAnsi="SimSun" w:eastAsia="SimSun" w:cs="SimSun"/>
          <w:sz w:val="21"/>
          <w:szCs w:val="21"/>
        </w:rPr>
      </w:pPr>
      <w:r>
        <w:rPr>
          <w:rFonts w:ascii="SimSun" w:hAnsi="SimSun" w:eastAsia="SimSun" w:cs="SimSun"/>
          <w:sz w:val="21"/>
          <w:szCs w:val="21"/>
          <w:spacing w:val="-10"/>
        </w:rPr>
        <w:t>一是以“大数据杀熟”为代表的算法歧视问题。这是指地位稳固</w:t>
      </w:r>
      <w:r>
        <w:rPr>
          <w:rFonts w:ascii="SimSun" w:hAnsi="SimSun" w:eastAsia="SimSun" w:cs="SimSun"/>
          <w:sz w:val="21"/>
          <w:szCs w:val="21"/>
        </w:rPr>
        <w:t xml:space="preserve"> </w:t>
      </w:r>
      <w:r>
        <w:rPr>
          <w:rFonts w:ascii="SimSun" w:hAnsi="SimSun" w:eastAsia="SimSun" w:cs="SimSun"/>
          <w:sz w:val="21"/>
          <w:szCs w:val="21"/>
          <w:spacing w:val="-7"/>
        </w:rPr>
        <w:t>的垄断平台或企业还可以运用大数据分析和用户画像，区别对待不同</w:t>
      </w:r>
      <w:r>
        <w:rPr>
          <w:rFonts w:ascii="SimSun" w:hAnsi="SimSun" w:eastAsia="SimSun" w:cs="SimSun"/>
          <w:sz w:val="21"/>
          <w:szCs w:val="21"/>
          <w:spacing w:val="2"/>
        </w:rPr>
        <w:t xml:space="preserve"> </w:t>
      </w:r>
      <w:r>
        <w:rPr>
          <w:rFonts w:ascii="SimSun" w:hAnsi="SimSun" w:eastAsia="SimSun" w:cs="SimSun"/>
          <w:sz w:val="21"/>
          <w:szCs w:val="21"/>
          <w:spacing w:val="-7"/>
        </w:rPr>
        <w:t>用户群体从而获取垄断收益的现象。这里的用户既</w:t>
      </w:r>
      <w:r>
        <w:rPr>
          <w:rFonts w:ascii="SimSun" w:hAnsi="SimSun" w:eastAsia="SimSun" w:cs="SimSun"/>
          <w:sz w:val="21"/>
          <w:szCs w:val="21"/>
          <w:spacing w:val="-8"/>
        </w:rPr>
        <w:t>包括消费者，也可</w:t>
      </w:r>
      <w:r>
        <w:rPr>
          <w:rFonts w:ascii="SimSun" w:hAnsi="SimSun" w:eastAsia="SimSun" w:cs="SimSun"/>
          <w:sz w:val="21"/>
          <w:szCs w:val="21"/>
        </w:rPr>
        <w:t xml:space="preserve"> </w:t>
      </w:r>
      <w:r>
        <w:rPr>
          <w:rFonts w:ascii="SimSun" w:hAnsi="SimSun" w:eastAsia="SimSun" w:cs="SimSun"/>
          <w:sz w:val="21"/>
          <w:szCs w:val="21"/>
          <w:spacing w:val="-7"/>
        </w:rPr>
        <w:t>能包括供应链上的其他环节，如商家、外卖员等。</w:t>
      </w:r>
      <w:r>
        <w:rPr>
          <w:rFonts w:ascii="SimSun" w:hAnsi="SimSun" w:eastAsia="SimSun" w:cs="SimSun"/>
          <w:sz w:val="21"/>
          <w:szCs w:val="21"/>
          <w:spacing w:val="-8"/>
        </w:rPr>
        <w:t>最早可以查到的对</w:t>
      </w:r>
      <w:r>
        <w:rPr>
          <w:rFonts w:ascii="SimSun" w:hAnsi="SimSun" w:eastAsia="SimSun" w:cs="SimSun"/>
          <w:sz w:val="21"/>
          <w:szCs w:val="21"/>
        </w:rPr>
        <w:t xml:space="preserve"> </w:t>
      </w:r>
      <w:r>
        <w:rPr>
          <w:rFonts w:ascii="SimSun" w:hAnsi="SimSun" w:eastAsia="SimSun" w:cs="SimSun"/>
          <w:sz w:val="21"/>
          <w:szCs w:val="21"/>
          <w:spacing w:val="-4"/>
        </w:rPr>
        <w:t>“大数据杀熟”问题的记载，是2000年9月亚马逊用户发现亚马逊根</w:t>
      </w:r>
      <w:r>
        <w:rPr>
          <w:rFonts w:ascii="SimSun" w:hAnsi="SimSun" w:eastAsia="SimSun" w:cs="SimSun"/>
          <w:sz w:val="21"/>
          <w:szCs w:val="21"/>
          <w:spacing w:val="14"/>
        </w:rPr>
        <w:t xml:space="preserve"> </w:t>
      </w:r>
      <w:r>
        <w:rPr>
          <w:rFonts w:ascii="SimSun" w:hAnsi="SimSun" w:eastAsia="SimSun" w:cs="SimSun"/>
          <w:sz w:val="21"/>
          <w:szCs w:val="21"/>
          <w:spacing w:val="-3"/>
        </w:rPr>
        <w:t>据用户存储在浏览器</w:t>
      </w:r>
      <w:r>
        <w:rPr>
          <w:rFonts w:ascii="Times New Roman" w:hAnsi="Times New Roman" w:eastAsia="Times New Roman" w:cs="Times New Roman"/>
          <w:sz w:val="21"/>
          <w:szCs w:val="21"/>
          <w:spacing w:val="-3"/>
        </w:rPr>
        <w:t>cookie </w:t>
      </w:r>
      <w:r>
        <w:rPr>
          <w:rFonts w:ascii="SimSun" w:hAnsi="SimSun" w:eastAsia="SimSun" w:cs="SimSun"/>
          <w:sz w:val="21"/>
          <w:szCs w:val="21"/>
          <w:spacing w:val="-3"/>
        </w:rPr>
        <w:t>中的个人特征对同一种</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3"/>
        </w:rPr>
        <w:t>DVD</w:t>
      </w:r>
      <w:r>
        <w:rPr>
          <w:rFonts w:ascii="SimSun" w:hAnsi="SimSun" w:eastAsia="SimSun" w:cs="SimSun"/>
          <w:sz w:val="21"/>
          <w:szCs w:val="21"/>
          <w:spacing w:val="-3"/>
        </w:rPr>
        <w:t>采取差别定</w:t>
      </w:r>
      <w:r>
        <w:rPr>
          <w:rFonts w:ascii="SimSun" w:hAnsi="SimSun" w:eastAsia="SimSun" w:cs="SimSun"/>
          <w:sz w:val="21"/>
          <w:szCs w:val="21"/>
        </w:rPr>
        <w:t xml:space="preserve"> </w:t>
      </w:r>
      <w:r>
        <w:rPr>
          <w:rFonts w:ascii="SimSun" w:hAnsi="SimSun" w:eastAsia="SimSun" w:cs="SimSun"/>
          <w:sz w:val="21"/>
          <w:szCs w:val="21"/>
          <w:spacing w:val="5"/>
        </w:rPr>
        <w:t>价，如果删除</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则价格低13%。国内对“大数据杀熟</w:t>
      </w:r>
      <w:r>
        <w:rPr>
          <w:rFonts w:ascii="SimSun" w:hAnsi="SimSun" w:eastAsia="SimSun" w:cs="SimSun"/>
          <w:sz w:val="21"/>
          <w:szCs w:val="21"/>
          <w:spacing w:val="4"/>
        </w:rPr>
        <w:t>”的报道</w:t>
      </w:r>
      <w:r>
        <w:rPr>
          <w:rFonts w:ascii="SimSun" w:hAnsi="SimSun" w:eastAsia="SimSun" w:cs="SimSun"/>
          <w:sz w:val="21"/>
          <w:szCs w:val="21"/>
        </w:rPr>
        <w:t xml:space="preserve"> </w:t>
      </w:r>
      <w:r>
        <w:rPr>
          <w:rFonts w:ascii="SimSun" w:hAnsi="SimSun" w:eastAsia="SimSun" w:cs="SimSun"/>
          <w:sz w:val="21"/>
          <w:szCs w:val="21"/>
          <w:spacing w:val="3"/>
        </w:rPr>
        <w:t>始于2018年2月，《科技日报》基于2017年底的网友曝</w:t>
      </w:r>
      <w:r>
        <w:rPr>
          <w:rFonts w:ascii="SimSun" w:hAnsi="SimSun" w:eastAsia="SimSun" w:cs="SimSun"/>
          <w:sz w:val="21"/>
          <w:szCs w:val="21"/>
          <w:spacing w:val="2"/>
        </w:rPr>
        <w:t>光而刊发报</w:t>
      </w:r>
      <w:r>
        <w:rPr>
          <w:rFonts w:ascii="SimSun" w:hAnsi="SimSun" w:eastAsia="SimSun" w:cs="SimSun"/>
          <w:sz w:val="21"/>
          <w:szCs w:val="21"/>
        </w:rPr>
        <w:t xml:space="preserve"> </w:t>
      </w:r>
      <w:r>
        <w:rPr>
          <w:rFonts w:ascii="SimSun" w:hAnsi="SimSun" w:eastAsia="SimSun" w:cs="SimSun"/>
          <w:sz w:val="21"/>
          <w:szCs w:val="21"/>
        </w:rPr>
        <w:t>道《大数据杀熟：300元的酒店房价，老客户却要380</w:t>
      </w:r>
      <w:r>
        <w:rPr>
          <w:rFonts w:ascii="SimSun" w:hAnsi="SimSun" w:eastAsia="SimSun" w:cs="SimSun"/>
          <w:sz w:val="21"/>
          <w:szCs w:val="21"/>
          <w:spacing w:val="-1"/>
        </w:rPr>
        <w:t>元》。2021年</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1"/>
        </w:rPr>
        <w:t>3月，复旦大学通过研究5个城市的800多次打车账单后发现“苹果</w:t>
      </w:r>
      <w:r>
        <w:rPr>
          <w:rFonts w:ascii="SimSun" w:hAnsi="SimSun" w:eastAsia="SimSun" w:cs="SimSun"/>
          <w:sz w:val="21"/>
          <w:szCs w:val="21"/>
          <w:spacing w:val="17"/>
        </w:rPr>
        <w:t xml:space="preserve"> </w:t>
      </w:r>
      <w:r>
        <w:rPr>
          <w:rFonts w:ascii="SimSun" w:hAnsi="SimSun" w:eastAsia="SimSun" w:cs="SimSun"/>
          <w:sz w:val="21"/>
          <w:szCs w:val="21"/>
          <w:spacing w:val="-3"/>
        </w:rPr>
        <w:t>税”,即苹果手机用户打车补贴更少，更容易被舒适型、定</w:t>
      </w:r>
      <w:r>
        <w:rPr>
          <w:rFonts w:ascii="SimSun" w:hAnsi="SimSun" w:eastAsia="SimSun" w:cs="SimSun"/>
          <w:sz w:val="21"/>
          <w:szCs w:val="21"/>
          <w:spacing w:val="-4"/>
        </w:rPr>
        <w:t>价高的司</w:t>
      </w:r>
      <w:r>
        <w:rPr>
          <w:rFonts w:ascii="SimSun" w:hAnsi="SimSun" w:eastAsia="SimSun" w:cs="SimSun"/>
          <w:sz w:val="21"/>
          <w:szCs w:val="21"/>
        </w:rPr>
        <w:t xml:space="preserve"> </w:t>
      </w:r>
      <w:r>
        <w:rPr>
          <w:rFonts w:ascii="SimSun" w:hAnsi="SimSun" w:eastAsia="SimSun" w:cs="SimSun"/>
          <w:sz w:val="21"/>
          <w:szCs w:val="21"/>
          <w:spacing w:val="-3"/>
        </w:rPr>
        <w:t>机接单，概率是非苹果手机用户的3倍。“大数据杀熟”问</w:t>
      </w:r>
      <w:r>
        <w:rPr>
          <w:rFonts w:ascii="SimSun" w:hAnsi="SimSun" w:eastAsia="SimSun" w:cs="SimSun"/>
          <w:sz w:val="21"/>
          <w:szCs w:val="21"/>
          <w:spacing w:val="-4"/>
        </w:rPr>
        <w:t>题引发了</w:t>
      </w:r>
      <w:r>
        <w:rPr>
          <w:rFonts w:ascii="SimSun" w:hAnsi="SimSun" w:eastAsia="SimSun" w:cs="SimSun"/>
          <w:sz w:val="21"/>
          <w:szCs w:val="21"/>
        </w:rPr>
        <w:t xml:space="preserve"> </w:t>
      </w:r>
      <w:r>
        <w:rPr>
          <w:rFonts w:ascii="SimSun" w:hAnsi="SimSun" w:eastAsia="SimSun" w:cs="SimSun"/>
          <w:sz w:val="21"/>
          <w:szCs w:val="21"/>
          <w:spacing w:val="-1"/>
        </w:rPr>
        <w:t>广泛的社会关注。</w:t>
      </w:r>
    </w:p>
    <w:p>
      <w:pPr>
        <w:ind w:left="105" w:right="21" w:firstLine="409"/>
        <w:spacing w:before="220" w:line="284" w:lineRule="auto"/>
        <w:jc w:val="both"/>
        <w:rPr>
          <w:rFonts w:ascii="SimSun" w:hAnsi="SimSun" w:eastAsia="SimSun" w:cs="SimSun"/>
          <w:sz w:val="21"/>
          <w:szCs w:val="21"/>
        </w:rPr>
      </w:pPr>
      <w:r>
        <w:rPr>
          <w:rFonts w:ascii="SimSun" w:hAnsi="SimSun" w:eastAsia="SimSun" w:cs="SimSun"/>
          <w:sz w:val="21"/>
          <w:szCs w:val="21"/>
          <w:spacing w:val="-11"/>
        </w:rPr>
        <w:t>二是算法黑箱问题。在科学、计算和工程中，“黑箱</w:t>
      </w:r>
      <w:r>
        <w:rPr>
          <w:rFonts w:ascii="SimSun" w:hAnsi="SimSun" w:eastAsia="SimSun" w:cs="SimSun"/>
          <w:sz w:val="21"/>
          <w:szCs w:val="21"/>
          <w:spacing w:val="-12"/>
        </w:rPr>
        <w:t>”是指一个</w:t>
      </w:r>
      <w:r>
        <w:rPr>
          <w:rFonts w:ascii="SimSun" w:hAnsi="SimSun" w:eastAsia="SimSun" w:cs="SimSun"/>
          <w:sz w:val="21"/>
          <w:szCs w:val="21"/>
        </w:rPr>
        <w:t xml:space="preserve"> </w:t>
      </w:r>
      <w:r>
        <w:rPr>
          <w:rFonts w:ascii="SimSun" w:hAnsi="SimSun" w:eastAsia="SimSun" w:cs="SimSun"/>
          <w:sz w:val="21"/>
          <w:szCs w:val="21"/>
          <w:spacing w:val="-11"/>
        </w:rPr>
        <w:t>只能看到输入和输出信息、其内部工作原理无法或者很难被观察的系</w:t>
      </w:r>
      <w:r>
        <w:rPr>
          <w:rFonts w:ascii="SimSun" w:hAnsi="SimSun" w:eastAsia="SimSun" w:cs="SimSun"/>
          <w:sz w:val="21"/>
          <w:szCs w:val="21"/>
          <w:spacing w:val="17"/>
        </w:rPr>
        <w:t xml:space="preserve"> </w:t>
      </w:r>
      <w:r>
        <w:rPr>
          <w:rFonts w:ascii="SimSun" w:hAnsi="SimSun" w:eastAsia="SimSun" w:cs="SimSun"/>
          <w:sz w:val="21"/>
          <w:szCs w:val="21"/>
          <w:spacing w:val="-11"/>
        </w:rPr>
        <w:t>统。算法黑箱是指由于技术本身的复杂性和一些排他性商业政策，算</w:t>
      </w:r>
    </w:p>
    <w:p>
      <w:pPr>
        <w:spacing w:line="284" w:lineRule="auto"/>
        <w:sectPr>
          <w:headerReference w:type="default" r:id="rId384"/>
          <w:pgSz w:w="7330" w:h="12480"/>
          <w:pgMar w:top="866" w:right="929" w:bottom="400" w:left="285" w:header="703"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62"/>
        <w:spacing w:before="69" w:line="293" w:lineRule="auto"/>
        <w:jc w:val="both"/>
        <w:rPr>
          <w:rFonts w:ascii="SimSun" w:hAnsi="SimSun" w:eastAsia="SimSun" w:cs="SimSun"/>
          <w:sz w:val="21"/>
          <w:szCs w:val="21"/>
        </w:rPr>
      </w:pPr>
      <w:r>
        <w:rPr>
          <w:rFonts w:ascii="SimSun" w:hAnsi="SimSun" w:eastAsia="SimSun" w:cs="SimSun"/>
          <w:sz w:val="21"/>
          <w:szCs w:val="21"/>
          <w:spacing w:val="-7"/>
        </w:rPr>
        <w:t>法犹如一个未知的“黑箱”,用户不清楚算法的目</w:t>
      </w:r>
      <w:r>
        <w:rPr>
          <w:rFonts w:ascii="SimSun" w:hAnsi="SimSun" w:eastAsia="SimSun" w:cs="SimSun"/>
          <w:sz w:val="21"/>
          <w:szCs w:val="21"/>
          <w:spacing w:val="-8"/>
        </w:rPr>
        <w:t>标和意图，不知晓</w:t>
      </w:r>
      <w:r>
        <w:rPr>
          <w:rFonts w:ascii="SimSun" w:hAnsi="SimSun" w:eastAsia="SimSun" w:cs="SimSun"/>
          <w:sz w:val="21"/>
          <w:szCs w:val="21"/>
        </w:rPr>
        <w:t xml:space="preserve"> </w:t>
      </w:r>
      <w:r>
        <w:rPr>
          <w:rFonts w:ascii="SimSun" w:hAnsi="SimSun" w:eastAsia="SimSun" w:cs="SimSun"/>
          <w:sz w:val="21"/>
          <w:szCs w:val="21"/>
          <w:spacing w:val="-11"/>
        </w:rPr>
        <w:t>设计者和使用者对算法生成内容的责任归属，更无法评判和监督相关</w:t>
      </w:r>
      <w:r>
        <w:rPr>
          <w:rFonts w:ascii="SimSun" w:hAnsi="SimSun" w:eastAsia="SimSun" w:cs="SimSun"/>
          <w:sz w:val="21"/>
          <w:szCs w:val="21"/>
          <w:spacing w:val="8"/>
        </w:rPr>
        <w:t xml:space="preserve"> </w:t>
      </w:r>
      <w:r>
        <w:rPr>
          <w:rFonts w:ascii="SimSun" w:hAnsi="SimSun" w:eastAsia="SimSun" w:cs="SimSun"/>
          <w:sz w:val="21"/>
          <w:szCs w:val="21"/>
          <w:spacing w:val="-10"/>
        </w:rPr>
        <w:t>算法及其设计者和使用者。人类的普遍利益在于实现可理解、可信赖</w:t>
      </w:r>
      <w:r>
        <w:rPr>
          <w:rFonts w:ascii="SimSun" w:hAnsi="SimSun" w:eastAsia="SimSun" w:cs="SimSun"/>
          <w:sz w:val="21"/>
          <w:szCs w:val="21"/>
        </w:rPr>
        <w:t xml:space="preserve"> </w:t>
      </w:r>
      <w:r>
        <w:rPr>
          <w:rFonts w:ascii="SimSun" w:hAnsi="SimSun" w:eastAsia="SimSun" w:cs="SimSun"/>
          <w:sz w:val="21"/>
          <w:szCs w:val="21"/>
          <w:spacing w:val="-11"/>
        </w:rPr>
        <w:t>的人工智能。因而算法黑箱是目前需要面对的紧要问题。</w:t>
      </w:r>
    </w:p>
    <w:p>
      <w:pPr>
        <w:ind w:right="43" w:firstLine="429"/>
        <w:spacing w:before="97" w:line="303" w:lineRule="auto"/>
        <w:jc w:val="both"/>
        <w:rPr>
          <w:rFonts w:ascii="SimSun" w:hAnsi="SimSun" w:eastAsia="SimSun" w:cs="SimSun"/>
          <w:sz w:val="21"/>
          <w:szCs w:val="21"/>
        </w:rPr>
      </w:pPr>
      <w:r>
        <w:rPr>
          <w:rFonts w:ascii="SimSun" w:hAnsi="SimSun" w:eastAsia="SimSun" w:cs="SimSun"/>
          <w:sz w:val="21"/>
          <w:szCs w:val="21"/>
          <w:spacing w:val="-11"/>
        </w:rPr>
        <w:t>三是与算法相关的垄断。这是指为了确保和巩固自身的数据利益</w:t>
      </w:r>
      <w:r>
        <w:rPr>
          <w:rFonts w:ascii="SimSun" w:hAnsi="SimSun" w:eastAsia="SimSun" w:cs="SimSun"/>
          <w:sz w:val="21"/>
          <w:szCs w:val="21"/>
          <w:spacing w:val="16"/>
        </w:rPr>
        <w:t xml:space="preserve"> </w:t>
      </w:r>
      <w:r>
        <w:rPr>
          <w:rFonts w:ascii="SimSun" w:hAnsi="SimSun" w:eastAsia="SimSun" w:cs="SimSun"/>
          <w:sz w:val="21"/>
          <w:szCs w:val="21"/>
          <w:spacing w:val="-11"/>
        </w:rPr>
        <w:t>和优势地位，处于市场支配地位的平台企业可能会利用大数据和算法</w:t>
      </w:r>
      <w:r>
        <w:rPr>
          <w:rFonts w:ascii="SimSun" w:hAnsi="SimSun" w:eastAsia="SimSun" w:cs="SimSun"/>
          <w:sz w:val="21"/>
          <w:szCs w:val="21"/>
          <w:spacing w:val="5"/>
        </w:rPr>
        <w:t xml:space="preserve"> </w:t>
      </w:r>
      <w:r>
        <w:rPr>
          <w:rFonts w:ascii="SimSun" w:hAnsi="SimSun" w:eastAsia="SimSun" w:cs="SimSun"/>
          <w:sz w:val="21"/>
          <w:szCs w:val="21"/>
          <w:spacing w:val="-16"/>
        </w:rPr>
        <w:t>来排除和限制市场竞争。具体来说，</w:t>
      </w:r>
      <w:r>
        <w:rPr>
          <w:rFonts w:ascii="SimSun" w:hAnsi="SimSun" w:eastAsia="SimSun" w:cs="SimSun"/>
          <w:sz w:val="21"/>
          <w:szCs w:val="21"/>
          <w:spacing w:val="52"/>
        </w:rPr>
        <w:t xml:space="preserve"> </w:t>
      </w:r>
      <w:r>
        <w:rPr>
          <w:rFonts w:ascii="SimSun" w:hAnsi="SimSun" w:eastAsia="SimSun" w:cs="SimSun"/>
          <w:sz w:val="21"/>
          <w:szCs w:val="21"/>
          <w:spacing w:val="-16"/>
        </w:rPr>
        <w:t>一些平台或企业可以运用算法规</w:t>
      </w:r>
      <w:r>
        <w:rPr>
          <w:rFonts w:ascii="SimSun" w:hAnsi="SimSun" w:eastAsia="SimSun" w:cs="SimSun"/>
          <w:sz w:val="21"/>
          <w:szCs w:val="21"/>
        </w:rPr>
        <w:t xml:space="preserve"> </w:t>
      </w:r>
      <w:r>
        <w:rPr>
          <w:rFonts w:ascii="SimSun" w:hAnsi="SimSun" w:eastAsia="SimSun" w:cs="SimSun"/>
          <w:sz w:val="21"/>
          <w:szCs w:val="21"/>
          <w:spacing w:val="-11"/>
        </w:rPr>
        <w:t>则、垄断协议、拒绝交易、纵向约束等方式，策略性设置数据访问和</w:t>
      </w:r>
      <w:r>
        <w:rPr>
          <w:rFonts w:ascii="SimSun" w:hAnsi="SimSun" w:eastAsia="SimSun" w:cs="SimSun"/>
          <w:sz w:val="21"/>
          <w:szCs w:val="21"/>
          <w:spacing w:val="15"/>
        </w:rPr>
        <w:t xml:space="preserve"> </w:t>
      </w:r>
      <w:r>
        <w:rPr>
          <w:rFonts w:ascii="SimSun" w:hAnsi="SimSun" w:eastAsia="SimSun" w:cs="SimSun"/>
          <w:sz w:val="21"/>
          <w:szCs w:val="21"/>
          <w:spacing w:val="-10"/>
        </w:rPr>
        <w:t>数据共享壁垒，增加用户转换成本，提高其竞争对手进入市</w:t>
      </w:r>
      <w:r>
        <w:rPr>
          <w:rFonts w:ascii="SimSun" w:hAnsi="SimSun" w:eastAsia="SimSun" w:cs="SimSun"/>
          <w:sz w:val="21"/>
          <w:szCs w:val="21"/>
          <w:spacing w:val="-11"/>
        </w:rPr>
        <w:t>场的门槛</w:t>
      </w:r>
      <w:r>
        <w:rPr>
          <w:rFonts w:ascii="SimSun" w:hAnsi="SimSun" w:eastAsia="SimSun" w:cs="SimSun"/>
          <w:sz w:val="21"/>
          <w:szCs w:val="21"/>
        </w:rPr>
        <w:t xml:space="preserve"> </w:t>
      </w:r>
      <w:r>
        <w:rPr>
          <w:rFonts w:ascii="SimSun" w:hAnsi="SimSun" w:eastAsia="SimSun" w:cs="SimSun"/>
          <w:sz w:val="21"/>
          <w:szCs w:val="21"/>
          <w:spacing w:val="-11"/>
        </w:rPr>
        <w:t>和成本，防止后者以此来跨越市场壁垒，进入其所在的市场与其展开</w:t>
      </w:r>
      <w:r>
        <w:rPr>
          <w:rFonts w:ascii="SimSun" w:hAnsi="SimSun" w:eastAsia="SimSun" w:cs="SimSun"/>
          <w:sz w:val="21"/>
          <w:szCs w:val="21"/>
          <w:spacing w:val="7"/>
        </w:rPr>
        <w:t xml:space="preserve"> </w:t>
      </w:r>
      <w:r>
        <w:rPr>
          <w:rFonts w:ascii="SimSun" w:hAnsi="SimSun" w:eastAsia="SimSun" w:cs="SimSun"/>
          <w:sz w:val="21"/>
          <w:szCs w:val="21"/>
          <w:spacing w:val="-10"/>
        </w:rPr>
        <w:t>竞争。</w:t>
      </w:r>
    </w:p>
    <w:p>
      <w:pPr>
        <w:ind w:right="40" w:firstLine="469"/>
        <w:spacing w:before="109" w:line="297" w:lineRule="auto"/>
        <w:jc w:val="both"/>
        <w:rPr>
          <w:rFonts w:ascii="SimSun" w:hAnsi="SimSun" w:eastAsia="SimSun" w:cs="SimSun"/>
          <w:sz w:val="21"/>
          <w:szCs w:val="21"/>
        </w:rPr>
      </w:pPr>
      <w:r>
        <w:rPr>
          <w:rFonts w:ascii="SimSun" w:hAnsi="SimSun" w:eastAsia="SimSun" w:cs="SimSun"/>
          <w:sz w:val="21"/>
          <w:szCs w:val="21"/>
          <w:spacing w:val="-1"/>
        </w:rPr>
        <w:t>与算法治理相关的问题还有不少，如算法不平等(算法的内置</w:t>
      </w:r>
      <w:r>
        <w:rPr>
          <w:rFonts w:ascii="SimSun" w:hAnsi="SimSun" w:eastAsia="SimSun" w:cs="SimSun"/>
          <w:sz w:val="21"/>
          <w:szCs w:val="21"/>
          <w:spacing w:val="13"/>
        </w:rPr>
        <w:t xml:space="preserve"> </w:t>
      </w:r>
      <w:r>
        <w:rPr>
          <w:rFonts w:ascii="SimSun" w:hAnsi="SimSun" w:eastAsia="SimSun" w:cs="SimSun"/>
          <w:sz w:val="21"/>
          <w:szCs w:val="21"/>
          <w:spacing w:val="-4"/>
        </w:rPr>
        <w:t>歧视规则影响社会收入分配、福利公平性)、算法共谋(平台经营者</w:t>
      </w:r>
      <w:r>
        <w:rPr>
          <w:rFonts w:ascii="SimSun" w:hAnsi="SimSun" w:eastAsia="SimSun" w:cs="SimSun"/>
          <w:sz w:val="21"/>
          <w:szCs w:val="21"/>
          <w:spacing w:val="8"/>
        </w:rPr>
        <w:t xml:space="preserve"> </w:t>
      </w:r>
      <w:r>
        <w:rPr>
          <w:rFonts w:ascii="SimSun" w:hAnsi="SimSun" w:eastAsia="SimSun" w:cs="SimSun"/>
          <w:sz w:val="21"/>
          <w:szCs w:val="21"/>
          <w:spacing w:val="-4"/>
        </w:rPr>
        <w:t>或平台内经营者通过算法进行共谋垄断)、算法共振(如算法使多个</w:t>
      </w:r>
      <w:r>
        <w:rPr>
          <w:rFonts w:ascii="SimSun" w:hAnsi="SimSun" w:eastAsia="SimSun" w:cs="SimSun"/>
          <w:sz w:val="21"/>
          <w:szCs w:val="21"/>
          <w:spacing w:val="7"/>
        </w:rPr>
        <w:t xml:space="preserve"> </w:t>
      </w:r>
      <w:r>
        <w:rPr>
          <w:rFonts w:ascii="SimSun" w:hAnsi="SimSun" w:eastAsia="SimSun" w:cs="SimSun"/>
          <w:sz w:val="21"/>
          <w:szCs w:val="21"/>
          <w:spacing w:val="-7"/>
        </w:rPr>
        <w:t>金融平台对某事件迅速产生同方向的反应，加剧金融系统风险)等问</w:t>
      </w:r>
      <w:r>
        <w:rPr>
          <w:rFonts w:ascii="SimSun" w:hAnsi="SimSun" w:eastAsia="SimSun" w:cs="SimSun"/>
          <w:sz w:val="21"/>
          <w:szCs w:val="21"/>
          <w:spacing w:val="7"/>
        </w:rPr>
        <w:t xml:space="preserve"> </w:t>
      </w:r>
      <w:r>
        <w:rPr>
          <w:rFonts w:ascii="SimSun" w:hAnsi="SimSun" w:eastAsia="SimSun" w:cs="SimSun"/>
          <w:sz w:val="21"/>
          <w:szCs w:val="21"/>
          <w:spacing w:val="-11"/>
        </w:rPr>
        <w:t>题，在这里不一一列举。</w:t>
      </w:r>
    </w:p>
    <w:p>
      <w:pPr>
        <w:pStyle w:val="BodyText"/>
        <w:spacing w:line="375"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1"/>
        </w:rPr>
        <w:t>算法治理问题的原因</w:t>
      </w:r>
    </w:p>
    <w:p>
      <w:pPr>
        <w:pStyle w:val="BodyText"/>
        <w:spacing w:line="365" w:lineRule="auto"/>
        <w:rPr/>
      </w:pPr>
      <w:r/>
    </w:p>
    <w:p>
      <w:pPr>
        <w:ind w:firstLine="490"/>
        <w:spacing w:before="68" w:line="304" w:lineRule="auto"/>
        <w:rPr>
          <w:rFonts w:ascii="SimSun" w:hAnsi="SimSun" w:eastAsia="SimSun" w:cs="SimSun"/>
          <w:sz w:val="21"/>
          <w:szCs w:val="21"/>
        </w:rPr>
      </w:pPr>
      <w:r>
        <w:rPr>
          <w:rFonts w:ascii="SimSun" w:hAnsi="SimSun" w:eastAsia="SimSun" w:cs="SimSun"/>
          <w:sz w:val="21"/>
          <w:szCs w:val="21"/>
          <w:spacing w:val="-4"/>
        </w:rPr>
        <w:t>首先需要看到的是，算法治理相关问题是数字技术优势的副产</w:t>
      </w:r>
      <w:r>
        <w:rPr>
          <w:rFonts w:ascii="SimSun" w:hAnsi="SimSun" w:eastAsia="SimSun" w:cs="SimSun"/>
          <w:sz w:val="21"/>
          <w:szCs w:val="21"/>
          <w:spacing w:val="9"/>
        </w:rPr>
        <w:t xml:space="preserve"> </w:t>
      </w:r>
      <w:r>
        <w:rPr>
          <w:rFonts w:ascii="SimSun" w:hAnsi="SimSun" w:eastAsia="SimSun" w:cs="SimSun"/>
          <w:sz w:val="21"/>
          <w:szCs w:val="21"/>
          <w:spacing w:val="-11"/>
        </w:rPr>
        <w:t>品，也就是说，在一定程度上，算法带来的收益与算法治理问题是一</w:t>
      </w:r>
      <w:r>
        <w:rPr>
          <w:rFonts w:ascii="SimSun" w:hAnsi="SimSun" w:eastAsia="SimSun" w:cs="SimSun"/>
          <w:sz w:val="21"/>
          <w:szCs w:val="21"/>
          <w:spacing w:val="9"/>
        </w:rPr>
        <w:t xml:space="preserve"> </w:t>
      </w:r>
      <w:r>
        <w:rPr>
          <w:rFonts w:ascii="SimSun" w:hAnsi="SimSun" w:eastAsia="SimSun" w:cs="SimSun"/>
          <w:sz w:val="21"/>
          <w:szCs w:val="21"/>
          <w:spacing w:val="-4"/>
        </w:rPr>
        <w:t>枚硬币的两面。数字技术的一个主要优势就是能满足长尾客户的需 </w:t>
      </w:r>
      <w:r>
        <w:rPr>
          <w:rFonts w:ascii="SimSun" w:hAnsi="SimSun" w:eastAsia="SimSun" w:cs="SimSun"/>
          <w:sz w:val="21"/>
          <w:szCs w:val="21"/>
          <w:spacing w:val="-4"/>
        </w:rPr>
        <w:t>求，而这一特征本身就标志着由于可以触达的消费者变得更加多样 </w:t>
      </w:r>
      <w:r>
        <w:rPr>
          <w:rFonts w:ascii="SimSun" w:hAnsi="SimSun" w:eastAsia="SimSun" w:cs="SimSun"/>
          <w:sz w:val="21"/>
          <w:szCs w:val="21"/>
          <w:spacing w:val="-8"/>
        </w:rPr>
        <w:t>化，因此需求更为多样化，为满足这些需求，相应就</w:t>
      </w:r>
      <w:r>
        <w:rPr>
          <w:rFonts w:ascii="SimSun" w:hAnsi="SimSun" w:eastAsia="SimSun" w:cs="SimSun"/>
          <w:sz w:val="21"/>
          <w:szCs w:val="21"/>
          <w:spacing w:val="-9"/>
        </w:rPr>
        <w:t>会有更多产品。</w:t>
      </w:r>
      <w:r>
        <w:rPr>
          <w:rFonts w:ascii="SimSun" w:hAnsi="SimSun" w:eastAsia="SimSun" w:cs="SimSun"/>
          <w:sz w:val="21"/>
          <w:szCs w:val="21"/>
        </w:rPr>
        <w:t xml:space="preserve"> </w:t>
      </w:r>
      <w:r>
        <w:rPr>
          <w:rFonts w:ascii="SimSun" w:hAnsi="SimSun" w:eastAsia="SimSun" w:cs="SimSun"/>
          <w:sz w:val="21"/>
          <w:szCs w:val="21"/>
          <w:spacing w:val="-11"/>
        </w:rPr>
        <w:t>要满足多样化需求，平台企业除了对不同群体采取差别定价外，也面</w:t>
      </w:r>
      <w:r>
        <w:rPr>
          <w:rFonts w:ascii="SimSun" w:hAnsi="SimSun" w:eastAsia="SimSun" w:cs="SimSun"/>
          <w:sz w:val="21"/>
          <w:szCs w:val="21"/>
          <w:spacing w:val="7"/>
        </w:rPr>
        <w:t xml:space="preserve"> </w:t>
      </w:r>
      <w:r>
        <w:rPr>
          <w:rFonts w:ascii="SimSun" w:hAnsi="SimSun" w:eastAsia="SimSun" w:cs="SimSun"/>
          <w:sz w:val="21"/>
          <w:szCs w:val="21"/>
          <w:spacing w:val="-4"/>
        </w:rPr>
        <w:t>临如何在给消费者良好体验的背景下迅速满足需求的问题。这就对</w:t>
      </w:r>
      <w:r>
        <w:rPr>
          <w:rFonts w:ascii="SimSun" w:hAnsi="SimSun" w:eastAsia="SimSun" w:cs="SimSun"/>
          <w:sz w:val="21"/>
          <w:szCs w:val="21"/>
          <w:spacing w:val="3"/>
        </w:rPr>
        <w:t xml:space="preserve"> </w:t>
      </w:r>
      <w:r>
        <w:rPr>
          <w:rFonts w:ascii="SimSun" w:hAnsi="SimSun" w:eastAsia="SimSun" w:cs="SimSun"/>
          <w:sz w:val="21"/>
          <w:szCs w:val="21"/>
          <w:spacing w:val="-9"/>
        </w:rPr>
        <w:t>算法提出两个要求，</w:t>
      </w:r>
      <w:r>
        <w:rPr>
          <w:rFonts w:ascii="SimSun" w:hAnsi="SimSun" w:eastAsia="SimSun" w:cs="SimSun"/>
          <w:sz w:val="21"/>
          <w:szCs w:val="21"/>
          <w:spacing w:val="56"/>
        </w:rPr>
        <w:t xml:space="preserve"> </w:t>
      </w:r>
      <w:r>
        <w:rPr>
          <w:rFonts w:ascii="SimSun" w:hAnsi="SimSun" w:eastAsia="SimSun" w:cs="SimSun"/>
          <w:sz w:val="21"/>
          <w:szCs w:val="21"/>
          <w:spacing w:val="-9"/>
        </w:rPr>
        <w:t>一是算法速度要快，二是</w:t>
      </w:r>
      <w:r>
        <w:rPr>
          <w:rFonts w:ascii="SimSun" w:hAnsi="SimSun" w:eastAsia="SimSun" w:cs="SimSun"/>
          <w:sz w:val="21"/>
          <w:szCs w:val="21"/>
          <w:spacing w:val="-10"/>
        </w:rPr>
        <w:t>预测要尽量准确。但</w:t>
      </w:r>
    </w:p>
    <w:p>
      <w:pPr>
        <w:spacing w:line="304" w:lineRule="auto"/>
        <w:sectPr>
          <w:headerReference w:type="default" r:id="rId385"/>
          <w:pgSz w:w="7330" w:h="12480"/>
          <w:pgMar w:top="557" w:right="427" w:bottom="400" w:left="840" w:header="383" w:footer="0" w:gutter="0"/>
        </w:sectPr>
        <w:rPr>
          <w:rFonts w:ascii="SimSun" w:hAnsi="SimSun" w:eastAsia="SimSun" w:cs="SimSun"/>
          <w:sz w:val="21"/>
          <w:szCs w:val="21"/>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19"/>
        <w:spacing w:before="68" w:line="297" w:lineRule="auto"/>
        <w:jc w:val="both"/>
        <w:rPr>
          <w:rFonts w:ascii="SimSun" w:hAnsi="SimSun" w:eastAsia="SimSun" w:cs="SimSun"/>
          <w:sz w:val="21"/>
          <w:szCs w:val="21"/>
        </w:rPr>
      </w:pPr>
      <w:r>
        <w:rPr>
          <w:rFonts w:ascii="SimSun" w:hAnsi="SimSun" w:eastAsia="SimSun" w:cs="SimSun"/>
          <w:sz w:val="21"/>
          <w:szCs w:val="21"/>
          <w:spacing w:val="-11"/>
        </w:rPr>
        <w:t>是，对同一个消费者同时展示所有产品既不现实，也无法提高服务效</w:t>
      </w:r>
      <w:r>
        <w:rPr>
          <w:rFonts w:ascii="SimSun" w:hAnsi="SimSun" w:eastAsia="SimSun" w:cs="SimSun"/>
          <w:sz w:val="21"/>
          <w:szCs w:val="21"/>
          <w:spacing w:val="7"/>
        </w:rPr>
        <w:t xml:space="preserve"> </w:t>
      </w:r>
      <w:r>
        <w:rPr>
          <w:rFonts w:ascii="SimSun" w:hAnsi="SimSun" w:eastAsia="SimSun" w:cs="SimSun"/>
          <w:sz w:val="21"/>
          <w:szCs w:val="21"/>
          <w:spacing w:val="-11"/>
        </w:rPr>
        <w:t>率，提升消费者体验。因此，对不同消费者展示不同的选项，是提高</w:t>
      </w:r>
      <w:r>
        <w:rPr>
          <w:rFonts w:ascii="SimSun" w:hAnsi="SimSun" w:eastAsia="SimSun" w:cs="SimSun"/>
          <w:sz w:val="21"/>
          <w:szCs w:val="21"/>
          <w:spacing w:val="7"/>
        </w:rPr>
        <w:t xml:space="preserve"> </w:t>
      </w:r>
      <w:r>
        <w:rPr>
          <w:rFonts w:ascii="SimSun" w:hAnsi="SimSun" w:eastAsia="SimSun" w:cs="SimSun"/>
          <w:sz w:val="21"/>
          <w:szCs w:val="21"/>
          <w:spacing w:val="-11"/>
        </w:rPr>
        <w:t>效率、提高用户体验的必然选择。从价格角度看，就出现“大数据杀</w:t>
      </w:r>
      <w:r>
        <w:rPr>
          <w:rFonts w:ascii="SimSun" w:hAnsi="SimSun" w:eastAsia="SimSun" w:cs="SimSun"/>
          <w:sz w:val="21"/>
          <w:szCs w:val="21"/>
          <w:spacing w:val="9"/>
        </w:rPr>
        <w:t xml:space="preserve"> </w:t>
      </w:r>
      <w:r>
        <w:rPr>
          <w:rFonts w:ascii="SimSun" w:hAnsi="SimSun" w:eastAsia="SimSun" w:cs="SimSun"/>
          <w:sz w:val="21"/>
          <w:szCs w:val="21"/>
          <w:spacing w:val="-11"/>
        </w:rPr>
        <w:t>熟”问题；从产品内容角度看，就更容易基于用户过去的选择而推荐</w:t>
      </w:r>
      <w:r>
        <w:rPr>
          <w:rFonts w:ascii="SimSun" w:hAnsi="SimSun" w:eastAsia="SimSun" w:cs="SimSun"/>
          <w:sz w:val="21"/>
          <w:szCs w:val="21"/>
          <w:spacing w:val="9"/>
        </w:rPr>
        <w:t xml:space="preserve"> </w:t>
      </w:r>
      <w:r>
        <w:rPr>
          <w:rFonts w:ascii="SimSun" w:hAnsi="SimSun" w:eastAsia="SimSun" w:cs="SimSun"/>
          <w:sz w:val="21"/>
          <w:szCs w:val="21"/>
          <w:spacing w:val="-12"/>
        </w:rPr>
        <w:t>类似产品，从而产生“信息茧房”问题。</w:t>
      </w:r>
    </w:p>
    <w:p>
      <w:pPr>
        <w:ind w:firstLine="399"/>
        <w:spacing w:before="106" w:line="300" w:lineRule="auto"/>
        <w:jc w:val="both"/>
        <w:rPr>
          <w:rFonts w:ascii="SimSun" w:hAnsi="SimSun" w:eastAsia="SimSun" w:cs="SimSun"/>
          <w:sz w:val="21"/>
          <w:szCs w:val="21"/>
        </w:rPr>
      </w:pPr>
      <w:r>
        <w:rPr>
          <w:rFonts w:ascii="SimSun" w:hAnsi="SimSun" w:eastAsia="SimSun" w:cs="SimSun"/>
          <w:sz w:val="21"/>
          <w:szCs w:val="21"/>
          <w:spacing w:val="-11"/>
        </w:rPr>
        <w:t>其次，基于预测分析的常用算法重预测效果，但是不重视因果分</w:t>
      </w:r>
      <w:r>
        <w:rPr>
          <w:rFonts w:ascii="SimSun" w:hAnsi="SimSun" w:eastAsia="SimSun" w:cs="SimSun"/>
          <w:sz w:val="21"/>
          <w:szCs w:val="21"/>
          <w:spacing w:val="5"/>
        </w:rPr>
        <w:t xml:space="preserve"> </w:t>
      </w:r>
      <w:r>
        <w:rPr>
          <w:rFonts w:ascii="SimSun" w:hAnsi="SimSun" w:eastAsia="SimSun" w:cs="SimSun"/>
          <w:sz w:val="21"/>
          <w:szCs w:val="21"/>
          <w:spacing w:val="-3"/>
        </w:rPr>
        <w:t>析。现有常用算法包括无监督学习的聚类算法，如采用</w:t>
      </w:r>
      <w:r>
        <w:rPr>
          <w:rFonts w:ascii="Times New Roman" w:hAnsi="Times New Roman" w:eastAsia="Times New Roman" w:cs="Times New Roman"/>
          <w:sz w:val="21"/>
          <w:szCs w:val="21"/>
          <w:spacing w:val="-3"/>
        </w:rPr>
        <w:t>K-means</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聚</w:t>
      </w:r>
      <w:r>
        <w:rPr>
          <w:rFonts w:ascii="SimSun" w:hAnsi="SimSun" w:eastAsia="SimSun" w:cs="SimSun"/>
          <w:sz w:val="21"/>
          <w:szCs w:val="21"/>
        </w:rPr>
        <w:t xml:space="preserve"> </w:t>
      </w:r>
      <w:r>
        <w:rPr>
          <w:rFonts w:ascii="SimSun" w:hAnsi="SimSun" w:eastAsia="SimSun" w:cs="SimSun"/>
          <w:sz w:val="21"/>
          <w:szCs w:val="21"/>
          <w:spacing w:val="-11"/>
        </w:rPr>
        <w:t>类等方法将用户和个体、书、音像制品等分类，以及有监督学习的支</w:t>
      </w:r>
      <w:r>
        <w:rPr>
          <w:rFonts w:ascii="SimSun" w:hAnsi="SimSun" w:eastAsia="SimSun" w:cs="SimSun"/>
          <w:sz w:val="21"/>
          <w:szCs w:val="21"/>
          <w:spacing w:val="9"/>
        </w:rPr>
        <w:t xml:space="preserve"> </w:t>
      </w:r>
      <w:r>
        <w:rPr>
          <w:rFonts w:ascii="SimSun" w:hAnsi="SimSun" w:eastAsia="SimSun" w:cs="SimSun"/>
          <w:sz w:val="21"/>
          <w:szCs w:val="21"/>
          <w:spacing w:val="-2"/>
        </w:rPr>
        <w:t>持向量机、卷积神经网络</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(CNN)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spacing w:val="-49"/>
        </w:rPr>
        <w:t xml:space="preserve"> </w:t>
      </w:r>
      <w:r>
        <w:rPr>
          <w:rFonts w:ascii="SimSun" w:hAnsi="SimSun" w:eastAsia="SimSun" w:cs="SimSun"/>
          <w:sz w:val="21"/>
          <w:szCs w:val="21"/>
          <w:spacing w:val="-2"/>
        </w:rPr>
        <w:t>图卷积神经网络</w:t>
      </w:r>
      <w:r>
        <w:rPr>
          <w:rFonts w:ascii="Times New Roman" w:hAnsi="Times New Roman" w:eastAsia="Times New Roman" w:cs="Times New Roman"/>
          <w:sz w:val="21"/>
          <w:szCs w:val="21"/>
          <w:spacing w:val="-2"/>
        </w:rPr>
        <w:t>(GCN)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等。这</w:t>
      </w:r>
      <w:r>
        <w:rPr>
          <w:rFonts w:ascii="SimSun" w:hAnsi="SimSun" w:eastAsia="SimSun" w:cs="SimSun"/>
          <w:sz w:val="21"/>
          <w:szCs w:val="21"/>
        </w:rPr>
        <w:t xml:space="preserve"> </w:t>
      </w:r>
      <w:r>
        <w:rPr>
          <w:rFonts w:ascii="SimSun" w:hAnsi="SimSun" w:eastAsia="SimSun" w:cs="SimSun"/>
          <w:sz w:val="21"/>
          <w:szCs w:val="21"/>
          <w:spacing w:val="-11"/>
        </w:rPr>
        <w:t>些算法的共同特征是追求尽可能准确的预测，而不追求对从输入到输</w:t>
      </w:r>
      <w:r>
        <w:rPr>
          <w:rFonts w:ascii="SimSun" w:hAnsi="SimSun" w:eastAsia="SimSun" w:cs="SimSun"/>
          <w:sz w:val="21"/>
          <w:szCs w:val="21"/>
          <w:spacing w:val="6"/>
        </w:rPr>
        <w:t xml:space="preserve"> </w:t>
      </w:r>
      <w:r>
        <w:rPr>
          <w:rFonts w:ascii="SimSun" w:hAnsi="SimSun" w:eastAsia="SimSun" w:cs="SimSun"/>
          <w:sz w:val="21"/>
          <w:szCs w:val="21"/>
          <w:spacing w:val="-11"/>
        </w:rPr>
        <w:t>出的因果关系的推演。要利用好已经获得的大数据实现短时间甚至实</w:t>
      </w:r>
      <w:r>
        <w:rPr>
          <w:rFonts w:ascii="SimSun" w:hAnsi="SimSun" w:eastAsia="SimSun" w:cs="SimSun"/>
          <w:sz w:val="21"/>
          <w:szCs w:val="21"/>
          <w:spacing w:val="9"/>
        </w:rPr>
        <w:t xml:space="preserve"> </w:t>
      </w:r>
      <w:r>
        <w:rPr>
          <w:rFonts w:ascii="SimSun" w:hAnsi="SimSun" w:eastAsia="SimSun" w:cs="SimSun"/>
          <w:sz w:val="21"/>
          <w:szCs w:val="21"/>
          <w:spacing w:val="-10"/>
        </w:rPr>
        <w:t>时的相对准确的预测，模型往往比较复杂，涉</w:t>
      </w:r>
      <w:r>
        <w:rPr>
          <w:rFonts w:ascii="SimSun" w:hAnsi="SimSun" w:eastAsia="SimSun" w:cs="SimSun"/>
          <w:sz w:val="21"/>
          <w:szCs w:val="21"/>
          <w:spacing w:val="-11"/>
        </w:rPr>
        <w:t>及很多参数。这就容易</w:t>
      </w:r>
      <w:r>
        <w:rPr>
          <w:rFonts w:ascii="SimSun" w:hAnsi="SimSun" w:eastAsia="SimSun" w:cs="SimSun"/>
          <w:sz w:val="21"/>
          <w:szCs w:val="21"/>
        </w:rPr>
        <w:t xml:space="preserve"> </w:t>
      </w:r>
      <w:r>
        <w:rPr>
          <w:rFonts w:ascii="SimSun" w:hAnsi="SimSun" w:eastAsia="SimSun" w:cs="SimSun"/>
          <w:sz w:val="21"/>
          <w:szCs w:val="21"/>
          <w:spacing w:val="-15"/>
        </w:rPr>
        <w:t>产生两个问题：</w:t>
      </w:r>
      <w:r>
        <w:rPr>
          <w:rFonts w:ascii="SimSun" w:hAnsi="SimSun" w:eastAsia="SimSun" w:cs="SimSun"/>
          <w:sz w:val="21"/>
          <w:szCs w:val="21"/>
          <w:spacing w:val="24"/>
        </w:rPr>
        <w:t xml:space="preserve"> </w:t>
      </w:r>
      <w:r>
        <w:rPr>
          <w:rFonts w:ascii="SimSun" w:hAnsi="SimSun" w:eastAsia="SimSun" w:cs="SimSun"/>
          <w:sz w:val="21"/>
          <w:szCs w:val="21"/>
          <w:spacing w:val="-15"/>
        </w:rPr>
        <w:t>一是模型可解释性差，即便是模型设计者也难以说清</w:t>
      </w:r>
      <w:r>
        <w:rPr>
          <w:rFonts w:ascii="SimSun" w:hAnsi="SimSun" w:eastAsia="SimSun" w:cs="SimSun"/>
          <w:sz w:val="21"/>
          <w:szCs w:val="21"/>
        </w:rPr>
        <w:t xml:space="preserve"> </w:t>
      </w:r>
      <w:r>
        <w:rPr>
          <w:rFonts w:ascii="SimSun" w:hAnsi="SimSun" w:eastAsia="SimSun" w:cs="SimSun"/>
          <w:sz w:val="21"/>
          <w:szCs w:val="21"/>
          <w:spacing w:val="-11"/>
        </w:rPr>
        <w:t>给定输入为什么会得到最终的输出；二是由于预测都是根据历史数据</w:t>
      </w:r>
      <w:r>
        <w:rPr>
          <w:rFonts w:ascii="SimSun" w:hAnsi="SimSun" w:eastAsia="SimSun" w:cs="SimSun"/>
          <w:sz w:val="21"/>
          <w:szCs w:val="21"/>
          <w:spacing w:val="10"/>
        </w:rPr>
        <w:t xml:space="preserve"> </w:t>
      </w:r>
      <w:r>
        <w:rPr>
          <w:rFonts w:ascii="SimSun" w:hAnsi="SimSun" w:eastAsia="SimSun" w:cs="SimSun"/>
          <w:sz w:val="21"/>
          <w:szCs w:val="21"/>
          <w:spacing w:val="-11"/>
        </w:rPr>
        <w:t>而不包含人做决策时会采用的对未来判断的信息，预测容易进一步强</w:t>
      </w:r>
      <w:r>
        <w:rPr>
          <w:rFonts w:ascii="SimSun" w:hAnsi="SimSun" w:eastAsia="SimSun" w:cs="SimSun"/>
          <w:sz w:val="21"/>
          <w:szCs w:val="21"/>
          <w:spacing w:val="9"/>
        </w:rPr>
        <w:t xml:space="preserve"> </w:t>
      </w:r>
      <w:r>
        <w:rPr>
          <w:rFonts w:ascii="SimSun" w:hAnsi="SimSun" w:eastAsia="SimSun" w:cs="SimSun"/>
          <w:sz w:val="21"/>
          <w:szCs w:val="21"/>
          <w:spacing w:val="-11"/>
        </w:rPr>
        <w:t>化过去的行为表现，从而产生“信息茧房”等问</w:t>
      </w:r>
      <w:r>
        <w:rPr>
          <w:rFonts w:ascii="SimSun" w:hAnsi="SimSun" w:eastAsia="SimSun" w:cs="SimSun"/>
          <w:sz w:val="21"/>
          <w:szCs w:val="21"/>
          <w:spacing w:val="-12"/>
        </w:rPr>
        <w:t>题。</w:t>
      </w:r>
    </w:p>
    <w:p>
      <w:pPr>
        <w:ind w:firstLine="420"/>
        <w:spacing w:before="196" w:line="308" w:lineRule="auto"/>
        <w:jc w:val="both"/>
        <w:rPr>
          <w:rFonts w:ascii="SimSun" w:hAnsi="SimSun" w:eastAsia="SimSun" w:cs="SimSun"/>
          <w:sz w:val="21"/>
          <w:szCs w:val="21"/>
        </w:rPr>
      </w:pPr>
      <w:r>
        <w:rPr>
          <w:rFonts w:ascii="SimSun" w:hAnsi="SimSun" w:eastAsia="SimSun" w:cs="SimSun"/>
          <w:sz w:val="21"/>
          <w:szCs w:val="21"/>
          <w:spacing w:val="-4"/>
        </w:rPr>
        <w:t>再次，存在对算法的认知误区，认为算法的判断比人的判断更</w:t>
      </w:r>
      <w:r>
        <w:rPr>
          <w:rFonts w:ascii="SimSun" w:hAnsi="SimSun" w:eastAsia="SimSun" w:cs="SimSun"/>
          <w:sz w:val="21"/>
          <w:szCs w:val="21"/>
          <w:spacing w:val="16"/>
        </w:rPr>
        <w:t xml:space="preserve"> </w:t>
      </w:r>
      <w:r>
        <w:rPr>
          <w:rFonts w:ascii="SimSun" w:hAnsi="SimSun" w:eastAsia="SimSun" w:cs="SimSun"/>
          <w:sz w:val="21"/>
          <w:szCs w:val="21"/>
          <w:spacing w:val="-4"/>
        </w:rPr>
        <w:t>准确，高估算法的效率、公平和有效性，低估其负外部性和对人与</w:t>
      </w:r>
      <w:r>
        <w:rPr>
          <w:rFonts w:ascii="SimSun" w:hAnsi="SimSun" w:eastAsia="SimSun" w:cs="SimSun"/>
          <w:sz w:val="21"/>
          <w:szCs w:val="21"/>
          <w:spacing w:val="11"/>
        </w:rPr>
        <w:t xml:space="preserve"> </w:t>
      </w:r>
      <w:r>
        <w:rPr>
          <w:rFonts w:ascii="SimSun" w:hAnsi="SimSun" w:eastAsia="SimSun" w:cs="SimSun"/>
          <w:sz w:val="21"/>
          <w:szCs w:val="21"/>
          <w:spacing w:val="-9"/>
        </w:rPr>
        <w:t>社会的负面福利影响。这样的认知误区至少有三类。</w:t>
      </w:r>
      <w:r>
        <w:rPr>
          <w:rFonts w:ascii="SimSun" w:hAnsi="SimSun" w:eastAsia="SimSun" w:cs="SimSun"/>
          <w:sz w:val="21"/>
          <w:szCs w:val="21"/>
          <w:spacing w:val="44"/>
        </w:rPr>
        <w:t xml:space="preserve"> </w:t>
      </w:r>
      <w:r>
        <w:rPr>
          <w:rFonts w:ascii="SimSun" w:hAnsi="SimSun" w:eastAsia="SimSun" w:cs="SimSun"/>
          <w:sz w:val="21"/>
          <w:szCs w:val="21"/>
          <w:spacing w:val="-9"/>
        </w:rPr>
        <w:t>一是认为有大</w:t>
      </w:r>
      <w:r>
        <w:rPr>
          <w:rFonts w:ascii="SimSun" w:hAnsi="SimSun" w:eastAsia="SimSun" w:cs="SimSun"/>
          <w:sz w:val="21"/>
          <w:szCs w:val="21"/>
        </w:rPr>
        <w:t xml:space="preserve"> </w:t>
      </w:r>
      <w:r>
        <w:rPr>
          <w:rFonts w:ascii="SimSun" w:hAnsi="SimSun" w:eastAsia="SimSun" w:cs="SimSun"/>
          <w:sz w:val="21"/>
          <w:szCs w:val="21"/>
          <w:spacing w:val="-4"/>
        </w:rPr>
        <w:t>数据就有了全样数据，基于这样的数据的判断是准确的。平台企业</w:t>
      </w:r>
      <w:r>
        <w:rPr>
          <w:rFonts w:ascii="SimSun" w:hAnsi="SimSun" w:eastAsia="SimSun" w:cs="SimSun"/>
          <w:sz w:val="21"/>
          <w:szCs w:val="21"/>
          <w:spacing w:val="2"/>
        </w:rPr>
        <w:t xml:space="preserve"> </w:t>
      </w:r>
      <w:r>
        <w:rPr>
          <w:rFonts w:ascii="SimSun" w:hAnsi="SimSun" w:eastAsia="SimSun" w:cs="SimSun"/>
          <w:sz w:val="21"/>
          <w:szCs w:val="21"/>
          <w:spacing w:val="-4"/>
        </w:rPr>
        <w:t>收集的大数据往往是在特定时期、特定领域的颗粒度很细、维度很</w:t>
      </w:r>
      <w:r>
        <w:rPr>
          <w:rFonts w:ascii="SimSun" w:hAnsi="SimSun" w:eastAsia="SimSun" w:cs="SimSun"/>
          <w:sz w:val="21"/>
          <w:szCs w:val="21"/>
          <w:spacing w:val="5"/>
        </w:rPr>
        <w:t xml:space="preserve"> </w:t>
      </w:r>
      <w:r>
        <w:rPr>
          <w:rFonts w:ascii="SimSun" w:hAnsi="SimSun" w:eastAsia="SimSun" w:cs="SimSun"/>
          <w:sz w:val="21"/>
          <w:szCs w:val="21"/>
          <w:spacing w:val="-4"/>
        </w:rPr>
        <w:t>高的数据，但是这样的数据不一定是全样数据，根据这样的数据得</w:t>
      </w:r>
      <w:r>
        <w:rPr>
          <w:rFonts w:ascii="SimSun" w:hAnsi="SimSun" w:eastAsia="SimSun" w:cs="SimSun"/>
          <w:sz w:val="21"/>
          <w:szCs w:val="21"/>
          <w:spacing w:val="3"/>
        </w:rPr>
        <w:t xml:space="preserve"> </w:t>
      </w:r>
      <w:r>
        <w:rPr>
          <w:rFonts w:ascii="SimSun" w:hAnsi="SimSun" w:eastAsia="SimSun" w:cs="SimSun"/>
          <w:sz w:val="21"/>
          <w:szCs w:val="21"/>
          <w:spacing w:val="-4"/>
        </w:rPr>
        <w:t>出的预测未必能外推到其他时期、其他领域去。二是认为算法是中</w:t>
      </w:r>
      <w:r>
        <w:rPr>
          <w:rFonts w:ascii="SimSun" w:hAnsi="SimSun" w:eastAsia="SimSun" w:cs="SimSun"/>
          <w:sz w:val="21"/>
          <w:szCs w:val="21"/>
          <w:spacing w:val="17"/>
        </w:rPr>
        <w:t xml:space="preserve"> </w:t>
      </w:r>
      <w:r>
        <w:rPr>
          <w:rFonts w:ascii="SimSun" w:hAnsi="SimSun" w:eastAsia="SimSun" w:cs="SimSun"/>
          <w:sz w:val="21"/>
          <w:szCs w:val="21"/>
          <w:spacing w:val="-4"/>
        </w:rPr>
        <w:t>立的，因此根据算法做决策比由人来做决策更客观、更公正。算法</w:t>
      </w:r>
      <w:r>
        <w:rPr>
          <w:rFonts w:ascii="SimSun" w:hAnsi="SimSun" w:eastAsia="SimSun" w:cs="SimSun"/>
          <w:sz w:val="21"/>
          <w:szCs w:val="21"/>
          <w:spacing w:val="2"/>
        </w:rPr>
        <w:t xml:space="preserve"> </w:t>
      </w:r>
      <w:r>
        <w:rPr>
          <w:rFonts w:ascii="SimSun" w:hAnsi="SimSun" w:eastAsia="SimSun" w:cs="SimSun"/>
          <w:sz w:val="21"/>
          <w:szCs w:val="21"/>
          <w:spacing w:val="-4"/>
        </w:rPr>
        <w:t>模型往往涉及大量的参数设定，这些参数的设定与调整往往需要人</w:t>
      </w:r>
      <w:r>
        <w:rPr>
          <w:rFonts w:ascii="SimSun" w:hAnsi="SimSun" w:eastAsia="SimSun" w:cs="SimSun"/>
          <w:sz w:val="21"/>
          <w:szCs w:val="21"/>
          <w:spacing w:val="3"/>
        </w:rPr>
        <w:t xml:space="preserve"> </w:t>
      </w:r>
      <w:r>
        <w:rPr>
          <w:rFonts w:ascii="SimSun" w:hAnsi="SimSun" w:eastAsia="SimSun" w:cs="SimSun"/>
          <w:sz w:val="21"/>
          <w:szCs w:val="21"/>
          <w:spacing w:val="-4"/>
        </w:rPr>
        <w:t>来做决策；另外，算法模型在使用过程中需要</w:t>
      </w:r>
      <w:r>
        <w:rPr>
          <w:rFonts w:ascii="SimSun" w:hAnsi="SimSun" w:eastAsia="SimSun" w:cs="SimSun"/>
          <w:sz w:val="21"/>
          <w:szCs w:val="21"/>
          <w:spacing w:val="-5"/>
        </w:rPr>
        <w:t>不断优化以适应新的</w:t>
      </w:r>
      <w:r>
        <w:rPr>
          <w:rFonts w:ascii="SimSun" w:hAnsi="SimSun" w:eastAsia="SimSun" w:cs="SimSun"/>
          <w:sz w:val="21"/>
          <w:szCs w:val="21"/>
        </w:rPr>
        <w:t xml:space="preserve"> </w:t>
      </w:r>
      <w:r>
        <w:rPr>
          <w:rFonts w:ascii="SimSun" w:hAnsi="SimSun" w:eastAsia="SimSun" w:cs="SimSun"/>
          <w:sz w:val="21"/>
          <w:szCs w:val="21"/>
          <w:spacing w:val="-4"/>
        </w:rPr>
        <w:t>环境，模型如何优化的决策也需要大量的人参与。因此，不能认为</w:t>
      </w:r>
    </w:p>
    <w:p>
      <w:pPr>
        <w:spacing w:line="308" w:lineRule="auto"/>
        <w:sectPr>
          <w:headerReference w:type="default" r:id="rId386"/>
          <w:pgSz w:w="7330" w:h="12480"/>
          <w:pgMar w:top="808" w:right="969" w:bottom="400" w:left="359" w:header="643" w:footer="0" w:gutter="0"/>
        </w:sectPr>
        <w:rPr>
          <w:rFonts w:ascii="SimSun" w:hAnsi="SimSun" w:eastAsia="SimSun" w:cs="SimSun"/>
          <w:sz w:val="21"/>
          <w:szCs w:val="21"/>
        </w:rPr>
      </w:pP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ind w:right="89"/>
        <w:spacing w:before="69" w:line="297" w:lineRule="auto"/>
        <w:jc w:val="both"/>
        <w:rPr>
          <w:rFonts w:ascii="SimSun" w:hAnsi="SimSun" w:eastAsia="SimSun" w:cs="SimSun"/>
          <w:sz w:val="21"/>
          <w:szCs w:val="21"/>
        </w:rPr>
      </w:pPr>
      <w:r>
        <w:rPr>
          <w:rFonts w:ascii="SimSun" w:hAnsi="SimSun" w:eastAsia="SimSun" w:cs="SimSun"/>
          <w:sz w:val="21"/>
          <w:szCs w:val="21"/>
          <w:spacing w:val="-3"/>
        </w:rPr>
        <w:t>人做决策可能受到疲劳、情绪等外部因素的影响，而算法</w:t>
      </w:r>
      <w:r>
        <w:rPr>
          <w:rFonts w:ascii="SimSun" w:hAnsi="SimSun" w:eastAsia="SimSun" w:cs="SimSun"/>
          <w:sz w:val="21"/>
          <w:szCs w:val="21"/>
          <w:spacing w:val="-4"/>
        </w:rPr>
        <w:t>不受这些</w:t>
      </w:r>
      <w:r>
        <w:rPr>
          <w:rFonts w:ascii="SimSun" w:hAnsi="SimSun" w:eastAsia="SimSun" w:cs="SimSun"/>
          <w:sz w:val="21"/>
          <w:szCs w:val="21"/>
        </w:rPr>
        <w:t xml:space="preserve"> </w:t>
      </w:r>
      <w:r>
        <w:rPr>
          <w:rFonts w:ascii="SimSun" w:hAnsi="SimSun" w:eastAsia="SimSun" w:cs="SimSun"/>
          <w:sz w:val="21"/>
          <w:szCs w:val="21"/>
          <w:spacing w:val="-3"/>
        </w:rPr>
        <w:t>因素的影响。三是重视技术但忽略对经济、金融或者</w:t>
      </w:r>
      <w:r>
        <w:rPr>
          <w:rFonts w:ascii="SimSun" w:hAnsi="SimSun" w:eastAsia="SimSun" w:cs="SimSun"/>
          <w:sz w:val="21"/>
          <w:szCs w:val="21"/>
          <w:spacing w:val="-4"/>
        </w:rPr>
        <w:t>行业相关领域</w:t>
      </w:r>
      <w:r>
        <w:rPr>
          <w:rFonts w:ascii="SimSun" w:hAnsi="SimSun" w:eastAsia="SimSun" w:cs="SimSun"/>
          <w:sz w:val="21"/>
          <w:szCs w:val="21"/>
        </w:rPr>
        <w:t xml:space="preserve"> </w:t>
      </w:r>
      <w:r>
        <w:rPr>
          <w:rFonts w:ascii="SimSun" w:hAnsi="SimSun" w:eastAsia="SimSun" w:cs="SimSun"/>
          <w:sz w:val="21"/>
          <w:szCs w:val="21"/>
          <w:spacing w:val="-3"/>
        </w:rPr>
        <w:t>专业知识的运用。算法决策只能基于可以输入模型的历史数据，如</w:t>
      </w:r>
      <w:r>
        <w:rPr>
          <w:rFonts w:ascii="SimSun" w:hAnsi="SimSun" w:eastAsia="SimSun" w:cs="SimSun"/>
          <w:sz w:val="21"/>
          <w:szCs w:val="21"/>
          <w:spacing w:val="1"/>
        </w:rPr>
        <w:t xml:space="preserve"> </w:t>
      </w:r>
      <w:r>
        <w:rPr>
          <w:rFonts w:ascii="SimSun" w:hAnsi="SimSun" w:eastAsia="SimSun" w:cs="SimSun"/>
          <w:sz w:val="21"/>
          <w:szCs w:val="21"/>
          <w:spacing w:val="-3"/>
        </w:rPr>
        <w:t>果只重视技术而忽略相关专业知识，易于加剧算法</w:t>
      </w:r>
      <w:r>
        <w:rPr>
          <w:rFonts w:ascii="SimSun" w:hAnsi="SimSun" w:eastAsia="SimSun" w:cs="SimSun"/>
          <w:sz w:val="21"/>
          <w:szCs w:val="21"/>
          <w:spacing w:val="-4"/>
        </w:rPr>
        <w:t>歧视，产生算法</w:t>
      </w:r>
      <w:r>
        <w:rPr>
          <w:rFonts w:ascii="SimSun" w:hAnsi="SimSun" w:eastAsia="SimSun" w:cs="SimSun"/>
          <w:sz w:val="21"/>
          <w:szCs w:val="21"/>
        </w:rPr>
        <w:t xml:space="preserve"> </w:t>
      </w:r>
      <w:r>
        <w:rPr>
          <w:rFonts w:ascii="SimSun" w:hAnsi="SimSun" w:eastAsia="SimSun" w:cs="SimSun"/>
          <w:sz w:val="21"/>
          <w:szCs w:val="21"/>
          <w:spacing w:val="-8"/>
        </w:rPr>
        <w:t>共振等相关风险。</w:t>
      </w:r>
    </w:p>
    <w:p>
      <w:pPr>
        <w:ind w:firstLine="449"/>
        <w:spacing w:before="107" w:line="306" w:lineRule="auto"/>
        <w:jc w:val="both"/>
        <w:rPr>
          <w:rFonts w:ascii="SimSun" w:hAnsi="SimSun" w:eastAsia="SimSun" w:cs="SimSun"/>
          <w:sz w:val="21"/>
          <w:szCs w:val="21"/>
        </w:rPr>
      </w:pPr>
      <w:r>
        <w:rPr>
          <w:rFonts w:ascii="SimSun" w:hAnsi="SimSun" w:eastAsia="SimSun" w:cs="SimSun"/>
          <w:sz w:val="21"/>
          <w:szCs w:val="21"/>
          <w:spacing w:val="-3"/>
        </w:rPr>
        <w:t>最后，在平台经济发展的基础上，算法在减少信息不对称的同</w:t>
      </w:r>
      <w:r>
        <w:rPr>
          <w:rFonts w:ascii="SimSun" w:hAnsi="SimSun" w:eastAsia="SimSun" w:cs="SimSun"/>
          <w:sz w:val="21"/>
          <w:szCs w:val="21"/>
          <w:spacing w:val="18"/>
        </w:rPr>
        <w:t xml:space="preserve"> </w:t>
      </w:r>
      <w:r>
        <w:rPr>
          <w:rFonts w:ascii="SimSun" w:hAnsi="SimSun" w:eastAsia="SimSun" w:cs="SimSun"/>
          <w:sz w:val="21"/>
          <w:szCs w:val="21"/>
          <w:spacing w:val="-10"/>
        </w:rPr>
        <w:t>时，也可能制造新的信息不对称。这种新的信息不对称可以来源于以</w:t>
      </w:r>
      <w:r>
        <w:rPr>
          <w:rFonts w:ascii="SimSun" w:hAnsi="SimSun" w:eastAsia="SimSun" w:cs="SimSun"/>
          <w:sz w:val="21"/>
          <w:szCs w:val="21"/>
          <w:spacing w:val="3"/>
        </w:rPr>
        <w:t xml:space="preserve">  </w:t>
      </w:r>
      <w:r>
        <w:rPr>
          <w:rFonts w:ascii="SimSun" w:hAnsi="SimSun" w:eastAsia="SimSun" w:cs="SimSun"/>
          <w:sz w:val="21"/>
          <w:szCs w:val="21"/>
          <w:spacing w:val="-8"/>
        </w:rPr>
        <w:t>下几个途径。</w:t>
      </w:r>
      <w:r>
        <w:rPr>
          <w:rFonts w:ascii="SimSun" w:hAnsi="SimSun" w:eastAsia="SimSun" w:cs="SimSun"/>
          <w:sz w:val="21"/>
          <w:szCs w:val="21"/>
          <w:spacing w:val="40"/>
        </w:rPr>
        <w:t xml:space="preserve"> </w:t>
      </w:r>
      <w:r>
        <w:rPr>
          <w:rFonts w:ascii="SimSun" w:hAnsi="SimSun" w:eastAsia="SimSun" w:cs="SimSun"/>
          <w:sz w:val="21"/>
          <w:szCs w:val="21"/>
          <w:spacing w:val="-8"/>
        </w:rPr>
        <w:t>一是基于算法的决策虽然可以满足“千人千面”</w:t>
      </w:r>
      <w:r>
        <w:rPr>
          <w:rFonts w:ascii="SimSun" w:hAnsi="SimSun" w:eastAsia="SimSun" w:cs="SimSun"/>
          <w:sz w:val="21"/>
          <w:szCs w:val="21"/>
          <w:spacing w:val="-9"/>
        </w:rPr>
        <w:t>的需</w:t>
      </w:r>
      <w:r>
        <w:rPr>
          <w:rFonts w:ascii="SimSun" w:hAnsi="SimSun" w:eastAsia="SimSun" w:cs="SimSun"/>
          <w:sz w:val="21"/>
          <w:szCs w:val="21"/>
        </w:rPr>
        <w:t xml:space="preserve">  </w:t>
      </w:r>
      <w:r>
        <w:rPr>
          <w:rFonts w:ascii="SimSun" w:hAnsi="SimSun" w:eastAsia="SimSun" w:cs="SimSun"/>
          <w:sz w:val="21"/>
          <w:szCs w:val="21"/>
          <w:spacing w:val="-10"/>
        </w:rPr>
        <w:t>要，但是由于这千人并不见面，互通有无的成本高，基于算法</w:t>
      </w:r>
      <w:r>
        <w:rPr>
          <w:rFonts w:ascii="SimSun" w:hAnsi="SimSun" w:eastAsia="SimSun" w:cs="SimSun"/>
          <w:sz w:val="21"/>
          <w:szCs w:val="21"/>
          <w:spacing w:val="-11"/>
        </w:rPr>
        <w:t>的价格</w:t>
      </w:r>
      <w:r>
        <w:rPr>
          <w:rFonts w:ascii="SimSun" w:hAnsi="SimSun" w:eastAsia="SimSun" w:cs="SimSun"/>
          <w:sz w:val="21"/>
          <w:szCs w:val="21"/>
        </w:rPr>
        <w:t xml:space="preserve">  </w:t>
      </w:r>
      <w:r>
        <w:rPr>
          <w:rFonts w:ascii="SimSun" w:hAnsi="SimSun" w:eastAsia="SimSun" w:cs="SimSun"/>
          <w:sz w:val="21"/>
          <w:szCs w:val="21"/>
          <w:spacing w:val="-10"/>
        </w:rPr>
        <w:t>歧视不易被发现。二是由于算法模型复杂，采用的大数据很</w:t>
      </w:r>
      <w:r>
        <w:rPr>
          <w:rFonts w:ascii="SimSun" w:hAnsi="SimSun" w:eastAsia="SimSun" w:cs="SimSun"/>
          <w:sz w:val="21"/>
          <w:szCs w:val="21"/>
          <w:spacing w:val="-11"/>
        </w:rPr>
        <w:t>难提供给</w:t>
      </w:r>
      <w:r>
        <w:rPr>
          <w:rFonts w:ascii="SimSun" w:hAnsi="SimSun" w:eastAsia="SimSun" w:cs="SimSun"/>
          <w:sz w:val="21"/>
          <w:szCs w:val="21"/>
        </w:rPr>
        <w:t xml:space="preserve">  </w:t>
      </w:r>
      <w:r>
        <w:rPr>
          <w:rFonts w:ascii="SimSun" w:hAnsi="SimSun" w:eastAsia="SimSun" w:cs="SimSun"/>
          <w:sz w:val="21"/>
          <w:szCs w:val="21"/>
          <w:spacing w:val="-8"/>
        </w:rPr>
        <w:t>第三方，导致预测结果难以复制，也难以交叉验证，平台自说自话，</w:t>
      </w:r>
      <w:r>
        <w:rPr>
          <w:rFonts w:ascii="SimSun" w:hAnsi="SimSun" w:eastAsia="SimSun" w:cs="SimSun"/>
          <w:sz w:val="21"/>
          <w:szCs w:val="21"/>
          <w:spacing w:val="13"/>
        </w:rPr>
        <w:t xml:space="preserve"> </w:t>
      </w:r>
      <w:r>
        <w:rPr>
          <w:rFonts w:ascii="SimSun" w:hAnsi="SimSun" w:eastAsia="SimSun" w:cs="SimSun"/>
          <w:sz w:val="21"/>
          <w:szCs w:val="21"/>
          <w:spacing w:val="-10"/>
        </w:rPr>
        <w:t>而监管部门取证也存在较大困难。三是由于算法可解释性差，算法相</w:t>
      </w:r>
      <w:r>
        <w:rPr>
          <w:rFonts w:ascii="SimSun" w:hAnsi="SimSun" w:eastAsia="SimSun" w:cs="SimSun"/>
          <w:sz w:val="21"/>
          <w:szCs w:val="21"/>
          <w:spacing w:val="2"/>
        </w:rPr>
        <w:t xml:space="preserve">  </w:t>
      </w:r>
      <w:r>
        <w:rPr>
          <w:rFonts w:ascii="SimSun" w:hAnsi="SimSun" w:eastAsia="SimSun" w:cs="SimSun"/>
          <w:sz w:val="21"/>
          <w:szCs w:val="21"/>
          <w:spacing w:val="-7"/>
        </w:rPr>
        <w:t>关决定难以解释原因，投诉与纠错无门。四是算法模型迭代更新快，</w:t>
      </w:r>
      <w:r>
        <w:rPr>
          <w:rFonts w:ascii="SimSun" w:hAnsi="SimSun" w:eastAsia="SimSun" w:cs="SimSun"/>
          <w:sz w:val="21"/>
          <w:szCs w:val="21"/>
          <w:spacing w:val="4"/>
        </w:rPr>
        <w:t xml:space="preserve"> </w:t>
      </w:r>
      <w:r>
        <w:rPr>
          <w:rFonts w:ascii="SimSun" w:hAnsi="SimSun" w:eastAsia="SimSun" w:cs="SimSun"/>
          <w:sz w:val="21"/>
          <w:szCs w:val="21"/>
          <w:spacing w:val="-9"/>
        </w:rPr>
        <w:t>不易形成稳定预期。</w:t>
      </w:r>
    </w:p>
    <w:p>
      <w:pPr>
        <w:ind w:firstLine="460"/>
        <w:spacing w:before="112" w:line="307" w:lineRule="auto"/>
        <w:jc w:val="both"/>
        <w:rPr>
          <w:rFonts w:ascii="SimSun" w:hAnsi="SimSun" w:eastAsia="SimSun" w:cs="SimSun"/>
          <w:sz w:val="21"/>
          <w:szCs w:val="21"/>
        </w:rPr>
      </w:pPr>
      <w:r>
        <w:rPr>
          <w:rFonts w:ascii="SimSun" w:hAnsi="SimSun" w:eastAsia="SimSun" w:cs="SimSun"/>
          <w:sz w:val="21"/>
          <w:szCs w:val="21"/>
          <w:spacing w:val="-16"/>
        </w:rPr>
        <w:t>总结而言，平台经济中算法治理问题的出现，</w:t>
      </w:r>
      <w:r>
        <w:rPr>
          <w:rFonts w:ascii="SimSun" w:hAnsi="SimSun" w:eastAsia="SimSun" w:cs="SimSun"/>
          <w:sz w:val="21"/>
          <w:szCs w:val="21"/>
          <w:spacing w:val="52"/>
        </w:rPr>
        <w:t xml:space="preserve"> </w:t>
      </w:r>
      <w:r>
        <w:rPr>
          <w:rFonts w:ascii="SimSun" w:hAnsi="SimSun" w:eastAsia="SimSun" w:cs="SimSun"/>
          <w:sz w:val="21"/>
          <w:szCs w:val="21"/>
          <w:spacing w:val="-16"/>
        </w:rPr>
        <w:t>一方面是由于这些</w:t>
      </w:r>
      <w:r>
        <w:rPr>
          <w:rFonts w:ascii="SimSun" w:hAnsi="SimSun" w:eastAsia="SimSun" w:cs="SimSun"/>
          <w:sz w:val="21"/>
          <w:szCs w:val="21"/>
        </w:rPr>
        <w:t xml:space="preserve"> </w:t>
      </w:r>
      <w:r>
        <w:rPr>
          <w:rFonts w:ascii="SimSun" w:hAnsi="SimSun" w:eastAsia="SimSun" w:cs="SimSun"/>
          <w:sz w:val="21"/>
          <w:szCs w:val="21"/>
          <w:spacing w:val="-10"/>
        </w:rPr>
        <w:t>问题是与算法相关的技术进步的副产品，另一方面是由于强</w:t>
      </w:r>
      <w:r>
        <w:rPr>
          <w:rFonts w:ascii="SimSun" w:hAnsi="SimSun" w:eastAsia="SimSun" w:cs="SimSun"/>
          <w:sz w:val="21"/>
          <w:szCs w:val="21"/>
          <w:spacing w:val="-11"/>
        </w:rPr>
        <w:t>调算法决</w:t>
      </w:r>
      <w:r>
        <w:rPr>
          <w:rFonts w:ascii="SimSun" w:hAnsi="SimSun" w:eastAsia="SimSun" w:cs="SimSun"/>
          <w:sz w:val="21"/>
          <w:szCs w:val="21"/>
        </w:rPr>
        <w:t xml:space="preserve">  </w:t>
      </w:r>
      <w:r>
        <w:rPr>
          <w:rFonts w:ascii="SimSun" w:hAnsi="SimSun" w:eastAsia="SimSun" w:cs="SimSun"/>
          <w:sz w:val="21"/>
          <w:szCs w:val="21"/>
          <w:spacing w:val="-10"/>
        </w:rPr>
        <w:t>策的优点而忽略其弱点，未能恰当设立人辅助决策的应急措施。利用</w:t>
      </w:r>
      <w:r>
        <w:rPr>
          <w:rFonts w:ascii="SimSun" w:hAnsi="SimSun" w:eastAsia="SimSun" w:cs="SimSun"/>
          <w:sz w:val="21"/>
          <w:szCs w:val="21"/>
          <w:spacing w:val="13"/>
        </w:rPr>
        <w:t xml:space="preserve"> </w:t>
      </w:r>
      <w:r>
        <w:rPr>
          <w:rFonts w:ascii="SimSun" w:hAnsi="SimSun" w:eastAsia="SimSun" w:cs="SimSun"/>
          <w:sz w:val="21"/>
          <w:szCs w:val="21"/>
          <w:spacing w:val="-10"/>
        </w:rPr>
        <w:t>算法决策的好处是效率高，但其发挥作用有前提条件，发挥</w:t>
      </w:r>
      <w:r>
        <w:rPr>
          <w:rFonts w:ascii="SimSun" w:hAnsi="SimSun" w:eastAsia="SimSun" w:cs="SimSun"/>
          <w:sz w:val="21"/>
          <w:szCs w:val="21"/>
          <w:spacing w:val="-11"/>
        </w:rPr>
        <w:t>作用的程</w:t>
      </w:r>
      <w:r>
        <w:rPr>
          <w:rFonts w:ascii="SimSun" w:hAnsi="SimSun" w:eastAsia="SimSun" w:cs="SimSun"/>
          <w:sz w:val="21"/>
          <w:szCs w:val="21"/>
        </w:rPr>
        <w:t xml:space="preserve">  </w:t>
      </w:r>
      <w:r>
        <w:rPr>
          <w:rFonts w:ascii="SimSun" w:hAnsi="SimSun" w:eastAsia="SimSun" w:cs="SimSun"/>
          <w:sz w:val="21"/>
          <w:szCs w:val="21"/>
          <w:spacing w:val="-10"/>
        </w:rPr>
        <w:t>度也受到一定条件的限制。这些限制条件包括：生成数据的目</w:t>
      </w:r>
      <w:r>
        <w:rPr>
          <w:rFonts w:ascii="SimSun" w:hAnsi="SimSun" w:eastAsia="SimSun" w:cs="SimSun"/>
          <w:sz w:val="21"/>
          <w:szCs w:val="21"/>
          <w:spacing w:val="-11"/>
        </w:rPr>
        <w:t>的与分</w:t>
      </w:r>
      <w:r>
        <w:rPr>
          <w:rFonts w:ascii="SimSun" w:hAnsi="SimSun" w:eastAsia="SimSun" w:cs="SimSun"/>
          <w:sz w:val="21"/>
          <w:szCs w:val="21"/>
        </w:rPr>
        <w:t xml:space="preserve">  </w:t>
      </w:r>
      <w:r>
        <w:rPr>
          <w:rFonts w:ascii="SimSun" w:hAnsi="SimSun" w:eastAsia="SimSun" w:cs="SimSun"/>
          <w:sz w:val="21"/>
          <w:szCs w:val="21"/>
          <w:spacing w:val="-7"/>
        </w:rPr>
        <w:t>析数据的目标可能不同；如果原始数据质量差，就会存在“垃圾进、</w:t>
      </w:r>
      <w:r>
        <w:rPr>
          <w:rFonts w:ascii="SimSun" w:hAnsi="SimSun" w:eastAsia="SimSun" w:cs="SimSun"/>
          <w:sz w:val="21"/>
          <w:szCs w:val="21"/>
          <w:spacing w:val="3"/>
        </w:rPr>
        <w:t xml:space="preserve"> </w:t>
      </w:r>
      <w:r>
        <w:rPr>
          <w:rFonts w:ascii="SimSun" w:hAnsi="SimSun" w:eastAsia="SimSun" w:cs="SimSun"/>
          <w:sz w:val="21"/>
          <w:szCs w:val="21"/>
          <w:spacing w:val="-10"/>
        </w:rPr>
        <w:t>垃圾出”的问题；数据分析结果难以外推；算法涉及的参数设</w:t>
      </w:r>
      <w:r>
        <w:rPr>
          <w:rFonts w:ascii="SimSun" w:hAnsi="SimSun" w:eastAsia="SimSun" w:cs="SimSun"/>
          <w:sz w:val="21"/>
          <w:szCs w:val="21"/>
          <w:spacing w:val="-11"/>
        </w:rPr>
        <w:t>定等无</w:t>
      </w:r>
      <w:r>
        <w:rPr>
          <w:rFonts w:ascii="SimSun" w:hAnsi="SimSun" w:eastAsia="SimSun" w:cs="SimSun"/>
          <w:sz w:val="21"/>
          <w:szCs w:val="21"/>
        </w:rPr>
        <w:t xml:space="preserve">  </w:t>
      </w:r>
      <w:r>
        <w:rPr>
          <w:rFonts w:ascii="SimSun" w:hAnsi="SimSun" w:eastAsia="SimSun" w:cs="SimSun"/>
          <w:sz w:val="21"/>
          <w:szCs w:val="21"/>
          <w:spacing w:val="-11"/>
        </w:rPr>
        <w:t>章可循；分析结果不易复制、不易交叉验证；等等。与此相应，虽然</w:t>
      </w:r>
      <w:r>
        <w:rPr>
          <w:rFonts w:ascii="SimSun" w:hAnsi="SimSun" w:eastAsia="SimSun" w:cs="SimSun"/>
          <w:sz w:val="21"/>
          <w:szCs w:val="21"/>
          <w:spacing w:val="4"/>
        </w:rPr>
        <w:t xml:space="preserve">  </w:t>
      </w:r>
      <w:r>
        <w:rPr>
          <w:rFonts w:ascii="SimSun" w:hAnsi="SimSun" w:eastAsia="SimSun" w:cs="SimSun"/>
          <w:sz w:val="21"/>
          <w:szCs w:val="21"/>
          <w:spacing w:val="-10"/>
        </w:rPr>
        <w:t>人的决策存在受疲劳、情绪、社会网络等人自身和其他看不见的</w:t>
      </w:r>
      <w:r>
        <w:rPr>
          <w:rFonts w:ascii="SimSun" w:hAnsi="SimSun" w:eastAsia="SimSun" w:cs="SimSun"/>
          <w:sz w:val="21"/>
          <w:szCs w:val="21"/>
          <w:spacing w:val="-11"/>
        </w:rPr>
        <w:t>因素</w:t>
      </w:r>
      <w:r>
        <w:rPr>
          <w:rFonts w:ascii="SimSun" w:hAnsi="SimSun" w:eastAsia="SimSun" w:cs="SimSun"/>
          <w:sz w:val="21"/>
          <w:szCs w:val="21"/>
        </w:rPr>
        <w:t xml:space="preserve">  </w:t>
      </w:r>
      <w:r>
        <w:rPr>
          <w:rFonts w:ascii="SimSun" w:hAnsi="SimSun" w:eastAsia="SimSun" w:cs="SimSun"/>
          <w:sz w:val="21"/>
          <w:szCs w:val="21"/>
          <w:spacing w:val="-11"/>
        </w:rPr>
        <w:t>的影响，但是人对于所处环境的洞见以及对未来的判断能够形成不同</w:t>
      </w:r>
      <w:r>
        <w:rPr>
          <w:rFonts w:ascii="SimSun" w:hAnsi="SimSun" w:eastAsia="SimSun" w:cs="SimSun"/>
          <w:sz w:val="21"/>
          <w:szCs w:val="21"/>
          <w:spacing w:val="8"/>
        </w:rPr>
        <w:t xml:space="preserve">  </w:t>
      </w:r>
      <w:r>
        <w:rPr>
          <w:rFonts w:ascii="SimSun" w:hAnsi="SimSun" w:eastAsia="SimSun" w:cs="SimSun"/>
          <w:sz w:val="21"/>
          <w:szCs w:val="21"/>
          <w:spacing w:val="-10"/>
        </w:rPr>
        <w:t>的“软信息”,需充分重视人决策的重要性。</w:t>
      </w:r>
    </w:p>
    <w:p>
      <w:pPr>
        <w:spacing w:line="307" w:lineRule="auto"/>
        <w:sectPr>
          <w:headerReference w:type="default" r:id="rId387"/>
          <w:pgSz w:w="7330" w:h="12480"/>
          <w:pgMar w:top="525" w:right="504" w:bottom="400" w:left="729" w:header="363" w:footer="0" w:gutter="0"/>
        </w:sectPr>
        <w:rPr>
          <w:rFonts w:ascii="SimSun" w:hAnsi="SimSun" w:eastAsia="SimSun" w:cs="SimSun"/>
          <w:sz w:val="21"/>
          <w:szCs w:val="21"/>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算法治理的国际经验</w:t>
      </w:r>
    </w:p>
    <w:p>
      <w:pPr>
        <w:pStyle w:val="BodyText"/>
        <w:spacing w:line="349" w:lineRule="auto"/>
        <w:rPr/>
      </w:pPr>
      <w:r/>
    </w:p>
    <w:p>
      <w:pPr>
        <w:ind w:left="412"/>
        <w:spacing w:before="68" w:line="219" w:lineRule="auto"/>
        <w:rPr>
          <w:rFonts w:ascii="SimSun" w:hAnsi="SimSun" w:eastAsia="SimSun" w:cs="SimSun"/>
          <w:sz w:val="21"/>
          <w:szCs w:val="21"/>
        </w:rPr>
      </w:pPr>
      <w:r>
        <w:rPr>
          <w:rFonts w:ascii="SimSun" w:hAnsi="SimSun" w:eastAsia="SimSun" w:cs="SimSun"/>
          <w:sz w:val="21"/>
          <w:szCs w:val="21"/>
          <w:b/>
          <w:bCs/>
          <w:spacing w:val="-14"/>
        </w:rPr>
        <w:t>美国的算法治理</w:t>
      </w:r>
    </w:p>
    <w:p>
      <w:pPr>
        <w:ind w:firstLine="410"/>
        <w:spacing w:before="121" w:line="299" w:lineRule="auto"/>
        <w:jc w:val="both"/>
        <w:rPr>
          <w:rFonts w:ascii="SimSun" w:hAnsi="SimSun" w:eastAsia="SimSun" w:cs="SimSun"/>
          <w:sz w:val="21"/>
          <w:szCs w:val="21"/>
        </w:rPr>
      </w:pPr>
      <w:r>
        <w:rPr>
          <w:rFonts w:ascii="SimSun" w:hAnsi="SimSun" w:eastAsia="SimSun" w:cs="SimSun"/>
          <w:sz w:val="21"/>
          <w:szCs w:val="21"/>
          <w:spacing w:val="-10"/>
        </w:rPr>
        <w:t>美国的算法治</w:t>
      </w:r>
      <w:r>
        <w:rPr>
          <w:rFonts w:ascii="SimSun" w:hAnsi="SimSun" w:eastAsia="SimSun" w:cs="SimSun"/>
          <w:sz w:val="21"/>
          <w:szCs w:val="21"/>
          <w:u w:val="single" w:color="auto"/>
          <w:spacing w:val="-10"/>
        </w:rPr>
        <w:t>理重在建立监</w:t>
      </w:r>
      <w:r>
        <w:rPr>
          <w:rFonts w:ascii="SimSun" w:hAnsi="SimSun" w:eastAsia="SimSun" w:cs="SimSun"/>
          <w:sz w:val="21"/>
          <w:szCs w:val="21"/>
          <w:spacing w:val="-10"/>
        </w:rPr>
        <w:t>管框架和立法，执行层面则由各行政</w:t>
      </w:r>
      <w:r>
        <w:rPr>
          <w:rFonts w:ascii="SimSun" w:hAnsi="SimSun" w:eastAsia="SimSun" w:cs="SimSun"/>
          <w:sz w:val="21"/>
          <w:szCs w:val="21"/>
          <w:spacing w:val="7"/>
        </w:rPr>
        <w:t xml:space="preserve"> </w:t>
      </w:r>
      <w:r>
        <w:rPr>
          <w:rFonts w:ascii="SimSun" w:hAnsi="SimSun" w:eastAsia="SimSun" w:cs="SimSun"/>
          <w:sz w:val="21"/>
          <w:szCs w:val="21"/>
          <w:spacing w:val="-4"/>
        </w:rPr>
        <w:t>机关自行纳入算法治理要素。在监管框架方面，2020年白宫管理预 </w:t>
      </w:r>
      <w:r>
        <w:rPr>
          <w:rFonts w:ascii="SimSun" w:hAnsi="SimSun" w:eastAsia="SimSun" w:cs="SimSun"/>
          <w:sz w:val="21"/>
          <w:szCs w:val="21"/>
          <w:spacing w:val="-8"/>
        </w:rPr>
        <w:t>算局发布的《人工智能应用监管指南》是标志性文件。该指南指出：</w:t>
      </w:r>
      <w:r>
        <w:rPr>
          <w:rFonts w:ascii="SimSun" w:hAnsi="SimSun" w:eastAsia="SimSun" w:cs="SimSun"/>
          <w:sz w:val="21"/>
          <w:szCs w:val="21"/>
          <w:spacing w:val="4"/>
        </w:rPr>
        <w:t xml:space="preserve"> </w:t>
      </w:r>
      <w:r>
        <w:rPr>
          <w:rFonts w:ascii="SimSun" w:hAnsi="SimSun" w:eastAsia="SimSun" w:cs="SimSun"/>
          <w:sz w:val="21"/>
          <w:szCs w:val="21"/>
          <w:spacing w:val="-10"/>
        </w:rPr>
        <w:t>人工智能的目标和人类创设人工智能的最初意</w:t>
      </w:r>
      <w:r>
        <w:rPr>
          <w:rFonts w:ascii="SimSun" w:hAnsi="SimSun" w:eastAsia="SimSun" w:cs="SimSun"/>
          <w:sz w:val="21"/>
          <w:szCs w:val="21"/>
          <w:spacing w:val="-11"/>
        </w:rPr>
        <w:t>图未必一致，有可能导 </w:t>
      </w:r>
      <w:r>
        <w:rPr>
          <w:rFonts w:ascii="SimSun" w:hAnsi="SimSun" w:eastAsia="SimSun" w:cs="SimSun"/>
          <w:sz w:val="21"/>
          <w:szCs w:val="21"/>
          <w:spacing w:val="-10"/>
        </w:rPr>
        <w:t>致意外的负面后果；监管部门需要评估人工智</w:t>
      </w:r>
      <w:r>
        <w:rPr>
          <w:rFonts w:ascii="SimSun" w:hAnsi="SimSun" w:eastAsia="SimSun" w:cs="SimSun"/>
          <w:sz w:val="21"/>
          <w:szCs w:val="21"/>
          <w:spacing w:val="-11"/>
        </w:rPr>
        <w:t>能应用可能对隐私、公 </w:t>
      </w:r>
      <w:r>
        <w:rPr>
          <w:rFonts w:ascii="SimSun" w:hAnsi="SimSun" w:eastAsia="SimSun" w:cs="SimSun"/>
          <w:sz w:val="21"/>
          <w:szCs w:val="21"/>
          <w:spacing w:val="-10"/>
        </w:rPr>
        <w:t>民权利、公民自由、保密性、安全产生的负面</w:t>
      </w:r>
      <w:r>
        <w:rPr>
          <w:rFonts w:ascii="SimSun" w:hAnsi="SimSun" w:eastAsia="SimSun" w:cs="SimSun"/>
          <w:sz w:val="21"/>
          <w:szCs w:val="21"/>
          <w:spacing w:val="-11"/>
        </w:rPr>
        <w:t>影响，以及可能产生的 </w:t>
      </w:r>
      <w:r>
        <w:rPr>
          <w:rFonts w:ascii="SimSun" w:hAnsi="SimSun" w:eastAsia="SimSun" w:cs="SimSun"/>
          <w:sz w:val="21"/>
          <w:szCs w:val="21"/>
          <w:spacing w:val="-10"/>
        </w:rPr>
        <w:t>反竞争效应。该指南也强调，除了采取必要的</w:t>
      </w:r>
      <w:r>
        <w:rPr>
          <w:rFonts w:ascii="SimSun" w:hAnsi="SimSun" w:eastAsia="SimSun" w:cs="SimSun"/>
          <w:sz w:val="21"/>
          <w:szCs w:val="21"/>
          <w:spacing w:val="-11"/>
        </w:rPr>
        <w:t>监管手段，为降低人工 </w:t>
      </w:r>
      <w:r>
        <w:rPr>
          <w:rFonts w:ascii="SimSun" w:hAnsi="SimSun" w:eastAsia="SimSun" w:cs="SimSun"/>
          <w:sz w:val="21"/>
          <w:szCs w:val="21"/>
          <w:spacing w:val="-10"/>
        </w:rPr>
        <w:t>智能技术开发和应用的障碍，</w:t>
      </w:r>
      <w:r>
        <w:rPr>
          <w:rFonts w:ascii="SimSun" w:hAnsi="SimSun" w:eastAsia="SimSun" w:cs="SimSun"/>
          <w:sz w:val="21"/>
          <w:szCs w:val="21"/>
          <w:u w:val="single" w:color="auto"/>
          <w:spacing w:val="-10"/>
        </w:rPr>
        <w:t>还应通过</w:t>
      </w:r>
      <w:r>
        <w:rPr>
          <w:rFonts w:ascii="SimSun" w:hAnsi="SimSun" w:eastAsia="SimSun" w:cs="SimSun"/>
          <w:sz w:val="21"/>
          <w:szCs w:val="21"/>
          <w:spacing w:val="-10"/>
        </w:rPr>
        <w:t>一些非</w:t>
      </w:r>
      <w:r>
        <w:rPr>
          <w:rFonts w:ascii="SimSun" w:hAnsi="SimSun" w:eastAsia="SimSun" w:cs="SimSun"/>
          <w:sz w:val="21"/>
          <w:szCs w:val="21"/>
          <w:spacing w:val="-11"/>
        </w:rPr>
        <w:t>监管手段促使人工智能 </w:t>
      </w:r>
      <w:r>
        <w:rPr>
          <w:rFonts w:ascii="SimSun" w:hAnsi="SimSun" w:eastAsia="SimSun" w:cs="SimSun"/>
          <w:sz w:val="21"/>
          <w:szCs w:val="21"/>
          <w:spacing w:val="-10"/>
        </w:rPr>
        <w:t>应用更为可靠、稳健和可信，如行业政策指南</w:t>
      </w:r>
      <w:r>
        <w:rPr>
          <w:rFonts w:ascii="SimSun" w:hAnsi="SimSun" w:eastAsia="SimSun" w:cs="SimSun"/>
          <w:sz w:val="21"/>
          <w:szCs w:val="21"/>
          <w:spacing w:val="-11"/>
        </w:rPr>
        <w:t>或框架、试点项目和实 </w:t>
      </w:r>
      <w:r>
        <w:rPr>
          <w:rFonts w:ascii="SimSun" w:hAnsi="SimSun" w:eastAsia="SimSun" w:cs="SimSun"/>
          <w:sz w:val="21"/>
          <w:szCs w:val="21"/>
          <w:spacing w:val="-11"/>
        </w:rPr>
        <w:t>验、私营部门和其他利益相关方发展的自愿协商一致的标准等。</w:t>
      </w:r>
    </w:p>
    <w:p>
      <w:pPr>
        <w:ind w:firstLine="410"/>
        <w:spacing w:before="201" w:line="299" w:lineRule="auto"/>
        <w:jc w:val="both"/>
        <w:rPr>
          <w:rFonts w:ascii="SimSun" w:hAnsi="SimSun" w:eastAsia="SimSun" w:cs="SimSun"/>
          <w:sz w:val="21"/>
          <w:szCs w:val="21"/>
        </w:rPr>
      </w:pPr>
      <w:r>
        <w:rPr>
          <w:rFonts w:ascii="SimSun" w:hAnsi="SimSun" w:eastAsia="SimSun" w:cs="SimSun"/>
          <w:sz w:val="21"/>
          <w:szCs w:val="21"/>
          <w:spacing w:val="-11"/>
        </w:rPr>
        <w:t>从立法角度看，《算法问责法案》《算法正义和在线平台透明度 </w:t>
      </w:r>
      <w:r>
        <w:rPr>
          <w:rFonts w:ascii="SimSun" w:hAnsi="SimSun" w:eastAsia="SimSun" w:cs="SimSun"/>
          <w:sz w:val="21"/>
          <w:szCs w:val="21"/>
          <w:spacing w:val="-10"/>
        </w:rPr>
        <w:t>法案》《司法算法正义法案》等正在立法过</w:t>
      </w:r>
      <w:r>
        <w:rPr>
          <w:rFonts w:ascii="SimSun" w:hAnsi="SimSun" w:eastAsia="SimSun" w:cs="SimSun"/>
          <w:sz w:val="21"/>
          <w:szCs w:val="21"/>
          <w:spacing w:val="-11"/>
        </w:rPr>
        <w:t>程中。其中，《算法问责 </w:t>
      </w:r>
      <w:r>
        <w:rPr>
          <w:rFonts w:ascii="SimSun" w:hAnsi="SimSun" w:eastAsia="SimSun" w:cs="SimSun"/>
          <w:sz w:val="21"/>
          <w:szCs w:val="21"/>
          <w:spacing w:val="-4"/>
        </w:rPr>
        <w:t>法案》要求大企业评估现有和新的“高风险自动化决策系统”的影 </w:t>
      </w:r>
      <w:r>
        <w:rPr>
          <w:rFonts w:ascii="SimSun" w:hAnsi="SimSun" w:eastAsia="SimSun" w:cs="SimSun"/>
          <w:sz w:val="21"/>
          <w:szCs w:val="21"/>
          <w:spacing w:val="3"/>
        </w:rPr>
        <w:t>响，包括自动化系统是如何设计和使用的(如</w:t>
      </w:r>
      <w:r>
        <w:rPr>
          <w:rFonts w:ascii="SimSun" w:hAnsi="SimSun" w:eastAsia="SimSun" w:cs="SimSun"/>
          <w:sz w:val="21"/>
          <w:szCs w:val="21"/>
          <w:spacing w:val="2"/>
        </w:rPr>
        <w:t>所依赖的训练数据，</w:t>
      </w:r>
      <w:r>
        <w:rPr>
          <w:rFonts w:ascii="SimSun" w:hAnsi="SimSun" w:eastAsia="SimSun" w:cs="SimSun"/>
          <w:sz w:val="21"/>
          <w:szCs w:val="21"/>
        </w:rPr>
        <w:t xml:space="preserve"> </w:t>
      </w:r>
      <w:r>
        <w:rPr>
          <w:rFonts w:ascii="SimSun" w:hAnsi="SimSun" w:eastAsia="SimSun" w:cs="SimSun"/>
          <w:sz w:val="21"/>
          <w:szCs w:val="21"/>
          <w:spacing w:val="-4"/>
        </w:rPr>
        <w:t>系统对隐私、安全、公平造成的风险等),并要求企业对评估发现的 </w:t>
      </w:r>
      <w:r>
        <w:rPr>
          <w:rFonts w:ascii="SimSun" w:hAnsi="SimSun" w:eastAsia="SimSun" w:cs="SimSun"/>
          <w:sz w:val="21"/>
          <w:szCs w:val="21"/>
          <w:spacing w:val="-10"/>
        </w:rPr>
        <w:t>问题提出恰当解决方案。《算法正义和在线</w:t>
      </w:r>
      <w:r>
        <w:rPr>
          <w:rFonts w:ascii="SimSun" w:hAnsi="SimSun" w:eastAsia="SimSun" w:cs="SimSun"/>
          <w:sz w:val="21"/>
          <w:szCs w:val="21"/>
          <w:spacing w:val="-11"/>
        </w:rPr>
        <w:t>平台透明度法案》禁止在 </w:t>
      </w:r>
      <w:r>
        <w:rPr>
          <w:rFonts w:ascii="SimSun" w:hAnsi="SimSun" w:eastAsia="SimSun" w:cs="SimSun"/>
          <w:sz w:val="21"/>
          <w:szCs w:val="21"/>
          <w:spacing w:val="-4"/>
        </w:rPr>
        <w:t>线平台在任何算法过程中歧视性使用个人信息，并要求算法过程和 </w:t>
      </w:r>
      <w:r>
        <w:rPr>
          <w:rFonts w:ascii="SimSun" w:hAnsi="SimSun" w:eastAsia="SimSun" w:cs="SimSun"/>
          <w:sz w:val="21"/>
          <w:szCs w:val="21"/>
          <w:spacing w:val="-10"/>
        </w:rPr>
        <w:t>内容调整具有透明度。《司法算法正义法案</w:t>
      </w:r>
      <w:r>
        <w:rPr>
          <w:rFonts w:ascii="SimSun" w:hAnsi="SimSun" w:eastAsia="SimSun" w:cs="SimSun"/>
          <w:sz w:val="21"/>
          <w:szCs w:val="21"/>
          <w:spacing w:val="-11"/>
        </w:rPr>
        <w:t>》则禁止利用商业秘密特 </w:t>
      </w:r>
      <w:r>
        <w:rPr>
          <w:rFonts w:ascii="SimSun" w:hAnsi="SimSun" w:eastAsia="SimSun" w:cs="SimSun"/>
          <w:sz w:val="21"/>
          <w:szCs w:val="21"/>
          <w:spacing w:val="-4"/>
        </w:rPr>
        <w:t>权阻止辩护方在刑事诉讼中获取证据，规定建立计算取证算法测试 </w:t>
      </w:r>
      <w:r>
        <w:rPr>
          <w:rFonts w:ascii="SimSun" w:hAnsi="SimSun" w:eastAsia="SimSun" w:cs="SimSun"/>
          <w:sz w:val="21"/>
          <w:szCs w:val="21"/>
          <w:spacing w:val="-11"/>
        </w:rPr>
        <w:t>标准和测试程序。</w:t>
      </w:r>
    </w:p>
    <w:p>
      <w:pPr>
        <w:ind w:right="43" w:firstLine="410"/>
        <w:spacing w:before="188" w:line="292" w:lineRule="auto"/>
        <w:jc w:val="both"/>
        <w:rPr>
          <w:rFonts w:ascii="SimSun" w:hAnsi="SimSun" w:eastAsia="SimSun" w:cs="SimSun"/>
          <w:sz w:val="21"/>
          <w:szCs w:val="21"/>
        </w:rPr>
      </w:pPr>
      <w:r>
        <w:rPr>
          <w:rFonts w:ascii="SimSun" w:hAnsi="SimSun" w:eastAsia="SimSun" w:cs="SimSun"/>
          <w:sz w:val="21"/>
          <w:szCs w:val="21"/>
          <w:spacing w:val="-10"/>
        </w:rPr>
        <w:t>在执行层面，美国没有哪个行政机关被赋予治理算法的职责，不</w:t>
      </w:r>
      <w:r>
        <w:rPr>
          <w:rFonts w:ascii="SimSun" w:hAnsi="SimSun" w:eastAsia="SimSun" w:cs="SimSun"/>
          <w:sz w:val="21"/>
          <w:szCs w:val="21"/>
          <w:spacing w:val="10"/>
        </w:rPr>
        <w:t xml:space="preserve"> </w:t>
      </w:r>
      <w:r>
        <w:rPr>
          <w:rFonts w:ascii="SimSun" w:hAnsi="SimSun" w:eastAsia="SimSun" w:cs="SimSun"/>
          <w:sz w:val="21"/>
          <w:szCs w:val="21"/>
          <w:spacing w:val="-3"/>
        </w:rPr>
        <w:t>同行政机关各自探索将算法治理纳入它们已有职责</w:t>
      </w:r>
      <w:r>
        <w:rPr>
          <w:rFonts w:ascii="SimSun" w:hAnsi="SimSun" w:eastAsia="SimSun" w:cs="SimSun"/>
          <w:sz w:val="21"/>
          <w:szCs w:val="21"/>
          <w:spacing w:val="-4"/>
        </w:rPr>
        <w:t>范围的方式。例</w:t>
      </w:r>
      <w:r>
        <w:rPr>
          <w:rFonts w:ascii="SimSun" w:hAnsi="SimSun" w:eastAsia="SimSun" w:cs="SimSun"/>
          <w:sz w:val="21"/>
          <w:szCs w:val="21"/>
        </w:rPr>
        <w:t xml:space="preserve"> </w:t>
      </w:r>
      <w:r>
        <w:rPr>
          <w:rFonts w:ascii="SimSun" w:hAnsi="SimSun" w:eastAsia="SimSun" w:cs="SimSun"/>
          <w:sz w:val="21"/>
          <w:szCs w:val="21"/>
          <w:spacing w:val="-3"/>
        </w:rPr>
        <w:t>如，联邦贸易委员会举行多次听证会，讨论如何应对21世</w:t>
      </w:r>
      <w:r>
        <w:rPr>
          <w:rFonts w:ascii="SimSun" w:hAnsi="SimSun" w:eastAsia="SimSun" w:cs="SimSun"/>
          <w:sz w:val="21"/>
          <w:szCs w:val="21"/>
          <w:spacing w:val="-4"/>
        </w:rPr>
        <w:t>纪算法和</w:t>
      </w:r>
      <w:r>
        <w:rPr>
          <w:rFonts w:ascii="SimSun" w:hAnsi="SimSun" w:eastAsia="SimSun" w:cs="SimSun"/>
          <w:sz w:val="21"/>
          <w:szCs w:val="21"/>
        </w:rPr>
        <w:t xml:space="preserve"> </w:t>
      </w:r>
      <w:r>
        <w:rPr>
          <w:rFonts w:ascii="SimSun" w:hAnsi="SimSun" w:eastAsia="SimSun" w:cs="SimSun"/>
          <w:sz w:val="21"/>
          <w:szCs w:val="21"/>
          <w:spacing w:val="-10"/>
        </w:rPr>
        <w:t>预测分析对竞争和消费者保护的影响；证券交易委员会则制定一系列</w:t>
      </w:r>
    </w:p>
    <w:p>
      <w:pPr>
        <w:spacing w:line="292" w:lineRule="auto"/>
        <w:sectPr>
          <w:headerReference w:type="default" r:id="rId388"/>
          <w:pgSz w:w="7330" w:h="12480"/>
          <w:pgMar w:top="885" w:right="884" w:bottom="400" w:left="379" w:header="723" w:footer="0" w:gutter="0"/>
        </w:sectPr>
        <w:rPr>
          <w:rFonts w:ascii="SimSun" w:hAnsi="SimSun" w:eastAsia="SimSun" w:cs="SimSun"/>
          <w:sz w:val="21"/>
          <w:szCs w:val="21"/>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64"/>
        <w:spacing w:before="69" w:line="304" w:lineRule="auto"/>
        <w:jc w:val="both"/>
        <w:rPr>
          <w:rFonts w:ascii="SimSun" w:hAnsi="SimSun" w:eastAsia="SimSun" w:cs="SimSun"/>
          <w:sz w:val="21"/>
          <w:szCs w:val="21"/>
        </w:rPr>
      </w:pPr>
      <w:r>
        <w:rPr>
          <w:rFonts w:ascii="SimSun" w:hAnsi="SimSun" w:eastAsia="SimSun" w:cs="SimSun"/>
          <w:sz w:val="21"/>
          <w:szCs w:val="21"/>
          <w:spacing w:val="-11"/>
        </w:rPr>
        <w:t>指导文件，厘清算法驱动的投资顾问程序和算法交易背景下的委托人</w:t>
      </w:r>
      <w:r>
        <w:rPr>
          <w:rFonts w:ascii="SimSun" w:hAnsi="SimSun" w:eastAsia="SimSun" w:cs="SimSun"/>
          <w:sz w:val="21"/>
          <w:szCs w:val="21"/>
          <w:spacing w:val="7"/>
        </w:rPr>
        <w:t xml:space="preserve"> </w:t>
      </w:r>
      <w:r>
        <w:rPr>
          <w:rFonts w:ascii="SimSun" w:hAnsi="SimSun" w:eastAsia="SimSun" w:cs="SimSun"/>
          <w:sz w:val="21"/>
          <w:szCs w:val="21"/>
          <w:spacing w:val="-16"/>
        </w:rPr>
        <w:t>责任和其他责任等。当然，</w:t>
      </w:r>
      <w:r>
        <w:rPr>
          <w:rFonts w:ascii="SimSun" w:hAnsi="SimSun" w:eastAsia="SimSun" w:cs="SimSun"/>
          <w:sz w:val="21"/>
          <w:szCs w:val="21"/>
          <w:spacing w:val="54"/>
        </w:rPr>
        <w:t xml:space="preserve"> </w:t>
      </w:r>
      <w:r>
        <w:rPr>
          <w:rFonts w:ascii="SimSun" w:hAnsi="SimSun" w:eastAsia="SimSun" w:cs="SimSun"/>
          <w:sz w:val="21"/>
          <w:szCs w:val="21"/>
          <w:spacing w:val="-16"/>
        </w:rPr>
        <w:t>一些行政机关就一些具体算法歧视问题展</w:t>
      </w:r>
      <w:r>
        <w:rPr>
          <w:rFonts w:ascii="SimSun" w:hAnsi="SimSun" w:eastAsia="SimSun" w:cs="SimSun"/>
          <w:sz w:val="21"/>
          <w:szCs w:val="21"/>
        </w:rPr>
        <w:t xml:space="preserve"> </w:t>
      </w:r>
      <w:r>
        <w:rPr>
          <w:rFonts w:ascii="SimSun" w:hAnsi="SimSun" w:eastAsia="SimSun" w:cs="SimSun"/>
          <w:sz w:val="21"/>
          <w:szCs w:val="21"/>
          <w:spacing w:val="-3"/>
        </w:rPr>
        <w:t>开调查并立法。例如，美国平等就业机会委员会</w:t>
      </w:r>
      <w:r>
        <w:rPr>
          <w:rFonts w:ascii="Times New Roman" w:hAnsi="Times New Roman" w:eastAsia="Times New Roman" w:cs="Times New Roman"/>
          <w:sz w:val="21"/>
          <w:szCs w:val="21"/>
          <w:spacing w:val="-3"/>
        </w:rPr>
        <w:t>(EEOC)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调查了招</w:t>
      </w:r>
      <w:r>
        <w:rPr>
          <w:rFonts w:ascii="SimSun" w:hAnsi="SimSun" w:eastAsia="SimSun" w:cs="SimSun"/>
          <w:sz w:val="21"/>
          <w:szCs w:val="21"/>
        </w:rPr>
        <w:t xml:space="preserve"> </w:t>
      </w:r>
      <w:r>
        <w:rPr>
          <w:rFonts w:ascii="SimSun" w:hAnsi="SimSun" w:eastAsia="SimSun" w:cs="SimSun"/>
          <w:sz w:val="21"/>
          <w:szCs w:val="21"/>
        </w:rPr>
        <w:t>聘算法中可能存在的歧视和偏见问题。2019年5月，伊利诺伊州通</w:t>
      </w:r>
      <w:r>
        <w:rPr>
          <w:rFonts w:ascii="SimSun" w:hAnsi="SimSun" w:eastAsia="SimSun" w:cs="SimSun"/>
          <w:sz w:val="21"/>
          <w:szCs w:val="21"/>
          <w:spacing w:val="12"/>
        </w:rPr>
        <w:t xml:space="preserve"> </w:t>
      </w:r>
      <w:r>
        <w:rPr>
          <w:rFonts w:ascii="SimSun" w:hAnsi="SimSun" w:eastAsia="SimSun" w:cs="SimSun"/>
          <w:sz w:val="21"/>
          <w:szCs w:val="21"/>
          <w:spacing w:val="-7"/>
        </w:rPr>
        <w:t>过了《人工智能视频面试法》,要求雇主必须获得面试</w:t>
      </w:r>
      <w:r>
        <w:rPr>
          <w:rFonts w:ascii="SimSun" w:hAnsi="SimSun" w:eastAsia="SimSun" w:cs="SimSun"/>
          <w:sz w:val="21"/>
          <w:szCs w:val="21"/>
          <w:spacing w:val="-8"/>
        </w:rPr>
        <w:t>者的同意才能</w:t>
      </w:r>
      <w:r>
        <w:rPr>
          <w:rFonts w:ascii="SimSun" w:hAnsi="SimSun" w:eastAsia="SimSun" w:cs="SimSun"/>
          <w:sz w:val="21"/>
          <w:szCs w:val="21"/>
        </w:rPr>
        <w:t xml:space="preserve"> </w:t>
      </w:r>
      <w:r>
        <w:rPr>
          <w:rFonts w:ascii="SimSun" w:hAnsi="SimSun" w:eastAsia="SimSun" w:cs="SimSun"/>
          <w:sz w:val="21"/>
          <w:szCs w:val="21"/>
          <w:spacing w:val="-11"/>
        </w:rPr>
        <w:t>使用算法驱动的招聘方式，雇主必须向面试者解释算法驱动的人工智</w:t>
      </w:r>
      <w:r>
        <w:rPr>
          <w:rFonts w:ascii="SimSun" w:hAnsi="SimSun" w:eastAsia="SimSun" w:cs="SimSun"/>
          <w:sz w:val="21"/>
          <w:szCs w:val="21"/>
          <w:spacing w:val="17"/>
        </w:rPr>
        <w:t xml:space="preserve"> </w:t>
      </w:r>
      <w:r>
        <w:rPr>
          <w:rFonts w:ascii="SimSun" w:hAnsi="SimSun" w:eastAsia="SimSun" w:cs="SimSun"/>
          <w:sz w:val="21"/>
          <w:szCs w:val="21"/>
          <w:spacing w:val="-4"/>
        </w:rPr>
        <w:t>能的工作方式及技术检测的特征，并在面试后的30天内删除所有的</w:t>
      </w:r>
      <w:r>
        <w:rPr>
          <w:rFonts w:ascii="SimSun" w:hAnsi="SimSun" w:eastAsia="SimSun" w:cs="SimSun"/>
          <w:sz w:val="21"/>
          <w:szCs w:val="21"/>
          <w:spacing w:val="15"/>
        </w:rPr>
        <w:t xml:space="preserve"> </w:t>
      </w:r>
      <w:r>
        <w:rPr>
          <w:rFonts w:ascii="SimSun" w:hAnsi="SimSun" w:eastAsia="SimSun" w:cs="SimSun"/>
          <w:sz w:val="21"/>
          <w:szCs w:val="21"/>
          <w:spacing w:val="-13"/>
        </w:rPr>
        <w:t>面试内容。</w:t>
      </w:r>
    </w:p>
    <w:p>
      <w:pPr>
        <w:pStyle w:val="BodyText"/>
        <w:spacing w:line="397" w:lineRule="auto"/>
        <w:rPr/>
      </w:pPr>
      <w:r/>
    </w:p>
    <w:p>
      <w:pPr>
        <w:ind w:left="472"/>
        <w:spacing w:before="68" w:line="219" w:lineRule="auto"/>
        <w:rPr>
          <w:rFonts w:ascii="SimSun" w:hAnsi="SimSun" w:eastAsia="SimSun" w:cs="SimSun"/>
          <w:sz w:val="21"/>
          <w:szCs w:val="21"/>
        </w:rPr>
      </w:pPr>
      <w:r>
        <w:rPr>
          <w:rFonts w:ascii="SimSun" w:hAnsi="SimSun" w:eastAsia="SimSun" w:cs="SimSun"/>
          <w:sz w:val="21"/>
          <w:szCs w:val="21"/>
          <w:b/>
          <w:bCs/>
          <w:spacing w:val="-14"/>
        </w:rPr>
        <w:t>英国和欧盟的算法治理</w:t>
      </w:r>
    </w:p>
    <w:p>
      <w:pPr>
        <w:ind w:firstLine="469"/>
        <w:spacing w:before="119" w:line="301" w:lineRule="auto"/>
        <w:rPr>
          <w:rFonts w:ascii="SimSun" w:hAnsi="SimSun" w:eastAsia="SimSun" w:cs="SimSun"/>
          <w:sz w:val="21"/>
          <w:szCs w:val="21"/>
        </w:rPr>
      </w:pPr>
      <w:r>
        <w:rPr>
          <w:rFonts w:ascii="SimSun" w:hAnsi="SimSun" w:eastAsia="SimSun" w:cs="SimSun"/>
          <w:sz w:val="21"/>
          <w:szCs w:val="21"/>
          <w:spacing w:val="-3"/>
        </w:rPr>
        <w:t>欧盟对人工智能和算法治理也提出了相应的监管框架，其重点</w:t>
      </w:r>
      <w:r>
        <w:rPr>
          <w:rFonts w:ascii="SimSun" w:hAnsi="SimSun" w:eastAsia="SimSun" w:cs="SimSun"/>
          <w:sz w:val="21"/>
          <w:szCs w:val="21"/>
          <w:spacing w:val="8"/>
        </w:rPr>
        <w:t xml:space="preserve"> </w:t>
      </w:r>
      <w:r>
        <w:rPr>
          <w:rFonts w:ascii="SimSun" w:hAnsi="SimSun" w:eastAsia="SimSun" w:cs="SimSun"/>
          <w:sz w:val="21"/>
          <w:szCs w:val="21"/>
          <w:spacing w:val="-11"/>
        </w:rPr>
        <w:t>是强调为基于算法的人工智能系统建立恰当的伦理和法律框架，确保</w:t>
      </w:r>
      <w:r>
        <w:rPr>
          <w:rFonts w:ascii="SimSun" w:hAnsi="SimSun" w:eastAsia="SimSun" w:cs="SimSun"/>
          <w:sz w:val="21"/>
          <w:szCs w:val="21"/>
          <w:spacing w:val="2"/>
        </w:rPr>
        <w:t xml:space="preserve">  </w:t>
      </w:r>
      <w:r>
        <w:rPr>
          <w:rFonts w:ascii="SimSun" w:hAnsi="SimSun" w:eastAsia="SimSun" w:cs="SimSun"/>
          <w:sz w:val="21"/>
          <w:szCs w:val="21"/>
          <w:spacing w:val="-11"/>
        </w:rPr>
        <w:t>其在全生命周期内安全、稳健、合法且符合伦理地运行，并最终造福</w:t>
      </w:r>
      <w:r>
        <w:rPr>
          <w:rFonts w:ascii="SimSun" w:hAnsi="SimSun" w:eastAsia="SimSun" w:cs="SimSun"/>
          <w:sz w:val="21"/>
          <w:szCs w:val="21"/>
          <w:spacing w:val="6"/>
        </w:rPr>
        <w:t xml:space="preserve">  </w:t>
      </w:r>
      <w:r>
        <w:rPr>
          <w:rFonts w:ascii="SimSun" w:hAnsi="SimSun" w:eastAsia="SimSun" w:cs="SimSun"/>
          <w:sz w:val="21"/>
          <w:szCs w:val="21"/>
          <w:spacing w:val="-4"/>
        </w:rPr>
        <w:t>于人类。2018年，欧盟发布《欧盟人工智能》报告，提出以人为本</w:t>
      </w:r>
      <w:r>
        <w:rPr>
          <w:rFonts w:ascii="SimSun" w:hAnsi="SimSun" w:eastAsia="SimSun" w:cs="SimSun"/>
          <w:sz w:val="21"/>
          <w:szCs w:val="21"/>
          <w:spacing w:val="6"/>
        </w:rPr>
        <w:t xml:space="preserve">  </w:t>
      </w:r>
      <w:r>
        <w:rPr>
          <w:rFonts w:ascii="SimSun" w:hAnsi="SimSun" w:eastAsia="SimSun" w:cs="SimSun"/>
          <w:sz w:val="21"/>
          <w:szCs w:val="21"/>
          <w:spacing w:val="-2"/>
        </w:rPr>
        <w:t>的人工智能发展路径。2019年，欧盟发布《可信</w:t>
      </w:r>
      <w:r>
        <w:rPr>
          <w:rFonts w:ascii="Times New Roman" w:hAnsi="Times New Roman" w:eastAsia="Times New Roman" w:cs="Times New Roman"/>
          <w:sz w:val="21"/>
          <w:szCs w:val="21"/>
          <w:spacing w:val="-2"/>
        </w:rPr>
        <w:t>AI </w:t>
      </w:r>
      <w:r>
        <w:rPr>
          <w:rFonts w:ascii="SimSun" w:hAnsi="SimSun" w:eastAsia="SimSun" w:cs="SimSun"/>
          <w:sz w:val="21"/>
          <w:szCs w:val="21"/>
          <w:spacing w:val="-2"/>
        </w:rPr>
        <w:t>伦理指南》,指</w:t>
      </w:r>
      <w:r>
        <w:rPr>
          <w:rFonts w:ascii="SimSun" w:hAnsi="SimSun" w:eastAsia="SimSun" w:cs="SimSun"/>
          <w:sz w:val="21"/>
          <w:szCs w:val="21"/>
        </w:rPr>
        <w:t xml:space="preserve">  </w:t>
      </w:r>
      <w:r>
        <w:rPr>
          <w:rFonts w:ascii="SimSun" w:hAnsi="SimSun" w:eastAsia="SimSun" w:cs="SimSun"/>
          <w:sz w:val="21"/>
          <w:szCs w:val="21"/>
          <w:spacing w:val="-4"/>
        </w:rPr>
        <w:t>出可信</w:t>
      </w:r>
      <w:r>
        <w:rPr>
          <w:rFonts w:ascii="Times New Roman" w:hAnsi="Times New Roman" w:eastAsia="Times New Roman" w:cs="Times New Roman"/>
          <w:sz w:val="21"/>
          <w:szCs w:val="21"/>
          <w:spacing w:val="-4"/>
        </w:rPr>
        <w:t>AI</w:t>
      </w:r>
      <w:r>
        <w:rPr>
          <w:rFonts w:ascii="SimSun" w:hAnsi="SimSun" w:eastAsia="SimSun" w:cs="SimSun"/>
          <w:sz w:val="21"/>
          <w:szCs w:val="21"/>
          <w:spacing w:val="-4"/>
        </w:rPr>
        <w:t>的开发、部署和使用应基于四项原则，即尊重</w:t>
      </w:r>
      <w:r>
        <w:rPr>
          <w:rFonts w:ascii="SimSun" w:hAnsi="SimSun" w:eastAsia="SimSun" w:cs="SimSun"/>
          <w:sz w:val="21"/>
          <w:szCs w:val="21"/>
          <w:spacing w:val="-5"/>
        </w:rPr>
        <w:t>人类自主性</w:t>
      </w:r>
      <w:r>
        <w:rPr>
          <w:rFonts w:ascii="SimSun" w:hAnsi="SimSun" w:eastAsia="SimSun" w:cs="SimSun"/>
          <w:sz w:val="21"/>
          <w:szCs w:val="21"/>
        </w:rPr>
        <w:t xml:space="preserve">  </w:t>
      </w:r>
      <w:r>
        <w:rPr>
          <w:rFonts w:ascii="SimSun" w:hAnsi="SimSun" w:eastAsia="SimSun" w:cs="SimSun"/>
          <w:sz w:val="21"/>
          <w:szCs w:val="21"/>
          <w:spacing w:val="-4"/>
        </w:rPr>
        <w:t>原则、防止损害原则、公平原则、可解释原则，并满足七项关键要 </w:t>
      </w:r>
      <w:r>
        <w:rPr>
          <w:rFonts w:ascii="SimSun" w:hAnsi="SimSun" w:eastAsia="SimSun" w:cs="SimSun"/>
          <w:sz w:val="21"/>
          <w:szCs w:val="21"/>
          <w:spacing w:val="-11"/>
        </w:rPr>
        <w:t>求：人类的能动性和监督，技术稳健性和安全，隐私和数据治理，透</w:t>
      </w:r>
      <w:r>
        <w:rPr>
          <w:rFonts w:ascii="SimSun" w:hAnsi="SimSun" w:eastAsia="SimSun" w:cs="SimSun"/>
          <w:sz w:val="21"/>
          <w:szCs w:val="21"/>
          <w:spacing w:val="3"/>
        </w:rPr>
        <w:t xml:space="preserve">  </w:t>
      </w:r>
      <w:r>
        <w:rPr>
          <w:rFonts w:ascii="SimSun" w:hAnsi="SimSun" w:eastAsia="SimSun" w:cs="SimSun"/>
          <w:sz w:val="21"/>
          <w:szCs w:val="21"/>
          <w:spacing w:val="-11"/>
        </w:rPr>
        <w:t>明性，多样性，非歧视和公平，社会与环境福祉和问责制。指南还列</w:t>
      </w:r>
      <w:r>
        <w:rPr>
          <w:rFonts w:ascii="SimSun" w:hAnsi="SimSun" w:eastAsia="SimSun" w:cs="SimSun"/>
          <w:sz w:val="21"/>
          <w:szCs w:val="21"/>
          <w:spacing w:val="7"/>
        </w:rPr>
        <w:t xml:space="preserve">  </w:t>
      </w:r>
      <w:r>
        <w:rPr>
          <w:rFonts w:ascii="SimSun" w:hAnsi="SimSun" w:eastAsia="SimSun" w:cs="SimSun"/>
          <w:sz w:val="21"/>
          <w:szCs w:val="21"/>
          <w:spacing w:val="-6"/>
        </w:rPr>
        <w:t>出一份可信</w:t>
      </w:r>
      <w:r>
        <w:rPr>
          <w:rFonts w:ascii="Times New Roman" w:hAnsi="Times New Roman" w:eastAsia="Times New Roman" w:cs="Times New Roman"/>
          <w:sz w:val="21"/>
          <w:szCs w:val="21"/>
          <w:spacing w:val="-6"/>
        </w:rPr>
        <w:t>AI </w:t>
      </w:r>
      <w:r>
        <w:rPr>
          <w:rFonts w:ascii="SimSun" w:hAnsi="SimSun" w:eastAsia="SimSun" w:cs="SimSun"/>
          <w:sz w:val="21"/>
          <w:szCs w:val="21"/>
          <w:spacing w:val="-6"/>
        </w:rPr>
        <w:t>的评估清单，旨在为具体落实7项关键要求提供指导。</w:t>
      </w:r>
      <w:r>
        <w:rPr>
          <w:rFonts w:ascii="SimSun" w:hAnsi="SimSun" w:eastAsia="SimSun" w:cs="SimSun"/>
          <w:sz w:val="21"/>
          <w:szCs w:val="21"/>
          <w:spacing w:val="6"/>
        </w:rPr>
        <w:t xml:space="preserve"> </w:t>
      </w:r>
      <w:r>
        <w:rPr>
          <w:rFonts w:ascii="SimSun" w:hAnsi="SimSun" w:eastAsia="SimSun" w:cs="SimSun"/>
          <w:sz w:val="21"/>
          <w:szCs w:val="21"/>
          <w:spacing w:val="-12"/>
        </w:rPr>
        <w:t>同年发布的《算法问责与透明治理框架》是由欧盟发布的一份系统性</w:t>
      </w:r>
      <w:r>
        <w:rPr>
          <w:rFonts w:ascii="SimSun" w:hAnsi="SimSun" w:eastAsia="SimSun" w:cs="SimSun"/>
          <w:sz w:val="21"/>
          <w:szCs w:val="21"/>
          <w:spacing w:val="8"/>
        </w:rPr>
        <w:t xml:space="preserve">  </w:t>
      </w:r>
      <w:r>
        <w:rPr>
          <w:rFonts w:ascii="SimSun" w:hAnsi="SimSun" w:eastAsia="SimSun" w:cs="SimSun"/>
          <w:sz w:val="21"/>
          <w:szCs w:val="21"/>
          <w:spacing w:val="-10"/>
        </w:rPr>
        <w:t>研究报告。报告提出了提升公众的算法素养、公共部门建立算法问</w:t>
      </w:r>
      <w:r>
        <w:rPr>
          <w:rFonts w:ascii="SimSun" w:hAnsi="SimSun" w:eastAsia="SimSun" w:cs="SimSun"/>
          <w:sz w:val="21"/>
          <w:szCs w:val="21"/>
          <w:spacing w:val="-11"/>
        </w:rPr>
        <w:t>责 </w:t>
      </w:r>
      <w:r>
        <w:rPr>
          <w:rFonts w:ascii="SimSun" w:hAnsi="SimSun" w:eastAsia="SimSun" w:cs="SimSun"/>
          <w:sz w:val="21"/>
          <w:szCs w:val="21"/>
          <w:spacing w:val="-10"/>
        </w:rPr>
        <w:t>机制、完善监管机制和法律责任制度、加强</w:t>
      </w:r>
      <w:r>
        <w:rPr>
          <w:rFonts w:ascii="SimSun" w:hAnsi="SimSun" w:eastAsia="SimSun" w:cs="SimSun"/>
          <w:sz w:val="21"/>
          <w:szCs w:val="21"/>
          <w:spacing w:val="-11"/>
        </w:rPr>
        <w:t>算法治理的国际合作这四</w:t>
      </w:r>
      <w:r>
        <w:rPr>
          <w:rFonts w:ascii="SimSun" w:hAnsi="SimSun" w:eastAsia="SimSun" w:cs="SimSun"/>
          <w:sz w:val="21"/>
          <w:szCs w:val="21"/>
        </w:rPr>
        <w:t xml:space="preserve"> </w:t>
      </w:r>
      <w:r>
        <w:rPr>
          <w:rFonts w:ascii="SimSun" w:hAnsi="SimSun" w:eastAsia="SimSun" w:cs="SimSun"/>
          <w:sz w:val="21"/>
          <w:szCs w:val="21"/>
          <w:spacing w:val="-12"/>
        </w:rPr>
        <w:t>个不同层面的政策建议。</w:t>
      </w:r>
    </w:p>
    <w:p>
      <w:pPr>
        <w:ind w:right="15" w:firstLine="469"/>
        <w:spacing w:before="251" w:line="277" w:lineRule="auto"/>
        <w:jc w:val="both"/>
        <w:rPr>
          <w:rFonts w:ascii="SimSun" w:hAnsi="SimSun" w:eastAsia="SimSun" w:cs="SimSun"/>
          <w:sz w:val="21"/>
          <w:szCs w:val="21"/>
        </w:rPr>
      </w:pPr>
      <w:r>
        <w:rPr>
          <w:rFonts w:ascii="SimSun" w:hAnsi="SimSun" w:eastAsia="SimSun" w:cs="SimSun"/>
          <w:sz w:val="21"/>
          <w:szCs w:val="21"/>
          <w:spacing w:val="-3"/>
        </w:rPr>
        <w:t>欧洲监管中对可解释性的要求较为明确。例如，2018年英国议</w:t>
      </w:r>
      <w:r>
        <w:rPr>
          <w:rFonts w:ascii="SimSun" w:hAnsi="SimSun" w:eastAsia="SimSun" w:cs="SimSun"/>
          <w:sz w:val="21"/>
          <w:szCs w:val="21"/>
          <w:spacing w:val="5"/>
        </w:rPr>
        <w:t xml:space="preserve"> </w:t>
      </w:r>
      <w:r>
        <w:rPr>
          <w:rFonts w:ascii="SimSun" w:hAnsi="SimSun" w:eastAsia="SimSun" w:cs="SimSun"/>
          <w:sz w:val="21"/>
          <w:szCs w:val="21"/>
          <w:spacing w:val="-11"/>
        </w:rPr>
        <w:t>会下属人工智能特别委员会在题为《英国人工智能发展的计划、能力 </w:t>
      </w:r>
      <w:r>
        <w:rPr>
          <w:rFonts w:ascii="SimSun" w:hAnsi="SimSun" w:eastAsia="SimSun" w:cs="SimSun"/>
          <w:sz w:val="21"/>
          <w:szCs w:val="21"/>
          <w:spacing w:val="-11"/>
        </w:rPr>
        <w:t>与志向》的报告中将建立可解释的算法系统作为治理重点：需增加系</w:t>
      </w:r>
    </w:p>
    <w:p>
      <w:pPr>
        <w:spacing w:line="277" w:lineRule="auto"/>
        <w:sectPr>
          <w:headerReference w:type="default" r:id="rId389"/>
          <w:pgSz w:w="7330" w:h="12480"/>
          <w:pgMar w:top="599" w:right="435" w:bottom="400" w:left="820" w:header="423"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301" w:lineRule="auto"/>
        <w:jc w:val="both"/>
        <w:rPr>
          <w:rFonts w:ascii="SimSun" w:hAnsi="SimSun" w:eastAsia="SimSun" w:cs="SimSun"/>
          <w:sz w:val="21"/>
          <w:szCs w:val="21"/>
        </w:rPr>
      </w:pPr>
      <w:r>
        <w:rPr>
          <w:rFonts w:ascii="SimSun" w:hAnsi="SimSun" w:eastAsia="SimSun" w:cs="SimSun"/>
          <w:sz w:val="21"/>
          <w:szCs w:val="21"/>
          <w:spacing w:val="-11"/>
        </w:rPr>
        <w:t>统的透明度，甚至开放人工智能系统的源代码，至少应该保持错误事</w:t>
      </w:r>
      <w:r>
        <w:rPr>
          <w:rFonts w:ascii="SimSun" w:hAnsi="SimSun" w:eastAsia="SimSun" w:cs="SimSun"/>
          <w:sz w:val="21"/>
          <w:szCs w:val="21"/>
          <w:spacing w:val="4"/>
        </w:rPr>
        <w:t xml:space="preserve">  </w:t>
      </w:r>
      <w:r>
        <w:rPr>
          <w:rFonts w:ascii="SimSun" w:hAnsi="SimSun" w:eastAsia="SimSun" w:cs="SimSun"/>
          <w:sz w:val="21"/>
          <w:szCs w:val="21"/>
          <w:spacing w:val="-11"/>
        </w:rPr>
        <w:t>件的事后透明；建立可解释的人工智能系统以替代目前存在黑箱的神</w:t>
      </w:r>
      <w:r>
        <w:rPr>
          <w:rFonts w:ascii="SimSun" w:hAnsi="SimSun" w:eastAsia="SimSun" w:cs="SimSun"/>
          <w:sz w:val="21"/>
          <w:szCs w:val="21"/>
          <w:spacing w:val="7"/>
        </w:rPr>
        <w:t xml:space="preserve">  </w:t>
      </w:r>
      <w:r>
        <w:rPr>
          <w:rFonts w:ascii="SimSun" w:hAnsi="SimSun" w:eastAsia="SimSun" w:cs="SimSun"/>
          <w:sz w:val="21"/>
          <w:szCs w:val="21"/>
          <w:spacing w:val="-11"/>
        </w:rPr>
        <w:t>经网络系统，并且应该推迟将现有的黑箱算法用于特定重大领域；在</w:t>
      </w:r>
      <w:r>
        <w:rPr>
          <w:rFonts w:ascii="SimSun" w:hAnsi="SimSun" w:eastAsia="SimSun" w:cs="SimSun"/>
          <w:sz w:val="21"/>
          <w:szCs w:val="21"/>
          <w:spacing w:val="4"/>
        </w:rPr>
        <w:t xml:space="preserve">  </w:t>
      </w:r>
      <w:r>
        <w:rPr>
          <w:rFonts w:ascii="SimSun" w:hAnsi="SimSun" w:eastAsia="SimSun" w:cs="SimSun"/>
          <w:sz w:val="21"/>
          <w:szCs w:val="21"/>
          <w:spacing w:val="-11"/>
        </w:rPr>
        <w:t>安全攸关的特定场景中，为确保技术透明性，甚至可以牺牲系统的能</w:t>
      </w:r>
      <w:r>
        <w:rPr>
          <w:rFonts w:ascii="SimSun" w:hAnsi="SimSun" w:eastAsia="SimSun" w:cs="SimSun"/>
          <w:sz w:val="21"/>
          <w:szCs w:val="21"/>
          <w:spacing w:val="4"/>
        </w:rPr>
        <w:t xml:space="preserve">  </w:t>
      </w:r>
      <w:r>
        <w:rPr>
          <w:rFonts w:ascii="SimSun" w:hAnsi="SimSun" w:eastAsia="SimSun" w:cs="SimSun"/>
          <w:sz w:val="21"/>
          <w:szCs w:val="21"/>
          <w:spacing w:val="-1"/>
        </w:rPr>
        <w:t>力和准确性。而2021年4月，欧盟委员会通过了关于人工智能的统</w:t>
      </w:r>
      <w:r>
        <w:rPr>
          <w:rFonts w:ascii="SimSun" w:hAnsi="SimSun" w:eastAsia="SimSun" w:cs="SimSun"/>
          <w:sz w:val="21"/>
          <w:szCs w:val="21"/>
          <w:spacing w:val="9"/>
        </w:rPr>
        <w:t xml:space="preserve">  </w:t>
      </w:r>
      <w:r>
        <w:rPr>
          <w:rFonts w:ascii="SimSun" w:hAnsi="SimSun" w:eastAsia="SimSun" w:cs="SimSun"/>
          <w:sz w:val="21"/>
          <w:szCs w:val="21"/>
          <w:spacing w:val="-4"/>
        </w:rPr>
        <w:t>一规则《人工智能法》草案，并修订了某些欧盟立法，进一步扩展</w:t>
      </w:r>
      <w:r>
        <w:rPr>
          <w:rFonts w:ascii="SimSun" w:hAnsi="SimSun" w:eastAsia="SimSun" w:cs="SimSun"/>
          <w:sz w:val="21"/>
          <w:szCs w:val="21"/>
          <w:spacing w:val="3"/>
        </w:rPr>
        <w:t xml:space="preserve">  </w:t>
      </w:r>
      <w:r>
        <w:rPr>
          <w:rFonts w:ascii="SimSun" w:hAnsi="SimSun" w:eastAsia="SimSun" w:cs="SimSun"/>
          <w:sz w:val="21"/>
          <w:szCs w:val="21"/>
          <w:spacing w:val="-5"/>
        </w:rPr>
        <w:t>了对算法可解释性的监管，要求即使是一些传统的模型如逻辑斯蒂</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7"/>
        </w:rPr>
        <w:t>(logistic)  </w:t>
      </w:r>
      <w:r>
        <w:rPr>
          <w:rFonts w:ascii="SimSun" w:hAnsi="SimSun" w:eastAsia="SimSun" w:cs="SimSun"/>
          <w:sz w:val="21"/>
          <w:szCs w:val="21"/>
          <w:spacing w:val="-7"/>
        </w:rPr>
        <w:t>模型及统计方法，背后的逻辑也要清晰，可以对公众解释。</w:t>
      </w:r>
    </w:p>
    <w:p>
      <w:pPr>
        <w:pStyle w:val="BodyText"/>
        <w:spacing w:line="429" w:lineRule="auto"/>
        <w:rPr/>
      </w:pPr>
      <w:r/>
    </w:p>
    <w:p>
      <w:pPr>
        <w:ind w:left="422"/>
        <w:spacing w:before="68" w:line="219" w:lineRule="auto"/>
        <w:rPr>
          <w:rFonts w:ascii="SimSun" w:hAnsi="SimSun" w:eastAsia="SimSun" w:cs="SimSun"/>
          <w:sz w:val="21"/>
          <w:szCs w:val="21"/>
        </w:rPr>
      </w:pPr>
      <w:r>
        <w:rPr>
          <w:rFonts w:ascii="SimSun" w:hAnsi="SimSun" w:eastAsia="SimSun" w:cs="SimSun"/>
          <w:sz w:val="21"/>
          <w:szCs w:val="21"/>
          <w:b/>
          <w:bCs/>
          <w:spacing w:val="-13"/>
        </w:rPr>
        <w:t>其他国家的算法治理</w:t>
      </w:r>
    </w:p>
    <w:p>
      <w:pPr>
        <w:ind w:right="58" w:firstLine="419"/>
        <w:spacing w:before="113" w:line="309" w:lineRule="auto"/>
        <w:jc w:val="both"/>
        <w:rPr>
          <w:rFonts w:ascii="SimSun" w:hAnsi="SimSun" w:eastAsia="SimSun" w:cs="SimSun"/>
          <w:sz w:val="21"/>
          <w:szCs w:val="21"/>
        </w:rPr>
      </w:pPr>
      <w:r>
        <w:rPr>
          <w:rFonts w:ascii="SimSun" w:hAnsi="SimSun" w:eastAsia="SimSun" w:cs="SimSun"/>
          <w:sz w:val="21"/>
          <w:szCs w:val="21"/>
          <w:spacing w:val="-3"/>
        </w:rPr>
        <w:t>千方百计提高算法透明度，是不少国家治理算法时的重点。例</w:t>
      </w:r>
      <w:r>
        <w:rPr>
          <w:rFonts w:ascii="SimSun" w:hAnsi="SimSun" w:eastAsia="SimSun" w:cs="SimSun"/>
          <w:sz w:val="21"/>
          <w:szCs w:val="21"/>
          <w:spacing w:val="7"/>
        </w:rPr>
        <w:t xml:space="preserve"> </w:t>
      </w:r>
      <w:r>
        <w:rPr>
          <w:rFonts w:ascii="SimSun" w:hAnsi="SimSun" w:eastAsia="SimSun" w:cs="SimSun"/>
          <w:sz w:val="21"/>
          <w:szCs w:val="21"/>
          <w:spacing w:val="-3"/>
        </w:rPr>
        <w:t>如，2019年2月，加拿大出台《自动化决策指令》,以指导政府</w:t>
      </w:r>
      <w:r>
        <w:rPr>
          <w:rFonts w:ascii="SimSun" w:hAnsi="SimSun" w:eastAsia="SimSun" w:cs="SimSun"/>
          <w:sz w:val="21"/>
          <w:szCs w:val="21"/>
          <w:spacing w:val="-4"/>
        </w:rPr>
        <w:t>部门</w:t>
      </w:r>
      <w:r>
        <w:rPr>
          <w:rFonts w:ascii="SimSun" w:hAnsi="SimSun" w:eastAsia="SimSun" w:cs="SimSun"/>
          <w:sz w:val="21"/>
          <w:szCs w:val="21"/>
        </w:rPr>
        <w:t xml:space="preserve"> </w:t>
      </w:r>
      <w:r>
        <w:rPr>
          <w:rFonts w:ascii="SimSun" w:hAnsi="SimSun" w:eastAsia="SimSun" w:cs="SimSun"/>
          <w:sz w:val="21"/>
          <w:szCs w:val="21"/>
          <w:spacing w:val="-11"/>
        </w:rPr>
        <w:t>对算法决策的使用，要求政府部门使用算法驱动的决策系统必须先评</w:t>
      </w:r>
      <w:r>
        <w:rPr>
          <w:rFonts w:ascii="SimSun" w:hAnsi="SimSun" w:eastAsia="SimSun" w:cs="SimSun"/>
          <w:sz w:val="21"/>
          <w:szCs w:val="21"/>
          <w:spacing w:val="6"/>
        </w:rPr>
        <w:t xml:space="preserve"> </w:t>
      </w:r>
      <w:r>
        <w:rPr>
          <w:rFonts w:ascii="SimSun" w:hAnsi="SimSun" w:eastAsia="SimSun" w:cs="SimSun"/>
          <w:sz w:val="21"/>
          <w:szCs w:val="21"/>
          <w:spacing w:val="-11"/>
        </w:rPr>
        <w:t>估算法可能产生的影响，需要将保证决策透明度作为重要维度。日本</w:t>
      </w:r>
      <w:r>
        <w:rPr>
          <w:rFonts w:ascii="SimSun" w:hAnsi="SimSun" w:eastAsia="SimSun" w:cs="SimSun"/>
          <w:sz w:val="21"/>
          <w:szCs w:val="21"/>
          <w:spacing w:val="8"/>
        </w:rPr>
        <w:t xml:space="preserve"> </w:t>
      </w:r>
      <w:r>
        <w:rPr>
          <w:rFonts w:ascii="SimSun" w:hAnsi="SimSun" w:eastAsia="SimSun" w:cs="SimSun"/>
          <w:sz w:val="21"/>
          <w:szCs w:val="21"/>
          <w:spacing w:val="-4"/>
        </w:rPr>
        <w:t>参议院于2020年通过《关于提高特定数字平台透明性及公平性的法</w:t>
      </w:r>
      <w:r>
        <w:rPr>
          <w:rFonts w:ascii="SimSun" w:hAnsi="SimSun" w:eastAsia="SimSun" w:cs="SimSun"/>
          <w:sz w:val="21"/>
          <w:szCs w:val="21"/>
          <w:spacing w:val="10"/>
        </w:rPr>
        <w:t xml:space="preserve"> </w:t>
      </w:r>
      <w:r>
        <w:rPr>
          <w:rFonts w:ascii="SimSun" w:hAnsi="SimSun" w:eastAsia="SimSun" w:cs="SimSun"/>
          <w:sz w:val="21"/>
          <w:szCs w:val="21"/>
          <w:spacing w:val="-7"/>
        </w:rPr>
        <w:t>律》,该法从2021年春季开始实施，规定了特定数字平台供应商的信</w:t>
      </w:r>
      <w:r>
        <w:rPr>
          <w:rFonts w:ascii="SimSun" w:hAnsi="SimSun" w:eastAsia="SimSun" w:cs="SimSun"/>
          <w:sz w:val="21"/>
          <w:szCs w:val="21"/>
          <w:spacing w:val="12"/>
        </w:rPr>
        <w:t xml:space="preserve"> </w:t>
      </w:r>
      <w:r>
        <w:rPr>
          <w:rFonts w:ascii="SimSun" w:hAnsi="SimSun" w:eastAsia="SimSun" w:cs="SimSun"/>
          <w:sz w:val="21"/>
          <w:szCs w:val="21"/>
          <w:spacing w:val="-11"/>
        </w:rPr>
        <w:t>息披露义务，并将平台使用的排序、分类方法作为监管重点，尽可能</w:t>
      </w:r>
      <w:r>
        <w:rPr>
          <w:rFonts w:ascii="SimSun" w:hAnsi="SimSun" w:eastAsia="SimSun" w:cs="SimSun"/>
          <w:sz w:val="21"/>
          <w:szCs w:val="21"/>
          <w:spacing w:val="9"/>
        </w:rPr>
        <w:t xml:space="preserve"> </w:t>
      </w:r>
      <w:r>
        <w:rPr>
          <w:rFonts w:ascii="SimSun" w:hAnsi="SimSun" w:eastAsia="SimSun" w:cs="SimSun"/>
          <w:sz w:val="21"/>
          <w:szCs w:val="21"/>
          <w:spacing w:val="-11"/>
        </w:rPr>
        <w:t>减少算法歧视；不过，该法也容许商家为避免商业秘密被侵害而不披</w:t>
      </w:r>
      <w:r>
        <w:rPr>
          <w:rFonts w:ascii="SimSun" w:hAnsi="SimSun" w:eastAsia="SimSun" w:cs="SimSun"/>
          <w:sz w:val="21"/>
          <w:szCs w:val="21"/>
          <w:spacing w:val="7"/>
        </w:rPr>
        <w:t xml:space="preserve"> </w:t>
      </w:r>
      <w:r>
        <w:rPr>
          <w:rFonts w:ascii="SimSun" w:hAnsi="SimSun" w:eastAsia="SimSun" w:cs="SimSun"/>
          <w:sz w:val="21"/>
          <w:szCs w:val="21"/>
          <w:spacing w:val="-7"/>
        </w:rPr>
        <w:t>露排序的具体算法。2020年韩国颁布了《在线平台公平交易法》,要</w:t>
      </w:r>
      <w:r>
        <w:rPr>
          <w:rFonts w:ascii="SimSun" w:hAnsi="SimSun" w:eastAsia="SimSun" w:cs="SimSun"/>
          <w:sz w:val="21"/>
          <w:szCs w:val="21"/>
          <w:spacing w:val="8"/>
        </w:rPr>
        <w:t xml:space="preserve"> </w:t>
      </w:r>
      <w:r>
        <w:rPr>
          <w:rFonts w:ascii="SimSun" w:hAnsi="SimSun" w:eastAsia="SimSun" w:cs="SimSun"/>
          <w:sz w:val="21"/>
          <w:szCs w:val="21"/>
          <w:spacing w:val="-11"/>
        </w:rPr>
        <w:t>求通过透明公开的合同条款和条件来防止事前纠纷，例如平台运营商</w:t>
      </w:r>
      <w:r>
        <w:rPr>
          <w:rFonts w:ascii="SimSun" w:hAnsi="SimSun" w:eastAsia="SimSun" w:cs="SimSun"/>
          <w:sz w:val="21"/>
          <w:szCs w:val="21"/>
          <w:spacing w:val="12"/>
        </w:rPr>
        <w:t xml:space="preserve"> </w:t>
      </w:r>
      <w:r>
        <w:rPr>
          <w:rFonts w:ascii="SimSun" w:hAnsi="SimSun" w:eastAsia="SimSun" w:cs="SimSun"/>
          <w:sz w:val="21"/>
          <w:szCs w:val="21"/>
          <w:spacing w:val="-11"/>
        </w:rPr>
        <w:t>与商家的书面合同必须包括用于确定诸如商品信息的展示方式以及在</w:t>
      </w:r>
      <w:r>
        <w:rPr>
          <w:rFonts w:ascii="SimSun" w:hAnsi="SimSun" w:eastAsia="SimSun" w:cs="SimSun"/>
          <w:sz w:val="21"/>
          <w:szCs w:val="21"/>
          <w:spacing w:val="9"/>
        </w:rPr>
        <w:t xml:space="preserve"> </w:t>
      </w:r>
      <w:r>
        <w:rPr>
          <w:rFonts w:ascii="SimSun" w:hAnsi="SimSun" w:eastAsia="SimSun" w:cs="SimSun"/>
          <w:sz w:val="21"/>
          <w:szCs w:val="21"/>
          <w:spacing w:val="-11"/>
        </w:rPr>
        <w:t>线平台上展示顺序的标准，包括费用对信息呈现方法和顺序产生的影</w:t>
      </w:r>
      <w:r>
        <w:rPr>
          <w:rFonts w:ascii="SimSun" w:hAnsi="SimSun" w:eastAsia="SimSun" w:cs="SimSun"/>
          <w:sz w:val="21"/>
          <w:szCs w:val="21"/>
          <w:spacing w:val="7"/>
        </w:rPr>
        <w:t xml:space="preserve"> </w:t>
      </w:r>
      <w:r>
        <w:rPr>
          <w:rFonts w:ascii="SimSun" w:hAnsi="SimSun" w:eastAsia="SimSun" w:cs="SimSun"/>
          <w:sz w:val="21"/>
          <w:szCs w:val="21"/>
          <w:spacing w:val="-11"/>
        </w:rPr>
        <w:t>响等。</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7"/>
        </w:rPr>
        <w:t>算法治理挑战的中国监管应对</w:t>
      </w:r>
    </w:p>
    <w:p>
      <w:pPr>
        <w:pStyle w:val="BodyText"/>
        <w:spacing w:line="361"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12"/>
        </w:rPr>
        <w:t>第一，治理算法歧视等问题最好的办法是用技术解决技术带来的</w:t>
      </w:r>
    </w:p>
    <w:p>
      <w:pPr>
        <w:spacing w:line="219" w:lineRule="auto"/>
        <w:sectPr>
          <w:headerReference w:type="default" r:id="rId390"/>
          <w:pgSz w:w="7330" w:h="12480"/>
          <w:pgMar w:top="846" w:right="864" w:bottom="400" w:left="390" w:header="683"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right="87" w:firstLine="104"/>
        <w:spacing w:before="69" w:line="303" w:lineRule="auto"/>
        <w:jc w:val="both"/>
        <w:rPr>
          <w:rFonts w:ascii="SimSun" w:hAnsi="SimSun" w:eastAsia="SimSun" w:cs="SimSun"/>
          <w:sz w:val="21"/>
          <w:szCs w:val="21"/>
        </w:rPr>
      </w:pPr>
      <w:r>
        <w:rPr>
          <w:rFonts w:ascii="SimSun" w:hAnsi="SimSun" w:eastAsia="SimSun" w:cs="SimSun"/>
          <w:sz w:val="21"/>
          <w:szCs w:val="21"/>
          <w:spacing w:val="-11"/>
        </w:rPr>
        <w:t>问题，尽量通过恰当的治理机制设计，来实现取长补短，而不是采取</w:t>
      </w:r>
      <w:r>
        <w:rPr>
          <w:rFonts w:ascii="SimSun" w:hAnsi="SimSun" w:eastAsia="SimSun" w:cs="SimSun"/>
          <w:sz w:val="21"/>
          <w:szCs w:val="21"/>
          <w:spacing w:val="18"/>
        </w:rPr>
        <w:t xml:space="preserve"> </w:t>
      </w:r>
      <w:r>
        <w:rPr>
          <w:rFonts w:ascii="SimSun" w:hAnsi="SimSun" w:eastAsia="SimSun" w:cs="SimSun"/>
          <w:sz w:val="21"/>
          <w:szCs w:val="21"/>
          <w:spacing w:val="-8"/>
        </w:rPr>
        <w:t>“一刀切”式监管。从国际经验来看，美国与欧盟、英国以及其他国</w:t>
      </w:r>
      <w:r>
        <w:rPr>
          <w:rFonts w:ascii="SimSun" w:hAnsi="SimSun" w:eastAsia="SimSun" w:cs="SimSun"/>
          <w:sz w:val="21"/>
          <w:szCs w:val="21"/>
          <w:spacing w:val="14"/>
        </w:rPr>
        <w:t xml:space="preserve"> </w:t>
      </w:r>
      <w:r>
        <w:rPr>
          <w:rFonts w:ascii="SimSun" w:hAnsi="SimSun" w:eastAsia="SimSun" w:cs="SimSun"/>
          <w:sz w:val="21"/>
          <w:szCs w:val="21"/>
          <w:spacing w:val="-7"/>
        </w:rPr>
        <w:t>家在算法治理方面的思路存在差异。但总体来看，发达国家在算法治</w:t>
      </w:r>
      <w:r>
        <w:rPr>
          <w:rFonts w:ascii="SimSun" w:hAnsi="SimSun" w:eastAsia="SimSun" w:cs="SimSun"/>
          <w:sz w:val="21"/>
          <w:szCs w:val="21"/>
          <w:spacing w:val="11"/>
        </w:rPr>
        <w:t xml:space="preserve"> </w:t>
      </w:r>
      <w:r>
        <w:rPr>
          <w:rFonts w:ascii="SimSun" w:hAnsi="SimSun" w:eastAsia="SimSun" w:cs="SimSun"/>
          <w:sz w:val="21"/>
          <w:szCs w:val="21"/>
          <w:spacing w:val="-7"/>
        </w:rPr>
        <w:t>理问题上的主要思路还是通过发展技术来解决新技术带来的问题，尽</w:t>
      </w:r>
      <w:r>
        <w:rPr>
          <w:rFonts w:ascii="SimSun" w:hAnsi="SimSun" w:eastAsia="SimSun" w:cs="SimSun"/>
          <w:sz w:val="21"/>
          <w:szCs w:val="21"/>
          <w:spacing w:val="6"/>
        </w:rPr>
        <w:t xml:space="preserve"> </w:t>
      </w:r>
      <w:r>
        <w:rPr>
          <w:rFonts w:ascii="SimSun" w:hAnsi="SimSun" w:eastAsia="SimSun" w:cs="SimSun"/>
          <w:sz w:val="21"/>
          <w:szCs w:val="21"/>
          <w:u w:val="single" w:color="auto"/>
          <w:spacing w:val="-7"/>
        </w:rPr>
        <w:t>量通过</w:t>
      </w:r>
      <w:r>
        <w:rPr>
          <w:rFonts w:ascii="SimSun" w:hAnsi="SimSun" w:eastAsia="SimSun" w:cs="SimSun"/>
          <w:sz w:val="21"/>
          <w:szCs w:val="21"/>
          <w:spacing w:val="-7"/>
        </w:rPr>
        <w:t>恰当的治理机制设计实现取长补短。由于算法歧视等问题是数</w:t>
      </w:r>
      <w:r>
        <w:rPr>
          <w:rFonts w:ascii="SimSun" w:hAnsi="SimSun" w:eastAsia="SimSun" w:cs="SimSun"/>
          <w:sz w:val="21"/>
          <w:szCs w:val="21"/>
          <w:spacing w:val="2"/>
        </w:rPr>
        <w:t xml:space="preserve"> </w:t>
      </w:r>
      <w:r>
        <w:rPr>
          <w:rFonts w:ascii="SimSun" w:hAnsi="SimSun" w:eastAsia="SimSun" w:cs="SimSun"/>
          <w:sz w:val="21"/>
          <w:szCs w:val="21"/>
          <w:spacing w:val="-7"/>
        </w:rPr>
        <w:t>字经济、数字技术发展的副产品，因此在监管过程中不宜一刀切，不</w:t>
      </w:r>
      <w:r>
        <w:rPr>
          <w:rFonts w:ascii="SimSun" w:hAnsi="SimSun" w:eastAsia="SimSun" w:cs="SimSun"/>
          <w:sz w:val="21"/>
          <w:szCs w:val="21"/>
          <w:spacing w:val="4"/>
        </w:rPr>
        <w:t xml:space="preserve"> </w:t>
      </w:r>
      <w:r>
        <w:rPr>
          <w:rFonts w:ascii="SimSun" w:hAnsi="SimSun" w:eastAsia="SimSun" w:cs="SimSun"/>
          <w:sz w:val="21"/>
          <w:szCs w:val="21"/>
          <w:spacing w:val="7"/>
        </w:rPr>
        <w:t>宜妖魔化。</w:t>
      </w:r>
    </w:p>
    <w:p>
      <w:pPr>
        <w:ind w:left="104" w:right="42" w:firstLine="449"/>
        <w:spacing w:before="107" w:line="301" w:lineRule="auto"/>
        <w:jc w:val="both"/>
        <w:rPr>
          <w:rFonts w:ascii="SimSun" w:hAnsi="SimSun" w:eastAsia="SimSun" w:cs="SimSun"/>
          <w:sz w:val="21"/>
          <w:szCs w:val="21"/>
        </w:rPr>
      </w:pPr>
      <w:r>
        <w:rPr>
          <w:rFonts w:ascii="SimSun" w:hAnsi="SimSun" w:eastAsia="SimSun" w:cs="SimSun"/>
          <w:sz w:val="21"/>
          <w:szCs w:val="21"/>
          <w:spacing w:val="-3"/>
        </w:rPr>
        <w:t>第二，推动平台将针对多方的计价规则、流量分配规则等透明</w:t>
      </w:r>
      <w:r>
        <w:rPr>
          <w:rFonts w:ascii="SimSun" w:hAnsi="SimSun" w:eastAsia="SimSun" w:cs="SimSun"/>
          <w:sz w:val="21"/>
          <w:szCs w:val="21"/>
          <w:spacing w:val="2"/>
        </w:rPr>
        <w:t xml:space="preserve"> </w:t>
      </w:r>
      <w:r>
        <w:rPr>
          <w:rFonts w:ascii="SimSun" w:hAnsi="SimSun" w:eastAsia="SimSun" w:cs="SimSun"/>
          <w:sz w:val="21"/>
          <w:szCs w:val="21"/>
          <w:spacing w:val="-10"/>
        </w:rPr>
        <w:t>化。虽然算法治理存在挑战有一定合理性，</w:t>
      </w:r>
      <w:r>
        <w:rPr>
          <w:rFonts w:ascii="SimSun" w:hAnsi="SimSun" w:eastAsia="SimSun" w:cs="SimSun"/>
          <w:sz w:val="21"/>
          <w:szCs w:val="21"/>
          <w:spacing w:val="-11"/>
        </w:rPr>
        <w:t>但监管部门在降低信息不</w:t>
      </w:r>
      <w:r>
        <w:rPr>
          <w:rFonts w:ascii="SimSun" w:hAnsi="SimSun" w:eastAsia="SimSun" w:cs="SimSun"/>
          <w:sz w:val="21"/>
          <w:szCs w:val="21"/>
        </w:rPr>
        <w:t xml:space="preserve"> </w:t>
      </w:r>
      <w:r>
        <w:rPr>
          <w:rFonts w:ascii="SimSun" w:hAnsi="SimSun" w:eastAsia="SimSun" w:cs="SimSun"/>
          <w:sz w:val="21"/>
          <w:szCs w:val="21"/>
          <w:spacing w:val="-11"/>
        </w:rPr>
        <w:t>对称方面仍大有作为。平台型企业业务发展过程中，存在各类规则披</w:t>
      </w:r>
      <w:r>
        <w:rPr>
          <w:rFonts w:ascii="SimSun" w:hAnsi="SimSun" w:eastAsia="SimSun" w:cs="SimSun"/>
          <w:sz w:val="21"/>
          <w:szCs w:val="21"/>
          <w:spacing w:val="17"/>
        </w:rPr>
        <w:t xml:space="preserve"> </w:t>
      </w:r>
      <w:r>
        <w:rPr>
          <w:rFonts w:ascii="SimSun" w:hAnsi="SimSun" w:eastAsia="SimSun" w:cs="SimSun"/>
          <w:sz w:val="21"/>
          <w:szCs w:val="21"/>
          <w:spacing w:val="-10"/>
        </w:rPr>
        <w:t>露不充分、制定标准对利益相关方不透明等问题。例如，网约车平台</w:t>
      </w:r>
      <w:r>
        <w:rPr>
          <w:rFonts w:ascii="SimSun" w:hAnsi="SimSun" w:eastAsia="SimSun" w:cs="SimSun"/>
          <w:sz w:val="21"/>
          <w:szCs w:val="21"/>
        </w:rPr>
        <w:t xml:space="preserve"> </w:t>
      </w:r>
      <w:r>
        <w:rPr>
          <w:rFonts w:ascii="SimSun" w:hAnsi="SimSun" w:eastAsia="SimSun" w:cs="SimSun"/>
          <w:sz w:val="21"/>
          <w:szCs w:val="21"/>
          <w:spacing w:val="-10"/>
        </w:rPr>
        <w:t>往往会给出预估价，但是计价规则并非一目了然，用户需要花费很多</w:t>
      </w:r>
      <w:r>
        <w:rPr>
          <w:rFonts w:ascii="SimSun" w:hAnsi="SimSun" w:eastAsia="SimSun" w:cs="SimSun"/>
          <w:sz w:val="21"/>
          <w:szCs w:val="21"/>
          <w:spacing w:val="17"/>
        </w:rPr>
        <w:t xml:space="preserve"> </w:t>
      </w:r>
      <w:r>
        <w:rPr>
          <w:rFonts w:ascii="SimSun" w:hAnsi="SimSun" w:eastAsia="SimSun" w:cs="SimSun"/>
          <w:sz w:val="21"/>
          <w:szCs w:val="21"/>
          <w:spacing w:val="-11"/>
        </w:rPr>
        <w:t>精力从平台中寻找相关规律。又如外卖平台对不同商家的流量分配规</w:t>
      </w:r>
      <w:r>
        <w:rPr>
          <w:rFonts w:ascii="SimSun" w:hAnsi="SimSun" w:eastAsia="SimSun" w:cs="SimSun"/>
          <w:sz w:val="21"/>
          <w:szCs w:val="21"/>
          <w:spacing w:val="17"/>
        </w:rPr>
        <w:t xml:space="preserve"> </w:t>
      </w:r>
      <w:r>
        <w:rPr>
          <w:rFonts w:ascii="SimSun" w:hAnsi="SimSun" w:eastAsia="SimSun" w:cs="SimSun"/>
          <w:sz w:val="21"/>
          <w:szCs w:val="21"/>
          <w:spacing w:val="-10"/>
        </w:rPr>
        <w:t>则不清晰，引发商家对是否存在“劣币驱逐良币”问题的担忧</w:t>
      </w:r>
      <w:r>
        <w:rPr>
          <w:rFonts w:ascii="SimSun" w:hAnsi="SimSun" w:eastAsia="SimSun" w:cs="SimSun"/>
          <w:sz w:val="21"/>
          <w:szCs w:val="21"/>
          <w:spacing w:val="-11"/>
        </w:rPr>
        <w:t>。可以</w:t>
      </w:r>
      <w:r>
        <w:rPr>
          <w:rFonts w:ascii="SimSun" w:hAnsi="SimSun" w:eastAsia="SimSun" w:cs="SimSun"/>
          <w:sz w:val="21"/>
          <w:szCs w:val="21"/>
        </w:rPr>
        <w:t xml:space="preserve"> </w:t>
      </w:r>
      <w:r>
        <w:rPr>
          <w:rFonts w:ascii="SimSun" w:hAnsi="SimSun" w:eastAsia="SimSun" w:cs="SimSun"/>
          <w:sz w:val="21"/>
          <w:szCs w:val="21"/>
          <w:spacing w:val="-11"/>
        </w:rPr>
        <w:t>借鉴国际经验，通过推动平台更充分全面披露相关信息，帮助公众理</w:t>
      </w:r>
      <w:r>
        <w:rPr>
          <w:rFonts w:ascii="SimSun" w:hAnsi="SimSun" w:eastAsia="SimSun" w:cs="SimSun"/>
          <w:sz w:val="21"/>
          <w:szCs w:val="21"/>
          <w:spacing w:val="15"/>
        </w:rPr>
        <w:t xml:space="preserve"> </w:t>
      </w:r>
      <w:r>
        <w:rPr>
          <w:rFonts w:ascii="SimSun" w:hAnsi="SimSun" w:eastAsia="SimSun" w:cs="SimSun"/>
          <w:sz w:val="21"/>
          <w:szCs w:val="21"/>
          <w:spacing w:val="-10"/>
        </w:rPr>
        <w:t>解各类规则的合理性，从而对自己是否被“算法歧视”等有更多的监</w:t>
      </w:r>
      <w:r>
        <w:rPr>
          <w:rFonts w:ascii="SimSun" w:hAnsi="SimSun" w:eastAsia="SimSun" w:cs="SimSun"/>
          <w:sz w:val="21"/>
          <w:szCs w:val="21"/>
          <w:spacing w:val="7"/>
        </w:rPr>
        <w:t xml:space="preserve"> </w:t>
      </w:r>
      <w:r>
        <w:rPr>
          <w:rFonts w:ascii="SimSun" w:hAnsi="SimSun" w:eastAsia="SimSun" w:cs="SimSun"/>
          <w:sz w:val="21"/>
          <w:szCs w:val="21"/>
          <w:spacing w:val="-10"/>
        </w:rPr>
        <w:t>督能力。例如，可以通过要求平台事前通知、事后解释、公布排序算</w:t>
      </w:r>
      <w:r>
        <w:rPr>
          <w:rFonts w:ascii="SimSun" w:hAnsi="SimSun" w:eastAsia="SimSun" w:cs="SimSun"/>
          <w:sz w:val="21"/>
          <w:szCs w:val="21"/>
          <w:spacing w:val="8"/>
        </w:rPr>
        <w:t xml:space="preserve"> </w:t>
      </w:r>
      <w:r>
        <w:rPr>
          <w:rFonts w:ascii="SimSun" w:hAnsi="SimSun" w:eastAsia="SimSun" w:cs="SimSun"/>
          <w:sz w:val="21"/>
          <w:szCs w:val="21"/>
          <w:spacing w:val="-11"/>
        </w:rPr>
        <w:t>法规则和收费标准等提高决策的透明度，也可以</w:t>
      </w:r>
      <w:r>
        <w:rPr>
          <w:rFonts w:ascii="SimSun" w:hAnsi="SimSun" w:eastAsia="SimSun" w:cs="SimSun"/>
          <w:sz w:val="21"/>
          <w:szCs w:val="21"/>
          <w:u w:val="single" w:color="auto"/>
          <w:spacing w:val="-11"/>
        </w:rPr>
        <w:t>通过监</w:t>
      </w:r>
      <w:r>
        <w:rPr>
          <w:rFonts w:ascii="SimSun" w:hAnsi="SimSun" w:eastAsia="SimSun" w:cs="SimSun"/>
          <w:sz w:val="21"/>
          <w:szCs w:val="21"/>
          <w:spacing w:val="-11"/>
        </w:rPr>
        <w:t>测结果、保障</w:t>
      </w:r>
      <w:r>
        <w:rPr>
          <w:rFonts w:ascii="SimSun" w:hAnsi="SimSun" w:eastAsia="SimSun" w:cs="SimSun"/>
          <w:sz w:val="21"/>
          <w:szCs w:val="21"/>
          <w:spacing w:val="17"/>
        </w:rPr>
        <w:t xml:space="preserve"> </w:t>
      </w:r>
      <w:r>
        <w:rPr>
          <w:rFonts w:ascii="SimSun" w:hAnsi="SimSun" w:eastAsia="SimSun" w:cs="SimSun"/>
          <w:sz w:val="21"/>
          <w:szCs w:val="21"/>
          <w:spacing w:val="-9"/>
        </w:rPr>
        <w:t>数据质量、为员工提供培训、提供人工干预等方</w:t>
      </w:r>
      <w:r>
        <w:rPr>
          <w:rFonts w:ascii="SimSun" w:hAnsi="SimSun" w:eastAsia="SimSun" w:cs="SimSun"/>
          <w:sz w:val="21"/>
          <w:szCs w:val="21"/>
          <w:spacing w:val="-10"/>
        </w:rPr>
        <w:t>式保证算法决策的质</w:t>
      </w:r>
      <w:r>
        <w:rPr>
          <w:rFonts w:ascii="SimSun" w:hAnsi="SimSun" w:eastAsia="SimSun" w:cs="SimSun"/>
          <w:sz w:val="21"/>
          <w:szCs w:val="21"/>
        </w:rPr>
        <w:t xml:space="preserve"> </w:t>
      </w:r>
      <w:r>
        <w:rPr>
          <w:rFonts w:ascii="SimSun" w:hAnsi="SimSun" w:eastAsia="SimSun" w:cs="SimSun"/>
          <w:sz w:val="21"/>
          <w:szCs w:val="21"/>
          <w:spacing w:val="-9"/>
        </w:rPr>
        <w:t>量等。</w:t>
      </w:r>
    </w:p>
    <w:p>
      <w:pPr>
        <w:ind w:left="104" w:firstLine="440"/>
        <w:spacing w:before="222" w:line="302" w:lineRule="auto"/>
        <w:jc w:val="both"/>
        <w:rPr>
          <w:rFonts w:ascii="SimSun" w:hAnsi="SimSun" w:eastAsia="SimSun" w:cs="SimSun"/>
          <w:sz w:val="21"/>
          <w:szCs w:val="21"/>
        </w:rPr>
      </w:pPr>
      <w:r>
        <w:rPr>
          <w:rFonts w:ascii="SimSun" w:hAnsi="SimSun" w:eastAsia="SimSun" w:cs="SimSun"/>
          <w:sz w:val="21"/>
          <w:szCs w:val="21"/>
          <w:spacing w:val="-10"/>
        </w:rPr>
        <w:t>第三，监管部门需要对平台人为制造出不对称问题</w:t>
      </w:r>
      <w:r>
        <w:rPr>
          <w:rFonts w:ascii="SimSun" w:hAnsi="SimSun" w:eastAsia="SimSun" w:cs="SimSun"/>
          <w:sz w:val="21"/>
          <w:szCs w:val="21"/>
          <w:spacing w:val="-11"/>
        </w:rPr>
        <w:t>采取措施，加</w:t>
      </w:r>
      <w:r>
        <w:rPr>
          <w:rFonts w:ascii="SimSun" w:hAnsi="SimSun" w:eastAsia="SimSun" w:cs="SimSun"/>
          <w:sz w:val="21"/>
          <w:szCs w:val="21"/>
        </w:rPr>
        <w:t xml:space="preserve"> </w:t>
      </w:r>
      <w:r>
        <w:rPr>
          <w:rFonts w:ascii="SimSun" w:hAnsi="SimSun" w:eastAsia="SimSun" w:cs="SimSun"/>
          <w:sz w:val="21"/>
          <w:szCs w:val="21"/>
          <w:spacing w:val="-10"/>
        </w:rPr>
        <w:t>大对平台人为制造信息不对称的治理力度。例如，网约车平</w:t>
      </w:r>
      <w:r>
        <w:rPr>
          <w:rFonts w:ascii="SimSun" w:hAnsi="SimSun" w:eastAsia="SimSun" w:cs="SimSun"/>
          <w:sz w:val="21"/>
          <w:szCs w:val="21"/>
          <w:spacing w:val="-11"/>
        </w:rPr>
        <w:t>台针对同</w:t>
      </w:r>
      <w:r>
        <w:rPr>
          <w:rFonts w:ascii="SimSun" w:hAnsi="SimSun" w:eastAsia="SimSun" w:cs="SimSun"/>
          <w:sz w:val="21"/>
          <w:szCs w:val="21"/>
        </w:rPr>
        <w:t xml:space="preserve">  </w:t>
      </w:r>
      <w:r>
        <w:rPr>
          <w:rFonts w:ascii="SimSun" w:hAnsi="SimSun" w:eastAsia="SimSun" w:cs="SimSun"/>
          <w:sz w:val="21"/>
          <w:szCs w:val="21"/>
          <w:spacing w:val="-10"/>
        </w:rPr>
        <w:t>一段行程对司机、乘客采用不同计价规则的做法，构成了新的类型的 </w:t>
      </w:r>
      <w:r>
        <w:rPr>
          <w:rFonts w:ascii="SimSun" w:hAnsi="SimSun" w:eastAsia="SimSun" w:cs="SimSun"/>
          <w:sz w:val="21"/>
          <w:szCs w:val="21"/>
          <w:spacing w:val="-10"/>
        </w:rPr>
        <w:t>差别定价。这类差别定价，在其他平台企业</w:t>
      </w:r>
      <w:r>
        <w:rPr>
          <w:rFonts w:ascii="SimSun" w:hAnsi="SimSun" w:eastAsia="SimSun" w:cs="SimSun"/>
          <w:sz w:val="21"/>
          <w:szCs w:val="21"/>
          <w:spacing w:val="-11"/>
        </w:rPr>
        <w:t>也可能存在，例如顾客支</w:t>
      </w:r>
      <w:r>
        <w:rPr>
          <w:rFonts w:ascii="SimSun" w:hAnsi="SimSun" w:eastAsia="SimSun" w:cs="SimSun"/>
          <w:sz w:val="21"/>
          <w:szCs w:val="21"/>
        </w:rPr>
        <w:t xml:space="preserve">  </w:t>
      </w:r>
      <w:r>
        <w:rPr>
          <w:rFonts w:ascii="SimSun" w:hAnsi="SimSun" w:eastAsia="SimSun" w:cs="SimSun"/>
          <w:sz w:val="21"/>
          <w:szCs w:val="21"/>
          <w:spacing w:val="-7"/>
        </w:rPr>
        <w:t>付外卖配送费与外卖小哥收取配送费的计算规则可能</w:t>
      </w:r>
      <w:r>
        <w:rPr>
          <w:rFonts w:ascii="SimSun" w:hAnsi="SimSun" w:eastAsia="SimSun" w:cs="SimSun"/>
          <w:sz w:val="21"/>
          <w:szCs w:val="21"/>
          <w:spacing w:val="-8"/>
        </w:rPr>
        <w:t>也有很大不同。</w:t>
      </w:r>
      <w:r>
        <w:rPr>
          <w:rFonts w:ascii="SimSun" w:hAnsi="SimSun" w:eastAsia="SimSun" w:cs="SimSun"/>
          <w:sz w:val="21"/>
          <w:szCs w:val="21"/>
        </w:rPr>
        <w:t xml:space="preserve"> </w:t>
      </w:r>
      <w:r>
        <w:rPr>
          <w:rFonts w:ascii="SimSun" w:hAnsi="SimSun" w:eastAsia="SimSun" w:cs="SimSun"/>
          <w:sz w:val="21"/>
          <w:szCs w:val="21"/>
          <w:spacing w:val="-10"/>
        </w:rPr>
        <w:t>监管部门可考虑要求平台对不同定价的合理性做出解释</w:t>
      </w:r>
      <w:r>
        <w:rPr>
          <w:rFonts w:ascii="SimSun" w:hAnsi="SimSun" w:eastAsia="SimSun" w:cs="SimSun"/>
          <w:sz w:val="21"/>
          <w:szCs w:val="21"/>
          <w:spacing w:val="-11"/>
        </w:rPr>
        <w:t>，对不合理的</w:t>
      </w:r>
      <w:r>
        <w:rPr>
          <w:rFonts w:ascii="SimSun" w:hAnsi="SimSun" w:eastAsia="SimSun" w:cs="SimSun"/>
          <w:sz w:val="21"/>
          <w:szCs w:val="21"/>
        </w:rPr>
        <w:t xml:space="preserve">  </w:t>
      </w:r>
      <w:r>
        <w:rPr>
          <w:rFonts w:ascii="SimSun" w:hAnsi="SimSun" w:eastAsia="SimSun" w:cs="SimSun"/>
          <w:sz w:val="21"/>
          <w:szCs w:val="21"/>
          <w:spacing w:val="-12"/>
        </w:rPr>
        <w:t>定价，应当坚决要求其予以整改。</w:t>
      </w:r>
    </w:p>
    <w:p>
      <w:pPr>
        <w:spacing w:line="302" w:lineRule="auto"/>
        <w:sectPr>
          <w:headerReference w:type="default" r:id="rId391"/>
          <w:pgSz w:w="7330" w:h="12480"/>
          <w:pgMar w:top="557" w:right="475" w:bottom="400" w:left="665" w:header="395"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firstLine="399"/>
        <w:spacing w:before="69" w:line="304" w:lineRule="auto"/>
        <w:jc w:val="both"/>
        <w:rPr>
          <w:rFonts w:ascii="SimSun" w:hAnsi="SimSun" w:eastAsia="SimSun" w:cs="SimSun"/>
          <w:sz w:val="21"/>
          <w:szCs w:val="21"/>
        </w:rPr>
      </w:pPr>
      <w:r>
        <w:rPr>
          <w:rFonts w:ascii="SimSun" w:hAnsi="SimSun" w:eastAsia="SimSun" w:cs="SimSun"/>
          <w:sz w:val="21"/>
          <w:szCs w:val="21"/>
          <w:spacing w:val="-11"/>
        </w:rPr>
        <w:t>第四，推动算法审计，实现长期有效监管。算法审计指收集有关</w:t>
      </w:r>
      <w:r>
        <w:rPr>
          <w:rFonts w:ascii="SimSun" w:hAnsi="SimSun" w:eastAsia="SimSun" w:cs="SimSun"/>
          <w:sz w:val="21"/>
          <w:szCs w:val="21"/>
          <w:spacing w:val="8"/>
        </w:rPr>
        <w:t xml:space="preserve">  </w:t>
      </w:r>
      <w:r>
        <w:rPr>
          <w:rFonts w:ascii="SimSun" w:hAnsi="SimSun" w:eastAsia="SimSun" w:cs="SimSun"/>
          <w:sz w:val="21"/>
          <w:szCs w:val="21"/>
          <w:spacing w:val="-11"/>
        </w:rPr>
        <w:t>算法在特定应用场景中使用时的表现数据，然后用</w:t>
      </w:r>
      <w:r>
        <w:rPr>
          <w:rFonts w:ascii="SimSun" w:hAnsi="SimSun" w:eastAsia="SimSun" w:cs="SimSun"/>
          <w:sz w:val="21"/>
          <w:szCs w:val="21"/>
          <w:u w:val="single" w:color="auto"/>
          <w:spacing w:val="-11"/>
        </w:rPr>
        <w:t>这些</w:t>
      </w:r>
      <w:r>
        <w:rPr>
          <w:rFonts w:ascii="SimSun" w:hAnsi="SimSun" w:eastAsia="SimSun" w:cs="SimSun"/>
          <w:sz w:val="21"/>
          <w:szCs w:val="21"/>
          <w:spacing w:val="-11"/>
        </w:rPr>
        <w:t>数据来评估算</w:t>
      </w:r>
      <w:r>
        <w:rPr>
          <w:rFonts w:ascii="SimSun" w:hAnsi="SimSun" w:eastAsia="SimSun" w:cs="SimSun"/>
          <w:sz w:val="21"/>
          <w:szCs w:val="21"/>
          <w:spacing w:val="9"/>
        </w:rPr>
        <w:t xml:space="preserve">  </w:t>
      </w:r>
      <w:r>
        <w:rPr>
          <w:rFonts w:ascii="SimSun" w:hAnsi="SimSun" w:eastAsia="SimSun" w:cs="SimSun"/>
          <w:sz w:val="21"/>
          <w:szCs w:val="21"/>
          <w:spacing w:val="-4"/>
        </w:rPr>
        <w:t>法是否对人们的某些利益(或权利)产生了负面影响，从而评估算法</w:t>
      </w:r>
      <w:r>
        <w:rPr>
          <w:rFonts w:ascii="SimSun" w:hAnsi="SimSun" w:eastAsia="SimSun" w:cs="SimSun"/>
          <w:sz w:val="21"/>
          <w:szCs w:val="21"/>
          <w:spacing w:val="8"/>
        </w:rPr>
        <w:t xml:space="preserve">  </w:t>
      </w:r>
      <w:r>
        <w:rPr>
          <w:rFonts w:ascii="SimSun" w:hAnsi="SimSun" w:eastAsia="SimSun" w:cs="SimSun"/>
          <w:sz w:val="21"/>
          <w:szCs w:val="21"/>
          <w:spacing w:val="-7"/>
        </w:rPr>
        <w:t>本身好坏的过程。算法审计的主要目标包括对算法歧视</w:t>
      </w:r>
      <w:r>
        <w:rPr>
          <w:rFonts w:ascii="SimSun" w:hAnsi="SimSun" w:eastAsia="SimSun" w:cs="SimSun"/>
          <w:sz w:val="21"/>
          <w:szCs w:val="21"/>
          <w:spacing w:val="-8"/>
        </w:rPr>
        <w:t>程度的评估、</w:t>
      </w:r>
      <w:r>
        <w:rPr>
          <w:rFonts w:ascii="SimSun" w:hAnsi="SimSun" w:eastAsia="SimSun" w:cs="SimSun"/>
          <w:sz w:val="21"/>
          <w:szCs w:val="21"/>
        </w:rPr>
        <w:t xml:space="preserve"> </w:t>
      </w:r>
      <w:r>
        <w:rPr>
          <w:rFonts w:ascii="SimSun" w:hAnsi="SimSun" w:eastAsia="SimSun" w:cs="SimSun"/>
          <w:sz w:val="21"/>
          <w:szCs w:val="21"/>
          <w:spacing w:val="-11"/>
        </w:rPr>
        <w:t>对算法透明度的评估等。对不同平台</w:t>
      </w:r>
      <w:r>
        <w:rPr>
          <w:rFonts w:ascii="SimSun" w:hAnsi="SimSun" w:eastAsia="SimSun" w:cs="SimSun"/>
          <w:sz w:val="21"/>
          <w:szCs w:val="21"/>
          <w:u w:val="single" w:color="auto"/>
          <w:spacing w:val="-11"/>
        </w:rPr>
        <w:t>型企业</w:t>
      </w:r>
      <w:r>
        <w:rPr>
          <w:rFonts w:ascii="SimSun" w:hAnsi="SimSun" w:eastAsia="SimSun" w:cs="SimSun"/>
          <w:sz w:val="21"/>
          <w:szCs w:val="21"/>
          <w:spacing w:val="-11"/>
        </w:rPr>
        <w:t>，审计目标的侧重点可以</w:t>
      </w:r>
      <w:r>
        <w:rPr>
          <w:rFonts w:ascii="SimSun" w:hAnsi="SimSun" w:eastAsia="SimSun" w:cs="SimSun"/>
          <w:sz w:val="21"/>
          <w:szCs w:val="21"/>
          <w:spacing w:val="4"/>
        </w:rPr>
        <w:t xml:space="preserve">  </w:t>
      </w:r>
      <w:r>
        <w:rPr>
          <w:rFonts w:ascii="SimSun" w:hAnsi="SimSun" w:eastAsia="SimSun" w:cs="SimSun"/>
          <w:sz w:val="21"/>
          <w:szCs w:val="21"/>
          <w:spacing w:val="-3"/>
        </w:rPr>
        <w:t>不同，如在审计给人评估特定分数(如信用</w:t>
      </w:r>
      <w:r>
        <w:rPr>
          <w:rFonts w:ascii="SimSun" w:hAnsi="SimSun" w:eastAsia="SimSun" w:cs="SimSun"/>
          <w:sz w:val="21"/>
          <w:szCs w:val="21"/>
          <w:spacing w:val="-4"/>
        </w:rPr>
        <w:t>分)的算法时，审计关注</w:t>
      </w:r>
      <w:r>
        <w:rPr>
          <w:rFonts w:ascii="SimSun" w:hAnsi="SimSun" w:eastAsia="SimSun" w:cs="SimSun"/>
          <w:sz w:val="21"/>
          <w:szCs w:val="21"/>
        </w:rPr>
        <w:t xml:space="preserve">  </w:t>
      </w:r>
      <w:r>
        <w:rPr>
          <w:rFonts w:ascii="SimSun" w:hAnsi="SimSun" w:eastAsia="SimSun" w:cs="SimSun"/>
          <w:sz w:val="21"/>
          <w:szCs w:val="21"/>
          <w:spacing w:val="-11"/>
        </w:rPr>
        <w:t>的重点是算法歧视问题；而对于个性化定制的广告和各类产品的相关</w:t>
      </w:r>
      <w:r>
        <w:rPr>
          <w:rFonts w:ascii="SimSun" w:hAnsi="SimSun" w:eastAsia="SimSun" w:cs="SimSun"/>
          <w:sz w:val="21"/>
          <w:szCs w:val="21"/>
          <w:spacing w:val="9"/>
        </w:rPr>
        <w:t xml:space="preserve">  </w:t>
      </w:r>
      <w:r>
        <w:rPr>
          <w:rFonts w:ascii="SimSun" w:hAnsi="SimSun" w:eastAsia="SimSun" w:cs="SimSun"/>
          <w:sz w:val="21"/>
          <w:szCs w:val="21"/>
          <w:spacing w:val="-13"/>
        </w:rPr>
        <w:t>算法而言，审计主要集中在算法透明度等问题上。</w:t>
      </w:r>
    </w:p>
    <w:p>
      <w:pPr>
        <w:ind w:right="83" w:firstLine="399"/>
        <w:spacing w:before="115" w:line="300" w:lineRule="auto"/>
        <w:jc w:val="both"/>
        <w:rPr>
          <w:rFonts w:ascii="SimSun" w:hAnsi="SimSun" w:eastAsia="SimSun" w:cs="SimSun"/>
          <w:sz w:val="21"/>
          <w:szCs w:val="21"/>
        </w:rPr>
      </w:pPr>
      <w:r>
        <w:rPr>
          <w:rFonts w:ascii="SimSun" w:hAnsi="SimSun" w:eastAsia="SimSun" w:cs="SimSun"/>
          <w:sz w:val="21"/>
          <w:szCs w:val="21"/>
          <w:spacing w:val="-16"/>
        </w:rPr>
        <w:t>监管部门推动算法审计至少可以有四个方面的作用。</w:t>
      </w:r>
      <w:r>
        <w:rPr>
          <w:rFonts w:ascii="SimSun" w:hAnsi="SimSun" w:eastAsia="SimSun" w:cs="SimSun"/>
          <w:sz w:val="21"/>
          <w:szCs w:val="21"/>
          <w:spacing w:val="52"/>
        </w:rPr>
        <w:t xml:space="preserve"> </w:t>
      </w:r>
      <w:r>
        <w:rPr>
          <w:rFonts w:ascii="SimSun" w:hAnsi="SimSun" w:eastAsia="SimSun" w:cs="SimSun"/>
          <w:sz w:val="21"/>
          <w:szCs w:val="21"/>
          <w:spacing w:val="-16"/>
        </w:rPr>
        <w:t>一是评估某</w:t>
      </w:r>
      <w:r>
        <w:rPr>
          <w:rFonts w:ascii="SimSun" w:hAnsi="SimSun" w:eastAsia="SimSun" w:cs="SimSun"/>
          <w:sz w:val="21"/>
          <w:szCs w:val="21"/>
        </w:rPr>
        <w:t xml:space="preserve"> </w:t>
      </w:r>
      <w:r>
        <w:rPr>
          <w:rFonts w:ascii="SimSun" w:hAnsi="SimSun" w:eastAsia="SimSun" w:cs="SimSun"/>
          <w:sz w:val="21"/>
          <w:szCs w:val="21"/>
          <w:spacing w:val="-10"/>
        </w:rPr>
        <w:t>些算法是否合法合规，如监管部门审计银行</w:t>
      </w:r>
      <w:r>
        <w:rPr>
          <w:rFonts w:ascii="SimSun" w:hAnsi="SimSun" w:eastAsia="SimSun" w:cs="SimSun"/>
          <w:sz w:val="21"/>
          <w:szCs w:val="21"/>
          <w:spacing w:val="-11"/>
        </w:rPr>
        <w:t>的放贷算法，以评估其是</w:t>
      </w:r>
      <w:r>
        <w:rPr>
          <w:rFonts w:ascii="SimSun" w:hAnsi="SimSun" w:eastAsia="SimSun" w:cs="SimSun"/>
          <w:sz w:val="21"/>
          <w:szCs w:val="21"/>
        </w:rPr>
        <w:t xml:space="preserve"> </w:t>
      </w:r>
      <w:r>
        <w:rPr>
          <w:rFonts w:ascii="SimSun" w:hAnsi="SimSun" w:eastAsia="SimSun" w:cs="SimSun"/>
          <w:sz w:val="21"/>
          <w:szCs w:val="21"/>
          <w:spacing w:val="-11"/>
        </w:rPr>
        <w:t>否确实能够在不增加不良率的情况下做好风控。二是评估算法是否符</w:t>
      </w:r>
      <w:r>
        <w:rPr>
          <w:rFonts w:ascii="SimSun" w:hAnsi="SimSun" w:eastAsia="SimSun" w:cs="SimSun"/>
          <w:sz w:val="21"/>
          <w:szCs w:val="21"/>
          <w:spacing w:val="16"/>
        </w:rPr>
        <w:t xml:space="preserve"> </w:t>
      </w:r>
      <w:r>
        <w:rPr>
          <w:rFonts w:ascii="SimSun" w:hAnsi="SimSun" w:eastAsia="SimSun" w:cs="SimSun"/>
          <w:sz w:val="21"/>
          <w:szCs w:val="21"/>
          <w:spacing w:val="-11"/>
        </w:rPr>
        <w:t>合经济社会运行规律，是否能避免“劣币驱逐良币”现象。例如，让</w:t>
      </w:r>
      <w:r>
        <w:rPr>
          <w:rFonts w:ascii="SimSun" w:hAnsi="SimSun" w:eastAsia="SimSun" w:cs="SimSun"/>
          <w:sz w:val="21"/>
          <w:szCs w:val="21"/>
          <w:spacing w:val="17"/>
        </w:rPr>
        <w:t xml:space="preserve"> </w:t>
      </w:r>
      <w:r>
        <w:rPr>
          <w:rFonts w:ascii="SimSun" w:hAnsi="SimSun" w:eastAsia="SimSun" w:cs="SimSun"/>
          <w:sz w:val="21"/>
          <w:szCs w:val="21"/>
          <w:spacing w:val="-11"/>
        </w:rPr>
        <w:t>骑手送餐时间越来越短的算法是否存在危害交通安全等道德方面的设</w:t>
      </w:r>
      <w:r>
        <w:rPr>
          <w:rFonts w:ascii="SimSun" w:hAnsi="SimSun" w:eastAsia="SimSun" w:cs="SimSun"/>
          <w:sz w:val="21"/>
          <w:szCs w:val="21"/>
          <w:spacing w:val="18"/>
        </w:rPr>
        <w:t xml:space="preserve"> </w:t>
      </w:r>
      <w:r>
        <w:rPr>
          <w:rFonts w:ascii="SimSun" w:hAnsi="SimSun" w:eastAsia="SimSun" w:cs="SimSun"/>
          <w:sz w:val="21"/>
          <w:szCs w:val="21"/>
          <w:spacing w:val="-11"/>
        </w:rPr>
        <w:t>计瑕疵，让便宜但食品安全没有保障的外卖获得更多关注和购买</w:t>
      </w:r>
      <w:r>
        <w:rPr>
          <w:rFonts w:ascii="SimSun" w:hAnsi="SimSun" w:eastAsia="SimSun" w:cs="SimSun"/>
          <w:sz w:val="21"/>
          <w:szCs w:val="21"/>
          <w:spacing w:val="-12"/>
        </w:rPr>
        <w:t>的算</w:t>
      </w:r>
      <w:r>
        <w:rPr>
          <w:rFonts w:ascii="SimSun" w:hAnsi="SimSun" w:eastAsia="SimSun" w:cs="SimSun"/>
          <w:sz w:val="21"/>
          <w:szCs w:val="21"/>
        </w:rPr>
        <w:t xml:space="preserve"> </w:t>
      </w:r>
      <w:r>
        <w:rPr>
          <w:rFonts w:ascii="SimSun" w:hAnsi="SimSun" w:eastAsia="SimSun" w:cs="SimSun"/>
          <w:sz w:val="21"/>
          <w:szCs w:val="21"/>
          <w:spacing w:val="-11"/>
        </w:rPr>
        <w:t>法是否危害消费者的食品安全需求，就属于算法评估的内容。三是评</w:t>
      </w:r>
      <w:r>
        <w:rPr>
          <w:rFonts w:ascii="SimSun" w:hAnsi="SimSun" w:eastAsia="SimSun" w:cs="SimSun"/>
          <w:sz w:val="21"/>
          <w:szCs w:val="21"/>
          <w:spacing w:val="16"/>
        </w:rPr>
        <w:t xml:space="preserve"> </w:t>
      </w:r>
      <w:r>
        <w:rPr>
          <w:rFonts w:ascii="SimSun" w:hAnsi="SimSun" w:eastAsia="SimSun" w:cs="SimSun"/>
          <w:sz w:val="21"/>
          <w:szCs w:val="21"/>
          <w:spacing w:val="-10"/>
        </w:rPr>
        <w:t>估算法供应商和买家的风控能力，通过算法审计来评估</w:t>
      </w:r>
      <w:r>
        <w:rPr>
          <w:rFonts w:ascii="SimSun" w:hAnsi="SimSun" w:eastAsia="SimSun" w:cs="SimSun"/>
          <w:sz w:val="21"/>
          <w:szCs w:val="21"/>
          <w:spacing w:val="-11"/>
        </w:rPr>
        <w:t>相应企业面临</w:t>
      </w:r>
      <w:r>
        <w:rPr>
          <w:rFonts w:ascii="SimSun" w:hAnsi="SimSun" w:eastAsia="SimSun" w:cs="SimSun"/>
          <w:sz w:val="21"/>
          <w:szCs w:val="21"/>
        </w:rPr>
        <w:t xml:space="preserve"> </w:t>
      </w:r>
      <w:r>
        <w:rPr>
          <w:rFonts w:ascii="SimSun" w:hAnsi="SimSun" w:eastAsia="SimSun" w:cs="SimSun"/>
          <w:sz w:val="21"/>
          <w:szCs w:val="21"/>
          <w:spacing w:val="-11"/>
        </w:rPr>
        <w:t>的道德和声誉风险，以及在出现风险时的补救能力。四是为平台企业</w:t>
      </w:r>
      <w:r>
        <w:rPr>
          <w:rFonts w:ascii="SimSun" w:hAnsi="SimSun" w:eastAsia="SimSun" w:cs="SimSun"/>
          <w:sz w:val="21"/>
          <w:szCs w:val="21"/>
          <w:spacing w:val="16"/>
        </w:rPr>
        <w:t xml:space="preserve"> </w:t>
      </w:r>
      <w:r>
        <w:rPr>
          <w:rFonts w:ascii="SimSun" w:hAnsi="SimSun" w:eastAsia="SimSun" w:cs="SimSun"/>
          <w:sz w:val="21"/>
          <w:szCs w:val="21"/>
          <w:spacing w:val="-10"/>
        </w:rPr>
        <w:t>的利益相关方增加算法方面的信息透明度，帮助他们在投资、与平台</w:t>
      </w:r>
      <w:r>
        <w:rPr>
          <w:rFonts w:ascii="SimSun" w:hAnsi="SimSun" w:eastAsia="SimSun" w:cs="SimSun"/>
          <w:sz w:val="21"/>
          <w:szCs w:val="21"/>
        </w:rPr>
        <w:t xml:space="preserve"> </w:t>
      </w:r>
      <w:r>
        <w:rPr>
          <w:rFonts w:ascii="SimSun" w:hAnsi="SimSun" w:eastAsia="SimSun" w:cs="SimSun"/>
          <w:sz w:val="21"/>
          <w:szCs w:val="21"/>
          <w:spacing w:val="-11"/>
        </w:rPr>
        <w:t>打交道等方面做出知情选择。下面就算法审计的路径、框架和评估维</w:t>
      </w:r>
      <w:r>
        <w:rPr>
          <w:rFonts w:ascii="SimSun" w:hAnsi="SimSun" w:eastAsia="SimSun" w:cs="SimSun"/>
          <w:sz w:val="21"/>
          <w:szCs w:val="21"/>
          <w:spacing w:val="17"/>
        </w:rPr>
        <w:t xml:space="preserve"> </w:t>
      </w:r>
      <w:r>
        <w:rPr>
          <w:rFonts w:ascii="SimSun" w:hAnsi="SimSun" w:eastAsia="SimSun" w:cs="SimSun"/>
          <w:sz w:val="21"/>
          <w:szCs w:val="21"/>
          <w:spacing w:val="-14"/>
        </w:rPr>
        <w:t>度提出进一步建议。</w:t>
      </w:r>
    </w:p>
    <w:p>
      <w:pPr>
        <w:ind w:right="80" w:firstLine="399"/>
        <w:spacing w:before="223" w:line="302" w:lineRule="auto"/>
        <w:jc w:val="both"/>
        <w:rPr>
          <w:rFonts w:ascii="SimSun" w:hAnsi="SimSun" w:eastAsia="SimSun" w:cs="SimSun"/>
          <w:sz w:val="21"/>
          <w:szCs w:val="21"/>
        </w:rPr>
      </w:pPr>
      <w:r>
        <w:rPr>
          <w:rFonts w:ascii="SimSun" w:hAnsi="SimSun" w:eastAsia="SimSun" w:cs="SimSun"/>
          <w:sz w:val="21"/>
          <w:szCs w:val="21"/>
          <w:spacing w:val="-16"/>
        </w:rPr>
        <w:t>在算法审计路径方面有两种思路，</w:t>
      </w:r>
      <w:r>
        <w:rPr>
          <w:rFonts w:ascii="SimSun" w:hAnsi="SimSun" w:eastAsia="SimSun" w:cs="SimSun"/>
          <w:sz w:val="21"/>
          <w:szCs w:val="21"/>
          <w:spacing w:val="66"/>
        </w:rPr>
        <w:t xml:space="preserve"> </w:t>
      </w:r>
      <w:r>
        <w:rPr>
          <w:rFonts w:ascii="SimSun" w:hAnsi="SimSun" w:eastAsia="SimSun" w:cs="SimSun"/>
          <w:sz w:val="21"/>
          <w:szCs w:val="21"/>
          <w:spacing w:val="-16"/>
        </w:rPr>
        <w:t>一种重视算法代码透明化，另</w:t>
      </w:r>
      <w:r>
        <w:rPr>
          <w:rFonts w:ascii="SimSun" w:hAnsi="SimSun" w:eastAsia="SimSun" w:cs="SimSun"/>
          <w:sz w:val="21"/>
          <w:szCs w:val="21"/>
        </w:rPr>
        <w:t xml:space="preserve"> </w:t>
      </w:r>
      <w:r>
        <w:rPr>
          <w:rFonts w:ascii="SimSun" w:hAnsi="SimSun" w:eastAsia="SimSun" w:cs="SimSun"/>
          <w:sz w:val="21"/>
          <w:szCs w:val="21"/>
          <w:spacing w:val="-10"/>
        </w:rPr>
        <w:t>一种重视对输入输出和结果的评估，我们更</w:t>
      </w:r>
      <w:r>
        <w:rPr>
          <w:rFonts w:ascii="SimSun" w:hAnsi="SimSun" w:eastAsia="SimSun" w:cs="SimSun"/>
          <w:sz w:val="21"/>
          <w:szCs w:val="21"/>
          <w:spacing w:val="-11"/>
        </w:rPr>
        <w:t>倾向于后者。在算法代码</w:t>
      </w:r>
      <w:r>
        <w:rPr>
          <w:rFonts w:ascii="SimSun" w:hAnsi="SimSun" w:eastAsia="SimSun" w:cs="SimSun"/>
          <w:sz w:val="21"/>
          <w:szCs w:val="21"/>
        </w:rPr>
        <w:t xml:space="preserve"> </w:t>
      </w:r>
      <w:r>
        <w:rPr>
          <w:rFonts w:ascii="SimSun" w:hAnsi="SimSun" w:eastAsia="SimSun" w:cs="SimSun"/>
          <w:sz w:val="21"/>
          <w:szCs w:val="21"/>
          <w:spacing w:val="-11"/>
        </w:rPr>
        <w:t>透明化的安排下，要求企业给出核心算法程序，由独立第三方企业或</w:t>
      </w:r>
      <w:r>
        <w:rPr>
          <w:rFonts w:ascii="SimSun" w:hAnsi="SimSun" w:eastAsia="SimSun" w:cs="SimSun"/>
          <w:sz w:val="21"/>
          <w:szCs w:val="21"/>
          <w:spacing w:val="18"/>
        </w:rPr>
        <w:t xml:space="preserve"> </w:t>
      </w:r>
      <w:r>
        <w:rPr>
          <w:rFonts w:ascii="SimSun" w:hAnsi="SimSun" w:eastAsia="SimSun" w:cs="SimSun"/>
          <w:sz w:val="21"/>
          <w:szCs w:val="21"/>
          <w:spacing w:val="-4"/>
        </w:rPr>
        <w:t>者公共机构直接评估算法程序是否合理。这一安排的弊端在于，可</w:t>
      </w:r>
      <w:r>
        <w:rPr>
          <w:rFonts w:ascii="SimSun" w:hAnsi="SimSun" w:eastAsia="SimSun" w:cs="SimSun"/>
          <w:sz w:val="21"/>
          <w:szCs w:val="21"/>
          <w:spacing w:val="13"/>
        </w:rPr>
        <w:t xml:space="preserve"> </w:t>
      </w:r>
      <w:r>
        <w:rPr>
          <w:rFonts w:ascii="SimSun" w:hAnsi="SimSun" w:eastAsia="SimSun" w:cs="SimSun"/>
          <w:sz w:val="21"/>
          <w:szCs w:val="21"/>
          <w:spacing w:val="-10"/>
        </w:rPr>
        <w:t>能会涉及被审计企业的核心商业机密而被拒绝，而审查</w:t>
      </w:r>
      <w:r>
        <w:rPr>
          <w:rFonts w:ascii="SimSun" w:hAnsi="SimSun" w:eastAsia="SimSun" w:cs="SimSun"/>
          <w:sz w:val="21"/>
          <w:szCs w:val="21"/>
          <w:spacing w:val="-11"/>
        </w:rPr>
        <w:t>机构也无从知</w:t>
      </w:r>
      <w:r>
        <w:rPr>
          <w:rFonts w:ascii="SimSun" w:hAnsi="SimSun" w:eastAsia="SimSun" w:cs="SimSun"/>
          <w:sz w:val="21"/>
          <w:szCs w:val="21"/>
        </w:rPr>
        <w:t xml:space="preserve"> </w:t>
      </w:r>
      <w:r>
        <w:rPr>
          <w:rFonts w:ascii="SimSun" w:hAnsi="SimSun" w:eastAsia="SimSun" w:cs="SimSun"/>
          <w:sz w:val="21"/>
          <w:szCs w:val="21"/>
          <w:spacing w:val="-10"/>
        </w:rPr>
        <w:t>晓平台提供的算法与实际运行的算法是否完全一致。而重视输入输出</w:t>
      </w:r>
      <w:r>
        <w:rPr>
          <w:rFonts w:ascii="SimSun" w:hAnsi="SimSun" w:eastAsia="SimSun" w:cs="SimSun"/>
          <w:sz w:val="21"/>
          <w:szCs w:val="21"/>
          <w:spacing w:val="3"/>
        </w:rPr>
        <w:t xml:space="preserve"> </w:t>
      </w:r>
      <w:r>
        <w:rPr>
          <w:rFonts w:ascii="SimSun" w:hAnsi="SimSun" w:eastAsia="SimSun" w:cs="SimSun"/>
          <w:sz w:val="21"/>
          <w:szCs w:val="21"/>
          <w:spacing w:val="-10"/>
        </w:rPr>
        <w:t>和结果的审计安排中，输入审计是指要求平台明确在提供个性化</w:t>
      </w:r>
      <w:r>
        <w:rPr>
          <w:rFonts w:ascii="SimSun" w:hAnsi="SimSun" w:eastAsia="SimSun" w:cs="SimSun"/>
          <w:sz w:val="21"/>
          <w:szCs w:val="21"/>
          <w:spacing w:val="-11"/>
        </w:rPr>
        <w:t>服务</w:t>
      </w:r>
    </w:p>
    <w:p>
      <w:pPr>
        <w:spacing w:line="302" w:lineRule="auto"/>
        <w:sectPr>
          <w:headerReference w:type="default" r:id="rId392"/>
          <w:pgSz w:w="7330" w:h="12480"/>
          <w:pgMar w:top="888" w:right="844" w:bottom="400" w:left="399" w:header="723" w:footer="0" w:gutter="0"/>
        </w:sectPr>
        <w:rPr>
          <w:rFonts w:ascii="SimSun" w:hAnsi="SimSun" w:eastAsia="SimSun" w:cs="SimSun"/>
          <w:sz w:val="21"/>
          <w:szCs w:val="21"/>
        </w:rPr>
      </w:pPr>
    </w:p>
    <w:p>
      <w:pPr>
        <w:pStyle w:val="BodyText"/>
        <w:spacing w:line="246" w:lineRule="auto"/>
        <w:rPr/>
      </w:pPr>
      <w:r>
        <w:drawing>
          <wp:anchor distT="0" distB="0" distL="0" distR="0" simplePos="0" relativeHeight="255062016" behindDoc="0" locked="0" layoutInCell="0" allowOverlap="1">
            <wp:simplePos x="0" y="0"/>
            <wp:positionH relativeFrom="page">
              <wp:posOffset>469877</wp:posOffset>
            </wp:positionH>
            <wp:positionV relativeFrom="page">
              <wp:posOffset>6737342</wp:posOffset>
            </wp:positionV>
            <wp:extent cx="1181137" cy="6350"/>
            <wp:effectExtent l="0" t="0" r="0" b="0"/>
            <wp:wrapNone/>
            <wp:docPr id="262" name="IM 262"/>
            <wp:cNvGraphicFramePr/>
            <a:graphic>
              <a:graphicData uri="http://schemas.openxmlformats.org/drawingml/2006/picture">
                <pic:pic>
                  <pic:nvPicPr>
                    <pic:cNvPr id="262" name="IM 262"/>
                    <pic:cNvPicPr/>
                  </pic:nvPicPr>
                  <pic:blipFill>
                    <a:blip r:embed="rId394"/>
                    <a:stretch>
                      <a:fillRect/>
                    </a:stretch>
                  </pic:blipFill>
                  <pic:spPr>
                    <a:xfrm rot="0">
                      <a:off x="0" y="0"/>
                      <a:ext cx="1181137"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ind w:right="113"/>
        <w:spacing w:before="68" w:line="284" w:lineRule="auto"/>
        <w:jc w:val="both"/>
        <w:rPr>
          <w:rFonts w:ascii="SimSun" w:hAnsi="SimSun" w:eastAsia="SimSun" w:cs="SimSun"/>
          <w:sz w:val="21"/>
          <w:szCs w:val="21"/>
        </w:rPr>
      </w:pPr>
      <w:r>
        <w:rPr>
          <w:rFonts w:ascii="SimSun" w:hAnsi="SimSun" w:eastAsia="SimSun" w:cs="SimSun"/>
          <w:sz w:val="21"/>
          <w:szCs w:val="21"/>
          <w:spacing w:val="-11"/>
        </w:rPr>
        <w:t>的时候依据的是哪些重点维度，输出审计就是指要求平台报告所依据</w:t>
      </w:r>
      <w:r>
        <w:rPr>
          <w:rFonts w:ascii="SimSun" w:hAnsi="SimSun" w:eastAsia="SimSun" w:cs="SimSun"/>
          <w:sz w:val="21"/>
          <w:szCs w:val="21"/>
          <w:spacing w:val="10"/>
        </w:rPr>
        <w:t xml:space="preserve"> </w:t>
      </w:r>
      <w:r>
        <w:rPr>
          <w:rFonts w:ascii="SimSun" w:hAnsi="SimSun" w:eastAsia="SimSun" w:cs="SimSun"/>
          <w:sz w:val="21"/>
          <w:szCs w:val="21"/>
          <w:spacing w:val="-7"/>
        </w:rPr>
        <w:t>的算法，最主要追求的目标是什么,同时要求平台报</w:t>
      </w:r>
      <w:r>
        <w:rPr>
          <w:rFonts w:ascii="SimSun" w:hAnsi="SimSun" w:eastAsia="SimSun" w:cs="SimSun"/>
          <w:sz w:val="21"/>
          <w:szCs w:val="21"/>
          <w:spacing w:val="-8"/>
        </w:rPr>
        <w:t>告算法的相关成</w:t>
      </w:r>
      <w:r>
        <w:rPr>
          <w:rFonts w:ascii="SimSun" w:hAnsi="SimSun" w:eastAsia="SimSun" w:cs="SimSun"/>
          <w:sz w:val="21"/>
          <w:szCs w:val="21"/>
        </w:rPr>
        <w:t xml:space="preserve"> </w:t>
      </w:r>
      <w:r>
        <w:rPr>
          <w:rFonts w:ascii="SimSun" w:hAnsi="SimSun" w:eastAsia="SimSun" w:cs="SimSun"/>
          <w:sz w:val="21"/>
          <w:szCs w:val="21"/>
          <w:spacing w:val="-12"/>
        </w:rPr>
        <w:t>效，并评估相关成效。</w:t>
      </w:r>
    </w:p>
    <w:p>
      <w:pPr>
        <w:ind w:right="58" w:firstLine="439"/>
        <w:spacing w:before="113" w:line="309" w:lineRule="auto"/>
        <w:jc w:val="both"/>
        <w:rPr>
          <w:rFonts w:ascii="SimSun" w:hAnsi="SimSun" w:eastAsia="SimSun" w:cs="SimSun"/>
          <w:sz w:val="21"/>
          <w:szCs w:val="21"/>
        </w:rPr>
      </w:pPr>
      <w:r>
        <w:rPr>
          <w:rFonts w:ascii="SimSun" w:hAnsi="SimSun" w:eastAsia="SimSun" w:cs="SimSun"/>
          <w:sz w:val="21"/>
          <w:szCs w:val="21"/>
          <w:spacing w:val="-3"/>
        </w:rPr>
        <w:t>就算法审计的具体框架而言，可以要求平台明确对不同利益相</w:t>
      </w:r>
      <w:r>
        <w:rPr>
          <w:rFonts w:ascii="SimSun" w:hAnsi="SimSun" w:eastAsia="SimSun" w:cs="SimSun"/>
          <w:sz w:val="21"/>
          <w:szCs w:val="21"/>
          <w:spacing w:val="7"/>
        </w:rPr>
        <w:t xml:space="preserve"> </w:t>
      </w:r>
      <w:r>
        <w:rPr>
          <w:rFonts w:ascii="SimSun" w:hAnsi="SimSun" w:eastAsia="SimSun" w:cs="SimSun"/>
          <w:sz w:val="21"/>
          <w:szCs w:val="21"/>
          <w:spacing w:val="-16"/>
        </w:rPr>
        <w:t>关方报告如下几个维度的算法安排。</w:t>
      </w:r>
      <w:r>
        <w:rPr>
          <w:rFonts w:ascii="SimSun" w:hAnsi="SimSun" w:eastAsia="SimSun" w:cs="SimSun"/>
          <w:sz w:val="21"/>
          <w:szCs w:val="21"/>
          <w:spacing w:val="50"/>
        </w:rPr>
        <w:t xml:space="preserve"> </w:t>
      </w:r>
      <w:r>
        <w:rPr>
          <w:rFonts w:ascii="SimSun" w:hAnsi="SimSun" w:eastAsia="SimSun" w:cs="SimSun"/>
          <w:sz w:val="21"/>
          <w:szCs w:val="21"/>
          <w:spacing w:val="-16"/>
        </w:rPr>
        <w:t>一是预测或优化目标：阐明算法</w:t>
      </w:r>
      <w:r>
        <w:rPr>
          <w:rFonts w:ascii="SimSun" w:hAnsi="SimSun" w:eastAsia="SimSun" w:cs="SimSun"/>
          <w:sz w:val="21"/>
          <w:szCs w:val="21"/>
        </w:rPr>
        <w:t xml:space="preserve"> </w:t>
      </w:r>
      <w:r>
        <w:rPr>
          <w:rFonts w:ascii="SimSun" w:hAnsi="SimSun" w:eastAsia="SimSun" w:cs="SimSun"/>
          <w:sz w:val="21"/>
          <w:szCs w:val="21"/>
          <w:spacing w:val="-7"/>
        </w:rPr>
        <w:t>设计时如何考量利益相关方的核心利益(如滴滴的司乘双</w:t>
      </w:r>
      <w:r>
        <w:rPr>
          <w:rFonts w:ascii="SimSun" w:hAnsi="SimSun" w:eastAsia="SimSun" w:cs="SimSun"/>
          <w:sz w:val="21"/>
          <w:szCs w:val="21"/>
          <w:spacing w:val="-8"/>
        </w:rPr>
        <w:t>方的人身安</w:t>
      </w:r>
      <w:r>
        <w:rPr>
          <w:rFonts w:ascii="SimSun" w:hAnsi="SimSun" w:eastAsia="SimSun" w:cs="SimSun"/>
          <w:sz w:val="21"/>
          <w:szCs w:val="21"/>
        </w:rPr>
        <w:t xml:space="preserve"> </w:t>
      </w:r>
      <w:r>
        <w:rPr>
          <w:rFonts w:ascii="SimSun" w:hAnsi="SimSun" w:eastAsia="SimSun" w:cs="SimSun"/>
          <w:sz w:val="21"/>
          <w:szCs w:val="21"/>
          <w:spacing w:val="-4"/>
        </w:rPr>
        <w:t>全，外卖中消费者按时获得优质服务而商家获得应有收入),以及算</w:t>
      </w:r>
      <w:r>
        <w:rPr>
          <w:rFonts w:ascii="SimSun" w:hAnsi="SimSun" w:eastAsia="SimSun" w:cs="SimSun"/>
          <w:sz w:val="21"/>
          <w:szCs w:val="21"/>
          <w:spacing w:val="8"/>
        </w:rPr>
        <w:t xml:space="preserve"> </w:t>
      </w:r>
      <w:r>
        <w:rPr>
          <w:rFonts w:ascii="SimSun" w:hAnsi="SimSun" w:eastAsia="SimSun" w:cs="SimSun"/>
          <w:sz w:val="21"/>
          <w:szCs w:val="21"/>
          <w:spacing w:val="-11"/>
        </w:rPr>
        <w:t>法实施时预测或优化的具体指标，对实际的预测或优化指标与想要达</w:t>
      </w:r>
      <w:r>
        <w:rPr>
          <w:rFonts w:ascii="SimSun" w:hAnsi="SimSun" w:eastAsia="SimSun" w:cs="SimSun"/>
          <w:sz w:val="21"/>
          <w:szCs w:val="21"/>
          <w:spacing w:val="6"/>
        </w:rPr>
        <w:t xml:space="preserve"> </w:t>
      </w:r>
      <w:r>
        <w:rPr>
          <w:rFonts w:ascii="SimSun" w:hAnsi="SimSun" w:eastAsia="SimSun" w:cs="SimSun"/>
          <w:sz w:val="21"/>
          <w:szCs w:val="21"/>
          <w:spacing w:val="-11"/>
        </w:rPr>
        <w:t>到的预测或优化指标之间的差异进行说明。二是对算法训练和算法评</w:t>
      </w:r>
      <w:r>
        <w:rPr>
          <w:rFonts w:ascii="SimSun" w:hAnsi="SimSun" w:eastAsia="SimSun" w:cs="SimSun"/>
          <w:sz w:val="21"/>
          <w:szCs w:val="21"/>
          <w:spacing w:val="6"/>
        </w:rPr>
        <w:t xml:space="preserve"> </w:t>
      </w:r>
      <w:r>
        <w:rPr>
          <w:rFonts w:ascii="SimSun" w:hAnsi="SimSun" w:eastAsia="SimSun" w:cs="SimSun"/>
          <w:sz w:val="21"/>
          <w:szCs w:val="21"/>
          <w:spacing w:val="-10"/>
        </w:rPr>
        <w:t>估及选择中用到的数据进行说明：描述数据中</w:t>
      </w:r>
      <w:r>
        <w:rPr>
          <w:rFonts w:ascii="SimSun" w:hAnsi="SimSun" w:eastAsia="SimSun" w:cs="SimSun"/>
          <w:sz w:val="21"/>
          <w:szCs w:val="21"/>
          <w:spacing w:val="-11"/>
        </w:rPr>
        <w:t>各个指标的含义，阐明</w:t>
      </w:r>
      <w:r>
        <w:rPr>
          <w:rFonts w:ascii="SimSun" w:hAnsi="SimSun" w:eastAsia="SimSun" w:cs="SimSun"/>
          <w:sz w:val="21"/>
          <w:szCs w:val="21"/>
        </w:rPr>
        <w:t xml:space="preserve"> </w:t>
      </w:r>
      <w:r>
        <w:rPr>
          <w:rFonts w:ascii="SimSun" w:hAnsi="SimSun" w:eastAsia="SimSun" w:cs="SimSun"/>
          <w:sz w:val="21"/>
          <w:szCs w:val="21"/>
          <w:spacing w:val="-6"/>
        </w:rPr>
        <w:t>数据是如何收集的，排除一些数据的原因是什么(例如，数据质量),</w:t>
      </w:r>
      <w:r>
        <w:rPr>
          <w:rFonts w:ascii="SimSun" w:hAnsi="SimSun" w:eastAsia="SimSun" w:cs="SimSun"/>
          <w:sz w:val="21"/>
          <w:szCs w:val="21"/>
          <w:spacing w:val="3"/>
        </w:rPr>
        <w:t xml:space="preserve"> </w:t>
      </w:r>
      <w:r>
        <w:rPr>
          <w:rFonts w:ascii="SimSun" w:hAnsi="SimSun" w:eastAsia="SimSun" w:cs="SimSun"/>
          <w:sz w:val="21"/>
          <w:szCs w:val="21"/>
          <w:spacing w:val="-11"/>
        </w:rPr>
        <w:t>数据对整个利益相关方群体是否具有代表性，等等。三是算法使用的</w:t>
      </w:r>
      <w:r>
        <w:rPr>
          <w:rFonts w:ascii="SimSun" w:hAnsi="SimSun" w:eastAsia="SimSun" w:cs="SimSun"/>
          <w:sz w:val="21"/>
          <w:szCs w:val="21"/>
          <w:spacing w:val="14"/>
        </w:rPr>
        <w:t xml:space="preserve"> </w:t>
      </w:r>
      <w:r>
        <w:rPr>
          <w:rFonts w:ascii="SimSun" w:hAnsi="SimSun" w:eastAsia="SimSun" w:cs="SimSun"/>
          <w:sz w:val="21"/>
          <w:szCs w:val="21"/>
          <w:spacing w:val="-4"/>
        </w:rPr>
        <w:t>技术：说明哪些技术(例如，回归分析、神经网络、随机森林等)被</w:t>
      </w:r>
      <w:r>
        <w:rPr>
          <w:rFonts w:ascii="SimSun" w:hAnsi="SimSun" w:eastAsia="SimSun" w:cs="SimSun"/>
          <w:sz w:val="21"/>
          <w:szCs w:val="21"/>
          <w:spacing w:val="7"/>
        </w:rPr>
        <w:t xml:space="preserve"> </w:t>
      </w:r>
      <w:r>
        <w:rPr>
          <w:rFonts w:ascii="SimSun" w:hAnsi="SimSun" w:eastAsia="SimSun" w:cs="SimSun"/>
          <w:sz w:val="21"/>
          <w:szCs w:val="21"/>
          <w:spacing w:val="-11"/>
        </w:rPr>
        <w:t>尝试过，采纳最终算法的原因是什么。四是算法运行效果：包括预测</w:t>
      </w:r>
      <w:r>
        <w:rPr>
          <w:rFonts w:ascii="SimSun" w:hAnsi="SimSun" w:eastAsia="SimSun" w:cs="SimSun"/>
          <w:sz w:val="21"/>
          <w:szCs w:val="21"/>
          <w:spacing w:val="15"/>
        </w:rPr>
        <w:t xml:space="preserve"> </w:t>
      </w:r>
      <w:r>
        <w:rPr>
          <w:rFonts w:ascii="SimSun" w:hAnsi="SimSun" w:eastAsia="SimSun" w:cs="SimSun"/>
          <w:sz w:val="21"/>
          <w:szCs w:val="21"/>
          <w:spacing w:val="-11"/>
        </w:rPr>
        <w:t>精度、与利益相关方核心利益相关的指标的结果等等。五是有关个人</w:t>
      </w:r>
      <w:r>
        <w:rPr>
          <w:rFonts w:ascii="SimSun" w:hAnsi="SimSun" w:eastAsia="SimSun" w:cs="SimSun"/>
          <w:sz w:val="21"/>
          <w:szCs w:val="21"/>
          <w:spacing w:val="7"/>
        </w:rPr>
        <w:t xml:space="preserve"> </w:t>
      </w:r>
      <w:r>
        <w:rPr>
          <w:rFonts w:ascii="SimSun" w:hAnsi="SimSun" w:eastAsia="SimSun" w:cs="SimSun"/>
          <w:sz w:val="21"/>
          <w:szCs w:val="21"/>
          <w:spacing w:val="-11"/>
        </w:rPr>
        <w:t>信息保护和数据安全的具体安排。</w:t>
      </w:r>
    </w:p>
    <w:p>
      <w:pPr>
        <w:ind w:firstLine="439"/>
        <w:spacing w:before="128" w:line="304" w:lineRule="auto"/>
        <w:jc w:val="both"/>
        <w:rPr>
          <w:rFonts w:ascii="SimSun" w:hAnsi="SimSun" w:eastAsia="SimSun" w:cs="SimSun"/>
          <w:sz w:val="21"/>
          <w:szCs w:val="21"/>
        </w:rPr>
      </w:pPr>
      <w:r>
        <w:rPr>
          <w:rFonts w:ascii="SimSun" w:hAnsi="SimSun" w:eastAsia="SimSun" w:cs="SimSun"/>
          <w:sz w:val="21"/>
          <w:szCs w:val="21"/>
          <w:spacing w:val="-8"/>
        </w:rPr>
        <w:t>就算法审计的具体评估尺度而言，可以借鉴国外一些审计框</w:t>
      </w:r>
      <w:r>
        <w:rPr>
          <w:rFonts w:ascii="SimSun" w:hAnsi="SimSun" w:eastAsia="SimSun" w:cs="SimSun"/>
          <w:sz w:val="21"/>
          <w:szCs w:val="21"/>
          <w:spacing w:val="-9"/>
        </w:rPr>
        <w:t>架。</w:t>
      </w:r>
      <w:r>
        <w:rPr>
          <w:rFonts w:ascii="SimSun" w:hAnsi="SimSun" w:eastAsia="SimSun" w:cs="SimSun"/>
          <w:sz w:val="21"/>
          <w:szCs w:val="21"/>
        </w:rPr>
        <w:t xml:space="preserve"> </w:t>
      </w:r>
      <w:r>
        <w:rPr>
          <w:rFonts w:ascii="SimSun" w:hAnsi="SimSun" w:eastAsia="SimSun" w:cs="SimSun"/>
          <w:sz w:val="21"/>
          <w:szCs w:val="21"/>
          <w:spacing w:val="-10"/>
        </w:rPr>
        <w:t>例如布朗等建议从歧视、有效性、透明度、直接影响、安全性</w:t>
      </w:r>
      <w:r>
        <w:rPr>
          <w:rFonts w:ascii="SimSun" w:hAnsi="SimSun" w:eastAsia="SimSun" w:cs="SimSun"/>
          <w:sz w:val="21"/>
          <w:szCs w:val="21"/>
          <w:spacing w:val="-11"/>
        </w:rPr>
        <w:t>这五个</w:t>
      </w:r>
      <w:r>
        <w:rPr>
          <w:rFonts w:ascii="SimSun" w:hAnsi="SimSun" w:eastAsia="SimSun" w:cs="SimSun"/>
          <w:sz w:val="21"/>
          <w:szCs w:val="21"/>
        </w:rPr>
        <w:t xml:space="preserve">  </w:t>
      </w:r>
      <w:r>
        <w:rPr>
          <w:rFonts w:ascii="SimSun" w:hAnsi="SimSun" w:eastAsia="SimSun" w:cs="SimSun"/>
          <w:sz w:val="21"/>
          <w:szCs w:val="21"/>
          <w:spacing w:val="-11"/>
        </w:rPr>
        <w:t>方面审计。其中，歧视包含社会性歧视和统计歧视程度；有效性包括</w:t>
      </w:r>
      <w:r>
        <w:rPr>
          <w:rFonts w:ascii="SimSun" w:hAnsi="SimSun" w:eastAsia="SimSun" w:cs="SimSun"/>
          <w:sz w:val="21"/>
          <w:szCs w:val="21"/>
          <w:spacing w:val="3"/>
        </w:rPr>
        <w:t xml:space="preserve">  </w:t>
      </w:r>
      <w:r>
        <w:rPr>
          <w:rFonts w:ascii="SimSun" w:hAnsi="SimSun" w:eastAsia="SimSun" w:cs="SimSun"/>
          <w:sz w:val="21"/>
          <w:szCs w:val="21"/>
          <w:spacing w:val="-11"/>
        </w:rPr>
        <w:t>准确性、稳定性、可复制性以及数据使用效率程度等；透明度包含数</w:t>
      </w:r>
      <w:r>
        <w:rPr>
          <w:rFonts w:ascii="SimSun" w:hAnsi="SimSun" w:eastAsia="SimSun" w:cs="SimSun"/>
          <w:sz w:val="21"/>
          <w:szCs w:val="21"/>
          <w:spacing w:val="3"/>
        </w:rPr>
        <w:t xml:space="preserve">  </w:t>
      </w:r>
      <w:r>
        <w:rPr>
          <w:rFonts w:ascii="SimSun" w:hAnsi="SimSun" w:eastAsia="SimSun" w:cs="SimSun"/>
          <w:sz w:val="21"/>
          <w:szCs w:val="21"/>
          <w:spacing w:val="-11"/>
        </w:rPr>
        <w:t>据架构的透明程度、可解释性、平台使用透明度、数据收集与使用透</w:t>
      </w:r>
      <w:r>
        <w:rPr>
          <w:rFonts w:ascii="SimSun" w:hAnsi="SimSun" w:eastAsia="SimSun" w:cs="SimSun"/>
          <w:sz w:val="21"/>
          <w:szCs w:val="21"/>
          <w:spacing w:val="3"/>
        </w:rPr>
        <w:t xml:space="preserve">  </w:t>
      </w:r>
      <w:r>
        <w:rPr>
          <w:rFonts w:ascii="SimSun" w:hAnsi="SimSun" w:eastAsia="SimSun" w:cs="SimSun"/>
          <w:sz w:val="21"/>
          <w:szCs w:val="21"/>
          <w:spacing w:val="-10"/>
        </w:rPr>
        <w:t>明度这四个方面；直接影响包含对误用、滥用可能性和违法可能性的</w:t>
      </w:r>
      <w:r>
        <w:rPr>
          <w:rFonts w:ascii="SimSun" w:hAnsi="SimSun" w:eastAsia="SimSun" w:cs="SimSun"/>
          <w:sz w:val="21"/>
          <w:szCs w:val="21"/>
          <w:spacing w:val="2"/>
        </w:rPr>
        <w:t xml:space="preserve">  </w:t>
      </w:r>
      <w:r>
        <w:rPr>
          <w:rFonts w:ascii="SimSun" w:hAnsi="SimSun" w:eastAsia="SimSun" w:cs="SimSun"/>
          <w:sz w:val="21"/>
          <w:szCs w:val="21"/>
          <w:spacing w:val="-10"/>
        </w:rPr>
        <w:t>评估；安全性指算法和数据在使用中的可获得性与安全性这两个维度</w:t>
      </w:r>
      <w:r>
        <w:rPr>
          <w:rFonts w:ascii="SimSun" w:hAnsi="SimSun" w:eastAsia="SimSun" w:cs="SimSun"/>
          <w:sz w:val="21"/>
          <w:szCs w:val="21"/>
        </w:rPr>
        <w:t xml:space="preserve">  </w:t>
      </w:r>
      <w:r>
        <w:rPr>
          <w:rFonts w:ascii="SimSun" w:hAnsi="SimSun" w:eastAsia="SimSun" w:cs="SimSun"/>
          <w:sz w:val="21"/>
          <w:szCs w:val="21"/>
          <w:spacing w:val="-10"/>
        </w:rPr>
        <w:t>等。①通过对平台企业的算法在上述五大维度及</w:t>
      </w:r>
      <w:r>
        <w:rPr>
          <w:rFonts w:ascii="SimSun" w:hAnsi="SimSun" w:eastAsia="SimSun" w:cs="SimSun"/>
          <w:sz w:val="21"/>
          <w:szCs w:val="21"/>
          <w:spacing w:val="-11"/>
        </w:rPr>
        <w:t>其分项按照合规程度</w:t>
      </w:r>
    </w:p>
    <w:p>
      <w:pPr>
        <w:pStyle w:val="BodyText"/>
        <w:spacing w:line="266" w:lineRule="auto"/>
        <w:rPr/>
      </w:pPr>
      <w:r/>
    </w:p>
    <w:p>
      <w:pPr>
        <w:pStyle w:val="BodyText"/>
        <w:spacing w:line="267" w:lineRule="auto"/>
        <w:rPr/>
      </w:pPr>
      <w:r/>
    </w:p>
    <w:p>
      <w:pPr>
        <w:spacing w:before="49" w:line="21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Shea</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rPr>
        <w:t>Brown,Jovana</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rPr>
        <w:t>Davidovic,Ali</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rPr>
        <w:t>Hasan,“The</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rPr>
        <w:t>Algorit</w:t>
      </w:r>
      <w:r>
        <w:rPr>
          <w:rFonts w:ascii="Times New Roman" w:hAnsi="Times New Roman" w:eastAsia="Times New Roman" w:cs="Times New Roman"/>
          <w:sz w:val="15"/>
          <w:szCs w:val="15"/>
          <w:spacing w:val="-1"/>
        </w:rPr>
        <w:t>hm</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1"/>
        </w:rPr>
        <w:t>Audit:Scoring</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spacing w:val="-1"/>
        </w:rPr>
        <w:t>the</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1"/>
        </w:rPr>
        <w:t>Algorithms</w:t>
      </w:r>
    </w:p>
    <w:p>
      <w:pPr>
        <w:ind w:left="309"/>
        <w:spacing w:before="13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that   Score    Us”,Big   Data    and   Society,2021,8(1),DOI:10.1177/2053951720983865.</w:t>
      </w:r>
    </w:p>
    <w:p>
      <w:pPr>
        <w:spacing w:line="192" w:lineRule="auto"/>
        <w:sectPr>
          <w:headerReference w:type="default" r:id="rId393"/>
          <w:pgSz w:w="7330" w:h="12480"/>
          <w:pgMar w:top="607" w:right="514" w:bottom="400" w:left="720" w:header="454" w:footer="0" w:gutter="0"/>
        </w:sectPr>
        <w:rPr>
          <w:rFonts w:ascii="Times New Roman" w:hAnsi="Times New Roman" w:eastAsia="Times New Roman" w:cs="Times New Roman"/>
          <w:sz w:val="15"/>
          <w:szCs w:val="15"/>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right="116"/>
        <w:spacing w:before="68" w:line="284" w:lineRule="auto"/>
        <w:jc w:val="both"/>
        <w:rPr>
          <w:rFonts w:ascii="SimSun" w:hAnsi="SimSun" w:eastAsia="SimSun" w:cs="SimSun"/>
          <w:sz w:val="21"/>
          <w:szCs w:val="21"/>
        </w:rPr>
      </w:pPr>
      <w:r>
        <w:rPr>
          <w:rFonts w:ascii="SimSun" w:hAnsi="SimSun" w:eastAsia="SimSun" w:cs="SimSun"/>
          <w:sz w:val="21"/>
          <w:szCs w:val="21"/>
          <w:spacing w:val="-11"/>
        </w:rPr>
        <w:t>进行高中低等分级打分，帮助利益相关方和社会公众对平台的算法合</w:t>
      </w:r>
      <w:r>
        <w:rPr>
          <w:rFonts w:ascii="SimSun" w:hAnsi="SimSun" w:eastAsia="SimSun" w:cs="SimSun"/>
          <w:sz w:val="21"/>
          <w:szCs w:val="21"/>
          <w:spacing w:val="17"/>
        </w:rPr>
        <w:t xml:space="preserve"> </w:t>
      </w:r>
      <w:r>
        <w:rPr>
          <w:rFonts w:ascii="SimSun" w:hAnsi="SimSun" w:eastAsia="SimSun" w:cs="SimSun"/>
          <w:sz w:val="21"/>
          <w:szCs w:val="21"/>
          <w:spacing w:val="-11"/>
        </w:rPr>
        <w:t>规程度有全面的了解，使企业有更高的积极性用合规的算法来推动自</w:t>
      </w:r>
      <w:r>
        <w:rPr>
          <w:rFonts w:ascii="SimSun" w:hAnsi="SimSun" w:eastAsia="SimSun" w:cs="SimSun"/>
          <w:sz w:val="21"/>
          <w:szCs w:val="21"/>
          <w:spacing w:val="2"/>
        </w:rPr>
        <w:t xml:space="preserve"> </w:t>
      </w:r>
      <w:r>
        <w:rPr>
          <w:rFonts w:ascii="SimSun" w:hAnsi="SimSun" w:eastAsia="SimSun" w:cs="SimSun"/>
          <w:sz w:val="21"/>
          <w:szCs w:val="21"/>
          <w:spacing w:val="-13"/>
        </w:rPr>
        <w:t>身发展，推动我国数字经济的健康成长。</w:t>
      </w:r>
    </w:p>
    <w:p>
      <w:pPr>
        <w:ind w:right="97" w:firstLine="429"/>
        <w:spacing w:before="107" w:line="301" w:lineRule="auto"/>
        <w:jc w:val="both"/>
        <w:rPr>
          <w:rFonts w:ascii="SimSun" w:hAnsi="SimSun" w:eastAsia="SimSun" w:cs="SimSun"/>
          <w:sz w:val="21"/>
          <w:szCs w:val="21"/>
        </w:rPr>
      </w:pPr>
      <w:r>
        <w:rPr>
          <w:rFonts w:ascii="SimSun" w:hAnsi="SimSun" w:eastAsia="SimSun" w:cs="SimSun"/>
          <w:sz w:val="21"/>
          <w:szCs w:val="21"/>
          <w:spacing w:val="-11"/>
        </w:rPr>
        <w:t>目前，我国的个人信息保护和数据安全监督管理工作由网</w:t>
      </w:r>
      <w:r>
        <w:rPr>
          <w:rFonts w:ascii="SimSun" w:hAnsi="SimSun" w:eastAsia="SimSun" w:cs="SimSun"/>
          <w:sz w:val="21"/>
          <w:szCs w:val="21"/>
          <w:spacing w:val="-12"/>
        </w:rPr>
        <w:t>信办负</w:t>
      </w:r>
      <w:r>
        <w:rPr>
          <w:rFonts w:ascii="SimSun" w:hAnsi="SimSun" w:eastAsia="SimSun" w:cs="SimSun"/>
          <w:sz w:val="21"/>
          <w:szCs w:val="21"/>
        </w:rPr>
        <w:t xml:space="preserve"> </w:t>
      </w:r>
      <w:r>
        <w:rPr>
          <w:rFonts w:ascii="SimSun" w:hAnsi="SimSun" w:eastAsia="SimSun" w:cs="SimSun"/>
          <w:sz w:val="21"/>
          <w:szCs w:val="21"/>
          <w:spacing w:val="-10"/>
        </w:rPr>
        <w:t>责统筹协调，因此算法审计的监督管理工作也可考虑在数据治理委员</w:t>
      </w:r>
      <w:r>
        <w:rPr>
          <w:rFonts w:ascii="SimSun" w:hAnsi="SimSun" w:eastAsia="SimSun" w:cs="SimSun"/>
          <w:sz w:val="21"/>
          <w:szCs w:val="21"/>
          <w:spacing w:val="6"/>
        </w:rPr>
        <w:t xml:space="preserve"> </w:t>
      </w:r>
      <w:r>
        <w:rPr>
          <w:rFonts w:ascii="SimSun" w:hAnsi="SimSun" w:eastAsia="SimSun" w:cs="SimSun"/>
          <w:sz w:val="21"/>
          <w:szCs w:val="21"/>
          <w:spacing w:val="-11"/>
        </w:rPr>
        <w:t>会的指导下，由网信办负责统筹协调。算法审计可以由独立第三方机</w:t>
      </w:r>
      <w:r>
        <w:rPr>
          <w:rFonts w:ascii="SimSun" w:hAnsi="SimSun" w:eastAsia="SimSun" w:cs="SimSun"/>
          <w:sz w:val="21"/>
          <w:szCs w:val="21"/>
          <w:spacing w:val="16"/>
        </w:rPr>
        <w:t xml:space="preserve"> </w:t>
      </w:r>
      <w:r>
        <w:rPr>
          <w:rFonts w:ascii="SimSun" w:hAnsi="SimSun" w:eastAsia="SimSun" w:cs="SimSun"/>
          <w:sz w:val="21"/>
          <w:szCs w:val="21"/>
          <w:spacing w:val="-7"/>
        </w:rPr>
        <w:t>构具体执行。建议网信部门要求平台企业定期(如年度、半年度或季</w:t>
      </w:r>
      <w:r>
        <w:rPr>
          <w:rFonts w:ascii="SimSun" w:hAnsi="SimSun" w:eastAsia="SimSun" w:cs="SimSun"/>
          <w:sz w:val="21"/>
          <w:szCs w:val="21"/>
          <w:spacing w:val="1"/>
        </w:rPr>
        <w:t xml:space="preserve"> </w:t>
      </w:r>
      <w:r>
        <w:rPr>
          <w:rFonts w:ascii="SimSun" w:hAnsi="SimSun" w:eastAsia="SimSun" w:cs="SimSun"/>
          <w:sz w:val="21"/>
          <w:szCs w:val="21"/>
          <w:spacing w:val="-7"/>
        </w:rPr>
        <w:t>度)进行算法审计，并在出现负面影响较大的经济社会事件时进行算</w:t>
      </w:r>
      <w:r>
        <w:rPr>
          <w:rFonts w:ascii="SimSun" w:hAnsi="SimSun" w:eastAsia="SimSun" w:cs="SimSun"/>
          <w:sz w:val="21"/>
          <w:szCs w:val="21"/>
          <w:spacing w:val="3"/>
        </w:rPr>
        <w:t xml:space="preserve"> </w:t>
      </w:r>
      <w:r>
        <w:rPr>
          <w:rFonts w:ascii="SimSun" w:hAnsi="SimSun" w:eastAsia="SimSun" w:cs="SimSun"/>
          <w:sz w:val="21"/>
          <w:szCs w:val="21"/>
          <w:spacing w:val="-8"/>
        </w:rPr>
        <w:t>法审计。</w:t>
      </w:r>
    </w:p>
    <w:p>
      <w:pPr>
        <w:pStyle w:val="BodyText"/>
        <w:spacing w:line="363" w:lineRule="auto"/>
        <w:rPr/>
      </w:pPr>
      <w:r/>
    </w:p>
    <w:p>
      <w:pPr>
        <w:ind w:left="1274"/>
        <w:spacing w:before="104" w:line="219" w:lineRule="auto"/>
        <w:rPr>
          <w:rFonts w:ascii="SimSun" w:hAnsi="SimSun" w:eastAsia="SimSun" w:cs="SimSun"/>
          <w:sz w:val="32"/>
          <w:szCs w:val="32"/>
        </w:rPr>
      </w:pPr>
      <w:r>
        <w:rPr>
          <w:rFonts w:ascii="SimSun" w:hAnsi="SimSun" w:eastAsia="SimSun" w:cs="SimSun"/>
          <w:sz w:val="32"/>
          <w:szCs w:val="32"/>
          <w:b/>
          <w:bCs/>
          <w:spacing w:val="-7"/>
        </w:rPr>
        <w:t>个人信息保护和数据安全</w:t>
      </w:r>
    </w:p>
    <w:p>
      <w:pPr>
        <w:pStyle w:val="BodyText"/>
        <w:spacing w:line="266" w:lineRule="auto"/>
        <w:rPr/>
      </w:pPr>
      <w:r/>
    </w:p>
    <w:p>
      <w:pPr>
        <w:ind w:firstLine="429"/>
        <w:spacing w:before="69" w:line="306" w:lineRule="auto"/>
        <w:jc w:val="both"/>
        <w:rPr>
          <w:rFonts w:ascii="SimSun" w:hAnsi="SimSun" w:eastAsia="SimSun" w:cs="SimSun"/>
          <w:sz w:val="21"/>
          <w:szCs w:val="21"/>
        </w:rPr>
      </w:pPr>
      <w:r>
        <w:rPr>
          <w:rFonts w:ascii="SimSun" w:hAnsi="SimSun" w:eastAsia="SimSun" w:cs="SimSun"/>
          <w:sz w:val="21"/>
          <w:szCs w:val="21"/>
          <w:spacing w:val="-11"/>
        </w:rPr>
        <w:t>在大数据采集和分析全面迅猛渗透社会经济生活的同时，个人信</w:t>
      </w:r>
      <w:r>
        <w:rPr>
          <w:rFonts w:ascii="SimSun" w:hAnsi="SimSun" w:eastAsia="SimSun" w:cs="SimSun"/>
          <w:sz w:val="21"/>
          <w:szCs w:val="21"/>
          <w:spacing w:val="5"/>
        </w:rPr>
        <w:t xml:space="preserve">  </w:t>
      </w:r>
      <w:r>
        <w:rPr>
          <w:rFonts w:ascii="SimSun" w:hAnsi="SimSun" w:eastAsia="SimSun" w:cs="SimSun"/>
          <w:sz w:val="21"/>
          <w:szCs w:val="21"/>
          <w:spacing w:val="-11"/>
        </w:rPr>
        <w:t>息保护和数据安全对保障数字经济稳健发展</w:t>
      </w:r>
      <w:r>
        <w:rPr>
          <w:rFonts w:ascii="SimSun" w:hAnsi="SimSun" w:eastAsia="SimSun" w:cs="SimSun"/>
          <w:sz w:val="21"/>
          <w:szCs w:val="21"/>
          <w:spacing w:val="-12"/>
        </w:rPr>
        <w:t>，甚至保障整个社会和国</w:t>
      </w:r>
      <w:r>
        <w:rPr>
          <w:rFonts w:ascii="SimSun" w:hAnsi="SimSun" w:eastAsia="SimSun" w:cs="SimSun"/>
          <w:sz w:val="21"/>
          <w:szCs w:val="21"/>
        </w:rPr>
        <w:t xml:space="preserve">  </w:t>
      </w:r>
      <w:r>
        <w:rPr>
          <w:rFonts w:ascii="SimSun" w:hAnsi="SimSun" w:eastAsia="SimSun" w:cs="SimSun"/>
          <w:sz w:val="21"/>
          <w:szCs w:val="21"/>
          <w:spacing w:val="-11"/>
        </w:rPr>
        <w:t>家安全都至关重要，各国政府和人民对个人信息保护与数据安全的担</w:t>
      </w:r>
      <w:r>
        <w:rPr>
          <w:rFonts w:ascii="SimSun" w:hAnsi="SimSun" w:eastAsia="SimSun" w:cs="SimSun"/>
          <w:sz w:val="21"/>
          <w:szCs w:val="21"/>
          <w:spacing w:val="9"/>
        </w:rPr>
        <w:t xml:space="preserve">  </w:t>
      </w:r>
      <w:r>
        <w:rPr>
          <w:rFonts w:ascii="SimSun" w:hAnsi="SimSun" w:eastAsia="SimSun" w:cs="SimSun"/>
          <w:sz w:val="21"/>
          <w:szCs w:val="21"/>
          <w:spacing w:val="-11"/>
        </w:rPr>
        <w:t>忧和要求也与日俱增。我国也高度重视个人信息保护和数据安全，各</w:t>
      </w:r>
      <w:r>
        <w:rPr>
          <w:rFonts w:ascii="SimSun" w:hAnsi="SimSun" w:eastAsia="SimSun" w:cs="SimSun"/>
          <w:sz w:val="21"/>
          <w:szCs w:val="21"/>
          <w:spacing w:val="9"/>
        </w:rPr>
        <w:t xml:space="preserve">  </w:t>
      </w:r>
      <w:r>
        <w:rPr>
          <w:rFonts w:ascii="SimSun" w:hAnsi="SimSun" w:eastAsia="SimSun" w:cs="SimSun"/>
          <w:sz w:val="21"/>
          <w:szCs w:val="21"/>
          <w:spacing w:val="7"/>
        </w:rPr>
        <w:t>类举措中最引人瞩目的是2021年9月1日起施行的《数据安全法》</w:t>
      </w:r>
      <w:r>
        <w:rPr>
          <w:rFonts w:ascii="SimSun" w:hAnsi="SimSun" w:eastAsia="SimSun" w:cs="SimSun"/>
          <w:sz w:val="21"/>
          <w:szCs w:val="21"/>
          <w:spacing w:val="6"/>
        </w:rPr>
        <w:t xml:space="preserve"> </w:t>
      </w:r>
      <w:r>
        <w:rPr>
          <w:rFonts w:ascii="SimSun" w:hAnsi="SimSun" w:eastAsia="SimSun" w:cs="SimSun"/>
          <w:sz w:val="21"/>
          <w:szCs w:val="21"/>
          <w:spacing w:val="-2"/>
        </w:rPr>
        <w:t>和2021年11月实施的《个人信息保护</w:t>
      </w:r>
      <w:r>
        <w:rPr>
          <w:rFonts w:ascii="SimSun" w:hAnsi="SimSun" w:eastAsia="SimSun" w:cs="SimSun"/>
          <w:sz w:val="21"/>
          <w:szCs w:val="21"/>
          <w:spacing w:val="-3"/>
        </w:rPr>
        <w:t>法》。本节将首先探讨个人信</w:t>
      </w:r>
      <w:r>
        <w:rPr>
          <w:rFonts w:ascii="SimSun" w:hAnsi="SimSun" w:eastAsia="SimSun" w:cs="SimSun"/>
          <w:sz w:val="21"/>
          <w:szCs w:val="21"/>
        </w:rPr>
        <w:t xml:space="preserve">  </w:t>
      </w:r>
      <w:r>
        <w:rPr>
          <w:rFonts w:ascii="SimSun" w:hAnsi="SimSun" w:eastAsia="SimSun" w:cs="SimSun"/>
          <w:sz w:val="21"/>
          <w:szCs w:val="21"/>
          <w:spacing w:val="-11"/>
        </w:rPr>
        <w:t>息保护与数据安全的重要性、相应挑战，通过对比中美欧三方在个人</w:t>
      </w:r>
      <w:r>
        <w:rPr>
          <w:rFonts w:ascii="SimSun" w:hAnsi="SimSun" w:eastAsia="SimSun" w:cs="SimSun"/>
          <w:sz w:val="21"/>
          <w:szCs w:val="21"/>
          <w:spacing w:val="8"/>
        </w:rPr>
        <w:t xml:space="preserve">  </w:t>
      </w:r>
      <w:r>
        <w:rPr>
          <w:rFonts w:ascii="SimSun" w:hAnsi="SimSun" w:eastAsia="SimSun" w:cs="SimSun"/>
          <w:sz w:val="21"/>
          <w:szCs w:val="21"/>
          <w:spacing w:val="-4"/>
        </w:rPr>
        <w:t>信息保护方面的主要差异来探讨我国的个人信息保护与数据安全策</w:t>
      </w:r>
      <w:r>
        <w:rPr>
          <w:rFonts w:ascii="SimSun" w:hAnsi="SimSun" w:eastAsia="SimSun" w:cs="SimSun"/>
          <w:sz w:val="21"/>
          <w:szCs w:val="21"/>
          <w:spacing w:val="6"/>
        </w:rPr>
        <w:t xml:space="preserve">  </w:t>
      </w:r>
      <w:r>
        <w:rPr>
          <w:rFonts w:ascii="SimSun" w:hAnsi="SimSun" w:eastAsia="SimSun" w:cs="SimSun"/>
          <w:sz w:val="21"/>
          <w:szCs w:val="21"/>
          <w:spacing w:val="-12"/>
        </w:rPr>
        <w:t>略，并在此基础上提出相关建议。</w:t>
      </w:r>
    </w:p>
    <w:p>
      <w:pPr>
        <w:pStyle w:val="BodyText"/>
        <w:spacing w:line="38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4"/>
        </w:rPr>
        <w:t>个人信息保护和数据安全的重要性</w:t>
      </w:r>
    </w:p>
    <w:p>
      <w:pPr>
        <w:pStyle w:val="BodyText"/>
        <w:spacing w:line="340" w:lineRule="auto"/>
        <w:rPr/>
      </w:pPr>
      <w:r/>
    </w:p>
    <w:p>
      <w:pPr>
        <w:ind w:right="19" w:firstLine="429"/>
        <w:spacing w:before="68" w:line="290" w:lineRule="auto"/>
        <w:jc w:val="both"/>
        <w:rPr>
          <w:rFonts w:ascii="SimSun" w:hAnsi="SimSun" w:eastAsia="SimSun" w:cs="SimSun"/>
          <w:sz w:val="21"/>
          <w:szCs w:val="21"/>
        </w:rPr>
      </w:pPr>
      <w:r>
        <w:rPr>
          <w:rFonts w:ascii="SimSun" w:hAnsi="SimSun" w:eastAsia="SimSun" w:cs="SimSun"/>
          <w:sz w:val="21"/>
          <w:szCs w:val="21"/>
          <w:spacing w:val="-8"/>
        </w:rPr>
        <w:t>加强个人信息保护和数据安全监管的重要性至少有以下四</w:t>
      </w:r>
      <w:r>
        <w:rPr>
          <w:rFonts w:ascii="SimSun" w:hAnsi="SimSun" w:eastAsia="SimSun" w:cs="SimSun"/>
          <w:sz w:val="21"/>
          <w:szCs w:val="21"/>
          <w:spacing w:val="-9"/>
        </w:rPr>
        <w:t>方面。</w:t>
      </w:r>
      <w:r>
        <w:rPr>
          <w:rFonts w:ascii="SimSun" w:hAnsi="SimSun" w:eastAsia="SimSun" w:cs="SimSun"/>
          <w:sz w:val="21"/>
          <w:szCs w:val="21"/>
        </w:rPr>
        <w:t xml:space="preserve"> </w:t>
      </w:r>
      <w:r>
        <w:rPr>
          <w:rFonts w:ascii="SimSun" w:hAnsi="SimSun" w:eastAsia="SimSun" w:cs="SimSun"/>
          <w:sz w:val="21"/>
          <w:szCs w:val="21"/>
          <w:spacing w:val="-7"/>
        </w:rPr>
        <w:t>一是加强个人信息保护有助于在数字时代保障个人安</w:t>
      </w:r>
      <w:r>
        <w:rPr>
          <w:rFonts w:ascii="SimSun" w:hAnsi="SimSun" w:eastAsia="SimSun" w:cs="SimSun"/>
          <w:sz w:val="21"/>
          <w:szCs w:val="21"/>
          <w:spacing w:val="-8"/>
        </w:rPr>
        <w:t>全与建立信任。</w:t>
      </w:r>
      <w:r>
        <w:rPr>
          <w:rFonts w:ascii="SimSun" w:hAnsi="SimSun" w:eastAsia="SimSun" w:cs="SimSun"/>
          <w:sz w:val="21"/>
          <w:szCs w:val="21"/>
        </w:rPr>
        <w:t xml:space="preserve"> </w:t>
      </w:r>
      <w:r>
        <w:rPr>
          <w:rFonts w:ascii="SimSun" w:hAnsi="SimSun" w:eastAsia="SimSun" w:cs="SimSun"/>
          <w:sz w:val="21"/>
          <w:szCs w:val="21"/>
          <w:spacing w:val="-8"/>
        </w:rPr>
        <w:t>由于数据可用于确定个人行踪、行为习惯、兴趣爱</w:t>
      </w:r>
      <w:r>
        <w:rPr>
          <w:rFonts w:ascii="SimSun" w:hAnsi="SimSun" w:eastAsia="SimSun" w:cs="SimSun"/>
          <w:sz w:val="21"/>
          <w:szCs w:val="21"/>
          <w:spacing w:val="-9"/>
        </w:rPr>
        <w:t>好、经济、健康、</w:t>
      </w:r>
    </w:p>
    <w:p>
      <w:pPr>
        <w:spacing w:line="290" w:lineRule="auto"/>
        <w:sectPr>
          <w:headerReference w:type="default" r:id="rId395"/>
          <w:pgSz w:w="7330" w:h="12480"/>
          <w:pgMar w:top="846" w:right="765" w:bottom="400" w:left="460" w:header="683"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105" w:right="124"/>
        <w:spacing w:before="68" w:line="284" w:lineRule="auto"/>
        <w:jc w:val="both"/>
        <w:rPr>
          <w:rFonts w:ascii="SimSun" w:hAnsi="SimSun" w:eastAsia="SimSun" w:cs="SimSun"/>
          <w:sz w:val="21"/>
          <w:szCs w:val="21"/>
        </w:rPr>
      </w:pPr>
      <w:r>
        <w:rPr>
          <w:rFonts w:ascii="SimSun" w:hAnsi="SimSun" w:eastAsia="SimSun" w:cs="SimSun"/>
          <w:sz w:val="21"/>
          <w:szCs w:val="21"/>
          <w:spacing w:val="-11"/>
        </w:rPr>
        <w:t>信用等状况，确保这些信息被恰当使用并不被过度采集，才能让个人</w:t>
      </w:r>
      <w:r>
        <w:rPr>
          <w:rFonts w:ascii="SimSun" w:hAnsi="SimSun" w:eastAsia="SimSun" w:cs="SimSun"/>
          <w:sz w:val="21"/>
          <w:szCs w:val="21"/>
          <w:spacing w:val="17"/>
        </w:rPr>
        <w:t xml:space="preserve"> </w:t>
      </w:r>
      <w:r>
        <w:rPr>
          <w:rFonts w:ascii="SimSun" w:hAnsi="SimSun" w:eastAsia="SimSun" w:cs="SimSun"/>
          <w:sz w:val="21"/>
          <w:szCs w:val="21"/>
          <w:spacing w:val="-3"/>
        </w:rPr>
        <w:t>免于受到因为数据被使用而带来的伤害，或者失</w:t>
      </w:r>
      <w:r>
        <w:rPr>
          <w:rFonts w:ascii="SimSun" w:hAnsi="SimSun" w:eastAsia="SimSun" w:cs="SimSun"/>
          <w:sz w:val="21"/>
          <w:szCs w:val="21"/>
          <w:spacing w:val="-4"/>
        </w:rPr>
        <w:t>去对他人和社会的</w:t>
      </w:r>
      <w:r>
        <w:rPr>
          <w:rFonts w:ascii="SimSun" w:hAnsi="SimSun" w:eastAsia="SimSun" w:cs="SimSun"/>
          <w:sz w:val="21"/>
          <w:szCs w:val="21"/>
        </w:rPr>
        <w:t xml:space="preserve"> </w:t>
      </w:r>
      <w:r>
        <w:rPr>
          <w:rFonts w:ascii="SimSun" w:hAnsi="SimSun" w:eastAsia="SimSun" w:cs="SimSun"/>
          <w:sz w:val="21"/>
          <w:szCs w:val="21"/>
          <w:spacing w:val="-9"/>
        </w:rPr>
        <w:t>信任。</w:t>
      </w:r>
    </w:p>
    <w:p>
      <w:pPr>
        <w:ind w:left="105" w:firstLine="440"/>
        <w:spacing w:before="107" w:line="307" w:lineRule="auto"/>
        <w:jc w:val="both"/>
        <w:rPr>
          <w:rFonts w:ascii="SimSun" w:hAnsi="SimSun" w:eastAsia="SimSun" w:cs="SimSun"/>
          <w:sz w:val="21"/>
          <w:szCs w:val="21"/>
        </w:rPr>
      </w:pPr>
      <w:r>
        <w:rPr>
          <w:rFonts w:ascii="SimSun" w:hAnsi="SimSun" w:eastAsia="SimSun" w:cs="SimSun"/>
          <w:sz w:val="21"/>
          <w:szCs w:val="21"/>
          <w:spacing w:val="-3"/>
        </w:rPr>
        <w:t>二是由于近年来数据安全事故呈现频率高、多元化、规模化的</w:t>
      </w:r>
      <w:r>
        <w:rPr>
          <w:rFonts w:ascii="SimSun" w:hAnsi="SimSun" w:eastAsia="SimSun" w:cs="SimSun"/>
          <w:sz w:val="21"/>
          <w:szCs w:val="21"/>
          <w:spacing w:val="6"/>
        </w:rPr>
        <w:t xml:space="preserve"> </w:t>
      </w:r>
      <w:r>
        <w:rPr>
          <w:rFonts w:ascii="SimSun" w:hAnsi="SimSun" w:eastAsia="SimSun" w:cs="SimSun"/>
          <w:sz w:val="21"/>
          <w:szCs w:val="21"/>
          <w:spacing w:val="-11"/>
        </w:rPr>
        <w:t>特点，数据安全问题已威胁到个人、组织乃至整个社会和国家。近年</w:t>
      </w:r>
      <w:r>
        <w:rPr>
          <w:rFonts w:ascii="SimSun" w:hAnsi="SimSun" w:eastAsia="SimSun" w:cs="SimSun"/>
          <w:sz w:val="21"/>
          <w:szCs w:val="21"/>
          <w:spacing w:val="8"/>
        </w:rPr>
        <w:t xml:space="preserve">  </w:t>
      </w:r>
      <w:r>
        <w:rPr>
          <w:rFonts w:ascii="SimSun" w:hAnsi="SimSun" w:eastAsia="SimSun" w:cs="SimSun"/>
          <w:sz w:val="21"/>
          <w:szCs w:val="21"/>
          <w:spacing w:val="-11"/>
        </w:rPr>
        <w:t>来，数据泄露事件层出不穷，利用勒索病毒敲诈用户的事件也屡有发</w:t>
      </w:r>
      <w:r>
        <w:rPr>
          <w:rFonts w:ascii="SimSun" w:hAnsi="SimSun" w:eastAsia="SimSun" w:cs="SimSun"/>
          <w:sz w:val="21"/>
          <w:szCs w:val="21"/>
          <w:spacing w:val="8"/>
        </w:rPr>
        <w:t xml:space="preserve">  </w:t>
      </w:r>
      <w:r>
        <w:rPr>
          <w:rFonts w:ascii="SimSun" w:hAnsi="SimSun" w:eastAsia="SimSun" w:cs="SimSun"/>
          <w:sz w:val="21"/>
          <w:szCs w:val="21"/>
          <w:spacing w:val="-2"/>
        </w:rPr>
        <w:t>生。网络安全行业门户FreeBuf发布的《2020年勒索病</w:t>
      </w:r>
      <w:r>
        <w:rPr>
          <w:rFonts w:ascii="SimSun" w:hAnsi="SimSun" w:eastAsia="SimSun" w:cs="SimSun"/>
          <w:sz w:val="21"/>
          <w:szCs w:val="21"/>
          <w:spacing w:val="-3"/>
        </w:rPr>
        <w:t>毒年度报告》</w:t>
      </w:r>
      <w:r>
        <w:rPr>
          <w:rFonts w:ascii="SimSun" w:hAnsi="SimSun" w:eastAsia="SimSun" w:cs="SimSun"/>
          <w:sz w:val="21"/>
          <w:szCs w:val="21"/>
        </w:rPr>
        <w:t xml:space="preserve"> </w:t>
      </w:r>
      <w:r>
        <w:rPr>
          <w:rFonts w:ascii="SimSun" w:hAnsi="SimSun" w:eastAsia="SimSun" w:cs="SimSun"/>
          <w:sz w:val="21"/>
          <w:szCs w:val="21"/>
          <w:spacing w:val="-8"/>
        </w:rPr>
        <w:t>指出，勒索病毒攻击已经从个人行为演变至高度专业化的团队产业，</w:t>
      </w:r>
      <w:r>
        <w:rPr>
          <w:rFonts w:ascii="SimSun" w:hAnsi="SimSun" w:eastAsia="SimSun" w:cs="SimSun"/>
          <w:sz w:val="21"/>
          <w:szCs w:val="21"/>
          <w:spacing w:val="4"/>
        </w:rPr>
        <w:t xml:space="preserve"> </w:t>
      </w:r>
      <w:r>
        <w:rPr>
          <w:rFonts w:ascii="SimSun" w:hAnsi="SimSun" w:eastAsia="SimSun" w:cs="SimSun"/>
          <w:sz w:val="21"/>
          <w:szCs w:val="21"/>
          <w:spacing w:val="-11"/>
        </w:rPr>
        <w:t>攻击目标从个人用户转向了企业用户、政府单位、医疗行业以及公共</w:t>
      </w:r>
      <w:r>
        <w:rPr>
          <w:rFonts w:ascii="SimSun" w:hAnsi="SimSun" w:eastAsia="SimSun" w:cs="SimSun"/>
          <w:sz w:val="21"/>
          <w:szCs w:val="21"/>
          <w:spacing w:val="8"/>
        </w:rPr>
        <w:t xml:space="preserve">  </w:t>
      </w:r>
      <w:r>
        <w:rPr>
          <w:rFonts w:ascii="SimSun" w:hAnsi="SimSun" w:eastAsia="SimSun" w:cs="SimSun"/>
          <w:sz w:val="21"/>
          <w:szCs w:val="21"/>
          <w:spacing w:val="-10"/>
        </w:rPr>
        <w:t>机构等。另外，对数据的非法收集、窃取、贩卖和利用行为已催生了</w:t>
      </w:r>
      <w:r>
        <w:rPr>
          <w:rFonts w:ascii="SimSun" w:hAnsi="SimSun" w:eastAsia="SimSun" w:cs="SimSun"/>
          <w:sz w:val="21"/>
          <w:szCs w:val="21"/>
          <w:spacing w:val="2"/>
        </w:rPr>
        <w:t xml:space="preserve">  </w:t>
      </w:r>
      <w:r>
        <w:rPr>
          <w:rFonts w:ascii="SimSun" w:hAnsi="SimSun" w:eastAsia="SimSun" w:cs="SimSun"/>
          <w:sz w:val="21"/>
          <w:szCs w:val="21"/>
          <w:spacing w:val="-11"/>
        </w:rPr>
        <w:t>庞大的数据交易地下产业链。数据一旦遭到泄露、篡改、破坏或者非</w:t>
      </w:r>
      <w:r>
        <w:rPr>
          <w:rFonts w:ascii="SimSun" w:hAnsi="SimSun" w:eastAsia="SimSun" w:cs="SimSun"/>
          <w:sz w:val="21"/>
          <w:szCs w:val="21"/>
          <w:spacing w:val="8"/>
        </w:rPr>
        <w:t xml:space="preserve">  </w:t>
      </w:r>
      <w:r>
        <w:rPr>
          <w:rFonts w:ascii="SimSun" w:hAnsi="SimSun" w:eastAsia="SimSun" w:cs="SimSun"/>
          <w:sz w:val="21"/>
          <w:szCs w:val="21"/>
          <w:spacing w:val="-10"/>
        </w:rPr>
        <w:t>法获取与利用，就可能对个人、组织的合法权</w:t>
      </w:r>
      <w:r>
        <w:rPr>
          <w:rFonts w:ascii="SimSun" w:hAnsi="SimSun" w:eastAsia="SimSun" w:cs="SimSun"/>
          <w:sz w:val="21"/>
          <w:szCs w:val="21"/>
          <w:spacing w:val="-11"/>
        </w:rPr>
        <w:t>益造成危害，甚至危及</w:t>
      </w:r>
      <w:r>
        <w:rPr>
          <w:rFonts w:ascii="SimSun" w:hAnsi="SimSun" w:eastAsia="SimSun" w:cs="SimSun"/>
          <w:sz w:val="21"/>
          <w:szCs w:val="21"/>
        </w:rPr>
        <w:t xml:space="preserve">  </w:t>
      </w:r>
      <w:r>
        <w:rPr>
          <w:rFonts w:ascii="SimSun" w:hAnsi="SimSun" w:eastAsia="SimSun" w:cs="SimSun"/>
          <w:sz w:val="21"/>
          <w:szCs w:val="21"/>
          <w:spacing w:val="-10"/>
        </w:rPr>
        <w:t>公共利益、国家安全。</w:t>
      </w:r>
    </w:p>
    <w:p>
      <w:pPr>
        <w:ind w:left="105" w:right="15" w:firstLine="440"/>
        <w:spacing w:before="112" w:line="300" w:lineRule="auto"/>
        <w:jc w:val="both"/>
        <w:rPr>
          <w:rFonts w:ascii="SimSun" w:hAnsi="SimSun" w:eastAsia="SimSun" w:cs="SimSun"/>
          <w:sz w:val="21"/>
          <w:szCs w:val="21"/>
        </w:rPr>
      </w:pPr>
      <w:r>
        <w:rPr>
          <w:rFonts w:ascii="SimSun" w:hAnsi="SimSun" w:eastAsia="SimSun" w:cs="SimSun"/>
          <w:sz w:val="21"/>
          <w:szCs w:val="21"/>
          <w:spacing w:val="-8"/>
        </w:rPr>
        <w:t>三是个人信息保护和数据安全是解决“数据孤岛”问题的前提。</w:t>
      </w:r>
      <w:r>
        <w:rPr>
          <w:rFonts w:ascii="SimSun" w:hAnsi="SimSun" w:eastAsia="SimSun" w:cs="SimSun"/>
          <w:sz w:val="21"/>
          <w:szCs w:val="21"/>
          <w:spacing w:val="8"/>
        </w:rPr>
        <w:t xml:space="preserve"> </w:t>
      </w:r>
      <w:r>
        <w:rPr>
          <w:rFonts w:ascii="SimSun" w:hAnsi="SimSun" w:eastAsia="SimSun" w:cs="SimSun"/>
          <w:sz w:val="21"/>
          <w:szCs w:val="21"/>
          <w:spacing w:val="-11"/>
        </w:rPr>
        <w:t>作为数字经济时代的新型生产要素，数据需要开放共享、互联互通才</w:t>
      </w:r>
      <w:r>
        <w:rPr>
          <w:rFonts w:ascii="SimSun" w:hAnsi="SimSun" w:eastAsia="SimSun" w:cs="SimSun"/>
          <w:sz w:val="21"/>
          <w:szCs w:val="21"/>
          <w:spacing w:val="8"/>
        </w:rPr>
        <w:t xml:space="preserve">  </w:t>
      </w:r>
      <w:r>
        <w:rPr>
          <w:rFonts w:ascii="SimSun" w:hAnsi="SimSun" w:eastAsia="SimSun" w:cs="SimSun"/>
          <w:sz w:val="21"/>
          <w:szCs w:val="21"/>
          <w:spacing w:val="-16"/>
        </w:rPr>
        <w:t>能更好地发挥其价值，但由于数据具有易复制性、非竞争性，</w:t>
      </w:r>
      <w:r>
        <w:rPr>
          <w:rFonts w:ascii="SimSun" w:hAnsi="SimSun" w:eastAsia="SimSun" w:cs="SimSun"/>
          <w:sz w:val="21"/>
          <w:szCs w:val="21"/>
          <w:spacing w:val="61"/>
        </w:rPr>
        <w:t xml:space="preserve"> </w:t>
      </w:r>
      <w:r>
        <w:rPr>
          <w:rFonts w:ascii="SimSun" w:hAnsi="SimSun" w:eastAsia="SimSun" w:cs="SimSun"/>
          <w:sz w:val="21"/>
          <w:szCs w:val="21"/>
          <w:spacing w:val="-16"/>
        </w:rPr>
        <w:t>一旦泄</w:t>
      </w:r>
      <w:r>
        <w:rPr>
          <w:rFonts w:ascii="SimSun" w:hAnsi="SimSun" w:eastAsia="SimSun" w:cs="SimSun"/>
          <w:sz w:val="21"/>
          <w:szCs w:val="21"/>
        </w:rPr>
        <w:t xml:space="preserve">  </w:t>
      </w:r>
      <w:r>
        <w:rPr>
          <w:rFonts w:ascii="SimSun" w:hAnsi="SimSun" w:eastAsia="SimSun" w:cs="SimSun"/>
          <w:sz w:val="21"/>
          <w:szCs w:val="21"/>
          <w:spacing w:val="-10"/>
        </w:rPr>
        <w:t>露会有很大的负面影响，数字平台和数据驱动的企业</w:t>
      </w:r>
      <w:r>
        <w:rPr>
          <w:rFonts w:ascii="SimSun" w:hAnsi="SimSun" w:eastAsia="SimSun" w:cs="SimSun"/>
          <w:sz w:val="21"/>
          <w:szCs w:val="21"/>
          <w:spacing w:val="-11"/>
        </w:rPr>
        <w:t>对共享数据顾虑</w:t>
      </w:r>
      <w:r>
        <w:rPr>
          <w:rFonts w:ascii="SimSun" w:hAnsi="SimSun" w:eastAsia="SimSun" w:cs="SimSun"/>
          <w:sz w:val="21"/>
          <w:szCs w:val="21"/>
        </w:rPr>
        <w:t xml:space="preserve">  </w:t>
      </w:r>
      <w:r>
        <w:rPr>
          <w:rFonts w:ascii="SimSun" w:hAnsi="SimSun" w:eastAsia="SimSun" w:cs="SimSun"/>
          <w:sz w:val="21"/>
          <w:szCs w:val="21"/>
          <w:spacing w:val="-10"/>
        </w:rPr>
        <w:t>重重。只有保障共享过程中的个人信息保护</w:t>
      </w:r>
      <w:r>
        <w:rPr>
          <w:rFonts w:ascii="SimSun" w:hAnsi="SimSun" w:eastAsia="SimSun" w:cs="SimSun"/>
          <w:sz w:val="21"/>
          <w:szCs w:val="21"/>
          <w:spacing w:val="-11"/>
        </w:rPr>
        <w:t>和数据安全，才有可能整</w:t>
      </w:r>
      <w:r>
        <w:rPr>
          <w:rFonts w:ascii="SimSun" w:hAnsi="SimSun" w:eastAsia="SimSun" w:cs="SimSun"/>
          <w:sz w:val="21"/>
          <w:szCs w:val="21"/>
        </w:rPr>
        <w:t xml:space="preserve">  </w:t>
      </w:r>
      <w:r>
        <w:rPr>
          <w:rFonts w:ascii="SimSun" w:hAnsi="SimSun" w:eastAsia="SimSun" w:cs="SimSun"/>
          <w:sz w:val="21"/>
          <w:szCs w:val="21"/>
          <w:spacing w:val="-11"/>
        </w:rPr>
        <w:t>合多维数据，发挥大数据的真正威力。</w:t>
      </w:r>
    </w:p>
    <w:p>
      <w:pPr>
        <w:ind w:right="35" w:firstLine="545"/>
        <w:spacing w:before="113" w:line="304" w:lineRule="auto"/>
        <w:jc w:val="both"/>
        <w:rPr>
          <w:rFonts w:ascii="SimSun" w:hAnsi="SimSun" w:eastAsia="SimSun" w:cs="SimSun"/>
          <w:sz w:val="21"/>
          <w:szCs w:val="21"/>
        </w:rPr>
      </w:pPr>
      <w:r>
        <w:rPr>
          <w:rFonts w:ascii="SimSun" w:hAnsi="SimSun" w:eastAsia="SimSun" w:cs="SimSun"/>
          <w:sz w:val="21"/>
          <w:szCs w:val="21"/>
          <w:spacing w:val="-3"/>
        </w:rPr>
        <w:t>四是个人信息保护和数据安全是我国参与国际合作与竞争的要</w:t>
      </w:r>
      <w:r>
        <w:rPr>
          <w:rFonts w:ascii="SimSun" w:hAnsi="SimSun" w:eastAsia="SimSun" w:cs="SimSun"/>
          <w:sz w:val="21"/>
          <w:szCs w:val="21"/>
        </w:rPr>
        <w:t xml:space="preserve"> </w:t>
      </w:r>
      <w:r>
        <w:rPr>
          <w:rFonts w:ascii="SimSun" w:hAnsi="SimSun" w:eastAsia="SimSun" w:cs="SimSun"/>
          <w:sz w:val="21"/>
          <w:szCs w:val="21"/>
          <w:spacing w:val="-7"/>
        </w:rPr>
        <w:t>件。当前世界各国数字经济持续高速增长，未来数字经济是全球经济</w:t>
      </w:r>
      <w:r>
        <w:rPr>
          <w:rFonts w:ascii="SimSun" w:hAnsi="SimSun" w:eastAsia="SimSun" w:cs="SimSun"/>
          <w:sz w:val="21"/>
          <w:szCs w:val="21"/>
          <w:spacing w:val="1"/>
        </w:rPr>
        <w:t xml:space="preserve">  </w:t>
      </w:r>
      <w:r>
        <w:rPr>
          <w:rFonts w:ascii="SimSun" w:hAnsi="SimSun" w:eastAsia="SimSun" w:cs="SimSun"/>
          <w:sz w:val="21"/>
          <w:szCs w:val="21"/>
          <w:spacing w:val="-7"/>
        </w:rPr>
        <w:t>增长的新引擎，大规模的数据跨境流动势在必行，提供个人信息保护</w:t>
      </w:r>
      <w:r>
        <w:rPr>
          <w:rFonts w:ascii="SimSun" w:hAnsi="SimSun" w:eastAsia="SimSun" w:cs="SimSun"/>
          <w:sz w:val="21"/>
          <w:szCs w:val="21"/>
          <w:spacing w:val="4"/>
        </w:rPr>
        <w:t xml:space="preserve">  </w:t>
      </w:r>
      <w:r>
        <w:rPr>
          <w:rFonts w:ascii="SimSun" w:hAnsi="SimSun" w:eastAsia="SimSun" w:cs="SimSun"/>
          <w:sz w:val="21"/>
          <w:szCs w:val="21"/>
          <w:spacing w:val="-7"/>
        </w:rPr>
        <w:t>和数据安全的体系和能力成为国际合作与竞争的重要组成部分。全世</w:t>
      </w:r>
      <w:r>
        <w:rPr>
          <w:rFonts w:ascii="SimSun" w:hAnsi="SimSun" w:eastAsia="SimSun" w:cs="SimSun"/>
          <w:sz w:val="21"/>
          <w:szCs w:val="21"/>
          <w:spacing w:val="1"/>
        </w:rPr>
        <w:t xml:space="preserve">  </w:t>
      </w:r>
      <w:r>
        <w:rPr>
          <w:rFonts w:ascii="SimSun" w:hAnsi="SimSun" w:eastAsia="SimSun" w:cs="SimSun"/>
          <w:sz w:val="21"/>
          <w:szCs w:val="21"/>
          <w:spacing w:val="4"/>
        </w:rPr>
        <w:t>界已经有128个国家制定了保护数据和隐私的立法。例</w:t>
      </w:r>
      <w:r>
        <w:rPr>
          <w:rFonts w:ascii="SimSun" w:hAnsi="SimSun" w:eastAsia="SimSun" w:cs="SimSun"/>
          <w:sz w:val="21"/>
          <w:szCs w:val="21"/>
          <w:spacing w:val="3"/>
        </w:rPr>
        <w:t>如，欧盟的</w:t>
      </w:r>
      <w:r>
        <w:rPr>
          <w:rFonts w:ascii="SimSun" w:hAnsi="SimSun" w:eastAsia="SimSun" w:cs="SimSun"/>
          <w:sz w:val="21"/>
          <w:szCs w:val="21"/>
        </w:rPr>
        <w:t xml:space="preserve">  </w:t>
      </w:r>
      <w:r>
        <w:rPr>
          <w:rFonts w:ascii="SimSun" w:hAnsi="SimSun" w:eastAsia="SimSun" w:cs="SimSun"/>
          <w:sz w:val="21"/>
          <w:szCs w:val="21"/>
          <w:spacing w:val="-4"/>
        </w:rPr>
        <w:t>《通用数据保护条例》大幅提高了获取和处理欧盟数据的合规门槛。</w:t>
      </w:r>
      <w:r>
        <w:rPr>
          <w:rFonts w:ascii="SimSun" w:hAnsi="SimSun" w:eastAsia="SimSun" w:cs="SimSun"/>
          <w:sz w:val="21"/>
          <w:szCs w:val="21"/>
          <w:spacing w:val="9"/>
        </w:rPr>
        <w:t xml:space="preserve"> </w:t>
      </w:r>
      <w:r>
        <w:rPr>
          <w:rFonts w:ascii="SimSun" w:hAnsi="SimSun" w:eastAsia="SimSun" w:cs="SimSun"/>
          <w:sz w:val="21"/>
          <w:szCs w:val="21"/>
          <w:spacing w:val="-8"/>
        </w:rPr>
        <w:t>各国之间</w:t>
      </w:r>
      <w:r>
        <w:rPr>
          <w:rFonts w:ascii="SimSun" w:hAnsi="SimSun" w:eastAsia="SimSun" w:cs="SimSun"/>
          <w:sz w:val="21"/>
          <w:szCs w:val="21"/>
          <w:u w:val="single" w:color="auto"/>
          <w:spacing w:val="-8"/>
        </w:rPr>
        <w:t>还通过签</w:t>
      </w:r>
      <w:r>
        <w:rPr>
          <w:rFonts w:ascii="SimSun" w:hAnsi="SimSun" w:eastAsia="SimSun" w:cs="SimSun"/>
          <w:sz w:val="21"/>
          <w:szCs w:val="21"/>
          <w:spacing w:val="-8"/>
        </w:rPr>
        <w:t>署国际协定的方式确立数据跨境流动的规则。个人</w:t>
      </w:r>
      <w:r>
        <w:rPr>
          <w:rFonts w:ascii="SimSun" w:hAnsi="SimSun" w:eastAsia="SimSun" w:cs="SimSun"/>
          <w:sz w:val="21"/>
          <w:szCs w:val="21"/>
          <w:spacing w:val="6"/>
        </w:rPr>
        <w:t xml:space="preserve">  </w:t>
      </w:r>
      <w:r>
        <w:rPr>
          <w:rFonts w:ascii="SimSun" w:hAnsi="SimSun" w:eastAsia="SimSun" w:cs="SimSun"/>
          <w:sz w:val="21"/>
          <w:szCs w:val="21"/>
          <w:spacing w:val="-7"/>
        </w:rPr>
        <w:t>信息保护和数据安全的合规是与数据处理相关的数字经济企业“走出</w:t>
      </w:r>
    </w:p>
    <w:p>
      <w:pPr>
        <w:spacing w:line="304" w:lineRule="auto"/>
        <w:sectPr>
          <w:headerReference w:type="default" r:id="rId396"/>
          <w:pgSz w:w="7330" w:h="12480"/>
          <w:pgMar w:top="529" w:right="469" w:bottom="400" w:left="634" w:header="363" w:footer="0" w:gutter="0"/>
        </w:sectPr>
        <w:rPr>
          <w:rFonts w:ascii="SimSun" w:hAnsi="SimSun" w:eastAsia="SimSun" w:cs="SimSun"/>
          <w:sz w:val="21"/>
          <w:szCs w:val="21"/>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12"/>
        </w:rPr>
        <w:t>去”和“引进来”的前提。</w:t>
      </w:r>
    </w:p>
    <w:p>
      <w:pPr>
        <w:pStyle w:val="BodyText"/>
        <w:spacing w:line="373" w:lineRule="auto"/>
        <w:rPr/>
      </w:pPr>
      <w:r/>
    </w:p>
    <w:p>
      <w:pPr>
        <w:ind w:left="108"/>
        <w:spacing w:before="81" w:line="222" w:lineRule="auto"/>
        <w:rPr>
          <w:rFonts w:ascii="SimHei" w:hAnsi="SimHei" w:eastAsia="SimHei" w:cs="SimHei"/>
          <w:sz w:val="25"/>
          <w:szCs w:val="25"/>
        </w:rPr>
      </w:pPr>
      <w:r>
        <w:rPr>
          <w:rFonts w:ascii="SimHei" w:hAnsi="SimHei" w:eastAsia="SimHei" w:cs="SimHei"/>
          <w:sz w:val="25"/>
          <w:szCs w:val="25"/>
          <w:b/>
          <w:bCs/>
          <w:spacing w:val="-13"/>
        </w:rPr>
        <w:t>个人信息保护和数据安全的难点</w:t>
      </w:r>
    </w:p>
    <w:p>
      <w:pPr>
        <w:pStyle w:val="BodyText"/>
        <w:spacing w:line="360" w:lineRule="auto"/>
        <w:rPr/>
      </w:pPr>
      <w:r/>
    </w:p>
    <w:p>
      <w:pPr>
        <w:ind w:firstLine="535"/>
        <w:spacing w:before="69" w:line="298" w:lineRule="auto"/>
        <w:jc w:val="both"/>
        <w:rPr>
          <w:rFonts w:ascii="SimSun" w:hAnsi="SimSun" w:eastAsia="SimSun" w:cs="SimSun"/>
          <w:sz w:val="21"/>
          <w:szCs w:val="21"/>
        </w:rPr>
      </w:pPr>
      <w:r>
        <w:rPr>
          <w:rFonts w:ascii="SimSun" w:hAnsi="SimSun" w:eastAsia="SimSun" w:cs="SimSun"/>
          <w:sz w:val="21"/>
          <w:szCs w:val="21"/>
        </w:rPr>
        <w:t>一是法律法规难以穷尽个人信息保护和数据安全的所有场景。</w:t>
      </w:r>
      <w:r>
        <w:rPr>
          <w:rFonts w:ascii="SimSun" w:hAnsi="SimSun" w:eastAsia="SimSun" w:cs="SimSun"/>
          <w:sz w:val="21"/>
          <w:szCs w:val="21"/>
          <w:spacing w:val="3"/>
        </w:rPr>
        <w:t xml:space="preserve"> </w:t>
      </w:r>
      <w:r>
        <w:rPr>
          <w:rFonts w:ascii="SimSun" w:hAnsi="SimSun" w:eastAsia="SimSun" w:cs="SimSun"/>
          <w:sz w:val="21"/>
          <w:szCs w:val="21"/>
          <w:spacing w:val="-7"/>
        </w:rPr>
        <w:t>《个人信息保护法》定义个人信息为“以电子或者其他方式记录的与</w:t>
      </w:r>
      <w:r>
        <w:rPr>
          <w:rFonts w:ascii="SimSun" w:hAnsi="SimSun" w:eastAsia="SimSun" w:cs="SimSun"/>
          <w:sz w:val="21"/>
          <w:szCs w:val="21"/>
          <w:spacing w:val="7"/>
        </w:rPr>
        <w:t xml:space="preserve">  </w:t>
      </w:r>
      <w:r>
        <w:rPr>
          <w:rFonts w:ascii="SimSun" w:hAnsi="SimSun" w:eastAsia="SimSun" w:cs="SimSun"/>
          <w:sz w:val="21"/>
          <w:szCs w:val="21"/>
        </w:rPr>
        <w:t>已识别或者可识别的自然人有关的各种信息……个人信息的处理包</w:t>
      </w:r>
      <w:r>
        <w:rPr>
          <w:rFonts w:ascii="SimSun" w:hAnsi="SimSun" w:eastAsia="SimSun" w:cs="SimSun"/>
          <w:sz w:val="21"/>
          <w:szCs w:val="21"/>
          <w:spacing w:val="1"/>
        </w:rPr>
        <w:t xml:space="preserve">  </w:t>
      </w:r>
      <w:r>
        <w:rPr>
          <w:rFonts w:ascii="SimSun" w:hAnsi="SimSun" w:eastAsia="SimSun" w:cs="SimSun"/>
          <w:sz w:val="21"/>
          <w:szCs w:val="21"/>
        </w:rPr>
        <w:t>括个人信息的收集、存储、使用、加工、传输、提供、公开、删除</w:t>
      </w:r>
      <w:r>
        <w:rPr>
          <w:rFonts w:ascii="SimSun" w:hAnsi="SimSun" w:eastAsia="SimSun" w:cs="SimSun"/>
          <w:sz w:val="21"/>
          <w:szCs w:val="21"/>
          <w:spacing w:val="2"/>
        </w:rPr>
        <w:t xml:space="preserve">  </w:t>
      </w:r>
      <w:r>
        <w:rPr>
          <w:rFonts w:ascii="SimSun" w:hAnsi="SimSun" w:eastAsia="SimSun" w:cs="SimSun"/>
          <w:sz w:val="21"/>
          <w:szCs w:val="21"/>
        </w:rPr>
        <w:t>等”,《数据安全法》中提及的数据安全是指“通过采取必要措施，</w:t>
      </w:r>
      <w:r>
        <w:rPr>
          <w:rFonts w:ascii="SimSun" w:hAnsi="SimSun" w:eastAsia="SimSun" w:cs="SimSun"/>
          <w:sz w:val="21"/>
          <w:szCs w:val="21"/>
          <w:spacing w:val="14"/>
        </w:rPr>
        <w:t xml:space="preserve"> </w:t>
      </w:r>
      <w:r>
        <w:rPr>
          <w:rFonts w:ascii="SimSun" w:hAnsi="SimSun" w:eastAsia="SimSun" w:cs="SimSun"/>
          <w:sz w:val="21"/>
          <w:szCs w:val="21"/>
        </w:rPr>
        <w:t>确保数据处于有效保护和合法利用的状态，以及具备保障持续安全</w:t>
      </w:r>
      <w:r>
        <w:rPr>
          <w:rFonts w:ascii="SimSun" w:hAnsi="SimSun" w:eastAsia="SimSun" w:cs="SimSun"/>
          <w:sz w:val="21"/>
          <w:szCs w:val="21"/>
          <w:spacing w:val="1"/>
        </w:rPr>
        <w:t xml:space="preserve">  </w:t>
      </w:r>
      <w:r>
        <w:rPr>
          <w:rFonts w:ascii="SimSun" w:hAnsi="SimSun" w:eastAsia="SimSun" w:cs="SimSun"/>
          <w:sz w:val="21"/>
          <w:szCs w:val="21"/>
          <w:spacing w:val="-7"/>
        </w:rPr>
        <w:t>状态的能力”。上述法规旨在保护个人、组织乃至整个社会和国家在</w:t>
      </w:r>
      <w:r>
        <w:rPr>
          <w:rFonts w:ascii="SimSun" w:hAnsi="SimSun" w:eastAsia="SimSun" w:cs="SimSun"/>
          <w:sz w:val="21"/>
          <w:szCs w:val="21"/>
          <w:spacing w:val="2"/>
        </w:rPr>
        <w:t xml:space="preserve">  </w:t>
      </w:r>
      <w:r>
        <w:rPr>
          <w:rFonts w:ascii="SimSun" w:hAnsi="SimSun" w:eastAsia="SimSun" w:cs="SimSun"/>
          <w:sz w:val="21"/>
          <w:szCs w:val="21"/>
        </w:rPr>
        <w:t>各种数据处理场景中的信息权益与合理利用，但法律法规难以穷尽</w:t>
      </w:r>
      <w:r>
        <w:rPr>
          <w:rFonts w:ascii="SimSun" w:hAnsi="SimSun" w:eastAsia="SimSun" w:cs="SimSun"/>
          <w:sz w:val="21"/>
          <w:szCs w:val="21"/>
          <w:spacing w:val="3"/>
        </w:rPr>
        <w:t xml:space="preserve">  </w:t>
      </w:r>
      <w:r>
        <w:rPr>
          <w:rFonts w:ascii="SimSun" w:hAnsi="SimSun" w:eastAsia="SimSun" w:cs="SimSun"/>
          <w:sz w:val="21"/>
          <w:szCs w:val="21"/>
          <w:spacing w:val="-1"/>
        </w:rPr>
        <w:t>达成这一目标的所有场景。</w:t>
      </w:r>
    </w:p>
    <w:p>
      <w:pPr>
        <w:ind w:firstLine="545"/>
        <w:spacing w:before="173" w:line="310" w:lineRule="auto"/>
        <w:tabs>
          <w:tab w:val="left" w:pos="105"/>
        </w:tabs>
        <w:jc w:val="both"/>
        <w:rPr>
          <w:rFonts w:ascii="SimSun" w:hAnsi="SimSun" w:eastAsia="SimSun" w:cs="SimSun"/>
          <w:sz w:val="21"/>
          <w:szCs w:val="21"/>
        </w:rPr>
      </w:pPr>
      <w:r>
        <w:rPr>
          <w:rFonts w:ascii="SimSun" w:hAnsi="SimSun" w:eastAsia="SimSun" w:cs="SimSun"/>
          <w:sz w:val="21"/>
          <w:szCs w:val="21"/>
          <w:spacing w:val="-8"/>
        </w:rPr>
        <w:t>二是缺少清晰的行业标准、成熟的监管框架和流程，执法困难。</w:t>
      </w:r>
      <w:r>
        <w:rPr>
          <w:rFonts w:ascii="SimSun" w:hAnsi="SimSun" w:eastAsia="SimSun" w:cs="SimSun"/>
          <w:sz w:val="21"/>
          <w:szCs w:val="21"/>
          <w:spacing w:val="8"/>
        </w:rPr>
        <w:t xml:space="preserve"> </w:t>
      </w:r>
      <w:r>
        <w:rPr>
          <w:rFonts w:ascii="SimSun" w:hAnsi="SimSun" w:eastAsia="SimSun" w:cs="SimSun"/>
          <w:sz w:val="21"/>
          <w:szCs w:val="21"/>
          <w:spacing w:val="-7"/>
        </w:rPr>
        <w:t>《个人信息保护法》和《数据安全法》给出了个人信息保护和数据安</w:t>
      </w:r>
      <w:r>
        <w:rPr>
          <w:rFonts w:ascii="SimSun" w:hAnsi="SimSun" w:eastAsia="SimSun" w:cs="SimSun"/>
          <w:sz w:val="21"/>
          <w:szCs w:val="21"/>
          <w:spacing w:val="7"/>
        </w:rPr>
        <w:t xml:space="preserve">  </w:t>
      </w:r>
      <w:r>
        <w:rPr>
          <w:rFonts w:ascii="SimSun" w:hAnsi="SimSun" w:eastAsia="SimSun" w:cs="SimSun"/>
          <w:sz w:val="21"/>
          <w:szCs w:val="21"/>
        </w:rPr>
        <w:t>全的大框架，其中《个人信息保护法》给出了需要由国家网信部门</w:t>
      </w:r>
      <w:r>
        <w:rPr>
          <w:rFonts w:ascii="SimSun" w:hAnsi="SimSun" w:eastAsia="SimSun" w:cs="SimSun"/>
          <w:sz w:val="21"/>
          <w:szCs w:val="21"/>
          <w:spacing w:val="8"/>
        </w:rPr>
        <w:t xml:space="preserve">  </w:t>
      </w:r>
      <w:r>
        <w:rPr>
          <w:rFonts w:ascii="SimSun" w:hAnsi="SimSun" w:eastAsia="SimSun" w:cs="SimSun"/>
          <w:sz w:val="21"/>
          <w:szCs w:val="21"/>
        </w:rPr>
        <w:t>统筹协调有关部门制定的具体规则、标准、社会化服务体系、投诉</w:t>
      </w:r>
      <w:r>
        <w:rPr>
          <w:rFonts w:ascii="SimSun" w:hAnsi="SimSun" w:eastAsia="SimSun" w:cs="SimSun"/>
          <w:sz w:val="21"/>
          <w:szCs w:val="21"/>
          <w:spacing w:val="1"/>
        </w:rPr>
        <w:t xml:space="preserve">  </w:t>
      </w:r>
      <w:r>
        <w:rPr>
          <w:rFonts w:ascii="SimSun" w:hAnsi="SimSun" w:eastAsia="SimSun" w:cs="SimSun"/>
          <w:sz w:val="21"/>
          <w:szCs w:val="21"/>
        </w:rPr>
        <w:t>机制等，《数据安全法》明确了国家网信部门负责统筹协调网络数</w:t>
      </w:r>
      <w:r>
        <w:rPr>
          <w:rFonts w:ascii="SimSun" w:hAnsi="SimSun" w:eastAsia="SimSun" w:cs="SimSun"/>
          <w:sz w:val="21"/>
          <w:szCs w:val="21"/>
          <w:spacing w:val="1"/>
        </w:rPr>
        <w:t xml:space="preserve">  </w:t>
      </w:r>
      <w:r>
        <w:rPr>
          <w:rFonts w:ascii="SimSun" w:hAnsi="SimSun" w:eastAsia="SimSun" w:cs="SimSun"/>
          <w:sz w:val="21"/>
          <w:szCs w:val="21"/>
          <w:spacing w:val="-5"/>
        </w:rPr>
        <w:t>据安全和相关监管工作，但执法至少面临两类困难。</w:t>
      </w:r>
      <w:r>
        <w:rPr>
          <w:rFonts w:ascii="SimSun" w:hAnsi="SimSun" w:eastAsia="SimSun" w:cs="SimSun"/>
          <w:sz w:val="21"/>
          <w:szCs w:val="21"/>
          <w:spacing w:val="42"/>
        </w:rPr>
        <w:t xml:space="preserve"> </w:t>
      </w:r>
      <w:r>
        <w:rPr>
          <w:rFonts w:ascii="SimSun" w:hAnsi="SimSun" w:eastAsia="SimSun" w:cs="SimSun"/>
          <w:sz w:val="21"/>
          <w:szCs w:val="21"/>
          <w:spacing w:val="-5"/>
        </w:rPr>
        <w:t>一类困难是个</w:t>
      </w:r>
      <w:r>
        <w:rPr>
          <w:rFonts w:ascii="SimSun" w:hAnsi="SimSun" w:eastAsia="SimSun" w:cs="SimSun"/>
          <w:sz w:val="21"/>
          <w:szCs w:val="21"/>
        </w:rPr>
        <w:t xml:space="preserve">  </w:t>
      </w:r>
      <w:r>
        <w:rPr>
          <w:rFonts w:ascii="SimSun" w:hAnsi="SimSun" w:eastAsia="SimSun" w:cs="SimSun"/>
          <w:sz w:val="21"/>
          <w:szCs w:val="21"/>
        </w:rPr>
        <w:t>人信息保护和数据安全涉及的数据处理专业性强，对执法部门的技</w:t>
      </w:r>
      <w:r>
        <w:rPr>
          <w:rFonts w:ascii="SimSun" w:hAnsi="SimSun" w:eastAsia="SimSun" w:cs="SimSun"/>
          <w:sz w:val="21"/>
          <w:szCs w:val="21"/>
          <w:spacing w:val="1"/>
        </w:rPr>
        <w:t xml:space="preserve">  </w:t>
      </w:r>
      <w:r>
        <w:rPr>
          <w:rFonts w:ascii="SimSun" w:hAnsi="SimSun" w:eastAsia="SimSun" w:cs="SimSun"/>
          <w:sz w:val="21"/>
          <w:szCs w:val="21"/>
        </w:rPr>
        <w:t>术力量提出很高要求。例如《个人信息保护法》以情节严重程度作</w:t>
      </w:r>
      <w:r>
        <w:rPr>
          <w:rFonts w:ascii="SimSun" w:hAnsi="SimSun" w:eastAsia="SimSun" w:cs="SimSun"/>
          <w:sz w:val="21"/>
          <w:szCs w:val="21"/>
          <w:spacing w:val="3"/>
        </w:rPr>
        <w:t xml:space="preserve">  </w:t>
      </w:r>
      <w:r>
        <w:rPr>
          <w:rFonts w:ascii="SimSun" w:hAnsi="SimSun" w:eastAsia="SimSun" w:cs="SimSun"/>
          <w:sz w:val="21"/>
          <w:szCs w:val="21"/>
          <w:spacing w:val="3"/>
        </w:rPr>
        <w:t>为区分处罚梯度的标准。又如对数据安全，国际上流行</w:t>
      </w:r>
      <w:r>
        <w:rPr>
          <w:rFonts w:ascii="SimSun" w:hAnsi="SimSun" w:eastAsia="SimSun" w:cs="SimSun"/>
          <w:sz w:val="21"/>
          <w:szCs w:val="21"/>
          <w:spacing w:val="2"/>
        </w:rPr>
        <w:t>的</w:t>
      </w:r>
      <w:r>
        <w:rPr>
          <w:rFonts w:ascii="Times New Roman" w:hAnsi="Times New Roman" w:eastAsia="Times New Roman" w:cs="Times New Roman"/>
          <w:sz w:val="21"/>
          <w:szCs w:val="21"/>
        </w:rPr>
        <w:t>CIA</w:t>
      </w:r>
      <w:r>
        <w:rPr>
          <w:rFonts w:ascii="SimSun" w:hAnsi="SimSun" w:eastAsia="SimSun" w:cs="SimSun"/>
          <w:sz w:val="21"/>
          <w:szCs w:val="21"/>
          <w:spacing w:val="2"/>
        </w:rPr>
        <w:t>三角</w:t>
      </w:r>
      <w:r>
        <w:rPr>
          <w:rFonts w:ascii="SimSun" w:hAnsi="SimSun" w:eastAsia="SimSun" w:cs="SimSun"/>
          <w:sz w:val="21"/>
          <w:szCs w:val="21"/>
        </w:rPr>
        <w:t xml:space="preserve">  </w:t>
      </w:r>
      <w:r>
        <w:rPr>
          <w:rFonts w:ascii="SimSun" w:hAnsi="SimSun" w:eastAsia="SimSun" w:cs="SimSun"/>
          <w:sz w:val="21"/>
          <w:szCs w:val="21"/>
          <w:spacing w:val="3"/>
        </w:rPr>
        <w:t>指出数据安全的必要元素，包括保密性(保护信息不被未经授权方  </w:t>
      </w:r>
      <w:r>
        <w:rPr>
          <w:rFonts w:ascii="SimSun" w:hAnsi="SimSun" w:eastAsia="SimSun" w:cs="SimSun"/>
          <w:sz w:val="21"/>
          <w:szCs w:val="21"/>
          <w:spacing w:val="3"/>
        </w:rPr>
        <w:t>访问，</w:t>
      </w:r>
      <w:r>
        <w:rPr>
          <w:rFonts w:ascii="Times New Roman" w:hAnsi="Times New Roman" w:eastAsia="Times New Roman" w:cs="Times New Roman"/>
          <w:sz w:val="21"/>
          <w:szCs w:val="21"/>
        </w:rPr>
        <w:t>confidentiality</w:t>
      </w:r>
      <w:r>
        <w:rPr>
          <w:rFonts w:ascii="Times New Roman" w:hAnsi="Times New Roman" w:eastAsia="Times New Roman" w:cs="Times New Roman"/>
          <w:sz w:val="21"/>
          <w:szCs w:val="21"/>
          <w:spacing w:val="3"/>
        </w:rPr>
        <w:t>)</w:t>
      </w:r>
      <w:r>
        <w:rPr>
          <w:rFonts w:ascii="SimSun" w:hAnsi="SimSun" w:eastAsia="SimSun" w:cs="SimSun"/>
          <w:sz w:val="21"/>
          <w:szCs w:val="21"/>
          <w:spacing w:val="3"/>
        </w:rPr>
        <w:t>、完整性(保护信息不被未经授权方删除或修</w:t>
      </w:r>
      <w:r>
        <w:rPr>
          <w:rFonts w:ascii="SimSun" w:hAnsi="SimSun" w:eastAsia="SimSun" w:cs="SimSun"/>
          <w:sz w:val="21"/>
          <w:szCs w:val="21"/>
        </w:rPr>
        <w:t xml:space="preserve">  </w:t>
      </w:r>
      <w:r>
        <w:rPr>
          <w:rFonts w:ascii="SimSun" w:hAnsi="SimSun" w:eastAsia="SimSun" w:cs="SimSun"/>
          <w:sz w:val="21"/>
          <w:szCs w:val="21"/>
          <w:spacing w:val="1"/>
        </w:rPr>
        <w:t>改， </w:t>
      </w:r>
      <w:r>
        <w:rPr>
          <w:rFonts w:ascii="Times New Roman" w:hAnsi="Times New Roman" w:eastAsia="Times New Roman" w:cs="Times New Roman"/>
          <w:sz w:val="21"/>
          <w:szCs w:val="21"/>
        </w:rPr>
        <w:t>integrity</w:t>
      </w:r>
      <w:r>
        <w:rPr>
          <w:rFonts w:ascii="Times New Roman" w:hAnsi="Times New Roman" w:eastAsia="Times New Roman" w:cs="Times New Roman"/>
          <w:sz w:val="21"/>
          <w:szCs w:val="21"/>
          <w:spacing w:val="1"/>
        </w:rPr>
        <w:t>)  </w:t>
      </w:r>
      <w:r>
        <w:rPr>
          <w:rFonts w:ascii="SimSun" w:hAnsi="SimSun" w:eastAsia="SimSun" w:cs="SimSun"/>
          <w:sz w:val="21"/>
          <w:szCs w:val="21"/>
          <w:spacing w:val="1"/>
        </w:rPr>
        <w:t>和可用性(指当授权用户需要访问时信息是可用的，</w:t>
      </w:r>
      <w:r>
        <w:rPr>
          <w:rFonts w:ascii="SimSun" w:hAnsi="SimSun" w:eastAsia="SimSun" w:cs="SimSun"/>
          <w:sz w:val="21"/>
          <w:szCs w:val="21"/>
          <w:spacing w:val="3"/>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
        </w:rPr>
        <w:t>availability)</w:t>
      </w:r>
      <w:r>
        <w:rPr>
          <w:rFonts w:ascii="SimSun" w:hAnsi="SimSun" w:eastAsia="SimSun" w:cs="SimSun"/>
          <w:sz w:val="21"/>
          <w:szCs w:val="21"/>
          <w:spacing w:val="-1"/>
        </w:rPr>
        <w:t>。但现实中，侵犯</w:t>
      </w:r>
      <w:r>
        <w:rPr>
          <w:rFonts w:ascii="SimSun" w:hAnsi="SimSun" w:eastAsia="SimSun" w:cs="SimSun"/>
          <w:sz w:val="21"/>
          <w:szCs w:val="21"/>
          <w:spacing w:val="-2"/>
        </w:rPr>
        <w:t>个人信息情节严重程度的边界不易界</w:t>
      </w:r>
      <w:r>
        <w:rPr>
          <w:rFonts w:ascii="SimSun" w:hAnsi="SimSun" w:eastAsia="SimSun" w:cs="SimSun"/>
          <w:sz w:val="21"/>
          <w:szCs w:val="21"/>
        </w:rPr>
        <w:t xml:space="preserve">  </w:t>
      </w:r>
      <w:r>
        <w:rPr>
          <w:rFonts w:ascii="SimSun" w:hAnsi="SimSun" w:eastAsia="SimSun" w:cs="SimSun"/>
          <w:sz w:val="21"/>
          <w:szCs w:val="21"/>
          <w:spacing w:val="-7"/>
        </w:rPr>
        <w:t>定，数据安全要件的边界也不易识别。另一类困难是数据往往具有跨</w:t>
      </w:r>
    </w:p>
    <w:p>
      <w:pPr>
        <w:spacing w:line="310" w:lineRule="auto"/>
        <w:sectPr>
          <w:headerReference w:type="default" r:id="rId397"/>
          <w:pgSz w:w="7330" w:h="12480"/>
          <w:pgMar w:top="808" w:right="814" w:bottom="400" w:left="304" w:header="643"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right="153"/>
        <w:spacing w:before="68" w:line="293" w:lineRule="auto"/>
        <w:jc w:val="both"/>
        <w:rPr>
          <w:rFonts w:ascii="SimSun" w:hAnsi="SimSun" w:eastAsia="SimSun" w:cs="SimSun"/>
          <w:sz w:val="21"/>
          <w:szCs w:val="21"/>
        </w:rPr>
      </w:pPr>
      <w:r>
        <w:rPr>
          <w:rFonts w:ascii="SimSun" w:hAnsi="SimSun" w:eastAsia="SimSun" w:cs="SimSun"/>
          <w:sz w:val="21"/>
          <w:szCs w:val="21"/>
          <w:spacing w:val="-11"/>
        </w:rPr>
        <w:t>行业的维度，数据处理活动往往涉及多方协同，个人信息保护和数据</w:t>
      </w:r>
      <w:r>
        <w:rPr>
          <w:rFonts w:ascii="SimSun" w:hAnsi="SimSun" w:eastAsia="SimSun" w:cs="SimSun"/>
          <w:sz w:val="21"/>
          <w:szCs w:val="21"/>
          <w:spacing w:val="10"/>
        </w:rPr>
        <w:t xml:space="preserve"> </w:t>
      </w:r>
      <w:r>
        <w:rPr>
          <w:rFonts w:ascii="SimSun" w:hAnsi="SimSun" w:eastAsia="SimSun" w:cs="SimSun"/>
          <w:sz w:val="21"/>
          <w:szCs w:val="21"/>
          <w:spacing w:val="-11"/>
        </w:rPr>
        <w:t>安全的违法行为可能涉及一个企业内部的多个部门、企业和云服务提</w:t>
      </w:r>
      <w:r>
        <w:rPr>
          <w:rFonts w:ascii="SimSun" w:hAnsi="SimSun" w:eastAsia="SimSun" w:cs="SimSun"/>
          <w:sz w:val="21"/>
          <w:szCs w:val="21"/>
          <w:spacing w:val="7"/>
        </w:rPr>
        <w:t xml:space="preserve"> </w:t>
      </w:r>
      <w:r>
        <w:rPr>
          <w:rFonts w:ascii="SimSun" w:hAnsi="SimSun" w:eastAsia="SimSun" w:cs="SimSun"/>
          <w:sz w:val="21"/>
          <w:szCs w:val="21"/>
          <w:spacing w:val="-11"/>
        </w:rPr>
        <w:t>供商，以及存在数据共享的多个企业。要保证个人信息保护和数据安</w:t>
      </w:r>
      <w:r>
        <w:rPr>
          <w:rFonts w:ascii="SimSun" w:hAnsi="SimSun" w:eastAsia="SimSun" w:cs="SimSun"/>
          <w:sz w:val="21"/>
          <w:szCs w:val="21"/>
          <w:spacing w:val="10"/>
        </w:rPr>
        <w:t xml:space="preserve"> </w:t>
      </w:r>
      <w:r>
        <w:rPr>
          <w:rFonts w:ascii="SimSun" w:hAnsi="SimSun" w:eastAsia="SimSun" w:cs="SimSun"/>
          <w:sz w:val="21"/>
          <w:szCs w:val="21"/>
          <w:spacing w:val="-11"/>
        </w:rPr>
        <w:t>全，需要多方在数据处理的各个环节进行配合，相应执法往往也需要</w:t>
      </w:r>
      <w:r>
        <w:rPr>
          <w:rFonts w:ascii="SimSun" w:hAnsi="SimSun" w:eastAsia="SimSun" w:cs="SimSun"/>
          <w:sz w:val="21"/>
          <w:szCs w:val="21"/>
          <w:spacing w:val="9"/>
        </w:rPr>
        <w:t xml:space="preserve"> </w:t>
      </w:r>
      <w:r>
        <w:rPr>
          <w:rFonts w:ascii="SimSun" w:hAnsi="SimSun" w:eastAsia="SimSun" w:cs="SimSun"/>
          <w:sz w:val="21"/>
          <w:szCs w:val="21"/>
          <w:spacing w:val="-12"/>
        </w:rPr>
        <w:t>多部门联合执法的组织和协调。因此要有效执法就需要明确和完善更</w:t>
      </w:r>
      <w:r>
        <w:rPr>
          <w:rFonts w:ascii="SimSun" w:hAnsi="SimSun" w:eastAsia="SimSun" w:cs="SimSun"/>
          <w:sz w:val="21"/>
          <w:szCs w:val="21"/>
          <w:spacing w:val="18"/>
        </w:rPr>
        <w:t xml:space="preserve"> </w:t>
      </w:r>
      <w:r>
        <w:rPr>
          <w:rFonts w:ascii="SimSun" w:hAnsi="SimSun" w:eastAsia="SimSun" w:cs="SimSun"/>
          <w:sz w:val="21"/>
          <w:szCs w:val="21"/>
          <w:spacing w:val="-11"/>
        </w:rPr>
        <w:t>多具体的标准、监管框架和流程。</w:t>
      </w:r>
    </w:p>
    <w:p>
      <w:pPr>
        <w:ind w:right="80" w:firstLine="449"/>
        <w:spacing w:before="147" w:line="297" w:lineRule="auto"/>
        <w:jc w:val="both"/>
        <w:rPr>
          <w:rFonts w:ascii="SimSun" w:hAnsi="SimSun" w:eastAsia="SimSun" w:cs="SimSun"/>
          <w:sz w:val="21"/>
          <w:szCs w:val="21"/>
        </w:rPr>
      </w:pPr>
      <w:r>
        <w:rPr>
          <w:rFonts w:ascii="SimSun" w:hAnsi="SimSun" w:eastAsia="SimSun" w:cs="SimSun"/>
          <w:sz w:val="21"/>
          <w:szCs w:val="21"/>
          <w:spacing w:val="-3"/>
        </w:rPr>
        <w:t>三是个人信息保护和数据安全的各类技术尚不完善。个人信息</w:t>
      </w:r>
      <w:r>
        <w:rPr>
          <w:rFonts w:ascii="SimSun" w:hAnsi="SimSun" w:eastAsia="SimSun" w:cs="SimSun"/>
          <w:sz w:val="21"/>
          <w:szCs w:val="21"/>
          <w:spacing w:val="5"/>
        </w:rPr>
        <w:t xml:space="preserve"> </w:t>
      </w:r>
      <w:r>
        <w:rPr>
          <w:rFonts w:ascii="SimSun" w:hAnsi="SimSun" w:eastAsia="SimSun" w:cs="SimSun"/>
          <w:sz w:val="21"/>
          <w:szCs w:val="21"/>
          <w:spacing w:val="-11"/>
        </w:rPr>
        <w:t>保护和数据安全治理往往需要一套由加密、以数据为中心的审计和保 </w:t>
      </w:r>
      <w:r>
        <w:rPr>
          <w:rFonts w:ascii="SimSun" w:hAnsi="SimSun" w:eastAsia="SimSun" w:cs="SimSun"/>
          <w:sz w:val="21"/>
          <w:szCs w:val="21"/>
          <w:spacing w:val="-11"/>
        </w:rPr>
        <w:t>护、数据防泄密、云访问安全代理、身份防护管理五个安全领域的工 </w:t>
      </w:r>
      <w:r>
        <w:rPr>
          <w:rFonts w:ascii="SimSun" w:hAnsi="SimSun" w:eastAsia="SimSun" w:cs="SimSun"/>
          <w:sz w:val="21"/>
          <w:szCs w:val="21"/>
          <w:spacing w:val="-8"/>
        </w:rPr>
        <w:t>具组合而成的产品级解决方案。我国的数据安全技术</w:t>
      </w:r>
      <w:r>
        <w:rPr>
          <w:rFonts w:ascii="SimSun" w:hAnsi="SimSun" w:eastAsia="SimSun" w:cs="SimSun"/>
          <w:sz w:val="21"/>
          <w:szCs w:val="21"/>
          <w:spacing w:val="-9"/>
        </w:rPr>
        <w:t>工具尚不成熟，</w:t>
      </w:r>
      <w:r>
        <w:rPr>
          <w:rFonts w:ascii="SimSun" w:hAnsi="SimSun" w:eastAsia="SimSun" w:cs="SimSun"/>
          <w:sz w:val="21"/>
          <w:szCs w:val="21"/>
        </w:rPr>
        <w:t xml:space="preserve"> </w:t>
      </w:r>
      <w:r>
        <w:rPr>
          <w:rFonts w:ascii="SimSun" w:hAnsi="SimSun" w:eastAsia="SimSun" w:cs="SimSun"/>
          <w:sz w:val="21"/>
          <w:szCs w:val="21"/>
          <w:spacing w:val="-11"/>
        </w:rPr>
        <w:t>人才匮乏，技术研发刚刚起步。隐私计算、区块链等技术将在个人信 </w:t>
      </w:r>
      <w:r>
        <w:rPr>
          <w:rFonts w:ascii="SimSun" w:hAnsi="SimSun" w:eastAsia="SimSun" w:cs="SimSun"/>
          <w:sz w:val="21"/>
          <w:szCs w:val="21"/>
          <w:spacing w:val="-11"/>
        </w:rPr>
        <w:t>息保护和数据安全中发挥重要作用，但它们在大规模应用或安全可靠 </w:t>
      </w:r>
      <w:r>
        <w:rPr>
          <w:rFonts w:ascii="SimSun" w:hAnsi="SimSun" w:eastAsia="SimSun" w:cs="SimSun"/>
          <w:sz w:val="21"/>
          <w:szCs w:val="21"/>
          <w:spacing w:val="-11"/>
        </w:rPr>
        <w:t>性方面仍不完善，在我国的使用仍然处在起步阶段，亟待进一步的技 </w:t>
      </w:r>
      <w:r>
        <w:rPr>
          <w:rFonts w:ascii="SimSun" w:hAnsi="SimSun" w:eastAsia="SimSun" w:cs="SimSun"/>
          <w:sz w:val="21"/>
          <w:szCs w:val="21"/>
          <w:spacing w:val="-12"/>
        </w:rPr>
        <w:t>术进步来发挥它们的作用。</w:t>
      </w:r>
    </w:p>
    <w:p>
      <w:pPr>
        <w:pStyle w:val="BodyText"/>
        <w:spacing w:line="45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通过技术保障个人信息保护和数据安全的现状</w:t>
      </w:r>
    </w:p>
    <w:p>
      <w:pPr>
        <w:pStyle w:val="BodyText"/>
        <w:spacing w:line="332" w:lineRule="auto"/>
        <w:rPr/>
      </w:pPr>
      <w:r/>
    </w:p>
    <w:p>
      <w:pPr>
        <w:ind w:right="70" w:firstLine="449"/>
        <w:spacing w:before="68" w:line="284" w:lineRule="auto"/>
        <w:jc w:val="both"/>
        <w:rPr>
          <w:rFonts w:ascii="SimSun" w:hAnsi="SimSun" w:eastAsia="SimSun" w:cs="SimSun"/>
          <w:sz w:val="21"/>
          <w:szCs w:val="21"/>
        </w:rPr>
      </w:pPr>
      <w:r>
        <w:rPr>
          <w:rFonts w:ascii="SimSun" w:hAnsi="SimSun" w:eastAsia="SimSun" w:cs="SimSun"/>
          <w:sz w:val="21"/>
          <w:szCs w:val="21"/>
          <w:spacing w:val="-10"/>
        </w:rPr>
        <w:t>在本部分我们讨论与个人信息保护基本技术相关的去标识化与匿</w:t>
      </w:r>
      <w:r>
        <w:rPr>
          <w:rFonts w:ascii="SimSun" w:hAnsi="SimSun" w:eastAsia="SimSun" w:cs="SimSun"/>
          <w:sz w:val="21"/>
          <w:szCs w:val="21"/>
          <w:spacing w:val="13"/>
        </w:rPr>
        <w:t xml:space="preserve"> </w:t>
      </w:r>
      <w:r>
        <w:rPr>
          <w:rFonts w:ascii="SimSun" w:hAnsi="SimSun" w:eastAsia="SimSun" w:cs="SimSun"/>
          <w:sz w:val="21"/>
          <w:szCs w:val="21"/>
          <w:spacing w:val="-10"/>
        </w:rPr>
        <w:t>名化技术，以及与信息保护和数据安全均密</w:t>
      </w:r>
      <w:r>
        <w:rPr>
          <w:rFonts w:ascii="SimSun" w:hAnsi="SimSun" w:eastAsia="SimSun" w:cs="SimSun"/>
          <w:sz w:val="21"/>
          <w:szCs w:val="21"/>
          <w:spacing w:val="-11"/>
        </w:rPr>
        <w:t>切相关的隐私计算技术的 </w:t>
      </w:r>
      <w:r>
        <w:rPr>
          <w:rFonts w:ascii="SimSun" w:hAnsi="SimSun" w:eastAsia="SimSun" w:cs="SimSun"/>
          <w:sz w:val="21"/>
          <w:szCs w:val="21"/>
          <w:spacing w:val="-7"/>
        </w:rPr>
        <w:t>行业现状。</w:t>
      </w:r>
    </w:p>
    <w:p>
      <w:pPr>
        <w:ind w:firstLine="344"/>
        <w:spacing w:before="129" w:line="293" w:lineRule="auto"/>
        <w:jc w:val="both"/>
        <w:rPr>
          <w:rFonts w:ascii="SimSun" w:hAnsi="SimSun" w:eastAsia="SimSun" w:cs="SimSun"/>
          <w:sz w:val="21"/>
          <w:szCs w:val="21"/>
        </w:rPr>
      </w:pPr>
      <w:r>
        <w:rPr>
          <w:rFonts w:ascii="SimSun" w:hAnsi="SimSun" w:eastAsia="SimSun" w:cs="SimSun"/>
          <w:sz w:val="21"/>
          <w:szCs w:val="21"/>
          <w:spacing w:val="-3"/>
        </w:rPr>
        <w:t>《个人信息保护法》定义“去标识化，是指个人</w:t>
      </w:r>
      <w:r>
        <w:rPr>
          <w:rFonts w:ascii="SimSun" w:hAnsi="SimSun" w:eastAsia="SimSun" w:cs="SimSun"/>
          <w:sz w:val="21"/>
          <w:szCs w:val="21"/>
          <w:spacing w:val="-4"/>
        </w:rPr>
        <w:t>信息经过处理，</w:t>
      </w:r>
      <w:r>
        <w:rPr>
          <w:rFonts w:ascii="SimSun" w:hAnsi="SimSun" w:eastAsia="SimSun" w:cs="SimSun"/>
          <w:sz w:val="21"/>
          <w:szCs w:val="21"/>
        </w:rPr>
        <w:t xml:space="preserve"> </w:t>
      </w:r>
      <w:r>
        <w:rPr>
          <w:rFonts w:ascii="SimSun" w:hAnsi="SimSun" w:eastAsia="SimSun" w:cs="SimSun"/>
          <w:sz w:val="21"/>
          <w:szCs w:val="21"/>
          <w:spacing w:val="-12"/>
        </w:rPr>
        <w:t>使其在不借助额外信息的情况下无法识别特定自然</w:t>
      </w:r>
      <w:r>
        <w:rPr>
          <w:rFonts w:ascii="SimSun" w:hAnsi="SimSun" w:eastAsia="SimSun" w:cs="SimSun"/>
          <w:sz w:val="21"/>
          <w:szCs w:val="21"/>
          <w:spacing w:val="-13"/>
        </w:rPr>
        <w:t>人的过程”,“匿名</w:t>
      </w:r>
      <w:r>
        <w:rPr>
          <w:rFonts w:ascii="SimSun" w:hAnsi="SimSun" w:eastAsia="SimSun" w:cs="SimSun"/>
          <w:sz w:val="21"/>
          <w:szCs w:val="21"/>
        </w:rPr>
        <w:t xml:space="preserve">  </w:t>
      </w:r>
      <w:r>
        <w:rPr>
          <w:rFonts w:ascii="SimSun" w:hAnsi="SimSun" w:eastAsia="SimSun" w:cs="SimSun"/>
          <w:sz w:val="21"/>
          <w:szCs w:val="21"/>
          <w:spacing w:val="-12"/>
        </w:rPr>
        <w:t>化，是指个人信息经过处理无法识别特定自然人且不能复原的过</w:t>
      </w:r>
      <w:r>
        <w:rPr>
          <w:rFonts w:ascii="SimSun" w:hAnsi="SimSun" w:eastAsia="SimSun" w:cs="SimSun"/>
          <w:sz w:val="21"/>
          <w:szCs w:val="21"/>
          <w:spacing w:val="-13"/>
        </w:rPr>
        <w:t>程”,</w:t>
      </w:r>
      <w:r>
        <w:rPr>
          <w:rFonts w:ascii="SimSun" w:hAnsi="SimSun" w:eastAsia="SimSun" w:cs="SimSun"/>
          <w:sz w:val="21"/>
          <w:szCs w:val="21"/>
        </w:rPr>
        <w:t xml:space="preserve">  </w:t>
      </w:r>
      <w:r>
        <w:rPr>
          <w:rFonts w:ascii="SimSun" w:hAnsi="SimSun" w:eastAsia="SimSun" w:cs="SimSun"/>
          <w:sz w:val="21"/>
          <w:szCs w:val="21"/>
          <w:spacing w:val="-10"/>
        </w:rPr>
        <w:t>并规定个人信息不包括匿名化处理后的信息。常用的去</w:t>
      </w:r>
      <w:r>
        <w:rPr>
          <w:rFonts w:ascii="SimSun" w:hAnsi="SimSun" w:eastAsia="SimSun" w:cs="SimSun"/>
          <w:sz w:val="21"/>
          <w:szCs w:val="21"/>
          <w:spacing w:val="-11"/>
        </w:rPr>
        <w:t>标识化和匿名</w:t>
      </w:r>
      <w:r>
        <w:rPr>
          <w:rFonts w:ascii="SimSun" w:hAnsi="SimSun" w:eastAsia="SimSun" w:cs="SimSun"/>
          <w:sz w:val="21"/>
          <w:szCs w:val="21"/>
        </w:rPr>
        <w:t xml:space="preserve">  </w:t>
      </w:r>
      <w:r>
        <w:rPr>
          <w:rFonts w:ascii="SimSun" w:hAnsi="SimSun" w:eastAsia="SimSun" w:cs="SimSun"/>
          <w:sz w:val="21"/>
          <w:szCs w:val="21"/>
          <w:spacing w:val="-3"/>
        </w:rPr>
        <w:t>化技术包括统计技术、密码技术、抑制技术、假名化技术、泛化技</w:t>
      </w:r>
      <w:r>
        <w:rPr>
          <w:rFonts w:ascii="SimSun" w:hAnsi="SimSun" w:eastAsia="SimSun" w:cs="SimSun"/>
          <w:sz w:val="21"/>
          <w:szCs w:val="21"/>
          <w:spacing w:val="2"/>
        </w:rPr>
        <w:t xml:space="preserve">  </w:t>
      </w:r>
      <w:r>
        <w:rPr>
          <w:rFonts w:ascii="SimSun" w:hAnsi="SimSun" w:eastAsia="SimSun" w:cs="SimSun"/>
          <w:sz w:val="21"/>
          <w:szCs w:val="21"/>
          <w:spacing w:val="-11"/>
        </w:rPr>
        <w:t>术、随机化技术、数据合成技术。</w:t>
      </w:r>
    </w:p>
    <w:p>
      <w:pPr>
        <w:ind w:left="449"/>
        <w:spacing w:before="162" w:line="219" w:lineRule="auto"/>
        <w:rPr>
          <w:rFonts w:ascii="SimSun" w:hAnsi="SimSun" w:eastAsia="SimSun" w:cs="SimSun"/>
          <w:sz w:val="21"/>
          <w:szCs w:val="21"/>
        </w:rPr>
      </w:pPr>
      <w:r>
        <w:rPr>
          <w:rFonts w:ascii="SimSun" w:hAnsi="SimSun" w:eastAsia="SimSun" w:cs="SimSun"/>
          <w:sz w:val="21"/>
          <w:szCs w:val="21"/>
          <w:spacing w:val="-10"/>
        </w:rPr>
        <w:t>在大量数据集可被获得的今天，实现真正的数据匿名化的难度越</w:t>
      </w:r>
    </w:p>
    <w:p>
      <w:pPr>
        <w:spacing w:line="219" w:lineRule="auto"/>
        <w:sectPr>
          <w:headerReference w:type="default" r:id="rId398"/>
          <w:pgSz w:w="7330" w:h="12480"/>
          <w:pgMar w:top="498" w:right="394" w:bottom="400" w:left="799" w:header="323" w:footer="0" w:gutter="0"/>
        </w:sectPr>
        <w:rPr>
          <w:rFonts w:ascii="SimSun" w:hAnsi="SimSun" w:eastAsia="SimSun" w:cs="SimSun"/>
          <w:sz w:val="21"/>
          <w:szCs w:val="21"/>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37"/>
        <w:spacing w:before="69" w:line="303" w:lineRule="auto"/>
        <w:jc w:val="both"/>
        <w:rPr>
          <w:rFonts w:ascii="SimSun" w:hAnsi="SimSun" w:eastAsia="SimSun" w:cs="SimSun"/>
          <w:sz w:val="21"/>
          <w:szCs w:val="21"/>
        </w:rPr>
      </w:pPr>
      <w:r>
        <w:rPr>
          <w:rFonts w:ascii="SimSun" w:hAnsi="SimSun" w:eastAsia="SimSun" w:cs="SimSun"/>
          <w:sz w:val="21"/>
          <w:szCs w:val="21"/>
          <w:spacing w:val="-4"/>
        </w:rPr>
        <w:t>来越大。2006年，网飞为改善其电影推荐服务，举办</w:t>
      </w:r>
      <w:r>
        <w:rPr>
          <w:rFonts w:ascii="Times New Roman" w:hAnsi="Times New Roman" w:eastAsia="Times New Roman" w:cs="Times New Roman"/>
          <w:sz w:val="21"/>
          <w:szCs w:val="21"/>
          <w:spacing w:val="-4"/>
        </w:rPr>
        <w:t>Netfix</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spacing w:val="-4"/>
        </w:rPr>
        <w:t>Prize </w:t>
      </w:r>
      <w:r>
        <w:rPr>
          <w:rFonts w:ascii="SimSun" w:hAnsi="SimSun" w:eastAsia="SimSun" w:cs="SimSun"/>
          <w:sz w:val="21"/>
          <w:szCs w:val="21"/>
          <w:spacing w:val="-4"/>
        </w:rPr>
        <w:t>算</w:t>
      </w:r>
      <w:r>
        <w:rPr>
          <w:rFonts w:ascii="SimSun" w:hAnsi="SimSun" w:eastAsia="SimSun" w:cs="SimSun"/>
          <w:sz w:val="21"/>
          <w:szCs w:val="21"/>
        </w:rPr>
        <w:t xml:space="preserve"> </w:t>
      </w:r>
      <w:r>
        <w:rPr>
          <w:rFonts w:ascii="SimSun" w:hAnsi="SimSun" w:eastAsia="SimSun" w:cs="SimSun"/>
          <w:sz w:val="21"/>
          <w:szCs w:val="21"/>
          <w:spacing w:val="-3"/>
        </w:rPr>
        <w:t>法竞赛，公布了包括部分用户对电影的评分和评分日期的匿名</w:t>
      </w:r>
      <w:r>
        <w:rPr>
          <w:rFonts w:ascii="SimSun" w:hAnsi="SimSun" w:eastAsia="SimSun" w:cs="SimSun"/>
          <w:sz w:val="21"/>
          <w:szCs w:val="21"/>
          <w:spacing w:val="-4"/>
        </w:rPr>
        <w:t>数据</w:t>
      </w:r>
      <w:r>
        <w:rPr>
          <w:rFonts w:ascii="SimSun" w:hAnsi="SimSun" w:eastAsia="SimSun" w:cs="SimSun"/>
          <w:sz w:val="21"/>
          <w:szCs w:val="21"/>
        </w:rPr>
        <w:t xml:space="preserve"> </w:t>
      </w:r>
      <w:r>
        <w:rPr>
          <w:rFonts w:ascii="SimSun" w:hAnsi="SimSun" w:eastAsia="SimSun" w:cs="SimSun"/>
          <w:sz w:val="21"/>
          <w:szCs w:val="21"/>
          <w:spacing w:val="-10"/>
        </w:rPr>
        <w:t>库。得克萨斯大学的研究人员通过对比分析发现，匿名用户给出的收</w:t>
      </w:r>
      <w:r>
        <w:rPr>
          <w:rFonts w:ascii="SimSun" w:hAnsi="SimSun" w:eastAsia="SimSun" w:cs="SimSun"/>
          <w:sz w:val="21"/>
          <w:szCs w:val="21"/>
          <w:spacing w:val="16"/>
        </w:rPr>
        <w:t xml:space="preserve"> </w:t>
      </w:r>
      <w:r>
        <w:rPr>
          <w:rFonts w:ascii="SimSun" w:hAnsi="SimSun" w:eastAsia="SimSun" w:cs="SimSun"/>
          <w:sz w:val="21"/>
          <w:szCs w:val="21"/>
          <w:spacing w:val="-5"/>
        </w:rPr>
        <w:t>视率排名与互联网电影数据库</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5"/>
        </w:rPr>
        <w:t>(IMDB)   </w:t>
      </w:r>
      <w:r>
        <w:rPr>
          <w:rFonts w:ascii="SimSun" w:hAnsi="SimSun" w:eastAsia="SimSun" w:cs="SimSun"/>
          <w:sz w:val="21"/>
          <w:szCs w:val="21"/>
          <w:spacing w:val="-5"/>
        </w:rPr>
        <w:t>上实名用户给出的排名是匹</w:t>
      </w:r>
      <w:r>
        <w:rPr>
          <w:rFonts w:ascii="SimSun" w:hAnsi="SimSun" w:eastAsia="SimSun" w:cs="SimSun"/>
          <w:sz w:val="21"/>
          <w:szCs w:val="21"/>
        </w:rPr>
        <w:t xml:space="preserve"> </w:t>
      </w:r>
      <w:r>
        <w:rPr>
          <w:rFonts w:ascii="SimSun" w:hAnsi="SimSun" w:eastAsia="SimSun" w:cs="SimSun"/>
          <w:sz w:val="21"/>
          <w:szCs w:val="21"/>
          <w:spacing w:val="-3"/>
        </w:rPr>
        <w:t>配的，说明网飞的匿名化规则无效。2017年7月，两位研究者从300</w:t>
      </w:r>
      <w:r>
        <w:rPr>
          <w:rFonts w:ascii="SimSun" w:hAnsi="SimSun" w:eastAsia="SimSun" w:cs="SimSun"/>
          <w:sz w:val="21"/>
          <w:szCs w:val="21"/>
          <w:spacing w:val="8"/>
        </w:rPr>
        <w:t xml:space="preserve"> </w:t>
      </w:r>
      <w:r>
        <w:rPr>
          <w:rFonts w:ascii="SimSun" w:hAnsi="SimSun" w:eastAsia="SimSun" w:cs="SimSun"/>
          <w:sz w:val="21"/>
          <w:szCs w:val="21"/>
          <w:spacing w:val="-10"/>
        </w:rPr>
        <w:t>万德国公民的匿名浏览历史数据集中重新识别出多位政治家</w:t>
      </w:r>
      <w:r>
        <w:rPr>
          <w:rFonts w:ascii="SimSun" w:hAnsi="SimSun" w:eastAsia="SimSun" w:cs="SimSun"/>
          <w:sz w:val="21"/>
          <w:szCs w:val="21"/>
          <w:spacing w:val="-11"/>
        </w:rPr>
        <w:t>，并据此</w:t>
      </w:r>
      <w:r>
        <w:rPr>
          <w:rFonts w:ascii="SimSun" w:hAnsi="SimSun" w:eastAsia="SimSun" w:cs="SimSun"/>
          <w:sz w:val="21"/>
          <w:szCs w:val="21"/>
        </w:rPr>
        <w:t xml:space="preserve"> </w:t>
      </w:r>
      <w:r>
        <w:rPr>
          <w:rFonts w:ascii="SimSun" w:hAnsi="SimSun" w:eastAsia="SimSun" w:cs="SimSun"/>
          <w:sz w:val="21"/>
          <w:szCs w:val="21"/>
          <w:spacing w:val="-13"/>
        </w:rPr>
        <w:t>得到了其医疗信息或性取向结论。</w:t>
      </w:r>
    </w:p>
    <w:p>
      <w:pPr>
        <w:ind w:firstLine="420"/>
        <w:spacing w:before="120" w:line="304" w:lineRule="auto"/>
        <w:jc w:val="both"/>
        <w:rPr>
          <w:rFonts w:ascii="SimSun" w:hAnsi="SimSun" w:eastAsia="SimSun" w:cs="SimSun"/>
          <w:sz w:val="21"/>
          <w:szCs w:val="21"/>
        </w:rPr>
      </w:pPr>
      <w:r>
        <w:rPr>
          <w:rFonts w:ascii="SimSun" w:hAnsi="SimSun" w:eastAsia="SimSun" w:cs="SimSun"/>
          <w:sz w:val="21"/>
          <w:szCs w:val="21"/>
          <w:spacing w:val="-4"/>
        </w:rPr>
        <w:t>隐私计算是个人信息保护和数据安全领域的前沿技术，其主要</w:t>
      </w:r>
      <w:r>
        <w:rPr>
          <w:rFonts w:ascii="SimSun" w:hAnsi="SimSun" w:eastAsia="SimSun" w:cs="SimSun"/>
          <w:sz w:val="21"/>
          <w:szCs w:val="21"/>
          <w:spacing w:val="17"/>
        </w:rPr>
        <w:t xml:space="preserve"> </w:t>
      </w:r>
      <w:r>
        <w:rPr>
          <w:rFonts w:ascii="SimSun" w:hAnsi="SimSun" w:eastAsia="SimSun" w:cs="SimSun"/>
          <w:sz w:val="21"/>
          <w:szCs w:val="21"/>
          <w:spacing w:val="-8"/>
        </w:rPr>
        <w:t>目标是使数据“可用不可见”,实现数据价值流通。国家工业信息安</w:t>
      </w:r>
      <w:r>
        <w:rPr>
          <w:rFonts w:ascii="SimSun" w:hAnsi="SimSun" w:eastAsia="SimSun" w:cs="SimSun"/>
          <w:sz w:val="21"/>
          <w:szCs w:val="21"/>
          <w:spacing w:val="2"/>
        </w:rPr>
        <w:t xml:space="preserve">  </w:t>
      </w:r>
      <w:r>
        <w:rPr>
          <w:rFonts w:ascii="SimSun" w:hAnsi="SimSun" w:eastAsia="SimSun" w:cs="SimSun"/>
          <w:sz w:val="21"/>
          <w:szCs w:val="21"/>
        </w:rPr>
        <w:t>全发展研究中心于2021年5月发布的《中国隐私计算产业发展报告</w:t>
      </w:r>
      <w:r>
        <w:rPr>
          <w:rFonts w:ascii="SimSun" w:hAnsi="SimSun" w:eastAsia="SimSun" w:cs="SimSun"/>
          <w:sz w:val="21"/>
          <w:szCs w:val="21"/>
          <w:spacing w:val="18"/>
        </w:rPr>
        <w:t xml:space="preserve"> </w:t>
      </w:r>
      <w:r>
        <w:rPr>
          <w:rFonts w:ascii="SimSun" w:hAnsi="SimSun" w:eastAsia="SimSun" w:cs="SimSun"/>
          <w:sz w:val="21"/>
          <w:szCs w:val="21"/>
          <w:spacing w:val="-9"/>
        </w:rPr>
        <w:t>(2020—2021)》指出：“现阶段，隐私计算指带有隐私机密保护的计</w:t>
      </w:r>
      <w:r>
        <w:rPr>
          <w:rFonts w:ascii="SimSun" w:hAnsi="SimSun" w:eastAsia="SimSun" w:cs="SimSun"/>
          <w:sz w:val="21"/>
          <w:szCs w:val="21"/>
          <w:spacing w:val="12"/>
        </w:rPr>
        <w:t xml:space="preserve"> </w:t>
      </w:r>
      <w:r>
        <w:rPr>
          <w:rFonts w:ascii="SimSun" w:hAnsi="SimSun" w:eastAsia="SimSun" w:cs="SimSun"/>
          <w:sz w:val="21"/>
          <w:szCs w:val="21"/>
          <w:spacing w:val="-1"/>
        </w:rPr>
        <w:t>算系统与技术(硬件或软件解决方案),能够在不泄露原始数据前提 </w:t>
      </w:r>
      <w:r>
        <w:rPr>
          <w:rFonts w:ascii="SimSun" w:hAnsi="SimSun" w:eastAsia="SimSun" w:cs="SimSun"/>
          <w:sz w:val="21"/>
          <w:szCs w:val="21"/>
          <w:spacing w:val="-8"/>
        </w:rPr>
        <w:t>下，对数据进行采集加工、分析处理、分析验证，包</w:t>
      </w:r>
      <w:r>
        <w:rPr>
          <w:rFonts w:ascii="SimSun" w:hAnsi="SimSun" w:eastAsia="SimSun" w:cs="SimSun"/>
          <w:sz w:val="21"/>
          <w:szCs w:val="21"/>
          <w:spacing w:val="-9"/>
        </w:rPr>
        <w:t>括数据的生产、</w:t>
      </w:r>
      <w:r>
        <w:rPr>
          <w:rFonts w:ascii="SimSun" w:hAnsi="SimSun" w:eastAsia="SimSun" w:cs="SimSun"/>
          <w:sz w:val="21"/>
          <w:szCs w:val="21"/>
        </w:rPr>
        <w:t xml:space="preserve"> </w:t>
      </w:r>
      <w:r>
        <w:rPr>
          <w:rFonts w:ascii="SimSun" w:hAnsi="SimSun" w:eastAsia="SimSun" w:cs="SimSun"/>
          <w:sz w:val="21"/>
          <w:szCs w:val="21"/>
          <w:spacing w:val="-10"/>
        </w:rPr>
        <w:t>存储、计算、应用等数据处理的全过程，强调能够在保证数据所</w:t>
      </w:r>
      <w:r>
        <w:rPr>
          <w:rFonts w:ascii="SimSun" w:hAnsi="SimSun" w:eastAsia="SimSun" w:cs="SimSun"/>
          <w:sz w:val="21"/>
          <w:szCs w:val="21"/>
          <w:spacing w:val="-11"/>
        </w:rPr>
        <w:t>有者</w:t>
      </w:r>
      <w:r>
        <w:rPr>
          <w:rFonts w:ascii="SimSun" w:hAnsi="SimSun" w:eastAsia="SimSun" w:cs="SimSun"/>
          <w:sz w:val="21"/>
          <w:szCs w:val="21"/>
        </w:rPr>
        <w:t xml:space="preserve"> </w:t>
      </w:r>
      <w:r>
        <w:rPr>
          <w:rFonts w:ascii="SimSun" w:hAnsi="SimSun" w:eastAsia="SimSun" w:cs="SimSun"/>
          <w:sz w:val="21"/>
          <w:szCs w:val="21"/>
          <w:spacing w:val="-11"/>
        </w:rPr>
        <w:t>权益、保护用户隐私和商业秘密的同时，充分挖掘发挥数据价值。”</w:t>
      </w:r>
    </w:p>
    <w:p>
      <w:pPr>
        <w:ind w:right="34" w:firstLine="420"/>
        <w:spacing w:before="114" w:line="306" w:lineRule="auto"/>
        <w:jc w:val="both"/>
        <w:rPr>
          <w:rFonts w:ascii="SimSun" w:hAnsi="SimSun" w:eastAsia="SimSun" w:cs="SimSun"/>
          <w:sz w:val="21"/>
          <w:szCs w:val="21"/>
        </w:rPr>
      </w:pPr>
      <w:r>
        <w:rPr>
          <w:rFonts w:ascii="SimSun" w:hAnsi="SimSun" w:eastAsia="SimSun" w:cs="SimSun"/>
          <w:sz w:val="21"/>
          <w:szCs w:val="21"/>
          <w:spacing w:val="-11"/>
        </w:rPr>
        <w:t>隐私计算技术包括安全多方计算、联邦学习、可信执行环境、同</w:t>
      </w:r>
      <w:r>
        <w:rPr>
          <w:rFonts w:ascii="SimSun" w:hAnsi="SimSun" w:eastAsia="SimSun" w:cs="SimSun"/>
          <w:sz w:val="21"/>
          <w:szCs w:val="21"/>
          <w:spacing w:val="15"/>
        </w:rPr>
        <w:t xml:space="preserve"> </w:t>
      </w:r>
      <w:r>
        <w:rPr>
          <w:rFonts w:ascii="SimSun" w:hAnsi="SimSun" w:eastAsia="SimSun" w:cs="SimSun"/>
          <w:sz w:val="21"/>
          <w:szCs w:val="21"/>
          <w:spacing w:val="-10"/>
        </w:rPr>
        <w:t>态加密、零知识证明、差分隐私等。尽管尚不成熟，但隐私计算技术</w:t>
      </w:r>
      <w:r>
        <w:rPr>
          <w:rFonts w:ascii="SimSun" w:hAnsi="SimSun" w:eastAsia="SimSun" w:cs="SimSun"/>
          <w:sz w:val="21"/>
          <w:szCs w:val="21"/>
          <w:spacing w:val="18"/>
        </w:rPr>
        <w:t xml:space="preserve"> </w:t>
      </w:r>
      <w:r>
        <w:rPr>
          <w:rFonts w:ascii="SimSun" w:hAnsi="SimSun" w:eastAsia="SimSun" w:cs="SimSun"/>
          <w:sz w:val="21"/>
          <w:szCs w:val="21"/>
          <w:spacing w:val="-10"/>
        </w:rPr>
        <w:t>在金融、医疗、政府和智慧城市、电商等行业已有不少应用场景。例</w:t>
      </w:r>
      <w:r>
        <w:rPr>
          <w:rFonts w:ascii="SimSun" w:hAnsi="SimSun" w:eastAsia="SimSun" w:cs="SimSun"/>
          <w:sz w:val="21"/>
          <w:szCs w:val="21"/>
          <w:spacing w:val="5"/>
        </w:rPr>
        <w:t xml:space="preserve"> </w:t>
      </w:r>
      <w:r>
        <w:rPr>
          <w:rFonts w:ascii="SimSun" w:hAnsi="SimSun" w:eastAsia="SimSun" w:cs="SimSun"/>
          <w:sz w:val="21"/>
          <w:szCs w:val="21"/>
          <w:spacing w:val="-10"/>
        </w:rPr>
        <w:t>如，为解决小微企业贷款风控数据不足的问题，微众银行联合多家外</w:t>
      </w:r>
      <w:r>
        <w:rPr>
          <w:rFonts w:ascii="SimSun" w:hAnsi="SimSun" w:eastAsia="SimSun" w:cs="SimSun"/>
          <w:sz w:val="21"/>
          <w:szCs w:val="21"/>
          <w:spacing w:val="1"/>
        </w:rPr>
        <w:t xml:space="preserve"> </w:t>
      </w:r>
      <w:r>
        <w:rPr>
          <w:rFonts w:ascii="SimSun" w:hAnsi="SimSun" w:eastAsia="SimSun" w:cs="SimSun"/>
          <w:sz w:val="21"/>
          <w:szCs w:val="21"/>
          <w:spacing w:val="-10"/>
        </w:rPr>
        <w:t>部合作伙伴一起搭建了基于联邦学习的风控模型；翼方健数基于自身</w:t>
      </w:r>
      <w:r>
        <w:rPr>
          <w:rFonts w:ascii="SimSun" w:hAnsi="SimSun" w:eastAsia="SimSun" w:cs="SimSun"/>
          <w:sz w:val="21"/>
          <w:szCs w:val="21"/>
          <w:spacing w:val="3"/>
        </w:rPr>
        <w:t xml:space="preserve"> </w:t>
      </w:r>
      <w:r>
        <w:rPr>
          <w:rFonts w:ascii="SimSun" w:hAnsi="SimSun" w:eastAsia="SimSun" w:cs="SimSun"/>
          <w:sz w:val="21"/>
          <w:szCs w:val="21"/>
          <w:spacing w:val="-10"/>
        </w:rPr>
        <w:t>的隐私安全计算技术平台，汇聚厦门等多个城市各医疗机构的健康医</w:t>
      </w:r>
      <w:r>
        <w:rPr>
          <w:rFonts w:ascii="SimSun" w:hAnsi="SimSun" w:eastAsia="SimSun" w:cs="SimSun"/>
          <w:sz w:val="21"/>
          <w:szCs w:val="21"/>
          <w:spacing w:val="1"/>
        </w:rPr>
        <w:t xml:space="preserve"> </w:t>
      </w:r>
      <w:r>
        <w:rPr>
          <w:rFonts w:ascii="SimSun" w:hAnsi="SimSun" w:eastAsia="SimSun" w:cs="SimSun"/>
          <w:sz w:val="21"/>
          <w:szCs w:val="21"/>
          <w:spacing w:val="-10"/>
        </w:rPr>
        <w:t>疗数据，并引入第三方服务机构来处理和挖掘原始数据。另外，区块</w:t>
      </w:r>
      <w:r>
        <w:rPr>
          <w:rFonts w:ascii="SimSun" w:hAnsi="SimSun" w:eastAsia="SimSun" w:cs="SimSun"/>
          <w:sz w:val="21"/>
          <w:szCs w:val="21"/>
          <w:spacing w:val="16"/>
        </w:rPr>
        <w:t xml:space="preserve"> </w:t>
      </w:r>
      <w:r>
        <w:rPr>
          <w:rFonts w:ascii="SimSun" w:hAnsi="SimSun" w:eastAsia="SimSun" w:cs="SimSun"/>
          <w:sz w:val="21"/>
          <w:szCs w:val="21"/>
          <w:spacing w:val="1"/>
        </w:rPr>
        <w:t>链和隐私计算的结合也是行业热点。2021年7月隐私计算联盟发布</w:t>
      </w:r>
      <w:r>
        <w:rPr>
          <w:rFonts w:ascii="SimSun" w:hAnsi="SimSun" w:eastAsia="SimSun" w:cs="SimSun"/>
          <w:sz w:val="21"/>
          <w:szCs w:val="21"/>
          <w:spacing w:val="3"/>
        </w:rPr>
        <w:t xml:space="preserve"> </w:t>
      </w:r>
      <w:r>
        <w:rPr>
          <w:rFonts w:ascii="SimSun" w:hAnsi="SimSun" w:eastAsia="SimSun" w:cs="SimSun"/>
          <w:sz w:val="21"/>
          <w:szCs w:val="21"/>
          <w:spacing w:val="-3"/>
        </w:rPr>
        <w:t>的《隐私计算与区块链技术融合研究报告(2021年)》指出，“通过</w:t>
      </w:r>
      <w:r>
        <w:rPr>
          <w:rFonts w:ascii="SimSun" w:hAnsi="SimSun" w:eastAsia="SimSun" w:cs="SimSun"/>
          <w:sz w:val="21"/>
          <w:szCs w:val="21"/>
          <w:spacing w:val="3"/>
        </w:rPr>
        <w:t xml:space="preserve"> </w:t>
      </w:r>
      <w:r>
        <w:rPr>
          <w:rFonts w:ascii="SimSun" w:hAnsi="SimSun" w:eastAsia="SimSun" w:cs="SimSun"/>
          <w:sz w:val="21"/>
          <w:szCs w:val="21"/>
          <w:spacing w:val="-10"/>
        </w:rPr>
        <w:t>将隐私计算和区块链相结合……既能在数据共享过程中有效保</w:t>
      </w:r>
      <w:r>
        <w:rPr>
          <w:rFonts w:ascii="SimSun" w:hAnsi="SimSun" w:eastAsia="SimSun" w:cs="SimSun"/>
          <w:sz w:val="21"/>
          <w:szCs w:val="21"/>
          <w:spacing w:val="-11"/>
        </w:rPr>
        <w:t>护个人</w:t>
      </w:r>
      <w:r>
        <w:rPr>
          <w:rFonts w:ascii="SimSun" w:hAnsi="SimSun" w:eastAsia="SimSun" w:cs="SimSun"/>
          <w:sz w:val="21"/>
          <w:szCs w:val="21"/>
        </w:rPr>
        <w:t xml:space="preserve"> </w:t>
      </w:r>
      <w:r>
        <w:rPr>
          <w:rFonts w:ascii="SimSun" w:hAnsi="SimSun" w:eastAsia="SimSun" w:cs="SimSun"/>
          <w:sz w:val="21"/>
          <w:szCs w:val="21"/>
          <w:spacing w:val="-10"/>
        </w:rPr>
        <w:t>信息，实现数据的安全流通，还能为数据的真实性、数据确权</w:t>
      </w:r>
      <w:r>
        <w:rPr>
          <w:rFonts w:ascii="SimSun" w:hAnsi="SimSun" w:eastAsia="SimSun" w:cs="SimSun"/>
          <w:sz w:val="21"/>
          <w:szCs w:val="21"/>
          <w:spacing w:val="-11"/>
        </w:rPr>
        <w:t>等合规</w:t>
      </w:r>
      <w:r>
        <w:rPr>
          <w:rFonts w:ascii="SimSun" w:hAnsi="SimSun" w:eastAsia="SimSun" w:cs="SimSun"/>
          <w:sz w:val="21"/>
          <w:szCs w:val="21"/>
        </w:rPr>
        <w:t xml:space="preserve"> </w:t>
      </w:r>
      <w:r>
        <w:rPr>
          <w:rFonts w:ascii="SimSun" w:hAnsi="SimSun" w:eastAsia="SimSun" w:cs="SimSun"/>
          <w:sz w:val="21"/>
          <w:szCs w:val="21"/>
          <w:spacing w:val="-13"/>
        </w:rPr>
        <w:t>问题提供可行解决方案。”</w:t>
      </w:r>
    </w:p>
    <w:p>
      <w:pPr>
        <w:spacing w:line="306" w:lineRule="auto"/>
        <w:sectPr>
          <w:headerReference w:type="default" r:id="rId399"/>
          <w:pgSz w:w="7330" w:h="12480"/>
          <w:pgMar w:top="799" w:right="895" w:bottom="400" w:left="379" w:header="621"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05" w:right="68" w:firstLine="429"/>
        <w:spacing w:before="68" w:line="290" w:lineRule="auto"/>
        <w:jc w:val="both"/>
        <w:rPr>
          <w:rFonts w:ascii="SimSun" w:hAnsi="SimSun" w:eastAsia="SimSun" w:cs="SimSun"/>
          <w:sz w:val="21"/>
          <w:szCs w:val="21"/>
        </w:rPr>
      </w:pPr>
      <w:r>
        <w:rPr>
          <w:rFonts w:ascii="SimSun" w:hAnsi="SimSun" w:eastAsia="SimSun" w:cs="SimSun"/>
          <w:sz w:val="21"/>
          <w:szCs w:val="21"/>
          <w:spacing w:val="-11"/>
        </w:rPr>
        <w:t>这些技术的当前版本计算效率和安全可靠性尚需进一步验证。例</w:t>
      </w:r>
      <w:r>
        <w:rPr>
          <w:rFonts w:ascii="SimSun" w:hAnsi="SimSun" w:eastAsia="SimSun" w:cs="SimSun"/>
          <w:sz w:val="21"/>
          <w:szCs w:val="21"/>
          <w:spacing w:val="3"/>
        </w:rPr>
        <w:t xml:space="preserve"> </w:t>
      </w:r>
      <w:r>
        <w:rPr>
          <w:rFonts w:ascii="SimSun" w:hAnsi="SimSun" w:eastAsia="SimSun" w:cs="SimSun"/>
          <w:sz w:val="21"/>
          <w:szCs w:val="21"/>
          <w:spacing w:val="-11"/>
        </w:rPr>
        <w:t>如安全多方计算和联邦学习受制于网络传输的带宽、通信速率和网络</w:t>
      </w:r>
      <w:r>
        <w:rPr>
          <w:rFonts w:ascii="SimSun" w:hAnsi="SimSun" w:eastAsia="SimSun" w:cs="SimSun"/>
          <w:sz w:val="21"/>
          <w:szCs w:val="21"/>
          <w:spacing w:val="8"/>
        </w:rPr>
        <w:t xml:space="preserve"> </w:t>
      </w:r>
      <w:r>
        <w:rPr>
          <w:rFonts w:ascii="SimSun" w:hAnsi="SimSun" w:eastAsia="SimSun" w:cs="SimSun"/>
          <w:sz w:val="21"/>
          <w:szCs w:val="21"/>
          <w:spacing w:val="-11"/>
        </w:rPr>
        <w:t>稳定性，根据联邦学习的中心服务器收集的信息可能反推出输入的数</w:t>
      </w:r>
      <w:r>
        <w:rPr>
          <w:rFonts w:ascii="SimSun" w:hAnsi="SimSun" w:eastAsia="SimSun" w:cs="SimSun"/>
          <w:sz w:val="21"/>
          <w:szCs w:val="21"/>
          <w:spacing w:val="7"/>
        </w:rPr>
        <w:t xml:space="preserve"> </w:t>
      </w:r>
      <w:r>
        <w:rPr>
          <w:rFonts w:ascii="SimSun" w:hAnsi="SimSun" w:eastAsia="SimSun" w:cs="SimSun"/>
          <w:sz w:val="21"/>
          <w:szCs w:val="21"/>
          <w:spacing w:val="-11"/>
        </w:rPr>
        <w:t>据信息。在大规模或实时性要求较高的场景下，往往难以在保护隐私</w:t>
      </w:r>
      <w:r>
        <w:rPr>
          <w:rFonts w:ascii="SimSun" w:hAnsi="SimSun" w:eastAsia="SimSun" w:cs="SimSun"/>
          <w:sz w:val="21"/>
          <w:szCs w:val="21"/>
          <w:spacing w:val="10"/>
        </w:rPr>
        <w:t xml:space="preserve"> </w:t>
      </w:r>
      <w:r>
        <w:rPr>
          <w:rFonts w:ascii="SimSun" w:hAnsi="SimSun" w:eastAsia="SimSun" w:cs="SimSun"/>
          <w:sz w:val="21"/>
          <w:szCs w:val="21"/>
          <w:spacing w:val="-10"/>
        </w:rPr>
        <w:t>的同时达成高效的计算性能。</w:t>
      </w:r>
    </w:p>
    <w:p>
      <w:pPr>
        <w:ind w:left="105" w:right="53" w:firstLine="429"/>
        <w:spacing w:before="140" w:line="290" w:lineRule="auto"/>
        <w:jc w:val="both"/>
        <w:rPr>
          <w:rFonts w:ascii="SimSun" w:hAnsi="SimSun" w:eastAsia="SimSun" w:cs="SimSun"/>
          <w:sz w:val="21"/>
          <w:szCs w:val="21"/>
        </w:rPr>
      </w:pPr>
      <w:r>
        <w:rPr>
          <w:rFonts w:ascii="SimSun" w:hAnsi="SimSun" w:eastAsia="SimSun" w:cs="SimSun"/>
          <w:sz w:val="21"/>
          <w:szCs w:val="21"/>
          <w:spacing w:val="-11"/>
        </w:rPr>
        <w:t>随着隐私计算技术的逐步成熟，这些技术的商业化甚至平台化也</w:t>
      </w:r>
      <w:r>
        <w:rPr>
          <w:rFonts w:ascii="SimSun" w:hAnsi="SimSun" w:eastAsia="SimSun" w:cs="SimSun"/>
          <w:sz w:val="21"/>
          <w:szCs w:val="21"/>
          <w:spacing w:val="18"/>
        </w:rPr>
        <w:t xml:space="preserve"> </w:t>
      </w:r>
      <w:r>
        <w:rPr>
          <w:rFonts w:ascii="SimSun" w:hAnsi="SimSun" w:eastAsia="SimSun" w:cs="SimSun"/>
          <w:sz w:val="21"/>
          <w:szCs w:val="21"/>
          <w:spacing w:val="-9"/>
        </w:rPr>
        <w:t>将逐步被提上日程。《中国隐私计算产业发展报告(2020—2021)》指</w:t>
      </w:r>
      <w:r>
        <w:rPr>
          <w:rFonts w:ascii="SimSun" w:hAnsi="SimSun" w:eastAsia="SimSun" w:cs="SimSun"/>
          <w:sz w:val="21"/>
          <w:szCs w:val="21"/>
          <w:spacing w:val="17"/>
        </w:rPr>
        <w:t xml:space="preserve"> </w:t>
      </w:r>
      <w:r>
        <w:rPr>
          <w:rFonts w:ascii="SimSun" w:hAnsi="SimSun" w:eastAsia="SimSun" w:cs="SimSun"/>
          <w:sz w:val="21"/>
          <w:szCs w:val="21"/>
          <w:spacing w:val="-3"/>
        </w:rPr>
        <w:t>出，隐私计算产品市场规模约为10亿元，基</w:t>
      </w:r>
      <w:r>
        <w:rPr>
          <w:rFonts w:ascii="SimSun" w:hAnsi="SimSun" w:eastAsia="SimSun" w:cs="SimSun"/>
          <w:sz w:val="21"/>
          <w:szCs w:val="21"/>
          <w:spacing w:val="-4"/>
        </w:rPr>
        <w:t>于隐私计算的数据交易</w:t>
      </w:r>
      <w:r>
        <w:rPr>
          <w:rFonts w:ascii="SimSun" w:hAnsi="SimSun" w:eastAsia="SimSun" w:cs="SimSun"/>
          <w:sz w:val="21"/>
          <w:szCs w:val="21"/>
        </w:rPr>
        <w:t xml:space="preserve"> </w:t>
      </w:r>
      <w:r>
        <w:rPr>
          <w:rFonts w:ascii="SimSun" w:hAnsi="SimSun" w:eastAsia="SimSun" w:cs="SimSun"/>
          <w:sz w:val="21"/>
          <w:szCs w:val="21"/>
          <w:spacing w:val="-11"/>
        </w:rPr>
        <w:t>应用模式市场或将达到千亿级。隐私计算等技术在培育要素市场方面</w:t>
      </w:r>
      <w:r>
        <w:rPr>
          <w:rFonts w:ascii="SimSun" w:hAnsi="SimSun" w:eastAsia="SimSun" w:cs="SimSun"/>
          <w:sz w:val="21"/>
          <w:szCs w:val="21"/>
          <w:spacing w:val="7"/>
        </w:rPr>
        <w:t xml:space="preserve"> </w:t>
      </w:r>
      <w:r>
        <w:rPr>
          <w:rFonts w:ascii="SimSun" w:hAnsi="SimSun" w:eastAsia="SimSun" w:cs="SimSun"/>
          <w:sz w:val="21"/>
          <w:szCs w:val="21"/>
          <w:spacing w:val="-11"/>
        </w:rPr>
        <w:t>将发挥重要作用，因此具有广阔前景。</w:t>
      </w:r>
    </w:p>
    <w:p>
      <w:pPr>
        <w:pStyle w:val="BodyText"/>
        <w:spacing w:line="413" w:lineRule="auto"/>
        <w:rPr/>
      </w:pPr>
      <w:r/>
    </w:p>
    <w:p>
      <w:pPr>
        <w:ind w:left="108"/>
        <w:spacing w:before="81" w:line="222" w:lineRule="auto"/>
        <w:rPr>
          <w:rFonts w:ascii="SimHei" w:hAnsi="SimHei" w:eastAsia="SimHei" w:cs="SimHei"/>
          <w:sz w:val="25"/>
          <w:szCs w:val="25"/>
        </w:rPr>
      </w:pPr>
      <w:r>
        <w:rPr>
          <w:rFonts w:ascii="SimHei" w:hAnsi="SimHei" w:eastAsia="SimHei" w:cs="SimHei"/>
          <w:sz w:val="25"/>
          <w:szCs w:val="25"/>
          <w:b/>
          <w:bCs/>
          <w:spacing w:val="-13"/>
        </w:rPr>
        <w:t>通过立法保障个人信息保护和数据安全现状的国际比较</w:t>
      </w:r>
    </w:p>
    <w:p>
      <w:pPr>
        <w:pStyle w:val="BodyText"/>
        <w:spacing w:line="333" w:lineRule="auto"/>
        <w:rPr/>
      </w:pPr>
      <w:r/>
    </w:p>
    <w:p>
      <w:pPr>
        <w:ind w:left="105" w:right="50" w:firstLine="429"/>
        <w:spacing w:before="68" w:line="292" w:lineRule="auto"/>
        <w:jc w:val="both"/>
        <w:rPr>
          <w:rFonts w:ascii="SimSun" w:hAnsi="SimSun" w:eastAsia="SimSun" w:cs="SimSun"/>
          <w:sz w:val="21"/>
          <w:szCs w:val="21"/>
        </w:rPr>
      </w:pPr>
      <w:r>
        <w:rPr>
          <w:rFonts w:ascii="SimSun" w:hAnsi="SimSun" w:eastAsia="SimSun" w:cs="SimSun"/>
          <w:sz w:val="21"/>
          <w:szCs w:val="21"/>
          <w:spacing w:val="-10"/>
        </w:rPr>
        <w:t>个人信息保护和数据安全是大国竞争的重要战场</w:t>
      </w:r>
      <w:r>
        <w:rPr>
          <w:rFonts w:ascii="SimSun" w:hAnsi="SimSun" w:eastAsia="SimSun" w:cs="SimSun"/>
          <w:sz w:val="21"/>
          <w:szCs w:val="21"/>
          <w:spacing w:val="-11"/>
        </w:rPr>
        <w:t>。因为个人信息</w:t>
      </w:r>
      <w:r>
        <w:rPr>
          <w:rFonts w:ascii="SimSun" w:hAnsi="SimSun" w:eastAsia="SimSun" w:cs="SimSun"/>
          <w:sz w:val="21"/>
          <w:szCs w:val="21"/>
        </w:rPr>
        <w:t xml:space="preserve"> </w:t>
      </w:r>
      <w:r>
        <w:rPr>
          <w:rFonts w:ascii="SimSun" w:hAnsi="SimSun" w:eastAsia="SimSun" w:cs="SimSun"/>
          <w:sz w:val="21"/>
          <w:szCs w:val="21"/>
          <w:spacing w:val="-11"/>
        </w:rPr>
        <w:t>保护和数据安全领域的技术尚不完善，各国都更多地依赖相关法规和</w:t>
      </w:r>
      <w:r>
        <w:rPr>
          <w:rFonts w:ascii="SimSun" w:hAnsi="SimSun" w:eastAsia="SimSun" w:cs="SimSun"/>
          <w:sz w:val="21"/>
          <w:szCs w:val="21"/>
          <w:spacing w:val="15"/>
        </w:rPr>
        <w:t xml:space="preserve"> </w:t>
      </w:r>
      <w:r>
        <w:rPr>
          <w:rFonts w:ascii="SimSun" w:hAnsi="SimSun" w:eastAsia="SimSun" w:cs="SimSun"/>
          <w:sz w:val="21"/>
          <w:szCs w:val="21"/>
          <w:spacing w:val="-10"/>
        </w:rPr>
        <w:t>监管框架。总体来看，欧盟和中国在个人信</w:t>
      </w:r>
      <w:r>
        <w:rPr>
          <w:rFonts w:ascii="SimSun" w:hAnsi="SimSun" w:eastAsia="SimSun" w:cs="SimSun"/>
          <w:sz w:val="21"/>
          <w:szCs w:val="21"/>
          <w:spacing w:val="-11"/>
        </w:rPr>
        <w:t>息保护方面的法令较美国</w:t>
      </w:r>
      <w:r>
        <w:rPr>
          <w:rFonts w:ascii="SimSun" w:hAnsi="SimSun" w:eastAsia="SimSun" w:cs="SimSun"/>
          <w:sz w:val="21"/>
          <w:szCs w:val="21"/>
        </w:rPr>
        <w:t xml:space="preserve"> </w:t>
      </w:r>
      <w:r>
        <w:rPr>
          <w:rFonts w:ascii="SimSun" w:hAnsi="SimSun" w:eastAsia="SimSun" w:cs="SimSun"/>
          <w:sz w:val="21"/>
          <w:szCs w:val="21"/>
          <w:spacing w:val="-7"/>
        </w:rPr>
        <w:t>更为严格。</w:t>
      </w:r>
    </w:p>
    <w:p>
      <w:pPr>
        <w:ind w:firstLine="534"/>
        <w:spacing w:before="130" w:line="292" w:lineRule="auto"/>
        <w:jc w:val="both"/>
        <w:rPr>
          <w:rFonts w:ascii="SimSun" w:hAnsi="SimSun" w:eastAsia="SimSun" w:cs="SimSun"/>
          <w:sz w:val="21"/>
          <w:szCs w:val="21"/>
        </w:rPr>
      </w:pPr>
      <w:r>
        <w:rPr>
          <w:rFonts w:ascii="SimSun" w:hAnsi="SimSun" w:eastAsia="SimSun" w:cs="SimSun"/>
          <w:sz w:val="21"/>
          <w:szCs w:val="21"/>
          <w:spacing w:val="-10"/>
        </w:rPr>
        <w:t>就法令的制定看，针对数据保护的综合立法主要有欧盟的《通用</w:t>
      </w:r>
      <w:r>
        <w:rPr>
          <w:rFonts w:ascii="SimSun" w:hAnsi="SimSun" w:eastAsia="SimSun" w:cs="SimSun"/>
          <w:sz w:val="21"/>
          <w:szCs w:val="21"/>
          <w:spacing w:val="3"/>
        </w:rPr>
        <w:t xml:space="preserve"> </w:t>
      </w:r>
      <w:r>
        <w:rPr>
          <w:rFonts w:ascii="SimSun" w:hAnsi="SimSun" w:eastAsia="SimSun" w:cs="SimSun"/>
          <w:sz w:val="21"/>
          <w:szCs w:val="21"/>
          <w:spacing w:val="-7"/>
        </w:rPr>
        <w:t>数据保护条例》和我国的《个人信息保护法》。美国没有联邦层面的</w:t>
      </w:r>
      <w:r>
        <w:rPr>
          <w:rFonts w:ascii="SimSun" w:hAnsi="SimSun" w:eastAsia="SimSun" w:cs="SimSun"/>
          <w:sz w:val="21"/>
          <w:szCs w:val="21"/>
        </w:rPr>
        <w:t xml:space="preserve">  </w:t>
      </w:r>
      <w:r>
        <w:rPr>
          <w:rFonts w:ascii="SimSun" w:hAnsi="SimSun" w:eastAsia="SimSun" w:cs="SimSun"/>
          <w:sz w:val="21"/>
          <w:szCs w:val="21"/>
          <w:spacing w:val="-4"/>
        </w:rPr>
        <w:t>数据隐私法，加利福尼亚州、纽约州等州各自制定了隐私法。例</w:t>
      </w:r>
      <w:r>
        <w:rPr>
          <w:rFonts w:ascii="SimSun" w:hAnsi="SimSun" w:eastAsia="SimSun" w:cs="SimSun"/>
          <w:sz w:val="21"/>
          <w:szCs w:val="21"/>
          <w:spacing w:val="-5"/>
        </w:rPr>
        <w:t>如，</w:t>
      </w:r>
      <w:r>
        <w:rPr>
          <w:rFonts w:ascii="SimSun" w:hAnsi="SimSun" w:eastAsia="SimSun" w:cs="SimSun"/>
          <w:sz w:val="21"/>
          <w:szCs w:val="21"/>
        </w:rPr>
        <w:t xml:space="preserve"> </w:t>
      </w:r>
      <w:r>
        <w:rPr>
          <w:rFonts w:ascii="SimSun" w:hAnsi="SimSun" w:eastAsia="SimSun" w:cs="SimSun"/>
          <w:sz w:val="21"/>
          <w:szCs w:val="21"/>
          <w:spacing w:val="-9"/>
        </w:rPr>
        <w:t>《加州消费者隐私法》是消费者保护领域的个人信息保护专门法。</w:t>
      </w:r>
    </w:p>
    <w:p>
      <w:pPr>
        <w:ind w:left="105" w:right="52" w:firstLine="429"/>
        <w:spacing w:before="114" w:line="300" w:lineRule="auto"/>
        <w:jc w:val="both"/>
        <w:rPr>
          <w:rFonts w:ascii="SimSun" w:hAnsi="SimSun" w:eastAsia="SimSun" w:cs="SimSun"/>
          <w:sz w:val="21"/>
          <w:szCs w:val="21"/>
        </w:rPr>
      </w:pPr>
      <w:r>
        <w:rPr>
          <w:rFonts w:ascii="SimSun" w:hAnsi="SimSun" w:eastAsia="SimSun" w:cs="SimSun"/>
          <w:sz w:val="21"/>
          <w:szCs w:val="21"/>
          <w:spacing w:val="-3"/>
        </w:rPr>
        <w:t>就立法的目标来看，欧盟和中国的立法目标将个人权益当作核</w:t>
      </w:r>
      <w:r>
        <w:rPr>
          <w:rFonts w:ascii="SimSun" w:hAnsi="SimSun" w:eastAsia="SimSun" w:cs="SimSun"/>
          <w:sz w:val="21"/>
          <w:szCs w:val="21"/>
          <w:spacing w:val="2"/>
        </w:rPr>
        <w:t xml:space="preserve"> </w:t>
      </w:r>
      <w:r>
        <w:rPr>
          <w:rFonts w:ascii="SimSun" w:hAnsi="SimSun" w:eastAsia="SimSun" w:cs="SimSun"/>
          <w:sz w:val="21"/>
          <w:szCs w:val="21"/>
          <w:spacing w:val="-11"/>
        </w:rPr>
        <w:t>心，美国各州则更关注平衡消费者保护和企业发展。总体来看，欧盟</w:t>
      </w:r>
      <w:r>
        <w:rPr>
          <w:rFonts w:ascii="SimSun" w:hAnsi="SimSun" w:eastAsia="SimSun" w:cs="SimSun"/>
          <w:sz w:val="21"/>
          <w:szCs w:val="21"/>
          <w:spacing w:val="7"/>
        </w:rPr>
        <w:t xml:space="preserve"> </w:t>
      </w:r>
      <w:r>
        <w:rPr>
          <w:rFonts w:ascii="SimSun" w:hAnsi="SimSun" w:eastAsia="SimSun" w:cs="SimSun"/>
          <w:sz w:val="21"/>
          <w:szCs w:val="21"/>
          <w:spacing w:val="-11"/>
        </w:rPr>
        <w:t>和中国对企业获取信息的要求更为严格。例如，欧盟和中国立法要求</w:t>
      </w:r>
      <w:r>
        <w:rPr>
          <w:rFonts w:ascii="SimSun" w:hAnsi="SimSun" w:eastAsia="SimSun" w:cs="SimSun"/>
          <w:sz w:val="21"/>
          <w:szCs w:val="21"/>
          <w:spacing w:val="8"/>
        </w:rPr>
        <w:t xml:space="preserve"> </w:t>
      </w:r>
      <w:r>
        <w:rPr>
          <w:rFonts w:ascii="SimSun" w:hAnsi="SimSun" w:eastAsia="SimSun" w:cs="SimSun"/>
          <w:sz w:val="21"/>
          <w:szCs w:val="21"/>
          <w:spacing w:val="-3"/>
        </w:rPr>
        <w:t>个人对数据处理中的同意必须是明确的、在充</w:t>
      </w:r>
      <w:r>
        <w:rPr>
          <w:rFonts w:ascii="SimSun" w:hAnsi="SimSun" w:eastAsia="SimSun" w:cs="SimSun"/>
          <w:sz w:val="21"/>
          <w:szCs w:val="21"/>
          <w:spacing w:val="-4"/>
        </w:rPr>
        <w:t>分知情的情况下做出</w:t>
      </w:r>
      <w:r>
        <w:rPr>
          <w:rFonts w:ascii="SimSun" w:hAnsi="SimSun" w:eastAsia="SimSun" w:cs="SimSun"/>
          <w:sz w:val="21"/>
          <w:szCs w:val="21"/>
        </w:rPr>
        <w:t xml:space="preserve"> </w:t>
      </w:r>
      <w:r>
        <w:rPr>
          <w:rFonts w:ascii="SimSun" w:hAnsi="SimSun" w:eastAsia="SimSun" w:cs="SimSun"/>
          <w:sz w:val="21"/>
          <w:szCs w:val="21"/>
          <w:spacing w:val="-10"/>
        </w:rPr>
        <w:t>的。《个人信息保护法》中对平台和企业如何处理个人信息有</w:t>
      </w:r>
      <w:r>
        <w:rPr>
          <w:rFonts w:ascii="SimSun" w:hAnsi="SimSun" w:eastAsia="SimSun" w:cs="SimSun"/>
          <w:sz w:val="21"/>
          <w:szCs w:val="21"/>
          <w:spacing w:val="-11"/>
        </w:rPr>
        <w:t>如下规</w:t>
      </w:r>
      <w:r>
        <w:rPr>
          <w:rFonts w:ascii="SimSun" w:hAnsi="SimSun" w:eastAsia="SimSun" w:cs="SimSun"/>
          <w:sz w:val="21"/>
          <w:szCs w:val="21"/>
        </w:rPr>
        <w:t xml:space="preserve"> </w:t>
      </w:r>
      <w:r>
        <w:rPr>
          <w:rFonts w:ascii="SimSun" w:hAnsi="SimSun" w:eastAsia="SimSun" w:cs="SimSun"/>
          <w:sz w:val="21"/>
          <w:szCs w:val="21"/>
          <w:spacing w:val="-11"/>
        </w:rPr>
        <w:t>定：应当限于实现处理目的的最小范围，不得过度收集；应该保证个</w:t>
      </w:r>
    </w:p>
    <w:p>
      <w:pPr>
        <w:spacing w:line="300" w:lineRule="auto"/>
        <w:sectPr>
          <w:headerReference w:type="default" r:id="rId400"/>
          <w:pgSz w:w="7330" w:h="12480"/>
          <w:pgMar w:top="527" w:right="505" w:bottom="400" w:left="645" w:header="365"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95" w:right="51"/>
        <w:spacing w:before="62" w:line="350" w:lineRule="auto"/>
        <w:jc w:val="both"/>
        <w:rPr>
          <w:rFonts w:ascii="SimSun" w:hAnsi="SimSun" w:eastAsia="SimSun" w:cs="SimSun"/>
          <w:sz w:val="19"/>
          <w:szCs w:val="19"/>
        </w:rPr>
      </w:pPr>
      <w:r>
        <w:rPr>
          <w:rFonts w:ascii="SimSun" w:hAnsi="SimSun" w:eastAsia="SimSun" w:cs="SimSun"/>
          <w:sz w:val="19"/>
          <w:szCs w:val="19"/>
          <w:spacing w:val="10"/>
        </w:rPr>
        <w:t>人信息的质量，避免因个人信息不准确、不完整对</w:t>
      </w:r>
      <w:r>
        <w:rPr>
          <w:rFonts w:ascii="SimSun" w:hAnsi="SimSun" w:eastAsia="SimSun" w:cs="SimSun"/>
          <w:sz w:val="19"/>
          <w:szCs w:val="19"/>
          <w:spacing w:val="9"/>
        </w:rPr>
        <w:t>个人权益造成不利</w:t>
      </w:r>
      <w:r>
        <w:rPr>
          <w:rFonts w:ascii="SimSun" w:hAnsi="SimSun" w:eastAsia="SimSun" w:cs="SimSun"/>
          <w:sz w:val="19"/>
          <w:szCs w:val="19"/>
        </w:rPr>
        <w:t xml:space="preserve"> </w:t>
      </w:r>
      <w:r>
        <w:rPr>
          <w:rFonts w:ascii="SimSun" w:hAnsi="SimSun" w:eastAsia="SimSun" w:cs="SimSun"/>
          <w:sz w:val="19"/>
          <w:szCs w:val="19"/>
          <w:spacing w:val="9"/>
        </w:rPr>
        <w:t>影响；应当遵循公开、透明原则，公开个人信息处理规则，明示处理</w:t>
      </w:r>
      <w:r>
        <w:rPr>
          <w:rFonts w:ascii="SimSun" w:hAnsi="SimSun" w:eastAsia="SimSun" w:cs="SimSun"/>
          <w:sz w:val="19"/>
          <w:szCs w:val="19"/>
          <w:spacing w:val="15"/>
        </w:rPr>
        <w:t xml:space="preserve"> </w:t>
      </w:r>
      <w:r>
        <w:rPr>
          <w:rFonts w:ascii="SimSun" w:hAnsi="SimSun" w:eastAsia="SimSun" w:cs="SimSun"/>
          <w:sz w:val="19"/>
          <w:szCs w:val="19"/>
          <w:spacing w:val="9"/>
        </w:rPr>
        <w:t>的目的、方式和范围；利用个人信息进行的自动化决策应保证决策透</w:t>
      </w:r>
      <w:r>
        <w:rPr>
          <w:rFonts w:ascii="SimSun" w:hAnsi="SimSun" w:eastAsia="SimSun" w:cs="SimSun"/>
          <w:sz w:val="19"/>
          <w:szCs w:val="19"/>
          <w:spacing w:val="16"/>
        </w:rPr>
        <w:t xml:space="preserve"> </w:t>
      </w:r>
      <w:r>
        <w:rPr>
          <w:rFonts w:ascii="SimSun" w:hAnsi="SimSun" w:eastAsia="SimSun" w:cs="SimSun"/>
          <w:sz w:val="19"/>
          <w:szCs w:val="19"/>
          <w:spacing w:val="9"/>
        </w:rPr>
        <w:t>明和结果公平公正，不得对个人在交易价格等交易条件上实行不合理</w:t>
      </w:r>
      <w:r>
        <w:rPr>
          <w:rFonts w:ascii="SimSun" w:hAnsi="SimSun" w:eastAsia="SimSun" w:cs="SimSun"/>
          <w:sz w:val="19"/>
          <w:szCs w:val="19"/>
          <w:spacing w:val="15"/>
        </w:rPr>
        <w:t xml:space="preserve"> </w:t>
      </w:r>
      <w:r>
        <w:rPr>
          <w:rFonts w:ascii="SimSun" w:hAnsi="SimSun" w:eastAsia="SimSun" w:cs="SimSun"/>
          <w:sz w:val="19"/>
          <w:szCs w:val="19"/>
          <w:spacing w:val="16"/>
        </w:rPr>
        <w:t>的差别待遇；相关信息推送和商业营销应向个人提供便捷的拒绝方</w:t>
      </w:r>
      <w:r>
        <w:rPr>
          <w:rFonts w:ascii="SimSun" w:hAnsi="SimSun" w:eastAsia="SimSun" w:cs="SimSun"/>
          <w:sz w:val="19"/>
          <w:szCs w:val="19"/>
          <w:spacing w:val="12"/>
        </w:rPr>
        <w:t xml:space="preserve"> </w:t>
      </w:r>
      <w:r>
        <w:rPr>
          <w:rFonts w:ascii="SimSun" w:hAnsi="SimSun" w:eastAsia="SimSun" w:cs="SimSun"/>
          <w:sz w:val="19"/>
          <w:szCs w:val="19"/>
          <w:spacing w:val="9"/>
        </w:rPr>
        <w:t>式；等等。另外，对敏感个人信息处理要求单独同意，要求在数据处</w:t>
      </w:r>
      <w:r>
        <w:rPr>
          <w:rFonts w:ascii="SimSun" w:hAnsi="SimSun" w:eastAsia="SimSun" w:cs="SimSun"/>
          <w:sz w:val="19"/>
          <w:szCs w:val="19"/>
          <w:spacing w:val="17"/>
        </w:rPr>
        <w:t xml:space="preserve"> </w:t>
      </w:r>
      <w:r>
        <w:rPr>
          <w:rFonts w:ascii="SimSun" w:hAnsi="SimSun" w:eastAsia="SimSun" w:cs="SimSun"/>
          <w:sz w:val="19"/>
          <w:szCs w:val="19"/>
          <w:spacing w:val="16"/>
        </w:rPr>
        <w:t>理活动之前披露数据处理者的具体名称或姓名和联系方式，这属于</w:t>
      </w:r>
    </w:p>
    <w:p>
      <w:pPr>
        <w:spacing w:line="220" w:lineRule="auto"/>
        <w:rPr>
          <w:rFonts w:ascii="SimSun" w:hAnsi="SimSun" w:eastAsia="SimSun" w:cs="SimSun"/>
          <w:sz w:val="19"/>
          <w:szCs w:val="19"/>
        </w:rPr>
      </w:pPr>
      <w:r>
        <w:rPr>
          <w:rFonts w:ascii="SimSun" w:hAnsi="SimSun" w:eastAsia="SimSun" w:cs="SimSun"/>
          <w:sz w:val="19"/>
          <w:szCs w:val="19"/>
          <w:spacing w:val="-8"/>
        </w:rPr>
        <w:t>“择入式同意”。</w:t>
      </w:r>
    </w:p>
    <w:p>
      <w:pPr>
        <w:ind w:right="30" w:firstLine="515"/>
        <w:spacing w:before="130" w:line="350" w:lineRule="auto"/>
        <w:jc w:val="both"/>
        <w:rPr>
          <w:rFonts w:ascii="SimSun" w:hAnsi="SimSun" w:eastAsia="SimSun" w:cs="SimSun"/>
          <w:sz w:val="19"/>
          <w:szCs w:val="19"/>
        </w:rPr>
      </w:pPr>
      <w:r>
        <w:rPr>
          <w:rFonts w:ascii="SimSun" w:hAnsi="SimSun" w:eastAsia="SimSun" w:cs="SimSun"/>
          <w:sz w:val="19"/>
          <w:szCs w:val="19"/>
          <w:spacing w:val="16"/>
        </w:rPr>
        <w:t>美国联邦贸易委员会在2012年发布的《在快速变革的时代保护</w:t>
      </w:r>
      <w:r>
        <w:rPr>
          <w:rFonts w:ascii="SimSun" w:hAnsi="SimSun" w:eastAsia="SimSun" w:cs="SimSun"/>
          <w:sz w:val="19"/>
          <w:szCs w:val="19"/>
        </w:rPr>
        <w:t xml:space="preserve"> </w:t>
      </w:r>
      <w:r>
        <w:rPr>
          <w:rFonts w:ascii="SimSun" w:hAnsi="SimSun" w:eastAsia="SimSun" w:cs="SimSun"/>
          <w:sz w:val="19"/>
          <w:szCs w:val="19"/>
          <w:spacing w:val="6"/>
        </w:rPr>
        <w:t>消费者隐私权的报告》中列举了“择入式同意”、“择出式同意”以及</w:t>
      </w:r>
      <w:r>
        <w:rPr>
          <w:rFonts w:ascii="SimSun" w:hAnsi="SimSun" w:eastAsia="SimSun" w:cs="SimSun"/>
          <w:sz w:val="19"/>
          <w:szCs w:val="19"/>
          <w:spacing w:val="8"/>
        </w:rPr>
        <w:t xml:space="preserve"> </w:t>
      </w:r>
      <w:r>
        <w:rPr>
          <w:rFonts w:ascii="SimSun" w:hAnsi="SimSun" w:eastAsia="SimSun" w:cs="SimSun"/>
          <w:sz w:val="19"/>
          <w:szCs w:val="19"/>
          <w:spacing w:val="13"/>
        </w:rPr>
        <w:t>“无须同意”三种授权模式，三者严格程度递减</w:t>
      </w:r>
      <w:r>
        <w:rPr>
          <w:rFonts w:ascii="SimSun" w:hAnsi="SimSun" w:eastAsia="SimSun" w:cs="SimSun"/>
          <w:sz w:val="19"/>
          <w:szCs w:val="19"/>
          <w:spacing w:val="12"/>
        </w:rPr>
        <w:t>。总体上美国更多采</w:t>
      </w:r>
      <w:r>
        <w:rPr>
          <w:rFonts w:ascii="SimSun" w:hAnsi="SimSun" w:eastAsia="SimSun" w:cs="SimSun"/>
          <w:sz w:val="19"/>
          <w:szCs w:val="19"/>
        </w:rPr>
        <w:t xml:space="preserve"> </w:t>
      </w:r>
      <w:r>
        <w:rPr>
          <w:rFonts w:ascii="SimSun" w:hAnsi="SimSun" w:eastAsia="SimSun" w:cs="SimSun"/>
          <w:sz w:val="19"/>
          <w:szCs w:val="19"/>
          <w:spacing w:val="16"/>
        </w:rPr>
        <w:t>用“择出式同意”和“无须同意”,如《加州消费者隐私法》则使用</w:t>
      </w:r>
      <w:r>
        <w:rPr>
          <w:rFonts w:ascii="SimSun" w:hAnsi="SimSun" w:eastAsia="SimSun" w:cs="SimSun"/>
          <w:sz w:val="19"/>
          <w:szCs w:val="19"/>
          <w:spacing w:val="12"/>
        </w:rPr>
        <w:t xml:space="preserve"> </w:t>
      </w:r>
      <w:r>
        <w:rPr>
          <w:rFonts w:ascii="SimSun" w:hAnsi="SimSun" w:eastAsia="SimSun" w:cs="SimSun"/>
          <w:sz w:val="19"/>
          <w:szCs w:val="19"/>
          <w:spacing w:val="13"/>
        </w:rPr>
        <w:t>选择退出模式，除非用户拒绝或退出，否则企业可以继续处理用</w:t>
      </w:r>
      <w:r>
        <w:rPr>
          <w:rFonts w:ascii="SimSun" w:hAnsi="SimSun" w:eastAsia="SimSun" w:cs="SimSun"/>
          <w:sz w:val="19"/>
          <w:szCs w:val="19"/>
          <w:spacing w:val="12"/>
        </w:rPr>
        <w:t>户的</w:t>
      </w:r>
    </w:p>
    <w:p>
      <w:pPr>
        <w:ind w:left="95"/>
        <w:spacing w:line="219" w:lineRule="auto"/>
        <w:rPr>
          <w:rFonts w:ascii="SimSun" w:hAnsi="SimSun" w:eastAsia="SimSun" w:cs="SimSun"/>
          <w:sz w:val="19"/>
          <w:szCs w:val="19"/>
        </w:rPr>
      </w:pPr>
      <w:r>
        <w:rPr>
          <w:rFonts w:ascii="SimSun" w:hAnsi="SimSun" w:eastAsia="SimSun" w:cs="SimSun"/>
          <w:sz w:val="19"/>
          <w:szCs w:val="19"/>
          <w:spacing w:val="4"/>
        </w:rPr>
        <w:t>个人信息。</w:t>
      </w:r>
    </w:p>
    <w:p>
      <w:pPr>
        <w:ind w:left="95" w:right="25" w:firstLine="420"/>
        <w:spacing w:before="133" w:line="350" w:lineRule="auto"/>
        <w:jc w:val="both"/>
        <w:rPr>
          <w:rFonts w:ascii="SimSun" w:hAnsi="SimSun" w:eastAsia="SimSun" w:cs="SimSun"/>
          <w:sz w:val="19"/>
          <w:szCs w:val="19"/>
        </w:rPr>
      </w:pPr>
      <w:r>
        <w:rPr>
          <w:rFonts w:ascii="SimSun" w:hAnsi="SimSun" w:eastAsia="SimSun" w:cs="SimSun"/>
          <w:sz w:val="19"/>
          <w:szCs w:val="19"/>
          <w:spacing w:val="10"/>
        </w:rPr>
        <w:t>就法令的执行看，欧盟和我国立法规定企业设立个人信息保</w:t>
      </w:r>
      <w:r>
        <w:rPr>
          <w:rFonts w:ascii="SimSun" w:hAnsi="SimSun" w:eastAsia="SimSun" w:cs="SimSun"/>
          <w:sz w:val="19"/>
          <w:szCs w:val="19"/>
          <w:spacing w:val="9"/>
        </w:rPr>
        <w:t>护负</w:t>
      </w:r>
      <w:r>
        <w:rPr>
          <w:rFonts w:ascii="SimSun" w:hAnsi="SimSun" w:eastAsia="SimSun" w:cs="SimSun"/>
          <w:sz w:val="19"/>
          <w:szCs w:val="19"/>
        </w:rPr>
        <w:t xml:space="preserve"> </w:t>
      </w:r>
      <w:r>
        <w:rPr>
          <w:rFonts w:ascii="SimSun" w:hAnsi="SimSun" w:eastAsia="SimSun" w:cs="SimSun"/>
          <w:sz w:val="19"/>
          <w:szCs w:val="19"/>
          <w:spacing w:val="10"/>
        </w:rPr>
        <w:t>责人、个人信息保护影响评估制度等行为规范</w:t>
      </w:r>
      <w:r>
        <w:rPr>
          <w:rFonts w:ascii="SimSun" w:hAnsi="SimSun" w:eastAsia="SimSun" w:cs="SimSun"/>
          <w:sz w:val="19"/>
          <w:szCs w:val="19"/>
          <w:spacing w:val="9"/>
        </w:rPr>
        <w:t>，而《加州消费者隐私</w:t>
      </w:r>
    </w:p>
    <w:p>
      <w:pPr>
        <w:ind w:left="95"/>
        <w:spacing w:line="219" w:lineRule="auto"/>
        <w:rPr>
          <w:rFonts w:ascii="SimSun" w:hAnsi="SimSun" w:eastAsia="SimSun" w:cs="SimSun"/>
          <w:sz w:val="19"/>
          <w:szCs w:val="19"/>
        </w:rPr>
      </w:pPr>
      <w:r>
        <w:rPr>
          <w:rFonts w:ascii="SimSun" w:hAnsi="SimSun" w:eastAsia="SimSun" w:cs="SimSun"/>
          <w:sz w:val="19"/>
          <w:szCs w:val="19"/>
          <w:spacing w:val="6"/>
        </w:rPr>
        <w:t>法》中没有类似规范。</w:t>
      </w:r>
    </w:p>
    <w:p>
      <w:pPr>
        <w:ind w:left="95" w:firstLine="420"/>
        <w:spacing w:before="133" w:line="350" w:lineRule="auto"/>
        <w:jc w:val="both"/>
        <w:rPr>
          <w:rFonts w:ascii="SimSun" w:hAnsi="SimSun" w:eastAsia="SimSun" w:cs="SimSun"/>
          <w:sz w:val="19"/>
          <w:szCs w:val="19"/>
        </w:rPr>
      </w:pPr>
      <w:r>
        <w:rPr>
          <w:rFonts w:ascii="SimSun" w:hAnsi="SimSun" w:eastAsia="SimSun" w:cs="SimSun"/>
          <w:sz w:val="19"/>
          <w:szCs w:val="19"/>
          <w:spacing w:val="9"/>
        </w:rPr>
        <w:t>就数据主权看，美国的《澄清境外数据的合法使用法案》使用长</w:t>
      </w:r>
      <w:r>
        <w:rPr>
          <w:rFonts w:ascii="SimSun" w:hAnsi="SimSun" w:eastAsia="SimSun" w:cs="SimSun"/>
          <w:sz w:val="19"/>
          <w:szCs w:val="19"/>
          <w:spacing w:val="15"/>
        </w:rPr>
        <w:t xml:space="preserve"> </w:t>
      </w:r>
      <w:r>
        <w:rPr>
          <w:rFonts w:ascii="SimSun" w:hAnsi="SimSun" w:eastAsia="SimSun" w:cs="SimSun"/>
          <w:sz w:val="19"/>
          <w:szCs w:val="19"/>
          <w:spacing w:val="10"/>
        </w:rPr>
        <w:t>臂管辖方式，让美国执法机构有权获取主要云提供商存储的数据</w:t>
      </w:r>
      <w:r>
        <w:rPr>
          <w:rFonts w:ascii="SimSun" w:hAnsi="SimSun" w:eastAsia="SimSun" w:cs="SimSun"/>
          <w:sz w:val="19"/>
          <w:szCs w:val="19"/>
          <w:spacing w:val="9"/>
        </w:rPr>
        <w:t>，即</w:t>
      </w:r>
      <w:r>
        <w:rPr>
          <w:rFonts w:ascii="SimSun" w:hAnsi="SimSun" w:eastAsia="SimSun" w:cs="SimSun"/>
          <w:sz w:val="19"/>
          <w:szCs w:val="19"/>
        </w:rPr>
        <w:t xml:space="preserve"> </w:t>
      </w:r>
      <w:r>
        <w:rPr>
          <w:rFonts w:ascii="SimSun" w:hAnsi="SimSun" w:eastAsia="SimSun" w:cs="SimSun"/>
          <w:sz w:val="19"/>
          <w:szCs w:val="19"/>
          <w:spacing w:val="9"/>
        </w:rPr>
        <w:t>使数据不在美国境内。这与欧盟和中国关于跨境提供个人信息的立法</w:t>
      </w:r>
      <w:r>
        <w:rPr>
          <w:rFonts w:ascii="SimSun" w:hAnsi="SimSun" w:eastAsia="SimSun" w:cs="SimSun"/>
          <w:sz w:val="19"/>
          <w:szCs w:val="19"/>
          <w:spacing w:val="15"/>
        </w:rPr>
        <w:t xml:space="preserve"> </w:t>
      </w:r>
      <w:r>
        <w:rPr>
          <w:rFonts w:ascii="SimSun" w:hAnsi="SimSun" w:eastAsia="SimSun" w:cs="SimSun"/>
          <w:sz w:val="19"/>
          <w:szCs w:val="19"/>
          <w:spacing w:val="10"/>
        </w:rPr>
        <w:t>是冲突的。欧盟的《通用数据保护条例》从保</w:t>
      </w:r>
      <w:r>
        <w:rPr>
          <w:rFonts w:ascii="SimSun" w:hAnsi="SimSun" w:eastAsia="SimSun" w:cs="SimSun"/>
          <w:sz w:val="19"/>
          <w:szCs w:val="19"/>
          <w:spacing w:val="9"/>
        </w:rPr>
        <w:t>障个人基本权利的角度</w:t>
      </w:r>
      <w:r>
        <w:rPr>
          <w:rFonts w:ascii="SimSun" w:hAnsi="SimSun" w:eastAsia="SimSun" w:cs="SimSun"/>
          <w:sz w:val="19"/>
          <w:szCs w:val="19"/>
        </w:rPr>
        <w:t xml:space="preserve"> </w:t>
      </w:r>
      <w:r>
        <w:rPr>
          <w:rFonts w:ascii="SimSun" w:hAnsi="SimSun" w:eastAsia="SimSun" w:cs="SimSun"/>
          <w:sz w:val="19"/>
          <w:szCs w:val="19"/>
          <w:spacing w:val="11"/>
        </w:rPr>
        <w:t>出发，我国的《个人信息保护法》主要从网络安全和数据主权出发，</w:t>
      </w:r>
      <w:r>
        <w:rPr>
          <w:rFonts w:ascii="SimSun" w:hAnsi="SimSun" w:eastAsia="SimSun" w:cs="SimSun"/>
          <w:sz w:val="19"/>
          <w:szCs w:val="19"/>
          <w:spacing w:val="14"/>
        </w:rPr>
        <w:t xml:space="preserve"> </w:t>
      </w:r>
      <w:r>
        <w:rPr>
          <w:rFonts w:ascii="SimSun" w:hAnsi="SimSun" w:eastAsia="SimSun" w:cs="SimSun"/>
          <w:sz w:val="19"/>
          <w:szCs w:val="19"/>
          <w:spacing w:val="9"/>
        </w:rPr>
        <w:t>规定了允许个人数据跨境提供的特定场景。《个人信息保护法》还要</w:t>
      </w:r>
    </w:p>
    <w:p>
      <w:pPr>
        <w:ind w:left="95"/>
        <w:spacing w:line="218" w:lineRule="auto"/>
        <w:rPr>
          <w:rFonts w:ascii="SimSun" w:hAnsi="SimSun" w:eastAsia="SimSun" w:cs="SimSun"/>
          <w:sz w:val="19"/>
          <w:szCs w:val="19"/>
        </w:rPr>
      </w:pPr>
      <w:r>
        <w:rPr>
          <w:rFonts w:ascii="SimSun" w:hAnsi="SimSun" w:eastAsia="SimSun" w:cs="SimSun"/>
          <w:sz w:val="19"/>
          <w:szCs w:val="19"/>
          <w:spacing w:val="6"/>
        </w:rPr>
        <w:t>求在特定情况下实行数据本地化。</w:t>
      </w:r>
    </w:p>
    <w:p>
      <w:pPr>
        <w:ind w:left="95" w:right="34" w:firstLine="420"/>
        <w:spacing w:before="137" w:line="359" w:lineRule="auto"/>
        <w:jc w:val="both"/>
        <w:rPr>
          <w:rFonts w:ascii="SimSun" w:hAnsi="SimSun" w:eastAsia="SimSun" w:cs="SimSun"/>
          <w:sz w:val="19"/>
          <w:szCs w:val="19"/>
        </w:rPr>
      </w:pPr>
      <w:r>
        <w:rPr>
          <w:rFonts w:ascii="SimSun" w:hAnsi="SimSun" w:eastAsia="SimSun" w:cs="SimSun"/>
          <w:sz w:val="19"/>
          <w:szCs w:val="19"/>
          <w:spacing w:val="9"/>
        </w:rPr>
        <w:t>总体来看，美国在全球数字技术相关产品的开发和应用方面处于</w:t>
      </w:r>
      <w:r>
        <w:rPr>
          <w:rFonts w:ascii="SimSun" w:hAnsi="SimSun" w:eastAsia="SimSun" w:cs="SimSun"/>
          <w:sz w:val="19"/>
          <w:szCs w:val="19"/>
          <w:spacing w:val="17"/>
        </w:rPr>
        <w:t xml:space="preserve"> </w:t>
      </w:r>
      <w:r>
        <w:rPr>
          <w:rFonts w:ascii="SimSun" w:hAnsi="SimSun" w:eastAsia="SimSun" w:cs="SimSun"/>
          <w:sz w:val="19"/>
          <w:szCs w:val="19"/>
          <w:spacing w:val="10"/>
        </w:rPr>
        <w:t>前沿，对数字经济发展的要素——数据的采集，总体</w:t>
      </w:r>
      <w:r>
        <w:rPr>
          <w:rFonts w:ascii="SimSun" w:hAnsi="SimSun" w:eastAsia="SimSun" w:cs="SimSun"/>
          <w:sz w:val="19"/>
          <w:szCs w:val="19"/>
          <w:spacing w:val="9"/>
        </w:rPr>
        <w:t>采取更为宽松的</w:t>
      </w:r>
    </w:p>
    <w:p>
      <w:pPr>
        <w:ind w:left="95"/>
        <w:spacing w:line="219" w:lineRule="auto"/>
        <w:rPr>
          <w:rFonts w:ascii="SimSun" w:hAnsi="SimSun" w:eastAsia="SimSun" w:cs="SimSun"/>
          <w:sz w:val="19"/>
          <w:szCs w:val="19"/>
        </w:rPr>
      </w:pPr>
      <w:r>
        <w:rPr>
          <w:rFonts w:ascii="SimSun" w:hAnsi="SimSun" w:eastAsia="SimSun" w:cs="SimSun"/>
          <w:sz w:val="19"/>
          <w:szCs w:val="19"/>
          <w:spacing w:val="9"/>
        </w:rPr>
        <w:t>态度；欧盟由于自身数字技术和相关产业发展不在世界前列，则更关</w:t>
      </w:r>
    </w:p>
    <w:p>
      <w:pPr>
        <w:spacing w:line="219" w:lineRule="auto"/>
        <w:sectPr>
          <w:headerReference w:type="default" r:id="rId401"/>
          <w:pgSz w:w="7330" w:h="12480"/>
          <w:pgMar w:top="847" w:right="1004" w:bottom="400" w:left="185" w:header="705" w:footer="0" w:gutter="0"/>
        </w:sectPr>
        <w:rPr>
          <w:rFonts w:ascii="SimSun" w:hAnsi="SimSun" w:eastAsia="SimSun" w:cs="SimSun"/>
          <w:sz w:val="19"/>
          <w:szCs w:val="19"/>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108"/>
        <w:spacing w:before="69" w:line="292" w:lineRule="auto"/>
        <w:jc w:val="both"/>
        <w:rPr>
          <w:rFonts w:ascii="SimSun" w:hAnsi="SimSun" w:eastAsia="SimSun" w:cs="SimSun"/>
          <w:sz w:val="21"/>
          <w:szCs w:val="21"/>
        </w:rPr>
      </w:pPr>
      <w:r>
        <w:rPr>
          <w:rFonts w:ascii="SimSun" w:hAnsi="SimSun" w:eastAsia="SimSun" w:cs="SimSun"/>
          <w:sz w:val="21"/>
          <w:szCs w:val="21"/>
          <w:spacing w:val="-11"/>
        </w:rPr>
        <w:t>注本地区信息保护和数据安全，让本地区更大可能从数据相关产业的</w:t>
      </w:r>
      <w:r>
        <w:rPr>
          <w:rFonts w:ascii="SimSun" w:hAnsi="SimSun" w:eastAsia="SimSun" w:cs="SimSun"/>
          <w:sz w:val="21"/>
          <w:szCs w:val="21"/>
          <w:spacing w:val="14"/>
        </w:rPr>
        <w:t xml:space="preserve"> </w:t>
      </w:r>
      <w:r>
        <w:rPr>
          <w:rFonts w:ascii="SimSun" w:hAnsi="SimSun" w:eastAsia="SimSun" w:cs="SimSun"/>
          <w:sz w:val="21"/>
          <w:szCs w:val="21"/>
          <w:spacing w:val="-11"/>
        </w:rPr>
        <w:t>发展中获益而不是受损。我国《个人信息保护法》的严格程度和欧盟</w:t>
      </w:r>
      <w:r>
        <w:rPr>
          <w:rFonts w:ascii="SimSun" w:hAnsi="SimSun" w:eastAsia="SimSun" w:cs="SimSun"/>
          <w:sz w:val="21"/>
          <w:szCs w:val="21"/>
          <w:spacing w:val="7"/>
        </w:rPr>
        <w:t xml:space="preserve"> </w:t>
      </w:r>
      <w:r>
        <w:rPr>
          <w:rFonts w:ascii="SimSun" w:hAnsi="SimSun" w:eastAsia="SimSun" w:cs="SimSun"/>
          <w:sz w:val="21"/>
          <w:szCs w:val="21"/>
          <w:spacing w:val="-11"/>
        </w:rPr>
        <w:t>的《通用数据保护条例》相当，在实际执行中还需要平衡企业发展与</w:t>
      </w:r>
      <w:r>
        <w:rPr>
          <w:rFonts w:ascii="SimSun" w:hAnsi="SimSun" w:eastAsia="SimSun" w:cs="SimSun"/>
          <w:sz w:val="21"/>
          <w:szCs w:val="21"/>
          <w:spacing w:val="15"/>
        </w:rPr>
        <w:t xml:space="preserve"> </w:t>
      </w:r>
      <w:r>
        <w:rPr>
          <w:rFonts w:ascii="SimSun" w:hAnsi="SimSun" w:eastAsia="SimSun" w:cs="SimSun"/>
          <w:sz w:val="21"/>
          <w:szCs w:val="21"/>
          <w:spacing w:val="-12"/>
        </w:rPr>
        <w:t>消费者个人信息保护。</w:t>
      </w:r>
    </w:p>
    <w:p>
      <w:pPr>
        <w:pStyle w:val="BodyText"/>
        <w:spacing w:line="39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个人信息保护和数据安全相关建议</w:t>
      </w:r>
    </w:p>
    <w:p>
      <w:pPr>
        <w:pStyle w:val="BodyText"/>
        <w:spacing w:line="342" w:lineRule="auto"/>
        <w:rPr/>
      </w:pPr>
      <w:r/>
    </w:p>
    <w:p>
      <w:pPr>
        <w:ind w:right="74" w:firstLine="440"/>
        <w:spacing w:before="68" w:line="297" w:lineRule="auto"/>
        <w:rPr>
          <w:rFonts w:ascii="SimSun" w:hAnsi="SimSun" w:eastAsia="SimSun" w:cs="SimSun"/>
          <w:sz w:val="21"/>
          <w:szCs w:val="21"/>
        </w:rPr>
      </w:pPr>
      <w:r>
        <w:rPr>
          <w:rFonts w:ascii="SimSun" w:hAnsi="SimSun" w:eastAsia="SimSun" w:cs="SimSun"/>
          <w:sz w:val="21"/>
          <w:szCs w:val="21"/>
          <w:spacing w:val="-11"/>
        </w:rPr>
        <w:t>首先，在处理个人信息保护和数据安全相关问题时，监管部门仍</w:t>
      </w:r>
      <w:r>
        <w:rPr>
          <w:rFonts w:ascii="SimSun" w:hAnsi="SimSun" w:eastAsia="SimSun" w:cs="SimSun"/>
          <w:sz w:val="21"/>
          <w:szCs w:val="21"/>
          <w:spacing w:val="7"/>
        </w:rPr>
        <w:t xml:space="preserve"> </w:t>
      </w:r>
      <w:r>
        <w:rPr>
          <w:rFonts w:ascii="SimSun" w:hAnsi="SimSun" w:eastAsia="SimSun" w:cs="SimSun"/>
          <w:sz w:val="21"/>
          <w:szCs w:val="21"/>
          <w:spacing w:val="-11"/>
        </w:rPr>
        <w:t>然要关注恰当执行相关法令后的正面效果，不能因噎废食。《个人信</w:t>
      </w:r>
      <w:r>
        <w:rPr>
          <w:rFonts w:ascii="SimSun" w:hAnsi="SimSun" w:eastAsia="SimSun" w:cs="SimSun"/>
          <w:sz w:val="21"/>
          <w:szCs w:val="21"/>
          <w:spacing w:val="12"/>
        </w:rPr>
        <w:t xml:space="preserve"> </w:t>
      </w:r>
      <w:r>
        <w:rPr>
          <w:rFonts w:ascii="SimSun" w:hAnsi="SimSun" w:eastAsia="SimSun" w:cs="SimSun"/>
          <w:sz w:val="21"/>
          <w:szCs w:val="21"/>
          <w:spacing w:val="-11"/>
        </w:rPr>
        <w:t>息保护法》和《数据安全法》的恰当实施，会对现有产业带来深刻变</w:t>
      </w:r>
      <w:r>
        <w:rPr>
          <w:rFonts w:ascii="SimSun" w:hAnsi="SimSun" w:eastAsia="SimSun" w:cs="SimSun"/>
          <w:sz w:val="21"/>
          <w:szCs w:val="21"/>
          <w:spacing w:val="7"/>
        </w:rPr>
        <w:t xml:space="preserve"> </w:t>
      </w:r>
      <w:r>
        <w:rPr>
          <w:rFonts w:ascii="SimSun" w:hAnsi="SimSun" w:eastAsia="SimSun" w:cs="SimSun"/>
          <w:sz w:val="21"/>
          <w:szCs w:val="21"/>
          <w:spacing w:val="-10"/>
        </w:rPr>
        <w:t>革，对数字平台和企业提出了更高的数据分</w:t>
      </w:r>
      <w:r>
        <w:rPr>
          <w:rFonts w:ascii="SimSun" w:hAnsi="SimSun" w:eastAsia="SimSun" w:cs="SimSun"/>
          <w:sz w:val="21"/>
          <w:szCs w:val="21"/>
          <w:spacing w:val="-11"/>
        </w:rPr>
        <w:t>析和处理要求，会为我国</w:t>
      </w:r>
      <w:r>
        <w:rPr>
          <w:rFonts w:ascii="SimSun" w:hAnsi="SimSun" w:eastAsia="SimSun" w:cs="SimSun"/>
          <w:sz w:val="21"/>
          <w:szCs w:val="21"/>
        </w:rPr>
        <w:t xml:space="preserve"> </w:t>
      </w:r>
      <w:r>
        <w:rPr>
          <w:rFonts w:ascii="SimSun" w:hAnsi="SimSun" w:eastAsia="SimSun" w:cs="SimSun"/>
          <w:sz w:val="21"/>
          <w:szCs w:val="21"/>
          <w:spacing w:val="-11"/>
        </w:rPr>
        <w:t>数字经济的发展带来更大发展空间。</w:t>
      </w:r>
    </w:p>
    <w:p>
      <w:pPr>
        <w:ind w:firstLine="440"/>
        <w:spacing w:before="115" w:line="308" w:lineRule="auto"/>
        <w:rPr>
          <w:rFonts w:ascii="SimSun" w:hAnsi="SimSun" w:eastAsia="SimSun" w:cs="SimSun"/>
          <w:sz w:val="21"/>
          <w:szCs w:val="21"/>
        </w:rPr>
      </w:pPr>
      <w:r>
        <w:rPr>
          <w:rFonts w:ascii="SimSun" w:hAnsi="SimSun" w:eastAsia="SimSun" w:cs="SimSun"/>
          <w:sz w:val="21"/>
          <w:szCs w:val="21"/>
          <w:spacing w:val="-8"/>
        </w:rPr>
        <w:t>第一，在数据收集方面，这将引导数字平台和企业从“广</w:t>
      </w:r>
      <w:r>
        <w:rPr>
          <w:rFonts w:ascii="SimSun" w:hAnsi="SimSun" w:eastAsia="SimSun" w:cs="SimSun"/>
          <w:sz w:val="21"/>
          <w:szCs w:val="21"/>
          <w:spacing w:val="-9"/>
        </w:rPr>
        <w:t>撒网”</w:t>
      </w:r>
      <w:r>
        <w:rPr>
          <w:rFonts w:ascii="SimSun" w:hAnsi="SimSun" w:eastAsia="SimSun" w:cs="SimSun"/>
          <w:sz w:val="21"/>
          <w:szCs w:val="21"/>
        </w:rPr>
        <w:t xml:space="preserve"> </w:t>
      </w:r>
      <w:r>
        <w:rPr>
          <w:rFonts w:ascii="SimSun" w:hAnsi="SimSun" w:eastAsia="SimSun" w:cs="SimSun"/>
          <w:sz w:val="21"/>
          <w:szCs w:val="21"/>
          <w:spacing w:val="-11"/>
        </w:rPr>
        <w:t>的野蛮生长模式向提高数据质量，避免“垃圾进、垃圾出”的方向转</w:t>
      </w:r>
      <w:r>
        <w:rPr>
          <w:rFonts w:ascii="SimSun" w:hAnsi="SimSun" w:eastAsia="SimSun" w:cs="SimSun"/>
          <w:sz w:val="21"/>
          <w:szCs w:val="21"/>
          <w:spacing w:val="3"/>
        </w:rPr>
        <w:t xml:space="preserve">  </w:t>
      </w:r>
      <w:r>
        <w:rPr>
          <w:rFonts w:ascii="SimSun" w:hAnsi="SimSun" w:eastAsia="SimSun" w:cs="SimSun"/>
          <w:sz w:val="21"/>
          <w:szCs w:val="21"/>
          <w:spacing w:val="-11"/>
        </w:rPr>
        <w:t>变。第二，要求数字平台和企业对业务问题有更深入的理解，只有这</w:t>
      </w:r>
      <w:r>
        <w:rPr>
          <w:rFonts w:ascii="SimSun" w:hAnsi="SimSun" w:eastAsia="SimSun" w:cs="SimSun"/>
          <w:sz w:val="21"/>
          <w:szCs w:val="21"/>
          <w:spacing w:val="3"/>
        </w:rPr>
        <w:t xml:space="preserve">  </w:t>
      </w:r>
      <w:r>
        <w:rPr>
          <w:rFonts w:ascii="SimSun" w:hAnsi="SimSun" w:eastAsia="SimSun" w:cs="SimSun"/>
          <w:sz w:val="21"/>
          <w:szCs w:val="21"/>
          <w:spacing w:val="-9"/>
        </w:rPr>
        <w:t>样才能说清楚收集哪类个人信息对开展实际</w:t>
      </w:r>
      <w:r>
        <w:rPr>
          <w:rFonts w:ascii="SimSun" w:hAnsi="SimSun" w:eastAsia="SimSun" w:cs="SimSun"/>
          <w:sz w:val="21"/>
          <w:szCs w:val="21"/>
          <w:spacing w:val="-10"/>
        </w:rPr>
        <w:t>业务是必要的。第三，这 </w:t>
      </w:r>
      <w:r>
        <w:rPr>
          <w:rFonts w:ascii="SimSun" w:hAnsi="SimSun" w:eastAsia="SimSun" w:cs="SimSun"/>
          <w:sz w:val="21"/>
          <w:szCs w:val="21"/>
          <w:spacing w:val="-7"/>
        </w:rPr>
        <w:t>将引导数字企业和平台苦练服务客户的“内功”,以真实创新的技术</w:t>
      </w:r>
      <w:r>
        <w:rPr>
          <w:rFonts w:ascii="SimSun" w:hAnsi="SimSun" w:eastAsia="SimSun" w:cs="SimSun"/>
          <w:sz w:val="21"/>
          <w:szCs w:val="21"/>
          <w:spacing w:val="6"/>
        </w:rPr>
        <w:t xml:space="preserve">  </w:t>
      </w:r>
      <w:r>
        <w:rPr>
          <w:rFonts w:ascii="SimSun" w:hAnsi="SimSun" w:eastAsia="SimSun" w:cs="SimSun"/>
          <w:sz w:val="21"/>
          <w:szCs w:val="21"/>
          <w:spacing w:val="-11"/>
        </w:rPr>
        <w:t>能力征服市场。例如，需更充分考虑个性化需求并为个人是否接受个</w:t>
      </w:r>
      <w:r>
        <w:rPr>
          <w:rFonts w:ascii="SimSun" w:hAnsi="SimSun" w:eastAsia="SimSun" w:cs="SimSun"/>
          <w:sz w:val="21"/>
          <w:szCs w:val="21"/>
          <w:spacing w:val="3"/>
        </w:rPr>
        <w:t xml:space="preserve">  </w:t>
      </w:r>
      <w:r>
        <w:rPr>
          <w:rFonts w:ascii="SimSun" w:hAnsi="SimSun" w:eastAsia="SimSun" w:cs="SimSun"/>
          <w:sz w:val="21"/>
          <w:szCs w:val="21"/>
          <w:spacing w:val="-11"/>
        </w:rPr>
        <w:t>性化服务提供选择权；又如，采用模型提供个性化服务时不仅需要评</w:t>
      </w:r>
      <w:r>
        <w:rPr>
          <w:rFonts w:ascii="SimSun" w:hAnsi="SimSun" w:eastAsia="SimSun" w:cs="SimSun"/>
          <w:sz w:val="21"/>
          <w:szCs w:val="21"/>
          <w:spacing w:val="3"/>
        </w:rPr>
        <w:t xml:space="preserve">  </w:t>
      </w:r>
      <w:r>
        <w:rPr>
          <w:rFonts w:ascii="SimSun" w:hAnsi="SimSun" w:eastAsia="SimSun" w:cs="SimSun"/>
          <w:sz w:val="21"/>
          <w:szCs w:val="21"/>
          <w:spacing w:val="-11"/>
        </w:rPr>
        <w:t>估模型预测的准确度，还需评估模型结果在各种应用场景中对不同个</w:t>
      </w:r>
      <w:r>
        <w:rPr>
          <w:rFonts w:ascii="SimSun" w:hAnsi="SimSun" w:eastAsia="SimSun" w:cs="SimSun"/>
          <w:sz w:val="21"/>
          <w:szCs w:val="21"/>
          <w:spacing w:val="3"/>
        </w:rPr>
        <w:t xml:space="preserve">  </w:t>
      </w:r>
      <w:r>
        <w:rPr>
          <w:rFonts w:ascii="SimSun" w:hAnsi="SimSun" w:eastAsia="SimSun" w:cs="SimSun"/>
          <w:sz w:val="21"/>
          <w:szCs w:val="21"/>
          <w:spacing w:val="-11"/>
        </w:rPr>
        <w:t>人的公平公正性。第四，这将推动数字平台和</w:t>
      </w:r>
      <w:r>
        <w:rPr>
          <w:rFonts w:ascii="SimSun" w:hAnsi="SimSun" w:eastAsia="SimSun" w:cs="SimSun"/>
          <w:sz w:val="21"/>
          <w:szCs w:val="21"/>
          <w:u w:val="single" w:color="auto"/>
          <w:spacing w:val="-11"/>
        </w:rPr>
        <w:t>企业</w:t>
      </w:r>
      <w:r>
        <w:rPr>
          <w:rFonts w:ascii="SimSun" w:hAnsi="SimSun" w:eastAsia="SimSun" w:cs="SimSun"/>
          <w:sz w:val="21"/>
          <w:szCs w:val="21"/>
          <w:spacing w:val="-11"/>
        </w:rPr>
        <w:t>提升内外数据治理</w:t>
      </w:r>
      <w:r>
        <w:rPr>
          <w:rFonts w:ascii="SimSun" w:hAnsi="SimSun" w:eastAsia="SimSun" w:cs="SimSun"/>
          <w:sz w:val="21"/>
          <w:szCs w:val="21"/>
          <w:spacing w:val="2"/>
        </w:rPr>
        <w:t xml:space="preserve">  </w:t>
      </w:r>
      <w:r>
        <w:rPr>
          <w:rFonts w:ascii="SimSun" w:hAnsi="SimSun" w:eastAsia="SimSun" w:cs="SimSun"/>
          <w:sz w:val="21"/>
          <w:szCs w:val="21"/>
          <w:spacing w:val="-11"/>
        </w:rPr>
        <w:t>能力，在内部健全个人信息保护和数据安全的各种管理制度以及追溯</w:t>
      </w:r>
      <w:r>
        <w:rPr>
          <w:rFonts w:ascii="SimSun" w:hAnsi="SimSun" w:eastAsia="SimSun" w:cs="SimSun"/>
          <w:sz w:val="21"/>
          <w:szCs w:val="21"/>
          <w:spacing w:val="6"/>
        </w:rPr>
        <w:t xml:space="preserve">  </w:t>
      </w:r>
      <w:r>
        <w:rPr>
          <w:rFonts w:ascii="SimSun" w:hAnsi="SimSun" w:eastAsia="SimSun" w:cs="SimSun"/>
          <w:sz w:val="21"/>
          <w:szCs w:val="21"/>
          <w:spacing w:val="-11"/>
        </w:rPr>
        <w:t>机制，在外部联合共同处理个人信息的其他方协商如何保证个人信息</w:t>
      </w:r>
      <w:r>
        <w:rPr>
          <w:rFonts w:ascii="SimSun" w:hAnsi="SimSun" w:eastAsia="SimSun" w:cs="SimSun"/>
          <w:sz w:val="21"/>
          <w:szCs w:val="21"/>
          <w:spacing w:val="6"/>
        </w:rPr>
        <w:t xml:space="preserve">  </w:t>
      </w:r>
      <w:r>
        <w:rPr>
          <w:rFonts w:ascii="SimSun" w:hAnsi="SimSun" w:eastAsia="SimSun" w:cs="SimSun"/>
          <w:sz w:val="21"/>
          <w:szCs w:val="21"/>
          <w:spacing w:val="-8"/>
        </w:rPr>
        <w:t>保护和数据安全。第五，为中国数字平台和企业“走出去”做准备，</w:t>
      </w:r>
      <w:r>
        <w:rPr>
          <w:rFonts w:ascii="SimSun" w:hAnsi="SimSun" w:eastAsia="SimSun" w:cs="SimSun"/>
          <w:sz w:val="21"/>
          <w:szCs w:val="21"/>
          <w:spacing w:val="14"/>
        </w:rPr>
        <w:t xml:space="preserve"> </w:t>
      </w:r>
      <w:r>
        <w:rPr>
          <w:rFonts w:ascii="SimSun" w:hAnsi="SimSun" w:eastAsia="SimSun" w:cs="SimSun"/>
          <w:sz w:val="21"/>
          <w:szCs w:val="21"/>
          <w:spacing w:val="-8"/>
        </w:rPr>
        <w:t>使之能够在保证个人信息保护和数据安全的前提下提</w:t>
      </w:r>
      <w:r>
        <w:rPr>
          <w:rFonts w:ascii="SimSun" w:hAnsi="SimSun" w:eastAsia="SimSun" w:cs="SimSun"/>
          <w:sz w:val="21"/>
          <w:szCs w:val="21"/>
          <w:spacing w:val="-9"/>
        </w:rPr>
        <w:t>供更好的服务，</w:t>
      </w:r>
      <w:r>
        <w:rPr>
          <w:rFonts w:ascii="SimSun" w:hAnsi="SimSun" w:eastAsia="SimSun" w:cs="SimSun"/>
          <w:sz w:val="21"/>
          <w:szCs w:val="21"/>
        </w:rPr>
        <w:t xml:space="preserve"> </w:t>
      </w:r>
      <w:r>
        <w:rPr>
          <w:rFonts w:ascii="SimSun" w:hAnsi="SimSun" w:eastAsia="SimSun" w:cs="SimSun"/>
          <w:sz w:val="21"/>
          <w:szCs w:val="21"/>
          <w:spacing w:val="-11"/>
        </w:rPr>
        <w:t>企业将更具有国际竞争力。</w:t>
      </w:r>
    </w:p>
    <w:p>
      <w:pPr>
        <w:ind w:right="20"/>
        <w:spacing w:before="129" w:line="219" w:lineRule="auto"/>
        <w:jc w:val="right"/>
        <w:rPr>
          <w:rFonts w:ascii="SimSun" w:hAnsi="SimSun" w:eastAsia="SimSun" w:cs="SimSun"/>
          <w:sz w:val="21"/>
          <w:szCs w:val="21"/>
        </w:rPr>
      </w:pPr>
      <w:r>
        <w:rPr>
          <w:rFonts w:ascii="SimSun" w:hAnsi="SimSun" w:eastAsia="SimSun" w:cs="SimSun"/>
          <w:sz w:val="21"/>
          <w:szCs w:val="21"/>
          <w:spacing w:val="-9"/>
        </w:rPr>
        <w:t>其次，在法令执行过程中要防止运动式监管。例如，《个人信息</w:t>
      </w:r>
    </w:p>
    <w:p>
      <w:pPr>
        <w:spacing w:line="219" w:lineRule="auto"/>
        <w:sectPr>
          <w:headerReference w:type="default" r:id="rId402"/>
          <w:pgSz w:w="7330" w:h="12480"/>
          <w:pgMar w:top="549" w:right="455" w:bottom="400" w:left="779" w:header="373"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right="72"/>
        <w:spacing w:before="65" w:line="313" w:lineRule="auto"/>
        <w:jc w:val="both"/>
        <w:rPr>
          <w:rFonts w:ascii="SimSun" w:hAnsi="SimSun" w:eastAsia="SimSun" w:cs="SimSun"/>
          <w:sz w:val="20"/>
          <w:szCs w:val="20"/>
        </w:rPr>
      </w:pPr>
      <w:r>
        <w:rPr>
          <w:rFonts w:ascii="SimSun" w:hAnsi="SimSun" w:eastAsia="SimSun" w:cs="SimSun"/>
          <w:sz w:val="20"/>
          <w:szCs w:val="20"/>
        </w:rPr>
        <w:t>保护法》对个人信息保护提出了全面严格的要</w:t>
      </w:r>
      <w:r>
        <w:rPr>
          <w:rFonts w:ascii="SimSun" w:hAnsi="SimSun" w:eastAsia="SimSun" w:cs="SimSun"/>
          <w:sz w:val="20"/>
          <w:szCs w:val="20"/>
          <w:spacing w:val="-1"/>
        </w:rPr>
        <w:t>求，需要给平台企业和</w:t>
      </w:r>
      <w:r>
        <w:rPr>
          <w:rFonts w:ascii="SimSun" w:hAnsi="SimSun" w:eastAsia="SimSun" w:cs="SimSun"/>
          <w:sz w:val="20"/>
          <w:szCs w:val="20"/>
        </w:rPr>
        <w:t xml:space="preserve"> </w:t>
      </w:r>
      <w:r>
        <w:rPr>
          <w:rFonts w:ascii="SimSun" w:hAnsi="SimSun" w:eastAsia="SimSun" w:cs="SimSun"/>
          <w:sz w:val="20"/>
          <w:szCs w:val="20"/>
        </w:rPr>
        <w:t>其他个人信息处理者一些时间进行调整。在执</w:t>
      </w:r>
      <w:r>
        <w:rPr>
          <w:rFonts w:ascii="SimSun" w:hAnsi="SimSun" w:eastAsia="SimSun" w:cs="SimSun"/>
          <w:sz w:val="20"/>
          <w:szCs w:val="20"/>
          <w:spacing w:val="-1"/>
        </w:rPr>
        <w:t>法或监管过程中，注重</w:t>
      </w:r>
      <w:r>
        <w:rPr>
          <w:rFonts w:ascii="SimSun" w:hAnsi="SimSun" w:eastAsia="SimSun" w:cs="SimSun"/>
          <w:sz w:val="20"/>
          <w:szCs w:val="20"/>
        </w:rPr>
        <w:t xml:space="preserve"> </w:t>
      </w:r>
      <w:r>
        <w:rPr>
          <w:rFonts w:ascii="SimSun" w:hAnsi="SimSun" w:eastAsia="SimSun" w:cs="SimSun"/>
          <w:sz w:val="20"/>
          <w:szCs w:val="20"/>
        </w:rPr>
        <w:t>提升执法或监管部门的技术水平，多采用独立</w:t>
      </w:r>
      <w:r>
        <w:rPr>
          <w:rFonts w:ascii="SimSun" w:hAnsi="SimSun" w:eastAsia="SimSun" w:cs="SimSun"/>
          <w:sz w:val="20"/>
          <w:szCs w:val="20"/>
          <w:spacing w:val="-1"/>
        </w:rPr>
        <w:t>技术专家评估和约谈等</w:t>
      </w:r>
      <w:r>
        <w:rPr>
          <w:rFonts w:ascii="SimSun" w:hAnsi="SimSun" w:eastAsia="SimSun" w:cs="SimSun"/>
          <w:sz w:val="20"/>
          <w:szCs w:val="20"/>
        </w:rPr>
        <w:t xml:space="preserve"> </w:t>
      </w:r>
      <w:r>
        <w:rPr>
          <w:rFonts w:ascii="SimSun" w:hAnsi="SimSun" w:eastAsia="SimSun" w:cs="SimSun"/>
          <w:sz w:val="20"/>
          <w:szCs w:val="20"/>
        </w:rPr>
        <w:t>柔性方式，尽量避免损害平台企业的发展能力，</w:t>
      </w:r>
      <w:r>
        <w:rPr>
          <w:rFonts w:ascii="SimSun" w:hAnsi="SimSun" w:eastAsia="SimSun" w:cs="SimSun"/>
          <w:sz w:val="20"/>
          <w:szCs w:val="20"/>
          <w:spacing w:val="-1"/>
        </w:rPr>
        <w:t>维护</w:t>
      </w:r>
      <w:r>
        <w:rPr>
          <w:rFonts w:ascii="SimSun" w:hAnsi="SimSun" w:eastAsia="SimSun" w:cs="SimSun"/>
          <w:sz w:val="20"/>
          <w:szCs w:val="20"/>
          <w:u w:val="single" w:color="auto"/>
          <w:spacing w:val="-1"/>
        </w:rPr>
        <w:t>这些企业</w:t>
      </w:r>
      <w:r>
        <w:rPr>
          <w:rFonts w:ascii="SimSun" w:hAnsi="SimSun" w:eastAsia="SimSun" w:cs="SimSun"/>
          <w:sz w:val="20"/>
          <w:szCs w:val="20"/>
          <w:spacing w:val="-1"/>
        </w:rPr>
        <w:t>所连接</w:t>
      </w:r>
      <w:r>
        <w:rPr>
          <w:rFonts w:ascii="SimSun" w:hAnsi="SimSun" w:eastAsia="SimSun" w:cs="SimSun"/>
          <w:sz w:val="20"/>
          <w:szCs w:val="20"/>
        </w:rPr>
        <w:t xml:space="preserve"> </w:t>
      </w:r>
      <w:r>
        <w:rPr>
          <w:rFonts w:ascii="SimSun" w:hAnsi="SimSun" w:eastAsia="SimSun" w:cs="SimSun"/>
          <w:sz w:val="20"/>
          <w:szCs w:val="20"/>
          <w:spacing w:val="3"/>
        </w:rPr>
        <w:t>的众多消费者、从事相关服务工作的灵活就业者(如外卖、网约车司</w:t>
      </w:r>
      <w:r>
        <w:rPr>
          <w:rFonts w:ascii="SimSun" w:hAnsi="SimSun" w:eastAsia="SimSun" w:cs="SimSun"/>
          <w:sz w:val="20"/>
          <w:szCs w:val="20"/>
          <w:spacing w:val="6"/>
        </w:rPr>
        <w:t xml:space="preserve"> </w:t>
      </w:r>
      <w:r>
        <w:rPr>
          <w:rFonts w:ascii="SimSun" w:hAnsi="SimSun" w:eastAsia="SimSun" w:cs="SimSun"/>
          <w:sz w:val="20"/>
          <w:szCs w:val="20"/>
          <w:spacing w:val="-1"/>
        </w:rPr>
        <w:t>机)、商家等的利益，提升我国数字经济产业在国</w:t>
      </w:r>
      <w:r>
        <w:rPr>
          <w:rFonts w:ascii="SimSun" w:hAnsi="SimSun" w:eastAsia="SimSun" w:cs="SimSun"/>
          <w:sz w:val="20"/>
          <w:szCs w:val="20"/>
          <w:spacing w:val="-2"/>
        </w:rPr>
        <w:t>际上的竞争力。</w:t>
      </w:r>
    </w:p>
    <w:p>
      <w:pPr>
        <w:ind w:right="63" w:firstLine="410"/>
        <w:spacing w:before="144" w:line="320" w:lineRule="auto"/>
        <w:jc w:val="both"/>
        <w:rPr>
          <w:rFonts w:ascii="SimSun" w:hAnsi="SimSun" w:eastAsia="SimSun" w:cs="SimSun"/>
          <w:sz w:val="20"/>
          <w:szCs w:val="20"/>
        </w:rPr>
      </w:pPr>
      <w:r>
        <w:rPr>
          <w:rFonts w:ascii="SimSun" w:hAnsi="SimSun" w:eastAsia="SimSun" w:cs="SimSun"/>
          <w:sz w:val="20"/>
          <w:szCs w:val="20"/>
          <w:spacing w:val="7"/>
        </w:rPr>
        <w:t>最后，监管过程中需要平衡个人信息保护和数据安全保障与相</w:t>
      </w:r>
      <w:r>
        <w:rPr>
          <w:rFonts w:ascii="SimSun" w:hAnsi="SimSun" w:eastAsia="SimSun" w:cs="SimSun"/>
          <w:sz w:val="20"/>
          <w:szCs w:val="20"/>
          <w:spacing w:val="6"/>
        </w:rPr>
        <w:t xml:space="preserve"> </w:t>
      </w:r>
      <w:r>
        <w:rPr>
          <w:rFonts w:ascii="SimSun" w:hAnsi="SimSun" w:eastAsia="SimSun" w:cs="SimSun"/>
          <w:sz w:val="20"/>
          <w:szCs w:val="20"/>
          <w:spacing w:val="-1"/>
        </w:rPr>
        <w:t>关行业及企业发展的需要，侧重以技术发展而不是以行政手段来解决</w:t>
      </w:r>
      <w:r>
        <w:rPr>
          <w:rFonts w:ascii="SimSun" w:hAnsi="SimSun" w:eastAsia="SimSun" w:cs="SimSun"/>
          <w:sz w:val="20"/>
          <w:szCs w:val="20"/>
          <w:spacing w:val="18"/>
        </w:rPr>
        <w:t xml:space="preserve"> </w:t>
      </w:r>
      <w:r>
        <w:rPr>
          <w:rFonts w:ascii="SimSun" w:hAnsi="SimSun" w:eastAsia="SimSun" w:cs="SimSun"/>
          <w:sz w:val="20"/>
          <w:szCs w:val="20"/>
          <w:spacing w:val="-1"/>
        </w:rPr>
        <w:t>问题。现有个人信息保护和数据安全中的不少问题，往往凸显了</w:t>
      </w:r>
      <w:r>
        <w:rPr>
          <w:rFonts w:ascii="SimSun" w:hAnsi="SimSun" w:eastAsia="SimSun" w:cs="SimSun"/>
          <w:sz w:val="20"/>
          <w:szCs w:val="20"/>
          <w:spacing w:val="-2"/>
        </w:rPr>
        <w:t>相关</w:t>
      </w:r>
      <w:r>
        <w:rPr>
          <w:rFonts w:ascii="SimSun" w:hAnsi="SimSun" w:eastAsia="SimSun" w:cs="SimSun"/>
          <w:sz w:val="20"/>
          <w:szCs w:val="20"/>
        </w:rPr>
        <w:t xml:space="preserve"> </w:t>
      </w:r>
      <w:r>
        <w:rPr>
          <w:rFonts w:ascii="SimSun" w:hAnsi="SimSun" w:eastAsia="SimSun" w:cs="SimSun"/>
          <w:sz w:val="20"/>
          <w:szCs w:val="20"/>
        </w:rPr>
        <w:t>产业发展过程中的瓶颈问题，因而提供了企业发</w:t>
      </w:r>
      <w:r>
        <w:rPr>
          <w:rFonts w:ascii="SimSun" w:hAnsi="SimSun" w:eastAsia="SimSun" w:cs="SimSun"/>
          <w:sz w:val="20"/>
          <w:szCs w:val="20"/>
          <w:spacing w:val="-1"/>
        </w:rPr>
        <w:t>展的契机。例如，需</w:t>
      </w:r>
      <w:r>
        <w:rPr>
          <w:rFonts w:ascii="SimSun" w:hAnsi="SimSun" w:eastAsia="SimSun" w:cs="SimSun"/>
          <w:sz w:val="20"/>
          <w:szCs w:val="20"/>
        </w:rPr>
        <w:t xml:space="preserve"> </w:t>
      </w:r>
      <w:r>
        <w:rPr>
          <w:rFonts w:ascii="SimSun" w:hAnsi="SimSun" w:eastAsia="SimSun" w:cs="SimSun"/>
          <w:sz w:val="20"/>
          <w:szCs w:val="20"/>
        </w:rPr>
        <w:t>推动数据安全、隐私计算等行业的发展。又如，</w:t>
      </w:r>
      <w:r>
        <w:rPr>
          <w:rFonts w:ascii="SimSun" w:hAnsi="SimSun" w:eastAsia="SimSun" w:cs="SimSun"/>
          <w:sz w:val="20"/>
          <w:szCs w:val="20"/>
          <w:spacing w:val="-1"/>
        </w:rPr>
        <w:t>可考虑让走在业务前</w:t>
      </w:r>
      <w:r>
        <w:rPr>
          <w:rFonts w:ascii="SimSun" w:hAnsi="SimSun" w:eastAsia="SimSun" w:cs="SimSun"/>
          <w:sz w:val="20"/>
          <w:szCs w:val="20"/>
        </w:rPr>
        <w:t xml:space="preserve"> </w:t>
      </w:r>
      <w:r>
        <w:rPr>
          <w:rFonts w:ascii="SimSun" w:hAnsi="SimSun" w:eastAsia="SimSun" w:cs="SimSun"/>
          <w:sz w:val="20"/>
          <w:szCs w:val="20"/>
        </w:rPr>
        <w:t>沿的平台企业在完善行业标准、监管框架和流</w:t>
      </w:r>
      <w:r>
        <w:rPr>
          <w:rFonts w:ascii="SimSun" w:hAnsi="SimSun" w:eastAsia="SimSun" w:cs="SimSun"/>
          <w:sz w:val="20"/>
          <w:szCs w:val="20"/>
          <w:spacing w:val="-1"/>
        </w:rPr>
        <w:t>程等方面发挥更大的作</w:t>
      </w:r>
      <w:r>
        <w:rPr>
          <w:rFonts w:ascii="SimSun" w:hAnsi="SimSun" w:eastAsia="SimSun" w:cs="SimSun"/>
          <w:sz w:val="20"/>
          <w:szCs w:val="20"/>
        </w:rPr>
        <w:t xml:space="preserve"> </w:t>
      </w:r>
      <w:r>
        <w:rPr>
          <w:rFonts w:ascii="SimSun" w:hAnsi="SimSun" w:eastAsia="SimSun" w:cs="SimSun"/>
          <w:sz w:val="20"/>
          <w:szCs w:val="20"/>
          <w:spacing w:val="6"/>
        </w:rPr>
        <w:t>用。再如，通过减税降费等政策，扶持对个人信息保护进行合规审</w:t>
      </w:r>
      <w:r>
        <w:rPr>
          <w:rFonts w:ascii="SimSun" w:hAnsi="SimSun" w:eastAsia="SimSun" w:cs="SimSun"/>
          <w:sz w:val="20"/>
          <w:szCs w:val="20"/>
          <w:spacing w:val="12"/>
        </w:rPr>
        <w:t xml:space="preserve"> </w:t>
      </w:r>
      <w:r>
        <w:rPr>
          <w:rFonts w:ascii="SimSun" w:hAnsi="SimSun" w:eastAsia="SimSun" w:cs="SimSun"/>
          <w:sz w:val="20"/>
          <w:szCs w:val="20"/>
        </w:rPr>
        <w:t>计、对个人信息保护影响进行评估、对数据安全</w:t>
      </w:r>
      <w:r>
        <w:rPr>
          <w:rFonts w:ascii="SimSun" w:hAnsi="SimSun" w:eastAsia="SimSun" w:cs="SimSun"/>
          <w:sz w:val="20"/>
          <w:szCs w:val="20"/>
          <w:spacing w:val="-1"/>
        </w:rPr>
        <w:t>进行检测评估或认证</w:t>
      </w:r>
      <w:r>
        <w:rPr>
          <w:rFonts w:ascii="SimSun" w:hAnsi="SimSun" w:eastAsia="SimSun" w:cs="SimSun"/>
          <w:sz w:val="20"/>
          <w:szCs w:val="20"/>
        </w:rPr>
        <w:t xml:space="preserve"> </w:t>
      </w:r>
      <w:r>
        <w:rPr>
          <w:rFonts w:ascii="SimSun" w:hAnsi="SimSun" w:eastAsia="SimSun" w:cs="SimSun"/>
          <w:sz w:val="20"/>
          <w:szCs w:val="20"/>
        </w:rPr>
        <w:t>等的第三方专业机构的成长和发展。还可以</w:t>
      </w:r>
      <w:r>
        <w:rPr>
          <w:rFonts w:ascii="SimSun" w:hAnsi="SimSun" w:eastAsia="SimSun" w:cs="SimSun"/>
          <w:sz w:val="20"/>
          <w:szCs w:val="20"/>
          <w:spacing w:val="-1"/>
        </w:rPr>
        <w:t>鼓励通过产学研结合、教</w:t>
      </w:r>
      <w:r>
        <w:rPr>
          <w:rFonts w:ascii="SimSun" w:hAnsi="SimSun" w:eastAsia="SimSun" w:cs="SimSun"/>
          <w:sz w:val="20"/>
          <w:szCs w:val="20"/>
        </w:rPr>
        <w:t xml:space="preserve"> </w:t>
      </w:r>
      <w:r>
        <w:rPr>
          <w:rFonts w:ascii="SimSun" w:hAnsi="SimSun" w:eastAsia="SimSun" w:cs="SimSun"/>
          <w:sz w:val="20"/>
          <w:szCs w:val="20"/>
          <w:spacing w:val="-2"/>
        </w:rPr>
        <w:t>育培训、经验交流、项目示范等方式，提高行业整体水平。</w:t>
      </w:r>
    </w:p>
    <w:p>
      <w:pPr>
        <w:pStyle w:val="BodyText"/>
        <w:spacing w:line="392" w:lineRule="auto"/>
        <w:rPr/>
      </w:pPr>
      <w:r/>
    </w:p>
    <w:p>
      <w:pPr>
        <w:ind w:left="1264"/>
        <w:spacing w:before="98" w:line="219" w:lineRule="auto"/>
        <w:rPr>
          <w:rFonts w:ascii="SimSun" w:hAnsi="SimSun" w:eastAsia="SimSun" w:cs="SimSun"/>
          <w:sz w:val="30"/>
          <w:szCs w:val="30"/>
        </w:rPr>
      </w:pPr>
      <w:r>
        <w:rPr>
          <w:rFonts w:ascii="SimSun" w:hAnsi="SimSun" w:eastAsia="SimSun" w:cs="SimSun"/>
          <w:sz w:val="30"/>
          <w:szCs w:val="30"/>
          <w:b/>
          <w:bCs/>
          <w:spacing w:val="13"/>
        </w:rPr>
        <w:t>数据治理的综合政策建议</w:t>
      </w:r>
    </w:p>
    <w:p>
      <w:pPr>
        <w:pStyle w:val="BodyText"/>
        <w:spacing w:line="298" w:lineRule="auto"/>
        <w:rPr/>
      </w:pPr>
      <w:r/>
    </w:p>
    <w:p>
      <w:pPr>
        <w:ind w:firstLine="410"/>
        <w:spacing w:before="65" w:line="313" w:lineRule="auto"/>
        <w:jc w:val="both"/>
        <w:rPr>
          <w:rFonts w:ascii="SimSun" w:hAnsi="SimSun" w:eastAsia="SimSun" w:cs="SimSun"/>
          <w:sz w:val="20"/>
          <w:szCs w:val="20"/>
        </w:rPr>
      </w:pPr>
      <w:r>
        <w:rPr>
          <w:rFonts w:ascii="SimSun" w:hAnsi="SimSun" w:eastAsia="SimSun" w:cs="SimSun"/>
          <w:sz w:val="20"/>
          <w:szCs w:val="20"/>
          <w:spacing w:val="-1"/>
        </w:rPr>
        <w:t>鉴于数据治理对我国数字经济发展的重要性，建议成立可以协调 </w:t>
      </w:r>
      <w:r>
        <w:rPr>
          <w:rFonts w:ascii="SimSun" w:hAnsi="SimSun" w:eastAsia="SimSun" w:cs="SimSun"/>
          <w:sz w:val="20"/>
          <w:szCs w:val="20"/>
          <w:spacing w:val="-1"/>
        </w:rPr>
        <w:t>各部门工作的数据治理委员会，主要从事数据牌照、算法审计和个人</w:t>
      </w:r>
      <w:r>
        <w:rPr>
          <w:rFonts w:ascii="SimSun" w:hAnsi="SimSun" w:eastAsia="SimSun" w:cs="SimSun"/>
          <w:sz w:val="20"/>
          <w:szCs w:val="20"/>
          <w:spacing w:val="9"/>
        </w:rPr>
        <w:t xml:space="preserve">  </w:t>
      </w:r>
      <w:r>
        <w:rPr>
          <w:rFonts w:ascii="SimSun" w:hAnsi="SimSun" w:eastAsia="SimSun" w:cs="SimSun"/>
          <w:sz w:val="20"/>
          <w:szCs w:val="20"/>
          <w:spacing w:val="2"/>
        </w:rPr>
        <w:t>信息保护与数据安全等方面的工作。工作内容包括：制定数据牌照、</w:t>
      </w:r>
      <w:r>
        <w:rPr>
          <w:rFonts w:ascii="SimSun" w:hAnsi="SimSun" w:eastAsia="SimSun" w:cs="SimSun"/>
          <w:sz w:val="20"/>
          <w:szCs w:val="20"/>
          <w:spacing w:val="8"/>
        </w:rPr>
        <w:t xml:space="preserve"> </w:t>
      </w:r>
      <w:r>
        <w:rPr>
          <w:rFonts w:ascii="SimSun" w:hAnsi="SimSun" w:eastAsia="SimSun" w:cs="SimSun"/>
          <w:sz w:val="20"/>
          <w:szCs w:val="20"/>
        </w:rPr>
        <w:t>算法审计和个人信息保护与数据安全等方面</w:t>
      </w:r>
      <w:r>
        <w:rPr>
          <w:rFonts w:ascii="SimSun" w:hAnsi="SimSun" w:eastAsia="SimSun" w:cs="SimSun"/>
          <w:sz w:val="20"/>
          <w:szCs w:val="20"/>
          <w:spacing w:val="-1"/>
        </w:rPr>
        <w:t>的指南；执行数据牌照的 </w:t>
      </w:r>
      <w:r>
        <w:rPr>
          <w:rFonts w:ascii="SimSun" w:hAnsi="SimSun" w:eastAsia="SimSun" w:cs="SimSun"/>
          <w:sz w:val="20"/>
          <w:szCs w:val="20"/>
          <w:spacing w:val="-1"/>
        </w:rPr>
        <w:t>申请、审核、发放、限制使用和吊销；推动算法审计；协</w:t>
      </w:r>
      <w:r>
        <w:rPr>
          <w:rFonts w:ascii="SimSun" w:hAnsi="SimSun" w:eastAsia="SimSun" w:cs="SimSun"/>
          <w:sz w:val="20"/>
          <w:szCs w:val="20"/>
          <w:spacing w:val="-2"/>
        </w:rPr>
        <w:t>调个人信息</w:t>
      </w:r>
      <w:r>
        <w:rPr>
          <w:rFonts w:ascii="SimSun" w:hAnsi="SimSun" w:eastAsia="SimSun" w:cs="SimSun"/>
          <w:sz w:val="20"/>
          <w:szCs w:val="20"/>
        </w:rPr>
        <w:t xml:space="preserve">  </w:t>
      </w:r>
      <w:r>
        <w:rPr>
          <w:rFonts w:ascii="SimSun" w:hAnsi="SimSun" w:eastAsia="SimSun" w:cs="SimSun"/>
          <w:sz w:val="20"/>
          <w:szCs w:val="20"/>
          <w:spacing w:val="-2"/>
        </w:rPr>
        <w:t>保护和数据安全方面的工作；设定争端解决与协调机制；等等。</w:t>
      </w:r>
    </w:p>
    <w:p>
      <w:pPr>
        <w:ind w:left="410"/>
        <w:spacing w:before="93" w:line="391" w:lineRule="exact"/>
        <w:rPr>
          <w:rFonts w:ascii="SimSun" w:hAnsi="SimSun" w:eastAsia="SimSun" w:cs="SimSun"/>
          <w:sz w:val="20"/>
          <w:szCs w:val="20"/>
        </w:rPr>
      </w:pPr>
      <w:r>
        <w:rPr>
          <w:rFonts w:ascii="SimSun" w:hAnsi="SimSun" w:eastAsia="SimSun" w:cs="SimSun"/>
          <w:sz w:val="20"/>
          <w:szCs w:val="20"/>
          <w:spacing w:val="-7"/>
          <w:position w:val="14"/>
        </w:rPr>
        <w:t>数据治理方面，我们的建议主要有三点：</w:t>
      </w:r>
      <w:r>
        <w:rPr>
          <w:rFonts w:ascii="SimSun" w:hAnsi="SimSun" w:eastAsia="SimSun" w:cs="SimSun"/>
          <w:sz w:val="20"/>
          <w:szCs w:val="20"/>
          <w:spacing w:val="64"/>
          <w:position w:val="14"/>
        </w:rPr>
        <w:t xml:space="preserve"> </w:t>
      </w:r>
      <w:r>
        <w:rPr>
          <w:rFonts w:ascii="SimSun" w:hAnsi="SimSun" w:eastAsia="SimSun" w:cs="SimSun"/>
          <w:sz w:val="20"/>
          <w:szCs w:val="20"/>
          <w:spacing w:val="-7"/>
          <w:position w:val="14"/>
        </w:rPr>
        <w:t>一是对明确数据权属采</w:t>
      </w:r>
    </w:p>
    <w:p>
      <w:pPr>
        <w:spacing w:line="219" w:lineRule="auto"/>
        <w:rPr>
          <w:rFonts w:ascii="SimSun" w:hAnsi="SimSun" w:eastAsia="SimSun" w:cs="SimSun"/>
          <w:sz w:val="20"/>
          <w:szCs w:val="20"/>
        </w:rPr>
      </w:pPr>
      <w:r>
        <w:rPr>
          <w:rFonts w:ascii="SimSun" w:hAnsi="SimSun" w:eastAsia="SimSun" w:cs="SimSun"/>
          <w:sz w:val="20"/>
          <w:szCs w:val="20"/>
        </w:rPr>
        <w:t>取审慎态度；二是对数据进行分级管理，推</w:t>
      </w:r>
      <w:r>
        <w:rPr>
          <w:rFonts w:ascii="SimSun" w:hAnsi="SimSun" w:eastAsia="SimSun" w:cs="SimSun"/>
          <w:sz w:val="20"/>
          <w:szCs w:val="20"/>
          <w:spacing w:val="-1"/>
        </w:rPr>
        <w:t>动公共数据开放共享，对</w:t>
      </w:r>
    </w:p>
    <w:p>
      <w:pPr>
        <w:spacing w:line="219" w:lineRule="auto"/>
        <w:sectPr>
          <w:headerReference w:type="default" r:id="rId403"/>
          <w:pgSz w:w="7330" w:h="12480"/>
          <w:pgMar w:top="885" w:right="760" w:bottom="400" w:left="499" w:header="723" w:footer="0" w:gutter="0"/>
        </w:sectPr>
        <w:rPr>
          <w:rFonts w:ascii="SimSun" w:hAnsi="SimSun" w:eastAsia="SimSun" w:cs="SimSun"/>
          <w:sz w:val="20"/>
          <w:szCs w:val="20"/>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33"/>
        <w:spacing w:before="69" w:line="286" w:lineRule="auto"/>
        <w:jc w:val="both"/>
        <w:rPr>
          <w:rFonts w:ascii="SimSun" w:hAnsi="SimSun" w:eastAsia="SimSun" w:cs="SimSun"/>
          <w:sz w:val="21"/>
          <w:szCs w:val="21"/>
        </w:rPr>
      </w:pPr>
      <w:r>
        <w:rPr>
          <w:rFonts w:ascii="SimSun" w:hAnsi="SimSun" w:eastAsia="SimSun" w:cs="SimSun"/>
          <w:sz w:val="21"/>
          <w:szCs w:val="21"/>
          <w:spacing w:val="-10"/>
        </w:rPr>
        <w:t>涉及国家安全的机密数据进行严格管理，限制未成年人数据等</w:t>
      </w:r>
      <w:r>
        <w:rPr>
          <w:rFonts w:ascii="SimSun" w:hAnsi="SimSun" w:eastAsia="SimSun" w:cs="SimSun"/>
          <w:sz w:val="21"/>
          <w:szCs w:val="21"/>
          <w:spacing w:val="-11"/>
        </w:rPr>
        <w:t>敏感数</w:t>
      </w:r>
      <w:r>
        <w:rPr>
          <w:rFonts w:ascii="SimSun" w:hAnsi="SimSun" w:eastAsia="SimSun" w:cs="SimSun"/>
          <w:sz w:val="21"/>
          <w:szCs w:val="21"/>
        </w:rPr>
        <w:t xml:space="preserve"> </w:t>
      </w:r>
      <w:r>
        <w:rPr>
          <w:rFonts w:ascii="SimSun" w:hAnsi="SimSun" w:eastAsia="SimSun" w:cs="SimSun"/>
          <w:sz w:val="21"/>
          <w:szCs w:val="21"/>
          <w:spacing w:val="-4"/>
        </w:rPr>
        <w:t>据的使用，同时结合数据信托与公共机构管理，通过发放分级牌照</w:t>
      </w:r>
      <w:r>
        <w:rPr>
          <w:rFonts w:ascii="SimSun" w:hAnsi="SimSun" w:eastAsia="SimSun" w:cs="SimSun"/>
          <w:sz w:val="21"/>
          <w:szCs w:val="21"/>
          <w:spacing w:val="11"/>
        </w:rPr>
        <w:t xml:space="preserve"> </w:t>
      </w:r>
      <w:r>
        <w:rPr>
          <w:rFonts w:ascii="SimSun" w:hAnsi="SimSun" w:eastAsia="SimSun" w:cs="SimSun"/>
          <w:sz w:val="21"/>
          <w:szCs w:val="21"/>
          <w:spacing w:val="-3"/>
        </w:rPr>
        <w:t>(或者数据许可证)的方式来规范数据共享与</w:t>
      </w:r>
      <w:r>
        <w:rPr>
          <w:rFonts w:ascii="SimSun" w:hAnsi="SimSun" w:eastAsia="SimSun" w:cs="SimSun"/>
          <w:sz w:val="21"/>
          <w:szCs w:val="21"/>
          <w:spacing w:val="-4"/>
        </w:rPr>
        <w:t>使用；三是将数据交易</w:t>
      </w:r>
      <w:r>
        <w:rPr>
          <w:rFonts w:ascii="SimSun" w:hAnsi="SimSun" w:eastAsia="SimSun" w:cs="SimSun"/>
          <w:sz w:val="21"/>
          <w:szCs w:val="21"/>
        </w:rPr>
        <w:t xml:space="preserve"> </w:t>
      </w:r>
      <w:r>
        <w:rPr>
          <w:rFonts w:ascii="SimSun" w:hAnsi="SimSun" w:eastAsia="SimSun" w:cs="SimSun"/>
          <w:sz w:val="21"/>
          <w:szCs w:val="21"/>
          <w:spacing w:val="-11"/>
        </w:rPr>
        <w:t>的重心放在培育数据产品相关服务的交易市场上。</w:t>
      </w:r>
    </w:p>
    <w:p>
      <w:pPr>
        <w:ind w:right="3" w:firstLine="449"/>
        <w:spacing w:before="132" w:line="300" w:lineRule="auto"/>
        <w:jc w:val="both"/>
        <w:rPr>
          <w:rFonts w:ascii="SimSun" w:hAnsi="SimSun" w:eastAsia="SimSun" w:cs="SimSun"/>
          <w:sz w:val="21"/>
          <w:szCs w:val="21"/>
        </w:rPr>
      </w:pPr>
      <w:r>
        <w:rPr>
          <w:rFonts w:ascii="SimSun" w:hAnsi="SimSun" w:eastAsia="SimSun" w:cs="SimSun"/>
          <w:sz w:val="21"/>
          <w:szCs w:val="21"/>
          <w:spacing w:val="-18"/>
        </w:rPr>
        <w:t>在平台算</w:t>
      </w:r>
      <w:r>
        <w:rPr>
          <w:rFonts w:ascii="SimSun" w:hAnsi="SimSun" w:eastAsia="SimSun" w:cs="SimSun"/>
          <w:sz w:val="21"/>
          <w:szCs w:val="21"/>
          <w:spacing w:val="-17"/>
        </w:rPr>
        <w:t>法治理方面，我们的建议有如下四点：</w:t>
      </w:r>
      <w:r>
        <w:rPr>
          <w:rFonts w:ascii="SimSun" w:hAnsi="SimSun" w:eastAsia="SimSun" w:cs="SimSun"/>
          <w:sz w:val="21"/>
          <w:szCs w:val="21"/>
          <w:spacing w:val="67"/>
        </w:rPr>
        <w:t xml:space="preserve"> </w:t>
      </w:r>
      <w:r>
        <w:rPr>
          <w:rFonts w:ascii="SimSun" w:hAnsi="SimSun" w:eastAsia="SimSun" w:cs="SimSun"/>
          <w:sz w:val="21"/>
          <w:szCs w:val="21"/>
          <w:spacing w:val="-17"/>
        </w:rPr>
        <w:t>一是治理算法</w:t>
      </w:r>
      <w:r>
        <w:rPr>
          <w:rFonts w:ascii="SimSun" w:hAnsi="SimSun" w:eastAsia="SimSun" w:cs="SimSun"/>
          <w:sz w:val="21"/>
          <w:szCs w:val="21"/>
          <w:spacing w:val="-13"/>
        </w:rPr>
        <w:t>歧</w:t>
      </w:r>
      <w:r>
        <w:rPr>
          <w:rFonts w:ascii="SimSun" w:hAnsi="SimSun" w:eastAsia="SimSun" w:cs="SimSun"/>
          <w:sz w:val="21"/>
          <w:szCs w:val="21"/>
        </w:rPr>
        <w:t xml:space="preserve"> </w:t>
      </w:r>
      <w:r>
        <w:rPr>
          <w:rFonts w:ascii="SimSun" w:hAnsi="SimSun" w:eastAsia="SimSun" w:cs="SimSun"/>
          <w:sz w:val="21"/>
          <w:szCs w:val="21"/>
          <w:spacing w:val="-11"/>
        </w:rPr>
        <w:t>视等重在通过发展技术来解决新技术带来的问题，尽量通过恰当的治</w:t>
      </w:r>
      <w:r>
        <w:rPr>
          <w:rFonts w:ascii="SimSun" w:hAnsi="SimSun" w:eastAsia="SimSun" w:cs="SimSun"/>
          <w:sz w:val="21"/>
          <w:szCs w:val="21"/>
          <w:spacing w:val="16"/>
        </w:rPr>
        <w:t xml:space="preserve"> </w:t>
      </w:r>
      <w:r>
        <w:rPr>
          <w:rFonts w:ascii="SimSun" w:hAnsi="SimSun" w:eastAsia="SimSun" w:cs="SimSun"/>
          <w:sz w:val="21"/>
          <w:szCs w:val="21"/>
          <w:spacing w:val="-11"/>
        </w:rPr>
        <w:t>理机制设计来取长补短，而不是采取“一刀切”式监管；二是推动平</w:t>
      </w:r>
      <w:r>
        <w:rPr>
          <w:rFonts w:ascii="SimSun" w:hAnsi="SimSun" w:eastAsia="SimSun" w:cs="SimSun"/>
          <w:sz w:val="21"/>
          <w:szCs w:val="21"/>
          <w:spacing w:val="8"/>
        </w:rPr>
        <w:t xml:space="preserve"> </w:t>
      </w:r>
      <w:r>
        <w:rPr>
          <w:rFonts w:ascii="SimSun" w:hAnsi="SimSun" w:eastAsia="SimSun" w:cs="SimSun"/>
          <w:sz w:val="21"/>
          <w:szCs w:val="21"/>
          <w:spacing w:val="-10"/>
        </w:rPr>
        <w:t>台将针对多方的计价规则、流量分配规则等透</w:t>
      </w:r>
      <w:r>
        <w:rPr>
          <w:rFonts w:ascii="SimSun" w:hAnsi="SimSun" w:eastAsia="SimSun" w:cs="SimSun"/>
          <w:sz w:val="21"/>
          <w:szCs w:val="21"/>
          <w:spacing w:val="-11"/>
        </w:rPr>
        <w:t>明化；三是加大对平台</w:t>
      </w:r>
      <w:r>
        <w:rPr>
          <w:rFonts w:ascii="SimSun" w:hAnsi="SimSun" w:eastAsia="SimSun" w:cs="SimSun"/>
          <w:sz w:val="21"/>
          <w:szCs w:val="21"/>
        </w:rPr>
        <w:t xml:space="preserve"> </w:t>
      </w:r>
      <w:r>
        <w:rPr>
          <w:rFonts w:ascii="SimSun" w:hAnsi="SimSun" w:eastAsia="SimSun" w:cs="SimSun"/>
          <w:sz w:val="21"/>
          <w:szCs w:val="21"/>
          <w:spacing w:val="-11"/>
        </w:rPr>
        <w:t>人为制造信息不对称的治理力度；四是推动算法审计，实现长期有效</w:t>
      </w:r>
      <w:r>
        <w:rPr>
          <w:rFonts w:ascii="SimSun" w:hAnsi="SimSun" w:eastAsia="SimSun" w:cs="SimSun"/>
          <w:sz w:val="21"/>
          <w:szCs w:val="21"/>
          <w:spacing w:val="7"/>
        </w:rPr>
        <w:t xml:space="preserve"> </w:t>
      </w:r>
      <w:r>
        <w:rPr>
          <w:rFonts w:ascii="SimSun" w:hAnsi="SimSun" w:eastAsia="SimSun" w:cs="SimSun"/>
          <w:sz w:val="21"/>
          <w:szCs w:val="21"/>
          <w:spacing w:val="-9"/>
        </w:rPr>
        <w:t>监管。</w:t>
      </w:r>
    </w:p>
    <w:p>
      <w:pPr>
        <w:ind w:firstLine="449"/>
        <w:spacing w:before="107" w:line="303" w:lineRule="auto"/>
        <w:jc w:val="both"/>
        <w:rPr>
          <w:rFonts w:ascii="SimSun" w:hAnsi="SimSun" w:eastAsia="SimSun" w:cs="SimSun"/>
          <w:sz w:val="21"/>
          <w:szCs w:val="21"/>
        </w:rPr>
      </w:pPr>
      <w:r>
        <w:rPr>
          <w:rFonts w:ascii="SimSun" w:hAnsi="SimSun" w:eastAsia="SimSun" w:cs="SimSun"/>
          <w:sz w:val="21"/>
          <w:szCs w:val="21"/>
          <w:spacing w:val="-11"/>
        </w:rPr>
        <w:t>在数据保护和隐私安全相关的治理政策方面，我们的建议主要也</w:t>
      </w:r>
      <w:r>
        <w:rPr>
          <w:rFonts w:ascii="SimSun" w:hAnsi="SimSun" w:eastAsia="SimSun" w:cs="SimSun"/>
          <w:sz w:val="21"/>
          <w:szCs w:val="21"/>
          <w:spacing w:val="8"/>
        </w:rPr>
        <w:t xml:space="preserve"> </w:t>
      </w:r>
      <w:r>
        <w:rPr>
          <w:rFonts w:ascii="SimSun" w:hAnsi="SimSun" w:eastAsia="SimSun" w:cs="SimSun"/>
          <w:sz w:val="21"/>
          <w:szCs w:val="21"/>
          <w:spacing w:val="-13"/>
        </w:rPr>
        <w:t>是三点： 一是在处理个人信息保护和数据安全相关问题时，监管部门</w:t>
      </w:r>
      <w:r>
        <w:rPr>
          <w:rFonts w:ascii="SimSun" w:hAnsi="SimSun" w:eastAsia="SimSun" w:cs="SimSun"/>
          <w:sz w:val="21"/>
          <w:szCs w:val="21"/>
          <w:spacing w:val="9"/>
        </w:rPr>
        <w:t xml:space="preserve"> </w:t>
      </w:r>
      <w:r>
        <w:rPr>
          <w:rFonts w:ascii="SimSun" w:hAnsi="SimSun" w:eastAsia="SimSun" w:cs="SimSun"/>
          <w:sz w:val="21"/>
          <w:szCs w:val="21"/>
          <w:spacing w:val="-11"/>
        </w:rPr>
        <w:t>仍然需要关注恰当执行相关法令后的正面效果，不能因噎废食；二是</w:t>
      </w:r>
      <w:r>
        <w:rPr>
          <w:rFonts w:ascii="SimSun" w:hAnsi="SimSun" w:eastAsia="SimSun" w:cs="SimSun"/>
          <w:sz w:val="21"/>
          <w:szCs w:val="21"/>
          <w:spacing w:val="9"/>
        </w:rPr>
        <w:t xml:space="preserve"> </w:t>
      </w:r>
      <w:r>
        <w:rPr>
          <w:rFonts w:ascii="SimSun" w:hAnsi="SimSun" w:eastAsia="SimSun" w:cs="SimSun"/>
          <w:sz w:val="21"/>
          <w:szCs w:val="21"/>
          <w:spacing w:val="-10"/>
        </w:rPr>
        <w:t>在法令执行过程中要防止运动式监管，防止“一刀切”的</w:t>
      </w:r>
      <w:r>
        <w:rPr>
          <w:rFonts w:ascii="SimSun" w:hAnsi="SimSun" w:eastAsia="SimSun" w:cs="SimSun"/>
          <w:sz w:val="21"/>
          <w:szCs w:val="21"/>
          <w:spacing w:val="-11"/>
        </w:rPr>
        <w:t>监管限制了</w:t>
      </w:r>
      <w:r>
        <w:rPr>
          <w:rFonts w:ascii="SimSun" w:hAnsi="SimSun" w:eastAsia="SimSun" w:cs="SimSun"/>
          <w:sz w:val="21"/>
          <w:szCs w:val="21"/>
        </w:rPr>
        <w:t xml:space="preserve"> </w:t>
      </w:r>
      <w:r>
        <w:rPr>
          <w:rFonts w:ascii="SimSun" w:hAnsi="SimSun" w:eastAsia="SimSun" w:cs="SimSun"/>
          <w:sz w:val="21"/>
          <w:szCs w:val="21"/>
          <w:spacing w:val="-11"/>
        </w:rPr>
        <w:t>数字企业的发展空间，减少了创新的动力，要实现以监管促发展；三</w:t>
      </w:r>
      <w:r>
        <w:rPr>
          <w:rFonts w:ascii="SimSun" w:hAnsi="SimSun" w:eastAsia="SimSun" w:cs="SimSun"/>
          <w:sz w:val="21"/>
          <w:szCs w:val="21"/>
          <w:spacing w:val="6"/>
        </w:rPr>
        <w:t xml:space="preserve"> </w:t>
      </w:r>
      <w:r>
        <w:rPr>
          <w:rFonts w:ascii="SimSun" w:hAnsi="SimSun" w:eastAsia="SimSun" w:cs="SimSun"/>
          <w:sz w:val="21"/>
          <w:szCs w:val="21"/>
          <w:spacing w:val="-11"/>
        </w:rPr>
        <w:t>是监管过程中需要平衡个人信息保护和保障数据安全与相关行业及企</w:t>
      </w:r>
      <w:r>
        <w:rPr>
          <w:rFonts w:ascii="SimSun" w:hAnsi="SimSun" w:eastAsia="SimSun" w:cs="SimSun"/>
          <w:sz w:val="21"/>
          <w:szCs w:val="21"/>
          <w:spacing w:val="7"/>
        </w:rPr>
        <w:t xml:space="preserve"> </w:t>
      </w:r>
      <w:r>
        <w:rPr>
          <w:rFonts w:ascii="SimSun" w:hAnsi="SimSun" w:eastAsia="SimSun" w:cs="SimSun"/>
          <w:sz w:val="21"/>
          <w:szCs w:val="21"/>
          <w:spacing w:val="-10"/>
        </w:rPr>
        <w:t>业发展的需要，侧重以技术发展而不是以行政手段</w:t>
      </w:r>
      <w:r>
        <w:rPr>
          <w:rFonts w:ascii="SimSun" w:hAnsi="SimSun" w:eastAsia="SimSun" w:cs="SimSun"/>
          <w:sz w:val="21"/>
          <w:szCs w:val="21"/>
          <w:spacing w:val="-11"/>
        </w:rPr>
        <w:t>来解决问题。</w:t>
      </w:r>
    </w:p>
    <w:p>
      <w:pPr>
        <w:ind w:firstLine="449"/>
        <w:spacing w:before="107" w:line="306" w:lineRule="auto"/>
        <w:jc w:val="both"/>
        <w:rPr>
          <w:rFonts w:ascii="SimSun" w:hAnsi="SimSun" w:eastAsia="SimSun" w:cs="SimSun"/>
          <w:sz w:val="21"/>
          <w:szCs w:val="21"/>
        </w:rPr>
      </w:pPr>
      <w:r>
        <w:rPr>
          <w:rFonts w:ascii="SimSun" w:hAnsi="SimSun" w:eastAsia="SimSun" w:cs="SimSun"/>
          <w:sz w:val="21"/>
          <w:szCs w:val="21"/>
          <w:spacing w:val="-15"/>
        </w:rPr>
        <w:t>另</w:t>
      </w:r>
      <w:r>
        <w:rPr>
          <w:rFonts w:ascii="SimSun" w:hAnsi="SimSun" w:eastAsia="SimSun" w:cs="SimSun"/>
          <w:sz w:val="21"/>
          <w:szCs w:val="21"/>
          <w:spacing w:val="-14"/>
        </w:rPr>
        <w:t>外， 一方面要强调平台企业的社会责任，另一方面也要在监</w:t>
      </w:r>
      <w:r>
        <w:rPr>
          <w:rFonts w:ascii="SimSun" w:hAnsi="SimSun" w:eastAsia="SimSun" w:cs="SimSun"/>
          <w:sz w:val="21"/>
          <w:szCs w:val="21"/>
          <w:spacing w:val="-13"/>
        </w:rPr>
        <w:t>管</w:t>
      </w:r>
      <w:r>
        <w:rPr>
          <w:rFonts w:ascii="SimSun" w:hAnsi="SimSun" w:eastAsia="SimSun" w:cs="SimSun"/>
          <w:sz w:val="21"/>
          <w:szCs w:val="21"/>
        </w:rPr>
        <w:t xml:space="preserve"> </w:t>
      </w:r>
      <w:r>
        <w:rPr>
          <w:rFonts w:ascii="SimSun" w:hAnsi="SimSun" w:eastAsia="SimSun" w:cs="SimSun"/>
          <w:sz w:val="21"/>
          <w:szCs w:val="21"/>
          <w:spacing w:val="-11"/>
        </w:rPr>
        <w:t>过程中调动平台企业的积极性。平台企业在创新的最前沿，要解决监</w:t>
      </w:r>
      <w:r>
        <w:rPr>
          <w:rFonts w:ascii="SimSun" w:hAnsi="SimSun" w:eastAsia="SimSun" w:cs="SimSun"/>
          <w:sz w:val="21"/>
          <w:szCs w:val="21"/>
          <w:spacing w:val="7"/>
        </w:rPr>
        <w:t xml:space="preserve"> </w:t>
      </w:r>
      <w:r>
        <w:rPr>
          <w:rFonts w:ascii="SimSun" w:hAnsi="SimSun" w:eastAsia="SimSun" w:cs="SimSun"/>
          <w:sz w:val="21"/>
          <w:szCs w:val="21"/>
          <w:spacing w:val="-7"/>
        </w:rPr>
        <w:t>管落后于创新的问题，可以借鉴数字金融领域监管沙盒的经验(我国</w:t>
      </w:r>
      <w:r>
        <w:rPr>
          <w:rFonts w:ascii="SimSun" w:hAnsi="SimSun" w:eastAsia="SimSun" w:cs="SimSun"/>
          <w:sz w:val="21"/>
          <w:szCs w:val="21"/>
          <w:spacing w:val="4"/>
        </w:rPr>
        <w:t xml:space="preserve"> </w:t>
      </w:r>
      <w:r>
        <w:rPr>
          <w:rFonts w:ascii="SimSun" w:hAnsi="SimSun" w:eastAsia="SimSun" w:cs="SimSun"/>
          <w:sz w:val="21"/>
          <w:szCs w:val="21"/>
          <w:spacing w:val="-4"/>
        </w:rPr>
        <w:t>成为金融科技监管试点),让平台企业参与到规则制定和执行中，实</w:t>
      </w:r>
      <w:r>
        <w:rPr>
          <w:rFonts w:ascii="SimSun" w:hAnsi="SimSun" w:eastAsia="SimSun" w:cs="SimSun"/>
          <w:sz w:val="21"/>
          <w:szCs w:val="21"/>
          <w:spacing w:val="9"/>
        </w:rPr>
        <w:t xml:space="preserve"> </w:t>
      </w:r>
      <w:r>
        <w:rPr>
          <w:rFonts w:ascii="SimSun" w:hAnsi="SimSun" w:eastAsia="SimSun" w:cs="SimSun"/>
          <w:sz w:val="21"/>
          <w:szCs w:val="21"/>
          <w:spacing w:val="-11"/>
        </w:rPr>
        <w:t>现动态监管。在充分鼓励平台企业积极行动的基础上，也充分发挥行</w:t>
      </w:r>
      <w:r>
        <w:rPr>
          <w:rFonts w:ascii="SimSun" w:hAnsi="SimSun" w:eastAsia="SimSun" w:cs="SimSun"/>
          <w:sz w:val="21"/>
          <w:szCs w:val="21"/>
          <w:spacing w:val="9"/>
        </w:rPr>
        <w:t xml:space="preserve"> </w:t>
      </w:r>
      <w:r>
        <w:rPr>
          <w:rFonts w:ascii="SimSun" w:hAnsi="SimSun" w:eastAsia="SimSun" w:cs="SimSun"/>
          <w:sz w:val="21"/>
          <w:szCs w:val="21"/>
          <w:spacing w:val="-11"/>
        </w:rPr>
        <w:t>业协会的作用，帮助协调和处理数据使用中的争端。最后还可以通过</w:t>
      </w:r>
      <w:r>
        <w:rPr>
          <w:rFonts w:ascii="SimSun" w:hAnsi="SimSun" w:eastAsia="SimSun" w:cs="SimSun"/>
          <w:sz w:val="21"/>
          <w:szCs w:val="21"/>
          <w:spacing w:val="6"/>
        </w:rPr>
        <w:t xml:space="preserve"> </w:t>
      </w:r>
      <w:r>
        <w:rPr>
          <w:rFonts w:ascii="SimSun" w:hAnsi="SimSun" w:eastAsia="SimSun" w:cs="SimSun"/>
          <w:sz w:val="21"/>
          <w:szCs w:val="21"/>
          <w:spacing w:val="-11"/>
        </w:rPr>
        <w:t>鼓励教育培训、经验交流、项目示范、公众宣传等方式，增强个人信</w:t>
      </w:r>
      <w:r>
        <w:rPr>
          <w:rFonts w:ascii="SimSun" w:hAnsi="SimSun" w:eastAsia="SimSun" w:cs="SimSun"/>
          <w:sz w:val="21"/>
          <w:szCs w:val="21"/>
          <w:spacing w:val="12"/>
        </w:rPr>
        <w:t xml:space="preserve"> </w:t>
      </w:r>
      <w:r>
        <w:rPr>
          <w:rFonts w:ascii="SimSun" w:hAnsi="SimSun" w:eastAsia="SimSun" w:cs="SimSun"/>
          <w:sz w:val="21"/>
          <w:szCs w:val="21"/>
          <w:spacing w:val="-11"/>
        </w:rPr>
        <w:t>息处理活动从业者在个人信息保护和数据安全方面的意识和能力，增</w:t>
      </w:r>
      <w:r>
        <w:rPr>
          <w:rFonts w:ascii="SimSun" w:hAnsi="SimSun" w:eastAsia="SimSun" w:cs="SimSun"/>
          <w:sz w:val="21"/>
          <w:szCs w:val="21"/>
          <w:spacing w:val="15"/>
        </w:rPr>
        <w:t xml:space="preserve"> </w:t>
      </w:r>
      <w:r>
        <w:rPr>
          <w:rFonts w:ascii="SimSun" w:hAnsi="SimSun" w:eastAsia="SimSun" w:cs="SimSun"/>
          <w:sz w:val="21"/>
          <w:szCs w:val="21"/>
          <w:spacing w:val="-11"/>
        </w:rPr>
        <w:t>强公众在个人信息保护和数据安全方面的意识和水平。</w:t>
      </w:r>
    </w:p>
    <w:p>
      <w:pPr>
        <w:spacing w:before="120" w:line="219" w:lineRule="auto"/>
        <w:jc w:val="right"/>
        <w:rPr>
          <w:rFonts w:ascii="SimSun" w:hAnsi="SimSun" w:eastAsia="SimSun" w:cs="SimSun"/>
          <w:sz w:val="21"/>
          <w:szCs w:val="21"/>
        </w:rPr>
      </w:pPr>
      <w:r>
        <w:rPr>
          <w:rFonts w:ascii="SimSun" w:hAnsi="SimSun" w:eastAsia="SimSun" w:cs="SimSun"/>
          <w:sz w:val="21"/>
          <w:szCs w:val="21"/>
          <w:spacing w:val="-12"/>
        </w:rPr>
        <w:t>综合</w:t>
      </w:r>
      <w:r>
        <w:rPr>
          <w:rFonts w:ascii="SimSun" w:hAnsi="SimSun" w:eastAsia="SimSun" w:cs="SimSun"/>
          <w:sz w:val="21"/>
          <w:szCs w:val="21"/>
          <w:spacing w:val="-11"/>
        </w:rPr>
        <w:t>来看，由于我国处于数字经济发展的关键时期，面对发展</w:t>
      </w:r>
      <w:r>
        <w:rPr>
          <w:rFonts w:ascii="SimSun" w:hAnsi="SimSun" w:eastAsia="SimSun" w:cs="SimSun"/>
          <w:sz w:val="21"/>
          <w:szCs w:val="21"/>
          <w:spacing w:val="-9"/>
        </w:rPr>
        <w:t>过</w:t>
      </w:r>
    </w:p>
    <w:p>
      <w:pPr>
        <w:spacing w:line="219" w:lineRule="auto"/>
        <w:sectPr>
          <w:headerReference w:type="default" r:id="rId404"/>
          <w:pgSz w:w="7330" w:h="12480"/>
          <w:pgMar w:top="585" w:right="588" w:bottom="400" w:left="709" w:header="422" w:footer="0" w:gutter="0"/>
        </w:sectPr>
        <w:rPr>
          <w:rFonts w:ascii="SimSun" w:hAnsi="SimSun" w:eastAsia="SimSun" w:cs="SimSun"/>
          <w:sz w:val="21"/>
          <w:szCs w:val="21"/>
        </w:rPr>
      </w:pP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spacing w:before="62" w:line="350" w:lineRule="auto"/>
        <w:rPr>
          <w:rFonts w:ascii="SimSun" w:hAnsi="SimSun" w:eastAsia="SimSun" w:cs="SimSun"/>
          <w:sz w:val="19"/>
          <w:szCs w:val="19"/>
        </w:rPr>
      </w:pPr>
      <w:r>
        <w:rPr>
          <w:rFonts w:ascii="SimSun" w:hAnsi="SimSun" w:eastAsia="SimSun" w:cs="SimSun"/>
          <w:sz w:val="19"/>
          <w:szCs w:val="19"/>
          <w:spacing w:val="16"/>
        </w:rPr>
        <w:t>程中产生的问题，如果没有恰当监管，则容易出现“劣币</w:t>
      </w:r>
      <w:r>
        <w:rPr>
          <w:rFonts w:ascii="SimSun" w:hAnsi="SimSun" w:eastAsia="SimSun" w:cs="SimSun"/>
          <w:sz w:val="19"/>
          <w:szCs w:val="19"/>
          <w:spacing w:val="15"/>
        </w:rPr>
        <w:t>驱逐良币”</w:t>
      </w:r>
      <w:r>
        <w:rPr>
          <w:rFonts w:ascii="SimSun" w:hAnsi="SimSun" w:eastAsia="SimSun" w:cs="SimSun"/>
          <w:sz w:val="19"/>
          <w:szCs w:val="19"/>
        </w:rPr>
        <w:t xml:space="preserve"> </w:t>
      </w:r>
      <w:r>
        <w:rPr>
          <w:rFonts w:ascii="SimSun" w:hAnsi="SimSun" w:eastAsia="SimSun" w:cs="SimSun"/>
          <w:sz w:val="19"/>
          <w:szCs w:val="19"/>
          <w:spacing w:val="16"/>
        </w:rPr>
        <w:t>的现象，导致优质数字平台企业没有发展空间；但如果采取“一刀</w:t>
      </w:r>
      <w:r>
        <w:rPr>
          <w:rFonts w:ascii="SimSun" w:hAnsi="SimSun" w:eastAsia="SimSun" w:cs="SimSun"/>
          <w:sz w:val="19"/>
          <w:szCs w:val="19"/>
          <w:spacing w:val="4"/>
        </w:rPr>
        <w:t xml:space="preserve">   </w:t>
      </w:r>
      <w:r>
        <w:rPr>
          <w:rFonts w:ascii="SimSun" w:hAnsi="SimSun" w:eastAsia="SimSun" w:cs="SimSun"/>
          <w:sz w:val="19"/>
          <w:szCs w:val="19"/>
          <w:spacing w:val="10"/>
        </w:rPr>
        <w:t>切”等运动式监管手段，会极大增加企业未来发展的不确</w:t>
      </w:r>
      <w:r>
        <w:rPr>
          <w:rFonts w:ascii="SimSun" w:hAnsi="SimSun" w:eastAsia="SimSun" w:cs="SimSun"/>
          <w:sz w:val="19"/>
          <w:szCs w:val="19"/>
          <w:spacing w:val="9"/>
        </w:rPr>
        <w:t>定性，企业</w:t>
      </w:r>
      <w:r>
        <w:rPr>
          <w:rFonts w:ascii="SimSun" w:hAnsi="SimSun" w:eastAsia="SimSun" w:cs="SimSun"/>
          <w:sz w:val="19"/>
          <w:szCs w:val="19"/>
        </w:rPr>
        <w:t xml:space="preserve">   </w:t>
      </w:r>
      <w:r>
        <w:rPr>
          <w:rFonts w:ascii="SimSun" w:hAnsi="SimSun" w:eastAsia="SimSun" w:cs="SimSun"/>
          <w:sz w:val="19"/>
          <w:szCs w:val="19"/>
          <w:spacing w:val="11"/>
        </w:rPr>
        <w:t>创新的积极性也会受到损伤。因此，需要强调科技监管、技术监管，</w:t>
      </w:r>
      <w:r>
        <w:rPr>
          <w:rFonts w:ascii="SimSun" w:hAnsi="SimSun" w:eastAsia="SimSun" w:cs="SimSun"/>
          <w:sz w:val="19"/>
          <w:szCs w:val="19"/>
          <w:spacing w:val="7"/>
        </w:rPr>
        <w:t xml:space="preserve">  </w:t>
      </w:r>
      <w:r>
        <w:rPr>
          <w:rFonts w:ascii="SimSun" w:hAnsi="SimSun" w:eastAsia="SimSun" w:cs="SimSun"/>
          <w:sz w:val="19"/>
          <w:szCs w:val="19"/>
          <w:spacing w:val="10"/>
        </w:rPr>
        <w:t>努力提升监管部门的监管水平，解决监管落后于创新的问题，</w:t>
      </w:r>
      <w:r>
        <w:rPr>
          <w:rFonts w:ascii="SimSun" w:hAnsi="SimSun" w:eastAsia="SimSun" w:cs="SimSun"/>
          <w:sz w:val="19"/>
          <w:szCs w:val="19"/>
          <w:spacing w:val="9"/>
        </w:rPr>
        <w:t>为未来</w:t>
      </w:r>
    </w:p>
    <w:p>
      <w:pPr>
        <w:spacing w:line="218" w:lineRule="auto"/>
        <w:rPr>
          <w:rFonts w:ascii="SimSun" w:hAnsi="SimSun" w:eastAsia="SimSun" w:cs="SimSun"/>
          <w:sz w:val="19"/>
          <w:szCs w:val="19"/>
        </w:rPr>
      </w:pPr>
      <w:r>
        <w:rPr>
          <w:rFonts w:ascii="SimSun" w:hAnsi="SimSun" w:eastAsia="SimSun" w:cs="SimSun"/>
          <w:sz w:val="19"/>
          <w:szCs w:val="19"/>
          <w:spacing w:val="5"/>
        </w:rPr>
        <w:t>的创新提供监管空间。</w:t>
      </w:r>
    </w:p>
    <w:p>
      <w:pPr>
        <w:ind w:right="165" w:firstLine="399"/>
        <w:spacing w:before="134" w:line="350" w:lineRule="auto"/>
        <w:jc w:val="both"/>
        <w:rPr>
          <w:rFonts w:ascii="SimSun" w:hAnsi="SimSun" w:eastAsia="SimSun" w:cs="SimSun"/>
          <w:sz w:val="19"/>
          <w:szCs w:val="19"/>
        </w:rPr>
      </w:pPr>
      <w:r>
        <w:rPr>
          <w:rFonts w:ascii="SimSun" w:hAnsi="SimSun" w:eastAsia="SimSun" w:cs="SimSun"/>
          <w:sz w:val="19"/>
          <w:szCs w:val="19"/>
          <w:spacing w:val="10"/>
        </w:rPr>
        <w:t>从国际视角看，我国数字平台相关的监管，需要在保护消费者和</w:t>
      </w:r>
      <w:r>
        <w:rPr>
          <w:rFonts w:ascii="SimSun" w:hAnsi="SimSun" w:eastAsia="SimSun" w:cs="SimSun"/>
          <w:sz w:val="19"/>
          <w:szCs w:val="19"/>
          <w:spacing w:val="4"/>
        </w:rPr>
        <w:t xml:space="preserve"> </w:t>
      </w:r>
      <w:r>
        <w:rPr>
          <w:rFonts w:ascii="SimSun" w:hAnsi="SimSun" w:eastAsia="SimSun" w:cs="SimSun"/>
          <w:sz w:val="19"/>
          <w:szCs w:val="19"/>
          <w:spacing w:val="10"/>
        </w:rPr>
        <w:t>其他数据主体权益的基础上促进创新并保持国际竞争力。无论是数据</w:t>
      </w:r>
      <w:r>
        <w:rPr>
          <w:rFonts w:ascii="SimSun" w:hAnsi="SimSun" w:eastAsia="SimSun" w:cs="SimSun"/>
          <w:sz w:val="19"/>
          <w:szCs w:val="19"/>
        </w:rPr>
        <w:t xml:space="preserve"> </w:t>
      </w:r>
      <w:r>
        <w:rPr>
          <w:rFonts w:ascii="SimSun" w:hAnsi="SimSun" w:eastAsia="SimSun" w:cs="SimSun"/>
          <w:sz w:val="19"/>
          <w:szCs w:val="19"/>
          <w:spacing w:val="10"/>
        </w:rPr>
        <w:t>生产要素治理、算法治理还是隐私和数据安全保护等问题，监管部门 </w:t>
      </w:r>
      <w:r>
        <w:rPr>
          <w:rFonts w:ascii="SimSun" w:hAnsi="SimSun" w:eastAsia="SimSun" w:cs="SimSun"/>
          <w:sz w:val="19"/>
          <w:szCs w:val="19"/>
          <w:spacing w:val="10"/>
        </w:rPr>
        <w:t>都可以考虑以加强平台两端信息透明化、减少信息不对称为主要监管</w:t>
      </w:r>
      <w:r>
        <w:rPr>
          <w:rFonts w:ascii="SimSun" w:hAnsi="SimSun" w:eastAsia="SimSun" w:cs="SimSun"/>
          <w:sz w:val="19"/>
          <w:szCs w:val="19"/>
        </w:rPr>
        <w:t xml:space="preserve"> </w:t>
      </w:r>
      <w:r>
        <w:rPr>
          <w:rFonts w:ascii="SimSun" w:hAnsi="SimSun" w:eastAsia="SimSun" w:cs="SimSun"/>
          <w:sz w:val="19"/>
          <w:szCs w:val="19"/>
          <w:spacing w:val="10"/>
        </w:rPr>
        <w:t>原则，防止平台企业人为制造新的信息不对称，推动企业</w:t>
      </w:r>
      <w:r>
        <w:rPr>
          <w:rFonts w:ascii="SimSun" w:hAnsi="SimSun" w:eastAsia="SimSun" w:cs="SimSun"/>
          <w:sz w:val="19"/>
          <w:szCs w:val="19"/>
          <w:spacing w:val="9"/>
        </w:rPr>
        <w:t>在增加双边</w:t>
      </w:r>
    </w:p>
    <w:p>
      <w:pPr>
        <w:spacing w:line="219" w:lineRule="auto"/>
        <w:rPr>
          <w:rFonts w:ascii="SimSun" w:hAnsi="SimSun" w:eastAsia="SimSun" w:cs="SimSun"/>
          <w:sz w:val="19"/>
          <w:szCs w:val="19"/>
        </w:rPr>
      </w:pPr>
      <w:r>
        <w:rPr>
          <w:rFonts w:ascii="SimSun" w:hAnsi="SimSun" w:eastAsia="SimSun" w:cs="SimSun"/>
          <w:sz w:val="19"/>
          <w:szCs w:val="19"/>
          <w:spacing w:val="7"/>
        </w:rPr>
        <w:t>乃至多边信息透明化方面下功夫。</w:t>
      </w:r>
    </w:p>
    <w:p>
      <w:pPr>
        <w:spacing w:line="219" w:lineRule="auto"/>
        <w:sectPr>
          <w:headerReference w:type="default" r:id="rId405"/>
          <w:pgSz w:w="7330" w:h="12480"/>
          <w:pgMar w:top="825" w:right="653" w:bottom="400" w:left="499" w:header="683" w:footer="0" w:gutter="0"/>
        </w:sectPr>
        <w:rPr>
          <w:rFonts w:ascii="SimSun" w:hAnsi="SimSun" w:eastAsia="SimSun" w:cs="SimSun"/>
          <w:sz w:val="19"/>
          <w:szCs w:val="19"/>
        </w:rPr>
      </w:pPr>
    </w:p>
    <w:p>
      <w:pPr>
        <w:spacing w:line="12467" w:lineRule="exact"/>
        <w:rPr/>
      </w:pPr>
      <w:r>
        <w:rPr>
          <w:position w:val="-249"/>
        </w:rPr>
        <w:drawing>
          <wp:inline distT="0" distB="0" distL="0" distR="0">
            <wp:extent cx="4654550" cy="7916698"/>
            <wp:effectExtent l="0" t="0" r="0" b="0"/>
            <wp:docPr id="264" name="IM 264"/>
            <wp:cNvGraphicFramePr/>
            <a:graphic>
              <a:graphicData uri="http://schemas.openxmlformats.org/drawingml/2006/picture">
                <pic:pic>
                  <pic:nvPicPr>
                    <pic:cNvPr id="264" name="IM 264"/>
                    <pic:cNvPicPr/>
                  </pic:nvPicPr>
                  <pic:blipFill>
                    <a:blip r:embed="rId406"/>
                    <a:stretch>
                      <a:fillRect/>
                    </a:stretch>
                  </pic:blipFill>
                  <pic:spPr>
                    <a:xfrm rot="0">
                      <a:off x="0" y="0"/>
                      <a:ext cx="4654550" cy="7916698"/>
                    </a:xfrm>
                    <a:prstGeom prst="rect">
                      <a:avLst/>
                    </a:prstGeom>
                  </pic:spPr>
                </pic:pic>
              </a:graphicData>
            </a:graphic>
          </wp:inline>
        </w:drawing>
      </w:r>
    </w:p>
    <w:p>
      <w:pPr>
        <w:spacing w:line="12467" w:lineRule="exact"/>
        <w:sectPr>
          <w:headerReference w:type="default" r:id="rId1"/>
          <w:pgSz w:w="7330" w:h="12480"/>
          <w:pgMar w:top="1" w:right="0" w:bottom="1" w:left="0" w:header="0" w:footer="0" w:gutter="0"/>
        </w:sectPr>
        <w:rPr/>
      </w:pPr>
    </w:p>
    <w:p>
      <w:pPr>
        <w:pStyle w:val="BodyText"/>
        <w:spacing w:line="279" w:lineRule="auto"/>
        <w:rPr/>
      </w:pPr>
      <w:r>
        <w:drawing>
          <wp:anchor distT="0" distB="0" distL="0" distR="0" simplePos="0" relativeHeight="255195136" behindDoc="0" locked="0" layoutInCell="0" allowOverlap="1">
            <wp:simplePos x="0" y="0"/>
            <wp:positionH relativeFrom="page">
              <wp:posOffset>260328</wp:posOffset>
            </wp:positionH>
            <wp:positionV relativeFrom="page">
              <wp:posOffset>7092928</wp:posOffset>
            </wp:positionV>
            <wp:extent cx="1168431" cy="6350"/>
            <wp:effectExtent l="0" t="0" r="0" b="0"/>
            <wp:wrapNone/>
            <wp:docPr id="266" name="IM 266"/>
            <wp:cNvGraphicFramePr/>
            <a:graphic>
              <a:graphicData uri="http://schemas.openxmlformats.org/drawingml/2006/picture">
                <pic:pic>
                  <pic:nvPicPr>
                    <pic:cNvPr id="266" name="IM 266"/>
                    <pic:cNvPicPr/>
                  </pic:nvPicPr>
                  <pic:blipFill>
                    <a:blip r:embed="rId407"/>
                    <a:stretch>
                      <a:fillRect/>
                    </a:stretch>
                  </pic:blipFill>
                  <pic:spPr>
                    <a:xfrm rot="0">
                      <a:off x="0" y="0"/>
                      <a:ext cx="1168431" cy="6350"/>
                    </a:xfrm>
                    <a:prstGeom prst="rect">
                      <a:avLst/>
                    </a:prstGeom>
                  </pic:spPr>
                </pic:pic>
              </a:graphicData>
            </a:graphic>
          </wp:anchor>
        </w:drawing>
      </w:r>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firstLine="860"/>
        <w:spacing w:line="3640" w:lineRule="exact"/>
        <w:rPr/>
      </w:pPr>
      <w:r>
        <w:rPr>
          <w:position w:val="-72"/>
        </w:rPr>
        <w:drawing>
          <wp:inline distT="0" distB="0" distL="0" distR="0">
            <wp:extent cx="2870181" cy="2311347"/>
            <wp:effectExtent l="0" t="0" r="0" b="0"/>
            <wp:docPr id="268" name="IM 268"/>
            <wp:cNvGraphicFramePr/>
            <a:graphic>
              <a:graphicData uri="http://schemas.openxmlformats.org/drawingml/2006/picture">
                <pic:pic>
                  <pic:nvPicPr>
                    <pic:cNvPr id="268" name="IM 268"/>
                    <pic:cNvPicPr/>
                  </pic:nvPicPr>
                  <pic:blipFill>
                    <a:blip r:embed="rId408"/>
                    <a:stretch>
                      <a:fillRect/>
                    </a:stretch>
                  </pic:blipFill>
                  <pic:spPr>
                    <a:xfrm rot="0">
                      <a:off x="0" y="0"/>
                      <a:ext cx="2870181" cy="2311347"/>
                    </a:xfrm>
                    <a:prstGeom prst="rect">
                      <a:avLst/>
                    </a:prstGeom>
                  </pic:spPr>
                </pic:pic>
              </a:graphicData>
            </a:graphic>
          </wp:inline>
        </w:drawing>
      </w:r>
    </w:p>
    <w:p>
      <w:pPr>
        <w:ind w:left="1190"/>
        <w:spacing w:before="290" w:line="222" w:lineRule="auto"/>
        <w:tabs>
          <w:tab w:val="left" w:pos="2580"/>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16"/>
        </w:rPr>
        <w:t xml:space="preserve"> </w:t>
      </w:r>
      <w:r>
        <w:rPr>
          <w:rFonts w:ascii="SimHei" w:hAnsi="SimHei" w:eastAsia="SimHei" w:cs="SimHei"/>
          <w:sz w:val="29"/>
          <w:szCs w:val="29"/>
          <w:spacing w:val="-4"/>
        </w:rPr>
        <w:t>第十章</w:t>
      </w:r>
      <w:r>
        <w:rPr>
          <w:rFonts w:ascii="SimHei" w:hAnsi="SimHei" w:eastAsia="SimHei" w:cs="SimHei"/>
          <w:sz w:val="29"/>
          <w:szCs w:val="29"/>
          <w:spacing w:val="-83"/>
        </w:rPr>
        <w:t xml:space="preserve"> </w:t>
      </w:r>
      <w:r>
        <w:rPr>
          <w:rFonts w:ascii="SimHei" w:hAnsi="SimHei" w:eastAsia="SimHei" w:cs="SimHei"/>
          <w:sz w:val="29"/>
          <w:szCs w:val="29"/>
          <w:strike/>
        </w:rPr>
        <w:t xml:space="preserve">          </w:t>
      </w:r>
    </w:p>
    <w:p>
      <w:pPr>
        <w:pStyle w:val="BodyText"/>
        <w:spacing w:line="293" w:lineRule="auto"/>
        <w:rPr/>
      </w:pPr>
      <w:r/>
    </w:p>
    <w:p>
      <w:pPr>
        <w:ind w:left="1785"/>
        <w:spacing w:before="117" w:line="488" w:lineRule="exact"/>
        <w:rPr>
          <w:rFonts w:ascii="SimSun" w:hAnsi="SimSun" w:eastAsia="SimSun" w:cs="SimSun"/>
          <w:sz w:val="36"/>
          <w:szCs w:val="36"/>
        </w:rPr>
      </w:pPr>
      <w:r>
        <w:rPr>
          <w:rFonts w:ascii="SimSun" w:hAnsi="SimSun" w:eastAsia="SimSun" w:cs="SimSun"/>
          <w:sz w:val="36"/>
          <w:szCs w:val="36"/>
          <w:b/>
          <w:bCs/>
          <w:spacing w:val="-9"/>
          <w:position w:val="8"/>
        </w:rPr>
        <w:t>平台创新治理的</w:t>
      </w:r>
    </w:p>
    <w:p>
      <w:pPr>
        <w:ind w:left="1785"/>
        <w:spacing w:line="219" w:lineRule="auto"/>
        <w:rPr>
          <w:rFonts w:ascii="SimSun" w:hAnsi="SimSun" w:eastAsia="SimSun" w:cs="SimSun"/>
          <w:sz w:val="36"/>
          <w:szCs w:val="36"/>
        </w:rPr>
      </w:pPr>
      <w:r>
        <w:rPr>
          <w:rFonts w:ascii="SimSun" w:hAnsi="SimSun" w:eastAsia="SimSun" w:cs="SimSun"/>
          <w:sz w:val="36"/>
          <w:szCs w:val="36"/>
          <w:b/>
          <w:bCs/>
          <w:spacing w:val="-6"/>
        </w:rPr>
        <w:t>数据与算法维度</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spacing w:before="55" w:line="223" w:lineRule="auto"/>
        <w:rPr>
          <w:rFonts w:ascii="SimSun" w:hAnsi="SimSun" w:eastAsia="SimSun" w:cs="SimSun"/>
          <w:sz w:val="17"/>
          <w:szCs w:val="17"/>
        </w:rPr>
      </w:pPr>
      <w:r>
        <w:rPr>
          <w:rFonts w:ascii="SimSun" w:hAnsi="SimSun" w:eastAsia="SimSun" w:cs="SimSun"/>
          <w:sz w:val="17"/>
          <w:szCs w:val="17"/>
          <w:spacing w:val="-6"/>
        </w:rPr>
        <w:t>①</w:t>
      </w:r>
      <w:r>
        <w:rPr>
          <w:rFonts w:ascii="SimSun" w:hAnsi="SimSun" w:eastAsia="SimSun" w:cs="SimSun"/>
          <w:sz w:val="17"/>
          <w:szCs w:val="17"/>
          <w:spacing w:val="66"/>
        </w:rPr>
        <w:t xml:space="preserve"> </w:t>
      </w:r>
      <w:r>
        <w:rPr>
          <w:rFonts w:ascii="KaiTi" w:hAnsi="KaiTi" w:eastAsia="KaiTi" w:cs="KaiTi"/>
          <w:sz w:val="17"/>
          <w:szCs w:val="17"/>
          <w:spacing w:val="-6"/>
        </w:rPr>
        <w:t>本章作者为杨明</w:t>
      </w:r>
      <w:r>
        <w:rPr>
          <w:rFonts w:ascii="SimSun" w:hAnsi="SimSun" w:eastAsia="SimSun" w:cs="SimSun"/>
          <w:sz w:val="17"/>
          <w:szCs w:val="17"/>
          <w:spacing w:val="-6"/>
        </w:rPr>
        <w:t>。</w:t>
      </w:r>
    </w:p>
    <w:p>
      <w:pPr>
        <w:spacing w:line="223" w:lineRule="auto"/>
        <w:sectPr>
          <w:pgSz w:w="7330" w:h="12480"/>
          <w:pgMar w:top="400" w:right="1099" w:bottom="400" w:left="399" w:header="0" w:footer="0" w:gutter="0"/>
        </w:sectPr>
        <w:rPr>
          <w:rFonts w:ascii="SimSun" w:hAnsi="SimSun" w:eastAsia="SimSun" w:cs="SimSun"/>
          <w:sz w:val="17"/>
          <w:szCs w:val="17"/>
        </w:rPr>
      </w:pP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1" w:lineRule="auto"/>
        <w:rPr/>
      </w:pPr>
      <w:r/>
    </w:p>
    <w:p>
      <w:pPr>
        <w:ind w:firstLine="790"/>
        <w:spacing w:line="2910" w:lineRule="exact"/>
        <w:rPr/>
      </w:pPr>
      <w:r>
        <w:rPr>
          <w:position w:val="-58"/>
        </w:rPr>
        <w:drawing>
          <wp:inline distT="0" distB="0" distL="0" distR="0">
            <wp:extent cx="2266952" cy="1847825"/>
            <wp:effectExtent l="0" t="0" r="0" b="0"/>
            <wp:docPr id="270" name="IM 270"/>
            <wp:cNvGraphicFramePr/>
            <a:graphic>
              <a:graphicData uri="http://schemas.openxmlformats.org/drawingml/2006/picture">
                <pic:pic>
                  <pic:nvPicPr>
                    <pic:cNvPr id="270" name="IM 270"/>
                    <pic:cNvPicPr/>
                  </pic:nvPicPr>
                  <pic:blipFill>
                    <a:blip r:embed="rId409"/>
                    <a:stretch>
                      <a:fillRect/>
                    </a:stretch>
                  </pic:blipFill>
                  <pic:spPr>
                    <a:xfrm rot="0">
                      <a:off x="0" y="0"/>
                      <a:ext cx="2266952" cy="1847825"/>
                    </a:xfrm>
                    <a:prstGeom prst="rect">
                      <a:avLst/>
                    </a:prstGeom>
                  </pic:spPr>
                </pic:pic>
              </a:graphicData>
            </a:graphic>
          </wp:inline>
        </w:drawing>
      </w:r>
    </w:p>
    <w:p>
      <w:pPr>
        <w:spacing w:line="2910" w:lineRule="exact"/>
        <w:sectPr>
          <w:pgSz w:w="7330" w:h="12480"/>
          <w:pgMar w:top="400" w:right="1099" w:bottom="400" w:left="1099" w:header="0" w:footer="0" w:gutter="0"/>
        </w:sectPr>
        <w:rPr/>
      </w:pP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154"/>
        <w:spacing w:before="104" w:line="219" w:lineRule="auto"/>
        <w:rPr>
          <w:rFonts w:ascii="SimSun" w:hAnsi="SimSun" w:eastAsia="SimSun" w:cs="SimSun"/>
          <w:sz w:val="32"/>
          <w:szCs w:val="32"/>
        </w:rPr>
      </w:pPr>
      <w:r>
        <w:rPr>
          <w:rFonts w:ascii="SimSun" w:hAnsi="SimSun" w:eastAsia="SimSun" w:cs="SimSun"/>
          <w:sz w:val="32"/>
          <w:szCs w:val="32"/>
          <w:b/>
          <w:bCs/>
          <w:spacing w:val="-5"/>
        </w:rPr>
        <w:t>数字时代平台经济的创新发展与法律挑战</w:t>
      </w:r>
    </w:p>
    <w:p>
      <w:pPr>
        <w:pStyle w:val="BodyText"/>
        <w:spacing w:line="267" w:lineRule="auto"/>
        <w:rPr/>
      </w:pPr>
      <w:r/>
    </w:p>
    <w:p>
      <w:pPr>
        <w:ind w:right="56" w:firstLine="420"/>
        <w:spacing w:before="69" w:line="291" w:lineRule="auto"/>
        <w:jc w:val="both"/>
        <w:rPr>
          <w:rFonts w:ascii="SimSun" w:hAnsi="SimSun" w:eastAsia="SimSun" w:cs="SimSun"/>
          <w:sz w:val="21"/>
          <w:szCs w:val="21"/>
        </w:rPr>
      </w:pPr>
      <w:r>
        <w:rPr>
          <w:rFonts w:ascii="SimSun" w:hAnsi="SimSun" w:eastAsia="SimSun" w:cs="SimSun"/>
          <w:sz w:val="21"/>
          <w:szCs w:val="21"/>
          <w:spacing w:val="-11"/>
        </w:rPr>
        <w:t>平台经济是数字时代技术发展的产物，其诞生相较于原有商业模</w:t>
      </w:r>
      <w:r>
        <w:rPr>
          <w:rFonts w:ascii="SimSun" w:hAnsi="SimSun" w:eastAsia="SimSun" w:cs="SimSun"/>
          <w:sz w:val="21"/>
          <w:szCs w:val="21"/>
          <w:spacing w:val="5"/>
        </w:rPr>
        <w:t xml:space="preserve"> </w:t>
      </w:r>
      <w:r>
        <w:rPr>
          <w:rFonts w:ascii="SimSun" w:hAnsi="SimSun" w:eastAsia="SimSun" w:cs="SimSun"/>
          <w:sz w:val="21"/>
          <w:szCs w:val="21"/>
          <w:spacing w:val="-11"/>
        </w:rPr>
        <w:t>式形态本就意味着创新。同时，平台经济作为企业在数字时代商业模</w:t>
      </w:r>
      <w:r>
        <w:rPr>
          <w:rFonts w:ascii="SimSun" w:hAnsi="SimSun" w:eastAsia="SimSun" w:cs="SimSun"/>
          <w:sz w:val="21"/>
          <w:szCs w:val="21"/>
          <w:spacing w:val="7"/>
        </w:rPr>
        <w:t xml:space="preserve"> </w:t>
      </w:r>
      <w:r>
        <w:rPr>
          <w:rFonts w:ascii="SimSun" w:hAnsi="SimSun" w:eastAsia="SimSun" w:cs="SimSun"/>
          <w:sz w:val="21"/>
          <w:szCs w:val="21"/>
          <w:spacing w:val="-11"/>
        </w:rPr>
        <w:t>式的新发展，也承担着“生命孵化器”的功能，在新技术环境下孕育</w:t>
      </w:r>
      <w:r>
        <w:rPr>
          <w:rFonts w:ascii="SimSun" w:hAnsi="SimSun" w:eastAsia="SimSun" w:cs="SimSun"/>
          <w:sz w:val="21"/>
          <w:szCs w:val="21"/>
          <w:spacing w:val="15"/>
        </w:rPr>
        <w:t xml:space="preserve"> </w:t>
      </w:r>
      <w:r>
        <w:rPr>
          <w:rFonts w:ascii="SimSun" w:hAnsi="SimSun" w:eastAsia="SimSun" w:cs="SimSun"/>
          <w:sz w:val="21"/>
          <w:szCs w:val="21"/>
          <w:spacing w:val="-11"/>
        </w:rPr>
        <w:t>和鼓励促进其他创新活动，因此平台兼具自身创新和孕育创新的双重</w:t>
      </w:r>
      <w:r>
        <w:rPr>
          <w:rFonts w:ascii="SimSun" w:hAnsi="SimSun" w:eastAsia="SimSun" w:cs="SimSun"/>
          <w:sz w:val="21"/>
          <w:szCs w:val="21"/>
          <w:spacing w:val="8"/>
        </w:rPr>
        <w:t xml:space="preserve"> </w:t>
      </w:r>
      <w:r>
        <w:rPr>
          <w:rFonts w:ascii="SimSun" w:hAnsi="SimSun" w:eastAsia="SimSun" w:cs="SimSun"/>
          <w:sz w:val="21"/>
          <w:szCs w:val="21"/>
          <w:spacing w:val="-9"/>
        </w:rPr>
        <w:t>属性。</w:t>
      </w:r>
    </w:p>
    <w:p>
      <w:pPr>
        <w:ind w:firstLine="420"/>
        <w:spacing w:before="132" w:line="308" w:lineRule="auto"/>
        <w:jc w:val="both"/>
        <w:rPr>
          <w:rFonts w:ascii="SimSun" w:hAnsi="SimSun" w:eastAsia="SimSun" w:cs="SimSun"/>
          <w:sz w:val="21"/>
          <w:szCs w:val="21"/>
        </w:rPr>
      </w:pPr>
      <w:r>
        <w:rPr>
          <w:rFonts w:ascii="SimSun" w:hAnsi="SimSun" w:eastAsia="SimSun" w:cs="SimSun"/>
          <w:sz w:val="21"/>
          <w:szCs w:val="21"/>
          <w:spacing w:val="-3"/>
        </w:rPr>
        <w:t>伴随着技术发展的更新换代，平台经济的商业形态也在逐步发</w:t>
      </w:r>
      <w:r>
        <w:rPr>
          <w:rFonts w:ascii="SimSun" w:hAnsi="SimSun" w:eastAsia="SimSun" w:cs="SimSun"/>
          <w:sz w:val="21"/>
          <w:szCs w:val="21"/>
          <w:spacing w:val="18"/>
        </w:rPr>
        <w:t xml:space="preserve"> </w:t>
      </w:r>
      <w:r>
        <w:rPr>
          <w:rFonts w:ascii="SimSun" w:hAnsi="SimSun" w:eastAsia="SimSun" w:cs="SimSun"/>
          <w:sz w:val="21"/>
          <w:szCs w:val="21"/>
          <w:spacing w:val="-9"/>
        </w:rPr>
        <w:t>展，平台经济在创新迭代过程中，离不开对数据的海量需求和通</w:t>
      </w:r>
      <w:r>
        <w:rPr>
          <w:rFonts w:ascii="SimSun" w:hAnsi="SimSun" w:eastAsia="SimSun" w:cs="SimSun"/>
          <w:sz w:val="21"/>
          <w:szCs w:val="21"/>
          <w:spacing w:val="-10"/>
        </w:rPr>
        <w:t>过算</w:t>
      </w:r>
      <w:r>
        <w:rPr>
          <w:rFonts w:ascii="SimSun" w:hAnsi="SimSun" w:eastAsia="SimSun" w:cs="SimSun"/>
          <w:sz w:val="21"/>
          <w:szCs w:val="21"/>
        </w:rPr>
        <w:t xml:space="preserve"> </w:t>
      </w:r>
      <w:r>
        <w:rPr>
          <w:rFonts w:ascii="SimSun" w:hAnsi="SimSun" w:eastAsia="SimSun" w:cs="SimSun"/>
          <w:sz w:val="21"/>
          <w:szCs w:val="21"/>
          <w:spacing w:val="-11"/>
        </w:rPr>
        <w:t>法实现数据汇聚的结果产出，但数据利用需求的膨胀及其相应的财产 </w:t>
      </w:r>
      <w:r>
        <w:rPr>
          <w:rFonts w:ascii="SimSun" w:hAnsi="SimSun" w:eastAsia="SimSun" w:cs="SimSun"/>
          <w:sz w:val="21"/>
          <w:szCs w:val="21"/>
          <w:spacing w:val="-4"/>
        </w:rPr>
        <w:t>分配利益也已不再是数字时代之前的经济模式能够涵摄的量级。</w:t>
      </w:r>
      <w:r>
        <w:rPr>
          <w:rFonts w:ascii="SimSun" w:hAnsi="SimSun" w:eastAsia="SimSun" w:cs="SimSun"/>
          <w:sz w:val="21"/>
          <w:szCs w:val="21"/>
          <w:spacing w:val="-5"/>
        </w:rPr>
        <w:t>同 </w:t>
      </w:r>
      <w:r>
        <w:rPr>
          <w:rFonts w:ascii="SimSun" w:hAnsi="SimSun" w:eastAsia="SimSun" w:cs="SimSun"/>
          <w:sz w:val="21"/>
          <w:szCs w:val="21"/>
          <w:spacing w:val="-11"/>
        </w:rPr>
        <w:t>时，作为一种新兴的商业模式，平台利用算法实现了在用户和其他平 </w:t>
      </w:r>
      <w:r>
        <w:rPr>
          <w:rFonts w:ascii="SimSun" w:hAnsi="SimSun" w:eastAsia="SimSun" w:cs="SimSun"/>
          <w:sz w:val="21"/>
          <w:szCs w:val="21"/>
          <w:spacing w:val="-11"/>
        </w:rPr>
        <w:t>台企业间的行为选择自由，极大地满足了信息获取需求。但也应当注 </w:t>
      </w:r>
      <w:r>
        <w:rPr>
          <w:rFonts w:ascii="SimSun" w:hAnsi="SimSun" w:eastAsia="SimSun" w:cs="SimSun"/>
          <w:sz w:val="21"/>
          <w:szCs w:val="21"/>
          <w:spacing w:val="-11"/>
        </w:rPr>
        <w:t>意到，通过数据实现的竞争优势，以及通过算法实施的竞争行为并非 </w:t>
      </w:r>
      <w:r>
        <w:rPr>
          <w:rFonts w:ascii="SimSun" w:hAnsi="SimSun" w:eastAsia="SimSun" w:cs="SimSun"/>
          <w:sz w:val="21"/>
          <w:szCs w:val="21"/>
          <w:spacing w:val="-11"/>
        </w:rPr>
        <w:t>都能被法律评价为正当，是数字时代的平台经济在创新发展过程中最 </w:t>
      </w:r>
      <w:r>
        <w:rPr>
          <w:rFonts w:ascii="SimSun" w:hAnsi="SimSun" w:eastAsia="SimSun" w:cs="SimSun"/>
          <w:sz w:val="21"/>
          <w:szCs w:val="21"/>
          <w:spacing w:val="-8"/>
        </w:rPr>
        <w:t>大的桎梏。特别是近年来人工智能的发展实现了人机</w:t>
      </w:r>
      <w:r>
        <w:rPr>
          <w:rFonts w:ascii="SimSun" w:hAnsi="SimSun" w:eastAsia="SimSun" w:cs="SimSun"/>
          <w:sz w:val="21"/>
          <w:szCs w:val="21"/>
          <w:spacing w:val="-9"/>
        </w:rPr>
        <w:t>交互的新局面，</w:t>
      </w:r>
      <w:r>
        <w:rPr>
          <w:rFonts w:ascii="SimSun" w:hAnsi="SimSun" w:eastAsia="SimSun" w:cs="SimSun"/>
          <w:sz w:val="21"/>
          <w:szCs w:val="21"/>
        </w:rPr>
        <w:t xml:space="preserve"> </w:t>
      </w:r>
      <w:r>
        <w:rPr>
          <w:rFonts w:ascii="SimSun" w:hAnsi="SimSun" w:eastAsia="SimSun" w:cs="SimSun"/>
          <w:sz w:val="21"/>
          <w:szCs w:val="21"/>
          <w:spacing w:val="-11"/>
        </w:rPr>
        <w:t>平台经济在利用新技术红利时，对利用数据和算法实施市场行为进行 </w:t>
      </w:r>
      <w:r>
        <w:rPr>
          <w:rFonts w:ascii="SimSun" w:hAnsi="SimSun" w:eastAsia="SimSun" w:cs="SimSun"/>
          <w:sz w:val="21"/>
          <w:szCs w:val="21"/>
          <w:spacing w:val="-11"/>
        </w:rPr>
        <w:t>法律正当性判断，面临着技术和经验上的更大挑战性。</w:t>
      </w:r>
    </w:p>
    <w:p>
      <w:pPr>
        <w:ind w:right="53" w:firstLine="420"/>
        <w:spacing w:before="107" w:line="301" w:lineRule="auto"/>
        <w:jc w:val="both"/>
        <w:rPr>
          <w:rFonts w:ascii="SimSun" w:hAnsi="SimSun" w:eastAsia="SimSun" w:cs="SimSun"/>
          <w:sz w:val="21"/>
          <w:szCs w:val="21"/>
        </w:rPr>
      </w:pPr>
      <w:r>
        <w:rPr>
          <w:rFonts w:ascii="SimSun" w:hAnsi="SimSun" w:eastAsia="SimSun" w:cs="SimSun"/>
          <w:sz w:val="21"/>
          <w:szCs w:val="21"/>
          <w:spacing w:val="-11"/>
        </w:rPr>
        <w:t>此外，平台经济在创新发展的浪潮中，通过数据利用和算法加持</w:t>
      </w:r>
      <w:r>
        <w:rPr>
          <w:rFonts w:ascii="SimSun" w:hAnsi="SimSun" w:eastAsia="SimSun" w:cs="SimSun"/>
          <w:sz w:val="21"/>
          <w:szCs w:val="21"/>
          <w:spacing w:val="4"/>
        </w:rPr>
        <w:t xml:space="preserve"> </w:t>
      </w:r>
      <w:r>
        <w:rPr>
          <w:rFonts w:ascii="SimSun" w:hAnsi="SimSun" w:eastAsia="SimSun" w:cs="SimSun"/>
          <w:sz w:val="21"/>
          <w:szCs w:val="21"/>
          <w:spacing w:val="-10"/>
        </w:rPr>
        <w:t>带来市场活跃和创新迭代的同时，还引发了其他诸如垄断、侵权、不</w:t>
      </w:r>
      <w:r>
        <w:rPr>
          <w:rFonts w:ascii="SimSun" w:hAnsi="SimSun" w:eastAsia="SimSun" w:cs="SimSun"/>
          <w:sz w:val="21"/>
          <w:szCs w:val="21"/>
        </w:rPr>
        <w:t xml:space="preserve"> </w:t>
      </w:r>
      <w:r>
        <w:rPr>
          <w:rFonts w:ascii="SimSun" w:hAnsi="SimSun" w:eastAsia="SimSun" w:cs="SimSun"/>
          <w:sz w:val="21"/>
          <w:szCs w:val="21"/>
          <w:spacing w:val="-11"/>
        </w:rPr>
        <w:t>正当竞争、税收分配、劳动者歧视等问题。对这些问题的法学分析有</w:t>
      </w:r>
      <w:r>
        <w:rPr>
          <w:rFonts w:ascii="SimSun" w:hAnsi="SimSun" w:eastAsia="SimSun" w:cs="SimSun"/>
          <w:sz w:val="21"/>
          <w:szCs w:val="21"/>
          <w:spacing w:val="9"/>
        </w:rPr>
        <w:t xml:space="preserve"> </w:t>
      </w:r>
      <w:r>
        <w:rPr>
          <w:rFonts w:ascii="SimSun" w:hAnsi="SimSun" w:eastAsia="SimSun" w:cs="SimSun"/>
          <w:sz w:val="21"/>
          <w:szCs w:val="21"/>
          <w:spacing w:val="-4"/>
        </w:rPr>
        <w:t>利于厘清诸多在平台经济创新背景下市场主体行为选择与市场公平</w:t>
      </w:r>
      <w:r>
        <w:rPr>
          <w:rFonts w:ascii="SimSun" w:hAnsi="SimSun" w:eastAsia="SimSun" w:cs="SimSun"/>
          <w:sz w:val="21"/>
          <w:szCs w:val="21"/>
          <w:spacing w:val="4"/>
        </w:rPr>
        <w:t xml:space="preserve"> </w:t>
      </w:r>
      <w:r>
        <w:rPr>
          <w:rFonts w:ascii="SimSun" w:hAnsi="SimSun" w:eastAsia="SimSun" w:cs="SimSun"/>
          <w:sz w:val="21"/>
          <w:szCs w:val="21"/>
          <w:spacing w:val="-11"/>
        </w:rPr>
        <w:t>竞争中的法律关系判断难题，以此更好地促进平台经济实现健康有序</w:t>
      </w:r>
      <w:r>
        <w:rPr>
          <w:rFonts w:ascii="SimSun" w:hAnsi="SimSun" w:eastAsia="SimSun" w:cs="SimSun"/>
          <w:sz w:val="21"/>
          <w:szCs w:val="21"/>
          <w:spacing w:val="10"/>
        </w:rPr>
        <w:t xml:space="preserve"> </w:t>
      </w:r>
      <w:r>
        <w:rPr>
          <w:rFonts w:ascii="SimSun" w:hAnsi="SimSun" w:eastAsia="SimSun" w:cs="SimSun"/>
          <w:sz w:val="21"/>
          <w:szCs w:val="21"/>
          <w:spacing w:val="-10"/>
        </w:rPr>
        <w:t>发展。</w:t>
      </w:r>
    </w:p>
    <w:p>
      <w:pPr>
        <w:ind w:right="16"/>
        <w:spacing w:before="127" w:line="219" w:lineRule="auto"/>
        <w:jc w:val="right"/>
        <w:rPr>
          <w:rFonts w:ascii="SimSun" w:hAnsi="SimSun" w:eastAsia="SimSun" w:cs="SimSun"/>
          <w:sz w:val="21"/>
          <w:szCs w:val="21"/>
        </w:rPr>
      </w:pPr>
      <w:r>
        <w:rPr>
          <w:rFonts w:ascii="SimSun" w:hAnsi="SimSun" w:eastAsia="SimSun" w:cs="SimSun"/>
          <w:sz w:val="21"/>
          <w:szCs w:val="21"/>
          <w:spacing w:val="-10"/>
        </w:rPr>
        <w:t>本节主要对平台经济创新与治理问题进行宏观概述，提出平台经</w:t>
      </w:r>
    </w:p>
    <w:p>
      <w:pPr>
        <w:spacing w:line="219" w:lineRule="auto"/>
        <w:sectPr>
          <w:pgSz w:w="7330" w:h="12480"/>
          <w:pgMar w:top="400" w:right="1045" w:bottom="400" w:left="230" w:header="0" w:footer="0" w:gutter="0"/>
        </w:sectPr>
        <w:rPr>
          <w:rFonts w:ascii="SimSun" w:hAnsi="SimSun" w:eastAsia="SimSun" w:cs="SimSun"/>
          <w:sz w:val="21"/>
          <w:szCs w:val="21"/>
        </w:rPr>
      </w:pPr>
    </w:p>
    <w:p>
      <w:pPr>
        <w:pStyle w:val="BodyText"/>
        <w:spacing w:line="251" w:lineRule="auto"/>
        <w:rPr/>
      </w:pPr>
      <w:r>
        <w:drawing>
          <wp:anchor distT="0" distB="0" distL="0" distR="0" simplePos="0" relativeHeight="255225856" behindDoc="0" locked="0" layoutInCell="0" allowOverlap="1">
            <wp:simplePos x="0" y="0"/>
            <wp:positionH relativeFrom="page">
              <wp:posOffset>488960</wp:posOffset>
            </wp:positionH>
            <wp:positionV relativeFrom="page">
              <wp:posOffset>6673865</wp:posOffset>
            </wp:positionV>
            <wp:extent cx="1174761" cy="6350"/>
            <wp:effectExtent l="0" t="0" r="0" b="0"/>
            <wp:wrapNone/>
            <wp:docPr id="272" name="IM 272"/>
            <wp:cNvGraphicFramePr/>
            <a:graphic>
              <a:graphicData uri="http://schemas.openxmlformats.org/drawingml/2006/picture">
                <pic:pic>
                  <pic:nvPicPr>
                    <pic:cNvPr id="272" name="IM 272"/>
                    <pic:cNvPicPr/>
                  </pic:nvPicPr>
                  <pic:blipFill>
                    <a:blip r:embed="rId411"/>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spacing w:before="68" w:line="293" w:lineRule="auto"/>
        <w:jc w:val="both"/>
        <w:rPr>
          <w:rFonts w:ascii="SimSun" w:hAnsi="SimSun" w:eastAsia="SimSun" w:cs="SimSun"/>
          <w:sz w:val="21"/>
          <w:szCs w:val="21"/>
        </w:rPr>
      </w:pPr>
      <w:r>
        <w:rPr>
          <w:rFonts w:ascii="SimSun" w:hAnsi="SimSun" w:eastAsia="SimSun" w:cs="SimSun"/>
          <w:sz w:val="21"/>
          <w:szCs w:val="21"/>
          <w:spacing w:val="-8"/>
        </w:rPr>
        <w:t>济的本质、本议题的研究背景和国家方针政策以及研究的主要问题，</w:t>
      </w:r>
      <w:r>
        <w:rPr>
          <w:rFonts w:ascii="SimSun" w:hAnsi="SimSun" w:eastAsia="SimSun" w:cs="SimSun"/>
          <w:sz w:val="21"/>
          <w:szCs w:val="21"/>
          <w:spacing w:val="4"/>
        </w:rPr>
        <w:t xml:space="preserve"> </w:t>
      </w:r>
      <w:r>
        <w:rPr>
          <w:rFonts w:ascii="SimSun" w:hAnsi="SimSun" w:eastAsia="SimSun" w:cs="SimSun"/>
          <w:sz w:val="21"/>
          <w:szCs w:val="21"/>
          <w:spacing w:val="-10"/>
        </w:rPr>
        <w:t>分析平台经济在创新与治理过程中遇到的法律</w:t>
      </w:r>
      <w:r>
        <w:rPr>
          <w:rFonts w:ascii="SimSun" w:hAnsi="SimSun" w:eastAsia="SimSun" w:cs="SimSun"/>
          <w:sz w:val="21"/>
          <w:szCs w:val="21"/>
          <w:spacing w:val="-11"/>
        </w:rPr>
        <w:t>挑战，主要包括在创新 </w:t>
      </w:r>
      <w:r>
        <w:rPr>
          <w:rFonts w:ascii="SimSun" w:hAnsi="SimSun" w:eastAsia="SimSun" w:cs="SimSun"/>
          <w:sz w:val="21"/>
          <w:szCs w:val="21"/>
          <w:spacing w:val="-11"/>
        </w:rPr>
        <w:t>发展、数据治理、算法治理中的法律问题，并在后文中针对性地提出</w:t>
      </w:r>
      <w:r>
        <w:rPr>
          <w:rFonts w:ascii="SimSun" w:hAnsi="SimSun" w:eastAsia="SimSun" w:cs="SimSun"/>
          <w:sz w:val="21"/>
          <w:szCs w:val="21"/>
          <w:spacing w:val="13"/>
        </w:rPr>
        <w:t xml:space="preserve"> </w:t>
      </w:r>
      <w:r>
        <w:rPr>
          <w:rFonts w:ascii="SimSun" w:hAnsi="SimSun" w:eastAsia="SimSun" w:cs="SimSun"/>
          <w:sz w:val="21"/>
          <w:szCs w:val="21"/>
          <w:spacing w:val="-12"/>
        </w:rPr>
        <w:t>相关应对策略。</w:t>
      </w:r>
    </w:p>
    <w:p>
      <w:pPr>
        <w:pStyle w:val="BodyText"/>
        <w:spacing w:line="391"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2"/>
        </w:rPr>
        <w:t>平台经济的创新发展</w:t>
      </w:r>
    </w:p>
    <w:p>
      <w:pPr>
        <w:pStyle w:val="BodyText"/>
        <w:spacing w:line="349" w:lineRule="auto"/>
        <w:rPr/>
      </w:pPr>
      <w:r/>
    </w:p>
    <w:p>
      <w:pPr>
        <w:ind w:right="50" w:firstLine="440"/>
        <w:spacing w:before="68" w:line="308" w:lineRule="auto"/>
        <w:jc w:val="both"/>
        <w:rPr>
          <w:rFonts w:ascii="SimSun" w:hAnsi="SimSun" w:eastAsia="SimSun" w:cs="SimSun"/>
          <w:sz w:val="21"/>
          <w:szCs w:val="21"/>
        </w:rPr>
      </w:pPr>
      <w:r>
        <w:rPr>
          <w:rFonts w:ascii="SimSun" w:hAnsi="SimSun" w:eastAsia="SimSun" w:cs="SimSun"/>
          <w:sz w:val="21"/>
          <w:szCs w:val="21"/>
          <w:spacing w:val="-4"/>
        </w:rPr>
        <w:t>新时代信息技术的迅猛发展带动数字经济产业的繁荣，数字经</w:t>
      </w:r>
      <w:r>
        <w:rPr>
          <w:rFonts w:ascii="SimSun" w:hAnsi="SimSun" w:eastAsia="SimSun" w:cs="SimSun"/>
          <w:sz w:val="21"/>
          <w:szCs w:val="21"/>
          <w:spacing w:val="5"/>
        </w:rPr>
        <w:t xml:space="preserve"> </w:t>
      </w:r>
      <w:r>
        <w:rPr>
          <w:rFonts w:ascii="SimSun" w:hAnsi="SimSun" w:eastAsia="SimSun" w:cs="SimSun"/>
          <w:sz w:val="21"/>
          <w:szCs w:val="21"/>
          <w:spacing w:val="-4"/>
        </w:rPr>
        <w:t>济正在深刻改变着人们的生产和生活方式。作为市场经济的新兴产</w:t>
      </w:r>
      <w:r>
        <w:rPr>
          <w:rFonts w:ascii="SimSun" w:hAnsi="SimSun" w:eastAsia="SimSun" w:cs="SimSun"/>
          <w:sz w:val="21"/>
          <w:szCs w:val="21"/>
          <w:spacing w:val="17"/>
        </w:rPr>
        <w:t xml:space="preserve"> </w:t>
      </w:r>
      <w:r>
        <w:rPr>
          <w:rFonts w:ascii="SimSun" w:hAnsi="SimSun" w:eastAsia="SimSun" w:cs="SimSun"/>
          <w:sz w:val="21"/>
          <w:szCs w:val="21"/>
          <w:spacing w:val="-11"/>
        </w:rPr>
        <w:t>物，平台经济依托大数据、人工智能等信息技术，通过平台间的资源</w:t>
      </w:r>
      <w:r>
        <w:rPr>
          <w:rFonts w:ascii="SimSun" w:hAnsi="SimSun" w:eastAsia="SimSun" w:cs="SimSun"/>
          <w:sz w:val="21"/>
          <w:szCs w:val="21"/>
          <w:spacing w:val="17"/>
        </w:rPr>
        <w:t xml:space="preserve"> </w:t>
      </w:r>
      <w:r>
        <w:rPr>
          <w:rFonts w:ascii="SimSun" w:hAnsi="SimSun" w:eastAsia="SimSun" w:cs="SimSun"/>
          <w:sz w:val="21"/>
          <w:szCs w:val="21"/>
          <w:spacing w:val="-4"/>
        </w:rPr>
        <w:t>配置，重新对各行各业运行的生态体系予以调整，形成交叉网络效</w:t>
      </w:r>
      <w:r>
        <w:rPr>
          <w:rFonts w:ascii="SimSun" w:hAnsi="SimSun" w:eastAsia="SimSun" w:cs="SimSun"/>
          <w:sz w:val="21"/>
          <w:szCs w:val="21"/>
          <w:spacing w:val="13"/>
        </w:rPr>
        <w:t xml:space="preserve"> </w:t>
      </w:r>
      <w:r>
        <w:rPr>
          <w:rFonts w:ascii="SimSun" w:hAnsi="SimSun" w:eastAsia="SimSun" w:cs="SimSun"/>
          <w:sz w:val="21"/>
          <w:szCs w:val="21"/>
          <w:spacing w:val="-11"/>
        </w:rPr>
        <w:t>应，加快实现生产流通和消费的上下游对接，促进社会化生产及社会</w:t>
      </w:r>
      <w:r>
        <w:rPr>
          <w:rFonts w:ascii="SimSun" w:hAnsi="SimSun" w:eastAsia="SimSun" w:cs="SimSun"/>
          <w:sz w:val="21"/>
          <w:szCs w:val="21"/>
          <w:spacing w:val="17"/>
        </w:rPr>
        <w:t xml:space="preserve"> </w:t>
      </w:r>
      <w:r>
        <w:rPr>
          <w:rFonts w:ascii="SimSun" w:hAnsi="SimSun" w:eastAsia="SimSun" w:cs="SimSun"/>
          <w:sz w:val="21"/>
          <w:szCs w:val="21"/>
          <w:spacing w:val="-10"/>
        </w:rPr>
        <w:t>生产力的发展。①国家统计局数据显示，2020年全国网上零售额达到</w:t>
      </w:r>
      <w:r>
        <w:rPr>
          <w:rFonts w:ascii="SimSun" w:hAnsi="SimSun" w:eastAsia="SimSun" w:cs="SimSun"/>
          <w:sz w:val="21"/>
          <w:szCs w:val="21"/>
          <w:spacing w:val="13"/>
        </w:rPr>
        <w:t xml:space="preserve"> </w:t>
      </w:r>
      <w:r>
        <w:rPr>
          <w:rFonts w:ascii="SimSun" w:hAnsi="SimSun" w:eastAsia="SimSun" w:cs="SimSun"/>
          <w:sz w:val="21"/>
          <w:szCs w:val="21"/>
          <w:spacing w:val="-1"/>
        </w:rPr>
        <w:t>11.76万亿元，同比增长10.9%,实物商品网上零售额更是达9.76万</w:t>
      </w:r>
      <w:r>
        <w:rPr>
          <w:rFonts w:ascii="SimSun" w:hAnsi="SimSun" w:eastAsia="SimSun" w:cs="SimSun"/>
          <w:sz w:val="21"/>
          <w:szCs w:val="21"/>
          <w:spacing w:val="11"/>
        </w:rPr>
        <w:t xml:space="preserve"> </w:t>
      </w:r>
      <w:r>
        <w:rPr>
          <w:rFonts w:ascii="SimSun" w:hAnsi="SimSun" w:eastAsia="SimSun" w:cs="SimSun"/>
          <w:sz w:val="21"/>
          <w:szCs w:val="21"/>
        </w:rPr>
        <w:t>亿元，同比增长14.8%,占社会消费品零售总</w:t>
      </w:r>
      <w:r>
        <w:rPr>
          <w:rFonts w:ascii="SimSun" w:hAnsi="SimSun" w:eastAsia="SimSun" w:cs="SimSun"/>
          <w:sz w:val="21"/>
          <w:szCs w:val="21"/>
          <w:spacing w:val="-1"/>
        </w:rPr>
        <w:t>额的比重约为25%。可</w:t>
      </w:r>
      <w:r>
        <w:rPr>
          <w:rFonts w:ascii="SimSun" w:hAnsi="SimSun" w:eastAsia="SimSun" w:cs="SimSun"/>
          <w:sz w:val="21"/>
          <w:szCs w:val="21"/>
        </w:rPr>
        <w:t xml:space="preserve"> </w:t>
      </w:r>
      <w:r>
        <w:rPr>
          <w:rFonts w:ascii="SimSun" w:hAnsi="SimSun" w:eastAsia="SimSun" w:cs="SimSun"/>
          <w:sz w:val="21"/>
          <w:szCs w:val="21"/>
          <w:spacing w:val="-10"/>
        </w:rPr>
        <w:t>见，平台经济的迅猛发展使得各领域各行业迎来了发</w:t>
      </w:r>
      <w:r>
        <w:rPr>
          <w:rFonts w:ascii="SimSun" w:hAnsi="SimSun" w:eastAsia="SimSun" w:cs="SimSun"/>
          <w:sz w:val="21"/>
          <w:szCs w:val="21"/>
          <w:spacing w:val="-11"/>
        </w:rPr>
        <w:t>展的春天，各种</w:t>
      </w:r>
      <w:r>
        <w:rPr>
          <w:rFonts w:ascii="SimSun" w:hAnsi="SimSun" w:eastAsia="SimSun" w:cs="SimSun"/>
          <w:sz w:val="21"/>
          <w:szCs w:val="21"/>
        </w:rPr>
        <w:t xml:space="preserve"> </w:t>
      </w:r>
      <w:r>
        <w:rPr>
          <w:rFonts w:ascii="SimSun" w:hAnsi="SimSun" w:eastAsia="SimSun" w:cs="SimSun"/>
          <w:sz w:val="21"/>
          <w:szCs w:val="21"/>
          <w:spacing w:val="-10"/>
        </w:rPr>
        <w:t>类型的平台层出不穷，平台之间相互促进、</w:t>
      </w:r>
      <w:r>
        <w:rPr>
          <w:rFonts w:ascii="SimSun" w:hAnsi="SimSun" w:eastAsia="SimSun" w:cs="SimSun"/>
          <w:sz w:val="21"/>
          <w:szCs w:val="21"/>
          <w:spacing w:val="-11"/>
        </w:rPr>
        <w:t>相互竞争，成为数字时代</w:t>
      </w:r>
      <w:r>
        <w:rPr>
          <w:rFonts w:ascii="SimSun" w:hAnsi="SimSun" w:eastAsia="SimSun" w:cs="SimSun"/>
          <w:sz w:val="21"/>
          <w:szCs w:val="21"/>
        </w:rPr>
        <w:t xml:space="preserve"> </w:t>
      </w:r>
      <w:r>
        <w:rPr>
          <w:rFonts w:ascii="SimSun" w:hAnsi="SimSun" w:eastAsia="SimSun" w:cs="SimSun"/>
          <w:sz w:val="21"/>
          <w:szCs w:val="21"/>
          <w:spacing w:val="-10"/>
        </w:rPr>
        <w:t>经济发展的关键驱动点，平台经济逐步成为新经济创新发展的重要动</w:t>
      </w:r>
      <w:r>
        <w:rPr>
          <w:rFonts w:ascii="SimSun" w:hAnsi="SimSun" w:eastAsia="SimSun" w:cs="SimSun"/>
          <w:sz w:val="21"/>
          <w:szCs w:val="21"/>
          <w:spacing w:val="13"/>
        </w:rPr>
        <w:t xml:space="preserve"> </w:t>
      </w:r>
      <w:r>
        <w:rPr>
          <w:rFonts w:ascii="SimSun" w:hAnsi="SimSun" w:eastAsia="SimSun" w:cs="SimSun"/>
          <w:sz w:val="21"/>
          <w:szCs w:val="21"/>
          <w:spacing w:val="-10"/>
        </w:rPr>
        <w:t>力源。</w:t>
      </w:r>
    </w:p>
    <w:p>
      <w:pPr>
        <w:ind w:right="55" w:firstLine="450"/>
        <w:spacing w:before="109" w:line="297" w:lineRule="auto"/>
        <w:jc w:val="both"/>
        <w:rPr>
          <w:rFonts w:ascii="SimSun" w:hAnsi="SimSun" w:eastAsia="SimSun" w:cs="SimSun"/>
          <w:sz w:val="21"/>
          <w:szCs w:val="21"/>
        </w:rPr>
      </w:pPr>
      <w:r>
        <w:rPr>
          <w:rFonts w:ascii="SimSun" w:hAnsi="SimSun" w:eastAsia="SimSun" w:cs="SimSun"/>
          <w:sz w:val="21"/>
          <w:szCs w:val="21"/>
          <w:spacing w:val="-12"/>
        </w:rPr>
        <w:t>与此同时，“创新驱动”也逐渐成为助推平台经济向前发展的关</w:t>
      </w:r>
      <w:r>
        <w:rPr>
          <w:rFonts w:ascii="SimSun" w:hAnsi="SimSun" w:eastAsia="SimSun" w:cs="SimSun"/>
          <w:sz w:val="21"/>
          <w:szCs w:val="21"/>
          <w:spacing w:val="14"/>
        </w:rPr>
        <w:t xml:space="preserve"> </w:t>
      </w:r>
      <w:r>
        <w:rPr>
          <w:rFonts w:ascii="SimSun" w:hAnsi="SimSun" w:eastAsia="SimSun" w:cs="SimSun"/>
          <w:sz w:val="21"/>
          <w:szCs w:val="21"/>
          <w:spacing w:val="-11"/>
        </w:rPr>
        <w:t>键。从互联网技术代际创新发展对平台经济发展的促进历程可见，技</w:t>
      </w:r>
      <w:r>
        <w:rPr>
          <w:rFonts w:ascii="SimSun" w:hAnsi="SimSun" w:eastAsia="SimSun" w:cs="SimSun"/>
          <w:sz w:val="21"/>
          <w:szCs w:val="21"/>
          <w:spacing w:val="17"/>
        </w:rPr>
        <w:t xml:space="preserve"> </w:t>
      </w:r>
      <w:r>
        <w:rPr>
          <w:rFonts w:ascii="SimSun" w:hAnsi="SimSun" w:eastAsia="SimSun" w:cs="SimSun"/>
          <w:sz w:val="21"/>
          <w:szCs w:val="21"/>
          <w:spacing w:val="-10"/>
        </w:rPr>
        <w:t>术的创新迭代对商业模式创新发展具有显著作</w:t>
      </w:r>
      <w:r>
        <w:rPr>
          <w:rFonts w:ascii="SimSun" w:hAnsi="SimSun" w:eastAsia="SimSun" w:cs="SimSun"/>
          <w:sz w:val="21"/>
          <w:szCs w:val="21"/>
          <w:spacing w:val="-11"/>
        </w:rPr>
        <w:t>用。中国信息通信研究</w:t>
      </w:r>
      <w:r>
        <w:rPr>
          <w:rFonts w:ascii="SimSun" w:hAnsi="SimSun" w:eastAsia="SimSun" w:cs="SimSun"/>
          <w:sz w:val="21"/>
          <w:szCs w:val="21"/>
        </w:rPr>
        <w:t xml:space="preserve"> </w:t>
      </w:r>
      <w:r>
        <w:rPr>
          <w:rFonts w:ascii="SimSun" w:hAnsi="SimSun" w:eastAsia="SimSun" w:cs="SimSun"/>
          <w:sz w:val="21"/>
          <w:szCs w:val="21"/>
          <w:spacing w:val="2"/>
        </w:rPr>
        <w:t>院的《互联网平台治理研究报告(2019年)》显示，从第一代的</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3"/>
        </w:rPr>
        <w:t>(个人计算机)端操作系统类平台到第二代的移动端</w:t>
      </w:r>
      <w:r>
        <w:rPr>
          <w:rFonts w:ascii="SimSun" w:hAnsi="SimSun" w:eastAsia="SimSun" w:cs="SimSun"/>
          <w:sz w:val="21"/>
          <w:szCs w:val="21"/>
          <w:spacing w:val="-4"/>
        </w:rPr>
        <w:t>操作系统，乃至</w:t>
      </w:r>
    </w:p>
    <w:p>
      <w:pPr>
        <w:pStyle w:val="BodyText"/>
        <w:spacing w:line="269" w:lineRule="auto"/>
        <w:rPr/>
      </w:pPr>
      <w:r/>
    </w:p>
    <w:p>
      <w:pPr>
        <w:pStyle w:val="BodyText"/>
        <w:spacing w:line="269" w:lineRule="auto"/>
        <w:rPr/>
      </w:pPr>
      <w:r/>
    </w:p>
    <w:p>
      <w:pPr>
        <w:ind w:left="329" w:right="32" w:hanging="329"/>
        <w:spacing w:before="52" w:line="272" w:lineRule="auto"/>
        <w:rPr>
          <w:rFonts w:ascii="SimSun" w:hAnsi="SimSun" w:eastAsia="SimSun" w:cs="SimSun"/>
          <w:sz w:val="16"/>
          <w:szCs w:val="16"/>
        </w:rPr>
      </w:pPr>
      <w:r>
        <w:rPr>
          <w:rFonts w:ascii="KaiTi" w:hAnsi="KaiTi" w:eastAsia="KaiTi" w:cs="KaiTi"/>
          <w:sz w:val="16"/>
          <w:szCs w:val="16"/>
          <w:spacing w:val="3"/>
        </w:rPr>
        <w:t>①</w:t>
      </w:r>
      <w:r>
        <w:rPr>
          <w:rFonts w:ascii="KaiTi" w:hAnsi="KaiTi" w:eastAsia="KaiTi" w:cs="KaiTi"/>
          <w:sz w:val="16"/>
          <w:szCs w:val="16"/>
          <w:spacing w:val="3"/>
        </w:rPr>
        <w:t xml:space="preserve">  </w:t>
      </w:r>
      <w:r>
        <w:rPr>
          <w:rFonts w:ascii="KaiTi" w:hAnsi="KaiTi" w:eastAsia="KaiTi" w:cs="KaiTi"/>
          <w:sz w:val="16"/>
          <w:szCs w:val="16"/>
          <w:spacing w:val="3"/>
        </w:rPr>
        <w:t>周文，韩文龙.平台经济发展再审视：垄断与数字税新挑战</w:t>
      </w:r>
      <w:r>
        <w:rPr>
          <w:rFonts w:ascii="KaiTi" w:hAnsi="KaiTi" w:eastAsia="KaiTi" w:cs="KaiTi"/>
          <w:sz w:val="16"/>
          <w:szCs w:val="16"/>
          <w:spacing w:val="2"/>
        </w:rPr>
        <w:t>.中国社会科学，2021</w:t>
      </w:r>
      <w:r>
        <w:rPr>
          <w:rFonts w:ascii="KaiTi" w:hAnsi="KaiTi" w:eastAsia="KaiTi" w:cs="KaiTi"/>
          <w:sz w:val="16"/>
          <w:szCs w:val="16"/>
        </w:rPr>
        <w:t xml:space="preserve"> </w:t>
      </w:r>
      <w:r>
        <w:rPr>
          <w:rFonts w:ascii="SimSun" w:hAnsi="SimSun" w:eastAsia="SimSun" w:cs="SimSun"/>
          <w:sz w:val="16"/>
          <w:szCs w:val="16"/>
          <w:spacing w:val="-2"/>
        </w:rPr>
        <w:t>(3):103-118,206.</w:t>
      </w:r>
    </w:p>
    <w:p>
      <w:pPr>
        <w:spacing w:line="272" w:lineRule="auto"/>
        <w:sectPr>
          <w:headerReference w:type="default" r:id="rId410"/>
          <w:pgSz w:w="7330" w:h="12480"/>
          <w:pgMar w:top="487" w:right="505" w:bottom="400" w:left="759" w:header="325" w:footer="0" w:gutter="0"/>
        </w:sectPr>
        <w:rPr>
          <w:rFonts w:ascii="SimSun" w:hAnsi="SimSun" w:eastAsia="SimSun" w:cs="SimSun"/>
          <w:sz w:val="16"/>
          <w:szCs w:val="16"/>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before="68" w:line="292" w:lineRule="auto"/>
        <w:jc w:val="both"/>
        <w:rPr>
          <w:rFonts w:ascii="SimSun" w:hAnsi="SimSun" w:eastAsia="SimSun" w:cs="SimSun"/>
          <w:sz w:val="21"/>
          <w:szCs w:val="21"/>
        </w:rPr>
      </w:pPr>
      <w:r>
        <w:rPr>
          <w:rFonts w:ascii="SimSun" w:hAnsi="SimSun" w:eastAsia="SimSun" w:cs="SimSun"/>
          <w:sz w:val="21"/>
          <w:szCs w:val="21"/>
          <w:spacing w:val="-4"/>
        </w:rPr>
        <w:t>第三代的互联网应用类平台，均依托技术的进步实现了商业模式的</w:t>
      </w:r>
      <w:r>
        <w:rPr>
          <w:rFonts w:ascii="SimSun" w:hAnsi="SimSun" w:eastAsia="SimSun" w:cs="SimSun"/>
          <w:sz w:val="21"/>
          <w:szCs w:val="21"/>
          <w:spacing w:val="5"/>
        </w:rPr>
        <w:t xml:space="preserve">  </w:t>
      </w:r>
      <w:r>
        <w:rPr>
          <w:rFonts w:ascii="SimSun" w:hAnsi="SimSun" w:eastAsia="SimSun" w:cs="SimSun"/>
          <w:sz w:val="21"/>
          <w:szCs w:val="21"/>
          <w:spacing w:val="-8"/>
        </w:rPr>
        <w:t>跨跃式发展。新技术的应用使得平台的底层技术架构运行越发便捷、</w:t>
      </w:r>
      <w:r>
        <w:rPr>
          <w:rFonts w:ascii="SimSun" w:hAnsi="SimSun" w:eastAsia="SimSun" w:cs="SimSun"/>
          <w:sz w:val="21"/>
          <w:szCs w:val="21"/>
          <w:spacing w:val="14"/>
        </w:rPr>
        <w:t xml:space="preserve"> </w:t>
      </w:r>
      <w:r>
        <w:rPr>
          <w:rFonts w:ascii="SimSun" w:hAnsi="SimSun" w:eastAsia="SimSun" w:cs="SimSun"/>
          <w:sz w:val="21"/>
          <w:szCs w:val="21"/>
          <w:spacing w:val="-11"/>
        </w:rPr>
        <w:t>平台整体经营规模越发庞大，诸如阿里巴巴和腾讯这类应用型大平台</w:t>
      </w:r>
      <w:r>
        <w:rPr>
          <w:rFonts w:ascii="SimSun" w:hAnsi="SimSun" w:eastAsia="SimSun" w:cs="SimSun"/>
          <w:sz w:val="21"/>
          <w:szCs w:val="21"/>
        </w:rPr>
        <w:t xml:space="preserve">  </w:t>
      </w:r>
      <w:r>
        <w:rPr>
          <w:rFonts w:ascii="SimSun" w:hAnsi="SimSun" w:eastAsia="SimSun" w:cs="SimSun"/>
          <w:sz w:val="21"/>
          <w:szCs w:val="21"/>
          <w:spacing w:val="-12"/>
        </w:rPr>
        <w:t>的快速崛起，便是平台经济创新发展的最佳体现。</w:t>
      </w:r>
    </w:p>
    <w:p>
      <w:pPr>
        <w:ind w:firstLine="305"/>
        <w:spacing w:before="109" w:line="307" w:lineRule="auto"/>
        <w:jc w:val="both"/>
        <w:rPr>
          <w:rFonts w:ascii="SimSun" w:hAnsi="SimSun" w:eastAsia="SimSun" w:cs="SimSun"/>
          <w:sz w:val="21"/>
          <w:szCs w:val="21"/>
        </w:rPr>
      </w:pPr>
      <w:r>
        <w:rPr>
          <w:rFonts w:ascii="SimSun" w:hAnsi="SimSun" w:eastAsia="SimSun" w:cs="SimSun"/>
          <w:sz w:val="21"/>
          <w:szCs w:val="21"/>
          <w:spacing w:val="-7"/>
        </w:rPr>
        <w:t>“十四五”规划纲要明确将促进共享经济、平台经济健康发展作 </w:t>
      </w:r>
      <w:r>
        <w:rPr>
          <w:rFonts w:ascii="SimSun" w:hAnsi="SimSun" w:eastAsia="SimSun" w:cs="SimSun"/>
          <w:sz w:val="21"/>
          <w:szCs w:val="21"/>
          <w:spacing w:val="-4"/>
        </w:rPr>
        <w:t>为培育战略性新兴产业的重要内容。2020年12月召开的中央经济工</w:t>
      </w:r>
      <w:r>
        <w:rPr>
          <w:rFonts w:ascii="SimSun" w:hAnsi="SimSun" w:eastAsia="SimSun" w:cs="SimSun"/>
          <w:sz w:val="21"/>
          <w:szCs w:val="21"/>
          <w:spacing w:val="9"/>
        </w:rPr>
        <w:t xml:space="preserve">  </w:t>
      </w:r>
      <w:r>
        <w:rPr>
          <w:rFonts w:ascii="SimSun" w:hAnsi="SimSun" w:eastAsia="SimSun" w:cs="SimSun"/>
          <w:sz w:val="21"/>
          <w:szCs w:val="21"/>
          <w:spacing w:val="-8"/>
        </w:rPr>
        <w:t>作会议再次强调“国家支持平台企业创新发展、增强国际竞争力”。</w:t>
      </w:r>
      <w:r>
        <w:rPr>
          <w:rFonts w:ascii="SimSun" w:hAnsi="SimSun" w:eastAsia="SimSun" w:cs="SimSun"/>
          <w:sz w:val="21"/>
          <w:szCs w:val="21"/>
          <w:spacing w:val="14"/>
        </w:rPr>
        <w:t xml:space="preserve"> </w:t>
      </w:r>
      <w:r>
        <w:rPr>
          <w:rFonts w:ascii="SimSun" w:hAnsi="SimSun" w:eastAsia="SimSun" w:cs="SimSun"/>
          <w:sz w:val="21"/>
          <w:szCs w:val="21"/>
          <w:spacing w:val="-11"/>
        </w:rPr>
        <w:t>同时，也强调“要完善平台企业垄断认定、数据收集使用管理、消费</w:t>
      </w:r>
      <w:r>
        <w:rPr>
          <w:rFonts w:ascii="SimSun" w:hAnsi="SimSun" w:eastAsia="SimSun" w:cs="SimSun"/>
          <w:sz w:val="21"/>
          <w:szCs w:val="21"/>
          <w:spacing w:val="5"/>
        </w:rPr>
        <w:t xml:space="preserve">  </w:t>
      </w:r>
      <w:r>
        <w:rPr>
          <w:rFonts w:ascii="SimSun" w:hAnsi="SimSun" w:eastAsia="SimSun" w:cs="SimSun"/>
          <w:sz w:val="21"/>
          <w:szCs w:val="21"/>
          <w:spacing w:val="-12"/>
        </w:rPr>
        <w:t>者权益保护等方面的法律规范”。可见，平台经济创新作为国家经济</w:t>
      </w:r>
      <w:r>
        <w:rPr>
          <w:rFonts w:ascii="SimSun" w:hAnsi="SimSun" w:eastAsia="SimSun" w:cs="SimSun"/>
          <w:sz w:val="21"/>
          <w:szCs w:val="21"/>
          <w:spacing w:val="9"/>
        </w:rPr>
        <w:t xml:space="preserve">  </w:t>
      </w:r>
      <w:r>
        <w:rPr>
          <w:rFonts w:ascii="SimSun" w:hAnsi="SimSun" w:eastAsia="SimSun" w:cs="SimSun"/>
          <w:sz w:val="21"/>
          <w:szCs w:val="21"/>
          <w:spacing w:val="-11"/>
        </w:rPr>
        <w:t>发展的大方向、大趋势，成为数字时代国家经济迅猛发展的重要着力</w:t>
      </w:r>
      <w:r>
        <w:rPr>
          <w:rFonts w:ascii="SimSun" w:hAnsi="SimSun" w:eastAsia="SimSun" w:cs="SimSun"/>
          <w:sz w:val="21"/>
          <w:szCs w:val="21"/>
          <w:spacing w:val="8"/>
        </w:rPr>
        <w:t xml:space="preserve">  </w:t>
      </w:r>
      <w:r>
        <w:rPr>
          <w:rFonts w:ascii="SimSun" w:hAnsi="SimSun" w:eastAsia="SimSun" w:cs="SimSun"/>
          <w:sz w:val="21"/>
          <w:szCs w:val="21"/>
          <w:spacing w:val="-11"/>
        </w:rPr>
        <w:t>点。加强平台经济治理、促进平台经济健康创新发展未来也将成为治</w:t>
      </w:r>
      <w:r>
        <w:rPr>
          <w:rFonts w:ascii="SimSun" w:hAnsi="SimSun" w:eastAsia="SimSun" w:cs="SimSun"/>
          <w:sz w:val="21"/>
          <w:szCs w:val="21"/>
          <w:spacing w:val="8"/>
        </w:rPr>
        <w:t xml:space="preserve">  </w:t>
      </w:r>
      <w:r>
        <w:rPr>
          <w:rFonts w:ascii="SimSun" w:hAnsi="SimSun" w:eastAsia="SimSun" w:cs="SimSun"/>
          <w:sz w:val="21"/>
          <w:szCs w:val="21"/>
          <w:spacing w:val="-11"/>
        </w:rPr>
        <w:t>理的重点方面。通过激励平台创新，加强新经济业态发展，有利于激</w:t>
      </w:r>
      <w:r>
        <w:rPr>
          <w:rFonts w:ascii="SimSun" w:hAnsi="SimSun" w:eastAsia="SimSun" w:cs="SimSun"/>
          <w:sz w:val="21"/>
          <w:szCs w:val="21"/>
          <w:spacing w:val="3"/>
        </w:rPr>
        <w:t xml:space="preserve">  </w:t>
      </w:r>
      <w:r>
        <w:rPr>
          <w:rFonts w:ascii="SimSun" w:hAnsi="SimSun" w:eastAsia="SimSun" w:cs="SimSun"/>
          <w:sz w:val="21"/>
          <w:szCs w:val="21"/>
          <w:spacing w:val="-11"/>
        </w:rPr>
        <w:t>发市场活力，加快市场更新换代步伐，提高国家经济综合实力和国际</w:t>
      </w:r>
      <w:r>
        <w:rPr>
          <w:rFonts w:ascii="SimSun" w:hAnsi="SimSun" w:eastAsia="SimSun" w:cs="SimSun"/>
          <w:sz w:val="21"/>
          <w:szCs w:val="21"/>
          <w:spacing w:val="3"/>
        </w:rPr>
        <w:t xml:space="preserve">  </w:t>
      </w:r>
      <w:r>
        <w:rPr>
          <w:rFonts w:ascii="SimSun" w:hAnsi="SimSun" w:eastAsia="SimSun" w:cs="SimSun"/>
          <w:sz w:val="21"/>
          <w:szCs w:val="21"/>
          <w:spacing w:val="-8"/>
        </w:rPr>
        <w:t>影响力。</w:t>
      </w:r>
    </w:p>
    <w:p>
      <w:pPr>
        <w:ind w:right="75" w:firstLine="410"/>
        <w:spacing w:before="105" w:line="306" w:lineRule="auto"/>
        <w:jc w:val="both"/>
        <w:rPr>
          <w:rFonts w:ascii="SimSun" w:hAnsi="SimSun" w:eastAsia="SimSun" w:cs="SimSun"/>
          <w:sz w:val="21"/>
          <w:szCs w:val="21"/>
        </w:rPr>
      </w:pPr>
      <w:r>
        <w:rPr>
          <w:rFonts w:ascii="SimSun" w:hAnsi="SimSun" w:eastAsia="SimSun" w:cs="SimSun"/>
          <w:sz w:val="21"/>
          <w:szCs w:val="21"/>
          <w:spacing w:val="-11"/>
        </w:rPr>
        <w:t>创新是产业发展的自然属性，产业发展亦会逐步改变</w:t>
      </w:r>
      <w:r>
        <w:rPr>
          <w:rFonts w:ascii="SimSun" w:hAnsi="SimSun" w:eastAsia="SimSun" w:cs="SimSun"/>
          <w:sz w:val="21"/>
          <w:szCs w:val="21"/>
          <w:spacing w:val="-12"/>
        </w:rPr>
        <w:t>并影响创新</w:t>
      </w:r>
      <w:r>
        <w:rPr>
          <w:rFonts w:ascii="SimSun" w:hAnsi="SimSun" w:eastAsia="SimSun" w:cs="SimSun"/>
          <w:sz w:val="21"/>
          <w:szCs w:val="21"/>
        </w:rPr>
        <w:t xml:space="preserve"> </w:t>
      </w:r>
      <w:r>
        <w:rPr>
          <w:rFonts w:ascii="SimSun" w:hAnsi="SimSun" w:eastAsia="SimSun" w:cs="SimSun"/>
          <w:sz w:val="21"/>
          <w:szCs w:val="21"/>
          <w:spacing w:val="-11"/>
        </w:rPr>
        <w:t>的方式。人类社会在没有法律制度予以激励的年代，推动生产力变革</w:t>
      </w:r>
      <w:r>
        <w:rPr>
          <w:rFonts w:ascii="SimSun" w:hAnsi="SimSun" w:eastAsia="SimSun" w:cs="SimSun"/>
          <w:sz w:val="21"/>
          <w:szCs w:val="21"/>
          <w:spacing w:val="7"/>
        </w:rPr>
        <w:t xml:space="preserve"> </w:t>
      </w:r>
      <w:r>
        <w:rPr>
          <w:rFonts w:ascii="SimSun" w:hAnsi="SimSun" w:eastAsia="SimSun" w:cs="SimSun"/>
          <w:sz w:val="21"/>
          <w:szCs w:val="21"/>
          <w:spacing w:val="-10"/>
        </w:rPr>
        <w:t>时也会存在创新，在数字经济时代则更需要新一轮的创新来推动</w:t>
      </w:r>
      <w:r>
        <w:rPr>
          <w:rFonts w:ascii="SimSun" w:hAnsi="SimSun" w:eastAsia="SimSun" w:cs="SimSun"/>
          <w:sz w:val="21"/>
          <w:szCs w:val="21"/>
          <w:spacing w:val="-11"/>
        </w:rPr>
        <w:t>技术</w:t>
      </w:r>
      <w:r>
        <w:rPr>
          <w:rFonts w:ascii="SimSun" w:hAnsi="SimSun" w:eastAsia="SimSun" w:cs="SimSun"/>
          <w:sz w:val="21"/>
          <w:szCs w:val="21"/>
        </w:rPr>
        <w:t xml:space="preserve"> </w:t>
      </w:r>
      <w:r>
        <w:rPr>
          <w:rFonts w:ascii="SimSun" w:hAnsi="SimSun" w:eastAsia="SimSun" w:cs="SimSun"/>
          <w:sz w:val="21"/>
          <w:szCs w:val="21"/>
          <w:spacing w:val="-11"/>
        </w:rPr>
        <w:t>与经济的划时代变革。创新与竞争之间相互影响、相互作用，在数字</w:t>
      </w:r>
      <w:r>
        <w:rPr>
          <w:rFonts w:ascii="SimSun" w:hAnsi="SimSun" w:eastAsia="SimSun" w:cs="SimSun"/>
          <w:sz w:val="21"/>
          <w:szCs w:val="21"/>
          <w:spacing w:val="8"/>
        </w:rPr>
        <w:t xml:space="preserve"> </w:t>
      </w:r>
      <w:r>
        <w:rPr>
          <w:rFonts w:ascii="SimSun" w:hAnsi="SimSun" w:eastAsia="SimSun" w:cs="SimSun"/>
          <w:sz w:val="21"/>
          <w:szCs w:val="21"/>
          <w:spacing w:val="-11"/>
        </w:rPr>
        <w:t>经济时代，市场主体通过创新获取竞争优势，而创新也需要更大额资</w:t>
      </w:r>
      <w:r>
        <w:rPr>
          <w:rFonts w:ascii="SimSun" w:hAnsi="SimSun" w:eastAsia="SimSun" w:cs="SimSun"/>
          <w:sz w:val="21"/>
          <w:szCs w:val="21"/>
          <w:spacing w:val="13"/>
        </w:rPr>
        <w:t xml:space="preserve"> </w:t>
      </w:r>
      <w:r>
        <w:rPr>
          <w:rFonts w:ascii="SimSun" w:hAnsi="SimSun" w:eastAsia="SimSun" w:cs="SimSun"/>
          <w:sz w:val="21"/>
          <w:szCs w:val="21"/>
          <w:spacing w:val="-11"/>
        </w:rPr>
        <w:t>本予以支撑。市场主体通过大量资本投入以尝试获取垄断利润，这本</w:t>
      </w:r>
      <w:r>
        <w:rPr>
          <w:rFonts w:ascii="SimSun" w:hAnsi="SimSun" w:eastAsia="SimSun" w:cs="SimSun"/>
          <w:sz w:val="21"/>
          <w:szCs w:val="21"/>
          <w:spacing w:val="8"/>
        </w:rPr>
        <w:t xml:space="preserve"> </w:t>
      </w:r>
      <w:r>
        <w:rPr>
          <w:rFonts w:ascii="SimSun" w:hAnsi="SimSun" w:eastAsia="SimSun" w:cs="SimSun"/>
          <w:sz w:val="21"/>
          <w:szCs w:val="21"/>
          <w:spacing w:val="-11"/>
        </w:rPr>
        <w:t>身并无过错，但市场主体通过滥用市场支配地位遏制创新，造成市场</w:t>
      </w:r>
      <w:r>
        <w:rPr>
          <w:rFonts w:ascii="SimSun" w:hAnsi="SimSun" w:eastAsia="SimSun" w:cs="SimSun"/>
          <w:sz w:val="21"/>
          <w:szCs w:val="21"/>
          <w:spacing w:val="11"/>
        </w:rPr>
        <w:t xml:space="preserve"> </w:t>
      </w:r>
      <w:r>
        <w:rPr>
          <w:rFonts w:ascii="SimSun" w:hAnsi="SimSun" w:eastAsia="SimSun" w:cs="SimSun"/>
          <w:sz w:val="21"/>
          <w:szCs w:val="21"/>
          <w:spacing w:val="-11"/>
        </w:rPr>
        <w:t>混乱或限制有效竞争的结果，便需要予以反垄断监管以维护市场公平</w:t>
      </w:r>
      <w:r>
        <w:rPr>
          <w:rFonts w:ascii="SimSun" w:hAnsi="SimSun" w:eastAsia="SimSun" w:cs="SimSun"/>
          <w:sz w:val="21"/>
          <w:szCs w:val="21"/>
          <w:spacing w:val="8"/>
        </w:rPr>
        <w:t xml:space="preserve"> </w:t>
      </w:r>
      <w:r>
        <w:rPr>
          <w:rFonts w:ascii="SimSun" w:hAnsi="SimSun" w:eastAsia="SimSun" w:cs="SimSun"/>
          <w:sz w:val="21"/>
          <w:szCs w:val="21"/>
          <w:spacing w:val="-13"/>
        </w:rPr>
        <w:t>竞争秩序，为创新提供更好的市场环境。</w:t>
      </w:r>
    </w:p>
    <w:p>
      <w:pPr>
        <w:pStyle w:val="BodyText"/>
        <w:spacing w:line="386"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14"/>
        </w:rPr>
        <w:t>平台反垄断监管日趋活跃</w:t>
      </w:r>
    </w:p>
    <w:p>
      <w:pPr>
        <w:pStyle w:val="BodyText"/>
        <w:spacing w:line="359"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3"/>
        </w:rPr>
        <w:t>伴随着新一轮科技创新和产业革命，平台经济以一种更加具有</w:t>
      </w:r>
    </w:p>
    <w:p>
      <w:pPr>
        <w:spacing w:line="219" w:lineRule="auto"/>
        <w:sectPr>
          <w:headerReference w:type="default" r:id="rId412"/>
          <w:pgSz w:w="7330" w:h="12480"/>
          <w:pgMar w:top="805" w:right="774" w:bottom="400" w:left="479" w:header="631"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spacing w:before="68" w:line="309" w:lineRule="auto"/>
        <w:jc w:val="both"/>
        <w:rPr>
          <w:rFonts w:ascii="SimSun" w:hAnsi="SimSun" w:eastAsia="SimSun" w:cs="SimSun"/>
          <w:sz w:val="21"/>
          <w:szCs w:val="21"/>
        </w:rPr>
      </w:pPr>
      <w:r>
        <w:rPr>
          <w:rFonts w:ascii="SimSun" w:hAnsi="SimSun" w:eastAsia="SimSun" w:cs="SimSun"/>
          <w:sz w:val="21"/>
          <w:szCs w:val="21"/>
          <w:spacing w:val="-11"/>
        </w:rPr>
        <w:t>生命力、更加强劲拓展的模式在全球范围内迅速发展铺开。平台经济</w:t>
      </w:r>
      <w:r>
        <w:rPr>
          <w:rFonts w:ascii="SimSun" w:hAnsi="SimSun" w:eastAsia="SimSun" w:cs="SimSun"/>
          <w:sz w:val="21"/>
          <w:szCs w:val="21"/>
          <w:spacing w:val="8"/>
        </w:rPr>
        <w:t xml:space="preserve"> </w:t>
      </w:r>
      <w:r>
        <w:rPr>
          <w:rFonts w:ascii="SimSun" w:hAnsi="SimSun" w:eastAsia="SimSun" w:cs="SimSun"/>
          <w:sz w:val="21"/>
          <w:szCs w:val="21"/>
          <w:spacing w:val="-11"/>
        </w:rPr>
        <w:t>作为创新的产物，在推动市场经济发展的同时，也给传统法律中的竞</w:t>
      </w:r>
      <w:r>
        <w:rPr>
          <w:rFonts w:ascii="SimSun" w:hAnsi="SimSun" w:eastAsia="SimSun" w:cs="SimSun"/>
          <w:sz w:val="21"/>
          <w:szCs w:val="21"/>
          <w:spacing w:val="9"/>
        </w:rPr>
        <w:t xml:space="preserve"> </w:t>
      </w:r>
      <w:r>
        <w:rPr>
          <w:rFonts w:ascii="SimSun" w:hAnsi="SimSun" w:eastAsia="SimSun" w:cs="SimSun"/>
          <w:sz w:val="21"/>
          <w:szCs w:val="21"/>
          <w:spacing w:val="-11"/>
        </w:rPr>
        <w:t>争监管体制带来冲击，同时因其具有的双边或多边网络效应、数据驱</w:t>
      </w:r>
      <w:r>
        <w:rPr>
          <w:rFonts w:ascii="SimSun" w:hAnsi="SimSun" w:eastAsia="SimSun" w:cs="SimSun"/>
          <w:sz w:val="21"/>
          <w:szCs w:val="21"/>
          <w:spacing w:val="6"/>
        </w:rPr>
        <w:t xml:space="preserve"> </w:t>
      </w:r>
      <w:r>
        <w:rPr>
          <w:rFonts w:ascii="SimSun" w:hAnsi="SimSun" w:eastAsia="SimSun" w:cs="SimSun"/>
          <w:sz w:val="21"/>
          <w:szCs w:val="21"/>
          <w:spacing w:val="-11"/>
        </w:rPr>
        <w:t>动、跨界传导等特性容易催生出行业集中度极高的平台，对市场竞争</w:t>
      </w:r>
      <w:r>
        <w:rPr>
          <w:rFonts w:ascii="SimSun" w:hAnsi="SimSun" w:eastAsia="SimSun" w:cs="SimSun"/>
          <w:sz w:val="21"/>
          <w:szCs w:val="21"/>
          <w:spacing w:val="7"/>
        </w:rPr>
        <w:t xml:space="preserve"> </w:t>
      </w:r>
      <w:r>
        <w:rPr>
          <w:rFonts w:ascii="SimSun" w:hAnsi="SimSun" w:eastAsia="SimSun" w:cs="SimSun"/>
          <w:sz w:val="21"/>
          <w:szCs w:val="21"/>
          <w:spacing w:val="-11"/>
        </w:rPr>
        <w:t>极易带来垄断风险问题。面对平台经济所带来的垄断难题，各国政府</w:t>
      </w:r>
      <w:r>
        <w:rPr>
          <w:rFonts w:ascii="SimSun" w:hAnsi="SimSun" w:eastAsia="SimSun" w:cs="SimSun"/>
          <w:sz w:val="21"/>
          <w:szCs w:val="21"/>
          <w:spacing w:val="7"/>
        </w:rPr>
        <w:t xml:space="preserve"> </w:t>
      </w:r>
      <w:r>
        <w:rPr>
          <w:rFonts w:ascii="SimSun" w:hAnsi="SimSun" w:eastAsia="SimSun" w:cs="SimSun"/>
          <w:sz w:val="21"/>
          <w:szCs w:val="21"/>
          <w:spacing w:val="-10"/>
        </w:rPr>
        <w:t>纷纷展开行动，针对数字市场的反垄断监管进行探索，已</w:t>
      </w:r>
      <w:r>
        <w:rPr>
          <w:rFonts w:ascii="SimSun" w:hAnsi="SimSun" w:eastAsia="SimSun" w:cs="SimSun"/>
          <w:sz w:val="21"/>
          <w:szCs w:val="21"/>
          <w:spacing w:val="-11"/>
        </w:rPr>
        <w:t>逐步积累了</w:t>
      </w:r>
      <w:r>
        <w:rPr>
          <w:rFonts w:ascii="SimSun" w:hAnsi="SimSun" w:eastAsia="SimSun" w:cs="SimSun"/>
          <w:sz w:val="21"/>
          <w:szCs w:val="21"/>
        </w:rPr>
        <w:t xml:space="preserve"> </w:t>
      </w:r>
      <w:r>
        <w:rPr>
          <w:rFonts w:ascii="SimSun" w:hAnsi="SimSun" w:eastAsia="SimSun" w:cs="SimSun"/>
          <w:sz w:val="21"/>
          <w:szCs w:val="21"/>
          <w:spacing w:val="-3"/>
        </w:rPr>
        <w:t>一定的理论和实践经验。自2020年开始</w:t>
      </w:r>
      <w:r>
        <w:rPr>
          <w:rFonts w:ascii="SimSun" w:hAnsi="SimSun" w:eastAsia="SimSun" w:cs="SimSun"/>
          <w:sz w:val="21"/>
          <w:szCs w:val="21"/>
          <w:spacing w:val="-4"/>
        </w:rPr>
        <w:t>，全球范围内的平台经济相</w:t>
      </w:r>
      <w:r>
        <w:rPr>
          <w:rFonts w:ascii="SimSun" w:hAnsi="SimSun" w:eastAsia="SimSun" w:cs="SimSun"/>
          <w:sz w:val="21"/>
          <w:szCs w:val="21"/>
        </w:rPr>
        <w:t xml:space="preserve"> </w:t>
      </w:r>
      <w:r>
        <w:rPr>
          <w:rFonts w:ascii="SimSun" w:hAnsi="SimSun" w:eastAsia="SimSun" w:cs="SimSun"/>
          <w:sz w:val="21"/>
          <w:szCs w:val="21"/>
          <w:spacing w:val="-10"/>
        </w:rPr>
        <w:t>关政策和实务风向出现了巨大变化，监管者的</w:t>
      </w:r>
      <w:r>
        <w:rPr>
          <w:rFonts w:ascii="SimSun" w:hAnsi="SimSun" w:eastAsia="SimSun" w:cs="SimSun"/>
          <w:sz w:val="21"/>
          <w:szCs w:val="21"/>
          <w:spacing w:val="-11"/>
        </w:rPr>
        <w:t>重心开始倾向对以平台</w:t>
      </w:r>
      <w:r>
        <w:rPr>
          <w:rFonts w:ascii="SimSun" w:hAnsi="SimSun" w:eastAsia="SimSun" w:cs="SimSun"/>
          <w:sz w:val="21"/>
          <w:szCs w:val="21"/>
        </w:rPr>
        <w:t xml:space="preserve"> </w:t>
      </w:r>
      <w:r>
        <w:rPr>
          <w:rFonts w:ascii="SimSun" w:hAnsi="SimSun" w:eastAsia="SimSun" w:cs="SimSun"/>
          <w:sz w:val="21"/>
          <w:szCs w:val="21"/>
          <w:spacing w:val="-11"/>
        </w:rPr>
        <w:t>经济为代表的数字市场进行严格治理，在监管态度和监管实践上呈现</w:t>
      </w:r>
      <w:r>
        <w:rPr>
          <w:rFonts w:ascii="SimSun" w:hAnsi="SimSun" w:eastAsia="SimSun" w:cs="SimSun"/>
          <w:sz w:val="21"/>
          <w:szCs w:val="21"/>
          <w:spacing w:val="6"/>
        </w:rPr>
        <w:t xml:space="preserve"> </w:t>
      </w:r>
      <w:r>
        <w:rPr>
          <w:rFonts w:ascii="SimSun" w:hAnsi="SimSun" w:eastAsia="SimSun" w:cs="SimSun"/>
          <w:sz w:val="21"/>
          <w:szCs w:val="21"/>
          <w:spacing w:val="-5"/>
        </w:rPr>
        <w:t>了更多积极的作为。其中以欧盟提出《数字服务法》和《数字市场 </w:t>
      </w:r>
      <w:r>
        <w:rPr>
          <w:rFonts w:ascii="SimSun" w:hAnsi="SimSun" w:eastAsia="SimSun" w:cs="SimSun"/>
          <w:sz w:val="21"/>
          <w:szCs w:val="21"/>
          <w:spacing w:val="-6"/>
        </w:rPr>
        <w:t>法》草案，美国众议院司法委员会发布《数字市场竞争调查报告》,</w:t>
      </w:r>
      <w:r>
        <w:rPr>
          <w:rFonts w:ascii="SimSun" w:hAnsi="SimSun" w:eastAsia="SimSun" w:cs="SimSun"/>
          <w:sz w:val="21"/>
          <w:szCs w:val="21"/>
          <w:spacing w:val="17"/>
        </w:rPr>
        <w:t xml:space="preserve"> </w:t>
      </w:r>
      <w:r>
        <w:rPr>
          <w:rFonts w:ascii="SimSun" w:hAnsi="SimSun" w:eastAsia="SimSun" w:cs="SimSun"/>
          <w:sz w:val="21"/>
          <w:szCs w:val="21"/>
          <w:spacing w:val="-11"/>
        </w:rPr>
        <w:t>以及我国国务院反垄断委员会发布《国务院反垄断委员会关于平台经</w:t>
      </w:r>
      <w:r>
        <w:rPr>
          <w:rFonts w:ascii="SimSun" w:hAnsi="SimSun" w:eastAsia="SimSun" w:cs="SimSun"/>
          <w:sz w:val="21"/>
          <w:szCs w:val="21"/>
          <w:spacing w:val="7"/>
        </w:rPr>
        <w:t xml:space="preserve"> </w:t>
      </w:r>
      <w:r>
        <w:rPr>
          <w:rFonts w:ascii="SimSun" w:hAnsi="SimSun" w:eastAsia="SimSun" w:cs="SimSun"/>
          <w:sz w:val="21"/>
          <w:szCs w:val="21"/>
          <w:spacing w:val="-11"/>
        </w:rPr>
        <w:t>济领域的反垄断指南》最为典型。</w:t>
      </w:r>
    </w:p>
    <w:p>
      <w:pPr>
        <w:ind w:firstLine="440"/>
        <w:spacing w:before="115" w:line="308" w:lineRule="auto"/>
        <w:jc w:val="both"/>
        <w:rPr>
          <w:rFonts w:ascii="SimSun" w:hAnsi="SimSun" w:eastAsia="SimSun" w:cs="SimSun"/>
          <w:sz w:val="21"/>
          <w:szCs w:val="21"/>
        </w:rPr>
      </w:pPr>
      <w:r>
        <w:rPr>
          <w:rFonts w:ascii="SimSun" w:hAnsi="SimSun" w:eastAsia="SimSun" w:cs="SimSun"/>
          <w:sz w:val="21"/>
          <w:szCs w:val="21"/>
          <w:spacing w:val="-11"/>
        </w:rPr>
        <w:t>欧盟在平台经济的垄断规制上采取严格的态度。在立法层面，欧</w:t>
      </w:r>
      <w:r>
        <w:rPr>
          <w:rFonts w:ascii="SimSun" w:hAnsi="SimSun" w:eastAsia="SimSun" w:cs="SimSun"/>
          <w:sz w:val="21"/>
          <w:szCs w:val="21"/>
          <w:spacing w:val="15"/>
        </w:rPr>
        <w:t xml:space="preserve"> </w:t>
      </w:r>
      <w:r>
        <w:rPr>
          <w:rFonts w:ascii="SimSun" w:hAnsi="SimSun" w:eastAsia="SimSun" w:cs="SimSun"/>
          <w:sz w:val="21"/>
          <w:szCs w:val="21"/>
          <w:spacing w:val="3"/>
        </w:rPr>
        <w:t>盟于2020年12月15日发布的《数字服务法》与《数字市场法》草</w:t>
      </w:r>
      <w:r>
        <w:rPr>
          <w:rFonts w:ascii="SimSun" w:hAnsi="SimSun" w:eastAsia="SimSun" w:cs="SimSun"/>
          <w:sz w:val="21"/>
          <w:szCs w:val="21"/>
          <w:spacing w:val="2"/>
        </w:rPr>
        <w:t xml:space="preserve"> </w:t>
      </w:r>
      <w:r>
        <w:rPr>
          <w:rFonts w:ascii="SimSun" w:hAnsi="SimSun" w:eastAsia="SimSun" w:cs="SimSun"/>
          <w:sz w:val="21"/>
          <w:szCs w:val="21"/>
          <w:spacing w:val="-4"/>
        </w:rPr>
        <w:t>案对加强平台经济治理具有重要的意义。通过颁布这两部法案，欧</w:t>
      </w:r>
      <w:r>
        <w:rPr>
          <w:rFonts w:ascii="SimSun" w:hAnsi="SimSun" w:eastAsia="SimSun" w:cs="SimSun"/>
          <w:sz w:val="21"/>
          <w:szCs w:val="21"/>
          <w:spacing w:val="3"/>
        </w:rPr>
        <w:t xml:space="preserve"> </w:t>
      </w:r>
      <w:r>
        <w:rPr>
          <w:rFonts w:ascii="SimSun" w:hAnsi="SimSun" w:eastAsia="SimSun" w:cs="SimSun"/>
          <w:sz w:val="21"/>
          <w:szCs w:val="21"/>
          <w:spacing w:val="-4"/>
        </w:rPr>
        <w:t>盟完善了用户基本权利的保障体系，为数字空间的建设提供更加安</w:t>
      </w:r>
      <w:r>
        <w:rPr>
          <w:rFonts w:ascii="SimSun" w:hAnsi="SimSun" w:eastAsia="SimSun" w:cs="SimSun"/>
          <w:sz w:val="21"/>
          <w:szCs w:val="21"/>
          <w:spacing w:val="7"/>
        </w:rPr>
        <w:t xml:space="preserve"> </w:t>
      </w:r>
      <w:r>
        <w:rPr>
          <w:rFonts w:ascii="SimSun" w:hAnsi="SimSun" w:eastAsia="SimSun" w:cs="SimSun"/>
          <w:sz w:val="21"/>
          <w:szCs w:val="21"/>
          <w:spacing w:val="-3"/>
        </w:rPr>
        <w:t>全的环境，实现了基于人权保护的平台经济严格监管</w:t>
      </w:r>
      <w:r>
        <w:rPr>
          <w:rFonts w:ascii="SimSun" w:hAnsi="SimSun" w:eastAsia="SimSun" w:cs="SimSun"/>
          <w:sz w:val="21"/>
          <w:szCs w:val="21"/>
          <w:spacing w:val="-4"/>
        </w:rPr>
        <w:t>。在反垄断执</w:t>
      </w:r>
      <w:r>
        <w:rPr>
          <w:rFonts w:ascii="SimSun" w:hAnsi="SimSun" w:eastAsia="SimSun" w:cs="SimSun"/>
          <w:sz w:val="21"/>
          <w:szCs w:val="21"/>
        </w:rPr>
        <w:t xml:space="preserve"> </w:t>
      </w:r>
      <w:r>
        <w:rPr>
          <w:rFonts w:ascii="SimSun" w:hAnsi="SimSun" w:eastAsia="SimSun" w:cs="SimSun"/>
          <w:sz w:val="21"/>
          <w:szCs w:val="21"/>
          <w:spacing w:val="-4"/>
        </w:rPr>
        <w:t>法实践层面，欧盟越发重视互联网平台的垄断情况，积极对互联网</w:t>
      </w:r>
      <w:r>
        <w:rPr>
          <w:rFonts w:ascii="SimSun" w:hAnsi="SimSun" w:eastAsia="SimSun" w:cs="SimSun"/>
          <w:sz w:val="21"/>
          <w:szCs w:val="21"/>
          <w:spacing w:val="15"/>
        </w:rPr>
        <w:t xml:space="preserve"> </w:t>
      </w:r>
      <w:r>
        <w:rPr>
          <w:rFonts w:ascii="SimSun" w:hAnsi="SimSun" w:eastAsia="SimSun" w:cs="SimSun"/>
          <w:sz w:val="21"/>
          <w:szCs w:val="21"/>
          <w:spacing w:val="-4"/>
        </w:rPr>
        <w:t>平台公司开展反垄断调查，加强反垄断执法力度。典型如欧盟针对</w:t>
      </w:r>
      <w:r>
        <w:rPr>
          <w:rFonts w:ascii="SimSun" w:hAnsi="SimSun" w:eastAsia="SimSun" w:cs="SimSun"/>
          <w:sz w:val="21"/>
          <w:szCs w:val="21"/>
          <w:spacing w:val="3"/>
        </w:rPr>
        <w:t xml:space="preserve"> </w:t>
      </w:r>
      <w:r>
        <w:rPr>
          <w:rFonts w:ascii="SimSun" w:hAnsi="SimSun" w:eastAsia="SimSun" w:cs="SimSun"/>
          <w:sz w:val="21"/>
          <w:szCs w:val="21"/>
          <w:spacing w:val="-3"/>
        </w:rPr>
        <w:t>脸书滥用市场支配地位行为的反垄断调查，采取较为严厉</w:t>
      </w:r>
      <w:r>
        <w:rPr>
          <w:rFonts w:ascii="SimSun" w:hAnsi="SimSun" w:eastAsia="SimSun" w:cs="SimSun"/>
          <w:sz w:val="21"/>
          <w:szCs w:val="21"/>
          <w:spacing w:val="-4"/>
        </w:rPr>
        <w:t>的监管态</w:t>
      </w:r>
      <w:r>
        <w:rPr>
          <w:rFonts w:ascii="SimSun" w:hAnsi="SimSun" w:eastAsia="SimSun" w:cs="SimSun"/>
          <w:sz w:val="21"/>
          <w:szCs w:val="21"/>
        </w:rPr>
        <w:t xml:space="preserve"> </w:t>
      </w:r>
      <w:r>
        <w:rPr>
          <w:rFonts w:ascii="SimSun" w:hAnsi="SimSun" w:eastAsia="SimSun" w:cs="SimSun"/>
          <w:sz w:val="21"/>
          <w:szCs w:val="21"/>
          <w:spacing w:val="-2"/>
        </w:rPr>
        <w:t>度，相关处罚事件更是频频发生。近年来，欧盟针对大型平台市场</w:t>
      </w:r>
      <w:r>
        <w:rPr>
          <w:rFonts w:ascii="SimSun" w:hAnsi="SimSun" w:eastAsia="SimSun" w:cs="SimSun"/>
          <w:sz w:val="21"/>
          <w:szCs w:val="21"/>
        </w:rPr>
        <w:t xml:space="preserve"> </w:t>
      </w:r>
      <w:r>
        <w:rPr>
          <w:rFonts w:ascii="SimSun" w:hAnsi="SimSun" w:eastAsia="SimSun" w:cs="SimSun"/>
          <w:sz w:val="21"/>
          <w:szCs w:val="21"/>
          <w:spacing w:val="-4"/>
        </w:rPr>
        <w:t>竞争的监管愈加严格，是在当前经济发展转型过程中做出的一种尝</w:t>
      </w:r>
      <w:r>
        <w:rPr>
          <w:rFonts w:ascii="SimSun" w:hAnsi="SimSun" w:eastAsia="SimSun" w:cs="SimSun"/>
          <w:sz w:val="21"/>
          <w:szCs w:val="21"/>
          <w:spacing w:val="5"/>
        </w:rPr>
        <w:t xml:space="preserve"> </w:t>
      </w:r>
      <w:r>
        <w:rPr>
          <w:rFonts w:ascii="SimSun" w:hAnsi="SimSun" w:eastAsia="SimSun" w:cs="SimSun"/>
          <w:sz w:val="21"/>
          <w:szCs w:val="21"/>
          <w:spacing w:val="-4"/>
        </w:rPr>
        <w:t>试和调整。伴随世界经济一体化趋势的加深，市场的严监管政策所</w:t>
      </w:r>
      <w:r>
        <w:rPr>
          <w:rFonts w:ascii="SimSun" w:hAnsi="SimSun" w:eastAsia="SimSun" w:cs="SimSun"/>
          <w:sz w:val="21"/>
          <w:szCs w:val="21"/>
          <w:spacing w:val="2"/>
        </w:rPr>
        <w:t xml:space="preserve"> </w:t>
      </w:r>
      <w:r>
        <w:rPr>
          <w:rFonts w:ascii="SimSun" w:hAnsi="SimSun" w:eastAsia="SimSun" w:cs="SimSun"/>
          <w:sz w:val="21"/>
          <w:szCs w:val="21"/>
          <w:spacing w:val="-10"/>
        </w:rPr>
        <w:t>带来的影响也正在波及世界各国。</w:t>
      </w:r>
    </w:p>
    <w:p>
      <w:pPr>
        <w:ind w:right="2" w:firstLine="440"/>
        <w:spacing w:before="110" w:line="268" w:lineRule="auto"/>
        <w:rPr>
          <w:rFonts w:ascii="SimSun" w:hAnsi="SimSun" w:eastAsia="SimSun" w:cs="SimSun"/>
          <w:sz w:val="21"/>
          <w:szCs w:val="21"/>
        </w:rPr>
      </w:pPr>
      <w:r>
        <w:rPr>
          <w:rFonts w:ascii="SimSun" w:hAnsi="SimSun" w:eastAsia="SimSun" w:cs="SimSun"/>
          <w:sz w:val="21"/>
          <w:szCs w:val="21"/>
          <w:spacing w:val="-11"/>
        </w:rPr>
        <w:t>不同于欧盟，美国对于平台企业的反垄断监管态度较为谨慎。在</w:t>
      </w:r>
      <w:r>
        <w:rPr>
          <w:rFonts w:ascii="SimSun" w:hAnsi="SimSun" w:eastAsia="SimSun" w:cs="SimSun"/>
          <w:sz w:val="21"/>
          <w:szCs w:val="21"/>
          <w:spacing w:val="17"/>
        </w:rPr>
        <w:t xml:space="preserve"> </w:t>
      </w:r>
      <w:r>
        <w:rPr>
          <w:rFonts w:ascii="SimSun" w:hAnsi="SimSun" w:eastAsia="SimSun" w:cs="SimSun"/>
          <w:sz w:val="21"/>
          <w:szCs w:val="21"/>
          <w:spacing w:val="-11"/>
        </w:rPr>
        <w:t>反垄断监管上，美国近年来对平台企业的监管态度经历了从保守到严</w:t>
      </w:r>
    </w:p>
    <w:p>
      <w:pPr>
        <w:spacing w:line="268" w:lineRule="auto"/>
        <w:sectPr>
          <w:headerReference w:type="default" r:id="rId413"/>
          <w:pgSz w:w="7330" w:h="12480"/>
          <w:pgMar w:top="498" w:right="526" w:bottom="400" w:left="770" w:header="332" w:footer="0" w:gutter="0"/>
        </w:sectPr>
        <w:rPr>
          <w:rFonts w:ascii="SimSun" w:hAnsi="SimSun" w:eastAsia="SimSun" w:cs="SimSun"/>
          <w:sz w:val="21"/>
          <w:szCs w:val="21"/>
        </w:rPr>
      </w:pPr>
    </w:p>
    <w:p>
      <w:pPr>
        <w:pStyle w:val="BodyText"/>
        <w:spacing w:line="247" w:lineRule="auto"/>
        <w:rPr/>
      </w:pPr>
      <w:r>
        <w:drawing>
          <wp:anchor distT="0" distB="0" distL="0" distR="0" simplePos="0" relativeHeight="255256576" behindDoc="0" locked="0" layoutInCell="0" allowOverlap="1">
            <wp:simplePos x="0" y="0"/>
            <wp:positionH relativeFrom="page">
              <wp:posOffset>234961</wp:posOffset>
            </wp:positionH>
            <wp:positionV relativeFrom="page">
              <wp:posOffset>6902417</wp:posOffset>
            </wp:positionV>
            <wp:extent cx="1168384" cy="6350"/>
            <wp:effectExtent l="0" t="0" r="0" b="0"/>
            <wp:wrapNone/>
            <wp:docPr id="274" name="IM 274"/>
            <wp:cNvGraphicFramePr/>
            <a:graphic>
              <a:graphicData uri="http://schemas.openxmlformats.org/drawingml/2006/picture">
                <pic:pic>
                  <pic:nvPicPr>
                    <pic:cNvPr id="274" name="IM 274"/>
                    <pic:cNvPicPr/>
                  </pic:nvPicPr>
                  <pic:blipFill>
                    <a:blip r:embed="rId415"/>
                    <a:stretch>
                      <a:fillRect/>
                    </a:stretch>
                  </pic:blipFill>
                  <pic:spPr>
                    <a:xfrm rot="0">
                      <a:off x="0" y="0"/>
                      <a:ext cx="1168384" cy="6350"/>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ind w:right="96"/>
        <w:spacing w:before="68" w:line="304" w:lineRule="auto"/>
        <w:jc w:val="both"/>
        <w:rPr>
          <w:rFonts w:ascii="SimSun" w:hAnsi="SimSun" w:eastAsia="SimSun" w:cs="SimSun"/>
          <w:sz w:val="21"/>
          <w:szCs w:val="21"/>
        </w:rPr>
      </w:pPr>
      <w:r>
        <w:rPr>
          <w:rFonts w:ascii="SimSun" w:hAnsi="SimSun" w:eastAsia="SimSun" w:cs="SimSun"/>
          <w:sz w:val="21"/>
          <w:szCs w:val="21"/>
          <w:spacing w:val="-11"/>
        </w:rPr>
        <w:t>格的转变。在《数字市场竞争调查报告》发布之前，美国对互联网平</w:t>
      </w:r>
      <w:r>
        <w:rPr>
          <w:rFonts w:ascii="SimSun" w:hAnsi="SimSun" w:eastAsia="SimSun" w:cs="SimSun"/>
          <w:sz w:val="21"/>
          <w:szCs w:val="21"/>
          <w:spacing w:val="18"/>
        </w:rPr>
        <w:t xml:space="preserve"> </w:t>
      </w:r>
      <w:r>
        <w:rPr>
          <w:rFonts w:ascii="SimSun" w:hAnsi="SimSun" w:eastAsia="SimSun" w:cs="SimSun"/>
          <w:sz w:val="21"/>
          <w:szCs w:val="21"/>
          <w:spacing w:val="-3"/>
        </w:rPr>
        <w:t>台企业的垄断行为持保守态度，典型案例为1</w:t>
      </w:r>
      <w:r>
        <w:rPr>
          <w:rFonts w:ascii="SimSun" w:hAnsi="SimSun" w:eastAsia="SimSun" w:cs="SimSun"/>
          <w:sz w:val="21"/>
          <w:szCs w:val="21"/>
          <w:spacing w:val="-4"/>
        </w:rPr>
        <w:t>998年对微软提起的反</w:t>
      </w:r>
      <w:r>
        <w:rPr>
          <w:rFonts w:ascii="SimSun" w:hAnsi="SimSun" w:eastAsia="SimSun" w:cs="SimSun"/>
          <w:sz w:val="21"/>
          <w:szCs w:val="21"/>
        </w:rPr>
        <w:t xml:space="preserve"> </w:t>
      </w:r>
      <w:r>
        <w:rPr>
          <w:rFonts w:ascii="SimSun" w:hAnsi="SimSun" w:eastAsia="SimSun" w:cs="SimSun"/>
          <w:sz w:val="21"/>
          <w:szCs w:val="21"/>
          <w:spacing w:val="-3"/>
        </w:rPr>
        <w:t>垄断诉讼以及2011年和2013对谷歌展开的反垄断调查，美</w:t>
      </w:r>
      <w:r>
        <w:rPr>
          <w:rFonts w:ascii="SimSun" w:hAnsi="SimSun" w:eastAsia="SimSun" w:cs="SimSun"/>
          <w:sz w:val="21"/>
          <w:szCs w:val="21"/>
          <w:spacing w:val="-4"/>
        </w:rPr>
        <w:t>国联邦政</w:t>
      </w:r>
      <w:r>
        <w:rPr>
          <w:rFonts w:ascii="SimSun" w:hAnsi="SimSun" w:eastAsia="SimSun" w:cs="SimSun"/>
          <w:sz w:val="21"/>
          <w:szCs w:val="21"/>
        </w:rPr>
        <w:t xml:space="preserve"> </w:t>
      </w:r>
      <w:r>
        <w:rPr>
          <w:rFonts w:ascii="SimSun" w:hAnsi="SimSun" w:eastAsia="SimSun" w:cs="SimSun"/>
          <w:sz w:val="21"/>
          <w:szCs w:val="21"/>
          <w:spacing w:val="-6"/>
        </w:rPr>
        <w:t>府最终都“不了了之”,相关案件调查都以和解</w:t>
      </w:r>
      <w:r>
        <w:rPr>
          <w:rFonts w:ascii="SimSun" w:hAnsi="SimSun" w:eastAsia="SimSun" w:cs="SimSun"/>
          <w:sz w:val="21"/>
          <w:szCs w:val="21"/>
          <w:spacing w:val="-7"/>
        </w:rPr>
        <w:t>收尾。但自众议院司</w:t>
      </w:r>
      <w:r>
        <w:rPr>
          <w:rFonts w:ascii="SimSun" w:hAnsi="SimSun" w:eastAsia="SimSun" w:cs="SimSun"/>
          <w:sz w:val="21"/>
          <w:szCs w:val="21"/>
        </w:rPr>
        <w:t xml:space="preserve"> </w:t>
      </w:r>
      <w:r>
        <w:rPr>
          <w:rFonts w:ascii="SimSun" w:hAnsi="SimSun" w:eastAsia="SimSun" w:cs="SimSun"/>
          <w:sz w:val="21"/>
          <w:szCs w:val="21"/>
          <w:spacing w:val="-11"/>
        </w:rPr>
        <w:t>法委员会发布《数字市场竞争调查报告》后，美国开始加大对平台经</w:t>
      </w:r>
      <w:r>
        <w:rPr>
          <w:rFonts w:ascii="SimSun" w:hAnsi="SimSun" w:eastAsia="SimSun" w:cs="SimSun"/>
          <w:sz w:val="21"/>
          <w:szCs w:val="21"/>
          <w:spacing w:val="17"/>
        </w:rPr>
        <w:t xml:space="preserve"> </w:t>
      </w:r>
      <w:r>
        <w:rPr>
          <w:rFonts w:ascii="SimSun" w:hAnsi="SimSun" w:eastAsia="SimSun" w:cs="SimSun"/>
          <w:sz w:val="21"/>
          <w:szCs w:val="21"/>
          <w:spacing w:val="-10"/>
        </w:rPr>
        <w:t>济反垄断执法的力度，全面加强对平台巨头的反竞争行为的监管，采</w:t>
      </w:r>
      <w:r>
        <w:rPr>
          <w:rFonts w:ascii="SimSun" w:hAnsi="SimSun" w:eastAsia="SimSun" w:cs="SimSun"/>
          <w:sz w:val="21"/>
          <w:szCs w:val="21"/>
          <w:spacing w:val="7"/>
        </w:rPr>
        <w:t xml:space="preserve"> </w:t>
      </w:r>
      <w:r>
        <w:rPr>
          <w:rFonts w:ascii="SimSun" w:hAnsi="SimSun" w:eastAsia="SimSun" w:cs="SimSun"/>
          <w:sz w:val="21"/>
          <w:szCs w:val="21"/>
          <w:spacing w:val="-11"/>
        </w:rPr>
        <w:t>取了更加严格的监管态度和监管措施，开展一系列针对平台巨头的执</w:t>
      </w:r>
      <w:r>
        <w:rPr>
          <w:rFonts w:ascii="SimSun" w:hAnsi="SimSun" w:eastAsia="SimSun" w:cs="SimSun"/>
          <w:sz w:val="21"/>
          <w:szCs w:val="21"/>
          <w:spacing w:val="17"/>
        </w:rPr>
        <w:t xml:space="preserve"> </w:t>
      </w:r>
      <w:r>
        <w:rPr>
          <w:rFonts w:ascii="SimSun" w:hAnsi="SimSun" w:eastAsia="SimSun" w:cs="SimSun"/>
          <w:sz w:val="21"/>
          <w:szCs w:val="21"/>
          <w:spacing w:val="-12"/>
        </w:rPr>
        <w:t>法监管措施。</w:t>
      </w:r>
    </w:p>
    <w:p>
      <w:pPr>
        <w:ind w:right="89" w:firstLine="440"/>
        <w:spacing w:before="104" w:line="318" w:lineRule="auto"/>
        <w:jc w:val="both"/>
        <w:rPr>
          <w:rFonts w:ascii="SimSun" w:hAnsi="SimSun" w:eastAsia="SimSun" w:cs="SimSun"/>
          <w:sz w:val="21"/>
          <w:szCs w:val="21"/>
        </w:rPr>
      </w:pPr>
      <w:r>
        <w:rPr>
          <w:rFonts w:ascii="SimSun" w:hAnsi="SimSun" w:eastAsia="SimSun" w:cs="SimSun"/>
          <w:sz w:val="21"/>
          <w:szCs w:val="21"/>
          <w:spacing w:val="-11"/>
        </w:rPr>
        <w:t>目前，随着技术的发展，国内的平台经济同样出现了竞争失序的</w:t>
      </w:r>
      <w:r>
        <w:rPr>
          <w:rFonts w:ascii="SimSun" w:hAnsi="SimSun" w:eastAsia="SimSun" w:cs="SimSun"/>
          <w:sz w:val="21"/>
          <w:szCs w:val="21"/>
          <w:spacing w:val="2"/>
        </w:rPr>
        <w:t xml:space="preserve"> </w:t>
      </w:r>
      <w:r>
        <w:rPr>
          <w:rFonts w:ascii="SimSun" w:hAnsi="SimSun" w:eastAsia="SimSun" w:cs="SimSun"/>
          <w:sz w:val="21"/>
          <w:szCs w:val="21"/>
          <w:spacing w:val="-10"/>
        </w:rPr>
        <w:t>现象，我国近来正逐步加强对竞争中垄断的监</w:t>
      </w:r>
      <w:r>
        <w:rPr>
          <w:rFonts w:ascii="SimSun" w:hAnsi="SimSun" w:eastAsia="SimSun" w:cs="SimSun"/>
          <w:sz w:val="21"/>
          <w:szCs w:val="21"/>
          <w:spacing w:val="-11"/>
        </w:rPr>
        <w:t>管措施。在行政执法层</w:t>
      </w:r>
      <w:r>
        <w:rPr>
          <w:rFonts w:ascii="SimSun" w:hAnsi="SimSun" w:eastAsia="SimSun" w:cs="SimSun"/>
          <w:sz w:val="21"/>
          <w:szCs w:val="21"/>
        </w:rPr>
        <w:t xml:space="preserve"> </w:t>
      </w:r>
      <w:r>
        <w:rPr>
          <w:rFonts w:ascii="SimSun" w:hAnsi="SimSun" w:eastAsia="SimSun" w:cs="SimSun"/>
          <w:sz w:val="21"/>
          <w:szCs w:val="21"/>
          <w:spacing w:val="3"/>
        </w:rPr>
        <w:t>面，国务院反垄断委员于2021年2月7日发布了《国务院反垄断委</w:t>
      </w:r>
      <w:r>
        <w:rPr>
          <w:rFonts w:ascii="SimSun" w:hAnsi="SimSun" w:eastAsia="SimSun" w:cs="SimSun"/>
          <w:sz w:val="21"/>
          <w:szCs w:val="21"/>
          <w:spacing w:val="15"/>
        </w:rPr>
        <w:t xml:space="preserve"> </w:t>
      </w:r>
      <w:r>
        <w:rPr>
          <w:rFonts w:ascii="SimSun" w:hAnsi="SimSun" w:eastAsia="SimSun" w:cs="SimSun"/>
          <w:sz w:val="21"/>
          <w:szCs w:val="21"/>
          <w:spacing w:val="-7"/>
        </w:rPr>
        <w:t>员会关于平台经济领域的反垄断指南》,明确了其价值目标为“预防</w:t>
      </w:r>
      <w:r>
        <w:rPr>
          <w:rFonts w:ascii="SimSun" w:hAnsi="SimSun" w:eastAsia="SimSun" w:cs="SimSun"/>
          <w:sz w:val="21"/>
          <w:szCs w:val="21"/>
          <w:spacing w:val="5"/>
        </w:rPr>
        <w:t xml:space="preserve"> </w:t>
      </w:r>
      <w:r>
        <w:rPr>
          <w:rFonts w:ascii="SimSun" w:hAnsi="SimSun" w:eastAsia="SimSun" w:cs="SimSun"/>
          <w:sz w:val="21"/>
          <w:szCs w:val="21"/>
          <w:spacing w:val="-11"/>
        </w:rPr>
        <w:t>和制止平台经济领域垄断行为，保护市场公平竞争，促进平台经济规</w:t>
      </w:r>
      <w:r>
        <w:rPr>
          <w:rFonts w:ascii="SimSun" w:hAnsi="SimSun" w:eastAsia="SimSun" w:cs="SimSun"/>
          <w:sz w:val="21"/>
          <w:szCs w:val="21"/>
          <w:spacing w:val="17"/>
        </w:rPr>
        <w:t xml:space="preserve"> </w:t>
      </w:r>
      <w:r>
        <w:rPr>
          <w:rFonts w:ascii="SimSun" w:hAnsi="SimSun" w:eastAsia="SimSun" w:cs="SimSun"/>
          <w:sz w:val="21"/>
          <w:szCs w:val="21"/>
          <w:spacing w:val="-7"/>
        </w:rPr>
        <w:t>范有序创新健康发展，维护消费者利益和社会公共利益”,开始逐渐</w:t>
      </w:r>
      <w:r>
        <w:rPr>
          <w:rFonts w:ascii="SimSun" w:hAnsi="SimSun" w:eastAsia="SimSun" w:cs="SimSun"/>
          <w:sz w:val="21"/>
          <w:szCs w:val="21"/>
          <w:spacing w:val="2"/>
        </w:rPr>
        <w:t xml:space="preserve"> </w:t>
      </w:r>
      <w:r>
        <w:rPr>
          <w:rFonts w:ascii="SimSun" w:hAnsi="SimSun" w:eastAsia="SimSun" w:cs="SimSun"/>
          <w:sz w:val="21"/>
          <w:szCs w:val="21"/>
          <w:spacing w:val="3"/>
        </w:rPr>
        <w:t>加强反垄断执法的力度。2021年2月8日，市场监督管理总局为维</w:t>
      </w:r>
      <w:r>
        <w:rPr>
          <w:rFonts w:ascii="SimSun" w:hAnsi="SimSun" w:eastAsia="SimSun" w:cs="SimSun"/>
          <w:sz w:val="21"/>
          <w:szCs w:val="21"/>
          <w:spacing w:val="14"/>
        </w:rPr>
        <w:t xml:space="preserve"> </w:t>
      </w:r>
      <w:r>
        <w:rPr>
          <w:rFonts w:ascii="SimSun" w:hAnsi="SimSun" w:eastAsia="SimSun" w:cs="SimSun"/>
          <w:sz w:val="21"/>
          <w:szCs w:val="21"/>
          <w:spacing w:val="-4"/>
        </w:rPr>
        <w:t>护市场秩序，依法对唯品会(中国)有限公司的不当竞争行为予以处</w:t>
      </w:r>
      <w:r>
        <w:rPr>
          <w:rFonts w:ascii="SimSun" w:hAnsi="SimSun" w:eastAsia="SimSun" w:cs="SimSun"/>
          <w:sz w:val="21"/>
          <w:szCs w:val="21"/>
          <w:spacing w:val="17"/>
        </w:rPr>
        <w:t xml:space="preserve"> </w:t>
      </w:r>
      <w:r>
        <w:rPr>
          <w:rFonts w:ascii="SimSun" w:hAnsi="SimSun" w:eastAsia="SimSun" w:cs="SimSun"/>
          <w:sz w:val="21"/>
          <w:szCs w:val="21"/>
          <w:spacing w:val="-7"/>
        </w:rPr>
        <w:t>理，并实施相应的行政处罚；同年4月，市场监督管理总局为保障市</w:t>
      </w:r>
      <w:r>
        <w:rPr>
          <w:rFonts w:ascii="SimSun" w:hAnsi="SimSun" w:eastAsia="SimSun" w:cs="SimSun"/>
          <w:sz w:val="21"/>
          <w:szCs w:val="21"/>
          <w:spacing w:val="5"/>
        </w:rPr>
        <w:t xml:space="preserve"> </w:t>
      </w:r>
      <w:r>
        <w:rPr>
          <w:rFonts w:ascii="SimSun" w:hAnsi="SimSun" w:eastAsia="SimSun" w:cs="SimSun"/>
          <w:sz w:val="21"/>
          <w:szCs w:val="21"/>
          <w:spacing w:val="-10"/>
        </w:rPr>
        <w:t>场的良好秩序和运行环境，对阿里巴巴集团进行行政处罚，开</w:t>
      </w:r>
      <w:r>
        <w:rPr>
          <w:rFonts w:ascii="SimSun" w:hAnsi="SimSun" w:eastAsia="SimSun" w:cs="SimSun"/>
          <w:sz w:val="21"/>
          <w:szCs w:val="21"/>
          <w:spacing w:val="-11"/>
        </w:rPr>
        <w:t>出了高</w:t>
      </w:r>
    </w:p>
    <w:p>
      <w:pPr>
        <w:spacing w:line="220" w:lineRule="auto"/>
        <w:rPr>
          <w:rFonts w:ascii="SimSun" w:hAnsi="SimSun" w:eastAsia="SimSun" w:cs="SimSun"/>
          <w:sz w:val="21"/>
          <w:szCs w:val="21"/>
        </w:rPr>
      </w:pPr>
      <w:r>
        <w:rPr>
          <w:rFonts w:ascii="SimSun" w:hAnsi="SimSun" w:eastAsia="SimSun" w:cs="SimSun"/>
          <w:sz w:val="21"/>
          <w:szCs w:val="21"/>
          <w:spacing w:val="-6"/>
        </w:rPr>
        <w:t>达182.28亿元的罚单。</w:t>
      </w:r>
    </w:p>
    <w:p>
      <w:pPr>
        <w:ind w:firstLine="429"/>
        <w:spacing w:before="98" w:line="296" w:lineRule="auto"/>
        <w:jc w:val="both"/>
        <w:rPr>
          <w:rFonts w:ascii="SimSun" w:hAnsi="SimSun" w:eastAsia="SimSun" w:cs="SimSun"/>
          <w:sz w:val="21"/>
          <w:szCs w:val="21"/>
        </w:rPr>
      </w:pPr>
      <w:r>
        <w:rPr>
          <w:rFonts w:ascii="SimSun" w:hAnsi="SimSun" w:eastAsia="SimSun" w:cs="SimSun"/>
          <w:sz w:val="21"/>
          <w:szCs w:val="21"/>
          <w:spacing w:val="-10"/>
        </w:rPr>
        <w:t>从近年来各国平台反垄断监管的动态可看出，反垄断政策的活</w:t>
      </w:r>
      <w:r>
        <w:rPr>
          <w:rFonts w:ascii="SimSun" w:hAnsi="SimSun" w:eastAsia="SimSun" w:cs="SimSun"/>
          <w:sz w:val="21"/>
          <w:szCs w:val="21"/>
          <w:spacing w:val="-11"/>
        </w:rPr>
        <w:t>跃 </w:t>
      </w:r>
      <w:r>
        <w:rPr>
          <w:rFonts w:ascii="SimSun" w:hAnsi="SimSun" w:eastAsia="SimSun" w:cs="SimSun"/>
          <w:sz w:val="21"/>
          <w:szCs w:val="21"/>
          <w:spacing w:val="-10"/>
        </w:rPr>
        <w:t>往往与行业集中度提高、收入分配恶化及经</w:t>
      </w:r>
      <w:r>
        <w:rPr>
          <w:rFonts w:ascii="SimSun" w:hAnsi="SimSun" w:eastAsia="SimSun" w:cs="SimSun"/>
          <w:sz w:val="21"/>
          <w:szCs w:val="21"/>
          <w:spacing w:val="-11"/>
        </w:rPr>
        <w:t>济增速放缓同步。美国在</w:t>
      </w:r>
      <w:r>
        <w:rPr>
          <w:rFonts w:ascii="SimSun" w:hAnsi="SimSun" w:eastAsia="SimSun" w:cs="SimSun"/>
          <w:sz w:val="21"/>
          <w:szCs w:val="21"/>
        </w:rPr>
        <w:t xml:space="preserve">  </w:t>
      </w:r>
      <w:r>
        <w:rPr>
          <w:rFonts w:ascii="SimSun" w:hAnsi="SimSun" w:eastAsia="SimSun" w:cs="SimSun"/>
          <w:sz w:val="21"/>
          <w:szCs w:val="21"/>
          <w:spacing w:val="-11"/>
        </w:rPr>
        <w:t>大萧条前形成反托拉斯政策，以及中美最近同时高调反垄断，背后都</w:t>
      </w:r>
      <w:r>
        <w:rPr>
          <w:rFonts w:ascii="SimSun" w:hAnsi="SimSun" w:eastAsia="SimSun" w:cs="SimSun"/>
          <w:sz w:val="21"/>
          <w:szCs w:val="21"/>
          <w:spacing w:val="8"/>
        </w:rPr>
        <w:t xml:space="preserve">  </w:t>
      </w:r>
      <w:r>
        <w:rPr>
          <w:rFonts w:ascii="SimSun" w:hAnsi="SimSun" w:eastAsia="SimSun" w:cs="SimSun"/>
          <w:sz w:val="21"/>
          <w:szCs w:val="21"/>
          <w:spacing w:val="-4"/>
        </w:rPr>
        <w:t>可以观察到这些因素。美国的企业利润占</w:t>
      </w:r>
      <w:r>
        <w:rPr>
          <w:rFonts w:ascii="Times New Roman" w:hAnsi="Times New Roman" w:eastAsia="Times New Roman" w:cs="Times New Roman"/>
          <w:sz w:val="21"/>
          <w:szCs w:val="21"/>
          <w:spacing w:val="-4"/>
        </w:rPr>
        <w:t>GDP</w:t>
      </w:r>
      <w:r>
        <w:rPr>
          <w:rFonts w:ascii="SimSun" w:hAnsi="SimSun" w:eastAsia="SimSun" w:cs="SimSun"/>
          <w:sz w:val="21"/>
          <w:szCs w:val="21"/>
          <w:spacing w:val="-4"/>
        </w:rPr>
        <w:t>之比从1985年的</w:t>
      </w:r>
      <w:r>
        <w:rPr>
          <w:rFonts w:ascii="Times New Roman" w:hAnsi="Times New Roman" w:eastAsia="Times New Roman" w:cs="Times New Roman"/>
          <w:sz w:val="21"/>
          <w:szCs w:val="21"/>
          <w:spacing w:val="-4"/>
        </w:rPr>
        <w:t>7.5%   </w:t>
      </w:r>
      <w:r>
        <w:rPr>
          <w:rFonts w:ascii="SimSun" w:hAnsi="SimSun" w:eastAsia="SimSun" w:cs="SimSun"/>
          <w:sz w:val="21"/>
          <w:szCs w:val="21"/>
          <w:spacing w:val="7"/>
        </w:rPr>
        <w:t>上升到2016年的11%,说明企业的市场力量持续增强。①近年来，</w:t>
      </w:r>
    </w:p>
    <w:p>
      <w:pPr>
        <w:pStyle w:val="BodyText"/>
        <w:spacing w:line="271" w:lineRule="auto"/>
        <w:rPr/>
      </w:pPr>
      <w:r/>
    </w:p>
    <w:p>
      <w:pPr>
        <w:pStyle w:val="BodyText"/>
        <w:spacing w:line="272" w:lineRule="auto"/>
        <w:rPr/>
      </w:pPr>
      <w:r/>
    </w:p>
    <w:p>
      <w:pPr>
        <w:spacing w:before="59" w:line="212" w:lineRule="auto"/>
        <w:rPr>
          <w:rFonts w:ascii="Times New Roman" w:hAnsi="Times New Roman" w:eastAsia="Times New Roman" w:cs="Times New Roman"/>
          <w:sz w:val="18"/>
          <w:szCs w:val="18"/>
        </w:rPr>
      </w:pPr>
      <w:r>
        <w:rPr>
          <w:rFonts w:ascii="SimSun" w:hAnsi="SimSun" w:eastAsia="SimSun" w:cs="SimSun"/>
          <w:sz w:val="18"/>
          <w:szCs w:val="18"/>
          <w:spacing w:val="-1"/>
        </w:rPr>
        <w:t>①</w:t>
      </w:r>
      <w:r>
        <w:rPr>
          <w:rFonts w:ascii="SimSun" w:hAnsi="SimSun" w:eastAsia="SimSun" w:cs="SimSun"/>
          <w:sz w:val="18"/>
          <w:szCs w:val="18"/>
          <w:spacing w:val="46"/>
        </w:rPr>
        <w:t xml:space="preserve"> </w:t>
      </w:r>
      <w:r>
        <w:rPr>
          <w:rFonts w:ascii="Times New Roman" w:hAnsi="Times New Roman" w:eastAsia="Times New Roman" w:cs="Times New Roman"/>
          <w:sz w:val="18"/>
          <w:szCs w:val="18"/>
          <w:spacing w:val="-1"/>
        </w:rPr>
        <w:t>Carl</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1"/>
        </w:rPr>
        <w:t>Shapiro,“Antitrust </w:t>
      </w:r>
      <w:r>
        <w:rPr>
          <w:rFonts w:ascii="Times New Roman" w:hAnsi="Times New Roman" w:eastAsia="Times New Roman" w:cs="Times New Roman"/>
          <w:sz w:val="18"/>
          <w:szCs w:val="18"/>
          <w:spacing w:val="-2"/>
        </w:rPr>
        <w:t>in a Time of</w:t>
      </w:r>
      <w:r>
        <w:rPr>
          <w:rFonts w:ascii="Times New Roman" w:hAnsi="Times New Roman" w:eastAsia="Times New Roman" w:cs="Times New Roman"/>
          <w:sz w:val="18"/>
          <w:szCs w:val="18"/>
          <w:spacing w:val="-16"/>
        </w:rPr>
        <w:t xml:space="preserve"> </w:t>
      </w:r>
      <w:r>
        <w:rPr>
          <w:rFonts w:ascii="Times New Roman" w:hAnsi="Times New Roman" w:eastAsia="Times New Roman" w:cs="Times New Roman"/>
          <w:sz w:val="18"/>
          <w:szCs w:val="18"/>
          <w:spacing w:val="-2"/>
        </w:rPr>
        <w:t>Populism”,International Journal of</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2"/>
        </w:rPr>
        <w:t>Industrial</w:t>
      </w:r>
    </w:p>
    <w:p>
      <w:pPr>
        <w:ind w:left="329"/>
        <w:spacing w:before="9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Organization,2018,61</w:t>
      </w:r>
      <w:r>
        <w:rPr>
          <w:rFonts w:ascii="Times New Roman" w:hAnsi="Times New Roman" w:eastAsia="Times New Roman" w:cs="Times New Roman"/>
          <w:sz w:val="16"/>
          <w:szCs w:val="16"/>
          <w:i/>
          <w:iCs/>
          <w:spacing w:val="-1"/>
        </w:rPr>
        <w:t>(c):714-748.</w:t>
      </w:r>
    </w:p>
    <w:p>
      <w:pPr>
        <w:spacing w:line="192" w:lineRule="auto"/>
        <w:sectPr>
          <w:headerReference w:type="default" r:id="rId414"/>
          <w:pgSz w:w="7330" w:h="12480"/>
          <w:pgMar w:top="855" w:right="875" w:bottom="400" w:left="350" w:header="693" w:footer="0" w:gutter="0"/>
        </w:sectPr>
        <w:rPr>
          <w:rFonts w:ascii="Times New Roman" w:hAnsi="Times New Roman" w:eastAsia="Times New Roman" w:cs="Times New Roman"/>
          <w:sz w:val="16"/>
          <w:szCs w:val="16"/>
        </w:rPr>
      </w:pPr>
    </w:p>
    <w:p>
      <w:pPr>
        <w:spacing w:line="222" w:lineRule="auto"/>
        <w:rPr>
          <w:rFonts w:ascii="SimHei" w:hAnsi="SimHei" w:eastAsia="SimHei" w:cs="SimHei"/>
          <w:sz w:val="20"/>
          <w:szCs w:val="20"/>
        </w:rPr>
      </w:pPr>
      <w:r>
        <w:drawing>
          <wp:anchor distT="0" distB="0" distL="0" distR="0" simplePos="0" relativeHeight="255266816" behindDoc="0" locked="0" layoutInCell="0" allowOverlap="1">
            <wp:simplePos x="0" y="0"/>
            <wp:positionH relativeFrom="page">
              <wp:posOffset>584192</wp:posOffset>
            </wp:positionH>
            <wp:positionV relativeFrom="page">
              <wp:posOffset>6705569</wp:posOffset>
            </wp:positionV>
            <wp:extent cx="1181092" cy="6418"/>
            <wp:effectExtent l="0" t="0" r="0" b="0"/>
            <wp:wrapNone/>
            <wp:docPr id="276" name="IM 276"/>
            <wp:cNvGraphicFramePr/>
            <a:graphic>
              <a:graphicData uri="http://schemas.openxmlformats.org/drawingml/2006/picture">
                <pic:pic>
                  <pic:nvPicPr>
                    <pic:cNvPr id="276" name="IM 276"/>
                    <pic:cNvPicPr/>
                  </pic:nvPicPr>
                  <pic:blipFill>
                    <a:blip r:embed="rId416"/>
                    <a:stretch>
                      <a:fillRect/>
                    </a:stretch>
                  </pic:blipFill>
                  <pic:spPr>
                    <a:xfrm rot="0">
                      <a:off x="0" y="0"/>
                      <a:ext cx="1181092" cy="6418"/>
                    </a:xfrm>
                    <a:prstGeom prst="rect">
                      <a:avLst/>
                    </a:prstGeom>
                  </pic:spPr>
                </pic:pic>
              </a:graphicData>
            </a:graphic>
          </wp:anchor>
        </w:drawing>
      </w:r>
      <w:r>
        <w:rPr>
          <w:rFonts w:ascii="SimSun" w:hAnsi="SimSun" w:eastAsia="SimSun" w:cs="SimSun"/>
          <w:sz w:val="12"/>
          <w:szCs w:val="12"/>
          <w:spacing w:val="-2"/>
          <w:position w:val="-3"/>
        </w:rPr>
        <w:t>342                           </w:t>
      </w:r>
      <w:r>
        <w:rPr>
          <w:rFonts w:ascii="SimSun" w:hAnsi="SimSun" w:eastAsia="SimSun" w:cs="SimSun"/>
          <w:sz w:val="12"/>
          <w:szCs w:val="12"/>
          <w:spacing w:val="-3"/>
          <w:position w:val="-3"/>
        </w:rPr>
        <w:t xml:space="preserve">    </w:t>
      </w:r>
      <w:r>
        <w:rPr>
          <w:rFonts w:ascii="SimHei" w:hAnsi="SimHei" w:eastAsia="SimHei" w:cs="SimHei"/>
          <w:sz w:val="20"/>
          <w:szCs w:val="20"/>
          <w:spacing w:val="-17"/>
          <w:w w:val="86"/>
        </w:rPr>
        <w:t>平台经济——创新、治理与繁荣</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right="109"/>
        <w:spacing w:before="65" w:line="332" w:lineRule="auto"/>
        <w:jc w:val="both"/>
        <w:rPr>
          <w:rFonts w:ascii="SimSun" w:hAnsi="SimSun" w:eastAsia="SimSun" w:cs="SimSun"/>
          <w:sz w:val="20"/>
          <w:szCs w:val="20"/>
        </w:rPr>
      </w:pPr>
      <w:r>
        <w:rPr>
          <w:rFonts w:ascii="SimSun" w:hAnsi="SimSun" w:eastAsia="SimSun" w:cs="SimSun"/>
          <w:sz w:val="20"/>
          <w:szCs w:val="20"/>
          <w:spacing w:val="5"/>
        </w:rPr>
        <w:t>虽然中国的收入分配没有显著恶化，但基尼系数(0.47)处于全球高</w:t>
      </w:r>
      <w:r>
        <w:rPr>
          <w:rFonts w:ascii="SimSun" w:hAnsi="SimSun" w:eastAsia="SimSun" w:cs="SimSun"/>
          <w:sz w:val="20"/>
          <w:szCs w:val="20"/>
          <w:spacing w:val="17"/>
        </w:rPr>
        <w:t xml:space="preserve"> </w:t>
      </w:r>
      <w:r>
        <w:rPr>
          <w:rFonts w:ascii="SimSun" w:hAnsi="SimSun" w:eastAsia="SimSun" w:cs="SimSun"/>
          <w:sz w:val="20"/>
          <w:szCs w:val="20"/>
        </w:rPr>
        <w:t>位，经济增速的不断下降也使收入不平等的矛盾</w:t>
      </w:r>
      <w:r>
        <w:rPr>
          <w:rFonts w:ascii="SimSun" w:hAnsi="SimSun" w:eastAsia="SimSun" w:cs="SimSun"/>
          <w:sz w:val="20"/>
          <w:szCs w:val="20"/>
          <w:spacing w:val="-1"/>
        </w:rPr>
        <w:t>变得更为突出。行业</w:t>
      </w:r>
      <w:r>
        <w:rPr>
          <w:rFonts w:ascii="SimSun" w:hAnsi="SimSun" w:eastAsia="SimSun" w:cs="SimSun"/>
          <w:sz w:val="20"/>
          <w:szCs w:val="20"/>
        </w:rPr>
        <w:t xml:space="preserve"> </w:t>
      </w:r>
      <w:r>
        <w:rPr>
          <w:rFonts w:ascii="SimSun" w:hAnsi="SimSun" w:eastAsia="SimSun" w:cs="SimSun"/>
          <w:sz w:val="20"/>
          <w:szCs w:val="20"/>
          <w:spacing w:val="-1"/>
        </w:rPr>
        <w:t>资源因市场的调节，集中度不断提高，资源的分配不均容易造成收入</w:t>
      </w:r>
      <w:r>
        <w:rPr>
          <w:rFonts w:ascii="SimSun" w:hAnsi="SimSun" w:eastAsia="SimSun" w:cs="SimSun"/>
          <w:sz w:val="20"/>
          <w:szCs w:val="20"/>
          <w:spacing w:val="12"/>
        </w:rPr>
        <w:t xml:space="preserve"> </w:t>
      </w:r>
      <w:r>
        <w:rPr>
          <w:rFonts w:ascii="SimSun" w:hAnsi="SimSun" w:eastAsia="SimSun" w:cs="SimSun"/>
          <w:sz w:val="20"/>
          <w:szCs w:val="20"/>
        </w:rPr>
        <w:t>分配的不平衡，政府通过“有形之手”对市场进行干预，亦是对目前</w:t>
      </w:r>
    </w:p>
    <w:p>
      <w:pPr>
        <w:spacing w:line="219" w:lineRule="auto"/>
        <w:rPr>
          <w:rFonts w:ascii="SimSun" w:hAnsi="SimSun" w:eastAsia="SimSun" w:cs="SimSun"/>
          <w:sz w:val="20"/>
          <w:szCs w:val="20"/>
        </w:rPr>
      </w:pPr>
      <w:r>
        <w:rPr>
          <w:rFonts w:ascii="SimSun" w:hAnsi="SimSun" w:eastAsia="SimSun" w:cs="SimSun"/>
          <w:sz w:val="20"/>
          <w:szCs w:val="20"/>
          <w:spacing w:val="-3"/>
        </w:rPr>
        <w:t>的经济现状予以回应。</w:t>
      </w:r>
    </w:p>
    <w:p>
      <w:pPr>
        <w:pStyle w:val="BodyText"/>
        <w:spacing w:line="395"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3"/>
        </w:rPr>
        <w:t>法律规制面临的新挑战</w:t>
      </w:r>
    </w:p>
    <w:p>
      <w:pPr>
        <w:pStyle w:val="BodyText"/>
        <w:spacing w:line="360" w:lineRule="auto"/>
        <w:rPr/>
      </w:pPr>
      <w:r/>
    </w:p>
    <w:p>
      <w:pPr>
        <w:ind w:firstLine="469"/>
        <w:spacing w:before="65" w:line="332" w:lineRule="auto"/>
        <w:jc w:val="both"/>
        <w:rPr>
          <w:rFonts w:ascii="SimSun" w:hAnsi="SimSun" w:eastAsia="SimSun" w:cs="SimSun"/>
          <w:sz w:val="20"/>
          <w:szCs w:val="20"/>
        </w:rPr>
      </w:pPr>
      <w:r>
        <w:rPr>
          <w:rFonts w:ascii="SimSun" w:hAnsi="SimSun" w:eastAsia="SimSun" w:cs="SimSun"/>
          <w:sz w:val="20"/>
          <w:szCs w:val="20"/>
          <w:spacing w:val="2"/>
        </w:rPr>
        <w:t>平台经济不断创新发展的同时，也给法律监管</w:t>
      </w:r>
      <w:r>
        <w:rPr>
          <w:rFonts w:ascii="SimSun" w:hAnsi="SimSun" w:eastAsia="SimSun" w:cs="SimSun"/>
          <w:sz w:val="20"/>
          <w:szCs w:val="20"/>
          <w:spacing w:val="1"/>
        </w:rPr>
        <w:t>带来了新的挑战。</w:t>
      </w:r>
      <w:r>
        <w:rPr>
          <w:rFonts w:ascii="SimSun" w:hAnsi="SimSun" w:eastAsia="SimSun" w:cs="SimSun"/>
          <w:sz w:val="20"/>
          <w:szCs w:val="20"/>
        </w:rPr>
        <w:t xml:space="preserve"> </w:t>
      </w:r>
      <w:r>
        <w:rPr>
          <w:rFonts w:ascii="SimSun" w:hAnsi="SimSun" w:eastAsia="SimSun" w:cs="SimSun"/>
          <w:sz w:val="20"/>
          <w:szCs w:val="20"/>
          <w:spacing w:val="-1"/>
        </w:rPr>
        <w:t>市场的良好运行一方面要求平台经济</w:t>
      </w:r>
      <w:r>
        <w:rPr>
          <w:rFonts w:ascii="SimSun" w:hAnsi="SimSun" w:eastAsia="SimSun" w:cs="SimSun"/>
          <w:sz w:val="20"/>
          <w:szCs w:val="20"/>
          <w:u w:val="single" w:color="auto"/>
          <w:spacing w:val="-1"/>
        </w:rPr>
        <w:t>迅速更</w:t>
      </w:r>
      <w:r>
        <w:rPr>
          <w:rFonts w:ascii="SimSun" w:hAnsi="SimSun" w:eastAsia="SimSun" w:cs="SimSun"/>
          <w:sz w:val="20"/>
          <w:szCs w:val="20"/>
          <w:spacing w:val="-1"/>
        </w:rPr>
        <w:t>新迭代以适应不断增长的</w:t>
      </w:r>
      <w:r>
        <w:rPr>
          <w:rFonts w:ascii="SimSun" w:hAnsi="SimSun" w:eastAsia="SimSun" w:cs="SimSun"/>
          <w:sz w:val="20"/>
          <w:szCs w:val="20"/>
          <w:spacing w:val="5"/>
        </w:rPr>
        <w:t xml:space="preserve">  </w:t>
      </w:r>
      <w:r>
        <w:rPr>
          <w:rFonts w:ascii="SimSun" w:hAnsi="SimSun" w:eastAsia="SimSun" w:cs="SimSun"/>
          <w:sz w:val="20"/>
          <w:szCs w:val="20"/>
          <w:spacing w:val="-1"/>
        </w:rPr>
        <w:t>市场需求，国家也需要通过平台经济的发展带动整体经济的高质量提</w:t>
      </w:r>
      <w:r>
        <w:rPr>
          <w:rFonts w:ascii="SimSun" w:hAnsi="SimSun" w:eastAsia="SimSun" w:cs="SimSun"/>
          <w:sz w:val="20"/>
          <w:szCs w:val="20"/>
          <w:spacing w:val="7"/>
        </w:rPr>
        <w:t xml:space="preserve">  </w:t>
      </w:r>
      <w:r>
        <w:rPr>
          <w:rFonts w:ascii="SimSun" w:hAnsi="SimSun" w:eastAsia="SimSun" w:cs="SimSun"/>
          <w:sz w:val="20"/>
          <w:szCs w:val="20"/>
        </w:rPr>
        <w:t>升；另一方面又需要法律监管尽快适应市场</w:t>
      </w:r>
      <w:r>
        <w:rPr>
          <w:rFonts w:ascii="SimSun" w:hAnsi="SimSun" w:eastAsia="SimSun" w:cs="SimSun"/>
          <w:sz w:val="20"/>
          <w:szCs w:val="20"/>
          <w:spacing w:val="-1"/>
        </w:rPr>
        <w:t>发展的节奏，对平台创新</w:t>
      </w:r>
      <w:r>
        <w:rPr>
          <w:rFonts w:ascii="SimSun" w:hAnsi="SimSun" w:eastAsia="SimSun" w:cs="SimSun"/>
          <w:sz w:val="20"/>
          <w:szCs w:val="20"/>
        </w:rPr>
        <w:t xml:space="preserve">  </w:t>
      </w:r>
      <w:r>
        <w:rPr>
          <w:rFonts w:ascii="SimSun" w:hAnsi="SimSun" w:eastAsia="SimSun" w:cs="SimSun"/>
          <w:sz w:val="20"/>
          <w:szCs w:val="20"/>
        </w:rPr>
        <w:t>过程中出现的新挑战进行及时回应。但法律监</w:t>
      </w:r>
      <w:r>
        <w:rPr>
          <w:rFonts w:ascii="SimSun" w:hAnsi="SimSun" w:eastAsia="SimSun" w:cs="SimSun"/>
          <w:sz w:val="20"/>
          <w:szCs w:val="20"/>
          <w:spacing w:val="-1"/>
        </w:rPr>
        <w:t>管的步伐往往很难跟上</w:t>
      </w:r>
      <w:r>
        <w:rPr>
          <w:rFonts w:ascii="SimSun" w:hAnsi="SimSun" w:eastAsia="SimSun" w:cs="SimSun"/>
          <w:sz w:val="20"/>
          <w:szCs w:val="20"/>
        </w:rPr>
        <w:t xml:space="preserve">  </w:t>
      </w:r>
      <w:r>
        <w:rPr>
          <w:rFonts w:ascii="SimSun" w:hAnsi="SimSun" w:eastAsia="SimSun" w:cs="SimSun"/>
          <w:sz w:val="20"/>
          <w:szCs w:val="20"/>
        </w:rPr>
        <w:t>平台经济创新高速发展的节奏，容易出现新挑战</w:t>
      </w:r>
      <w:r>
        <w:rPr>
          <w:rFonts w:ascii="SimSun" w:hAnsi="SimSun" w:eastAsia="SimSun" w:cs="SimSun"/>
          <w:sz w:val="20"/>
          <w:szCs w:val="20"/>
          <w:spacing w:val="-1"/>
        </w:rPr>
        <w:t>、新问题。因此，平</w:t>
      </w:r>
      <w:r>
        <w:rPr>
          <w:rFonts w:ascii="SimSun" w:hAnsi="SimSun" w:eastAsia="SimSun" w:cs="SimSun"/>
          <w:sz w:val="20"/>
          <w:szCs w:val="20"/>
        </w:rPr>
        <w:t xml:space="preserve">  </w:t>
      </w:r>
      <w:r>
        <w:rPr>
          <w:rFonts w:ascii="SimSun" w:hAnsi="SimSun" w:eastAsia="SimSun" w:cs="SimSun"/>
          <w:sz w:val="20"/>
          <w:szCs w:val="20"/>
          <w:spacing w:val="6"/>
        </w:rPr>
        <w:t>台产业结构调整需要采取强力有效的监管措施，以防止监管漏洞的</w:t>
      </w:r>
    </w:p>
    <w:p>
      <w:pPr>
        <w:spacing w:line="220" w:lineRule="auto"/>
        <w:rPr>
          <w:rFonts w:ascii="SimSun" w:hAnsi="SimSun" w:eastAsia="SimSun" w:cs="SimSun"/>
          <w:sz w:val="20"/>
          <w:szCs w:val="20"/>
        </w:rPr>
      </w:pPr>
      <w:r>
        <w:rPr>
          <w:rFonts w:ascii="SimSun" w:hAnsi="SimSun" w:eastAsia="SimSun" w:cs="SimSun"/>
          <w:sz w:val="20"/>
          <w:szCs w:val="20"/>
          <w:spacing w:val="-5"/>
        </w:rPr>
        <w:t>出现。</w:t>
      </w:r>
    </w:p>
    <w:p>
      <w:pPr>
        <w:pStyle w:val="BodyText"/>
        <w:spacing w:line="409" w:lineRule="auto"/>
        <w:rPr/>
      </w:pPr>
      <w:r/>
    </w:p>
    <w:p>
      <w:pPr>
        <w:ind w:left="472"/>
        <w:spacing w:before="65" w:line="219" w:lineRule="auto"/>
        <w:rPr>
          <w:rFonts w:ascii="SimSun" w:hAnsi="SimSun" w:eastAsia="SimSun" w:cs="SimSun"/>
          <w:sz w:val="20"/>
          <w:szCs w:val="20"/>
        </w:rPr>
      </w:pPr>
      <w:r>
        <w:rPr>
          <w:rFonts w:ascii="SimSun" w:hAnsi="SimSun" w:eastAsia="SimSun" w:cs="SimSun"/>
          <w:sz w:val="20"/>
          <w:szCs w:val="20"/>
          <w:b/>
          <w:bCs/>
          <w:spacing w:val="-3"/>
        </w:rPr>
        <w:t>平台经济创新速度与立法滞后的矛盾</w:t>
      </w:r>
    </w:p>
    <w:p>
      <w:pPr>
        <w:ind w:right="56" w:firstLine="469"/>
        <w:spacing w:before="126" w:line="313" w:lineRule="auto"/>
        <w:jc w:val="both"/>
        <w:rPr>
          <w:rFonts w:ascii="SimSun" w:hAnsi="SimSun" w:eastAsia="SimSun" w:cs="SimSun"/>
          <w:sz w:val="20"/>
          <w:szCs w:val="20"/>
        </w:rPr>
      </w:pPr>
      <w:r>
        <w:rPr>
          <w:rFonts w:ascii="SimSun" w:hAnsi="SimSun" w:eastAsia="SimSun" w:cs="SimSun"/>
          <w:sz w:val="20"/>
          <w:szCs w:val="20"/>
        </w:rPr>
        <w:t>平台经济的创新呈现出变化快、层次多、内容</w:t>
      </w:r>
      <w:r>
        <w:rPr>
          <w:rFonts w:ascii="SimSun" w:hAnsi="SimSun" w:eastAsia="SimSun" w:cs="SimSun"/>
          <w:sz w:val="20"/>
          <w:szCs w:val="20"/>
          <w:spacing w:val="-1"/>
        </w:rPr>
        <w:t>新的特点，由于立</w:t>
      </w:r>
      <w:r>
        <w:rPr>
          <w:rFonts w:ascii="SimSun" w:hAnsi="SimSun" w:eastAsia="SimSun" w:cs="SimSun"/>
          <w:sz w:val="20"/>
          <w:szCs w:val="20"/>
        </w:rPr>
        <w:t xml:space="preserve"> </w:t>
      </w:r>
      <w:r>
        <w:rPr>
          <w:rFonts w:ascii="SimSun" w:hAnsi="SimSun" w:eastAsia="SimSun" w:cs="SimSun"/>
          <w:sz w:val="20"/>
          <w:szCs w:val="20"/>
          <w:spacing w:val="-1"/>
        </w:rPr>
        <w:t>法本身的滞后性，平台经济的高速创新发展无疑会给法律制度带来诸 </w:t>
      </w:r>
      <w:r>
        <w:rPr>
          <w:rFonts w:ascii="SimSun" w:hAnsi="SimSun" w:eastAsia="SimSun" w:cs="SimSun"/>
          <w:sz w:val="20"/>
          <w:szCs w:val="20"/>
          <w:spacing w:val="-1"/>
        </w:rPr>
        <w:t>多挑战。同时，立法者由于时代局限很难准确地把握平台经济的发展</w:t>
      </w:r>
      <w:r>
        <w:rPr>
          <w:rFonts w:ascii="SimSun" w:hAnsi="SimSun" w:eastAsia="SimSun" w:cs="SimSun"/>
          <w:sz w:val="20"/>
          <w:szCs w:val="20"/>
          <w:spacing w:val="5"/>
        </w:rPr>
        <w:t xml:space="preserve">  </w:t>
      </w:r>
      <w:r>
        <w:rPr>
          <w:rFonts w:ascii="SimSun" w:hAnsi="SimSun" w:eastAsia="SimSun" w:cs="SimSun"/>
          <w:sz w:val="20"/>
          <w:szCs w:val="20"/>
          <w:spacing w:val="-1"/>
        </w:rPr>
        <w:t>方向和脉动，容易出现错失立法时机、立法框架模糊和立法策略失误 </w:t>
      </w:r>
      <w:r>
        <w:rPr>
          <w:rFonts w:ascii="SimSun" w:hAnsi="SimSun" w:eastAsia="SimSun" w:cs="SimSun"/>
          <w:sz w:val="20"/>
          <w:szCs w:val="20"/>
          <w:spacing w:val="-1"/>
        </w:rPr>
        <w:t>等问题。另外，立法的严谨性和审慎性决定了立法无法对社会实践的 </w:t>
      </w:r>
      <w:r>
        <w:rPr>
          <w:rFonts w:ascii="SimSun" w:hAnsi="SimSun" w:eastAsia="SimSun" w:cs="SimSun"/>
          <w:sz w:val="20"/>
          <w:szCs w:val="20"/>
        </w:rPr>
        <w:t>变动予以迅速回应。①近年来，该现象日益明显</w:t>
      </w:r>
      <w:r>
        <w:rPr>
          <w:rFonts w:ascii="SimSun" w:hAnsi="SimSun" w:eastAsia="SimSun" w:cs="SimSun"/>
          <w:sz w:val="20"/>
          <w:szCs w:val="20"/>
          <w:spacing w:val="-1"/>
        </w:rPr>
        <w:t>，相较于平台经济发</w:t>
      </w:r>
    </w:p>
    <w:p>
      <w:pPr>
        <w:pStyle w:val="BodyText"/>
        <w:spacing w:line="473" w:lineRule="auto"/>
        <w:rPr/>
      </w:pPr>
      <w:r/>
    </w:p>
    <w:p>
      <w:pPr>
        <w:ind w:left="369" w:right="118" w:hanging="369"/>
        <w:spacing w:before="65" w:line="252" w:lineRule="auto"/>
        <w:rPr>
          <w:rFonts w:ascii="KaiTi" w:hAnsi="KaiTi" w:eastAsia="KaiTi" w:cs="KaiTi"/>
          <w:sz w:val="20"/>
          <w:szCs w:val="20"/>
        </w:rPr>
      </w:pPr>
      <w:r>
        <w:rPr>
          <w:rFonts w:ascii="SimSun" w:hAnsi="SimSun" w:eastAsia="SimSun" w:cs="SimSun"/>
          <w:sz w:val="20"/>
          <w:szCs w:val="20"/>
          <w:spacing w:val="-15"/>
          <w:w w:val="90"/>
        </w:rPr>
        <w:t>①</w:t>
      </w:r>
      <w:r>
        <w:rPr>
          <w:rFonts w:ascii="SimSun" w:hAnsi="SimSun" w:eastAsia="SimSun" w:cs="SimSun"/>
          <w:sz w:val="20"/>
          <w:szCs w:val="20"/>
          <w:spacing w:val="50"/>
        </w:rPr>
        <w:t xml:space="preserve"> </w:t>
      </w:r>
      <w:r>
        <w:rPr>
          <w:rFonts w:ascii="KaiTi" w:hAnsi="KaiTi" w:eastAsia="KaiTi" w:cs="KaiTi"/>
          <w:sz w:val="20"/>
          <w:szCs w:val="20"/>
          <w:spacing w:val="-15"/>
          <w:w w:val="90"/>
        </w:rPr>
        <w:t>张欣.数字经济时代公共话语格局变迁的新图景——平台驱动型参与的兴起、特</w:t>
      </w:r>
      <w:r>
        <w:rPr>
          <w:rFonts w:ascii="KaiTi" w:hAnsi="KaiTi" w:eastAsia="KaiTi" w:cs="KaiTi"/>
          <w:sz w:val="20"/>
          <w:szCs w:val="20"/>
        </w:rPr>
        <w:t xml:space="preserve"> </w:t>
      </w:r>
      <w:r>
        <w:rPr>
          <w:rFonts w:ascii="KaiTi" w:hAnsi="KaiTi" w:eastAsia="KaiTi" w:cs="KaiTi"/>
          <w:sz w:val="20"/>
          <w:szCs w:val="20"/>
          <w:spacing w:val="-18"/>
        </w:rPr>
        <w:t>征与机制.中国法律评论，2018(2):119-132.</w:t>
      </w:r>
    </w:p>
    <w:p>
      <w:pPr>
        <w:spacing w:line="252" w:lineRule="auto"/>
        <w:sectPr>
          <w:headerReference w:type="default" r:id="rId1"/>
          <w:pgSz w:w="7330" w:h="12480"/>
          <w:pgMar w:top="336" w:right="350" w:bottom="400" w:left="860" w:header="0" w:footer="0" w:gutter="0"/>
        </w:sectPr>
        <w:rPr>
          <w:rFonts w:ascii="KaiTi" w:hAnsi="KaiTi" w:eastAsia="KaiTi" w:cs="KaiTi"/>
          <w:sz w:val="20"/>
          <w:szCs w:val="20"/>
        </w:rPr>
      </w:pPr>
    </w:p>
    <w:p>
      <w:pPr>
        <w:ind w:left="1612"/>
        <w:spacing w:before="239" w:line="221" w:lineRule="auto"/>
        <w:rPr>
          <w:rFonts w:ascii="SimSun" w:hAnsi="SimSun" w:eastAsia="SimSun" w:cs="SimSun"/>
          <w:sz w:val="12"/>
          <w:szCs w:val="12"/>
        </w:rPr>
      </w:pPr>
      <w:r>
        <w:drawing>
          <wp:anchor distT="0" distB="0" distL="0" distR="0" simplePos="0" relativeHeight="255277056" behindDoc="0" locked="0" layoutInCell="0" allowOverlap="1">
            <wp:simplePos x="0" y="0"/>
            <wp:positionH relativeFrom="page">
              <wp:posOffset>177803</wp:posOffset>
            </wp:positionH>
            <wp:positionV relativeFrom="page">
              <wp:posOffset>5473733</wp:posOffset>
            </wp:positionV>
            <wp:extent cx="1168384" cy="6350"/>
            <wp:effectExtent l="0" t="0" r="0" b="0"/>
            <wp:wrapNone/>
            <wp:docPr id="278" name="IM 278"/>
            <wp:cNvGraphicFramePr/>
            <a:graphic>
              <a:graphicData uri="http://schemas.openxmlformats.org/drawingml/2006/picture">
                <pic:pic>
                  <pic:nvPicPr>
                    <pic:cNvPr id="278" name="IM 278"/>
                    <pic:cNvPicPr/>
                  </pic:nvPicPr>
                  <pic:blipFill>
                    <a:blip r:embed="rId417"/>
                    <a:stretch>
                      <a:fillRect/>
                    </a:stretch>
                  </pic:blipFill>
                  <pic:spPr>
                    <a:xfrm rot="0">
                      <a:off x="0" y="0"/>
                      <a:ext cx="1168384" cy="6350"/>
                    </a:xfrm>
                    <a:prstGeom prst="rect">
                      <a:avLst/>
                    </a:prstGeom>
                  </pic:spPr>
                </pic:pic>
              </a:graphicData>
            </a:graphic>
          </wp:anchor>
        </w:drawing>
      </w:r>
      <w:r>
        <w:rPr>
          <w:rFonts w:ascii="YouYuan" w:hAnsi="YouYuan" w:eastAsia="YouYuan" w:cs="YouYuan"/>
          <w:sz w:val="19"/>
          <w:szCs w:val="19"/>
          <w:b/>
          <w:bCs/>
          <w:spacing w:val="-12"/>
          <w:w w:val="86"/>
        </w:rPr>
        <w:t>第十章</w:t>
      </w:r>
      <w:r>
        <w:rPr>
          <w:rFonts w:ascii="YouYuan" w:hAnsi="YouYuan" w:eastAsia="YouYuan" w:cs="YouYuan"/>
          <w:sz w:val="19"/>
          <w:szCs w:val="19"/>
          <w:spacing w:val="-12"/>
          <w:w w:val="86"/>
        </w:rPr>
        <w:t xml:space="preserve">  </w:t>
      </w:r>
      <w:r>
        <w:rPr>
          <w:rFonts w:ascii="YouYuan" w:hAnsi="YouYuan" w:eastAsia="YouYuan" w:cs="YouYuan"/>
          <w:sz w:val="19"/>
          <w:szCs w:val="19"/>
          <w:b/>
          <w:bCs/>
          <w:spacing w:val="-12"/>
          <w:w w:val="86"/>
        </w:rPr>
        <w:t>平台创新治理的数据与算法维度</w:t>
      </w:r>
      <w:r>
        <w:rPr>
          <w:rFonts w:ascii="YouYuan" w:hAnsi="YouYuan" w:eastAsia="YouYuan" w:cs="YouYuan"/>
          <w:sz w:val="19"/>
          <w:szCs w:val="19"/>
          <w:spacing w:val="2"/>
        </w:rPr>
        <w:t xml:space="preserve">              </w:t>
      </w:r>
      <w:r>
        <w:rPr>
          <w:rFonts w:ascii="SimSun" w:hAnsi="SimSun" w:eastAsia="SimSun" w:cs="SimSun"/>
          <w:sz w:val="12"/>
          <w:szCs w:val="12"/>
          <w:spacing w:val="1"/>
          <w:position w:val="-2"/>
        </w:rPr>
        <w:t>343</w:t>
      </w:r>
    </w:p>
    <w:p>
      <w:pPr>
        <w:pStyle w:val="BodyText"/>
        <w:spacing w:line="318" w:lineRule="auto"/>
        <w:rPr/>
      </w:pPr>
      <w:r/>
    </w:p>
    <w:p>
      <w:pPr>
        <w:pStyle w:val="BodyText"/>
        <w:spacing w:line="319" w:lineRule="auto"/>
        <w:rPr/>
      </w:pPr>
      <w:r/>
    </w:p>
    <w:p>
      <w:pPr>
        <w:pStyle w:val="BodyText"/>
        <w:spacing w:line="319" w:lineRule="auto"/>
        <w:rPr/>
      </w:pPr>
      <w:r/>
    </w:p>
    <w:p>
      <w:pPr>
        <w:ind w:right="72"/>
        <w:spacing w:before="62" w:line="351" w:lineRule="auto"/>
        <w:jc w:val="both"/>
        <w:rPr>
          <w:rFonts w:ascii="SimSun" w:hAnsi="SimSun" w:eastAsia="SimSun" w:cs="SimSun"/>
          <w:sz w:val="19"/>
          <w:szCs w:val="19"/>
        </w:rPr>
      </w:pPr>
      <w:r>
        <w:rPr>
          <w:rFonts w:ascii="SimSun" w:hAnsi="SimSun" w:eastAsia="SimSun" w:cs="SimSun"/>
          <w:sz w:val="19"/>
          <w:szCs w:val="19"/>
          <w:spacing w:val="12"/>
        </w:rPr>
        <w:t>展日渐增快的速度，立法的步伐呈现出缓慢、迟滞的特点①,被学者 </w:t>
      </w:r>
      <w:r>
        <w:rPr>
          <w:rFonts w:ascii="SimSun" w:hAnsi="SimSun" w:eastAsia="SimSun" w:cs="SimSun"/>
          <w:sz w:val="19"/>
          <w:szCs w:val="19"/>
          <w:spacing w:val="9"/>
        </w:rPr>
        <w:t>评价为“步伐困境”。②典型如优步平台与伦敦立法者和监管者之间</w:t>
      </w:r>
      <w:r>
        <w:rPr>
          <w:rFonts w:ascii="SimSun" w:hAnsi="SimSun" w:eastAsia="SimSun" w:cs="SimSun"/>
          <w:sz w:val="19"/>
          <w:szCs w:val="19"/>
          <w:spacing w:val="17"/>
        </w:rPr>
        <w:t xml:space="preserve"> </w:t>
      </w:r>
      <w:r>
        <w:rPr>
          <w:rFonts w:ascii="SimSun" w:hAnsi="SimSun" w:eastAsia="SimSun" w:cs="SimSun"/>
          <w:sz w:val="19"/>
          <w:szCs w:val="19"/>
          <w:spacing w:val="9"/>
        </w:rPr>
        <w:t>的冲突，当伦敦方面决定拒绝向优步平台颁布私人雇佣经营者许可证</w:t>
      </w:r>
      <w:r>
        <w:rPr>
          <w:rFonts w:ascii="SimSun" w:hAnsi="SimSun" w:eastAsia="SimSun" w:cs="SimSun"/>
          <w:sz w:val="19"/>
          <w:szCs w:val="19"/>
          <w:spacing w:val="7"/>
        </w:rPr>
        <w:t xml:space="preserve"> </w:t>
      </w:r>
      <w:r>
        <w:rPr>
          <w:rFonts w:ascii="SimSun" w:hAnsi="SimSun" w:eastAsia="SimSun" w:cs="SimSun"/>
          <w:sz w:val="19"/>
          <w:szCs w:val="19"/>
          <w:spacing w:val="18"/>
        </w:rPr>
        <w:t>时，便有学者指出“优步平台仅在伦敦便雇用了40000名司机，伦</w:t>
      </w:r>
      <w:r>
        <w:rPr>
          <w:rFonts w:ascii="SimSun" w:hAnsi="SimSun" w:eastAsia="SimSun" w:cs="SimSun"/>
          <w:sz w:val="19"/>
          <w:szCs w:val="19"/>
          <w:spacing w:val="4"/>
        </w:rPr>
        <w:t xml:space="preserve"> </w:t>
      </w:r>
      <w:r>
        <w:rPr>
          <w:rFonts w:ascii="SimSun" w:hAnsi="SimSun" w:eastAsia="SimSun" w:cs="SimSun"/>
          <w:sz w:val="19"/>
          <w:szCs w:val="19"/>
          <w:spacing w:val="9"/>
        </w:rPr>
        <w:t>敦这一决定无疑是关闭了一座城镇”。③立法的滞后性与平台经济的</w:t>
      </w:r>
      <w:r>
        <w:rPr>
          <w:rFonts w:ascii="SimSun" w:hAnsi="SimSun" w:eastAsia="SimSun" w:cs="SimSun"/>
          <w:sz w:val="19"/>
          <w:szCs w:val="19"/>
          <w:spacing w:val="13"/>
        </w:rPr>
        <w:t xml:space="preserve"> </w:t>
      </w:r>
      <w:r>
        <w:rPr>
          <w:rFonts w:ascii="SimSun" w:hAnsi="SimSun" w:eastAsia="SimSun" w:cs="SimSun"/>
          <w:sz w:val="19"/>
          <w:szCs w:val="19"/>
          <w:spacing w:val="9"/>
        </w:rPr>
        <w:t>创新高速发展间的矛盾成了平台治理不得不面对的新挑战，在冲击传</w:t>
      </w:r>
      <w:r>
        <w:rPr>
          <w:rFonts w:ascii="SimSun" w:hAnsi="SimSun" w:eastAsia="SimSun" w:cs="SimSun"/>
          <w:sz w:val="19"/>
          <w:szCs w:val="19"/>
          <w:spacing w:val="8"/>
        </w:rPr>
        <w:t xml:space="preserve"> </w:t>
      </w:r>
      <w:r>
        <w:rPr>
          <w:rFonts w:ascii="SimSun" w:hAnsi="SimSun" w:eastAsia="SimSun" w:cs="SimSun"/>
          <w:sz w:val="19"/>
          <w:szCs w:val="19"/>
          <w:spacing w:val="10"/>
        </w:rPr>
        <w:t>统立法模式的同时，也促使立法者及时采取更加</w:t>
      </w:r>
      <w:r>
        <w:rPr>
          <w:rFonts w:ascii="SimSun" w:hAnsi="SimSun" w:eastAsia="SimSun" w:cs="SimSun"/>
          <w:sz w:val="19"/>
          <w:szCs w:val="19"/>
          <w:spacing w:val="9"/>
        </w:rPr>
        <w:t>有效的措施对相关问</w:t>
      </w:r>
    </w:p>
    <w:p>
      <w:pPr>
        <w:spacing w:line="221" w:lineRule="auto"/>
        <w:rPr>
          <w:rFonts w:ascii="SimSun" w:hAnsi="SimSun" w:eastAsia="SimSun" w:cs="SimSun"/>
          <w:sz w:val="19"/>
          <w:szCs w:val="19"/>
        </w:rPr>
      </w:pPr>
      <w:r>
        <w:rPr>
          <w:rFonts w:ascii="SimSun" w:hAnsi="SimSun" w:eastAsia="SimSun" w:cs="SimSun"/>
          <w:sz w:val="19"/>
          <w:szCs w:val="19"/>
          <w:spacing w:val="2"/>
        </w:rPr>
        <w:t>题予以回应。</w:t>
      </w:r>
    </w:p>
    <w:p>
      <w:pPr>
        <w:pStyle w:val="BodyText"/>
        <w:spacing w:line="463" w:lineRule="auto"/>
        <w:rPr/>
      </w:pPr>
      <w:r/>
    </w:p>
    <w:p>
      <w:pPr>
        <w:ind w:left="432"/>
        <w:spacing w:before="62" w:line="220" w:lineRule="auto"/>
        <w:rPr>
          <w:rFonts w:ascii="SimSun" w:hAnsi="SimSun" w:eastAsia="SimSun" w:cs="SimSun"/>
          <w:sz w:val="19"/>
          <w:szCs w:val="19"/>
        </w:rPr>
      </w:pPr>
      <w:r>
        <w:rPr>
          <w:rFonts w:ascii="SimSun" w:hAnsi="SimSun" w:eastAsia="SimSun" w:cs="SimSun"/>
          <w:sz w:val="19"/>
          <w:szCs w:val="19"/>
          <w:b/>
          <w:bCs/>
          <w:spacing w:val="4"/>
        </w:rPr>
        <w:t>平台经济创新出现新兴治理难题</w:t>
      </w:r>
    </w:p>
    <w:p>
      <w:pPr>
        <w:ind w:right="68" w:firstLine="430"/>
        <w:spacing w:before="104" w:line="360" w:lineRule="auto"/>
        <w:jc w:val="both"/>
        <w:rPr>
          <w:rFonts w:ascii="SimSun" w:hAnsi="SimSun" w:eastAsia="SimSun" w:cs="SimSun"/>
          <w:sz w:val="19"/>
          <w:szCs w:val="19"/>
        </w:rPr>
      </w:pPr>
      <w:r>
        <w:rPr>
          <w:rFonts w:ascii="SimSun" w:hAnsi="SimSun" w:eastAsia="SimSun" w:cs="SimSun"/>
          <w:sz w:val="19"/>
          <w:szCs w:val="19"/>
          <w:spacing w:val="9"/>
        </w:rPr>
        <w:t>平台经济依托互联网等信息手段实现更新换代，</w:t>
      </w:r>
      <w:r>
        <w:rPr>
          <w:rFonts w:ascii="SimSun" w:hAnsi="SimSun" w:eastAsia="SimSun" w:cs="SimSun"/>
          <w:sz w:val="19"/>
          <w:szCs w:val="19"/>
          <w:spacing w:val="8"/>
        </w:rPr>
        <w:t>借助数据、算法</w:t>
      </w:r>
      <w:r>
        <w:rPr>
          <w:rFonts w:ascii="SimSun" w:hAnsi="SimSun" w:eastAsia="SimSun" w:cs="SimSun"/>
          <w:sz w:val="19"/>
          <w:szCs w:val="19"/>
        </w:rPr>
        <w:t xml:space="preserve"> </w:t>
      </w:r>
      <w:r>
        <w:rPr>
          <w:rFonts w:ascii="SimSun" w:hAnsi="SimSun" w:eastAsia="SimSun" w:cs="SimSun"/>
          <w:sz w:val="19"/>
          <w:szCs w:val="19"/>
          <w:spacing w:val="9"/>
        </w:rPr>
        <w:t>等新因素实现创新发展，也由此出现了一系列治理新难题，主要聚焦</w:t>
      </w:r>
    </w:p>
    <w:p>
      <w:pPr>
        <w:spacing w:line="219" w:lineRule="auto"/>
        <w:rPr>
          <w:rFonts w:ascii="SimSun" w:hAnsi="SimSun" w:eastAsia="SimSun" w:cs="SimSun"/>
          <w:sz w:val="19"/>
          <w:szCs w:val="19"/>
        </w:rPr>
      </w:pPr>
      <w:r>
        <w:rPr>
          <w:rFonts w:ascii="SimSun" w:hAnsi="SimSun" w:eastAsia="SimSun" w:cs="SimSun"/>
          <w:sz w:val="19"/>
          <w:szCs w:val="19"/>
          <w:spacing w:val="5"/>
        </w:rPr>
        <w:t>在数据和算法的利用上。</w:t>
      </w:r>
    </w:p>
    <w:p>
      <w:pPr>
        <w:ind w:firstLine="432"/>
        <w:spacing w:before="121" w:line="350" w:lineRule="auto"/>
        <w:jc w:val="both"/>
        <w:rPr>
          <w:rFonts w:ascii="SimSun" w:hAnsi="SimSun" w:eastAsia="SimSun" w:cs="SimSun"/>
          <w:sz w:val="19"/>
          <w:szCs w:val="19"/>
        </w:rPr>
      </w:pPr>
      <w:r>
        <w:rPr>
          <w:rFonts w:ascii="SimHei" w:hAnsi="SimHei" w:eastAsia="SimHei" w:cs="SimHei"/>
          <w:sz w:val="19"/>
          <w:szCs w:val="19"/>
          <w:b/>
          <w:bCs/>
          <w:spacing w:val="18"/>
        </w:rPr>
        <w:t>平台数据治理难题</w:t>
      </w:r>
      <w:r>
        <w:rPr>
          <w:rFonts w:ascii="SimHei" w:hAnsi="SimHei" w:eastAsia="SimHei" w:cs="SimHei"/>
          <w:sz w:val="19"/>
          <w:szCs w:val="19"/>
          <w:spacing w:val="8"/>
        </w:rPr>
        <w:t xml:space="preserve">  </w:t>
      </w:r>
      <w:r>
        <w:rPr>
          <w:rFonts w:ascii="SimSun" w:hAnsi="SimSun" w:eastAsia="SimSun" w:cs="SimSun"/>
          <w:sz w:val="19"/>
          <w:szCs w:val="19"/>
          <w:spacing w:val="18"/>
        </w:rPr>
        <w:t>平台经济作为依托数字技术的经济形态，</w:t>
      </w:r>
      <w:r>
        <w:rPr>
          <w:rFonts w:ascii="SimSun" w:hAnsi="SimSun" w:eastAsia="SimSun" w:cs="SimSun"/>
          <w:sz w:val="19"/>
          <w:szCs w:val="19"/>
          <w:spacing w:val="1"/>
        </w:rPr>
        <w:t xml:space="preserve"> </w:t>
      </w:r>
      <w:r>
        <w:rPr>
          <w:rFonts w:ascii="SimSun" w:hAnsi="SimSun" w:eastAsia="SimSun" w:cs="SimSun"/>
          <w:sz w:val="19"/>
          <w:szCs w:val="19"/>
          <w:spacing w:val="16"/>
        </w:rPr>
        <w:t>极大地提高了信息传送与匹配的效率，从而促使双边市场的特性得</w:t>
      </w:r>
      <w:r>
        <w:rPr>
          <w:rFonts w:ascii="SimSun" w:hAnsi="SimSun" w:eastAsia="SimSun" w:cs="SimSun"/>
          <w:sz w:val="19"/>
          <w:szCs w:val="19"/>
          <w:spacing w:val="1"/>
        </w:rPr>
        <w:t xml:space="preserve">  </w:t>
      </w:r>
      <w:r>
        <w:rPr>
          <w:rFonts w:ascii="SimSun" w:hAnsi="SimSun" w:eastAsia="SimSun" w:cs="SimSun"/>
          <w:sz w:val="19"/>
          <w:szCs w:val="19"/>
          <w:spacing w:val="16"/>
        </w:rPr>
        <w:t>到充分发挥。作为海量数据的聚集体，平台通过数据的流通利用获</w:t>
      </w:r>
      <w:r>
        <w:rPr>
          <w:rFonts w:ascii="SimSun" w:hAnsi="SimSun" w:eastAsia="SimSun" w:cs="SimSun"/>
          <w:sz w:val="19"/>
          <w:szCs w:val="19"/>
          <w:spacing w:val="1"/>
        </w:rPr>
        <w:t xml:space="preserve">  </w:t>
      </w:r>
      <w:r>
        <w:rPr>
          <w:rFonts w:ascii="SimSun" w:hAnsi="SimSun" w:eastAsia="SimSun" w:cs="SimSun"/>
          <w:sz w:val="19"/>
          <w:szCs w:val="19"/>
          <w:spacing w:val="9"/>
        </w:rPr>
        <w:t>取数据的价值。“数据驱动竞争”非常贴切地揭示了当下及未来市场</w:t>
      </w:r>
    </w:p>
    <w:p>
      <w:pPr>
        <w:spacing w:line="217" w:lineRule="auto"/>
        <w:rPr>
          <w:rFonts w:ascii="SimSun" w:hAnsi="SimSun" w:eastAsia="SimSun" w:cs="SimSun"/>
          <w:sz w:val="19"/>
          <w:szCs w:val="19"/>
        </w:rPr>
      </w:pPr>
      <w:r>
        <w:rPr>
          <w:rFonts w:ascii="SimSun" w:hAnsi="SimSun" w:eastAsia="SimSun" w:cs="SimSun"/>
          <w:sz w:val="19"/>
          <w:szCs w:val="19"/>
          <w:spacing w:val="9"/>
        </w:rPr>
        <w:t>竞争的决策特质。④基于数据驱动的本质，平台通过数据获取价值的</w:t>
      </w:r>
    </w:p>
    <w:p>
      <w:pPr>
        <w:pStyle w:val="BodyText"/>
        <w:spacing w:line="461" w:lineRule="auto"/>
        <w:rPr/>
      </w:pPr>
      <w:r/>
    </w:p>
    <w:p>
      <w:pPr>
        <w:ind w:left="300" w:right="29" w:hanging="300"/>
        <w:spacing w:before="62" w:line="245" w:lineRule="auto"/>
        <w:rPr>
          <w:rFonts w:ascii="Times New Roman" w:hAnsi="Times New Roman" w:eastAsia="Times New Roman" w:cs="Times New Roman"/>
          <w:sz w:val="19"/>
          <w:szCs w:val="19"/>
        </w:rPr>
      </w:pPr>
      <w:r>
        <w:rPr>
          <w:rFonts w:ascii="SimSun" w:hAnsi="SimSun" w:eastAsia="SimSun" w:cs="SimSun"/>
          <w:sz w:val="19"/>
          <w:szCs w:val="19"/>
          <w:spacing w:val="-10"/>
        </w:rPr>
        <w:t>①</w:t>
      </w:r>
      <w:r>
        <w:rPr>
          <w:rFonts w:ascii="SimSun" w:hAnsi="SimSun" w:eastAsia="SimSun" w:cs="SimSun"/>
          <w:sz w:val="19"/>
          <w:szCs w:val="19"/>
          <w:spacing w:val="50"/>
          <w:w w:val="101"/>
        </w:rPr>
        <w:t xml:space="preserve"> </w:t>
      </w:r>
      <w:r>
        <w:rPr>
          <w:rFonts w:ascii="Times New Roman" w:hAnsi="Times New Roman" w:eastAsia="Times New Roman" w:cs="Times New Roman"/>
          <w:sz w:val="19"/>
          <w:szCs w:val="19"/>
          <w:spacing w:val="-10"/>
        </w:rPr>
        <w:t>Rita MeGrath,“The Pace 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10"/>
        </w:rPr>
        <w:t>Technology Adoption is</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0"/>
        </w:rPr>
        <w:t>Speeding Up”,Ha</w:t>
      </w:r>
      <w:r>
        <w:rPr>
          <w:rFonts w:ascii="Times New Roman" w:hAnsi="Times New Roman" w:eastAsia="Times New Roman" w:cs="Times New Roman"/>
          <w:sz w:val="19"/>
          <w:szCs w:val="19"/>
          <w:spacing w:val="-11"/>
        </w:rPr>
        <w:t>rvard Business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w w:val="96"/>
        </w:rPr>
        <w:t>Review,2019,</w:t>
      </w:r>
      <w:hyperlink w:history="true" r:id="rId418">
        <w:r>
          <w:rPr>
            <w:rFonts w:ascii="Times New Roman" w:hAnsi="Times New Roman" w:eastAsia="Times New Roman" w:cs="Times New Roman"/>
            <w:sz w:val="19"/>
            <w:szCs w:val="19"/>
            <w:spacing w:val="-8"/>
            <w:w w:val="96"/>
          </w:rPr>
          <w:t>https://hb</w:t>
        </w:r>
        <w:r>
          <w:rPr>
            <w:rFonts w:ascii="Times New Roman" w:hAnsi="Times New Roman" w:eastAsia="Times New Roman" w:cs="Times New Roman"/>
            <w:sz w:val="19"/>
            <w:szCs w:val="19"/>
            <w:spacing w:val="-9"/>
            <w:w w:val="96"/>
          </w:rPr>
          <w:t>r.org/2013/11/the-pace-of-technology-adoption-is-speeding-up</w:t>
        </w:r>
      </w:hyperlink>
      <w:r>
        <w:rPr>
          <w:rFonts w:ascii="Times New Roman" w:hAnsi="Times New Roman" w:eastAsia="Times New Roman" w:cs="Times New Roman"/>
          <w:sz w:val="19"/>
          <w:szCs w:val="19"/>
          <w:spacing w:val="-9"/>
          <w:w w:val="96"/>
        </w:rPr>
        <w:t>.</w:t>
      </w:r>
    </w:p>
    <w:p>
      <w:pPr>
        <w:spacing w:before="66" w:line="212" w:lineRule="auto"/>
        <w:rPr>
          <w:rFonts w:ascii="Times New Roman" w:hAnsi="Times New Roman" w:eastAsia="Times New Roman" w:cs="Times New Roman"/>
          <w:sz w:val="19"/>
          <w:szCs w:val="19"/>
        </w:rPr>
      </w:pPr>
      <w:r>
        <w:rPr>
          <w:rFonts w:ascii="SimSun" w:hAnsi="SimSun" w:eastAsia="SimSun" w:cs="SimSun"/>
          <w:sz w:val="19"/>
          <w:szCs w:val="19"/>
          <w:spacing w:val="-8"/>
        </w:rPr>
        <w:t>②</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8"/>
        </w:rPr>
        <w:t>Braden Allenby,"Governance and </w:t>
      </w:r>
      <w:r>
        <w:rPr>
          <w:rFonts w:ascii="Times New Roman" w:hAnsi="Times New Roman" w:eastAsia="Times New Roman" w:cs="Times New Roman"/>
          <w:sz w:val="19"/>
          <w:szCs w:val="19"/>
          <w:spacing w:val="-9"/>
        </w:rPr>
        <w:t>Technology Systems:The Challenge of</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9"/>
        </w:rPr>
        <w:t>Emerging</w:t>
      </w:r>
    </w:p>
    <w:p>
      <w:pPr>
        <w:ind w:right="24"/>
        <w:spacing w:before="81"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Technologies",in Gary March</w:t>
      </w:r>
      <w:r>
        <w:rPr>
          <w:rFonts w:ascii="Times New Roman" w:hAnsi="Times New Roman" w:eastAsia="Times New Roman" w:cs="Times New Roman"/>
          <w:sz w:val="19"/>
          <w:szCs w:val="19"/>
          <w:spacing w:val="-6"/>
        </w:rPr>
        <w:t>ant et al.eds.,The Growing Gap Between Emerging</w:t>
      </w:r>
    </w:p>
    <w:p>
      <w:pPr>
        <w:ind w:left="300"/>
        <w:spacing w:before="35"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5"/>
          <w:w w:val="94"/>
          <w:position w:val="3"/>
        </w:rPr>
        <w:t>Technologies and</w:t>
      </w:r>
      <w:r>
        <w:rPr>
          <w:rFonts w:ascii="Times New Roman" w:hAnsi="Times New Roman" w:eastAsia="Times New Roman" w:cs="Times New Roman"/>
          <w:sz w:val="19"/>
          <w:szCs w:val="19"/>
          <w:i/>
          <w:iCs/>
          <w:spacing w:val="-18"/>
          <w:position w:val="3"/>
        </w:rPr>
        <w:t xml:space="preserve"> </w:t>
      </w:r>
      <w:r>
        <w:rPr>
          <w:rFonts w:ascii="Times New Roman" w:hAnsi="Times New Roman" w:eastAsia="Times New Roman" w:cs="Times New Roman"/>
          <w:sz w:val="19"/>
          <w:szCs w:val="19"/>
          <w:i/>
          <w:iCs/>
          <w:spacing w:val="-5"/>
          <w:w w:val="94"/>
          <w:position w:val="3"/>
        </w:rPr>
        <w:t>Lega</w:t>
      </w:r>
      <w:r>
        <w:rPr>
          <w:rFonts w:ascii="Times New Roman" w:hAnsi="Times New Roman" w:eastAsia="Times New Roman" w:cs="Times New Roman"/>
          <w:sz w:val="19"/>
          <w:szCs w:val="19"/>
          <w:i/>
          <w:iCs/>
          <w:spacing w:val="-6"/>
          <w:w w:val="94"/>
          <w:position w:val="3"/>
        </w:rPr>
        <w:t>l-Ethical Oversight:The Pacing</w:t>
      </w:r>
      <w:r>
        <w:rPr>
          <w:rFonts w:ascii="Times New Roman" w:hAnsi="Times New Roman" w:eastAsia="Times New Roman" w:cs="Times New Roman"/>
          <w:sz w:val="19"/>
          <w:szCs w:val="19"/>
          <w:i/>
          <w:iCs/>
          <w:spacing w:val="-13"/>
          <w:position w:val="3"/>
        </w:rPr>
        <w:t xml:space="preserve"> </w:t>
      </w:r>
      <w:r>
        <w:rPr>
          <w:rFonts w:ascii="Times New Roman" w:hAnsi="Times New Roman" w:eastAsia="Times New Roman" w:cs="Times New Roman"/>
          <w:sz w:val="19"/>
          <w:szCs w:val="19"/>
          <w:i/>
          <w:iCs/>
          <w:spacing w:val="-6"/>
          <w:w w:val="94"/>
          <w:position w:val="3"/>
        </w:rPr>
        <w:t>Problem,Springer,2011:3-18.</w:t>
      </w:r>
    </w:p>
    <w:p>
      <w:pPr>
        <w:ind w:left="300" w:right="34" w:hanging="300"/>
        <w:spacing w:before="47" w:line="275" w:lineRule="auto"/>
        <w:rPr>
          <w:rFonts w:ascii="Times New Roman" w:hAnsi="Times New Roman" w:eastAsia="Times New Roman" w:cs="Times New Roman"/>
          <w:sz w:val="19"/>
          <w:szCs w:val="19"/>
        </w:rPr>
      </w:pPr>
      <w:r>
        <w:rPr>
          <w:rFonts w:ascii="SimSun" w:hAnsi="SimSun" w:eastAsia="SimSun" w:cs="SimSun"/>
          <w:sz w:val="19"/>
          <w:szCs w:val="19"/>
          <w:spacing w:val="-10"/>
          <w:w w:val="99"/>
        </w:rPr>
        <w:t>③</w:t>
      </w:r>
      <w:r>
        <w:rPr>
          <w:rFonts w:ascii="SimSun" w:hAnsi="SimSun" w:eastAsia="SimSun" w:cs="SimSun"/>
          <w:sz w:val="19"/>
          <w:szCs w:val="19"/>
          <w:spacing w:val="30"/>
        </w:rPr>
        <w:t xml:space="preserve"> </w:t>
      </w:r>
      <w:r>
        <w:rPr>
          <w:rFonts w:ascii="Times New Roman" w:hAnsi="Times New Roman" w:eastAsia="Times New Roman" w:cs="Times New Roman"/>
          <w:sz w:val="19"/>
          <w:szCs w:val="19"/>
          <w:spacing w:val="-10"/>
          <w:w w:val="99"/>
        </w:rPr>
        <w:t>Amie Tsang,Michael Merced,“Morning Agenda:Londo</w:t>
      </w:r>
      <w:r>
        <w:rPr>
          <w:rFonts w:ascii="Times New Roman" w:hAnsi="Times New Roman" w:eastAsia="Times New Roman" w:cs="Times New Roman"/>
          <w:sz w:val="19"/>
          <w:szCs w:val="19"/>
          <w:spacing w:val="-11"/>
          <w:w w:val="99"/>
        </w:rPr>
        <w:t>n to Ban Uber”,The New York</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Times,September 22,2017,https:/www.ny</w:t>
      </w:r>
      <w:r>
        <w:rPr>
          <w:rFonts w:ascii="Times New Roman" w:hAnsi="Times New Roman" w:eastAsia="Times New Roman" w:cs="Times New Roman"/>
          <w:sz w:val="19"/>
          <w:szCs w:val="19"/>
          <w:spacing w:val="-9"/>
        </w:rPr>
        <w:t>times.com/2017/09/22/business/dealbook/</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w w:val="92"/>
        </w:rPr>
        <w:t>london-uber-ban.html.</w:t>
      </w:r>
    </w:p>
    <w:p>
      <w:pPr>
        <w:ind w:left="300" w:right="63" w:hanging="300"/>
        <w:spacing w:before="97" w:line="245" w:lineRule="auto"/>
        <w:rPr>
          <w:rFonts w:ascii="KaiTi" w:hAnsi="KaiTi" w:eastAsia="KaiTi" w:cs="KaiTi"/>
          <w:sz w:val="19"/>
          <w:szCs w:val="19"/>
        </w:rPr>
      </w:pPr>
      <w:r>
        <w:rPr>
          <w:rFonts w:ascii="KaiTi" w:hAnsi="KaiTi" w:eastAsia="KaiTi" w:cs="KaiTi"/>
          <w:sz w:val="19"/>
          <w:szCs w:val="19"/>
          <w:spacing w:val="-15"/>
          <w:w w:val="95"/>
        </w:rPr>
        <w:t>④</w:t>
      </w:r>
      <w:r>
        <w:rPr>
          <w:rFonts w:ascii="KaiTi" w:hAnsi="KaiTi" w:eastAsia="KaiTi" w:cs="KaiTi"/>
          <w:sz w:val="19"/>
          <w:szCs w:val="19"/>
          <w:spacing w:val="52"/>
        </w:rPr>
        <w:t xml:space="preserve"> </w:t>
      </w:r>
      <w:r>
        <w:rPr>
          <w:rFonts w:ascii="KaiTi" w:hAnsi="KaiTi" w:eastAsia="KaiTi" w:cs="KaiTi"/>
          <w:sz w:val="19"/>
          <w:szCs w:val="19"/>
          <w:spacing w:val="-15"/>
          <w:w w:val="95"/>
        </w:rPr>
        <w:t>杨明.数据驱动竞争规制的基本认知与方法论.上海交通大学学报(哲学社会科学</w:t>
      </w:r>
      <w:r>
        <w:rPr>
          <w:rFonts w:ascii="KaiTi" w:hAnsi="KaiTi" w:eastAsia="KaiTi" w:cs="KaiTi"/>
          <w:sz w:val="19"/>
          <w:szCs w:val="19"/>
        </w:rPr>
        <w:t xml:space="preserve"> </w:t>
      </w:r>
      <w:r>
        <w:rPr>
          <w:rFonts w:ascii="KaiTi" w:hAnsi="KaiTi" w:eastAsia="KaiTi" w:cs="KaiTi"/>
          <w:sz w:val="19"/>
          <w:szCs w:val="19"/>
        </w:rPr>
        <w:t>版),2021(3):10-18.</w:t>
      </w:r>
    </w:p>
    <w:p>
      <w:pPr>
        <w:spacing w:line="245" w:lineRule="auto"/>
        <w:sectPr>
          <w:pgSz w:w="7330" w:h="12480"/>
          <w:pgMar w:top="400" w:right="995" w:bottom="400" w:left="269" w:header="0" w:footer="0" w:gutter="0"/>
        </w:sectPr>
        <w:rPr>
          <w:rFonts w:ascii="KaiTi" w:hAnsi="KaiTi" w:eastAsia="KaiTi" w:cs="KaiTi"/>
          <w:sz w:val="19"/>
          <w:szCs w:val="19"/>
        </w:rPr>
      </w:pPr>
    </w:p>
    <w:p>
      <w:pPr>
        <w:pStyle w:val="BodyText"/>
        <w:spacing w:line="250" w:lineRule="auto"/>
        <w:rPr/>
      </w:pPr>
      <w:r>
        <w:drawing>
          <wp:anchor distT="0" distB="0" distL="0" distR="0" simplePos="0" relativeHeight="255287296" behindDoc="0" locked="0" layoutInCell="0" allowOverlap="1">
            <wp:simplePos x="0" y="0"/>
            <wp:positionH relativeFrom="page">
              <wp:posOffset>565155</wp:posOffset>
            </wp:positionH>
            <wp:positionV relativeFrom="page">
              <wp:posOffset>6692884</wp:posOffset>
            </wp:positionV>
            <wp:extent cx="1181092" cy="6350"/>
            <wp:effectExtent l="0" t="0" r="0" b="0"/>
            <wp:wrapNone/>
            <wp:docPr id="280" name="IM 280"/>
            <wp:cNvGraphicFramePr/>
            <a:graphic>
              <a:graphicData uri="http://schemas.openxmlformats.org/drawingml/2006/picture">
                <pic:pic>
                  <pic:nvPicPr>
                    <pic:cNvPr id="280" name="IM 280"/>
                    <pic:cNvPicPr/>
                  </pic:nvPicPr>
                  <pic:blipFill>
                    <a:blip r:embed="rId420"/>
                    <a:stretch>
                      <a:fillRect/>
                    </a:stretch>
                  </pic:blipFill>
                  <pic:spPr>
                    <a:xfrm rot="0">
                      <a:off x="0" y="0"/>
                      <a:ext cx="1181092"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ind w:right="29"/>
        <w:spacing w:before="68" w:line="308" w:lineRule="auto"/>
        <w:jc w:val="both"/>
        <w:rPr>
          <w:rFonts w:ascii="SimSun" w:hAnsi="SimSun" w:eastAsia="SimSun" w:cs="SimSun"/>
          <w:sz w:val="21"/>
          <w:szCs w:val="21"/>
        </w:rPr>
      </w:pPr>
      <w:r>
        <w:rPr>
          <w:rFonts w:ascii="SimSun" w:hAnsi="SimSun" w:eastAsia="SimSun" w:cs="SimSun"/>
          <w:sz w:val="21"/>
          <w:szCs w:val="21"/>
          <w:spacing w:val="-12"/>
        </w:rPr>
        <w:t>同时，也面临法律相关风险。</w:t>
      </w:r>
      <w:r>
        <w:rPr>
          <w:rFonts w:ascii="SimSun" w:hAnsi="SimSun" w:eastAsia="SimSun" w:cs="SimSun"/>
          <w:sz w:val="21"/>
          <w:szCs w:val="21"/>
          <w:spacing w:val="38"/>
        </w:rPr>
        <w:t xml:space="preserve"> </w:t>
      </w:r>
      <w:r>
        <w:rPr>
          <w:rFonts w:ascii="SimSun" w:hAnsi="SimSun" w:eastAsia="SimSun" w:cs="SimSun"/>
          <w:sz w:val="21"/>
          <w:szCs w:val="21"/>
          <w:spacing w:val="-12"/>
        </w:rPr>
        <w:t>一方面，个人数</w:t>
      </w:r>
      <w:r>
        <w:rPr>
          <w:rFonts w:ascii="SimSun" w:hAnsi="SimSun" w:eastAsia="SimSun" w:cs="SimSun"/>
          <w:sz w:val="21"/>
          <w:szCs w:val="21"/>
          <w:spacing w:val="-13"/>
        </w:rPr>
        <w:t>据泄露问题不容小觑。</w:t>
      </w:r>
      <w:r>
        <w:rPr>
          <w:rFonts w:ascii="SimSun" w:hAnsi="SimSun" w:eastAsia="SimSun" w:cs="SimSun"/>
          <w:sz w:val="21"/>
          <w:szCs w:val="21"/>
        </w:rPr>
        <w:t xml:space="preserve"> </w:t>
      </w:r>
      <w:r>
        <w:rPr>
          <w:rFonts w:ascii="SimSun" w:hAnsi="SimSun" w:eastAsia="SimSun" w:cs="SimSun"/>
          <w:sz w:val="21"/>
          <w:szCs w:val="21"/>
          <w:spacing w:val="-1"/>
        </w:rPr>
        <w:t>数据泄露水平指数数据库</w:t>
      </w:r>
      <w:r>
        <w:rPr>
          <w:rFonts w:ascii="Times New Roman" w:hAnsi="Times New Roman" w:eastAsia="Times New Roman" w:cs="Times New Roman"/>
          <w:sz w:val="21"/>
          <w:szCs w:val="21"/>
          <w:spacing w:val="-1"/>
        </w:rPr>
        <w:t>(Breach  Level  Index)</w:t>
      </w:r>
      <w:r>
        <w:rPr>
          <w:rFonts w:ascii="SimSun" w:hAnsi="SimSun" w:eastAsia="SimSun" w:cs="SimSun"/>
          <w:sz w:val="21"/>
          <w:szCs w:val="21"/>
          <w:spacing w:val="-1"/>
        </w:rPr>
        <w:t>所披露的数据显示，</w:t>
      </w:r>
      <w:r>
        <w:rPr>
          <w:rFonts w:ascii="SimSun" w:hAnsi="SimSun" w:eastAsia="SimSun" w:cs="SimSun"/>
          <w:sz w:val="21"/>
          <w:szCs w:val="21"/>
          <w:spacing w:val="15"/>
        </w:rPr>
        <w:t xml:space="preserve"> </w:t>
      </w:r>
      <w:r>
        <w:rPr>
          <w:rFonts w:ascii="SimSun" w:hAnsi="SimSun" w:eastAsia="SimSun" w:cs="SimSun"/>
          <w:sz w:val="21"/>
          <w:szCs w:val="21"/>
          <w:spacing w:val="4"/>
        </w:rPr>
        <w:t>仅2017年上半年，每天就有超过1000万条记录被泄露或曝光，全</w:t>
      </w:r>
      <w:r>
        <w:rPr>
          <w:rFonts w:ascii="SimSun" w:hAnsi="SimSun" w:eastAsia="SimSun" w:cs="SimSun"/>
          <w:sz w:val="21"/>
          <w:szCs w:val="21"/>
        </w:rPr>
        <w:t xml:space="preserve"> </w:t>
      </w:r>
      <w:r>
        <w:rPr>
          <w:rFonts w:ascii="SimSun" w:hAnsi="SimSun" w:eastAsia="SimSun" w:cs="SimSun"/>
          <w:sz w:val="21"/>
          <w:szCs w:val="21"/>
          <w:spacing w:val="-4"/>
        </w:rPr>
        <w:t>球数据泄露的案例更是不胜枚举。相关生物识别数据如涉及用户医</w:t>
      </w:r>
      <w:r>
        <w:rPr>
          <w:rFonts w:ascii="SimSun" w:hAnsi="SimSun" w:eastAsia="SimSun" w:cs="SimSun"/>
          <w:sz w:val="21"/>
          <w:szCs w:val="21"/>
          <w:spacing w:val="3"/>
        </w:rPr>
        <w:t xml:space="preserve">  </w:t>
      </w:r>
      <w:r>
        <w:rPr>
          <w:rFonts w:ascii="SimSun" w:hAnsi="SimSun" w:eastAsia="SimSun" w:cs="SimSun"/>
          <w:sz w:val="21"/>
          <w:szCs w:val="21"/>
          <w:spacing w:val="-4"/>
        </w:rPr>
        <w:t>疗健康、生物特征的数据等被泄露后，势必会极大损害数据主体的</w:t>
      </w:r>
      <w:r>
        <w:rPr>
          <w:rFonts w:ascii="SimSun" w:hAnsi="SimSun" w:eastAsia="SimSun" w:cs="SimSun"/>
          <w:sz w:val="21"/>
          <w:szCs w:val="21"/>
          <w:spacing w:val="5"/>
        </w:rPr>
        <w:t xml:space="preserve">  </w:t>
      </w:r>
      <w:r>
        <w:rPr>
          <w:rFonts w:ascii="SimSun" w:hAnsi="SimSun" w:eastAsia="SimSun" w:cs="SimSun"/>
          <w:sz w:val="21"/>
          <w:szCs w:val="21"/>
          <w:spacing w:val="-8"/>
        </w:rPr>
        <w:t>合法权益，不利于营造数据经济发展的良好安全环境。①另一方面，</w:t>
      </w:r>
      <w:r>
        <w:rPr>
          <w:rFonts w:ascii="SimSun" w:hAnsi="SimSun" w:eastAsia="SimSun" w:cs="SimSun"/>
          <w:sz w:val="21"/>
          <w:szCs w:val="21"/>
          <w:spacing w:val="14"/>
        </w:rPr>
        <w:t xml:space="preserve"> </w:t>
      </w:r>
      <w:r>
        <w:rPr>
          <w:rFonts w:ascii="SimSun" w:hAnsi="SimSun" w:eastAsia="SimSun" w:cs="SimSun"/>
          <w:sz w:val="21"/>
          <w:szCs w:val="21"/>
          <w:spacing w:val="-4"/>
        </w:rPr>
        <w:t>平台通过海量的数据处理和对消费者需求的精准分析，容易出现价</w:t>
      </w:r>
      <w:r>
        <w:rPr>
          <w:rFonts w:ascii="SimSun" w:hAnsi="SimSun" w:eastAsia="SimSun" w:cs="SimSun"/>
          <w:sz w:val="21"/>
          <w:szCs w:val="21"/>
          <w:spacing w:val="1"/>
        </w:rPr>
        <w:t xml:space="preserve">  </w:t>
      </w:r>
      <w:r>
        <w:rPr>
          <w:rFonts w:ascii="SimSun" w:hAnsi="SimSun" w:eastAsia="SimSun" w:cs="SimSun"/>
          <w:sz w:val="21"/>
          <w:szCs w:val="21"/>
          <w:spacing w:val="-11"/>
        </w:rPr>
        <w:t>格歧视以及信息茧房等现象。“大数据杀熟”就作为价格歧视的典型</w:t>
      </w:r>
      <w:r>
        <w:rPr>
          <w:rFonts w:ascii="SimSun" w:hAnsi="SimSun" w:eastAsia="SimSun" w:cs="SimSun"/>
          <w:sz w:val="21"/>
          <w:szCs w:val="21"/>
          <w:spacing w:val="6"/>
        </w:rPr>
        <w:t xml:space="preserve">  </w:t>
      </w:r>
      <w:r>
        <w:rPr>
          <w:rFonts w:ascii="SimSun" w:hAnsi="SimSun" w:eastAsia="SimSun" w:cs="SimSun"/>
          <w:sz w:val="21"/>
          <w:szCs w:val="21"/>
          <w:spacing w:val="-4"/>
        </w:rPr>
        <w:t>现象近来被社会广泛关注，已购买会员的消费者所花费的费用比普</w:t>
      </w:r>
      <w:r>
        <w:rPr>
          <w:rFonts w:ascii="SimSun" w:hAnsi="SimSun" w:eastAsia="SimSun" w:cs="SimSun"/>
          <w:sz w:val="21"/>
          <w:szCs w:val="21"/>
          <w:spacing w:val="1"/>
        </w:rPr>
        <w:t xml:space="preserve">  </w:t>
      </w:r>
      <w:r>
        <w:rPr>
          <w:rFonts w:ascii="SimSun" w:hAnsi="SimSun" w:eastAsia="SimSun" w:cs="SimSun"/>
          <w:sz w:val="21"/>
          <w:szCs w:val="21"/>
          <w:spacing w:val="-4"/>
        </w:rPr>
        <w:t>通用户的花费更高，这类“杀熟”行为实际上在损害消费者的合法</w:t>
      </w:r>
      <w:r>
        <w:rPr>
          <w:rFonts w:ascii="SimSun" w:hAnsi="SimSun" w:eastAsia="SimSun" w:cs="SimSun"/>
          <w:sz w:val="21"/>
          <w:szCs w:val="21"/>
          <w:spacing w:val="1"/>
        </w:rPr>
        <w:t xml:space="preserve">  </w:t>
      </w:r>
      <w:r>
        <w:rPr>
          <w:rFonts w:ascii="SimSun" w:hAnsi="SimSun" w:eastAsia="SimSun" w:cs="SimSun"/>
          <w:sz w:val="21"/>
          <w:szCs w:val="21"/>
          <w:spacing w:val="-4"/>
        </w:rPr>
        <w:t>权益。如何破解通过数据利用实现竞争优势与因此造成的侵权损害</w:t>
      </w:r>
      <w:r>
        <w:rPr>
          <w:rFonts w:ascii="SimSun" w:hAnsi="SimSun" w:eastAsia="SimSun" w:cs="SimSun"/>
          <w:sz w:val="21"/>
          <w:szCs w:val="21"/>
          <w:spacing w:val="4"/>
        </w:rPr>
        <w:t xml:space="preserve">  </w:t>
      </w:r>
      <w:r>
        <w:rPr>
          <w:rFonts w:ascii="SimSun" w:hAnsi="SimSun" w:eastAsia="SimSun" w:cs="SimSun"/>
          <w:sz w:val="21"/>
          <w:szCs w:val="21"/>
          <w:spacing w:val="-9"/>
        </w:rPr>
        <w:t>之间的平衡难题，成为目前平台数据治理中的重中之重。</w:t>
      </w:r>
    </w:p>
    <w:p>
      <w:pPr>
        <w:ind w:firstLine="442"/>
        <w:spacing w:before="102" w:line="309" w:lineRule="auto"/>
        <w:jc w:val="both"/>
        <w:rPr>
          <w:rFonts w:ascii="SimSun" w:hAnsi="SimSun" w:eastAsia="SimSun" w:cs="SimSun"/>
          <w:sz w:val="21"/>
          <w:szCs w:val="21"/>
        </w:rPr>
      </w:pPr>
      <w:r>
        <w:rPr>
          <w:rFonts w:ascii="SimHei" w:hAnsi="SimHei" w:eastAsia="SimHei" w:cs="SimHei"/>
          <w:sz w:val="21"/>
          <w:szCs w:val="21"/>
          <w:b/>
          <w:bCs/>
          <w:spacing w:val="-4"/>
        </w:rPr>
        <w:t>平台算法治理难题</w:t>
      </w:r>
      <w:r>
        <w:rPr>
          <w:rFonts w:ascii="SimHei" w:hAnsi="SimHei" w:eastAsia="SimHei" w:cs="SimHei"/>
          <w:sz w:val="21"/>
          <w:szCs w:val="21"/>
          <w:spacing w:val="-4"/>
        </w:rPr>
        <w:t xml:space="preserve">  </w:t>
      </w:r>
      <w:r>
        <w:rPr>
          <w:rFonts w:ascii="SimSun" w:hAnsi="SimSun" w:eastAsia="SimSun" w:cs="SimSun"/>
          <w:sz w:val="21"/>
          <w:szCs w:val="21"/>
          <w:spacing w:val="-4"/>
        </w:rPr>
        <w:t>目前，算法因其技术特点使互联网平台的 </w:t>
      </w:r>
      <w:r>
        <w:rPr>
          <w:rFonts w:ascii="SimSun" w:hAnsi="SimSun" w:eastAsia="SimSun" w:cs="SimSun"/>
          <w:sz w:val="21"/>
          <w:szCs w:val="21"/>
          <w:spacing w:val="-8"/>
        </w:rPr>
        <w:t>运行愈加便利、快捷，平台经济依托算法技术的发展实现创新飞跃。</w:t>
      </w:r>
      <w:r>
        <w:rPr>
          <w:rFonts w:ascii="SimSun" w:hAnsi="SimSun" w:eastAsia="SimSun" w:cs="SimSun"/>
          <w:sz w:val="21"/>
          <w:szCs w:val="21"/>
          <w:spacing w:val="14"/>
        </w:rPr>
        <w:t xml:space="preserve"> </w:t>
      </w:r>
      <w:r>
        <w:rPr>
          <w:rFonts w:ascii="SimSun" w:hAnsi="SimSun" w:eastAsia="SimSun" w:cs="SimSun"/>
          <w:sz w:val="21"/>
          <w:szCs w:val="21"/>
          <w:spacing w:val="-1"/>
        </w:rPr>
        <w:t>算法作为人工智能时代的钥匙，连接着现实空间和</w:t>
      </w:r>
      <w:r>
        <w:rPr>
          <w:rFonts w:ascii="SimSun" w:hAnsi="SimSun" w:eastAsia="SimSun" w:cs="SimSun"/>
          <w:sz w:val="21"/>
          <w:szCs w:val="21"/>
          <w:spacing w:val="-2"/>
        </w:rPr>
        <w:t>网络虚拟空间，</w:t>
      </w:r>
      <w:r>
        <w:rPr>
          <w:rFonts w:ascii="SimSun" w:hAnsi="SimSun" w:eastAsia="SimSun" w:cs="SimSun"/>
          <w:sz w:val="21"/>
          <w:szCs w:val="21"/>
        </w:rPr>
        <w:t xml:space="preserve"> </w:t>
      </w:r>
      <w:r>
        <w:rPr>
          <w:rFonts w:ascii="SimSun" w:hAnsi="SimSun" w:eastAsia="SimSun" w:cs="SimSun"/>
          <w:sz w:val="21"/>
          <w:szCs w:val="21"/>
          <w:spacing w:val="-4"/>
        </w:rPr>
        <w:t>正在持续地加强网络与现实之间的融合。平台经济的创新发展离不</w:t>
      </w:r>
      <w:r>
        <w:rPr>
          <w:rFonts w:ascii="SimSun" w:hAnsi="SimSun" w:eastAsia="SimSun" w:cs="SimSun"/>
          <w:sz w:val="21"/>
          <w:szCs w:val="21"/>
          <w:spacing w:val="3"/>
        </w:rPr>
        <w:t xml:space="preserve">  </w:t>
      </w:r>
      <w:r>
        <w:rPr>
          <w:rFonts w:ascii="SimSun" w:hAnsi="SimSun" w:eastAsia="SimSun" w:cs="SimSun"/>
          <w:sz w:val="21"/>
          <w:szCs w:val="21"/>
          <w:spacing w:val="-4"/>
        </w:rPr>
        <w:t>开算法技术，算法在影响并逐步改造着平台经济的生态环境，成为</w:t>
      </w:r>
      <w:r>
        <w:rPr>
          <w:rFonts w:ascii="SimSun" w:hAnsi="SimSun" w:eastAsia="SimSun" w:cs="SimSun"/>
          <w:sz w:val="21"/>
          <w:szCs w:val="21"/>
          <w:spacing w:val="2"/>
        </w:rPr>
        <w:t xml:space="preserve">  </w:t>
      </w:r>
      <w:r>
        <w:rPr>
          <w:rFonts w:ascii="SimSun" w:hAnsi="SimSun" w:eastAsia="SimSun" w:cs="SimSun"/>
          <w:sz w:val="21"/>
          <w:szCs w:val="21"/>
          <w:spacing w:val="-1"/>
        </w:rPr>
        <w:t>实现平台资源配置的主要手段。在人工智能时代，</w:t>
      </w:r>
      <w:r>
        <w:rPr>
          <w:rFonts w:ascii="SimSun" w:hAnsi="SimSun" w:eastAsia="SimSun" w:cs="SimSun"/>
          <w:sz w:val="21"/>
          <w:szCs w:val="21"/>
          <w:spacing w:val="-2"/>
        </w:rPr>
        <w:t>海量数据涌现，</w:t>
      </w:r>
      <w:r>
        <w:rPr>
          <w:rFonts w:ascii="SimSun" w:hAnsi="SimSun" w:eastAsia="SimSun" w:cs="SimSun"/>
          <w:sz w:val="21"/>
          <w:szCs w:val="21"/>
        </w:rPr>
        <w:t xml:space="preserve"> </w:t>
      </w:r>
      <w:r>
        <w:rPr>
          <w:rFonts w:ascii="SimSun" w:hAnsi="SimSun" w:eastAsia="SimSun" w:cs="SimSun"/>
          <w:sz w:val="21"/>
          <w:szCs w:val="21"/>
          <w:spacing w:val="-3"/>
        </w:rPr>
        <w:t>平台可以通过算法实现更加精细化的定价和推</w:t>
      </w:r>
      <w:r>
        <w:rPr>
          <w:rFonts w:ascii="SimSun" w:hAnsi="SimSun" w:eastAsia="SimSun" w:cs="SimSun"/>
          <w:sz w:val="21"/>
          <w:szCs w:val="21"/>
          <w:spacing w:val="-4"/>
        </w:rPr>
        <w:t>荐，但当算法的使用</w:t>
      </w:r>
      <w:r>
        <w:rPr>
          <w:rFonts w:ascii="SimSun" w:hAnsi="SimSun" w:eastAsia="SimSun" w:cs="SimSun"/>
          <w:sz w:val="21"/>
          <w:szCs w:val="21"/>
        </w:rPr>
        <w:t xml:space="preserve">  </w:t>
      </w:r>
      <w:r>
        <w:rPr>
          <w:rFonts w:ascii="SimSun" w:hAnsi="SimSun" w:eastAsia="SimSun" w:cs="SimSun"/>
          <w:sz w:val="21"/>
          <w:szCs w:val="21"/>
          <w:spacing w:val="-4"/>
        </w:rPr>
        <w:t>成为普遍现象时，平台自身效应最大化则会产生一系列问题，如算</w:t>
      </w:r>
      <w:r>
        <w:rPr>
          <w:rFonts w:ascii="SimSun" w:hAnsi="SimSun" w:eastAsia="SimSun" w:cs="SimSun"/>
          <w:sz w:val="21"/>
          <w:szCs w:val="21"/>
          <w:spacing w:val="2"/>
        </w:rPr>
        <w:t xml:space="preserve">  </w:t>
      </w:r>
      <w:r>
        <w:rPr>
          <w:rFonts w:ascii="SimSun" w:hAnsi="SimSun" w:eastAsia="SimSun" w:cs="SimSun"/>
          <w:sz w:val="21"/>
          <w:szCs w:val="21"/>
          <w:spacing w:val="-4"/>
        </w:rPr>
        <w:t>法歧视、算法不透明等，给平台算法运用带来了一定的阻碍。算法</w:t>
      </w:r>
      <w:r>
        <w:rPr>
          <w:rFonts w:ascii="SimSun" w:hAnsi="SimSun" w:eastAsia="SimSun" w:cs="SimSun"/>
          <w:sz w:val="21"/>
          <w:szCs w:val="21"/>
          <w:spacing w:val="1"/>
        </w:rPr>
        <w:t xml:space="preserve">  </w:t>
      </w:r>
      <w:r>
        <w:rPr>
          <w:rFonts w:ascii="SimSun" w:hAnsi="SimSun" w:eastAsia="SimSun" w:cs="SimSun"/>
          <w:sz w:val="21"/>
          <w:szCs w:val="21"/>
          <w:spacing w:val="-4"/>
        </w:rPr>
        <w:t>问责的不清晰、算法运行规则的不透明等治理困境的出现，也意味</w:t>
      </w:r>
      <w:r>
        <w:rPr>
          <w:rFonts w:ascii="SimSun" w:hAnsi="SimSun" w:eastAsia="SimSun" w:cs="SimSun"/>
          <w:sz w:val="21"/>
          <w:szCs w:val="21"/>
          <w:spacing w:val="1"/>
        </w:rPr>
        <w:t xml:space="preserve">  </w:t>
      </w:r>
      <w:r>
        <w:rPr>
          <w:rFonts w:ascii="SimSun" w:hAnsi="SimSun" w:eastAsia="SimSun" w:cs="SimSun"/>
          <w:sz w:val="21"/>
          <w:szCs w:val="21"/>
        </w:rPr>
        <w:t>着算法治理难题成了目前平台治理的主要问题。以《电子商务法》</w:t>
      </w:r>
      <w:r>
        <w:rPr>
          <w:rFonts w:ascii="SimSun" w:hAnsi="SimSun" w:eastAsia="SimSun" w:cs="SimSun"/>
          <w:sz w:val="21"/>
          <w:szCs w:val="21"/>
          <w:spacing w:val="13"/>
        </w:rPr>
        <w:t xml:space="preserve"> </w:t>
      </w:r>
      <w:r>
        <w:rPr>
          <w:rFonts w:ascii="SimSun" w:hAnsi="SimSun" w:eastAsia="SimSun" w:cs="SimSun"/>
          <w:sz w:val="21"/>
          <w:szCs w:val="21"/>
          <w:spacing w:val="-4"/>
        </w:rPr>
        <w:t>为例，该法通过设置相关的平台算法问责条款规制平台企业的算法</w:t>
      </w:r>
    </w:p>
    <w:p>
      <w:pPr>
        <w:pStyle w:val="BodyText"/>
        <w:spacing w:line="470" w:lineRule="auto"/>
        <w:rPr/>
      </w:pPr>
      <w:r/>
    </w:p>
    <w:p>
      <w:pPr>
        <w:ind w:left="350" w:right="134" w:hanging="350"/>
        <w:spacing w:before="68" w:line="238" w:lineRule="auto"/>
        <w:rPr>
          <w:rFonts w:ascii="SimSun" w:hAnsi="SimSun" w:eastAsia="SimSun" w:cs="SimSun"/>
          <w:sz w:val="21"/>
          <w:szCs w:val="21"/>
        </w:rPr>
      </w:pPr>
      <w:r>
        <w:rPr>
          <w:rFonts w:ascii="SimSun" w:hAnsi="SimSun" w:eastAsia="SimSun" w:cs="SimSun"/>
          <w:sz w:val="21"/>
          <w:szCs w:val="21"/>
          <w:spacing w:val="-20"/>
          <w:w w:val="91"/>
        </w:rPr>
        <w:t>①</w:t>
      </w:r>
      <w:r>
        <w:rPr>
          <w:rFonts w:ascii="SimSun" w:hAnsi="SimSun" w:eastAsia="SimSun" w:cs="SimSun"/>
          <w:sz w:val="21"/>
          <w:szCs w:val="21"/>
          <w:spacing w:val="51"/>
        </w:rPr>
        <w:t xml:space="preserve"> </w:t>
      </w:r>
      <w:r>
        <w:rPr>
          <w:rFonts w:ascii="KaiTi" w:hAnsi="KaiTi" w:eastAsia="KaiTi" w:cs="KaiTi"/>
          <w:sz w:val="21"/>
          <w:szCs w:val="21"/>
          <w:spacing w:val="-20"/>
          <w:w w:val="91"/>
        </w:rPr>
        <w:t>戚聿东，刘欢欢.数字平台的数据风险及其规制.东北财经大学学报，2021(6)</w:t>
      </w:r>
      <w:r>
        <w:rPr>
          <w:rFonts w:ascii="KaiTi" w:hAnsi="KaiTi" w:eastAsia="KaiTi" w:cs="KaiTi"/>
          <w:sz w:val="21"/>
          <w:szCs w:val="21"/>
        </w:rPr>
        <w:t xml:space="preserve"> </w:t>
      </w:r>
      <w:r>
        <w:rPr>
          <w:rFonts w:ascii="SimSun" w:hAnsi="SimSun" w:eastAsia="SimSun" w:cs="SimSun"/>
          <w:sz w:val="21"/>
          <w:szCs w:val="21"/>
          <w:spacing w:val="-20"/>
        </w:rPr>
        <w:t>76-87.</w:t>
      </w:r>
    </w:p>
    <w:p>
      <w:pPr>
        <w:spacing w:line="238" w:lineRule="auto"/>
        <w:sectPr>
          <w:headerReference w:type="default" r:id="rId419"/>
          <w:pgSz w:w="7330" w:h="12480"/>
          <w:pgMar w:top="527" w:right="375" w:bottom="400" w:left="849" w:header="365" w:footer="0" w:gutter="0"/>
        </w:sectPr>
        <w:rPr>
          <w:rFonts w:ascii="SimSun" w:hAnsi="SimSun" w:eastAsia="SimSun" w:cs="SimSun"/>
          <w:sz w:val="21"/>
          <w:szCs w:val="21"/>
        </w:rPr>
      </w:pPr>
    </w:p>
    <w:p>
      <w:pPr>
        <w:pStyle w:val="BodyText"/>
        <w:spacing w:line="250" w:lineRule="auto"/>
        <w:rPr/>
      </w:pPr>
      <w:r>
        <w:drawing>
          <wp:anchor distT="0" distB="0" distL="0" distR="0" simplePos="0" relativeHeight="255297536" behindDoc="0" locked="0" layoutInCell="0" allowOverlap="1">
            <wp:simplePos x="0" y="0"/>
            <wp:positionH relativeFrom="page">
              <wp:posOffset>234961</wp:posOffset>
            </wp:positionH>
            <wp:positionV relativeFrom="page">
              <wp:posOffset>6870717</wp:posOffset>
            </wp:positionV>
            <wp:extent cx="3486118" cy="6350"/>
            <wp:effectExtent l="0" t="0" r="0" b="0"/>
            <wp:wrapNone/>
            <wp:docPr id="282" name="IM 282"/>
            <wp:cNvGraphicFramePr/>
            <a:graphic>
              <a:graphicData uri="http://schemas.openxmlformats.org/drawingml/2006/picture">
                <pic:pic>
                  <pic:nvPicPr>
                    <pic:cNvPr id="282" name="IM 282"/>
                    <pic:cNvPicPr/>
                  </pic:nvPicPr>
                  <pic:blipFill>
                    <a:blip r:embed="rId422"/>
                    <a:stretch>
                      <a:fillRect/>
                    </a:stretch>
                  </pic:blipFill>
                  <pic:spPr>
                    <a:xfrm rot="0">
                      <a:off x="0" y="0"/>
                      <a:ext cx="3486118"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spacing w:before="69" w:line="306" w:lineRule="auto"/>
        <w:jc w:val="both"/>
        <w:rPr>
          <w:rFonts w:ascii="SimSun" w:hAnsi="SimSun" w:eastAsia="SimSun" w:cs="SimSun"/>
          <w:sz w:val="21"/>
          <w:szCs w:val="21"/>
        </w:rPr>
      </w:pPr>
      <w:r>
        <w:rPr>
          <w:rFonts w:ascii="SimSun" w:hAnsi="SimSun" w:eastAsia="SimSun" w:cs="SimSun"/>
          <w:sz w:val="21"/>
          <w:szCs w:val="21"/>
          <w:spacing w:val="-4"/>
        </w:rPr>
        <w:t>运行问题，保护消费者的合法权益，但在当下算法驱动数据利用的</w:t>
      </w:r>
      <w:r>
        <w:rPr>
          <w:rFonts w:ascii="SimSun" w:hAnsi="SimSun" w:eastAsia="SimSun" w:cs="SimSun"/>
          <w:sz w:val="21"/>
          <w:szCs w:val="21"/>
          <w:spacing w:val="5"/>
        </w:rPr>
        <w:t xml:space="preserve">  </w:t>
      </w:r>
      <w:r>
        <w:rPr>
          <w:rFonts w:ascii="SimSun" w:hAnsi="SimSun" w:eastAsia="SimSun" w:cs="SimSun"/>
          <w:sz w:val="21"/>
          <w:szCs w:val="21"/>
          <w:spacing w:val="-4"/>
        </w:rPr>
        <w:t>环境中如何判断侵权责任仍需进一步细化。同样，针对个性化推荐</w:t>
      </w:r>
      <w:r>
        <w:rPr>
          <w:rFonts w:ascii="SimSun" w:hAnsi="SimSun" w:eastAsia="SimSun" w:cs="SimSun"/>
          <w:sz w:val="21"/>
          <w:szCs w:val="21"/>
          <w:spacing w:val="2"/>
        </w:rPr>
        <w:t xml:space="preserve">  </w:t>
      </w:r>
      <w:r>
        <w:rPr>
          <w:rFonts w:ascii="SimSun" w:hAnsi="SimSun" w:eastAsia="SimSun" w:cs="SimSun"/>
          <w:sz w:val="21"/>
          <w:szCs w:val="21"/>
          <w:spacing w:val="-11"/>
        </w:rPr>
        <w:t>的问题，《电子商务法》要求平台必须尊重和平等保护消费者合法权</w:t>
      </w:r>
      <w:r>
        <w:rPr>
          <w:rFonts w:ascii="SimSun" w:hAnsi="SimSun" w:eastAsia="SimSun" w:cs="SimSun"/>
          <w:sz w:val="21"/>
          <w:szCs w:val="21"/>
          <w:spacing w:val="3"/>
        </w:rPr>
        <w:t xml:space="preserve">  </w:t>
      </w:r>
      <w:r>
        <w:rPr>
          <w:rFonts w:ascii="SimSun" w:hAnsi="SimSun" w:eastAsia="SimSun" w:cs="SimSun"/>
          <w:sz w:val="21"/>
          <w:szCs w:val="21"/>
          <w:spacing w:val="-4"/>
        </w:rPr>
        <w:t>益。如果违反相关规定，消费者需承担举证责任，由于消费者与平</w:t>
      </w:r>
      <w:r>
        <w:rPr>
          <w:rFonts w:ascii="SimSun" w:hAnsi="SimSun" w:eastAsia="SimSun" w:cs="SimSun"/>
          <w:sz w:val="21"/>
          <w:szCs w:val="21"/>
          <w:spacing w:val="2"/>
        </w:rPr>
        <w:t xml:space="preserve">  </w:t>
      </w:r>
      <w:r>
        <w:rPr>
          <w:rFonts w:ascii="SimSun" w:hAnsi="SimSun" w:eastAsia="SimSun" w:cs="SimSun"/>
          <w:sz w:val="21"/>
          <w:szCs w:val="21"/>
          <w:spacing w:val="-4"/>
        </w:rPr>
        <w:t>台之间地位和资源的不对称，举证与取证容易成为个性化推荐算法</w:t>
      </w:r>
      <w:r>
        <w:rPr>
          <w:rFonts w:ascii="SimSun" w:hAnsi="SimSun" w:eastAsia="SimSun" w:cs="SimSun"/>
          <w:sz w:val="21"/>
          <w:szCs w:val="21"/>
          <w:spacing w:val="1"/>
        </w:rPr>
        <w:t xml:space="preserve">  </w:t>
      </w:r>
      <w:r>
        <w:rPr>
          <w:rFonts w:ascii="SimSun" w:hAnsi="SimSun" w:eastAsia="SimSun" w:cs="SimSun"/>
          <w:sz w:val="21"/>
          <w:szCs w:val="21"/>
          <w:spacing w:val="-7"/>
        </w:rPr>
        <w:t>问题的难点①,《个人信息保护法》明确对自动化决策</w:t>
      </w:r>
      <w:r>
        <w:rPr>
          <w:rFonts w:ascii="SimSun" w:hAnsi="SimSun" w:eastAsia="SimSun" w:cs="SimSun"/>
          <w:sz w:val="21"/>
          <w:szCs w:val="21"/>
          <w:spacing w:val="-8"/>
        </w:rPr>
        <w:t>算法方式进行</w:t>
      </w:r>
      <w:r>
        <w:rPr>
          <w:rFonts w:ascii="SimSun" w:hAnsi="SimSun" w:eastAsia="SimSun" w:cs="SimSun"/>
          <w:sz w:val="21"/>
          <w:szCs w:val="21"/>
        </w:rPr>
        <w:t xml:space="preserve">  </w:t>
      </w:r>
      <w:r>
        <w:rPr>
          <w:rFonts w:ascii="SimSun" w:hAnsi="SimSun" w:eastAsia="SimSun" w:cs="SimSun"/>
          <w:sz w:val="21"/>
          <w:szCs w:val="21"/>
          <w:spacing w:val="-8"/>
        </w:rPr>
        <w:t>全面规制，平台通过自动化决策进行的商业推广交易模式将被颠覆，</w:t>
      </w:r>
      <w:r>
        <w:rPr>
          <w:rFonts w:ascii="SimSun" w:hAnsi="SimSun" w:eastAsia="SimSun" w:cs="SimSun"/>
          <w:sz w:val="21"/>
          <w:szCs w:val="21"/>
          <w:spacing w:val="13"/>
        </w:rPr>
        <w:t xml:space="preserve"> </w:t>
      </w:r>
      <w:r>
        <w:rPr>
          <w:rFonts w:ascii="SimSun" w:hAnsi="SimSun" w:eastAsia="SimSun" w:cs="SimSun"/>
          <w:sz w:val="21"/>
          <w:szCs w:val="21"/>
          <w:spacing w:val="-4"/>
        </w:rPr>
        <w:t>以算法为中心的商业模式将去往何方，成为未来司法实务中技术与</w:t>
      </w:r>
      <w:r>
        <w:rPr>
          <w:rFonts w:ascii="SimSun" w:hAnsi="SimSun" w:eastAsia="SimSun" w:cs="SimSun"/>
          <w:sz w:val="21"/>
          <w:szCs w:val="21"/>
          <w:spacing w:val="6"/>
        </w:rPr>
        <w:t xml:space="preserve">  </w:t>
      </w:r>
      <w:r>
        <w:rPr>
          <w:rFonts w:ascii="SimSun" w:hAnsi="SimSun" w:eastAsia="SimSun" w:cs="SimSun"/>
          <w:sz w:val="21"/>
          <w:szCs w:val="21"/>
          <w:spacing w:val="-11"/>
        </w:rPr>
        <w:t>规制博弈的焦点。</w:t>
      </w:r>
    </w:p>
    <w:p>
      <w:pPr>
        <w:ind w:right="48" w:firstLine="420"/>
        <w:spacing w:before="108" w:line="301" w:lineRule="auto"/>
        <w:jc w:val="both"/>
        <w:rPr>
          <w:rFonts w:ascii="SimSun" w:hAnsi="SimSun" w:eastAsia="SimSun" w:cs="SimSun"/>
          <w:sz w:val="21"/>
          <w:szCs w:val="21"/>
        </w:rPr>
      </w:pPr>
      <w:r>
        <w:rPr>
          <w:rFonts w:ascii="SimSun" w:hAnsi="SimSun" w:eastAsia="SimSun" w:cs="SimSun"/>
          <w:sz w:val="21"/>
          <w:szCs w:val="21"/>
          <w:spacing w:val="-10"/>
        </w:rPr>
        <w:t>总而言之，平台算法治理的内在逻辑在于，平台借助算法实现了</w:t>
      </w:r>
      <w:r>
        <w:rPr>
          <w:rFonts w:ascii="SimSun" w:hAnsi="SimSun" w:eastAsia="SimSun" w:cs="SimSun"/>
          <w:sz w:val="21"/>
          <w:szCs w:val="21"/>
          <w:spacing w:val="5"/>
        </w:rPr>
        <w:t xml:space="preserve"> </w:t>
      </w:r>
      <w:r>
        <w:rPr>
          <w:rFonts w:ascii="SimSun" w:hAnsi="SimSun" w:eastAsia="SimSun" w:cs="SimSun"/>
          <w:sz w:val="21"/>
          <w:szCs w:val="21"/>
          <w:spacing w:val="-11"/>
        </w:rPr>
        <w:t>快速发展，但也阻碍了创新的步伐。技术发展到一个阶段会带来部分</w:t>
      </w:r>
      <w:r>
        <w:rPr>
          <w:rFonts w:ascii="SimSun" w:hAnsi="SimSun" w:eastAsia="SimSun" w:cs="SimSun"/>
          <w:sz w:val="21"/>
          <w:szCs w:val="21"/>
          <w:spacing w:val="7"/>
        </w:rPr>
        <w:t xml:space="preserve"> </w:t>
      </w:r>
      <w:r>
        <w:rPr>
          <w:rFonts w:ascii="SimSun" w:hAnsi="SimSun" w:eastAsia="SimSun" w:cs="SimSun"/>
          <w:sz w:val="21"/>
          <w:szCs w:val="21"/>
          <w:spacing w:val="-11"/>
        </w:rPr>
        <w:t>市场行为与商业模式算法上的创新，但技术提升并不容易，商家投入</w:t>
      </w:r>
      <w:r>
        <w:rPr>
          <w:rFonts w:ascii="SimSun" w:hAnsi="SimSun" w:eastAsia="SimSun" w:cs="SimSun"/>
          <w:sz w:val="21"/>
          <w:szCs w:val="21"/>
          <w:spacing w:val="7"/>
        </w:rPr>
        <w:t xml:space="preserve"> </w:t>
      </w:r>
      <w:r>
        <w:rPr>
          <w:rFonts w:ascii="SimSun" w:hAnsi="SimSun" w:eastAsia="SimSun" w:cs="SimSun"/>
          <w:sz w:val="21"/>
          <w:szCs w:val="21"/>
          <w:spacing w:val="-11"/>
        </w:rPr>
        <w:t>越多，成本越大，其技术进步和先进性意义上的创新也越来越难，平</w:t>
      </w:r>
      <w:r>
        <w:rPr>
          <w:rFonts w:ascii="SimSun" w:hAnsi="SimSun" w:eastAsia="SimSun" w:cs="SimSun"/>
          <w:sz w:val="21"/>
          <w:szCs w:val="21"/>
          <w:spacing w:val="8"/>
        </w:rPr>
        <w:t xml:space="preserve"> </w:t>
      </w:r>
      <w:r>
        <w:rPr>
          <w:rFonts w:ascii="SimSun" w:hAnsi="SimSun" w:eastAsia="SimSun" w:cs="SimSun"/>
          <w:sz w:val="21"/>
          <w:szCs w:val="21"/>
          <w:spacing w:val="-11"/>
        </w:rPr>
        <w:t>台创新的步伐是否会因为规制的趋严而放缓，成为目前借助算法实现</w:t>
      </w:r>
      <w:r>
        <w:rPr>
          <w:rFonts w:ascii="SimSun" w:hAnsi="SimSun" w:eastAsia="SimSun" w:cs="SimSun"/>
          <w:sz w:val="21"/>
          <w:szCs w:val="21"/>
          <w:spacing w:val="6"/>
        </w:rPr>
        <w:t xml:space="preserve"> </w:t>
      </w:r>
      <w:r>
        <w:rPr>
          <w:rFonts w:ascii="SimSun" w:hAnsi="SimSun" w:eastAsia="SimSun" w:cs="SimSun"/>
          <w:sz w:val="21"/>
          <w:szCs w:val="21"/>
          <w:spacing w:val="-11"/>
        </w:rPr>
        <w:t>创新发展的一大问题。</w:t>
      </w:r>
    </w:p>
    <w:p>
      <w:pPr>
        <w:pStyle w:val="BodyText"/>
        <w:spacing w:line="362" w:lineRule="auto"/>
        <w:rPr/>
      </w:pPr>
      <w:r/>
    </w:p>
    <w:p>
      <w:pPr>
        <w:ind w:left="1124"/>
        <w:spacing w:before="104" w:line="717" w:lineRule="exact"/>
        <w:rPr>
          <w:rFonts w:ascii="SimSun" w:hAnsi="SimSun" w:eastAsia="SimSun" w:cs="SimSun"/>
          <w:sz w:val="32"/>
          <w:szCs w:val="32"/>
        </w:rPr>
      </w:pPr>
      <w:r>
        <w:rPr>
          <w:rFonts w:ascii="SimSun" w:hAnsi="SimSun" w:eastAsia="SimSun" w:cs="SimSun"/>
          <w:sz w:val="32"/>
          <w:szCs w:val="32"/>
          <w:b/>
          <w:bCs/>
          <w:spacing w:val="-7"/>
          <w:position w:val="30"/>
        </w:rPr>
        <w:t>平台经济中数据的法律治理</w:t>
      </w:r>
    </w:p>
    <w:p>
      <w:pPr>
        <w:ind w:left="3"/>
        <w:spacing w:line="221" w:lineRule="auto"/>
        <w:rPr>
          <w:rFonts w:ascii="SimHei" w:hAnsi="SimHei" w:eastAsia="SimHei" w:cs="SimHei"/>
          <w:sz w:val="25"/>
          <w:szCs w:val="25"/>
        </w:rPr>
      </w:pPr>
      <w:r>
        <w:rPr>
          <w:rFonts w:ascii="SimHei" w:hAnsi="SimHei" w:eastAsia="SimHei" w:cs="SimHei"/>
          <w:sz w:val="25"/>
          <w:szCs w:val="25"/>
          <w:b/>
          <w:bCs/>
          <w:spacing w:val="-13"/>
        </w:rPr>
        <w:t>整体法律观察</w:t>
      </w:r>
    </w:p>
    <w:p>
      <w:pPr>
        <w:pStyle w:val="BodyText"/>
        <w:spacing w:line="353" w:lineRule="auto"/>
        <w:rPr/>
      </w:pPr>
      <w:r/>
    </w:p>
    <w:p>
      <w:pPr>
        <w:ind w:right="58" w:firstLine="440"/>
        <w:spacing w:before="69" w:line="292" w:lineRule="auto"/>
        <w:jc w:val="both"/>
        <w:rPr>
          <w:rFonts w:ascii="SimSun" w:hAnsi="SimSun" w:eastAsia="SimSun" w:cs="SimSun"/>
          <w:sz w:val="21"/>
          <w:szCs w:val="21"/>
        </w:rPr>
      </w:pPr>
      <w:r>
        <w:rPr>
          <w:rFonts w:ascii="SimSun" w:hAnsi="SimSun" w:eastAsia="SimSun" w:cs="SimSun"/>
          <w:sz w:val="21"/>
          <w:szCs w:val="21"/>
          <w:spacing w:val="-4"/>
        </w:rPr>
        <w:t>经济发展的生命力在于创新，数据成为新型生产要素，可以与</w:t>
      </w:r>
      <w:r>
        <w:rPr>
          <w:rFonts w:ascii="SimSun" w:hAnsi="SimSun" w:eastAsia="SimSun" w:cs="SimSun"/>
          <w:sz w:val="21"/>
          <w:szCs w:val="21"/>
          <w:spacing w:val="13"/>
        </w:rPr>
        <w:t xml:space="preserve"> </w:t>
      </w:r>
      <w:r>
        <w:rPr>
          <w:rFonts w:ascii="SimSun" w:hAnsi="SimSun" w:eastAsia="SimSun" w:cs="SimSun"/>
          <w:sz w:val="21"/>
          <w:szCs w:val="21"/>
          <w:spacing w:val="-4"/>
        </w:rPr>
        <w:t>土地、劳动、资本和技术一起加入社会整体生产函数。生产要素的</w:t>
      </w:r>
      <w:r>
        <w:rPr>
          <w:rFonts w:ascii="SimSun" w:hAnsi="SimSun" w:eastAsia="SimSun" w:cs="SimSun"/>
          <w:sz w:val="21"/>
          <w:szCs w:val="21"/>
          <w:spacing w:val="11"/>
        </w:rPr>
        <w:t xml:space="preserve"> </w:t>
      </w:r>
      <w:r>
        <w:rPr>
          <w:rFonts w:ascii="SimSun" w:hAnsi="SimSun" w:eastAsia="SimSun" w:cs="SimSun"/>
          <w:sz w:val="21"/>
          <w:szCs w:val="21"/>
          <w:spacing w:val="-4"/>
        </w:rPr>
        <w:t>增加使得经济创新发展的燃料增加，在增加创新概率的基础上，还</w:t>
      </w:r>
      <w:r>
        <w:rPr>
          <w:rFonts w:ascii="SimSun" w:hAnsi="SimSun" w:eastAsia="SimSun" w:cs="SimSun"/>
          <w:sz w:val="21"/>
          <w:szCs w:val="21"/>
          <w:spacing w:val="3"/>
        </w:rPr>
        <w:t xml:space="preserve"> </w:t>
      </w:r>
      <w:r>
        <w:rPr>
          <w:rFonts w:ascii="SimSun" w:hAnsi="SimSun" w:eastAsia="SimSun" w:cs="SimSun"/>
          <w:sz w:val="21"/>
          <w:szCs w:val="21"/>
          <w:spacing w:val="-4"/>
        </w:rPr>
        <w:t>有可能改变边际回报与规模效应，对国家经济实力的提升有着关键</w:t>
      </w:r>
    </w:p>
    <w:p>
      <w:pPr>
        <w:pStyle w:val="BodyText"/>
        <w:spacing w:line="270" w:lineRule="auto"/>
        <w:rPr/>
      </w:pPr>
      <w:r/>
    </w:p>
    <w:p>
      <w:pPr>
        <w:pStyle w:val="BodyText"/>
        <w:spacing w:line="270" w:lineRule="auto"/>
        <w:rPr/>
      </w:pPr>
      <w:r/>
    </w:p>
    <w:p>
      <w:pPr>
        <w:ind w:left="350" w:right="73" w:hanging="350"/>
        <w:spacing w:before="52" w:line="271" w:lineRule="auto"/>
        <w:rPr>
          <w:rFonts w:ascii="KaiTi" w:hAnsi="KaiTi" w:eastAsia="KaiTi" w:cs="KaiTi"/>
          <w:sz w:val="16"/>
          <w:szCs w:val="16"/>
        </w:rPr>
      </w:pPr>
      <w:r>
        <w:rPr>
          <w:rFonts w:ascii="KaiTi" w:hAnsi="KaiTi" w:eastAsia="KaiTi" w:cs="KaiTi"/>
          <w:sz w:val="16"/>
          <w:szCs w:val="16"/>
          <w:spacing w:val="4"/>
        </w:rPr>
        <w:t>①</w:t>
      </w:r>
      <w:r>
        <w:rPr>
          <w:rFonts w:ascii="KaiTi" w:hAnsi="KaiTi" w:eastAsia="KaiTi" w:cs="KaiTi"/>
          <w:sz w:val="16"/>
          <w:szCs w:val="16"/>
          <w:spacing w:val="4"/>
        </w:rPr>
        <w:t xml:space="preserve">  </w:t>
      </w:r>
      <w:r>
        <w:rPr>
          <w:rFonts w:ascii="KaiTi" w:hAnsi="KaiTi" w:eastAsia="KaiTi" w:cs="KaiTi"/>
          <w:sz w:val="16"/>
          <w:szCs w:val="16"/>
          <w:spacing w:val="4"/>
        </w:rPr>
        <w:t>张凌寒.《电子商务法》中的算法责任及其完善.北京航空航天大学学报(社会科</w:t>
      </w:r>
      <w:r>
        <w:rPr>
          <w:rFonts w:ascii="KaiTi" w:hAnsi="KaiTi" w:eastAsia="KaiTi" w:cs="KaiTi"/>
          <w:sz w:val="16"/>
          <w:szCs w:val="16"/>
          <w:spacing w:val="4"/>
        </w:rPr>
        <w:t xml:space="preserve"> </w:t>
      </w:r>
      <w:r>
        <w:rPr>
          <w:rFonts w:ascii="KaiTi" w:hAnsi="KaiTi" w:eastAsia="KaiTi" w:cs="KaiTi"/>
          <w:sz w:val="16"/>
          <w:szCs w:val="16"/>
          <w:spacing w:val="15"/>
        </w:rPr>
        <w:t>学版),2018(6):16-21.</w:t>
      </w:r>
    </w:p>
    <w:p>
      <w:pPr>
        <w:spacing w:line="271" w:lineRule="auto"/>
        <w:sectPr>
          <w:headerReference w:type="default" r:id="rId421"/>
          <w:pgSz w:w="7330" w:h="12480"/>
          <w:pgMar w:top="785" w:right="905" w:bottom="400" w:left="350" w:header="622" w:footer="0" w:gutter="0"/>
        </w:sectPr>
        <w:rPr>
          <w:rFonts w:ascii="KaiTi" w:hAnsi="KaiTi" w:eastAsia="KaiTi" w:cs="KaiTi"/>
          <w:sz w:val="16"/>
          <w:szCs w:val="16"/>
        </w:rPr>
      </w:pPr>
    </w:p>
    <w:p>
      <w:pPr>
        <w:pStyle w:val="BodyText"/>
        <w:spacing w:line="258" w:lineRule="auto"/>
        <w:rPr/>
      </w:pPr>
      <w:r>
        <w:drawing>
          <wp:anchor distT="0" distB="0" distL="0" distR="0" simplePos="0" relativeHeight="255307776" behindDoc="0" locked="0" layoutInCell="0" allowOverlap="1">
            <wp:simplePos x="0" y="0"/>
            <wp:positionH relativeFrom="page">
              <wp:posOffset>552448</wp:posOffset>
            </wp:positionH>
            <wp:positionV relativeFrom="page">
              <wp:posOffset>6680204</wp:posOffset>
            </wp:positionV>
            <wp:extent cx="1181092" cy="6350"/>
            <wp:effectExtent l="0" t="0" r="0" b="0"/>
            <wp:wrapNone/>
            <wp:docPr id="284" name="IM 284"/>
            <wp:cNvGraphicFramePr/>
            <a:graphic>
              <a:graphicData uri="http://schemas.openxmlformats.org/drawingml/2006/picture">
                <pic:pic>
                  <pic:nvPicPr>
                    <pic:cNvPr id="284" name="IM 284"/>
                    <pic:cNvPicPr/>
                  </pic:nvPicPr>
                  <pic:blipFill>
                    <a:blip r:embed="rId424"/>
                    <a:stretch>
                      <a:fillRect/>
                    </a:stretch>
                  </pic:blipFill>
                  <pic:spPr>
                    <a:xfrm rot="0">
                      <a:off x="0" y="0"/>
                      <a:ext cx="1181092" cy="6350"/>
                    </a:xfrm>
                    <a:prstGeom prst="rect">
                      <a:avLst/>
                    </a:prstGeom>
                  </pic:spPr>
                </pic:pic>
              </a:graphicData>
            </a:graphic>
          </wp:anchor>
        </w:drawing>
      </w:r>
      <w:r/>
    </w:p>
    <w:p>
      <w:pPr>
        <w:pStyle w:val="BodyText"/>
        <w:spacing w:line="258" w:lineRule="auto"/>
        <w:rPr/>
      </w:pPr>
      <w:r/>
    </w:p>
    <w:p>
      <w:pPr>
        <w:pStyle w:val="BodyText"/>
        <w:spacing w:line="258" w:lineRule="auto"/>
        <w:rPr/>
      </w:pPr>
      <w:r/>
    </w:p>
    <w:p>
      <w:pPr>
        <w:pStyle w:val="BodyText"/>
        <w:spacing w:line="258"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3"/>
        </w:rPr>
        <w:t>的作用。</w:t>
      </w:r>
    </w:p>
    <w:p>
      <w:pPr>
        <w:ind w:firstLine="429"/>
        <w:spacing w:before="111" w:line="350" w:lineRule="auto"/>
        <w:jc w:val="both"/>
        <w:rPr>
          <w:rFonts w:ascii="SimSun" w:hAnsi="SimSun" w:eastAsia="SimSun" w:cs="SimSun"/>
          <w:sz w:val="19"/>
          <w:szCs w:val="19"/>
        </w:rPr>
      </w:pPr>
      <w:r>
        <w:rPr>
          <w:rFonts w:ascii="SimSun" w:hAnsi="SimSun" w:eastAsia="SimSun" w:cs="SimSun"/>
          <w:sz w:val="19"/>
          <w:szCs w:val="19"/>
          <w:spacing w:val="11"/>
        </w:rPr>
        <w:t>本节总体介绍平台经济时代平台利用数据进行市场交</w:t>
      </w:r>
      <w:r>
        <w:rPr>
          <w:rFonts w:ascii="SimSun" w:hAnsi="SimSun" w:eastAsia="SimSun" w:cs="SimSun"/>
          <w:sz w:val="19"/>
          <w:szCs w:val="19"/>
          <w:spacing w:val="10"/>
        </w:rPr>
        <w:t>易的现状，</w:t>
      </w:r>
      <w:r>
        <w:rPr>
          <w:rFonts w:ascii="SimSun" w:hAnsi="SimSun" w:eastAsia="SimSun" w:cs="SimSun"/>
          <w:sz w:val="19"/>
          <w:szCs w:val="19"/>
        </w:rPr>
        <w:t xml:space="preserve"> </w:t>
      </w:r>
      <w:r>
        <w:rPr>
          <w:rFonts w:ascii="SimSun" w:hAnsi="SimSun" w:eastAsia="SimSun" w:cs="SimSun"/>
          <w:sz w:val="19"/>
          <w:szCs w:val="19"/>
          <w:spacing w:val="9"/>
        </w:rPr>
        <w:t>并认为目前在平台经济之下数据利用成为必然趋势，但数据主体、控 </w:t>
      </w:r>
      <w:r>
        <w:rPr>
          <w:rFonts w:ascii="SimSun" w:hAnsi="SimSun" w:eastAsia="SimSun" w:cs="SimSun"/>
          <w:sz w:val="19"/>
          <w:szCs w:val="19"/>
          <w:spacing w:val="18"/>
        </w:rPr>
        <w:t>制者、处理者的权利(益)如何分配与保护等问题亟待解决。同时，</w:t>
      </w:r>
      <w:r>
        <w:rPr>
          <w:rFonts w:ascii="SimSun" w:hAnsi="SimSun" w:eastAsia="SimSun" w:cs="SimSun"/>
          <w:sz w:val="19"/>
          <w:szCs w:val="19"/>
          <w:spacing w:val="4"/>
        </w:rPr>
        <w:t xml:space="preserve"> </w:t>
      </w:r>
      <w:r>
        <w:rPr>
          <w:rFonts w:ascii="SimSun" w:hAnsi="SimSun" w:eastAsia="SimSun" w:cs="SimSun"/>
          <w:sz w:val="19"/>
          <w:szCs w:val="19"/>
          <w:spacing w:val="18"/>
        </w:rPr>
        <w:t>针对数据活动全生命周期(收集、使用处理、</w:t>
      </w:r>
      <w:r>
        <w:rPr>
          <w:rFonts w:ascii="SimSun" w:hAnsi="SimSun" w:eastAsia="SimSun" w:cs="SimSun"/>
          <w:sz w:val="19"/>
          <w:szCs w:val="19"/>
          <w:spacing w:val="17"/>
        </w:rPr>
        <w:t>竞争、转让、共享等)</w:t>
      </w:r>
    </w:p>
    <w:p>
      <w:pPr>
        <w:spacing w:line="219" w:lineRule="auto"/>
        <w:rPr>
          <w:rFonts w:ascii="SimSun" w:hAnsi="SimSun" w:eastAsia="SimSun" w:cs="SimSun"/>
          <w:sz w:val="19"/>
          <w:szCs w:val="19"/>
        </w:rPr>
      </w:pPr>
      <w:r>
        <w:rPr>
          <w:rFonts w:ascii="SimSun" w:hAnsi="SimSun" w:eastAsia="SimSun" w:cs="SimSun"/>
          <w:sz w:val="19"/>
          <w:szCs w:val="19"/>
          <w:spacing w:val="8"/>
        </w:rPr>
        <w:t>的各环节规制都是平台经济时代平台企业难以规避的难题。</w:t>
      </w:r>
    </w:p>
    <w:p>
      <w:pPr>
        <w:pStyle w:val="BodyText"/>
        <w:spacing w:line="437" w:lineRule="auto"/>
        <w:rPr/>
      </w:pPr>
      <w:r/>
    </w:p>
    <w:p>
      <w:pPr>
        <w:ind w:left="432"/>
        <w:spacing w:before="62" w:line="219" w:lineRule="auto"/>
        <w:rPr>
          <w:rFonts w:ascii="SimSun" w:hAnsi="SimSun" w:eastAsia="SimSun" w:cs="SimSun"/>
          <w:sz w:val="19"/>
          <w:szCs w:val="19"/>
        </w:rPr>
      </w:pPr>
      <w:r>
        <w:rPr>
          <w:rFonts w:ascii="SimSun" w:hAnsi="SimSun" w:eastAsia="SimSun" w:cs="SimSun"/>
          <w:sz w:val="19"/>
          <w:szCs w:val="19"/>
          <w:b/>
          <w:bCs/>
          <w:spacing w:val="6"/>
        </w:rPr>
        <w:t>数字平台的数据驱动</w:t>
      </w:r>
    </w:p>
    <w:p>
      <w:pPr>
        <w:ind w:right="84" w:firstLine="429"/>
        <w:spacing w:before="116" w:line="350" w:lineRule="auto"/>
        <w:jc w:val="both"/>
        <w:rPr>
          <w:rFonts w:ascii="SimSun" w:hAnsi="SimSun" w:eastAsia="SimSun" w:cs="SimSun"/>
          <w:sz w:val="19"/>
          <w:szCs w:val="19"/>
        </w:rPr>
      </w:pPr>
      <w:r>
        <w:rPr>
          <w:rFonts w:ascii="SimSun" w:hAnsi="SimSun" w:eastAsia="SimSun" w:cs="SimSun"/>
          <w:sz w:val="19"/>
          <w:szCs w:val="19"/>
          <w:spacing w:val="8"/>
        </w:rPr>
        <w:t>目前平台经济作为生产力发展的重要组织形态，赋予</w:t>
      </w:r>
      <w:r>
        <w:rPr>
          <w:rFonts w:ascii="SimSun" w:hAnsi="SimSun" w:eastAsia="SimSun" w:cs="SimSun"/>
          <w:sz w:val="19"/>
          <w:szCs w:val="19"/>
          <w:spacing w:val="7"/>
        </w:rPr>
        <w:t>了经济发展</w:t>
      </w:r>
      <w:r>
        <w:rPr>
          <w:rFonts w:ascii="SimSun" w:hAnsi="SimSun" w:eastAsia="SimSun" w:cs="SimSun"/>
          <w:sz w:val="19"/>
          <w:szCs w:val="19"/>
        </w:rPr>
        <w:t xml:space="preserve"> </w:t>
      </w:r>
      <w:r>
        <w:rPr>
          <w:rFonts w:ascii="SimSun" w:hAnsi="SimSun" w:eastAsia="SimSun" w:cs="SimSun"/>
          <w:sz w:val="19"/>
          <w:szCs w:val="19"/>
          <w:spacing w:val="9"/>
        </w:rPr>
        <w:t>新动能。数据作为数字平台构建中不可或缺的一部分，对我</w:t>
      </w:r>
      <w:r>
        <w:rPr>
          <w:rFonts w:ascii="SimSun" w:hAnsi="SimSun" w:eastAsia="SimSun" w:cs="SimSun"/>
          <w:sz w:val="19"/>
          <w:szCs w:val="19"/>
          <w:spacing w:val="8"/>
        </w:rPr>
        <w:t>国经济发</w:t>
      </w:r>
    </w:p>
    <w:p>
      <w:pPr>
        <w:spacing w:line="219" w:lineRule="auto"/>
        <w:rPr>
          <w:rFonts w:ascii="SimSun" w:hAnsi="SimSun" w:eastAsia="SimSun" w:cs="SimSun"/>
          <w:sz w:val="19"/>
          <w:szCs w:val="19"/>
        </w:rPr>
      </w:pPr>
      <w:r>
        <w:rPr>
          <w:rFonts w:ascii="SimSun" w:hAnsi="SimSun" w:eastAsia="SimSun" w:cs="SimSun"/>
          <w:sz w:val="19"/>
          <w:szCs w:val="19"/>
          <w:spacing w:val="8"/>
        </w:rPr>
        <w:t>展乃至全球范围内的经济提升都有着至关重要的影响。</w:t>
      </w:r>
    </w:p>
    <w:p>
      <w:pPr>
        <w:ind w:firstLine="429"/>
        <w:spacing w:before="133" w:line="350" w:lineRule="auto"/>
        <w:jc w:val="both"/>
        <w:rPr>
          <w:rFonts w:ascii="SimSun" w:hAnsi="SimSun" w:eastAsia="SimSun" w:cs="SimSun"/>
          <w:sz w:val="19"/>
          <w:szCs w:val="19"/>
        </w:rPr>
      </w:pPr>
      <w:r>
        <w:rPr>
          <w:rFonts w:ascii="SimSun" w:hAnsi="SimSun" w:eastAsia="SimSun" w:cs="SimSun"/>
          <w:sz w:val="19"/>
          <w:szCs w:val="19"/>
          <w:spacing w:val="12"/>
        </w:rPr>
        <w:t>根据中国信通院发布的《平台经济与竞争政策观察(2020年)》,</w:t>
      </w:r>
      <w:r>
        <w:rPr>
          <w:rFonts w:ascii="SimSun" w:hAnsi="SimSun" w:eastAsia="SimSun" w:cs="SimSun"/>
          <w:sz w:val="19"/>
          <w:szCs w:val="19"/>
          <w:spacing w:val="10"/>
        </w:rPr>
        <w:t xml:space="preserve"> </w:t>
      </w:r>
      <w:r>
        <w:rPr>
          <w:rFonts w:ascii="SimSun" w:hAnsi="SimSun" w:eastAsia="SimSun" w:cs="SimSun"/>
          <w:sz w:val="19"/>
          <w:szCs w:val="19"/>
          <w:spacing w:val="18"/>
        </w:rPr>
        <w:t>截至2019年底，全球市场价值①超100亿美元的数字平台企</w:t>
      </w:r>
      <w:r>
        <w:rPr>
          <w:rFonts w:ascii="SimSun" w:hAnsi="SimSun" w:eastAsia="SimSun" w:cs="SimSun"/>
          <w:sz w:val="19"/>
          <w:szCs w:val="19"/>
          <w:spacing w:val="17"/>
        </w:rPr>
        <w:t>业达74</w:t>
      </w:r>
      <w:r>
        <w:rPr>
          <w:rFonts w:ascii="SimSun" w:hAnsi="SimSun" w:eastAsia="SimSun" w:cs="SimSun"/>
          <w:sz w:val="19"/>
          <w:szCs w:val="19"/>
        </w:rPr>
        <w:t xml:space="preserve"> </w:t>
      </w:r>
      <w:r>
        <w:rPr>
          <w:rFonts w:ascii="SimSun" w:hAnsi="SimSun" w:eastAsia="SimSun" w:cs="SimSun"/>
          <w:sz w:val="19"/>
          <w:szCs w:val="19"/>
          <w:spacing w:val="19"/>
        </w:rPr>
        <w:t>家，价值总额达8.98万亿美元，同比增长41.8%,大型数字平台的 </w:t>
      </w:r>
      <w:r>
        <w:rPr>
          <w:rFonts w:ascii="SimSun" w:hAnsi="SimSun" w:eastAsia="SimSun" w:cs="SimSun"/>
          <w:sz w:val="19"/>
          <w:szCs w:val="19"/>
          <w:spacing w:val="10"/>
        </w:rPr>
        <w:t>数量和规模将会进一步上升。与此同时，大量的数据运用带动了我国</w:t>
      </w:r>
      <w:r>
        <w:rPr>
          <w:rFonts w:ascii="SimSun" w:hAnsi="SimSun" w:eastAsia="SimSun" w:cs="SimSun"/>
          <w:sz w:val="19"/>
          <w:szCs w:val="19"/>
          <w:spacing w:val="18"/>
        </w:rPr>
        <w:t xml:space="preserve"> </w:t>
      </w:r>
      <w:r>
        <w:rPr>
          <w:rFonts w:ascii="SimSun" w:hAnsi="SimSun" w:eastAsia="SimSun" w:cs="SimSun"/>
          <w:sz w:val="19"/>
          <w:szCs w:val="19"/>
          <w:spacing w:val="16"/>
        </w:rPr>
        <w:t>数字平台产业的崛起，在经济规模以及平台数量上</w:t>
      </w:r>
      <w:r>
        <w:rPr>
          <w:rFonts w:ascii="SimSun" w:hAnsi="SimSun" w:eastAsia="SimSun" w:cs="SimSun"/>
          <w:sz w:val="19"/>
          <w:szCs w:val="19"/>
          <w:spacing w:val="15"/>
        </w:rPr>
        <w:t>都有着明显的发</w:t>
      </w:r>
      <w:r>
        <w:rPr>
          <w:rFonts w:ascii="SimSun" w:hAnsi="SimSun" w:eastAsia="SimSun" w:cs="SimSun"/>
          <w:sz w:val="19"/>
          <w:szCs w:val="19"/>
        </w:rPr>
        <w:t xml:space="preserve">  </w:t>
      </w:r>
      <w:r>
        <w:rPr>
          <w:rFonts w:ascii="SimSun" w:hAnsi="SimSun" w:eastAsia="SimSun" w:cs="SimSun"/>
          <w:sz w:val="19"/>
          <w:szCs w:val="19"/>
          <w:spacing w:val="13"/>
        </w:rPr>
        <w:t>展。截至2019年底，我国价值超10亿美元的数字平台企业达193家，</w:t>
      </w:r>
      <w:r>
        <w:rPr>
          <w:rFonts w:ascii="SimSun" w:hAnsi="SimSun" w:eastAsia="SimSun" w:cs="SimSun"/>
          <w:sz w:val="19"/>
          <w:szCs w:val="19"/>
          <w:spacing w:val="7"/>
        </w:rPr>
        <w:t xml:space="preserve"> </w:t>
      </w:r>
      <w:r>
        <w:rPr>
          <w:rFonts w:ascii="SimSun" w:hAnsi="SimSun" w:eastAsia="SimSun" w:cs="SimSun"/>
          <w:sz w:val="19"/>
          <w:szCs w:val="19"/>
          <w:spacing w:val="17"/>
        </w:rPr>
        <w:t>比2015年新增了126家。可以看出，平台依托数据驱动实现了商业</w:t>
      </w:r>
      <w:r>
        <w:rPr>
          <w:rFonts w:ascii="SimSun" w:hAnsi="SimSun" w:eastAsia="SimSun" w:cs="SimSun"/>
          <w:sz w:val="19"/>
          <w:szCs w:val="19"/>
          <w:spacing w:val="3"/>
        </w:rPr>
        <w:t xml:space="preserve">  </w:t>
      </w:r>
      <w:r>
        <w:rPr>
          <w:rFonts w:ascii="SimSun" w:hAnsi="SimSun" w:eastAsia="SimSun" w:cs="SimSun"/>
          <w:sz w:val="19"/>
          <w:szCs w:val="19"/>
          <w:spacing w:val="9"/>
        </w:rPr>
        <w:t>模式和经营规模的跨越式转变和发展，全球范围内数据驱动的态势越</w:t>
      </w:r>
    </w:p>
    <w:p>
      <w:pPr>
        <w:spacing w:line="219" w:lineRule="auto"/>
        <w:rPr>
          <w:rFonts w:ascii="SimSun" w:hAnsi="SimSun" w:eastAsia="SimSun" w:cs="SimSun"/>
          <w:sz w:val="19"/>
          <w:szCs w:val="19"/>
        </w:rPr>
      </w:pPr>
      <w:r>
        <w:rPr>
          <w:rFonts w:ascii="SimSun" w:hAnsi="SimSun" w:eastAsia="SimSun" w:cs="SimSun"/>
          <w:sz w:val="19"/>
          <w:szCs w:val="19"/>
          <w:spacing w:val="3"/>
        </w:rPr>
        <w:t>发明显。</w:t>
      </w:r>
    </w:p>
    <w:p>
      <w:pPr>
        <w:ind w:firstLine="429"/>
        <w:spacing w:before="133" w:line="360" w:lineRule="auto"/>
        <w:jc w:val="both"/>
        <w:rPr>
          <w:rFonts w:ascii="SimSun" w:hAnsi="SimSun" w:eastAsia="SimSun" w:cs="SimSun"/>
          <w:sz w:val="19"/>
          <w:szCs w:val="19"/>
        </w:rPr>
      </w:pPr>
      <w:r>
        <w:rPr>
          <w:rFonts w:ascii="SimSun" w:hAnsi="SimSun" w:eastAsia="SimSun" w:cs="SimSun"/>
          <w:sz w:val="19"/>
          <w:szCs w:val="19"/>
          <w:spacing w:val="11"/>
        </w:rPr>
        <w:t>另外，从行业的发展看，各行各业纷纷加强对创新平台</w:t>
      </w:r>
      <w:r>
        <w:rPr>
          <w:rFonts w:ascii="SimSun" w:hAnsi="SimSun" w:eastAsia="SimSun" w:cs="SimSun"/>
          <w:sz w:val="19"/>
          <w:szCs w:val="19"/>
          <w:spacing w:val="10"/>
        </w:rPr>
        <w:t>的建设，</w:t>
      </w:r>
      <w:r>
        <w:rPr>
          <w:rFonts w:ascii="SimSun" w:hAnsi="SimSun" w:eastAsia="SimSun" w:cs="SimSun"/>
          <w:sz w:val="19"/>
          <w:szCs w:val="19"/>
        </w:rPr>
        <w:t xml:space="preserve"> </w:t>
      </w:r>
      <w:r>
        <w:rPr>
          <w:rFonts w:ascii="SimSun" w:hAnsi="SimSun" w:eastAsia="SimSun" w:cs="SimSun"/>
          <w:sz w:val="19"/>
          <w:szCs w:val="19"/>
          <w:spacing w:val="9"/>
        </w:rPr>
        <w:t>在数字化技术的帮助下，加快了数据的流通利用，实现商业模式的转 </w:t>
      </w:r>
      <w:r>
        <w:rPr>
          <w:rFonts w:ascii="SimSun" w:hAnsi="SimSun" w:eastAsia="SimSun" w:cs="SimSun"/>
          <w:sz w:val="19"/>
          <w:szCs w:val="19"/>
          <w:spacing w:val="14"/>
        </w:rPr>
        <w:t>变，促进经济快速发展。《平台经济与竞争政策观察(2020年)》显</w:t>
      </w:r>
    </w:p>
    <w:p>
      <w:pPr>
        <w:spacing w:line="219" w:lineRule="auto"/>
        <w:rPr>
          <w:rFonts w:ascii="SimSun" w:hAnsi="SimSun" w:eastAsia="SimSun" w:cs="SimSun"/>
          <w:sz w:val="19"/>
          <w:szCs w:val="19"/>
        </w:rPr>
      </w:pPr>
      <w:r>
        <w:rPr>
          <w:rFonts w:ascii="SimSun" w:hAnsi="SimSun" w:eastAsia="SimSun" w:cs="SimSun"/>
          <w:sz w:val="19"/>
          <w:szCs w:val="19"/>
          <w:spacing w:val="9"/>
        </w:rPr>
        <w:t>示，总体上，各行各业数字平台数量呈上升趋势，通过构建数字平台</w:t>
      </w:r>
    </w:p>
    <w:p>
      <w:pPr>
        <w:pStyle w:val="BodyText"/>
        <w:spacing w:line="268" w:lineRule="auto"/>
        <w:rPr/>
      </w:pPr>
      <w:r/>
    </w:p>
    <w:p>
      <w:pPr>
        <w:pStyle w:val="BodyText"/>
        <w:spacing w:line="268" w:lineRule="auto"/>
        <w:rPr/>
      </w:pPr>
      <w:r/>
    </w:p>
    <w:p>
      <w:pPr>
        <w:spacing w:before="52" w:line="225" w:lineRule="auto"/>
        <w:rPr>
          <w:rFonts w:ascii="KaiTi" w:hAnsi="KaiTi" w:eastAsia="KaiTi" w:cs="KaiTi"/>
          <w:sz w:val="16"/>
          <w:szCs w:val="16"/>
        </w:rPr>
      </w:pPr>
      <w:r>
        <w:rPr>
          <w:rFonts w:ascii="KaiTi" w:hAnsi="KaiTi" w:eastAsia="KaiTi" w:cs="KaiTi"/>
          <w:sz w:val="16"/>
          <w:szCs w:val="16"/>
        </w:rPr>
        <w:t>①</w:t>
      </w:r>
      <w:r>
        <w:rPr>
          <w:rFonts w:ascii="KaiTi" w:hAnsi="KaiTi" w:eastAsia="KaiTi" w:cs="KaiTi"/>
          <w:sz w:val="16"/>
          <w:szCs w:val="16"/>
          <w:spacing w:val="49"/>
        </w:rPr>
        <w:t xml:space="preserve"> </w:t>
      </w:r>
      <w:r>
        <w:rPr>
          <w:rFonts w:ascii="KaiTi" w:hAnsi="KaiTi" w:eastAsia="KaiTi" w:cs="KaiTi"/>
          <w:sz w:val="16"/>
          <w:szCs w:val="16"/>
        </w:rPr>
        <w:t>该报告中的市场价值为上市企业市值或非上市企业估值。</w:t>
      </w:r>
    </w:p>
    <w:p>
      <w:pPr>
        <w:spacing w:before="71" w:line="220" w:lineRule="auto"/>
        <w:rPr>
          <w:rFonts w:ascii="SimSun" w:hAnsi="SimSun" w:eastAsia="SimSun" w:cs="SimSun"/>
          <w:sz w:val="16"/>
          <w:szCs w:val="16"/>
        </w:rPr>
      </w:pPr>
      <w:r>
        <w:rPr>
          <w:rFonts w:ascii="SimSun" w:hAnsi="SimSun" w:eastAsia="SimSun" w:cs="SimSun"/>
          <w:sz w:val="16"/>
          <w:szCs w:val="16"/>
          <w:spacing w:val="3"/>
        </w:rPr>
        <w:t>②</w:t>
      </w:r>
      <w:r>
        <w:rPr>
          <w:rFonts w:ascii="SimSun" w:hAnsi="SimSun" w:eastAsia="SimSun" w:cs="SimSun"/>
          <w:sz w:val="16"/>
          <w:szCs w:val="16"/>
          <w:spacing w:val="58"/>
        </w:rPr>
        <w:t xml:space="preserve"> </w:t>
      </w:r>
      <w:r>
        <w:rPr>
          <w:rFonts w:ascii="KaiTi" w:hAnsi="KaiTi" w:eastAsia="KaiTi" w:cs="KaiTi"/>
          <w:sz w:val="16"/>
          <w:szCs w:val="16"/>
          <w:spacing w:val="3"/>
        </w:rPr>
        <w:t>该报告中的数字平台是指基于数字技术，具有双/多边市场特点的平台</w:t>
      </w:r>
      <w:r>
        <w:rPr>
          <w:rFonts w:ascii="SimSun" w:hAnsi="SimSun" w:eastAsia="SimSun" w:cs="SimSun"/>
          <w:sz w:val="16"/>
          <w:szCs w:val="16"/>
          <w:spacing w:val="3"/>
        </w:rPr>
        <w:t>。</w:t>
      </w:r>
    </w:p>
    <w:p>
      <w:pPr>
        <w:spacing w:line="220" w:lineRule="auto"/>
        <w:sectPr>
          <w:headerReference w:type="default" r:id="rId423"/>
          <w:pgSz w:w="7330" w:h="12480"/>
          <w:pgMar w:top="507" w:right="474" w:bottom="400" w:left="799" w:header="345" w:footer="0" w:gutter="0"/>
        </w:sectPr>
        <w:rPr>
          <w:rFonts w:ascii="SimSun" w:hAnsi="SimSun" w:eastAsia="SimSun" w:cs="SimSun"/>
          <w:sz w:val="16"/>
          <w:szCs w:val="16"/>
        </w:rPr>
      </w:pPr>
    </w:p>
    <w:p>
      <w:pPr>
        <w:pStyle w:val="BodyText"/>
        <w:spacing w:line="251" w:lineRule="auto"/>
        <w:rPr/>
      </w:pPr>
      <w:r>
        <w:drawing>
          <wp:anchor distT="0" distB="0" distL="0" distR="0" simplePos="0" relativeHeight="255318016" behindDoc="0" locked="0" layoutInCell="0" allowOverlap="1">
            <wp:simplePos x="0" y="0"/>
            <wp:positionH relativeFrom="page">
              <wp:posOffset>260328</wp:posOffset>
            </wp:positionH>
            <wp:positionV relativeFrom="page">
              <wp:posOffset>6902417</wp:posOffset>
            </wp:positionV>
            <wp:extent cx="1168431" cy="6350"/>
            <wp:effectExtent l="0" t="0" r="0" b="0"/>
            <wp:wrapNone/>
            <wp:docPr id="286" name="IM 286"/>
            <wp:cNvGraphicFramePr/>
            <a:graphic>
              <a:graphicData uri="http://schemas.openxmlformats.org/drawingml/2006/picture">
                <pic:pic>
                  <pic:nvPicPr>
                    <pic:cNvPr id="286" name="IM 286"/>
                    <pic:cNvPicPr/>
                  </pic:nvPicPr>
                  <pic:blipFill>
                    <a:blip r:embed="rId426"/>
                    <a:stretch>
                      <a:fillRect/>
                    </a:stretch>
                  </pic:blipFill>
                  <pic:spPr>
                    <a:xfrm rot="0">
                      <a:off x="0" y="0"/>
                      <a:ext cx="1168431" cy="6350"/>
                    </a:xfrm>
                    <a:prstGeom prst="rect">
                      <a:avLst/>
                    </a:prstGeom>
                  </pic:spPr>
                </pic:pic>
              </a:graphicData>
            </a:graphic>
          </wp:anchor>
        </w:drawing>
      </w:r>
      <w:r/>
    </w:p>
    <w:p>
      <w:pPr>
        <w:pStyle w:val="BodyText"/>
        <w:spacing w:line="251" w:lineRule="auto"/>
        <w:rPr/>
      </w:pPr>
      <w:r/>
    </w:p>
    <w:p>
      <w:pPr>
        <w:pStyle w:val="BodyText"/>
        <w:spacing w:line="252" w:lineRule="auto"/>
        <w:rPr/>
      </w:pPr>
      <w:r/>
    </w:p>
    <w:p>
      <w:pPr>
        <w:pStyle w:val="BodyText"/>
        <w:spacing w:line="252" w:lineRule="auto"/>
        <w:rPr/>
      </w:pPr>
      <w:r/>
    </w:p>
    <w:p>
      <w:pPr>
        <w:ind w:right="68"/>
        <w:spacing w:before="69" w:line="300" w:lineRule="auto"/>
        <w:jc w:val="both"/>
        <w:rPr>
          <w:rFonts w:ascii="SimSun" w:hAnsi="SimSun" w:eastAsia="SimSun" w:cs="SimSun"/>
          <w:sz w:val="21"/>
          <w:szCs w:val="21"/>
        </w:rPr>
      </w:pPr>
      <w:r>
        <w:rPr>
          <w:rFonts w:ascii="SimSun" w:hAnsi="SimSun" w:eastAsia="SimSun" w:cs="SimSun"/>
          <w:sz w:val="21"/>
          <w:szCs w:val="21"/>
          <w:spacing w:val="-11"/>
        </w:rPr>
        <w:t>实现经济发展的步伐加快。各行业数据驱动的态势明显，纷纷通过数</w:t>
      </w:r>
      <w:r>
        <w:rPr>
          <w:rFonts w:ascii="SimSun" w:hAnsi="SimSun" w:eastAsia="SimSun" w:cs="SimSun"/>
          <w:sz w:val="21"/>
          <w:szCs w:val="21"/>
          <w:spacing w:val="7"/>
        </w:rPr>
        <w:t xml:space="preserve"> </w:t>
      </w:r>
      <w:r>
        <w:rPr>
          <w:rFonts w:ascii="SimSun" w:hAnsi="SimSun" w:eastAsia="SimSun" w:cs="SimSun"/>
          <w:sz w:val="21"/>
          <w:szCs w:val="21"/>
          <w:spacing w:val="-11"/>
        </w:rPr>
        <w:t>据驱动实现商业模式的快速转变，其中电子商务、金融科技以及数据</w:t>
      </w:r>
      <w:r>
        <w:rPr>
          <w:rFonts w:ascii="SimSun" w:hAnsi="SimSun" w:eastAsia="SimSun" w:cs="SimSun"/>
          <w:sz w:val="21"/>
          <w:szCs w:val="21"/>
          <w:spacing w:val="10"/>
        </w:rPr>
        <w:t xml:space="preserve"> </w:t>
      </w:r>
      <w:r>
        <w:rPr>
          <w:rFonts w:ascii="SimSun" w:hAnsi="SimSun" w:eastAsia="SimSun" w:cs="SimSun"/>
          <w:sz w:val="21"/>
          <w:szCs w:val="21"/>
          <w:spacing w:val="-11"/>
        </w:rPr>
        <w:t>传媒领域发展较为活跃。数据驱动作为新技术环境下数字平台经济增</w:t>
      </w:r>
      <w:r>
        <w:rPr>
          <w:rFonts w:ascii="SimSun" w:hAnsi="SimSun" w:eastAsia="SimSun" w:cs="SimSun"/>
          <w:sz w:val="21"/>
          <w:szCs w:val="21"/>
          <w:spacing w:val="15"/>
        </w:rPr>
        <w:t xml:space="preserve"> </w:t>
      </w:r>
      <w:r>
        <w:rPr>
          <w:rFonts w:ascii="SimSun" w:hAnsi="SimSun" w:eastAsia="SimSun" w:cs="SimSun"/>
          <w:sz w:val="21"/>
          <w:szCs w:val="21"/>
          <w:spacing w:val="-11"/>
        </w:rPr>
        <w:t>长的着力点，促进了平台经营方式的创新转变，通过实现数据的流通</w:t>
      </w:r>
      <w:r>
        <w:rPr>
          <w:rFonts w:ascii="SimSun" w:hAnsi="SimSun" w:eastAsia="SimSun" w:cs="SimSun"/>
          <w:sz w:val="21"/>
          <w:szCs w:val="21"/>
          <w:spacing w:val="6"/>
        </w:rPr>
        <w:t xml:space="preserve"> </w:t>
      </w:r>
      <w:r>
        <w:rPr>
          <w:rFonts w:ascii="SimSun" w:hAnsi="SimSun" w:eastAsia="SimSun" w:cs="SimSun"/>
          <w:sz w:val="21"/>
          <w:szCs w:val="21"/>
          <w:spacing w:val="-4"/>
        </w:rPr>
        <w:t>利用，极大推动了平台的业务创收，逐渐成为平台经济发展的新兴</w:t>
      </w:r>
      <w:r>
        <w:rPr>
          <w:rFonts w:ascii="SimSun" w:hAnsi="SimSun" w:eastAsia="SimSun" w:cs="SimSun"/>
          <w:sz w:val="21"/>
          <w:szCs w:val="21"/>
          <w:spacing w:val="5"/>
        </w:rPr>
        <w:t xml:space="preserve"> </w:t>
      </w:r>
      <w:r>
        <w:rPr>
          <w:rFonts w:ascii="SimSun" w:hAnsi="SimSun" w:eastAsia="SimSun" w:cs="SimSun"/>
          <w:sz w:val="21"/>
          <w:szCs w:val="21"/>
          <w:spacing w:val="-10"/>
        </w:rPr>
        <w:t>力量。</w:t>
      </w:r>
    </w:p>
    <w:p>
      <w:pPr>
        <w:pStyle w:val="BodyText"/>
        <w:spacing w:line="395" w:lineRule="auto"/>
        <w:rPr/>
      </w:pPr>
      <w:r/>
    </w:p>
    <w:p>
      <w:pPr>
        <w:ind w:left="422"/>
        <w:spacing w:before="68" w:line="219" w:lineRule="auto"/>
        <w:rPr>
          <w:rFonts w:ascii="SimSun" w:hAnsi="SimSun" w:eastAsia="SimSun" w:cs="SimSun"/>
          <w:sz w:val="21"/>
          <w:szCs w:val="21"/>
        </w:rPr>
      </w:pPr>
      <w:r>
        <w:rPr>
          <w:rFonts w:ascii="SimSun" w:hAnsi="SimSun" w:eastAsia="SimSun" w:cs="SimSun"/>
          <w:sz w:val="21"/>
          <w:szCs w:val="21"/>
          <w:b/>
          <w:bCs/>
          <w:spacing w:val="-14"/>
        </w:rPr>
        <w:t>平台数据治理是平衡多元博弈的现实选择</w:t>
      </w:r>
    </w:p>
    <w:p>
      <w:pPr>
        <w:ind w:firstLine="420"/>
        <w:spacing w:before="120" w:line="308" w:lineRule="auto"/>
        <w:jc w:val="both"/>
        <w:rPr>
          <w:rFonts w:ascii="SimSun" w:hAnsi="SimSun" w:eastAsia="SimSun" w:cs="SimSun"/>
          <w:sz w:val="21"/>
          <w:szCs w:val="21"/>
        </w:rPr>
      </w:pPr>
      <w:r>
        <w:rPr>
          <w:rFonts w:ascii="SimSun" w:hAnsi="SimSun" w:eastAsia="SimSun" w:cs="SimSun"/>
          <w:sz w:val="21"/>
          <w:szCs w:val="21"/>
          <w:spacing w:val="-4"/>
        </w:rPr>
        <w:t>平台经济依托数字技术将实物商品数据化，并利用数据的流转</w:t>
      </w:r>
      <w:r>
        <w:rPr>
          <w:rFonts w:ascii="SimSun" w:hAnsi="SimSun" w:eastAsia="SimSun" w:cs="SimSun"/>
          <w:sz w:val="21"/>
          <w:szCs w:val="21"/>
          <w:spacing w:val="15"/>
        </w:rPr>
        <w:t xml:space="preserve"> </w:t>
      </w:r>
      <w:r>
        <w:rPr>
          <w:rFonts w:ascii="SimSun" w:hAnsi="SimSun" w:eastAsia="SimSun" w:cs="SimSun"/>
          <w:sz w:val="21"/>
          <w:szCs w:val="21"/>
          <w:spacing w:val="-11"/>
        </w:rPr>
        <w:t>创造价值，但市场的逐利性决定了平台经济存在着各方主体之间的博 </w:t>
      </w:r>
      <w:r>
        <w:rPr>
          <w:rFonts w:ascii="SimSun" w:hAnsi="SimSun" w:eastAsia="SimSun" w:cs="SimSun"/>
          <w:sz w:val="21"/>
          <w:szCs w:val="21"/>
          <w:spacing w:val="-11"/>
        </w:rPr>
        <w:t>弈。对于国家机关与平台企业来说，国家层面从促进经济发展的角度 </w:t>
      </w:r>
      <w:r>
        <w:rPr>
          <w:rFonts w:ascii="SimSun" w:hAnsi="SimSun" w:eastAsia="SimSun" w:cs="SimSun"/>
          <w:sz w:val="21"/>
          <w:szCs w:val="21"/>
          <w:spacing w:val="-11"/>
        </w:rPr>
        <w:t>赋予了平台企业一定的自治权，充分尊重市场发展规律。同时，国家 </w:t>
      </w:r>
      <w:r>
        <w:rPr>
          <w:rFonts w:ascii="SimSun" w:hAnsi="SimSun" w:eastAsia="SimSun" w:cs="SimSun"/>
          <w:sz w:val="21"/>
          <w:szCs w:val="21"/>
          <w:spacing w:val="-4"/>
        </w:rPr>
        <w:t>机关也加强对市场的监管力度，保障消费者的合法利益，但是国</w:t>
      </w:r>
      <w:r>
        <w:rPr>
          <w:rFonts w:ascii="SimSun" w:hAnsi="SimSun" w:eastAsia="SimSun" w:cs="SimSun"/>
          <w:sz w:val="21"/>
          <w:szCs w:val="21"/>
          <w:spacing w:val="-5"/>
        </w:rPr>
        <w:t>家 </w:t>
      </w:r>
      <w:r>
        <w:rPr>
          <w:rFonts w:ascii="SimSun" w:hAnsi="SimSun" w:eastAsia="SimSun" w:cs="SimSun"/>
          <w:sz w:val="21"/>
          <w:szCs w:val="21"/>
          <w:spacing w:val="-4"/>
        </w:rPr>
        <w:t>机关的监管很容易被平台企业通过技术措施予以“选择性执行或</w:t>
      </w:r>
      <w:r>
        <w:rPr>
          <w:rFonts w:ascii="SimSun" w:hAnsi="SimSun" w:eastAsia="SimSun" w:cs="SimSun"/>
          <w:sz w:val="21"/>
          <w:szCs w:val="21"/>
          <w:spacing w:val="-5"/>
        </w:rPr>
        <w:t>规 </w:t>
      </w:r>
      <w:r>
        <w:rPr>
          <w:rFonts w:ascii="SimSun" w:hAnsi="SimSun" w:eastAsia="SimSun" w:cs="SimSun"/>
          <w:sz w:val="21"/>
          <w:szCs w:val="21"/>
          <w:spacing w:val="-14"/>
        </w:rPr>
        <w:t>避”①,但监管过严又不利于平台利用数据进行商业行为或商业模式创 </w:t>
      </w:r>
      <w:r>
        <w:rPr>
          <w:rFonts w:ascii="SimSun" w:hAnsi="SimSun" w:eastAsia="SimSun" w:cs="SimSun"/>
          <w:sz w:val="21"/>
          <w:szCs w:val="21"/>
          <w:spacing w:val="-8"/>
        </w:rPr>
        <w:t>新，二者之间出现了悖论博弈。另外，对于平台企业</w:t>
      </w:r>
      <w:r>
        <w:rPr>
          <w:rFonts w:ascii="SimSun" w:hAnsi="SimSun" w:eastAsia="SimSun" w:cs="SimSun"/>
          <w:sz w:val="21"/>
          <w:szCs w:val="21"/>
          <w:spacing w:val="-9"/>
        </w:rPr>
        <w:t>和消费者来说，</w:t>
      </w:r>
      <w:r>
        <w:rPr>
          <w:rFonts w:ascii="SimSun" w:hAnsi="SimSun" w:eastAsia="SimSun" w:cs="SimSun"/>
          <w:sz w:val="21"/>
          <w:szCs w:val="21"/>
        </w:rPr>
        <w:t xml:space="preserve"> </w:t>
      </w:r>
      <w:r>
        <w:rPr>
          <w:rFonts w:ascii="SimSun" w:hAnsi="SimSun" w:eastAsia="SimSun" w:cs="SimSun"/>
          <w:sz w:val="21"/>
          <w:szCs w:val="21"/>
          <w:spacing w:val="-11"/>
        </w:rPr>
        <w:t>平台企业自身所具有的逐利性促使其不断蚕食消费者利益，平台企业 </w:t>
      </w:r>
      <w:r>
        <w:rPr>
          <w:rFonts w:ascii="SimSun" w:hAnsi="SimSun" w:eastAsia="SimSun" w:cs="SimSun"/>
          <w:sz w:val="21"/>
          <w:szCs w:val="21"/>
          <w:spacing w:val="-11"/>
        </w:rPr>
        <w:t>通过数据技术，使得消费者处于信息不对称的境地，逐渐侵吞消费者 </w:t>
      </w:r>
      <w:r>
        <w:rPr>
          <w:rFonts w:ascii="SimSun" w:hAnsi="SimSun" w:eastAsia="SimSun" w:cs="SimSun"/>
          <w:sz w:val="21"/>
          <w:szCs w:val="21"/>
          <w:spacing w:val="-11"/>
        </w:rPr>
        <w:t>的合法权益。因此，面对如此复杂的多元博弈格局，需要在创新与安 </w:t>
      </w:r>
      <w:r>
        <w:rPr>
          <w:rFonts w:ascii="SimSun" w:hAnsi="SimSun" w:eastAsia="SimSun" w:cs="SimSun"/>
          <w:sz w:val="21"/>
          <w:szCs w:val="21"/>
          <w:spacing w:val="-12"/>
        </w:rPr>
        <w:t>全、共享与效率之间思考数据治理的路径。</w:t>
      </w:r>
    </w:p>
    <w:p>
      <w:pPr>
        <w:ind w:right="52" w:firstLine="420"/>
        <w:spacing w:before="108" w:line="292" w:lineRule="auto"/>
        <w:jc w:val="both"/>
        <w:rPr>
          <w:rFonts w:ascii="SimSun" w:hAnsi="SimSun" w:eastAsia="SimSun" w:cs="SimSun"/>
          <w:sz w:val="21"/>
          <w:szCs w:val="21"/>
        </w:rPr>
      </w:pPr>
      <w:r>
        <w:rPr>
          <w:rFonts w:ascii="SimSun" w:hAnsi="SimSun" w:eastAsia="SimSun" w:cs="SimSun"/>
          <w:sz w:val="21"/>
          <w:szCs w:val="21"/>
          <w:spacing w:val="-3"/>
        </w:rPr>
        <w:t>总而言之，平台利用数据实现经济增值已成</w:t>
      </w:r>
      <w:r>
        <w:rPr>
          <w:rFonts w:ascii="SimSun" w:hAnsi="SimSun" w:eastAsia="SimSun" w:cs="SimSun"/>
          <w:sz w:val="21"/>
          <w:szCs w:val="21"/>
          <w:spacing w:val="-4"/>
        </w:rPr>
        <w:t>为必然趋势，数据</w:t>
      </w:r>
      <w:r>
        <w:rPr>
          <w:rFonts w:ascii="SimSun" w:hAnsi="SimSun" w:eastAsia="SimSun" w:cs="SimSun"/>
          <w:sz w:val="21"/>
          <w:szCs w:val="21"/>
        </w:rPr>
        <w:t xml:space="preserve"> </w:t>
      </w:r>
      <w:r>
        <w:rPr>
          <w:rFonts w:ascii="SimSun" w:hAnsi="SimSun" w:eastAsia="SimSun" w:cs="SimSun"/>
          <w:sz w:val="21"/>
          <w:szCs w:val="21"/>
          <w:spacing w:val="-11"/>
        </w:rPr>
        <w:t>在平台价值创造方面展示了极强的竞争力。但我们也必须意识到数据</w:t>
      </w:r>
      <w:r>
        <w:rPr>
          <w:rFonts w:ascii="SimSun" w:hAnsi="SimSun" w:eastAsia="SimSun" w:cs="SimSun"/>
          <w:sz w:val="21"/>
          <w:szCs w:val="21"/>
          <w:spacing w:val="10"/>
        </w:rPr>
        <w:t xml:space="preserve"> </w:t>
      </w:r>
      <w:r>
        <w:rPr>
          <w:rFonts w:ascii="SimSun" w:hAnsi="SimSun" w:eastAsia="SimSun" w:cs="SimSun"/>
          <w:sz w:val="21"/>
          <w:szCs w:val="21"/>
          <w:spacing w:val="-11"/>
        </w:rPr>
        <w:t>在给平台经济创造价值的同时，也面临风险。数据必须在流通中实现</w:t>
      </w:r>
      <w:r>
        <w:rPr>
          <w:rFonts w:ascii="SimSun" w:hAnsi="SimSun" w:eastAsia="SimSun" w:cs="SimSun"/>
          <w:sz w:val="21"/>
          <w:szCs w:val="21"/>
          <w:spacing w:val="6"/>
        </w:rPr>
        <w:t xml:space="preserve"> </w:t>
      </w:r>
      <w:r>
        <w:rPr>
          <w:rFonts w:ascii="SimSun" w:hAnsi="SimSun" w:eastAsia="SimSun" w:cs="SimSun"/>
          <w:sz w:val="21"/>
          <w:szCs w:val="21"/>
          <w:spacing w:val="-11"/>
        </w:rPr>
        <w:t>价值的创造与转换，市场的逐利性意味着数据处理者将加大数据流通</w:t>
      </w:r>
    </w:p>
    <w:p>
      <w:pPr>
        <w:pStyle w:val="BodyText"/>
        <w:spacing w:line="469" w:lineRule="auto"/>
        <w:rPr/>
      </w:pPr>
      <w:r/>
    </w:p>
    <w:p>
      <w:pPr>
        <w:ind w:left="309" w:right="96" w:hanging="309"/>
        <w:spacing w:before="68"/>
        <w:rPr>
          <w:rFonts w:ascii="SimSun" w:hAnsi="SimSun" w:eastAsia="SimSun" w:cs="SimSun"/>
          <w:sz w:val="21"/>
          <w:szCs w:val="21"/>
        </w:rPr>
      </w:pPr>
      <w:r>
        <w:rPr>
          <w:rFonts w:ascii="SimSun" w:hAnsi="SimSun" w:eastAsia="SimSun" w:cs="SimSun"/>
          <w:sz w:val="21"/>
          <w:szCs w:val="21"/>
          <w:spacing w:val="-24"/>
          <w:w w:val="96"/>
        </w:rPr>
        <w:t>①</w:t>
      </w:r>
      <w:r>
        <w:rPr>
          <w:rFonts w:ascii="SimSun" w:hAnsi="SimSun" w:eastAsia="SimSun" w:cs="SimSun"/>
          <w:sz w:val="21"/>
          <w:szCs w:val="21"/>
          <w:spacing w:val="46"/>
        </w:rPr>
        <w:t xml:space="preserve"> </w:t>
      </w:r>
      <w:r>
        <w:rPr>
          <w:rFonts w:ascii="KaiTi" w:hAnsi="KaiTi" w:eastAsia="KaiTi" w:cs="KaiTi"/>
          <w:sz w:val="21"/>
          <w:szCs w:val="21"/>
          <w:spacing w:val="-24"/>
          <w:w w:val="96"/>
        </w:rPr>
        <w:t>陈荣昌.网络平台数据治理的正当性、困境及路径.宁夏社会科学，</w:t>
      </w:r>
      <w:r>
        <w:rPr>
          <w:rFonts w:ascii="Times New Roman" w:hAnsi="Times New Roman" w:eastAsia="Times New Roman" w:cs="Times New Roman"/>
          <w:sz w:val="21"/>
          <w:szCs w:val="21"/>
          <w:spacing w:val="-24"/>
          <w:w w:val="96"/>
        </w:rPr>
        <w:t>2021(1):</w:t>
      </w:r>
      <w:r>
        <w:rPr>
          <w:rFonts w:ascii="Times New Roman" w:hAnsi="Times New Roman" w:eastAsia="Times New Roman" w:cs="Times New Roman"/>
          <w:sz w:val="21"/>
          <w:szCs w:val="21"/>
        </w:rPr>
        <w:t xml:space="preserve"> </w:t>
      </w:r>
      <w:r>
        <w:rPr>
          <w:rFonts w:ascii="SimSun" w:hAnsi="SimSun" w:eastAsia="SimSun" w:cs="SimSun"/>
          <w:sz w:val="21"/>
          <w:szCs w:val="21"/>
          <w:spacing w:val="-18"/>
        </w:rPr>
        <w:t>72-80.</w:t>
      </w:r>
    </w:p>
    <w:p>
      <w:pPr>
        <w:sectPr>
          <w:headerReference w:type="default" r:id="rId425"/>
          <w:pgSz w:w="7330" w:h="12480"/>
          <w:pgMar w:top="839" w:right="875" w:bottom="400" w:left="399" w:header="661" w:footer="0" w:gutter="0"/>
        </w:sectPr>
        <w:rPr>
          <w:rFonts w:ascii="SimSun" w:hAnsi="SimSun" w:eastAsia="SimSun" w:cs="SimSun"/>
          <w:sz w:val="21"/>
          <w:szCs w:val="21"/>
        </w:rPr>
      </w:pPr>
    </w:p>
    <w:p>
      <w:pPr>
        <w:spacing w:line="214" w:lineRule="auto"/>
        <w:rPr>
          <w:rFonts w:ascii="SimHei" w:hAnsi="SimHei" w:eastAsia="SimHei" w:cs="SimHei"/>
          <w:sz w:val="20"/>
          <w:szCs w:val="20"/>
        </w:rPr>
      </w:pPr>
      <w:r>
        <w:rPr>
          <w:rFonts w:ascii="SimSun" w:hAnsi="SimSun" w:eastAsia="SimSun" w:cs="SimSun"/>
          <w:sz w:val="12"/>
          <w:szCs w:val="12"/>
          <w:spacing w:val="-3"/>
          <w:position w:val="-3"/>
        </w:rPr>
        <w:t>348</w:t>
      </w:r>
      <w:r>
        <w:rPr>
          <w:rFonts w:ascii="SimSun" w:hAnsi="SimSun" w:eastAsia="SimSun" w:cs="SimSun"/>
          <w:sz w:val="12"/>
          <w:szCs w:val="12"/>
          <w:spacing w:val="2"/>
          <w:position w:val="-3"/>
        </w:rPr>
        <w:t xml:space="preserve">                   </w:t>
      </w:r>
      <w:r>
        <w:rPr>
          <w:rFonts w:ascii="SimSun" w:hAnsi="SimSun" w:eastAsia="SimSun" w:cs="SimSun"/>
          <w:sz w:val="12"/>
          <w:szCs w:val="12"/>
          <w:spacing w:val="1"/>
          <w:position w:val="-3"/>
        </w:rPr>
        <w:t xml:space="preserve">          </w:t>
      </w:r>
      <w:r>
        <w:rPr>
          <w:rFonts w:ascii="SimHei" w:hAnsi="SimHei" w:eastAsia="SimHei" w:cs="SimHei"/>
          <w:sz w:val="20"/>
          <w:szCs w:val="20"/>
          <w:spacing w:val="-16"/>
          <w:w w:val="86"/>
        </w:rPr>
        <w:t>平台经济——创新、治理与繁荣</w:t>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ind w:right="111"/>
        <w:spacing w:before="65" w:line="333" w:lineRule="auto"/>
        <w:jc w:val="both"/>
        <w:rPr>
          <w:rFonts w:ascii="SimSun" w:hAnsi="SimSun" w:eastAsia="SimSun" w:cs="SimSun"/>
          <w:sz w:val="20"/>
          <w:szCs w:val="20"/>
        </w:rPr>
      </w:pPr>
      <w:r>
        <w:rPr>
          <w:rFonts w:ascii="SimSun" w:hAnsi="SimSun" w:eastAsia="SimSun" w:cs="SimSun"/>
          <w:sz w:val="20"/>
          <w:szCs w:val="20"/>
          <w:spacing w:val="-1"/>
        </w:rPr>
        <w:t>力度以获得市场价值，数据主体的合法权益容易因不当的数据利用而</w:t>
      </w:r>
      <w:r>
        <w:rPr>
          <w:rFonts w:ascii="SimSun" w:hAnsi="SimSun" w:eastAsia="SimSun" w:cs="SimSun"/>
          <w:sz w:val="20"/>
          <w:szCs w:val="20"/>
          <w:spacing w:val="18"/>
        </w:rPr>
        <w:t xml:space="preserve"> </w:t>
      </w:r>
      <w:r>
        <w:rPr>
          <w:rFonts w:ascii="SimSun" w:hAnsi="SimSun" w:eastAsia="SimSun" w:cs="SimSun"/>
          <w:sz w:val="20"/>
          <w:szCs w:val="20"/>
        </w:rPr>
        <w:t>遭受损害；同时，数据共享和数据专享的矛盾会</w:t>
      </w:r>
      <w:r>
        <w:rPr>
          <w:rFonts w:ascii="SimSun" w:hAnsi="SimSun" w:eastAsia="SimSun" w:cs="SimSun"/>
          <w:sz w:val="20"/>
          <w:szCs w:val="20"/>
          <w:spacing w:val="-1"/>
        </w:rPr>
        <w:t>在市场环境中不断激</w:t>
      </w:r>
      <w:r>
        <w:rPr>
          <w:rFonts w:ascii="SimSun" w:hAnsi="SimSun" w:eastAsia="SimSun" w:cs="SimSun"/>
          <w:sz w:val="20"/>
          <w:szCs w:val="20"/>
        </w:rPr>
        <w:t xml:space="preserve"> </w:t>
      </w:r>
      <w:r>
        <w:rPr>
          <w:rFonts w:ascii="SimSun" w:hAnsi="SimSun" w:eastAsia="SimSun" w:cs="SimSun"/>
          <w:sz w:val="20"/>
          <w:szCs w:val="20"/>
          <w:spacing w:val="3"/>
        </w:rPr>
        <w:t>化①,对大量集中数据的需求会产生较大的数据价值分化，剩余的单</w:t>
      </w:r>
    </w:p>
    <w:p>
      <w:pPr>
        <w:spacing w:line="219" w:lineRule="auto"/>
        <w:rPr>
          <w:rFonts w:ascii="SimSun" w:hAnsi="SimSun" w:eastAsia="SimSun" w:cs="SimSun"/>
          <w:sz w:val="20"/>
          <w:szCs w:val="20"/>
        </w:rPr>
      </w:pPr>
      <w:r>
        <w:rPr>
          <w:rFonts w:ascii="SimSun" w:hAnsi="SimSun" w:eastAsia="SimSun" w:cs="SimSun"/>
          <w:sz w:val="20"/>
          <w:szCs w:val="20"/>
          <w:spacing w:val="-1"/>
        </w:rPr>
        <w:t>一、零散的数据将无法实现为经济赋能的有效目标。</w:t>
      </w:r>
    </w:p>
    <w:p>
      <w:pPr>
        <w:pStyle w:val="BodyText"/>
        <w:spacing w:line="385"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13"/>
        </w:rPr>
        <w:t>数据利用行为全周期的治理挑战</w:t>
      </w:r>
    </w:p>
    <w:p>
      <w:pPr>
        <w:pStyle w:val="BodyText"/>
        <w:spacing w:line="365" w:lineRule="auto"/>
        <w:rPr/>
      </w:pPr>
      <w:r/>
    </w:p>
    <w:p>
      <w:pPr>
        <w:ind w:right="69" w:firstLine="450"/>
        <w:spacing w:before="65" w:line="332" w:lineRule="auto"/>
        <w:jc w:val="both"/>
        <w:rPr>
          <w:rFonts w:ascii="SimSun" w:hAnsi="SimSun" w:eastAsia="SimSun" w:cs="SimSun"/>
          <w:sz w:val="20"/>
          <w:szCs w:val="20"/>
        </w:rPr>
      </w:pPr>
      <w:r>
        <w:rPr>
          <w:rFonts w:ascii="SimSun" w:hAnsi="SimSun" w:eastAsia="SimSun" w:cs="SimSun"/>
          <w:sz w:val="20"/>
          <w:szCs w:val="20"/>
          <w:spacing w:val="-1"/>
        </w:rPr>
        <w:t>伴随着平台海量数据的汇集以及网络效应的作用，各类数据问题</w:t>
      </w:r>
      <w:r>
        <w:rPr>
          <w:rFonts w:ascii="SimSun" w:hAnsi="SimSun" w:eastAsia="SimSun" w:cs="SimSun"/>
          <w:sz w:val="20"/>
          <w:szCs w:val="20"/>
          <w:spacing w:val="17"/>
        </w:rPr>
        <w:t xml:space="preserve"> </w:t>
      </w:r>
      <w:r>
        <w:rPr>
          <w:rFonts w:ascii="SimSun" w:hAnsi="SimSun" w:eastAsia="SimSun" w:cs="SimSun"/>
          <w:sz w:val="20"/>
          <w:szCs w:val="20"/>
        </w:rPr>
        <w:t>频发，需要我们采取相应措施予以规制。但平</w:t>
      </w:r>
      <w:r>
        <w:rPr>
          <w:rFonts w:ascii="SimSun" w:hAnsi="SimSun" w:eastAsia="SimSun" w:cs="SimSun"/>
          <w:sz w:val="20"/>
          <w:szCs w:val="20"/>
          <w:spacing w:val="-1"/>
        </w:rPr>
        <w:t>台数据法律治理面向数</w:t>
      </w:r>
      <w:r>
        <w:rPr>
          <w:rFonts w:ascii="SimSun" w:hAnsi="SimSun" w:eastAsia="SimSun" w:cs="SimSun"/>
          <w:sz w:val="20"/>
          <w:szCs w:val="20"/>
        </w:rPr>
        <w:t xml:space="preserve"> </w:t>
      </w:r>
      <w:r>
        <w:rPr>
          <w:rFonts w:ascii="SimSun" w:hAnsi="SimSun" w:eastAsia="SimSun" w:cs="SimSun"/>
          <w:sz w:val="20"/>
          <w:szCs w:val="20"/>
        </w:rPr>
        <w:t>据活动生命周期的全过程，数据的确权、获取、利</w:t>
      </w:r>
      <w:r>
        <w:rPr>
          <w:rFonts w:ascii="SimSun" w:hAnsi="SimSun" w:eastAsia="SimSun" w:cs="SimSun"/>
          <w:sz w:val="20"/>
          <w:szCs w:val="20"/>
          <w:spacing w:val="-1"/>
        </w:rPr>
        <w:t>用等各方面的难点</w:t>
      </w:r>
    </w:p>
    <w:p>
      <w:pPr>
        <w:spacing w:line="219" w:lineRule="auto"/>
        <w:rPr>
          <w:rFonts w:ascii="SimSun" w:hAnsi="SimSun" w:eastAsia="SimSun" w:cs="SimSun"/>
          <w:sz w:val="20"/>
          <w:szCs w:val="20"/>
        </w:rPr>
      </w:pPr>
      <w:r>
        <w:rPr>
          <w:rFonts w:ascii="SimSun" w:hAnsi="SimSun" w:eastAsia="SimSun" w:cs="SimSun"/>
          <w:sz w:val="20"/>
          <w:szCs w:val="20"/>
          <w:spacing w:val="-2"/>
        </w:rPr>
        <w:t>较多，平台数据法律治理模式面临挑战。</w:t>
      </w:r>
    </w:p>
    <w:p>
      <w:pPr>
        <w:pStyle w:val="BodyText"/>
        <w:spacing w:line="402" w:lineRule="auto"/>
        <w:rPr/>
      </w:pPr>
      <w:r/>
    </w:p>
    <w:p>
      <w:pPr>
        <w:ind w:left="452"/>
        <w:spacing w:before="65" w:line="219" w:lineRule="auto"/>
        <w:rPr>
          <w:rFonts w:ascii="SimSun" w:hAnsi="SimSun" w:eastAsia="SimSun" w:cs="SimSun"/>
          <w:sz w:val="20"/>
          <w:szCs w:val="20"/>
        </w:rPr>
      </w:pPr>
      <w:r>
        <w:rPr>
          <w:rFonts w:ascii="SimSun" w:hAnsi="SimSun" w:eastAsia="SimSun" w:cs="SimSun"/>
          <w:sz w:val="20"/>
          <w:szCs w:val="20"/>
          <w:b/>
          <w:bCs/>
          <w:spacing w:val="-4"/>
        </w:rPr>
        <w:t>数据权属争议</w:t>
      </w:r>
    </w:p>
    <w:p>
      <w:pPr>
        <w:ind w:firstLine="450"/>
        <w:spacing w:before="139" w:line="312" w:lineRule="auto"/>
        <w:jc w:val="both"/>
        <w:rPr>
          <w:rFonts w:ascii="SimSun" w:hAnsi="SimSun" w:eastAsia="SimSun" w:cs="SimSun"/>
          <w:sz w:val="20"/>
          <w:szCs w:val="20"/>
        </w:rPr>
      </w:pPr>
      <w:r>
        <w:rPr>
          <w:rFonts w:ascii="SimSun" w:hAnsi="SimSun" w:eastAsia="SimSun" w:cs="SimSun"/>
          <w:sz w:val="20"/>
          <w:szCs w:val="20"/>
          <w:spacing w:val="2"/>
        </w:rPr>
        <w:t>伴随频繁数据流动对市场交易稳定和国家安全问题产生的冲击， </w:t>
      </w:r>
      <w:r>
        <w:rPr>
          <w:rFonts w:ascii="SimSun" w:hAnsi="SimSun" w:eastAsia="SimSun" w:cs="SimSun"/>
          <w:sz w:val="20"/>
          <w:szCs w:val="20"/>
          <w:spacing w:val="-1"/>
        </w:rPr>
        <w:t>以及大数据应用所产生的经济价值的日趋凸显，数据权属成了不</w:t>
      </w:r>
      <w:r>
        <w:rPr>
          <w:rFonts w:ascii="SimSun" w:hAnsi="SimSun" w:eastAsia="SimSun" w:cs="SimSun"/>
          <w:sz w:val="20"/>
          <w:szCs w:val="20"/>
          <w:spacing w:val="-2"/>
        </w:rPr>
        <w:t>可回</w:t>
      </w:r>
      <w:r>
        <w:rPr>
          <w:rFonts w:ascii="SimSun" w:hAnsi="SimSun" w:eastAsia="SimSun" w:cs="SimSun"/>
          <w:sz w:val="20"/>
          <w:szCs w:val="20"/>
        </w:rPr>
        <w:t xml:space="preserve">  </w:t>
      </w:r>
      <w:r>
        <w:rPr>
          <w:rFonts w:ascii="SimSun" w:hAnsi="SimSun" w:eastAsia="SimSun" w:cs="SimSun"/>
          <w:sz w:val="20"/>
          <w:szCs w:val="20"/>
          <w:spacing w:val="7"/>
        </w:rPr>
        <w:t>避的研究议题。平台企业依托信息技术实现了对海量用户个</w:t>
      </w:r>
      <w:r>
        <w:rPr>
          <w:rFonts w:ascii="SimSun" w:hAnsi="SimSun" w:eastAsia="SimSun" w:cs="SimSun"/>
          <w:sz w:val="20"/>
          <w:szCs w:val="20"/>
          <w:spacing w:val="6"/>
        </w:rPr>
        <w:t>人数据</w:t>
      </w:r>
      <w:r>
        <w:rPr>
          <w:rFonts w:ascii="SimSun" w:hAnsi="SimSun" w:eastAsia="SimSun" w:cs="SimSun"/>
          <w:sz w:val="20"/>
          <w:szCs w:val="20"/>
        </w:rPr>
        <w:t xml:space="preserve">  </w:t>
      </w:r>
      <w:r>
        <w:rPr>
          <w:rFonts w:ascii="SimSun" w:hAnsi="SimSun" w:eastAsia="SimSun" w:cs="SimSun"/>
          <w:sz w:val="20"/>
          <w:szCs w:val="20"/>
        </w:rPr>
        <w:t>的收集、存储，通过不断挖掘数据价值，推动平台经济高速发展。市  </w:t>
      </w:r>
      <w:r>
        <w:rPr>
          <w:rFonts w:ascii="SimSun" w:hAnsi="SimSun" w:eastAsia="SimSun" w:cs="SimSun"/>
          <w:sz w:val="20"/>
          <w:szCs w:val="20"/>
        </w:rPr>
        <w:t>场的趋利性使得平台企业越发重视数据的权属问</w:t>
      </w:r>
      <w:r>
        <w:rPr>
          <w:rFonts w:ascii="SimSun" w:hAnsi="SimSun" w:eastAsia="SimSun" w:cs="SimSun"/>
          <w:sz w:val="20"/>
          <w:szCs w:val="20"/>
          <w:spacing w:val="-1"/>
        </w:rPr>
        <w:t>题，纷纷主张对所收</w:t>
      </w:r>
      <w:r>
        <w:rPr>
          <w:rFonts w:ascii="SimSun" w:hAnsi="SimSun" w:eastAsia="SimSun" w:cs="SimSun"/>
          <w:sz w:val="20"/>
          <w:szCs w:val="20"/>
        </w:rPr>
        <w:t xml:space="preserve">  </w:t>
      </w:r>
      <w:r>
        <w:rPr>
          <w:rFonts w:ascii="SimSun" w:hAnsi="SimSun" w:eastAsia="SimSun" w:cs="SimSun"/>
          <w:sz w:val="20"/>
          <w:szCs w:val="20"/>
        </w:rPr>
        <w:t>集、存储的数据具有所有权。典型如新浪微博与</w:t>
      </w:r>
      <w:r>
        <w:rPr>
          <w:rFonts w:ascii="SimSun" w:hAnsi="SimSun" w:eastAsia="SimSun" w:cs="SimSun"/>
          <w:sz w:val="20"/>
          <w:szCs w:val="20"/>
          <w:spacing w:val="-1"/>
        </w:rPr>
        <w:t>今日头条之间的数据</w:t>
      </w:r>
      <w:r>
        <w:rPr>
          <w:rFonts w:ascii="SimSun" w:hAnsi="SimSun" w:eastAsia="SimSun" w:cs="SimSun"/>
          <w:sz w:val="20"/>
          <w:szCs w:val="20"/>
        </w:rPr>
        <w:t xml:space="preserve">  </w:t>
      </w:r>
      <w:r>
        <w:rPr>
          <w:rFonts w:ascii="SimSun" w:hAnsi="SimSun" w:eastAsia="SimSun" w:cs="SimSun"/>
          <w:sz w:val="20"/>
          <w:szCs w:val="20"/>
        </w:rPr>
        <w:t>抓取纠纷，新浪微博在用户极力反对的情况下仍</w:t>
      </w:r>
      <w:r>
        <w:rPr>
          <w:rFonts w:ascii="SimSun" w:hAnsi="SimSun" w:eastAsia="SimSun" w:cs="SimSun"/>
          <w:sz w:val="20"/>
          <w:szCs w:val="20"/>
          <w:spacing w:val="-1"/>
        </w:rPr>
        <w:t>变相承认对数据的所</w:t>
      </w:r>
      <w:r>
        <w:rPr>
          <w:rFonts w:ascii="SimSun" w:hAnsi="SimSun" w:eastAsia="SimSun" w:cs="SimSun"/>
          <w:sz w:val="20"/>
          <w:szCs w:val="20"/>
        </w:rPr>
        <w:t xml:space="preserve">  </w:t>
      </w:r>
      <w:r>
        <w:rPr>
          <w:rFonts w:ascii="SimSun" w:hAnsi="SimSun" w:eastAsia="SimSun" w:cs="SimSun"/>
          <w:sz w:val="20"/>
          <w:szCs w:val="20"/>
        </w:rPr>
        <w:t>有权，强调未经新浪微博同意，用户不能自行</w:t>
      </w:r>
      <w:r>
        <w:rPr>
          <w:rFonts w:ascii="SimSun" w:hAnsi="SimSun" w:eastAsia="SimSun" w:cs="SimSun"/>
          <w:sz w:val="20"/>
          <w:szCs w:val="20"/>
          <w:spacing w:val="-1"/>
        </w:rPr>
        <w:t>授权第三方获取微博上</w:t>
      </w:r>
      <w:r>
        <w:rPr>
          <w:rFonts w:ascii="SimSun" w:hAnsi="SimSun" w:eastAsia="SimSun" w:cs="SimSun"/>
          <w:sz w:val="20"/>
          <w:szCs w:val="20"/>
        </w:rPr>
        <w:t xml:space="preserve">  </w:t>
      </w:r>
      <w:r>
        <w:rPr>
          <w:rFonts w:ascii="SimSun" w:hAnsi="SimSun" w:eastAsia="SimSun" w:cs="SimSun"/>
          <w:sz w:val="20"/>
          <w:szCs w:val="20"/>
        </w:rPr>
        <w:t>的个人数据。②此种观点实际上承认了平台用户数据权属为实</w:t>
      </w:r>
      <w:r>
        <w:rPr>
          <w:rFonts w:ascii="SimSun" w:hAnsi="SimSun" w:eastAsia="SimSun" w:cs="SimSun"/>
          <w:sz w:val="20"/>
          <w:szCs w:val="20"/>
          <w:spacing w:val="-1"/>
        </w:rPr>
        <w:t>行存储</w:t>
      </w:r>
      <w:r>
        <w:rPr>
          <w:rFonts w:ascii="SimSun" w:hAnsi="SimSun" w:eastAsia="SimSun" w:cs="SimSun"/>
          <w:sz w:val="20"/>
          <w:szCs w:val="20"/>
        </w:rPr>
        <w:t xml:space="preserve">  </w:t>
      </w:r>
      <w:r>
        <w:rPr>
          <w:rFonts w:ascii="SimSun" w:hAnsi="SimSun" w:eastAsia="SimSun" w:cs="SimSun"/>
          <w:sz w:val="20"/>
          <w:szCs w:val="20"/>
          <w:spacing w:val="-1"/>
        </w:rPr>
        <w:t>行为的主体享有，完全忽视了个人信息主体的数据合法权属。①数据</w:t>
      </w:r>
    </w:p>
    <w:p>
      <w:pPr>
        <w:pStyle w:val="BodyText"/>
        <w:spacing w:line="342" w:lineRule="auto"/>
        <w:rPr/>
      </w:pPr>
      <w:r/>
    </w:p>
    <w:p>
      <w:pPr>
        <w:ind w:left="350" w:right="121" w:hanging="350"/>
        <w:spacing w:before="65" w:line="239" w:lineRule="auto"/>
        <w:rPr>
          <w:rFonts w:ascii="SimSun" w:hAnsi="SimSun" w:eastAsia="SimSun" w:cs="SimSun"/>
          <w:sz w:val="20"/>
          <w:szCs w:val="20"/>
        </w:rPr>
      </w:pPr>
      <w:r>
        <w:rPr>
          <w:rFonts w:ascii="SimSun" w:hAnsi="SimSun" w:eastAsia="SimSun" w:cs="SimSun"/>
          <w:sz w:val="20"/>
          <w:szCs w:val="20"/>
          <w:spacing w:val="-20"/>
          <w:w w:val="96"/>
        </w:rPr>
        <w:t>①</w:t>
      </w:r>
      <w:r>
        <w:rPr>
          <w:rFonts w:ascii="SimSun" w:hAnsi="SimSun" w:eastAsia="SimSun" w:cs="SimSun"/>
          <w:sz w:val="20"/>
          <w:szCs w:val="20"/>
          <w:spacing w:val="25"/>
        </w:rPr>
        <w:t xml:space="preserve"> </w:t>
      </w:r>
      <w:r>
        <w:rPr>
          <w:rFonts w:ascii="KaiTi" w:hAnsi="KaiTi" w:eastAsia="KaiTi" w:cs="KaiTi"/>
          <w:sz w:val="20"/>
          <w:szCs w:val="20"/>
          <w:spacing w:val="-20"/>
          <w:w w:val="96"/>
        </w:rPr>
        <w:t>戚聿东，刘欢欢.数字平台的数据风险及其规制.东</w:t>
      </w:r>
      <w:r>
        <w:rPr>
          <w:rFonts w:ascii="KaiTi" w:hAnsi="KaiTi" w:eastAsia="KaiTi" w:cs="KaiTi"/>
          <w:sz w:val="20"/>
          <w:szCs w:val="20"/>
          <w:spacing w:val="-21"/>
          <w:w w:val="96"/>
        </w:rPr>
        <w:t>北财经大学学报，2021(6)</w:t>
      </w:r>
      <w:r>
        <w:rPr>
          <w:rFonts w:ascii="Times New Roman" w:hAnsi="Times New Roman" w:eastAsia="Times New Roman" w:cs="Times New Roman"/>
          <w:sz w:val="20"/>
          <w:szCs w:val="20"/>
          <w:spacing w:val="-21"/>
          <w:w w:val="96"/>
        </w:rPr>
        <w:t>:</w:t>
      </w:r>
      <w:r>
        <w:rPr>
          <w:rFonts w:ascii="Times New Roman" w:hAnsi="Times New Roman" w:eastAsia="Times New Roman" w:cs="Times New Roman"/>
          <w:sz w:val="20"/>
          <w:szCs w:val="20"/>
        </w:rPr>
        <w:t xml:space="preserve"> </w:t>
      </w:r>
      <w:r>
        <w:rPr>
          <w:rFonts w:ascii="SimSun" w:hAnsi="SimSun" w:eastAsia="SimSun" w:cs="SimSun"/>
          <w:sz w:val="20"/>
          <w:szCs w:val="20"/>
          <w:spacing w:val="-14"/>
        </w:rPr>
        <w:t>76-87.</w:t>
      </w:r>
    </w:p>
    <w:p>
      <w:pPr>
        <w:spacing w:before="17" w:line="212" w:lineRule="auto"/>
        <w:rPr>
          <w:rFonts w:ascii="Times New Roman" w:hAnsi="Times New Roman" w:eastAsia="Times New Roman" w:cs="Times New Roman"/>
          <w:sz w:val="20"/>
          <w:szCs w:val="20"/>
        </w:rPr>
      </w:pPr>
      <w:r>
        <w:rPr>
          <w:rFonts w:ascii="KaiTi" w:hAnsi="KaiTi" w:eastAsia="KaiTi" w:cs="KaiTi"/>
          <w:sz w:val="20"/>
          <w:szCs w:val="20"/>
          <w:spacing w:val="-18"/>
          <w:w w:val="97"/>
        </w:rPr>
        <w:t>②</w:t>
      </w:r>
      <w:r>
        <w:rPr>
          <w:rFonts w:ascii="KaiTi" w:hAnsi="KaiTi" w:eastAsia="KaiTi" w:cs="KaiTi"/>
          <w:sz w:val="20"/>
          <w:szCs w:val="20"/>
          <w:spacing w:val="56"/>
        </w:rPr>
        <w:t xml:space="preserve"> </w:t>
      </w:r>
      <w:r>
        <w:rPr>
          <w:rFonts w:ascii="KaiTi" w:hAnsi="KaiTi" w:eastAsia="KaiTi" w:cs="KaiTi"/>
          <w:sz w:val="20"/>
          <w:szCs w:val="20"/>
          <w:spacing w:val="-18"/>
          <w:w w:val="97"/>
        </w:rPr>
        <w:t>黄镨.大数据时代个人数据权属的配置规则.法学杂志，2021(1</w:t>
      </w:r>
      <w:r>
        <w:rPr>
          <w:rFonts w:ascii="Times New Roman" w:hAnsi="Times New Roman" w:eastAsia="Times New Roman" w:cs="Times New Roman"/>
          <w:sz w:val="20"/>
          <w:szCs w:val="20"/>
          <w:spacing w:val="-18"/>
          <w:w w:val="97"/>
        </w:rPr>
        <w:t>):99-110.</w:t>
      </w:r>
    </w:p>
    <w:p>
      <w:pPr>
        <w:ind w:left="399" w:right="113" w:hanging="399"/>
        <w:spacing w:before="79" w:line="233" w:lineRule="auto"/>
        <w:rPr>
          <w:rFonts w:ascii="KaiTi" w:hAnsi="KaiTi" w:eastAsia="KaiTi" w:cs="KaiTi"/>
          <w:sz w:val="20"/>
          <w:szCs w:val="20"/>
        </w:rPr>
      </w:pPr>
      <w:r>
        <w:rPr>
          <w:rFonts w:ascii="KaiTi" w:hAnsi="KaiTi" w:eastAsia="KaiTi" w:cs="KaiTi"/>
          <w:sz w:val="20"/>
          <w:szCs w:val="20"/>
          <w:spacing w:val="-16"/>
          <w:w w:val="91"/>
        </w:rPr>
        <w:t>③</w:t>
      </w:r>
      <w:r>
        <w:rPr>
          <w:rFonts w:ascii="KaiTi" w:hAnsi="KaiTi" w:eastAsia="KaiTi" w:cs="KaiTi"/>
          <w:sz w:val="20"/>
          <w:szCs w:val="20"/>
          <w:spacing w:val="34"/>
        </w:rPr>
        <w:t xml:space="preserve"> </w:t>
      </w:r>
      <w:r>
        <w:rPr>
          <w:rFonts w:ascii="KaiTi" w:hAnsi="KaiTi" w:eastAsia="KaiTi" w:cs="KaiTi"/>
          <w:sz w:val="20"/>
          <w:szCs w:val="20"/>
          <w:spacing w:val="-16"/>
          <w:w w:val="91"/>
        </w:rPr>
        <w:t>丁晓东.数据到底属于谁?——从网络爬虫看平台数据权属与数</w:t>
      </w:r>
      <w:r>
        <w:rPr>
          <w:rFonts w:ascii="KaiTi" w:hAnsi="KaiTi" w:eastAsia="KaiTi" w:cs="KaiTi"/>
          <w:sz w:val="20"/>
          <w:szCs w:val="20"/>
          <w:spacing w:val="-17"/>
          <w:w w:val="91"/>
        </w:rPr>
        <w:t>据保护.华东政法</w:t>
      </w:r>
      <w:r>
        <w:rPr>
          <w:rFonts w:ascii="KaiTi" w:hAnsi="KaiTi" w:eastAsia="KaiTi" w:cs="KaiTi"/>
          <w:sz w:val="20"/>
          <w:szCs w:val="20"/>
        </w:rPr>
        <w:t xml:space="preserve"> </w:t>
      </w:r>
      <w:r>
        <w:rPr>
          <w:rFonts w:ascii="KaiTi" w:hAnsi="KaiTi" w:eastAsia="KaiTi" w:cs="KaiTi"/>
          <w:sz w:val="20"/>
          <w:szCs w:val="20"/>
          <w:spacing w:val="-15"/>
        </w:rPr>
        <w:t>大学学报，2019(5):69-83.</w:t>
      </w:r>
    </w:p>
    <w:p>
      <w:pPr>
        <w:spacing w:line="233" w:lineRule="auto"/>
        <w:sectPr>
          <w:headerReference w:type="default" r:id="rId1"/>
          <w:pgSz w:w="7330" w:h="12480"/>
          <w:pgMar w:top="326" w:right="340" w:bottom="400" w:left="879" w:header="0" w:footer="0" w:gutter="0"/>
        </w:sectPr>
        <w:rPr>
          <w:rFonts w:ascii="KaiTi" w:hAnsi="KaiTi" w:eastAsia="KaiTi" w:cs="KaiTi"/>
          <w:sz w:val="20"/>
          <w:szCs w:val="20"/>
        </w:rPr>
      </w:pPr>
    </w:p>
    <w:p>
      <w:pPr>
        <w:ind w:left="1622"/>
        <w:spacing w:before="253" w:line="221" w:lineRule="auto"/>
        <w:rPr>
          <w:rFonts w:ascii="SimSun" w:hAnsi="SimSun" w:eastAsia="SimSun" w:cs="SimSun"/>
          <w:sz w:val="12"/>
          <w:szCs w:val="12"/>
        </w:rPr>
      </w:pPr>
      <w:r>
        <w:drawing>
          <wp:anchor distT="0" distB="0" distL="0" distR="0" simplePos="0" relativeHeight="255338496" behindDoc="0" locked="0" layoutInCell="0" allowOverlap="1">
            <wp:simplePos x="0" y="0"/>
            <wp:positionH relativeFrom="page">
              <wp:posOffset>209547</wp:posOffset>
            </wp:positionH>
            <wp:positionV relativeFrom="page">
              <wp:posOffset>6013417</wp:posOffset>
            </wp:positionV>
            <wp:extent cx="1174761" cy="6418"/>
            <wp:effectExtent l="0" t="0" r="0" b="0"/>
            <wp:wrapNone/>
            <wp:docPr id="288" name="IM 288"/>
            <wp:cNvGraphicFramePr/>
            <a:graphic>
              <a:graphicData uri="http://schemas.openxmlformats.org/drawingml/2006/picture">
                <pic:pic>
                  <pic:nvPicPr>
                    <pic:cNvPr id="288" name="IM 288"/>
                    <pic:cNvPicPr/>
                  </pic:nvPicPr>
                  <pic:blipFill>
                    <a:blip r:embed="rId427"/>
                    <a:stretch>
                      <a:fillRect/>
                    </a:stretch>
                  </pic:blipFill>
                  <pic:spPr>
                    <a:xfrm rot="0">
                      <a:off x="0" y="0"/>
                      <a:ext cx="1174761" cy="6418"/>
                    </a:xfrm>
                    <a:prstGeom prst="rect">
                      <a:avLst/>
                    </a:prstGeom>
                  </pic:spPr>
                </pic:pic>
              </a:graphicData>
            </a:graphic>
          </wp:anchor>
        </w:drawing>
      </w:r>
      <w:r>
        <w:rPr>
          <w:rFonts w:ascii="SimHei" w:hAnsi="SimHei" w:eastAsia="SimHei" w:cs="SimHei"/>
          <w:sz w:val="20"/>
          <w:szCs w:val="20"/>
          <w:b/>
          <w:bCs/>
          <w:spacing w:val="-19"/>
          <w:w w:val="86"/>
        </w:rPr>
        <w:t>第十章</w:t>
      </w:r>
      <w:r>
        <w:rPr>
          <w:rFonts w:ascii="SimHei" w:hAnsi="SimHei" w:eastAsia="SimHei" w:cs="SimHei"/>
          <w:sz w:val="20"/>
          <w:szCs w:val="20"/>
          <w:spacing w:val="-19"/>
          <w:w w:val="86"/>
        </w:rPr>
        <w:t xml:space="preserve">  </w:t>
      </w:r>
      <w:r>
        <w:rPr>
          <w:rFonts w:ascii="SimHei" w:hAnsi="SimHei" w:eastAsia="SimHei" w:cs="SimHei"/>
          <w:sz w:val="20"/>
          <w:szCs w:val="20"/>
          <w:b/>
          <w:bCs/>
          <w:spacing w:val="-19"/>
          <w:w w:val="86"/>
        </w:rPr>
        <w:t>平台创新治理的数据与算法维度</w:t>
      </w:r>
      <w:r>
        <w:rPr>
          <w:rFonts w:ascii="SimHei" w:hAnsi="SimHei" w:eastAsia="SimHei" w:cs="SimHei"/>
          <w:sz w:val="20"/>
          <w:szCs w:val="20"/>
          <w:spacing w:val="4"/>
        </w:rPr>
        <w:t xml:space="preserve">             </w:t>
      </w:r>
      <w:r>
        <w:rPr>
          <w:rFonts w:ascii="SimSun" w:hAnsi="SimSun" w:eastAsia="SimSun" w:cs="SimSun"/>
          <w:sz w:val="12"/>
          <w:szCs w:val="12"/>
          <w:spacing w:val="-2"/>
          <w:position w:val="-1"/>
        </w:rPr>
        <w:t>349</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ind w:right="37"/>
        <w:spacing w:before="65" w:line="274" w:lineRule="auto"/>
        <w:rPr>
          <w:rFonts w:ascii="SimSun" w:hAnsi="SimSun" w:eastAsia="SimSun" w:cs="SimSun"/>
          <w:sz w:val="20"/>
          <w:szCs w:val="20"/>
        </w:rPr>
      </w:pPr>
      <w:r>
        <w:rPr>
          <w:rFonts w:ascii="SimSun" w:hAnsi="SimSun" w:eastAsia="SimSun" w:cs="SimSun"/>
          <w:sz w:val="20"/>
          <w:szCs w:val="20"/>
        </w:rPr>
        <w:t>权属争议问题目前仍为学界争议焦点，如何具体</w:t>
      </w:r>
      <w:r>
        <w:rPr>
          <w:rFonts w:ascii="SimSun" w:hAnsi="SimSun" w:eastAsia="SimSun" w:cs="SimSun"/>
          <w:sz w:val="20"/>
          <w:szCs w:val="20"/>
          <w:spacing w:val="-1"/>
        </w:rPr>
        <w:t>确定其保护路径对推</w:t>
      </w:r>
      <w:r>
        <w:rPr>
          <w:rFonts w:ascii="SimSun" w:hAnsi="SimSun" w:eastAsia="SimSun" w:cs="SimSun"/>
          <w:sz w:val="20"/>
          <w:szCs w:val="20"/>
        </w:rPr>
        <w:t xml:space="preserve"> </w:t>
      </w:r>
      <w:r>
        <w:rPr>
          <w:rFonts w:ascii="SimSun" w:hAnsi="SimSun" w:eastAsia="SimSun" w:cs="SimSun"/>
          <w:sz w:val="20"/>
          <w:szCs w:val="20"/>
          <w:spacing w:val="-2"/>
        </w:rPr>
        <w:t>动数据流通利用、挖掘数据价值具有十分重要的意义。</w:t>
      </w:r>
    </w:p>
    <w:p>
      <w:pPr>
        <w:ind w:right="29"/>
        <w:spacing w:before="124" w:line="370" w:lineRule="exact"/>
        <w:jc w:val="right"/>
        <w:rPr>
          <w:rFonts w:ascii="SimSun" w:hAnsi="SimSun" w:eastAsia="SimSun" w:cs="SimSun"/>
          <w:sz w:val="20"/>
          <w:szCs w:val="20"/>
        </w:rPr>
      </w:pPr>
      <w:r>
        <w:rPr>
          <w:rFonts w:ascii="SimSun" w:hAnsi="SimSun" w:eastAsia="SimSun" w:cs="SimSun"/>
          <w:sz w:val="20"/>
          <w:szCs w:val="20"/>
          <w:spacing w:val="-1"/>
          <w:position w:val="12"/>
        </w:rPr>
        <w:t>我国现有研究对数据权属给出的方案包括知识产权保护路径、反</w:t>
      </w:r>
    </w:p>
    <w:p>
      <w:pPr>
        <w:spacing w:line="218" w:lineRule="auto"/>
        <w:rPr>
          <w:rFonts w:ascii="SimSun" w:hAnsi="SimSun" w:eastAsia="SimSun" w:cs="SimSun"/>
          <w:sz w:val="20"/>
          <w:szCs w:val="20"/>
        </w:rPr>
      </w:pPr>
      <w:r>
        <w:rPr>
          <w:rFonts w:ascii="SimSun" w:hAnsi="SimSun" w:eastAsia="SimSun" w:cs="SimSun"/>
          <w:sz w:val="20"/>
          <w:szCs w:val="20"/>
        </w:rPr>
        <w:t>不正当竞争法保护路径以及采取独立类型的</w:t>
      </w:r>
      <w:r>
        <w:rPr>
          <w:rFonts w:ascii="SimSun" w:hAnsi="SimSun" w:eastAsia="SimSun" w:cs="SimSun"/>
          <w:sz w:val="20"/>
          <w:szCs w:val="20"/>
          <w:spacing w:val="-1"/>
        </w:rPr>
        <w:t>信息财产权保护路径等。</w:t>
      </w:r>
    </w:p>
    <w:p>
      <w:pPr>
        <w:ind w:firstLine="409"/>
        <w:spacing w:before="113" w:line="324" w:lineRule="auto"/>
        <w:rPr>
          <w:rFonts w:ascii="SimSun" w:hAnsi="SimSun" w:eastAsia="SimSun" w:cs="SimSun"/>
          <w:sz w:val="20"/>
          <w:szCs w:val="20"/>
        </w:rPr>
      </w:pPr>
      <w:r>
        <w:rPr>
          <w:rFonts w:ascii="SimSun" w:hAnsi="SimSun" w:eastAsia="SimSun" w:cs="SimSun"/>
          <w:sz w:val="20"/>
          <w:szCs w:val="20"/>
          <w:spacing w:val="8"/>
        </w:rPr>
        <w:t>关于知识产权保护路径，持赞成态度的观点认为，因为“衍生</w:t>
      </w:r>
      <w:r>
        <w:rPr>
          <w:rFonts w:ascii="SimSun" w:hAnsi="SimSun" w:eastAsia="SimSun" w:cs="SimSun"/>
          <w:sz w:val="20"/>
          <w:szCs w:val="20"/>
          <w:spacing w:val="2"/>
        </w:rPr>
        <w:t xml:space="preserve"> </w:t>
      </w:r>
      <w:r>
        <w:rPr>
          <w:rFonts w:ascii="SimSun" w:hAnsi="SimSun" w:eastAsia="SimSun" w:cs="SimSun"/>
          <w:sz w:val="20"/>
          <w:szCs w:val="20"/>
        </w:rPr>
        <w:t>数据”的本质和所具备的无形、可复制等物</w:t>
      </w:r>
      <w:r>
        <w:rPr>
          <w:rFonts w:ascii="SimSun" w:hAnsi="SimSun" w:eastAsia="SimSun" w:cs="SimSun"/>
          <w:sz w:val="20"/>
          <w:szCs w:val="20"/>
          <w:spacing w:val="-1"/>
        </w:rPr>
        <w:t>理特点，其被认为是与知</w:t>
      </w:r>
      <w:r>
        <w:rPr>
          <w:rFonts w:ascii="SimSun" w:hAnsi="SimSun" w:eastAsia="SimSun" w:cs="SimSun"/>
          <w:sz w:val="20"/>
          <w:szCs w:val="20"/>
        </w:rPr>
        <w:t xml:space="preserve"> </w:t>
      </w:r>
      <w:r>
        <w:rPr>
          <w:rFonts w:ascii="SimSun" w:hAnsi="SimSun" w:eastAsia="SimSun" w:cs="SimSun"/>
          <w:sz w:val="20"/>
          <w:szCs w:val="20"/>
        </w:rPr>
        <w:t>识产权客体相同的智慧产物，可被视为“知</w:t>
      </w:r>
      <w:r>
        <w:rPr>
          <w:rFonts w:ascii="SimSun" w:hAnsi="SimSun" w:eastAsia="SimSun" w:cs="SimSun"/>
          <w:sz w:val="20"/>
          <w:szCs w:val="20"/>
          <w:spacing w:val="-1"/>
        </w:rPr>
        <w:t>识产品”。在相关规定出</w:t>
      </w:r>
      <w:r>
        <w:rPr>
          <w:rFonts w:ascii="SimSun" w:hAnsi="SimSun" w:eastAsia="SimSun" w:cs="SimSun"/>
          <w:sz w:val="20"/>
          <w:szCs w:val="20"/>
        </w:rPr>
        <w:t xml:space="preserve"> </w:t>
      </w:r>
      <w:r>
        <w:rPr>
          <w:rFonts w:ascii="SimSun" w:hAnsi="SimSun" w:eastAsia="SimSun" w:cs="SimSun"/>
          <w:sz w:val="20"/>
          <w:szCs w:val="20"/>
        </w:rPr>
        <w:t>台前，人们普遍认为经过数据产业者脱敏、分析处理的数据具</w:t>
      </w:r>
      <w:r>
        <w:rPr>
          <w:rFonts w:ascii="SimSun" w:hAnsi="SimSun" w:eastAsia="SimSun" w:cs="SimSun"/>
          <w:sz w:val="20"/>
          <w:szCs w:val="20"/>
          <w:spacing w:val="-1"/>
        </w:rPr>
        <w:t>有创造</w:t>
      </w:r>
      <w:r>
        <w:rPr>
          <w:rFonts w:ascii="SimSun" w:hAnsi="SimSun" w:eastAsia="SimSun" w:cs="SimSun"/>
          <w:sz w:val="20"/>
          <w:szCs w:val="20"/>
        </w:rPr>
        <w:t xml:space="preserve"> </w:t>
      </w:r>
      <w:r>
        <w:rPr>
          <w:rFonts w:ascii="SimSun" w:hAnsi="SimSun" w:eastAsia="SimSun" w:cs="SimSun"/>
          <w:sz w:val="20"/>
          <w:szCs w:val="20"/>
          <w:spacing w:val="1"/>
        </w:rPr>
        <w:t>性，数据产业者享有对其数据处理技术和处理结果的知识产权。①有</w:t>
      </w:r>
      <w:r>
        <w:rPr>
          <w:rFonts w:ascii="SimSun" w:hAnsi="SimSun" w:eastAsia="SimSun" w:cs="SimSun"/>
          <w:sz w:val="20"/>
          <w:szCs w:val="20"/>
        </w:rPr>
        <w:t xml:space="preserve"> </w:t>
      </w:r>
      <w:r>
        <w:rPr>
          <w:rFonts w:ascii="SimSun" w:hAnsi="SimSun" w:eastAsia="SimSun" w:cs="SimSun"/>
          <w:sz w:val="20"/>
          <w:szCs w:val="20"/>
          <w:spacing w:val="-1"/>
        </w:rPr>
        <w:t>学者鉴于目前对知识产权说的质疑，提出针对数据构建新型知识产权</w:t>
      </w:r>
      <w:r>
        <w:rPr>
          <w:rFonts w:ascii="SimSun" w:hAnsi="SimSun" w:eastAsia="SimSun" w:cs="SimSun"/>
          <w:sz w:val="20"/>
          <w:szCs w:val="20"/>
          <w:spacing w:val="17"/>
        </w:rPr>
        <w:t xml:space="preserve"> </w:t>
      </w:r>
      <w:r>
        <w:rPr>
          <w:rFonts w:ascii="SimSun" w:hAnsi="SimSun" w:eastAsia="SimSun" w:cs="SimSun"/>
          <w:sz w:val="20"/>
          <w:szCs w:val="20"/>
        </w:rPr>
        <w:t>的主张，认为“衍生数据”在物理特征层面与知识产权客体的特征相</w:t>
      </w:r>
      <w:r>
        <w:rPr>
          <w:rFonts w:ascii="SimSun" w:hAnsi="SimSun" w:eastAsia="SimSun" w:cs="SimSun"/>
          <w:sz w:val="20"/>
          <w:szCs w:val="20"/>
          <w:spacing w:val="5"/>
        </w:rPr>
        <w:t xml:space="preserve"> </w:t>
      </w:r>
      <w:r>
        <w:rPr>
          <w:rFonts w:ascii="SimSun" w:hAnsi="SimSun" w:eastAsia="SimSun" w:cs="SimSun"/>
          <w:sz w:val="20"/>
          <w:szCs w:val="20"/>
          <w:spacing w:val="-1"/>
        </w:rPr>
        <w:t>吻合，但不属于知识产权客体范围，因此提出通过法制化方式构建包</w:t>
      </w:r>
      <w:r>
        <w:rPr>
          <w:rFonts w:ascii="SimSun" w:hAnsi="SimSun" w:eastAsia="SimSun" w:cs="SimSun"/>
          <w:sz w:val="20"/>
          <w:szCs w:val="20"/>
          <w:spacing w:val="13"/>
        </w:rPr>
        <w:t xml:space="preserve"> </w:t>
      </w:r>
      <w:r>
        <w:rPr>
          <w:rFonts w:ascii="SimSun" w:hAnsi="SimSun" w:eastAsia="SimSun" w:cs="SimSun"/>
          <w:sz w:val="20"/>
          <w:szCs w:val="20"/>
        </w:rPr>
        <w:t>含标记权、存储权、使用权等具体权利的新型知</w:t>
      </w:r>
      <w:r>
        <w:rPr>
          <w:rFonts w:ascii="SimSun" w:hAnsi="SimSun" w:eastAsia="SimSun" w:cs="SimSun"/>
          <w:sz w:val="20"/>
          <w:szCs w:val="20"/>
          <w:spacing w:val="-1"/>
        </w:rPr>
        <w:t>识产权。②这被认为</w:t>
      </w:r>
      <w:r>
        <w:rPr>
          <w:rFonts w:ascii="SimSun" w:hAnsi="SimSun" w:eastAsia="SimSun" w:cs="SimSun"/>
          <w:sz w:val="20"/>
          <w:szCs w:val="20"/>
        </w:rPr>
        <w:t xml:space="preserve"> </w:t>
      </w:r>
      <w:r>
        <w:rPr>
          <w:rFonts w:ascii="SimSun" w:hAnsi="SimSun" w:eastAsia="SimSun" w:cs="SimSun"/>
          <w:sz w:val="20"/>
          <w:szCs w:val="20"/>
          <w:spacing w:val="-1"/>
        </w:rPr>
        <w:t>是对传统知识产权范围的拓展更新。③此种观点更多是从数据相关的</w:t>
      </w:r>
      <w:r>
        <w:rPr>
          <w:rFonts w:ascii="SimSun" w:hAnsi="SimSun" w:eastAsia="SimSun" w:cs="SimSun"/>
          <w:sz w:val="20"/>
          <w:szCs w:val="20"/>
          <w:spacing w:val="18"/>
        </w:rPr>
        <w:t xml:space="preserve"> </w:t>
      </w:r>
      <w:r>
        <w:rPr>
          <w:rFonts w:ascii="SimSun" w:hAnsi="SimSun" w:eastAsia="SimSun" w:cs="SimSun"/>
          <w:sz w:val="20"/>
          <w:szCs w:val="20"/>
        </w:rPr>
        <w:t>客体特征入手，探索构建新型知识产权的可</w:t>
      </w:r>
      <w:r>
        <w:rPr>
          <w:rFonts w:ascii="SimSun" w:hAnsi="SimSun" w:eastAsia="SimSun" w:cs="SimSun"/>
          <w:sz w:val="20"/>
          <w:szCs w:val="20"/>
          <w:spacing w:val="-1"/>
        </w:rPr>
        <w:t>能性，并通过知识产权的</w:t>
      </w:r>
      <w:r>
        <w:rPr>
          <w:rFonts w:ascii="SimSun" w:hAnsi="SimSun" w:eastAsia="SimSun" w:cs="SimSun"/>
          <w:sz w:val="20"/>
          <w:szCs w:val="20"/>
        </w:rPr>
        <w:t xml:space="preserve"> </w:t>
      </w:r>
      <w:r>
        <w:rPr>
          <w:rFonts w:ascii="SimSun" w:hAnsi="SimSun" w:eastAsia="SimSun" w:cs="SimSun"/>
          <w:sz w:val="20"/>
          <w:szCs w:val="20"/>
        </w:rPr>
        <w:t>保护路径对新型数据专有权予以规制。然而，</w:t>
      </w:r>
      <w:r>
        <w:rPr>
          <w:rFonts w:ascii="SimSun" w:hAnsi="SimSun" w:eastAsia="SimSun" w:cs="SimSun"/>
          <w:sz w:val="20"/>
          <w:szCs w:val="20"/>
          <w:spacing w:val="-1"/>
        </w:rPr>
        <w:t>对知识产权路径持质疑</w:t>
      </w:r>
      <w:r>
        <w:rPr>
          <w:rFonts w:ascii="SimSun" w:hAnsi="SimSun" w:eastAsia="SimSun" w:cs="SimSun"/>
          <w:sz w:val="20"/>
          <w:szCs w:val="20"/>
        </w:rPr>
        <w:t xml:space="preserve"> </w:t>
      </w:r>
      <w:r>
        <w:rPr>
          <w:rFonts w:ascii="SimSun" w:hAnsi="SimSun" w:eastAsia="SimSun" w:cs="SimSun"/>
          <w:sz w:val="20"/>
          <w:szCs w:val="20"/>
        </w:rPr>
        <w:t>态度的观点认为将数据信息列为知识产权客体并</w:t>
      </w:r>
      <w:r>
        <w:rPr>
          <w:rFonts w:ascii="SimSun" w:hAnsi="SimSun" w:eastAsia="SimSun" w:cs="SimSun"/>
          <w:sz w:val="20"/>
          <w:szCs w:val="20"/>
          <w:spacing w:val="-1"/>
        </w:rPr>
        <w:t>对其采取知识产权保</w:t>
      </w:r>
      <w:r>
        <w:rPr>
          <w:rFonts w:ascii="SimSun" w:hAnsi="SimSun" w:eastAsia="SimSun" w:cs="SimSun"/>
          <w:sz w:val="20"/>
          <w:szCs w:val="20"/>
        </w:rPr>
        <w:t xml:space="preserve"> </w:t>
      </w:r>
      <w:r>
        <w:rPr>
          <w:rFonts w:ascii="SimSun" w:hAnsi="SimSun" w:eastAsia="SimSun" w:cs="SimSun"/>
          <w:sz w:val="20"/>
          <w:szCs w:val="20"/>
          <w:spacing w:val="-2"/>
        </w:rPr>
        <w:t>护路径的做法不妥，这样做容易导致数据在立法定位上的</w:t>
      </w:r>
      <w:r>
        <w:rPr>
          <w:rFonts w:ascii="SimSun" w:hAnsi="SimSun" w:eastAsia="SimSun" w:cs="SimSun"/>
          <w:sz w:val="20"/>
          <w:szCs w:val="20"/>
          <w:spacing w:val="-3"/>
        </w:rPr>
        <w:t>冲突。④</w:t>
      </w:r>
    </w:p>
    <w:p>
      <w:pPr>
        <w:spacing w:before="137" w:line="360" w:lineRule="exact"/>
        <w:jc w:val="right"/>
        <w:rPr>
          <w:rFonts w:ascii="SimSun" w:hAnsi="SimSun" w:eastAsia="SimSun" w:cs="SimSun"/>
          <w:sz w:val="20"/>
          <w:szCs w:val="20"/>
        </w:rPr>
      </w:pPr>
      <w:r>
        <w:rPr>
          <w:rFonts w:ascii="SimSun" w:hAnsi="SimSun" w:eastAsia="SimSun" w:cs="SimSun"/>
          <w:sz w:val="20"/>
          <w:szCs w:val="20"/>
          <w:spacing w:val="1"/>
          <w:position w:val="12"/>
        </w:rPr>
        <w:t>关于反不正当竞争法的保护路径，其中反不</w:t>
      </w:r>
      <w:r>
        <w:rPr>
          <w:rFonts w:ascii="SimSun" w:hAnsi="SimSun" w:eastAsia="SimSun" w:cs="SimSun"/>
          <w:sz w:val="20"/>
          <w:szCs w:val="20"/>
          <w:position w:val="12"/>
        </w:rPr>
        <w:t>正当竞争法中的“一</w:t>
      </w:r>
    </w:p>
    <w:p>
      <w:pPr>
        <w:spacing w:before="1" w:line="219" w:lineRule="auto"/>
        <w:rPr>
          <w:rFonts w:ascii="SimSun" w:hAnsi="SimSun" w:eastAsia="SimSun" w:cs="SimSun"/>
          <w:sz w:val="20"/>
          <w:szCs w:val="20"/>
        </w:rPr>
      </w:pPr>
      <w:r>
        <w:rPr>
          <w:rFonts w:ascii="SimSun" w:hAnsi="SimSun" w:eastAsia="SimSun" w:cs="SimSun"/>
          <w:sz w:val="20"/>
          <w:szCs w:val="20"/>
          <w:spacing w:val="7"/>
        </w:rPr>
        <w:t>般条款”作为原则性规定，更多需要法官根据案件</w:t>
      </w:r>
      <w:r>
        <w:rPr>
          <w:rFonts w:ascii="SimSun" w:hAnsi="SimSun" w:eastAsia="SimSun" w:cs="SimSun"/>
          <w:sz w:val="20"/>
          <w:szCs w:val="20"/>
          <w:spacing w:val="6"/>
        </w:rPr>
        <w:t>具体情况予以适</w:t>
      </w:r>
    </w:p>
    <w:p>
      <w:pPr>
        <w:pStyle w:val="BodyText"/>
        <w:spacing w:line="263" w:lineRule="auto"/>
        <w:rPr/>
      </w:pPr>
      <w:r/>
    </w:p>
    <w:p>
      <w:pPr>
        <w:pStyle w:val="BodyText"/>
        <w:spacing w:line="263" w:lineRule="auto"/>
        <w:rPr/>
      </w:pPr>
      <w:r/>
    </w:p>
    <w:p>
      <w:pPr>
        <w:spacing w:before="65" w:line="220" w:lineRule="auto"/>
        <w:rPr>
          <w:rFonts w:ascii="KaiTi" w:hAnsi="KaiTi" w:eastAsia="KaiTi" w:cs="KaiTi"/>
          <w:sz w:val="20"/>
          <w:szCs w:val="20"/>
        </w:rPr>
      </w:pPr>
      <w:r>
        <w:rPr>
          <w:rFonts w:ascii="SimSun" w:hAnsi="SimSun" w:eastAsia="SimSun" w:cs="SimSun"/>
          <w:sz w:val="20"/>
          <w:szCs w:val="20"/>
          <w:spacing w:val="-19"/>
          <w:w w:val="97"/>
        </w:rPr>
        <w:t>①</w:t>
      </w:r>
      <w:r>
        <w:rPr>
          <w:rFonts w:ascii="SimSun" w:hAnsi="SimSun" w:eastAsia="SimSun" w:cs="SimSun"/>
          <w:sz w:val="20"/>
          <w:szCs w:val="20"/>
          <w:spacing w:val="72"/>
        </w:rPr>
        <w:t xml:space="preserve"> </w:t>
      </w:r>
      <w:r>
        <w:rPr>
          <w:rFonts w:ascii="SimSun" w:hAnsi="SimSun" w:eastAsia="SimSun" w:cs="SimSun"/>
          <w:sz w:val="20"/>
          <w:szCs w:val="20"/>
          <w:spacing w:val="-19"/>
          <w:w w:val="97"/>
        </w:rPr>
        <w:t>汤</w:t>
      </w:r>
      <w:r>
        <w:rPr>
          <w:rFonts w:ascii="KaiTi" w:hAnsi="KaiTi" w:eastAsia="KaiTi" w:cs="KaiTi"/>
          <w:sz w:val="20"/>
          <w:szCs w:val="20"/>
          <w:spacing w:val="-19"/>
          <w:w w:val="97"/>
        </w:rPr>
        <w:t>琪.大数据交易中的产权问题研究.图书与情报，2016(4):38-45.</w:t>
      </w:r>
    </w:p>
    <w:p>
      <w:pPr>
        <w:ind w:left="300" w:right="2" w:hanging="300"/>
        <w:spacing w:before="41" w:line="241" w:lineRule="auto"/>
        <w:rPr>
          <w:rFonts w:ascii="SimSun" w:hAnsi="SimSun" w:eastAsia="SimSun" w:cs="SimSun"/>
          <w:sz w:val="20"/>
          <w:szCs w:val="20"/>
        </w:rPr>
      </w:pPr>
      <w:r>
        <w:rPr>
          <w:rFonts w:ascii="KaiTi" w:hAnsi="KaiTi" w:eastAsia="KaiTi" w:cs="KaiTi"/>
          <w:sz w:val="20"/>
          <w:szCs w:val="20"/>
          <w:spacing w:val="-20"/>
          <w:w w:val="94"/>
        </w:rPr>
        <w:t>②</w:t>
      </w:r>
      <w:r>
        <w:rPr>
          <w:rFonts w:ascii="KaiTi" w:hAnsi="KaiTi" w:eastAsia="KaiTi" w:cs="KaiTi"/>
          <w:sz w:val="20"/>
          <w:szCs w:val="20"/>
          <w:spacing w:val="69"/>
        </w:rPr>
        <w:t xml:space="preserve"> </w:t>
      </w:r>
      <w:r>
        <w:rPr>
          <w:rFonts w:ascii="KaiTi" w:hAnsi="KaiTi" w:eastAsia="KaiTi" w:cs="KaiTi"/>
          <w:sz w:val="20"/>
          <w:szCs w:val="20"/>
          <w:spacing w:val="-20"/>
          <w:w w:val="94"/>
        </w:rPr>
        <w:t>陈俊华.大</w:t>
      </w:r>
      <w:r>
        <w:rPr>
          <w:rFonts w:ascii="KaiTi" w:hAnsi="KaiTi" w:eastAsia="KaiTi" w:cs="KaiTi"/>
          <w:sz w:val="20"/>
          <w:szCs w:val="20"/>
          <w:spacing w:val="-19"/>
          <w:w w:val="94"/>
        </w:rPr>
        <w:t>数据时代数据开放共享中的数据权利化问题研究.图书与情报，201</w:t>
      </w:r>
      <w:r>
        <w:rPr>
          <w:rFonts w:ascii="KaiTi" w:hAnsi="KaiTi" w:eastAsia="KaiTi" w:cs="KaiTi"/>
          <w:sz w:val="20"/>
          <w:szCs w:val="20"/>
          <w:spacing w:val="-13"/>
          <w:w w:val="94"/>
        </w:rPr>
        <w:t>8</w:t>
      </w:r>
      <w:r>
        <w:rPr>
          <w:rFonts w:ascii="KaiTi" w:hAnsi="KaiTi" w:eastAsia="KaiTi" w:cs="KaiTi"/>
          <w:sz w:val="20"/>
          <w:szCs w:val="20"/>
        </w:rPr>
        <w:t xml:space="preserve"> </w:t>
      </w:r>
      <w:r>
        <w:rPr>
          <w:rFonts w:ascii="SimSun" w:hAnsi="SimSun" w:eastAsia="SimSun" w:cs="SimSun"/>
          <w:sz w:val="20"/>
          <w:szCs w:val="20"/>
          <w:spacing w:val="-5"/>
        </w:rPr>
        <w:t>(4):25-34.</w:t>
      </w:r>
    </w:p>
    <w:p>
      <w:pPr>
        <w:ind w:left="300" w:right="2" w:hanging="300"/>
        <w:spacing w:before="29" w:line="236" w:lineRule="auto"/>
        <w:rPr>
          <w:rFonts w:ascii="SimSun" w:hAnsi="SimSun" w:eastAsia="SimSun" w:cs="SimSun"/>
          <w:sz w:val="20"/>
          <w:szCs w:val="20"/>
        </w:rPr>
      </w:pPr>
      <w:r>
        <w:rPr>
          <w:rFonts w:ascii="KaiTi" w:hAnsi="KaiTi" w:eastAsia="KaiTi" w:cs="KaiTi"/>
          <w:sz w:val="20"/>
          <w:szCs w:val="20"/>
          <w:spacing w:val="-20"/>
          <w:w w:val="95"/>
        </w:rPr>
        <w:t>③</w:t>
      </w:r>
      <w:r>
        <w:rPr>
          <w:rFonts w:ascii="KaiTi" w:hAnsi="KaiTi" w:eastAsia="KaiTi" w:cs="KaiTi"/>
          <w:sz w:val="20"/>
          <w:szCs w:val="20"/>
          <w:spacing w:val="56"/>
        </w:rPr>
        <w:t xml:space="preserve"> </w:t>
      </w:r>
      <w:r>
        <w:rPr>
          <w:rFonts w:ascii="KaiTi" w:hAnsi="KaiTi" w:eastAsia="KaiTi" w:cs="KaiTi"/>
          <w:sz w:val="20"/>
          <w:szCs w:val="20"/>
          <w:spacing w:val="-20"/>
          <w:w w:val="95"/>
        </w:rPr>
        <w:t>杨立新，陈</w:t>
      </w:r>
      <w:r>
        <w:rPr>
          <w:rFonts w:ascii="KaiTi" w:hAnsi="KaiTi" w:eastAsia="KaiTi" w:cs="KaiTi"/>
          <w:sz w:val="20"/>
          <w:szCs w:val="20"/>
          <w:spacing w:val="-19"/>
          <w:w w:val="95"/>
        </w:rPr>
        <w:t>小江.衍生数据是数据专有权的客体.中国社会科学报，2016-07-1</w:t>
      </w:r>
      <w:r>
        <w:rPr>
          <w:rFonts w:ascii="KaiTi" w:hAnsi="KaiTi" w:eastAsia="KaiTi" w:cs="KaiTi"/>
          <w:sz w:val="20"/>
          <w:szCs w:val="20"/>
          <w:spacing w:val="-13"/>
          <w:w w:val="95"/>
        </w:rPr>
        <w:t>3</w:t>
      </w:r>
      <w:r>
        <w:rPr>
          <w:rFonts w:ascii="KaiTi" w:hAnsi="KaiTi" w:eastAsia="KaiTi" w:cs="KaiTi"/>
          <w:sz w:val="20"/>
          <w:szCs w:val="20"/>
        </w:rPr>
        <w:t xml:space="preserve"> </w:t>
      </w:r>
      <w:r>
        <w:rPr>
          <w:rFonts w:ascii="SimSun" w:hAnsi="SimSun" w:eastAsia="SimSun" w:cs="SimSun"/>
          <w:sz w:val="20"/>
          <w:szCs w:val="20"/>
          <w:spacing w:val="-5"/>
        </w:rPr>
        <w:t>(005).</w:t>
      </w:r>
    </w:p>
    <w:p>
      <w:pPr>
        <w:ind w:left="300" w:right="8" w:hanging="300"/>
        <w:spacing w:before="52" w:line="239" w:lineRule="auto"/>
        <w:rPr>
          <w:rFonts w:ascii="KaiTi" w:hAnsi="KaiTi" w:eastAsia="KaiTi" w:cs="KaiTi"/>
          <w:sz w:val="20"/>
          <w:szCs w:val="20"/>
        </w:rPr>
      </w:pPr>
      <w:r>
        <w:rPr>
          <w:rFonts w:ascii="KaiTi" w:hAnsi="KaiTi" w:eastAsia="KaiTi" w:cs="KaiTi"/>
          <w:sz w:val="20"/>
          <w:szCs w:val="20"/>
          <w:spacing w:val="-12"/>
          <w:w w:val="90"/>
        </w:rPr>
        <w:t>④</w:t>
      </w:r>
      <w:r>
        <w:rPr>
          <w:rFonts w:ascii="KaiTi" w:hAnsi="KaiTi" w:eastAsia="KaiTi" w:cs="KaiTi"/>
          <w:sz w:val="20"/>
          <w:szCs w:val="20"/>
          <w:spacing w:val="53"/>
        </w:rPr>
        <w:t xml:space="preserve"> </w:t>
      </w:r>
      <w:r>
        <w:rPr>
          <w:rFonts w:ascii="KaiTi" w:hAnsi="KaiTi" w:eastAsia="KaiTi" w:cs="KaiTi"/>
          <w:sz w:val="20"/>
          <w:szCs w:val="20"/>
          <w:spacing w:val="-12"/>
          <w:w w:val="90"/>
        </w:rPr>
        <w:t>许可.数据保护的三重进路——评新浪微博诉脉脉不正当竞争案.上海大学学报</w:t>
      </w:r>
      <w:r>
        <w:rPr>
          <w:rFonts w:ascii="KaiTi" w:hAnsi="KaiTi" w:eastAsia="KaiTi" w:cs="KaiTi"/>
          <w:sz w:val="20"/>
          <w:szCs w:val="20"/>
        </w:rPr>
        <w:t xml:space="preserve"> </w:t>
      </w:r>
      <w:r>
        <w:rPr>
          <w:rFonts w:ascii="KaiTi" w:hAnsi="KaiTi" w:eastAsia="KaiTi" w:cs="KaiTi"/>
          <w:sz w:val="20"/>
          <w:szCs w:val="20"/>
          <w:spacing w:val="-10"/>
        </w:rPr>
        <w:t>(社会科学版),2017(6):15-2</w:t>
      </w:r>
      <w:r>
        <w:rPr>
          <w:rFonts w:ascii="KaiTi" w:hAnsi="KaiTi" w:eastAsia="KaiTi" w:cs="KaiTi"/>
          <w:sz w:val="20"/>
          <w:szCs w:val="20"/>
          <w:spacing w:val="-11"/>
        </w:rPr>
        <w:t>7.</w:t>
      </w:r>
    </w:p>
    <w:p>
      <w:pPr>
        <w:spacing w:line="239" w:lineRule="auto"/>
        <w:sectPr>
          <w:pgSz w:w="7330" w:h="12480"/>
          <w:pgMar w:top="400" w:right="969" w:bottom="400" w:left="329" w:header="0" w:footer="0" w:gutter="0"/>
        </w:sectPr>
        <w:rPr>
          <w:rFonts w:ascii="KaiTi" w:hAnsi="KaiTi" w:eastAsia="KaiTi" w:cs="KaiTi"/>
          <w:sz w:val="20"/>
          <w:szCs w:val="20"/>
        </w:rPr>
      </w:pPr>
    </w:p>
    <w:p>
      <w:pPr>
        <w:ind w:left="105"/>
        <w:spacing w:line="220" w:lineRule="auto"/>
        <w:rPr>
          <w:rFonts w:ascii="SimHei" w:hAnsi="SimHei" w:eastAsia="SimHei" w:cs="SimHei"/>
          <w:sz w:val="17"/>
          <w:szCs w:val="17"/>
        </w:rPr>
      </w:pPr>
      <w:r>
        <w:drawing>
          <wp:anchor distT="0" distB="0" distL="0" distR="0" simplePos="0" relativeHeight="255348736" behindDoc="0" locked="0" layoutInCell="0" allowOverlap="1">
            <wp:simplePos x="0" y="0"/>
            <wp:positionH relativeFrom="page">
              <wp:posOffset>533411</wp:posOffset>
            </wp:positionH>
            <wp:positionV relativeFrom="page">
              <wp:posOffset>5988052</wp:posOffset>
            </wp:positionV>
            <wp:extent cx="1187422" cy="6350"/>
            <wp:effectExtent l="0" t="0" r="0" b="0"/>
            <wp:wrapNone/>
            <wp:docPr id="290" name="IM 290"/>
            <wp:cNvGraphicFramePr/>
            <a:graphic>
              <a:graphicData uri="http://schemas.openxmlformats.org/drawingml/2006/picture">
                <pic:pic>
                  <pic:nvPicPr>
                    <pic:cNvPr id="290" name="IM 290"/>
                    <pic:cNvPicPr/>
                  </pic:nvPicPr>
                  <pic:blipFill>
                    <a:blip r:embed="rId428"/>
                    <a:stretch>
                      <a:fillRect/>
                    </a:stretch>
                  </pic:blipFill>
                  <pic:spPr>
                    <a:xfrm rot="0">
                      <a:off x="0" y="0"/>
                      <a:ext cx="1187422" cy="6350"/>
                    </a:xfrm>
                    <a:prstGeom prst="rect">
                      <a:avLst/>
                    </a:prstGeom>
                  </pic:spPr>
                </pic:pic>
              </a:graphicData>
            </a:graphic>
          </wp:anchor>
        </w:drawing>
      </w:r>
      <w:r>
        <w:rPr>
          <w:rFonts w:ascii="SimSun" w:hAnsi="SimSun" w:eastAsia="SimSun" w:cs="SimSun"/>
          <w:sz w:val="12"/>
          <w:szCs w:val="12"/>
          <w:spacing w:val="-8"/>
          <w:position w:val="-1"/>
        </w:rPr>
        <w:t>350                                </w:t>
      </w:r>
      <w:r>
        <w:rPr>
          <w:rFonts w:ascii="SimHei" w:hAnsi="SimHei" w:eastAsia="SimHei" w:cs="SimHei"/>
          <w:sz w:val="17"/>
          <w:szCs w:val="17"/>
          <w:b/>
          <w:bCs/>
          <w:spacing w:val="-8"/>
        </w:rPr>
        <w:t>平台经</w:t>
      </w:r>
      <w:r>
        <w:rPr>
          <w:rFonts w:ascii="SimHei" w:hAnsi="SimHei" w:eastAsia="SimHei" w:cs="SimHei"/>
          <w:sz w:val="17"/>
          <w:szCs w:val="17"/>
          <w:b/>
          <w:bCs/>
          <w:spacing w:val="-9"/>
        </w:rPr>
        <w:t>济——创新、治理与繁荣</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ind w:left="105"/>
        <w:spacing w:before="69" w:line="305" w:lineRule="auto"/>
        <w:jc w:val="both"/>
        <w:rPr>
          <w:rFonts w:ascii="SimSun" w:hAnsi="SimSun" w:eastAsia="SimSun" w:cs="SimSun"/>
          <w:sz w:val="21"/>
          <w:szCs w:val="21"/>
        </w:rPr>
      </w:pPr>
      <w:r>
        <w:rPr>
          <w:rFonts w:ascii="SimSun" w:hAnsi="SimSun" w:eastAsia="SimSun" w:cs="SimSun"/>
          <w:sz w:val="21"/>
          <w:szCs w:val="21"/>
          <w:spacing w:val="-13"/>
        </w:rPr>
        <w:t>用：</w:t>
      </w:r>
      <w:r>
        <w:rPr>
          <w:rFonts w:ascii="SimSun" w:hAnsi="SimSun" w:eastAsia="SimSun" w:cs="SimSun"/>
          <w:sz w:val="21"/>
          <w:szCs w:val="21"/>
          <w:spacing w:val="-33"/>
        </w:rPr>
        <w:t xml:space="preserve"> </w:t>
      </w:r>
      <w:r>
        <w:rPr>
          <w:rFonts w:ascii="SimSun" w:hAnsi="SimSun" w:eastAsia="SimSun" w:cs="SimSun"/>
          <w:sz w:val="21"/>
          <w:szCs w:val="21"/>
          <w:spacing w:val="-13"/>
        </w:rPr>
        <w:t>一方面，规定的原则性使得法官需要耗费大量的司法资源对案情 </w:t>
      </w:r>
      <w:r>
        <w:rPr>
          <w:rFonts w:ascii="SimSun" w:hAnsi="SimSun" w:eastAsia="SimSun" w:cs="SimSun"/>
          <w:sz w:val="21"/>
          <w:szCs w:val="21"/>
          <w:spacing w:val="-11"/>
        </w:rPr>
        <w:t>予以适用；另一方面，抽象的规定需要更多地依赖法官的内心自我确 </w:t>
      </w:r>
      <w:r>
        <w:rPr>
          <w:rFonts w:ascii="SimSun" w:hAnsi="SimSun" w:eastAsia="SimSun" w:cs="SimSun"/>
          <w:sz w:val="21"/>
          <w:szCs w:val="21"/>
          <w:spacing w:val="-11"/>
        </w:rPr>
        <w:t>信，适用存在较强的主观性。与“一般条款”不同的是，商业秘密保 </w:t>
      </w:r>
      <w:r>
        <w:rPr>
          <w:rFonts w:ascii="SimSun" w:hAnsi="SimSun" w:eastAsia="SimSun" w:cs="SimSun"/>
          <w:sz w:val="21"/>
          <w:szCs w:val="21"/>
          <w:spacing w:val="-11"/>
        </w:rPr>
        <w:t>护规定较为明确、具体，能很好地对实务起到指引作</w:t>
      </w:r>
      <w:r>
        <w:rPr>
          <w:rFonts w:ascii="SimSun" w:hAnsi="SimSun" w:eastAsia="SimSun" w:cs="SimSun"/>
          <w:sz w:val="21"/>
          <w:szCs w:val="21"/>
          <w:spacing w:val="-12"/>
        </w:rPr>
        <w:t>用，加强对权利</w:t>
      </w:r>
      <w:r>
        <w:rPr>
          <w:rFonts w:ascii="SimSun" w:hAnsi="SimSun" w:eastAsia="SimSun" w:cs="SimSun"/>
          <w:sz w:val="21"/>
          <w:szCs w:val="21"/>
        </w:rPr>
        <w:t xml:space="preserve">  </w:t>
      </w:r>
      <w:r>
        <w:rPr>
          <w:rFonts w:ascii="SimSun" w:hAnsi="SimSun" w:eastAsia="SimSun" w:cs="SimSun"/>
          <w:sz w:val="21"/>
          <w:szCs w:val="21"/>
          <w:spacing w:val="-11"/>
        </w:rPr>
        <w:t>人的保护。①但持反对意见的观点认为，商业秘密保护所要求的秘密 </w:t>
      </w:r>
      <w:r>
        <w:rPr>
          <w:rFonts w:ascii="SimSun" w:hAnsi="SimSun" w:eastAsia="SimSun" w:cs="SimSun"/>
          <w:sz w:val="21"/>
          <w:szCs w:val="21"/>
          <w:spacing w:val="-11"/>
        </w:rPr>
        <w:t>性与实现数据价值的流通性存在本质上的冲突，采取商业秘密保护难 </w:t>
      </w:r>
      <w:r>
        <w:rPr>
          <w:rFonts w:ascii="SimSun" w:hAnsi="SimSun" w:eastAsia="SimSun" w:cs="SimSun"/>
          <w:sz w:val="21"/>
          <w:szCs w:val="21"/>
          <w:spacing w:val="-8"/>
        </w:rPr>
        <w:t>以适应大数据自由流动的需求，甚至会阻碍数据的流通</w:t>
      </w:r>
      <w:r>
        <w:rPr>
          <w:rFonts w:ascii="SimSun" w:hAnsi="SimSun" w:eastAsia="SimSun" w:cs="SimSun"/>
          <w:sz w:val="21"/>
          <w:szCs w:val="21"/>
          <w:spacing w:val="-9"/>
        </w:rPr>
        <w:t>利用；另外，</w:t>
      </w:r>
      <w:r>
        <w:rPr>
          <w:rFonts w:ascii="SimSun" w:hAnsi="SimSun" w:eastAsia="SimSun" w:cs="SimSun"/>
          <w:sz w:val="21"/>
          <w:szCs w:val="21"/>
        </w:rPr>
        <w:t xml:space="preserve"> </w:t>
      </w:r>
      <w:r>
        <w:rPr>
          <w:rFonts w:ascii="SimSun" w:hAnsi="SimSun" w:eastAsia="SimSun" w:cs="SimSun"/>
          <w:sz w:val="21"/>
          <w:szCs w:val="21"/>
          <w:spacing w:val="-11"/>
        </w:rPr>
        <w:t>采取商业秘密保护的方式也与实际不符，针</w:t>
      </w:r>
      <w:r>
        <w:rPr>
          <w:rFonts w:ascii="SimSun" w:hAnsi="SimSun" w:eastAsia="SimSun" w:cs="SimSun"/>
          <w:sz w:val="21"/>
          <w:szCs w:val="21"/>
          <w:spacing w:val="-12"/>
        </w:rPr>
        <w:t>对海量的数据采取保护措</w:t>
      </w:r>
      <w:r>
        <w:rPr>
          <w:rFonts w:ascii="SimSun" w:hAnsi="SimSun" w:eastAsia="SimSun" w:cs="SimSun"/>
          <w:sz w:val="21"/>
          <w:szCs w:val="21"/>
        </w:rPr>
        <w:t xml:space="preserve">  </w:t>
      </w:r>
      <w:r>
        <w:rPr>
          <w:rFonts w:ascii="SimSun" w:hAnsi="SimSun" w:eastAsia="SimSun" w:cs="SimSun"/>
          <w:sz w:val="21"/>
          <w:szCs w:val="21"/>
          <w:spacing w:val="-12"/>
        </w:rPr>
        <w:t>施，无疑会对平台企业的技术适用以及经营成本提出挑战。②</w:t>
      </w:r>
    </w:p>
    <w:p>
      <w:pPr>
        <w:ind w:firstLine="415"/>
        <w:spacing w:before="115" w:line="302" w:lineRule="auto"/>
        <w:jc w:val="both"/>
        <w:rPr>
          <w:rFonts w:ascii="SimSun" w:hAnsi="SimSun" w:eastAsia="SimSun" w:cs="SimSun"/>
          <w:sz w:val="21"/>
          <w:szCs w:val="21"/>
        </w:rPr>
      </w:pPr>
      <w:r>
        <w:rPr>
          <w:rFonts w:ascii="SimSun" w:hAnsi="SimSun" w:eastAsia="SimSun" w:cs="SimSun"/>
          <w:sz w:val="21"/>
          <w:szCs w:val="21"/>
          <w:spacing w:val="-11"/>
        </w:rPr>
        <w:t>此外，有学者也否认了知识产权保护路径的可行性，提出了构建  </w:t>
      </w:r>
      <w:r>
        <w:rPr>
          <w:rFonts w:ascii="SimSun" w:hAnsi="SimSun" w:eastAsia="SimSun" w:cs="SimSun"/>
          <w:sz w:val="21"/>
          <w:szCs w:val="21"/>
          <w:spacing w:val="-7"/>
        </w:rPr>
        <w:t>“企业新型数据财产权”的做法，认为应通过法律</w:t>
      </w:r>
      <w:r>
        <w:rPr>
          <w:rFonts w:ascii="SimSun" w:hAnsi="SimSun" w:eastAsia="SimSun" w:cs="SimSun"/>
          <w:sz w:val="21"/>
          <w:szCs w:val="21"/>
          <w:spacing w:val="-8"/>
        </w:rPr>
        <w:t>规定赋予企业对数 </w:t>
      </w:r>
      <w:r>
        <w:rPr>
          <w:rFonts w:ascii="SimSun" w:hAnsi="SimSun" w:eastAsia="SimSun" w:cs="SimSun"/>
          <w:sz w:val="21"/>
          <w:szCs w:val="21"/>
          <w:spacing w:val="-7"/>
        </w:rPr>
        <w:t>据产品的相关权利，以此对企业数据予以充分保护。③亦有学者提出</w:t>
      </w:r>
      <w:r>
        <w:rPr>
          <w:rFonts w:ascii="SimSun" w:hAnsi="SimSun" w:eastAsia="SimSun" w:cs="SimSun"/>
          <w:sz w:val="21"/>
          <w:szCs w:val="21"/>
          <w:spacing w:val="8"/>
        </w:rPr>
        <w:t xml:space="preserve"> </w:t>
      </w:r>
      <w:r>
        <w:rPr>
          <w:rFonts w:ascii="SimSun" w:hAnsi="SimSun" w:eastAsia="SimSun" w:cs="SimSun"/>
          <w:sz w:val="21"/>
          <w:szCs w:val="21"/>
          <w:spacing w:val="-11"/>
        </w:rPr>
        <w:t>“新型数据财产权”的主张，认为数据经济的双</w:t>
      </w:r>
      <w:r>
        <w:rPr>
          <w:rFonts w:ascii="SimSun" w:hAnsi="SimSun" w:eastAsia="SimSun" w:cs="SimSun"/>
          <w:sz w:val="21"/>
          <w:szCs w:val="21"/>
          <w:spacing w:val="-12"/>
        </w:rPr>
        <w:t>向结构和动态发展性，</w:t>
      </w:r>
      <w:r>
        <w:rPr>
          <w:rFonts w:ascii="SimSun" w:hAnsi="SimSun" w:eastAsia="SimSun" w:cs="SimSun"/>
          <w:sz w:val="21"/>
          <w:szCs w:val="21"/>
        </w:rPr>
        <w:t xml:space="preserve"> </w:t>
      </w:r>
      <w:r>
        <w:rPr>
          <w:rFonts w:ascii="SimSun" w:hAnsi="SimSun" w:eastAsia="SimSun" w:cs="SimSun"/>
          <w:sz w:val="21"/>
          <w:szCs w:val="21"/>
          <w:spacing w:val="-7"/>
        </w:rPr>
        <w:t>使得各种权利在不同主体之间行使处于一种相互配</w:t>
      </w:r>
      <w:r>
        <w:rPr>
          <w:rFonts w:ascii="SimSun" w:hAnsi="SimSun" w:eastAsia="SimSun" w:cs="SimSun"/>
          <w:sz w:val="21"/>
          <w:szCs w:val="21"/>
          <w:spacing w:val="-8"/>
        </w:rPr>
        <w:t>合、相互限制的动 </w:t>
      </w:r>
      <w:r>
        <w:rPr>
          <w:rFonts w:ascii="SimSun" w:hAnsi="SimSun" w:eastAsia="SimSun" w:cs="SimSun"/>
          <w:sz w:val="21"/>
          <w:szCs w:val="21"/>
          <w:spacing w:val="-7"/>
        </w:rPr>
        <w:t>态体系关系之中，数据经营权、数据资产权应以个</w:t>
      </w:r>
      <w:r>
        <w:rPr>
          <w:rFonts w:ascii="SimSun" w:hAnsi="SimSun" w:eastAsia="SimSun" w:cs="SimSun"/>
          <w:sz w:val="21"/>
          <w:szCs w:val="21"/>
          <w:spacing w:val="-8"/>
        </w:rPr>
        <w:t>人信息权为基础和 </w:t>
      </w:r>
      <w:r>
        <w:rPr>
          <w:rFonts w:ascii="SimSun" w:hAnsi="SimSun" w:eastAsia="SimSun" w:cs="SimSun"/>
          <w:sz w:val="21"/>
          <w:szCs w:val="21"/>
          <w:spacing w:val="-4"/>
        </w:rPr>
        <w:t>前提。④</w:t>
      </w:r>
    </w:p>
    <w:p>
      <w:pPr>
        <w:ind w:left="105" w:right="69" w:firstLine="310"/>
        <w:spacing w:before="113" w:line="286" w:lineRule="auto"/>
        <w:jc w:val="both"/>
        <w:rPr>
          <w:rFonts w:ascii="SimSun" w:hAnsi="SimSun" w:eastAsia="SimSun" w:cs="SimSun"/>
          <w:sz w:val="21"/>
          <w:szCs w:val="21"/>
        </w:rPr>
      </w:pPr>
      <w:r>
        <w:rPr>
          <w:rFonts w:ascii="SimSun" w:hAnsi="SimSun" w:eastAsia="SimSun" w:cs="SimSun"/>
          <w:sz w:val="21"/>
          <w:szCs w:val="21"/>
          <w:spacing w:val="-11"/>
        </w:rPr>
        <w:t>在平台数据的法律治理中，数据权属的不清晰容易导致权利主体</w:t>
      </w:r>
      <w:r>
        <w:rPr>
          <w:rFonts w:ascii="SimSun" w:hAnsi="SimSun" w:eastAsia="SimSun" w:cs="SimSun"/>
          <w:sz w:val="21"/>
          <w:szCs w:val="21"/>
          <w:spacing w:val="7"/>
        </w:rPr>
        <w:t xml:space="preserve">  </w:t>
      </w:r>
      <w:r>
        <w:rPr>
          <w:rFonts w:ascii="SimSun" w:hAnsi="SimSun" w:eastAsia="SimSun" w:cs="SimSun"/>
          <w:sz w:val="21"/>
          <w:szCs w:val="21"/>
          <w:spacing w:val="-11"/>
        </w:rPr>
        <w:t>和责任主体的模糊，无法确认相关主体则难以有效实现对数据权益的</w:t>
      </w:r>
      <w:r>
        <w:rPr>
          <w:rFonts w:ascii="SimSun" w:hAnsi="SimSun" w:eastAsia="SimSun" w:cs="SimSun"/>
          <w:sz w:val="21"/>
          <w:szCs w:val="21"/>
          <w:spacing w:val="14"/>
        </w:rPr>
        <w:t xml:space="preserve"> </w:t>
      </w:r>
      <w:r>
        <w:rPr>
          <w:rFonts w:ascii="SimSun" w:hAnsi="SimSun" w:eastAsia="SimSun" w:cs="SimSun"/>
          <w:sz w:val="21"/>
          <w:szCs w:val="21"/>
          <w:spacing w:val="-11"/>
        </w:rPr>
        <w:t>保护。对于平台来说，明晰数据权属，有利于实现数据资源利益的有</w:t>
      </w:r>
      <w:r>
        <w:rPr>
          <w:rFonts w:ascii="SimSun" w:hAnsi="SimSun" w:eastAsia="SimSun" w:cs="SimSun"/>
          <w:sz w:val="21"/>
          <w:szCs w:val="21"/>
          <w:spacing w:val="9"/>
        </w:rPr>
        <w:t xml:space="preserve"> </w:t>
      </w:r>
      <w:r>
        <w:rPr>
          <w:rFonts w:ascii="SimSun" w:hAnsi="SimSun" w:eastAsia="SimSun" w:cs="SimSun"/>
          <w:sz w:val="21"/>
          <w:szCs w:val="21"/>
          <w:spacing w:val="-11"/>
        </w:rPr>
        <w:t>效分配，加快数据生产要素流转。</w:t>
      </w:r>
    </w:p>
    <w:p>
      <w:pPr>
        <w:pStyle w:val="BodyText"/>
        <w:spacing w:line="287" w:lineRule="auto"/>
        <w:rPr/>
      </w:pPr>
      <w:r/>
    </w:p>
    <w:p>
      <w:pPr>
        <w:pStyle w:val="BodyText"/>
        <w:spacing w:line="287" w:lineRule="auto"/>
        <w:rPr/>
      </w:pPr>
      <w:r/>
    </w:p>
    <w:p>
      <w:pPr>
        <w:pStyle w:val="BodyText"/>
        <w:spacing w:line="288" w:lineRule="auto"/>
        <w:rPr/>
      </w:pPr>
      <w:r/>
    </w:p>
    <w:p>
      <w:pPr>
        <w:ind w:left="415" w:right="18" w:hanging="310"/>
        <w:spacing w:before="55" w:line="274" w:lineRule="auto"/>
        <w:rPr>
          <w:rFonts w:ascii="KaiTi" w:hAnsi="KaiTi" w:eastAsia="KaiTi" w:cs="KaiTi"/>
          <w:sz w:val="17"/>
          <w:szCs w:val="17"/>
        </w:rPr>
      </w:pPr>
      <w:r>
        <w:rPr>
          <w:rFonts w:ascii="KaiTi" w:hAnsi="KaiTi" w:eastAsia="KaiTi" w:cs="KaiTi"/>
          <w:sz w:val="17"/>
          <w:szCs w:val="17"/>
          <w:spacing w:val="-9"/>
        </w:rPr>
        <w:t>①</w:t>
      </w:r>
      <w:r>
        <w:rPr>
          <w:rFonts w:ascii="KaiTi" w:hAnsi="KaiTi" w:eastAsia="KaiTi" w:cs="KaiTi"/>
          <w:sz w:val="17"/>
          <w:szCs w:val="17"/>
          <w:spacing w:val="42"/>
        </w:rPr>
        <w:t xml:space="preserve"> </w:t>
      </w:r>
      <w:r>
        <w:rPr>
          <w:rFonts w:ascii="KaiTi" w:hAnsi="KaiTi" w:eastAsia="KaiTi" w:cs="KaiTi"/>
          <w:sz w:val="17"/>
          <w:szCs w:val="17"/>
          <w:spacing w:val="-9"/>
        </w:rPr>
        <w:t>杨雄文，黄苑辉，论大数据的商业秘密保</w:t>
      </w:r>
      <w:r>
        <w:rPr>
          <w:rFonts w:ascii="KaiTi" w:hAnsi="KaiTi" w:eastAsia="KaiTi" w:cs="KaiTi"/>
          <w:sz w:val="17"/>
          <w:szCs w:val="17"/>
          <w:spacing w:val="-10"/>
        </w:rPr>
        <w:t>护</w:t>
      </w:r>
      <w:r>
        <w:rPr>
          <w:rFonts w:ascii="KaiTi" w:hAnsi="KaiTi" w:eastAsia="KaiTi" w:cs="KaiTi"/>
          <w:sz w:val="17"/>
          <w:szCs w:val="17"/>
          <w:spacing w:val="-56"/>
        </w:rPr>
        <w:t xml:space="preserve"> </w:t>
      </w:r>
      <w:r>
        <w:rPr>
          <w:rFonts w:ascii="KaiTi" w:hAnsi="KaiTi" w:eastAsia="KaiTi" w:cs="KaiTi"/>
          <w:sz w:val="17"/>
          <w:szCs w:val="17"/>
          <w:u w:val="single" w:color="auto"/>
          <w:spacing w:val="15"/>
        </w:rPr>
        <w:t xml:space="preserve">    </w:t>
      </w:r>
      <w:r>
        <w:rPr>
          <w:rFonts w:ascii="KaiTi" w:hAnsi="KaiTi" w:eastAsia="KaiTi" w:cs="KaiTi"/>
          <w:sz w:val="17"/>
          <w:szCs w:val="17"/>
          <w:spacing w:val="-65"/>
        </w:rPr>
        <w:t xml:space="preserve"> </w:t>
      </w:r>
      <w:r>
        <w:rPr>
          <w:rFonts w:ascii="KaiTi" w:hAnsi="KaiTi" w:eastAsia="KaiTi" w:cs="KaiTi"/>
          <w:sz w:val="17"/>
          <w:szCs w:val="17"/>
          <w:spacing w:val="-10"/>
        </w:rPr>
        <w:t>以新浪微博诉脉脉不正当竞争案</w:t>
      </w:r>
      <w:r>
        <w:rPr>
          <w:rFonts w:ascii="KaiTi" w:hAnsi="KaiTi" w:eastAsia="KaiTi" w:cs="KaiTi"/>
          <w:sz w:val="17"/>
          <w:szCs w:val="17"/>
        </w:rPr>
        <w:t xml:space="preserve"> </w:t>
      </w:r>
      <w:r>
        <w:rPr>
          <w:rFonts w:ascii="KaiTi" w:hAnsi="KaiTi" w:eastAsia="KaiTi" w:cs="KaiTi"/>
          <w:sz w:val="17"/>
          <w:szCs w:val="17"/>
          <w:spacing w:val="5"/>
        </w:rPr>
        <w:t>为视角.重庆工商大学学报(社会科学版),</w:t>
      </w:r>
      <w:r>
        <w:rPr>
          <w:rFonts w:ascii="KaiTi" w:hAnsi="KaiTi" w:eastAsia="KaiTi" w:cs="KaiTi"/>
          <w:sz w:val="17"/>
          <w:szCs w:val="17"/>
          <w:spacing w:val="4"/>
        </w:rPr>
        <w:t>2019(4):137-144.</w:t>
      </w:r>
    </w:p>
    <w:p>
      <w:pPr>
        <w:ind w:left="415" w:right="28" w:hanging="310"/>
        <w:spacing w:before="65"/>
        <w:rPr>
          <w:rFonts w:ascii="SimSun" w:hAnsi="SimSun" w:eastAsia="SimSun" w:cs="SimSun"/>
          <w:sz w:val="21"/>
          <w:szCs w:val="21"/>
        </w:rPr>
      </w:pPr>
      <w:r>
        <w:rPr>
          <w:rFonts w:ascii="KaiTi" w:hAnsi="KaiTi" w:eastAsia="KaiTi" w:cs="KaiTi"/>
          <w:sz w:val="17"/>
          <w:szCs w:val="17"/>
          <w:spacing w:val="-6"/>
        </w:rPr>
        <w:t>②</w:t>
      </w:r>
      <w:r>
        <w:rPr>
          <w:rFonts w:ascii="KaiTi" w:hAnsi="KaiTi" w:eastAsia="KaiTi" w:cs="KaiTi"/>
          <w:sz w:val="17"/>
          <w:szCs w:val="17"/>
          <w:spacing w:val="62"/>
        </w:rPr>
        <w:t xml:space="preserve"> </w:t>
      </w:r>
      <w:r>
        <w:rPr>
          <w:rFonts w:ascii="KaiTi" w:hAnsi="KaiTi" w:eastAsia="KaiTi" w:cs="KaiTi"/>
          <w:sz w:val="17"/>
          <w:szCs w:val="17"/>
          <w:spacing w:val="-6"/>
        </w:rPr>
        <w:t>曹建峰.民法总则数据保护路径——概括式保护及与知识产权协调.</w:t>
      </w:r>
      <w:r>
        <w:rPr>
          <w:rFonts w:ascii="KaiTi" w:hAnsi="KaiTi" w:eastAsia="KaiTi" w:cs="KaiTi"/>
          <w:sz w:val="17"/>
          <w:szCs w:val="17"/>
          <w:spacing w:val="-7"/>
        </w:rPr>
        <w:t>大数据，2017</w:t>
      </w:r>
      <w:r>
        <w:rPr>
          <w:rFonts w:ascii="KaiTi" w:hAnsi="KaiTi" w:eastAsia="KaiTi" w:cs="KaiTi"/>
          <w:sz w:val="17"/>
          <w:szCs w:val="17"/>
        </w:rPr>
        <w:t xml:space="preserve"> </w:t>
      </w:r>
      <w:r>
        <w:rPr>
          <w:rFonts w:ascii="SimSun" w:hAnsi="SimSun" w:eastAsia="SimSun" w:cs="SimSun"/>
          <w:sz w:val="21"/>
          <w:szCs w:val="21"/>
          <w:spacing w:val="-4"/>
        </w:rPr>
        <w:t>(1):90-96.</w:t>
      </w:r>
    </w:p>
    <w:p>
      <w:pPr>
        <w:ind w:left="105" w:right="339"/>
        <w:spacing w:before="65" w:line="257" w:lineRule="auto"/>
        <w:rPr>
          <w:rFonts w:ascii="KaiTi" w:hAnsi="KaiTi" w:eastAsia="KaiTi" w:cs="KaiTi"/>
          <w:sz w:val="17"/>
          <w:szCs w:val="17"/>
        </w:rPr>
      </w:pPr>
      <w:r>
        <w:rPr>
          <w:rFonts w:ascii="KaiTi" w:hAnsi="KaiTi" w:eastAsia="KaiTi" w:cs="KaiTi"/>
          <w:sz w:val="17"/>
          <w:szCs w:val="17"/>
        </w:rPr>
        <w:t>③</w:t>
      </w:r>
      <w:r>
        <w:rPr>
          <w:rFonts w:ascii="KaiTi" w:hAnsi="KaiTi" w:eastAsia="KaiTi" w:cs="KaiTi"/>
          <w:sz w:val="17"/>
          <w:szCs w:val="17"/>
          <w:spacing w:val="32"/>
        </w:rPr>
        <w:t xml:space="preserve"> </w:t>
      </w:r>
      <w:r>
        <w:rPr>
          <w:rFonts w:ascii="KaiTi" w:hAnsi="KaiTi" w:eastAsia="KaiTi" w:cs="KaiTi"/>
          <w:sz w:val="17"/>
          <w:szCs w:val="17"/>
        </w:rPr>
        <w:t>徐实.企业数据保护的知识产权路径及其突破.东方法学，2</w:t>
      </w:r>
      <w:r>
        <w:rPr>
          <w:rFonts w:ascii="KaiTi" w:hAnsi="KaiTi" w:eastAsia="KaiTi" w:cs="KaiTi"/>
          <w:sz w:val="17"/>
          <w:szCs w:val="17"/>
          <w:spacing w:val="-1"/>
        </w:rPr>
        <w:t>018(5):55-62.</w:t>
      </w:r>
      <w:r>
        <w:rPr>
          <w:rFonts w:ascii="KaiTi" w:hAnsi="KaiTi" w:eastAsia="KaiTi" w:cs="KaiTi"/>
          <w:sz w:val="17"/>
          <w:szCs w:val="17"/>
        </w:rPr>
        <w:t xml:space="preserve"> </w:t>
      </w:r>
      <w:r>
        <w:rPr>
          <w:rFonts w:ascii="KaiTi" w:hAnsi="KaiTi" w:eastAsia="KaiTi" w:cs="KaiTi"/>
          <w:sz w:val="17"/>
          <w:szCs w:val="17"/>
        </w:rPr>
        <w:t>④</w:t>
      </w:r>
      <w:r>
        <w:rPr>
          <w:rFonts w:ascii="KaiTi" w:hAnsi="KaiTi" w:eastAsia="KaiTi" w:cs="KaiTi"/>
          <w:sz w:val="17"/>
          <w:szCs w:val="17"/>
          <w:spacing w:val="80"/>
        </w:rPr>
        <w:t xml:space="preserve"> </w:t>
      </w:r>
      <w:r>
        <w:rPr>
          <w:rFonts w:ascii="KaiTi" w:hAnsi="KaiTi" w:eastAsia="KaiTi" w:cs="KaiTi"/>
          <w:sz w:val="17"/>
          <w:szCs w:val="17"/>
        </w:rPr>
        <w:t>龙卫球.数据新型财产权构建及其体系研究.政法论坛，2017(4):63-77.</w:t>
      </w:r>
    </w:p>
    <w:p>
      <w:pPr>
        <w:spacing w:line="257" w:lineRule="auto"/>
        <w:sectPr>
          <w:pgSz w:w="7330" w:h="12480"/>
          <w:pgMar w:top="363" w:right="444" w:bottom="400" w:left="724" w:header="0" w:footer="0" w:gutter="0"/>
        </w:sectPr>
        <w:rPr>
          <w:rFonts w:ascii="KaiTi" w:hAnsi="KaiTi" w:eastAsia="KaiTi" w:cs="KaiTi"/>
          <w:sz w:val="17"/>
          <w:szCs w:val="17"/>
        </w:rPr>
      </w:pPr>
    </w:p>
    <w:p>
      <w:pPr>
        <w:ind w:left="1612"/>
        <w:spacing w:before="234" w:line="216" w:lineRule="auto"/>
        <w:rPr>
          <w:rFonts w:ascii="SimSun" w:hAnsi="SimSun" w:eastAsia="SimSun" w:cs="SimSun"/>
          <w:sz w:val="12"/>
          <w:szCs w:val="12"/>
        </w:rPr>
      </w:pPr>
      <w:r>
        <w:rPr>
          <w:rFonts w:ascii="SimHei" w:hAnsi="SimHei" w:eastAsia="SimHei" w:cs="SimHei"/>
          <w:sz w:val="20"/>
          <w:szCs w:val="20"/>
          <w:b/>
          <w:bCs/>
          <w:spacing w:val="-18"/>
          <w:w w:val="85"/>
        </w:rPr>
        <w:t>第十章</w:t>
      </w:r>
      <w:r>
        <w:rPr>
          <w:rFonts w:ascii="SimHei" w:hAnsi="SimHei" w:eastAsia="SimHei" w:cs="SimHei"/>
          <w:sz w:val="20"/>
          <w:szCs w:val="20"/>
          <w:spacing w:val="-18"/>
          <w:w w:val="85"/>
        </w:rPr>
        <w:t xml:space="preserve">  </w:t>
      </w:r>
      <w:r>
        <w:rPr>
          <w:rFonts w:ascii="SimHei" w:hAnsi="SimHei" w:eastAsia="SimHei" w:cs="SimHei"/>
          <w:sz w:val="20"/>
          <w:szCs w:val="20"/>
          <w:b/>
          <w:bCs/>
          <w:spacing w:val="-18"/>
          <w:w w:val="85"/>
        </w:rPr>
        <w:t>平台创新治理的数据与算法维度</w:t>
      </w:r>
      <w:r>
        <w:rPr>
          <w:rFonts w:ascii="SimHei" w:hAnsi="SimHei" w:eastAsia="SimHei" w:cs="SimHei"/>
          <w:sz w:val="20"/>
          <w:szCs w:val="20"/>
          <w:spacing w:val="5"/>
        </w:rPr>
        <w:t xml:space="preserve">             </w:t>
      </w:r>
      <w:r>
        <w:rPr>
          <w:rFonts w:ascii="SimSun" w:hAnsi="SimSun" w:eastAsia="SimSun" w:cs="SimSun"/>
          <w:sz w:val="12"/>
          <w:szCs w:val="12"/>
          <w:spacing w:val="1"/>
          <w:position w:val="-3"/>
        </w:rPr>
        <w:t>351</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left="412"/>
        <w:spacing w:before="65" w:line="219" w:lineRule="auto"/>
        <w:rPr>
          <w:rFonts w:ascii="SimSun" w:hAnsi="SimSun" w:eastAsia="SimSun" w:cs="SimSun"/>
          <w:sz w:val="20"/>
          <w:szCs w:val="20"/>
        </w:rPr>
      </w:pPr>
      <w:r>
        <w:rPr>
          <w:rFonts w:ascii="SimSun" w:hAnsi="SimSun" w:eastAsia="SimSun" w:cs="SimSun"/>
          <w:sz w:val="20"/>
          <w:szCs w:val="20"/>
          <w:b/>
          <w:bCs/>
          <w:spacing w:val="-3"/>
        </w:rPr>
        <w:t>数据竞争与反垄断规制</w:t>
      </w:r>
    </w:p>
    <w:p>
      <w:pPr>
        <w:ind w:firstLine="409"/>
        <w:spacing w:before="120" w:line="321" w:lineRule="auto"/>
        <w:jc w:val="both"/>
        <w:rPr>
          <w:rFonts w:ascii="SimSun" w:hAnsi="SimSun" w:eastAsia="SimSun" w:cs="SimSun"/>
          <w:sz w:val="20"/>
          <w:szCs w:val="20"/>
        </w:rPr>
      </w:pPr>
      <w:r>
        <w:rPr>
          <w:rFonts w:ascii="SimSun" w:hAnsi="SimSun" w:eastAsia="SimSun" w:cs="SimSun"/>
          <w:sz w:val="20"/>
          <w:szCs w:val="20"/>
          <w:spacing w:val="-1"/>
        </w:rPr>
        <w:t>数据作为新的生产要素，其经济价值不容小觑。在人工智能时代</w:t>
      </w:r>
      <w:r>
        <w:rPr>
          <w:rFonts w:ascii="SimSun" w:hAnsi="SimSun" w:eastAsia="SimSun" w:cs="SimSun"/>
          <w:sz w:val="20"/>
          <w:szCs w:val="20"/>
          <w:spacing w:val="17"/>
        </w:rPr>
        <w:t xml:space="preserve"> </w:t>
      </w:r>
      <w:r>
        <w:rPr>
          <w:rFonts w:ascii="SimSun" w:hAnsi="SimSun" w:eastAsia="SimSun" w:cs="SimSun"/>
          <w:sz w:val="20"/>
          <w:szCs w:val="20"/>
          <w:spacing w:val="-1"/>
        </w:rPr>
        <w:t>背景下各类信息技术飞快发展，数据的价值将会被进一步挖掘，被计</w:t>
      </w:r>
      <w:r>
        <w:rPr>
          <w:rFonts w:ascii="SimSun" w:hAnsi="SimSun" w:eastAsia="SimSun" w:cs="SimSun"/>
          <w:sz w:val="20"/>
          <w:szCs w:val="20"/>
          <w:spacing w:val="18"/>
        </w:rPr>
        <w:t xml:space="preserve"> </w:t>
      </w:r>
      <w:r>
        <w:rPr>
          <w:rFonts w:ascii="SimSun" w:hAnsi="SimSun" w:eastAsia="SimSun" w:cs="SimSun"/>
          <w:sz w:val="20"/>
          <w:szCs w:val="20"/>
        </w:rPr>
        <w:t>算能力充分释放。然而，随着数据经济价值</w:t>
      </w:r>
      <w:r>
        <w:rPr>
          <w:rFonts w:ascii="SimSun" w:hAnsi="SimSun" w:eastAsia="SimSun" w:cs="SimSun"/>
          <w:sz w:val="20"/>
          <w:szCs w:val="20"/>
          <w:spacing w:val="-1"/>
        </w:rPr>
        <w:t>的显现，市场主体逐渐意</w:t>
      </w:r>
      <w:r>
        <w:rPr>
          <w:rFonts w:ascii="SimSun" w:hAnsi="SimSun" w:eastAsia="SimSun" w:cs="SimSun"/>
          <w:sz w:val="20"/>
          <w:szCs w:val="20"/>
        </w:rPr>
        <w:t xml:space="preserve"> </w:t>
      </w:r>
      <w:r>
        <w:rPr>
          <w:rFonts w:ascii="SimSun" w:hAnsi="SimSun" w:eastAsia="SimSun" w:cs="SimSun"/>
          <w:sz w:val="20"/>
          <w:szCs w:val="20"/>
        </w:rPr>
        <w:t>识到数据所能带来的经济效益，由此加快了</w:t>
      </w:r>
      <w:r>
        <w:rPr>
          <w:rFonts w:ascii="SimSun" w:hAnsi="SimSun" w:eastAsia="SimSun" w:cs="SimSun"/>
          <w:sz w:val="20"/>
          <w:szCs w:val="20"/>
          <w:spacing w:val="-1"/>
        </w:rPr>
        <w:t>对数据“量的收集、质的</w:t>
      </w:r>
      <w:r>
        <w:rPr>
          <w:rFonts w:ascii="SimSun" w:hAnsi="SimSun" w:eastAsia="SimSun" w:cs="SimSun"/>
          <w:sz w:val="20"/>
          <w:szCs w:val="20"/>
        </w:rPr>
        <w:t xml:space="preserve"> </w:t>
      </w:r>
      <w:r>
        <w:rPr>
          <w:rFonts w:ascii="SimSun" w:hAnsi="SimSun" w:eastAsia="SimSun" w:cs="SimSun"/>
          <w:sz w:val="20"/>
          <w:szCs w:val="20"/>
          <w:spacing w:val="2"/>
        </w:rPr>
        <w:t>挖取”,市场主体之间的行为也逐渐触碰法律红线，以不正当竞争为</w:t>
      </w:r>
      <w:r>
        <w:rPr>
          <w:rFonts w:ascii="SimSun" w:hAnsi="SimSun" w:eastAsia="SimSun" w:cs="SimSun"/>
          <w:sz w:val="20"/>
          <w:szCs w:val="20"/>
          <w:spacing w:val="18"/>
        </w:rPr>
        <w:t xml:space="preserve"> </w:t>
      </w:r>
      <w:r>
        <w:rPr>
          <w:rFonts w:ascii="SimSun" w:hAnsi="SimSun" w:eastAsia="SimSun" w:cs="SimSun"/>
          <w:sz w:val="20"/>
          <w:szCs w:val="20"/>
        </w:rPr>
        <w:t>代表的各类违法行为不断涌现。①随着数据驱动</w:t>
      </w:r>
      <w:r>
        <w:rPr>
          <w:rFonts w:ascii="SimSun" w:hAnsi="SimSun" w:eastAsia="SimSun" w:cs="SimSun"/>
          <w:sz w:val="20"/>
          <w:szCs w:val="20"/>
          <w:spacing w:val="-1"/>
        </w:rPr>
        <w:t>竞争在社会经济生活</w:t>
      </w:r>
      <w:r>
        <w:rPr>
          <w:rFonts w:ascii="SimSun" w:hAnsi="SimSun" w:eastAsia="SimSun" w:cs="SimSun"/>
          <w:sz w:val="20"/>
          <w:szCs w:val="20"/>
        </w:rPr>
        <w:t xml:space="preserve"> </w:t>
      </w:r>
      <w:r>
        <w:rPr>
          <w:rFonts w:ascii="SimSun" w:hAnsi="SimSun" w:eastAsia="SimSun" w:cs="SimSun"/>
          <w:sz w:val="20"/>
          <w:szCs w:val="20"/>
          <w:spacing w:val="-6"/>
        </w:rPr>
        <w:t>中所占据的比重越来越高，整个市场竞争结构发生了显著</w:t>
      </w:r>
      <w:r>
        <w:rPr>
          <w:rFonts w:ascii="SimSun" w:hAnsi="SimSun" w:eastAsia="SimSun" w:cs="SimSun"/>
          <w:sz w:val="20"/>
          <w:szCs w:val="20"/>
          <w:spacing w:val="-7"/>
        </w:rPr>
        <w:t>变化：</w:t>
      </w:r>
      <w:r>
        <w:rPr>
          <w:rFonts w:ascii="SimSun" w:hAnsi="SimSun" w:eastAsia="SimSun" w:cs="SimSun"/>
          <w:sz w:val="20"/>
          <w:szCs w:val="20"/>
          <w:spacing w:val="57"/>
        </w:rPr>
        <w:t xml:space="preserve"> </w:t>
      </w:r>
      <w:r>
        <w:rPr>
          <w:rFonts w:ascii="SimSun" w:hAnsi="SimSun" w:eastAsia="SimSun" w:cs="SimSun"/>
          <w:sz w:val="20"/>
          <w:szCs w:val="20"/>
          <w:spacing w:val="-7"/>
        </w:rPr>
        <w:t>一方</w:t>
      </w:r>
      <w:r>
        <w:rPr>
          <w:rFonts w:ascii="SimSun" w:hAnsi="SimSun" w:eastAsia="SimSun" w:cs="SimSun"/>
          <w:sz w:val="20"/>
          <w:szCs w:val="20"/>
        </w:rPr>
        <w:t xml:space="preserve"> </w:t>
      </w:r>
      <w:r>
        <w:rPr>
          <w:rFonts w:ascii="SimSun" w:hAnsi="SimSun" w:eastAsia="SimSun" w:cs="SimSun"/>
          <w:sz w:val="20"/>
          <w:szCs w:val="20"/>
          <w:spacing w:val="2"/>
        </w:rPr>
        <w:t>面，具有数据优势的经营者有能力“赢者通吃”,并长期维持竞争优</w:t>
      </w:r>
      <w:r>
        <w:rPr>
          <w:rFonts w:ascii="SimSun" w:hAnsi="SimSun" w:eastAsia="SimSun" w:cs="SimSun"/>
          <w:sz w:val="20"/>
          <w:szCs w:val="20"/>
          <w:spacing w:val="17"/>
        </w:rPr>
        <w:t xml:space="preserve"> </w:t>
      </w:r>
      <w:r>
        <w:rPr>
          <w:rFonts w:ascii="SimSun" w:hAnsi="SimSun" w:eastAsia="SimSun" w:cs="SimSun"/>
          <w:sz w:val="20"/>
          <w:szCs w:val="20"/>
          <w:spacing w:val="-6"/>
        </w:rPr>
        <w:t>势；另一方面，在高投入的数据挖掘成本的逆向激励下，</w:t>
      </w:r>
      <w:r>
        <w:rPr>
          <w:rFonts w:ascii="SimSun" w:hAnsi="SimSun" w:eastAsia="SimSun" w:cs="SimSun"/>
          <w:sz w:val="20"/>
          <w:szCs w:val="20"/>
          <w:spacing w:val="66"/>
        </w:rPr>
        <w:t xml:space="preserve"> </w:t>
      </w:r>
      <w:r>
        <w:rPr>
          <w:rFonts w:ascii="SimSun" w:hAnsi="SimSun" w:eastAsia="SimSun" w:cs="SimSun"/>
          <w:sz w:val="20"/>
          <w:szCs w:val="20"/>
          <w:spacing w:val="-6"/>
        </w:rPr>
        <w:t>一些经营者</w:t>
      </w:r>
      <w:r>
        <w:rPr>
          <w:rFonts w:ascii="SimSun" w:hAnsi="SimSun" w:eastAsia="SimSun" w:cs="SimSun"/>
          <w:sz w:val="20"/>
          <w:szCs w:val="20"/>
        </w:rPr>
        <w:t xml:space="preserve"> </w:t>
      </w:r>
      <w:r>
        <w:rPr>
          <w:rFonts w:ascii="SimSun" w:hAnsi="SimSun" w:eastAsia="SimSun" w:cs="SimSun"/>
          <w:sz w:val="20"/>
          <w:szCs w:val="20"/>
          <w:spacing w:val="-6"/>
        </w:rPr>
        <w:t>更愿意“搭便车”。②这两方面的市场竞争样态都引发了人们的担忧。</w:t>
      </w:r>
    </w:p>
    <w:p>
      <w:pPr>
        <w:ind w:right="38" w:firstLine="409"/>
        <w:spacing w:before="129" w:line="332" w:lineRule="auto"/>
        <w:jc w:val="both"/>
        <w:rPr>
          <w:rFonts w:ascii="SimSun" w:hAnsi="SimSun" w:eastAsia="SimSun" w:cs="SimSun"/>
          <w:sz w:val="20"/>
          <w:szCs w:val="20"/>
        </w:rPr>
      </w:pPr>
      <w:r>
        <w:rPr>
          <w:rFonts w:ascii="SimSun" w:hAnsi="SimSun" w:eastAsia="SimSun" w:cs="SimSun"/>
          <w:sz w:val="20"/>
          <w:szCs w:val="20"/>
          <w:spacing w:val="-1"/>
        </w:rPr>
        <w:t>平台企业之间在数据要素市场上竞争的目的是获取数</w:t>
      </w:r>
      <w:r>
        <w:rPr>
          <w:rFonts w:ascii="SimSun" w:hAnsi="SimSun" w:eastAsia="SimSun" w:cs="SimSun"/>
          <w:sz w:val="20"/>
          <w:szCs w:val="20"/>
          <w:spacing w:val="-2"/>
        </w:rPr>
        <w:t>据优势。经</w:t>
      </w:r>
      <w:r>
        <w:rPr>
          <w:rFonts w:ascii="SimSun" w:hAnsi="SimSun" w:eastAsia="SimSun" w:cs="SimSun"/>
          <w:sz w:val="20"/>
          <w:szCs w:val="20"/>
        </w:rPr>
        <w:t xml:space="preserve"> </w:t>
      </w:r>
      <w:r>
        <w:rPr>
          <w:rFonts w:ascii="SimSun" w:hAnsi="SimSun" w:eastAsia="SimSun" w:cs="SimSun"/>
          <w:sz w:val="20"/>
          <w:szCs w:val="20"/>
          <w:spacing w:val="-1"/>
        </w:rPr>
        <w:t>营者为了获得市场竞争上的优势，会采用各种手段获取更多数据或阻</w:t>
      </w:r>
      <w:r>
        <w:rPr>
          <w:rFonts w:ascii="SimSun" w:hAnsi="SimSun" w:eastAsia="SimSun" w:cs="SimSun"/>
          <w:sz w:val="20"/>
          <w:szCs w:val="20"/>
          <w:spacing w:val="14"/>
        </w:rPr>
        <w:t xml:space="preserve"> </w:t>
      </w:r>
      <w:r>
        <w:rPr>
          <w:rFonts w:ascii="SimSun" w:hAnsi="SimSun" w:eastAsia="SimSun" w:cs="SimSun"/>
          <w:sz w:val="20"/>
          <w:szCs w:val="20"/>
        </w:rPr>
        <w:t>止竞争对手获取数据。典型如在没有获得对手</w:t>
      </w:r>
      <w:r>
        <w:rPr>
          <w:rFonts w:ascii="SimSun" w:hAnsi="SimSun" w:eastAsia="SimSun" w:cs="SimSun"/>
          <w:sz w:val="20"/>
          <w:szCs w:val="20"/>
          <w:spacing w:val="-1"/>
        </w:rPr>
        <w:t>授权或是没有任何法律</w:t>
      </w:r>
      <w:r>
        <w:rPr>
          <w:rFonts w:ascii="SimSun" w:hAnsi="SimSun" w:eastAsia="SimSun" w:cs="SimSun"/>
          <w:sz w:val="20"/>
          <w:szCs w:val="20"/>
        </w:rPr>
        <w:t xml:space="preserve"> </w:t>
      </w:r>
      <w:r>
        <w:rPr>
          <w:rFonts w:ascii="SimSun" w:hAnsi="SimSun" w:eastAsia="SimSun" w:cs="SimSun"/>
          <w:sz w:val="20"/>
          <w:szCs w:val="20"/>
        </w:rPr>
        <w:t>依据的情况下非法获取对手的数据，通过设</w:t>
      </w:r>
      <w:r>
        <w:rPr>
          <w:rFonts w:ascii="SimSun" w:hAnsi="SimSun" w:eastAsia="SimSun" w:cs="SimSun"/>
          <w:sz w:val="20"/>
          <w:szCs w:val="20"/>
          <w:spacing w:val="-1"/>
        </w:rPr>
        <w:t>立准入壁垒、交易障碍等</w:t>
      </w:r>
      <w:r>
        <w:rPr>
          <w:rFonts w:ascii="SimSun" w:hAnsi="SimSun" w:eastAsia="SimSun" w:cs="SimSun"/>
          <w:sz w:val="20"/>
          <w:szCs w:val="20"/>
        </w:rPr>
        <w:t xml:space="preserve"> </w:t>
      </w:r>
      <w:r>
        <w:rPr>
          <w:rFonts w:ascii="SimSun" w:hAnsi="SimSun" w:eastAsia="SimSun" w:cs="SimSun"/>
          <w:sz w:val="20"/>
          <w:szCs w:val="20"/>
          <w:spacing w:val="-1"/>
        </w:rPr>
        <w:t>形式来阻止对手正当获取用户数据。由于数据的流动性、可复制性强</w:t>
      </w:r>
      <w:r>
        <w:rPr>
          <w:rFonts w:ascii="SimSun" w:hAnsi="SimSun" w:eastAsia="SimSun" w:cs="SimSun"/>
          <w:sz w:val="20"/>
          <w:szCs w:val="20"/>
          <w:spacing w:val="18"/>
        </w:rPr>
        <w:t xml:space="preserve"> </w:t>
      </w:r>
      <w:r>
        <w:rPr>
          <w:rFonts w:ascii="SimSun" w:hAnsi="SimSun" w:eastAsia="SimSun" w:cs="SimSun"/>
          <w:sz w:val="20"/>
          <w:szCs w:val="20"/>
        </w:rPr>
        <w:t>等特征，在没有具体应用场景的前提下，国</w:t>
      </w:r>
      <w:r>
        <w:rPr>
          <w:rFonts w:ascii="SimSun" w:hAnsi="SimSun" w:eastAsia="SimSun" w:cs="SimSun"/>
          <w:sz w:val="20"/>
          <w:szCs w:val="20"/>
          <w:spacing w:val="-1"/>
        </w:rPr>
        <w:t>家机关很难认定平台构成</w:t>
      </w:r>
      <w:r>
        <w:rPr>
          <w:rFonts w:ascii="SimSun" w:hAnsi="SimSun" w:eastAsia="SimSun" w:cs="SimSun"/>
          <w:sz w:val="20"/>
          <w:szCs w:val="20"/>
        </w:rPr>
        <w:t xml:space="preserve"> </w:t>
      </w:r>
      <w:r>
        <w:rPr>
          <w:rFonts w:ascii="SimSun" w:hAnsi="SimSun" w:eastAsia="SimSun" w:cs="SimSun"/>
          <w:sz w:val="20"/>
          <w:szCs w:val="20"/>
        </w:rPr>
        <w:t>垄断行为。因此，如何通过反垄断监管手段实</w:t>
      </w:r>
      <w:r>
        <w:rPr>
          <w:rFonts w:ascii="SimSun" w:hAnsi="SimSun" w:eastAsia="SimSun" w:cs="SimSun"/>
          <w:sz w:val="20"/>
          <w:szCs w:val="20"/>
          <w:spacing w:val="-1"/>
        </w:rPr>
        <w:t>现数据的有序竞争，促</w:t>
      </w:r>
    </w:p>
    <w:p>
      <w:pPr>
        <w:spacing w:line="219" w:lineRule="auto"/>
        <w:rPr>
          <w:rFonts w:ascii="SimSun" w:hAnsi="SimSun" w:eastAsia="SimSun" w:cs="SimSun"/>
          <w:sz w:val="20"/>
          <w:szCs w:val="20"/>
        </w:rPr>
      </w:pPr>
      <w:r>
        <w:rPr>
          <w:rFonts w:ascii="SimSun" w:hAnsi="SimSun" w:eastAsia="SimSun" w:cs="SimSun"/>
          <w:sz w:val="20"/>
          <w:szCs w:val="20"/>
          <w:spacing w:val="-2"/>
        </w:rPr>
        <w:t>进平台经济规范发展，成为目前实务中的重点问题。</w:t>
      </w:r>
    </w:p>
    <w:p>
      <w:pPr>
        <w:pStyle w:val="BodyText"/>
        <w:spacing w:line="412" w:lineRule="auto"/>
        <w:rPr/>
      </w:pPr>
      <w:r/>
    </w:p>
    <w:p>
      <w:pPr>
        <w:ind w:left="412"/>
        <w:spacing w:before="65" w:line="219" w:lineRule="auto"/>
        <w:rPr>
          <w:rFonts w:ascii="SimSun" w:hAnsi="SimSun" w:eastAsia="SimSun" w:cs="SimSun"/>
          <w:sz w:val="20"/>
          <w:szCs w:val="20"/>
        </w:rPr>
      </w:pPr>
      <w:r>
        <w:rPr>
          <w:rFonts w:ascii="SimSun" w:hAnsi="SimSun" w:eastAsia="SimSun" w:cs="SimSun"/>
          <w:sz w:val="20"/>
          <w:szCs w:val="20"/>
          <w:b/>
          <w:bCs/>
          <w:spacing w:val="-3"/>
        </w:rPr>
        <w:t>数据共享、转让与跨境风险</w:t>
      </w:r>
    </w:p>
    <w:p>
      <w:pPr>
        <w:ind w:right="36" w:firstLine="409"/>
        <w:spacing w:before="126" w:line="294" w:lineRule="auto"/>
        <w:jc w:val="both"/>
        <w:rPr>
          <w:rFonts w:ascii="SimSun" w:hAnsi="SimSun" w:eastAsia="SimSun" w:cs="SimSun"/>
          <w:sz w:val="20"/>
          <w:szCs w:val="20"/>
        </w:rPr>
      </w:pPr>
      <w:r>
        <w:rPr>
          <w:rFonts w:ascii="SimSun" w:hAnsi="SimSun" w:eastAsia="SimSun" w:cs="SimSun"/>
          <w:sz w:val="20"/>
          <w:szCs w:val="20"/>
          <w:spacing w:val="-2"/>
        </w:rPr>
        <w:t>目前各平台应用的主要是“特有”数据，而非严格意义上的大数</w:t>
      </w:r>
      <w:r>
        <w:rPr>
          <w:rFonts w:ascii="SimSun" w:hAnsi="SimSun" w:eastAsia="SimSun" w:cs="SimSun"/>
          <w:sz w:val="20"/>
          <w:szCs w:val="20"/>
          <w:spacing w:val="8"/>
        </w:rPr>
        <w:t xml:space="preserve"> </w:t>
      </w:r>
      <w:r>
        <w:rPr>
          <w:rFonts w:ascii="SimSun" w:hAnsi="SimSun" w:eastAsia="SimSun" w:cs="SimSun"/>
          <w:sz w:val="20"/>
          <w:szCs w:val="20"/>
        </w:rPr>
        <w:t>据，形成大数据的关键是打破孤岛、实现共享。</w:t>
      </w:r>
      <w:r>
        <w:rPr>
          <w:rFonts w:ascii="SimSun" w:hAnsi="SimSun" w:eastAsia="SimSun" w:cs="SimSun"/>
          <w:sz w:val="20"/>
          <w:szCs w:val="20"/>
          <w:spacing w:val="-1"/>
        </w:rPr>
        <w:t>而数据共享也正成为</w:t>
      </w:r>
      <w:r>
        <w:rPr>
          <w:rFonts w:ascii="SimSun" w:hAnsi="SimSun" w:eastAsia="SimSun" w:cs="SimSun"/>
          <w:sz w:val="20"/>
          <w:szCs w:val="20"/>
        </w:rPr>
        <w:t xml:space="preserve"> </w:t>
      </w:r>
      <w:r>
        <w:rPr>
          <w:rFonts w:ascii="SimSun" w:hAnsi="SimSun" w:eastAsia="SimSun" w:cs="SimSun"/>
          <w:sz w:val="20"/>
          <w:szCs w:val="20"/>
        </w:rPr>
        <w:t>影响经济社会运行的新因素，在数据共享环节，</w:t>
      </w:r>
      <w:r>
        <w:rPr>
          <w:rFonts w:ascii="SimSun" w:hAnsi="SimSun" w:eastAsia="SimSun" w:cs="SimSun"/>
          <w:sz w:val="20"/>
          <w:szCs w:val="20"/>
          <w:spacing w:val="-1"/>
        </w:rPr>
        <w:t>保护个人信息等人格</w:t>
      </w:r>
    </w:p>
    <w:p>
      <w:pPr>
        <w:spacing w:before="286" w:line="220" w:lineRule="auto"/>
        <w:rPr>
          <w:rFonts w:ascii="KaiTi" w:hAnsi="KaiTi" w:eastAsia="KaiTi" w:cs="KaiTi"/>
          <w:sz w:val="20"/>
          <w:szCs w:val="20"/>
        </w:rPr>
      </w:pPr>
      <w:r>
        <w:rPr>
          <w:rFonts w:ascii="KaiTi" w:hAnsi="KaiTi" w:eastAsia="KaiTi" w:cs="KaiTi"/>
          <w:sz w:val="20"/>
          <w:szCs w:val="20"/>
          <w:spacing w:val="-17"/>
          <w:w w:val="95"/>
        </w:rPr>
        <w:t>①</w:t>
      </w:r>
      <w:r>
        <w:rPr>
          <w:rFonts w:ascii="KaiTi" w:hAnsi="KaiTi" w:eastAsia="KaiTi" w:cs="KaiTi"/>
          <w:sz w:val="20"/>
          <w:szCs w:val="20"/>
          <w:spacing w:val="64"/>
        </w:rPr>
        <w:t xml:space="preserve"> </w:t>
      </w:r>
      <w:r>
        <w:rPr>
          <w:rFonts w:ascii="KaiTi" w:hAnsi="KaiTi" w:eastAsia="KaiTi" w:cs="KaiTi"/>
          <w:sz w:val="20"/>
          <w:szCs w:val="20"/>
          <w:spacing w:val="-17"/>
          <w:w w:val="95"/>
        </w:rPr>
        <w:t>李安.人工智能时代数据竞争行为的法律边界.科技与法律，2019(1):61-70.</w:t>
      </w:r>
    </w:p>
    <w:p>
      <w:pPr>
        <w:ind w:left="329" w:right="8" w:hanging="329"/>
        <w:spacing w:before="37" w:line="238" w:lineRule="auto"/>
        <w:rPr>
          <w:rFonts w:ascii="KaiTi" w:hAnsi="KaiTi" w:eastAsia="KaiTi" w:cs="KaiTi"/>
          <w:sz w:val="20"/>
          <w:szCs w:val="20"/>
        </w:rPr>
      </w:pPr>
      <w:r>
        <w:rPr>
          <w:rFonts w:ascii="SimSun" w:hAnsi="SimSun" w:eastAsia="SimSun" w:cs="SimSun"/>
          <w:sz w:val="20"/>
          <w:szCs w:val="20"/>
          <w:spacing w:val="-14"/>
          <w:w w:val="90"/>
        </w:rPr>
        <w:t>②</w:t>
      </w:r>
      <w:r>
        <w:rPr>
          <w:rFonts w:ascii="SimSun" w:hAnsi="SimSun" w:eastAsia="SimSun" w:cs="SimSun"/>
          <w:sz w:val="20"/>
          <w:szCs w:val="20"/>
          <w:spacing w:val="55"/>
        </w:rPr>
        <w:t xml:space="preserve"> </w:t>
      </w:r>
      <w:r>
        <w:rPr>
          <w:rFonts w:ascii="KaiTi" w:hAnsi="KaiTi" w:eastAsia="KaiTi" w:cs="KaiTi"/>
          <w:sz w:val="20"/>
          <w:szCs w:val="20"/>
          <w:spacing w:val="-14"/>
          <w:w w:val="90"/>
        </w:rPr>
        <w:t>杨明.数据驱动竞争规制的基本认知与方法论.上海交通大学学报</w:t>
      </w:r>
      <w:r>
        <w:rPr>
          <w:rFonts w:ascii="KaiTi" w:hAnsi="KaiTi" w:eastAsia="KaiTi" w:cs="KaiTi"/>
          <w:sz w:val="20"/>
          <w:szCs w:val="20"/>
          <w:spacing w:val="-15"/>
          <w:w w:val="90"/>
        </w:rPr>
        <w:t>(哲学社会科学</w:t>
      </w:r>
      <w:r>
        <w:rPr>
          <w:rFonts w:ascii="KaiTi" w:hAnsi="KaiTi" w:eastAsia="KaiTi" w:cs="KaiTi"/>
          <w:sz w:val="20"/>
          <w:szCs w:val="20"/>
        </w:rPr>
        <w:t xml:space="preserve"> </w:t>
      </w:r>
      <w:r>
        <w:rPr>
          <w:rFonts w:ascii="KaiTi" w:hAnsi="KaiTi" w:eastAsia="KaiTi" w:cs="KaiTi"/>
          <w:sz w:val="20"/>
          <w:szCs w:val="20"/>
          <w:spacing w:val="-4"/>
        </w:rPr>
        <w:t>版),2021(3):10-18.</w:t>
      </w:r>
    </w:p>
    <w:p>
      <w:pPr>
        <w:spacing w:line="238" w:lineRule="auto"/>
        <w:sectPr>
          <w:pgSz w:w="7330" w:h="12480"/>
          <w:pgMar w:top="400" w:right="860" w:bottom="400" w:left="440" w:header="0" w:footer="0" w:gutter="0"/>
        </w:sectPr>
        <w:rPr>
          <w:rFonts w:ascii="KaiTi" w:hAnsi="KaiTi" w:eastAsia="KaiTi" w:cs="KaiTi"/>
          <w:sz w:val="20"/>
          <w:szCs w:val="20"/>
        </w:rPr>
      </w:pPr>
    </w:p>
    <w:p>
      <w:pPr>
        <w:spacing w:line="220" w:lineRule="auto"/>
        <w:rPr>
          <w:rFonts w:ascii="SimHei" w:hAnsi="SimHei" w:eastAsia="SimHei" w:cs="SimHei"/>
          <w:sz w:val="19"/>
          <w:szCs w:val="19"/>
        </w:rPr>
      </w:pPr>
      <w:r>
        <w:drawing>
          <wp:anchor distT="0" distB="0" distL="0" distR="0" simplePos="0" relativeHeight="255369216" behindDoc="0" locked="0" layoutInCell="0" allowOverlap="1">
            <wp:simplePos x="0" y="0"/>
            <wp:positionH relativeFrom="page">
              <wp:posOffset>488960</wp:posOffset>
            </wp:positionH>
            <wp:positionV relativeFrom="page">
              <wp:posOffset>6165812</wp:posOffset>
            </wp:positionV>
            <wp:extent cx="1187421" cy="6418"/>
            <wp:effectExtent l="0" t="0" r="0" b="0"/>
            <wp:wrapNone/>
            <wp:docPr id="292" name="IM 292"/>
            <wp:cNvGraphicFramePr/>
            <a:graphic>
              <a:graphicData uri="http://schemas.openxmlformats.org/drawingml/2006/picture">
                <pic:pic>
                  <pic:nvPicPr>
                    <pic:cNvPr id="292" name="IM 292"/>
                    <pic:cNvPicPr/>
                  </pic:nvPicPr>
                  <pic:blipFill>
                    <a:blip r:embed="rId429"/>
                    <a:stretch>
                      <a:fillRect/>
                    </a:stretch>
                  </pic:blipFill>
                  <pic:spPr>
                    <a:xfrm rot="0">
                      <a:off x="0" y="0"/>
                      <a:ext cx="1187421" cy="6418"/>
                    </a:xfrm>
                    <a:prstGeom prst="rect">
                      <a:avLst/>
                    </a:prstGeom>
                  </pic:spPr>
                </pic:pic>
              </a:graphicData>
            </a:graphic>
          </wp:anchor>
        </w:drawing>
      </w:r>
      <w:r>
        <w:rPr>
          <w:rFonts w:ascii="SimSun" w:hAnsi="SimSun" w:eastAsia="SimSun" w:cs="SimSun"/>
          <w:sz w:val="11"/>
          <w:szCs w:val="11"/>
          <w:spacing w:val="-2"/>
        </w:rPr>
        <w:t>352                                  </w:t>
      </w:r>
      <w:r>
        <w:rPr>
          <w:rFonts w:ascii="SimHei" w:hAnsi="SimHei" w:eastAsia="SimHei" w:cs="SimHei"/>
          <w:sz w:val="19"/>
          <w:szCs w:val="19"/>
          <w:spacing w:val="-17"/>
          <w:w w:val="91"/>
        </w:rPr>
        <w:t>平台经济——创新、治理与繁荣</w:t>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79"/>
        <w:spacing w:before="61" w:line="351" w:lineRule="auto"/>
        <w:jc w:val="both"/>
        <w:rPr>
          <w:rFonts w:ascii="SimSun" w:hAnsi="SimSun" w:eastAsia="SimSun" w:cs="SimSun"/>
          <w:sz w:val="19"/>
          <w:szCs w:val="19"/>
        </w:rPr>
      </w:pPr>
      <w:r>
        <w:rPr>
          <w:rFonts w:ascii="SimSun" w:hAnsi="SimSun" w:eastAsia="SimSun" w:cs="SimSun"/>
          <w:sz w:val="19"/>
          <w:szCs w:val="19"/>
          <w:spacing w:val="9"/>
        </w:rPr>
        <w:t>权的工作也刻不容缓，甚至直接影响到数据产业能否健康发展。①数</w:t>
      </w:r>
      <w:r>
        <w:rPr>
          <w:rFonts w:ascii="SimSun" w:hAnsi="SimSun" w:eastAsia="SimSun" w:cs="SimSun"/>
          <w:sz w:val="19"/>
          <w:szCs w:val="19"/>
          <w:spacing w:val="7"/>
        </w:rPr>
        <w:t xml:space="preserve"> </w:t>
      </w:r>
      <w:r>
        <w:rPr>
          <w:rFonts w:ascii="SimSun" w:hAnsi="SimSun" w:eastAsia="SimSun" w:cs="SimSun"/>
          <w:sz w:val="19"/>
          <w:szCs w:val="19"/>
          <w:spacing w:val="9"/>
        </w:rPr>
        <w:t>据因流转产生价值，数据的共享、转让和跨境本质上是数据流动的具 </w:t>
      </w:r>
      <w:r>
        <w:rPr>
          <w:rFonts w:ascii="SimSun" w:hAnsi="SimSun" w:eastAsia="SimSun" w:cs="SimSun"/>
          <w:sz w:val="19"/>
          <w:szCs w:val="19"/>
          <w:spacing w:val="9"/>
        </w:rPr>
        <w:t>体体现，在促进数据流通利用的同时也应关注其中可能存在的风险和</w:t>
      </w:r>
    </w:p>
    <w:p>
      <w:pPr>
        <w:spacing w:line="220" w:lineRule="auto"/>
        <w:rPr>
          <w:rFonts w:ascii="SimSun" w:hAnsi="SimSun" w:eastAsia="SimSun" w:cs="SimSun"/>
          <w:sz w:val="19"/>
          <w:szCs w:val="19"/>
        </w:rPr>
      </w:pPr>
      <w:r>
        <w:rPr>
          <w:rFonts w:ascii="SimSun" w:hAnsi="SimSun" w:eastAsia="SimSun" w:cs="SimSun"/>
          <w:sz w:val="19"/>
          <w:szCs w:val="19"/>
          <w:spacing w:val="5"/>
        </w:rPr>
        <w:t>挑战。</w:t>
      </w:r>
    </w:p>
    <w:p>
      <w:pPr>
        <w:ind w:firstLine="450"/>
        <w:spacing w:before="131" w:line="350" w:lineRule="auto"/>
        <w:jc w:val="both"/>
        <w:rPr>
          <w:rFonts w:ascii="SimSun" w:hAnsi="SimSun" w:eastAsia="SimSun" w:cs="SimSun"/>
          <w:sz w:val="19"/>
          <w:szCs w:val="19"/>
        </w:rPr>
      </w:pPr>
      <w:r>
        <w:rPr>
          <w:rFonts w:ascii="SimSun" w:hAnsi="SimSun" w:eastAsia="SimSun" w:cs="SimSun"/>
          <w:sz w:val="19"/>
          <w:szCs w:val="19"/>
          <w:spacing w:val="17"/>
        </w:rPr>
        <w:t>另外，数据通过流通利用产生价值，全球化环境下数据的</w:t>
      </w:r>
      <w:r>
        <w:rPr>
          <w:rFonts w:ascii="SimSun" w:hAnsi="SimSun" w:eastAsia="SimSun" w:cs="SimSun"/>
          <w:sz w:val="19"/>
          <w:szCs w:val="19"/>
          <w:spacing w:val="16"/>
        </w:rPr>
        <w:t>跨境</w:t>
      </w:r>
      <w:r>
        <w:rPr>
          <w:rFonts w:ascii="SimSun" w:hAnsi="SimSun" w:eastAsia="SimSun" w:cs="SimSun"/>
          <w:sz w:val="19"/>
          <w:szCs w:val="19"/>
        </w:rPr>
        <w:t xml:space="preserve"> </w:t>
      </w:r>
      <w:r>
        <w:rPr>
          <w:rFonts w:ascii="SimSun" w:hAnsi="SimSun" w:eastAsia="SimSun" w:cs="SimSun"/>
          <w:sz w:val="19"/>
          <w:szCs w:val="19"/>
          <w:spacing w:val="9"/>
        </w:rPr>
        <w:t>流动成为必然趋势，数字经济的快速增长离不开数据的快速流通。然</w:t>
      </w:r>
      <w:r>
        <w:rPr>
          <w:rFonts w:ascii="SimSun" w:hAnsi="SimSun" w:eastAsia="SimSun" w:cs="SimSun"/>
          <w:sz w:val="19"/>
          <w:szCs w:val="19"/>
          <w:spacing w:val="4"/>
        </w:rPr>
        <w:t xml:space="preserve">  </w:t>
      </w:r>
      <w:r>
        <w:rPr>
          <w:rFonts w:ascii="SimSun" w:hAnsi="SimSun" w:eastAsia="SimSun" w:cs="SimSun"/>
          <w:sz w:val="19"/>
          <w:szCs w:val="19"/>
          <w:spacing w:val="9"/>
        </w:rPr>
        <w:t>而由于网络虚拟空间自身的不稳定性以及各国之间不同的数据合规要</w:t>
      </w:r>
      <w:r>
        <w:rPr>
          <w:rFonts w:ascii="SimSun" w:hAnsi="SimSun" w:eastAsia="SimSun" w:cs="SimSun"/>
          <w:sz w:val="19"/>
          <w:szCs w:val="19"/>
          <w:spacing w:val="4"/>
        </w:rPr>
        <w:t xml:space="preserve">  </w:t>
      </w:r>
      <w:r>
        <w:rPr>
          <w:rFonts w:ascii="SimSun" w:hAnsi="SimSun" w:eastAsia="SimSun" w:cs="SimSun"/>
          <w:sz w:val="19"/>
          <w:szCs w:val="19"/>
          <w:spacing w:val="9"/>
        </w:rPr>
        <w:t>求，如果缺乏行之有效的数据跨境流动合规机制，数据的跨境流动容</w:t>
      </w:r>
      <w:r>
        <w:rPr>
          <w:rFonts w:ascii="SimSun" w:hAnsi="SimSun" w:eastAsia="SimSun" w:cs="SimSun"/>
          <w:sz w:val="19"/>
          <w:szCs w:val="19"/>
          <w:spacing w:val="4"/>
        </w:rPr>
        <w:t xml:space="preserve">  </w:t>
      </w:r>
      <w:r>
        <w:rPr>
          <w:rFonts w:ascii="SimSun" w:hAnsi="SimSun" w:eastAsia="SimSun" w:cs="SimSun"/>
          <w:sz w:val="19"/>
          <w:szCs w:val="19"/>
          <w:spacing w:val="16"/>
        </w:rPr>
        <w:t>易给个人、社会以及国家利益带来损害。因此，加强数据跨境流动 </w:t>
      </w:r>
      <w:r>
        <w:rPr>
          <w:rFonts w:ascii="SimSun" w:hAnsi="SimSun" w:eastAsia="SimSun" w:cs="SimSun"/>
          <w:sz w:val="19"/>
          <w:szCs w:val="19"/>
          <w:spacing w:val="12"/>
        </w:rPr>
        <w:t>的法律保障，落实数据跨境流转的风险评估以及其他安全保障措施，</w:t>
      </w:r>
      <w:r>
        <w:rPr>
          <w:rFonts w:ascii="SimSun" w:hAnsi="SimSun" w:eastAsia="SimSun" w:cs="SimSun"/>
          <w:sz w:val="19"/>
          <w:szCs w:val="19"/>
          <w:spacing w:val="4"/>
        </w:rPr>
        <w:t xml:space="preserve"> </w:t>
      </w:r>
      <w:r>
        <w:rPr>
          <w:rFonts w:ascii="SimSun" w:hAnsi="SimSun" w:eastAsia="SimSun" w:cs="SimSun"/>
          <w:sz w:val="19"/>
          <w:szCs w:val="19"/>
          <w:spacing w:val="16"/>
        </w:rPr>
        <w:t>对于维护国家数据安全、保障数据主体合法权益具有极为重要的意 </w:t>
      </w:r>
      <w:r>
        <w:rPr>
          <w:rFonts w:ascii="SimSun" w:hAnsi="SimSun" w:eastAsia="SimSun" w:cs="SimSun"/>
          <w:sz w:val="19"/>
          <w:szCs w:val="19"/>
          <w:spacing w:val="12"/>
        </w:rPr>
        <w:t>义②,有利于平台企业在数据全球化的进程中保证企业经营安全，避</w:t>
      </w:r>
    </w:p>
    <w:p>
      <w:pPr>
        <w:spacing w:line="219" w:lineRule="auto"/>
        <w:rPr>
          <w:rFonts w:ascii="SimSun" w:hAnsi="SimSun" w:eastAsia="SimSun" w:cs="SimSun"/>
          <w:sz w:val="19"/>
          <w:szCs w:val="19"/>
        </w:rPr>
      </w:pPr>
      <w:r>
        <w:rPr>
          <w:rFonts w:ascii="SimSun" w:hAnsi="SimSun" w:eastAsia="SimSun" w:cs="SimSun"/>
          <w:sz w:val="19"/>
          <w:szCs w:val="19"/>
          <w:spacing w:val="7"/>
        </w:rPr>
        <w:t>免因重要数据泄露而利益受损。</w:t>
      </w:r>
    </w:p>
    <w:p>
      <w:pPr>
        <w:pStyle w:val="BodyText"/>
        <w:spacing w:line="427" w:lineRule="auto"/>
        <w:rPr/>
      </w:pPr>
      <w:r/>
    </w:p>
    <w:p>
      <w:pPr>
        <w:ind w:left="452"/>
        <w:spacing w:before="62" w:line="219" w:lineRule="auto"/>
        <w:rPr>
          <w:rFonts w:ascii="SimSun" w:hAnsi="SimSun" w:eastAsia="SimSun" w:cs="SimSun"/>
          <w:sz w:val="19"/>
          <w:szCs w:val="19"/>
        </w:rPr>
      </w:pPr>
      <w:r>
        <w:rPr>
          <w:rFonts w:ascii="SimSun" w:hAnsi="SimSun" w:eastAsia="SimSun" w:cs="SimSun"/>
          <w:sz w:val="19"/>
          <w:szCs w:val="19"/>
          <w:b/>
          <w:bCs/>
          <w:spacing w:val="6"/>
        </w:rPr>
        <w:t>数据交易与治理</w:t>
      </w:r>
    </w:p>
    <w:p>
      <w:pPr>
        <w:ind w:right="26" w:firstLine="450"/>
        <w:spacing w:before="136" w:line="350" w:lineRule="auto"/>
        <w:jc w:val="both"/>
        <w:rPr>
          <w:rFonts w:ascii="SimSun" w:hAnsi="SimSun" w:eastAsia="SimSun" w:cs="SimSun"/>
          <w:sz w:val="19"/>
          <w:szCs w:val="19"/>
        </w:rPr>
      </w:pPr>
      <w:r>
        <w:rPr>
          <w:rFonts w:ascii="SimSun" w:hAnsi="SimSun" w:eastAsia="SimSun" w:cs="SimSun"/>
          <w:sz w:val="19"/>
          <w:szCs w:val="19"/>
          <w:spacing w:val="9"/>
        </w:rPr>
        <w:t>数据作为生产要素必然要进行交易与配置。与传统要素相比，数</w:t>
      </w:r>
      <w:r>
        <w:rPr>
          <w:rFonts w:ascii="SimSun" w:hAnsi="SimSun" w:eastAsia="SimSun" w:cs="SimSun"/>
          <w:sz w:val="19"/>
          <w:szCs w:val="19"/>
          <w:spacing w:val="15"/>
        </w:rPr>
        <w:t xml:space="preserve"> </w:t>
      </w:r>
      <w:r>
        <w:rPr>
          <w:rFonts w:ascii="SimSun" w:hAnsi="SimSun" w:eastAsia="SimSun" w:cs="SimSun"/>
          <w:sz w:val="19"/>
          <w:szCs w:val="19"/>
          <w:spacing w:val="9"/>
        </w:rPr>
        <w:t>据要素在配置中的优点是可以重复使用，缺点也是可以重复使用。同</w:t>
      </w:r>
      <w:r>
        <w:rPr>
          <w:rFonts w:ascii="SimSun" w:hAnsi="SimSun" w:eastAsia="SimSun" w:cs="SimSun"/>
          <w:sz w:val="19"/>
          <w:szCs w:val="19"/>
          <w:spacing w:val="15"/>
        </w:rPr>
        <w:t xml:space="preserve"> </w:t>
      </w:r>
      <w:r>
        <w:rPr>
          <w:rFonts w:ascii="SimSun" w:hAnsi="SimSun" w:eastAsia="SimSun" w:cs="SimSun"/>
          <w:sz w:val="19"/>
          <w:szCs w:val="19"/>
          <w:spacing w:val="9"/>
        </w:rPr>
        <w:t>一套数据谁都可以使用，给交易和定价造成困难，反过来会影响数据</w:t>
      </w:r>
      <w:r>
        <w:rPr>
          <w:rFonts w:ascii="SimSun" w:hAnsi="SimSun" w:eastAsia="SimSun" w:cs="SimSun"/>
          <w:sz w:val="19"/>
          <w:szCs w:val="19"/>
          <w:spacing w:val="10"/>
        </w:rPr>
        <w:t xml:space="preserve"> </w:t>
      </w:r>
      <w:r>
        <w:rPr>
          <w:rFonts w:ascii="SimSun" w:hAnsi="SimSun" w:eastAsia="SimSun" w:cs="SimSun"/>
          <w:sz w:val="19"/>
          <w:szCs w:val="19"/>
          <w:spacing w:val="16"/>
        </w:rPr>
        <w:t>的收集与分析。交易安全是确保市场活动顺利进行的重要因素，同</w:t>
      </w:r>
      <w:r>
        <w:rPr>
          <w:rFonts w:ascii="SimSun" w:hAnsi="SimSun" w:eastAsia="SimSun" w:cs="SimSun"/>
          <w:sz w:val="19"/>
          <w:szCs w:val="19"/>
          <w:spacing w:val="12"/>
        </w:rPr>
        <w:t xml:space="preserve"> </w:t>
      </w:r>
      <w:r>
        <w:rPr>
          <w:rFonts w:ascii="SimSun" w:hAnsi="SimSun" w:eastAsia="SimSun" w:cs="SimSun"/>
          <w:sz w:val="19"/>
          <w:szCs w:val="19"/>
          <w:spacing w:val="10"/>
        </w:rPr>
        <w:t>时也是法律追求的终极价值目标。③交易安全同样贯穿数据交易活动</w:t>
      </w:r>
      <w:r>
        <w:rPr>
          <w:rFonts w:ascii="SimSun" w:hAnsi="SimSun" w:eastAsia="SimSun" w:cs="SimSun"/>
          <w:sz w:val="19"/>
          <w:szCs w:val="19"/>
          <w:spacing w:val="2"/>
        </w:rPr>
        <w:t xml:space="preserve"> </w:t>
      </w:r>
      <w:r>
        <w:rPr>
          <w:rFonts w:ascii="SimSun" w:hAnsi="SimSun" w:eastAsia="SimSun" w:cs="SimSun"/>
          <w:sz w:val="19"/>
          <w:szCs w:val="19"/>
          <w:spacing w:val="10"/>
        </w:rPr>
        <w:t>的全过程，对促进数据市场交易、保证数据主体合法权益有着重要意</w:t>
      </w:r>
    </w:p>
    <w:p>
      <w:pPr>
        <w:spacing w:line="219" w:lineRule="auto"/>
        <w:rPr>
          <w:rFonts w:ascii="SimSun" w:hAnsi="SimSun" w:eastAsia="SimSun" w:cs="SimSun"/>
          <w:sz w:val="19"/>
          <w:szCs w:val="19"/>
        </w:rPr>
      </w:pPr>
      <w:r>
        <w:rPr>
          <w:rFonts w:ascii="SimSun" w:hAnsi="SimSun" w:eastAsia="SimSun" w:cs="SimSun"/>
          <w:sz w:val="19"/>
          <w:szCs w:val="19"/>
          <w:spacing w:val="9"/>
        </w:rPr>
        <w:t>义。因此，需制定交易安全的相关规则，落实具体制度规定，以保障</w:t>
      </w:r>
    </w:p>
    <w:p>
      <w:pPr>
        <w:pStyle w:val="BodyText"/>
        <w:spacing w:line="392" w:lineRule="auto"/>
        <w:rPr/>
      </w:pPr>
      <w:r/>
    </w:p>
    <w:p>
      <w:pPr>
        <w:spacing w:before="63" w:line="220" w:lineRule="auto"/>
        <w:rPr>
          <w:rFonts w:ascii="KaiTi" w:hAnsi="KaiTi" w:eastAsia="KaiTi" w:cs="KaiTi"/>
          <w:sz w:val="19"/>
          <w:szCs w:val="19"/>
        </w:rPr>
      </w:pPr>
      <w:r>
        <w:rPr>
          <w:rFonts w:ascii="KaiTi" w:hAnsi="KaiTi" w:eastAsia="KaiTi" w:cs="KaiTi"/>
          <w:sz w:val="19"/>
          <w:szCs w:val="19"/>
          <w:spacing w:val="-14"/>
        </w:rPr>
        <w:t>①</w:t>
      </w:r>
      <w:r>
        <w:rPr>
          <w:rFonts w:ascii="KaiTi" w:hAnsi="KaiTi" w:eastAsia="KaiTi" w:cs="KaiTi"/>
          <w:sz w:val="19"/>
          <w:szCs w:val="19"/>
          <w:spacing w:val="39"/>
          <w:w w:val="101"/>
        </w:rPr>
        <w:t xml:space="preserve"> </w:t>
      </w:r>
      <w:r>
        <w:rPr>
          <w:rFonts w:ascii="KaiTi" w:hAnsi="KaiTi" w:eastAsia="KaiTi" w:cs="KaiTi"/>
          <w:sz w:val="19"/>
          <w:szCs w:val="19"/>
          <w:spacing w:val="-14"/>
        </w:rPr>
        <w:t>王利明.数据共享与个人信息保护.现代法学，2019(1</w:t>
      </w:r>
      <w:r>
        <w:rPr>
          <w:rFonts w:ascii="KaiTi" w:hAnsi="KaiTi" w:eastAsia="KaiTi" w:cs="KaiTi"/>
          <w:sz w:val="19"/>
          <w:szCs w:val="19"/>
          <w:spacing w:val="-15"/>
        </w:rPr>
        <w:t>):45-57.</w:t>
      </w:r>
    </w:p>
    <w:p>
      <w:pPr>
        <w:ind w:left="329" w:right="38" w:hanging="329"/>
        <w:spacing w:before="44" w:line="245" w:lineRule="auto"/>
        <w:rPr>
          <w:rFonts w:ascii="SimSun" w:hAnsi="SimSun" w:eastAsia="SimSun" w:cs="SimSun"/>
          <w:sz w:val="19"/>
          <w:szCs w:val="19"/>
        </w:rPr>
      </w:pPr>
      <w:r>
        <w:rPr>
          <w:rFonts w:ascii="SimSun" w:hAnsi="SimSun" w:eastAsia="SimSun" w:cs="SimSun"/>
          <w:sz w:val="19"/>
          <w:szCs w:val="19"/>
          <w:spacing w:val="-14"/>
        </w:rPr>
        <w:t>②</w:t>
      </w:r>
      <w:r>
        <w:rPr>
          <w:rFonts w:ascii="SimSun" w:hAnsi="SimSun" w:eastAsia="SimSun" w:cs="SimSun"/>
          <w:sz w:val="19"/>
          <w:szCs w:val="19"/>
          <w:spacing w:val="29"/>
        </w:rPr>
        <w:t xml:space="preserve"> </w:t>
      </w:r>
      <w:r>
        <w:rPr>
          <w:rFonts w:ascii="KaiTi" w:hAnsi="KaiTi" w:eastAsia="KaiTi" w:cs="KaiTi"/>
          <w:sz w:val="19"/>
          <w:szCs w:val="19"/>
          <w:spacing w:val="-14"/>
        </w:rPr>
        <w:t>许多奇.论跨境数据流动规制企业双向合规的法治保障.</w:t>
      </w:r>
      <w:r>
        <w:rPr>
          <w:rFonts w:ascii="KaiTi" w:hAnsi="KaiTi" w:eastAsia="KaiTi" w:cs="KaiTi"/>
          <w:sz w:val="19"/>
          <w:szCs w:val="19"/>
          <w:spacing w:val="-15"/>
        </w:rPr>
        <w:t>东方法学，2020(2):</w:t>
      </w:r>
      <w:r>
        <w:rPr>
          <w:rFonts w:ascii="KaiTi" w:hAnsi="KaiTi" w:eastAsia="KaiTi" w:cs="KaiTi"/>
          <w:sz w:val="19"/>
          <w:szCs w:val="19"/>
        </w:rPr>
        <w:t xml:space="preserve"> </w:t>
      </w:r>
      <w:r>
        <w:rPr>
          <w:rFonts w:ascii="SimSun" w:hAnsi="SimSun" w:eastAsia="SimSun" w:cs="SimSun"/>
          <w:sz w:val="19"/>
          <w:szCs w:val="19"/>
          <w:spacing w:val="-12"/>
        </w:rPr>
        <w:t>185-197.</w:t>
      </w:r>
    </w:p>
    <w:p>
      <w:pPr>
        <w:ind w:left="350" w:right="36" w:hanging="350"/>
        <w:spacing w:before="56" w:line="245" w:lineRule="auto"/>
        <w:rPr>
          <w:rFonts w:ascii="SimSun" w:hAnsi="SimSun" w:eastAsia="SimSun" w:cs="SimSun"/>
          <w:sz w:val="19"/>
          <w:szCs w:val="19"/>
        </w:rPr>
      </w:pPr>
      <w:r>
        <w:rPr>
          <w:rFonts w:ascii="KaiTi" w:hAnsi="KaiTi" w:eastAsia="KaiTi" w:cs="KaiTi"/>
          <w:sz w:val="19"/>
          <w:szCs w:val="19"/>
          <w:spacing w:val="-8"/>
        </w:rPr>
        <w:t>③</w:t>
      </w:r>
      <w:r>
        <w:rPr>
          <w:rFonts w:ascii="KaiTi" w:hAnsi="KaiTi" w:eastAsia="KaiTi" w:cs="KaiTi"/>
          <w:sz w:val="19"/>
          <w:szCs w:val="19"/>
          <w:spacing w:val="53"/>
        </w:rPr>
        <w:t xml:space="preserve"> </w:t>
      </w:r>
      <w:r>
        <w:rPr>
          <w:rFonts w:ascii="KaiTi" w:hAnsi="KaiTi" w:eastAsia="KaiTi" w:cs="KaiTi"/>
          <w:sz w:val="19"/>
          <w:szCs w:val="19"/>
          <w:spacing w:val="-8"/>
        </w:rPr>
        <w:t>张敏，交易安全视域下我国大数据交易的法律监管.情报杂志，2017(2):</w:t>
      </w:r>
      <w:r>
        <w:rPr>
          <w:rFonts w:ascii="KaiTi" w:hAnsi="KaiTi" w:eastAsia="KaiTi" w:cs="KaiTi"/>
          <w:sz w:val="19"/>
          <w:szCs w:val="19"/>
        </w:rPr>
        <w:t xml:space="preserve"> </w:t>
      </w:r>
      <w:r>
        <w:rPr>
          <w:rFonts w:ascii="SimSun" w:hAnsi="SimSun" w:eastAsia="SimSun" w:cs="SimSun"/>
          <w:sz w:val="19"/>
          <w:szCs w:val="19"/>
          <w:spacing w:val="-15"/>
        </w:rPr>
        <w:t>127-133.</w:t>
      </w:r>
    </w:p>
    <w:p>
      <w:pPr>
        <w:spacing w:line="245" w:lineRule="auto"/>
        <w:sectPr>
          <w:pgSz w:w="7330" w:h="12480"/>
          <w:pgMar w:top="346" w:right="505" w:bottom="400" w:left="759" w:header="0" w:footer="0" w:gutter="0"/>
        </w:sectPr>
        <w:rPr>
          <w:rFonts w:ascii="SimSun" w:hAnsi="SimSun" w:eastAsia="SimSun" w:cs="SimSun"/>
          <w:sz w:val="19"/>
          <w:szCs w:val="19"/>
        </w:rPr>
      </w:pPr>
    </w:p>
    <w:p>
      <w:pPr>
        <w:pStyle w:val="BodyText"/>
        <w:spacing w:line="254" w:lineRule="auto"/>
        <w:rPr/>
      </w:pPr>
      <w:r>
        <w:drawing>
          <wp:anchor distT="0" distB="0" distL="0" distR="0" simplePos="0" relativeHeight="255379456" behindDoc="0" locked="0" layoutInCell="0" allowOverlap="1">
            <wp:simplePos x="0" y="0"/>
            <wp:positionH relativeFrom="page">
              <wp:posOffset>323863</wp:posOffset>
            </wp:positionH>
            <wp:positionV relativeFrom="page">
              <wp:posOffset>7061229</wp:posOffset>
            </wp:positionV>
            <wp:extent cx="1168384" cy="6350"/>
            <wp:effectExtent l="0" t="0" r="0" b="0"/>
            <wp:wrapNone/>
            <wp:docPr id="294" name="IM 294"/>
            <wp:cNvGraphicFramePr/>
            <a:graphic>
              <a:graphicData uri="http://schemas.openxmlformats.org/drawingml/2006/picture">
                <pic:pic>
                  <pic:nvPicPr>
                    <pic:cNvPr id="294" name="IM 294"/>
                    <pic:cNvPicPr/>
                  </pic:nvPicPr>
                  <pic:blipFill>
                    <a:blip r:embed="rId431"/>
                    <a:stretch>
                      <a:fillRect/>
                    </a:stretch>
                  </pic:blipFill>
                  <pic:spPr>
                    <a:xfrm rot="0">
                      <a:off x="0" y="0"/>
                      <a:ext cx="1168384"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5"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数据交易活动顺利进行，为数据交易提供良好</w:t>
      </w:r>
      <w:r>
        <w:rPr>
          <w:rFonts w:ascii="SimSun" w:hAnsi="SimSun" w:eastAsia="SimSun" w:cs="SimSun"/>
          <w:sz w:val="21"/>
          <w:szCs w:val="21"/>
          <w:spacing w:val="-11"/>
        </w:rPr>
        <w:t>的市场环境。</w:t>
      </w:r>
    </w:p>
    <w:p>
      <w:pPr>
        <w:ind w:right="76" w:firstLine="410"/>
        <w:spacing w:before="97" w:line="310" w:lineRule="auto"/>
        <w:jc w:val="both"/>
        <w:rPr>
          <w:rFonts w:ascii="SimSun" w:hAnsi="SimSun" w:eastAsia="SimSun" w:cs="SimSun"/>
          <w:sz w:val="21"/>
          <w:szCs w:val="21"/>
        </w:rPr>
      </w:pPr>
      <w:r>
        <w:rPr>
          <w:rFonts w:ascii="SimSun" w:hAnsi="SimSun" w:eastAsia="SimSun" w:cs="SimSun"/>
          <w:sz w:val="21"/>
          <w:szCs w:val="21"/>
          <w:spacing w:val="-10"/>
        </w:rPr>
        <w:t>对于平台数据交易的法律监管而言，目前除数据权属问题</w:t>
      </w:r>
      <w:r>
        <w:rPr>
          <w:rFonts w:ascii="SimSun" w:hAnsi="SimSun" w:eastAsia="SimSun" w:cs="SimSun"/>
          <w:sz w:val="21"/>
          <w:szCs w:val="21"/>
          <w:spacing w:val="-11"/>
        </w:rPr>
        <w:t>，还存</w:t>
      </w:r>
      <w:r>
        <w:rPr>
          <w:rFonts w:ascii="SimSun" w:hAnsi="SimSun" w:eastAsia="SimSun" w:cs="SimSun"/>
          <w:sz w:val="21"/>
          <w:szCs w:val="21"/>
        </w:rPr>
        <w:t xml:space="preserve"> </w:t>
      </w:r>
      <w:r>
        <w:rPr>
          <w:rFonts w:ascii="SimSun" w:hAnsi="SimSun" w:eastAsia="SimSun" w:cs="SimSun"/>
          <w:sz w:val="21"/>
          <w:szCs w:val="21"/>
          <w:spacing w:val="-10"/>
        </w:rPr>
        <w:t>在数据处理标准不明确、交易主体的范围和资质不明</w:t>
      </w:r>
      <w:r>
        <w:rPr>
          <w:rFonts w:ascii="SimSun" w:hAnsi="SimSun" w:eastAsia="SimSun" w:cs="SimSun"/>
          <w:sz w:val="21"/>
          <w:szCs w:val="21"/>
          <w:spacing w:val="-11"/>
        </w:rPr>
        <w:t>确、交易平台资</w:t>
      </w:r>
      <w:r>
        <w:rPr>
          <w:rFonts w:ascii="SimSun" w:hAnsi="SimSun" w:eastAsia="SimSun" w:cs="SimSun"/>
          <w:sz w:val="21"/>
          <w:szCs w:val="21"/>
        </w:rPr>
        <w:t xml:space="preserve"> </w:t>
      </w:r>
      <w:r>
        <w:rPr>
          <w:rFonts w:ascii="SimSun" w:hAnsi="SimSun" w:eastAsia="SimSun" w:cs="SimSun"/>
          <w:sz w:val="21"/>
          <w:szCs w:val="21"/>
          <w:spacing w:val="-11"/>
        </w:rPr>
        <w:t>质不明确等问题，容易产生交易风险而导致财产损失。首先，数据处</w:t>
      </w:r>
      <w:r>
        <w:rPr>
          <w:rFonts w:ascii="SimSun" w:hAnsi="SimSun" w:eastAsia="SimSun" w:cs="SimSun"/>
          <w:sz w:val="21"/>
          <w:szCs w:val="21"/>
          <w:spacing w:val="17"/>
        </w:rPr>
        <w:t xml:space="preserve"> </w:t>
      </w:r>
      <w:r>
        <w:rPr>
          <w:rFonts w:ascii="SimSun" w:hAnsi="SimSun" w:eastAsia="SimSun" w:cs="SimSun"/>
          <w:sz w:val="21"/>
          <w:szCs w:val="21"/>
          <w:spacing w:val="-7"/>
        </w:rPr>
        <w:t>理标准不明确。根据《数据安全法》,国家应培育数据交易市场，数</w:t>
      </w:r>
      <w:r>
        <w:rPr>
          <w:rFonts w:ascii="SimSun" w:hAnsi="SimSun" w:eastAsia="SimSun" w:cs="SimSun"/>
          <w:sz w:val="21"/>
          <w:szCs w:val="21"/>
          <w:spacing w:val="2"/>
        </w:rPr>
        <w:t xml:space="preserve"> </w:t>
      </w:r>
      <w:r>
        <w:rPr>
          <w:rFonts w:ascii="SimSun" w:hAnsi="SimSun" w:eastAsia="SimSun" w:cs="SimSun"/>
          <w:sz w:val="21"/>
          <w:szCs w:val="21"/>
          <w:spacing w:val="-3"/>
        </w:rPr>
        <w:t>据可作为商品进行交换，但何种数据才能达到交易的标准却未</w:t>
      </w:r>
      <w:r>
        <w:rPr>
          <w:rFonts w:ascii="SimSun" w:hAnsi="SimSun" w:eastAsia="SimSun" w:cs="SimSun"/>
          <w:sz w:val="21"/>
          <w:szCs w:val="21"/>
          <w:spacing w:val="-4"/>
        </w:rPr>
        <w:t>曾明</w:t>
      </w:r>
      <w:r>
        <w:rPr>
          <w:rFonts w:ascii="SimSun" w:hAnsi="SimSun" w:eastAsia="SimSun" w:cs="SimSun"/>
          <w:sz w:val="21"/>
          <w:szCs w:val="21"/>
        </w:rPr>
        <w:t xml:space="preserve"> </w:t>
      </w:r>
      <w:r>
        <w:rPr>
          <w:rFonts w:ascii="SimSun" w:hAnsi="SimSun" w:eastAsia="SimSun" w:cs="SimSun"/>
          <w:sz w:val="21"/>
          <w:szCs w:val="21"/>
          <w:spacing w:val="-10"/>
        </w:rPr>
        <w:t>确，未能建立统一的数据脱敏标准。其次，数据交易</w:t>
      </w:r>
      <w:r>
        <w:rPr>
          <w:rFonts w:ascii="SimSun" w:hAnsi="SimSun" w:eastAsia="SimSun" w:cs="SimSun"/>
          <w:sz w:val="21"/>
          <w:szCs w:val="21"/>
          <w:spacing w:val="-11"/>
        </w:rPr>
        <w:t>主体的范围和资</w:t>
      </w:r>
      <w:r>
        <w:rPr>
          <w:rFonts w:ascii="SimSun" w:hAnsi="SimSun" w:eastAsia="SimSun" w:cs="SimSun"/>
          <w:sz w:val="21"/>
          <w:szCs w:val="21"/>
        </w:rPr>
        <w:t xml:space="preserve"> </w:t>
      </w:r>
      <w:r>
        <w:rPr>
          <w:rFonts w:ascii="SimSun" w:hAnsi="SimSun" w:eastAsia="SimSun" w:cs="SimSun"/>
          <w:sz w:val="21"/>
          <w:szCs w:val="21"/>
          <w:spacing w:val="-11"/>
        </w:rPr>
        <w:t>质不明确。交易主体的确定是促进数据交易顺利进行的前提，目前对</w:t>
      </w:r>
      <w:r>
        <w:rPr>
          <w:rFonts w:ascii="SimSun" w:hAnsi="SimSun" w:eastAsia="SimSun" w:cs="SimSun"/>
          <w:sz w:val="21"/>
          <w:szCs w:val="21"/>
          <w:spacing w:val="17"/>
        </w:rPr>
        <w:t xml:space="preserve"> </w:t>
      </w:r>
      <w:r>
        <w:rPr>
          <w:rFonts w:ascii="SimSun" w:hAnsi="SimSun" w:eastAsia="SimSun" w:cs="SimSun"/>
          <w:sz w:val="21"/>
          <w:szCs w:val="21"/>
          <w:spacing w:val="-10"/>
        </w:rPr>
        <w:t>数据交易活动主体的范围和资质并未明确规定</w:t>
      </w:r>
      <w:r>
        <w:rPr>
          <w:rFonts w:ascii="SimSun" w:hAnsi="SimSun" w:eastAsia="SimSun" w:cs="SimSun"/>
          <w:sz w:val="21"/>
          <w:szCs w:val="21"/>
          <w:spacing w:val="-11"/>
        </w:rPr>
        <w:t>，对数据交易主体的限</w:t>
      </w:r>
      <w:r>
        <w:rPr>
          <w:rFonts w:ascii="SimSun" w:hAnsi="SimSun" w:eastAsia="SimSun" w:cs="SimSun"/>
          <w:sz w:val="21"/>
          <w:szCs w:val="21"/>
        </w:rPr>
        <w:t xml:space="preserve"> </w:t>
      </w:r>
      <w:r>
        <w:rPr>
          <w:rFonts w:ascii="SimSun" w:hAnsi="SimSun" w:eastAsia="SimSun" w:cs="SimSun"/>
          <w:sz w:val="21"/>
          <w:szCs w:val="21"/>
          <w:spacing w:val="-10"/>
        </w:rPr>
        <w:t>制也暂未有统一要求。①最后，数据交易平台</w:t>
      </w:r>
      <w:r>
        <w:rPr>
          <w:rFonts w:ascii="SimSun" w:hAnsi="SimSun" w:eastAsia="SimSun" w:cs="SimSun"/>
          <w:sz w:val="21"/>
          <w:szCs w:val="21"/>
          <w:spacing w:val="-11"/>
        </w:rPr>
        <w:t>资质不明确。《数据安</w:t>
      </w:r>
      <w:r>
        <w:rPr>
          <w:rFonts w:ascii="SimSun" w:hAnsi="SimSun" w:eastAsia="SimSun" w:cs="SimSun"/>
          <w:sz w:val="21"/>
          <w:szCs w:val="21"/>
        </w:rPr>
        <w:t xml:space="preserve"> </w:t>
      </w:r>
      <w:r>
        <w:rPr>
          <w:rFonts w:ascii="SimSun" w:hAnsi="SimSun" w:eastAsia="SimSun" w:cs="SimSun"/>
          <w:sz w:val="21"/>
          <w:szCs w:val="21"/>
          <w:spacing w:val="-10"/>
        </w:rPr>
        <w:t>全法》第三十三条仅对从事数据交易服务的中介机构提出了审查交易</w:t>
      </w:r>
      <w:r>
        <w:rPr>
          <w:rFonts w:ascii="SimSun" w:hAnsi="SimSun" w:eastAsia="SimSun" w:cs="SimSun"/>
          <w:sz w:val="21"/>
          <w:szCs w:val="21"/>
        </w:rPr>
        <w:t xml:space="preserve"> </w:t>
      </w:r>
      <w:r>
        <w:rPr>
          <w:rFonts w:ascii="SimSun" w:hAnsi="SimSun" w:eastAsia="SimSun" w:cs="SimSun"/>
          <w:sz w:val="21"/>
          <w:szCs w:val="21"/>
          <w:spacing w:val="-3"/>
        </w:rPr>
        <w:t>双方身份的要求，但对交易平台的身份资质审查仍需统一明</w:t>
      </w:r>
      <w:r>
        <w:rPr>
          <w:rFonts w:ascii="SimSun" w:hAnsi="SimSun" w:eastAsia="SimSun" w:cs="SimSun"/>
          <w:sz w:val="21"/>
          <w:szCs w:val="21"/>
          <w:spacing w:val="-4"/>
        </w:rPr>
        <w:t>确。因</w:t>
      </w:r>
      <w:r>
        <w:rPr>
          <w:rFonts w:ascii="SimSun" w:hAnsi="SimSun" w:eastAsia="SimSun" w:cs="SimSun"/>
          <w:sz w:val="21"/>
          <w:szCs w:val="21"/>
        </w:rPr>
        <w:t xml:space="preserve"> </w:t>
      </w:r>
      <w:r>
        <w:rPr>
          <w:rFonts w:ascii="SimSun" w:hAnsi="SimSun" w:eastAsia="SimSun" w:cs="SimSun"/>
          <w:sz w:val="21"/>
          <w:szCs w:val="21"/>
          <w:spacing w:val="-11"/>
        </w:rPr>
        <w:t>此，对于数据交易过程中所面临的诸多问题，应在数据治理中予以进</w:t>
      </w:r>
      <w:r>
        <w:rPr>
          <w:rFonts w:ascii="SimSun" w:hAnsi="SimSun" w:eastAsia="SimSun" w:cs="SimSun"/>
          <w:sz w:val="21"/>
          <w:szCs w:val="21"/>
          <w:spacing w:val="16"/>
        </w:rPr>
        <w:t xml:space="preserve"> </w:t>
      </w:r>
      <w:r>
        <w:rPr>
          <w:rFonts w:ascii="SimSun" w:hAnsi="SimSun" w:eastAsia="SimSun" w:cs="SimSun"/>
          <w:sz w:val="21"/>
          <w:szCs w:val="21"/>
          <w:spacing w:val="-12"/>
        </w:rPr>
        <w:t>一步明确，对出现的问题给予有效回应。</w:t>
      </w:r>
    </w:p>
    <w:p>
      <w:pPr>
        <w:pStyle w:val="BodyText"/>
        <w:spacing w:line="397" w:lineRule="auto"/>
        <w:rPr/>
      </w:pPr>
      <w:r/>
    </w:p>
    <w:p>
      <w:pPr>
        <w:ind w:left="412"/>
        <w:spacing w:before="68" w:line="219" w:lineRule="auto"/>
        <w:rPr>
          <w:rFonts w:ascii="SimSun" w:hAnsi="SimSun" w:eastAsia="SimSun" w:cs="SimSun"/>
          <w:sz w:val="21"/>
          <w:szCs w:val="21"/>
        </w:rPr>
      </w:pPr>
      <w:r>
        <w:rPr>
          <w:rFonts w:ascii="SimSun" w:hAnsi="SimSun" w:eastAsia="SimSun" w:cs="SimSun"/>
          <w:sz w:val="21"/>
          <w:szCs w:val="21"/>
          <w:b/>
          <w:bCs/>
          <w:spacing w:val="-14"/>
        </w:rPr>
        <w:t>数据安全与隐私保护</w:t>
      </w:r>
    </w:p>
    <w:p>
      <w:pPr>
        <w:ind w:firstLine="410"/>
        <w:spacing w:before="110" w:line="306" w:lineRule="auto"/>
        <w:jc w:val="both"/>
        <w:rPr>
          <w:rFonts w:ascii="SimSun" w:hAnsi="SimSun" w:eastAsia="SimSun" w:cs="SimSun"/>
          <w:sz w:val="21"/>
          <w:szCs w:val="21"/>
        </w:rPr>
      </w:pPr>
      <w:r>
        <w:rPr>
          <w:rFonts w:ascii="SimSun" w:hAnsi="SimSun" w:eastAsia="SimSun" w:cs="SimSun"/>
          <w:sz w:val="21"/>
          <w:szCs w:val="21"/>
          <w:spacing w:val="-8"/>
        </w:rPr>
        <w:t>数据安全与隐私保护同样是平台数据法律治理最为关键的维度。</w:t>
      </w:r>
      <w:r>
        <w:rPr>
          <w:rFonts w:ascii="SimSun" w:hAnsi="SimSun" w:eastAsia="SimSun" w:cs="SimSun"/>
          <w:sz w:val="21"/>
          <w:szCs w:val="21"/>
          <w:spacing w:val="17"/>
        </w:rPr>
        <w:t xml:space="preserve"> </w:t>
      </w:r>
      <w:r>
        <w:rPr>
          <w:rFonts w:ascii="SimSun" w:hAnsi="SimSun" w:eastAsia="SimSun" w:cs="SimSun"/>
          <w:sz w:val="21"/>
          <w:szCs w:val="21"/>
          <w:spacing w:val="-8"/>
        </w:rPr>
        <w:t>如何在保证数据安全和用户隐私的前提下实现数据流通</w:t>
      </w:r>
      <w:r>
        <w:rPr>
          <w:rFonts w:ascii="SimSun" w:hAnsi="SimSun" w:eastAsia="SimSun" w:cs="SimSun"/>
          <w:sz w:val="21"/>
          <w:szCs w:val="21"/>
          <w:spacing w:val="-9"/>
        </w:rPr>
        <w:t>价值最大化，</w:t>
      </w:r>
      <w:r>
        <w:rPr>
          <w:rFonts w:ascii="SimSun" w:hAnsi="SimSun" w:eastAsia="SimSun" w:cs="SimSun"/>
          <w:sz w:val="21"/>
          <w:szCs w:val="21"/>
        </w:rPr>
        <w:t xml:space="preserve"> </w:t>
      </w:r>
      <w:r>
        <w:rPr>
          <w:rFonts w:ascii="SimSun" w:hAnsi="SimSun" w:eastAsia="SimSun" w:cs="SimSun"/>
          <w:sz w:val="21"/>
          <w:szCs w:val="21"/>
          <w:spacing w:val="-11"/>
        </w:rPr>
        <w:t>成为当前平台面临的最棘手的难题。作为数据领域目前最受关注的两</w:t>
      </w:r>
      <w:r>
        <w:rPr>
          <w:rFonts w:ascii="SimSun" w:hAnsi="SimSun" w:eastAsia="SimSun" w:cs="SimSun"/>
          <w:sz w:val="21"/>
          <w:szCs w:val="21"/>
          <w:spacing w:val="9"/>
        </w:rPr>
        <w:t xml:space="preserve">  </w:t>
      </w:r>
      <w:r>
        <w:rPr>
          <w:rFonts w:ascii="SimSun" w:hAnsi="SimSun" w:eastAsia="SimSun" w:cs="SimSun"/>
          <w:sz w:val="21"/>
          <w:szCs w:val="21"/>
          <w:spacing w:val="-10"/>
        </w:rPr>
        <w:t>大交叉板块，数据安全与隐私保护共同构成数据保护</w:t>
      </w:r>
      <w:r>
        <w:rPr>
          <w:rFonts w:ascii="SimSun" w:hAnsi="SimSun" w:eastAsia="SimSun" w:cs="SimSun"/>
          <w:sz w:val="21"/>
          <w:szCs w:val="21"/>
          <w:spacing w:val="-11"/>
        </w:rPr>
        <w:t>和个人信息保护</w:t>
      </w:r>
      <w:r>
        <w:rPr>
          <w:rFonts w:ascii="SimSun" w:hAnsi="SimSun" w:eastAsia="SimSun" w:cs="SimSun"/>
          <w:sz w:val="21"/>
          <w:szCs w:val="21"/>
        </w:rPr>
        <w:t xml:space="preserve">  </w:t>
      </w:r>
      <w:r>
        <w:rPr>
          <w:rFonts w:ascii="SimSun" w:hAnsi="SimSun" w:eastAsia="SimSun" w:cs="SimSun"/>
          <w:sz w:val="21"/>
          <w:szCs w:val="21"/>
          <w:spacing w:val="-10"/>
        </w:rPr>
        <w:t>的两大核心。数据安全公法属性较强，以控</w:t>
      </w:r>
      <w:r>
        <w:rPr>
          <w:rFonts w:ascii="SimSun" w:hAnsi="SimSun" w:eastAsia="SimSun" w:cs="SimSun"/>
          <w:sz w:val="21"/>
          <w:szCs w:val="21"/>
          <w:spacing w:val="-11"/>
        </w:rPr>
        <w:t>制数据处理活动的风险为</w:t>
      </w:r>
      <w:r>
        <w:rPr>
          <w:rFonts w:ascii="SimSun" w:hAnsi="SimSun" w:eastAsia="SimSun" w:cs="SimSun"/>
          <w:sz w:val="21"/>
          <w:szCs w:val="21"/>
        </w:rPr>
        <w:t xml:space="preserve">  </w:t>
      </w:r>
      <w:r>
        <w:rPr>
          <w:rFonts w:ascii="SimSun" w:hAnsi="SimSun" w:eastAsia="SimSun" w:cs="SimSun"/>
          <w:sz w:val="21"/>
          <w:szCs w:val="21"/>
          <w:spacing w:val="-11"/>
        </w:rPr>
        <w:t>核心，其着眼点是保证数据处理活动不因数据泄露等原因对大量个体</w:t>
      </w:r>
      <w:r>
        <w:rPr>
          <w:rFonts w:ascii="SimSun" w:hAnsi="SimSun" w:eastAsia="SimSun" w:cs="SimSun"/>
          <w:sz w:val="21"/>
          <w:szCs w:val="21"/>
          <w:spacing w:val="8"/>
        </w:rPr>
        <w:t xml:space="preserve">  </w:t>
      </w:r>
      <w:r>
        <w:rPr>
          <w:rFonts w:ascii="SimSun" w:hAnsi="SimSun" w:eastAsia="SimSun" w:cs="SimSun"/>
          <w:sz w:val="21"/>
          <w:szCs w:val="21"/>
          <w:spacing w:val="-10"/>
        </w:rPr>
        <w:t>的人身和财产安全造成影响，亦包含规避由数据引起的社会安全和国</w:t>
      </w:r>
      <w:r>
        <w:rPr>
          <w:rFonts w:ascii="SimSun" w:hAnsi="SimSun" w:eastAsia="SimSun" w:cs="SimSun"/>
          <w:sz w:val="21"/>
          <w:szCs w:val="21"/>
        </w:rPr>
        <w:t xml:space="preserve"> </w:t>
      </w:r>
      <w:r>
        <w:rPr>
          <w:rFonts w:ascii="SimSun" w:hAnsi="SimSun" w:eastAsia="SimSun" w:cs="SimSun"/>
          <w:sz w:val="21"/>
          <w:szCs w:val="21"/>
          <w:spacing w:val="-11"/>
        </w:rPr>
        <w:t>家安全问题；而隐私保护则显示出较强私法属性，其是以个人对其个</w:t>
      </w:r>
      <w:r>
        <w:rPr>
          <w:rFonts w:ascii="SimSun" w:hAnsi="SimSun" w:eastAsia="SimSun" w:cs="SimSun"/>
          <w:sz w:val="21"/>
          <w:szCs w:val="21"/>
          <w:spacing w:val="8"/>
        </w:rPr>
        <w:t xml:space="preserve">  </w:t>
      </w:r>
      <w:r>
        <w:rPr>
          <w:rFonts w:ascii="SimSun" w:hAnsi="SimSun" w:eastAsia="SimSun" w:cs="SimSun"/>
          <w:sz w:val="21"/>
          <w:szCs w:val="21"/>
          <w:spacing w:val="-10"/>
        </w:rPr>
        <w:t>人信息或数据的控制能力为核心，着眼点在于数据主体在多大程</w:t>
      </w:r>
      <w:r>
        <w:rPr>
          <w:rFonts w:ascii="SimSun" w:hAnsi="SimSun" w:eastAsia="SimSun" w:cs="SimSun"/>
          <w:sz w:val="21"/>
          <w:szCs w:val="21"/>
          <w:spacing w:val="-11"/>
        </w:rPr>
        <w:t>度上</w:t>
      </w:r>
    </w:p>
    <w:p>
      <w:pPr>
        <w:pStyle w:val="BodyText"/>
        <w:spacing w:line="467" w:lineRule="auto"/>
        <w:rPr/>
      </w:pPr>
      <w:r/>
    </w:p>
    <w:p>
      <w:pPr>
        <w:spacing w:before="52" w:line="220" w:lineRule="auto"/>
        <w:rPr>
          <w:rFonts w:ascii="Times New Roman" w:hAnsi="Times New Roman" w:eastAsia="Times New Roman" w:cs="Times New Roman"/>
          <w:sz w:val="16"/>
          <w:szCs w:val="16"/>
        </w:rPr>
      </w:pPr>
      <w:r>
        <w:rPr>
          <w:rFonts w:ascii="SimSun" w:hAnsi="SimSun" w:eastAsia="SimSun" w:cs="SimSun"/>
          <w:sz w:val="16"/>
          <w:szCs w:val="16"/>
          <w:spacing w:val="6"/>
        </w:rPr>
        <w:t>①</w:t>
      </w:r>
      <w:r>
        <w:rPr>
          <w:rFonts w:ascii="SimSun" w:hAnsi="SimSun" w:eastAsia="SimSun" w:cs="SimSun"/>
          <w:sz w:val="16"/>
          <w:szCs w:val="16"/>
          <w:spacing w:val="92"/>
        </w:rPr>
        <w:t xml:space="preserve"> </w:t>
      </w:r>
      <w:r>
        <w:rPr>
          <w:rFonts w:ascii="SimSun" w:hAnsi="SimSun" w:eastAsia="SimSun" w:cs="SimSun"/>
          <w:sz w:val="16"/>
          <w:szCs w:val="16"/>
          <w:spacing w:val="6"/>
        </w:rPr>
        <w:t>肖</w:t>
      </w:r>
      <w:r>
        <w:rPr>
          <w:rFonts w:ascii="KaiTi" w:hAnsi="KaiTi" w:eastAsia="KaiTi" w:cs="KaiTi"/>
          <w:sz w:val="16"/>
          <w:szCs w:val="16"/>
          <w:spacing w:val="6"/>
        </w:rPr>
        <w:t>建华，柴芳墨.论数据权利与交易规制.中国高校社会科学，2019(1):</w:t>
      </w:r>
      <w:r>
        <w:rPr>
          <w:rFonts w:ascii="Times New Roman" w:hAnsi="Times New Roman" w:eastAsia="Times New Roman" w:cs="Times New Roman"/>
          <w:sz w:val="16"/>
          <w:szCs w:val="16"/>
          <w:spacing w:val="6"/>
        </w:rPr>
        <w:t>83-93.</w:t>
      </w:r>
    </w:p>
    <w:p>
      <w:pPr>
        <w:spacing w:line="220" w:lineRule="auto"/>
        <w:sectPr>
          <w:headerReference w:type="default" r:id="rId430"/>
          <w:pgSz w:w="7330" w:h="12480"/>
          <w:pgMar w:top="805" w:right="745" w:bottom="400" w:left="499" w:header="642" w:footer="0" w:gutter="0"/>
        </w:sectPr>
        <w:rPr>
          <w:rFonts w:ascii="Times New Roman" w:hAnsi="Times New Roman" w:eastAsia="Times New Roman" w:cs="Times New Roman"/>
          <w:sz w:val="16"/>
          <w:szCs w:val="16"/>
        </w:rPr>
      </w:pPr>
    </w:p>
    <w:p>
      <w:pPr>
        <w:pStyle w:val="BodyText"/>
        <w:spacing w:line="254" w:lineRule="auto"/>
        <w:rPr/>
      </w:pPr>
      <w:r>
        <w:drawing>
          <wp:anchor distT="0" distB="0" distL="0" distR="0" simplePos="0" relativeHeight="255389696" behindDoc="0" locked="0" layoutInCell="0" allowOverlap="1">
            <wp:simplePos x="0" y="0"/>
            <wp:positionH relativeFrom="page">
              <wp:posOffset>482583</wp:posOffset>
            </wp:positionH>
            <wp:positionV relativeFrom="page">
              <wp:posOffset>6680204</wp:posOffset>
            </wp:positionV>
            <wp:extent cx="1181138" cy="6350"/>
            <wp:effectExtent l="0" t="0" r="0" b="0"/>
            <wp:wrapNone/>
            <wp:docPr id="296" name="IM 296"/>
            <wp:cNvGraphicFramePr/>
            <a:graphic>
              <a:graphicData uri="http://schemas.openxmlformats.org/drawingml/2006/picture">
                <pic:pic>
                  <pic:nvPicPr>
                    <pic:cNvPr id="296" name="IM 296"/>
                    <pic:cNvPicPr/>
                  </pic:nvPicPr>
                  <pic:blipFill>
                    <a:blip r:embed="rId433"/>
                    <a:stretch>
                      <a:fillRect/>
                    </a:stretch>
                  </pic:blipFill>
                  <pic:spPr>
                    <a:xfrm rot="0">
                      <a:off x="0" y="0"/>
                      <a:ext cx="1181138" cy="6350"/>
                    </a:xfrm>
                    <a:prstGeom prst="rect">
                      <a:avLst/>
                    </a:prstGeom>
                  </pic:spPr>
                </pic:pic>
              </a:graphicData>
            </a:graphic>
          </wp:anchor>
        </w:drawing>
      </w:r>
      <w:r/>
    </w:p>
    <w:p>
      <w:pPr>
        <w:pStyle w:val="BodyText"/>
        <w:spacing w:line="254" w:lineRule="auto"/>
        <w:rPr/>
      </w:pPr>
      <w:r/>
    </w:p>
    <w:p>
      <w:pPr>
        <w:pStyle w:val="BodyText"/>
        <w:spacing w:line="255" w:lineRule="auto"/>
        <w:rPr/>
      </w:pPr>
      <w:r/>
    </w:p>
    <w:p>
      <w:pPr>
        <w:pStyle w:val="BodyText"/>
        <w:spacing w:line="255" w:lineRule="auto"/>
        <w:rPr/>
      </w:pPr>
      <w:r/>
    </w:p>
    <w:p>
      <w:pPr>
        <w:ind w:right="97"/>
        <w:spacing w:before="65" w:line="332" w:lineRule="auto"/>
        <w:jc w:val="both"/>
        <w:rPr>
          <w:rFonts w:ascii="SimSun" w:hAnsi="SimSun" w:eastAsia="SimSun" w:cs="SimSun"/>
          <w:sz w:val="20"/>
          <w:szCs w:val="20"/>
        </w:rPr>
      </w:pPr>
      <w:r>
        <w:rPr>
          <w:rFonts w:ascii="SimSun" w:hAnsi="SimSun" w:eastAsia="SimSun" w:cs="SimSun"/>
          <w:sz w:val="20"/>
          <w:szCs w:val="20"/>
        </w:rPr>
        <w:t>对数据处理活动享有控制能力。二者属于平台数</w:t>
      </w:r>
      <w:r>
        <w:rPr>
          <w:rFonts w:ascii="SimSun" w:hAnsi="SimSun" w:eastAsia="SimSun" w:cs="SimSun"/>
          <w:sz w:val="20"/>
          <w:szCs w:val="20"/>
          <w:spacing w:val="-1"/>
        </w:rPr>
        <w:t>据法律治理过程中需</w:t>
      </w:r>
      <w:r>
        <w:rPr>
          <w:rFonts w:ascii="SimSun" w:hAnsi="SimSun" w:eastAsia="SimSun" w:cs="SimSun"/>
          <w:sz w:val="20"/>
          <w:szCs w:val="20"/>
        </w:rPr>
        <w:t xml:space="preserve"> </w:t>
      </w:r>
      <w:r>
        <w:rPr>
          <w:rFonts w:ascii="SimSun" w:hAnsi="SimSun" w:eastAsia="SimSun" w:cs="SimSun"/>
          <w:sz w:val="20"/>
          <w:szCs w:val="20"/>
        </w:rPr>
        <w:t>要高度关注的领域，如何在保证数据安全和隐</w:t>
      </w:r>
      <w:r>
        <w:rPr>
          <w:rFonts w:ascii="SimSun" w:hAnsi="SimSun" w:eastAsia="SimSun" w:cs="SimSun"/>
          <w:sz w:val="20"/>
          <w:szCs w:val="20"/>
          <w:spacing w:val="-1"/>
        </w:rPr>
        <w:t>私保护的前提下进行有</w:t>
      </w:r>
    </w:p>
    <w:p>
      <w:pPr>
        <w:spacing w:line="219" w:lineRule="auto"/>
        <w:rPr>
          <w:rFonts w:ascii="SimSun" w:hAnsi="SimSun" w:eastAsia="SimSun" w:cs="SimSun"/>
          <w:sz w:val="20"/>
          <w:szCs w:val="20"/>
        </w:rPr>
      </w:pPr>
      <w:r>
        <w:rPr>
          <w:rFonts w:ascii="SimSun" w:hAnsi="SimSun" w:eastAsia="SimSun" w:cs="SimSun"/>
          <w:sz w:val="20"/>
          <w:szCs w:val="20"/>
          <w:spacing w:val="-2"/>
        </w:rPr>
        <w:t>关的数据活动成为平台治理的一大挑战。</w:t>
      </w:r>
    </w:p>
    <w:p>
      <w:pPr>
        <w:ind w:firstLine="440"/>
        <w:spacing w:before="113" w:line="332" w:lineRule="auto"/>
        <w:jc w:val="both"/>
        <w:rPr>
          <w:rFonts w:ascii="SimSun" w:hAnsi="SimSun" w:eastAsia="SimSun" w:cs="SimSun"/>
          <w:sz w:val="20"/>
          <w:szCs w:val="20"/>
        </w:rPr>
      </w:pPr>
      <w:r>
        <w:rPr>
          <w:rFonts w:ascii="SimSun" w:hAnsi="SimSun" w:eastAsia="SimSun" w:cs="SimSun"/>
          <w:sz w:val="20"/>
          <w:szCs w:val="20"/>
          <w:spacing w:val="-1"/>
        </w:rPr>
        <w:t>此外，平台数据法律治理过程中还需面对其他问题，需重视平台</w:t>
      </w:r>
      <w:r>
        <w:rPr>
          <w:rFonts w:ascii="SimSun" w:hAnsi="SimSun" w:eastAsia="SimSun" w:cs="SimSun"/>
          <w:sz w:val="20"/>
          <w:szCs w:val="20"/>
          <w:spacing w:val="18"/>
        </w:rPr>
        <w:t xml:space="preserve"> </w:t>
      </w:r>
      <w:r>
        <w:rPr>
          <w:rFonts w:ascii="SimSun" w:hAnsi="SimSun" w:eastAsia="SimSun" w:cs="SimSun"/>
          <w:sz w:val="20"/>
          <w:szCs w:val="20"/>
          <w:spacing w:val="-1"/>
        </w:rPr>
        <w:t>治理过程中出现的数据使用与处理技术边界问题，尽快明确数据跨境</w:t>
      </w:r>
      <w:r>
        <w:rPr>
          <w:rFonts w:ascii="SimSun" w:hAnsi="SimSun" w:eastAsia="SimSun" w:cs="SimSun"/>
          <w:sz w:val="20"/>
          <w:szCs w:val="20"/>
          <w:spacing w:val="8"/>
        </w:rPr>
        <w:t xml:space="preserve">  </w:t>
      </w:r>
      <w:r>
        <w:rPr>
          <w:rFonts w:ascii="SimSun" w:hAnsi="SimSun" w:eastAsia="SimSun" w:cs="SimSun"/>
          <w:sz w:val="20"/>
          <w:szCs w:val="20"/>
          <w:spacing w:val="3"/>
        </w:rPr>
        <w:t>相关安全评估标准与办法，探索促进数据流通利用和保障数据安全、</w:t>
      </w:r>
    </w:p>
    <w:p>
      <w:pPr>
        <w:spacing w:line="219" w:lineRule="auto"/>
        <w:rPr>
          <w:rFonts w:ascii="SimSun" w:hAnsi="SimSun" w:eastAsia="SimSun" w:cs="SimSun"/>
          <w:sz w:val="20"/>
          <w:szCs w:val="20"/>
        </w:rPr>
      </w:pPr>
      <w:r>
        <w:rPr>
          <w:rFonts w:ascii="SimSun" w:hAnsi="SimSun" w:eastAsia="SimSun" w:cs="SimSun"/>
          <w:sz w:val="20"/>
          <w:szCs w:val="20"/>
          <w:spacing w:val="-3"/>
        </w:rPr>
        <w:t>数据主体合法权益的平衡之道。</w:t>
      </w:r>
    </w:p>
    <w:p>
      <w:pPr>
        <w:pStyle w:val="BodyText"/>
        <w:spacing w:line="389" w:lineRule="auto"/>
        <w:rPr/>
      </w:pPr>
      <w:r/>
    </w:p>
    <w:p>
      <w:pPr>
        <w:ind w:left="1164"/>
        <w:spacing w:before="100" w:line="718" w:lineRule="exact"/>
        <w:rPr>
          <w:rFonts w:ascii="SimSun" w:hAnsi="SimSun" w:eastAsia="SimSun" w:cs="SimSun"/>
          <w:sz w:val="31"/>
          <w:szCs w:val="31"/>
        </w:rPr>
      </w:pPr>
      <w:r>
        <w:rPr>
          <w:rFonts w:ascii="SimSun" w:hAnsi="SimSun" w:eastAsia="SimSun" w:cs="SimSun"/>
          <w:sz w:val="31"/>
          <w:szCs w:val="31"/>
          <w:b/>
          <w:bCs/>
          <w:spacing w:val="2"/>
          <w:position w:val="31"/>
        </w:rPr>
        <w:t>平台经济中算法的法律治理</w:t>
      </w:r>
    </w:p>
    <w:p>
      <w:pPr>
        <w:ind w:left="3"/>
        <w:spacing w:line="221" w:lineRule="auto"/>
        <w:rPr>
          <w:rFonts w:ascii="SimHei" w:hAnsi="SimHei" w:eastAsia="SimHei" w:cs="SimHei"/>
          <w:sz w:val="24"/>
          <w:szCs w:val="24"/>
        </w:rPr>
      </w:pPr>
      <w:r>
        <w:rPr>
          <w:rFonts w:ascii="SimHei" w:hAnsi="SimHei" w:eastAsia="SimHei" w:cs="SimHei"/>
          <w:sz w:val="24"/>
          <w:szCs w:val="24"/>
          <w:b/>
          <w:bCs/>
          <w:spacing w:val="-4"/>
        </w:rPr>
        <w:t>整体法律观察</w:t>
      </w:r>
    </w:p>
    <w:p>
      <w:pPr>
        <w:pStyle w:val="BodyText"/>
        <w:spacing w:line="375" w:lineRule="auto"/>
        <w:rPr/>
      </w:pPr>
      <w:r/>
    </w:p>
    <w:p>
      <w:pPr>
        <w:ind w:right="69" w:firstLine="440"/>
        <w:spacing w:before="66" w:line="289" w:lineRule="auto"/>
        <w:jc w:val="both"/>
        <w:rPr>
          <w:rFonts w:ascii="SimSun" w:hAnsi="SimSun" w:eastAsia="SimSun" w:cs="SimSun"/>
          <w:sz w:val="20"/>
          <w:szCs w:val="20"/>
        </w:rPr>
      </w:pPr>
      <w:r>
        <w:rPr>
          <w:rFonts w:ascii="SimSun" w:hAnsi="SimSun" w:eastAsia="SimSun" w:cs="SimSun"/>
          <w:sz w:val="20"/>
          <w:szCs w:val="20"/>
          <w:spacing w:val="6"/>
        </w:rPr>
        <w:t>平台经济创新发展过程中，数据作为重要客体的价值已不言而</w:t>
      </w:r>
      <w:r>
        <w:rPr>
          <w:rFonts w:ascii="SimSun" w:hAnsi="SimSun" w:eastAsia="SimSun" w:cs="SimSun"/>
          <w:sz w:val="20"/>
          <w:szCs w:val="20"/>
          <w:spacing w:val="17"/>
        </w:rPr>
        <w:t xml:space="preserve"> </w:t>
      </w:r>
      <w:r>
        <w:rPr>
          <w:rFonts w:ascii="SimSun" w:hAnsi="SimSun" w:eastAsia="SimSun" w:cs="SimSun"/>
          <w:sz w:val="20"/>
          <w:szCs w:val="20"/>
          <w:spacing w:val="-1"/>
        </w:rPr>
        <w:t>喻，就驱动数据使其发挥经济价值的行为选择而言，算法当仁不让地</w:t>
      </w:r>
      <w:r>
        <w:rPr>
          <w:rFonts w:ascii="SimSun" w:hAnsi="SimSun" w:eastAsia="SimSun" w:cs="SimSun"/>
          <w:sz w:val="20"/>
          <w:szCs w:val="20"/>
          <w:spacing w:val="12"/>
        </w:rPr>
        <w:t xml:space="preserve"> </w:t>
      </w:r>
      <w:r>
        <w:rPr>
          <w:rFonts w:ascii="SimSun" w:hAnsi="SimSun" w:eastAsia="SimSun" w:cs="SimSun"/>
          <w:sz w:val="20"/>
          <w:szCs w:val="20"/>
          <w:spacing w:val="-4"/>
        </w:rPr>
        <w:t>被各大平台作为首选。</w:t>
      </w:r>
    </w:p>
    <w:p>
      <w:pPr>
        <w:ind w:right="56" w:firstLine="440"/>
        <w:spacing w:before="125" w:line="332" w:lineRule="auto"/>
        <w:jc w:val="both"/>
        <w:rPr>
          <w:rFonts w:ascii="SimSun" w:hAnsi="SimSun" w:eastAsia="SimSun" w:cs="SimSun"/>
          <w:sz w:val="20"/>
          <w:szCs w:val="20"/>
        </w:rPr>
      </w:pPr>
      <w:r>
        <w:rPr>
          <w:rFonts w:ascii="SimSun" w:hAnsi="SimSun" w:eastAsia="SimSun" w:cs="SimSun"/>
          <w:sz w:val="20"/>
          <w:szCs w:val="20"/>
          <w:spacing w:val="-1"/>
        </w:rPr>
        <w:t>本节概述在平台经济时代算法利用的基本情况和类型化场景，同</w:t>
      </w:r>
      <w:r>
        <w:rPr>
          <w:rFonts w:ascii="SimSun" w:hAnsi="SimSun" w:eastAsia="SimSun" w:cs="SimSun"/>
          <w:sz w:val="20"/>
          <w:szCs w:val="20"/>
          <w:spacing w:val="18"/>
        </w:rPr>
        <w:t xml:space="preserve"> </w:t>
      </w:r>
      <w:r>
        <w:rPr>
          <w:rFonts w:ascii="SimSun" w:hAnsi="SimSun" w:eastAsia="SimSun" w:cs="SimSun"/>
          <w:sz w:val="20"/>
          <w:szCs w:val="20"/>
          <w:spacing w:val="-1"/>
        </w:rPr>
        <w:t>时提出规制算法路径存在的问题，尤其是在人工智能作为平台企业竞</w:t>
      </w:r>
      <w:r>
        <w:rPr>
          <w:rFonts w:ascii="SimSun" w:hAnsi="SimSun" w:eastAsia="SimSun" w:cs="SimSun"/>
          <w:sz w:val="20"/>
          <w:szCs w:val="20"/>
          <w:spacing w:val="11"/>
        </w:rPr>
        <w:t xml:space="preserve"> </w:t>
      </w:r>
      <w:r>
        <w:rPr>
          <w:rFonts w:ascii="SimSun" w:hAnsi="SimSun" w:eastAsia="SimSun" w:cs="SimSun"/>
          <w:sz w:val="20"/>
          <w:szCs w:val="20"/>
          <w:spacing w:val="7"/>
        </w:rPr>
        <w:t>相追逐的投资对象的背景下。人工智能时代，在网络传媒、电子商</w:t>
      </w:r>
      <w:r>
        <w:rPr>
          <w:rFonts w:ascii="SimSun" w:hAnsi="SimSun" w:eastAsia="SimSun" w:cs="SimSun"/>
          <w:sz w:val="20"/>
          <w:szCs w:val="20"/>
        </w:rPr>
        <w:t xml:space="preserve"> </w:t>
      </w:r>
      <w:r>
        <w:rPr>
          <w:rFonts w:ascii="SimSun" w:hAnsi="SimSun" w:eastAsia="SimSun" w:cs="SimSun"/>
          <w:sz w:val="20"/>
          <w:szCs w:val="20"/>
          <w:spacing w:val="8"/>
        </w:rPr>
        <w:t>务、搜索引擎、人际社交、公共交通(公交车、无</w:t>
      </w:r>
      <w:r>
        <w:rPr>
          <w:rFonts w:ascii="SimSun" w:hAnsi="SimSun" w:eastAsia="SimSun" w:cs="SimSun"/>
          <w:sz w:val="20"/>
          <w:szCs w:val="20"/>
          <w:spacing w:val="7"/>
        </w:rPr>
        <w:t>人机、自动驾驶)</w:t>
      </w:r>
      <w:r>
        <w:rPr>
          <w:rFonts w:ascii="SimSun" w:hAnsi="SimSun" w:eastAsia="SimSun" w:cs="SimSun"/>
          <w:sz w:val="20"/>
          <w:szCs w:val="20"/>
        </w:rPr>
        <w:t xml:space="preserve"> </w:t>
      </w:r>
      <w:r>
        <w:rPr>
          <w:rFonts w:ascii="SimSun" w:hAnsi="SimSun" w:eastAsia="SimSun" w:cs="SimSun"/>
          <w:sz w:val="20"/>
          <w:szCs w:val="20"/>
        </w:rPr>
        <w:t>等领域，算法已经开始逐渐渗入人类决策，</w:t>
      </w:r>
      <w:r>
        <w:rPr>
          <w:rFonts w:ascii="SimSun" w:hAnsi="SimSun" w:eastAsia="SimSun" w:cs="SimSun"/>
          <w:sz w:val="20"/>
          <w:szCs w:val="20"/>
          <w:spacing w:val="-1"/>
        </w:rPr>
        <w:t>产生“计算主义”①的新</w:t>
      </w:r>
      <w:r>
        <w:rPr>
          <w:rFonts w:ascii="SimSun" w:hAnsi="SimSun" w:eastAsia="SimSun" w:cs="SimSun"/>
          <w:sz w:val="20"/>
          <w:szCs w:val="20"/>
        </w:rPr>
        <w:t xml:space="preserve"> </w:t>
      </w:r>
      <w:r>
        <w:rPr>
          <w:rFonts w:ascii="SimSun" w:hAnsi="SimSun" w:eastAsia="SimSun" w:cs="SimSun"/>
          <w:sz w:val="20"/>
          <w:szCs w:val="20"/>
          <w:spacing w:val="-1"/>
        </w:rPr>
        <w:t>思潮，典型如互联网平台通过算法实现海量数据的流通互动，利用算</w:t>
      </w:r>
      <w:r>
        <w:rPr>
          <w:rFonts w:ascii="SimSun" w:hAnsi="SimSun" w:eastAsia="SimSun" w:cs="SimSun"/>
          <w:sz w:val="20"/>
          <w:szCs w:val="20"/>
          <w:spacing w:val="14"/>
        </w:rPr>
        <w:t xml:space="preserve"> </w:t>
      </w:r>
      <w:r>
        <w:rPr>
          <w:rFonts w:ascii="SimSun" w:hAnsi="SimSun" w:eastAsia="SimSun" w:cs="SimSun"/>
          <w:sz w:val="20"/>
          <w:szCs w:val="20"/>
        </w:rPr>
        <w:t>法分析用户模型，精准投放需求广告；自动驾</w:t>
      </w:r>
      <w:r>
        <w:rPr>
          <w:rFonts w:ascii="SimSun" w:hAnsi="SimSun" w:eastAsia="SimSun" w:cs="SimSun"/>
          <w:sz w:val="20"/>
          <w:szCs w:val="20"/>
          <w:spacing w:val="-1"/>
        </w:rPr>
        <w:t>驶汽车也通过算法融合</w:t>
      </w:r>
      <w:r>
        <w:rPr>
          <w:rFonts w:ascii="SimSun" w:hAnsi="SimSun" w:eastAsia="SimSun" w:cs="SimSun"/>
          <w:sz w:val="20"/>
          <w:szCs w:val="20"/>
        </w:rPr>
        <w:t xml:space="preserve"> </w:t>
      </w:r>
      <w:r>
        <w:rPr>
          <w:rFonts w:ascii="SimSun" w:hAnsi="SimSun" w:eastAsia="SimSun" w:cs="SimSun"/>
          <w:sz w:val="20"/>
          <w:szCs w:val="20"/>
        </w:rPr>
        <w:t>传感器数据，计算并检测驾驶过程中遇到的行人以及</w:t>
      </w:r>
      <w:r>
        <w:rPr>
          <w:rFonts w:ascii="SimSun" w:hAnsi="SimSun" w:eastAsia="SimSun" w:cs="SimSun"/>
          <w:sz w:val="20"/>
          <w:szCs w:val="20"/>
          <w:spacing w:val="-1"/>
        </w:rPr>
        <w:t>障碍物、确定方</w:t>
      </w:r>
    </w:p>
    <w:p>
      <w:pPr>
        <w:spacing w:line="219" w:lineRule="auto"/>
        <w:rPr>
          <w:rFonts w:ascii="SimSun" w:hAnsi="SimSun" w:eastAsia="SimSun" w:cs="SimSun"/>
          <w:sz w:val="20"/>
          <w:szCs w:val="20"/>
        </w:rPr>
      </w:pPr>
      <w:r>
        <w:rPr>
          <w:rFonts w:ascii="SimSun" w:hAnsi="SimSun" w:eastAsia="SimSun" w:cs="SimSun"/>
          <w:sz w:val="20"/>
          <w:szCs w:val="20"/>
        </w:rPr>
        <w:t>位。因此，算法逐渐深入日常生活的方方面面，</w:t>
      </w:r>
      <w:r>
        <w:rPr>
          <w:rFonts w:ascii="SimSun" w:hAnsi="SimSun" w:eastAsia="SimSun" w:cs="SimSun"/>
          <w:sz w:val="20"/>
          <w:szCs w:val="20"/>
          <w:spacing w:val="-1"/>
        </w:rPr>
        <w:t>我们在享受算法带来</w:t>
      </w:r>
    </w:p>
    <w:p>
      <w:pPr>
        <w:pStyle w:val="BodyText"/>
        <w:spacing w:line="253" w:lineRule="auto"/>
        <w:rPr/>
      </w:pPr>
      <w:r/>
    </w:p>
    <w:p>
      <w:pPr>
        <w:pStyle w:val="BodyText"/>
        <w:spacing w:line="254" w:lineRule="auto"/>
        <w:rPr/>
      </w:pPr>
      <w:r/>
    </w:p>
    <w:p>
      <w:pPr>
        <w:ind w:left="330" w:right="62" w:hanging="330"/>
        <w:spacing w:before="66" w:line="234" w:lineRule="auto"/>
        <w:rPr>
          <w:rFonts w:ascii="SimSun" w:hAnsi="SimSun" w:eastAsia="SimSun" w:cs="SimSun"/>
          <w:sz w:val="20"/>
          <w:szCs w:val="20"/>
        </w:rPr>
      </w:pPr>
      <w:r>
        <w:rPr>
          <w:rFonts w:ascii="KaiTi" w:hAnsi="KaiTi" w:eastAsia="KaiTi" w:cs="KaiTi"/>
          <w:sz w:val="20"/>
          <w:szCs w:val="20"/>
          <w:spacing w:val="-19"/>
        </w:rPr>
        <w:t>①</w:t>
      </w:r>
      <w:r>
        <w:rPr>
          <w:rFonts w:ascii="KaiTi" w:hAnsi="KaiTi" w:eastAsia="KaiTi" w:cs="KaiTi"/>
          <w:sz w:val="20"/>
          <w:szCs w:val="20"/>
          <w:spacing w:val="54"/>
        </w:rPr>
        <w:t xml:space="preserve"> </w:t>
      </w:r>
      <w:r>
        <w:rPr>
          <w:rFonts w:ascii="KaiTi" w:hAnsi="KaiTi" w:eastAsia="KaiTi" w:cs="KaiTi"/>
          <w:sz w:val="20"/>
          <w:szCs w:val="20"/>
          <w:spacing w:val="-19"/>
        </w:rPr>
        <w:t>刘晓力.当代哲学如何面对认知科学的意识难题.中国社会科学，20</w:t>
      </w:r>
      <w:r>
        <w:rPr>
          <w:rFonts w:ascii="KaiTi" w:hAnsi="KaiTi" w:eastAsia="KaiTi" w:cs="KaiTi"/>
          <w:sz w:val="20"/>
          <w:szCs w:val="20"/>
          <w:spacing w:val="-20"/>
        </w:rPr>
        <w:t>14(6):</w:t>
      </w:r>
      <w:r>
        <w:rPr>
          <w:rFonts w:ascii="KaiTi" w:hAnsi="KaiTi" w:eastAsia="KaiTi" w:cs="KaiTi"/>
          <w:sz w:val="20"/>
          <w:szCs w:val="20"/>
        </w:rPr>
        <w:t xml:space="preserve"> </w:t>
      </w:r>
      <w:r>
        <w:rPr>
          <w:rFonts w:ascii="SimSun" w:hAnsi="SimSun" w:eastAsia="SimSun" w:cs="SimSun"/>
          <w:sz w:val="20"/>
          <w:szCs w:val="20"/>
          <w:spacing w:val="-14"/>
        </w:rPr>
        <w:t>48-68.</w:t>
      </w:r>
    </w:p>
    <w:p>
      <w:pPr>
        <w:spacing w:line="234" w:lineRule="auto"/>
        <w:sectPr>
          <w:headerReference w:type="default" r:id="rId432"/>
          <w:pgSz w:w="7330" w:h="12480"/>
          <w:pgMar w:top="498" w:right="499" w:bottom="400" w:left="739" w:header="335" w:footer="0" w:gutter="0"/>
        </w:sectPr>
        <w:rPr>
          <w:rFonts w:ascii="SimSun" w:hAnsi="SimSun" w:eastAsia="SimSun" w:cs="SimSun"/>
          <w:sz w:val="20"/>
          <w:szCs w:val="20"/>
        </w:rPr>
      </w:pPr>
    </w:p>
    <w:p>
      <w:pPr>
        <w:ind w:left="1622"/>
        <w:spacing w:before="233" w:line="221" w:lineRule="auto"/>
        <w:rPr>
          <w:rFonts w:ascii="SimSun" w:hAnsi="SimSun" w:eastAsia="SimSun" w:cs="SimSun"/>
          <w:sz w:val="12"/>
          <w:szCs w:val="12"/>
        </w:rPr>
      </w:pPr>
      <w:r>
        <w:drawing>
          <wp:anchor distT="0" distB="0" distL="0" distR="0" simplePos="0" relativeHeight="255399936" behindDoc="0" locked="0" layoutInCell="0" allowOverlap="1">
            <wp:simplePos x="0" y="0"/>
            <wp:positionH relativeFrom="page">
              <wp:posOffset>406388</wp:posOffset>
            </wp:positionH>
            <wp:positionV relativeFrom="page">
              <wp:posOffset>6362663</wp:posOffset>
            </wp:positionV>
            <wp:extent cx="1168431" cy="6418"/>
            <wp:effectExtent l="0" t="0" r="0" b="0"/>
            <wp:wrapNone/>
            <wp:docPr id="298" name="IM 298"/>
            <wp:cNvGraphicFramePr/>
            <a:graphic>
              <a:graphicData uri="http://schemas.openxmlformats.org/drawingml/2006/picture">
                <pic:pic>
                  <pic:nvPicPr>
                    <pic:cNvPr id="298" name="IM 298"/>
                    <pic:cNvPicPr/>
                  </pic:nvPicPr>
                  <pic:blipFill>
                    <a:blip r:embed="rId434"/>
                    <a:stretch>
                      <a:fillRect/>
                    </a:stretch>
                  </pic:blipFill>
                  <pic:spPr>
                    <a:xfrm rot="0">
                      <a:off x="0" y="0"/>
                      <a:ext cx="1168431" cy="6418"/>
                    </a:xfrm>
                    <a:prstGeom prst="rect">
                      <a:avLst/>
                    </a:prstGeom>
                  </pic:spPr>
                </pic:pic>
              </a:graphicData>
            </a:graphic>
          </wp:anchor>
        </w:drawing>
      </w:r>
      <w:r>
        <w:rPr>
          <w:rFonts w:ascii="SimHei" w:hAnsi="SimHei" w:eastAsia="SimHei" w:cs="SimHei"/>
          <w:sz w:val="20"/>
          <w:szCs w:val="20"/>
          <w:b/>
          <w:bCs/>
          <w:spacing w:val="-18"/>
          <w:w w:val="85"/>
        </w:rPr>
        <w:t>第十章</w:t>
      </w:r>
      <w:r>
        <w:rPr>
          <w:rFonts w:ascii="SimHei" w:hAnsi="SimHei" w:eastAsia="SimHei" w:cs="SimHei"/>
          <w:sz w:val="20"/>
          <w:szCs w:val="20"/>
          <w:spacing w:val="-18"/>
          <w:w w:val="85"/>
        </w:rPr>
        <w:t xml:space="preserve">  </w:t>
      </w:r>
      <w:r>
        <w:rPr>
          <w:rFonts w:ascii="SimHei" w:hAnsi="SimHei" w:eastAsia="SimHei" w:cs="SimHei"/>
          <w:sz w:val="20"/>
          <w:szCs w:val="20"/>
          <w:b/>
          <w:bCs/>
          <w:spacing w:val="-18"/>
          <w:w w:val="85"/>
        </w:rPr>
        <w:t>平台创新治理的数据与算法维度</w:t>
      </w:r>
      <w:r>
        <w:rPr>
          <w:rFonts w:ascii="SimHei" w:hAnsi="SimHei" w:eastAsia="SimHei" w:cs="SimHei"/>
          <w:sz w:val="20"/>
          <w:szCs w:val="20"/>
          <w:spacing w:val="4"/>
        </w:rPr>
        <w:t xml:space="preserve">             </w:t>
      </w:r>
      <w:r>
        <w:rPr>
          <w:rFonts w:ascii="SimSun" w:hAnsi="SimSun" w:eastAsia="SimSun" w:cs="SimSun"/>
          <w:sz w:val="12"/>
          <w:szCs w:val="12"/>
          <w:spacing w:val="1"/>
          <w:position w:val="-2"/>
        </w:rPr>
        <w:t>355</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的便利的同时也需警惕算法可能带来的风险。</w:t>
      </w:r>
    </w:p>
    <w:p>
      <w:pPr>
        <w:pStyle w:val="BodyText"/>
        <w:spacing w:line="412" w:lineRule="auto"/>
        <w:rPr/>
      </w:pPr>
      <w:r/>
    </w:p>
    <w:p>
      <w:pPr>
        <w:ind w:left="412"/>
        <w:spacing w:before="65" w:line="219" w:lineRule="auto"/>
        <w:rPr>
          <w:rFonts w:ascii="SimSun" w:hAnsi="SimSun" w:eastAsia="SimSun" w:cs="SimSun"/>
          <w:sz w:val="20"/>
          <w:szCs w:val="20"/>
        </w:rPr>
      </w:pPr>
      <w:r>
        <w:rPr>
          <w:rFonts w:ascii="SimSun" w:hAnsi="SimSun" w:eastAsia="SimSun" w:cs="SimSun"/>
          <w:sz w:val="20"/>
          <w:szCs w:val="20"/>
          <w:b/>
          <w:bCs/>
          <w:spacing w:val="-3"/>
        </w:rPr>
        <w:t>算法在平台的广泛应用</w:t>
      </w:r>
    </w:p>
    <w:p>
      <w:pPr>
        <w:ind w:right="22" w:firstLine="410"/>
        <w:spacing w:before="115" w:line="341" w:lineRule="auto"/>
        <w:jc w:val="both"/>
        <w:rPr>
          <w:rFonts w:ascii="SimSun" w:hAnsi="SimSun" w:eastAsia="SimSun" w:cs="SimSun"/>
          <w:sz w:val="20"/>
          <w:szCs w:val="20"/>
        </w:rPr>
      </w:pPr>
      <w:r>
        <w:rPr>
          <w:rFonts w:ascii="SimSun" w:hAnsi="SimSun" w:eastAsia="SimSun" w:cs="SimSun"/>
          <w:sz w:val="20"/>
          <w:szCs w:val="20"/>
        </w:rPr>
        <w:t>平台作为智能系统，依托算法规则便能实现数据的分析利用，给</w:t>
      </w:r>
      <w:r>
        <w:rPr>
          <w:rFonts w:ascii="SimSun" w:hAnsi="SimSun" w:eastAsia="SimSun" w:cs="SimSun"/>
          <w:sz w:val="20"/>
          <w:szCs w:val="20"/>
          <w:spacing w:val="16"/>
        </w:rPr>
        <w:t xml:space="preserve"> </w:t>
      </w:r>
      <w:r>
        <w:rPr>
          <w:rFonts w:ascii="SimSun" w:hAnsi="SimSun" w:eastAsia="SimSun" w:cs="SimSun"/>
          <w:sz w:val="20"/>
          <w:szCs w:val="20"/>
          <w:spacing w:val="-1"/>
        </w:rPr>
        <w:t>予用户个性化推送、搜索便利等体验。当前算法的主要应用场景集中</w:t>
      </w:r>
    </w:p>
    <w:p>
      <w:pPr>
        <w:spacing w:line="217" w:lineRule="auto"/>
        <w:jc w:val="right"/>
        <w:rPr>
          <w:rFonts w:ascii="SimSun" w:hAnsi="SimSun" w:eastAsia="SimSun" w:cs="SimSun"/>
          <w:sz w:val="20"/>
          <w:szCs w:val="20"/>
        </w:rPr>
      </w:pPr>
      <w:r>
        <w:rPr>
          <w:rFonts w:ascii="SimSun" w:hAnsi="SimSun" w:eastAsia="SimSun" w:cs="SimSun"/>
          <w:sz w:val="20"/>
          <w:szCs w:val="20"/>
          <w:spacing w:val="-5"/>
        </w:rPr>
        <w:t>在商业领域，主要有平台的精准推送、搜索排序以及算法定价问题等。</w:t>
      </w:r>
    </w:p>
    <w:p>
      <w:pPr>
        <w:ind w:right="48" w:firstLine="412"/>
        <w:spacing w:before="124" w:line="311" w:lineRule="auto"/>
        <w:jc w:val="both"/>
        <w:rPr>
          <w:rFonts w:ascii="SimSun" w:hAnsi="SimSun" w:eastAsia="SimSun" w:cs="SimSun"/>
          <w:sz w:val="20"/>
          <w:szCs w:val="20"/>
        </w:rPr>
      </w:pPr>
      <w:r>
        <w:rPr>
          <w:rFonts w:ascii="SimHei" w:hAnsi="SimHei" w:eastAsia="SimHei" w:cs="SimHei"/>
          <w:sz w:val="20"/>
          <w:szCs w:val="20"/>
          <w:b/>
          <w:bCs/>
        </w:rPr>
        <w:t>精准推送</w:t>
      </w:r>
      <w:r>
        <w:rPr>
          <w:rFonts w:ascii="SimHei" w:hAnsi="SimHei" w:eastAsia="SimHei" w:cs="SimHei"/>
          <w:sz w:val="20"/>
          <w:szCs w:val="20"/>
          <w:spacing w:val="83"/>
        </w:rPr>
        <w:t xml:space="preserve"> </w:t>
      </w:r>
      <w:r>
        <w:rPr>
          <w:rFonts w:ascii="SimSun" w:hAnsi="SimSun" w:eastAsia="SimSun" w:cs="SimSun"/>
          <w:sz w:val="20"/>
          <w:szCs w:val="20"/>
        </w:rPr>
        <w:t>这是指平台通过对用户的行为习惯、浏览记</w:t>
      </w:r>
      <w:r>
        <w:rPr>
          <w:rFonts w:ascii="SimSun" w:hAnsi="SimSun" w:eastAsia="SimSun" w:cs="SimSun"/>
          <w:sz w:val="20"/>
          <w:szCs w:val="20"/>
          <w:spacing w:val="-1"/>
        </w:rPr>
        <w:t>录等数据</w:t>
      </w:r>
      <w:r>
        <w:rPr>
          <w:rFonts w:ascii="SimSun" w:hAnsi="SimSun" w:eastAsia="SimSun" w:cs="SimSun"/>
          <w:sz w:val="20"/>
          <w:szCs w:val="20"/>
        </w:rPr>
        <w:t xml:space="preserve"> </w:t>
      </w:r>
      <w:r>
        <w:rPr>
          <w:rFonts w:ascii="SimSun" w:hAnsi="SimSun" w:eastAsia="SimSun" w:cs="SimSun"/>
          <w:sz w:val="20"/>
          <w:szCs w:val="20"/>
        </w:rPr>
        <w:t>进行分析，准确推送符合用户喜好的产品或服务，</w:t>
      </w:r>
      <w:r>
        <w:rPr>
          <w:rFonts w:ascii="SimSun" w:hAnsi="SimSun" w:eastAsia="SimSun" w:cs="SimSun"/>
          <w:sz w:val="20"/>
          <w:szCs w:val="20"/>
          <w:spacing w:val="-1"/>
        </w:rPr>
        <w:t>典型如新闻媒体平</w:t>
      </w:r>
      <w:r>
        <w:rPr>
          <w:rFonts w:ascii="SimSun" w:hAnsi="SimSun" w:eastAsia="SimSun" w:cs="SimSun"/>
          <w:sz w:val="20"/>
          <w:szCs w:val="20"/>
        </w:rPr>
        <w:t xml:space="preserve"> </w:t>
      </w:r>
      <w:r>
        <w:rPr>
          <w:rFonts w:ascii="SimSun" w:hAnsi="SimSun" w:eastAsia="SimSun" w:cs="SimSun"/>
          <w:sz w:val="20"/>
          <w:szCs w:val="20"/>
          <w:spacing w:val="-1"/>
        </w:rPr>
        <w:t>台的个性化内容推荐。①中国互联网络信息中心发布的数据显示，在</w:t>
      </w:r>
      <w:r>
        <w:rPr>
          <w:rFonts w:ascii="SimSun" w:hAnsi="SimSun" w:eastAsia="SimSun" w:cs="SimSun"/>
          <w:sz w:val="20"/>
          <w:szCs w:val="20"/>
          <w:spacing w:val="5"/>
        </w:rPr>
        <w:t xml:space="preserve"> </w:t>
      </w:r>
      <w:r>
        <w:rPr>
          <w:rFonts w:ascii="SimSun" w:hAnsi="SimSun" w:eastAsia="SimSun" w:cs="SimSun"/>
          <w:sz w:val="20"/>
          <w:szCs w:val="20"/>
          <w:spacing w:val="-1"/>
        </w:rPr>
        <w:t>网络新闻领域，算法分发的优势明显，逐渐取代编辑分发的地位，如</w:t>
      </w:r>
      <w:r>
        <w:rPr>
          <w:rFonts w:ascii="SimSun" w:hAnsi="SimSun" w:eastAsia="SimSun" w:cs="SimSun"/>
          <w:sz w:val="20"/>
          <w:szCs w:val="20"/>
          <w:spacing w:val="5"/>
        </w:rPr>
        <w:t xml:space="preserve"> </w:t>
      </w:r>
      <w:r>
        <w:rPr>
          <w:rFonts w:ascii="SimSun" w:hAnsi="SimSun" w:eastAsia="SimSun" w:cs="SimSun"/>
          <w:sz w:val="20"/>
          <w:szCs w:val="20"/>
          <w:spacing w:val="6"/>
        </w:rPr>
        <w:t>今日头条利用算法为用户提供个性化新闻推荐形成的差异化竞争优</w:t>
      </w:r>
      <w:r>
        <w:rPr>
          <w:rFonts w:ascii="SimSun" w:hAnsi="SimSun" w:eastAsia="SimSun" w:cs="SimSun"/>
          <w:sz w:val="20"/>
          <w:szCs w:val="20"/>
          <w:spacing w:val="3"/>
        </w:rPr>
        <w:t xml:space="preserve"> </w:t>
      </w:r>
      <w:r>
        <w:rPr>
          <w:rFonts w:ascii="SimSun" w:hAnsi="SimSun" w:eastAsia="SimSun" w:cs="SimSun"/>
          <w:sz w:val="20"/>
          <w:szCs w:val="20"/>
          <w:spacing w:val="-1"/>
        </w:rPr>
        <w:t>势。网络新闻通过算法技术分析用户习惯，实现新闻的精准推送，此</w:t>
      </w:r>
      <w:r>
        <w:rPr>
          <w:rFonts w:ascii="SimSun" w:hAnsi="SimSun" w:eastAsia="SimSun" w:cs="SimSun"/>
          <w:sz w:val="20"/>
          <w:szCs w:val="20"/>
          <w:spacing w:val="16"/>
        </w:rPr>
        <w:t xml:space="preserve"> </w:t>
      </w:r>
      <w:r>
        <w:rPr>
          <w:rFonts w:ascii="SimSun" w:hAnsi="SimSun" w:eastAsia="SimSun" w:cs="SimSun"/>
          <w:sz w:val="20"/>
          <w:szCs w:val="20"/>
        </w:rPr>
        <w:t>种行为虽然在一定程度上满足了消费者的需求，</w:t>
      </w:r>
      <w:r>
        <w:rPr>
          <w:rFonts w:ascii="SimSun" w:hAnsi="SimSun" w:eastAsia="SimSun" w:cs="SimSun"/>
          <w:sz w:val="20"/>
          <w:szCs w:val="20"/>
          <w:spacing w:val="-1"/>
        </w:rPr>
        <w:t>但如果不加以规制甚</w:t>
      </w:r>
      <w:r>
        <w:rPr>
          <w:rFonts w:ascii="SimSun" w:hAnsi="SimSun" w:eastAsia="SimSun" w:cs="SimSun"/>
          <w:sz w:val="20"/>
          <w:szCs w:val="20"/>
        </w:rPr>
        <w:t xml:space="preserve"> </w:t>
      </w:r>
      <w:r>
        <w:rPr>
          <w:rFonts w:ascii="SimSun" w:hAnsi="SimSun" w:eastAsia="SimSun" w:cs="SimSun"/>
          <w:sz w:val="20"/>
          <w:szCs w:val="20"/>
        </w:rPr>
        <w:t>至为了营利目的无序向用户推送同质内容，</w:t>
      </w:r>
      <w:r>
        <w:rPr>
          <w:rFonts w:ascii="SimSun" w:hAnsi="SimSun" w:eastAsia="SimSun" w:cs="SimSun"/>
          <w:sz w:val="20"/>
          <w:szCs w:val="20"/>
          <w:spacing w:val="-1"/>
        </w:rPr>
        <w:t>则容易导致形成“信息茧</w:t>
      </w:r>
      <w:r>
        <w:rPr>
          <w:rFonts w:ascii="SimSun" w:hAnsi="SimSun" w:eastAsia="SimSun" w:cs="SimSun"/>
          <w:sz w:val="20"/>
          <w:szCs w:val="20"/>
        </w:rPr>
        <w:t xml:space="preserve"> </w:t>
      </w:r>
      <w:r>
        <w:rPr>
          <w:rFonts w:ascii="SimSun" w:hAnsi="SimSun" w:eastAsia="SimSun" w:cs="SimSun"/>
          <w:sz w:val="20"/>
          <w:szCs w:val="20"/>
          <w:spacing w:val="-3"/>
        </w:rPr>
        <w:t>房”,严重侵犯消费者的选择自主权。</w:t>
      </w:r>
    </w:p>
    <w:p>
      <w:pPr>
        <w:ind w:right="18" w:firstLine="412"/>
        <w:spacing w:before="204" w:line="333" w:lineRule="auto"/>
        <w:jc w:val="both"/>
        <w:rPr>
          <w:rFonts w:ascii="SimSun" w:hAnsi="SimSun" w:eastAsia="SimSun" w:cs="SimSun"/>
          <w:sz w:val="20"/>
          <w:szCs w:val="20"/>
        </w:rPr>
      </w:pPr>
      <w:r>
        <w:rPr>
          <w:rFonts w:ascii="SimHei" w:hAnsi="SimHei" w:eastAsia="SimHei" w:cs="SimHei"/>
          <w:sz w:val="20"/>
          <w:szCs w:val="20"/>
          <w:b/>
          <w:bCs/>
          <w:spacing w:val="7"/>
        </w:rPr>
        <w:t>搜索排序</w:t>
      </w:r>
      <w:r>
        <w:rPr>
          <w:rFonts w:ascii="SimHei" w:hAnsi="SimHei" w:eastAsia="SimHei" w:cs="SimHei"/>
          <w:sz w:val="20"/>
          <w:szCs w:val="20"/>
          <w:spacing w:val="95"/>
        </w:rPr>
        <w:t xml:space="preserve"> </w:t>
      </w:r>
      <w:r>
        <w:rPr>
          <w:rFonts w:ascii="SimSun" w:hAnsi="SimSun" w:eastAsia="SimSun" w:cs="SimSun"/>
          <w:sz w:val="20"/>
          <w:szCs w:val="20"/>
          <w:spacing w:val="7"/>
        </w:rPr>
        <w:t>计算机通过对网页信息的抓取和整理实现了对较大</w:t>
      </w:r>
      <w:r>
        <w:rPr>
          <w:rFonts w:ascii="SimSun" w:hAnsi="SimSun" w:eastAsia="SimSun" w:cs="SimSun"/>
          <w:sz w:val="20"/>
          <w:szCs w:val="20"/>
        </w:rPr>
        <w:t xml:space="preserve"> </w:t>
      </w:r>
      <w:r>
        <w:rPr>
          <w:rFonts w:ascii="SimSun" w:hAnsi="SimSun" w:eastAsia="SimSun" w:cs="SimSun"/>
          <w:sz w:val="20"/>
          <w:szCs w:val="20"/>
          <w:spacing w:val="-1"/>
        </w:rPr>
        <w:t>容量信息规模的整合，并通过算法对信息进行分析处理，最终以一定</w:t>
      </w:r>
      <w:r>
        <w:rPr>
          <w:rFonts w:ascii="SimSun" w:hAnsi="SimSun" w:eastAsia="SimSun" w:cs="SimSun"/>
          <w:sz w:val="20"/>
          <w:szCs w:val="20"/>
          <w:spacing w:val="18"/>
        </w:rPr>
        <w:t xml:space="preserve"> </w:t>
      </w:r>
      <w:r>
        <w:rPr>
          <w:rFonts w:ascii="SimSun" w:hAnsi="SimSun" w:eastAsia="SimSun" w:cs="SimSun"/>
          <w:sz w:val="20"/>
          <w:szCs w:val="20"/>
          <w:spacing w:val="-1"/>
        </w:rPr>
        <w:t>形式展现出来，超越了传统通过人工对网页信息的筛选进行排序的方</w:t>
      </w:r>
      <w:r>
        <w:rPr>
          <w:rFonts w:ascii="SimSun" w:hAnsi="SimSun" w:eastAsia="SimSun" w:cs="SimSun"/>
          <w:sz w:val="20"/>
          <w:szCs w:val="20"/>
          <w:spacing w:val="18"/>
        </w:rPr>
        <w:t xml:space="preserve"> </w:t>
      </w:r>
      <w:r>
        <w:rPr>
          <w:rFonts w:ascii="SimSun" w:hAnsi="SimSun" w:eastAsia="SimSun" w:cs="SimSun"/>
          <w:sz w:val="20"/>
          <w:szCs w:val="20"/>
          <w:spacing w:val="1"/>
        </w:rPr>
        <w:t>式。◎搜索引擎通过算法规则参与，将用户所需的检索内容按相关度</w:t>
      </w:r>
      <w:r>
        <w:rPr>
          <w:rFonts w:ascii="SimSun" w:hAnsi="SimSun" w:eastAsia="SimSun" w:cs="SimSun"/>
          <w:sz w:val="20"/>
          <w:szCs w:val="20"/>
        </w:rPr>
        <w:t xml:space="preserve"> </w:t>
      </w:r>
      <w:r>
        <w:rPr>
          <w:rFonts w:ascii="SimSun" w:hAnsi="SimSun" w:eastAsia="SimSun" w:cs="SimSun"/>
          <w:sz w:val="20"/>
          <w:szCs w:val="20"/>
        </w:rPr>
        <w:t>进行排序，由此节省用户的检索时间，扩大其文献</w:t>
      </w:r>
      <w:r>
        <w:rPr>
          <w:rFonts w:ascii="SimSun" w:hAnsi="SimSun" w:eastAsia="SimSun" w:cs="SimSun"/>
          <w:sz w:val="20"/>
          <w:szCs w:val="20"/>
          <w:spacing w:val="-1"/>
        </w:rPr>
        <w:t>资源的检索量。但</w:t>
      </w:r>
      <w:r>
        <w:rPr>
          <w:rFonts w:ascii="SimSun" w:hAnsi="SimSun" w:eastAsia="SimSun" w:cs="SimSun"/>
          <w:sz w:val="20"/>
          <w:szCs w:val="20"/>
        </w:rPr>
        <w:t xml:space="preserve"> </w:t>
      </w:r>
      <w:r>
        <w:rPr>
          <w:rFonts w:ascii="SimSun" w:hAnsi="SimSun" w:eastAsia="SimSun" w:cs="SimSun"/>
          <w:sz w:val="20"/>
          <w:szCs w:val="20"/>
          <w:spacing w:val="-1"/>
        </w:rPr>
        <w:t>由于资本的逐利性，搜索引擎平台出现了“竞价排序”的现象，</w:t>
      </w:r>
      <w:r>
        <w:rPr>
          <w:rFonts w:ascii="SimSun" w:hAnsi="SimSun" w:eastAsia="SimSun" w:cs="SimSun"/>
          <w:sz w:val="20"/>
          <w:szCs w:val="20"/>
          <w:spacing w:val="-2"/>
        </w:rPr>
        <w:t>虽然</w:t>
      </w:r>
    </w:p>
    <w:p>
      <w:pPr>
        <w:spacing w:before="1" w:line="219" w:lineRule="auto"/>
        <w:rPr>
          <w:rFonts w:ascii="SimSun" w:hAnsi="SimSun" w:eastAsia="SimSun" w:cs="SimSun"/>
          <w:sz w:val="20"/>
          <w:szCs w:val="20"/>
        </w:rPr>
      </w:pPr>
      <w:r>
        <w:rPr>
          <w:rFonts w:ascii="SimSun" w:hAnsi="SimSun" w:eastAsia="SimSun" w:cs="SimSun"/>
          <w:sz w:val="20"/>
          <w:szCs w:val="20"/>
        </w:rPr>
        <w:t>搜索引擎的算法设计符合其商业利益的追求，但却</w:t>
      </w:r>
      <w:r>
        <w:rPr>
          <w:rFonts w:ascii="SimSun" w:hAnsi="SimSun" w:eastAsia="SimSun" w:cs="SimSun"/>
          <w:sz w:val="20"/>
          <w:szCs w:val="20"/>
          <w:spacing w:val="-1"/>
        </w:rPr>
        <w:t>容易影响检索内容</w:t>
      </w:r>
    </w:p>
    <w:p>
      <w:pPr>
        <w:pStyle w:val="BodyText"/>
        <w:spacing w:line="368" w:lineRule="auto"/>
        <w:rPr/>
      </w:pPr>
      <w:r/>
    </w:p>
    <w:p>
      <w:pPr>
        <w:ind w:left="300" w:right="21" w:hanging="300"/>
        <w:spacing w:before="66"/>
        <w:rPr>
          <w:rFonts w:ascii="KaiTi" w:hAnsi="KaiTi" w:eastAsia="KaiTi" w:cs="KaiTi"/>
          <w:sz w:val="20"/>
          <w:szCs w:val="20"/>
        </w:rPr>
      </w:pPr>
      <w:r>
        <w:rPr>
          <w:rFonts w:ascii="KaiTi" w:hAnsi="KaiTi" w:eastAsia="KaiTi" w:cs="KaiTi"/>
          <w:sz w:val="20"/>
          <w:szCs w:val="20"/>
          <w:spacing w:val="-17"/>
        </w:rPr>
        <w:t>①</w:t>
      </w:r>
      <w:r>
        <w:rPr>
          <w:rFonts w:ascii="KaiTi" w:hAnsi="KaiTi" w:eastAsia="KaiTi" w:cs="KaiTi"/>
          <w:sz w:val="20"/>
          <w:szCs w:val="20"/>
          <w:spacing w:val="73"/>
        </w:rPr>
        <w:t xml:space="preserve"> </w:t>
      </w:r>
      <w:r>
        <w:rPr>
          <w:rFonts w:ascii="KaiTi" w:hAnsi="KaiTi" w:eastAsia="KaiTi" w:cs="KaiTi"/>
          <w:sz w:val="20"/>
          <w:szCs w:val="20"/>
          <w:spacing w:val="-17"/>
        </w:rPr>
        <w:t>卜宇.融合传播：复杂博弈及未来趋势.人民论坛·学术前沿，2020(19):</w:t>
      </w:r>
      <w:r>
        <w:rPr>
          <w:rFonts w:ascii="KaiTi" w:hAnsi="KaiTi" w:eastAsia="KaiTi" w:cs="KaiTi"/>
          <w:sz w:val="20"/>
          <w:szCs w:val="20"/>
        </w:rPr>
        <w:t xml:space="preserve"> </w:t>
      </w:r>
      <w:r>
        <w:rPr>
          <w:rFonts w:ascii="KaiTi" w:hAnsi="KaiTi" w:eastAsia="KaiTi" w:cs="KaiTi"/>
          <w:sz w:val="20"/>
          <w:szCs w:val="20"/>
          <w:spacing w:val="-19"/>
          <w:w w:val="96"/>
        </w:rPr>
        <w:t>78-87;张帜.智媒时代对新闻生产中算法新闻伦理的思考.海南大学学报(人文</w:t>
      </w:r>
      <w:r>
        <w:rPr>
          <w:rFonts w:ascii="KaiTi" w:hAnsi="KaiTi" w:eastAsia="KaiTi" w:cs="KaiTi"/>
          <w:sz w:val="20"/>
          <w:szCs w:val="20"/>
          <w:spacing w:val="17"/>
        </w:rPr>
        <w:t xml:space="preserve"> </w:t>
      </w:r>
      <w:r>
        <w:rPr>
          <w:rFonts w:ascii="KaiTi" w:hAnsi="KaiTi" w:eastAsia="KaiTi" w:cs="KaiTi"/>
          <w:sz w:val="20"/>
          <w:szCs w:val="20"/>
          <w:spacing w:val="-11"/>
        </w:rPr>
        <w:t>社会科学版),2019(2):70-78.</w:t>
      </w:r>
    </w:p>
    <w:p>
      <w:pPr>
        <w:ind w:left="300" w:right="43" w:hanging="300"/>
        <w:spacing w:before="57" w:line="235" w:lineRule="auto"/>
        <w:rPr>
          <w:rFonts w:ascii="Times New Roman" w:hAnsi="Times New Roman" w:eastAsia="Times New Roman" w:cs="Times New Roman"/>
          <w:sz w:val="20"/>
          <w:szCs w:val="20"/>
        </w:rPr>
      </w:pPr>
      <w:r>
        <w:rPr>
          <w:rFonts w:ascii="KaiTi" w:hAnsi="KaiTi" w:eastAsia="KaiTi" w:cs="KaiTi"/>
          <w:sz w:val="20"/>
          <w:szCs w:val="20"/>
          <w:spacing w:val="-21"/>
          <w:w w:val="93"/>
        </w:rPr>
        <w:t>②</w:t>
      </w:r>
      <w:r>
        <w:rPr>
          <w:rFonts w:ascii="KaiTi" w:hAnsi="KaiTi" w:eastAsia="KaiTi" w:cs="KaiTi"/>
          <w:sz w:val="20"/>
          <w:szCs w:val="20"/>
          <w:spacing w:val="58"/>
        </w:rPr>
        <w:t xml:space="preserve"> </w:t>
      </w:r>
      <w:r>
        <w:rPr>
          <w:rFonts w:ascii="KaiTi" w:hAnsi="KaiTi" w:eastAsia="KaiTi" w:cs="KaiTi"/>
          <w:sz w:val="20"/>
          <w:szCs w:val="20"/>
          <w:spacing w:val="-21"/>
          <w:w w:val="93"/>
        </w:rPr>
        <w:t>罗教讲，刘存地.算法定义的新型信息空间——基于网络搜索引擎特性的综合治</w:t>
      </w:r>
      <w:r>
        <w:rPr>
          <w:rFonts w:ascii="KaiTi" w:hAnsi="KaiTi" w:eastAsia="KaiTi" w:cs="KaiTi"/>
          <w:sz w:val="20"/>
          <w:szCs w:val="20"/>
        </w:rPr>
        <w:t xml:space="preserve"> </w:t>
      </w:r>
      <w:r>
        <w:rPr>
          <w:rFonts w:ascii="KaiTi" w:hAnsi="KaiTi" w:eastAsia="KaiTi" w:cs="KaiTi"/>
          <w:sz w:val="20"/>
          <w:szCs w:val="20"/>
          <w:spacing w:val="-17"/>
        </w:rPr>
        <w:t>理研究.学术论坛，2019(3):1-</w:t>
      </w:r>
      <w:r>
        <w:rPr>
          <w:rFonts w:ascii="Times New Roman" w:hAnsi="Times New Roman" w:eastAsia="Times New Roman" w:cs="Times New Roman"/>
          <w:sz w:val="20"/>
          <w:szCs w:val="20"/>
          <w:spacing w:val="-17"/>
        </w:rPr>
        <w:t>13.</w:t>
      </w:r>
    </w:p>
    <w:p>
      <w:pPr>
        <w:spacing w:line="235" w:lineRule="auto"/>
        <w:sectPr>
          <w:headerReference w:type="default" r:id="rId1"/>
          <w:pgSz w:w="7330" w:h="12480"/>
          <w:pgMar w:top="400" w:right="639" w:bottom="400" w:left="639" w:header="0" w:footer="0" w:gutter="0"/>
        </w:sectPr>
        <w:rPr>
          <w:rFonts w:ascii="Times New Roman" w:hAnsi="Times New Roman" w:eastAsia="Times New Roman" w:cs="Times New Roman"/>
          <w:sz w:val="20"/>
          <w:szCs w:val="20"/>
        </w:rPr>
      </w:pPr>
    </w:p>
    <w:p>
      <w:pPr>
        <w:pStyle w:val="BodyText"/>
        <w:spacing w:line="251" w:lineRule="auto"/>
        <w:rPr/>
      </w:pPr>
      <w:r>
        <w:drawing>
          <wp:anchor distT="0" distB="0" distL="0" distR="0" simplePos="0" relativeHeight="255410176" behindDoc="0" locked="0" layoutInCell="0" allowOverlap="1">
            <wp:simplePos x="0" y="0"/>
            <wp:positionH relativeFrom="page">
              <wp:posOffset>501667</wp:posOffset>
            </wp:positionH>
            <wp:positionV relativeFrom="page">
              <wp:posOffset>6883397</wp:posOffset>
            </wp:positionV>
            <wp:extent cx="1174715" cy="6350"/>
            <wp:effectExtent l="0" t="0" r="0" b="0"/>
            <wp:wrapNone/>
            <wp:docPr id="300" name="IM 300"/>
            <wp:cNvGraphicFramePr/>
            <a:graphic>
              <a:graphicData uri="http://schemas.openxmlformats.org/drawingml/2006/picture">
                <pic:pic>
                  <pic:nvPicPr>
                    <pic:cNvPr id="300" name="IM 300"/>
                    <pic:cNvPicPr/>
                  </pic:nvPicPr>
                  <pic:blipFill>
                    <a:blip r:embed="rId436"/>
                    <a:stretch>
                      <a:fillRect/>
                    </a:stretch>
                  </pic:blipFill>
                  <pic:spPr>
                    <a:xfrm rot="0">
                      <a:off x="0" y="0"/>
                      <a:ext cx="1174715"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left="29"/>
        <w:spacing w:before="69" w:line="220" w:lineRule="auto"/>
        <w:rPr>
          <w:rFonts w:ascii="SimSun" w:hAnsi="SimSun" w:eastAsia="SimSun" w:cs="SimSun"/>
          <w:sz w:val="21"/>
          <w:szCs w:val="21"/>
        </w:rPr>
      </w:pPr>
      <w:r>
        <w:rPr>
          <w:rFonts w:ascii="SimSun" w:hAnsi="SimSun" w:eastAsia="SimSun" w:cs="SimSun"/>
          <w:sz w:val="21"/>
          <w:szCs w:val="21"/>
          <w:spacing w:val="-12"/>
        </w:rPr>
        <w:t>的公正性和客观性。</w:t>
      </w:r>
    </w:p>
    <w:p>
      <w:pPr>
        <w:ind w:left="29" w:right="9" w:firstLine="399"/>
        <w:spacing w:before="115" w:line="290" w:lineRule="auto"/>
        <w:jc w:val="both"/>
        <w:rPr>
          <w:rFonts w:ascii="SimSun" w:hAnsi="SimSun" w:eastAsia="SimSun" w:cs="SimSun"/>
          <w:sz w:val="21"/>
          <w:szCs w:val="21"/>
        </w:rPr>
      </w:pPr>
      <w:r>
        <w:rPr>
          <w:rFonts w:ascii="SimSun" w:hAnsi="SimSun" w:eastAsia="SimSun" w:cs="SimSun"/>
          <w:sz w:val="21"/>
          <w:szCs w:val="21"/>
          <w:spacing w:val="-11"/>
        </w:rPr>
        <w:t>搜索排序与精准推送原理一致，要推动这一商业模式的运行，平</w:t>
      </w:r>
      <w:r>
        <w:rPr>
          <w:rFonts w:ascii="SimSun" w:hAnsi="SimSun" w:eastAsia="SimSun" w:cs="SimSun"/>
          <w:sz w:val="21"/>
          <w:szCs w:val="21"/>
          <w:spacing w:val="6"/>
        </w:rPr>
        <w:t xml:space="preserve"> </w:t>
      </w:r>
      <w:r>
        <w:rPr>
          <w:rFonts w:ascii="SimSun" w:hAnsi="SimSun" w:eastAsia="SimSun" w:cs="SimSun"/>
          <w:sz w:val="21"/>
          <w:szCs w:val="21"/>
          <w:spacing w:val="-11"/>
        </w:rPr>
        <w:t>台需通过对用户数据进行分析，进而建构用户个性化需求模型，掌握</w:t>
      </w:r>
      <w:r>
        <w:rPr>
          <w:rFonts w:ascii="SimSun" w:hAnsi="SimSun" w:eastAsia="SimSun" w:cs="SimSun"/>
          <w:sz w:val="21"/>
          <w:szCs w:val="21"/>
          <w:spacing w:val="7"/>
        </w:rPr>
        <w:t xml:space="preserve"> </w:t>
      </w:r>
      <w:r>
        <w:rPr>
          <w:rFonts w:ascii="SimSun" w:hAnsi="SimSun" w:eastAsia="SimSun" w:cs="SimSun"/>
          <w:sz w:val="21"/>
          <w:szCs w:val="21"/>
          <w:spacing w:val="-10"/>
        </w:rPr>
        <w:t>用户的行为习惯、浏览记录、选择偏好等信息，从而</w:t>
      </w:r>
      <w:r>
        <w:rPr>
          <w:rFonts w:ascii="SimSun" w:hAnsi="SimSun" w:eastAsia="SimSun" w:cs="SimSun"/>
          <w:sz w:val="21"/>
          <w:szCs w:val="21"/>
          <w:spacing w:val="-11"/>
        </w:rPr>
        <w:t>有的放矢地向用</w:t>
      </w:r>
      <w:r>
        <w:rPr>
          <w:rFonts w:ascii="SimSun" w:hAnsi="SimSun" w:eastAsia="SimSun" w:cs="SimSun"/>
          <w:sz w:val="21"/>
          <w:szCs w:val="21"/>
        </w:rPr>
        <w:t xml:space="preserve"> </w:t>
      </w:r>
      <w:r>
        <w:rPr>
          <w:rFonts w:ascii="SimSun" w:hAnsi="SimSun" w:eastAsia="SimSun" w:cs="SimSun"/>
          <w:sz w:val="21"/>
          <w:szCs w:val="21"/>
          <w:spacing w:val="-11"/>
        </w:rPr>
        <w:t>户推送符合其偏好的产品或服务。新闻报道、文学作品，抑或有关日</w:t>
      </w:r>
      <w:r>
        <w:rPr>
          <w:rFonts w:ascii="SimSun" w:hAnsi="SimSun" w:eastAsia="SimSun" w:cs="SimSun"/>
          <w:sz w:val="21"/>
          <w:szCs w:val="21"/>
          <w:spacing w:val="14"/>
        </w:rPr>
        <w:t xml:space="preserve"> </w:t>
      </w:r>
      <w:r>
        <w:rPr>
          <w:rFonts w:ascii="SimSun" w:hAnsi="SimSun" w:eastAsia="SimSun" w:cs="SimSun"/>
          <w:sz w:val="21"/>
          <w:szCs w:val="21"/>
          <w:spacing w:val="-10"/>
        </w:rPr>
        <w:t>常消费品甚至奢侈品的广告皆是如此。</w:t>
      </w:r>
    </w:p>
    <w:p>
      <w:pPr>
        <w:ind w:left="29" w:firstLine="402"/>
        <w:spacing w:before="146" w:line="308" w:lineRule="auto"/>
        <w:jc w:val="both"/>
        <w:rPr>
          <w:rFonts w:ascii="SimSun" w:hAnsi="SimSun" w:eastAsia="SimSun" w:cs="SimSun"/>
          <w:sz w:val="21"/>
          <w:szCs w:val="21"/>
        </w:rPr>
      </w:pPr>
      <w:r>
        <w:rPr>
          <w:rFonts w:ascii="SimHei" w:hAnsi="SimHei" w:eastAsia="SimHei" w:cs="SimHei"/>
          <w:sz w:val="21"/>
          <w:szCs w:val="21"/>
          <w:b/>
          <w:bCs/>
          <w:spacing w:val="-8"/>
        </w:rPr>
        <w:t>算法定价</w:t>
      </w:r>
      <w:r>
        <w:rPr>
          <w:rFonts w:ascii="SimHei" w:hAnsi="SimHei" w:eastAsia="SimHei" w:cs="SimHei"/>
          <w:sz w:val="21"/>
          <w:szCs w:val="21"/>
          <w:spacing w:val="-8"/>
        </w:rPr>
        <w:t xml:space="preserve"> </w:t>
      </w:r>
      <w:r>
        <w:rPr>
          <w:rFonts w:ascii="SimSun" w:hAnsi="SimSun" w:eastAsia="SimSun" w:cs="SimSun"/>
          <w:sz w:val="21"/>
          <w:szCs w:val="21"/>
          <w:spacing w:val="-8"/>
        </w:rPr>
        <w:t>通过算法实现对商品的定价是电子商务平台的常规操</w:t>
      </w:r>
      <w:r>
        <w:rPr>
          <w:rFonts w:ascii="SimSun" w:hAnsi="SimSun" w:eastAsia="SimSun" w:cs="SimSun"/>
          <w:sz w:val="21"/>
          <w:szCs w:val="21"/>
          <w:spacing w:val="16"/>
        </w:rPr>
        <w:t xml:space="preserve"> </w:t>
      </w:r>
      <w:r>
        <w:rPr>
          <w:rFonts w:ascii="SimSun" w:hAnsi="SimSun" w:eastAsia="SimSun" w:cs="SimSun"/>
          <w:sz w:val="21"/>
          <w:szCs w:val="21"/>
          <w:spacing w:val="-11"/>
        </w:rPr>
        <w:t>作。电子商务平台依托算法规则，通过消费者购买数据、浏览记录等</w:t>
      </w:r>
      <w:r>
        <w:rPr>
          <w:rFonts w:ascii="SimSun" w:hAnsi="SimSun" w:eastAsia="SimSun" w:cs="SimSun"/>
          <w:sz w:val="21"/>
          <w:szCs w:val="21"/>
          <w:spacing w:val="8"/>
        </w:rPr>
        <w:t xml:space="preserve"> </w:t>
      </w:r>
      <w:r>
        <w:rPr>
          <w:rFonts w:ascii="SimSun" w:hAnsi="SimSun" w:eastAsia="SimSun" w:cs="SimSun"/>
          <w:sz w:val="21"/>
          <w:szCs w:val="21"/>
          <w:spacing w:val="-11"/>
        </w:rPr>
        <w:t>内容进行用户画像，在可控的范围内对商品制定价格。但这种通过算</w:t>
      </w:r>
      <w:r>
        <w:rPr>
          <w:rFonts w:ascii="SimSun" w:hAnsi="SimSun" w:eastAsia="SimSun" w:cs="SimSun"/>
          <w:sz w:val="21"/>
          <w:szCs w:val="21"/>
          <w:spacing w:val="8"/>
        </w:rPr>
        <w:t xml:space="preserve"> </w:t>
      </w:r>
      <w:r>
        <w:rPr>
          <w:rFonts w:ascii="SimSun" w:hAnsi="SimSun" w:eastAsia="SimSun" w:cs="SimSun"/>
          <w:sz w:val="21"/>
          <w:szCs w:val="21"/>
          <w:spacing w:val="-11"/>
        </w:rPr>
        <w:t>法确定价格的行为容易因算法自身的驱动性形成差异化定价，从而导</w:t>
      </w:r>
      <w:r>
        <w:rPr>
          <w:rFonts w:ascii="SimSun" w:hAnsi="SimSun" w:eastAsia="SimSun" w:cs="SimSun"/>
          <w:sz w:val="21"/>
          <w:szCs w:val="21"/>
          <w:spacing w:val="12"/>
        </w:rPr>
        <w:t xml:space="preserve"> </w:t>
      </w:r>
      <w:r>
        <w:rPr>
          <w:rFonts w:ascii="SimSun" w:hAnsi="SimSun" w:eastAsia="SimSun" w:cs="SimSun"/>
          <w:sz w:val="21"/>
          <w:szCs w:val="21"/>
          <w:spacing w:val="-11"/>
        </w:rPr>
        <w:t>致“大数据杀熟”行为的出现。在自由竞争市场环境下，合理的差别</w:t>
      </w:r>
      <w:r>
        <w:rPr>
          <w:rFonts w:ascii="SimSun" w:hAnsi="SimSun" w:eastAsia="SimSun" w:cs="SimSun"/>
          <w:sz w:val="21"/>
          <w:szCs w:val="21"/>
          <w:spacing w:val="15"/>
        </w:rPr>
        <w:t xml:space="preserve"> </w:t>
      </w:r>
      <w:r>
        <w:rPr>
          <w:rFonts w:ascii="SimSun" w:hAnsi="SimSun" w:eastAsia="SimSun" w:cs="SimSun"/>
          <w:sz w:val="21"/>
          <w:szCs w:val="21"/>
          <w:spacing w:val="-10"/>
        </w:rPr>
        <w:t>定价可以合理配置市场资源，促进市场实现良好竞争，为企业的经营</w:t>
      </w:r>
      <w:r>
        <w:rPr>
          <w:rFonts w:ascii="SimSun" w:hAnsi="SimSun" w:eastAsia="SimSun" w:cs="SimSun"/>
          <w:sz w:val="21"/>
          <w:szCs w:val="21"/>
          <w:spacing w:val="2"/>
        </w:rPr>
        <w:t xml:space="preserve"> </w:t>
      </w:r>
      <w:r>
        <w:rPr>
          <w:rFonts w:ascii="SimSun" w:hAnsi="SimSun" w:eastAsia="SimSun" w:cs="SimSun"/>
          <w:sz w:val="21"/>
          <w:szCs w:val="21"/>
          <w:spacing w:val="-11"/>
        </w:rPr>
        <w:t>发展和消费者同时带来福利，形成双赢局面。但算法导致的不合理差</w:t>
      </w:r>
      <w:r>
        <w:rPr>
          <w:rFonts w:ascii="SimSun" w:hAnsi="SimSun" w:eastAsia="SimSun" w:cs="SimSun"/>
          <w:sz w:val="21"/>
          <w:szCs w:val="21"/>
          <w:spacing w:val="10"/>
        </w:rPr>
        <w:t xml:space="preserve"> </w:t>
      </w:r>
      <w:r>
        <w:rPr>
          <w:rFonts w:ascii="SimSun" w:hAnsi="SimSun" w:eastAsia="SimSun" w:cs="SimSun"/>
          <w:sz w:val="21"/>
          <w:szCs w:val="21"/>
          <w:spacing w:val="-10"/>
        </w:rPr>
        <w:t>异化定价却极可能导致一级价格歧视，由此导致企业以利润的</w:t>
      </w:r>
      <w:r>
        <w:rPr>
          <w:rFonts w:ascii="SimSun" w:hAnsi="SimSun" w:eastAsia="SimSun" w:cs="SimSun"/>
          <w:sz w:val="21"/>
          <w:szCs w:val="21"/>
          <w:spacing w:val="-11"/>
        </w:rPr>
        <w:t>方式获</w:t>
      </w:r>
      <w:r>
        <w:rPr>
          <w:rFonts w:ascii="SimSun" w:hAnsi="SimSun" w:eastAsia="SimSun" w:cs="SimSun"/>
          <w:sz w:val="21"/>
          <w:szCs w:val="21"/>
        </w:rPr>
        <w:t xml:space="preserve"> </w:t>
      </w:r>
      <w:r>
        <w:rPr>
          <w:rFonts w:ascii="SimSun" w:hAnsi="SimSun" w:eastAsia="SimSun" w:cs="SimSun"/>
          <w:sz w:val="21"/>
          <w:szCs w:val="21"/>
          <w:spacing w:val="-11"/>
        </w:rPr>
        <w:t>得市场价格下的消费者剩余并引发次生效应。①此举极大损害消费者</w:t>
      </w:r>
      <w:r>
        <w:rPr>
          <w:rFonts w:ascii="SimSun" w:hAnsi="SimSun" w:eastAsia="SimSun" w:cs="SimSun"/>
          <w:sz w:val="21"/>
          <w:szCs w:val="21"/>
          <w:spacing w:val="8"/>
        </w:rPr>
        <w:t xml:space="preserve"> </w:t>
      </w:r>
      <w:r>
        <w:rPr>
          <w:rFonts w:ascii="SimSun" w:hAnsi="SimSun" w:eastAsia="SimSun" w:cs="SimSun"/>
          <w:sz w:val="21"/>
          <w:szCs w:val="21"/>
          <w:spacing w:val="-11"/>
        </w:rPr>
        <w:t>的合法利益，不利于营造良好的市场环境，因此，通过算法实现的定</w:t>
      </w:r>
      <w:r>
        <w:rPr>
          <w:rFonts w:ascii="SimSun" w:hAnsi="SimSun" w:eastAsia="SimSun" w:cs="SimSun"/>
          <w:sz w:val="21"/>
          <w:szCs w:val="21"/>
          <w:spacing w:val="12"/>
        </w:rPr>
        <w:t xml:space="preserve"> </w:t>
      </w:r>
      <w:r>
        <w:rPr>
          <w:rFonts w:ascii="SimSun" w:hAnsi="SimSun" w:eastAsia="SimSun" w:cs="SimSun"/>
          <w:sz w:val="21"/>
          <w:szCs w:val="21"/>
          <w:spacing w:val="-11"/>
        </w:rPr>
        <w:t>价应该走向何方，是目前在算法治理领域的难点。</w:t>
      </w:r>
    </w:p>
    <w:p>
      <w:pPr>
        <w:ind w:left="29" w:right="3" w:firstLine="399"/>
        <w:spacing w:before="115" w:line="304" w:lineRule="auto"/>
        <w:jc w:val="both"/>
        <w:rPr>
          <w:rFonts w:ascii="SimSun" w:hAnsi="SimSun" w:eastAsia="SimSun" w:cs="SimSun"/>
          <w:sz w:val="21"/>
          <w:szCs w:val="21"/>
        </w:rPr>
      </w:pPr>
      <w:r>
        <w:rPr>
          <w:rFonts w:ascii="SimSun" w:hAnsi="SimSun" w:eastAsia="SimSun" w:cs="SimSun"/>
          <w:sz w:val="21"/>
          <w:szCs w:val="21"/>
          <w:spacing w:val="-17"/>
        </w:rPr>
        <w:t>回到市场中差异化定价的效果来看，</w:t>
      </w:r>
      <w:r>
        <w:rPr>
          <w:rFonts w:ascii="SimSun" w:hAnsi="SimSun" w:eastAsia="SimSun" w:cs="SimSun"/>
          <w:sz w:val="21"/>
          <w:szCs w:val="21"/>
          <w:spacing w:val="68"/>
        </w:rPr>
        <w:t xml:space="preserve"> </w:t>
      </w:r>
      <w:r>
        <w:rPr>
          <w:rFonts w:ascii="SimSun" w:hAnsi="SimSun" w:eastAsia="SimSun" w:cs="SimSun"/>
          <w:sz w:val="21"/>
          <w:szCs w:val="21"/>
          <w:spacing w:val="-17"/>
        </w:rPr>
        <w:t>一定程度的差异化定价并无</w:t>
      </w:r>
      <w:r>
        <w:rPr>
          <w:rFonts w:ascii="SimSun" w:hAnsi="SimSun" w:eastAsia="SimSun" w:cs="SimSun"/>
          <w:sz w:val="21"/>
          <w:szCs w:val="21"/>
        </w:rPr>
        <w:t xml:space="preserve"> </w:t>
      </w:r>
      <w:r>
        <w:rPr>
          <w:rFonts w:ascii="SimSun" w:hAnsi="SimSun" w:eastAsia="SimSun" w:cs="SimSun"/>
          <w:sz w:val="21"/>
          <w:szCs w:val="21"/>
          <w:spacing w:val="-10"/>
        </w:rPr>
        <w:t>不妥，但大数据算法使得差异定价更为精准，再加上市场主</w:t>
      </w:r>
      <w:r>
        <w:rPr>
          <w:rFonts w:ascii="SimSun" w:hAnsi="SimSun" w:eastAsia="SimSun" w:cs="SimSun"/>
          <w:sz w:val="21"/>
          <w:szCs w:val="21"/>
          <w:spacing w:val="-11"/>
        </w:rPr>
        <w:t>体不当地</w:t>
      </w:r>
      <w:r>
        <w:rPr>
          <w:rFonts w:ascii="SimSun" w:hAnsi="SimSun" w:eastAsia="SimSun" w:cs="SimSun"/>
          <w:sz w:val="21"/>
          <w:szCs w:val="21"/>
        </w:rPr>
        <w:t xml:space="preserve"> </w:t>
      </w:r>
      <w:r>
        <w:rPr>
          <w:rFonts w:ascii="SimSun" w:hAnsi="SimSun" w:eastAsia="SimSun" w:cs="SimSun"/>
          <w:sz w:val="21"/>
          <w:szCs w:val="21"/>
          <w:spacing w:val="-10"/>
        </w:rPr>
        <w:t>追逐利益，差异化定价进而演变为歧视性定价问题。近几年来，</w:t>
      </w:r>
      <w:r>
        <w:rPr>
          <w:rFonts w:ascii="SimSun" w:hAnsi="SimSun" w:eastAsia="SimSun" w:cs="SimSun"/>
          <w:sz w:val="21"/>
          <w:szCs w:val="21"/>
          <w:spacing w:val="-11"/>
        </w:rPr>
        <w:t>“大</w:t>
      </w:r>
      <w:r>
        <w:rPr>
          <w:rFonts w:ascii="SimSun" w:hAnsi="SimSun" w:eastAsia="SimSun" w:cs="SimSun"/>
          <w:sz w:val="21"/>
          <w:szCs w:val="21"/>
        </w:rPr>
        <w:t xml:space="preserve"> </w:t>
      </w:r>
      <w:r>
        <w:rPr>
          <w:rFonts w:ascii="SimSun" w:hAnsi="SimSun" w:eastAsia="SimSun" w:cs="SimSun"/>
          <w:sz w:val="21"/>
          <w:szCs w:val="21"/>
          <w:spacing w:val="-4"/>
        </w:rPr>
        <w:t>数据杀熟”现象频频发生，此种现象便是利用算法进行歧视性定价</w:t>
      </w:r>
      <w:r>
        <w:rPr>
          <w:rFonts w:ascii="SimSun" w:hAnsi="SimSun" w:eastAsia="SimSun" w:cs="SimSun"/>
          <w:sz w:val="21"/>
          <w:szCs w:val="21"/>
          <w:spacing w:val="3"/>
        </w:rPr>
        <w:t xml:space="preserve"> </w:t>
      </w:r>
      <w:r>
        <w:rPr>
          <w:rFonts w:ascii="SimSun" w:hAnsi="SimSun" w:eastAsia="SimSun" w:cs="SimSun"/>
          <w:sz w:val="21"/>
          <w:szCs w:val="21"/>
          <w:spacing w:val="-10"/>
        </w:rPr>
        <w:t>的典型案例。对于相同的商品，老客户所应支付的价格远远大于</w:t>
      </w:r>
      <w:r>
        <w:rPr>
          <w:rFonts w:ascii="SimSun" w:hAnsi="SimSun" w:eastAsia="SimSun" w:cs="SimSun"/>
          <w:sz w:val="21"/>
          <w:szCs w:val="21"/>
          <w:spacing w:val="-11"/>
        </w:rPr>
        <w:t>新客</w:t>
      </w:r>
      <w:r>
        <w:rPr>
          <w:rFonts w:ascii="SimSun" w:hAnsi="SimSun" w:eastAsia="SimSun" w:cs="SimSun"/>
          <w:sz w:val="21"/>
          <w:szCs w:val="21"/>
        </w:rPr>
        <w:t xml:space="preserve"> </w:t>
      </w:r>
      <w:r>
        <w:rPr>
          <w:rFonts w:ascii="SimSun" w:hAnsi="SimSun" w:eastAsia="SimSun" w:cs="SimSun"/>
          <w:sz w:val="21"/>
          <w:szCs w:val="21"/>
          <w:spacing w:val="-10"/>
        </w:rPr>
        <w:t>户，这样的“大数据杀熟”在损害消费者合法权益的同时</w:t>
      </w:r>
      <w:r>
        <w:rPr>
          <w:rFonts w:ascii="SimSun" w:hAnsi="SimSun" w:eastAsia="SimSun" w:cs="SimSun"/>
          <w:sz w:val="21"/>
          <w:szCs w:val="21"/>
          <w:spacing w:val="-11"/>
        </w:rPr>
        <w:t>，也破坏了</w:t>
      </w:r>
      <w:r>
        <w:rPr>
          <w:rFonts w:ascii="SimSun" w:hAnsi="SimSun" w:eastAsia="SimSun" w:cs="SimSun"/>
          <w:sz w:val="21"/>
          <w:szCs w:val="21"/>
        </w:rPr>
        <w:t xml:space="preserve"> </w:t>
      </w:r>
      <w:r>
        <w:rPr>
          <w:rFonts w:ascii="SimSun" w:hAnsi="SimSun" w:eastAsia="SimSun" w:cs="SimSun"/>
          <w:sz w:val="21"/>
          <w:szCs w:val="21"/>
          <w:spacing w:val="-11"/>
        </w:rPr>
        <w:t>市场竞争秩序。虽然目前国家层面已经出台了相关政策对此乱象予以</w:t>
      </w:r>
      <w:r>
        <w:rPr>
          <w:rFonts w:ascii="SimSun" w:hAnsi="SimSun" w:eastAsia="SimSun" w:cs="SimSun"/>
          <w:sz w:val="21"/>
          <w:szCs w:val="21"/>
          <w:spacing w:val="16"/>
        </w:rPr>
        <w:t xml:space="preserve"> </w:t>
      </w:r>
      <w:r>
        <w:rPr>
          <w:rFonts w:ascii="SimSun" w:hAnsi="SimSun" w:eastAsia="SimSun" w:cs="SimSun"/>
          <w:sz w:val="21"/>
          <w:szCs w:val="21"/>
          <w:spacing w:val="-10"/>
        </w:rPr>
        <w:t>规制，但由于算法技术本身所具有的隐蔽性以</w:t>
      </w:r>
      <w:r>
        <w:rPr>
          <w:rFonts w:ascii="SimSun" w:hAnsi="SimSun" w:eastAsia="SimSun" w:cs="SimSun"/>
          <w:sz w:val="21"/>
          <w:szCs w:val="21"/>
          <w:spacing w:val="-11"/>
        </w:rPr>
        <w:t>及难以识别性，实践中</w:t>
      </w:r>
    </w:p>
    <w:p>
      <w:pPr>
        <w:pStyle w:val="BodyText"/>
        <w:spacing w:line="448" w:lineRule="auto"/>
        <w:rPr/>
      </w:pPr>
      <w:r/>
    </w:p>
    <w:p>
      <w:pPr>
        <w:ind w:left="29"/>
        <w:spacing w:before="52" w:line="220" w:lineRule="auto"/>
        <w:rPr>
          <w:rFonts w:ascii="KaiTi" w:hAnsi="KaiTi" w:eastAsia="KaiTi" w:cs="KaiTi"/>
          <w:sz w:val="16"/>
          <w:szCs w:val="16"/>
        </w:rPr>
      </w:pPr>
      <w:r>
        <w:rPr>
          <w:rFonts w:ascii="KaiTi" w:hAnsi="KaiTi" w:eastAsia="KaiTi" w:cs="KaiTi"/>
          <w:sz w:val="16"/>
          <w:szCs w:val="16"/>
          <w:spacing w:val="4"/>
        </w:rPr>
        <w:t>①</w:t>
      </w:r>
      <w:r>
        <w:rPr>
          <w:rFonts w:ascii="KaiTi" w:hAnsi="KaiTi" w:eastAsia="KaiTi" w:cs="KaiTi"/>
          <w:sz w:val="16"/>
          <w:szCs w:val="16"/>
          <w:spacing w:val="4"/>
        </w:rPr>
        <w:t xml:space="preserve">  </w:t>
      </w:r>
      <w:r>
        <w:rPr>
          <w:rFonts w:ascii="KaiTi" w:hAnsi="KaiTi" w:eastAsia="KaiTi" w:cs="KaiTi"/>
          <w:sz w:val="16"/>
          <w:szCs w:val="16"/>
          <w:spacing w:val="4"/>
        </w:rPr>
        <w:t>姜野.算法的法律规制研究.长春：吉林大学，2020.</w:t>
      </w:r>
    </w:p>
    <w:p>
      <w:pPr>
        <w:spacing w:line="220" w:lineRule="auto"/>
        <w:sectPr>
          <w:headerReference w:type="default" r:id="rId435"/>
          <w:pgSz w:w="7330" w:h="12480"/>
          <w:pgMar w:top="529" w:right="526" w:bottom="400" w:left="770" w:header="365" w:footer="0" w:gutter="0"/>
        </w:sectPr>
        <w:rPr>
          <w:rFonts w:ascii="KaiTi" w:hAnsi="KaiTi" w:eastAsia="KaiTi" w:cs="KaiTi"/>
          <w:sz w:val="16"/>
          <w:szCs w:val="16"/>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103" w:right="90" w:hanging="104"/>
        <w:spacing w:before="68" w:line="297" w:lineRule="auto"/>
        <w:jc w:val="both"/>
        <w:rPr>
          <w:rFonts w:ascii="SimSun" w:hAnsi="SimSun" w:eastAsia="SimSun" w:cs="SimSun"/>
          <w:sz w:val="21"/>
          <w:szCs w:val="21"/>
        </w:rPr>
      </w:pPr>
      <w:r>
        <w:rPr>
          <w:rFonts w:ascii="SimSun" w:hAnsi="SimSun" w:eastAsia="SimSun" w:cs="SimSun"/>
          <w:sz w:val="21"/>
          <w:szCs w:val="21"/>
          <w:spacing w:val="-7"/>
        </w:rPr>
        <w:t>“大数据杀熟”行为难以取证；另外，由于平台企业与消费者存在信</w:t>
      </w:r>
      <w:r>
        <w:rPr>
          <w:rFonts w:ascii="SimSun" w:hAnsi="SimSun" w:eastAsia="SimSun" w:cs="SimSun"/>
          <w:sz w:val="21"/>
          <w:szCs w:val="21"/>
          <w:spacing w:val="18"/>
        </w:rPr>
        <w:t xml:space="preserve"> </w:t>
      </w:r>
      <w:r>
        <w:rPr>
          <w:rFonts w:ascii="SimSun" w:hAnsi="SimSun" w:eastAsia="SimSun" w:cs="SimSun"/>
          <w:sz w:val="21"/>
          <w:szCs w:val="21"/>
          <w:spacing w:val="-11"/>
        </w:rPr>
        <w:t>息失衡，消费者很难就歧视性定价及时采取措施以维护自己</w:t>
      </w:r>
      <w:r>
        <w:rPr>
          <w:rFonts w:ascii="SimSun" w:hAnsi="SimSun" w:eastAsia="SimSun" w:cs="SimSun"/>
          <w:sz w:val="21"/>
          <w:szCs w:val="21"/>
          <w:spacing w:val="-12"/>
        </w:rPr>
        <w:t>的合法权</w:t>
      </w:r>
      <w:r>
        <w:rPr>
          <w:rFonts w:ascii="SimSun" w:hAnsi="SimSun" w:eastAsia="SimSun" w:cs="SimSun"/>
          <w:sz w:val="21"/>
          <w:szCs w:val="21"/>
        </w:rPr>
        <w:t xml:space="preserve"> </w:t>
      </w:r>
      <w:r>
        <w:rPr>
          <w:rFonts w:ascii="SimSun" w:hAnsi="SimSun" w:eastAsia="SimSun" w:cs="SimSun"/>
          <w:sz w:val="21"/>
          <w:szCs w:val="21"/>
          <w:spacing w:val="-10"/>
        </w:rPr>
        <w:t>益。因此，对于算法定价这一信息技术发展的产物，我们在享受其带</w:t>
      </w:r>
      <w:r>
        <w:rPr>
          <w:rFonts w:ascii="SimSun" w:hAnsi="SimSun" w:eastAsia="SimSun" w:cs="SimSun"/>
          <w:sz w:val="21"/>
          <w:szCs w:val="21"/>
        </w:rPr>
        <w:t xml:space="preserve"> </w:t>
      </w:r>
      <w:r>
        <w:rPr>
          <w:rFonts w:ascii="SimSun" w:hAnsi="SimSun" w:eastAsia="SimSun" w:cs="SimSun"/>
          <w:sz w:val="21"/>
          <w:szCs w:val="21"/>
          <w:spacing w:val="-10"/>
        </w:rPr>
        <w:t>来便利的同时，也应注意其中蕴含的风险，应当辩证地看待算</w:t>
      </w:r>
      <w:r>
        <w:rPr>
          <w:rFonts w:ascii="SimSun" w:hAnsi="SimSun" w:eastAsia="SimSun" w:cs="SimSun"/>
          <w:sz w:val="21"/>
          <w:szCs w:val="21"/>
          <w:spacing w:val="-11"/>
        </w:rPr>
        <w:t>法这类</w:t>
      </w:r>
      <w:r>
        <w:rPr>
          <w:rFonts w:ascii="SimSun" w:hAnsi="SimSun" w:eastAsia="SimSun" w:cs="SimSun"/>
          <w:sz w:val="21"/>
          <w:szCs w:val="21"/>
        </w:rPr>
        <w:t xml:space="preserve"> </w:t>
      </w:r>
      <w:r>
        <w:rPr>
          <w:rFonts w:ascii="SimSun" w:hAnsi="SimSun" w:eastAsia="SimSun" w:cs="SimSun"/>
          <w:sz w:val="21"/>
          <w:szCs w:val="21"/>
          <w:spacing w:val="-12"/>
        </w:rPr>
        <w:t>新生事物的发展。</w:t>
      </w:r>
    </w:p>
    <w:p>
      <w:pPr>
        <w:pStyle w:val="BodyText"/>
        <w:spacing w:line="394" w:lineRule="auto"/>
        <w:rPr/>
      </w:pPr>
      <w:r/>
    </w:p>
    <w:p>
      <w:pPr>
        <w:ind w:left="507"/>
        <w:spacing w:before="68" w:line="219" w:lineRule="auto"/>
        <w:rPr>
          <w:rFonts w:ascii="SimSun" w:hAnsi="SimSun" w:eastAsia="SimSun" w:cs="SimSun"/>
          <w:sz w:val="21"/>
          <w:szCs w:val="21"/>
        </w:rPr>
      </w:pPr>
      <w:r>
        <w:rPr>
          <w:rFonts w:ascii="SimSun" w:hAnsi="SimSun" w:eastAsia="SimSun" w:cs="SimSun"/>
          <w:sz w:val="21"/>
          <w:szCs w:val="21"/>
          <w:b/>
          <w:bCs/>
          <w:spacing w:val="-13"/>
        </w:rPr>
        <w:t>传统规制方法面临适用困境</w:t>
      </w:r>
    </w:p>
    <w:p>
      <w:pPr>
        <w:ind w:left="104" w:firstLine="399"/>
        <w:spacing w:before="121" w:line="297" w:lineRule="auto"/>
        <w:jc w:val="both"/>
        <w:rPr>
          <w:rFonts w:ascii="SimSun" w:hAnsi="SimSun" w:eastAsia="SimSun" w:cs="SimSun"/>
          <w:sz w:val="21"/>
          <w:szCs w:val="21"/>
        </w:rPr>
      </w:pPr>
      <w:r>
        <w:rPr>
          <w:rFonts w:ascii="SimSun" w:hAnsi="SimSun" w:eastAsia="SimSun" w:cs="SimSun"/>
          <w:sz w:val="21"/>
          <w:szCs w:val="21"/>
          <w:spacing w:val="-7"/>
        </w:rPr>
        <w:t>针对算法风险的传统规制路径主要包括平台经营者的自我治理、</w:t>
      </w:r>
      <w:r>
        <w:rPr>
          <w:rFonts w:ascii="SimSun" w:hAnsi="SimSun" w:eastAsia="SimSun" w:cs="SimSun"/>
          <w:sz w:val="21"/>
          <w:szCs w:val="21"/>
          <w:spacing w:val="10"/>
        </w:rPr>
        <w:t xml:space="preserve"> </w:t>
      </w:r>
      <w:r>
        <w:rPr>
          <w:rFonts w:ascii="SimSun" w:hAnsi="SimSun" w:eastAsia="SimSun" w:cs="SimSun"/>
          <w:sz w:val="21"/>
          <w:szCs w:val="21"/>
          <w:spacing w:val="-8"/>
        </w:rPr>
        <w:t>市场调节和法律规制等方面，但由于算法能为经营者带来巨大收益，</w:t>
      </w:r>
      <w:r>
        <w:rPr>
          <w:rFonts w:ascii="SimSun" w:hAnsi="SimSun" w:eastAsia="SimSun" w:cs="SimSun"/>
          <w:sz w:val="21"/>
          <w:szCs w:val="21"/>
          <w:spacing w:val="4"/>
        </w:rPr>
        <w:t xml:space="preserve"> </w:t>
      </w:r>
      <w:r>
        <w:rPr>
          <w:rFonts w:ascii="SimSun" w:hAnsi="SimSun" w:eastAsia="SimSun" w:cs="SimSun"/>
          <w:sz w:val="21"/>
          <w:szCs w:val="21"/>
          <w:spacing w:val="-11"/>
        </w:rPr>
        <w:t>市场的逐利性使得这些传统规制路径未能有效发挥作用。特别是在判</w:t>
      </w:r>
      <w:r>
        <w:rPr>
          <w:rFonts w:ascii="SimSun" w:hAnsi="SimSun" w:eastAsia="SimSun" w:cs="SimSun"/>
          <w:sz w:val="21"/>
          <w:szCs w:val="21"/>
          <w:spacing w:val="1"/>
        </w:rPr>
        <w:t xml:space="preserve">  </w:t>
      </w:r>
      <w:r>
        <w:rPr>
          <w:rFonts w:ascii="SimSun" w:hAnsi="SimSun" w:eastAsia="SimSun" w:cs="SimSun"/>
          <w:sz w:val="21"/>
          <w:szCs w:val="21"/>
          <w:spacing w:val="-10"/>
        </w:rPr>
        <w:t>断方法上，原有“相关市场界定—市场势力判定—行为竞争效</w:t>
      </w:r>
      <w:r>
        <w:rPr>
          <w:rFonts w:ascii="SimSun" w:hAnsi="SimSun" w:eastAsia="SimSun" w:cs="SimSun"/>
          <w:sz w:val="21"/>
          <w:szCs w:val="21"/>
          <w:spacing w:val="-11"/>
        </w:rPr>
        <w:t>应”分</w:t>
      </w:r>
      <w:r>
        <w:rPr>
          <w:rFonts w:ascii="SimSun" w:hAnsi="SimSun" w:eastAsia="SimSun" w:cs="SimSun"/>
          <w:sz w:val="21"/>
          <w:szCs w:val="21"/>
        </w:rPr>
        <w:t xml:space="preserve">  </w:t>
      </w:r>
      <w:r>
        <w:rPr>
          <w:rFonts w:ascii="SimSun" w:hAnsi="SimSun" w:eastAsia="SimSun" w:cs="SimSun"/>
          <w:sz w:val="21"/>
          <w:szCs w:val="21"/>
          <w:spacing w:val="-10"/>
        </w:rPr>
        <w:t>析方法在现有算法环境中面临诸多困难，如相关市场界定困难，市场</w:t>
      </w:r>
      <w:r>
        <w:rPr>
          <w:rFonts w:ascii="SimSun" w:hAnsi="SimSun" w:eastAsia="SimSun" w:cs="SimSun"/>
          <w:sz w:val="21"/>
          <w:szCs w:val="21"/>
        </w:rPr>
        <w:t xml:space="preserve">  </w:t>
      </w:r>
      <w:r>
        <w:rPr>
          <w:rFonts w:ascii="SimSun" w:hAnsi="SimSun" w:eastAsia="SimSun" w:cs="SimSun"/>
          <w:sz w:val="21"/>
          <w:szCs w:val="21"/>
          <w:spacing w:val="-10"/>
        </w:rPr>
        <w:t>势力难以恒定，竞争效应中是否存在反竞争难以判定，效果上</w:t>
      </w:r>
      <w:r>
        <w:rPr>
          <w:rFonts w:ascii="SimSun" w:hAnsi="SimSun" w:eastAsia="SimSun" w:cs="SimSun"/>
          <w:sz w:val="21"/>
          <w:szCs w:val="21"/>
          <w:spacing w:val="-11"/>
        </w:rPr>
        <w:t>是否存</w:t>
      </w:r>
      <w:r>
        <w:rPr>
          <w:rFonts w:ascii="SimSun" w:hAnsi="SimSun" w:eastAsia="SimSun" w:cs="SimSun"/>
          <w:sz w:val="21"/>
          <w:szCs w:val="21"/>
        </w:rPr>
        <w:t xml:space="preserve">  </w:t>
      </w:r>
      <w:r>
        <w:rPr>
          <w:rFonts w:ascii="SimSun" w:hAnsi="SimSun" w:eastAsia="SimSun" w:cs="SimSun"/>
          <w:sz w:val="21"/>
          <w:szCs w:val="21"/>
          <w:spacing w:val="-10"/>
        </w:rPr>
        <w:t>在排除或限制竞争难以衡量，由算法带来的行为是否可以在某种程度</w:t>
      </w:r>
      <w:r>
        <w:rPr>
          <w:rFonts w:ascii="SimSun" w:hAnsi="SimSun" w:eastAsia="SimSun" w:cs="SimSun"/>
          <w:sz w:val="21"/>
          <w:szCs w:val="21"/>
        </w:rPr>
        <w:t xml:space="preserve">  </w:t>
      </w:r>
      <w:r>
        <w:rPr>
          <w:rFonts w:ascii="SimSun" w:hAnsi="SimSun" w:eastAsia="SimSun" w:cs="SimSun"/>
          <w:sz w:val="21"/>
          <w:szCs w:val="21"/>
          <w:spacing w:val="-13"/>
        </w:rPr>
        <w:t>上实现消费者福利的增加难以计算，等等。</w:t>
      </w:r>
    </w:p>
    <w:p>
      <w:pPr>
        <w:ind w:left="104" w:right="92" w:firstLine="399"/>
        <w:spacing w:before="154" w:line="305" w:lineRule="auto"/>
        <w:jc w:val="both"/>
        <w:rPr>
          <w:rFonts w:ascii="SimSun" w:hAnsi="SimSun" w:eastAsia="SimSun" w:cs="SimSun"/>
          <w:sz w:val="21"/>
          <w:szCs w:val="21"/>
        </w:rPr>
      </w:pPr>
      <w:r>
        <w:rPr>
          <w:rFonts w:ascii="SimSun" w:hAnsi="SimSun" w:eastAsia="SimSun" w:cs="SimSun"/>
          <w:sz w:val="21"/>
          <w:szCs w:val="21"/>
          <w:spacing w:val="-6"/>
        </w:rPr>
        <w:t>事实上，从曾经的“3</w:t>
      </w:r>
      <w:r>
        <w:rPr>
          <w:rFonts w:ascii="Times New Roman" w:hAnsi="Times New Roman" w:eastAsia="Times New Roman" w:cs="Times New Roman"/>
          <w:sz w:val="21"/>
          <w:szCs w:val="21"/>
          <w:spacing w:val="-6"/>
        </w:rPr>
        <w:t>Q</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大战”起就存在这个问题，腾讯与奇虎</w:t>
      </w:r>
      <w:r>
        <w:rPr>
          <w:rFonts w:ascii="SimSun" w:hAnsi="SimSun" w:eastAsia="SimSun" w:cs="SimSun"/>
          <w:sz w:val="21"/>
          <w:szCs w:val="21"/>
        </w:rPr>
        <w:t xml:space="preserve"> </w:t>
      </w:r>
      <w:r>
        <w:rPr>
          <w:rFonts w:ascii="SimSun" w:hAnsi="SimSun" w:eastAsia="SimSun" w:cs="SimSun"/>
          <w:sz w:val="21"/>
          <w:szCs w:val="21"/>
          <w:spacing w:val="-6"/>
        </w:rPr>
        <w:t>360以其强大的市场占有率不断扩张到市场</w:t>
      </w:r>
      <w:r>
        <w:rPr>
          <w:rFonts w:ascii="SimSun" w:hAnsi="SimSun" w:eastAsia="SimSun" w:cs="SimSun"/>
          <w:sz w:val="21"/>
          <w:szCs w:val="21"/>
          <w:spacing w:val="-7"/>
        </w:rPr>
        <w:t>的各个领域，在相关业务</w:t>
      </w:r>
      <w:r>
        <w:rPr>
          <w:rFonts w:ascii="SimSun" w:hAnsi="SimSun" w:eastAsia="SimSun" w:cs="SimSun"/>
          <w:sz w:val="21"/>
          <w:szCs w:val="21"/>
        </w:rPr>
        <w:t xml:space="preserve"> </w:t>
      </w:r>
      <w:r>
        <w:rPr>
          <w:rFonts w:ascii="SimSun" w:hAnsi="SimSun" w:eastAsia="SimSun" w:cs="SimSun"/>
          <w:sz w:val="21"/>
          <w:szCs w:val="21"/>
        </w:rPr>
        <w:t>上出现交叉与重叠。奇虎360诉腾讯滥用</w:t>
      </w:r>
      <w:r>
        <w:rPr>
          <w:rFonts w:ascii="SimSun" w:hAnsi="SimSun" w:eastAsia="SimSun" w:cs="SimSun"/>
          <w:sz w:val="21"/>
          <w:szCs w:val="21"/>
          <w:spacing w:val="-1"/>
        </w:rPr>
        <w:t>市场支配地位一案中，法</w:t>
      </w:r>
      <w:r>
        <w:rPr>
          <w:rFonts w:ascii="SimSun" w:hAnsi="SimSun" w:eastAsia="SimSun" w:cs="SimSun"/>
          <w:sz w:val="21"/>
          <w:szCs w:val="21"/>
        </w:rPr>
        <w:t xml:space="preserve"> </w:t>
      </w:r>
      <w:r>
        <w:rPr>
          <w:rFonts w:ascii="SimSun" w:hAnsi="SimSun" w:eastAsia="SimSun" w:cs="SimSun"/>
          <w:sz w:val="21"/>
          <w:szCs w:val="21"/>
          <w:spacing w:val="-1"/>
        </w:rPr>
        <w:t>院最终认定腾讯</w:t>
      </w:r>
      <w:r>
        <w:rPr>
          <w:rFonts w:ascii="Times New Roman" w:hAnsi="Times New Roman" w:eastAsia="Times New Roman" w:cs="Times New Roman"/>
          <w:sz w:val="21"/>
          <w:szCs w:val="21"/>
          <w:spacing w:val="-1"/>
        </w:rPr>
        <w:t>QQ </w:t>
      </w:r>
      <w:r>
        <w:rPr>
          <w:rFonts w:ascii="SimSun" w:hAnsi="SimSun" w:eastAsia="SimSun" w:cs="SimSun"/>
          <w:sz w:val="21"/>
          <w:szCs w:val="21"/>
          <w:spacing w:val="-1"/>
        </w:rPr>
        <w:t>在即时通信领域不具备市场支配地位。从该案</w:t>
      </w:r>
      <w:r>
        <w:rPr>
          <w:rFonts w:ascii="SimSun" w:hAnsi="SimSun" w:eastAsia="SimSun" w:cs="SimSun"/>
          <w:sz w:val="21"/>
          <w:szCs w:val="21"/>
          <w:spacing w:val="5"/>
        </w:rPr>
        <w:t xml:space="preserve"> </w:t>
      </w:r>
      <w:r>
        <w:rPr>
          <w:rFonts w:ascii="SimSun" w:hAnsi="SimSun" w:eastAsia="SimSun" w:cs="SimSun"/>
          <w:sz w:val="21"/>
          <w:szCs w:val="21"/>
          <w:spacing w:val="-3"/>
        </w:rPr>
        <w:t>可看出，算法的介入实际上极大地扩张了企业的业务</w:t>
      </w:r>
      <w:r>
        <w:rPr>
          <w:rFonts w:ascii="SimSun" w:hAnsi="SimSun" w:eastAsia="SimSun" w:cs="SimSun"/>
          <w:sz w:val="21"/>
          <w:szCs w:val="21"/>
          <w:spacing w:val="-4"/>
        </w:rPr>
        <w:t>领域，同时这</w:t>
      </w:r>
      <w:r>
        <w:rPr>
          <w:rFonts w:ascii="SimSun" w:hAnsi="SimSun" w:eastAsia="SimSun" w:cs="SimSun"/>
          <w:sz w:val="21"/>
          <w:szCs w:val="21"/>
        </w:rPr>
        <w:t xml:space="preserve"> </w:t>
      </w:r>
      <w:r>
        <w:rPr>
          <w:rFonts w:ascii="SimSun" w:hAnsi="SimSun" w:eastAsia="SimSun" w:cs="SimSun"/>
          <w:sz w:val="21"/>
          <w:szCs w:val="21"/>
          <w:spacing w:val="-3"/>
        </w:rPr>
        <w:t>种扩张是隐蔽且难以识别的，难以通过传统规制方法来认定</w:t>
      </w:r>
      <w:r>
        <w:rPr>
          <w:rFonts w:ascii="SimSun" w:hAnsi="SimSun" w:eastAsia="SimSun" w:cs="SimSun"/>
          <w:sz w:val="21"/>
          <w:szCs w:val="21"/>
          <w:spacing w:val="-4"/>
        </w:rPr>
        <w:t>市场支</w:t>
      </w:r>
      <w:r>
        <w:rPr>
          <w:rFonts w:ascii="SimSun" w:hAnsi="SimSun" w:eastAsia="SimSun" w:cs="SimSun"/>
          <w:sz w:val="21"/>
          <w:szCs w:val="21"/>
        </w:rPr>
        <w:t xml:space="preserve"> </w:t>
      </w:r>
      <w:r>
        <w:rPr>
          <w:rFonts w:ascii="SimSun" w:hAnsi="SimSun" w:eastAsia="SimSun" w:cs="SimSun"/>
          <w:sz w:val="21"/>
          <w:szCs w:val="21"/>
          <w:spacing w:val="-8"/>
        </w:rPr>
        <w:t>配地位。</w:t>
      </w:r>
    </w:p>
    <w:p>
      <w:pPr>
        <w:pStyle w:val="BodyText"/>
        <w:spacing w:line="442" w:lineRule="auto"/>
        <w:rPr/>
      </w:pPr>
      <w:r/>
    </w:p>
    <w:p>
      <w:pPr>
        <w:ind w:left="108"/>
        <w:spacing w:before="68" w:line="222" w:lineRule="auto"/>
        <w:rPr>
          <w:rFonts w:ascii="SimHei" w:hAnsi="SimHei" w:eastAsia="SimHei" w:cs="SimHei"/>
          <w:sz w:val="21"/>
          <w:szCs w:val="21"/>
        </w:rPr>
      </w:pPr>
      <w:r>
        <w:rPr>
          <w:rFonts w:ascii="SimHei" w:hAnsi="SimHei" w:eastAsia="SimHei" w:cs="SimHei"/>
          <w:sz w:val="21"/>
          <w:szCs w:val="21"/>
          <w:b/>
          <w:bCs/>
          <w:spacing w:val="26"/>
        </w:rPr>
        <w:t>行为规制视角下的算法治理挑战</w:t>
      </w:r>
    </w:p>
    <w:p>
      <w:pPr>
        <w:pStyle w:val="BodyText"/>
        <w:spacing w:line="351" w:lineRule="auto"/>
        <w:rPr/>
      </w:pPr>
      <w:r/>
    </w:p>
    <w:p>
      <w:pPr>
        <w:ind w:left="104" w:right="93" w:firstLine="399"/>
        <w:spacing w:before="69" w:line="268" w:lineRule="auto"/>
        <w:rPr>
          <w:rFonts w:ascii="SimSun" w:hAnsi="SimSun" w:eastAsia="SimSun" w:cs="SimSun"/>
          <w:sz w:val="21"/>
          <w:szCs w:val="21"/>
        </w:rPr>
      </w:pPr>
      <w:r>
        <w:rPr>
          <w:rFonts w:ascii="SimSun" w:hAnsi="SimSun" w:eastAsia="SimSun" w:cs="SimSun"/>
          <w:sz w:val="21"/>
          <w:szCs w:val="21"/>
          <w:spacing w:val="-10"/>
        </w:rPr>
        <w:t>平台算法面临的法律挑战主要包括算法技术滥用所引发的算</w:t>
      </w:r>
      <w:r>
        <w:rPr>
          <w:rFonts w:ascii="SimSun" w:hAnsi="SimSun" w:eastAsia="SimSun" w:cs="SimSun"/>
          <w:sz w:val="21"/>
          <w:szCs w:val="21"/>
          <w:spacing w:val="-11"/>
        </w:rPr>
        <w:t>法风</w:t>
      </w:r>
      <w:r>
        <w:rPr>
          <w:rFonts w:ascii="SimSun" w:hAnsi="SimSun" w:eastAsia="SimSun" w:cs="SimSun"/>
          <w:sz w:val="21"/>
          <w:szCs w:val="21"/>
        </w:rPr>
        <w:t xml:space="preserve"> </w:t>
      </w:r>
      <w:r>
        <w:rPr>
          <w:rFonts w:ascii="SimSun" w:hAnsi="SimSun" w:eastAsia="SimSun" w:cs="SimSun"/>
          <w:sz w:val="21"/>
          <w:szCs w:val="21"/>
          <w:spacing w:val="-10"/>
        </w:rPr>
        <w:t>险，如算法歧视、算法合谋、算法公正缺失，以及由于算法技术的隐</w:t>
      </w:r>
    </w:p>
    <w:p>
      <w:pPr>
        <w:spacing w:line="268" w:lineRule="auto"/>
        <w:sectPr>
          <w:headerReference w:type="default" r:id="rId437"/>
          <w:pgSz w:w="7330" w:h="12480"/>
          <w:pgMar w:top="785" w:right="694" w:bottom="400" w:left="435" w:header="622" w:footer="0" w:gutter="0"/>
        </w:sectPr>
        <w:rPr>
          <w:rFonts w:ascii="SimSun" w:hAnsi="SimSun" w:eastAsia="SimSun" w:cs="SimSun"/>
          <w:sz w:val="21"/>
          <w:szCs w:val="21"/>
        </w:rPr>
      </w:pPr>
    </w:p>
    <w:p>
      <w:pPr>
        <w:pStyle w:val="BodyText"/>
        <w:spacing w:line="254" w:lineRule="auto"/>
        <w:rPr/>
      </w:pPr>
      <w:r>
        <w:drawing>
          <wp:anchor distT="0" distB="0" distL="0" distR="0" simplePos="0" relativeHeight="255430656" behindDoc="0" locked="0" layoutInCell="0" allowOverlap="1">
            <wp:simplePos x="0" y="0"/>
            <wp:positionH relativeFrom="page">
              <wp:posOffset>495291</wp:posOffset>
            </wp:positionH>
            <wp:positionV relativeFrom="page">
              <wp:posOffset>6667525</wp:posOffset>
            </wp:positionV>
            <wp:extent cx="1174761" cy="6350"/>
            <wp:effectExtent l="0" t="0" r="0" b="0"/>
            <wp:wrapNone/>
            <wp:docPr id="302" name="IM 302"/>
            <wp:cNvGraphicFramePr/>
            <a:graphic>
              <a:graphicData uri="http://schemas.openxmlformats.org/drawingml/2006/picture">
                <pic:pic>
                  <pic:nvPicPr>
                    <pic:cNvPr id="302" name="IM 302"/>
                    <pic:cNvPicPr/>
                  </pic:nvPicPr>
                  <pic:blipFill>
                    <a:blip r:embed="rId439"/>
                    <a:stretch>
                      <a:fillRect/>
                    </a:stretch>
                  </pic:blipFill>
                  <pic:spPr>
                    <a:xfrm rot="0">
                      <a:off x="0" y="0"/>
                      <a:ext cx="1174761"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ind w:left="105" w:right="74"/>
        <w:spacing w:before="68" w:line="263" w:lineRule="auto"/>
        <w:rPr>
          <w:rFonts w:ascii="SimSun" w:hAnsi="SimSun" w:eastAsia="SimSun" w:cs="SimSun"/>
          <w:sz w:val="21"/>
          <w:szCs w:val="21"/>
        </w:rPr>
      </w:pPr>
      <w:r>
        <w:rPr>
          <w:rFonts w:ascii="SimSun" w:hAnsi="SimSun" w:eastAsia="SimSun" w:cs="SimSun"/>
          <w:sz w:val="21"/>
          <w:szCs w:val="21"/>
          <w:spacing w:val="-11"/>
        </w:rPr>
        <w:t>藏性和专业性所造成的监管困难，等等，这些都成了平台治理所必须</w:t>
      </w:r>
      <w:r>
        <w:rPr>
          <w:rFonts w:ascii="SimSun" w:hAnsi="SimSun" w:eastAsia="SimSun" w:cs="SimSun"/>
          <w:sz w:val="21"/>
          <w:szCs w:val="21"/>
          <w:spacing w:val="9"/>
        </w:rPr>
        <w:t xml:space="preserve"> </w:t>
      </w:r>
      <w:r>
        <w:rPr>
          <w:rFonts w:ascii="SimSun" w:hAnsi="SimSun" w:eastAsia="SimSun" w:cs="SimSun"/>
          <w:sz w:val="21"/>
          <w:szCs w:val="21"/>
          <w:spacing w:val="-12"/>
        </w:rPr>
        <w:t>面对和解决的问题。</w:t>
      </w:r>
    </w:p>
    <w:p>
      <w:pPr>
        <w:pStyle w:val="BodyText"/>
        <w:spacing w:line="397" w:lineRule="auto"/>
        <w:rPr/>
      </w:pPr>
      <w:r/>
    </w:p>
    <w:p>
      <w:pPr>
        <w:ind w:left="508"/>
        <w:spacing w:before="68" w:line="219" w:lineRule="auto"/>
        <w:rPr>
          <w:rFonts w:ascii="SimSun" w:hAnsi="SimSun" w:eastAsia="SimSun" w:cs="SimSun"/>
          <w:sz w:val="21"/>
          <w:szCs w:val="21"/>
        </w:rPr>
      </w:pPr>
      <w:r>
        <w:rPr>
          <w:rFonts w:ascii="SimSun" w:hAnsi="SimSun" w:eastAsia="SimSun" w:cs="SimSun"/>
          <w:sz w:val="21"/>
          <w:szCs w:val="21"/>
          <w:b/>
          <w:bCs/>
          <w:spacing w:val="-5"/>
        </w:rPr>
        <w:t>算法歧视</w:t>
      </w:r>
    </w:p>
    <w:p>
      <w:pPr>
        <w:ind w:firstLine="504"/>
        <w:spacing w:before="121" w:line="299" w:lineRule="auto"/>
        <w:jc w:val="both"/>
        <w:rPr>
          <w:rFonts w:ascii="SimSun" w:hAnsi="SimSun" w:eastAsia="SimSun" w:cs="SimSun"/>
          <w:sz w:val="21"/>
          <w:szCs w:val="21"/>
        </w:rPr>
      </w:pPr>
      <w:r>
        <w:rPr>
          <w:rFonts w:ascii="SimSun" w:hAnsi="SimSun" w:eastAsia="SimSun" w:cs="SimSun"/>
          <w:sz w:val="21"/>
          <w:szCs w:val="21"/>
          <w:spacing w:val="-11"/>
        </w:rPr>
        <w:t>算法因其技术的复杂性或可能存在的突发性错误，可能在运行过 </w:t>
      </w:r>
      <w:r>
        <w:rPr>
          <w:rFonts w:ascii="SimSun" w:hAnsi="SimSun" w:eastAsia="SimSun" w:cs="SimSun"/>
          <w:sz w:val="21"/>
          <w:szCs w:val="21"/>
          <w:spacing w:val="-5"/>
        </w:rPr>
        <w:t>程中产生偏差，进而产生不合理不公平的结果。①以信用贷款为例，</w:t>
      </w:r>
      <w:r>
        <w:rPr>
          <w:rFonts w:ascii="SimSun" w:hAnsi="SimSun" w:eastAsia="SimSun" w:cs="SimSun"/>
          <w:sz w:val="21"/>
          <w:szCs w:val="21"/>
          <w:spacing w:val="9"/>
        </w:rPr>
        <w:t xml:space="preserve"> </w:t>
      </w:r>
      <w:r>
        <w:rPr>
          <w:rFonts w:ascii="SimSun" w:hAnsi="SimSun" w:eastAsia="SimSun" w:cs="SimSun"/>
          <w:sz w:val="21"/>
          <w:szCs w:val="21"/>
          <w:spacing w:val="-5"/>
        </w:rPr>
        <w:t>如果通过算法规则运算所得出的结果能符合一个人的实际财务情况，</w:t>
      </w:r>
      <w:r>
        <w:rPr>
          <w:rFonts w:ascii="SimSun" w:hAnsi="SimSun" w:eastAsia="SimSun" w:cs="SimSun"/>
          <w:sz w:val="21"/>
          <w:szCs w:val="21"/>
          <w:spacing w:val="9"/>
        </w:rPr>
        <w:t xml:space="preserve"> </w:t>
      </w:r>
      <w:r>
        <w:rPr>
          <w:rFonts w:ascii="SimSun" w:hAnsi="SimSun" w:eastAsia="SimSun" w:cs="SimSun"/>
          <w:sz w:val="21"/>
          <w:szCs w:val="21"/>
          <w:spacing w:val="-7"/>
        </w:rPr>
        <w:t>真实客观反映一个人的财务能力，那么此时的算法</w:t>
      </w:r>
      <w:r>
        <w:rPr>
          <w:rFonts w:ascii="SimSun" w:hAnsi="SimSun" w:eastAsia="SimSun" w:cs="SimSun"/>
          <w:sz w:val="21"/>
          <w:szCs w:val="21"/>
          <w:spacing w:val="-8"/>
        </w:rPr>
        <w:t>便是公平的，反之 </w:t>
      </w:r>
      <w:r>
        <w:rPr>
          <w:rFonts w:ascii="SimSun" w:hAnsi="SimSun" w:eastAsia="SimSun" w:cs="SimSun"/>
          <w:sz w:val="21"/>
          <w:szCs w:val="21"/>
          <w:spacing w:val="-7"/>
        </w:rPr>
        <w:t>则有可能构成算法歧视。算法决策的类型化思维形</w:t>
      </w:r>
      <w:r>
        <w:rPr>
          <w:rFonts w:ascii="SimSun" w:hAnsi="SimSun" w:eastAsia="SimSun" w:cs="SimSun"/>
          <w:sz w:val="21"/>
          <w:szCs w:val="21"/>
          <w:spacing w:val="-8"/>
        </w:rPr>
        <w:t>成的聚类和分类模 </w:t>
      </w:r>
      <w:r>
        <w:rPr>
          <w:rFonts w:ascii="SimSun" w:hAnsi="SimSun" w:eastAsia="SimSun" w:cs="SimSun"/>
          <w:sz w:val="21"/>
          <w:szCs w:val="21"/>
          <w:spacing w:val="-7"/>
        </w:rPr>
        <w:t>式是一种有利于偏见生成的模型，而算法运行的准</w:t>
      </w:r>
      <w:r>
        <w:rPr>
          <w:rFonts w:ascii="SimSun" w:hAnsi="SimSun" w:eastAsia="SimSun" w:cs="SimSun"/>
          <w:sz w:val="21"/>
          <w:szCs w:val="21"/>
          <w:spacing w:val="-8"/>
        </w:rPr>
        <w:t>自主化趋势又进一 </w:t>
      </w:r>
      <w:r>
        <w:rPr>
          <w:rFonts w:ascii="SimSun" w:hAnsi="SimSun" w:eastAsia="SimSun" w:cs="SimSun"/>
          <w:sz w:val="21"/>
          <w:szCs w:val="21"/>
          <w:spacing w:val="-6"/>
        </w:rPr>
        <w:t>步将偏见内化为算法的随机表达，这也便逐渐产生并加剧了歧视。②</w:t>
      </w:r>
      <w:r>
        <w:rPr>
          <w:rFonts w:ascii="SimSun" w:hAnsi="SimSun" w:eastAsia="SimSun" w:cs="SimSun"/>
          <w:sz w:val="21"/>
          <w:szCs w:val="21"/>
          <w:spacing w:val="1"/>
        </w:rPr>
        <w:t xml:space="preserve"> </w:t>
      </w:r>
      <w:r>
        <w:rPr>
          <w:rFonts w:ascii="SimSun" w:hAnsi="SimSun" w:eastAsia="SimSun" w:cs="SimSun"/>
          <w:sz w:val="21"/>
          <w:szCs w:val="21"/>
          <w:spacing w:val="-7"/>
        </w:rPr>
        <w:t>随着大数据技术和人工智能的发展，算法歧视也在某种程度上实现了</w:t>
      </w:r>
      <w:r>
        <w:rPr>
          <w:rFonts w:ascii="SimSun" w:hAnsi="SimSun" w:eastAsia="SimSun" w:cs="SimSun"/>
          <w:sz w:val="21"/>
          <w:szCs w:val="21"/>
          <w:spacing w:val="10"/>
        </w:rPr>
        <w:t xml:space="preserve"> </w:t>
      </w:r>
      <w:r>
        <w:rPr>
          <w:rFonts w:ascii="SimSun" w:hAnsi="SimSun" w:eastAsia="SimSun" w:cs="SimSun"/>
          <w:sz w:val="21"/>
          <w:szCs w:val="21"/>
          <w:spacing w:val="-10"/>
        </w:rPr>
        <w:t>“进化”,算法歧视是算法权力扩张的副产品，</w:t>
      </w:r>
      <w:r>
        <w:rPr>
          <w:rFonts w:ascii="SimSun" w:hAnsi="SimSun" w:eastAsia="SimSun" w:cs="SimSun"/>
          <w:sz w:val="21"/>
          <w:szCs w:val="21"/>
          <w:spacing w:val="-11"/>
        </w:rPr>
        <w:t>有必要对此现象予以法 </w:t>
      </w:r>
      <w:r>
        <w:rPr>
          <w:rFonts w:ascii="SimSun" w:hAnsi="SimSun" w:eastAsia="SimSun" w:cs="SimSun"/>
          <w:sz w:val="21"/>
          <w:szCs w:val="21"/>
          <w:spacing w:val="-7"/>
        </w:rPr>
        <w:t>律规制，防止因技术的迅猛发展而使之造成更大的损害。</w:t>
      </w:r>
    </w:p>
    <w:p>
      <w:pPr>
        <w:ind w:left="105" w:right="70" w:firstLine="399"/>
        <w:spacing w:before="187" w:line="303" w:lineRule="auto"/>
        <w:jc w:val="both"/>
        <w:rPr>
          <w:rFonts w:ascii="SimSun" w:hAnsi="SimSun" w:eastAsia="SimSun" w:cs="SimSun"/>
          <w:sz w:val="21"/>
          <w:szCs w:val="21"/>
        </w:rPr>
      </w:pPr>
      <w:r>
        <w:rPr>
          <w:rFonts w:ascii="SimSun" w:hAnsi="SimSun" w:eastAsia="SimSun" w:cs="SimSun"/>
          <w:sz w:val="21"/>
          <w:szCs w:val="21"/>
          <w:spacing w:val="-11"/>
        </w:rPr>
        <w:t>但对平台算法歧视进行法律规制仍存在很大的困难。第一</w:t>
      </w:r>
      <w:r>
        <w:rPr>
          <w:rFonts w:ascii="SimSun" w:hAnsi="SimSun" w:eastAsia="SimSun" w:cs="SimSun"/>
          <w:sz w:val="21"/>
          <w:szCs w:val="21"/>
          <w:spacing w:val="-12"/>
        </w:rPr>
        <w:t>，算法</w:t>
      </w:r>
      <w:r>
        <w:rPr>
          <w:rFonts w:ascii="SimSun" w:hAnsi="SimSun" w:eastAsia="SimSun" w:cs="SimSun"/>
          <w:sz w:val="21"/>
          <w:szCs w:val="21"/>
        </w:rPr>
        <w:t xml:space="preserve"> </w:t>
      </w:r>
      <w:r>
        <w:rPr>
          <w:rFonts w:ascii="SimSun" w:hAnsi="SimSun" w:eastAsia="SimSun" w:cs="SimSun"/>
          <w:sz w:val="21"/>
          <w:szCs w:val="21"/>
          <w:spacing w:val="-11"/>
        </w:rPr>
        <w:t>决策的边界难以界定。算法歧视是算法决策的结果体现，对平台算法</w:t>
      </w:r>
      <w:r>
        <w:rPr>
          <w:rFonts w:ascii="SimSun" w:hAnsi="SimSun" w:eastAsia="SimSun" w:cs="SimSun"/>
          <w:sz w:val="21"/>
          <w:szCs w:val="21"/>
          <w:spacing w:val="6"/>
        </w:rPr>
        <w:t xml:space="preserve"> </w:t>
      </w:r>
      <w:r>
        <w:rPr>
          <w:rFonts w:ascii="SimSun" w:hAnsi="SimSun" w:eastAsia="SimSun" w:cs="SimSun"/>
          <w:sz w:val="21"/>
          <w:szCs w:val="21"/>
          <w:spacing w:val="-11"/>
        </w:rPr>
        <w:t>进行法律治理时难以准确划定算法决策的边界。如今算法深入社会生</w:t>
      </w:r>
      <w:r>
        <w:rPr>
          <w:rFonts w:ascii="SimSun" w:hAnsi="SimSun" w:eastAsia="SimSun" w:cs="SimSun"/>
          <w:sz w:val="21"/>
          <w:szCs w:val="21"/>
          <w:spacing w:val="8"/>
        </w:rPr>
        <w:t xml:space="preserve"> </w:t>
      </w:r>
      <w:r>
        <w:rPr>
          <w:rFonts w:ascii="SimSun" w:hAnsi="SimSun" w:eastAsia="SimSun" w:cs="SimSun"/>
          <w:sz w:val="21"/>
          <w:szCs w:val="21"/>
          <w:spacing w:val="-11"/>
        </w:rPr>
        <w:t>活的方方面面，不同行业的算法各有差异，通过法律治理划清算法决</w:t>
      </w:r>
      <w:r>
        <w:rPr>
          <w:rFonts w:ascii="SimSun" w:hAnsi="SimSun" w:eastAsia="SimSun" w:cs="SimSun"/>
          <w:sz w:val="21"/>
          <w:szCs w:val="21"/>
          <w:spacing w:val="6"/>
        </w:rPr>
        <w:t xml:space="preserve"> </w:t>
      </w:r>
      <w:r>
        <w:rPr>
          <w:rFonts w:ascii="SimSun" w:hAnsi="SimSun" w:eastAsia="SimSun" w:cs="SimSun"/>
          <w:sz w:val="21"/>
          <w:szCs w:val="21"/>
          <w:spacing w:val="-11"/>
        </w:rPr>
        <w:t>策的边界势必是极其复杂的问题。第二，即使决策的边界能被清楚划</w:t>
      </w:r>
      <w:r>
        <w:rPr>
          <w:rFonts w:ascii="SimSun" w:hAnsi="SimSun" w:eastAsia="SimSun" w:cs="SimSun"/>
          <w:sz w:val="21"/>
          <w:szCs w:val="21"/>
          <w:spacing w:val="13"/>
        </w:rPr>
        <w:t xml:space="preserve"> </w:t>
      </w:r>
      <w:r>
        <w:rPr>
          <w:rFonts w:ascii="SimSun" w:hAnsi="SimSun" w:eastAsia="SimSun" w:cs="SimSun"/>
          <w:sz w:val="21"/>
          <w:szCs w:val="21"/>
          <w:spacing w:val="-11"/>
        </w:rPr>
        <w:t>分，所衍生出来的边界监管问题也十分棘手，难以解决技术上的问题</w:t>
      </w:r>
      <w:r>
        <w:rPr>
          <w:rFonts w:ascii="SimSun" w:hAnsi="SimSun" w:eastAsia="SimSun" w:cs="SimSun"/>
          <w:sz w:val="21"/>
          <w:szCs w:val="21"/>
          <w:spacing w:val="9"/>
        </w:rPr>
        <w:t xml:space="preserve"> </w:t>
      </w:r>
      <w:r>
        <w:rPr>
          <w:rFonts w:ascii="SimSun" w:hAnsi="SimSun" w:eastAsia="SimSun" w:cs="SimSun"/>
          <w:sz w:val="21"/>
          <w:szCs w:val="21"/>
          <w:spacing w:val="-11"/>
        </w:rPr>
        <w:t>并确保监管效果的实现。</w:t>
      </w:r>
    </w:p>
    <w:p>
      <w:pPr>
        <w:pStyle w:val="BodyText"/>
        <w:spacing w:line="407" w:lineRule="auto"/>
        <w:rPr/>
      </w:pPr>
      <w:r/>
    </w:p>
    <w:p>
      <w:pPr>
        <w:ind w:left="507"/>
        <w:spacing w:before="68" w:line="219" w:lineRule="auto"/>
        <w:rPr>
          <w:rFonts w:ascii="SimSun" w:hAnsi="SimSun" w:eastAsia="SimSun" w:cs="SimSun"/>
          <w:sz w:val="21"/>
          <w:szCs w:val="21"/>
        </w:rPr>
      </w:pPr>
      <w:r>
        <w:rPr>
          <w:rFonts w:ascii="SimSun" w:hAnsi="SimSun" w:eastAsia="SimSun" w:cs="SimSun"/>
          <w:sz w:val="21"/>
          <w:szCs w:val="21"/>
          <w:b/>
          <w:bCs/>
          <w:spacing w:val="-12"/>
        </w:rPr>
        <w:t>算法合谋带来的垄断风险</w:t>
      </w:r>
    </w:p>
    <w:p>
      <w:pPr>
        <w:ind w:left="504"/>
        <w:spacing w:before="104" w:line="219" w:lineRule="auto"/>
        <w:rPr>
          <w:rFonts w:ascii="SimSun" w:hAnsi="SimSun" w:eastAsia="SimSun" w:cs="SimSun"/>
          <w:sz w:val="21"/>
          <w:szCs w:val="21"/>
        </w:rPr>
      </w:pPr>
      <w:r>
        <w:rPr>
          <w:rFonts w:ascii="SimSun" w:hAnsi="SimSun" w:eastAsia="SimSun" w:cs="SimSun"/>
          <w:sz w:val="21"/>
          <w:szCs w:val="21"/>
          <w:spacing w:val="-11"/>
        </w:rPr>
        <w:t>算法合谋与反垄断紧密相关，目前已经成为反垄断学界热议的话</w:t>
      </w:r>
    </w:p>
    <w:p>
      <w:pPr>
        <w:pStyle w:val="BodyText"/>
        <w:spacing w:line="268" w:lineRule="auto"/>
        <w:rPr/>
      </w:pPr>
      <w:r/>
    </w:p>
    <w:p>
      <w:pPr>
        <w:pStyle w:val="BodyText"/>
        <w:spacing w:line="268" w:lineRule="auto"/>
        <w:rPr/>
      </w:pPr>
      <w:r/>
    </w:p>
    <w:p>
      <w:pPr>
        <w:ind w:left="105"/>
        <w:spacing w:before="53" w:line="220" w:lineRule="auto"/>
        <w:rPr>
          <w:rFonts w:ascii="KaiTi" w:hAnsi="KaiTi" w:eastAsia="KaiTi" w:cs="KaiTi"/>
          <w:sz w:val="16"/>
          <w:szCs w:val="16"/>
        </w:rPr>
      </w:pPr>
      <w:r>
        <w:rPr>
          <w:rFonts w:ascii="KaiTi" w:hAnsi="KaiTi" w:eastAsia="KaiTi" w:cs="KaiTi"/>
          <w:sz w:val="16"/>
          <w:szCs w:val="16"/>
          <w:spacing w:val="8"/>
        </w:rPr>
        <w:t>①</w:t>
      </w:r>
      <w:r>
        <w:rPr>
          <w:rFonts w:ascii="KaiTi" w:hAnsi="KaiTi" w:eastAsia="KaiTi" w:cs="KaiTi"/>
          <w:sz w:val="16"/>
          <w:szCs w:val="16"/>
          <w:spacing w:val="3"/>
        </w:rPr>
        <w:t xml:space="preserve">  </w:t>
      </w:r>
      <w:r>
        <w:rPr>
          <w:rFonts w:ascii="KaiTi" w:hAnsi="KaiTi" w:eastAsia="KaiTi" w:cs="KaiTi"/>
          <w:sz w:val="16"/>
          <w:szCs w:val="16"/>
          <w:spacing w:val="8"/>
        </w:rPr>
        <w:t>刘友华.算法偏见及其规制路径研究.法学杂志，201</w:t>
      </w:r>
      <w:r>
        <w:rPr>
          <w:rFonts w:ascii="KaiTi" w:hAnsi="KaiTi" w:eastAsia="KaiTi" w:cs="KaiTi"/>
          <w:sz w:val="16"/>
          <w:szCs w:val="16"/>
          <w:spacing w:val="7"/>
        </w:rPr>
        <w:t>9(6):55-66.</w:t>
      </w:r>
    </w:p>
    <w:p>
      <w:pPr>
        <w:ind w:left="105"/>
        <w:spacing w:before="99" w:line="220" w:lineRule="auto"/>
        <w:rPr>
          <w:rFonts w:ascii="Times New Roman" w:hAnsi="Times New Roman" w:eastAsia="Times New Roman" w:cs="Times New Roman"/>
          <w:sz w:val="16"/>
          <w:szCs w:val="16"/>
        </w:rPr>
      </w:pPr>
      <w:r>
        <w:rPr>
          <w:rFonts w:ascii="KaiTi" w:hAnsi="KaiTi" w:eastAsia="KaiTi" w:cs="KaiTi"/>
          <w:sz w:val="16"/>
          <w:szCs w:val="16"/>
          <w:spacing w:val="5"/>
        </w:rPr>
        <w:t>②</w:t>
      </w:r>
      <w:r>
        <w:rPr>
          <w:rFonts w:ascii="KaiTi" w:hAnsi="KaiTi" w:eastAsia="KaiTi" w:cs="KaiTi"/>
          <w:sz w:val="16"/>
          <w:szCs w:val="16"/>
          <w:spacing w:val="76"/>
        </w:rPr>
        <w:t xml:space="preserve"> </w:t>
      </w:r>
      <w:r>
        <w:rPr>
          <w:rFonts w:ascii="KaiTi" w:hAnsi="KaiTi" w:eastAsia="KaiTi" w:cs="KaiTi"/>
          <w:sz w:val="16"/>
          <w:szCs w:val="16"/>
          <w:spacing w:val="5"/>
        </w:rPr>
        <w:t>曹博.算法歧视的类型界分与规制范式重构，现代</w:t>
      </w:r>
      <w:r>
        <w:rPr>
          <w:rFonts w:ascii="KaiTi" w:hAnsi="KaiTi" w:eastAsia="KaiTi" w:cs="KaiTi"/>
          <w:sz w:val="16"/>
          <w:szCs w:val="16"/>
          <w:spacing w:val="4"/>
        </w:rPr>
        <w:t>法学，2021(4):115-12</w:t>
      </w:r>
      <w:r>
        <w:rPr>
          <w:rFonts w:ascii="Times New Roman" w:hAnsi="Times New Roman" w:eastAsia="Times New Roman" w:cs="Times New Roman"/>
          <w:sz w:val="16"/>
          <w:szCs w:val="16"/>
          <w:spacing w:val="4"/>
        </w:rPr>
        <w:t>6.</w:t>
      </w:r>
    </w:p>
    <w:p>
      <w:pPr>
        <w:spacing w:line="220" w:lineRule="auto"/>
        <w:sectPr>
          <w:headerReference w:type="default" r:id="rId438"/>
          <w:pgSz w:w="7330" w:h="12480"/>
          <w:pgMar w:top="478" w:right="514" w:bottom="400" w:left="654" w:header="315" w:footer="0" w:gutter="0"/>
        </w:sectPr>
        <w:rPr>
          <w:rFonts w:ascii="Times New Roman" w:hAnsi="Times New Roman" w:eastAsia="Times New Roman" w:cs="Times New Roman"/>
          <w:sz w:val="16"/>
          <w:szCs w:val="16"/>
        </w:rPr>
      </w:pP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right="2"/>
        <w:spacing w:before="69" w:line="300" w:lineRule="auto"/>
        <w:jc w:val="both"/>
        <w:rPr>
          <w:rFonts w:ascii="SimSun" w:hAnsi="SimSun" w:eastAsia="SimSun" w:cs="SimSun"/>
          <w:sz w:val="21"/>
          <w:szCs w:val="21"/>
        </w:rPr>
      </w:pPr>
      <w:r>
        <w:rPr>
          <w:rFonts w:ascii="SimSun" w:hAnsi="SimSun" w:eastAsia="SimSun" w:cs="SimSun"/>
          <w:sz w:val="21"/>
          <w:szCs w:val="21"/>
          <w:spacing w:val="-11"/>
        </w:rPr>
        <w:t>题。算法不当使用会产生反竞争效果，算法技术的复杂性使得经营者</w:t>
      </w:r>
      <w:r>
        <w:rPr>
          <w:rFonts w:ascii="SimSun" w:hAnsi="SimSun" w:eastAsia="SimSun" w:cs="SimSun"/>
          <w:sz w:val="21"/>
          <w:szCs w:val="21"/>
          <w:spacing w:val="8"/>
        </w:rPr>
        <w:t xml:space="preserve"> </w:t>
      </w:r>
      <w:r>
        <w:rPr>
          <w:rFonts w:ascii="SimSun" w:hAnsi="SimSun" w:eastAsia="SimSun" w:cs="SimSun"/>
          <w:sz w:val="21"/>
          <w:szCs w:val="21"/>
          <w:spacing w:val="-11"/>
        </w:rPr>
        <w:t>的合谋行为也更加隐蔽。算法合谋与传统市场中的合谋没有本质的差</w:t>
      </w:r>
      <w:r>
        <w:rPr>
          <w:rFonts w:ascii="SimSun" w:hAnsi="SimSun" w:eastAsia="SimSun" w:cs="SimSun"/>
          <w:sz w:val="21"/>
          <w:szCs w:val="21"/>
          <w:spacing w:val="10"/>
        </w:rPr>
        <w:t xml:space="preserve"> </w:t>
      </w:r>
      <w:r>
        <w:rPr>
          <w:rFonts w:ascii="SimSun" w:hAnsi="SimSun" w:eastAsia="SimSun" w:cs="SimSun"/>
          <w:sz w:val="21"/>
          <w:szCs w:val="21"/>
          <w:spacing w:val="-11"/>
        </w:rPr>
        <w:t>别，只是披上了科学的外衣。算法终究是可以人为设计的，经营者间</w:t>
      </w:r>
      <w:r>
        <w:rPr>
          <w:rFonts w:ascii="SimSun" w:hAnsi="SimSun" w:eastAsia="SimSun" w:cs="SimSun"/>
          <w:sz w:val="21"/>
          <w:szCs w:val="21"/>
          <w:spacing w:val="18"/>
        </w:rPr>
        <w:t xml:space="preserve"> </w:t>
      </w:r>
      <w:r>
        <w:rPr>
          <w:rFonts w:ascii="SimSun" w:hAnsi="SimSun" w:eastAsia="SimSun" w:cs="SimSun"/>
          <w:sz w:val="21"/>
          <w:szCs w:val="21"/>
          <w:spacing w:val="-10"/>
        </w:rPr>
        <w:t>的合谋行为经过算法变成了一个规则，甚至成为一种商业习惯，</w:t>
      </w:r>
      <w:r>
        <w:rPr>
          <w:rFonts w:ascii="SimSun" w:hAnsi="SimSun" w:eastAsia="SimSun" w:cs="SimSun"/>
          <w:sz w:val="21"/>
          <w:szCs w:val="21"/>
          <w:spacing w:val="-11"/>
        </w:rPr>
        <w:t>但算</w:t>
      </w:r>
      <w:r>
        <w:rPr>
          <w:rFonts w:ascii="SimSun" w:hAnsi="SimSun" w:eastAsia="SimSun" w:cs="SimSun"/>
          <w:sz w:val="21"/>
          <w:szCs w:val="21"/>
        </w:rPr>
        <w:t xml:space="preserve"> </w:t>
      </w:r>
      <w:r>
        <w:rPr>
          <w:rFonts w:ascii="SimSun" w:hAnsi="SimSun" w:eastAsia="SimSun" w:cs="SimSun"/>
          <w:sz w:val="21"/>
          <w:szCs w:val="21"/>
          <w:spacing w:val="-11"/>
        </w:rPr>
        <w:t>法合谋所具有的稳定性强、透明性低等特点使之不易被人察觉，在认</w:t>
      </w:r>
      <w:r>
        <w:rPr>
          <w:rFonts w:ascii="SimSun" w:hAnsi="SimSun" w:eastAsia="SimSun" w:cs="SimSun"/>
          <w:sz w:val="21"/>
          <w:szCs w:val="21"/>
          <w:spacing w:val="9"/>
        </w:rPr>
        <w:t xml:space="preserve"> </w:t>
      </w:r>
      <w:r>
        <w:rPr>
          <w:rFonts w:ascii="SimSun" w:hAnsi="SimSun" w:eastAsia="SimSun" w:cs="SimSun"/>
          <w:sz w:val="21"/>
          <w:szCs w:val="21"/>
          <w:spacing w:val="-11"/>
        </w:rPr>
        <w:t>定和分析上存在困难。</w:t>
      </w:r>
    </w:p>
    <w:p>
      <w:pPr>
        <w:ind w:firstLine="399"/>
        <w:spacing w:before="108" w:line="310" w:lineRule="auto"/>
        <w:jc w:val="both"/>
        <w:rPr>
          <w:rFonts w:ascii="SimSun" w:hAnsi="SimSun" w:eastAsia="SimSun" w:cs="SimSun"/>
          <w:sz w:val="21"/>
          <w:szCs w:val="21"/>
        </w:rPr>
      </w:pPr>
      <w:r>
        <w:rPr>
          <w:rFonts w:ascii="SimSun" w:hAnsi="SimSun" w:eastAsia="SimSun" w:cs="SimSun"/>
          <w:sz w:val="21"/>
          <w:szCs w:val="21"/>
          <w:spacing w:val="-3"/>
        </w:rPr>
        <w:t>首先，依托大数据时代信息技术的便捷，企业可以基于算法隐</w:t>
      </w:r>
      <w:r>
        <w:rPr>
          <w:rFonts w:ascii="SimSun" w:hAnsi="SimSun" w:eastAsia="SimSun" w:cs="SimSun"/>
          <w:sz w:val="21"/>
          <w:szCs w:val="21"/>
          <w:spacing w:val="12"/>
        </w:rPr>
        <w:t xml:space="preserve"> </w:t>
      </w:r>
      <w:r>
        <w:rPr>
          <w:rFonts w:ascii="SimSun" w:hAnsi="SimSun" w:eastAsia="SimSun" w:cs="SimSun"/>
          <w:sz w:val="21"/>
          <w:szCs w:val="21"/>
          <w:spacing w:val="-11"/>
        </w:rPr>
        <w:t>蔽性更强、科学性更强的基本特征利用其达成合谋，形成对各方均有</w:t>
      </w:r>
      <w:r>
        <w:rPr>
          <w:rFonts w:ascii="SimSun" w:hAnsi="SimSun" w:eastAsia="SimSun" w:cs="SimSun"/>
          <w:sz w:val="21"/>
          <w:szCs w:val="21"/>
          <w:spacing w:val="9"/>
        </w:rPr>
        <w:t xml:space="preserve"> </w:t>
      </w:r>
      <w:r>
        <w:rPr>
          <w:rFonts w:ascii="SimSun" w:hAnsi="SimSun" w:eastAsia="SimSun" w:cs="SimSun"/>
          <w:sz w:val="21"/>
          <w:szCs w:val="21"/>
          <w:spacing w:val="-11"/>
        </w:rPr>
        <w:t>益的协议。尽管这样的行为貌似具有商业正常性，但实际上是通过算</w:t>
      </w:r>
      <w:r>
        <w:rPr>
          <w:rFonts w:ascii="SimSun" w:hAnsi="SimSun" w:eastAsia="SimSun" w:cs="SimSun"/>
          <w:sz w:val="21"/>
          <w:szCs w:val="21"/>
          <w:spacing w:val="8"/>
        </w:rPr>
        <w:t xml:space="preserve"> </w:t>
      </w:r>
      <w:r>
        <w:rPr>
          <w:rFonts w:ascii="SimSun" w:hAnsi="SimSun" w:eastAsia="SimSun" w:cs="SimSun"/>
          <w:sz w:val="21"/>
          <w:szCs w:val="21"/>
          <w:spacing w:val="-11"/>
        </w:rPr>
        <w:t>法来</w:t>
      </w:r>
      <w:r>
        <w:rPr>
          <w:rFonts w:ascii="SimSun" w:hAnsi="SimSun" w:eastAsia="SimSun" w:cs="SimSun"/>
          <w:sz w:val="21"/>
          <w:szCs w:val="21"/>
          <w:u w:val="single" w:color="auto"/>
          <w:spacing w:val="-11"/>
        </w:rPr>
        <w:t>逃避</w:t>
      </w:r>
      <w:r>
        <w:rPr>
          <w:rFonts w:ascii="SimSun" w:hAnsi="SimSun" w:eastAsia="SimSun" w:cs="SimSun"/>
          <w:sz w:val="21"/>
          <w:szCs w:val="21"/>
          <w:spacing w:val="-11"/>
        </w:rPr>
        <w:t>规制。其次，互联网的广泛应用使得获取行为越发便捷，市</w:t>
      </w:r>
      <w:r>
        <w:rPr>
          <w:rFonts w:ascii="SimSun" w:hAnsi="SimSun" w:eastAsia="SimSun" w:cs="SimSun"/>
          <w:sz w:val="21"/>
          <w:szCs w:val="21"/>
          <w:spacing w:val="10"/>
        </w:rPr>
        <w:t xml:space="preserve"> </w:t>
      </w:r>
      <w:r>
        <w:rPr>
          <w:rFonts w:ascii="SimSun" w:hAnsi="SimSun" w:eastAsia="SimSun" w:cs="SimSun"/>
          <w:sz w:val="21"/>
          <w:szCs w:val="21"/>
          <w:spacing w:val="-11"/>
        </w:rPr>
        <w:t>场中的各类关键信息如交易价格、交易量等以数据的形式呈现，市场</w:t>
      </w:r>
      <w:r>
        <w:rPr>
          <w:rFonts w:ascii="SimSun" w:hAnsi="SimSun" w:eastAsia="SimSun" w:cs="SimSun"/>
          <w:sz w:val="21"/>
          <w:szCs w:val="21"/>
          <w:spacing w:val="11"/>
        </w:rPr>
        <w:t xml:space="preserve"> </w:t>
      </w:r>
      <w:r>
        <w:rPr>
          <w:rFonts w:ascii="SimSun" w:hAnsi="SimSun" w:eastAsia="SimSun" w:cs="SimSun"/>
          <w:sz w:val="21"/>
          <w:szCs w:val="21"/>
          <w:spacing w:val="-11"/>
        </w:rPr>
        <w:t>交易越发透明。市场主体可以通过透明化的信息迅速做出判断，与潜</w:t>
      </w:r>
      <w:r>
        <w:rPr>
          <w:rFonts w:ascii="SimSun" w:hAnsi="SimSun" w:eastAsia="SimSun" w:cs="SimSun"/>
          <w:sz w:val="21"/>
          <w:szCs w:val="21"/>
          <w:spacing w:val="9"/>
        </w:rPr>
        <w:t xml:space="preserve"> </w:t>
      </w:r>
      <w:r>
        <w:rPr>
          <w:rFonts w:ascii="SimSun" w:hAnsi="SimSun" w:eastAsia="SimSun" w:cs="SimSun"/>
          <w:sz w:val="21"/>
          <w:szCs w:val="21"/>
          <w:spacing w:val="-11"/>
        </w:rPr>
        <w:t>在的合谋者达成合谋协议，制定最有利于合谋者的条款，尽可能消除</w:t>
      </w:r>
      <w:r>
        <w:rPr>
          <w:rFonts w:ascii="SimSun" w:hAnsi="SimSun" w:eastAsia="SimSun" w:cs="SimSun"/>
          <w:sz w:val="21"/>
          <w:szCs w:val="21"/>
          <w:spacing w:val="9"/>
        </w:rPr>
        <w:t xml:space="preserve"> </w:t>
      </w:r>
      <w:r>
        <w:rPr>
          <w:rFonts w:ascii="SimSun" w:hAnsi="SimSun" w:eastAsia="SimSun" w:cs="SimSun"/>
          <w:sz w:val="21"/>
          <w:szCs w:val="21"/>
          <w:spacing w:val="-11"/>
        </w:rPr>
        <w:t>经营活动的不确定性，因此合谋成为当下平台迅速掠夺市场资源的最</w:t>
      </w:r>
      <w:r>
        <w:rPr>
          <w:rFonts w:ascii="SimSun" w:hAnsi="SimSun" w:eastAsia="SimSun" w:cs="SimSun"/>
          <w:sz w:val="21"/>
          <w:szCs w:val="21"/>
          <w:spacing w:val="9"/>
        </w:rPr>
        <w:t xml:space="preserve"> </w:t>
      </w:r>
      <w:r>
        <w:rPr>
          <w:rFonts w:ascii="SimSun" w:hAnsi="SimSun" w:eastAsia="SimSun" w:cs="SimSun"/>
          <w:sz w:val="21"/>
          <w:szCs w:val="21"/>
          <w:spacing w:val="-11"/>
        </w:rPr>
        <w:t>快捷的手段，已经由个案发展成为平台的一般性操作行为。最后，与</w:t>
      </w:r>
      <w:r>
        <w:rPr>
          <w:rFonts w:ascii="SimSun" w:hAnsi="SimSun" w:eastAsia="SimSun" w:cs="SimSun"/>
          <w:sz w:val="21"/>
          <w:szCs w:val="21"/>
          <w:spacing w:val="15"/>
        </w:rPr>
        <w:t xml:space="preserve"> </w:t>
      </w:r>
      <w:r>
        <w:rPr>
          <w:rFonts w:ascii="SimSun" w:hAnsi="SimSun" w:eastAsia="SimSun" w:cs="SimSun"/>
          <w:sz w:val="21"/>
          <w:szCs w:val="21"/>
          <w:spacing w:val="-11"/>
        </w:rPr>
        <w:t>传统合谋形式不同，算法的存在为市场主体利用大数据突破合谋行为</w:t>
      </w:r>
      <w:r>
        <w:rPr>
          <w:rFonts w:ascii="SimSun" w:hAnsi="SimSun" w:eastAsia="SimSun" w:cs="SimSun"/>
          <w:sz w:val="21"/>
          <w:szCs w:val="21"/>
          <w:spacing w:val="9"/>
        </w:rPr>
        <w:t xml:space="preserve"> </w:t>
      </w:r>
      <w:r>
        <w:rPr>
          <w:rFonts w:ascii="SimSun" w:hAnsi="SimSun" w:eastAsia="SimSun" w:cs="SimSun"/>
          <w:sz w:val="21"/>
          <w:szCs w:val="21"/>
          <w:spacing w:val="-10"/>
        </w:rPr>
        <w:t>提供了途径。市场主体依托算法技术收集并分析海量数据，预测并及</w:t>
      </w:r>
      <w:r>
        <w:rPr>
          <w:rFonts w:ascii="SimSun" w:hAnsi="SimSun" w:eastAsia="SimSun" w:cs="SimSun"/>
          <w:sz w:val="21"/>
          <w:szCs w:val="21"/>
        </w:rPr>
        <w:t xml:space="preserve"> </w:t>
      </w:r>
      <w:r>
        <w:rPr>
          <w:rFonts w:ascii="SimSun" w:hAnsi="SimSun" w:eastAsia="SimSun" w:cs="SimSun"/>
          <w:sz w:val="21"/>
          <w:szCs w:val="21"/>
          <w:spacing w:val="-11"/>
        </w:rPr>
        <w:t>时调整策略，对市场行为及时做出回应。通过这种方式，市场主体之</w:t>
      </w:r>
      <w:r>
        <w:rPr>
          <w:rFonts w:ascii="SimSun" w:hAnsi="SimSun" w:eastAsia="SimSun" w:cs="SimSun"/>
          <w:sz w:val="21"/>
          <w:szCs w:val="21"/>
          <w:spacing w:val="6"/>
        </w:rPr>
        <w:t xml:space="preserve"> </w:t>
      </w:r>
      <w:r>
        <w:rPr>
          <w:rFonts w:ascii="SimSun" w:hAnsi="SimSun" w:eastAsia="SimSun" w:cs="SimSun"/>
          <w:sz w:val="21"/>
          <w:szCs w:val="21"/>
          <w:spacing w:val="-11"/>
        </w:rPr>
        <w:t>间在某种程度上达成合谋，运用合法的商业目的掩盖非法的反竞争行</w:t>
      </w:r>
      <w:r>
        <w:rPr>
          <w:rFonts w:ascii="SimSun" w:hAnsi="SimSun" w:eastAsia="SimSun" w:cs="SimSun"/>
          <w:sz w:val="21"/>
          <w:szCs w:val="21"/>
          <w:spacing w:val="9"/>
        </w:rPr>
        <w:t xml:space="preserve"> </w:t>
      </w:r>
      <w:r>
        <w:rPr>
          <w:rFonts w:ascii="SimSun" w:hAnsi="SimSun" w:eastAsia="SimSun" w:cs="SimSun"/>
          <w:sz w:val="21"/>
          <w:szCs w:val="21"/>
          <w:spacing w:val="-11"/>
        </w:rPr>
        <w:t>为，通过算法技术实施的隐蔽性攫取市场利益，导致反垄断法规制失</w:t>
      </w:r>
      <w:r>
        <w:rPr>
          <w:rFonts w:ascii="SimSun" w:hAnsi="SimSun" w:eastAsia="SimSun" w:cs="SimSun"/>
          <w:sz w:val="21"/>
          <w:szCs w:val="21"/>
          <w:spacing w:val="9"/>
        </w:rPr>
        <w:t xml:space="preserve"> </w:t>
      </w:r>
      <w:r>
        <w:rPr>
          <w:rFonts w:ascii="SimSun" w:hAnsi="SimSun" w:eastAsia="SimSun" w:cs="SimSun"/>
          <w:sz w:val="21"/>
          <w:szCs w:val="21"/>
          <w:spacing w:val="-7"/>
        </w:rPr>
        <w:t>灵⑨,现有反垄断法在“相关市场界定—市场势力</w:t>
      </w:r>
      <w:r>
        <w:rPr>
          <w:rFonts w:ascii="SimSun" w:hAnsi="SimSun" w:eastAsia="SimSun" w:cs="SimSun"/>
          <w:sz w:val="21"/>
          <w:szCs w:val="21"/>
          <w:spacing w:val="-8"/>
        </w:rPr>
        <w:t>判定—行为竞争效</w:t>
      </w:r>
      <w:r>
        <w:rPr>
          <w:rFonts w:ascii="SimSun" w:hAnsi="SimSun" w:eastAsia="SimSun" w:cs="SimSun"/>
          <w:sz w:val="21"/>
          <w:szCs w:val="21"/>
        </w:rPr>
        <w:t xml:space="preserve"> </w:t>
      </w:r>
      <w:r>
        <w:rPr>
          <w:rFonts w:ascii="SimSun" w:hAnsi="SimSun" w:eastAsia="SimSun" w:cs="SimSun"/>
          <w:sz w:val="21"/>
          <w:szCs w:val="21"/>
          <w:spacing w:val="-12"/>
        </w:rPr>
        <w:t>应”框架下无法得出合理结论。</w:t>
      </w:r>
    </w:p>
    <w:p>
      <w:pPr>
        <w:pStyle w:val="BodyText"/>
        <w:spacing w:line="417" w:lineRule="auto"/>
        <w:rPr/>
      </w:pPr>
      <w:r/>
    </w:p>
    <w:p>
      <w:pPr>
        <w:ind w:left="402"/>
        <w:spacing w:before="68" w:line="219" w:lineRule="auto"/>
        <w:rPr>
          <w:rFonts w:ascii="SimSun" w:hAnsi="SimSun" w:eastAsia="SimSun" w:cs="SimSun"/>
          <w:sz w:val="21"/>
          <w:szCs w:val="21"/>
        </w:rPr>
      </w:pPr>
      <w:r>
        <w:rPr>
          <w:rFonts w:ascii="SimSun" w:hAnsi="SimSun" w:eastAsia="SimSun" w:cs="SimSun"/>
          <w:sz w:val="21"/>
          <w:szCs w:val="21"/>
          <w:b/>
          <w:bCs/>
          <w:spacing w:val="-13"/>
        </w:rPr>
        <w:t>算法的不透明易导致审查困难</w:t>
      </w:r>
    </w:p>
    <w:p>
      <w:pPr>
        <w:ind w:right="12"/>
        <w:spacing w:before="102" w:line="219" w:lineRule="auto"/>
        <w:jc w:val="right"/>
        <w:rPr>
          <w:rFonts w:ascii="SimSun" w:hAnsi="SimSun" w:eastAsia="SimSun" w:cs="SimSun"/>
          <w:sz w:val="21"/>
          <w:szCs w:val="21"/>
        </w:rPr>
      </w:pPr>
      <w:r>
        <w:rPr>
          <w:rFonts w:ascii="SimSun" w:hAnsi="SimSun" w:eastAsia="SimSun" w:cs="SimSun"/>
          <w:sz w:val="21"/>
          <w:szCs w:val="21"/>
          <w:spacing w:val="-11"/>
        </w:rPr>
        <w:t>算法的透明性对构建算法问责机制具有十分重要的意义。落实算</w:t>
      </w:r>
    </w:p>
    <w:p>
      <w:pPr>
        <w:pStyle w:val="BodyText"/>
        <w:spacing w:line="249" w:lineRule="auto"/>
        <w:rPr/>
      </w:pPr>
      <w:r/>
    </w:p>
    <w:p>
      <w:pPr>
        <w:spacing w:before="49" w:line="318" w:lineRule="exact"/>
        <w:rPr>
          <w:rFonts w:ascii="Times New Roman" w:hAnsi="Times New Roman" w:eastAsia="Times New Roman" w:cs="Times New Roman"/>
          <w:sz w:val="15"/>
          <w:szCs w:val="15"/>
        </w:rPr>
      </w:pPr>
      <w:r>
        <w:rPr>
          <w:rFonts w:ascii="SimSun" w:hAnsi="SimSun" w:eastAsia="SimSun" w:cs="SimSun"/>
          <w:sz w:val="15"/>
          <w:szCs w:val="15"/>
          <w:spacing w:val="15"/>
          <w:position w:val="13"/>
        </w:rPr>
        <w:t>①</w:t>
      </w:r>
      <w:r>
        <w:rPr>
          <w:rFonts w:ascii="SimSun" w:hAnsi="SimSun" w:eastAsia="SimSun" w:cs="SimSun"/>
          <w:sz w:val="15"/>
          <w:szCs w:val="15"/>
          <w:spacing w:val="9"/>
          <w:position w:val="13"/>
        </w:rPr>
        <w:t xml:space="preserve">  </w:t>
      </w:r>
      <w:r>
        <w:rPr>
          <w:rFonts w:ascii="KaiTi" w:hAnsi="KaiTi" w:eastAsia="KaiTi" w:cs="KaiTi"/>
          <w:sz w:val="15"/>
          <w:szCs w:val="15"/>
          <w:spacing w:val="15"/>
          <w:position w:val="13"/>
        </w:rPr>
        <w:t>李丹.算法共谋：边界的确定及其反垄断法规制.广东财经大学学报，2020(2)</w:t>
      </w:r>
      <w:r>
        <w:rPr>
          <w:rFonts w:ascii="Times New Roman" w:hAnsi="Times New Roman" w:eastAsia="Times New Roman" w:cs="Times New Roman"/>
          <w:sz w:val="15"/>
          <w:szCs w:val="15"/>
          <w:spacing w:val="15"/>
          <w:position w:val="13"/>
        </w:rPr>
        <w:t>;</w:t>
      </w:r>
    </w:p>
    <w:p>
      <w:pPr>
        <w:ind w:left="329"/>
        <w:spacing w:line="183" w:lineRule="auto"/>
        <w:rPr>
          <w:rFonts w:ascii="SimSun" w:hAnsi="SimSun" w:eastAsia="SimSun" w:cs="SimSun"/>
          <w:sz w:val="15"/>
          <w:szCs w:val="15"/>
        </w:rPr>
      </w:pPr>
      <w:r>
        <w:rPr>
          <w:rFonts w:ascii="SimSun" w:hAnsi="SimSun" w:eastAsia="SimSun" w:cs="SimSun"/>
          <w:sz w:val="15"/>
          <w:szCs w:val="15"/>
          <w:spacing w:val="-3"/>
        </w:rPr>
        <w:t>103-112.</w:t>
      </w:r>
    </w:p>
    <w:p>
      <w:pPr>
        <w:spacing w:line="183" w:lineRule="auto"/>
        <w:sectPr>
          <w:headerReference w:type="default" r:id="rId440"/>
          <w:pgSz w:w="7330" w:h="12480"/>
          <w:pgMar w:top="805" w:right="807" w:bottom="400" w:left="519" w:header="652" w:footer="0" w:gutter="0"/>
        </w:sectPr>
        <w:rPr>
          <w:rFonts w:ascii="SimSun" w:hAnsi="SimSun" w:eastAsia="SimSun" w:cs="SimSun"/>
          <w:sz w:val="15"/>
          <w:szCs w:val="15"/>
        </w:rPr>
      </w:pPr>
    </w:p>
    <w:p>
      <w:pPr>
        <w:pStyle w:val="BodyText"/>
        <w:spacing w:line="251" w:lineRule="auto"/>
        <w:rPr/>
      </w:pPr>
      <w:r>
        <w:drawing>
          <wp:anchor distT="0" distB="0" distL="0" distR="0" simplePos="0" relativeHeight="255451136" behindDoc="0" locked="0" layoutInCell="0" allowOverlap="1">
            <wp:simplePos x="0" y="0"/>
            <wp:positionH relativeFrom="page">
              <wp:posOffset>482583</wp:posOffset>
            </wp:positionH>
            <wp:positionV relativeFrom="page">
              <wp:posOffset>6673865</wp:posOffset>
            </wp:positionV>
            <wp:extent cx="1174761" cy="6350"/>
            <wp:effectExtent l="0" t="0" r="0" b="0"/>
            <wp:wrapNone/>
            <wp:docPr id="304" name="IM 304"/>
            <wp:cNvGraphicFramePr/>
            <a:graphic>
              <a:graphicData uri="http://schemas.openxmlformats.org/drawingml/2006/picture">
                <pic:pic>
                  <pic:nvPicPr>
                    <pic:cNvPr id="304" name="IM 304"/>
                    <pic:cNvPicPr/>
                  </pic:nvPicPr>
                  <pic:blipFill>
                    <a:blip r:embed="rId442"/>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2" w:lineRule="auto"/>
        <w:rPr/>
      </w:pPr>
      <w:r/>
    </w:p>
    <w:p>
      <w:pPr>
        <w:pStyle w:val="BodyText"/>
        <w:spacing w:line="252" w:lineRule="auto"/>
        <w:rPr/>
      </w:pPr>
      <w:r/>
    </w:p>
    <w:p>
      <w:pPr>
        <w:ind w:right="18"/>
        <w:spacing w:before="68" w:line="304" w:lineRule="auto"/>
        <w:jc w:val="both"/>
        <w:rPr>
          <w:rFonts w:ascii="SimSun" w:hAnsi="SimSun" w:eastAsia="SimSun" w:cs="SimSun"/>
          <w:sz w:val="21"/>
          <w:szCs w:val="21"/>
        </w:rPr>
      </w:pPr>
      <w:r>
        <w:rPr>
          <w:rFonts w:ascii="SimSun" w:hAnsi="SimSun" w:eastAsia="SimSun" w:cs="SimSun"/>
          <w:sz w:val="21"/>
          <w:szCs w:val="21"/>
          <w:spacing w:val="-11"/>
        </w:rPr>
        <w:t>法责任的前提是对相关算法逻辑及流程予以明确。因此，对平台算法</w:t>
      </w:r>
      <w:r>
        <w:rPr>
          <w:rFonts w:ascii="SimSun" w:hAnsi="SimSun" w:eastAsia="SimSun" w:cs="SimSun"/>
          <w:sz w:val="21"/>
          <w:szCs w:val="21"/>
          <w:spacing w:val="15"/>
        </w:rPr>
        <w:t xml:space="preserve"> </w:t>
      </w:r>
      <w:r>
        <w:rPr>
          <w:rFonts w:ascii="SimSun" w:hAnsi="SimSun" w:eastAsia="SimSun" w:cs="SimSun"/>
          <w:sz w:val="21"/>
          <w:szCs w:val="21"/>
          <w:spacing w:val="-10"/>
        </w:rPr>
        <w:t>进行有效治理要求算法程序公开透明，算法处理数据的所有规则易于</w:t>
      </w:r>
      <w:r>
        <w:rPr>
          <w:rFonts w:ascii="SimSun" w:hAnsi="SimSun" w:eastAsia="SimSun" w:cs="SimSun"/>
          <w:sz w:val="21"/>
          <w:szCs w:val="21"/>
          <w:spacing w:val="10"/>
        </w:rPr>
        <w:t xml:space="preserve"> </w:t>
      </w:r>
      <w:r>
        <w:rPr>
          <w:rFonts w:ascii="SimSun" w:hAnsi="SimSun" w:eastAsia="SimSun" w:cs="SimSun"/>
          <w:sz w:val="21"/>
          <w:szCs w:val="21"/>
          <w:spacing w:val="-10"/>
        </w:rPr>
        <w:t>获取和理解，并以清晰简洁的语言保存，为算法审查与治理</w:t>
      </w:r>
      <w:r>
        <w:rPr>
          <w:rFonts w:ascii="SimSun" w:hAnsi="SimSun" w:eastAsia="SimSun" w:cs="SimSun"/>
          <w:sz w:val="21"/>
          <w:szCs w:val="21"/>
          <w:spacing w:val="-11"/>
        </w:rPr>
        <w:t>提供规制</w:t>
      </w:r>
      <w:r>
        <w:rPr>
          <w:rFonts w:ascii="SimSun" w:hAnsi="SimSun" w:eastAsia="SimSun" w:cs="SimSun"/>
          <w:sz w:val="21"/>
          <w:szCs w:val="21"/>
        </w:rPr>
        <w:t xml:space="preserve"> </w:t>
      </w:r>
      <w:r>
        <w:rPr>
          <w:rFonts w:ascii="SimSun" w:hAnsi="SimSun" w:eastAsia="SimSun" w:cs="SimSun"/>
          <w:sz w:val="21"/>
          <w:szCs w:val="21"/>
          <w:spacing w:val="-11"/>
        </w:rPr>
        <w:t>基础。但有关学者却否认了算法透明性原则作为监管机制的主张，提</w:t>
      </w:r>
      <w:r>
        <w:rPr>
          <w:rFonts w:ascii="SimSun" w:hAnsi="SimSun" w:eastAsia="SimSun" w:cs="SimSun"/>
          <w:sz w:val="21"/>
          <w:szCs w:val="21"/>
          <w:spacing w:val="17"/>
        </w:rPr>
        <w:t xml:space="preserve"> </w:t>
      </w:r>
      <w:r>
        <w:rPr>
          <w:rFonts w:ascii="SimSun" w:hAnsi="SimSun" w:eastAsia="SimSun" w:cs="SimSun"/>
          <w:sz w:val="21"/>
          <w:szCs w:val="21"/>
          <w:spacing w:val="-7"/>
        </w:rPr>
        <w:t>出要求算法保持透明性与保守商业秘密产生冲突①,算法作为平台企</w:t>
      </w:r>
      <w:r>
        <w:rPr>
          <w:rFonts w:ascii="SimSun" w:hAnsi="SimSun" w:eastAsia="SimSun" w:cs="SimSun"/>
          <w:sz w:val="21"/>
          <w:szCs w:val="21"/>
          <w:spacing w:val="2"/>
        </w:rPr>
        <w:t xml:space="preserve"> </w:t>
      </w:r>
      <w:r>
        <w:rPr>
          <w:rFonts w:ascii="SimSun" w:hAnsi="SimSun" w:eastAsia="SimSun" w:cs="SimSun"/>
          <w:sz w:val="21"/>
          <w:szCs w:val="21"/>
          <w:spacing w:val="-10"/>
        </w:rPr>
        <w:t>业运行的关键，关系着企业的核心利益，企业往</w:t>
      </w:r>
      <w:r>
        <w:rPr>
          <w:rFonts w:ascii="SimSun" w:hAnsi="SimSun" w:eastAsia="SimSun" w:cs="SimSun"/>
          <w:sz w:val="21"/>
          <w:szCs w:val="21"/>
          <w:spacing w:val="-11"/>
        </w:rPr>
        <w:t>往将其作为商业秘密</w:t>
      </w:r>
      <w:r>
        <w:rPr>
          <w:rFonts w:ascii="SimSun" w:hAnsi="SimSun" w:eastAsia="SimSun" w:cs="SimSun"/>
          <w:sz w:val="21"/>
          <w:szCs w:val="21"/>
        </w:rPr>
        <w:t xml:space="preserve"> </w:t>
      </w:r>
      <w:r>
        <w:rPr>
          <w:rFonts w:ascii="SimSun" w:hAnsi="SimSun" w:eastAsia="SimSun" w:cs="SimSun"/>
          <w:sz w:val="21"/>
          <w:szCs w:val="21"/>
          <w:spacing w:val="-11"/>
        </w:rPr>
        <w:t>而采取保护措施。公开算法无疑与企业的利益相冲突，企业缺</w:t>
      </w:r>
      <w:r>
        <w:rPr>
          <w:rFonts w:ascii="SimSun" w:hAnsi="SimSun" w:eastAsia="SimSun" w:cs="SimSun"/>
          <w:sz w:val="21"/>
          <w:szCs w:val="21"/>
          <w:spacing w:val="-12"/>
        </w:rPr>
        <w:t>乏公开</w:t>
      </w:r>
      <w:r>
        <w:rPr>
          <w:rFonts w:ascii="SimSun" w:hAnsi="SimSun" w:eastAsia="SimSun" w:cs="SimSun"/>
          <w:sz w:val="21"/>
          <w:szCs w:val="21"/>
        </w:rPr>
        <w:t xml:space="preserve"> </w:t>
      </w:r>
      <w:r>
        <w:rPr>
          <w:rFonts w:ascii="SimSun" w:hAnsi="SimSun" w:eastAsia="SimSun" w:cs="SimSun"/>
          <w:sz w:val="21"/>
          <w:szCs w:val="21"/>
          <w:spacing w:val="-11"/>
        </w:rPr>
        <w:t>算法的动机，商业秘密的保密性也为算法的不透明提供支持。</w:t>
      </w:r>
    </w:p>
    <w:p>
      <w:pPr>
        <w:ind w:right="2" w:firstLine="449"/>
        <w:spacing w:before="116" w:line="310" w:lineRule="auto"/>
        <w:rPr>
          <w:rFonts w:ascii="SimSun" w:hAnsi="SimSun" w:eastAsia="SimSun" w:cs="SimSun"/>
          <w:sz w:val="21"/>
          <w:szCs w:val="21"/>
        </w:rPr>
      </w:pPr>
      <w:r>
        <w:rPr>
          <w:rFonts w:ascii="SimSun" w:hAnsi="SimSun" w:eastAsia="SimSun" w:cs="SimSun"/>
          <w:sz w:val="21"/>
          <w:szCs w:val="21"/>
          <w:spacing w:val="-11"/>
        </w:rPr>
        <w:t>算法的不透明性与不可解释性紧密结合，正如英国《卫报》专栏</w:t>
      </w:r>
      <w:r>
        <w:rPr>
          <w:rFonts w:ascii="SimSun" w:hAnsi="SimSun" w:eastAsia="SimSun" w:cs="SimSun"/>
          <w:sz w:val="21"/>
          <w:szCs w:val="21"/>
          <w:spacing w:val="4"/>
        </w:rPr>
        <w:t xml:space="preserve"> </w:t>
      </w:r>
      <w:r>
        <w:rPr>
          <w:rFonts w:ascii="SimSun" w:hAnsi="SimSun" w:eastAsia="SimSun" w:cs="SimSun"/>
          <w:sz w:val="21"/>
          <w:szCs w:val="21"/>
          <w:spacing w:val="-6"/>
        </w:rPr>
        <w:t>作家本·戈德阿克</w:t>
      </w:r>
      <w:r>
        <w:rPr>
          <w:rFonts w:ascii="Times New Roman" w:hAnsi="Times New Roman" w:eastAsia="Times New Roman" w:cs="Times New Roman"/>
          <w:sz w:val="21"/>
          <w:szCs w:val="21"/>
          <w:spacing w:val="-6"/>
        </w:rPr>
        <w:t>(Ben  Goldacre)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所描述的，算法是不</w:t>
      </w:r>
      <w:r>
        <w:rPr>
          <w:rFonts w:ascii="SimSun" w:hAnsi="SimSun" w:eastAsia="SimSun" w:cs="SimSun"/>
          <w:sz w:val="21"/>
          <w:szCs w:val="21"/>
          <w:spacing w:val="-7"/>
        </w:rPr>
        <w:t>透明的“黑箱</w:t>
      </w:r>
      <w:r>
        <w:rPr>
          <w:rFonts w:ascii="SimSun" w:hAnsi="SimSun" w:eastAsia="SimSun" w:cs="SimSun"/>
          <w:sz w:val="21"/>
          <w:szCs w:val="21"/>
        </w:rPr>
        <w:t xml:space="preserve"> </w:t>
      </w:r>
      <w:r>
        <w:rPr>
          <w:rFonts w:ascii="SimSun" w:hAnsi="SimSun" w:eastAsia="SimSun" w:cs="SimSun"/>
          <w:sz w:val="21"/>
          <w:szCs w:val="21"/>
          <w:spacing w:val="-14"/>
        </w:rPr>
        <w:t>子”,人们依旧将自己的财富、隐私等重要物品塞入其中。算法的不可</w:t>
      </w:r>
      <w:r>
        <w:rPr>
          <w:rFonts w:ascii="SimSun" w:hAnsi="SimSun" w:eastAsia="SimSun" w:cs="SimSun"/>
          <w:sz w:val="21"/>
          <w:szCs w:val="21"/>
          <w:spacing w:val="16"/>
        </w:rPr>
        <w:t xml:space="preserve"> </w:t>
      </w:r>
      <w:r>
        <w:rPr>
          <w:rFonts w:ascii="SimSun" w:hAnsi="SimSun" w:eastAsia="SimSun" w:cs="SimSun"/>
          <w:sz w:val="21"/>
          <w:szCs w:val="21"/>
          <w:spacing w:val="-10"/>
        </w:rPr>
        <w:t>解释性很大程度上导致了不透明性。不可解</w:t>
      </w:r>
      <w:r>
        <w:rPr>
          <w:rFonts w:ascii="SimSun" w:hAnsi="SimSun" w:eastAsia="SimSun" w:cs="SimSun"/>
          <w:sz w:val="21"/>
          <w:szCs w:val="21"/>
          <w:spacing w:val="-11"/>
        </w:rPr>
        <w:t>释性并非设计者主观上不</w:t>
      </w:r>
      <w:r>
        <w:rPr>
          <w:rFonts w:ascii="SimSun" w:hAnsi="SimSun" w:eastAsia="SimSun" w:cs="SimSun"/>
          <w:sz w:val="21"/>
          <w:szCs w:val="21"/>
        </w:rPr>
        <w:t xml:space="preserve"> </w:t>
      </w:r>
      <w:r>
        <w:rPr>
          <w:rFonts w:ascii="SimSun" w:hAnsi="SimSun" w:eastAsia="SimSun" w:cs="SimSun"/>
          <w:sz w:val="21"/>
          <w:szCs w:val="21"/>
          <w:spacing w:val="-11"/>
        </w:rPr>
        <w:t>愿意解释算法内容，其主要原因更多在于算法技术的复杂性客观上造</w:t>
      </w:r>
      <w:r>
        <w:rPr>
          <w:rFonts w:ascii="SimSun" w:hAnsi="SimSun" w:eastAsia="SimSun" w:cs="SimSun"/>
          <w:sz w:val="21"/>
          <w:szCs w:val="21"/>
          <w:spacing w:val="16"/>
        </w:rPr>
        <w:t xml:space="preserve"> </w:t>
      </w:r>
      <w:r>
        <w:rPr>
          <w:rFonts w:ascii="SimSun" w:hAnsi="SimSun" w:eastAsia="SimSun" w:cs="SimSun"/>
          <w:sz w:val="21"/>
          <w:szCs w:val="21"/>
          <w:spacing w:val="-11"/>
        </w:rPr>
        <w:t>成了算法的难以解释；同时，人工智能时代算法通过海量数据的汇集</w:t>
      </w:r>
      <w:r>
        <w:rPr>
          <w:rFonts w:ascii="SimSun" w:hAnsi="SimSun" w:eastAsia="SimSun" w:cs="SimSun"/>
          <w:sz w:val="21"/>
          <w:szCs w:val="21"/>
          <w:spacing w:val="16"/>
        </w:rPr>
        <w:t xml:space="preserve"> </w:t>
      </w:r>
      <w:r>
        <w:rPr>
          <w:rFonts w:ascii="SimSun" w:hAnsi="SimSun" w:eastAsia="SimSun" w:cs="SimSun"/>
          <w:sz w:val="21"/>
          <w:szCs w:val="21"/>
          <w:spacing w:val="-10"/>
        </w:rPr>
        <w:t>分析形成自身的算法运行规律和运行逻辑，其运行语言具</w:t>
      </w:r>
      <w:r>
        <w:rPr>
          <w:rFonts w:ascii="SimSun" w:hAnsi="SimSun" w:eastAsia="SimSun" w:cs="SimSun"/>
          <w:sz w:val="21"/>
          <w:szCs w:val="21"/>
          <w:spacing w:val="-11"/>
        </w:rPr>
        <w:t>备复杂性和</w:t>
      </w:r>
      <w:r>
        <w:rPr>
          <w:rFonts w:ascii="SimSun" w:hAnsi="SimSun" w:eastAsia="SimSun" w:cs="SimSun"/>
          <w:sz w:val="21"/>
          <w:szCs w:val="21"/>
        </w:rPr>
        <w:t xml:space="preserve"> </w:t>
      </w:r>
      <w:r>
        <w:rPr>
          <w:rFonts w:ascii="SimSun" w:hAnsi="SimSun" w:eastAsia="SimSun" w:cs="SimSun"/>
          <w:sz w:val="21"/>
          <w:szCs w:val="21"/>
          <w:spacing w:val="-10"/>
        </w:rPr>
        <w:t>不可解释性。算法本身并非完美的存在，再</w:t>
      </w:r>
      <w:r>
        <w:rPr>
          <w:rFonts w:ascii="SimSun" w:hAnsi="SimSun" w:eastAsia="SimSun" w:cs="SimSun"/>
          <w:sz w:val="21"/>
          <w:szCs w:val="21"/>
          <w:spacing w:val="-11"/>
        </w:rPr>
        <w:t>精密的设置也终究脱离不</w:t>
      </w:r>
      <w:r>
        <w:rPr>
          <w:rFonts w:ascii="SimSun" w:hAnsi="SimSun" w:eastAsia="SimSun" w:cs="SimSun"/>
          <w:sz w:val="21"/>
          <w:szCs w:val="21"/>
        </w:rPr>
        <w:t xml:space="preserve"> </w:t>
      </w:r>
      <w:r>
        <w:rPr>
          <w:rFonts w:ascii="SimSun" w:hAnsi="SimSun" w:eastAsia="SimSun" w:cs="SimSun"/>
          <w:sz w:val="21"/>
          <w:szCs w:val="21"/>
          <w:spacing w:val="-11"/>
        </w:rPr>
        <w:t>了其机械性的本质，无法对问题予以及时灵活的变通调整。也正因为</w:t>
      </w:r>
      <w:r>
        <w:rPr>
          <w:rFonts w:ascii="SimSun" w:hAnsi="SimSun" w:eastAsia="SimSun" w:cs="SimSun"/>
          <w:sz w:val="21"/>
          <w:szCs w:val="21"/>
        </w:rPr>
        <w:t xml:space="preserve"> </w:t>
      </w:r>
      <w:r>
        <w:rPr>
          <w:rFonts w:ascii="SimSun" w:hAnsi="SimSun" w:eastAsia="SimSun" w:cs="SimSun"/>
          <w:sz w:val="21"/>
          <w:szCs w:val="21"/>
          <w:spacing w:val="-11"/>
        </w:rPr>
        <w:t>如此，算法的不可解释造成的不透明导致了运用现有行政审查规则无</w:t>
      </w:r>
      <w:r>
        <w:rPr>
          <w:rFonts w:ascii="SimSun" w:hAnsi="SimSun" w:eastAsia="SimSun" w:cs="SimSun"/>
          <w:sz w:val="21"/>
          <w:szCs w:val="21"/>
          <w:spacing w:val="17"/>
        </w:rPr>
        <w:t xml:space="preserve"> </w:t>
      </w:r>
      <w:r>
        <w:rPr>
          <w:rFonts w:ascii="SimSun" w:hAnsi="SimSun" w:eastAsia="SimSun" w:cs="SimSun"/>
          <w:sz w:val="21"/>
          <w:szCs w:val="21"/>
          <w:spacing w:val="-15"/>
        </w:rPr>
        <w:t>法审查和用前述反垄断判断方法无法判断的尴尬境地。</w:t>
      </w:r>
      <w:r>
        <w:rPr>
          <w:rFonts w:ascii="SimSun" w:hAnsi="SimSun" w:eastAsia="SimSun" w:cs="SimSun"/>
          <w:sz w:val="21"/>
          <w:szCs w:val="21"/>
          <w:spacing w:val="35"/>
        </w:rPr>
        <w:t xml:space="preserve"> </w:t>
      </w:r>
      <w:r>
        <w:rPr>
          <w:rFonts w:ascii="SimSun" w:hAnsi="SimSun" w:eastAsia="SimSun" w:cs="SimSun"/>
          <w:sz w:val="21"/>
          <w:szCs w:val="21"/>
          <w:spacing w:val="-15"/>
        </w:rPr>
        <w:t>一方面，对于</w:t>
      </w:r>
      <w:r>
        <w:rPr>
          <w:rFonts w:ascii="SimSun" w:hAnsi="SimSun" w:eastAsia="SimSun" w:cs="SimSun"/>
          <w:sz w:val="21"/>
          <w:szCs w:val="21"/>
        </w:rPr>
        <w:t xml:space="preserve"> </w:t>
      </w:r>
      <w:r>
        <w:rPr>
          <w:rFonts w:ascii="SimSun" w:hAnsi="SimSun" w:eastAsia="SimSun" w:cs="SimSun"/>
          <w:sz w:val="21"/>
          <w:szCs w:val="21"/>
          <w:spacing w:val="-7"/>
        </w:rPr>
        <w:t>算法审查的内容范围不清晰。算法审查的内容范围应包括哪些?仅审</w:t>
      </w:r>
      <w:r>
        <w:rPr>
          <w:rFonts w:ascii="SimSun" w:hAnsi="SimSun" w:eastAsia="SimSun" w:cs="SimSun"/>
          <w:sz w:val="21"/>
          <w:szCs w:val="21"/>
          <w:spacing w:val="11"/>
        </w:rPr>
        <w:t xml:space="preserve"> </w:t>
      </w:r>
      <w:r>
        <w:rPr>
          <w:rFonts w:ascii="SimSun" w:hAnsi="SimSun" w:eastAsia="SimSun" w:cs="SimSun"/>
          <w:sz w:val="21"/>
          <w:szCs w:val="21"/>
          <w:spacing w:val="-11"/>
        </w:rPr>
        <w:t>查算法的编码抑或包括算法的目的与功能等因素是否可以有效解决算</w:t>
      </w:r>
      <w:r>
        <w:rPr>
          <w:rFonts w:ascii="SimSun" w:hAnsi="SimSun" w:eastAsia="SimSun" w:cs="SimSun"/>
          <w:sz w:val="21"/>
          <w:szCs w:val="21"/>
          <w:spacing w:val="18"/>
        </w:rPr>
        <w:t xml:space="preserve"> </w:t>
      </w:r>
      <w:r>
        <w:rPr>
          <w:rFonts w:ascii="SimSun" w:hAnsi="SimSun" w:eastAsia="SimSun" w:cs="SimSun"/>
          <w:sz w:val="21"/>
          <w:szCs w:val="21"/>
          <w:spacing w:val="-7"/>
        </w:rPr>
        <w:t>法合谋问题?另一方面，审查算法的标准不明确。何种算法才能被认</w:t>
      </w:r>
      <w:r>
        <w:rPr>
          <w:rFonts w:ascii="SimSun" w:hAnsi="SimSun" w:eastAsia="SimSun" w:cs="SimSun"/>
          <w:sz w:val="21"/>
          <w:szCs w:val="21"/>
          <w:spacing w:val="4"/>
        </w:rPr>
        <w:t xml:space="preserve"> </w:t>
      </w:r>
      <w:r>
        <w:rPr>
          <w:rFonts w:ascii="SimSun" w:hAnsi="SimSun" w:eastAsia="SimSun" w:cs="SimSun"/>
          <w:sz w:val="21"/>
          <w:szCs w:val="21"/>
          <w:spacing w:val="-6"/>
        </w:rPr>
        <w:t>定符合法律规定的要求?算法被审查时的合</w:t>
      </w:r>
      <w:r>
        <w:rPr>
          <w:rFonts w:ascii="SimSun" w:hAnsi="SimSun" w:eastAsia="SimSun" w:cs="SimSun"/>
          <w:sz w:val="21"/>
          <w:szCs w:val="21"/>
          <w:spacing w:val="-7"/>
        </w:rPr>
        <w:t>规标准是否因行业而异?</w:t>
      </w:r>
      <w:r>
        <w:rPr>
          <w:rFonts w:ascii="SimSun" w:hAnsi="SimSun" w:eastAsia="SimSun" w:cs="SimSun"/>
          <w:sz w:val="21"/>
          <w:szCs w:val="21"/>
        </w:rPr>
        <w:t xml:space="preserve">  </w:t>
      </w:r>
      <w:r>
        <w:rPr>
          <w:rFonts w:ascii="SimSun" w:hAnsi="SimSun" w:eastAsia="SimSun" w:cs="SimSun"/>
          <w:sz w:val="21"/>
          <w:szCs w:val="21"/>
          <w:spacing w:val="-10"/>
        </w:rPr>
        <w:t>此外，如要使算法保持公开透明，势必花费一定的代价。从成</w:t>
      </w:r>
      <w:r>
        <w:rPr>
          <w:rFonts w:ascii="SimSun" w:hAnsi="SimSun" w:eastAsia="SimSun" w:cs="SimSun"/>
          <w:sz w:val="21"/>
          <w:szCs w:val="21"/>
          <w:spacing w:val="-11"/>
        </w:rPr>
        <w:t>本与效</w:t>
      </w:r>
    </w:p>
    <w:p>
      <w:pPr>
        <w:pStyle w:val="BodyText"/>
        <w:spacing w:line="478" w:lineRule="auto"/>
        <w:rPr/>
      </w:pPr>
      <w:r/>
    </w:p>
    <w:p>
      <w:pPr>
        <w:ind w:left="359" w:hanging="359"/>
        <w:spacing w:before="68" w:line="269" w:lineRule="auto"/>
        <w:rPr>
          <w:rFonts w:ascii="SimSun" w:hAnsi="SimSun" w:eastAsia="SimSun" w:cs="SimSun"/>
          <w:sz w:val="15"/>
          <w:szCs w:val="15"/>
        </w:rPr>
      </w:pPr>
      <w:r>
        <w:rPr>
          <w:rFonts w:ascii="SimSun" w:hAnsi="SimSun" w:eastAsia="SimSun" w:cs="SimSun"/>
          <w:sz w:val="21"/>
          <w:szCs w:val="21"/>
          <w:spacing w:val="-7"/>
        </w:rPr>
        <w:t>①</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7"/>
        </w:rPr>
        <w:t>Anupam Chander,“The Racist Algorithm?”,M</w:t>
      </w:r>
      <w:r>
        <w:rPr>
          <w:rFonts w:ascii="Times New Roman" w:hAnsi="Times New Roman" w:eastAsia="Times New Roman" w:cs="Times New Roman"/>
          <w:sz w:val="21"/>
          <w:szCs w:val="21"/>
          <w:spacing w:val="-8"/>
        </w:rPr>
        <w:t>ichigan Law Review,2017,</w:t>
      </w:r>
      <w:r>
        <w:rPr>
          <w:rFonts w:ascii="Times New Roman" w:hAnsi="Times New Roman" w:eastAsia="Times New Roman" w:cs="Times New Roman"/>
          <w:sz w:val="21"/>
          <w:szCs w:val="21"/>
        </w:rPr>
        <w:t xml:space="preserve"> </w:t>
      </w:r>
      <w:r>
        <w:rPr>
          <w:rFonts w:ascii="SimSun" w:hAnsi="SimSun" w:eastAsia="SimSun" w:cs="SimSun"/>
          <w:sz w:val="15"/>
          <w:szCs w:val="15"/>
          <w:spacing w:val="-1"/>
        </w:rPr>
        <w:t>115(6):1023-1045.</w:t>
      </w:r>
    </w:p>
    <w:p>
      <w:pPr>
        <w:spacing w:line="269" w:lineRule="auto"/>
        <w:sectPr>
          <w:headerReference w:type="default" r:id="rId441"/>
          <w:pgSz w:w="7330" w:h="12480"/>
          <w:pgMar w:top="489" w:right="579" w:bottom="400" w:left="720" w:header="324" w:footer="0" w:gutter="0"/>
        </w:sectPr>
        <w:rPr>
          <w:rFonts w:ascii="SimSun" w:hAnsi="SimSun" w:eastAsia="SimSun" w:cs="SimSun"/>
          <w:sz w:val="15"/>
          <w:szCs w:val="15"/>
        </w:rPr>
      </w:pPr>
    </w:p>
    <w:p>
      <w:pPr>
        <w:pStyle w:val="BodyText"/>
        <w:spacing w:line="249" w:lineRule="auto"/>
        <w:rPr/>
      </w:pPr>
      <w:r>
        <w:drawing>
          <wp:anchor distT="0" distB="0" distL="0" distR="0" simplePos="0" relativeHeight="255461376" behindDoc="0" locked="0" layoutInCell="0" allowOverlap="1">
            <wp:simplePos x="0" y="0"/>
            <wp:positionH relativeFrom="page">
              <wp:posOffset>304779</wp:posOffset>
            </wp:positionH>
            <wp:positionV relativeFrom="page">
              <wp:posOffset>7067568</wp:posOffset>
            </wp:positionV>
            <wp:extent cx="1174761" cy="6350"/>
            <wp:effectExtent l="0" t="0" r="0" b="0"/>
            <wp:wrapNone/>
            <wp:docPr id="306" name="IM 306"/>
            <wp:cNvGraphicFramePr/>
            <a:graphic>
              <a:graphicData uri="http://schemas.openxmlformats.org/drawingml/2006/picture">
                <pic:pic>
                  <pic:nvPicPr>
                    <pic:cNvPr id="306" name="IM 306"/>
                    <pic:cNvPicPr/>
                  </pic:nvPicPr>
                  <pic:blipFill>
                    <a:blip r:embed="rId444"/>
                    <a:stretch>
                      <a:fillRect/>
                    </a:stretch>
                  </pic:blipFill>
                  <pic:spPr>
                    <a:xfrm rot="0">
                      <a:off x="0" y="0"/>
                      <a:ext cx="1174761" cy="6350"/>
                    </a:xfrm>
                    <a:prstGeom prst="rect">
                      <a:avLst/>
                    </a:prstGeom>
                  </pic:spPr>
                </pic:pic>
              </a:graphicData>
            </a:graphic>
          </wp:anchor>
        </w:drawing>
      </w:r>
      <w:r/>
    </w:p>
    <w:p>
      <w:pPr>
        <w:pStyle w:val="BodyText"/>
        <w:spacing w:line="249" w:lineRule="auto"/>
        <w:rPr/>
      </w:pPr>
      <w:r/>
    </w:p>
    <w:p>
      <w:pPr>
        <w:pStyle w:val="BodyText"/>
        <w:spacing w:line="249" w:lineRule="auto"/>
        <w:rPr/>
      </w:pPr>
      <w:r/>
    </w:p>
    <w:p>
      <w:pPr>
        <w:pStyle w:val="BodyText"/>
        <w:spacing w:line="249" w:lineRule="auto"/>
        <w:rPr/>
      </w:pPr>
      <w:r/>
    </w:p>
    <w:p>
      <w:pPr>
        <w:ind w:left="20" w:right="74"/>
        <w:spacing w:before="68" w:line="278" w:lineRule="auto"/>
        <w:jc w:val="both"/>
        <w:rPr>
          <w:rFonts w:ascii="SimSun" w:hAnsi="SimSun" w:eastAsia="SimSun" w:cs="SimSun"/>
          <w:sz w:val="21"/>
          <w:szCs w:val="21"/>
        </w:rPr>
      </w:pPr>
      <w:r>
        <w:rPr>
          <w:rFonts w:ascii="SimSun" w:hAnsi="SimSun" w:eastAsia="SimSun" w:cs="SimSun"/>
          <w:sz w:val="21"/>
          <w:szCs w:val="21"/>
          <w:spacing w:val="-10"/>
        </w:rPr>
        <w:t>益的角度分析，解密算法所花费的代价巨大，因解密算法所</w:t>
      </w:r>
      <w:r>
        <w:rPr>
          <w:rFonts w:ascii="SimSun" w:hAnsi="SimSun" w:eastAsia="SimSun" w:cs="SimSun"/>
          <w:sz w:val="21"/>
          <w:szCs w:val="21"/>
          <w:spacing w:val="-11"/>
        </w:rPr>
        <w:t>产生的收</w:t>
      </w:r>
      <w:r>
        <w:rPr>
          <w:rFonts w:ascii="SimSun" w:hAnsi="SimSun" w:eastAsia="SimSun" w:cs="SimSun"/>
          <w:sz w:val="21"/>
          <w:szCs w:val="21"/>
        </w:rPr>
        <w:t xml:space="preserve"> </w:t>
      </w:r>
      <w:r>
        <w:rPr>
          <w:rFonts w:ascii="SimSun" w:hAnsi="SimSun" w:eastAsia="SimSun" w:cs="SimSun"/>
          <w:sz w:val="21"/>
          <w:szCs w:val="21"/>
          <w:spacing w:val="-10"/>
        </w:rPr>
        <w:t>益未必能完全补偿损失的成本，而且如果算法透明度过高，其商业秘</w:t>
      </w:r>
      <w:r>
        <w:rPr>
          <w:rFonts w:ascii="SimSun" w:hAnsi="SimSun" w:eastAsia="SimSun" w:cs="SimSun"/>
          <w:sz w:val="21"/>
          <w:szCs w:val="21"/>
        </w:rPr>
        <w:t xml:space="preserve"> </w:t>
      </w:r>
      <w:r>
        <w:rPr>
          <w:rFonts w:ascii="SimSun" w:hAnsi="SimSun" w:eastAsia="SimSun" w:cs="SimSun"/>
          <w:sz w:val="21"/>
          <w:szCs w:val="21"/>
          <w:spacing w:val="-15"/>
        </w:rPr>
        <w:t>密价值也将丧失保护意义，最终可能导致更不公平的结果。</w:t>
      </w:r>
    </w:p>
    <w:p>
      <w:pPr>
        <w:pStyle w:val="BodyText"/>
        <w:spacing w:line="410" w:lineRule="auto"/>
        <w:rPr/>
      </w:pPr>
      <w:r/>
    </w:p>
    <w:p>
      <w:pPr>
        <w:ind w:left="412"/>
        <w:spacing w:before="68" w:line="220" w:lineRule="auto"/>
        <w:rPr>
          <w:rFonts w:ascii="SimSun" w:hAnsi="SimSun" w:eastAsia="SimSun" w:cs="SimSun"/>
          <w:sz w:val="21"/>
          <w:szCs w:val="21"/>
        </w:rPr>
      </w:pPr>
      <w:r>
        <w:rPr>
          <w:rFonts w:ascii="SimSun" w:hAnsi="SimSun" w:eastAsia="SimSun" w:cs="SimSun"/>
          <w:sz w:val="21"/>
          <w:szCs w:val="21"/>
          <w:b/>
          <w:bCs/>
          <w:spacing w:val="-13"/>
        </w:rPr>
        <w:t>规制思维及主体的局限性</w:t>
      </w:r>
    </w:p>
    <w:p>
      <w:pPr>
        <w:ind w:left="20" w:firstLine="390"/>
        <w:spacing w:before="136" w:line="300" w:lineRule="auto"/>
        <w:jc w:val="both"/>
        <w:rPr>
          <w:rFonts w:ascii="SimSun" w:hAnsi="SimSun" w:eastAsia="SimSun" w:cs="SimSun"/>
          <w:sz w:val="21"/>
          <w:szCs w:val="21"/>
        </w:rPr>
      </w:pPr>
      <w:r>
        <w:rPr>
          <w:rFonts w:ascii="SimSun" w:hAnsi="SimSun" w:eastAsia="SimSun" w:cs="SimSun"/>
          <w:sz w:val="21"/>
          <w:szCs w:val="21"/>
          <w:spacing w:val="-11"/>
        </w:rPr>
        <w:t>目前对平台算法的治理更多是基于传统的手段，如明确算法开发</w:t>
      </w:r>
      <w:r>
        <w:rPr>
          <w:rFonts w:ascii="SimSun" w:hAnsi="SimSun" w:eastAsia="SimSun" w:cs="SimSun"/>
          <w:sz w:val="21"/>
          <w:szCs w:val="21"/>
          <w:spacing w:val="7"/>
        </w:rPr>
        <w:t xml:space="preserve">  </w:t>
      </w:r>
      <w:r>
        <w:rPr>
          <w:rFonts w:ascii="SimSun" w:hAnsi="SimSun" w:eastAsia="SimSun" w:cs="SimSun"/>
          <w:sz w:val="21"/>
          <w:szCs w:val="21"/>
          <w:spacing w:val="-10"/>
        </w:rPr>
        <w:t>者的责任、运营算法的平台责任、对算法予以监管等。对算法的规制 </w:t>
      </w:r>
      <w:r>
        <w:rPr>
          <w:rFonts w:ascii="SimSun" w:hAnsi="SimSun" w:eastAsia="SimSun" w:cs="SimSun"/>
          <w:sz w:val="21"/>
          <w:szCs w:val="21"/>
          <w:spacing w:val="-10"/>
        </w:rPr>
        <w:t>依然基于传统规制互联网活动的思维，本质上是以《民法典》为代表 </w:t>
      </w:r>
      <w:r>
        <w:rPr>
          <w:rFonts w:ascii="SimSun" w:hAnsi="SimSun" w:eastAsia="SimSun" w:cs="SimSun"/>
          <w:sz w:val="21"/>
          <w:szCs w:val="21"/>
          <w:spacing w:val="-15"/>
        </w:rPr>
        <w:t>的互联网法律治理体系下的治理范式，并未脱离传统的规制思维。</w:t>
      </w:r>
      <w:r>
        <w:rPr>
          <w:rFonts w:ascii="SimSun" w:hAnsi="SimSun" w:eastAsia="SimSun" w:cs="SimSun"/>
          <w:sz w:val="21"/>
          <w:szCs w:val="21"/>
          <w:spacing w:val="49"/>
        </w:rPr>
        <w:t xml:space="preserve"> </w:t>
      </w:r>
      <w:r>
        <w:rPr>
          <w:rFonts w:ascii="SimSun" w:hAnsi="SimSun" w:eastAsia="SimSun" w:cs="SimSun"/>
          <w:sz w:val="21"/>
          <w:szCs w:val="21"/>
          <w:spacing w:val="-15"/>
        </w:rPr>
        <w:t>一 </w:t>
      </w:r>
      <w:r>
        <w:rPr>
          <w:rFonts w:ascii="SimSun" w:hAnsi="SimSun" w:eastAsia="SimSun" w:cs="SimSun"/>
          <w:sz w:val="21"/>
          <w:szCs w:val="21"/>
          <w:spacing w:val="-8"/>
        </w:rPr>
        <w:t>方面，算法的运行借助人工智能技术的发展实现了更深层次的进化，</w:t>
      </w:r>
      <w:r>
        <w:rPr>
          <w:rFonts w:ascii="SimSun" w:hAnsi="SimSun" w:eastAsia="SimSun" w:cs="SimSun"/>
          <w:sz w:val="21"/>
          <w:szCs w:val="21"/>
          <w:spacing w:val="14"/>
        </w:rPr>
        <w:t xml:space="preserve"> </w:t>
      </w:r>
      <w:r>
        <w:rPr>
          <w:rFonts w:ascii="SimSun" w:hAnsi="SimSun" w:eastAsia="SimSun" w:cs="SimSun"/>
          <w:sz w:val="21"/>
          <w:szCs w:val="21"/>
          <w:spacing w:val="-11"/>
        </w:rPr>
        <w:t>并不一定需要依赖网络便可实现算法的运转，算法应用的领域越发广</w:t>
      </w:r>
      <w:r>
        <w:rPr>
          <w:rFonts w:ascii="SimSun" w:hAnsi="SimSun" w:eastAsia="SimSun" w:cs="SimSun"/>
          <w:sz w:val="21"/>
          <w:szCs w:val="21"/>
          <w:spacing w:val="5"/>
        </w:rPr>
        <w:t xml:space="preserve">  </w:t>
      </w:r>
      <w:r>
        <w:rPr>
          <w:rFonts w:ascii="SimSun" w:hAnsi="SimSun" w:eastAsia="SimSun" w:cs="SimSun"/>
          <w:sz w:val="21"/>
          <w:szCs w:val="21"/>
          <w:spacing w:val="-10"/>
        </w:rPr>
        <w:t>泛。①另一方面，算法风险发生的形式更加灵活。算法歧视、算法合 </w:t>
      </w:r>
      <w:r>
        <w:rPr>
          <w:rFonts w:ascii="SimSun" w:hAnsi="SimSun" w:eastAsia="SimSun" w:cs="SimSun"/>
          <w:sz w:val="21"/>
          <w:szCs w:val="21"/>
          <w:spacing w:val="-10"/>
        </w:rPr>
        <w:t>谋等均是目前已知的算法风险，依托算法技术的隐蔽性和复杂性，不 </w:t>
      </w:r>
      <w:r>
        <w:rPr>
          <w:rFonts w:ascii="SimSun" w:hAnsi="SimSun" w:eastAsia="SimSun" w:cs="SimSun"/>
          <w:sz w:val="21"/>
          <w:szCs w:val="21"/>
          <w:spacing w:val="-8"/>
        </w:rPr>
        <w:t>同算法风险的发生形式可能多变。算法带来的风险呈现出高度分散、</w:t>
      </w:r>
      <w:r>
        <w:rPr>
          <w:rFonts w:ascii="SimSun" w:hAnsi="SimSun" w:eastAsia="SimSun" w:cs="SimSun"/>
          <w:sz w:val="21"/>
          <w:szCs w:val="21"/>
          <w:spacing w:val="13"/>
        </w:rPr>
        <w:t xml:space="preserve"> </w:t>
      </w:r>
      <w:r>
        <w:rPr>
          <w:rFonts w:ascii="SimSun" w:hAnsi="SimSun" w:eastAsia="SimSun" w:cs="SimSun"/>
          <w:sz w:val="21"/>
          <w:szCs w:val="21"/>
          <w:spacing w:val="-10"/>
        </w:rPr>
        <w:t>灵活多变的特征，需要我们拥有一种更加具有针对性和适应性的治理 </w:t>
      </w:r>
      <w:r>
        <w:rPr>
          <w:rFonts w:ascii="SimSun" w:hAnsi="SimSun" w:eastAsia="SimSun" w:cs="SimSun"/>
          <w:sz w:val="21"/>
          <w:szCs w:val="21"/>
          <w:spacing w:val="-12"/>
        </w:rPr>
        <w:t>思维，为算法治理提供更多有效的规制手段。</w:t>
      </w:r>
    </w:p>
    <w:p>
      <w:pPr>
        <w:ind w:left="20" w:right="51" w:firstLine="390"/>
        <w:spacing w:before="187" w:line="306" w:lineRule="auto"/>
        <w:jc w:val="both"/>
        <w:rPr>
          <w:rFonts w:ascii="SimSun" w:hAnsi="SimSun" w:eastAsia="SimSun" w:cs="SimSun"/>
          <w:sz w:val="21"/>
          <w:szCs w:val="21"/>
        </w:rPr>
      </w:pPr>
      <w:r>
        <w:rPr>
          <w:rFonts w:ascii="SimSun" w:hAnsi="SimSun" w:eastAsia="SimSun" w:cs="SimSun"/>
          <w:sz w:val="21"/>
          <w:szCs w:val="21"/>
          <w:spacing w:val="-10"/>
        </w:rPr>
        <w:t>另外，正如前文所提及的，针对平台算法的法</w:t>
      </w:r>
      <w:r>
        <w:rPr>
          <w:rFonts w:ascii="SimSun" w:hAnsi="SimSun" w:eastAsia="SimSun" w:cs="SimSun"/>
          <w:sz w:val="21"/>
          <w:szCs w:val="21"/>
          <w:spacing w:val="-11"/>
        </w:rPr>
        <w:t>律治理包括平台自</w:t>
      </w:r>
      <w:r>
        <w:rPr>
          <w:rFonts w:ascii="SimSun" w:hAnsi="SimSun" w:eastAsia="SimSun" w:cs="SimSun"/>
          <w:sz w:val="21"/>
          <w:szCs w:val="21"/>
        </w:rPr>
        <w:t xml:space="preserve"> </w:t>
      </w:r>
      <w:r>
        <w:rPr>
          <w:rFonts w:ascii="SimSun" w:hAnsi="SimSun" w:eastAsia="SimSun" w:cs="SimSun"/>
          <w:sz w:val="21"/>
          <w:szCs w:val="21"/>
          <w:spacing w:val="-10"/>
        </w:rPr>
        <w:t>我规制、市场自我调节以及伦理规制等做法，但对平台算法治理最有</w:t>
      </w:r>
      <w:r>
        <w:rPr>
          <w:rFonts w:ascii="SimSun" w:hAnsi="SimSun" w:eastAsia="SimSun" w:cs="SimSun"/>
          <w:sz w:val="21"/>
          <w:szCs w:val="21"/>
        </w:rPr>
        <w:t xml:space="preserve"> </w:t>
      </w:r>
      <w:r>
        <w:rPr>
          <w:rFonts w:ascii="SimSun" w:hAnsi="SimSun" w:eastAsia="SimSun" w:cs="SimSun"/>
          <w:sz w:val="21"/>
          <w:szCs w:val="21"/>
          <w:spacing w:val="-10"/>
        </w:rPr>
        <w:t>效的方式仍是法律规制，通过法律强有力的措施对平台算法运行的不</w:t>
      </w:r>
      <w:r>
        <w:rPr>
          <w:rFonts w:ascii="SimSun" w:hAnsi="SimSun" w:eastAsia="SimSun" w:cs="SimSun"/>
          <w:sz w:val="21"/>
          <w:szCs w:val="21"/>
        </w:rPr>
        <w:t xml:space="preserve"> </w:t>
      </w:r>
      <w:r>
        <w:rPr>
          <w:rFonts w:ascii="SimSun" w:hAnsi="SimSun" w:eastAsia="SimSun" w:cs="SimSun"/>
          <w:sz w:val="21"/>
          <w:szCs w:val="21"/>
          <w:spacing w:val="-11"/>
        </w:rPr>
        <w:t>当行为予以调整。人工智能时代的算法发展越发迅猛，技术的飞快发</w:t>
      </w:r>
      <w:r>
        <w:rPr>
          <w:rFonts w:ascii="SimSun" w:hAnsi="SimSun" w:eastAsia="SimSun" w:cs="SimSun"/>
          <w:sz w:val="21"/>
          <w:szCs w:val="21"/>
          <w:spacing w:val="7"/>
        </w:rPr>
        <w:t xml:space="preserve"> </w:t>
      </w:r>
      <w:r>
        <w:rPr>
          <w:rFonts w:ascii="SimSun" w:hAnsi="SimSun" w:eastAsia="SimSun" w:cs="SimSun"/>
          <w:sz w:val="21"/>
          <w:szCs w:val="21"/>
          <w:spacing w:val="-10"/>
        </w:rPr>
        <w:t>展对算法治理提出挑战。算法规制主体的局限，在可能导致监管脱力</w:t>
      </w:r>
      <w:r>
        <w:rPr>
          <w:rFonts w:ascii="SimSun" w:hAnsi="SimSun" w:eastAsia="SimSun" w:cs="SimSun"/>
          <w:sz w:val="21"/>
          <w:szCs w:val="21"/>
          <w:spacing w:val="6"/>
        </w:rPr>
        <w:t xml:space="preserve"> </w:t>
      </w:r>
      <w:r>
        <w:rPr>
          <w:rFonts w:ascii="SimSun" w:hAnsi="SimSun" w:eastAsia="SimSun" w:cs="SimSun"/>
          <w:sz w:val="21"/>
          <w:szCs w:val="21"/>
          <w:spacing w:val="-10"/>
        </w:rPr>
        <w:t>的同时，也难以有效地治理算法风险，甚至存在因行政机关过度依赖</w:t>
      </w:r>
      <w:r>
        <w:rPr>
          <w:rFonts w:ascii="SimSun" w:hAnsi="SimSun" w:eastAsia="SimSun" w:cs="SimSun"/>
          <w:sz w:val="21"/>
          <w:szCs w:val="21"/>
        </w:rPr>
        <w:t xml:space="preserve"> </w:t>
      </w:r>
      <w:r>
        <w:rPr>
          <w:rFonts w:ascii="SimSun" w:hAnsi="SimSun" w:eastAsia="SimSun" w:cs="SimSun"/>
          <w:sz w:val="21"/>
          <w:szCs w:val="21"/>
          <w:spacing w:val="-10"/>
        </w:rPr>
        <w:t>算法而导致监管失灵的可能性。因此，平台算法的法律治理需</w:t>
      </w:r>
      <w:r>
        <w:rPr>
          <w:rFonts w:ascii="SimSun" w:hAnsi="SimSun" w:eastAsia="SimSun" w:cs="SimSun"/>
          <w:sz w:val="21"/>
          <w:szCs w:val="21"/>
          <w:spacing w:val="-11"/>
        </w:rPr>
        <w:t>寻求社</w:t>
      </w:r>
      <w:r>
        <w:rPr>
          <w:rFonts w:ascii="SimSun" w:hAnsi="SimSun" w:eastAsia="SimSun" w:cs="SimSun"/>
          <w:sz w:val="21"/>
          <w:szCs w:val="21"/>
        </w:rPr>
        <w:t xml:space="preserve"> </w:t>
      </w:r>
      <w:r>
        <w:rPr>
          <w:rFonts w:ascii="SimSun" w:hAnsi="SimSun" w:eastAsia="SimSun" w:cs="SimSun"/>
          <w:sz w:val="21"/>
          <w:szCs w:val="21"/>
          <w:spacing w:val="-9"/>
        </w:rPr>
        <w:t>会合力，推动企业、社会组织和社会公众形成有层</w:t>
      </w:r>
      <w:r>
        <w:rPr>
          <w:rFonts w:ascii="SimSun" w:hAnsi="SimSun" w:eastAsia="SimSun" w:cs="SimSun"/>
          <w:sz w:val="21"/>
          <w:szCs w:val="21"/>
          <w:spacing w:val="-10"/>
        </w:rPr>
        <w:t>次的治理体系，构</w:t>
      </w:r>
      <w:r>
        <w:rPr>
          <w:rFonts w:ascii="SimSun" w:hAnsi="SimSun" w:eastAsia="SimSun" w:cs="SimSun"/>
          <w:sz w:val="21"/>
          <w:szCs w:val="21"/>
        </w:rPr>
        <w:t xml:space="preserve"> </w:t>
      </w:r>
      <w:r>
        <w:rPr>
          <w:rFonts w:ascii="SimSun" w:hAnsi="SimSun" w:eastAsia="SimSun" w:cs="SimSun"/>
          <w:sz w:val="21"/>
          <w:szCs w:val="21"/>
          <w:spacing w:val="-10"/>
        </w:rPr>
        <w:t>建有效的算法治理争端解决机制和完备的社会多</w:t>
      </w:r>
      <w:r>
        <w:rPr>
          <w:rFonts w:ascii="SimSun" w:hAnsi="SimSun" w:eastAsia="SimSun" w:cs="SimSun"/>
          <w:sz w:val="21"/>
          <w:szCs w:val="21"/>
          <w:spacing w:val="-11"/>
        </w:rPr>
        <w:t>元共治体系。</w:t>
      </w:r>
    </w:p>
    <w:p>
      <w:pPr>
        <w:pStyle w:val="BodyText"/>
        <w:spacing w:line="468" w:lineRule="auto"/>
        <w:rPr/>
      </w:pPr>
      <w:r/>
    </w:p>
    <w:p>
      <w:pPr>
        <w:ind w:left="20"/>
        <w:spacing w:before="53" w:line="220" w:lineRule="auto"/>
        <w:rPr>
          <w:rFonts w:ascii="KaiTi" w:hAnsi="KaiTi" w:eastAsia="KaiTi" w:cs="KaiTi"/>
          <w:sz w:val="16"/>
          <w:szCs w:val="16"/>
        </w:rPr>
      </w:pPr>
      <w:r>
        <w:rPr>
          <w:rFonts w:ascii="KaiTi" w:hAnsi="KaiTi" w:eastAsia="KaiTi" w:cs="KaiTi"/>
          <w:sz w:val="16"/>
          <w:szCs w:val="16"/>
          <w:spacing w:val="9"/>
        </w:rPr>
        <w:t>①</w:t>
      </w:r>
      <w:r>
        <w:rPr>
          <w:rFonts w:ascii="KaiTi" w:hAnsi="KaiTi" w:eastAsia="KaiTi" w:cs="KaiTi"/>
          <w:sz w:val="16"/>
          <w:szCs w:val="16"/>
          <w:spacing w:val="74"/>
        </w:rPr>
        <w:t xml:space="preserve"> </w:t>
      </w:r>
      <w:r>
        <w:rPr>
          <w:rFonts w:ascii="KaiTi" w:hAnsi="KaiTi" w:eastAsia="KaiTi" w:cs="KaiTi"/>
          <w:sz w:val="16"/>
          <w:szCs w:val="16"/>
          <w:spacing w:val="9"/>
        </w:rPr>
        <w:t>苏宇.算法规制的谱系.中国法学，2020(3):165-184.</w:t>
      </w:r>
    </w:p>
    <w:p>
      <w:pPr>
        <w:spacing w:line="220" w:lineRule="auto"/>
        <w:sectPr>
          <w:headerReference w:type="default" r:id="rId443"/>
          <w:pgSz w:w="7330" w:h="12480"/>
          <w:pgMar w:top="835" w:right="755" w:bottom="400" w:left="479" w:header="661" w:footer="0" w:gutter="0"/>
        </w:sectPr>
        <w:rPr>
          <w:rFonts w:ascii="KaiTi" w:hAnsi="KaiTi" w:eastAsia="KaiTi" w:cs="KaiTi"/>
          <w:sz w:val="16"/>
          <w:szCs w:val="16"/>
        </w:rPr>
      </w:pP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2244"/>
        <w:spacing w:before="104" w:line="220" w:lineRule="auto"/>
        <w:rPr>
          <w:rFonts w:ascii="SimSun" w:hAnsi="SimSun" w:eastAsia="SimSun" w:cs="SimSun"/>
          <w:sz w:val="32"/>
          <w:szCs w:val="32"/>
        </w:rPr>
      </w:pPr>
      <w:r>
        <w:rPr>
          <w:rFonts w:ascii="SimSun" w:hAnsi="SimSun" w:eastAsia="SimSun" w:cs="SimSun"/>
          <w:sz w:val="32"/>
          <w:szCs w:val="32"/>
          <w:b/>
          <w:bCs/>
          <w:spacing w:val="-10"/>
        </w:rPr>
        <w:t>方案与对策</w:t>
      </w:r>
    </w:p>
    <w:p>
      <w:pPr>
        <w:pStyle w:val="BodyText"/>
        <w:spacing w:line="259" w:lineRule="auto"/>
        <w:rPr/>
      </w:pPr>
      <w:r/>
    </w:p>
    <w:p>
      <w:pPr>
        <w:ind w:right="62" w:firstLine="440"/>
        <w:spacing w:before="68" w:line="297" w:lineRule="auto"/>
        <w:jc w:val="both"/>
        <w:rPr>
          <w:rFonts w:ascii="SimSun" w:hAnsi="SimSun" w:eastAsia="SimSun" w:cs="SimSun"/>
          <w:sz w:val="21"/>
          <w:szCs w:val="21"/>
        </w:rPr>
      </w:pPr>
      <w:r>
        <w:rPr>
          <w:rFonts w:ascii="SimSun" w:hAnsi="SimSun" w:eastAsia="SimSun" w:cs="SimSun"/>
          <w:sz w:val="21"/>
          <w:szCs w:val="21"/>
          <w:spacing w:val="-11"/>
        </w:rPr>
        <w:t>平台经济需要创新发展，找寻具备竞争优势的发展路径，势必需</w:t>
      </w:r>
      <w:r>
        <w:rPr>
          <w:rFonts w:ascii="SimSun" w:hAnsi="SimSun" w:eastAsia="SimSun" w:cs="SimSun"/>
          <w:sz w:val="21"/>
          <w:szCs w:val="21"/>
        </w:rPr>
        <w:t xml:space="preserve"> </w:t>
      </w:r>
      <w:r>
        <w:rPr>
          <w:rFonts w:ascii="SimSun" w:hAnsi="SimSun" w:eastAsia="SimSun" w:cs="SimSun"/>
          <w:sz w:val="21"/>
          <w:szCs w:val="21"/>
          <w:spacing w:val="-11"/>
        </w:rPr>
        <w:t>要对平台治理中的数据、算法以及反垄断等问题做出回应。近段时间</w:t>
      </w:r>
      <w:r>
        <w:rPr>
          <w:rFonts w:ascii="SimSun" w:hAnsi="SimSun" w:eastAsia="SimSun" w:cs="SimSun"/>
          <w:sz w:val="21"/>
          <w:szCs w:val="21"/>
          <w:spacing w:val="18"/>
        </w:rPr>
        <w:t xml:space="preserve"> </w:t>
      </w:r>
      <w:r>
        <w:rPr>
          <w:rFonts w:ascii="SimSun" w:hAnsi="SimSun" w:eastAsia="SimSun" w:cs="SimSun"/>
          <w:sz w:val="21"/>
          <w:szCs w:val="21"/>
          <w:spacing w:val="-11"/>
        </w:rPr>
        <w:t>以来，中央层面重视平台经济治理与发展，提出强化反垄断和防止资</w:t>
      </w:r>
      <w:r>
        <w:rPr>
          <w:rFonts w:ascii="SimSun" w:hAnsi="SimSun" w:eastAsia="SimSun" w:cs="SimSun"/>
          <w:sz w:val="21"/>
          <w:szCs w:val="21"/>
          <w:spacing w:val="13"/>
        </w:rPr>
        <w:t xml:space="preserve"> </w:t>
      </w:r>
      <w:r>
        <w:rPr>
          <w:rFonts w:ascii="SimSun" w:hAnsi="SimSun" w:eastAsia="SimSun" w:cs="SimSun"/>
          <w:sz w:val="21"/>
          <w:szCs w:val="21"/>
          <w:spacing w:val="-11"/>
        </w:rPr>
        <w:t>本无序扩张，实现平台有序发展成为平台经济创新和平台经济治理的</w:t>
      </w:r>
      <w:r>
        <w:rPr>
          <w:rFonts w:ascii="SimSun" w:hAnsi="SimSun" w:eastAsia="SimSun" w:cs="SimSun"/>
          <w:sz w:val="21"/>
          <w:szCs w:val="21"/>
          <w:spacing w:val="14"/>
        </w:rPr>
        <w:t xml:space="preserve"> </w:t>
      </w:r>
      <w:r>
        <w:rPr>
          <w:rFonts w:ascii="SimSun" w:hAnsi="SimSun" w:eastAsia="SimSun" w:cs="SimSun"/>
          <w:sz w:val="21"/>
          <w:szCs w:val="21"/>
          <w:spacing w:val="-7"/>
        </w:rPr>
        <w:t>关键要点。</w:t>
      </w:r>
    </w:p>
    <w:p>
      <w:pPr>
        <w:pStyle w:val="BodyText"/>
        <w:spacing w:line="443" w:lineRule="auto"/>
        <w:rPr/>
      </w:pPr>
      <w:r/>
    </w:p>
    <w:p>
      <w:pPr>
        <w:ind w:left="3"/>
        <w:spacing w:before="68" w:line="221" w:lineRule="auto"/>
        <w:rPr>
          <w:rFonts w:ascii="SimHei" w:hAnsi="SimHei" w:eastAsia="SimHei" w:cs="SimHei"/>
          <w:sz w:val="21"/>
          <w:szCs w:val="21"/>
        </w:rPr>
      </w:pPr>
      <w:r>
        <w:rPr>
          <w:rFonts w:ascii="SimHei" w:hAnsi="SimHei" w:eastAsia="SimHei" w:cs="SimHei"/>
          <w:sz w:val="21"/>
          <w:szCs w:val="21"/>
          <w:b/>
          <w:bCs/>
          <w:spacing w:val="26"/>
        </w:rPr>
        <w:t>平台经济在有序发展与审慎监管中实现创新与发展并举</w:t>
      </w:r>
    </w:p>
    <w:p>
      <w:pPr>
        <w:pStyle w:val="BodyText"/>
        <w:spacing w:line="350" w:lineRule="auto"/>
        <w:rPr/>
      </w:pPr>
      <w:r/>
    </w:p>
    <w:p>
      <w:pPr>
        <w:ind w:left="442"/>
        <w:spacing w:before="69" w:line="220" w:lineRule="auto"/>
        <w:rPr>
          <w:rFonts w:ascii="SimSun" w:hAnsi="SimSun" w:eastAsia="SimSun" w:cs="SimSun"/>
          <w:sz w:val="21"/>
          <w:szCs w:val="21"/>
        </w:rPr>
      </w:pPr>
      <w:r>
        <w:rPr>
          <w:rFonts w:ascii="SimSun" w:hAnsi="SimSun" w:eastAsia="SimSun" w:cs="SimSun"/>
          <w:sz w:val="21"/>
          <w:szCs w:val="21"/>
          <w:b/>
          <w:bCs/>
          <w:spacing w:val="-14"/>
        </w:rPr>
        <w:t>平台经济规范的目标应该是实现有序发展</w:t>
      </w:r>
    </w:p>
    <w:p>
      <w:pPr>
        <w:ind w:right="66" w:firstLine="440"/>
        <w:spacing w:before="108" w:line="301" w:lineRule="auto"/>
        <w:jc w:val="both"/>
        <w:rPr>
          <w:rFonts w:ascii="SimSun" w:hAnsi="SimSun" w:eastAsia="SimSun" w:cs="SimSun"/>
          <w:sz w:val="21"/>
          <w:szCs w:val="21"/>
        </w:rPr>
      </w:pPr>
      <w:r>
        <w:rPr>
          <w:rFonts w:ascii="SimSun" w:hAnsi="SimSun" w:eastAsia="SimSun" w:cs="SimSun"/>
          <w:sz w:val="21"/>
          <w:szCs w:val="21"/>
          <w:spacing w:val="-4"/>
        </w:rPr>
        <w:t>与美国相比，我国平台企业占据全球的市场份额相对较小且技</w:t>
      </w:r>
      <w:r>
        <w:rPr>
          <w:rFonts w:ascii="SimSun" w:hAnsi="SimSun" w:eastAsia="SimSun" w:cs="SimSun"/>
          <w:sz w:val="21"/>
          <w:szCs w:val="21"/>
          <w:spacing w:val="5"/>
        </w:rPr>
        <w:t xml:space="preserve"> </w:t>
      </w:r>
      <w:r>
        <w:rPr>
          <w:rFonts w:ascii="SimSun" w:hAnsi="SimSun" w:eastAsia="SimSun" w:cs="SimSun"/>
          <w:sz w:val="21"/>
          <w:szCs w:val="21"/>
          <w:spacing w:val="-11"/>
        </w:rPr>
        <w:t>术并不领先，美国头部平台数量更多，动态竞争也更加活跃。但针对</w:t>
      </w:r>
      <w:r>
        <w:rPr>
          <w:rFonts w:ascii="SimSun" w:hAnsi="SimSun" w:eastAsia="SimSun" w:cs="SimSun"/>
          <w:sz w:val="21"/>
          <w:szCs w:val="21"/>
          <w:spacing w:val="7"/>
        </w:rPr>
        <w:t xml:space="preserve"> </w:t>
      </w:r>
      <w:r>
        <w:rPr>
          <w:rFonts w:ascii="SimSun" w:hAnsi="SimSun" w:eastAsia="SimSun" w:cs="SimSun"/>
          <w:sz w:val="21"/>
          <w:szCs w:val="21"/>
          <w:spacing w:val="-11"/>
        </w:rPr>
        <w:t>我国经济发展实际，我国对平台经济的监管与规范，既不能照抄欧美</w:t>
      </w:r>
      <w:r>
        <w:rPr>
          <w:rFonts w:ascii="SimSun" w:hAnsi="SimSun" w:eastAsia="SimSun" w:cs="SimSun"/>
          <w:sz w:val="21"/>
          <w:szCs w:val="21"/>
          <w:spacing w:val="9"/>
        </w:rPr>
        <w:t xml:space="preserve"> </w:t>
      </w:r>
      <w:r>
        <w:rPr>
          <w:rFonts w:ascii="SimSun" w:hAnsi="SimSun" w:eastAsia="SimSun" w:cs="SimSun"/>
          <w:sz w:val="21"/>
          <w:szCs w:val="21"/>
          <w:spacing w:val="-11"/>
        </w:rPr>
        <w:t>的做法，也不宜沿用传统产业的政策。我国对平台经济的规范与发展</w:t>
      </w:r>
      <w:r>
        <w:rPr>
          <w:rFonts w:ascii="SimSun" w:hAnsi="SimSun" w:eastAsia="SimSun" w:cs="SimSun"/>
          <w:sz w:val="21"/>
          <w:szCs w:val="21"/>
          <w:spacing w:val="10"/>
        </w:rPr>
        <w:t xml:space="preserve"> </w:t>
      </w:r>
      <w:r>
        <w:rPr>
          <w:rFonts w:ascii="SimSun" w:hAnsi="SimSun" w:eastAsia="SimSun" w:cs="SimSun"/>
          <w:sz w:val="21"/>
          <w:szCs w:val="21"/>
          <w:spacing w:val="-11"/>
        </w:rPr>
        <w:t>应立足本国国情，尊重互联网技术发展的规律，坚持实现有序发展的</w:t>
      </w:r>
      <w:r>
        <w:rPr>
          <w:rFonts w:ascii="SimSun" w:hAnsi="SimSun" w:eastAsia="SimSun" w:cs="SimSun"/>
          <w:sz w:val="21"/>
          <w:szCs w:val="21"/>
          <w:spacing w:val="14"/>
        </w:rPr>
        <w:t xml:space="preserve"> </w:t>
      </w:r>
      <w:r>
        <w:rPr>
          <w:rFonts w:ascii="SimSun" w:hAnsi="SimSun" w:eastAsia="SimSun" w:cs="SimSun"/>
          <w:sz w:val="21"/>
          <w:szCs w:val="21"/>
          <w:spacing w:val="-13"/>
        </w:rPr>
        <w:t>目标。</w:t>
      </w:r>
    </w:p>
    <w:p>
      <w:pPr>
        <w:ind w:firstLine="440"/>
        <w:spacing w:before="105" w:line="307" w:lineRule="auto"/>
        <w:jc w:val="both"/>
        <w:rPr>
          <w:rFonts w:ascii="SimSun" w:hAnsi="SimSun" w:eastAsia="SimSun" w:cs="SimSun"/>
          <w:sz w:val="21"/>
          <w:szCs w:val="21"/>
        </w:rPr>
      </w:pPr>
      <w:r>
        <w:rPr>
          <w:rFonts w:ascii="SimSun" w:hAnsi="SimSun" w:eastAsia="SimSun" w:cs="SimSun"/>
          <w:sz w:val="21"/>
          <w:szCs w:val="21"/>
          <w:spacing w:val="-11"/>
        </w:rPr>
        <w:t>一方面，继续坚持兼容并包、审慎监管的治理理念。推动经济高</w:t>
      </w:r>
      <w:r>
        <w:rPr>
          <w:rFonts w:ascii="SimSun" w:hAnsi="SimSun" w:eastAsia="SimSun" w:cs="SimSun"/>
          <w:sz w:val="21"/>
          <w:szCs w:val="21"/>
          <w:spacing w:val="15"/>
        </w:rPr>
        <w:t xml:space="preserve"> </w:t>
      </w:r>
      <w:r>
        <w:rPr>
          <w:rFonts w:ascii="SimSun" w:hAnsi="SimSun" w:eastAsia="SimSun" w:cs="SimSun"/>
          <w:sz w:val="21"/>
          <w:szCs w:val="21"/>
          <w:spacing w:val="-11"/>
        </w:rPr>
        <w:t>质量发展是我国目前经济发展的重点，平台经济作为其中重要的经济</w:t>
      </w:r>
      <w:r>
        <w:rPr>
          <w:rFonts w:ascii="SimSun" w:hAnsi="SimSun" w:eastAsia="SimSun" w:cs="SimSun"/>
          <w:sz w:val="21"/>
          <w:szCs w:val="21"/>
          <w:spacing w:val="4"/>
        </w:rPr>
        <w:t xml:space="preserve">  </w:t>
      </w:r>
      <w:r>
        <w:rPr>
          <w:rFonts w:ascii="SimSun" w:hAnsi="SimSun" w:eastAsia="SimSun" w:cs="SimSun"/>
          <w:sz w:val="21"/>
          <w:szCs w:val="21"/>
          <w:spacing w:val="-11"/>
        </w:rPr>
        <w:t>发力点，需持续推动其向前发展。目前数据显示，我国互联网平台企</w:t>
      </w:r>
      <w:r>
        <w:rPr>
          <w:rFonts w:ascii="SimSun" w:hAnsi="SimSun" w:eastAsia="SimSun" w:cs="SimSun"/>
          <w:sz w:val="21"/>
          <w:szCs w:val="21"/>
          <w:spacing w:val="3"/>
        </w:rPr>
        <w:t xml:space="preserve">  </w:t>
      </w:r>
      <w:r>
        <w:rPr>
          <w:rFonts w:ascii="SimSun" w:hAnsi="SimSun" w:eastAsia="SimSun" w:cs="SimSun"/>
          <w:sz w:val="21"/>
          <w:szCs w:val="21"/>
          <w:spacing w:val="-11"/>
        </w:rPr>
        <w:t>业在新增数量以及增长速率上位于全球前列，但从平台经济总体的价</w:t>
      </w:r>
      <w:r>
        <w:rPr>
          <w:rFonts w:ascii="SimSun" w:hAnsi="SimSun" w:eastAsia="SimSun" w:cs="SimSun"/>
          <w:sz w:val="21"/>
          <w:szCs w:val="21"/>
          <w:spacing w:val="3"/>
        </w:rPr>
        <w:t xml:space="preserve">  </w:t>
      </w:r>
      <w:r>
        <w:rPr>
          <w:rFonts w:ascii="SimSun" w:hAnsi="SimSun" w:eastAsia="SimSun" w:cs="SimSun"/>
          <w:sz w:val="21"/>
          <w:szCs w:val="21"/>
          <w:spacing w:val="-8"/>
        </w:rPr>
        <w:t>值规模上看，我国平台企业与全球领先的平台企业仍存在一定差距，</w:t>
      </w:r>
      <w:r>
        <w:rPr>
          <w:rFonts w:ascii="SimSun" w:hAnsi="SimSun" w:eastAsia="SimSun" w:cs="SimSun"/>
          <w:sz w:val="21"/>
          <w:szCs w:val="21"/>
          <w:spacing w:val="13"/>
        </w:rPr>
        <w:t xml:space="preserve"> </w:t>
      </w:r>
      <w:r>
        <w:rPr>
          <w:rFonts w:ascii="SimSun" w:hAnsi="SimSun" w:eastAsia="SimSun" w:cs="SimSun"/>
          <w:sz w:val="21"/>
          <w:szCs w:val="21"/>
          <w:spacing w:val="-8"/>
        </w:rPr>
        <w:t>因此，仍需坚持兼容并包的治理理念，鼓励平台企业持续创新发展。</w:t>
      </w:r>
      <w:r>
        <w:rPr>
          <w:rFonts w:ascii="SimSun" w:hAnsi="SimSun" w:eastAsia="SimSun" w:cs="SimSun"/>
          <w:sz w:val="21"/>
          <w:szCs w:val="21"/>
          <w:spacing w:val="13"/>
        </w:rPr>
        <w:t xml:space="preserve"> </w:t>
      </w:r>
      <w:r>
        <w:rPr>
          <w:rFonts w:ascii="SimSun" w:hAnsi="SimSun" w:eastAsia="SimSun" w:cs="SimSun"/>
          <w:sz w:val="21"/>
          <w:szCs w:val="21"/>
          <w:spacing w:val="-11"/>
        </w:rPr>
        <w:t>另外，由于信息技术的飞快发展以及市场主体自身的逐利性，平台企</w:t>
      </w:r>
      <w:r>
        <w:rPr>
          <w:rFonts w:ascii="SimSun" w:hAnsi="SimSun" w:eastAsia="SimSun" w:cs="SimSun"/>
          <w:sz w:val="21"/>
          <w:szCs w:val="21"/>
          <w:spacing w:val="3"/>
        </w:rPr>
        <w:t xml:space="preserve">  </w:t>
      </w:r>
      <w:r>
        <w:rPr>
          <w:rFonts w:ascii="SimSun" w:hAnsi="SimSun" w:eastAsia="SimSun" w:cs="SimSun"/>
          <w:sz w:val="21"/>
          <w:szCs w:val="21"/>
          <w:spacing w:val="-11"/>
        </w:rPr>
        <w:t>业在实现经济发展的同时也出现了许多新业态新领域的问题，需要坚</w:t>
      </w:r>
      <w:r>
        <w:rPr>
          <w:rFonts w:ascii="SimSun" w:hAnsi="SimSun" w:eastAsia="SimSun" w:cs="SimSun"/>
          <w:sz w:val="21"/>
          <w:szCs w:val="21"/>
          <w:spacing w:val="4"/>
        </w:rPr>
        <w:t xml:space="preserve">  </w:t>
      </w:r>
      <w:r>
        <w:rPr>
          <w:rFonts w:ascii="SimSun" w:hAnsi="SimSun" w:eastAsia="SimSun" w:cs="SimSun"/>
          <w:sz w:val="21"/>
          <w:szCs w:val="21"/>
          <w:spacing w:val="-6"/>
        </w:rPr>
        <w:t>持审慎监管的态度，正确使用《反垄断法》和《反不正当竞争法》,</w:t>
      </w:r>
      <w:r>
        <w:rPr>
          <w:rFonts w:ascii="SimSun" w:hAnsi="SimSun" w:eastAsia="SimSun" w:cs="SimSun"/>
          <w:sz w:val="21"/>
          <w:szCs w:val="21"/>
          <w:spacing w:val="17"/>
        </w:rPr>
        <w:t xml:space="preserve"> </w:t>
      </w:r>
      <w:r>
        <w:rPr>
          <w:rFonts w:ascii="SimSun" w:hAnsi="SimSun" w:eastAsia="SimSun" w:cs="SimSun"/>
          <w:sz w:val="21"/>
          <w:szCs w:val="21"/>
          <w:spacing w:val="-11"/>
        </w:rPr>
        <w:t>确保资本良好有序发展。</w:t>
      </w:r>
    </w:p>
    <w:p>
      <w:pPr>
        <w:spacing w:line="307" w:lineRule="auto"/>
        <w:sectPr>
          <w:headerReference w:type="default" r:id="rId445"/>
          <w:pgSz w:w="7330" w:h="12480"/>
          <w:pgMar w:top="517" w:right="455" w:bottom="400" w:left="799" w:header="355" w:footer="0" w:gutter="0"/>
        </w:sectPr>
        <w:rPr>
          <w:rFonts w:ascii="SimSun" w:hAnsi="SimSun" w:eastAsia="SimSun" w:cs="SimSun"/>
          <w:sz w:val="21"/>
          <w:szCs w:val="21"/>
        </w:rPr>
      </w:pPr>
    </w:p>
    <w:p>
      <w:pPr>
        <w:pStyle w:val="BodyText"/>
        <w:spacing w:line="251" w:lineRule="auto"/>
        <w:rPr/>
      </w:pPr>
      <w:r>
        <w:drawing>
          <wp:anchor distT="0" distB="0" distL="0" distR="0" simplePos="0" relativeHeight="255481856" behindDoc="0" locked="0" layoutInCell="0" allowOverlap="1">
            <wp:simplePos x="0" y="0"/>
            <wp:positionH relativeFrom="page">
              <wp:posOffset>273036</wp:posOffset>
            </wp:positionH>
            <wp:positionV relativeFrom="page">
              <wp:posOffset>6889737</wp:posOffset>
            </wp:positionV>
            <wp:extent cx="3803651" cy="6350"/>
            <wp:effectExtent l="0" t="0" r="0" b="0"/>
            <wp:wrapNone/>
            <wp:docPr id="308" name="IM 308"/>
            <wp:cNvGraphicFramePr/>
            <a:graphic>
              <a:graphicData uri="http://schemas.openxmlformats.org/drawingml/2006/picture">
                <pic:pic>
                  <pic:nvPicPr>
                    <pic:cNvPr id="308" name="IM 308"/>
                    <pic:cNvPicPr/>
                  </pic:nvPicPr>
                  <pic:blipFill>
                    <a:blip r:embed="rId447"/>
                    <a:stretch>
                      <a:fillRect/>
                    </a:stretch>
                  </pic:blipFill>
                  <pic:spPr>
                    <a:xfrm rot="0">
                      <a:off x="0" y="0"/>
                      <a:ext cx="3803651"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right="8" w:firstLine="429"/>
        <w:spacing w:before="68" w:line="306" w:lineRule="auto"/>
        <w:jc w:val="both"/>
        <w:rPr>
          <w:rFonts w:ascii="SimSun" w:hAnsi="SimSun" w:eastAsia="SimSun" w:cs="SimSun"/>
          <w:sz w:val="21"/>
          <w:szCs w:val="21"/>
        </w:rPr>
      </w:pPr>
      <w:r>
        <w:rPr>
          <w:rFonts w:ascii="SimSun" w:hAnsi="SimSun" w:eastAsia="SimSun" w:cs="SimSun"/>
          <w:sz w:val="21"/>
          <w:szCs w:val="21"/>
          <w:spacing w:val="-4"/>
        </w:rPr>
        <w:t>另一方面，推动构建平台生态系统，促进发展共赢。人工智能</w:t>
      </w:r>
      <w:r>
        <w:rPr>
          <w:rFonts w:ascii="SimSun" w:hAnsi="SimSun" w:eastAsia="SimSun" w:cs="SimSun"/>
          <w:sz w:val="21"/>
          <w:szCs w:val="21"/>
          <w:spacing w:val="17"/>
        </w:rPr>
        <w:t xml:space="preserve"> </w:t>
      </w:r>
      <w:r>
        <w:rPr>
          <w:rFonts w:ascii="SimSun" w:hAnsi="SimSun" w:eastAsia="SimSun" w:cs="SimSun"/>
          <w:sz w:val="21"/>
          <w:szCs w:val="21"/>
          <w:spacing w:val="-10"/>
        </w:rPr>
        <w:t>时代，平台经济作为新技术环境中的新兴市场业态，具备强大的发展</w:t>
      </w:r>
      <w:r>
        <w:rPr>
          <w:rFonts w:ascii="SimSun" w:hAnsi="SimSun" w:eastAsia="SimSun" w:cs="SimSun"/>
          <w:sz w:val="21"/>
          <w:szCs w:val="21"/>
          <w:spacing w:val="9"/>
        </w:rPr>
        <w:t xml:space="preserve"> </w:t>
      </w:r>
      <w:r>
        <w:rPr>
          <w:rFonts w:ascii="SimSun" w:hAnsi="SimSun" w:eastAsia="SimSun" w:cs="SimSun"/>
          <w:sz w:val="21"/>
          <w:szCs w:val="21"/>
          <w:spacing w:val="-11"/>
        </w:rPr>
        <w:t>潜力和市场竞争力。网络技术的发展极大改变了人们的行为方式，对</w:t>
      </w:r>
      <w:r>
        <w:rPr>
          <w:rFonts w:ascii="SimSun" w:hAnsi="SimSun" w:eastAsia="SimSun" w:cs="SimSun"/>
          <w:sz w:val="21"/>
          <w:szCs w:val="21"/>
          <w:spacing w:val="17"/>
        </w:rPr>
        <w:t xml:space="preserve"> </w:t>
      </w:r>
      <w:r>
        <w:rPr>
          <w:rFonts w:ascii="SimSun" w:hAnsi="SimSun" w:eastAsia="SimSun" w:cs="SimSun"/>
          <w:sz w:val="21"/>
          <w:szCs w:val="21"/>
          <w:spacing w:val="-9"/>
        </w:rPr>
        <w:t>人们日常生活产生深远的影响，同时也影响了</w:t>
      </w:r>
      <w:r>
        <w:rPr>
          <w:rFonts w:ascii="SimSun" w:hAnsi="SimSun" w:eastAsia="SimSun" w:cs="SimSun"/>
          <w:sz w:val="21"/>
          <w:szCs w:val="21"/>
          <w:spacing w:val="-10"/>
        </w:rPr>
        <w:t>市场的商业模式，平台</w:t>
      </w:r>
      <w:r>
        <w:rPr>
          <w:rFonts w:ascii="SimSun" w:hAnsi="SimSun" w:eastAsia="SimSun" w:cs="SimSun"/>
          <w:sz w:val="21"/>
          <w:szCs w:val="21"/>
        </w:rPr>
        <w:t xml:space="preserve"> </w:t>
      </w:r>
      <w:r>
        <w:rPr>
          <w:rFonts w:ascii="SimSun" w:hAnsi="SimSun" w:eastAsia="SimSun" w:cs="SimSun"/>
          <w:sz w:val="21"/>
          <w:szCs w:val="21"/>
          <w:spacing w:val="-10"/>
        </w:rPr>
        <w:t>企业的竞争也越发激烈动荡。平台已不仅是</w:t>
      </w:r>
      <w:r>
        <w:rPr>
          <w:rFonts w:ascii="SimSun" w:hAnsi="SimSun" w:eastAsia="SimSun" w:cs="SimSun"/>
          <w:sz w:val="21"/>
          <w:szCs w:val="21"/>
          <w:spacing w:val="-11"/>
        </w:rPr>
        <w:t>互联网技术的集合体，在</w:t>
      </w:r>
      <w:r>
        <w:rPr>
          <w:rFonts w:ascii="SimSun" w:hAnsi="SimSun" w:eastAsia="SimSun" w:cs="SimSun"/>
          <w:sz w:val="21"/>
          <w:szCs w:val="21"/>
        </w:rPr>
        <w:t xml:space="preserve"> </w:t>
      </w:r>
      <w:r>
        <w:rPr>
          <w:rFonts w:ascii="SimSun" w:hAnsi="SimSun" w:eastAsia="SimSun" w:cs="SimSun"/>
          <w:sz w:val="21"/>
          <w:szCs w:val="21"/>
          <w:spacing w:val="-11"/>
        </w:rPr>
        <w:t>市场规律的影响下，已经成了企业商业竞争的主要组织形式和发展模</w:t>
      </w:r>
      <w:r>
        <w:rPr>
          <w:rFonts w:ascii="SimSun" w:hAnsi="SimSun" w:eastAsia="SimSun" w:cs="SimSun"/>
          <w:sz w:val="21"/>
          <w:szCs w:val="21"/>
          <w:spacing w:val="17"/>
        </w:rPr>
        <w:t xml:space="preserve"> </w:t>
      </w:r>
      <w:r>
        <w:rPr>
          <w:rFonts w:ascii="SimSun" w:hAnsi="SimSun" w:eastAsia="SimSun" w:cs="SimSun"/>
          <w:sz w:val="21"/>
          <w:szCs w:val="21"/>
          <w:spacing w:val="-10"/>
        </w:rPr>
        <w:t>式。①作为连接供应商与用户的关键一环，平台对市场</w:t>
      </w:r>
      <w:r>
        <w:rPr>
          <w:rFonts w:ascii="SimSun" w:hAnsi="SimSun" w:eastAsia="SimSun" w:cs="SimSun"/>
          <w:sz w:val="21"/>
          <w:szCs w:val="21"/>
          <w:spacing w:val="-11"/>
        </w:rPr>
        <w:t>上下游资源的</w:t>
      </w:r>
      <w:r>
        <w:rPr>
          <w:rFonts w:ascii="SimSun" w:hAnsi="SimSun" w:eastAsia="SimSun" w:cs="SimSun"/>
          <w:sz w:val="21"/>
          <w:szCs w:val="21"/>
        </w:rPr>
        <w:t xml:space="preserve"> </w:t>
      </w:r>
      <w:r>
        <w:rPr>
          <w:rFonts w:ascii="SimSun" w:hAnsi="SimSun" w:eastAsia="SimSun" w:cs="SimSun"/>
          <w:sz w:val="21"/>
          <w:szCs w:val="21"/>
          <w:spacing w:val="-10"/>
        </w:rPr>
        <w:t>互联互通起到了桥梁作用，规范平台经济最终并非仅为</w:t>
      </w:r>
      <w:r>
        <w:rPr>
          <w:rFonts w:ascii="SimSun" w:hAnsi="SimSun" w:eastAsia="SimSun" w:cs="SimSun"/>
          <w:sz w:val="21"/>
          <w:szCs w:val="21"/>
          <w:spacing w:val="-11"/>
        </w:rPr>
        <w:t>了规范企业的</w:t>
      </w:r>
      <w:r>
        <w:rPr>
          <w:rFonts w:ascii="SimSun" w:hAnsi="SimSun" w:eastAsia="SimSun" w:cs="SimSun"/>
          <w:sz w:val="21"/>
          <w:szCs w:val="21"/>
        </w:rPr>
        <w:t xml:space="preserve"> </w:t>
      </w:r>
      <w:r>
        <w:rPr>
          <w:rFonts w:ascii="SimSun" w:hAnsi="SimSun" w:eastAsia="SimSun" w:cs="SimSun"/>
          <w:sz w:val="21"/>
          <w:szCs w:val="21"/>
          <w:spacing w:val="-13"/>
        </w:rPr>
        <w:t>市场行为，更为了推动企业合作共赢。</w:t>
      </w:r>
    </w:p>
    <w:p>
      <w:pPr>
        <w:pStyle w:val="BodyText"/>
        <w:spacing w:line="397" w:lineRule="auto"/>
        <w:rPr/>
      </w:pPr>
      <w:r/>
    </w:p>
    <w:p>
      <w:pPr>
        <w:ind w:left="432"/>
        <w:spacing w:before="68" w:line="219" w:lineRule="auto"/>
        <w:rPr>
          <w:rFonts w:ascii="SimSun" w:hAnsi="SimSun" w:eastAsia="SimSun" w:cs="SimSun"/>
          <w:sz w:val="21"/>
          <w:szCs w:val="21"/>
        </w:rPr>
      </w:pPr>
      <w:r>
        <w:rPr>
          <w:rFonts w:ascii="SimSun" w:hAnsi="SimSun" w:eastAsia="SimSun" w:cs="SimSun"/>
          <w:sz w:val="21"/>
          <w:szCs w:val="21"/>
          <w:b/>
          <w:bCs/>
          <w:spacing w:val="-13"/>
        </w:rPr>
        <w:t>平台经济的参与者共享创新的红利</w:t>
      </w:r>
    </w:p>
    <w:p>
      <w:pPr>
        <w:ind w:right="16" w:firstLine="429"/>
        <w:spacing w:before="115" w:line="300" w:lineRule="auto"/>
        <w:jc w:val="both"/>
        <w:rPr>
          <w:rFonts w:ascii="SimSun" w:hAnsi="SimSun" w:eastAsia="SimSun" w:cs="SimSun"/>
          <w:sz w:val="21"/>
          <w:szCs w:val="21"/>
        </w:rPr>
      </w:pPr>
      <w:r>
        <w:rPr>
          <w:rFonts w:ascii="SimSun" w:hAnsi="SimSun" w:eastAsia="SimSun" w:cs="SimSun"/>
          <w:sz w:val="21"/>
          <w:szCs w:val="21"/>
          <w:spacing w:val="-16"/>
        </w:rPr>
        <w:t>平台经济创新是一个创造性破坏的过程。</w:t>
      </w:r>
      <w:r>
        <w:rPr>
          <w:rFonts w:ascii="SimSun" w:hAnsi="SimSun" w:eastAsia="SimSun" w:cs="SimSun"/>
          <w:sz w:val="21"/>
          <w:szCs w:val="21"/>
          <w:spacing w:val="45"/>
        </w:rPr>
        <w:t xml:space="preserve"> </w:t>
      </w:r>
      <w:r>
        <w:rPr>
          <w:rFonts w:ascii="SimSun" w:hAnsi="SimSun" w:eastAsia="SimSun" w:cs="SimSun"/>
          <w:sz w:val="21"/>
          <w:szCs w:val="21"/>
          <w:spacing w:val="-16"/>
        </w:rPr>
        <w:t>一方面，部分旧的线下</w:t>
      </w:r>
      <w:r>
        <w:rPr>
          <w:rFonts w:ascii="SimSun" w:hAnsi="SimSun" w:eastAsia="SimSun" w:cs="SimSun"/>
          <w:sz w:val="21"/>
          <w:szCs w:val="21"/>
        </w:rPr>
        <w:t xml:space="preserve"> </w:t>
      </w:r>
      <w:r>
        <w:rPr>
          <w:rFonts w:ascii="SimSun" w:hAnsi="SimSun" w:eastAsia="SimSun" w:cs="SimSun"/>
          <w:sz w:val="21"/>
          <w:szCs w:val="21"/>
          <w:spacing w:val="-11"/>
        </w:rPr>
        <w:t>经济活动减少甚至消失了；另一方面，许多新的线上供应商和劳动者</w:t>
      </w:r>
      <w:r>
        <w:rPr>
          <w:rFonts w:ascii="SimSun" w:hAnsi="SimSun" w:eastAsia="SimSun" w:cs="SimSun"/>
          <w:sz w:val="21"/>
          <w:szCs w:val="21"/>
          <w:spacing w:val="18"/>
        </w:rPr>
        <w:t xml:space="preserve"> </w:t>
      </w:r>
      <w:r>
        <w:rPr>
          <w:rFonts w:ascii="SimSun" w:hAnsi="SimSun" w:eastAsia="SimSun" w:cs="SimSun"/>
          <w:sz w:val="21"/>
          <w:szCs w:val="21"/>
          <w:spacing w:val="-11"/>
        </w:rPr>
        <w:t>也有不少抱怨，比如受算法驱动，许多外卖员、骑手的工作强度越来</w:t>
      </w:r>
      <w:r>
        <w:rPr>
          <w:rFonts w:ascii="SimSun" w:hAnsi="SimSun" w:eastAsia="SimSun" w:cs="SimSun"/>
          <w:sz w:val="21"/>
          <w:szCs w:val="21"/>
          <w:spacing w:val="17"/>
        </w:rPr>
        <w:t xml:space="preserve"> </w:t>
      </w:r>
      <w:r>
        <w:rPr>
          <w:rFonts w:ascii="SimSun" w:hAnsi="SimSun" w:eastAsia="SimSun" w:cs="SimSun"/>
          <w:sz w:val="21"/>
          <w:szCs w:val="21"/>
          <w:spacing w:val="-11"/>
        </w:rPr>
        <w:t>越大，同时因为与平台没有稳定的劳动雇佣关系，无法享受合理的社</w:t>
      </w:r>
      <w:r>
        <w:rPr>
          <w:rFonts w:ascii="SimSun" w:hAnsi="SimSun" w:eastAsia="SimSun" w:cs="SimSun"/>
          <w:sz w:val="21"/>
          <w:szCs w:val="21"/>
          <w:spacing w:val="17"/>
        </w:rPr>
        <w:t xml:space="preserve"> </w:t>
      </w:r>
      <w:r>
        <w:rPr>
          <w:rFonts w:ascii="SimSun" w:hAnsi="SimSun" w:eastAsia="SimSun" w:cs="SimSun"/>
          <w:sz w:val="21"/>
          <w:szCs w:val="21"/>
          <w:spacing w:val="-11"/>
        </w:rPr>
        <w:t>会保障。政策既要促进向平台经济的平稳过渡，也要保障所有平台参</w:t>
      </w:r>
      <w:r>
        <w:rPr>
          <w:rFonts w:ascii="SimSun" w:hAnsi="SimSun" w:eastAsia="SimSun" w:cs="SimSun"/>
          <w:sz w:val="21"/>
          <w:szCs w:val="21"/>
          <w:spacing w:val="18"/>
        </w:rPr>
        <w:t xml:space="preserve"> </w:t>
      </w:r>
      <w:r>
        <w:rPr>
          <w:rFonts w:ascii="SimSun" w:hAnsi="SimSun" w:eastAsia="SimSun" w:cs="SimSun"/>
          <w:sz w:val="21"/>
          <w:szCs w:val="21"/>
          <w:spacing w:val="-14"/>
        </w:rPr>
        <w:t>与者的合法权益。</w:t>
      </w:r>
    </w:p>
    <w:p>
      <w:pPr>
        <w:ind w:right="1" w:firstLine="429"/>
        <w:spacing w:before="111" w:line="283" w:lineRule="auto"/>
        <w:jc w:val="both"/>
        <w:rPr>
          <w:rFonts w:ascii="SimSun" w:hAnsi="SimSun" w:eastAsia="SimSun" w:cs="SimSun"/>
          <w:sz w:val="21"/>
          <w:szCs w:val="21"/>
        </w:rPr>
      </w:pPr>
      <w:r>
        <w:rPr>
          <w:rFonts w:ascii="SimSun" w:hAnsi="SimSun" w:eastAsia="SimSun" w:cs="SimSun"/>
          <w:sz w:val="21"/>
          <w:szCs w:val="21"/>
          <w:spacing w:val="-10"/>
        </w:rPr>
        <w:t>平台经济创新并非口号式宣言，而需要付诸行动、落在实</w:t>
      </w:r>
      <w:r>
        <w:rPr>
          <w:rFonts w:ascii="SimSun" w:hAnsi="SimSun" w:eastAsia="SimSun" w:cs="SimSun"/>
          <w:sz w:val="21"/>
          <w:szCs w:val="21"/>
          <w:spacing w:val="-11"/>
        </w:rPr>
        <w:t>际，让</w:t>
      </w:r>
      <w:r>
        <w:rPr>
          <w:rFonts w:ascii="SimSun" w:hAnsi="SimSun" w:eastAsia="SimSun" w:cs="SimSun"/>
          <w:sz w:val="21"/>
          <w:szCs w:val="21"/>
        </w:rPr>
        <w:t xml:space="preserve"> </w:t>
      </w:r>
      <w:r>
        <w:rPr>
          <w:rFonts w:ascii="SimSun" w:hAnsi="SimSun" w:eastAsia="SimSun" w:cs="SimSun"/>
          <w:sz w:val="21"/>
          <w:szCs w:val="21"/>
          <w:spacing w:val="-11"/>
        </w:rPr>
        <w:t>平台经济的参与者共享创新的红利，推动平台经济链上的每一方创造</w:t>
      </w:r>
      <w:r>
        <w:rPr>
          <w:rFonts w:ascii="SimSun" w:hAnsi="SimSun" w:eastAsia="SimSun" w:cs="SimSun"/>
          <w:sz w:val="21"/>
          <w:szCs w:val="21"/>
          <w:spacing w:val="16"/>
        </w:rPr>
        <w:t xml:space="preserve"> </w:t>
      </w:r>
      <w:r>
        <w:rPr>
          <w:rFonts w:ascii="SimSun" w:hAnsi="SimSun" w:eastAsia="SimSun" w:cs="SimSun"/>
          <w:sz w:val="21"/>
          <w:szCs w:val="21"/>
          <w:spacing w:val="-14"/>
        </w:rPr>
        <w:t>更高的价值。</w:t>
      </w:r>
    </w:p>
    <w:p>
      <w:pPr>
        <w:pStyle w:val="BodyText"/>
        <w:spacing w:line="398" w:lineRule="auto"/>
        <w:rPr/>
      </w:pPr>
      <w:r/>
    </w:p>
    <w:p>
      <w:pPr>
        <w:ind w:left="3"/>
        <w:spacing w:before="78" w:line="221" w:lineRule="auto"/>
        <w:rPr>
          <w:rFonts w:ascii="SimHei" w:hAnsi="SimHei" w:eastAsia="SimHei" w:cs="SimHei"/>
          <w:sz w:val="24"/>
          <w:szCs w:val="24"/>
        </w:rPr>
      </w:pPr>
      <w:r>
        <w:rPr>
          <w:rFonts w:ascii="SimHei" w:hAnsi="SimHei" w:eastAsia="SimHei" w:cs="SimHei"/>
          <w:sz w:val="24"/>
          <w:szCs w:val="24"/>
          <w:b/>
          <w:bCs/>
          <w:spacing w:val="-7"/>
        </w:rPr>
        <w:t>多元价值取向的有效权衡</w:t>
      </w:r>
    </w:p>
    <w:p>
      <w:pPr>
        <w:pStyle w:val="BodyText"/>
        <w:spacing w:line="366" w:lineRule="auto"/>
        <w:rPr/>
      </w:pPr>
      <w:r/>
    </w:p>
    <w:p>
      <w:pPr>
        <w:ind w:right="9"/>
        <w:spacing w:before="69" w:line="219" w:lineRule="auto"/>
        <w:jc w:val="right"/>
        <w:rPr>
          <w:rFonts w:ascii="SimSun" w:hAnsi="SimSun" w:eastAsia="SimSun" w:cs="SimSun"/>
          <w:sz w:val="21"/>
          <w:szCs w:val="21"/>
        </w:rPr>
      </w:pPr>
      <w:r>
        <w:rPr>
          <w:rFonts w:ascii="SimSun" w:hAnsi="SimSun" w:eastAsia="SimSun" w:cs="SimSun"/>
          <w:sz w:val="21"/>
          <w:szCs w:val="21"/>
          <w:spacing w:val="-11"/>
        </w:rPr>
        <w:t>大数据分析可以帮助平台降低信息不对称性，但也增大了其他平</w:t>
      </w:r>
    </w:p>
    <w:p>
      <w:pPr>
        <w:pStyle w:val="BodyText"/>
        <w:spacing w:line="263" w:lineRule="auto"/>
        <w:rPr/>
      </w:pPr>
      <w:r/>
    </w:p>
    <w:p>
      <w:pPr>
        <w:pStyle w:val="BodyText"/>
        <w:spacing w:line="263" w:lineRule="auto"/>
        <w:rPr/>
      </w:pPr>
      <w:r/>
    </w:p>
    <w:p>
      <w:pPr>
        <w:ind w:left="339" w:right="6" w:hanging="339"/>
        <w:spacing w:before="53" w:line="278" w:lineRule="auto"/>
        <w:rPr>
          <w:rFonts w:ascii="SimSun" w:hAnsi="SimSun" w:eastAsia="SimSun" w:cs="SimSun"/>
          <w:sz w:val="16"/>
          <w:szCs w:val="16"/>
        </w:rPr>
      </w:pPr>
      <w:r>
        <w:rPr>
          <w:rFonts w:ascii="SimSun" w:hAnsi="SimSun" w:eastAsia="SimSun" w:cs="SimSun"/>
          <w:sz w:val="16"/>
          <w:szCs w:val="16"/>
          <w:spacing w:val="3"/>
        </w:rPr>
        <w:t>①</w:t>
      </w:r>
      <w:r>
        <w:rPr>
          <w:rFonts w:ascii="SimSun" w:hAnsi="SimSun" w:eastAsia="SimSun" w:cs="SimSun"/>
          <w:sz w:val="16"/>
          <w:szCs w:val="16"/>
          <w:spacing w:val="75"/>
          <w:w w:val="101"/>
        </w:rPr>
        <w:t xml:space="preserve"> </w:t>
      </w:r>
      <w:r>
        <w:rPr>
          <w:rFonts w:ascii="KaiTi" w:hAnsi="KaiTi" w:eastAsia="KaiTi" w:cs="KaiTi"/>
          <w:sz w:val="16"/>
          <w:szCs w:val="16"/>
          <w:spacing w:val="3"/>
        </w:rPr>
        <w:t>李鹏，胡汉辉.企业到平台生态系统的跃迁：机理与路径.科技</w:t>
      </w:r>
      <w:r>
        <w:rPr>
          <w:rFonts w:ascii="KaiTi" w:hAnsi="KaiTi" w:eastAsia="KaiTi" w:cs="KaiTi"/>
          <w:sz w:val="16"/>
          <w:szCs w:val="16"/>
          <w:spacing w:val="2"/>
        </w:rPr>
        <w:t>进步与对策，2016</w:t>
      </w:r>
      <w:r>
        <w:rPr>
          <w:rFonts w:ascii="KaiTi" w:hAnsi="KaiTi" w:eastAsia="KaiTi" w:cs="KaiTi"/>
          <w:sz w:val="16"/>
          <w:szCs w:val="16"/>
        </w:rPr>
        <w:t xml:space="preserve"> </w:t>
      </w:r>
      <w:r>
        <w:rPr>
          <w:rFonts w:ascii="SimSun" w:hAnsi="SimSun" w:eastAsia="SimSun" w:cs="SimSun"/>
          <w:sz w:val="16"/>
          <w:szCs w:val="16"/>
          <w:spacing w:val="-3"/>
        </w:rPr>
        <w:t>(10):1-5.</w:t>
      </w:r>
    </w:p>
    <w:p>
      <w:pPr>
        <w:spacing w:line="278" w:lineRule="auto"/>
        <w:sectPr>
          <w:headerReference w:type="default" r:id="rId446"/>
          <w:pgSz w:w="7330" w:h="12480"/>
          <w:pgMar w:top="815" w:right="910" w:bottom="400" w:left="390" w:header="652" w:footer="0" w:gutter="0"/>
        </w:sectPr>
        <w:rPr>
          <w:rFonts w:ascii="SimSun" w:hAnsi="SimSun" w:eastAsia="SimSun" w:cs="SimSun"/>
          <w:sz w:val="16"/>
          <w:szCs w:val="16"/>
        </w:rPr>
      </w:pPr>
    </w:p>
    <w:p>
      <w:pPr>
        <w:pStyle w:val="BodyText"/>
        <w:spacing w:line="252" w:lineRule="auto"/>
        <w:rPr/>
      </w:pPr>
      <w:r>
        <w:drawing>
          <wp:anchor distT="0" distB="0" distL="0" distR="0" simplePos="0" relativeHeight="255492096" behindDoc="0" locked="0" layoutInCell="0" allowOverlap="1">
            <wp:simplePos x="0" y="0"/>
            <wp:positionH relativeFrom="page">
              <wp:posOffset>482583</wp:posOffset>
            </wp:positionH>
            <wp:positionV relativeFrom="page">
              <wp:posOffset>6686545</wp:posOffset>
            </wp:positionV>
            <wp:extent cx="1181138" cy="6350"/>
            <wp:effectExtent l="0" t="0" r="0" b="0"/>
            <wp:wrapNone/>
            <wp:docPr id="310" name="IM 310"/>
            <wp:cNvGraphicFramePr/>
            <a:graphic>
              <a:graphicData uri="http://schemas.openxmlformats.org/drawingml/2006/picture">
                <pic:pic>
                  <pic:nvPicPr>
                    <pic:cNvPr id="310" name="IM 310"/>
                    <pic:cNvPicPr/>
                  </pic:nvPicPr>
                  <pic:blipFill>
                    <a:blip r:embed="rId449"/>
                    <a:stretch>
                      <a:fillRect/>
                    </a:stretch>
                  </pic:blipFill>
                  <pic:spPr>
                    <a:xfrm rot="0">
                      <a:off x="0" y="0"/>
                      <a:ext cx="1181138" cy="6350"/>
                    </a:xfrm>
                    <a:prstGeom prst="rect">
                      <a:avLst/>
                    </a:prstGeom>
                  </pic:spPr>
                </pic:pic>
              </a:graphicData>
            </a:graphic>
          </wp:anchor>
        </w:drawing>
      </w:r>
      <w:r/>
    </w:p>
    <w:p>
      <w:pPr>
        <w:pStyle w:val="BodyText"/>
        <w:spacing w:line="252" w:lineRule="auto"/>
        <w:rPr/>
      </w:pPr>
      <w:r/>
    </w:p>
    <w:p>
      <w:pPr>
        <w:pStyle w:val="BodyText"/>
        <w:spacing w:line="253" w:lineRule="auto"/>
        <w:rPr/>
      </w:pPr>
      <w:r/>
    </w:p>
    <w:p>
      <w:pPr>
        <w:pStyle w:val="BodyText"/>
        <w:spacing w:line="253" w:lineRule="auto"/>
        <w:rPr/>
      </w:pPr>
      <w:r/>
    </w:p>
    <w:p>
      <w:pPr>
        <w:spacing w:before="65" w:line="332" w:lineRule="auto"/>
        <w:jc w:val="both"/>
        <w:rPr>
          <w:rFonts w:ascii="SimSun" w:hAnsi="SimSun" w:eastAsia="SimSun" w:cs="SimSun"/>
          <w:sz w:val="20"/>
          <w:szCs w:val="20"/>
        </w:rPr>
      </w:pPr>
      <w:r>
        <w:rPr>
          <w:rFonts w:ascii="SimSun" w:hAnsi="SimSun" w:eastAsia="SimSun" w:cs="SimSun"/>
          <w:sz w:val="20"/>
          <w:szCs w:val="20"/>
          <w:spacing w:val="-4"/>
        </w:rPr>
        <w:t>台竞争者的信息不对称性。大数据分析的最大悖论就在于，</w:t>
      </w:r>
      <w:r>
        <w:rPr>
          <w:rFonts w:ascii="SimSun" w:hAnsi="SimSun" w:eastAsia="SimSun" w:cs="SimSun"/>
          <w:sz w:val="20"/>
          <w:szCs w:val="20"/>
          <w:spacing w:val="68"/>
        </w:rPr>
        <w:t xml:space="preserve"> </w:t>
      </w:r>
      <w:r>
        <w:rPr>
          <w:rFonts w:ascii="SimSun" w:hAnsi="SimSun" w:eastAsia="SimSun" w:cs="SimSun"/>
          <w:sz w:val="20"/>
          <w:szCs w:val="20"/>
          <w:spacing w:val="-4"/>
        </w:rPr>
        <w:t>一方面，</w:t>
      </w:r>
      <w:r>
        <w:rPr>
          <w:rFonts w:ascii="SimSun" w:hAnsi="SimSun" w:eastAsia="SimSun" w:cs="SimSun"/>
          <w:sz w:val="20"/>
          <w:szCs w:val="20"/>
        </w:rPr>
        <w:t xml:space="preserve"> </w:t>
      </w:r>
      <w:r>
        <w:rPr>
          <w:rFonts w:ascii="SimSun" w:hAnsi="SimSun" w:eastAsia="SimSun" w:cs="SimSun"/>
          <w:sz w:val="20"/>
          <w:szCs w:val="20"/>
          <w:spacing w:val="-1"/>
        </w:rPr>
        <w:t>它可以帮助平台企业大幅度降低信息不对称的程度，另一方面，对于</w:t>
      </w:r>
      <w:r>
        <w:rPr>
          <w:rFonts w:ascii="SimSun" w:hAnsi="SimSun" w:eastAsia="SimSun" w:cs="SimSun"/>
          <w:sz w:val="20"/>
          <w:szCs w:val="20"/>
          <w:spacing w:val="17"/>
        </w:rPr>
        <w:t xml:space="preserve"> </w:t>
      </w:r>
      <w:r>
        <w:rPr>
          <w:rFonts w:ascii="SimSun" w:hAnsi="SimSun" w:eastAsia="SimSun" w:cs="SimSun"/>
          <w:sz w:val="20"/>
          <w:szCs w:val="20"/>
        </w:rPr>
        <w:t>平台活动的其他参与方来说，信息不对称的程度</w:t>
      </w:r>
      <w:r>
        <w:rPr>
          <w:rFonts w:ascii="SimSun" w:hAnsi="SimSun" w:eastAsia="SimSun" w:cs="SimSun"/>
          <w:sz w:val="20"/>
          <w:szCs w:val="20"/>
          <w:spacing w:val="-1"/>
        </w:rPr>
        <w:t>有可能会加剧。数据</w:t>
      </w:r>
      <w:r>
        <w:rPr>
          <w:rFonts w:ascii="SimSun" w:hAnsi="SimSun" w:eastAsia="SimSun" w:cs="SimSun"/>
          <w:sz w:val="20"/>
          <w:szCs w:val="20"/>
        </w:rPr>
        <w:t xml:space="preserve"> </w:t>
      </w:r>
      <w:r>
        <w:rPr>
          <w:rFonts w:ascii="SimSun" w:hAnsi="SimSun" w:eastAsia="SimSun" w:cs="SimSun"/>
          <w:sz w:val="20"/>
          <w:szCs w:val="20"/>
        </w:rPr>
        <w:t>要成为生产要素，需要解决确权、交易和共享</w:t>
      </w:r>
      <w:r>
        <w:rPr>
          <w:rFonts w:ascii="SimSun" w:hAnsi="SimSun" w:eastAsia="SimSun" w:cs="SimSun"/>
          <w:sz w:val="20"/>
          <w:szCs w:val="20"/>
          <w:spacing w:val="-1"/>
        </w:rPr>
        <w:t>等问题，但解决这些问</w:t>
      </w:r>
      <w:r>
        <w:rPr>
          <w:rFonts w:ascii="SimSun" w:hAnsi="SimSun" w:eastAsia="SimSun" w:cs="SimSun"/>
          <w:sz w:val="20"/>
          <w:szCs w:val="20"/>
        </w:rPr>
        <w:t xml:space="preserve"> </w:t>
      </w:r>
      <w:r>
        <w:rPr>
          <w:rFonts w:ascii="SimSun" w:hAnsi="SimSun" w:eastAsia="SimSun" w:cs="SimSun"/>
          <w:sz w:val="20"/>
          <w:szCs w:val="20"/>
        </w:rPr>
        <w:t>题并不容易。因此，解决问题的关键在于在创新</w:t>
      </w:r>
      <w:r>
        <w:rPr>
          <w:rFonts w:ascii="SimSun" w:hAnsi="SimSun" w:eastAsia="SimSun" w:cs="SimSun"/>
          <w:sz w:val="20"/>
          <w:szCs w:val="20"/>
          <w:spacing w:val="-1"/>
        </w:rPr>
        <w:t>与安全之间、共享与</w:t>
      </w:r>
    </w:p>
    <w:p>
      <w:pPr>
        <w:spacing w:line="219" w:lineRule="auto"/>
        <w:rPr>
          <w:rFonts w:ascii="SimSun" w:hAnsi="SimSun" w:eastAsia="SimSun" w:cs="SimSun"/>
          <w:sz w:val="20"/>
          <w:szCs w:val="20"/>
        </w:rPr>
      </w:pPr>
      <w:r>
        <w:rPr>
          <w:rFonts w:ascii="SimSun" w:hAnsi="SimSun" w:eastAsia="SimSun" w:cs="SimSun"/>
          <w:sz w:val="20"/>
          <w:szCs w:val="20"/>
          <w:spacing w:val="-5"/>
        </w:rPr>
        <w:t>效率之间做好权衡。</w:t>
      </w:r>
    </w:p>
    <w:p>
      <w:pPr>
        <w:pStyle w:val="BodyText"/>
        <w:spacing w:line="432" w:lineRule="auto"/>
        <w:rPr/>
      </w:pPr>
      <w:r/>
    </w:p>
    <w:p>
      <w:pPr>
        <w:ind w:left="422"/>
        <w:spacing w:before="65" w:line="219" w:lineRule="auto"/>
        <w:rPr>
          <w:rFonts w:ascii="SimSun" w:hAnsi="SimSun" w:eastAsia="SimSun" w:cs="SimSun"/>
          <w:sz w:val="20"/>
          <w:szCs w:val="20"/>
        </w:rPr>
      </w:pPr>
      <w:r>
        <w:rPr>
          <w:rFonts w:ascii="SimSun" w:hAnsi="SimSun" w:eastAsia="SimSun" w:cs="SimSun"/>
          <w:sz w:val="20"/>
          <w:szCs w:val="20"/>
          <w:b/>
          <w:bCs/>
          <w:spacing w:val="-3"/>
        </w:rPr>
        <w:t>构建统一的数据确权框架和风险防控体系</w:t>
      </w:r>
    </w:p>
    <w:p>
      <w:pPr>
        <w:ind w:right="37" w:firstLine="420"/>
        <w:spacing w:before="93" w:line="342" w:lineRule="auto"/>
        <w:jc w:val="both"/>
        <w:rPr>
          <w:rFonts w:ascii="SimSun" w:hAnsi="SimSun" w:eastAsia="SimSun" w:cs="SimSun"/>
          <w:sz w:val="20"/>
          <w:szCs w:val="20"/>
        </w:rPr>
      </w:pPr>
      <w:r>
        <w:rPr>
          <w:rFonts w:ascii="SimSun" w:hAnsi="SimSun" w:eastAsia="SimSun" w:cs="SimSun"/>
          <w:sz w:val="20"/>
          <w:szCs w:val="20"/>
        </w:rPr>
        <w:t>根据《数据安全法》第二十一条的规定，相</w:t>
      </w:r>
      <w:r>
        <w:rPr>
          <w:rFonts w:ascii="SimSun" w:hAnsi="SimSun" w:eastAsia="SimSun" w:cs="SimSun"/>
          <w:sz w:val="20"/>
          <w:szCs w:val="20"/>
          <w:spacing w:val="-1"/>
        </w:rPr>
        <w:t>关主体应及时梳理业</w:t>
      </w:r>
      <w:r>
        <w:rPr>
          <w:rFonts w:ascii="SimSun" w:hAnsi="SimSun" w:eastAsia="SimSun" w:cs="SimSun"/>
          <w:sz w:val="20"/>
          <w:szCs w:val="20"/>
        </w:rPr>
        <w:t xml:space="preserve"> </w:t>
      </w:r>
      <w:r>
        <w:rPr>
          <w:rFonts w:ascii="SimSun" w:hAnsi="SimSun" w:eastAsia="SimSun" w:cs="SimSun"/>
          <w:sz w:val="20"/>
          <w:szCs w:val="20"/>
          <w:spacing w:val="-7"/>
        </w:rPr>
        <w:t>务活动过程中所涉及的不同类型的数据，根据数据的重要性程度</w:t>
      </w:r>
      <w:r>
        <w:rPr>
          <w:rFonts w:ascii="SimSun" w:hAnsi="SimSun" w:eastAsia="SimSun" w:cs="SimSun"/>
          <w:sz w:val="20"/>
          <w:szCs w:val="20"/>
          <w:spacing w:val="-8"/>
        </w:rPr>
        <w:t>对数据</w:t>
      </w:r>
      <w:r>
        <w:rPr>
          <w:rFonts w:ascii="SimSun" w:hAnsi="SimSun" w:eastAsia="SimSun" w:cs="SimSun"/>
          <w:sz w:val="20"/>
          <w:szCs w:val="20"/>
        </w:rPr>
        <w:t xml:space="preserve"> </w:t>
      </w:r>
      <w:r>
        <w:rPr>
          <w:rFonts w:ascii="SimSun" w:hAnsi="SimSun" w:eastAsia="SimSun" w:cs="SimSun"/>
          <w:sz w:val="20"/>
          <w:szCs w:val="20"/>
          <w:spacing w:val="-7"/>
        </w:rPr>
        <w:t>予以分类分级管理，明确不同数据的具体保护模式；同时针对不同类型</w:t>
      </w:r>
    </w:p>
    <w:p>
      <w:pPr>
        <w:spacing w:line="219" w:lineRule="auto"/>
        <w:rPr>
          <w:rFonts w:ascii="SimSun" w:hAnsi="SimSun" w:eastAsia="SimSun" w:cs="SimSun"/>
          <w:sz w:val="20"/>
          <w:szCs w:val="20"/>
        </w:rPr>
      </w:pPr>
      <w:r>
        <w:rPr>
          <w:rFonts w:ascii="SimSun" w:hAnsi="SimSun" w:eastAsia="SimSun" w:cs="SimSun"/>
          <w:sz w:val="20"/>
          <w:szCs w:val="20"/>
          <w:spacing w:val="-8"/>
        </w:rPr>
        <w:t>的数据明晰权属和权利范围，以实现建立统一数据资源确权登记框架。</w:t>
      </w:r>
    </w:p>
    <w:p>
      <w:pPr>
        <w:ind w:firstLine="420"/>
        <w:spacing w:before="116" w:line="332" w:lineRule="auto"/>
        <w:jc w:val="both"/>
        <w:rPr>
          <w:rFonts w:ascii="SimSun" w:hAnsi="SimSun" w:eastAsia="SimSun" w:cs="SimSun"/>
          <w:sz w:val="20"/>
          <w:szCs w:val="20"/>
        </w:rPr>
      </w:pPr>
      <w:r>
        <w:rPr>
          <w:rFonts w:ascii="SimSun" w:hAnsi="SimSun" w:eastAsia="SimSun" w:cs="SimSun"/>
          <w:sz w:val="20"/>
          <w:szCs w:val="20"/>
          <w:spacing w:val="-1"/>
        </w:rPr>
        <w:t>同时，根据《数据安全法》第十九条的要求，建立统一的数据交</w:t>
      </w:r>
      <w:r>
        <w:rPr>
          <w:rFonts w:ascii="SimSun" w:hAnsi="SimSun" w:eastAsia="SimSun" w:cs="SimSun"/>
          <w:sz w:val="20"/>
          <w:szCs w:val="20"/>
        </w:rPr>
        <w:t xml:space="preserve"> </w:t>
      </w:r>
      <w:r>
        <w:rPr>
          <w:rFonts w:ascii="SimSun" w:hAnsi="SimSun" w:eastAsia="SimSun" w:cs="SimSun"/>
          <w:sz w:val="20"/>
          <w:szCs w:val="20"/>
          <w:spacing w:val="-1"/>
        </w:rPr>
        <w:t>易市场风险防控机制。首先，国家层面应尽快建立健全数据交易监管 </w:t>
      </w:r>
      <w:r>
        <w:rPr>
          <w:rFonts w:ascii="SimSun" w:hAnsi="SimSun" w:eastAsia="SimSun" w:cs="SimSun"/>
          <w:sz w:val="20"/>
          <w:szCs w:val="20"/>
        </w:rPr>
        <w:t>制度，保障数据交易安全，构建统一规范的数</w:t>
      </w:r>
      <w:r>
        <w:rPr>
          <w:rFonts w:ascii="SimSun" w:hAnsi="SimSun" w:eastAsia="SimSun" w:cs="SimSun"/>
          <w:sz w:val="20"/>
          <w:szCs w:val="20"/>
          <w:spacing w:val="-1"/>
        </w:rPr>
        <w:t>据市场交易体系，明确</w:t>
      </w:r>
      <w:r>
        <w:rPr>
          <w:rFonts w:ascii="SimSun" w:hAnsi="SimSun" w:eastAsia="SimSun" w:cs="SimSun"/>
          <w:sz w:val="20"/>
          <w:szCs w:val="20"/>
        </w:rPr>
        <w:t xml:space="preserve"> </w:t>
      </w:r>
      <w:r>
        <w:rPr>
          <w:rFonts w:ascii="SimSun" w:hAnsi="SimSun" w:eastAsia="SimSun" w:cs="SimSun"/>
          <w:sz w:val="20"/>
          <w:szCs w:val="20"/>
          <w:spacing w:val="2"/>
        </w:rPr>
        <w:t>市场交易主体及相关资质要求，同时建立统</w:t>
      </w:r>
      <w:r>
        <w:rPr>
          <w:rFonts w:ascii="SimSun" w:hAnsi="SimSun" w:eastAsia="SimSun" w:cs="SimSun"/>
          <w:sz w:val="20"/>
          <w:szCs w:val="20"/>
          <w:spacing w:val="1"/>
        </w:rPr>
        <w:t>一的数据资源确权框架，</w:t>
      </w:r>
      <w:r>
        <w:rPr>
          <w:rFonts w:ascii="SimSun" w:hAnsi="SimSun" w:eastAsia="SimSun" w:cs="SimSun"/>
          <w:sz w:val="20"/>
          <w:szCs w:val="20"/>
        </w:rPr>
        <w:t xml:space="preserve"> </w:t>
      </w:r>
      <w:r>
        <w:rPr>
          <w:rFonts w:ascii="SimSun" w:hAnsi="SimSun" w:eastAsia="SimSun" w:cs="SimSun"/>
          <w:sz w:val="20"/>
          <w:szCs w:val="20"/>
          <w:spacing w:val="-1"/>
        </w:rPr>
        <w:t>为数据市场交易顺利进行提供便利；平台企业层面要建立数据安全预</w:t>
      </w:r>
      <w:r>
        <w:rPr>
          <w:rFonts w:ascii="SimSun" w:hAnsi="SimSun" w:eastAsia="SimSun" w:cs="SimSun"/>
          <w:sz w:val="20"/>
          <w:szCs w:val="20"/>
          <w:spacing w:val="18"/>
        </w:rPr>
        <w:t xml:space="preserve"> </w:t>
      </w:r>
      <w:r>
        <w:rPr>
          <w:rFonts w:ascii="SimSun" w:hAnsi="SimSun" w:eastAsia="SimSun" w:cs="SimSun"/>
          <w:sz w:val="20"/>
          <w:szCs w:val="20"/>
          <w:spacing w:val="-1"/>
        </w:rPr>
        <w:t>警体系，就各类数据可能引发的问题加强风险防范。其次，企业内部</w:t>
      </w:r>
      <w:r>
        <w:rPr>
          <w:rFonts w:ascii="SimSun" w:hAnsi="SimSun" w:eastAsia="SimSun" w:cs="SimSun"/>
          <w:sz w:val="20"/>
          <w:szCs w:val="20"/>
          <w:spacing w:val="18"/>
        </w:rPr>
        <w:t xml:space="preserve"> </w:t>
      </w:r>
      <w:r>
        <w:rPr>
          <w:rFonts w:ascii="SimSun" w:hAnsi="SimSun" w:eastAsia="SimSun" w:cs="SimSun"/>
          <w:sz w:val="20"/>
          <w:szCs w:val="20"/>
        </w:rPr>
        <w:t>要建立数据安全备案机制，对于重大的数据处</w:t>
      </w:r>
      <w:r>
        <w:rPr>
          <w:rFonts w:ascii="SimSun" w:hAnsi="SimSun" w:eastAsia="SimSun" w:cs="SimSun"/>
          <w:sz w:val="20"/>
          <w:szCs w:val="20"/>
          <w:spacing w:val="-1"/>
        </w:rPr>
        <w:t>理活动提前安排风险评</w:t>
      </w:r>
      <w:r>
        <w:rPr>
          <w:rFonts w:ascii="SimSun" w:hAnsi="SimSun" w:eastAsia="SimSun" w:cs="SimSun"/>
          <w:sz w:val="20"/>
          <w:szCs w:val="20"/>
        </w:rPr>
        <w:t xml:space="preserve"> </w:t>
      </w:r>
      <w:r>
        <w:rPr>
          <w:rFonts w:ascii="SimSun" w:hAnsi="SimSun" w:eastAsia="SimSun" w:cs="SimSun"/>
          <w:sz w:val="20"/>
          <w:szCs w:val="20"/>
        </w:rPr>
        <w:t>估，同时构建重大数据处理活动负责人机制，将</w:t>
      </w:r>
      <w:r>
        <w:rPr>
          <w:rFonts w:ascii="SimSun" w:hAnsi="SimSun" w:eastAsia="SimSun" w:cs="SimSun"/>
          <w:sz w:val="20"/>
          <w:szCs w:val="20"/>
          <w:spacing w:val="-1"/>
        </w:rPr>
        <w:t>数据安全具体落实到</w:t>
      </w:r>
      <w:r>
        <w:rPr>
          <w:rFonts w:ascii="SimSun" w:hAnsi="SimSun" w:eastAsia="SimSun" w:cs="SimSun"/>
          <w:sz w:val="20"/>
          <w:szCs w:val="20"/>
        </w:rPr>
        <w:t xml:space="preserve"> </w:t>
      </w:r>
      <w:r>
        <w:rPr>
          <w:rFonts w:ascii="SimSun" w:hAnsi="SimSun" w:eastAsia="SimSun" w:cs="SimSun"/>
          <w:sz w:val="20"/>
          <w:szCs w:val="20"/>
        </w:rPr>
        <w:t>个人。①最后，在数据交易整体风险的规范上，</w:t>
      </w:r>
      <w:r>
        <w:rPr>
          <w:rFonts w:ascii="SimSun" w:hAnsi="SimSun" w:eastAsia="SimSun" w:cs="SimSun"/>
          <w:sz w:val="20"/>
          <w:szCs w:val="20"/>
          <w:spacing w:val="-1"/>
        </w:rPr>
        <w:t>应构建统一的数据交</w:t>
      </w:r>
      <w:r>
        <w:rPr>
          <w:rFonts w:ascii="SimSun" w:hAnsi="SimSun" w:eastAsia="SimSun" w:cs="SimSun"/>
          <w:sz w:val="20"/>
          <w:szCs w:val="20"/>
        </w:rPr>
        <w:t xml:space="preserve"> </w:t>
      </w:r>
      <w:r>
        <w:rPr>
          <w:rFonts w:ascii="SimSun" w:hAnsi="SimSun" w:eastAsia="SimSun" w:cs="SimSun"/>
          <w:sz w:val="20"/>
          <w:szCs w:val="20"/>
          <w:spacing w:val="-2"/>
        </w:rPr>
        <w:t>易市场风险防控体系，在坚持促进数据流通运转的同时，及时预防可</w:t>
      </w:r>
      <w:r>
        <w:rPr>
          <w:rFonts w:ascii="SimSun" w:hAnsi="SimSun" w:eastAsia="SimSun" w:cs="SimSun"/>
          <w:sz w:val="20"/>
          <w:szCs w:val="20"/>
          <w:spacing w:val="8"/>
        </w:rPr>
        <w:t xml:space="preserve">  </w:t>
      </w:r>
      <w:r>
        <w:rPr>
          <w:rFonts w:ascii="SimSun" w:hAnsi="SimSun" w:eastAsia="SimSun" w:cs="SimSun"/>
          <w:sz w:val="20"/>
          <w:szCs w:val="20"/>
          <w:spacing w:val="-1"/>
        </w:rPr>
        <w:t>能存在的交易风险，针对已经出现的数据交易风险，针对性地采取措</w:t>
      </w:r>
    </w:p>
    <w:p>
      <w:pPr>
        <w:spacing w:line="219" w:lineRule="auto"/>
        <w:rPr>
          <w:rFonts w:ascii="SimSun" w:hAnsi="SimSun" w:eastAsia="SimSun" w:cs="SimSun"/>
          <w:sz w:val="20"/>
          <w:szCs w:val="20"/>
        </w:rPr>
      </w:pPr>
      <w:r>
        <w:rPr>
          <w:rFonts w:ascii="SimSun" w:hAnsi="SimSun" w:eastAsia="SimSun" w:cs="SimSun"/>
          <w:sz w:val="20"/>
          <w:szCs w:val="20"/>
          <w:spacing w:val="-3"/>
        </w:rPr>
        <w:t>施予以规制，保障市场有序运转。</w:t>
      </w:r>
    </w:p>
    <w:p>
      <w:pPr>
        <w:pStyle w:val="BodyText"/>
        <w:spacing w:line="243" w:lineRule="auto"/>
        <w:rPr/>
      </w:pPr>
      <w:r/>
    </w:p>
    <w:p>
      <w:pPr>
        <w:pStyle w:val="BodyText"/>
        <w:spacing w:line="243" w:lineRule="auto"/>
        <w:rPr/>
      </w:pPr>
      <w:r/>
    </w:p>
    <w:p>
      <w:pPr>
        <w:ind w:left="309" w:right="24" w:hanging="309"/>
        <w:spacing w:before="66" w:line="239" w:lineRule="auto"/>
        <w:rPr>
          <w:rFonts w:ascii="SimSun" w:hAnsi="SimSun" w:eastAsia="SimSun" w:cs="SimSun"/>
          <w:sz w:val="20"/>
          <w:szCs w:val="20"/>
        </w:rPr>
      </w:pPr>
      <w:r>
        <w:rPr>
          <w:rFonts w:ascii="SimSun" w:hAnsi="SimSun" w:eastAsia="SimSun" w:cs="SimSun"/>
          <w:sz w:val="20"/>
          <w:szCs w:val="20"/>
          <w:spacing w:val="-23"/>
          <w:w w:val="98"/>
        </w:rPr>
        <w:t>①</w:t>
      </w:r>
      <w:r>
        <w:rPr>
          <w:rFonts w:ascii="SimSun" w:hAnsi="SimSun" w:eastAsia="SimSun" w:cs="SimSun"/>
          <w:sz w:val="20"/>
          <w:szCs w:val="20"/>
          <w:spacing w:val="60"/>
        </w:rPr>
        <w:t xml:space="preserve"> </w:t>
      </w:r>
      <w:r>
        <w:rPr>
          <w:rFonts w:ascii="KaiTi" w:hAnsi="KaiTi" w:eastAsia="KaiTi" w:cs="KaiTi"/>
          <w:sz w:val="20"/>
          <w:szCs w:val="20"/>
          <w:spacing w:val="-23"/>
          <w:w w:val="98"/>
        </w:rPr>
        <w:t>张丽霞.我国数据要素市场竞争治理的困境及完善路径，西南金融，2021(8):</w:t>
      </w:r>
      <w:r>
        <w:rPr>
          <w:rFonts w:ascii="KaiTi" w:hAnsi="KaiTi" w:eastAsia="KaiTi" w:cs="KaiTi"/>
          <w:sz w:val="20"/>
          <w:szCs w:val="20"/>
        </w:rPr>
        <w:t xml:space="preserve"> </w:t>
      </w:r>
      <w:r>
        <w:rPr>
          <w:rFonts w:ascii="SimSun" w:hAnsi="SimSun" w:eastAsia="SimSun" w:cs="SimSun"/>
          <w:sz w:val="20"/>
          <w:szCs w:val="20"/>
          <w:spacing w:val="-14"/>
        </w:rPr>
        <w:t>62-73.</w:t>
      </w:r>
    </w:p>
    <w:p>
      <w:pPr>
        <w:spacing w:line="239" w:lineRule="auto"/>
        <w:sectPr>
          <w:headerReference w:type="default" r:id="rId448"/>
          <w:pgSz w:w="7330" w:h="12480"/>
          <w:pgMar w:top="507" w:right="529" w:bottom="400" w:left="750" w:header="345" w:footer="0" w:gutter="0"/>
        </w:sectPr>
        <w:rPr>
          <w:rFonts w:ascii="SimSun" w:hAnsi="SimSun" w:eastAsia="SimSun" w:cs="SimSun"/>
          <w:sz w:val="20"/>
          <w:szCs w:val="20"/>
        </w:rPr>
      </w:pPr>
    </w:p>
    <w:p>
      <w:pPr>
        <w:ind w:left="1652"/>
        <w:spacing w:before="233" w:line="221" w:lineRule="auto"/>
        <w:rPr>
          <w:rFonts w:ascii="SimSun" w:hAnsi="SimSun" w:eastAsia="SimSun" w:cs="SimSun"/>
          <w:sz w:val="12"/>
          <w:szCs w:val="12"/>
        </w:rPr>
      </w:pPr>
      <w:r>
        <w:drawing>
          <wp:anchor distT="0" distB="0" distL="0" distR="0" simplePos="0" relativeHeight="255502336" behindDoc="0" locked="0" layoutInCell="0" allowOverlap="1">
            <wp:simplePos x="0" y="0"/>
            <wp:positionH relativeFrom="page">
              <wp:posOffset>298450</wp:posOffset>
            </wp:positionH>
            <wp:positionV relativeFrom="page">
              <wp:posOffset>6527811</wp:posOffset>
            </wp:positionV>
            <wp:extent cx="1174761" cy="6350"/>
            <wp:effectExtent l="0" t="0" r="0" b="0"/>
            <wp:wrapNone/>
            <wp:docPr id="312" name="IM 312"/>
            <wp:cNvGraphicFramePr/>
            <a:graphic>
              <a:graphicData uri="http://schemas.openxmlformats.org/drawingml/2006/picture">
                <pic:pic>
                  <pic:nvPicPr>
                    <pic:cNvPr id="312" name="IM 312"/>
                    <pic:cNvPicPr/>
                  </pic:nvPicPr>
                  <pic:blipFill>
                    <a:blip r:embed="rId450"/>
                    <a:stretch>
                      <a:fillRect/>
                    </a:stretch>
                  </pic:blipFill>
                  <pic:spPr>
                    <a:xfrm rot="0">
                      <a:off x="0" y="0"/>
                      <a:ext cx="1174761" cy="6350"/>
                    </a:xfrm>
                    <a:prstGeom prst="rect">
                      <a:avLst/>
                    </a:prstGeom>
                  </pic:spPr>
                </pic:pic>
              </a:graphicData>
            </a:graphic>
          </wp:anchor>
        </w:drawing>
      </w:r>
      <w:r>
        <w:rPr>
          <w:rFonts w:ascii="SimHei" w:hAnsi="SimHei" w:eastAsia="SimHei" w:cs="SimHei"/>
          <w:sz w:val="19"/>
          <w:szCs w:val="19"/>
          <w:b/>
          <w:bCs/>
          <w:spacing w:val="-20"/>
          <w:w w:val="91"/>
        </w:rPr>
        <w:t>第十章</w:t>
      </w:r>
      <w:r>
        <w:rPr>
          <w:rFonts w:ascii="SimHei" w:hAnsi="SimHei" w:eastAsia="SimHei" w:cs="SimHei"/>
          <w:sz w:val="19"/>
          <w:szCs w:val="19"/>
          <w:spacing w:val="-20"/>
          <w:w w:val="91"/>
        </w:rPr>
        <w:t xml:space="preserve">  </w:t>
      </w:r>
      <w:r>
        <w:rPr>
          <w:rFonts w:ascii="SimHei" w:hAnsi="SimHei" w:eastAsia="SimHei" w:cs="SimHei"/>
          <w:sz w:val="19"/>
          <w:szCs w:val="19"/>
          <w:b/>
          <w:bCs/>
          <w:spacing w:val="-20"/>
          <w:w w:val="91"/>
        </w:rPr>
        <w:t>平台创新治理的数据与算法维度</w:t>
      </w:r>
      <w:r>
        <w:rPr>
          <w:rFonts w:ascii="SimHei" w:hAnsi="SimHei" w:eastAsia="SimHei" w:cs="SimHei"/>
          <w:sz w:val="19"/>
          <w:szCs w:val="19"/>
          <w:spacing w:val="1"/>
        </w:rPr>
        <w:t xml:space="preserve">              </w:t>
      </w:r>
      <w:r>
        <w:rPr>
          <w:rFonts w:ascii="SimSun" w:hAnsi="SimSun" w:eastAsia="SimSun" w:cs="SimSun"/>
          <w:sz w:val="12"/>
          <w:szCs w:val="12"/>
          <w:position w:val="-2"/>
        </w:rPr>
        <w:t>365</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412"/>
        <w:spacing w:before="62" w:line="219" w:lineRule="auto"/>
        <w:rPr>
          <w:rFonts w:ascii="SimSun" w:hAnsi="SimSun" w:eastAsia="SimSun" w:cs="SimSun"/>
          <w:sz w:val="19"/>
          <w:szCs w:val="19"/>
        </w:rPr>
      </w:pPr>
      <w:r>
        <w:rPr>
          <w:rFonts w:ascii="SimSun" w:hAnsi="SimSun" w:eastAsia="SimSun" w:cs="SimSun"/>
          <w:sz w:val="19"/>
          <w:szCs w:val="19"/>
          <w:b/>
          <w:bCs/>
          <w:spacing w:val="8"/>
        </w:rPr>
        <w:t>明确数据交易相关问题，优化数据交易流程</w:t>
      </w:r>
    </w:p>
    <w:p>
      <w:pPr>
        <w:ind w:right="1" w:firstLine="409"/>
        <w:spacing w:before="105" w:line="350" w:lineRule="auto"/>
        <w:jc w:val="both"/>
        <w:rPr>
          <w:rFonts w:ascii="SimSun" w:hAnsi="SimSun" w:eastAsia="SimSun" w:cs="SimSun"/>
          <w:sz w:val="19"/>
          <w:szCs w:val="19"/>
        </w:rPr>
      </w:pPr>
      <w:r>
        <w:rPr>
          <w:rFonts w:ascii="SimSun" w:hAnsi="SimSun" w:eastAsia="SimSun" w:cs="SimSun"/>
          <w:sz w:val="19"/>
          <w:szCs w:val="19"/>
          <w:spacing w:val="11"/>
        </w:rPr>
        <w:t>数据交易除了存在数据确权的问题外，还存</w:t>
      </w:r>
      <w:r>
        <w:rPr>
          <w:rFonts w:ascii="SimSun" w:hAnsi="SimSun" w:eastAsia="SimSun" w:cs="SimSun"/>
          <w:sz w:val="19"/>
          <w:szCs w:val="19"/>
          <w:spacing w:val="10"/>
        </w:rPr>
        <w:t>在数据处理标准不明</w:t>
      </w:r>
      <w:r>
        <w:rPr>
          <w:rFonts w:ascii="SimSun" w:hAnsi="SimSun" w:eastAsia="SimSun" w:cs="SimSun"/>
          <w:sz w:val="19"/>
          <w:szCs w:val="19"/>
        </w:rPr>
        <w:t xml:space="preserve"> </w:t>
      </w:r>
      <w:r>
        <w:rPr>
          <w:rFonts w:ascii="SimSun" w:hAnsi="SimSun" w:eastAsia="SimSun" w:cs="SimSun"/>
          <w:sz w:val="19"/>
          <w:szCs w:val="19"/>
          <w:spacing w:val="10"/>
        </w:rPr>
        <w:t>确、交易主体的范围和资质不明确、交易平台资质不明确等问题。在</w:t>
      </w:r>
      <w:r>
        <w:rPr>
          <w:rFonts w:ascii="SimSun" w:hAnsi="SimSun" w:eastAsia="SimSun" w:cs="SimSun"/>
          <w:sz w:val="19"/>
          <w:szCs w:val="19"/>
        </w:rPr>
        <w:t xml:space="preserve"> </w:t>
      </w:r>
      <w:r>
        <w:rPr>
          <w:rFonts w:ascii="SimSun" w:hAnsi="SimSun" w:eastAsia="SimSun" w:cs="SimSun"/>
          <w:sz w:val="19"/>
          <w:szCs w:val="19"/>
          <w:spacing w:val="10"/>
        </w:rPr>
        <w:t>数据交易治理的过程中，不仅需要对已有的问题进行回应，还需在创</w:t>
      </w:r>
      <w:r>
        <w:rPr>
          <w:rFonts w:ascii="SimSun" w:hAnsi="SimSun" w:eastAsia="SimSun" w:cs="SimSun"/>
          <w:sz w:val="19"/>
          <w:szCs w:val="19"/>
          <w:spacing w:val="3"/>
        </w:rPr>
        <w:t xml:space="preserve"> </w:t>
      </w:r>
      <w:r>
        <w:rPr>
          <w:rFonts w:ascii="SimSun" w:hAnsi="SimSun" w:eastAsia="SimSun" w:cs="SimSun"/>
          <w:sz w:val="19"/>
          <w:szCs w:val="19"/>
          <w:spacing w:val="5"/>
        </w:rPr>
        <w:t>新与安全、共享与效率之间寻求平衡。</w:t>
      </w:r>
      <w:r>
        <w:rPr>
          <w:rFonts w:ascii="SimSun" w:hAnsi="SimSun" w:eastAsia="SimSun" w:cs="SimSun"/>
          <w:sz w:val="19"/>
          <w:szCs w:val="19"/>
          <w:spacing w:val="56"/>
        </w:rPr>
        <w:t xml:space="preserve"> </w:t>
      </w:r>
      <w:r>
        <w:rPr>
          <w:rFonts w:ascii="SimSun" w:hAnsi="SimSun" w:eastAsia="SimSun" w:cs="SimSun"/>
          <w:sz w:val="19"/>
          <w:szCs w:val="19"/>
          <w:spacing w:val="5"/>
        </w:rPr>
        <w:t>一方面，尽快从法律层面确定</w:t>
      </w:r>
      <w:r>
        <w:rPr>
          <w:rFonts w:ascii="SimSun" w:hAnsi="SimSun" w:eastAsia="SimSun" w:cs="SimSun"/>
          <w:sz w:val="19"/>
          <w:szCs w:val="19"/>
        </w:rPr>
        <w:t xml:space="preserve"> </w:t>
      </w:r>
      <w:r>
        <w:rPr>
          <w:rFonts w:ascii="SimSun" w:hAnsi="SimSun" w:eastAsia="SimSun" w:cs="SimSun"/>
          <w:sz w:val="19"/>
          <w:szCs w:val="19"/>
          <w:spacing w:val="10"/>
        </w:rPr>
        <w:t>交易主体的资质要求，确认数据交易的安全范围，将相关的准入交易</w:t>
      </w:r>
      <w:r>
        <w:rPr>
          <w:rFonts w:ascii="SimSun" w:hAnsi="SimSun" w:eastAsia="SimSun" w:cs="SimSun"/>
          <w:sz w:val="19"/>
          <w:szCs w:val="19"/>
          <w:spacing w:val="9"/>
        </w:rPr>
        <w:t xml:space="preserve"> </w:t>
      </w:r>
      <w:r>
        <w:rPr>
          <w:rFonts w:ascii="SimSun" w:hAnsi="SimSun" w:eastAsia="SimSun" w:cs="SimSun"/>
          <w:sz w:val="19"/>
          <w:szCs w:val="19"/>
          <w:spacing w:val="10"/>
        </w:rPr>
        <w:t>规则与监管规范等体系落到实处；另一方面，在保障数据交易安全的</w:t>
      </w:r>
      <w:r>
        <w:rPr>
          <w:rFonts w:ascii="SimSun" w:hAnsi="SimSun" w:eastAsia="SimSun" w:cs="SimSun"/>
          <w:sz w:val="19"/>
          <w:szCs w:val="19"/>
          <w:spacing w:val="4"/>
        </w:rPr>
        <w:t xml:space="preserve"> </w:t>
      </w:r>
      <w:r>
        <w:rPr>
          <w:rFonts w:ascii="SimSun" w:hAnsi="SimSun" w:eastAsia="SimSun" w:cs="SimSun"/>
          <w:sz w:val="19"/>
          <w:szCs w:val="19"/>
          <w:spacing w:val="10"/>
        </w:rPr>
        <w:t>情况下，简化数据交易流程，提升数据流转利用的效率，</w:t>
      </w:r>
      <w:r>
        <w:rPr>
          <w:rFonts w:ascii="SimSun" w:hAnsi="SimSun" w:eastAsia="SimSun" w:cs="SimSun"/>
          <w:sz w:val="19"/>
          <w:szCs w:val="19"/>
          <w:spacing w:val="9"/>
        </w:rPr>
        <w:t>防止因流程</w:t>
      </w:r>
    </w:p>
    <w:p>
      <w:pPr>
        <w:spacing w:line="219" w:lineRule="auto"/>
        <w:rPr>
          <w:rFonts w:ascii="SimSun" w:hAnsi="SimSun" w:eastAsia="SimSun" w:cs="SimSun"/>
          <w:sz w:val="19"/>
          <w:szCs w:val="19"/>
        </w:rPr>
      </w:pPr>
      <w:r>
        <w:rPr>
          <w:rFonts w:ascii="SimSun" w:hAnsi="SimSun" w:eastAsia="SimSun" w:cs="SimSun"/>
          <w:sz w:val="19"/>
          <w:szCs w:val="19"/>
          <w:spacing w:val="8"/>
        </w:rPr>
        <w:t>复杂而出现交易困境，保障市场交易顺利进行。</w:t>
      </w:r>
    </w:p>
    <w:p>
      <w:pPr>
        <w:pStyle w:val="BodyText"/>
        <w:spacing w:line="447" w:lineRule="auto"/>
        <w:rPr/>
      </w:pPr>
      <w:r/>
    </w:p>
    <w:p>
      <w:pPr>
        <w:ind w:left="412"/>
        <w:spacing w:before="62" w:line="219" w:lineRule="auto"/>
        <w:rPr>
          <w:rFonts w:ascii="SimSun" w:hAnsi="SimSun" w:eastAsia="SimSun" w:cs="SimSun"/>
          <w:sz w:val="19"/>
          <w:szCs w:val="19"/>
        </w:rPr>
      </w:pPr>
      <w:r>
        <w:rPr>
          <w:rFonts w:ascii="SimSun" w:hAnsi="SimSun" w:eastAsia="SimSun" w:cs="SimSun"/>
          <w:sz w:val="19"/>
          <w:szCs w:val="19"/>
          <w:b/>
          <w:bCs/>
          <w:spacing w:val="4"/>
        </w:rPr>
        <w:t>积极推动数据技术产业赋能</w:t>
      </w:r>
    </w:p>
    <w:p>
      <w:pPr>
        <w:ind w:firstLine="409"/>
        <w:spacing w:before="114" w:line="350" w:lineRule="auto"/>
        <w:jc w:val="both"/>
        <w:rPr>
          <w:rFonts w:ascii="SimSun" w:hAnsi="SimSun" w:eastAsia="SimSun" w:cs="SimSun"/>
          <w:sz w:val="19"/>
          <w:szCs w:val="19"/>
        </w:rPr>
      </w:pPr>
      <w:r>
        <w:rPr>
          <w:rFonts w:ascii="SimSun" w:hAnsi="SimSun" w:eastAsia="SimSun" w:cs="SimSun"/>
          <w:sz w:val="19"/>
          <w:szCs w:val="19"/>
          <w:spacing w:val="11"/>
        </w:rPr>
        <w:t>数字技术应用于用户行为选择、平台生态环境</w:t>
      </w:r>
      <w:r>
        <w:rPr>
          <w:rFonts w:ascii="SimSun" w:hAnsi="SimSun" w:eastAsia="SimSun" w:cs="SimSun"/>
          <w:sz w:val="19"/>
          <w:szCs w:val="19"/>
          <w:spacing w:val="10"/>
        </w:rPr>
        <w:t>建立以及政府部门</w:t>
      </w:r>
      <w:r>
        <w:rPr>
          <w:rFonts w:ascii="SimSun" w:hAnsi="SimSun" w:eastAsia="SimSun" w:cs="SimSun"/>
          <w:sz w:val="19"/>
          <w:szCs w:val="19"/>
        </w:rPr>
        <w:t xml:space="preserve"> </w:t>
      </w:r>
      <w:r>
        <w:rPr>
          <w:rFonts w:ascii="SimSun" w:hAnsi="SimSun" w:eastAsia="SimSun" w:cs="SimSun"/>
          <w:sz w:val="19"/>
          <w:szCs w:val="19"/>
          <w:spacing w:val="10"/>
        </w:rPr>
        <w:t>监管，提升三方主体服务的感知程度。平台经济依托数据驱动实现创</w:t>
      </w:r>
      <w:r>
        <w:rPr>
          <w:rFonts w:ascii="SimSun" w:hAnsi="SimSun" w:eastAsia="SimSun" w:cs="SimSun"/>
          <w:sz w:val="19"/>
          <w:szCs w:val="19"/>
          <w:spacing w:val="2"/>
        </w:rPr>
        <w:t xml:space="preserve"> </w:t>
      </w:r>
      <w:r>
        <w:rPr>
          <w:rFonts w:ascii="SimSun" w:hAnsi="SimSun" w:eastAsia="SimSun" w:cs="SimSun"/>
          <w:sz w:val="19"/>
          <w:szCs w:val="19"/>
          <w:spacing w:val="10"/>
        </w:rPr>
        <w:t>新发展，通过算法、自动化决策等技术转变其商业经营模式，并以资</w:t>
      </w:r>
      <w:r>
        <w:rPr>
          <w:rFonts w:ascii="SimSun" w:hAnsi="SimSun" w:eastAsia="SimSun" w:cs="SimSun"/>
          <w:sz w:val="19"/>
          <w:szCs w:val="19"/>
          <w:spacing w:val="2"/>
        </w:rPr>
        <w:t xml:space="preserve"> </w:t>
      </w:r>
      <w:r>
        <w:rPr>
          <w:rFonts w:ascii="SimSun" w:hAnsi="SimSun" w:eastAsia="SimSun" w:cs="SimSun"/>
          <w:sz w:val="19"/>
          <w:szCs w:val="19"/>
          <w:spacing w:val="13"/>
        </w:rPr>
        <w:t>源合理优化与劳动力价值化为基础①,推动平台经济创新发展。通过</w:t>
      </w:r>
      <w:r>
        <w:rPr>
          <w:rFonts w:ascii="SimSun" w:hAnsi="SimSun" w:eastAsia="SimSun" w:cs="SimSun"/>
          <w:sz w:val="19"/>
          <w:szCs w:val="19"/>
          <w:spacing w:val="1"/>
        </w:rPr>
        <w:t xml:space="preserve"> </w:t>
      </w:r>
      <w:r>
        <w:rPr>
          <w:rFonts w:ascii="SimSun" w:hAnsi="SimSun" w:eastAsia="SimSun" w:cs="SimSun"/>
          <w:sz w:val="19"/>
          <w:szCs w:val="19"/>
          <w:spacing w:val="10"/>
        </w:rPr>
        <w:t>开展数字技术赋能，加速产业链上下游资源的协同与共享，加</w:t>
      </w:r>
      <w:r>
        <w:rPr>
          <w:rFonts w:ascii="SimSun" w:hAnsi="SimSun" w:eastAsia="SimSun" w:cs="SimSun"/>
          <w:sz w:val="19"/>
          <w:szCs w:val="19"/>
          <w:spacing w:val="9"/>
        </w:rPr>
        <w:t>快资源</w:t>
      </w:r>
      <w:r>
        <w:rPr>
          <w:rFonts w:ascii="SimSun" w:hAnsi="SimSun" w:eastAsia="SimSun" w:cs="SimSun"/>
          <w:sz w:val="19"/>
          <w:szCs w:val="19"/>
        </w:rPr>
        <w:t xml:space="preserve"> </w:t>
      </w:r>
      <w:r>
        <w:rPr>
          <w:rFonts w:ascii="SimSun" w:hAnsi="SimSun" w:eastAsia="SimSun" w:cs="SimSun"/>
          <w:sz w:val="19"/>
          <w:szCs w:val="19"/>
          <w:spacing w:val="10"/>
        </w:rPr>
        <w:t>的转化效率，实现管理与活力激发。②对于政府而言，应积极</w:t>
      </w:r>
      <w:r>
        <w:rPr>
          <w:rFonts w:ascii="SimSun" w:hAnsi="SimSun" w:eastAsia="SimSun" w:cs="SimSun"/>
          <w:sz w:val="19"/>
          <w:szCs w:val="19"/>
          <w:spacing w:val="9"/>
        </w:rPr>
        <w:t>推动数</w:t>
      </w:r>
      <w:r>
        <w:rPr>
          <w:rFonts w:ascii="SimSun" w:hAnsi="SimSun" w:eastAsia="SimSun" w:cs="SimSun"/>
          <w:sz w:val="19"/>
          <w:szCs w:val="19"/>
        </w:rPr>
        <w:t xml:space="preserve"> </w:t>
      </w:r>
      <w:r>
        <w:rPr>
          <w:rFonts w:ascii="SimSun" w:hAnsi="SimSun" w:eastAsia="SimSun" w:cs="SimSun"/>
          <w:sz w:val="19"/>
          <w:szCs w:val="19"/>
          <w:spacing w:val="10"/>
        </w:rPr>
        <w:t>据技术产业赋能，引导数据技术的更新迭代，加快市场资源的进</w:t>
      </w:r>
      <w:r>
        <w:rPr>
          <w:rFonts w:ascii="SimSun" w:hAnsi="SimSun" w:eastAsia="SimSun" w:cs="SimSun"/>
          <w:sz w:val="19"/>
          <w:szCs w:val="19"/>
          <w:spacing w:val="9"/>
        </w:rPr>
        <w:t>一步</w:t>
      </w:r>
      <w:r>
        <w:rPr>
          <w:rFonts w:ascii="SimSun" w:hAnsi="SimSun" w:eastAsia="SimSun" w:cs="SimSun"/>
          <w:sz w:val="19"/>
          <w:szCs w:val="19"/>
        </w:rPr>
        <w:t xml:space="preserve"> </w:t>
      </w:r>
      <w:r>
        <w:rPr>
          <w:rFonts w:ascii="SimSun" w:hAnsi="SimSun" w:eastAsia="SimSun" w:cs="SimSun"/>
          <w:sz w:val="19"/>
          <w:szCs w:val="19"/>
          <w:spacing w:val="10"/>
        </w:rPr>
        <w:t>挖掘。对于平台企业而言，应积极实现数据技术的研发更新，</w:t>
      </w:r>
      <w:r>
        <w:rPr>
          <w:rFonts w:ascii="SimSun" w:hAnsi="SimSun" w:eastAsia="SimSun" w:cs="SimSun"/>
          <w:sz w:val="19"/>
          <w:szCs w:val="19"/>
          <w:spacing w:val="9"/>
        </w:rPr>
        <w:t>掌握数</w:t>
      </w:r>
      <w:r>
        <w:rPr>
          <w:rFonts w:ascii="SimSun" w:hAnsi="SimSun" w:eastAsia="SimSun" w:cs="SimSun"/>
          <w:sz w:val="19"/>
          <w:szCs w:val="19"/>
        </w:rPr>
        <w:t xml:space="preserve"> </w:t>
      </w:r>
      <w:r>
        <w:rPr>
          <w:rFonts w:ascii="SimSun" w:hAnsi="SimSun" w:eastAsia="SimSun" w:cs="SimSun"/>
          <w:sz w:val="19"/>
          <w:szCs w:val="19"/>
          <w:spacing w:val="10"/>
        </w:rPr>
        <w:t>据核心技术，同时加强技术与自身业务、市场需求的融合</w:t>
      </w:r>
      <w:r>
        <w:rPr>
          <w:rFonts w:ascii="SimSun" w:hAnsi="SimSun" w:eastAsia="SimSun" w:cs="SimSun"/>
          <w:sz w:val="19"/>
          <w:szCs w:val="19"/>
          <w:spacing w:val="9"/>
        </w:rPr>
        <w:t>力度，加快</w:t>
      </w:r>
      <w:r>
        <w:rPr>
          <w:rFonts w:ascii="SimSun" w:hAnsi="SimSun" w:eastAsia="SimSun" w:cs="SimSun"/>
          <w:sz w:val="19"/>
          <w:szCs w:val="19"/>
        </w:rPr>
        <w:t xml:space="preserve"> </w:t>
      </w:r>
      <w:r>
        <w:rPr>
          <w:rFonts w:ascii="SimSun" w:hAnsi="SimSun" w:eastAsia="SimSun" w:cs="SimSun"/>
          <w:sz w:val="19"/>
          <w:szCs w:val="19"/>
          <w:spacing w:val="10"/>
        </w:rPr>
        <w:t>技术发展与业务扩张的步伐；另外，应重视企业创新人才培养</w:t>
      </w:r>
      <w:r>
        <w:rPr>
          <w:rFonts w:ascii="SimSun" w:hAnsi="SimSun" w:eastAsia="SimSun" w:cs="SimSun"/>
          <w:sz w:val="19"/>
          <w:szCs w:val="19"/>
          <w:spacing w:val="9"/>
        </w:rPr>
        <w:t>，引入</w:t>
      </w:r>
      <w:r>
        <w:rPr>
          <w:rFonts w:ascii="SimSun" w:hAnsi="SimSun" w:eastAsia="SimSun" w:cs="SimSun"/>
          <w:sz w:val="19"/>
          <w:szCs w:val="19"/>
        </w:rPr>
        <w:t xml:space="preserve"> </w:t>
      </w:r>
      <w:r>
        <w:rPr>
          <w:rFonts w:ascii="SimSun" w:hAnsi="SimSun" w:eastAsia="SimSun" w:cs="SimSun"/>
          <w:sz w:val="19"/>
          <w:szCs w:val="19"/>
          <w:spacing w:val="10"/>
        </w:rPr>
        <w:t>高质量创新人才队伍，加强人才的管理与培养体系建设，积极</w:t>
      </w:r>
      <w:r>
        <w:rPr>
          <w:rFonts w:ascii="SimSun" w:hAnsi="SimSun" w:eastAsia="SimSun" w:cs="SimSun"/>
          <w:sz w:val="19"/>
          <w:szCs w:val="19"/>
          <w:spacing w:val="9"/>
        </w:rPr>
        <w:t>推动技</w:t>
      </w:r>
    </w:p>
    <w:p>
      <w:pPr>
        <w:spacing w:line="219" w:lineRule="auto"/>
        <w:rPr>
          <w:rFonts w:ascii="SimSun" w:hAnsi="SimSun" w:eastAsia="SimSun" w:cs="SimSun"/>
          <w:sz w:val="19"/>
          <w:szCs w:val="19"/>
        </w:rPr>
      </w:pPr>
      <w:r>
        <w:rPr>
          <w:rFonts w:ascii="SimSun" w:hAnsi="SimSun" w:eastAsia="SimSun" w:cs="SimSun"/>
          <w:sz w:val="19"/>
          <w:szCs w:val="19"/>
          <w:spacing w:val="4"/>
        </w:rPr>
        <w:t>术的研发。</w:t>
      </w:r>
    </w:p>
    <w:p>
      <w:pPr>
        <w:pStyle w:val="BodyText"/>
        <w:spacing w:line="333" w:lineRule="auto"/>
        <w:rPr/>
      </w:pPr>
      <w:r/>
    </w:p>
    <w:p>
      <w:pPr>
        <w:ind w:left="309" w:right="7" w:hanging="309"/>
        <w:spacing w:before="63" w:line="245" w:lineRule="auto"/>
        <w:rPr>
          <w:rFonts w:ascii="SimSun" w:hAnsi="SimSun" w:eastAsia="SimSun" w:cs="SimSun"/>
          <w:sz w:val="19"/>
          <w:szCs w:val="19"/>
        </w:rPr>
      </w:pPr>
      <w:r>
        <w:rPr>
          <w:rFonts w:ascii="KaiTi" w:hAnsi="KaiTi" w:eastAsia="KaiTi" w:cs="KaiTi"/>
          <w:sz w:val="19"/>
          <w:szCs w:val="19"/>
          <w:spacing w:val="-25"/>
        </w:rPr>
        <w:t>①</w:t>
      </w:r>
      <w:r>
        <w:rPr>
          <w:rFonts w:ascii="KaiTi" w:hAnsi="KaiTi" w:eastAsia="KaiTi" w:cs="KaiTi"/>
          <w:sz w:val="19"/>
          <w:szCs w:val="19"/>
          <w:spacing w:val="42"/>
          <w:w w:val="101"/>
        </w:rPr>
        <w:t xml:space="preserve"> </w:t>
      </w:r>
      <w:r>
        <w:rPr>
          <w:rFonts w:ascii="KaiTi" w:hAnsi="KaiTi" w:eastAsia="KaiTi" w:cs="KaiTi"/>
          <w:sz w:val="19"/>
          <w:szCs w:val="19"/>
          <w:spacing w:val="-25"/>
        </w:rPr>
        <w:t>蒋国银.平台经济数字治理：框架、要素与路径.人民论坛·学术前沿，2021(17):</w:t>
      </w:r>
      <w:r>
        <w:rPr>
          <w:rFonts w:ascii="KaiTi" w:hAnsi="KaiTi" w:eastAsia="KaiTi" w:cs="KaiTi"/>
          <w:sz w:val="19"/>
          <w:szCs w:val="19"/>
        </w:rPr>
        <w:t xml:space="preserve"> </w:t>
      </w:r>
      <w:r>
        <w:rPr>
          <w:rFonts w:ascii="SimSun" w:hAnsi="SimSun" w:eastAsia="SimSun" w:cs="SimSun"/>
          <w:sz w:val="19"/>
          <w:szCs w:val="19"/>
          <w:spacing w:val="-15"/>
        </w:rPr>
        <w:t>32-39.</w:t>
      </w:r>
    </w:p>
    <w:p>
      <w:pPr>
        <w:ind w:left="339" w:right="20" w:hanging="339"/>
        <w:spacing w:before="45" w:line="246" w:lineRule="auto"/>
        <w:rPr>
          <w:rFonts w:ascii="Times New Roman" w:hAnsi="Times New Roman" w:eastAsia="Times New Roman" w:cs="Times New Roman"/>
          <w:sz w:val="19"/>
          <w:szCs w:val="19"/>
        </w:rPr>
      </w:pPr>
      <w:r>
        <w:rPr>
          <w:rFonts w:ascii="KaiTi" w:hAnsi="KaiTi" w:eastAsia="KaiTi" w:cs="KaiTi"/>
          <w:sz w:val="19"/>
          <w:szCs w:val="19"/>
          <w:spacing w:val="-17"/>
          <w:w w:val="95"/>
        </w:rPr>
        <w:t>②</w:t>
      </w:r>
      <w:r>
        <w:rPr>
          <w:rFonts w:ascii="KaiTi" w:hAnsi="KaiTi" w:eastAsia="KaiTi" w:cs="KaiTi"/>
          <w:sz w:val="19"/>
          <w:szCs w:val="19"/>
          <w:spacing w:val="53"/>
        </w:rPr>
        <w:t xml:space="preserve"> </w:t>
      </w:r>
      <w:r>
        <w:rPr>
          <w:rFonts w:ascii="KaiTi" w:hAnsi="KaiTi" w:eastAsia="KaiTi" w:cs="KaiTi"/>
          <w:sz w:val="19"/>
          <w:szCs w:val="19"/>
          <w:spacing w:val="-17"/>
          <w:w w:val="95"/>
        </w:rPr>
        <w:t>高素英，张烨，金相杉.技术赋能视角下企业服务生态系统动态演</w:t>
      </w:r>
      <w:r>
        <w:rPr>
          <w:rFonts w:ascii="KaiTi" w:hAnsi="KaiTi" w:eastAsia="KaiTi" w:cs="KaiTi"/>
          <w:sz w:val="19"/>
          <w:szCs w:val="19"/>
          <w:spacing w:val="-18"/>
          <w:w w:val="95"/>
        </w:rPr>
        <w:t>化机理研究.科</w:t>
      </w:r>
      <w:r>
        <w:rPr>
          <w:rFonts w:ascii="KaiTi" w:hAnsi="KaiTi" w:eastAsia="KaiTi" w:cs="KaiTi"/>
          <w:sz w:val="19"/>
          <w:szCs w:val="19"/>
        </w:rPr>
        <w:t xml:space="preserve"> </w:t>
      </w:r>
      <w:r>
        <w:rPr>
          <w:rFonts w:ascii="KaiTi" w:hAnsi="KaiTi" w:eastAsia="KaiTi" w:cs="KaiTi"/>
          <w:sz w:val="19"/>
          <w:szCs w:val="19"/>
          <w:spacing w:val="-14"/>
        </w:rPr>
        <w:t>学学与科学技术管理，2021(4):</w:t>
      </w:r>
      <w:r>
        <w:rPr>
          <w:rFonts w:ascii="KaiTi" w:hAnsi="KaiTi" w:eastAsia="KaiTi" w:cs="KaiTi"/>
          <w:sz w:val="19"/>
          <w:szCs w:val="19"/>
          <w:spacing w:val="-34"/>
        </w:rPr>
        <w:t xml:space="preserve"> </w:t>
      </w:r>
      <w:r>
        <w:rPr>
          <w:rFonts w:ascii="Times New Roman" w:hAnsi="Times New Roman" w:eastAsia="Times New Roman" w:cs="Times New Roman"/>
          <w:sz w:val="19"/>
          <w:szCs w:val="19"/>
          <w:spacing w:val="-14"/>
        </w:rPr>
        <w:t>104-126.</w:t>
      </w:r>
    </w:p>
    <w:p>
      <w:pPr>
        <w:spacing w:line="246" w:lineRule="auto"/>
        <w:sectPr>
          <w:headerReference w:type="default" r:id="rId1"/>
          <w:pgSz w:w="7330" w:h="12480"/>
          <w:pgMar w:top="400" w:right="828" w:bottom="400" w:left="469" w:header="0" w:footer="0" w:gutter="0"/>
        </w:sectPr>
        <w:rPr>
          <w:rFonts w:ascii="Times New Roman" w:hAnsi="Times New Roman" w:eastAsia="Times New Roman" w:cs="Times New Roman"/>
          <w:sz w:val="19"/>
          <w:szCs w:val="19"/>
        </w:rPr>
      </w:pPr>
    </w:p>
    <w:p>
      <w:pPr>
        <w:pStyle w:val="BodyText"/>
        <w:spacing w:line="250" w:lineRule="auto"/>
        <w:rPr/>
      </w:pPr>
      <w:r>
        <w:drawing>
          <wp:anchor distT="0" distB="0" distL="0" distR="0" simplePos="0" relativeHeight="255512576" behindDoc="0" locked="0" layoutInCell="0" allowOverlap="1">
            <wp:simplePos x="0" y="0"/>
            <wp:positionH relativeFrom="page">
              <wp:posOffset>482583</wp:posOffset>
            </wp:positionH>
            <wp:positionV relativeFrom="page">
              <wp:posOffset>6159467</wp:posOffset>
            </wp:positionV>
            <wp:extent cx="1181138" cy="6350"/>
            <wp:effectExtent l="0" t="0" r="0" b="0"/>
            <wp:wrapNone/>
            <wp:docPr id="314" name="IM 314"/>
            <wp:cNvGraphicFramePr/>
            <a:graphic>
              <a:graphicData uri="http://schemas.openxmlformats.org/drawingml/2006/picture">
                <pic:pic>
                  <pic:nvPicPr>
                    <pic:cNvPr id="314" name="IM 314"/>
                    <pic:cNvPicPr/>
                  </pic:nvPicPr>
                  <pic:blipFill>
                    <a:blip r:embed="rId452"/>
                    <a:stretch>
                      <a:fillRect/>
                    </a:stretch>
                  </pic:blipFill>
                  <pic:spPr>
                    <a:xfrm rot="0">
                      <a:off x="0" y="0"/>
                      <a:ext cx="1181138"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3"/>
        </w:rPr>
        <w:t>算法审计与争议解决</w:t>
      </w:r>
    </w:p>
    <w:p>
      <w:pPr>
        <w:pStyle w:val="BodyText"/>
        <w:spacing w:line="342" w:lineRule="auto"/>
        <w:rPr/>
      </w:pPr>
      <w:r/>
    </w:p>
    <w:p>
      <w:pPr>
        <w:ind w:right="35" w:firstLine="420"/>
        <w:spacing w:before="68" w:line="297" w:lineRule="auto"/>
        <w:jc w:val="both"/>
        <w:rPr>
          <w:rFonts w:ascii="SimSun" w:hAnsi="SimSun" w:eastAsia="SimSun" w:cs="SimSun"/>
          <w:sz w:val="21"/>
          <w:szCs w:val="21"/>
        </w:rPr>
      </w:pPr>
      <w:r>
        <w:rPr>
          <w:rFonts w:ascii="SimSun" w:hAnsi="SimSun" w:eastAsia="SimSun" w:cs="SimSun"/>
          <w:sz w:val="21"/>
          <w:szCs w:val="21"/>
          <w:spacing w:val="-4"/>
        </w:rPr>
        <w:t>平台兼具企业运营、市场交易和实施调控的功能，应主动承担</w:t>
      </w:r>
      <w:r>
        <w:rPr>
          <w:rFonts w:ascii="SimSun" w:hAnsi="SimSun" w:eastAsia="SimSun" w:cs="SimSun"/>
          <w:sz w:val="21"/>
          <w:szCs w:val="21"/>
          <w:spacing w:val="16"/>
        </w:rPr>
        <w:t xml:space="preserve"> </w:t>
      </w:r>
      <w:r>
        <w:rPr>
          <w:rFonts w:ascii="SimSun" w:hAnsi="SimSun" w:eastAsia="SimSun" w:cs="SimSun"/>
          <w:sz w:val="21"/>
          <w:szCs w:val="21"/>
          <w:spacing w:val="-11"/>
        </w:rPr>
        <w:t>责任。它们既可能形成一定的社会影响，也容易导致</w:t>
      </w:r>
      <w:r>
        <w:rPr>
          <w:rFonts w:ascii="SimSun" w:hAnsi="SimSun" w:eastAsia="SimSun" w:cs="SimSun"/>
          <w:sz w:val="21"/>
          <w:szCs w:val="21"/>
          <w:spacing w:val="-12"/>
        </w:rPr>
        <w:t>“运动员兼裁判</w:t>
      </w:r>
      <w:r>
        <w:rPr>
          <w:rFonts w:ascii="SimSun" w:hAnsi="SimSun" w:eastAsia="SimSun" w:cs="SimSun"/>
          <w:sz w:val="21"/>
          <w:szCs w:val="21"/>
        </w:rPr>
        <w:t xml:space="preserve">  </w:t>
      </w:r>
      <w:r>
        <w:rPr>
          <w:rFonts w:ascii="SimSun" w:hAnsi="SimSun" w:eastAsia="SimSun" w:cs="SimSun"/>
          <w:sz w:val="21"/>
          <w:szCs w:val="21"/>
          <w:spacing w:val="-8"/>
        </w:rPr>
        <w:t>员”的问题。解决这些问题的关键是平台的调控规则</w:t>
      </w:r>
      <w:r>
        <w:rPr>
          <w:rFonts w:ascii="SimSun" w:hAnsi="SimSun" w:eastAsia="SimSun" w:cs="SimSun"/>
          <w:sz w:val="21"/>
          <w:szCs w:val="21"/>
          <w:spacing w:val="-9"/>
        </w:rPr>
        <w:t>要明确、公平、</w:t>
      </w:r>
      <w:r>
        <w:rPr>
          <w:rFonts w:ascii="SimSun" w:hAnsi="SimSun" w:eastAsia="SimSun" w:cs="SimSun"/>
          <w:sz w:val="21"/>
          <w:szCs w:val="21"/>
        </w:rPr>
        <w:t xml:space="preserve"> </w:t>
      </w:r>
      <w:r>
        <w:rPr>
          <w:rFonts w:ascii="SimSun" w:hAnsi="SimSun" w:eastAsia="SimSun" w:cs="SimSun"/>
          <w:sz w:val="21"/>
          <w:szCs w:val="21"/>
          <w:spacing w:val="-10"/>
        </w:rPr>
        <w:t>透明，建立有效的争端解决机制与问责机制。平台除了追求企</w:t>
      </w:r>
      <w:r>
        <w:rPr>
          <w:rFonts w:ascii="SimSun" w:hAnsi="SimSun" w:eastAsia="SimSun" w:cs="SimSun"/>
          <w:sz w:val="21"/>
          <w:szCs w:val="21"/>
          <w:spacing w:val="-11"/>
        </w:rPr>
        <w:t>业的经</w:t>
      </w:r>
      <w:r>
        <w:rPr>
          <w:rFonts w:ascii="SimSun" w:hAnsi="SimSun" w:eastAsia="SimSun" w:cs="SimSun"/>
          <w:sz w:val="21"/>
          <w:szCs w:val="21"/>
        </w:rPr>
        <w:t xml:space="preserve"> </w:t>
      </w:r>
      <w:r>
        <w:rPr>
          <w:rFonts w:ascii="SimSun" w:hAnsi="SimSun" w:eastAsia="SimSun" w:cs="SimSun"/>
          <w:sz w:val="21"/>
          <w:szCs w:val="21"/>
          <w:spacing w:val="-11"/>
        </w:rPr>
        <w:t>营目标，也应该主动承担责任，与监管部门形成良性的互动关系。</w:t>
      </w:r>
    </w:p>
    <w:p>
      <w:pPr>
        <w:pStyle w:val="BodyText"/>
        <w:spacing w:line="425" w:lineRule="auto"/>
        <w:rPr/>
      </w:pPr>
      <w:r/>
    </w:p>
    <w:p>
      <w:pPr>
        <w:ind w:left="422"/>
        <w:spacing w:before="68" w:line="219" w:lineRule="auto"/>
        <w:rPr>
          <w:rFonts w:ascii="SimSun" w:hAnsi="SimSun" w:eastAsia="SimSun" w:cs="SimSun"/>
          <w:sz w:val="21"/>
          <w:szCs w:val="21"/>
        </w:rPr>
      </w:pPr>
      <w:r>
        <w:rPr>
          <w:rFonts w:ascii="SimSun" w:hAnsi="SimSun" w:eastAsia="SimSun" w:cs="SimSun"/>
          <w:sz w:val="21"/>
          <w:szCs w:val="21"/>
          <w:b/>
          <w:bCs/>
          <w:spacing w:val="-13"/>
        </w:rPr>
        <w:t>建立有效的算法审计机制，实行有限度的算法公开</w:t>
      </w:r>
    </w:p>
    <w:p>
      <w:pPr>
        <w:ind w:right="87" w:firstLine="420"/>
        <w:spacing w:before="90" w:line="307" w:lineRule="auto"/>
        <w:jc w:val="both"/>
        <w:rPr>
          <w:rFonts w:ascii="SimSun" w:hAnsi="SimSun" w:eastAsia="SimSun" w:cs="SimSun"/>
          <w:sz w:val="21"/>
          <w:szCs w:val="21"/>
        </w:rPr>
      </w:pPr>
      <w:r>
        <w:rPr>
          <w:rFonts w:ascii="SimSun" w:hAnsi="SimSun" w:eastAsia="SimSun" w:cs="SimSun"/>
          <w:sz w:val="21"/>
          <w:szCs w:val="21"/>
          <w:spacing w:val="-3"/>
        </w:rPr>
        <w:t>算法作为经营者的商业秘密，面向社会公开</w:t>
      </w:r>
      <w:r>
        <w:rPr>
          <w:rFonts w:ascii="SimSun" w:hAnsi="SimSun" w:eastAsia="SimSun" w:cs="SimSun"/>
          <w:sz w:val="21"/>
          <w:szCs w:val="21"/>
          <w:spacing w:val="-4"/>
        </w:rPr>
        <w:t>会加剧市场透明度</w:t>
      </w:r>
      <w:r>
        <w:rPr>
          <w:rFonts w:ascii="SimSun" w:hAnsi="SimSun" w:eastAsia="SimSun" w:cs="SimSun"/>
          <w:sz w:val="21"/>
          <w:szCs w:val="21"/>
        </w:rPr>
        <w:t xml:space="preserve"> </w:t>
      </w:r>
      <w:r>
        <w:rPr>
          <w:rFonts w:ascii="SimSun" w:hAnsi="SimSun" w:eastAsia="SimSun" w:cs="SimSun"/>
          <w:sz w:val="21"/>
          <w:szCs w:val="21"/>
          <w:spacing w:val="-10"/>
        </w:rPr>
        <w:t>以及经营者使用相似算法实现合谋的风险，因</w:t>
      </w:r>
      <w:r>
        <w:rPr>
          <w:rFonts w:ascii="SimSun" w:hAnsi="SimSun" w:eastAsia="SimSun" w:cs="SimSun"/>
          <w:sz w:val="21"/>
          <w:szCs w:val="21"/>
          <w:spacing w:val="-11"/>
        </w:rPr>
        <w:t>此算法只能有限度地向</w:t>
      </w:r>
      <w:r>
        <w:rPr>
          <w:rFonts w:ascii="SimSun" w:hAnsi="SimSun" w:eastAsia="SimSun" w:cs="SimSun"/>
          <w:sz w:val="21"/>
          <w:szCs w:val="21"/>
        </w:rPr>
        <w:t xml:space="preserve"> </w:t>
      </w:r>
      <w:r>
        <w:rPr>
          <w:rFonts w:ascii="SimSun" w:hAnsi="SimSun" w:eastAsia="SimSun" w:cs="SimSun"/>
          <w:sz w:val="21"/>
          <w:szCs w:val="21"/>
          <w:spacing w:val="-10"/>
        </w:rPr>
        <w:t>监管机关公开。①一方面，建立适当的算法事前审查机制。以往对于</w:t>
      </w:r>
      <w:r>
        <w:rPr>
          <w:rFonts w:ascii="SimSun" w:hAnsi="SimSun" w:eastAsia="SimSun" w:cs="SimSun"/>
          <w:sz w:val="21"/>
          <w:szCs w:val="21"/>
        </w:rPr>
        <w:t xml:space="preserve"> </w:t>
      </w:r>
      <w:r>
        <w:rPr>
          <w:rFonts w:ascii="SimSun" w:hAnsi="SimSun" w:eastAsia="SimSun" w:cs="SimSun"/>
          <w:sz w:val="21"/>
          <w:szCs w:val="21"/>
          <w:spacing w:val="-11"/>
        </w:rPr>
        <w:t>算法的审查多为事后审查的模式，在风险发生后才采取相应的救济措</w:t>
      </w:r>
      <w:r>
        <w:rPr>
          <w:rFonts w:ascii="SimSun" w:hAnsi="SimSun" w:eastAsia="SimSun" w:cs="SimSun"/>
          <w:sz w:val="21"/>
          <w:szCs w:val="21"/>
          <w:spacing w:val="9"/>
        </w:rPr>
        <w:t xml:space="preserve"> </w:t>
      </w:r>
      <w:r>
        <w:rPr>
          <w:rFonts w:ascii="SimSun" w:hAnsi="SimSun" w:eastAsia="SimSun" w:cs="SimSun"/>
          <w:sz w:val="21"/>
          <w:szCs w:val="21"/>
          <w:spacing w:val="-10"/>
        </w:rPr>
        <w:t>施，这种做法难以对自主类算法共谋形成有效规制，在事前对算法予</w:t>
      </w:r>
      <w:r>
        <w:rPr>
          <w:rFonts w:ascii="SimSun" w:hAnsi="SimSun" w:eastAsia="SimSun" w:cs="SimSun"/>
          <w:sz w:val="21"/>
          <w:szCs w:val="21"/>
        </w:rPr>
        <w:t xml:space="preserve"> </w:t>
      </w:r>
      <w:r>
        <w:rPr>
          <w:rFonts w:ascii="SimSun" w:hAnsi="SimSun" w:eastAsia="SimSun" w:cs="SimSun"/>
          <w:sz w:val="21"/>
          <w:szCs w:val="21"/>
          <w:spacing w:val="-10"/>
        </w:rPr>
        <w:t>以审查有助于避免算法运算潜在风险的发生。同时从成本效益的角度</w:t>
      </w:r>
      <w:r>
        <w:rPr>
          <w:rFonts w:ascii="SimSun" w:hAnsi="SimSun" w:eastAsia="SimSun" w:cs="SimSun"/>
          <w:sz w:val="21"/>
          <w:szCs w:val="21"/>
        </w:rPr>
        <w:t xml:space="preserve"> </w:t>
      </w:r>
      <w:r>
        <w:rPr>
          <w:rFonts w:ascii="SimSun" w:hAnsi="SimSun" w:eastAsia="SimSun" w:cs="SimSun"/>
          <w:sz w:val="21"/>
          <w:szCs w:val="21"/>
          <w:spacing w:val="-11"/>
        </w:rPr>
        <w:t>考虑，对所有算法实现事前审查并不可行，事前审查的对象应着重关</w:t>
      </w:r>
      <w:r>
        <w:rPr>
          <w:rFonts w:ascii="SimSun" w:hAnsi="SimSun" w:eastAsia="SimSun" w:cs="SimSun"/>
          <w:sz w:val="21"/>
          <w:szCs w:val="21"/>
          <w:spacing w:val="8"/>
        </w:rPr>
        <w:t xml:space="preserve"> </w:t>
      </w:r>
      <w:r>
        <w:rPr>
          <w:rFonts w:ascii="SimSun" w:hAnsi="SimSun" w:eastAsia="SimSun" w:cs="SimSun"/>
          <w:sz w:val="21"/>
          <w:szCs w:val="21"/>
          <w:spacing w:val="-10"/>
        </w:rPr>
        <w:t>注涉及重大公共利益的算法。另一方面，监管部门可以建立算</w:t>
      </w:r>
      <w:r>
        <w:rPr>
          <w:rFonts w:ascii="SimSun" w:hAnsi="SimSun" w:eastAsia="SimSun" w:cs="SimSun"/>
          <w:sz w:val="21"/>
          <w:szCs w:val="21"/>
          <w:spacing w:val="-11"/>
        </w:rPr>
        <w:t>法审计</w:t>
      </w:r>
      <w:r>
        <w:rPr>
          <w:rFonts w:ascii="SimSun" w:hAnsi="SimSun" w:eastAsia="SimSun" w:cs="SimSun"/>
          <w:sz w:val="21"/>
          <w:szCs w:val="21"/>
        </w:rPr>
        <w:t xml:space="preserve"> </w:t>
      </w:r>
      <w:r>
        <w:rPr>
          <w:rFonts w:ascii="SimSun" w:hAnsi="SimSun" w:eastAsia="SimSun" w:cs="SimSun"/>
          <w:sz w:val="21"/>
          <w:szCs w:val="21"/>
          <w:spacing w:val="-11"/>
        </w:rPr>
        <w:t>渠道，对算法进行审查备案。③通过审查算法风险与市场利益之间的</w:t>
      </w:r>
      <w:r>
        <w:rPr>
          <w:rFonts w:ascii="SimSun" w:hAnsi="SimSun" w:eastAsia="SimSun" w:cs="SimSun"/>
          <w:sz w:val="21"/>
          <w:szCs w:val="21"/>
          <w:spacing w:val="14"/>
        </w:rPr>
        <w:t xml:space="preserve"> </w:t>
      </w:r>
      <w:r>
        <w:rPr>
          <w:rFonts w:ascii="SimSun" w:hAnsi="SimSun" w:eastAsia="SimSun" w:cs="SimSun"/>
          <w:sz w:val="21"/>
          <w:szCs w:val="21"/>
          <w:spacing w:val="-11"/>
        </w:rPr>
        <w:t>互动关系，从不同角度审查算法是否存在违法的风险。</w:t>
      </w:r>
    </w:p>
    <w:p>
      <w:pPr>
        <w:pStyle w:val="BodyText"/>
        <w:spacing w:line="387" w:lineRule="auto"/>
        <w:rPr/>
      </w:pPr>
      <w:r/>
    </w:p>
    <w:p>
      <w:pPr>
        <w:ind w:left="422"/>
        <w:spacing w:before="69" w:line="219" w:lineRule="auto"/>
        <w:rPr>
          <w:rFonts w:ascii="SimSun" w:hAnsi="SimSun" w:eastAsia="SimSun" w:cs="SimSun"/>
          <w:sz w:val="21"/>
          <w:szCs w:val="21"/>
        </w:rPr>
      </w:pPr>
      <w:r>
        <w:rPr>
          <w:rFonts w:ascii="SimSun" w:hAnsi="SimSun" w:eastAsia="SimSun" w:cs="SimSun"/>
          <w:sz w:val="21"/>
          <w:szCs w:val="21"/>
          <w:b/>
          <w:bCs/>
          <w:spacing w:val="-12"/>
        </w:rPr>
        <w:t>建立合法的算法问责机制，适度规制算法规则</w:t>
      </w:r>
    </w:p>
    <w:p>
      <w:pPr>
        <w:ind w:left="420"/>
        <w:spacing w:before="134" w:line="219" w:lineRule="auto"/>
        <w:rPr>
          <w:rFonts w:ascii="SimSun" w:hAnsi="SimSun" w:eastAsia="SimSun" w:cs="SimSun"/>
          <w:sz w:val="21"/>
          <w:szCs w:val="21"/>
        </w:rPr>
      </w:pPr>
      <w:r>
        <w:rPr>
          <w:rFonts w:ascii="SimSun" w:hAnsi="SimSun" w:eastAsia="SimSun" w:cs="SimSun"/>
          <w:sz w:val="21"/>
          <w:szCs w:val="21"/>
          <w:spacing w:val="-10"/>
        </w:rPr>
        <w:t>解决因算法技术引起的社会治理问题，应明确执法机构在治理中</w:t>
      </w:r>
    </w:p>
    <w:p>
      <w:pPr>
        <w:pStyle w:val="BodyText"/>
        <w:spacing w:line="419" w:lineRule="auto"/>
        <w:rPr/>
      </w:pPr>
      <w:r/>
    </w:p>
    <w:p>
      <w:pPr>
        <w:ind w:left="300" w:hanging="300"/>
        <w:spacing w:before="53" w:line="281" w:lineRule="auto"/>
        <w:rPr>
          <w:rFonts w:ascii="SimSun" w:hAnsi="SimSun" w:eastAsia="SimSun" w:cs="SimSun"/>
          <w:sz w:val="16"/>
          <w:szCs w:val="16"/>
        </w:rPr>
      </w:pPr>
      <w:r>
        <w:rPr>
          <w:rFonts w:ascii="KaiTi" w:hAnsi="KaiTi" w:eastAsia="KaiTi" w:cs="KaiTi"/>
          <w:sz w:val="16"/>
          <w:szCs w:val="16"/>
          <w:spacing w:val="3"/>
        </w:rPr>
        <w:t>①</w:t>
      </w:r>
      <w:r>
        <w:rPr>
          <w:rFonts w:ascii="KaiTi" w:hAnsi="KaiTi" w:eastAsia="KaiTi" w:cs="KaiTi"/>
          <w:sz w:val="16"/>
          <w:szCs w:val="16"/>
          <w:spacing w:val="3"/>
        </w:rPr>
        <w:t xml:space="preserve">  </w:t>
      </w:r>
      <w:r>
        <w:rPr>
          <w:rFonts w:ascii="KaiTi" w:hAnsi="KaiTi" w:eastAsia="KaiTi" w:cs="KaiTi"/>
          <w:sz w:val="16"/>
          <w:szCs w:val="16"/>
          <w:spacing w:val="3"/>
        </w:rPr>
        <w:t>黄周夹.平台经济时代算法共谋的反垄断规制路径.中国价格监管与反叁断，20</w:t>
      </w:r>
      <w:r>
        <w:rPr>
          <w:rFonts w:ascii="KaiTi" w:hAnsi="KaiTi" w:eastAsia="KaiTi" w:cs="KaiTi"/>
          <w:sz w:val="16"/>
          <w:szCs w:val="16"/>
          <w:spacing w:val="2"/>
        </w:rPr>
        <w:t>21</w:t>
      </w:r>
      <w:r>
        <w:rPr>
          <w:rFonts w:ascii="KaiTi" w:hAnsi="KaiTi" w:eastAsia="KaiTi" w:cs="KaiTi"/>
          <w:sz w:val="16"/>
          <w:szCs w:val="16"/>
        </w:rPr>
        <w:t xml:space="preserve"> </w:t>
      </w:r>
      <w:r>
        <w:rPr>
          <w:rFonts w:ascii="KaiTi" w:hAnsi="KaiTi" w:eastAsia="KaiTi" w:cs="KaiTi"/>
          <w:sz w:val="16"/>
          <w:szCs w:val="16"/>
          <w:spacing w:val="16"/>
        </w:rPr>
        <w:t>(7):34-39;施春风.</w:t>
      </w:r>
      <w:r>
        <w:rPr>
          <w:rFonts w:ascii="KaiTi" w:hAnsi="KaiTi" w:eastAsia="KaiTi" w:cs="KaiTi"/>
          <w:sz w:val="16"/>
          <w:szCs w:val="16"/>
          <w:spacing w:val="-46"/>
        </w:rPr>
        <w:t xml:space="preserve"> </w:t>
      </w:r>
      <w:r>
        <w:rPr>
          <w:rFonts w:ascii="KaiTi" w:hAnsi="KaiTi" w:eastAsia="KaiTi" w:cs="KaiTi"/>
          <w:sz w:val="16"/>
          <w:szCs w:val="16"/>
          <w:spacing w:val="16"/>
        </w:rPr>
        <w:t>定价算法在网络交易中的反垄断</w:t>
      </w:r>
      <w:r>
        <w:rPr>
          <w:rFonts w:ascii="KaiTi" w:hAnsi="KaiTi" w:eastAsia="KaiTi" w:cs="KaiTi"/>
          <w:sz w:val="16"/>
          <w:szCs w:val="16"/>
          <w:spacing w:val="15"/>
        </w:rPr>
        <w:t>法律规制.</w:t>
      </w:r>
      <w:r>
        <w:rPr>
          <w:rFonts w:ascii="KaiTi" w:hAnsi="KaiTi" w:eastAsia="KaiTi" w:cs="KaiTi"/>
          <w:sz w:val="16"/>
          <w:szCs w:val="16"/>
          <w:spacing w:val="-43"/>
        </w:rPr>
        <w:t xml:space="preserve"> </w:t>
      </w:r>
      <w:r>
        <w:rPr>
          <w:rFonts w:ascii="KaiTi" w:hAnsi="KaiTi" w:eastAsia="KaiTi" w:cs="KaiTi"/>
          <w:sz w:val="16"/>
          <w:szCs w:val="16"/>
          <w:spacing w:val="15"/>
        </w:rPr>
        <w:t>河北法学，</w:t>
      </w:r>
      <w:r>
        <w:rPr>
          <w:rFonts w:ascii="KaiTi" w:hAnsi="KaiTi" w:eastAsia="KaiTi" w:cs="KaiTi"/>
          <w:sz w:val="16"/>
          <w:szCs w:val="16"/>
        </w:rPr>
        <w:t xml:space="preserve"> </w:t>
      </w:r>
      <w:r>
        <w:rPr>
          <w:rFonts w:ascii="SimSun" w:hAnsi="SimSun" w:eastAsia="SimSun" w:cs="SimSun"/>
          <w:sz w:val="16"/>
          <w:szCs w:val="16"/>
        </w:rPr>
        <w:t>2018(11):111-119.</w:t>
      </w:r>
    </w:p>
    <w:p>
      <w:pPr>
        <w:ind w:left="300" w:right="68" w:hanging="300"/>
        <w:spacing w:before="88" w:line="275" w:lineRule="auto"/>
        <w:rPr>
          <w:rFonts w:ascii="SimSun" w:hAnsi="SimSun" w:eastAsia="SimSun" w:cs="SimSun"/>
          <w:sz w:val="16"/>
          <w:szCs w:val="16"/>
        </w:rPr>
      </w:pPr>
      <w:r>
        <w:rPr>
          <w:rFonts w:ascii="KaiTi" w:hAnsi="KaiTi" w:eastAsia="KaiTi" w:cs="KaiTi"/>
          <w:sz w:val="16"/>
          <w:szCs w:val="16"/>
          <w:spacing w:val="9"/>
        </w:rPr>
        <w:t>②</w:t>
      </w:r>
      <w:r>
        <w:rPr>
          <w:rFonts w:ascii="KaiTi" w:hAnsi="KaiTi" w:eastAsia="KaiTi" w:cs="KaiTi"/>
          <w:sz w:val="16"/>
          <w:szCs w:val="16"/>
          <w:spacing w:val="3"/>
        </w:rPr>
        <w:t xml:space="preserve">  </w:t>
      </w:r>
      <w:r>
        <w:rPr>
          <w:rFonts w:ascii="KaiTi" w:hAnsi="KaiTi" w:eastAsia="KaiTi" w:cs="KaiTi"/>
          <w:sz w:val="16"/>
          <w:szCs w:val="16"/>
          <w:spacing w:val="9"/>
        </w:rPr>
        <w:t>张凌寒.权力之治：人工智能时代的算法规制.上海：上海人民出</w:t>
      </w:r>
      <w:r>
        <w:rPr>
          <w:rFonts w:ascii="KaiTi" w:hAnsi="KaiTi" w:eastAsia="KaiTi" w:cs="KaiTi"/>
          <w:sz w:val="16"/>
          <w:szCs w:val="16"/>
          <w:spacing w:val="8"/>
        </w:rPr>
        <w:t>版社，2021;</w:t>
      </w:r>
      <w:r>
        <w:rPr>
          <w:rFonts w:ascii="KaiTi" w:hAnsi="KaiTi" w:eastAsia="KaiTi" w:cs="KaiTi"/>
          <w:sz w:val="16"/>
          <w:szCs w:val="16"/>
        </w:rPr>
        <w:t xml:space="preserve"> </w:t>
      </w:r>
      <w:r>
        <w:rPr>
          <w:rFonts w:ascii="SimSun" w:hAnsi="SimSun" w:eastAsia="SimSun" w:cs="SimSun"/>
          <w:sz w:val="16"/>
          <w:szCs w:val="16"/>
          <w:spacing w:val="-2"/>
        </w:rPr>
        <w:t>218-220.</w:t>
      </w:r>
    </w:p>
    <w:p>
      <w:pPr>
        <w:spacing w:line="275" w:lineRule="auto"/>
        <w:sectPr>
          <w:headerReference w:type="default" r:id="rId451"/>
          <w:pgSz w:w="7330" w:h="12480"/>
          <w:pgMar w:top="507" w:right="489" w:bottom="400" w:left="750" w:header="345" w:footer="0" w:gutter="0"/>
        </w:sectPr>
        <w:rPr>
          <w:rFonts w:ascii="SimSun" w:hAnsi="SimSun" w:eastAsia="SimSun" w:cs="SimSun"/>
          <w:sz w:val="16"/>
          <w:szCs w:val="16"/>
        </w:rPr>
      </w:pPr>
    </w:p>
    <w:p>
      <w:pPr>
        <w:pStyle w:val="BodyText"/>
        <w:spacing w:line="254" w:lineRule="auto"/>
        <w:rPr/>
      </w:pPr>
      <w:r>
        <w:drawing>
          <wp:anchor distT="0" distB="0" distL="0" distR="0" simplePos="0" relativeHeight="255522816" behindDoc="0" locked="0" layoutInCell="0" allowOverlap="1">
            <wp:simplePos x="0" y="0"/>
            <wp:positionH relativeFrom="page">
              <wp:posOffset>419096</wp:posOffset>
            </wp:positionH>
            <wp:positionV relativeFrom="page">
              <wp:posOffset>6870717</wp:posOffset>
            </wp:positionV>
            <wp:extent cx="1168384" cy="6350"/>
            <wp:effectExtent l="0" t="0" r="0" b="0"/>
            <wp:wrapNone/>
            <wp:docPr id="316" name="IM 316"/>
            <wp:cNvGraphicFramePr/>
            <a:graphic>
              <a:graphicData uri="http://schemas.openxmlformats.org/drawingml/2006/picture">
                <pic:pic>
                  <pic:nvPicPr>
                    <pic:cNvPr id="316" name="IM 316"/>
                    <pic:cNvPicPr/>
                  </pic:nvPicPr>
                  <pic:blipFill>
                    <a:blip r:embed="rId454"/>
                    <a:stretch>
                      <a:fillRect/>
                    </a:stretch>
                  </pic:blipFill>
                  <pic:spPr>
                    <a:xfrm rot="0">
                      <a:off x="0" y="0"/>
                      <a:ext cx="1168384"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ind w:right="88"/>
        <w:spacing w:before="68" w:line="286" w:lineRule="auto"/>
        <w:jc w:val="both"/>
        <w:rPr>
          <w:rFonts w:ascii="SimSun" w:hAnsi="SimSun" w:eastAsia="SimSun" w:cs="SimSun"/>
          <w:sz w:val="21"/>
          <w:szCs w:val="21"/>
        </w:rPr>
      </w:pPr>
      <w:r>
        <w:rPr>
          <w:rFonts w:ascii="SimSun" w:hAnsi="SimSun" w:eastAsia="SimSun" w:cs="SimSun"/>
          <w:sz w:val="21"/>
          <w:szCs w:val="21"/>
          <w:spacing w:val="-10"/>
        </w:rPr>
        <w:t>的主导地位，通过发挥执法机构的主导作用来带动</w:t>
      </w:r>
      <w:r>
        <w:rPr>
          <w:rFonts w:ascii="SimSun" w:hAnsi="SimSun" w:eastAsia="SimSun" w:cs="SimSun"/>
          <w:sz w:val="21"/>
          <w:szCs w:val="21"/>
          <w:spacing w:val="-11"/>
        </w:rPr>
        <w:t>社会合力，共同营</w:t>
      </w:r>
      <w:r>
        <w:rPr>
          <w:rFonts w:ascii="SimSun" w:hAnsi="SimSun" w:eastAsia="SimSun" w:cs="SimSun"/>
          <w:sz w:val="21"/>
          <w:szCs w:val="21"/>
        </w:rPr>
        <w:t xml:space="preserve"> </w:t>
      </w:r>
      <w:r>
        <w:rPr>
          <w:rFonts w:ascii="SimSun" w:hAnsi="SimSun" w:eastAsia="SimSun" w:cs="SimSun"/>
          <w:sz w:val="21"/>
          <w:szCs w:val="21"/>
          <w:spacing w:val="-11"/>
        </w:rPr>
        <w:t>造良好的算法运行环境和秩序。通过建立合法的算法问责机制，建立</w:t>
      </w:r>
      <w:r>
        <w:rPr>
          <w:rFonts w:ascii="SimSun" w:hAnsi="SimSun" w:eastAsia="SimSun" w:cs="SimSun"/>
          <w:sz w:val="21"/>
          <w:szCs w:val="21"/>
          <w:spacing w:val="16"/>
        </w:rPr>
        <w:t xml:space="preserve"> </w:t>
      </w:r>
      <w:r>
        <w:rPr>
          <w:rFonts w:ascii="SimSun" w:hAnsi="SimSun" w:eastAsia="SimSun" w:cs="SimSun"/>
          <w:sz w:val="21"/>
          <w:szCs w:val="21"/>
          <w:spacing w:val="-10"/>
        </w:rPr>
        <w:t>明确的责任制度，明晰平台经营者、参与者等的法律主体</w:t>
      </w:r>
      <w:r>
        <w:rPr>
          <w:rFonts w:ascii="SimSun" w:hAnsi="SimSun" w:eastAsia="SimSun" w:cs="SimSun"/>
          <w:sz w:val="21"/>
          <w:szCs w:val="21"/>
          <w:spacing w:val="-11"/>
        </w:rPr>
        <w:t>身份以及相</w:t>
      </w:r>
      <w:r>
        <w:rPr>
          <w:rFonts w:ascii="SimSun" w:hAnsi="SimSun" w:eastAsia="SimSun" w:cs="SimSun"/>
          <w:sz w:val="21"/>
          <w:szCs w:val="21"/>
        </w:rPr>
        <w:t xml:space="preserve"> </w:t>
      </w:r>
      <w:r>
        <w:rPr>
          <w:rFonts w:ascii="SimSun" w:hAnsi="SimSun" w:eastAsia="SimSun" w:cs="SimSun"/>
          <w:sz w:val="21"/>
          <w:szCs w:val="21"/>
          <w:spacing w:val="-13"/>
        </w:rPr>
        <w:t>关权利义务范围等，确保合法权益。</w:t>
      </w:r>
    </w:p>
    <w:p>
      <w:pPr>
        <w:ind w:firstLine="420"/>
        <w:spacing w:before="125" w:line="306" w:lineRule="auto"/>
        <w:jc w:val="both"/>
        <w:rPr>
          <w:rFonts w:ascii="SimSun" w:hAnsi="SimSun" w:eastAsia="SimSun" w:cs="SimSun"/>
          <w:sz w:val="21"/>
          <w:szCs w:val="21"/>
        </w:rPr>
      </w:pPr>
      <w:r>
        <w:rPr>
          <w:rFonts w:ascii="SimSun" w:hAnsi="SimSun" w:eastAsia="SimSun" w:cs="SimSun"/>
          <w:sz w:val="21"/>
          <w:szCs w:val="21"/>
          <w:spacing w:val="-8"/>
        </w:rPr>
        <w:t>算法问责机制的建立不仅需要设置完善的追责体系、救济途径，</w:t>
      </w:r>
      <w:r>
        <w:rPr>
          <w:rFonts w:ascii="SimSun" w:hAnsi="SimSun" w:eastAsia="SimSun" w:cs="SimSun"/>
          <w:sz w:val="21"/>
          <w:szCs w:val="21"/>
          <w:spacing w:val="8"/>
        </w:rPr>
        <w:t xml:space="preserve"> </w:t>
      </w:r>
      <w:r>
        <w:rPr>
          <w:rFonts w:ascii="SimSun" w:hAnsi="SimSun" w:eastAsia="SimSun" w:cs="SimSun"/>
          <w:sz w:val="21"/>
          <w:szCs w:val="21"/>
          <w:spacing w:val="-15"/>
        </w:rPr>
        <w:t>还需保障相关规定具备可行性，构建完备的社会多元共治体</w:t>
      </w:r>
      <w:r>
        <w:rPr>
          <w:rFonts w:ascii="SimSun" w:hAnsi="SimSun" w:eastAsia="SimSun" w:cs="SimSun"/>
          <w:sz w:val="21"/>
          <w:szCs w:val="21"/>
          <w:spacing w:val="-16"/>
        </w:rPr>
        <w:t>系。</w:t>
      </w:r>
      <w:r>
        <w:rPr>
          <w:rFonts w:ascii="SimSun" w:hAnsi="SimSun" w:eastAsia="SimSun" w:cs="SimSun"/>
          <w:sz w:val="21"/>
          <w:szCs w:val="21"/>
          <w:spacing w:val="35"/>
        </w:rPr>
        <w:t xml:space="preserve"> </w:t>
      </w:r>
      <w:r>
        <w:rPr>
          <w:rFonts w:ascii="SimSun" w:hAnsi="SimSun" w:eastAsia="SimSun" w:cs="SimSun"/>
          <w:sz w:val="21"/>
          <w:szCs w:val="21"/>
          <w:spacing w:val="-16"/>
        </w:rPr>
        <w:t>一方</w:t>
      </w:r>
      <w:r>
        <w:rPr>
          <w:rFonts w:ascii="SimSun" w:hAnsi="SimSun" w:eastAsia="SimSun" w:cs="SimSun"/>
          <w:sz w:val="21"/>
          <w:szCs w:val="21"/>
        </w:rPr>
        <w:t xml:space="preserve">  </w:t>
      </w:r>
      <w:r>
        <w:rPr>
          <w:rFonts w:ascii="SimSun" w:hAnsi="SimSun" w:eastAsia="SimSun" w:cs="SimSun"/>
          <w:sz w:val="21"/>
          <w:szCs w:val="21"/>
          <w:spacing w:val="-11"/>
        </w:rPr>
        <w:t>面，构建执法机构主导、行业辅助的算法问责制度。算法是市场主体</w:t>
      </w:r>
      <w:r>
        <w:rPr>
          <w:rFonts w:ascii="SimSun" w:hAnsi="SimSun" w:eastAsia="SimSun" w:cs="SimSun"/>
          <w:sz w:val="21"/>
          <w:szCs w:val="21"/>
          <w:spacing w:val="8"/>
        </w:rPr>
        <w:t xml:space="preserve">  </w:t>
      </w:r>
      <w:r>
        <w:rPr>
          <w:rFonts w:ascii="SimSun" w:hAnsi="SimSun" w:eastAsia="SimSun" w:cs="SimSun"/>
          <w:sz w:val="21"/>
          <w:szCs w:val="21"/>
          <w:spacing w:val="-10"/>
        </w:rPr>
        <w:t>经营发展的工具，在市场逐利性的引导下容易</w:t>
      </w:r>
      <w:r>
        <w:rPr>
          <w:rFonts w:ascii="SimSun" w:hAnsi="SimSun" w:eastAsia="SimSun" w:cs="SimSun"/>
          <w:sz w:val="21"/>
          <w:szCs w:val="21"/>
          <w:spacing w:val="-11"/>
        </w:rPr>
        <w:t>导致算法的运行掺入主</w:t>
      </w:r>
      <w:r>
        <w:rPr>
          <w:rFonts w:ascii="SimSun" w:hAnsi="SimSun" w:eastAsia="SimSun" w:cs="SimSun"/>
          <w:sz w:val="21"/>
          <w:szCs w:val="21"/>
        </w:rPr>
        <w:t xml:space="preserve">  </w:t>
      </w:r>
      <w:r>
        <w:rPr>
          <w:rFonts w:ascii="SimSun" w:hAnsi="SimSun" w:eastAsia="SimSun" w:cs="SimSun"/>
          <w:sz w:val="21"/>
          <w:szCs w:val="21"/>
          <w:spacing w:val="-11"/>
        </w:rPr>
        <w:t>观的恶性，造成人为的算法风险。因此，需要政府牵头主导建立相应</w:t>
      </w:r>
      <w:r>
        <w:rPr>
          <w:rFonts w:ascii="SimSun" w:hAnsi="SimSun" w:eastAsia="SimSun" w:cs="SimSun"/>
          <w:sz w:val="21"/>
          <w:szCs w:val="21"/>
          <w:spacing w:val="8"/>
        </w:rPr>
        <w:t xml:space="preserve">  </w:t>
      </w:r>
      <w:r>
        <w:rPr>
          <w:rFonts w:ascii="SimSun" w:hAnsi="SimSun" w:eastAsia="SimSun" w:cs="SimSun"/>
          <w:sz w:val="21"/>
          <w:szCs w:val="21"/>
          <w:spacing w:val="-10"/>
        </w:rPr>
        <w:t>的问责机制，构建统一的监管体系。另一方面，</w:t>
      </w:r>
      <w:r>
        <w:rPr>
          <w:rFonts w:ascii="SimSun" w:hAnsi="SimSun" w:eastAsia="SimSun" w:cs="SimSun"/>
          <w:sz w:val="21"/>
          <w:szCs w:val="21"/>
          <w:spacing w:val="-11"/>
        </w:rPr>
        <w:t>考虑到市场发展的需</w:t>
      </w:r>
      <w:r>
        <w:rPr>
          <w:rFonts w:ascii="SimSun" w:hAnsi="SimSun" w:eastAsia="SimSun" w:cs="SimSun"/>
          <w:sz w:val="21"/>
          <w:szCs w:val="21"/>
        </w:rPr>
        <w:t xml:space="preserve">  </w:t>
      </w:r>
      <w:r>
        <w:rPr>
          <w:rFonts w:ascii="SimSun" w:hAnsi="SimSun" w:eastAsia="SimSun" w:cs="SimSun"/>
          <w:sz w:val="21"/>
          <w:szCs w:val="21"/>
          <w:spacing w:val="-11"/>
        </w:rPr>
        <w:t>要，算法问责机制的建立也需要行业中各企业的合力，通过制定良好</w:t>
      </w:r>
      <w:r>
        <w:rPr>
          <w:rFonts w:ascii="SimSun" w:hAnsi="SimSun" w:eastAsia="SimSun" w:cs="SimSun"/>
          <w:sz w:val="21"/>
          <w:szCs w:val="21"/>
          <w:spacing w:val="8"/>
        </w:rPr>
        <w:t xml:space="preserve">  </w:t>
      </w:r>
      <w:r>
        <w:rPr>
          <w:rFonts w:ascii="SimSun" w:hAnsi="SimSun" w:eastAsia="SimSun" w:cs="SimSun"/>
          <w:sz w:val="21"/>
          <w:szCs w:val="21"/>
          <w:spacing w:val="-11"/>
        </w:rPr>
        <w:t>的行业准则，规范市场有序发展，推动企业、社会组织和社会公众形</w:t>
      </w:r>
      <w:r>
        <w:rPr>
          <w:rFonts w:ascii="SimSun" w:hAnsi="SimSun" w:eastAsia="SimSun" w:cs="SimSun"/>
          <w:sz w:val="21"/>
          <w:szCs w:val="21"/>
          <w:spacing w:val="9"/>
        </w:rPr>
        <w:t xml:space="preserve">  </w:t>
      </w:r>
      <w:r>
        <w:rPr>
          <w:rFonts w:ascii="SimSun" w:hAnsi="SimSun" w:eastAsia="SimSun" w:cs="SimSun"/>
          <w:sz w:val="21"/>
          <w:szCs w:val="21"/>
          <w:spacing w:val="-11"/>
        </w:rPr>
        <w:t>成有层次的治理体系，形成社会多元共治的</w:t>
      </w:r>
      <w:r>
        <w:rPr>
          <w:rFonts w:ascii="SimSun" w:hAnsi="SimSun" w:eastAsia="SimSun" w:cs="SimSun"/>
          <w:sz w:val="21"/>
          <w:szCs w:val="21"/>
          <w:spacing w:val="-12"/>
        </w:rPr>
        <w:t>格局。</w:t>
      </w:r>
    </w:p>
    <w:p>
      <w:pPr>
        <w:ind w:right="73" w:firstLine="410"/>
        <w:spacing w:before="88" w:line="306" w:lineRule="auto"/>
        <w:jc w:val="both"/>
        <w:rPr>
          <w:rFonts w:ascii="SimSun" w:hAnsi="SimSun" w:eastAsia="SimSun" w:cs="SimSun"/>
          <w:sz w:val="21"/>
          <w:szCs w:val="21"/>
        </w:rPr>
      </w:pPr>
      <w:r>
        <w:rPr>
          <w:rFonts w:ascii="SimSun" w:hAnsi="SimSun" w:eastAsia="SimSun" w:cs="SimSun"/>
          <w:sz w:val="21"/>
          <w:szCs w:val="21"/>
          <w:spacing w:val="-6"/>
        </w:rPr>
        <w:t>对于算法规则的规制，应当秉持主客观相一致的</w:t>
      </w:r>
      <w:r>
        <w:rPr>
          <w:rFonts w:ascii="SimSun" w:hAnsi="SimSun" w:eastAsia="SimSun" w:cs="SimSun"/>
          <w:sz w:val="21"/>
          <w:szCs w:val="21"/>
          <w:spacing w:val="-7"/>
        </w:rPr>
        <w:t>问责原则①,在</w:t>
      </w:r>
      <w:r>
        <w:rPr>
          <w:rFonts w:ascii="SimSun" w:hAnsi="SimSun" w:eastAsia="SimSun" w:cs="SimSun"/>
          <w:sz w:val="21"/>
          <w:szCs w:val="21"/>
        </w:rPr>
        <w:t xml:space="preserve"> </w:t>
      </w:r>
      <w:r>
        <w:rPr>
          <w:rFonts w:ascii="SimSun" w:hAnsi="SimSun" w:eastAsia="SimSun" w:cs="SimSun"/>
          <w:sz w:val="21"/>
          <w:szCs w:val="21"/>
          <w:spacing w:val="-11"/>
        </w:rPr>
        <w:t>充分尊重算法底层技术架构的基础上，对利用算法实施的行为进行监</w:t>
      </w:r>
      <w:r>
        <w:rPr>
          <w:rFonts w:ascii="SimSun" w:hAnsi="SimSun" w:eastAsia="SimSun" w:cs="SimSun"/>
          <w:sz w:val="21"/>
          <w:szCs w:val="21"/>
          <w:spacing w:val="17"/>
        </w:rPr>
        <w:t xml:space="preserve"> </w:t>
      </w:r>
      <w:r>
        <w:rPr>
          <w:rFonts w:ascii="SimSun" w:hAnsi="SimSun" w:eastAsia="SimSun" w:cs="SimSun"/>
          <w:sz w:val="21"/>
          <w:szCs w:val="21"/>
          <w:spacing w:val="-11"/>
        </w:rPr>
        <w:t>控。算法规则的具体外化表现为平台设计、部署与实际应用算法的过</w:t>
      </w:r>
      <w:r>
        <w:rPr>
          <w:rFonts w:ascii="SimSun" w:hAnsi="SimSun" w:eastAsia="SimSun" w:cs="SimSun"/>
          <w:sz w:val="21"/>
          <w:szCs w:val="21"/>
          <w:spacing w:val="16"/>
        </w:rPr>
        <w:t xml:space="preserve"> </w:t>
      </w:r>
      <w:r>
        <w:rPr>
          <w:rFonts w:ascii="SimSun" w:hAnsi="SimSun" w:eastAsia="SimSun" w:cs="SimSun"/>
          <w:sz w:val="21"/>
          <w:szCs w:val="21"/>
          <w:spacing w:val="-10"/>
        </w:rPr>
        <w:t>程，这些规则最终都将成为某一种或多种商</w:t>
      </w:r>
      <w:r>
        <w:rPr>
          <w:rFonts w:ascii="SimSun" w:hAnsi="SimSun" w:eastAsia="SimSun" w:cs="SimSun"/>
          <w:sz w:val="21"/>
          <w:szCs w:val="21"/>
          <w:spacing w:val="-11"/>
        </w:rPr>
        <w:t>业行为，甚至最后发展为</w:t>
      </w:r>
      <w:r>
        <w:rPr>
          <w:rFonts w:ascii="SimSun" w:hAnsi="SimSun" w:eastAsia="SimSun" w:cs="SimSun"/>
          <w:sz w:val="21"/>
          <w:szCs w:val="21"/>
        </w:rPr>
        <w:t xml:space="preserve"> </w:t>
      </w:r>
      <w:r>
        <w:rPr>
          <w:rFonts w:ascii="SimSun" w:hAnsi="SimSun" w:eastAsia="SimSun" w:cs="SimSun"/>
          <w:sz w:val="21"/>
          <w:szCs w:val="21"/>
          <w:spacing w:val="-10"/>
        </w:rPr>
        <w:t>某种商业模式。对商业模式的监管应当采用适度规制</w:t>
      </w:r>
      <w:r>
        <w:rPr>
          <w:rFonts w:ascii="SimSun" w:hAnsi="SimSun" w:eastAsia="SimSun" w:cs="SimSun"/>
          <w:sz w:val="21"/>
          <w:szCs w:val="21"/>
          <w:spacing w:val="-11"/>
        </w:rPr>
        <w:t>的思路，具体到</w:t>
      </w:r>
      <w:r>
        <w:rPr>
          <w:rFonts w:ascii="SimSun" w:hAnsi="SimSun" w:eastAsia="SimSun" w:cs="SimSun"/>
          <w:sz w:val="21"/>
          <w:szCs w:val="21"/>
        </w:rPr>
        <w:t xml:space="preserve"> </w:t>
      </w:r>
      <w:r>
        <w:rPr>
          <w:rFonts w:ascii="SimSun" w:hAnsi="SimSun" w:eastAsia="SimSun" w:cs="SimSun"/>
          <w:sz w:val="21"/>
          <w:szCs w:val="21"/>
          <w:spacing w:val="-10"/>
        </w:rPr>
        <w:t>算法规则，应当清晰梳理平台是否进行算法事前审计或</w:t>
      </w:r>
      <w:r>
        <w:rPr>
          <w:rFonts w:ascii="SimSun" w:hAnsi="SimSun" w:eastAsia="SimSun" w:cs="SimSun"/>
          <w:sz w:val="21"/>
          <w:szCs w:val="21"/>
          <w:spacing w:val="-11"/>
        </w:rPr>
        <w:t>备案和事后的</w:t>
      </w:r>
      <w:r>
        <w:rPr>
          <w:rFonts w:ascii="SimSun" w:hAnsi="SimSun" w:eastAsia="SimSun" w:cs="SimSun"/>
          <w:sz w:val="21"/>
          <w:szCs w:val="21"/>
        </w:rPr>
        <w:t xml:space="preserve"> </w:t>
      </w:r>
      <w:r>
        <w:rPr>
          <w:rFonts w:ascii="SimSun" w:hAnsi="SimSun" w:eastAsia="SimSun" w:cs="SimSun"/>
          <w:sz w:val="21"/>
          <w:szCs w:val="21"/>
          <w:spacing w:val="-10"/>
        </w:rPr>
        <w:t>算法解释，在此基础上判断主观是否存在故意或过失，同时辅以利用</w:t>
      </w:r>
      <w:r>
        <w:rPr>
          <w:rFonts w:ascii="SimSun" w:hAnsi="SimSun" w:eastAsia="SimSun" w:cs="SimSun"/>
          <w:sz w:val="21"/>
          <w:szCs w:val="21"/>
          <w:spacing w:val="3"/>
        </w:rPr>
        <w:t xml:space="preserve"> </w:t>
      </w:r>
      <w:r>
        <w:rPr>
          <w:rFonts w:ascii="SimSun" w:hAnsi="SimSun" w:eastAsia="SimSun" w:cs="SimSun"/>
          <w:sz w:val="21"/>
          <w:szCs w:val="21"/>
          <w:spacing w:val="-11"/>
        </w:rPr>
        <w:t>算法规则造成的客观损害结果进行综合判断，这样才能较为完善地分</w:t>
      </w:r>
      <w:r>
        <w:rPr>
          <w:rFonts w:ascii="SimSun" w:hAnsi="SimSun" w:eastAsia="SimSun" w:cs="SimSun"/>
          <w:sz w:val="21"/>
          <w:szCs w:val="21"/>
          <w:spacing w:val="17"/>
        </w:rPr>
        <w:t xml:space="preserve"> </w:t>
      </w:r>
      <w:r>
        <w:rPr>
          <w:rFonts w:ascii="SimSun" w:hAnsi="SimSun" w:eastAsia="SimSun" w:cs="SimSun"/>
          <w:sz w:val="21"/>
          <w:szCs w:val="21"/>
          <w:spacing w:val="-12"/>
        </w:rPr>
        <w:t>析利用算法规则造成损害的全过程之法律性质。</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left="320" w:right="51" w:hanging="320"/>
        <w:spacing w:before="53" w:line="269" w:lineRule="auto"/>
        <w:rPr>
          <w:rFonts w:ascii="SimSun" w:hAnsi="SimSun" w:eastAsia="SimSun" w:cs="SimSun"/>
          <w:sz w:val="16"/>
          <w:szCs w:val="16"/>
        </w:rPr>
      </w:pPr>
      <w:r>
        <w:rPr>
          <w:rFonts w:ascii="KaiTi" w:hAnsi="KaiTi" w:eastAsia="KaiTi" w:cs="KaiTi"/>
          <w:sz w:val="16"/>
          <w:szCs w:val="16"/>
          <w:spacing w:val="9"/>
        </w:rPr>
        <w:t>①</w:t>
      </w:r>
      <w:r>
        <w:rPr>
          <w:rFonts w:ascii="KaiTi" w:hAnsi="KaiTi" w:eastAsia="KaiTi" w:cs="KaiTi"/>
          <w:sz w:val="16"/>
          <w:szCs w:val="16"/>
          <w:spacing w:val="90"/>
          <w:w w:val="101"/>
        </w:rPr>
        <w:t xml:space="preserve"> </w:t>
      </w:r>
      <w:r>
        <w:rPr>
          <w:rFonts w:ascii="KaiTi" w:hAnsi="KaiTi" w:eastAsia="KaiTi" w:cs="KaiTi"/>
          <w:sz w:val="16"/>
          <w:szCs w:val="16"/>
          <w:spacing w:val="9"/>
        </w:rPr>
        <w:t>张凌寒.权力之治：人工智能时代的算法规制.上海：上海人民出版社，2021:</w:t>
      </w:r>
      <w:r>
        <w:rPr>
          <w:rFonts w:ascii="KaiTi" w:hAnsi="KaiTi" w:eastAsia="KaiTi" w:cs="KaiTi"/>
          <w:sz w:val="16"/>
          <w:szCs w:val="16"/>
        </w:rPr>
        <w:t xml:space="preserve"> </w:t>
      </w:r>
      <w:r>
        <w:rPr>
          <w:rFonts w:ascii="SimSun" w:hAnsi="SimSun" w:eastAsia="SimSun" w:cs="SimSun"/>
          <w:sz w:val="16"/>
          <w:szCs w:val="16"/>
          <w:spacing w:val="-4"/>
        </w:rPr>
        <w:t>199.</w:t>
      </w:r>
    </w:p>
    <w:p>
      <w:pPr>
        <w:spacing w:line="269" w:lineRule="auto"/>
        <w:sectPr>
          <w:headerReference w:type="default" r:id="rId453"/>
          <w:pgSz w:w="7330" w:h="12480"/>
          <w:pgMar w:top="805" w:right="584" w:bottom="400" w:left="659" w:header="642" w:footer="0" w:gutter="0"/>
        </w:sectPr>
        <w:rPr>
          <w:rFonts w:ascii="SimSun" w:hAnsi="SimSun" w:eastAsia="SimSun" w:cs="SimSun"/>
          <w:sz w:val="16"/>
          <w:szCs w:val="16"/>
        </w:rPr>
      </w:pP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8"/>
        </w:rPr>
        <w:t>适时调整监管政策</w:t>
      </w:r>
    </w:p>
    <w:p>
      <w:pPr>
        <w:pStyle w:val="BodyText"/>
        <w:spacing w:line="351" w:lineRule="auto"/>
        <w:rPr/>
      </w:pPr>
      <w:r/>
    </w:p>
    <w:p>
      <w:pPr>
        <w:ind w:firstLine="440"/>
        <w:spacing w:before="69" w:line="300" w:lineRule="auto"/>
        <w:jc w:val="both"/>
        <w:rPr>
          <w:rFonts w:ascii="SimSun" w:hAnsi="SimSun" w:eastAsia="SimSun" w:cs="SimSun"/>
          <w:sz w:val="21"/>
          <w:szCs w:val="21"/>
        </w:rPr>
      </w:pPr>
      <w:r>
        <w:rPr>
          <w:rFonts w:ascii="SimSun" w:hAnsi="SimSun" w:eastAsia="SimSun" w:cs="SimSun"/>
          <w:sz w:val="21"/>
          <w:szCs w:val="21"/>
          <w:spacing w:val="-11"/>
        </w:rPr>
        <w:t>平台经济作为新型经济模式，有别于传统经济形态，其发展有着</w:t>
      </w:r>
      <w:r>
        <w:rPr>
          <w:rFonts w:ascii="SimSun" w:hAnsi="SimSun" w:eastAsia="SimSun" w:cs="SimSun"/>
          <w:sz w:val="21"/>
          <w:szCs w:val="21"/>
          <w:spacing w:val="3"/>
        </w:rPr>
        <w:t xml:space="preserve">  </w:t>
      </w:r>
      <w:r>
        <w:rPr>
          <w:rFonts w:ascii="SimSun" w:hAnsi="SimSun" w:eastAsia="SimSun" w:cs="SimSun"/>
          <w:sz w:val="21"/>
          <w:szCs w:val="21"/>
          <w:spacing w:val="-6"/>
        </w:rPr>
        <w:t>自身的特殊性。平台经济发展的新业态和新模式要求采</w:t>
      </w:r>
      <w:r>
        <w:rPr>
          <w:rFonts w:ascii="SimSun" w:hAnsi="SimSun" w:eastAsia="SimSun" w:cs="SimSun"/>
          <w:sz w:val="21"/>
          <w:szCs w:val="21"/>
          <w:spacing w:val="-7"/>
        </w:rPr>
        <w:t>取适应性强、</w:t>
      </w:r>
      <w:r>
        <w:rPr>
          <w:rFonts w:ascii="SimSun" w:hAnsi="SimSun" w:eastAsia="SimSun" w:cs="SimSun"/>
          <w:sz w:val="21"/>
          <w:szCs w:val="21"/>
        </w:rPr>
        <w:t xml:space="preserve"> </w:t>
      </w:r>
      <w:r>
        <w:rPr>
          <w:rFonts w:ascii="SimSun" w:hAnsi="SimSun" w:eastAsia="SimSun" w:cs="SimSun"/>
          <w:sz w:val="21"/>
          <w:szCs w:val="21"/>
          <w:spacing w:val="-10"/>
        </w:rPr>
        <w:t>匹配度高的反垄断政策，避免“赢者通吃”“弱者越</w:t>
      </w:r>
      <w:r>
        <w:rPr>
          <w:rFonts w:ascii="SimSun" w:hAnsi="SimSun" w:eastAsia="SimSun" w:cs="SimSun"/>
          <w:sz w:val="21"/>
          <w:szCs w:val="21"/>
          <w:spacing w:val="-11"/>
        </w:rPr>
        <w:t>弱”等现象的出</w:t>
      </w:r>
      <w:r>
        <w:rPr>
          <w:rFonts w:ascii="SimSun" w:hAnsi="SimSun" w:eastAsia="SimSun" w:cs="SimSun"/>
          <w:sz w:val="21"/>
          <w:szCs w:val="21"/>
        </w:rPr>
        <w:t xml:space="preserve">  </w:t>
      </w:r>
      <w:r>
        <w:rPr>
          <w:rFonts w:ascii="SimSun" w:hAnsi="SimSun" w:eastAsia="SimSun" w:cs="SimSun"/>
          <w:sz w:val="21"/>
          <w:szCs w:val="21"/>
          <w:spacing w:val="-10"/>
        </w:rPr>
        <w:t>现。因此，在平台经济反垄断监管政策的制定上，应尊重平台经济的</w:t>
      </w:r>
      <w:r>
        <w:rPr>
          <w:rFonts w:ascii="SimSun" w:hAnsi="SimSun" w:eastAsia="SimSun" w:cs="SimSun"/>
          <w:sz w:val="21"/>
          <w:szCs w:val="21"/>
          <w:spacing w:val="2"/>
        </w:rPr>
        <w:t xml:space="preserve">  </w:t>
      </w:r>
      <w:r>
        <w:rPr>
          <w:rFonts w:ascii="SimSun" w:hAnsi="SimSun" w:eastAsia="SimSun" w:cs="SimSun"/>
          <w:sz w:val="21"/>
          <w:szCs w:val="21"/>
          <w:spacing w:val="-11"/>
        </w:rPr>
        <w:t>发展规律，在总结过往监管经验的基础上，抓准平台经济创新发展的</w:t>
      </w:r>
      <w:r>
        <w:rPr>
          <w:rFonts w:ascii="SimSun" w:hAnsi="SimSun" w:eastAsia="SimSun" w:cs="SimSun"/>
          <w:sz w:val="21"/>
          <w:szCs w:val="21"/>
          <w:spacing w:val="7"/>
        </w:rPr>
        <w:t xml:space="preserve">  </w:t>
      </w:r>
      <w:r>
        <w:rPr>
          <w:rFonts w:ascii="SimSun" w:hAnsi="SimSun" w:eastAsia="SimSun" w:cs="SimSun"/>
          <w:sz w:val="21"/>
          <w:szCs w:val="21"/>
          <w:spacing w:val="-11"/>
        </w:rPr>
        <w:t>脉搏，促进平台经济有序发展，实现政府与市场的良性互动。</w:t>
      </w:r>
    </w:p>
    <w:p>
      <w:pPr>
        <w:pStyle w:val="BodyText"/>
        <w:spacing w:line="408" w:lineRule="auto"/>
        <w:rPr/>
      </w:pPr>
      <w:r/>
    </w:p>
    <w:p>
      <w:pPr>
        <w:ind w:left="442"/>
        <w:spacing w:before="68" w:line="219" w:lineRule="auto"/>
        <w:rPr>
          <w:rFonts w:ascii="SimSun" w:hAnsi="SimSun" w:eastAsia="SimSun" w:cs="SimSun"/>
          <w:sz w:val="21"/>
          <w:szCs w:val="21"/>
        </w:rPr>
      </w:pPr>
      <w:r>
        <w:rPr>
          <w:rFonts w:ascii="SimSun" w:hAnsi="SimSun" w:eastAsia="SimSun" w:cs="SimSun"/>
          <w:sz w:val="21"/>
          <w:szCs w:val="21"/>
          <w:b/>
          <w:bCs/>
          <w:spacing w:val="-10"/>
        </w:rPr>
        <w:t>平台经济反垄断监管需尊重平台经济的“可竞争性”</w:t>
      </w:r>
    </w:p>
    <w:p>
      <w:pPr>
        <w:ind w:right="111" w:firstLine="440"/>
        <w:spacing w:before="121" w:line="298" w:lineRule="auto"/>
        <w:jc w:val="both"/>
        <w:rPr>
          <w:rFonts w:ascii="SimSun" w:hAnsi="SimSun" w:eastAsia="SimSun" w:cs="SimSun"/>
          <w:sz w:val="21"/>
          <w:szCs w:val="21"/>
        </w:rPr>
      </w:pPr>
      <w:r>
        <w:rPr>
          <w:rFonts w:ascii="SimSun" w:hAnsi="SimSun" w:eastAsia="SimSun" w:cs="SimSun"/>
          <w:sz w:val="21"/>
          <w:szCs w:val="21"/>
          <w:spacing w:val="-12"/>
        </w:rPr>
        <w:t>平台经济的规模经济与范围经济特点，并不必然与充分竞争不匹</w:t>
      </w:r>
      <w:r>
        <w:rPr>
          <w:rFonts w:ascii="SimSun" w:hAnsi="SimSun" w:eastAsia="SimSun" w:cs="SimSun"/>
          <w:sz w:val="21"/>
          <w:szCs w:val="21"/>
          <w:spacing w:val="18"/>
        </w:rPr>
        <w:t xml:space="preserve"> </w:t>
      </w:r>
      <w:r>
        <w:rPr>
          <w:rFonts w:ascii="SimSun" w:hAnsi="SimSun" w:eastAsia="SimSun" w:cs="SimSun"/>
          <w:sz w:val="21"/>
          <w:szCs w:val="21"/>
          <w:spacing w:val="-11"/>
        </w:rPr>
        <w:t>配。判定平台经济领域是否存在垄断，不能简单地看市场份额或者消</w:t>
      </w:r>
      <w:r>
        <w:rPr>
          <w:rFonts w:ascii="SimSun" w:hAnsi="SimSun" w:eastAsia="SimSun" w:cs="SimSun"/>
          <w:sz w:val="21"/>
          <w:szCs w:val="21"/>
          <w:spacing w:val="18"/>
        </w:rPr>
        <w:t xml:space="preserve"> </w:t>
      </w:r>
      <w:r>
        <w:rPr>
          <w:rFonts w:ascii="SimSun" w:hAnsi="SimSun" w:eastAsia="SimSun" w:cs="SimSun"/>
          <w:sz w:val="21"/>
          <w:szCs w:val="21"/>
          <w:spacing w:val="-11"/>
        </w:rPr>
        <w:t>费者价格，而应该看“可竞争性”。每一位企业家都有追求垄断地位</w:t>
      </w:r>
      <w:r>
        <w:rPr>
          <w:rFonts w:ascii="SimSun" w:hAnsi="SimSun" w:eastAsia="SimSun" w:cs="SimSun"/>
          <w:sz w:val="21"/>
          <w:szCs w:val="21"/>
          <w:spacing w:val="6"/>
        </w:rPr>
        <w:t xml:space="preserve"> </w:t>
      </w:r>
      <w:r>
        <w:rPr>
          <w:rFonts w:ascii="SimSun" w:hAnsi="SimSun" w:eastAsia="SimSun" w:cs="SimSun"/>
          <w:sz w:val="21"/>
          <w:szCs w:val="21"/>
          <w:spacing w:val="-11"/>
        </w:rPr>
        <w:t>的冲动，关键要看他是通过创新还是通过掠夺。维持平台经济“可竞</w:t>
      </w:r>
      <w:r>
        <w:rPr>
          <w:rFonts w:ascii="SimSun" w:hAnsi="SimSun" w:eastAsia="SimSun" w:cs="SimSun"/>
          <w:sz w:val="21"/>
          <w:szCs w:val="21"/>
          <w:spacing w:val="9"/>
        </w:rPr>
        <w:t xml:space="preserve"> </w:t>
      </w:r>
      <w:r>
        <w:rPr>
          <w:rFonts w:ascii="SimSun" w:hAnsi="SimSun" w:eastAsia="SimSun" w:cs="SimSun"/>
          <w:sz w:val="21"/>
          <w:szCs w:val="21"/>
          <w:spacing w:val="-11"/>
        </w:rPr>
        <w:t>争性”的最佳策略可能也不是过去常用的分拆或罚款，而是降低新的</w:t>
      </w:r>
      <w:r>
        <w:rPr>
          <w:rFonts w:ascii="SimSun" w:hAnsi="SimSun" w:eastAsia="SimSun" w:cs="SimSun"/>
          <w:sz w:val="21"/>
          <w:szCs w:val="21"/>
          <w:spacing w:val="14"/>
        </w:rPr>
        <w:t xml:space="preserve"> </w:t>
      </w:r>
      <w:r>
        <w:rPr>
          <w:rFonts w:ascii="SimSun" w:hAnsi="SimSun" w:eastAsia="SimSun" w:cs="SimSun"/>
          <w:sz w:val="21"/>
          <w:szCs w:val="21"/>
          <w:spacing w:val="-11"/>
        </w:rPr>
        <w:t>竞争者进入的门槛，比如鼓励开放系统、共享数据。如果反垄断的主</w:t>
      </w:r>
      <w:r>
        <w:rPr>
          <w:rFonts w:ascii="SimSun" w:hAnsi="SimSun" w:eastAsia="SimSun" w:cs="SimSun"/>
          <w:sz w:val="21"/>
          <w:szCs w:val="21"/>
          <w:spacing w:val="9"/>
        </w:rPr>
        <w:t xml:space="preserve"> </w:t>
      </w:r>
      <w:r>
        <w:rPr>
          <w:rFonts w:ascii="SimSun" w:hAnsi="SimSun" w:eastAsia="SimSun" w:cs="SimSun"/>
          <w:sz w:val="21"/>
          <w:szCs w:val="21"/>
          <w:spacing w:val="-11"/>
        </w:rPr>
        <w:t>要目的是规范平台行为，那么应该更多地突出事前监管，而不是事后</w:t>
      </w:r>
      <w:r>
        <w:rPr>
          <w:rFonts w:ascii="SimSun" w:hAnsi="SimSun" w:eastAsia="SimSun" w:cs="SimSun"/>
          <w:sz w:val="21"/>
          <w:szCs w:val="21"/>
          <w:spacing w:val="13"/>
        </w:rPr>
        <w:t xml:space="preserve"> </w:t>
      </w:r>
      <w:r>
        <w:rPr>
          <w:rFonts w:ascii="SimSun" w:hAnsi="SimSun" w:eastAsia="SimSun" w:cs="SimSun"/>
          <w:sz w:val="21"/>
          <w:szCs w:val="21"/>
          <w:spacing w:val="-4"/>
        </w:rPr>
        <w:t>处罚。</w:t>
      </w:r>
    </w:p>
    <w:p>
      <w:pPr>
        <w:pStyle w:val="BodyText"/>
        <w:spacing w:line="435" w:lineRule="auto"/>
        <w:rPr/>
      </w:pPr>
      <w:r/>
    </w:p>
    <w:p>
      <w:pPr>
        <w:ind w:left="442"/>
        <w:spacing w:before="68" w:line="219" w:lineRule="auto"/>
        <w:rPr>
          <w:rFonts w:ascii="SimSun" w:hAnsi="SimSun" w:eastAsia="SimSun" w:cs="SimSun"/>
          <w:sz w:val="21"/>
          <w:szCs w:val="21"/>
        </w:rPr>
      </w:pPr>
      <w:r>
        <w:rPr>
          <w:rFonts w:ascii="SimSun" w:hAnsi="SimSun" w:eastAsia="SimSun" w:cs="SimSun"/>
          <w:sz w:val="21"/>
          <w:szCs w:val="21"/>
          <w:b/>
          <w:bCs/>
          <w:spacing w:val="-12"/>
        </w:rPr>
        <w:t>将促进创新作为制定反垄断监管政策的导向</w:t>
      </w:r>
    </w:p>
    <w:p>
      <w:pPr>
        <w:ind w:right="94" w:firstLine="440"/>
        <w:spacing w:before="126" w:line="293" w:lineRule="auto"/>
        <w:jc w:val="both"/>
        <w:rPr>
          <w:rFonts w:ascii="SimSun" w:hAnsi="SimSun" w:eastAsia="SimSun" w:cs="SimSun"/>
          <w:sz w:val="21"/>
          <w:szCs w:val="21"/>
        </w:rPr>
      </w:pPr>
      <w:r>
        <w:rPr>
          <w:rFonts w:ascii="SimSun" w:hAnsi="SimSun" w:eastAsia="SimSun" w:cs="SimSun"/>
          <w:sz w:val="21"/>
          <w:szCs w:val="21"/>
          <w:spacing w:val="-11"/>
        </w:rPr>
        <w:t>政府反对平台企业垄断并非因为其规模大、占有市场份额高，而</w:t>
      </w:r>
      <w:r>
        <w:rPr>
          <w:rFonts w:ascii="SimSun" w:hAnsi="SimSun" w:eastAsia="SimSun" w:cs="SimSun"/>
          <w:sz w:val="21"/>
          <w:szCs w:val="21"/>
          <w:spacing w:val="7"/>
        </w:rPr>
        <w:t xml:space="preserve"> </w:t>
      </w:r>
      <w:r>
        <w:rPr>
          <w:rFonts w:ascii="SimSun" w:hAnsi="SimSun" w:eastAsia="SimSun" w:cs="SimSun"/>
          <w:sz w:val="21"/>
          <w:szCs w:val="21"/>
          <w:spacing w:val="-11"/>
        </w:rPr>
        <w:t>是平台企业垄断容易造成创新乏力，遏制企业更新换代。目前我国平</w:t>
      </w:r>
      <w:r>
        <w:rPr>
          <w:rFonts w:ascii="SimSun" w:hAnsi="SimSun" w:eastAsia="SimSun" w:cs="SimSun"/>
          <w:sz w:val="21"/>
          <w:szCs w:val="21"/>
          <w:spacing w:val="8"/>
        </w:rPr>
        <w:t xml:space="preserve"> </w:t>
      </w:r>
      <w:r>
        <w:rPr>
          <w:rFonts w:ascii="SimSun" w:hAnsi="SimSun" w:eastAsia="SimSun" w:cs="SimSun"/>
          <w:sz w:val="21"/>
          <w:szCs w:val="21"/>
          <w:spacing w:val="-4"/>
        </w:rPr>
        <w:t>台经济与美国相比，在经济规模和价值创造上仍有较大差距。基于</w:t>
      </w:r>
      <w:r>
        <w:rPr>
          <w:rFonts w:ascii="SimSun" w:hAnsi="SimSun" w:eastAsia="SimSun" w:cs="SimSun"/>
          <w:sz w:val="21"/>
          <w:szCs w:val="21"/>
          <w:spacing w:val="7"/>
        </w:rPr>
        <w:t xml:space="preserve"> </w:t>
      </w:r>
      <w:r>
        <w:rPr>
          <w:rFonts w:ascii="SimSun" w:hAnsi="SimSun" w:eastAsia="SimSun" w:cs="SimSun"/>
          <w:sz w:val="21"/>
          <w:szCs w:val="21"/>
          <w:spacing w:val="-11"/>
        </w:rPr>
        <w:t>此，我国需继续推动创新发展，加强平台经济的对外竞争力。在构建</w:t>
      </w:r>
      <w:r>
        <w:rPr>
          <w:rFonts w:ascii="SimSun" w:hAnsi="SimSun" w:eastAsia="SimSun" w:cs="SimSun"/>
          <w:sz w:val="21"/>
          <w:szCs w:val="21"/>
          <w:spacing w:val="7"/>
        </w:rPr>
        <w:t xml:space="preserve"> </w:t>
      </w:r>
      <w:r>
        <w:rPr>
          <w:rFonts w:ascii="SimSun" w:hAnsi="SimSun" w:eastAsia="SimSun" w:cs="SimSun"/>
          <w:sz w:val="21"/>
          <w:szCs w:val="21"/>
          <w:spacing w:val="-11"/>
        </w:rPr>
        <w:t>反垄断监管政策时，将促进创新作为政策制定的导向，使平台企业能</w:t>
      </w:r>
      <w:r>
        <w:rPr>
          <w:rFonts w:ascii="SimSun" w:hAnsi="SimSun" w:eastAsia="SimSun" w:cs="SimSun"/>
          <w:sz w:val="21"/>
          <w:szCs w:val="21"/>
          <w:spacing w:val="9"/>
        </w:rPr>
        <w:t xml:space="preserve"> </w:t>
      </w:r>
      <w:r>
        <w:rPr>
          <w:rFonts w:ascii="SimSun" w:hAnsi="SimSun" w:eastAsia="SimSun" w:cs="SimSun"/>
          <w:sz w:val="21"/>
          <w:szCs w:val="21"/>
          <w:spacing w:val="-12"/>
        </w:rPr>
        <w:t>以一种有序、创新、活跃的姿态实现经济的发展。</w:t>
      </w:r>
    </w:p>
    <w:p>
      <w:pPr>
        <w:spacing w:line="293" w:lineRule="auto"/>
        <w:sectPr>
          <w:headerReference w:type="default" r:id="rId455"/>
          <w:pgSz w:w="7330" w:h="12480"/>
          <w:pgMar w:top="479" w:right="414" w:bottom="400" w:left="799" w:header="315" w:footer="0" w:gutter="0"/>
        </w:sectPr>
        <w:rPr>
          <w:rFonts w:ascii="SimSun" w:hAnsi="SimSun" w:eastAsia="SimSun" w:cs="SimSun"/>
          <w:sz w:val="21"/>
          <w:szCs w:val="21"/>
        </w:rPr>
      </w:pP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ind w:left="432"/>
        <w:spacing w:before="62" w:line="219" w:lineRule="auto"/>
        <w:rPr>
          <w:rFonts w:ascii="SimSun" w:hAnsi="SimSun" w:eastAsia="SimSun" w:cs="SimSun"/>
          <w:sz w:val="19"/>
          <w:szCs w:val="19"/>
        </w:rPr>
      </w:pPr>
      <w:r>
        <w:rPr>
          <w:rFonts w:ascii="SimSun" w:hAnsi="SimSun" w:eastAsia="SimSun" w:cs="SimSun"/>
          <w:sz w:val="19"/>
          <w:szCs w:val="19"/>
          <w:b/>
          <w:bCs/>
          <w:spacing w:val="7"/>
        </w:rPr>
        <w:t>谨慎借鉴国外经验以构建符合国情的反垄断监管政策体系</w:t>
      </w:r>
    </w:p>
    <w:p>
      <w:pPr>
        <w:ind w:firstLine="420"/>
        <w:spacing w:before="116" w:line="350" w:lineRule="auto"/>
        <w:jc w:val="both"/>
        <w:rPr>
          <w:rFonts w:ascii="SimSun" w:hAnsi="SimSun" w:eastAsia="SimSun" w:cs="SimSun"/>
          <w:sz w:val="19"/>
          <w:szCs w:val="19"/>
        </w:rPr>
      </w:pPr>
      <w:r>
        <w:rPr>
          <w:rFonts w:ascii="SimSun" w:hAnsi="SimSun" w:eastAsia="SimSun" w:cs="SimSun"/>
          <w:sz w:val="19"/>
          <w:szCs w:val="19"/>
          <w:spacing w:val="16"/>
        </w:rPr>
        <w:t>中国不宜照搬照抄欧美的反垄断政策，也不应简单地沿用对传 </w:t>
      </w:r>
      <w:r>
        <w:rPr>
          <w:rFonts w:ascii="SimSun" w:hAnsi="SimSun" w:eastAsia="SimSun" w:cs="SimSun"/>
          <w:sz w:val="19"/>
          <w:szCs w:val="19"/>
          <w:spacing w:val="9"/>
        </w:rPr>
        <w:t>统产业的政策实践。第一，中国的平台经济虽然已经形成了一定的规 </w:t>
      </w:r>
      <w:r>
        <w:rPr>
          <w:rFonts w:ascii="SimSun" w:hAnsi="SimSun" w:eastAsia="SimSun" w:cs="SimSun"/>
          <w:sz w:val="19"/>
          <w:szCs w:val="19"/>
          <w:spacing w:val="9"/>
        </w:rPr>
        <w:t>模，但没有明显的技术优势。第二，中国的平台经济“可竞争性”还 </w:t>
      </w:r>
      <w:r>
        <w:rPr>
          <w:rFonts w:ascii="SimSun" w:hAnsi="SimSun" w:eastAsia="SimSun" w:cs="SimSun"/>
          <w:sz w:val="19"/>
          <w:szCs w:val="19"/>
          <w:spacing w:val="9"/>
        </w:rPr>
        <w:t>比较强，跨行业竞争尤其常见。第三，传统产业中常用的一些判断垄 </w:t>
      </w:r>
      <w:r>
        <w:rPr>
          <w:rFonts w:ascii="SimSun" w:hAnsi="SimSun" w:eastAsia="SimSun" w:cs="SimSun"/>
          <w:sz w:val="19"/>
          <w:szCs w:val="19"/>
          <w:spacing w:val="17"/>
        </w:rPr>
        <w:t>断的标准如市场份额和价格水平等，以及一些政策手段如分拆和罚</w:t>
      </w:r>
      <w:r>
        <w:rPr>
          <w:rFonts w:ascii="SimSun" w:hAnsi="SimSun" w:eastAsia="SimSun" w:cs="SimSun"/>
          <w:sz w:val="19"/>
          <w:szCs w:val="19"/>
          <w:spacing w:val="9"/>
        </w:rPr>
        <w:t xml:space="preserve"> </w:t>
      </w:r>
      <w:r>
        <w:rPr>
          <w:rFonts w:ascii="SimSun" w:hAnsi="SimSun" w:eastAsia="SimSun" w:cs="SimSun"/>
          <w:sz w:val="19"/>
          <w:szCs w:val="19"/>
          <w:spacing w:val="10"/>
        </w:rPr>
        <w:t>款，不一定适用于平台经济领域。第四，中国的体制性特点可能有利</w:t>
      </w:r>
      <w:r>
        <w:rPr>
          <w:rFonts w:ascii="SimSun" w:hAnsi="SimSun" w:eastAsia="SimSun" w:cs="SimSun"/>
          <w:sz w:val="19"/>
          <w:szCs w:val="19"/>
          <w:spacing w:val="2"/>
        </w:rPr>
        <w:t xml:space="preserve"> </w:t>
      </w:r>
      <w:r>
        <w:rPr>
          <w:rFonts w:ascii="SimSun" w:hAnsi="SimSun" w:eastAsia="SimSun" w:cs="SimSun"/>
          <w:sz w:val="19"/>
          <w:szCs w:val="19"/>
          <w:spacing w:val="12"/>
        </w:rPr>
        <w:t>于从整体与长远利益出发制定政策，避免民粹主义情绪的过度干扰。</w:t>
      </w:r>
      <w:r>
        <w:rPr>
          <w:rFonts w:ascii="SimSun" w:hAnsi="SimSun" w:eastAsia="SimSun" w:cs="SimSun"/>
          <w:sz w:val="19"/>
          <w:szCs w:val="19"/>
          <w:spacing w:val="4"/>
        </w:rPr>
        <w:t xml:space="preserve"> </w:t>
      </w:r>
      <w:r>
        <w:rPr>
          <w:rFonts w:ascii="SimSun" w:hAnsi="SimSun" w:eastAsia="SimSun" w:cs="SimSun"/>
          <w:sz w:val="19"/>
          <w:szCs w:val="19"/>
          <w:spacing w:val="9"/>
        </w:rPr>
        <w:t>总而言之，我国应在尊重平台经济发展的基本国情基础上，谨慎借鉴 </w:t>
      </w:r>
      <w:r>
        <w:rPr>
          <w:rFonts w:ascii="SimSun" w:hAnsi="SimSun" w:eastAsia="SimSun" w:cs="SimSun"/>
          <w:sz w:val="19"/>
          <w:szCs w:val="19"/>
          <w:spacing w:val="10"/>
        </w:rPr>
        <w:t>国外经验，平衡经济发展与维护国家安全之间的关系，综合考虑国家</w:t>
      </w:r>
    </w:p>
    <w:p>
      <w:pPr>
        <w:spacing w:line="219" w:lineRule="auto"/>
        <w:rPr>
          <w:rFonts w:ascii="SimSun" w:hAnsi="SimSun" w:eastAsia="SimSun" w:cs="SimSun"/>
          <w:sz w:val="19"/>
          <w:szCs w:val="19"/>
        </w:rPr>
      </w:pPr>
      <w:r>
        <w:rPr>
          <w:rFonts w:ascii="SimSun" w:hAnsi="SimSun" w:eastAsia="SimSun" w:cs="SimSun"/>
          <w:sz w:val="19"/>
          <w:szCs w:val="19"/>
          <w:spacing w:val="8"/>
        </w:rPr>
        <w:t>发展和市场演变等多种因素，构建符合国情的反垄断监管政策体系。</w:t>
      </w:r>
    </w:p>
    <w:p>
      <w:pPr>
        <w:spacing w:line="219" w:lineRule="auto"/>
        <w:sectPr>
          <w:headerReference w:type="default" r:id="rId456"/>
          <w:pgSz w:w="7330" w:h="12480"/>
          <w:pgMar w:top="785" w:right="854" w:bottom="400" w:left="409" w:header="611" w:footer="0" w:gutter="0"/>
        </w:sectPr>
        <w:rPr>
          <w:rFonts w:ascii="SimSun" w:hAnsi="SimSun" w:eastAsia="SimSun" w:cs="SimSun"/>
          <w:sz w:val="19"/>
          <w:szCs w:val="19"/>
        </w:rPr>
      </w:pPr>
    </w:p>
    <w:p>
      <w:pPr>
        <w:pStyle w:val="BodyText"/>
        <w:rPr/>
      </w:pPr>
      <w:r/>
    </w:p>
    <w:p>
      <w:pPr>
        <w:sectPr>
          <w:headerReference w:type="default" r:id="rId1"/>
          <w:pgSz w:w="7330" w:h="12480"/>
          <w:pgMar w:top="0" w:right="0" w:bottom="0" w:left="0" w:header="0" w:footer="0" w:gutter="0"/>
        </w:sectPr>
        <w:rPr/>
      </w:pPr>
    </w:p>
    <w:p>
      <w:pPr>
        <w:pStyle w:val="BodyText"/>
        <w:spacing w:line="268" w:lineRule="auto"/>
        <w:rPr/>
      </w:pPr>
      <w:r>
        <w:drawing>
          <wp:anchor distT="0" distB="0" distL="0" distR="0" simplePos="0" relativeHeight="255563776" behindDoc="0" locked="0" layoutInCell="0" allowOverlap="1">
            <wp:simplePos x="0" y="0"/>
            <wp:positionH relativeFrom="page">
              <wp:posOffset>298450</wp:posOffset>
            </wp:positionH>
            <wp:positionV relativeFrom="page">
              <wp:posOffset>7042131</wp:posOffset>
            </wp:positionV>
            <wp:extent cx="1168384" cy="6350"/>
            <wp:effectExtent l="0" t="0" r="0" b="0"/>
            <wp:wrapNone/>
            <wp:docPr id="318" name="IM 318"/>
            <wp:cNvGraphicFramePr/>
            <a:graphic>
              <a:graphicData uri="http://schemas.openxmlformats.org/drawingml/2006/picture">
                <pic:pic>
                  <pic:nvPicPr>
                    <pic:cNvPr id="318" name="IM 318"/>
                    <pic:cNvPicPr/>
                  </pic:nvPicPr>
                  <pic:blipFill>
                    <a:blip r:embed="rId457"/>
                    <a:stretch>
                      <a:fillRect/>
                    </a:stretch>
                  </pic:blipFill>
                  <pic:spPr>
                    <a:xfrm rot="0">
                      <a:off x="0" y="0"/>
                      <a:ext cx="1168384" cy="6350"/>
                    </a:xfrm>
                    <a:prstGeom prst="rect">
                      <a:avLst/>
                    </a:prstGeom>
                  </pic:spPr>
                </pic:pic>
              </a:graphicData>
            </a:graphic>
          </wp:anchor>
        </w:drawing>
      </w: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ind w:firstLine="849"/>
        <w:spacing w:line="3630" w:lineRule="exact"/>
        <w:rPr/>
      </w:pPr>
      <w:r>
        <w:rPr>
          <w:position w:val="-72"/>
        </w:rPr>
        <w:drawing>
          <wp:inline distT="0" distB="0" distL="0" distR="0">
            <wp:extent cx="2851144" cy="2305007"/>
            <wp:effectExtent l="0" t="0" r="0" b="0"/>
            <wp:docPr id="320" name="IM 320"/>
            <wp:cNvGraphicFramePr/>
            <a:graphic>
              <a:graphicData uri="http://schemas.openxmlformats.org/drawingml/2006/picture">
                <pic:pic>
                  <pic:nvPicPr>
                    <pic:cNvPr id="320" name="IM 320"/>
                    <pic:cNvPicPr/>
                  </pic:nvPicPr>
                  <pic:blipFill>
                    <a:blip r:embed="rId458"/>
                    <a:stretch>
                      <a:fillRect/>
                    </a:stretch>
                  </pic:blipFill>
                  <pic:spPr>
                    <a:xfrm rot="0">
                      <a:off x="0" y="0"/>
                      <a:ext cx="2851144" cy="2305007"/>
                    </a:xfrm>
                    <a:prstGeom prst="rect">
                      <a:avLst/>
                    </a:prstGeom>
                  </pic:spPr>
                </pic:pic>
              </a:graphicData>
            </a:graphic>
          </wp:inline>
        </w:drawing>
      </w:r>
    </w:p>
    <w:p>
      <w:pPr>
        <w:ind w:left="1190"/>
        <w:spacing w:before="280" w:line="222" w:lineRule="auto"/>
        <w:tabs>
          <w:tab w:val="left" w:pos="2538"/>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trike/>
          <w:spacing w:val="-3"/>
        </w:rPr>
        <w:t>第十一章</w:t>
      </w:r>
      <w:r>
        <w:rPr>
          <w:rFonts w:ascii="SimHei" w:hAnsi="SimHei" w:eastAsia="SimHei" w:cs="SimHei"/>
          <w:sz w:val="29"/>
          <w:szCs w:val="29"/>
          <w:strike/>
        </w:rPr>
        <w:t xml:space="preserve">          </w:t>
      </w:r>
    </w:p>
    <w:p>
      <w:pPr>
        <w:pStyle w:val="BodyText"/>
        <w:spacing w:line="313" w:lineRule="auto"/>
        <w:rPr/>
      </w:pPr>
      <w:r/>
    </w:p>
    <w:p>
      <w:pPr>
        <w:ind w:left="2125"/>
        <w:spacing w:before="117"/>
        <w:rPr>
          <w:rFonts w:ascii="SimSun" w:hAnsi="SimSun" w:eastAsia="SimSun" w:cs="SimSun"/>
          <w:sz w:val="36"/>
          <w:szCs w:val="36"/>
        </w:rPr>
      </w:pPr>
      <w:r>
        <w:rPr>
          <w:rFonts w:ascii="SimSun" w:hAnsi="SimSun" w:eastAsia="SimSun" w:cs="SimSun"/>
          <w:sz w:val="36"/>
          <w:szCs w:val="36"/>
          <w:b/>
          <w:bCs/>
          <w:spacing w:val="-6"/>
        </w:rPr>
        <w:t>平台的挑战</w:t>
      </w:r>
    </w:p>
    <w:p>
      <w:pPr>
        <w:ind w:left="1935"/>
        <w:spacing w:line="219" w:lineRule="auto"/>
        <w:rPr>
          <w:rFonts w:ascii="SimSun" w:hAnsi="SimSun" w:eastAsia="SimSun" w:cs="SimSun"/>
          <w:sz w:val="36"/>
          <w:szCs w:val="36"/>
        </w:rPr>
      </w:pPr>
      <w:r>
        <w:rPr>
          <w:rFonts w:ascii="SimSun" w:hAnsi="SimSun" w:eastAsia="SimSun" w:cs="SimSun"/>
          <w:sz w:val="36"/>
          <w:szCs w:val="36"/>
          <w:b/>
          <w:bCs/>
          <w:spacing w:val="-7"/>
        </w:rPr>
        <w:t>与失焦的监管</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0"/>
        <w:spacing w:before="56" w:line="220" w:lineRule="auto"/>
        <w:rPr>
          <w:rFonts w:ascii="KaiTi" w:hAnsi="KaiTi" w:eastAsia="KaiTi" w:cs="KaiTi"/>
          <w:sz w:val="17"/>
          <w:szCs w:val="17"/>
        </w:rPr>
      </w:pPr>
      <w:r>
        <w:rPr>
          <w:rFonts w:ascii="KaiTi" w:hAnsi="KaiTi" w:eastAsia="KaiTi" w:cs="KaiTi"/>
          <w:sz w:val="17"/>
          <w:szCs w:val="17"/>
          <w:spacing w:val="-11"/>
        </w:rPr>
        <w:t>①</w:t>
      </w:r>
      <w:r>
        <w:rPr>
          <w:rFonts w:ascii="KaiTi" w:hAnsi="KaiTi" w:eastAsia="KaiTi" w:cs="KaiTi"/>
          <w:sz w:val="17"/>
          <w:szCs w:val="17"/>
          <w:spacing w:val="86"/>
        </w:rPr>
        <w:t xml:space="preserve"> </w:t>
      </w:r>
      <w:r>
        <w:rPr>
          <w:rFonts w:ascii="KaiTi" w:hAnsi="KaiTi" w:eastAsia="KaiTi" w:cs="KaiTi"/>
          <w:sz w:val="17"/>
          <w:szCs w:val="17"/>
          <w:spacing w:val="-11"/>
        </w:rPr>
        <w:t>本章作者为邓峰课题小组，参与人员有邓峰、张巍、王慧群。</w:t>
      </w:r>
    </w:p>
    <w:p>
      <w:pPr>
        <w:spacing w:line="220" w:lineRule="auto"/>
        <w:sectPr>
          <w:pgSz w:w="7330" w:h="12480"/>
          <w:pgMar w:top="400" w:right="1099" w:bottom="400" w:left="470" w:header="0" w:footer="0" w:gutter="0"/>
        </w:sectPr>
        <w:rPr>
          <w:rFonts w:ascii="KaiTi" w:hAnsi="KaiTi" w:eastAsia="KaiTi" w:cs="KaiTi"/>
          <w:sz w:val="17"/>
          <w:szCs w:val="17"/>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firstLine="870"/>
        <w:spacing w:line="2680" w:lineRule="exact"/>
        <w:rPr/>
      </w:pPr>
      <w:r>
        <w:rPr>
          <w:position w:val="-53"/>
        </w:rPr>
        <w:drawing>
          <wp:inline distT="0" distB="0" distL="0" distR="0">
            <wp:extent cx="2292365" cy="1701851"/>
            <wp:effectExtent l="0" t="0" r="0" b="0"/>
            <wp:docPr id="322" name="IM 322"/>
            <wp:cNvGraphicFramePr/>
            <a:graphic>
              <a:graphicData uri="http://schemas.openxmlformats.org/drawingml/2006/picture">
                <pic:pic>
                  <pic:nvPicPr>
                    <pic:cNvPr id="322" name="IM 322"/>
                    <pic:cNvPicPr/>
                  </pic:nvPicPr>
                  <pic:blipFill>
                    <a:blip r:embed="rId459"/>
                    <a:stretch>
                      <a:fillRect/>
                    </a:stretch>
                  </pic:blipFill>
                  <pic:spPr>
                    <a:xfrm rot="0">
                      <a:off x="0" y="0"/>
                      <a:ext cx="2292365" cy="1701851"/>
                    </a:xfrm>
                    <a:prstGeom prst="rect">
                      <a:avLst/>
                    </a:prstGeom>
                  </pic:spPr>
                </pic:pic>
              </a:graphicData>
            </a:graphic>
          </wp:inline>
        </w:drawing>
      </w:r>
    </w:p>
    <w:p>
      <w:pPr>
        <w:spacing w:line="2680" w:lineRule="exact"/>
        <w:sectPr>
          <w:pgSz w:w="7330" w:h="12480"/>
          <w:pgMar w:top="400" w:right="1099" w:bottom="400" w:left="1099" w:header="0" w:footer="0" w:gutter="0"/>
        </w:sectPr>
        <w:rPr/>
      </w:pP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454"/>
        <w:spacing w:before="107" w:line="767" w:lineRule="exact"/>
        <w:rPr>
          <w:rFonts w:ascii="SimSun" w:hAnsi="SimSun" w:eastAsia="SimSun" w:cs="SimSun"/>
          <w:sz w:val="33"/>
          <w:szCs w:val="33"/>
        </w:rPr>
      </w:pPr>
      <w:r>
        <w:rPr>
          <w:rFonts w:ascii="SimSun" w:hAnsi="SimSun" w:eastAsia="SimSun" w:cs="SimSun"/>
          <w:sz w:val="33"/>
          <w:szCs w:val="33"/>
          <w:b/>
          <w:bCs/>
          <w:spacing w:val="-14"/>
          <w:position w:val="33"/>
        </w:rPr>
        <w:t>平台现行的多维度、多部门监管现状</w:t>
      </w:r>
    </w:p>
    <w:p>
      <w:pPr>
        <w:ind w:left="3"/>
        <w:spacing w:line="222" w:lineRule="auto"/>
        <w:rPr>
          <w:rFonts w:ascii="SimHei" w:hAnsi="SimHei" w:eastAsia="SimHei" w:cs="SimHei"/>
          <w:sz w:val="21"/>
          <w:szCs w:val="21"/>
        </w:rPr>
      </w:pPr>
      <w:r>
        <w:rPr>
          <w:rFonts w:ascii="SimHei" w:hAnsi="SimHei" w:eastAsia="SimHei" w:cs="SimHei"/>
          <w:sz w:val="21"/>
          <w:szCs w:val="21"/>
          <w:b/>
          <w:bCs/>
          <w:spacing w:val="25"/>
        </w:rPr>
        <w:t>监管权限的划分</w:t>
      </w:r>
    </w:p>
    <w:p>
      <w:pPr>
        <w:pStyle w:val="BodyText"/>
        <w:spacing w:line="376" w:lineRule="auto"/>
        <w:rPr/>
      </w:pPr>
      <w:r/>
    </w:p>
    <w:p>
      <w:pPr>
        <w:ind w:firstLine="399"/>
        <w:spacing w:before="68" w:line="309" w:lineRule="auto"/>
        <w:jc w:val="both"/>
        <w:rPr>
          <w:rFonts w:ascii="SimSun" w:hAnsi="SimSun" w:eastAsia="SimSun" w:cs="SimSun"/>
          <w:sz w:val="21"/>
          <w:szCs w:val="21"/>
        </w:rPr>
      </w:pPr>
      <w:r>
        <w:rPr>
          <w:rFonts w:ascii="SimSun" w:hAnsi="SimSun" w:eastAsia="SimSun" w:cs="SimSun"/>
          <w:sz w:val="21"/>
          <w:szCs w:val="21"/>
          <w:spacing w:val="-10"/>
        </w:rPr>
        <w:t>我国对互联网平台的监管是传统模式的延伸，具有三个特点。首</w:t>
      </w:r>
      <w:r>
        <w:rPr>
          <w:rFonts w:ascii="SimSun" w:hAnsi="SimSun" w:eastAsia="SimSun" w:cs="SimSun"/>
          <w:sz w:val="21"/>
          <w:szCs w:val="21"/>
        </w:rPr>
        <w:t xml:space="preserve">  </w:t>
      </w:r>
      <w:r>
        <w:rPr>
          <w:rFonts w:ascii="SimSun" w:hAnsi="SimSun" w:eastAsia="SimSun" w:cs="SimSun"/>
          <w:sz w:val="21"/>
          <w:szCs w:val="21"/>
        </w:rPr>
        <w:t>先，这种监管模式在底层知识上来自19世纪美国建立的监管模式，</w:t>
      </w:r>
      <w:r>
        <w:rPr>
          <w:rFonts w:ascii="SimSun" w:hAnsi="SimSun" w:eastAsia="SimSun" w:cs="SimSun"/>
          <w:sz w:val="21"/>
          <w:szCs w:val="21"/>
          <w:spacing w:val="4"/>
        </w:rPr>
        <w:t xml:space="preserve"> </w:t>
      </w:r>
      <w:r>
        <w:rPr>
          <w:rFonts w:ascii="SimSun" w:hAnsi="SimSun" w:eastAsia="SimSun" w:cs="SimSun"/>
          <w:sz w:val="21"/>
          <w:szCs w:val="21"/>
          <w:spacing w:val="-3"/>
        </w:rPr>
        <w:t>其理论基础是基于公共部门和私人部门的划分，分别</w:t>
      </w:r>
      <w:r>
        <w:rPr>
          <w:rFonts w:ascii="SimSun" w:hAnsi="SimSun" w:eastAsia="SimSun" w:cs="SimSun"/>
          <w:sz w:val="21"/>
          <w:szCs w:val="21"/>
          <w:spacing w:val="-4"/>
        </w:rPr>
        <w:t>确立不同的监</w:t>
      </w:r>
      <w:r>
        <w:rPr>
          <w:rFonts w:ascii="SimSun" w:hAnsi="SimSun" w:eastAsia="SimSun" w:cs="SimSun"/>
          <w:sz w:val="21"/>
          <w:szCs w:val="21"/>
        </w:rPr>
        <w:t xml:space="preserve">  </w:t>
      </w:r>
      <w:r>
        <w:rPr>
          <w:rFonts w:ascii="SimSun" w:hAnsi="SimSun" w:eastAsia="SimSun" w:cs="SimSun"/>
          <w:sz w:val="21"/>
          <w:szCs w:val="21"/>
          <w:spacing w:val="-10"/>
        </w:rPr>
        <w:t>管、反垄断模式，并且依据产业链条的不同进行监管权限的划</w:t>
      </w:r>
      <w:r>
        <w:rPr>
          <w:rFonts w:ascii="SimSun" w:hAnsi="SimSun" w:eastAsia="SimSun" w:cs="SimSun"/>
          <w:sz w:val="21"/>
          <w:szCs w:val="21"/>
          <w:spacing w:val="-11"/>
        </w:rPr>
        <w:t>分。这</w:t>
      </w:r>
      <w:r>
        <w:rPr>
          <w:rFonts w:ascii="SimSun" w:hAnsi="SimSun" w:eastAsia="SimSun" w:cs="SimSun"/>
          <w:sz w:val="21"/>
          <w:szCs w:val="21"/>
        </w:rPr>
        <w:t xml:space="preserve">  </w:t>
      </w:r>
      <w:r>
        <w:rPr>
          <w:rFonts w:ascii="SimSun" w:hAnsi="SimSun" w:eastAsia="SimSun" w:cs="SimSun"/>
          <w:sz w:val="21"/>
          <w:szCs w:val="21"/>
          <w:spacing w:val="-10"/>
        </w:rPr>
        <w:t>主要体现在监管理论上，且在《价格法》《行政许可法》之中</w:t>
      </w:r>
      <w:r>
        <w:rPr>
          <w:rFonts w:ascii="SimSun" w:hAnsi="SimSun" w:eastAsia="SimSun" w:cs="SimSun"/>
          <w:sz w:val="21"/>
          <w:szCs w:val="21"/>
          <w:spacing w:val="-11"/>
        </w:rPr>
        <w:t>作为默</w:t>
      </w:r>
      <w:r>
        <w:rPr>
          <w:rFonts w:ascii="SimSun" w:hAnsi="SimSun" w:eastAsia="SimSun" w:cs="SimSun"/>
          <w:sz w:val="21"/>
          <w:szCs w:val="21"/>
        </w:rPr>
        <w:t xml:space="preserve">  </w:t>
      </w:r>
      <w:r>
        <w:rPr>
          <w:rFonts w:ascii="SimSun" w:hAnsi="SimSun" w:eastAsia="SimSun" w:cs="SimSun"/>
          <w:sz w:val="21"/>
          <w:szCs w:val="21"/>
          <w:spacing w:val="-10"/>
        </w:rPr>
        <w:t>认框架存在着。其次，我国现行的监管模式也受到了从计划经济体制</w:t>
      </w:r>
      <w:r>
        <w:rPr>
          <w:rFonts w:ascii="SimSun" w:hAnsi="SimSun" w:eastAsia="SimSun" w:cs="SimSun"/>
          <w:sz w:val="21"/>
          <w:szCs w:val="21"/>
          <w:spacing w:val="3"/>
        </w:rPr>
        <w:t xml:space="preserve">  </w:t>
      </w:r>
      <w:r>
        <w:rPr>
          <w:rFonts w:ascii="SimSun" w:hAnsi="SimSun" w:eastAsia="SimSun" w:cs="SimSun"/>
          <w:sz w:val="21"/>
          <w:szCs w:val="21"/>
          <w:spacing w:val="-7"/>
        </w:rPr>
        <w:t>向社会主义市场经济体制转轨的影响，在基于产业划分的监管之上，</w:t>
      </w:r>
      <w:r>
        <w:rPr>
          <w:rFonts w:ascii="SimSun" w:hAnsi="SimSun" w:eastAsia="SimSun" w:cs="SimSun"/>
          <w:sz w:val="21"/>
          <w:szCs w:val="21"/>
          <w:spacing w:val="4"/>
        </w:rPr>
        <w:t xml:space="preserve"> </w:t>
      </w:r>
      <w:r>
        <w:rPr>
          <w:rFonts w:ascii="SimSun" w:hAnsi="SimSun" w:eastAsia="SimSun" w:cs="SimSun"/>
          <w:sz w:val="21"/>
          <w:szCs w:val="21"/>
        </w:rPr>
        <w:t>还存在着一般性的社会经济秩序的监管(国家市场监督管理总局)、</w:t>
      </w:r>
      <w:r>
        <w:rPr>
          <w:rFonts w:ascii="SimSun" w:hAnsi="SimSun" w:eastAsia="SimSun" w:cs="SimSun"/>
          <w:sz w:val="21"/>
          <w:szCs w:val="21"/>
          <w:spacing w:val="4"/>
        </w:rPr>
        <w:t xml:space="preserve"> </w:t>
      </w:r>
      <w:r>
        <w:rPr>
          <w:rFonts w:ascii="SimSun" w:hAnsi="SimSun" w:eastAsia="SimSun" w:cs="SimSun"/>
          <w:sz w:val="21"/>
          <w:szCs w:val="21"/>
          <w:spacing w:val="1"/>
        </w:rPr>
        <w:t>重大产业政策的监管(发改委)以及国有资</w:t>
      </w:r>
      <w:r>
        <w:rPr>
          <w:rFonts w:ascii="SimSun" w:hAnsi="SimSun" w:eastAsia="SimSun" w:cs="SimSun"/>
          <w:sz w:val="21"/>
          <w:szCs w:val="21"/>
        </w:rPr>
        <w:t>产的特定监管部门(国资  </w:t>
      </w:r>
      <w:r>
        <w:rPr>
          <w:rFonts w:ascii="SimSun" w:hAnsi="SimSun" w:eastAsia="SimSun" w:cs="SimSun"/>
          <w:sz w:val="21"/>
          <w:szCs w:val="21"/>
          <w:spacing w:val="-7"/>
        </w:rPr>
        <w:t>委)。再次，经济监管受到了大陆法系的行政法框架的制约，尤其是</w:t>
      </w:r>
      <w:r>
        <w:rPr>
          <w:rFonts w:ascii="SimSun" w:hAnsi="SimSun" w:eastAsia="SimSun" w:cs="SimSun"/>
          <w:sz w:val="21"/>
          <w:szCs w:val="21"/>
          <w:spacing w:val="7"/>
        </w:rPr>
        <w:t xml:space="preserve">  </w:t>
      </w:r>
      <w:r>
        <w:rPr>
          <w:rFonts w:ascii="SimSun" w:hAnsi="SimSun" w:eastAsia="SimSun" w:cs="SimSun"/>
          <w:sz w:val="21"/>
          <w:szCs w:val="21"/>
          <w:spacing w:val="-10"/>
        </w:rPr>
        <w:t>21世纪以来我国加入世界贸易组织之后，更多采用了“放管服”“改</w:t>
      </w:r>
      <w:r>
        <w:rPr>
          <w:rFonts w:ascii="SimSun" w:hAnsi="SimSun" w:eastAsia="SimSun" w:cs="SimSun"/>
          <w:sz w:val="21"/>
          <w:szCs w:val="21"/>
          <w:spacing w:val="3"/>
        </w:rPr>
        <w:t xml:space="preserve">  </w:t>
      </w:r>
      <w:r>
        <w:rPr>
          <w:rFonts w:ascii="SimSun" w:hAnsi="SimSun" w:eastAsia="SimSun" w:cs="SimSun"/>
          <w:sz w:val="21"/>
          <w:szCs w:val="21"/>
          <w:spacing w:val="-28"/>
        </w:rPr>
        <w:t>善营商环境”的放松监管的政策导向。在“新经济”、“共</w:t>
      </w:r>
      <w:r>
        <w:rPr>
          <w:rFonts w:ascii="SimSun" w:hAnsi="SimSun" w:eastAsia="SimSun" w:cs="SimSun"/>
          <w:sz w:val="21"/>
          <w:szCs w:val="21"/>
          <w:spacing w:val="-29"/>
        </w:rPr>
        <w:t>享经济”、“工</w:t>
      </w:r>
      <w:r>
        <w:rPr>
          <w:rFonts w:ascii="SimSun" w:hAnsi="SimSun" w:eastAsia="SimSun" w:cs="SimSun"/>
          <w:sz w:val="21"/>
          <w:szCs w:val="21"/>
        </w:rPr>
        <w:t xml:space="preserve">  </w:t>
      </w:r>
      <w:r>
        <w:rPr>
          <w:rFonts w:ascii="SimSun" w:hAnsi="SimSun" w:eastAsia="SimSun" w:cs="SimSun"/>
          <w:sz w:val="21"/>
          <w:szCs w:val="21"/>
          <w:spacing w:val="-10"/>
        </w:rPr>
        <w:t>业4.0”、“互联网+”以及“平台经济”等政策术语下，平台经济得</w:t>
      </w:r>
      <w:r>
        <w:rPr>
          <w:rFonts w:ascii="SimSun" w:hAnsi="SimSun" w:eastAsia="SimSun" w:cs="SimSun"/>
          <w:sz w:val="21"/>
          <w:szCs w:val="21"/>
          <w:spacing w:val="8"/>
        </w:rPr>
        <w:t xml:space="preserve">  </w:t>
      </w:r>
      <w:r>
        <w:rPr>
          <w:rFonts w:ascii="SimSun" w:hAnsi="SimSun" w:eastAsia="SimSun" w:cs="SimSun"/>
          <w:sz w:val="21"/>
          <w:szCs w:val="21"/>
          <w:spacing w:val="-9"/>
        </w:rPr>
        <w:t>到了诸多政策性改进的监管放松，但是监管</w:t>
      </w:r>
      <w:r>
        <w:rPr>
          <w:rFonts w:ascii="SimSun" w:hAnsi="SimSun" w:eastAsia="SimSun" w:cs="SimSun"/>
          <w:sz w:val="21"/>
          <w:szCs w:val="21"/>
          <w:spacing w:val="-10"/>
        </w:rPr>
        <w:t>的权限划分框架和理论依 </w:t>
      </w:r>
      <w:r>
        <w:rPr>
          <w:rFonts w:ascii="SimSun" w:hAnsi="SimSun" w:eastAsia="SimSun" w:cs="SimSun"/>
          <w:sz w:val="21"/>
          <w:szCs w:val="21"/>
          <w:spacing w:val="-15"/>
        </w:rPr>
        <w:t>据并没有改变。</w:t>
      </w:r>
    </w:p>
    <w:p>
      <w:pPr>
        <w:ind w:firstLine="420"/>
        <w:spacing w:before="120" w:line="297" w:lineRule="auto"/>
        <w:jc w:val="both"/>
        <w:rPr>
          <w:rFonts w:ascii="SimSun" w:hAnsi="SimSun" w:eastAsia="SimSun" w:cs="SimSun"/>
          <w:sz w:val="21"/>
          <w:szCs w:val="21"/>
        </w:rPr>
      </w:pPr>
      <w:r>
        <w:rPr>
          <w:rFonts w:ascii="SimSun" w:hAnsi="SimSun" w:eastAsia="SimSun" w:cs="SimSun"/>
          <w:sz w:val="21"/>
          <w:szCs w:val="21"/>
          <w:spacing w:val="-10"/>
        </w:rPr>
        <w:t>现行针对平台经济的监管，更多是传统模式的延续和扩张，略</w:t>
      </w:r>
      <w:r>
        <w:rPr>
          <w:rFonts w:ascii="SimSun" w:hAnsi="SimSun" w:eastAsia="SimSun" w:cs="SimSun"/>
          <w:sz w:val="21"/>
          <w:szCs w:val="21"/>
          <w:spacing w:val="-11"/>
        </w:rPr>
        <w:t>有 </w:t>
      </w:r>
      <w:r>
        <w:rPr>
          <w:rFonts w:ascii="SimSun" w:hAnsi="SimSun" w:eastAsia="SimSun" w:cs="SimSun"/>
          <w:sz w:val="21"/>
          <w:szCs w:val="21"/>
          <w:spacing w:val="-7"/>
        </w:rPr>
        <w:t>损益，具有多线条、多产业监管的特征。在监管措施上，笼统地说，</w:t>
      </w:r>
      <w:r>
        <w:rPr>
          <w:rFonts w:ascii="SimSun" w:hAnsi="SimSun" w:eastAsia="SimSun" w:cs="SimSun"/>
          <w:sz w:val="21"/>
          <w:szCs w:val="21"/>
          <w:spacing w:val="3"/>
        </w:rPr>
        <w:t xml:space="preserve"> </w:t>
      </w:r>
      <w:r>
        <w:rPr>
          <w:rFonts w:ascii="SimSun" w:hAnsi="SimSun" w:eastAsia="SimSun" w:cs="SimSun"/>
          <w:sz w:val="21"/>
          <w:szCs w:val="21"/>
          <w:spacing w:val="-10"/>
        </w:rPr>
        <w:t>表现为针对市场准入、市场行为、市场退出等方式的监管。在</w:t>
      </w:r>
      <w:r>
        <w:rPr>
          <w:rFonts w:ascii="SimSun" w:hAnsi="SimSun" w:eastAsia="SimSun" w:cs="SimSun"/>
          <w:sz w:val="21"/>
          <w:szCs w:val="21"/>
          <w:spacing w:val="-11"/>
        </w:rPr>
        <w:t>部门监</w:t>
      </w:r>
      <w:r>
        <w:rPr>
          <w:rFonts w:ascii="SimSun" w:hAnsi="SimSun" w:eastAsia="SimSun" w:cs="SimSun"/>
          <w:sz w:val="21"/>
          <w:szCs w:val="21"/>
        </w:rPr>
        <w:t xml:space="preserve">  </w:t>
      </w:r>
      <w:r>
        <w:rPr>
          <w:rFonts w:ascii="SimSun" w:hAnsi="SimSun" w:eastAsia="SimSun" w:cs="SimSun"/>
          <w:sz w:val="21"/>
          <w:szCs w:val="21"/>
          <w:spacing w:val="-10"/>
        </w:rPr>
        <w:t>管权的划分方面，当前平台监管多采用以行业为基础的行业</w:t>
      </w:r>
      <w:r>
        <w:rPr>
          <w:rFonts w:ascii="SimSun" w:hAnsi="SimSun" w:eastAsia="SimSun" w:cs="SimSun"/>
          <w:sz w:val="21"/>
          <w:szCs w:val="21"/>
          <w:spacing w:val="-11"/>
        </w:rPr>
        <w:t>监管和跨</w:t>
      </w:r>
      <w:r>
        <w:rPr>
          <w:rFonts w:ascii="SimSun" w:hAnsi="SimSun" w:eastAsia="SimSun" w:cs="SimSun"/>
          <w:sz w:val="21"/>
          <w:szCs w:val="21"/>
        </w:rPr>
        <w:t xml:space="preserve">  </w:t>
      </w:r>
      <w:r>
        <w:rPr>
          <w:rFonts w:ascii="SimSun" w:hAnsi="SimSun" w:eastAsia="SimSun" w:cs="SimSun"/>
          <w:sz w:val="21"/>
          <w:szCs w:val="21"/>
          <w:spacing w:val="-14"/>
        </w:rPr>
        <w:t>部门联合监管两种模式。</w:t>
      </w:r>
    </w:p>
    <w:p>
      <w:pPr>
        <w:spacing w:line="297" w:lineRule="auto"/>
        <w:sectPr>
          <w:pgSz w:w="7330" w:h="12480"/>
          <w:pgMar w:top="400" w:right="784" w:bottom="400" w:left="449" w:header="0"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462"/>
        <w:spacing w:before="68" w:line="219" w:lineRule="auto"/>
        <w:rPr>
          <w:rFonts w:ascii="SimSun" w:hAnsi="SimSun" w:eastAsia="SimSun" w:cs="SimSun"/>
          <w:sz w:val="21"/>
          <w:szCs w:val="21"/>
        </w:rPr>
      </w:pPr>
      <w:r>
        <w:rPr>
          <w:rFonts w:ascii="SimSun" w:hAnsi="SimSun" w:eastAsia="SimSun" w:cs="SimSun"/>
          <w:sz w:val="21"/>
          <w:szCs w:val="21"/>
          <w:b/>
          <w:bCs/>
          <w:spacing w:val="-14"/>
        </w:rPr>
        <w:t>监管部门内部的权限划分</w:t>
      </w:r>
    </w:p>
    <w:p>
      <w:pPr>
        <w:ind w:firstLine="460"/>
        <w:spacing w:before="116" w:line="304" w:lineRule="auto"/>
        <w:jc w:val="both"/>
        <w:rPr>
          <w:rFonts w:ascii="SimSun" w:hAnsi="SimSun" w:eastAsia="SimSun" w:cs="SimSun"/>
          <w:sz w:val="21"/>
          <w:szCs w:val="21"/>
        </w:rPr>
      </w:pPr>
      <w:r>
        <w:rPr>
          <w:rFonts w:ascii="SimSun" w:hAnsi="SimSun" w:eastAsia="SimSun" w:cs="SimSun"/>
          <w:sz w:val="21"/>
          <w:szCs w:val="21"/>
          <w:spacing w:val="-12"/>
        </w:rPr>
        <w:t>目前，我国对平台的监管在很大程度上仍然延续了产业监管的框</w:t>
      </w:r>
      <w:r>
        <w:rPr>
          <w:rFonts w:ascii="SimSun" w:hAnsi="SimSun" w:eastAsia="SimSun" w:cs="SimSun"/>
          <w:sz w:val="21"/>
          <w:szCs w:val="21"/>
          <w:spacing w:val="12"/>
        </w:rPr>
        <w:t xml:space="preserve"> </w:t>
      </w:r>
      <w:r>
        <w:rPr>
          <w:rFonts w:ascii="SimSun" w:hAnsi="SimSun" w:eastAsia="SimSun" w:cs="SimSun"/>
          <w:sz w:val="21"/>
          <w:szCs w:val="21"/>
          <w:spacing w:val="-8"/>
        </w:rPr>
        <w:t>架，即基于平台从事经营活动所涉足的产业来进行监管权限的划分。</w:t>
      </w:r>
      <w:r>
        <w:rPr>
          <w:rFonts w:ascii="SimSun" w:hAnsi="SimSun" w:eastAsia="SimSun" w:cs="SimSun"/>
          <w:sz w:val="21"/>
          <w:szCs w:val="21"/>
          <w:spacing w:val="14"/>
        </w:rPr>
        <w:t xml:space="preserve"> </w:t>
      </w:r>
      <w:r>
        <w:rPr>
          <w:rFonts w:ascii="SimSun" w:hAnsi="SimSun" w:eastAsia="SimSun" w:cs="SimSun"/>
          <w:sz w:val="21"/>
          <w:szCs w:val="21"/>
          <w:spacing w:val="-10"/>
        </w:rPr>
        <w:t>例如，网约车平台的产业监管部门为交通运输部，支付平台的主要监 </w:t>
      </w:r>
      <w:r>
        <w:rPr>
          <w:rFonts w:ascii="SimSun" w:hAnsi="SimSun" w:eastAsia="SimSun" w:cs="SimSun"/>
          <w:sz w:val="21"/>
          <w:szCs w:val="21"/>
          <w:spacing w:val="-4"/>
        </w:rPr>
        <w:t>管部门为中国人民银行、银保监会、证监会、外汇局等金融监管部</w:t>
      </w:r>
      <w:r>
        <w:rPr>
          <w:rFonts w:ascii="SimSun" w:hAnsi="SimSun" w:eastAsia="SimSun" w:cs="SimSun"/>
          <w:sz w:val="21"/>
          <w:szCs w:val="21"/>
          <w:spacing w:val="3"/>
        </w:rPr>
        <w:t xml:space="preserve">  </w:t>
      </w:r>
      <w:r>
        <w:rPr>
          <w:rFonts w:ascii="SimSun" w:hAnsi="SimSun" w:eastAsia="SimSun" w:cs="SimSun"/>
          <w:sz w:val="21"/>
          <w:szCs w:val="21"/>
          <w:spacing w:val="-11"/>
        </w:rPr>
        <w:t>门，旅行平台的主要监管部门为文化和旅游部，等等。这些产业在受</w:t>
      </w:r>
      <w:r>
        <w:rPr>
          <w:rFonts w:ascii="SimSun" w:hAnsi="SimSun" w:eastAsia="SimSun" w:cs="SimSun"/>
          <w:sz w:val="21"/>
          <w:szCs w:val="21"/>
          <w:spacing w:val="3"/>
        </w:rPr>
        <w:t xml:space="preserve">  </w:t>
      </w:r>
      <w:r>
        <w:rPr>
          <w:rFonts w:ascii="SimSun" w:hAnsi="SimSun" w:eastAsia="SimSun" w:cs="SimSun"/>
          <w:sz w:val="21"/>
          <w:szCs w:val="21"/>
          <w:spacing w:val="-11"/>
        </w:rPr>
        <w:t>到产业监管部门监管的同时，也受到统一的市场监督管理部门即目前</w:t>
      </w:r>
      <w:r>
        <w:rPr>
          <w:rFonts w:ascii="SimSun" w:hAnsi="SimSun" w:eastAsia="SimSun" w:cs="SimSun"/>
          <w:sz w:val="21"/>
          <w:szCs w:val="21"/>
          <w:spacing w:val="4"/>
        </w:rPr>
        <w:t xml:space="preserve">  </w:t>
      </w:r>
      <w:r>
        <w:rPr>
          <w:rFonts w:ascii="SimSun" w:hAnsi="SimSun" w:eastAsia="SimSun" w:cs="SimSun"/>
          <w:sz w:val="21"/>
          <w:szCs w:val="21"/>
          <w:spacing w:val="-11"/>
        </w:rPr>
        <w:t>的市场监督管理总局的监管，还受到重大公共投资项目监管部门即发</w:t>
      </w:r>
      <w:r>
        <w:rPr>
          <w:rFonts w:ascii="SimSun" w:hAnsi="SimSun" w:eastAsia="SimSun" w:cs="SimSun"/>
          <w:sz w:val="21"/>
          <w:szCs w:val="21"/>
          <w:spacing w:val="3"/>
        </w:rPr>
        <w:t xml:space="preserve">  </w:t>
      </w:r>
      <w:r>
        <w:rPr>
          <w:rFonts w:ascii="SimSun" w:hAnsi="SimSun" w:eastAsia="SimSun" w:cs="SimSun"/>
          <w:sz w:val="21"/>
          <w:szCs w:val="21"/>
          <w:spacing w:val="-11"/>
        </w:rPr>
        <w:t>改委的监管。</w:t>
      </w:r>
    </w:p>
    <w:p>
      <w:pPr>
        <w:ind w:right="23" w:firstLine="460"/>
        <w:spacing w:before="98" w:line="326" w:lineRule="auto"/>
        <w:jc w:val="both"/>
        <w:rPr>
          <w:rFonts w:ascii="SimSun" w:hAnsi="SimSun" w:eastAsia="SimSun" w:cs="SimSun"/>
          <w:sz w:val="21"/>
          <w:szCs w:val="21"/>
        </w:rPr>
      </w:pPr>
      <w:r>
        <w:rPr>
          <w:rFonts w:ascii="SimSun" w:hAnsi="SimSun" w:eastAsia="SimSun" w:cs="SimSun"/>
          <w:sz w:val="21"/>
          <w:szCs w:val="21"/>
          <w:spacing w:val="-16"/>
        </w:rPr>
        <w:t>对于平台不断扩展的新产业，</w:t>
      </w:r>
      <w:r>
        <w:rPr>
          <w:rFonts w:ascii="SimSun" w:hAnsi="SimSun" w:eastAsia="SimSun" w:cs="SimSun"/>
          <w:sz w:val="21"/>
          <w:szCs w:val="21"/>
          <w:spacing w:val="53"/>
        </w:rPr>
        <w:t xml:space="preserve"> </w:t>
      </w:r>
      <w:r>
        <w:rPr>
          <w:rFonts w:ascii="SimSun" w:hAnsi="SimSun" w:eastAsia="SimSun" w:cs="SimSun"/>
          <w:sz w:val="21"/>
          <w:szCs w:val="21"/>
          <w:spacing w:val="-16"/>
        </w:rPr>
        <w:t>一些可能难以划分到传统的产业部</w:t>
      </w:r>
      <w:r>
        <w:rPr>
          <w:rFonts w:ascii="SimSun" w:hAnsi="SimSun" w:eastAsia="SimSun" w:cs="SimSun"/>
          <w:sz w:val="21"/>
          <w:szCs w:val="21"/>
        </w:rPr>
        <w:t xml:space="preserve"> </w:t>
      </w:r>
      <w:r>
        <w:rPr>
          <w:rFonts w:ascii="SimSun" w:hAnsi="SimSun" w:eastAsia="SimSun" w:cs="SimSun"/>
          <w:sz w:val="21"/>
          <w:szCs w:val="21"/>
          <w:spacing w:val="-11"/>
        </w:rPr>
        <w:t>门，例如，电商平台、社交平台、视频聚合平台等，并无对应的产业</w:t>
      </w:r>
    </w:p>
    <w:p>
      <w:pPr>
        <w:spacing w:line="219" w:lineRule="auto"/>
        <w:rPr>
          <w:rFonts w:ascii="SimSun" w:hAnsi="SimSun" w:eastAsia="SimSun" w:cs="SimSun"/>
          <w:sz w:val="21"/>
          <w:szCs w:val="21"/>
        </w:rPr>
      </w:pPr>
      <w:r>
        <w:rPr>
          <w:rFonts w:ascii="SimSun" w:hAnsi="SimSun" w:eastAsia="SimSun" w:cs="SimSun"/>
          <w:sz w:val="21"/>
          <w:szCs w:val="21"/>
          <w:spacing w:val="-10"/>
        </w:rPr>
        <w:t>部门，市场行为由市场监督管理部门进行监管。</w:t>
      </w:r>
    </w:p>
    <w:p>
      <w:pPr>
        <w:ind w:firstLine="460"/>
        <w:spacing w:before="102" w:line="300" w:lineRule="auto"/>
        <w:jc w:val="both"/>
        <w:rPr>
          <w:rFonts w:ascii="SimSun" w:hAnsi="SimSun" w:eastAsia="SimSun" w:cs="SimSun"/>
          <w:sz w:val="21"/>
          <w:szCs w:val="21"/>
        </w:rPr>
      </w:pPr>
      <w:r>
        <w:rPr>
          <w:rFonts w:ascii="SimSun" w:hAnsi="SimSun" w:eastAsia="SimSun" w:cs="SimSun"/>
          <w:sz w:val="21"/>
          <w:szCs w:val="21"/>
          <w:spacing w:val="-11"/>
        </w:rPr>
        <w:t>与此同时，由于数字平台与信息技术和经济发展密不可分，浏览</w:t>
      </w:r>
      <w:r>
        <w:rPr>
          <w:rFonts w:ascii="SimSun" w:hAnsi="SimSun" w:eastAsia="SimSun" w:cs="SimSun"/>
          <w:sz w:val="21"/>
          <w:szCs w:val="21"/>
          <w:spacing w:val="17"/>
        </w:rPr>
        <w:t xml:space="preserve"> </w:t>
      </w:r>
      <w:r>
        <w:rPr>
          <w:rFonts w:ascii="SimSun" w:hAnsi="SimSun" w:eastAsia="SimSun" w:cs="SimSun"/>
          <w:sz w:val="21"/>
          <w:szCs w:val="21"/>
          <w:spacing w:val="-9"/>
        </w:rPr>
        <w:t>器、App 等数字平台同时受到工信部的</w:t>
      </w:r>
      <w:r>
        <w:rPr>
          <w:rFonts w:ascii="SimSun" w:hAnsi="SimSun" w:eastAsia="SimSun" w:cs="SimSun"/>
          <w:sz w:val="21"/>
          <w:szCs w:val="21"/>
          <w:spacing w:val="-10"/>
        </w:rPr>
        <w:t>监管。此外，在数字平台的内 </w:t>
      </w:r>
      <w:r>
        <w:rPr>
          <w:rFonts w:ascii="SimSun" w:hAnsi="SimSun" w:eastAsia="SimSun" w:cs="SimSun"/>
          <w:sz w:val="21"/>
          <w:szCs w:val="21"/>
          <w:spacing w:val="-10"/>
        </w:rPr>
        <w:t>容监管层面，网信办、中宣部等党群机构也参与到浏览器、</w:t>
      </w:r>
      <w:r>
        <w:rPr>
          <w:rFonts w:ascii="Times New Roman" w:hAnsi="Times New Roman" w:eastAsia="Times New Roman" w:cs="Times New Roman"/>
          <w:sz w:val="21"/>
          <w:szCs w:val="21"/>
          <w:spacing w:val="-10"/>
        </w:rPr>
        <w:t>Ap</w:t>
      </w:r>
      <w:r>
        <w:rPr>
          <w:rFonts w:ascii="Times New Roman" w:hAnsi="Times New Roman" w:eastAsia="Times New Roman" w:cs="Times New Roman"/>
          <w:sz w:val="21"/>
          <w:szCs w:val="21"/>
          <w:spacing w:val="-11"/>
        </w:rPr>
        <w:t>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1"/>
        </w:rPr>
        <w:t>等平</w:t>
      </w:r>
      <w:r>
        <w:rPr>
          <w:rFonts w:ascii="SimSun" w:hAnsi="SimSun" w:eastAsia="SimSun" w:cs="SimSun"/>
          <w:sz w:val="21"/>
          <w:szCs w:val="21"/>
        </w:rPr>
        <w:t xml:space="preserve">  </w:t>
      </w:r>
      <w:r>
        <w:rPr>
          <w:rFonts w:ascii="SimSun" w:hAnsi="SimSun" w:eastAsia="SimSun" w:cs="SimSun"/>
          <w:sz w:val="21"/>
          <w:szCs w:val="21"/>
          <w:spacing w:val="-8"/>
        </w:rPr>
        <w:t>台的监管。就此而言，同一平台往往同时受到多个监管部门的监管。</w:t>
      </w:r>
      <w:r>
        <w:rPr>
          <w:rFonts w:ascii="SimSun" w:hAnsi="SimSun" w:eastAsia="SimSun" w:cs="SimSun"/>
          <w:sz w:val="21"/>
          <w:szCs w:val="21"/>
          <w:spacing w:val="14"/>
        </w:rPr>
        <w:t xml:space="preserve"> </w:t>
      </w:r>
      <w:r>
        <w:rPr>
          <w:rFonts w:ascii="SimSun" w:hAnsi="SimSun" w:eastAsia="SimSun" w:cs="SimSun"/>
          <w:sz w:val="21"/>
          <w:szCs w:val="21"/>
          <w:spacing w:val="-4"/>
        </w:rPr>
        <w:t>表11-1整理了各监管机构对各类平台的管辖权限，以及针对高科技</w:t>
      </w:r>
      <w:r>
        <w:rPr>
          <w:rFonts w:ascii="SimSun" w:hAnsi="SimSun" w:eastAsia="SimSun" w:cs="SimSun"/>
          <w:sz w:val="21"/>
          <w:szCs w:val="21"/>
          <w:spacing w:val="5"/>
        </w:rPr>
        <w:t xml:space="preserve">  </w:t>
      </w:r>
      <w:r>
        <w:rPr>
          <w:rFonts w:ascii="SimSun" w:hAnsi="SimSun" w:eastAsia="SimSun" w:cs="SimSun"/>
          <w:sz w:val="21"/>
          <w:szCs w:val="21"/>
          <w:spacing w:val="-11"/>
        </w:rPr>
        <w:t>平台企业出台的相关文件的汇总。</w:t>
      </w:r>
    </w:p>
    <w:p>
      <w:pPr>
        <w:ind w:left="1783"/>
        <w:spacing w:before="288" w:line="223" w:lineRule="auto"/>
        <w:rPr>
          <w:rFonts w:ascii="SimHei" w:hAnsi="SimHei" w:eastAsia="SimHei" w:cs="SimHei"/>
          <w:sz w:val="21"/>
          <w:szCs w:val="21"/>
        </w:rPr>
      </w:pPr>
      <w:r>
        <w:rPr>
          <w:rFonts w:ascii="SimHei" w:hAnsi="SimHei" w:eastAsia="SimHei" w:cs="SimHei"/>
          <w:sz w:val="21"/>
          <w:szCs w:val="21"/>
          <w:b/>
          <w:bCs/>
          <w:spacing w:val="-21"/>
        </w:rPr>
        <w:t>表11-1</w:t>
      </w:r>
      <w:r>
        <w:rPr>
          <w:rFonts w:ascii="SimHei" w:hAnsi="SimHei" w:eastAsia="SimHei" w:cs="SimHei"/>
          <w:sz w:val="21"/>
          <w:szCs w:val="21"/>
          <w:spacing w:val="36"/>
        </w:rPr>
        <w:t xml:space="preserve"> </w:t>
      </w:r>
      <w:r>
        <w:rPr>
          <w:rFonts w:ascii="SimHei" w:hAnsi="SimHei" w:eastAsia="SimHei" w:cs="SimHei"/>
          <w:sz w:val="21"/>
          <w:szCs w:val="21"/>
          <w:b/>
          <w:bCs/>
          <w:spacing w:val="-21"/>
        </w:rPr>
        <w:t>各监管机构的管辖权限</w:t>
      </w:r>
    </w:p>
    <w:p>
      <w:pPr>
        <w:spacing w:line="96" w:lineRule="exact"/>
        <w:rPr/>
      </w:pPr>
      <w:r/>
    </w:p>
    <w:tbl>
      <w:tblPr>
        <w:tblStyle w:val="TableNormal"/>
        <w:tblW w:w="6000"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23"/>
        <w:gridCol w:w="1328"/>
        <w:gridCol w:w="3349"/>
      </w:tblGrid>
      <w:tr>
        <w:trPr>
          <w:trHeight w:val="333" w:hRule="atLeast"/>
        </w:trPr>
        <w:tc>
          <w:tcPr>
            <w:tcW w:w="1323" w:type="dxa"/>
            <w:vAlign w:val="top"/>
          </w:tcPr>
          <w:p>
            <w:pPr>
              <w:pStyle w:val="TableText"/>
              <w:ind w:left="347"/>
              <w:spacing w:before="89" w:line="219" w:lineRule="auto"/>
              <w:rPr>
                <w:sz w:val="16"/>
                <w:szCs w:val="16"/>
              </w:rPr>
            </w:pPr>
            <w:r>
              <w:rPr>
                <w:sz w:val="16"/>
                <w:szCs w:val="16"/>
                <w:b/>
                <w:bCs/>
                <w:spacing w:val="1"/>
              </w:rPr>
              <w:t>监管部门</w:t>
            </w:r>
          </w:p>
        </w:tc>
        <w:tc>
          <w:tcPr>
            <w:tcW w:w="1328" w:type="dxa"/>
            <w:vAlign w:val="top"/>
          </w:tcPr>
          <w:p>
            <w:pPr>
              <w:pStyle w:val="TableText"/>
              <w:ind w:left="274"/>
              <w:spacing w:before="89" w:line="219" w:lineRule="auto"/>
              <w:rPr>
                <w:sz w:val="16"/>
                <w:szCs w:val="16"/>
              </w:rPr>
            </w:pPr>
            <w:r>
              <w:rPr>
                <w:sz w:val="16"/>
                <w:szCs w:val="16"/>
                <w:b/>
                <w:bCs/>
                <w:spacing w:val="-3"/>
              </w:rPr>
              <w:t>监管的平台</w:t>
            </w:r>
          </w:p>
        </w:tc>
        <w:tc>
          <w:tcPr>
            <w:tcW w:w="3349" w:type="dxa"/>
            <w:vAlign w:val="top"/>
          </w:tcPr>
          <w:p>
            <w:pPr>
              <w:pStyle w:val="TableText"/>
              <w:ind w:left="1026"/>
              <w:spacing w:before="89" w:line="219" w:lineRule="auto"/>
              <w:rPr>
                <w:sz w:val="16"/>
                <w:szCs w:val="16"/>
              </w:rPr>
            </w:pPr>
            <w:r>
              <w:rPr>
                <w:sz w:val="16"/>
                <w:szCs w:val="16"/>
                <w:b/>
                <w:bCs/>
                <w:spacing w:val="-2"/>
              </w:rPr>
              <w:t>出台监管文件例示</w:t>
            </w:r>
          </w:p>
        </w:tc>
      </w:tr>
      <w:tr>
        <w:trPr>
          <w:trHeight w:val="568" w:hRule="atLeast"/>
        </w:trPr>
        <w:tc>
          <w:tcPr>
            <w:tcW w:w="1323" w:type="dxa"/>
            <w:vAlign w:val="top"/>
          </w:tcPr>
          <w:p>
            <w:pPr>
              <w:pStyle w:val="TableText"/>
              <w:ind w:left="75"/>
              <w:spacing w:before="88" w:line="219" w:lineRule="auto"/>
              <w:rPr>
                <w:sz w:val="16"/>
                <w:szCs w:val="16"/>
              </w:rPr>
            </w:pPr>
            <w:r>
              <w:rPr>
                <w:sz w:val="16"/>
                <w:szCs w:val="16"/>
                <w:spacing w:val="3"/>
              </w:rPr>
              <w:t>国务院</w:t>
            </w:r>
          </w:p>
        </w:tc>
        <w:tc>
          <w:tcPr>
            <w:tcW w:w="1328" w:type="dxa"/>
            <w:vAlign w:val="top"/>
          </w:tcPr>
          <w:p>
            <w:pPr>
              <w:pStyle w:val="TableText"/>
              <w:ind w:left="72"/>
              <w:spacing w:before="98" w:line="219" w:lineRule="auto"/>
              <w:rPr>
                <w:sz w:val="16"/>
                <w:szCs w:val="16"/>
              </w:rPr>
            </w:pPr>
            <w:r>
              <w:rPr>
                <w:sz w:val="16"/>
                <w:szCs w:val="16"/>
                <w:spacing w:val="4"/>
              </w:rPr>
              <w:t>各类平台</w:t>
            </w:r>
          </w:p>
        </w:tc>
        <w:tc>
          <w:tcPr>
            <w:tcW w:w="3349" w:type="dxa"/>
            <w:vAlign w:val="top"/>
          </w:tcPr>
          <w:p>
            <w:pPr>
              <w:pStyle w:val="TableText"/>
              <w:ind w:left="83" w:right="128" w:hanging="59"/>
              <w:spacing w:before="98" w:line="248" w:lineRule="auto"/>
              <w:rPr>
                <w:sz w:val="16"/>
                <w:szCs w:val="16"/>
              </w:rPr>
            </w:pPr>
            <w:r>
              <w:rPr>
                <w:sz w:val="16"/>
                <w:szCs w:val="16"/>
                <w:spacing w:val="-1"/>
              </w:rPr>
              <w:t>《国务院办公厅关于促进平台经济规范健康发</w:t>
            </w:r>
            <w:r>
              <w:rPr>
                <w:sz w:val="16"/>
                <w:szCs w:val="16"/>
                <w:spacing w:val="5"/>
              </w:rPr>
              <w:t xml:space="preserve"> </w:t>
            </w:r>
            <w:r>
              <w:rPr>
                <w:sz w:val="16"/>
                <w:szCs w:val="16"/>
                <w:spacing w:val="-2"/>
              </w:rPr>
              <w:t>展的指导意见》</w:t>
            </w:r>
          </w:p>
        </w:tc>
      </w:tr>
      <w:tr>
        <w:trPr>
          <w:trHeight w:val="1528" w:hRule="atLeast"/>
        </w:trPr>
        <w:tc>
          <w:tcPr>
            <w:tcW w:w="1323" w:type="dxa"/>
            <w:vAlign w:val="top"/>
          </w:tcPr>
          <w:p>
            <w:pPr>
              <w:pStyle w:val="TableText"/>
              <w:ind w:left="75"/>
              <w:spacing w:before="90" w:line="219" w:lineRule="auto"/>
              <w:rPr>
                <w:sz w:val="16"/>
                <w:szCs w:val="16"/>
              </w:rPr>
            </w:pPr>
            <w:r>
              <w:rPr>
                <w:sz w:val="16"/>
                <w:szCs w:val="16"/>
                <w:spacing w:val="-2"/>
              </w:rPr>
              <w:t>交通运输部</w:t>
            </w:r>
          </w:p>
        </w:tc>
        <w:tc>
          <w:tcPr>
            <w:tcW w:w="1328" w:type="dxa"/>
            <w:vAlign w:val="top"/>
          </w:tcPr>
          <w:p>
            <w:pPr>
              <w:pStyle w:val="TableText"/>
              <w:ind w:left="72" w:right="164" w:firstLine="29"/>
              <w:spacing w:before="100" w:line="249" w:lineRule="auto"/>
              <w:rPr>
                <w:sz w:val="16"/>
                <w:szCs w:val="16"/>
              </w:rPr>
            </w:pPr>
            <w:r>
              <w:rPr>
                <w:sz w:val="16"/>
                <w:szCs w:val="16"/>
                <w:spacing w:val="1"/>
              </w:rPr>
              <w:t>网约车平台(如</w:t>
            </w:r>
            <w:r>
              <w:rPr>
                <w:sz w:val="16"/>
                <w:szCs w:val="16"/>
                <w:spacing w:val="3"/>
              </w:rPr>
              <w:t xml:space="preserve"> </w:t>
            </w:r>
            <w:r>
              <w:rPr>
                <w:sz w:val="16"/>
                <w:szCs w:val="16"/>
                <w:spacing w:val="7"/>
              </w:rPr>
              <w:t>滴滴出行)</w:t>
            </w:r>
          </w:p>
        </w:tc>
        <w:tc>
          <w:tcPr>
            <w:tcW w:w="3349" w:type="dxa"/>
            <w:vAlign w:val="top"/>
          </w:tcPr>
          <w:p>
            <w:pPr>
              <w:pStyle w:val="TableText"/>
              <w:ind w:left="24"/>
              <w:spacing w:before="100" w:line="219" w:lineRule="auto"/>
              <w:rPr>
                <w:sz w:val="16"/>
                <w:szCs w:val="16"/>
              </w:rPr>
            </w:pPr>
            <w:r>
              <w:rPr>
                <w:sz w:val="16"/>
                <w:szCs w:val="16"/>
                <w:spacing w:val="-1"/>
              </w:rPr>
              <w:t>《网络预约出租汽车监管信息交互平台运行管</w:t>
            </w:r>
          </w:p>
          <w:p>
            <w:pPr>
              <w:pStyle w:val="TableText"/>
              <w:ind w:left="64"/>
              <w:spacing w:before="60" w:line="219" w:lineRule="auto"/>
              <w:rPr>
                <w:sz w:val="16"/>
                <w:szCs w:val="16"/>
              </w:rPr>
            </w:pPr>
            <w:r>
              <w:rPr>
                <w:sz w:val="16"/>
                <w:szCs w:val="16"/>
                <w:spacing w:val="-1"/>
              </w:rPr>
              <w:t>理办法》《网络预约出租汽车经营服务管理暂</w:t>
            </w:r>
          </w:p>
          <w:p>
            <w:pPr>
              <w:pStyle w:val="TableText"/>
              <w:ind w:left="64"/>
              <w:spacing w:before="40" w:line="219" w:lineRule="auto"/>
              <w:rPr>
                <w:sz w:val="16"/>
                <w:szCs w:val="16"/>
              </w:rPr>
            </w:pPr>
            <w:r>
              <w:rPr>
                <w:sz w:val="16"/>
                <w:szCs w:val="16"/>
                <w:spacing w:val="-1"/>
              </w:rPr>
              <w:t>行办法》《交通运输部关于加强和规范事中事</w:t>
            </w:r>
          </w:p>
          <w:p>
            <w:pPr>
              <w:pStyle w:val="TableText"/>
              <w:ind w:left="64"/>
              <w:spacing w:before="50" w:line="219" w:lineRule="auto"/>
              <w:rPr>
                <w:sz w:val="16"/>
                <w:szCs w:val="16"/>
              </w:rPr>
            </w:pPr>
            <w:r>
              <w:rPr>
                <w:sz w:val="16"/>
                <w:szCs w:val="16"/>
                <w:spacing w:val="-1"/>
              </w:rPr>
              <w:t>后监管的指导意见》《交通运输部办公厅关于</w:t>
            </w:r>
          </w:p>
          <w:p>
            <w:pPr>
              <w:pStyle w:val="TableText"/>
              <w:ind w:left="144"/>
              <w:spacing w:before="50" w:line="219" w:lineRule="auto"/>
              <w:rPr>
                <w:sz w:val="16"/>
                <w:szCs w:val="16"/>
              </w:rPr>
            </w:pPr>
            <w:r>
              <w:rPr>
                <w:sz w:val="16"/>
                <w:szCs w:val="16"/>
                <w:spacing w:val="-1"/>
              </w:rPr>
              <w:t>维护公平竞争市场秩序加快推进网约车合规</w:t>
            </w:r>
          </w:p>
          <w:p>
            <w:pPr>
              <w:pStyle w:val="TableText"/>
              <w:ind w:left="74"/>
              <w:spacing w:before="50" w:line="221" w:lineRule="auto"/>
              <w:rPr>
                <w:sz w:val="16"/>
                <w:szCs w:val="16"/>
              </w:rPr>
            </w:pPr>
            <w:r>
              <w:rPr>
                <w:sz w:val="16"/>
                <w:szCs w:val="16"/>
                <w:spacing w:val="-3"/>
              </w:rPr>
              <w:t>化的通知》</w:t>
            </w:r>
          </w:p>
        </w:tc>
      </w:tr>
    </w:tbl>
    <w:p>
      <w:pPr>
        <w:pStyle w:val="BodyText"/>
        <w:rPr/>
      </w:pPr>
      <w:r/>
    </w:p>
    <w:p>
      <w:pPr>
        <w:sectPr>
          <w:headerReference w:type="default" r:id="rId460"/>
          <w:pgSz w:w="7330" w:h="12480"/>
          <w:pgMar w:top="485" w:right="514" w:bottom="400" w:left="739" w:header="322" w:footer="0" w:gutter="0"/>
        </w:sectPr>
        <w:rPr/>
      </w:pP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61" w:line="220" w:lineRule="auto"/>
        <w:jc w:val="right"/>
        <w:rPr>
          <w:rFonts w:ascii="SimSun" w:hAnsi="SimSun" w:eastAsia="SimSun" w:cs="SimSun"/>
          <w:sz w:val="19"/>
          <w:szCs w:val="19"/>
        </w:rPr>
      </w:pPr>
      <w:r>
        <w:rPr>
          <w:rFonts w:ascii="SimSun" w:hAnsi="SimSun" w:eastAsia="SimSun" w:cs="SimSun"/>
          <w:sz w:val="19"/>
          <w:szCs w:val="19"/>
          <w:spacing w:val="-5"/>
        </w:rPr>
        <w:t>(续表)</w:t>
      </w:r>
    </w:p>
    <w:p>
      <w:pPr>
        <w:spacing w:line="90" w:lineRule="exact"/>
        <w:rPr/>
      </w:pPr>
      <w:r/>
    </w:p>
    <w:tbl>
      <w:tblPr>
        <w:tblStyle w:val="TableNormal"/>
        <w:tblW w:w="5991"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03"/>
        <w:gridCol w:w="1328"/>
        <w:gridCol w:w="3360"/>
      </w:tblGrid>
      <w:tr>
        <w:trPr>
          <w:trHeight w:val="334" w:hRule="atLeast"/>
        </w:trPr>
        <w:tc>
          <w:tcPr>
            <w:tcW w:w="1303" w:type="dxa"/>
            <w:vAlign w:val="top"/>
          </w:tcPr>
          <w:p>
            <w:pPr>
              <w:pStyle w:val="TableText"/>
              <w:ind w:left="327"/>
              <w:spacing w:before="79" w:line="219" w:lineRule="auto"/>
              <w:rPr/>
            </w:pPr>
            <w:r>
              <w:rPr>
                <w:b/>
                <w:bCs/>
                <w:spacing w:val="1"/>
              </w:rPr>
              <w:t>监管部门</w:t>
            </w:r>
          </w:p>
        </w:tc>
        <w:tc>
          <w:tcPr>
            <w:tcW w:w="1328" w:type="dxa"/>
            <w:vAlign w:val="top"/>
          </w:tcPr>
          <w:p>
            <w:pPr>
              <w:pStyle w:val="TableText"/>
              <w:ind w:left="234"/>
              <w:spacing w:before="79" w:line="219" w:lineRule="auto"/>
              <w:rPr/>
            </w:pPr>
            <w:r>
              <w:rPr>
                <w:b/>
                <w:bCs/>
              </w:rPr>
              <w:t>监管的平台</w:t>
            </w:r>
          </w:p>
        </w:tc>
        <w:tc>
          <w:tcPr>
            <w:tcW w:w="3360" w:type="dxa"/>
            <w:vAlign w:val="top"/>
          </w:tcPr>
          <w:p>
            <w:pPr>
              <w:pStyle w:val="TableText"/>
              <w:ind w:left="996"/>
              <w:spacing w:before="79" w:line="219" w:lineRule="auto"/>
              <w:rPr/>
            </w:pPr>
            <w:r>
              <w:rPr>
                <w:b/>
                <w:bCs/>
                <w:spacing w:val="-2"/>
              </w:rPr>
              <w:t>出台监管文件例示</w:t>
            </w:r>
          </w:p>
        </w:tc>
      </w:tr>
      <w:tr>
        <w:trPr>
          <w:trHeight w:val="569" w:hRule="atLeast"/>
        </w:trPr>
        <w:tc>
          <w:tcPr>
            <w:tcW w:w="1303" w:type="dxa"/>
            <w:vAlign w:val="top"/>
          </w:tcPr>
          <w:p>
            <w:pPr>
              <w:pStyle w:val="TableText"/>
              <w:ind w:left="65"/>
              <w:spacing w:before="108" w:line="219" w:lineRule="auto"/>
              <w:rPr/>
            </w:pPr>
            <w:r>
              <w:rPr>
                <w:spacing w:val="-2"/>
              </w:rPr>
              <w:t>文化和旅游部</w:t>
            </w:r>
          </w:p>
        </w:tc>
        <w:tc>
          <w:tcPr>
            <w:tcW w:w="1328" w:type="dxa"/>
            <w:vAlign w:val="top"/>
          </w:tcPr>
          <w:p>
            <w:pPr>
              <w:pStyle w:val="TableText"/>
              <w:ind w:left="81" w:right="116" w:firstLine="20"/>
              <w:spacing w:before="108" w:line="229" w:lineRule="auto"/>
              <w:rPr/>
            </w:pPr>
            <w:r>
              <w:rPr>
                <w:spacing w:val="-1"/>
              </w:rPr>
              <w:t>旅行平台(如携</w:t>
            </w:r>
            <w:r>
              <w:rPr/>
              <w:t xml:space="preserve"> </w:t>
            </w:r>
            <w:r>
              <w:rPr>
                <w:spacing w:val="5"/>
              </w:rPr>
              <w:t>程、去哪儿)</w:t>
            </w:r>
          </w:p>
        </w:tc>
        <w:tc>
          <w:tcPr>
            <w:tcW w:w="3360" w:type="dxa"/>
            <w:vAlign w:val="top"/>
          </w:tcPr>
          <w:p>
            <w:pPr>
              <w:pStyle w:val="TableText"/>
              <w:spacing w:before="108" w:line="219" w:lineRule="auto"/>
              <w:rPr/>
            </w:pPr>
            <w:r>
              <w:rPr>
                <w:spacing w:val="-3"/>
              </w:rPr>
              <w:t>《在线旅游经营服务管理暂行规定》</w:t>
            </w:r>
          </w:p>
        </w:tc>
      </w:tr>
      <w:tr>
        <w:trPr>
          <w:trHeight w:val="1059" w:hRule="atLeast"/>
        </w:trPr>
        <w:tc>
          <w:tcPr>
            <w:tcW w:w="1303" w:type="dxa"/>
            <w:vAlign w:val="top"/>
          </w:tcPr>
          <w:p>
            <w:pPr>
              <w:pStyle w:val="TableText"/>
              <w:ind w:left="65"/>
              <w:spacing w:before="99" w:line="220" w:lineRule="auto"/>
              <w:rPr/>
            </w:pPr>
            <w:r>
              <w:rPr>
                <w:spacing w:val="1"/>
              </w:rPr>
              <w:t>中国人民银行</w:t>
            </w:r>
          </w:p>
        </w:tc>
        <w:tc>
          <w:tcPr>
            <w:tcW w:w="1328" w:type="dxa"/>
            <w:vAlign w:val="top"/>
          </w:tcPr>
          <w:p>
            <w:pPr>
              <w:pStyle w:val="TableText"/>
              <w:ind w:left="71" w:right="78" w:firstLine="30"/>
              <w:spacing w:before="107" w:line="248" w:lineRule="auto"/>
              <w:jc w:val="both"/>
              <w:rPr/>
            </w:pPr>
            <w:r>
              <w:rPr>
                <w:spacing w:val="-2"/>
              </w:rPr>
              <w:t>支付平台(如支</w:t>
            </w:r>
            <w:r>
              <w:rPr>
                <w:spacing w:val="5"/>
              </w:rPr>
              <w:t xml:space="preserve"> </w:t>
            </w:r>
            <w:r>
              <w:rPr>
                <w:spacing w:val="8"/>
              </w:rPr>
              <w:t>付宝、财付通)</w:t>
            </w:r>
            <w:r>
              <w:rPr>
                <w:spacing w:val="5"/>
              </w:rPr>
              <w:t xml:space="preserve"> </w:t>
            </w:r>
            <w:r>
              <w:rPr>
                <w:spacing w:val="10"/>
              </w:rPr>
              <w:t>P2P平台(如拍</w:t>
            </w:r>
            <w:r>
              <w:rPr>
                <w:spacing w:val="5"/>
              </w:rPr>
              <w:t xml:space="preserve"> </w:t>
            </w:r>
            <w:r>
              <w:rPr>
                <w:spacing w:val="10"/>
              </w:rPr>
              <w:t>拍贷)</w:t>
            </w:r>
          </w:p>
        </w:tc>
        <w:tc>
          <w:tcPr>
            <w:tcW w:w="3360" w:type="dxa"/>
            <w:vAlign w:val="top"/>
          </w:tcPr>
          <w:p>
            <w:pPr>
              <w:pStyle w:val="TableText"/>
              <w:spacing w:before="97" w:line="219" w:lineRule="auto"/>
              <w:rPr/>
            </w:pPr>
            <w:r>
              <w:rPr>
                <w:spacing w:val="-5"/>
              </w:rPr>
              <w:t>《非金融机构支付服务管理办法》《非银行支</w:t>
            </w:r>
          </w:p>
          <w:p>
            <w:pPr>
              <w:pStyle w:val="TableText"/>
              <w:ind w:left="103"/>
              <w:spacing w:before="48" w:line="219" w:lineRule="auto"/>
              <w:rPr/>
            </w:pPr>
            <w:r>
              <w:rPr>
                <w:spacing w:val="-1"/>
              </w:rPr>
              <w:t>付机构条例(征求意见稿)》</w:t>
            </w:r>
          </w:p>
        </w:tc>
      </w:tr>
      <w:tr>
        <w:trPr>
          <w:trHeight w:val="569" w:hRule="atLeast"/>
        </w:trPr>
        <w:tc>
          <w:tcPr>
            <w:tcW w:w="1303" w:type="dxa"/>
            <w:vAlign w:val="top"/>
          </w:tcPr>
          <w:p>
            <w:pPr>
              <w:pStyle w:val="TableText"/>
              <w:ind w:left="65"/>
              <w:spacing w:before="78" w:line="219" w:lineRule="auto"/>
              <w:rPr/>
            </w:pPr>
            <w:r>
              <w:rPr>
                <w:spacing w:val="-2"/>
              </w:rPr>
              <w:t>证监会</w:t>
            </w:r>
          </w:p>
        </w:tc>
        <w:tc>
          <w:tcPr>
            <w:tcW w:w="1328" w:type="dxa"/>
            <w:vAlign w:val="top"/>
          </w:tcPr>
          <w:p>
            <w:pPr>
              <w:pStyle w:val="TableText"/>
              <w:ind w:left="81" w:right="74" w:hanging="20"/>
              <w:spacing w:before="80" w:line="246" w:lineRule="auto"/>
              <w:rPr/>
            </w:pPr>
            <w:r>
              <w:rPr>
                <w:spacing w:val="-2"/>
              </w:rPr>
              <w:t>各类平台的上市</w:t>
            </w:r>
            <w:r>
              <w:rPr>
                <w:spacing w:val="4"/>
              </w:rPr>
              <w:t xml:space="preserve"> </w:t>
            </w:r>
            <w:r>
              <w:rPr>
                <w:spacing w:val="3"/>
              </w:rPr>
              <w:t>审批</w:t>
            </w:r>
          </w:p>
        </w:tc>
        <w:tc>
          <w:tcPr>
            <w:tcW w:w="3360" w:type="dxa"/>
            <w:vAlign w:val="top"/>
          </w:tcPr>
          <w:p>
            <w:pPr>
              <w:rPr>
                <w:rFonts w:ascii="Arial"/>
                <w:sz w:val="21"/>
              </w:rPr>
            </w:pPr>
            <w:r/>
          </w:p>
        </w:tc>
      </w:tr>
      <w:tr>
        <w:trPr>
          <w:trHeight w:val="1279" w:hRule="atLeast"/>
        </w:trPr>
        <w:tc>
          <w:tcPr>
            <w:tcW w:w="1303" w:type="dxa"/>
            <w:vAlign w:val="top"/>
          </w:tcPr>
          <w:p>
            <w:pPr>
              <w:pStyle w:val="TableText"/>
              <w:ind w:left="65"/>
              <w:spacing w:before="69" w:line="219" w:lineRule="auto"/>
              <w:rPr/>
            </w:pPr>
            <w:r>
              <w:rPr>
                <w:spacing w:val="-2"/>
              </w:rPr>
              <w:t>银保监会</w:t>
            </w:r>
          </w:p>
        </w:tc>
        <w:tc>
          <w:tcPr>
            <w:tcW w:w="1328" w:type="dxa"/>
            <w:vAlign w:val="top"/>
          </w:tcPr>
          <w:p>
            <w:pPr>
              <w:pStyle w:val="TableText"/>
              <w:ind w:left="61" w:right="47" w:firstLine="40"/>
              <w:spacing w:before="99" w:line="235" w:lineRule="auto"/>
              <w:rPr/>
            </w:pPr>
            <w:r>
              <w:rPr>
                <w:spacing w:val="-1"/>
              </w:rPr>
              <w:t>支付平台、P2P</w:t>
            </w:r>
            <w:r>
              <w:rPr/>
              <w:t xml:space="preserve">  </w:t>
            </w:r>
            <w:r>
              <w:rPr>
                <w:spacing w:val="2"/>
              </w:rPr>
              <w:t>平台等互金平台</w:t>
            </w:r>
          </w:p>
        </w:tc>
        <w:tc>
          <w:tcPr>
            <w:tcW w:w="3360" w:type="dxa"/>
            <w:vAlign w:val="top"/>
          </w:tcPr>
          <w:p>
            <w:pPr>
              <w:pStyle w:val="TableText"/>
              <w:ind w:left="81" w:hanging="82"/>
              <w:spacing w:before="90" w:line="250" w:lineRule="auto"/>
              <w:jc w:val="both"/>
              <w:rPr/>
            </w:pPr>
            <w:r>
              <w:rPr>
                <w:spacing w:val="-7"/>
              </w:rPr>
              <w:t>《关于加强互联网平台保证保险业务管理的通</w:t>
            </w:r>
            <w:r>
              <w:rPr>
                <w:spacing w:val="3"/>
              </w:rPr>
              <w:t xml:space="preserve">  </w:t>
            </w:r>
            <w:r>
              <w:rPr>
                <w:spacing w:val="-9"/>
              </w:rPr>
              <w:t>知》《网络借贷信息中介机构业务活动管理暂</w:t>
            </w:r>
            <w:r>
              <w:rPr/>
              <w:t xml:space="preserve"> </w:t>
            </w:r>
            <w:r>
              <w:rPr>
                <w:spacing w:val="-9"/>
              </w:rPr>
              <w:t>行办法》《网络借贷信息中介机构备案登记管</w:t>
            </w:r>
            <w:r>
              <w:rPr>
                <w:spacing w:val="1"/>
              </w:rPr>
              <w:t xml:space="preserve"> </w:t>
            </w:r>
            <w:r>
              <w:rPr>
                <w:spacing w:val="-9"/>
              </w:rPr>
              <w:t>理指引》《网络借贷资金存管业务指引》《网</w:t>
            </w:r>
            <w:r>
              <w:rPr>
                <w:spacing w:val="8"/>
              </w:rPr>
              <w:t xml:space="preserve"> </w:t>
            </w:r>
            <w:r>
              <w:rPr>
                <w:spacing w:val="-7"/>
              </w:rPr>
              <w:t>络借贷信息中介机构业务活动信息披露指引》</w:t>
            </w:r>
          </w:p>
        </w:tc>
      </w:tr>
      <w:tr>
        <w:trPr>
          <w:trHeight w:val="569" w:hRule="atLeast"/>
        </w:trPr>
        <w:tc>
          <w:tcPr>
            <w:tcW w:w="1303" w:type="dxa"/>
            <w:vAlign w:val="top"/>
          </w:tcPr>
          <w:p>
            <w:pPr>
              <w:pStyle w:val="TableText"/>
              <w:ind w:left="65" w:right="28"/>
              <w:spacing w:before="92" w:line="241" w:lineRule="auto"/>
              <w:rPr/>
            </w:pPr>
            <w:r>
              <w:rPr>
                <w:spacing w:val="1"/>
              </w:rPr>
              <w:t>国家药品监督管 </w:t>
            </w:r>
            <w:r>
              <w:rPr>
                <w:spacing w:val="7"/>
              </w:rPr>
              <w:t>理局</w:t>
            </w:r>
          </w:p>
        </w:tc>
        <w:tc>
          <w:tcPr>
            <w:tcW w:w="1328" w:type="dxa"/>
            <w:vAlign w:val="top"/>
          </w:tcPr>
          <w:p>
            <w:pPr>
              <w:pStyle w:val="TableText"/>
              <w:ind w:left="51" w:right="137" w:firstLine="90"/>
              <w:spacing w:before="93"/>
              <w:rPr/>
            </w:pPr>
            <w:r>
              <w:rPr>
                <w:spacing w:val="3"/>
              </w:rPr>
              <w:t>网络购药平台</w:t>
            </w:r>
            <w:r>
              <w:rPr/>
              <w:t xml:space="preserve"> </w:t>
            </w:r>
            <w:r>
              <w:rPr>
                <w:spacing w:val="6"/>
              </w:rPr>
              <w:t>(如药房网)</w:t>
            </w:r>
          </w:p>
        </w:tc>
        <w:tc>
          <w:tcPr>
            <w:tcW w:w="3360" w:type="dxa"/>
            <w:vAlign w:val="top"/>
          </w:tcPr>
          <w:p>
            <w:pPr>
              <w:pStyle w:val="TableText"/>
              <w:ind w:left="82" w:right="160" w:hanging="24"/>
              <w:spacing w:before="91"/>
              <w:rPr/>
            </w:pPr>
            <w:r>
              <w:rPr>
                <w:spacing w:val="-1"/>
              </w:rPr>
              <w:t>《互联网药品信息服务管理办法》(2017年</w:t>
            </w:r>
            <w:r>
              <w:rPr>
                <w:spacing w:val="5"/>
              </w:rPr>
              <w:t xml:space="preserve"> </w:t>
            </w:r>
            <w:r>
              <w:rPr>
                <w:spacing w:val="10"/>
              </w:rPr>
              <w:t>修正)</w:t>
            </w:r>
          </w:p>
        </w:tc>
      </w:tr>
      <w:tr>
        <w:trPr>
          <w:trHeight w:val="1778" w:hRule="atLeast"/>
        </w:trPr>
        <w:tc>
          <w:tcPr>
            <w:tcW w:w="1303" w:type="dxa"/>
            <w:vAlign w:val="top"/>
          </w:tcPr>
          <w:p>
            <w:pPr>
              <w:pStyle w:val="TableText"/>
              <w:ind w:left="65"/>
              <w:spacing w:before="93" w:line="219" w:lineRule="auto"/>
              <w:rPr/>
            </w:pPr>
            <w:r>
              <w:rPr>
                <w:spacing w:val="-2"/>
              </w:rPr>
              <w:t>工信部</w:t>
            </w:r>
          </w:p>
        </w:tc>
        <w:tc>
          <w:tcPr>
            <w:tcW w:w="1328" w:type="dxa"/>
            <w:vAlign w:val="top"/>
          </w:tcPr>
          <w:p>
            <w:pPr>
              <w:pStyle w:val="TableText"/>
              <w:ind w:left="91"/>
              <w:spacing w:before="83" w:line="219" w:lineRule="auto"/>
              <w:rPr/>
            </w:pPr>
            <w:r>
              <w:rPr>
                <w:spacing w:val="4"/>
              </w:rPr>
              <w:t>各类平台</w:t>
            </w:r>
          </w:p>
        </w:tc>
        <w:tc>
          <w:tcPr>
            <w:tcW w:w="3360" w:type="dxa"/>
            <w:vAlign w:val="top"/>
          </w:tcPr>
          <w:p>
            <w:pPr>
              <w:pStyle w:val="TableText"/>
              <w:ind w:left="81" w:hanging="81"/>
              <w:spacing w:before="100" w:line="258" w:lineRule="auto"/>
              <w:rPr/>
            </w:pPr>
            <w:r>
              <w:rPr>
                <w:spacing w:val="-8"/>
              </w:rPr>
              <w:t>《网络借贷信息中介机构业务活动管理暂行办</w:t>
            </w:r>
            <w:r>
              <w:rPr>
                <w:spacing w:val="7"/>
              </w:rPr>
              <w:t xml:space="preserve">  </w:t>
            </w:r>
            <w:r>
              <w:rPr>
                <w:spacing w:val="-3"/>
              </w:rPr>
              <w:t>法》,中国银行业监督管理委员会(已撤销)、</w:t>
            </w:r>
            <w:r>
              <w:rPr>
                <w:spacing w:val="15"/>
              </w:rPr>
              <w:t xml:space="preserve"> </w:t>
            </w:r>
            <w:r>
              <w:rPr>
                <w:spacing w:val="-4"/>
              </w:rPr>
              <w:t>工业和信息化部、公安部、国家互联网信息</w:t>
            </w:r>
            <w:r>
              <w:rPr>
                <w:spacing w:val="2"/>
              </w:rPr>
              <w:t xml:space="preserve">  </w:t>
            </w:r>
            <w:r>
              <w:rPr>
                <w:spacing w:val="-10"/>
              </w:rPr>
              <w:t>办公室发布；《网络借贷信息中介机构备案登 </w:t>
            </w:r>
            <w:r>
              <w:rPr>
                <w:spacing w:val="-3"/>
              </w:rPr>
              <w:t>记管理指引》,中国银行业监督管理委员会</w:t>
            </w:r>
            <w:r>
              <w:rPr>
                <w:spacing w:val="3"/>
              </w:rPr>
              <w:t xml:space="preserve">   </w:t>
            </w:r>
            <w:r>
              <w:rPr>
                <w:spacing w:val="-4"/>
              </w:rPr>
              <w:t>(已撤销)、工业和信息化部、国家工商行政</w:t>
            </w:r>
            <w:r>
              <w:rPr>
                <w:spacing w:val="2"/>
              </w:rPr>
              <w:t xml:space="preserve">  </w:t>
            </w:r>
            <w:r>
              <w:rPr>
                <w:spacing w:val="-1"/>
              </w:rPr>
              <w:t>管理总局(已撤销)发布</w:t>
            </w:r>
          </w:p>
        </w:tc>
      </w:tr>
      <w:tr>
        <w:trPr>
          <w:trHeight w:val="799" w:hRule="atLeast"/>
        </w:trPr>
        <w:tc>
          <w:tcPr>
            <w:tcW w:w="1303" w:type="dxa"/>
            <w:vAlign w:val="top"/>
          </w:tcPr>
          <w:p>
            <w:pPr>
              <w:pStyle w:val="TableText"/>
              <w:ind w:left="65"/>
              <w:spacing w:before="85" w:line="219" w:lineRule="auto"/>
              <w:rPr/>
            </w:pPr>
            <w:r>
              <w:rPr>
                <w:spacing w:val="-3"/>
              </w:rPr>
              <w:t>商务部</w:t>
            </w:r>
          </w:p>
        </w:tc>
        <w:tc>
          <w:tcPr>
            <w:tcW w:w="1328" w:type="dxa"/>
            <w:vAlign w:val="top"/>
          </w:tcPr>
          <w:p>
            <w:pPr>
              <w:pStyle w:val="TableText"/>
              <w:ind w:left="91"/>
              <w:spacing w:before="85" w:line="219" w:lineRule="auto"/>
              <w:rPr/>
            </w:pPr>
            <w:r>
              <w:rPr>
                <w:spacing w:val="4"/>
              </w:rPr>
              <w:t>各类平台</w:t>
            </w:r>
          </w:p>
        </w:tc>
        <w:tc>
          <w:tcPr>
            <w:tcW w:w="3360" w:type="dxa"/>
            <w:vAlign w:val="top"/>
          </w:tcPr>
          <w:p>
            <w:pPr>
              <w:pStyle w:val="TableText"/>
              <w:spacing w:before="95" w:line="219" w:lineRule="auto"/>
              <w:rPr/>
            </w:pPr>
            <w:r>
              <w:rPr>
                <w:spacing w:val="-5"/>
              </w:rPr>
              <w:t>《网络零售第三方平台交易规则制定程序规定</w:t>
            </w:r>
          </w:p>
          <w:p>
            <w:pPr>
              <w:pStyle w:val="TableText"/>
              <w:ind w:left="53"/>
              <w:spacing w:before="48" w:line="219" w:lineRule="auto"/>
              <w:rPr/>
            </w:pPr>
            <w:r>
              <w:rPr/>
              <w:t>(试行)》《商务部等12部门关于推进商品交</w:t>
            </w:r>
          </w:p>
          <w:p>
            <w:pPr>
              <w:pStyle w:val="TableText"/>
              <w:ind w:left="103"/>
              <w:spacing w:before="47" w:line="211" w:lineRule="auto"/>
              <w:rPr/>
            </w:pPr>
            <w:r>
              <w:rPr>
                <w:spacing w:val="-2"/>
              </w:rPr>
              <w:t>易市场发展平台经济的指导意见》</w:t>
            </w:r>
          </w:p>
        </w:tc>
      </w:tr>
      <w:tr>
        <w:trPr>
          <w:trHeight w:val="1059" w:hRule="atLeast"/>
        </w:trPr>
        <w:tc>
          <w:tcPr>
            <w:tcW w:w="1303" w:type="dxa"/>
            <w:vAlign w:val="top"/>
          </w:tcPr>
          <w:p>
            <w:pPr>
              <w:pStyle w:val="TableText"/>
              <w:ind w:left="65" w:right="179" w:firstLine="39"/>
              <w:spacing w:before="106" w:line="241" w:lineRule="auto"/>
              <w:rPr/>
            </w:pPr>
            <w:r>
              <w:rPr>
                <w:spacing w:val="-2"/>
              </w:rPr>
              <w:t>市场监督管理</w:t>
            </w:r>
            <w:r>
              <w:rPr/>
              <w:t xml:space="preserve"> </w:t>
            </w:r>
            <w:r>
              <w:rPr>
                <w:spacing w:val="7"/>
              </w:rPr>
              <w:t>总局</w:t>
            </w:r>
          </w:p>
        </w:tc>
        <w:tc>
          <w:tcPr>
            <w:tcW w:w="1328" w:type="dxa"/>
            <w:vAlign w:val="top"/>
          </w:tcPr>
          <w:p>
            <w:pPr>
              <w:pStyle w:val="TableText"/>
              <w:ind w:left="81"/>
              <w:spacing w:before="96" w:line="219" w:lineRule="auto"/>
              <w:rPr/>
            </w:pPr>
            <w:r>
              <w:rPr>
                <w:spacing w:val="4"/>
              </w:rPr>
              <w:t>各类平台</w:t>
            </w:r>
          </w:p>
        </w:tc>
        <w:tc>
          <w:tcPr>
            <w:tcW w:w="3360" w:type="dxa"/>
            <w:vAlign w:val="top"/>
          </w:tcPr>
          <w:p>
            <w:pPr>
              <w:pStyle w:val="TableText"/>
              <w:ind w:left="83" w:right="71" w:hanging="84"/>
              <w:spacing w:before="115" w:line="245" w:lineRule="auto"/>
              <w:jc w:val="both"/>
              <w:rPr/>
            </w:pPr>
            <w:r>
              <w:rPr>
                <w:spacing w:val="-3"/>
              </w:rPr>
              <w:t>《关于平台经济领域的反垄断指南(征求意见</w:t>
            </w:r>
            <w:r>
              <w:rPr>
                <w:spacing w:val="12"/>
              </w:rPr>
              <w:t xml:space="preserve"> </w:t>
            </w:r>
            <w:r>
              <w:rPr>
                <w:spacing w:val="-2"/>
              </w:rPr>
              <w:t>稿)》《互联网平台落实主体责任指南(征求</w:t>
            </w:r>
            <w:r>
              <w:rPr>
                <w:spacing w:val="2"/>
              </w:rPr>
              <w:t xml:space="preserve"> </w:t>
            </w:r>
            <w:r>
              <w:rPr>
                <w:spacing w:val="-3"/>
              </w:rPr>
              <w:t>意见稿)》《互联网平台分类分级指南(征求</w:t>
            </w:r>
            <w:r>
              <w:rPr>
                <w:spacing w:val="17"/>
              </w:rPr>
              <w:t xml:space="preserve"> </w:t>
            </w:r>
            <w:r>
              <w:rPr>
                <w:spacing w:val="-1"/>
              </w:rPr>
              <w:t>意见稿)》</w:t>
            </w:r>
          </w:p>
        </w:tc>
      </w:tr>
      <w:tr>
        <w:trPr>
          <w:trHeight w:val="574" w:hRule="atLeast"/>
        </w:trPr>
        <w:tc>
          <w:tcPr>
            <w:tcW w:w="1303" w:type="dxa"/>
            <w:vAlign w:val="top"/>
          </w:tcPr>
          <w:p>
            <w:pPr>
              <w:pStyle w:val="TableText"/>
              <w:ind w:left="65" w:right="30"/>
              <w:spacing w:before="96" w:line="245" w:lineRule="auto"/>
              <w:rPr/>
            </w:pPr>
            <w:r>
              <w:rPr>
                <w:spacing w:val="1"/>
              </w:rPr>
              <w:t>国务院反垄断委</w:t>
            </w:r>
            <w:r>
              <w:rPr/>
              <w:t xml:space="preserve"> </w:t>
            </w:r>
            <w:r>
              <w:rPr>
                <w:spacing w:val="3"/>
              </w:rPr>
              <w:t>员会</w:t>
            </w:r>
          </w:p>
        </w:tc>
        <w:tc>
          <w:tcPr>
            <w:tcW w:w="1328" w:type="dxa"/>
            <w:vAlign w:val="top"/>
          </w:tcPr>
          <w:p>
            <w:pPr>
              <w:pStyle w:val="TableText"/>
              <w:ind w:left="101"/>
              <w:spacing w:before="107" w:line="219" w:lineRule="auto"/>
              <w:rPr/>
            </w:pPr>
            <w:r>
              <w:rPr>
                <w:spacing w:val="4"/>
              </w:rPr>
              <w:t>各类平台</w:t>
            </w:r>
          </w:p>
        </w:tc>
        <w:tc>
          <w:tcPr>
            <w:tcW w:w="3360" w:type="dxa"/>
            <w:vAlign w:val="top"/>
          </w:tcPr>
          <w:p>
            <w:pPr>
              <w:pStyle w:val="TableText"/>
              <w:ind w:left="151" w:right="34" w:hanging="151"/>
              <w:spacing w:before="106"/>
              <w:rPr/>
            </w:pPr>
            <w:r>
              <w:rPr>
                <w:spacing w:val="-5"/>
              </w:rPr>
              <w:t>《国务院反垄断委员会关于平台经济领域的反</w:t>
            </w:r>
            <w:r>
              <w:rPr>
                <w:spacing w:val="14"/>
              </w:rPr>
              <w:t xml:space="preserve"> </w:t>
            </w:r>
            <w:r>
              <w:rPr>
                <w:spacing w:val="-5"/>
              </w:rPr>
              <w:t>垄断指南》</w:t>
            </w:r>
          </w:p>
        </w:tc>
      </w:tr>
    </w:tbl>
    <w:p>
      <w:pPr>
        <w:pStyle w:val="BodyText"/>
        <w:rPr/>
      </w:pPr>
      <w:r/>
    </w:p>
    <w:p>
      <w:pPr>
        <w:sectPr>
          <w:headerReference w:type="default" r:id="rId461"/>
          <w:pgSz w:w="7330" w:h="12480"/>
          <w:pgMar w:top="817" w:right="758" w:bottom="400" w:left="525" w:header="643" w:footer="0" w:gutter="0"/>
        </w:sectPr>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spacing w:before="65" w:line="223" w:lineRule="auto"/>
        <w:jc w:val="right"/>
        <w:rPr>
          <w:rFonts w:ascii="SimHei" w:hAnsi="SimHei" w:eastAsia="SimHei" w:cs="SimHei"/>
          <w:sz w:val="20"/>
          <w:szCs w:val="20"/>
        </w:rPr>
      </w:pPr>
      <w:r>
        <w:rPr>
          <w:rFonts w:ascii="SimHei" w:hAnsi="SimHei" w:eastAsia="SimHei" w:cs="SimHei"/>
          <w:sz w:val="20"/>
          <w:szCs w:val="20"/>
          <w:spacing w:val="-12"/>
        </w:rPr>
        <w:t>(续表)</w:t>
      </w:r>
    </w:p>
    <w:p>
      <w:pPr>
        <w:spacing w:line="84" w:lineRule="exact"/>
        <w:rPr/>
      </w:pPr>
      <w:r/>
    </w:p>
    <w:tbl>
      <w:tblPr>
        <w:tblStyle w:val="TableNormal"/>
        <w:tblW w:w="600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13"/>
        <w:gridCol w:w="1328"/>
        <w:gridCol w:w="3359"/>
      </w:tblGrid>
      <w:tr>
        <w:trPr>
          <w:trHeight w:val="334" w:hRule="atLeast"/>
        </w:trPr>
        <w:tc>
          <w:tcPr>
            <w:tcW w:w="1313" w:type="dxa"/>
            <w:vAlign w:val="top"/>
          </w:tcPr>
          <w:p>
            <w:pPr>
              <w:pStyle w:val="TableText"/>
              <w:ind w:left="327"/>
              <w:spacing w:before="89" w:line="219" w:lineRule="auto"/>
              <w:rPr>
                <w:sz w:val="16"/>
                <w:szCs w:val="16"/>
              </w:rPr>
            </w:pPr>
            <w:r>
              <w:rPr>
                <w:sz w:val="16"/>
                <w:szCs w:val="16"/>
                <w:b/>
                <w:bCs/>
                <w:spacing w:val="1"/>
              </w:rPr>
              <w:t>监管部门</w:t>
            </w:r>
          </w:p>
        </w:tc>
        <w:tc>
          <w:tcPr>
            <w:tcW w:w="1328" w:type="dxa"/>
            <w:vAlign w:val="top"/>
          </w:tcPr>
          <w:p>
            <w:pPr>
              <w:pStyle w:val="TableText"/>
              <w:ind w:left="254"/>
              <w:spacing w:before="89" w:line="219" w:lineRule="auto"/>
              <w:rPr>
                <w:sz w:val="16"/>
                <w:szCs w:val="16"/>
              </w:rPr>
            </w:pPr>
            <w:r>
              <w:rPr>
                <w:sz w:val="16"/>
                <w:szCs w:val="16"/>
                <w:b/>
                <w:bCs/>
                <w:spacing w:val="-3"/>
              </w:rPr>
              <w:t>监管的平台</w:t>
            </w:r>
          </w:p>
        </w:tc>
        <w:tc>
          <w:tcPr>
            <w:tcW w:w="3359" w:type="dxa"/>
            <w:vAlign w:val="top"/>
          </w:tcPr>
          <w:p>
            <w:pPr>
              <w:pStyle w:val="TableText"/>
              <w:ind w:left="1036"/>
              <w:spacing w:before="89" w:line="219" w:lineRule="auto"/>
              <w:rPr>
                <w:sz w:val="16"/>
                <w:szCs w:val="16"/>
              </w:rPr>
            </w:pPr>
            <w:r>
              <w:rPr>
                <w:sz w:val="16"/>
                <w:szCs w:val="16"/>
                <w:b/>
                <w:bCs/>
                <w:spacing w:val="-2"/>
              </w:rPr>
              <w:t>出台监管文件例示</w:t>
            </w:r>
          </w:p>
        </w:tc>
      </w:tr>
      <w:tr>
        <w:trPr>
          <w:trHeight w:val="608" w:hRule="atLeast"/>
        </w:trPr>
        <w:tc>
          <w:tcPr>
            <w:tcW w:w="1313" w:type="dxa"/>
            <w:vAlign w:val="top"/>
          </w:tcPr>
          <w:p>
            <w:pPr>
              <w:pStyle w:val="TableText"/>
              <w:ind w:left="55" w:right="84" w:firstLine="29"/>
              <w:spacing w:before="107" w:line="254" w:lineRule="auto"/>
              <w:rPr>
                <w:sz w:val="16"/>
                <w:szCs w:val="16"/>
              </w:rPr>
            </w:pPr>
            <w:r>
              <w:rPr>
                <w:sz w:val="16"/>
                <w:szCs w:val="16"/>
                <w:spacing w:val="1"/>
              </w:rPr>
              <w:t>市场监督管理总</w:t>
            </w:r>
            <w:r>
              <w:rPr>
                <w:sz w:val="16"/>
                <w:szCs w:val="16"/>
                <w:spacing w:val="5"/>
              </w:rPr>
              <w:t xml:space="preserve"> </w:t>
            </w:r>
            <w:r>
              <w:rPr>
                <w:sz w:val="16"/>
                <w:szCs w:val="16"/>
                <w:spacing w:val="3"/>
              </w:rPr>
              <w:t>局等七部门</w:t>
            </w:r>
          </w:p>
        </w:tc>
        <w:tc>
          <w:tcPr>
            <w:tcW w:w="1328" w:type="dxa"/>
            <w:vAlign w:val="top"/>
          </w:tcPr>
          <w:p>
            <w:pPr>
              <w:pStyle w:val="TableText"/>
              <w:ind w:left="82"/>
              <w:spacing w:before="107" w:line="219" w:lineRule="auto"/>
              <w:rPr>
                <w:sz w:val="16"/>
                <w:szCs w:val="16"/>
              </w:rPr>
            </w:pPr>
            <w:r>
              <w:rPr>
                <w:sz w:val="16"/>
                <w:szCs w:val="16"/>
                <w:spacing w:val="2"/>
              </w:rPr>
              <w:t>网络餐饮平台</w:t>
            </w:r>
          </w:p>
        </w:tc>
        <w:tc>
          <w:tcPr>
            <w:tcW w:w="3359" w:type="dxa"/>
            <w:vAlign w:val="top"/>
          </w:tcPr>
          <w:p>
            <w:pPr>
              <w:pStyle w:val="TableText"/>
              <w:ind w:left="93" w:right="128" w:hanging="59"/>
              <w:spacing w:before="107" w:line="254" w:lineRule="auto"/>
              <w:rPr>
                <w:sz w:val="16"/>
                <w:szCs w:val="16"/>
              </w:rPr>
            </w:pPr>
            <w:r>
              <w:rPr>
                <w:sz w:val="16"/>
                <w:szCs w:val="16"/>
                <w:spacing w:val="-1"/>
              </w:rPr>
              <w:t>《关于落实网络餐饮平台责任切实维护外卖送</w:t>
            </w:r>
            <w:r>
              <w:rPr>
                <w:sz w:val="16"/>
                <w:szCs w:val="16"/>
                <w:spacing w:val="5"/>
              </w:rPr>
              <w:t xml:space="preserve"> </w:t>
            </w:r>
            <w:r>
              <w:rPr>
                <w:sz w:val="16"/>
                <w:szCs w:val="16"/>
                <w:spacing w:val="-2"/>
              </w:rPr>
              <w:t>餐员权益的指导意见》</w:t>
            </w:r>
          </w:p>
        </w:tc>
      </w:tr>
      <w:tr>
        <w:trPr>
          <w:trHeight w:val="598" w:hRule="atLeast"/>
        </w:trPr>
        <w:tc>
          <w:tcPr>
            <w:tcW w:w="1313" w:type="dxa"/>
            <w:vAlign w:val="top"/>
          </w:tcPr>
          <w:p>
            <w:pPr>
              <w:pStyle w:val="TableText"/>
              <w:ind w:left="75" w:right="86" w:firstLine="9"/>
              <w:spacing w:before="109" w:line="254" w:lineRule="auto"/>
              <w:rPr>
                <w:sz w:val="16"/>
                <w:szCs w:val="16"/>
              </w:rPr>
            </w:pPr>
            <w:r>
              <w:rPr>
                <w:sz w:val="16"/>
                <w:szCs w:val="16"/>
                <w:spacing w:val="1"/>
              </w:rPr>
              <w:t>国家互联网信息</w:t>
            </w:r>
            <w:r>
              <w:rPr>
                <w:sz w:val="16"/>
                <w:szCs w:val="16"/>
                <w:spacing w:val="3"/>
              </w:rPr>
              <w:t xml:space="preserve"> </w:t>
            </w:r>
            <w:r>
              <w:rPr>
                <w:sz w:val="16"/>
                <w:szCs w:val="16"/>
                <w:spacing w:val="-3"/>
              </w:rPr>
              <w:t>办公室</w:t>
            </w:r>
          </w:p>
        </w:tc>
        <w:tc>
          <w:tcPr>
            <w:tcW w:w="1328" w:type="dxa"/>
            <w:vAlign w:val="top"/>
          </w:tcPr>
          <w:p>
            <w:pPr>
              <w:pStyle w:val="TableText"/>
              <w:ind w:left="91"/>
              <w:spacing w:before="99" w:line="219" w:lineRule="auto"/>
              <w:rPr>
                <w:sz w:val="16"/>
                <w:szCs w:val="16"/>
              </w:rPr>
            </w:pPr>
            <w:r>
              <w:rPr>
                <w:sz w:val="16"/>
                <w:szCs w:val="16"/>
                <w:spacing w:val="4"/>
              </w:rPr>
              <w:t>各类平台</w:t>
            </w:r>
          </w:p>
        </w:tc>
        <w:tc>
          <w:tcPr>
            <w:tcW w:w="3359" w:type="dxa"/>
            <w:vAlign w:val="top"/>
          </w:tcPr>
          <w:p>
            <w:pPr>
              <w:pStyle w:val="TableText"/>
              <w:ind w:left="73" w:right="121" w:hanging="39"/>
              <w:spacing w:before="109" w:line="248" w:lineRule="auto"/>
              <w:rPr>
                <w:sz w:val="16"/>
                <w:szCs w:val="16"/>
              </w:rPr>
            </w:pPr>
            <w:r>
              <w:rPr>
                <w:sz w:val="16"/>
                <w:szCs w:val="16"/>
                <w:spacing w:val="-1"/>
              </w:rPr>
              <w:t>《关于进一步压实网站平台信息内容管理主体</w:t>
            </w:r>
            <w:r>
              <w:rPr>
                <w:sz w:val="16"/>
                <w:szCs w:val="16"/>
                <w:spacing w:val="12"/>
              </w:rPr>
              <w:t xml:space="preserve"> </w:t>
            </w:r>
            <w:r>
              <w:rPr>
                <w:sz w:val="16"/>
                <w:szCs w:val="16"/>
                <w:spacing w:val="-3"/>
              </w:rPr>
              <w:t>责任的意见》</w:t>
            </w:r>
          </w:p>
        </w:tc>
      </w:tr>
      <w:tr>
        <w:trPr>
          <w:trHeight w:val="1360" w:hRule="atLeast"/>
        </w:trPr>
        <w:tc>
          <w:tcPr>
            <w:tcW w:w="1313" w:type="dxa"/>
            <w:vAlign w:val="top"/>
          </w:tcPr>
          <w:p>
            <w:pPr>
              <w:pStyle w:val="TableText"/>
              <w:ind w:left="55" w:right="81" w:firstLine="29"/>
              <w:spacing w:before="121" w:line="243" w:lineRule="auto"/>
              <w:rPr>
                <w:sz w:val="16"/>
                <w:szCs w:val="16"/>
              </w:rPr>
            </w:pPr>
            <w:r>
              <w:rPr>
                <w:sz w:val="16"/>
                <w:szCs w:val="16"/>
                <w:spacing w:val="2"/>
              </w:rPr>
              <w:t>中宣部国家新闻</w:t>
            </w:r>
            <w:r>
              <w:rPr>
                <w:sz w:val="16"/>
                <w:szCs w:val="16"/>
                <w:spacing w:val="1"/>
              </w:rPr>
              <w:t xml:space="preserve"> </w:t>
            </w:r>
            <w:r>
              <w:rPr>
                <w:sz w:val="16"/>
                <w:szCs w:val="16"/>
                <w:spacing w:val="2"/>
              </w:rPr>
              <w:t>出版署</w:t>
            </w:r>
          </w:p>
        </w:tc>
        <w:tc>
          <w:tcPr>
            <w:tcW w:w="1328" w:type="dxa"/>
            <w:vAlign w:val="top"/>
          </w:tcPr>
          <w:p>
            <w:pPr>
              <w:pStyle w:val="TableText"/>
              <w:ind w:left="82" w:right="111" w:firstLine="9"/>
              <w:spacing w:before="121" w:line="277" w:lineRule="auto"/>
              <w:jc w:val="both"/>
              <w:rPr>
                <w:sz w:val="16"/>
                <w:szCs w:val="16"/>
              </w:rPr>
            </w:pPr>
            <w:r>
              <w:rPr>
                <w:sz w:val="16"/>
                <w:szCs w:val="16"/>
                <w:spacing w:val="-1"/>
              </w:rPr>
              <w:t>游戏平台、社交</w:t>
            </w:r>
            <w:r>
              <w:rPr>
                <w:sz w:val="16"/>
                <w:szCs w:val="16"/>
              </w:rPr>
              <w:t xml:space="preserve"> </w:t>
            </w:r>
            <w:r>
              <w:rPr>
                <w:sz w:val="16"/>
                <w:szCs w:val="16"/>
              </w:rPr>
              <w:t>平台、视频聚合</w:t>
            </w:r>
            <w:r>
              <w:rPr>
                <w:sz w:val="16"/>
                <w:szCs w:val="16"/>
                <w:spacing w:val="3"/>
              </w:rPr>
              <w:t xml:space="preserve"> </w:t>
            </w:r>
            <w:r>
              <w:rPr>
                <w:sz w:val="16"/>
                <w:szCs w:val="16"/>
              </w:rPr>
              <w:t>平台、资讯阅读</w:t>
            </w:r>
            <w:r>
              <w:rPr>
                <w:sz w:val="16"/>
                <w:szCs w:val="16"/>
                <w:spacing w:val="3"/>
              </w:rPr>
              <w:t xml:space="preserve"> </w:t>
            </w:r>
            <w:r>
              <w:rPr>
                <w:sz w:val="16"/>
                <w:szCs w:val="16"/>
                <w:spacing w:val="6"/>
              </w:rPr>
              <w:t>平台(如今日头</w:t>
            </w:r>
            <w:r>
              <w:rPr>
                <w:sz w:val="16"/>
                <w:szCs w:val="16"/>
                <w:spacing w:val="1"/>
              </w:rPr>
              <w:t xml:space="preserve"> </w:t>
            </w:r>
            <w:r>
              <w:rPr>
                <w:sz w:val="16"/>
                <w:szCs w:val="16"/>
                <w:spacing w:val="-2"/>
              </w:rPr>
              <w:t>条)等</w:t>
            </w:r>
          </w:p>
        </w:tc>
        <w:tc>
          <w:tcPr>
            <w:tcW w:w="3359" w:type="dxa"/>
            <w:vAlign w:val="top"/>
          </w:tcPr>
          <w:p>
            <w:pPr>
              <w:pStyle w:val="TableText"/>
              <w:ind w:left="84" w:right="121" w:hanging="50"/>
              <w:spacing w:before="121" w:line="249" w:lineRule="auto"/>
              <w:rPr>
                <w:sz w:val="16"/>
                <w:szCs w:val="16"/>
              </w:rPr>
            </w:pPr>
            <w:r>
              <w:rPr>
                <w:sz w:val="16"/>
                <w:szCs w:val="16"/>
                <w:spacing w:val="-1"/>
              </w:rPr>
              <w:t>《关于进一步严格管理切实防止未成年人沉迷</w:t>
            </w:r>
            <w:r>
              <w:rPr>
                <w:sz w:val="16"/>
                <w:szCs w:val="16"/>
                <w:spacing w:val="12"/>
              </w:rPr>
              <w:t xml:space="preserve"> </w:t>
            </w:r>
            <w:r>
              <w:rPr>
                <w:sz w:val="16"/>
                <w:szCs w:val="16"/>
                <w:spacing w:val="-1"/>
              </w:rPr>
              <w:t>网络游戏的通知》</w:t>
            </w:r>
          </w:p>
        </w:tc>
      </w:tr>
    </w:tbl>
    <w:p>
      <w:pPr>
        <w:pStyle w:val="BodyText"/>
        <w:spacing w:line="276" w:lineRule="auto"/>
        <w:rPr/>
      </w:pPr>
      <w:r/>
    </w:p>
    <w:p>
      <w:pPr>
        <w:pStyle w:val="BodyText"/>
        <w:spacing w:line="276" w:lineRule="auto"/>
        <w:rPr/>
      </w:pPr>
      <w:r/>
    </w:p>
    <w:p>
      <w:pPr>
        <w:ind w:left="432"/>
        <w:spacing w:before="65" w:line="219" w:lineRule="auto"/>
        <w:rPr>
          <w:rFonts w:ascii="SimSun" w:hAnsi="SimSun" w:eastAsia="SimSun" w:cs="SimSun"/>
          <w:sz w:val="20"/>
          <w:szCs w:val="20"/>
        </w:rPr>
      </w:pPr>
      <w:r>
        <w:rPr>
          <w:rFonts w:ascii="SimSun" w:hAnsi="SimSun" w:eastAsia="SimSun" w:cs="SimSun"/>
          <w:sz w:val="20"/>
          <w:szCs w:val="20"/>
          <w:b/>
          <w:bCs/>
          <w:spacing w:val="-3"/>
        </w:rPr>
        <w:t>平台的跨产业特性</w:t>
      </w:r>
    </w:p>
    <w:p>
      <w:pPr>
        <w:ind w:right="87" w:firstLine="429"/>
        <w:spacing w:before="137" w:line="332" w:lineRule="auto"/>
        <w:jc w:val="both"/>
        <w:rPr>
          <w:rFonts w:ascii="SimSun" w:hAnsi="SimSun" w:eastAsia="SimSun" w:cs="SimSun"/>
          <w:sz w:val="20"/>
          <w:szCs w:val="20"/>
        </w:rPr>
      </w:pPr>
      <w:r>
        <w:rPr>
          <w:rFonts w:ascii="SimSun" w:hAnsi="SimSun" w:eastAsia="SimSun" w:cs="SimSun"/>
          <w:sz w:val="20"/>
          <w:szCs w:val="20"/>
          <w:spacing w:val="-1"/>
        </w:rPr>
        <w:t>由于平台跨越了不同产业，不同平台涉足不同的产业</w:t>
      </w:r>
      <w:r>
        <w:rPr>
          <w:rFonts w:ascii="SimSun" w:hAnsi="SimSun" w:eastAsia="SimSun" w:cs="SimSun"/>
          <w:sz w:val="20"/>
          <w:szCs w:val="20"/>
          <w:spacing w:val="-2"/>
        </w:rPr>
        <w:t>，因而难以</w:t>
      </w:r>
      <w:r>
        <w:rPr>
          <w:rFonts w:ascii="SimSun" w:hAnsi="SimSun" w:eastAsia="SimSun" w:cs="SimSun"/>
          <w:sz w:val="20"/>
          <w:szCs w:val="20"/>
        </w:rPr>
        <w:t xml:space="preserve"> </w:t>
      </w:r>
      <w:r>
        <w:rPr>
          <w:rFonts w:ascii="SimSun" w:hAnsi="SimSun" w:eastAsia="SimSun" w:cs="SimSun"/>
          <w:sz w:val="20"/>
          <w:szCs w:val="20"/>
          <w:spacing w:val="-7"/>
        </w:rPr>
        <w:t>基于某一产业的特性而对所有平台实行统一监管。具体而言，在功能层</w:t>
      </w:r>
      <w:r>
        <w:rPr>
          <w:rFonts w:ascii="SimSun" w:hAnsi="SimSun" w:eastAsia="SimSun" w:cs="SimSun"/>
          <w:sz w:val="20"/>
          <w:szCs w:val="20"/>
          <w:spacing w:val="17"/>
        </w:rPr>
        <w:t xml:space="preserve"> </w:t>
      </w:r>
      <w:r>
        <w:rPr>
          <w:rFonts w:ascii="SimSun" w:hAnsi="SimSun" w:eastAsia="SimSun" w:cs="SimSun"/>
          <w:sz w:val="20"/>
          <w:szCs w:val="20"/>
          <w:spacing w:val="-7"/>
        </w:rPr>
        <w:t>面，平台可以被划分为交易促成型平台与内容传输型平台。交易促成型</w:t>
      </w:r>
      <w:r>
        <w:rPr>
          <w:rFonts w:ascii="SimSun" w:hAnsi="SimSun" w:eastAsia="SimSun" w:cs="SimSun"/>
          <w:sz w:val="20"/>
          <w:szCs w:val="20"/>
          <w:spacing w:val="18"/>
        </w:rPr>
        <w:t xml:space="preserve"> </w:t>
      </w:r>
      <w:r>
        <w:rPr>
          <w:rFonts w:ascii="SimSun" w:hAnsi="SimSun" w:eastAsia="SimSun" w:cs="SimSun"/>
          <w:sz w:val="20"/>
          <w:szCs w:val="20"/>
          <w:spacing w:val="-7"/>
        </w:rPr>
        <w:t>平台旨在传递交易信息，促成交易达成，又可细分为电商平</w:t>
      </w:r>
      <w:r>
        <w:rPr>
          <w:rFonts w:ascii="SimSun" w:hAnsi="SimSun" w:eastAsia="SimSun" w:cs="SimSun"/>
          <w:sz w:val="20"/>
          <w:szCs w:val="20"/>
          <w:spacing w:val="-8"/>
        </w:rPr>
        <w:t>台、支付平</w:t>
      </w:r>
      <w:r>
        <w:rPr>
          <w:rFonts w:ascii="SimSun" w:hAnsi="SimSun" w:eastAsia="SimSun" w:cs="SimSun"/>
          <w:sz w:val="20"/>
          <w:szCs w:val="20"/>
        </w:rPr>
        <w:t xml:space="preserve"> </w:t>
      </w:r>
      <w:r>
        <w:rPr>
          <w:rFonts w:ascii="SimSun" w:hAnsi="SimSun" w:eastAsia="SimSun" w:cs="SimSun"/>
          <w:sz w:val="20"/>
          <w:szCs w:val="20"/>
          <w:spacing w:val="-6"/>
        </w:rPr>
        <w:t>台等各种类型；内容传输型平台传输新闻、</w:t>
      </w:r>
      <w:r>
        <w:rPr>
          <w:rFonts w:ascii="SimSun" w:hAnsi="SimSun" w:eastAsia="SimSun" w:cs="SimSun"/>
          <w:sz w:val="20"/>
          <w:szCs w:val="20"/>
          <w:spacing w:val="-7"/>
        </w:rPr>
        <w:t>动态、观点与思想等内容信</w:t>
      </w:r>
      <w:r>
        <w:rPr>
          <w:rFonts w:ascii="SimSun" w:hAnsi="SimSun" w:eastAsia="SimSun" w:cs="SimSun"/>
          <w:sz w:val="20"/>
          <w:szCs w:val="20"/>
        </w:rPr>
        <w:t xml:space="preserve"> </w:t>
      </w:r>
      <w:r>
        <w:rPr>
          <w:rFonts w:ascii="SimSun" w:hAnsi="SimSun" w:eastAsia="SimSun" w:cs="SimSun"/>
          <w:sz w:val="20"/>
          <w:szCs w:val="20"/>
          <w:spacing w:val="-6"/>
        </w:rPr>
        <w:t>息，促进内容分享，如社交平台、短视频平台等。平</w:t>
      </w:r>
      <w:r>
        <w:rPr>
          <w:rFonts w:ascii="SimSun" w:hAnsi="SimSun" w:eastAsia="SimSun" w:cs="SimSun"/>
          <w:sz w:val="20"/>
          <w:szCs w:val="20"/>
          <w:spacing w:val="-7"/>
        </w:rPr>
        <w:t>台的这些功能难以</w:t>
      </w:r>
    </w:p>
    <w:p>
      <w:pPr>
        <w:spacing w:line="219" w:lineRule="auto"/>
        <w:rPr>
          <w:rFonts w:ascii="SimSun" w:hAnsi="SimSun" w:eastAsia="SimSun" w:cs="SimSun"/>
          <w:sz w:val="20"/>
          <w:szCs w:val="20"/>
        </w:rPr>
      </w:pPr>
      <w:r>
        <w:rPr>
          <w:rFonts w:ascii="SimSun" w:hAnsi="SimSun" w:eastAsia="SimSun" w:cs="SimSun"/>
          <w:sz w:val="20"/>
          <w:szCs w:val="20"/>
          <w:spacing w:val="-7"/>
        </w:rPr>
        <w:t>划分到同一产业，由一个产业监管部门对所有平台实行统</w:t>
      </w:r>
      <w:r>
        <w:rPr>
          <w:rFonts w:ascii="SimSun" w:hAnsi="SimSun" w:eastAsia="SimSun" w:cs="SimSun"/>
          <w:sz w:val="20"/>
          <w:szCs w:val="20"/>
          <w:spacing w:val="-8"/>
        </w:rPr>
        <w:t>一监管。</w:t>
      </w:r>
    </w:p>
    <w:p>
      <w:pPr>
        <w:ind w:right="71" w:firstLine="429"/>
        <w:spacing w:before="121" w:line="306" w:lineRule="auto"/>
        <w:jc w:val="both"/>
        <w:rPr>
          <w:rFonts w:ascii="SimSun" w:hAnsi="SimSun" w:eastAsia="SimSun" w:cs="SimSun"/>
          <w:sz w:val="20"/>
          <w:szCs w:val="20"/>
        </w:rPr>
      </w:pPr>
      <w:r>
        <w:rPr>
          <w:rFonts w:ascii="SimSun" w:hAnsi="SimSun" w:eastAsia="SimSun" w:cs="SimSun"/>
          <w:sz w:val="20"/>
          <w:szCs w:val="20"/>
        </w:rPr>
        <w:t>在单一功能平台的基础上，又衍生出集多种功</w:t>
      </w:r>
      <w:r>
        <w:rPr>
          <w:rFonts w:ascii="SimSun" w:hAnsi="SimSun" w:eastAsia="SimSun" w:cs="SimSun"/>
          <w:sz w:val="20"/>
          <w:szCs w:val="20"/>
          <w:spacing w:val="-1"/>
        </w:rPr>
        <w:t>能于一体的综合性</w:t>
      </w:r>
      <w:r>
        <w:rPr>
          <w:rFonts w:ascii="SimSun" w:hAnsi="SimSun" w:eastAsia="SimSun" w:cs="SimSun"/>
          <w:sz w:val="20"/>
          <w:szCs w:val="20"/>
        </w:rPr>
        <w:t xml:space="preserve"> </w:t>
      </w:r>
      <w:r>
        <w:rPr>
          <w:rFonts w:ascii="SimSun" w:hAnsi="SimSun" w:eastAsia="SimSun" w:cs="SimSun"/>
          <w:sz w:val="20"/>
          <w:szCs w:val="20"/>
        </w:rPr>
        <w:t>平台，例如：支付宝既是支付平台，也提供购买</w:t>
      </w:r>
      <w:r>
        <w:rPr>
          <w:rFonts w:ascii="SimSun" w:hAnsi="SimSun" w:eastAsia="SimSun" w:cs="SimSun"/>
          <w:sz w:val="20"/>
          <w:szCs w:val="20"/>
          <w:spacing w:val="-1"/>
        </w:rPr>
        <w:t>基金等理财产品、点</w:t>
      </w:r>
      <w:r>
        <w:rPr>
          <w:rFonts w:ascii="SimSun" w:hAnsi="SimSun" w:eastAsia="SimSun" w:cs="SimSun"/>
          <w:sz w:val="20"/>
          <w:szCs w:val="20"/>
        </w:rPr>
        <w:t xml:space="preserve"> </w:t>
      </w:r>
      <w:r>
        <w:rPr>
          <w:rFonts w:ascii="SimSun" w:hAnsi="SimSun" w:eastAsia="SimSun" w:cs="SimSun"/>
          <w:sz w:val="20"/>
          <w:szCs w:val="20"/>
          <w:spacing w:val="-1"/>
        </w:rPr>
        <w:t>外卖、买机票、订酒店等的入口；抖音、火山等既是短视频平台，同</w:t>
      </w:r>
      <w:r>
        <w:rPr>
          <w:rFonts w:ascii="SimSun" w:hAnsi="SimSun" w:eastAsia="SimSun" w:cs="SimSun"/>
          <w:sz w:val="20"/>
          <w:szCs w:val="20"/>
          <w:spacing w:val="17"/>
        </w:rPr>
        <w:t xml:space="preserve"> </w:t>
      </w:r>
      <w:r>
        <w:rPr>
          <w:rFonts w:ascii="SimSun" w:hAnsi="SimSun" w:eastAsia="SimSun" w:cs="SimSun"/>
          <w:sz w:val="20"/>
          <w:szCs w:val="20"/>
          <w:spacing w:val="-1"/>
        </w:rPr>
        <w:t>时也提供了网络购物的入口。这些平台本身就兼具不同的功能，并跨</w:t>
      </w:r>
      <w:r>
        <w:rPr>
          <w:rFonts w:ascii="SimSun" w:hAnsi="SimSun" w:eastAsia="SimSun" w:cs="SimSun"/>
          <w:sz w:val="20"/>
          <w:szCs w:val="20"/>
          <w:spacing w:val="11"/>
        </w:rPr>
        <w:t xml:space="preserve"> </w:t>
      </w:r>
      <w:r>
        <w:rPr>
          <w:rFonts w:ascii="SimSun" w:hAnsi="SimSun" w:eastAsia="SimSun" w:cs="SimSun"/>
          <w:sz w:val="20"/>
          <w:szCs w:val="20"/>
        </w:rPr>
        <w:t>越了不同的产业，在现行的监管框架下难以由某一</w:t>
      </w:r>
      <w:r>
        <w:rPr>
          <w:rFonts w:ascii="SimSun" w:hAnsi="SimSun" w:eastAsia="SimSun" w:cs="SimSun"/>
          <w:sz w:val="20"/>
          <w:szCs w:val="20"/>
          <w:spacing w:val="-1"/>
        </w:rPr>
        <w:t>特定的监管部门进</w:t>
      </w:r>
      <w:r>
        <w:rPr>
          <w:rFonts w:ascii="SimSun" w:hAnsi="SimSun" w:eastAsia="SimSun" w:cs="SimSun"/>
          <w:sz w:val="20"/>
          <w:szCs w:val="20"/>
        </w:rPr>
        <w:t xml:space="preserve"> </w:t>
      </w:r>
      <w:r>
        <w:rPr>
          <w:rFonts w:ascii="SimSun" w:hAnsi="SimSun" w:eastAsia="SimSun" w:cs="SimSun"/>
          <w:sz w:val="20"/>
          <w:szCs w:val="20"/>
          <w:spacing w:val="-2"/>
        </w:rPr>
        <w:t>行监管。</w:t>
      </w:r>
    </w:p>
    <w:p>
      <w:pPr>
        <w:ind w:left="429"/>
        <w:spacing w:before="171" w:line="361" w:lineRule="exact"/>
        <w:rPr>
          <w:rFonts w:ascii="SimSun" w:hAnsi="SimSun" w:eastAsia="SimSun" w:cs="SimSun"/>
          <w:sz w:val="20"/>
          <w:szCs w:val="20"/>
        </w:rPr>
      </w:pPr>
      <w:r>
        <w:rPr>
          <w:rFonts w:ascii="SimSun" w:hAnsi="SimSun" w:eastAsia="SimSun" w:cs="SimSun"/>
          <w:sz w:val="20"/>
          <w:szCs w:val="20"/>
          <w:spacing w:val="-1"/>
          <w:position w:val="12"/>
        </w:rPr>
        <w:t>多个监管部门基于不同的管辖权，存在着分工，也存在着合作关</w:t>
      </w:r>
    </w:p>
    <w:p>
      <w:pPr>
        <w:spacing w:line="219" w:lineRule="auto"/>
        <w:rPr>
          <w:rFonts w:ascii="SimSun" w:hAnsi="SimSun" w:eastAsia="SimSun" w:cs="SimSun"/>
          <w:sz w:val="20"/>
          <w:szCs w:val="20"/>
        </w:rPr>
      </w:pPr>
      <w:r>
        <w:rPr>
          <w:rFonts w:ascii="SimSun" w:hAnsi="SimSun" w:eastAsia="SimSun" w:cs="SimSun"/>
          <w:sz w:val="20"/>
          <w:szCs w:val="20"/>
          <w:spacing w:val="-3"/>
        </w:rPr>
        <w:t>系。</w:t>
      </w:r>
      <w:r>
        <w:rPr>
          <w:rFonts w:ascii="SimSun" w:hAnsi="SimSun" w:eastAsia="SimSun" w:cs="SimSun"/>
          <w:sz w:val="20"/>
          <w:szCs w:val="20"/>
          <w:spacing w:val="-23"/>
        </w:rPr>
        <w:t xml:space="preserve"> </w:t>
      </w:r>
      <w:r>
        <w:rPr>
          <w:rFonts w:ascii="SimSun" w:hAnsi="SimSun" w:eastAsia="SimSun" w:cs="SimSun"/>
          <w:sz w:val="20"/>
          <w:szCs w:val="20"/>
          <w:spacing w:val="-3"/>
        </w:rPr>
        <w:t>一方面，各监管部门之间常常通过联合执法的方式对平台予以监</w:t>
      </w:r>
    </w:p>
    <w:p>
      <w:pPr>
        <w:spacing w:line="219" w:lineRule="auto"/>
        <w:sectPr>
          <w:headerReference w:type="default" r:id="rId462"/>
          <w:pgSz w:w="7330" w:h="12480"/>
          <w:pgMar w:top="489" w:right="445" w:bottom="400" w:left="790" w:header="325" w:footer="0" w:gutter="0"/>
        </w:sectPr>
        <w:rPr>
          <w:rFonts w:ascii="SimSun" w:hAnsi="SimSun" w:eastAsia="SimSun" w:cs="SimSun"/>
          <w:sz w:val="20"/>
          <w:szCs w:val="20"/>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105"/>
        <w:spacing w:before="68" w:line="310" w:lineRule="auto"/>
        <w:tabs>
          <w:tab w:val="left" w:pos="105"/>
        </w:tabs>
        <w:jc w:val="both"/>
        <w:rPr>
          <w:rFonts w:ascii="SimSun" w:hAnsi="SimSun" w:eastAsia="SimSun" w:cs="SimSun"/>
          <w:sz w:val="21"/>
          <w:szCs w:val="21"/>
        </w:rPr>
      </w:pPr>
      <w:r>
        <w:rPr>
          <w:rFonts w:ascii="SimSun" w:hAnsi="SimSun" w:eastAsia="SimSun" w:cs="SimSun"/>
          <w:sz w:val="21"/>
          <w:szCs w:val="21"/>
          <w:spacing w:val="-11"/>
        </w:rPr>
        <w:t>管，例如监管部门对数字平台的联合约谈与整治。另一方面，部际联</w:t>
      </w:r>
      <w:r>
        <w:rPr>
          <w:rFonts w:ascii="SimSun" w:hAnsi="SimSun" w:eastAsia="SimSun" w:cs="SimSun"/>
          <w:sz w:val="21"/>
          <w:szCs w:val="21"/>
          <w:spacing w:val="8"/>
        </w:rPr>
        <w:t xml:space="preserve">  </w:t>
      </w:r>
      <w:r>
        <w:rPr>
          <w:rFonts w:ascii="SimSun" w:hAnsi="SimSun" w:eastAsia="SimSun" w:cs="SimSun"/>
          <w:sz w:val="21"/>
          <w:szCs w:val="21"/>
          <w:spacing w:val="-7"/>
        </w:rPr>
        <w:t>席会议的创设为各监管部门提供了制度化的合作机制。例如，2017年</w:t>
      </w:r>
      <w:r>
        <w:rPr>
          <w:rFonts w:ascii="SimSun" w:hAnsi="SimSun" w:eastAsia="SimSun" w:cs="SimSun"/>
          <w:sz w:val="21"/>
          <w:szCs w:val="21"/>
          <w:spacing w:val="8"/>
        </w:rPr>
        <w:t xml:space="preserve">  </w:t>
      </w:r>
      <w:r>
        <w:rPr>
          <w:rFonts w:ascii="SimSun" w:hAnsi="SimSun" w:eastAsia="SimSun" w:cs="SimSun"/>
          <w:sz w:val="21"/>
          <w:szCs w:val="21"/>
        </w:rPr>
        <w:tab/>
      </w:r>
      <w:r>
        <w:rPr>
          <w:rFonts w:ascii="SimSun" w:hAnsi="SimSun" w:eastAsia="SimSun" w:cs="SimSun"/>
          <w:sz w:val="21"/>
          <w:szCs w:val="21"/>
          <w:spacing w:val="-10"/>
        </w:rPr>
        <w:t>11月13日，国务院办公厅发布《国务院办公</w:t>
      </w:r>
      <w:r>
        <w:rPr>
          <w:rFonts w:ascii="SimSun" w:hAnsi="SimSun" w:eastAsia="SimSun" w:cs="SimSun"/>
          <w:sz w:val="21"/>
          <w:szCs w:val="21"/>
          <w:spacing w:val="-11"/>
        </w:rPr>
        <w:t>厅关于同意建立市场监管</w:t>
      </w:r>
      <w:r>
        <w:rPr>
          <w:rFonts w:ascii="SimSun" w:hAnsi="SimSun" w:eastAsia="SimSun" w:cs="SimSun"/>
          <w:sz w:val="21"/>
          <w:szCs w:val="21"/>
        </w:rPr>
        <w:t xml:space="preserve">  </w:t>
      </w:r>
      <w:r>
        <w:rPr>
          <w:rFonts w:ascii="SimSun" w:hAnsi="SimSun" w:eastAsia="SimSun" w:cs="SimSun"/>
          <w:sz w:val="21"/>
          <w:szCs w:val="21"/>
          <w:spacing w:val="-10"/>
        </w:rPr>
        <w:t>部际联席会议制度的函》,建立市场监管部际联席会议制度，以</w:t>
      </w:r>
      <w:r>
        <w:rPr>
          <w:rFonts w:ascii="SimSun" w:hAnsi="SimSun" w:eastAsia="SimSun" w:cs="SimSun"/>
          <w:sz w:val="21"/>
          <w:szCs w:val="21"/>
          <w:spacing w:val="-11"/>
        </w:rPr>
        <w:t>加强监</w:t>
      </w:r>
      <w:r>
        <w:rPr>
          <w:rFonts w:ascii="SimSun" w:hAnsi="SimSun" w:eastAsia="SimSun" w:cs="SimSun"/>
          <w:sz w:val="21"/>
          <w:szCs w:val="21"/>
        </w:rPr>
        <w:t xml:space="preserve">  </w:t>
      </w:r>
      <w:r>
        <w:rPr>
          <w:rFonts w:ascii="SimSun" w:hAnsi="SimSun" w:eastAsia="SimSun" w:cs="SimSun"/>
          <w:sz w:val="21"/>
          <w:szCs w:val="21"/>
          <w:spacing w:val="-7"/>
        </w:rPr>
        <w:t>管部门间的统筹协调和相互配合，形成部门协同、上下联动、有机衔</w:t>
      </w:r>
      <w:r>
        <w:rPr>
          <w:rFonts w:ascii="SimSun" w:hAnsi="SimSun" w:eastAsia="SimSun" w:cs="SimSun"/>
          <w:sz w:val="21"/>
          <w:szCs w:val="21"/>
        </w:rPr>
        <w:t xml:space="preserve">  </w:t>
      </w:r>
      <w:r>
        <w:rPr>
          <w:rFonts w:ascii="SimSun" w:hAnsi="SimSun" w:eastAsia="SimSun" w:cs="SimSun"/>
          <w:sz w:val="21"/>
          <w:szCs w:val="21"/>
          <w:spacing w:val="-10"/>
        </w:rPr>
        <w:t>接的工作机制，协调解决市场监管工作中跨部</w:t>
      </w:r>
      <w:r>
        <w:rPr>
          <w:rFonts w:ascii="SimSun" w:hAnsi="SimSun" w:eastAsia="SimSun" w:cs="SimSun"/>
          <w:sz w:val="21"/>
          <w:szCs w:val="21"/>
          <w:spacing w:val="-11"/>
        </w:rPr>
        <w:t>门、跨地区的重大问题。</w:t>
      </w:r>
      <w:r>
        <w:rPr>
          <w:rFonts w:ascii="SimSun" w:hAnsi="SimSun" w:eastAsia="SimSun" w:cs="SimSun"/>
          <w:sz w:val="21"/>
          <w:szCs w:val="21"/>
        </w:rPr>
        <w:t xml:space="preserve"> </w:t>
      </w:r>
      <w:r>
        <w:rPr>
          <w:rFonts w:ascii="SimSun" w:hAnsi="SimSun" w:eastAsia="SimSun" w:cs="SimSun"/>
          <w:sz w:val="21"/>
          <w:szCs w:val="21"/>
          <w:spacing w:val="-7"/>
        </w:rPr>
        <w:t>再如，由于网约车、顺风车相关的恶性案件引发大众对网约车安全的</w:t>
      </w:r>
      <w:r>
        <w:rPr>
          <w:rFonts w:ascii="SimSun" w:hAnsi="SimSun" w:eastAsia="SimSun" w:cs="SimSun"/>
          <w:sz w:val="21"/>
          <w:szCs w:val="21"/>
          <w:spacing w:val="4"/>
        </w:rPr>
        <w:t xml:space="preserve">  </w:t>
      </w:r>
      <w:r>
        <w:rPr>
          <w:rFonts w:ascii="SimSun" w:hAnsi="SimSun" w:eastAsia="SimSun" w:cs="SimSun"/>
          <w:sz w:val="21"/>
          <w:szCs w:val="21"/>
        </w:rPr>
        <w:t>担忧，在交通运输部的请示下，国务院办公厅于2018年8月1日发布</w:t>
      </w:r>
      <w:r>
        <w:rPr>
          <w:rFonts w:ascii="SimSun" w:hAnsi="SimSun" w:eastAsia="SimSun" w:cs="SimSun"/>
          <w:sz w:val="21"/>
          <w:szCs w:val="21"/>
          <w:spacing w:val="2"/>
        </w:rPr>
        <w:t xml:space="preserve">  </w:t>
      </w:r>
      <w:r>
        <w:rPr>
          <w:rFonts w:ascii="SimSun" w:hAnsi="SimSun" w:eastAsia="SimSun" w:cs="SimSun"/>
          <w:sz w:val="21"/>
          <w:szCs w:val="21"/>
          <w:spacing w:val="-13"/>
        </w:rPr>
        <w:t>《国务院办公厅关于同意建立交通运输新业态协同监管部际联席会议制 </w:t>
      </w:r>
      <w:r>
        <w:rPr>
          <w:rFonts w:ascii="SimSun" w:hAnsi="SimSun" w:eastAsia="SimSun" w:cs="SimSun"/>
          <w:sz w:val="21"/>
          <w:szCs w:val="21"/>
          <w:spacing w:val="-10"/>
        </w:rPr>
        <w:t>度的函》,同意建立由交通运输部牵头的交通运输新业态协同监</w:t>
      </w:r>
      <w:r>
        <w:rPr>
          <w:rFonts w:ascii="SimSun" w:hAnsi="SimSun" w:eastAsia="SimSun" w:cs="SimSun"/>
          <w:sz w:val="21"/>
          <w:szCs w:val="21"/>
          <w:spacing w:val="-11"/>
        </w:rPr>
        <w:t>管部际</w:t>
      </w:r>
      <w:r>
        <w:rPr>
          <w:rFonts w:ascii="SimSun" w:hAnsi="SimSun" w:eastAsia="SimSun" w:cs="SimSun"/>
          <w:sz w:val="21"/>
          <w:szCs w:val="21"/>
        </w:rPr>
        <w:t xml:space="preserve">  </w:t>
      </w:r>
      <w:r>
        <w:rPr>
          <w:rFonts w:ascii="SimSun" w:hAnsi="SimSun" w:eastAsia="SimSun" w:cs="SimSun"/>
          <w:sz w:val="21"/>
          <w:szCs w:val="21"/>
          <w:spacing w:val="-6"/>
        </w:rPr>
        <w:t>联席会议制度，部际联席会议的主要职能是“完</w:t>
      </w:r>
      <w:r>
        <w:rPr>
          <w:rFonts w:ascii="SimSun" w:hAnsi="SimSun" w:eastAsia="SimSun" w:cs="SimSun"/>
          <w:sz w:val="21"/>
          <w:szCs w:val="21"/>
          <w:spacing w:val="-7"/>
        </w:rPr>
        <w:t>善涉及交通运输领域 </w:t>
      </w:r>
      <w:r>
        <w:rPr>
          <w:rFonts w:ascii="SimSun" w:hAnsi="SimSun" w:eastAsia="SimSun" w:cs="SimSun"/>
          <w:sz w:val="21"/>
          <w:szCs w:val="21"/>
          <w:spacing w:val="-6"/>
        </w:rPr>
        <w:t>新业态的法律法规体系，建立健全多部门协同监</w:t>
      </w:r>
      <w:r>
        <w:rPr>
          <w:rFonts w:ascii="SimSun" w:hAnsi="SimSun" w:eastAsia="SimSun" w:cs="SimSun"/>
          <w:sz w:val="21"/>
          <w:szCs w:val="21"/>
          <w:spacing w:val="-7"/>
        </w:rPr>
        <w:t>管机制，加强舆论引 </w:t>
      </w:r>
      <w:r>
        <w:rPr>
          <w:rFonts w:ascii="SimSun" w:hAnsi="SimSun" w:eastAsia="SimSun" w:cs="SimSun"/>
          <w:sz w:val="21"/>
          <w:szCs w:val="21"/>
          <w:spacing w:val="-7"/>
        </w:rPr>
        <w:t>导和形势研判，提高行业治理和应急处置能力，促进行业持续稳定健</w:t>
      </w:r>
      <w:r>
        <w:rPr>
          <w:rFonts w:ascii="SimSun" w:hAnsi="SimSun" w:eastAsia="SimSun" w:cs="SimSun"/>
          <w:sz w:val="21"/>
          <w:szCs w:val="21"/>
        </w:rPr>
        <w:t xml:space="preserve">  </w:t>
      </w:r>
      <w:r>
        <w:rPr>
          <w:rFonts w:ascii="SimSun" w:hAnsi="SimSun" w:eastAsia="SimSun" w:cs="SimSun"/>
          <w:sz w:val="21"/>
          <w:szCs w:val="21"/>
          <w:spacing w:val="-13"/>
        </w:rPr>
        <w:t>康发展”。</w:t>
      </w:r>
    </w:p>
    <w:p>
      <w:pPr>
        <w:pStyle w:val="BodyText"/>
        <w:spacing w:line="397" w:lineRule="auto"/>
        <w:rPr/>
      </w:pPr>
      <w:r/>
    </w:p>
    <w:p>
      <w:pPr>
        <w:ind w:left="527"/>
        <w:spacing w:before="68" w:line="219" w:lineRule="auto"/>
        <w:rPr>
          <w:rFonts w:ascii="SimSun" w:hAnsi="SimSun" w:eastAsia="SimSun" w:cs="SimSun"/>
          <w:sz w:val="21"/>
          <w:szCs w:val="21"/>
        </w:rPr>
      </w:pPr>
      <w:r>
        <w:rPr>
          <w:rFonts w:ascii="SimSun" w:hAnsi="SimSun" w:eastAsia="SimSun" w:cs="SimSun"/>
          <w:sz w:val="21"/>
          <w:szCs w:val="21"/>
          <w:b/>
          <w:bCs/>
          <w:spacing w:val="-14"/>
        </w:rPr>
        <w:t>产业监管与反垄断的权限划分</w:t>
      </w:r>
    </w:p>
    <w:p>
      <w:pPr>
        <w:ind w:left="105" w:right="68" w:firstLine="420"/>
        <w:spacing w:before="114" w:line="292" w:lineRule="auto"/>
        <w:jc w:val="both"/>
        <w:rPr>
          <w:rFonts w:ascii="SimSun" w:hAnsi="SimSun" w:eastAsia="SimSun" w:cs="SimSun"/>
          <w:sz w:val="21"/>
          <w:szCs w:val="21"/>
        </w:rPr>
      </w:pPr>
      <w:r>
        <w:rPr>
          <w:rFonts w:ascii="SimSun" w:hAnsi="SimSun" w:eastAsia="SimSun" w:cs="SimSun"/>
          <w:sz w:val="21"/>
          <w:szCs w:val="21"/>
          <w:spacing w:val="-10"/>
        </w:rPr>
        <w:t>不仅同一平台可能受到多个监管部门的管辖，在产业</w:t>
      </w:r>
      <w:r>
        <w:rPr>
          <w:rFonts w:ascii="SimSun" w:hAnsi="SimSun" w:eastAsia="SimSun" w:cs="SimSun"/>
          <w:sz w:val="21"/>
          <w:szCs w:val="21"/>
          <w:spacing w:val="-11"/>
        </w:rPr>
        <w:t>监管部门与</w:t>
      </w:r>
      <w:r>
        <w:rPr>
          <w:rFonts w:ascii="SimSun" w:hAnsi="SimSun" w:eastAsia="SimSun" w:cs="SimSun"/>
          <w:sz w:val="21"/>
          <w:szCs w:val="21"/>
        </w:rPr>
        <w:t xml:space="preserve"> </w:t>
      </w:r>
      <w:r>
        <w:rPr>
          <w:rFonts w:ascii="SimSun" w:hAnsi="SimSun" w:eastAsia="SimSun" w:cs="SimSun"/>
          <w:sz w:val="21"/>
          <w:szCs w:val="21"/>
          <w:spacing w:val="-11"/>
        </w:rPr>
        <w:t>反垄断部门之间也缺乏明确的界限，即同一个平台可能同时受到产业</w:t>
      </w:r>
      <w:r>
        <w:rPr>
          <w:rFonts w:ascii="SimSun" w:hAnsi="SimSun" w:eastAsia="SimSun" w:cs="SimSun"/>
          <w:sz w:val="21"/>
          <w:szCs w:val="21"/>
          <w:spacing w:val="16"/>
        </w:rPr>
        <w:t xml:space="preserve"> </w:t>
      </w:r>
      <w:r>
        <w:rPr>
          <w:rFonts w:ascii="SimSun" w:hAnsi="SimSun" w:eastAsia="SimSun" w:cs="SimSun"/>
          <w:sz w:val="21"/>
          <w:szCs w:val="21"/>
          <w:spacing w:val="-10"/>
        </w:rPr>
        <w:t>监管部门与反垄断部门的管辖。数字平台中产业监管</w:t>
      </w:r>
      <w:r>
        <w:rPr>
          <w:rFonts w:ascii="SimSun" w:hAnsi="SimSun" w:eastAsia="SimSun" w:cs="SimSun"/>
          <w:sz w:val="21"/>
          <w:szCs w:val="21"/>
          <w:spacing w:val="-11"/>
        </w:rPr>
        <w:t>与反垄断的这种</w:t>
      </w:r>
      <w:r>
        <w:rPr>
          <w:rFonts w:ascii="SimSun" w:hAnsi="SimSun" w:eastAsia="SimSun" w:cs="SimSun"/>
          <w:sz w:val="21"/>
          <w:szCs w:val="21"/>
        </w:rPr>
        <w:t xml:space="preserve"> </w:t>
      </w:r>
      <w:r>
        <w:rPr>
          <w:rFonts w:ascii="SimSun" w:hAnsi="SimSun" w:eastAsia="SimSun" w:cs="SimSun"/>
          <w:sz w:val="21"/>
          <w:szCs w:val="21"/>
          <w:spacing w:val="-13"/>
        </w:rPr>
        <w:t>交织关系主要体现在三个方面。</w:t>
      </w:r>
    </w:p>
    <w:p>
      <w:pPr>
        <w:ind w:left="105" w:right="73" w:firstLine="420"/>
        <w:spacing w:before="109" w:line="297" w:lineRule="auto"/>
        <w:jc w:val="both"/>
        <w:rPr>
          <w:rFonts w:ascii="SimSun" w:hAnsi="SimSun" w:eastAsia="SimSun" w:cs="SimSun"/>
          <w:sz w:val="21"/>
          <w:szCs w:val="21"/>
        </w:rPr>
      </w:pPr>
      <w:r>
        <w:rPr>
          <w:rFonts w:ascii="SimSun" w:hAnsi="SimSun" w:eastAsia="SimSun" w:cs="SimSun"/>
          <w:sz w:val="21"/>
          <w:szCs w:val="21"/>
          <w:spacing w:val="-11"/>
        </w:rPr>
        <w:t>第一，同一平台既可能受制于产业监管部门日常的行为监管，也</w:t>
      </w:r>
      <w:r>
        <w:rPr>
          <w:rFonts w:ascii="SimSun" w:hAnsi="SimSun" w:eastAsia="SimSun" w:cs="SimSun"/>
          <w:sz w:val="21"/>
          <w:szCs w:val="21"/>
          <w:spacing w:val="18"/>
        </w:rPr>
        <w:t xml:space="preserve"> </w:t>
      </w:r>
      <w:r>
        <w:rPr>
          <w:rFonts w:ascii="SimSun" w:hAnsi="SimSun" w:eastAsia="SimSun" w:cs="SimSun"/>
          <w:sz w:val="21"/>
          <w:szCs w:val="21"/>
          <w:spacing w:val="-10"/>
        </w:rPr>
        <w:t>同时受到反垄断执法机关的反垄断审查。以支付平台为例，支付平台</w:t>
      </w:r>
      <w:r>
        <w:rPr>
          <w:rFonts w:ascii="SimSun" w:hAnsi="SimSun" w:eastAsia="SimSun" w:cs="SimSun"/>
          <w:sz w:val="21"/>
          <w:szCs w:val="21"/>
        </w:rPr>
        <w:t xml:space="preserve"> </w:t>
      </w:r>
      <w:r>
        <w:rPr>
          <w:rFonts w:ascii="SimSun" w:hAnsi="SimSun" w:eastAsia="SimSun" w:cs="SimSun"/>
          <w:sz w:val="21"/>
          <w:szCs w:val="21"/>
          <w:spacing w:val="-10"/>
        </w:rPr>
        <w:t>的市场准入受到严格的限制，平台沉淀资金</w:t>
      </w:r>
      <w:r>
        <w:rPr>
          <w:rFonts w:ascii="SimSun" w:hAnsi="SimSun" w:eastAsia="SimSun" w:cs="SimSun"/>
          <w:sz w:val="21"/>
          <w:szCs w:val="21"/>
          <w:spacing w:val="-11"/>
        </w:rPr>
        <w:t>等都受到严格的监管，而</w:t>
      </w:r>
      <w:r>
        <w:rPr>
          <w:rFonts w:ascii="SimSun" w:hAnsi="SimSun" w:eastAsia="SimSun" w:cs="SimSun"/>
          <w:sz w:val="21"/>
          <w:szCs w:val="21"/>
        </w:rPr>
        <w:t xml:space="preserve"> </w:t>
      </w:r>
      <w:r>
        <w:rPr>
          <w:rFonts w:ascii="SimSun" w:hAnsi="SimSun" w:eastAsia="SimSun" w:cs="SimSun"/>
          <w:sz w:val="21"/>
          <w:szCs w:val="21"/>
          <w:spacing w:val="-11"/>
        </w:rPr>
        <w:t>这种监管并不能使支付平台得到反垄断豁免，当支付平台的行为涉嫌</w:t>
      </w:r>
      <w:r>
        <w:rPr>
          <w:rFonts w:ascii="SimSun" w:hAnsi="SimSun" w:eastAsia="SimSun" w:cs="SimSun"/>
          <w:sz w:val="21"/>
          <w:szCs w:val="21"/>
          <w:spacing w:val="17"/>
        </w:rPr>
        <w:t xml:space="preserve"> </w:t>
      </w:r>
      <w:r>
        <w:rPr>
          <w:rFonts w:ascii="SimSun" w:hAnsi="SimSun" w:eastAsia="SimSun" w:cs="SimSun"/>
          <w:sz w:val="21"/>
          <w:szCs w:val="21"/>
          <w:spacing w:val="-11"/>
        </w:rPr>
        <w:t>垄断时，仍然受到反垄断执法机关的审查。</w:t>
      </w:r>
    </w:p>
    <w:p>
      <w:pPr>
        <w:ind w:left="105" w:right="69" w:firstLine="420"/>
        <w:spacing w:before="110" w:line="268" w:lineRule="auto"/>
        <w:rPr>
          <w:rFonts w:ascii="SimSun" w:hAnsi="SimSun" w:eastAsia="SimSun" w:cs="SimSun"/>
          <w:sz w:val="21"/>
          <w:szCs w:val="21"/>
        </w:rPr>
      </w:pPr>
      <w:r>
        <w:rPr>
          <w:rFonts w:ascii="SimSun" w:hAnsi="SimSun" w:eastAsia="SimSun" w:cs="SimSun"/>
          <w:sz w:val="21"/>
          <w:szCs w:val="21"/>
          <w:spacing w:val="-10"/>
        </w:rPr>
        <w:t>第二，由于反垄断机关的设置，即被纳入了监管一</w:t>
      </w:r>
      <w:r>
        <w:rPr>
          <w:rFonts w:ascii="SimSun" w:hAnsi="SimSun" w:eastAsia="SimSun" w:cs="SimSun"/>
          <w:sz w:val="21"/>
          <w:szCs w:val="21"/>
          <w:spacing w:val="-11"/>
        </w:rPr>
        <w:t>般市场秩序的</w:t>
      </w:r>
      <w:r>
        <w:rPr>
          <w:rFonts w:ascii="SimSun" w:hAnsi="SimSun" w:eastAsia="SimSun" w:cs="SimSun"/>
          <w:sz w:val="21"/>
          <w:szCs w:val="21"/>
        </w:rPr>
        <w:t xml:space="preserve"> </w:t>
      </w:r>
      <w:r>
        <w:rPr>
          <w:rFonts w:ascii="SimSun" w:hAnsi="SimSun" w:eastAsia="SimSun" w:cs="SimSun"/>
          <w:sz w:val="21"/>
          <w:szCs w:val="21"/>
          <w:spacing w:val="-11"/>
        </w:rPr>
        <w:t>市场监管总局，因此，市场监管总局在反垄断审查之外，也介入数字</w:t>
      </w:r>
    </w:p>
    <w:p>
      <w:pPr>
        <w:spacing w:line="268" w:lineRule="auto"/>
        <w:sectPr>
          <w:headerReference w:type="default" r:id="rId463"/>
          <w:pgSz w:w="7330" w:h="12480"/>
          <w:pgMar w:top="808" w:right="765" w:bottom="400" w:left="374" w:header="631" w:footer="0" w:gutter="0"/>
        </w:sectPr>
        <w:rPr>
          <w:rFonts w:ascii="SimSun" w:hAnsi="SimSun" w:eastAsia="SimSun" w:cs="SimSun"/>
          <w:sz w:val="21"/>
          <w:szCs w:val="21"/>
        </w:rPr>
      </w:pP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right="68"/>
        <w:spacing w:before="68" w:line="303" w:lineRule="auto"/>
        <w:jc w:val="both"/>
        <w:rPr>
          <w:rFonts w:ascii="SimSun" w:hAnsi="SimSun" w:eastAsia="SimSun" w:cs="SimSun"/>
          <w:sz w:val="21"/>
          <w:szCs w:val="21"/>
        </w:rPr>
      </w:pPr>
      <w:r>
        <w:rPr>
          <w:rFonts w:ascii="SimSun" w:hAnsi="SimSun" w:eastAsia="SimSun" w:cs="SimSun"/>
          <w:sz w:val="21"/>
          <w:szCs w:val="21"/>
          <w:spacing w:val="-4"/>
        </w:rPr>
        <w:t>平台日常的行为监管。2018年，三家反垄断执法机构合并后，反垄</w:t>
      </w:r>
      <w:r>
        <w:rPr>
          <w:rFonts w:ascii="SimSun" w:hAnsi="SimSun" w:eastAsia="SimSun" w:cs="SimSun"/>
          <w:sz w:val="21"/>
          <w:szCs w:val="21"/>
          <w:spacing w:val="3"/>
        </w:rPr>
        <w:t xml:space="preserve"> </w:t>
      </w:r>
      <w:r>
        <w:rPr>
          <w:rFonts w:ascii="SimSun" w:hAnsi="SimSun" w:eastAsia="SimSun" w:cs="SimSun"/>
          <w:sz w:val="21"/>
          <w:szCs w:val="21"/>
          <w:spacing w:val="-11"/>
        </w:rPr>
        <w:t>断执法统一由市场监管总局负责。市场监管总局在负责平台反</w:t>
      </w:r>
      <w:r>
        <w:rPr>
          <w:rFonts w:ascii="SimSun" w:hAnsi="SimSun" w:eastAsia="SimSun" w:cs="SimSun"/>
          <w:sz w:val="21"/>
          <w:szCs w:val="21"/>
          <w:spacing w:val="-12"/>
        </w:rPr>
        <w:t>垄断执</w:t>
      </w:r>
      <w:r>
        <w:rPr>
          <w:rFonts w:ascii="SimSun" w:hAnsi="SimSun" w:eastAsia="SimSun" w:cs="SimSun"/>
          <w:sz w:val="21"/>
          <w:szCs w:val="21"/>
        </w:rPr>
        <w:t xml:space="preserve"> </w:t>
      </w:r>
      <w:r>
        <w:rPr>
          <w:rFonts w:ascii="SimSun" w:hAnsi="SimSun" w:eastAsia="SimSun" w:cs="SimSun"/>
          <w:sz w:val="21"/>
          <w:szCs w:val="21"/>
          <w:spacing w:val="-11"/>
        </w:rPr>
        <w:t>法的同时，也承担着对数字平台进行监管的职责。因此，在一个执法</w:t>
      </w:r>
      <w:r>
        <w:rPr>
          <w:rFonts w:ascii="SimSun" w:hAnsi="SimSun" w:eastAsia="SimSun" w:cs="SimSun"/>
          <w:sz w:val="21"/>
          <w:szCs w:val="21"/>
          <w:spacing w:val="15"/>
        </w:rPr>
        <w:t xml:space="preserve"> </w:t>
      </w:r>
      <w:r>
        <w:rPr>
          <w:rFonts w:ascii="SimSun" w:hAnsi="SimSun" w:eastAsia="SimSun" w:cs="SimSun"/>
          <w:sz w:val="21"/>
          <w:szCs w:val="21"/>
          <w:spacing w:val="-11"/>
        </w:rPr>
        <w:t>机关内部，同时会基于消费者权益、产品质量、知识产权、公</w:t>
      </w:r>
      <w:r>
        <w:rPr>
          <w:rFonts w:ascii="SimSun" w:hAnsi="SimSun" w:eastAsia="SimSun" w:cs="SimSun"/>
          <w:sz w:val="21"/>
          <w:szCs w:val="21"/>
          <w:spacing w:val="-12"/>
        </w:rPr>
        <w:t>平竞争</w:t>
      </w:r>
      <w:r>
        <w:rPr>
          <w:rFonts w:ascii="SimSun" w:hAnsi="SimSun" w:eastAsia="SimSun" w:cs="SimSun"/>
          <w:sz w:val="21"/>
          <w:szCs w:val="21"/>
        </w:rPr>
        <w:t xml:space="preserve"> </w:t>
      </w:r>
      <w:r>
        <w:rPr>
          <w:rFonts w:ascii="SimSun" w:hAnsi="SimSun" w:eastAsia="SimSun" w:cs="SimSun"/>
          <w:sz w:val="21"/>
          <w:szCs w:val="21"/>
          <w:spacing w:val="-10"/>
        </w:rPr>
        <w:t>等多方面的考量因素去执行监管职责。例如，国家市场监</w:t>
      </w:r>
      <w:r>
        <w:rPr>
          <w:rFonts w:ascii="SimSun" w:hAnsi="SimSun" w:eastAsia="SimSun" w:cs="SimSun"/>
          <w:sz w:val="21"/>
          <w:szCs w:val="21"/>
          <w:spacing w:val="-11"/>
        </w:rPr>
        <w:t>管总局在日</w:t>
      </w:r>
      <w:r>
        <w:rPr>
          <w:rFonts w:ascii="SimSun" w:hAnsi="SimSun" w:eastAsia="SimSun" w:cs="SimSun"/>
          <w:sz w:val="21"/>
          <w:szCs w:val="21"/>
        </w:rPr>
        <w:t xml:space="preserve"> </w:t>
      </w:r>
      <w:r>
        <w:rPr>
          <w:rFonts w:ascii="SimSun" w:hAnsi="SimSun" w:eastAsia="SimSun" w:cs="SimSun"/>
          <w:sz w:val="21"/>
          <w:szCs w:val="21"/>
          <w:spacing w:val="-11"/>
        </w:rPr>
        <w:t>常行为监管中对各类平台进行约谈与整治工作，此外，也依据</w:t>
      </w:r>
      <w:r>
        <w:rPr>
          <w:rFonts w:ascii="SimSun" w:hAnsi="SimSun" w:eastAsia="SimSun" w:cs="SimSun"/>
          <w:sz w:val="21"/>
          <w:szCs w:val="21"/>
          <w:spacing w:val="-12"/>
        </w:rPr>
        <w:t>《价格</w:t>
      </w:r>
      <w:r>
        <w:rPr>
          <w:rFonts w:ascii="SimSun" w:hAnsi="SimSun" w:eastAsia="SimSun" w:cs="SimSun"/>
          <w:sz w:val="21"/>
          <w:szCs w:val="21"/>
        </w:rPr>
        <w:t xml:space="preserve"> </w:t>
      </w:r>
      <w:r>
        <w:rPr>
          <w:rFonts w:ascii="SimSun" w:hAnsi="SimSun" w:eastAsia="SimSun" w:cs="SimSun"/>
          <w:sz w:val="21"/>
          <w:szCs w:val="21"/>
          <w:spacing w:val="-12"/>
        </w:rPr>
        <w:t>法》等监管法规对数字平台进行查处，等等。</w:t>
      </w:r>
    </w:p>
    <w:p>
      <w:pPr>
        <w:ind w:right="11" w:firstLine="459"/>
        <w:spacing w:before="120" w:line="309" w:lineRule="auto"/>
        <w:rPr>
          <w:rFonts w:ascii="SimSun" w:hAnsi="SimSun" w:eastAsia="SimSun" w:cs="SimSun"/>
          <w:sz w:val="21"/>
          <w:szCs w:val="21"/>
        </w:rPr>
      </w:pPr>
      <w:r>
        <w:rPr>
          <w:rFonts w:ascii="SimSun" w:hAnsi="SimSun" w:eastAsia="SimSun" w:cs="SimSun"/>
          <w:sz w:val="21"/>
          <w:szCs w:val="21"/>
          <w:spacing w:val="-4"/>
        </w:rPr>
        <w:t>第三，特定的产业监管机构也参与到数字平台的反垄断中。例</w:t>
      </w:r>
      <w:r>
        <w:rPr>
          <w:rFonts w:ascii="SimSun" w:hAnsi="SimSun" w:eastAsia="SimSun" w:cs="SimSun"/>
          <w:sz w:val="21"/>
          <w:szCs w:val="21"/>
          <w:spacing w:val="13"/>
        </w:rPr>
        <w:t xml:space="preserve"> </w:t>
      </w:r>
      <w:r>
        <w:rPr>
          <w:rFonts w:ascii="SimSun" w:hAnsi="SimSun" w:eastAsia="SimSun" w:cs="SimSun"/>
          <w:sz w:val="21"/>
          <w:szCs w:val="21"/>
          <w:spacing w:val="3"/>
        </w:rPr>
        <w:t>如，2021年1月中国人民银行出台《非银行支付</w:t>
      </w:r>
      <w:r>
        <w:rPr>
          <w:rFonts w:ascii="SimSun" w:hAnsi="SimSun" w:eastAsia="SimSun" w:cs="SimSun"/>
          <w:sz w:val="21"/>
          <w:szCs w:val="21"/>
          <w:spacing w:val="2"/>
        </w:rPr>
        <w:t>机构条例(征求意 </w:t>
      </w:r>
      <w:r>
        <w:rPr>
          <w:rFonts w:ascii="SimSun" w:hAnsi="SimSun" w:eastAsia="SimSun" w:cs="SimSun"/>
          <w:sz w:val="21"/>
          <w:szCs w:val="21"/>
          <w:spacing w:val="-11"/>
        </w:rPr>
        <w:t>见稿)》,其中第五十四至五十七条分别规定了公平竞争要求、市场支</w:t>
      </w:r>
      <w:r>
        <w:rPr>
          <w:rFonts w:ascii="SimSun" w:hAnsi="SimSun" w:eastAsia="SimSun" w:cs="SimSun"/>
          <w:sz w:val="21"/>
          <w:szCs w:val="21"/>
          <w:spacing w:val="10"/>
        </w:rPr>
        <w:t xml:space="preserve"> </w:t>
      </w:r>
      <w:r>
        <w:rPr>
          <w:rFonts w:ascii="SimSun" w:hAnsi="SimSun" w:eastAsia="SimSun" w:cs="SimSun"/>
          <w:sz w:val="21"/>
          <w:szCs w:val="21"/>
          <w:spacing w:val="-11"/>
        </w:rPr>
        <w:t>配地位预警措施、市场支配地位情形认定、市场支配地位监管措施等 </w:t>
      </w:r>
      <w:r>
        <w:rPr>
          <w:rFonts w:ascii="SimSun" w:hAnsi="SimSun" w:eastAsia="SimSun" w:cs="SimSun"/>
          <w:sz w:val="21"/>
          <w:szCs w:val="21"/>
        </w:rPr>
        <w:t>内容，将反垄断纳入支付行业监管的考量范围。再如，2021年9月</w:t>
      </w:r>
      <w:r>
        <w:rPr>
          <w:rFonts w:ascii="SimSun" w:hAnsi="SimSun" w:eastAsia="SimSun" w:cs="SimSun"/>
          <w:sz w:val="21"/>
          <w:szCs w:val="21"/>
          <w:spacing w:val="16"/>
        </w:rPr>
        <w:t xml:space="preserve"> </w:t>
      </w:r>
      <w:r>
        <w:rPr>
          <w:rFonts w:ascii="SimSun" w:hAnsi="SimSun" w:eastAsia="SimSun" w:cs="SimSun"/>
          <w:sz w:val="21"/>
          <w:szCs w:val="21"/>
          <w:spacing w:val="-8"/>
        </w:rPr>
        <w:t>1日，交通运输部会同中央网信办、工信部、公安部、国家市场监管</w:t>
      </w:r>
      <w:r>
        <w:rPr>
          <w:rFonts w:ascii="SimSun" w:hAnsi="SimSun" w:eastAsia="SimSun" w:cs="SimSun"/>
          <w:sz w:val="21"/>
          <w:szCs w:val="21"/>
          <w:spacing w:val="15"/>
        </w:rPr>
        <w:t xml:space="preserve"> </w:t>
      </w:r>
      <w:r>
        <w:rPr>
          <w:rFonts w:ascii="SimSun" w:hAnsi="SimSun" w:eastAsia="SimSun" w:cs="SimSun"/>
          <w:sz w:val="21"/>
          <w:szCs w:val="21"/>
          <w:spacing w:val="-9"/>
        </w:rPr>
        <w:t>总局等交通运输新业态协同监管部际联席会议成员单位，对</w:t>
      </w:r>
      <w:r>
        <w:rPr>
          <w:rFonts w:ascii="Times New Roman" w:hAnsi="Times New Roman" w:eastAsia="Times New Roman" w:cs="Times New Roman"/>
          <w:sz w:val="21"/>
          <w:szCs w:val="21"/>
          <w:spacing w:val="-9"/>
        </w:rPr>
        <w:t>T3</w:t>
      </w:r>
      <w:r>
        <w:rPr>
          <w:rFonts w:ascii="SimSun" w:hAnsi="SimSun" w:eastAsia="SimSun" w:cs="SimSun"/>
          <w:sz w:val="21"/>
          <w:szCs w:val="21"/>
          <w:spacing w:val="-9"/>
        </w:rPr>
        <w:t>出行、</w:t>
      </w:r>
      <w:r>
        <w:rPr>
          <w:rFonts w:ascii="SimSun" w:hAnsi="SimSun" w:eastAsia="SimSun" w:cs="SimSun"/>
          <w:sz w:val="21"/>
          <w:szCs w:val="21"/>
          <w:spacing w:val="8"/>
        </w:rPr>
        <w:t xml:space="preserve"> </w:t>
      </w:r>
      <w:r>
        <w:rPr>
          <w:rFonts w:ascii="SimSun" w:hAnsi="SimSun" w:eastAsia="SimSun" w:cs="SimSun"/>
          <w:sz w:val="21"/>
          <w:szCs w:val="21"/>
          <w:spacing w:val="-11"/>
        </w:rPr>
        <w:t>美团出行、曹操出行、高德、滴滴出行、首汽约车、嘀嗒出行、</w:t>
      </w:r>
      <w:r>
        <w:rPr>
          <w:rFonts w:ascii="SimSun" w:hAnsi="SimSun" w:eastAsia="SimSun" w:cs="SimSun"/>
          <w:sz w:val="21"/>
          <w:szCs w:val="21"/>
          <w:spacing w:val="-12"/>
        </w:rPr>
        <w:t>享道</w:t>
      </w:r>
      <w:r>
        <w:rPr>
          <w:rFonts w:ascii="SimSun" w:hAnsi="SimSun" w:eastAsia="SimSun" w:cs="SimSun"/>
          <w:sz w:val="21"/>
          <w:szCs w:val="21"/>
        </w:rPr>
        <w:t xml:space="preserve"> </w:t>
      </w:r>
      <w:r>
        <w:rPr>
          <w:rFonts w:ascii="SimSun" w:hAnsi="SimSun" w:eastAsia="SimSun" w:cs="SimSun"/>
          <w:sz w:val="21"/>
          <w:szCs w:val="21"/>
          <w:spacing w:val="-4"/>
        </w:rPr>
        <w:t>出行、如祺出行、阳光出行、万顺叫车等11家网约车平台公司进行 </w:t>
      </w:r>
      <w:r>
        <w:rPr>
          <w:rFonts w:ascii="SimSun" w:hAnsi="SimSun" w:eastAsia="SimSun" w:cs="SimSun"/>
          <w:sz w:val="21"/>
          <w:szCs w:val="21"/>
          <w:spacing w:val="-9"/>
        </w:rPr>
        <w:t>联合约谈。约谈指出，部分平台公司通过多种营销手段，恶性竞争，</w:t>
      </w:r>
      <w:r>
        <w:rPr>
          <w:rFonts w:ascii="SimSun" w:hAnsi="SimSun" w:eastAsia="SimSun" w:cs="SimSun"/>
          <w:sz w:val="21"/>
          <w:szCs w:val="21"/>
          <w:spacing w:val="3"/>
        </w:rPr>
        <w:t xml:space="preserve"> </w:t>
      </w:r>
      <w:r>
        <w:rPr>
          <w:rFonts w:ascii="SimSun" w:hAnsi="SimSun" w:eastAsia="SimSun" w:cs="SimSun"/>
          <w:sz w:val="21"/>
          <w:szCs w:val="21"/>
          <w:spacing w:val="-7"/>
        </w:rPr>
        <w:t>并招募或诱导未取得许可的驾驶员和车辆“带车加盟”,开展非法营</w:t>
      </w:r>
      <w:r>
        <w:rPr>
          <w:rFonts w:ascii="SimSun" w:hAnsi="SimSun" w:eastAsia="SimSun" w:cs="SimSun"/>
          <w:sz w:val="21"/>
          <w:szCs w:val="21"/>
          <w:spacing w:val="7"/>
        </w:rPr>
        <w:t xml:space="preserve"> </w:t>
      </w:r>
      <w:r>
        <w:rPr>
          <w:rFonts w:ascii="SimSun" w:hAnsi="SimSun" w:eastAsia="SimSun" w:cs="SimSun"/>
          <w:sz w:val="21"/>
          <w:szCs w:val="21"/>
          <w:spacing w:val="-11"/>
        </w:rPr>
        <w:t>运，扰乱公平竞争市场秩序，要求各平台公司共同维护公平竞争的市</w:t>
      </w:r>
      <w:r>
        <w:rPr>
          <w:rFonts w:ascii="SimSun" w:hAnsi="SimSun" w:eastAsia="SimSun" w:cs="SimSun"/>
          <w:sz w:val="21"/>
          <w:szCs w:val="21"/>
        </w:rPr>
        <w:t xml:space="preserve"> </w:t>
      </w:r>
      <w:r>
        <w:rPr>
          <w:rFonts w:ascii="SimSun" w:hAnsi="SimSun" w:eastAsia="SimSun" w:cs="SimSun"/>
          <w:sz w:val="21"/>
          <w:szCs w:val="21"/>
          <w:spacing w:val="-11"/>
        </w:rPr>
        <w:t>场秩序，并制订相应的整改方案。</w:t>
      </w:r>
    </w:p>
    <w:p>
      <w:pPr>
        <w:pStyle w:val="BodyText"/>
        <w:spacing w:line="44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6"/>
        </w:rPr>
        <w:t>现有的监管措施</w:t>
      </w:r>
    </w:p>
    <w:p>
      <w:pPr>
        <w:pStyle w:val="BodyText"/>
        <w:spacing w:line="348" w:lineRule="auto"/>
        <w:rPr/>
      </w:pPr>
      <w:r/>
    </w:p>
    <w:p>
      <w:pPr>
        <w:ind w:left="462"/>
        <w:spacing w:before="69" w:line="219" w:lineRule="auto"/>
        <w:rPr>
          <w:rFonts w:ascii="SimSun" w:hAnsi="SimSun" w:eastAsia="SimSun" w:cs="SimSun"/>
          <w:sz w:val="21"/>
          <w:szCs w:val="21"/>
        </w:rPr>
      </w:pPr>
      <w:r>
        <w:rPr>
          <w:rFonts w:ascii="SimSun" w:hAnsi="SimSun" w:eastAsia="SimSun" w:cs="SimSun"/>
          <w:sz w:val="21"/>
          <w:szCs w:val="21"/>
          <w:b/>
          <w:bCs/>
          <w:spacing w:val="-12"/>
        </w:rPr>
        <w:t>市场准入监管</w:t>
      </w:r>
    </w:p>
    <w:p>
      <w:pPr>
        <w:ind w:firstLine="459"/>
        <w:spacing w:before="113" w:line="284" w:lineRule="auto"/>
        <w:jc w:val="both"/>
        <w:rPr>
          <w:rFonts w:ascii="SimSun" w:hAnsi="SimSun" w:eastAsia="SimSun" w:cs="SimSun"/>
          <w:sz w:val="21"/>
          <w:szCs w:val="21"/>
        </w:rPr>
      </w:pPr>
      <w:r>
        <w:rPr>
          <w:rFonts w:ascii="SimSun" w:hAnsi="SimSun" w:eastAsia="SimSun" w:cs="SimSun"/>
          <w:sz w:val="21"/>
          <w:szCs w:val="21"/>
          <w:spacing w:val="-3"/>
        </w:rPr>
        <w:t>不同类型的数字平台，其市场准入由不同的监管部门负责</w:t>
      </w:r>
      <w:r>
        <w:rPr>
          <w:rFonts w:ascii="SimSun" w:hAnsi="SimSun" w:eastAsia="SimSun" w:cs="SimSun"/>
          <w:sz w:val="21"/>
          <w:szCs w:val="21"/>
          <w:spacing w:val="-4"/>
        </w:rPr>
        <w:t>，并</w:t>
      </w:r>
      <w:r>
        <w:rPr>
          <w:rFonts w:ascii="SimSun" w:hAnsi="SimSun" w:eastAsia="SimSun" w:cs="SimSun"/>
          <w:sz w:val="21"/>
          <w:szCs w:val="21"/>
        </w:rPr>
        <w:t xml:space="preserve"> </w:t>
      </w:r>
      <w:r>
        <w:rPr>
          <w:rFonts w:ascii="SimSun" w:hAnsi="SimSun" w:eastAsia="SimSun" w:cs="SimSun"/>
          <w:sz w:val="21"/>
          <w:szCs w:val="21"/>
          <w:spacing w:val="-7"/>
        </w:rPr>
        <w:t>受到不同程度的限制。表11-2列举了各</w:t>
      </w:r>
      <w:r>
        <w:rPr>
          <w:rFonts w:ascii="SimSun" w:hAnsi="SimSun" w:eastAsia="SimSun" w:cs="SimSun"/>
          <w:sz w:val="21"/>
          <w:szCs w:val="21"/>
          <w:spacing w:val="-8"/>
        </w:rPr>
        <w:t>类平台市场准入的监管部门、</w:t>
      </w:r>
      <w:r>
        <w:rPr>
          <w:rFonts w:ascii="SimSun" w:hAnsi="SimSun" w:eastAsia="SimSun" w:cs="SimSun"/>
          <w:sz w:val="21"/>
          <w:szCs w:val="21"/>
        </w:rPr>
        <w:t xml:space="preserve"> </w:t>
      </w:r>
      <w:r>
        <w:rPr>
          <w:rFonts w:ascii="SimSun" w:hAnsi="SimSun" w:eastAsia="SimSun" w:cs="SimSun"/>
          <w:sz w:val="21"/>
          <w:szCs w:val="21"/>
          <w:spacing w:val="-12"/>
        </w:rPr>
        <w:t>市场准入条件等信息。</w:t>
      </w:r>
    </w:p>
    <w:p>
      <w:pPr>
        <w:spacing w:line="284" w:lineRule="auto"/>
        <w:sectPr>
          <w:headerReference w:type="default" r:id="rId464"/>
          <w:pgSz w:w="7330" w:h="12480"/>
          <w:pgMar w:top="527" w:right="495" w:bottom="400" w:left="770" w:header="374" w:footer="0" w:gutter="0"/>
        </w:sectPr>
        <w:rPr>
          <w:rFonts w:ascii="SimSun" w:hAnsi="SimSun" w:eastAsia="SimSun" w:cs="SimSun"/>
          <w:sz w:val="21"/>
          <w:szCs w:val="21"/>
        </w:rPr>
      </w:pPr>
    </w:p>
    <w:p>
      <w:pPr>
        <w:ind w:left="3427"/>
        <w:spacing w:before="65" w:line="223" w:lineRule="auto"/>
        <w:rPr>
          <w:rFonts w:ascii="SimHei" w:hAnsi="SimHei" w:eastAsia="SimHei" w:cs="SimHei"/>
          <w:sz w:val="18"/>
          <w:szCs w:val="18"/>
        </w:rPr>
      </w:pPr>
      <w:r>
        <mc:AlternateContent xmlns:mc="http://schemas.openxmlformats.org/markup-compatibility/2006">
          <mc:Choice Requires="wps">
            <w:drawing>
              <wp:anchor distT="0" distB="0" distL="0" distR="0" simplePos="0" relativeHeight="255645696" behindDoc="0" locked="0" layoutInCell="0" allowOverlap="1">
                <wp:simplePos x="0" y="0"/>
                <wp:positionH relativeFrom="page">
                  <wp:posOffset>6062575</wp:posOffset>
                </wp:positionH>
                <wp:positionV relativeFrom="page">
                  <wp:posOffset>2672190</wp:posOffset>
                </wp:positionV>
                <wp:extent cx="2680970" cy="143510"/>
                <wp:effectExtent l="0" t="0" r="0" b="0"/>
                <wp:wrapNone/>
                <wp:docPr id="324" name="TextBox 324"/>
                <wp:cNvGraphicFramePr/>
                <a:graphic>
                  <a:graphicData uri="http://schemas.microsoft.com/office/word/2010/wordprocessingShape">
                    <wps:wsp>
                      <wps:cNvSpPr txBox="1"/>
                      <wps:spPr>
                        <a:xfrm rot="5400000">
                          <a:off x="6062575" y="2672190"/>
                          <a:ext cx="2680970" cy="1435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5" w:line="224" w:lineRule="auto"/>
                              <w:rPr>
                                <w:rFonts w:ascii="SimSun" w:hAnsi="SimSun" w:eastAsia="SimSun" w:cs="SimSun"/>
                                <w:sz w:val="14"/>
                                <w:szCs w:val="14"/>
                              </w:rPr>
                            </w:pPr>
                            <w:r>
                              <w:rPr>
                                <w:rFonts w:ascii="YouYuan" w:hAnsi="YouYuan" w:eastAsia="YouYuan" w:cs="YouYuan"/>
                                <w:sz w:val="14"/>
                                <w:szCs w:val="14"/>
                                <w:spacing w:val="-1"/>
                              </w:rPr>
                              <w:t>第</w:t>
                            </w:r>
                            <w:r>
                              <w:rPr>
                                <w:rFonts w:ascii="YouYuan" w:hAnsi="YouYuan" w:eastAsia="YouYuan" w:cs="YouYuan"/>
                                <w:sz w:val="14"/>
                                <w:szCs w:val="14"/>
                                <w:spacing w:val="-35"/>
                              </w:rPr>
                              <w:t xml:space="preserve"> </w:t>
                            </w:r>
                            <w:r>
                              <w:rPr>
                                <w:rFonts w:ascii="YouYuan" w:hAnsi="YouYuan" w:eastAsia="YouYuan" w:cs="YouYuan"/>
                                <w:sz w:val="14"/>
                                <w:szCs w:val="14"/>
                                <w:spacing w:val="-1"/>
                              </w:rPr>
                              <w:t>十</w:t>
                            </w:r>
                            <w:r>
                              <w:rPr>
                                <w:rFonts w:ascii="YouYuan" w:hAnsi="YouYuan" w:eastAsia="YouYuan" w:cs="YouYuan"/>
                                <w:sz w:val="14"/>
                                <w:szCs w:val="14"/>
                                <w:spacing w:val="-37"/>
                              </w:rPr>
                              <w:t xml:space="preserve"> </w:t>
                            </w:r>
                            <w:r>
                              <w:rPr>
                                <w:rFonts w:ascii="YouYuan" w:hAnsi="YouYuan" w:eastAsia="YouYuan" w:cs="YouYuan"/>
                                <w:sz w:val="14"/>
                                <w:szCs w:val="14"/>
                                <w:spacing w:val="-1"/>
                              </w:rPr>
                              <w:t>一章</w:t>
                            </w:r>
                            <w:r>
                              <w:rPr>
                                <w:rFonts w:ascii="YouYuan" w:hAnsi="YouYuan" w:eastAsia="YouYuan" w:cs="YouYuan"/>
                                <w:sz w:val="14"/>
                                <w:szCs w:val="14"/>
                                <w:spacing w:val="-40"/>
                              </w:rPr>
                              <w:t xml:space="preserve"> </w:t>
                            </w:r>
                            <w:r>
                              <w:rPr>
                                <w:rFonts w:ascii="YouYuan" w:hAnsi="YouYuan" w:eastAsia="YouYuan" w:cs="YouYuan"/>
                                <w:sz w:val="14"/>
                                <w:szCs w:val="14"/>
                                <w:spacing w:val="-1"/>
                              </w:rPr>
                              <w:t>平</w:t>
                            </w:r>
                            <w:r>
                              <w:rPr>
                                <w:rFonts w:ascii="YouYuan" w:hAnsi="YouYuan" w:eastAsia="YouYuan" w:cs="YouYuan"/>
                                <w:sz w:val="14"/>
                                <w:szCs w:val="14"/>
                                <w:spacing w:val="-36"/>
                              </w:rPr>
                              <w:t xml:space="preserve"> </w:t>
                            </w:r>
                            <w:r>
                              <w:rPr>
                                <w:rFonts w:ascii="YouYuan" w:hAnsi="YouYuan" w:eastAsia="YouYuan" w:cs="YouYuan"/>
                                <w:sz w:val="14"/>
                                <w:szCs w:val="14"/>
                                <w:spacing w:val="-1"/>
                              </w:rPr>
                              <w:t>台</w:t>
                            </w:r>
                            <w:r>
                              <w:rPr>
                                <w:rFonts w:ascii="YouYuan" w:hAnsi="YouYuan" w:eastAsia="YouYuan" w:cs="YouYuan"/>
                                <w:sz w:val="14"/>
                                <w:szCs w:val="14"/>
                                <w:spacing w:val="-32"/>
                              </w:rPr>
                              <w:t xml:space="preserve"> </w:t>
                            </w:r>
                            <w:r>
                              <w:rPr>
                                <w:rFonts w:ascii="YouYuan" w:hAnsi="YouYuan" w:eastAsia="YouYuan" w:cs="YouYuan"/>
                                <w:sz w:val="14"/>
                                <w:szCs w:val="14"/>
                                <w:spacing w:val="-1"/>
                              </w:rPr>
                              <w:t>的挑</w:t>
                            </w:r>
                            <w:r>
                              <w:rPr>
                                <w:rFonts w:ascii="YouYuan" w:hAnsi="YouYuan" w:eastAsia="YouYuan" w:cs="YouYuan"/>
                                <w:sz w:val="14"/>
                                <w:szCs w:val="14"/>
                                <w:spacing w:val="-34"/>
                              </w:rPr>
                              <w:t xml:space="preserve"> </w:t>
                            </w:r>
                            <w:r>
                              <w:rPr>
                                <w:rFonts w:ascii="YouYuan" w:hAnsi="YouYuan" w:eastAsia="YouYuan" w:cs="YouYuan"/>
                                <w:sz w:val="14"/>
                                <w:szCs w:val="14"/>
                                <w:spacing w:val="-1"/>
                              </w:rPr>
                              <w:t>战</w:t>
                            </w:r>
                            <w:r>
                              <w:rPr>
                                <w:rFonts w:ascii="YouYuan" w:hAnsi="YouYuan" w:eastAsia="YouYuan" w:cs="YouYuan"/>
                                <w:sz w:val="14"/>
                                <w:szCs w:val="14"/>
                                <w:spacing w:val="-38"/>
                              </w:rPr>
                              <w:t xml:space="preserve"> </w:t>
                            </w:r>
                            <w:r>
                              <w:rPr>
                                <w:rFonts w:ascii="YouYuan" w:hAnsi="YouYuan" w:eastAsia="YouYuan" w:cs="YouYuan"/>
                                <w:sz w:val="14"/>
                                <w:szCs w:val="14"/>
                                <w:spacing w:val="-1"/>
                              </w:rPr>
                              <w:t>与</w:t>
                            </w:r>
                            <w:r>
                              <w:rPr>
                                <w:rFonts w:ascii="YouYuan" w:hAnsi="YouYuan" w:eastAsia="YouYuan" w:cs="YouYuan"/>
                                <w:sz w:val="14"/>
                                <w:szCs w:val="14"/>
                                <w:spacing w:val="-41"/>
                              </w:rPr>
                              <w:t xml:space="preserve"> </w:t>
                            </w:r>
                            <w:r>
                              <w:rPr>
                                <w:rFonts w:ascii="YouYuan" w:hAnsi="YouYuan" w:eastAsia="YouYuan" w:cs="YouYuan"/>
                                <w:sz w:val="14"/>
                                <w:szCs w:val="14"/>
                                <w:spacing w:val="-1"/>
                              </w:rPr>
                              <w:t>失</w:t>
                            </w:r>
                            <w:r>
                              <w:rPr>
                                <w:rFonts w:ascii="YouYuan" w:hAnsi="YouYuan" w:eastAsia="YouYuan" w:cs="YouYuan"/>
                                <w:sz w:val="14"/>
                                <w:szCs w:val="14"/>
                                <w:spacing w:val="-41"/>
                              </w:rPr>
                              <w:t xml:space="preserve"> </w:t>
                            </w:r>
                            <w:r>
                              <w:rPr>
                                <w:rFonts w:ascii="YouYuan" w:hAnsi="YouYuan" w:eastAsia="YouYuan" w:cs="YouYuan"/>
                                <w:sz w:val="14"/>
                                <w:szCs w:val="14"/>
                                <w:spacing w:val="-1"/>
                              </w:rPr>
                              <w:t>焦</w:t>
                            </w:r>
                            <w:r>
                              <w:rPr>
                                <w:rFonts w:ascii="YouYuan" w:hAnsi="YouYuan" w:eastAsia="YouYuan" w:cs="YouYuan"/>
                                <w:sz w:val="14"/>
                                <w:szCs w:val="14"/>
                                <w:spacing w:val="-33"/>
                              </w:rPr>
                              <w:t xml:space="preserve"> </w:t>
                            </w:r>
                            <w:r>
                              <w:rPr>
                                <w:rFonts w:ascii="YouYuan" w:hAnsi="YouYuan" w:eastAsia="YouYuan" w:cs="YouYuan"/>
                                <w:sz w:val="14"/>
                                <w:szCs w:val="14"/>
                                <w:spacing w:val="-1"/>
                              </w:rPr>
                              <w:t>的监</w:t>
                            </w:r>
                            <w:r>
                              <w:rPr>
                                <w:rFonts w:ascii="YouYuan" w:hAnsi="YouYuan" w:eastAsia="YouYuan" w:cs="YouYuan"/>
                                <w:sz w:val="14"/>
                                <w:szCs w:val="14"/>
                                <w:spacing w:val="-37"/>
                              </w:rPr>
                              <w:t xml:space="preserve"> </w:t>
                            </w:r>
                            <w:r>
                              <w:rPr>
                                <w:rFonts w:ascii="YouYuan" w:hAnsi="YouYuan" w:eastAsia="YouYuan" w:cs="YouYuan"/>
                                <w:sz w:val="14"/>
                                <w:szCs w:val="14"/>
                                <w:spacing w:val="-1"/>
                              </w:rPr>
                              <w:t>管</w:t>
                            </w:r>
                            <w:r>
                              <w:rPr>
                                <w:rFonts w:ascii="YouYuan" w:hAnsi="YouYuan" w:eastAsia="YouYuan" w:cs="YouYuan"/>
                                <w:sz w:val="14"/>
                                <w:szCs w:val="14"/>
                                <w:spacing w:val="2"/>
                              </w:rPr>
                              <w:t xml:space="preserve">                     </w:t>
                            </w:r>
                            <w:r>
                              <w:rPr>
                                <w:rFonts w:ascii="SimSun" w:hAnsi="SimSun" w:eastAsia="SimSun" w:cs="SimSun"/>
                                <w:sz w:val="14"/>
                                <w:szCs w:val="14"/>
                                <w:spacing w:val="-1"/>
                              </w:rPr>
                              <w:t>379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8" style="position:absolute;margin-left:477.368pt;margin-top:210.409pt;mso-position-vertical-relative:page;mso-position-horizontal-relative:page;width:211.1pt;height:11.3pt;z-index:255645696;rotation:90;" o:allowincell="f" filled="false" stroked="false" type="#_x0000_t202">
                <v:fill on="false"/>
                <v:stroke on="false"/>
                <v:path/>
                <v:imagedata o:title=""/>
                <o:lock v:ext="edit" aspectratio="false"/>
                <v:textbox inset="0mm,0mm,0mm,0mm">
                  <w:txbxContent>
                    <w:p>
                      <w:pPr>
                        <w:ind w:left="20"/>
                        <w:spacing w:before="35" w:line="224" w:lineRule="auto"/>
                        <w:rPr>
                          <w:rFonts w:ascii="SimSun" w:hAnsi="SimSun" w:eastAsia="SimSun" w:cs="SimSun"/>
                          <w:sz w:val="14"/>
                          <w:szCs w:val="14"/>
                        </w:rPr>
                      </w:pPr>
                      <w:r>
                        <w:rPr>
                          <w:rFonts w:ascii="YouYuan" w:hAnsi="YouYuan" w:eastAsia="YouYuan" w:cs="YouYuan"/>
                          <w:sz w:val="14"/>
                          <w:szCs w:val="14"/>
                          <w:spacing w:val="-1"/>
                        </w:rPr>
                        <w:t>第</w:t>
                      </w:r>
                      <w:r>
                        <w:rPr>
                          <w:rFonts w:ascii="YouYuan" w:hAnsi="YouYuan" w:eastAsia="YouYuan" w:cs="YouYuan"/>
                          <w:sz w:val="14"/>
                          <w:szCs w:val="14"/>
                          <w:spacing w:val="-35"/>
                        </w:rPr>
                        <w:t xml:space="preserve"> </w:t>
                      </w:r>
                      <w:r>
                        <w:rPr>
                          <w:rFonts w:ascii="YouYuan" w:hAnsi="YouYuan" w:eastAsia="YouYuan" w:cs="YouYuan"/>
                          <w:sz w:val="14"/>
                          <w:szCs w:val="14"/>
                          <w:spacing w:val="-1"/>
                        </w:rPr>
                        <w:t>十</w:t>
                      </w:r>
                      <w:r>
                        <w:rPr>
                          <w:rFonts w:ascii="YouYuan" w:hAnsi="YouYuan" w:eastAsia="YouYuan" w:cs="YouYuan"/>
                          <w:sz w:val="14"/>
                          <w:szCs w:val="14"/>
                          <w:spacing w:val="-37"/>
                        </w:rPr>
                        <w:t xml:space="preserve"> </w:t>
                      </w:r>
                      <w:r>
                        <w:rPr>
                          <w:rFonts w:ascii="YouYuan" w:hAnsi="YouYuan" w:eastAsia="YouYuan" w:cs="YouYuan"/>
                          <w:sz w:val="14"/>
                          <w:szCs w:val="14"/>
                          <w:spacing w:val="-1"/>
                        </w:rPr>
                        <w:t>一章</w:t>
                      </w:r>
                      <w:r>
                        <w:rPr>
                          <w:rFonts w:ascii="YouYuan" w:hAnsi="YouYuan" w:eastAsia="YouYuan" w:cs="YouYuan"/>
                          <w:sz w:val="14"/>
                          <w:szCs w:val="14"/>
                          <w:spacing w:val="-40"/>
                        </w:rPr>
                        <w:t xml:space="preserve"> </w:t>
                      </w:r>
                      <w:r>
                        <w:rPr>
                          <w:rFonts w:ascii="YouYuan" w:hAnsi="YouYuan" w:eastAsia="YouYuan" w:cs="YouYuan"/>
                          <w:sz w:val="14"/>
                          <w:szCs w:val="14"/>
                          <w:spacing w:val="-1"/>
                        </w:rPr>
                        <w:t>平</w:t>
                      </w:r>
                      <w:r>
                        <w:rPr>
                          <w:rFonts w:ascii="YouYuan" w:hAnsi="YouYuan" w:eastAsia="YouYuan" w:cs="YouYuan"/>
                          <w:sz w:val="14"/>
                          <w:szCs w:val="14"/>
                          <w:spacing w:val="-36"/>
                        </w:rPr>
                        <w:t xml:space="preserve"> </w:t>
                      </w:r>
                      <w:r>
                        <w:rPr>
                          <w:rFonts w:ascii="YouYuan" w:hAnsi="YouYuan" w:eastAsia="YouYuan" w:cs="YouYuan"/>
                          <w:sz w:val="14"/>
                          <w:szCs w:val="14"/>
                          <w:spacing w:val="-1"/>
                        </w:rPr>
                        <w:t>台</w:t>
                      </w:r>
                      <w:r>
                        <w:rPr>
                          <w:rFonts w:ascii="YouYuan" w:hAnsi="YouYuan" w:eastAsia="YouYuan" w:cs="YouYuan"/>
                          <w:sz w:val="14"/>
                          <w:szCs w:val="14"/>
                          <w:spacing w:val="-32"/>
                        </w:rPr>
                        <w:t xml:space="preserve"> </w:t>
                      </w:r>
                      <w:r>
                        <w:rPr>
                          <w:rFonts w:ascii="YouYuan" w:hAnsi="YouYuan" w:eastAsia="YouYuan" w:cs="YouYuan"/>
                          <w:sz w:val="14"/>
                          <w:szCs w:val="14"/>
                          <w:spacing w:val="-1"/>
                        </w:rPr>
                        <w:t>的挑</w:t>
                      </w:r>
                      <w:r>
                        <w:rPr>
                          <w:rFonts w:ascii="YouYuan" w:hAnsi="YouYuan" w:eastAsia="YouYuan" w:cs="YouYuan"/>
                          <w:sz w:val="14"/>
                          <w:szCs w:val="14"/>
                          <w:spacing w:val="-34"/>
                        </w:rPr>
                        <w:t xml:space="preserve"> </w:t>
                      </w:r>
                      <w:r>
                        <w:rPr>
                          <w:rFonts w:ascii="YouYuan" w:hAnsi="YouYuan" w:eastAsia="YouYuan" w:cs="YouYuan"/>
                          <w:sz w:val="14"/>
                          <w:szCs w:val="14"/>
                          <w:spacing w:val="-1"/>
                        </w:rPr>
                        <w:t>战</w:t>
                      </w:r>
                      <w:r>
                        <w:rPr>
                          <w:rFonts w:ascii="YouYuan" w:hAnsi="YouYuan" w:eastAsia="YouYuan" w:cs="YouYuan"/>
                          <w:sz w:val="14"/>
                          <w:szCs w:val="14"/>
                          <w:spacing w:val="-38"/>
                        </w:rPr>
                        <w:t xml:space="preserve"> </w:t>
                      </w:r>
                      <w:r>
                        <w:rPr>
                          <w:rFonts w:ascii="YouYuan" w:hAnsi="YouYuan" w:eastAsia="YouYuan" w:cs="YouYuan"/>
                          <w:sz w:val="14"/>
                          <w:szCs w:val="14"/>
                          <w:spacing w:val="-1"/>
                        </w:rPr>
                        <w:t>与</w:t>
                      </w:r>
                      <w:r>
                        <w:rPr>
                          <w:rFonts w:ascii="YouYuan" w:hAnsi="YouYuan" w:eastAsia="YouYuan" w:cs="YouYuan"/>
                          <w:sz w:val="14"/>
                          <w:szCs w:val="14"/>
                          <w:spacing w:val="-41"/>
                        </w:rPr>
                        <w:t xml:space="preserve"> </w:t>
                      </w:r>
                      <w:r>
                        <w:rPr>
                          <w:rFonts w:ascii="YouYuan" w:hAnsi="YouYuan" w:eastAsia="YouYuan" w:cs="YouYuan"/>
                          <w:sz w:val="14"/>
                          <w:szCs w:val="14"/>
                          <w:spacing w:val="-1"/>
                        </w:rPr>
                        <w:t>失</w:t>
                      </w:r>
                      <w:r>
                        <w:rPr>
                          <w:rFonts w:ascii="YouYuan" w:hAnsi="YouYuan" w:eastAsia="YouYuan" w:cs="YouYuan"/>
                          <w:sz w:val="14"/>
                          <w:szCs w:val="14"/>
                          <w:spacing w:val="-41"/>
                        </w:rPr>
                        <w:t xml:space="preserve"> </w:t>
                      </w:r>
                      <w:r>
                        <w:rPr>
                          <w:rFonts w:ascii="YouYuan" w:hAnsi="YouYuan" w:eastAsia="YouYuan" w:cs="YouYuan"/>
                          <w:sz w:val="14"/>
                          <w:szCs w:val="14"/>
                          <w:spacing w:val="-1"/>
                        </w:rPr>
                        <w:t>焦</w:t>
                      </w:r>
                      <w:r>
                        <w:rPr>
                          <w:rFonts w:ascii="YouYuan" w:hAnsi="YouYuan" w:eastAsia="YouYuan" w:cs="YouYuan"/>
                          <w:sz w:val="14"/>
                          <w:szCs w:val="14"/>
                          <w:spacing w:val="-33"/>
                        </w:rPr>
                        <w:t xml:space="preserve"> </w:t>
                      </w:r>
                      <w:r>
                        <w:rPr>
                          <w:rFonts w:ascii="YouYuan" w:hAnsi="YouYuan" w:eastAsia="YouYuan" w:cs="YouYuan"/>
                          <w:sz w:val="14"/>
                          <w:szCs w:val="14"/>
                          <w:spacing w:val="-1"/>
                        </w:rPr>
                        <w:t>的监</w:t>
                      </w:r>
                      <w:r>
                        <w:rPr>
                          <w:rFonts w:ascii="YouYuan" w:hAnsi="YouYuan" w:eastAsia="YouYuan" w:cs="YouYuan"/>
                          <w:sz w:val="14"/>
                          <w:szCs w:val="14"/>
                          <w:spacing w:val="-37"/>
                        </w:rPr>
                        <w:t xml:space="preserve"> </w:t>
                      </w:r>
                      <w:r>
                        <w:rPr>
                          <w:rFonts w:ascii="YouYuan" w:hAnsi="YouYuan" w:eastAsia="YouYuan" w:cs="YouYuan"/>
                          <w:sz w:val="14"/>
                          <w:szCs w:val="14"/>
                          <w:spacing w:val="-1"/>
                        </w:rPr>
                        <w:t>管</w:t>
                      </w:r>
                      <w:r>
                        <w:rPr>
                          <w:rFonts w:ascii="YouYuan" w:hAnsi="YouYuan" w:eastAsia="YouYuan" w:cs="YouYuan"/>
                          <w:sz w:val="14"/>
                          <w:szCs w:val="14"/>
                          <w:spacing w:val="2"/>
                        </w:rPr>
                        <w:t xml:space="preserve">                     </w:t>
                      </w:r>
                      <w:r>
                        <w:rPr>
                          <w:rFonts w:ascii="SimSun" w:hAnsi="SimSun" w:eastAsia="SimSun" w:cs="SimSun"/>
                          <w:sz w:val="14"/>
                          <w:szCs w:val="14"/>
                          <w:spacing w:val="-1"/>
                        </w:rPr>
                        <w:t>379</w:t>
                      </w:r>
                    </w:p>
                  </w:txbxContent>
                </v:textbox>
              </v:shape>
            </w:pict>
          </mc:Fallback>
        </mc:AlternateContent>
      </w:r>
      <w:r>
        <w:rPr>
          <w:rFonts w:ascii="SimHei" w:hAnsi="SimHei" w:eastAsia="SimHei" w:cs="SimHei"/>
          <w:sz w:val="18"/>
          <w:szCs w:val="18"/>
          <w:b/>
          <w:bCs/>
          <w:spacing w:val="1"/>
        </w:rPr>
        <w:t>表11-2</w:t>
      </w:r>
      <w:r>
        <w:rPr>
          <w:rFonts w:ascii="SimHei" w:hAnsi="SimHei" w:eastAsia="SimHei" w:cs="SimHei"/>
          <w:sz w:val="18"/>
          <w:szCs w:val="18"/>
          <w:spacing w:val="78"/>
        </w:rPr>
        <w:t xml:space="preserve"> </w:t>
      </w:r>
      <w:r>
        <w:rPr>
          <w:rFonts w:ascii="SimHei" w:hAnsi="SimHei" w:eastAsia="SimHei" w:cs="SimHei"/>
          <w:sz w:val="18"/>
          <w:szCs w:val="18"/>
          <w:b/>
          <w:bCs/>
          <w:spacing w:val="1"/>
        </w:rPr>
        <w:t>各平台的市场准入监管</w:t>
      </w:r>
    </w:p>
    <w:p>
      <w:pPr>
        <w:spacing w:line="152" w:lineRule="exact"/>
        <w:rPr/>
      </w:pPr>
      <w:r/>
    </w:p>
    <w:tbl>
      <w:tblPr>
        <w:tblStyle w:val="TableNormal"/>
        <w:tblW w:w="95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869"/>
        <w:gridCol w:w="6773"/>
        <w:gridCol w:w="1173"/>
      </w:tblGrid>
      <w:tr>
        <w:trPr>
          <w:trHeight w:val="544" w:hRule="atLeast"/>
        </w:trPr>
        <w:tc>
          <w:tcPr>
            <w:tcW w:w="704" w:type="dxa"/>
            <w:vAlign w:val="top"/>
          </w:tcPr>
          <w:p>
            <w:pPr>
              <w:pStyle w:val="TableText"/>
              <w:ind w:left="187"/>
              <w:spacing w:before="81" w:line="218" w:lineRule="exact"/>
              <w:rPr>
                <w:sz w:val="16"/>
                <w:szCs w:val="16"/>
              </w:rPr>
            </w:pPr>
            <w:r>
              <w:rPr>
                <w:sz w:val="16"/>
                <w:szCs w:val="16"/>
                <w:b/>
                <w:bCs/>
                <w:spacing w:val="-4"/>
                <w:position w:val="4"/>
              </w:rPr>
              <w:t>平台</w:t>
            </w:r>
          </w:p>
          <w:p>
            <w:pPr>
              <w:pStyle w:val="TableText"/>
              <w:ind w:left="187"/>
              <w:spacing w:line="219" w:lineRule="auto"/>
              <w:rPr>
                <w:sz w:val="16"/>
                <w:szCs w:val="16"/>
              </w:rPr>
            </w:pPr>
            <w:r>
              <w:rPr>
                <w:sz w:val="16"/>
                <w:szCs w:val="16"/>
                <w:b/>
                <w:bCs/>
                <w:spacing w:val="-4"/>
              </w:rPr>
              <w:t>类型</w:t>
            </w:r>
          </w:p>
        </w:tc>
        <w:tc>
          <w:tcPr>
            <w:tcW w:w="869" w:type="dxa"/>
            <w:vAlign w:val="top"/>
          </w:tcPr>
          <w:p>
            <w:pPr>
              <w:pStyle w:val="TableText"/>
              <w:ind w:left="263"/>
              <w:spacing w:before="79" w:line="220" w:lineRule="exact"/>
              <w:rPr>
                <w:sz w:val="16"/>
                <w:szCs w:val="16"/>
              </w:rPr>
            </w:pPr>
            <w:r>
              <w:rPr>
                <w:sz w:val="16"/>
                <w:szCs w:val="16"/>
                <w:b/>
                <w:bCs/>
                <w:spacing w:val="-6"/>
                <w:position w:val="4"/>
              </w:rPr>
              <w:t>审批</w:t>
            </w:r>
          </w:p>
          <w:p>
            <w:pPr>
              <w:pStyle w:val="TableText"/>
              <w:ind w:left="263"/>
              <w:spacing w:line="219" w:lineRule="auto"/>
              <w:rPr>
                <w:sz w:val="16"/>
                <w:szCs w:val="16"/>
              </w:rPr>
            </w:pPr>
            <w:r>
              <w:rPr>
                <w:sz w:val="16"/>
                <w:szCs w:val="16"/>
                <w:b/>
                <w:bCs/>
                <w:spacing w:val="5"/>
              </w:rPr>
              <w:t>部门</w:t>
            </w:r>
          </w:p>
        </w:tc>
        <w:tc>
          <w:tcPr>
            <w:tcW w:w="6773" w:type="dxa"/>
            <w:vAlign w:val="top"/>
          </w:tcPr>
          <w:p>
            <w:pPr>
              <w:pStyle w:val="TableText"/>
              <w:ind w:left="3084"/>
              <w:spacing w:before="189" w:line="219" w:lineRule="auto"/>
              <w:rPr>
                <w:sz w:val="16"/>
                <w:szCs w:val="16"/>
              </w:rPr>
            </w:pPr>
            <w:r>
              <w:rPr>
                <w:sz w:val="16"/>
                <w:szCs w:val="16"/>
                <w:b/>
                <w:bCs/>
                <w:spacing w:val="-4"/>
              </w:rPr>
              <w:t>准入条件</w:t>
            </w:r>
          </w:p>
        </w:tc>
        <w:tc>
          <w:tcPr>
            <w:tcW w:w="1173" w:type="dxa"/>
            <w:vAlign w:val="top"/>
          </w:tcPr>
          <w:p>
            <w:pPr>
              <w:pStyle w:val="TableText"/>
              <w:ind w:left="421"/>
              <w:spacing w:before="190" w:line="221" w:lineRule="auto"/>
              <w:rPr>
                <w:sz w:val="16"/>
                <w:szCs w:val="16"/>
              </w:rPr>
            </w:pPr>
            <w:r>
              <w:rPr>
                <w:sz w:val="16"/>
                <w:szCs w:val="16"/>
                <w:b/>
                <w:bCs/>
                <w:spacing w:val="-4"/>
              </w:rPr>
              <w:t>备注</w:t>
            </w:r>
          </w:p>
        </w:tc>
      </w:tr>
      <w:tr>
        <w:trPr>
          <w:trHeight w:val="5135" w:hRule="atLeast"/>
        </w:trPr>
        <w:tc>
          <w:tcPr>
            <w:tcW w:w="704" w:type="dxa"/>
            <w:vAlign w:val="top"/>
          </w:tcPr>
          <w:p>
            <w:pPr>
              <w:pStyle w:val="TableText"/>
              <w:ind w:left="67" w:right="104" w:firstLine="39"/>
              <w:spacing w:before="85" w:line="250" w:lineRule="auto"/>
              <w:rPr>
                <w:sz w:val="16"/>
                <w:szCs w:val="16"/>
              </w:rPr>
            </w:pPr>
            <w:r>
              <w:rPr>
                <w:sz w:val="16"/>
                <w:szCs w:val="16"/>
                <w:b/>
                <w:bCs/>
                <w:spacing w:val="-1"/>
              </w:rPr>
              <w:t>网约车</w:t>
            </w:r>
            <w:r>
              <w:rPr>
                <w:sz w:val="16"/>
                <w:szCs w:val="16"/>
              </w:rPr>
              <w:t xml:space="preserve"> </w:t>
            </w:r>
            <w:r>
              <w:rPr>
                <w:sz w:val="16"/>
                <w:szCs w:val="16"/>
                <w:b/>
                <w:bCs/>
                <w:spacing w:val="-4"/>
              </w:rPr>
              <w:t>平台</w:t>
            </w:r>
          </w:p>
        </w:tc>
        <w:tc>
          <w:tcPr>
            <w:tcW w:w="869" w:type="dxa"/>
            <w:vAlign w:val="top"/>
          </w:tcPr>
          <w:p>
            <w:pPr>
              <w:pStyle w:val="TableText"/>
              <w:ind w:left="93" w:right="122" w:firstLine="9"/>
              <w:spacing w:before="76" w:line="265" w:lineRule="auto"/>
              <w:jc w:val="both"/>
              <w:rPr>
                <w:sz w:val="16"/>
                <w:szCs w:val="16"/>
              </w:rPr>
            </w:pPr>
            <w:r>
              <w:rPr>
                <w:sz w:val="16"/>
                <w:szCs w:val="16"/>
                <w:b/>
                <w:bCs/>
                <w:spacing w:val="-4"/>
              </w:rPr>
              <w:t>企业注册</w:t>
            </w:r>
            <w:r>
              <w:rPr>
                <w:sz w:val="16"/>
                <w:szCs w:val="16"/>
              </w:rPr>
              <w:t xml:space="preserve"> </w:t>
            </w:r>
            <w:r>
              <w:rPr>
                <w:sz w:val="16"/>
                <w:szCs w:val="16"/>
                <w:b/>
                <w:bCs/>
                <w:spacing w:val="-1"/>
              </w:rPr>
              <w:t>地出租汽</w:t>
            </w:r>
            <w:r>
              <w:rPr>
                <w:sz w:val="16"/>
                <w:szCs w:val="16"/>
              </w:rPr>
              <w:t xml:space="preserve"> </w:t>
            </w:r>
            <w:r>
              <w:rPr>
                <w:sz w:val="16"/>
                <w:szCs w:val="16"/>
                <w:b/>
                <w:bCs/>
                <w:spacing w:val="-2"/>
              </w:rPr>
              <w:t>车行政主</w:t>
            </w:r>
            <w:r>
              <w:rPr>
                <w:sz w:val="16"/>
                <w:szCs w:val="16"/>
                <w:spacing w:val="2"/>
              </w:rPr>
              <w:t xml:space="preserve"> </w:t>
            </w:r>
            <w:r>
              <w:rPr>
                <w:sz w:val="16"/>
                <w:szCs w:val="16"/>
                <w:b/>
                <w:bCs/>
                <w:spacing w:val="2"/>
              </w:rPr>
              <w:t>管部门</w:t>
            </w:r>
          </w:p>
        </w:tc>
        <w:tc>
          <w:tcPr>
            <w:tcW w:w="6773" w:type="dxa"/>
            <w:vAlign w:val="top"/>
          </w:tcPr>
          <w:p>
            <w:pPr>
              <w:pStyle w:val="TableText"/>
              <w:ind w:left="4"/>
              <w:spacing w:before="75" w:line="219" w:lineRule="auto"/>
              <w:rPr>
                <w:sz w:val="16"/>
                <w:szCs w:val="16"/>
              </w:rPr>
            </w:pPr>
            <w:r>
              <w:rPr>
                <w:sz w:val="16"/>
                <w:szCs w:val="16"/>
                <w:b/>
                <w:bCs/>
                <w:spacing w:val="-3"/>
              </w:rPr>
              <w:t>《网络预约出租汽车经营服务管理暂行办法》</w:t>
            </w:r>
          </w:p>
          <w:p>
            <w:pPr>
              <w:pStyle w:val="TableText"/>
              <w:ind w:left="84" w:right="221" w:firstLine="40"/>
              <w:spacing w:before="50" w:line="253" w:lineRule="auto"/>
              <w:rPr>
                <w:sz w:val="16"/>
                <w:szCs w:val="16"/>
              </w:rPr>
            </w:pPr>
            <w:r>
              <w:rPr>
                <w:sz w:val="16"/>
                <w:szCs w:val="16"/>
                <w:b/>
                <w:bCs/>
                <w:spacing w:val="-1"/>
              </w:rPr>
              <w:t>第六条</w:t>
            </w:r>
            <w:r>
              <w:rPr>
                <w:sz w:val="16"/>
                <w:szCs w:val="16"/>
                <w:spacing w:val="-1"/>
              </w:rPr>
              <w:t xml:space="preserve">  </w:t>
            </w:r>
            <w:r>
              <w:rPr>
                <w:sz w:val="16"/>
                <w:szCs w:val="16"/>
                <w:b/>
                <w:bCs/>
                <w:spacing w:val="-1"/>
              </w:rPr>
              <w:t>申请从事网约车经营的，应当根据经营区域向相应的出租汽车</w:t>
            </w:r>
            <w:r>
              <w:rPr>
                <w:sz w:val="16"/>
                <w:szCs w:val="16"/>
                <w:b/>
                <w:bCs/>
                <w:spacing w:val="-2"/>
              </w:rPr>
              <w:t>行政主管部门提出申</w:t>
            </w:r>
            <w:r>
              <w:rPr>
                <w:sz w:val="16"/>
                <w:szCs w:val="16"/>
              </w:rPr>
              <w:t xml:space="preserve"> </w:t>
            </w:r>
            <w:r>
              <w:rPr>
                <w:sz w:val="16"/>
                <w:szCs w:val="16"/>
                <w:b/>
                <w:bCs/>
                <w:spacing w:val="-3"/>
              </w:rPr>
              <w:t>请，并提交以下材料</w:t>
            </w:r>
          </w:p>
          <w:p>
            <w:pPr>
              <w:pStyle w:val="TableText"/>
              <w:ind w:left="84"/>
              <w:spacing w:before="50" w:line="219" w:lineRule="auto"/>
              <w:rPr>
                <w:sz w:val="16"/>
                <w:szCs w:val="16"/>
              </w:rPr>
            </w:pPr>
            <w:r>
              <w:rPr>
                <w:sz w:val="16"/>
                <w:szCs w:val="16"/>
                <w:b/>
                <w:bCs/>
                <w:spacing w:val="-1"/>
              </w:rPr>
              <w:t>(一)网络预约出租汽车经营申请表(见附件);</w:t>
            </w:r>
          </w:p>
          <w:p>
            <w:pPr>
              <w:pStyle w:val="TableText"/>
              <w:ind w:left="84" w:right="203"/>
              <w:spacing w:before="31" w:line="265" w:lineRule="auto"/>
              <w:jc w:val="both"/>
              <w:rPr>
                <w:sz w:val="16"/>
                <w:szCs w:val="16"/>
              </w:rPr>
            </w:pPr>
            <w:r>
              <w:rPr>
                <w:sz w:val="16"/>
                <w:szCs w:val="16"/>
                <w:b/>
                <w:bCs/>
              </w:rPr>
              <w:t>(二)投资人、负责人身份、资信证明及其复印件，经办人的身份证明及其复印件</w:t>
            </w:r>
            <w:r>
              <w:rPr>
                <w:sz w:val="16"/>
                <w:szCs w:val="16"/>
                <w:b/>
                <w:bCs/>
                <w:spacing w:val="-1"/>
              </w:rPr>
              <w:t>和委托书；</w:t>
            </w:r>
            <w:r>
              <w:rPr>
                <w:sz w:val="16"/>
                <w:szCs w:val="16"/>
                <w:spacing w:val="-1"/>
              </w:rPr>
              <w:t xml:space="preserve"> </w:t>
            </w:r>
            <w:r>
              <w:rPr>
                <w:sz w:val="16"/>
                <w:szCs w:val="16"/>
                <w:b/>
                <w:bCs/>
                <w:spacing w:val="-2"/>
              </w:rPr>
              <w:t>(三)企业法人营业执照，属于分支机构的还应当提交营业执照，外商投资企业还应当提供外</w:t>
            </w:r>
            <w:r>
              <w:rPr>
                <w:sz w:val="16"/>
                <w:szCs w:val="16"/>
                <w:spacing w:val="-2"/>
              </w:rPr>
              <w:t xml:space="preserve">  </w:t>
            </w:r>
            <w:r>
              <w:rPr>
                <w:sz w:val="16"/>
                <w:szCs w:val="16"/>
                <w:b/>
                <w:bCs/>
                <w:spacing w:val="5"/>
              </w:rPr>
              <w:t>商投资企业批准证书；</w:t>
            </w:r>
          </w:p>
          <w:p>
            <w:pPr>
              <w:pStyle w:val="TableText"/>
              <w:ind w:left="84"/>
              <w:spacing w:before="41" w:line="219" w:lineRule="auto"/>
              <w:rPr>
                <w:sz w:val="16"/>
                <w:szCs w:val="16"/>
              </w:rPr>
            </w:pPr>
            <w:r>
              <w:rPr>
                <w:sz w:val="16"/>
                <w:szCs w:val="16"/>
                <w:b/>
                <w:bCs/>
                <w:spacing w:val="1"/>
              </w:rPr>
              <w:t>(四)服务所在地办公场所、负责人员和管理人员等信息；</w:t>
            </w:r>
          </w:p>
          <w:p>
            <w:pPr>
              <w:pStyle w:val="TableText"/>
              <w:ind w:left="84"/>
              <w:spacing w:before="59" w:line="219" w:lineRule="auto"/>
              <w:rPr>
                <w:sz w:val="16"/>
                <w:szCs w:val="16"/>
              </w:rPr>
            </w:pPr>
            <w:r>
              <w:rPr>
                <w:sz w:val="16"/>
                <w:szCs w:val="16"/>
                <w:b/>
                <w:bCs/>
                <w:spacing w:val="-2"/>
              </w:rPr>
              <w:t>(五)具备互联网平台和信息数据交互及处理能力的证明材料，具备供交通、通信、公安、税</w:t>
            </w:r>
          </w:p>
          <w:p>
            <w:pPr>
              <w:pStyle w:val="TableText"/>
              <w:ind w:left="84" w:right="114"/>
              <w:spacing w:before="49" w:line="254" w:lineRule="auto"/>
              <w:rPr>
                <w:sz w:val="16"/>
                <w:szCs w:val="16"/>
              </w:rPr>
            </w:pPr>
            <w:r>
              <w:rPr>
                <w:sz w:val="16"/>
                <w:szCs w:val="16"/>
                <w:b/>
                <w:bCs/>
                <w:spacing w:val="-2"/>
              </w:rPr>
              <w:t>务、网信等相关监管部门依法调取查询相关网络数据信息条件的证明材料，数据库接入情况说</w:t>
            </w:r>
            <w:r>
              <w:rPr>
                <w:sz w:val="16"/>
                <w:szCs w:val="16"/>
                <w:spacing w:val="2"/>
              </w:rPr>
              <w:t xml:space="preserve">  </w:t>
            </w:r>
            <w:r>
              <w:rPr>
                <w:sz w:val="16"/>
                <w:szCs w:val="16"/>
                <w:b/>
                <w:bCs/>
                <w:spacing w:val="-2"/>
              </w:rPr>
              <w:t>明，服务器设置在中国内地的情况说明，依法建立并落实网络安全管理制度和安全保护技术措</w:t>
            </w:r>
            <w:r>
              <w:rPr>
                <w:sz w:val="16"/>
                <w:szCs w:val="16"/>
                <w:spacing w:val="-2"/>
              </w:rPr>
              <w:t xml:space="preserve"> </w:t>
            </w:r>
            <w:r>
              <w:rPr>
                <w:sz w:val="16"/>
                <w:szCs w:val="16"/>
                <w:b/>
                <w:bCs/>
                <w:spacing w:val="9"/>
              </w:rPr>
              <w:t>施的证明材料；</w:t>
            </w:r>
          </w:p>
          <w:p>
            <w:pPr>
              <w:pStyle w:val="TableText"/>
              <w:ind w:left="84"/>
              <w:spacing w:before="50" w:line="219" w:lineRule="auto"/>
              <w:rPr>
                <w:sz w:val="16"/>
                <w:szCs w:val="16"/>
              </w:rPr>
            </w:pPr>
            <w:r>
              <w:rPr>
                <w:sz w:val="16"/>
                <w:szCs w:val="16"/>
                <w:b/>
                <w:bCs/>
                <w:spacing w:val="-2"/>
              </w:rPr>
              <w:t>(六)使用电子支付的，应当提供与银行、非银行支付机构签订的支付结算服务协议</w:t>
            </w:r>
          </w:p>
          <w:p>
            <w:pPr>
              <w:pStyle w:val="TableText"/>
              <w:ind w:left="84"/>
              <w:spacing w:before="60" w:line="240" w:lineRule="exact"/>
              <w:rPr>
                <w:sz w:val="16"/>
                <w:szCs w:val="16"/>
              </w:rPr>
            </w:pPr>
            <w:r>
              <w:rPr>
                <w:sz w:val="16"/>
                <w:szCs w:val="16"/>
                <w:b/>
                <w:bCs/>
                <w:spacing w:val="-2"/>
                <w:position w:val="5"/>
              </w:rPr>
              <w:t>(七)经营管理制度、安全生产管理制度和服务质量保障制度文本</w:t>
            </w:r>
          </w:p>
          <w:p>
            <w:pPr>
              <w:pStyle w:val="TableText"/>
              <w:ind w:left="84"/>
              <w:spacing w:before="1" w:line="218" w:lineRule="auto"/>
              <w:rPr>
                <w:sz w:val="16"/>
                <w:szCs w:val="16"/>
              </w:rPr>
            </w:pPr>
            <w:r>
              <w:rPr>
                <w:sz w:val="16"/>
                <w:szCs w:val="16"/>
                <w:b/>
                <w:bCs/>
                <w:spacing w:val="-2"/>
              </w:rPr>
              <w:t>(八)法律法规要求提供的其他材料。</w:t>
            </w:r>
          </w:p>
          <w:p>
            <w:pPr>
              <w:pStyle w:val="TableText"/>
              <w:ind w:left="114"/>
              <w:spacing w:before="51" w:line="219" w:lineRule="auto"/>
              <w:rPr>
                <w:sz w:val="16"/>
                <w:szCs w:val="16"/>
              </w:rPr>
            </w:pPr>
            <w:r>
              <w:rPr>
                <w:sz w:val="16"/>
                <w:szCs w:val="16"/>
                <w:b/>
                <w:bCs/>
                <w:spacing w:val="-2"/>
              </w:rPr>
              <w:t>首次从事网约车经营的，应当向企业注册地相应出租汽车行政主管部门提出申请，前款第</w:t>
            </w:r>
          </w:p>
          <w:p>
            <w:pPr>
              <w:pStyle w:val="TableText"/>
              <w:ind w:left="74"/>
              <w:spacing w:before="39" w:line="219" w:lineRule="auto"/>
              <w:rPr>
                <w:sz w:val="16"/>
                <w:szCs w:val="16"/>
              </w:rPr>
            </w:pPr>
            <w:r>
              <w:rPr>
                <w:sz w:val="16"/>
                <w:szCs w:val="16"/>
                <w:b/>
                <w:bCs/>
                <w:spacing w:val="-1"/>
              </w:rPr>
              <w:t>(五)、第(六)项有关线上服务能力材料由网约</w:t>
            </w:r>
            <w:r>
              <w:rPr>
                <w:sz w:val="16"/>
                <w:szCs w:val="16"/>
                <w:b/>
                <w:bCs/>
                <w:spacing w:val="-2"/>
              </w:rPr>
              <w:t>车平台公司注册地省级交通运输主管部门商同</w:t>
            </w:r>
          </w:p>
          <w:p>
            <w:pPr>
              <w:pStyle w:val="TableText"/>
              <w:ind w:left="84" w:right="106"/>
              <w:spacing w:before="60" w:line="266" w:lineRule="auto"/>
              <w:rPr>
                <w:sz w:val="16"/>
                <w:szCs w:val="16"/>
              </w:rPr>
            </w:pPr>
            <w:r>
              <w:rPr>
                <w:sz w:val="16"/>
                <w:szCs w:val="16"/>
                <w:b/>
                <w:bCs/>
                <w:spacing w:val="-2"/>
              </w:rPr>
              <w:t>级通信、公安、税务、网信、人民银行等部门审核认定，并提供相应认定结果，认定结果全国</w:t>
            </w:r>
            <w:r>
              <w:rPr>
                <w:sz w:val="16"/>
                <w:szCs w:val="16"/>
                <w:spacing w:val="-2"/>
              </w:rPr>
              <w:t xml:space="preserve"> </w:t>
            </w:r>
            <w:r>
              <w:rPr>
                <w:sz w:val="16"/>
                <w:szCs w:val="16"/>
                <w:b/>
                <w:bCs/>
              </w:rPr>
              <w:t>有效。网约车平台公司在注册地以外申请从事网约车经营的，应当提交</w:t>
            </w:r>
            <w:r>
              <w:rPr>
                <w:sz w:val="16"/>
                <w:szCs w:val="16"/>
                <w:b/>
                <w:bCs/>
                <w:spacing w:val="-1"/>
              </w:rPr>
              <w:t>前款第(五)、第(六)</w:t>
            </w:r>
            <w:r>
              <w:rPr>
                <w:sz w:val="16"/>
                <w:szCs w:val="16"/>
              </w:rPr>
              <w:t xml:space="preserve">   </w:t>
            </w:r>
            <w:r>
              <w:rPr>
                <w:sz w:val="16"/>
                <w:szCs w:val="16"/>
                <w:b/>
                <w:bCs/>
                <w:spacing w:val="-2"/>
              </w:rPr>
              <w:t>项有关线上服务能力认定结果。</w:t>
            </w:r>
          </w:p>
          <w:p>
            <w:pPr>
              <w:pStyle w:val="TableText"/>
              <w:ind w:left="84"/>
              <w:spacing w:before="29" w:line="219" w:lineRule="auto"/>
              <w:rPr>
                <w:sz w:val="16"/>
                <w:szCs w:val="16"/>
              </w:rPr>
            </w:pPr>
            <w:r>
              <w:rPr>
                <w:sz w:val="16"/>
                <w:szCs w:val="16"/>
                <w:b/>
                <w:bCs/>
                <w:spacing w:val="-2"/>
              </w:rPr>
              <w:t>其他线下服务能力材料，由受理申请的出租汽车行政主管部门进行审核。</w:t>
            </w:r>
          </w:p>
        </w:tc>
        <w:tc>
          <w:tcPr>
            <w:tcW w:w="1173" w:type="dxa"/>
            <w:vAlign w:val="top"/>
          </w:tcPr>
          <w:p>
            <w:pPr>
              <w:pStyle w:val="TableText"/>
              <w:ind w:left="101"/>
              <w:spacing w:before="75" w:line="219" w:lineRule="auto"/>
              <w:rPr>
                <w:sz w:val="16"/>
                <w:szCs w:val="16"/>
              </w:rPr>
            </w:pPr>
            <w:r>
              <w:rPr>
                <w:sz w:val="16"/>
                <w:szCs w:val="16"/>
                <w:b/>
                <w:bCs/>
                <w:spacing w:val="-3"/>
              </w:rPr>
              <w:t>据交通运输部</w:t>
            </w:r>
          </w:p>
          <w:p>
            <w:pPr>
              <w:pStyle w:val="TableText"/>
              <w:ind w:left="101"/>
              <w:spacing w:before="51" w:line="221" w:lineRule="auto"/>
              <w:rPr>
                <w:sz w:val="16"/>
                <w:szCs w:val="16"/>
              </w:rPr>
            </w:pPr>
            <w:r>
              <w:rPr>
                <w:sz w:val="16"/>
                <w:szCs w:val="16"/>
                <w:b/>
                <w:bCs/>
                <w:spacing w:val="-1"/>
              </w:rPr>
              <w:t>下属全国网约</w:t>
            </w:r>
          </w:p>
          <w:p>
            <w:pPr>
              <w:pStyle w:val="TableText"/>
              <w:ind w:left="101"/>
              <w:spacing w:before="47" w:line="219" w:lineRule="auto"/>
              <w:rPr>
                <w:sz w:val="16"/>
                <w:szCs w:val="16"/>
              </w:rPr>
            </w:pPr>
            <w:r>
              <w:rPr>
                <w:sz w:val="16"/>
                <w:szCs w:val="16"/>
                <w:b/>
                <w:bCs/>
                <w:spacing w:val="-3"/>
              </w:rPr>
              <w:t>车监管信息交</w:t>
            </w:r>
          </w:p>
          <w:p>
            <w:pPr>
              <w:pStyle w:val="TableText"/>
              <w:ind w:left="181"/>
              <w:spacing w:before="30" w:line="221" w:lineRule="auto"/>
              <w:rPr>
                <w:sz w:val="16"/>
                <w:szCs w:val="16"/>
              </w:rPr>
            </w:pPr>
            <w:r>
              <w:rPr>
                <w:sz w:val="16"/>
                <w:szCs w:val="16"/>
                <w:b/>
                <w:bCs/>
                <w:spacing w:val="-4"/>
              </w:rPr>
              <w:t>互平台统计</w:t>
            </w:r>
          </w:p>
          <w:p>
            <w:pPr>
              <w:pStyle w:val="TableText"/>
              <w:ind w:left="141"/>
              <w:spacing w:before="77" w:line="219" w:lineRule="auto"/>
              <w:rPr>
                <w:sz w:val="16"/>
                <w:szCs w:val="16"/>
              </w:rPr>
            </w:pPr>
            <w:r>
              <w:rPr>
                <w:sz w:val="16"/>
                <w:szCs w:val="16"/>
                <w:b/>
                <w:bCs/>
                <w:spacing w:val="-3"/>
              </w:rPr>
              <w:t>截至2021年6</w:t>
            </w:r>
          </w:p>
          <w:p>
            <w:pPr>
              <w:pStyle w:val="TableText"/>
              <w:ind w:left="101"/>
              <w:spacing w:before="50" w:line="219" w:lineRule="auto"/>
              <w:rPr>
                <w:sz w:val="16"/>
                <w:szCs w:val="16"/>
              </w:rPr>
            </w:pPr>
            <w:r>
              <w:rPr>
                <w:sz w:val="16"/>
                <w:szCs w:val="16"/>
                <w:b/>
                <w:bCs/>
              </w:rPr>
              <w:t>月30日，全国</w:t>
            </w:r>
          </w:p>
          <w:p>
            <w:pPr>
              <w:pStyle w:val="TableText"/>
              <w:ind w:left="141"/>
              <w:spacing w:before="31" w:line="219" w:lineRule="auto"/>
              <w:rPr>
                <w:sz w:val="16"/>
                <w:szCs w:val="16"/>
              </w:rPr>
            </w:pPr>
            <w:r>
              <w:rPr>
                <w:sz w:val="16"/>
                <w:szCs w:val="16"/>
                <w:b/>
                <w:bCs/>
                <w:spacing w:val="-3"/>
              </w:rPr>
              <w:t>共有236家网</w:t>
            </w:r>
          </w:p>
          <w:p>
            <w:pPr>
              <w:pStyle w:val="TableText"/>
              <w:ind w:left="101"/>
              <w:spacing w:before="50" w:line="219" w:lineRule="auto"/>
              <w:rPr>
                <w:sz w:val="16"/>
                <w:szCs w:val="16"/>
              </w:rPr>
            </w:pPr>
            <w:r>
              <w:rPr>
                <w:sz w:val="16"/>
                <w:szCs w:val="16"/>
                <w:b/>
                <w:bCs/>
                <w:spacing w:val="1"/>
              </w:rPr>
              <w:t>约车平台公司</w:t>
            </w:r>
          </w:p>
          <w:p>
            <w:pPr>
              <w:pStyle w:val="TableText"/>
              <w:ind w:left="101"/>
              <w:spacing w:before="70" w:line="219" w:lineRule="auto"/>
              <w:rPr>
                <w:sz w:val="16"/>
                <w:szCs w:val="16"/>
              </w:rPr>
            </w:pPr>
            <w:r>
              <w:rPr>
                <w:sz w:val="16"/>
                <w:szCs w:val="16"/>
                <w:b/>
                <w:bCs/>
                <w:spacing w:val="-3"/>
              </w:rPr>
              <w:t>取得网约车平</w:t>
            </w:r>
          </w:p>
          <w:p>
            <w:pPr>
              <w:pStyle w:val="TableText"/>
              <w:ind w:left="141"/>
              <w:spacing w:before="41" w:line="220" w:lineRule="auto"/>
              <w:rPr>
                <w:sz w:val="16"/>
                <w:szCs w:val="16"/>
              </w:rPr>
            </w:pPr>
            <w:r>
              <w:rPr>
                <w:sz w:val="16"/>
                <w:szCs w:val="16"/>
                <w:b/>
                <w:bCs/>
                <w:spacing w:val="-3"/>
              </w:rPr>
              <w:t>台经营许可。</w:t>
            </w:r>
          </w:p>
        </w:tc>
      </w:tr>
    </w:tbl>
    <w:p>
      <w:pPr>
        <w:pStyle w:val="BodyText"/>
        <w:rPr/>
      </w:pPr>
      <w:r/>
    </w:p>
    <w:p>
      <w:pPr>
        <w:sectPr>
          <w:headerReference w:type="default" r:id="rId1"/>
          <w:pgSz w:w="12480" w:h="7330"/>
          <w:pgMar w:top="400" w:right="744" w:bottom="400" w:left="934" w:header="0" w:footer="0" w:gutter="0"/>
        </w:sectPr>
        <w:rPr/>
      </w:pPr>
    </w:p>
    <w:p>
      <w:pPr>
        <w:pStyle w:val="BodyText"/>
        <w:spacing w:line="327" w:lineRule="auto"/>
        <w:rPr/>
      </w:pPr>
      <w:r>
        <mc:AlternateContent xmlns:mc="http://schemas.openxmlformats.org/markup-compatibility/2006">
          <mc:Choice Requires="wps">
            <w:drawing>
              <wp:anchor distT="0" distB="0" distL="0" distR="0" simplePos="0" relativeHeight="255656960" behindDoc="0" locked="0" layoutInCell="0" allowOverlap="1">
                <wp:simplePos x="0" y="0"/>
                <wp:positionH relativeFrom="page">
                  <wp:posOffset>7502554</wp:posOffset>
                </wp:positionH>
                <wp:positionV relativeFrom="page">
                  <wp:posOffset>489787</wp:posOffset>
                </wp:positionV>
                <wp:extent cx="163195" cy="148589"/>
                <wp:effectExtent l="0" t="0" r="0" b="0"/>
                <wp:wrapNone/>
                <wp:docPr id="326" name="TextBox 326"/>
                <wp:cNvGraphicFramePr/>
                <a:graphic>
                  <a:graphicData uri="http://schemas.microsoft.com/office/word/2010/wordprocessingShape">
                    <wps:wsp>
                      <wps:cNvSpPr txBox="1"/>
                      <wps:spPr>
                        <a:xfrm rot="5400000">
                          <a:off x="7502554" y="489787"/>
                          <a:ext cx="16319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380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0" style="position:absolute;margin-left:590.752pt;margin-top:38.566pt;mso-position-vertical-relative:page;mso-position-horizontal-relative:page;width:12.85pt;height:11.7pt;z-index:255656960;rotation:90;" o:allowincell="f"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380</w:t>
                      </w:r>
                    </w:p>
                  </w:txbxContent>
                </v:textbox>
              </v:shape>
            </w:pict>
          </mc:Fallback>
        </mc:AlternateContent>
      </w:r>
      <w:r>
        <mc:AlternateContent xmlns:mc="http://schemas.openxmlformats.org/markup-compatibility/2006">
          <mc:Choice Requires="wps">
            <w:drawing>
              <wp:anchor distT="0" distB="0" distL="0" distR="0" simplePos="0" relativeHeight="255655936" behindDoc="0" locked="0" layoutInCell="0" allowOverlap="1">
                <wp:simplePos x="0" y="0"/>
                <wp:positionH relativeFrom="page">
                  <wp:posOffset>6898916</wp:posOffset>
                </wp:positionH>
                <wp:positionV relativeFrom="page">
                  <wp:posOffset>2337502</wp:posOffset>
                </wp:positionV>
                <wp:extent cx="1390014" cy="156845"/>
                <wp:effectExtent l="0" t="0" r="0" b="0"/>
                <wp:wrapNone/>
                <wp:docPr id="328" name="TextBox 328"/>
                <wp:cNvGraphicFramePr/>
                <a:graphic>
                  <a:graphicData uri="http://schemas.microsoft.com/office/word/2010/wordprocessingShape">
                    <wps:wsp>
                      <wps:cNvSpPr txBox="1"/>
                      <wps:spPr>
                        <a:xfrm rot="5400000">
                          <a:off x="6898916" y="2337502"/>
                          <a:ext cx="139001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3"/>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543.222pt;margin-top:184.055pt;mso-position-vertical-relative:page;mso-position-horizontal-relative:page;width:109.45pt;height:12.35pt;z-index:255655936;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3"/>
                        </w:rPr>
                        <w:t>平台经济——创新、治理与繁荣</w:t>
                      </w:r>
                    </w:p>
                  </w:txbxContent>
                </v:textbox>
              </v:shape>
            </w:pict>
          </mc:Fallback>
        </mc:AlternateContent>
      </w:r>
      <w:r/>
    </w:p>
    <w:p>
      <w:pPr>
        <w:ind w:left="9064"/>
        <w:spacing w:before="58" w:line="223" w:lineRule="auto"/>
        <w:rPr>
          <w:rFonts w:ascii="SimHei" w:hAnsi="SimHei" w:eastAsia="SimHei" w:cs="SimHei"/>
          <w:sz w:val="18"/>
          <w:szCs w:val="18"/>
        </w:rPr>
      </w:pPr>
      <w:r>
        <w:rPr>
          <w:rFonts w:ascii="SimHei" w:hAnsi="SimHei" w:eastAsia="SimHei" w:cs="SimHei"/>
          <w:sz w:val="18"/>
          <w:szCs w:val="18"/>
          <w:spacing w:val="-4"/>
        </w:rPr>
        <w:t>(续表)</w:t>
      </w:r>
    </w:p>
    <w:p>
      <w:pPr>
        <w:spacing w:line="89" w:lineRule="exact"/>
        <w:rPr/>
      </w:pPr>
      <w:r/>
    </w:p>
    <w:tbl>
      <w:tblPr>
        <w:tblStyle w:val="TableNormal"/>
        <w:tblW w:w="95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869"/>
        <w:gridCol w:w="6763"/>
        <w:gridCol w:w="1174"/>
      </w:tblGrid>
      <w:tr>
        <w:trPr>
          <w:trHeight w:val="554" w:hRule="atLeast"/>
        </w:trPr>
        <w:tc>
          <w:tcPr>
            <w:tcW w:w="704" w:type="dxa"/>
            <w:vAlign w:val="top"/>
          </w:tcPr>
          <w:p>
            <w:pPr>
              <w:pStyle w:val="TableText"/>
              <w:ind w:left="177"/>
              <w:spacing w:before="71" w:line="248" w:lineRule="exact"/>
              <w:rPr/>
            </w:pPr>
            <w:r>
              <w:rPr>
                <w:b/>
                <w:bCs/>
                <w:spacing w:val="-4"/>
                <w:position w:val="5"/>
              </w:rPr>
              <w:t>平台</w:t>
            </w:r>
          </w:p>
          <w:p>
            <w:pPr>
              <w:pStyle w:val="TableText"/>
              <w:ind w:left="177"/>
              <w:spacing w:line="219" w:lineRule="auto"/>
              <w:rPr/>
            </w:pPr>
            <w:r>
              <w:rPr>
                <w:b/>
                <w:bCs/>
                <w:spacing w:val="-4"/>
              </w:rPr>
              <w:t>类型</w:t>
            </w:r>
          </w:p>
        </w:tc>
        <w:tc>
          <w:tcPr>
            <w:tcW w:w="869" w:type="dxa"/>
            <w:vAlign w:val="top"/>
          </w:tcPr>
          <w:p>
            <w:pPr>
              <w:pStyle w:val="TableText"/>
              <w:ind w:left="253"/>
              <w:spacing w:before="70" w:line="239" w:lineRule="exact"/>
              <w:rPr/>
            </w:pPr>
            <w:r>
              <w:rPr>
                <w:b/>
                <w:bCs/>
                <w:spacing w:val="-6"/>
                <w:position w:val="5"/>
              </w:rPr>
              <w:t>审批</w:t>
            </w:r>
          </w:p>
          <w:p>
            <w:pPr>
              <w:pStyle w:val="TableText"/>
              <w:ind w:left="253"/>
              <w:spacing w:line="219" w:lineRule="auto"/>
              <w:rPr/>
            </w:pPr>
            <w:r>
              <w:rPr>
                <w:b/>
                <w:bCs/>
                <w:spacing w:val="5"/>
              </w:rPr>
              <w:t>部门</w:t>
            </w:r>
          </w:p>
        </w:tc>
        <w:tc>
          <w:tcPr>
            <w:tcW w:w="6763" w:type="dxa"/>
            <w:vAlign w:val="top"/>
          </w:tcPr>
          <w:p>
            <w:pPr>
              <w:pStyle w:val="TableText"/>
              <w:ind w:left="3084"/>
              <w:spacing w:before="189" w:line="219" w:lineRule="auto"/>
              <w:rPr/>
            </w:pPr>
            <w:r>
              <w:rPr>
                <w:b/>
                <w:bCs/>
                <w:spacing w:val="-4"/>
              </w:rPr>
              <w:t>准入条件</w:t>
            </w:r>
          </w:p>
        </w:tc>
        <w:tc>
          <w:tcPr>
            <w:tcW w:w="1174" w:type="dxa"/>
            <w:vAlign w:val="top"/>
          </w:tcPr>
          <w:p>
            <w:pPr>
              <w:pStyle w:val="TableText"/>
              <w:ind w:left="411"/>
              <w:spacing w:before="190" w:line="221" w:lineRule="auto"/>
              <w:rPr/>
            </w:pPr>
            <w:r>
              <w:rPr>
                <w:b/>
                <w:bCs/>
                <w:spacing w:val="-4"/>
              </w:rPr>
              <w:t>备注</w:t>
            </w:r>
          </w:p>
        </w:tc>
      </w:tr>
      <w:tr>
        <w:trPr>
          <w:trHeight w:val="4406" w:hRule="atLeast"/>
        </w:trPr>
        <w:tc>
          <w:tcPr>
            <w:tcW w:w="704" w:type="dxa"/>
            <w:vAlign w:val="top"/>
          </w:tcPr>
          <w:p>
            <w:pPr>
              <w:pStyle w:val="TableText"/>
              <w:ind w:left="84" w:right="80"/>
              <w:spacing w:before="77" w:line="247" w:lineRule="auto"/>
              <w:rPr/>
            </w:pPr>
            <w:r>
              <w:rPr>
                <w:spacing w:val="2"/>
              </w:rPr>
              <w:t>网络购</w:t>
            </w:r>
            <w:r>
              <w:rPr>
                <w:spacing w:val="1"/>
              </w:rPr>
              <w:t xml:space="preserve"> </w:t>
            </w:r>
            <w:r>
              <w:rPr>
                <w:spacing w:val="6"/>
              </w:rPr>
              <w:t>物平台</w:t>
            </w:r>
          </w:p>
        </w:tc>
        <w:tc>
          <w:tcPr>
            <w:tcW w:w="869" w:type="dxa"/>
            <w:vAlign w:val="top"/>
          </w:tcPr>
          <w:p>
            <w:pPr>
              <w:pStyle w:val="TableText"/>
              <w:ind w:left="80" w:right="104"/>
              <w:spacing w:before="70" w:line="256" w:lineRule="auto"/>
              <w:jc w:val="both"/>
              <w:rPr/>
            </w:pPr>
            <w:r>
              <w:rPr>
                <w:spacing w:val="-3"/>
              </w:rPr>
              <w:t>各地市场</w:t>
            </w:r>
            <w:r>
              <w:rPr>
                <w:spacing w:val="2"/>
              </w:rPr>
              <w:t xml:space="preserve"> </w:t>
            </w:r>
            <w:r>
              <w:rPr>
                <w:spacing w:val="-2"/>
              </w:rPr>
              <w:t>监督管理</w:t>
            </w:r>
            <w:r>
              <w:rPr/>
              <w:t xml:space="preserve"> </w:t>
            </w:r>
            <w:r>
              <w:rPr>
                <w:spacing w:val="13"/>
              </w:rPr>
              <w:t>局+登记</w:t>
            </w:r>
            <w:r>
              <w:rPr/>
              <w:t xml:space="preserve"> </w:t>
            </w:r>
            <w:r>
              <w:rPr>
                <w:spacing w:val="-2"/>
              </w:rPr>
              <w:t>注册，电</w:t>
            </w:r>
            <w:r>
              <w:rPr/>
              <w:t xml:space="preserve"> </w:t>
            </w:r>
            <w:r>
              <w:rPr>
                <w:spacing w:val="-2"/>
              </w:rPr>
              <w:t>信主管部</w:t>
            </w:r>
            <w:r>
              <w:rPr/>
              <w:t xml:space="preserve"> </w:t>
            </w:r>
            <w:r>
              <w:rPr>
                <w:spacing w:val="13"/>
              </w:rPr>
              <w:t>门+业务</w:t>
            </w:r>
            <w:r>
              <w:rPr/>
              <w:t xml:space="preserve"> </w:t>
            </w:r>
            <w:r>
              <w:rPr>
                <w:spacing w:val="3"/>
              </w:rPr>
              <w:t>审批</w:t>
            </w:r>
          </w:p>
        </w:tc>
        <w:tc>
          <w:tcPr>
            <w:tcW w:w="6763" w:type="dxa"/>
            <w:vAlign w:val="top"/>
          </w:tcPr>
          <w:p>
            <w:pPr>
              <w:pStyle w:val="TableText"/>
              <w:ind w:left="9"/>
              <w:spacing w:before="75" w:line="230" w:lineRule="exact"/>
              <w:rPr/>
            </w:pPr>
            <w:r>
              <w:rPr>
                <w:b/>
                <w:bCs/>
                <w:spacing w:val="-3"/>
                <w:position w:val="4"/>
              </w:rPr>
              <w:t>《第三方电子商务交易平台服务规范</w:t>
            </w:r>
          </w:p>
          <w:p>
            <w:pPr>
              <w:pStyle w:val="TableText"/>
              <w:ind w:left="94"/>
              <w:spacing w:line="219" w:lineRule="auto"/>
              <w:rPr/>
            </w:pPr>
            <w:r>
              <w:rPr>
                <w:b/>
                <w:bCs/>
                <w:spacing w:val="-4"/>
              </w:rPr>
              <w:t>5.1设立条件</w:t>
            </w:r>
          </w:p>
          <w:p>
            <w:pPr>
              <w:pStyle w:val="TableText"/>
              <w:ind w:left="94"/>
              <w:spacing w:before="38" w:line="250" w:lineRule="exact"/>
              <w:rPr/>
            </w:pPr>
            <w:r>
              <w:rPr>
                <w:b/>
                <w:bCs/>
                <w:spacing w:val="-3"/>
                <w:position w:val="5"/>
              </w:rPr>
              <w:t>第三方电子商务交易平台的设立应当符合下列条件：</w:t>
            </w:r>
          </w:p>
          <w:p>
            <w:pPr>
              <w:pStyle w:val="TableText"/>
              <w:ind w:left="94"/>
              <w:spacing w:line="219" w:lineRule="auto"/>
              <w:rPr/>
            </w:pPr>
            <w:r>
              <w:rPr>
                <w:b/>
                <w:bCs/>
                <w:spacing w:val="-2"/>
              </w:rPr>
              <w:t>(1)有与从事的业务和规模相适应的硬件设施</w:t>
            </w:r>
          </w:p>
          <w:p>
            <w:pPr>
              <w:pStyle w:val="TableText"/>
              <w:ind w:left="94"/>
              <w:spacing w:before="37" w:line="219" w:lineRule="auto"/>
              <w:rPr/>
            </w:pPr>
            <w:r>
              <w:rPr>
                <w:b/>
                <w:bCs/>
                <w:spacing w:val="1"/>
              </w:rPr>
              <w:t>(2)有保障交易正常运营的计算机信息系统和安全环境；</w:t>
            </w:r>
          </w:p>
          <w:p>
            <w:pPr>
              <w:pStyle w:val="TableText"/>
              <w:ind w:left="94"/>
              <w:spacing w:before="29" w:line="219" w:lineRule="auto"/>
              <w:rPr/>
            </w:pPr>
            <w:r>
              <w:rPr>
                <w:b/>
                <w:bCs/>
              </w:rPr>
              <w:t>(3)有与交易平台经营规模相</w:t>
            </w:r>
            <w:r>
              <w:rPr>
                <w:b/>
                <w:bCs/>
                <w:u w:val="single" w:color="auto"/>
              </w:rPr>
              <w:t>适应</w:t>
            </w:r>
            <w:r>
              <w:rPr>
                <w:b/>
                <w:bCs/>
              </w:rPr>
              <w:t>的管理人员、技术人员和客户服务人员；</w:t>
            </w:r>
          </w:p>
          <w:p>
            <w:pPr>
              <w:pStyle w:val="TableText"/>
              <w:ind w:left="94" w:hanging="10"/>
              <w:spacing w:before="47" w:line="245" w:lineRule="auto"/>
              <w:rPr/>
            </w:pPr>
            <w:r>
              <w:rPr>
                <w:b/>
                <w:bCs/>
                <w:spacing w:val="-11"/>
              </w:rPr>
              <w:t>(4)符合《中华人民共和国电信条例》《互联网信息服务管理办法》《网络商品交易及有关服务</w:t>
            </w:r>
            <w:r>
              <w:rPr>
                <w:spacing w:val="-11"/>
              </w:rPr>
              <w:t xml:space="preserve"> </w:t>
            </w:r>
            <w:r>
              <w:rPr>
                <w:b/>
                <w:bCs/>
                <w:spacing w:val="-2"/>
              </w:rPr>
              <w:t>行为管理暂行办法》《电子认证服务管理办法》等法律、法规和规章规</w:t>
            </w:r>
            <w:r>
              <w:rPr>
                <w:b/>
                <w:bCs/>
                <w:spacing w:val="-3"/>
              </w:rPr>
              <w:t>定的其他条件。</w:t>
            </w:r>
          </w:p>
          <w:p>
            <w:pPr>
              <w:pStyle w:val="TableText"/>
              <w:ind w:left="94"/>
              <w:spacing w:before="39" w:line="219" w:lineRule="auto"/>
              <w:rPr/>
            </w:pPr>
            <w:r>
              <w:rPr>
                <w:b/>
                <w:bCs/>
                <w:spacing w:val="-3"/>
              </w:rPr>
              <w:t>5.2市场准入和行政许可</w:t>
            </w:r>
          </w:p>
          <w:p>
            <w:pPr>
              <w:pStyle w:val="TableText"/>
              <w:spacing w:before="27" w:line="219" w:lineRule="auto"/>
              <w:jc w:val="right"/>
              <w:rPr/>
            </w:pPr>
            <w:r>
              <w:rPr>
                <w:b/>
                <w:bCs/>
                <w:spacing w:val="-5"/>
              </w:rPr>
              <w:t>平台经营者应当依法办理工商登记注册；涉及行政许可的，</w:t>
            </w:r>
            <w:r>
              <w:rPr>
                <w:b/>
                <w:bCs/>
                <w:spacing w:val="-6"/>
              </w:rPr>
              <w:t>应当取得主管部门的行政许可。</w:t>
            </w:r>
          </w:p>
          <w:p>
            <w:pPr>
              <w:spacing w:line="252" w:lineRule="auto"/>
              <w:rPr>
                <w:rFonts w:ascii="Arial"/>
                <w:sz w:val="21"/>
              </w:rPr>
            </w:pPr>
            <w:r/>
          </w:p>
          <w:p>
            <w:pPr>
              <w:pStyle w:val="TableText"/>
              <w:ind w:left="9"/>
              <w:spacing w:before="56" w:line="219" w:lineRule="auto"/>
              <w:rPr/>
            </w:pPr>
            <w:r>
              <w:rPr>
                <w:b/>
                <w:bCs/>
                <w:spacing w:val="-3"/>
              </w:rPr>
              <w:t>《互联网信息服务管理办法》(2011年修订)</w:t>
            </w:r>
          </w:p>
          <w:p>
            <w:pPr>
              <w:pStyle w:val="TableText"/>
              <w:ind w:left="94"/>
              <w:spacing w:before="30" w:line="254" w:lineRule="auto"/>
              <w:rPr/>
            </w:pPr>
            <w:r>
              <w:rPr>
                <w:b/>
                <w:bCs/>
                <w:spacing w:val="-9"/>
              </w:rPr>
              <w:t>第七条</w:t>
            </w:r>
            <w:r>
              <w:rPr>
                <w:spacing w:val="-9"/>
              </w:rPr>
              <w:t xml:space="preserve"> </w:t>
            </w:r>
            <w:r>
              <w:rPr>
                <w:b/>
                <w:bCs/>
                <w:spacing w:val="-9"/>
              </w:rPr>
              <w:t>从事经营性互联网信息服务，应当向省、自治区、直辖市电信管</w:t>
            </w:r>
            <w:r>
              <w:rPr>
                <w:b/>
                <w:bCs/>
                <w:spacing w:val="-10"/>
              </w:rPr>
              <w:t>理机构或者国务院信</w:t>
            </w:r>
            <w:r>
              <w:rPr>
                <w:spacing w:val="-10"/>
              </w:rPr>
              <w:t xml:space="preserve">  </w:t>
            </w:r>
            <w:r>
              <w:rPr>
                <w:b/>
                <w:bCs/>
                <w:spacing w:val="-5"/>
              </w:rPr>
              <w:t>息产业主管部门申请办理互联网信息服务增值电信业务</w:t>
            </w:r>
            <w:r>
              <w:rPr>
                <w:b/>
                <w:bCs/>
                <w:spacing w:val="-6"/>
              </w:rPr>
              <w:t>经营许可证(以下简称经营许可证)。</w:t>
            </w:r>
            <w:r>
              <w:rPr>
                <w:spacing w:val="-6"/>
              </w:rPr>
              <w:t xml:space="preserve"> </w:t>
            </w:r>
            <w:r>
              <w:rPr>
                <w:b/>
                <w:bCs/>
                <w:spacing w:val="-7"/>
              </w:rPr>
              <w:t>省、自治区、直辖市电信管理机构或者国务院信息产业主管部门应当自收到申请之日起60日</w:t>
            </w:r>
            <w:r>
              <w:rPr>
                <w:spacing w:val="8"/>
              </w:rPr>
              <w:t xml:space="preserve">  </w:t>
            </w:r>
            <w:r>
              <w:rPr>
                <w:b/>
                <w:bCs/>
                <w:spacing w:val="-11"/>
              </w:rPr>
              <w:t>内审查完毕，作出批准或者不予批准的决定。予以批准的，颁发经营许可证</w:t>
            </w:r>
            <w:r>
              <w:rPr>
                <w:b/>
                <w:bCs/>
                <w:spacing w:val="-12"/>
              </w:rPr>
              <w:t>；不予批准的，应</w:t>
            </w:r>
            <w:r>
              <w:rPr>
                <w:spacing w:val="-12"/>
              </w:rPr>
              <w:t xml:space="preserve">  </w:t>
            </w:r>
            <w:r>
              <w:rPr>
                <w:b/>
                <w:bCs/>
                <w:spacing w:val="-5"/>
              </w:rPr>
              <w:t>当书面通知申请人并说明理由。</w:t>
            </w:r>
          </w:p>
          <w:p>
            <w:pPr>
              <w:pStyle w:val="TableText"/>
              <w:ind w:left="94"/>
              <w:spacing w:before="28" w:line="219" w:lineRule="auto"/>
              <w:rPr/>
            </w:pPr>
            <w:r>
              <w:rPr>
                <w:b/>
                <w:bCs/>
                <w:spacing w:val="-2"/>
              </w:rPr>
              <w:t>申请人取得经营许可证后，应当持经营许可证向企业登记机关办理登</w:t>
            </w:r>
            <w:r>
              <w:rPr>
                <w:b/>
                <w:bCs/>
                <w:spacing w:val="-3"/>
              </w:rPr>
              <w:t>记手续。</w:t>
            </w:r>
          </w:p>
        </w:tc>
        <w:tc>
          <w:tcPr>
            <w:tcW w:w="1174" w:type="dxa"/>
            <w:vAlign w:val="top"/>
          </w:tcPr>
          <w:p>
            <w:pPr>
              <w:pStyle w:val="TableText"/>
              <w:ind w:left="71" w:right="32"/>
              <w:spacing w:before="65" w:line="257" w:lineRule="auto"/>
              <w:jc w:val="both"/>
              <w:rPr/>
            </w:pPr>
            <w:r>
              <w:rPr>
                <w:b/>
                <w:bCs/>
                <w:spacing w:val="-3"/>
              </w:rPr>
              <w:t>据前瞻产业研</w:t>
            </w:r>
            <w:r>
              <w:rPr/>
              <w:t xml:space="preserve"> </w:t>
            </w:r>
            <w:r>
              <w:rPr>
                <w:b/>
                <w:bCs/>
                <w:spacing w:val="-6"/>
              </w:rPr>
              <w:t>究院整理，截</w:t>
            </w:r>
            <w:r>
              <w:rPr>
                <w:spacing w:val="-6"/>
              </w:rPr>
              <w:t xml:space="preserve"> </w:t>
            </w:r>
            <w:r>
              <w:rPr>
                <w:b/>
                <w:bCs/>
                <w:spacing w:val="-3"/>
              </w:rPr>
              <w:t>至2019年，我</w:t>
            </w:r>
            <w:r>
              <w:rPr/>
              <w:t xml:space="preserve"> </w:t>
            </w:r>
            <w:r>
              <w:rPr>
                <w:b/>
                <w:bCs/>
                <w:spacing w:val="-2"/>
              </w:rPr>
              <w:t>国电商平台数</w:t>
            </w:r>
            <w:r>
              <w:rPr>
                <w:spacing w:val="2"/>
              </w:rPr>
              <w:t xml:space="preserve"> </w:t>
            </w:r>
            <w:r>
              <w:rPr>
                <w:b/>
                <w:bCs/>
                <w:spacing w:val="3"/>
              </w:rPr>
              <w:t>量为4112家。</w:t>
            </w:r>
          </w:p>
        </w:tc>
      </w:tr>
    </w:tbl>
    <w:p>
      <w:pPr>
        <w:pStyle w:val="BodyText"/>
        <w:rPr/>
      </w:pPr>
      <w:r/>
    </w:p>
    <w:p>
      <w:pPr>
        <w:sectPr>
          <w:pgSz w:w="12480" w:h="7330"/>
          <w:pgMar w:top="400" w:right="445" w:bottom="400" w:left="1254" w:header="0" w:footer="0" w:gutter="0"/>
        </w:sectPr>
        <w:rPr/>
      </w:pPr>
    </w:p>
    <w:p>
      <w:pPr>
        <w:ind w:left="9064"/>
        <w:spacing w:line="223" w:lineRule="auto"/>
        <w:rPr>
          <w:rFonts w:ascii="SimHei" w:hAnsi="SimHei" w:eastAsia="SimHei" w:cs="SimHei"/>
          <w:sz w:val="19"/>
          <w:szCs w:val="19"/>
        </w:rPr>
      </w:pPr>
      <w:r>
        <mc:AlternateContent xmlns:mc="http://schemas.openxmlformats.org/markup-compatibility/2006">
          <mc:Choice Requires="wps">
            <w:drawing>
              <wp:anchor distT="0" distB="0" distL="0" distR="0" simplePos="0" relativeHeight="255666176" behindDoc="0" locked="0" layoutInCell="0" allowOverlap="1">
                <wp:simplePos x="0" y="0"/>
                <wp:positionH relativeFrom="page">
                  <wp:posOffset>6623525</wp:posOffset>
                </wp:positionH>
                <wp:positionV relativeFrom="page">
                  <wp:posOffset>1990632</wp:posOffset>
                </wp:positionV>
                <wp:extent cx="1585594" cy="156845"/>
                <wp:effectExtent l="0" t="0" r="0" b="0"/>
                <wp:wrapNone/>
                <wp:docPr id="332" name="TextBox 332"/>
                <wp:cNvGraphicFramePr/>
                <a:graphic>
                  <a:graphicData uri="http://schemas.microsoft.com/office/word/2010/wordprocessingShape">
                    <wps:wsp>
                      <wps:cNvSpPr txBox="1"/>
                      <wps:spPr>
                        <a:xfrm rot="5400000">
                          <a:off x="6623525" y="1990632"/>
                          <a:ext cx="158559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13"/>
                              </w:rPr>
                              <w:t>第十一章平台的挑战与失焦的监管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6" style="position:absolute;margin-left:521.537pt;margin-top:156.743pt;mso-position-vertical-relative:page;mso-position-horizontal-relative:page;width:124.85pt;height:12.35pt;z-index:255666176;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13"/>
                        </w:rPr>
                        <w:t>第十一章平台的挑战与失焦的监管</w:t>
                      </w:r>
                    </w:p>
                  </w:txbxContent>
                </v:textbox>
              </v:shape>
            </w:pict>
          </mc:Fallback>
        </mc:AlternateContent>
      </w:r>
      <w:r>
        <w:rPr>
          <w:rFonts w:ascii="SimHei" w:hAnsi="SimHei" w:eastAsia="SimHei" w:cs="SimHei"/>
          <w:sz w:val="19"/>
          <w:szCs w:val="19"/>
          <w:spacing w:val="-9"/>
        </w:rPr>
        <w:t>(续表)</w:t>
      </w:r>
    </w:p>
    <w:p>
      <w:pPr>
        <w:spacing w:line="137" w:lineRule="exact"/>
        <w:rPr/>
      </w:pPr>
      <w:r/>
    </w:p>
    <w:tbl>
      <w:tblPr>
        <w:tblStyle w:val="TableNormal"/>
        <w:tblW w:w="95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859"/>
        <w:gridCol w:w="6753"/>
        <w:gridCol w:w="1184"/>
      </w:tblGrid>
      <w:tr>
        <w:trPr>
          <w:trHeight w:val="543" w:hRule="atLeast"/>
        </w:trPr>
        <w:tc>
          <w:tcPr>
            <w:tcW w:w="714" w:type="dxa"/>
            <w:vAlign w:val="top"/>
          </w:tcPr>
          <w:p>
            <w:pPr>
              <w:pStyle w:val="TableText"/>
              <w:ind w:left="197"/>
              <w:spacing w:before="81" w:line="218" w:lineRule="exact"/>
              <w:rPr>
                <w:sz w:val="16"/>
                <w:szCs w:val="16"/>
              </w:rPr>
            </w:pPr>
            <w:r>
              <w:rPr>
                <w:sz w:val="16"/>
                <w:szCs w:val="16"/>
                <w:b/>
                <w:bCs/>
                <w:spacing w:val="-4"/>
                <w:position w:val="4"/>
              </w:rPr>
              <w:t>平台</w:t>
            </w:r>
          </w:p>
          <w:p>
            <w:pPr>
              <w:pStyle w:val="TableText"/>
              <w:ind w:left="187"/>
              <w:spacing w:line="219" w:lineRule="auto"/>
              <w:rPr>
                <w:sz w:val="16"/>
                <w:szCs w:val="16"/>
              </w:rPr>
            </w:pPr>
            <w:r>
              <w:rPr>
                <w:sz w:val="16"/>
                <w:szCs w:val="16"/>
                <w:b/>
                <w:bCs/>
                <w:spacing w:val="-4"/>
              </w:rPr>
              <w:t>类型</w:t>
            </w:r>
          </w:p>
        </w:tc>
        <w:tc>
          <w:tcPr>
            <w:tcW w:w="859" w:type="dxa"/>
            <w:vAlign w:val="top"/>
          </w:tcPr>
          <w:p>
            <w:pPr>
              <w:pStyle w:val="TableText"/>
              <w:ind w:left="263"/>
              <w:spacing w:before="79" w:line="220" w:lineRule="exact"/>
              <w:rPr>
                <w:sz w:val="16"/>
                <w:szCs w:val="16"/>
              </w:rPr>
            </w:pPr>
            <w:r>
              <w:rPr>
                <w:sz w:val="16"/>
                <w:szCs w:val="16"/>
                <w:b/>
                <w:bCs/>
                <w:spacing w:val="-6"/>
                <w:position w:val="4"/>
              </w:rPr>
              <w:t>审批</w:t>
            </w:r>
          </w:p>
          <w:p>
            <w:pPr>
              <w:pStyle w:val="TableText"/>
              <w:ind w:left="263"/>
              <w:spacing w:line="219" w:lineRule="auto"/>
              <w:rPr>
                <w:sz w:val="16"/>
                <w:szCs w:val="16"/>
              </w:rPr>
            </w:pPr>
            <w:r>
              <w:rPr>
                <w:sz w:val="16"/>
                <w:szCs w:val="16"/>
                <w:b/>
                <w:bCs/>
                <w:spacing w:val="5"/>
              </w:rPr>
              <w:t>部门</w:t>
            </w:r>
          </w:p>
        </w:tc>
        <w:tc>
          <w:tcPr>
            <w:tcW w:w="6753" w:type="dxa"/>
            <w:vAlign w:val="top"/>
          </w:tcPr>
          <w:p>
            <w:pPr>
              <w:pStyle w:val="TableText"/>
              <w:ind w:left="3074"/>
              <w:spacing w:before="189" w:line="219" w:lineRule="auto"/>
              <w:rPr>
                <w:sz w:val="16"/>
                <w:szCs w:val="16"/>
              </w:rPr>
            </w:pPr>
            <w:r>
              <w:rPr>
                <w:sz w:val="16"/>
                <w:szCs w:val="16"/>
                <w:b/>
                <w:bCs/>
                <w:spacing w:val="-4"/>
              </w:rPr>
              <w:t>准入条件</w:t>
            </w:r>
          </w:p>
        </w:tc>
        <w:tc>
          <w:tcPr>
            <w:tcW w:w="1184" w:type="dxa"/>
            <w:vAlign w:val="top"/>
          </w:tcPr>
          <w:p>
            <w:pPr>
              <w:pStyle w:val="TableText"/>
              <w:ind w:left="441"/>
              <w:spacing w:before="190" w:line="221" w:lineRule="auto"/>
              <w:rPr>
                <w:sz w:val="16"/>
                <w:szCs w:val="16"/>
              </w:rPr>
            </w:pPr>
            <w:r>
              <w:rPr>
                <w:sz w:val="16"/>
                <w:szCs w:val="16"/>
                <w:b/>
                <w:bCs/>
                <w:spacing w:val="-4"/>
              </w:rPr>
              <w:t>备注</w:t>
            </w:r>
          </w:p>
        </w:tc>
      </w:tr>
      <w:tr>
        <w:trPr>
          <w:trHeight w:val="1746" w:hRule="atLeast"/>
        </w:trPr>
        <w:tc>
          <w:tcPr>
            <w:tcW w:w="714" w:type="dxa"/>
            <w:vAlign w:val="top"/>
          </w:tcPr>
          <w:p>
            <w:pPr>
              <w:pStyle w:val="TableText"/>
              <w:ind w:left="65"/>
              <w:spacing w:before="69" w:line="251" w:lineRule="exact"/>
              <w:rPr>
                <w:sz w:val="16"/>
                <w:szCs w:val="16"/>
              </w:rPr>
            </w:pPr>
            <w:r>
              <w:rPr>
                <w:sz w:val="16"/>
                <w:szCs w:val="16"/>
                <w:spacing w:val="-3"/>
                <w:position w:val="6"/>
              </w:rPr>
              <w:t>外卖</w:t>
            </w:r>
          </w:p>
          <w:p>
            <w:pPr>
              <w:pStyle w:val="TableText"/>
              <w:ind w:left="65"/>
              <w:spacing w:line="221" w:lineRule="auto"/>
              <w:rPr>
                <w:sz w:val="16"/>
                <w:szCs w:val="16"/>
              </w:rPr>
            </w:pPr>
            <w:r>
              <w:rPr>
                <w:sz w:val="16"/>
                <w:szCs w:val="16"/>
                <w:spacing w:val="8"/>
              </w:rPr>
              <w:t>平台</w:t>
            </w:r>
          </w:p>
        </w:tc>
        <w:tc>
          <w:tcPr>
            <w:tcW w:w="859" w:type="dxa"/>
            <w:vAlign w:val="top"/>
          </w:tcPr>
          <w:p>
            <w:pPr>
              <w:pStyle w:val="TableText"/>
              <w:ind w:left="80" w:right="80" w:firstLine="19"/>
              <w:spacing w:before="69" w:line="267" w:lineRule="auto"/>
              <w:jc w:val="both"/>
              <w:rPr>
                <w:sz w:val="16"/>
                <w:szCs w:val="16"/>
              </w:rPr>
            </w:pPr>
            <w:r>
              <w:rPr>
                <w:sz w:val="16"/>
                <w:szCs w:val="16"/>
                <w:spacing w:val="-3"/>
              </w:rPr>
              <w:t>各地市场</w:t>
            </w:r>
            <w:r>
              <w:rPr>
                <w:sz w:val="16"/>
                <w:szCs w:val="16"/>
                <w:spacing w:val="2"/>
              </w:rPr>
              <w:t xml:space="preserve"> </w:t>
            </w:r>
            <w:r>
              <w:rPr>
                <w:sz w:val="16"/>
                <w:szCs w:val="16"/>
                <w:spacing w:val="3"/>
              </w:rPr>
              <w:t>监督管理</w:t>
            </w:r>
            <w:r>
              <w:rPr>
                <w:sz w:val="16"/>
                <w:szCs w:val="16"/>
              </w:rPr>
              <w:t xml:space="preserve"> </w:t>
            </w:r>
            <w:r>
              <w:rPr>
                <w:sz w:val="16"/>
                <w:szCs w:val="16"/>
                <w:spacing w:val="-8"/>
              </w:rPr>
              <w:t>局</w:t>
            </w:r>
            <w:r>
              <w:rPr>
                <w:sz w:val="16"/>
                <w:szCs w:val="16"/>
                <w:spacing w:val="-27"/>
              </w:rPr>
              <w:t xml:space="preserve"> </w:t>
            </w:r>
            <w:r>
              <w:rPr>
                <w:sz w:val="16"/>
                <w:szCs w:val="16"/>
                <w:spacing w:val="-8"/>
              </w:rPr>
              <w:t>+</w:t>
            </w:r>
            <w:r>
              <w:rPr>
                <w:sz w:val="16"/>
                <w:szCs w:val="16"/>
                <w:spacing w:val="-26"/>
              </w:rPr>
              <w:t xml:space="preserve"> </w:t>
            </w:r>
            <w:r>
              <w:rPr>
                <w:sz w:val="16"/>
                <w:szCs w:val="16"/>
                <w:spacing w:val="-8"/>
              </w:rPr>
              <w:t>登</w:t>
            </w:r>
            <w:r>
              <w:rPr>
                <w:sz w:val="16"/>
                <w:szCs w:val="16"/>
                <w:spacing w:val="-29"/>
              </w:rPr>
              <w:t xml:space="preserve"> </w:t>
            </w:r>
            <w:r>
              <w:rPr>
                <w:sz w:val="16"/>
                <w:szCs w:val="16"/>
                <w:spacing w:val="-8"/>
              </w:rPr>
              <w:t>记</w:t>
            </w:r>
            <w:r>
              <w:rPr>
                <w:sz w:val="16"/>
                <w:szCs w:val="16"/>
              </w:rPr>
              <w:t xml:space="preserve"> </w:t>
            </w:r>
            <w:r>
              <w:rPr>
                <w:sz w:val="16"/>
                <w:szCs w:val="16"/>
                <w:spacing w:val="3"/>
              </w:rPr>
              <w:t>注册；电</w:t>
            </w:r>
            <w:r>
              <w:rPr>
                <w:sz w:val="16"/>
                <w:szCs w:val="16"/>
              </w:rPr>
              <w:t xml:space="preserve"> </w:t>
            </w:r>
            <w:r>
              <w:rPr>
                <w:sz w:val="16"/>
                <w:szCs w:val="16"/>
                <w:spacing w:val="3"/>
              </w:rPr>
              <w:t>信主管部</w:t>
            </w:r>
            <w:r>
              <w:rPr>
                <w:sz w:val="16"/>
                <w:szCs w:val="16"/>
              </w:rPr>
              <w:t xml:space="preserve"> </w:t>
            </w:r>
            <w:r>
              <w:rPr>
                <w:sz w:val="16"/>
                <w:szCs w:val="16"/>
                <w:spacing w:val="-12"/>
              </w:rPr>
              <w:t>门</w:t>
            </w:r>
            <w:r>
              <w:rPr>
                <w:sz w:val="16"/>
                <w:szCs w:val="16"/>
                <w:spacing w:val="-20"/>
              </w:rPr>
              <w:t xml:space="preserve"> </w:t>
            </w:r>
            <w:r>
              <w:rPr>
                <w:sz w:val="16"/>
                <w:szCs w:val="16"/>
                <w:spacing w:val="-12"/>
              </w:rPr>
              <w:t>+</w:t>
            </w:r>
            <w:r>
              <w:rPr>
                <w:sz w:val="16"/>
                <w:szCs w:val="16"/>
                <w:spacing w:val="-24"/>
              </w:rPr>
              <w:t xml:space="preserve"> </w:t>
            </w:r>
            <w:r>
              <w:rPr>
                <w:sz w:val="16"/>
                <w:szCs w:val="16"/>
                <w:spacing w:val="-12"/>
              </w:rPr>
              <w:t>业</w:t>
            </w:r>
            <w:r>
              <w:rPr>
                <w:sz w:val="16"/>
                <w:szCs w:val="16"/>
                <w:spacing w:val="-22"/>
              </w:rPr>
              <w:t xml:space="preserve"> </w:t>
            </w:r>
            <w:r>
              <w:rPr>
                <w:sz w:val="16"/>
                <w:szCs w:val="16"/>
                <w:spacing w:val="-12"/>
              </w:rPr>
              <w:t>务</w:t>
            </w:r>
            <w:r>
              <w:rPr>
                <w:sz w:val="16"/>
                <w:szCs w:val="16"/>
              </w:rPr>
              <w:t xml:space="preserve"> </w:t>
            </w:r>
            <w:r>
              <w:rPr>
                <w:sz w:val="16"/>
                <w:szCs w:val="16"/>
                <w:spacing w:val="3"/>
              </w:rPr>
              <w:t>审批</w:t>
            </w:r>
          </w:p>
        </w:tc>
        <w:tc>
          <w:tcPr>
            <w:tcW w:w="6753" w:type="dxa"/>
            <w:vAlign w:val="top"/>
          </w:tcPr>
          <w:p>
            <w:pPr>
              <w:pStyle w:val="TableText"/>
              <w:ind w:left="21"/>
              <w:spacing w:before="88" w:line="219" w:lineRule="auto"/>
              <w:rPr>
                <w:sz w:val="16"/>
                <w:szCs w:val="16"/>
              </w:rPr>
            </w:pPr>
            <w:r>
              <w:rPr>
                <w:sz w:val="16"/>
                <w:szCs w:val="16"/>
              </w:rPr>
              <w:t>《互联网信息服务管理办法》(2011年修订)</w:t>
            </w:r>
          </w:p>
          <w:p>
            <w:pPr>
              <w:pStyle w:val="TableText"/>
              <w:ind w:left="101" w:right="167"/>
              <w:spacing w:before="39" w:line="248" w:lineRule="auto"/>
              <w:rPr>
                <w:sz w:val="16"/>
                <w:szCs w:val="16"/>
              </w:rPr>
            </w:pPr>
            <w:r>
              <w:rPr>
                <w:sz w:val="16"/>
                <w:szCs w:val="16"/>
              </w:rPr>
              <w:t>第七条 从事经营性互联网信息服务，应当向省、自治区、直辖市电信管理</w:t>
            </w:r>
            <w:r>
              <w:rPr>
                <w:sz w:val="16"/>
                <w:szCs w:val="16"/>
                <w:spacing w:val="-1"/>
              </w:rPr>
              <w:t>机构或者国务院信</w:t>
            </w:r>
            <w:r>
              <w:rPr>
                <w:sz w:val="16"/>
                <w:szCs w:val="16"/>
              </w:rPr>
              <w:t xml:space="preserve"> </w:t>
            </w:r>
            <w:r>
              <w:rPr>
                <w:sz w:val="16"/>
                <w:szCs w:val="16"/>
              </w:rPr>
              <w:t>息产业主管部门申请办理互联网信息服务增值电信业务经营许可证(以下简称经营许可证</w:t>
            </w:r>
            <w:r>
              <w:rPr>
                <w:sz w:val="16"/>
                <w:szCs w:val="16"/>
                <w:spacing w:val="-1"/>
              </w:rPr>
              <w:t>)。</w:t>
            </w:r>
          </w:p>
          <w:p>
            <w:pPr>
              <w:pStyle w:val="TableText"/>
              <w:ind w:left="101" w:right="73"/>
              <w:spacing w:before="51" w:line="261" w:lineRule="auto"/>
              <w:rPr>
                <w:sz w:val="16"/>
                <w:szCs w:val="16"/>
              </w:rPr>
            </w:pPr>
            <w:r>
              <w:rPr>
                <w:sz w:val="16"/>
                <w:szCs w:val="16"/>
                <w:spacing w:val="1"/>
              </w:rPr>
              <w:t>省、自治区、直辖市电信管理机构或者国务院信息产业主管</w:t>
            </w:r>
            <w:r>
              <w:rPr>
                <w:sz w:val="16"/>
                <w:szCs w:val="16"/>
              </w:rPr>
              <w:t>部门应当自收到申请之日起60日  </w:t>
            </w:r>
            <w:r>
              <w:rPr>
                <w:sz w:val="16"/>
                <w:szCs w:val="16"/>
              </w:rPr>
              <w:t>内审查完毕，作出批准或者不予批准的决定。予以批准的，颁发经营许可证；不予批准的，应</w:t>
            </w:r>
            <w:r>
              <w:rPr>
                <w:sz w:val="16"/>
                <w:szCs w:val="16"/>
                <w:spacing w:val="6"/>
              </w:rPr>
              <w:t xml:space="preserve"> </w:t>
            </w:r>
            <w:r>
              <w:rPr>
                <w:sz w:val="16"/>
                <w:szCs w:val="16"/>
              </w:rPr>
              <w:t>当书面通知申请人并说明理由。</w:t>
            </w:r>
          </w:p>
          <w:p>
            <w:pPr>
              <w:pStyle w:val="TableText"/>
              <w:ind w:left="101"/>
              <w:spacing w:before="50" w:line="219" w:lineRule="auto"/>
              <w:rPr>
                <w:sz w:val="16"/>
                <w:szCs w:val="16"/>
              </w:rPr>
            </w:pPr>
            <w:r>
              <w:rPr>
                <w:sz w:val="16"/>
                <w:szCs w:val="16"/>
              </w:rPr>
              <w:t>申请人取得经营许可证后，应当持经营许可证向企业登记机关办理登记手续。</w:t>
            </w:r>
          </w:p>
        </w:tc>
        <w:tc>
          <w:tcPr>
            <w:tcW w:w="1184" w:type="dxa"/>
            <w:vAlign w:val="top"/>
          </w:tcPr>
          <w:p>
            <w:pPr>
              <w:rPr>
                <w:rFonts w:ascii="Arial"/>
                <w:sz w:val="21"/>
              </w:rPr>
            </w:pPr>
            <w:r/>
          </w:p>
        </w:tc>
      </w:tr>
      <w:tr>
        <w:trPr>
          <w:trHeight w:val="558" w:hRule="atLeast"/>
        </w:trPr>
        <w:tc>
          <w:tcPr>
            <w:tcW w:w="714" w:type="dxa"/>
            <w:vAlign w:val="top"/>
          </w:tcPr>
          <w:p>
            <w:pPr>
              <w:pStyle w:val="TableText"/>
              <w:ind w:left="65"/>
              <w:spacing w:before="83" w:line="251" w:lineRule="exact"/>
              <w:rPr>
                <w:sz w:val="16"/>
                <w:szCs w:val="16"/>
              </w:rPr>
            </w:pPr>
            <w:r>
              <w:rPr>
                <w:sz w:val="16"/>
                <w:szCs w:val="16"/>
                <w:spacing w:val="-3"/>
                <w:position w:val="6"/>
              </w:rPr>
              <w:t>短租</w:t>
            </w:r>
          </w:p>
          <w:p>
            <w:pPr>
              <w:pStyle w:val="TableText"/>
              <w:ind w:left="65"/>
              <w:spacing w:line="221" w:lineRule="auto"/>
              <w:rPr>
                <w:sz w:val="16"/>
                <w:szCs w:val="16"/>
              </w:rPr>
            </w:pPr>
            <w:r>
              <w:rPr>
                <w:sz w:val="16"/>
                <w:szCs w:val="16"/>
                <w:spacing w:val="8"/>
              </w:rPr>
              <w:t>平台</w:t>
            </w:r>
          </w:p>
        </w:tc>
        <w:tc>
          <w:tcPr>
            <w:tcW w:w="859" w:type="dxa"/>
            <w:vAlign w:val="top"/>
          </w:tcPr>
          <w:p>
            <w:pPr>
              <w:pStyle w:val="TableText"/>
              <w:ind w:left="70"/>
              <w:spacing w:before="84" w:line="221" w:lineRule="auto"/>
              <w:rPr>
                <w:sz w:val="16"/>
                <w:szCs w:val="16"/>
              </w:rPr>
            </w:pPr>
            <w:r>
              <w:rPr>
                <w:sz w:val="16"/>
                <w:szCs w:val="16"/>
                <w:spacing w:val="3"/>
              </w:rPr>
              <w:t>同上</w:t>
            </w:r>
          </w:p>
        </w:tc>
        <w:tc>
          <w:tcPr>
            <w:tcW w:w="6753" w:type="dxa"/>
            <w:vAlign w:val="top"/>
          </w:tcPr>
          <w:p>
            <w:pPr>
              <w:pStyle w:val="TableText"/>
              <w:ind w:left="101"/>
              <w:spacing w:before="84" w:line="221" w:lineRule="auto"/>
              <w:rPr>
                <w:sz w:val="16"/>
                <w:szCs w:val="16"/>
              </w:rPr>
            </w:pPr>
            <w:r>
              <w:rPr>
                <w:sz w:val="16"/>
                <w:szCs w:val="16"/>
                <w:spacing w:val="3"/>
              </w:rPr>
              <w:t>同上</w:t>
            </w:r>
          </w:p>
        </w:tc>
        <w:tc>
          <w:tcPr>
            <w:tcW w:w="1184" w:type="dxa"/>
            <w:vAlign w:val="top"/>
          </w:tcPr>
          <w:p>
            <w:pPr>
              <w:rPr>
                <w:rFonts w:ascii="Arial"/>
                <w:sz w:val="21"/>
              </w:rPr>
            </w:pPr>
            <w:r/>
          </w:p>
        </w:tc>
      </w:tr>
      <w:tr>
        <w:trPr>
          <w:trHeight w:val="788" w:hRule="atLeast"/>
        </w:trPr>
        <w:tc>
          <w:tcPr>
            <w:tcW w:w="714" w:type="dxa"/>
            <w:vAlign w:val="top"/>
          </w:tcPr>
          <w:p>
            <w:pPr>
              <w:pStyle w:val="TableText"/>
              <w:ind w:left="65"/>
              <w:spacing w:before="84" w:line="220" w:lineRule="exact"/>
              <w:rPr>
                <w:sz w:val="16"/>
                <w:szCs w:val="16"/>
              </w:rPr>
            </w:pPr>
            <w:r>
              <w:rPr>
                <w:sz w:val="16"/>
                <w:szCs w:val="16"/>
                <w:spacing w:val="-2"/>
                <w:position w:val="4"/>
              </w:rPr>
              <w:t>房屋信</w:t>
            </w:r>
          </w:p>
          <w:p>
            <w:pPr>
              <w:pStyle w:val="TableText"/>
              <w:ind w:left="65"/>
              <w:spacing w:line="219" w:lineRule="auto"/>
              <w:rPr>
                <w:sz w:val="16"/>
                <w:szCs w:val="16"/>
              </w:rPr>
            </w:pPr>
            <w:r>
              <w:rPr>
                <w:sz w:val="16"/>
                <w:szCs w:val="16"/>
                <w:spacing w:val="2"/>
              </w:rPr>
              <w:t>息服务</w:t>
            </w:r>
          </w:p>
          <w:p>
            <w:pPr>
              <w:pStyle w:val="TableText"/>
              <w:ind w:left="65"/>
              <w:spacing w:before="72" w:line="221" w:lineRule="auto"/>
              <w:rPr>
                <w:sz w:val="16"/>
                <w:szCs w:val="16"/>
              </w:rPr>
            </w:pPr>
            <w:r>
              <w:rPr>
                <w:sz w:val="16"/>
                <w:szCs w:val="16"/>
                <w:spacing w:val="8"/>
              </w:rPr>
              <w:t>平台</w:t>
            </w:r>
          </w:p>
        </w:tc>
        <w:tc>
          <w:tcPr>
            <w:tcW w:w="859" w:type="dxa"/>
            <w:vAlign w:val="top"/>
          </w:tcPr>
          <w:p>
            <w:pPr>
              <w:pStyle w:val="TableText"/>
              <w:ind w:left="80"/>
              <w:spacing w:before="76" w:line="221" w:lineRule="auto"/>
              <w:rPr>
                <w:sz w:val="16"/>
                <w:szCs w:val="16"/>
              </w:rPr>
            </w:pPr>
            <w:r>
              <w:rPr>
                <w:sz w:val="16"/>
                <w:szCs w:val="16"/>
                <w:spacing w:val="3"/>
              </w:rPr>
              <w:t>同上</w:t>
            </w:r>
          </w:p>
        </w:tc>
        <w:tc>
          <w:tcPr>
            <w:tcW w:w="6753" w:type="dxa"/>
            <w:vAlign w:val="top"/>
          </w:tcPr>
          <w:p>
            <w:pPr>
              <w:pStyle w:val="TableText"/>
              <w:ind w:left="101"/>
              <w:spacing w:before="56" w:line="221" w:lineRule="auto"/>
              <w:rPr>
                <w:sz w:val="16"/>
                <w:szCs w:val="16"/>
              </w:rPr>
            </w:pPr>
            <w:r>
              <w:rPr>
                <w:sz w:val="16"/>
                <w:szCs w:val="16"/>
                <w:spacing w:val="3"/>
              </w:rPr>
              <w:t>同上</w:t>
            </w:r>
          </w:p>
        </w:tc>
        <w:tc>
          <w:tcPr>
            <w:tcW w:w="1184" w:type="dxa"/>
            <w:vAlign w:val="top"/>
          </w:tcPr>
          <w:p>
            <w:pPr>
              <w:rPr>
                <w:rFonts w:ascii="Arial"/>
                <w:sz w:val="21"/>
              </w:rPr>
            </w:pPr>
            <w:r/>
          </w:p>
        </w:tc>
      </w:tr>
      <w:tr>
        <w:trPr>
          <w:trHeight w:val="554" w:hRule="atLeast"/>
        </w:trPr>
        <w:tc>
          <w:tcPr>
            <w:tcW w:w="714" w:type="dxa"/>
            <w:vAlign w:val="top"/>
          </w:tcPr>
          <w:p>
            <w:pPr>
              <w:pStyle w:val="TableText"/>
              <w:ind w:left="65"/>
              <w:spacing w:before="77" w:line="231" w:lineRule="exact"/>
              <w:rPr>
                <w:sz w:val="16"/>
                <w:szCs w:val="16"/>
              </w:rPr>
            </w:pPr>
            <w:r>
              <w:rPr>
                <w:sz w:val="16"/>
                <w:szCs w:val="16"/>
                <w:spacing w:val="-2"/>
                <w:position w:val="5"/>
              </w:rPr>
              <w:t>旅行</w:t>
            </w:r>
          </w:p>
          <w:p>
            <w:pPr>
              <w:pStyle w:val="TableText"/>
              <w:ind w:left="65"/>
              <w:spacing w:line="221" w:lineRule="auto"/>
              <w:rPr>
                <w:sz w:val="16"/>
                <w:szCs w:val="16"/>
              </w:rPr>
            </w:pPr>
            <w:r>
              <w:rPr>
                <w:sz w:val="16"/>
                <w:szCs w:val="16"/>
                <w:spacing w:val="8"/>
              </w:rPr>
              <w:t>平台</w:t>
            </w:r>
          </w:p>
        </w:tc>
        <w:tc>
          <w:tcPr>
            <w:tcW w:w="859" w:type="dxa"/>
            <w:vAlign w:val="top"/>
          </w:tcPr>
          <w:p>
            <w:pPr>
              <w:pStyle w:val="TableText"/>
              <w:ind w:left="61"/>
              <w:spacing w:before="68" w:line="221" w:lineRule="auto"/>
              <w:rPr>
                <w:sz w:val="16"/>
                <w:szCs w:val="16"/>
              </w:rPr>
            </w:pPr>
            <w:r>
              <w:rPr>
                <w:sz w:val="16"/>
                <w:szCs w:val="16"/>
                <w:spacing w:val="3"/>
              </w:rPr>
              <w:t>同上</w:t>
            </w:r>
          </w:p>
        </w:tc>
        <w:tc>
          <w:tcPr>
            <w:tcW w:w="6753" w:type="dxa"/>
            <w:vAlign w:val="top"/>
          </w:tcPr>
          <w:p>
            <w:pPr>
              <w:pStyle w:val="TableText"/>
              <w:ind w:left="101"/>
              <w:spacing w:before="68" w:line="221" w:lineRule="auto"/>
              <w:rPr>
                <w:sz w:val="16"/>
                <w:szCs w:val="16"/>
              </w:rPr>
            </w:pPr>
            <w:r>
              <w:rPr>
                <w:sz w:val="16"/>
                <w:szCs w:val="16"/>
                <w:spacing w:val="3"/>
              </w:rPr>
              <w:t>同上</w:t>
            </w:r>
          </w:p>
        </w:tc>
        <w:tc>
          <w:tcPr>
            <w:tcW w:w="1184" w:type="dxa"/>
            <w:vAlign w:val="top"/>
          </w:tcPr>
          <w:p>
            <w:pPr>
              <w:rPr>
                <w:rFonts w:ascii="Arial"/>
                <w:sz w:val="21"/>
              </w:rPr>
            </w:pPr>
            <w:r/>
          </w:p>
        </w:tc>
      </w:tr>
    </w:tbl>
    <w:p>
      <w:pPr>
        <w:pStyle w:val="BodyText"/>
        <w:rPr/>
      </w:pPr>
      <w:r/>
    </w:p>
    <w:p>
      <w:pPr>
        <w:sectPr>
          <w:footerReference w:type="default" r:id="rId465"/>
          <w:pgSz w:w="12480" w:h="7330"/>
          <w:pgMar w:top="228" w:right="724" w:bottom="1319" w:left="985" w:header="0" w:footer="1103" w:gutter="0"/>
        </w:sectPr>
        <w:rPr/>
      </w:pPr>
    </w:p>
    <w:p>
      <w:pPr>
        <w:pStyle w:val="BodyText"/>
        <w:spacing w:line="334" w:lineRule="auto"/>
        <w:rPr/>
      </w:pPr>
      <w:r>
        <mc:AlternateContent xmlns:mc="http://schemas.openxmlformats.org/markup-compatibility/2006">
          <mc:Choice Requires="wps">
            <w:drawing>
              <wp:anchor distT="0" distB="0" distL="0" distR="0" simplePos="0" relativeHeight="255677440" behindDoc="0" locked="0" layoutInCell="0" allowOverlap="1">
                <wp:simplePos x="0" y="0"/>
                <wp:positionH relativeFrom="page">
                  <wp:posOffset>7522892</wp:posOffset>
                </wp:positionH>
                <wp:positionV relativeFrom="page">
                  <wp:posOffset>501960</wp:posOffset>
                </wp:positionV>
                <wp:extent cx="171450" cy="158114"/>
                <wp:effectExtent l="0" t="0" r="0" b="0"/>
                <wp:wrapNone/>
                <wp:docPr id="334" name="TextBox 334"/>
                <wp:cNvGraphicFramePr/>
                <a:graphic>
                  <a:graphicData uri="http://schemas.microsoft.com/office/word/2010/wordprocessingShape">
                    <wps:wsp>
                      <wps:cNvSpPr txBox="1"/>
                      <wps:spPr>
                        <a:xfrm rot="5400000">
                          <a:off x="7522892" y="501960"/>
                          <a:ext cx="171450" cy="15811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72" w:line="203" w:lineRule="auto"/>
                              <w:rPr>
                                <w:rFonts w:ascii="STXinwei" w:hAnsi="STXinwei" w:eastAsia="STXinwei" w:cs="STXinwei"/>
                                <w:sz w:val="14"/>
                                <w:szCs w:val="14"/>
                              </w:rPr>
                            </w:pPr>
                            <w:r>
                              <w:rPr>
                                <w:rFonts w:ascii="STXinwei" w:hAnsi="STXinwei" w:eastAsia="STXinwei" w:cs="STXinwei"/>
                                <w:sz w:val="14"/>
                                <w:szCs w:val="14"/>
                                <w:spacing w:val="-3"/>
                              </w:rPr>
                              <w:t>382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8" style="position:absolute;margin-left:592.354pt;margin-top:39.5245pt;mso-position-vertical-relative:page;mso-position-horizontal-relative:page;width:13.5pt;height:12.45pt;z-index:255677440;rotation:90;" o:allowincell="f" filled="false" stroked="false" type="#_x0000_t202">
                <v:fill on="false"/>
                <v:stroke on="false"/>
                <v:path/>
                <v:imagedata o:title=""/>
                <o:lock v:ext="edit" aspectratio="false"/>
                <v:textbox inset="0mm,0mm,0mm,0mm">
                  <w:txbxContent>
                    <w:p>
                      <w:pPr>
                        <w:ind w:left="20"/>
                        <w:spacing w:before="72" w:line="203" w:lineRule="auto"/>
                        <w:rPr>
                          <w:rFonts w:ascii="STXinwei" w:hAnsi="STXinwei" w:eastAsia="STXinwei" w:cs="STXinwei"/>
                          <w:sz w:val="14"/>
                          <w:szCs w:val="14"/>
                        </w:rPr>
                      </w:pPr>
                      <w:r>
                        <w:rPr>
                          <w:rFonts w:ascii="STXinwei" w:hAnsi="STXinwei" w:eastAsia="STXinwei" w:cs="STXinwei"/>
                          <w:sz w:val="14"/>
                          <w:szCs w:val="14"/>
                          <w:spacing w:val="-3"/>
                        </w:rPr>
                        <w:t>382</w:t>
                      </w:r>
                    </w:p>
                  </w:txbxContent>
                </v:textbox>
              </v:shape>
            </w:pict>
          </mc:Fallback>
        </mc:AlternateContent>
      </w:r>
      <w:r>
        <mc:AlternateContent xmlns:mc="http://schemas.openxmlformats.org/markup-compatibility/2006">
          <mc:Choice Requires="wps">
            <w:drawing>
              <wp:anchor distT="0" distB="0" distL="0" distR="0" simplePos="0" relativeHeight="255676416" behindDoc="0" locked="0" layoutInCell="0" allowOverlap="1">
                <wp:simplePos x="0" y="0"/>
                <wp:positionH relativeFrom="page">
                  <wp:posOffset>6931177</wp:posOffset>
                </wp:positionH>
                <wp:positionV relativeFrom="page">
                  <wp:posOffset>2351182</wp:posOffset>
                </wp:positionV>
                <wp:extent cx="1383664" cy="147954"/>
                <wp:effectExtent l="0" t="0" r="0" b="0"/>
                <wp:wrapNone/>
                <wp:docPr id="336" name="TextBox 336"/>
                <wp:cNvGraphicFramePr/>
                <a:graphic>
                  <a:graphicData uri="http://schemas.microsoft.com/office/word/2010/wordprocessingShape">
                    <wps:wsp>
                      <wps:cNvSpPr txBox="1"/>
                      <wps:spPr>
                        <a:xfrm rot="5400000">
                          <a:off x="6931177" y="2351182"/>
                          <a:ext cx="1383664"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5" w:line="221" w:lineRule="auto"/>
                              <w:rPr>
                                <w:rFonts w:ascii="SimHei" w:hAnsi="SimHei" w:eastAsia="SimHei" w:cs="SimHei"/>
                                <w:sz w:val="14"/>
                                <w:szCs w:val="14"/>
                              </w:rPr>
                            </w:pPr>
                            <w:r>
                              <w:rPr>
                                <w:rFonts w:ascii="SimHei" w:hAnsi="SimHei" w:eastAsia="SimHei" w:cs="SimHei"/>
                                <w:sz w:val="14"/>
                                <w:szCs w:val="14"/>
                                <w:spacing w:val="9"/>
                              </w:rPr>
                              <w:t>平</w:t>
                            </w:r>
                            <w:r>
                              <w:rPr>
                                <w:rFonts w:ascii="SimHei" w:hAnsi="SimHei" w:eastAsia="SimHei" w:cs="SimHei"/>
                                <w:sz w:val="14"/>
                                <w:szCs w:val="14"/>
                                <w:spacing w:val="-38"/>
                              </w:rPr>
                              <w:t xml:space="preserve"> </w:t>
                            </w:r>
                            <w:r>
                              <w:rPr>
                                <w:rFonts w:ascii="SimHei" w:hAnsi="SimHei" w:eastAsia="SimHei" w:cs="SimHei"/>
                                <w:sz w:val="14"/>
                                <w:szCs w:val="14"/>
                                <w:spacing w:val="9"/>
                              </w:rPr>
                              <w:t>台经济——</w:t>
                            </w:r>
                            <w:r>
                              <w:rPr>
                                <w:rFonts w:ascii="SimHei" w:hAnsi="SimHei" w:eastAsia="SimHei" w:cs="SimHei"/>
                                <w:sz w:val="14"/>
                                <w:szCs w:val="14"/>
                                <w:spacing w:val="-51"/>
                              </w:rPr>
                              <w:t xml:space="preserve"> </w:t>
                            </w:r>
                            <w:r>
                              <w:rPr>
                                <w:rFonts w:ascii="SimHei" w:hAnsi="SimHei" w:eastAsia="SimHei" w:cs="SimHei"/>
                                <w:sz w:val="14"/>
                                <w:szCs w:val="14"/>
                                <w:spacing w:val="9"/>
                              </w:rPr>
                              <w:t>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0" style="position:absolute;margin-left:545.762pt;margin-top:185.132pt;mso-position-vertical-relative:page;mso-position-horizontal-relative:page;width:108.95pt;height:11.65pt;z-index:255676416;rotation:90;" o:allowincell="f" filled="false" stroked="false" type="#_x0000_t202">
                <v:fill on="false"/>
                <v:stroke on="false"/>
                <v:path/>
                <v:imagedata o:title=""/>
                <o:lock v:ext="edit" aspectratio="false"/>
                <v:textbox inset="0mm,0mm,0mm,0mm">
                  <w:txbxContent>
                    <w:p>
                      <w:pPr>
                        <w:ind w:left="20"/>
                        <w:spacing w:before="45" w:line="221" w:lineRule="auto"/>
                        <w:rPr>
                          <w:rFonts w:ascii="SimHei" w:hAnsi="SimHei" w:eastAsia="SimHei" w:cs="SimHei"/>
                          <w:sz w:val="14"/>
                          <w:szCs w:val="14"/>
                        </w:rPr>
                      </w:pPr>
                      <w:r>
                        <w:rPr>
                          <w:rFonts w:ascii="SimHei" w:hAnsi="SimHei" w:eastAsia="SimHei" w:cs="SimHei"/>
                          <w:sz w:val="14"/>
                          <w:szCs w:val="14"/>
                          <w:spacing w:val="9"/>
                        </w:rPr>
                        <w:t>平</w:t>
                      </w:r>
                      <w:r>
                        <w:rPr>
                          <w:rFonts w:ascii="SimHei" w:hAnsi="SimHei" w:eastAsia="SimHei" w:cs="SimHei"/>
                          <w:sz w:val="14"/>
                          <w:szCs w:val="14"/>
                          <w:spacing w:val="-38"/>
                        </w:rPr>
                        <w:t xml:space="preserve"> </w:t>
                      </w:r>
                      <w:r>
                        <w:rPr>
                          <w:rFonts w:ascii="SimHei" w:hAnsi="SimHei" w:eastAsia="SimHei" w:cs="SimHei"/>
                          <w:sz w:val="14"/>
                          <w:szCs w:val="14"/>
                          <w:spacing w:val="9"/>
                        </w:rPr>
                        <w:t>台经济——</w:t>
                      </w:r>
                      <w:r>
                        <w:rPr>
                          <w:rFonts w:ascii="SimHei" w:hAnsi="SimHei" w:eastAsia="SimHei" w:cs="SimHei"/>
                          <w:sz w:val="14"/>
                          <w:szCs w:val="14"/>
                          <w:spacing w:val="-51"/>
                        </w:rPr>
                        <w:t xml:space="preserve"> </w:t>
                      </w:r>
                      <w:r>
                        <w:rPr>
                          <w:rFonts w:ascii="SimHei" w:hAnsi="SimHei" w:eastAsia="SimHei" w:cs="SimHei"/>
                          <w:sz w:val="14"/>
                          <w:szCs w:val="14"/>
                          <w:spacing w:val="9"/>
                        </w:rPr>
                        <w:t>创新、治理与繁荣</w:t>
                      </w:r>
                    </w:p>
                  </w:txbxContent>
                </v:textbox>
              </v:shape>
            </w:pict>
          </mc:Fallback>
        </mc:AlternateContent>
      </w:r>
      <w:r/>
    </w:p>
    <w:p>
      <w:pPr>
        <w:ind w:left="9064"/>
        <w:spacing w:before="62" w:line="223" w:lineRule="auto"/>
        <w:rPr>
          <w:rFonts w:ascii="SimHei" w:hAnsi="SimHei" w:eastAsia="SimHei" w:cs="SimHei"/>
          <w:sz w:val="19"/>
          <w:szCs w:val="19"/>
        </w:rPr>
      </w:pPr>
      <w:r>
        <w:rPr>
          <w:rFonts w:ascii="SimHei" w:hAnsi="SimHei" w:eastAsia="SimHei" w:cs="SimHei"/>
          <w:sz w:val="19"/>
          <w:szCs w:val="19"/>
          <w:spacing w:val="-9"/>
        </w:rPr>
        <w:t>(续表)</w:t>
      </w:r>
    </w:p>
    <w:p>
      <w:pPr>
        <w:spacing w:line="87" w:lineRule="exact"/>
        <w:rPr/>
      </w:pPr>
      <w:r/>
    </w:p>
    <w:tbl>
      <w:tblPr>
        <w:tblStyle w:val="TableNormal"/>
        <w:tblW w:w="95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859"/>
        <w:gridCol w:w="6762"/>
        <w:gridCol w:w="1194"/>
      </w:tblGrid>
      <w:tr>
        <w:trPr>
          <w:trHeight w:val="543" w:hRule="atLeast"/>
        </w:trPr>
        <w:tc>
          <w:tcPr>
            <w:tcW w:w="704" w:type="dxa"/>
            <w:vAlign w:val="top"/>
          </w:tcPr>
          <w:p>
            <w:pPr>
              <w:pStyle w:val="TableText"/>
              <w:ind w:left="187"/>
              <w:spacing w:before="81" w:line="238" w:lineRule="exact"/>
              <w:rPr>
                <w:sz w:val="16"/>
                <w:szCs w:val="16"/>
              </w:rPr>
            </w:pPr>
            <w:r>
              <w:rPr>
                <w:sz w:val="16"/>
                <w:szCs w:val="16"/>
                <w:b/>
                <w:bCs/>
                <w:spacing w:val="-4"/>
                <w:position w:val="5"/>
              </w:rPr>
              <w:t>平台</w:t>
            </w:r>
          </w:p>
          <w:p>
            <w:pPr>
              <w:pStyle w:val="TableText"/>
              <w:ind w:left="187"/>
              <w:spacing w:line="219" w:lineRule="auto"/>
              <w:rPr>
                <w:sz w:val="16"/>
                <w:szCs w:val="16"/>
              </w:rPr>
            </w:pPr>
            <w:r>
              <w:rPr>
                <w:sz w:val="16"/>
                <w:szCs w:val="16"/>
                <w:b/>
                <w:bCs/>
                <w:spacing w:val="-4"/>
              </w:rPr>
              <w:t>类型</w:t>
            </w:r>
          </w:p>
        </w:tc>
        <w:tc>
          <w:tcPr>
            <w:tcW w:w="859" w:type="dxa"/>
            <w:vAlign w:val="top"/>
          </w:tcPr>
          <w:p>
            <w:pPr>
              <w:pStyle w:val="TableText"/>
              <w:ind w:left="263"/>
              <w:spacing w:before="79" w:line="230" w:lineRule="exact"/>
              <w:rPr>
                <w:sz w:val="16"/>
                <w:szCs w:val="16"/>
              </w:rPr>
            </w:pPr>
            <w:r>
              <w:rPr>
                <w:sz w:val="16"/>
                <w:szCs w:val="16"/>
                <w:b/>
                <w:bCs/>
                <w:spacing w:val="-6"/>
                <w:position w:val="5"/>
              </w:rPr>
              <w:t>审批</w:t>
            </w:r>
          </w:p>
          <w:p>
            <w:pPr>
              <w:pStyle w:val="TableText"/>
              <w:ind w:left="263"/>
              <w:spacing w:line="219" w:lineRule="auto"/>
              <w:rPr>
                <w:sz w:val="16"/>
                <w:szCs w:val="16"/>
              </w:rPr>
            </w:pPr>
            <w:r>
              <w:rPr>
                <w:sz w:val="16"/>
                <w:szCs w:val="16"/>
                <w:b/>
                <w:bCs/>
                <w:spacing w:val="5"/>
              </w:rPr>
              <w:t>部门</w:t>
            </w:r>
          </w:p>
        </w:tc>
        <w:tc>
          <w:tcPr>
            <w:tcW w:w="6762" w:type="dxa"/>
            <w:vAlign w:val="top"/>
          </w:tcPr>
          <w:p>
            <w:pPr>
              <w:pStyle w:val="TableText"/>
              <w:ind w:left="3094"/>
              <w:spacing w:before="189" w:line="219" w:lineRule="auto"/>
              <w:rPr>
                <w:sz w:val="16"/>
                <w:szCs w:val="16"/>
              </w:rPr>
            </w:pPr>
            <w:r>
              <w:rPr>
                <w:sz w:val="16"/>
                <w:szCs w:val="16"/>
                <w:b/>
                <w:bCs/>
                <w:spacing w:val="-4"/>
              </w:rPr>
              <w:t>准入条件</w:t>
            </w:r>
          </w:p>
        </w:tc>
        <w:tc>
          <w:tcPr>
            <w:tcW w:w="1194" w:type="dxa"/>
            <w:vAlign w:val="top"/>
          </w:tcPr>
          <w:p>
            <w:pPr>
              <w:pStyle w:val="TableText"/>
              <w:ind w:left="432"/>
              <w:spacing w:before="190" w:line="221" w:lineRule="auto"/>
              <w:rPr>
                <w:sz w:val="16"/>
                <w:szCs w:val="16"/>
              </w:rPr>
            </w:pPr>
            <w:r>
              <w:rPr>
                <w:sz w:val="16"/>
                <w:szCs w:val="16"/>
                <w:b/>
                <w:bCs/>
                <w:spacing w:val="-4"/>
              </w:rPr>
              <w:t>备注</w:t>
            </w:r>
          </w:p>
        </w:tc>
      </w:tr>
      <w:tr>
        <w:trPr>
          <w:trHeight w:val="5575" w:hRule="atLeast"/>
        </w:trPr>
        <w:tc>
          <w:tcPr>
            <w:tcW w:w="704" w:type="dxa"/>
            <w:vAlign w:val="top"/>
          </w:tcPr>
          <w:p>
            <w:pPr>
              <w:pStyle w:val="TableText"/>
              <w:ind w:left="65"/>
              <w:spacing w:before="78" w:line="232" w:lineRule="exact"/>
              <w:rPr>
                <w:sz w:val="16"/>
                <w:szCs w:val="16"/>
              </w:rPr>
            </w:pPr>
            <w:r>
              <w:rPr>
                <w:sz w:val="16"/>
                <w:szCs w:val="16"/>
                <w:spacing w:val="-2"/>
                <w:position w:val="5"/>
              </w:rPr>
              <w:t>支付</w:t>
            </w:r>
          </w:p>
          <w:p>
            <w:pPr>
              <w:pStyle w:val="TableText"/>
              <w:ind w:left="65"/>
              <w:spacing w:line="221" w:lineRule="auto"/>
              <w:rPr>
                <w:sz w:val="16"/>
                <w:szCs w:val="16"/>
              </w:rPr>
            </w:pPr>
            <w:r>
              <w:rPr>
                <w:sz w:val="16"/>
                <w:szCs w:val="16"/>
                <w:spacing w:val="8"/>
              </w:rPr>
              <w:t>平台</w:t>
            </w:r>
          </w:p>
        </w:tc>
        <w:tc>
          <w:tcPr>
            <w:tcW w:w="859" w:type="dxa"/>
            <w:vAlign w:val="top"/>
          </w:tcPr>
          <w:p>
            <w:pPr>
              <w:pStyle w:val="TableText"/>
              <w:ind w:left="73" w:right="101" w:firstLine="29"/>
              <w:spacing w:before="87" w:line="248" w:lineRule="auto"/>
              <w:rPr>
                <w:sz w:val="16"/>
                <w:szCs w:val="16"/>
              </w:rPr>
            </w:pPr>
            <w:r>
              <w:rPr>
                <w:sz w:val="16"/>
                <w:szCs w:val="16"/>
                <w:b/>
                <w:bCs/>
                <w:spacing w:val="-1"/>
              </w:rPr>
              <w:t>中国人民</w:t>
            </w:r>
            <w:r>
              <w:rPr>
                <w:sz w:val="16"/>
                <w:szCs w:val="16"/>
              </w:rPr>
              <w:t xml:space="preserve"> </w:t>
            </w:r>
            <w:r>
              <w:rPr>
                <w:sz w:val="16"/>
                <w:szCs w:val="16"/>
                <w:b/>
                <w:bCs/>
                <w:spacing w:val="-4"/>
              </w:rPr>
              <w:t>银行</w:t>
            </w:r>
          </w:p>
        </w:tc>
        <w:tc>
          <w:tcPr>
            <w:tcW w:w="6762" w:type="dxa"/>
            <w:vAlign w:val="top"/>
          </w:tcPr>
          <w:p>
            <w:pPr>
              <w:pStyle w:val="TableText"/>
              <w:ind w:left="34"/>
              <w:spacing w:before="65" w:line="219" w:lineRule="auto"/>
              <w:rPr>
                <w:sz w:val="16"/>
                <w:szCs w:val="16"/>
              </w:rPr>
            </w:pPr>
            <w:r>
              <w:rPr>
                <w:sz w:val="16"/>
                <w:szCs w:val="16"/>
                <w:b/>
                <w:bCs/>
                <w:spacing w:val="-3"/>
              </w:rPr>
              <w:t>《非金融机构支付服务管理办法》</w:t>
            </w:r>
          </w:p>
          <w:p>
            <w:pPr>
              <w:pStyle w:val="TableText"/>
              <w:ind w:left="94" w:right="103" w:firstLine="19"/>
              <w:spacing w:before="59" w:line="262" w:lineRule="auto"/>
              <w:rPr>
                <w:sz w:val="16"/>
                <w:szCs w:val="16"/>
              </w:rPr>
            </w:pPr>
            <w:r>
              <w:rPr>
                <w:sz w:val="16"/>
                <w:szCs w:val="16"/>
                <w:b/>
                <w:bCs/>
                <w:spacing w:val="-2"/>
              </w:rPr>
              <w:t>第三条</w:t>
            </w:r>
            <w:r>
              <w:rPr>
                <w:sz w:val="16"/>
                <w:szCs w:val="16"/>
                <w:spacing w:val="-2"/>
              </w:rPr>
              <w:t xml:space="preserve"> </w:t>
            </w:r>
            <w:r>
              <w:rPr>
                <w:sz w:val="16"/>
                <w:szCs w:val="16"/>
                <w:b/>
                <w:bCs/>
                <w:spacing w:val="-2"/>
              </w:rPr>
              <w:t>非金融机构提供支付服务，应当依据本办法规定</w:t>
            </w:r>
            <w:r>
              <w:rPr>
                <w:sz w:val="16"/>
                <w:szCs w:val="16"/>
                <w:b/>
                <w:bCs/>
                <w:spacing w:val="-3"/>
              </w:rPr>
              <w:t>取得《支付业务许可证》,成为支付</w:t>
            </w:r>
            <w:r>
              <w:rPr>
                <w:sz w:val="16"/>
                <w:szCs w:val="16"/>
                <w:spacing w:val="-3"/>
              </w:rPr>
              <w:t xml:space="preserve">   </w:t>
            </w:r>
            <w:r>
              <w:rPr>
                <w:sz w:val="16"/>
                <w:szCs w:val="16"/>
                <w:b/>
                <w:bCs/>
                <w:spacing w:val="-2"/>
              </w:rPr>
              <w:t>机构。支付机构依法接受中国人民银行的监督管理。未经中国人民银行批准，任何非金融</w:t>
            </w:r>
            <w:r>
              <w:rPr>
                <w:sz w:val="16"/>
                <w:szCs w:val="16"/>
                <w:b/>
                <w:bCs/>
                <w:spacing w:val="-3"/>
              </w:rPr>
              <w:t>机构</w:t>
            </w:r>
            <w:r>
              <w:rPr>
                <w:sz w:val="16"/>
                <w:szCs w:val="16"/>
                <w:spacing w:val="-3"/>
              </w:rPr>
              <w:t xml:space="preserve"> </w:t>
            </w:r>
            <w:r>
              <w:rPr>
                <w:sz w:val="16"/>
                <w:szCs w:val="16"/>
                <w:b/>
                <w:bCs/>
                <w:spacing w:val="-1"/>
              </w:rPr>
              <w:t>和个人不得从事或变相从事支付业务。</w:t>
            </w:r>
          </w:p>
          <w:p>
            <w:pPr>
              <w:pStyle w:val="TableText"/>
              <w:ind w:left="114"/>
              <w:spacing w:before="40" w:line="219" w:lineRule="auto"/>
              <w:rPr>
                <w:sz w:val="16"/>
                <w:szCs w:val="16"/>
              </w:rPr>
            </w:pPr>
            <w:r>
              <w:rPr>
                <w:sz w:val="16"/>
                <w:szCs w:val="16"/>
                <w:b/>
                <w:bCs/>
                <w:spacing w:val="-2"/>
              </w:rPr>
              <w:t>第八条《支付业务许可证》的申请人应当具备下列条件：</w:t>
            </w:r>
          </w:p>
          <w:p>
            <w:pPr>
              <w:pStyle w:val="TableText"/>
              <w:ind w:left="114" w:right="2"/>
              <w:spacing w:before="49" w:line="248" w:lineRule="auto"/>
              <w:rPr>
                <w:sz w:val="16"/>
                <w:szCs w:val="16"/>
              </w:rPr>
            </w:pPr>
            <w:r>
              <w:rPr>
                <w:sz w:val="16"/>
                <w:szCs w:val="16"/>
                <w:b/>
                <w:bCs/>
              </w:rPr>
              <w:t>(一)在中华人民共和国境内依法设立的有限责任公司或股份有限公司，且为非金融</w:t>
            </w:r>
            <w:r>
              <w:rPr>
                <w:sz w:val="16"/>
                <w:szCs w:val="16"/>
                <w:b/>
                <w:bCs/>
                <w:spacing w:val="-1"/>
              </w:rPr>
              <w:t>机构法人；</w:t>
            </w:r>
            <w:r>
              <w:rPr>
                <w:sz w:val="16"/>
                <w:szCs w:val="16"/>
                <w:spacing w:val="-1"/>
              </w:rPr>
              <w:t xml:space="preserve"> </w:t>
            </w:r>
            <w:r>
              <w:rPr>
                <w:sz w:val="16"/>
                <w:szCs w:val="16"/>
                <w:b/>
                <w:bCs/>
                <w:spacing w:val="1"/>
              </w:rPr>
              <w:t>(二)有符合本办法规定的注册资本最低限额；</w:t>
            </w:r>
          </w:p>
          <w:p>
            <w:pPr>
              <w:pStyle w:val="TableText"/>
              <w:ind w:left="114"/>
              <w:spacing w:before="70" w:line="219" w:lineRule="auto"/>
              <w:rPr>
                <w:sz w:val="16"/>
                <w:szCs w:val="16"/>
              </w:rPr>
            </w:pPr>
            <w:r>
              <w:rPr>
                <w:sz w:val="16"/>
                <w:szCs w:val="16"/>
                <w:b/>
                <w:bCs/>
                <w:spacing w:val="3"/>
              </w:rPr>
              <w:t>(三)有符合本办法规定的出资人；</w:t>
            </w:r>
          </w:p>
          <w:p>
            <w:pPr>
              <w:pStyle w:val="TableText"/>
              <w:ind w:left="114"/>
              <w:spacing w:before="30" w:line="260" w:lineRule="exact"/>
              <w:rPr>
                <w:sz w:val="16"/>
                <w:szCs w:val="16"/>
              </w:rPr>
            </w:pPr>
            <w:r>
              <w:rPr>
                <w:sz w:val="16"/>
                <w:szCs w:val="16"/>
                <w:b/>
                <w:bCs/>
                <w:spacing w:val="1"/>
                <w:position w:val="7"/>
              </w:rPr>
              <w:t>(四)有5名以上熟悉支付业务的高级管理人员；</w:t>
            </w:r>
          </w:p>
          <w:p>
            <w:pPr>
              <w:pStyle w:val="TableText"/>
              <w:ind w:left="114"/>
              <w:spacing w:line="219" w:lineRule="auto"/>
              <w:rPr>
                <w:sz w:val="16"/>
                <w:szCs w:val="16"/>
              </w:rPr>
            </w:pPr>
            <w:r>
              <w:rPr>
                <w:sz w:val="16"/>
                <w:szCs w:val="16"/>
                <w:b/>
                <w:bCs/>
                <w:spacing w:val="3"/>
              </w:rPr>
              <w:t>(五)有符合要求的反洗钱措施；</w:t>
            </w:r>
          </w:p>
          <w:p>
            <w:pPr>
              <w:pStyle w:val="TableText"/>
              <w:ind w:left="114"/>
              <w:spacing w:before="51" w:line="219" w:lineRule="auto"/>
              <w:rPr>
                <w:sz w:val="16"/>
                <w:szCs w:val="16"/>
              </w:rPr>
            </w:pPr>
            <w:r>
              <w:rPr>
                <w:sz w:val="16"/>
                <w:szCs w:val="16"/>
                <w:b/>
                <w:bCs/>
                <w:spacing w:val="3"/>
              </w:rPr>
              <w:t>(六)有符合要求的支付业务设施；</w:t>
            </w:r>
          </w:p>
          <w:p>
            <w:pPr>
              <w:pStyle w:val="TableText"/>
              <w:ind w:left="114"/>
              <w:spacing w:before="49" w:line="221" w:lineRule="exact"/>
              <w:rPr>
                <w:sz w:val="16"/>
                <w:szCs w:val="16"/>
              </w:rPr>
            </w:pPr>
            <w:r>
              <w:rPr>
                <w:sz w:val="16"/>
                <w:szCs w:val="16"/>
                <w:b/>
                <w:bCs/>
                <w:spacing w:val="1"/>
                <w:position w:val="4"/>
              </w:rPr>
              <w:t>(七)有健全的组织机构、内部控制制度和风险管理措施；</w:t>
            </w:r>
          </w:p>
          <w:p>
            <w:pPr>
              <w:pStyle w:val="TableText"/>
              <w:ind w:left="114"/>
              <w:spacing w:line="219" w:lineRule="auto"/>
              <w:rPr>
                <w:sz w:val="16"/>
                <w:szCs w:val="16"/>
              </w:rPr>
            </w:pPr>
            <w:r>
              <w:rPr>
                <w:sz w:val="16"/>
                <w:szCs w:val="16"/>
                <w:b/>
                <w:bCs/>
                <w:spacing w:val="1"/>
              </w:rPr>
              <w:t>(八)有符合要求的营业场所和安全保障措施；</w:t>
            </w:r>
          </w:p>
          <w:p>
            <w:pPr>
              <w:pStyle w:val="TableText"/>
              <w:ind w:left="113" w:right="333" w:hanging="19"/>
              <w:spacing w:before="49" w:line="260" w:lineRule="auto"/>
              <w:rPr>
                <w:sz w:val="16"/>
                <w:szCs w:val="16"/>
              </w:rPr>
            </w:pPr>
            <w:r>
              <w:rPr>
                <w:sz w:val="16"/>
                <w:szCs w:val="16"/>
                <w:b/>
                <w:bCs/>
                <w:spacing w:val="-2"/>
              </w:rPr>
              <w:t>(九)申请人及其高级管理人员最近3年内未因利用支付业务实施违法犯罪活动或为违法犯罪</w:t>
            </w:r>
            <w:r>
              <w:rPr>
                <w:sz w:val="16"/>
                <w:szCs w:val="16"/>
                <w:spacing w:val="-2"/>
              </w:rPr>
              <w:t xml:space="preserve"> </w:t>
            </w:r>
            <w:r>
              <w:rPr>
                <w:sz w:val="16"/>
                <w:szCs w:val="16"/>
                <w:b/>
                <w:bCs/>
                <w:spacing w:val="-2"/>
              </w:rPr>
              <w:t>活动办理支付业务等受过处罚。</w:t>
            </w:r>
          </w:p>
          <w:p>
            <w:pPr>
              <w:pStyle w:val="TableText"/>
              <w:ind w:left="114" w:right="234" w:firstLine="9"/>
              <w:spacing w:before="49" w:line="248" w:lineRule="auto"/>
              <w:rPr>
                <w:sz w:val="16"/>
                <w:szCs w:val="16"/>
              </w:rPr>
            </w:pPr>
            <w:r>
              <w:rPr>
                <w:sz w:val="16"/>
                <w:szCs w:val="16"/>
                <w:b/>
                <w:bCs/>
                <w:spacing w:val="-3"/>
              </w:rPr>
              <w:t>第九条</w:t>
            </w:r>
            <w:r>
              <w:rPr>
                <w:sz w:val="16"/>
                <w:szCs w:val="16"/>
                <w:spacing w:val="35"/>
              </w:rPr>
              <w:t xml:space="preserve"> </w:t>
            </w:r>
            <w:r>
              <w:rPr>
                <w:sz w:val="16"/>
                <w:szCs w:val="16"/>
                <w:b/>
                <w:bCs/>
                <w:spacing w:val="-3"/>
              </w:rPr>
              <w:t>申请人拟在全国范围内从事支付业务的，其注册资本最低限额为1亿元人民币；拟在</w:t>
            </w:r>
            <w:r>
              <w:rPr>
                <w:sz w:val="16"/>
                <w:szCs w:val="16"/>
                <w:spacing w:val="-3"/>
              </w:rPr>
              <w:t xml:space="preserve"> </w:t>
            </w:r>
            <w:r>
              <w:rPr>
                <w:sz w:val="16"/>
                <w:szCs w:val="16"/>
                <w:b/>
                <w:bCs/>
                <w:spacing w:val="-2"/>
              </w:rPr>
              <w:t>省(自治区、直辖市)范围内从事支付业务的，其注册资本最低限额为3千万元人民币。注册</w:t>
            </w:r>
          </w:p>
          <w:p>
            <w:pPr>
              <w:pStyle w:val="TableText"/>
              <w:ind w:left="114"/>
              <w:spacing w:before="60" w:line="219" w:lineRule="auto"/>
              <w:rPr>
                <w:sz w:val="16"/>
                <w:szCs w:val="16"/>
              </w:rPr>
            </w:pPr>
            <w:r>
              <w:rPr>
                <w:sz w:val="16"/>
                <w:szCs w:val="16"/>
                <w:b/>
                <w:bCs/>
                <w:spacing w:val="-2"/>
              </w:rPr>
              <w:t>资本最低限额为实缴货币资本。</w:t>
            </w:r>
          </w:p>
          <w:p>
            <w:pPr>
              <w:pStyle w:val="TableText"/>
              <w:ind w:left="114" w:right="234" w:firstLine="9"/>
              <w:spacing w:before="20" w:line="254" w:lineRule="auto"/>
              <w:rPr>
                <w:sz w:val="16"/>
                <w:szCs w:val="16"/>
              </w:rPr>
            </w:pPr>
            <w:r>
              <w:rPr>
                <w:sz w:val="16"/>
                <w:szCs w:val="16"/>
                <w:b/>
                <w:bCs/>
                <w:spacing w:val="-2"/>
              </w:rPr>
              <w:t>本办法所称在全国范围内从事支付业务，包括申请人跨省(自治区、直辖市)设立分支</w:t>
            </w:r>
            <w:r>
              <w:rPr>
                <w:sz w:val="16"/>
                <w:szCs w:val="16"/>
                <w:b/>
                <w:bCs/>
                <w:spacing w:val="-3"/>
              </w:rPr>
              <w:t>机构从</w:t>
            </w:r>
            <w:r>
              <w:rPr>
                <w:sz w:val="16"/>
                <w:szCs w:val="16"/>
                <w:spacing w:val="-3"/>
              </w:rPr>
              <w:t xml:space="preserve"> </w:t>
            </w:r>
            <w:r>
              <w:rPr>
                <w:sz w:val="16"/>
                <w:szCs w:val="16"/>
                <w:b/>
                <w:bCs/>
                <w:spacing w:val="-2"/>
              </w:rPr>
              <w:t>事支付业务，或客户可跨省(自治区、直辖市)办理支付业务的情形。</w:t>
            </w:r>
          </w:p>
          <w:p>
            <w:pPr>
              <w:pStyle w:val="TableText"/>
              <w:ind w:left="114"/>
              <w:spacing w:before="50" w:line="219" w:lineRule="auto"/>
              <w:rPr>
                <w:sz w:val="16"/>
                <w:szCs w:val="16"/>
              </w:rPr>
            </w:pPr>
            <w:r>
              <w:rPr>
                <w:sz w:val="16"/>
                <w:szCs w:val="16"/>
                <w:b/>
                <w:bCs/>
                <w:spacing w:val="-2"/>
              </w:rPr>
              <w:t>中国人民银行根据国家有关法律法规和政策规定，调整申请人的注册资本最低限额。</w:t>
            </w:r>
          </w:p>
          <w:p>
            <w:pPr>
              <w:pStyle w:val="TableText"/>
              <w:ind w:left="113" w:right="97" w:hanging="9"/>
              <w:spacing w:before="60" w:line="243" w:lineRule="auto"/>
              <w:rPr>
                <w:sz w:val="16"/>
                <w:szCs w:val="16"/>
              </w:rPr>
            </w:pPr>
            <w:r>
              <w:rPr>
                <w:sz w:val="16"/>
                <w:szCs w:val="16"/>
                <w:b/>
                <w:bCs/>
                <w:spacing w:val="-2"/>
              </w:rPr>
              <w:t>外商投资支付机构的业务范围、境外出资人的资格条件和出资比例等，由中国人</w:t>
            </w:r>
            <w:r>
              <w:rPr>
                <w:sz w:val="16"/>
                <w:szCs w:val="16"/>
                <w:b/>
                <w:bCs/>
                <w:spacing w:val="-3"/>
              </w:rPr>
              <w:t>民银行另行规</w:t>
            </w:r>
            <w:r>
              <w:rPr>
                <w:sz w:val="16"/>
                <w:szCs w:val="16"/>
                <w:spacing w:val="-3"/>
              </w:rPr>
              <w:t xml:space="preserve"> </w:t>
            </w:r>
            <w:r>
              <w:rPr>
                <w:sz w:val="16"/>
                <w:szCs w:val="16"/>
                <w:b/>
                <w:bCs/>
                <w:spacing w:val="-3"/>
              </w:rPr>
              <w:t>定，报国务院批准。</w:t>
            </w:r>
          </w:p>
        </w:tc>
        <w:tc>
          <w:tcPr>
            <w:tcW w:w="1194" w:type="dxa"/>
            <w:vAlign w:val="top"/>
          </w:tcPr>
          <w:p>
            <w:pPr>
              <w:pStyle w:val="TableText"/>
              <w:ind w:left="92" w:right="36" w:firstLine="19"/>
              <w:spacing w:before="90" w:line="272" w:lineRule="auto"/>
              <w:rPr>
                <w:sz w:val="16"/>
                <w:szCs w:val="16"/>
              </w:rPr>
            </w:pPr>
            <w:r>
              <w:rPr>
                <w:sz w:val="16"/>
                <w:szCs w:val="16"/>
                <w:b/>
                <w:bCs/>
                <w:spacing w:val="-3"/>
              </w:rPr>
              <w:t>截至2020年10</w:t>
            </w:r>
            <w:r>
              <w:rPr>
                <w:sz w:val="16"/>
                <w:szCs w:val="16"/>
                <w:spacing w:val="2"/>
              </w:rPr>
              <w:t xml:space="preserve">  </w:t>
            </w:r>
            <w:r>
              <w:rPr>
                <w:sz w:val="16"/>
                <w:szCs w:val="16"/>
                <w:b/>
                <w:bCs/>
                <w:spacing w:val="2"/>
              </w:rPr>
              <w:t>月31日，中国</w:t>
            </w:r>
            <w:r>
              <w:rPr>
                <w:sz w:val="16"/>
                <w:szCs w:val="16"/>
                <w:spacing w:val="2"/>
              </w:rPr>
              <w:t xml:space="preserve">  </w:t>
            </w:r>
            <w:r>
              <w:rPr>
                <w:sz w:val="16"/>
                <w:szCs w:val="16"/>
                <w:b/>
                <w:bCs/>
                <w:spacing w:val="6"/>
              </w:rPr>
              <w:t>共发行421张</w:t>
            </w:r>
            <w:r>
              <w:rPr>
                <w:sz w:val="16"/>
                <w:szCs w:val="16"/>
              </w:rPr>
              <w:t xml:space="preserve">  </w:t>
            </w:r>
            <w:r>
              <w:rPr>
                <w:sz w:val="16"/>
                <w:szCs w:val="16"/>
                <w:b/>
                <w:bCs/>
              </w:rPr>
              <w:t>支付牌照。其</w:t>
            </w:r>
            <w:r>
              <w:rPr>
                <w:sz w:val="16"/>
                <w:szCs w:val="16"/>
                <w:spacing w:val="1"/>
              </w:rPr>
              <w:t xml:space="preserve">  </w:t>
            </w:r>
            <w:r>
              <w:rPr>
                <w:sz w:val="16"/>
                <w:szCs w:val="16"/>
                <w:b/>
                <w:bCs/>
                <w:spacing w:val="-12"/>
              </w:rPr>
              <w:t>中</w:t>
            </w:r>
            <w:r>
              <w:rPr>
                <w:sz w:val="16"/>
                <w:szCs w:val="16"/>
                <w:spacing w:val="-14"/>
              </w:rPr>
              <w:t xml:space="preserve"> </w:t>
            </w:r>
            <w:r>
              <w:rPr>
                <w:sz w:val="16"/>
                <w:szCs w:val="16"/>
                <w:b/>
                <w:bCs/>
                <w:spacing w:val="-12"/>
              </w:rPr>
              <w:t>预</w:t>
            </w:r>
            <w:r>
              <w:rPr>
                <w:sz w:val="16"/>
                <w:szCs w:val="16"/>
                <w:spacing w:val="-18"/>
              </w:rPr>
              <w:t xml:space="preserve"> </w:t>
            </w:r>
            <w:r>
              <w:rPr>
                <w:sz w:val="16"/>
                <w:szCs w:val="16"/>
                <w:b/>
                <w:bCs/>
                <w:spacing w:val="-12"/>
              </w:rPr>
              <w:t>付</w:t>
            </w:r>
            <w:r>
              <w:rPr>
                <w:sz w:val="16"/>
                <w:szCs w:val="16"/>
                <w:spacing w:val="-16"/>
              </w:rPr>
              <w:t xml:space="preserve"> </w:t>
            </w:r>
            <w:r>
              <w:rPr>
                <w:sz w:val="16"/>
                <w:szCs w:val="16"/>
                <w:b/>
                <w:bCs/>
                <w:spacing w:val="-12"/>
              </w:rPr>
              <w:t>卡</w:t>
            </w:r>
            <w:r>
              <w:rPr>
                <w:sz w:val="16"/>
                <w:szCs w:val="16"/>
                <w:spacing w:val="-14"/>
              </w:rPr>
              <w:t xml:space="preserve"> </w:t>
            </w:r>
            <w:r>
              <w:rPr>
                <w:sz w:val="16"/>
                <w:szCs w:val="16"/>
                <w:b/>
                <w:bCs/>
                <w:spacing w:val="-12"/>
              </w:rPr>
              <w:t>受</w:t>
            </w:r>
            <w:r>
              <w:rPr>
                <w:sz w:val="16"/>
                <w:szCs w:val="16"/>
                <w:spacing w:val="-12"/>
              </w:rPr>
              <w:t xml:space="preserve"> </w:t>
            </w:r>
            <w:r>
              <w:rPr>
                <w:sz w:val="16"/>
                <w:szCs w:val="16"/>
                <w:b/>
                <w:bCs/>
                <w:spacing w:val="6"/>
              </w:rPr>
              <w:t>理6张，预付</w:t>
            </w:r>
            <w:r>
              <w:rPr>
                <w:sz w:val="16"/>
                <w:szCs w:val="16"/>
                <w:spacing w:val="2"/>
              </w:rPr>
              <w:t xml:space="preserve">  </w:t>
            </w:r>
            <w:r>
              <w:rPr>
                <w:sz w:val="16"/>
                <w:szCs w:val="16"/>
                <w:b/>
                <w:bCs/>
              </w:rPr>
              <w:t>卡发行与受理</w:t>
            </w:r>
            <w:r>
              <w:rPr>
                <w:sz w:val="16"/>
                <w:szCs w:val="16"/>
              </w:rPr>
              <w:t xml:space="preserve">  </w:t>
            </w:r>
            <w:r>
              <w:rPr>
                <w:sz w:val="16"/>
                <w:szCs w:val="16"/>
                <w:b/>
                <w:bCs/>
                <w:spacing w:val="4"/>
              </w:rPr>
              <w:t>173张，互联</w:t>
            </w:r>
            <w:r>
              <w:rPr>
                <w:sz w:val="16"/>
                <w:szCs w:val="16"/>
              </w:rPr>
              <w:t xml:space="preserve">  </w:t>
            </w:r>
            <w:r>
              <w:rPr>
                <w:sz w:val="16"/>
                <w:szCs w:val="16"/>
                <w:b/>
                <w:bCs/>
              </w:rPr>
              <w:t>网支付112张，</w:t>
            </w:r>
            <w:r>
              <w:rPr>
                <w:sz w:val="16"/>
                <w:szCs w:val="16"/>
              </w:rPr>
              <w:t xml:space="preserve"> </w:t>
            </w:r>
            <w:r>
              <w:rPr>
                <w:sz w:val="16"/>
                <w:szCs w:val="16"/>
                <w:b/>
                <w:bCs/>
              </w:rPr>
              <w:t>银行卡收单66</w:t>
            </w:r>
            <w:r>
              <w:rPr>
                <w:sz w:val="16"/>
                <w:szCs w:val="16"/>
              </w:rPr>
              <w:t xml:space="preserve">  </w:t>
            </w:r>
            <w:r>
              <w:rPr>
                <w:sz w:val="16"/>
                <w:szCs w:val="16"/>
                <w:b/>
                <w:bCs/>
                <w:spacing w:val="-1"/>
              </w:rPr>
              <w:t>张，移动电话</w:t>
            </w:r>
            <w:r>
              <w:rPr>
                <w:sz w:val="16"/>
                <w:szCs w:val="16"/>
                <w:spacing w:val="2"/>
              </w:rPr>
              <w:t xml:space="preserve">  </w:t>
            </w:r>
            <w:r>
              <w:rPr>
                <w:sz w:val="16"/>
                <w:szCs w:val="16"/>
                <w:b/>
                <w:bCs/>
              </w:rPr>
              <w:t>支付50张，固</w:t>
            </w:r>
            <w:r>
              <w:rPr>
                <w:sz w:val="16"/>
                <w:szCs w:val="16"/>
              </w:rPr>
              <w:t xml:space="preserve">  </w:t>
            </w:r>
            <w:r>
              <w:rPr>
                <w:sz w:val="16"/>
                <w:szCs w:val="16"/>
                <w:b/>
                <w:bCs/>
                <w:spacing w:val="6"/>
              </w:rPr>
              <w:t>定电话支付9</w:t>
            </w:r>
            <w:r>
              <w:rPr>
                <w:sz w:val="16"/>
                <w:szCs w:val="16"/>
                <w:spacing w:val="1"/>
              </w:rPr>
              <w:t xml:space="preserve">  </w:t>
            </w:r>
            <w:r>
              <w:rPr>
                <w:sz w:val="16"/>
                <w:szCs w:val="16"/>
                <w:b/>
                <w:bCs/>
                <w:spacing w:val="-1"/>
              </w:rPr>
              <w:t>张，数字电视</w:t>
            </w:r>
            <w:r>
              <w:rPr>
                <w:sz w:val="16"/>
                <w:szCs w:val="16"/>
                <w:spacing w:val="2"/>
              </w:rPr>
              <w:t xml:space="preserve">  </w:t>
            </w:r>
            <w:r>
              <w:rPr>
                <w:sz w:val="16"/>
                <w:szCs w:val="16"/>
                <w:b/>
                <w:bCs/>
                <w:spacing w:val="3"/>
              </w:rPr>
              <w:t>支付5张。</w:t>
            </w:r>
          </w:p>
        </w:tc>
      </w:tr>
    </w:tbl>
    <w:p>
      <w:pPr>
        <w:pStyle w:val="BodyText"/>
        <w:spacing w:line="14" w:lineRule="auto"/>
        <w:rPr>
          <w:sz w:val="2"/>
        </w:rPr>
      </w:pPr>
      <w:r/>
    </w:p>
    <w:p>
      <w:pPr>
        <w:spacing w:line="14" w:lineRule="auto"/>
        <w:sectPr>
          <w:footerReference w:type="default" r:id="rId2"/>
          <w:pgSz w:w="12480" w:h="7330"/>
          <w:pgMar w:top="400" w:right="404" w:bottom="55" w:left="1295" w:header="0" w:footer="0" w:gutter="0"/>
        </w:sectPr>
        <w:rPr>
          <w:sz w:val="2"/>
          <w:szCs w:val="2"/>
        </w:rPr>
      </w:pPr>
    </w:p>
    <w:p>
      <w:pPr>
        <w:ind w:left="9054"/>
        <w:spacing w:line="223" w:lineRule="auto"/>
        <w:rPr>
          <w:rFonts w:ascii="SimHei" w:hAnsi="SimHei" w:eastAsia="SimHei" w:cs="SimHei"/>
          <w:sz w:val="19"/>
          <w:szCs w:val="19"/>
        </w:rPr>
      </w:pPr>
      <w:r>
        <mc:AlternateContent xmlns:mc="http://schemas.openxmlformats.org/markup-compatibility/2006">
          <mc:Choice Requires="wps">
            <w:drawing>
              <wp:anchor distT="0" distB="0" distL="0" distR="0" simplePos="0" relativeHeight="255686656" behindDoc="0" locked="0" layoutInCell="0" allowOverlap="1">
                <wp:simplePos x="0" y="0"/>
                <wp:positionH relativeFrom="page">
                  <wp:posOffset>6617524</wp:posOffset>
                </wp:positionH>
                <wp:positionV relativeFrom="page">
                  <wp:posOffset>2093366</wp:posOffset>
                </wp:positionV>
                <wp:extent cx="1591944" cy="147954"/>
                <wp:effectExtent l="0" t="0" r="0" b="0"/>
                <wp:wrapNone/>
                <wp:docPr id="340" name="TextBox 340"/>
                <wp:cNvGraphicFramePr/>
                <a:graphic>
                  <a:graphicData uri="http://schemas.microsoft.com/office/word/2010/wordprocessingShape">
                    <wps:wsp>
                      <wps:cNvSpPr txBox="1"/>
                      <wps:spPr>
                        <a:xfrm rot="5400000">
                          <a:off x="6617524" y="2093366"/>
                          <a:ext cx="1591944"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5" w:line="221" w:lineRule="auto"/>
                              <w:rPr>
                                <w:rFonts w:ascii="SimHei" w:hAnsi="SimHei" w:eastAsia="SimHei" w:cs="SimHei"/>
                                <w:sz w:val="14"/>
                                <w:szCs w:val="14"/>
                              </w:rPr>
                            </w:pPr>
                            <w:r>
                              <w:rPr>
                                <w:rFonts w:ascii="SimHei" w:hAnsi="SimHei" w:eastAsia="SimHei" w:cs="SimHei"/>
                                <w:sz w:val="14"/>
                                <w:szCs w:val="14"/>
                                <w:spacing w:val="17"/>
                              </w:rPr>
                              <w:t>第</w:t>
                            </w:r>
                            <w:r>
                              <w:rPr>
                                <w:rFonts w:ascii="SimHei" w:hAnsi="SimHei" w:eastAsia="SimHei" w:cs="SimHei"/>
                                <w:sz w:val="14"/>
                                <w:szCs w:val="14"/>
                                <w:spacing w:val="-27"/>
                              </w:rPr>
                              <w:t xml:space="preserve"> </w:t>
                            </w:r>
                            <w:r>
                              <w:rPr>
                                <w:rFonts w:ascii="SimHei" w:hAnsi="SimHei" w:eastAsia="SimHei" w:cs="SimHei"/>
                                <w:sz w:val="14"/>
                                <w:szCs w:val="14"/>
                                <w:spacing w:val="17"/>
                              </w:rPr>
                              <w:t>十</w:t>
                            </w:r>
                            <w:r>
                              <w:rPr>
                                <w:rFonts w:ascii="SimHei" w:hAnsi="SimHei" w:eastAsia="SimHei" w:cs="SimHei"/>
                                <w:sz w:val="14"/>
                                <w:szCs w:val="14"/>
                                <w:spacing w:val="-36"/>
                              </w:rPr>
                              <w:t xml:space="preserve"> </w:t>
                            </w:r>
                            <w:r>
                              <w:rPr>
                                <w:rFonts w:ascii="SimHei" w:hAnsi="SimHei" w:eastAsia="SimHei" w:cs="SimHei"/>
                                <w:sz w:val="14"/>
                                <w:szCs w:val="14"/>
                                <w:spacing w:val="17"/>
                              </w:rPr>
                              <w:t>一</w:t>
                            </w:r>
                            <w:r>
                              <w:rPr>
                                <w:rFonts w:ascii="SimHei" w:hAnsi="SimHei" w:eastAsia="SimHei" w:cs="SimHei"/>
                                <w:sz w:val="14"/>
                                <w:szCs w:val="14"/>
                                <w:spacing w:val="-37"/>
                              </w:rPr>
                              <w:t xml:space="preserve"> </w:t>
                            </w:r>
                            <w:r>
                              <w:rPr>
                                <w:rFonts w:ascii="SimHei" w:hAnsi="SimHei" w:eastAsia="SimHei" w:cs="SimHei"/>
                                <w:sz w:val="14"/>
                                <w:szCs w:val="14"/>
                                <w:spacing w:val="17"/>
                              </w:rPr>
                              <w:t>章平台的挑战与失焦的监管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4" style="position:absolute;margin-left:521.065pt;margin-top:164.832pt;mso-position-vertical-relative:page;mso-position-horizontal-relative:page;width:125.35pt;height:11.65pt;z-index:255686656;rotation:90;" o:allowincell="f" filled="false" stroked="false" type="#_x0000_t202">
                <v:fill on="false"/>
                <v:stroke on="false"/>
                <v:path/>
                <v:imagedata o:title=""/>
                <o:lock v:ext="edit" aspectratio="false"/>
                <v:textbox inset="0mm,0mm,0mm,0mm">
                  <w:txbxContent>
                    <w:p>
                      <w:pPr>
                        <w:ind w:left="20"/>
                        <w:spacing w:before="45" w:line="221" w:lineRule="auto"/>
                        <w:rPr>
                          <w:rFonts w:ascii="SimHei" w:hAnsi="SimHei" w:eastAsia="SimHei" w:cs="SimHei"/>
                          <w:sz w:val="14"/>
                          <w:szCs w:val="14"/>
                        </w:rPr>
                      </w:pPr>
                      <w:r>
                        <w:rPr>
                          <w:rFonts w:ascii="SimHei" w:hAnsi="SimHei" w:eastAsia="SimHei" w:cs="SimHei"/>
                          <w:sz w:val="14"/>
                          <w:szCs w:val="14"/>
                          <w:spacing w:val="17"/>
                        </w:rPr>
                        <w:t>第</w:t>
                      </w:r>
                      <w:r>
                        <w:rPr>
                          <w:rFonts w:ascii="SimHei" w:hAnsi="SimHei" w:eastAsia="SimHei" w:cs="SimHei"/>
                          <w:sz w:val="14"/>
                          <w:szCs w:val="14"/>
                          <w:spacing w:val="-27"/>
                        </w:rPr>
                        <w:t xml:space="preserve"> </w:t>
                      </w:r>
                      <w:r>
                        <w:rPr>
                          <w:rFonts w:ascii="SimHei" w:hAnsi="SimHei" w:eastAsia="SimHei" w:cs="SimHei"/>
                          <w:sz w:val="14"/>
                          <w:szCs w:val="14"/>
                          <w:spacing w:val="17"/>
                        </w:rPr>
                        <w:t>十</w:t>
                      </w:r>
                      <w:r>
                        <w:rPr>
                          <w:rFonts w:ascii="SimHei" w:hAnsi="SimHei" w:eastAsia="SimHei" w:cs="SimHei"/>
                          <w:sz w:val="14"/>
                          <w:szCs w:val="14"/>
                          <w:spacing w:val="-36"/>
                        </w:rPr>
                        <w:t xml:space="preserve"> </w:t>
                      </w:r>
                      <w:r>
                        <w:rPr>
                          <w:rFonts w:ascii="SimHei" w:hAnsi="SimHei" w:eastAsia="SimHei" w:cs="SimHei"/>
                          <w:sz w:val="14"/>
                          <w:szCs w:val="14"/>
                          <w:spacing w:val="17"/>
                        </w:rPr>
                        <w:t>一</w:t>
                      </w:r>
                      <w:r>
                        <w:rPr>
                          <w:rFonts w:ascii="SimHei" w:hAnsi="SimHei" w:eastAsia="SimHei" w:cs="SimHei"/>
                          <w:sz w:val="14"/>
                          <w:szCs w:val="14"/>
                          <w:spacing w:val="-37"/>
                        </w:rPr>
                        <w:t xml:space="preserve"> </w:t>
                      </w:r>
                      <w:r>
                        <w:rPr>
                          <w:rFonts w:ascii="SimHei" w:hAnsi="SimHei" w:eastAsia="SimHei" w:cs="SimHei"/>
                          <w:sz w:val="14"/>
                          <w:szCs w:val="14"/>
                          <w:spacing w:val="17"/>
                        </w:rPr>
                        <w:t>章平台的挑战与失焦的监管</w:t>
                      </w:r>
                    </w:p>
                  </w:txbxContent>
                </v:textbox>
              </v:shape>
            </w:pict>
          </mc:Fallback>
        </mc:AlternateContent>
      </w:r>
      <w:r>
        <w:rPr>
          <w:rFonts w:ascii="SimHei" w:hAnsi="SimHei" w:eastAsia="SimHei" w:cs="SimHei"/>
          <w:sz w:val="19"/>
          <w:szCs w:val="19"/>
          <w:spacing w:val="-9"/>
        </w:rPr>
        <w:t>(续表)</w:t>
      </w:r>
    </w:p>
    <w:p>
      <w:pPr>
        <w:spacing w:line="107" w:lineRule="exact"/>
        <w:rPr/>
      </w:pPr>
      <w:r/>
    </w:p>
    <w:tbl>
      <w:tblPr>
        <w:tblStyle w:val="TableNormal"/>
        <w:tblW w:w="95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24"/>
        <w:gridCol w:w="849"/>
        <w:gridCol w:w="6773"/>
        <w:gridCol w:w="1173"/>
      </w:tblGrid>
      <w:tr>
        <w:trPr>
          <w:trHeight w:val="531" w:hRule="atLeast"/>
        </w:trPr>
        <w:tc>
          <w:tcPr>
            <w:tcW w:w="724" w:type="dxa"/>
            <w:vAlign w:val="top"/>
          </w:tcPr>
          <w:p>
            <w:pPr>
              <w:pStyle w:val="TableText"/>
              <w:ind w:left="197"/>
              <w:spacing w:before="70" w:line="239" w:lineRule="exact"/>
              <w:rPr>
                <w:sz w:val="16"/>
                <w:szCs w:val="16"/>
              </w:rPr>
            </w:pPr>
            <w:r>
              <w:rPr>
                <w:sz w:val="16"/>
                <w:szCs w:val="16"/>
                <w:b/>
                <w:bCs/>
                <w:spacing w:val="-4"/>
                <w:position w:val="5"/>
              </w:rPr>
              <w:t>平台</w:t>
            </w:r>
          </w:p>
          <w:p>
            <w:pPr>
              <w:pStyle w:val="TableText"/>
              <w:ind w:left="197"/>
              <w:spacing w:line="219" w:lineRule="auto"/>
              <w:rPr>
                <w:sz w:val="16"/>
                <w:szCs w:val="16"/>
              </w:rPr>
            </w:pPr>
            <w:r>
              <w:rPr>
                <w:sz w:val="16"/>
                <w:szCs w:val="16"/>
                <w:b/>
                <w:bCs/>
                <w:spacing w:val="-4"/>
              </w:rPr>
              <w:t>类型</w:t>
            </w:r>
          </w:p>
        </w:tc>
        <w:tc>
          <w:tcPr>
            <w:tcW w:w="849" w:type="dxa"/>
            <w:vAlign w:val="top"/>
          </w:tcPr>
          <w:p>
            <w:pPr>
              <w:pStyle w:val="TableText"/>
              <w:ind w:left="253"/>
              <w:spacing w:before="59" w:line="260" w:lineRule="exact"/>
              <w:rPr>
                <w:sz w:val="16"/>
                <w:szCs w:val="16"/>
              </w:rPr>
            </w:pPr>
            <w:r>
              <w:rPr>
                <w:sz w:val="16"/>
                <w:szCs w:val="16"/>
                <w:b/>
                <w:bCs/>
                <w:spacing w:val="-6"/>
                <w:position w:val="7"/>
              </w:rPr>
              <w:t>审批</w:t>
            </w:r>
          </w:p>
          <w:p>
            <w:pPr>
              <w:pStyle w:val="TableText"/>
              <w:ind w:left="253"/>
              <w:spacing w:line="219" w:lineRule="auto"/>
              <w:rPr>
                <w:sz w:val="16"/>
                <w:szCs w:val="16"/>
              </w:rPr>
            </w:pPr>
            <w:r>
              <w:rPr>
                <w:sz w:val="16"/>
                <w:szCs w:val="16"/>
                <w:b/>
                <w:bCs/>
                <w:spacing w:val="5"/>
              </w:rPr>
              <w:t>部门</w:t>
            </w:r>
          </w:p>
        </w:tc>
        <w:tc>
          <w:tcPr>
            <w:tcW w:w="6773" w:type="dxa"/>
            <w:vAlign w:val="top"/>
          </w:tcPr>
          <w:p>
            <w:pPr>
              <w:pStyle w:val="TableText"/>
              <w:ind w:left="3074"/>
              <w:spacing w:before="189" w:line="219" w:lineRule="auto"/>
              <w:rPr>
                <w:sz w:val="16"/>
                <w:szCs w:val="16"/>
              </w:rPr>
            </w:pPr>
            <w:r>
              <w:rPr>
                <w:sz w:val="16"/>
                <w:szCs w:val="16"/>
                <w:b/>
                <w:bCs/>
                <w:spacing w:val="-4"/>
              </w:rPr>
              <w:t>准入条件</w:t>
            </w:r>
          </w:p>
        </w:tc>
        <w:tc>
          <w:tcPr>
            <w:tcW w:w="1173" w:type="dxa"/>
            <w:vAlign w:val="top"/>
          </w:tcPr>
          <w:p>
            <w:pPr>
              <w:pStyle w:val="TableText"/>
              <w:ind w:left="431"/>
              <w:spacing w:before="190" w:line="221" w:lineRule="auto"/>
              <w:rPr>
                <w:sz w:val="16"/>
                <w:szCs w:val="16"/>
              </w:rPr>
            </w:pPr>
            <w:r>
              <w:rPr>
                <w:sz w:val="16"/>
                <w:szCs w:val="16"/>
                <w:b/>
                <w:bCs/>
                <w:spacing w:val="-4"/>
              </w:rPr>
              <w:t>备注</w:t>
            </w:r>
          </w:p>
        </w:tc>
      </w:tr>
      <w:tr>
        <w:trPr>
          <w:trHeight w:val="3131" w:hRule="atLeast"/>
        </w:trPr>
        <w:tc>
          <w:tcPr>
            <w:tcW w:w="724" w:type="dxa"/>
            <w:vAlign w:val="top"/>
          </w:tcPr>
          <w:p>
            <w:pPr>
              <w:pStyle w:val="TableText"/>
              <w:ind w:left="65"/>
              <w:spacing w:before="131" w:line="183" w:lineRule="auto"/>
              <w:rPr>
                <w:sz w:val="16"/>
                <w:szCs w:val="16"/>
              </w:rPr>
            </w:pPr>
            <w:r>
              <w:rPr>
                <w:sz w:val="16"/>
                <w:szCs w:val="16"/>
                <w:spacing w:val="-1"/>
              </w:rPr>
              <w:t>P2P</w:t>
            </w:r>
          </w:p>
          <w:p>
            <w:pPr>
              <w:pStyle w:val="TableText"/>
              <w:ind w:left="65"/>
              <w:spacing w:before="32" w:line="221" w:lineRule="auto"/>
              <w:rPr>
                <w:sz w:val="16"/>
                <w:szCs w:val="16"/>
              </w:rPr>
            </w:pPr>
            <w:r>
              <w:rPr>
                <w:sz w:val="16"/>
                <w:szCs w:val="16"/>
                <w:spacing w:val="8"/>
              </w:rPr>
              <w:t>平台</w:t>
            </w:r>
          </w:p>
        </w:tc>
        <w:tc>
          <w:tcPr>
            <w:tcW w:w="849" w:type="dxa"/>
            <w:vAlign w:val="top"/>
          </w:tcPr>
          <w:p>
            <w:pPr>
              <w:pStyle w:val="TableText"/>
              <w:ind w:left="71" w:right="67" w:firstLine="19"/>
              <w:spacing w:before="92" w:line="265" w:lineRule="auto"/>
              <w:jc w:val="both"/>
              <w:rPr>
                <w:sz w:val="16"/>
                <w:szCs w:val="16"/>
              </w:rPr>
            </w:pPr>
            <w:r>
              <w:rPr>
                <w:sz w:val="16"/>
                <w:szCs w:val="16"/>
                <w:spacing w:val="-3"/>
              </w:rPr>
              <w:t>工商登记</w:t>
            </w:r>
            <w:r>
              <w:rPr>
                <w:sz w:val="16"/>
                <w:szCs w:val="16"/>
                <w:spacing w:val="2"/>
              </w:rPr>
              <w:t xml:space="preserve"> </w:t>
            </w:r>
            <w:r>
              <w:rPr>
                <w:sz w:val="16"/>
                <w:szCs w:val="16"/>
                <w:spacing w:val="3"/>
              </w:rPr>
              <w:t>注册地地</w:t>
            </w:r>
            <w:r>
              <w:rPr>
                <w:sz w:val="16"/>
                <w:szCs w:val="16"/>
              </w:rPr>
              <w:t xml:space="preserve"> </w:t>
            </w:r>
            <w:r>
              <w:rPr>
                <w:sz w:val="16"/>
                <w:szCs w:val="16"/>
                <w:spacing w:val="3"/>
              </w:rPr>
              <w:t>方金融监</w:t>
            </w:r>
            <w:r>
              <w:rPr>
                <w:sz w:val="16"/>
                <w:szCs w:val="16"/>
              </w:rPr>
              <w:t xml:space="preserve"> </w:t>
            </w:r>
            <w:r>
              <w:rPr>
                <w:sz w:val="16"/>
                <w:szCs w:val="16"/>
                <w:spacing w:val="14"/>
              </w:rPr>
              <w:t>管部门，</w:t>
            </w:r>
            <w:r>
              <w:rPr>
                <w:sz w:val="16"/>
                <w:szCs w:val="16"/>
                <w:spacing w:val="2"/>
              </w:rPr>
              <w:t xml:space="preserve"> </w:t>
            </w:r>
            <w:r>
              <w:rPr>
                <w:sz w:val="16"/>
                <w:szCs w:val="16"/>
                <w:spacing w:val="7"/>
              </w:rPr>
              <w:t>电信主管</w:t>
            </w:r>
            <w:r>
              <w:rPr>
                <w:sz w:val="16"/>
                <w:szCs w:val="16"/>
              </w:rPr>
              <w:t xml:space="preserve"> </w:t>
            </w:r>
            <w:r>
              <w:rPr>
                <w:sz w:val="16"/>
                <w:szCs w:val="16"/>
                <w:spacing w:val="9"/>
              </w:rPr>
              <w:t>部门</w:t>
            </w:r>
          </w:p>
        </w:tc>
        <w:tc>
          <w:tcPr>
            <w:tcW w:w="6773" w:type="dxa"/>
            <w:vAlign w:val="top"/>
          </w:tcPr>
          <w:p>
            <w:pPr>
              <w:pStyle w:val="TableText"/>
              <w:ind w:left="2"/>
              <w:spacing w:before="79" w:line="219" w:lineRule="auto"/>
              <w:rPr>
                <w:sz w:val="16"/>
                <w:szCs w:val="16"/>
              </w:rPr>
            </w:pPr>
            <w:r>
              <w:rPr>
                <w:sz w:val="16"/>
                <w:szCs w:val="16"/>
                <w:spacing w:val="-1"/>
              </w:rPr>
              <w:t>《网络借贷信息中介机构业务活动管理暂行办法》</w:t>
            </w:r>
          </w:p>
          <w:p>
            <w:pPr>
              <w:pStyle w:val="TableText"/>
              <w:ind w:left="111" w:right="187" w:hanging="9"/>
              <w:spacing w:before="49" w:line="254" w:lineRule="auto"/>
              <w:rPr>
                <w:sz w:val="16"/>
                <w:szCs w:val="16"/>
              </w:rPr>
            </w:pPr>
            <w:r>
              <w:rPr>
                <w:sz w:val="16"/>
                <w:szCs w:val="16"/>
              </w:rPr>
              <w:t>第五条 拟开展网络借贷信息中介服务的网络借贷信息中介机构及其分支机</w:t>
            </w:r>
            <w:r>
              <w:rPr>
                <w:sz w:val="16"/>
                <w:szCs w:val="16"/>
                <w:spacing w:val="-1"/>
              </w:rPr>
              <w:t>构，应当在领取营</w:t>
            </w:r>
            <w:r>
              <w:rPr>
                <w:sz w:val="16"/>
                <w:szCs w:val="16"/>
              </w:rPr>
              <w:t xml:space="preserve"> </w:t>
            </w:r>
            <w:r>
              <w:rPr>
                <w:sz w:val="16"/>
                <w:szCs w:val="16"/>
              </w:rPr>
              <w:t>业执照后，于10个工作日以内携带有关材料向工商登记注册地地方金融监管部门备案登记。</w:t>
            </w:r>
          </w:p>
          <w:p>
            <w:pPr>
              <w:pStyle w:val="TableText"/>
              <w:ind w:left="111" w:right="107" w:hanging="9"/>
              <w:spacing w:before="29" w:line="254" w:lineRule="auto"/>
              <w:rPr>
                <w:sz w:val="16"/>
                <w:szCs w:val="16"/>
              </w:rPr>
            </w:pPr>
            <w:r>
              <w:rPr>
                <w:sz w:val="16"/>
                <w:szCs w:val="16"/>
              </w:rPr>
              <w:t>地方金融监管部门负责为网络借贷信息中介机构办理备案登记。地方金融监</w:t>
            </w:r>
            <w:r>
              <w:rPr>
                <w:sz w:val="16"/>
                <w:szCs w:val="16"/>
                <w:spacing w:val="-1"/>
              </w:rPr>
              <w:t>管部门应当在网络</w:t>
            </w:r>
            <w:r>
              <w:rPr>
                <w:sz w:val="16"/>
                <w:szCs w:val="16"/>
              </w:rPr>
              <w:t xml:space="preserve"> </w:t>
            </w:r>
            <w:r>
              <w:rPr>
                <w:sz w:val="16"/>
                <w:szCs w:val="16"/>
              </w:rPr>
              <w:t>借贷信息中介机构提交的备案登记材料齐备时予以受理，并在各省(区、市</w:t>
            </w:r>
            <w:r>
              <w:rPr>
                <w:sz w:val="16"/>
                <w:szCs w:val="16"/>
                <w:spacing w:val="-1"/>
              </w:rPr>
              <w:t>)规定的时限内完</w:t>
            </w:r>
          </w:p>
          <w:p>
            <w:pPr>
              <w:pStyle w:val="TableText"/>
              <w:ind w:left="102" w:right="98" w:firstLine="9"/>
              <w:spacing w:before="50" w:line="253" w:lineRule="auto"/>
              <w:rPr>
                <w:sz w:val="16"/>
                <w:szCs w:val="16"/>
              </w:rPr>
            </w:pPr>
            <w:r>
              <w:rPr>
                <w:sz w:val="16"/>
                <w:szCs w:val="16"/>
              </w:rPr>
              <w:t>成备案登记手续。备案登记不构成对网络借贷信息中介机构经营能力、合</w:t>
            </w:r>
            <w:r>
              <w:rPr>
                <w:sz w:val="16"/>
                <w:szCs w:val="16"/>
                <w:spacing w:val="-1"/>
              </w:rPr>
              <w:t>规程度、资信状况的</w:t>
            </w:r>
            <w:r>
              <w:rPr>
                <w:sz w:val="16"/>
                <w:szCs w:val="16"/>
              </w:rPr>
              <w:t xml:space="preserve"> </w:t>
            </w:r>
            <w:r>
              <w:rPr>
                <w:sz w:val="16"/>
                <w:szCs w:val="16"/>
                <w:spacing w:val="-1"/>
              </w:rPr>
              <w:t>认可和评价。</w:t>
            </w:r>
          </w:p>
          <w:p>
            <w:pPr>
              <w:pStyle w:val="TableText"/>
              <w:ind w:left="121" w:right="107" w:hanging="19"/>
              <w:spacing w:before="32" w:line="247" w:lineRule="auto"/>
              <w:rPr>
                <w:sz w:val="16"/>
                <w:szCs w:val="16"/>
              </w:rPr>
            </w:pPr>
            <w:r>
              <w:rPr>
                <w:sz w:val="16"/>
                <w:szCs w:val="16"/>
              </w:rPr>
              <w:t>地方金融监管部门有权根据本办法和相关监管规则对备案登记后的网络借贷</w:t>
            </w:r>
            <w:r>
              <w:rPr>
                <w:sz w:val="16"/>
                <w:szCs w:val="16"/>
                <w:spacing w:val="-1"/>
              </w:rPr>
              <w:t>信息中介机构进行</w:t>
            </w:r>
            <w:r>
              <w:rPr>
                <w:sz w:val="16"/>
                <w:szCs w:val="16"/>
              </w:rPr>
              <w:t xml:space="preserve"> </w:t>
            </w:r>
            <w:r>
              <w:rPr>
                <w:sz w:val="16"/>
                <w:szCs w:val="16"/>
              </w:rPr>
              <w:t>评估分类，并及时将备案登记信息及分类结果在官方网站上公示。</w:t>
            </w:r>
          </w:p>
          <w:p>
            <w:pPr>
              <w:pStyle w:val="TableText"/>
              <w:ind w:left="82" w:right="73" w:firstLine="29"/>
              <w:spacing w:before="63" w:line="257" w:lineRule="auto"/>
              <w:jc w:val="both"/>
              <w:rPr>
                <w:sz w:val="16"/>
                <w:szCs w:val="16"/>
              </w:rPr>
            </w:pPr>
            <w:r>
              <w:rPr>
                <w:sz w:val="16"/>
                <w:szCs w:val="16"/>
              </w:rPr>
              <w:t>网络借贷信息中介机构完成地方金融监管部门备案登记后，应当按照通信主管部门的相关规定</w:t>
            </w:r>
            <w:r>
              <w:rPr>
                <w:sz w:val="16"/>
                <w:szCs w:val="16"/>
                <w:spacing w:val="9"/>
              </w:rPr>
              <w:t xml:space="preserve"> </w:t>
            </w:r>
            <w:r>
              <w:rPr>
                <w:sz w:val="16"/>
                <w:szCs w:val="16"/>
                <w:spacing w:val="1"/>
              </w:rPr>
              <w:t>申请相应的电信业务经营许可；未按规定申请电信业务经营许可的，不得开展网络借贷信息中</w:t>
            </w:r>
            <w:r>
              <w:rPr>
                <w:sz w:val="16"/>
                <w:szCs w:val="16"/>
                <w:spacing w:val="5"/>
              </w:rPr>
              <w:t xml:space="preserve"> </w:t>
            </w:r>
            <w:r>
              <w:rPr>
                <w:sz w:val="16"/>
                <w:szCs w:val="16"/>
                <w:spacing w:val="-1"/>
              </w:rPr>
              <w:t>介业务。</w:t>
            </w:r>
          </w:p>
          <w:p>
            <w:pPr>
              <w:pStyle w:val="TableText"/>
              <w:ind w:left="112"/>
              <w:spacing w:before="49" w:line="187" w:lineRule="auto"/>
              <w:rPr>
                <w:sz w:val="16"/>
                <w:szCs w:val="16"/>
              </w:rPr>
            </w:pPr>
            <w:r>
              <w:rPr>
                <w:sz w:val="16"/>
                <w:szCs w:val="16"/>
              </w:rPr>
              <w:t>网络借贷信息中介机构备案登记、评估分类等具体细则另行制定。</w:t>
            </w:r>
          </w:p>
        </w:tc>
        <w:tc>
          <w:tcPr>
            <w:tcW w:w="1173" w:type="dxa"/>
            <w:vAlign w:val="top"/>
          </w:tcPr>
          <w:p>
            <w:pPr>
              <w:rPr>
                <w:rFonts w:ascii="Arial"/>
                <w:sz w:val="21"/>
              </w:rPr>
            </w:pPr>
            <w:r/>
          </w:p>
        </w:tc>
      </w:tr>
      <w:tr>
        <w:trPr>
          <w:trHeight w:val="1721" w:hRule="atLeast"/>
        </w:trPr>
        <w:tc>
          <w:tcPr>
            <w:tcW w:w="724" w:type="dxa"/>
            <w:vAlign w:val="top"/>
          </w:tcPr>
          <w:p>
            <w:pPr>
              <w:pStyle w:val="TableText"/>
              <w:ind w:left="65"/>
              <w:spacing w:before="160" w:line="260" w:lineRule="exact"/>
              <w:rPr>
                <w:sz w:val="16"/>
                <w:szCs w:val="16"/>
              </w:rPr>
            </w:pPr>
            <w:r>
              <w:rPr>
                <w:sz w:val="16"/>
                <w:szCs w:val="16"/>
                <w:spacing w:val="2"/>
                <w:position w:val="7"/>
              </w:rPr>
              <w:t>网络购</w:t>
            </w:r>
          </w:p>
          <w:p>
            <w:pPr>
              <w:pStyle w:val="TableText"/>
              <w:ind w:left="65"/>
              <w:spacing w:line="220" w:lineRule="auto"/>
              <w:rPr>
                <w:sz w:val="16"/>
                <w:szCs w:val="16"/>
              </w:rPr>
            </w:pPr>
            <w:r>
              <w:rPr>
                <w:sz w:val="16"/>
                <w:szCs w:val="16"/>
                <w:spacing w:val="5"/>
              </w:rPr>
              <w:t>药平台</w:t>
            </w:r>
          </w:p>
        </w:tc>
        <w:tc>
          <w:tcPr>
            <w:tcW w:w="849" w:type="dxa"/>
            <w:vAlign w:val="top"/>
          </w:tcPr>
          <w:p>
            <w:pPr>
              <w:pStyle w:val="TableText"/>
              <w:spacing w:before="169" w:line="219" w:lineRule="auto"/>
              <w:jc w:val="right"/>
              <w:rPr>
                <w:sz w:val="16"/>
                <w:szCs w:val="16"/>
              </w:rPr>
            </w:pPr>
            <w:r>
              <w:rPr>
                <w:sz w:val="16"/>
                <w:szCs w:val="16"/>
                <w:spacing w:val="5"/>
              </w:rPr>
              <w:t>所在地省、</w:t>
            </w:r>
          </w:p>
          <w:p>
            <w:pPr>
              <w:pStyle w:val="TableText"/>
              <w:ind w:left="91" w:right="27"/>
              <w:spacing w:before="61" w:line="248" w:lineRule="auto"/>
              <w:jc w:val="both"/>
              <w:rPr>
                <w:sz w:val="16"/>
                <w:szCs w:val="16"/>
              </w:rPr>
            </w:pPr>
            <w:r>
              <w:rPr>
                <w:sz w:val="16"/>
                <w:szCs w:val="16"/>
                <w:spacing w:val="8"/>
              </w:rPr>
              <w:t>自治区</w:t>
            </w:r>
            <w:r>
              <w:rPr>
                <w:sz w:val="16"/>
                <w:szCs w:val="16"/>
                <w:spacing w:val="-34"/>
              </w:rPr>
              <w:t xml:space="preserve"> </w:t>
            </w:r>
            <w:r>
              <w:rPr>
                <w:sz w:val="16"/>
                <w:szCs w:val="16"/>
                <w:spacing w:val="8"/>
              </w:rPr>
              <w:t>、</w:t>
            </w:r>
            <w:r>
              <w:rPr>
                <w:sz w:val="16"/>
                <w:szCs w:val="16"/>
              </w:rPr>
              <w:t xml:space="preserve"> </w:t>
            </w:r>
            <w:r>
              <w:rPr>
                <w:sz w:val="16"/>
                <w:szCs w:val="16"/>
                <w:spacing w:val="-2"/>
              </w:rPr>
              <w:t>直辖市食</w:t>
            </w:r>
            <w:r>
              <w:rPr>
                <w:sz w:val="16"/>
                <w:szCs w:val="16"/>
              </w:rPr>
              <w:t xml:space="preserve">  </w:t>
            </w:r>
            <w:r>
              <w:rPr>
                <w:sz w:val="16"/>
                <w:szCs w:val="16"/>
                <w:spacing w:val="1"/>
              </w:rPr>
              <w:t>品药品监</w:t>
            </w:r>
            <w:r>
              <w:rPr>
                <w:sz w:val="16"/>
                <w:szCs w:val="16"/>
              </w:rPr>
              <w:t xml:space="preserve">  </w:t>
            </w:r>
            <w:r>
              <w:rPr>
                <w:sz w:val="16"/>
                <w:szCs w:val="16"/>
                <w:spacing w:val="-3"/>
              </w:rPr>
              <w:t>督管理部</w:t>
            </w:r>
            <w:r>
              <w:rPr>
                <w:sz w:val="16"/>
                <w:szCs w:val="16"/>
              </w:rPr>
              <w:t xml:space="preserve">  </w:t>
            </w:r>
            <w:r>
              <w:rPr>
                <w:sz w:val="16"/>
                <w:szCs w:val="16"/>
                <w:spacing w:val="2"/>
              </w:rPr>
              <w:t>门，电信</w:t>
            </w:r>
            <w:r>
              <w:rPr>
                <w:sz w:val="16"/>
                <w:szCs w:val="16"/>
                <w:spacing w:val="1"/>
              </w:rPr>
              <w:t xml:space="preserve">  </w:t>
            </w:r>
            <w:r>
              <w:rPr>
                <w:sz w:val="16"/>
                <w:szCs w:val="16"/>
                <w:spacing w:val="4"/>
              </w:rPr>
              <w:t>主管部门</w:t>
            </w:r>
          </w:p>
        </w:tc>
        <w:tc>
          <w:tcPr>
            <w:tcW w:w="6773" w:type="dxa"/>
            <w:vAlign w:val="top"/>
          </w:tcPr>
          <w:p>
            <w:pPr>
              <w:pStyle w:val="TableText"/>
              <w:ind w:left="2"/>
              <w:spacing w:before="149" w:line="219" w:lineRule="auto"/>
              <w:rPr>
                <w:sz w:val="16"/>
                <w:szCs w:val="16"/>
              </w:rPr>
            </w:pPr>
            <w:r>
              <w:rPr>
                <w:sz w:val="16"/>
                <w:szCs w:val="16"/>
              </w:rPr>
              <w:t>《互联网药品信息服务管理办法》(2017年修</w:t>
            </w:r>
            <w:r>
              <w:rPr>
                <w:sz w:val="16"/>
                <w:szCs w:val="16"/>
                <w:spacing w:val="-1"/>
              </w:rPr>
              <w:t>正)</w:t>
            </w:r>
          </w:p>
          <w:p>
            <w:pPr>
              <w:pStyle w:val="TableText"/>
              <w:ind w:left="102" w:right="101" w:firstLine="9"/>
              <w:spacing w:before="50" w:line="268" w:lineRule="auto"/>
              <w:rPr>
                <w:sz w:val="16"/>
                <w:szCs w:val="16"/>
              </w:rPr>
            </w:pPr>
            <w:r>
              <w:rPr>
                <w:sz w:val="16"/>
                <w:szCs w:val="16"/>
              </w:rPr>
              <w:t>第五条 拟提供互联网药品信息服务的网站，应当在向国务院信息产业主管</w:t>
            </w:r>
            <w:r>
              <w:rPr>
                <w:sz w:val="16"/>
                <w:szCs w:val="16"/>
                <w:spacing w:val="-1"/>
              </w:rPr>
              <w:t>部门或者省级电信</w:t>
            </w:r>
            <w:r>
              <w:rPr>
                <w:sz w:val="16"/>
                <w:szCs w:val="16"/>
              </w:rPr>
              <w:t xml:space="preserve">  </w:t>
            </w:r>
            <w:r>
              <w:rPr>
                <w:sz w:val="16"/>
                <w:szCs w:val="16"/>
              </w:rPr>
              <w:t>管理机构申请办理经营许可证或者办理备案手续之前，按照属地监督管理的原则，向该网</w:t>
            </w:r>
            <w:r>
              <w:rPr>
                <w:sz w:val="16"/>
                <w:szCs w:val="16"/>
                <w:spacing w:val="-1"/>
              </w:rPr>
              <w:t>站主</w:t>
            </w:r>
            <w:r>
              <w:rPr>
                <w:sz w:val="16"/>
                <w:szCs w:val="16"/>
              </w:rPr>
              <w:t xml:space="preserve"> </w:t>
            </w:r>
            <w:r>
              <w:rPr>
                <w:sz w:val="16"/>
                <w:szCs w:val="16"/>
              </w:rPr>
              <w:t>办单位所在地省、自治区、直辖市食品药品监督管理部门提出申请，</w:t>
            </w:r>
            <w:r>
              <w:rPr>
                <w:sz w:val="16"/>
                <w:szCs w:val="16"/>
                <w:spacing w:val="-1"/>
              </w:rPr>
              <w:t>经审核同意后取得提供互</w:t>
            </w:r>
            <w:r>
              <w:rPr>
                <w:sz w:val="16"/>
                <w:szCs w:val="16"/>
              </w:rPr>
              <w:t xml:space="preserve"> </w:t>
            </w:r>
            <w:r>
              <w:rPr>
                <w:sz w:val="16"/>
                <w:szCs w:val="16"/>
              </w:rPr>
              <w:t>联网药品信息服务的资格。</w:t>
            </w:r>
          </w:p>
          <w:p>
            <w:pPr>
              <w:pStyle w:val="TableText"/>
              <w:ind w:left="102" w:right="187"/>
              <w:spacing w:before="50" w:line="197" w:lineRule="auto"/>
              <w:rPr>
                <w:sz w:val="16"/>
                <w:szCs w:val="16"/>
              </w:rPr>
            </w:pPr>
            <w:r>
              <w:rPr>
                <w:sz w:val="16"/>
                <w:szCs w:val="16"/>
              </w:rPr>
              <w:t>第六条 各省、自治区、直辖市食品药品监督管理部门对本辖区内申请提供</w:t>
            </w:r>
            <w:r>
              <w:rPr>
                <w:sz w:val="16"/>
                <w:szCs w:val="16"/>
                <w:spacing w:val="-1"/>
              </w:rPr>
              <w:t>互联网药品信息服</w:t>
            </w:r>
            <w:r>
              <w:rPr>
                <w:sz w:val="16"/>
                <w:szCs w:val="16"/>
              </w:rPr>
              <w:t xml:space="preserve"> </w:t>
            </w:r>
            <w:r>
              <w:rPr>
                <w:sz w:val="16"/>
                <w:szCs w:val="16"/>
              </w:rPr>
              <w:t>务的互联网站进行审核，符合条件的核发《互联网药品信息服务资格证书》。</w:t>
            </w:r>
          </w:p>
        </w:tc>
        <w:tc>
          <w:tcPr>
            <w:tcW w:w="1173" w:type="dxa"/>
            <w:vAlign w:val="top"/>
          </w:tcPr>
          <w:p>
            <w:pPr>
              <w:rPr>
                <w:rFonts w:ascii="Arial"/>
                <w:sz w:val="21"/>
              </w:rPr>
            </w:pPr>
            <w:r/>
          </w:p>
        </w:tc>
      </w:tr>
    </w:tbl>
    <w:p>
      <w:pPr>
        <w:pStyle w:val="BodyText"/>
        <w:spacing w:line="14" w:lineRule="auto"/>
        <w:rPr>
          <w:sz w:val="2"/>
        </w:rPr>
      </w:pPr>
      <w:r/>
    </w:p>
    <w:p>
      <w:pPr>
        <w:spacing w:line="14" w:lineRule="auto"/>
        <w:sectPr>
          <w:footerReference w:type="default" r:id="rId466"/>
          <w:pgSz w:w="12480" w:h="7330"/>
          <w:pgMar w:top="378" w:right="734" w:bottom="1179" w:left="964" w:header="0" w:footer="978" w:gutter="0"/>
        </w:sectPr>
        <w:rPr>
          <w:sz w:val="2"/>
          <w:szCs w:val="2"/>
        </w:rPr>
      </w:pPr>
    </w:p>
    <w:p>
      <w:pPr>
        <w:pStyle w:val="BodyText"/>
        <w:spacing w:line="255" w:lineRule="auto"/>
        <w:rPr/>
      </w:pPr>
      <w:r>
        <mc:AlternateContent xmlns:mc="http://schemas.openxmlformats.org/markup-compatibility/2006">
          <mc:Choice Requires="wps">
            <w:drawing>
              <wp:anchor distT="0" distB="0" distL="0" distR="0" simplePos="0" relativeHeight="255697920" behindDoc="0" locked="0" layoutInCell="0" allowOverlap="1">
                <wp:simplePos x="0" y="0"/>
                <wp:positionH relativeFrom="page">
                  <wp:posOffset>7517636</wp:posOffset>
                </wp:positionH>
                <wp:positionV relativeFrom="page">
                  <wp:posOffset>463893</wp:posOffset>
                </wp:positionV>
                <wp:extent cx="153670" cy="140335"/>
                <wp:effectExtent l="0" t="0" r="0" b="0"/>
                <wp:wrapNone/>
                <wp:docPr id="342" name="TextBox 342"/>
                <wp:cNvGraphicFramePr/>
                <a:graphic>
                  <a:graphicData uri="http://schemas.microsoft.com/office/word/2010/wordprocessingShape">
                    <wps:wsp>
                      <wps:cNvSpPr txBox="1"/>
                      <wps:spPr>
                        <a:xfrm rot="5400000">
                          <a:off x="7517636" y="463893"/>
                          <a:ext cx="153670" cy="1403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1" w:line="183" w:lineRule="auto"/>
                              <w:rPr>
                                <w:rFonts w:ascii="SimSun" w:hAnsi="SimSun" w:eastAsia="SimSun" w:cs="SimSun"/>
                                <w:sz w:val="14"/>
                                <w:szCs w:val="14"/>
                              </w:rPr>
                            </w:pPr>
                            <w:r>
                              <w:rPr>
                                <w:rFonts w:ascii="SimSun" w:hAnsi="SimSun" w:eastAsia="SimSun" w:cs="SimSun"/>
                                <w:sz w:val="14"/>
                                <w:szCs w:val="14"/>
                                <w:spacing w:val="-2"/>
                              </w:rPr>
                              <w:t>384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6" style="position:absolute;margin-left:591.94pt;margin-top:36.5271pt;mso-position-vertical-relative:page;mso-position-horizontal-relative:page;width:12.1pt;height:11.05pt;z-index:255697920;rotation:90;" o:allowincell="f" filled="false" stroked="false" type="#_x0000_t202">
                <v:fill on="false"/>
                <v:stroke on="false"/>
                <v:path/>
                <v:imagedata o:title=""/>
                <o:lock v:ext="edit" aspectratio="false"/>
                <v:textbox inset="0mm,0mm,0mm,0mm">
                  <w:txbxContent>
                    <w:p>
                      <w:pPr>
                        <w:ind w:left="20"/>
                        <w:spacing w:before="61" w:line="183" w:lineRule="auto"/>
                        <w:rPr>
                          <w:rFonts w:ascii="SimSun" w:hAnsi="SimSun" w:eastAsia="SimSun" w:cs="SimSun"/>
                          <w:sz w:val="14"/>
                          <w:szCs w:val="14"/>
                        </w:rPr>
                      </w:pPr>
                      <w:r>
                        <w:rPr>
                          <w:rFonts w:ascii="SimSun" w:hAnsi="SimSun" w:eastAsia="SimSun" w:cs="SimSun"/>
                          <w:sz w:val="14"/>
                          <w:szCs w:val="14"/>
                          <w:spacing w:val="-2"/>
                        </w:rPr>
                        <w:t>384</w:t>
                      </w:r>
                    </w:p>
                  </w:txbxContent>
                </v:textbox>
              </v:shape>
            </w:pict>
          </mc:Fallback>
        </mc:AlternateContent>
      </w:r>
      <w:r>
        <mc:AlternateContent xmlns:mc="http://schemas.openxmlformats.org/markup-compatibility/2006">
          <mc:Choice Requires="wps">
            <w:drawing>
              <wp:anchor distT="0" distB="0" distL="0" distR="0" simplePos="0" relativeHeight="255696896" behindDoc="0" locked="0" layoutInCell="0" allowOverlap="1">
                <wp:simplePos x="0" y="0"/>
                <wp:positionH relativeFrom="page">
                  <wp:posOffset>6924837</wp:posOffset>
                </wp:positionH>
                <wp:positionV relativeFrom="page">
                  <wp:posOffset>2313061</wp:posOffset>
                </wp:positionV>
                <wp:extent cx="1383664" cy="147954"/>
                <wp:effectExtent l="0" t="0" r="0" b="0"/>
                <wp:wrapNone/>
                <wp:docPr id="344" name="TextBox 344"/>
                <wp:cNvGraphicFramePr/>
                <a:graphic>
                  <a:graphicData uri="http://schemas.microsoft.com/office/word/2010/wordprocessingShape">
                    <wps:wsp>
                      <wps:cNvSpPr txBox="1"/>
                      <wps:spPr>
                        <a:xfrm rot="5400000">
                          <a:off x="6924837" y="2313061"/>
                          <a:ext cx="1383664" cy="1479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5" w:line="221" w:lineRule="auto"/>
                              <w:rPr>
                                <w:rFonts w:ascii="SimHei" w:hAnsi="SimHei" w:eastAsia="SimHei" w:cs="SimHei"/>
                                <w:sz w:val="14"/>
                                <w:szCs w:val="14"/>
                              </w:rPr>
                            </w:pPr>
                            <w:r>
                              <w:rPr>
                                <w:rFonts w:ascii="SimHei" w:hAnsi="SimHei" w:eastAsia="SimHei" w:cs="SimHei"/>
                                <w:sz w:val="14"/>
                                <w:szCs w:val="14"/>
                                <w:spacing w:val="12"/>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8" style="position:absolute;margin-left:545.263pt;margin-top:182.131pt;mso-position-vertical-relative:page;mso-position-horizontal-relative:page;width:108.95pt;height:11.65pt;z-index:255696896;rotation:90;" o:allowincell="f" filled="false" stroked="false" type="#_x0000_t202">
                <v:fill on="false"/>
                <v:stroke on="false"/>
                <v:path/>
                <v:imagedata o:title=""/>
                <o:lock v:ext="edit" aspectratio="false"/>
                <v:textbox inset="0mm,0mm,0mm,0mm">
                  <w:txbxContent>
                    <w:p>
                      <w:pPr>
                        <w:ind w:left="20"/>
                        <w:spacing w:before="45" w:line="221" w:lineRule="auto"/>
                        <w:rPr>
                          <w:rFonts w:ascii="SimHei" w:hAnsi="SimHei" w:eastAsia="SimHei" w:cs="SimHei"/>
                          <w:sz w:val="14"/>
                          <w:szCs w:val="14"/>
                        </w:rPr>
                      </w:pPr>
                      <w:r>
                        <w:rPr>
                          <w:rFonts w:ascii="SimHei" w:hAnsi="SimHei" w:eastAsia="SimHei" w:cs="SimHei"/>
                          <w:sz w:val="14"/>
                          <w:szCs w:val="14"/>
                          <w:spacing w:val="12"/>
                        </w:rPr>
                        <w:t>平台经济——创新、治理与繁荣</w:t>
                      </w:r>
                    </w:p>
                  </w:txbxContent>
                </v:textbox>
              </v:shape>
            </w:pict>
          </mc:Fallback>
        </mc:AlternateContent>
      </w:r>
      <w:r/>
    </w:p>
    <w:p>
      <w:pPr>
        <w:ind w:left="9054"/>
        <w:spacing w:before="61" w:line="220" w:lineRule="auto"/>
        <w:rPr>
          <w:rFonts w:ascii="SimSun" w:hAnsi="SimSun" w:eastAsia="SimSun" w:cs="SimSun"/>
          <w:sz w:val="19"/>
          <w:szCs w:val="19"/>
        </w:rPr>
      </w:pPr>
      <w:r>
        <w:rPr>
          <w:rFonts w:ascii="SimSun" w:hAnsi="SimSun" w:eastAsia="SimSun" w:cs="SimSun"/>
          <w:sz w:val="19"/>
          <w:szCs w:val="19"/>
          <w:spacing w:val="-9"/>
        </w:rPr>
        <w:t>(续表)</w:t>
      </w:r>
    </w:p>
    <w:p>
      <w:pPr>
        <w:spacing w:line="100" w:lineRule="exact"/>
        <w:rPr/>
      </w:pPr>
      <w:r/>
    </w:p>
    <w:tbl>
      <w:tblPr>
        <w:tblStyle w:val="TableNormal"/>
        <w:tblW w:w="95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869"/>
        <w:gridCol w:w="6763"/>
        <w:gridCol w:w="1183"/>
      </w:tblGrid>
      <w:tr>
        <w:trPr>
          <w:trHeight w:val="554" w:hRule="atLeast"/>
        </w:trPr>
        <w:tc>
          <w:tcPr>
            <w:tcW w:w="704" w:type="dxa"/>
            <w:vAlign w:val="top"/>
          </w:tcPr>
          <w:p>
            <w:pPr>
              <w:pStyle w:val="TableText"/>
              <w:ind w:left="197"/>
              <w:spacing w:before="81" w:line="238" w:lineRule="exact"/>
              <w:rPr>
                <w:sz w:val="16"/>
                <w:szCs w:val="16"/>
              </w:rPr>
            </w:pPr>
            <w:r>
              <w:rPr>
                <w:sz w:val="16"/>
                <w:szCs w:val="16"/>
                <w:b/>
                <w:bCs/>
                <w:spacing w:val="-4"/>
                <w:position w:val="5"/>
              </w:rPr>
              <w:t>平台</w:t>
            </w:r>
          </w:p>
          <w:p>
            <w:pPr>
              <w:pStyle w:val="TableText"/>
              <w:ind w:left="197"/>
              <w:spacing w:line="219" w:lineRule="auto"/>
              <w:rPr>
                <w:sz w:val="16"/>
                <w:szCs w:val="16"/>
              </w:rPr>
            </w:pPr>
            <w:r>
              <w:rPr>
                <w:sz w:val="16"/>
                <w:szCs w:val="16"/>
                <w:b/>
                <w:bCs/>
                <w:spacing w:val="-4"/>
              </w:rPr>
              <w:t>类型</w:t>
            </w:r>
          </w:p>
        </w:tc>
        <w:tc>
          <w:tcPr>
            <w:tcW w:w="869" w:type="dxa"/>
            <w:vAlign w:val="top"/>
          </w:tcPr>
          <w:p>
            <w:pPr>
              <w:pStyle w:val="TableText"/>
              <w:ind w:left="263"/>
              <w:spacing w:before="69" w:line="230" w:lineRule="exact"/>
              <w:rPr>
                <w:sz w:val="16"/>
                <w:szCs w:val="16"/>
              </w:rPr>
            </w:pPr>
            <w:r>
              <w:rPr>
                <w:sz w:val="16"/>
                <w:szCs w:val="16"/>
                <w:b/>
                <w:bCs/>
                <w:spacing w:val="-6"/>
                <w:position w:val="5"/>
              </w:rPr>
              <w:t>审批</w:t>
            </w:r>
          </w:p>
          <w:p>
            <w:pPr>
              <w:pStyle w:val="TableText"/>
              <w:ind w:left="263"/>
              <w:spacing w:line="219" w:lineRule="auto"/>
              <w:rPr>
                <w:sz w:val="16"/>
                <w:szCs w:val="16"/>
              </w:rPr>
            </w:pPr>
            <w:r>
              <w:rPr>
                <w:sz w:val="16"/>
                <w:szCs w:val="16"/>
                <w:b/>
                <w:bCs/>
                <w:spacing w:val="5"/>
              </w:rPr>
              <w:t>部门</w:t>
            </w:r>
          </w:p>
        </w:tc>
        <w:tc>
          <w:tcPr>
            <w:tcW w:w="6763" w:type="dxa"/>
            <w:vAlign w:val="top"/>
          </w:tcPr>
          <w:p>
            <w:pPr>
              <w:pStyle w:val="TableText"/>
              <w:ind w:left="3084"/>
              <w:spacing w:before="199" w:line="219" w:lineRule="auto"/>
              <w:rPr>
                <w:sz w:val="16"/>
                <w:szCs w:val="16"/>
              </w:rPr>
            </w:pPr>
            <w:r>
              <w:rPr>
                <w:sz w:val="16"/>
                <w:szCs w:val="16"/>
                <w:b/>
                <w:bCs/>
                <w:spacing w:val="-4"/>
              </w:rPr>
              <w:t>准入条件</w:t>
            </w:r>
          </w:p>
        </w:tc>
        <w:tc>
          <w:tcPr>
            <w:tcW w:w="1183" w:type="dxa"/>
            <w:vAlign w:val="top"/>
          </w:tcPr>
          <w:p>
            <w:pPr>
              <w:pStyle w:val="TableText"/>
              <w:ind w:left="451"/>
              <w:spacing w:before="200" w:line="221" w:lineRule="auto"/>
              <w:rPr>
                <w:sz w:val="16"/>
                <w:szCs w:val="16"/>
              </w:rPr>
            </w:pPr>
            <w:r>
              <w:rPr>
                <w:sz w:val="16"/>
                <w:szCs w:val="16"/>
                <w:b/>
                <w:bCs/>
                <w:spacing w:val="-4"/>
              </w:rPr>
              <w:t>备注</w:t>
            </w:r>
          </w:p>
        </w:tc>
      </w:tr>
      <w:tr>
        <w:trPr>
          <w:trHeight w:val="3443" w:hRule="atLeast"/>
        </w:trPr>
        <w:tc>
          <w:tcPr>
            <w:tcW w:w="704" w:type="dxa"/>
            <w:vAlign w:val="top"/>
          </w:tcPr>
          <w:p>
            <w:pPr>
              <w:pStyle w:val="TableText"/>
              <w:ind w:left="65"/>
              <w:spacing w:before="67" w:line="252" w:lineRule="exact"/>
              <w:rPr>
                <w:sz w:val="16"/>
                <w:szCs w:val="16"/>
              </w:rPr>
            </w:pPr>
            <w:r>
              <w:rPr>
                <w:sz w:val="16"/>
                <w:szCs w:val="16"/>
                <w:spacing w:val="-2"/>
                <w:position w:val="6"/>
              </w:rPr>
              <w:t>社交</w:t>
            </w:r>
          </w:p>
          <w:p>
            <w:pPr>
              <w:pStyle w:val="TableText"/>
              <w:ind w:left="65"/>
              <w:spacing w:line="221" w:lineRule="auto"/>
              <w:rPr>
                <w:sz w:val="16"/>
                <w:szCs w:val="16"/>
              </w:rPr>
            </w:pPr>
            <w:r>
              <w:rPr>
                <w:sz w:val="16"/>
                <w:szCs w:val="16"/>
                <w:spacing w:val="8"/>
              </w:rPr>
              <w:t>平台</w:t>
            </w:r>
          </w:p>
        </w:tc>
        <w:tc>
          <w:tcPr>
            <w:tcW w:w="869" w:type="dxa"/>
            <w:vAlign w:val="top"/>
          </w:tcPr>
          <w:p>
            <w:pPr>
              <w:pStyle w:val="TableText"/>
              <w:ind w:left="81" w:right="90" w:firstLine="19"/>
              <w:spacing w:before="69" w:line="270" w:lineRule="auto"/>
              <w:jc w:val="both"/>
              <w:rPr>
                <w:sz w:val="16"/>
                <w:szCs w:val="16"/>
              </w:rPr>
            </w:pPr>
            <w:r>
              <w:rPr>
                <w:sz w:val="16"/>
                <w:szCs w:val="16"/>
                <w:spacing w:val="-3"/>
              </w:rPr>
              <w:t>各地市场</w:t>
            </w:r>
            <w:r>
              <w:rPr>
                <w:sz w:val="16"/>
                <w:szCs w:val="16"/>
                <w:spacing w:val="2"/>
              </w:rPr>
              <w:t xml:space="preserve"> </w:t>
            </w:r>
            <w:r>
              <w:rPr>
                <w:sz w:val="16"/>
                <w:szCs w:val="16"/>
                <w:spacing w:val="3"/>
              </w:rPr>
              <w:t>监督管理</w:t>
            </w:r>
            <w:r>
              <w:rPr>
                <w:sz w:val="16"/>
                <w:szCs w:val="16"/>
              </w:rPr>
              <w:t xml:space="preserve"> </w:t>
            </w:r>
            <w:r>
              <w:rPr>
                <w:sz w:val="16"/>
                <w:szCs w:val="16"/>
                <w:spacing w:val="-8"/>
              </w:rPr>
              <w:t>局</w:t>
            </w:r>
            <w:r>
              <w:rPr>
                <w:sz w:val="16"/>
                <w:szCs w:val="16"/>
                <w:spacing w:val="-27"/>
              </w:rPr>
              <w:t xml:space="preserve"> </w:t>
            </w:r>
            <w:r>
              <w:rPr>
                <w:sz w:val="16"/>
                <w:szCs w:val="16"/>
                <w:spacing w:val="-8"/>
              </w:rPr>
              <w:t>+</w:t>
            </w:r>
            <w:r>
              <w:rPr>
                <w:sz w:val="16"/>
                <w:szCs w:val="16"/>
                <w:spacing w:val="-26"/>
              </w:rPr>
              <w:t xml:space="preserve"> </w:t>
            </w:r>
            <w:r>
              <w:rPr>
                <w:sz w:val="16"/>
                <w:szCs w:val="16"/>
                <w:spacing w:val="-8"/>
              </w:rPr>
              <w:t>登</w:t>
            </w:r>
            <w:r>
              <w:rPr>
                <w:sz w:val="16"/>
                <w:szCs w:val="16"/>
                <w:spacing w:val="-29"/>
              </w:rPr>
              <w:t xml:space="preserve"> </w:t>
            </w:r>
            <w:r>
              <w:rPr>
                <w:sz w:val="16"/>
                <w:szCs w:val="16"/>
                <w:spacing w:val="-8"/>
              </w:rPr>
              <w:t>记</w:t>
            </w:r>
            <w:r>
              <w:rPr>
                <w:sz w:val="16"/>
                <w:szCs w:val="16"/>
              </w:rPr>
              <w:t xml:space="preserve"> </w:t>
            </w:r>
            <w:r>
              <w:rPr>
                <w:sz w:val="16"/>
                <w:szCs w:val="16"/>
                <w:spacing w:val="3"/>
              </w:rPr>
              <w:t>注册，电</w:t>
            </w:r>
            <w:r>
              <w:rPr>
                <w:sz w:val="16"/>
                <w:szCs w:val="16"/>
              </w:rPr>
              <w:t xml:space="preserve"> </w:t>
            </w:r>
            <w:r>
              <w:rPr>
                <w:sz w:val="16"/>
                <w:szCs w:val="16"/>
                <w:spacing w:val="3"/>
              </w:rPr>
              <w:t>通信主管</w:t>
            </w:r>
            <w:r>
              <w:rPr>
                <w:sz w:val="16"/>
                <w:szCs w:val="16"/>
              </w:rPr>
              <w:t xml:space="preserve"> </w:t>
            </w:r>
            <w:r>
              <w:rPr>
                <w:sz w:val="16"/>
                <w:szCs w:val="16"/>
                <w:spacing w:val="-12"/>
              </w:rPr>
              <w:t>部</w:t>
            </w:r>
            <w:r>
              <w:rPr>
                <w:sz w:val="16"/>
                <w:szCs w:val="16"/>
                <w:spacing w:val="-10"/>
              </w:rPr>
              <w:t xml:space="preserve"> </w:t>
            </w:r>
            <w:r>
              <w:rPr>
                <w:sz w:val="16"/>
                <w:szCs w:val="16"/>
                <w:spacing w:val="-12"/>
              </w:rPr>
              <w:t>门</w:t>
            </w:r>
            <w:r>
              <w:rPr>
                <w:sz w:val="16"/>
                <w:szCs w:val="16"/>
                <w:spacing w:val="-28"/>
              </w:rPr>
              <w:t xml:space="preserve"> </w:t>
            </w:r>
            <w:r>
              <w:rPr>
                <w:sz w:val="16"/>
                <w:szCs w:val="16"/>
                <w:spacing w:val="-12"/>
              </w:rPr>
              <w:t>+</w:t>
            </w:r>
            <w:r>
              <w:rPr>
                <w:sz w:val="16"/>
                <w:szCs w:val="16"/>
                <w:spacing w:val="-30"/>
              </w:rPr>
              <w:t xml:space="preserve"> </w:t>
            </w:r>
            <w:r>
              <w:rPr>
                <w:sz w:val="16"/>
                <w:szCs w:val="16"/>
                <w:spacing w:val="-12"/>
              </w:rPr>
              <w:t>业</w:t>
            </w:r>
            <w:r>
              <w:rPr>
                <w:sz w:val="16"/>
                <w:szCs w:val="16"/>
              </w:rPr>
              <w:t xml:space="preserve"> </w:t>
            </w:r>
            <w:r>
              <w:rPr>
                <w:sz w:val="16"/>
                <w:szCs w:val="16"/>
              </w:rPr>
              <w:t>务审批</w:t>
            </w:r>
          </w:p>
        </w:tc>
        <w:tc>
          <w:tcPr>
            <w:tcW w:w="6763" w:type="dxa"/>
            <w:vAlign w:val="top"/>
          </w:tcPr>
          <w:p>
            <w:pPr>
              <w:pStyle w:val="TableText"/>
              <w:ind w:left="2"/>
              <w:spacing w:before="77" w:line="219" w:lineRule="auto"/>
              <w:rPr>
                <w:sz w:val="16"/>
                <w:szCs w:val="16"/>
              </w:rPr>
            </w:pPr>
            <w:r>
              <w:rPr>
                <w:sz w:val="16"/>
                <w:szCs w:val="16"/>
              </w:rPr>
              <w:t>《中华人民共和国电信条例》(2016年修订)</w:t>
            </w:r>
          </w:p>
          <w:p>
            <w:pPr>
              <w:pStyle w:val="TableText"/>
              <w:ind w:left="82" w:right="197"/>
              <w:spacing w:before="50" w:line="243" w:lineRule="auto"/>
              <w:rPr>
                <w:sz w:val="16"/>
                <w:szCs w:val="16"/>
              </w:rPr>
            </w:pPr>
            <w:r>
              <w:rPr>
                <w:sz w:val="16"/>
                <w:szCs w:val="16"/>
              </w:rPr>
              <w:t>第九条 经营基础电信业务，须经国务院信息产业主管部门审查批准，取得</w:t>
            </w:r>
            <w:r>
              <w:rPr>
                <w:sz w:val="16"/>
                <w:szCs w:val="16"/>
                <w:spacing w:val="-1"/>
              </w:rPr>
              <w:t>《基础电信业务经</w:t>
            </w:r>
            <w:r>
              <w:rPr>
                <w:sz w:val="16"/>
                <w:szCs w:val="16"/>
              </w:rPr>
              <w:t xml:space="preserve"> </w:t>
            </w:r>
            <w:r>
              <w:rPr>
                <w:sz w:val="16"/>
                <w:szCs w:val="16"/>
              </w:rPr>
              <w:t>营许可证》。</w:t>
            </w:r>
          </w:p>
          <w:p>
            <w:pPr>
              <w:pStyle w:val="TableText"/>
              <w:ind w:left="82"/>
              <w:spacing w:before="58" w:line="260" w:lineRule="auto"/>
              <w:rPr>
                <w:sz w:val="16"/>
                <w:szCs w:val="16"/>
              </w:rPr>
            </w:pPr>
            <w:r>
              <w:rPr>
                <w:sz w:val="16"/>
                <w:szCs w:val="16"/>
                <w:spacing w:val="-2"/>
              </w:rPr>
              <w:t>经营增值电信业务，业务覆盖范围在两个以上省</w:t>
            </w:r>
            <w:r>
              <w:rPr>
                <w:sz w:val="16"/>
                <w:szCs w:val="16"/>
                <w:spacing w:val="-3"/>
              </w:rPr>
              <w:t>、自治区、直辖市的，须经国务院信息产业主   </w:t>
            </w:r>
            <w:r>
              <w:rPr>
                <w:sz w:val="16"/>
                <w:szCs w:val="16"/>
                <w:spacing w:val="1"/>
              </w:rPr>
              <w:t>管部门审查批准，取得《跨地区增值电信业务经营许可证》;业务</w:t>
            </w:r>
            <w:r>
              <w:rPr>
                <w:sz w:val="16"/>
                <w:szCs w:val="16"/>
              </w:rPr>
              <w:t>覆盖范围在一个省、自治区、 </w:t>
            </w:r>
            <w:r>
              <w:rPr>
                <w:sz w:val="16"/>
                <w:szCs w:val="16"/>
                <w:spacing w:val="-2"/>
              </w:rPr>
              <w:t>直辖市行政区域内的，须经省、自治区、直辖市</w:t>
            </w:r>
            <w:r>
              <w:rPr>
                <w:sz w:val="16"/>
                <w:szCs w:val="16"/>
                <w:spacing w:val="-3"/>
              </w:rPr>
              <w:t>电信管理机构审查批准，取得《增值电信业务   </w:t>
            </w:r>
            <w:r>
              <w:rPr>
                <w:sz w:val="16"/>
                <w:szCs w:val="16"/>
                <w:spacing w:val="-2"/>
              </w:rPr>
              <w:t>经营许可证》。</w:t>
            </w:r>
          </w:p>
          <w:p>
            <w:pPr>
              <w:pStyle w:val="TableText"/>
              <w:ind w:left="82" w:right="117"/>
              <w:spacing w:before="47" w:line="254" w:lineRule="auto"/>
              <w:rPr>
                <w:sz w:val="16"/>
                <w:szCs w:val="16"/>
              </w:rPr>
            </w:pPr>
            <w:r>
              <w:rPr>
                <w:sz w:val="16"/>
                <w:szCs w:val="16"/>
              </w:rPr>
              <w:t>运用新技术试办《电信业务分类目录》未列出的新型电信业务的，应当向省</w:t>
            </w:r>
            <w:r>
              <w:rPr>
                <w:sz w:val="16"/>
                <w:szCs w:val="16"/>
                <w:spacing w:val="-1"/>
              </w:rPr>
              <w:t>、自治区、直辖市</w:t>
            </w:r>
            <w:r>
              <w:rPr>
                <w:sz w:val="16"/>
                <w:szCs w:val="16"/>
              </w:rPr>
              <w:t xml:space="preserve"> </w:t>
            </w:r>
            <w:r>
              <w:rPr>
                <w:sz w:val="16"/>
                <w:szCs w:val="16"/>
              </w:rPr>
              <w:t>电信管理机构备案。</w:t>
            </w:r>
          </w:p>
          <w:p>
            <w:pPr>
              <w:pStyle w:val="TableText"/>
              <w:ind w:left="82"/>
              <w:spacing w:before="61" w:line="249" w:lineRule="exact"/>
              <w:rPr>
                <w:sz w:val="16"/>
                <w:szCs w:val="16"/>
              </w:rPr>
            </w:pPr>
            <w:r>
              <w:rPr>
                <w:sz w:val="16"/>
                <w:szCs w:val="16"/>
                <w:position w:val="6"/>
              </w:rPr>
              <w:t>第十三条 经营增值电信业务，应当具备下列条件：</w:t>
            </w:r>
          </w:p>
          <w:p>
            <w:pPr>
              <w:pStyle w:val="TableText"/>
              <w:ind w:left="82"/>
              <w:spacing w:line="218" w:lineRule="auto"/>
              <w:rPr>
                <w:sz w:val="16"/>
                <w:szCs w:val="16"/>
              </w:rPr>
            </w:pPr>
            <w:r>
              <w:rPr>
                <w:sz w:val="16"/>
                <w:szCs w:val="16"/>
                <w:spacing w:val="5"/>
              </w:rPr>
              <w:t>(一)经营者为依法设立的公司；</w:t>
            </w:r>
          </w:p>
          <w:p>
            <w:pPr>
              <w:pStyle w:val="TableText"/>
              <w:ind w:left="82"/>
              <w:spacing w:before="32" w:line="249" w:lineRule="exact"/>
              <w:rPr>
                <w:sz w:val="16"/>
                <w:szCs w:val="16"/>
              </w:rPr>
            </w:pPr>
            <w:r>
              <w:rPr>
                <w:sz w:val="16"/>
                <w:szCs w:val="16"/>
                <w:spacing w:val="3"/>
                <w:position w:val="6"/>
              </w:rPr>
              <w:t>(二)有与开展经营活动相适应的资金和专业人员；</w:t>
            </w:r>
          </w:p>
          <w:p>
            <w:pPr>
              <w:pStyle w:val="TableText"/>
              <w:ind w:left="82"/>
              <w:spacing w:line="218" w:lineRule="auto"/>
              <w:rPr>
                <w:sz w:val="16"/>
                <w:szCs w:val="16"/>
              </w:rPr>
            </w:pPr>
            <w:r>
              <w:rPr>
                <w:sz w:val="16"/>
                <w:szCs w:val="16"/>
                <w:spacing w:val="3"/>
              </w:rPr>
              <w:t>(三)有为用户提供长期服务的信誉或者能力；</w:t>
            </w:r>
          </w:p>
          <w:p>
            <w:pPr>
              <w:pStyle w:val="TableText"/>
              <w:ind w:left="82"/>
              <w:spacing w:before="72" w:line="219" w:lineRule="auto"/>
              <w:rPr>
                <w:sz w:val="16"/>
                <w:szCs w:val="16"/>
              </w:rPr>
            </w:pPr>
            <w:r>
              <w:rPr>
                <w:sz w:val="16"/>
                <w:szCs w:val="16"/>
              </w:rPr>
              <w:t>(四)国家规定的其他条件。</w:t>
            </w:r>
          </w:p>
        </w:tc>
        <w:tc>
          <w:tcPr>
            <w:tcW w:w="1183" w:type="dxa"/>
            <w:vAlign w:val="top"/>
          </w:tcPr>
          <w:p>
            <w:pPr>
              <w:rPr>
                <w:rFonts w:ascii="Arial"/>
                <w:sz w:val="21"/>
              </w:rPr>
            </w:pPr>
            <w:r/>
          </w:p>
        </w:tc>
      </w:tr>
      <w:tr>
        <w:trPr>
          <w:trHeight w:val="549" w:hRule="atLeast"/>
        </w:trPr>
        <w:tc>
          <w:tcPr>
            <w:tcW w:w="704" w:type="dxa"/>
            <w:vAlign w:val="top"/>
          </w:tcPr>
          <w:p>
            <w:pPr>
              <w:pStyle w:val="TableText"/>
              <w:ind w:left="65"/>
              <w:spacing w:before="85" w:line="231" w:lineRule="exact"/>
              <w:rPr>
                <w:sz w:val="16"/>
                <w:szCs w:val="16"/>
              </w:rPr>
            </w:pPr>
            <w:r>
              <w:rPr>
                <w:sz w:val="16"/>
                <w:szCs w:val="16"/>
                <w:spacing w:val="-2"/>
                <w:position w:val="5"/>
              </w:rPr>
              <w:t>游戏</w:t>
            </w:r>
          </w:p>
          <w:p>
            <w:pPr>
              <w:pStyle w:val="TableText"/>
              <w:ind w:left="65"/>
              <w:spacing w:line="221" w:lineRule="auto"/>
              <w:rPr>
                <w:sz w:val="16"/>
                <w:szCs w:val="16"/>
              </w:rPr>
            </w:pPr>
            <w:r>
              <w:rPr>
                <w:sz w:val="16"/>
                <w:szCs w:val="16"/>
                <w:spacing w:val="8"/>
              </w:rPr>
              <w:t>平台</w:t>
            </w:r>
          </w:p>
        </w:tc>
        <w:tc>
          <w:tcPr>
            <w:tcW w:w="869" w:type="dxa"/>
            <w:vAlign w:val="top"/>
          </w:tcPr>
          <w:p>
            <w:pPr>
              <w:pStyle w:val="TableText"/>
              <w:ind w:left="91" w:right="98" w:firstLine="9"/>
              <w:spacing w:before="94" w:line="237" w:lineRule="auto"/>
              <w:rPr>
                <w:sz w:val="16"/>
                <w:szCs w:val="16"/>
              </w:rPr>
            </w:pPr>
            <w:r>
              <w:rPr>
                <w:sz w:val="16"/>
                <w:szCs w:val="16"/>
                <w:spacing w:val="4"/>
              </w:rPr>
              <w:t>省新闻出</w:t>
            </w:r>
            <w:r>
              <w:rPr>
                <w:sz w:val="16"/>
                <w:szCs w:val="16"/>
                <w:spacing w:val="2"/>
              </w:rPr>
              <w:t xml:space="preserve"> </w:t>
            </w:r>
            <w:r>
              <w:rPr>
                <w:sz w:val="16"/>
                <w:szCs w:val="16"/>
                <w:spacing w:val="7"/>
              </w:rPr>
              <w:t>版局</w:t>
            </w:r>
          </w:p>
        </w:tc>
        <w:tc>
          <w:tcPr>
            <w:tcW w:w="6763" w:type="dxa"/>
            <w:vAlign w:val="top"/>
          </w:tcPr>
          <w:p>
            <w:pPr>
              <w:pStyle w:val="TableText"/>
              <w:ind w:left="82" w:right="107" w:firstLine="9"/>
              <w:spacing w:before="63" w:line="260" w:lineRule="auto"/>
              <w:rPr>
                <w:sz w:val="16"/>
                <w:szCs w:val="16"/>
              </w:rPr>
            </w:pPr>
            <w:r>
              <w:rPr>
                <w:sz w:val="16"/>
                <w:szCs w:val="16"/>
              </w:rPr>
              <w:t>游戏产品在正式上线以及收费之前需要先进行审批才可以上线运营，游戏行</w:t>
            </w:r>
            <w:r>
              <w:rPr>
                <w:sz w:val="16"/>
                <w:szCs w:val="16"/>
                <w:spacing w:val="-1"/>
              </w:rPr>
              <w:t>业由中共中央宣传</w:t>
            </w:r>
            <w:r>
              <w:rPr>
                <w:sz w:val="16"/>
                <w:szCs w:val="16"/>
              </w:rPr>
              <w:t xml:space="preserve"> </w:t>
            </w:r>
            <w:r>
              <w:rPr>
                <w:sz w:val="16"/>
                <w:szCs w:val="16"/>
                <w:spacing w:val="-1"/>
              </w:rPr>
              <w:t>部出版局进行前置审批。</w:t>
            </w:r>
          </w:p>
        </w:tc>
        <w:tc>
          <w:tcPr>
            <w:tcW w:w="1183" w:type="dxa"/>
            <w:vAlign w:val="top"/>
          </w:tcPr>
          <w:p>
            <w:pPr>
              <w:rPr>
                <w:rFonts w:ascii="Arial"/>
                <w:sz w:val="21"/>
              </w:rPr>
            </w:pPr>
            <w:r/>
          </w:p>
        </w:tc>
      </w:tr>
      <w:tr>
        <w:trPr>
          <w:trHeight w:val="1033" w:hRule="atLeast"/>
        </w:trPr>
        <w:tc>
          <w:tcPr>
            <w:tcW w:w="704" w:type="dxa"/>
            <w:vAlign w:val="top"/>
          </w:tcPr>
          <w:p>
            <w:pPr>
              <w:pStyle w:val="TableText"/>
              <w:ind w:left="65"/>
              <w:spacing w:before="75" w:line="252" w:lineRule="exact"/>
              <w:rPr>
                <w:sz w:val="16"/>
                <w:szCs w:val="16"/>
              </w:rPr>
            </w:pPr>
            <w:r>
              <w:rPr>
                <w:sz w:val="16"/>
                <w:szCs w:val="16"/>
                <w:spacing w:val="6"/>
                <w:position w:val="6"/>
              </w:rPr>
              <w:t>教育</w:t>
            </w:r>
          </w:p>
          <w:p>
            <w:pPr>
              <w:pStyle w:val="TableText"/>
              <w:ind w:left="65"/>
              <w:spacing w:line="221" w:lineRule="auto"/>
              <w:rPr>
                <w:sz w:val="16"/>
                <w:szCs w:val="16"/>
              </w:rPr>
            </w:pPr>
            <w:r>
              <w:rPr>
                <w:sz w:val="16"/>
                <w:szCs w:val="16"/>
                <w:spacing w:val="8"/>
              </w:rPr>
              <w:t>平台</w:t>
            </w:r>
          </w:p>
        </w:tc>
        <w:tc>
          <w:tcPr>
            <w:tcW w:w="869" w:type="dxa"/>
            <w:vAlign w:val="top"/>
          </w:tcPr>
          <w:p>
            <w:pPr>
              <w:pStyle w:val="TableText"/>
              <w:ind w:left="90" w:right="17" w:hanging="9"/>
              <w:spacing w:before="86" w:line="265" w:lineRule="auto"/>
              <w:jc w:val="both"/>
              <w:rPr>
                <w:sz w:val="16"/>
                <w:szCs w:val="16"/>
              </w:rPr>
            </w:pPr>
            <w:r>
              <w:rPr>
                <w:sz w:val="16"/>
                <w:szCs w:val="16"/>
                <w:spacing w:val="-11"/>
              </w:rPr>
              <w:t>各</w:t>
            </w:r>
            <w:r>
              <w:rPr>
                <w:sz w:val="16"/>
                <w:szCs w:val="16"/>
                <w:spacing w:val="1"/>
              </w:rPr>
              <w:t xml:space="preserve">   </w:t>
            </w:r>
            <w:r>
              <w:rPr>
                <w:sz w:val="16"/>
                <w:szCs w:val="16"/>
                <w:spacing w:val="-11"/>
              </w:rPr>
              <w:t>省 、</w:t>
            </w:r>
            <w:r>
              <w:rPr>
                <w:sz w:val="16"/>
                <w:szCs w:val="16"/>
              </w:rPr>
              <w:t xml:space="preserve"> </w:t>
            </w:r>
            <w:r>
              <w:rPr>
                <w:sz w:val="16"/>
                <w:szCs w:val="16"/>
                <w:spacing w:val="-1"/>
              </w:rPr>
              <w:t>市、区教</w:t>
            </w:r>
            <w:r>
              <w:rPr>
                <w:sz w:val="16"/>
                <w:szCs w:val="16"/>
                <w:spacing w:val="1"/>
              </w:rPr>
              <w:t xml:space="preserve">  </w:t>
            </w:r>
            <w:r>
              <w:rPr>
                <w:sz w:val="16"/>
                <w:szCs w:val="16"/>
                <w:spacing w:val="4"/>
              </w:rPr>
              <w:t>育行政管</w:t>
            </w:r>
            <w:r>
              <w:rPr>
                <w:sz w:val="16"/>
                <w:szCs w:val="16"/>
              </w:rPr>
              <w:t xml:space="preserve">  </w:t>
            </w:r>
            <w:r>
              <w:rPr>
                <w:sz w:val="16"/>
                <w:szCs w:val="16"/>
                <w:spacing w:val="6"/>
              </w:rPr>
              <w:t>理部门</w:t>
            </w:r>
          </w:p>
        </w:tc>
        <w:tc>
          <w:tcPr>
            <w:tcW w:w="6763" w:type="dxa"/>
            <w:vAlign w:val="top"/>
          </w:tcPr>
          <w:p>
            <w:pPr>
              <w:pStyle w:val="TableText"/>
              <w:ind w:left="102" w:right="96"/>
              <w:spacing w:before="65" w:line="261" w:lineRule="auto"/>
              <w:rPr>
                <w:sz w:val="16"/>
                <w:szCs w:val="16"/>
              </w:rPr>
            </w:pPr>
            <w:r>
              <w:rPr>
                <w:sz w:val="16"/>
                <w:szCs w:val="16"/>
              </w:rPr>
              <w:t>据中共中央办公厅、国务院办公厅印发《关于进一步减轻义务教育阶段学生作</w:t>
            </w:r>
            <w:r>
              <w:rPr>
                <w:sz w:val="16"/>
                <w:szCs w:val="16"/>
                <w:spacing w:val="-1"/>
              </w:rPr>
              <w:t>业负担和校外培</w:t>
            </w:r>
            <w:r>
              <w:rPr>
                <w:sz w:val="16"/>
                <w:szCs w:val="16"/>
              </w:rPr>
              <w:t xml:space="preserve"> </w:t>
            </w:r>
            <w:r>
              <w:rPr>
                <w:sz w:val="16"/>
                <w:szCs w:val="16"/>
              </w:rPr>
              <w:t>训负担的意见》,凡营业内容涉及校外培训(包含线上培训、线下培训、远程培训及其他培训  </w:t>
            </w:r>
            <w:r>
              <w:rPr>
                <w:sz w:val="16"/>
                <w:szCs w:val="16"/>
                <w:spacing w:val="2"/>
              </w:rPr>
              <w:t>形式)类的企业在办理互联网信息服务业务经营许可证(</w:t>
            </w:r>
            <w:r>
              <w:rPr>
                <w:sz w:val="16"/>
                <w:szCs w:val="16"/>
              </w:rPr>
              <w:t>ICP</w:t>
            </w:r>
            <w:r>
              <w:rPr>
                <w:sz w:val="16"/>
                <w:szCs w:val="16"/>
                <w:spacing w:val="2"/>
              </w:rPr>
              <w:t>)备案前均需提供备案所在地省、</w:t>
            </w:r>
          </w:p>
          <w:p>
            <w:pPr>
              <w:pStyle w:val="TableText"/>
              <w:ind w:left="82"/>
              <w:spacing w:before="70" w:line="219" w:lineRule="auto"/>
              <w:rPr>
                <w:sz w:val="16"/>
                <w:szCs w:val="16"/>
              </w:rPr>
            </w:pPr>
            <w:r>
              <w:rPr>
                <w:sz w:val="16"/>
                <w:szCs w:val="16"/>
              </w:rPr>
              <w:t>市、区教育部门提供的前置审批文件。</w:t>
            </w:r>
          </w:p>
        </w:tc>
        <w:tc>
          <w:tcPr>
            <w:tcW w:w="1183" w:type="dxa"/>
            <w:vAlign w:val="top"/>
          </w:tcPr>
          <w:p>
            <w:pPr>
              <w:rPr>
                <w:rFonts w:ascii="Arial"/>
                <w:sz w:val="21"/>
              </w:rPr>
            </w:pPr>
            <w:r/>
          </w:p>
        </w:tc>
      </w:tr>
    </w:tbl>
    <w:p>
      <w:pPr>
        <w:pStyle w:val="BodyText"/>
        <w:rPr/>
      </w:pPr>
      <w:r/>
    </w:p>
    <w:p>
      <w:pPr>
        <w:sectPr>
          <w:footerReference w:type="default" r:id="rId2"/>
          <w:pgSz w:w="12480" w:h="7330"/>
          <w:pgMar w:top="400" w:right="414" w:bottom="400" w:left="1274" w:header="0" w:footer="0" w:gutter="0"/>
        </w:sectPr>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399"/>
        <w:spacing w:before="68" w:line="303" w:lineRule="auto"/>
        <w:jc w:val="both"/>
        <w:rPr>
          <w:rFonts w:ascii="SimSun" w:hAnsi="SimSun" w:eastAsia="SimSun" w:cs="SimSun"/>
          <w:sz w:val="21"/>
          <w:szCs w:val="21"/>
        </w:rPr>
      </w:pPr>
      <w:r>
        <w:rPr>
          <w:rFonts w:ascii="SimSun" w:hAnsi="SimSun" w:eastAsia="SimSun" w:cs="SimSun"/>
          <w:sz w:val="21"/>
          <w:szCs w:val="21"/>
          <w:spacing w:val="2"/>
        </w:rPr>
        <w:t>数字平台的准入监管主要采取“行业主管机构设前置条件+工</w:t>
      </w:r>
      <w:r>
        <w:rPr>
          <w:rFonts w:ascii="SimSun" w:hAnsi="SimSun" w:eastAsia="SimSun" w:cs="SimSun"/>
          <w:sz w:val="21"/>
          <w:szCs w:val="21"/>
          <w:spacing w:val="1"/>
        </w:rPr>
        <w:t xml:space="preserve"> </w:t>
      </w:r>
      <w:r>
        <w:rPr>
          <w:rFonts w:ascii="SimSun" w:hAnsi="SimSun" w:eastAsia="SimSun" w:cs="SimSun"/>
          <w:sz w:val="21"/>
          <w:szCs w:val="21"/>
          <w:spacing w:val="-3"/>
        </w:rPr>
        <w:t>商注册登记”的模式，行业监管机构设置的准入门槛主要是前置审</w:t>
      </w:r>
      <w:r>
        <w:rPr>
          <w:rFonts w:ascii="SimSun" w:hAnsi="SimSun" w:eastAsia="SimSun" w:cs="SimSun"/>
          <w:sz w:val="21"/>
          <w:szCs w:val="21"/>
          <w:spacing w:val="3"/>
        </w:rPr>
        <w:t xml:space="preserve"> </w:t>
      </w:r>
      <w:r>
        <w:rPr>
          <w:rFonts w:ascii="SimSun" w:hAnsi="SimSun" w:eastAsia="SimSun" w:cs="SimSun"/>
          <w:sz w:val="21"/>
          <w:szCs w:val="21"/>
          <w:spacing w:val="-10"/>
        </w:rPr>
        <w:t>批、最低注册资本和对申请注册的平台企业内部治理的要求，准入门</w:t>
      </w:r>
      <w:r>
        <w:rPr>
          <w:rFonts w:ascii="SimSun" w:hAnsi="SimSun" w:eastAsia="SimSun" w:cs="SimSun"/>
          <w:sz w:val="21"/>
          <w:szCs w:val="21"/>
          <w:spacing w:val="11"/>
        </w:rPr>
        <w:t xml:space="preserve"> </w:t>
      </w:r>
      <w:r>
        <w:rPr>
          <w:rFonts w:ascii="SimSun" w:hAnsi="SimSun" w:eastAsia="SimSun" w:cs="SimSun"/>
          <w:sz w:val="21"/>
          <w:szCs w:val="21"/>
          <w:spacing w:val="-10"/>
        </w:rPr>
        <w:t>槛的高低与行业监管强度有较大关系。例如中国人民银行对支付平台</w:t>
      </w:r>
      <w:r>
        <w:rPr>
          <w:rFonts w:ascii="SimSun" w:hAnsi="SimSun" w:eastAsia="SimSun" w:cs="SimSun"/>
          <w:sz w:val="21"/>
          <w:szCs w:val="21"/>
          <w:spacing w:val="10"/>
        </w:rPr>
        <w:t xml:space="preserve"> </w:t>
      </w:r>
      <w:r>
        <w:rPr>
          <w:rFonts w:ascii="SimSun" w:hAnsi="SimSun" w:eastAsia="SimSun" w:cs="SimSun"/>
          <w:sz w:val="21"/>
          <w:szCs w:val="21"/>
          <w:spacing w:val="-10"/>
        </w:rPr>
        <w:t>有最低注册资本、反洗钱措施和支付业务设施等要求。而从事电信增</w:t>
      </w:r>
      <w:r>
        <w:rPr>
          <w:rFonts w:ascii="SimSun" w:hAnsi="SimSun" w:eastAsia="SimSun" w:cs="SimSun"/>
          <w:sz w:val="21"/>
          <w:szCs w:val="21"/>
          <w:spacing w:val="5"/>
        </w:rPr>
        <w:t xml:space="preserve"> </w:t>
      </w:r>
      <w:r>
        <w:rPr>
          <w:rFonts w:ascii="SimSun" w:hAnsi="SimSun" w:eastAsia="SimSun" w:cs="SimSun"/>
          <w:sz w:val="21"/>
          <w:szCs w:val="21"/>
          <w:spacing w:val="-10"/>
        </w:rPr>
        <w:t>值业务的平台仅需要信息产业主管部门审查批准，并无对公司内部治</w:t>
      </w:r>
      <w:r>
        <w:rPr>
          <w:rFonts w:ascii="SimSun" w:hAnsi="SimSun" w:eastAsia="SimSun" w:cs="SimSun"/>
          <w:sz w:val="21"/>
          <w:szCs w:val="21"/>
          <w:spacing w:val="6"/>
        </w:rPr>
        <w:t xml:space="preserve"> </w:t>
      </w:r>
      <w:r>
        <w:rPr>
          <w:rFonts w:ascii="SimSun" w:hAnsi="SimSun" w:eastAsia="SimSun" w:cs="SimSun"/>
          <w:sz w:val="21"/>
          <w:szCs w:val="21"/>
          <w:spacing w:val="-7"/>
        </w:rPr>
        <w:t>理的要求。</w:t>
      </w:r>
    </w:p>
    <w:p>
      <w:pPr>
        <w:pStyle w:val="BodyText"/>
        <w:spacing w:line="403" w:lineRule="auto"/>
        <w:rPr/>
      </w:pPr>
      <w:r/>
    </w:p>
    <w:p>
      <w:pPr>
        <w:ind w:left="402"/>
        <w:spacing w:before="69" w:line="219" w:lineRule="auto"/>
        <w:rPr>
          <w:rFonts w:ascii="SimSun" w:hAnsi="SimSun" w:eastAsia="SimSun" w:cs="SimSun"/>
          <w:sz w:val="21"/>
          <w:szCs w:val="21"/>
        </w:rPr>
      </w:pPr>
      <w:r>
        <w:rPr>
          <w:rFonts w:ascii="SimSun" w:hAnsi="SimSun" w:eastAsia="SimSun" w:cs="SimSun"/>
          <w:sz w:val="21"/>
          <w:szCs w:val="21"/>
          <w:b/>
          <w:bCs/>
          <w:spacing w:val="-10"/>
        </w:rPr>
        <w:t>市场行为监管</w:t>
      </w:r>
    </w:p>
    <w:p>
      <w:pPr>
        <w:ind w:right="21" w:firstLine="399"/>
        <w:spacing w:before="114" w:line="278" w:lineRule="auto"/>
        <w:jc w:val="both"/>
        <w:rPr>
          <w:rFonts w:ascii="SimSun" w:hAnsi="SimSun" w:eastAsia="SimSun" w:cs="SimSun"/>
          <w:sz w:val="21"/>
          <w:szCs w:val="21"/>
        </w:rPr>
      </w:pPr>
      <w:r>
        <w:rPr>
          <w:rFonts w:ascii="SimSun" w:hAnsi="SimSun" w:eastAsia="SimSun" w:cs="SimSun"/>
          <w:sz w:val="21"/>
          <w:szCs w:val="21"/>
          <w:spacing w:val="-10"/>
        </w:rPr>
        <w:t>部门联合约谈并提出整改要求、行政指导会、专项整治运动成为</w:t>
      </w:r>
      <w:r>
        <w:rPr>
          <w:rFonts w:ascii="SimSun" w:hAnsi="SimSun" w:eastAsia="SimSun" w:cs="SimSun"/>
          <w:sz w:val="21"/>
          <w:szCs w:val="21"/>
        </w:rPr>
        <w:t xml:space="preserve"> </w:t>
      </w:r>
      <w:r>
        <w:rPr>
          <w:rFonts w:ascii="SimSun" w:hAnsi="SimSun" w:eastAsia="SimSun" w:cs="SimSun"/>
          <w:sz w:val="21"/>
          <w:szCs w:val="21"/>
          <w:spacing w:val="-4"/>
        </w:rPr>
        <w:t>目前对平台行为进行监管的主要方式。表11-3整理了强化平台监管</w:t>
      </w:r>
      <w:r>
        <w:rPr>
          <w:rFonts w:ascii="SimSun" w:hAnsi="SimSun" w:eastAsia="SimSun" w:cs="SimSun"/>
          <w:sz w:val="21"/>
          <w:szCs w:val="21"/>
          <w:spacing w:val="4"/>
        </w:rPr>
        <w:t xml:space="preserve"> </w:t>
      </w:r>
      <w:r>
        <w:rPr>
          <w:rFonts w:ascii="SimSun" w:hAnsi="SimSun" w:eastAsia="SimSun" w:cs="SimSun"/>
          <w:sz w:val="21"/>
          <w:szCs w:val="21"/>
          <w:spacing w:val="-11"/>
        </w:rPr>
        <w:t>背景下各部委的平台监管措施。</w:t>
      </w:r>
    </w:p>
    <w:p>
      <w:pPr>
        <w:ind w:right="1" w:firstLine="399"/>
        <w:spacing w:before="117" w:line="303" w:lineRule="auto"/>
        <w:jc w:val="both"/>
        <w:rPr>
          <w:rFonts w:ascii="SimSun" w:hAnsi="SimSun" w:eastAsia="SimSun" w:cs="SimSun"/>
          <w:sz w:val="21"/>
          <w:szCs w:val="21"/>
        </w:rPr>
      </w:pPr>
      <w:r>
        <w:rPr>
          <w:rFonts w:ascii="SimSun" w:hAnsi="SimSun" w:eastAsia="SimSun" w:cs="SimSun"/>
          <w:sz w:val="21"/>
          <w:szCs w:val="21"/>
          <w:spacing w:val="-10"/>
        </w:rPr>
        <w:t>当下对数字平台的行为监管方式、手段有多种形式，核心</w:t>
      </w:r>
      <w:r>
        <w:rPr>
          <w:rFonts w:ascii="SimSun" w:hAnsi="SimSun" w:eastAsia="SimSun" w:cs="SimSun"/>
          <w:sz w:val="21"/>
          <w:szCs w:val="21"/>
          <w:spacing w:val="-11"/>
        </w:rPr>
        <w:t>模式来</w:t>
      </w:r>
      <w:r>
        <w:rPr>
          <w:rFonts w:ascii="SimSun" w:hAnsi="SimSun" w:eastAsia="SimSun" w:cs="SimSun"/>
          <w:sz w:val="21"/>
          <w:szCs w:val="21"/>
        </w:rPr>
        <w:t xml:space="preserve"> </w:t>
      </w:r>
      <w:r>
        <w:rPr>
          <w:rFonts w:ascii="SimSun" w:hAnsi="SimSun" w:eastAsia="SimSun" w:cs="SimSun"/>
          <w:sz w:val="21"/>
          <w:szCs w:val="21"/>
          <w:spacing w:val="-10"/>
        </w:rPr>
        <w:t>源于行政干预而非经济监管。从监管方式来说，主要采取行</w:t>
      </w:r>
      <w:r>
        <w:rPr>
          <w:rFonts w:ascii="SimSun" w:hAnsi="SimSun" w:eastAsia="SimSun" w:cs="SimSun"/>
          <w:sz w:val="21"/>
          <w:szCs w:val="21"/>
          <w:spacing w:val="-11"/>
        </w:rPr>
        <w:t>政性的联</w:t>
      </w:r>
      <w:r>
        <w:rPr>
          <w:rFonts w:ascii="SimSun" w:hAnsi="SimSun" w:eastAsia="SimSun" w:cs="SimSun"/>
          <w:sz w:val="21"/>
          <w:szCs w:val="21"/>
        </w:rPr>
        <w:t xml:space="preserve"> </w:t>
      </w:r>
      <w:r>
        <w:rPr>
          <w:rFonts w:ascii="SimSun" w:hAnsi="SimSun" w:eastAsia="SimSun" w:cs="SimSun"/>
          <w:sz w:val="21"/>
          <w:szCs w:val="21"/>
          <w:spacing w:val="-10"/>
        </w:rPr>
        <w:t>合约谈和要求整改、行政指导会等方式；从监管手段来说，监管不仅</w:t>
      </w:r>
      <w:r>
        <w:rPr>
          <w:rFonts w:ascii="SimSun" w:hAnsi="SimSun" w:eastAsia="SimSun" w:cs="SimSun"/>
          <w:sz w:val="21"/>
          <w:szCs w:val="21"/>
        </w:rPr>
        <w:t xml:space="preserve"> </w:t>
      </w:r>
      <w:r>
        <w:rPr>
          <w:rFonts w:ascii="SimSun" w:hAnsi="SimSun" w:eastAsia="SimSun" w:cs="SimSun"/>
          <w:sz w:val="21"/>
          <w:szCs w:val="21"/>
          <w:spacing w:val="-7"/>
        </w:rPr>
        <w:t>局限于传统主流的价格监管(例如要求企业确定合理的抽成比例和信</w:t>
      </w:r>
      <w:r>
        <w:rPr>
          <w:rFonts w:ascii="SimSun" w:hAnsi="SimSun" w:eastAsia="SimSun" w:cs="SimSun"/>
          <w:sz w:val="21"/>
          <w:szCs w:val="21"/>
          <w:spacing w:val="18"/>
        </w:rPr>
        <w:t xml:space="preserve"> </w:t>
      </w:r>
      <w:r>
        <w:rPr>
          <w:rFonts w:ascii="SimSun" w:hAnsi="SimSun" w:eastAsia="SimSun" w:cs="SimSun"/>
          <w:sz w:val="21"/>
          <w:szCs w:val="21"/>
          <w:spacing w:val="-3"/>
        </w:rPr>
        <w:t>息服务费水平),还对企业的反不正当竞争、反垄断行为和</w:t>
      </w:r>
      <w:r>
        <w:rPr>
          <w:rFonts w:ascii="SimSun" w:hAnsi="SimSun" w:eastAsia="SimSun" w:cs="SimSun"/>
          <w:sz w:val="21"/>
          <w:szCs w:val="21"/>
          <w:spacing w:val="-4"/>
        </w:rPr>
        <w:t>公司治理</w:t>
      </w:r>
      <w:r>
        <w:rPr>
          <w:rFonts w:ascii="SimSun" w:hAnsi="SimSun" w:eastAsia="SimSun" w:cs="SimSun"/>
          <w:sz w:val="21"/>
          <w:szCs w:val="21"/>
        </w:rPr>
        <w:t xml:space="preserve"> </w:t>
      </w:r>
      <w:r>
        <w:rPr>
          <w:rFonts w:ascii="SimSun" w:hAnsi="SimSun" w:eastAsia="SimSun" w:cs="SimSun"/>
          <w:sz w:val="21"/>
          <w:szCs w:val="21"/>
          <w:spacing w:val="-9"/>
        </w:rPr>
        <w:t>提出具体要求，使作为事后惩罚手段的《反</w:t>
      </w:r>
      <w:r>
        <w:rPr>
          <w:rFonts w:ascii="SimSun" w:hAnsi="SimSun" w:eastAsia="SimSun" w:cs="SimSun"/>
          <w:sz w:val="21"/>
          <w:szCs w:val="21"/>
          <w:spacing w:val="-10"/>
        </w:rPr>
        <w:t>不正当竞争法》和《反垄</w:t>
      </w:r>
      <w:r>
        <w:rPr>
          <w:rFonts w:ascii="SimSun" w:hAnsi="SimSun" w:eastAsia="SimSun" w:cs="SimSun"/>
          <w:sz w:val="21"/>
          <w:szCs w:val="21"/>
        </w:rPr>
        <w:t xml:space="preserve"> </w:t>
      </w:r>
      <w:r>
        <w:rPr>
          <w:rFonts w:ascii="SimSun" w:hAnsi="SimSun" w:eastAsia="SimSun" w:cs="SimSun"/>
          <w:sz w:val="21"/>
          <w:szCs w:val="21"/>
          <w:spacing w:val="-12"/>
        </w:rPr>
        <w:t>断法》被纳入事前合规监管体系中。</w:t>
      </w:r>
    </w:p>
    <w:p>
      <w:pPr>
        <w:ind w:right="3" w:firstLine="399"/>
        <w:spacing w:before="112" w:line="300" w:lineRule="auto"/>
        <w:jc w:val="both"/>
        <w:rPr>
          <w:rFonts w:ascii="SimSun" w:hAnsi="SimSun" w:eastAsia="SimSun" w:cs="SimSun"/>
          <w:sz w:val="21"/>
          <w:szCs w:val="21"/>
        </w:rPr>
      </w:pPr>
      <w:r>
        <w:rPr>
          <w:rFonts w:ascii="SimSun" w:hAnsi="SimSun" w:eastAsia="SimSun" w:cs="SimSun"/>
          <w:sz w:val="21"/>
          <w:szCs w:val="21"/>
          <w:spacing w:val="-10"/>
        </w:rPr>
        <w:t>但主动的行政监管可能存在替代反不正当竞争、反垄断执法的问</w:t>
      </w:r>
      <w:r>
        <w:rPr>
          <w:rFonts w:ascii="SimSun" w:hAnsi="SimSun" w:eastAsia="SimSun" w:cs="SimSun"/>
          <w:sz w:val="21"/>
          <w:szCs w:val="21"/>
          <w:spacing w:val="12"/>
        </w:rPr>
        <w:t xml:space="preserve"> </w:t>
      </w:r>
      <w:r>
        <w:rPr>
          <w:rFonts w:ascii="SimSun" w:hAnsi="SimSun" w:eastAsia="SimSun" w:cs="SimSun"/>
          <w:sz w:val="21"/>
          <w:szCs w:val="21"/>
          <w:spacing w:val="-10"/>
        </w:rPr>
        <w:t>题，事前监管与事后执法的界限需要进一步厘定。例如对于屏蔽</w:t>
      </w:r>
      <w:r>
        <w:rPr>
          <w:rFonts w:ascii="SimSun" w:hAnsi="SimSun" w:eastAsia="SimSun" w:cs="SimSun"/>
          <w:sz w:val="21"/>
          <w:szCs w:val="21"/>
          <w:spacing w:val="-11"/>
        </w:rPr>
        <w:t>外链</w:t>
      </w:r>
      <w:r>
        <w:rPr>
          <w:rFonts w:ascii="SimSun" w:hAnsi="SimSun" w:eastAsia="SimSun" w:cs="SimSun"/>
          <w:sz w:val="21"/>
          <w:szCs w:val="21"/>
        </w:rPr>
        <w:t xml:space="preserve"> </w:t>
      </w:r>
      <w:r>
        <w:rPr>
          <w:rFonts w:ascii="SimSun" w:hAnsi="SimSun" w:eastAsia="SimSun" w:cs="SimSun"/>
          <w:sz w:val="21"/>
          <w:szCs w:val="21"/>
          <w:spacing w:val="-10"/>
        </w:rPr>
        <w:t>的问题，《反垄断法》与《反不正当竞争法》的争议较大，在屏蔽外</w:t>
      </w:r>
      <w:r>
        <w:rPr>
          <w:rFonts w:ascii="SimSun" w:hAnsi="SimSun" w:eastAsia="SimSun" w:cs="SimSun"/>
          <w:sz w:val="21"/>
          <w:szCs w:val="21"/>
          <w:spacing w:val="1"/>
        </w:rPr>
        <w:t xml:space="preserve"> </w:t>
      </w:r>
      <w:r>
        <w:rPr>
          <w:rFonts w:ascii="SimSun" w:hAnsi="SimSun" w:eastAsia="SimSun" w:cs="SimSun"/>
          <w:sz w:val="21"/>
          <w:szCs w:val="21"/>
          <w:spacing w:val="-10"/>
        </w:rPr>
        <w:t>链的性质、具体滥用市场支配地位的行为归属、竞争损害的</w:t>
      </w:r>
      <w:r>
        <w:rPr>
          <w:rFonts w:ascii="SimSun" w:hAnsi="SimSun" w:eastAsia="SimSun" w:cs="SimSun"/>
          <w:sz w:val="21"/>
          <w:szCs w:val="21"/>
          <w:spacing w:val="-11"/>
        </w:rPr>
        <w:t>后果、反</w:t>
      </w:r>
      <w:r>
        <w:rPr>
          <w:rFonts w:ascii="SimSun" w:hAnsi="SimSun" w:eastAsia="SimSun" w:cs="SimSun"/>
          <w:sz w:val="21"/>
          <w:szCs w:val="21"/>
        </w:rPr>
        <w:t xml:space="preserve"> </w:t>
      </w:r>
      <w:r>
        <w:rPr>
          <w:rFonts w:ascii="SimSun" w:hAnsi="SimSun" w:eastAsia="SimSun" w:cs="SimSun"/>
          <w:sz w:val="21"/>
          <w:szCs w:val="21"/>
          <w:spacing w:val="-10"/>
        </w:rPr>
        <w:t>垄断的救济措施上均没有达成共识，在此情况下，贸然采用禁止屏蔽</w:t>
      </w:r>
      <w:r>
        <w:rPr>
          <w:rFonts w:ascii="SimSun" w:hAnsi="SimSun" w:eastAsia="SimSun" w:cs="SimSun"/>
          <w:sz w:val="21"/>
          <w:szCs w:val="21"/>
          <w:spacing w:val="17"/>
        </w:rPr>
        <w:t xml:space="preserve"> </w:t>
      </w:r>
      <w:r>
        <w:rPr>
          <w:rFonts w:ascii="SimSun" w:hAnsi="SimSun" w:eastAsia="SimSun" w:cs="SimSun"/>
          <w:sz w:val="21"/>
          <w:szCs w:val="21"/>
          <w:spacing w:val="-12"/>
        </w:rPr>
        <w:t>外链的事前规制可能导致“超级平台”的产生。</w:t>
      </w:r>
    </w:p>
    <w:p>
      <w:pPr>
        <w:spacing w:line="300" w:lineRule="auto"/>
        <w:sectPr>
          <w:headerReference w:type="default" r:id="rId467"/>
          <w:pgSz w:w="7330" w:h="12480"/>
          <w:pgMar w:top="805" w:right="818" w:bottom="400" w:left="490" w:header="642" w:footer="0" w:gutter="0"/>
        </w:sectPr>
        <w:rPr>
          <w:rFonts w:ascii="SimSun" w:hAnsi="SimSun" w:eastAsia="SimSun" w:cs="SimSun"/>
          <w:sz w:val="21"/>
          <w:szCs w:val="21"/>
        </w:rPr>
      </w:pPr>
    </w:p>
    <w:p>
      <w:pPr>
        <w:pStyle w:val="BodyText"/>
        <w:spacing w:line="246" w:lineRule="auto"/>
        <w:rPr/>
      </w:pPr>
      <w:r>
        <mc:AlternateContent xmlns:mc="http://schemas.openxmlformats.org/markup-compatibility/2006">
          <mc:Choice Requires="wps">
            <w:drawing>
              <wp:anchor distT="0" distB="0" distL="0" distR="0" simplePos="0" relativeHeight="255717376" behindDoc="0" locked="0" layoutInCell="0" allowOverlap="1">
                <wp:simplePos x="0" y="0"/>
                <wp:positionH relativeFrom="page">
                  <wp:posOffset>6952851</wp:posOffset>
                </wp:positionH>
                <wp:positionV relativeFrom="page">
                  <wp:posOffset>2289914</wp:posOffset>
                </wp:positionV>
                <wp:extent cx="1383664" cy="156845"/>
                <wp:effectExtent l="0" t="0" r="0" b="0"/>
                <wp:wrapNone/>
                <wp:docPr id="346" name="TextBox 346"/>
                <wp:cNvGraphicFramePr/>
                <a:graphic>
                  <a:graphicData uri="http://schemas.microsoft.com/office/word/2010/wordprocessingShape">
                    <wps:wsp>
                      <wps:cNvSpPr txBox="1"/>
                      <wps:spPr>
                        <a:xfrm rot="5400000">
                          <a:off x="6952851" y="2289914"/>
                          <a:ext cx="138366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2"/>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0" style="position:absolute;margin-left:547.469pt;margin-top:180.308pt;mso-position-vertical-relative:page;mso-position-horizontal-relative:page;width:108.95pt;height:12.35pt;z-index:255717376;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2"/>
                        </w:rPr>
                        <w:t>平台经济——创新、治理与繁荣</w:t>
                      </w:r>
                    </w:p>
                  </w:txbxContent>
                </v:textbox>
              </v:shape>
            </w:pict>
          </mc:Fallback>
        </mc:AlternateContent>
      </w:r>
      <w:r/>
    </w:p>
    <w:p>
      <w:pPr>
        <w:ind w:right="19"/>
        <w:spacing w:before="62" w:line="219" w:lineRule="auto"/>
        <w:jc w:val="right"/>
        <w:rPr>
          <w:rFonts w:ascii="SimSun" w:hAnsi="SimSun" w:eastAsia="SimSun" w:cs="SimSun"/>
          <w:sz w:val="15"/>
          <w:szCs w:val="15"/>
        </w:rPr>
      </w:pPr>
      <w:r>
        <w:rPr>
          <w:rFonts w:ascii="SimHei" w:hAnsi="SimHei" w:eastAsia="SimHei" w:cs="SimHei"/>
          <w:sz w:val="19"/>
          <w:szCs w:val="19"/>
          <w:b/>
          <w:bCs/>
          <w:spacing w:val="-6"/>
          <w:position w:val="-1"/>
        </w:rPr>
        <w:t>表11-3</w:t>
      </w:r>
      <w:r>
        <w:rPr>
          <w:rFonts w:ascii="SimHei" w:hAnsi="SimHei" w:eastAsia="SimHei" w:cs="SimHei"/>
          <w:sz w:val="19"/>
          <w:szCs w:val="19"/>
          <w:spacing w:val="89"/>
          <w:position w:val="-1"/>
        </w:rPr>
        <w:t xml:space="preserve"> </w:t>
      </w:r>
      <w:r>
        <w:rPr>
          <w:rFonts w:ascii="SimHei" w:hAnsi="SimHei" w:eastAsia="SimHei" w:cs="SimHei"/>
          <w:sz w:val="19"/>
          <w:szCs w:val="19"/>
          <w:b/>
          <w:bCs/>
          <w:spacing w:val="-6"/>
          <w:position w:val="-1"/>
        </w:rPr>
        <w:t>各部门的平台监管措施</w:t>
      </w:r>
      <w:r>
        <w:rPr>
          <w:rFonts w:ascii="SimHei" w:hAnsi="SimHei" w:eastAsia="SimHei" w:cs="SimHei"/>
          <w:sz w:val="19"/>
          <w:szCs w:val="19"/>
          <w:spacing w:val="-6"/>
          <w:position w:val="-1"/>
        </w:rPr>
        <w:t xml:space="preserve">                                                  </w:t>
      </w:r>
      <w:r>
        <w:rPr>
          <w:rFonts w:ascii="SimSun" w:hAnsi="SimSun" w:eastAsia="SimSun" w:cs="SimSun"/>
          <w:sz w:val="15"/>
          <w:szCs w:val="15"/>
          <w:spacing w:val="-6"/>
          <w:position w:val="7"/>
        </w:rPr>
        <w:t>386</w:t>
      </w:r>
    </w:p>
    <w:p>
      <w:pPr>
        <w:spacing w:line="119" w:lineRule="exact"/>
        <w:rPr/>
      </w:pPr>
      <w:r/>
    </w:p>
    <w:tbl>
      <w:tblPr>
        <w:tblStyle w:val="TableNormal"/>
        <w:tblW w:w="96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34"/>
        <w:gridCol w:w="2248"/>
        <w:gridCol w:w="1778"/>
        <w:gridCol w:w="3676"/>
        <w:gridCol w:w="874"/>
      </w:tblGrid>
      <w:tr>
        <w:trPr>
          <w:trHeight w:val="554" w:hRule="atLeast"/>
        </w:trPr>
        <w:tc>
          <w:tcPr>
            <w:tcW w:w="1034" w:type="dxa"/>
            <w:vAlign w:val="top"/>
          </w:tcPr>
          <w:p>
            <w:pPr>
              <w:pStyle w:val="TableText"/>
              <w:ind w:left="347"/>
              <w:spacing w:before="69" w:line="251" w:lineRule="exact"/>
              <w:rPr>
                <w:sz w:val="16"/>
                <w:szCs w:val="16"/>
              </w:rPr>
            </w:pPr>
            <w:r>
              <w:rPr>
                <w:sz w:val="16"/>
                <w:szCs w:val="16"/>
                <w:b/>
                <w:bCs/>
                <w:spacing w:val="-4"/>
                <w:position w:val="6"/>
              </w:rPr>
              <w:t>监管</w:t>
            </w:r>
          </w:p>
          <w:p>
            <w:pPr>
              <w:pStyle w:val="TableText"/>
              <w:ind w:left="347"/>
              <w:spacing w:line="220" w:lineRule="auto"/>
              <w:rPr>
                <w:sz w:val="16"/>
                <w:szCs w:val="16"/>
              </w:rPr>
            </w:pPr>
            <w:r>
              <w:rPr>
                <w:sz w:val="16"/>
                <w:szCs w:val="16"/>
                <w:b/>
                <w:bCs/>
                <w:spacing w:val="-4"/>
              </w:rPr>
              <w:t>方式</w:t>
            </w:r>
          </w:p>
        </w:tc>
        <w:tc>
          <w:tcPr>
            <w:tcW w:w="2248" w:type="dxa"/>
            <w:vAlign w:val="top"/>
          </w:tcPr>
          <w:p>
            <w:pPr>
              <w:pStyle w:val="TableText"/>
              <w:ind w:left="793"/>
              <w:spacing w:before="199" w:line="219" w:lineRule="auto"/>
              <w:rPr>
                <w:sz w:val="16"/>
                <w:szCs w:val="16"/>
              </w:rPr>
            </w:pPr>
            <w:r>
              <w:rPr>
                <w:sz w:val="16"/>
                <w:szCs w:val="16"/>
                <w:b/>
                <w:bCs/>
                <w:spacing w:val="1"/>
              </w:rPr>
              <w:t>监管部门</w:t>
            </w:r>
          </w:p>
        </w:tc>
        <w:tc>
          <w:tcPr>
            <w:tcW w:w="1778" w:type="dxa"/>
            <w:vAlign w:val="top"/>
          </w:tcPr>
          <w:p>
            <w:pPr>
              <w:pStyle w:val="TableText"/>
              <w:ind w:left="565"/>
              <w:spacing w:before="199" w:line="219" w:lineRule="auto"/>
              <w:rPr>
                <w:sz w:val="16"/>
                <w:szCs w:val="16"/>
              </w:rPr>
            </w:pPr>
            <w:r>
              <w:rPr>
                <w:sz w:val="16"/>
                <w:szCs w:val="16"/>
                <w:b/>
                <w:bCs/>
                <w:spacing w:val="-3"/>
              </w:rPr>
              <w:t>监管对象</w:t>
            </w:r>
          </w:p>
        </w:tc>
        <w:tc>
          <w:tcPr>
            <w:tcW w:w="3676" w:type="dxa"/>
            <w:vAlign w:val="top"/>
          </w:tcPr>
          <w:p>
            <w:pPr>
              <w:pStyle w:val="TableText"/>
              <w:ind w:left="1517"/>
              <w:spacing w:before="199" w:line="219" w:lineRule="auto"/>
              <w:rPr>
                <w:sz w:val="16"/>
                <w:szCs w:val="16"/>
              </w:rPr>
            </w:pPr>
            <w:r>
              <w:rPr>
                <w:sz w:val="16"/>
                <w:szCs w:val="16"/>
                <w:b/>
                <w:bCs/>
                <w:spacing w:val="-3"/>
              </w:rPr>
              <w:t>监管内容</w:t>
            </w:r>
          </w:p>
        </w:tc>
        <w:tc>
          <w:tcPr>
            <w:tcW w:w="874" w:type="dxa"/>
            <w:vAlign w:val="top"/>
          </w:tcPr>
          <w:p>
            <w:pPr>
              <w:pStyle w:val="TableText"/>
              <w:ind w:left="111"/>
              <w:spacing w:before="199" w:line="219" w:lineRule="auto"/>
              <w:rPr>
                <w:sz w:val="16"/>
                <w:szCs w:val="16"/>
              </w:rPr>
            </w:pPr>
            <w:r>
              <w:rPr>
                <w:sz w:val="16"/>
                <w:szCs w:val="16"/>
                <w:b/>
                <w:bCs/>
                <w:spacing w:val="-3"/>
              </w:rPr>
              <w:t>监管时间</w:t>
            </w:r>
          </w:p>
        </w:tc>
      </w:tr>
      <w:tr>
        <w:trPr>
          <w:trHeight w:val="1746" w:hRule="atLeast"/>
        </w:trPr>
        <w:tc>
          <w:tcPr>
            <w:tcW w:w="1034" w:type="dxa"/>
            <w:vAlign w:val="top"/>
          </w:tcPr>
          <w:p>
            <w:pPr>
              <w:pStyle w:val="TableText"/>
              <w:ind w:left="95" w:right="74" w:hanging="30"/>
              <w:spacing w:before="67" w:line="242" w:lineRule="auto"/>
              <w:rPr>
                <w:sz w:val="16"/>
                <w:szCs w:val="16"/>
              </w:rPr>
            </w:pPr>
            <w:r>
              <w:rPr>
                <w:sz w:val="16"/>
                <w:szCs w:val="16"/>
                <w:spacing w:val="-8"/>
              </w:rPr>
              <w:t>联</w:t>
            </w:r>
            <w:r>
              <w:rPr>
                <w:sz w:val="16"/>
                <w:szCs w:val="16"/>
                <w:spacing w:val="-28"/>
              </w:rPr>
              <w:t xml:space="preserve"> </w:t>
            </w:r>
            <w:r>
              <w:rPr>
                <w:sz w:val="16"/>
                <w:szCs w:val="16"/>
                <w:spacing w:val="-8"/>
              </w:rPr>
              <w:t>合</w:t>
            </w:r>
            <w:r>
              <w:rPr>
                <w:sz w:val="16"/>
                <w:szCs w:val="16"/>
                <w:spacing w:val="-27"/>
              </w:rPr>
              <w:t xml:space="preserve"> </w:t>
            </w:r>
            <w:r>
              <w:rPr>
                <w:sz w:val="16"/>
                <w:szCs w:val="16"/>
                <w:spacing w:val="-8"/>
              </w:rPr>
              <w:t>约</w:t>
            </w:r>
            <w:r>
              <w:rPr>
                <w:sz w:val="16"/>
                <w:szCs w:val="16"/>
                <w:spacing w:val="-31"/>
              </w:rPr>
              <w:t xml:space="preserve"> </w:t>
            </w:r>
            <w:r>
              <w:rPr>
                <w:sz w:val="16"/>
                <w:szCs w:val="16"/>
                <w:spacing w:val="-8"/>
              </w:rPr>
              <w:t>谈</w:t>
            </w:r>
            <w:r>
              <w:rPr>
                <w:sz w:val="16"/>
                <w:szCs w:val="16"/>
                <w:spacing w:val="-31"/>
              </w:rPr>
              <w:t xml:space="preserve"> </w:t>
            </w:r>
            <w:r>
              <w:rPr>
                <w:sz w:val="16"/>
                <w:szCs w:val="16"/>
                <w:spacing w:val="-8"/>
              </w:rPr>
              <w:t>+</w:t>
            </w:r>
            <w:r>
              <w:rPr>
                <w:sz w:val="16"/>
                <w:szCs w:val="16"/>
              </w:rPr>
              <w:t xml:space="preserve"> </w:t>
            </w:r>
            <w:r>
              <w:rPr>
                <w:sz w:val="16"/>
                <w:szCs w:val="16"/>
                <w:spacing w:val="-2"/>
              </w:rPr>
              <w:t>要求整改</w:t>
            </w:r>
          </w:p>
        </w:tc>
        <w:tc>
          <w:tcPr>
            <w:tcW w:w="2248" w:type="dxa"/>
            <w:vAlign w:val="top"/>
          </w:tcPr>
          <w:p>
            <w:pPr>
              <w:pStyle w:val="TableText"/>
              <w:ind w:left="71" w:right="7"/>
              <w:spacing w:before="56" w:line="274" w:lineRule="auto"/>
              <w:jc w:val="both"/>
              <w:rPr>
                <w:sz w:val="16"/>
                <w:szCs w:val="16"/>
              </w:rPr>
            </w:pPr>
            <w:r>
              <w:rPr>
                <w:sz w:val="16"/>
                <w:szCs w:val="16"/>
                <w:spacing w:val="1"/>
              </w:rPr>
              <w:t>交通运输部、中央网信办、国  </w:t>
            </w:r>
            <w:r>
              <w:rPr>
                <w:sz w:val="16"/>
                <w:szCs w:val="16"/>
                <w:spacing w:val="-1"/>
              </w:rPr>
              <w:t>家发展改革委、工业和信息化</w:t>
            </w:r>
            <w:r>
              <w:rPr>
                <w:sz w:val="16"/>
                <w:szCs w:val="16"/>
                <w:spacing w:val="2"/>
              </w:rPr>
              <w:t xml:space="preserve">  </w:t>
            </w:r>
            <w:r>
              <w:rPr>
                <w:sz w:val="16"/>
                <w:szCs w:val="16"/>
                <w:spacing w:val="-1"/>
              </w:rPr>
              <w:t>部、公安部、人力资源和社会</w:t>
            </w:r>
            <w:r>
              <w:rPr>
                <w:sz w:val="16"/>
                <w:szCs w:val="16"/>
                <w:spacing w:val="1"/>
              </w:rPr>
              <w:t xml:space="preserve">  </w:t>
            </w:r>
            <w:r>
              <w:rPr>
                <w:sz w:val="16"/>
                <w:szCs w:val="16"/>
                <w:spacing w:val="6"/>
              </w:rPr>
              <w:t>保障部、国家市场监管总局、</w:t>
            </w:r>
            <w:r>
              <w:rPr>
                <w:sz w:val="16"/>
                <w:szCs w:val="16"/>
              </w:rPr>
              <w:t xml:space="preserve"> </w:t>
            </w:r>
            <w:r>
              <w:rPr>
                <w:sz w:val="16"/>
                <w:szCs w:val="16"/>
              </w:rPr>
              <w:t>国家信访局等交通运输新业态</w:t>
            </w:r>
            <w:r>
              <w:rPr>
                <w:sz w:val="16"/>
                <w:szCs w:val="16"/>
                <w:spacing w:val="3"/>
              </w:rPr>
              <w:t xml:space="preserve">  </w:t>
            </w:r>
            <w:r>
              <w:rPr>
                <w:sz w:val="16"/>
                <w:szCs w:val="16"/>
                <w:spacing w:val="1"/>
              </w:rPr>
              <w:t>协同监管部际联席会议8家成  </w:t>
            </w:r>
            <w:r>
              <w:rPr>
                <w:sz w:val="16"/>
                <w:szCs w:val="16"/>
                <w:spacing w:val="2"/>
              </w:rPr>
              <w:t>员单位</w:t>
            </w:r>
          </w:p>
        </w:tc>
        <w:tc>
          <w:tcPr>
            <w:tcW w:w="1778" w:type="dxa"/>
            <w:vAlign w:val="top"/>
          </w:tcPr>
          <w:p>
            <w:pPr>
              <w:pStyle w:val="TableText"/>
              <w:ind w:right="4"/>
              <w:spacing w:before="77" w:line="219" w:lineRule="auto"/>
              <w:jc w:val="right"/>
              <w:rPr>
                <w:sz w:val="16"/>
                <w:szCs w:val="16"/>
              </w:rPr>
            </w:pPr>
            <w:r>
              <w:rPr>
                <w:sz w:val="16"/>
                <w:szCs w:val="16"/>
                <w:spacing w:val="7"/>
              </w:rPr>
              <w:t>滴滴出行、首汽约车、</w:t>
            </w:r>
          </w:p>
          <w:p>
            <w:pPr>
              <w:pStyle w:val="TableText"/>
              <w:ind w:right="4"/>
              <w:spacing w:before="40" w:line="219" w:lineRule="auto"/>
              <w:jc w:val="right"/>
              <w:rPr>
                <w:sz w:val="16"/>
                <w:szCs w:val="16"/>
              </w:rPr>
            </w:pPr>
            <w:r>
              <w:rPr>
                <w:sz w:val="16"/>
                <w:szCs w:val="16"/>
                <w:spacing w:val="7"/>
              </w:rPr>
              <w:t>曹操出行、美团出行、</w:t>
            </w:r>
          </w:p>
          <w:p>
            <w:pPr>
              <w:pStyle w:val="TableText"/>
              <w:ind w:left="163"/>
              <w:spacing w:before="70" w:line="219" w:lineRule="auto"/>
              <w:rPr>
                <w:sz w:val="16"/>
                <w:szCs w:val="16"/>
              </w:rPr>
            </w:pPr>
            <w:r>
              <w:rPr>
                <w:sz w:val="16"/>
                <w:szCs w:val="16"/>
                <w:spacing w:val="-1"/>
              </w:rPr>
              <w:t>T3出行、高德、嘀嗒</w:t>
            </w:r>
          </w:p>
          <w:p>
            <w:pPr>
              <w:pStyle w:val="TableText"/>
              <w:ind w:right="4"/>
              <w:spacing w:before="49" w:line="219" w:lineRule="auto"/>
              <w:jc w:val="right"/>
              <w:rPr>
                <w:sz w:val="16"/>
                <w:szCs w:val="16"/>
              </w:rPr>
            </w:pPr>
            <w:r>
              <w:rPr>
                <w:sz w:val="16"/>
                <w:szCs w:val="16"/>
                <w:spacing w:val="7"/>
              </w:rPr>
              <w:t>出行、满帮、货拉拉、</w:t>
            </w:r>
          </w:p>
          <w:p>
            <w:pPr>
              <w:pStyle w:val="TableText"/>
              <w:ind w:left="163"/>
              <w:spacing w:before="21" w:line="219" w:lineRule="auto"/>
              <w:rPr>
                <w:sz w:val="16"/>
                <w:szCs w:val="16"/>
              </w:rPr>
            </w:pPr>
            <w:r>
              <w:rPr>
                <w:sz w:val="16"/>
                <w:szCs w:val="16"/>
                <w:spacing w:val="1"/>
              </w:rPr>
              <w:t>快狗打车等10家网约</w:t>
            </w:r>
          </w:p>
          <w:p>
            <w:pPr>
              <w:pStyle w:val="TableText"/>
              <w:ind w:left="93"/>
              <w:spacing w:before="70" w:line="219" w:lineRule="auto"/>
              <w:rPr>
                <w:sz w:val="16"/>
                <w:szCs w:val="16"/>
              </w:rPr>
            </w:pPr>
            <w:r>
              <w:rPr>
                <w:sz w:val="16"/>
                <w:szCs w:val="16"/>
                <w:spacing w:val="5"/>
              </w:rPr>
              <w:t>车平台</w:t>
            </w:r>
          </w:p>
        </w:tc>
        <w:tc>
          <w:tcPr>
            <w:tcW w:w="3676" w:type="dxa"/>
            <w:vAlign w:val="top"/>
          </w:tcPr>
          <w:p>
            <w:pPr>
              <w:pStyle w:val="TableText"/>
              <w:ind w:left="55" w:right="57" w:firstLine="19"/>
              <w:spacing w:before="75" w:line="263" w:lineRule="auto"/>
              <w:jc w:val="both"/>
              <w:rPr>
                <w:sz w:val="16"/>
                <w:szCs w:val="16"/>
              </w:rPr>
            </w:pPr>
            <w:r>
              <w:rPr>
                <w:sz w:val="16"/>
                <w:szCs w:val="16"/>
              </w:rPr>
              <w:t>约谈提出多条整改要求，包括合理确定抽成比例和</w:t>
            </w:r>
            <w:r>
              <w:rPr>
                <w:sz w:val="16"/>
                <w:szCs w:val="16"/>
                <w:spacing w:val="12"/>
              </w:rPr>
              <w:t xml:space="preserve"> </w:t>
            </w:r>
            <w:r>
              <w:rPr>
                <w:sz w:val="16"/>
                <w:szCs w:val="16"/>
              </w:rPr>
              <w:t>信息服务费水平、整改侵害从业人员权益的经营行</w:t>
            </w:r>
            <w:r>
              <w:rPr>
                <w:sz w:val="16"/>
                <w:szCs w:val="16"/>
                <w:spacing w:val="12"/>
              </w:rPr>
              <w:t xml:space="preserve"> </w:t>
            </w:r>
            <w:r>
              <w:rPr>
                <w:sz w:val="16"/>
                <w:szCs w:val="16"/>
              </w:rPr>
              <w:t>为、改善司机经营环境、坚守安全稳定底线、发挥</w:t>
            </w:r>
            <w:r>
              <w:rPr>
                <w:sz w:val="16"/>
                <w:szCs w:val="16"/>
                <w:spacing w:val="10"/>
              </w:rPr>
              <w:t xml:space="preserve"> </w:t>
            </w:r>
            <w:r>
              <w:rPr>
                <w:sz w:val="16"/>
                <w:szCs w:val="16"/>
              </w:rPr>
              <w:t>党建引领作用等。</w:t>
            </w:r>
          </w:p>
        </w:tc>
        <w:tc>
          <w:tcPr>
            <w:tcW w:w="874" w:type="dxa"/>
            <w:vAlign w:val="top"/>
          </w:tcPr>
          <w:p>
            <w:pPr>
              <w:pStyle w:val="TableText"/>
              <w:ind w:left="99"/>
              <w:spacing w:before="77" w:line="219" w:lineRule="auto"/>
              <w:rPr>
                <w:sz w:val="16"/>
                <w:szCs w:val="16"/>
              </w:rPr>
            </w:pPr>
            <w:r>
              <w:rPr>
                <w:sz w:val="16"/>
                <w:szCs w:val="16"/>
                <w:spacing w:val="-2"/>
              </w:rPr>
              <w:t>2021年</w:t>
            </w:r>
          </w:p>
          <w:p>
            <w:pPr>
              <w:pStyle w:val="TableText"/>
              <w:ind w:left="149"/>
              <w:spacing w:before="60" w:line="219" w:lineRule="auto"/>
              <w:rPr>
                <w:sz w:val="16"/>
                <w:szCs w:val="16"/>
              </w:rPr>
            </w:pPr>
            <w:r>
              <w:rPr>
                <w:sz w:val="16"/>
                <w:szCs w:val="16"/>
                <w:spacing w:val="5"/>
              </w:rPr>
              <w:t>5月14日</w:t>
            </w:r>
          </w:p>
        </w:tc>
      </w:tr>
      <w:tr>
        <w:trPr>
          <w:trHeight w:val="2480" w:hRule="atLeast"/>
        </w:trPr>
        <w:tc>
          <w:tcPr>
            <w:tcW w:w="1034" w:type="dxa"/>
            <w:vAlign w:val="top"/>
          </w:tcPr>
          <w:p>
            <w:pPr>
              <w:pStyle w:val="TableText"/>
              <w:ind w:left="95" w:right="74" w:hanging="30"/>
              <w:spacing w:before="82" w:line="242" w:lineRule="auto"/>
              <w:rPr>
                <w:sz w:val="16"/>
                <w:szCs w:val="16"/>
              </w:rPr>
            </w:pPr>
            <w:r>
              <w:rPr>
                <w:sz w:val="16"/>
                <w:szCs w:val="16"/>
                <w:spacing w:val="-8"/>
              </w:rPr>
              <w:t>联</w:t>
            </w:r>
            <w:r>
              <w:rPr>
                <w:sz w:val="16"/>
                <w:szCs w:val="16"/>
                <w:spacing w:val="-28"/>
              </w:rPr>
              <w:t xml:space="preserve"> </w:t>
            </w:r>
            <w:r>
              <w:rPr>
                <w:sz w:val="16"/>
                <w:szCs w:val="16"/>
                <w:spacing w:val="-8"/>
              </w:rPr>
              <w:t>合</w:t>
            </w:r>
            <w:r>
              <w:rPr>
                <w:sz w:val="16"/>
                <w:szCs w:val="16"/>
                <w:spacing w:val="-27"/>
              </w:rPr>
              <w:t xml:space="preserve"> </w:t>
            </w:r>
            <w:r>
              <w:rPr>
                <w:sz w:val="16"/>
                <w:szCs w:val="16"/>
                <w:spacing w:val="-8"/>
              </w:rPr>
              <w:t>约</w:t>
            </w:r>
            <w:r>
              <w:rPr>
                <w:sz w:val="16"/>
                <w:szCs w:val="16"/>
                <w:spacing w:val="-31"/>
              </w:rPr>
              <w:t xml:space="preserve"> </w:t>
            </w:r>
            <w:r>
              <w:rPr>
                <w:sz w:val="16"/>
                <w:szCs w:val="16"/>
                <w:spacing w:val="-8"/>
              </w:rPr>
              <w:t>谈</w:t>
            </w:r>
            <w:r>
              <w:rPr>
                <w:sz w:val="16"/>
                <w:szCs w:val="16"/>
                <w:spacing w:val="-31"/>
              </w:rPr>
              <w:t xml:space="preserve"> </w:t>
            </w:r>
            <w:r>
              <w:rPr>
                <w:sz w:val="16"/>
                <w:szCs w:val="16"/>
                <w:spacing w:val="-8"/>
              </w:rPr>
              <w:t>+</w:t>
            </w:r>
            <w:r>
              <w:rPr>
                <w:sz w:val="16"/>
                <w:szCs w:val="16"/>
              </w:rPr>
              <w:t xml:space="preserve"> </w:t>
            </w:r>
            <w:r>
              <w:rPr>
                <w:sz w:val="16"/>
                <w:szCs w:val="16"/>
                <w:spacing w:val="-2"/>
              </w:rPr>
              <w:t>要求整改</w:t>
            </w:r>
          </w:p>
        </w:tc>
        <w:tc>
          <w:tcPr>
            <w:tcW w:w="2248" w:type="dxa"/>
            <w:vAlign w:val="top"/>
          </w:tcPr>
          <w:p>
            <w:pPr>
              <w:pStyle w:val="TableText"/>
              <w:ind w:left="71" w:right="6"/>
              <w:spacing w:before="90" w:line="266" w:lineRule="auto"/>
              <w:jc w:val="both"/>
              <w:rPr>
                <w:sz w:val="16"/>
                <w:szCs w:val="16"/>
              </w:rPr>
            </w:pPr>
            <w:r>
              <w:rPr>
                <w:sz w:val="16"/>
                <w:szCs w:val="16"/>
                <w:spacing w:val="6"/>
              </w:rPr>
              <w:t>交通运输部会同中央网信办、</w:t>
            </w:r>
            <w:r>
              <w:rPr>
                <w:sz w:val="16"/>
                <w:szCs w:val="16"/>
              </w:rPr>
              <w:t xml:space="preserve"> </w:t>
            </w:r>
            <w:r>
              <w:rPr>
                <w:sz w:val="16"/>
                <w:szCs w:val="16"/>
                <w:spacing w:val="1"/>
              </w:rPr>
              <w:t>工业和信息化部、公安部、国  </w:t>
            </w:r>
            <w:r>
              <w:rPr>
                <w:sz w:val="16"/>
                <w:szCs w:val="16"/>
                <w:spacing w:val="-1"/>
              </w:rPr>
              <w:t>家市场监管总局等交通运输新</w:t>
            </w:r>
            <w:r>
              <w:rPr>
                <w:sz w:val="16"/>
                <w:szCs w:val="16"/>
                <w:spacing w:val="2"/>
              </w:rPr>
              <w:t xml:space="preserve">  </w:t>
            </w:r>
            <w:r>
              <w:rPr>
                <w:sz w:val="16"/>
                <w:szCs w:val="16"/>
                <w:spacing w:val="-1"/>
              </w:rPr>
              <w:t>业态协同监管部际联席会议成</w:t>
            </w:r>
            <w:r>
              <w:rPr>
                <w:sz w:val="16"/>
                <w:szCs w:val="16"/>
                <w:spacing w:val="3"/>
              </w:rPr>
              <w:t xml:space="preserve">  </w:t>
            </w:r>
            <w:r>
              <w:rPr>
                <w:sz w:val="16"/>
                <w:szCs w:val="16"/>
                <w:spacing w:val="2"/>
              </w:rPr>
              <w:t>员单位</w:t>
            </w:r>
          </w:p>
        </w:tc>
        <w:tc>
          <w:tcPr>
            <w:tcW w:w="1778" w:type="dxa"/>
            <w:vAlign w:val="top"/>
          </w:tcPr>
          <w:p>
            <w:pPr>
              <w:pStyle w:val="TableText"/>
              <w:ind w:left="83" w:right="78" w:firstLine="79"/>
              <w:spacing w:before="64" w:line="274" w:lineRule="auto"/>
              <w:rPr>
                <w:sz w:val="16"/>
                <w:szCs w:val="16"/>
              </w:rPr>
            </w:pPr>
            <w:r>
              <w:rPr>
                <w:sz w:val="16"/>
                <w:szCs w:val="16"/>
                <w:spacing w:val="7"/>
              </w:rPr>
              <w:t>T3出行、美团出行、</w:t>
            </w:r>
            <w:r>
              <w:rPr>
                <w:sz w:val="16"/>
                <w:szCs w:val="16"/>
                <w:spacing w:val="8"/>
              </w:rPr>
              <w:t xml:space="preserve"> </w:t>
            </w:r>
            <w:r>
              <w:rPr>
                <w:sz w:val="16"/>
                <w:szCs w:val="16"/>
                <w:spacing w:val="-1"/>
              </w:rPr>
              <w:t>曹操出行、高德、滴滴</w:t>
            </w:r>
            <w:r>
              <w:rPr>
                <w:sz w:val="16"/>
                <w:szCs w:val="16"/>
              </w:rPr>
              <w:t xml:space="preserve"> </w:t>
            </w:r>
            <w:r>
              <w:rPr>
                <w:sz w:val="16"/>
                <w:szCs w:val="16"/>
              </w:rPr>
              <w:t>出行、首汽约车、嘀嗒</w:t>
            </w:r>
            <w:r>
              <w:rPr>
                <w:sz w:val="16"/>
                <w:szCs w:val="16"/>
                <w:spacing w:val="5"/>
              </w:rPr>
              <w:t xml:space="preserve"> </w:t>
            </w:r>
            <w:r>
              <w:rPr>
                <w:sz w:val="16"/>
                <w:szCs w:val="16"/>
              </w:rPr>
              <w:t>出行、享道出行、如祺</w:t>
            </w:r>
            <w:r>
              <w:rPr>
                <w:sz w:val="16"/>
                <w:szCs w:val="16"/>
                <w:spacing w:val="5"/>
              </w:rPr>
              <w:t xml:space="preserve"> </w:t>
            </w:r>
            <w:r>
              <w:rPr>
                <w:sz w:val="16"/>
                <w:szCs w:val="16"/>
              </w:rPr>
              <w:t>出行、阳光出行、万顺</w:t>
            </w:r>
          </w:p>
          <w:p>
            <w:pPr>
              <w:pStyle w:val="TableText"/>
              <w:ind w:left="93" w:right="157" w:firstLine="70"/>
              <w:spacing w:before="29" w:line="262" w:lineRule="auto"/>
              <w:rPr>
                <w:sz w:val="16"/>
                <w:szCs w:val="16"/>
              </w:rPr>
            </w:pPr>
            <w:r>
              <w:rPr>
                <w:sz w:val="16"/>
                <w:szCs w:val="16"/>
              </w:rPr>
              <w:t>叫车等11家网约车平</w:t>
            </w:r>
            <w:r>
              <w:rPr>
                <w:sz w:val="16"/>
                <w:szCs w:val="16"/>
                <w:spacing w:val="6"/>
              </w:rPr>
              <w:t xml:space="preserve"> </w:t>
            </w:r>
            <w:r>
              <w:rPr>
                <w:sz w:val="16"/>
                <w:szCs w:val="16"/>
                <w:spacing w:val="7"/>
              </w:rPr>
              <w:t>台公司</w:t>
            </w:r>
          </w:p>
        </w:tc>
        <w:tc>
          <w:tcPr>
            <w:tcW w:w="3676" w:type="dxa"/>
            <w:vAlign w:val="top"/>
          </w:tcPr>
          <w:p>
            <w:pPr>
              <w:pStyle w:val="TableText"/>
              <w:ind w:left="75"/>
              <w:spacing w:before="77" w:line="276" w:lineRule="auto"/>
              <w:jc w:val="both"/>
              <w:rPr>
                <w:sz w:val="16"/>
                <w:szCs w:val="16"/>
              </w:rPr>
            </w:pPr>
            <w:r>
              <w:rPr>
                <w:sz w:val="16"/>
                <w:szCs w:val="16"/>
                <w:spacing w:val="-1"/>
              </w:rPr>
              <w:t>约谈指出，部分平台公司通过多种营销手段恶性竞</w:t>
            </w:r>
            <w:r>
              <w:rPr>
                <w:sz w:val="16"/>
                <w:szCs w:val="16"/>
                <w:spacing w:val="1"/>
              </w:rPr>
              <w:t xml:space="preserve">  </w:t>
            </w:r>
            <w:r>
              <w:rPr>
                <w:sz w:val="16"/>
                <w:szCs w:val="16"/>
                <w:spacing w:val="-1"/>
              </w:rPr>
              <w:t>争，并招募或诱导未取得许可的驾驶员和车辆“带</w:t>
            </w:r>
            <w:r>
              <w:rPr>
                <w:sz w:val="16"/>
                <w:szCs w:val="16"/>
                <w:spacing w:val="1"/>
              </w:rPr>
              <w:t xml:space="preserve">  </w:t>
            </w:r>
            <w:r>
              <w:rPr>
                <w:sz w:val="16"/>
                <w:szCs w:val="16"/>
                <w:spacing w:val="-1"/>
              </w:rPr>
              <w:t>车加盟”,开展非法营运，扰乱公平竞争市场秩序，</w:t>
            </w:r>
            <w:r>
              <w:rPr>
                <w:sz w:val="16"/>
                <w:szCs w:val="16"/>
                <w:spacing w:val="12"/>
              </w:rPr>
              <w:t xml:space="preserve"> </w:t>
            </w:r>
            <w:r>
              <w:rPr>
                <w:sz w:val="16"/>
                <w:szCs w:val="16"/>
                <w:spacing w:val="-1"/>
              </w:rPr>
              <w:t>影响行业安全稳定，损害司乘人员合法权益。约谈</w:t>
            </w:r>
            <w:r>
              <w:rPr>
                <w:sz w:val="16"/>
                <w:szCs w:val="16"/>
                <w:spacing w:val="3"/>
              </w:rPr>
              <w:t xml:space="preserve">  </w:t>
            </w:r>
            <w:r>
              <w:rPr>
                <w:sz w:val="16"/>
                <w:szCs w:val="16"/>
                <w:spacing w:val="-1"/>
              </w:rPr>
              <w:t>要求，各平台公司要检视自身存在的问题，立即整</w:t>
            </w:r>
            <w:r>
              <w:rPr>
                <w:sz w:val="16"/>
                <w:szCs w:val="16"/>
                <w:spacing w:val="2"/>
              </w:rPr>
              <w:t xml:space="preserve">  </w:t>
            </w:r>
            <w:r>
              <w:rPr>
                <w:sz w:val="16"/>
                <w:szCs w:val="16"/>
                <w:spacing w:val="-1"/>
              </w:rPr>
              <w:t>改不合规行为，共同维护公平竞争的市场秩序，共</w:t>
            </w:r>
            <w:r>
              <w:rPr>
                <w:sz w:val="16"/>
                <w:szCs w:val="16"/>
              </w:rPr>
              <w:t xml:space="preserve">  </w:t>
            </w:r>
            <w:r>
              <w:rPr>
                <w:sz w:val="16"/>
                <w:szCs w:val="16"/>
                <w:spacing w:val="-6"/>
              </w:rPr>
              <w:t>司营造网约车行业规范健康发展的良好环境。</w:t>
            </w:r>
            <w:r>
              <w:rPr>
                <w:sz w:val="16"/>
                <w:szCs w:val="16"/>
                <w:spacing w:val="50"/>
              </w:rPr>
              <w:t xml:space="preserve"> </w:t>
            </w:r>
            <w:r>
              <w:rPr>
                <w:sz w:val="16"/>
                <w:szCs w:val="16"/>
                <w:spacing w:val="-6"/>
              </w:rPr>
              <w:t>一是</w:t>
            </w:r>
            <w:r>
              <w:rPr>
                <w:sz w:val="16"/>
                <w:szCs w:val="16"/>
              </w:rPr>
              <w:t xml:space="preserve">  </w:t>
            </w:r>
            <w:r>
              <w:rPr>
                <w:sz w:val="16"/>
                <w:szCs w:val="16"/>
                <w:spacing w:val="-1"/>
              </w:rPr>
              <w:t>坚守依法合规经营底线。二是维护公平竞争市场秩</w:t>
            </w:r>
            <w:r>
              <w:rPr>
                <w:sz w:val="16"/>
                <w:szCs w:val="16"/>
                <w:spacing w:val="1"/>
              </w:rPr>
              <w:t xml:space="preserve">  </w:t>
            </w:r>
            <w:r>
              <w:rPr>
                <w:sz w:val="16"/>
                <w:szCs w:val="16"/>
                <w:spacing w:val="-1"/>
              </w:rPr>
              <w:t>序。三是保障司乘人员合法权益。四是落实安全稳</w:t>
            </w:r>
            <w:r>
              <w:rPr>
                <w:sz w:val="16"/>
                <w:szCs w:val="16"/>
                <w:spacing w:val="3"/>
              </w:rPr>
              <w:t xml:space="preserve">  </w:t>
            </w:r>
            <w:r>
              <w:rPr>
                <w:sz w:val="16"/>
                <w:szCs w:val="16"/>
                <w:spacing w:val="-1"/>
              </w:rPr>
              <w:t>定主体责任。五是保障用户信息和数据安全。</w:t>
            </w:r>
          </w:p>
        </w:tc>
        <w:tc>
          <w:tcPr>
            <w:tcW w:w="874" w:type="dxa"/>
            <w:vAlign w:val="top"/>
          </w:tcPr>
          <w:p>
            <w:pPr>
              <w:pStyle w:val="TableText"/>
              <w:ind w:left="109"/>
              <w:spacing w:before="81" w:line="219" w:lineRule="auto"/>
              <w:rPr>
                <w:sz w:val="16"/>
                <w:szCs w:val="16"/>
              </w:rPr>
            </w:pPr>
            <w:r>
              <w:rPr>
                <w:sz w:val="16"/>
                <w:szCs w:val="16"/>
                <w:spacing w:val="-2"/>
              </w:rPr>
              <w:t>2021年</w:t>
            </w:r>
          </w:p>
          <w:p>
            <w:pPr>
              <w:pStyle w:val="TableText"/>
              <w:ind w:left="189"/>
              <w:spacing w:before="40" w:line="219" w:lineRule="auto"/>
              <w:rPr>
                <w:sz w:val="16"/>
                <w:szCs w:val="16"/>
              </w:rPr>
            </w:pPr>
            <w:r>
              <w:rPr>
                <w:sz w:val="16"/>
                <w:szCs w:val="16"/>
                <w:spacing w:val="7"/>
              </w:rPr>
              <w:t>9月1日</w:t>
            </w:r>
          </w:p>
        </w:tc>
      </w:tr>
    </w:tbl>
    <w:p>
      <w:pPr>
        <w:pStyle w:val="BodyText"/>
        <w:rPr/>
      </w:pPr>
      <w:r/>
    </w:p>
    <w:p>
      <w:pPr>
        <w:sectPr>
          <w:headerReference w:type="default" r:id="rId1"/>
          <w:pgSz w:w="12480" w:h="7330"/>
          <w:pgMar w:top="400" w:right="365" w:bottom="400" w:left="1344" w:header="0" w:footer="0" w:gutter="0"/>
        </w:sectPr>
        <w:rPr/>
      </w:pPr>
    </w:p>
    <w:p>
      <w:pPr>
        <w:ind w:left="9074"/>
        <w:spacing w:before="37" w:line="223" w:lineRule="auto"/>
        <w:rPr>
          <w:rFonts w:ascii="SimHei" w:hAnsi="SimHei" w:eastAsia="SimHei" w:cs="SimHei"/>
          <w:sz w:val="18"/>
          <w:szCs w:val="18"/>
        </w:rPr>
      </w:pPr>
      <w:r>
        <mc:AlternateContent xmlns:mc="http://schemas.openxmlformats.org/markup-compatibility/2006">
          <mc:Choice Requires="wps">
            <w:drawing>
              <wp:anchor distT="0" distB="0" distL="0" distR="0" simplePos="0" relativeHeight="255727616" behindDoc="0" locked="0" layoutInCell="0" allowOverlap="1">
                <wp:simplePos x="0" y="0"/>
                <wp:positionH relativeFrom="page">
                  <wp:posOffset>6090956</wp:posOffset>
                </wp:positionH>
                <wp:positionV relativeFrom="page">
                  <wp:posOffset>2662613</wp:posOffset>
                </wp:positionV>
                <wp:extent cx="2680970" cy="149860"/>
                <wp:effectExtent l="0" t="0" r="0" b="0"/>
                <wp:wrapNone/>
                <wp:docPr id="348" name="TextBox 348"/>
                <wp:cNvGraphicFramePr/>
                <a:graphic>
                  <a:graphicData uri="http://schemas.microsoft.com/office/word/2010/wordprocessingShape">
                    <wps:wsp>
                      <wps:cNvSpPr txBox="1"/>
                      <wps:spPr>
                        <a:xfrm rot="5400000">
                          <a:off x="6090956" y="2662613"/>
                          <a:ext cx="2680970" cy="1498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5" w:line="224" w:lineRule="auto"/>
                              <w:rPr>
                                <w:rFonts w:ascii="SimSun" w:hAnsi="SimSun" w:eastAsia="SimSun" w:cs="SimSun"/>
                                <w:sz w:val="14"/>
                                <w:szCs w:val="14"/>
                              </w:rPr>
                            </w:pPr>
                            <w:r>
                              <w:rPr>
                                <w:rFonts w:ascii="SimSun" w:hAnsi="SimSun" w:eastAsia="SimSun" w:cs="SimSun"/>
                                <w:sz w:val="14"/>
                                <w:szCs w:val="14"/>
                                <w:spacing w:val="-6"/>
                              </w:rPr>
                              <w:t>第</w:t>
                            </w:r>
                            <w:r>
                              <w:rPr>
                                <w:rFonts w:ascii="SimSun" w:hAnsi="SimSun" w:eastAsia="SimSun" w:cs="SimSun"/>
                                <w:sz w:val="14"/>
                                <w:szCs w:val="14"/>
                                <w:spacing w:val="-26"/>
                              </w:rPr>
                              <w:t xml:space="preserve"> </w:t>
                            </w:r>
                            <w:r>
                              <w:rPr>
                                <w:rFonts w:ascii="SimSun" w:hAnsi="SimSun" w:eastAsia="SimSun" w:cs="SimSun"/>
                                <w:sz w:val="14"/>
                                <w:szCs w:val="14"/>
                                <w:spacing w:val="-6"/>
                              </w:rPr>
                              <w:t>十</w:t>
                            </w:r>
                            <w:r>
                              <w:rPr>
                                <w:rFonts w:ascii="SimSun" w:hAnsi="SimSun" w:eastAsia="SimSun" w:cs="SimSun"/>
                                <w:sz w:val="14"/>
                                <w:szCs w:val="14"/>
                                <w:spacing w:val="-36"/>
                              </w:rPr>
                              <w:t xml:space="preserve"> </w:t>
                            </w:r>
                            <w:r>
                              <w:rPr>
                                <w:rFonts w:ascii="SimSun" w:hAnsi="SimSun" w:eastAsia="SimSun" w:cs="SimSun"/>
                                <w:sz w:val="14"/>
                                <w:szCs w:val="14"/>
                                <w:spacing w:val="-6"/>
                              </w:rPr>
                              <w:t>一</w:t>
                            </w:r>
                            <w:r>
                              <w:rPr>
                                <w:rFonts w:ascii="SimSun" w:hAnsi="SimSun" w:eastAsia="SimSun" w:cs="SimSun"/>
                                <w:sz w:val="14"/>
                                <w:szCs w:val="14"/>
                                <w:spacing w:val="-34"/>
                              </w:rPr>
                              <w:t xml:space="preserve"> </w:t>
                            </w:r>
                            <w:r>
                              <w:rPr>
                                <w:rFonts w:ascii="SimSun" w:hAnsi="SimSun" w:eastAsia="SimSun" w:cs="SimSun"/>
                                <w:sz w:val="14"/>
                                <w:szCs w:val="14"/>
                                <w:spacing w:val="-6"/>
                              </w:rPr>
                              <w:t>章</w:t>
                            </w:r>
                            <w:r>
                              <w:rPr>
                                <w:rFonts w:ascii="SimSun" w:hAnsi="SimSun" w:eastAsia="SimSun" w:cs="SimSun"/>
                                <w:sz w:val="14"/>
                                <w:szCs w:val="14"/>
                                <w:spacing w:val="-39"/>
                              </w:rPr>
                              <w:t xml:space="preserve"> </w:t>
                            </w:r>
                            <w:r>
                              <w:rPr>
                                <w:rFonts w:ascii="SimSun" w:hAnsi="SimSun" w:eastAsia="SimSun" w:cs="SimSun"/>
                                <w:sz w:val="14"/>
                                <w:szCs w:val="14"/>
                                <w:spacing w:val="-6"/>
                              </w:rPr>
                              <w:t>平</w:t>
                            </w:r>
                            <w:r>
                              <w:rPr>
                                <w:rFonts w:ascii="SimSun" w:hAnsi="SimSun" w:eastAsia="SimSun" w:cs="SimSun"/>
                                <w:sz w:val="14"/>
                                <w:szCs w:val="14"/>
                                <w:spacing w:val="-28"/>
                              </w:rPr>
                              <w:t xml:space="preserve"> </w:t>
                            </w:r>
                            <w:r>
                              <w:rPr>
                                <w:rFonts w:ascii="SimSun" w:hAnsi="SimSun" w:eastAsia="SimSun" w:cs="SimSun"/>
                                <w:sz w:val="14"/>
                                <w:szCs w:val="14"/>
                                <w:spacing w:val="-6"/>
                              </w:rPr>
                              <w:t>台</w:t>
                            </w:r>
                            <w:r>
                              <w:rPr>
                                <w:rFonts w:ascii="SimSun" w:hAnsi="SimSun" w:eastAsia="SimSun" w:cs="SimSun"/>
                                <w:sz w:val="14"/>
                                <w:szCs w:val="14"/>
                                <w:spacing w:val="-27"/>
                              </w:rPr>
                              <w:t xml:space="preserve"> </w:t>
                            </w:r>
                            <w:r>
                              <w:rPr>
                                <w:rFonts w:ascii="SimSun" w:hAnsi="SimSun" w:eastAsia="SimSun" w:cs="SimSun"/>
                                <w:sz w:val="14"/>
                                <w:szCs w:val="14"/>
                                <w:spacing w:val="-6"/>
                              </w:rPr>
                              <w:t>的</w:t>
                            </w:r>
                            <w:r>
                              <w:rPr>
                                <w:rFonts w:ascii="SimSun" w:hAnsi="SimSun" w:eastAsia="SimSun" w:cs="SimSun"/>
                                <w:sz w:val="14"/>
                                <w:szCs w:val="14"/>
                                <w:spacing w:val="-39"/>
                              </w:rPr>
                              <w:t xml:space="preserve"> </w:t>
                            </w:r>
                            <w:r>
                              <w:rPr>
                                <w:rFonts w:ascii="SimSun" w:hAnsi="SimSun" w:eastAsia="SimSun" w:cs="SimSun"/>
                                <w:sz w:val="14"/>
                                <w:szCs w:val="14"/>
                                <w:spacing w:val="-6"/>
                              </w:rPr>
                              <w:t>挑</w:t>
                            </w:r>
                            <w:r>
                              <w:rPr>
                                <w:rFonts w:ascii="SimSun" w:hAnsi="SimSun" w:eastAsia="SimSun" w:cs="SimSun"/>
                                <w:sz w:val="14"/>
                                <w:szCs w:val="14"/>
                                <w:spacing w:val="-32"/>
                              </w:rPr>
                              <w:t xml:space="preserve"> </w:t>
                            </w:r>
                            <w:r>
                              <w:rPr>
                                <w:rFonts w:ascii="SimSun" w:hAnsi="SimSun" w:eastAsia="SimSun" w:cs="SimSun"/>
                                <w:sz w:val="14"/>
                                <w:szCs w:val="14"/>
                                <w:spacing w:val="-6"/>
                              </w:rPr>
                              <w:t>战</w:t>
                            </w:r>
                            <w:r>
                              <w:rPr>
                                <w:rFonts w:ascii="SimSun" w:hAnsi="SimSun" w:eastAsia="SimSun" w:cs="SimSun"/>
                                <w:sz w:val="14"/>
                                <w:szCs w:val="14"/>
                                <w:spacing w:val="-36"/>
                              </w:rPr>
                              <w:t xml:space="preserve"> </w:t>
                            </w:r>
                            <w:r>
                              <w:rPr>
                                <w:rFonts w:ascii="SimSun" w:hAnsi="SimSun" w:eastAsia="SimSun" w:cs="SimSun"/>
                                <w:sz w:val="14"/>
                                <w:szCs w:val="14"/>
                                <w:spacing w:val="-6"/>
                              </w:rPr>
                              <w:t>与</w:t>
                            </w:r>
                            <w:r>
                              <w:rPr>
                                <w:rFonts w:ascii="SimSun" w:hAnsi="SimSun" w:eastAsia="SimSun" w:cs="SimSun"/>
                                <w:sz w:val="14"/>
                                <w:szCs w:val="14"/>
                                <w:spacing w:val="-35"/>
                              </w:rPr>
                              <w:t xml:space="preserve"> </w:t>
                            </w:r>
                            <w:r>
                              <w:rPr>
                                <w:rFonts w:ascii="SimSun" w:hAnsi="SimSun" w:eastAsia="SimSun" w:cs="SimSun"/>
                                <w:sz w:val="14"/>
                                <w:szCs w:val="14"/>
                                <w:spacing w:val="-6"/>
                              </w:rPr>
                              <w:t>失</w:t>
                            </w:r>
                            <w:r>
                              <w:rPr>
                                <w:rFonts w:ascii="SimSun" w:hAnsi="SimSun" w:eastAsia="SimSun" w:cs="SimSun"/>
                                <w:sz w:val="14"/>
                                <w:szCs w:val="14"/>
                                <w:spacing w:val="-39"/>
                              </w:rPr>
                              <w:t xml:space="preserve"> </w:t>
                            </w:r>
                            <w:r>
                              <w:rPr>
                                <w:rFonts w:ascii="SimSun" w:hAnsi="SimSun" w:eastAsia="SimSun" w:cs="SimSun"/>
                                <w:sz w:val="14"/>
                                <w:szCs w:val="14"/>
                                <w:spacing w:val="-6"/>
                              </w:rPr>
                              <w:t>焦</w:t>
                            </w:r>
                            <w:r>
                              <w:rPr>
                                <w:rFonts w:ascii="SimSun" w:hAnsi="SimSun" w:eastAsia="SimSun" w:cs="SimSun"/>
                                <w:sz w:val="14"/>
                                <w:szCs w:val="14"/>
                                <w:spacing w:val="-27"/>
                              </w:rPr>
                              <w:t xml:space="preserve"> </w:t>
                            </w:r>
                            <w:r>
                              <w:rPr>
                                <w:rFonts w:ascii="SimSun" w:hAnsi="SimSun" w:eastAsia="SimSun" w:cs="SimSun"/>
                                <w:sz w:val="14"/>
                                <w:szCs w:val="14"/>
                                <w:spacing w:val="-6"/>
                              </w:rPr>
                              <w:t>的</w:t>
                            </w:r>
                            <w:r>
                              <w:rPr>
                                <w:rFonts w:ascii="SimSun" w:hAnsi="SimSun" w:eastAsia="SimSun" w:cs="SimSun"/>
                                <w:sz w:val="14"/>
                                <w:szCs w:val="14"/>
                                <w:spacing w:val="-38"/>
                              </w:rPr>
                              <w:t xml:space="preserve"> </w:t>
                            </w:r>
                            <w:r>
                              <w:rPr>
                                <w:rFonts w:ascii="SimSun" w:hAnsi="SimSun" w:eastAsia="SimSun" w:cs="SimSun"/>
                                <w:sz w:val="14"/>
                                <w:szCs w:val="14"/>
                                <w:spacing w:val="-6"/>
                              </w:rPr>
                              <w:t>监</w:t>
                            </w:r>
                            <w:r>
                              <w:rPr>
                                <w:rFonts w:ascii="SimSun" w:hAnsi="SimSun" w:eastAsia="SimSun" w:cs="SimSun"/>
                                <w:sz w:val="14"/>
                                <w:szCs w:val="14"/>
                                <w:spacing w:val="-35"/>
                              </w:rPr>
                              <w:t xml:space="preserve"> </w:t>
                            </w:r>
                            <w:r>
                              <w:rPr>
                                <w:rFonts w:ascii="SimSun" w:hAnsi="SimSun" w:eastAsia="SimSun" w:cs="SimSun"/>
                                <w:sz w:val="14"/>
                                <w:szCs w:val="14"/>
                                <w:spacing w:val="-6"/>
                              </w:rPr>
                              <w:t>管                       387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2" style="position:absolute;margin-left:479.603pt;margin-top:209.655pt;mso-position-vertical-relative:page;mso-position-horizontal-relative:page;width:211.1pt;height:11.8pt;z-index:255727616;rotation:90;" o:allowincell="f" filled="false" stroked="false" type="#_x0000_t202">
                <v:fill on="false"/>
                <v:stroke on="false"/>
                <v:path/>
                <v:imagedata o:title=""/>
                <o:lock v:ext="edit" aspectratio="false"/>
                <v:textbox inset="0mm,0mm,0mm,0mm">
                  <w:txbxContent>
                    <w:p>
                      <w:pPr>
                        <w:ind w:left="20"/>
                        <w:spacing w:before="45" w:line="224" w:lineRule="auto"/>
                        <w:rPr>
                          <w:rFonts w:ascii="SimSun" w:hAnsi="SimSun" w:eastAsia="SimSun" w:cs="SimSun"/>
                          <w:sz w:val="14"/>
                          <w:szCs w:val="14"/>
                        </w:rPr>
                      </w:pPr>
                      <w:r>
                        <w:rPr>
                          <w:rFonts w:ascii="SimSun" w:hAnsi="SimSun" w:eastAsia="SimSun" w:cs="SimSun"/>
                          <w:sz w:val="14"/>
                          <w:szCs w:val="14"/>
                          <w:spacing w:val="-6"/>
                        </w:rPr>
                        <w:t>第</w:t>
                      </w:r>
                      <w:r>
                        <w:rPr>
                          <w:rFonts w:ascii="SimSun" w:hAnsi="SimSun" w:eastAsia="SimSun" w:cs="SimSun"/>
                          <w:sz w:val="14"/>
                          <w:szCs w:val="14"/>
                          <w:spacing w:val="-26"/>
                        </w:rPr>
                        <w:t xml:space="preserve"> </w:t>
                      </w:r>
                      <w:r>
                        <w:rPr>
                          <w:rFonts w:ascii="SimSun" w:hAnsi="SimSun" w:eastAsia="SimSun" w:cs="SimSun"/>
                          <w:sz w:val="14"/>
                          <w:szCs w:val="14"/>
                          <w:spacing w:val="-6"/>
                        </w:rPr>
                        <w:t>十</w:t>
                      </w:r>
                      <w:r>
                        <w:rPr>
                          <w:rFonts w:ascii="SimSun" w:hAnsi="SimSun" w:eastAsia="SimSun" w:cs="SimSun"/>
                          <w:sz w:val="14"/>
                          <w:szCs w:val="14"/>
                          <w:spacing w:val="-36"/>
                        </w:rPr>
                        <w:t xml:space="preserve"> </w:t>
                      </w:r>
                      <w:r>
                        <w:rPr>
                          <w:rFonts w:ascii="SimSun" w:hAnsi="SimSun" w:eastAsia="SimSun" w:cs="SimSun"/>
                          <w:sz w:val="14"/>
                          <w:szCs w:val="14"/>
                          <w:spacing w:val="-6"/>
                        </w:rPr>
                        <w:t>一</w:t>
                      </w:r>
                      <w:r>
                        <w:rPr>
                          <w:rFonts w:ascii="SimSun" w:hAnsi="SimSun" w:eastAsia="SimSun" w:cs="SimSun"/>
                          <w:sz w:val="14"/>
                          <w:szCs w:val="14"/>
                          <w:spacing w:val="-34"/>
                        </w:rPr>
                        <w:t xml:space="preserve"> </w:t>
                      </w:r>
                      <w:r>
                        <w:rPr>
                          <w:rFonts w:ascii="SimSun" w:hAnsi="SimSun" w:eastAsia="SimSun" w:cs="SimSun"/>
                          <w:sz w:val="14"/>
                          <w:szCs w:val="14"/>
                          <w:spacing w:val="-6"/>
                        </w:rPr>
                        <w:t>章</w:t>
                      </w:r>
                      <w:r>
                        <w:rPr>
                          <w:rFonts w:ascii="SimSun" w:hAnsi="SimSun" w:eastAsia="SimSun" w:cs="SimSun"/>
                          <w:sz w:val="14"/>
                          <w:szCs w:val="14"/>
                          <w:spacing w:val="-39"/>
                        </w:rPr>
                        <w:t xml:space="preserve"> </w:t>
                      </w:r>
                      <w:r>
                        <w:rPr>
                          <w:rFonts w:ascii="SimSun" w:hAnsi="SimSun" w:eastAsia="SimSun" w:cs="SimSun"/>
                          <w:sz w:val="14"/>
                          <w:szCs w:val="14"/>
                          <w:spacing w:val="-6"/>
                        </w:rPr>
                        <w:t>平</w:t>
                      </w:r>
                      <w:r>
                        <w:rPr>
                          <w:rFonts w:ascii="SimSun" w:hAnsi="SimSun" w:eastAsia="SimSun" w:cs="SimSun"/>
                          <w:sz w:val="14"/>
                          <w:szCs w:val="14"/>
                          <w:spacing w:val="-28"/>
                        </w:rPr>
                        <w:t xml:space="preserve"> </w:t>
                      </w:r>
                      <w:r>
                        <w:rPr>
                          <w:rFonts w:ascii="SimSun" w:hAnsi="SimSun" w:eastAsia="SimSun" w:cs="SimSun"/>
                          <w:sz w:val="14"/>
                          <w:szCs w:val="14"/>
                          <w:spacing w:val="-6"/>
                        </w:rPr>
                        <w:t>台</w:t>
                      </w:r>
                      <w:r>
                        <w:rPr>
                          <w:rFonts w:ascii="SimSun" w:hAnsi="SimSun" w:eastAsia="SimSun" w:cs="SimSun"/>
                          <w:sz w:val="14"/>
                          <w:szCs w:val="14"/>
                          <w:spacing w:val="-27"/>
                        </w:rPr>
                        <w:t xml:space="preserve"> </w:t>
                      </w:r>
                      <w:r>
                        <w:rPr>
                          <w:rFonts w:ascii="SimSun" w:hAnsi="SimSun" w:eastAsia="SimSun" w:cs="SimSun"/>
                          <w:sz w:val="14"/>
                          <w:szCs w:val="14"/>
                          <w:spacing w:val="-6"/>
                        </w:rPr>
                        <w:t>的</w:t>
                      </w:r>
                      <w:r>
                        <w:rPr>
                          <w:rFonts w:ascii="SimSun" w:hAnsi="SimSun" w:eastAsia="SimSun" w:cs="SimSun"/>
                          <w:sz w:val="14"/>
                          <w:szCs w:val="14"/>
                          <w:spacing w:val="-39"/>
                        </w:rPr>
                        <w:t xml:space="preserve"> </w:t>
                      </w:r>
                      <w:r>
                        <w:rPr>
                          <w:rFonts w:ascii="SimSun" w:hAnsi="SimSun" w:eastAsia="SimSun" w:cs="SimSun"/>
                          <w:sz w:val="14"/>
                          <w:szCs w:val="14"/>
                          <w:spacing w:val="-6"/>
                        </w:rPr>
                        <w:t>挑</w:t>
                      </w:r>
                      <w:r>
                        <w:rPr>
                          <w:rFonts w:ascii="SimSun" w:hAnsi="SimSun" w:eastAsia="SimSun" w:cs="SimSun"/>
                          <w:sz w:val="14"/>
                          <w:szCs w:val="14"/>
                          <w:spacing w:val="-32"/>
                        </w:rPr>
                        <w:t xml:space="preserve"> </w:t>
                      </w:r>
                      <w:r>
                        <w:rPr>
                          <w:rFonts w:ascii="SimSun" w:hAnsi="SimSun" w:eastAsia="SimSun" w:cs="SimSun"/>
                          <w:sz w:val="14"/>
                          <w:szCs w:val="14"/>
                          <w:spacing w:val="-6"/>
                        </w:rPr>
                        <w:t>战</w:t>
                      </w:r>
                      <w:r>
                        <w:rPr>
                          <w:rFonts w:ascii="SimSun" w:hAnsi="SimSun" w:eastAsia="SimSun" w:cs="SimSun"/>
                          <w:sz w:val="14"/>
                          <w:szCs w:val="14"/>
                          <w:spacing w:val="-36"/>
                        </w:rPr>
                        <w:t xml:space="preserve"> </w:t>
                      </w:r>
                      <w:r>
                        <w:rPr>
                          <w:rFonts w:ascii="SimSun" w:hAnsi="SimSun" w:eastAsia="SimSun" w:cs="SimSun"/>
                          <w:sz w:val="14"/>
                          <w:szCs w:val="14"/>
                          <w:spacing w:val="-6"/>
                        </w:rPr>
                        <w:t>与</w:t>
                      </w:r>
                      <w:r>
                        <w:rPr>
                          <w:rFonts w:ascii="SimSun" w:hAnsi="SimSun" w:eastAsia="SimSun" w:cs="SimSun"/>
                          <w:sz w:val="14"/>
                          <w:szCs w:val="14"/>
                          <w:spacing w:val="-35"/>
                        </w:rPr>
                        <w:t xml:space="preserve"> </w:t>
                      </w:r>
                      <w:r>
                        <w:rPr>
                          <w:rFonts w:ascii="SimSun" w:hAnsi="SimSun" w:eastAsia="SimSun" w:cs="SimSun"/>
                          <w:sz w:val="14"/>
                          <w:szCs w:val="14"/>
                          <w:spacing w:val="-6"/>
                        </w:rPr>
                        <w:t>失</w:t>
                      </w:r>
                      <w:r>
                        <w:rPr>
                          <w:rFonts w:ascii="SimSun" w:hAnsi="SimSun" w:eastAsia="SimSun" w:cs="SimSun"/>
                          <w:sz w:val="14"/>
                          <w:szCs w:val="14"/>
                          <w:spacing w:val="-39"/>
                        </w:rPr>
                        <w:t xml:space="preserve"> </w:t>
                      </w:r>
                      <w:r>
                        <w:rPr>
                          <w:rFonts w:ascii="SimSun" w:hAnsi="SimSun" w:eastAsia="SimSun" w:cs="SimSun"/>
                          <w:sz w:val="14"/>
                          <w:szCs w:val="14"/>
                          <w:spacing w:val="-6"/>
                        </w:rPr>
                        <w:t>焦</w:t>
                      </w:r>
                      <w:r>
                        <w:rPr>
                          <w:rFonts w:ascii="SimSun" w:hAnsi="SimSun" w:eastAsia="SimSun" w:cs="SimSun"/>
                          <w:sz w:val="14"/>
                          <w:szCs w:val="14"/>
                          <w:spacing w:val="-27"/>
                        </w:rPr>
                        <w:t xml:space="preserve"> </w:t>
                      </w:r>
                      <w:r>
                        <w:rPr>
                          <w:rFonts w:ascii="SimSun" w:hAnsi="SimSun" w:eastAsia="SimSun" w:cs="SimSun"/>
                          <w:sz w:val="14"/>
                          <w:szCs w:val="14"/>
                          <w:spacing w:val="-6"/>
                        </w:rPr>
                        <w:t>的</w:t>
                      </w:r>
                      <w:r>
                        <w:rPr>
                          <w:rFonts w:ascii="SimSun" w:hAnsi="SimSun" w:eastAsia="SimSun" w:cs="SimSun"/>
                          <w:sz w:val="14"/>
                          <w:szCs w:val="14"/>
                          <w:spacing w:val="-38"/>
                        </w:rPr>
                        <w:t xml:space="preserve"> </w:t>
                      </w:r>
                      <w:r>
                        <w:rPr>
                          <w:rFonts w:ascii="SimSun" w:hAnsi="SimSun" w:eastAsia="SimSun" w:cs="SimSun"/>
                          <w:sz w:val="14"/>
                          <w:szCs w:val="14"/>
                          <w:spacing w:val="-6"/>
                        </w:rPr>
                        <w:t>监</w:t>
                      </w:r>
                      <w:r>
                        <w:rPr>
                          <w:rFonts w:ascii="SimSun" w:hAnsi="SimSun" w:eastAsia="SimSun" w:cs="SimSun"/>
                          <w:sz w:val="14"/>
                          <w:szCs w:val="14"/>
                          <w:spacing w:val="-35"/>
                        </w:rPr>
                        <w:t xml:space="preserve"> </w:t>
                      </w:r>
                      <w:r>
                        <w:rPr>
                          <w:rFonts w:ascii="SimSun" w:hAnsi="SimSun" w:eastAsia="SimSun" w:cs="SimSun"/>
                          <w:sz w:val="14"/>
                          <w:szCs w:val="14"/>
                          <w:spacing w:val="-6"/>
                        </w:rPr>
                        <w:t>管                       387</w:t>
                      </w:r>
                    </w:p>
                  </w:txbxContent>
                </v:textbox>
              </v:shape>
            </w:pict>
          </mc:Fallback>
        </mc:AlternateContent>
      </w:r>
      <w:r>
        <w:rPr>
          <w:rFonts w:ascii="SimHei" w:hAnsi="SimHei" w:eastAsia="SimHei" w:cs="SimHei"/>
          <w:sz w:val="18"/>
          <w:szCs w:val="18"/>
          <w:spacing w:val="-2"/>
        </w:rPr>
        <w:t>(续表)</w:t>
      </w:r>
    </w:p>
    <w:p>
      <w:pPr>
        <w:spacing w:line="109" w:lineRule="exact"/>
        <w:rPr/>
      </w:pPr>
      <w:r/>
    </w:p>
    <w:tbl>
      <w:tblPr>
        <w:tblStyle w:val="TableNormal"/>
        <w:tblW w:w="96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24"/>
        <w:gridCol w:w="2267"/>
        <w:gridCol w:w="1768"/>
        <w:gridCol w:w="3686"/>
        <w:gridCol w:w="874"/>
      </w:tblGrid>
      <w:tr>
        <w:trPr>
          <w:trHeight w:val="543" w:hRule="atLeast"/>
        </w:trPr>
        <w:tc>
          <w:tcPr>
            <w:tcW w:w="1024" w:type="dxa"/>
            <w:vAlign w:val="top"/>
          </w:tcPr>
          <w:p>
            <w:pPr>
              <w:pStyle w:val="TableText"/>
              <w:ind w:left="347"/>
              <w:spacing w:before="69" w:line="241" w:lineRule="exact"/>
              <w:rPr>
                <w:sz w:val="16"/>
                <w:szCs w:val="16"/>
              </w:rPr>
            </w:pPr>
            <w:r>
              <w:rPr>
                <w:sz w:val="16"/>
                <w:szCs w:val="16"/>
                <w:b/>
                <w:bCs/>
                <w:spacing w:val="-4"/>
                <w:position w:val="6"/>
              </w:rPr>
              <w:t>监管</w:t>
            </w:r>
          </w:p>
          <w:p>
            <w:pPr>
              <w:pStyle w:val="TableText"/>
              <w:ind w:left="347"/>
              <w:spacing w:line="220" w:lineRule="auto"/>
              <w:rPr>
                <w:sz w:val="16"/>
                <w:szCs w:val="16"/>
              </w:rPr>
            </w:pPr>
            <w:r>
              <w:rPr>
                <w:sz w:val="16"/>
                <w:szCs w:val="16"/>
                <w:b/>
                <w:bCs/>
                <w:spacing w:val="-4"/>
              </w:rPr>
              <w:t>方式</w:t>
            </w:r>
          </w:p>
        </w:tc>
        <w:tc>
          <w:tcPr>
            <w:tcW w:w="2267" w:type="dxa"/>
            <w:vAlign w:val="top"/>
          </w:tcPr>
          <w:p>
            <w:pPr>
              <w:pStyle w:val="TableText"/>
              <w:ind w:left="803"/>
              <w:spacing w:before="189" w:line="219" w:lineRule="auto"/>
              <w:rPr>
                <w:sz w:val="16"/>
                <w:szCs w:val="16"/>
              </w:rPr>
            </w:pPr>
            <w:r>
              <w:rPr>
                <w:sz w:val="16"/>
                <w:szCs w:val="16"/>
                <w:b/>
                <w:bCs/>
                <w:spacing w:val="1"/>
              </w:rPr>
              <w:t>监管部门</w:t>
            </w:r>
          </w:p>
        </w:tc>
        <w:tc>
          <w:tcPr>
            <w:tcW w:w="1768" w:type="dxa"/>
            <w:vAlign w:val="top"/>
          </w:tcPr>
          <w:p>
            <w:pPr>
              <w:pStyle w:val="TableText"/>
              <w:ind w:left="556"/>
              <w:spacing w:before="189" w:line="219" w:lineRule="auto"/>
              <w:rPr>
                <w:sz w:val="16"/>
                <w:szCs w:val="16"/>
              </w:rPr>
            </w:pPr>
            <w:r>
              <w:rPr>
                <w:sz w:val="16"/>
                <w:szCs w:val="16"/>
                <w:b/>
                <w:bCs/>
                <w:spacing w:val="-3"/>
              </w:rPr>
              <w:t>监管对象</w:t>
            </w:r>
          </w:p>
        </w:tc>
        <w:tc>
          <w:tcPr>
            <w:tcW w:w="3686" w:type="dxa"/>
            <w:vAlign w:val="top"/>
          </w:tcPr>
          <w:p>
            <w:pPr>
              <w:pStyle w:val="TableText"/>
              <w:ind w:left="1518"/>
              <w:spacing w:before="189" w:line="219" w:lineRule="auto"/>
              <w:rPr>
                <w:sz w:val="16"/>
                <w:szCs w:val="16"/>
              </w:rPr>
            </w:pPr>
            <w:r>
              <w:rPr>
                <w:sz w:val="16"/>
                <w:szCs w:val="16"/>
                <w:b/>
                <w:bCs/>
                <w:spacing w:val="-3"/>
              </w:rPr>
              <w:t>监管内容</w:t>
            </w:r>
          </w:p>
        </w:tc>
        <w:tc>
          <w:tcPr>
            <w:tcW w:w="874" w:type="dxa"/>
            <w:vAlign w:val="top"/>
          </w:tcPr>
          <w:p>
            <w:pPr>
              <w:pStyle w:val="TableText"/>
              <w:ind w:left="112"/>
              <w:spacing w:before="189" w:line="219" w:lineRule="auto"/>
              <w:rPr>
                <w:sz w:val="16"/>
                <w:szCs w:val="16"/>
              </w:rPr>
            </w:pPr>
            <w:r>
              <w:rPr>
                <w:sz w:val="16"/>
                <w:szCs w:val="16"/>
                <w:b/>
                <w:bCs/>
                <w:spacing w:val="-3"/>
              </w:rPr>
              <w:t>监管时间</w:t>
            </w:r>
          </w:p>
        </w:tc>
      </w:tr>
      <w:tr>
        <w:trPr>
          <w:trHeight w:val="4634" w:hRule="atLeast"/>
        </w:trPr>
        <w:tc>
          <w:tcPr>
            <w:tcW w:w="1024" w:type="dxa"/>
            <w:vAlign w:val="top"/>
          </w:tcPr>
          <w:p>
            <w:pPr>
              <w:pStyle w:val="TableText"/>
              <w:ind w:left="54" w:right="64" w:firstLine="10"/>
              <w:spacing w:before="89" w:line="236" w:lineRule="auto"/>
              <w:rPr>
                <w:sz w:val="16"/>
                <w:szCs w:val="16"/>
              </w:rPr>
            </w:pPr>
            <w:r>
              <w:rPr>
                <w:sz w:val="16"/>
                <w:szCs w:val="16"/>
                <w:spacing w:val="-8"/>
              </w:rPr>
              <w:t>联</w:t>
            </w:r>
            <w:r>
              <w:rPr>
                <w:sz w:val="16"/>
                <w:szCs w:val="16"/>
                <w:spacing w:val="-28"/>
              </w:rPr>
              <w:t xml:space="preserve"> </w:t>
            </w:r>
            <w:r>
              <w:rPr>
                <w:sz w:val="16"/>
                <w:szCs w:val="16"/>
                <w:spacing w:val="-8"/>
              </w:rPr>
              <w:t>合</w:t>
            </w:r>
            <w:r>
              <w:rPr>
                <w:sz w:val="16"/>
                <w:szCs w:val="16"/>
                <w:spacing w:val="-27"/>
              </w:rPr>
              <w:t xml:space="preserve"> </w:t>
            </w:r>
            <w:r>
              <w:rPr>
                <w:sz w:val="16"/>
                <w:szCs w:val="16"/>
                <w:spacing w:val="-8"/>
              </w:rPr>
              <w:t>约</w:t>
            </w:r>
            <w:r>
              <w:rPr>
                <w:sz w:val="16"/>
                <w:szCs w:val="16"/>
                <w:spacing w:val="-31"/>
              </w:rPr>
              <w:t xml:space="preserve"> </w:t>
            </w:r>
            <w:r>
              <w:rPr>
                <w:sz w:val="16"/>
                <w:szCs w:val="16"/>
                <w:spacing w:val="-8"/>
              </w:rPr>
              <w:t>谈</w:t>
            </w:r>
            <w:r>
              <w:rPr>
                <w:sz w:val="16"/>
                <w:szCs w:val="16"/>
                <w:spacing w:val="-31"/>
              </w:rPr>
              <w:t xml:space="preserve"> </w:t>
            </w:r>
            <w:r>
              <w:rPr>
                <w:sz w:val="16"/>
                <w:szCs w:val="16"/>
                <w:spacing w:val="-8"/>
              </w:rPr>
              <w:t>+</w:t>
            </w:r>
            <w:r>
              <w:rPr>
                <w:sz w:val="16"/>
                <w:szCs w:val="16"/>
              </w:rPr>
              <w:t xml:space="preserve"> </w:t>
            </w:r>
            <w:r>
              <w:rPr>
                <w:sz w:val="16"/>
                <w:szCs w:val="16"/>
                <w:spacing w:val="-2"/>
              </w:rPr>
              <w:t>要求整改</w:t>
            </w:r>
          </w:p>
        </w:tc>
        <w:tc>
          <w:tcPr>
            <w:tcW w:w="2267" w:type="dxa"/>
            <w:vAlign w:val="top"/>
          </w:tcPr>
          <w:p>
            <w:pPr>
              <w:pStyle w:val="TableText"/>
              <w:ind w:left="70" w:right="183" w:firstLine="89"/>
              <w:spacing w:before="77" w:line="242" w:lineRule="auto"/>
              <w:rPr>
                <w:sz w:val="16"/>
                <w:szCs w:val="16"/>
              </w:rPr>
            </w:pPr>
            <w:r>
              <w:rPr>
                <w:sz w:val="16"/>
                <w:szCs w:val="16"/>
                <w:spacing w:val="-1"/>
              </w:rPr>
              <w:t>人民银行、银保监会、证监</w:t>
            </w:r>
            <w:r>
              <w:rPr>
                <w:sz w:val="16"/>
                <w:szCs w:val="16"/>
                <w:spacing w:val="3"/>
              </w:rPr>
              <w:t xml:space="preserve"> </w:t>
            </w:r>
            <w:r>
              <w:rPr>
                <w:sz w:val="16"/>
                <w:szCs w:val="16"/>
                <w:spacing w:val="-1"/>
              </w:rPr>
              <w:t>会、外汇局</w:t>
            </w:r>
          </w:p>
        </w:tc>
        <w:tc>
          <w:tcPr>
            <w:tcW w:w="1768" w:type="dxa"/>
            <w:vAlign w:val="top"/>
          </w:tcPr>
          <w:p>
            <w:pPr>
              <w:pStyle w:val="TableText"/>
              <w:ind w:left="73"/>
              <w:spacing w:before="78" w:line="219" w:lineRule="auto"/>
              <w:rPr>
                <w:sz w:val="16"/>
                <w:szCs w:val="16"/>
              </w:rPr>
            </w:pPr>
            <w:r>
              <w:rPr>
                <w:sz w:val="16"/>
                <w:szCs w:val="16"/>
                <w:spacing w:val="-1"/>
              </w:rPr>
              <w:t>腾讯、度小满金融、京</w:t>
            </w:r>
          </w:p>
          <w:p>
            <w:pPr>
              <w:pStyle w:val="TableText"/>
              <w:ind w:left="73"/>
              <w:spacing w:before="50" w:line="219" w:lineRule="auto"/>
              <w:rPr>
                <w:sz w:val="16"/>
                <w:szCs w:val="16"/>
              </w:rPr>
            </w:pPr>
            <w:r>
              <w:rPr>
                <w:sz w:val="16"/>
                <w:szCs w:val="16"/>
                <w:spacing w:val="-2"/>
              </w:rPr>
              <w:t>东金融、字节跳动、美</w:t>
            </w:r>
          </w:p>
          <w:p>
            <w:pPr>
              <w:pStyle w:val="TableText"/>
              <w:ind w:left="73"/>
              <w:spacing w:before="60" w:line="221" w:lineRule="auto"/>
              <w:rPr>
                <w:sz w:val="16"/>
                <w:szCs w:val="16"/>
              </w:rPr>
            </w:pPr>
            <w:r>
              <w:rPr>
                <w:sz w:val="16"/>
                <w:szCs w:val="16"/>
              </w:rPr>
              <w:t>团金融、滴滴金融、陆</w:t>
            </w:r>
          </w:p>
          <w:p>
            <w:pPr>
              <w:pStyle w:val="TableText"/>
              <w:ind w:left="113"/>
              <w:spacing w:before="46" w:line="219" w:lineRule="auto"/>
              <w:rPr>
                <w:sz w:val="16"/>
                <w:szCs w:val="16"/>
              </w:rPr>
            </w:pPr>
            <w:r>
              <w:rPr>
                <w:sz w:val="16"/>
                <w:szCs w:val="16"/>
                <w:spacing w:val="-1"/>
              </w:rPr>
              <w:t>金所、天星数科、360</w:t>
            </w:r>
          </w:p>
          <w:p>
            <w:pPr>
              <w:pStyle w:val="TableText"/>
              <w:ind w:left="73"/>
              <w:spacing w:before="50" w:line="219" w:lineRule="auto"/>
              <w:rPr>
                <w:sz w:val="16"/>
                <w:szCs w:val="16"/>
              </w:rPr>
            </w:pPr>
            <w:r>
              <w:rPr>
                <w:sz w:val="16"/>
                <w:szCs w:val="16"/>
                <w:spacing w:val="-1"/>
              </w:rPr>
              <w:t>数科、新浪金融、苏宁</w:t>
            </w:r>
          </w:p>
          <w:p>
            <w:pPr>
              <w:pStyle w:val="TableText"/>
              <w:ind w:left="73"/>
              <w:spacing w:before="42" w:line="220" w:lineRule="auto"/>
              <w:rPr>
                <w:sz w:val="16"/>
                <w:szCs w:val="16"/>
              </w:rPr>
            </w:pPr>
            <w:r>
              <w:rPr>
                <w:sz w:val="16"/>
                <w:szCs w:val="16"/>
                <w:spacing w:val="-1"/>
              </w:rPr>
              <w:t>金融、国美金融、携程</w:t>
            </w:r>
          </w:p>
          <w:p>
            <w:pPr>
              <w:pStyle w:val="TableText"/>
              <w:ind w:left="153"/>
              <w:spacing w:before="39" w:line="219" w:lineRule="auto"/>
              <w:rPr>
                <w:sz w:val="16"/>
                <w:szCs w:val="16"/>
              </w:rPr>
            </w:pPr>
            <w:r>
              <w:rPr>
                <w:sz w:val="16"/>
                <w:szCs w:val="16"/>
                <w:spacing w:val="1"/>
              </w:rPr>
              <w:t>金融等13家网络平台</w:t>
            </w:r>
          </w:p>
          <w:p>
            <w:pPr>
              <w:pStyle w:val="TableText"/>
              <w:ind w:left="83"/>
              <w:spacing w:before="49" w:line="229" w:lineRule="auto"/>
              <w:rPr>
                <w:sz w:val="16"/>
                <w:szCs w:val="16"/>
              </w:rPr>
            </w:pPr>
            <w:r>
              <w:rPr>
                <w:sz w:val="16"/>
                <w:szCs w:val="16"/>
                <w:spacing w:val="-3"/>
              </w:rPr>
              <w:t>企业</w:t>
            </w:r>
          </w:p>
        </w:tc>
        <w:tc>
          <w:tcPr>
            <w:tcW w:w="3686" w:type="dxa"/>
            <w:vAlign w:val="top"/>
          </w:tcPr>
          <w:p>
            <w:pPr>
              <w:pStyle w:val="TableText"/>
              <w:ind w:left="76" w:right="39"/>
              <w:spacing w:before="72" w:line="276" w:lineRule="auto"/>
              <w:jc w:val="both"/>
              <w:rPr>
                <w:sz w:val="16"/>
                <w:szCs w:val="16"/>
              </w:rPr>
            </w:pPr>
            <w:r>
              <w:rPr>
                <w:sz w:val="16"/>
                <w:szCs w:val="16"/>
                <w:spacing w:val="-1"/>
              </w:rPr>
              <w:t>金融管理部门针对当前网络平台企业从事金融业务 </w:t>
            </w:r>
            <w:r>
              <w:rPr>
                <w:sz w:val="16"/>
                <w:szCs w:val="16"/>
                <w:spacing w:val="-5"/>
              </w:rPr>
              <w:t>中普遍存在的突出问题提出了整改要求。</w:t>
            </w:r>
            <w:r>
              <w:rPr>
                <w:sz w:val="16"/>
                <w:szCs w:val="16"/>
                <w:spacing w:val="35"/>
              </w:rPr>
              <w:t xml:space="preserve"> </w:t>
            </w:r>
            <w:r>
              <w:rPr>
                <w:sz w:val="16"/>
                <w:szCs w:val="16"/>
                <w:spacing w:val="-5"/>
              </w:rPr>
              <w:t>一是坚持</w:t>
            </w:r>
            <w:r>
              <w:rPr>
                <w:sz w:val="16"/>
                <w:szCs w:val="16"/>
              </w:rPr>
              <w:t xml:space="preserve"> </w:t>
            </w:r>
            <w:r>
              <w:rPr>
                <w:sz w:val="16"/>
                <w:szCs w:val="16"/>
                <w:spacing w:val="-1"/>
              </w:rPr>
              <w:t>金融活动全部纳入金融监管，金融业务必须持牌经 </w:t>
            </w:r>
            <w:r>
              <w:rPr>
                <w:sz w:val="16"/>
                <w:szCs w:val="16"/>
                <w:spacing w:val="-1"/>
              </w:rPr>
              <w:t>营。二是支付回归本源，断开支付工具和其他金融 </w:t>
            </w:r>
            <w:r>
              <w:rPr>
                <w:sz w:val="16"/>
                <w:szCs w:val="16"/>
                <w:spacing w:val="-1"/>
              </w:rPr>
              <w:t>产品的不当连接，严控非银行支付账户向对公领域 </w:t>
            </w:r>
            <w:r>
              <w:rPr>
                <w:sz w:val="16"/>
                <w:szCs w:val="16"/>
                <w:spacing w:val="-1"/>
              </w:rPr>
              <w:t>扩张，提高交易透明度，纠正不正当竞争行为。三 </w:t>
            </w:r>
            <w:r>
              <w:rPr>
                <w:sz w:val="16"/>
                <w:szCs w:val="16"/>
                <w:spacing w:val="-1"/>
              </w:rPr>
              <w:t>是打破信息垄断，严格通过持牌征信机构依法合规 </w:t>
            </w:r>
            <w:r>
              <w:rPr>
                <w:sz w:val="16"/>
                <w:szCs w:val="16"/>
                <w:spacing w:val="-1"/>
              </w:rPr>
              <w:t>开展个人征信业务。四是加强对股东资质、股权结 </w:t>
            </w:r>
            <w:r>
              <w:rPr>
                <w:sz w:val="16"/>
                <w:szCs w:val="16"/>
                <w:spacing w:val="-1"/>
              </w:rPr>
              <w:t>构、资本、风险隔离、关联交易等关键环节的规范 </w:t>
            </w:r>
            <w:r>
              <w:rPr>
                <w:sz w:val="16"/>
                <w:szCs w:val="16"/>
                <w:spacing w:val="-1"/>
              </w:rPr>
              <w:t>管理，符合条件的企业要依法申请设立金融控股公 </w:t>
            </w:r>
            <w:r>
              <w:rPr>
                <w:sz w:val="16"/>
                <w:szCs w:val="16"/>
                <w:spacing w:val="1"/>
              </w:rPr>
              <w:t>司。五是严格落实审慎监管要求，完善公司治理，</w:t>
            </w:r>
            <w:r>
              <w:rPr>
                <w:sz w:val="16"/>
                <w:szCs w:val="16"/>
                <w:spacing w:val="17"/>
              </w:rPr>
              <w:t xml:space="preserve"> </w:t>
            </w:r>
            <w:r>
              <w:rPr>
                <w:sz w:val="16"/>
                <w:szCs w:val="16"/>
                <w:spacing w:val="-1"/>
              </w:rPr>
              <w:t>落实投资入股银行保险机构“两参一控”要求，合 </w:t>
            </w:r>
            <w:r>
              <w:rPr>
                <w:sz w:val="16"/>
                <w:szCs w:val="16"/>
                <w:spacing w:val="-1"/>
              </w:rPr>
              <w:t>规审慎开展互联网存贷款和互联网保险业务，防范 </w:t>
            </w:r>
            <w:r>
              <w:rPr>
                <w:sz w:val="16"/>
                <w:szCs w:val="16"/>
              </w:rPr>
              <w:t>网络互助业务风险。六是规范企业发行交易资产证</w:t>
            </w:r>
            <w:r>
              <w:rPr>
                <w:sz w:val="16"/>
                <w:szCs w:val="16"/>
                <w:spacing w:val="5"/>
              </w:rPr>
              <w:t xml:space="preserve"> </w:t>
            </w:r>
            <w:r>
              <w:rPr>
                <w:sz w:val="16"/>
                <w:szCs w:val="16"/>
                <w:spacing w:val="-1"/>
              </w:rPr>
              <w:t>券化产品以及赴境外上市行为。禁止证券基金机构</w:t>
            </w:r>
            <w:r>
              <w:rPr>
                <w:sz w:val="16"/>
                <w:szCs w:val="16"/>
                <w:spacing w:val="15"/>
              </w:rPr>
              <w:t xml:space="preserve"> </w:t>
            </w:r>
            <w:r>
              <w:rPr>
                <w:sz w:val="16"/>
                <w:szCs w:val="16"/>
                <w:spacing w:val="1"/>
              </w:rPr>
              <w:t>高管和从业人员交叉任职，保障机构经营独立性。</w:t>
            </w:r>
            <w:r>
              <w:rPr>
                <w:sz w:val="16"/>
                <w:szCs w:val="16"/>
                <w:spacing w:val="16"/>
              </w:rPr>
              <w:t xml:space="preserve"> </w:t>
            </w:r>
            <w:r>
              <w:rPr>
                <w:sz w:val="16"/>
                <w:szCs w:val="16"/>
                <w:spacing w:val="-1"/>
              </w:rPr>
              <w:t>七是强化金融消费者保护机制，规范个人信息采集</w:t>
            </w:r>
            <w:r>
              <w:rPr>
                <w:sz w:val="16"/>
                <w:szCs w:val="16"/>
                <w:spacing w:val="15"/>
              </w:rPr>
              <w:t xml:space="preserve"> </w:t>
            </w:r>
            <w:r>
              <w:rPr>
                <w:sz w:val="16"/>
                <w:szCs w:val="16"/>
                <w:spacing w:val="-1"/>
              </w:rPr>
              <w:t>使用、营销宣传行为和格式文本合同，加强监督并 </w:t>
            </w:r>
            <w:r>
              <w:rPr>
                <w:sz w:val="16"/>
                <w:szCs w:val="16"/>
                <w:spacing w:val="1"/>
              </w:rPr>
              <w:t>规范与第三方机构的金融业务合作等。</w:t>
            </w:r>
          </w:p>
        </w:tc>
        <w:tc>
          <w:tcPr>
            <w:tcW w:w="874" w:type="dxa"/>
            <w:vAlign w:val="top"/>
          </w:tcPr>
          <w:p>
            <w:pPr>
              <w:pStyle w:val="TableText"/>
              <w:ind w:left="99"/>
              <w:spacing w:before="78" w:line="219" w:lineRule="auto"/>
              <w:rPr>
                <w:sz w:val="16"/>
                <w:szCs w:val="16"/>
              </w:rPr>
            </w:pPr>
            <w:r>
              <w:rPr>
                <w:sz w:val="16"/>
                <w:szCs w:val="16"/>
                <w:spacing w:val="-2"/>
              </w:rPr>
              <w:t>2021年</w:t>
            </w:r>
          </w:p>
          <w:p>
            <w:pPr>
              <w:pStyle w:val="TableText"/>
              <w:ind w:left="149"/>
              <w:spacing w:before="60" w:line="219" w:lineRule="auto"/>
              <w:rPr>
                <w:sz w:val="16"/>
                <w:szCs w:val="16"/>
              </w:rPr>
            </w:pPr>
            <w:r>
              <w:rPr>
                <w:sz w:val="16"/>
                <w:szCs w:val="16"/>
                <w:spacing w:val="5"/>
              </w:rPr>
              <w:t>4月29日</w:t>
            </w:r>
          </w:p>
        </w:tc>
      </w:tr>
      <w:tr>
        <w:trPr>
          <w:trHeight w:val="1031" w:hRule="atLeast"/>
        </w:trPr>
        <w:tc>
          <w:tcPr>
            <w:tcW w:w="1024" w:type="dxa"/>
            <w:vAlign w:val="top"/>
          </w:tcPr>
          <w:p>
            <w:pPr>
              <w:pStyle w:val="TableText"/>
              <w:ind w:left="74" w:right="64" w:hanging="9"/>
              <w:spacing w:before="94" w:line="254" w:lineRule="auto"/>
              <w:rPr>
                <w:sz w:val="16"/>
                <w:szCs w:val="16"/>
              </w:rPr>
            </w:pPr>
            <w:r>
              <w:rPr>
                <w:sz w:val="16"/>
                <w:szCs w:val="16"/>
                <w:spacing w:val="-8"/>
              </w:rPr>
              <w:t>联</w:t>
            </w:r>
            <w:r>
              <w:rPr>
                <w:sz w:val="16"/>
                <w:szCs w:val="16"/>
                <w:spacing w:val="-28"/>
              </w:rPr>
              <w:t xml:space="preserve"> </w:t>
            </w:r>
            <w:r>
              <w:rPr>
                <w:sz w:val="16"/>
                <w:szCs w:val="16"/>
                <w:spacing w:val="-8"/>
              </w:rPr>
              <w:t>合</w:t>
            </w:r>
            <w:r>
              <w:rPr>
                <w:sz w:val="16"/>
                <w:szCs w:val="16"/>
                <w:spacing w:val="-27"/>
              </w:rPr>
              <w:t xml:space="preserve"> </w:t>
            </w:r>
            <w:r>
              <w:rPr>
                <w:sz w:val="16"/>
                <w:szCs w:val="16"/>
                <w:spacing w:val="-8"/>
              </w:rPr>
              <w:t>约</w:t>
            </w:r>
            <w:r>
              <w:rPr>
                <w:sz w:val="16"/>
                <w:szCs w:val="16"/>
                <w:spacing w:val="-31"/>
              </w:rPr>
              <w:t xml:space="preserve"> </w:t>
            </w:r>
            <w:r>
              <w:rPr>
                <w:sz w:val="16"/>
                <w:szCs w:val="16"/>
                <w:spacing w:val="-8"/>
              </w:rPr>
              <w:t>谈</w:t>
            </w:r>
            <w:r>
              <w:rPr>
                <w:sz w:val="16"/>
                <w:szCs w:val="16"/>
                <w:spacing w:val="-31"/>
              </w:rPr>
              <w:t xml:space="preserve"> </w:t>
            </w:r>
            <w:r>
              <w:rPr>
                <w:sz w:val="16"/>
                <w:szCs w:val="16"/>
                <w:spacing w:val="-8"/>
              </w:rPr>
              <w:t>+</w:t>
            </w:r>
            <w:r>
              <w:rPr>
                <w:sz w:val="16"/>
                <w:szCs w:val="16"/>
              </w:rPr>
              <w:t xml:space="preserve"> </w:t>
            </w:r>
            <w:r>
              <w:rPr>
                <w:sz w:val="16"/>
                <w:szCs w:val="16"/>
                <w:spacing w:val="-2"/>
              </w:rPr>
              <w:t>要求整改</w:t>
            </w:r>
          </w:p>
        </w:tc>
        <w:tc>
          <w:tcPr>
            <w:tcW w:w="2267" w:type="dxa"/>
            <w:vAlign w:val="top"/>
          </w:tcPr>
          <w:p>
            <w:pPr>
              <w:pStyle w:val="TableText"/>
              <w:ind w:left="80" w:right="15"/>
              <w:spacing w:before="93" w:line="262" w:lineRule="auto"/>
              <w:jc w:val="both"/>
              <w:rPr>
                <w:sz w:val="16"/>
                <w:szCs w:val="16"/>
              </w:rPr>
            </w:pPr>
            <w:r>
              <w:rPr>
                <w:sz w:val="16"/>
                <w:szCs w:val="16"/>
              </w:rPr>
              <w:t>中央宣传部、国家新闻出版署</w:t>
            </w:r>
            <w:r>
              <w:rPr>
                <w:sz w:val="16"/>
                <w:szCs w:val="16"/>
                <w:spacing w:val="3"/>
              </w:rPr>
              <w:t xml:space="preserve">  </w:t>
            </w:r>
            <w:r>
              <w:rPr>
                <w:sz w:val="16"/>
                <w:szCs w:val="16"/>
                <w:spacing w:val="6"/>
              </w:rPr>
              <w:t>有关负责人会同中央网信办、</w:t>
            </w:r>
            <w:r>
              <w:rPr>
                <w:sz w:val="16"/>
                <w:szCs w:val="16"/>
                <w:spacing w:val="1"/>
              </w:rPr>
              <w:t xml:space="preserve"> </w:t>
            </w:r>
            <w:r>
              <w:rPr>
                <w:sz w:val="16"/>
                <w:szCs w:val="16"/>
                <w:spacing w:val="3"/>
              </w:rPr>
              <w:t>文化和旅游部等部门</w:t>
            </w:r>
          </w:p>
        </w:tc>
        <w:tc>
          <w:tcPr>
            <w:tcW w:w="1768" w:type="dxa"/>
            <w:vAlign w:val="top"/>
          </w:tcPr>
          <w:p>
            <w:pPr>
              <w:pStyle w:val="TableText"/>
              <w:ind w:left="73" w:right="66"/>
              <w:spacing w:before="93" w:line="258" w:lineRule="auto"/>
              <w:jc w:val="both"/>
              <w:rPr>
                <w:sz w:val="16"/>
                <w:szCs w:val="16"/>
              </w:rPr>
            </w:pPr>
            <w:r>
              <w:rPr>
                <w:sz w:val="16"/>
                <w:szCs w:val="16"/>
                <w:spacing w:val="-1"/>
              </w:rPr>
              <w:t>腾讯、网易等重点网络</w:t>
            </w:r>
            <w:r>
              <w:rPr>
                <w:sz w:val="16"/>
                <w:szCs w:val="16"/>
                <w:spacing w:val="3"/>
              </w:rPr>
              <w:t xml:space="preserve"> </w:t>
            </w:r>
            <w:r>
              <w:rPr>
                <w:sz w:val="16"/>
                <w:szCs w:val="16"/>
                <w:spacing w:val="-1"/>
              </w:rPr>
              <w:t>游戏企业和游戏账号租</w:t>
            </w:r>
            <w:r>
              <w:rPr>
                <w:sz w:val="16"/>
                <w:szCs w:val="16"/>
                <w:spacing w:val="2"/>
              </w:rPr>
              <w:t xml:space="preserve"> </w:t>
            </w:r>
            <w:r>
              <w:rPr>
                <w:sz w:val="16"/>
                <w:szCs w:val="16"/>
                <w:spacing w:val="1"/>
              </w:rPr>
              <w:t>售平台、游戏直播平台</w:t>
            </w:r>
          </w:p>
        </w:tc>
        <w:tc>
          <w:tcPr>
            <w:tcW w:w="3686" w:type="dxa"/>
            <w:vAlign w:val="top"/>
          </w:tcPr>
          <w:p>
            <w:pPr>
              <w:pStyle w:val="TableText"/>
              <w:ind w:left="76" w:right="67"/>
              <w:spacing w:before="102" w:line="263" w:lineRule="auto"/>
              <w:jc w:val="both"/>
              <w:rPr>
                <w:sz w:val="16"/>
                <w:szCs w:val="16"/>
              </w:rPr>
            </w:pPr>
            <w:r>
              <w:rPr>
                <w:sz w:val="16"/>
                <w:szCs w:val="16"/>
              </w:rPr>
              <w:t>约谈强调，各网络游戏企业和平台要严格落实通知</w:t>
            </w:r>
            <w:r>
              <w:rPr>
                <w:sz w:val="16"/>
                <w:szCs w:val="16"/>
                <w:spacing w:val="11"/>
              </w:rPr>
              <w:t xml:space="preserve"> </w:t>
            </w:r>
            <w:r>
              <w:rPr>
                <w:sz w:val="16"/>
                <w:szCs w:val="16"/>
                <w:spacing w:val="-1"/>
              </w:rPr>
              <w:t>各项要求，严格执行向未成年人提供网络游戏的时</w:t>
            </w:r>
            <w:r>
              <w:rPr>
                <w:sz w:val="16"/>
                <w:szCs w:val="16"/>
                <w:spacing w:val="12"/>
              </w:rPr>
              <w:t xml:space="preserve"> </w:t>
            </w:r>
            <w:r>
              <w:rPr>
                <w:sz w:val="16"/>
                <w:szCs w:val="16"/>
                <w:spacing w:val="-1"/>
              </w:rPr>
              <w:t>段时长限制，不得以任何形式向未成年人提供网络</w:t>
            </w:r>
            <w:r>
              <w:rPr>
                <w:sz w:val="16"/>
                <w:szCs w:val="16"/>
                <w:spacing w:val="14"/>
              </w:rPr>
              <w:t xml:space="preserve"> </w:t>
            </w:r>
            <w:r>
              <w:rPr>
                <w:sz w:val="16"/>
                <w:szCs w:val="16"/>
                <w:spacing w:val="1"/>
              </w:rPr>
              <w:t>游戏账号租售交易服务。</w:t>
            </w:r>
          </w:p>
        </w:tc>
        <w:tc>
          <w:tcPr>
            <w:tcW w:w="874" w:type="dxa"/>
            <w:vAlign w:val="top"/>
          </w:tcPr>
          <w:p>
            <w:pPr>
              <w:pStyle w:val="TableText"/>
              <w:ind w:left="188" w:right="165" w:hanging="99"/>
              <w:spacing w:before="94" w:line="248" w:lineRule="auto"/>
              <w:rPr>
                <w:sz w:val="16"/>
                <w:szCs w:val="16"/>
              </w:rPr>
            </w:pPr>
            <w:r>
              <w:rPr>
                <w:sz w:val="16"/>
                <w:szCs w:val="16"/>
                <w:spacing w:val="-2"/>
              </w:rPr>
              <w:t>2021年  </w:t>
            </w:r>
            <w:r>
              <w:rPr>
                <w:sz w:val="16"/>
                <w:szCs w:val="16"/>
                <w:spacing w:val="7"/>
              </w:rPr>
              <w:t>9月8日</w:t>
            </w:r>
          </w:p>
        </w:tc>
      </w:tr>
    </w:tbl>
    <w:p>
      <w:pPr>
        <w:pStyle w:val="BodyText"/>
        <w:spacing w:line="14" w:lineRule="auto"/>
        <w:rPr>
          <w:sz w:val="2"/>
        </w:rPr>
      </w:pPr>
      <w:r/>
    </w:p>
    <w:p>
      <w:pPr>
        <w:spacing w:line="14" w:lineRule="auto"/>
        <w:sectPr>
          <w:pgSz w:w="12480" w:h="7330"/>
          <w:pgMar w:top="400" w:right="705" w:bottom="304" w:left="985" w:header="0" w:footer="0" w:gutter="0"/>
        </w:sectPr>
        <w:rPr>
          <w:sz w:val="2"/>
          <w:szCs w:val="2"/>
        </w:rPr>
      </w:pPr>
    </w:p>
    <w:p>
      <w:pPr>
        <w:pStyle w:val="BodyText"/>
        <w:spacing w:line="245" w:lineRule="auto"/>
        <w:rPr/>
      </w:pPr>
      <w:r>
        <mc:AlternateContent xmlns:mc="http://schemas.openxmlformats.org/markup-compatibility/2006">
          <mc:Choice Requires="wps">
            <w:drawing>
              <wp:anchor distT="0" distB="0" distL="0" distR="0" simplePos="0" relativeHeight="255737856" behindDoc="0" locked="0" layoutInCell="0" allowOverlap="1">
                <wp:simplePos x="0" y="0"/>
                <wp:positionH relativeFrom="page">
                  <wp:posOffset>6927491</wp:posOffset>
                </wp:positionH>
                <wp:positionV relativeFrom="page">
                  <wp:posOffset>2289914</wp:posOffset>
                </wp:positionV>
                <wp:extent cx="1383664" cy="156845"/>
                <wp:effectExtent l="0" t="0" r="0" b="0"/>
                <wp:wrapNone/>
                <wp:docPr id="350" name="TextBox 350"/>
                <wp:cNvGraphicFramePr/>
                <a:graphic>
                  <a:graphicData uri="http://schemas.microsoft.com/office/word/2010/wordprocessingShape">
                    <wps:wsp>
                      <wps:cNvSpPr txBox="1"/>
                      <wps:spPr>
                        <a:xfrm rot="5400000">
                          <a:off x="6927491" y="2289914"/>
                          <a:ext cx="138366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2"/>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4" style="position:absolute;margin-left:545.472pt;margin-top:180.308pt;mso-position-vertical-relative:page;mso-position-horizontal-relative:page;width:108.95pt;height:12.35pt;z-index:255737856;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2"/>
                        </w:rPr>
                        <w:t>平台经济——创新、治理与繁荣</w:t>
                      </w:r>
                    </w:p>
                  </w:txbxContent>
                </v:textbox>
              </v:shape>
            </w:pict>
          </mc:Fallback>
        </mc:AlternateContent>
      </w:r>
      <w:r/>
    </w:p>
    <w:p>
      <w:pPr>
        <w:spacing w:before="61" w:line="255" w:lineRule="exact"/>
        <w:jc w:val="right"/>
        <w:rPr>
          <w:rFonts w:ascii="SimSun" w:hAnsi="SimSun" w:eastAsia="SimSun" w:cs="SimSun"/>
          <w:sz w:val="15"/>
          <w:szCs w:val="15"/>
        </w:rPr>
      </w:pPr>
      <w:r>
        <w:rPr>
          <w:rFonts w:ascii="SimHei" w:hAnsi="SimHei" w:eastAsia="SimHei" w:cs="SimHei"/>
          <w:sz w:val="19"/>
          <w:szCs w:val="19"/>
          <w:spacing w:val="-19"/>
          <w:position w:val="1"/>
        </w:rPr>
        <w:t>(续表)</w:t>
      </w:r>
      <w:r>
        <w:rPr>
          <w:rFonts w:ascii="SimHei" w:hAnsi="SimHei" w:eastAsia="SimHei" w:cs="SimHei"/>
          <w:sz w:val="19"/>
          <w:szCs w:val="19"/>
          <w:spacing w:val="-19"/>
          <w:position w:val="1"/>
        </w:rPr>
        <w:t xml:space="preserve">     </w:t>
      </w:r>
      <w:r>
        <w:rPr>
          <w:rFonts w:ascii="SimHei" w:hAnsi="SimHei" w:eastAsia="SimHei" w:cs="SimHei"/>
          <w:sz w:val="19"/>
          <w:szCs w:val="19"/>
          <w:spacing w:val="-18"/>
          <w:position w:val="1"/>
        </w:rPr>
        <w:t xml:space="preserve">        </w:t>
      </w:r>
      <w:r>
        <w:rPr>
          <w:rFonts w:ascii="SimSun" w:hAnsi="SimSun" w:eastAsia="SimSun" w:cs="SimSun"/>
          <w:sz w:val="15"/>
          <w:szCs w:val="15"/>
          <w:spacing w:val="-18"/>
          <w:position w:val="5"/>
        </w:rPr>
        <w:t>38</w:t>
      </w:r>
      <w:r>
        <w:rPr>
          <w:rFonts w:ascii="SimSun" w:hAnsi="SimSun" w:eastAsia="SimSun" w:cs="SimSun"/>
          <w:sz w:val="15"/>
          <w:szCs w:val="15"/>
          <w:spacing w:val="-9"/>
          <w:position w:val="5"/>
        </w:rPr>
        <w:t>8</w:t>
      </w:r>
    </w:p>
    <w:p>
      <w:pPr>
        <w:spacing w:line="92" w:lineRule="exact"/>
        <w:rPr/>
      </w:pPr>
      <w:r/>
    </w:p>
    <w:tbl>
      <w:tblPr>
        <w:tblStyle w:val="TableNormal"/>
        <w:tblW w:w="961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24"/>
        <w:gridCol w:w="2257"/>
        <w:gridCol w:w="1768"/>
        <w:gridCol w:w="3696"/>
        <w:gridCol w:w="874"/>
      </w:tblGrid>
      <w:tr>
        <w:trPr>
          <w:trHeight w:val="554" w:hRule="atLeast"/>
        </w:trPr>
        <w:tc>
          <w:tcPr>
            <w:tcW w:w="1024" w:type="dxa"/>
            <w:vAlign w:val="top"/>
          </w:tcPr>
          <w:p>
            <w:pPr>
              <w:pStyle w:val="TableText"/>
              <w:ind w:left="347"/>
              <w:spacing w:before="79" w:line="231" w:lineRule="exact"/>
              <w:rPr>
                <w:sz w:val="16"/>
                <w:szCs w:val="16"/>
              </w:rPr>
            </w:pPr>
            <w:r>
              <w:rPr>
                <w:sz w:val="16"/>
                <w:szCs w:val="16"/>
                <w:b/>
                <w:bCs/>
                <w:spacing w:val="-4"/>
                <w:position w:val="5"/>
              </w:rPr>
              <w:t>监管</w:t>
            </w:r>
          </w:p>
          <w:p>
            <w:pPr>
              <w:pStyle w:val="TableText"/>
              <w:ind w:left="347"/>
              <w:spacing w:line="220" w:lineRule="auto"/>
              <w:rPr>
                <w:sz w:val="16"/>
                <w:szCs w:val="16"/>
              </w:rPr>
            </w:pPr>
            <w:r>
              <w:rPr>
                <w:sz w:val="16"/>
                <w:szCs w:val="16"/>
                <w:b/>
                <w:bCs/>
                <w:spacing w:val="-4"/>
              </w:rPr>
              <w:t>方式</w:t>
            </w:r>
          </w:p>
        </w:tc>
        <w:tc>
          <w:tcPr>
            <w:tcW w:w="2257" w:type="dxa"/>
            <w:vAlign w:val="top"/>
          </w:tcPr>
          <w:p>
            <w:pPr>
              <w:pStyle w:val="TableText"/>
              <w:ind w:left="813"/>
              <w:spacing w:before="199" w:line="219" w:lineRule="auto"/>
              <w:rPr>
                <w:sz w:val="16"/>
                <w:szCs w:val="16"/>
              </w:rPr>
            </w:pPr>
            <w:r>
              <w:rPr>
                <w:sz w:val="16"/>
                <w:szCs w:val="16"/>
                <w:b/>
                <w:bCs/>
                <w:spacing w:val="1"/>
              </w:rPr>
              <w:t>监管部门</w:t>
            </w:r>
          </w:p>
        </w:tc>
        <w:tc>
          <w:tcPr>
            <w:tcW w:w="1768" w:type="dxa"/>
            <w:vAlign w:val="top"/>
          </w:tcPr>
          <w:p>
            <w:pPr>
              <w:pStyle w:val="TableText"/>
              <w:ind w:left="556"/>
              <w:spacing w:before="199" w:line="219" w:lineRule="auto"/>
              <w:rPr>
                <w:sz w:val="16"/>
                <w:szCs w:val="16"/>
              </w:rPr>
            </w:pPr>
            <w:r>
              <w:rPr>
                <w:sz w:val="16"/>
                <w:szCs w:val="16"/>
                <w:b/>
                <w:bCs/>
                <w:spacing w:val="-3"/>
              </w:rPr>
              <w:t>监管对象</w:t>
            </w:r>
          </w:p>
        </w:tc>
        <w:tc>
          <w:tcPr>
            <w:tcW w:w="3696" w:type="dxa"/>
            <w:vAlign w:val="top"/>
          </w:tcPr>
          <w:p>
            <w:pPr>
              <w:pStyle w:val="TableText"/>
              <w:ind w:left="1528"/>
              <w:spacing w:before="199" w:line="219" w:lineRule="auto"/>
              <w:rPr>
                <w:sz w:val="16"/>
                <w:szCs w:val="16"/>
              </w:rPr>
            </w:pPr>
            <w:r>
              <w:rPr>
                <w:sz w:val="16"/>
                <w:szCs w:val="16"/>
                <w:b/>
                <w:bCs/>
                <w:spacing w:val="-3"/>
              </w:rPr>
              <w:t>监管内容</w:t>
            </w:r>
          </w:p>
        </w:tc>
        <w:tc>
          <w:tcPr>
            <w:tcW w:w="874" w:type="dxa"/>
            <w:vAlign w:val="top"/>
          </w:tcPr>
          <w:p>
            <w:pPr>
              <w:pStyle w:val="TableText"/>
              <w:ind w:left="112"/>
              <w:spacing w:before="199" w:line="219" w:lineRule="auto"/>
              <w:rPr>
                <w:sz w:val="16"/>
                <w:szCs w:val="16"/>
              </w:rPr>
            </w:pPr>
            <w:r>
              <w:rPr>
                <w:sz w:val="16"/>
                <w:szCs w:val="16"/>
                <w:b/>
                <w:bCs/>
                <w:spacing w:val="-3"/>
              </w:rPr>
              <w:t>监管时间</w:t>
            </w:r>
          </w:p>
        </w:tc>
      </w:tr>
      <w:tr>
        <w:trPr>
          <w:trHeight w:val="2954" w:hRule="atLeast"/>
        </w:trPr>
        <w:tc>
          <w:tcPr>
            <w:tcW w:w="1024" w:type="dxa"/>
            <w:vAlign w:val="top"/>
          </w:tcPr>
          <w:p>
            <w:pPr>
              <w:pStyle w:val="TableText"/>
              <w:ind w:left="105"/>
              <w:spacing w:before="46" w:line="219" w:lineRule="auto"/>
              <w:rPr>
                <w:sz w:val="16"/>
                <w:szCs w:val="16"/>
              </w:rPr>
            </w:pPr>
            <w:r>
              <w:rPr>
                <w:sz w:val="16"/>
                <w:szCs w:val="16"/>
                <w:spacing w:val="-2"/>
              </w:rPr>
              <w:t>行政指导会</w:t>
            </w:r>
          </w:p>
        </w:tc>
        <w:tc>
          <w:tcPr>
            <w:tcW w:w="2257" w:type="dxa"/>
            <w:vAlign w:val="top"/>
          </w:tcPr>
          <w:p>
            <w:pPr>
              <w:pStyle w:val="TableText"/>
              <w:ind w:left="111"/>
              <w:spacing w:before="77" w:line="254" w:lineRule="auto"/>
              <w:rPr>
                <w:sz w:val="16"/>
                <w:szCs w:val="16"/>
              </w:rPr>
            </w:pPr>
            <w:r>
              <w:rPr>
                <w:sz w:val="16"/>
                <w:szCs w:val="16"/>
                <w:spacing w:val="4"/>
              </w:rPr>
              <w:t>市场监管总局、中央网信办、</w:t>
            </w:r>
            <w:r>
              <w:rPr>
                <w:sz w:val="16"/>
                <w:szCs w:val="16"/>
                <w:spacing w:val="2"/>
              </w:rPr>
              <w:t xml:space="preserve"> </w:t>
            </w:r>
            <w:r>
              <w:rPr>
                <w:sz w:val="16"/>
                <w:szCs w:val="16"/>
                <w:spacing w:val="-3"/>
              </w:rPr>
              <w:t>税务总局</w:t>
            </w:r>
          </w:p>
        </w:tc>
        <w:tc>
          <w:tcPr>
            <w:tcW w:w="1768" w:type="dxa"/>
            <w:vAlign w:val="top"/>
          </w:tcPr>
          <w:p>
            <w:pPr>
              <w:pStyle w:val="TableText"/>
              <w:ind w:left="113" w:right="3" w:hanging="40"/>
              <w:spacing w:before="87" w:line="236" w:lineRule="auto"/>
              <w:rPr>
                <w:sz w:val="16"/>
                <w:szCs w:val="16"/>
              </w:rPr>
            </w:pPr>
            <w:r>
              <w:rPr>
                <w:sz w:val="16"/>
                <w:szCs w:val="16"/>
                <w:spacing w:val="7"/>
              </w:rPr>
              <w:t>京东、美团、58同城、</w:t>
            </w:r>
            <w:r>
              <w:rPr>
                <w:sz w:val="16"/>
                <w:szCs w:val="16"/>
                <w:spacing w:val="2"/>
              </w:rPr>
              <w:t xml:space="preserve"> </w:t>
            </w:r>
            <w:r>
              <w:rPr>
                <w:sz w:val="16"/>
                <w:szCs w:val="16"/>
                <w:spacing w:val="-2"/>
              </w:rPr>
              <w:t>百度、奇虎360、搜</w:t>
            </w:r>
          </w:p>
          <w:p>
            <w:pPr>
              <w:pStyle w:val="TableText"/>
              <w:ind w:right="4"/>
              <w:spacing w:before="41" w:line="219" w:lineRule="auto"/>
              <w:jc w:val="right"/>
              <w:rPr>
                <w:sz w:val="16"/>
                <w:szCs w:val="16"/>
              </w:rPr>
            </w:pPr>
            <w:r>
              <w:rPr>
                <w:sz w:val="16"/>
                <w:szCs w:val="16"/>
                <w:spacing w:val="8"/>
              </w:rPr>
              <w:t>狗、字节跳动、快手、</w:t>
            </w:r>
          </w:p>
          <w:p>
            <w:pPr>
              <w:pStyle w:val="TableText"/>
              <w:ind w:left="153"/>
              <w:spacing w:before="60" w:line="219" w:lineRule="auto"/>
              <w:rPr>
                <w:sz w:val="16"/>
                <w:szCs w:val="16"/>
              </w:rPr>
            </w:pPr>
            <w:r>
              <w:rPr>
                <w:sz w:val="16"/>
                <w:szCs w:val="16"/>
                <w:spacing w:val="-1"/>
              </w:rPr>
              <w:t>滴滴、微店、新浪微</w:t>
            </w:r>
          </w:p>
          <w:p>
            <w:pPr>
              <w:pStyle w:val="TableText"/>
              <w:ind w:right="3"/>
              <w:spacing w:before="70" w:line="219" w:lineRule="auto"/>
              <w:jc w:val="right"/>
              <w:rPr>
                <w:sz w:val="16"/>
                <w:szCs w:val="16"/>
              </w:rPr>
            </w:pPr>
            <w:r>
              <w:rPr>
                <w:sz w:val="16"/>
                <w:szCs w:val="16"/>
                <w:spacing w:val="8"/>
              </w:rPr>
              <w:t>博、多点、贝壳找房、</w:t>
            </w:r>
          </w:p>
          <w:p>
            <w:pPr>
              <w:pStyle w:val="TableText"/>
              <w:ind w:left="73"/>
              <w:spacing w:before="50" w:line="219" w:lineRule="auto"/>
              <w:rPr>
                <w:sz w:val="16"/>
                <w:szCs w:val="16"/>
              </w:rPr>
            </w:pPr>
            <w:r>
              <w:rPr>
                <w:sz w:val="16"/>
                <w:szCs w:val="16"/>
                <w:spacing w:val="-1"/>
              </w:rPr>
              <w:t>拼多多、国美在线、饿</w:t>
            </w:r>
          </w:p>
          <w:p>
            <w:pPr>
              <w:pStyle w:val="TableText"/>
              <w:ind w:right="4"/>
              <w:spacing w:before="49" w:line="219" w:lineRule="auto"/>
              <w:jc w:val="right"/>
              <w:rPr>
                <w:sz w:val="16"/>
                <w:szCs w:val="16"/>
              </w:rPr>
            </w:pPr>
            <w:r>
              <w:rPr>
                <w:sz w:val="16"/>
                <w:szCs w:val="16"/>
                <w:spacing w:val="8"/>
              </w:rPr>
              <w:t>了么、小红书、携程、</w:t>
            </w:r>
          </w:p>
          <w:p>
            <w:pPr>
              <w:pStyle w:val="TableText"/>
              <w:ind w:left="153"/>
              <w:spacing w:before="61" w:line="220" w:lineRule="auto"/>
              <w:rPr>
                <w:sz w:val="16"/>
                <w:szCs w:val="16"/>
              </w:rPr>
            </w:pPr>
            <w:r>
              <w:rPr>
                <w:sz w:val="16"/>
                <w:szCs w:val="16"/>
                <w:spacing w:val="-1"/>
              </w:rPr>
              <w:t>苏宁、同程、阿里巴</w:t>
            </w:r>
          </w:p>
          <w:p>
            <w:pPr>
              <w:pStyle w:val="TableText"/>
              <w:ind w:right="3"/>
              <w:spacing w:before="48" w:line="219" w:lineRule="auto"/>
              <w:jc w:val="right"/>
              <w:rPr>
                <w:sz w:val="16"/>
                <w:szCs w:val="16"/>
              </w:rPr>
            </w:pPr>
            <w:r>
              <w:rPr>
                <w:sz w:val="16"/>
                <w:szCs w:val="16"/>
                <w:spacing w:val="8"/>
              </w:rPr>
              <w:t>巴、贝贝网、云集网、</w:t>
            </w:r>
          </w:p>
          <w:p>
            <w:pPr>
              <w:pStyle w:val="TableText"/>
              <w:ind w:left="73"/>
              <w:spacing w:before="51" w:line="219" w:lineRule="auto"/>
              <w:rPr>
                <w:sz w:val="16"/>
                <w:szCs w:val="16"/>
              </w:rPr>
            </w:pPr>
            <w:r>
              <w:rPr>
                <w:sz w:val="16"/>
                <w:szCs w:val="16"/>
                <w:spacing w:val="-1"/>
              </w:rPr>
              <w:t>蘑菇街、兴盛优选、唯</w:t>
            </w:r>
          </w:p>
          <w:p>
            <w:pPr>
              <w:pStyle w:val="TableText"/>
              <w:ind w:left="153"/>
              <w:spacing w:before="49" w:line="219" w:lineRule="auto"/>
              <w:rPr>
                <w:sz w:val="16"/>
                <w:szCs w:val="16"/>
              </w:rPr>
            </w:pPr>
            <w:r>
              <w:rPr>
                <w:sz w:val="16"/>
                <w:szCs w:val="16"/>
              </w:rPr>
              <w:t>品会、腾讯等27家互</w:t>
            </w:r>
          </w:p>
          <w:p>
            <w:pPr>
              <w:pStyle w:val="TableText"/>
              <w:ind w:left="83"/>
              <w:spacing w:before="43" w:line="221" w:lineRule="auto"/>
              <w:rPr>
                <w:sz w:val="16"/>
                <w:szCs w:val="16"/>
              </w:rPr>
            </w:pPr>
            <w:r>
              <w:rPr>
                <w:sz w:val="16"/>
                <w:szCs w:val="16"/>
                <w:spacing w:val="-1"/>
              </w:rPr>
              <w:t>联网平台企业</w:t>
            </w:r>
          </w:p>
        </w:tc>
        <w:tc>
          <w:tcPr>
            <w:tcW w:w="3696" w:type="dxa"/>
            <w:vAlign w:val="top"/>
          </w:tcPr>
          <w:p>
            <w:pPr>
              <w:pStyle w:val="TableText"/>
              <w:ind w:left="86" w:right="85"/>
              <w:spacing w:before="79" w:line="267" w:lineRule="auto"/>
              <w:jc w:val="both"/>
              <w:rPr>
                <w:sz w:val="16"/>
                <w:szCs w:val="16"/>
              </w:rPr>
            </w:pPr>
            <w:r>
              <w:rPr>
                <w:sz w:val="16"/>
                <w:szCs w:val="16"/>
                <w:spacing w:val="-1"/>
              </w:rPr>
              <w:t>要求指出：不得实施滥用市场支配地位、垄断协议</w:t>
            </w:r>
            <w:r>
              <w:rPr>
                <w:sz w:val="16"/>
                <w:szCs w:val="16"/>
                <w:spacing w:val="14"/>
              </w:rPr>
              <w:t xml:space="preserve"> </w:t>
            </w:r>
            <w:r>
              <w:rPr>
                <w:sz w:val="16"/>
                <w:szCs w:val="16"/>
                <w:spacing w:val="-1"/>
              </w:rPr>
              <w:t>和违法进行经营者集中等行为；不得滥用优势地位</w:t>
            </w:r>
            <w:r>
              <w:rPr>
                <w:sz w:val="16"/>
                <w:szCs w:val="16"/>
                <w:spacing w:val="14"/>
              </w:rPr>
              <w:t xml:space="preserve"> </w:t>
            </w:r>
            <w:r>
              <w:rPr>
                <w:sz w:val="16"/>
                <w:szCs w:val="16"/>
                <w:spacing w:val="1"/>
              </w:rPr>
              <w:t>强迫商家站队“二选一”,对平台内经营者的选择</w:t>
            </w:r>
            <w:r>
              <w:rPr>
                <w:sz w:val="16"/>
                <w:szCs w:val="16"/>
                <w:spacing w:val="6"/>
              </w:rPr>
              <w:t xml:space="preserve"> </w:t>
            </w:r>
            <w:r>
              <w:rPr>
                <w:sz w:val="16"/>
                <w:szCs w:val="16"/>
                <w:spacing w:val="-1"/>
              </w:rPr>
              <w:t>平台行为实施不合理限制或附加不合理条件；不得</w:t>
            </w:r>
            <w:r>
              <w:rPr>
                <w:sz w:val="16"/>
                <w:szCs w:val="16"/>
                <w:spacing w:val="15"/>
              </w:rPr>
              <w:t xml:space="preserve"> </w:t>
            </w:r>
            <w:r>
              <w:rPr>
                <w:sz w:val="16"/>
                <w:szCs w:val="16"/>
                <w:spacing w:val="-1"/>
              </w:rPr>
              <w:t>利用技术手段实施妨碍、破坏其他经营者合法提供</w:t>
            </w:r>
            <w:r>
              <w:rPr>
                <w:sz w:val="16"/>
                <w:szCs w:val="16"/>
                <w:spacing w:val="14"/>
              </w:rPr>
              <w:t xml:space="preserve"> </w:t>
            </w:r>
            <w:r>
              <w:rPr>
                <w:sz w:val="16"/>
                <w:szCs w:val="16"/>
                <w:spacing w:val="1"/>
              </w:rPr>
              <w:t>的网络产品或服务正常运行的行为。</w:t>
            </w:r>
          </w:p>
        </w:tc>
        <w:tc>
          <w:tcPr>
            <w:tcW w:w="874" w:type="dxa"/>
            <w:vAlign w:val="top"/>
          </w:tcPr>
          <w:p>
            <w:pPr>
              <w:pStyle w:val="TableText"/>
              <w:ind w:left="100"/>
              <w:spacing w:before="77" w:line="219" w:lineRule="auto"/>
              <w:rPr>
                <w:sz w:val="16"/>
                <w:szCs w:val="16"/>
              </w:rPr>
            </w:pPr>
            <w:r>
              <w:rPr>
                <w:sz w:val="16"/>
                <w:szCs w:val="16"/>
                <w:spacing w:val="-2"/>
              </w:rPr>
              <w:t>2020年</w:t>
            </w:r>
          </w:p>
          <w:p>
            <w:pPr>
              <w:pStyle w:val="TableText"/>
              <w:ind w:left="149"/>
              <w:spacing w:before="60" w:line="219" w:lineRule="auto"/>
              <w:rPr>
                <w:sz w:val="16"/>
                <w:szCs w:val="16"/>
              </w:rPr>
            </w:pPr>
            <w:r>
              <w:rPr>
                <w:sz w:val="16"/>
                <w:szCs w:val="16"/>
                <w:spacing w:val="5"/>
              </w:rPr>
              <w:t>11月6日</w:t>
            </w:r>
          </w:p>
        </w:tc>
      </w:tr>
      <w:tr>
        <w:trPr>
          <w:trHeight w:val="1751" w:hRule="atLeast"/>
        </w:trPr>
        <w:tc>
          <w:tcPr>
            <w:tcW w:w="1024" w:type="dxa"/>
            <w:vAlign w:val="top"/>
          </w:tcPr>
          <w:p>
            <w:pPr>
              <w:pStyle w:val="TableText"/>
              <w:ind w:left="105"/>
              <w:spacing w:before="82" w:line="219" w:lineRule="auto"/>
              <w:rPr>
                <w:sz w:val="16"/>
                <w:szCs w:val="16"/>
              </w:rPr>
            </w:pPr>
            <w:r>
              <w:rPr>
                <w:sz w:val="16"/>
                <w:szCs w:val="16"/>
                <w:spacing w:val="-2"/>
              </w:rPr>
              <w:t>行政指导会</w:t>
            </w:r>
          </w:p>
        </w:tc>
        <w:tc>
          <w:tcPr>
            <w:tcW w:w="2257" w:type="dxa"/>
            <w:vAlign w:val="top"/>
          </w:tcPr>
          <w:p>
            <w:pPr>
              <w:pStyle w:val="TableText"/>
              <w:ind w:left="111"/>
              <w:spacing w:before="93" w:line="219" w:lineRule="auto"/>
              <w:rPr>
                <w:sz w:val="16"/>
                <w:szCs w:val="16"/>
              </w:rPr>
            </w:pPr>
            <w:r>
              <w:rPr>
                <w:sz w:val="16"/>
                <w:szCs w:val="16"/>
                <w:spacing w:val="-1"/>
              </w:rPr>
              <w:t>市场监管总局联合商务部</w:t>
            </w:r>
          </w:p>
        </w:tc>
        <w:tc>
          <w:tcPr>
            <w:tcW w:w="1768" w:type="dxa"/>
            <w:vAlign w:val="top"/>
          </w:tcPr>
          <w:p>
            <w:pPr>
              <w:pStyle w:val="TableText"/>
              <w:ind w:left="83"/>
              <w:spacing w:before="93" w:line="219" w:lineRule="auto"/>
              <w:rPr>
                <w:sz w:val="16"/>
                <w:szCs w:val="16"/>
              </w:rPr>
            </w:pPr>
            <w:r>
              <w:rPr>
                <w:sz w:val="16"/>
                <w:szCs w:val="16"/>
                <w:spacing w:val="-2"/>
              </w:rPr>
              <w:t>社区团购企业</w:t>
            </w:r>
          </w:p>
        </w:tc>
        <w:tc>
          <w:tcPr>
            <w:tcW w:w="3696" w:type="dxa"/>
            <w:vAlign w:val="top"/>
          </w:tcPr>
          <w:p>
            <w:pPr>
              <w:pStyle w:val="TableText"/>
              <w:ind w:left="86" w:right="61"/>
              <w:spacing w:before="79" w:line="271" w:lineRule="auto"/>
              <w:jc w:val="both"/>
              <w:rPr>
                <w:sz w:val="16"/>
                <w:szCs w:val="16"/>
              </w:rPr>
            </w:pPr>
            <w:r>
              <w:rPr>
                <w:sz w:val="16"/>
                <w:szCs w:val="16"/>
              </w:rPr>
              <w:t>指出社区团购存在的低价倾销、价格欺诈等突出问</w:t>
            </w:r>
            <w:r>
              <w:rPr>
                <w:sz w:val="16"/>
                <w:szCs w:val="16"/>
                <w:spacing w:val="17"/>
              </w:rPr>
              <w:t xml:space="preserve"> </w:t>
            </w:r>
            <w:r>
              <w:rPr>
                <w:sz w:val="16"/>
                <w:szCs w:val="16"/>
                <w:spacing w:val="-1"/>
              </w:rPr>
              <w:t>题。强调互联网平台企业要严格规范社区团购经营</w:t>
            </w:r>
            <w:r>
              <w:rPr>
                <w:sz w:val="16"/>
                <w:szCs w:val="16"/>
                <w:spacing w:val="14"/>
              </w:rPr>
              <w:t xml:space="preserve"> </w:t>
            </w:r>
            <w:r>
              <w:rPr>
                <w:sz w:val="16"/>
                <w:szCs w:val="16"/>
                <w:spacing w:val="-1"/>
              </w:rPr>
              <w:t>行为，严格遵守不得低价倾销、价格欺诈，不得实</w:t>
            </w:r>
            <w:r>
              <w:rPr>
                <w:sz w:val="16"/>
                <w:szCs w:val="16"/>
                <w:spacing w:val="12"/>
              </w:rPr>
              <w:t xml:space="preserve"> </w:t>
            </w:r>
            <w:r>
              <w:rPr>
                <w:sz w:val="16"/>
                <w:szCs w:val="16"/>
                <w:spacing w:val="-1"/>
              </w:rPr>
              <w:t>施商业混淆、虚假宣传、商业诋毁等不正当竞争行</w:t>
            </w:r>
            <w:r>
              <w:rPr>
                <w:sz w:val="16"/>
                <w:szCs w:val="16"/>
                <w:spacing w:val="15"/>
              </w:rPr>
              <w:t xml:space="preserve"> </w:t>
            </w:r>
            <w:r>
              <w:rPr>
                <w:sz w:val="16"/>
                <w:szCs w:val="16"/>
                <w:spacing w:val="1"/>
              </w:rPr>
              <w:t>为，不得利用数据优势“杀熟”,损害消费者合法</w:t>
            </w:r>
            <w:r>
              <w:rPr>
                <w:sz w:val="16"/>
                <w:szCs w:val="16"/>
                <w:spacing w:val="4"/>
              </w:rPr>
              <w:t xml:space="preserve">  </w:t>
            </w:r>
            <w:r>
              <w:rPr>
                <w:sz w:val="16"/>
                <w:szCs w:val="16"/>
                <w:spacing w:val="-1"/>
              </w:rPr>
              <w:t>权益，不得利用技术手段损害竞争秩序妨碍其他市</w:t>
            </w:r>
            <w:r>
              <w:rPr>
                <w:sz w:val="16"/>
                <w:szCs w:val="16"/>
                <w:spacing w:val="15"/>
              </w:rPr>
              <w:t xml:space="preserve"> </w:t>
            </w:r>
            <w:r>
              <w:rPr>
                <w:sz w:val="16"/>
                <w:szCs w:val="16"/>
                <w:spacing w:val="1"/>
              </w:rPr>
              <w:t>场主体正常经营等“九个不得”。</w:t>
            </w:r>
          </w:p>
        </w:tc>
        <w:tc>
          <w:tcPr>
            <w:tcW w:w="874" w:type="dxa"/>
            <w:vAlign w:val="top"/>
          </w:tcPr>
          <w:p>
            <w:pPr>
              <w:pStyle w:val="TableText"/>
              <w:ind w:left="79"/>
              <w:spacing w:before="93" w:line="219" w:lineRule="auto"/>
              <w:rPr>
                <w:sz w:val="16"/>
                <w:szCs w:val="16"/>
              </w:rPr>
            </w:pPr>
            <w:r>
              <w:rPr>
                <w:sz w:val="16"/>
                <w:szCs w:val="16"/>
                <w:spacing w:val="-2"/>
              </w:rPr>
              <w:t>2020年</w:t>
            </w:r>
          </w:p>
          <w:p>
            <w:pPr>
              <w:pStyle w:val="TableText"/>
              <w:ind w:left="110"/>
              <w:spacing w:before="50" w:line="219" w:lineRule="auto"/>
              <w:rPr>
                <w:sz w:val="16"/>
                <w:szCs w:val="16"/>
              </w:rPr>
            </w:pPr>
            <w:r>
              <w:rPr>
                <w:sz w:val="16"/>
                <w:szCs w:val="16"/>
                <w:spacing w:val="4"/>
              </w:rPr>
              <w:t>12月22日</w:t>
            </w:r>
          </w:p>
        </w:tc>
      </w:tr>
    </w:tbl>
    <w:p>
      <w:pPr>
        <w:pStyle w:val="BodyText"/>
        <w:rPr/>
      </w:pPr>
      <w:r/>
    </w:p>
    <w:p>
      <w:pPr>
        <w:sectPr>
          <w:pgSz w:w="12480" w:h="7330"/>
          <w:pgMar w:top="400" w:right="404" w:bottom="400" w:left="1254" w:header="0" w:footer="0" w:gutter="0"/>
        </w:sectPr>
        <w:rPr/>
      </w:pPr>
    </w:p>
    <w:p>
      <w:pPr>
        <w:ind w:left="9064"/>
        <w:spacing w:before="228" w:line="220" w:lineRule="auto"/>
        <w:rPr>
          <w:rFonts w:ascii="SimSun" w:hAnsi="SimSun" w:eastAsia="SimSun" w:cs="SimSun"/>
          <w:sz w:val="19"/>
          <w:szCs w:val="19"/>
        </w:rPr>
      </w:pPr>
      <w:r>
        <mc:AlternateContent xmlns:mc="http://schemas.openxmlformats.org/markup-compatibility/2006">
          <mc:Choice Requires="wps">
            <w:drawing>
              <wp:anchor distT="0" distB="0" distL="0" distR="0" simplePos="0" relativeHeight="255748096" behindDoc="0" locked="0" layoutInCell="0" allowOverlap="1">
                <wp:simplePos x="0" y="0"/>
                <wp:positionH relativeFrom="page">
                  <wp:posOffset>6613985</wp:posOffset>
                </wp:positionH>
                <wp:positionV relativeFrom="page">
                  <wp:posOffset>2254207</wp:posOffset>
                </wp:positionV>
                <wp:extent cx="1591944" cy="156845"/>
                <wp:effectExtent l="0" t="0" r="0" b="0"/>
                <wp:wrapNone/>
                <wp:docPr id="354" name="TextBox 354"/>
                <wp:cNvGraphicFramePr/>
                <a:graphic>
                  <a:graphicData uri="http://schemas.microsoft.com/office/word/2010/wordprocessingShape">
                    <wps:wsp>
                      <wps:cNvSpPr txBox="1"/>
                      <wps:spPr>
                        <a:xfrm rot="5400000">
                          <a:off x="6613985" y="2254207"/>
                          <a:ext cx="159194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14"/>
                              </w:rPr>
                              <w:t>第十一章平台的挑战与失焦的监管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8" style="position:absolute;margin-left:520.786pt;margin-top:177.497pt;mso-position-vertical-relative:page;mso-position-horizontal-relative:page;width:125.35pt;height:12.35pt;z-index:255748096;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14"/>
                        </w:rPr>
                        <w:t>第十一章平台的挑战与失焦的监管</w:t>
                      </w:r>
                    </w:p>
                  </w:txbxContent>
                </v:textbox>
              </v:shape>
            </w:pict>
          </mc:Fallback>
        </mc:AlternateContent>
      </w:r>
      <w:r>
        <w:rPr>
          <w:rFonts w:ascii="SimSun" w:hAnsi="SimSun" w:eastAsia="SimSun" w:cs="SimSun"/>
          <w:sz w:val="19"/>
          <w:szCs w:val="19"/>
          <w:spacing w:val="-9"/>
        </w:rPr>
        <w:t>(续表)</w:t>
      </w:r>
    </w:p>
    <w:p>
      <w:pPr>
        <w:spacing w:line="110" w:lineRule="exact"/>
        <w:rPr/>
      </w:pPr>
      <w:r/>
    </w:p>
    <w:tbl>
      <w:tblPr>
        <w:tblStyle w:val="TableNormal"/>
        <w:tblW w:w="96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44"/>
        <w:gridCol w:w="2258"/>
        <w:gridCol w:w="1758"/>
        <w:gridCol w:w="3696"/>
        <w:gridCol w:w="864"/>
      </w:tblGrid>
      <w:tr>
        <w:trPr>
          <w:trHeight w:val="544" w:hRule="atLeast"/>
        </w:trPr>
        <w:tc>
          <w:tcPr>
            <w:tcW w:w="1044" w:type="dxa"/>
            <w:vAlign w:val="top"/>
          </w:tcPr>
          <w:p>
            <w:pPr>
              <w:pStyle w:val="TableText"/>
              <w:ind w:left="367"/>
              <w:spacing w:before="49" w:line="251" w:lineRule="exact"/>
              <w:rPr>
                <w:sz w:val="16"/>
                <w:szCs w:val="16"/>
              </w:rPr>
            </w:pPr>
            <w:r>
              <w:rPr>
                <w:sz w:val="16"/>
                <w:szCs w:val="16"/>
                <w:b/>
                <w:bCs/>
                <w:spacing w:val="-4"/>
                <w:position w:val="6"/>
              </w:rPr>
              <w:t>监管</w:t>
            </w:r>
          </w:p>
          <w:p>
            <w:pPr>
              <w:pStyle w:val="TableText"/>
              <w:ind w:left="367"/>
              <w:spacing w:line="220" w:lineRule="auto"/>
              <w:rPr>
                <w:sz w:val="16"/>
                <w:szCs w:val="16"/>
              </w:rPr>
            </w:pPr>
            <w:r>
              <w:rPr>
                <w:sz w:val="16"/>
                <w:szCs w:val="16"/>
                <w:b/>
                <w:bCs/>
                <w:spacing w:val="-4"/>
              </w:rPr>
              <w:t>方式</w:t>
            </w:r>
          </w:p>
        </w:tc>
        <w:tc>
          <w:tcPr>
            <w:tcW w:w="2258" w:type="dxa"/>
            <w:vAlign w:val="top"/>
          </w:tcPr>
          <w:p>
            <w:pPr>
              <w:pStyle w:val="TableText"/>
              <w:ind w:left="823"/>
              <w:spacing w:before="189" w:line="219" w:lineRule="auto"/>
              <w:rPr>
                <w:sz w:val="16"/>
                <w:szCs w:val="16"/>
              </w:rPr>
            </w:pPr>
            <w:r>
              <w:rPr>
                <w:sz w:val="16"/>
                <w:szCs w:val="16"/>
                <w:b/>
                <w:bCs/>
                <w:spacing w:val="1"/>
              </w:rPr>
              <w:t>监管部门</w:t>
            </w:r>
          </w:p>
        </w:tc>
        <w:tc>
          <w:tcPr>
            <w:tcW w:w="1758" w:type="dxa"/>
            <w:vAlign w:val="top"/>
          </w:tcPr>
          <w:p>
            <w:pPr>
              <w:pStyle w:val="TableText"/>
              <w:ind w:left="585"/>
              <w:spacing w:before="189" w:line="219" w:lineRule="auto"/>
              <w:rPr>
                <w:sz w:val="16"/>
                <w:szCs w:val="16"/>
              </w:rPr>
            </w:pPr>
            <w:r>
              <w:rPr>
                <w:sz w:val="16"/>
                <w:szCs w:val="16"/>
                <w:b/>
                <w:bCs/>
                <w:spacing w:val="-3"/>
              </w:rPr>
              <w:t>监管对象</w:t>
            </w:r>
          </w:p>
        </w:tc>
        <w:tc>
          <w:tcPr>
            <w:tcW w:w="3696" w:type="dxa"/>
            <w:vAlign w:val="top"/>
          </w:tcPr>
          <w:p>
            <w:pPr>
              <w:pStyle w:val="TableText"/>
              <w:ind w:left="1527"/>
              <w:spacing w:before="189" w:line="219" w:lineRule="auto"/>
              <w:rPr>
                <w:sz w:val="16"/>
                <w:szCs w:val="16"/>
              </w:rPr>
            </w:pPr>
            <w:r>
              <w:rPr>
                <w:sz w:val="16"/>
                <w:szCs w:val="16"/>
                <w:b/>
                <w:bCs/>
                <w:spacing w:val="-3"/>
              </w:rPr>
              <w:t>监管内容</w:t>
            </w:r>
          </w:p>
        </w:tc>
        <w:tc>
          <w:tcPr>
            <w:tcW w:w="864" w:type="dxa"/>
            <w:vAlign w:val="top"/>
          </w:tcPr>
          <w:p>
            <w:pPr>
              <w:pStyle w:val="TableText"/>
              <w:ind w:left="101"/>
              <w:spacing w:before="189" w:line="219" w:lineRule="auto"/>
              <w:rPr>
                <w:sz w:val="16"/>
                <w:szCs w:val="16"/>
              </w:rPr>
            </w:pPr>
            <w:r>
              <w:rPr>
                <w:sz w:val="16"/>
                <w:szCs w:val="16"/>
                <w:b/>
                <w:bCs/>
                <w:spacing w:val="-3"/>
              </w:rPr>
              <w:t>监管时间</w:t>
            </w:r>
          </w:p>
        </w:tc>
      </w:tr>
      <w:tr>
        <w:trPr>
          <w:trHeight w:val="1996" w:hRule="atLeast"/>
        </w:trPr>
        <w:tc>
          <w:tcPr>
            <w:tcW w:w="1044" w:type="dxa"/>
            <w:vAlign w:val="top"/>
          </w:tcPr>
          <w:p>
            <w:pPr>
              <w:pStyle w:val="TableText"/>
              <w:ind w:left="74"/>
              <w:spacing w:before="68" w:line="220" w:lineRule="auto"/>
              <w:rPr>
                <w:sz w:val="16"/>
                <w:szCs w:val="16"/>
              </w:rPr>
            </w:pPr>
            <w:r>
              <w:rPr>
                <w:sz w:val="16"/>
                <w:szCs w:val="16"/>
                <w:spacing w:val="3"/>
              </w:rPr>
              <w:t>专项整治</w:t>
            </w:r>
          </w:p>
        </w:tc>
        <w:tc>
          <w:tcPr>
            <w:tcW w:w="2258" w:type="dxa"/>
            <w:vAlign w:val="top"/>
          </w:tcPr>
          <w:p>
            <w:pPr>
              <w:pStyle w:val="TableText"/>
              <w:ind w:left="61"/>
              <w:spacing w:before="77" w:line="219" w:lineRule="auto"/>
              <w:rPr>
                <w:sz w:val="16"/>
                <w:szCs w:val="16"/>
              </w:rPr>
            </w:pPr>
            <w:r>
              <w:rPr>
                <w:sz w:val="16"/>
                <w:szCs w:val="16"/>
                <w:spacing w:val="1"/>
              </w:rPr>
              <w:t>国家网信办</w:t>
            </w:r>
          </w:p>
        </w:tc>
        <w:tc>
          <w:tcPr>
            <w:tcW w:w="1758" w:type="dxa"/>
            <w:vAlign w:val="top"/>
          </w:tcPr>
          <w:p>
            <w:pPr>
              <w:pStyle w:val="TableText"/>
              <w:ind w:left="93" w:right="55"/>
              <w:spacing w:before="86" w:line="258" w:lineRule="auto"/>
              <w:rPr>
                <w:sz w:val="16"/>
                <w:szCs w:val="16"/>
              </w:rPr>
            </w:pPr>
            <w:r>
              <w:rPr>
                <w:sz w:val="16"/>
                <w:szCs w:val="16"/>
              </w:rPr>
              <w:t>JC</w:t>
            </w:r>
            <w:r>
              <w:rPr>
                <w:sz w:val="16"/>
                <w:szCs w:val="16"/>
                <w:spacing w:val="8"/>
              </w:rPr>
              <w:t>、</w:t>
            </w:r>
            <w:r>
              <w:rPr>
                <w:sz w:val="16"/>
                <w:szCs w:val="16"/>
              </w:rPr>
              <w:t>QQ</w:t>
            </w:r>
            <w:r>
              <w:rPr>
                <w:sz w:val="16"/>
                <w:szCs w:val="16"/>
                <w:spacing w:val="8"/>
              </w:rPr>
              <w:t>、华为、360、</w:t>
            </w:r>
            <w:r>
              <w:rPr>
                <w:sz w:val="16"/>
                <w:szCs w:val="16"/>
                <w:spacing w:val="6"/>
              </w:rPr>
              <w:t xml:space="preserve"> </w:t>
            </w:r>
            <w:r>
              <w:rPr>
                <w:sz w:val="16"/>
                <w:szCs w:val="16"/>
                <w:spacing w:val="11"/>
              </w:rPr>
              <w:t>搜狗、小米、</w:t>
            </w:r>
            <w:r>
              <w:rPr>
                <w:sz w:val="16"/>
                <w:szCs w:val="16"/>
              </w:rPr>
              <w:t>vivo</w:t>
            </w:r>
            <w:r>
              <w:rPr>
                <w:sz w:val="16"/>
                <w:szCs w:val="16"/>
                <w:spacing w:val="11"/>
              </w:rPr>
              <w:t>、</w:t>
            </w:r>
            <w:r>
              <w:rPr>
                <w:sz w:val="16"/>
                <w:szCs w:val="16"/>
              </w:rPr>
              <w:t xml:space="preserve">  </w:t>
            </w:r>
            <w:r>
              <w:rPr>
                <w:sz w:val="16"/>
                <w:szCs w:val="16"/>
                <w:spacing w:val="-1"/>
              </w:rPr>
              <w:t>OPPO等8款浏览器</w:t>
            </w:r>
          </w:p>
        </w:tc>
        <w:tc>
          <w:tcPr>
            <w:tcW w:w="3696" w:type="dxa"/>
            <w:vAlign w:val="top"/>
          </w:tcPr>
          <w:p>
            <w:pPr>
              <w:pStyle w:val="TableText"/>
              <w:ind w:left="84"/>
              <w:spacing w:before="96" w:line="219" w:lineRule="auto"/>
              <w:rPr>
                <w:sz w:val="16"/>
                <w:szCs w:val="16"/>
              </w:rPr>
            </w:pPr>
            <w:r>
              <w:rPr>
                <w:sz w:val="16"/>
                <w:szCs w:val="16"/>
                <w:spacing w:val="-1"/>
              </w:rPr>
              <w:t>此次集中整治和专项督导对手机浏览器提出了明确</w:t>
            </w:r>
          </w:p>
          <w:p>
            <w:pPr>
              <w:pStyle w:val="TableText"/>
              <w:ind w:left="164"/>
              <w:spacing w:before="40" w:line="219" w:lineRule="auto"/>
              <w:rPr>
                <w:sz w:val="16"/>
                <w:szCs w:val="16"/>
              </w:rPr>
            </w:pPr>
            <w:r>
              <w:rPr>
                <w:sz w:val="16"/>
                <w:szCs w:val="16"/>
                <w:spacing w:val="-1"/>
              </w:rPr>
              <w:t>整改要求和具体标准，其中包括不得发布“自媒</w:t>
            </w:r>
          </w:p>
          <w:p>
            <w:pPr>
              <w:pStyle w:val="TableText"/>
              <w:ind w:left="164"/>
              <w:spacing w:before="40" w:line="219" w:lineRule="auto"/>
              <w:rPr>
                <w:sz w:val="16"/>
                <w:szCs w:val="16"/>
              </w:rPr>
            </w:pPr>
            <w:r>
              <w:rPr>
                <w:sz w:val="16"/>
                <w:szCs w:val="16"/>
                <w:spacing w:val="-1"/>
              </w:rPr>
              <w:t>体”违规采编的互联网新闻信息，不得PUSH弹窗</w:t>
            </w:r>
          </w:p>
          <w:p>
            <w:pPr>
              <w:pStyle w:val="TableText"/>
              <w:ind w:left="4"/>
              <w:spacing w:before="50" w:line="219" w:lineRule="auto"/>
              <w:rPr>
                <w:sz w:val="16"/>
                <w:szCs w:val="16"/>
              </w:rPr>
            </w:pPr>
            <w:r>
              <w:rPr>
                <w:sz w:val="16"/>
                <w:szCs w:val="16"/>
                <w:spacing w:val="7"/>
              </w:rPr>
              <w:t>‘自媒体”发布的各类信息，不得使用断章取义、</w:t>
            </w:r>
          </w:p>
          <w:p>
            <w:pPr>
              <w:pStyle w:val="TableText"/>
              <w:ind w:left="84"/>
              <w:spacing w:before="50" w:line="219" w:lineRule="auto"/>
              <w:rPr>
                <w:sz w:val="16"/>
                <w:szCs w:val="16"/>
              </w:rPr>
            </w:pPr>
            <w:r>
              <w:rPr>
                <w:sz w:val="16"/>
                <w:szCs w:val="16"/>
                <w:spacing w:val="-1"/>
              </w:rPr>
              <w:t>虚假夸大、攻击侮辱、耸人听闻等噱头式标题炒作</w:t>
            </w:r>
          </w:p>
          <w:p>
            <w:pPr>
              <w:pStyle w:val="TableText"/>
              <w:ind w:left="84"/>
              <w:spacing w:before="70" w:line="219" w:lineRule="auto"/>
              <w:rPr>
                <w:sz w:val="16"/>
                <w:szCs w:val="16"/>
              </w:rPr>
            </w:pPr>
            <w:r>
              <w:rPr>
                <w:sz w:val="16"/>
                <w:szCs w:val="16"/>
                <w:spacing w:val="-1"/>
              </w:rPr>
              <w:t>热点敏感话题，不得发布无中生有、旧闻翻炒、拼</w:t>
            </w:r>
          </w:p>
          <w:p>
            <w:pPr>
              <w:pStyle w:val="TableText"/>
              <w:ind w:left="93" w:right="88" w:hanging="9"/>
              <w:spacing w:before="50" w:line="254" w:lineRule="auto"/>
              <w:rPr>
                <w:sz w:val="16"/>
                <w:szCs w:val="16"/>
              </w:rPr>
            </w:pPr>
            <w:r>
              <w:rPr>
                <w:sz w:val="16"/>
                <w:szCs w:val="16"/>
                <w:spacing w:val="-1"/>
              </w:rPr>
              <w:t>凑剪接、捕风捉影等不实信息，不得发布低俗、血</w:t>
            </w:r>
            <w:r>
              <w:rPr>
                <w:sz w:val="16"/>
                <w:szCs w:val="16"/>
                <w:spacing w:val="13"/>
              </w:rPr>
              <w:t xml:space="preserve"> </w:t>
            </w:r>
            <w:r>
              <w:rPr>
                <w:sz w:val="16"/>
                <w:szCs w:val="16"/>
              </w:rPr>
              <w:t>腥等不良信息，等等。</w:t>
            </w:r>
          </w:p>
        </w:tc>
        <w:tc>
          <w:tcPr>
            <w:tcW w:w="864" w:type="dxa"/>
            <w:vAlign w:val="top"/>
          </w:tcPr>
          <w:p>
            <w:pPr>
              <w:pStyle w:val="TableText"/>
              <w:ind w:left="99" w:right="166"/>
              <w:spacing w:before="87" w:line="248" w:lineRule="auto"/>
              <w:rPr>
                <w:sz w:val="16"/>
                <w:szCs w:val="16"/>
              </w:rPr>
            </w:pPr>
            <w:r>
              <w:rPr>
                <w:sz w:val="16"/>
                <w:szCs w:val="16"/>
                <w:spacing w:val="-2"/>
              </w:rPr>
              <w:t>2020年</w:t>
            </w:r>
            <w:r>
              <w:rPr>
                <w:sz w:val="16"/>
                <w:szCs w:val="16"/>
              </w:rPr>
              <w:t xml:space="preserve">  </w:t>
            </w:r>
            <w:r>
              <w:rPr>
                <w:sz w:val="16"/>
                <w:szCs w:val="16"/>
                <w:spacing w:val="5"/>
              </w:rPr>
              <w:t>0月26日</w:t>
            </w:r>
          </w:p>
        </w:tc>
      </w:tr>
      <w:tr>
        <w:trPr>
          <w:trHeight w:val="1277" w:hRule="atLeast"/>
        </w:trPr>
        <w:tc>
          <w:tcPr>
            <w:tcW w:w="1044" w:type="dxa"/>
            <w:vAlign w:val="top"/>
          </w:tcPr>
          <w:p>
            <w:pPr>
              <w:pStyle w:val="TableText"/>
              <w:ind w:left="74"/>
              <w:spacing w:before="72" w:line="220" w:lineRule="auto"/>
              <w:rPr>
                <w:sz w:val="16"/>
                <w:szCs w:val="16"/>
              </w:rPr>
            </w:pPr>
            <w:r>
              <w:rPr>
                <w:sz w:val="16"/>
                <w:szCs w:val="16"/>
                <w:spacing w:val="3"/>
              </w:rPr>
              <w:t>专项整治</w:t>
            </w:r>
          </w:p>
        </w:tc>
        <w:tc>
          <w:tcPr>
            <w:tcW w:w="2258" w:type="dxa"/>
            <w:vAlign w:val="top"/>
          </w:tcPr>
          <w:p>
            <w:pPr>
              <w:pStyle w:val="TableText"/>
              <w:ind w:left="61"/>
              <w:spacing w:before="71" w:line="219" w:lineRule="auto"/>
              <w:rPr>
                <w:sz w:val="16"/>
                <w:szCs w:val="16"/>
              </w:rPr>
            </w:pPr>
            <w:r>
              <w:rPr>
                <w:sz w:val="16"/>
                <w:szCs w:val="16"/>
                <w:spacing w:val="-2"/>
              </w:rPr>
              <w:t>工信部</w:t>
            </w:r>
          </w:p>
        </w:tc>
        <w:tc>
          <w:tcPr>
            <w:tcW w:w="1758" w:type="dxa"/>
            <w:vAlign w:val="top"/>
          </w:tcPr>
          <w:p>
            <w:pPr>
              <w:pStyle w:val="TableText"/>
              <w:ind w:left="93"/>
              <w:spacing w:before="92" w:line="220" w:lineRule="auto"/>
              <w:rPr>
                <w:sz w:val="16"/>
                <w:szCs w:val="16"/>
              </w:rPr>
            </w:pPr>
            <w:r>
              <w:rPr>
                <w:sz w:val="16"/>
                <w:szCs w:val="16"/>
                <w:spacing w:val="-2"/>
              </w:rPr>
              <w:t>互联网行业</w:t>
            </w:r>
          </w:p>
        </w:tc>
        <w:tc>
          <w:tcPr>
            <w:tcW w:w="3696" w:type="dxa"/>
            <w:vAlign w:val="top"/>
          </w:tcPr>
          <w:p>
            <w:pPr>
              <w:pStyle w:val="TableText"/>
              <w:ind w:left="84" w:right="72" w:firstLine="79"/>
              <w:spacing w:before="92" w:line="270" w:lineRule="auto"/>
              <w:rPr>
                <w:sz w:val="16"/>
                <w:szCs w:val="16"/>
              </w:rPr>
            </w:pPr>
            <w:r>
              <w:rPr>
                <w:sz w:val="16"/>
                <w:szCs w:val="16"/>
                <w:spacing w:val="-1"/>
              </w:rPr>
              <w:t>工信部启动了为期半年的互联网行业专项整治行</w:t>
            </w:r>
            <w:r>
              <w:rPr>
                <w:sz w:val="16"/>
                <w:szCs w:val="16"/>
                <w:spacing w:val="5"/>
              </w:rPr>
              <w:t xml:space="preserve">  </w:t>
            </w:r>
            <w:r>
              <w:rPr>
                <w:sz w:val="16"/>
                <w:szCs w:val="16"/>
                <w:spacing w:val="-1"/>
              </w:rPr>
              <w:t>动，聚焦扰乱市场秩序、侵害用户权益、威胁数据</w:t>
            </w:r>
            <w:r>
              <w:rPr>
                <w:sz w:val="16"/>
                <w:szCs w:val="16"/>
                <w:spacing w:val="14"/>
              </w:rPr>
              <w:t xml:space="preserve"> </w:t>
            </w:r>
            <w:r>
              <w:rPr>
                <w:sz w:val="16"/>
                <w:szCs w:val="16"/>
                <w:spacing w:val="-1"/>
              </w:rPr>
              <w:t>安全、违反资源和资质管理规定等四个方面、八类</w:t>
            </w:r>
            <w:r>
              <w:rPr>
                <w:sz w:val="16"/>
                <w:szCs w:val="16"/>
                <w:spacing w:val="11"/>
              </w:rPr>
              <w:t xml:space="preserve"> </w:t>
            </w:r>
            <w:r>
              <w:rPr>
                <w:sz w:val="16"/>
                <w:szCs w:val="16"/>
              </w:rPr>
              <w:t>问题进行集中整治。屏蔽网址链接，是本次专项行</w:t>
            </w:r>
            <w:r>
              <w:rPr>
                <w:sz w:val="16"/>
                <w:szCs w:val="16"/>
                <w:spacing w:val="7"/>
              </w:rPr>
              <w:t xml:space="preserve"> </w:t>
            </w:r>
            <w:r>
              <w:rPr>
                <w:sz w:val="16"/>
                <w:szCs w:val="16"/>
                <w:spacing w:val="3"/>
              </w:rPr>
              <w:t>动重点整治问题之一。</w:t>
            </w:r>
          </w:p>
        </w:tc>
        <w:tc>
          <w:tcPr>
            <w:tcW w:w="864" w:type="dxa"/>
            <w:vAlign w:val="top"/>
          </w:tcPr>
          <w:p>
            <w:pPr>
              <w:pStyle w:val="TableText"/>
              <w:ind w:left="99"/>
              <w:spacing w:before="91" w:line="240" w:lineRule="exact"/>
              <w:rPr>
                <w:sz w:val="16"/>
                <w:szCs w:val="16"/>
              </w:rPr>
            </w:pPr>
            <w:r>
              <w:rPr>
                <w:sz w:val="16"/>
                <w:szCs w:val="16"/>
                <w:spacing w:val="-2"/>
                <w:position w:val="5"/>
              </w:rPr>
              <w:t>2021年</w:t>
            </w:r>
          </w:p>
          <w:p>
            <w:pPr>
              <w:pStyle w:val="TableText"/>
              <w:ind w:left="99"/>
              <w:spacing w:line="219" w:lineRule="auto"/>
              <w:rPr>
                <w:sz w:val="16"/>
                <w:szCs w:val="16"/>
              </w:rPr>
            </w:pPr>
            <w:r>
              <w:rPr>
                <w:sz w:val="16"/>
                <w:szCs w:val="16"/>
                <w:spacing w:val="-6"/>
              </w:rPr>
              <w:t>7</w:t>
            </w:r>
            <w:r>
              <w:rPr>
                <w:sz w:val="16"/>
                <w:szCs w:val="16"/>
                <w:spacing w:val="-27"/>
              </w:rPr>
              <w:t xml:space="preserve"> </w:t>
            </w:r>
            <w:r>
              <w:rPr>
                <w:sz w:val="16"/>
                <w:szCs w:val="16"/>
                <w:spacing w:val="-6"/>
              </w:rPr>
              <w:t>月</w:t>
            </w:r>
          </w:p>
        </w:tc>
      </w:tr>
      <w:tr>
        <w:trPr>
          <w:trHeight w:val="1043" w:hRule="atLeast"/>
        </w:trPr>
        <w:tc>
          <w:tcPr>
            <w:tcW w:w="1044" w:type="dxa"/>
            <w:vAlign w:val="top"/>
          </w:tcPr>
          <w:p>
            <w:pPr>
              <w:pStyle w:val="TableText"/>
              <w:ind w:left="74"/>
              <w:spacing w:before="75" w:line="220" w:lineRule="auto"/>
              <w:rPr>
                <w:sz w:val="16"/>
                <w:szCs w:val="16"/>
              </w:rPr>
            </w:pPr>
            <w:r>
              <w:rPr>
                <w:sz w:val="16"/>
                <w:szCs w:val="16"/>
                <w:spacing w:val="3"/>
              </w:rPr>
              <w:t>专项整治</w:t>
            </w:r>
          </w:p>
        </w:tc>
        <w:tc>
          <w:tcPr>
            <w:tcW w:w="2258" w:type="dxa"/>
            <w:vAlign w:val="top"/>
          </w:tcPr>
          <w:p>
            <w:pPr>
              <w:pStyle w:val="TableText"/>
              <w:ind w:left="61"/>
              <w:spacing w:before="84" w:line="219" w:lineRule="auto"/>
              <w:rPr>
                <w:sz w:val="16"/>
                <w:szCs w:val="16"/>
              </w:rPr>
            </w:pPr>
            <w:r>
              <w:rPr>
                <w:sz w:val="16"/>
                <w:szCs w:val="16"/>
                <w:spacing w:val="1"/>
              </w:rPr>
              <w:t>工信部组织各省通信管理局</w:t>
            </w:r>
          </w:p>
        </w:tc>
        <w:tc>
          <w:tcPr>
            <w:tcW w:w="1758" w:type="dxa"/>
            <w:vAlign w:val="top"/>
          </w:tcPr>
          <w:p>
            <w:pPr>
              <w:pStyle w:val="TableText"/>
              <w:ind w:left="93"/>
              <w:spacing w:before="60" w:line="214" w:lineRule="auto"/>
              <w:rPr>
                <w:sz w:val="16"/>
                <w:szCs w:val="16"/>
              </w:rPr>
            </w:pPr>
            <w:r>
              <w:rPr>
                <w:sz w:val="16"/>
                <w:szCs w:val="16"/>
                <w:spacing w:val="-2"/>
              </w:rPr>
              <w:t>手机App</w:t>
            </w:r>
          </w:p>
        </w:tc>
        <w:tc>
          <w:tcPr>
            <w:tcW w:w="3696" w:type="dxa"/>
            <w:vAlign w:val="top"/>
          </w:tcPr>
          <w:p>
            <w:pPr>
              <w:pStyle w:val="TableText"/>
              <w:ind w:left="115"/>
              <w:spacing w:before="70" w:line="214" w:lineRule="auto"/>
              <w:rPr>
                <w:sz w:val="16"/>
                <w:szCs w:val="16"/>
              </w:rPr>
            </w:pPr>
            <w:r>
              <w:rPr>
                <w:sz w:val="16"/>
                <w:szCs w:val="16"/>
                <w:spacing w:val="-1"/>
              </w:rPr>
              <w:t>此次整治重点对假日出行、民生服务类App进行</w:t>
            </w:r>
          </w:p>
          <w:p>
            <w:pPr>
              <w:pStyle w:val="TableText"/>
              <w:ind w:left="84" w:right="85" w:firstLine="120"/>
              <w:spacing w:before="74" w:line="260" w:lineRule="auto"/>
              <w:rPr>
                <w:sz w:val="16"/>
                <w:szCs w:val="16"/>
              </w:rPr>
            </w:pPr>
            <w:r>
              <w:rPr>
                <w:sz w:val="16"/>
                <w:szCs w:val="16"/>
                <w:spacing w:val="-1"/>
              </w:rPr>
              <w:t>检测，对未按要求完成整改的App进行了公开</w:t>
            </w:r>
            <w:r>
              <w:rPr>
                <w:sz w:val="16"/>
                <w:szCs w:val="16"/>
                <w:spacing w:val="-2"/>
              </w:rPr>
              <w:t>通  </w:t>
            </w:r>
            <w:r>
              <w:rPr>
                <w:sz w:val="16"/>
                <w:szCs w:val="16"/>
                <w:spacing w:val="-1"/>
              </w:rPr>
              <w:t>报，并依据《网络安全法》等法律要求，对未完成</w:t>
            </w:r>
            <w:r>
              <w:rPr>
                <w:sz w:val="16"/>
                <w:szCs w:val="16"/>
                <w:spacing w:val="16"/>
              </w:rPr>
              <w:t xml:space="preserve"> </w:t>
            </w:r>
            <w:r>
              <w:rPr>
                <w:sz w:val="16"/>
                <w:szCs w:val="16"/>
                <w:spacing w:val="1"/>
              </w:rPr>
              <w:t>整改要求的96款</w:t>
            </w:r>
            <w:r>
              <w:rPr>
                <w:sz w:val="16"/>
                <w:szCs w:val="16"/>
              </w:rPr>
              <w:t>App</w:t>
            </w:r>
            <w:r>
              <w:rPr>
                <w:sz w:val="16"/>
                <w:szCs w:val="16"/>
                <w:spacing w:val="1"/>
              </w:rPr>
              <w:t>进行下架。</w:t>
            </w:r>
          </w:p>
        </w:tc>
        <w:tc>
          <w:tcPr>
            <w:tcW w:w="864" w:type="dxa"/>
            <w:vAlign w:val="top"/>
          </w:tcPr>
          <w:p>
            <w:pPr>
              <w:pStyle w:val="TableText"/>
              <w:ind w:left="99"/>
              <w:spacing w:before="84" w:line="250" w:lineRule="exact"/>
              <w:rPr>
                <w:sz w:val="16"/>
                <w:szCs w:val="16"/>
              </w:rPr>
            </w:pPr>
            <w:r>
              <w:rPr>
                <w:sz w:val="16"/>
                <w:szCs w:val="16"/>
                <w:spacing w:val="-2"/>
                <w:position w:val="6"/>
              </w:rPr>
              <w:t>2021年</w:t>
            </w:r>
          </w:p>
          <w:p>
            <w:pPr>
              <w:pStyle w:val="TableText"/>
              <w:ind w:left="99"/>
              <w:spacing w:line="219" w:lineRule="auto"/>
              <w:rPr>
                <w:sz w:val="16"/>
                <w:szCs w:val="16"/>
              </w:rPr>
            </w:pPr>
            <w:r>
              <w:rPr>
                <w:sz w:val="16"/>
                <w:szCs w:val="16"/>
                <w:spacing w:val="10"/>
              </w:rPr>
              <w:t>10月</w:t>
            </w:r>
          </w:p>
        </w:tc>
      </w:tr>
    </w:tbl>
    <w:p>
      <w:pPr>
        <w:pStyle w:val="BodyText"/>
        <w:rPr/>
      </w:pPr>
      <w:r/>
    </w:p>
    <w:p>
      <w:pPr>
        <w:sectPr>
          <w:footerReference w:type="default" r:id="rId468"/>
          <w:pgSz w:w="12480" w:h="7330"/>
          <w:pgMar w:top="400" w:right="734" w:bottom="910" w:left="954" w:header="0" w:footer="693" w:gutter="0"/>
        </w:sectPr>
        <w:rPr/>
      </w:pPr>
    </w:p>
    <w:p>
      <w:pPr>
        <w:ind w:left="9024"/>
        <w:spacing w:before="208" w:line="220" w:lineRule="auto"/>
        <w:rPr>
          <w:rFonts w:ascii="SimSun" w:hAnsi="SimSun" w:eastAsia="SimSun" w:cs="SimSun"/>
          <w:sz w:val="19"/>
          <w:szCs w:val="19"/>
        </w:rPr>
      </w:pPr>
      <w:r>
        <mc:AlternateContent xmlns:mc="http://schemas.openxmlformats.org/markup-compatibility/2006">
          <mc:Choice Requires="wps">
            <w:drawing>
              <wp:anchor distT="0" distB="0" distL="0" distR="0" simplePos="0" relativeHeight="255759360" behindDoc="0" locked="0" layoutInCell="0" allowOverlap="1">
                <wp:simplePos x="0" y="0"/>
                <wp:positionH relativeFrom="page">
                  <wp:posOffset>7515311</wp:posOffset>
                </wp:positionH>
                <wp:positionV relativeFrom="page">
                  <wp:posOffset>394555</wp:posOffset>
                </wp:positionV>
                <wp:extent cx="163195" cy="148589"/>
                <wp:effectExtent l="0" t="0" r="0" b="0"/>
                <wp:wrapNone/>
                <wp:docPr id="356" name="TextBox 356"/>
                <wp:cNvGraphicFramePr/>
                <a:graphic>
                  <a:graphicData uri="http://schemas.microsoft.com/office/word/2010/wordprocessingShape">
                    <wps:wsp>
                      <wps:cNvSpPr txBox="1"/>
                      <wps:spPr>
                        <a:xfrm rot="5400000">
                          <a:off x="7515311" y="394555"/>
                          <a:ext cx="16319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390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0" style="position:absolute;margin-left:591.757pt;margin-top:31.0674pt;mso-position-vertical-relative:page;mso-position-horizontal-relative:page;width:12.85pt;height:11.7pt;z-index:255759360;rotation:90;" o:allowincell="f"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390</w:t>
                      </w:r>
                    </w:p>
                  </w:txbxContent>
                </v:textbox>
              </v:shape>
            </w:pict>
          </mc:Fallback>
        </mc:AlternateContent>
      </w:r>
      <w:r>
        <mc:AlternateContent xmlns:mc="http://schemas.openxmlformats.org/markup-compatibility/2006">
          <mc:Choice Requires="wps">
            <w:drawing>
              <wp:anchor distT="0" distB="0" distL="0" distR="0" simplePos="0" relativeHeight="255758336" behindDoc="0" locked="0" layoutInCell="0" allowOverlap="1">
                <wp:simplePos x="0" y="0"/>
                <wp:positionH relativeFrom="page">
                  <wp:posOffset>6921151</wp:posOffset>
                </wp:positionH>
                <wp:positionV relativeFrom="page">
                  <wp:posOffset>2232755</wp:posOffset>
                </wp:positionV>
                <wp:extent cx="1383664" cy="156845"/>
                <wp:effectExtent l="0" t="0" r="0" b="0"/>
                <wp:wrapNone/>
                <wp:docPr id="358" name="TextBox 358"/>
                <wp:cNvGraphicFramePr/>
                <a:graphic>
                  <a:graphicData uri="http://schemas.microsoft.com/office/word/2010/wordprocessingShape">
                    <wps:wsp>
                      <wps:cNvSpPr txBox="1"/>
                      <wps:spPr>
                        <a:xfrm rot="5400000">
                          <a:off x="6921151" y="2232755"/>
                          <a:ext cx="1383664"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2"/>
                              </w:rPr>
                              <w:t>平台经济——创新、治理与繁荣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2" style="position:absolute;margin-left:544.973pt;margin-top:175.808pt;mso-position-vertical-relative:page;mso-position-horizontal-relative:page;width:108.95pt;height:12.35pt;z-index:255758336;rotation:90;" o:allowincell="f" filled="false" stroked="false" type="#_x0000_t202">
                <v:fill on="false"/>
                <v:stroke on="false"/>
                <v:path/>
                <v:imagedata o:title=""/>
                <o:lock v:ext="edit" aspectratio="false"/>
                <v:textbox inset="0mm,0mm,0mm,0mm">
                  <w:txbxContent>
                    <w:p>
                      <w:pPr>
                        <w:ind w:left="20"/>
                        <w:spacing w:before="47" w:line="221" w:lineRule="auto"/>
                        <w:rPr>
                          <w:rFonts w:ascii="SimHei" w:hAnsi="SimHei" w:eastAsia="SimHei" w:cs="SimHei"/>
                          <w:sz w:val="15"/>
                          <w:szCs w:val="15"/>
                        </w:rPr>
                      </w:pPr>
                      <w:r>
                        <w:rPr>
                          <w:rFonts w:ascii="SimHei" w:hAnsi="SimHei" w:eastAsia="SimHei" w:cs="SimHei"/>
                          <w:sz w:val="15"/>
                          <w:szCs w:val="15"/>
                          <w:spacing w:val="2"/>
                        </w:rPr>
                        <w:t>平台经济——创新、治理与繁荣</w:t>
                      </w:r>
                    </w:p>
                  </w:txbxContent>
                </v:textbox>
              </v:shape>
            </w:pict>
          </mc:Fallback>
        </mc:AlternateContent>
      </w:r>
      <w:r>
        <w:rPr>
          <w:rFonts w:ascii="SimSun" w:hAnsi="SimSun" w:eastAsia="SimSun" w:cs="SimSun"/>
          <w:sz w:val="19"/>
          <w:szCs w:val="19"/>
          <w:spacing w:val="-9"/>
        </w:rPr>
        <w:t>(续表)</w:t>
      </w:r>
    </w:p>
    <w:p>
      <w:pPr>
        <w:spacing w:line="150" w:lineRule="exact"/>
        <w:rPr/>
      </w:pPr>
      <w:r/>
    </w:p>
    <w:tbl>
      <w:tblPr>
        <w:tblStyle w:val="TableNormal"/>
        <w:tblW w:w="960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34"/>
        <w:gridCol w:w="2257"/>
        <w:gridCol w:w="1758"/>
        <w:gridCol w:w="3676"/>
        <w:gridCol w:w="884"/>
      </w:tblGrid>
      <w:tr>
        <w:trPr>
          <w:trHeight w:val="553" w:hRule="atLeast"/>
        </w:trPr>
        <w:tc>
          <w:tcPr>
            <w:tcW w:w="1034" w:type="dxa"/>
            <w:vAlign w:val="top"/>
          </w:tcPr>
          <w:p>
            <w:pPr>
              <w:pStyle w:val="TableText"/>
              <w:ind w:left="347"/>
              <w:spacing w:before="69" w:line="231" w:lineRule="exact"/>
              <w:rPr>
                <w:sz w:val="16"/>
                <w:szCs w:val="16"/>
              </w:rPr>
            </w:pPr>
            <w:r>
              <w:rPr>
                <w:sz w:val="16"/>
                <w:szCs w:val="16"/>
                <w:b/>
                <w:bCs/>
                <w:spacing w:val="-4"/>
                <w:position w:val="5"/>
              </w:rPr>
              <w:t>监管</w:t>
            </w:r>
          </w:p>
          <w:p>
            <w:pPr>
              <w:pStyle w:val="TableText"/>
              <w:ind w:left="347"/>
              <w:spacing w:line="220" w:lineRule="auto"/>
              <w:rPr>
                <w:sz w:val="16"/>
                <w:szCs w:val="16"/>
              </w:rPr>
            </w:pPr>
            <w:r>
              <w:rPr>
                <w:sz w:val="16"/>
                <w:szCs w:val="16"/>
                <w:b/>
                <w:bCs/>
                <w:spacing w:val="-4"/>
              </w:rPr>
              <w:t>方式</w:t>
            </w:r>
          </w:p>
        </w:tc>
        <w:tc>
          <w:tcPr>
            <w:tcW w:w="2257" w:type="dxa"/>
            <w:vAlign w:val="top"/>
          </w:tcPr>
          <w:p>
            <w:pPr>
              <w:pStyle w:val="TableText"/>
              <w:ind w:left="803"/>
              <w:spacing w:before="199" w:line="219" w:lineRule="auto"/>
              <w:rPr>
                <w:sz w:val="16"/>
                <w:szCs w:val="16"/>
              </w:rPr>
            </w:pPr>
            <w:r>
              <w:rPr>
                <w:sz w:val="16"/>
                <w:szCs w:val="16"/>
                <w:b/>
                <w:bCs/>
                <w:spacing w:val="1"/>
              </w:rPr>
              <w:t>监管部门</w:t>
            </w:r>
          </w:p>
        </w:tc>
        <w:tc>
          <w:tcPr>
            <w:tcW w:w="1758" w:type="dxa"/>
            <w:vAlign w:val="top"/>
          </w:tcPr>
          <w:p>
            <w:pPr>
              <w:pStyle w:val="TableText"/>
              <w:ind w:left="556"/>
              <w:spacing w:before="199" w:line="219" w:lineRule="auto"/>
              <w:rPr>
                <w:sz w:val="16"/>
                <w:szCs w:val="16"/>
              </w:rPr>
            </w:pPr>
            <w:r>
              <w:rPr>
                <w:sz w:val="16"/>
                <w:szCs w:val="16"/>
                <w:b/>
                <w:bCs/>
                <w:spacing w:val="-3"/>
              </w:rPr>
              <w:t>监管对象</w:t>
            </w:r>
          </w:p>
        </w:tc>
        <w:tc>
          <w:tcPr>
            <w:tcW w:w="3676" w:type="dxa"/>
            <w:vAlign w:val="top"/>
          </w:tcPr>
          <w:p>
            <w:pPr>
              <w:pStyle w:val="TableText"/>
              <w:ind w:left="1518"/>
              <w:spacing w:before="199" w:line="219" w:lineRule="auto"/>
              <w:rPr>
                <w:sz w:val="16"/>
                <w:szCs w:val="16"/>
              </w:rPr>
            </w:pPr>
            <w:r>
              <w:rPr>
                <w:sz w:val="16"/>
                <w:szCs w:val="16"/>
                <w:b/>
                <w:bCs/>
                <w:spacing w:val="-3"/>
              </w:rPr>
              <w:t>监管内容</w:t>
            </w:r>
          </w:p>
        </w:tc>
        <w:tc>
          <w:tcPr>
            <w:tcW w:w="884" w:type="dxa"/>
            <w:vAlign w:val="top"/>
          </w:tcPr>
          <w:p>
            <w:pPr>
              <w:pStyle w:val="TableText"/>
              <w:ind w:left="92"/>
              <w:spacing w:before="199" w:line="219" w:lineRule="auto"/>
              <w:rPr>
                <w:sz w:val="16"/>
                <w:szCs w:val="16"/>
              </w:rPr>
            </w:pPr>
            <w:r>
              <w:rPr>
                <w:sz w:val="16"/>
                <w:szCs w:val="16"/>
                <w:b/>
                <w:bCs/>
                <w:spacing w:val="-3"/>
              </w:rPr>
              <w:t>监管时间</w:t>
            </w:r>
          </w:p>
        </w:tc>
      </w:tr>
      <w:tr>
        <w:trPr>
          <w:trHeight w:val="1746" w:hRule="atLeast"/>
        </w:trPr>
        <w:tc>
          <w:tcPr>
            <w:tcW w:w="1034" w:type="dxa"/>
            <w:vAlign w:val="top"/>
          </w:tcPr>
          <w:p>
            <w:pPr>
              <w:pStyle w:val="TableText"/>
              <w:ind w:left="104"/>
              <w:spacing w:before="67" w:line="219" w:lineRule="auto"/>
              <w:rPr>
                <w:sz w:val="16"/>
                <w:szCs w:val="16"/>
              </w:rPr>
            </w:pPr>
            <w:r>
              <w:rPr>
                <w:sz w:val="16"/>
                <w:szCs w:val="16"/>
                <w:spacing w:val="-2"/>
              </w:rPr>
              <w:t>行政指导会</w:t>
            </w:r>
          </w:p>
        </w:tc>
        <w:tc>
          <w:tcPr>
            <w:tcW w:w="2257" w:type="dxa"/>
            <w:vAlign w:val="top"/>
          </w:tcPr>
          <w:p>
            <w:pPr>
              <w:pStyle w:val="TableText"/>
              <w:ind w:left="70" w:right="194" w:firstLine="50"/>
              <w:spacing w:before="87" w:line="243" w:lineRule="auto"/>
              <w:rPr>
                <w:sz w:val="16"/>
                <w:szCs w:val="16"/>
              </w:rPr>
            </w:pPr>
            <w:r>
              <w:rPr>
                <w:sz w:val="16"/>
                <w:szCs w:val="16"/>
              </w:rPr>
              <w:t>市场监管总局会同中央网信</w:t>
            </w:r>
            <w:r>
              <w:rPr>
                <w:sz w:val="16"/>
                <w:szCs w:val="16"/>
                <w:spacing w:val="10"/>
              </w:rPr>
              <w:t xml:space="preserve"> </w:t>
            </w:r>
            <w:r>
              <w:rPr>
                <w:sz w:val="16"/>
                <w:szCs w:val="16"/>
                <w:spacing w:val="2"/>
              </w:rPr>
              <w:t>办、税务总局</w:t>
            </w:r>
          </w:p>
        </w:tc>
        <w:tc>
          <w:tcPr>
            <w:tcW w:w="1758" w:type="dxa"/>
            <w:vAlign w:val="top"/>
          </w:tcPr>
          <w:p>
            <w:pPr>
              <w:pStyle w:val="TableText"/>
              <w:ind w:left="153"/>
              <w:spacing w:before="89" w:line="220" w:lineRule="auto"/>
              <w:rPr>
                <w:sz w:val="16"/>
                <w:szCs w:val="16"/>
              </w:rPr>
            </w:pPr>
            <w:r>
              <w:rPr>
                <w:sz w:val="16"/>
                <w:szCs w:val="16"/>
                <w:spacing w:val="-1"/>
              </w:rPr>
              <w:t>34家互联网平台企业</w:t>
            </w:r>
          </w:p>
        </w:tc>
        <w:tc>
          <w:tcPr>
            <w:tcW w:w="3676" w:type="dxa"/>
            <w:vAlign w:val="top"/>
          </w:tcPr>
          <w:p>
            <w:pPr>
              <w:pStyle w:val="TableText"/>
              <w:ind w:left="76" w:right="29" w:firstLine="79"/>
              <w:spacing w:before="69" w:line="267" w:lineRule="auto"/>
              <w:rPr>
                <w:sz w:val="16"/>
                <w:szCs w:val="16"/>
              </w:rPr>
            </w:pPr>
            <w:r>
              <w:rPr>
                <w:sz w:val="16"/>
                <w:szCs w:val="16"/>
                <w:spacing w:val="-1"/>
              </w:rPr>
              <w:t>会议要求平台企业做到“五个严防”和“五个确  </w:t>
            </w:r>
            <w:r>
              <w:rPr>
                <w:sz w:val="16"/>
                <w:szCs w:val="16"/>
                <w:spacing w:val="1"/>
              </w:rPr>
              <w:t>保”:严防资本无序扩张，确保经济社会安全；严</w:t>
            </w:r>
            <w:r>
              <w:rPr>
                <w:sz w:val="16"/>
                <w:szCs w:val="16"/>
                <w:spacing w:val="5"/>
              </w:rPr>
              <w:t xml:space="preserve">  </w:t>
            </w:r>
            <w:r>
              <w:rPr>
                <w:sz w:val="16"/>
                <w:szCs w:val="16"/>
                <w:spacing w:val="1"/>
              </w:rPr>
              <w:t>防垄断失序，确保市场公平竞争；严防技术扼杀，</w:t>
            </w:r>
            <w:r>
              <w:rPr>
                <w:sz w:val="16"/>
                <w:szCs w:val="16"/>
                <w:spacing w:val="17"/>
              </w:rPr>
              <w:t xml:space="preserve"> </w:t>
            </w:r>
            <w:r>
              <w:rPr>
                <w:sz w:val="16"/>
                <w:szCs w:val="16"/>
                <w:spacing w:val="-1"/>
              </w:rPr>
              <w:t>确保行业创新发展；严防规则算法滥用，确保各方</w:t>
            </w:r>
            <w:r>
              <w:rPr>
                <w:sz w:val="16"/>
                <w:szCs w:val="16"/>
                <w:spacing w:val="14"/>
              </w:rPr>
              <w:t xml:space="preserve"> </w:t>
            </w:r>
            <w:r>
              <w:rPr>
                <w:sz w:val="16"/>
                <w:szCs w:val="16"/>
                <w:spacing w:val="-1"/>
              </w:rPr>
              <w:t>合法权益；严防系统封闭，确保生态开放共享。各 </w:t>
            </w:r>
            <w:r>
              <w:rPr>
                <w:sz w:val="16"/>
                <w:szCs w:val="16"/>
                <w:spacing w:val="-1"/>
              </w:rPr>
              <w:t>平台企业要对照税收法律法规、政策制度，全面排</w:t>
            </w:r>
            <w:r>
              <w:rPr>
                <w:sz w:val="16"/>
                <w:szCs w:val="16"/>
                <w:spacing w:val="15"/>
              </w:rPr>
              <w:t xml:space="preserve"> </w:t>
            </w:r>
            <w:r>
              <w:rPr>
                <w:sz w:val="16"/>
                <w:szCs w:val="16"/>
                <w:spacing w:val="2"/>
              </w:rPr>
              <w:t>查涉税问题，主动开展自查自纠。</w:t>
            </w:r>
          </w:p>
        </w:tc>
        <w:tc>
          <w:tcPr>
            <w:tcW w:w="884" w:type="dxa"/>
            <w:vAlign w:val="top"/>
          </w:tcPr>
          <w:p>
            <w:pPr>
              <w:pStyle w:val="TableText"/>
              <w:ind w:left="89"/>
              <w:spacing w:before="88" w:line="240" w:lineRule="exact"/>
              <w:rPr>
                <w:sz w:val="16"/>
                <w:szCs w:val="16"/>
              </w:rPr>
            </w:pPr>
            <w:r>
              <w:rPr>
                <w:sz w:val="16"/>
                <w:szCs w:val="16"/>
                <w:spacing w:val="-2"/>
                <w:position w:val="5"/>
              </w:rPr>
              <w:t>2021年</w:t>
            </w:r>
          </w:p>
          <w:p>
            <w:pPr>
              <w:pStyle w:val="TableText"/>
              <w:ind w:left="89"/>
              <w:spacing w:line="219" w:lineRule="auto"/>
              <w:rPr>
                <w:sz w:val="16"/>
                <w:szCs w:val="16"/>
              </w:rPr>
            </w:pPr>
            <w:r>
              <w:rPr>
                <w:sz w:val="16"/>
                <w:szCs w:val="16"/>
                <w:spacing w:val="5"/>
              </w:rPr>
              <w:t>4月13日</w:t>
            </w:r>
          </w:p>
        </w:tc>
      </w:tr>
      <w:tr>
        <w:trPr>
          <w:trHeight w:val="2000" w:hRule="atLeast"/>
        </w:trPr>
        <w:tc>
          <w:tcPr>
            <w:tcW w:w="1034" w:type="dxa"/>
            <w:vAlign w:val="top"/>
          </w:tcPr>
          <w:p>
            <w:pPr>
              <w:pStyle w:val="TableText"/>
              <w:ind w:left="104"/>
              <w:spacing w:before="81" w:line="219" w:lineRule="auto"/>
              <w:rPr>
                <w:sz w:val="16"/>
                <w:szCs w:val="16"/>
              </w:rPr>
            </w:pPr>
            <w:r>
              <w:rPr>
                <w:sz w:val="16"/>
                <w:szCs w:val="16"/>
                <w:spacing w:val="-2"/>
              </w:rPr>
              <w:t>行政指导会</w:t>
            </w:r>
          </w:p>
        </w:tc>
        <w:tc>
          <w:tcPr>
            <w:tcW w:w="2257" w:type="dxa"/>
            <w:vAlign w:val="top"/>
          </w:tcPr>
          <w:p>
            <w:pPr>
              <w:pStyle w:val="TableText"/>
              <w:ind w:left="70"/>
              <w:spacing w:before="92" w:line="219" w:lineRule="auto"/>
              <w:rPr>
                <w:sz w:val="16"/>
                <w:szCs w:val="16"/>
              </w:rPr>
            </w:pPr>
            <w:r>
              <w:rPr>
                <w:sz w:val="16"/>
                <w:szCs w:val="16"/>
                <w:spacing w:val="-2"/>
              </w:rPr>
              <w:t>工信部</w:t>
            </w:r>
          </w:p>
        </w:tc>
        <w:tc>
          <w:tcPr>
            <w:tcW w:w="1758" w:type="dxa"/>
            <w:vAlign w:val="top"/>
          </w:tcPr>
          <w:p>
            <w:pPr>
              <w:pStyle w:val="TableText"/>
              <w:ind w:left="73" w:right="60"/>
              <w:spacing w:before="90" w:line="263" w:lineRule="auto"/>
              <w:jc w:val="both"/>
              <w:rPr>
                <w:sz w:val="16"/>
                <w:szCs w:val="16"/>
              </w:rPr>
            </w:pPr>
            <w:r>
              <w:rPr>
                <w:sz w:val="16"/>
                <w:szCs w:val="16"/>
              </w:rPr>
              <w:t>阿里巴巴、腾讯、字节</w:t>
            </w:r>
            <w:r>
              <w:rPr>
                <w:sz w:val="16"/>
                <w:szCs w:val="16"/>
                <w:spacing w:val="7"/>
              </w:rPr>
              <w:t xml:space="preserve"> </w:t>
            </w:r>
            <w:r>
              <w:rPr>
                <w:sz w:val="16"/>
                <w:szCs w:val="16"/>
                <w:spacing w:val="1"/>
              </w:rPr>
              <w:t>跳动、百度、华为、小</w:t>
            </w:r>
            <w:r>
              <w:rPr>
                <w:sz w:val="16"/>
                <w:szCs w:val="16"/>
                <w:spacing w:val="2"/>
              </w:rPr>
              <w:t xml:space="preserve"> </w:t>
            </w:r>
            <w:r>
              <w:rPr>
                <w:sz w:val="16"/>
                <w:szCs w:val="16"/>
                <w:spacing w:val="5"/>
              </w:rPr>
              <w:t>米、陌陌、360、网易</w:t>
            </w:r>
            <w:r>
              <w:rPr>
                <w:sz w:val="16"/>
                <w:szCs w:val="16"/>
              </w:rPr>
              <w:t xml:space="preserve"> </w:t>
            </w:r>
            <w:r>
              <w:rPr>
                <w:sz w:val="16"/>
                <w:szCs w:val="16"/>
              </w:rPr>
              <w:t>等平台企业</w:t>
            </w:r>
          </w:p>
        </w:tc>
        <w:tc>
          <w:tcPr>
            <w:tcW w:w="3676" w:type="dxa"/>
            <w:vAlign w:val="top"/>
          </w:tcPr>
          <w:p>
            <w:pPr>
              <w:pStyle w:val="TableText"/>
              <w:ind w:left="115"/>
              <w:spacing w:before="71" w:line="219" w:lineRule="auto"/>
              <w:rPr>
                <w:sz w:val="16"/>
                <w:szCs w:val="16"/>
              </w:rPr>
            </w:pPr>
            <w:r>
              <w:rPr>
                <w:sz w:val="16"/>
                <w:szCs w:val="16"/>
                <w:spacing w:val="1"/>
              </w:rPr>
              <w:t>会议提出有关即时通信软件的合规标准，要求9月</w:t>
            </w:r>
          </w:p>
          <w:p>
            <w:pPr>
              <w:pStyle w:val="TableText"/>
              <w:ind w:left="76" w:right="54" w:firstLine="79"/>
              <w:spacing w:before="38" w:line="271" w:lineRule="auto"/>
              <w:rPr>
                <w:sz w:val="16"/>
                <w:szCs w:val="16"/>
              </w:rPr>
            </w:pPr>
            <w:r>
              <w:rPr>
                <w:sz w:val="16"/>
                <w:szCs w:val="16"/>
              </w:rPr>
              <w:t>17日前各平台按标准解除屏蔽。对于用户分享的</w:t>
            </w:r>
            <w:r>
              <w:rPr>
                <w:sz w:val="16"/>
                <w:szCs w:val="16"/>
                <w:spacing w:val="5"/>
              </w:rPr>
              <w:t xml:space="preserve">  </w:t>
            </w:r>
            <w:r>
              <w:rPr>
                <w:sz w:val="16"/>
                <w:szCs w:val="16"/>
              </w:rPr>
              <w:t>同种类型产品或服务的网址链接，展示和访问形式</w:t>
            </w:r>
            <w:r>
              <w:rPr>
                <w:sz w:val="16"/>
                <w:szCs w:val="16"/>
                <w:spacing w:val="5"/>
              </w:rPr>
              <w:t xml:space="preserve"> </w:t>
            </w:r>
            <w:r>
              <w:rPr>
                <w:sz w:val="16"/>
                <w:szCs w:val="16"/>
              </w:rPr>
              <w:t>应保持一致；用户在即时通信中发送和接收合法网</w:t>
            </w:r>
            <w:r>
              <w:rPr>
                <w:sz w:val="16"/>
                <w:szCs w:val="16"/>
                <w:spacing w:val="14"/>
              </w:rPr>
              <w:t xml:space="preserve"> </w:t>
            </w:r>
            <w:r>
              <w:rPr>
                <w:sz w:val="16"/>
                <w:szCs w:val="16"/>
                <w:spacing w:val="-1"/>
              </w:rPr>
              <w:t>址链接，点击链接后，在应用内以页面的形式直接</w:t>
            </w:r>
            <w:r>
              <w:rPr>
                <w:sz w:val="16"/>
                <w:szCs w:val="16"/>
                <w:spacing w:val="14"/>
              </w:rPr>
              <w:t xml:space="preserve"> </w:t>
            </w:r>
            <w:r>
              <w:rPr>
                <w:sz w:val="16"/>
                <w:szCs w:val="16"/>
                <w:spacing w:val="-1"/>
              </w:rPr>
              <w:t>打开；不能对特定的产品或服务网址链接附加额外</w:t>
            </w:r>
            <w:r>
              <w:rPr>
                <w:sz w:val="16"/>
                <w:szCs w:val="16"/>
                <w:spacing w:val="12"/>
              </w:rPr>
              <w:t xml:space="preserve"> </w:t>
            </w:r>
            <w:r>
              <w:rPr>
                <w:sz w:val="16"/>
                <w:szCs w:val="16"/>
              </w:rPr>
              <w:t>的操作步骤，不能要求用户手动复制链接后转至系</w:t>
            </w:r>
            <w:r>
              <w:rPr>
                <w:sz w:val="16"/>
                <w:szCs w:val="16"/>
                <w:spacing w:val="14"/>
              </w:rPr>
              <w:t xml:space="preserve"> </w:t>
            </w:r>
            <w:r>
              <w:rPr>
                <w:sz w:val="16"/>
                <w:szCs w:val="16"/>
                <w:spacing w:val="4"/>
              </w:rPr>
              <w:t>统浏览器打开。</w:t>
            </w:r>
          </w:p>
        </w:tc>
        <w:tc>
          <w:tcPr>
            <w:tcW w:w="884" w:type="dxa"/>
            <w:vAlign w:val="top"/>
          </w:tcPr>
          <w:p>
            <w:pPr>
              <w:pStyle w:val="TableText"/>
              <w:ind w:left="89"/>
              <w:spacing w:before="92" w:line="240" w:lineRule="exact"/>
              <w:rPr>
                <w:sz w:val="16"/>
                <w:szCs w:val="16"/>
              </w:rPr>
            </w:pPr>
            <w:r>
              <w:rPr>
                <w:sz w:val="16"/>
                <w:szCs w:val="16"/>
                <w:spacing w:val="-2"/>
                <w:position w:val="5"/>
              </w:rPr>
              <w:t>2021年</w:t>
            </w:r>
          </w:p>
          <w:p>
            <w:pPr>
              <w:pStyle w:val="TableText"/>
              <w:ind w:left="89"/>
              <w:spacing w:line="219" w:lineRule="auto"/>
              <w:rPr>
                <w:sz w:val="16"/>
                <w:szCs w:val="16"/>
              </w:rPr>
            </w:pPr>
            <w:r>
              <w:rPr>
                <w:sz w:val="16"/>
                <w:szCs w:val="16"/>
                <w:spacing w:val="7"/>
              </w:rPr>
              <w:t>9月9日</w:t>
            </w:r>
          </w:p>
        </w:tc>
      </w:tr>
    </w:tbl>
    <w:p>
      <w:pPr>
        <w:pStyle w:val="BodyText"/>
        <w:rPr/>
      </w:pPr>
      <w:r/>
    </w:p>
    <w:p>
      <w:pPr>
        <w:sectPr>
          <w:footerReference w:type="default" r:id="rId2"/>
          <w:pgSz w:w="12480" w:h="7330"/>
          <w:pgMar w:top="400" w:right="414" w:bottom="400" w:left="1305" w:header="0" w:footer="0" w:gutter="0"/>
        </w:sectPr>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514"/>
        <w:spacing w:before="68" w:line="219" w:lineRule="auto"/>
        <w:rPr>
          <w:rFonts w:ascii="SimSun" w:hAnsi="SimSun" w:eastAsia="SimSun" w:cs="SimSun"/>
          <w:sz w:val="21"/>
          <w:szCs w:val="21"/>
        </w:rPr>
      </w:pPr>
      <w:r>
        <w:rPr>
          <w:rFonts w:ascii="SimSun" w:hAnsi="SimSun" w:eastAsia="SimSun" w:cs="SimSun"/>
          <w:sz w:val="21"/>
          <w:szCs w:val="21"/>
          <w:b/>
          <w:bCs/>
          <w:spacing w:val="-16"/>
        </w:rPr>
        <w:t>市场退出监管</w:t>
      </w:r>
    </w:p>
    <w:p>
      <w:pPr>
        <w:ind w:left="121" w:right="13" w:firstLine="390"/>
        <w:spacing w:before="113" w:line="309" w:lineRule="auto"/>
        <w:jc w:val="both"/>
        <w:rPr>
          <w:rFonts w:ascii="SimSun" w:hAnsi="SimSun" w:eastAsia="SimSun" w:cs="SimSun"/>
          <w:sz w:val="21"/>
          <w:szCs w:val="21"/>
        </w:rPr>
      </w:pPr>
      <w:r>
        <w:rPr>
          <w:rFonts w:ascii="SimSun" w:hAnsi="SimSun" w:eastAsia="SimSun" w:cs="SimSun"/>
          <w:sz w:val="21"/>
          <w:szCs w:val="21"/>
          <w:spacing w:val="-10"/>
        </w:rPr>
        <w:t>目前针对数字平台的市场退出，尚未建立制度化的退出机制，而</w:t>
      </w:r>
      <w:r>
        <w:rPr>
          <w:rFonts w:ascii="SimSun" w:hAnsi="SimSun" w:eastAsia="SimSun" w:cs="SimSun"/>
          <w:sz w:val="21"/>
          <w:szCs w:val="21"/>
        </w:rPr>
        <w:t xml:space="preserve"> </w:t>
      </w:r>
      <w:r>
        <w:rPr>
          <w:rFonts w:ascii="SimSun" w:hAnsi="SimSun" w:eastAsia="SimSun" w:cs="SimSun"/>
          <w:sz w:val="21"/>
          <w:szCs w:val="21"/>
          <w:spacing w:val="-8"/>
        </w:rPr>
        <w:t>主要以政策为导向。例如，针对经历了野蛮生长与整顿</w:t>
      </w:r>
      <w:r>
        <w:rPr>
          <w:rFonts w:ascii="SimSun" w:hAnsi="SimSun" w:eastAsia="SimSun" w:cs="SimSun"/>
          <w:sz w:val="21"/>
          <w:szCs w:val="21"/>
          <w:spacing w:val="-9"/>
        </w:rPr>
        <w:t>浪潮的</w:t>
      </w:r>
      <w:r>
        <w:rPr>
          <w:rFonts w:ascii="Times New Roman" w:hAnsi="Times New Roman" w:eastAsia="Times New Roman" w:cs="Times New Roman"/>
          <w:sz w:val="21"/>
          <w:szCs w:val="21"/>
          <w:spacing w:val="-9"/>
        </w:rPr>
        <w:t>P2P</w:t>
      </w:r>
      <w:r>
        <w:rPr>
          <w:rFonts w:ascii="SimSun" w:hAnsi="SimSun" w:eastAsia="SimSun" w:cs="SimSun"/>
          <w:sz w:val="21"/>
          <w:szCs w:val="21"/>
          <w:spacing w:val="-9"/>
        </w:rPr>
        <w:t>网</w:t>
      </w:r>
      <w:r>
        <w:rPr>
          <w:rFonts w:ascii="SimSun" w:hAnsi="SimSun" w:eastAsia="SimSun" w:cs="SimSun"/>
          <w:sz w:val="21"/>
          <w:szCs w:val="21"/>
        </w:rPr>
        <w:t xml:space="preserve"> </w:t>
      </w:r>
      <w:r>
        <w:rPr>
          <w:rFonts w:ascii="SimSun" w:hAnsi="SimSun" w:eastAsia="SimSun" w:cs="SimSun"/>
          <w:sz w:val="21"/>
          <w:szCs w:val="21"/>
          <w:spacing w:val="1"/>
        </w:rPr>
        <w:t>贷平台，2021年4月15日，央行在微信公众号</w:t>
      </w:r>
      <w:r>
        <w:rPr>
          <w:rFonts w:ascii="SimSun" w:hAnsi="SimSun" w:eastAsia="SimSun" w:cs="SimSun"/>
          <w:sz w:val="21"/>
          <w:szCs w:val="21"/>
        </w:rPr>
        <w:t>上发表《打好防范化 </w:t>
      </w:r>
      <w:r>
        <w:rPr>
          <w:rFonts w:ascii="SimSun" w:hAnsi="SimSun" w:eastAsia="SimSun" w:cs="SimSun"/>
          <w:sz w:val="21"/>
          <w:szCs w:val="21"/>
          <w:spacing w:val="-3"/>
        </w:rPr>
        <w:t>解重大金融风险攻坚战切实维护金融安全》一文</w:t>
      </w:r>
      <w:r>
        <w:rPr>
          <w:rFonts w:ascii="SimSun" w:hAnsi="SimSun" w:eastAsia="SimSun" w:cs="SimSun"/>
          <w:sz w:val="21"/>
          <w:szCs w:val="21"/>
          <w:spacing w:val="-4"/>
        </w:rPr>
        <w:t>，宣布所有在营的</w:t>
      </w:r>
      <w:r>
        <w:rPr>
          <w:rFonts w:ascii="SimSun" w:hAnsi="SimSun" w:eastAsia="SimSun" w:cs="SimSun"/>
          <w:sz w:val="21"/>
          <w:szCs w:val="21"/>
        </w:rPr>
        <w:t xml:space="preserve"> </w:t>
      </w:r>
      <w:r>
        <w:rPr>
          <w:rFonts w:ascii="Times New Roman" w:hAnsi="Times New Roman" w:eastAsia="Times New Roman" w:cs="Times New Roman"/>
          <w:sz w:val="21"/>
          <w:szCs w:val="21"/>
          <w:spacing w:val="-9"/>
        </w:rPr>
        <w:t>P2P</w:t>
      </w:r>
      <w:r>
        <w:rPr>
          <w:rFonts w:ascii="SimSun" w:hAnsi="SimSun" w:eastAsia="SimSun" w:cs="SimSun"/>
          <w:sz w:val="21"/>
          <w:szCs w:val="21"/>
          <w:spacing w:val="-9"/>
        </w:rPr>
        <w:t>网贷机构将全部停业， </w:t>
      </w:r>
      <w:r>
        <w:rPr>
          <w:rFonts w:ascii="Times New Roman" w:hAnsi="Times New Roman" w:eastAsia="Times New Roman" w:cs="Times New Roman"/>
          <w:sz w:val="21"/>
          <w:szCs w:val="21"/>
          <w:spacing w:val="-9"/>
        </w:rPr>
        <w:t>P2P </w:t>
      </w:r>
      <w:r>
        <w:rPr>
          <w:rFonts w:ascii="SimSun" w:hAnsi="SimSun" w:eastAsia="SimSun" w:cs="SimSun"/>
          <w:sz w:val="21"/>
          <w:szCs w:val="21"/>
          <w:spacing w:val="-9"/>
        </w:rPr>
        <w:t>网贷平台从此退出市场。再如，202</w:t>
      </w: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年7月9日，国家互联网信息办公室发布公告，</w:t>
      </w:r>
      <w:r>
        <w:rPr>
          <w:rFonts w:ascii="SimSun" w:hAnsi="SimSun" w:eastAsia="SimSun" w:cs="SimSun"/>
          <w:sz w:val="21"/>
          <w:szCs w:val="21"/>
          <w:spacing w:val="-4"/>
        </w:rPr>
        <w:t>根据举报，经检测核</w:t>
      </w:r>
      <w:r>
        <w:rPr>
          <w:rFonts w:ascii="SimSun" w:hAnsi="SimSun" w:eastAsia="SimSun" w:cs="SimSun"/>
          <w:sz w:val="21"/>
          <w:szCs w:val="21"/>
        </w:rPr>
        <w:t xml:space="preserve"> </w:t>
      </w:r>
      <w:r>
        <w:rPr>
          <w:rFonts w:ascii="SimSun" w:hAnsi="SimSun" w:eastAsia="SimSun" w:cs="SimSun"/>
          <w:sz w:val="21"/>
          <w:szCs w:val="21"/>
          <w:spacing w:val="-8"/>
        </w:rPr>
        <w:t>实，“滴滴企业版”等25款</w:t>
      </w:r>
      <w:r>
        <w:rPr>
          <w:rFonts w:ascii="Times New Roman" w:hAnsi="Times New Roman" w:eastAsia="Times New Roman" w:cs="Times New Roman"/>
          <w:sz w:val="21"/>
          <w:szCs w:val="21"/>
          <w:spacing w:val="-8"/>
        </w:rPr>
        <w:t>App</w:t>
      </w:r>
      <w:r>
        <w:rPr>
          <w:rFonts w:ascii="SimSun" w:hAnsi="SimSun" w:eastAsia="SimSun" w:cs="SimSun"/>
          <w:sz w:val="21"/>
          <w:szCs w:val="21"/>
          <w:spacing w:val="-8"/>
        </w:rPr>
        <w:t>存在严重违法违规收集使用个人信息</w:t>
      </w:r>
      <w:r>
        <w:rPr>
          <w:rFonts w:ascii="SimSun" w:hAnsi="SimSun" w:eastAsia="SimSun" w:cs="SimSun"/>
          <w:sz w:val="21"/>
          <w:szCs w:val="21"/>
          <w:spacing w:val="8"/>
        </w:rPr>
        <w:t xml:space="preserve"> </w:t>
      </w:r>
      <w:r>
        <w:rPr>
          <w:rFonts w:ascii="SimSun" w:hAnsi="SimSun" w:eastAsia="SimSun" w:cs="SimSun"/>
          <w:sz w:val="21"/>
          <w:szCs w:val="21"/>
          <w:spacing w:val="-10"/>
        </w:rPr>
        <w:t>问题。国家互联网信息办公室依据《中华人民共和国网络</w:t>
      </w:r>
      <w:r>
        <w:rPr>
          <w:rFonts w:ascii="SimSun" w:hAnsi="SimSun" w:eastAsia="SimSun" w:cs="SimSun"/>
          <w:sz w:val="21"/>
          <w:szCs w:val="21"/>
          <w:spacing w:val="-11"/>
        </w:rPr>
        <w:t>安全法》相</w:t>
      </w:r>
      <w:r>
        <w:rPr>
          <w:rFonts w:ascii="SimSun" w:hAnsi="SimSun" w:eastAsia="SimSun" w:cs="SimSun"/>
          <w:sz w:val="21"/>
          <w:szCs w:val="21"/>
        </w:rPr>
        <w:t xml:space="preserve"> </w:t>
      </w:r>
      <w:r>
        <w:rPr>
          <w:rFonts w:ascii="SimSun" w:hAnsi="SimSun" w:eastAsia="SimSun" w:cs="SimSun"/>
          <w:sz w:val="21"/>
          <w:szCs w:val="21"/>
          <w:spacing w:val="1"/>
        </w:rPr>
        <w:t>关规定，通知应用商店下架上述25款</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w:t>
      </w:r>
      <w:r>
        <w:rPr>
          <w:rFonts w:ascii="SimSun" w:hAnsi="SimSun" w:eastAsia="SimSun" w:cs="SimSun"/>
          <w:sz w:val="21"/>
          <w:szCs w:val="21"/>
          <w:spacing w:val="1"/>
        </w:rPr>
        <w:t>要求相关运营者严格按</w:t>
      </w:r>
      <w:r>
        <w:rPr>
          <w:rFonts w:ascii="SimSun" w:hAnsi="SimSun" w:eastAsia="SimSun" w:cs="SimSun"/>
          <w:sz w:val="21"/>
          <w:szCs w:val="21"/>
        </w:rPr>
        <w:t xml:space="preserve"> </w:t>
      </w:r>
      <w:r>
        <w:rPr>
          <w:rFonts w:ascii="SimSun" w:hAnsi="SimSun" w:eastAsia="SimSun" w:cs="SimSun"/>
          <w:sz w:val="21"/>
          <w:szCs w:val="21"/>
          <w:spacing w:val="-10"/>
        </w:rPr>
        <w:t>照法律要求，参照国家有关标准，认真整改存在</w:t>
      </w:r>
      <w:r>
        <w:rPr>
          <w:rFonts w:ascii="SimSun" w:hAnsi="SimSun" w:eastAsia="SimSun" w:cs="SimSun"/>
          <w:sz w:val="21"/>
          <w:szCs w:val="21"/>
          <w:spacing w:val="-11"/>
        </w:rPr>
        <w:t>的问题，切实保障广</w:t>
      </w:r>
      <w:r>
        <w:rPr>
          <w:rFonts w:ascii="SimSun" w:hAnsi="SimSun" w:eastAsia="SimSun" w:cs="SimSun"/>
          <w:sz w:val="21"/>
          <w:szCs w:val="21"/>
        </w:rPr>
        <w:t xml:space="preserve"> </w:t>
      </w:r>
      <w:r>
        <w:rPr>
          <w:rFonts w:ascii="SimSun" w:hAnsi="SimSun" w:eastAsia="SimSun" w:cs="SimSun"/>
          <w:sz w:val="21"/>
          <w:szCs w:val="21"/>
          <w:spacing w:val="-11"/>
        </w:rPr>
        <w:t>大用户的个人信息安全。各网站、平台不得为滴滴出行和滴滴企业版</w:t>
      </w:r>
      <w:r>
        <w:rPr>
          <w:rFonts w:ascii="SimSun" w:hAnsi="SimSun" w:eastAsia="SimSun" w:cs="SimSun"/>
          <w:sz w:val="21"/>
          <w:szCs w:val="21"/>
          <w:spacing w:val="16"/>
        </w:rPr>
        <w:t xml:space="preserve"> </w:t>
      </w:r>
      <w:r>
        <w:rPr>
          <w:rFonts w:ascii="SimSun" w:hAnsi="SimSun" w:eastAsia="SimSun" w:cs="SimSun"/>
          <w:sz w:val="21"/>
          <w:szCs w:val="21"/>
          <w:spacing w:val="-2"/>
        </w:rPr>
        <w:t>等上述25款已在应用商店下架的App</w:t>
      </w:r>
      <w:r>
        <w:rPr>
          <w:rFonts w:ascii="SimSun" w:hAnsi="SimSun" w:eastAsia="SimSun" w:cs="SimSun"/>
          <w:sz w:val="21"/>
          <w:szCs w:val="21"/>
          <w:spacing w:val="-28"/>
        </w:rPr>
        <w:t xml:space="preserve"> </w:t>
      </w:r>
      <w:r>
        <w:rPr>
          <w:rFonts w:ascii="SimSun" w:hAnsi="SimSun" w:eastAsia="SimSun" w:cs="SimSun"/>
          <w:sz w:val="21"/>
          <w:szCs w:val="21"/>
          <w:spacing w:val="-2"/>
        </w:rPr>
        <w:t>提供</w:t>
      </w:r>
      <w:r>
        <w:rPr>
          <w:rFonts w:ascii="SimSun" w:hAnsi="SimSun" w:eastAsia="SimSun" w:cs="SimSun"/>
          <w:sz w:val="21"/>
          <w:szCs w:val="21"/>
          <w:spacing w:val="-3"/>
        </w:rPr>
        <w:t>访问和下载服务，也就是</w:t>
      </w:r>
      <w:r>
        <w:rPr>
          <w:rFonts w:ascii="SimSun" w:hAnsi="SimSun" w:eastAsia="SimSun" w:cs="SimSun"/>
          <w:sz w:val="21"/>
          <w:szCs w:val="21"/>
        </w:rPr>
        <w:t xml:space="preserve"> </w:t>
      </w:r>
      <w:r>
        <w:rPr>
          <w:rFonts w:ascii="SimSun" w:hAnsi="SimSun" w:eastAsia="SimSun" w:cs="SimSun"/>
          <w:sz w:val="21"/>
          <w:szCs w:val="21"/>
          <w:spacing w:val="-13"/>
        </w:rPr>
        <w:t>说在下架期间，滴滴出行相关平台无法再在国内拓展新的市场。</w:t>
      </w:r>
    </w:p>
    <w:p>
      <w:pPr>
        <w:pStyle w:val="BodyText"/>
        <w:spacing w:line="364" w:lineRule="auto"/>
        <w:rPr/>
      </w:pPr>
      <w:r/>
    </w:p>
    <w:p>
      <w:pPr>
        <w:ind w:left="1066"/>
        <w:spacing w:before="104" w:line="708" w:lineRule="exact"/>
        <w:rPr>
          <w:rFonts w:ascii="SimSun" w:hAnsi="SimSun" w:eastAsia="SimSun" w:cs="SimSun"/>
          <w:sz w:val="32"/>
          <w:szCs w:val="32"/>
        </w:rPr>
      </w:pPr>
      <w:r>
        <w:rPr>
          <w:rFonts w:ascii="SimSun" w:hAnsi="SimSun" w:eastAsia="SimSun" w:cs="SimSun"/>
          <w:sz w:val="32"/>
          <w:szCs w:val="32"/>
          <w:b/>
          <w:bCs/>
          <w:spacing w:val="-5"/>
          <w:position w:val="29"/>
        </w:rPr>
        <w:t>平台反垄断的执法现状和焦点</w:t>
      </w:r>
    </w:p>
    <w:p>
      <w:pPr>
        <w:spacing w:line="222" w:lineRule="auto"/>
        <w:rPr>
          <w:rFonts w:ascii="SimHei" w:hAnsi="SimHei" w:eastAsia="SimHei" w:cs="SimHei"/>
          <w:sz w:val="25"/>
          <w:szCs w:val="25"/>
        </w:rPr>
      </w:pPr>
      <w:r>
        <w:rPr>
          <w:rFonts w:ascii="SimHei" w:hAnsi="SimHei" w:eastAsia="SimHei" w:cs="SimHei"/>
          <w:sz w:val="25"/>
          <w:szCs w:val="25"/>
          <w:b/>
          <w:bCs/>
          <w:spacing w:val="-17"/>
        </w:rPr>
        <w:t>“二选一”问题</w:t>
      </w:r>
    </w:p>
    <w:p>
      <w:pPr>
        <w:pStyle w:val="BodyText"/>
        <w:spacing w:line="347" w:lineRule="auto"/>
        <w:rPr/>
      </w:pPr>
      <w:r/>
    </w:p>
    <w:p>
      <w:pPr>
        <w:ind w:left="514"/>
        <w:spacing w:before="69" w:line="219" w:lineRule="auto"/>
        <w:rPr>
          <w:rFonts w:ascii="SimSun" w:hAnsi="SimSun" w:eastAsia="SimSun" w:cs="SimSun"/>
          <w:sz w:val="21"/>
          <w:szCs w:val="21"/>
        </w:rPr>
      </w:pPr>
      <w:r>
        <w:rPr>
          <w:rFonts w:ascii="SimSun" w:hAnsi="SimSun" w:eastAsia="SimSun" w:cs="SimSun"/>
          <w:sz w:val="21"/>
          <w:szCs w:val="21"/>
          <w:b/>
          <w:bCs/>
          <w:spacing w:val="-12"/>
        </w:rPr>
        <w:t>行为解构与分析框架</w:t>
      </w:r>
    </w:p>
    <w:p>
      <w:pPr>
        <w:ind w:left="121" w:firstLine="390"/>
        <w:spacing w:before="112" w:line="303" w:lineRule="auto"/>
        <w:jc w:val="both"/>
        <w:rPr>
          <w:rFonts w:ascii="SimSun" w:hAnsi="SimSun" w:eastAsia="SimSun" w:cs="SimSun"/>
          <w:sz w:val="21"/>
          <w:szCs w:val="21"/>
        </w:rPr>
      </w:pPr>
      <w:r>
        <w:rPr>
          <w:rFonts w:ascii="SimSun" w:hAnsi="SimSun" w:eastAsia="SimSun" w:cs="SimSun"/>
          <w:sz w:val="21"/>
          <w:szCs w:val="21"/>
          <w:spacing w:val="-9"/>
        </w:rPr>
        <w:t>从最广泛的意义上讲，“平台”是两个或两个以上不同类型的用</w:t>
      </w:r>
      <w:r>
        <w:rPr>
          <w:rFonts w:ascii="SimSun" w:hAnsi="SimSun" w:eastAsia="SimSun" w:cs="SimSun"/>
          <w:sz w:val="21"/>
          <w:szCs w:val="21"/>
          <w:spacing w:val="5"/>
        </w:rPr>
        <w:t xml:space="preserve"> </w:t>
      </w:r>
      <w:r>
        <w:rPr>
          <w:rFonts w:ascii="SimSun" w:hAnsi="SimSun" w:eastAsia="SimSun" w:cs="SimSun"/>
          <w:sz w:val="21"/>
          <w:szCs w:val="21"/>
          <w:spacing w:val="-4"/>
        </w:rPr>
        <w:t>户(例如买方和卖方)交换商品、服务、信息等的市场。这一市场既</w:t>
      </w:r>
      <w:r>
        <w:rPr>
          <w:rFonts w:ascii="SimSun" w:hAnsi="SimSun" w:eastAsia="SimSun" w:cs="SimSun"/>
          <w:sz w:val="21"/>
          <w:szCs w:val="21"/>
          <w:spacing w:val="18"/>
        </w:rPr>
        <w:t xml:space="preserve"> </w:t>
      </w:r>
      <w:r>
        <w:rPr>
          <w:rFonts w:ascii="SimSun" w:hAnsi="SimSun" w:eastAsia="SimSun" w:cs="SimSun"/>
          <w:sz w:val="21"/>
          <w:szCs w:val="21"/>
          <w:spacing w:val="-10"/>
        </w:rPr>
        <w:t>可以是线上数字平台，也可以是线下实体市场。随着互联网技术、软</w:t>
      </w:r>
      <w:r>
        <w:rPr>
          <w:rFonts w:ascii="SimSun" w:hAnsi="SimSun" w:eastAsia="SimSun" w:cs="SimSun"/>
          <w:sz w:val="21"/>
          <w:szCs w:val="21"/>
          <w:spacing w:val="8"/>
        </w:rPr>
        <w:t xml:space="preserve"> </w:t>
      </w:r>
      <w:r>
        <w:rPr>
          <w:rFonts w:ascii="SimSun" w:hAnsi="SimSun" w:eastAsia="SimSun" w:cs="SimSun"/>
          <w:sz w:val="21"/>
          <w:szCs w:val="21"/>
          <w:spacing w:val="-11"/>
        </w:rPr>
        <w:t>件技术、信息技术的发展，平台超越了物理场所的限制，更多以线上</w:t>
      </w:r>
      <w:r>
        <w:rPr>
          <w:rFonts w:ascii="SimSun" w:hAnsi="SimSun" w:eastAsia="SimSun" w:cs="SimSun"/>
          <w:sz w:val="21"/>
          <w:szCs w:val="21"/>
          <w:spacing w:val="17"/>
        </w:rPr>
        <w:t xml:space="preserve"> </w:t>
      </w:r>
      <w:r>
        <w:rPr>
          <w:rFonts w:ascii="SimSun" w:hAnsi="SimSun" w:eastAsia="SimSun" w:cs="SimSun"/>
          <w:sz w:val="21"/>
          <w:szCs w:val="21"/>
          <w:spacing w:val="-10"/>
        </w:rPr>
        <w:t>数字平台的形式存在，平台本身发展成一种商业模式，在社会生活中</w:t>
      </w:r>
      <w:r>
        <w:rPr>
          <w:rFonts w:ascii="SimSun" w:hAnsi="SimSun" w:eastAsia="SimSun" w:cs="SimSun"/>
          <w:sz w:val="21"/>
          <w:szCs w:val="21"/>
        </w:rPr>
        <w:t xml:space="preserve"> </w:t>
      </w:r>
      <w:r>
        <w:rPr>
          <w:rFonts w:ascii="SimSun" w:hAnsi="SimSun" w:eastAsia="SimSun" w:cs="SimSun"/>
          <w:sz w:val="21"/>
          <w:szCs w:val="21"/>
          <w:spacing w:val="-10"/>
        </w:rPr>
        <w:t>发挥日益重要的作用。在平台发展的背景下，“二选一”也重新走入</w:t>
      </w:r>
      <w:r>
        <w:rPr>
          <w:rFonts w:ascii="SimSun" w:hAnsi="SimSun" w:eastAsia="SimSun" w:cs="SimSun"/>
          <w:sz w:val="21"/>
          <w:szCs w:val="21"/>
          <w:spacing w:val="7"/>
        </w:rPr>
        <w:t xml:space="preserve"> </w:t>
      </w:r>
      <w:r>
        <w:rPr>
          <w:rFonts w:ascii="SimSun" w:hAnsi="SimSun" w:eastAsia="SimSun" w:cs="SimSun"/>
          <w:sz w:val="21"/>
          <w:szCs w:val="21"/>
          <w:spacing w:val="-10"/>
        </w:rPr>
        <w:t>了人们的视野。“二选一”是一种通俗的说法，是指平台要求</w:t>
      </w:r>
      <w:r>
        <w:rPr>
          <w:rFonts w:ascii="SimSun" w:hAnsi="SimSun" w:eastAsia="SimSun" w:cs="SimSun"/>
          <w:sz w:val="21"/>
          <w:szCs w:val="21"/>
          <w:spacing w:val="-11"/>
        </w:rPr>
        <w:t>交易对</w:t>
      </w:r>
    </w:p>
    <w:p>
      <w:pPr>
        <w:spacing w:line="303" w:lineRule="auto"/>
        <w:sectPr>
          <w:headerReference w:type="default" r:id="rId469"/>
          <w:pgSz w:w="7330" w:h="12480"/>
          <w:pgMar w:top="829" w:right="755" w:bottom="400" w:left="428" w:header="641"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firstLine="104"/>
        <w:spacing w:before="68" w:line="292" w:lineRule="auto"/>
        <w:jc w:val="both"/>
        <w:rPr>
          <w:rFonts w:ascii="SimSun" w:hAnsi="SimSun" w:eastAsia="SimSun" w:cs="SimSun"/>
          <w:sz w:val="21"/>
          <w:szCs w:val="21"/>
        </w:rPr>
      </w:pPr>
      <w:r>
        <w:rPr>
          <w:rFonts w:ascii="SimSun" w:hAnsi="SimSun" w:eastAsia="SimSun" w:cs="SimSun"/>
          <w:sz w:val="21"/>
          <w:szCs w:val="21"/>
          <w:spacing w:val="-7"/>
        </w:rPr>
        <w:t>象或者消费者必须使用本平台，而不得使用与其相竞</w:t>
      </w:r>
      <w:r>
        <w:rPr>
          <w:rFonts w:ascii="SimSun" w:hAnsi="SimSun" w:eastAsia="SimSun" w:cs="SimSun"/>
          <w:sz w:val="21"/>
          <w:szCs w:val="21"/>
          <w:spacing w:val="-8"/>
        </w:rPr>
        <w:t>争的其他平台，</w:t>
      </w:r>
      <w:r>
        <w:rPr>
          <w:rFonts w:ascii="SimSun" w:hAnsi="SimSun" w:eastAsia="SimSun" w:cs="SimSun"/>
          <w:sz w:val="21"/>
          <w:szCs w:val="21"/>
        </w:rPr>
        <w:t xml:space="preserve">  </w:t>
      </w:r>
      <w:r>
        <w:rPr>
          <w:rFonts w:ascii="SimSun" w:hAnsi="SimSun" w:eastAsia="SimSun" w:cs="SimSun"/>
          <w:sz w:val="21"/>
          <w:szCs w:val="21"/>
          <w:spacing w:val="-11"/>
        </w:rPr>
        <w:t>“二选一”有时也是“多选一”。虽然“二选一”本身并不是新现象，</w:t>
      </w:r>
      <w:r>
        <w:rPr>
          <w:rFonts w:ascii="SimSun" w:hAnsi="SimSun" w:eastAsia="SimSun" w:cs="SimSun"/>
          <w:sz w:val="21"/>
          <w:szCs w:val="21"/>
        </w:rPr>
        <w:t xml:space="preserve">  </w:t>
      </w:r>
      <w:r>
        <w:rPr>
          <w:rFonts w:ascii="SimSun" w:hAnsi="SimSun" w:eastAsia="SimSun" w:cs="SimSun"/>
          <w:sz w:val="21"/>
          <w:szCs w:val="21"/>
          <w:spacing w:val="-1"/>
        </w:rPr>
        <w:t>但随着平台经济的发展，尤其是2010年奇虎诉腾讯</w:t>
      </w:r>
      <w:r>
        <w:rPr>
          <w:rFonts w:ascii="SimSun" w:hAnsi="SimSun" w:eastAsia="SimSun" w:cs="SimSun"/>
          <w:sz w:val="21"/>
          <w:szCs w:val="21"/>
          <w:spacing w:val="-2"/>
        </w:rPr>
        <w:t>以来，“二选一</w:t>
      </w:r>
      <w:r>
        <w:rPr>
          <w:rFonts w:ascii="SimSun" w:hAnsi="SimSun" w:eastAsia="SimSun" w:cs="SimSun"/>
          <w:sz w:val="21"/>
          <w:szCs w:val="21"/>
          <w:spacing w:val="-78"/>
        </w:rPr>
        <w:t xml:space="preserve"> </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7"/>
        </w:rPr>
        <w:t>现象不仅为法学界所热议，在整个社会也引起了人们的广泛关注。</w:t>
      </w:r>
    </w:p>
    <w:p>
      <w:pPr>
        <w:ind w:right="143" w:firstLine="439"/>
        <w:spacing w:before="96" w:line="308" w:lineRule="auto"/>
        <w:jc w:val="both"/>
        <w:rPr>
          <w:rFonts w:ascii="SimSun" w:hAnsi="SimSun" w:eastAsia="SimSun" w:cs="SimSun"/>
          <w:sz w:val="21"/>
          <w:szCs w:val="21"/>
        </w:rPr>
      </w:pPr>
      <w:r>
        <w:rPr>
          <w:rFonts w:ascii="SimSun" w:hAnsi="SimSun" w:eastAsia="SimSun" w:cs="SimSun"/>
          <w:sz w:val="21"/>
          <w:szCs w:val="21"/>
          <w:spacing w:val="-6"/>
        </w:rPr>
        <w:t>“二选一”的实施方式多种多样，其含义也</w:t>
      </w:r>
      <w:r>
        <w:rPr>
          <w:rFonts w:ascii="SimSun" w:hAnsi="SimSun" w:eastAsia="SimSun" w:cs="SimSun"/>
          <w:sz w:val="21"/>
          <w:szCs w:val="21"/>
          <w:spacing w:val="-7"/>
        </w:rPr>
        <w:t>在不断变化。从实施</w:t>
      </w:r>
      <w:r>
        <w:rPr>
          <w:rFonts w:ascii="SimSun" w:hAnsi="SimSun" w:eastAsia="SimSun" w:cs="SimSun"/>
          <w:sz w:val="21"/>
          <w:szCs w:val="21"/>
        </w:rPr>
        <w:t xml:space="preserve"> </w:t>
      </w:r>
      <w:r>
        <w:rPr>
          <w:rFonts w:ascii="SimSun" w:hAnsi="SimSun" w:eastAsia="SimSun" w:cs="SimSun"/>
          <w:sz w:val="21"/>
          <w:szCs w:val="21"/>
          <w:spacing w:val="-7"/>
        </w:rPr>
        <w:t>“二选一”的平台类型看，既有网络购物平台，也有外卖平台，既有</w:t>
      </w:r>
      <w:r>
        <w:rPr>
          <w:rFonts w:ascii="SimSun" w:hAnsi="SimSun" w:eastAsia="SimSun" w:cs="SimSun"/>
          <w:sz w:val="21"/>
          <w:szCs w:val="21"/>
          <w:spacing w:val="4"/>
        </w:rPr>
        <w:t xml:space="preserve"> </w:t>
      </w:r>
      <w:r>
        <w:rPr>
          <w:rFonts w:ascii="SimSun" w:hAnsi="SimSun" w:eastAsia="SimSun" w:cs="SimSun"/>
          <w:sz w:val="21"/>
          <w:szCs w:val="21"/>
        </w:rPr>
        <w:t>视频聚合平台，也有应用软件平台；从平台“二选一”的实施对象</w:t>
      </w:r>
      <w:r>
        <w:rPr>
          <w:rFonts w:ascii="SimSun" w:hAnsi="SimSun" w:eastAsia="SimSun" w:cs="SimSun"/>
          <w:sz w:val="21"/>
          <w:szCs w:val="21"/>
          <w:spacing w:val="2"/>
        </w:rPr>
        <w:t xml:space="preserve"> </w:t>
      </w:r>
      <w:r>
        <w:rPr>
          <w:rFonts w:ascii="SimSun" w:hAnsi="SimSun" w:eastAsia="SimSun" w:cs="SimSun"/>
          <w:sz w:val="21"/>
          <w:szCs w:val="21"/>
          <w:spacing w:val="-7"/>
        </w:rPr>
        <w:t>看，既有针对终端消费者的，也有针对接入平台商户的；从平台“二</w:t>
      </w:r>
      <w:r>
        <w:rPr>
          <w:rFonts w:ascii="SimSun" w:hAnsi="SimSun" w:eastAsia="SimSun" w:cs="SimSun"/>
          <w:sz w:val="21"/>
          <w:szCs w:val="21"/>
          <w:spacing w:val="4"/>
        </w:rPr>
        <w:t xml:space="preserve"> </w:t>
      </w:r>
      <w:r>
        <w:rPr>
          <w:rFonts w:ascii="SimSun" w:hAnsi="SimSun" w:eastAsia="SimSun" w:cs="SimSun"/>
          <w:sz w:val="21"/>
          <w:szCs w:val="21"/>
          <w:spacing w:val="-6"/>
        </w:rPr>
        <w:t>选一”的实施内容看，既有针对网络服务的，也</w:t>
      </w:r>
      <w:r>
        <w:rPr>
          <w:rFonts w:ascii="SimSun" w:hAnsi="SimSun" w:eastAsia="SimSun" w:cs="SimSun"/>
          <w:sz w:val="21"/>
          <w:szCs w:val="21"/>
          <w:spacing w:val="-7"/>
        </w:rPr>
        <w:t>有针对软件产品或内</w:t>
      </w:r>
      <w:r>
        <w:rPr>
          <w:rFonts w:ascii="SimSun" w:hAnsi="SimSun" w:eastAsia="SimSun" w:cs="SimSun"/>
          <w:sz w:val="21"/>
          <w:szCs w:val="21"/>
        </w:rPr>
        <w:t xml:space="preserve"> </w:t>
      </w:r>
      <w:r>
        <w:rPr>
          <w:rFonts w:ascii="SimSun" w:hAnsi="SimSun" w:eastAsia="SimSun" w:cs="SimSun"/>
          <w:sz w:val="21"/>
          <w:szCs w:val="21"/>
          <w:spacing w:val="-7"/>
        </w:rPr>
        <w:t>容产品的；从“二选一”的限制程度看，各平台“二选一”也存在不</w:t>
      </w:r>
      <w:r>
        <w:rPr>
          <w:rFonts w:ascii="SimSun" w:hAnsi="SimSun" w:eastAsia="SimSun" w:cs="SimSun"/>
          <w:sz w:val="21"/>
          <w:szCs w:val="21"/>
          <w:spacing w:val="4"/>
        </w:rPr>
        <w:t xml:space="preserve"> </w:t>
      </w:r>
      <w:r>
        <w:rPr>
          <w:rFonts w:ascii="SimSun" w:hAnsi="SimSun" w:eastAsia="SimSun" w:cs="SimSun"/>
          <w:sz w:val="21"/>
          <w:szCs w:val="21"/>
          <w:spacing w:val="-7"/>
        </w:rPr>
        <w:t>同，如电商平台针对入驻商家关于技术服务的“二选一”存在不同的</w:t>
      </w:r>
      <w:r>
        <w:rPr>
          <w:rFonts w:ascii="SimSun" w:hAnsi="SimSun" w:eastAsia="SimSun" w:cs="SimSun"/>
          <w:sz w:val="21"/>
          <w:szCs w:val="21"/>
          <w:spacing w:val="9"/>
        </w:rPr>
        <w:t xml:space="preserve"> </w:t>
      </w:r>
      <w:r>
        <w:rPr>
          <w:rFonts w:ascii="SimSun" w:hAnsi="SimSun" w:eastAsia="SimSun" w:cs="SimSun"/>
          <w:sz w:val="21"/>
          <w:szCs w:val="21"/>
          <w:spacing w:val="-7"/>
        </w:rPr>
        <w:t>限制程度，有要求特定商家只能接入其平台而不得接入其他平台，也</w:t>
      </w:r>
      <w:r>
        <w:rPr>
          <w:rFonts w:ascii="SimSun" w:hAnsi="SimSun" w:eastAsia="SimSun" w:cs="SimSun"/>
          <w:sz w:val="21"/>
          <w:szCs w:val="21"/>
          <w:spacing w:val="5"/>
        </w:rPr>
        <w:t xml:space="preserve"> </w:t>
      </w:r>
      <w:r>
        <w:rPr>
          <w:rFonts w:ascii="SimSun" w:hAnsi="SimSun" w:eastAsia="SimSun" w:cs="SimSun"/>
          <w:sz w:val="21"/>
          <w:szCs w:val="21"/>
          <w:spacing w:val="-7"/>
        </w:rPr>
        <w:t>有允许特定商家接入其他平台但要求其营销活动必须在本平台，还有</w:t>
      </w:r>
      <w:r>
        <w:rPr>
          <w:rFonts w:ascii="SimSun" w:hAnsi="SimSun" w:eastAsia="SimSun" w:cs="SimSun"/>
          <w:sz w:val="21"/>
          <w:szCs w:val="21"/>
          <w:spacing w:val="4"/>
        </w:rPr>
        <w:t xml:space="preserve"> </w:t>
      </w:r>
      <w:r>
        <w:rPr>
          <w:rFonts w:ascii="SimSun" w:hAnsi="SimSun" w:eastAsia="SimSun" w:cs="SimSun"/>
          <w:sz w:val="21"/>
          <w:szCs w:val="21"/>
          <w:spacing w:val="-7"/>
        </w:rPr>
        <w:t>允许特定商家接入其他平台且允许商家在其他平台做营销活动，但要</w:t>
      </w:r>
      <w:r>
        <w:rPr>
          <w:rFonts w:ascii="SimSun" w:hAnsi="SimSun" w:eastAsia="SimSun" w:cs="SimSun"/>
          <w:sz w:val="21"/>
          <w:szCs w:val="21"/>
          <w:spacing w:val="4"/>
        </w:rPr>
        <w:t xml:space="preserve"> </w:t>
      </w:r>
      <w:r>
        <w:rPr>
          <w:rFonts w:ascii="SimSun" w:hAnsi="SimSun" w:eastAsia="SimSun" w:cs="SimSun"/>
          <w:sz w:val="21"/>
          <w:szCs w:val="21"/>
          <w:spacing w:val="-6"/>
        </w:rPr>
        <w:t>求特定活动日的营销活动限定于本平台。</w:t>
      </w:r>
    </w:p>
    <w:p>
      <w:pPr>
        <w:ind w:left="105" w:right="162" w:firstLine="439"/>
        <w:spacing w:before="128" w:line="297" w:lineRule="auto"/>
        <w:jc w:val="both"/>
        <w:rPr>
          <w:rFonts w:ascii="SimSun" w:hAnsi="SimSun" w:eastAsia="SimSun" w:cs="SimSun"/>
          <w:sz w:val="21"/>
          <w:szCs w:val="21"/>
        </w:rPr>
      </w:pPr>
      <w:r>
        <w:rPr>
          <w:rFonts w:ascii="SimSun" w:hAnsi="SimSun" w:eastAsia="SimSun" w:cs="SimSun"/>
          <w:sz w:val="21"/>
          <w:szCs w:val="21"/>
          <w:spacing w:val="-11"/>
        </w:rPr>
        <w:t>回归到我国《反垄断法》的框架，“二选一”大多数发生在纵向</w:t>
      </w:r>
      <w:r>
        <w:rPr>
          <w:rFonts w:ascii="SimSun" w:hAnsi="SimSun" w:eastAsia="SimSun" w:cs="SimSun"/>
          <w:sz w:val="21"/>
          <w:szCs w:val="21"/>
          <w:spacing w:val="8"/>
        </w:rPr>
        <w:t xml:space="preserve"> </w:t>
      </w:r>
      <w:r>
        <w:rPr>
          <w:rFonts w:ascii="SimSun" w:hAnsi="SimSun" w:eastAsia="SimSun" w:cs="SimSun"/>
          <w:sz w:val="21"/>
          <w:szCs w:val="21"/>
          <w:spacing w:val="-11"/>
        </w:rPr>
        <w:t>关系上，根据平台是否存在市场支配地位，如果是则归入市场支配地</w:t>
      </w:r>
      <w:r>
        <w:rPr>
          <w:rFonts w:ascii="SimSun" w:hAnsi="SimSun" w:eastAsia="SimSun" w:cs="SimSun"/>
          <w:sz w:val="21"/>
          <w:szCs w:val="21"/>
          <w:spacing w:val="16"/>
        </w:rPr>
        <w:t xml:space="preserve"> </w:t>
      </w:r>
      <w:r>
        <w:rPr>
          <w:rFonts w:ascii="SimSun" w:hAnsi="SimSun" w:eastAsia="SimSun" w:cs="SimSun"/>
          <w:sz w:val="21"/>
          <w:szCs w:val="21"/>
          <w:spacing w:val="-10"/>
        </w:rPr>
        <w:t>位的滥用，如果不是则可能构成纵向非价格</w:t>
      </w:r>
      <w:r>
        <w:rPr>
          <w:rFonts w:ascii="SimSun" w:hAnsi="SimSun" w:eastAsia="SimSun" w:cs="SimSun"/>
          <w:sz w:val="21"/>
          <w:szCs w:val="21"/>
          <w:spacing w:val="-11"/>
        </w:rPr>
        <w:t>垄断协议。在滥用市场支</w:t>
      </w:r>
      <w:r>
        <w:rPr>
          <w:rFonts w:ascii="SimSun" w:hAnsi="SimSun" w:eastAsia="SimSun" w:cs="SimSun"/>
          <w:sz w:val="21"/>
          <w:szCs w:val="21"/>
        </w:rPr>
        <w:t xml:space="preserve"> </w:t>
      </w:r>
      <w:r>
        <w:rPr>
          <w:rFonts w:ascii="SimSun" w:hAnsi="SimSun" w:eastAsia="SimSun" w:cs="SimSun"/>
          <w:sz w:val="21"/>
          <w:szCs w:val="21"/>
          <w:spacing w:val="-10"/>
        </w:rPr>
        <w:t>配地位的路径下，《反垄断法》第十七条禁止具有市场支配地位的经</w:t>
      </w:r>
      <w:r>
        <w:rPr>
          <w:rFonts w:ascii="SimSun" w:hAnsi="SimSun" w:eastAsia="SimSun" w:cs="SimSun"/>
          <w:sz w:val="21"/>
          <w:szCs w:val="21"/>
          <w:spacing w:val="7"/>
        </w:rPr>
        <w:t xml:space="preserve"> </w:t>
      </w:r>
      <w:r>
        <w:rPr>
          <w:rFonts w:ascii="SimSun" w:hAnsi="SimSun" w:eastAsia="SimSun" w:cs="SimSun"/>
          <w:sz w:val="21"/>
          <w:szCs w:val="21"/>
          <w:spacing w:val="-11"/>
        </w:rPr>
        <w:t>营者没有正当理由而限定交易相对人只能与其进行交易。根据第十七</w:t>
      </w:r>
      <w:r>
        <w:rPr>
          <w:rFonts w:ascii="SimSun" w:hAnsi="SimSun" w:eastAsia="SimSun" w:cs="SimSun"/>
          <w:sz w:val="21"/>
          <w:szCs w:val="21"/>
          <w:spacing w:val="17"/>
        </w:rPr>
        <w:t xml:space="preserve"> </w:t>
      </w:r>
      <w:r>
        <w:rPr>
          <w:rFonts w:ascii="SimSun" w:hAnsi="SimSun" w:eastAsia="SimSun" w:cs="SimSun"/>
          <w:sz w:val="21"/>
          <w:szCs w:val="21"/>
          <w:spacing w:val="-11"/>
        </w:rPr>
        <w:t>条规定，限定交易的反垄断分析需要遵循如下步骤：第一，判断经营</w:t>
      </w:r>
      <w:r>
        <w:rPr>
          <w:rFonts w:ascii="SimSun" w:hAnsi="SimSun" w:eastAsia="SimSun" w:cs="SimSun"/>
          <w:sz w:val="21"/>
          <w:szCs w:val="21"/>
          <w:spacing w:val="8"/>
        </w:rPr>
        <w:t xml:space="preserve"> </w:t>
      </w:r>
      <w:r>
        <w:rPr>
          <w:rFonts w:ascii="SimSun" w:hAnsi="SimSun" w:eastAsia="SimSun" w:cs="SimSun"/>
          <w:sz w:val="21"/>
          <w:szCs w:val="21"/>
          <w:spacing w:val="-10"/>
        </w:rPr>
        <w:t>者是否具有市场支配地位；第二，如果经营者具有市场支配</w:t>
      </w:r>
      <w:r>
        <w:rPr>
          <w:rFonts w:ascii="SimSun" w:hAnsi="SimSun" w:eastAsia="SimSun" w:cs="SimSun"/>
          <w:sz w:val="21"/>
          <w:szCs w:val="21"/>
          <w:spacing w:val="-11"/>
        </w:rPr>
        <w:t>地位，则</w:t>
      </w:r>
      <w:r>
        <w:rPr>
          <w:rFonts w:ascii="SimSun" w:hAnsi="SimSun" w:eastAsia="SimSun" w:cs="SimSun"/>
          <w:sz w:val="21"/>
          <w:szCs w:val="21"/>
        </w:rPr>
        <w:t xml:space="preserve"> </w:t>
      </w:r>
      <w:r>
        <w:rPr>
          <w:rFonts w:ascii="SimSun" w:hAnsi="SimSun" w:eastAsia="SimSun" w:cs="SimSun"/>
          <w:sz w:val="21"/>
          <w:szCs w:val="21"/>
          <w:spacing w:val="-10"/>
        </w:rPr>
        <w:t>进一步判断经营者是否实施了限定交易的行为；第三，对行为</w:t>
      </w:r>
      <w:r>
        <w:rPr>
          <w:rFonts w:ascii="SimSun" w:hAnsi="SimSun" w:eastAsia="SimSun" w:cs="SimSun"/>
          <w:sz w:val="21"/>
          <w:szCs w:val="21"/>
          <w:spacing w:val="-11"/>
        </w:rPr>
        <w:t>的竞争</w:t>
      </w:r>
    </w:p>
    <w:p>
      <w:pPr>
        <w:ind w:left="105" w:right="193"/>
        <w:spacing w:before="160" w:line="284" w:lineRule="auto"/>
        <w:jc w:val="both"/>
        <w:rPr>
          <w:rFonts w:ascii="SimSun" w:hAnsi="SimSun" w:eastAsia="SimSun" w:cs="SimSun"/>
          <w:sz w:val="21"/>
          <w:szCs w:val="21"/>
        </w:rPr>
      </w:pPr>
      <w:r>
        <w:rPr>
          <w:rFonts w:ascii="SimSun" w:hAnsi="SimSun" w:eastAsia="SimSun" w:cs="SimSun"/>
          <w:sz w:val="21"/>
          <w:szCs w:val="21"/>
          <w:spacing w:val="-11"/>
        </w:rPr>
        <w:t>损害进行分析；第四，判断行为是否具有“正当理由”。如果经营者</w:t>
      </w:r>
      <w:r>
        <w:rPr>
          <w:rFonts w:ascii="SimSun" w:hAnsi="SimSun" w:eastAsia="SimSun" w:cs="SimSun"/>
          <w:sz w:val="21"/>
          <w:szCs w:val="21"/>
          <w:spacing w:val="18"/>
        </w:rPr>
        <w:t xml:space="preserve"> </w:t>
      </w:r>
      <w:r>
        <w:rPr>
          <w:rFonts w:ascii="SimSun" w:hAnsi="SimSun" w:eastAsia="SimSun" w:cs="SimSun"/>
          <w:sz w:val="21"/>
          <w:szCs w:val="21"/>
          <w:spacing w:val="-11"/>
        </w:rPr>
        <w:t>具有市场支配地位，实施了限定交易的行为，该行为造成竞争损害且</w:t>
      </w:r>
      <w:r>
        <w:rPr>
          <w:rFonts w:ascii="SimSun" w:hAnsi="SimSun" w:eastAsia="SimSun" w:cs="SimSun"/>
          <w:sz w:val="21"/>
          <w:szCs w:val="21"/>
          <w:spacing w:val="18"/>
        </w:rPr>
        <w:t xml:space="preserve"> </w:t>
      </w:r>
      <w:r>
        <w:rPr>
          <w:rFonts w:ascii="SimSun" w:hAnsi="SimSun" w:eastAsia="SimSun" w:cs="SimSun"/>
          <w:sz w:val="21"/>
          <w:szCs w:val="21"/>
          <w:spacing w:val="-11"/>
        </w:rPr>
        <w:t>不具有正当理由，则构成市场支配地位的滥用。</w:t>
      </w:r>
    </w:p>
    <w:p>
      <w:pPr>
        <w:ind w:left="544"/>
        <w:spacing w:before="118" w:line="218" w:lineRule="auto"/>
        <w:rPr>
          <w:rFonts w:ascii="SimSun" w:hAnsi="SimSun" w:eastAsia="SimSun" w:cs="SimSun"/>
          <w:sz w:val="21"/>
          <w:szCs w:val="21"/>
        </w:rPr>
      </w:pPr>
      <w:r>
        <w:rPr>
          <w:rFonts w:ascii="SimSun" w:hAnsi="SimSun" w:eastAsia="SimSun" w:cs="SimSun"/>
          <w:sz w:val="21"/>
          <w:szCs w:val="21"/>
          <w:spacing w:val="-3"/>
        </w:rPr>
        <w:t>当平台“二选一”以协议方式实施时，也可能构成纵向非价格</w:t>
      </w:r>
    </w:p>
    <w:p>
      <w:pPr>
        <w:spacing w:line="218" w:lineRule="auto"/>
        <w:sectPr>
          <w:headerReference w:type="default" r:id="rId470"/>
          <w:pgSz w:w="7330" w:h="12480"/>
          <w:pgMar w:top="535" w:right="426" w:bottom="400" w:left="615" w:header="373" w:footer="0" w:gutter="0"/>
        </w:sectPr>
        <w:rPr>
          <w:rFonts w:ascii="SimSun" w:hAnsi="SimSun" w:eastAsia="SimSun" w:cs="SimSun"/>
          <w:sz w:val="21"/>
          <w:szCs w:val="21"/>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104" w:right="67"/>
        <w:spacing w:before="69" w:line="308" w:lineRule="auto"/>
        <w:jc w:val="both"/>
        <w:rPr>
          <w:rFonts w:ascii="SimSun" w:hAnsi="SimSun" w:eastAsia="SimSun" w:cs="SimSun"/>
          <w:sz w:val="21"/>
          <w:szCs w:val="21"/>
        </w:rPr>
      </w:pPr>
      <w:r>
        <w:rPr>
          <w:rFonts w:ascii="SimSun" w:hAnsi="SimSun" w:eastAsia="SimSun" w:cs="SimSun"/>
          <w:sz w:val="21"/>
          <w:szCs w:val="21"/>
          <w:spacing w:val="-17"/>
        </w:rPr>
        <w:t>垄断协议。《反垄断法》第十四条规定了对纵向垄断协议的禁止。《反</w:t>
      </w:r>
      <w:r>
        <w:rPr>
          <w:rFonts w:ascii="SimSun" w:hAnsi="SimSun" w:eastAsia="SimSun" w:cs="SimSun"/>
          <w:sz w:val="21"/>
          <w:szCs w:val="21"/>
          <w:spacing w:val="12"/>
        </w:rPr>
        <w:t xml:space="preserve"> </w:t>
      </w:r>
      <w:r>
        <w:rPr>
          <w:rFonts w:ascii="SimSun" w:hAnsi="SimSun" w:eastAsia="SimSun" w:cs="SimSun"/>
          <w:sz w:val="21"/>
          <w:szCs w:val="21"/>
          <w:spacing w:val="-9"/>
        </w:rPr>
        <w:t>垄断法》未明确列举纵向非价格垄断协议，需要通过对兜底</w:t>
      </w:r>
      <w:r>
        <w:rPr>
          <w:rFonts w:ascii="SimSun" w:hAnsi="SimSun" w:eastAsia="SimSun" w:cs="SimSun"/>
          <w:sz w:val="21"/>
          <w:szCs w:val="21"/>
          <w:spacing w:val="-10"/>
        </w:rPr>
        <w:t>条款的解</w:t>
      </w:r>
      <w:r>
        <w:rPr>
          <w:rFonts w:ascii="SimSun" w:hAnsi="SimSun" w:eastAsia="SimSun" w:cs="SimSun"/>
          <w:sz w:val="21"/>
          <w:szCs w:val="21"/>
        </w:rPr>
        <w:t xml:space="preserve"> </w:t>
      </w:r>
      <w:r>
        <w:rPr>
          <w:rFonts w:ascii="SimSun" w:hAnsi="SimSun" w:eastAsia="SimSun" w:cs="SimSun"/>
          <w:sz w:val="21"/>
          <w:szCs w:val="21"/>
          <w:spacing w:val="-10"/>
        </w:rPr>
        <w:t>释将其涵纳。此外，《禁止垄断协议暂行规定》第十三条或许可以为</w:t>
      </w:r>
      <w:r>
        <w:rPr>
          <w:rFonts w:ascii="SimSun" w:hAnsi="SimSun" w:eastAsia="SimSun" w:cs="SimSun"/>
          <w:sz w:val="21"/>
          <w:szCs w:val="21"/>
        </w:rPr>
        <w:t xml:space="preserve"> </w:t>
      </w:r>
      <w:r>
        <w:rPr>
          <w:rFonts w:ascii="SimSun" w:hAnsi="SimSun" w:eastAsia="SimSun" w:cs="SimSun"/>
          <w:sz w:val="21"/>
          <w:szCs w:val="21"/>
          <w:spacing w:val="-10"/>
        </w:rPr>
        <w:t>纵向非价格垄断协议的认定提供更直接的依据。该条虽然也没有明文</w:t>
      </w:r>
      <w:r>
        <w:rPr>
          <w:rFonts w:ascii="SimSun" w:hAnsi="SimSun" w:eastAsia="SimSun" w:cs="SimSun"/>
          <w:sz w:val="21"/>
          <w:szCs w:val="21"/>
        </w:rPr>
        <w:t xml:space="preserve"> </w:t>
      </w:r>
      <w:r>
        <w:rPr>
          <w:rFonts w:ascii="SimSun" w:hAnsi="SimSun" w:eastAsia="SimSun" w:cs="SimSun"/>
          <w:sz w:val="21"/>
          <w:szCs w:val="21"/>
          <w:spacing w:val="-10"/>
        </w:rPr>
        <w:t>规定“纵向非价格垄断协议”这一具体类型，但是规定，“不属</w:t>
      </w:r>
      <w:r>
        <w:rPr>
          <w:rFonts w:ascii="SimSun" w:hAnsi="SimSun" w:eastAsia="SimSun" w:cs="SimSun"/>
          <w:sz w:val="21"/>
          <w:szCs w:val="21"/>
          <w:spacing w:val="-11"/>
        </w:rPr>
        <w:t>于本</w:t>
      </w:r>
      <w:r>
        <w:rPr>
          <w:rFonts w:ascii="SimSun" w:hAnsi="SimSun" w:eastAsia="SimSun" w:cs="SimSun"/>
          <w:sz w:val="21"/>
          <w:szCs w:val="21"/>
        </w:rPr>
        <w:t xml:space="preserve"> </w:t>
      </w:r>
      <w:r>
        <w:rPr>
          <w:rFonts w:ascii="SimSun" w:hAnsi="SimSun" w:eastAsia="SimSun" w:cs="SimSun"/>
          <w:sz w:val="21"/>
          <w:szCs w:val="21"/>
          <w:spacing w:val="-10"/>
        </w:rPr>
        <w:t>规定第七条至第十二条所列情形的其他协议、决定或者协同行为，有</w:t>
      </w:r>
      <w:r>
        <w:rPr>
          <w:rFonts w:ascii="SimSun" w:hAnsi="SimSun" w:eastAsia="SimSun" w:cs="SimSun"/>
          <w:sz w:val="21"/>
          <w:szCs w:val="21"/>
        </w:rPr>
        <w:t xml:space="preserve"> </w:t>
      </w:r>
      <w:r>
        <w:rPr>
          <w:rFonts w:ascii="SimSun" w:hAnsi="SimSun" w:eastAsia="SimSun" w:cs="SimSun"/>
          <w:sz w:val="21"/>
          <w:szCs w:val="21"/>
          <w:spacing w:val="-15"/>
        </w:rPr>
        <w:t>证据证明排除、限制竞争的，应当认定为垄断协议并予以禁止”。</w:t>
      </w:r>
      <w:r>
        <w:rPr>
          <w:rFonts w:ascii="SimSun" w:hAnsi="SimSun" w:eastAsia="SimSun" w:cs="SimSun"/>
          <w:sz w:val="21"/>
          <w:szCs w:val="21"/>
          <w:spacing w:val="45"/>
        </w:rPr>
        <w:t xml:space="preserve"> </w:t>
      </w:r>
      <w:r>
        <w:rPr>
          <w:rFonts w:ascii="SimSun" w:hAnsi="SimSun" w:eastAsia="SimSun" w:cs="SimSun"/>
          <w:sz w:val="21"/>
          <w:szCs w:val="21"/>
          <w:spacing w:val="-15"/>
        </w:rPr>
        <w:t>一</w:t>
      </w:r>
      <w:r>
        <w:rPr>
          <w:rFonts w:ascii="SimSun" w:hAnsi="SimSun" w:eastAsia="SimSun" w:cs="SimSun"/>
          <w:sz w:val="21"/>
          <w:szCs w:val="21"/>
        </w:rPr>
        <w:t xml:space="preserve"> </w:t>
      </w:r>
      <w:r>
        <w:rPr>
          <w:rFonts w:ascii="SimSun" w:hAnsi="SimSun" w:eastAsia="SimSun" w:cs="SimSun"/>
          <w:sz w:val="21"/>
          <w:szCs w:val="21"/>
          <w:spacing w:val="-10"/>
        </w:rPr>
        <w:t>般而言，纵向垄断协议的违法性认定也需要遵循如下的分析步骤：第</w:t>
      </w:r>
      <w:r>
        <w:rPr>
          <w:rFonts w:ascii="SimSun" w:hAnsi="SimSun" w:eastAsia="SimSun" w:cs="SimSun"/>
          <w:sz w:val="21"/>
          <w:szCs w:val="21"/>
          <w:spacing w:val="2"/>
        </w:rPr>
        <w:t xml:space="preserve"> </w:t>
      </w:r>
      <w:r>
        <w:rPr>
          <w:rFonts w:ascii="SimSun" w:hAnsi="SimSun" w:eastAsia="SimSun" w:cs="SimSun"/>
          <w:sz w:val="21"/>
          <w:szCs w:val="21"/>
          <w:spacing w:val="-11"/>
        </w:rPr>
        <w:t>一，判断是否存在纵向协议；第二，对行为的竞争损害进行分析；第</w:t>
      </w:r>
      <w:r>
        <w:rPr>
          <w:rFonts w:ascii="SimSun" w:hAnsi="SimSun" w:eastAsia="SimSun" w:cs="SimSun"/>
          <w:sz w:val="21"/>
          <w:szCs w:val="21"/>
          <w:spacing w:val="18"/>
        </w:rPr>
        <w:t xml:space="preserve"> </w:t>
      </w:r>
      <w:r>
        <w:rPr>
          <w:rFonts w:ascii="SimSun" w:hAnsi="SimSun" w:eastAsia="SimSun" w:cs="SimSun"/>
          <w:sz w:val="21"/>
          <w:szCs w:val="21"/>
          <w:spacing w:val="-10"/>
        </w:rPr>
        <w:t>三，判断是否存在豁免条件。如果经营者之间存在纵向协议，该</w:t>
      </w:r>
      <w:r>
        <w:rPr>
          <w:rFonts w:ascii="SimSun" w:hAnsi="SimSun" w:eastAsia="SimSun" w:cs="SimSun"/>
          <w:sz w:val="21"/>
          <w:szCs w:val="21"/>
          <w:spacing w:val="-11"/>
        </w:rPr>
        <w:t>协议</w:t>
      </w:r>
      <w:r>
        <w:rPr>
          <w:rFonts w:ascii="SimSun" w:hAnsi="SimSun" w:eastAsia="SimSun" w:cs="SimSun"/>
          <w:sz w:val="21"/>
          <w:szCs w:val="21"/>
        </w:rPr>
        <w:t xml:space="preserve"> </w:t>
      </w:r>
      <w:r>
        <w:rPr>
          <w:rFonts w:ascii="SimSun" w:hAnsi="SimSun" w:eastAsia="SimSun" w:cs="SimSun"/>
          <w:sz w:val="21"/>
          <w:szCs w:val="21"/>
          <w:spacing w:val="-10"/>
        </w:rPr>
        <w:t>造成了竞争损害，且不满足豁免条件，则构成《反垄断法》所禁止的</w:t>
      </w:r>
      <w:r>
        <w:rPr>
          <w:rFonts w:ascii="SimSun" w:hAnsi="SimSun" w:eastAsia="SimSun" w:cs="SimSun"/>
          <w:sz w:val="21"/>
          <w:szCs w:val="21"/>
          <w:spacing w:val="4"/>
        </w:rPr>
        <w:t xml:space="preserve"> </w:t>
      </w:r>
      <w:r>
        <w:rPr>
          <w:rFonts w:ascii="SimSun" w:hAnsi="SimSun" w:eastAsia="SimSun" w:cs="SimSun"/>
          <w:sz w:val="21"/>
          <w:szCs w:val="21"/>
          <w:spacing w:val="-13"/>
        </w:rPr>
        <w:t>纵向垄断协议。</w:t>
      </w:r>
    </w:p>
    <w:p>
      <w:pPr>
        <w:pStyle w:val="BodyText"/>
        <w:spacing w:line="397" w:lineRule="auto"/>
        <w:rPr/>
      </w:pPr>
      <w:r/>
    </w:p>
    <w:p>
      <w:pPr>
        <w:ind w:left="517"/>
        <w:spacing w:before="68" w:line="219" w:lineRule="auto"/>
        <w:rPr>
          <w:rFonts w:ascii="SimSun" w:hAnsi="SimSun" w:eastAsia="SimSun" w:cs="SimSun"/>
          <w:sz w:val="21"/>
          <w:szCs w:val="21"/>
        </w:rPr>
      </w:pPr>
      <w:r>
        <w:rPr>
          <w:rFonts w:ascii="SimSun" w:hAnsi="SimSun" w:eastAsia="SimSun" w:cs="SimSun"/>
          <w:sz w:val="21"/>
          <w:szCs w:val="21"/>
          <w:b/>
          <w:bCs/>
          <w:spacing w:val="-13"/>
        </w:rPr>
        <w:t>平台“二选一”的反垄断现状</w:t>
      </w:r>
    </w:p>
    <w:p>
      <w:pPr>
        <w:ind w:right="29" w:firstLine="515"/>
        <w:spacing w:before="124" w:line="293" w:lineRule="auto"/>
        <w:jc w:val="both"/>
        <w:rPr>
          <w:rFonts w:ascii="SimSun" w:hAnsi="SimSun" w:eastAsia="SimSun" w:cs="SimSun"/>
          <w:sz w:val="21"/>
          <w:szCs w:val="21"/>
        </w:rPr>
      </w:pPr>
      <w:r>
        <w:rPr>
          <w:rFonts w:ascii="SimSun" w:hAnsi="SimSun" w:eastAsia="SimSun" w:cs="SimSun"/>
          <w:sz w:val="21"/>
          <w:szCs w:val="21"/>
          <w:spacing w:val="5"/>
        </w:rPr>
        <w:t>2021年2月7日，《国务院反垄断委员</w:t>
      </w:r>
      <w:r>
        <w:rPr>
          <w:rFonts w:ascii="SimSun" w:hAnsi="SimSun" w:eastAsia="SimSun" w:cs="SimSun"/>
          <w:sz w:val="21"/>
          <w:szCs w:val="21"/>
          <w:spacing w:val="4"/>
        </w:rPr>
        <w:t>会关于平台经济领域的</w:t>
      </w:r>
      <w:r>
        <w:rPr>
          <w:rFonts w:ascii="SimSun" w:hAnsi="SimSun" w:eastAsia="SimSun" w:cs="SimSun"/>
          <w:sz w:val="21"/>
          <w:szCs w:val="21"/>
        </w:rPr>
        <w:t xml:space="preserve"> </w:t>
      </w:r>
      <w:r>
        <w:rPr>
          <w:rFonts w:ascii="SimSun" w:hAnsi="SimSun" w:eastAsia="SimSun" w:cs="SimSun"/>
          <w:sz w:val="21"/>
          <w:szCs w:val="21"/>
          <w:spacing w:val="-4"/>
        </w:rPr>
        <w:t>反垄断指南》发布，其中第十五条专门针对</w:t>
      </w:r>
      <w:r>
        <w:rPr>
          <w:rFonts w:ascii="SimSun" w:hAnsi="SimSun" w:eastAsia="SimSun" w:cs="SimSun"/>
          <w:sz w:val="21"/>
          <w:szCs w:val="21"/>
          <w:spacing w:val="-5"/>
        </w:rPr>
        <w:t>“二选一”进行了规定：</w:t>
      </w:r>
      <w:r>
        <w:rPr>
          <w:rFonts w:ascii="SimSun" w:hAnsi="SimSun" w:eastAsia="SimSun" w:cs="SimSun"/>
          <w:sz w:val="21"/>
          <w:szCs w:val="21"/>
        </w:rPr>
        <w:t xml:space="preserve"> </w:t>
      </w:r>
      <w:r>
        <w:rPr>
          <w:rFonts w:ascii="SimSun" w:hAnsi="SimSun" w:eastAsia="SimSun" w:cs="SimSun"/>
          <w:sz w:val="21"/>
          <w:szCs w:val="21"/>
          <w:spacing w:val="-7"/>
        </w:rPr>
        <w:t>“分析是否构成限定交易行为，可以考虑以下因素：(一)要求平台内 </w:t>
      </w:r>
      <w:r>
        <w:rPr>
          <w:rFonts w:ascii="SimSun" w:hAnsi="SimSun" w:eastAsia="SimSun" w:cs="SimSun"/>
          <w:sz w:val="21"/>
          <w:szCs w:val="21"/>
          <w:spacing w:val="-4"/>
        </w:rPr>
        <w:t>经营者在竞争性平台间进行‘二选一’,或者限定交易相对人与其进 </w:t>
      </w:r>
      <w:r>
        <w:rPr>
          <w:rFonts w:ascii="SimSun" w:hAnsi="SimSun" w:eastAsia="SimSun" w:cs="SimSun"/>
          <w:sz w:val="21"/>
          <w:szCs w:val="21"/>
          <w:spacing w:val="-12"/>
        </w:rPr>
        <w:t>行独家交易的其他行为；</w:t>
      </w:r>
      <w:r>
        <w:rPr>
          <w:rFonts w:ascii="SimSun" w:hAnsi="SimSun" w:eastAsia="SimSun" w:cs="SimSun"/>
          <w:sz w:val="21"/>
          <w:szCs w:val="21"/>
          <w:spacing w:val="64"/>
        </w:rPr>
        <w:t xml:space="preserve"> </w:t>
      </w:r>
      <w:r>
        <w:rPr>
          <w:rFonts w:ascii="SimSun" w:hAnsi="SimSun" w:eastAsia="SimSun" w:cs="SimSun"/>
          <w:sz w:val="21"/>
          <w:szCs w:val="21"/>
          <w:spacing w:val="-12"/>
        </w:rPr>
        <w:t>……”平台“二选一”构成平台拒绝交易的</w:t>
      </w:r>
      <w:r>
        <w:rPr>
          <w:rFonts w:ascii="SimSun" w:hAnsi="SimSun" w:eastAsia="SimSun" w:cs="SimSun"/>
          <w:sz w:val="21"/>
          <w:szCs w:val="21"/>
        </w:rPr>
        <w:t xml:space="preserve"> </w:t>
      </w:r>
      <w:r>
        <w:rPr>
          <w:rFonts w:ascii="SimSun" w:hAnsi="SimSun" w:eastAsia="SimSun" w:cs="SimSun"/>
          <w:sz w:val="21"/>
          <w:szCs w:val="21"/>
          <w:spacing w:val="20"/>
        </w:rPr>
        <w:t>行为。</w:t>
      </w:r>
    </w:p>
    <w:p>
      <w:pPr>
        <w:ind w:left="104" w:firstLine="305"/>
        <w:spacing w:before="155" w:line="303" w:lineRule="auto"/>
        <w:jc w:val="both"/>
        <w:rPr>
          <w:rFonts w:ascii="SimSun" w:hAnsi="SimSun" w:eastAsia="SimSun" w:cs="SimSun"/>
          <w:sz w:val="21"/>
          <w:szCs w:val="21"/>
        </w:rPr>
      </w:pPr>
      <w:r>
        <w:rPr>
          <w:rFonts w:ascii="SimSun" w:hAnsi="SimSun" w:eastAsia="SimSun" w:cs="SimSun"/>
          <w:sz w:val="21"/>
          <w:szCs w:val="21"/>
          <w:spacing w:val="-3"/>
        </w:rPr>
        <w:t>“二选一”在反垄断执法上的争论可以追溯到奇虎360诉腾讯垄</w:t>
      </w:r>
      <w:r>
        <w:rPr>
          <w:rFonts w:ascii="SimSun" w:hAnsi="SimSun" w:eastAsia="SimSun" w:cs="SimSun"/>
          <w:sz w:val="21"/>
          <w:szCs w:val="21"/>
          <w:spacing w:val="3"/>
        </w:rPr>
        <w:t xml:space="preserve">  </w:t>
      </w:r>
      <w:r>
        <w:rPr>
          <w:rFonts w:ascii="SimSun" w:hAnsi="SimSun" w:eastAsia="SimSun" w:cs="SimSun"/>
          <w:sz w:val="21"/>
          <w:szCs w:val="21"/>
        </w:rPr>
        <w:t>断案。2010年11月3日，腾讯公司和腾讯计算机公司发布《致广大</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6"/>
        </w:rPr>
        <w:t>QQ</w:t>
      </w:r>
      <w:r>
        <w:rPr>
          <w:rFonts w:ascii="SimSun" w:hAnsi="SimSun" w:eastAsia="SimSun" w:cs="SimSun"/>
          <w:sz w:val="21"/>
          <w:szCs w:val="21"/>
          <w:spacing w:val="-6"/>
        </w:rPr>
        <w:t>用户的一封信》,明示禁止其用户使用奇虎公司的360软件，否则</w:t>
      </w:r>
      <w:r>
        <w:rPr>
          <w:rFonts w:ascii="SimSun" w:hAnsi="SimSun" w:eastAsia="SimSun" w:cs="SimSun"/>
          <w:sz w:val="21"/>
          <w:szCs w:val="21"/>
          <w:spacing w:val="8"/>
        </w:rPr>
        <w:t xml:space="preserve">  </w:t>
      </w:r>
      <w:r>
        <w:rPr>
          <w:rFonts w:ascii="SimSun" w:hAnsi="SimSun" w:eastAsia="SimSun" w:cs="SimSun"/>
          <w:sz w:val="21"/>
          <w:szCs w:val="21"/>
          <w:spacing w:val="-4"/>
        </w:rPr>
        <w:t>停止</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QQ</w:t>
      </w:r>
      <w:r>
        <w:rPr>
          <w:rFonts w:ascii="SimSun" w:hAnsi="SimSun" w:eastAsia="SimSun" w:cs="SimSun"/>
          <w:sz w:val="21"/>
          <w:szCs w:val="21"/>
          <w:spacing w:val="-4"/>
        </w:rPr>
        <w:t>软件服务；拒绝向安装有360软件的用</w:t>
      </w:r>
      <w:r>
        <w:rPr>
          <w:rFonts w:ascii="SimSun" w:hAnsi="SimSun" w:eastAsia="SimSun" w:cs="SimSun"/>
          <w:sz w:val="21"/>
          <w:szCs w:val="21"/>
          <w:spacing w:val="-5"/>
        </w:rPr>
        <w:t>户提供相关的软件服</w:t>
      </w:r>
      <w:r>
        <w:rPr>
          <w:rFonts w:ascii="SimSun" w:hAnsi="SimSun" w:eastAsia="SimSun" w:cs="SimSun"/>
          <w:sz w:val="21"/>
          <w:szCs w:val="21"/>
        </w:rPr>
        <w:t xml:space="preserve">  </w:t>
      </w:r>
      <w:r>
        <w:rPr>
          <w:rFonts w:ascii="SimSun" w:hAnsi="SimSun" w:eastAsia="SimSun" w:cs="SimSun"/>
          <w:sz w:val="21"/>
          <w:szCs w:val="21"/>
          <w:spacing w:val="-3"/>
        </w:rPr>
        <w:t>务，强制用户删除360软件；采取技术手段，阻止安装了360浏览器</w:t>
      </w:r>
      <w:r>
        <w:rPr>
          <w:rFonts w:ascii="SimSun" w:hAnsi="SimSun" w:eastAsia="SimSun" w:cs="SimSun"/>
          <w:sz w:val="21"/>
          <w:szCs w:val="21"/>
          <w:spacing w:val="1"/>
        </w:rPr>
        <w:t xml:space="preserve">  </w:t>
      </w:r>
      <w:r>
        <w:rPr>
          <w:rFonts w:ascii="SimSun" w:hAnsi="SimSun" w:eastAsia="SimSun" w:cs="SimSun"/>
          <w:sz w:val="21"/>
          <w:szCs w:val="21"/>
          <w:spacing w:val="-10"/>
        </w:rPr>
        <w:t>的用户访问</w:t>
      </w:r>
      <w:r>
        <w:rPr>
          <w:rFonts w:ascii="Times New Roman" w:hAnsi="Times New Roman" w:eastAsia="Times New Roman" w:cs="Times New Roman"/>
          <w:sz w:val="21"/>
          <w:szCs w:val="21"/>
          <w:spacing w:val="-10"/>
        </w:rPr>
        <w:t>QQ</w:t>
      </w:r>
      <w:r>
        <w:rPr>
          <w:rFonts w:ascii="SimSun" w:hAnsi="SimSun" w:eastAsia="SimSun" w:cs="SimSun"/>
          <w:sz w:val="21"/>
          <w:szCs w:val="21"/>
          <w:spacing w:val="-10"/>
        </w:rPr>
        <w:t>空间。在此期间，大量用户删除了奇虎公司相关软件。</w:t>
      </w:r>
      <w:r>
        <w:rPr>
          <w:rFonts w:ascii="SimSun" w:hAnsi="SimSun" w:eastAsia="SimSun" w:cs="SimSun"/>
          <w:sz w:val="21"/>
          <w:szCs w:val="21"/>
          <w:spacing w:val="10"/>
        </w:rPr>
        <w:t xml:space="preserve"> </w:t>
      </w:r>
      <w:r>
        <w:rPr>
          <w:rFonts w:ascii="SimSun" w:hAnsi="SimSun" w:eastAsia="SimSun" w:cs="SimSun"/>
          <w:sz w:val="21"/>
          <w:szCs w:val="21"/>
          <w:spacing w:val="-3"/>
        </w:rPr>
        <w:t>对于腾讯的“产品不兼容”(二选一)行为是否构成滥用市场支配地</w:t>
      </w:r>
    </w:p>
    <w:p>
      <w:pPr>
        <w:spacing w:line="303" w:lineRule="auto"/>
        <w:sectPr>
          <w:headerReference w:type="default" r:id="rId471"/>
          <w:pgSz w:w="7330" w:h="12480"/>
          <w:pgMar w:top="815" w:right="735" w:bottom="400" w:left="394" w:header="652"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right="49" w:firstLine="105"/>
        <w:spacing w:before="68" w:line="304" w:lineRule="auto"/>
        <w:tabs>
          <w:tab w:val="left" w:pos="105"/>
        </w:tabs>
        <w:jc w:val="both"/>
        <w:rPr>
          <w:rFonts w:ascii="SimSun" w:hAnsi="SimSun" w:eastAsia="SimSun" w:cs="SimSun"/>
          <w:sz w:val="21"/>
          <w:szCs w:val="21"/>
        </w:rPr>
      </w:pPr>
      <w:r>
        <w:rPr>
          <w:rFonts w:ascii="SimSun" w:hAnsi="SimSun" w:eastAsia="SimSun" w:cs="SimSun"/>
          <w:sz w:val="21"/>
          <w:szCs w:val="21"/>
          <w:spacing w:val="-11"/>
        </w:rPr>
        <w:t>位中的限定交易行为，最高法院持否定观点，其论点主要有三个。第</w:t>
      </w:r>
      <w:r>
        <w:rPr>
          <w:rFonts w:ascii="SimSun" w:hAnsi="SimSun" w:eastAsia="SimSun" w:cs="SimSun"/>
          <w:sz w:val="21"/>
          <w:szCs w:val="21"/>
          <w:spacing w:val="6"/>
        </w:rPr>
        <w:t xml:space="preserve">  </w:t>
      </w:r>
      <w:r>
        <w:rPr>
          <w:rFonts w:ascii="SimSun" w:hAnsi="SimSun" w:eastAsia="SimSun" w:cs="SimSun"/>
          <w:sz w:val="21"/>
          <w:szCs w:val="21"/>
          <w:spacing w:val="-4"/>
        </w:rPr>
        <w:t>一，由于消费者在即时通信市场和安全软件市场有充分的替代选择，</w:t>
      </w:r>
      <w:r>
        <w:rPr>
          <w:rFonts w:ascii="SimSun" w:hAnsi="SimSun" w:eastAsia="SimSun" w:cs="SimSun"/>
          <w:sz w:val="21"/>
          <w:szCs w:val="21"/>
        </w:rPr>
        <w:t xml:space="preserve"> </w:t>
      </w:r>
      <w:r>
        <w:rPr>
          <w:rFonts w:ascii="SimSun" w:hAnsi="SimSun" w:eastAsia="SimSun" w:cs="SimSun"/>
          <w:sz w:val="21"/>
          <w:szCs w:val="21"/>
          <w:spacing w:val="-7"/>
        </w:rPr>
        <w:t>“产品不兼容”对消费者利益无重大影响；第二，没有充分证据证明</w:t>
      </w:r>
      <w:r>
        <w:rPr>
          <w:rFonts w:ascii="SimSun" w:hAnsi="SimSun" w:eastAsia="SimSun" w:cs="SimSun"/>
          <w:sz w:val="21"/>
          <w:szCs w:val="21"/>
          <w:spacing w:val="6"/>
        </w:rPr>
        <w:t xml:space="preserve"> </w:t>
      </w:r>
      <w:r>
        <w:rPr>
          <w:rFonts w:ascii="SimSun" w:hAnsi="SimSun" w:eastAsia="SimSun" w:cs="SimSun"/>
          <w:sz w:val="21"/>
          <w:szCs w:val="21"/>
          <w:spacing w:val="-11"/>
        </w:rPr>
        <w:t>“产品不兼容”行为是为了排除潜在竞争对手进入即时通信服务市场；</w:t>
      </w:r>
      <w:r>
        <w:rPr>
          <w:rFonts w:ascii="SimSun" w:hAnsi="SimSun" w:eastAsia="SimSun" w:cs="SimSun"/>
          <w:sz w:val="21"/>
          <w:szCs w:val="21"/>
          <w:spacing w:val="9"/>
        </w:rPr>
        <w:t xml:space="preserve"> </w:t>
      </w:r>
      <w:r>
        <w:rPr>
          <w:rFonts w:ascii="SimSun" w:hAnsi="SimSun" w:eastAsia="SimSun" w:cs="SimSun"/>
          <w:sz w:val="21"/>
          <w:szCs w:val="21"/>
          <w:spacing w:val="-1"/>
        </w:rPr>
        <w:t>第三，“产品不兼容”行为仅持续1天，即时通信市场</w:t>
      </w:r>
      <w:r>
        <w:rPr>
          <w:rFonts w:ascii="SimSun" w:hAnsi="SimSun" w:eastAsia="SimSun" w:cs="SimSun"/>
          <w:sz w:val="21"/>
          <w:szCs w:val="21"/>
          <w:spacing w:val="-2"/>
        </w:rPr>
        <w:t>竞争更活跃，</w:t>
      </w:r>
      <w:r>
        <w:rPr>
          <w:rFonts w:ascii="SimSun" w:hAnsi="SimSun" w:eastAsia="SimSun" w:cs="SimSun"/>
          <w:sz w:val="21"/>
          <w:szCs w:val="21"/>
        </w:rPr>
        <w:t xml:space="preserve"> </w:t>
      </w:r>
      <w:r>
        <w:rPr>
          <w:rFonts w:ascii="SimSun" w:hAnsi="SimSun" w:eastAsia="SimSun" w:cs="SimSun"/>
          <w:sz w:val="21"/>
          <w:szCs w:val="21"/>
          <w:spacing w:val="-7"/>
        </w:rPr>
        <w:t>即其他竞争对手市场份额增加，上诉人在安全软件市场</w:t>
      </w:r>
      <w:r>
        <w:rPr>
          <w:rFonts w:ascii="SimSun" w:hAnsi="SimSun" w:eastAsia="SimSun" w:cs="SimSun"/>
          <w:sz w:val="21"/>
          <w:szCs w:val="21"/>
          <w:spacing w:val="-8"/>
        </w:rPr>
        <w:t>中的份额下降</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7"/>
        </w:rPr>
        <w:t>3.3%,影响较为微弱。因此，在该案中，最高法院维护了平台企业对</w:t>
      </w:r>
      <w:r>
        <w:rPr>
          <w:rFonts w:ascii="SimSun" w:hAnsi="SimSun" w:eastAsia="SimSun" w:cs="SimSun"/>
          <w:sz w:val="21"/>
          <w:szCs w:val="21"/>
          <w:spacing w:val="3"/>
        </w:rPr>
        <w:t xml:space="preserve">  </w:t>
      </w:r>
      <w:r>
        <w:rPr>
          <w:rFonts w:ascii="SimSun" w:hAnsi="SimSun" w:eastAsia="SimSun" w:cs="SimSun"/>
          <w:sz w:val="21"/>
          <w:szCs w:val="21"/>
          <w:spacing w:val="-7"/>
        </w:rPr>
        <w:t>其产品组成的决定权力，也维护了平台企业的产品完整性。</w:t>
      </w:r>
    </w:p>
    <w:p>
      <w:pPr>
        <w:ind w:left="105" w:right="50" w:firstLine="449"/>
        <w:spacing w:before="109" w:line="292" w:lineRule="auto"/>
        <w:jc w:val="both"/>
        <w:rPr>
          <w:rFonts w:ascii="SimSun" w:hAnsi="SimSun" w:eastAsia="SimSun" w:cs="SimSun"/>
          <w:sz w:val="21"/>
          <w:szCs w:val="21"/>
        </w:rPr>
      </w:pPr>
      <w:r>
        <w:rPr>
          <w:rFonts w:ascii="SimSun" w:hAnsi="SimSun" w:eastAsia="SimSun" w:cs="SimSun"/>
          <w:sz w:val="21"/>
          <w:szCs w:val="21"/>
          <w:spacing w:val="-11"/>
        </w:rPr>
        <w:t>除此之外，平台“二选一”也引发了其他平台企业间的诉讼。根</w:t>
      </w:r>
      <w:r>
        <w:rPr>
          <w:rFonts w:ascii="SimSun" w:hAnsi="SimSun" w:eastAsia="SimSun" w:cs="SimSun"/>
          <w:sz w:val="21"/>
          <w:szCs w:val="21"/>
          <w:spacing w:val="4"/>
        </w:rPr>
        <w:t xml:space="preserve"> </w:t>
      </w:r>
      <w:r>
        <w:rPr>
          <w:rFonts w:ascii="SimSun" w:hAnsi="SimSun" w:eastAsia="SimSun" w:cs="SimSun"/>
          <w:sz w:val="21"/>
          <w:szCs w:val="21"/>
          <w:spacing w:val="-11"/>
        </w:rPr>
        <w:t>据法院公布的裁判文书，“二选一”的反垄断裁决主要有京东诉天猫</w:t>
      </w:r>
      <w:r>
        <w:rPr>
          <w:rFonts w:ascii="SimSun" w:hAnsi="SimSun" w:eastAsia="SimSun" w:cs="SimSun"/>
          <w:sz w:val="21"/>
          <w:szCs w:val="21"/>
          <w:spacing w:val="3"/>
        </w:rPr>
        <w:t xml:space="preserve">  </w:t>
      </w:r>
      <w:r>
        <w:rPr>
          <w:rFonts w:ascii="SimSun" w:hAnsi="SimSun" w:eastAsia="SimSun" w:cs="SimSun"/>
          <w:sz w:val="21"/>
          <w:szCs w:val="21"/>
          <w:spacing w:val="-8"/>
        </w:rPr>
        <w:t>案、格兰仕诉天猫案等。关于京东诉天猫、格兰仕诉天猫两起案件，</w:t>
      </w:r>
      <w:r>
        <w:rPr>
          <w:rFonts w:ascii="SimSun" w:hAnsi="SimSun" w:eastAsia="SimSun" w:cs="SimSun"/>
          <w:sz w:val="21"/>
          <w:szCs w:val="21"/>
          <w:spacing w:val="13"/>
        </w:rPr>
        <w:t xml:space="preserve"> </w:t>
      </w:r>
      <w:r>
        <w:rPr>
          <w:rFonts w:ascii="SimSun" w:hAnsi="SimSun" w:eastAsia="SimSun" w:cs="SimSun"/>
          <w:sz w:val="21"/>
          <w:szCs w:val="21"/>
          <w:spacing w:val="-14"/>
        </w:rPr>
        <w:t>法院已就管辖权异议问题做出驳回裁定，目前尚未得</w:t>
      </w:r>
      <w:r>
        <w:rPr>
          <w:rFonts w:ascii="SimSun" w:hAnsi="SimSun" w:eastAsia="SimSun" w:cs="SimSun"/>
          <w:sz w:val="21"/>
          <w:szCs w:val="21"/>
          <w:spacing w:val="-15"/>
        </w:rPr>
        <w:t>出实质审理结果。</w:t>
      </w:r>
    </w:p>
    <w:p>
      <w:pPr>
        <w:ind w:left="105" w:firstLine="449"/>
        <w:spacing w:before="110" w:line="293" w:lineRule="auto"/>
        <w:jc w:val="both"/>
        <w:rPr>
          <w:rFonts w:ascii="SimSun" w:hAnsi="SimSun" w:eastAsia="SimSun" w:cs="SimSun"/>
          <w:sz w:val="21"/>
          <w:szCs w:val="21"/>
        </w:rPr>
      </w:pPr>
      <w:r>
        <w:rPr>
          <w:rFonts w:ascii="SimSun" w:hAnsi="SimSun" w:eastAsia="SimSun" w:cs="SimSun"/>
          <w:sz w:val="21"/>
          <w:szCs w:val="21"/>
          <w:spacing w:val="-3"/>
        </w:rPr>
        <w:t>在反垄断的公共执行中，市场监管总局分别于202</w:t>
      </w:r>
      <w:r>
        <w:rPr>
          <w:rFonts w:ascii="SimSun" w:hAnsi="SimSun" w:eastAsia="SimSun" w:cs="SimSun"/>
          <w:sz w:val="21"/>
          <w:szCs w:val="21"/>
          <w:spacing w:val="-4"/>
        </w:rPr>
        <w:t>1年4月10日、</w:t>
      </w:r>
      <w:r>
        <w:rPr>
          <w:rFonts w:ascii="SimSun" w:hAnsi="SimSun" w:eastAsia="SimSun" w:cs="SimSun"/>
          <w:sz w:val="21"/>
          <w:szCs w:val="21"/>
        </w:rPr>
        <w:t xml:space="preserve"> </w:t>
      </w:r>
      <w:r>
        <w:rPr>
          <w:rFonts w:ascii="SimSun" w:hAnsi="SimSun" w:eastAsia="SimSun" w:cs="SimSun"/>
          <w:sz w:val="21"/>
          <w:szCs w:val="21"/>
          <w:spacing w:val="-4"/>
        </w:rPr>
        <w:t>2021年10月8日对阿里巴巴、美团的“二选一”行为做出行政处罚，</w:t>
      </w:r>
      <w:r>
        <w:rPr>
          <w:rFonts w:ascii="SimSun" w:hAnsi="SimSun" w:eastAsia="SimSun" w:cs="SimSun"/>
          <w:sz w:val="21"/>
          <w:szCs w:val="21"/>
          <w:spacing w:val="10"/>
        </w:rPr>
        <w:t xml:space="preserve"> </w:t>
      </w:r>
      <w:r>
        <w:rPr>
          <w:rFonts w:ascii="SimSun" w:hAnsi="SimSun" w:eastAsia="SimSun" w:cs="SimSun"/>
          <w:sz w:val="21"/>
          <w:szCs w:val="21"/>
          <w:spacing w:val="-9"/>
        </w:rPr>
        <w:t>要求停止实施“二选一”行为，并对阿里巴巴、美团分别处以182</w:t>
      </w:r>
      <w:r>
        <w:rPr>
          <w:rFonts w:ascii="SimSun" w:hAnsi="SimSun" w:eastAsia="SimSun" w:cs="SimSun"/>
          <w:sz w:val="21"/>
          <w:szCs w:val="21"/>
          <w:spacing w:val="-10"/>
        </w:rPr>
        <w:t>.28</w:t>
      </w:r>
      <w:r>
        <w:rPr>
          <w:rFonts w:ascii="SimSun" w:hAnsi="SimSun" w:eastAsia="SimSun" w:cs="SimSun"/>
          <w:sz w:val="21"/>
          <w:szCs w:val="21"/>
        </w:rPr>
        <w:t xml:space="preserve">  </w:t>
      </w:r>
      <w:r>
        <w:rPr>
          <w:rFonts w:ascii="SimSun" w:hAnsi="SimSun" w:eastAsia="SimSun" w:cs="SimSun"/>
          <w:sz w:val="21"/>
          <w:szCs w:val="21"/>
          <w:spacing w:val="-8"/>
        </w:rPr>
        <w:t>亿元、</w:t>
      </w:r>
      <w:r>
        <w:rPr>
          <w:rFonts w:ascii="Times New Roman" w:hAnsi="Times New Roman" w:eastAsia="Times New Roman" w:cs="Times New Roman"/>
          <w:sz w:val="21"/>
          <w:szCs w:val="21"/>
          <w:spacing w:val="-8"/>
        </w:rPr>
        <w:t>34.42 </w:t>
      </w:r>
      <w:r>
        <w:rPr>
          <w:rFonts w:ascii="SimSun" w:hAnsi="SimSun" w:eastAsia="SimSun" w:cs="SimSun"/>
          <w:sz w:val="21"/>
          <w:szCs w:val="21"/>
          <w:spacing w:val="-8"/>
        </w:rPr>
        <w:t>亿元的罚款。</w:t>
      </w:r>
    </w:p>
    <w:p>
      <w:pPr>
        <w:ind w:right="49" w:firstLine="554"/>
        <w:spacing w:before="104" w:line="308" w:lineRule="auto"/>
        <w:jc w:val="both"/>
        <w:rPr>
          <w:rFonts w:ascii="SimSun" w:hAnsi="SimSun" w:eastAsia="SimSun" w:cs="SimSun"/>
          <w:sz w:val="21"/>
          <w:szCs w:val="21"/>
        </w:rPr>
      </w:pPr>
      <w:r>
        <w:rPr>
          <w:rFonts w:ascii="SimSun" w:hAnsi="SimSun" w:eastAsia="SimSun" w:cs="SimSun"/>
          <w:sz w:val="21"/>
          <w:szCs w:val="21"/>
          <w:spacing w:val="-11"/>
        </w:rPr>
        <w:t>在对阿里巴巴处罚决定书的分析中，市场监管总局指出，阿里巴</w:t>
      </w:r>
      <w:r>
        <w:rPr>
          <w:rFonts w:ascii="SimSun" w:hAnsi="SimSun" w:eastAsia="SimSun" w:cs="SimSun"/>
          <w:sz w:val="21"/>
          <w:szCs w:val="21"/>
          <w:spacing w:val="8"/>
        </w:rPr>
        <w:t xml:space="preserve"> </w:t>
      </w:r>
      <w:r>
        <w:rPr>
          <w:rFonts w:ascii="SimSun" w:hAnsi="SimSun" w:eastAsia="SimSun" w:cs="SimSun"/>
          <w:sz w:val="21"/>
          <w:szCs w:val="21"/>
        </w:rPr>
        <w:t>巴集团在中国境内网络零售平台服务市场具有支配地</w:t>
      </w:r>
      <w:r>
        <w:rPr>
          <w:rFonts w:ascii="SimSun" w:hAnsi="SimSun" w:eastAsia="SimSun" w:cs="SimSun"/>
          <w:sz w:val="21"/>
          <w:szCs w:val="21"/>
          <w:spacing w:val="-1"/>
        </w:rPr>
        <w:t>位。自2015年</w:t>
      </w:r>
      <w:r>
        <w:rPr>
          <w:rFonts w:ascii="SimSun" w:hAnsi="SimSun" w:eastAsia="SimSun" w:cs="SimSun"/>
          <w:sz w:val="21"/>
          <w:szCs w:val="21"/>
        </w:rPr>
        <w:t xml:space="preserve">  </w:t>
      </w:r>
      <w:r>
        <w:rPr>
          <w:rFonts w:ascii="SimSun" w:hAnsi="SimSun" w:eastAsia="SimSun" w:cs="SimSun"/>
          <w:sz w:val="21"/>
          <w:szCs w:val="21"/>
          <w:spacing w:val="-7"/>
        </w:rPr>
        <w:t>以来，阿里巴巴集团滥用该市场支配地位，对平</w:t>
      </w:r>
      <w:r>
        <w:rPr>
          <w:rFonts w:ascii="SimSun" w:hAnsi="SimSun" w:eastAsia="SimSun" w:cs="SimSun"/>
          <w:sz w:val="21"/>
          <w:szCs w:val="21"/>
          <w:spacing w:val="-8"/>
        </w:rPr>
        <w:t>台内商家提出“二选</w:t>
      </w:r>
      <w:r>
        <w:rPr>
          <w:rFonts w:ascii="SimSun" w:hAnsi="SimSun" w:eastAsia="SimSun" w:cs="SimSun"/>
          <w:sz w:val="21"/>
          <w:szCs w:val="21"/>
        </w:rPr>
        <w:t xml:space="preserve">  </w:t>
      </w:r>
      <w:r>
        <w:rPr>
          <w:rFonts w:ascii="SimSun" w:hAnsi="SimSun" w:eastAsia="SimSun" w:cs="SimSun"/>
          <w:sz w:val="21"/>
          <w:szCs w:val="21"/>
          <w:spacing w:val="-4"/>
        </w:rPr>
        <w:t>一”要求，禁止平台内商家在其他竞争性平台开店或参加促销活动，</w:t>
      </w:r>
      <w:r>
        <w:rPr>
          <w:rFonts w:ascii="SimSun" w:hAnsi="SimSun" w:eastAsia="SimSun" w:cs="SimSun"/>
          <w:sz w:val="21"/>
          <w:szCs w:val="21"/>
        </w:rPr>
        <w:t xml:space="preserve"> </w:t>
      </w:r>
      <w:r>
        <w:rPr>
          <w:rFonts w:ascii="SimSun" w:hAnsi="SimSun" w:eastAsia="SimSun" w:cs="SimSun"/>
          <w:sz w:val="21"/>
          <w:szCs w:val="21"/>
          <w:spacing w:val="-7"/>
        </w:rPr>
        <w:t>并借助市场力量、平台规则和数据、算法等技术手段，采取</w:t>
      </w:r>
      <w:r>
        <w:rPr>
          <w:rFonts w:ascii="SimSun" w:hAnsi="SimSun" w:eastAsia="SimSun" w:cs="SimSun"/>
          <w:sz w:val="21"/>
          <w:szCs w:val="21"/>
          <w:spacing w:val="-8"/>
        </w:rPr>
        <w:t>多种奖惩</w:t>
      </w:r>
      <w:r>
        <w:rPr>
          <w:rFonts w:ascii="SimSun" w:hAnsi="SimSun" w:eastAsia="SimSun" w:cs="SimSun"/>
          <w:sz w:val="21"/>
          <w:szCs w:val="21"/>
        </w:rPr>
        <w:t xml:space="preserve">  </w:t>
      </w:r>
      <w:r>
        <w:rPr>
          <w:rFonts w:ascii="SimSun" w:hAnsi="SimSun" w:eastAsia="SimSun" w:cs="SimSun"/>
          <w:sz w:val="21"/>
          <w:szCs w:val="21"/>
          <w:spacing w:val="-7"/>
        </w:rPr>
        <w:t>措施保障“二选一”要求执行，维持、增强自身市场力量，获取不正 </w:t>
      </w:r>
      <w:r>
        <w:rPr>
          <w:rFonts w:ascii="SimSun" w:hAnsi="SimSun" w:eastAsia="SimSun" w:cs="SimSun"/>
          <w:sz w:val="21"/>
          <w:szCs w:val="21"/>
        </w:rPr>
        <w:t>当竞争优势。市场监管总局从以下四个方面认为阿</w:t>
      </w:r>
      <w:r>
        <w:rPr>
          <w:rFonts w:ascii="SimSun" w:hAnsi="SimSun" w:eastAsia="SimSun" w:cs="SimSun"/>
          <w:sz w:val="21"/>
          <w:szCs w:val="21"/>
          <w:spacing w:val="-1"/>
        </w:rPr>
        <w:t>里巴巴集团实施</w:t>
      </w:r>
      <w:r>
        <w:rPr>
          <w:rFonts w:ascii="SimSun" w:hAnsi="SimSun" w:eastAsia="SimSun" w:cs="SimSun"/>
          <w:sz w:val="21"/>
          <w:szCs w:val="21"/>
        </w:rPr>
        <w:t xml:space="preserve">  </w:t>
      </w:r>
      <w:r>
        <w:rPr>
          <w:rFonts w:ascii="SimSun" w:hAnsi="SimSun" w:eastAsia="SimSun" w:cs="SimSun"/>
          <w:sz w:val="21"/>
          <w:szCs w:val="21"/>
          <w:spacing w:val="-14"/>
        </w:rPr>
        <w:t>“二选一”排除、限制了市场竞争：首先，“二选一”行为排除、限制</w:t>
      </w:r>
      <w:r>
        <w:rPr>
          <w:rFonts w:ascii="SimSun" w:hAnsi="SimSun" w:eastAsia="SimSun" w:cs="SimSun"/>
          <w:sz w:val="21"/>
          <w:szCs w:val="21"/>
          <w:spacing w:val="7"/>
        </w:rPr>
        <w:t xml:space="preserve">  </w:t>
      </w:r>
      <w:r>
        <w:rPr>
          <w:rFonts w:ascii="SimSun" w:hAnsi="SimSun" w:eastAsia="SimSun" w:cs="SimSun"/>
          <w:sz w:val="21"/>
          <w:szCs w:val="21"/>
          <w:spacing w:val="-5"/>
        </w:rPr>
        <w:t>了市场竞争者之间的公平性竞争，并且提高了市场进入壁垒，排除、</w:t>
      </w:r>
      <w:r>
        <w:rPr>
          <w:rFonts w:ascii="SimSun" w:hAnsi="SimSun" w:eastAsia="SimSun" w:cs="SimSun"/>
          <w:sz w:val="21"/>
          <w:szCs w:val="21"/>
          <w:spacing w:val="8"/>
        </w:rPr>
        <w:t xml:space="preserve"> </w:t>
      </w:r>
      <w:r>
        <w:rPr>
          <w:rFonts w:ascii="SimSun" w:hAnsi="SimSun" w:eastAsia="SimSun" w:cs="SimSun"/>
          <w:sz w:val="21"/>
          <w:szCs w:val="21"/>
          <w:spacing w:val="-7"/>
        </w:rPr>
        <w:t>限制了潜在竞争；其次，损害平台内经营者的利益，削弱了品牌内竞 </w:t>
      </w:r>
      <w:r>
        <w:rPr>
          <w:rFonts w:ascii="SimSun" w:hAnsi="SimSun" w:eastAsia="SimSun" w:cs="SimSun"/>
          <w:sz w:val="21"/>
          <w:szCs w:val="21"/>
        </w:rPr>
        <w:t>争的程度；再次，通过限制要素自由流动、限制平</w:t>
      </w:r>
      <w:r>
        <w:rPr>
          <w:rFonts w:ascii="SimSun" w:hAnsi="SimSun" w:eastAsia="SimSun" w:cs="SimSun"/>
          <w:sz w:val="21"/>
          <w:szCs w:val="21"/>
          <w:spacing w:val="-1"/>
        </w:rPr>
        <w:t>台经营者多样化</w:t>
      </w:r>
    </w:p>
    <w:p>
      <w:pPr>
        <w:spacing w:line="308" w:lineRule="auto"/>
        <w:sectPr>
          <w:headerReference w:type="default" r:id="rId472"/>
          <w:pgSz w:w="7330" w:h="12480"/>
          <w:pgMar w:top="495" w:right="614" w:bottom="400" w:left="484" w:header="332"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195"/>
        <w:spacing w:before="68" w:line="290" w:lineRule="auto"/>
        <w:jc w:val="both"/>
        <w:rPr>
          <w:rFonts w:ascii="SimSun" w:hAnsi="SimSun" w:eastAsia="SimSun" w:cs="SimSun"/>
          <w:sz w:val="21"/>
          <w:szCs w:val="21"/>
        </w:rPr>
      </w:pPr>
      <w:r>
        <w:rPr>
          <w:rFonts w:ascii="SimSun" w:hAnsi="SimSun" w:eastAsia="SimSun" w:cs="SimSun"/>
          <w:sz w:val="21"/>
          <w:szCs w:val="21"/>
          <w:spacing w:val="-11"/>
        </w:rPr>
        <w:t>差异化创新经营进而阻碍资源优化配置，限制平台经济创新发展；最</w:t>
      </w:r>
      <w:r>
        <w:rPr>
          <w:rFonts w:ascii="SimSun" w:hAnsi="SimSun" w:eastAsia="SimSun" w:cs="SimSun"/>
          <w:sz w:val="21"/>
          <w:szCs w:val="21"/>
          <w:spacing w:val="9"/>
        </w:rPr>
        <w:t xml:space="preserve"> </w:t>
      </w:r>
      <w:r>
        <w:rPr>
          <w:rFonts w:ascii="SimSun" w:hAnsi="SimSun" w:eastAsia="SimSun" w:cs="SimSun"/>
          <w:sz w:val="21"/>
          <w:szCs w:val="21"/>
          <w:spacing w:val="-11"/>
        </w:rPr>
        <w:t>后，损害消费者的自由选择权、公平交易权，长远看给社会总体福利</w:t>
      </w:r>
      <w:r>
        <w:rPr>
          <w:rFonts w:ascii="SimSun" w:hAnsi="SimSun" w:eastAsia="SimSun" w:cs="SimSun"/>
          <w:sz w:val="21"/>
          <w:szCs w:val="21"/>
          <w:spacing w:val="13"/>
        </w:rPr>
        <w:t xml:space="preserve"> </w:t>
      </w:r>
      <w:r>
        <w:rPr>
          <w:rFonts w:ascii="SimSun" w:hAnsi="SimSun" w:eastAsia="SimSun" w:cs="SimSun"/>
          <w:sz w:val="21"/>
          <w:szCs w:val="21"/>
          <w:spacing w:val="-3"/>
        </w:rPr>
        <w:t>水平带来损害。这样构成《反垄断法》第十七条第一款第(四)项禁</w:t>
      </w:r>
      <w:r>
        <w:rPr>
          <w:rFonts w:ascii="SimSun" w:hAnsi="SimSun" w:eastAsia="SimSun" w:cs="SimSun"/>
          <w:sz w:val="21"/>
          <w:szCs w:val="21"/>
          <w:spacing w:val="7"/>
        </w:rPr>
        <w:t xml:space="preserve"> </w:t>
      </w:r>
      <w:r>
        <w:rPr>
          <w:rFonts w:ascii="SimSun" w:hAnsi="SimSun" w:eastAsia="SimSun" w:cs="SimSun"/>
          <w:sz w:val="21"/>
          <w:szCs w:val="21"/>
          <w:spacing w:val="-11"/>
        </w:rPr>
        <w:t>止的“没有正当理由，限定交易相对人只能与其进行交易”的滥用市</w:t>
      </w:r>
      <w:r>
        <w:rPr>
          <w:rFonts w:ascii="SimSun" w:hAnsi="SimSun" w:eastAsia="SimSun" w:cs="SimSun"/>
          <w:sz w:val="21"/>
          <w:szCs w:val="21"/>
          <w:spacing w:val="10"/>
        </w:rPr>
        <w:t xml:space="preserve"> </w:t>
      </w:r>
      <w:r>
        <w:rPr>
          <w:rFonts w:ascii="SimSun" w:hAnsi="SimSun" w:eastAsia="SimSun" w:cs="SimSun"/>
          <w:sz w:val="21"/>
          <w:szCs w:val="21"/>
          <w:spacing w:val="-12"/>
        </w:rPr>
        <w:t>场支配地位行为。</w:t>
      </w:r>
    </w:p>
    <w:p>
      <w:pPr>
        <w:ind w:firstLine="420"/>
        <w:spacing w:before="145" w:line="306" w:lineRule="auto"/>
        <w:rPr>
          <w:rFonts w:ascii="SimSun" w:hAnsi="SimSun" w:eastAsia="SimSun" w:cs="SimSun"/>
          <w:sz w:val="21"/>
          <w:szCs w:val="21"/>
        </w:rPr>
      </w:pPr>
      <w:r>
        <w:rPr>
          <w:rFonts w:ascii="SimSun" w:hAnsi="SimSun" w:eastAsia="SimSun" w:cs="SimSun"/>
          <w:sz w:val="21"/>
          <w:szCs w:val="21"/>
          <w:spacing w:val="-3"/>
        </w:rPr>
        <w:t>在对美团的分析中，市场监管总局指出，2018年以来，美团滥</w:t>
      </w:r>
      <w:r>
        <w:rPr>
          <w:rFonts w:ascii="SimSun" w:hAnsi="SimSun" w:eastAsia="SimSun" w:cs="SimSun"/>
          <w:sz w:val="21"/>
          <w:szCs w:val="21"/>
          <w:spacing w:val="1"/>
        </w:rPr>
        <w:t xml:space="preserve">   </w:t>
      </w:r>
      <w:r>
        <w:rPr>
          <w:rFonts w:ascii="SimSun" w:hAnsi="SimSun" w:eastAsia="SimSun" w:cs="SimSun"/>
          <w:sz w:val="21"/>
          <w:szCs w:val="21"/>
          <w:spacing w:val="-11"/>
        </w:rPr>
        <w:t>用在中国境内网络餐饮外卖平台服务市场的支配地位，以实施差别费</w:t>
      </w:r>
      <w:r>
        <w:rPr>
          <w:rFonts w:ascii="SimSun" w:hAnsi="SimSun" w:eastAsia="SimSun" w:cs="SimSun"/>
          <w:sz w:val="21"/>
          <w:szCs w:val="21"/>
          <w:spacing w:val="3"/>
        </w:rPr>
        <w:t xml:space="preserve">   </w:t>
      </w:r>
      <w:r>
        <w:rPr>
          <w:rFonts w:ascii="SimSun" w:hAnsi="SimSun" w:eastAsia="SimSun" w:cs="SimSun"/>
          <w:sz w:val="21"/>
          <w:szCs w:val="21"/>
          <w:spacing w:val="-8"/>
        </w:rPr>
        <w:t>率、拖延商家上线等方式，促使平台内商家与其签订独家合作协议，</w:t>
      </w:r>
      <w:r>
        <w:rPr>
          <w:rFonts w:ascii="SimSun" w:hAnsi="SimSun" w:eastAsia="SimSun" w:cs="SimSun"/>
          <w:sz w:val="21"/>
          <w:szCs w:val="21"/>
          <w:spacing w:val="6"/>
        </w:rPr>
        <w:t xml:space="preserve">  </w:t>
      </w:r>
      <w:r>
        <w:rPr>
          <w:rFonts w:ascii="SimSun" w:hAnsi="SimSun" w:eastAsia="SimSun" w:cs="SimSun"/>
          <w:sz w:val="21"/>
          <w:szCs w:val="21"/>
          <w:spacing w:val="-10"/>
        </w:rPr>
        <w:t>并通过收取独家合作保证金和数据、算法等技术手段</w:t>
      </w:r>
      <w:r>
        <w:rPr>
          <w:rFonts w:ascii="SimSun" w:hAnsi="SimSun" w:eastAsia="SimSun" w:cs="SimSun"/>
          <w:sz w:val="21"/>
          <w:szCs w:val="21"/>
          <w:spacing w:val="-11"/>
        </w:rPr>
        <w:t>，采取多种惩罚</w:t>
      </w:r>
      <w:r>
        <w:rPr>
          <w:rFonts w:ascii="SimSun" w:hAnsi="SimSun" w:eastAsia="SimSun" w:cs="SimSun"/>
          <w:sz w:val="21"/>
          <w:szCs w:val="21"/>
        </w:rPr>
        <w:t xml:space="preserve">   </w:t>
      </w:r>
      <w:r>
        <w:rPr>
          <w:rFonts w:ascii="SimSun" w:hAnsi="SimSun" w:eastAsia="SimSun" w:cs="SimSun"/>
          <w:sz w:val="21"/>
          <w:szCs w:val="21"/>
          <w:spacing w:val="-10"/>
        </w:rPr>
        <w:t>性措施，保障“二选一”行为实施，排除、限制了相关市场竞争，妨</w:t>
      </w:r>
      <w:r>
        <w:rPr>
          <w:rFonts w:ascii="SimSun" w:hAnsi="SimSun" w:eastAsia="SimSun" w:cs="SimSun"/>
          <w:sz w:val="21"/>
          <w:szCs w:val="21"/>
          <w:spacing w:val="1"/>
        </w:rPr>
        <w:t xml:space="preserve">   </w:t>
      </w:r>
      <w:r>
        <w:rPr>
          <w:rFonts w:ascii="SimSun" w:hAnsi="SimSun" w:eastAsia="SimSun" w:cs="SimSun"/>
          <w:sz w:val="21"/>
          <w:szCs w:val="21"/>
          <w:spacing w:val="-11"/>
        </w:rPr>
        <w:t>碍了市场资源要素自由流动，削弱平台创新动力和发展活力，损害平</w:t>
      </w:r>
      <w:r>
        <w:rPr>
          <w:rFonts w:ascii="SimSun" w:hAnsi="SimSun" w:eastAsia="SimSun" w:cs="SimSun"/>
          <w:sz w:val="21"/>
          <w:szCs w:val="21"/>
          <w:spacing w:val="2"/>
        </w:rPr>
        <w:t xml:space="preserve">   </w:t>
      </w:r>
      <w:r>
        <w:rPr>
          <w:rFonts w:ascii="SimSun" w:hAnsi="SimSun" w:eastAsia="SimSun" w:cs="SimSun"/>
          <w:sz w:val="21"/>
          <w:szCs w:val="21"/>
          <w:spacing w:val="-11"/>
        </w:rPr>
        <w:t>台内商家和消费者的合法权益，构成《反垄断法》第十七条第一款第</w:t>
      </w:r>
      <w:r>
        <w:rPr>
          <w:rFonts w:ascii="SimSun" w:hAnsi="SimSun" w:eastAsia="SimSun" w:cs="SimSun"/>
          <w:sz w:val="21"/>
          <w:szCs w:val="21"/>
          <w:spacing w:val="4"/>
        </w:rPr>
        <w:t xml:space="preserve">   </w:t>
      </w:r>
      <w:r>
        <w:rPr>
          <w:rFonts w:ascii="SimSun" w:hAnsi="SimSun" w:eastAsia="SimSun" w:cs="SimSun"/>
          <w:sz w:val="21"/>
          <w:szCs w:val="21"/>
          <w:spacing w:val="-3"/>
        </w:rPr>
        <w:t>(四)项禁止的“没有正当理由，限定交易相对人只能与其进</w:t>
      </w:r>
      <w:r>
        <w:rPr>
          <w:rFonts w:ascii="SimSun" w:hAnsi="SimSun" w:eastAsia="SimSun" w:cs="SimSun"/>
          <w:sz w:val="21"/>
          <w:szCs w:val="21"/>
          <w:spacing w:val="-4"/>
        </w:rPr>
        <w:t>行交易”</w:t>
      </w:r>
      <w:r>
        <w:rPr>
          <w:rFonts w:ascii="SimSun" w:hAnsi="SimSun" w:eastAsia="SimSun" w:cs="SimSun"/>
          <w:sz w:val="21"/>
          <w:szCs w:val="21"/>
        </w:rPr>
        <w:t xml:space="preserve"> </w:t>
      </w:r>
      <w:r>
        <w:rPr>
          <w:rFonts w:ascii="SimSun" w:hAnsi="SimSun" w:eastAsia="SimSun" w:cs="SimSun"/>
          <w:sz w:val="21"/>
          <w:szCs w:val="21"/>
          <w:spacing w:val="-11"/>
        </w:rPr>
        <w:t>的滥用市场支配地位行为。</w:t>
      </w:r>
    </w:p>
    <w:p>
      <w:pPr>
        <w:ind w:right="182" w:firstLine="420"/>
        <w:spacing w:before="107" w:line="307" w:lineRule="auto"/>
        <w:rPr>
          <w:rFonts w:ascii="SimSun" w:hAnsi="SimSun" w:eastAsia="SimSun" w:cs="SimSun"/>
          <w:sz w:val="21"/>
          <w:szCs w:val="21"/>
        </w:rPr>
      </w:pPr>
      <w:r>
        <w:rPr>
          <w:rFonts w:ascii="SimSun" w:hAnsi="SimSun" w:eastAsia="SimSun" w:cs="SimSun"/>
          <w:sz w:val="21"/>
          <w:szCs w:val="21"/>
          <w:spacing w:val="-3"/>
        </w:rPr>
        <w:t>通过上述梳理可以发现，法院与市场监督管理总局对限定交易</w:t>
      </w:r>
      <w:r>
        <w:rPr>
          <w:rFonts w:ascii="SimSun" w:hAnsi="SimSun" w:eastAsia="SimSun" w:cs="SimSun"/>
          <w:sz w:val="21"/>
          <w:szCs w:val="21"/>
          <w:spacing w:val="11"/>
        </w:rPr>
        <w:t xml:space="preserve"> </w:t>
      </w:r>
      <w:r>
        <w:rPr>
          <w:rFonts w:ascii="SimSun" w:hAnsi="SimSun" w:eastAsia="SimSun" w:cs="SimSun"/>
          <w:sz w:val="21"/>
          <w:szCs w:val="21"/>
          <w:spacing w:val="-11"/>
        </w:rPr>
        <w:t>的分析思路不同。法院在奇虎诉腾讯案中的分析着重于排除、限制竞</w:t>
      </w:r>
      <w:r>
        <w:rPr>
          <w:rFonts w:ascii="SimSun" w:hAnsi="SimSun" w:eastAsia="SimSun" w:cs="SimSun"/>
          <w:sz w:val="21"/>
          <w:szCs w:val="21"/>
          <w:spacing w:val="9"/>
        </w:rPr>
        <w:t xml:space="preserve"> </w:t>
      </w:r>
      <w:r>
        <w:rPr>
          <w:rFonts w:ascii="SimSun" w:hAnsi="SimSun" w:eastAsia="SimSun" w:cs="SimSun"/>
          <w:sz w:val="21"/>
          <w:szCs w:val="21"/>
          <w:spacing w:val="-11"/>
        </w:rPr>
        <w:t>争行为的效果，消费者福利受损程度，以及“二选一”的动机；而市</w:t>
      </w:r>
      <w:r>
        <w:rPr>
          <w:rFonts w:ascii="SimSun" w:hAnsi="SimSun" w:eastAsia="SimSun" w:cs="SimSun"/>
          <w:sz w:val="21"/>
          <w:szCs w:val="21"/>
          <w:spacing w:val="10"/>
        </w:rPr>
        <w:t xml:space="preserve"> </w:t>
      </w:r>
      <w:r>
        <w:rPr>
          <w:rFonts w:ascii="SimSun" w:hAnsi="SimSun" w:eastAsia="SimSun" w:cs="SimSun"/>
          <w:sz w:val="21"/>
          <w:szCs w:val="21"/>
          <w:spacing w:val="-11"/>
        </w:rPr>
        <w:t>场监督管理总局在消费者福利和竞争分析之外，还关注了对经营者利</w:t>
      </w:r>
      <w:r>
        <w:rPr>
          <w:rFonts w:ascii="SimSun" w:hAnsi="SimSun" w:eastAsia="SimSun" w:cs="SimSun"/>
          <w:sz w:val="21"/>
          <w:szCs w:val="21"/>
          <w:spacing w:val="13"/>
        </w:rPr>
        <w:t xml:space="preserve"> </w:t>
      </w:r>
      <w:r>
        <w:rPr>
          <w:rFonts w:ascii="SimSun" w:hAnsi="SimSun" w:eastAsia="SimSun" w:cs="SimSun"/>
          <w:sz w:val="21"/>
          <w:szCs w:val="21"/>
          <w:spacing w:val="-11"/>
        </w:rPr>
        <w:t>益、资源配置和经济创新的影响。这种差异背后是两个机构对反垄断</w:t>
      </w:r>
      <w:r>
        <w:rPr>
          <w:rFonts w:ascii="SimSun" w:hAnsi="SimSun" w:eastAsia="SimSun" w:cs="SimSun"/>
          <w:sz w:val="21"/>
          <w:szCs w:val="21"/>
          <w:spacing w:val="7"/>
        </w:rPr>
        <w:t xml:space="preserve"> </w:t>
      </w:r>
      <w:r>
        <w:rPr>
          <w:rFonts w:ascii="SimSun" w:hAnsi="SimSun" w:eastAsia="SimSun" w:cs="SimSun"/>
          <w:sz w:val="21"/>
          <w:szCs w:val="21"/>
          <w:spacing w:val="-11"/>
        </w:rPr>
        <w:t>目标理解的不同，反垄断在保护消费者福利、维护竞争秩序和市场效</w:t>
      </w:r>
      <w:r>
        <w:rPr>
          <w:rFonts w:ascii="SimSun" w:hAnsi="SimSun" w:eastAsia="SimSun" w:cs="SimSun"/>
          <w:sz w:val="21"/>
          <w:szCs w:val="21"/>
          <w:spacing w:val="7"/>
        </w:rPr>
        <w:t xml:space="preserve"> </w:t>
      </w:r>
      <w:r>
        <w:rPr>
          <w:rFonts w:ascii="SimSun" w:hAnsi="SimSun" w:eastAsia="SimSun" w:cs="SimSun"/>
          <w:sz w:val="21"/>
          <w:szCs w:val="21"/>
          <w:spacing w:val="-10"/>
        </w:rPr>
        <w:t>率之外，是否还应该承担保护创新、维护小企业的职能，是我国《反</w:t>
      </w:r>
      <w:r>
        <w:rPr>
          <w:rFonts w:ascii="SimSun" w:hAnsi="SimSun" w:eastAsia="SimSun" w:cs="SimSun"/>
          <w:sz w:val="21"/>
          <w:szCs w:val="21"/>
          <w:spacing w:val="6"/>
        </w:rPr>
        <w:t xml:space="preserve"> </w:t>
      </w:r>
      <w:r>
        <w:rPr>
          <w:rFonts w:ascii="SimSun" w:hAnsi="SimSun" w:eastAsia="SimSun" w:cs="SimSun"/>
          <w:sz w:val="21"/>
          <w:szCs w:val="21"/>
          <w:spacing w:val="3"/>
        </w:rPr>
        <w:t>垄断法》需要进一步明晰的要点。值得注意的是，2021年10月23</w:t>
      </w:r>
      <w:r>
        <w:rPr>
          <w:rFonts w:ascii="SimSun" w:hAnsi="SimSun" w:eastAsia="SimSun" w:cs="SimSun"/>
          <w:sz w:val="21"/>
          <w:szCs w:val="21"/>
          <w:spacing w:val="6"/>
        </w:rPr>
        <w:t xml:space="preserve"> </w:t>
      </w:r>
      <w:r>
        <w:rPr>
          <w:rFonts w:ascii="SimSun" w:hAnsi="SimSun" w:eastAsia="SimSun" w:cs="SimSun"/>
          <w:sz w:val="21"/>
          <w:szCs w:val="21"/>
          <w:spacing w:val="-4"/>
        </w:rPr>
        <w:t>日发布的《反垄断法(修正草案)》第一条关于反垄断法的目标，新</w:t>
      </w:r>
      <w:r>
        <w:rPr>
          <w:rFonts w:ascii="SimSun" w:hAnsi="SimSun" w:eastAsia="SimSun" w:cs="SimSun"/>
          <w:sz w:val="21"/>
          <w:szCs w:val="21"/>
          <w:spacing w:val="7"/>
        </w:rPr>
        <w:t xml:space="preserve"> </w:t>
      </w:r>
      <w:r>
        <w:rPr>
          <w:rFonts w:ascii="SimSun" w:hAnsi="SimSun" w:eastAsia="SimSun" w:cs="SimSun"/>
          <w:sz w:val="21"/>
          <w:szCs w:val="21"/>
          <w:spacing w:val="-22"/>
        </w:rPr>
        <w:t>增了“鼓励创新”。</w:t>
      </w:r>
    </w:p>
    <w:p>
      <w:pPr>
        <w:pStyle w:val="BodyText"/>
        <w:spacing w:line="387" w:lineRule="auto"/>
        <w:rPr/>
      </w:pPr>
      <w:r/>
    </w:p>
    <w:p>
      <w:pPr>
        <w:ind w:left="422"/>
        <w:spacing w:before="68" w:line="219" w:lineRule="auto"/>
        <w:rPr>
          <w:rFonts w:ascii="SimSun" w:hAnsi="SimSun" w:eastAsia="SimSun" w:cs="SimSun"/>
          <w:sz w:val="21"/>
          <w:szCs w:val="21"/>
        </w:rPr>
      </w:pPr>
      <w:r>
        <w:rPr>
          <w:rFonts w:ascii="SimSun" w:hAnsi="SimSun" w:eastAsia="SimSun" w:cs="SimSun"/>
          <w:sz w:val="21"/>
          <w:szCs w:val="21"/>
          <w:b/>
          <w:bCs/>
          <w:spacing w:val="-11"/>
        </w:rPr>
        <w:t>对现状的评析</w:t>
      </w:r>
    </w:p>
    <w:p>
      <w:pPr>
        <w:ind w:left="420"/>
        <w:spacing w:before="133" w:line="219" w:lineRule="auto"/>
        <w:rPr>
          <w:rFonts w:ascii="SimSun" w:hAnsi="SimSun" w:eastAsia="SimSun" w:cs="SimSun"/>
          <w:sz w:val="21"/>
          <w:szCs w:val="21"/>
        </w:rPr>
      </w:pPr>
      <w:r>
        <w:rPr>
          <w:rFonts w:ascii="SimSun" w:hAnsi="SimSun" w:eastAsia="SimSun" w:cs="SimSun"/>
          <w:sz w:val="21"/>
          <w:szCs w:val="21"/>
          <w:spacing w:val="-10"/>
        </w:rPr>
        <w:t>首先，“二选一”一词本身是不准确的，它的含义模糊不</w:t>
      </w:r>
      <w:r>
        <w:rPr>
          <w:rFonts w:ascii="SimSun" w:hAnsi="SimSun" w:eastAsia="SimSun" w:cs="SimSun"/>
          <w:sz w:val="21"/>
          <w:szCs w:val="21"/>
          <w:spacing w:val="-11"/>
        </w:rPr>
        <w:t>清。诸</w:t>
      </w:r>
    </w:p>
    <w:p>
      <w:pPr>
        <w:spacing w:line="219" w:lineRule="auto"/>
        <w:sectPr>
          <w:headerReference w:type="default" r:id="rId473"/>
          <w:pgSz w:w="7330" w:h="12480"/>
          <w:pgMar w:top="779" w:right="475" w:bottom="400" w:left="650" w:header="613" w:footer="0" w:gutter="0"/>
        </w:sectPr>
        <w:rPr>
          <w:rFonts w:ascii="SimSun" w:hAnsi="SimSun" w:eastAsia="SimSun" w:cs="SimSun"/>
          <w:sz w:val="21"/>
          <w:szCs w:val="21"/>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01" w:right="194"/>
        <w:spacing w:before="68" w:line="278" w:lineRule="auto"/>
        <w:jc w:val="both"/>
        <w:rPr>
          <w:rFonts w:ascii="SimSun" w:hAnsi="SimSun" w:eastAsia="SimSun" w:cs="SimSun"/>
          <w:sz w:val="21"/>
          <w:szCs w:val="21"/>
        </w:rPr>
      </w:pPr>
      <w:r>
        <w:rPr>
          <w:rFonts w:ascii="SimSun" w:hAnsi="SimSun" w:eastAsia="SimSun" w:cs="SimSun"/>
          <w:sz w:val="21"/>
          <w:szCs w:val="21"/>
          <w:spacing w:val="-11"/>
        </w:rPr>
        <w:t>如限定交易、拒绝交易等，这些行为都有具体的含义，“二选一”并</w:t>
      </w:r>
      <w:r>
        <w:rPr>
          <w:rFonts w:ascii="SimSun" w:hAnsi="SimSun" w:eastAsia="SimSun" w:cs="SimSun"/>
          <w:sz w:val="21"/>
          <w:szCs w:val="21"/>
          <w:spacing w:val="17"/>
        </w:rPr>
        <w:t xml:space="preserve"> </w:t>
      </w:r>
      <w:r>
        <w:rPr>
          <w:rFonts w:ascii="SimSun" w:hAnsi="SimSun" w:eastAsia="SimSun" w:cs="SimSun"/>
          <w:sz w:val="21"/>
          <w:szCs w:val="21"/>
          <w:spacing w:val="-11"/>
        </w:rPr>
        <w:t>非一个清晰的法律概念，且在具体的法律分析中，需要进一步被拆解</w:t>
      </w:r>
      <w:r>
        <w:rPr>
          <w:rFonts w:ascii="SimSun" w:hAnsi="SimSun" w:eastAsia="SimSun" w:cs="SimSun"/>
          <w:sz w:val="21"/>
          <w:szCs w:val="21"/>
          <w:spacing w:val="16"/>
        </w:rPr>
        <w:t xml:space="preserve"> </w:t>
      </w:r>
      <w:r>
        <w:rPr>
          <w:rFonts w:ascii="SimSun" w:hAnsi="SimSun" w:eastAsia="SimSun" w:cs="SimSun"/>
          <w:sz w:val="21"/>
          <w:szCs w:val="21"/>
          <w:spacing w:val="-13"/>
        </w:rPr>
        <w:t>为其他的法律概念。</w:t>
      </w:r>
    </w:p>
    <w:p>
      <w:pPr>
        <w:ind w:left="101" w:right="172" w:firstLine="430"/>
        <w:spacing w:before="132" w:line="297" w:lineRule="auto"/>
        <w:rPr>
          <w:rFonts w:ascii="SimSun" w:hAnsi="SimSun" w:eastAsia="SimSun" w:cs="SimSun"/>
          <w:sz w:val="21"/>
          <w:szCs w:val="21"/>
        </w:rPr>
      </w:pPr>
      <w:r>
        <w:rPr>
          <w:rFonts w:ascii="SimSun" w:hAnsi="SimSun" w:eastAsia="SimSun" w:cs="SimSun"/>
          <w:sz w:val="21"/>
          <w:szCs w:val="21"/>
          <w:spacing w:val="-11"/>
        </w:rPr>
        <w:t>其次，在适用范围上，“二选一”并不是平台所特有的现象，在</w:t>
      </w:r>
      <w:r>
        <w:rPr>
          <w:rFonts w:ascii="SimSun" w:hAnsi="SimSun" w:eastAsia="SimSun" w:cs="SimSun"/>
          <w:sz w:val="21"/>
          <w:szCs w:val="21"/>
          <w:spacing w:val="8"/>
        </w:rPr>
        <w:t xml:space="preserve"> </w:t>
      </w:r>
      <w:r>
        <w:rPr>
          <w:rFonts w:ascii="SimSun" w:hAnsi="SimSun" w:eastAsia="SimSun" w:cs="SimSun"/>
          <w:sz w:val="21"/>
          <w:szCs w:val="21"/>
          <w:spacing w:val="-11"/>
        </w:rPr>
        <w:t>以往的产业中也存在此类行为。例如，独家采购协议与独家供应协议</w:t>
      </w:r>
      <w:r>
        <w:rPr>
          <w:rFonts w:ascii="SimSun" w:hAnsi="SimSun" w:eastAsia="SimSun" w:cs="SimSun"/>
          <w:sz w:val="21"/>
          <w:szCs w:val="21"/>
          <w:spacing w:val="18"/>
        </w:rPr>
        <w:t xml:space="preserve"> </w:t>
      </w:r>
      <w:r>
        <w:rPr>
          <w:rFonts w:ascii="SimSun" w:hAnsi="SimSun" w:eastAsia="SimSun" w:cs="SimSun"/>
          <w:sz w:val="21"/>
          <w:szCs w:val="21"/>
          <w:spacing w:val="-11"/>
        </w:rPr>
        <w:t>等排他协议都要求交易相对人只能与其进行交易，而不得与其竞争对</w:t>
      </w:r>
      <w:r>
        <w:rPr>
          <w:rFonts w:ascii="SimSun" w:hAnsi="SimSun" w:eastAsia="SimSun" w:cs="SimSun"/>
          <w:sz w:val="21"/>
          <w:szCs w:val="21"/>
          <w:spacing w:val="17"/>
        </w:rPr>
        <w:t xml:space="preserve"> </w:t>
      </w:r>
      <w:r>
        <w:rPr>
          <w:rFonts w:ascii="SimSun" w:hAnsi="SimSun" w:eastAsia="SimSun" w:cs="SimSun"/>
          <w:sz w:val="21"/>
          <w:szCs w:val="21"/>
          <w:spacing w:val="-11"/>
        </w:rPr>
        <w:t>手进行交易。由此而言，“二选一”与平台没有必然联系，无须针对</w:t>
      </w:r>
      <w:r>
        <w:rPr>
          <w:rFonts w:ascii="SimSun" w:hAnsi="SimSun" w:eastAsia="SimSun" w:cs="SimSun"/>
          <w:sz w:val="21"/>
          <w:szCs w:val="21"/>
          <w:spacing w:val="17"/>
        </w:rPr>
        <w:t xml:space="preserve"> </w:t>
      </w:r>
      <w:r>
        <w:rPr>
          <w:rFonts w:ascii="SimSun" w:hAnsi="SimSun" w:eastAsia="SimSun" w:cs="SimSun"/>
          <w:sz w:val="21"/>
          <w:szCs w:val="21"/>
          <w:spacing w:val="-12"/>
        </w:rPr>
        <w:t>这一行为单独创设这一词汇。</w:t>
      </w:r>
    </w:p>
    <w:p>
      <w:pPr>
        <w:ind w:left="101" w:firstLine="430"/>
        <w:spacing w:before="105" w:line="306" w:lineRule="auto"/>
        <w:rPr>
          <w:rFonts w:ascii="SimSun" w:hAnsi="SimSun" w:eastAsia="SimSun" w:cs="SimSun"/>
          <w:sz w:val="21"/>
          <w:szCs w:val="21"/>
        </w:rPr>
      </w:pPr>
      <w:r>
        <w:rPr>
          <w:rFonts w:ascii="SimSun" w:hAnsi="SimSun" w:eastAsia="SimSun" w:cs="SimSun"/>
          <w:sz w:val="21"/>
          <w:szCs w:val="21"/>
          <w:spacing w:val="-11"/>
        </w:rPr>
        <w:t>再次，针对平台“二选一”的行为，不宜采用单一思维理解这种  </w:t>
      </w:r>
      <w:r>
        <w:rPr>
          <w:rFonts w:ascii="SimSun" w:hAnsi="SimSun" w:eastAsia="SimSun" w:cs="SimSun"/>
          <w:sz w:val="21"/>
          <w:szCs w:val="21"/>
          <w:spacing w:val="-11"/>
        </w:rPr>
        <w:t>商业活动的理性，切勿一刀切。如前所述，“二选一”根据实施方式</w:t>
      </w:r>
      <w:r>
        <w:rPr>
          <w:rFonts w:ascii="SimSun" w:hAnsi="SimSun" w:eastAsia="SimSun" w:cs="SimSun"/>
          <w:sz w:val="21"/>
          <w:szCs w:val="21"/>
          <w:spacing w:val="5"/>
        </w:rPr>
        <w:t xml:space="preserve">   </w:t>
      </w:r>
      <w:r>
        <w:rPr>
          <w:rFonts w:ascii="SimSun" w:hAnsi="SimSun" w:eastAsia="SimSun" w:cs="SimSun"/>
          <w:sz w:val="21"/>
          <w:szCs w:val="21"/>
          <w:spacing w:val="-11"/>
        </w:rPr>
        <w:t>的不同，可以划分为滥用市场支配地位下的限定交易和纵向垄断协议</w:t>
      </w:r>
      <w:r>
        <w:rPr>
          <w:rFonts w:ascii="SimSun" w:hAnsi="SimSun" w:eastAsia="SimSun" w:cs="SimSun"/>
          <w:sz w:val="21"/>
          <w:szCs w:val="21"/>
          <w:spacing w:val="6"/>
        </w:rPr>
        <w:t xml:space="preserve">   </w:t>
      </w:r>
      <w:r>
        <w:rPr>
          <w:rFonts w:ascii="SimSun" w:hAnsi="SimSun" w:eastAsia="SimSun" w:cs="SimSun"/>
          <w:sz w:val="21"/>
          <w:szCs w:val="21"/>
          <w:spacing w:val="-11"/>
        </w:rPr>
        <w:t>下的非价格垄断协议两种，按照现行的反垄断实践，限定交易</w:t>
      </w:r>
      <w:r>
        <w:rPr>
          <w:rFonts w:ascii="SimSun" w:hAnsi="SimSun" w:eastAsia="SimSun" w:cs="SimSun"/>
          <w:sz w:val="21"/>
          <w:szCs w:val="21"/>
          <w:spacing w:val="-12"/>
        </w:rPr>
        <w:t>和非价</w:t>
      </w:r>
      <w:r>
        <w:rPr>
          <w:rFonts w:ascii="SimSun" w:hAnsi="SimSun" w:eastAsia="SimSun" w:cs="SimSun"/>
          <w:sz w:val="21"/>
          <w:szCs w:val="21"/>
        </w:rPr>
        <w:t xml:space="preserve">   </w:t>
      </w:r>
      <w:r>
        <w:rPr>
          <w:rFonts w:ascii="SimSun" w:hAnsi="SimSun" w:eastAsia="SimSun" w:cs="SimSun"/>
          <w:sz w:val="21"/>
          <w:szCs w:val="21"/>
          <w:spacing w:val="-5"/>
        </w:rPr>
        <w:t>格垄断协议均需要判断行为的反竞争后果。执法机构在对“二选一</w:t>
      </w:r>
      <w:r>
        <w:rPr>
          <w:rFonts w:ascii="SimSun" w:hAnsi="SimSun" w:eastAsia="SimSun" w:cs="SimSun"/>
          <w:sz w:val="21"/>
          <w:szCs w:val="21"/>
          <w:spacing w:val="-73"/>
        </w:rPr>
        <w:t xml:space="preserve"> </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spacing w:val="-11"/>
        </w:rPr>
        <w:t>行为的反竞争效果进行评估时，需要考虑到相关市场的界定难度、平</w:t>
      </w:r>
      <w:r>
        <w:rPr>
          <w:rFonts w:ascii="SimSun" w:hAnsi="SimSun" w:eastAsia="SimSun" w:cs="SimSun"/>
          <w:sz w:val="21"/>
          <w:szCs w:val="21"/>
          <w:spacing w:val="6"/>
        </w:rPr>
        <w:t xml:space="preserve">   </w:t>
      </w:r>
      <w:r>
        <w:rPr>
          <w:rFonts w:ascii="SimSun" w:hAnsi="SimSun" w:eastAsia="SimSun" w:cs="SimSun"/>
          <w:sz w:val="21"/>
          <w:szCs w:val="21"/>
          <w:spacing w:val="-10"/>
        </w:rPr>
        <w:t>台的动态竞争、通过补贴方式进行“二选一”所带来的消</w:t>
      </w:r>
      <w:r>
        <w:rPr>
          <w:rFonts w:ascii="SimSun" w:hAnsi="SimSun" w:eastAsia="SimSun" w:cs="SimSun"/>
          <w:sz w:val="21"/>
          <w:szCs w:val="21"/>
          <w:spacing w:val="-11"/>
        </w:rPr>
        <w:t>费者福利增</w:t>
      </w:r>
      <w:r>
        <w:rPr>
          <w:rFonts w:ascii="SimSun" w:hAnsi="SimSun" w:eastAsia="SimSun" w:cs="SimSun"/>
          <w:sz w:val="21"/>
          <w:szCs w:val="21"/>
        </w:rPr>
        <w:t xml:space="preserve">  </w:t>
      </w:r>
      <w:r>
        <w:rPr>
          <w:rFonts w:ascii="SimSun" w:hAnsi="SimSun" w:eastAsia="SimSun" w:cs="SimSun"/>
          <w:sz w:val="21"/>
          <w:szCs w:val="21"/>
          <w:spacing w:val="-4"/>
        </w:rPr>
        <w:t>加等问题，不能因为平台有“二选一”的行为就认定其违反《反垄</w:t>
      </w:r>
      <w:r>
        <w:rPr>
          <w:rFonts w:ascii="SimSun" w:hAnsi="SimSun" w:eastAsia="SimSun" w:cs="SimSun"/>
          <w:sz w:val="21"/>
          <w:szCs w:val="21"/>
          <w:spacing w:val="5"/>
        </w:rPr>
        <w:t xml:space="preserve">   </w:t>
      </w:r>
      <w:r>
        <w:rPr>
          <w:rFonts w:ascii="SimSun" w:hAnsi="SimSun" w:eastAsia="SimSun" w:cs="SimSun"/>
          <w:sz w:val="21"/>
          <w:szCs w:val="21"/>
          <w:spacing w:val="-28"/>
        </w:rPr>
        <w:t>断法》。</w:t>
      </w:r>
    </w:p>
    <w:p>
      <w:pPr>
        <w:pStyle w:val="BodyText"/>
        <w:spacing w:line="424" w:lineRule="auto"/>
        <w:rPr/>
      </w:pPr>
      <w:r/>
    </w:p>
    <w:p>
      <w:pPr>
        <w:spacing w:before="69" w:line="221" w:lineRule="auto"/>
        <w:rPr>
          <w:rFonts w:ascii="SimHei" w:hAnsi="SimHei" w:eastAsia="SimHei" w:cs="SimHei"/>
          <w:sz w:val="21"/>
          <w:szCs w:val="21"/>
        </w:rPr>
      </w:pPr>
      <w:r>
        <w:rPr>
          <w:rFonts w:ascii="SimHei" w:hAnsi="SimHei" w:eastAsia="SimHei" w:cs="SimHei"/>
          <w:sz w:val="21"/>
          <w:szCs w:val="21"/>
          <w:b/>
          <w:bCs/>
          <w:spacing w:val="33"/>
        </w:rPr>
        <w:t>“大数据杀熟”</w:t>
      </w:r>
    </w:p>
    <w:p>
      <w:pPr>
        <w:pStyle w:val="BodyText"/>
        <w:spacing w:line="370" w:lineRule="auto"/>
        <w:rPr/>
      </w:pPr>
      <w:r/>
    </w:p>
    <w:p>
      <w:pPr>
        <w:ind w:left="534"/>
        <w:spacing w:before="68" w:line="219" w:lineRule="auto"/>
        <w:rPr>
          <w:rFonts w:ascii="SimSun" w:hAnsi="SimSun" w:eastAsia="SimSun" w:cs="SimSun"/>
          <w:sz w:val="21"/>
          <w:szCs w:val="21"/>
        </w:rPr>
      </w:pPr>
      <w:r>
        <w:rPr>
          <w:rFonts w:ascii="SimSun" w:hAnsi="SimSun" w:eastAsia="SimSun" w:cs="SimSun"/>
          <w:sz w:val="21"/>
          <w:szCs w:val="21"/>
          <w:b/>
          <w:bCs/>
          <w:spacing w:val="-13"/>
        </w:rPr>
        <w:t>事实描述与法律定性</w:t>
      </w:r>
    </w:p>
    <w:p>
      <w:pPr>
        <w:ind w:left="101" w:right="98" w:firstLine="430"/>
        <w:spacing w:before="114" w:line="300" w:lineRule="auto"/>
        <w:jc w:val="both"/>
        <w:rPr>
          <w:rFonts w:ascii="SimSun" w:hAnsi="SimSun" w:eastAsia="SimSun" w:cs="SimSun"/>
          <w:sz w:val="21"/>
          <w:szCs w:val="21"/>
        </w:rPr>
      </w:pPr>
      <w:r>
        <w:rPr>
          <w:rFonts w:ascii="SimSun" w:hAnsi="SimSun" w:eastAsia="SimSun" w:cs="SimSun"/>
          <w:sz w:val="21"/>
          <w:szCs w:val="21"/>
          <w:spacing w:val="-11"/>
        </w:rPr>
        <w:t>同平台“二选一”一样，“大数据杀熟”并非一个法律概念，而 </w:t>
      </w:r>
      <w:r>
        <w:rPr>
          <w:rFonts w:ascii="SimSun" w:hAnsi="SimSun" w:eastAsia="SimSun" w:cs="SimSun"/>
          <w:sz w:val="21"/>
          <w:szCs w:val="21"/>
          <w:spacing w:val="-7"/>
        </w:rPr>
        <w:t>是起源于媒体的曝光与批判，进而形成的一个约定俗成</w:t>
      </w:r>
      <w:r>
        <w:rPr>
          <w:rFonts w:ascii="SimSun" w:hAnsi="SimSun" w:eastAsia="SimSun" w:cs="SimSun"/>
          <w:sz w:val="21"/>
          <w:szCs w:val="21"/>
          <w:spacing w:val="-8"/>
        </w:rPr>
        <w:t>的日常用语。</w:t>
      </w:r>
      <w:r>
        <w:rPr>
          <w:rFonts w:ascii="SimSun" w:hAnsi="SimSun" w:eastAsia="SimSun" w:cs="SimSun"/>
          <w:sz w:val="21"/>
          <w:szCs w:val="21"/>
        </w:rPr>
        <w:t xml:space="preserve"> </w:t>
      </w:r>
      <w:r>
        <w:rPr>
          <w:rFonts w:ascii="SimSun" w:hAnsi="SimSun" w:eastAsia="SimSun" w:cs="SimSun"/>
          <w:sz w:val="21"/>
          <w:szCs w:val="21"/>
          <w:spacing w:val="-7"/>
        </w:rPr>
        <w:t>所谓“大数据杀熟”,是指经营者以数据为基础、借助算法技术实施</w:t>
      </w:r>
      <w:r>
        <w:rPr>
          <w:rFonts w:ascii="SimSun" w:hAnsi="SimSun" w:eastAsia="SimSun" w:cs="SimSun"/>
          <w:sz w:val="21"/>
          <w:szCs w:val="21"/>
          <w:spacing w:val="1"/>
        </w:rPr>
        <w:t xml:space="preserve">  </w:t>
      </w:r>
      <w:r>
        <w:rPr>
          <w:rFonts w:ascii="SimSun" w:hAnsi="SimSun" w:eastAsia="SimSun" w:cs="SimSun"/>
          <w:sz w:val="21"/>
          <w:szCs w:val="21"/>
          <w:spacing w:val="-4"/>
        </w:rPr>
        <w:t>的对具有购买经历的消费者(熟客)采取的个性化定价策略。其具体</w:t>
      </w:r>
      <w:r>
        <w:rPr>
          <w:rFonts w:ascii="SimSun" w:hAnsi="SimSun" w:eastAsia="SimSun" w:cs="SimSun"/>
          <w:sz w:val="21"/>
          <w:szCs w:val="21"/>
          <w:spacing w:val="8"/>
        </w:rPr>
        <w:t xml:space="preserve">  </w:t>
      </w:r>
      <w:r>
        <w:rPr>
          <w:rFonts w:ascii="SimSun" w:hAnsi="SimSun" w:eastAsia="SimSun" w:cs="SimSun"/>
          <w:sz w:val="21"/>
          <w:szCs w:val="21"/>
          <w:spacing w:val="-8"/>
        </w:rPr>
        <w:t>行为表现为：第一，收集分析消费者个人属性数据与消费行为数据，</w:t>
      </w:r>
      <w:r>
        <w:rPr>
          <w:rFonts w:ascii="SimSun" w:hAnsi="SimSun" w:eastAsia="SimSun" w:cs="SimSun"/>
          <w:sz w:val="21"/>
          <w:szCs w:val="21"/>
          <w:spacing w:val="4"/>
        </w:rPr>
        <w:t xml:space="preserve"> </w:t>
      </w:r>
      <w:r>
        <w:rPr>
          <w:rFonts w:ascii="SimSun" w:hAnsi="SimSun" w:eastAsia="SimSun" w:cs="SimSun"/>
          <w:sz w:val="21"/>
          <w:szCs w:val="21"/>
          <w:spacing w:val="-4"/>
        </w:rPr>
        <w:t>识别消费者的支付愿意；第二，运用算法进行个性化商品推荐或推</w:t>
      </w:r>
    </w:p>
    <w:p>
      <w:pPr>
        <w:spacing w:line="300" w:lineRule="auto"/>
        <w:sectPr>
          <w:headerReference w:type="default" r:id="rId474"/>
          <w:pgSz w:w="7330" w:h="12480"/>
          <w:pgMar w:top="489" w:right="506" w:bottom="400" w:left="537" w:header="325" w:footer="0" w:gutter="0"/>
        </w:sectPr>
        <w:rPr>
          <w:rFonts w:ascii="SimSun" w:hAnsi="SimSun" w:eastAsia="SimSun" w:cs="SimSun"/>
          <w:sz w:val="21"/>
          <w:szCs w:val="2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spacing w:before="69" w:line="218" w:lineRule="auto"/>
        <w:rPr>
          <w:rFonts w:ascii="SimSun" w:hAnsi="SimSun" w:eastAsia="SimSun" w:cs="SimSun"/>
          <w:sz w:val="21"/>
          <w:szCs w:val="21"/>
        </w:rPr>
      </w:pPr>
      <w:r>
        <w:rPr>
          <w:rFonts w:ascii="SimSun" w:hAnsi="SimSun" w:eastAsia="SimSun" w:cs="SimSun"/>
          <w:sz w:val="21"/>
          <w:szCs w:val="21"/>
          <w:spacing w:val="-2"/>
        </w:rPr>
        <w:t>送；第三，对不同的消费者进行差别化定价。</w:t>
      </w:r>
    </w:p>
    <w:p>
      <w:pPr>
        <w:ind w:firstLine="399"/>
        <w:spacing w:before="100" w:line="311" w:lineRule="auto"/>
        <w:jc w:val="both"/>
        <w:rPr>
          <w:rFonts w:ascii="SimSun" w:hAnsi="SimSun" w:eastAsia="SimSun" w:cs="SimSun"/>
          <w:sz w:val="21"/>
          <w:szCs w:val="21"/>
        </w:rPr>
      </w:pPr>
      <w:r>
        <w:rPr>
          <w:rFonts w:ascii="SimSun" w:hAnsi="SimSun" w:eastAsia="SimSun" w:cs="SimSun"/>
          <w:sz w:val="21"/>
          <w:szCs w:val="21"/>
          <w:spacing w:val="1"/>
        </w:rPr>
        <w:t>但“大数据杀熟”是否真实存在尚未经过充分论证。2019年7 </w:t>
      </w:r>
      <w:r>
        <w:rPr>
          <w:rFonts w:ascii="SimSun" w:hAnsi="SimSun" w:eastAsia="SimSun" w:cs="SimSun"/>
          <w:sz w:val="21"/>
          <w:szCs w:val="21"/>
          <w:spacing w:val="-3"/>
        </w:rPr>
        <w:t>月27日，北京市消协发布“大数据杀熟”问题调查结果，调查采用 </w:t>
      </w:r>
      <w:r>
        <w:rPr>
          <w:rFonts w:ascii="SimSun" w:hAnsi="SimSun" w:eastAsia="SimSun" w:cs="SimSun"/>
          <w:sz w:val="21"/>
          <w:szCs w:val="21"/>
          <w:spacing w:val="-11"/>
        </w:rPr>
        <w:t>问卷调查、舆情采集、体验调查三种方式，结论显示六成多被调查者</w:t>
      </w:r>
      <w:r>
        <w:rPr>
          <w:rFonts w:ascii="SimSun" w:hAnsi="SimSun" w:eastAsia="SimSun" w:cs="SimSun"/>
          <w:sz w:val="21"/>
          <w:szCs w:val="21"/>
          <w:spacing w:val="9"/>
        </w:rPr>
        <w:t xml:space="preserve">  </w:t>
      </w:r>
      <w:r>
        <w:rPr>
          <w:rFonts w:ascii="SimSun" w:hAnsi="SimSun" w:eastAsia="SimSun" w:cs="SimSun"/>
          <w:sz w:val="21"/>
          <w:szCs w:val="21"/>
          <w:spacing w:val="-11"/>
        </w:rPr>
        <w:t>认为“大数据杀熟”现象很普遍，舆情采集信息显示，有关“大数据</w:t>
      </w:r>
      <w:r>
        <w:rPr>
          <w:rFonts w:ascii="SimSun" w:hAnsi="SimSun" w:eastAsia="SimSun" w:cs="SimSun"/>
          <w:sz w:val="21"/>
          <w:szCs w:val="21"/>
        </w:rPr>
        <w:t xml:space="preserve">  </w:t>
      </w:r>
      <w:r>
        <w:rPr>
          <w:rFonts w:ascii="SimSun" w:hAnsi="SimSun" w:eastAsia="SimSun" w:cs="SimSun"/>
          <w:sz w:val="21"/>
          <w:szCs w:val="21"/>
          <w:spacing w:val="-10"/>
        </w:rPr>
        <w:t>杀熟”的形式非常多样。但值得关注的是体验调查的结果，即新老用</w:t>
      </w:r>
      <w:r>
        <w:rPr>
          <w:rFonts w:ascii="SimSun" w:hAnsi="SimSun" w:eastAsia="SimSun" w:cs="SimSun"/>
          <w:sz w:val="21"/>
          <w:szCs w:val="21"/>
          <w:spacing w:val="3"/>
        </w:rPr>
        <w:t xml:space="preserve"> </w:t>
      </w:r>
      <w:r>
        <w:rPr>
          <w:rFonts w:ascii="SimSun" w:hAnsi="SimSun" w:eastAsia="SimSun" w:cs="SimSun"/>
          <w:sz w:val="21"/>
          <w:szCs w:val="21"/>
          <w:spacing w:val="-10"/>
        </w:rPr>
        <w:t>户所付价格不同的原因是新用户拥有优惠券，老用户</w:t>
      </w:r>
      <w:r>
        <w:rPr>
          <w:rFonts w:ascii="SimSun" w:hAnsi="SimSun" w:eastAsia="SimSun" w:cs="SimSun"/>
          <w:sz w:val="21"/>
          <w:szCs w:val="21"/>
          <w:spacing w:val="-11"/>
        </w:rPr>
        <w:t>自动开启会员资</w:t>
      </w:r>
      <w:r>
        <w:rPr>
          <w:rFonts w:ascii="SimSun" w:hAnsi="SimSun" w:eastAsia="SimSun" w:cs="SimSun"/>
          <w:sz w:val="21"/>
          <w:szCs w:val="21"/>
        </w:rPr>
        <w:t xml:space="preserve">  </w:t>
      </w:r>
      <w:r>
        <w:rPr>
          <w:rFonts w:ascii="SimSun" w:hAnsi="SimSun" w:eastAsia="SimSun" w:cs="SimSun"/>
          <w:sz w:val="21"/>
          <w:szCs w:val="21"/>
          <w:spacing w:val="-11"/>
        </w:rPr>
        <w:t>格或推送的商品配置与服务内容存在差异，只有少数个别行为涉嫌存</w:t>
      </w:r>
      <w:r>
        <w:rPr>
          <w:rFonts w:ascii="SimSun" w:hAnsi="SimSun" w:eastAsia="SimSun" w:cs="SimSun"/>
          <w:sz w:val="21"/>
          <w:szCs w:val="21"/>
          <w:spacing w:val="8"/>
        </w:rPr>
        <w:t xml:space="preserve">  </w:t>
      </w:r>
      <w:r>
        <w:rPr>
          <w:rFonts w:ascii="SimSun" w:hAnsi="SimSun" w:eastAsia="SimSun" w:cs="SimSun"/>
          <w:sz w:val="21"/>
          <w:szCs w:val="21"/>
          <w:spacing w:val="-17"/>
        </w:rPr>
        <w:t>在“大数据杀熟”。除此之外，“大数据杀熟”散见于各类平台的新闻</w:t>
      </w:r>
      <w:r>
        <w:rPr>
          <w:rFonts w:ascii="SimSun" w:hAnsi="SimSun" w:eastAsia="SimSun" w:cs="SimSun"/>
          <w:sz w:val="21"/>
          <w:szCs w:val="21"/>
          <w:spacing w:val="7"/>
        </w:rPr>
        <w:t xml:space="preserve">  </w:t>
      </w:r>
      <w:r>
        <w:rPr>
          <w:rFonts w:ascii="SimSun" w:hAnsi="SimSun" w:eastAsia="SimSun" w:cs="SimSun"/>
          <w:sz w:val="21"/>
          <w:szCs w:val="21"/>
          <w:spacing w:val="-10"/>
        </w:rPr>
        <w:t>报道，例如同样的订单配送费不减反增的问题、不同账号在旅游平台</w:t>
      </w:r>
      <w:r>
        <w:rPr>
          <w:rFonts w:ascii="SimSun" w:hAnsi="SimSun" w:eastAsia="SimSun" w:cs="SimSun"/>
          <w:sz w:val="21"/>
          <w:szCs w:val="21"/>
        </w:rPr>
        <w:t xml:space="preserve"> </w:t>
      </w:r>
      <w:r>
        <w:rPr>
          <w:rFonts w:ascii="SimSun" w:hAnsi="SimSun" w:eastAsia="SimSun" w:cs="SimSun"/>
          <w:sz w:val="21"/>
          <w:szCs w:val="21"/>
          <w:spacing w:val="-11"/>
        </w:rPr>
        <w:t>显示房间预订价格差异的问题。在法律上，“大数据杀熟”主</w:t>
      </w:r>
      <w:r>
        <w:rPr>
          <w:rFonts w:ascii="SimSun" w:hAnsi="SimSun" w:eastAsia="SimSun" w:cs="SimSun"/>
          <w:sz w:val="21"/>
          <w:szCs w:val="21"/>
          <w:spacing w:val="-12"/>
        </w:rPr>
        <w:t>要是价</w:t>
      </w:r>
      <w:r>
        <w:rPr>
          <w:rFonts w:ascii="SimSun" w:hAnsi="SimSun" w:eastAsia="SimSun" w:cs="SimSun"/>
          <w:sz w:val="21"/>
          <w:szCs w:val="21"/>
        </w:rPr>
        <w:t xml:space="preserve">  </w:t>
      </w:r>
      <w:r>
        <w:rPr>
          <w:rFonts w:ascii="SimSun" w:hAnsi="SimSun" w:eastAsia="SimSun" w:cs="SimSun"/>
          <w:sz w:val="21"/>
          <w:szCs w:val="21"/>
          <w:spacing w:val="-16"/>
        </w:rPr>
        <w:t>格歧视问题。在三种不同的价格歧视中，</w:t>
      </w:r>
      <w:r>
        <w:rPr>
          <w:rFonts w:ascii="SimSun" w:hAnsi="SimSun" w:eastAsia="SimSun" w:cs="SimSun"/>
          <w:sz w:val="21"/>
          <w:szCs w:val="21"/>
          <w:spacing w:val="69"/>
        </w:rPr>
        <w:t xml:space="preserve"> </w:t>
      </w:r>
      <w:r>
        <w:rPr>
          <w:rFonts w:ascii="SimSun" w:hAnsi="SimSun" w:eastAsia="SimSun" w:cs="SimSun"/>
          <w:sz w:val="21"/>
          <w:szCs w:val="21"/>
          <w:spacing w:val="-16"/>
        </w:rPr>
        <w:t>一级价格歧视被称为完全的</w:t>
      </w:r>
      <w:r>
        <w:rPr>
          <w:rFonts w:ascii="SimSun" w:hAnsi="SimSun" w:eastAsia="SimSun" w:cs="SimSun"/>
          <w:sz w:val="21"/>
          <w:szCs w:val="21"/>
        </w:rPr>
        <w:t xml:space="preserve">  </w:t>
      </w:r>
      <w:r>
        <w:rPr>
          <w:rFonts w:ascii="SimSun" w:hAnsi="SimSun" w:eastAsia="SimSun" w:cs="SimSun"/>
          <w:sz w:val="21"/>
          <w:szCs w:val="21"/>
          <w:spacing w:val="-11"/>
        </w:rPr>
        <w:t>价格歧视，它指的是对每一个消费者都收取不同的价格。二级价格歧</w:t>
      </w:r>
      <w:r>
        <w:rPr>
          <w:rFonts w:ascii="SimSun" w:hAnsi="SimSun" w:eastAsia="SimSun" w:cs="SimSun"/>
          <w:sz w:val="21"/>
          <w:szCs w:val="21"/>
          <w:spacing w:val="8"/>
        </w:rPr>
        <w:t xml:space="preserve">  </w:t>
      </w:r>
      <w:r>
        <w:rPr>
          <w:rFonts w:ascii="SimSun" w:hAnsi="SimSun" w:eastAsia="SimSun" w:cs="SimSun"/>
          <w:sz w:val="21"/>
          <w:szCs w:val="21"/>
          <w:spacing w:val="-11"/>
        </w:rPr>
        <w:t>视指的是为消费者提供不同数量、质量和价位的组合，然后让消费者</w:t>
      </w:r>
      <w:r>
        <w:rPr>
          <w:rFonts w:ascii="SimSun" w:hAnsi="SimSun" w:eastAsia="SimSun" w:cs="SimSun"/>
          <w:sz w:val="21"/>
          <w:szCs w:val="21"/>
          <w:spacing w:val="9"/>
        </w:rPr>
        <w:t xml:space="preserve">  </w:t>
      </w:r>
      <w:r>
        <w:rPr>
          <w:rFonts w:ascii="SimSun" w:hAnsi="SimSun" w:eastAsia="SimSun" w:cs="SimSun"/>
          <w:sz w:val="21"/>
          <w:szCs w:val="21"/>
          <w:spacing w:val="-11"/>
        </w:rPr>
        <w:t>自行选择最为偏好的那种组合。在这个过程中，商品的价格是随着购</w:t>
      </w:r>
      <w:r>
        <w:rPr>
          <w:rFonts w:ascii="SimSun" w:hAnsi="SimSun" w:eastAsia="SimSun" w:cs="SimSun"/>
          <w:sz w:val="21"/>
          <w:szCs w:val="21"/>
        </w:rPr>
        <w:t xml:space="preserve">  </w:t>
      </w:r>
      <w:r>
        <w:rPr>
          <w:rFonts w:ascii="SimSun" w:hAnsi="SimSun" w:eastAsia="SimSun" w:cs="SimSun"/>
          <w:sz w:val="21"/>
          <w:szCs w:val="21"/>
          <w:spacing w:val="-11"/>
        </w:rPr>
        <w:t>买量的变化而变化的。三级价格歧视是对不同市场或不同消费者群体</w:t>
      </w:r>
      <w:r>
        <w:rPr>
          <w:rFonts w:ascii="SimSun" w:hAnsi="SimSun" w:eastAsia="SimSun" w:cs="SimSun"/>
          <w:sz w:val="21"/>
          <w:szCs w:val="21"/>
          <w:spacing w:val="8"/>
        </w:rPr>
        <w:t xml:space="preserve">  </w:t>
      </w:r>
      <w:r>
        <w:rPr>
          <w:rFonts w:ascii="SimSun" w:hAnsi="SimSun" w:eastAsia="SimSun" w:cs="SimSun"/>
          <w:sz w:val="21"/>
          <w:szCs w:val="21"/>
          <w:spacing w:val="-14"/>
        </w:rPr>
        <w:t>收取不同的价格。“大数据杀熟”属于一级价格歧视，它以购买能力、</w:t>
      </w:r>
      <w:r>
        <w:rPr>
          <w:rFonts w:ascii="SimSun" w:hAnsi="SimSun" w:eastAsia="SimSun" w:cs="SimSun"/>
          <w:sz w:val="21"/>
          <w:szCs w:val="21"/>
          <w:spacing w:val="7"/>
        </w:rPr>
        <w:t xml:space="preserve"> </w:t>
      </w:r>
      <w:r>
        <w:rPr>
          <w:rFonts w:ascii="SimSun" w:hAnsi="SimSun" w:eastAsia="SimSun" w:cs="SimSun"/>
          <w:sz w:val="21"/>
          <w:szCs w:val="21"/>
          <w:spacing w:val="-11"/>
        </w:rPr>
        <w:t>消费偏好等多项参数的加权考量，对单个消费者保留价格进行最大化</w:t>
      </w:r>
      <w:r>
        <w:rPr>
          <w:rFonts w:ascii="SimSun" w:hAnsi="SimSun" w:eastAsia="SimSun" w:cs="SimSun"/>
          <w:sz w:val="21"/>
          <w:szCs w:val="21"/>
          <w:spacing w:val="8"/>
        </w:rPr>
        <w:t xml:space="preserve">  </w:t>
      </w:r>
      <w:r>
        <w:rPr>
          <w:rFonts w:ascii="SimSun" w:hAnsi="SimSun" w:eastAsia="SimSun" w:cs="SimSun"/>
          <w:sz w:val="21"/>
          <w:szCs w:val="21"/>
          <w:spacing w:val="-22"/>
        </w:rPr>
        <w:t>获取。②</w:t>
      </w:r>
    </w:p>
    <w:p>
      <w:pPr>
        <w:pStyle w:val="BodyText"/>
        <w:spacing w:line="401" w:lineRule="auto"/>
        <w:rPr/>
      </w:pPr>
      <w:r/>
    </w:p>
    <w:p>
      <w:pPr>
        <w:ind w:left="327"/>
        <w:spacing w:before="69" w:line="219" w:lineRule="auto"/>
        <w:rPr>
          <w:rFonts w:ascii="SimSun" w:hAnsi="SimSun" w:eastAsia="SimSun" w:cs="SimSun"/>
          <w:sz w:val="21"/>
          <w:szCs w:val="21"/>
        </w:rPr>
      </w:pPr>
      <w:r>
        <w:rPr>
          <w:rFonts w:ascii="SimSun" w:hAnsi="SimSun" w:eastAsia="SimSun" w:cs="SimSun"/>
          <w:sz w:val="21"/>
          <w:szCs w:val="21"/>
          <w:b/>
          <w:bCs/>
          <w:spacing w:val="-13"/>
        </w:rPr>
        <w:t>“大数据杀熟”的监管和反垄断现状</w:t>
      </w:r>
    </w:p>
    <w:p>
      <w:pPr>
        <w:ind w:firstLine="284"/>
        <w:spacing w:before="120" w:line="284" w:lineRule="auto"/>
        <w:jc w:val="both"/>
        <w:rPr>
          <w:rFonts w:ascii="SimSun" w:hAnsi="SimSun" w:eastAsia="SimSun" w:cs="SimSun"/>
          <w:sz w:val="21"/>
          <w:szCs w:val="21"/>
        </w:rPr>
      </w:pPr>
      <w:r>
        <w:rPr>
          <w:rFonts w:ascii="SimSun" w:hAnsi="SimSun" w:eastAsia="SimSun" w:cs="SimSun"/>
          <w:sz w:val="21"/>
          <w:szCs w:val="21"/>
          <w:spacing w:val="-20"/>
        </w:rPr>
        <w:t>《消费者权益保护法》、《个人信息保护法》《电子商务法》和《价</w:t>
      </w:r>
      <w:r>
        <w:rPr>
          <w:rFonts w:ascii="SimSun" w:hAnsi="SimSun" w:eastAsia="SimSun" w:cs="SimSun"/>
          <w:sz w:val="21"/>
          <w:szCs w:val="21"/>
          <w:spacing w:val="7"/>
        </w:rPr>
        <w:t xml:space="preserve">  </w:t>
      </w:r>
      <w:r>
        <w:rPr>
          <w:rFonts w:ascii="SimSun" w:hAnsi="SimSun" w:eastAsia="SimSun" w:cs="SimSun"/>
          <w:sz w:val="21"/>
          <w:szCs w:val="21"/>
          <w:spacing w:val="-7"/>
        </w:rPr>
        <w:t>格违法行为行政处罚规定(修订征求意见稿)》都明令禁止价格歧视。</w:t>
      </w:r>
      <w:r>
        <w:rPr>
          <w:rFonts w:ascii="SimSun" w:hAnsi="SimSun" w:eastAsia="SimSun" w:cs="SimSun"/>
          <w:sz w:val="21"/>
          <w:szCs w:val="21"/>
        </w:rPr>
        <w:t xml:space="preserve"> </w:t>
      </w:r>
      <w:r>
        <w:rPr>
          <w:rFonts w:ascii="SimSun" w:hAnsi="SimSun" w:eastAsia="SimSun" w:cs="SimSun"/>
          <w:sz w:val="21"/>
          <w:szCs w:val="21"/>
          <w:spacing w:val="-10"/>
        </w:rPr>
        <w:t>在此之外，《反垄断法》也对价格歧视做了专门规定。价格歧视可能</w:t>
      </w:r>
    </w:p>
    <w:p>
      <w:pPr>
        <w:spacing w:before="283" w:line="212" w:lineRule="auto"/>
        <w:rPr>
          <w:rFonts w:ascii="Times New Roman" w:hAnsi="Times New Roman" w:eastAsia="Times New Roman" w:cs="Times New Roman"/>
          <w:sz w:val="16"/>
          <w:szCs w:val="16"/>
        </w:rPr>
      </w:pPr>
      <w:r>
        <w:rPr>
          <w:rFonts w:ascii="KaiTi" w:hAnsi="KaiTi" w:eastAsia="KaiTi" w:cs="KaiTi"/>
          <w:sz w:val="16"/>
          <w:szCs w:val="16"/>
          <w:spacing w:val="3"/>
        </w:rPr>
        <w:t>①</w:t>
      </w:r>
      <w:r>
        <w:rPr>
          <w:rFonts w:ascii="KaiTi" w:hAnsi="KaiTi" w:eastAsia="KaiTi" w:cs="KaiTi"/>
          <w:sz w:val="16"/>
          <w:szCs w:val="16"/>
          <w:spacing w:val="56"/>
        </w:rPr>
        <w:t xml:space="preserve"> </w:t>
      </w:r>
      <w:r>
        <w:rPr>
          <w:rFonts w:ascii="KaiTi" w:hAnsi="KaiTi" w:eastAsia="KaiTi" w:cs="KaiTi"/>
          <w:sz w:val="16"/>
          <w:szCs w:val="16"/>
          <w:spacing w:val="3"/>
        </w:rPr>
        <w:t>喻玲.算法消费者价格歧视反垄断法属性的误读及辨明.法学，</w:t>
      </w:r>
      <w:r>
        <w:rPr>
          <w:rFonts w:ascii="KaiTi" w:hAnsi="KaiTi" w:eastAsia="KaiTi" w:cs="KaiTi"/>
          <w:sz w:val="16"/>
          <w:szCs w:val="16"/>
          <w:spacing w:val="2"/>
        </w:rPr>
        <w:t>2020</w:t>
      </w:r>
      <w:r>
        <w:rPr>
          <w:rFonts w:ascii="KaiTi" w:hAnsi="KaiTi" w:eastAsia="KaiTi" w:cs="KaiTi"/>
          <w:sz w:val="16"/>
          <w:szCs w:val="16"/>
          <w:spacing w:val="-38"/>
        </w:rPr>
        <w:t xml:space="preserve"> </w:t>
      </w:r>
      <w:r>
        <w:rPr>
          <w:rFonts w:ascii="Times New Roman" w:hAnsi="Times New Roman" w:eastAsia="Times New Roman" w:cs="Times New Roman"/>
          <w:sz w:val="16"/>
          <w:szCs w:val="16"/>
          <w:spacing w:val="2"/>
        </w:rPr>
        <w:t>(9):83-99.</w:t>
      </w:r>
    </w:p>
    <w:p>
      <w:pPr>
        <w:spacing w:before="128" w:line="220" w:lineRule="auto"/>
        <w:rPr>
          <w:rFonts w:ascii="KaiTi" w:hAnsi="KaiTi" w:eastAsia="KaiTi" w:cs="KaiTi"/>
          <w:sz w:val="16"/>
          <w:szCs w:val="16"/>
        </w:rPr>
      </w:pPr>
      <w:r>
        <w:rPr>
          <w:rFonts w:ascii="KaiTi" w:hAnsi="KaiTi" w:eastAsia="KaiTi" w:cs="KaiTi"/>
          <w:sz w:val="16"/>
          <w:szCs w:val="16"/>
          <w:spacing w:val="5"/>
        </w:rPr>
        <w:t>②</w:t>
      </w:r>
      <w:r>
        <w:rPr>
          <w:rFonts w:ascii="KaiTi" w:hAnsi="KaiTi" w:eastAsia="KaiTi" w:cs="KaiTi"/>
          <w:sz w:val="16"/>
          <w:szCs w:val="16"/>
          <w:spacing w:val="67"/>
        </w:rPr>
        <w:t xml:space="preserve"> </w:t>
      </w:r>
      <w:r>
        <w:rPr>
          <w:rFonts w:ascii="KaiTi" w:hAnsi="KaiTi" w:eastAsia="KaiTi" w:cs="KaiTi"/>
          <w:sz w:val="16"/>
          <w:szCs w:val="16"/>
          <w:spacing w:val="5"/>
        </w:rPr>
        <w:t>贺斯迈，侯利阳.</w:t>
      </w:r>
      <w:r>
        <w:rPr>
          <w:rFonts w:ascii="KaiTi" w:hAnsi="KaiTi" w:eastAsia="KaiTi" w:cs="KaiTi"/>
          <w:sz w:val="16"/>
          <w:szCs w:val="16"/>
          <w:spacing w:val="5"/>
        </w:rPr>
        <w:t xml:space="preserve"> </w:t>
      </w:r>
      <w:r>
        <w:rPr>
          <w:rFonts w:ascii="KaiTi" w:hAnsi="KaiTi" w:eastAsia="KaiTi" w:cs="KaiTi"/>
          <w:sz w:val="16"/>
          <w:szCs w:val="16"/>
          <w:spacing w:val="5"/>
        </w:rPr>
        <w:t>“大数据杀熟”的科技面向与制度因应.检察风云，2021(2):</w:t>
      </w:r>
    </w:p>
    <w:p>
      <w:pPr>
        <w:ind w:left="299"/>
        <w:spacing w:before="116" w:line="184" w:lineRule="auto"/>
        <w:rPr>
          <w:rFonts w:ascii="SimSun" w:hAnsi="SimSun" w:eastAsia="SimSun" w:cs="SimSun"/>
          <w:sz w:val="16"/>
          <w:szCs w:val="16"/>
        </w:rPr>
      </w:pPr>
      <w:r>
        <w:rPr>
          <w:rFonts w:ascii="SimSun" w:hAnsi="SimSun" w:eastAsia="SimSun" w:cs="SimSun"/>
          <w:sz w:val="16"/>
          <w:szCs w:val="16"/>
          <w:spacing w:val="-4"/>
        </w:rPr>
        <w:t>15-17.</w:t>
      </w:r>
    </w:p>
    <w:p>
      <w:pPr>
        <w:spacing w:line="184" w:lineRule="auto"/>
        <w:sectPr>
          <w:headerReference w:type="default" r:id="rId475"/>
          <w:pgSz w:w="7330" w:h="12480"/>
          <w:pgMar w:top="828" w:right="644" w:bottom="400" w:left="600" w:header="663" w:footer="0" w:gutter="0"/>
        </w:sectPr>
        <w:rPr>
          <w:rFonts w:ascii="SimSun" w:hAnsi="SimSun" w:eastAsia="SimSun" w:cs="SimSun"/>
          <w:sz w:val="16"/>
          <w:szCs w:val="16"/>
        </w:rPr>
      </w:pPr>
    </w:p>
    <w:p>
      <w:pPr>
        <w:ind w:left="104"/>
        <w:spacing w:line="220" w:lineRule="auto"/>
        <w:rPr>
          <w:rFonts w:ascii="SimHei" w:hAnsi="SimHei" w:eastAsia="SimHei" w:cs="SimHei"/>
          <w:sz w:val="17"/>
          <w:szCs w:val="17"/>
        </w:rPr>
      </w:pPr>
      <w:r>
        <w:rPr>
          <w:rFonts w:ascii="SimSun" w:hAnsi="SimSun" w:eastAsia="SimSun" w:cs="SimSun"/>
          <w:sz w:val="12"/>
          <w:szCs w:val="12"/>
          <w:spacing w:val="-8"/>
          <w:position w:val="-1"/>
        </w:rPr>
        <w:t>398                                </w:t>
      </w:r>
      <w:r>
        <w:rPr>
          <w:rFonts w:ascii="SimHei" w:hAnsi="SimHei" w:eastAsia="SimHei" w:cs="SimHei"/>
          <w:sz w:val="17"/>
          <w:szCs w:val="17"/>
          <w:b/>
          <w:bCs/>
          <w:spacing w:val="-8"/>
        </w:rPr>
        <w:t>平台经济——创新、治理与繁荣</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104"/>
        <w:spacing w:before="68" w:line="268" w:lineRule="auto"/>
        <w:rPr>
          <w:rFonts w:ascii="SimSun" w:hAnsi="SimSun" w:eastAsia="SimSun" w:cs="SimSun"/>
          <w:sz w:val="21"/>
          <w:szCs w:val="21"/>
        </w:rPr>
      </w:pPr>
      <w:r>
        <w:rPr>
          <w:rFonts w:ascii="SimSun" w:hAnsi="SimSun" w:eastAsia="SimSun" w:cs="SimSun"/>
          <w:sz w:val="21"/>
          <w:szCs w:val="21"/>
          <w:spacing w:val="-6"/>
        </w:rPr>
        <w:t>损害消费者的知情权、选择权和公平交易，但《消费者权益保护法》</w:t>
      </w:r>
      <w:r>
        <w:rPr>
          <w:rFonts w:ascii="SimSun" w:hAnsi="SimSun" w:eastAsia="SimSun" w:cs="SimSun"/>
          <w:sz w:val="21"/>
          <w:szCs w:val="21"/>
          <w:spacing w:val="3"/>
        </w:rPr>
        <w:t xml:space="preserve"> </w:t>
      </w:r>
      <w:r>
        <w:rPr>
          <w:rFonts w:ascii="SimSun" w:hAnsi="SimSun" w:eastAsia="SimSun" w:cs="SimSun"/>
          <w:sz w:val="21"/>
          <w:szCs w:val="21"/>
          <w:spacing w:val="-11"/>
        </w:rPr>
        <w:t>并没有规定此类术语，因此适用有限。</w:t>
      </w:r>
    </w:p>
    <w:p>
      <w:pPr>
        <w:ind w:right="50" w:firstLine="399"/>
        <w:spacing w:before="106" w:line="308" w:lineRule="auto"/>
        <w:jc w:val="both"/>
        <w:rPr>
          <w:rFonts w:ascii="SimSun" w:hAnsi="SimSun" w:eastAsia="SimSun" w:cs="SimSun"/>
          <w:sz w:val="21"/>
          <w:szCs w:val="21"/>
        </w:rPr>
      </w:pPr>
      <w:r>
        <w:rPr>
          <w:rFonts w:ascii="SimSun" w:hAnsi="SimSun" w:eastAsia="SimSun" w:cs="SimSun"/>
          <w:sz w:val="21"/>
          <w:szCs w:val="21"/>
          <w:spacing w:val="-6"/>
        </w:rPr>
        <w:t>《个人信息保护法》区分了经营者利用个人信息进行的正当自动</w:t>
      </w:r>
      <w:r>
        <w:rPr>
          <w:rFonts w:ascii="SimSun" w:hAnsi="SimSun" w:eastAsia="SimSun" w:cs="SimSun"/>
          <w:sz w:val="21"/>
          <w:szCs w:val="21"/>
          <w:spacing w:val="11"/>
        </w:rPr>
        <w:t xml:space="preserve"> </w:t>
      </w:r>
      <w:r>
        <w:rPr>
          <w:rFonts w:ascii="SimSun" w:hAnsi="SimSun" w:eastAsia="SimSun" w:cs="SimSun"/>
          <w:sz w:val="21"/>
          <w:szCs w:val="21"/>
        </w:rPr>
        <w:t>化决策和个性化营销，并对不正当的差别待遇行为做了限</w:t>
      </w:r>
      <w:r>
        <w:rPr>
          <w:rFonts w:ascii="SimSun" w:hAnsi="SimSun" w:eastAsia="SimSun" w:cs="SimSun"/>
          <w:sz w:val="21"/>
          <w:szCs w:val="21"/>
          <w:spacing w:val="-1"/>
        </w:rPr>
        <w:t>制。根据</w:t>
      </w:r>
      <w:r>
        <w:rPr>
          <w:rFonts w:ascii="SimSun" w:hAnsi="SimSun" w:eastAsia="SimSun" w:cs="SimSun"/>
          <w:sz w:val="21"/>
          <w:szCs w:val="21"/>
        </w:rPr>
        <w:t xml:space="preserve">  </w:t>
      </w:r>
      <w:r>
        <w:rPr>
          <w:rFonts w:ascii="SimSun" w:hAnsi="SimSun" w:eastAsia="SimSun" w:cs="SimSun"/>
          <w:sz w:val="21"/>
          <w:szCs w:val="21"/>
          <w:spacing w:val="-10"/>
        </w:rPr>
        <w:t>《个人信息保护法》,个人信息处理者可以利用个人信息进行自动化决 </w:t>
      </w:r>
      <w:r>
        <w:rPr>
          <w:rFonts w:ascii="SimSun" w:hAnsi="SimSun" w:eastAsia="SimSun" w:cs="SimSun"/>
          <w:sz w:val="21"/>
          <w:szCs w:val="21"/>
          <w:spacing w:val="-4"/>
        </w:rPr>
        <w:t>策，开展个性化营销，但以保证决策过程公开透明，决策结果公</w:t>
      </w:r>
      <w:r>
        <w:rPr>
          <w:rFonts w:ascii="SimSun" w:hAnsi="SimSun" w:eastAsia="SimSun" w:cs="SimSun"/>
          <w:sz w:val="21"/>
          <w:szCs w:val="21"/>
          <w:spacing w:val="-5"/>
        </w:rPr>
        <w:t>平、</w:t>
      </w:r>
      <w:r>
        <w:rPr>
          <w:rFonts w:ascii="SimSun" w:hAnsi="SimSun" w:eastAsia="SimSun" w:cs="SimSun"/>
          <w:sz w:val="21"/>
          <w:szCs w:val="21"/>
        </w:rPr>
        <w:t xml:space="preserve"> </w:t>
      </w:r>
      <w:r>
        <w:rPr>
          <w:rFonts w:ascii="SimSun" w:hAnsi="SimSun" w:eastAsia="SimSun" w:cs="SimSun"/>
          <w:sz w:val="21"/>
          <w:szCs w:val="21"/>
          <w:spacing w:val="-7"/>
        </w:rPr>
        <w:t>公正为前提。对应地，《个人信息保护法》禁止个</w:t>
      </w:r>
      <w:r>
        <w:rPr>
          <w:rFonts w:ascii="SimSun" w:hAnsi="SimSun" w:eastAsia="SimSun" w:cs="SimSun"/>
          <w:sz w:val="21"/>
          <w:szCs w:val="21"/>
          <w:spacing w:val="-8"/>
        </w:rPr>
        <w:t>人信息处理者在交</w:t>
      </w:r>
      <w:r>
        <w:rPr>
          <w:rFonts w:ascii="SimSun" w:hAnsi="SimSun" w:eastAsia="SimSun" w:cs="SimSun"/>
          <w:sz w:val="21"/>
          <w:szCs w:val="21"/>
        </w:rPr>
        <w:t xml:space="preserve">  </w:t>
      </w:r>
      <w:r>
        <w:rPr>
          <w:rFonts w:ascii="SimSun" w:hAnsi="SimSun" w:eastAsia="SimSun" w:cs="SimSun"/>
          <w:sz w:val="21"/>
          <w:szCs w:val="21"/>
        </w:rPr>
        <w:t>易条件(包括交易价格)上对个人实行不合理的差别待</w:t>
      </w:r>
      <w:r>
        <w:rPr>
          <w:rFonts w:ascii="SimSun" w:hAnsi="SimSun" w:eastAsia="SimSun" w:cs="SimSun"/>
          <w:sz w:val="21"/>
          <w:szCs w:val="21"/>
          <w:spacing w:val="-1"/>
        </w:rPr>
        <w:t>遇。同时应该</w:t>
      </w:r>
      <w:r>
        <w:rPr>
          <w:rFonts w:ascii="SimSun" w:hAnsi="SimSun" w:eastAsia="SimSun" w:cs="SimSun"/>
          <w:sz w:val="21"/>
          <w:szCs w:val="21"/>
        </w:rPr>
        <w:t xml:space="preserve">  </w:t>
      </w:r>
      <w:r>
        <w:rPr>
          <w:rFonts w:ascii="SimSun" w:hAnsi="SimSun" w:eastAsia="SimSun" w:cs="SimSun"/>
          <w:sz w:val="21"/>
          <w:szCs w:val="21"/>
          <w:spacing w:val="-7"/>
        </w:rPr>
        <w:t>强调的是，《个人信息保护法》并非绝对禁止企业利用</w:t>
      </w:r>
      <w:r>
        <w:rPr>
          <w:rFonts w:ascii="SimSun" w:hAnsi="SimSun" w:eastAsia="SimSun" w:cs="SimSun"/>
          <w:sz w:val="21"/>
          <w:szCs w:val="21"/>
          <w:spacing w:val="-8"/>
        </w:rPr>
        <w:t>用户画像进行</w:t>
      </w:r>
      <w:r>
        <w:rPr>
          <w:rFonts w:ascii="SimSun" w:hAnsi="SimSun" w:eastAsia="SimSun" w:cs="SimSun"/>
          <w:sz w:val="21"/>
          <w:szCs w:val="21"/>
        </w:rPr>
        <w:t xml:space="preserve">  </w:t>
      </w:r>
      <w:r>
        <w:rPr>
          <w:rFonts w:ascii="SimSun" w:hAnsi="SimSun" w:eastAsia="SimSun" w:cs="SimSun"/>
          <w:sz w:val="21"/>
          <w:szCs w:val="21"/>
          <w:spacing w:val="-4"/>
        </w:rPr>
        <w:t>差异化定价(例如对一些新客、不活跃客户提供更便宜价格或优惠补</w:t>
      </w:r>
      <w:r>
        <w:rPr>
          <w:rFonts w:ascii="SimSun" w:hAnsi="SimSun" w:eastAsia="SimSun" w:cs="SimSun"/>
          <w:sz w:val="21"/>
          <w:szCs w:val="21"/>
          <w:spacing w:val="7"/>
        </w:rPr>
        <w:t xml:space="preserve">  </w:t>
      </w:r>
      <w:r>
        <w:rPr>
          <w:rFonts w:ascii="SimSun" w:hAnsi="SimSun" w:eastAsia="SimSun" w:cs="SimSun"/>
          <w:sz w:val="21"/>
          <w:szCs w:val="21"/>
        </w:rPr>
        <w:t>贴),而是强调该技术的应用不应导致不公平的结果。但作为</w:t>
      </w:r>
      <w:r>
        <w:rPr>
          <w:rFonts w:ascii="SimSun" w:hAnsi="SimSun" w:eastAsia="SimSun" w:cs="SimSun"/>
          <w:sz w:val="21"/>
          <w:szCs w:val="21"/>
          <w:spacing w:val="-1"/>
        </w:rPr>
        <w:t>正常商</w:t>
      </w:r>
      <w:r>
        <w:rPr>
          <w:rFonts w:ascii="SimSun" w:hAnsi="SimSun" w:eastAsia="SimSun" w:cs="SimSun"/>
          <w:sz w:val="21"/>
          <w:szCs w:val="21"/>
        </w:rPr>
        <w:t xml:space="preserve">  </w:t>
      </w:r>
      <w:r>
        <w:rPr>
          <w:rFonts w:ascii="SimSun" w:hAnsi="SimSun" w:eastAsia="SimSun" w:cs="SimSun"/>
          <w:sz w:val="21"/>
          <w:szCs w:val="21"/>
          <w:spacing w:val="-7"/>
        </w:rPr>
        <w:t>业行为的价格歧视和侵害消费者选择权、知情权的</w:t>
      </w:r>
      <w:r>
        <w:rPr>
          <w:rFonts w:ascii="SimSun" w:hAnsi="SimSun" w:eastAsia="SimSun" w:cs="SimSun"/>
          <w:sz w:val="21"/>
          <w:szCs w:val="21"/>
          <w:spacing w:val="-8"/>
        </w:rPr>
        <w:t>行为边界还较为模</w:t>
      </w:r>
      <w:r>
        <w:rPr>
          <w:rFonts w:ascii="SimSun" w:hAnsi="SimSun" w:eastAsia="SimSun" w:cs="SimSun"/>
          <w:sz w:val="21"/>
          <w:szCs w:val="21"/>
        </w:rPr>
        <w:t xml:space="preserve">  </w:t>
      </w:r>
      <w:r>
        <w:rPr>
          <w:rFonts w:ascii="SimSun" w:hAnsi="SimSun" w:eastAsia="SimSun" w:cs="SimSun"/>
          <w:sz w:val="21"/>
          <w:szCs w:val="21"/>
          <w:spacing w:val="1"/>
        </w:rPr>
        <w:t>糊，尚待澄清。</w:t>
      </w:r>
    </w:p>
    <w:p>
      <w:pPr>
        <w:ind w:left="104" w:firstLine="294"/>
        <w:spacing w:before="111" w:line="296" w:lineRule="auto"/>
        <w:jc w:val="both"/>
        <w:rPr>
          <w:rFonts w:ascii="SimSun" w:hAnsi="SimSun" w:eastAsia="SimSun" w:cs="SimSun"/>
          <w:sz w:val="21"/>
          <w:szCs w:val="21"/>
        </w:rPr>
      </w:pPr>
      <w:r>
        <w:rPr>
          <w:rFonts w:ascii="SimSun" w:hAnsi="SimSun" w:eastAsia="SimSun" w:cs="SimSun"/>
          <w:sz w:val="21"/>
          <w:szCs w:val="21"/>
          <w:spacing w:val="-2"/>
        </w:rPr>
        <w:t>《价格法》和《价格违法行为行政处罚规定(修订征求意见稿)》</w:t>
      </w:r>
      <w:r>
        <w:rPr>
          <w:rFonts w:ascii="SimSun" w:hAnsi="SimSun" w:eastAsia="SimSun" w:cs="SimSun"/>
          <w:sz w:val="21"/>
          <w:szCs w:val="21"/>
          <w:spacing w:val="6"/>
        </w:rPr>
        <w:t xml:space="preserve"> </w:t>
      </w:r>
      <w:r>
        <w:rPr>
          <w:rFonts w:ascii="SimSun" w:hAnsi="SimSun" w:eastAsia="SimSun" w:cs="SimSun"/>
          <w:sz w:val="21"/>
          <w:szCs w:val="21"/>
          <w:spacing w:val="-11"/>
        </w:rPr>
        <w:t>均对价格歧视有所规定。但当前《价格法》与《反垄断法》的关系尚</w:t>
      </w:r>
      <w:r>
        <w:rPr>
          <w:rFonts w:ascii="SimSun" w:hAnsi="SimSun" w:eastAsia="SimSun" w:cs="SimSun"/>
          <w:sz w:val="21"/>
          <w:szCs w:val="21"/>
          <w:spacing w:val="7"/>
        </w:rPr>
        <w:t xml:space="preserve">  </w:t>
      </w:r>
      <w:r>
        <w:rPr>
          <w:rFonts w:ascii="SimSun" w:hAnsi="SimSun" w:eastAsia="SimSun" w:cs="SimSun"/>
          <w:sz w:val="21"/>
          <w:szCs w:val="21"/>
          <w:spacing w:val="-12"/>
        </w:rPr>
        <w:t>未厘清，通常认为《反垄断法》与《价格法》在自由竞争的市场中存  </w:t>
      </w:r>
      <w:r>
        <w:rPr>
          <w:rFonts w:ascii="SimSun" w:hAnsi="SimSun" w:eastAsia="SimSun" w:cs="SimSun"/>
          <w:sz w:val="21"/>
          <w:szCs w:val="21"/>
          <w:spacing w:val="-11"/>
        </w:rPr>
        <w:t>在法律竞合，但《反垄断法》是不是优先于《价格法》的特殊法，尚</w:t>
      </w:r>
      <w:r>
        <w:rPr>
          <w:rFonts w:ascii="SimSun" w:hAnsi="SimSun" w:eastAsia="SimSun" w:cs="SimSun"/>
          <w:sz w:val="21"/>
          <w:szCs w:val="21"/>
          <w:spacing w:val="7"/>
        </w:rPr>
        <w:t xml:space="preserve">  </w:t>
      </w:r>
      <w:r>
        <w:rPr>
          <w:rFonts w:ascii="SimSun" w:hAnsi="SimSun" w:eastAsia="SimSun" w:cs="SimSun"/>
          <w:sz w:val="21"/>
          <w:szCs w:val="21"/>
          <w:spacing w:val="-22"/>
        </w:rPr>
        <w:t>存在争议。①</w:t>
      </w:r>
    </w:p>
    <w:p>
      <w:pPr>
        <w:ind w:left="104" w:right="19" w:firstLine="294"/>
        <w:spacing w:before="115" w:line="289" w:lineRule="auto"/>
        <w:jc w:val="both"/>
        <w:rPr>
          <w:rFonts w:ascii="SimSun" w:hAnsi="SimSun" w:eastAsia="SimSun" w:cs="SimSun"/>
          <w:sz w:val="21"/>
          <w:szCs w:val="21"/>
        </w:rPr>
      </w:pPr>
      <w:r>
        <w:rPr>
          <w:rFonts w:ascii="SimSun" w:hAnsi="SimSun" w:eastAsia="SimSun" w:cs="SimSun"/>
          <w:sz w:val="21"/>
          <w:szCs w:val="21"/>
          <w:spacing w:val="5"/>
        </w:rPr>
        <w:t>《反垄断法》对价格歧视的规定在第十七条第一款第(六)项，</w:t>
      </w:r>
      <w:r>
        <w:rPr>
          <w:rFonts w:ascii="SimSun" w:hAnsi="SimSun" w:eastAsia="SimSun" w:cs="SimSun"/>
          <w:sz w:val="21"/>
          <w:szCs w:val="21"/>
        </w:rPr>
        <w:t xml:space="preserve"> </w:t>
      </w:r>
      <w:r>
        <w:rPr>
          <w:rFonts w:ascii="SimSun" w:hAnsi="SimSun" w:eastAsia="SimSun" w:cs="SimSun"/>
          <w:sz w:val="21"/>
          <w:szCs w:val="21"/>
          <w:spacing w:val="-11"/>
        </w:rPr>
        <w:t>即禁止具有市场支配地位的经营者无正当理由对条件相同的交易相对</w:t>
      </w:r>
      <w:r>
        <w:rPr>
          <w:rFonts w:ascii="SimSun" w:hAnsi="SimSun" w:eastAsia="SimSun" w:cs="SimSun"/>
          <w:sz w:val="21"/>
          <w:szCs w:val="21"/>
          <w:spacing w:val="3"/>
        </w:rPr>
        <w:t xml:space="preserve">  </w:t>
      </w:r>
      <w:r>
        <w:rPr>
          <w:rFonts w:ascii="SimSun" w:hAnsi="SimSun" w:eastAsia="SimSun" w:cs="SimSun"/>
          <w:sz w:val="21"/>
          <w:szCs w:val="21"/>
          <w:spacing w:val="-10"/>
        </w:rPr>
        <w:t>人在交易价格等交易条件上实行差别待遇。</w:t>
      </w:r>
    </w:p>
    <w:p>
      <w:pPr>
        <w:ind w:left="104" w:right="144" w:firstLine="399"/>
        <w:spacing w:before="105" w:line="278" w:lineRule="auto"/>
        <w:jc w:val="both"/>
        <w:rPr>
          <w:rFonts w:ascii="SimSun" w:hAnsi="SimSun" w:eastAsia="SimSun" w:cs="SimSun"/>
          <w:sz w:val="21"/>
          <w:szCs w:val="21"/>
        </w:rPr>
      </w:pPr>
      <w:r>
        <w:rPr>
          <w:rFonts w:ascii="SimSun" w:hAnsi="SimSun" w:eastAsia="SimSun" w:cs="SimSun"/>
          <w:sz w:val="21"/>
          <w:szCs w:val="21"/>
          <w:spacing w:val="4"/>
        </w:rPr>
        <w:t>在此基础之上，2021年2月7日发布的《国务院反垄断委员会</w:t>
      </w:r>
      <w:r>
        <w:rPr>
          <w:rFonts w:ascii="SimSun" w:hAnsi="SimSun" w:eastAsia="SimSun" w:cs="SimSun"/>
          <w:sz w:val="21"/>
          <w:szCs w:val="21"/>
          <w:spacing w:val="2"/>
        </w:rPr>
        <w:t xml:space="preserve"> </w:t>
      </w:r>
      <w:r>
        <w:rPr>
          <w:rFonts w:ascii="SimSun" w:hAnsi="SimSun" w:eastAsia="SimSun" w:cs="SimSun"/>
          <w:sz w:val="21"/>
          <w:szCs w:val="21"/>
          <w:spacing w:val="-11"/>
        </w:rPr>
        <w:t>关于平台经济领域的反垄断指南》第十七条明确规定了平台经营者实</w:t>
      </w:r>
      <w:r>
        <w:rPr>
          <w:rFonts w:ascii="SimSun" w:hAnsi="SimSun" w:eastAsia="SimSun" w:cs="SimSun"/>
          <w:sz w:val="21"/>
          <w:szCs w:val="21"/>
          <w:spacing w:val="9"/>
        </w:rPr>
        <w:t xml:space="preserve"> </w:t>
      </w:r>
      <w:r>
        <w:rPr>
          <w:rFonts w:ascii="SimSun" w:hAnsi="SimSun" w:eastAsia="SimSun" w:cs="SimSun"/>
          <w:sz w:val="21"/>
          <w:szCs w:val="21"/>
          <w:spacing w:val="-11"/>
        </w:rPr>
        <w:t>施“差别待遇”的具体表现为：具有市场支配地位的平台经营者，基</w:t>
      </w:r>
    </w:p>
    <w:p>
      <w:pPr>
        <w:pStyle w:val="BodyText"/>
        <w:spacing w:line="264" w:lineRule="auto"/>
        <w:rPr/>
      </w:pPr>
      <w:r/>
    </w:p>
    <w:p>
      <w:pPr>
        <w:ind w:left="443" w:right="102" w:hanging="339"/>
        <w:spacing w:before="56" w:line="269" w:lineRule="auto"/>
        <w:rPr>
          <w:rFonts w:ascii="KaiTi" w:hAnsi="KaiTi" w:eastAsia="KaiTi" w:cs="KaiTi"/>
          <w:sz w:val="17"/>
          <w:szCs w:val="17"/>
        </w:rPr>
      </w:pPr>
      <w:r>
        <w:rPr>
          <w:rFonts w:ascii="KaiTi" w:hAnsi="KaiTi" w:eastAsia="KaiTi" w:cs="KaiTi"/>
          <w:sz w:val="17"/>
          <w:szCs w:val="17"/>
          <w:spacing w:val="-6"/>
        </w:rPr>
        <w:t>①</w:t>
      </w:r>
      <w:r>
        <w:rPr>
          <w:rFonts w:ascii="KaiTi" w:hAnsi="KaiTi" w:eastAsia="KaiTi" w:cs="KaiTi"/>
          <w:sz w:val="17"/>
          <w:szCs w:val="17"/>
          <w:spacing w:val="51"/>
        </w:rPr>
        <w:t xml:space="preserve"> </w:t>
      </w:r>
      <w:r>
        <w:rPr>
          <w:rFonts w:ascii="KaiTi" w:hAnsi="KaiTi" w:eastAsia="KaiTi" w:cs="KaiTi"/>
          <w:sz w:val="17"/>
          <w:szCs w:val="17"/>
          <w:spacing w:val="-6"/>
        </w:rPr>
        <w:t>黄勇，刘燕南.《价格法》与《反垄断法》关系的再</w:t>
      </w:r>
      <w:r>
        <w:rPr>
          <w:rFonts w:ascii="KaiTi" w:hAnsi="KaiTi" w:eastAsia="KaiTi" w:cs="KaiTi"/>
          <w:sz w:val="17"/>
          <w:szCs w:val="17"/>
          <w:spacing w:val="-7"/>
        </w:rPr>
        <w:t>认识以及执法协调.价格理论</w:t>
      </w:r>
      <w:r>
        <w:rPr>
          <w:rFonts w:ascii="KaiTi" w:hAnsi="KaiTi" w:eastAsia="KaiTi" w:cs="KaiTi"/>
          <w:sz w:val="17"/>
          <w:szCs w:val="17"/>
        </w:rPr>
        <w:t xml:space="preserve"> </w:t>
      </w:r>
      <w:r>
        <w:rPr>
          <w:rFonts w:ascii="KaiTi" w:hAnsi="KaiTi" w:eastAsia="KaiTi" w:cs="KaiTi"/>
          <w:sz w:val="17"/>
          <w:szCs w:val="17"/>
        </w:rPr>
        <w:t>与实践，2013(4):19-22;李常青，万江</w:t>
      </w:r>
      <w:r>
        <w:rPr>
          <w:rFonts w:ascii="KaiTi" w:hAnsi="KaiTi" w:eastAsia="KaiTi" w:cs="KaiTi"/>
          <w:sz w:val="17"/>
          <w:szCs w:val="17"/>
          <w:spacing w:val="-1"/>
        </w:rPr>
        <w:t>.《价格法》与《反垄断法》的竞合与</w:t>
      </w:r>
      <w:r>
        <w:rPr>
          <w:rFonts w:ascii="KaiTi" w:hAnsi="KaiTi" w:eastAsia="KaiTi" w:cs="KaiTi"/>
          <w:sz w:val="17"/>
          <w:szCs w:val="17"/>
        </w:rPr>
        <w:t xml:space="preserve"> </w:t>
      </w:r>
      <w:r>
        <w:rPr>
          <w:rFonts w:ascii="KaiTi" w:hAnsi="KaiTi" w:eastAsia="KaiTi" w:cs="KaiTi"/>
          <w:sz w:val="17"/>
          <w:szCs w:val="17"/>
          <w:spacing w:val="1"/>
        </w:rPr>
        <w:t>选择适用问题研究.中国价格监督检查，2012(12):23-25.</w:t>
      </w:r>
    </w:p>
    <w:p>
      <w:pPr>
        <w:spacing w:line="269" w:lineRule="auto"/>
        <w:sectPr>
          <w:headerReference w:type="default" r:id="rId1"/>
          <w:pgSz w:w="7330" w:h="12480"/>
          <w:pgMar w:top="353" w:right="624" w:bottom="400" w:left="475" w:header="0" w:footer="0" w:gutter="0"/>
        </w:sectPr>
        <w:rPr>
          <w:rFonts w:ascii="KaiTi" w:hAnsi="KaiTi" w:eastAsia="KaiTi" w:cs="KaiTi"/>
          <w:sz w:val="17"/>
          <w:szCs w:val="17"/>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ind w:right="21"/>
        <w:spacing w:before="69" w:line="292" w:lineRule="auto"/>
        <w:jc w:val="both"/>
        <w:rPr>
          <w:rFonts w:ascii="SimSun" w:hAnsi="SimSun" w:eastAsia="SimSun" w:cs="SimSun"/>
          <w:sz w:val="21"/>
          <w:szCs w:val="21"/>
        </w:rPr>
      </w:pPr>
      <w:r>
        <w:rPr>
          <w:rFonts w:ascii="SimSun" w:hAnsi="SimSun" w:eastAsia="SimSun" w:cs="SimSun"/>
          <w:sz w:val="21"/>
          <w:szCs w:val="21"/>
          <w:spacing w:val="-11"/>
        </w:rPr>
        <w:t>于大数据和算法，根据交易相对人的支付能力、消费偏好、使用习惯</w:t>
      </w:r>
      <w:r>
        <w:rPr>
          <w:rFonts w:ascii="SimSun" w:hAnsi="SimSun" w:eastAsia="SimSun" w:cs="SimSun"/>
          <w:sz w:val="21"/>
          <w:szCs w:val="21"/>
          <w:spacing w:val="18"/>
        </w:rPr>
        <w:t xml:space="preserve"> </w:t>
      </w:r>
      <w:r>
        <w:rPr>
          <w:rFonts w:ascii="SimSun" w:hAnsi="SimSun" w:eastAsia="SimSun" w:cs="SimSun"/>
          <w:sz w:val="21"/>
          <w:szCs w:val="21"/>
          <w:spacing w:val="-11"/>
        </w:rPr>
        <w:t>等实施差异性交易价格或其他交易条件，实行差异性标准、规则和算</w:t>
      </w:r>
      <w:r>
        <w:rPr>
          <w:rFonts w:ascii="SimSun" w:hAnsi="SimSun" w:eastAsia="SimSun" w:cs="SimSun"/>
          <w:sz w:val="21"/>
          <w:szCs w:val="21"/>
          <w:spacing w:val="18"/>
        </w:rPr>
        <w:t xml:space="preserve"> </w:t>
      </w:r>
      <w:r>
        <w:rPr>
          <w:rFonts w:ascii="SimSun" w:hAnsi="SimSun" w:eastAsia="SimSun" w:cs="SimSun"/>
          <w:sz w:val="21"/>
          <w:szCs w:val="21"/>
          <w:spacing w:val="-11"/>
        </w:rPr>
        <w:t>法，实行差异性付款条件和交易方式，且无正当理由的，可能构成滥</w:t>
      </w:r>
      <w:r>
        <w:rPr>
          <w:rFonts w:ascii="SimSun" w:hAnsi="SimSun" w:eastAsia="SimSun" w:cs="SimSun"/>
          <w:sz w:val="21"/>
          <w:szCs w:val="21"/>
          <w:spacing w:val="16"/>
        </w:rPr>
        <w:t xml:space="preserve"> </w:t>
      </w:r>
      <w:r>
        <w:rPr>
          <w:rFonts w:ascii="SimSun" w:hAnsi="SimSun" w:eastAsia="SimSun" w:cs="SimSun"/>
          <w:sz w:val="21"/>
          <w:szCs w:val="21"/>
          <w:spacing w:val="-11"/>
        </w:rPr>
        <w:t>用市场支配地位，对交易条件相同的交易相对人实施差别待遇。</w:t>
      </w:r>
    </w:p>
    <w:p>
      <w:pPr>
        <w:pStyle w:val="BodyText"/>
        <w:spacing w:line="397" w:lineRule="auto"/>
        <w:rPr/>
      </w:pPr>
      <w:r/>
    </w:p>
    <w:p>
      <w:pPr>
        <w:ind w:left="402"/>
        <w:spacing w:before="68" w:line="219" w:lineRule="auto"/>
        <w:rPr>
          <w:rFonts w:ascii="SimSun" w:hAnsi="SimSun" w:eastAsia="SimSun" w:cs="SimSun"/>
          <w:sz w:val="21"/>
          <w:szCs w:val="21"/>
        </w:rPr>
      </w:pPr>
      <w:r>
        <w:rPr>
          <w:rFonts w:ascii="SimSun" w:hAnsi="SimSun" w:eastAsia="SimSun" w:cs="SimSun"/>
          <w:sz w:val="21"/>
          <w:szCs w:val="21"/>
          <w:b/>
          <w:bCs/>
          <w:spacing w:val="-13"/>
        </w:rPr>
        <w:t>对现状的评析</w:t>
      </w:r>
    </w:p>
    <w:p>
      <w:pPr>
        <w:ind w:right="15" w:firstLine="399"/>
        <w:spacing w:before="113" w:line="297" w:lineRule="auto"/>
        <w:jc w:val="both"/>
        <w:rPr>
          <w:rFonts w:ascii="SimSun" w:hAnsi="SimSun" w:eastAsia="SimSun" w:cs="SimSun"/>
          <w:sz w:val="21"/>
          <w:szCs w:val="21"/>
        </w:rPr>
      </w:pPr>
      <w:r>
        <w:rPr>
          <w:rFonts w:ascii="SimSun" w:hAnsi="SimSun" w:eastAsia="SimSun" w:cs="SimSun"/>
          <w:sz w:val="21"/>
          <w:szCs w:val="21"/>
          <w:spacing w:val="-11"/>
        </w:rPr>
        <w:t>第一，“大数据杀熟”的事实判断与举证问题。对于“大数据杀</w:t>
      </w:r>
      <w:r>
        <w:rPr>
          <w:rFonts w:ascii="SimSun" w:hAnsi="SimSun" w:eastAsia="SimSun" w:cs="SimSun"/>
          <w:sz w:val="21"/>
          <w:szCs w:val="21"/>
          <w:spacing w:val="7"/>
        </w:rPr>
        <w:t xml:space="preserve"> </w:t>
      </w:r>
      <w:r>
        <w:rPr>
          <w:rFonts w:ascii="SimSun" w:hAnsi="SimSun" w:eastAsia="SimSun" w:cs="SimSun"/>
          <w:sz w:val="21"/>
          <w:szCs w:val="21"/>
          <w:spacing w:val="-7"/>
        </w:rPr>
        <w:t>熟”,由于该词语本身属于贬义词，并且违反了相同产品相同定价的</w:t>
      </w:r>
      <w:r>
        <w:rPr>
          <w:rFonts w:ascii="SimSun" w:hAnsi="SimSun" w:eastAsia="SimSun" w:cs="SimSun"/>
          <w:sz w:val="21"/>
          <w:szCs w:val="21"/>
          <w:spacing w:val="9"/>
        </w:rPr>
        <w:t xml:space="preserve"> </w:t>
      </w:r>
      <w:r>
        <w:rPr>
          <w:rFonts w:ascii="SimSun" w:hAnsi="SimSun" w:eastAsia="SimSun" w:cs="SimSun"/>
          <w:sz w:val="21"/>
          <w:szCs w:val="21"/>
          <w:spacing w:val="-10"/>
        </w:rPr>
        <w:t>价格原则，实际上也和企业基于代理控权而需要统一“</w:t>
      </w:r>
      <w:r>
        <w:rPr>
          <w:rFonts w:ascii="SimSun" w:hAnsi="SimSun" w:eastAsia="SimSun" w:cs="SimSun"/>
          <w:sz w:val="21"/>
          <w:szCs w:val="21"/>
          <w:spacing w:val="-11"/>
        </w:rPr>
        <w:t>定价政策”的</w:t>
      </w:r>
      <w:r>
        <w:rPr>
          <w:rFonts w:ascii="SimSun" w:hAnsi="SimSun" w:eastAsia="SimSun" w:cs="SimSun"/>
          <w:sz w:val="21"/>
          <w:szCs w:val="21"/>
        </w:rPr>
        <w:t xml:space="preserve"> </w:t>
      </w:r>
      <w:r>
        <w:rPr>
          <w:rFonts w:ascii="SimSun" w:hAnsi="SimSun" w:eastAsia="SimSun" w:cs="SimSun"/>
          <w:sz w:val="21"/>
          <w:szCs w:val="21"/>
          <w:spacing w:val="-10"/>
        </w:rPr>
        <w:t>商业原理相左，因此，并没有任何一个企业和</w:t>
      </w:r>
      <w:r>
        <w:rPr>
          <w:rFonts w:ascii="SimSun" w:hAnsi="SimSun" w:eastAsia="SimSun" w:cs="SimSun"/>
          <w:sz w:val="21"/>
          <w:szCs w:val="21"/>
          <w:spacing w:val="-11"/>
        </w:rPr>
        <w:t>理论反对这一行为的不</w:t>
      </w:r>
      <w:r>
        <w:rPr>
          <w:rFonts w:ascii="SimSun" w:hAnsi="SimSun" w:eastAsia="SimSun" w:cs="SimSun"/>
          <w:sz w:val="21"/>
          <w:szCs w:val="21"/>
        </w:rPr>
        <w:t xml:space="preserve"> </w:t>
      </w:r>
      <w:r>
        <w:rPr>
          <w:rFonts w:ascii="SimSun" w:hAnsi="SimSun" w:eastAsia="SimSun" w:cs="SimSun"/>
          <w:sz w:val="21"/>
          <w:szCs w:val="21"/>
          <w:spacing w:val="-11"/>
        </w:rPr>
        <w:t>正当性质。该问题更多是一个事实问题，即是否存在此种行为。</w:t>
      </w:r>
    </w:p>
    <w:p>
      <w:pPr>
        <w:ind w:right="14" w:firstLine="399"/>
        <w:spacing w:before="107" w:line="297" w:lineRule="auto"/>
        <w:jc w:val="both"/>
        <w:rPr>
          <w:rFonts w:ascii="SimSun" w:hAnsi="SimSun" w:eastAsia="SimSun" w:cs="SimSun"/>
          <w:sz w:val="21"/>
          <w:szCs w:val="21"/>
        </w:rPr>
      </w:pPr>
      <w:r>
        <w:rPr>
          <w:rFonts w:ascii="SimSun" w:hAnsi="SimSun" w:eastAsia="SimSun" w:cs="SimSun"/>
          <w:sz w:val="21"/>
          <w:szCs w:val="21"/>
          <w:spacing w:val="-10"/>
        </w:rPr>
        <w:t>由于商家利用价格歧视的场景多样，如何区分合理的</w:t>
      </w:r>
      <w:r>
        <w:rPr>
          <w:rFonts w:ascii="SimSun" w:hAnsi="SimSun" w:eastAsia="SimSun" w:cs="SimSun"/>
          <w:sz w:val="21"/>
          <w:szCs w:val="21"/>
          <w:spacing w:val="-11"/>
        </w:rPr>
        <w:t>价格歧视与</w:t>
      </w:r>
      <w:r>
        <w:rPr>
          <w:rFonts w:ascii="SimSun" w:hAnsi="SimSun" w:eastAsia="SimSun" w:cs="SimSun"/>
          <w:sz w:val="21"/>
          <w:szCs w:val="21"/>
        </w:rPr>
        <w:t xml:space="preserve"> </w:t>
      </w:r>
      <w:r>
        <w:rPr>
          <w:rFonts w:ascii="SimSun" w:hAnsi="SimSun" w:eastAsia="SimSun" w:cs="SimSun"/>
          <w:sz w:val="21"/>
          <w:szCs w:val="21"/>
          <w:spacing w:val="-11"/>
        </w:rPr>
        <w:t>侵犯消费者权益甚至违反《反垄断法》的价格歧视行为是关键。而且</w:t>
      </w:r>
      <w:r>
        <w:rPr>
          <w:rFonts w:ascii="SimSun" w:hAnsi="SimSun" w:eastAsia="SimSun" w:cs="SimSun"/>
          <w:sz w:val="21"/>
          <w:szCs w:val="21"/>
          <w:spacing w:val="18"/>
        </w:rPr>
        <w:t xml:space="preserve"> </w:t>
      </w:r>
      <w:r>
        <w:rPr>
          <w:rFonts w:ascii="SimSun" w:hAnsi="SimSun" w:eastAsia="SimSun" w:cs="SimSun"/>
          <w:sz w:val="21"/>
          <w:szCs w:val="21"/>
          <w:spacing w:val="-10"/>
        </w:rPr>
        <w:t>在商家与消费者天然存在信息不对称的情况</w:t>
      </w:r>
      <w:r>
        <w:rPr>
          <w:rFonts w:ascii="SimSun" w:hAnsi="SimSun" w:eastAsia="SimSun" w:cs="SimSun"/>
          <w:sz w:val="21"/>
          <w:szCs w:val="21"/>
          <w:spacing w:val="-11"/>
        </w:rPr>
        <w:t>下，无论是私人诉讼还是</w:t>
      </w:r>
      <w:r>
        <w:rPr>
          <w:rFonts w:ascii="SimSun" w:hAnsi="SimSun" w:eastAsia="SimSun" w:cs="SimSun"/>
          <w:sz w:val="21"/>
          <w:szCs w:val="21"/>
        </w:rPr>
        <w:t xml:space="preserve"> </w:t>
      </w:r>
      <w:r>
        <w:rPr>
          <w:rFonts w:ascii="SimSun" w:hAnsi="SimSun" w:eastAsia="SimSun" w:cs="SimSun"/>
          <w:sz w:val="21"/>
          <w:szCs w:val="21"/>
          <w:spacing w:val="-11"/>
        </w:rPr>
        <w:t>反垄断诉讼或执法都存在举证困难的问题。如何通过举证规则的设计</w:t>
      </w:r>
      <w:r>
        <w:rPr>
          <w:rFonts w:ascii="SimSun" w:hAnsi="SimSun" w:eastAsia="SimSun" w:cs="SimSun"/>
          <w:sz w:val="21"/>
          <w:szCs w:val="21"/>
          <w:spacing w:val="17"/>
        </w:rPr>
        <w:t xml:space="preserve"> </w:t>
      </w:r>
      <w:r>
        <w:rPr>
          <w:rFonts w:ascii="SimSun" w:hAnsi="SimSun" w:eastAsia="SimSun" w:cs="SimSun"/>
          <w:sz w:val="21"/>
          <w:szCs w:val="21"/>
          <w:spacing w:val="-12"/>
        </w:rPr>
        <w:t>更好地发现事实，是价格歧视规制的要点。</w:t>
      </w:r>
    </w:p>
    <w:p>
      <w:pPr>
        <w:ind w:firstLine="399"/>
        <w:spacing w:before="109" w:line="308" w:lineRule="auto"/>
        <w:jc w:val="both"/>
        <w:rPr>
          <w:rFonts w:ascii="SimSun" w:hAnsi="SimSun" w:eastAsia="SimSun" w:cs="SimSun"/>
          <w:sz w:val="21"/>
          <w:szCs w:val="21"/>
        </w:rPr>
      </w:pPr>
      <w:r>
        <w:rPr>
          <w:rFonts w:ascii="SimSun" w:hAnsi="SimSun" w:eastAsia="SimSun" w:cs="SimSun"/>
          <w:sz w:val="21"/>
          <w:szCs w:val="21"/>
          <w:spacing w:val="-17"/>
        </w:rPr>
        <w:t>第二，在其他法律规范也对价格歧视进行规</w:t>
      </w:r>
      <w:r>
        <w:rPr>
          <w:rFonts w:ascii="SimSun" w:hAnsi="SimSun" w:eastAsia="SimSun" w:cs="SimSun"/>
          <w:sz w:val="21"/>
          <w:szCs w:val="21"/>
          <w:spacing w:val="-18"/>
        </w:rPr>
        <w:t>定的情况下，《反垄断</w:t>
      </w:r>
      <w:r>
        <w:rPr>
          <w:rFonts w:ascii="SimSun" w:hAnsi="SimSun" w:eastAsia="SimSun" w:cs="SimSun"/>
          <w:sz w:val="21"/>
          <w:szCs w:val="21"/>
        </w:rPr>
        <w:t xml:space="preserve"> </w:t>
      </w:r>
      <w:r>
        <w:rPr>
          <w:rFonts w:ascii="SimSun" w:hAnsi="SimSun" w:eastAsia="SimSun" w:cs="SimSun"/>
          <w:sz w:val="21"/>
          <w:szCs w:val="21"/>
          <w:spacing w:val="-17"/>
        </w:rPr>
        <w:t>法》如何与之协调。就目前而言，《反垄断法》对“大数据杀熟”的审</w:t>
      </w:r>
      <w:r>
        <w:rPr>
          <w:rFonts w:ascii="SimSun" w:hAnsi="SimSun" w:eastAsia="SimSun" w:cs="SimSun"/>
          <w:sz w:val="21"/>
          <w:szCs w:val="21"/>
          <w:spacing w:val="12"/>
        </w:rPr>
        <w:t xml:space="preserve"> </w:t>
      </w:r>
      <w:r>
        <w:rPr>
          <w:rFonts w:ascii="SimSun" w:hAnsi="SimSun" w:eastAsia="SimSun" w:cs="SimSun"/>
          <w:sz w:val="21"/>
          <w:szCs w:val="21"/>
          <w:spacing w:val="-17"/>
        </w:rPr>
        <w:t>查在一定程度上弥补了其他法律部门的缺陷。《消费者权益保护法》本</w:t>
      </w:r>
      <w:r>
        <w:rPr>
          <w:rFonts w:ascii="SimSun" w:hAnsi="SimSun" w:eastAsia="SimSun" w:cs="SimSun"/>
          <w:sz w:val="21"/>
          <w:szCs w:val="21"/>
          <w:spacing w:val="5"/>
        </w:rPr>
        <w:t xml:space="preserve"> </w:t>
      </w:r>
      <w:r>
        <w:rPr>
          <w:rFonts w:ascii="SimSun" w:hAnsi="SimSun" w:eastAsia="SimSun" w:cs="SimSun"/>
          <w:sz w:val="21"/>
          <w:szCs w:val="21"/>
          <w:spacing w:val="-10"/>
        </w:rPr>
        <w:t>身的强制力有限，并且该法所引起的消费者权益之争往往围绕</w:t>
      </w:r>
      <w:r>
        <w:rPr>
          <w:rFonts w:ascii="SimSun" w:hAnsi="SimSun" w:eastAsia="SimSun" w:cs="SimSun"/>
          <w:sz w:val="21"/>
          <w:szCs w:val="21"/>
          <w:spacing w:val="-11"/>
        </w:rPr>
        <w:t>着合同</w:t>
      </w:r>
      <w:r>
        <w:rPr>
          <w:rFonts w:ascii="SimSun" w:hAnsi="SimSun" w:eastAsia="SimSun" w:cs="SimSun"/>
          <w:sz w:val="21"/>
          <w:szCs w:val="21"/>
        </w:rPr>
        <w:t xml:space="preserve"> </w:t>
      </w:r>
      <w:r>
        <w:rPr>
          <w:rFonts w:ascii="SimSun" w:hAnsi="SimSun" w:eastAsia="SimSun" w:cs="SimSun"/>
          <w:sz w:val="21"/>
          <w:szCs w:val="21"/>
          <w:spacing w:val="-10"/>
        </w:rPr>
        <w:t>关系进行举证，数字型交易模式下地位的悬殊会进一步</w:t>
      </w:r>
      <w:r>
        <w:rPr>
          <w:rFonts w:ascii="SimSun" w:hAnsi="SimSun" w:eastAsia="SimSun" w:cs="SimSun"/>
          <w:sz w:val="21"/>
          <w:szCs w:val="21"/>
          <w:spacing w:val="-11"/>
        </w:rPr>
        <w:t>放大消费者的</w:t>
      </w:r>
      <w:r>
        <w:rPr>
          <w:rFonts w:ascii="SimSun" w:hAnsi="SimSun" w:eastAsia="SimSun" w:cs="SimSun"/>
          <w:sz w:val="21"/>
          <w:szCs w:val="21"/>
        </w:rPr>
        <w:t xml:space="preserve"> </w:t>
      </w:r>
      <w:r>
        <w:rPr>
          <w:rFonts w:ascii="SimSun" w:hAnsi="SimSun" w:eastAsia="SimSun" w:cs="SimSun"/>
          <w:sz w:val="21"/>
          <w:szCs w:val="21"/>
          <w:spacing w:val="-10"/>
        </w:rPr>
        <w:t>弱势，这使“杀熟”行为在《消费者权益保护法》的</w:t>
      </w:r>
      <w:r>
        <w:rPr>
          <w:rFonts w:ascii="SimSun" w:hAnsi="SimSun" w:eastAsia="SimSun" w:cs="SimSun"/>
          <w:sz w:val="21"/>
          <w:szCs w:val="21"/>
          <w:spacing w:val="-11"/>
        </w:rPr>
        <w:t>框架下很难得到</w:t>
      </w:r>
      <w:r>
        <w:rPr>
          <w:rFonts w:ascii="SimSun" w:hAnsi="SimSun" w:eastAsia="SimSun" w:cs="SimSun"/>
          <w:sz w:val="21"/>
          <w:szCs w:val="21"/>
        </w:rPr>
        <w:t xml:space="preserve"> </w:t>
      </w:r>
      <w:r>
        <w:rPr>
          <w:rFonts w:ascii="SimSun" w:hAnsi="SimSun" w:eastAsia="SimSun" w:cs="SimSun"/>
          <w:sz w:val="21"/>
          <w:szCs w:val="21"/>
          <w:spacing w:val="-11"/>
        </w:rPr>
        <w:t>有效监管。而《个人信息保护法》首先侧重于保护消费者隐私，对基</w:t>
      </w:r>
      <w:r>
        <w:rPr>
          <w:rFonts w:ascii="SimSun" w:hAnsi="SimSun" w:eastAsia="SimSun" w:cs="SimSun"/>
          <w:sz w:val="21"/>
          <w:szCs w:val="21"/>
          <w:spacing w:val="17"/>
        </w:rPr>
        <w:t xml:space="preserve"> </w:t>
      </w:r>
      <w:r>
        <w:rPr>
          <w:rFonts w:ascii="SimSun" w:hAnsi="SimSun" w:eastAsia="SimSun" w:cs="SimSun"/>
          <w:sz w:val="21"/>
          <w:szCs w:val="21"/>
          <w:spacing w:val="-10"/>
        </w:rPr>
        <w:t>于所获信息施加不公平交易条件的行为，在打击方向和力度上存在先</w:t>
      </w:r>
      <w:r>
        <w:rPr>
          <w:rFonts w:ascii="SimSun" w:hAnsi="SimSun" w:eastAsia="SimSun" w:cs="SimSun"/>
          <w:sz w:val="21"/>
          <w:szCs w:val="21"/>
          <w:spacing w:val="10"/>
        </w:rPr>
        <w:t xml:space="preserve"> </w:t>
      </w:r>
      <w:r>
        <w:rPr>
          <w:rFonts w:ascii="SimSun" w:hAnsi="SimSun" w:eastAsia="SimSun" w:cs="SimSun"/>
          <w:sz w:val="21"/>
          <w:szCs w:val="21"/>
          <w:spacing w:val="-10"/>
        </w:rPr>
        <w:t>天缺陷。另外，根据《个人信息保护法》禁止对个人信息差别化利用</w:t>
      </w:r>
      <w:r>
        <w:rPr>
          <w:rFonts w:ascii="SimSun" w:hAnsi="SimSun" w:eastAsia="SimSun" w:cs="SimSun"/>
          <w:sz w:val="21"/>
          <w:szCs w:val="21"/>
          <w:spacing w:val="3"/>
        </w:rPr>
        <w:t xml:space="preserve"> </w:t>
      </w:r>
      <w:r>
        <w:rPr>
          <w:rFonts w:ascii="SimSun" w:hAnsi="SimSun" w:eastAsia="SimSun" w:cs="SimSun"/>
          <w:sz w:val="21"/>
          <w:szCs w:val="21"/>
          <w:spacing w:val="-11"/>
        </w:rPr>
        <w:t>的规定，相对人需要完成举证义务难度很大，事实上架空了适用的可</w:t>
      </w:r>
      <w:r>
        <w:rPr>
          <w:rFonts w:ascii="SimSun" w:hAnsi="SimSun" w:eastAsia="SimSun" w:cs="SimSun"/>
          <w:sz w:val="21"/>
          <w:szCs w:val="21"/>
          <w:spacing w:val="17"/>
        </w:rPr>
        <w:t xml:space="preserve"> </w:t>
      </w:r>
      <w:r>
        <w:rPr>
          <w:rFonts w:ascii="SimSun" w:hAnsi="SimSun" w:eastAsia="SimSun" w:cs="SimSun"/>
          <w:sz w:val="21"/>
          <w:szCs w:val="21"/>
          <w:spacing w:val="-16"/>
        </w:rPr>
        <w:t>行性。《电子商务法》从立意来看，是最接</w:t>
      </w:r>
      <w:r>
        <w:rPr>
          <w:rFonts w:ascii="SimSun" w:hAnsi="SimSun" w:eastAsia="SimSun" w:cs="SimSun"/>
          <w:sz w:val="21"/>
          <w:szCs w:val="21"/>
          <w:spacing w:val="-17"/>
        </w:rPr>
        <w:t>近规范平台型交易行为的法</w:t>
      </w:r>
    </w:p>
    <w:p>
      <w:pPr>
        <w:spacing w:line="308" w:lineRule="auto"/>
        <w:sectPr>
          <w:headerReference w:type="default" r:id="rId476"/>
          <w:pgSz w:w="7330" w:h="12480"/>
          <w:pgMar w:top="789" w:right="608" w:bottom="400" w:left="709" w:header="611"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19" w:firstLine="105"/>
        <w:spacing w:before="68" w:line="297" w:lineRule="auto"/>
        <w:jc w:val="both"/>
        <w:rPr>
          <w:rFonts w:ascii="SimSun" w:hAnsi="SimSun" w:eastAsia="SimSun" w:cs="SimSun"/>
          <w:sz w:val="21"/>
          <w:szCs w:val="21"/>
        </w:rPr>
      </w:pPr>
      <w:r>
        <w:rPr>
          <w:rFonts w:ascii="SimSun" w:hAnsi="SimSun" w:eastAsia="SimSun" w:cs="SimSun"/>
          <w:sz w:val="21"/>
          <w:szCs w:val="21"/>
          <w:spacing w:val="-10"/>
        </w:rPr>
        <w:t>律规范，但《电子商务法》却集前二者之弱，既未弥合因为数据交易</w:t>
      </w:r>
      <w:r>
        <w:rPr>
          <w:rFonts w:ascii="SimSun" w:hAnsi="SimSun" w:eastAsia="SimSun" w:cs="SimSun"/>
          <w:sz w:val="21"/>
          <w:szCs w:val="21"/>
        </w:rPr>
        <w:t xml:space="preserve"> </w:t>
      </w:r>
      <w:r>
        <w:rPr>
          <w:rFonts w:ascii="SimSun" w:hAnsi="SimSun" w:eastAsia="SimSun" w:cs="SimSun"/>
          <w:sz w:val="21"/>
          <w:szCs w:val="21"/>
          <w:spacing w:val="-4"/>
        </w:rPr>
        <w:t>形式拉大的不对称差距，也没有降低诉求方应履行的基本举证标准。</w:t>
      </w:r>
      <w:r>
        <w:rPr>
          <w:rFonts w:ascii="SimSun" w:hAnsi="SimSun" w:eastAsia="SimSun" w:cs="SimSun"/>
          <w:sz w:val="21"/>
          <w:szCs w:val="21"/>
          <w:spacing w:val="9"/>
        </w:rPr>
        <w:t xml:space="preserve"> </w:t>
      </w:r>
      <w:r>
        <w:rPr>
          <w:rFonts w:ascii="SimSun" w:hAnsi="SimSun" w:eastAsia="SimSun" w:cs="SimSun"/>
          <w:sz w:val="21"/>
          <w:szCs w:val="21"/>
          <w:spacing w:val="-10"/>
        </w:rPr>
        <w:t>综上，虽然针对“大数据杀熟”的规定不少，</w:t>
      </w:r>
      <w:r>
        <w:rPr>
          <w:rFonts w:ascii="SimSun" w:hAnsi="SimSun" w:eastAsia="SimSun" w:cs="SimSun"/>
          <w:sz w:val="21"/>
          <w:szCs w:val="21"/>
          <w:spacing w:val="-11"/>
        </w:rPr>
        <w:t>但都难以产生社会实效。</w:t>
      </w:r>
      <w:r>
        <w:rPr>
          <w:rFonts w:ascii="SimSun" w:hAnsi="SimSun" w:eastAsia="SimSun" w:cs="SimSun"/>
          <w:sz w:val="21"/>
          <w:szCs w:val="21"/>
        </w:rPr>
        <w:t xml:space="preserve"> </w:t>
      </w:r>
      <w:r>
        <w:rPr>
          <w:rFonts w:ascii="SimSun" w:hAnsi="SimSun" w:eastAsia="SimSun" w:cs="SimSun"/>
          <w:sz w:val="21"/>
          <w:szCs w:val="21"/>
          <w:spacing w:val="-10"/>
        </w:rPr>
        <w:t>《反垄断法》在滥用市场支配地位的框架下介入“大数据杀熟”,平衡</w:t>
      </w:r>
      <w:r>
        <w:rPr>
          <w:rFonts w:ascii="SimSun" w:hAnsi="SimSun" w:eastAsia="SimSun" w:cs="SimSun"/>
          <w:sz w:val="21"/>
          <w:szCs w:val="21"/>
          <w:spacing w:val="4"/>
        </w:rPr>
        <w:t xml:space="preserve">  </w:t>
      </w:r>
      <w:r>
        <w:rPr>
          <w:rFonts w:ascii="SimSun" w:hAnsi="SimSun" w:eastAsia="SimSun" w:cs="SimSun"/>
          <w:sz w:val="21"/>
          <w:szCs w:val="21"/>
          <w:spacing w:val="-12"/>
        </w:rPr>
        <w:t>了平台与交易方极不平等的地位，给予消费者最大限度的保护。</w:t>
      </w:r>
    </w:p>
    <w:p>
      <w:pPr>
        <w:ind w:left="105" w:right="96" w:firstLine="429"/>
        <w:spacing w:before="111" w:line="291" w:lineRule="auto"/>
        <w:jc w:val="both"/>
        <w:rPr>
          <w:rFonts w:ascii="SimSun" w:hAnsi="SimSun" w:eastAsia="SimSun" w:cs="SimSun"/>
          <w:sz w:val="21"/>
          <w:szCs w:val="21"/>
        </w:rPr>
      </w:pPr>
      <w:r>
        <w:rPr>
          <w:rFonts w:ascii="SimSun" w:hAnsi="SimSun" w:eastAsia="SimSun" w:cs="SimSun"/>
          <w:sz w:val="21"/>
          <w:szCs w:val="21"/>
          <w:spacing w:val="-11"/>
        </w:rPr>
        <w:t>第三，反垄断公共执行与私人执行的协调问题。在反垄断私人诉</w:t>
      </w:r>
      <w:r>
        <w:rPr>
          <w:rFonts w:ascii="SimSun" w:hAnsi="SimSun" w:eastAsia="SimSun" w:cs="SimSun"/>
          <w:sz w:val="21"/>
          <w:szCs w:val="21"/>
          <w:spacing w:val="5"/>
        </w:rPr>
        <w:t xml:space="preserve"> </w:t>
      </w:r>
      <w:r>
        <w:rPr>
          <w:rFonts w:ascii="SimSun" w:hAnsi="SimSun" w:eastAsia="SimSun" w:cs="SimSun"/>
          <w:sz w:val="21"/>
          <w:szCs w:val="21"/>
          <w:spacing w:val="-11"/>
        </w:rPr>
        <w:t>讼中，“大数据杀熟”主要面向消费者，而消费者几乎无法完成由算</w:t>
      </w:r>
      <w:r>
        <w:rPr>
          <w:rFonts w:ascii="SimSun" w:hAnsi="SimSun" w:eastAsia="SimSun" w:cs="SimSun"/>
          <w:sz w:val="21"/>
          <w:szCs w:val="21"/>
          <w:spacing w:val="18"/>
        </w:rPr>
        <w:t xml:space="preserve"> </w:t>
      </w:r>
      <w:r>
        <w:rPr>
          <w:rFonts w:ascii="SimSun" w:hAnsi="SimSun" w:eastAsia="SimSun" w:cs="SimSun"/>
          <w:sz w:val="21"/>
          <w:szCs w:val="21"/>
          <w:spacing w:val="-11"/>
        </w:rPr>
        <w:t>法实施的差别规则举证。因此，除了可能导致滥诉，还存在难以胜诉</w:t>
      </w:r>
      <w:r>
        <w:rPr>
          <w:rFonts w:ascii="SimSun" w:hAnsi="SimSun" w:eastAsia="SimSun" w:cs="SimSun"/>
          <w:sz w:val="21"/>
          <w:szCs w:val="21"/>
          <w:spacing w:val="17"/>
        </w:rPr>
        <w:t xml:space="preserve"> </w:t>
      </w:r>
      <w:r>
        <w:rPr>
          <w:rFonts w:ascii="SimSun" w:hAnsi="SimSun" w:eastAsia="SimSun" w:cs="SimSun"/>
          <w:sz w:val="21"/>
          <w:szCs w:val="21"/>
          <w:spacing w:val="-13"/>
        </w:rPr>
        <w:t>的问题，二者如果同时发生，将是对司法资源的极大浪费。①</w:t>
      </w:r>
    </w:p>
    <w:p>
      <w:pPr>
        <w:pStyle w:val="BodyText"/>
        <w:spacing w:line="368" w:lineRule="auto"/>
        <w:rPr/>
      </w:pPr>
      <w:r/>
    </w:p>
    <w:p>
      <w:pPr>
        <w:ind w:left="919"/>
        <w:spacing w:before="104" w:line="729" w:lineRule="exact"/>
        <w:rPr>
          <w:rFonts w:ascii="SimSun" w:hAnsi="SimSun" w:eastAsia="SimSun" w:cs="SimSun"/>
          <w:sz w:val="32"/>
          <w:szCs w:val="32"/>
        </w:rPr>
      </w:pPr>
      <w:r>
        <w:rPr>
          <w:rFonts w:ascii="SimSun" w:hAnsi="SimSun" w:eastAsia="SimSun" w:cs="SimSun"/>
          <w:sz w:val="32"/>
          <w:szCs w:val="32"/>
          <w:b/>
          <w:bCs/>
          <w:spacing w:val="-5"/>
          <w:position w:val="31"/>
        </w:rPr>
        <w:t>平台对监管与反垄断二分的挑战</w:t>
      </w:r>
    </w:p>
    <w:p>
      <w:pPr>
        <w:ind w:left="108"/>
        <w:spacing w:line="222" w:lineRule="auto"/>
        <w:rPr>
          <w:rFonts w:ascii="SimHei" w:hAnsi="SimHei" w:eastAsia="SimHei" w:cs="SimHei"/>
          <w:sz w:val="25"/>
          <w:szCs w:val="25"/>
        </w:rPr>
      </w:pPr>
      <w:r>
        <w:rPr>
          <w:rFonts w:ascii="SimHei" w:hAnsi="SimHei" w:eastAsia="SimHei" w:cs="SimHei"/>
          <w:sz w:val="25"/>
          <w:szCs w:val="25"/>
          <w:b/>
          <w:bCs/>
          <w:spacing w:val="-14"/>
        </w:rPr>
        <w:t>监管与反垄断二分</w:t>
      </w:r>
    </w:p>
    <w:p>
      <w:pPr>
        <w:pStyle w:val="BodyText"/>
        <w:spacing w:line="342" w:lineRule="auto"/>
        <w:rPr/>
      </w:pPr>
      <w:r/>
    </w:p>
    <w:p>
      <w:pPr>
        <w:ind w:left="105" w:firstLine="429"/>
        <w:spacing w:before="68" w:line="300" w:lineRule="auto"/>
        <w:jc w:val="both"/>
        <w:rPr>
          <w:rFonts w:ascii="SimSun" w:hAnsi="SimSun" w:eastAsia="SimSun" w:cs="SimSun"/>
          <w:sz w:val="21"/>
          <w:szCs w:val="21"/>
        </w:rPr>
      </w:pPr>
      <w:r>
        <w:rPr>
          <w:rFonts w:ascii="SimSun" w:hAnsi="SimSun" w:eastAsia="SimSun" w:cs="SimSun"/>
          <w:sz w:val="21"/>
          <w:szCs w:val="21"/>
          <w:spacing w:val="-1"/>
        </w:rPr>
        <w:t>现有的监管和反垄断的区分是美国19世纪60年代以来划定的，</w:t>
      </w:r>
      <w:r>
        <w:rPr>
          <w:rFonts w:ascii="SimSun" w:hAnsi="SimSun" w:eastAsia="SimSun" w:cs="SimSun"/>
          <w:sz w:val="21"/>
          <w:szCs w:val="21"/>
          <w:spacing w:val="13"/>
        </w:rPr>
        <w:t xml:space="preserve"> </w:t>
      </w:r>
      <w:r>
        <w:rPr>
          <w:rFonts w:ascii="SimSun" w:hAnsi="SimSun" w:eastAsia="SimSun" w:cs="SimSun"/>
          <w:sz w:val="21"/>
          <w:szCs w:val="21"/>
        </w:rPr>
        <w:t>联邦层面分别以1887年的《州际商务法》和1890年的《谢尔曼法》</w:t>
      </w:r>
      <w:r>
        <w:rPr>
          <w:rFonts w:ascii="SimSun" w:hAnsi="SimSun" w:eastAsia="SimSun" w:cs="SimSun"/>
          <w:sz w:val="21"/>
          <w:szCs w:val="21"/>
          <w:spacing w:val="13"/>
        </w:rPr>
        <w:t xml:space="preserve"> </w:t>
      </w:r>
      <w:r>
        <w:rPr>
          <w:rFonts w:ascii="SimSun" w:hAnsi="SimSun" w:eastAsia="SimSun" w:cs="SimSun"/>
          <w:sz w:val="21"/>
          <w:szCs w:val="21"/>
          <w:spacing w:val="-13"/>
        </w:rPr>
        <w:t>为代表。今天的“管制之国”(regulatory state)下，管制措施主要是</w:t>
      </w:r>
      <w:r>
        <w:rPr>
          <w:rFonts w:ascii="SimSun" w:hAnsi="SimSun" w:eastAsia="SimSun" w:cs="SimSun"/>
          <w:sz w:val="21"/>
          <w:szCs w:val="21"/>
        </w:rPr>
        <w:t xml:space="preserve">  </w:t>
      </w:r>
      <w:r>
        <w:rPr>
          <w:rFonts w:ascii="SimSun" w:hAnsi="SimSun" w:eastAsia="SimSun" w:cs="SimSun"/>
          <w:sz w:val="21"/>
          <w:szCs w:val="21"/>
          <w:spacing w:val="-4"/>
        </w:rPr>
        <w:t>基于产业划分确立的，并且不断蔓延到经济因素之外其他受社会关</w:t>
      </w:r>
      <w:r>
        <w:rPr>
          <w:rFonts w:ascii="SimSun" w:hAnsi="SimSun" w:eastAsia="SimSun" w:cs="SimSun"/>
          <w:sz w:val="21"/>
          <w:szCs w:val="21"/>
          <w:spacing w:val="7"/>
        </w:rPr>
        <w:t xml:space="preserve">  </w:t>
      </w:r>
      <w:r>
        <w:rPr>
          <w:rFonts w:ascii="SimSun" w:hAnsi="SimSun" w:eastAsia="SimSun" w:cs="SimSun"/>
          <w:sz w:val="21"/>
          <w:szCs w:val="21"/>
          <w:spacing w:val="-3"/>
        </w:rPr>
        <w:t>注的价值，例如美国职业安全卫生管理局对雇佣</w:t>
      </w:r>
      <w:r>
        <w:rPr>
          <w:rFonts w:ascii="SimSun" w:hAnsi="SimSun" w:eastAsia="SimSun" w:cs="SimSun"/>
          <w:sz w:val="21"/>
          <w:szCs w:val="21"/>
          <w:spacing w:val="-4"/>
        </w:rPr>
        <w:t>关系中种族歧视的</w:t>
      </w:r>
      <w:r>
        <w:rPr>
          <w:rFonts w:ascii="SimSun" w:hAnsi="SimSun" w:eastAsia="SimSun" w:cs="SimSun"/>
          <w:sz w:val="21"/>
          <w:szCs w:val="21"/>
        </w:rPr>
        <w:t xml:space="preserve">  </w:t>
      </w:r>
      <w:r>
        <w:rPr>
          <w:rFonts w:ascii="SimSun" w:hAnsi="SimSun" w:eastAsia="SimSun" w:cs="SimSun"/>
          <w:sz w:val="21"/>
          <w:szCs w:val="21"/>
          <w:spacing w:val="-10"/>
        </w:rPr>
        <w:t>管制。</w:t>
      </w:r>
    </w:p>
    <w:p>
      <w:pPr>
        <w:ind w:left="105" w:right="75" w:firstLine="429"/>
        <w:spacing w:before="109" w:line="283" w:lineRule="auto"/>
        <w:jc w:val="both"/>
        <w:rPr>
          <w:rFonts w:ascii="SimSun" w:hAnsi="SimSun" w:eastAsia="SimSun" w:cs="SimSun"/>
          <w:sz w:val="21"/>
          <w:szCs w:val="21"/>
        </w:rPr>
      </w:pPr>
      <w:r>
        <w:rPr>
          <w:rFonts w:ascii="SimSun" w:hAnsi="SimSun" w:eastAsia="SimSun" w:cs="SimSun"/>
          <w:sz w:val="21"/>
          <w:szCs w:val="21"/>
          <w:spacing w:val="-9"/>
        </w:rPr>
        <w:t>非经济管制与反垄断没有明显冲突，</w:t>
      </w:r>
      <w:r>
        <w:rPr>
          <w:rFonts w:ascii="SimSun" w:hAnsi="SimSun" w:eastAsia="SimSun" w:cs="SimSun"/>
          <w:sz w:val="21"/>
          <w:szCs w:val="21"/>
          <w:spacing w:val="65"/>
        </w:rPr>
        <w:t xml:space="preserve"> </w:t>
      </w:r>
      <w:r>
        <w:rPr>
          <w:rFonts w:ascii="SimSun" w:hAnsi="SimSun" w:eastAsia="SimSun" w:cs="SimSun"/>
          <w:sz w:val="21"/>
          <w:szCs w:val="21"/>
          <w:spacing w:val="-9"/>
        </w:rPr>
        <w:t>一般只有在对价格进行控</w:t>
      </w:r>
      <w:r>
        <w:rPr>
          <w:rFonts w:ascii="SimSun" w:hAnsi="SimSun" w:eastAsia="SimSun" w:cs="SimSun"/>
          <w:sz w:val="21"/>
          <w:szCs w:val="21"/>
        </w:rPr>
        <w:t xml:space="preserve"> </w:t>
      </w:r>
      <w:r>
        <w:rPr>
          <w:rFonts w:ascii="SimSun" w:hAnsi="SimSun" w:eastAsia="SimSun" w:cs="SimSun"/>
          <w:sz w:val="21"/>
          <w:szCs w:val="21"/>
          <w:spacing w:val="-10"/>
        </w:rPr>
        <w:t>制、限制市场准入、要求从事或允许从事某些反垄断法</w:t>
      </w:r>
      <w:r>
        <w:rPr>
          <w:rFonts w:ascii="SimSun" w:hAnsi="SimSun" w:eastAsia="SimSun" w:cs="SimSun"/>
          <w:sz w:val="21"/>
          <w:szCs w:val="21"/>
          <w:spacing w:val="-11"/>
        </w:rPr>
        <w:t>上通常禁止的</w:t>
      </w:r>
      <w:r>
        <w:rPr>
          <w:rFonts w:ascii="SimSun" w:hAnsi="SimSun" w:eastAsia="SimSun" w:cs="SimSun"/>
          <w:sz w:val="21"/>
          <w:szCs w:val="21"/>
        </w:rPr>
        <w:t xml:space="preserve"> </w:t>
      </w:r>
      <w:r>
        <w:rPr>
          <w:rFonts w:ascii="SimSun" w:hAnsi="SimSun" w:eastAsia="SimSun" w:cs="SimSun"/>
          <w:sz w:val="21"/>
          <w:szCs w:val="21"/>
          <w:spacing w:val="-10"/>
        </w:rPr>
        <w:t>行为时，监管和反垄断的关系才成为问题。②一般来说，经济管制的</w:t>
      </w:r>
    </w:p>
    <w:p>
      <w:pPr>
        <w:pStyle w:val="BodyText"/>
        <w:spacing w:line="352" w:lineRule="auto"/>
        <w:rPr/>
      </w:pPr>
      <w:r/>
    </w:p>
    <w:p>
      <w:pPr>
        <w:ind w:left="444" w:right="91" w:hanging="339"/>
        <w:spacing w:before="52" w:line="269" w:lineRule="auto"/>
        <w:rPr>
          <w:rFonts w:ascii="SimSun" w:hAnsi="SimSun" w:eastAsia="SimSun" w:cs="SimSun"/>
          <w:sz w:val="16"/>
          <w:szCs w:val="16"/>
        </w:rPr>
      </w:pPr>
      <w:r>
        <w:rPr>
          <w:rFonts w:ascii="KaiTi" w:hAnsi="KaiTi" w:eastAsia="KaiTi" w:cs="KaiTi"/>
          <w:sz w:val="16"/>
          <w:szCs w:val="16"/>
          <w:spacing w:val="2"/>
        </w:rPr>
        <w:t>①</w:t>
      </w:r>
      <w:r>
        <w:rPr>
          <w:rFonts w:ascii="KaiTi" w:hAnsi="KaiTi" w:eastAsia="KaiTi" w:cs="KaiTi"/>
          <w:sz w:val="16"/>
          <w:szCs w:val="16"/>
          <w:spacing w:val="2"/>
        </w:rPr>
        <w:t xml:space="preserve">  </w:t>
      </w:r>
      <w:r>
        <w:rPr>
          <w:rFonts w:ascii="KaiTi" w:hAnsi="KaiTi" w:eastAsia="KaiTi" w:cs="KaiTi"/>
          <w:sz w:val="16"/>
          <w:szCs w:val="16"/>
          <w:spacing w:val="2"/>
        </w:rPr>
        <w:t>贺斯迈，侯利阳.</w:t>
      </w:r>
      <w:r>
        <w:rPr>
          <w:rFonts w:ascii="KaiTi" w:hAnsi="KaiTi" w:eastAsia="KaiTi" w:cs="KaiTi"/>
          <w:sz w:val="16"/>
          <w:szCs w:val="16"/>
          <w:spacing w:val="2"/>
        </w:rPr>
        <w:t xml:space="preserve"> </w:t>
      </w:r>
      <w:r>
        <w:rPr>
          <w:rFonts w:ascii="KaiTi" w:hAnsi="KaiTi" w:eastAsia="KaiTi" w:cs="KaiTi"/>
          <w:sz w:val="16"/>
          <w:szCs w:val="16"/>
          <w:spacing w:val="2"/>
        </w:rPr>
        <w:t>“大数据杀熟”的科技面向与制度因应，检察风云，2021(2):</w:t>
      </w:r>
      <w:r>
        <w:rPr>
          <w:rFonts w:ascii="KaiTi" w:hAnsi="KaiTi" w:eastAsia="KaiTi" w:cs="KaiTi"/>
          <w:sz w:val="16"/>
          <w:szCs w:val="16"/>
          <w:spacing w:val="6"/>
        </w:rPr>
        <w:t xml:space="preserve"> </w:t>
      </w:r>
      <w:r>
        <w:rPr>
          <w:rFonts w:ascii="SimSun" w:hAnsi="SimSun" w:eastAsia="SimSun" w:cs="SimSun"/>
          <w:sz w:val="16"/>
          <w:szCs w:val="16"/>
          <w:spacing w:val="-5"/>
        </w:rPr>
        <w:t>15-17。</w:t>
      </w:r>
    </w:p>
    <w:p>
      <w:pPr>
        <w:ind w:left="464" w:right="24" w:hanging="359"/>
        <w:spacing w:before="94" w:line="266" w:lineRule="auto"/>
        <w:rPr>
          <w:rFonts w:ascii="KaiTi" w:hAnsi="KaiTi" w:eastAsia="KaiTi" w:cs="KaiTi"/>
          <w:sz w:val="16"/>
          <w:szCs w:val="16"/>
        </w:rPr>
      </w:pPr>
      <w:r>
        <w:rPr>
          <w:rFonts w:ascii="SimSun" w:hAnsi="SimSun" w:eastAsia="SimSun" w:cs="SimSun"/>
          <w:sz w:val="16"/>
          <w:szCs w:val="16"/>
          <w:spacing w:val="5"/>
        </w:rPr>
        <w:t>②</w:t>
      </w:r>
      <w:r>
        <w:rPr>
          <w:rFonts w:ascii="SimSun" w:hAnsi="SimSun" w:eastAsia="SimSun" w:cs="SimSun"/>
          <w:sz w:val="16"/>
          <w:szCs w:val="16"/>
          <w:spacing w:val="49"/>
        </w:rPr>
        <w:t xml:space="preserve"> </w:t>
      </w:r>
      <w:r>
        <w:rPr>
          <w:rFonts w:ascii="KaiTi" w:hAnsi="KaiTi" w:eastAsia="KaiTi" w:cs="KaiTi"/>
          <w:sz w:val="16"/>
          <w:szCs w:val="16"/>
          <w:spacing w:val="5"/>
        </w:rPr>
        <w:t>[美]赫伯特·霍温坎普.联邦反托拉斯政策：竞争法律及其实践.许光耀，江山，</w:t>
      </w:r>
      <w:r>
        <w:rPr>
          <w:rFonts w:ascii="KaiTi" w:hAnsi="KaiTi" w:eastAsia="KaiTi" w:cs="KaiTi"/>
          <w:sz w:val="16"/>
          <w:szCs w:val="16"/>
        </w:rPr>
        <w:t xml:space="preserve"> </w:t>
      </w:r>
      <w:r>
        <w:rPr>
          <w:rFonts w:ascii="KaiTi" w:hAnsi="KaiTi" w:eastAsia="KaiTi" w:cs="KaiTi"/>
          <w:sz w:val="16"/>
          <w:szCs w:val="16"/>
          <w:spacing w:val="2"/>
        </w:rPr>
        <w:t>王晨，译.北京：法律出版社，2009.</w:t>
      </w:r>
    </w:p>
    <w:p>
      <w:pPr>
        <w:spacing w:line="266" w:lineRule="auto"/>
        <w:sectPr>
          <w:headerReference w:type="default" r:id="rId477"/>
          <w:pgSz w:w="7330" w:h="12480"/>
          <w:pgMar w:top="489" w:right="615" w:bottom="400" w:left="505" w:header="325" w:footer="0" w:gutter="0"/>
        </w:sectPr>
        <w:rPr>
          <w:rFonts w:ascii="KaiTi" w:hAnsi="KaiTi" w:eastAsia="KaiTi" w:cs="KaiTi"/>
          <w:sz w:val="16"/>
          <w:szCs w:val="16"/>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62" w:line="380" w:lineRule="exact"/>
        <w:rPr>
          <w:rFonts w:ascii="SimSun" w:hAnsi="SimSun" w:eastAsia="SimSun" w:cs="SimSun"/>
          <w:sz w:val="19"/>
          <w:szCs w:val="19"/>
        </w:rPr>
      </w:pPr>
      <w:r>
        <w:rPr>
          <w:rFonts w:ascii="SimSun" w:hAnsi="SimSun" w:eastAsia="SimSun" w:cs="SimSun"/>
          <w:sz w:val="19"/>
          <w:szCs w:val="19"/>
          <w:spacing w:val="9"/>
          <w:position w:val="14"/>
        </w:rPr>
        <w:t>基础是公共领域、公共产品，因此经济监管设立以后，反垄断法要进</w:t>
      </w:r>
    </w:p>
    <w:p>
      <w:pPr>
        <w:spacing w:line="219" w:lineRule="auto"/>
        <w:rPr>
          <w:rFonts w:ascii="SimSun" w:hAnsi="SimSun" w:eastAsia="SimSun" w:cs="SimSun"/>
          <w:sz w:val="19"/>
          <w:szCs w:val="19"/>
        </w:rPr>
      </w:pPr>
      <w:r>
        <w:rPr>
          <w:rFonts w:ascii="SimSun" w:hAnsi="SimSun" w:eastAsia="SimSun" w:cs="SimSun"/>
          <w:sz w:val="19"/>
          <w:szCs w:val="19"/>
          <w:spacing w:val="8"/>
        </w:rPr>
        <w:t>行一定程度的豁免，造成在实践中反垄断与监管的二分。</w:t>
      </w:r>
    </w:p>
    <w:p>
      <w:pPr>
        <w:ind w:firstLine="420"/>
        <w:spacing w:before="103" w:line="350" w:lineRule="auto"/>
        <w:jc w:val="both"/>
        <w:rPr>
          <w:rFonts w:ascii="SimSun" w:hAnsi="SimSun" w:eastAsia="SimSun" w:cs="SimSun"/>
          <w:sz w:val="19"/>
          <w:szCs w:val="19"/>
        </w:rPr>
      </w:pPr>
      <w:r>
        <w:rPr>
          <w:rFonts w:ascii="SimSun" w:hAnsi="SimSun" w:eastAsia="SimSun" w:cs="SimSun"/>
          <w:sz w:val="19"/>
          <w:szCs w:val="19"/>
          <w:spacing w:val="12"/>
        </w:rPr>
        <w:t>与监管和反垄断二分相对应的，是传统观点对经济管制的</w:t>
      </w:r>
      <w:r>
        <w:rPr>
          <w:rFonts w:ascii="SimSun" w:hAnsi="SimSun" w:eastAsia="SimSun" w:cs="SimSun"/>
          <w:sz w:val="19"/>
          <w:szCs w:val="19"/>
          <w:spacing w:val="11"/>
        </w:rPr>
        <w:t>看法。</w:t>
      </w:r>
      <w:r>
        <w:rPr>
          <w:rFonts w:ascii="SimSun" w:hAnsi="SimSun" w:eastAsia="SimSun" w:cs="SimSun"/>
          <w:sz w:val="19"/>
          <w:szCs w:val="19"/>
        </w:rPr>
        <w:t xml:space="preserve"> </w:t>
      </w:r>
      <w:r>
        <w:rPr>
          <w:rFonts w:ascii="SimSun" w:hAnsi="SimSun" w:eastAsia="SimSun" w:cs="SimSun"/>
          <w:sz w:val="19"/>
          <w:szCs w:val="19"/>
          <w:spacing w:val="9"/>
        </w:rPr>
        <w:t>管制被认为是一个封闭的盒子，某个市场要么在该盒子内，要么在盒</w:t>
      </w:r>
      <w:r>
        <w:rPr>
          <w:rFonts w:ascii="SimSun" w:hAnsi="SimSun" w:eastAsia="SimSun" w:cs="SimSun"/>
          <w:sz w:val="19"/>
          <w:szCs w:val="19"/>
          <w:spacing w:val="7"/>
        </w:rPr>
        <w:t xml:space="preserve">  </w:t>
      </w:r>
      <w:r>
        <w:rPr>
          <w:rFonts w:ascii="SimSun" w:hAnsi="SimSun" w:eastAsia="SimSun" w:cs="SimSun"/>
          <w:sz w:val="19"/>
          <w:szCs w:val="19"/>
          <w:spacing w:val="9"/>
        </w:rPr>
        <w:t>子外。如果是“受管制的”产业，反垄断执法会受到严重限制。在该  </w:t>
      </w:r>
      <w:r>
        <w:rPr>
          <w:rFonts w:ascii="SimSun" w:hAnsi="SimSun" w:eastAsia="SimSun" w:cs="SimSun"/>
          <w:sz w:val="19"/>
          <w:szCs w:val="19"/>
          <w:spacing w:val="13"/>
        </w:rPr>
        <w:t>范式下，反垄断法院通常要确定该产业管制是不是“普遍</w:t>
      </w:r>
      <w:r>
        <w:rPr>
          <w:rFonts w:ascii="SimSun" w:hAnsi="SimSun" w:eastAsia="SimSun" w:cs="SimSun"/>
          <w:sz w:val="19"/>
          <w:szCs w:val="19"/>
          <w:spacing w:val="12"/>
        </w:rPr>
        <w:t>的”,如果</w:t>
      </w:r>
    </w:p>
    <w:p>
      <w:pPr>
        <w:spacing w:line="219" w:lineRule="auto"/>
        <w:rPr>
          <w:rFonts w:ascii="SimSun" w:hAnsi="SimSun" w:eastAsia="SimSun" w:cs="SimSun"/>
          <w:sz w:val="19"/>
          <w:szCs w:val="19"/>
        </w:rPr>
      </w:pPr>
      <w:r>
        <w:rPr>
          <w:rFonts w:ascii="SimSun" w:hAnsi="SimSun" w:eastAsia="SimSun" w:cs="SimSun"/>
          <w:sz w:val="19"/>
          <w:szCs w:val="19"/>
          <w:spacing w:val="9"/>
        </w:rPr>
        <w:t>是普遍的，则该体制内的所有活动都被推定为豁免于反垄断审查。</w:t>
      </w:r>
    </w:p>
    <w:p>
      <w:pPr>
        <w:ind w:right="63" w:firstLine="410"/>
        <w:spacing w:before="149" w:line="349" w:lineRule="auto"/>
        <w:jc w:val="both"/>
        <w:rPr>
          <w:rFonts w:ascii="SimSun" w:hAnsi="SimSun" w:eastAsia="SimSun" w:cs="SimSun"/>
          <w:sz w:val="19"/>
          <w:szCs w:val="19"/>
        </w:rPr>
      </w:pPr>
      <w:r>
        <w:rPr>
          <w:rFonts w:ascii="SimSun" w:hAnsi="SimSun" w:eastAsia="SimSun" w:cs="SimSun"/>
          <w:sz w:val="19"/>
          <w:szCs w:val="19"/>
          <w:spacing w:val="9"/>
        </w:rPr>
        <w:t>产业管制的正当性存在一个历史发展的过程，但在法律制度中固</w:t>
      </w:r>
      <w:r>
        <w:rPr>
          <w:rFonts w:ascii="SimSun" w:hAnsi="SimSun" w:eastAsia="SimSun" w:cs="SimSun"/>
          <w:sz w:val="19"/>
          <w:szCs w:val="19"/>
          <w:spacing w:val="16"/>
        </w:rPr>
        <w:t xml:space="preserve"> </w:t>
      </w:r>
      <w:r>
        <w:rPr>
          <w:rFonts w:ascii="SimSun" w:hAnsi="SimSun" w:eastAsia="SimSun" w:cs="SimSun"/>
          <w:sz w:val="19"/>
          <w:szCs w:val="19"/>
          <w:spacing w:val="9"/>
        </w:rPr>
        <w:t>定为公共产品、垄断、历史传统和涉及公共利益四个理由，之后经过</w:t>
      </w:r>
      <w:r>
        <w:rPr>
          <w:rFonts w:ascii="SimSun" w:hAnsi="SimSun" w:eastAsia="SimSun" w:cs="SimSun"/>
          <w:sz w:val="19"/>
          <w:szCs w:val="19"/>
          <w:spacing w:val="16"/>
        </w:rPr>
        <w:t xml:space="preserve"> </w:t>
      </w:r>
      <w:r>
        <w:rPr>
          <w:rFonts w:ascii="SimSun" w:hAnsi="SimSun" w:eastAsia="SimSun" w:cs="SimSun"/>
          <w:sz w:val="19"/>
          <w:szCs w:val="19"/>
          <w:spacing w:val="9"/>
        </w:rPr>
        <w:t>主流经济学的解释，其正当性主要集中于自然垄断或具有外部性的行</w:t>
      </w:r>
      <w:r>
        <w:rPr>
          <w:rFonts w:ascii="SimSun" w:hAnsi="SimSun" w:eastAsia="SimSun" w:cs="SimSun"/>
          <w:sz w:val="19"/>
          <w:szCs w:val="19"/>
          <w:spacing w:val="18"/>
        </w:rPr>
        <w:t xml:space="preserve"> </w:t>
      </w:r>
      <w:r>
        <w:rPr>
          <w:rFonts w:ascii="SimSun" w:hAnsi="SimSun" w:eastAsia="SimSun" w:cs="SimSun"/>
          <w:sz w:val="19"/>
          <w:szCs w:val="19"/>
          <w:spacing w:val="9"/>
        </w:rPr>
        <w:t>业。第一，自然垄断是指在由一家企业生产时，行业的成本最小，社</w:t>
      </w:r>
      <w:r>
        <w:rPr>
          <w:rFonts w:ascii="SimSun" w:hAnsi="SimSun" w:eastAsia="SimSun" w:cs="SimSun"/>
          <w:sz w:val="19"/>
          <w:szCs w:val="19"/>
          <w:spacing w:val="16"/>
        </w:rPr>
        <w:t xml:space="preserve"> </w:t>
      </w:r>
      <w:r>
        <w:rPr>
          <w:rFonts w:ascii="SimSun" w:hAnsi="SimSun" w:eastAsia="SimSun" w:cs="SimSun"/>
          <w:sz w:val="19"/>
          <w:szCs w:val="19"/>
          <w:spacing w:val="9"/>
        </w:rPr>
        <w:t>会产量最优。自然垄断是规模经济的一种极端情况。自然垄断多产生</w:t>
      </w:r>
      <w:r>
        <w:rPr>
          <w:rFonts w:ascii="SimSun" w:hAnsi="SimSun" w:eastAsia="SimSun" w:cs="SimSun"/>
          <w:sz w:val="19"/>
          <w:szCs w:val="19"/>
          <w:spacing w:val="18"/>
        </w:rPr>
        <w:t xml:space="preserve"> </w:t>
      </w:r>
      <w:r>
        <w:rPr>
          <w:rFonts w:ascii="SimSun" w:hAnsi="SimSun" w:eastAsia="SimSun" w:cs="SimSun"/>
          <w:sz w:val="19"/>
          <w:szCs w:val="19"/>
          <w:spacing w:val="9"/>
        </w:rPr>
        <w:t>于高固定成本的行业，例如某一地区的电厂和本地电话公司，在这些</w:t>
      </w:r>
      <w:r>
        <w:rPr>
          <w:rFonts w:ascii="SimSun" w:hAnsi="SimSun" w:eastAsia="SimSun" w:cs="SimSun"/>
          <w:sz w:val="19"/>
          <w:szCs w:val="19"/>
          <w:spacing w:val="18"/>
        </w:rPr>
        <w:t xml:space="preserve"> </w:t>
      </w:r>
      <w:r>
        <w:rPr>
          <w:rFonts w:ascii="SimSun" w:hAnsi="SimSun" w:eastAsia="SimSun" w:cs="SimSun"/>
          <w:sz w:val="19"/>
          <w:szCs w:val="19"/>
          <w:spacing w:val="16"/>
        </w:rPr>
        <w:t>领域，固定成本(特别是将电网或电话用户连接起来的网络成</w:t>
      </w:r>
      <w:r>
        <w:rPr>
          <w:rFonts w:ascii="SimSun" w:hAnsi="SimSun" w:eastAsia="SimSun" w:cs="SimSun"/>
          <w:sz w:val="19"/>
          <w:szCs w:val="19"/>
          <w:spacing w:val="15"/>
        </w:rPr>
        <w:t>本)远</w:t>
      </w:r>
      <w:r>
        <w:rPr>
          <w:rFonts w:ascii="SimSun" w:hAnsi="SimSun" w:eastAsia="SimSun" w:cs="SimSun"/>
          <w:sz w:val="19"/>
          <w:szCs w:val="19"/>
        </w:rPr>
        <w:t xml:space="preserve"> </w:t>
      </w:r>
      <w:r>
        <w:rPr>
          <w:rFonts w:ascii="SimSun" w:hAnsi="SimSun" w:eastAsia="SimSun" w:cs="SimSun"/>
          <w:sz w:val="19"/>
          <w:szCs w:val="19"/>
          <w:spacing w:val="9"/>
        </w:rPr>
        <w:t>高于边际成本。但在自然垄断领域，生产效率和分配效率存在根本性</w:t>
      </w:r>
      <w:r>
        <w:rPr>
          <w:rFonts w:ascii="SimSun" w:hAnsi="SimSun" w:eastAsia="SimSun" w:cs="SimSun"/>
          <w:sz w:val="19"/>
          <w:szCs w:val="19"/>
          <w:spacing w:val="16"/>
        </w:rPr>
        <w:t xml:space="preserve"> </w:t>
      </w:r>
      <w:r>
        <w:rPr>
          <w:rFonts w:ascii="SimSun" w:hAnsi="SimSun" w:eastAsia="SimSun" w:cs="SimSun"/>
          <w:sz w:val="19"/>
          <w:szCs w:val="19"/>
          <w:spacing w:val="10"/>
        </w:rPr>
        <w:t>的冲突，即生产效率最佳时，市场由一个企业</w:t>
      </w:r>
      <w:r>
        <w:rPr>
          <w:rFonts w:ascii="SimSun" w:hAnsi="SimSun" w:eastAsia="SimSun" w:cs="SimSun"/>
          <w:sz w:val="19"/>
          <w:szCs w:val="19"/>
          <w:spacing w:val="9"/>
        </w:rPr>
        <w:t>垄断，垄断企业倾向于</w:t>
      </w:r>
      <w:r>
        <w:rPr>
          <w:rFonts w:ascii="SimSun" w:hAnsi="SimSun" w:eastAsia="SimSun" w:cs="SimSun"/>
          <w:sz w:val="19"/>
          <w:szCs w:val="19"/>
        </w:rPr>
        <w:t xml:space="preserve"> </w:t>
      </w:r>
      <w:r>
        <w:rPr>
          <w:rFonts w:ascii="SimSun" w:hAnsi="SimSun" w:eastAsia="SimSun" w:cs="SimSun"/>
          <w:sz w:val="19"/>
          <w:szCs w:val="19"/>
          <w:spacing w:val="9"/>
        </w:rPr>
        <w:t>收取高于成本的定价以攫取垄断利润，从而损害分配效率，因此需要</w:t>
      </w:r>
      <w:r>
        <w:rPr>
          <w:rFonts w:ascii="SimSun" w:hAnsi="SimSun" w:eastAsia="SimSun" w:cs="SimSun"/>
          <w:sz w:val="19"/>
          <w:szCs w:val="19"/>
          <w:spacing w:val="18"/>
        </w:rPr>
        <w:t xml:space="preserve"> </w:t>
      </w:r>
      <w:r>
        <w:rPr>
          <w:rFonts w:ascii="SimSun" w:hAnsi="SimSun" w:eastAsia="SimSun" w:cs="SimSun"/>
          <w:sz w:val="19"/>
          <w:szCs w:val="19"/>
          <w:spacing w:val="16"/>
        </w:rPr>
        <w:t>用管制来解决此类冲突。第二，外部性指</w:t>
      </w:r>
      <w:r>
        <w:rPr>
          <w:rFonts w:ascii="Times New Roman" w:hAnsi="Times New Roman" w:eastAsia="Times New Roman" w:cs="Times New Roman"/>
          <w:sz w:val="19"/>
          <w:szCs w:val="19"/>
          <w:spacing w:val="16"/>
        </w:rPr>
        <w:t>A</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16"/>
        </w:rPr>
        <w:t>在</w:t>
      </w:r>
      <w:r>
        <w:rPr>
          <w:rFonts w:ascii="SimSun" w:hAnsi="SimSun" w:eastAsia="SimSun" w:cs="SimSun"/>
          <w:sz w:val="19"/>
          <w:szCs w:val="19"/>
          <w:spacing w:val="15"/>
        </w:rPr>
        <w:t>影响</w:t>
      </w:r>
      <w:r>
        <w:rPr>
          <w:rFonts w:ascii="Times New Roman" w:hAnsi="Times New Roman" w:eastAsia="Times New Roman" w:cs="Times New Roman"/>
          <w:sz w:val="19"/>
          <w:szCs w:val="19"/>
          <w:spacing w:val="15"/>
        </w:rPr>
        <w:t>B</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5"/>
        </w:rPr>
        <w:t>的效用或生产</w:t>
      </w:r>
      <w:r>
        <w:rPr>
          <w:rFonts w:ascii="SimSun" w:hAnsi="SimSun" w:eastAsia="SimSun" w:cs="SimSun"/>
          <w:sz w:val="19"/>
          <w:szCs w:val="19"/>
        </w:rPr>
        <w:t xml:space="preserve"> </w:t>
      </w:r>
      <w:r>
        <w:rPr>
          <w:rFonts w:ascii="SimSun" w:hAnsi="SimSun" w:eastAsia="SimSun" w:cs="SimSun"/>
          <w:sz w:val="19"/>
          <w:szCs w:val="19"/>
          <w:spacing w:val="16"/>
        </w:rPr>
        <w:t>函数的情况下，并不关心其对</w:t>
      </w:r>
      <w:r>
        <w:rPr>
          <w:rFonts w:ascii="Times New Roman" w:hAnsi="Times New Roman" w:eastAsia="Times New Roman" w:cs="Times New Roman"/>
          <w:sz w:val="19"/>
          <w:szCs w:val="19"/>
          <w:spacing w:val="16"/>
        </w:rPr>
        <w:t>B</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16"/>
        </w:rPr>
        <w:t>福利的影响。外部性分为正外部性</w:t>
      </w:r>
      <w:r>
        <w:rPr>
          <w:rFonts w:ascii="SimSun" w:hAnsi="SimSun" w:eastAsia="SimSun" w:cs="SimSun"/>
          <w:sz w:val="19"/>
          <w:szCs w:val="19"/>
        </w:rPr>
        <w:t xml:space="preserve"> </w:t>
      </w:r>
      <w:r>
        <w:rPr>
          <w:rFonts w:ascii="SimSun" w:hAnsi="SimSun" w:eastAsia="SimSun" w:cs="SimSun"/>
          <w:sz w:val="19"/>
          <w:szCs w:val="19"/>
          <w:spacing w:val="9"/>
        </w:rPr>
        <w:t>和负外部性，典型的负外部性有噪声和水污染。在此种情况下，完美</w:t>
      </w:r>
      <w:r>
        <w:rPr>
          <w:rFonts w:ascii="SimSun" w:hAnsi="SimSun" w:eastAsia="SimSun" w:cs="SimSun"/>
          <w:sz w:val="19"/>
          <w:szCs w:val="19"/>
          <w:spacing w:val="18"/>
        </w:rPr>
        <w:t xml:space="preserve"> </w:t>
      </w:r>
      <w:r>
        <w:rPr>
          <w:rFonts w:ascii="SimSun" w:hAnsi="SimSun" w:eastAsia="SimSun" w:cs="SimSun"/>
          <w:sz w:val="19"/>
          <w:szCs w:val="19"/>
          <w:spacing w:val="9"/>
        </w:rPr>
        <w:t>的竞争市场由于外部性的存在也无法达到最佳配置效率，因此需要监</w:t>
      </w:r>
      <w:r>
        <w:rPr>
          <w:rFonts w:ascii="SimSun" w:hAnsi="SimSun" w:eastAsia="SimSun" w:cs="SimSun"/>
          <w:sz w:val="19"/>
          <w:szCs w:val="19"/>
          <w:spacing w:val="17"/>
        </w:rPr>
        <w:t xml:space="preserve"> </w:t>
      </w:r>
      <w:r>
        <w:rPr>
          <w:rFonts w:ascii="SimSun" w:hAnsi="SimSun" w:eastAsia="SimSun" w:cs="SimSun"/>
          <w:sz w:val="19"/>
          <w:szCs w:val="19"/>
          <w:spacing w:val="19"/>
        </w:rPr>
        <w:t>管的介入。政府可以通过对具有负(正)外部性的企业增加税收(给</w:t>
      </w:r>
      <w:r>
        <w:rPr>
          <w:rFonts w:ascii="SimSun" w:hAnsi="SimSun" w:eastAsia="SimSun" w:cs="SimSun"/>
          <w:sz w:val="19"/>
          <w:szCs w:val="19"/>
          <w:spacing w:val="1"/>
        </w:rPr>
        <w:t xml:space="preserve"> </w:t>
      </w:r>
      <w:r>
        <w:rPr>
          <w:rFonts w:ascii="SimSun" w:hAnsi="SimSun" w:eastAsia="SimSun" w:cs="SimSun"/>
          <w:sz w:val="19"/>
          <w:szCs w:val="19"/>
          <w:spacing w:val="15"/>
        </w:rPr>
        <w:t>予补贴),实现社会配置效率。值得注意的是，经济学理论在20世纪</w:t>
      </w:r>
      <w:r>
        <w:rPr>
          <w:rFonts w:ascii="SimSun" w:hAnsi="SimSun" w:eastAsia="SimSun" w:cs="SimSun"/>
          <w:sz w:val="19"/>
          <w:szCs w:val="19"/>
          <w:spacing w:val="14"/>
        </w:rPr>
        <w:t xml:space="preserve"> </w:t>
      </w:r>
      <w:r>
        <w:rPr>
          <w:rFonts w:ascii="SimSun" w:hAnsi="SimSun" w:eastAsia="SimSun" w:cs="SimSun"/>
          <w:sz w:val="19"/>
          <w:szCs w:val="19"/>
          <w:spacing w:val="17"/>
        </w:rPr>
        <w:t>80年代以来不断地将自然垄断的特性大部分</w:t>
      </w:r>
      <w:r>
        <w:rPr>
          <w:rFonts w:ascii="SimSun" w:hAnsi="SimSun" w:eastAsia="SimSun" w:cs="SimSun"/>
          <w:sz w:val="19"/>
          <w:szCs w:val="19"/>
          <w:spacing w:val="16"/>
        </w:rPr>
        <w:t>纳入了网络外部性的讨</w:t>
      </w:r>
      <w:r>
        <w:rPr>
          <w:rFonts w:ascii="SimSun" w:hAnsi="SimSun" w:eastAsia="SimSun" w:cs="SimSun"/>
          <w:sz w:val="19"/>
          <w:szCs w:val="19"/>
        </w:rPr>
        <w:t xml:space="preserve"> </w:t>
      </w:r>
      <w:r>
        <w:rPr>
          <w:rFonts w:ascii="SimSun" w:hAnsi="SimSun" w:eastAsia="SimSun" w:cs="SimSun"/>
          <w:sz w:val="19"/>
          <w:szCs w:val="19"/>
          <w:spacing w:val="9"/>
        </w:rPr>
        <w:t>论，有的观点认为网络外部性完全可以替换自然垄断，有的观点认为</w:t>
      </w:r>
      <w:r>
        <w:rPr>
          <w:rFonts w:ascii="SimSun" w:hAnsi="SimSun" w:eastAsia="SimSun" w:cs="SimSun"/>
          <w:sz w:val="19"/>
          <w:szCs w:val="19"/>
          <w:spacing w:val="18"/>
        </w:rPr>
        <w:t xml:space="preserve"> </w:t>
      </w:r>
      <w:r>
        <w:rPr>
          <w:rFonts w:ascii="SimSun" w:hAnsi="SimSun" w:eastAsia="SimSun" w:cs="SimSun"/>
          <w:sz w:val="19"/>
          <w:szCs w:val="19"/>
          <w:spacing w:val="9"/>
        </w:rPr>
        <w:t>其强度不同：网络外部性是参与用户越多，网络本身的价值越大；而</w:t>
      </w:r>
    </w:p>
    <w:p>
      <w:pPr>
        <w:spacing w:line="218" w:lineRule="auto"/>
        <w:rPr>
          <w:rFonts w:ascii="SimSun" w:hAnsi="SimSun" w:eastAsia="SimSun" w:cs="SimSun"/>
          <w:sz w:val="19"/>
          <w:szCs w:val="19"/>
        </w:rPr>
      </w:pPr>
      <w:r>
        <w:rPr>
          <w:rFonts w:ascii="SimSun" w:hAnsi="SimSun" w:eastAsia="SimSun" w:cs="SimSun"/>
          <w:sz w:val="19"/>
          <w:szCs w:val="19"/>
          <w:spacing w:val="6"/>
        </w:rPr>
        <w:t>自然垄断是在一定规模效应下的成本弱增性。</w:t>
      </w:r>
    </w:p>
    <w:p>
      <w:pPr>
        <w:spacing w:line="218" w:lineRule="auto"/>
        <w:sectPr>
          <w:headerReference w:type="default" r:id="rId478"/>
          <w:pgSz w:w="7330" w:h="12480"/>
          <w:pgMar w:top="809" w:right="705" w:bottom="400" w:left="549" w:header="652" w:footer="0" w:gutter="0"/>
        </w:sectPr>
        <w:rPr>
          <w:rFonts w:ascii="SimSun" w:hAnsi="SimSun" w:eastAsia="SimSun" w:cs="SimSun"/>
          <w:sz w:val="19"/>
          <w:szCs w:val="19"/>
        </w:rPr>
      </w:pPr>
    </w:p>
    <w:p>
      <w:pPr>
        <w:pStyle w:val="BodyText"/>
        <w:spacing w:line="247" w:lineRule="auto"/>
        <w:rPr/>
      </w:pPr>
      <w:r>
        <w:drawing>
          <wp:anchor distT="0" distB="0" distL="0" distR="0" simplePos="0" relativeHeight="255881216" behindDoc="0" locked="0" layoutInCell="0" allowOverlap="1">
            <wp:simplePos x="0" y="0"/>
            <wp:positionH relativeFrom="page">
              <wp:posOffset>431802</wp:posOffset>
            </wp:positionH>
            <wp:positionV relativeFrom="page">
              <wp:posOffset>6756366</wp:posOffset>
            </wp:positionV>
            <wp:extent cx="1174761" cy="6418"/>
            <wp:effectExtent l="0" t="0" r="0" b="0"/>
            <wp:wrapNone/>
            <wp:docPr id="360" name="IM 360"/>
            <wp:cNvGraphicFramePr/>
            <a:graphic>
              <a:graphicData uri="http://schemas.openxmlformats.org/drawingml/2006/picture">
                <pic:pic>
                  <pic:nvPicPr>
                    <pic:cNvPr id="360" name="IM 360"/>
                    <pic:cNvPicPr/>
                  </pic:nvPicPr>
                  <pic:blipFill>
                    <a:blip r:embed="rId480"/>
                    <a:stretch>
                      <a:fillRect/>
                    </a:stretch>
                  </pic:blipFill>
                  <pic:spPr>
                    <a:xfrm rot="0">
                      <a:off x="0" y="0"/>
                      <a:ext cx="1174761" cy="6418"/>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7" w:lineRule="auto"/>
        <w:rPr/>
      </w:pPr>
      <w:r/>
    </w:p>
    <w:p>
      <w:pPr>
        <w:ind w:right="55" w:firstLine="420"/>
        <w:spacing w:before="68" w:line="304" w:lineRule="auto"/>
        <w:jc w:val="both"/>
        <w:rPr>
          <w:rFonts w:ascii="SimSun" w:hAnsi="SimSun" w:eastAsia="SimSun" w:cs="SimSun"/>
          <w:sz w:val="21"/>
          <w:szCs w:val="21"/>
        </w:rPr>
      </w:pPr>
      <w:r>
        <w:rPr>
          <w:rFonts w:ascii="SimSun" w:hAnsi="SimSun" w:eastAsia="SimSun" w:cs="SimSun"/>
          <w:sz w:val="21"/>
          <w:szCs w:val="21"/>
          <w:spacing w:val="-3"/>
        </w:rPr>
        <w:t>20世纪80年代以来，监管体系因受到私人利益或公共选择理论</w:t>
      </w:r>
      <w:r>
        <w:rPr>
          <w:rFonts w:ascii="SimSun" w:hAnsi="SimSun" w:eastAsia="SimSun" w:cs="SimSun"/>
          <w:sz w:val="21"/>
          <w:szCs w:val="21"/>
          <w:spacing w:val="15"/>
        </w:rPr>
        <w:t xml:space="preserve"> </w:t>
      </w:r>
      <w:r>
        <w:rPr>
          <w:rFonts w:ascii="SimSun" w:hAnsi="SimSun" w:eastAsia="SimSun" w:cs="SimSun"/>
          <w:sz w:val="21"/>
          <w:szCs w:val="21"/>
          <w:spacing w:val="-10"/>
        </w:rPr>
        <w:t>冲击，其运行成本昂贵，且大多数管制体系并不能使被管制市场上的</w:t>
      </w:r>
      <w:r>
        <w:rPr>
          <w:rFonts w:ascii="SimSun" w:hAnsi="SimSun" w:eastAsia="SimSun" w:cs="SimSun"/>
          <w:sz w:val="21"/>
          <w:szCs w:val="21"/>
          <w:spacing w:val="4"/>
        </w:rPr>
        <w:t xml:space="preserve"> </w:t>
      </w:r>
      <w:r>
        <w:rPr>
          <w:rFonts w:ascii="SimSun" w:hAnsi="SimSun" w:eastAsia="SimSun" w:cs="SimSun"/>
          <w:sz w:val="21"/>
          <w:szCs w:val="21"/>
          <w:spacing w:val="-10"/>
        </w:rPr>
        <w:t>行为接近竞争性行为而饱受批判。这种批评产生的一种副产品</w:t>
      </w:r>
      <w:r>
        <w:rPr>
          <w:rFonts w:ascii="SimSun" w:hAnsi="SimSun" w:eastAsia="SimSun" w:cs="SimSun"/>
          <w:sz w:val="21"/>
          <w:szCs w:val="21"/>
          <w:spacing w:val="-11"/>
        </w:rPr>
        <w:t>是，对</w:t>
      </w:r>
      <w:r>
        <w:rPr>
          <w:rFonts w:ascii="SimSun" w:hAnsi="SimSun" w:eastAsia="SimSun" w:cs="SimSun"/>
          <w:sz w:val="21"/>
          <w:szCs w:val="21"/>
        </w:rPr>
        <w:t xml:space="preserve"> </w:t>
      </w:r>
      <w:r>
        <w:rPr>
          <w:rFonts w:ascii="SimSun" w:hAnsi="SimSun" w:eastAsia="SimSun" w:cs="SimSun"/>
          <w:sz w:val="21"/>
          <w:szCs w:val="21"/>
          <w:spacing w:val="-10"/>
        </w:rPr>
        <w:t>价格管制的市场，反垄断法的范围应进行大量的重新解释</w:t>
      </w:r>
      <w:r>
        <w:rPr>
          <w:rFonts w:ascii="SimSun" w:hAnsi="SimSun" w:eastAsia="SimSun" w:cs="SimSun"/>
          <w:sz w:val="21"/>
          <w:szCs w:val="21"/>
          <w:spacing w:val="-11"/>
        </w:rPr>
        <w:t>。这造成了</w:t>
      </w:r>
      <w:r>
        <w:rPr>
          <w:rFonts w:ascii="SimSun" w:hAnsi="SimSun" w:eastAsia="SimSun" w:cs="SimSun"/>
          <w:sz w:val="21"/>
          <w:szCs w:val="21"/>
        </w:rPr>
        <w:t xml:space="preserve"> </w:t>
      </w:r>
      <w:r>
        <w:rPr>
          <w:rFonts w:ascii="SimSun" w:hAnsi="SimSun" w:eastAsia="SimSun" w:cs="SimSun"/>
          <w:sz w:val="21"/>
          <w:szCs w:val="21"/>
          <w:spacing w:val="-4"/>
        </w:rPr>
        <w:t>反垄断法的扩张，主要体现在两个方面：第一，管制虽然具有普遍</w:t>
      </w:r>
      <w:r>
        <w:rPr>
          <w:rFonts w:ascii="SimSun" w:hAnsi="SimSun" w:eastAsia="SimSun" w:cs="SimSun"/>
          <w:sz w:val="21"/>
          <w:szCs w:val="21"/>
          <w:spacing w:val="15"/>
        </w:rPr>
        <w:t xml:space="preserve"> </w:t>
      </w:r>
      <w:r>
        <w:rPr>
          <w:rFonts w:ascii="SimSun" w:hAnsi="SimSun" w:eastAsia="SimSun" w:cs="SimSun"/>
          <w:sz w:val="21"/>
          <w:szCs w:val="21"/>
          <w:spacing w:val="-10"/>
        </w:rPr>
        <w:t>性，但这种普遍性并不重要；第二，对于企业的行为，我们一般并不</w:t>
      </w:r>
      <w:r>
        <w:rPr>
          <w:rFonts w:ascii="SimSun" w:hAnsi="SimSun" w:eastAsia="SimSun" w:cs="SimSun"/>
          <w:sz w:val="21"/>
          <w:szCs w:val="21"/>
        </w:rPr>
        <w:t xml:space="preserve"> </w:t>
      </w:r>
      <w:r>
        <w:rPr>
          <w:rFonts w:ascii="SimSun" w:hAnsi="SimSun" w:eastAsia="SimSun" w:cs="SimSun"/>
          <w:sz w:val="21"/>
          <w:szCs w:val="21"/>
          <w:spacing w:val="-10"/>
        </w:rPr>
        <w:t>将其划分为“受管制的”和“不受管制的”两类，而是要考虑该行为</w:t>
      </w:r>
      <w:r>
        <w:rPr>
          <w:rFonts w:ascii="SimSun" w:hAnsi="SimSun" w:eastAsia="SimSun" w:cs="SimSun"/>
          <w:sz w:val="21"/>
          <w:szCs w:val="21"/>
        </w:rPr>
        <w:t xml:space="preserve"> </w:t>
      </w:r>
      <w:r>
        <w:rPr>
          <w:rFonts w:ascii="SimSun" w:hAnsi="SimSun" w:eastAsia="SimSun" w:cs="SimSun"/>
          <w:sz w:val="21"/>
          <w:szCs w:val="21"/>
          <w:spacing w:val="-11"/>
        </w:rPr>
        <w:t>是由产业监管机关管制还是由反垄断执法机关管制。</w:t>
      </w:r>
    </w:p>
    <w:p>
      <w:pPr>
        <w:ind w:right="67" w:firstLine="420"/>
        <w:spacing w:before="111" w:line="307" w:lineRule="auto"/>
        <w:jc w:val="both"/>
        <w:rPr>
          <w:rFonts w:ascii="SimSun" w:hAnsi="SimSun" w:eastAsia="SimSun" w:cs="SimSun"/>
          <w:sz w:val="21"/>
          <w:szCs w:val="21"/>
        </w:rPr>
      </w:pPr>
      <w:r>
        <w:rPr>
          <w:rFonts w:ascii="SimSun" w:hAnsi="SimSun" w:eastAsia="SimSun" w:cs="SimSun"/>
          <w:sz w:val="21"/>
          <w:szCs w:val="21"/>
          <w:spacing w:val="-11"/>
        </w:rPr>
        <w:t>反垄断和产业管制作为两种可以互相替代的监管手段，其适用性</w:t>
      </w:r>
      <w:r>
        <w:rPr>
          <w:rFonts w:ascii="SimSun" w:hAnsi="SimSun" w:eastAsia="SimSun" w:cs="SimSun"/>
          <w:sz w:val="21"/>
          <w:szCs w:val="21"/>
          <w:spacing w:val="4"/>
        </w:rPr>
        <w:t xml:space="preserve"> </w:t>
      </w:r>
      <w:r>
        <w:rPr>
          <w:rFonts w:ascii="SimSun" w:hAnsi="SimSun" w:eastAsia="SimSun" w:cs="SimSun"/>
          <w:sz w:val="21"/>
          <w:szCs w:val="21"/>
          <w:spacing w:val="-10"/>
        </w:rPr>
        <w:t>考察的范围从市场、行业的中观范畴转向了企业行为的微观范畴。某</w:t>
      </w:r>
      <w:r>
        <w:rPr>
          <w:rFonts w:ascii="SimSun" w:hAnsi="SimSun" w:eastAsia="SimSun" w:cs="SimSun"/>
          <w:sz w:val="21"/>
          <w:szCs w:val="21"/>
        </w:rPr>
        <w:t xml:space="preserve"> </w:t>
      </w:r>
      <w:r>
        <w:rPr>
          <w:rFonts w:ascii="SimSun" w:hAnsi="SimSun" w:eastAsia="SimSun" w:cs="SimSun"/>
          <w:sz w:val="21"/>
          <w:szCs w:val="21"/>
          <w:spacing w:val="-10"/>
        </w:rPr>
        <w:t>一行业或市场并不因为管制的存在而当然享受反垄断法的豁免，对于</w:t>
      </w:r>
      <w:r>
        <w:rPr>
          <w:rFonts w:ascii="SimSun" w:hAnsi="SimSun" w:eastAsia="SimSun" w:cs="SimSun"/>
          <w:sz w:val="21"/>
          <w:szCs w:val="21"/>
        </w:rPr>
        <w:t xml:space="preserve"> </w:t>
      </w:r>
      <w:r>
        <w:rPr>
          <w:rFonts w:ascii="SimSun" w:hAnsi="SimSun" w:eastAsia="SimSun" w:cs="SimSun"/>
          <w:sz w:val="21"/>
          <w:szCs w:val="21"/>
          <w:spacing w:val="1"/>
        </w:rPr>
        <w:t>豁免的实质问题的判断需要遵循以下步骤：</w:t>
      </w:r>
      <w:r>
        <w:rPr>
          <w:rFonts w:ascii="SimSun" w:hAnsi="SimSun" w:eastAsia="SimSun" w:cs="SimSun"/>
          <w:sz w:val="21"/>
          <w:szCs w:val="21"/>
        </w:rPr>
        <w:t>(1)受指控的行为是否 </w:t>
      </w:r>
      <w:r>
        <w:rPr>
          <w:rFonts w:ascii="SimSun" w:hAnsi="SimSun" w:eastAsia="SimSun" w:cs="SimSun"/>
          <w:sz w:val="21"/>
          <w:szCs w:val="21"/>
          <w:spacing w:val="-6"/>
        </w:rPr>
        <w:t>在管制机构管辖权的范围内；(2)该行为是否已实际</w:t>
      </w:r>
      <w:r>
        <w:rPr>
          <w:rFonts w:ascii="SimSun" w:hAnsi="SimSun" w:eastAsia="SimSun" w:cs="SimSun"/>
          <w:sz w:val="21"/>
          <w:szCs w:val="21"/>
          <w:spacing w:val="-7"/>
        </w:rPr>
        <w:t>提交给监管机构</w:t>
      </w:r>
      <w:r>
        <w:rPr>
          <w:rFonts w:ascii="SimSun" w:hAnsi="SimSun" w:eastAsia="SimSun" w:cs="SimSun"/>
          <w:sz w:val="21"/>
          <w:szCs w:val="21"/>
        </w:rPr>
        <w:t xml:space="preserve"> </w:t>
      </w:r>
      <w:r>
        <w:rPr>
          <w:rFonts w:ascii="SimSun" w:hAnsi="SimSun" w:eastAsia="SimSun" w:cs="SimSun"/>
          <w:sz w:val="21"/>
          <w:szCs w:val="21"/>
          <w:spacing w:val="-6"/>
        </w:rPr>
        <w:t>进行审查；(3)管制机构是否对可能产生的反竞争效果进行适</w:t>
      </w:r>
      <w:r>
        <w:rPr>
          <w:rFonts w:ascii="SimSun" w:hAnsi="SimSun" w:eastAsia="SimSun" w:cs="SimSun"/>
          <w:sz w:val="21"/>
          <w:szCs w:val="21"/>
          <w:spacing w:val="-7"/>
        </w:rPr>
        <w:t>当的审</w:t>
      </w:r>
      <w:r>
        <w:rPr>
          <w:rFonts w:ascii="SimSun" w:hAnsi="SimSun" w:eastAsia="SimSun" w:cs="SimSun"/>
          <w:sz w:val="21"/>
          <w:szCs w:val="21"/>
        </w:rPr>
        <w:t xml:space="preserve"> </w:t>
      </w:r>
      <w:r>
        <w:rPr>
          <w:rFonts w:ascii="SimSun" w:hAnsi="SimSun" w:eastAsia="SimSun" w:cs="SimSun"/>
          <w:sz w:val="21"/>
          <w:szCs w:val="21"/>
          <w:spacing w:val="-6"/>
        </w:rPr>
        <w:t>查；(4)这种情况下，适用反垄断法是否会</w:t>
      </w:r>
      <w:r>
        <w:rPr>
          <w:rFonts w:ascii="SimSun" w:hAnsi="SimSun" w:eastAsia="SimSun" w:cs="SimSun"/>
          <w:sz w:val="21"/>
          <w:szCs w:val="21"/>
          <w:spacing w:val="-7"/>
        </w:rPr>
        <w:t>导致命令相互冲突，或者</w:t>
      </w:r>
      <w:r>
        <w:rPr>
          <w:rFonts w:ascii="SimSun" w:hAnsi="SimSun" w:eastAsia="SimSun" w:cs="SimSun"/>
          <w:sz w:val="21"/>
          <w:szCs w:val="21"/>
        </w:rPr>
        <w:t xml:space="preserve"> </w:t>
      </w:r>
      <w:r>
        <w:rPr>
          <w:rFonts w:ascii="SimSun" w:hAnsi="SimSun" w:eastAsia="SimSun" w:cs="SimSun"/>
          <w:sz w:val="21"/>
          <w:szCs w:val="21"/>
        </w:rPr>
        <w:t>会阻碍管制程序的运行；(5)在某个具体请求的评价中，管制机构</w:t>
      </w:r>
      <w:r>
        <w:rPr>
          <w:rFonts w:ascii="SimSun" w:hAnsi="SimSun" w:eastAsia="SimSun" w:cs="SimSun"/>
          <w:sz w:val="21"/>
          <w:szCs w:val="21"/>
          <w:spacing w:val="17"/>
        </w:rPr>
        <w:t xml:space="preserve"> </w:t>
      </w:r>
      <w:r>
        <w:rPr>
          <w:rFonts w:ascii="SimSun" w:hAnsi="SimSun" w:eastAsia="SimSun" w:cs="SimSun"/>
          <w:sz w:val="21"/>
          <w:szCs w:val="21"/>
          <w:spacing w:val="-10"/>
        </w:rPr>
        <w:t>是否拥有反垄断法院通常不具备的专业知识。①例如在戈登诉</w:t>
      </w:r>
      <w:r>
        <w:rPr>
          <w:rFonts w:ascii="SimSun" w:hAnsi="SimSun" w:eastAsia="SimSun" w:cs="SimSun"/>
          <w:sz w:val="21"/>
          <w:szCs w:val="21"/>
          <w:spacing w:val="-11"/>
        </w:rPr>
        <w:t>纽约证</w:t>
      </w:r>
      <w:r>
        <w:rPr>
          <w:rFonts w:ascii="SimSun" w:hAnsi="SimSun" w:eastAsia="SimSun" w:cs="SimSun"/>
          <w:sz w:val="21"/>
          <w:szCs w:val="21"/>
        </w:rPr>
        <w:t xml:space="preserve"> </w:t>
      </w:r>
      <w:r>
        <w:rPr>
          <w:rFonts w:ascii="SimSun" w:hAnsi="SimSun" w:eastAsia="SimSun" w:cs="SimSun"/>
          <w:sz w:val="21"/>
          <w:szCs w:val="21"/>
          <w:spacing w:val="-3"/>
        </w:rPr>
        <w:t>券交易所案中，被指控的行为是固定经纪活动的佣金，最</w:t>
      </w:r>
      <w:r>
        <w:rPr>
          <w:rFonts w:ascii="SimSun" w:hAnsi="SimSun" w:eastAsia="SimSun" w:cs="SimSun"/>
          <w:sz w:val="21"/>
          <w:szCs w:val="21"/>
          <w:spacing w:val="-4"/>
        </w:rPr>
        <w:t>高法院认</w:t>
      </w:r>
      <w:r>
        <w:rPr>
          <w:rFonts w:ascii="SimSun" w:hAnsi="SimSun" w:eastAsia="SimSun" w:cs="SimSun"/>
          <w:sz w:val="21"/>
          <w:szCs w:val="21"/>
        </w:rPr>
        <w:t xml:space="preserve"> </w:t>
      </w:r>
      <w:r>
        <w:rPr>
          <w:rFonts w:ascii="SimSun" w:hAnsi="SimSun" w:eastAsia="SimSun" w:cs="SimSun"/>
          <w:sz w:val="21"/>
          <w:szCs w:val="21"/>
          <w:spacing w:val="-10"/>
        </w:rPr>
        <w:t>为，如果对这一行为进行反垄断审查，可能会与纽约证券交</w:t>
      </w:r>
      <w:r>
        <w:rPr>
          <w:rFonts w:ascii="SimSun" w:hAnsi="SimSun" w:eastAsia="SimSun" w:cs="SimSun"/>
          <w:sz w:val="21"/>
          <w:szCs w:val="21"/>
          <w:spacing w:val="-11"/>
        </w:rPr>
        <w:t>易所的权</w:t>
      </w:r>
      <w:r>
        <w:rPr>
          <w:rFonts w:ascii="SimSun" w:hAnsi="SimSun" w:eastAsia="SimSun" w:cs="SimSun"/>
          <w:sz w:val="21"/>
          <w:szCs w:val="21"/>
        </w:rPr>
        <w:t xml:space="preserve"> </w:t>
      </w:r>
      <w:r>
        <w:rPr>
          <w:rFonts w:ascii="SimSun" w:hAnsi="SimSun" w:eastAsia="SimSun" w:cs="SimSun"/>
          <w:sz w:val="21"/>
          <w:szCs w:val="21"/>
          <w:spacing w:val="-11"/>
        </w:rPr>
        <w:t>力相冲突，因为后者有权就如何确定经济活动中的费率制定规则。在</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8"/>
        </w:rPr>
        <w:t>Sound </w:t>
      </w:r>
      <w:r>
        <w:rPr>
          <w:rFonts w:ascii="SimSun" w:hAnsi="SimSun" w:eastAsia="SimSun" w:cs="SimSun"/>
          <w:sz w:val="21"/>
          <w:szCs w:val="21"/>
          <w:spacing w:val="-8"/>
        </w:rPr>
        <w:t>公司诉美国电话电报公司案中，被告涉嫌针对那些希望与其电</w:t>
      </w:r>
      <w:r>
        <w:rPr>
          <w:rFonts w:ascii="SimSun" w:hAnsi="SimSun" w:eastAsia="SimSun" w:cs="SimSun"/>
          <w:sz w:val="21"/>
          <w:szCs w:val="21"/>
          <w:spacing w:val="5"/>
        </w:rPr>
        <w:t xml:space="preserve"> </w:t>
      </w:r>
      <w:r>
        <w:rPr>
          <w:rFonts w:ascii="SimSun" w:hAnsi="SimSun" w:eastAsia="SimSun" w:cs="SimSun"/>
          <w:sz w:val="21"/>
          <w:szCs w:val="21"/>
          <w:spacing w:val="-10"/>
        </w:rPr>
        <w:t>话线路互联互通的企业实施排挤性行为，法院认定这种排挤</w:t>
      </w:r>
      <w:r>
        <w:rPr>
          <w:rFonts w:ascii="SimSun" w:hAnsi="SimSun" w:eastAsia="SimSun" w:cs="SimSun"/>
          <w:sz w:val="21"/>
          <w:szCs w:val="21"/>
          <w:spacing w:val="-11"/>
        </w:rPr>
        <w:t>性行为适</w:t>
      </w:r>
      <w:r>
        <w:rPr>
          <w:rFonts w:ascii="SimSun" w:hAnsi="SimSun" w:eastAsia="SimSun" w:cs="SimSun"/>
          <w:sz w:val="21"/>
          <w:szCs w:val="21"/>
        </w:rPr>
        <w:t xml:space="preserve"> </w:t>
      </w:r>
      <w:r>
        <w:rPr>
          <w:rFonts w:ascii="SimSun" w:hAnsi="SimSun" w:eastAsia="SimSun" w:cs="SimSun"/>
          <w:sz w:val="21"/>
          <w:szCs w:val="21"/>
          <w:spacing w:val="-10"/>
        </w:rPr>
        <w:t>用于反垄断法，且与管制并不矛盾。</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left="339" w:hanging="339"/>
        <w:spacing w:before="55" w:line="267" w:lineRule="auto"/>
        <w:rPr>
          <w:rFonts w:ascii="KaiTi" w:hAnsi="KaiTi" w:eastAsia="KaiTi" w:cs="KaiTi"/>
          <w:sz w:val="17"/>
          <w:szCs w:val="17"/>
        </w:rPr>
      </w:pPr>
      <w:r>
        <w:rPr>
          <w:rFonts w:ascii="KaiTi" w:hAnsi="KaiTi" w:eastAsia="KaiTi" w:cs="KaiTi"/>
          <w:sz w:val="17"/>
          <w:szCs w:val="17"/>
          <w:spacing w:val="-3"/>
        </w:rPr>
        <w:t>①</w:t>
      </w:r>
      <w:r>
        <w:rPr>
          <w:rFonts w:ascii="KaiTi" w:hAnsi="KaiTi" w:eastAsia="KaiTi" w:cs="KaiTi"/>
          <w:sz w:val="17"/>
          <w:szCs w:val="17"/>
          <w:spacing w:val="-3"/>
        </w:rPr>
        <w:t xml:space="preserve"> </w:t>
      </w:r>
      <w:r>
        <w:rPr>
          <w:rFonts w:ascii="KaiTi" w:hAnsi="KaiTi" w:eastAsia="KaiTi" w:cs="KaiTi"/>
          <w:sz w:val="17"/>
          <w:szCs w:val="17"/>
          <w:spacing w:val="-3"/>
        </w:rPr>
        <w:t>[美]赫伯特·霍温坎普.联邦反托拉斯政策：竞</w:t>
      </w:r>
      <w:r>
        <w:rPr>
          <w:rFonts w:ascii="KaiTi" w:hAnsi="KaiTi" w:eastAsia="KaiTi" w:cs="KaiTi"/>
          <w:sz w:val="17"/>
          <w:szCs w:val="17"/>
          <w:spacing w:val="-4"/>
        </w:rPr>
        <w:t>争法律及其实践.许光耀，江山，</w:t>
      </w:r>
      <w:r>
        <w:rPr>
          <w:rFonts w:ascii="KaiTi" w:hAnsi="KaiTi" w:eastAsia="KaiTi" w:cs="KaiTi"/>
          <w:sz w:val="17"/>
          <w:szCs w:val="17"/>
        </w:rPr>
        <w:t xml:space="preserve"> </w:t>
      </w:r>
      <w:r>
        <w:rPr>
          <w:rFonts w:ascii="KaiTi" w:hAnsi="KaiTi" w:eastAsia="KaiTi" w:cs="KaiTi"/>
          <w:sz w:val="17"/>
          <w:szCs w:val="17"/>
          <w:spacing w:val="-6"/>
        </w:rPr>
        <w:t>王晨，译.北京：法律出版社，2009.</w:t>
      </w:r>
    </w:p>
    <w:p>
      <w:pPr>
        <w:spacing w:line="267" w:lineRule="auto"/>
        <w:sectPr>
          <w:headerReference w:type="default" r:id="rId479"/>
          <w:pgSz w:w="7330" w:h="12480"/>
          <w:pgMar w:top="547" w:right="575" w:bottom="400" w:left="680" w:header="394" w:footer="0" w:gutter="0"/>
        </w:sectPr>
        <w:rPr>
          <w:rFonts w:ascii="KaiTi" w:hAnsi="KaiTi" w:eastAsia="KaiTi" w:cs="KaiTi"/>
          <w:sz w:val="17"/>
          <w:szCs w:val="17"/>
        </w:rPr>
      </w:pP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5"/>
        </w:rPr>
        <w:t>平台对监管与反垄断的挑战</w:t>
      </w:r>
    </w:p>
    <w:p>
      <w:pPr>
        <w:pStyle w:val="BodyText"/>
        <w:spacing w:line="357" w:lineRule="auto"/>
        <w:rPr/>
      </w:pPr>
      <w:r/>
    </w:p>
    <w:p>
      <w:pPr>
        <w:ind w:right="20" w:firstLine="399"/>
        <w:spacing w:before="68" w:line="306" w:lineRule="auto"/>
        <w:jc w:val="both"/>
        <w:rPr>
          <w:rFonts w:ascii="SimSun" w:hAnsi="SimSun" w:eastAsia="SimSun" w:cs="SimSun"/>
          <w:sz w:val="21"/>
          <w:szCs w:val="21"/>
        </w:rPr>
      </w:pPr>
      <w:r>
        <w:rPr>
          <w:rFonts w:ascii="SimSun" w:hAnsi="SimSun" w:eastAsia="SimSun" w:cs="SimSun"/>
          <w:sz w:val="21"/>
          <w:szCs w:val="21"/>
          <w:spacing w:val="-8"/>
        </w:rPr>
        <w:t>传统认为，管制用于自然垄断等具有公共性的行业，例如水力、</w:t>
      </w:r>
      <w:r>
        <w:rPr>
          <w:rFonts w:ascii="SimSun" w:hAnsi="SimSun" w:eastAsia="SimSun" w:cs="SimSun"/>
          <w:sz w:val="21"/>
          <w:szCs w:val="21"/>
          <w:spacing w:val="8"/>
        </w:rPr>
        <w:t xml:space="preserve"> </w:t>
      </w:r>
      <w:r>
        <w:rPr>
          <w:rFonts w:ascii="SimSun" w:hAnsi="SimSun" w:eastAsia="SimSun" w:cs="SimSun"/>
          <w:sz w:val="21"/>
          <w:szCs w:val="21"/>
          <w:spacing w:val="-10"/>
        </w:rPr>
        <w:t>电力、石油、通信等，这些行业基础设施一次</w:t>
      </w:r>
      <w:r>
        <w:rPr>
          <w:rFonts w:ascii="SimSun" w:hAnsi="SimSun" w:eastAsia="SimSun" w:cs="SimSun"/>
          <w:sz w:val="21"/>
          <w:szCs w:val="21"/>
          <w:spacing w:val="-11"/>
        </w:rPr>
        <w:t>性投入成本高，边际成 </w:t>
      </w:r>
      <w:r>
        <w:rPr>
          <w:rFonts w:ascii="SimSun" w:hAnsi="SimSun" w:eastAsia="SimSun" w:cs="SimSun"/>
          <w:sz w:val="21"/>
          <w:szCs w:val="21"/>
          <w:spacing w:val="-10"/>
        </w:rPr>
        <w:t>本较小，行业的服务对象是社会公众，具有公</w:t>
      </w:r>
      <w:r>
        <w:rPr>
          <w:rFonts w:ascii="SimSun" w:hAnsi="SimSun" w:eastAsia="SimSun" w:cs="SimSun"/>
          <w:sz w:val="21"/>
          <w:szCs w:val="21"/>
          <w:spacing w:val="-11"/>
        </w:rPr>
        <w:t>共性，而反垄断用于具 </w:t>
      </w:r>
      <w:r>
        <w:rPr>
          <w:rFonts w:ascii="SimSun" w:hAnsi="SimSun" w:eastAsia="SimSun" w:cs="SimSun"/>
          <w:sz w:val="21"/>
          <w:szCs w:val="21"/>
          <w:spacing w:val="-10"/>
        </w:rPr>
        <w:t>有私人属性的竞争市场，公私之间有较为明显</w:t>
      </w:r>
      <w:r>
        <w:rPr>
          <w:rFonts w:ascii="SimSun" w:hAnsi="SimSun" w:eastAsia="SimSun" w:cs="SimSun"/>
          <w:sz w:val="21"/>
          <w:szCs w:val="21"/>
          <w:spacing w:val="-11"/>
        </w:rPr>
        <w:t>的界分。平台的出现挑 </w:t>
      </w:r>
      <w:r>
        <w:rPr>
          <w:rFonts w:ascii="SimSun" w:hAnsi="SimSun" w:eastAsia="SimSun" w:cs="SimSun"/>
          <w:sz w:val="21"/>
          <w:szCs w:val="21"/>
          <w:spacing w:val="-10"/>
        </w:rPr>
        <w:t>战了这种区分，因为其网络外部性特征，导致其在经济学特性上产生</w:t>
      </w:r>
      <w:r>
        <w:rPr>
          <w:rFonts w:ascii="SimSun" w:hAnsi="SimSun" w:eastAsia="SimSun" w:cs="SimSun"/>
          <w:sz w:val="21"/>
          <w:szCs w:val="21"/>
          <w:spacing w:val="18"/>
        </w:rPr>
        <w:t xml:space="preserve"> </w:t>
      </w:r>
      <w:r>
        <w:rPr>
          <w:rFonts w:ascii="SimSun" w:hAnsi="SimSun" w:eastAsia="SimSun" w:cs="SimSun"/>
          <w:sz w:val="21"/>
          <w:szCs w:val="21"/>
          <w:spacing w:val="-11"/>
        </w:rPr>
        <w:t>了和自然垄断类似的属性，从而超越了现有的理论划分。除了经济学</w:t>
      </w:r>
      <w:r>
        <w:rPr>
          <w:rFonts w:ascii="SimSun" w:hAnsi="SimSun" w:eastAsia="SimSun" w:cs="SimSun"/>
          <w:sz w:val="21"/>
          <w:szCs w:val="21"/>
        </w:rPr>
        <w:t xml:space="preserve">  </w:t>
      </w:r>
      <w:r>
        <w:rPr>
          <w:rFonts w:ascii="SimSun" w:hAnsi="SimSun" w:eastAsia="SimSun" w:cs="SimSun"/>
          <w:sz w:val="21"/>
          <w:szCs w:val="21"/>
          <w:spacing w:val="-11"/>
        </w:rPr>
        <w:t>上的双边、多边市场以及网络外部性等特征，平台的商业服务和产品</w:t>
      </w:r>
      <w:r>
        <w:rPr>
          <w:rFonts w:ascii="SimSun" w:hAnsi="SimSun" w:eastAsia="SimSun" w:cs="SimSun"/>
          <w:sz w:val="21"/>
          <w:szCs w:val="21"/>
          <w:spacing w:val="9"/>
        </w:rPr>
        <w:t xml:space="preserve"> </w:t>
      </w:r>
      <w:r>
        <w:rPr>
          <w:rFonts w:ascii="SimSun" w:hAnsi="SimSun" w:eastAsia="SimSun" w:cs="SimSun"/>
          <w:sz w:val="21"/>
          <w:szCs w:val="21"/>
          <w:spacing w:val="-10"/>
        </w:rPr>
        <w:t>提供特点主要是在横向、纵向产业链条上的混</w:t>
      </w:r>
      <w:r>
        <w:rPr>
          <w:rFonts w:ascii="SimSun" w:hAnsi="SimSun" w:eastAsia="SimSun" w:cs="SimSun"/>
          <w:sz w:val="21"/>
          <w:szCs w:val="21"/>
          <w:spacing w:val="-11"/>
        </w:rPr>
        <w:t>同，这和平台目前提供 </w:t>
      </w:r>
      <w:r>
        <w:rPr>
          <w:rFonts w:ascii="SimSun" w:hAnsi="SimSun" w:eastAsia="SimSun" w:cs="SimSun"/>
          <w:sz w:val="21"/>
          <w:szCs w:val="21"/>
          <w:spacing w:val="-12"/>
        </w:rPr>
        <w:t>的产品和服务或者说盈利模式是相关的。</w:t>
      </w:r>
    </w:p>
    <w:p>
      <w:pPr>
        <w:ind w:firstLine="399"/>
        <w:spacing w:before="115" w:line="308" w:lineRule="auto"/>
        <w:jc w:val="both"/>
        <w:rPr>
          <w:rFonts w:ascii="SimSun" w:hAnsi="SimSun" w:eastAsia="SimSun" w:cs="SimSun"/>
          <w:sz w:val="21"/>
          <w:szCs w:val="21"/>
        </w:rPr>
      </w:pPr>
      <w:r>
        <w:rPr>
          <w:rFonts w:ascii="SimSun" w:hAnsi="SimSun" w:eastAsia="SimSun" w:cs="SimSun"/>
          <w:sz w:val="21"/>
          <w:szCs w:val="21"/>
          <w:spacing w:val="-7"/>
        </w:rPr>
        <w:t>从大型科技平台的业务特性来看，其主要聚焦于提供信息服务、</w:t>
      </w:r>
      <w:r>
        <w:rPr>
          <w:rFonts w:ascii="SimSun" w:hAnsi="SimSun" w:eastAsia="SimSun" w:cs="SimSun"/>
          <w:sz w:val="21"/>
          <w:szCs w:val="21"/>
        </w:rPr>
        <w:t xml:space="preserve"> </w:t>
      </w:r>
      <w:r>
        <w:rPr>
          <w:rFonts w:ascii="SimSun" w:hAnsi="SimSun" w:eastAsia="SimSun" w:cs="SimSun"/>
          <w:sz w:val="21"/>
          <w:szCs w:val="21"/>
          <w:spacing w:val="-11"/>
        </w:rPr>
        <w:t>广告服务和撮合交易的服务，信息服务具有较强的公共用品属性，但</w:t>
      </w:r>
      <w:r>
        <w:rPr>
          <w:rFonts w:ascii="SimSun" w:hAnsi="SimSun" w:eastAsia="SimSun" w:cs="SimSun"/>
          <w:sz w:val="21"/>
          <w:szCs w:val="21"/>
          <w:spacing w:val="8"/>
        </w:rPr>
        <w:t xml:space="preserve">  </w:t>
      </w:r>
      <w:r>
        <w:rPr>
          <w:rFonts w:ascii="SimSun" w:hAnsi="SimSun" w:eastAsia="SimSun" w:cs="SimSun"/>
          <w:sz w:val="21"/>
          <w:szCs w:val="21"/>
          <w:spacing w:val="-11"/>
        </w:rPr>
        <w:t>广告和撮合交易服务属于传统的私人领域。信息服务是通过互联网基</w:t>
      </w:r>
      <w:r>
        <w:rPr>
          <w:rFonts w:ascii="SimSun" w:hAnsi="SimSun" w:eastAsia="SimSun" w:cs="SimSun"/>
          <w:sz w:val="21"/>
          <w:szCs w:val="21"/>
          <w:spacing w:val="8"/>
        </w:rPr>
        <w:t xml:space="preserve">  </w:t>
      </w:r>
      <w:r>
        <w:rPr>
          <w:rFonts w:ascii="SimSun" w:hAnsi="SimSun" w:eastAsia="SimSun" w:cs="SimSun"/>
          <w:sz w:val="21"/>
          <w:szCs w:val="21"/>
          <w:spacing w:val="-10"/>
        </w:rPr>
        <w:t>础设施、协议和操作系统的软件，包括域名、网址等</w:t>
      </w:r>
      <w:r>
        <w:rPr>
          <w:rFonts w:ascii="SimSun" w:hAnsi="SimSun" w:eastAsia="SimSun" w:cs="SimSun"/>
          <w:sz w:val="21"/>
          <w:szCs w:val="21"/>
          <w:spacing w:val="-11"/>
        </w:rPr>
        <w:t>，向用户提供信</w:t>
      </w:r>
      <w:r>
        <w:rPr>
          <w:rFonts w:ascii="SimSun" w:hAnsi="SimSun" w:eastAsia="SimSun" w:cs="SimSun"/>
          <w:sz w:val="21"/>
          <w:szCs w:val="21"/>
        </w:rPr>
        <w:t xml:space="preserve">  </w:t>
      </w:r>
      <w:r>
        <w:rPr>
          <w:rFonts w:ascii="SimSun" w:hAnsi="SimSun" w:eastAsia="SimSun" w:cs="SimSun"/>
          <w:sz w:val="21"/>
          <w:szCs w:val="21"/>
          <w:spacing w:val="-11"/>
        </w:rPr>
        <w:t>息服务。例如百度、谷歌等公司向消费者提供搜索服务。此类信息服</w:t>
      </w:r>
      <w:r>
        <w:rPr>
          <w:rFonts w:ascii="SimSun" w:hAnsi="SimSun" w:eastAsia="SimSun" w:cs="SimSun"/>
          <w:sz w:val="21"/>
          <w:szCs w:val="21"/>
          <w:spacing w:val="8"/>
        </w:rPr>
        <w:t xml:space="preserve">  </w:t>
      </w:r>
      <w:r>
        <w:rPr>
          <w:rFonts w:ascii="SimSun" w:hAnsi="SimSun" w:eastAsia="SimSun" w:cs="SimSun"/>
          <w:sz w:val="21"/>
          <w:szCs w:val="21"/>
          <w:spacing w:val="-11"/>
        </w:rPr>
        <w:t>务的基础是平台的基础设施，包括技术性规范和交易规范。因为平台</w:t>
      </w:r>
      <w:r>
        <w:rPr>
          <w:rFonts w:ascii="SimSun" w:hAnsi="SimSun" w:eastAsia="SimSun" w:cs="SimSun"/>
          <w:sz w:val="21"/>
          <w:szCs w:val="21"/>
          <w:spacing w:val="5"/>
        </w:rPr>
        <w:t xml:space="preserve">  </w:t>
      </w:r>
      <w:r>
        <w:rPr>
          <w:rFonts w:ascii="SimSun" w:hAnsi="SimSun" w:eastAsia="SimSun" w:cs="SimSun"/>
          <w:sz w:val="21"/>
          <w:szCs w:val="21"/>
          <w:spacing w:val="-10"/>
        </w:rPr>
        <w:t>的信息提供要依赖于特定的互联网协议、特定的操作系统，在互</w:t>
      </w:r>
      <w:r>
        <w:rPr>
          <w:rFonts w:ascii="SimSun" w:hAnsi="SimSun" w:eastAsia="SimSun" w:cs="SimSun"/>
          <w:sz w:val="21"/>
          <w:szCs w:val="21"/>
          <w:spacing w:val="-11"/>
        </w:rPr>
        <w:t>联网</w:t>
      </w:r>
      <w:r>
        <w:rPr>
          <w:rFonts w:ascii="SimSun" w:hAnsi="SimSun" w:eastAsia="SimSun" w:cs="SimSun"/>
          <w:sz w:val="21"/>
          <w:szCs w:val="21"/>
        </w:rPr>
        <w:t xml:space="preserve">  </w:t>
      </w:r>
      <w:r>
        <w:rPr>
          <w:rFonts w:ascii="SimSun" w:hAnsi="SimSun" w:eastAsia="SimSun" w:cs="SimSun"/>
          <w:sz w:val="21"/>
          <w:szCs w:val="21"/>
          <w:spacing w:val="-10"/>
        </w:rPr>
        <w:t>的适用和软件开发过程中，需要遵守基本的规则就是技术性规</w:t>
      </w:r>
      <w:r>
        <w:rPr>
          <w:rFonts w:ascii="SimSun" w:hAnsi="SimSun" w:eastAsia="SimSun" w:cs="SimSun"/>
          <w:sz w:val="21"/>
          <w:szCs w:val="21"/>
          <w:spacing w:val="-11"/>
        </w:rPr>
        <w:t>范。同</w:t>
      </w:r>
      <w:r>
        <w:rPr>
          <w:rFonts w:ascii="SimSun" w:hAnsi="SimSun" w:eastAsia="SimSun" w:cs="SimSun"/>
          <w:sz w:val="21"/>
          <w:szCs w:val="21"/>
        </w:rPr>
        <w:t xml:space="preserve">  </w:t>
      </w:r>
      <w:r>
        <w:rPr>
          <w:rFonts w:ascii="SimSun" w:hAnsi="SimSun" w:eastAsia="SimSun" w:cs="SimSun"/>
          <w:sz w:val="21"/>
          <w:szCs w:val="21"/>
          <w:spacing w:val="-4"/>
        </w:rPr>
        <w:t>时，平台在赢利活动中发展出一套交易性规范，例如淘宝的交易规</w:t>
      </w:r>
      <w:r>
        <w:rPr>
          <w:rFonts w:ascii="SimSun" w:hAnsi="SimSun" w:eastAsia="SimSun" w:cs="SimSun"/>
          <w:sz w:val="21"/>
          <w:szCs w:val="21"/>
          <w:spacing w:val="6"/>
        </w:rPr>
        <w:t xml:space="preserve">  </w:t>
      </w:r>
      <w:r>
        <w:rPr>
          <w:rFonts w:ascii="SimSun" w:hAnsi="SimSun" w:eastAsia="SimSun" w:cs="SimSun"/>
          <w:sz w:val="21"/>
          <w:szCs w:val="21"/>
          <w:spacing w:val="-10"/>
        </w:rPr>
        <w:t>则、进货规则、退货规则、投诉规则和标准合</w:t>
      </w:r>
      <w:r>
        <w:rPr>
          <w:rFonts w:ascii="SimSun" w:hAnsi="SimSun" w:eastAsia="SimSun" w:cs="SimSun"/>
          <w:sz w:val="21"/>
          <w:szCs w:val="21"/>
          <w:spacing w:val="-11"/>
        </w:rPr>
        <w:t>同等，这类规则的可移</w:t>
      </w:r>
      <w:r>
        <w:rPr>
          <w:rFonts w:ascii="SimSun" w:hAnsi="SimSun" w:eastAsia="SimSun" w:cs="SimSun"/>
          <w:sz w:val="21"/>
          <w:szCs w:val="21"/>
        </w:rPr>
        <w:t xml:space="preserve">  </w:t>
      </w:r>
      <w:r>
        <w:rPr>
          <w:rFonts w:ascii="SimSun" w:hAnsi="SimSun" w:eastAsia="SimSun" w:cs="SimSun"/>
          <w:sz w:val="21"/>
          <w:szCs w:val="21"/>
          <w:spacing w:val="-11"/>
        </w:rPr>
        <w:t>植性、可复制性、可迁移性比较强，在不同的产业链条、产品提供之</w:t>
      </w:r>
      <w:r>
        <w:rPr>
          <w:rFonts w:ascii="SimSun" w:hAnsi="SimSun" w:eastAsia="SimSun" w:cs="SimSun"/>
          <w:sz w:val="21"/>
          <w:szCs w:val="21"/>
          <w:spacing w:val="8"/>
        </w:rPr>
        <w:t xml:space="preserve">  </w:t>
      </w:r>
      <w:r>
        <w:rPr>
          <w:rFonts w:ascii="SimSun" w:hAnsi="SimSun" w:eastAsia="SimSun" w:cs="SimSun"/>
          <w:sz w:val="21"/>
          <w:szCs w:val="21"/>
          <w:spacing w:val="-13"/>
        </w:rPr>
        <w:t>中非常容易横向扩张或者跨领域。</w:t>
      </w:r>
    </w:p>
    <w:p>
      <w:pPr>
        <w:ind w:right="93" w:firstLine="399"/>
        <w:spacing w:before="120" w:line="285" w:lineRule="auto"/>
        <w:jc w:val="both"/>
        <w:rPr>
          <w:rFonts w:ascii="SimSun" w:hAnsi="SimSun" w:eastAsia="SimSun" w:cs="SimSun"/>
          <w:sz w:val="21"/>
          <w:szCs w:val="21"/>
        </w:rPr>
      </w:pPr>
      <w:r>
        <w:rPr>
          <w:rFonts w:ascii="SimSun" w:hAnsi="SimSun" w:eastAsia="SimSun" w:cs="SimSun"/>
          <w:sz w:val="21"/>
          <w:szCs w:val="21"/>
          <w:spacing w:val="-11"/>
        </w:rPr>
        <w:t>因此，平台不仅在单一市场中具有网络外部性的特点，还由于其</w:t>
      </w:r>
      <w:r>
        <w:rPr>
          <w:rFonts w:ascii="SimSun" w:hAnsi="SimSun" w:eastAsia="SimSun" w:cs="SimSun"/>
          <w:sz w:val="21"/>
          <w:szCs w:val="21"/>
          <w:spacing w:val="15"/>
        </w:rPr>
        <w:t xml:space="preserve"> </w:t>
      </w:r>
      <w:r>
        <w:rPr>
          <w:rFonts w:ascii="SimSun" w:hAnsi="SimSun" w:eastAsia="SimSun" w:cs="SimSun"/>
          <w:sz w:val="21"/>
          <w:szCs w:val="21"/>
          <w:spacing w:val="-11"/>
        </w:rPr>
        <w:t>服务的特性，跨产业、跨行业的能力也高。对广告业的经济分析、法</w:t>
      </w:r>
      <w:r>
        <w:rPr>
          <w:rFonts w:ascii="SimSun" w:hAnsi="SimSun" w:eastAsia="SimSun" w:cs="SimSun"/>
          <w:sz w:val="21"/>
          <w:szCs w:val="21"/>
          <w:spacing w:val="16"/>
        </w:rPr>
        <w:t xml:space="preserve"> </w:t>
      </w:r>
      <w:r>
        <w:rPr>
          <w:rFonts w:ascii="SimSun" w:hAnsi="SimSun" w:eastAsia="SimSun" w:cs="SimSun"/>
          <w:sz w:val="21"/>
          <w:szCs w:val="21"/>
          <w:spacing w:val="-11"/>
        </w:rPr>
        <w:t>律监管，触及了我国监管体系的弱点。就在线广告服务和撮合交易服</w:t>
      </w:r>
      <w:r>
        <w:rPr>
          <w:rFonts w:ascii="SimSun" w:hAnsi="SimSun" w:eastAsia="SimSun" w:cs="SimSun"/>
          <w:sz w:val="21"/>
          <w:szCs w:val="21"/>
          <w:spacing w:val="16"/>
        </w:rPr>
        <w:t xml:space="preserve"> </w:t>
      </w:r>
      <w:r>
        <w:rPr>
          <w:rFonts w:ascii="SimSun" w:hAnsi="SimSun" w:eastAsia="SimSun" w:cs="SimSun"/>
          <w:sz w:val="21"/>
          <w:szCs w:val="21"/>
          <w:spacing w:val="-4"/>
        </w:rPr>
        <w:t>务而言，平台目前的盈利模式和这种服务是相关的。在线广告是一</w:t>
      </w:r>
    </w:p>
    <w:p>
      <w:pPr>
        <w:spacing w:line="285" w:lineRule="auto"/>
        <w:sectPr>
          <w:headerReference w:type="default" r:id="rId481"/>
          <w:pgSz w:w="7330" w:h="12480"/>
          <w:pgMar w:top="808" w:right="654" w:bottom="400" w:left="589" w:header="631"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right="81"/>
        <w:spacing w:before="62" w:line="350" w:lineRule="auto"/>
        <w:jc w:val="both"/>
        <w:rPr>
          <w:rFonts w:ascii="SimSun" w:hAnsi="SimSun" w:eastAsia="SimSun" w:cs="SimSun"/>
          <w:sz w:val="19"/>
          <w:szCs w:val="19"/>
        </w:rPr>
      </w:pPr>
      <w:r>
        <w:rPr>
          <w:rFonts w:ascii="SimSun" w:hAnsi="SimSun" w:eastAsia="SimSun" w:cs="SimSun"/>
          <w:sz w:val="19"/>
          <w:szCs w:val="19"/>
          <w:spacing w:val="10"/>
        </w:rPr>
        <w:t>种营销和广告形式，它使用互联网向消费者传递促</w:t>
      </w:r>
      <w:r>
        <w:rPr>
          <w:rFonts w:ascii="SimSun" w:hAnsi="SimSun" w:eastAsia="SimSun" w:cs="SimSun"/>
          <w:sz w:val="19"/>
          <w:szCs w:val="19"/>
          <w:spacing w:val="9"/>
        </w:rPr>
        <w:t>销信息。在线广告</w:t>
      </w:r>
      <w:r>
        <w:rPr>
          <w:rFonts w:ascii="SimSun" w:hAnsi="SimSun" w:eastAsia="SimSun" w:cs="SimSun"/>
          <w:sz w:val="19"/>
          <w:szCs w:val="19"/>
        </w:rPr>
        <w:t xml:space="preserve"> </w:t>
      </w:r>
      <w:r>
        <w:rPr>
          <w:rFonts w:ascii="SimSun" w:hAnsi="SimSun" w:eastAsia="SimSun" w:cs="SimSun"/>
          <w:sz w:val="19"/>
          <w:szCs w:val="19"/>
          <w:spacing w:val="9"/>
        </w:rPr>
        <w:t>包括电子邮件营销、搜索引擎营销、社交媒体营销、多种类型的展示</w:t>
      </w:r>
      <w:r>
        <w:rPr>
          <w:rFonts w:ascii="SimSun" w:hAnsi="SimSun" w:eastAsia="SimSun" w:cs="SimSun"/>
          <w:sz w:val="19"/>
          <w:szCs w:val="19"/>
          <w:spacing w:val="17"/>
        </w:rPr>
        <w:t xml:space="preserve"> </w:t>
      </w:r>
      <w:r>
        <w:rPr>
          <w:rFonts w:ascii="SimSun" w:hAnsi="SimSun" w:eastAsia="SimSun" w:cs="SimSun"/>
          <w:sz w:val="19"/>
          <w:szCs w:val="19"/>
          <w:spacing w:val="16"/>
        </w:rPr>
        <w:t>广告(包括网页横幅广告)和移动广告。与其他广告媒体一样，在线</w:t>
      </w:r>
      <w:r>
        <w:rPr>
          <w:rFonts w:ascii="SimSun" w:hAnsi="SimSun" w:eastAsia="SimSun" w:cs="SimSun"/>
          <w:sz w:val="19"/>
          <w:szCs w:val="19"/>
          <w:spacing w:val="2"/>
        </w:rPr>
        <w:t xml:space="preserve"> </w:t>
      </w:r>
      <w:r>
        <w:rPr>
          <w:rFonts w:ascii="SimSun" w:hAnsi="SimSun" w:eastAsia="SimSun" w:cs="SimSun"/>
          <w:sz w:val="19"/>
          <w:szCs w:val="19"/>
          <w:spacing w:val="10"/>
        </w:rPr>
        <w:t>广告有发布者和广告商，发布者将广告集成到其</w:t>
      </w:r>
      <w:r>
        <w:rPr>
          <w:rFonts w:ascii="SimSun" w:hAnsi="SimSun" w:eastAsia="SimSun" w:cs="SimSun"/>
          <w:sz w:val="19"/>
          <w:szCs w:val="19"/>
          <w:spacing w:val="9"/>
        </w:rPr>
        <w:t>在线内容中，广告商</w:t>
      </w:r>
      <w:r>
        <w:rPr>
          <w:rFonts w:ascii="SimSun" w:hAnsi="SimSun" w:eastAsia="SimSun" w:cs="SimSun"/>
          <w:sz w:val="19"/>
          <w:szCs w:val="19"/>
        </w:rPr>
        <w:t xml:space="preserve"> </w:t>
      </w:r>
      <w:r>
        <w:rPr>
          <w:rFonts w:ascii="SimSun" w:hAnsi="SimSun" w:eastAsia="SimSun" w:cs="SimSun"/>
          <w:sz w:val="19"/>
          <w:szCs w:val="19"/>
          <w:spacing w:val="10"/>
        </w:rPr>
        <w:t>提供广告内容。其他潜在参与者包括帮助生成和放</w:t>
      </w:r>
      <w:r>
        <w:rPr>
          <w:rFonts w:ascii="SimSun" w:hAnsi="SimSun" w:eastAsia="SimSun" w:cs="SimSun"/>
          <w:sz w:val="19"/>
          <w:szCs w:val="19"/>
          <w:spacing w:val="9"/>
        </w:rPr>
        <w:t>置广告文案的广告</w:t>
      </w:r>
      <w:r>
        <w:rPr>
          <w:rFonts w:ascii="SimSun" w:hAnsi="SimSun" w:eastAsia="SimSun" w:cs="SimSun"/>
          <w:sz w:val="19"/>
          <w:szCs w:val="19"/>
        </w:rPr>
        <w:t xml:space="preserve"> </w:t>
      </w:r>
      <w:r>
        <w:rPr>
          <w:rFonts w:ascii="SimSun" w:hAnsi="SimSun" w:eastAsia="SimSun" w:cs="SimSun"/>
          <w:sz w:val="19"/>
          <w:szCs w:val="19"/>
          <w:spacing w:val="9"/>
        </w:rPr>
        <w:t>代理商、以技术方式提供广告和跟踪统计数据的广告服务器，以及为</w:t>
      </w:r>
      <w:r>
        <w:rPr>
          <w:rFonts w:ascii="SimSun" w:hAnsi="SimSun" w:eastAsia="SimSun" w:cs="SimSun"/>
          <w:sz w:val="19"/>
          <w:szCs w:val="19"/>
          <w:spacing w:val="18"/>
        </w:rPr>
        <w:t xml:space="preserve"> </w:t>
      </w:r>
      <w:r>
        <w:rPr>
          <w:rFonts w:ascii="SimSun" w:hAnsi="SimSun" w:eastAsia="SimSun" w:cs="SimSun"/>
          <w:sz w:val="19"/>
          <w:szCs w:val="19"/>
          <w:spacing w:val="9"/>
        </w:rPr>
        <w:t>广告商进行独立促销工作的广告附属公司。中国的广告商，从构成来</w:t>
      </w:r>
      <w:r>
        <w:rPr>
          <w:rFonts w:ascii="SimSun" w:hAnsi="SimSun" w:eastAsia="SimSun" w:cs="SimSun"/>
          <w:sz w:val="19"/>
          <w:szCs w:val="19"/>
          <w:spacing w:val="17"/>
        </w:rPr>
        <w:t xml:space="preserve"> </w:t>
      </w:r>
      <w:r>
        <w:rPr>
          <w:rFonts w:ascii="SimSun" w:hAnsi="SimSun" w:eastAsia="SimSun" w:cs="SimSun"/>
          <w:sz w:val="19"/>
          <w:szCs w:val="19"/>
          <w:spacing w:val="19"/>
        </w:rPr>
        <w:t>看，电商广告预算比例稳定在约1/3的水平；社交广告占比稳中有</w:t>
      </w:r>
      <w:r>
        <w:rPr>
          <w:rFonts w:ascii="SimSun" w:hAnsi="SimSun" w:eastAsia="SimSun" w:cs="SimSun"/>
          <w:sz w:val="19"/>
          <w:szCs w:val="19"/>
          <w:spacing w:val="3"/>
        </w:rPr>
        <w:t xml:space="preserve"> </w:t>
      </w:r>
      <w:r>
        <w:rPr>
          <w:rFonts w:ascii="SimSun" w:hAnsi="SimSun" w:eastAsia="SimSun" w:cs="SimSun"/>
          <w:sz w:val="19"/>
          <w:szCs w:val="19"/>
          <w:spacing w:val="9"/>
        </w:rPr>
        <w:t>升；短视频广告预算比例明显提升，从搜索广告和门户广告中持续获</w:t>
      </w:r>
    </w:p>
    <w:p>
      <w:pPr>
        <w:spacing w:line="217" w:lineRule="auto"/>
        <w:rPr>
          <w:rFonts w:ascii="SimSun" w:hAnsi="SimSun" w:eastAsia="SimSun" w:cs="SimSun"/>
          <w:sz w:val="19"/>
          <w:szCs w:val="19"/>
        </w:rPr>
      </w:pPr>
      <w:r>
        <w:rPr>
          <w:rFonts w:ascii="SimSun" w:hAnsi="SimSun" w:eastAsia="SimSun" w:cs="SimSun"/>
          <w:sz w:val="19"/>
          <w:szCs w:val="19"/>
          <w:spacing w:val="9"/>
        </w:rPr>
        <w:t>取份额。阿里巴巴、今日头条、腾讯占据我国在线广</w:t>
      </w:r>
      <w:r>
        <w:rPr>
          <w:rFonts w:ascii="SimSun" w:hAnsi="SimSun" w:eastAsia="SimSun" w:cs="SimSun"/>
          <w:sz w:val="19"/>
          <w:szCs w:val="19"/>
          <w:spacing w:val="8"/>
        </w:rPr>
        <w:t>告的较大份额。</w:t>
      </w:r>
    </w:p>
    <w:p>
      <w:pPr>
        <w:ind w:right="20" w:firstLine="420"/>
        <w:spacing w:before="155" w:line="350" w:lineRule="auto"/>
        <w:jc w:val="both"/>
        <w:rPr>
          <w:rFonts w:ascii="SimSun" w:hAnsi="SimSun" w:eastAsia="SimSun" w:cs="SimSun"/>
          <w:sz w:val="19"/>
          <w:szCs w:val="19"/>
        </w:rPr>
      </w:pPr>
      <w:r>
        <w:rPr>
          <w:rFonts w:ascii="SimSun" w:hAnsi="SimSun" w:eastAsia="SimSun" w:cs="SimSun"/>
          <w:sz w:val="19"/>
          <w:szCs w:val="19"/>
          <w:spacing w:val="17"/>
        </w:rPr>
        <w:t>同时，平台提供的服务中常见的还有撮合交易，这种服务</w:t>
      </w:r>
      <w:r>
        <w:rPr>
          <w:rFonts w:ascii="SimSun" w:hAnsi="SimSun" w:eastAsia="SimSun" w:cs="SimSun"/>
          <w:sz w:val="19"/>
          <w:szCs w:val="19"/>
          <w:spacing w:val="16"/>
        </w:rPr>
        <w:t>类似</w:t>
      </w:r>
      <w:r>
        <w:rPr>
          <w:rFonts w:ascii="SimSun" w:hAnsi="SimSun" w:eastAsia="SimSun" w:cs="SimSun"/>
          <w:sz w:val="19"/>
          <w:szCs w:val="19"/>
        </w:rPr>
        <w:t xml:space="preserve"> </w:t>
      </w:r>
      <w:r>
        <w:rPr>
          <w:rFonts w:ascii="SimSun" w:hAnsi="SimSun" w:eastAsia="SimSun" w:cs="SimSun"/>
          <w:sz w:val="19"/>
          <w:szCs w:val="19"/>
          <w:spacing w:val="9"/>
        </w:rPr>
        <w:t>于市场组织者、交易促成者的功能，从而使得平台在这种服务上扮演 </w:t>
      </w:r>
      <w:r>
        <w:rPr>
          <w:rFonts w:ascii="SimSun" w:hAnsi="SimSun" w:eastAsia="SimSun" w:cs="SimSun"/>
          <w:sz w:val="19"/>
          <w:szCs w:val="19"/>
          <w:spacing w:val="4"/>
        </w:rPr>
        <w:t>了与交易所类似的组织功能。</w:t>
      </w:r>
      <w:r>
        <w:rPr>
          <w:rFonts w:ascii="SimSun" w:hAnsi="SimSun" w:eastAsia="SimSun" w:cs="SimSun"/>
          <w:sz w:val="19"/>
          <w:szCs w:val="19"/>
          <w:spacing w:val="55"/>
        </w:rPr>
        <w:t xml:space="preserve"> </w:t>
      </w:r>
      <w:r>
        <w:rPr>
          <w:rFonts w:ascii="SimSun" w:hAnsi="SimSun" w:eastAsia="SimSun" w:cs="SimSun"/>
          <w:sz w:val="19"/>
          <w:szCs w:val="19"/>
          <w:spacing w:val="4"/>
        </w:rPr>
        <w:t>一些经济学理论也将平台刻画成双边市</w:t>
      </w:r>
      <w:r>
        <w:rPr>
          <w:rFonts w:ascii="SimSun" w:hAnsi="SimSun" w:eastAsia="SimSun" w:cs="SimSun"/>
          <w:sz w:val="19"/>
          <w:szCs w:val="19"/>
        </w:rPr>
        <w:t xml:space="preserve">  </w:t>
      </w:r>
      <w:r>
        <w:rPr>
          <w:rFonts w:ascii="SimSun" w:hAnsi="SimSun" w:eastAsia="SimSun" w:cs="SimSun"/>
          <w:sz w:val="19"/>
          <w:szCs w:val="19"/>
          <w:spacing w:val="9"/>
        </w:rPr>
        <w:t>场，甚至市场的组织者，如果该市场之前并不存在，则平台可能是市 </w:t>
      </w:r>
      <w:r>
        <w:rPr>
          <w:rFonts w:ascii="SimSun" w:hAnsi="SimSun" w:eastAsia="SimSun" w:cs="SimSun"/>
          <w:sz w:val="19"/>
          <w:szCs w:val="19"/>
          <w:spacing w:val="9"/>
        </w:rPr>
        <w:t>场的创造者。这实际上是平台作为中介为交易双方提供信息、交易程 </w:t>
      </w:r>
      <w:r>
        <w:rPr>
          <w:rFonts w:ascii="SimSun" w:hAnsi="SimSun" w:eastAsia="SimSun" w:cs="SimSun"/>
          <w:sz w:val="19"/>
          <w:szCs w:val="19"/>
          <w:spacing w:val="12"/>
        </w:rPr>
        <w:t>式和规则，并在交易成功后收取一定比例佣金的服务。</w:t>
      </w:r>
      <w:r>
        <w:rPr>
          <w:rFonts w:ascii="SimSun" w:hAnsi="SimSun" w:eastAsia="SimSun" w:cs="SimSun"/>
          <w:sz w:val="19"/>
          <w:szCs w:val="19"/>
          <w:spacing w:val="11"/>
        </w:rPr>
        <w:t>淘宝、天猫、</w:t>
      </w:r>
      <w:r>
        <w:rPr>
          <w:rFonts w:ascii="SimSun" w:hAnsi="SimSun" w:eastAsia="SimSun" w:cs="SimSun"/>
          <w:sz w:val="19"/>
          <w:szCs w:val="19"/>
        </w:rPr>
        <w:t xml:space="preserve"> </w:t>
      </w:r>
      <w:r>
        <w:rPr>
          <w:rFonts w:ascii="SimSun" w:hAnsi="SimSun" w:eastAsia="SimSun" w:cs="SimSun"/>
          <w:sz w:val="19"/>
          <w:szCs w:val="19"/>
          <w:spacing w:val="9"/>
        </w:rPr>
        <w:t>美团、京东、携程、去哪儿、贝壳等互联网平台企业均在从事撮合交 </w:t>
      </w:r>
      <w:r>
        <w:rPr>
          <w:rFonts w:ascii="SimSun" w:hAnsi="SimSun" w:eastAsia="SimSun" w:cs="SimSun"/>
          <w:sz w:val="19"/>
          <w:szCs w:val="19"/>
          <w:spacing w:val="9"/>
        </w:rPr>
        <w:t>易的服务。例如美团作为平台连接了外卖的商家和消费者，消费者在</w:t>
      </w:r>
      <w:r>
        <w:rPr>
          <w:rFonts w:ascii="SimSun" w:hAnsi="SimSun" w:eastAsia="SimSun" w:cs="SimSun"/>
          <w:sz w:val="19"/>
          <w:szCs w:val="19"/>
        </w:rPr>
        <w:t xml:space="preserve">  </w:t>
      </w:r>
      <w:r>
        <w:rPr>
          <w:rFonts w:ascii="SimSun" w:hAnsi="SimSun" w:eastAsia="SimSun" w:cs="SimSun"/>
          <w:sz w:val="19"/>
          <w:szCs w:val="19"/>
          <w:spacing w:val="16"/>
        </w:rPr>
        <w:t>美团</w:t>
      </w:r>
      <w:r>
        <w:rPr>
          <w:rFonts w:ascii="SimSun" w:hAnsi="SimSun" w:eastAsia="SimSun" w:cs="SimSun"/>
          <w:sz w:val="19"/>
          <w:szCs w:val="19"/>
          <w:spacing w:val="-26"/>
        </w:rPr>
        <w:t xml:space="preserve"> </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16"/>
        </w:rPr>
        <w:t>或者网站下单购买外卖，美团将消费者</w:t>
      </w:r>
      <w:r>
        <w:rPr>
          <w:rFonts w:ascii="SimSun" w:hAnsi="SimSun" w:eastAsia="SimSun" w:cs="SimSun"/>
          <w:sz w:val="19"/>
          <w:szCs w:val="19"/>
          <w:spacing w:val="15"/>
        </w:rPr>
        <w:t>支付的外卖费用扣</w:t>
      </w:r>
    </w:p>
    <w:p>
      <w:pPr>
        <w:spacing w:line="219" w:lineRule="auto"/>
        <w:rPr>
          <w:rFonts w:ascii="SimSun" w:hAnsi="SimSun" w:eastAsia="SimSun" w:cs="SimSun"/>
          <w:sz w:val="19"/>
          <w:szCs w:val="19"/>
        </w:rPr>
      </w:pPr>
      <w:r>
        <w:rPr>
          <w:rFonts w:ascii="SimSun" w:hAnsi="SimSun" w:eastAsia="SimSun" w:cs="SimSun"/>
          <w:sz w:val="19"/>
          <w:szCs w:val="19"/>
          <w:spacing w:val="17"/>
        </w:rPr>
        <w:t>除一定的技术服务费(也就是佣金)后返还给商家。</w:t>
      </w:r>
    </w:p>
    <w:p>
      <w:pPr>
        <w:ind w:firstLine="420"/>
        <w:spacing w:before="133" w:line="350" w:lineRule="auto"/>
        <w:jc w:val="both"/>
        <w:rPr>
          <w:rFonts w:ascii="SimSun" w:hAnsi="SimSun" w:eastAsia="SimSun" w:cs="SimSun"/>
          <w:sz w:val="19"/>
          <w:szCs w:val="19"/>
        </w:rPr>
      </w:pPr>
      <w:r>
        <w:rPr>
          <w:rFonts w:ascii="SimSun" w:hAnsi="SimSun" w:eastAsia="SimSun" w:cs="SimSun"/>
          <w:sz w:val="19"/>
          <w:szCs w:val="19"/>
          <w:spacing w:val="9"/>
        </w:rPr>
        <w:t>应当注意的是，平台的信息服务虽然具有摆脱具体产品、产业</w:t>
      </w:r>
      <w:r>
        <w:rPr>
          <w:rFonts w:ascii="SimSun" w:hAnsi="SimSun" w:eastAsia="SimSun" w:cs="SimSun"/>
          <w:sz w:val="19"/>
          <w:szCs w:val="19"/>
          <w:spacing w:val="8"/>
        </w:rPr>
        <w:t>链 </w:t>
      </w:r>
      <w:r>
        <w:rPr>
          <w:rFonts w:ascii="SimSun" w:hAnsi="SimSun" w:eastAsia="SimSun" w:cs="SimSun"/>
          <w:sz w:val="19"/>
          <w:szCs w:val="19"/>
          <w:spacing w:val="12"/>
        </w:rPr>
        <w:t>条制约的特征，但平台与传统的作为公共用品的基础设施有所差异。</w:t>
      </w:r>
      <w:r>
        <w:rPr>
          <w:rFonts w:ascii="SimSun" w:hAnsi="SimSun" w:eastAsia="SimSun" w:cs="SimSun"/>
          <w:sz w:val="19"/>
          <w:szCs w:val="19"/>
          <w:spacing w:val="14"/>
        </w:rPr>
        <w:t xml:space="preserve"> </w:t>
      </w:r>
      <w:r>
        <w:rPr>
          <w:rFonts w:ascii="SimSun" w:hAnsi="SimSun" w:eastAsia="SimSun" w:cs="SimSun"/>
          <w:sz w:val="19"/>
          <w:szCs w:val="19"/>
          <w:spacing w:val="16"/>
        </w:rPr>
        <w:t>第一，经济学和传统监管理论下的公共产品还是局限于有体物而言</w:t>
      </w:r>
      <w:r>
        <w:rPr>
          <w:rFonts w:ascii="SimSun" w:hAnsi="SimSun" w:eastAsia="SimSun" w:cs="SimSun"/>
          <w:sz w:val="19"/>
          <w:szCs w:val="19"/>
          <w:spacing w:val="2"/>
        </w:rPr>
        <w:t xml:space="preserve">  </w:t>
      </w:r>
      <w:r>
        <w:rPr>
          <w:rFonts w:ascii="SimSun" w:hAnsi="SimSun" w:eastAsia="SimSun" w:cs="SimSun"/>
          <w:sz w:val="19"/>
          <w:szCs w:val="19"/>
          <w:spacing w:val="9"/>
        </w:rPr>
        <w:t>的，例如有线电视，需要保证面向所有消费者提供，但平台企业不负</w:t>
      </w:r>
      <w:r>
        <w:rPr>
          <w:rFonts w:ascii="SimSun" w:hAnsi="SimSun" w:eastAsia="SimSun" w:cs="SimSun"/>
          <w:sz w:val="19"/>
          <w:szCs w:val="19"/>
          <w:spacing w:val="4"/>
        </w:rPr>
        <w:t xml:space="preserve">  </w:t>
      </w:r>
      <w:r>
        <w:rPr>
          <w:rFonts w:ascii="SimSun" w:hAnsi="SimSun" w:eastAsia="SimSun" w:cs="SimSun"/>
          <w:sz w:val="19"/>
          <w:szCs w:val="19"/>
          <w:spacing w:val="10"/>
        </w:rPr>
        <w:t>有此类义务；第二，平台企业通常具有更强的</w:t>
      </w:r>
      <w:r>
        <w:rPr>
          <w:rFonts w:ascii="SimSun" w:hAnsi="SimSun" w:eastAsia="SimSun" w:cs="SimSun"/>
          <w:sz w:val="19"/>
          <w:szCs w:val="19"/>
          <w:spacing w:val="9"/>
        </w:rPr>
        <w:t>动态定价能力，并且在 </w:t>
      </w:r>
      <w:r>
        <w:rPr>
          <w:rFonts w:ascii="SimSun" w:hAnsi="SimSun" w:eastAsia="SimSun" w:cs="SimSun"/>
          <w:sz w:val="19"/>
          <w:szCs w:val="19"/>
          <w:spacing w:val="10"/>
        </w:rPr>
        <w:t>中国的企业模式和公司治理之下，采用企业集</w:t>
      </w:r>
      <w:r>
        <w:rPr>
          <w:rFonts w:ascii="SimSun" w:hAnsi="SimSun" w:eastAsia="SimSun" w:cs="SimSun"/>
          <w:sz w:val="19"/>
          <w:szCs w:val="19"/>
          <w:spacing w:val="9"/>
        </w:rPr>
        <w:t>团的方式存在，本身也</w:t>
      </w:r>
    </w:p>
    <w:p>
      <w:pPr>
        <w:spacing w:line="219" w:lineRule="auto"/>
        <w:rPr>
          <w:rFonts w:ascii="SimSun" w:hAnsi="SimSun" w:eastAsia="SimSun" w:cs="SimSun"/>
          <w:sz w:val="19"/>
          <w:szCs w:val="19"/>
        </w:rPr>
      </w:pPr>
      <w:r>
        <w:rPr>
          <w:rFonts w:ascii="SimSun" w:hAnsi="SimSun" w:eastAsia="SimSun" w:cs="SimSun"/>
          <w:sz w:val="19"/>
          <w:szCs w:val="19"/>
          <w:spacing w:val="10"/>
        </w:rPr>
        <w:t>属于双边市场，因此有能力通过交叉补贴实现所在多个服务市</w:t>
      </w:r>
      <w:r>
        <w:rPr>
          <w:rFonts w:ascii="SimSun" w:hAnsi="SimSun" w:eastAsia="SimSun" w:cs="SimSun"/>
          <w:sz w:val="19"/>
          <w:szCs w:val="19"/>
          <w:spacing w:val="9"/>
        </w:rPr>
        <w:t>场之间</w:t>
      </w:r>
    </w:p>
    <w:p>
      <w:pPr>
        <w:spacing w:line="219" w:lineRule="auto"/>
        <w:sectPr>
          <w:headerReference w:type="default" r:id="rId482"/>
          <w:pgSz w:w="7330" w:h="12480"/>
          <w:pgMar w:top="486" w:right="474" w:bottom="400" w:left="779" w:header="344" w:footer="0" w:gutter="0"/>
        </w:sectPr>
        <w:rPr>
          <w:rFonts w:ascii="SimSun" w:hAnsi="SimSun" w:eastAsia="SimSun" w:cs="SimSun"/>
          <w:sz w:val="19"/>
          <w:szCs w:val="19"/>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105" w:right="57"/>
        <w:spacing w:before="69" w:line="326" w:lineRule="auto"/>
        <w:jc w:val="both"/>
        <w:rPr>
          <w:rFonts w:ascii="SimSun" w:hAnsi="SimSun" w:eastAsia="SimSun" w:cs="SimSun"/>
          <w:sz w:val="21"/>
          <w:szCs w:val="21"/>
        </w:rPr>
      </w:pPr>
      <w:r>
        <w:rPr>
          <w:rFonts w:ascii="SimSun" w:hAnsi="SimSun" w:eastAsia="SimSun" w:cs="SimSun"/>
          <w:sz w:val="21"/>
          <w:szCs w:val="21"/>
          <w:spacing w:val="-10"/>
        </w:rPr>
        <w:t>的快速、定向化扩张，例如平台的广告服务以信息服务中收取的用户</w:t>
      </w:r>
      <w:r>
        <w:rPr>
          <w:rFonts w:ascii="SimSun" w:hAnsi="SimSun" w:eastAsia="SimSun" w:cs="SimSun"/>
          <w:sz w:val="21"/>
          <w:szCs w:val="21"/>
          <w:spacing w:val="6"/>
        </w:rPr>
        <w:t xml:space="preserve"> </w:t>
      </w:r>
      <w:r>
        <w:rPr>
          <w:rFonts w:ascii="SimSun" w:hAnsi="SimSun" w:eastAsia="SimSun" w:cs="SimSun"/>
          <w:sz w:val="21"/>
          <w:szCs w:val="21"/>
          <w:spacing w:val="-10"/>
        </w:rPr>
        <w:t>数据作为基础，平台撮合交易的效率和佣金水平也和数据、算法的质</w:t>
      </w:r>
    </w:p>
    <w:p>
      <w:pPr>
        <w:ind w:left="105"/>
        <w:spacing w:line="220" w:lineRule="auto"/>
        <w:rPr>
          <w:rFonts w:ascii="SimSun" w:hAnsi="SimSun" w:eastAsia="SimSun" w:cs="SimSun"/>
          <w:sz w:val="21"/>
          <w:szCs w:val="21"/>
        </w:rPr>
      </w:pPr>
      <w:r>
        <w:rPr>
          <w:rFonts w:ascii="SimSun" w:hAnsi="SimSun" w:eastAsia="SimSun" w:cs="SimSun"/>
          <w:sz w:val="21"/>
          <w:szCs w:val="21"/>
          <w:spacing w:val="-8"/>
        </w:rPr>
        <w:t>量有关。</w:t>
      </w:r>
    </w:p>
    <w:p>
      <w:pPr>
        <w:ind w:left="105" w:right="64" w:firstLine="409"/>
        <w:spacing w:before="89" w:line="284" w:lineRule="auto"/>
        <w:jc w:val="both"/>
        <w:rPr>
          <w:rFonts w:ascii="SimSun" w:hAnsi="SimSun" w:eastAsia="SimSun" w:cs="SimSun"/>
          <w:sz w:val="21"/>
          <w:szCs w:val="21"/>
        </w:rPr>
      </w:pPr>
      <w:r>
        <w:rPr>
          <w:rFonts w:ascii="SimSun" w:hAnsi="SimSun" w:eastAsia="SimSun" w:cs="SimSun"/>
          <w:sz w:val="21"/>
          <w:szCs w:val="21"/>
          <w:spacing w:val="-11"/>
        </w:rPr>
        <w:t>平台因其多重属性，以及其所提供的产品和服务特性，加上中国</w:t>
      </w:r>
      <w:r>
        <w:rPr>
          <w:rFonts w:ascii="SimSun" w:hAnsi="SimSun" w:eastAsia="SimSun" w:cs="SimSun"/>
          <w:sz w:val="21"/>
          <w:szCs w:val="21"/>
          <w:spacing w:val="17"/>
        </w:rPr>
        <w:t xml:space="preserve"> </w:t>
      </w:r>
      <w:r>
        <w:rPr>
          <w:rFonts w:ascii="SimSun" w:hAnsi="SimSun" w:eastAsia="SimSun" w:cs="SimSun"/>
          <w:sz w:val="21"/>
          <w:szCs w:val="21"/>
          <w:spacing w:val="-10"/>
        </w:rPr>
        <w:t>式的公司治理和企业形式，即通过交叉补贴实</w:t>
      </w:r>
      <w:r>
        <w:rPr>
          <w:rFonts w:ascii="SimSun" w:hAnsi="SimSun" w:eastAsia="SimSun" w:cs="SimSun"/>
          <w:sz w:val="21"/>
          <w:szCs w:val="21"/>
          <w:spacing w:val="-11"/>
        </w:rPr>
        <w:t>现的各产业之间的深度</w:t>
      </w:r>
      <w:r>
        <w:rPr>
          <w:rFonts w:ascii="SimSun" w:hAnsi="SimSun" w:eastAsia="SimSun" w:cs="SimSun"/>
          <w:sz w:val="21"/>
          <w:szCs w:val="21"/>
        </w:rPr>
        <w:t xml:space="preserve"> </w:t>
      </w:r>
      <w:r>
        <w:rPr>
          <w:rFonts w:ascii="SimSun" w:hAnsi="SimSun" w:eastAsia="SimSun" w:cs="SimSun"/>
          <w:sz w:val="21"/>
          <w:szCs w:val="21"/>
          <w:spacing w:val="-10"/>
        </w:rPr>
        <w:t>融合，模糊了产业的界限，对监管和反垄断提</w:t>
      </w:r>
      <w:r>
        <w:rPr>
          <w:rFonts w:ascii="SimSun" w:hAnsi="SimSun" w:eastAsia="SimSun" w:cs="SimSun"/>
          <w:sz w:val="21"/>
          <w:szCs w:val="21"/>
          <w:spacing w:val="-11"/>
        </w:rPr>
        <w:t>出严峻挑战。</w:t>
      </w:r>
    </w:p>
    <w:p>
      <w:pPr>
        <w:pStyle w:val="BodyText"/>
        <w:spacing w:line="352" w:lineRule="auto"/>
        <w:rPr/>
      </w:pPr>
      <w:r/>
    </w:p>
    <w:p>
      <w:pPr>
        <w:ind w:left="2329"/>
        <w:spacing w:before="107" w:line="220" w:lineRule="auto"/>
        <w:rPr>
          <w:rFonts w:ascii="SimSun" w:hAnsi="SimSun" w:eastAsia="SimSun" w:cs="SimSun"/>
          <w:sz w:val="33"/>
          <w:szCs w:val="33"/>
        </w:rPr>
      </w:pPr>
      <w:r>
        <w:rPr>
          <w:rFonts w:ascii="SimSun" w:hAnsi="SimSun" w:eastAsia="SimSun" w:cs="SimSun"/>
          <w:sz w:val="33"/>
          <w:szCs w:val="33"/>
          <w:b/>
          <w:bCs/>
          <w:spacing w:val="-14"/>
        </w:rPr>
        <w:t>结论与建议</w:t>
      </w:r>
    </w:p>
    <w:p>
      <w:pPr>
        <w:pStyle w:val="BodyText"/>
        <w:spacing w:line="265" w:lineRule="auto"/>
        <w:rPr/>
      </w:pPr>
      <w:r/>
    </w:p>
    <w:p>
      <w:pPr>
        <w:ind w:left="105" w:right="55" w:firstLine="409"/>
        <w:spacing w:before="68" w:line="284" w:lineRule="auto"/>
        <w:rPr>
          <w:rFonts w:ascii="SimSun" w:hAnsi="SimSun" w:eastAsia="SimSun" w:cs="SimSun"/>
          <w:sz w:val="21"/>
          <w:szCs w:val="21"/>
        </w:rPr>
      </w:pPr>
      <w:r>
        <w:rPr>
          <w:rFonts w:ascii="SimSun" w:hAnsi="SimSun" w:eastAsia="SimSun" w:cs="SimSun"/>
          <w:sz w:val="21"/>
          <w:szCs w:val="21"/>
          <w:spacing w:val="-17"/>
        </w:rPr>
        <w:t>我国的监管体系来源于计划经济体制向社会主义市场经济体制转轨</w:t>
      </w:r>
      <w:r>
        <w:rPr>
          <w:rFonts w:ascii="SimSun" w:hAnsi="SimSun" w:eastAsia="SimSun" w:cs="SimSun"/>
          <w:sz w:val="21"/>
          <w:szCs w:val="21"/>
          <w:spacing w:val="1"/>
        </w:rPr>
        <w:t xml:space="preserve"> </w:t>
      </w:r>
      <w:r>
        <w:rPr>
          <w:rFonts w:ascii="SimSun" w:hAnsi="SimSun" w:eastAsia="SimSun" w:cs="SimSun"/>
          <w:sz w:val="21"/>
          <w:szCs w:val="21"/>
          <w:spacing w:val="-17"/>
        </w:rPr>
        <w:t>的实践，借鉴于美国以经济分析为基础的经济监管经验，却受制于大陆</w:t>
      </w:r>
      <w:r>
        <w:rPr>
          <w:rFonts w:ascii="SimSun" w:hAnsi="SimSun" w:eastAsia="SimSun" w:cs="SimSun"/>
          <w:sz w:val="21"/>
          <w:szCs w:val="21"/>
          <w:spacing w:val="5"/>
        </w:rPr>
        <w:t xml:space="preserve"> </w:t>
      </w:r>
      <w:r>
        <w:rPr>
          <w:rFonts w:ascii="SimSun" w:hAnsi="SimSun" w:eastAsia="SimSun" w:cs="SimSun"/>
          <w:sz w:val="21"/>
          <w:szCs w:val="21"/>
          <w:spacing w:val="-17"/>
        </w:rPr>
        <w:t>法系的行政法框架，现有的平台监管呈现出</w:t>
      </w:r>
      <w:r>
        <w:rPr>
          <w:rFonts w:ascii="SimSun" w:hAnsi="SimSun" w:eastAsia="SimSun" w:cs="SimSun"/>
          <w:sz w:val="21"/>
          <w:szCs w:val="21"/>
          <w:spacing w:val="-18"/>
        </w:rPr>
        <w:t>割裂性、行政性和运动性。</w:t>
      </w:r>
    </w:p>
    <w:p>
      <w:pPr>
        <w:ind w:left="105" w:firstLine="409"/>
        <w:spacing w:before="107" w:line="301" w:lineRule="auto"/>
        <w:rPr>
          <w:rFonts w:ascii="SimSun" w:hAnsi="SimSun" w:eastAsia="SimSun" w:cs="SimSun"/>
          <w:sz w:val="21"/>
          <w:szCs w:val="21"/>
        </w:rPr>
      </w:pPr>
      <w:r>
        <w:rPr>
          <w:rFonts w:ascii="SimSun" w:hAnsi="SimSun" w:eastAsia="SimSun" w:cs="SimSun"/>
          <w:sz w:val="21"/>
          <w:szCs w:val="21"/>
          <w:spacing w:val="-11"/>
        </w:rPr>
        <w:t>互联网平台的跨行业性和交叉网络外部性使得以市场准入为主要 </w:t>
      </w:r>
      <w:r>
        <w:rPr>
          <w:rFonts w:ascii="SimSun" w:hAnsi="SimSun" w:eastAsia="SimSun" w:cs="SimSun"/>
          <w:sz w:val="21"/>
          <w:szCs w:val="21"/>
          <w:spacing w:val="-8"/>
        </w:rPr>
        <w:t>手段的行政监管模式面临巨大的挑战。为不断完善市场化、法治化、</w:t>
      </w:r>
      <w:r>
        <w:rPr>
          <w:rFonts w:ascii="SimSun" w:hAnsi="SimSun" w:eastAsia="SimSun" w:cs="SimSun"/>
          <w:sz w:val="21"/>
          <w:szCs w:val="21"/>
          <w:spacing w:val="4"/>
        </w:rPr>
        <w:t xml:space="preserve"> </w:t>
      </w:r>
      <w:r>
        <w:rPr>
          <w:rFonts w:ascii="SimSun" w:hAnsi="SimSun" w:eastAsia="SimSun" w:cs="SimSun"/>
          <w:sz w:val="21"/>
          <w:szCs w:val="21"/>
          <w:spacing w:val="-10"/>
        </w:rPr>
        <w:t>国际化的营商环境，强化反垄断和防止资本无</w:t>
      </w:r>
      <w:r>
        <w:rPr>
          <w:rFonts w:ascii="SimSun" w:hAnsi="SimSun" w:eastAsia="SimSun" w:cs="SimSun"/>
          <w:sz w:val="21"/>
          <w:szCs w:val="21"/>
          <w:spacing w:val="-11"/>
        </w:rPr>
        <w:t>序扩张，在制度层面细 </w:t>
      </w:r>
      <w:r>
        <w:rPr>
          <w:rFonts w:ascii="SimSun" w:hAnsi="SimSun" w:eastAsia="SimSun" w:cs="SimSun"/>
          <w:sz w:val="21"/>
          <w:szCs w:val="21"/>
          <w:spacing w:val="-10"/>
        </w:rPr>
        <w:t>致梳理潜在冲突法律之间的关系、厘清行政监</w:t>
      </w:r>
      <w:r>
        <w:rPr>
          <w:rFonts w:ascii="SimSun" w:hAnsi="SimSun" w:eastAsia="SimSun" w:cs="SimSun"/>
          <w:sz w:val="21"/>
          <w:szCs w:val="21"/>
          <w:spacing w:val="-11"/>
        </w:rPr>
        <w:t>管的权限和范畴，在实 </w:t>
      </w:r>
      <w:r>
        <w:rPr>
          <w:rFonts w:ascii="SimSun" w:hAnsi="SimSun" w:eastAsia="SimSun" w:cs="SimSun"/>
          <w:sz w:val="21"/>
          <w:szCs w:val="21"/>
          <w:spacing w:val="-10"/>
        </w:rPr>
        <w:t>践层面推进公平竞争审查制度，是建立高效、</w:t>
      </w:r>
      <w:r>
        <w:rPr>
          <w:rFonts w:ascii="SimSun" w:hAnsi="SimSun" w:eastAsia="SimSun" w:cs="SimSun"/>
          <w:sz w:val="21"/>
          <w:szCs w:val="21"/>
          <w:spacing w:val="-11"/>
        </w:rPr>
        <w:t>健全的平台监管体系的 </w:t>
      </w:r>
      <w:r>
        <w:rPr>
          <w:rFonts w:ascii="SimSun" w:hAnsi="SimSun" w:eastAsia="SimSun" w:cs="SimSun"/>
          <w:sz w:val="21"/>
          <w:szCs w:val="21"/>
          <w:spacing w:val="-7"/>
        </w:rPr>
        <w:t>应有之义。</w:t>
      </w:r>
    </w:p>
    <w:p>
      <w:pPr>
        <w:ind w:left="105" w:right="85" w:firstLine="409"/>
        <w:spacing w:before="107" w:line="268" w:lineRule="auto"/>
        <w:rPr>
          <w:rFonts w:ascii="SimSun" w:hAnsi="SimSun" w:eastAsia="SimSun" w:cs="SimSun"/>
          <w:sz w:val="21"/>
          <w:szCs w:val="21"/>
        </w:rPr>
      </w:pPr>
      <w:r>
        <w:rPr>
          <w:rFonts w:ascii="SimSun" w:hAnsi="SimSun" w:eastAsia="SimSun" w:cs="SimSun"/>
          <w:sz w:val="21"/>
          <w:szCs w:val="21"/>
          <w:spacing w:val="-11"/>
        </w:rPr>
        <w:t>第一，应当将反垄断视角的“监管”都归属于反垄断部门</w:t>
      </w:r>
      <w:r>
        <w:rPr>
          <w:rFonts w:ascii="SimSun" w:hAnsi="SimSun" w:eastAsia="SimSun" w:cs="SimSun"/>
          <w:sz w:val="21"/>
          <w:szCs w:val="21"/>
          <w:spacing w:val="-12"/>
        </w:rPr>
        <w:t>，监管</w:t>
      </w:r>
      <w:r>
        <w:rPr>
          <w:rFonts w:ascii="SimSun" w:hAnsi="SimSun" w:eastAsia="SimSun" w:cs="SimSun"/>
          <w:sz w:val="21"/>
          <w:szCs w:val="21"/>
        </w:rPr>
        <w:t xml:space="preserve"> </w:t>
      </w:r>
      <w:r>
        <w:rPr>
          <w:rFonts w:ascii="SimSun" w:hAnsi="SimSun" w:eastAsia="SimSun" w:cs="SimSun"/>
          <w:sz w:val="21"/>
          <w:szCs w:val="21"/>
          <w:spacing w:val="-11"/>
        </w:rPr>
        <w:t>部门不应当介入反垄断目标的考量和政策实施。</w:t>
      </w:r>
    </w:p>
    <w:p>
      <w:pPr>
        <w:ind w:right="54" w:firstLine="514"/>
        <w:spacing w:before="116" w:line="302" w:lineRule="auto"/>
        <w:rPr>
          <w:rFonts w:ascii="SimSun" w:hAnsi="SimSun" w:eastAsia="SimSun" w:cs="SimSun"/>
          <w:sz w:val="21"/>
          <w:szCs w:val="21"/>
        </w:rPr>
      </w:pPr>
      <w:r>
        <w:rPr>
          <w:rFonts w:ascii="SimSun" w:hAnsi="SimSun" w:eastAsia="SimSun" w:cs="SimSun"/>
          <w:sz w:val="21"/>
          <w:szCs w:val="21"/>
          <w:spacing w:val="-3"/>
        </w:rPr>
        <w:t>关于大型科技平台的强监管政策，中央政策最为核心的表述是</w:t>
      </w:r>
      <w:r>
        <w:rPr>
          <w:rFonts w:ascii="SimSun" w:hAnsi="SimSun" w:eastAsia="SimSun" w:cs="SimSun"/>
          <w:sz w:val="21"/>
          <w:szCs w:val="21"/>
          <w:spacing w:val="10"/>
        </w:rPr>
        <w:t xml:space="preserve"> </w:t>
      </w:r>
      <w:r>
        <w:rPr>
          <w:rFonts w:ascii="SimSun" w:hAnsi="SimSun" w:eastAsia="SimSun" w:cs="SimSun"/>
          <w:sz w:val="21"/>
          <w:szCs w:val="21"/>
          <w:spacing w:val="-14"/>
        </w:rPr>
        <w:t>“加强反垄断监管，防止资本无序扩张”。首先可以明确的是，加强反</w:t>
      </w:r>
      <w:r>
        <w:rPr>
          <w:rFonts w:ascii="SimSun" w:hAnsi="SimSun" w:eastAsia="SimSun" w:cs="SimSun"/>
          <w:sz w:val="21"/>
          <w:szCs w:val="21"/>
          <w:spacing w:val="14"/>
        </w:rPr>
        <w:t xml:space="preserve"> </w:t>
      </w:r>
      <w:r>
        <w:rPr>
          <w:rFonts w:ascii="SimSun" w:hAnsi="SimSun" w:eastAsia="SimSun" w:cs="SimSun"/>
          <w:sz w:val="21"/>
          <w:szCs w:val="21"/>
          <w:spacing w:val="-7"/>
        </w:rPr>
        <w:t>垄断监管是一个独立的要求，而事实上也的确存在着加强反垄断监管</w:t>
      </w:r>
      <w:r>
        <w:rPr>
          <w:rFonts w:ascii="SimSun" w:hAnsi="SimSun" w:eastAsia="SimSun" w:cs="SimSun"/>
          <w:sz w:val="21"/>
          <w:szCs w:val="21"/>
          <w:spacing w:val="4"/>
        </w:rPr>
        <w:t xml:space="preserve"> </w:t>
      </w:r>
      <w:r>
        <w:rPr>
          <w:rFonts w:ascii="SimSun" w:hAnsi="SimSun" w:eastAsia="SimSun" w:cs="SimSun"/>
          <w:sz w:val="21"/>
          <w:szCs w:val="21"/>
          <w:spacing w:val="-7"/>
        </w:rPr>
        <w:t>以保护市场机制、保护消费者福利的需要。反垄断是宏观导向、结果</w:t>
      </w:r>
      <w:r>
        <w:rPr>
          <w:rFonts w:ascii="SimSun" w:hAnsi="SimSun" w:eastAsia="SimSun" w:cs="SimSun"/>
          <w:sz w:val="21"/>
          <w:szCs w:val="21"/>
          <w:spacing w:val="5"/>
        </w:rPr>
        <w:t xml:space="preserve"> </w:t>
      </w:r>
      <w:r>
        <w:rPr>
          <w:rFonts w:ascii="SimSun" w:hAnsi="SimSun" w:eastAsia="SimSun" w:cs="SimSun"/>
          <w:sz w:val="21"/>
          <w:szCs w:val="21"/>
          <w:spacing w:val="-7"/>
        </w:rPr>
        <w:t>导向的，基于市场状况进行经济分析和评估，进而通过法律调整市场</w:t>
      </w:r>
      <w:r>
        <w:rPr>
          <w:rFonts w:ascii="SimSun" w:hAnsi="SimSun" w:eastAsia="SimSun" w:cs="SimSun"/>
          <w:sz w:val="21"/>
          <w:szCs w:val="21"/>
          <w:spacing w:val="6"/>
        </w:rPr>
        <w:t xml:space="preserve"> </w:t>
      </w:r>
      <w:r>
        <w:rPr>
          <w:rFonts w:ascii="SimSun" w:hAnsi="SimSun" w:eastAsia="SimSun" w:cs="SimSun"/>
          <w:sz w:val="21"/>
          <w:szCs w:val="21"/>
          <w:spacing w:val="-7"/>
        </w:rPr>
        <w:t>结构和市场竞争行为产生激励。而防止资本无序扩张，应当是防止资</w:t>
      </w:r>
      <w:r>
        <w:rPr>
          <w:rFonts w:ascii="SimSun" w:hAnsi="SimSun" w:eastAsia="SimSun" w:cs="SimSun"/>
          <w:sz w:val="21"/>
          <w:szCs w:val="21"/>
          <w:spacing w:val="8"/>
        </w:rPr>
        <w:t xml:space="preserve"> </w:t>
      </w:r>
      <w:r>
        <w:rPr>
          <w:rFonts w:ascii="SimSun" w:hAnsi="SimSun" w:eastAsia="SimSun" w:cs="SimSun"/>
          <w:sz w:val="21"/>
          <w:szCs w:val="21"/>
          <w:spacing w:val="-7"/>
        </w:rPr>
        <w:t>本出现在不应当出现的领域，以及采用不正当的方式扩张。与无序扩</w:t>
      </w:r>
    </w:p>
    <w:p>
      <w:pPr>
        <w:spacing w:line="302" w:lineRule="auto"/>
        <w:sectPr>
          <w:headerReference w:type="default" r:id="rId483"/>
          <w:pgSz w:w="7330" w:h="12480"/>
          <w:pgMar w:top="785" w:right="774" w:bottom="400" w:left="385" w:header="611" w:footer="0" w:gutter="0"/>
        </w:sectPr>
        <w:rPr>
          <w:rFonts w:ascii="SimSun" w:hAnsi="SimSun" w:eastAsia="SimSun" w:cs="SimSun"/>
          <w:sz w:val="21"/>
          <w:szCs w:val="21"/>
        </w:rPr>
      </w:pPr>
    </w:p>
    <w:p>
      <w:pPr>
        <w:pStyle w:val="BodyText"/>
        <w:spacing w:line="250" w:lineRule="auto"/>
        <w:rPr/>
      </w:pPr>
      <w:r>
        <w:drawing>
          <wp:anchor distT="0" distB="0" distL="0" distR="0" simplePos="0" relativeHeight="255922176" behindDoc="0" locked="0" layoutInCell="0" allowOverlap="1">
            <wp:simplePos x="0" y="0"/>
            <wp:positionH relativeFrom="page">
              <wp:posOffset>215878</wp:posOffset>
            </wp:positionH>
            <wp:positionV relativeFrom="page">
              <wp:posOffset>4845059</wp:posOffset>
            </wp:positionV>
            <wp:extent cx="520705" cy="6350"/>
            <wp:effectExtent l="0" t="0" r="0" b="0"/>
            <wp:wrapNone/>
            <wp:docPr id="362" name="IM 362"/>
            <wp:cNvGraphicFramePr/>
            <a:graphic>
              <a:graphicData uri="http://schemas.openxmlformats.org/drawingml/2006/picture">
                <pic:pic>
                  <pic:nvPicPr>
                    <pic:cNvPr id="362" name="IM 362"/>
                    <pic:cNvPicPr/>
                  </pic:nvPicPr>
                  <pic:blipFill>
                    <a:blip r:embed="rId485"/>
                    <a:stretch>
                      <a:fillRect/>
                    </a:stretch>
                  </pic:blipFill>
                  <pic:spPr>
                    <a:xfrm rot="0">
                      <a:off x="0" y="0"/>
                      <a:ext cx="520705"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ind w:left="360"/>
        <w:spacing w:before="68" w:line="306" w:lineRule="auto"/>
        <w:jc w:val="both"/>
        <w:rPr>
          <w:rFonts w:ascii="SimSun" w:hAnsi="SimSun" w:eastAsia="SimSun" w:cs="SimSun"/>
          <w:sz w:val="21"/>
          <w:szCs w:val="21"/>
        </w:rPr>
      </w:pPr>
      <w:r>
        <w:rPr>
          <w:rFonts w:ascii="SimSun" w:hAnsi="SimSun" w:eastAsia="SimSun" w:cs="SimSun"/>
          <w:sz w:val="21"/>
          <w:szCs w:val="21"/>
          <w:spacing w:val="-10"/>
        </w:rPr>
        <w:t>张相对的，应当是合法有序发展，这就意味着经济监管的职责应当侧 </w:t>
      </w:r>
      <w:r>
        <w:rPr>
          <w:rFonts w:ascii="SimSun" w:hAnsi="SimSun" w:eastAsia="SimSun" w:cs="SimSun"/>
          <w:sz w:val="21"/>
          <w:szCs w:val="21"/>
          <w:spacing w:val="-10"/>
        </w:rPr>
        <w:t>重于反对无序扩张。同样，反垄断法的三个核心制度之———合并控 </w:t>
      </w:r>
      <w:r>
        <w:rPr>
          <w:rFonts w:ascii="SimSun" w:hAnsi="SimSun" w:eastAsia="SimSun" w:cs="SimSun"/>
          <w:sz w:val="21"/>
          <w:szCs w:val="21"/>
          <w:spacing w:val="-3"/>
        </w:rPr>
        <w:t>制(经营者集中)的确可以直接限制资本扩张带来的市场损害，而这 </w:t>
      </w:r>
      <w:r>
        <w:rPr>
          <w:rFonts w:ascii="SimSun" w:hAnsi="SimSun" w:eastAsia="SimSun" w:cs="SimSun"/>
          <w:sz w:val="21"/>
          <w:szCs w:val="21"/>
          <w:spacing w:val="-9"/>
        </w:rPr>
        <w:t>种扩张的方式可以通过垄断协议来实现，还可能采用</w:t>
      </w:r>
      <w:r>
        <w:rPr>
          <w:rFonts w:ascii="SimSun" w:hAnsi="SimSun" w:eastAsia="SimSun" w:cs="SimSun"/>
          <w:sz w:val="21"/>
          <w:szCs w:val="21"/>
          <w:spacing w:val="-10"/>
        </w:rPr>
        <w:t>破坏竞争、滥用</w:t>
      </w:r>
      <w:r>
        <w:rPr>
          <w:rFonts w:ascii="SimSun" w:hAnsi="SimSun" w:eastAsia="SimSun" w:cs="SimSun"/>
          <w:sz w:val="21"/>
          <w:szCs w:val="21"/>
        </w:rPr>
        <w:t xml:space="preserve"> </w:t>
      </w:r>
      <w:r>
        <w:rPr>
          <w:rFonts w:ascii="SimSun" w:hAnsi="SimSun" w:eastAsia="SimSun" w:cs="SimSun"/>
          <w:sz w:val="21"/>
          <w:szCs w:val="21"/>
          <w:spacing w:val="-11"/>
        </w:rPr>
        <w:t>市场支配地位的方式来实现。因此从这个角度而言，防止资本无序扩</w:t>
      </w:r>
      <w:r>
        <w:rPr>
          <w:rFonts w:ascii="SimSun" w:hAnsi="SimSun" w:eastAsia="SimSun" w:cs="SimSun"/>
          <w:sz w:val="21"/>
          <w:szCs w:val="21"/>
          <w:spacing w:val="9"/>
        </w:rPr>
        <w:t xml:space="preserve">  </w:t>
      </w:r>
      <w:r>
        <w:rPr>
          <w:rFonts w:ascii="SimSun" w:hAnsi="SimSun" w:eastAsia="SimSun" w:cs="SimSun"/>
          <w:sz w:val="21"/>
          <w:szCs w:val="21"/>
          <w:spacing w:val="-7"/>
        </w:rPr>
        <w:t>张，的确是反垄断法的主要职责。但是，平台也是公</w:t>
      </w:r>
      <w:r>
        <w:rPr>
          <w:rFonts w:ascii="SimSun" w:hAnsi="SimSun" w:eastAsia="SimSun" w:cs="SimSun"/>
          <w:sz w:val="21"/>
          <w:szCs w:val="21"/>
          <w:spacing w:val="-8"/>
        </w:rPr>
        <w:t>司、企业组织，</w:t>
      </w:r>
      <w:r>
        <w:rPr>
          <w:rFonts w:ascii="SimSun" w:hAnsi="SimSun" w:eastAsia="SimSun" w:cs="SimSun"/>
          <w:sz w:val="21"/>
          <w:szCs w:val="21"/>
        </w:rPr>
        <w:t xml:space="preserve"> </w:t>
      </w:r>
      <w:r>
        <w:rPr>
          <w:rFonts w:ascii="SimSun" w:hAnsi="SimSun" w:eastAsia="SimSun" w:cs="SimSun"/>
          <w:sz w:val="21"/>
          <w:szCs w:val="21"/>
          <w:spacing w:val="-11"/>
        </w:rPr>
        <w:t>其扩张也可以通过其他方式来完成，这就要求经济监管关注“无序扩</w:t>
      </w:r>
      <w:r>
        <w:rPr>
          <w:rFonts w:ascii="SimSun" w:hAnsi="SimSun" w:eastAsia="SimSun" w:cs="SimSun"/>
          <w:sz w:val="21"/>
          <w:szCs w:val="21"/>
          <w:spacing w:val="9"/>
        </w:rPr>
        <w:t xml:space="preserve">  </w:t>
      </w:r>
      <w:r>
        <w:rPr>
          <w:rFonts w:ascii="SimSun" w:hAnsi="SimSun" w:eastAsia="SimSun" w:cs="SimSun"/>
          <w:sz w:val="21"/>
          <w:szCs w:val="21"/>
          <w:spacing w:val="-9"/>
        </w:rPr>
        <w:t>张”。“无序扩张”并不是反垄断法能单独</w:t>
      </w:r>
      <w:r>
        <w:rPr>
          <w:rFonts w:ascii="SimSun" w:hAnsi="SimSun" w:eastAsia="SimSun" w:cs="SimSun"/>
          <w:sz w:val="21"/>
          <w:szCs w:val="21"/>
          <w:spacing w:val="-10"/>
        </w:rPr>
        <w:t>完成的任务，这也是2021</w:t>
      </w:r>
      <w:r>
        <w:rPr>
          <w:rFonts w:ascii="SimSun" w:hAnsi="SimSun" w:eastAsia="SimSun" w:cs="SimSun"/>
          <w:sz w:val="21"/>
          <w:szCs w:val="21"/>
        </w:rPr>
        <w:t xml:space="preserve"> </w:t>
      </w:r>
      <w:r>
        <w:rPr>
          <w:rFonts w:ascii="SimSun" w:hAnsi="SimSun" w:eastAsia="SimSun" w:cs="SimSun"/>
          <w:sz w:val="21"/>
          <w:szCs w:val="21"/>
          <w:spacing w:val="-11"/>
        </w:rPr>
        <w:t>年的中央经济工作会议提出“红绿灯”的更具体表述的原因。</w:t>
      </w:r>
    </w:p>
    <w:p>
      <w:pPr>
        <w:ind w:left="360" w:right="69" w:firstLine="420"/>
        <w:spacing w:before="100" w:line="297" w:lineRule="auto"/>
        <w:jc w:val="both"/>
        <w:rPr>
          <w:rFonts w:ascii="SimSun" w:hAnsi="SimSun" w:eastAsia="SimSun" w:cs="SimSun"/>
          <w:sz w:val="21"/>
          <w:szCs w:val="21"/>
        </w:rPr>
      </w:pPr>
      <w:r>
        <w:rPr>
          <w:rFonts w:ascii="SimSun" w:hAnsi="SimSun" w:eastAsia="SimSun" w:cs="SimSun"/>
          <w:sz w:val="21"/>
          <w:szCs w:val="21"/>
          <w:spacing w:val="-10"/>
        </w:rPr>
        <w:t>反垄断和经济监管都具有多重目标，在立法</w:t>
      </w:r>
      <w:r>
        <w:rPr>
          <w:rFonts w:ascii="SimSun" w:hAnsi="SimSun" w:eastAsia="SimSun" w:cs="SimSun"/>
          <w:sz w:val="21"/>
          <w:szCs w:val="21"/>
          <w:spacing w:val="-11"/>
        </w:rPr>
        <w:t>中的表述都是以消费</w:t>
      </w:r>
      <w:r>
        <w:rPr>
          <w:rFonts w:ascii="SimSun" w:hAnsi="SimSun" w:eastAsia="SimSun" w:cs="SimSun"/>
          <w:sz w:val="21"/>
          <w:szCs w:val="21"/>
        </w:rPr>
        <w:t xml:space="preserve"> </w:t>
      </w:r>
      <w:r>
        <w:rPr>
          <w:rFonts w:ascii="SimSun" w:hAnsi="SimSun" w:eastAsia="SimSun" w:cs="SimSun"/>
          <w:sz w:val="21"/>
          <w:szCs w:val="21"/>
          <w:spacing w:val="-10"/>
        </w:rPr>
        <w:t>者权利作为判断标准，但事实上反垄断维护的是以市场竞争为标准的</w:t>
      </w:r>
      <w:r>
        <w:rPr>
          <w:rFonts w:ascii="SimSun" w:hAnsi="SimSun" w:eastAsia="SimSun" w:cs="SimSun"/>
          <w:sz w:val="21"/>
          <w:szCs w:val="21"/>
          <w:spacing w:val="14"/>
        </w:rPr>
        <w:t xml:space="preserve"> </w:t>
      </w:r>
      <w:r>
        <w:rPr>
          <w:rFonts w:ascii="SimSun" w:hAnsi="SimSun" w:eastAsia="SimSun" w:cs="SimSun"/>
          <w:sz w:val="21"/>
          <w:szCs w:val="21"/>
          <w:spacing w:val="-10"/>
        </w:rPr>
        <w:t>消费者利益，实际的判断标准是消费者福利。这是由反垄断的后果或</w:t>
      </w:r>
      <w:r>
        <w:rPr>
          <w:rFonts w:ascii="SimSun" w:hAnsi="SimSun" w:eastAsia="SimSun" w:cs="SimSun"/>
          <w:sz w:val="21"/>
          <w:szCs w:val="21"/>
          <w:spacing w:val="8"/>
        </w:rPr>
        <w:t xml:space="preserve"> </w:t>
      </w:r>
      <w:r>
        <w:rPr>
          <w:rFonts w:ascii="SimSun" w:hAnsi="SimSun" w:eastAsia="SimSun" w:cs="SimSun"/>
          <w:sz w:val="21"/>
          <w:szCs w:val="21"/>
          <w:spacing w:val="-10"/>
        </w:rPr>
        <w:t>者效果导向、以保护市场机制为首要目标、采用的方法更倾向于与经</w:t>
      </w:r>
      <w:r>
        <w:rPr>
          <w:rFonts w:ascii="SimSun" w:hAnsi="SimSun" w:eastAsia="SimSun" w:cs="SimSun"/>
          <w:sz w:val="21"/>
          <w:szCs w:val="21"/>
          <w:spacing w:val="7"/>
        </w:rPr>
        <w:t xml:space="preserve"> </w:t>
      </w:r>
      <w:r>
        <w:rPr>
          <w:rFonts w:ascii="SimSun" w:hAnsi="SimSun" w:eastAsia="SimSun" w:cs="SimSun"/>
          <w:sz w:val="21"/>
          <w:szCs w:val="21"/>
          <w:spacing w:val="-10"/>
        </w:rPr>
        <w:t>济学理论结合等特性决定的。反垄断执法中作为判断标准的消费者利</w:t>
      </w:r>
      <w:r>
        <w:rPr>
          <w:rFonts w:ascii="SimSun" w:hAnsi="SimSun" w:eastAsia="SimSun" w:cs="SimSun"/>
          <w:sz w:val="21"/>
          <w:szCs w:val="21"/>
          <w:spacing w:val="13"/>
        </w:rPr>
        <w:t xml:space="preserve"> </w:t>
      </w:r>
      <w:r>
        <w:rPr>
          <w:rFonts w:ascii="SimSun" w:hAnsi="SimSun" w:eastAsia="SimSun" w:cs="SimSun"/>
          <w:sz w:val="21"/>
          <w:szCs w:val="21"/>
          <w:spacing w:val="-10"/>
        </w:rPr>
        <w:t>益，是一个包括长期、短期、市场、合规、数量和质量等多种考量因</w:t>
      </w:r>
      <w:r>
        <w:rPr>
          <w:rFonts w:ascii="SimSun" w:hAnsi="SimSun" w:eastAsia="SimSun" w:cs="SimSun"/>
          <w:sz w:val="21"/>
          <w:szCs w:val="21"/>
        </w:rPr>
        <w:t xml:space="preserve"> </w:t>
      </w:r>
      <w:r>
        <w:rPr>
          <w:rFonts w:ascii="SimSun" w:hAnsi="SimSun" w:eastAsia="SimSun" w:cs="SimSun"/>
          <w:sz w:val="21"/>
          <w:szCs w:val="21"/>
          <w:spacing w:val="-10"/>
        </w:rPr>
        <w:t>素在内的概念，因此“消费者利益”实际上</w:t>
      </w:r>
      <w:r>
        <w:rPr>
          <w:rFonts w:ascii="SimSun" w:hAnsi="SimSun" w:eastAsia="SimSun" w:cs="SimSun"/>
          <w:sz w:val="21"/>
          <w:szCs w:val="21"/>
          <w:spacing w:val="-11"/>
        </w:rPr>
        <w:t>是一个一揽子目标，具有</w:t>
      </w:r>
      <w:r>
        <w:rPr>
          <w:rFonts w:ascii="SimSun" w:hAnsi="SimSun" w:eastAsia="SimSun" w:cs="SimSun"/>
          <w:sz w:val="21"/>
          <w:szCs w:val="21"/>
        </w:rPr>
        <w:t xml:space="preserve"> </w:t>
      </w:r>
      <w:r>
        <w:rPr>
          <w:rFonts w:ascii="SimSun" w:hAnsi="SimSun" w:eastAsia="SimSun" w:cs="SimSun"/>
          <w:sz w:val="21"/>
          <w:szCs w:val="21"/>
          <w:spacing w:val="-8"/>
        </w:rPr>
        <w:t>综合性。</w:t>
      </w:r>
    </w:p>
    <w:p>
      <w:pPr>
        <w:ind w:left="360" w:right="46" w:firstLine="409"/>
        <w:spacing w:before="178" w:line="299" w:lineRule="auto"/>
        <w:jc w:val="both"/>
        <w:rPr>
          <w:rFonts w:ascii="SimSun" w:hAnsi="SimSun" w:eastAsia="SimSun" w:cs="SimSun"/>
          <w:sz w:val="21"/>
          <w:szCs w:val="21"/>
        </w:rPr>
      </w:pPr>
      <w:r>
        <w:rPr>
          <w:rFonts w:ascii="SimSun" w:hAnsi="SimSun" w:eastAsia="SimSun" w:cs="SimSun"/>
          <w:sz w:val="21"/>
          <w:szCs w:val="21"/>
          <w:spacing w:val="-3"/>
        </w:rPr>
        <w:t>经济监管的目标也具有多重性，但是在2004年施行《行政许可</w:t>
      </w:r>
      <w:r>
        <w:rPr>
          <w:rFonts w:ascii="SimSun" w:hAnsi="SimSun" w:eastAsia="SimSun" w:cs="SimSun"/>
          <w:sz w:val="21"/>
          <w:szCs w:val="21"/>
          <w:spacing w:val="14"/>
        </w:rPr>
        <w:t xml:space="preserve"> </w:t>
      </w:r>
      <w:r>
        <w:rPr>
          <w:rFonts w:ascii="SimSun" w:hAnsi="SimSun" w:eastAsia="SimSun" w:cs="SimSun"/>
          <w:sz w:val="21"/>
          <w:szCs w:val="21"/>
          <w:spacing w:val="-15"/>
        </w:rPr>
        <w:t>法》界定监管模式之后，中国的经济监管，尤其是监管规则，</w:t>
      </w:r>
      <w:r>
        <w:rPr>
          <w:rFonts w:ascii="SimSun" w:hAnsi="SimSun" w:eastAsia="SimSun" w:cs="SimSun"/>
          <w:sz w:val="21"/>
          <w:szCs w:val="21"/>
          <w:spacing w:val="52"/>
        </w:rPr>
        <w:t xml:space="preserve"> </w:t>
      </w:r>
      <w:r>
        <w:rPr>
          <w:rFonts w:ascii="SimSun" w:hAnsi="SimSun" w:eastAsia="SimSun" w:cs="SimSun"/>
          <w:sz w:val="21"/>
          <w:szCs w:val="21"/>
          <w:spacing w:val="-15"/>
        </w:rPr>
        <w:t>一方面</w:t>
      </w:r>
      <w:r>
        <w:rPr>
          <w:rFonts w:ascii="SimSun" w:hAnsi="SimSun" w:eastAsia="SimSun" w:cs="SimSun"/>
          <w:sz w:val="21"/>
          <w:szCs w:val="21"/>
        </w:rPr>
        <w:t xml:space="preserve"> </w:t>
      </w:r>
      <w:r>
        <w:rPr>
          <w:rFonts w:ascii="SimSun" w:hAnsi="SimSun" w:eastAsia="SimSun" w:cs="SimSun"/>
          <w:sz w:val="21"/>
          <w:szCs w:val="21"/>
          <w:spacing w:val="-10"/>
        </w:rPr>
        <w:t>在程序、形式、处罚等方面更多采用限权的方式，采取行政监管的模</w:t>
      </w:r>
      <w:r>
        <w:rPr>
          <w:rFonts w:ascii="SimSun" w:hAnsi="SimSun" w:eastAsia="SimSun" w:cs="SimSun"/>
          <w:sz w:val="21"/>
          <w:szCs w:val="21"/>
          <w:spacing w:val="7"/>
        </w:rPr>
        <w:t xml:space="preserve"> </w:t>
      </w:r>
      <w:r>
        <w:rPr>
          <w:rFonts w:ascii="SimSun" w:hAnsi="SimSun" w:eastAsia="SimSun" w:cs="SimSun"/>
          <w:sz w:val="21"/>
          <w:szCs w:val="21"/>
          <w:spacing w:val="-6"/>
        </w:rPr>
        <w:t>式，特别表现为近十年来不断推动的“放管服”;</w:t>
      </w:r>
      <w:r>
        <w:rPr>
          <w:rFonts w:ascii="SimSun" w:hAnsi="SimSun" w:eastAsia="SimSun" w:cs="SimSun"/>
          <w:sz w:val="21"/>
          <w:szCs w:val="21"/>
          <w:spacing w:val="-7"/>
        </w:rPr>
        <w:t>另一方面，监管规</w:t>
      </w:r>
      <w:r>
        <w:rPr>
          <w:rFonts w:ascii="SimSun" w:hAnsi="SimSun" w:eastAsia="SimSun" w:cs="SimSun"/>
          <w:sz w:val="21"/>
          <w:szCs w:val="21"/>
        </w:rPr>
        <w:t xml:space="preserve"> </w:t>
      </w:r>
      <w:r>
        <w:rPr>
          <w:rFonts w:ascii="SimSun" w:hAnsi="SimSun" w:eastAsia="SimSun" w:cs="SimSun"/>
          <w:sz w:val="21"/>
          <w:szCs w:val="21"/>
          <w:spacing w:val="-9"/>
        </w:rPr>
        <w:t>则在实体规则、裁判者的判断上，并没有得到真正的约束。这种情况</w:t>
      </w:r>
      <w:r>
        <w:rPr>
          <w:rFonts w:ascii="SimSun" w:hAnsi="SimSun" w:eastAsia="SimSun" w:cs="SimSun"/>
          <w:sz w:val="21"/>
          <w:szCs w:val="21"/>
          <w:spacing w:val="7"/>
        </w:rPr>
        <w:t xml:space="preserve"> </w:t>
      </w:r>
      <w:r>
        <w:rPr>
          <w:rFonts w:ascii="SimSun" w:hAnsi="SimSun" w:eastAsia="SimSun" w:cs="SimSun"/>
          <w:sz w:val="21"/>
          <w:szCs w:val="21"/>
          <w:spacing w:val="-10"/>
        </w:rPr>
        <w:t>下，监管者倾向于依据法律上的明确表达去执行较为单一的目标。在</w:t>
      </w:r>
      <w:r>
        <w:rPr>
          <w:rFonts w:ascii="SimSun" w:hAnsi="SimSun" w:eastAsia="SimSun" w:cs="SimSun"/>
          <w:sz w:val="21"/>
          <w:szCs w:val="21"/>
          <w:spacing w:val="10"/>
        </w:rPr>
        <w:t xml:space="preserve"> </w:t>
      </w:r>
      <w:r>
        <w:rPr>
          <w:rFonts w:ascii="SimSun" w:hAnsi="SimSun" w:eastAsia="SimSun" w:cs="SimSun"/>
          <w:sz w:val="21"/>
          <w:szCs w:val="21"/>
          <w:spacing w:val="-10"/>
        </w:rPr>
        <w:t>本次强监管出现之前，连反垄断执法也需要遵守包括行政程序、执法</w:t>
      </w:r>
      <w:r>
        <w:rPr>
          <w:rFonts w:ascii="SimSun" w:hAnsi="SimSun" w:eastAsia="SimSun" w:cs="SimSun"/>
          <w:sz w:val="21"/>
          <w:szCs w:val="21"/>
          <w:spacing w:val="5"/>
        </w:rPr>
        <w:t xml:space="preserve"> </w:t>
      </w:r>
      <w:r>
        <w:rPr>
          <w:rFonts w:ascii="SimSun" w:hAnsi="SimSun" w:eastAsia="SimSun" w:cs="SimSun"/>
          <w:sz w:val="21"/>
          <w:szCs w:val="21"/>
          <w:spacing w:val="-10"/>
        </w:rPr>
        <w:t>等方面的约束。比如，在中国的监管体系中，是否允许两个企业合并</w:t>
      </w:r>
      <w:r>
        <w:rPr>
          <w:rFonts w:ascii="SimSun" w:hAnsi="SimSun" w:eastAsia="SimSun" w:cs="SimSun"/>
          <w:sz w:val="21"/>
          <w:szCs w:val="21"/>
          <w:spacing w:val="7"/>
        </w:rPr>
        <w:t xml:space="preserve"> </w:t>
      </w:r>
      <w:r>
        <w:rPr>
          <w:rFonts w:ascii="SimSun" w:hAnsi="SimSun" w:eastAsia="SimSun" w:cs="SimSun"/>
          <w:sz w:val="21"/>
          <w:szCs w:val="21"/>
          <w:spacing w:val="-10"/>
        </w:rPr>
        <w:t>和是否颁发驾驶执照，居然采用相同的程序规则，实际行政执法的特</w:t>
      </w:r>
      <w:r>
        <w:rPr>
          <w:rFonts w:ascii="SimSun" w:hAnsi="SimSun" w:eastAsia="SimSun" w:cs="SimSun"/>
          <w:sz w:val="21"/>
          <w:szCs w:val="21"/>
          <w:spacing w:val="5"/>
        </w:rPr>
        <w:t xml:space="preserve"> </w:t>
      </w:r>
      <w:r>
        <w:rPr>
          <w:rFonts w:ascii="SimSun" w:hAnsi="SimSun" w:eastAsia="SimSun" w:cs="SimSun"/>
          <w:sz w:val="21"/>
          <w:szCs w:val="21"/>
          <w:spacing w:val="-11"/>
        </w:rPr>
        <w:t>点就可想而知了。</w:t>
      </w:r>
    </w:p>
    <w:p>
      <w:pPr>
        <w:spacing w:line="299" w:lineRule="auto"/>
        <w:sectPr>
          <w:headerReference w:type="default" r:id="rId484"/>
          <w:pgSz w:w="7330" w:h="12480"/>
          <w:pgMar w:top="477" w:right="545" w:bottom="400" w:left="339" w:header="315"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right="6" w:firstLine="399"/>
        <w:spacing w:before="69" w:line="300" w:lineRule="auto"/>
        <w:jc w:val="both"/>
        <w:rPr>
          <w:rFonts w:ascii="SimSun" w:hAnsi="SimSun" w:eastAsia="SimSun" w:cs="SimSun"/>
          <w:sz w:val="21"/>
          <w:szCs w:val="21"/>
        </w:rPr>
      </w:pPr>
      <w:r>
        <w:rPr>
          <w:rFonts w:ascii="SimSun" w:hAnsi="SimSun" w:eastAsia="SimSun" w:cs="SimSun"/>
          <w:sz w:val="21"/>
          <w:szCs w:val="21"/>
          <w:spacing w:val="-11"/>
        </w:rPr>
        <w:t>这样，当强监管来临的时候，监管就非常容易借助原本比较模糊</w:t>
      </w:r>
      <w:r>
        <w:rPr>
          <w:rFonts w:ascii="SimSun" w:hAnsi="SimSun" w:eastAsia="SimSun" w:cs="SimSun"/>
          <w:sz w:val="21"/>
          <w:szCs w:val="21"/>
          <w:spacing w:val="14"/>
        </w:rPr>
        <w:t xml:space="preserve"> </w:t>
      </w:r>
      <w:r>
        <w:rPr>
          <w:rFonts w:ascii="SimSun" w:hAnsi="SimSun" w:eastAsia="SimSun" w:cs="SimSun"/>
          <w:sz w:val="21"/>
          <w:szCs w:val="21"/>
          <w:spacing w:val="-11"/>
        </w:rPr>
        <w:t>的法律表述，越过复杂的多目标考虑，采用简单的单目标模式，比如</w:t>
      </w:r>
      <w:r>
        <w:rPr>
          <w:rFonts w:ascii="SimSun" w:hAnsi="SimSun" w:eastAsia="SimSun" w:cs="SimSun"/>
          <w:sz w:val="21"/>
          <w:szCs w:val="21"/>
          <w:spacing w:val="13"/>
        </w:rPr>
        <w:t xml:space="preserve"> </w:t>
      </w:r>
      <w:r>
        <w:rPr>
          <w:rFonts w:ascii="SimSun" w:hAnsi="SimSun" w:eastAsia="SimSun" w:cs="SimSun"/>
          <w:sz w:val="21"/>
          <w:szCs w:val="21"/>
          <w:spacing w:val="-11"/>
        </w:rPr>
        <w:t>以消费者权利代替消费者利益甚至福利，直接要求原本宽松监管下的</w:t>
      </w:r>
      <w:r>
        <w:rPr>
          <w:rFonts w:ascii="SimSun" w:hAnsi="SimSun" w:eastAsia="SimSun" w:cs="SimSun"/>
          <w:sz w:val="21"/>
          <w:szCs w:val="21"/>
          <w:spacing w:val="14"/>
        </w:rPr>
        <w:t xml:space="preserve"> </w:t>
      </w:r>
      <w:r>
        <w:rPr>
          <w:rFonts w:ascii="SimSun" w:hAnsi="SimSun" w:eastAsia="SimSun" w:cs="SimSun"/>
          <w:sz w:val="21"/>
          <w:szCs w:val="21"/>
          <w:spacing w:val="-11"/>
        </w:rPr>
        <w:t>大型科技平台进行相应的整改。更有甚者，以“消费者权利”“公平</w:t>
      </w:r>
      <w:r>
        <w:rPr>
          <w:rFonts w:ascii="SimSun" w:hAnsi="SimSun" w:eastAsia="SimSun" w:cs="SimSun"/>
          <w:sz w:val="21"/>
          <w:szCs w:val="21"/>
          <w:spacing w:val="8"/>
        </w:rPr>
        <w:t xml:space="preserve"> </w:t>
      </w:r>
      <w:r>
        <w:rPr>
          <w:rFonts w:ascii="SimSun" w:hAnsi="SimSun" w:eastAsia="SimSun" w:cs="SimSun"/>
          <w:sz w:val="21"/>
          <w:szCs w:val="21"/>
          <w:spacing w:val="-11"/>
        </w:rPr>
        <w:t>竞争”这样的表述替换反垄断法上的判断，而以“垄断”“防止资本</w:t>
      </w:r>
      <w:r>
        <w:rPr>
          <w:rFonts w:ascii="SimSun" w:hAnsi="SimSun" w:eastAsia="SimSun" w:cs="SimSun"/>
          <w:sz w:val="21"/>
          <w:szCs w:val="21"/>
          <w:spacing w:val="8"/>
        </w:rPr>
        <w:t xml:space="preserve"> </w:t>
      </w:r>
      <w:r>
        <w:rPr>
          <w:rFonts w:ascii="SimSun" w:hAnsi="SimSun" w:eastAsia="SimSun" w:cs="SimSun"/>
          <w:sz w:val="21"/>
          <w:szCs w:val="21"/>
          <w:spacing w:val="-12"/>
        </w:rPr>
        <w:t>无序扩张”的名义去实施监管。</w:t>
      </w:r>
    </w:p>
    <w:p>
      <w:pPr>
        <w:ind w:right="12" w:firstLine="399"/>
        <w:spacing w:before="111" w:line="300" w:lineRule="auto"/>
        <w:jc w:val="both"/>
        <w:rPr>
          <w:rFonts w:ascii="SimSun" w:hAnsi="SimSun" w:eastAsia="SimSun" w:cs="SimSun"/>
          <w:sz w:val="21"/>
          <w:szCs w:val="21"/>
        </w:rPr>
      </w:pPr>
      <w:r>
        <w:rPr>
          <w:rFonts w:ascii="SimSun" w:hAnsi="SimSun" w:eastAsia="SimSun" w:cs="SimSun"/>
          <w:sz w:val="21"/>
          <w:szCs w:val="21"/>
          <w:spacing w:val="-11"/>
        </w:rPr>
        <w:t>的确，消费者权利也有相应的法律制度。事实上，我国比较依赖</w:t>
      </w:r>
      <w:r>
        <w:rPr>
          <w:rFonts w:ascii="SimSun" w:hAnsi="SimSun" w:eastAsia="SimSun" w:cs="SimSun"/>
          <w:sz w:val="21"/>
          <w:szCs w:val="21"/>
          <w:spacing w:val="7"/>
        </w:rPr>
        <w:t xml:space="preserve"> </w:t>
      </w:r>
      <w:r>
        <w:rPr>
          <w:rFonts w:ascii="SimSun" w:hAnsi="SimSun" w:eastAsia="SimSun" w:cs="SimSun"/>
          <w:sz w:val="21"/>
          <w:szCs w:val="21"/>
          <w:spacing w:val="-11"/>
        </w:rPr>
        <w:t>消费者权利模式的监管，其直接作用于生产—运输—销售中的最后一</w:t>
      </w:r>
      <w:r>
        <w:rPr>
          <w:rFonts w:ascii="SimSun" w:hAnsi="SimSun" w:eastAsia="SimSun" w:cs="SimSun"/>
          <w:sz w:val="21"/>
          <w:szCs w:val="21"/>
          <w:spacing w:val="9"/>
        </w:rPr>
        <w:t xml:space="preserve"> </w:t>
      </w:r>
      <w:r>
        <w:rPr>
          <w:rFonts w:ascii="SimSun" w:hAnsi="SimSun" w:eastAsia="SimSun" w:cs="SimSun"/>
          <w:sz w:val="21"/>
          <w:szCs w:val="21"/>
          <w:spacing w:val="-11"/>
        </w:rPr>
        <w:t>个环节，而忽略了对前两个环节的法律调整。这方面的法律制度有很</w:t>
      </w:r>
      <w:r>
        <w:rPr>
          <w:rFonts w:ascii="SimSun" w:hAnsi="SimSun" w:eastAsia="SimSun" w:cs="SimSun"/>
          <w:sz w:val="21"/>
          <w:szCs w:val="21"/>
          <w:spacing w:val="9"/>
        </w:rPr>
        <w:t xml:space="preserve"> </w:t>
      </w:r>
      <w:r>
        <w:rPr>
          <w:rFonts w:ascii="SimSun" w:hAnsi="SimSun" w:eastAsia="SimSun" w:cs="SimSun"/>
          <w:sz w:val="21"/>
          <w:szCs w:val="21"/>
          <w:spacing w:val="-17"/>
        </w:rPr>
        <w:t>多，荤荤大者包括《消费者权益保护法》《电子商务法》《</w:t>
      </w:r>
      <w:r>
        <w:rPr>
          <w:rFonts w:ascii="SimSun" w:hAnsi="SimSun" w:eastAsia="SimSun" w:cs="SimSun"/>
          <w:sz w:val="21"/>
          <w:szCs w:val="21"/>
          <w:spacing w:val="-18"/>
        </w:rPr>
        <w:t>反不正当竞</w:t>
      </w:r>
      <w:r>
        <w:rPr>
          <w:rFonts w:ascii="SimSun" w:hAnsi="SimSun" w:eastAsia="SimSun" w:cs="SimSun"/>
          <w:sz w:val="21"/>
          <w:szCs w:val="21"/>
        </w:rPr>
        <w:t xml:space="preserve"> </w:t>
      </w:r>
      <w:r>
        <w:rPr>
          <w:rFonts w:ascii="SimSun" w:hAnsi="SimSun" w:eastAsia="SimSun" w:cs="SimSun"/>
          <w:sz w:val="21"/>
          <w:szCs w:val="21"/>
          <w:spacing w:val="-11"/>
        </w:rPr>
        <w:t>争法》等，都属于这一种类型。但这种法律调整，目标单一、手段局</w:t>
      </w:r>
      <w:r>
        <w:rPr>
          <w:rFonts w:ascii="SimSun" w:hAnsi="SimSun" w:eastAsia="SimSun" w:cs="SimSun"/>
          <w:sz w:val="21"/>
          <w:szCs w:val="21"/>
        </w:rPr>
        <w:t xml:space="preserve"> </w:t>
      </w:r>
      <w:r>
        <w:rPr>
          <w:rFonts w:ascii="SimSun" w:hAnsi="SimSun" w:eastAsia="SimSun" w:cs="SimSun"/>
          <w:sz w:val="21"/>
          <w:szCs w:val="21"/>
          <w:spacing w:val="-11"/>
        </w:rPr>
        <w:t>限，行政干预性很强。</w:t>
      </w:r>
    </w:p>
    <w:p>
      <w:pPr>
        <w:ind w:right="2" w:firstLine="399"/>
        <w:spacing w:before="117" w:line="308" w:lineRule="auto"/>
        <w:jc w:val="both"/>
        <w:rPr>
          <w:rFonts w:ascii="SimSun" w:hAnsi="SimSun" w:eastAsia="SimSun" w:cs="SimSun"/>
          <w:sz w:val="21"/>
          <w:szCs w:val="21"/>
        </w:rPr>
      </w:pPr>
      <w:r>
        <w:rPr>
          <w:rFonts w:ascii="SimSun" w:hAnsi="SimSun" w:eastAsia="SimSun" w:cs="SimSun"/>
          <w:sz w:val="21"/>
          <w:szCs w:val="21"/>
          <w:spacing w:val="-3"/>
        </w:rPr>
        <w:t>在2021年这一强监管年中，许多部门会借助消费</w:t>
      </w:r>
      <w:r>
        <w:rPr>
          <w:rFonts w:ascii="SimSun" w:hAnsi="SimSun" w:eastAsia="SimSun" w:cs="SimSun"/>
          <w:sz w:val="21"/>
          <w:szCs w:val="21"/>
          <w:spacing w:val="-4"/>
        </w:rPr>
        <w:t>者权利的主张</w:t>
      </w:r>
      <w:r>
        <w:rPr>
          <w:rFonts w:ascii="SimSun" w:hAnsi="SimSun" w:eastAsia="SimSun" w:cs="SimSun"/>
          <w:sz w:val="21"/>
          <w:szCs w:val="21"/>
        </w:rPr>
        <w:t xml:space="preserve"> </w:t>
      </w:r>
      <w:r>
        <w:rPr>
          <w:rFonts w:ascii="SimSun" w:hAnsi="SimSun" w:eastAsia="SimSun" w:cs="SimSun"/>
          <w:sz w:val="21"/>
          <w:szCs w:val="21"/>
          <w:spacing w:val="-11"/>
        </w:rPr>
        <w:t>或者视角，以“反垄断”或者“公平竞争”的名义，采用实际上与反</w:t>
      </w:r>
      <w:r>
        <w:rPr>
          <w:rFonts w:ascii="SimSun" w:hAnsi="SimSun" w:eastAsia="SimSun" w:cs="SimSun"/>
          <w:sz w:val="21"/>
          <w:szCs w:val="21"/>
          <w:spacing w:val="5"/>
        </w:rPr>
        <w:t xml:space="preserve"> </w:t>
      </w:r>
      <w:r>
        <w:rPr>
          <w:rFonts w:ascii="SimSun" w:hAnsi="SimSun" w:eastAsia="SimSun" w:cs="SimSun"/>
          <w:sz w:val="21"/>
          <w:szCs w:val="21"/>
          <w:spacing w:val="-11"/>
        </w:rPr>
        <w:t>垄断分析框架下的执法判断相左的做法，以“反垄断”的名义实施行</w:t>
      </w:r>
      <w:r>
        <w:rPr>
          <w:rFonts w:ascii="SimSun" w:hAnsi="SimSun" w:eastAsia="SimSun" w:cs="SimSun"/>
          <w:sz w:val="21"/>
          <w:szCs w:val="21"/>
          <w:spacing w:val="9"/>
        </w:rPr>
        <w:t xml:space="preserve"> </w:t>
      </w:r>
      <w:r>
        <w:rPr>
          <w:rFonts w:ascii="SimSun" w:hAnsi="SimSun" w:eastAsia="SimSun" w:cs="SimSun"/>
          <w:sz w:val="21"/>
          <w:szCs w:val="21"/>
          <w:spacing w:val="-1"/>
        </w:rPr>
        <w:t>政监管。这方面的例子，比较典型的有两个。</w:t>
      </w:r>
      <w:r>
        <w:rPr>
          <w:rFonts w:ascii="SimSun" w:hAnsi="SimSun" w:eastAsia="SimSun" w:cs="SimSun"/>
          <w:sz w:val="21"/>
          <w:szCs w:val="21"/>
          <w:spacing w:val="46"/>
        </w:rPr>
        <w:t xml:space="preserve"> </w:t>
      </w:r>
      <w:r>
        <w:rPr>
          <w:rFonts w:ascii="SimSun" w:hAnsi="SimSun" w:eastAsia="SimSun" w:cs="SimSun"/>
          <w:sz w:val="21"/>
          <w:szCs w:val="21"/>
          <w:spacing w:val="-1"/>
        </w:rPr>
        <w:t>一</w:t>
      </w:r>
      <w:r>
        <w:rPr>
          <w:rFonts w:ascii="SimSun" w:hAnsi="SimSun" w:eastAsia="SimSun" w:cs="SimSun"/>
          <w:sz w:val="21"/>
          <w:szCs w:val="21"/>
          <w:spacing w:val="-2"/>
        </w:rPr>
        <w:t>个是2021年9月1</w:t>
      </w:r>
      <w:r>
        <w:rPr>
          <w:rFonts w:ascii="SimSun" w:hAnsi="SimSun" w:eastAsia="SimSun" w:cs="SimSun"/>
          <w:sz w:val="21"/>
          <w:szCs w:val="21"/>
        </w:rPr>
        <w:t xml:space="preserve"> </w:t>
      </w:r>
      <w:r>
        <w:rPr>
          <w:rFonts w:ascii="SimSun" w:hAnsi="SimSun" w:eastAsia="SimSun" w:cs="SimSun"/>
          <w:sz w:val="21"/>
          <w:szCs w:val="21"/>
          <w:spacing w:val="-12"/>
        </w:rPr>
        <w:t>日上午，交通运输部会同中央网信办、工信部、公安部、国家市场监</w:t>
      </w:r>
      <w:r>
        <w:rPr>
          <w:rFonts w:ascii="SimSun" w:hAnsi="SimSun" w:eastAsia="SimSun" w:cs="SimSun"/>
          <w:sz w:val="21"/>
          <w:szCs w:val="21"/>
          <w:spacing w:val="17"/>
        </w:rPr>
        <w:t xml:space="preserve"> </w:t>
      </w:r>
      <w:r>
        <w:rPr>
          <w:rFonts w:ascii="SimSun" w:hAnsi="SimSun" w:eastAsia="SimSun" w:cs="SimSun"/>
          <w:sz w:val="21"/>
          <w:szCs w:val="21"/>
          <w:spacing w:val="-4"/>
        </w:rPr>
        <w:t>管总局等交通运输新业态协同监管部际联席会议成员单位，对11家</w:t>
      </w:r>
      <w:r>
        <w:rPr>
          <w:rFonts w:ascii="SimSun" w:hAnsi="SimSun" w:eastAsia="SimSun" w:cs="SimSun"/>
          <w:sz w:val="21"/>
          <w:szCs w:val="21"/>
          <w:spacing w:val="11"/>
        </w:rPr>
        <w:t xml:space="preserve"> </w:t>
      </w:r>
      <w:r>
        <w:rPr>
          <w:rFonts w:ascii="SimSun" w:hAnsi="SimSun" w:eastAsia="SimSun" w:cs="SimSun"/>
          <w:sz w:val="21"/>
          <w:szCs w:val="21"/>
          <w:spacing w:val="-4"/>
        </w:rPr>
        <w:t>网约车平台公司进行联合约谈，要求11家网络平台企业停止恶性竞</w:t>
      </w:r>
      <w:r>
        <w:rPr>
          <w:rFonts w:ascii="SimSun" w:hAnsi="SimSun" w:eastAsia="SimSun" w:cs="SimSun"/>
          <w:sz w:val="21"/>
          <w:szCs w:val="21"/>
          <w:spacing w:val="9"/>
        </w:rPr>
        <w:t xml:space="preserve"> </w:t>
      </w:r>
      <w:r>
        <w:rPr>
          <w:rFonts w:ascii="SimSun" w:hAnsi="SimSun" w:eastAsia="SimSun" w:cs="SimSun"/>
          <w:sz w:val="21"/>
          <w:szCs w:val="21"/>
          <w:spacing w:val="-11"/>
        </w:rPr>
        <w:t>争。该访谈的背景是滴滴因为在美国上市而违反国家信息安全相关规</w:t>
      </w:r>
      <w:r>
        <w:rPr>
          <w:rFonts w:ascii="SimSun" w:hAnsi="SimSun" w:eastAsia="SimSun" w:cs="SimSun"/>
          <w:sz w:val="21"/>
          <w:szCs w:val="21"/>
          <w:spacing w:val="7"/>
        </w:rPr>
        <w:t xml:space="preserve"> </w:t>
      </w:r>
      <w:r>
        <w:rPr>
          <w:rFonts w:ascii="SimSun" w:hAnsi="SimSun" w:eastAsia="SimSun" w:cs="SimSun"/>
          <w:sz w:val="21"/>
          <w:szCs w:val="21"/>
          <w:spacing w:val="-11"/>
        </w:rPr>
        <w:t>定被要求整顿期间，其他企业采用了相应的竞争策略去扩张市场，但</w:t>
      </w:r>
      <w:r>
        <w:rPr>
          <w:rFonts w:ascii="SimSun" w:hAnsi="SimSun" w:eastAsia="SimSun" w:cs="SimSun"/>
          <w:sz w:val="21"/>
          <w:szCs w:val="21"/>
          <w:spacing w:val="7"/>
        </w:rPr>
        <w:t xml:space="preserve"> </w:t>
      </w:r>
      <w:r>
        <w:rPr>
          <w:rFonts w:ascii="SimSun" w:hAnsi="SimSun" w:eastAsia="SimSun" w:cs="SimSun"/>
          <w:sz w:val="21"/>
          <w:szCs w:val="21"/>
          <w:spacing w:val="-11"/>
        </w:rPr>
        <w:t>是这种联合约谈的行为显然实际上产生了保护既有市场领先者的市场</w:t>
      </w:r>
      <w:r>
        <w:rPr>
          <w:rFonts w:ascii="SimSun" w:hAnsi="SimSun" w:eastAsia="SimSun" w:cs="SimSun"/>
          <w:sz w:val="21"/>
          <w:szCs w:val="21"/>
          <w:spacing w:val="11"/>
        </w:rPr>
        <w:t xml:space="preserve"> </w:t>
      </w:r>
      <w:r>
        <w:rPr>
          <w:rFonts w:ascii="SimSun" w:hAnsi="SimSun" w:eastAsia="SimSun" w:cs="SimSun"/>
          <w:sz w:val="21"/>
          <w:szCs w:val="21"/>
          <w:spacing w:val="-11"/>
        </w:rPr>
        <w:t>份额的作用。因此，这种所谓的“公平竞争”实际上是和反垄断所追</w:t>
      </w:r>
      <w:r>
        <w:rPr>
          <w:rFonts w:ascii="SimSun" w:hAnsi="SimSun" w:eastAsia="SimSun" w:cs="SimSun"/>
          <w:sz w:val="21"/>
          <w:szCs w:val="21"/>
          <w:spacing w:val="8"/>
        </w:rPr>
        <w:t xml:space="preserve"> </w:t>
      </w:r>
      <w:r>
        <w:rPr>
          <w:rFonts w:ascii="SimSun" w:hAnsi="SimSun" w:eastAsia="SimSun" w:cs="SimSun"/>
          <w:sz w:val="21"/>
          <w:szCs w:val="21"/>
          <w:spacing w:val="-12"/>
        </w:rPr>
        <w:t>求的市场竞争过程相反的。</w:t>
      </w:r>
    </w:p>
    <w:p>
      <w:pPr>
        <w:ind w:firstLine="399"/>
        <w:spacing w:before="109" w:line="284" w:lineRule="auto"/>
        <w:jc w:val="both"/>
        <w:rPr>
          <w:rFonts w:ascii="SimSun" w:hAnsi="SimSun" w:eastAsia="SimSun" w:cs="SimSun"/>
          <w:sz w:val="21"/>
          <w:szCs w:val="21"/>
        </w:rPr>
      </w:pPr>
      <w:r>
        <w:rPr>
          <w:rFonts w:ascii="SimSun" w:hAnsi="SimSun" w:eastAsia="SimSun" w:cs="SimSun"/>
          <w:sz w:val="21"/>
          <w:szCs w:val="21"/>
          <w:spacing w:val="4"/>
        </w:rPr>
        <w:t>另外一个典型的例子是2021年9月9日，工信部有关业务部门</w:t>
      </w:r>
      <w:r>
        <w:rPr>
          <w:rFonts w:ascii="SimSun" w:hAnsi="SimSun" w:eastAsia="SimSun" w:cs="SimSun"/>
          <w:sz w:val="21"/>
          <w:szCs w:val="21"/>
          <w:spacing w:val="16"/>
        </w:rPr>
        <w:t xml:space="preserve"> </w:t>
      </w:r>
      <w:r>
        <w:rPr>
          <w:rFonts w:ascii="SimSun" w:hAnsi="SimSun" w:eastAsia="SimSun" w:cs="SimSun"/>
          <w:sz w:val="21"/>
          <w:szCs w:val="21"/>
          <w:spacing w:val="-7"/>
        </w:rPr>
        <w:t>召开“屏蔽网址链接问题行政指导会”,并提出有关即时通信软件的</w:t>
      </w:r>
      <w:r>
        <w:rPr>
          <w:rFonts w:ascii="SimSun" w:hAnsi="SimSun" w:eastAsia="SimSun" w:cs="SimSun"/>
          <w:sz w:val="21"/>
          <w:szCs w:val="21"/>
        </w:rPr>
        <w:t xml:space="preserve"> </w:t>
      </w:r>
      <w:r>
        <w:rPr>
          <w:rFonts w:ascii="SimSun" w:hAnsi="SimSun" w:eastAsia="SimSun" w:cs="SimSun"/>
          <w:sz w:val="21"/>
          <w:szCs w:val="21"/>
        </w:rPr>
        <w:t>合规标准，要求9月17日前各平台按标准解</w:t>
      </w:r>
      <w:r>
        <w:rPr>
          <w:rFonts w:ascii="SimSun" w:hAnsi="SimSun" w:eastAsia="SimSun" w:cs="SimSun"/>
          <w:sz w:val="21"/>
          <w:szCs w:val="21"/>
          <w:spacing w:val="-1"/>
        </w:rPr>
        <w:t>除屏蔽。参会企业包括</w:t>
      </w:r>
    </w:p>
    <w:p>
      <w:pPr>
        <w:spacing w:line="284" w:lineRule="auto"/>
        <w:sectPr>
          <w:headerReference w:type="default" r:id="rId486"/>
          <w:pgSz w:w="7330" w:h="12480"/>
          <w:pgMar w:top="819" w:right="766" w:bottom="400" w:left="569" w:header="652" w:footer="0" w:gutter="0"/>
        </w:sectPr>
        <w:rPr>
          <w:rFonts w:ascii="SimSun" w:hAnsi="SimSun" w:eastAsia="SimSun" w:cs="SimSun"/>
          <w:sz w:val="21"/>
          <w:szCs w:val="21"/>
        </w:rPr>
      </w:pP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ind w:right="43"/>
        <w:spacing w:before="69" w:line="308" w:lineRule="auto"/>
        <w:jc w:val="both"/>
        <w:rPr>
          <w:rFonts w:ascii="SimSun" w:hAnsi="SimSun" w:eastAsia="SimSun" w:cs="SimSun"/>
          <w:sz w:val="21"/>
          <w:szCs w:val="21"/>
        </w:rPr>
      </w:pPr>
      <w:r>
        <w:rPr>
          <w:rFonts w:ascii="SimSun" w:hAnsi="SimSun" w:eastAsia="SimSun" w:cs="SimSun"/>
          <w:sz w:val="21"/>
          <w:szCs w:val="21"/>
          <w:spacing w:val="-6"/>
        </w:rPr>
        <w:t>阿里巴巴、腾讯、字节跳动、百度、华为、小米、</w:t>
      </w:r>
      <w:r>
        <w:rPr>
          <w:rFonts w:ascii="SimSun" w:hAnsi="SimSun" w:eastAsia="SimSun" w:cs="SimSun"/>
          <w:sz w:val="21"/>
          <w:szCs w:val="21"/>
          <w:spacing w:val="-7"/>
        </w:rPr>
        <w:t>陌陌、360、网易</w:t>
      </w:r>
      <w:r>
        <w:rPr>
          <w:rFonts w:ascii="SimSun" w:hAnsi="SimSun" w:eastAsia="SimSun" w:cs="SimSun"/>
          <w:sz w:val="21"/>
          <w:szCs w:val="21"/>
        </w:rPr>
        <w:t xml:space="preserve"> </w:t>
      </w:r>
      <w:r>
        <w:rPr>
          <w:rFonts w:ascii="SimSun" w:hAnsi="SimSun" w:eastAsia="SimSun" w:cs="SimSun"/>
          <w:sz w:val="21"/>
          <w:szCs w:val="21"/>
          <w:spacing w:val="-15"/>
        </w:rPr>
        <w:t>等，会议精神主要涉及三个方面：</w:t>
      </w:r>
      <w:r>
        <w:rPr>
          <w:rFonts w:ascii="SimSun" w:hAnsi="SimSun" w:eastAsia="SimSun" w:cs="SimSun"/>
          <w:sz w:val="21"/>
          <w:szCs w:val="21"/>
          <w:spacing w:val="52"/>
        </w:rPr>
        <w:t xml:space="preserve"> </w:t>
      </w:r>
      <w:r>
        <w:rPr>
          <w:rFonts w:ascii="SimSun" w:hAnsi="SimSun" w:eastAsia="SimSun" w:cs="SimSun"/>
          <w:sz w:val="21"/>
          <w:szCs w:val="21"/>
          <w:spacing w:val="-15"/>
        </w:rPr>
        <w:t>一是对于用户分</w:t>
      </w:r>
      <w:r>
        <w:rPr>
          <w:rFonts w:ascii="SimSun" w:hAnsi="SimSun" w:eastAsia="SimSun" w:cs="SimSun"/>
          <w:sz w:val="21"/>
          <w:szCs w:val="21"/>
          <w:spacing w:val="-16"/>
        </w:rPr>
        <w:t>享的同种类型产品</w:t>
      </w:r>
      <w:r>
        <w:rPr>
          <w:rFonts w:ascii="SimSun" w:hAnsi="SimSun" w:eastAsia="SimSun" w:cs="SimSun"/>
          <w:sz w:val="21"/>
          <w:szCs w:val="21"/>
        </w:rPr>
        <w:t xml:space="preserve"> </w:t>
      </w:r>
      <w:r>
        <w:rPr>
          <w:rFonts w:ascii="SimSun" w:hAnsi="SimSun" w:eastAsia="SimSun" w:cs="SimSun"/>
          <w:sz w:val="21"/>
          <w:szCs w:val="21"/>
          <w:spacing w:val="-11"/>
        </w:rPr>
        <w:t>或服务的网址链接，展示和访问形式应保持一致；二是用户在即时通</w:t>
      </w:r>
      <w:r>
        <w:rPr>
          <w:rFonts w:ascii="SimSun" w:hAnsi="SimSun" w:eastAsia="SimSun" w:cs="SimSun"/>
          <w:sz w:val="21"/>
          <w:szCs w:val="21"/>
          <w:spacing w:val="16"/>
        </w:rPr>
        <w:t xml:space="preserve"> </w:t>
      </w:r>
      <w:r>
        <w:rPr>
          <w:rFonts w:ascii="SimSun" w:hAnsi="SimSun" w:eastAsia="SimSun" w:cs="SimSun"/>
          <w:sz w:val="21"/>
          <w:szCs w:val="21"/>
          <w:spacing w:val="-10"/>
        </w:rPr>
        <w:t>信软件中发送和接收合法网址链接，点击链接后，在应</w:t>
      </w:r>
      <w:r>
        <w:rPr>
          <w:rFonts w:ascii="SimSun" w:hAnsi="SimSun" w:eastAsia="SimSun" w:cs="SimSun"/>
          <w:sz w:val="21"/>
          <w:szCs w:val="21"/>
          <w:spacing w:val="-11"/>
        </w:rPr>
        <w:t>用内以页面的</w:t>
      </w:r>
      <w:r>
        <w:rPr>
          <w:rFonts w:ascii="SimSun" w:hAnsi="SimSun" w:eastAsia="SimSun" w:cs="SimSun"/>
          <w:sz w:val="21"/>
          <w:szCs w:val="21"/>
        </w:rPr>
        <w:t xml:space="preserve"> </w:t>
      </w:r>
      <w:r>
        <w:rPr>
          <w:rFonts w:ascii="SimSun" w:hAnsi="SimSun" w:eastAsia="SimSun" w:cs="SimSun"/>
          <w:sz w:val="21"/>
          <w:szCs w:val="21"/>
          <w:spacing w:val="-10"/>
        </w:rPr>
        <w:t>形式直接打开；三是不能对特定的产品或服</w:t>
      </w:r>
      <w:r>
        <w:rPr>
          <w:rFonts w:ascii="SimSun" w:hAnsi="SimSun" w:eastAsia="SimSun" w:cs="SimSun"/>
          <w:sz w:val="21"/>
          <w:szCs w:val="21"/>
          <w:spacing w:val="-11"/>
        </w:rPr>
        <w:t>务网址链接附加额外的操</w:t>
      </w:r>
      <w:r>
        <w:rPr>
          <w:rFonts w:ascii="SimSun" w:hAnsi="SimSun" w:eastAsia="SimSun" w:cs="SimSun"/>
          <w:sz w:val="21"/>
          <w:szCs w:val="21"/>
        </w:rPr>
        <w:t xml:space="preserve"> </w:t>
      </w:r>
      <w:r>
        <w:rPr>
          <w:rFonts w:ascii="SimSun" w:hAnsi="SimSun" w:eastAsia="SimSun" w:cs="SimSun"/>
          <w:sz w:val="21"/>
          <w:szCs w:val="21"/>
          <w:spacing w:val="-11"/>
        </w:rPr>
        <w:t>作步骤，不能要求用户手动复制链接后转至系统浏览器打开。这是典</w:t>
      </w:r>
      <w:r>
        <w:rPr>
          <w:rFonts w:ascii="SimSun" w:hAnsi="SimSun" w:eastAsia="SimSun" w:cs="SimSun"/>
          <w:sz w:val="21"/>
          <w:szCs w:val="21"/>
          <w:spacing w:val="18"/>
        </w:rPr>
        <w:t xml:space="preserve"> </w:t>
      </w:r>
      <w:r>
        <w:rPr>
          <w:rFonts w:ascii="SimSun" w:hAnsi="SimSun" w:eastAsia="SimSun" w:cs="SimSun"/>
          <w:sz w:val="21"/>
          <w:szCs w:val="21"/>
          <w:spacing w:val="-10"/>
        </w:rPr>
        <w:t>型的基于消费者利益，但实际上缺乏界定的规定</w:t>
      </w:r>
      <w:r>
        <w:rPr>
          <w:rFonts w:ascii="SimSun" w:hAnsi="SimSun" w:eastAsia="SimSun" w:cs="SimSun"/>
          <w:sz w:val="21"/>
          <w:szCs w:val="21"/>
          <w:spacing w:val="-11"/>
        </w:rPr>
        <w:t>，因为这并不是消费</w:t>
      </w:r>
      <w:r>
        <w:rPr>
          <w:rFonts w:ascii="SimSun" w:hAnsi="SimSun" w:eastAsia="SimSun" w:cs="SimSun"/>
          <w:sz w:val="21"/>
          <w:szCs w:val="21"/>
        </w:rPr>
        <w:t xml:space="preserve"> </w:t>
      </w:r>
      <w:r>
        <w:rPr>
          <w:rFonts w:ascii="SimSun" w:hAnsi="SimSun" w:eastAsia="SimSun" w:cs="SimSun"/>
          <w:sz w:val="21"/>
          <w:szCs w:val="21"/>
          <w:spacing w:val="-13"/>
        </w:rPr>
        <w:t>者权利的内涵。使用这样的“消费者权利”就会产生“对称性问题”,</w:t>
      </w:r>
      <w:r>
        <w:rPr>
          <w:rFonts w:ascii="SimSun" w:hAnsi="SimSun" w:eastAsia="SimSun" w:cs="SimSun"/>
          <w:sz w:val="21"/>
          <w:szCs w:val="21"/>
          <w:spacing w:val="18"/>
        </w:rPr>
        <w:t xml:space="preserve"> </w:t>
      </w:r>
      <w:r>
        <w:rPr>
          <w:rFonts w:ascii="SimSun" w:hAnsi="SimSun" w:eastAsia="SimSun" w:cs="SimSun"/>
          <w:sz w:val="21"/>
          <w:szCs w:val="21"/>
          <w:spacing w:val="-7"/>
        </w:rPr>
        <w:t>难道一个消费者可以在中国移动的营业厅办理中国联通的业务吗?同</w:t>
      </w:r>
      <w:r>
        <w:rPr>
          <w:rFonts w:ascii="SimSun" w:hAnsi="SimSun" w:eastAsia="SimSun" w:cs="SimSun"/>
          <w:sz w:val="21"/>
          <w:szCs w:val="21"/>
          <w:spacing w:val="12"/>
        </w:rPr>
        <w:t xml:space="preserve"> </w:t>
      </w:r>
      <w:r>
        <w:rPr>
          <w:rFonts w:ascii="SimSun" w:hAnsi="SimSun" w:eastAsia="SimSun" w:cs="SimSun"/>
          <w:sz w:val="21"/>
          <w:szCs w:val="21"/>
          <w:spacing w:val="-10"/>
        </w:rPr>
        <w:t>时，对具有网络外部性的平台，强制要求互联互通的主张，非常容易</w:t>
      </w:r>
      <w:r>
        <w:rPr>
          <w:rFonts w:ascii="SimSun" w:hAnsi="SimSun" w:eastAsia="SimSun" w:cs="SimSun"/>
          <w:sz w:val="21"/>
          <w:szCs w:val="21"/>
        </w:rPr>
        <w:t xml:space="preserve"> </w:t>
      </w:r>
      <w:r>
        <w:rPr>
          <w:rFonts w:ascii="SimSun" w:hAnsi="SimSun" w:eastAsia="SimSun" w:cs="SimSun"/>
          <w:sz w:val="21"/>
          <w:szCs w:val="21"/>
          <w:spacing w:val="-11"/>
        </w:rPr>
        <w:t>产生加剧领先者市场优势地位的后果。</w:t>
      </w:r>
    </w:p>
    <w:p>
      <w:pPr>
        <w:ind w:right="74" w:firstLine="410"/>
        <w:spacing w:before="110" w:line="290" w:lineRule="auto"/>
        <w:jc w:val="both"/>
        <w:rPr>
          <w:rFonts w:ascii="SimSun" w:hAnsi="SimSun" w:eastAsia="SimSun" w:cs="SimSun"/>
          <w:sz w:val="21"/>
          <w:szCs w:val="21"/>
        </w:rPr>
      </w:pPr>
      <w:r>
        <w:rPr>
          <w:rFonts w:ascii="SimSun" w:hAnsi="SimSun" w:eastAsia="SimSun" w:cs="SimSun"/>
          <w:sz w:val="21"/>
          <w:szCs w:val="21"/>
          <w:spacing w:val="-11"/>
        </w:rPr>
        <w:t>因此，在下一步的监管之中，应当区分经济监管和反垄断两种不</w:t>
      </w:r>
      <w:r>
        <w:rPr>
          <w:rFonts w:ascii="SimSun" w:hAnsi="SimSun" w:eastAsia="SimSun" w:cs="SimSun"/>
          <w:sz w:val="21"/>
          <w:szCs w:val="21"/>
          <w:spacing w:val="7"/>
        </w:rPr>
        <w:t xml:space="preserve"> </w:t>
      </w:r>
      <w:r>
        <w:rPr>
          <w:rFonts w:ascii="SimSun" w:hAnsi="SimSun" w:eastAsia="SimSun" w:cs="SimSun"/>
          <w:sz w:val="21"/>
          <w:szCs w:val="21"/>
          <w:spacing w:val="-11"/>
        </w:rPr>
        <w:t>同性质的市场调整方式，两者的目标、手段存在着根本性的差异，就</w:t>
      </w:r>
      <w:r>
        <w:rPr>
          <w:rFonts w:ascii="SimSun" w:hAnsi="SimSun" w:eastAsia="SimSun" w:cs="SimSun"/>
          <w:sz w:val="21"/>
          <w:szCs w:val="21"/>
          <w:spacing w:val="18"/>
        </w:rPr>
        <w:t xml:space="preserve"> </w:t>
      </w:r>
      <w:r>
        <w:rPr>
          <w:rFonts w:ascii="SimSun" w:hAnsi="SimSun" w:eastAsia="SimSun" w:cs="SimSun"/>
          <w:sz w:val="21"/>
          <w:szCs w:val="21"/>
          <w:spacing w:val="-11"/>
        </w:rPr>
        <w:t>目前中国的经济监管而言，实质上更多依赖于行政模式，主</w:t>
      </w:r>
      <w:r>
        <w:rPr>
          <w:rFonts w:ascii="SimSun" w:hAnsi="SimSun" w:eastAsia="SimSun" w:cs="SimSun"/>
          <w:sz w:val="21"/>
          <w:szCs w:val="21"/>
          <w:spacing w:val="-12"/>
        </w:rPr>
        <w:t>要是通过</w:t>
      </w:r>
      <w:r>
        <w:rPr>
          <w:rFonts w:ascii="SimSun" w:hAnsi="SimSun" w:eastAsia="SimSun" w:cs="SimSun"/>
          <w:sz w:val="21"/>
          <w:szCs w:val="21"/>
        </w:rPr>
        <w:t xml:space="preserve"> </w:t>
      </w:r>
      <w:r>
        <w:rPr>
          <w:rFonts w:ascii="SimSun" w:hAnsi="SimSun" w:eastAsia="SimSun" w:cs="SimSun"/>
          <w:sz w:val="21"/>
          <w:szCs w:val="21"/>
          <w:spacing w:val="-4"/>
        </w:rPr>
        <w:t>调控市场准入门槛来实现，尤其是自2004年《行政许可法》施行以</w:t>
      </w:r>
      <w:r>
        <w:rPr>
          <w:rFonts w:ascii="SimSun" w:hAnsi="SimSun" w:eastAsia="SimSun" w:cs="SimSun"/>
          <w:sz w:val="21"/>
          <w:szCs w:val="21"/>
          <w:spacing w:val="11"/>
        </w:rPr>
        <w:t xml:space="preserve"> </w:t>
      </w:r>
      <w:r>
        <w:rPr>
          <w:rFonts w:ascii="SimSun" w:hAnsi="SimSun" w:eastAsia="SimSun" w:cs="SimSun"/>
          <w:sz w:val="21"/>
          <w:szCs w:val="21"/>
          <w:spacing w:val="-18"/>
        </w:rPr>
        <w:t>来不断升级的“放管服”。</w:t>
      </w:r>
    </w:p>
    <w:p>
      <w:pPr>
        <w:ind w:firstLine="410"/>
        <w:spacing w:before="152" w:line="300" w:lineRule="auto"/>
        <w:jc w:val="both"/>
        <w:rPr>
          <w:rFonts w:ascii="SimSun" w:hAnsi="SimSun" w:eastAsia="SimSun" w:cs="SimSun"/>
          <w:sz w:val="21"/>
          <w:szCs w:val="21"/>
        </w:rPr>
      </w:pPr>
      <w:r>
        <w:rPr>
          <w:rFonts w:ascii="SimSun" w:hAnsi="SimSun" w:eastAsia="SimSun" w:cs="SimSun"/>
          <w:sz w:val="21"/>
          <w:szCs w:val="21"/>
          <w:spacing w:val="-11"/>
        </w:rPr>
        <w:t>不仅如此，当下以放松市场准入为主要目标的监管，也会造成实 </w:t>
      </w:r>
      <w:r>
        <w:rPr>
          <w:rFonts w:ascii="SimSun" w:hAnsi="SimSun" w:eastAsia="SimSun" w:cs="SimSun"/>
          <w:sz w:val="21"/>
          <w:szCs w:val="21"/>
          <w:spacing w:val="-10"/>
        </w:rPr>
        <w:t>际上的监管手段并不关心市场竞争状态的现象</w:t>
      </w:r>
      <w:r>
        <w:rPr>
          <w:rFonts w:ascii="SimSun" w:hAnsi="SimSun" w:eastAsia="SimSun" w:cs="SimSun"/>
          <w:sz w:val="21"/>
          <w:szCs w:val="21"/>
          <w:spacing w:val="-11"/>
        </w:rPr>
        <w:t>。而同时，在加强监管 </w:t>
      </w:r>
      <w:r>
        <w:rPr>
          <w:rFonts w:ascii="SimSun" w:hAnsi="SimSun" w:eastAsia="SimSun" w:cs="SimSun"/>
          <w:sz w:val="21"/>
          <w:szCs w:val="21"/>
          <w:spacing w:val="-13"/>
        </w:rPr>
        <w:t>的时候， 一旦市场出现了问题，则采用结果导向</w:t>
      </w:r>
      <w:r>
        <w:rPr>
          <w:rFonts w:ascii="SimSun" w:hAnsi="SimSun" w:eastAsia="SimSun" w:cs="SimSun"/>
          <w:sz w:val="21"/>
          <w:szCs w:val="21"/>
          <w:spacing w:val="-14"/>
        </w:rPr>
        <w:t>的强监管模式，这就 </w:t>
      </w:r>
      <w:r>
        <w:rPr>
          <w:rFonts w:ascii="SimSun" w:hAnsi="SimSun" w:eastAsia="SimSun" w:cs="SimSun"/>
          <w:sz w:val="21"/>
          <w:szCs w:val="21"/>
          <w:spacing w:val="-14"/>
        </w:rPr>
        <w:t>体现为对实质上的市场准入门槛的明显提高</w:t>
      </w:r>
      <w:r>
        <w:rPr>
          <w:rFonts w:ascii="SimSun" w:hAnsi="SimSun" w:eastAsia="SimSun" w:cs="SimSun"/>
          <w:sz w:val="21"/>
          <w:szCs w:val="21"/>
          <w:spacing w:val="-15"/>
        </w:rPr>
        <w:t>，导致在产业监管的同时，</w:t>
      </w:r>
      <w:r>
        <w:rPr>
          <w:rFonts w:ascii="SimSun" w:hAnsi="SimSun" w:eastAsia="SimSun" w:cs="SimSun"/>
          <w:sz w:val="21"/>
          <w:szCs w:val="21"/>
        </w:rPr>
        <w:t xml:space="preserve"> </w:t>
      </w:r>
      <w:r>
        <w:rPr>
          <w:rFonts w:ascii="SimSun" w:hAnsi="SimSun" w:eastAsia="SimSun" w:cs="SimSun"/>
          <w:sz w:val="21"/>
          <w:szCs w:val="21"/>
          <w:spacing w:val="-10"/>
        </w:rPr>
        <w:t>造成市场竞争状态的恶化。究其原因，产业监</w:t>
      </w:r>
      <w:r>
        <w:rPr>
          <w:rFonts w:ascii="SimSun" w:hAnsi="SimSun" w:eastAsia="SimSun" w:cs="SimSun"/>
          <w:sz w:val="21"/>
          <w:szCs w:val="21"/>
          <w:spacing w:val="-11"/>
        </w:rPr>
        <w:t>管并没有将市场竞争状 </w:t>
      </w:r>
      <w:r>
        <w:rPr>
          <w:rFonts w:ascii="SimSun" w:hAnsi="SimSun" w:eastAsia="SimSun" w:cs="SimSun"/>
          <w:sz w:val="21"/>
          <w:szCs w:val="21"/>
          <w:spacing w:val="-18"/>
        </w:rPr>
        <w:t>态纳入考量目标，从而容易造成“一放就乱， 一统就死”的循环。</w:t>
      </w:r>
    </w:p>
    <w:p>
      <w:pPr>
        <w:ind w:right="72" w:firstLine="410"/>
        <w:spacing w:before="99" w:line="297" w:lineRule="auto"/>
        <w:jc w:val="both"/>
        <w:rPr>
          <w:rFonts w:ascii="SimSun" w:hAnsi="SimSun" w:eastAsia="SimSun" w:cs="SimSun"/>
          <w:sz w:val="21"/>
          <w:szCs w:val="21"/>
        </w:rPr>
      </w:pPr>
      <w:r>
        <w:rPr>
          <w:rFonts w:ascii="SimSun" w:hAnsi="SimSun" w:eastAsia="SimSun" w:cs="SimSun"/>
          <w:sz w:val="21"/>
          <w:szCs w:val="21"/>
          <w:spacing w:val="-11"/>
        </w:rPr>
        <w:t>审慎合法适用行政指导，警惕用行政监管替代平台反垄断或市场</w:t>
      </w:r>
      <w:r>
        <w:rPr>
          <w:rFonts w:ascii="SimSun" w:hAnsi="SimSun" w:eastAsia="SimSun" w:cs="SimSun"/>
          <w:sz w:val="21"/>
          <w:szCs w:val="21"/>
          <w:spacing w:val="9"/>
        </w:rPr>
        <w:t xml:space="preserve"> </w:t>
      </w:r>
      <w:r>
        <w:rPr>
          <w:rFonts w:ascii="SimSun" w:hAnsi="SimSun" w:eastAsia="SimSun" w:cs="SimSun"/>
          <w:sz w:val="21"/>
          <w:szCs w:val="21"/>
          <w:spacing w:val="-10"/>
        </w:rPr>
        <w:t>竞争手段，是制度层面完善平台监管的重要内</w:t>
      </w:r>
      <w:r>
        <w:rPr>
          <w:rFonts w:ascii="SimSun" w:hAnsi="SimSun" w:eastAsia="SimSun" w:cs="SimSun"/>
          <w:sz w:val="21"/>
          <w:szCs w:val="21"/>
          <w:spacing w:val="-11"/>
        </w:rPr>
        <w:t>容。行政指导作为监管</w:t>
      </w:r>
      <w:r>
        <w:rPr>
          <w:rFonts w:ascii="SimSun" w:hAnsi="SimSun" w:eastAsia="SimSun" w:cs="SimSun"/>
          <w:sz w:val="21"/>
          <w:szCs w:val="21"/>
        </w:rPr>
        <w:t xml:space="preserve"> </w:t>
      </w:r>
      <w:r>
        <w:rPr>
          <w:rFonts w:ascii="SimSun" w:hAnsi="SimSun" w:eastAsia="SimSun" w:cs="SimSun"/>
          <w:sz w:val="21"/>
          <w:szCs w:val="21"/>
          <w:spacing w:val="-11"/>
        </w:rPr>
        <w:t>创新和软法之治的表现形式之一，对推进法律实施有一定的价</w:t>
      </w:r>
      <w:r>
        <w:rPr>
          <w:rFonts w:ascii="SimSun" w:hAnsi="SimSun" w:eastAsia="SimSun" w:cs="SimSun"/>
          <w:sz w:val="21"/>
          <w:szCs w:val="21"/>
          <w:spacing w:val="-12"/>
        </w:rPr>
        <w:t>值，但</w:t>
      </w:r>
      <w:r>
        <w:rPr>
          <w:rFonts w:ascii="SimSun" w:hAnsi="SimSun" w:eastAsia="SimSun" w:cs="SimSun"/>
          <w:sz w:val="21"/>
          <w:szCs w:val="21"/>
        </w:rPr>
        <w:t xml:space="preserve"> </w:t>
      </w:r>
      <w:r>
        <w:rPr>
          <w:rFonts w:ascii="SimSun" w:hAnsi="SimSun" w:eastAsia="SimSun" w:cs="SimSun"/>
          <w:sz w:val="21"/>
          <w:szCs w:val="21"/>
          <w:spacing w:val="-10"/>
        </w:rPr>
        <w:t>不当行政指导也危害巨大，应审慎谦抑适用</w:t>
      </w:r>
      <w:r>
        <w:rPr>
          <w:rFonts w:ascii="SimSun" w:hAnsi="SimSun" w:eastAsia="SimSun" w:cs="SimSun"/>
          <w:sz w:val="21"/>
          <w:szCs w:val="21"/>
          <w:spacing w:val="-11"/>
        </w:rPr>
        <w:t>，侧重发挥行政指导的精</w:t>
      </w:r>
      <w:r>
        <w:rPr>
          <w:rFonts w:ascii="SimSun" w:hAnsi="SimSun" w:eastAsia="SimSun" w:cs="SimSun"/>
          <w:sz w:val="21"/>
          <w:szCs w:val="21"/>
        </w:rPr>
        <w:t xml:space="preserve"> </w:t>
      </w:r>
      <w:r>
        <w:rPr>
          <w:rFonts w:ascii="SimSun" w:hAnsi="SimSun" w:eastAsia="SimSun" w:cs="SimSun"/>
          <w:sz w:val="21"/>
          <w:szCs w:val="21"/>
          <w:spacing w:val="-11"/>
        </w:rPr>
        <w:t>准性、柔韧性和服务性，降低监管部门的行政成本。对于竞争格局可</w:t>
      </w:r>
    </w:p>
    <w:p>
      <w:pPr>
        <w:spacing w:line="297" w:lineRule="auto"/>
        <w:sectPr>
          <w:headerReference w:type="default" r:id="rId487"/>
          <w:pgSz w:w="7330" w:h="12480"/>
          <w:pgMar w:top="537" w:right="504" w:bottom="400" w:left="759" w:header="375"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right="82"/>
        <w:spacing w:before="68" w:line="267" w:lineRule="auto"/>
        <w:rPr>
          <w:rFonts w:ascii="SimSun" w:hAnsi="SimSun" w:eastAsia="SimSun" w:cs="SimSun"/>
          <w:sz w:val="21"/>
          <w:szCs w:val="21"/>
        </w:rPr>
      </w:pPr>
      <w:r>
        <w:rPr>
          <w:rFonts w:ascii="SimSun" w:hAnsi="SimSun" w:eastAsia="SimSun" w:cs="SimSun"/>
          <w:sz w:val="21"/>
          <w:szCs w:val="21"/>
          <w:spacing w:val="-10"/>
        </w:rPr>
        <w:t>能产生重大影响的问题，例如互联网平台互联互</w:t>
      </w:r>
      <w:r>
        <w:rPr>
          <w:rFonts w:ascii="SimSun" w:hAnsi="SimSun" w:eastAsia="SimSun" w:cs="SimSun"/>
          <w:sz w:val="21"/>
          <w:szCs w:val="21"/>
          <w:spacing w:val="-11"/>
        </w:rPr>
        <w:t>通等，行政监管部门</w:t>
      </w:r>
      <w:r>
        <w:rPr>
          <w:rFonts w:ascii="SimSun" w:hAnsi="SimSun" w:eastAsia="SimSun" w:cs="SimSun"/>
          <w:sz w:val="21"/>
          <w:szCs w:val="21"/>
        </w:rPr>
        <w:t xml:space="preserve"> </w:t>
      </w:r>
      <w:r>
        <w:rPr>
          <w:rFonts w:ascii="SimSun" w:hAnsi="SimSun" w:eastAsia="SimSun" w:cs="SimSun"/>
          <w:sz w:val="21"/>
          <w:szCs w:val="21"/>
          <w:spacing w:val="-12"/>
        </w:rPr>
        <w:t>应当在认真调查研究之后，审慎实施。</w:t>
      </w:r>
    </w:p>
    <w:p>
      <w:pPr>
        <w:ind w:right="87" w:firstLine="410"/>
        <w:spacing w:before="110" w:line="268" w:lineRule="auto"/>
        <w:rPr>
          <w:rFonts w:ascii="SimSun" w:hAnsi="SimSun" w:eastAsia="SimSun" w:cs="SimSun"/>
          <w:sz w:val="21"/>
          <w:szCs w:val="21"/>
        </w:rPr>
      </w:pPr>
      <w:r>
        <w:rPr>
          <w:rFonts w:ascii="SimSun" w:hAnsi="SimSun" w:eastAsia="SimSun" w:cs="SimSun"/>
          <w:sz w:val="21"/>
          <w:szCs w:val="21"/>
          <w:spacing w:val="-4"/>
        </w:rPr>
        <w:t>第二，改变垄断应当依赖于经济法中的反垄断法和公共商事制</w:t>
      </w:r>
      <w:r>
        <w:rPr>
          <w:rFonts w:ascii="SimSun" w:hAnsi="SimSun" w:eastAsia="SimSun" w:cs="SimSun"/>
          <w:sz w:val="21"/>
          <w:szCs w:val="21"/>
          <w:spacing w:val="14"/>
        </w:rPr>
        <w:t xml:space="preserve"> </w:t>
      </w:r>
      <w:r>
        <w:rPr>
          <w:rFonts w:ascii="SimSun" w:hAnsi="SimSun" w:eastAsia="SimSun" w:cs="SimSun"/>
          <w:sz w:val="21"/>
          <w:szCs w:val="21"/>
          <w:spacing w:val="-12"/>
        </w:rPr>
        <w:t>度，不应当依赖于行政监管。</w:t>
      </w:r>
    </w:p>
    <w:p>
      <w:pPr>
        <w:ind w:firstLine="410"/>
        <w:spacing w:before="109" w:line="307" w:lineRule="auto"/>
        <w:rPr>
          <w:rFonts w:ascii="SimSun" w:hAnsi="SimSun" w:eastAsia="SimSun" w:cs="SimSun"/>
          <w:sz w:val="21"/>
          <w:szCs w:val="21"/>
        </w:rPr>
      </w:pPr>
      <w:r>
        <w:rPr>
          <w:rFonts w:ascii="SimSun" w:hAnsi="SimSun" w:eastAsia="SimSun" w:cs="SimSun"/>
          <w:sz w:val="21"/>
          <w:szCs w:val="21"/>
          <w:spacing w:val="-3"/>
        </w:rPr>
        <w:t>正如从前文列出的2021年以来采用的种种“强监</w:t>
      </w:r>
      <w:r>
        <w:rPr>
          <w:rFonts w:ascii="SimSun" w:hAnsi="SimSun" w:eastAsia="SimSun" w:cs="SimSun"/>
          <w:sz w:val="21"/>
          <w:szCs w:val="21"/>
          <w:spacing w:val="-4"/>
        </w:rPr>
        <w:t>管”手段可以</w:t>
      </w:r>
      <w:r>
        <w:rPr>
          <w:rFonts w:ascii="SimSun" w:hAnsi="SimSun" w:eastAsia="SimSun" w:cs="SimSun"/>
          <w:sz w:val="21"/>
          <w:szCs w:val="21"/>
        </w:rPr>
        <w:t xml:space="preserve">  </w:t>
      </w:r>
      <w:r>
        <w:rPr>
          <w:rFonts w:ascii="SimSun" w:hAnsi="SimSun" w:eastAsia="SimSun" w:cs="SimSun"/>
          <w:sz w:val="21"/>
          <w:szCs w:val="21"/>
          <w:spacing w:val="-4"/>
        </w:rPr>
        <w:t>看出，当下我国的经济监管仍然采取的是以市场准入(行政许可)为</w:t>
      </w:r>
      <w:r>
        <w:rPr>
          <w:rFonts w:ascii="SimSun" w:hAnsi="SimSun" w:eastAsia="SimSun" w:cs="SimSun"/>
          <w:sz w:val="21"/>
          <w:szCs w:val="21"/>
          <w:spacing w:val="4"/>
        </w:rPr>
        <w:t xml:space="preserve">  </w:t>
      </w:r>
      <w:r>
        <w:rPr>
          <w:rFonts w:ascii="SimSun" w:hAnsi="SimSun" w:eastAsia="SimSun" w:cs="SimSun"/>
          <w:sz w:val="21"/>
          <w:szCs w:val="21"/>
          <w:spacing w:val="-11"/>
        </w:rPr>
        <w:t>主要手段的行政监管方法，因此实际上采用的是以调整市场准入门槛</w:t>
      </w:r>
      <w:r>
        <w:rPr>
          <w:rFonts w:ascii="SimSun" w:hAnsi="SimSun" w:eastAsia="SimSun" w:cs="SimSun"/>
          <w:sz w:val="21"/>
          <w:szCs w:val="21"/>
          <w:spacing w:val="2"/>
        </w:rPr>
        <w:t xml:space="preserve">  </w:t>
      </w:r>
      <w:r>
        <w:rPr>
          <w:rFonts w:ascii="SimSun" w:hAnsi="SimSun" w:eastAsia="SimSun" w:cs="SimSun"/>
          <w:sz w:val="21"/>
          <w:szCs w:val="21"/>
          <w:spacing w:val="-11"/>
        </w:rPr>
        <w:t>的高低为中心的手段。但是调整市场准入门槛，并不能解决市场结构</w:t>
      </w:r>
      <w:r>
        <w:rPr>
          <w:rFonts w:ascii="SimSun" w:hAnsi="SimSun" w:eastAsia="SimSun" w:cs="SimSun"/>
          <w:sz w:val="21"/>
          <w:szCs w:val="21"/>
          <w:spacing w:val="6"/>
        </w:rPr>
        <w:t xml:space="preserve">  </w:t>
      </w:r>
      <w:r>
        <w:rPr>
          <w:rFonts w:ascii="SimSun" w:hAnsi="SimSun" w:eastAsia="SimSun" w:cs="SimSun"/>
          <w:sz w:val="21"/>
          <w:szCs w:val="21"/>
          <w:spacing w:val="-10"/>
        </w:rPr>
        <w:t>问题，因此实际上采用的监管政策、规则、制度</w:t>
      </w:r>
      <w:r>
        <w:rPr>
          <w:rFonts w:ascii="SimSun" w:hAnsi="SimSun" w:eastAsia="SimSun" w:cs="SimSun"/>
          <w:sz w:val="21"/>
          <w:szCs w:val="21"/>
          <w:spacing w:val="-11"/>
        </w:rPr>
        <w:t>方法都是行政法性质</w:t>
      </w:r>
      <w:r>
        <w:rPr>
          <w:rFonts w:ascii="SimSun" w:hAnsi="SimSun" w:eastAsia="SimSun" w:cs="SimSun"/>
          <w:sz w:val="21"/>
          <w:szCs w:val="21"/>
        </w:rPr>
        <w:t xml:space="preserve"> </w:t>
      </w:r>
      <w:r>
        <w:rPr>
          <w:rFonts w:ascii="SimSun" w:hAnsi="SimSun" w:eastAsia="SimSun" w:cs="SimSun"/>
          <w:sz w:val="21"/>
          <w:szCs w:val="21"/>
          <w:spacing w:val="-11"/>
        </w:rPr>
        <w:t>的。从对市场准入、行为和退出的行政监管角度也能够看出，我国的</w:t>
      </w:r>
      <w:r>
        <w:rPr>
          <w:rFonts w:ascii="SimSun" w:hAnsi="SimSun" w:eastAsia="SimSun" w:cs="SimSun"/>
          <w:sz w:val="21"/>
          <w:szCs w:val="21"/>
          <w:spacing w:val="7"/>
        </w:rPr>
        <w:t xml:space="preserve">  </w:t>
      </w:r>
      <w:r>
        <w:rPr>
          <w:rFonts w:ascii="SimSun" w:hAnsi="SimSun" w:eastAsia="SimSun" w:cs="SimSun"/>
          <w:sz w:val="21"/>
          <w:szCs w:val="21"/>
          <w:spacing w:val="-8"/>
        </w:rPr>
        <w:t>行政监管仅仅着力于市场准入，而在强监管年增加了诸</w:t>
      </w:r>
      <w:r>
        <w:rPr>
          <w:rFonts w:ascii="SimSun" w:hAnsi="SimSun" w:eastAsia="SimSun" w:cs="SimSun"/>
          <w:sz w:val="21"/>
          <w:szCs w:val="21"/>
          <w:spacing w:val="-9"/>
        </w:rPr>
        <w:t>多行为监管，</w:t>
      </w:r>
      <w:r>
        <w:rPr>
          <w:rFonts w:ascii="SimSun" w:hAnsi="SimSun" w:eastAsia="SimSun" w:cs="SimSun"/>
          <w:sz w:val="21"/>
          <w:szCs w:val="21"/>
        </w:rPr>
        <w:t xml:space="preserve"> </w:t>
      </w:r>
      <w:r>
        <w:rPr>
          <w:rFonts w:ascii="SimSun" w:hAnsi="SimSun" w:eastAsia="SimSun" w:cs="SimSun"/>
          <w:sz w:val="21"/>
          <w:szCs w:val="21"/>
          <w:spacing w:val="-8"/>
        </w:rPr>
        <w:t>从而在某种程度上对企业、平台构成了“猝不及防”的运动式监管，</w:t>
      </w:r>
      <w:r>
        <w:rPr>
          <w:rFonts w:ascii="SimSun" w:hAnsi="SimSun" w:eastAsia="SimSun" w:cs="SimSun"/>
          <w:sz w:val="21"/>
          <w:szCs w:val="21"/>
          <w:spacing w:val="13"/>
        </w:rPr>
        <w:t xml:space="preserve"> </w:t>
      </w:r>
      <w:r>
        <w:rPr>
          <w:rFonts w:ascii="SimSun" w:hAnsi="SimSun" w:eastAsia="SimSun" w:cs="SimSun"/>
          <w:sz w:val="21"/>
          <w:szCs w:val="21"/>
          <w:spacing w:val="-4"/>
        </w:rPr>
        <w:t>而同时，对于退出则缺乏相应的规则和制度。因此，即便是行政监</w:t>
      </w:r>
      <w:r>
        <w:rPr>
          <w:rFonts w:ascii="SimSun" w:hAnsi="SimSun" w:eastAsia="SimSun" w:cs="SimSun"/>
          <w:sz w:val="21"/>
          <w:szCs w:val="21"/>
          <w:spacing w:val="1"/>
        </w:rPr>
        <w:t xml:space="preserve">  </w:t>
      </w:r>
      <w:r>
        <w:rPr>
          <w:rFonts w:ascii="SimSun" w:hAnsi="SimSun" w:eastAsia="SimSun" w:cs="SimSun"/>
          <w:sz w:val="21"/>
          <w:szCs w:val="21"/>
          <w:spacing w:val="-11"/>
        </w:rPr>
        <w:t>管，也是非常不完善的，更不用说经济监管了。</w:t>
      </w:r>
    </w:p>
    <w:p>
      <w:pPr>
        <w:ind w:firstLine="410"/>
        <w:spacing w:before="107" w:line="306" w:lineRule="auto"/>
        <w:rPr>
          <w:rFonts w:ascii="SimSun" w:hAnsi="SimSun" w:eastAsia="SimSun" w:cs="SimSun"/>
          <w:sz w:val="21"/>
          <w:szCs w:val="21"/>
        </w:rPr>
      </w:pPr>
      <w:r>
        <w:rPr>
          <w:rFonts w:ascii="SimSun" w:hAnsi="SimSun" w:eastAsia="SimSun" w:cs="SimSun"/>
          <w:sz w:val="21"/>
          <w:szCs w:val="21"/>
          <w:spacing w:val="-15"/>
        </w:rPr>
        <w:t>一些经济学理论认为，简单地提高或者降低市场准入或退出门槛，</w:t>
      </w:r>
      <w:r>
        <w:rPr>
          <w:rFonts w:ascii="SimSun" w:hAnsi="SimSun" w:eastAsia="SimSun" w:cs="SimSun"/>
          <w:sz w:val="21"/>
          <w:szCs w:val="21"/>
          <w:spacing w:val="8"/>
        </w:rPr>
        <w:t xml:space="preserve"> </w:t>
      </w:r>
      <w:r>
        <w:rPr>
          <w:rFonts w:ascii="SimSun" w:hAnsi="SimSun" w:eastAsia="SimSun" w:cs="SimSun"/>
          <w:sz w:val="21"/>
          <w:szCs w:val="21"/>
          <w:spacing w:val="-11"/>
        </w:rPr>
        <w:t>虽然会对垄断的形成产生一定影响，但这种影响尚待研究，并且属于</w:t>
      </w:r>
      <w:r>
        <w:rPr>
          <w:rFonts w:ascii="SimSun" w:hAnsi="SimSun" w:eastAsia="SimSun" w:cs="SimSun"/>
          <w:sz w:val="21"/>
          <w:szCs w:val="21"/>
          <w:spacing w:val="5"/>
        </w:rPr>
        <w:t xml:space="preserve">  </w:t>
      </w:r>
      <w:r>
        <w:rPr>
          <w:rFonts w:ascii="SimSun" w:hAnsi="SimSun" w:eastAsia="SimSun" w:cs="SimSun"/>
          <w:sz w:val="21"/>
          <w:szCs w:val="21"/>
          <w:spacing w:val="-14"/>
        </w:rPr>
        <w:t>长期效应。 一般提高或者降低门槛并不能有效解决市场结构问题，因</w:t>
      </w:r>
      <w:r>
        <w:rPr>
          <w:rFonts w:ascii="SimSun" w:hAnsi="SimSun" w:eastAsia="SimSun" w:cs="SimSun"/>
          <w:sz w:val="21"/>
          <w:szCs w:val="21"/>
          <w:spacing w:val="18"/>
        </w:rPr>
        <w:t xml:space="preserve"> </w:t>
      </w:r>
      <w:r>
        <w:rPr>
          <w:rFonts w:ascii="SimSun" w:hAnsi="SimSun" w:eastAsia="SimSun" w:cs="SimSun"/>
          <w:sz w:val="21"/>
          <w:szCs w:val="21"/>
          <w:spacing w:val="-11"/>
        </w:rPr>
        <w:t>此，解决垄断问题并不能直接依赖于目前以行政监管为主的手段。在</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10"/>
        </w:rPr>
        <w:t>202</w:t>
      </w:r>
      <w:r>
        <w:rPr>
          <w:rFonts w:ascii="SimSun" w:hAnsi="SimSun" w:eastAsia="SimSun" w:cs="SimSun"/>
          <w:sz w:val="21"/>
          <w:szCs w:val="21"/>
          <w:spacing w:val="-10"/>
        </w:rPr>
        <w:t>1年针对大型金融科技平台的监管中，比如第三方支付领域，事实</w:t>
      </w:r>
      <w:r>
        <w:rPr>
          <w:rFonts w:ascii="SimSun" w:hAnsi="SimSun" w:eastAsia="SimSun" w:cs="SimSun"/>
          <w:sz w:val="21"/>
          <w:szCs w:val="21"/>
        </w:rPr>
        <w:t xml:space="preserve">  </w:t>
      </w:r>
      <w:r>
        <w:rPr>
          <w:rFonts w:ascii="SimSun" w:hAnsi="SimSun" w:eastAsia="SimSun" w:cs="SimSun"/>
          <w:sz w:val="21"/>
          <w:szCs w:val="21"/>
          <w:spacing w:val="-12"/>
        </w:rPr>
        <w:t>上原来的监管部门中国人民银行已经在这个领域颁发了300多个牌照，</w:t>
      </w:r>
      <w:r>
        <w:rPr>
          <w:rFonts w:ascii="SimSun" w:hAnsi="SimSun" w:eastAsia="SimSun" w:cs="SimSun"/>
          <w:sz w:val="21"/>
          <w:szCs w:val="21"/>
          <w:spacing w:val="13"/>
        </w:rPr>
        <w:t xml:space="preserve"> </w:t>
      </w:r>
      <w:r>
        <w:rPr>
          <w:rFonts w:ascii="SimSun" w:hAnsi="SimSun" w:eastAsia="SimSun" w:cs="SimSun"/>
          <w:sz w:val="21"/>
          <w:szCs w:val="21"/>
          <w:spacing w:val="-11"/>
        </w:rPr>
        <w:t>为了市场竞争的目标也已经采用了非常低的门槛，但是由于大型科技</w:t>
      </w:r>
      <w:r>
        <w:rPr>
          <w:rFonts w:ascii="SimSun" w:hAnsi="SimSun" w:eastAsia="SimSun" w:cs="SimSun"/>
          <w:sz w:val="21"/>
          <w:szCs w:val="21"/>
          <w:spacing w:val="3"/>
        </w:rPr>
        <w:t xml:space="preserve">  </w:t>
      </w:r>
      <w:r>
        <w:rPr>
          <w:rFonts w:ascii="SimSun" w:hAnsi="SimSun" w:eastAsia="SimSun" w:cs="SimSun"/>
          <w:sz w:val="21"/>
          <w:szCs w:val="21"/>
          <w:spacing w:val="-11"/>
        </w:rPr>
        <w:t>企业平台网络外部性的存在，实际上并没有形成数百家企业相互竞争</w:t>
      </w:r>
      <w:r>
        <w:rPr>
          <w:rFonts w:ascii="SimSun" w:hAnsi="SimSun" w:eastAsia="SimSun" w:cs="SimSun"/>
          <w:sz w:val="21"/>
          <w:szCs w:val="21"/>
          <w:spacing w:val="3"/>
        </w:rPr>
        <w:t xml:space="preserve">  </w:t>
      </w:r>
      <w:r>
        <w:rPr>
          <w:rFonts w:ascii="SimSun" w:hAnsi="SimSun" w:eastAsia="SimSun" w:cs="SimSun"/>
          <w:sz w:val="21"/>
          <w:szCs w:val="21"/>
          <w:spacing w:val="-15"/>
        </w:rPr>
        <w:t>的局面。这种情况凸显了通过行政监管调整市场结构的局限性。</w:t>
      </w:r>
    </w:p>
    <w:p>
      <w:pPr>
        <w:ind w:firstLine="410"/>
        <w:spacing w:before="109" w:line="284" w:lineRule="auto"/>
        <w:rPr>
          <w:rFonts w:ascii="SimSun" w:hAnsi="SimSun" w:eastAsia="SimSun" w:cs="SimSun"/>
          <w:sz w:val="21"/>
          <w:szCs w:val="21"/>
        </w:rPr>
      </w:pPr>
      <w:r>
        <w:rPr>
          <w:rFonts w:ascii="SimSun" w:hAnsi="SimSun" w:eastAsia="SimSun" w:cs="SimSun"/>
          <w:sz w:val="21"/>
          <w:szCs w:val="21"/>
          <w:spacing w:val="-8"/>
        </w:rPr>
        <w:t>因此，在现有的监管框架下，行政监管应当侧重于对公司行为、</w:t>
      </w:r>
      <w:r>
        <w:rPr>
          <w:rFonts w:ascii="SimSun" w:hAnsi="SimSun" w:eastAsia="SimSun" w:cs="SimSun"/>
          <w:sz w:val="21"/>
          <w:szCs w:val="21"/>
          <w:spacing w:val="7"/>
        </w:rPr>
        <w:t xml:space="preserve"> </w:t>
      </w:r>
      <w:r>
        <w:rPr>
          <w:rFonts w:ascii="SimSun" w:hAnsi="SimSun" w:eastAsia="SimSun" w:cs="SimSun"/>
          <w:sz w:val="21"/>
          <w:szCs w:val="21"/>
          <w:spacing w:val="-14"/>
        </w:rPr>
        <w:t>企业行为的关注，引导和设定“红绿灯”,在日常监管之中通过公司合</w:t>
      </w:r>
      <w:r>
        <w:rPr>
          <w:rFonts w:ascii="SimSun" w:hAnsi="SimSun" w:eastAsia="SimSun" w:cs="SimSun"/>
          <w:sz w:val="21"/>
          <w:szCs w:val="21"/>
          <w:spacing w:val="3"/>
        </w:rPr>
        <w:t xml:space="preserve">  </w:t>
      </w:r>
      <w:r>
        <w:rPr>
          <w:rFonts w:ascii="SimSun" w:hAnsi="SimSun" w:eastAsia="SimSun" w:cs="SimSun"/>
          <w:sz w:val="21"/>
          <w:szCs w:val="21"/>
          <w:spacing w:val="-14"/>
        </w:rPr>
        <w:t>规等方式引导企业行为，着力于防止资本无序扩张，而不是反垄</w:t>
      </w:r>
      <w:r>
        <w:rPr>
          <w:rFonts w:ascii="SimSun" w:hAnsi="SimSun" w:eastAsia="SimSun" w:cs="SimSun"/>
          <w:sz w:val="21"/>
          <w:szCs w:val="21"/>
          <w:spacing w:val="-15"/>
        </w:rPr>
        <w:t>断。</w:t>
      </w:r>
    </w:p>
    <w:p>
      <w:pPr>
        <w:ind w:left="410"/>
        <w:spacing w:before="112" w:line="219" w:lineRule="auto"/>
        <w:rPr>
          <w:rFonts w:ascii="SimSun" w:hAnsi="SimSun" w:eastAsia="SimSun" w:cs="SimSun"/>
          <w:sz w:val="21"/>
          <w:szCs w:val="21"/>
        </w:rPr>
      </w:pPr>
      <w:r>
        <w:rPr>
          <w:rFonts w:ascii="SimSun" w:hAnsi="SimSun" w:eastAsia="SimSun" w:cs="SimSun"/>
          <w:sz w:val="21"/>
          <w:szCs w:val="21"/>
          <w:spacing w:val="-10"/>
        </w:rPr>
        <w:t>实际上，要真正改变市场结构，应当着力于破除长期存在的中小</w:t>
      </w:r>
    </w:p>
    <w:p>
      <w:pPr>
        <w:spacing w:line="219" w:lineRule="auto"/>
        <w:sectPr>
          <w:headerReference w:type="default" r:id="rId488"/>
          <w:pgSz w:w="7330" w:h="12480"/>
          <w:pgMar w:top="835" w:right="685" w:bottom="400" w:left="569" w:header="673"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04" w:right="89"/>
        <w:spacing w:before="68" w:line="284" w:lineRule="auto"/>
        <w:jc w:val="both"/>
        <w:rPr>
          <w:rFonts w:ascii="SimSun" w:hAnsi="SimSun" w:eastAsia="SimSun" w:cs="SimSun"/>
          <w:sz w:val="21"/>
          <w:szCs w:val="21"/>
        </w:rPr>
      </w:pPr>
      <w:r>
        <w:rPr>
          <w:rFonts w:ascii="SimSun" w:hAnsi="SimSun" w:eastAsia="SimSun" w:cs="SimSun"/>
          <w:sz w:val="21"/>
          <w:szCs w:val="21"/>
          <w:spacing w:val="-11"/>
        </w:rPr>
        <w:t>企业成长难、融资难问题，帮助科技创新和独角兽企业的成长。要做</w:t>
      </w:r>
      <w:r>
        <w:rPr>
          <w:rFonts w:ascii="SimSun" w:hAnsi="SimSun" w:eastAsia="SimSun" w:cs="SimSun"/>
          <w:sz w:val="21"/>
          <w:szCs w:val="21"/>
        </w:rPr>
        <w:t xml:space="preserve"> </w:t>
      </w:r>
      <w:r>
        <w:rPr>
          <w:rFonts w:ascii="SimSun" w:hAnsi="SimSun" w:eastAsia="SimSun" w:cs="SimSun"/>
          <w:sz w:val="21"/>
          <w:szCs w:val="21"/>
          <w:spacing w:val="-9"/>
        </w:rPr>
        <w:t>到这一点，实际上应当更多地借助于政府扶持</w:t>
      </w:r>
      <w:r>
        <w:rPr>
          <w:rFonts w:ascii="SimSun" w:hAnsi="SimSun" w:eastAsia="SimSun" w:cs="SimSun"/>
          <w:sz w:val="21"/>
          <w:szCs w:val="21"/>
          <w:spacing w:val="-10"/>
        </w:rPr>
        <w:t>、补贴、</w:t>
      </w:r>
      <w:r>
        <w:rPr>
          <w:rFonts w:ascii="Times New Roman" w:hAnsi="Times New Roman" w:eastAsia="Times New Roman" w:cs="Times New Roman"/>
          <w:sz w:val="21"/>
          <w:szCs w:val="21"/>
          <w:spacing w:val="-10"/>
        </w:rPr>
        <w:t>PPP</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0"/>
        </w:rPr>
        <w:t>项目、种</w:t>
      </w:r>
      <w:r>
        <w:rPr>
          <w:rFonts w:ascii="SimSun" w:hAnsi="SimSun" w:eastAsia="SimSun" w:cs="SimSun"/>
          <w:sz w:val="21"/>
          <w:szCs w:val="21"/>
        </w:rPr>
        <w:t xml:space="preserve"> </w:t>
      </w:r>
      <w:r>
        <w:rPr>
          <w:rFonts w:ascii="SimSun" w:hAnsi="SimSun" w:eastAsia="SimSun" w:cs="SimSun"/>
          <w:sz w:val="21"/>
          <w:szCs w:val="21"/>
          <w:spacing w:val="-12"/>
        </w:rPr>
        <w:t>子基金等公共商事活动的推进。</w:t>
      </w:r>
    </w:p>
    <w:p>
      <w:pPr>
        <w:ind w:left="104" w:right="40" w:firstLine="430"/>
        <w:spacing w:before="113" w:line="302" w:lineRule="auto"/>
        <w:jc w:val="both"/>
        <w:rPr>
          <w:rFonts w:ascii="SimSun" w:hAnsi="SimSun" w:eastAsia="SimSun" w:cs="SimSun"/>
          <w:sz w:val="21"/>
          <w:szCs w:val="21"/>
        </w:rPr>
      </w:pPr>
      <w:r>
        <w:rPr>
          <w:rFonts w:ascii="SimSun" w:hAnsi="SimSun" w:eastAsia="SimSun" w:cs="SimSun"/>
          <w:sz w:val="21"/>
          <w:szCs w:val="21"/>
          <w:spacing w:val="-3"/>
        </w:rPr>
        <w:t>第三，应当在更高的制度层面解决反垄断和经济监管的关系问</w:t>
      </w:r>
      <w:r>
        <w:rPr>
          <w:rFonts w:ascii="SimSun" w:hAnsi="SimSun" w:eastAsia="SimSun" w:cs="SimSun"/>
          <w:sz w:val="21"/>
          <w:szCs w:val="21"/>
          <w:spacing w:val="4"/>
        </w:rPr>
        <w:t xml:space="preserve"> </w:t>
      </w:r>
      <w:r>
        <w:rPr>
          <w:rFonts w:ascii="SimSun" w:hAnsi="SimSun" w:eastAsia="SimSun" w:cs="SimSun"/>
          <w:sz w:val="21"/>
          <w:szCs w:val="21"/>
          <w:spacing w:val="-13"/>
        </w:rPr>
        <w:t>题。大型科技平台一方面作为一种经营主体， 一方面作为一种新的市</w:t>
      </w:r>
      <w:r>
        <w:rPr>
          <w:rFonts w:ascii="SimSun" w:hAnsi="SimSun" w:eastAsia="SimSun" w:cs="SimSun"/>
          <w:sz w:val="21"/>
          <w:szCs w:val="21"/>
          <w:spacing w:val="8"/>
        </w:rPr>
        <w:t xml:space="preserve"> </w:t>
      </w:r>
      <w:r>
        <w:rPr>
          <w:rFonts w:ascii="SimSun" w:hAnsi="SimSun" w:eastAsia="SimSun" w:cs="SimSun"/>
          <w:sz w:val="21"/>
          <w:szCs w:val="21"/>
          <w:spacing w:val="-11"/>
        </w:rPr>
        <w:t>场出现，还突破了原有的以产业链划分的监管体系，甚至随</w:t>
      </w:r>
      <w:r>
        <w:rPr>
          <w:rFonts w:ascii="SimSun" w:hAnsi="SimSun" w:eastAsia="SimSun" w:cs="SimSun"/>
          <w:sz w:val="21"/>
          <w:szCs w:val="21"/>
          <w:spacing w:val="-12"/>
        </w:rPr>
        <w:t>着企业集</w:t>
      </w:r>
      <w:r>
        <w:rPr>
          <w:rFonts w:ascii="SimSun" w:hAnsi="SimSun" w:eastAsia="SimSun" w:cs="SimSun"/>
          <w:sz w:val="21"/>
          <w:szCs w:val="21"/>
        </w:rPr>
        <w:t xml:space="preserve"> </w:t>
      </w:r>
      <w:r>
        <w:rPr>
          <w:rFonts w:ascii="SimSun" w:hAnsi="SimSun" w:eastAsia="SimSun" w:cs="SimSun"/>
          <w:sz w:val="21"/>
          <w:szCs w:val="21"/>
          <w:spacing w:val="-11"/>
        </w:rPr>
        <w:t>团的中国特色的凸显，形成了集金融、证券、保险、产业等为一体的</w:t>
      </w:r>
      <w:r>
        <w:rPr>
          <w:rFonts w:ascii="SimSun" w:hAnsi="SimSun" w:eastAsia="SimSun" w:cs="SimSun"/>
          <w:sz w:val="21"/>
          <w:szCs w:val="21"/>
          <w:spacing w:val="4"/>
        </w:rPr>
        <w:t xml:space="preserve"> </w:t>
      </w:r>
      <w:r>
        <w:rPr>
          <w:rFonts w:ascii="SimSun" w:hAnsi="SimSun" w:eastAsia="SimSun" w:cs="SimSun"/>
          <w:sz w:val="21"/>
          <w:szCs w:val="21"/>
          <w:spacing w:val="-4"/>
        </w:rPr>
        <w:t>组织。如何突破从19世纪60年代开始确立的反垄断和监管模式的分</w:t>
      </w:r>
      <w:r>
        <w:rPr>
          <w:rFonts w:ascii="SimSun" w:hAnsi="SimSun" w:eastAsia="SimSun" w:cs="SimSun"/>
          <w:sz w:val="21"/>
          <w:szCs w:val="21"/>
          <w:spacing w:val="1"/>
        </w:rPr>
        <w:t xml:space="preserve"> </w:t>
      </w:r>
      <w:r>
        <w:rPr>
          <w:rFonts w:ascii="SimSun" w:hAnsi="SimSun" w:eastAsia="SimSun" w:cs="SimSun"/>
          <w:sz w:val="21"/>
          <w:szCs w:val="21"/>
          <w:spacing w:val="-10"/>
        </w:rPr>
        <w:t>工，成为一个各国均需要面对的问题。这一</w:t>
      </w:r>
      <w:r>
        <w:rPr>
          <w:rFonts w:ascii="SimSun" w:hAnsi="SimSun" w:eastAsia="SimSun" w:cs="SimSun"/>
          <w:sz w:val="21"/>
          <w:szCs w:val="21"/>
          <w:spacing w:val="-11"/>
        </w:rPr>
        <w:t>问题是世界性的，也仍然</w:t>
      </w:r>
      <w:r>
        <w:rPr>
          <w:rFonts w:ascii="SimSun" w:hAnsi="SimSun" w:eastAsia="SimSun" w:cs="SimSun"/>
          <w:sz w:val="21"/>
          <w:szCs w:val="21"/>
        </w:rPr>
        <w:t xml:space="preserve"> </w:t>
      </w:r>
      <w:r>
        <w:rPr>
          <w:rFonts w:ascii="SimSun" w:hAnsi="SimSun" w:eastAsia="SimSun" w:cs="SimSun"/>
          <w:sz w:val="21"/>
          <w:szCs w:val="21"/>
          <w:spacing w:val="-11"/>
        </w:rPr>
        <w:t>在不断地演化。对于我国而言，应当深入研究和思考这一命题。</w:t>
      </w:r>
    </w:p>
    <w:p>
      <w:pPr>
        <w:ind w:left="104" w:firstLine="430"/>
        <w:spacing w:before="112" w:line="297" w:lineRule="auto"/>
        <w:jc w:val="both"/>
        <w:rPr>
          <w:rFonts w:ascii="SimSun" w:hAnsi="SimSun" w:eastAsia="SimSun" w:cs="SimSun"/>
          <w:sz w:val="21"/>
          <w:szCs w:val="21"/>
        </w:rPr>
      </w:pPr>
      <w:r>
        <w:rPr>
          <w:rFonts w:ascii="SimSun" w:hAnsi="SimSun" w:eastAsia="SimSun" w:cs="SimSun"/>
          <w:sz w:val="21"/>
          <w:szCs w:val="21"/>
          <w:spacing w:val="-12"/>
        </w:rPr>
        <w:t>第四，在现有制度框架下防止大型科技平台企业对传统市场竞争 </w:t>
      </w:r>
      <w:r>
        <w:rPr>
          <w:rFonts w:ascii="SimSun" w:hAnsi="SimSun" w:eastAsia="SimSun" w:cs="SimSun"/>
          <w:sz w:val="21"/>
          <w:szCs w:val="21"/>
          <w:spacing w:val="-11"/>
        </w:rPr>
        <w:t>的影响，以及在当下各地各部门出现“监管竞争”、相互比拼</w:t>
      </w:r>
      <w:r>
        <w:rPr>
          <w:rFonts w:ascii="SimSun" w:hAnsi="SimSun" w:eastAsia="SimSun" w:cs="SimSun"/>
          <w:sz w:val="21"/>
          <w:szCs w:val="21"/>
          <w:spacing w:val="-12"/>
        </w:rPr>
        <w:t>加码监</w:t>
      </w:r>
      <w:r>
        <w:rPr>
          <w:rFonts w:ascii="SimSun" w:hAnsi="SimSun" w:eastAsia="SimSun" w:cs="SimSun"/>
          <w:sz w:val="21"/>
          <w:szCs w:val="21"/>
        </w:rPr>
        <w:t xml:space="preserve">  </w:t>
      </w:r>
      <w:r>
        <w:rPr>
          <w:rFonts w:ascii="SimSun" w:hAnsi="SimSun" w:eastAsia="SimSun" w:cs="SimSun"/>
          <w:sz w:val="21"/>
          <w:szCs w:val="21"/>
          <w:spacing w:val="-8"/>
        </w:rPr>
        <w:t>管的背景下，应强化竞争政策的基础地位，落实公平竞争审查制度。</w:t>
      </w:r>
      <w:r>
        <w:rPr>
          <w:rFonts w:ascii="SimSun" w:hAnsi="SimSun" w:eastAsia="SimSun" w:cs="SimSun"/>
          <w:sz w:val="21"/>
          <w:szCs w:val="21"/>
          <w:spacing w:val="4"/>
        </w:rPr>
        <w:t xml:space="preserve"> </w:t>
      </w:r>
      <w:r>
        <w:rPr>
          <w:rFonts w:ascii="SimSun" w:hAnsi="SimSun" w:eastAsia="SimSun" w:cs="SimSun"/>
          <w:sz w:val="21"/>
          <w:szCs w:val="21"/>
          <w:spacing w:val="-11"/>
        </w:rPr>
        <w:t>未来还可以进一步将营商环境评估纳入整体的反垄断框架，以</w:t>
      </w:r>
      <w:r>
        <w:rPr>
          <w:rFonts w:ascii="SimSun" w:hAnsi="SimSun" w:eastAsia="SimSun" w:cs="SimSun"/>
          <w:sz w:val="21"/>
          <w:szCs w:val="21"/>
          <w:spacing w:val="-12"/>
        </w:rPr>
        <w:t>形成对</w:t>
      </w:r>
      <w:r>
        <w:rPr>
          <w:rFonts w:ascii="SimSun" w:hAnsi="SimSun" w:eastAsia="SimSun" w:cs="SimSun"/>
          <w:sz w:val="21"/>
          <w:szCs w:val="21"/>
        </w:rPr>
        <w:t xml:space="preserve">  </w:t>
      </w:r>
      <w:r>
        <w:rPr>
          <w:rFonts w:ascii="SimSun" w:hAnsi="SimSun" w:eastAsia="SimSun" w:cs="SimSun"/>
          <w:sz w:val="21"/>
          <w:szCs w:val="21"/>
          <w:spacing w:val="-11"/>
        </w:rPr>
        <w:t>不计效果的不当行政监管的制约。</w:t>
      </w:r>
    </w:p>
    <w:p>
      <w:pPr>
        <w:ind w:right="44" w:firstLine="535"/>
        <w:spacing w:before="95" w:line="308" w:lineRule="auto"/>
        <w:jc w:val="both"/>
        <w:rPr>
          <w:rFonts w:ascii="SimSun" w:hAnsi="SimSun" w:eastAsia="SimSun" w:cs="SimSun"/>
          <w:sz w:val="21"/>
          <w:szCs w:val="21"/>
        </w:rPr>
      </w:pPr>
      <w:r>
        <w:rPr>
          <w:rFonts w:ascii="SimSun" w:hAnsi="SimSun" w:eastAsia="SimSun" w:cs="SimSun"/>
          <w:sz w:val="21"/>
          <w:szCs w:val="21"/>
          <w:spacing w:val="-11"/>
        </w:rPr>
        <w:t>公平竞争审查是指政策制定机关在制定市场准入、产业发展、招</w:t>
      </w:r>
      <w:r>
        <w:rPr>
          <w:rFonts w:ascii="SimSun" w:hAnsi="SimSun" w:eastAsia="SimSun" w:cs="SimSun"/>
          <w:sz w:val="21"/>
          <w:szCs w:val="21"/>
          <w:spacing w:val="13"/>
        </w:rPr>
        <w:t xml:space="preserve"> </w:t>
      </w:r>
      <w:r>
        <w:rPr>
          <w:rFonts w:ascii="SimSun" w:hAnsi="SimSun" w:eastAsia="SimSun" w:cs="SimSun"/>
          <w:sz w:val="21"/>
          <w:szCs w:val="21"/>
          <w:spacing w:val="-7"/>
        </w:rPr>
        <w:t>商引资、政府采购等涉及市场主体经济活动的政策措施时，评估该政</w:t>
      </w:r>
      <w:r>
        <w:rPr>
          <w:rFonts w:ascii="SimSun" w:hAnsi="SimSun" w:eastAsia="SimSun" w:cs="SimSun"/>
          <w:sz w:val="21"/>
          <w:szCs w:val="21"/>
          <w:spacing w:val="2"/>
        </w:rPr>
        <w:t xml:space="preserve"> </w:t>
      </w:r>
      <w:r>
        <w:rPr>
          <w:rFonts w:ascii="SimSun" w:hAnsi="SimSun" w:eastAsia="SimSun" w:cs="SimSun"/>
          <w:sz w:val="21"/>
          <w:szCs w:val="21"/>
          <w:spacing w:val="-7"/>
        </w:rPr>
        <w:t>策措施对市场竞争的影响，防止排除、限制</w:t>
      </w:r>
      <w:r>
        <w:rPr>
          <w:rFonts w:ascii="SimSun" w:hAnsi="SimSun" w:eastAsia="SimSun" w:cs="SimSun"/>
          <w:sz w:val="21"/>
          <w:szCs w:val="21"/>
          <w:spacing w:val="-8"/>
        </w:rPr>
        <w:t>市场竞争。现在正修订的</w:t>
      </w:r>
      <w:r>
        <w:rPr>
          <w:rFonts w:ascii="SimSun" w:hAnsi="SimSun" w:eastAsia="SimSun" w:cs="SimSun"/>
          <w:sz w:val="21"/>
          <w:szCs w:val="21"/>
        </w:rPr>
        <w:t xml:space="preserve"> </w:t>
      </w:r>
      <w:r>
        <w:rPr>
          <w:rFonts w:ascii="SimSun" w:hAnsi="SimSun" w:eastAsia="SimSun" w:cs="SimSun"/>
          <w:sz w:val="21"/>
          <w:szCs w:val="21"/>
          <w:spacing w:val="-2"/>
        </w:rPr>
        <w:t>《反垄断法》,将公平竞争审查纳入其中。</w:t>
      </w:r>
      <w:r>
        <w:rPr>
          <w:rFonts w:ascii="SimSun" w:hAnsi="SimSun" w:eastAsia="SimSun" w:cs="SimSun"/>
          <w:sz w:val="21"/>
          <w:szCs w:val="21"/>
          <w:spacing w:val="-3"/>
        </w:rPr>
        <w:t>这就意味着，虽然我国在</w:t>
      </w:r>
      <w:r>
        <w:rPr>
          <w:rFonts w:ascii="SimSun" w:hAnsi="SimSun" w:eastAsia="SimSun" w:cs="SimSun"/>
          <w:sz w:val="21"/>
          <w:szCs w:val="21"/>
        </w:rPr>
        <w:t xml:space="preserve"> </w:t>
      </w:r>
      <w:r>
        <w:rPr>
          <w:rFonts w:ascii="SimSun" w:hAnsi="SimSun" w:eastAsia="SimSun" w:cs="SimSun"/>
          <w:sz w:val="21"/>
          <w:szCs w:val="21"/>
          <w:spacing w:val="-8"/>
        </w:rPr>
        <w:t>理论上并未解决反垄断和经济监管的管辖权问题，在制度层面也没有</w:t>
      </w:r>
      <w:r>
        <w:rPr>
          <w:rFonts w:ascii="SimSun" w:hAnsi="SimSun" w:eastAsia="SimSun" w:cs="SimSun"/>
          <w:sz w:val="21"/>
          <w:szCs w:val="21"/>
          <w:spacing w:val="14"/>
        </w:rPr>
        <w:t xml:space="preserve"> </w:t>
      </w:r>
      <w:r>
        <w:rPr>
          <w:rFonts w:ascii="SimSun" w:hAnsi="SimSun" w:eastAsia="SimSun" w:cs="SimSun"/>
          <w:sz w:val="21"/>
          <w:szCs w:val="21"/>
          <w:spacing w:val="-8"/>
        </w:rPr>
        <w:t>与之相配套，反垄断局仍然停留在较低的行政序列之上，但是在法律</w:t>
      </w:r>
      <w:r>
        <w:rPr>
          <w:rFonts w:ascii="SimSun" w:hAnsi="SimSun" w:eastAsia="SimSun" w:cs="SimSun"/>
          <w:sz w:val="21"/>
          <w:szCs w:val="21"/>
          <w:spacing w:val="11"/>
        </w:rPr>
        <w:t xml:space="preserve"> </w:t>
      </w:r>
      <w:r>
        <w:rPr>
          <w:rFonts w:ascii="SimSun" w:hAnsi="SimSun" w:eastAsia="SimSun" w:cs="SimSun"/>
          <w:sz w:val="21"/>
          <w:szCs w:val="21"/>
          <w:spacing w:val="-8"/>
        </w:rPr>
        <w:t>规则的赋权上已经明确了相应的制度。由此，中国的《反垄断法》在</w:t>
      </w:r>
      <w:r>
        <w:rPr>
          <w:rFonts w:ascii="SimSun" w:hAnsi="SimSun" w:eastAsia="SimSun" w:cs="SimSun"/>
          <w:sz w:val="21"/>
          <w:szCs w:val="21"/>
          <w:spacing w:val="15"/>
        </w:rPr>
        <w:t xml:space="preserve"> </w:t>
      </w:r>
      <w:r>
        <w:rPr>
          <w:rFonts w:ascii="SimSun" w:hAnsi="SimSun" w:eastAsia="SimSun" w:cs="SimSun"/>
          <w:sz w:val="21"/>
          <w:szCs w:val="21"/>
          <w:spacing w:val="-8"/>
        </w:rPr>
        <w:t>反垄断法框架下，包含了针对行政机关的行政垄断行为以及一般性法</w:t>
      </w:r>
      <w:r>
        <w:rPr>
          <w:rFonts w:ascii="SimSun" w:hAnsi="SimSun" w:eastAsia="SimSun" w:cs="SimSun"/>
          <w:sz w:val="21"/>
          <w:szCs w:val="21"/>
          <w:spacing w:val="10"/>
        </w:rPr>
        <w:t xml:space="preserve"> </w:t>
      </w:r>
      <w:r>
        <w:rPr>
          <w:rFonts w:ascii="SimSun" w:hAnsi="SimSun" w:eastAsia="SimSun" w:cs="SimSun"/>
          <w:sz w:val="21"/>
          <w:szCs w:val="21"/>
          <w:spacing w:val="-7"/>
        </w:rPr>
        <w:t>律审查的公平竞争审查，已经是全世界范围内最</w:t>
      </w:r>
      <w:r>
        <w:rPr>
          <w:rFonts w:ascii="SimSun" w:hAnsi="SimSun" w:eastAsia="SimSun" w:cs="SimSun"/>
          <w:sz w:val="21"/>
          <w:szCs w:val="21"/>
          <w:spacing w:val="-8"/>
        </w:rPr>
        <w:t>完整的反垄断法律制</w:t>
      </w:r>
      <w:r>
        <w:rPr>
          <w:rFonts w:ascii="SimSun" w:hAnsi="SimSun" w:eastAsia="SimSun" w:cs="SimSun"/>
          <w:sz w:val="21"/>
          <w:szCs w:val="21"/>
        </w:rPr>
        <w:t xml:space="preserve"> </w:t>
      </w:r>
      <w:r>
        <w:rPr>
          <w:rFonts w:ascii="SimSun" w:hAnsi="SimSun" w:eastAsia="SimSun" w:cs="SimSun"/>
          <w:sz w:val="21"/>
          <w:szCs w:val="21"/>
          <w:spacing w:val="-8"/>
        </w:rPr>
        <w:t>度。随着《优化营商环境条例》的深入实施，将其与《反垄断法》整</w:t>
      </w:r>
      <w:r>
        <w:rPr>
          <w:rFonts w:ascii="SimSun" w:hAnsi="SimSun" w:eastAsia="SimSun" w:cs="SimSun"/>
          <w:sz w:val="21"/>
          <w:szCs w:val="21"/>
          <w:spacing w:val="14"/>
        </w:rPr>
        <w:t xml:space="preserve"> </w:t>
      </w:r>
      <w:r>
        <w:rPr>
          <w:rFonts w:ascii="SimSun" w:hAnsi="SimSun" w:eastAsia="SimSun" w:cs="SimSun"/>
          <w:sz w:val="21"/>
          <w:szCs w:val="21"/>
          <w:spacing w:val="-8"/>
        </w:rPr>
        <w:t>合，定会进一步完善保护市场机制的综合分析框架，更加有效地改进</w:t>
      </w:r>
      <w:r>
        <w:rPr>
          <w:rFonts w:ascii="SimSun" w:hAnsi="SimSun" w:eastAsia="SimSun" w:cs="SimSun"/>
          <w:sz w:val="21"/>
          <w:szCs w:val="21"/>
          <w:spacing w:val="11"/>
        </w:rPr>
        <w:t xml:space="preserve"> </w:t>
      </w:r>
      <w:r>
        <w:rPr>
          <w:rFonts w:ascii="SimSun" w:hAnsi="SimSun" w:eastAsia="SimSun" w:cs="SimSun"/>
          <w:sz w:val="21"/>
          <w:szCs w:val="21"/>
          <w:spacing w:val="12"/>
        </w:rPr>
        <w:t>经济监管。</w:t>
      </w:r>
    </w:p>
    <w:p>
      <w:pPr>
        <w:spacing w:line="308" w:lineRule="auto"/>
        <w:sectPr>
          <w:headerReference w:type="default" r:id="rId489"/>
          <w:pgSz w:w="7330" w:h="12480"/>
          <w:pgMar w:top="567" w:right="525" w:bottom="400" w:left="634" w:header="405" w:footer="0" w:gutter="0"/>
        </w:sectPr>
        <w:rPr>
          <w:rFonts w:ascii="SimSun" w:hAnsi="SimSun" w:eastAsia="SimSun" w:cs="SimSun"/>
          <w:sz w:val="21"/>
          <w:szCs w:val="21"/>
        </w:rPr>
      </w:pPr>
    </w:p>
    <w:p>
      <w:pPr>
        <w:pStyle w:val="BodyText"/>
        <w:spacing w:line="278" w:lineRule="auto"/>
        <w:rPr/>
      </w:pPr>
      <w:r>
        <w:drawing>
          <wp:anchor distT="0" distB="0" distL="0" distR="0" simplePos="0" relativeHeight="255973376" behindDoc="0" locked="0" layoutInCell="0" allowOverlap="1">
            <wp:simplePos x="0" y="0"/>
            <wp:positionH relativeFrom="page">
              <wp:posOffset>393682</wp:posOffset>
            </wp:positionH>
            <wp:positionV relativeFrom="page">
              <wp:posOffset>7080248</wp:posOffset>
            </wp:positionV>
            <wp:extent cx="1168431" cy="6350"/>
            <wp:effectExtent l="0" t="0" r="0" b="0"/>
            <wp:wrapNone/>
            <wp:docPr id="364" name="IM 364"/>
            <wp:cNvGraphicFramePr/>
            <a:graphic>
              <a:graphicData uri="http://schemas.openxmlformats.org/drawingml/2006/picture">
                <pic:pic>
                  <pic:nvPicPr>
                    <pic:cNvPr id="364" name="IM 364"/>
                    <pic:cNvPicPr/>
                  </pic:nvPicPr>
                  <pic:blipFill>
                    <a:blip r:embed="rId490"/>
                    <a:stretch>
                      <a:fillRect/>
                    </a:stretch>
                  </pic:blipFill>
                  <pic:spPr>
                    <a:xfrm rot="0">
                      <a:off x="0" y="0"/>
                      <a:ext cx="1168431" cy="6350"/>
                    </a:xfrm>
                    <a:prstGeom prst="rect">
                      <a:avLst/>
                    </a:prstGeom>
                  </pic:spPr>
                </pic:pic>
              </a:graphicData>
            </a:graphic>
          </wp:anchor>
        </w:drawing>
      </w: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9" w:lineRule="auto"/>
        <w:rPr/>
      </w:pPr>
      <w:r/>
    </w:p>
    <w:p>
      <w:pPr>
        <w:ind w:firstLine="879"/>
        <w:spacing w:line="3630" w:lineRule="exact"/>
        <w:rPr/>
      </w:pPr>
      <w:r>
        <w:rPr>
          <w:position w:val="-72"/>
        </w:rPr>
        <w:drawing>
          <wp:inline distT="0" distB="0" distL="0" distR="0">
            <wp:extent cx="2851191" cy="2305006"/>
            <wp:effectExtent l="0" t="0" r="0" b="0"/>
            <wp:docPr id="366" name="IM 366"/>
            <wp:cNvGraphicFramePr/>
            <a:graphic>
              <a:graphicData uri="http://schemas.openxmlformats.org/drawingml/2006/picture">
                <pic:pic>
                  <pic:nvPicPr>
                    <pic:cNvPr id="366" name="IM 366"/>
                    <pic:cNvPicPr/>
                  </pic:nvPicPr>
                  <pic:blipFill>
                    <a:blip r:embed="rId491"/>
                    <a:stretch>
                      <a:fillRect/>
                    </a:stretch>
                  </pic:blipFill>
                  <pic:spPr>
                    <a:xfrm rot="0">
                      <a:off x="0" y="0"/>
                      <a:ext cx="2851191" cy="2305006"/>
                    </a:xfrm>
                    <a:prstGeom prst="rect">
                      <a:avLst/>
                    </a:prstGeom>
                  </pic:spPr>
                </pic:pic>
              </a:graphicData>
            </a:graphic>
          </wp:inline>
        </w:drawing>
      </w:r>
    </w:p>
    <w:p>
      <w:pPr>
        <w:ind w:left="1190"/>
        <w:spacing w:before="290" w:line="222" w:lineRule="auto"/>
        <w:tabs>
          <w:tab w:val="left" w:pos="2538"/>
        </w:tabs>
        <w:rPr>
          <w:rFonts w:ascii="SimHei" w:hAnsi="SimHei" w:eastAsia="SimHei" w:cs="SimHei"/>
          <w:sz w:val="29"/>
          <w:szCs w:val="29"/>
        </w:rPr>
      </w:pPr>
      <w:r>
        <w:rPr>
          <w:rFonts w:ascii="SimHei" w:hAnsi="SimHei" w:eastAsia="SimHei" w:cs="SimHei"/>
          <w:sz w:val="29"/>
          <w:szCs w:val="29"/>
          <w:strike/>
        </w:rPr>
        <w:tab/>
      </w:r>
      <w:r>
        <w:rPr>
          <w:rFonts w:ascii="SimHei" w:hAnsi="SimHei" w:eastAsia="SimHei" w:cs="SimHei"/>
          <w:sz w:val="29"/>
          <w:szCs w:val="29"/>
          <w:spacing w:val="-3"/>
        </w:rPr>
        <w:t>第</w:t>
      </w:r>
      <w:r>
        <w:rPr>
          <w:rFonts w:ascii="SimHei" w:hAnsi="SimHei" w:eastAsia="SimHei" w:cs="SimHei"/>
          <w:sz w:val="29"/>
          <w:szCs w:val="29"/>
          <w:strike/>
          <w:spacing w:val="-3"/>
        </w:rPr>
        <w:t>十</w:t>
      </w:r>
      <w:r>
        <w:rPr>
          <w:rFonts w:ascii="SimHei" w:hAnsi="SimHei" w:eastAsia="SimHei" w:cs="SimHei"/>
          <w:sz w:val="29"/>
          <w:szCs w:val="29"/>
          <w:spacing w:val="-3"/>
        </w:rPr>
        <w:t>二</w:t>
      </w:r>
      <w:r>
        <w:rPr>
          <w:rFonts w:ascii="SimHei" w:hAnsi="SimHei" w:eastAsia="SimHei" w:cs="SimHei"/>
          <w:sz w:val="29"/>
          <w:szCs w:val="29"/>
          <w:strike/>
          <w:spacing w:val="-3"/>
        </w:rPr>
        <w:t>章</w:t>
      </w:r>
      <w:r>
        <w:rPr>
          <w:rFonts w:ascii="SimHei" w:hAnsi="SimHei" w:eastAsia="SimHei" w:cs="SimHei"/>
          <w:sz w:val="29"/>
          <w:szCs w:val="29"/>
          <w:strike/>
        </w:rPr>
        <w:t xml:space="preserve">          </w:t>
      </w:r>
    </w:p>
    <w:p>
      <w:pPr>
        <w:pStyle w:val="BodyText"/>
        <w:spacing w:line="282" w:lineRule="auto"/>
        <w:rPr/>
      </w:pPr>
      <w:r/>
    </w:p>
    <w:p>
      <w:pPr>
        <w:ind w:left="1505"/>
        <w:spacing w:before="117" w:line="219" w:lineRule="auto"/>
        <w:rPr>
          <w:rFonts w:ascii="SimSun" w:hAnsi="SimSun" w:eastAsia="SimSun" w:cs="SimSun"/>
          <w:sz w:val="36"/>
          <w:szCs w:val="36"/>
        </w:rPr>
      </w:pPr>
      <w:r>
        <w:rPr>
          <w:rFonts w:ascii="SimSun" w:hAnsi="SimSun" w:eastAsia="SimSun" w:cs="SimSun"/>
          <w:sz w:val="36"/>
          <w:szCs w:val="36"/>
          <w:b/>
          <w:bCs/>
          <w:spacing w:val="-6"/>
        </w:rPr>
        <w:t>平台的反垄断挑战</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spacing w:before="56" w:line="220" w:lineRule="auto"/>
        <w:rPr>
          <w:rFonts w:ascii="KaiTi" w:hAnsi="KaiTi" w:eastAsia="KaiTi" w:cs="KaiTi"/>
          <w:sz w:val="17"/>
          <w:szCs w:val="17"/>
        </w:rPr>
      </w:pPr>
      <w:r>
        <w:rPr>
          <w:rFonts w:ascii="SimSun" w:hAnsi="SimSun" w:eastAsia="SimSun" w:cs="SimSun"/>
          <w:sz w:val="17"/>
          <w:szCs w:val="17"/>
          <w:spacing w:val="-10"/>
        </w:rPr>
        <w:t>①</w:t>
      </w:r>
      <w:r>
        <w:rPr>
          <w:rFonts w:ascii="SimSun" w:hAnsi="SimSun" w:eastAsia="SimSun" w:cs="SimSun"/>
          <w:sz w:val="17"/>
          <w:szCs w:val="17"/>
          <w:spacing w:val="51"/>
        </w:rPr>
        <w:t xml:space="preserve"> </w:t>
      </w:r>
      <w:r>
        <w:rPr>
          <w:rFonts w:ascii="KaiTi" w:hAnsi="KaiTi" w:eastAsia="KaiTi" w:cs="KaiTi"/>
          <w:sz w:val="17"/>
          <w:szCs w:val="17"/>
          <w:spacing w:val="-10"/>
        </w:rPr>
        <w:t>本章作者为邓峰课题小组，参与人员有郭小莉、王慧群、李舒豪、王丰</w:t>
      </w:r>
      <w:r>
        <w:rPr>
          <w:rFonts w:ascii="KaiTi" w:hAnsi="KaiTi" w:eastAsia="KaiTi" w:cs="KaiTi"/>
          <w:sz w:val="17"/>
          <w:szCs w:val="17"/>
          <w:spacing w:val="-11"/>
        </w:rPr>
        <w:t>泉。</w:t>
      </w:r>
    </w:p>
    <w:p>
      <w:pPr>
        <w:spacing w:line="220" w:lineRule="auto"/>
        <w:sectPr>
          <w:headerReference w:type="default" r:id="rId1"/>
          <w:pgSz w:w="7330" w:h="12480"/>
          <w:pgMar w:top="400" w:right="1099" w:bottom="400" w:left="610" w:header="0" w:footer="0" w:gutter="0"/>
        </w:sectPr>
        <w:rPr>
          <w:rFonts w:ascii="KaiTi" w:hAnsi="KaiTi" w:eastAsia="KaiTi" w:cs="KaiTi"/>
          <w:sz w:val="17"/>
          <w:szCs w:val="17"/>
        </w:rPr>
      </w:pPr>
    </w:p>
    <w:p>
      <w:pPr>
        <w:spacing w:line="12467" w:lineRule="exact"/>
        <w:rPr/>
      </w:pPr>
      <w:r>
        <w:rPr>
          <w:position w:val="-249"/>
        </w:rPr>
        <w:drawing>
          <wp:inline distT="0" distB="0" distL="0" distR="0">
            <wp:extent cx="4654550" cy="7916698"/>
            <wp:effectExtent l="0" t="0" r="0" b="0"/>
            <wp:docPr id="368" name="IM 368"/>
            <wp:cNvGraphicFramePr/>
            <a:graphic>
              <a:graphicData uri="http://schemas.openxmlformats.org/drawingml/2006/picture">
                <pic:pic>
                  <pic:nvPicPr>
                    <pic:cNvPr id="368" name="IM 368"/>
                    <pic:cNvPicPr/>
                  </pic:nvPicPr>
                  <pic:blipFill>
                    <a:blip r:embed="rId492"/>
                    <a:stretch>
                      <a:fillRect/>
                    </a:stretch>
                  </pic:blipFill>
                  <pic:spPr>
                    <a:xfrm rot="0">
                      <a:off x="0" y="0"/>
                      <a:ext cx="4654550" cy="7916698"/>
                    </a:xfrm>
                    <a:prstGeom prst="rect">
                      <a:avLst/>
                    </a:prstGeom>
                  </pic:spPr>
                </pic:pic>
              </a:graphicData>
            </a:graphic>
          </wp:inline>
        </w:drawing>
      </w:r>
    </w:p>
    <w:p>
      <w:pPr>
        <w:spacing w:line="12467" w:lineRule="exact"/>
        <w:sectPr>
          <w:pgSz w:w="7330" w:h="12480"/>
          <w:pgMar w:top="1" w:right="0" w:bottom="1" w:left="0" w:header="0" w:footer="0" w:gutter="0"/>
        </w:sectPr>
        <w:rPr/>
      </w:pP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1894"/>
        <w:spacing w:before="107" w:line="219" w:lineRule="auto"/>
        <w:rPr>
          <w:rFonts w:ascii="SimSun" w:hAnsi="SimSun" w:eastAsia="SimSun" w:cs="SimSun"/>
          <w:sz w:val="33"/>
          <w:szCs w:val="33"/>
        </w:rPr>
      </w:pPr>
      <w:r>
        <w:rPr>
          <w:rFonts w:ascii="SimSun" w:hAnsi="SimSun" w:eastAsia="SimSun" w:cs="SimSun"/>
          <w:sz w:val="33"/>
          <w:szCs w:val="33"/>
          <w:b/>
          <w:bCs/>
          <w:spacing w:val="-14"/>
        </w:rPr>
        <w:t>平台的竞争特点</w:t>
      </w:r>
    </w:p>
    <w:p>
      <w:pPr>
        <w:ind w:left="3"/>
        <w:spacing w:before="308" w:line="222" w:lineRule="auto"/>
        <w:rPr>
          <w:rFonts w:ascii="YouYuan" w:hAnsi="YouYuan" w:eastAsia="YouYuan" w:cs="YouYuan"/>
          <w:sz w:val="26"/>
          <w:szCs w:val="26"/>
        </w:rPr>
      </w:pPr>
      <w:r>
        <w:rPr>
          <w:rFonts w:ascii="YouYuan" w:hAnsi="YouYuan" w:eastAsia="YouYuan" w:cs="YouYuan"/>
          <w:sz w:val="26"/>
          <w:szCs w:val="26"/>
          <w:b/>
          <w:bCs/>
          <w:spacing w:val="-19"/>
        </w:rPr>
        <w:t>网络效应</w:t>
      </w:r>
    </w:p>
    <w:p>
      <w:pPr>
        <w:pStyle w:val="BodyText"/>
        <w:spacing w:line="360" w:lineRule="auto"/>
        <w:rPr/>
      </w:pPr>
      <w:r/>
    </w:p>
    <w:p>
      <w:pPr>
        <w:ind w:right="70" w:firstLine="409"/>
        <w:spacing w:before="68" w:line="308" w:lineRule="auto"/>
        <w:jc w:val="both"/>
        <w:rPr>
          <w:rFonts w:ascii="SimSun" w:hAnsi="SimSun" w:eastAsia="SimSun" w:cs="SimSun"/>
          <w:sz w:val="21"/>
          <w:szCs w:val="21"/>
        </w:rPr>
      </w:pPr>
      <w:r>
        <w:rPr>
          <w:rFonts w:ascii="SimSun" w:hAnsi="SimSun" w:eastAsia="SimSun" w:cs="SimSun"/>
          <w:sz w:val="21"/>
          <w:szCs w:val="21"/>
          <w:spacing w:val="-11"/>
        </w:rPr>
        <w:t>网络外部性引导平台企业为市场而竞争，在其他条件相同时，基</w:t>
      </w:r>
      <w:r>
        <w:rPr>
          <w:rFonts w:ascii="SimSun" w:hAnsi="SimSun" w:eastAsia="SimSun" w:cs="SimSun"/>
          <w:sz w:val="21"/>
          <w:szCs w:val="21"/>
          <w:spacing w:val="15"/>
        </w:rPr>
        <w:t xml:space="preserve"> </w:t>
      </w:r>
      <w:r>
        <w:rPr>
          <w:rFonts w:ascii="SimSun" w:hAnsi="SimSun" w:eastAsia="SimSun" w:cs="SimSun"/>
          <w:sz w:val="21"/>
          <w:szCs w:val="21"/>
          <w:spacing w:val="-10"/>
        </w:rPr>
        <w:t>于网络外部性的时间因素，即用户习惯，先进入者会更有优势。在双</w:t>
      </w:r>
      <w:r>
        <w:rPr>
          <w:rFonts w:ascii="SimSun" w:hAnsi="SimSun" w:eastAsia="SimSun" w:cs="SimSun"/>
          <w:sz w:val="21"/>
          <w:szCs w:val="21"/>
        </w:rPr>
        <w:t xml:space="preserve"> </w:t>
      </w:r>
      <w:r>
        <w:rPr>
          <w:rFonts w:ascii="SimSun" w:hAnsi="SimSun" w:eastAsia="SimSun" w:cs="SimSun"/>
          <w:sz w:val="21"/>
          <w:szCs w:val="21"/>
          <w:spacing w:val="-12"/>
        </w:rPr>
        <w:t>边市场中， 一边的用户群人数更多将直接对另</w:t>
      </w:r>
      <w:r>
        <w:rPr>
          <w:rFonts w:ascii="SimSun" w:hAnsi="SimSun" w:eastAsia="SimSun" w:cs="SimSun"/>
          <w:sz w:val="21"/>
          <w:szCs w:val="21"/>
          <w:spacing w:val="-13"/>
        </w:rPr>
        <w:t>一边的用户群产生吸引</w:t>
      </w:r>
      <w:r>
        <w:rPr>
          <w:rFonts w:ascii="SimSun" w:hAnsi="SimSun" w:eastAsia="SimSun" w:cs="SimSun"/>
          <w:sz w:val="21"/>
          <w:szCs w:val="21"/>
        </w:rPr>
        <w:t xml:space="preserve"> </w:t>
      </w:r>
      <w:r>
        <w:rPr>
          <w:rFonts w:ascii="SimSun" w:hAnsi="SimSun" w:eastAsia="SimSun" w:cs="SimSun"/>
          <w:sz w:val="21"/>
          <w:szCs w:val="21"/>
          <w:spacing w:val="-11"/>
        </w:rPr>
        <w:t>力，这种正反馈效应使得双边用户都更多的平台企业对两类用户都更</w:t>
      </w:r>
      <w:r>
        <w:rPr>
          <w:rFonts w:ascii="SimSun" w:hAnsi="SimSun" w:eastAsia="SimSun" w:cs="SimSun"/>
          <w:sz w:val="21"/>
          <w:szCs w:val="21"/>
          <w:spacing w:val="8"/>
        </w:rPr>
        <w:t xml:space="preserve"> </w:t>
      </w:r>
      <w:r>
        <w:rPr>
          <w:rFonts w:ascii="SimSun" w:hAnsi="SimSun" w:eastAsia="SimSun" w:cs="SimSun"/>
          <w:sz w:val="21"/>
          <w:szCs w:val="21"/>
          <w:spacing w:val="-10"/>
        </w:rPr>
        <w:t>有价值。从竞争政策的角度看，在线平台最突出的特点就是形成了头</w:t>
      </w:r>
      <w:r>
        <w:rPr>
          <w:rFonts w:ascii="SimSun" w:hAnsi="SimSun" w:eastAsia="SimSun" w:cs="SimSun"/>
          <w:sz w:val="21"/>
          <w:szCs w:val="21"/>
        </w:rPr>
        <w:t xml:space="preserve"> </w:t>
      </w:r>
      <w:r>
        <w:rPr>
          <w:rFonts w:ascii="SimSun" w:hAnsi="SimSun" w:eastAsia="SimSun" w:cs="SimSun"/>
          <w:sz w:val="21"/>
          <w:szCs w:val="21"/>
          <w:spacing w:val="-7"/>
        </w:rPr>
        <w:t>部效应，即我们通常所说的“赢家通吃”,这很大程</w:t>
      </w:r>
      <w:r>
        <w:rPr>
          <w:rFonts w:ascii="SimSun" w:hAnsi="SimSun" w:eastAsia="SimSun" w:cs="SimSun"/>
          <w:sz w:val="21"/>
          <w:szCs w:val="21"/>
          <w:spacing w:val="-8"/>
        </w:rPr>
        <w:t>度上是由于网络</w:t>
      </w:r>
      <w:r>
        <w:rPr>
          <w:rFonts w:ascii="SimSun" w:hAnsi="SimSun" w:eastAsia="SimSun" w:cs="SimSun"/>
          <w:sz w:val="21"/>
          <w:szCs w:val="21"/>
        </w:rPr>
        <w:t xml:space="preserve"> </w:t>
      </w:r>
      <w:r>
        <w:rPr>
          <w:rFonts w:ascii="SimSun" w:hAnsi="SimSun" w:eastAsia="SimSun" w:cs="SimSun"/>
          <w:sz w:val="21"/>
          <w:szCs w:val="21"/>
          <w:spacing w:val="-15"/>
        </w:rPr>
        <w:t>效应和对数据的控制。这两点都意味着先行者优势会自我强化</w:t>
      </w:r>
      <w:r>
        <w:rPr>
          <w:rFonts w:ascii="SimSun" w:hAnsi="SimSun" w:eastAsia="SimSun" w:cs="SimSun"/>
          <w:sz w:val="21"/>
          <w:szCs w:val="21"/>
          <w:spacing w:val="-16"/>
        </w:rPr>
        <w:t>，</w:t>
      </w:r>
      <w:r>
        <w:rPr>
          <w:rFonts w:ascii="SimSun" w:hAnsi="SimSun" w:eastAsia="SimSun" w:cs="SimSun"/>
          <w:sz w:val="21"/>
          <w:szCs w:val="21"/>
          <w:spacing w:val="51"/>
        </w:rPr>
        <w:t xml:space="preserve"> </w:t>
      </w:r>
      <w:r>
        <w:rPr>
          <w:rFonts w:ascii="SimSun" w:hAnsi="SimSun" w:eastAsia="SimSun" w:cs="SimSun"/>
          <w:sz w:val="21"/>
          <w:szCs w:val="21"/>
          <w:spacing w:val="-16"/>
        </w:rPr>
        <w:t>一种</w:t>
      </w:r>
      <w:r>
        <w:rPr>
          <w:rFonts w:ascii="SimSun" w:hAnsi="SimSun" w:eastAsia="SimSun" w:cs="SimSun"/>
          <w:sz w:val="21"/>
          <w:szCs w:val="21"/>
        </w:rPr>
        <w:t xml:space="preserve"> </w:t>
      </w:r>
      <w:r>
        <w:rPr>
          <w:rFonts w:ascii="SimSun" w:hAnsi="SimSun" w:eastAsia="SimSun" w:cs="SimSun"/>
          <w:sz w:val="21"/>
          <w:szCs w:val="21"/>
          <w:spacing w:val="-10"/>
        </w:rPr>
        <w:t>最大的可能就是科技平台市场为少数企业所主导。参与在线平台市场</w:t>
      </w:r>
      <w:r>
        <w:rPr>
          <w:rFonts w:ascii="SimSun" w:hAnsi="SimSun" w:eastAsia="SimSun" w:cs="SimSun"/>
          <w:sz w:val="21"/>
          <w:szCs w:val="21"/>
          <w:spacing w:val="1"/>
        </w:rPr>
        <w:t xml:space="preserve"> </w:t>
      </w:r>
      <w:r>
        <w:rPr>
          <w:rFonts w:ascii="SimSun" w:hAnsi="SimSun" w:eastAsia="SimSun" w:cs="SimSun"/>
          <w:sz w:val="21"/>
          <w:szCs w:val="21"/>
          <w:spacing w:val="-10"/>
        </w:rPr>
        <w:t>竞争的企业通过网络外部性和控制数据能够最有效地强化其市</w:t>
      </w:r>
      <w:r>
        <w:rPr>
          <w:rFonts w:ascii="SimSun" w:hAnsi="SimSun" w:eastAsia="SimSun" w:cs="SimSun"/>
          <w:sz w:val="21"/>
          <w:szCs w:val="21"/>
          <w:spacing w:val="-11"/>
        </w:rPr>
        <w:t>场支配</w:t>
      </w:r>
      <w:r>
        <w:rPr>
          <w:rFonts w:ascii="SimSun" w:hAnsi="SimSun" w:eastAsia="SimSun" w:cs="SimSun"/>
          <w:sz w:val="21"/>
          <w:szCs w:val="21"/>
        </w:rPr>
        <w:t xml:space="preserve"> </w:t>
      </w:r>
      <w:r>
        <w:rPr>
          <w:rFonts w:ascii="SimSun" w:hAnsi="SimSun" w:eastAsia="SimSun" w:cs="SimSun"/>
          <w:sz w:val="21"/>
          <w:szCs w:val="21"/>
          <w:spacing w:val="-10"/>
        </w:rPr>
        <w:t>地位。对于平台企业而言，最有效的方法就是追逐市场份额、驱逐竞</w:t>
      </w:r>
      <w:r>
        <w:rPr>
          <w:rFonts w:ascii="SimSun" w:hAnsi="SimSun" w:eastAsia="SimSun" w:cs="SimSun"/>
          <w:sz w:val="21"/>
          <w:szCs w:val="21"/>
        </w:rPr>
        <w:t xml:space="preserve"> </w:t>
      </w:r>
      <w:r>
        <w:rPr>
          <w:rFonts w:ascii="SimSun" w:hAnsi="SimSun" w:eastAsia="SimSun" w:cs="SimSun"/>
          <w:sz w:val="21"/>
          <w:szCs w:val="21"/>
          <w:spacing w:val="-12"/>
        </w:rPr>
        <w:t>争对手，即使这样做会牺牲短期利润。</w:t>
      </w:r>
    </w:p>
    <w:p>
      <w:pPr>
        <w:ind w:firstLine="429"/>
        <w:spacing w:before="109" w:line="307" w:lineRule="auto"/>
        <w:jc w:val="both"/>
        <w:rPr>
          <w:rFonts w:ascii="SimSun" w:hAnsi="SimSun" w:eastAsia="SimSun" w:cs="SimSun"/>
          <w:sz w:val="21"/>
          <w:szCs w:val="21"/>
        </w:rPr>
      </w:pPr>
      <w:r>
        <w:rPr>
          <w:rFonts w:ascii="SimSun" w:hAnsi="SimSun" w:eastAsia="SimSun" w:cs="SimSun"/>
          <w:sz w:val="21"/>
          <w:szCs w:val="21"/>
          <w:spacing w:val="-8"/>
        </w:rPr>
        <w:t>特别值得指出的是，对数据的控制是一种难以逾越的进入壁垒。</w:t>
      </w:r>
      <w:r>
        <w:rPr>
          <w:rFonts w:ascii="SimSun" w:hAnsi="SimSun" w:eastAsia="SimSun" w:cs="SimSun"/>
          <w:sz w:val="21"/>
          <w:szCs w:val="21"/>
          <w:spacing w:val="8"/>
        </w:rPr>
        <w:t xml:space="preserve"> </w:t>
      </w:r>
      <w:r>
        <w:rPr>
          <w:rFonts w:ascii="SimSun" w:hAnsi="SimSun" w:eastAsia="SimSun" w:cs="SimSun"/>
          <w:sz w:val="21"/>
          <w:szCs w:val="21"/>
          <w:spacing w:val="-10"/>
        </w:rPr>
        <w:t>获取消费者数据使平台能够更好地定制服务和衡量需求：跨市</w:t>
      </w:r>
      <w:r>
        <w:rPr>
          <w:rFonts w:ascii="SimSun" w:hAnsi="SimSun" w:eastAsia="SimSun" w:cs="SimSun"/>
          <w:sz w:val="21"/>
          <w:szCs w:val="21"/>
          <w:spacing w:val="-11"/>
        </w:rPr>
        <w:t>场的经</w:t>
      </w:r>
      <w:r>
        <w:rPr>
          <w:rFonts w:ascii="SimSun" w:hAnsi="SimSun" w:eastAsia="SimSun" w:cs="SimSun"/>
          <w:sz w:val="21"/>
          <w:szCs w:val="21"/>
        </w:rPr>
        <w:t xml:space="preserve">  </w:t>
      </w:r>
      <w:r>
        <w:rPr>
          <w:rFonts w:ascii="SimSun" w:hAnsi="SimSun" w:eastAsia="SimSun" w:cs="SimSun"/>
          <w:sz w:val="21"/>
          <w:szCs w:val="21"/>
          <w:spacing w:val="-8"/>
        </w:rPr>
        <w:t>营可以使平台利用从一个市场收集到的数据，使另一条业务线受益，</w:t>
      </w:r>
      <w:r>
        <w:rPr>
          <w:rFonts w:ascii="SimSun" w:hAnsi="SimSun" w:eastAsia="SimSun" w:cs="SimSun"/>
          <w:sz w:val="21"/>
          <w:szCs w:val="21"/>
          <w:spacing w:val="14"/>
        </w:rPr>
        <w:t xml:space="preserve"> </w:t>
      </w:r>
      <w:r>
        <w:rPr>
          <w:rFonts w:ascii="SimSun" w:hAnsi="SimSun" w:eastAsia="SimSun" w:cs="SimSun"/>
          <w:sz w:val="21"/>
          <w:szCs w:val="21"/>
          <w:spacing w:val="-3"/>
        </w:rPr>
        <w:t>而对数据的控制也可能使占主导地位的平台更容易进入新市场。例</w:t>
      </w:r>
      <w:r>
        <w:rPr>
          <w:rFonts w:ascii="SimSun" w:hAnsi="SimSun" w:eastAsia="SimSun" w:cs="SimSun"/>
          <w:sz w:val="21"/>
          <w:szCs w:val="21"/>
          <w:spacing w:val="1"/>
        </w:rPr>
        <w:t xml:space="preserve">  </w:t>
      </w:r>
      <w:r>
        <w:rPr>
          <w:rFonts w:ascii="SimSun" w:hAnsi="SimSun" w:eastAsia="SimSun" w:cs="SimSun"/>
          <w:sz w:val="21"/>
          <w:szCs w:val="21"/>
          <w:spacing w:val="-10"/>
        </w:rPr>
        <w:t>如，亚马逊利用市场数据来提高其零售额，并可能借助多年来经</w:t>
      </w:r>
      <w:r>
        <w:rPr>
          <w:rFonts w:ascii="SimSun" w:hAnsi="SimSun" w:eastAsia="SimSun" w:cs="SimSun"/>
          <w:sz w:val="21"/>
          <w:szCs w:val="21"/>
          <w:spacing w:val="-11"/>
        </w:rPr>
        <w:t>营大</w:t>
      </w:r>
      <w:r>
        <w:rPr>
          <w:rFonts w:ascii="SimSun" w:hAnsi="SimSun" w:eastAsia="SimSun" w:cs="SimSun"/>
          <w:sz w:val="21"/>
          <w:szCs w:val="21"/>
        </w:rPr>
        <w:t xml:space="preserve">  </w:t>
      </w:r>
      <w:r>
        <w:rPr>
          <w:rFonts w:ascii="SimSun" w:hAnsi="SimSun" w:eastAsia="SimSun" w:cs="SimSun"/>
          <w:sz w:val="21"/>
          <w:szCs w:val="21"/>
          <w:spacing w:val="-10"/>
        </w:rPr>
        <w:t>规模电子商务所获得的丰富购物数据大幅扩大其广告业务。因此，在</w:t>
      </w:r>
      <w:r>
        <w:rPr>
          <w:rFonts w:ascii="SimSun" w:hAnsi="SimSun" w:eastAsia="SimSun" w:cs="SimSun"/>
          <w:sz w:val="21"/>
          <w:szCs w:val="21"/>
        </w:rPr>
        <w:t xml:space="preserve">  </w:t>
      </w:r>
      <w:r>
        <w:rPr>
          <w:rFonts w:ascii="SimSun" w:hAnsi="SimSun" w:eastAsia="SimSun" w:cs="SimSun"/>
          <w:sz w:val="21"/>
          <w:szCs w:val="21"/>
          <w:spacing w:val="-10"/>
        </w:rPr>
        <w:t>市场的形成阶段，先进入市场的平台企业往往在用户数据上具有天然</w:t>
      </w:r>
      <w:r>
        <w:rPr>
          <w:rFonts w:ascii="SimSun" w:hAnsi="SimSun" w:eastAsia="SimSun" w:cs="SimSun"/>
          <w:sz w:val="21"/>
          <w:szCs w:val="21"/>
        </w:rPr>
        <w:t xml:space="preserve">  </w:t>
      </w:r>
      <w:r>
        <w:rPr>
          <w:rFonts w:ascii="SimSun" w:hAnsi="SimSun" w:eastAsia="SimSun" w:cs="SimSun"/>
          <w:sz w:val="21"/>
          <w:szCs w:val="21"/>
          <w:spacing w:val="-10"/>
        </w:rPr>
        <w:t>的优势。网络外部性加剧了平台用户群之间的相互吸引力，使</w:t>
      </w:r>
      <w:r>
        <w:rPr>
          <w:rFonts w:ascii="SimSun" w:hAnsi="SimSun" w:eastAsia="SimSun" w:cs="SimSun"/>
          <w:sz w:val="21"/>
          <w:szCs w:val="21"/>
          <w:spacing w:val="-11"/>
        </w:rPr>
        <w:t>平台企</w:t>
      </w:r>
      <w:r>
        <w:rPr>
          <w:rFonts w:ascii="SimSun" w:hAnsi="SimSun" w:eastAsia="SimSun" w:cs="SimSun"/>
          <w:sz w:val="21"/>
          <w:szCs w:val="21"/>
        </w:rPr>
        <w:t xml:space="preserve">  </w:t>
      </w:r>
      <w:r>
        <w:rPr>
          <w:rFonts w:ascii="SimSun" w:hAnsi="SimSun" w:eastAsia="SimSun" w:cs="SimSun"/>
          <w:sz w:val="21"/>
          <w:szCs w:val="21"/>
          <w:spacing w:val="-10"/>
        </w:rPr>
        <w:t>业能够通过各种手段抬高进入壁垒，不断扩大市场份额。例如，移动</w:t>
      </w:r>
      <w:r>
        <w:rPr>
          <w:rFonts w:ascii="SimSun" w:hAnsi="SimSun" w:eastAsia="SimSun" w:cs="SimSun"/>
          <w:sz w:val="21"/>
          <w:szCs w:val="21"/>
          <w:spacing w:val="1"/>
        </w:rPr>
        <w:t xml:space="preserve">  </w:t>
      </w:r>
      <w:r>
        <w:rPr>
          <w:rFonts w:ascii="SimSun" w:hAnsi="SimSun" w:eastAsia="SimSun" w:cs="SimSun"/>
          <w:sz w:val="21"/>
          <w:szCs w:val="21"/>
          <w:spacing w:val="-10"/>
        </w:rPr>
        <w:t>即时通信、社交网站、视频分享市场由于具有网络外部性，行业中的</w:t>
      </w:r>
    </w:p>
    <w:p>
      <w:pPr>
        <w:spacing w:line="307" w:lineRule="auto"/>
        <w:sectPr>
          <w:pgSz w:w="7330" w:h="12480"/>
          <w:pgMar w:top="400" w:right="844" w:bottom="400" w:left="390" w:header="0" w:footer="0" w:gutter="0"/>
        </w:sectPr>
        <w:rPr>
          <w:rFonts w:ascii="SimSun" w:hAnsi="SimSun" w:eastAsia="SimSun" w:cs="SimSun"/>
          <w:sz w:val="21"/>
          <w:szCs w:val="21"/>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right="74"/>
        <w:spacing w:before="68" w:line="268" w:lineRule="auto"/>
        <w:rPr>
          <w:rFonts w:ascii="SimSun" w:hAnsi="SimSun" w:eastAsia="SimSun" w:cs="SimSun"/>
          <w:sz w:val="21"/>
          <w:szCs w:val="21"/>
        </w:rPr>
      </w:pPr>
      <w:r>
        <w:rPr>
          <w:rFonts w:ascii="SimSun" w:hAnsi="SimSun" w:eastAsia="SimSun" w:cs="SimSun"/>
          <w:sz w:val="21"/>
          <w:szCs w:val="21"/>
          <w:spacing w:val="-11"/>
        </w:rPr>
        <w:t>大型平台公司，如微信、微博、哔哩哔哩等，非常明显地体现出头部</w:t>
      </w:r>
      <w:r>
        <w:rPr>
          <w:rFonts w:ascii="SimSun" w:hAnsi="SimSun" w:eastAsia="SimSun" w:cs="SimSun"/>
          <w:sz w:val="21"/>
          <w:szCs w:val="21"/>
          <w:spacing w:val="9"/>
        </w:rPr>
        <w:t xml:space="preserve"> </w:t>
      </w:r>
      <w:r>
        <w:rPr>
          <w:rFonts w:ascii="SimSun" w:hAnsi="SimSun" w:eastAsia="SimSun" w:cs="SimSun"/>
          <w:sz w:val="21"/>
          <w:szCs w:val="21"/>
          <w:spacing w:val="-12"/>
        </w:rPr>
        <w:t>企业的优势地位。</w:t>
      </w:r>
    </w:p>
    <w:p>
      <w:pPr>
        <w:pStyle w:val="BodyText"/>
        <w:spacing w:line="379" w:lineRule="auto"/>
        <w:rPr/>
      </w:pPr>
      <w:r/>
    </w:p>
    <w:p>
      <w:pPr>
        <w:ind w:left="3"/>
        <w:spacing w:before="85" w:line="221" w:lineRule="auto"/>
        <w:rPr>
          <w:rFonts w:ascii="SimHei" w:hAnsi="SimHei" w:eastAsia="SimHei" w:cs="SimHei"/>
          <w:sz w:val="26"/>
          <w:szCs w:val="26"/>
        </w:rPr>
      </w:pPr>
      <w:r>
        <w:rPr>
          <w:rFonts w:ascii="SimHei" w:hAnsi="SimHei" w:eastAsia="SimHei" w:cs="SimHei"/>
          <w:sz w:val="26"/>
          <w:szCs w:val="26"/>
          <w:b/>
          <w:bCs/>
          <w:spacing w:val="-16"/>
        </w:rPr>
        <w:t>头部效应</w:t>
      </w:r>
    </w:p>
    <w:p>
      <w:pPr>
        <w:pStyle w:val="BodyText"/>
        <w:spacing w:line="349" w:lineRule="auto"/>
        <w:rPr/>
      </w:pPr>
      <w:r/>
    </w:p>
    <w:p>
      <w:pPr>
        <w:ind w:right="22" w:firstLine="440"/>
        <w:spacing w:before="68" w:line="298" w:lineRule="auto"/>
        <w:jc w:val="both"/>
        <w:rPr>
          <w:rFonts w:ascii="SimSun" w:hAnsi="SimSun" w:eastAsia="SimSun" w:cs="SimSun"/>
          <w:sz w:val="21"/>
          <w:szCs w:val="21"/>
        </w:rPr>
      </w:pPr>
      <w:r>
        <w:rPr>
          <w:rFonts w:ascii="SimSun" w:hAnsi="SimSun" w:eastAsia="SimSun" w:cs="SimSun"/>
          <w:sz w:val="21"/>
          <w:szCs w:val="21"/>
          <w:spacing w:val="-3"/>
        </w:rPr>
        <w:t>寡头市场是指只有少数几个提供相似或相同产品的卖者的市场</w:t>
      </w:r>
      <w:r>
        <w:rPr>
          <w:rFonts w:ascii="SimSun" w:hAnsi="SimSun" w:eastAsia="SimSun" w:cs="SimSun"/>
          <w:sz w:val="21"/>
          <w:szCs w:val="21"/>
          <w:spacing w:val="2"/>
        </w:rPr>
        <w:t xml:space="preserve"> </w:t>
      </w:r>
      <w:r>
        <w:rPr>
          <w:rFonts w:ascii="SimSun" w:hAnsi="SimSun" w:eastAsia="SimSun" w:cs="SimSun"/>
          <w:sz w:val="21"/>
          <w:szCs w:val="21"/>
          <w:spacing w:val="-11"/>
        </w:rPr>
        <w:t>结构。以经济自由主义思想为基础的芝加哥学派经济学家认为，行业</w:t>
      </w:r>
      <w:r>
        <w:rPr>
          <w:rFonts w:ascii="SimSun" w:hAnsi="SimSun" w:eastAsia="SimSun" w:cs="SimSun"/>
          <w:sz w:val="21"/>
          <w:szCs w:val="21"/>
          <w:spacing w:val="5"/>
        </w:rPr>
        <w:t xml:space="preserve"> </w:t>
      </w:r>
      <w:r>
        <w:rPr>
          <w:rFonts w:ascii="SimSun" w:hAnsi="SimSun" w:eastAsia="SimSun" w:cs="SimSun"/>
          <w:sz w:val="21"/>
          <w:szCs w:val="21"/>
          <w:spacing w:val="-11"/>
        </w:rPr>
        <w:t>中的在位企业因规模经济、资本需求和产品差异化享有的优势并不构</w:t>
      </w:r>
      <w:r>
        <w:rPr>
          <w:rFonts w:ascii="SimSun" w:hAnsi="SimSun" w:eastAsia="SimSun" w:cs="SimSun"/>
          <w:sz w:val="21"/>
          <w:szCs w:val="21"/>
          <w:spacing w:val="12"/>
        </w:rPr>
        <w:t xml:space="preserve"> </w:t>
      </w:r>
      <w:r>
        <w:rPr>
          <w:rFonts w:ascii="SimSun" w:hAnsi="SimSun" w:eastAsia="SimSun" w:cs="SimSun"/>
          <w:sz w:val="21"/>
          <w:szCs w:val="21"/>
          <w:spacing w:val="-11"/>
        </w:rPr>
        <w:t>成进入壁垒。与之相反，以经济学家乔·贝恩为代表的结构主义学派</w:t>
      </w:r>
      <w:r>
        <w:rPr>
          <w:rFonts w:ascii="SimSun" w:hAnsi="SimSun" w:eastAsia="SimSun" w:cs="SimSun"/>
          <w:sz w:val="21"/>
          <w:szCs w:val="21"/>
          <w:spacing w:val="6"/>
        </w:rPr>
        <w:t xml:space="preserve"> </w:t>
      </w:r>
      <w:r>
        <w:rPr>
          <w:rFonts w:ascii="SimSun" w:hAnsi="SimSun" w:eastAsia="SimSun" w:cs="SimSun"/>
          <w:sz w:val="21"/>
          <w:szCs w:val="21"/>
          <w:spacing w:val="-6"/>
        </w:rPr>
        <w:t>(也称哈佛学派)以“结构-行为-绩效”(SCP)</w:t>
      </w:r>
      <w:r>
        <w:rPr>
          <w:rFonts w:ascii="SimSun" w:hAnsi="SimSun" w:eastAsia="SimSun" w:cs="SimSun"/>
          <w:sz w:val="21"/>
          <w:szCs w:val="21"/>
          <w:spacing w:val="104"/>
        </w:rPr>
        <w:t xml:space="preserve"> </w:t>
      </w:r>
      <w:r>
        <w:rPr>
          <w:rFonts w:ascii="SimSun" w:hAnsi="SimSun" w:eastAsia="SimSun" w:cs="SimSun"/>
          <w:sz w:val="21"/>
          <w:szCs w:val="21"/>
          <w:spacing w:val="-6"/>
        </w:rPr>
        <w:t>为基本分析范式，他</w:t>
      </w:r>
      <w:r>
        <w:rPr>
          <w:rFonts w:ascii="SimSun" w:hAnsi="SimSun" w:eastAsia="SimSun" w:cs="SimSun"/>
          <w:sz w:val="21"/>
          <w:szCs w:val="21"/>
        </w:rPr>
        <w:t xml:space="preserve"> </w:t>
      </w:r>
      <w:r>
        <w:rPr>
          <w:rFonts w:ascii="SimSun" w:hAnsi="SimSun" w:eastAsia="SimSun" w:cs="SimSun"/>
          <w:sz w:val="21"/>
          <w:szCs w:val="21"/>
          <w:spacing w:val="-11"/>
        </w:rPr>
        <w:t>们认为，在位厂商的绝对成本优势、产品差异和规模经济等构成进入</w:t>
      </w:r>
      <w:r>
        <w:rPr>
          <w:rFonts w:ascii="SimSun" w:hAnsi="SimSun" w:eastAsia="SimSun" w:cs="SimSun"/>
          <w:sz w:val="21"/>
          <w:szCs w:val="21"/>
          <w:spacing w:val="7"/>
        </w:rPr>
        <w:t xml:space="preserve"> </w:t>
      </w:r>
      <w:r>
        <w:rPr>
          <w:rFonts w:ascii="SimSun" w:hAnsi="SimSun" w:eastAsia="SimSun" w:cs="SimSun"/>
          <w:sz w:val="21"/>
          <w:szCs w:val="21"/>
          <w:spacing w:val="-11"/>
        </w:rPr>
        <w:t>壁垒，而在高集中度和高市场壁垒的市场，在位企业很可能实施寡头</w:t>
      </w:r>
      <w:r>
        <w:rPr>
          <w:rFonts w:ascii="SimSun" w:hAnsi="SimSun" w:eastAsia="SimSun" w:cs="SimSun"/>
          <w:sz w:val="21"/>
          <w:szCs w:val="21"/>
          <w:spacing w:val="10"/>
        </w:rPr>
        <w:t xml:space="preserve"> </w:t>
      </w:r>
      <w:r>
        <w:rPr>
          <w:rFonts w:ascii="SimSun" w:hAnsi="SimSun" w:eastAsia="SimSun" w:cs="SimSun"/>
          <w:sz w:val="21"/>
          <w:szCs w:val="21"/>
          <w:spacing w:val="-4"/>
        </w:rPr>
        <w:t>垄断，从而导致绩效低下(产出减少)。这意味着在寡头垄断的市场</w:t>
      </w:r>
      <w:r>
        <w:rPr>
          <w:rFonts w:ascii="SimSun" w:hAnsi="SimSun" w:eastAsia="SimSun" w:cs="SimSun"/>
          <w:sz w:val="21"/>
          <w:szCs w:val="21"/>
          <w:spacing w:val="11"/>
        </w:rPr>
        <w:t xml:space="preserve"> </w:t>
      </w:r>
      <w:r>
        <w:rPr>
          <w:rFonts w:ascii="SimSun" w:hAnsi="SimSun" w:eastAsia="SimSun" w:cs="SimSun"/>
          <w:sz w:val="21"/>
          <w:szCs w:val="21"/>
          <w:spacing w:val="-13"/>
        </w:rPr>
        <w:t>中</w:t>
      </w:r>
      <w:r>
        <w:rPr>
          <w:rFonts w:ascii="SimSun" w:hAnsi="SimSun" w:eastAsia="SimSun" w:cs="SimSun"/>
          <w:sz w:val="21"/>
          <w:szCs w:val="21"/>
          <w:spacing w:val="-23"/>
        </w:rPr>
        <w:t xml:space="preserve"> </w:t>
      </w:r>
      <w:r>
        <w:rPr>
          <w:rFonts w:ascii="SimSun" w:hAnsi="SimSun" w:eastAsia="SimSun" w:cs="SimSun"/>
          <w:sz w:val="21"/>
          <w:szCs w:val="21"/>
          <w:spacing w:val="-13"/>
        </w:rPr>
        <w:t>，</w:t>
      </w:r>
      <w:r>
        <w:rPr>
          <w:rFonts w:ascii="Times New Roman" w:hAnsi="Times New Roman" w:eastAsia="Times New Roman" w:cs="Times New Roman"/>
          <w:sz w:val="21"/>
          <w:szCs w:val="21"/>
          <w:spacing w:val="-13"/>
        </w:rPr>
        <w:t>X </w:t>
      </w:r>
      <w:r>
        <w:rPr>
          <w:rFonts w:ascii="SimSun" w:hAnsi="SimSun" w:eastAsia="SimSun" w:cs="SimSun"/>
          <w:sz w:val="21"/>
          <w:szCs w:val="21"/>
          <w:spacing w:val="-13"/>
        </w:rPr>
        <w:t>效率的存在将导致生产成本增加，使得帕累托效应无法实现。</w:t>
      </w:r>
    </w:p>
    <w:p>
      <w:pPr>
        <w:ind w:firstLine="460"/>
        <w:spacing w:before="182" w:line="309" w:lineRule="auto"/>
        <w:jc w:val="both"/>
        <w:rPr>
          <w:rFonts w:ascii="SimSun" w:hAnsi="SimSun" w:eastAsia="SimSun" w:cs="SimSun"/>
          <w:sz w:val="21"/>
          <w:szCs w:val="21"/>
        </w:rPr>
      </w:pPr>
      <w:r>
        <w:rPr>
          <w:rFonts w:ascii="SimSun" w:hAnsi="SimSun" w:eastAsia="SimSun" w:cs="SimSun"/>
          <w:sz w:val="21"/>
          <w:szCs w:val="21"/>
          <w:spacing w:val="-11"/>
        </w:rPr>
        <w:t>平台企业的头部效应加剧其所在行业的寡头化。互联网企</w:t>
      </w:r>
      <w:r>
        <w:rPr>
          <w:rFonts w:ascii="SimSun" w:hAnsi="SimSun" w:eastAsia="SimSun" w:cs="SimSun"/>
          <w:sz w:val="21"/>
          <w:szCs w:val="21"/>
          <w:spacing w:val="-12"/>
        </w:rPr>
        <w:t>业可能</w:t>
      </w:r>
      <w:r>
        <w:rPr>
          <w:rFonts w:ascii="SimSun" w:hAnsi="SimSun" w:eastAsia="SimSun" w:cs="SimSun"/>
          <w:sz w:val="21"/>
          <w:szCs w:val="21"/>
        </w:rPr>
        <w:t xml:space="preserve"> </w:t>
      </w:r>
      <w:r>
        <w:rPr>
          <w:rFonts w:ascii="SimSun" w:hAnsi="SimSun" w:eastAsia="SimSun" w:cs="SimSun"/>
          <w:sz w:val="21"/>
          <w:szCs w:val="21"/>
          <w:spacing w:val="-4"/>
        </w:rPr>
        <w:t>具有的网络外部性包括：(1)传统网络外部性，如社交网络；(2)有 </w:t>
      </w:r>
      <w:r>
        <w:rPr>
          <w:rFonts w:ascii="SimSun" w:hAnsi="SimSun" w:eastAsia="SimSun" w:cs="SimSun"/>
          <w:sz w:val="21"/>
          <w:szCs w:val="21"/>
          <w:spacing w:val="-4"/>
        </w:rPr>
        <w:t>关数据规模的网络外部性；(3)有关数据范围的网络外部性；(4)一 </w:t>
      </w:r>
      <w:r>
        <w:rPr>
          <w:rFonts w:ascii="SimSun" w:hAnsi="SimSun" w:eastAsia="SimSun" w:cs="SimSun"/>
          <w:sz w:val="21"/>
          <w:szCs w:val="21"/>
          <w:spacing w:val="-11"/>
        </w:rPr>
        <w:t>边子市场的数据规模和范围能够影响另一边子市场的规模外部性，如 </w:t>
      </w:r>
      <w:r>
        <w:rPr>
          <w:rFonts w:ascii="SimSun" w:hAnsi="SimSun" w:eastAsia="SimSun" w:cs="SimSun"/>
          <w:sz w:val="21"/>
          <w:szCs w:val="21"/>
          <w:spacing w:val="-11"/>
        </w:rPr>
        <w:t>广告。这些网络外部性都使得有关行业中头部效应较为明显，平台企 </w:t>
      </w:r>
      <w:r>
        <w:rPr>
          <w:rFonts w:ascii="SimSun" w:hAnsi="SimSun" w:eastAsia="SimSun" w:cs="SimSun"/>
          <w:sz w:val="21"/>
          <w:szCs w:val="21"/>
          <w:spacing w:val="-11"/>
        </w:rPr>
        <w:t>业在其中更易推动寡头市场的形成。首先，如果行业中各类企业所提 </w:t>
      </w:r>
      <w:r>
        <w:rPr>
          <w:rFonts w:ascii="SimSun" w:hAnsi="SimSun" w:eastAsia="SimSun" w:cs="SimSun"/>
          <w:sz w:val="21"/>
          <w:szCs w:val="21"/>
          <w:spacing w:val="-10"/>
        </w:rPr>
        <w:t>供的产品和服务不兼容，转换成本和网络外部性会把用户与生产商捆</w:t>
      </w:r>
      <w:r>
        <w:rPr>
          <w:rFonts w:ascii="SimSun" w:hAnsi="SimSun" w:eastAsia="SimSun" w:cs="SimSun"/>
          <w:sz w:val="21"/>
          <w:szCs w:val="21"/>
          <w:spacing w:val="3"/>
        </w:rPr>
        <w:t xml:space="preserve"> </w:t>
      </w:r>
      <w:r>
        <w:rPr>
          <w:rFonts w:ascii="SimSun" w:hAnsi="SimSun" w:eastAsia="SimSun" w:cs="SimSun"/>
          <w:sz w:val="21"/>
          <w:szCs w:val="21"/>
          <w:spacing w:val="-4"/>
        </w:rPr>
        <w:t>绑在一起，将用户甚至市场锁定在早期的选择中，这阻碍了用户在 </w:t>
      </w:r>
      <w:r>
        <w:rPr>
          <w:rFonts w:ascii="SimSun" w:hAnsi="SimSun" w:eastAsia="SimSun" w:cs="SimSun"/>
          <w:sz w:val="21"/>
          <w:szCs w:val="21"/>
          <w:spacing w:val="-3"/>
        </w:rPr>
        <w:t>(可预测或不可预测的)效率变化时更换生产商，并让生产商拥</w:t>
      </w:r>
      <w:r>
        <w:rPr>
          <w:rFonts w:ascii="SimSun" w:hAnsi="SimSun" w:eastAsia="SimSun" w:cs="SimSun"/>
          <w:sz w:val="21"/>
          <w:szCs w:val="21"/>
          <w:spacing w:val="-4"/>
        </w:rPr>
        <w:t>有更</w:t>
      </w:r>
      <w:r>
        <w:rPr>
          <w:rFonts w:ascii="SimSun" w:hAnsi="SimSun" w:eastAsia="SimSun" w:cs="SimSun"/>
          <w:sz w:val="21"/>
          <w:szCs w:val="21"/>
        </w:rPr>
        <w:t xml:space="preserve"> </w:t>
      </w:r>
      <w:r>
        <w:rPr>
          <w:rFonts w:ascii="SimSun" w:hAnsi="SimSun" w:eastAsia="SimSun" w:cs="SimSun"/>
          <w:sz w:val="21"/>
          <w:szCs w:val="21"/>
          <w:spacing w:val="-11"/>
        </w:rPr>
        <w:t>大的市场权力。同时，在网络外部性的影响下，当买方和互补品生产 </w:t>
      </w:r>
      <w:r>
        <w:rPr>
          <w:rFonts w:ascii="SimSun" w:hAnsi="SimSun" w:eastAsia="SimSun" w:cs="SimSun"/>
          <w:sz w:val="21"/>
          <w:szCs w:val="21"/>
          <w:spacing w:val="-7"/>
        </w:rPr>
        <w:t>者的选择期望取决于一些非效率因素(特别是历史</w:t>
      </w:r>
      <w:r>
        <w:rPr>
          <w:rFonts w:ascii="SimSun" w:hAnsi="SimSun" w:eastAsia="SimSun" w:cs="SimSun"/>
          <w:sz w:val="21"/>
          <w:szCs w:val="21"/>
          <w:spacing w:val="-8"/>
        </w:rPr>
        <w:t>因素，如过去的市 </w:t>
      </w:r>
      <w:r>
        <w:rPr>
          <w:rFonts w:ascii="SimSun" w:hAnsi="SimSun" w:eastAsia="SimSun" w:cs="SimSun"/>
          <w:sz w:val="21"/>
          <w:szCs w:val="21"/>
          <w:spacing w:val="-7"/>
        </w:rPr>
        <w:t>场份额)时，在位企业几乎没有动力提供更好的商</w:t>
      </w:r>
      <w:r>
        <w:rPr>
          <w:rFonts w:ascii="SimSun" w:hAnsi="SimSun" w:eastAsia="SimSun" w:cs="SimSun"/>
          <w:sz w:val="21"/>
          <w:szCs w:val="21"/>
          <w:spacing w:val="-8"/>
        </w:rPr>
        <w:t>品或服务。平台企 </w:t>
      </w:r>
      <w:r>
        <w:rPr>
          <w:rFonts w:ascii="SimSun" w:hAnsi="SimSun" w:eastAsia="SimSun" w:cs="SimSun"/>
          <w:sz w:val="21"/>
          <w:szCs w:val="21"/>
          <w:spacing w:val="-8"/>
        </w:rPr>
        <w:t>业所具有的头部效应能使其维持对新进入者或初创企业</w:t>
      </w:r>
      <w:r>
        <w:rPr>
          <w:rFonts w:ascii="SimSun" w:hAnsi="SimSun" w:eastAsia="SimSun" w:cs="SimSun"/>
          <w:sz w:val="21"/>
          <w:szCs w:val="21"/>
          <w:spacing w:val="-9"/>
        </w:rPr>
        <w:t>的竞争优势。</w:t>
      </w:r>
    </w:p>
    <w:p>
      <w:pPr>
        <w:spacing w:line="309" w:lineRule="auto"/>
        <w:sectPr>
          <w:headerReference w:type="default" r:id="rId493"/>
          <w:pgSz w:w="7330" w:h="12480"/>
          <w:pgMar w:top="577" w:right="514" w:bottom="400" w:left="759" w:header="415"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spacing w:before="65" w:line="332" w:lineRule="auto"/>
        <w:jc w:val="both"/>
        <w:rPr>
          <w:rFonts w:ascii="SimSun" w:hAnsi="SimSun" w:eastAsia="SimSun" w:cs="SimSun"/>
          <w:sz w:val="20"/>
          <w:szCs w:val="20"/>
        </w:rPr>
      </w:pPr>
      <w:r>
        <w:rPr>
          <w:rFonts w:ascii="SimSun" w:hAnsi="SimSun" w:eastAsia="SimSun" w:cs="SimSun"/>
          <w:sz w:val="20"/>
          <w:szCs w:val="20"/>
          <w:spacing w:val="-1"/>
        </w:rPr>
        <w:t>当初创企业所提供的技术或服务难以为消费者带来超过转换成本的价</w:t>
      </w:r>
      <w:r>
        <w:rPr>
          <w:rFonts w:ascii="SimSun" w:hAnsi="SimSun" w:eastAsia="SimSun" w:cs="SimSun"/>
          <w:sz w:val="20"/>
          <w:szCs w:val="20"/>
          <w:spacing w:val="4"/>
        </w:rPr>
        <w:t xml:space="preserve">  </w:t>
      </w:r>
      <w:r>
        <w:rPr>
          <w:rFonts w:ascii="SimSun" w:hAnsi="SimSun" w:eastAsia="SimSun" w:cs="SimSun"/>
          <w:sz w:val="20"/>
          <w:szCs w:val="20"/>
          <w:spacing w:val="-1"/>
        </w:rPr>
        <w:t>值时，平台企业将取得天然的竞争优势，初创企业很容易因为用户数 </w:t>
      </w:r>
      <w:r>
        <w:rPr>
          <w:rFonts w:ascii="SimSun" w:hAnsi="SimSun" w:eastAsia="SimSun" w:cs="SimSun"/>
          <w:sz w:val="20"/>
          <w:szCs w:val="20"/>
          <w:spacing w:val="-1"/>
        </w:rPr>
        <w:t>不足而难以继续进行技术开发。行业不仅将维持寡头化，而且缺乏技 </w:t>
      </w:r>
      <w:r>
        <w:rPr>
          <w:rFonts w:ascii="SimSun" w:hAnsi="SimSun" w:eastAsia="SimSun" w:cs="SimSun"/>
          <w:sz w:val="20"/>
          <w:szCs w:val="20"/>
          <w:spacing w:val="-1"/>
        </w:rPr>
        <w:t>术改善的动力。其次，在网络外部性较为显著的行业中，单一企业在 </w:t>
      </w:r>
      <w:r>
        <w:rPr>
          <w:rFonts w:ascii="SimSun" w:hAnsi="SimSun" w:eastAsia="SimSun" w:cs="SimSun"/>
          <w:sz w:val="20"/>
          <w:szCs w:val="20"/>
          <w:spacing w:val="-1"/>
        </w:rPr>
        <w:t>市场上具有优势地位并维持地位的可能性更高。市场中的用户更倾向 </w:t>
      </w:r>
      <w:r>
        <w:rPr>
          <w:rFonts w:ascii="SimSun" w:hAnsi="SimSun" w:eastAsia="SimSun" w:cs="SimSun"/>
          <w:sz w:val="20"/>
          <w:szCs w:val="20"/>
          <w:spacing w:val="-1"/>
        </w:rPr>
        <w:t>于使用与最大多数用户相兼容的产品。所以，如果一家企业拥有更大 </w:t>
      </w:r>
      <w:r>
        <w:rPr>
          <w:rFonts w:ascii="SimSun" w:hAnsi="SimSun" w:eastAsia="SimSun" w:cs="SimSun"/>
          <w:sz w:val="20"/>
          <w:szCs w:val="20"/>
          <w:spacing w:val="-2"/>
        </w:rPr>
        <w:t>数量的用户群，而其产品与市场中其</w:t>
      </w:r>
      <w:r>
        <w:rPr>
          <w:rFonts w:ascii="SimSun" w:hAnsi="SimSun" w:eastAsia="SimSun" w:cs="SimSun"/>
          <w:sz w:val="20"/>
          <w:szCs w:val="20"/>
          <w:u w:val="single" w:color="auto"/>
          <w:spacing w:val="-2"/>
        </w:rPr>
        <w:t>他企业</w:t>
      </w:r>
      <w:r>
        <w:rPr>
          <w:rFonts w:ascii="SimSun" w:hAnsi="SimSun" w:eastAsia="SimSun" w:cs="SimSun"/>
          <w:sz w:val="20"/>
          <w:szCs w:val="20"/>
          <w:spacing w:val="-2"/>
        </w:rPr>
        <w:t>的产品不兼容，这家企业</w:t>
      </w:r>
      <w:r>
        <w:rPr>
          <w:rFonts w:ascii="SimSun" w:hAnsi="SimSun" w:eastAsia="SimSun" w:cs="SimSun"/>
          <w:sz w:val="20"/>
          <w:szCs w:val="20"/>
          <w:spacing w:val="7"/>
        </w:rPr>
        <w:t xml:space="preserve">  </w:t>
      </w:r>
      <w:r>
        <w:rPr>
          <w:rFonts w:ascii="SimSun" w:hAnsi="SimSun" w:eastAsia="SimSun" w:cs="SimSun"/>
          <w:sz w:val="20"/>
          <w:szCs w:val="20"/>
          <w:spacing w:val="2"/>
        </w:rPr>
        <w:t>就更有可能取得支配地位，也更有动力阻止其他企业设计兼容产品。</w:t>
      </w:r>
      <w:r>
        <w:rPr>
          <w:rFonts w:ascii="SimSun" w:hAnsi="SimSun" w:eastAsia="SimSun" w:cs="SimSun"/>
          <w:sz w:val="20"/>
          <w:szCs w:val="20"/>
        </w:rPr>
        <w:t xml:space="preserve"> </w:t>
      </w:r>
      <w:r>
        <w:rPr>
          <w:rFonts w:ascii="SimSun" w:hAnsi="SimSun" w:eastAsia="SimSun" w:cs="SimSun"/>
          <w:sz w:val="20"/>
          <w:szCs w:val="20"/>
          <w:spacing w:val="-1"/>
        </w:rPr>
        <w:t>对用户而言，如果需要花费很高的成本来实现兼容，即便其他企业的 </w:t>
      </w:r>
      <w:r>
        <w:rPr>
          <w:rFonts w:ascii="SimSun" w:hAnsi="SimSun" w:eastAsia="SimSun" w:cs="SimSun"/>
          <w:sz w:val="20"/>
          <w:szCs w:val="20"/>
          <w:spacing w:val="-1"/>
        </w:rPr>
        <w:t>产品纯粹从技术角度而言品质更佳，这些产品的吸引力也会降低。在</w:t>
      </w:r>
      <w:r>
        <w:rPr>
          <w:rFonts w:ascii="SimSun" w:hAnsi="SimSun" w:eastAsia="SimSun" w:cs="SimSun"/>
          <w:sz w:val="20"/>
          <w:szCs w:val="20"/>
        </w:rPr>
        <w:t xml:space="preserve">  </w:t>
      </w:r>
      <w:r>
        <w:rPr>
          <w:rFonts w:ascii="SimSun" w:hAnsi="SimSun" w:eastAsia="SimSun" w:cs="SimSun"/>
          <w:sz w:val="20"/>
          <w:szCs w:val="20"/>
          <w:spacing w:val="-1"/>
        </w:rPr>
        <w:t>这些行业中，平台企业一旦取得优势地位，就具有维持其市场份额的 </w:t>
      </w:r>
      <w:r>
        <w:rPr>
          <w:rFonts w:ascii="SimSun" w:hAnsi="SimSun" w:eastAsia="SimSun" w:cs="SimSun"/>
          <w:sz w:val="20"/>
          <w:szCs w:val="20"/>
          <w:spacing w:val="-1"/>
        </w:rPr>
        <w:t>竞争能力，且可以通过并购、掠夺性定价等多种手段压缩其他企业的 </w:t>
      </w:r>
      <w:r>
        <w:rPr>
          <w:rFonts w:ascii="SimSun" w:hAnsi="SimSun" w:eastAsia="SimSun" w:cs="SimSun"/>
          <w:sz w:val="20"/>
          <w:szCs w:val="20"/>
          <w:spacing w:val="-1"/>
        </w:rPr>
        <w:t>市场份额。头部效应要求新技术研发企业至少能够吸引到越过“临界 </w:t>
      </w:r>
      <w:r>
        <w:rPr>
          <w:rFonts w:ascii="SimSun" w:hAnsi="SimSun" w:eastAsia="SimSun" w:cs="SimSun"/>
          <w:sz w:val="20"/>
          <w:szCs w:val="20"/>
          <w:spacing w:val="-1"/>
        </w:rPr>
        <w:t>规模”的用户数量，否则在竞争中取得优势的技术将不可逆转地排他 </w:t>
      </w:r>
      <w:r>
        <w:rPr>
          <w:rFonts w:ascii="SimSun" w:hAnsi="SimSun" w:eastAsia="SimSun" w:cs="SimSun"/>
          <w:sz w:val="20"/>
          <w:szCs w:val="20"/>
          <w:spacing w:val="-1"/>
        </w:rPr>
        <w:t>支配着市场，形成锁定效应。最后，对于大数据产业而言，</w:t>
      </w:r>
      <w:r>
        <w:rPr>
          <w:rFonts w:ascii="SimSun" w:hAnsi="SimSun" w:eastAsia="SimSun" w:cs="SimSun"/>
          <w:sz w:val="20"/>
          <w:szCs w:val="20"/>
          <w:spacing w:val="-2"/>
        </w:rPr>
        <w:t>较低的进</w:t>
      </w:r>
      <w:r>
        <w:rPr>
          <w:rFonts w:ascii="SimSun" w:hAnsi="SimSun" w:eastAsia="SimSun" w:cs="SimSun"/>
          <w:sz w:val="20"/>
          <w:szCs w:val="20"/>
        </w:rPr>
        <w:t xml:space="preserve">  </w:t>
      </w:r>
      <w:r>
        <w:rPr>
          <w:rFonts w:ascii="SimSun" w:hAnsi="SimSun" w:eastAsia="SimSun" w:cs="SimSun"/>
          <w:sz w:val="20"/>
          <w:szCs w:val="20"/>
          <w:spacing w:val="-1"/>
        </w:rPr>
        <w:t>入门槛也可能被网络效应拉高。OECD  认为，大数据经济“天然倾向</w:t>
      </w:r>
      <w:r>
        <w:rPr>
          <w:rFonts w:ascii="SimSun" w:hAnsi="SimSun" w:eastAsia="SimSun" w:cs="SimSun"/>
          <w:sz w:val="20"/>
          <w:szCs w:val="20"/>
          <w:spacing w:val="2"/>
        </w:rPr>
        <w:t xml:space="preserve">  </w:t>
      </w:r>
      <w:r>
        <w:rPr>
          <w:rFonts w:ascii="SimSun" w:hAnsi="SimSun" w:eastAsia="SimSun" w:cs="SimSun"/>
          <w:sz w:val="20"/>
          <w:szCs w:val="20"/>
          <w:spacing w:val="2"/>
        </w:rPr>
        <w:t>于市场集中和支配地位”,风投公司几乎不会赞助寡头市场的创业公</w:t>
      </w:r>
    </w:p>
    <w:p>
      <w:pPr>
        <w:spacing w:line="219" w:lineRule="auto"/>
        <w:rPr>
          <w:rFonts w:ascii="SimSun" w:hAnsi="SimSun" w:eastAsia="SimSun" w:cs="SimSun"/>
          <w:sz w:val="20"/>
          <w:szCs w:val="20"/>
        </w:rPr>
      </w:pPr>
      <w:r>
        <w:rPr>
          <w:rFonts w:ascii="SimSun" w:hAnsi="SimSun" w:eastAsia="SimSun" w:cs="SimSun"/>
          <w:sz w:val="20"/>
          <w:szCs w:val="20"/>
          <w:spacing w:val="-5"/>
        </w:rPr>
        <w:t>司，如搜索引擎市场。</w:t>
      </w:r>
    </w:p>
    <w:p>
      <w:pPr>
        <w:ind w:right="6" w:firstLine="420"/>
        <w:spacing w:before="118" w:line="337" w:lineRule="auto"/>
        <w:jc w:val="both"/>
        <w:rPr>
          <w:rFonts w:ascii="SimSun" w:hAnsi="SimSun" w:eastAsia="SimSun" w:cs="SimSun"/>
          <w:sz w:val="20"/>
          <w:szCs w:val="20"/>
        </w:rPr>
      </w:pPr>
      <w:r>
        <w:rPr>
          <w:rFonts w:ascii="SimSun" w:hAnsi="SimSun" w:eastAsia="SimSun" w:cs="SimSun"/>
          <w:sz w:val="20"/>
          <w:szCs w:val="20"/>
          <w:spacing w:val="7"/>
        </w:rPr>
        <w:t>我国数字经济发展迅猛，平台企业崛起的同时也带来寡头化倾 </w:t>
      </w:r>
      <w:r>
        <w:rPr>
          <w:rFonts w:ascii="SimSun" w:hAnsi="SimSun" w:eastAsia="SimSun" w:cs="SimSun"/>
          <w:sz w:val="20"/>
          <w:szCs w:val="20"/>
          <w:spacing w:val="-1"/>
        </w:rPr>
        <w:t>向的危险。从数字经济规模来看，我国已成为仅次于美国的全球第二</w:t>
      </w:r>
      <w:r>
        <w:rPr>
          <w:rFonts w:ascii="SimSun" w:hAnsi="SimSun" w:eastAsia="SimSun" w:cs="SimSun"/>
          <w:sz w:val="20"/>
          <w:szCs w:val="20"/>
        </w:rPr>
        <w:t xml:space="preserve">  </w:t>
      </w:r>
      <w:r>
        <w:rPr>
          <w:rFonts w:ascii="SimSun" w:hAnsi="SimSun" w:eastAsia="SimSun" w:cs="SimSun"/>
          <w:sz w:val="20"/>
          <w:szCs w:val="20"/>
          <w:spacing w:val="5"/>
        </w:rPr>
        <w:t>大数字经济体。中国信通院2021年发布的《中国数字经济发展白皮</w:t>
      </w:r>
      <w:r>
        <w:rPr>
          <w:rFonts w:ascii="SimSun" w:hAnsi="SimSun" w:eastAsia="SimSun" w:cs="SimSun"/>
          <w:sz w:val="20"/>
          <w:szCs w:val="20"/>
          <w:spacing w:val="6"/>
        </w:rPr>
        <w:t xml:space="preserve">  </w:t>
      </w:r>
      <w:r>
        <w:rPr>
          <w:rFonts w:ascii="SimSun" w:hAnsi="SimSun" w:eastAsia="SimSun" w:cs="SimSun"/>
          <w:sz w:val="20"/>
          <w:szCs w:val="20"/>
          <w:spacing w:val="5"/>
        </w:rPr>
        <w:t>书》统计显示，2020年，47个国家数字经济增加值规模达到32.</w:t>
      </w:r>
      <w:r>
        <w:rPr>
          <w:rFonts w:ascii="SimSun" w:hAnsi="SimSun" w:eastAsia="SimSun" w:cs="SimSun"/>
          <w:sz w:val="20"/>
          <w:szCs w:val="20"/>
          <w:spacing w:val="4"/>
        </w:rPr>
        <w:t>6万 </w:t>
      </w:r>
      <w:r>
        <w:rPr>
          <w:rFonts w:ascii="SimSun" w:hAnsi="SimSun" w:eastAsia="SimSun" w:cs="SimSun"/>
          <w:sz w:val="20"/>
          <w:szCs w:val="20"/>
          <w:spacing w:val="12"/>
        </w:rPr>
        <w:t>亿美元，同比名义增长3.0%,占</w:t>
      </w:r>
      <w:r>
        <w:rPr>
          <w:rFonts w:ascii="SimSun" w:hAnsi="SimSun" w:eastAsia="SimSun" w:cs="SimSun"/>
          <w:sz w:val="20"/>
          <w:szCs w:val="20"/>
          <w:spacing w:val="-37"/>
        </w:rPr>
        <w:t xml:space="preserve"> </w:t>
      </w:r>
      <w:r>
        <w:rPr>
          <w:rFonts w:ascii="SimSun" w:hAnsi="SimSun" w:eastAsia="SimSun" w:cs="SimSun"/>
          <w:sz w:val="20"/>
          <w:szCs w:val="20"/>
        </w:rPr>
        <w:t>GDP</w:t>
      </w:r>
      <w:r>
        <w:rPr>
          <w:rFonts w:ascii="SimSun" w:hAnsi="SimSun" w:eastAsia="SimSun" w:cs="SimSun"/>
          <w:sz w:val="20"/>
          <w:szCs w:val="20"/>
          <w:spacing w:val="56"/>
        </w:rPr>
        <w:t xml:space="preserve"> </w:t>
      </w:r>
      <w:r>
        <w:rPr>
          <w:rFonts w:ascii="SimSun" w:hAnsi="SimSun" w:eastAsia="SimSun" w:cs="SimSun"/>
          <w:sz w:val="20"/>
          <w:szCs w:val="20"/>
          <w:spacing w:val="12"/>
        </w:rPr>
        <w:t>比重为43.7%,产业数字</w:t>
      </w:r>
      <w:r>
        <w:rPr>
          <w:rFonts w:ascii="SimSun" w:hAnsi="SimSun" w:eastAsia="SimSun" w:cs="SimSun"/>
          <w:sz w:val="20"/>
          <w:szCs w:val="20"/>
          <w:spacing w:val="11"/>
        </w:rPr>
        <w:t>化仍</w:t>
      </w:r>
      <w:r>
        <w:rPr>
          <w:rFonts w:ascii="SimSun" w:hAnsi="SimSun" w:eastAsia="SimSun" w:cs="SimSun"/>
          <w:sz w:val="20"/>
          <w:szCs w:val="20"/>
        </w:rPr>
        <w:t xml:space="preserve"> </w:t>
      </w:r>
      <w:r>
        <w:rPr>
          <w:rFonts w:ascii="SimSun" w:hAnsi="SimSun" w:eastAsia="SimSun" w:cs="SimSun"/>
          <w:sz w:val="20"/>
          <w:szCs w:val="20"/>
          <w:spacing w:val="2"/>
        </w:rPr>
        <w:t>然是数字经济发展的主引擎，占数字经济比重为84.4%。我国数字经 </w:t>
      </w:r>
      <w:r>
        <w:rPr>
          <w:rFonts w:ascii="SimSun" w:hAnsi="SimSun" w:eastAsia="SimSun" w:cs="SimSun"/>
          <w:sz w:val="20"/>
          <w:szCs w:val="20"/>
          <w:spacing w:val="7"/>
        </w:rPr>
        <w:t>济规模达到39.2万亿元，占</w:t>
      </w:r>
      <w:r>
        <w:rPr>
          <w:rFonts w:ascii="Times New Roman" w:hAnsi="Times New Roman" w:eastAsia="Times New Roman" w:cs="Times New Roman"/>
          <w:sz w:val="20"/>
          <w:szCs w:val="20"/>
        </w:rPr>
        <w:t>GDP</w:t>
      </w:r>
      <w:r>
        <w:rPr>
          <w:rFonts w:ascii="SimSun" w:hAnsi="SimSun" w:eastAsia="SimSun" w:cs="SimSun"/>
          <w:sz w:val="20"/>
          <w:szCs w:val="20"/>
          <w:spacing w:val="7"/>
        </w:rPr>
        <w:t>比重为38.6%,同比名义增长9.7%。</w:t>
      </w:r>
      <w:r>
        <w:rPr>
          <w:rFonts w:ascii="SimSun" w:hAnsi="SimSun" w:eastAsia="SimSun" w:cs="SimSun"/>
          <w:sz w:val="20"/>
          <w:szCs w:val="20"/>
          <w:spacing w:val="14"/>
        </w:rPr>
        <w:t xml:space="preserve"> </w:t>
      </w:r>
      <w:r>
        <w:rPr>
          <w:rFonts w:ascii="SimSun" w:hAnsi="SimSun" w:eastAsia="SimSun" w:cs="SimSun"/>
          <w:sz w:val="20"/>
          <w:szCs w:val="20"/>
          <w:spacing w:val="5"/>
        </w:rPr>
        <w:t>与此同时，数字经济领域的多个行业市场集中度逐渐增高：在2020</w:t>
      </w:r>
    </w:p>
    <w:p>
      <w:pPr>
        <w:spacing w:line="216" w:lineRule="auto"/>
        <w:rPr>
          <w:rFonts w:ascii="SimSun" w:hAnsi="SimSun" w:eastAsia="SimSun" w:cs="SimSun"/>
          <w:sz w:val="20"/>
          <w:szCs w:val="20"/>
        </w:rPr>
      </w:pPr>
      <w:r>
        <w:rPr>
          <w:rFonts w:ascii="SimSun" w:hAnsi="SimSun" w:eastAsia="SimSun" w:cs="SimSun"/>
          <w:sz w:val="20"/>
          <w:szCs w:val="20"/>
          <w:spacing w:val="10"/>
        </w:rPr>
        <w:t>年，中国零售电商业务营收前三的上市公司市场份额合计83.67%,</w:t>
      </w:r>
    </w:p>
    <w:p>
      <w:pPr>
        <w:spacing w:line="216" w:lineRule="auto"/>
        <w:sectPr>
          <w:headerReference w:type="default" r:id="rId494"/>
          <w:pgSz w:w="7330" w:h="12480"/>
          <w:pgMar w:top="859" w:right="789" w:bottom="400" w:left="479" w:header="702" w:footer="0" w:gutter="0"/>
        </w:sectPr>
        <w:rPr>
          <w:rFonts w:ascii="SimSun" w:hAnsi="SimSun" w:eastAsia="SimSun" w:cs="SimSun"/>
          <w:sz w:val="20"/>
          <w:szCs w:val="20"/>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right="77"/>
        <w:spacing w:before="68" w:line="304" w:lineRule="auto"/>
        <w:jc w:val="both"/>
        <w:rPr>
          <w:rFonts w:ascii="SimSun" w:hAnsi="SimSun" w:eastAsia="SimSun" w:cs="SimSun"/>
          <w:sz w:val="21"/>
          <w:szCs w:val="21"/>
        </w:rPr>
      </w:pPr>
      <w:r>
        <w:rPr>
          <w:rFonts w:ascii="SimSun" w:hAnsi="SimSun" w:eastAsia="SimSun" w:cs="SimSun"/>
          <w:sz w:val="21"/>
          <w:szCs w:val="21"/>
          <w:spacing w:val="-6"/>
        </w:rPr>
        <w:t>营收前五的份额合计为92.51%;①第三方支付市场已形成支付宝、财</w:t>
      </w:r>
      <w:r>
        <w:rPr>
          <w:rFonts w:ascii="SimSun" w:hAnsi="SimSun" w:eastAsia="SimSun" w:cs="SimSun"/>
          <w:sz w:val="21"/>
          <w:szCs w:val="21"/>
          <w:spacing w:val="9"/>
        </w:rPr>
        <w:t xml:space="preserve"> </w:t>
      </w:r>
      <w:r>
        <w:rPr>
          <w:rFonts w:ascii="SimSun" w:hAnsi="SimSun" w:eastAsia="SimSun" w:cs="SimSun"/>
          <w:sz w:val="21"/>
          <w:szCs w:val="21"/>
          <w:spacing w:val="4"/>
        </w:rPr>
        <w:t>付通(含微信支付)两大巨头垄断的市场格局，两</w:t>
      </w:r>
      <w:r>
        <w:rPr>
          <w:rFonts w:ascii="SimSun" w:hAnsi="SimSun" w:eastAsia="SimSun" w:cs="SimSun"/>
          <w:sz w:val="21"/>
          <w:szCs w:val="21"/>
          <w:spacing w:val="3"/>
        </w:rPr>
        <w:t>者的份额共计为</w:t>
      </w:r>
      <w:r>
        <w:rPr>
          <w:rFonts w:ascii="SimSun" w:hAnsi="SimSun" w:eastAsia="SimSun" w:cs="SimSun"/>
          <w:sz w:val="21"/>
          <w:szCs w:val="21"/>
        </w:rPr>
        <w:t xml:space="preserve"> </w:t>
      </w:r>
      <w:r>
        <w:rPr>
          <w:rFonts w:ascii="SimSun" w:hAnsi="SimSun" w:eastAsia="SimSun" w:cs="SimSun"/>
          <w:sz w:val="21"/>
          <w:szCs w:val="21"/>
          <w:spacing w:val="-3"/>
        </w:rPr>
        <w:t>93.8%;②在即时通信领域，截至2020年三季度末，微信月活用户达</w:t>
      </w:r>
      <w:r>
        <w:rPr>
          <w:rFonts w:ascii="SimSun" w:hAnsi="SimSun" w:eastAsia="SimSun" w:cs="SimSun"/>
          <w:sz w:val="21"/>
          <w:szCs w:val="21"/>
        </w:rPr>
        <w:t xml:space="preserve"> </w:t>
      </w:r>
      <w:r>
        <w:rPr>
          <w:rFonts w:ascii="Times New Roman" w:hAnsi="Times New Roman" w:eastAsia="Times New Roman" w:cs="Times New Roman"/>
          <w:sz w:val="21"/>
          <w:szCs w:val="21"/>
          <w:spacing w:val="-13"/>
        </w:rPr>
        <w:t>12.1</w:t>
      </w:r>
      <w:r>
        <w:rPr>
          <w:rFonts w:ascii="SimSun" w:hAnsi="SimSun" w:eastAsia="SimSun" w:cs="SimSun"/>
          <w:sz w:val="21"/>
          <w:szCs w:val="21"/>
          <w:spacing w:val="-13"/>
        </w:rPr>
        <w:t>3</w:t>
      </w:r>
      <w:r>
        <w:rPr>
          <w:rFonts w:ascii="SimSun" w:hAnsi="SimSun" w:eastAsia="SimSun" w:cs="SimSun"/>
          <w:sz w:val="21"/>
          <w:szCs w:val="21"/>
          <w:spacing w:val="-24"/>
        </w:rPr>
        <w:t xml:space="preserve"> </w:t>
      </w:r>
      <w:r>
        <w:rPr>
          <w:rFonts w:ascii="SimSun" w:hAnsi="SimSun" w:eastAsia="SimSun" w:cs="SimSun"/>
          <w:sz w:val="21"/>
          <w:szCs w:val="21"/>
          <w:spacing w:val="-13"/>
        </w:rPr>
        <w:t>亿</w:t>
      </w:r>
      <w:r>
        <w:rPr>
          <w:rFonts w:ascii="SimSun" w:hAnsi="SimSun" w:eastAsia="SimSun" w:cs="SimSun"/>
          <w:sz w:val="21"/>
          <w:szCs w:val="21"/>
          <w:spacing w:val="-35"/>
        </w:rPr>
        <w:t xml:space="preserve"> </w:t>
      </w:r>
      <w:r>
        <w:rPr>
          <w:rFonts w:ascii="SimSun" w:hAnsi="SimSun" w:eastAsia="SimSun" w:cs="SimSun"/>
          <w:sz w:val="21"/>
          <w:szCs w:val="21"/>
          <w:spacing w:val="-13"/>
        </w:rPr>
        <w:t>，</w:t>
      </w:r>
      <w:r>
        <w:rPr>
          <w:rFonts w:ascii="Times New Roman" w:hAnsi="Times New Roman" w:eastAsia="Times New Roman" w:cs="Times New Roman"/>
          <w:sz w:val="21"/>
          <w:szCs w:val="21"/>
          <w:spacing w:val="-13"/>
        </w:rPr>
        <w:t>QQ</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3"/>
        </w:rPr>
        <w:t>智能终端月活用户为6.17亿。③在这些领域，平台企业</w:t>
      </w:r>
      <w:r>
        <w:rPr>
          <w:rFonts w:ascii="SimSun" w:hAnsi="SimSun" w:eastAsia="SimSun" w:cs="SimSun"/>
          <w:sz w:val="21"/>
          <w:szCs w:val="21"/>
        </w:rPr>
        <w:t xml:space="preserve"> </w:t>
      </w:r>
      <w:r>
        <w:rPr>
          <w:rFonts w:ascii="SimSun" w:hAnsi="SimSun" w:eastAsia="SimSun" w:cs="SimSun"/>
          <w:sz w:val="21"/>
          <w:szCs w:val="21"/>
          <w:spacing w:val="-10"/>
        </w:rPr>
        <w:t>借助既有的多边用户数量，不断吸引新用户，已经形成</w:t>
      </w:r>
      <w:r>
        <w:rPr>
          <w:rFonts w:ascii="SimSun" w:hAnsi="SimSun" w:eastAsia="SimSun" w:cs="SimSun"/>
          <w:sz w:val="21"/>
          <w:szCs w:val="21"/>
          <w:spacing w:val="-11"/>
        </w:rPr>
        <w:t>难以被挑战的</w:t>
      </w:r>
      <w:r>
        <w:rPr>
          <w:rFonts w:ascii="SimSun" w:hAnsi="SimSun" w:eastAsia="SimSun" w:cs="SimSun"/>
          <w:sz w:val="21"/>
          <w:szCs w:val="21"/>
        </w:rPr>
        <w:t xml:space="preserve"> </w:t>
      </w:r>
      <w:r>
        <w:rPr>
          <w:rFonts w:ascii="SimSun" w:hAnsi="SimSun" w:eastAsia="SimSun" w:cs="SimSun"/>
          <w:sz w:val="21"/>
          <w:szCs w:val="21"/>
          <w:spacing w:val="-11"/>
        </w:rPr>
        <w:t>寡头垄断地位，新进入者难以通过技术改进吸引到能够形成有效竞争</w:t>
      </w:r>
      <w:r>
        <w:rPr>
          <w:rFonts w:ascii="SimSun" w:hAnsi="SimSun" w:eastAsia="SimSun" w:cs="SimSun"/>
          <w:sz w:val="21"/>
          <w:szCs w:val="21"/>
          <w:spacing w:val="17"/>
        </w:rPr>
        <w:t xml:space="preserve"> </w:t>
      </w:r>
      <w:r>
        <w:rPr>
          <w:rFonts w:ascii="SimSun" w:hAnsi="SimSun" w:eastAsia="SimSun" w:cs="SimSun"/>
          <w:sz w:val="21"/>
          <w:szCs w:val="21"/>
          <w:spacing w:val="-11"/>
        </w:rPr>
        <w:t>能力的用户数量，数字经济领域中的寡头化趋势较为明显。</w:t>
      </w:r>
    </w:p>
    <w:p>
      <w:pPr>
        <w:pStyle w:val="BodyText"/>
        <w:spacing w:line="38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4"/>
        </w:rPr>
        <w:t>市场支配力</w:t>
      </w:r>
    </w:p>
    <w:p>
      <w:pPr>
        <w:pStyle w:val="BodyText"/>
        <w:spacing w:line="360" w:lineRule="auto"/>
        <w:rPr/>
      </w:pPr>
      <w:r/>
    </w:p>
    <w:p>
      <w:pPr>
        <w:ind w:firstLine="450"/>
        <w:spacing w:before="68" w:line="301" w:lineRule="auto"/>
        <w:jc w:val="both"/>
        <w:rPr>
          <w:rFonts w:ascii="SimSun" w:hAnsi="SimSun" w:eastAsia="SimSun" w:cs="SimSun"/>
          <w:sz w:val="21"/>
          <w:szCs w:val="21"/>
        </w:rPr>
      </w:pPr>
      <w:r>
        <w:rPr>
          <w:rFonts w:ascii="SimSun" w:hAnsi="SimSun" w:eastAsia="SimSun" w:cs="SimSun"/>
          <w:sz w:val="21"/>
          <w:szCs w:val="21"/>
          <w:spacing w:val="-3"/>
        </w:rPr>
        <w:t>市场支配力是指企业能够通过减少产出，将其产品价格提高到</w:t>
      </w:r>
      <w:r>
        <w:rPr>
          <w:rFonts w:ascii="SimSun" w:hAnsi="SimSun" w:eastAsia="SimSun" w:cs="SimSun"/>
          <w:sz w:val="21"/>
          <w:szCs w:val="21"/>
          <w:spacing w:val="4"/>
        </w:rPr>
        <w:t xml:space="preserve"> </w:t>
      </w:r>
      <w:r>
        <w:rPr>
          <w:rFonts w:ascii="SimSun" w:hAnsi="SimSun" w:eastAsia="SimSun" w:cs="SimSun"/>
          <w:sz w:val="21"/>
          <w:szCs w:val="21"/>
          <w:spacing w:val="-11"/>
        </w:rPr>
        <w:t>竞争水平以上，从而增加利润的能力。我国《反垄断法》第十七条规</w:t>
      </w:r>
      <w:r>
        <w:rPr>
          <w:rFonts w:ascii="SimSun" w:hAnsi="SimSun" w:eastAsia="SimSun" w:cs="SimSun"/>
          <w:sz w:val="21"/>
          <w:szCs w:val="21"/>
          <w:spacing w:val="8"/>
        </w:rPr>
        <w:t xml:space="preserve">  </w:t>
      </w:r>
      <w:r>
        <w:rPr>
          <w:rFonts w:ascii="SimSun" w:hAnsi="SimSun" w:eastAsia="SimSun" w:cs="SimSun"/>
          <w:sz w:val="21"/>
          <w:szCs w:val="21"/>
          <w:spacing w:val="-7"/>
        </w:rPr>
        <w:t>定：市场支配地位是指经营者在相关市场内具有能够控</w:t>
      </w:r>
      <w:r>
        <w:rPr>
          <w:rFonts w:ascii="SimSun" w:hAnsi="SimSun" w:eastAsia="SimSun" w:cs="SimSun"/>
          <w:sz w:val="21"/>
          <w:szCs w:val="21"/>
          <w:spacing w:val="-8"/>
        </w:rPr>
        <w:t>制商品价格、</w:t>
      </w:r>
      <w:r>
        <w:rPr>
          <w:rFonts w:ascii="SimSun" w:hAnsi="SimSun" w:eastAsia="SimSun" w:cs="SimSun"/>
          <w:sz w:val="21"/>
          <w:szCs w:val="21"/>
        </w:rPr>
        <w:t xml:space="preserve"> </w:t>
      </w:r>
      <w:r>
        <w:rPr>
          <w:rFonts w:ascii="SimSun" w:hAnsi="SimSun" w:eastAsia="SimSun" w:cs="SimSun"/>
          <w:sz w:val="21"/>
          <w:szCs w:val="21"/>
          <w:spacing w:val="-10"/>
        </w:rPr>
        <w:t>数量或者其他交易条件，或者能够阻碍、影响</w:t>
      </w:r>
      <w:r>
        <w:rPr>
          <w:rFonts w:ascii="SimSun" w:hAnsi="SimSun" w:eastAsia="SimSun" w:cs="SimSun"/>
          <w:sz w:val="21"/>
          <w:szCs w:val="21"/>
          <w:spacing w:val="-11"/>
        </w:rPr>
        <w:t>其他经营者进入相关市</w:t>
      </w:r>
      <w:r>
        <w:rPr>
          <w:rFonts w:ascii="SimSun" w:hAnsi="SimSun" w:eastAsia="SimSun" w:cs="SimSun"/>
          <w:sz w:val="21"/>
          <w:szCs w:val="21"/>
        </w:rPr>
        <w:t xml:space="preserve">  </w:t>
      </w:r>
      <w:r>
        <w:rPr>
          <w:rFonts w:ascii="SimSun" w:hAnsi="SimSun" w:eastAsia="SimSun" w:cs="SimSun"/>
          <w:sz w:val="21"/>
          <w:szCs w:val="21"/>
          <w:spacing w:val="-10"/>
        </w:rPr>
        <w:t>场能力的市场地位。美国法律并未对市场支</w:t>
      </w:r>
      <w:r>
        <w:rPr>
          <w:rFonts w:ascii="SimSun" w:hAnsi="SimSun" w:eastAsia="SimSun" w:cs="SimSun"/>
          <w:sz w:val="21"/>
          <w:szCs w:val="21"/>
          <w:spacing w:val="-11"/>
        </w:rPr>
        <w:t>配力有明确定义，对其认</w:t>
      </w:r>
      <w:r>
        <w:rPr>
          <w:rFonts w:ascii="SimSun" w:hAnsi="SimSun" w:eastAsia="SimSun" w:cs="SimSun"/>
          <w:sz w:val="21"/>
          <w:szCs w:val="21"/>
        </w:rPr>
        <w:t xml:space="preserve">  </w:t>
      </w:r>
      <w:r>
        <w:rPr>
          <w:rFonts w:ascii="SimSun" w:hAnsi="SimSun" w:eastAsia="SimSun" w:cs="SimSun"/>
          <w:sz w:val="21"/>
          <w:szCs w:val="21"/>
          <w:spacing w:val="-7"/>
        </w:rPr>
        <w:t>定主要来源于判例法，且要构成《谢尔曼法》第2条的非法垄断化行</w:t>
      </w:r>
      <w:r>
        <w:rPr>
          <w:rFonts w:ascii="SimSun" w:hAnsi="SimSun" w:eastAsia="SimSun" w:cs="SimSun"/>
          <w:sz w:val="21"/>
          <w:szCs w:val="21"/>
          <w:spacing w:val="2"/>
        </w:rPr>
        <w:t xml:space="preserve">  </w:t>
      </w:r>
      <w:r>
        <w:rPr>
          <w:rFonts w:ascii="SimSun" w:hAnsi="SimSun" w:eastAsia="SimSun" w:cs="SimSun"/>
          <w:sz w:val="21"/>
          <w:szCs w:val="21"/>
          <w:spacing w:val="-10"/>
        </w:rPr>
        <w:t>为，被告必须有高度的市场支配力量，但如果是</w:t>
      </w:r>
      <w:r>
        <w:rPr>
          <w:rFonts w:ascii="SimSun" w:hAnsi="SimSun" w:eastAsia="SimSun" w:cs="SimSun"/>
          <w:sz w:val="21"/>
          <w:szCs w:val="21"/>
          <w:spacing w:val="-11"/>
        </w:rPr>
        <w:t>企图垄断，虽然也需</w:t>
      </w:r>
      <w:r>
        <w:rPr>
          <w:rFonts w:ascii="SimSun" w:hAnsi="SimSun" w:eastAsia="SimSun" w:cs="SimSun"/>
          <w:sz w:val="21"/>
          <w:szCs w:val="21"/>
        </w:rPr>
        <w:t xml:space="preserve">  </w:t>
      </w:r>
      <w:r>
        <w:rPr>
          <w:rFonts w:ascii="SimSun" w:hAnsi="SimSun" w:eastAsia="SimSun" w:cs="SimSun"/>
          <w:sz w:val="21"/>
          <w:szCs w:val="21"/>
          <w:spacing w:val="-7"/>
        </w:rPr>
        <w:t>要有市场支配力量，但要件更模糊。《欧盟运行条约》第102条规定</w:t>
      </w:r>
      <w:r>
        <w:rPr>
          <w:rFonts w:ascii="SimSun" w:hAnsi="SimSun" w:eastAsia="SimSun" w:cs="SimSun"/>
          <w:sz w:val="21"/>
          <w:szCs w:val="21"/>
          <w:spacing w:val="7"/>
        </w:rPr>
        <w:t xml:space="preserve">  </w:t>
      </w:r>
      <w:r>
        <w:rPr>
          <w:rFonts w:ascii="SimSun" w:hAnsi="SimSun" w:eastAsia="SimSun" w:cs="SimSun"/>
          <w:sz w:val="21"/>
          <w:szCs w:val="21"/>
          <w:spacing w:val="-2"/>
        </w:rPr>
        <w:t>了滥用市场支配地位的行为，但“支配地位”与“滥用”比较难界</w:t>
      </w:r>
      <w:r>
        <w:rPr>
          <w:rFonts w:ascii="SimSun" w:hAnsi="SimSun" w:eastAsia="SimSun" w:cs="SimSun"/>
          <w:sz w:val="21"/>
          <w:szCs w:val="21"/>
          <w:spacing w:val="5"/>
        </w:rPr>
        <w:t xml:space="preserve"> </w:t>
      </w:r>
      <w:r>
        <w:rPr>
          <w:rFonts w:ascii="SimSun" w:hAnsi="SimSun" w:eastAsia="SimSun" w:cs="SimSun"/>
          <w:sz w:val="21"/>
          <w:szCs w:val="21"/>
          <w:spacing w:val="-11"/>
        </w:rPr>
        <w:t>定，欧盟主要通过案例在具体案件中进行界定。法院认为，支配地位</w:t>
      </w:r>
      <w:r>
        <w:rPr>
          <w:rFonts w:ascii="SimSun" w:hAnsi="SimSun" w:eastAsia="SimSun" w:cs="SimSun"/>
          <w:sz w:val="21"/>
          <w:szCs w:val="21"/>
          <w:spacing w:val="8"/>
        </w:rPr>
        <w:t xml:space="preserve">  </w:t>
      </w:r>
      <w:r>
        <w:rPr>
          <w:rFonts w:ascii="SimSun" w:hAnsi="SimSun" w:eastAsia="SimSun" w:cs="SimSun"/>
          <w:sz w:val="21"/>
          <w:szCs w:val="21"/>
          <w:spacing w:val="-11"/>
        </w:rPr>
        <w:t>指的是经营者的独立性以及排除有效竞争的能力，通常被等同于庞大</w:t>
      </w:r>
      <w:r>
        <w:rPr>
          <w:rFonts w:ascii="SimSun" w:hAnsi="SimSun" w:eastAsia="SimSun" w:cs="SimSun"/>
          <w:sz w:val="21"/>
          <w:szCs w:val="21"/>
          <w:spacing w:val="9"/>
        </w:rPr>
        <w:t xml:space="preserve">  </w:t>
      </w:r>
      <w:r>
        <w:rPr>
          <w:rFonts w:ascii="SimSun" w:hAnsi="SimSun" w:eastAsia="SimSun" w:cs="SimSun"/>
          <w:sz w:val="21"/>
          <w:szCs w:val="21"/>
          <w:spacing w:val="-11"/>
        </w:rPr>
        <w:t>的市场支配力，即在相当长的时间里将价格提高到竞争水平以上并从</w:t>
      </w:r>
      <w:r>
        <w:rPr>
          <w:rFonts w:ascii="SimSun" w:hAnsi="SimSun" w:eastAsia="SimSun" w:cs="SimSun"/>
          <w:sz w:val="21"/>
          <w:szCs w:val="21"/>
          <w:spacing w:val="8"/>
        </w:rPr>
        <w:t xml:space="preserve">  </w:t>
      </w:r>
      <w:r>
        <w:rPr>
          <w:rFonts w:ascii="SimSun" w:hAnsi="SimSun" w:eastAsia="SimSun" w:cs="SimSun"/>
          <w:sz w:val="21"/>
          <w:szCs w:val="21"/>
          <w:spacing w:val="-12"/>
        </w:rPr>
        <w:t>中获利的能力。</w:t>
      </w:r>
    </w:p>
    <w:p>
      <w:pPr>
        <w:ind w:right="28"/>
        <w:spacing w:before="211" w:line="219" w:lineRule="auto"/>
        <w:jc w:val="right"/>
        <w:rPr>
          <w:rFonts w:ascii="SimSun" w:hAnsi="SimSun" w:eastAsia="SimSun" w:cs="SimSun"/>
          <w:sz w:val="21"/>
          <w:szCs w:val="21"/>
        </w:rPr>
      </w:pPr>
      <w:r>
        <w:rPr>
          <w:rFonts w:ascii="SimSun" w:hAnsi="SimSun" w:eastAsia="SimSun" w:cs="SimSun"/>
          <w:sz w:val="21"/>
          <w:szCs w:val="21"/>
          <w:spacing w:val="-11"/>
        </w:rPr>
        <w:t>由于平台的交叉网络效应，平台所处的行业经常呈现出寡头化的</w:t>
      </w:r>
    </w:p>
    <w:p>
      <w:pPr>
        <w:pStyle w:val="BodyText"/>
        <w:spacing w:line="258" w:lineRule="auto"/>
        <w:rPr/>
      </w:pPr>
      <w:r/>
    </w:p>
    <w:p>
      <w:pPr>
        <w:spacing w:before="52" w:line="220" w:lineRule="auto"/>
        <w:jc w:val="right"/>
        <w:rPr>
          <w:rFonts w:ascii="KaiTi" w:hAnsi="KaiTi" w:eastAsia="KaiTi" w:cs="KaiTi"/>
          <w:sz w:val="16"/>
          <w:szCs w:val="16"/>
        </w:rPr>
      </w:pPr>
      <w:r>
        <w:rPr>
          <w:rFonts w:ascii="KaiTi" w:hAnsi="KaiTi" w:eastAsia="KaiTi" w:cs="KaiTi"/>
          <w:sz w:val="16"/>
          <w:szCs w:val="16"/>
          <w:spacing w:val="-4"/>
        </w:rPr>
        <w:t>①</w:t>
      </w:r>
      <w:r>
        <w:rPr>
          <w:rFonts w:ascii="KaiTi" w:hAnsi="KaiTi" w:eastAsia="KaiTi" w:cs="KaiTi"/>
          <w:sz w:val="16"/>
          <w:szCs w:val="16"/>
          <w:spacing w:val="-4"/>
        </w:rPr>
        <w:t xml:space="preserve">  </w:t>
      </w:r>
      <w:r>
        <w:rPr>
          <w:rFonts w:ascii="KaiTi" w:hAnsi="KaiTi" w:eastAsia="KaiTi" w:cs="KaiTi"/>
          <w:sz w:val="16"/>
          <w:szCs w:val="16"/>
          <w:spacing w:val="-4"/>
        </w:rPr>
        <w:t>前瞻产业研究院.2020年中国电子商务行业市场前瞻与投资战略规划分析报告，2021.</w:t>
      </w:r>
    </w:p>
    <w:p>
      <w:pPr>
        <w:spacing w:before="100" w:line="274" w:lineRule="exact"/>
        <w:rPr>
          <w:rFonts w:ascii="KaiTi" w:hAnsi="KaiTi" w:eastAsia="KaiTi" w:cs="KaiTi"/>
          <w:sz w:val="16"/>
          <w:szCs w:val="16"/>
        </w:rPr>
      </w:pPr>
      <w:r>
        <w:rPr>
          <w:rFonts w:ascii="KaiTi" w:hAnsi="KaiTi" w:eastAsia="KaiTi" w:cs="KaiTi"/>
          <w:sz w:val="16"/>
          <w:szCs w:val="16"/>
          <w:spacing w:val="4"/>
          <w:position w:val="8"/>
        </w:rPr>
        <w:t>②</w:t>
      </w:r>
      <w:r>
        <w:rPr>
          <w:rFonts w:ascii="KaiTi" w:hAnsi="KaiTi" w:eastAsia="KaiTi" w:cs="KaiTi"/>
          <w:sz w:val="16"/>
          <w:szCs w:val="16"/>
          <w:spacing w:val="66"/>
          <w:position w:val="8"/>
        </w:rPr>
        <w:t xml:space="preserve"> </w:t>
      </w:r>
      <w:r>
        <w:rPr>
          <w:rFonts w:ascii="KaiTi" w:hAnsi="KaiTi" w:eastAsia="KaiTi" w:cs="KaiTi"/>
          <w:sz w:val="16"/>
          <w:szCs w:val="16"/>
          <w:spacing w:val="4"/>
          <w:position w:val="8"/>
        </w:rPr>
        <w:t>艾瑞咨询.2020年中国第三方支付行业研究报告，</w:t>
      </w:r>
      <w:r>
        <w:rPr>
          <w:rFonts w:ascii="KaiTi" w:hAnsi="KaiTi" w:eastAsia="KaiTi" w:cs="KaiTi"/>
          <w:sz w:val="16"/>
          <w:szCs w:val="16"/>
          <w:spacing w:val="3"/>
          <w:position w:val="8"/>
        </w:rPr>
        <w:t>2020.</w:t>
      </w:r>
    </w:p>
    <w:p>
      <w:pPr>
        <w:spacing w:line="224" w:lineRule="auto"/>
        <w:rPr>
          <w:rFonts w:ascii="KaiTi" w:hAnsi="KaiTi" w:eastAsia="KaiTi" w:cs="KaiTi"/>
          <w:sz w:val="16"/>
          <w:szCs w:val="16"/>
        </w:rPr>
      </w:pPr>
      <w:r>
        <w:rPr>
          <w:rFonts w:ascii="KaiTi" w:hAnsi="KaiTi" w:eastAsia="KaiTi" w:cs="KaiTi"/>
          <w:sz w:val="16"/>
          <w:szCs w:val="16"/>
          <w:spacing w:val="5"/>
        </w:rPr>
        <w:t>③</w:t>
      </w:r>
      <w:r>
        <w:rPr>
          <w:rFonts w:ascii="KaiTi" w:hAnsi="KaiTi" w:eastAsia="KaiTi" w:cs="KaiTi"/>
          <w:sz w:val="16"/>
          <w:szCs w:val="16"/>
          <w:spacing w:val="63"/>
          <w:w w:val="101"/>
        </w:rPr>
        <w:t xml:space="preserve"> </w:t>
      </w:r>
      <w:r>
        <w:rPr>
          <w:rFonts w:ascii="KaiTi" w:hAnsi="KaiTi" w:eastAsia="KaiTi" w:cs="KaiTi"/>
          <w:sz w:val="16"/>
          <w:szCs w:val="16"/>
          <w:spacing w:val="5"/>
        </w:rPr>
        <w:t>腾讯2020年第三季度财报。</w:t>
      </w:r>
    </w:p>
    <w:p>
      <w:pPr>
        <w:spacing w:line="224" w:lineRule="auto"/>
        <w:sectPr>
          <w:headerReference w:type="default" r:id="rId495"/>
          <w:pgSz w:w="7330" w:h="12480"/>
          <w:pgMar w:top="577" w:right="505" w:bottom="400" w:left="739" w:header="415" w:footer="0" w:gutter="0"/>
        </w:sectPr>
        <w:rPr>
          <w:rFonts w:ascii="KaiTi" w:hAnsi="KaiTi" w:eastAsia="KaiTi" w:cs="KaiTi"/>
          <w:sz w:val="16"/>
          <w:szCs w:val="16"/>
        </w:rPr>
      </w:pPr>
    </w:p>
    <w:p>
      <w:pPr>
        <w:pStyle w:val="BodyText"/>
        <w:spacing w:line="253" w:lineRule="auto"/>
        <w:rPr/>
      </w:pPr>
      <w:r>
        <w:drawing>
          <wp:anchor distT="0" distB="0" distL="0" distR="0" simplePos="0" relativeHeight="256034816" behindDoc="0" locked="0" layoutInCell="0" allowOverlap="1">
            <wp:simplePos x="0" y="0"/>
            <wp:positionH relativeFrom="page">
              <wp:posOffset>292119</wp:posOffset>
            </wp:positionH>
            <wp:positionV relativeFrom="page">
              <wp:posOffset>6915175</wp:posOffset>
            </wp:positionV>
            <wp:extent cx="1174715" cy="6350"/>
            <wp:effectExtent l="0" t="0" r="0" b="0"/>
            <wp:wrapNone/>
            <wp:docPr id="370" name="IM 370"/>
            <wp:cNvGraphicFramePr/>
            <a:graphic>
              <a:graphicData uri="http://schemas.openxmlformats.org/drawingml/2006/picture">
                <pic:pic>
                  <pic:nvPicPr>
                    <pic:cNvPr id="370" name="IM 370"/>
                    <pic:cNvPicPr/>
                  </pic:nvPicPr>
                  <pic:blipFill>
                    <a:blip r:embed="rId497"/>
                    <a:stretch>
                      <a:fillRect/>
                    </a:stretch>
                  </pic:blipFill>
                  <pic:spPr>
                    <a:xfrm rot="0">
                      <a:off x="0" y="0"/>
                      <a:ext cx="1174715" cy="6350"/>
                    </a:xfrm>
                    <a:prstGeom prst="rect">
                      <a:avLst/>
                    </a:prstGeom>
                  </pic:spPr>
                </pic:pic>
              </a:graphicData>
            </a:graphic>
          </wp:anchor>
        </w:drawing>
      </w:r>
      <w:r/>
    </w:p>
    <w:p>
      <w:pPr>
        <w:pStyle w:val="BodyText"/>
        <w:spacing w:line="253" w:lineRule="auto"/>
        <w:rPr/>
      </w:pPr>
      <w:r/>
    </w:p>
    <w:p>
      <w:pPr>
        <w:pStyle w:val="BodyText"/>
        <w:spacing w:line="253" w:lineRule="auto"/>
        <w:rPr/>
      </w:pPr>
      <w:r/>
    </w:p>
    <w:p>
      <w:pPr>
        <w:pStyle w:val="BodyText"/>
        <w:spacing w:line="253" w:lineRule="auto"/>
        <w:rPr/>
      </w:pPr>
      <w:r/>
    </w:p>
    <w:p>
      <w:pPr>
        <w:ind w:right="38"/>
        <w:spacing w:before="68" w:line="307" w:lineRule="auto"/>
        <w:jc w:val="both"/>
        <w:rPr>
          <w:rFonts w:ascii="SimSun" w:hAnsi="SimSun" w:eastAsia="SimSun" w:cs="SimSun"/>
          <w:sz w:val="21"/>
          <w:szCs w:val="21"/>
        </w:rPr>
      </w:pPr>
      <w:r>
        <w:rPr>
          <w:rFonts w:ascii="SimSun" w:hAnsi="SimSun" w:eastAsia="SimSun" w:cs="SimSun"/>
          <w:sz w:val="21"/>
          <w:szCs w:val="21"/>
          <w:spacing w:val="-10"/>
        </w:rPr>
        <w:t>特征。执法机构在衡量平台企业的市场支配力时，需要综合考量市场</w:t>
      </w:r>
      <w:r>
        <w:rPr>
          <w:rFonts w:ascii="SimSun" w:hAnsi="SimSun" w:eastAsia="SimSun" w:cs="SimSun"/>
          <w:sz w:val="21"/>
          <w:szCs w:val="21"/>
          <w:spacing w:val="1"/>
        </w:rPr>
        <w:t xml:space="preserve"> </w:t>
      </w:r>
      <w:r>
        <w:rPr>
          <w:rFonts w:ascii="SimSun" w:hAnsi="SimSun" w:eastAsia="SimSun" w:cs="SimSun"/>
          <w:sz w:val="21"/>
          <w:szCs w:val="21"/>
          <w:spacing w:val="-10"/>
        </w:rPr>
        <w:t>份额、市场进入壁垒等因素。首先，平台的市场支配力来源多样</w:t>
      </w:r>
      <w:r>
        <w:rPr>
          <w:rFonts w:ascii="SimSun" w:hAnsi="SimSun" w:eastAsia="SimSun" w:cs="SimSun"/>
          <w:sz w:val="21"/>
          <w:szCs w:val="21"/>
          <w:spacing w:val="-11"/>
        </w:rPr>
        <w:t>，莉</w:t>
      </w:r>
      <w:r>
        <w:rPr>
          <w:rFonts w:ascii="SimSun" w:hAnsi="SimSun" w:eastAsia="SimSun" w:cs="SimSun"/>
          <w:sz w:val="21"/>
          <w:szCs w:val="21"/>
        </w:rPr>
        <w:t xml:space="preserve"> </w:t>
      </w:r>
      <w:r>
        <w:rPr>
          <w:rFonts w:ascii="SimSun" w:hAnsi="SimSun" w:eastAsia="SimSun" w:cs="SimSun"/>
          <w:sz w:val="21"/>
          <w:szCs w:val="21"/>
          <w:spacing w:val="-10"/>
        </w:rPr>
        <w:t>娜·可汗认为分为三类。第一类是守门人权力</w:t>
      </w:r>
      <w:r>
        <w:rPr>
          <w:rFonts w:ascii="SimSun" w:hAnsi="SimSun" w:eastAsia="SimSun" w:cs="SimSun"/>
          <w:sz w:val="21"/>
          <w:szCs w:val="21"/>
          <w:spacing w:val="-11"/>
        </w:rPr>
        <w:t>，此种权力来源于平台</w:t>
      </w:r>
      <w:r>
        <w:rPr>
          <w:rFonts w:ascii="SimSun" w:hAnsi="SimSun" w:eastAsia="SimSun" w:cs="SimSun"/>
          <w:sz w:val="21"/>
          <w:szCs w:val="21"/>
        </w:rPr>
        <w:t xml:space="preserve"> </w:t>
      </w:r>
      <w:r>
        <w:rPr>
          <w:rFonts w:ascii="SimSun" w:hAnsi="SimSun" w:eastAsia="SimSun" w:cs="SimSun"/>
          <w:sz w:val="21"/>
          <w:szCs w:val="21"/>
          <w:spacing w:val="-11"/>
        </w:rPr>
        <w:t>为数据市场提供有效的基础设施，它们作为分配渠道，是商业的主干</w:t>
      </w:r>
      <w:r>
        <w:rPr>
          <w:rFonts w:ascii="SimSun" w:hAnsi="SimSun" w:eastAsia="SimSun" w:cs="SimSun"/>
          <w:sz w:val="21"/>
          <w:szCs w:val="21"/>
          <w:spacing w:val="6"/>
        </w:rPr>
        <w:t xml:space="preserve"> </w:t>
      </w:r>
      <w:r>
        <w:rPr>
          <w:rFonts w:ascii="SimSun" w:hAnsi="SimSun" w:eastAsia="SimSun" w:cs="SimSun"/>
          <w:sz w:val="21"/>
          <w:szCs w:val="21"/>
          <w:spacing w:val="-11"/>
        </w:rPr>
        <w:t>道。具有市场支配力的平台对市场的控制力来源于网络效应和数据获</w:t>
      </w:r>
      <w:r>
        <w:rPr>
          <w:rFonts w:ascii="SimSun" w:hAnsi="SimSun" w:eastAsia="SimSun" w:cs="SimSun"/>
          <w:sz w:val="21"/>
          <w:szCs w:val="21"/>
          <w:spacing w:val="7"/>
        </w:rPr>
        <w:t xml:space="preserve"> </w:t>
      </w:r>
      <w:r>
        <w:rPr>
          <w:rFonts w:ascii="SimSun" w:hAnsi="SimSun" w:eastAsia="SimSun" w:cs="SimSun"/>
          <w:sz w:val="21"/>
          <w:szCs w:val="21"/>
          <w:spacing w:val="-10"/>
        </w:rPr>
        <w:t>取的自我强化优势，这种优势可以有效转化为市场进入壁垒。</w:t>
      </w:r>
      <w:r>
        <w:rPr>
          <w:rFonts w:ascii="SimSun" w:hAnsi="SimSun" w:eastAsia="SimSun" w:cs="SimSun"/>
          <w:sz w:val="21"/>
          <w:szCs w:val="21"/>
          <w:spacing w:val="-11"/>
        </w:rPr>
        <w:t>第二类</w:t>
      </w:r>
      <w:r>
        <w:rPr>
          <w:rFonts w:ascii="SimSun" w:hAnsi="SimSun" w:eastAsia="SimSun" w:cs="SimSun"/>
          <w:sz w:val="21"/>
          <w:szCs w:val="21"/>
        </w:rPr>
        <w:t xml:space="preserve"> </w:t>
      </w:r>
      <w:r>
        <w:rPr>
          <w:rFonts w:ascii="SimSun" w:hAnsi="SimSun" w:eastAsia="SimSun" w:cs="SimSun"/>
          <w:sz w:val="21"/>
          <w:szCs w:val="21"/>
          <w:spacing w:val="-11"/>
        </w:rPr>
        <w:t>权力来源于杠杆效应，这是因为平台不仅掌握着关键基础设施，还在</w:t>
      </w:r>
      <w:r>
        <w:rPr>
          <w:rFonts w:ascii="SimSun" w:hAnsi="SimSun" w:eastAsia="SimSun" w:cs="SimSun"/>
          <w:sz w:val="21"/>
          <w:szCs w:val="21"/>
          <w:spacing w:val="9"/>
        </w:rPr>
        <w:t xml:space="preserve"> </w:t>
      </w:r>
      <w:r>
        <w:rPr>
          <w:rFonts w:ascii="SimSun" w:hAnsi="SimSun" w:eastAsia="SimSun" w:cs="SimSun"/>
          <w:sz w:val="21"/>
          <w:szCs w:val="21"/>
          <w:spacing w:val="-11"/>
        </w:rPr>
        <w:t>多个市场进行整合，这使得平台可以将其在主营市场的支配力传递到</w:t>
      </w:r>
      <w:r>
        <w:rPr>
          <w:rFonts w:ascii="SimSun" w:hAnsi="SimSun" w:eastAsia="SimSun" w:cs="SimSun"/>
          <w:sz w:val="21"/>
          <w:szCs w:val="21"/>
          <w:spacing w:val="12"/>
        </w:rPr>
        <w:t xml:space="preserve"> </w:t>
      </w:r>
      <w:r>
        <w:rPr>
          <w:rFonts w:ascii="SimSun" w:hAnsi="SimSun" w:eastAsia="SimSun" w:cs="SimSun"/>
          <w:sz w:val="21"/>
          <w:szCs w:val="21"/>
          <w:spacing w:val="-11"/>
        </w:rPr>
        <w:t>其他市场。第三类权力是信息利用，这种权力的来源是平台收集的关</w:t>
      </w:r>
      <w:r>
        <w:rPr>
          <w:rFonts w:ascii="SimSun" w:hAnsi="SimSun" w:eastAsia="SimSun" w:cs="SimSun"/>
          <w:sz w:val="21"/>
          <w:szCs w:val="21"/>
          <w:spacing w:val="8"/>
        </w:rPr>
        <w:t xml:space="preserve"> </w:t>
      </w:r>
      <w:r>
        <w:rPr>
          <w:rFonts w:ascii="SimSun" w:hAnsi="SimSun" w:eastAsia="SimSun" w:cs="SimSun"/>
          <w:sz w:val="21"/>
          <w:szCs w:val="21"/>
          <w:spacing w:val="-4"/>
        </w:rPr>
        <w:t>于消费者和商家的数据的不同表现形式。</w:t>
      </w:r>
    </w:p>
    <w:p>
      <w:pPr>
        <w:ind w:right="29" w:firstLine="429"/>
        <w:spacing w:before="112" w:line="317" w:lineRule="auto"/>
        <w:jc w:val="both"/>
        <w:rPr>
          <w:rFonts w:ascii="SimSun" w:hAnsi="SimSun" w:eastAsia="SimSun" w:cs="SimSun"/>
          <w:sz w:val="21"/>
          <w:szCs w:val="21"/>
        </w:rPr>
      </w:pPr>
      <w:r>
        <w:rPr>
          <w:rFonts w:ascii="SimSun" w:hAnsi="SimSun" w:eastAsia="SimSun" w:cs="SimSun"/>
          <w:sz w:val="21"/>
          <w:szCs w:val="21"/>
          <w:spacing w:val="-4"/>
        </w:rPr>
        <w:t>作为传统的市场衡量方法，市场份额的实质是一种市场结构因</w:t>
      </w:r>
      <w:r>
        <w:rPr>
          <w:rFonts w:ascii="SimSun" w:hAnsi="SimSun" w:eastAsia="SimSun" w:cs="SimSun"/>
          <w:sz w:val="21"/>
          <w:szCs w:val="21"/>
          <w:spacing w:val="18"/>
        </w:rPr>
        <w:t xml:space="preserve"> </w:t>
      </w:r>
      <w:r>
        <w:rPr>
          <w:rFonts w:ascii="SimSun" w:hAnsi="SimSun" w:eastAsia="SimSun" w:cs="SimSun"/>
          <w:sz w:val="21"/>
          <w:szCs w:val="21"/>
          <w:spacing w:val="-11"/>
        </w:rPr>
        <w:t>素，是市场结构在判定市场绩效中影响的体现。我国《反垄断法》第</w:t>
      </w:r>
      <w:r>
        <w:rPr>
          <w:rFonts w:ascii="SimSun" w:hAnsi="SimSun" w:eastAsia="SimSun" w:cs="SimSun"/>
          <w:sz w:val="21"/>
          <w:szCs w:val="21"/>
          <w:spacing w:val="12"/>
        </w:rPr>
        <w:t xml:space="preserve"> </w:t>
      </w:r>
      <w:r>
        <w:rPr>
          <w:rFonts w:ascii="SimSun" w:hAnsi="SimSun" w:eastAsia="SimSun" w:cs="SimSun"/>
          <w:sz w:val="21"/>
          <w:szCs w:val="21"/>
          <w:spacing w:val="-11"/>
        </w:rPr>
        <w:t>十九条规定的推定标准借鉴了国际反垄断立法实践经验，但由于双边</w:t>
      </w:r>
      <w:r>
        <w:rPr>
          <w:rFonts w:ascii="SimSun" w:hAnsi="SimSun" w:eastAsia="SimSun" w:cs="SimSun"/>
          <w:sz w:val="21"/>
          <w:szCs w:val="21"/>
          <w:spacing w:val="5"/>
        </w:rPr>
        <w:t xml:space="preserve"> </w:t>
      </w:r>
      <w:r>
        <w:rPr>
          <w:rFonts w:ascii="SimSun" w:hAnsi="SimSun" w:eastAsia="SimSun" w:cs="SimSun"/>
          <w:sz w:val="21"/>
          <w:szCs w:val="21"/>
          <w:spacing w:val="-11"/>
        </w:rPr>
        <w:t>市场和网络外部性决定的头部效应特点，平台企业必须突破某个临界</w:t>
      </w:r>
      <w:r>
        <w:rPr>
          <w:rFonts w:ascii="SimSun" w:hAnsi="SimSun" w:eastAsia="SimSun" w:cs="SimSun"/>
          <w:sz w:val="21"/>
          <w:szCs w:val="21"/>
          <w:spacing w:val="7"/>
        </w:rPr>
        <w:t xml:space="preserve"> </w:t>
      </w:r>
      <w:r>
        <w:rPr>
          <w:rFonts w:ascii="SimSun" w:hAnsi="SimSun" w:eastAsia="SimSun" w:cs="SimSun"/>
          <w:sz w:val="21"/>
          <w:szCs w:val="21"/>
          <w:spacing w:val="-10"/>
        </w:rPr>
        <w:t>规模才能开始平稳地运行双边市场模式，在达到临界</w:t>
      </w:r>
      <w:r>
        <w:rPr>
          <w:rFonts w:ascii="SimSun" w:hAnsi="SimSun" w:eastAsia="SimSun" w:cs="SimSun"/>
          <w:sz w:val="21"/>
          <w:szCs w:val="21"/>
          <w:spacing w:val="-11"/>
        </w:rPr>
        <w:t>规模后，双边用</w:t>
      </w:r>
      <w:r>
        <w:rPr>
          <w:rFonts w:ascii="SimSun" w:hAnsi="SimSun" w:eastAsia="SimSun" w:cs="SimSun"/>
          <w:sz w:val="21"/>
          <w:szCs w:val="21"/>
        </w:rPr>
        <w:t xml:space="preserve"> </w:t>
      </w:r>
      <w:r>
        <w:rPr>
          <w:rFonts w:ascii="SimSun" w:hAnsi="SimSun" w:eastAsia="SimSun" w:cs="SimSun"/>
          <w:sz w:val="21"/>
          <w:szCs w:val="21"/>
          <w:spacing w:val="-11"/>
        </w:rPr>
        <w:t>户规模仍然受到交叉网络效应的影响，市场份额的变动幅度要比传统</w:t>
      </w:r>
      <w:r>
        <w:rPr>
          <w:rFonts w:ascii="SimSun" w:hAnsi="SimSun" w:eastAsia="SimSun" w:cs="SimSun"/>
          <w:sz w:val="21"/>
          <w:szCs w:val="21"/>
          <w:spacing w:val="8"/>
        </w:rPr>
        <w:t xml:space="preserve"> </w:t>
      </w:r>
      <w:r>
        <w:rPr>
          <w:rFonts w:ascii="SimSun" w:hAnsi="SimSun" w:eastAsia="SimSun" w:cs="SimSun"/>
          <w:sz w:val="21"/>
          <w:szCs w:val="21"/>
          <w:spacing w:val="-11"/>
        </w:rPr>
        <w:t>单边市场大。因此，在衡量平台市场份额时，需要重点关注时间和计</w:t>
      </w:r>
      <w:r>
        <w:rPr>
          <w:rFonts w:ascii="SimSun" w:hAnsi="SimSun" w:eastAsia="SimSun" w:cs="SimSun"/>
          <w:sz w:val="21"/>
          <w:szCs w:val="21"/>
          <w:spacing w:val="7"/>
        </w:rPr>
        <w:t xml:space="preserve"> </w:t>
      </w:r>
      <w:r>
        <w:rPr>
          <w:rFonts w:ascii="SimSun" w:hAnsi="SimSun" w:eastAsia="SimSun" w:cs="SimSun"/>
          <w:sz w:val="21"/>
          <w:szCs w:val="21"/>
          <w:spacing w:val="-11"/>
        </w:rPr>
        <w:t>算标准。第一，时间长度。由于平台企业的交叉外部性效应，平</w:t>
      </w:r>
      <w:r>
        <w:rPr>
          <w:rFonts w:ascii="SimSun" w:hAnsi="SimSun" w:eastAsia="SimSun" w:cs="SimSun"/>
          <w:sz w:val="21"/>
          <w:szCs w:val="21"/>
          <w:spacing w:val="-12"/>
        </w:rPr>
        <w:t>台企</w:t>
      </w:r>
      <w:r>
        <w:rPr>
          <w:rFonts w:ascii="SimSun" w:hAnsi="SimSun" w:eastAsia="SimSun" w:cs="SimSun"/>
          <w:sz w:val="21"/>
          <w:szCs w:val="21"/>
        </w:rPr>
        <w:t xml:space="preserve"> </w:t>
      </w:r>
      <w:r>
        <w:rPr>
          <w:rFonts w:ascii="SimSun" w:hAnsi="SimSun" w:eastAsia="SimSun" w:cs="SimSun"/>
          <w:sz w:val="21"/>
          <w:szCs w:val="21"/>
          <w:spacing w:val="-11"/>
        </w:rPr>
        <w:t>业往往在较短时间内成为行业寡头，但面临激烈的竞争，平台企业是</w:t>
      </w:r>
      <w:r>
        <w:rPr>
          <w:rFonts w:ascii="SimSun" w:hAnsi="SimSun" w:eastAsia="SimSun" w:cs="SimSun"/>
          <w:sz w:val="21"/>
          <w:szCs w:val="21"/>
          <w:spacing w:val="9"/>
        </w:rPr>
        <w:t xml:space="preserve"> </w:t>
      </w:r>
      <w:r>
        <w:rPr>
          <w:rFonts w:ascii="SimSun" w:hAnsi="SimSun" w:eastAsia="SimSun" w:cs="SimSun"/>
          <w:sz w:val="21"/>
          <w:szCs w:val="21"/>
          <w:spacing w:val="-11"/>
        </w:rPr>
        <w:t>否可以将较高的市场份额转化为真正的支配能力，时间就成为关键的</w:t>
      </w:r>
      <w:r>
        <w:rPr>
          <w:rFonts w:ascii="SimSun" w:hAnsi="SimSun" w:eastAsia="SimSun" w:cs="SimSun"/>
          <w:sz w:val="21"/>
          <w:szCs w:val="21"/>
          <w:spacing w:val="14"/>
        </w:rPr>
        <w:t xml:space="preserve"> </w:t>
      </w:r>
      <w:r>
        <w:rPr>
          <w:rFonts w:ascii="SimSun" w:hAnsi="SimSun" w:eastAsia="SimSun" w:cs="SimSun"/>
          <w:sz w:val="21"/>
          <w:szCs w:val="21"/>
          <w:spacing w:val="-14"/>
        </w:rPr>
        <w:t>判断要素。 一方面，必须留出足够的时间来观察平台企业的市场份额</w:t>
      </w:r>
      <w:r>
        <w:rPr>
          <w:rFonts w:ascii="SimSun" w:hAnsi="SimSun" w:eastAsia="SimSun" w:cs="SimSun"/>
          <w:sz w:val="21"/>
          <w:szCs w:val="21"/>
          <w:spacing w:val="5"/>
        </w:rPr>
        <w:t xml:space="preserve"> </w:t>
      </w:r>
      <w:r>
        <w:rPr>
          <w:rFonts w:ascii="SimSun" w:hAnsi="SimSun" w:eastAsia="SimSun" w:cs="SimSun"/>
          <w:sz w:val="21"/>
          <w:szCs w:val="21"/>
          <w:spacing w:val="-11"/>
        </w:rPr>
        <w:t>转化效果；另一方面，时间太长可能会出现平台企业的支配力量得而</w:t>
      </w:r>
      <w:r>
        <w:rPr>
          <w:rFonts w:ascii="SimSun" w:hAnsi="SimSun" w:eastAsia="SimSun" w:cs="SimSun"/>
          <w:sz w:val="21"/>
          <w:szCs w:val="21"/>
          <w:spacing w:val="9"/>
        </w:rPr>
        <w:t xml:space="preserve"> </w:t>
      </w:r>
      <w:r>
        <w:rPr>
          <w:rFonts w:ascii="SimSun" w:hAnsi="SimSun" w:eastAsia="SimSun" w:cs="SimSun"/>
          <w:sz w:val="21"/>
          <w:szCs w:val="21"/>
          <w:spacing w:val="-10"/>
        </w:rPr>
        <w:t>复失的情况。第二，计算标准。传统的计算标准为销售额，但由于平</w:t>
      </w:r>
    </w:p>
    <w:p>
      <w:pPr>
        <w:spacing w:line="219" w:lineRule="auto"/>
        <w:rPr>
          <w:rFonts w:ascii="SimSun" w:hAnsi="SimSun" w:eastAsia="SimSun" w:cs="SimSun"/>
          <w:sz w:val="21"/>
          <w:szCs w:val="21"/>
        </w:rPr>
      </w:pPr>
      <w:r>
        <w:rPr>
          <w:rFonts w:ascii="SimSun" w:hAnsi="SimSun" w:eastAsia="SimSun" w:cs="SimSun"/>
          <w:sz w:val="21"/>
          <w:szCs w:val="21"/>
          <w:spacing w:val="-4"/>
        </w:rPr>
        <w:t>台企业双边市场的复杂性，需要结合其他因素来看待，例如用户数</w:t>
      </w:r>
    </w:p>
    <w:p>
      <w:pPr>
        <w:pStyle w:val="BodyText"/>
        <w:spacing w:line="252" w:lineRule="auto"/>
        <w:rPr/>
      </w:pPr>
      <w:r/>
    </w:p>
    <w:p>
      <w:pPr>
        <w:pStyle w:val="BodyText"/>
        <w:spacing w:line="253" w:lineRule="auto"/>
        <w:rPr/>
      </w:pPr>
      <w:r/>
    </w:p>
    <w:p>
      <w:pPr>
        <w:ind w:left="309" w:hanging="309"/>
        <w:spacing w:before="52" w:line="296"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68"/>
        </w:rPr>
        <w:t xml:space="preserve"> </w:t>
      </w:r>
      <w:r>
        <w:rPr>
          <w:rFonts w:ascii="Times New Roman" w:hAnsi="Times New Roman" w:eastAsia="Times New Roman" w:cs="Times New Roman"/>
          <w:sz w:val="16"/>
          <w:szCs w:val="16"/>
        </w:rPr>
        <w:t>Lina   M.Khan,“Sources   of   Tech    Platform   Power”,Georgetown    Law   Technology </w:t>
      </w:r>
      <w:r>
        <w:rPr>
          <w:rFonts w:ascii="SimSun" w:hAnsi="SimSun" w:eastAsia="SimSun" w:cs="SimSun"/>
          <w:sz w:val="16"/>
          <w:szCs w:val="16"/>
          <w:spacing w:val="-3"/>
        </w:rPr>
        <w:t>Review,2018,2(2):325-334.</w:t>
      </w:r>
    </w:p>
    <w:p>
      <w:pPr>
        <w:spacing w:line="296" w:lineRule="auto"/>
        <w:sectPr>
          <w:headerReference w:type="default" r:id="rId496"/>
          <w:pgSz w:w="7330" w:h="12480"/>
          <w:pgMar w:top="859" w:right="829" w:bottom="400" w:left="460" w:header="693" w:footer="0" w:gutter="0"/>
        </w:sectPr>
        <w:rPr>
          <w:rFonts w:ascii="SimSun" w:hAnsi="SimSun" w:eastAsia="SimSun" w:cs="SimSun"/>
          <w:sz w:val="16"/>
          <w:szCs w:val="16"/>
        </w:rPr>
      </w:pPr>
    </w:p>
    <w:p>
      <w:pPr>
        <w:pStyle w:val="BodyText"/>
        <w:spacing w:line="253" w:lineRule="auto"/>
        <w:rPr/>
      </w:pPr>
      <w:r>
        <w:drawing>
          <wp:anchor distT="0" distB="0" distL="0" distR="0" simplePos="0" relativeHeight="256045056" behindDoc="0" locked="0" layoutInCell="0" allowOverlap="1">
            <wp:simplePos x="0" y="0"/>
            <wp:positionH relativeFrom="page">
              <wp:posOffset>507997</wp:posOffset>
            </wp:positionH>
            <wp:positionV relativeFrom="page">
              <wp:posOffset>6502372</wp:posOffset>
            </wp:positionV>
            <wp:extent cx="1181092" cy="6350"/>
            <wp:effectExtent l="0" t="0" r="0" b="0"/>
            <wp:wrapNone/>
            <wp:docPr id="372" name="IM 372"/>
            <wp:cNvGraphicFramePr/>
            <a:graphic>
              <a:graphicData uri="http://schemas.openxmlformats.org/drawingml/2006/picture">
                <pic:pic>
                  <pic:nvPicPr>
                    <pic:cNvPr id="372" name="IM 372"/>
                    <pic:cNvPicPr/>
                  </pic:nvPicPr>
                  <pic:blipFill>
                    <a:blip r:embed="rId500"/>
                    <a:stretch>
                      <a:fillRect/>
                    </a:stretch>
                  </pic:blipFill>
                  <pic:spPr>
                    <a:xfrm rot="0">
                      <a:off x="0" y="0"/>
                      <a:ext cx="1181092" cy="6350"/>
                    </a:xfrm>
                    <a:prstGeom prst="rect">
                      <a:avLst/>
                    </a:prstGeom>
                  </pic:spPr>
                </pic:pic>
              </a:graphicData>
            </a:graphic>
          </wp:anchor>
        </w:drawing>
      </w:r>
      <w:r/>
    </w:p>
    <w:p>
      <w:pPr>
        <w:pStyle w:val="BodyText"/>
        <w:spacing w:line="253" w:lineRule="auto"/>
        <w:rPr/>
      </w:pPr>
      <w:r/>
    </w:p>
    <w:p>
      <w:pPr>
        <w:pStyle w:val="BodyText"/>
        <w:spacing w:line="253" w:lineRule="auto"/>
        <w:rPr/>
      </w:pPr>
      <w:r/>
    </w:p>
    <w:p>
      <w:pPr>
        <w:pStyle w:val="BodyText"/>
        <w:spacing w:line="253" w:lineRule="auto"/>
        <w:rPr/>
      </w:pPr>
      <w:r/>
    </w:p>
    <w:p>
      <w:pPr>
        <w:spacing w:before="69" w:line="217" w:lineRule="auto"/>
        <w:rPr>
          <w:rFonts w:ascii="SimSun" w:hAnsi="SimSun" w:eastAsia="SimSun" w:cs="SimSun"/>
          <w:sz w:val="21"/>
          <w:szCs w:val="21"/>
        </w:rPr>
      </w:pPr>
      <w:r>
        <w:rPr>
          <w:rFonts w:ascii="SimSun" w:hAnsi="SimSun" w:eastAsia="SimSun" w:cs="SimSun"/>
          <w:sz w:val="21"/>
          <w:szCs w:val="21"/>
          <w:spacing w:val="-14"/>
        </w:rPr>
        <w:t>量、有效使用时间、点击量等。①</w:t>
      </w:r>
    </w:p>
    <w:p>
      <w:pPr>
        <w:ind w:right="1" w:firstLine="440"/>
        <w:spacing w:before="104" w:line="307" w:lineRule="auto"/>
        <w:jc w:val="both"/>
        <w:rPr>
          <w:rFonts w:ascii="SimSun" w:hAnsi="SimSun" w:eastAsia="SimSun" w:cs="SimSun"/>
          <w:sz w:val="21"/>
          <w:szCs w:val="21"/>
        </w:rPr>
      </w:pPr>
      <w:r>
        <w:rPr>
          <w:rFonts w:ascii="SimSun" w:hAnsi="SimSun" w:eastAsia="SimSun" w:cs="SimSun"/>
          <w:sz w:val="21"/>
          <w:szCs w:val="21"/>
          <w:spacing w:val="-11"/>
        </w:rPr>
        <w:t>市场进入壁垒是衡量平台市场支配力的因素。平台企业的市场进</w:t>
      </w:r>
      <w:r>
        <w:rPr>
          <w:rFonts w:ascii="SimSun" w:hAnsi="SimSun" w:eastAsia="SimSun" w:cs="SimSun"/>
          <w:sz w:val="21"/>
          <w:szCs w:val="21"/>
          <w:spacing w:val="14"/>
        </w:rPr>
        <w:t xml:space="preserve"> </w:t>
      </w:r>
      <w:r>
        <w:rPr>
          <w:rFonts w:ascii="SimSun" w:hAnsi="SimSun" w:eastAsia="SimSun" w:cs="SimSun"/>
          <w:sz w:val="21"/>
          <w:szCs w:val="21"/>
          <w:spacing w:val="-10"/>
        </w:rPr>
        <w:t>入壁垒主要是产品差异化、基础设施建设和技术标准产生的壁垒。产</w:t>
      </w:r>
      <w:r>
        <w:rPr>
          <w:rFonts w:ascii="SimSun" w:hAnsi="SimSun" w:eastAsia="SimSun" w:cs="SimSun"/>
          <w:sz w:val="21"/>
          <w:szCs w:val="21"/>
          <w:spacing w:val="11"/>
        </w:rPr>
        <w:t xml:space="preserve"> </w:t>
      </w:r>
      <w:r>
        <w:rPr>
          <w:rFonts w:ascii="SimSun" w:hAnsi="SimSun" w:eastAsia="SimSun" w:cs="SimSun"/>
          <w:sz w:val="21"/>
          <w:szCs w:val="21"/>
          <w:spacing w:val="-10"/>
        </w:rPr>
        <w:t>品差异化越强，对用户的吸引越强，用户的单</w:t>
      </w:r>
      <w:r>
        <w:rPr>
          <w:rFonts w:ascii="SimSun" w:hAnsi="SimSun" w:eastAsia="SimSun" w:cs="SimSun"/>
          <w:sz w:val="21"/>
          <w:szCs w:val="21"/>
          <w:spacing w:val="-11"/>
        </w:rPr>
        <w:t>归属性越强。②在基础</w:t>
      </w:r>
      <w:r>
        <w:rPr>
          <w:rFonts w:ascii="SimSun" w:hAnsi="SimSun" w:eastAsia="SimSun" w:cs="SimSun"/>
          <w:sz w:val="21"/>
          <w:szCs w:val="21"/>
        </w:rPr>
        <w:t xml:space="preserve"> </w:t>
      </w:r>
      <w:r>
        <w:rPr>
          <w:rFonts w:ascii="SimSun" w:hAnsi="SimSun" w:eastAsia="SimSun" w:cs="SimSun"/>
          <w:sz w:val="21"/>
          <w:szCs w:val="21"/>
          <w:spacing w:val="-4"/>
        </w:rPr>
        <w:t>设施建设方面，传统的有中国银联所拥有的支付系统，中国电信所</w:t>
      </w:r>
      <w:r>
        <w:rPr>
          <w:rFonts w:ascii="SimSun" w:hAnsi="SimSun" w:eastAsia="SimSun" w:cs="SimSun"/>
          <w:sz w:val="21"/>
          <w:szCs w:val="21"/>
          <w:spacing w:val="12"/>
        </w:rPr>
        <w:t xml:space="preserve"> </w:t>
      </w:r>
      <w:r>
        <w:rPr>
          <w:rFonts w:ascii="SimSun" w:hAnsi="SimSun" w:eastAsia="SimSun" w:cs="SimSun"/>
          <w:sz w:val="21"/>
          <w:szCs w:val="21"/>
          <w:spacing w:val="-11"/>
        </w:rPr>
        <w:t>拥有的基础通信网络等，而互联网平台企业的基础设施主要体现在数</w:t>
      </w:r>
      <w:r>
        <w:rPr>
          <w:rFonts w:ascii="SimSun" w:hAnsi="SimSun" w:eastAsia="SimSun" w:cs="SimSun"/>
          <w:sz w:val="21"/>
          <w:szCs w:val="21"/>
          <w:spacing w:val="17"/>
        </w:rPr>
        <w:t xml:space="preserve"> </w:t>
      </w:r>
      <w:r>
        <w:rPr>
          <w:rFonts w:ascii="SimSun" w:hAnsi="SimSun" w:eastAsia="SimSun" w:cs="SimSun"/>
          <w:sz w:val="21"/>
          <w:szCs w:val="21"/>
          <w:spacing w:val="-10"/>
        </w:rPr>
        <w:t>据、算法构建出的对数据的分析系统，数据</w:t>
      </w:r>
      <w:r>
        <w:rPr>
          <w:rFonts w:ascii="SimSun" w:hAnsi="SimSun" w:eastAsia="SimSun" w:cs="SimSun"/>
          <w:sz w:val="21"/>
          <w:szCs w:val="21"/>
          <w:spacing w:val="-11"/>
        </w:rPr>
        <w:t>的所有权、开放问题等是</w:t>
      </w:r>
      <w:r>
        <w:rPr>
          <w:rFonts w:ascii="SimSun" w:hAnsi="SimSun" w:eastAsia="SimSun" w:cs="SimSun"/>
          <w:sz w:val="21"/>
          <w:szCs w:val="21"/>
        </w:rPr>
        <w:t xml:space="preserve"> </w:t>
      </w:r>
      <w:r>
        <w:rPr>
          <w:rFonts w:ascii="SimSun" w:hAnsi="SimSun" w:eastAsia="SimSun" w:cs="SimSun"/>
          <w:sz w:val="21"/>
          <w:szCs w:val="21"/>
          <w:spacing w:val="-10"/>
        </w:rPr>
        <w:t>平台问题讨论的重点。在技术标准方面，在某</w:t>
      </w:r>
      <w:r>
        <w:rPr>
          <w:rFonts w:ascii="SimSun" w:hAnsi="SimSun" w:eastAsia="SimSun" w:cs="SimSun"/>
          <w:sz w:val="21"/>
          <w:szCs w:val="21"/>
          <w:spacing w:val="-11"/>
        </w:rPr>
        <w:t>一市场技术能够支配市</w:t>
      </w:r>
      <w:r>
        <w:rPr>
          <w:rFonts w:ascii="SimSun" w:hAnsi="SimSun" w:eastAsia="SimSun" w:cs="SimSun"/>
          <w:sz w:val="21"/>
          <w:szCs w:val="21"/>
        </w:rPr>
        <w:t xml:space="preserve"> </w:t>
      </w:r>
      <w:r>
        <w:rPr>
          <w:rFonts w:ascii="SimSun" w:hAnsi="SimSun" w:eastAsia="SimSun" w:cs="SimSun"/>
          <w:sz w:val="21"/>
          <w:szCs w:val="21"/>
          <w:spacing w:val="-4"/>
        </w:rPr>
        <w:t>场的情况下，新的技术只有与现有的技术标准兼容才能被消费者接</w:t>
      </w:r>
      <w:r>
        <w:rPr>
          <w:rFonts w:ascii="SimSun" w:hAnsi="SimSun" w:eastAsia="SimSun" w:cs="SimSun"/>
          <w:sz w:val="21"/>
          <w:szCs w:val="21"/>
          <w:spacing w:val="13"/>
        </w:rPr>
        <w:t xml:space="preserve"> </w:t>
      </w:r>
      <w:r>
        <w:rPr>
          <w:rFonts w:ascii="SimSun" w:hAnsi="SimSun" w:eastAsia="SimSun" w:cs="SimSun"/>
          <w:sz w:val="21"/>
          <w:szCs w:val="21"/>
          <w:spacing w:val="-10"/>
        </w:rPr>
        <w:t>受。在分析平台企业的市场支配力时，需要</w:t>
      </w:r>
      <w:r>
        <w:rPr>
          <w:rFonts w:ascii="SimSun" w:hAnsi="SimSun" w:eastAsia="SimSun" w:cs="SimSun"/>
          <w:sz w:val="21"/>
          <w:szCs w:val="21"/>
          <w:spacing w:val="-11"/>
        </w:rPr>
        <w:t>考虑技术标准所带来的锁</w:t>
      </w:r>
      <w:r>
        <w:rPr>
          <w:rFonts w:ascii="SimSun" w:hAnsi="SimSun" w:eastAsia="SimSun" w:cs="SimSun"/>
          <w:sz w:val="21"/>
          <w:szCs w:val="21"/>
        </w:rPr>
        <w:t xml:space="preserve"> </w:t>
      </w:r>
      <w:r>
        <w:rPr>
          <w:rFonts w:ascii="SimSun" w:hAnsi="SimSun" w:eastAsia="SimSun" w:cs="SimSun"/>
          <w:sz w:val="21"/>
          <w:szCs w:val="21"/>
          <w:spacing w:val="-9"/>
        </w:rPr>
        <w:t>定效应。</w:t>
      </w:r>
    </w:p>
    <w:p>
      <w:pPr>
        <w:pStyle w:val="BodyText"/>
        <w:spacing w:line="362" w:lineRule="auto"/>
        <w:rPr/>
      </w:pPr>
      <w:r/>
    </w:p>
    <w:p>
      <w:pPr>
        <w:ind w:left="1454"/>
        <w:spacing w:before="104" w:line="756" w:lineRule="exact"/>
        <w:rPr>
          <w:rFonts w:ascii="SimSun" w:hAnsi="SimSun" w:eastAsia="SimSun" w:cs="SimSun"/>
          <w:sz w:val="32"/>
          <w:szCs w:val="32"/>
        </w:rPr>
      </w:pPr>
      <w:r>
        <w:rPr>
          <w:rFonts w:ascii="SimSun" w:hAnsi="SimSun" w:eastAsia="SimSun" w:cs="SimSun"/>
          <w:sz w:val="32"/>
          <w:szCs w:val="32"/>
          <w:b/>
          <w:bCs/>
          <w:spacing w:val="-7"/>
          <w:position w:val="33"/>
        </w:rPr>
        <w:t>反垄断法下的平台竞争</w:t>
      </w:r>
    </w:p>
    <w:p>
      <w:pPr>
        <w:ind w:left="3"/>
        <w:spacing w:line="221" w:lineRule="auto"/>
        <w:rPr>
          <w:rFonts w:ascii="SimHei" w:hAnsi="SimHei" w:eastAsia="SimHei" w:cs="SimHei"/>
          <w:sz w:val="21"/>
          <w:szCs w:val="21"/>
        </w:rPr>
      </w:pPr>
      <w:r>
        <w:rPr>
          <w:rFonts w:ascii="SimHei" w:hAnsi="SimHei" w:eastAsia="SimHei" w:cs="SimHei"/>
          <w:sz w:val="21"/>
          <w:szCs w:val="21"/>
          <w:b/>
          <w:bCs/>
          <w:spacing w:val="26"/>
        </w:rPr>
        <w:t>平台垄断行为及相关案件</w:t>
      </w:r>
    </w:p>
    <w:p>
      <w:pPr>
        <w:pStyle w:val="BodyText"/>
        <w:spacing w:line="361" w:lineRule="auto"/>
        <w:rPr/>
      </w:pPr>
      <w:r/>
    </w:p>
    <w:p>
      <w:pPr>
        <w:ind w:firstLine="440"/>
        <w:spacing w:before="68" w:line="315" w:lineRule="auto"/>
        <w:jc w:val="both"/>
        <w:rPr>
          <w:rFonts w:ascii="SimSun" w:hAnsi="SimSun" w:eastAsia="SimSun" w:cs="SimSun"/>
          <w:sz w:val="21"/>
          <w:szCs w:val="21"/>
        </w:rPr>
      </w:pPr>
      <w:r>
        <w:rPr>
          <w:rFonts w:ascii="SimSun" w:hAnsi="SimSun" w:eastAsia="SimSun" w:cs="SimSun"/>
          <w:sz w:val="21"/>
          <w:szCs w:val="21"/>
          <w:spacing w:val="-3"/>
        </w:rPr>
        <w:t>平台滥用市场支配地位与具体垄断行为的界定是目前各法域重</w:t>
      </w:r>
      <w:r>
        <w:rPr>
          <w:rFonts w:ascii="SimSun" w:hAnsi="SimSun" w:eastAsia="SimSun" w:cs="SimSun"/>
          <w:sz w:val="21"/>
          <w:szCs w:val="21"/>
        </w:rPr>
        <w:t xml:space="preserve"> </w:t>
      </w:r>
      <w:r>
        <w:rPr>
          <w:rFonts w:ascii="SimSun" w:hAnsi="SimSun" w:eastAsia="SimSun" w:cs="SimSun"/>
          <w:sz w:val="21"/>
          <w:szCs w:val="21"/>
          <w:spacing w:val="-4"/>
        </w:rPr>
        <w:t>点关注的问题，与国内频发的互联网平台诉讼和行政处罚相似，欧</w:t>
      </w:r>
      <w:r>
        <w:rPr>
          <w:rFonts w:ascii="SimSun" w:hAnsi="SimSun" w:eastAsia="SimSun" w:cs="SimSun"/>
          <w:sz w:val="21"/>
          <w:szCs w:val="21"/>
          <w:spacing w:val="13"/>
        </w:rPr>
        <w:t xml:space="preserve"> </w:t>
      </w:r>
      <w:r>
        <w:rPr>
          <w:rFonts w:ascii="SimSun" w:hAnsi="SimSun" w:eastAsia="SimSun" w:cs="SimSun"/>
          <w:sz w:val="21"/>
          <w:szCs w:val="21"/>
          <w:spacing w:val="-3"/>
        </w:rPr>
        <w:t>盟、美国、意大利、英国、韩国、法国等各法域的反</w:t>
      </w:r>
      <w:r>
        <w:rPr>
          <w:rFonts w:ascii="SimSun" w:hAnsi="SimSun" w:eastAsia="SimSun" w:cs="SimSun"/>
          <w:sz w:val="21"/>
          <w:szCs w:val="21"/>
          <w:spacing w:val="-4"/>
        </w:rPr>
        <w:t>垄断机构对以</w:t>
      </w:r>
      <w:r>
        <w:rPr>
          <w:rFonts w:ascii="SimSun" w:hAnsi="SimSun" w:eastAsia="SimSun" w:cs="SimSun"/>
          <w:sz w:val="21"/>
          <w:szCs w:val="21"/>
        </w:rPr>
        <w:t xml:space="preserve"> </w:t>
      </w:r>
      <w:r>
        <w:rPr>
          <w:rFonts w:ascii="SimSun" w:hAnsi="SimSun" w:eastAsia="SimSun" w:cs="SimSun"/>
          <w:sz w:val="21"/>
          <w:szCs w:val="21"/>
          <w:spacing w:val="-4"/>
        </w:rPr>
        <w:t>谷歌、亚马逊、脸书、苹果为代表的平台企业的垄断行为进行调查</w:t>
      </w:r>
      <w:r>
        <w:rPr>
          <w:rFonts w:ascii="SimSun" w:hAnsi="SimSun" w:eastAsia="SimSun" w:cs="SimSun"/>
          <w:sz w:val="21"/>
          <w:szCs w:val="21"/>
          <w:spacing w:val="15"/>
        </w:rPr>
        <w:t xml:space="preserve"> </w:t>
      </w:r>
      <w:r>
        <w:rPr>
          <w:rFonts w:ascii="SimSun" w:hAnsi="SimSun" w:eastAsia="SimSun" w:cs="SimSun"/>
          <w:sz w:val="21"/>
          <w:szCs w:val="21"/>
          <w:spacing w:val="-4"/>
        </w:rPr>
        <w:t>或处罚，美国司法部、联邦贸易委员会和各州也发起了对</w:t>
      </w:r>
      <w:r>
        <w:rPr>
          <w:rFonts w:ascii="SimSun" w:hAnsi="SimSun" w:eastAsia="SimSun" w:cs="SimSun"/>
          <w:sz w:val="21"/>
          <w:szCs w:val="21"/>
          <w:spacing w:val="-5"/>
        </w:rPr>
        <w:t>互联网巨</w:t>
      </w:r>
      <w:r>
        <w:rPr>
          <w:rFonts w:ascii="SimSun" w:hAnsi="SimSun" w:eastAsia="SimSun" w:cs="SimSun"/>
          <w:sz w:val="21"/>
          <w:szCs w:val="21"/>
        </w:rPr>
        <w:t xml:space="preserve"> </w:t>
      </w:r>
      <w:r>
        <w:rPr>
          <w:rFonts w:ascii="SimSun" w:hAnsi="SimSun" w:eastAsia="SimSun" w:cs="SimSun"/>
          <w:sz w:val="21"/>
          <w:szCs w:val="21"/>
          <w:spacing w:val="-1"/>
        </w:rPr>
        <w:t>头的反垄断诉讼。近5年欧盟和美国针对互联网平台的反垄断案件</w:t>
      </w:r>
    </w:p>
    <w:p>
      <w:pPr>
        <w:spacing w:line="219" w:lineRule="auto"/>
        <w:rPr>
          <w:rFonts w:ascii="SimSun" w:hAnsi="SimSun" w:eastAsia="SimSun" w:cs="SimSun"/>
          <w:sz w:val="21"/>
          <w:szCs w:val="21"/>
        </w:rPr>
      </w:pPr>
      <w:r>
        <w:rPr>
          <w:rFonts w:ascii="SimSun" w:hAnsi="SimSun" w:eastAsia="SimSun" w:cs="SimSun"/>
          <w:sz w:val="21"/>
          <w:szCs w:val="21"/>
        </w:rPr>
        <w:t>梳理如表1</w:t>
      </w:r>
      <w:r>
        <w:rPr>
          <w:rFonts w:ascii="Times New Roman" w:hAnsi="Times New Roman" w:eastAsia="Times New Roman" w:cs="Times New Roman"/>
          <w:sz w:val="21"/>
          <w:szCs w:val="21"/>
        </w:rPr>
        <w:t>2-1</w:t>
      </w:r>
      <w:r>
        <w:rPr>
          <w:rFonts w:ascii="SimSun" w:hAnsi="SimSun" w:eastAsia="SimSun" w:cs="SimSun"/>
          <w:sz w:val="21"/>
          <w:szCs w:val="21"/>
        </w:rPr>
        <w:t>。</w:t>
      </w:r>
    </w:p>
    <w:p>
      <w:pPr>
        <w:pStyle w:val="BodyText"/>
        <w:spacing w:line="280" w:lineRule="auto"/>
        <w:rPr/>
      </w:pPr>
      <w:r/>
    </w:p>
    <w:p>
      <w:pPr>
        <w:pStyle w:val="BodyText"/>
        <w:spacing w:line="280" w:lineRule="auto"/>
        <w:rPr/>
      </w:pPr>
      <w:r/>
    </w:p>
    <w:p>
      <w:pPr>
        <w:ind w:left="329" w:right="8" w:hanging="329"/>
        <w:spacing w:before="52" w:line="243" w:lineRule="auto"/>
        <w:rPr>
          <w:rFonts w:ascii="KaiTi" w:hAnsi="KaiTi" w:eastAsia="KaiTi" w:cs="KaiTi"/>
          <w:sz w:val="21"/>
          <w:szCs w:val="21"/>
        </w:rPr>
      </w:pPr>
      <w:r>
        <w:rPr>
          <w:rFonts w:ascii="SimSun" w:hAnsi="SimSun" w:eastAsia="SimSun" w:cs="SimSun"/>
          <w:sz w:val="16"/>
          <w:szCs w:val="16"/>
          <w:spacing w:val="3"/>
        </w:rPr>
        <w:t>①</w:t>
      </w:r>
      <w:r>
        <w:rPr>
          <w:rFonts w:ascii="SimSun" w:hAnsi="SimSun" w:eastAsia="SimSun" w:cs="SimSun"/>
          <w:sz w:val="16"/>
          <w:szCs w:val="16"/>
          <w:spacing w:val="76"/>
        </w:rPr>
        <w:t xml:space="preserve"> </w:t>
      </w:r>
      <w:r>
        <w:rPr>
          <w:rFonts w:ascii="KaiTi" w:hAnsi="KaiTi" w:eastAsia="KaiTi" w:cs="KaiTi"/>
          <w:sz w:val="16"/>
          <w:szCs w:val="16"/>
          <w:spacing w:val="3"/>
        </w:rPr>
        <w:t>王少南.双边市场与反垄断——平台优势滥用及其规制研究.武汉</w:t>
      </w:r>
      <w:r>
        <w:rPr>
          <w:rFonts w:ascii="KaiTi" w:hAnsi="KaiTi" w:eastAsia="KaiTi" w:cs="KaiTi"/>
          <w:sz w:val="16"/>
          <w:szCs w:val="16"/>
          <w:spacing w:val="2"/>
        </w:rPr>
        <w:t>：武汉大学出版</w:t>
      </w:r>
      <w:r>
        <w:rPr>
          <w:rFonts w:ascii="KaiTi" w:hAnsi="KaiTi" w:eastAsia="KaiTi" w:cs="KaiTi"/>
          <w:sz w:val="16"/>
          <w:szCs w:val="16"/>
        </w:rPr>
        <w:t xml:space="preserve"> </w:t>
      </w:r>
      <w:r>
        <w:rPr>
          <w:rFonts w:ascii="KaiTi" w:hAnsi="KaiTi" w:eastAsia="KaiTi" w:cs="KaiTi"/>
          <w:sz w:val="21"/>
          <w:szCs w:val="21"/>
          <w:spacing w:val="-18"/>
          <w:w w:val="93"/>
        </w:rPr>
        <w:t>社，2020.</w:t>
      </w:r>
    </w:p>
    <w:p>
      <w:pPr>
        <w:spacing w:line="243" w:lineRule="auto"/>
        <w:sectPr>
          <w:headerReference w:type="default" r:id="rId498"/>
          <w:footerReference w:type="default" r:id="rId499"/>
          <w:pgSz w:w="7330" w:h="12480"/>
          <w:pgMar w:top="559" w:right="520" w:bottom="1556" w:left="779" w:header="392" w:footer="1302" w:gutter="0"/>
        </w:sectPr>
        <w:rPr>
          <w:rFonts w:ascii="KaiTi" w:hAnsi="KaiTi" w:eastAsia="KaiTi" w:cs="KaiTi"/>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467"/>
        <w:spacing w:before="61" w:line="221" w:lineRule="auto"/>
        <w:rPr>
          <w:rFonts w:ascii="SimHei" w:hAnsi="SimHei" w:eastAsia="SimHei" w:cs="SimHei"/>
          <w:sz w:val="19"/>
          <w:szCs w:val="19"/>
        </w:rPr>
      </w:pPr>
      <w:r>
        <w:rPr>
          <w:rFonts w:ascii="SimHei" w:hAnsi="SimHei" w:eastAsia="SimHei" w:cs="SimHei"/>
          <w:sz w:val="19"/>
          <w:szCs w:val="19"/>
          <w:b/>
          <w:bCs/>
          <w:spacing w:val="-4"/>
        </w:rPr>
        <w:t>表12-1</w:t>
      </w:r>
      <w:r>
        <w:rPr>
          <w:rFonts w:ascii="SimHei" w:hAnsi="SimHei" w:eastAsia="SimHei" w:cs="SimHei"/>
          <w:sz w:val="19"/>
          <w:szCs w:val="19"/>
          <w:spacing w:val="62"/>
        </w:rPr>
        <w:t xml:space="preserve"> </w:t>
      </w:r>
      <w:r>
        <w:rPr>
          <w:rFonts w:ascii="SimHei" w:hAnsi="SimHei" w:eastAsia="SimHei" w:cs="SimHei"/>
          <w:sz w:val="19"/>
          <w:szCs w:val="19"/>
          <w:b/>
          <w:bCs/>
          <w:spacing w:val="-4"/>
        </w:rPr>
        <w:t>2016年以来欧盟、美国针对互联网平台的反垄断案件</w:t>
      </w:r>
    </w:p>
    <w:p>
      <w:pPr>
        <w:spacing w:line="124" w:lineRule="exact"/>
        <w:rPr/>
      </w:pPr>
      <w:r/>
    </w:p>
    <w:tbl>
      <w:tblPr>
        <w:tblStyle w:val="TableNormal"/>
        <w:tblW w:w="601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04"/>
        <w:gridCol w:w="479"/>
        <w:gridCol w:w="599"/>
        <w:gridCol w:w="849"/>
        <w:gridCol w:w="3379"/>
      </w:tblGrid>
      <w:tr>
        <w:trPr>
          <w:trHeight w:val="555" w:hRule="atLeast"/>
        </w:trPr>
        <w:tc>
          <w:tcPr>
            <w:tcW w:w="704" w:type="dxa"/>
            <w:vAlign w:val="top"/>
          </w:tcPr>
          <w:p>
            <w:pPr>
              <w:pStyle w:val="TableText"/>
              <w:ind w:left="184"/>
              <w:spacing w:before="203" w:line="221" w:lineRule="auto"/>
              <w:rPr>
                <w:sz w:val="16"/>
                <w:szCs w:val="16"/>
              </w:rPr>
            </w:pPr>
            <w:r>
              <w:rPr>
                <w:sz w:val="16"/>
                <w:szCs w:val="16"/>
                <w:spacing w:val="7"/>
              </w:rPr>
              <w:t>时间</w:t>
            </w:r>
          </w:p>
        </w:tc>
        <w:tc>
          <w:tcPr>
            <w:tcW w:w="479" w:type="dxa"/>
            <w:vAlign w:val="top"/>
          </w:tcPr>
          <w:p>
            <w:pPr>
              <w:pStyle w:val="TableText"/>
              <w:ind w:left="70"/>
              <w:spacing w:before="202" w:line="220" w:lineRule="auto"/>
              <w:rPr>
                <w:sz w:val="16"/>
                <w:szCs w:val="16"/>
              </w:rPr>
            </w:pPr>
            <w:r>
              <w:rPr>
                <w:sz w:val="16"/>
                <w:szCs w:val="16"/>
                <w:spacing w:val="-2"/>
              </w:rPr>
              <w:t>法域</w:t>
            </w:r>
          </w:p>
        </w:tc>
        <w:tc>
          <w:tcPr>
            <w:tcW w:w="599" w:type="dxa"/>
            <w:vAlign w:val="top"/>
          </w:tcPr>
          <w:p>
            <w:pPr>
              <w:pStyle w:val="TableText"/>
              <w:ind w:left="131"/>
              <w:spacing w:before="202" w:line="220" w:lineRule="auto"/>
              <w:rPr>
                <w:sz w:val="16"/>
                <w:szCs w:val="16"/>
              </w:rPr>
            </w:pPr>
            <w:r>
              <w:rPr>
                <w:sz w:val="16"/>
                <w:szCs w:val="16"/>
                <w:spacing w:val="9"/>
              </w:rPr>
              <w:t>性质</w:t>
            </w:r>
          </w:p>
        </w:tc>
        <w:tc>
          <w:tcPr>
            <w:tcW w:w="849" w:type="dxa"/>
            <w:vAlign w:val="top"/>
          </w:tcPr>
          <w:p>
            <w:pPr>
              <w:pStyle w:val="TableText"/>
              <w:ind w:left="85" w:right="120" w:firstLine="49"/>
              <w:spacing w:before="79" w:line="248" w:lineRule="auto"/>
              <w:rPr>
                <w:sz w:val="16"/>
                <w:szCs w:val="16"/>
              </w:rPr>
            </w:pPr>
            <w:r>
              <w:rPr>
                <w:sz w:val="16"/>
                <w:szCs w:val="16"/>
                <w:b/>
                <w:bCs/>
                <w:spacing w:val="-4"/>
              </w:rPr>
              <w:t>被处罚/</w:t>
            </w:r>
            <w:r>
              <w:rPr>
                <w:sz w:val="16"/>
                <w:szCs w:val="16"/>
                <w:spacing w:val="2"/>
              </w:rPr>
              <w:t xml:space="preserve"> </w:t>
            </w:r>
            <w:r>
              <w:rPr>
                <w:sz w:val="16"/>
                <w:szCs w:val="16"/>
                <w:b/>
                <w:bCs/>
                <w:spacing w:val="-4"/>
              </w:rPr>
              <w:t>起诉对象</w:t>
            </w:r>
          </w:p>
        </w:tc>
        <w:tc>
          <w:tcPr>
            <w:tcW w:w="3379" w:type="dxa"/>
            <w:vAlign w:val="top"/>
          </w:tcPr>
          <w:p>
            <w:pPr>
              <w:pStyle w:val="TableText"/>
              <w:ind w:left="1366"/>
              <w:spacing w:before="199" w:line="219" w:lineRule="auto"/>
              <w:rPr>
                <w:sz w:val="16"/>
                <w:szCs w:val="16"/>
              </w:rPr>
            </w:pPr>
            <w:r>
              <w:rPr>
                <w:sz w:val="16"/>
                <w:szCs w:val="16"/>
                <w:b/>
                <w:bCs/>
                <w:spacing w:val="-4"/>
              </w:rPr>
              <w:t>案件内容</w:t>
            </w:r>
          </w:p>
        </w:tc>
      </w:tr>
      <w:tr>
        <w:trPr>
          <w:trHeight w:val="789" w:hRule="atLeast"/>
        </w:trPr>
        <w:tc>
          <w:tcPr>
            <w:tcW w:w="704" w:type="dxa"/>
            <w:vAlign w:val="top"/>
          </w:tcPr>
          <w:p>
            <w:pPr>
              <w:pStyle w:val="TableText"/>
              <w:ind w:left="44" w:right="117" w:firstLine="60"/>
              <w:spacing w:before="76" w:line="254" w:lineRule="auto"/>
              <w:rPr>
                <w:sz w:val="16"/>
                <w:szCs w:val="16"/>
              </w:rPr>
            </w:pPr>
            <w:r>
              <w:rPr>
                <w:sz w:val="16"/>
                <w:szCs w:val="16"/>
                <w:spacing w:val="-2"/>
              </w:rPr>
              <w:t>2016年</w:t>
            </w:r>
            <w:r>
              <w:rPr>
                <w:sz w:val="16"/>
                <w:szCs w:val="16"/>
              </w:rPr>
              <w:t xml:space="preserve"> </w:t>
            </w:r>
            <w:r>
              <w:rPr>
                <w:sz w:val="16"/>
                <w:szCs w:val="16"/>
                <w:spacing w:val="-6"/>
              </w:rPr>
              <w:t>7</w:t>
            </w:r>
            <w:r>
              <w:rPr>
                <w:sz w:val="16"/>
                <w:szCs w:val="16"/>
                <w:spacing w:val="-27"/>
              </w:rPr>
              <w:t xml:space="preserve"> </w:t>
            </w:r>
            <w:r>
              <w:rPr>
                <w:sz w:val="16"/>
                <w:szCs w:val="16"/>
                <w:spacing w:val="-6"/>
              </w:rPr>
              <w:t>月</w:t>
            </w:r>
          </w:p>
        </w:tc>
        <w:tc>
          <w:tcPr>
            <w:tcW w:w="479" w:type="dxa"/>
            <w:vAlign w:val="top"/>
          </w:tcPr>
          <w:p>
            <w:pPr>
              <w:pStyle w:val="TableText"/>
              <w:ind w:left="70"/>
              <w:spacing w:before="78" w:line="221" w:lineRule="auto"/>
              <w:rPr>
                <w:sz w:val="16"/>
                <w:szCs w:val="16"/>
              </w:rPr>
            </w:pPr>
            <w:r>
              <w:rPr>
                <w:sz w:val="16"/>
                <w:szCs w:val="16"/>
                <w:spacing w:val="-3"/>
              </w:rPr>
              <w:t>欧盟</w:t>
            </w:r>
          </w:p>
        </w:tc>
        <w:tc>
          <w:tcPr>
            <w:tcW w:w="599" w:type="dxa"/>
            <w:vAlign w:val="top"/>
          </w:tcPr>
          <w:p>
            <w:pPr>
              <w:pStyle w:val="TableText"/>
              <w:ind w:left="131"/>
              <w:spacing w:before="68" w:line="221" w:lineRule="auto"/>
              <w:rPr>
                <w:sz w:val="16"/>
                <w:szCs w:val="16"/>
              </w:rPr>
            </w:pPr>
            <w:r>
              <w:rPr>
                <w:sz w:val="16"/>
                <w:szCs w:val="16"/>
                <w:spacing w:val="-2"/>
              </w:rPr>
              <w:t>调查</w:t>
            </w:r>
          </w:p>
        </w:tc>
        <w:tc>
          <w:tcPr>
            <w:tcW w:w="849" w:type="dxa"/>
            <w:vAlign w:val="top"/>
          </w:tcPr>
          <w:p>
            <w:pPr>
              <w:pStyle w:val="TableText"/>
              <w:ind w:left="83"/>
              <w:spacing w:before="65" w:line="219" w:lineRule="auto"/>
              <w:rPr>
                <w:sz w:val="16"/>
                <w:szCs w:val="16"/>
              </w:rPr>
            </w:pPr>
            <w:r>
              <w:rPr>
                <w:sz w:val="16"/>
                <w:szCs w:val="16"/>
                <w:spacing w:val="-2"/>
              </w:rPr>
              <w:t>谷歌</w:t>
            </w:r>
          </w:p>
        </w:tc>
        <w:tc>
          <w:tcPr>
            <w:tcW w:w="3379" w:type="dxa"/>
            <w:vAlign w:val="top"/>
          </w:tcPr>
          <w:p>
            <w:pPr>
              <w:pStyle w:val="TableText"/>
              <w:ind w:left="84" w:right="91"/>
              <w:spacing w:before="66" w:line="265" w:lineRule="auto"/>
              <w:jc w:val="both"/>
              <w:rPr>
                <w:sz w:val="16"/>
                <w:szCs w:val="16"/>
              </w:rPr>
            </w:pPr>
            <w:r>
              <w:rPr>
                <w:sz w:val="16"/>
                <w:szCs w:val="16"/>
                <w:spacing w:val="-1"/>
              </w:rPr>
              <w:t>欧盟委员会针对谷歌在在线购物和在线广告领</w:t>
            </w:r>
            <w:r>
              <w:rPr>
                <w:sz w:val="16"/>
                <w:szCs w:val="16"/>
                <w:spacing w:val="7"/>
              </w:rPr>
              <w:t xml:space="preserve"> </w:t>
            </w:r>
            <w:r>
              <w:rPr>
                <w:sz w:val="16"/>
                <w:szCs w:val="16"/>
                <w:spacing w:val="-1"/>
              </w:rPr>
              <w:t>域涉嫌垄断的行为展开进一步深入调查，目前</w:t>
            </w:r>
            <w:r>
              <w:rPr>
                <w:sz w:val="16"/>
                <w:szCs w:val="16"/>
                <w:spacing w:val="12"/>
              </w:rPr>
              <w:t xml:space="preserve"> </w:t>
            </w:r>
            <w:r>
              <w:rPr>
                <w:sz w:val="16"/>
                <w:szCs w:val="16"/>
                <w:spacing w:val="1"/>
              </w:rPr>
              <w:t>尚未发布最后结果</w:t>
            </w:r>
          </w:p>
        </w:tc>
      </w:tr>
      <w:tr>
        <w:trPr>
          <w:trHeight w:val="1259" w:hRule="atLeast"/>
        </w:trPr>
        <w:tc>
          <w:tcPr>
            <w:tcW w:w="704" w:type="dxa"/>
            <w:vAlign w:val="top"/>
          </w:tcPr>
          <w:p>
            <w:pPr>
              <w:pStyle w:val="TableText"/>
              <w:ind w:left="55" w:right="117" w:firstLine="49"/>
              <w:spacing w:before="56" w:line="260" w:lineRule="auto"/>
              <w:rPr>
                <w:sz w:val="16"/>
                <w:szCs w:val="16"/>
              </w:rPr>
            </w:pPr>
            <w:r>
              <w:rPr>
                <w:sz w:val="16"/>
                <w:szCs w:val="16"/>
                <w:spacing w:val="-2"/>
              </w:rPr>
              <w:t>2017年</w:t>
            </w:r>
            <w:r>
              <w:rPr>
                <w:sz w:val="16"/>
                <w:szCs w:val="16"/>
              </w:rPr>
              <w:t xml:space="preserve"> </w:t>
            </w:r>
            <w:r>
              <w:rPr>
                <w:sz w:val="16"/>
                <w:szCs w:val="16"/>
                <w:spacing w:val="-5"/>
              </w:rPr>
              <w:t>5</w:t>
            </w:r>
            <w:r>
              <w:rPr>
                <w:sz w:val="16"/>
                <w:szCs w:val="16"/>
                <w:spacing w:val="-29"/>
              </w:rPr>
              <w:t xml:space="preserve"> </w:t>
            </w:r>
            <w:r>
              <w:rPr>
                <w:sz w:val="16"/>
                <w:szCs w:val="16"/>
                <w:spacing w:val="-5"/>
              </w:rPr>
              <w:t>月</w:t>
            </w:r>
          </w:p>
        </w:tc>
        <w:tc>
          <w:tcPr>
            <w:tcW w:w="479" w:type="dxa"/>
            <w:vAlign w:val="top"/>
          </w:tcPr>
          <w:p>
            <w:pPr>
              <w:pStyle w:val="TableText"/>
              <w:ind w:left="70"/>
              <w:spacing w:before="79" w:line="221" w:lineRule="auto"/>
              <w:rPr>
                <w:sz w:val="16"/>
                <w:szCs w:val="16"/>
              </w:rPr>
            </w:pPr>
            <w:r>
              <w:rPr>
                <w:sz w:val="16"/>
                <w:szCs w:val="16"/>
                <w:spacing w:val="-3"/>
              </w:rPr>
              <w:t>欧盟</w:t>
            </w:r>
          </w:p>
        </w:tc>
        <w:tc>
          <w:tcPr>
            <w:tcW w:w="599" w:type="dxa"/>
            <w:vAlign w:val="top"/>
          </w:tcPr>
          <w:p>
            <w:pPr>
              <w:pStyle w:val="TableText"/>
              <w:ind w:left="81" w:right="61" w:hanging="9"/>
              <w:spacing w:before="89" w:line="266" w:lineRule="auto"/>
              <w:jc w:val="both"/>
              <w:rPr>
                <w:sz w:val="16"/>
                <w:szCs w:val="16"/>
              </w:rPr>
            </w:pPr>
            <w:r>
              <w:rPr>
                <w:sz w:val="16"/>
                <w:szCs w:val="16"/>
                <w:spacing w:val="-8"/>
              </w:rPr>
              <w:t>调</w:t>
            </w:r>
            <w:r>
              <w:rPr>
                <w:sz w:val="16"/>
                <w:szCs w:val="16"/>
                <w:spacing w:val="63"/>
              </w:rPr>
              <w:t xml:space="preserve"> </w:t>
            </w:r>
            <w:r>
              <w:rPr>
                <w:sz w:val="16"/>
                <w:szCs w:val="16"/>
                <w:spacing w:val="-8"/>
              </w:rPr>
              <w:t>查</w:t>
            </w:r>
            <w:r>
              <w:rPr>
                <w:sz w:val="16"/>
                <w:szCs w:val="16"/>
              </w:rPr>
              <w:t xml:space="preserve"> </w:t>
            </w:r>
            <w:r>
              <w:rPr>
                <w:sz w:val="16"/>
                <w:szCs w:val="16"/>
                <w:spacing w:val="6"/>
              </w:rPr>
              <w:t>(经营</w:t>
            </w:r>
            <w:r>
              <w:rPr>
                <w:sz w:val="16"/>
                <w:szCs w:val="16"/>
                <w:spacing w:val="1"/>
              </w:rPr>
              <w:t xml:space="preserve"> </w:t>
            </w:r>
            <w:r>
              <w:rPr>
                <w:sz w:val="16"/>
                <w:szCs w:val="16"/>
                <w:spacing w:val="-7"/>
              </w:rPr>
              <w:t>者</w:t>
            </w:r>
            <w:r>
              <w:rPr>
                <w:sz w:val="16"/>
                <w:szCs w:val="16"/>
                <w:spacing w:val="41"/>
              </w:rPr>
              <w:t xml:space="preserve"> </w:t>
            </w:r>
            <w:r>
              <w:rPr>
                <w:sz w:val="16"/>
                <w:szCs w:val="16"/>
                <w:spacing w:val="-7"/>
              </w:rPr>
              <w:t>承</w:t>
            </w:r>
            <w:r>
              <w:rPr>
                <w:sz w:val="16"/>
                <w:szCs w:val="16"/>
              </w:rPr>
              <w:t xml:space="preserve"> </w:t>
            </w:r>
            <w:r>
              <w:rPr>
                <w:sz w:val="16"/>
                <w:szCs w:val="16"/>
                <w:spacing w:val="-7"/>
              </w:rPr>
              <w:t>诺</w:t>
            </w:r>
            <w:r>
              <w:rPr>
                <w:sz w:val="16"/>
                <w:szCs w:val="16"/>
                <w:spacing w:val="45"/>
              </w:rPr>
              <w:t xml:space="preserve"> </w:t>
            </w:r>
            <w:r>
              <w:rPr>
                <w:sz w:val="16"/>
                <w:szCs w:val="16"/>
                <w:spacing w:val="-7"/>
              </w:rPr>
              <w:t>后</w:t>
            </w:r>
            <w:r>
              <w:rPr>
                <w:sz w:val="16"/>
                <w:szCs w:val="16"/>
              </w:rPr>
              <w:t xml:space="preserve"> </w:t>
            </w:r>
            <w:r>
              <w:rPr>
                <w:sz w:val="16"/>
                <w:szCs w:val="16"/>
                <w:spacing w:val="15"/>
              </w:rPr>
              <w:t>终止)</w:t>
            </w:r>
          </w:p>
        </w:tc>
        <w:tc>
          <w:tcPr>
            <w:tcW w:w="849" w:type="dxa"/>
            <w:vAlign w:val="top"/>
          </w:tcPr>
          <w:p>
            <w:pPr>
              <w:pStyle w:val="TableText"/>
              <w:ind w:left="83"/>
              <w:spacing w:before="88" w:line="220" w:lineRule="auto"/>
              <w:rPr>
                <w:sz w:val="16"/>
                <w:szCs w:val="16"/>
              </w:rPr>
            </w:pPr>
            <w:r>
              <w:rPr>
                <w:sz w:val="16"/>
                <w:szCs w:val="16"/>
                <w:spacing w:val="-2"/>
              </w:rPr>
              <w:t>亚马逊</w:t>
            </w:r>
          </w:p>
        </w:tc>
        <w:tc>
          <w:tcPr>
            <w:tcW w:w="3379" w:type="dxa"/>
            <w:vAlign w:val="top"/>
          </w:tcPr>
          <w:p>
            <w:pPr>
              <w:pStyle w:val="TableText"/>
              <w:ind w:left="84"/>
              <w:spacing w:before="96" w:line="219" w:lineRule="auto"/>
              <w:rPr>
                <w:sz w:val="16"/>
                <w:szCs w:val="16"/>
              </w:rPr>
            </w:pPr>
            <w:r>
              <w:rPr>
                <w:sz w:val="16"/>
                <w:szCs w:val="16"/>
                <w:spacing w:val="-1"/>
              </w:rPr>
              <w:t>欢盟委员会对亚马逊电子书的最惠国条款和相</w:t>
            </w:r>
          </w:p>
          <w:p>
            <w:pPr>
              <w:pStyle w:val="TableText"/>
              <w:ind w:left="84"/>
              <w:spacing w:before="30" w:line="219" w:lineRule="auto"/>
              <w:rPr>
                <w:sz w:val="16"/>
                <w:szCs w:val="16"/>
              </w:rPr>
            </w:pPr>
            <w:r>
              <w:rPr>
                <w:sz w:val="16"/>
                <w:szCs w:val="16"/>
                <w:spacing w:val="-1"/>
              </w:rPr>
              <w:t>关内容展开调查，认为其电子书经销协议中部</w:t>
            </w:r>
          </w:p>
          <w:p>
            <w:pPr>
              <w:pStyle w:val="TableText"/>
              <w:ind w:left="84"/>
              <w:spacing w:before="51" w:line="219" w:lineRule="auto"/>
              <w:rPr>
                <w:sz w:val="16"/>
                <w:szCs w:val="16"/>
              </w:rPr>
            </w:pPr>
            <w:r>
              <w:rPr>
                <w:sz w:val="16"/>
                <w:szCs w:val="16"/>
                <w:spacing w:val="-1"/>
              </w:rPr>
              <w:t>分条款涉嫌违反反垄断法，作为回应，亚马逊</w:t>
            </w:r>
          </w:p>
          <w:p>
            <w:pPr>
              <w:pStyle w:val="TableText"/>
              <w:ind w:left="163"/>
              <w:spacing w:before="70" w:line="219" w:lineRule="auto"/>
              <w:rPr>
                <w:sz w:val="16"/>
                <w:szCs w:val="16"/>
              </w:rPr>
            </w:pPr>
            <w:r>
              <w:rPr>
                <w:sz w:val="16"/>
                <w:szCs w:val="16"/>
              </w:rPr>
              <w:t>于2017年做出承诺，放弃对这类条款的适用</w:t>
            </w:r>
          </w:p>
        </w:tc>
      </w:tr>
      <w:tr>
        <w:trPr>
          <w:trHeight w:val="1498" w:hRule="atLeast"/>
        </w:trPr>
        <w:tc>
          <w:tcPr>
            <w:tcW w:w="704" w:type="dxa"/>
            <w:vAlign w:val="top"/>
          </w:tcPr>
          <w:p>
            <w:pPr>
              <w:pStyle w:val="TableText"/>
              <w:ind w:left="44" w:right="117" w:firstLine="60"/>
              <w:spacing w:before="89" w:line="242" w:lineRule="auto"/>
              <w:rPr>
                <w:sz w:val="16"/>
                <w:szCs w:val="16"/>
              </w:rPr>
            </w:pPr>
            <w:r>
              <w:rPr>
                <w:sz w:val="16"/>
                <w:szCs w:val="16"/>
                <w:spacing w:val="-2"/>
              </w:rPr>
              <w:t>2017年</w:t>
            </w:r>
            <w:r>
              <w:rPr>
                <w:sz w:val="16"/>
                <w:szCs w:val="16"/>
              </w:rPr>
              <w:t xml:space="preserve"> </w:t>
            </w:r>
            <w:r>
              <w:rPr>
                <w:sz w:val="16"/>
                <w:szCs w:val="16"/>
                <w:spacing w:val="-4"/>
              </w:rPr>
              <w:t>6</w:t>
            </w:r>
            <w:r>
              <w:rPr>
                <w:sz w:val="16"/>
                <w:szCs w:val="16"/>
                <w:spacing w:val="-30"/>
              </w:rPr>
              <w:t xml:space="preserve"> </w:t>
            </w:r>
            <w:r>
              <w:rPr>
                <w:sz w:val="16"/>
                <w:szCs w:val="16"/>
                <w:spacing w:val="-4"/>
              </w:rPr>
              <w:t>月</w:t>
            </w:r>
          </w:p>
        </w:tc>
        <w:tc>
          <w:tcPr>
            <w:tcW w:w="479" w:type="dxa"/>
            <w:vAlign w:val="top"/>
          </w:tcPr>
          <w:p>
            <w:pPr>
              <w:pStyle w:val="TableText"/>
              <w:ind w:left="70"/>
              <w:spacing w:before="100" w:line="221" w:lineRule="auto"/>
              <w:rPr>
                <w:sz w:val="16"/>
                <w:szCs w:val="16"/>
              </w:rPr>
            </w:pPr>
            <w:r>
              <w:rPr>
                <w:sz w:val="16"/>
                <w:szCs w:val="16"/>
                <w:spacing w:val="-3"/>
              </w:rPr>
              <w:t>欧盟</w:t>
            </w:r>
          </w:p>
        </w:tc>
        <w:tc>
          <w:tcPr>
            <w:tcW w:w="599" w:type="dxa"/>
            <w:vAlign w:val="top"/>
          </w:tcPr>
          <w:p>
            <w:pPr>
              <w:pStyle w:val="TableText"/>
              <w:ind w:left="72"/>
              <w:spacing w:before="91" w:line="224" w:lineRule="auto"/>
              <w:rPr>
                <w:sz w:val="16"/>
                <w:szCs w:val="16"/>
              </w:rPr>
            </w:pPr>
            <w:r>
              <w:rPr>
                <w:sz w:val="16"/>
                <w:szCs w:val="16"/>
                <w:spacing w:val="9"/>
              </w:rPr>
              <w:t>处罚</w:t>
            </w:r>
          </w:p>
        </w:tc>
        <w:tc>
          <w:tcPr>
            <w:tcW w:w="849" w:type="dxa"/>
            <w:vAlign w:val="top"/>
          </w:tcPr>
          <w:p>
            <w:pPr>
              <w:pStyle w:val="TableText"/>
              <w:ind w:left="83"/>
              <w:spacing w:before="87" w:line="219" w:lineRule="auto"/>
              <w:rPr>
                <w:sz w:val="16"/>
                <w:szCs w:val="16"/>
              </w:rPr>
            </w:pPr>
            <w:r>
              <w:rPr>
                <w:sz w:val="16"/>
                <w:szCs w:val="16"/>
                <w:spacing w:val="-2"/>
              </w:rPr>
              <w:t>谷歌</w:t>
            </w:r>
          </w:p>
        </w:tc>
        <w:tc>
          <w:tcPr>
            <w:tcW w:w="3379" w:type="dxa"/>
            <w:vAlign w:val="top"/>
          </w:tcPr>
          <w:p>
            <w:pPr>
              <w:pStyle w:val="TableText"/>
              <w:ind w:left="104"/>
              <w:spacing w:before="107" w:line="219" w:lineRule="auto"/>
              <w:rPr>
                <w:sz w:val="16"/>
                <w:szCs w:val="16"/>
              </w:rPr>
            </w:pPr>
            <w:r>
              <w:rPr>
                <w:sz w:val="16"/>
                <w:szCs w:val="16"/>
              </w:rPr>
              <w:t>欧盟委员会宣布对谷歌处以24.2亿欧元的</w:t>
            </w:r>
          </w:p>
          <w:p>
            <w:pPr>
              <w:pStyle w:val="TableText"/>
              <w:ind w:left="163" w:right="152"/>
              <w:spacing w:before="30" w:line="254" w:lineRule="auto"/>
              <w:rPr>
                <w:sz w:val="16"/>
                <w:szCs w:val="16"/>
              </w:rPr>
            </w:pPr>
            <w:r>
              <w:rPr>
                <w:sz w:val="16"/>
                <w:szCs w:val="16"/>
              </w:rPr>
              <w:t>罚金，理由是谷歌滥用其在搜索引擎市场的</w:t>
            </w:r>
            <w:r>
              <w:rPr>
                <w:sz w:val="16"/>
                <w:szCs w:val="16"/>
                <w:spacing w:val="11"/>
              </w:rPr>
              <w:t xml:space="preserve"> </w:t>
            </w:r>
            <w:r>
              <w:rPr>
                <w:sz w:val="16"/>
                <w:szCs w:val="16"/>
                <w:spacing w:val="-1"/>
              </w:rPr>
              <w:t>优势地位，恶意操纵用户的搜索结果，在显</w:t>
            </w:r>
            <w:r>
              <w:rPr>
                <w:sz w:val="16"/>
                <w:szCs w:val="16"/>
                <w:spacing w:val="12"/>
              </w:rPr>
              <w:t xml:space="preserve"> </w:t>
            </w:r>
            <w:r>
              <w:rPr>
                <w:sz w:val="16"/>
                <w:szCs w:val="16"/>
                <w:spacing w:val="-1"/>
              </w:rPr>
              <w:t>示搜索结果时，将自己公司旗下服务Google</w:t>
            </w:r>
          </w:p>
          <w:p>
            <w:pPr>
              <w:pStyle w:val="TableText"/>
              <w:ind w:left="104" w:right="411" w:hanging="20"/>
              <w:spacing w:before="54" w:line="251" w:lineRule="auto"/>
              <w:rPr>
                <w:sz w:val="16"/>
                <w:szCs w:val="16"/>
              </w:rPr>
            </w:pPr>
            <w:r>
              <w:rPr>
                <w:sz w:val="16"/>
                <w:szCs w:val="16"/>
                <w:spacing w:val="-1"/>
              </w:rPr>
              <w:t>Shopping置于优先于竞争对手服务的位置</w:t>
            </w:r>
            <w:r>
              <w:rPr>
                <w:sz w:val="16"/>
                <w:szCs w:val="16"/>
                <w:spacing w:val="14"/>
              </w:rPr>
              <w:t xml:space="preserve"> </w:t>
            </w:r>
            <w:r>
              <w:rPr>
                <w:sz w:val="16"/>
                <w:szCs w:val="16"/>
              </w:rPr>
              <w:t>以此来打压竞争对手</w:t>
            </w:r>
          </w:p>
        </w:tc>
      </w:tr>
      <w:tr>
        <w:trPr>
          <w:trHeight w:val="1039" w:hRule="atLeast"/>
        </w:trPr>
        <w:tc>
          <w:tcPr>
            <w:tcW w:w="704" w:type="dxa"/>
            <w:vAlign w:val="top"/>
          </w:tcPr>
          <w:p>
            <w:pPr>
              <w:rPr>
                <w:rFonts w:ascii="Arial"/>
                <w:sz w:val="21"/>
              </w:rPr>
            </w:pPr>
            <w:r/>
          </w:p>
        </w:tc>
        <w:tc>
          <w:tcPr>
            <w:tcW w:w="479" w:type="dxa"/>
            <w:vAlign w:val="top"/>
          </w:tcPr>
          <w:p>
            <w:pPr>
              <w:pStyle w:val="TableText"/>
              <w:ind w:left="70"/>
              <w:spacing w:before="102" w:line="221" w:lineRule="auto"/>
              <w:rPr>
                <w:sz w:val="16"/>
                <w:szCs w:val="16"/>
              </w:rPr>
            </w:pPr>
            <w:r>
              <w:rPr>
                <w:sz w:val="16"/>
                <w:szCs w:val="16"/>
                <w:spacing w:val="-3"/>
              </w:rPr>
              <w:t>欧盟</w:t>
            </w:r>
          </w:p>
        </w:tc>
        <w:tc>
          <w:tcPr>
            <w:tcW w:w="599" w:type="dxa"/>
            <w:vAlign w:val="top"/>
          </w:tcPr>
          <w:p>
            <w:pPr>
              <w:pStyle w:val="TableText"/>
              <w:ind w:left="131"/>
              <w:spacing w:before="101" w:line="220" w:lineRule="auto"/>
              <w:rPr>
                <w:sz w:val="16"/>
                <w:szCs w:val="16"/>
              </w:rPr>
            </w:pPr>
            <w:r>
              <w:rPr>
                <w:sz w:val="16"/>
                <w:szCs w:val="16"/>
                <w:spacing w:val="-2"/>
              </w:rPr>
              <w:t>诉讼</w:t>
            </w:r>
          </w:p>
        </w:tc>
        <w:tc>
          <w:tcPr>
            <w:tcW w:w="849" w:type="dxa"/>
            <w:vAlign w:val="top"/>
          </w:tcPr>
          <w:p>
            <w:pPr>
              <w:pStyle w:val="TableText"/>
              <w:ind w:left="83"/>
              <w:spacing w:before="101" w:line="218" w:lineRule="exact"/>
              <w:rPr>
                <w:sz w:val="16"/>
                <w:szCs w:val="16"/>
              </w:rPr>
            </w:pPr>
            <w:r>
              <w:rPr>
                <w:sz w:val="16"/>
                <w:szCs w:val="16"/>
                <w:spacing w:val="-3"/>
                <w:position w:val="4"/>
              </w:rPr>
              <w:t>欧盟委</w:t>
            </w:r>
          </w:p>
          <w:p>
            <w:pPr>
              <w:pStyle w:val="TableText"/>
              <w:ind w:left="83"/>
              <w:spacing w:line="218" w:lineRule="auto"/>
              <w:rPr>
                <w:sz w:val="16"/>
                <w:szCs w:val="16"/>
              </w:rPr>
            </w:pPr>
            <w:r>
              <w:rPr>
                <w:sz w:val="16"/>
                <w:szCs w:val="16"/>
                <w:spacing w:val="-4"/>
              </w:rPr>
              <w:t>员会</w:t>
            </w:r>
          </w:p>
        </w:tc>
        <w:tc>
          <w:tcPr>
            <w:tcW w:w="3379" w:type="dxa"/>
            <w:vAlign w:val="top"/>
          </w:tcPr>
          <w:p>
            <w:pPr>
              <w:pStyle w:val="TableText"/>
              <w:ind w:left="84"/>
              <w:spacing w:before="89" w:line="219" w:lineRule="auto"/>
              <w:rPr>
                <w:sz w:val="16"/>
                <w:szCs w:val="16"/>
              </w:rPr>
            </w:pPr>
            <w:r>
              <w:rPr>
                <w:sz w:val="16"/>
                <w:szCs w:val="16"/>
                <w:spacing w:val="-1"/>
              </w:rPr>
              <w:t>针对上述处罚，谷歌上诉到总部位于卢森堡的</w:t>
            </w:r>
          </w:p>
          <w:p>
            <w:pPr>
              <w:pStyle w:val="TableText"/>
              <w:ind w:left="73" w:right="92" w:firstLine="90"/>
              <w:spacing w:before="40" w:line="266" w:lineRule="auto"/>
              <w:rPr>
                <w:sz w:val="16"/>
                <w:szCs w:val="16"/>
              </w:rPr>
            </w:pPr>
            <w:r>
              <w:rPr>
                <w:sz w:val="16"/>
                <w:szCs w:val="16"/>
                <w:spacing w:val="-1"/>
              </w:rPr>
              <w:t>欧盟普通法院，2021年11月，法院判决表示</w:t>
            </w:r>
            <w:r>
              <w:rPr>
                <w:sz w:val="16"/>
                <w:szCs w:val="16"/>
                <w:spacing w:val="4"/>
              </w:rPr>
              <w:t xml:space="preserve">  </w:t>
            </w:r>
            <w:r>
              <w:rPr>
                <w:sz w:val="16"/>
                <w:szCs w:val="16"/>
              </w:rPr>
              <w:t>谷歌的做法背离了公平竞争的原则，驳回谷歌</w:t>
            </w:r>
            <w:r>
              <w:rPr>
                <w:sz w:val="16"/>
                <w:szCs w:val="16"/>
                <w:spacing w:val="1"/>
              </w:rPr>
              <w:t xml:space="preserve"> </w:t>
            </w:r>
            <w:r>
              <w:rPr>
                <w:sz w:val="16"/>
                <w:szCs w:val="16"/>
                <w:spacing w:val="2"/>
              </w:rPr>
              <w:t>的上诉</w:t>
            </w:r>
          </w:p>
        </w:tc>
      </w:tr>
      <w:tr>
        <w:trPr>
          <w:trHeight w:val="779" w:hRule="atLeast"/>
        </w:trPr>
        <w:tc>
          <w:tcPr>
            <w:tcW w:w="704" w:type="dxa"/>
            <w:vAlign w:val="top"/>
          </w:tcPr>
          <w:p>
            <w:pPr>
              <w:pStyle w:val="TableText"/>
              <w:ind w:left="65" w:right="117" w:firstLine="40"/>
              <w:spacing w:before="81" w:line="254" w:lineRule="auto"/>
              <w:rPr>
                <w:sz w:val="16"/>
                <w:szCs w:val="16"/>
              </w:rPr>
            </w:pPr>
            <w:r>
              <w:rPr>
                <w:sz w:val="16"/>
                <w:szCs w:val="16"/>
                <w:spacing w:val="-2"/>
              </w:rPr>
              <w:t>2018年</w:t>
            </w:r>
            <w:r>
              <w:rPr>
                <w:sz w:val="16"/>
                <w:szCs w:val="16"/>
              </w:rPr>
              <w:t xml:space="preserve"> </w:t>
            </w:r>
            <w:r>
              <w:rPr>
                <w:sz w:val="16"/>
                <w:szCs w:val="16"/>
                <w:spacing w:val="-6"/>
              </w:rPr>
              <w:t>7</w:t>
            </w:r>
            <w:r>
              <w:rPr>
                <w:sz w:val="16"/>
                <w:szCs w:val="16"/>
                <w:spacing w:val="-27"/>
              </w:rPr>
              <w:t xml:space="preserve"> </w:t>
            </w:r>
            <w:r>
              <w:rPr>
                <w:sz w:val="16"/>
                <w:szCs w:val="16"/>
                <w:spacing w:val="-6"/>
              </w:rPr>
              <w:t>月</w:t>
            </w:r>
          </w:p>
        </w:tc>
        <w:tc>
          <w:tcPr>
            <w:tcW w:w="479" w:type="dxa"/>
            <w:vAlign w:val="top"/>
          </w:tcPr>
          <w:p>
            <w:pPr>
              <w:pStyle w:val="TableText"/>
              <w:ind w:left="70"/>
              <w:spacing w:before="93" w:line="221" w:lineRule="auto"/>
              <w:rPr>
                <w:sz w:val="16"/>
                <w:szCs w:val="16"/>
              </w:rPr>
            </w:pPr>
            <w:r>
              <w:rPr>
                <w:sz w:val="16"/>
                <w:szCs w:val="16"/>
                <w:spacing w:val="-3"/>
              </w:rPr>
              <w:t>欧盟</w:t>
            </w:r>
          </w:p>
        </w:tc>
        <w:tc>
          <w:tcPr>
            <w:tcW w:w="599" w:type="dxa"/>
            <w:vAlign w:val="top"/>
          </w:tcPr>
          <w:p>
            <w:pPr>
              <w:pStyle w:val="TableText"/>
              <w:ind w:left="81"/>
              <w:spacing w:before="94" w:line="224" w:lineRule="auto"/>
              <w:rPr>
                <w:sz w:val="16"/>
                <w:szCs w:val="16"/>
              </w:rPr>
            </w:pPr>
            <w:r>
              <w:rPr>
                <w:sz w:val="16"/>
                <w:szCs w:val="16"/>
                <w:spacing w:val="9"/>
              </w:rPr>
              <w:t>处罚</w:t>
            </w:r>
          </w:p>
        </w:tc>
        <w:tc>
          <w:tcPr>
            <w:tcW w:w="849" w:type="dxa"/>
            <w:vAlign w:val="top"/>
          </w:tcPr>
          <w:p>
            <w:pPr>
              <w:pStyle w:val="TableText"/>
              <w:ind w:left="83"/>
              <w:spacing w:before="80" w:line="219" w:lineRule="auto"/>
              <w:rPr>
                <w:sz w:val="16"/>
                <w:szCs w:val="16"/>
              </w:rPr>
            </w:pPr>
            <w:r>
              <w:rPr>
                <w:sz w:val="16"/>
                <w:szCs w:val="16"/>
                <w:spacing w:val="-2"/>
              </w:rPr>
              <w:t>谷歌</w:t>
            </w:r>
          </w:p>
        </w:tc>
        <w:tc>
          <w:tcPr>
            <w:tcW w:w="3379" w:type="dxa"/>
            <w:vAlign w:val="top"/>
          </w:tcPr>
          <w:p>
            <w:pPr>
              <w:pStyle w:val="TableText"/>
              <w:ind w:left="84" w:right="72"/>
              <w:spacing w:before="92" w:line="257" w:lineRule="auto"/>
              <w:jc w:val="both"/>
              <w:rPr>
                <w:sz w:val="16"/>
                <w:szCs w:val="16"/>
              </w:rPr>
            </w:pPr>
            <w:r>
              <w:rPr>
                <w:sz w:val="16"/>
                <w:szCs w:val="16"/>
              </w:rPr>
              <w:t>欧盟竞争委员会宣布，谷歌利用其安卓系统的</w:t>
            </w:r>
            <w:r>
              <w:rPr>
                <w:sz w:val="16"/>
                <w:szCs w:val="16"/>
                <w:spacing w:val="11"/>
              </w:rPr>
              <w:t xml:space="preserve"> </w:t>
            </w:r>
            <w:r>
              <w:rPr>
                <w:sz w:val="16"/>
                <w:szCs w:val="16"/>
                <w:spacing w:val="-1"/>
              </w:rPr>
              <w:t>普及率扭曲竞争环境、伤害消费者利益，因此</w:t>
            </w:r>
            <w:r>
              <w:rPr>
                <w:sz w:val="16"/>
                <w:szCs w:val="16"/>
                <w:spacing w:val="13"/>
              </w:rPr>
              <w:t xml:space="preserve"> </w:t>
            </w:r>
            <w:r>
              <w:rPr>
                <w:sz w:val="16"/>
                <w:szCs w:val="16"/>
              </w:rPr>
              <w:t>对谷歌处以43亿欧元的罚款</w:t>
            </w:r>
          </w:p>
        </w:tc>
      </w:tr>
      <w:tr>
        <w:trPr>
          <w:trHeight w:val="789" w:hRule="atLeast"/>
        </w:trPr>
        <w:tc>
          <w:tcPr>
            <w:tcW w:w="704" w:type="dxa"/>
            <w:vAlign w:val="top"/>
          </w:tcPr>
          <w:p>
            <w:pPr>
              <w:pStyle w:val="TableText"/>
              <w:ind w:left="65" w:right="117" w:firstLine="40"/>
              <w:spacing w:before="71" w:line="260" w:lineRule="auto"/>
              <w:rPr>
                <w:sz w:val="16"/>
                <w:szCs w:val="16"/>
              </w:rPr>
            </w:pPr>
            <w:r>
              <w:rPr>
                <w:sz w:val="16"/>
                <w:szCs w:val="16"/>
                <w:spacing w:val="-2"/>
              </w:rPr>
              <w:t>2019年</w:t>
            </w:r>
            <w:r>
              <w:rPr>
                <w:sz w:val="16"/>
                <w:szCs w:val="16"/>
              </w:rPr>
              <w:t xml:space="preserve"> </w:t>
            </w:r>
            <w:r>
              <w:rPr>
                <w:sz w:val="16"/>
                <w:szCs w:val="16"/>
                <w:spacing w:val="-6"/>
              </w:rPr>
              <w:t>7</w:t>
            </w:r>
            <w:r>
              <w:rPr>
                <w:sz w:val="16"/>
                <w:szCs w:val="16"/>
                <w:spacing w:val="-27"/>
              </w:rPr>
              <w:t xml:space="preserve"> </w:t>
            </w:r>
            <w:r>
              <w:rPr>
                <w:sz w:val="16"/>
                <w:szCs w:val="16"/>
                <w:spacing w:val="-6"/>
              </w:rPr>
              <w:t>月</w:t>
            </w:r>
          </w:p>
        </w:tc>
        <w:tc>
          <w:tcPr>
            <w:tcW w:w="479" w:type="dxa"/>
            <w:vAlign w:val="top"/>
          </w:tcPr>
          <w:p>
            <w:pPr>
              <w:pStyle w:val="TableText"/>
              <w:ind w:left="70"/>
              <w:spacing w:before="104" w:line="221" w:lineRule="auto"/>
              <w:rPr>
                <w:sz w:val="16"/>
                <w:szCs w:val="16"/>
              </w:rPr>
            </w:pPr>
            <w:r>
              <w:rPr>
                <w:sz w:val="16"/>
                <w:szCs w:val="16"/>
                <w:spacing w:val="-3"/>
              </w:rPr>
              <w:t>欧盟</w:t>
            </w:r>
          </w:p>
        </w:tc>
        <w:tc>
          <w:tcPr>
            <w:tcW w:w="599" w:type="dxa"/>
            <w:vAlign w:val="top"/>
          </w:tcPr>
          <w:p>
            <w:pPr>
              <w:pStyle w:val="TableText"/>
              <w:ind w:left="131"/>
              <w:spacing w:before="84" w:line="221" w:lineRule="auto"/>
              <w:rPr>
                <w:sz w:val="16"/>
                <w:szCs w:val="16"/>
              </w:rPr>
            </w:pPr>
            <w:r>
              <w:rPr>
                <w:sz w:val="16"/>
                <w:szCs w:val="16"/>
                <w:spacing w:val="-2"/>
              </w:rPr>
              <w:t>调查</w:t>
            </w:r>
          </w:p>
        </w:tc>
        <w:tc>
          <w:tcPr>
            <w:tcW w:w="849" w:type="dxa"/>
            <w:vAlign w:val="top"/>
          </w:tcPr>
          <w:p>
            <w:pPr>
              <w:pStyle w:val="TableText"/>
              <w:ind w:left="83"/>
              <w:spacing w:before="103" w:line="220" w:lineRule="auto"/>
              <w:rPr>
                <w:sz w:val="16"/>
                <w:szCs w:val="16"/>
              </w:rPr>
            </w:pPr>
            <w:r>
              <w:rPr>
                <w:sz w:val="16"/>
                <w:szCs w:val="16"/>
                <w:spacing w:val="-2"/>
              </w:rPr>
              <w:t>亚马逊</w:t>
            </w:r>
          </w:p>
        </w:tc>
        <w:tc>
          <w:tcPr>
            <w:tcW w:w="3379" w:type="dxa"/>
            <w:vAlign w:val="top"/>
          </w:tcPr>
          <w:p>
            <w:pPr>
              <w:pStyle w:val="TableText"/>
              <w:ind w:left="84" w:right="92"/>
              <w:spacing w:before="91" w:line="258" w:lineRule="auto"/>
              <w:jc w:val="both"/>
              <w:rPr>
                <w:sz w:val="16"/>
                <w:szCs w:val="16"/>
              </w:rPr>
            </w:pPr>
            <w:r>
              <w:rPr>
                <w:sz w:val="16"/>
                <w:szCs w:val="16"/>
                <w:spacing w:val="-1"/>
              </w:rPr>
              <w:t>欧盟委员会对亚马逊利用其市场上的第三方卖</w:t>
            </w:r>
            <w:r>
              <w:rPr>
                <w:sz w:val="16"/>
                <w:szCs w:val="16"/>
                <w:spacing w:val="7"/>
              </w:rPr>
              <w:t xml:space="preserve"> </w:t>
            </w:r>
            <w:r>
              <w:rPr>
                <w:sz w:val="16"/>
                <w:szCs w:val="16"/>
                <w:spacing w:val="-1"/>
              </w:rPr>
              <w:t>家数据来开发自己的商品或者服务并与之竞争</w:t>
            </w:r>
            <w:r>
              <w:rPr>
                <w:sz w:val="16"/>
                <w:szCs w:val="16"/>
                <w:spacing w:val="11"/>
              </w:rPr>
              <w:t xml:space="preserve"> </w:t>
            </w:r>
            <w:r>
              <w:rPr>
                <w:sz w:val="16"/>
                <w:szCs w:val="16"/>
                <w:spacing w:val="1"/>
              </w:rPr>
              <w:t>的做法提出了异议，目前调查正在进行中</w:t>
            </w:r>
          </w:p>
        </w:tc>
      </w:tr>
      <w:tr>
        <w:trPr>
          <w:trHeight w:val="789" w:hRule="atLeast"/>
        </w:trPr>
        <w:tc>
          <w:tcPr>
            <w:tcW w:w="704" w:type="dxa"/>
            <w:vAlign w:val="top"/>
          </w:tcPr>
          <w:p>
            <w:pPr>
              <w:pStyle w:val="TableText"/>
              <w:ind w:left="65" w:right="117" w:firstLine="40"/>
              <w:spacing w:before="94" w:line="242" w:lineRule="auto"/>
              <w:rPr>
                <w:sz w:val="16"/>
                <w:szCs w:val="16"/>
              </w:rPr>
            </w:pPr>
            <w:r>
              <w:rPr>
                <w:sz w:val="16"/>
                <w:szCs w:val="16"/>
                <w:spacing w:val="-2"/>
              </w:rPr>
              <w:t>2020年</w:t>
            </w:r>
            <w:r>
              <w:rPr>
                <w:sz w:val="16"/>
                <w:szCs w:val="16"/>
              </w:rPr>
              <w:t xml:space="preserve"> </w:t>
            </w:r>
            <w:r>
              <w:rPr>
                <w:sz w:val="16"/>
                <w:szCs w:val="16"/>
                <w:spacing w:val="-4"/>
              </w:rPr>
              <w:t>6</w:t>
            </w:r>
            <w:r>
              <w:rPr>
                <w:sz w:val="16"/>
                <w:szCs w:val="16"/>
                <w:spacing w:val="-30"/>
              </w:rPr>
              <w:t xml:space="preserve"> </w:t>
            </w:r>
            <w:r>
              <w:rPr>
                <w:sz w:val="16"/>
                <w:szCs w:val="16"/>
                <w:spacing w:val="-4"/>
              </w:rPr>
              <w:t>月</w:t>
            </w:r>
          </w:p>
        </w:tc>
        <w:tc>
          <w:tcPr>
            <w:tcW w:w="479" w:type="dxa"/>
            <w:vAlign w:val="top"/>
          </w:tcPr>
          <w:p>
            <w:pPr>
              <w:pStyle w:val="TableText"/>
              <w:ind w:left="70"/>
              <w:spacing w:before="95" w:line="221" w:lineRule="auto"/>
              <w:rPr>
                <w:sz w:val="16"/>
                <w:szCs w:val="16"/>
              </w:rPr>
            </w:pPr>
            <w:r>
              <w:rPr>
                <w:sz w:val="16"/>
                <w:szCs w:val="16"/>
                <w:spacing w:val="-3"/>
              </w:rPr>
              <w:t>欧盟</w:t>
            </w:r>
          </w:p>
        </w:tc>
        <w:tc>
          <w:tcPr>
            <w:tcW w:w="599" w:type="dxa"/>
            <w:vAlign w:val="top"/>
          </w:tcPr>
          <w:p>
            <w:pPr>
              <w:pStyle w:val="TableText"/>
              <w:ind w:left="131"/>
              <w:spacing w:before="95" w:line="221" w:lineRule="auto"/>
              <w:rPr>
                <w:sz w:val="16"/>
                <w:szCs w:val="16"/>
              </w:rPr>
            </w:pPr>
            <w:r>
              <w:rPr>
                <w:sz w:val="16"/>
                <w:szCs w:val="16"/>
                <w:spacing w:val="-2"/>
              </w:rPr>
              <w:t>调查</w:t>
            </w:r>
          </w:p>
        </w:tc>
        <w:tc>
          <w:tcPr>
            <w:tcW w:w="849" w:type="dxa"/>
            <w:vAlign w:val="top"/>
          </w:tcPr>
          <w:p>
            <w:pPr>
              <w:pStyle w:val="TableText"/>
              <w:ind w:left="83"/>
              <w:spacing w:before="94" w:line="220" w:lineRule="auto"/>
              <w:rPr>
                <w:sz w:val="16"/>
                <w:szCs w:val="16"/>
              </w:rPr>
            </w:pPr>
            <w:r>
              <w:rPr>
                <w:sz w:val="16"/>
                <w:szCs w:val="16"/>
                <w:spacing w:val="-2"/>
              </w:rPr>
              <w:t>苹果</w:t>
            </w:r>
          </w:p>
        </w:tc>
        <w:tc>
          <w:tcPr>
            <w:tcW w:w="3379" w:type="dxa"/>
            <w:vAlign w:val="top"/>
          </w:tcPr>
          <w:p>
            <w:pPr>
              <w:pStyle w:val="TableText"/>
              <w:ind w:left="84" w:right="91" w:firstLine="40"/>
              <w:spacing w:before="98" w:line="260" w:lineRule="auto"/>
              <w:jc w:val="both"/>
              <w:rPr>
                <w:sz w:val="16"/>
                <w:szCs w:val="16"/>
              </w:rPr>
            </w:pPr>
            <w:r>
              <w:rPr>
                <w:sz w:val="16"/>
                <w:szCs w:val="16"/>
              </w:rPr>
              <w:t>欧盟对苹果Apple Store规则、电子书、移动</w:t>
            </w:r>
            <w:r>
              <w:rPr>
                <w:sz w:val="16"/>
                <w:szCs w:val="16"/>
                <w:spacing w:val="10"/>
              </w:rPr>
              <w:t xml:space="preserve"> </w:t>
            </w:r>
            <w:r>
              <w:rPr>
                <w:sz w:val="16"/>
                <w:szCs w:val="16"/>
                <w:spacing w:val="-1"/>
              </w:rPr>
              <w:t>支付、有声书等领域展开一系列调查，目前调</w:t>
            </w:r>
            <w:r>
              <w:rPr>
                <w:sz w:val="16"/>
                <w:szCs w:val="16"/>
                <w:spacing w:val="12"/>
              </w:rPr>
              <w:t xml:space="preserve"> </w:t>
            </w:r>
            <w:r>
              <w:rPr>
                <w:sz w:val="16"/>
                <w:szCs w:val="16"/>
                <w:spacing w:val="4"/>
              </w:rPr>
              <w:t>查正在进行中</w:t>
            </w:r>
          </w:p>
        </w:tc>
      </w:tr>
      <w:tr>
        <w:trPr>
          <w:trHeight w:val="1029" w:hRule="atLeast"/>
        </w:trPr>
        <w:tc>
          <w:tcPr>
            <w:tcW w:w="704" w:type="dxa"/>
            <w:vAlign w:val="top"/>
          </w:tcPr>
          <w:p>
            <w:pPr>
              <w:pStyle w:val="TableText"/>
              <w:ind w:left="55" w:right="117" w:firstLine="49"/>
              <w:spacing w:before="94" w:line="248" w:lineRule="auto"/>
              <w:rPr>
                <w:sz w:val="16"/>
                <w:szCs w:val="16"/>
              </w:rPr>
            </w:pPr>
            <w:r>
              <w:rPr>
                <w:sz w:val="16"/>
                <w:szCs w:val="16"/>
                <w:spacing w:val="-2"/>
              </w:rPr>
              <w:t>2020年</w:t>
            </w:r>
            <w:r>
              <w:rPr>
                <w:sz w:val="16"/>
                <w:szCs w:val="16"/>
              </w:rPr>
              <w:t xml:space="preserve"> </w:t>
            </w:r>
            <w:r>
              <w:rPr>
                <w:sz w:val="16"/>
                <w:szCs w:val="16"/>
                <w:spacing w:val="-4"/>
              </w:rPr>
              <w:t>8</w:t>
            </w:r>
            <w:r>
              <w:rPr>
                <w:sz w:val="16"/>
                <w:szCs w:val="16"/>
                <w:spacing w:val="-31"/>
              </w:rPr>
              <w:t xml:space="preserve"> </w:t>
            </w:r>
            <w:r>
              <w:rPr>
                <w:sz w:val="16"/>
                <w:szCs w:val="16"/>
                <w:spacing w:val="-4"/>
              </w:rPr>
              <w:t>月</w:t>
            </w:r>
          </w:p>
        </w:tc>
        <w:tc>
          <w:tcPr>
            <w:tcW w:w="479" w:type="dxa"/>
            <w:vAlign w:val="top"/>
          </w:tcPr>
          <w:p>
            <w:pPr>
              <w:pStyle w:val="TableText"/>
              <w:ind w:left="70"/>
              <w:spacing w:before="75" w:line="220" w:lineRule="auto"/>
              <w:rPr>
                <w:sz w:val="16"/>
                <w:szCs w:val="16"/>
              </w:rPr>
            </w:pPr>
            <w:r>
              <w:rPr>
                <w:sz w:val="16"/>
                <w:szCs w:val="16"/>
                <w:spacing w:val="8"/>
              </w:rPr>
              <w:t>美国</w:t>
            </w:r>
          </w:p>
        </w:tc>
        <w:tc>
          <w:tcPr>
            <w:tcW w:w="599" w:type="dxa"/>
            <w:vAlign w:val="top"/>
          </w:tcPr>
          <w:p>
            <w:pPr>
              <w:pStyle w:val="TableText"/>
              <w:ind w:left="131"/>
              <w:spacing w:before="95" w:line="220" w:lineRule="auto"/>
              <w:rPr>
                <w:sz w:val="16"/>
                <w:szCs w:val="16"/>
              </w:rPr>
            </w:pPr>
            <w:r>
              <w:rPr>
                <w:sz w:val="16"/>
                <w:szCs w:val="16"/>
                <w:spacing w:val="-2"/>
              </w:rPr>
              <w:t>诉讼</w:t>
            </w:r>
          </w:p>
        </w:tc>
        <w:tc>
          <w:tcPr>
            <w:tcW w:w="849" w:type="dxa"/>
            <w:vAlign w:val="top"/>
          </w:tcPr>
          <w:p>
            <w:pPr>
              <w:pStyle w:val="TableText"/>
              <w:ind w:left="83"/>
              <w:spacing w:before="75" w:line="220" w:lineRule="auto"/>
              <w:rPr>
                <w:sz w:val="16"/>
                <w:szCs w:val="16"/>
              </w:rPr>
            </w:pPr>
            <w:r>
              <w:rPr>
                <w:sz w:val="16"/>
                <w:szCs w:val="16"/>
                <w:spacing w:val="-2"/>
              </w:rPr>
              <w:t>苹果</w:t>
            </w:r>
          </w:p>
        </w:tc>
        <w:tc>
          <w:tcPr>
            <w:tcW w:w="3379" w:type="dxa"/>
            <w:vAlign w:val="top"/>
          </w:tcPr>
          <w:p>
            <w:pPr>
              <w:pStyle w:val="TableText"/>
              <w:ind w:left="84" w:right="91" w:firstLine="40"/>
              <w:spacing w:before="89" w:line="264" w:lineRule="auto"/>
              <w:jc w:val="both"/>
              <w:rPr>
                <w:sz w:val="16"/>
                <w:szCs w:val="16"/>
              </w:rPr>
            </w:pPr>
            <w:r>
              <w:rPr>
                <w:sz w:val="16"/>
                <w:szCs w:val="16"/>
              </w:rPr>
              <w:t>苹果Apple Store将美国游戏公司Ep</w:t>
            </w:r>
            <w:r>
              <w:rPr>
                <w:sz w:val="16"/>
                <w:szCs w:val="16"/>
                <w:spacing w:val="-1"/>
              </w:rPr>
              <w:t>ic Games</w:t>
            </w:r>
            <w:r>
              <w:rPr>
                <w:sz w:val="16"/>
                <w:szCs w:val="16"/>
              </w:rPr>
              <w:t xml:space="preserve"> </w:t>
            </w:r>
            <w:r>
              <w:rPr>
                <w:sz w:val="16"/>
                <w:szCs w:val="16"/>
                <w:spacing w:val="-1"/>
              </w:rPr>
              <w:t>开发的游戏《堡垒之夜》下架，理由是其绕开</w:t>
            </w:r>
            <w:r>
              <w:rPr>
                <w:sz w:val="16"/>
                <w:szCs w:val="16"/>
                <w:spacing w:val="12"/>
              </w:rPr>
              <w:t xml:space="preserve"> </w:t>
            </w:r>
            <w:r>
              <w:rPr>
                <w:sz w:val="16"/>
                <w:szCs w:val="16"/>
              </w:rPr>
              <w:t>Apple</w:t>
            </w:r>
            <w:r>
              <w:rPr>
                <w:sz w:val="16"/>
                <w:szCs w:val="16"/>
                <w:spacing w:val="2"/>
              </w:rPr>
              <w:t xml:space="preserve"> </w:t>
            </w:r>
            <w:r>
              <w:rPr>
                <w:sz w:val="16"/>
                <w:szCs w:val="16"/>
              </w:rPr>
              <w:t>Store</w:t>
            </w:r>
            <w:r>
              <w:rPr>
                <w:sz w:val="16"/>
                <w:szCs w:val="16"/>
                <w:spacing w:val="2"/>
              </w:rPr>
              <w:t>使用外部支付，</w:t>
            </w:r>
            <w:r>
              <w:rPr>
                <w:sz w:val="16"/>
                <w:szCs w:val="16"/>
              </w:rPr>
              <w:t>Epic</w:t>
            </w:r>
            <w:r>
              <w:rPr>
                <w:sz w:val="16"/>
                <w:szCs w:val="16"/>
                <w:spacing w:val="2"/>
              </w:rPr>
              <w:t>遂起诉苹果</w:t>
            </w:r>
            <w:r>
              <w:rPr>
                <w:sz w:val="16"/>
                <w:szCs w:val="16"/>
                <w:spacing w:val="11"/>
              </w:rPr>
              <w:t xml:space="preserve"> </w:t>
            </w:r>
            <w:r>
              <w:rPr>
                <w:sz w:val="16"/>
                <w:szCs w:val="16"/>
                <w:spacing w:val="-1"/>
              </w:rPr>
              <w:t>涉嫌垄断。法院判决苹果不得阻止第三方支付</w:t>
            </w:r>
          </w:p>
        </w:tc>
      </w:tr>
      <w:tr>
        <w:trPr>
          <w:trHeight w:val="794" w:hRule="atLeast"/>
        </w:trPr>
        <w:tc>
          <w:tcPr>
            <w:tcW w:w="704" w:type="dxa"/>
            <w:vAlign w:val="top"/>
          </w:tcPr>
          <w:p>
            <w:pPr>
              <w:pStyle w:val="TableText"/>
              <w:ind w:left="74" w:right="117" w:firstLine="30"/>
              <w:spacing w:before="95" w:line="248" w:lineRule="auto"/>
              <w:rPr>
                <w:sz w:val="16"/>
                <w:szCs w:val="16"/>
              </w:rPr>
            </w:pPr>
            <w:r>
              <w:rPr>
                <w:sz w:val="16"/>
                <w:szCs w:val="16"/>
                <w:spacing w:val="-2"/>
              </w:rPr>
              <w:t>2020年</w:t>
            </w:r>
            <w:r>
              <w:rPr>
                <w:sz w:val="16"/>
                <w:szCs w:val="16"/>
              </w:rPr>
              <w:t xml:space="preserve"> </w:t>
            </w:r>
            <w:r>
              <w:rPr>
                <w:sz w:val="16"/>
                <w:szCs w:val="16"/>
                <w:spacing w:val="10"/>
              </w:rPr>
              <w:t>10月</w:t>
            </w:r>
          </w:p>
        </w:tc>
        <w:tc>
          <w:tcPr>
            <w:tcW w:w="479" w:type="dxa"/>
            <w:vAlign w:val="top"/>
          </w:tcPr>
          <w:p>
            <w:pPr>
              <w:pStyle w:val="TableText"/>
              <w:ind w:left="70"/>
              <w:spacing w:before="96" w:line="220" w:lineRule="auto"/>
              <w:rPr>
                <w:sz w:val="16"/>
                <w:szCs w:val="16"/>
              </w:rPr>
            </w:pPr>
            <w:r>
              <w:rPr>
                <w:sz w:val="16"/>
                <w:szCs w:val="16"/>
                <w:spacing w:val="8"/>
              </w:rPr>
              <w:t>美国</w:t>
            </w:r>
          </w:p>
        </w:tc>
        <w:tc>
          <w:tcPr>
            <w:tcW w:w="599" w:type="dxa"/>
            <w:vAlign w:val="top"/>
          </w:tcPr>
          <w:p>
            <w:pPr>
              <w:pStyle w:val="TableText"/>
              <w:ind w:left="131"/>
              <w:spacing w:before="96" w:line="220" w:lineRule="auto"/>
              <w:rPr>
                <w:sz w:val="16"/>
                <w:szCs w:val="16"/>
              </w:rPr>
            </w:pPr>
            <w:r>
              <w:rPr>
                <w:sz w:val="16"/>
                <w:szCs w:val="16"/>
                <w:spacing w:val="-2"/>
              </w:rPr>
              <w:t>诉讼</w:t>
            </w:r>
          </w:p>
        </w:tc>
        <w:tc>
          <w:tcPr>
            <w:tcW w:w="849" w:type="dxa"/>
            <w:vAlign w:val="top"/>
          </w:tcPr>
          <w:p>
            <w:pPr>
              <w:pStyle w:val="TableText"/>
              <w:ind w:left="83"/>
              <w:spacing w:before="84" w:line="219" w:lineRule="auto"/>
              <w:rPr>
                <w:sz w:val="16"/>
                <w:szCs w:val="16"/>
              </w:rPr>
            </w:pPr>
            <w:r>
              <w:rPr>
                <w:sz w:val="16"/>
                <w:szCs w:val="16"/>
                <w:spacing w:val="-2"/>
              </w:rPr>
              <w:t>谷歌</w:t>
            </w:r>
          </w:p>
        </w:tc>
        <w:tc>
          <w:tcPr>
            <w:tcW w:w="3379" w:type="dxa"/>
            <w:vAlign w:val="top"/>
          </w:tcPr>
          <w:p>
            <w:pPr>
              <w:pStyle w:val="TableText"/>
              <w:ind w:left="84" w:right="4"/>
              <w:spacing w:before="94" w:line="258" w:lineRule="auto"/>
              <w:jc w:val="both"/>
              <w:rPr>
                <w:sz w:val="16"/>
                <w:szCs w:val="16"/>
              </w:rPr>
            </w:pPr>
            <w:r>
              <w:rPr>
                <w:sz w:val="16"/>
                <w:szCs w:val="16"/>
                <w:spacing w:val="3"/>
              </w:rPr>
              <w:t>美国司法部联合11个州起诉谷歌在在线搜索、</w:t>
            </w:r>
            <w:r>
              <w:rPr>
                <w:sz w:val="16"/>
                <w:szCs w:val="16"/>
                <w:spacing w:val="16"/>
              </w:rPr>
              <w:t xml:space="preserve"> </w:t>
            </w:r>
            <w:r>
              <w:rPr>
                <w:sz w:val="16"/>
                <w:szCs w:val="16"/>
                <w:spacing w:val="-1"/>
              </w:rPr>
              <w:t>在线广告领域不合法地维持垄断地位，目前案</w:t>
            </w:r>
            <w:r>
              <w:rPr>
                <w:sz w:val="16"/>
                <w:szCs w:val="16"/>
                <w:spacing w:val="6"/>
              </w:rPr>
              <w:t xml:space="preserve">  </w:t>
            </w:r>
            <w:r>
              <w:rPr>
                <w:sz w:val="16"/>
                <w:szCs w:val="16"/>
                <w:spacing w:val="2"/>
              </w:rPr>
              <w:t>件正在审理中</w:t>
            </w:r>
          </w:p>
        </w:tc>
      </w:tr>
    </w:tbl>
    <w:p>
      <w:pPr>
        <w:pStyle w:val="BodyText"/>
        <w:rPr/>
      </w:pPr>
      <w:r/>
    </w:p>
    <w:p>
      <w:pPr>
        <w:sectPr>
          <w:headerReference w:type="default" r:id="rId501"/>
          <w:footerReference w:type="default" r:id="rId2"/>
          <w:pgSz w:w="7330" w:h="12480"/>
          <w:pgMar w:top="845" w:right="654" w:bottom="400" w:left="654" w:header="671" w:footer="0" w:gutter="0"/>
        </w:sectPr>
        <w:rPr/>
      </w:pPr>
    </w:p>
    <w:p>
      <w:pPr>
        <w:pStyle w:val="BodyText"/>
        <w:spacing w:line="318" w:lineRule="auto"/>
        <w:rPr/>
      </w:pPr>
      <w:r>
        <w:pict>
          <v:rect id="_x0000_s134" style="position:absolute;margin-left:36.4997pt;margin-top:413.5pt;mso-position-vertical-relative:page;mso-position-horizontal-relative:page;width:0.5pt;height:65.05pt;z-index:256065536;" o:allowincell="f" fillcolor="#000000" filled="true" stroked="false"/>
        </w:pict>
      </w:r>
      <w:r/>
    </w:p>
    <w:p>
      <w:pPr>
        <w:pStyle w:val="BodyText"/>
        <w:spacing w:line="318" w:lineRule="auto"/>
        <w:rPr/>
      </w:pPr>
      <w:r/>
    </w:p>
    <w:p>
      <w:pPr>
        <w:pStyle w:val="BodyText"/>
        <w:spacing w:line="318" w:lineRule="auto"/>
        <w:rPr/>
      </w:pPr>
      <w:r/>
    </w:p>
    <w:p>
      <w:pPr>
        <w:spacing w:before="58" w:line="223" w:lineRule="auto"/>
        <w:jc w:val="right"/>
        <w:rPr>
          <w:rFonts w:ascii="SimHei" w:hAnsi="SimHei" w:eastAsia="SimHei" w:cs="SimHei"/>
          <w:sz w:val="18"/>
          <w:szCs w:val="18"/>
        </w:rPr>
      </w:pPr>
      <w:r>
        <w:rPr>
          <w:rFonts w:ascii="SimHei" w:hAnsi="SimHei" w:eastAsia="SimHei" w:cs="SimHei"/>
          <w:sz w:val="18"/>
          <w:szCs w:val="18"/>
          <w:spacing w:val="-2"/>
        </w:rPr>
        <w:t>(续表)</w:t>
      </w:r>
    </w:p>
    <w:p>
      <w:pPr>
        <w:spacing w:line="89" w:lineRule="exact"/>
        <w:rPr/>
      </w:pPr>
      <w:r/>
    </w:p>
    <w:tbl>
      <w:tblPr>
        <w:tblStyle w:val="TableNormal"/>
        <w:tblW w:w="6019"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14"/>
        <w:gridCol w:w="479"/>
        <w:gridCol w:w="599"/>
        <w:gridCol w:w="858"/>
        <w:gridCol w:w="3369"/>
      </w:tblGrid>
      <w:tr>
        <w:trPr>
          <w:trHeight w:val="554" w:hRule="atLeast"/>
        </w:trPr>
        <w:tc>
          <w:tcPr>
            <w:tcW w:w="714" w:type="dxa"/>
            <w:vAlign w:val="top"/>
          </w:tcPr>
          <w:p>
            <w:pPr>
              <w:pStyle w:val="TableText"/>
              <w:ind w:left="187"/>
              <w:spacing w:before="201" w:line="221" w:lineRule="auto"/>
              <w:rPr>
                <w:sz w:val="16"/>
                <w:szCs w:val="16"/>
              </w:rPr>
            </w:pPr>
            <w:r>
              <w:rPr>
                <w:sz w:val="16"/>
                <w:szCs w:val="16"/>
                <w:b/>
                <w:bCs/>
                <w:spacing w:val="3"/>
              </w:rPr>
              <w:t>时间</w:t>
            </w:r>
          </w:p>
        </w:tc>
        <w:tc>
          <w:tcPr>
            <w:tcW w:w="479" w:type="dxa"/>
            <w:vAlign w:val="top"/>
          </w:tcPr>
          <w:p>
            <w:pPr>
              <w:pStyle w:val="TableText"/>
              <w:ind w:left="71"/>
              <w:spacing w:before="202" w:line="220" w:lineRule="auto"/>
              <w:rPr>
                <w:sz w:val="16"/>
                <w:szCs w:val="16"/>
              </w:rPr>
            </w:pPr>
            <w:r>
              <w:rPr>
                <w:sz w:val="16"/>
                <w:szCs w:val="16"/>
                <w:spacing w:val="-2"/>
              </w:rPr>
              <w:t>法域</w:t>
            </w:r>
          </w:p>
        </w:tc>
        <w:tc>
          <w:tcPr>
            <w:tcW w:w="599" w:type="dxa"/>
            <w:vAlign w:val="top"/>
          </w:tcPr>
          <w:p>
            <w:pPr>
              <w:pStyle w:val="TableText"/>
              <w:ind w:left="81"/>
              <w:spacing w:before="202" w:line="220" w:lineRule="auto"/>
              <w:rPr>
                <w:sz w:val="16"/>
                <w:szCs w:val="16"/>
              </w:rPr>
            </w:pPr>
            <w:r>
              <w:rPr>
                <w:sz w:val="16"/>
                <w:szCs w:val="16"/>
                <w:spacing w:val="9"/>
              </w:rPr>
              <w:t>性质</w:t>
            </w:r>
          </w:p>
        </w:tc>
        <w:tc>
          <w:tcPr>
            <w:tcW w:w="858" w:type="dxa"/>
            <w:vAlign w:val="top"/>
          </w:tcPr>
          <w:p>
            <w:pPr>
              <w:pStyle w:val="TableText"/>
              <w:ind w:left="132"/>
              <w:spacing w:before="81" w:line="219" w:lineRule="auto"/>
              <w:rPr>
                <w:sz w:val="16"/>
                <w:szCs w:val="16"/>
              </w:rPr>
            </w:pPr>
            <w:r>
              <w:rPr>
                <w:sz w:val="16"/>
                <w:szCs w:val="16"/>
                <w:spacing w:val="-2"/>
              </w:rPr>
              <w:t>被处罚/</w:t>
            </w:r>
          </w:p>
          <w:p>
            <w:pPr>
              <w:pStyle w:val="TableText"/>
              <w:ind w:left="95"/>
              <w:spacing w:before="47" w:line="219" w:lineRule="auto"/>
              <w:rPr>
                <w:sz w:val="16"/>
                <w:szCs w:val="16"/>
              </w:rPr>
            </w:pPr>
            <w:r>
              <w:rPr>
                <w:sz w:val="16"/>
                <w:szCs w:val="16"/>
                <w:b/>
                <w:bCs/>
                <w:spacing w:val="-3"/>
              </w:rPr>
              <w:t>起诉对象</w:t>
            </w:r>
          </w:p>
        </w:tc>
        <w:tc>
          <w:tcPr>
            <w:tcW w:w="3369" w:type="dxa"/>
            <w:vAlign w:val="top"/>
          </w:tcPr>
          <w:p>
            <w:pPr>
              <w:pStyle w:val="TableText"/>
              <w:ind w:left="1357"/>
              <w:spacing w:before="199" w:line="219" w:lineRule="auto"/>
              <w:rPr>
                <w:sz w:val="16"/>
                <w:szCs w:val="16"/>
              </w:rPr>
            </w:pPr>
            <w:r>
              <w:rPr>
                <w:sz w:val="16"/>
                <w:szCs w:val="16"/>
                <w:b/>
                <w:bCs/>
                <w:spacing w:val="-4"/>
              </w:rPr>
              <w:t>案件内容</w:t>
            </w:r>
          </w:p>
        </w:tc>
      </w:tr>
      <w:tr>
        <w:trPr>
          <w:trHeight w:val="1268" w:hRule="atLeast"/>
        </w:trPr>
        <w:tc>
          <w:tcPr>
            <w:tcW w:w="714" w:type="dxa"/>
            <w:vAlign w:val="top"/>
          </w:tcPr>
          <w:p>
            <w:pPr>
              <w:pStyle w:val="TableText"/>
              <w:ind w:left="65" w:right="127" w:firstLine="40"/>
              <w:spacing w:before="77" w:line="248" w:lineRule="auto"/>
              <w:rPr>
                <w:sz w:val="16"/>
                <w:szCs w:val="16"/>
              </w:rPr>
            </w:pPr>
            <w:r>
              <w:rPr>
                <w:sz w:val="16"/>
                <w:szCs w:val="16"/>
                <w:spacing w:val="-2"/>
              </w:rPr>
              <w:t>2020年</w:t>
            </w:r>
            <w:r>
              <w:rPr>
                <w:sz w:val="16"/>
                <w:szCs w:val="16"/>
              </w:rPr>
              <w:t xml:space="preserve"> </w:t>
            </w:r>
            <w:r>
              <w:rPr>
                <w:sz w:val="16"/>
                <w:szCs w:val="16"/>
                <w:spacing w:val="10"/>
              </w:rPr>
              <w:t>11月</w:t>
            </w:r>
          </w:p>
        </w:tc>
        <w:tc>
          <w:tcPr>
            <w:tcW w:w="479" w:type="dxa"/>
            <w:vAlign w:val="top"/>
          </w:tcPr>
          <w:p>
            <w:pPr>
              <w:pStyle w:val="TableText"/>
              <w:ind w:left="71"/>
              <w:spacing w:before="79" w:line="221" w:lineRule="auto"/>
              <w:rPr>
                <w:sz w:val="16"/>
                <w:szCs w:val="16"/>
              </w:rPr>
            </w:pPr>
            <w:r>
              <w:rPr>
                <w:sz w:val="16"/>
                <w:szCs w:val="16"/>
                <w:spacing w:val="-3"/>
              </w:rPr>
              <w:t>欧盟</w:t>
            </w:r>
          </w:p>
        </w:tc>
        <w:tc>
          <w:tcPr>
            <w:tcW w:w="599" w:type="dxa"/>
            <w:vAlign w:val="top"/>
          </w:tcPr>
          <w:p>
            <w:pPr>
              <w:pStyle w:val="TableText"/>
              <w:ind w:left="81"/>
              <w:spacing w:before="69" w:line="221" w:lineRule="auto"/>
              <w:rPr>
                <w:sz w:val="16"/>
                <w:szCs w:val="16"/>
              </w:rPr>
            </w:pPr>
            <w:r>
              <w:rPr>
                <w:sz w:val="16"/>
                <w:szCs w:val="16"/>
                <w:spacing w:val="-2"/>
              </w:rPr>
              <w:t>调查</w:t>
            </w:r>
          </w:p>
        </w:tc>
        <w:tc>
          <w:tcPr>
            <w:tcW w:w="858" w:type="dxa"/>
            <w:vAlign w:val="top"/>
          </w:tcPr>
          <w:p>
            <w:pPr>
              <w:pStyle w:val="TableText"/>
              <w:ind w:left="92"/>
              <w:spacing w:before="88" w:line="220" w:lineRule="auto"/>
              <w:rPr>
                <w:sz w:val="16"/>
                <w:szCs w:val="16"/>
              </w:rPr>
            </w:pPr>
            <w:r>
              <w:rPr>
                <w:sz w:val="16"/>
                <w:szCs w:val="16"/>
                <w:spacing w:val="-2"/>
              </w:rPr>
              <w:t>亚马逊</w:t>
            </w:r>
          </w:p>
        </w:tc>
        <w:tc>
          <w:tcPr>
            <w:tcW w:w="3369" w:type="dxa"/>
            <w:vAlign w:val="top"/>
          </w:tcPr>
          <w:p>
            <w:pPr>
              <w:pStyle w:val="TableText"/>
              <w:ind w:right="64" w:firstLine="79"/>
              <w:spacing w:before="55" w:line="273" w:lineRule="auto"/>
              <w:jc w:val="both"/>
              <w:rPr>
                <w:sz w:val="16"/>
                <w:szCs w:val="16"/>
              </w:rPr>
            </w:pPr>
            <w:r>
              <w:rPr>
                <w:sz w:val="16"/>
                <w:szCs w:val="16"/>
              </w:rPr>
              <w:t>欧盟委员会针对亚马逊的以下商业行为展开调</w:t>
            </w:r>
            <w:r>
              <w:rPr>
                <w:sz w:val="16"/>
                <w:szCs w:val="16"/>
                <w:spacing w:val="7"/>
              </w:rPr>
              <w:t xml:space="preserve"> </w:t>
            </w:r>
            <w:r>
              <w:rPr>
                <w:sz w:val="16"/>
                <w:szCs w:val="16"/>
                <w:spacing w:val="4"/>
              </w:rPr>
              <w:t>查：可能人为地偏袒自己的零售商家以及使用</w:t>
            </w:r>
            <w:r>
              <w:rPr>
                <w:sz w:val="16"/>
                <w:szCs w:val="16"/>
                <w:spacing w:val="13"/>
              </w:rPr>
              <w:t xml:space="preserve"> </w:t>
            </w:r>
            <w:r>
              <w:rPr>
                <w:sz w:val="16"/>
                <w:szCs w:val="16"/>
                <w:spacing w:val="6"/>
              </w:rPr>
              <w:t>亚马逊物流和配送服务的市场卖家(即所谓的 </w:t>
            </w:r>
            <w:r>
              <w:rPr>
                <w:sz w:val="16"/>
                <w:szCs w:val="16"/>
                <w:spacing w:val="4"/>
              </w:rPr>
              <w:t>“亚马逊或</w:t>
            </w:r>
            <w:r>
              <w:rPr>
                <w:sz w:val="16"/>
                <w:szCs w:val="16"/>
              </w:rPr>
              <w:t>FBA</w:t>
            </w:r>
            <w:r>
              <w:rPr>
                <w:sz w:val="16"/>
                <w:szCs w:val="16"/>
                <w:spacing w:val="4"/>
              </w:rPr>
              <w:t>卖家履约”)。目前调查正在进 </w:t>
            </w:r>
            <w:r>
              <w:rPr>
                <w:sz w:val="16"/>
                <w:szCs w:val="16"/>
                <w:spacing w:val="25"/>
                <w:w w:val="111"/>
              </w:rPr>
              <w:t>行中</w:t>
            </w:r>
          </w:p>
        </w:tc>
      </w:tr>
      <w:tr>
        <w:trPr>
          <w:trHeight w:val="1018" w:hRule="atLeast"/>
        </w:trPr>
        <w:tc>
          <w:tcPr>
            <w:tcW w:w="714" w:type="dxa"/>
            <w:vAlign w:val="top"/>
          </w:tcPr>
          <w:p>
            <w:pPr>
              <w:pStyle w:val="TableText"/>
              <w:ind w:left="85" w:right="127" w:firstLine="20"/>
              <w:spacing w:before="79" w:line="248" w:lineRule="auto"/>
              <w:rPr>
                <w:sz w:val="16"/>
                <w:szCs w:val="16"/>
              </w:rPr>
            </w:pPr>
            <w:r>
              <w:rPr>
                <w:sz w:val="16"/>
                <w:szCs w:val="16"/>
                <w:spacing w:val="-2"/>
              </w:rPr>
              <w:t>2020年</w:t>
            </w:r>
            <w:r>
              <w:rPr>
                <w:sz w:val="16"/>
                <w:szCs w:val="16"/>
              </w:rPr>
              <w:t xml:space="preserve"> </w:t>
            </w:r>
            <w:r>
              <w:rPr>
                <w:sz w:val="16"/>
                <w:szCs w:val="16"/>
                <w:spacing w:val="10"/>
              </w:rPr>
              <w:t>12月</w:t>
            </w:r>
          </w:p>
        </w:tc>
        <w:tc>
          <w:tcPr>
            <w:tcW w:w="479" w:type="dxa"/>
            <w:vAlign w:val="top"/>
          </w:tcPr>
          <w:p>
            <w:pPr>
              <w:pStyle w:val="TableText"/>
              <w:ind w:left="71"/>
              <w:spacing w:before="70" w:line="220" w:lineRule="auto"/>
              <w:rPr>
                <w:sz w:val="16"/>
                <w:szCs w:val="16"/>
              </w:rPr>
            </w:pPr>
            <w:r>
              <w:rPr>
                <w:sz w:val="16"/>
                <w:szCs w:val="16"/>
                <w:spacing w:val="8"/>
              </w:rPr>
              <w:t>美国</w:t>
            </w:r>
          </w:p>
        </w:tc>
        <w:tc>
          <w:tcPr>
            <w:tcW w:w="599" w:type="dxa"/>
            <w:vAlign w:val="top"/>
          </w:tcPr>
          <w:p>
            <w:pPr>
              <w:pStyle w:val="TableText"/>
              <w:ind w:left="81"/>
              <w:spacing w:before="70" w:line="220" w:lineRule="auto"/>
              <w:rPr>
                <w:sz w:val="16"/>
                <w:szCs w:val="16"/>
              </w:rPr>
            </w:pPr>
            <w:r>
              <w:rPr>
                <w:sz w:val="16"/>
                <w:szCs w:val="16"/>
                <w:spacing w:val="-2"/>
              </w:rPr>
              <w:t>诉讼</w:t>
            </w:r>
          </w:p>
        </w:tc>
        <w:tc>
          <w:tcPr>
            <w:tcW w:w="858" w:type="dxa"/>
            <w:vAlign w:val="top"/>
          </w:tcPr>
          <w:p>
            <w:pPr>
              <w:pStyle w:val="TableText"/>
              <w:ind w:left="92"/>
              <w:spacing w:before="78" w:line="219" w:lineRule="auto"/>
              <w:rPr>
                <w:sz w:val="16"/>
                <w:szCs w:val="16"/>
              </w:rPr>
            </w:pPr>
            <w:r>
              <w:rPr>
                <w:sz w:val="16"/>
                <w:szCs w:val="16"/>
                <w:spacing w:val="-2"/>
              </w:rPr>
              <w:t>谷歌</w:t>
            </w:r>
          </w:p>
        </w:tc>
        <w:tc>
          <w:tcPr>
            <w:tcW w:w="3369" w:type="dxa"/>
            <w:vAlign w:val="top"/>
          </w:tcPr>
          <w:p>
            <w:pPr>
              <w:pStyle w:val="TableText"/>
              <w:ind w:left="74" w:right="53" w:firstLine="80"/>
              <w:spacing w:before="77" w:line="263" w:lineRule="auto"/>
              <w:rPr>
                <w:sz w:val="16"/>
                <w:szCs w:val="16"/>
              </w:rPr>
            </w:pPr>
            <w:r>
              <w:rPr>
                <w:sz w:val="16"/>
                <w:szCs w:val="16"/>
                <w:spacing w:val="-2"/>
              </w:rPr>
              <w:t>美国得克萨斯州牵头多个州对谷歌提起诉讼  </w:t>
            </w:r>
            <w:r>
              <w:rPr>
                <w:sz w:val="16"/>
                <w:szCs w:val="16"/>
              </w:rPr>
              <w:t>指责谷歌对广告商使用垄断和胁迫手段，努力</w:t>
            </w:r>
            <w:r>
              <w:rPr>
                <w:sz w:val="16"/>
                <w:szCs w:val="16"/>
                <w:spacing w:val="12"/>
              </w:rPr>
              <w:t xml:space="preserve"> </w:t>
            </w:r>
            <w:r>
              <w:rPr>
                <w:sz w:val="16"/>
                <w:szCs w:val="16"/>
                <w:spacing w:val="1"/>
              </w:rPr>
              <w:t>在网络广告领域占据主导地位并超越竞争，目</w:t>
            </w:r>
            <w:r>
              <w:rPr>
                <w:sz w:val="16"/>
                <w:szCs w:val="16"/>
                <w:spacing w:val="9"/>
              </w:rPr>
              <w:t xml:space="preserve"> </w:t>
            </w:r>
            <w:r>
              <w:rPr>
                <w:sz w:val="16"/>
                <w:szCs w:val="16"/>
                <w:spacing w:val="3"/>
              </w:rPr>
              <w:t>前案件正在审理中</w:t>
            </w:r>
          </w:p>
        </w:tc>
      </w:tr>
      <w:tr>
        <w:trPr>
          <w:trHeight w:val="1508" w:hRule="atLeast"/>
        </w:trPr>
        <w:tc>
          <w:tcPr>
            <w:tcW w:w="714" w:type="dxa"/>
            <w:vAlign w:val="top"/>
          </w:tcPr>
          <w:p>
            <w:pPr>
              <w:pStyle w:val="TableText"/>
              <w:ind w:left="74" w:right="127" w:firstLine="30"/>
              <w:spacing w:before="81" w:line="254" w:lineRule="auto"/>
              <w:rPr>
                <w:sz w:val="16"/>
                <w:szCs w:val="16"/>
              </w:rPr>
            </w:pPr>
            <w:r>
              <w:rPr>
                <w:sz w:val="16"/>
                <w:szCs w:val="16"/>
                <w:spacing w:val="-2"/>
              </w:rPr>
              <w:t>2020年</w:t>
            </w:r>
            <w:r>
              <w:rPr>
                <w:sz w:val="16"/>
                <w:szCs w:val="16"/>
              </w:rPr>
              <w:t xml:space="preserve"> </w:t>
            </w:r>
            <w:r>
              <w:rPr>
                <w:sz w:val="16"/>
                <w:szCs w:val="16"/>
                <w:spacing w:val="10"/>
              </w:rPr>
              <w:t>12月</w:t>
            </w:r>
          </w:p>
        </w:tc>
        <w:tc>
          <w:tcPr>
            <w:tcW w:w="479" w:type="dxa"/>
            <w:vAlign w:val="top"/>
          </w:tcPr>
          <w:p>
            <w:pPr>
              <w:pStyle w:val="TableText"/>
              <w:ind w:left="71"/>
              <w:spacing w:before="82" w:line="220" w:lineRule="auto"/>
              <w:rPr>
                <w:sz w:val="16"/>
                <w:szCs w:val="16"/>
              </w:rPr>
            </w:pPr>
            <w:r>
              <w:rPr>
                <w:sz w:val="16"/>
                <w:szCs w:val="16"/>
                <w:spacing w:val="8"/>
              </w:rPr>
              <w:t>美国</w:t>
            </w:r>
          </w:p>
        </w:tc>
        <w:tc>
          <w:tcPr>
            <w:tcW w:w="599" w:type="dxa"/>
            <w:vAlign w:val="top"/>
          </w:tcPr>
          <w:p>
            <w:pPr>
              <w:pStyle w:val="TableText"/>
              <w:ind w:left="81"/>
              <w:spacing w:before="82" w:line="220" w:lineRule="auto"/>
              <w:rPr>
                <w:sz w:val="16"/>
                <w:szCs w:val="16"/>
              </w:rPr>
            </w:pPr>
            <w:r>
              <w:rPr>
                <w:sz w:val="16"/>
                <w:szCs w:val="16"/>
                <w:spacing w:val="-2"/>
              </w:rPr>
              <w:t>诉讼</w:t>
            </w:r>
          </w:p>
        </w:tc>
        <w:tc>
          <w:tcPr>
            <w:tcW w:w="858" w:type="dxa"/>
            <w:vAlign w:val="top"/>
          </w:tcPr>
          <w:p>
            <w:pPr>
              <w:pStyle w:val="TableText"/>
              <w:ind w:left="92"/>
              <w:spacing w:before="80" w:line="219" w:lineRule="auto"/>
              <w:rPr>
                <w:sz w:val="16"/>
                <w:szCs w:val="16"/>
              </w:rPr>
            </w:pPr>
            <w:r>
              <w:rPr>
                <w:sz w:val="16"/>
                <w:szCs w:val="16"/>
                <w:spacing w:val="-2"/>
              </w:rPr>
              <w:t>脸书</w:t>
            </w:r>
          </w:p>
        </w:tc>
        <w:tc>
          <w:tcPr>
            <w:tcW w:w="3369" w:type="dxa"/>
            <w:vAlign w:val="top"/>
          </w:tcPr>
          <w:p>
            <w:pPr>
              <w:pStyle w:val="TableText"/>
              <w:ind w:left="85"/>
              <w:spacing w:before="80" w:line="219" w:lineRule="auto"/>
              <w:rPr>
                <w:sz w:val="16"/>
                <w:szCs w:val="16"/>
              </w:rPr>
            </w:pPr>
            <w:r>
              <w:rPr>
                <w:sz w:val="16"/>
                <w:szCs w:val="16"/>
                <w:spacing w:val="-1"/>
              </w:rPr>
              <w:t>2020年联邦贸易委员会发起对脸书的反垄</w:t>
            </w:r>
          </w:p>
          <w:p>
            <w:pPr>
              <w:pStyle w:val="TableText"/>
              <w:ind w:left="74"/>
              <w:spacing w:before="50" w:line="219" w:lineRule="auto"/>
              <w:rPr>
                <w:sz w:val="16"/>
                <w:szCs w:val="16"/>
              </w:rPr>
            </w:pPr>
            <w:r>
              <w:rPr>
                <w:sz w:val="16"/>
                <w:szCs w:val="16"/>
                <w:spacing w:val="-1"/>
              </w:rPr>
              <w:t>断诉讼，但由于未能证明脸书垄断的是一个</w:t>
            </w:r>
          </w:p>
          <w:p>
            <w:pPr>
              <w:pStyle w:val="TableText"/>
              <w:ind w:left="155"/>
              <w:spacing w:before="50" w:line="219" w:lineRule="auto"/>
              <w:rPr>
                <w:sz w:val="16"/>
                <w:szCs w:val="16"/>
              </w:rPr>
            </w:pPr>
            <w:r>
              <w:rPr>
                <w:sz w:val="16"/>
                <w:szCs w:val="16"/>
                <w:spacing w:val="-1"/>
              </w:rPr>
              <w:t>合理市场，并且脸书市场份额过低，法院不</w:t>
            </w:r>
          </w:p>
          <w:p>
            <w:pPr>
              <w:pStyle w:val="TableText"/>
              <w:ind w:left="85"/>
              <w:spacing w:before="40" w:line="219" w:lineRule="auto"/>
              <w:rPr>
                <w:sz w:val="16"/>
                <w:szCs w:val="16"/>
              </w:rPr>
            </w:pPr>
            <w:r>
              <w:rPr>
                <w:sz w:val="16"/>
                <w:szCs w:val="16"/>
                <w:spacing w:val="-1"/>
              </w:rPr>
              <w:t>予支持。联邦贸易委员会于2021年8月重</w:t>
            </w:r>
          </w:p>
          <w:p>
            <w:pPr>
              <w:pStyle w:val="TableText"/>
              <w:ind w:left="85" w:right="310" w:firstLine="9"/>
              <w:spacing w:before="66"/>
              <w:rPr>
                <w:sz w:val="16"/>
                <w:szCs w:val="16"/>
              </w:rPr>
            </w:pPr>
            <w:r>
              <w:rPr>
                <w:sz w:val="16"/>
                <w:szCs w:val="16"/>
                <w:spacing w:val="-1"/>
              </w:rPr>
              <w:t>新提交诉状，并建议强制拆分Instagram或</w:t>
            </w:r>
            <w:r>
              <w:rPr>
                <w:sz w:val="16"/>
                <w:szCs w:val="16"/>
                <w:spacing w:val="15"/>
              </w:rPr>
              <w:t xml:space="preserve"> </w:t>
            </w:r>
            <w:r>
              <w:rPr>
                <w:sz w:val="16"/>
                <w:szCs w:val="16"/>
                <w:spacing w:val="-1"/>
              </w:rPr>
              <w:t>WhatsApp,目前案件正在审理中</w:t>
            </w:r>
          </w:p>
        </w:tc>
      </w:tr>
      <w:tr>
        <w:trPr>
          <w:trHeight w:val="789" w:hRule="atLeast"/>
        </w:trPr>
        <w:tc>
          <w:tcPr>
            <w:tcW w:w="714" w:type="dxa"/>
            <w:vAlign w:val="top"/>
          </w:tcPr>
          <w:p>
            <w:pPr>
              <w:pStyle w:val="TableText"/>
              <w:ind w:left="54" w:right="127" w:firstLine="50"/>
              <w:spacing w:before="83" w:line="248" w:lineRule="auto"/>
              <w:rPr>
                <w:sz w:val="16"/>
                <w:szCs w:val="16"/>
              </w:rPr>
            </w:pPr>
            <w:r>
              <w:rPr>
                <w:sz w:val="16"/>
                <w:szCs w:val="16"/>
                <w:spacing w:val="-2"/>
              </w:rPr>
              <w:t>2021年</w:t>
            </w:r>
            <w:r>
              <w:rPr>
                <w:sz w:val="16"/>
                <w:szCs w:val="16"/>
              </w:rPr>
              <w:t xml:space="preserve"> </w:t>
            </w:r>
            <w:r>
              <w:rPr>
                <w:sz w:val="16"/>
                <w:szCs w:val="16"/>
                <w:spacing w:val="-10"/>
              </w:rPr>
              <w:t>1</w:t>
            </w:r>
            <w:r>
              <w:rPr>
                <w:sz w:val="16"/>
                <w:szCs w:val="16"/>
                <w:spacing w:val="-19"/>
              </w:rPr>
              <w:t xml:space="preserve"> </w:t>
            </w:r>
            <w:r>
              <w:rPr>
                <w:sz w:val="16"/>
                <w:szCs w:val="16"/>
                <w:spacing w:val="-10"/>
              </w:rPr>
              <w:t>月</w:t>
            </w:r>
          </w:p>
        </w:tc>
        <w:tc>
          <w:tcPr>
            <w:tcW w:w="479" w:type="dxa"/>
            <w:vAlign w:val="top"/>
          </w:tcPr>
          <w:p>
            <w:pPr>
              <w:pStyle w:val="TableText"/>
              <w:ind w:left="71"/>
              <w:spacing w:before="84" w:line="220" w:lineRule="auto"/>
              <w:rPr>
                <w:sz w:val="16"/>
                <w:szCs w:val="16"/>
              </w:rPr>
            </w:pPr>
            <w:r>
              <w:rPr>
                <w:sz w:val="16"/>
                <w:szCs w:val="16"/>
                <w:spacing w:val="8"/>
              </w:rPr>
              <w:t>美国</w:t>
            </w:r>
          </w:p>
        </w:tc>
        <w:tc>
          <w:tcPr>
            <w:tcW w:w="599" w:type="dxa"/>
            <w:vAlign w:val="top"/>
          </w:tcPr>
          <w:p>
            <w:pPr>
              <w:pStyle w:val="TableText"/>
              <w:ind w:left="81"/>
              <w:spacing w:before="94" w:line="220" w:lineRule="auto"/>
              <w:rPr>
                <w:sz w:val="16"/>
                <w:szCs w:val="16"/>
              </w:rPr>
            </w:pPr>
            <w:r>
              <w:rPr>
                <w:sz w:val="16"/>
                <w:szCs w:val="16"/>
                <w:spacing w:val="-2"/>
              </w:rPr>
              <w:t>诉讼</w:t>
            </w:r>
          </w:p>
        </w:tc>
        <w:tc>
          <w:tcPr>
            <w:tcW w:w="858" w:type="dxa"/>
            <w:vAlign w:val="top"/>
          </w:tcPr>
          <w:p>
            <w:pPr>
              <w:pStyle w:val="TableText"/>
              <w:ind w:left="92"/>
              <w:spacing w:before="72" w:line="250" w:lineRule="exact"/>
              <w:rPr>
                <w:sz w:val="16"/>
                <w:szCs w:val="16"/>
              </w:rPr>
            </w:pPr>
            <w:r>
              <w:rPr>
                <w:sz w:val="16"/>
                <w:szCs w:val="16"/>
                <w:spacing w:val="-2"/>
                <w:position w:val="6"/>
              </w:rPr>
              <w:t>脸书和</w:t>
            </w:r>
          </w:p>
          <w:p>
            <w:pPr>
              <w:pStyle w:val="TableText"/>
              <w:ind w:left="92"/>
              <w:spacing w:line="218" w:lineRule="auto"/>
              <w:rPr>
                <w:sz w:val="16"/>
                <w:szCs w:val="16"/>
              </w:rPr>
            </w:pPr>
            <w:r>
              <w:rPr>
                <w:sz w:val="16"/>
                <w:szCs w:val="16"/>
                <w:spacing w:val="-2"/>
              </w:rPr>
              <w:t>谷歌</w:t>
            </w:r>
          </w:p>
        </w:tc>
        <w:tc>
          <w:tcPr>
            <w:tcW w:w="3369" w:type="dxa"/>
            <w:vAlign w:val="top"/>
          </w:tcPr>
          <w:p>
            <w:pPr>
              <w:pStyle w:val="TableText"/>
              <w:ind w:left="155"/>
              <w:spacing w:before="72" w:line="219" w:lineRule="auto"/>
              <w:rPr>
                <w:sz w:val="16"/>
                <w:szCs w:val="16"/>
              </w:rPr>
            </w:pPr>
            <w:r>
              <w:rPr>
                <w:sz w:val="16"/>
                <w:szCs w:val="16"/>
                <w:spacing w:val="-1"/>
              </w:rPr>
              <w:t>美国西弗吉尼亚州的媒体公司HD Media提起</w:t>
            </w:r>
          </w:p>
          <w:p>
            <w:pPr>
              <w:pStyle w:val="TableText"/>
              <w:ind w:left="74"/>
              <w:spacing w:before="50" w:line="219" w:lineRule="auto"/>
              <w:rPr>
                <w:sz w:val="16"/>
                <w:szCs w:val="16"/>
              </w:rPr>
            </w:pPr>
            <w:r>
              <w:rPr>
                <w:sz w:val="16"/>
                <w:szCs w:val="16"/>
                <w:spacing w:val="-1"/>
              </w:rPr>
              <w:t>诉讼，指控科技巨头谷歌和脸书涉嫌反竟争的</w:t>
            </w:r>
          </w:p>
          <w:p>
            <w:pPr>
              <w:pStyle w:val="TableText"/>
              <w:ind w:left="155"/>
              <w:spacing w:before="51" w:line="219" w:lineRule="auto"/>
              <w:rPr>
                <w:sz w:val="16"/>
                <w:szCs w:val="16"/>
              </w:rPr>
            </w:pPr>
            <w:r>
              <w:rPr>
                <w:sz w:val="16"/>
                <w:szCs w:val="16"/>
                <w:spacing w:val="-1"/>
              </w:rPr>
              <w:t>商业行为正威胁着全国各地地方报纸的生存</w:t>
            </w:r>
          </w:p>
        </w:tc>
      </w:tr>
      <w:tr>
        <w:trPr>
          <w:trHeight w:val="549" w:hRule="atLeast"/>
        </w:trPr>
        <w:tc>
          <w:tcPr>
            <w:tcW w:w="714" w:type="dxa"/>
            <w:vAlign w:val="top"/>
          </w:tcPr>
          <w:p>
            <w:pPr>
              <w:pStyle w:val="TableText"/>
              <w:ind w:left="44" w:right="127" w:firstLine="60"/>
              <w:spacing w:before="84" w:line="248" w:lineRule="auto"/>
              <w:rPr>
                <w:sz w:val="16"/>
                <w:szCs w:val="16"/>
              </w:rPr>
            </w:pPr>
            <w:r>
              <w:rPr>
                <w:sz w:val="16"/>
                <w:szCs w:val="16"/>
                <w:spacing w:val="-2"/>
              </w:rPr>
              <w:t>2021年</w:t>
            </w:r>
            <w:r>
              <w:rPr>
                <w:sz w:val="16"/>
                <w:szCs w:val="16"/>
              </w:rPr>
              <w:t xml:space="preserve"> </w:t>
            </w:r>
            <w:r>
              <w:rPr>
                <w:sz w:val="16"/>
                <w:szCs w:val="16"/>
                <w:spacing w:val="-5"/>
              </w:rPr>
              <w:t>5</w:t>
            </w:r>
            <w:r>
              <w:rPr>
                <w:sz w:val="16"/>
                <w:szCs w:val="16"/>
                <w:spacing w:val="-29"/>
              </w:rPr>
              <w:t xml:space="preserve"> </w:t>
            </w:r>
            <w:r>
              <w:rPr>
                <w:sz w:val="16"/>
                <w:szCs w:val="16"/>
                <w:spacing w:val="-5"/>
              </w:rPr>
              <w:t>月</w:t>
            </w:r>
          </w:p>
        </w:tc>
        <w:tc>
          <w:tcPr>
            <w:tcW w:w="479" w:type="dxa"/>
            <w:vAlign w:val="top"/>
          </w:tcPr>
          <w:p>
            <w:pPr>
              <w:pStyle w:val="TableText"/>
              <w:ind w:left="71"/>
              <w:spacing w:before="75" w:line="220" w:lineRule="auto"/>
              <w:rPr>
                <w:sz w:val="16"/>
                <w:szCs w:val="16"/>
              </w:rPr>
            </w:pPr>
            <w:r>
              <w:rPr>
                <w:sz w:val="16"/>
                <w:szCs w:val="16"/>
                <w:spacing w:val="8"/>
              </w:rPr>
              <w:t>美国</w:t>
            </w:r>
          </w:p>
        </w:tc>
        <w:tc>
          <w:tcPr>
            <w:tcW w:w="599" w:type="dxa"/>
            <w:vAlign w:val="top"/>
          </w:tcPr>
          <w:p>
            <w:pPr>
              <w:pStyle w:val="TableText"/>
              <w:ind w:left="81"/>
              <w:spacing w:before="75" w:line="220" w:lineRule="auto"/>
              <w:rPr>
                <w:sz w:val="16"/>
                <w:szCs w:val="16"/>
              </w:rPr>
            </w:pPr>
            <w:r>
              <w:rPr>
                <w:sz w:val="16"/>
                <w:szCs w:val="16"/>
                <w:spacing w:val="-2"/>
              </w:rPr>
              <w:t>诉讼</w:t>
            </w:r>
          </w:p>
        </w:tc>
        <w:tc>
          <w:tcPr>
            <w:tcW w:w="858" w:type="dxa"/>
            <w:vAlign w:val="top"/>
          </w:tcPr>
          <w:p>
            <w:pPr>
              <w:pStyle w:val="TableText"/>
              <w:ind w:left="92"/>
              <w:spacing w:before="75" w:line="220" w:lineRule="auto"/>
              <w:rPr>
                <w:sz w:val="16"/>
                <w:szCs w:val="16"/>
              </w:rPr>
            </w:pPr>
            <w:r>
              <w:rPr>
                <w:sz w:val="16"/>
                <w:szCs w:val="16"/>
                <w:spacing w:val="-2"/>
              </w:rPr>
              <w:t>亚马逊</w:t>
            </w:r>
          </w:p>
        </w:tc>
        <w:tc>
          <w:tcPr>
            <w:tcW w:w="3369" w:type="dxa"/>
            <w:vAlign w:val="top"/>
          </w:tcPr>
          <w:p>
            <w:pPr>
              <w:pStyle w:val="TableText"/>
              <w:ind w:left="94" w:right="4" w:hanging="20"/>
              <w:spacing w:before="84" w:line="247" w:lineRule="auto"/>
              <w:rPr>
                <w:sz w:val="16"/>
                <w:szCs w:val="16"/>
              </w:rPr>
            </w:pPr>
            <w:r>
              <w:rPr>
                <w:sz w:val="16"/>
                <w:szCs w:val="16"/>
                <w:spacing w:val="3"/>
              </w:rPr>
              <w:t>哥伦比亚特区起诉亚马逊，指控其垄断市场、</w:t>
            </w:r>
            <w:r>
              <w:rPr>
                <w:sz w:val="16"/>
                <w:szCs w:val="16"/>
                <w:spacing w:val="18"/>
              </w:rPr>
              <w:t xml:space="preserve"> </w:t>
            </w:r>
            <w:r>
              <w:rPr>
                <w:sz w:val="16"/>
                <w:szCs w:val="16"/>
                <w:spacing w:val="1"/>
              </w:rPr>
              <w:t>抬高价格，目前案件正在审理中</w:t>
            </w:r>
          </w:p>
        </w:tc>
      </w:tr>
      <w:tr>
        <w:trPr>
          <w:trHeight w:val="554" w:hRule="atLeast"/>
        </w:trPr>
        <w:tc>
          <w:tcPr>
            <w:tcW w:w="714" w:type="dxa"/>
            <w:vAlign w:val="top"/>
          </w:tcPr>
          <w:p>
            <w:pPr>
              <w:pStyle w:val="TableText"/>
              <w:ind w:left="44" w:right="127" w:firstLine="60"/>
              <w:spacing w:before="96" w:line="242" w:lineRule="auto"/>
              <w:rPr>
                <w:sz w:val="16"/>
                <w:szCs w:val="16"/>
              </w:rPr>
            </w:pPr>
            <w:r>
              <w:rPr>
                <w:sz w:val="16"/>
                <w:szCs w:val="16"/>
                <w:spacing w:val="-2"/>
              </w:rPr>
              <w:t>2021年</w:t>
            </w:r>
            <w:r>
              <w:rPr>
                <w:sz w:val="16"/>
                <w:szCs w:val="16"/>
              </w:rPr>
              <w:t xml:space="preserve"> </w:t>
            </w:r>
            <w:r>
              <w:rPr>
                <w:sz w:val="16"/>
                <w:szCs w:val="16"/>
                <w:spacing w:val="-4"/>
              </w:rPr>
              <w:t>6</w:t>
            </w:r>
            <w:r>
              <w:rPr>
                <w:sz w:val="16"/>
                <w:szCs w:val="16"/>
                <w:spacing w:val="-30"/>
              </w:rPr>
              <w:t xml:space="preserve"> </w:t>
            </w:r>
            <w:r>
              <w:rPr>
                <w:sz w:val="16"/>
                <w:szCs w:val="16"/>
                <w:spacing w:val="-4"/>
              </w:rPr>
              <w:t>月</w:t>
            </w:r>
          </w:p>
        </w:tc>
        <w:tc>
          <w:tcPr>
            <w:tcW w:w="479" w:type="dxa"/>
            <w:vAlign w:val="top"/>
          </w:tcPr>
          <w:p>
            <w:pPr>
              <w:pStyle w:val="TableText"/>
              <w:ind w:left="71"/>
              <w:spacing w:before="97" w:line="221" w:lineRule="auto"/>
              <w:rPr>
                <w:sz w:val="16"/>
                <w:szCs w:val="16"/>
              </w:rPr>
            </w:pPr>
            <w:r>
              <w:rPr>
                <w:sz w:val="16"/>
                <w:szCs w:val="16"/>
                <w:spacing w:val="-3"/>
              </w:rPr>
              <w:t>欧盟</w:t>
            </w:r>
          </w:p>
        </w:tc>
        <w:tc>
          <w:tcPr>
            <w:tcW w:w="599" w:type="dxa"/>
            <w:vAlign w:val="top"/>
          </w:tcPr>
          <w:p>
            <w:pPr>
              <w:pStyle w:val="TableText"/>
              <w:ind w:left="81"/>
              <w:spacing w:before="97" w:line="221" w:lineRule="auto"/>
              <w:rPr>
                <w:sz w:val="16"/>
                <w:szCs w:val="16"/>
              </w:rPr>
            </w:pPr>
            <w:r>
              <w:rPr>
                <w:sz w:val="16"/>
                <w:szCs w:val="16"/>
                <w:spacing w:val="-2"/>
              </w:rPr>
              <w:t>调查</w:t>
            </w:r>
          </w:p>
        </w:tc>
        <w:tc>
          <w:tcPr>
            <w:tcW w:w="858" w:type="dxa"/>
            <w:vAlign w:val="top"/>
          </w:tcPr>
          <w:p>
            <w:pPr>
              <w:pStyle w:val="TableText"/>
              <w:ind w:left="92"/>
              <w:spacing w:before="74" w:line="219" w:lineRule="auto"/>
              <w:rPr>
                <w:sz w:val="16"/>
                <w:szCs w:val="16"/>
              </w:rPr>
            </w:pPr>
            <w:r>
              <w:rPr>
                <w:sz w:val="16"/>
                <w:szCs w:val="16"/>
                <w:spacing w:val="-2"/>
              </w:rPr>
              <w:t>谷歌</w:t>
            </w:r>
          </w:p>
        </w:tc>
        <w:tc>
          <w:tcPr>
            <w:tcW w:w="3369" w:type="dxa"/>
            <w:vAlign w:val="top"/>
          </w:tcPr>
          <w:p>
            <w:pPr>
              <w:pStyle w:val="TableText"/>
              <w:ind w:left="84" w:right="71" w:hanging="10"/>
              <w:spacing w:before="94" w:line="243" w:lineRule="auto"/>
              <w:rPr>
                <w:sz w:val="16"/>
                <w:szCs w:val="16"/>
              </w:rPr>
            </w:pPr>
            <w:r>
              <w:rPr>
                <w:sz w:val="16"/>
                <w:szCs w:val="16"/>
              </w:rPr>
              <w:t>欧盟委员会对谷歌在在线广告领域可能存在的</w:t>
            </w:r>
            <w:r>
              <w:rPr>
                <w:sz w:val="16"/>
                <w:szCs w:val="16"/>
                <w:spacing w:val="11"/>
              </w:rPr>
              <w:t xml:space="preserve"> </w:t>
            </w:r>
            <w:r>
              <w:rPr>
                <w:sz w:val="16"/>
                <w:szCs w:val="16"/>
              </w:rPr>
              <w:t>垄断行为展开调查，目前案件正在调查中</w:t>
            </w:r>
          </w:p>
        </w:tc>
      </w:tr>
    </w:tbl>
    <w:p>
      <w:pPr>
        <w:ind w:left="59" w:right="11" w:firstLine="420"/>
        <w:spacing w:before="276" w:line="304" w:lineRule="auto"/>
        <w:jc w:val="both"/>
        <w:rPr>
          <w:rFonts w:ascii="SimSun" w:hAnsi="SimSun" w:eastAsia="SimSun" w:cs="SimSun"/>
          <w:sz w:val="21"/>
          <w:szCs w:val="21"/>
        </w:rPr>
      </w:pPr>
      <w:r>
        <w:rPr>
          <w:rFonts w:ascii="SimSun" w:hAnsi="SimSun" w:eastAsia="SimSun" w:cs="SimSun"/>
          <w:sz w:val="21"/>
          <w:szCs w:val="21"/>
          <w:spacing w:val="-4"/>
        </w:rPr>
        <w:t>目前各法域对平台反垄断的判断均采取“相关市场</w:t>
      </w:r>
      <w:r>
        <w:rPr>
          <w:rFonts w:ascii="SimSun" w:hAnsi="SimSun" w:eastAsia="SimSun" w:cs="SimSun"/>
          <w:sz w:val="21"/>
          <w:szCs w:val="21"/>
          <w:spacing w:val="-5"/>
        </w:rPr>
        <w:t>界定—判断</w:t>
      </w:r>
      <w:r>
        <w:rPr>
          <w:rFonts w:ascii="SimSun" w:hAnsi="SimSun" w:eastAsia="SimSun" w:cs="SimSun"/>
          <w:sz w:val="21"/>
          <w:szCs w:val="21"/>
        </w:rPr>
        <w:t xml:space="preserve"> </w:t>
      </w:r>
      <w:r>
        <w:rPr>
          <w:rFonts w:ascii="SimSun" w:hAnsi="SimSun" w:eastAsia="SimSun" w:cs="SimSun"/>
          <w:sz w:val="21"/>
          <w:szCs w:val="21"/>
          <w:spacing w:val="-10"/>
        </w:rPr>
        <w:t>支配地位—分析垄断行为一竞争效果分析”的步骤，即反垄断法</w:t>
      </w:r>
      <w:r>
        <w:rPr>
          <w:rFonts w:ascii="SimSun" w:hAnsi="SimSun" w:eastAsia="SimSun" w:cs="SimSun"/>
          <w:sz w:val="21"/>
          <w:szCs w:val="21"/>
          <w:spacing w:val="-11"/>
        </w:rPr>
        <w:t>上成</w:t>
      </w:r>
      <w:r>
        <w:rPr>
          <w:rFonts w:ascii="SimSun" w:hAnsi="SimSun" w:eastAsia="SimSun" w:cs="SimSun"/>
          <w:sz w:val="21"/>
          <w:szCs w:val="21"/>
        </w:rPr>
        <w:t xml:space="preserve"> </w:t>
      </w:r>
      <w:r>
        <w:rPr>
          <w:rFonts w:ascii="SimSun" w:hAnsi="SimSun" w:eastAsia="SimSun" w:cs="SimSun"/>
          <w:sz w:val="21"/>
          <w:szCs w:val="21"/>
          <w:spacing w:val="-10"/>
        </w:rPr>
        <w:t>熟而稳定的“结构—行为一绩效”标准，我国也采用这种模式。2021</w:t>
      </w:r>
      <w:r>
        <w:rPr>
          <w:rFonts w:ascii="SimSun" w:hAnsi="SimSun" w:eastAsia="SimSun" w:cs="SimSun"/>
          <w:sz w:val="21"/>
          <w:szCs w:val="21"/>
          <w:spacing w:val="9"/>
        </w:rPr>
        <w:t xml:space="preserve"> </w:t>
      </w:r>
      <w:r>
        <w:rPr>
          <w:rFonts w:ascii="SimSun" w:hAnsi="SimSun" w:eastAsia="SimSun" w:cs="SimSun"/>
          <w:sz w:val="21"/>
          <w:szCs w:val="21"/>
          <w:spacing w:val="-10"/>
        </w:rPr>
        <w:t>年发布的《国务院反垄断委员会关于平台经济领域的反垄断指南》第</w:t>
      </w:r>
      <w:r>
        <w:rPr>
          <w:rFonts w:ascii="SimSun" w:hAnsi="SimSun" w:eastAsia="SimSun" w:cs="SimSun"/>
          <w:sz w:val="21"/>
          <w:szCs w:val="21"/>
          <w:spacing w:val="2"/>
        </w:rPr>
        <w:t xml:space="preserve"> </w:t>
      </w:r>
      <w:r>
        <w:rPr>
          <w:rFonts w:ascii="SimSun" w:hAnsi="SimSun" w:eastAsia="SimSun" w:cs="SimSun"/>
          <w:sz w:val="21"/>
          <w:szCs w:val="21"/>
          <w:spacing w:val="-11"/>
        </w:rPr>
        <w:t>三章“滥用市场支配地位”规定：“认定平台经济领域的滥用市场支</w:t>
      </w:r>
      <w:r>
        <w:rPr>
          <w:rFonts w:ascii="SimSun" w:hAnsi="SimSun" w:eastAsia="SimSun" w:cs="SimSun"/>
          <w:sz w:val="21"/>
          <w:szCs w:val="21"/>
          <w:spacing w:val="9"/>
        </w:rPr>
        <w:t xml:space="preserve"> </w:t>
      </w:r>
      <w:r>
        <w:rPr>
          <w:rFonts w:ascii="SimSun" w:hAnsi="SimSun" w:eastAsia="SimSun" w:cs="SimSun"/>
          <w:sz w:val="21"/>
          <w:szCs w:val="21"/>
          <w:spacing w:val="-10"/>
        </w:rPr>
        <w:t>配地位行为，适用《反垄断法》第三章和《禁止滥用市场支配地位行</w:t>
      </w:r>
      <w:r>
        <w:rPr>
          <w:rFonts w:ascii="SimSun" w:hAnsi="SimSun" w:eastAsia="SimSun" w:cs="SimSun"/>
          <w:sz w:val="21"/>
          <w:szCs w:val="21"/>
        </w:rPr>
        <w:t xml:space="preserve"> </w:t>
      </w:r>
      <w:r>
        <w:rPr>
          <w:rFonts w:ascii="SimSun" w:hAnsi="SimSun" w:eastAsia="SimSun" w:cs="SimSun"/>
          <w:sz w:val="21"/>
          <w:szCs w:val="21"/>
          <w:spacing w:val="-11"/>
        </w:rPr>
        <w:t>为暂行规定》。通常情况下，首先界定相关市场，分析经营者在相关</w:t>
      </w:r>
      <w:r>
        <w:rPr>
          <w:rFonts w:ascii="SimSun" w:hAnsi="SimSun" w:eastAsia="SimSun" w:cs="SimSun"/>
          <w:sz w:val="21"/>
          <w:szCs w:val="21"/>
          <w:spacing w:val="8"/>
        </w:rPr>
        <w:t xml:space="preserve"> </w:t>
      </w:r>
      <w:r>
        <w:rPr>
          <w:rFonts w:ascii="SimSun" w:hAnsi="SimSun" w:eastAsia="SimSun" w:cs="SimSun"/>
          <w:sz w:val="21"/>
          <w:szCs w:val="21"/>
          <w:spacing w:val="-10"/>
        </w:rPr>
        <w:t>市场是否具有支配地位，再根据个案情况具体分</w:t>
      </w:r>
      <w:r>
        <w:rPr>
          <w:rFonts w:ascii="SimSun" w:hAnsi="SimSun" w:eastAsia="SimSun" w:cs="SimSun"/>
          <w:sz w:val="21"/>
          <w:szCs w:val="21"/>
          <w:spacing w:val="-11"/>
        </w:rPr>
        <w:t>析是否构成滥用市场</w:t>
      </w:r>
    </w:p>
    <w:p>
      <w:pPr>
        <w:spacing w:line="304" w:lineRule="auto"/>
        <w:sectPr>
          <w:headerReference w:type="default" r:id="rId502"/>
          <w:pgSz w:w="7330" w:h="12480"/>
          <w:pgMar w:top="539" w:right="555" w:bottom="400" w:left="700" w:header="375" w:footer="0" w:gutter="0"/>
        </w:sectPr>
        <w:rPr>
          <w:rFonts w:ascii="SimSun" w:hAnsi="SimSun" w:eastAsia="SimSun" w:cs="SimSun"/>
          <w:sz w:val="21"/>
          <w:szCs w:val="21"/>
        </w:rPr>
      </w:pPr>
    </w:p>
    <w:p>
      <w:pPr>
        <w:pStyle w:val="BodyText"/>
        <w:spacing w:line="251" w:lineRule="auto"/>
        <w:rPr/>
      </w:pPr>
      <w:r>
        <w:drawing>
          <wp:anchor distT="0" distB="0" distL="0" distR="0" simplePos="0" relativeHeight="256075776" behindDoc="0" locked="0" layoutInCell="0" allowOverlap="1">
            <wp:simplePos x="0" y="0"/>
            <wp:positionH relativeFrom="page">
              <wp:posOffset>317487</wp:posOffset>
            </wp:positionH>
            <wp:positionV relativeFrom="page">
              <wp:posOffset>7080248</wp:posOffset>
            </wp:positionV>
            <wp:extent cx="1174761" cy="6350"/>
            <wp:effectExtent l="0" t="0" r="0" b="0"/>
            <wp:wrapNone/>
            <wp:docPr id="374" name="IM 374"/>
            <wp:cNvGraphicFramePr/>
            <a:graphic>
              <a:graphicData uri="http://schemas.openxmlformats.org/drawingml/2006/picture">
                <pic:pic>
                  <pic:nvPicPr>
                    <pic:cNvPr id="374" name="IM 374"/>
                    <pic:cNvPicPr/>
                  </pic:nvPicPr>
                  <pic:blipFill>
                    <a:blip r:embed="rId504"/>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2" w:lineRule="auto"/>
        <w:rPr/>
      </w:pPr>
      <w:r/>
    </w:p>
    <w:p>
      <w:pPr>
        <w:pStyle w:val="BodyText"/>
        <w:spacing w:line="252" w:lineRule="auto"/>
        <w:rPr/>
      </w:pPr>
      <w:r/>
    </w:p>
    <w:p>
      <w:pPr>
        <w:ind w:left="20"/>
        <w:spacing w:before="69" w:line="220" w:lineRule="auto"/>
        <w:rPr>
          <w:rFonts w:ascii="SimSun" w:hAnsi="SimSun" w:eastAsia="SimSun" w:cs="SimSun"/>
          <w:sz w:val="21"/>
          <w:szCs w:val="21"/>
        </w:rPr>
      </w:pPr>
      <w:r>
        <w:rPr>
          <w:rFonts w:ascii="SimSun" w:hAnsi="SimSun" w:eastAsia="SimSun" w:cs="SimSun"/>
          <w:sz w:val="21"/>
          <w:szCs w:val="21"/>
          <w:spacing w:val="-14"/>
        </w:rPr>
        <w:t>支配地位行为。”</w:t>
      </w:r>
    </w:p>
    <w:p>
      <w:pPr>
        <w:ind w:left="20" w:right="95" w:firstLine="410"/>
        <w:spacing w:before="120" w:line="285" w:lineRule="auto"/>
        <w:jc w:val="both"/>
        <w:rPr>
          <w:rFonts w:ascii="SimSun" w:hAnsi="SimSun" w:eastAsia="SimSun" w:cs="SimSun"/>
          <w:sz w:val="21"/>
          <w:szCs w:val="21"/>
        </w:rPr>
      </w:pPr>
      <w:r>
        <w:rPr>
          <w:rFonts w:ascii="SimSun" w:hAnsi="SimSun" w:eastAsia="SimSun" w:cs="SimSun"/>
          <w:sz w:val="21"/>
          <w:szCs w:val="21"/>
          <w:spacing w:val="-11"/>
        </w:rPr>
        <w:t>值得关注的是，美国更倾向于采用诉讼的方式，而欧盟和中国更</w:t>
      </w:r>
      <w:r>
        <w:rPr>
          <w:rFonts w:ascii="SimSun" w:hAnsi="SimSun" w:eastAsia="SimSun" w:cs="SimSun"/>
          <w:sz w:val="21"/>
          <w:szCs w:val="21"/>
          <w:spacing w:val="6"/>
        </w:rPr>
        <w:t xml:space="preserve"> </w:t>
      </w:r>
      <w:r>
        <w:rPr>
          <w:rFonts w:ascii="SimSun" w:hAnsi="SimSun" w:eastAsia="SimSun" w:cs="SimSun"/>
          <w:sz w:val="21"/>
          <w:szCs w:val="21"/>
          <w:spacing w:val="-11"/>
        </w:rPr>
        <w:t>倾向于采用行政处罚的方式，欧盟的互联网平台相关诉讼主要是被处</w:t>
      </w:r>
      <w:r>
        <w:rPr>
          <w:rFonts w:ascii="SimSun" w:hAnsi="SimSun" w:eastAsia="SimSun" w:cs="SimSun"/>
          <w:sz w:val="21"/>
          <w:szCs w:val="21"/>
          <w:spacing w:val="17"/>
        </w:rPr>
        <w:t xml:space="preserve"> </w:t>
      </w:r>
      <w:r>
        <w:rPr>
          <w:rFonts w:ascii="SimSun" w:hAnsi="SimSun" w:eastAsia="SimSun" w:cs="SimSun"/>
          <w:sz w:val="21"/>
          <w:szCs w:val="21"/>
          <w:spacing w:val="-11"/>
        </w:rPr>
        <w:t>罚对象不服从欧盟委员会的处罚而上诉到欧盟法院，中国的反垄断诉</w:t>
      </w:r>
      <w:r>
        <w:rPr>
          <w:rFonts w:ascii="SimSun" w:hAnsi="SimSun" w:eastAsia="SimSun" w:cs="SimSun"/>
          <w:sz w:val="21"/>
          <w:szCs w:val="21"/>
          <w:spacing w:val="17"/>
        </w:rPr>
        <w:t xml:space="preserve"> </w:t>
      </w:r>
      <w:r>
        <w:rPr>
          <w:rFonts w:ascii="SimSun" w:hAnsi="SimSun" w:eastAsia="SimSun" w:cs="SimSun"/>
          <w:sz w:val="21"/>
          <w:szCs w:val="21"/>
          <w:spacing w:val="-11"/>
        </w:rPr>
        <w:t>讼主要是互联网平台之间的诉讼，不涉及执法机</w:t>
      </w:r>
      <w:r>
        <w:rPr>
          <w:rFonts w:ascii="SimSun" w:hAnsi="SimSun" w:eastAsia="SimSun" w:cs="SimSun"/>
          <w:sz w:val="21"/>
          <w:szCs w:val="21"/>
          <w:spacing w:val="-12"/>
        </w:rPr>
        <w:t>关。</w:t>
      </w:r>
    </w:p>
    <w:p>
      <w:pPr>
        <w:ind w:left="20" w:right="94" w:firstLine="410"/>
        <w:spacing w:before="130" w:line="284" w:lineRule="auto"/>
        <w:jc w:val="both"/>
        <w:rPr>
          <w:rFonts w:ascii="SimSun" w:hAnsi="SimSun" w:eastAsia="SimSun" w:cs="SimSun"/>
          <w:sz w:val="21"/>
          <w:szCs w:val="21"/>
        </w:rPr>
      </w:pPr>
      <w:r>
        <w:rPr>
          <w:rFonts w:ascii="SimSun" w:hAnsi="SimSun" w:eastAsia="SimSun" w:cs="SimSun"/>
          <w:sz w:val="21"/>
          <w:szCs w:val="21"/>
          <w:spacing w:val="-11"/>
        </w:rPr>
        <w:t>与此同时，平台的交叉网络外部性、双边市场、头部效应、动态</w:t>
      </w:r>
      <w:r>
        <w:rPr>
          <w:rFonts w:ascii="SimSun" w:hAnsi="SimSun" w:eastAsia="SimSun" w:cs="SimSun"/>
          <w:sz w:val="21"/>
          <w:szCs w:val="21"/>
          <w:spacing w:val="7"/>
        </w:rPr>
        <w:t xml:space="preserve"> </w:t>
      </w:r>
      <w:r>
        <w:rPr>
          <w:rFonts w:ascii="SimSun" w:hAnsi="SimSun" w:eastAsia="SimSun" w:cs="SimSun"/>
          <w:sz w:val="21"/>
          <w:szCs w:val="21"/>
          <w:spacing w:val="-11"/>
        </w:rPr>
        <w:t>竞争和非中性定价等特征，使得平台的垄断行为相比传统产业而</w:t>
      </w:r>
      <w:r>
        <w:rPr>
          <w:rFonts w:ascii="SimSun" w:hAnsi="SimSun" w:eastAsia="SimSun" w:cs="SimSun"/>
          <w:sz w:val="21"/>
          <w:szCs w:val="21"/>
          <w:spacing w:val="-12"/>
        </w:rPr>
        <w:t>言更</w:t>
      </w:r>
      <w:r>
        <w:rPr>
          <w:rFonts w:ascii="SimSun" w:hAnsi="SimSun" w:eastAsia="SimSun" w:cs="SimSun"/>
          <w:sz w:val="21"/>
          <w:szCs w:val="21"/>
        </w:rPr>
        <w:t xml:space="preserve"> </w:t>
      </w:r>
      <w:r>
        <w:rPr>
          <w:rFonts w:ascii="SimSun" w:hAnsi="SimSun" w:eastAsia="SimSun" w:cs="SimSun"/>
          <w:sz w:val="21"/>
          <w:szCs w:val="21"/>
          <w:spacing w:val="-13"/>
        </w:rPr>
        <w:t>加复杂，主要表现为以下几点：</w:t>
      </w:r>
    </w:p>
    <w:p>
      <w:pPr>
        <w:ind w:left="20" w:right="71" w:firstLine="410"/>
        <w:spacing w:before="108" w:line="303" w:lineRule="auto"/>
        <w:jc w:val="both"/>
        <w:rPr>
          <w:rFonts w:ascii="SimSun" w:hAnsi="SimSun" w:eastAsia="SimSun" w:cs="SimSun"/>
          <w:sz w:val="21"/>
          <w:szCs w:val="21"/>
        </w:rPr>
      </w:pPr>
      <w:r>
        <w:rPr>
          <w:rFonts w:ascii="SimSun" w:hAnsi="SimSun" w:eastAsia="SimSun" w:cs="SimSun"/>
          <w:sz w:val="21"/>
          <w:szCs w:val="21"/>
          <w:spacing w:val="-11"/>
        </w:rPr>
        <w:t>第一，关于平台具有争议性的竞争行为，目前的反垄断法框架所</w:t>
      </w:r>
      <w:r>
        <w:rPr>
          <w:rFonts w:ascii="SimSun" w:hAnsi="SimSun" w:eastAsia="SimSun" w:cs="SimSun"/>
          <w:sz w:val="21"/>
          <w:szCs w:val="21"/>
          <w:spacing w:val="17"/>
        </w:rPr>
        <w:t xml:space="preserve"> </w:t>
      </w:r>
      <w:r>
        <w:rPr>
          <w:rFonts w:ascii="SimSun" w:hAnsi="SimSun" w:eastAsia="SimSun" w:cs="SimSun"/>
          <w:sz w:val="21"/>
          <w:szCs w:val="21"/>
          <w:spacing w:val="-11"/>
        </w:rPr>
        <w:t>不能涵盖的主要是自我优待问题。目前各国的法律都没有明确对自我</w:t>
      </w:r>
      <w:r>
        <w:rPr>
          <w:rFonts w:ascii="SimSun" w:hAnsi="SimSun" w:eastAsia="SimSun" w:cs="SimSun"/>
          <w:sz w:val="21"/>
          <w:szCs w:val="21"/>
          <w:spacing w:val="16"/>
        </w:rPr>
        <w:t xml:space="preserve"> </w:t>
      </w:r>
      <w:r>
        <w:rPr>
          <w:rFonts w:ascii="SimSun" w:hAnsi="SimSun" w:eastAsia="SimSun" w:cs="SimSun"/>
          <w:sz w:val="21"/>
          <w:szCs w:val="21"/>
          <w:spacing w:val="-10"/>
        </w:rPr>
        <w:t>优待问题定性，也没有将其视为一种滥用市场支配地位的行为。①自</w:t>
      </w:r>
      <w:r>
        <w:rPr>
          <w:rFonts w:ascii="SimSun" w:hAnsi="SimSun" w:eastAsia="SimSun" w:cs="SimSun"/>
          <w:sz w:val="21"/>
          <w:szCs w:val="21"/>
          <w:spacing w:val="12"/>
        </w:rPr>
        <w:t xml:space="preserve"> </w:t>
      </w:r>
      <w:r>
        <w:rPr>
          <w:rFonts w:ascii="SimSun" w:hAnsi="SimSun" w:eastAsia="SimSun" w:cs="SimSun"/>
          <w:sz w:val="21"/>
          <w:szCs w:val="21"/>
          <w:spacing w:val="-11"/>
        </w:rPr>
        <w:t>我优待是指平台对自己经营的产品进行优待的行为，具体包括对竞争</w:t>
      </w:r>
      <w:r>
        <w:rPr>
          <w:rFonts w:ascii="SimSun" w:hAnsi="SimSun" w:eastAsia="SimSun" w:cs="SimSun"/>
          <w:sz w:val="21"/>
          <w:szCs w:val="21"/>
          <w:spacing w:val="17"/>
        </w:rPr>
        <w:t xml:space="preserve"> </w:t>
      </w:r>
      <w:r>
        <w:rPr>
          <w:rFonts w:ascii="SimSun" w:hAnsi="SimSun" w:eastAsia="SimSun" w:cs="SimSun"/>
          <w:sz w:val="21"/>
          <w:szCs w:val="21"/>
          <w:spacing w:val="-11"/>
        </w:rPr>
        <w:t>产品进行算法惩罚、用对手数据辅助自身决策等。美国众议院《数字</w:t>
      </w:r>
      <w:r>
        <w:rPr>
          <w:rFonts w:ascii="SimSun" w:hAnsi="SimSun" w:eastAsia="SimSun" w:cs="SimSun"/>
          <w:sz w:val="21"/>
          <w:szCs w:val="21"/>
          <w:spacing w:val="18"/>
        </w:rPr>
        <w:t xml:space="preserve"> </w:t>
      </w:r>
      <w:r>
        <w:rPr>
          <w:rFonts w:ascii="SimSun" w:hAnsi="SimSun" w:eastAsia="SimSun" w:cs="SimSun"/>
          <w:sz w:val="21"/>
          <w:szCs w:val="21"/>
          <w:spacing w:val="-4"/>
        </w:rPr>
        <w:t>市场竞争报告》认为四大科技巨头(脸书、谷歌、亚马逊、苹果)都</w:t>
      </w:r>
      <w:r>
        <w:rPr>
          <w:rFonts w:ascii="SimSun" w:hAnsi="SimSun" w:eastAsia="SimSun" w:cs="SimSun"/>
          <w:sz w:val="21"/>
          <w:szCs w:val="21"/>
          <w:spacing w:val="17"/>
        </w:rPr>
        <w:t xml:space="preserve"> </w:t>
      </w:r>
      <w:r>
        <w:rPr>
          <w:rFonts w:ascii="SimSun" w:hAnsi="SimSun" w:eastAsia="SimSun" w:cs="SimSun"/>
          <w:sz w:val="21"/>
          <w:szCs w:val="21"/>
          <w:spacing w:val="-12"/>
        </w:rPr>
        <w:t>存在着自我优待问题，但各自表现不同。</w:t>
      </w:r>
    </w:p>
    <w:p>
      <w:pPr>
        <w:ind w:left="20" w:firstLine="410"/>
        <w:spacing w:before="108" w:line="296" w:lineRule="auto"/>
        <w:jc w:val="both"/>
        <w:rPr>
          <w:rFonts w:ascii="SimSun" w:hAnsi="SimSun" w:eastAsia="SimSun" w:cs="SimSun"/>
          <w:sz w:val="21"/>
          <w:szCs w:val="21"/>
        </w:rPr>
      </w:pPr>
      <w:r>
        <w:rPr>
          <w:rFonts w:ascii="SimSun" w:hAnsi="SimSun" w:eastAsia="SimSun" w:cs="SimSun"/>
          <w:sz w:val="21"/>
          <w:szCs w:val="21"/>
          <w:spacing w:val="-8"/>
        </w:rPr>
        <w:t>学界对自我优待是否属于滥用市场支配地位行为有不同的观点。</w:t>
      </w:r>
      <w:r>
        <w:rPr>
          <w:rFonts w:ascii="SimSun" w:hAnsi="SimSun" w:eastAsia="SimSun" w:cs="SimSun"/>
          <w:sz w:val="21"/>
          <w:szCs w:val="21"/>
          <w:spacing w:val="17"/>
        </w:rPr>
        <w:t xml:space="preserve"> </w:t>
      </w:r>
      <w:r>
        <w:rPr>
          <w:rFonts w:ascii="SimSun" w:hAnsi="SimSun" w:eastAsia="SimSun" w:cs="SimSun"/>
          <w:sz w:val="21"/>
          <w:szCs w:val="21"/>
          <w:spacing w:val="-10"/>
        </w:rPr>
        <w:t>丹麦的伯·维斯塔多夫法官认为，自我优待</w:t>
      </w:r>
      <w:r>
        <w:rPr>
          <w:rFonts w:ascii="SimSun" w:hAnsi="SimSun" w:eastAsia="SimSun" w:cs="SimSun"/>
          <w:sz w:val="21"/>
          <w:szCs w:val="21"/>
          <w:spacing w:val="-11"/>
        </w:rPr>
        <w:t>行为只是在利用自己的竞</w:t>
      </w:r>
      <w:r>
        <w:rPr>
          <w:rFonts w:ascii="SimSun" w:hAnsi="SimSun" w:eastAsia="SimSun" w:cs="SimSun"/>
          <w:sz w:val="21"/>
          <w:szCs w:val="21"/>
        </w:rPr>
        <w:t xml:space="preserve">  </w:t>
      </w:r>
      <w:r>
        <w:rPr>
          <w:rFonts w:ascii="SimSun" w:hAnsi="SimSun" w:eastAsia="SimSun" w:cs="SimSun"/>
          <w:sz w:val="21"/>
          <w:szCs w:val="21"/>
          <w:spacing w:val="-11"/>
        </w:rPr>
        <w:t>争优势，而不是对自身支配地位的滥用，这种行为就应该被视为是合</w:t>
      </w:r>
      <w:r>
        <w:rPr>
          <w:rFonts w:ascii="SimSun" w:hAnsi="SimSun" w:eastAsia="SimSun" w:cs="SimSun"/>
          <w:sz w:val="21"/>
          <w:szCs w:val="21"/>
          <w:spacing w:val="8"/>
        </w:rPr>
        <w:t xml:space="preserve">  </w:t>
      </w:r>
      <w:r>
        <w:rPr>
          <w:rFonts w:ascii="SimSun" w:hAnsi="SimSun" w:eastAsia="SimSun" w:cs="SimSun"/>
          <w:sz w:val="21"/>
          <w:szCs w:val="21"/>
          <w:spacing w:val="-10"/>
        </w:rPr>
        <w:t>法的，除非竞争主体所掌握的优势构成了所谓</w:t>
      </w:r>
      <w:r>
        <w:rPr>
          <w:rFonts w:ascii="SimSun" w:hAnsi="SimSun" w:eastAsia="SimSun" w:cs="SimSun"/>
          <w:sz w:val="21"/>
          <w:szCs w:val="21"/>
          <w:spacing w:val="-11"/>
        </w:rPr>
        <w:t>的“必需设施”。尼古</w:t>
      </w:r>
      <w:r>
        <w:rPr>
          <w:rFonts w:ascii="SimSun" w:hAnsi="SimSun" w:eastAsia="SimSun" w:cs="SimSun"/>
          <w:sz w:val="21"/>
          <w:szCs w:val="21"/>
        </w:rPr>
        <w:t xml:space="preserve">  </w:t>
      </w:r>
      <w:r>
        <w:rPr>
          <w:rFonts w:ascii="SimSun" w:hAnsi="SimSun" w:eastAsia="SimSun" w:cs="SimSun"/>
          <w:sz w:val="21"/>
          <w:szCs w:val="21"/>
          <w:spacing w:val="-10"/>
        </w:rPr>
        <w:t>拉斯·佩蒂特则认为很多自我优待行为事实</w:t>
      </w:r>
      <w:r>
        <w:rPr>
          <w:rFonts w:ascii="SimSun" w:hAnsi="SimSun" w:eastAsia="SimSun" w:cs="SimSun"/>
          <w:sz w:val="21"/>
          <w:szCs w:val="21"/>
          <w:spacing w:val="-11"/>
        </w:rPr>
        <w:t>上已经违反了《欧盟运行</w:t>
      </w:r>
      <w:r>
        <w:rPr>
          <w:rFonts w:ascii="SimSun" w:hAnsi="SimSun" w:eastAsia="SimSun" w:cs="SimSun"/>
          <w:sz w:val="21"/>
          <w:szCs w:val="21"/>
        </w:rPr>
        <w:t xml:space="preserve">  </w:t>
      </w:r>
      <w:r>
        <w:rPr>
          <w:rFonts w:ascii="SimSun" w:hAnsi="SimSun" w:eastAsia="SimSun" w:cs="SimSun"/>
          <w:sz w:val="21"/>
          <w:szCs w:val="21"/>
          <w:spacing w:val="-3"/>
        </w:rPr>
        <w:t>条约》第102条中的</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3"/>
        </w:rPr>
        <w:t>(c)   </w:t>
      </w:r>
      <w:r>
        <w:rPr>
          <w:rFonts w:ascii="SimSun" w:hAnsi="SimSun" w:eastAsia="SimSun" w:cs="SimSun"/>
          <w:sz w:val="21"/>
          <w:szCs w:val="21"/>
          <w:spacing w:val="-3"/>
        </w:rPr>
        <w:t>款，即对公平交易条件的要求。</w:t>
      </w:r>
    </w:p>
    <w:p>
      <w:pPr>
        <w:ind w:left="20" w:firstLine="410"/>
        <w:spacing w:before="140" w:line="292" w:lineRule="auto"/>
        <w:jc w:val="both"/>
        <w:rPr>
          <w:rFonts w:ascii="SimSun" w:hAnsi="SimSun" w:eastAsia="SimSun" w:cs="SimSun"/>
          <w:sz w:val="21"/>
          <w:szCs w:val="21"/>
        </w:rPr>
      </w:pPr>
      <w:r>
        <w:rPr>
          <w:rFonts w:ascii="SimSun" w:hAnsi="SimSun" w:eastAsia="SimSun" w:cs="SimSun"/>
          <w:sz w:val="21"/>
          <w:szCs w:val="21"/>
          <w:spacing w:val="-8"/>
        </w:rPr>
        <w:t>第二，平台内部隐蔽复杂的补贴规则可能会涉及多种垄断</w:t>
      </w:r>
      <w:r>
        <w:rPr>
          <w:rFonts w:ascii="SimSun" w:hAnsi="SimSun" w:eastAsia="SimSun" w:cs="SimSun"/>
          <w:sz w:val="21"/>
          <w:szCs w:val="21"/>
          <w:spacing w:val="-9"/>
        </w:rPr>
        <w:t>行为，</w:t>
      </w:r>
      <w:r>
        <w:rPr>
          <w:rFonts w:ascii="SimSun" w:hAnsi="SimSun" w:eastAsia="SimSun" w:cs="SimSun"/>
          <w:sz w:val="21"/>
          <w:szCs w:val="21"/>
        </w:rPr>
        <w:t xml:space="preserve"> </w:t>
      </w:r>
      <w:r>
        <w:rPr>
          <w:rFonts w:ascii="SimSun" w:hAnsi="SimSun" w:eastAsia="SimSun" w:cs="SimSun"/>
          <w:sz w:val="21"/>
          <w:szCs w:val="21"/>
          <w:spacing w:val="-10"/>
        </w:rPr>
        <w:t>但在事实确定和行为水平的测量上存在发现和界定困难。例如互</w:t>
      </w:r>
      <w:r>
        <w:rPr>
          <w:rFonts w:ascii="SimSun" w:hAnsi="SimSun" w:eastAsia="SimSun" w:cs="SimSun"/>
          <w:sz w:val="21"/>
          <w:szCs w:val="21"/>
          <w:spacing w:val="-11"/>
        </w:rPr>
        <w:t>联网</w:t>
      </w:r>
      <w:r>
        <w:rPr>
          <w:rFonts w:ascii="SimSun" w:hAnsi="SimSun" w:eastAsia="SimSun" w:cs="SimSun"/>
          <w:sz w:val="21"/>
          <w:szCs w:val="21"/>
        </w:rPr>
        <w:t xml:space="preserve">  </w:t>
      </w:r>
      <w:r>
        <w:rPr>
          <w:rFonts w:ascii="SimSun" w:hAnsi="SimSun" w:eastAsia="SimSun" w:cs="SimSun"/>
          <w:sz w:val="21"/>
          <w:szCs w:val="21"/>
          <w:spacing w:val="-7"/>
        </w:rPr>
        <w:t>平台的价格歧视种类繁多，比较普遍的是出于快速扩张</w:t>
      </w:r>
      <w:r>
        <w:rPr>
          <w:rFonts w:ascii="SimSun" w:hAnsi="SimSun" w:eastAsia="SimSun" w:cs="SimSun"/>
          <w:sz w:val="21"/>
          <w:szCs w:val="21"/>
          <w:spacing w:val="-8"/>
        </w:rPr>
        <w:t>市场的需要，</w:t>
      </w:r>
      <w:r>
        <w:rPr>
          <w:rFonts w:ascii="SimSun" w:hAnsi="SimSun" w:eastAsia="SimSun" w:cs="SimSun"/>
          <w:sz w:val="21"/>
          <w:szCs w:val="21"/>
        </w:rPr>
        <w:t xml:space="preserve"> </w:t>
      </w:r>
      <w:r>
        <w:rPr>
          <w:rFonts w:ascii="SimSun" w:hAnsi="SimSun" w:eastAsia="SimSun" w:cs="SimSun"/>
          <w:sz w:val="21"/>
          <w:szCs w:val="21"/>
          <w:spacing w:val="-4"/>
        </w:rPr>
        <w:t>对新老用户进行歧视定价策略，以及相应采用的大规模折扣销售政</w:t>
      </w:r>
    </w:p>
    <w:p>
      <w:pPr>
        <w:pStyle w:val="BodyText"/>
        <w:spacing w:line="470" w:lineRule="auto"/>
        <w:rPr/>
      </w:pPr>
      <w:r/>
    </w:p>
    <w:p>
      <w:pPr>
        <w:ind w:left="20"/>
        <w:spacing w:before="52" w:line="220" w:lineRule="auto"/>
        <w:rPr>
          <w:rFonts w:ascii="KaiTi" w:hAnsi="KaiTi" w:eastAsia="KaiTi" w:cs="KaiTi"/>
          <w:sz w:val="16"/>
          <w:szCs w:val="16"/>
        </w:rPr>
      </w:pPr>
      <w:r>
        <w:rPr>
          <w:rFonts w:ascii="KaiTi" w:hAnsi="KaiTi" w:eastAsia="KaiTi" w:cs="KaiTi"/>
          <w:sz w:val="16"/>
          <w:szCs w:val="16"/>
          <w:spacing w:val="3"/>
        </w:rPr>
        <w:t>①</w:t>
      </w:r>
      <w:r>
        <w:rPr>
          <w:rFonts w:ascii="KaiTi" w:hAnsi="KaiTi" w:eastAsia="KaiTi" w:cs="KaiTi"/>
          <w:sz w:val="16"/>
          <w:szCs w:val="16"/>
          <w:spacing w:val="66"/>
        </w:rPr>
        <w:t xml:space="preserve"> </w:t>
      </w:r>
      <w:r>
        <w:rPr>
          <w:rFonts w:ascii="KaiTi" w:hAnsi="KaiTi" w:eastAsia="KaiTi" w:cs="KaiTi"/>
          <w:sz w:val="16"/>
          <w:szCs w:val="16"/>
          <w:spacing w:val="3"/>
        </w:rPr>
        <w:t>陈永伟.自我优待：怎么看和怎么办.经济观察报，2020-12-21.</w:t>
      </w:r>
    </w:p>
    <w:p>
      <w:pPr>
        <w:spacing w:line="220" w:lineRule="auto"/>
        <w:sectPr>
          <w:headerReference w:type="default" r:id="rId503"/>
          <w:pgSz w:w="7330" w:h="12480"/>
          <w:pgMar w:top="847" w:right="724" w:bottom="400" w:left="499" w:header="683" w:footer="0" w:gutter="0"/>
        </w:sectPr>
        <w:rPr>
          <w:rFonts w:ascii="KaiTi" w:hAnsi="KaiTi" w:eastAsia="KaiTi" w:cs="KaiTi"/>
          <w:sz w:val="16"/>
          <w:szCs w:val="16"/>
        </w:rPr>
      </w:pPr>
    </w:p>
    <w:p>
      <w:pPr>
        <w:pStyle w:val="BodyText"/>
        <w:spacing w:line="256" w:lineRule="auto"/>
        <w:rPr/>
      </w:pPr>
      <w:r>
        <w:drawing>
          <wp:anchor distT="0" distB="0" distL="0" distR="0" simplePos="0" relativeHeight="256086016" behindDoc="0" locked="0" layoutInCell="0" allowOverlap="1">
            <wp:simplePos x="0" y="0"/>
            <wp:positionH relativeFrom="page">
              <wp:posOffset>507997</wp:posOffset>
            </wp:positionH>
            <wp:positionV relativeFrom="page">
              <wp:posOffset>6705569</wp:posOffset>
            </wp:positionV>
            <wp:extent cx="1181092" cy="6418"/>
            <wp:effectExtent l="0" t="0" r="0" b="0"/>
            <wp:wrapNone/>
            <wp:docPr id="376" name="IM 376"/>
            <wp:cNvGraphicFramePr/>
            <a:graphic>
              <a:graphicData uri="http://schemas.openxmlformats.org/drawingml/2006/picture">
                <pic:pic>
                  <pic:nvPicPr>
                    <pic:cNvPr id="376" name="IM 376"/>
                    <pic:cNvPicPr/>
                  </pic:nvPicPr>
                  <pic:blipFill>
                    <a:blip r:embed="rId506"/>
                    <a:stretch>
                      <a:fillRect/>
                    </a:stretch>
                  </pic:blipFill>
                  <pic:spPr>
                    <a:xfrm rot="0">
                      <a:off x="0" y="0"/>
                      <a:ext cx="1181092" cy="6418"/>
                    </a:xfrm>
                    <a:prstGeom prst="rect">
                      <a:avLst/>
                    </a:prstGeom>
                  </pic:spPr>
                </pic:pic>
              </a:graphicData>
            </a:graphic>
          </wp:anchor>
        </w:drawing>
      </w:r>
      <w:r/>
    </w:p>
    <w:p>
      <w:pPr>
        <w:pStyle w:val="BodyText"/>
        <w:spacing w:line="256" w:lineRule="auto"/>
        <w:rPr/>
      </w:pPr>
      <w:r/>
    </w:p>
    <w:p>
      <w:pPr>
        <w:pStyle w:val="BodyText"/>
        <w:spacing w:line="256" w:lineRule="auto"/>
        <w:rPr/>
      </w:pPr>
      <w:r/>
    </w:p>
    <w:p>
      <w:pPr>
        <w:pStyle w:val="BodyText"/>
        <w:spacing w:line="256" w:lineRule="auto"/>
        <w:rPr/>
      </w:pPr>
      <w:r/>
    </w:p>
    <w:p>
      <w:pPr>
        <w:ind w:right="94"/>
        <w:spacing w:before="69" w:line="295" w:lineRule="auto"/>
        <w:jc w:val="both"/>
        <w:rPr>
          <w:rFonts w:ascii="SimSun" w:hAnsi="SimSun" w:eastAsia="SimSun" w:cs="SimSun"/>
          <w:sz w:val="21"/>
          <w:szCs w:val="21"/>
        </w:rPr>
      </w:pPr>
      <w:r>
        <w:rPr>
          <w:rFonts w:ascii="SimSun" w:hAnsi="SimSun" w:eastAsia="SimSun" w:cs="SimSun"/>
          <w:sz w:val="21"/>
          <w:szCs w:val="21"/>
          <w:spacing w:val="-11"/>
        </w:rPr>
        <w:t>策。由于交叉网络外部性的存在，新顾客能增强网络外部性且几乎不</w:t>
      </w:r>
      <w:r>
        <w:rPr>
          <w:rFonts w:ascii="SimSun" w:hAnsi="SimSun" w:eastAsia="SimSun" w:cs="SimSun"/>
          <w:sz w:val="21"/>
          <w:szCs w:val="21"/>
        </w:rPr>
        <w:t xml:space="preserve"> </w:t>
      </w:r>
      <w:r>
        <w:rPr>
          <w:rFonts w:ascii="SimSun" w:hAnsi="SimSun" w:eastAsia="SimSun" w:cs="SimSun"/>
          <w:sz w:val="21"/>
          <w:szCs w:val="21"/>
          <w:spacing w:val="-11"/>
        </w:rPr>
        <w:t>增加边际成本，因此互联网平台对于新老用户的价格歧视往往</w:t>
      </w:r>
      <w:r>
        <w:rPr>
          <w:rFonts w:ascii="SimSun" w:hAnsi="SimSun" w:eastAsia="SimSun" w:cs="SimSun"/>
          <w:sz w:val="21"/>
          <w:szCs w:val="21"/>
          <w:spacing w:val="-12"/>
        </w:rPr>
        <w:t>是对新</w:t>
      </w:r>
      <w:r>
        <w:rPr>
          <w:rFonts w:ascii="SimSun" w:hAnsi="SimSun" w:eastAsia="SimSun" w:cs="SimSun"/>
          <w:sz w:val="21"/>
          <w:szCs w:val="21"/>
        </w:rPr>
        <w:t xml:space="preserve"> </w:t>
      </w:r>
      <w:r>
        <w:rPr>
          <w:rFonts w:ascii="SimSun" w:hAnsi="SimSun" w:eastAsia="SimSun" w:cs="SimSun"/>
          <w:sz w:val="21"/>
          <w:szCs w:val="21"/>
          <w:spacing w:val="-11"/>
        </w:rPr>
        <w:t>用户有优惠，这与传统商业中对老用户优惠的方式相反，但此</w:t>
      </w:r>
      <w:r>
        <w:rPr>
          <w:rFonts w:ascii="SimSun" w:hAnsi="SimSun" w:eastAsia="SimSun" w:cs="SimSun"/>
          <w:sz w:val="21"/>
          <w:szCs w:val="21"/>
          <w:spacing w:val="-12"/>
        </w:rPr>
        <w:t>种价格</w:t>
      </w:r>
      <w:r>
        <w:rPr>
          <w:rFonts w:ascii="SimSun" w:hAnsi="SimSun" w:eastAsia="SimSun" w:cs="SimSun"/>
          <w:sz w:val="21"/>
          <w:szCs w:val="21"/>
        </w:rPr>
        <w:t xml:space="preserve"> </w:t>
      </w:r>
      <w:r>
        <w:rPr>
          <w:rFonts w:ascii="SimSun" w:hAnsi="SimSun" w:eastAsia="SimSun" w:cs="SimSun"/>
          <w:sz w:val="21"/>
          <w:szCs w:val="21"/>
          <w:spacing w:val="-11"/>
        </w:rPr>
        <w:t>歧视与正常商业行为的界限难以确定，且折扣政策与掠夺性定</w:t>
      </w:r>
      <w:r>
        <w:rPr>
          <w:rFonts w:ascii="SimSun" w:hAnsi="SimSun" w:eastAsia="SimSun" w:cs="SimSun"/>
          <w:sz w:val="21"/>
          <w:szCs w:val="21"/>
          <w:spacing w:val="-12"/>
        </w:rPr>
        <w:t>价、价</w:t>
      </w:r>
      <w:r>
        <w:rPr>
          <w:rFonts w:ascii="SimSun" w:hAnsi="SimSun" w:eastAsia="SimSun" w:cs="SimSun"/>
          <w:sz w:val="21"/>
          <w:szCs w:val="21"/>
        </w:rPr>
        <w:t xml:space="preserve"> </w:t>
      </w:r>
      <w:r>
        <w:rPr>
          <w:rFonts w:ascii="SimSun" w:hAnsi="SimSun" w:eastAsia="SimSun" w:cs="SimSun"/>
          <w:sz w:val="21"/>
          <w:szCs w:val="21"/>
          <w:spacing w:val="-11"/>
        </w:rPr>
        <w:t>格歧视、忠诚返利等多个垄断行为存在竞合，具体归入何种垄断行为</w:t>
      </w:r>
      <w:r>
        <w:rPr>
          <w:rFonts w:ascii="SimSun" w:hAnsi="SimSun" w:eastAsia="SimSun" w:cs="SimSun"/>
          <w:sz w:val="21"/>
          <w:szCs w:val="21"/>
        </w:rPr>
        <w:t xml:space="preserve"> </w:t>
      </w:r>
      <w:r>
        <w:rPr>
          <w:rFonts w:ascii="SimSun" w:hAnsi="SimSun" w:eastAsia="SimSun" w:cs="SimSun"/>
          <w:sz w:val="21"/>
          <w:szCs w:val="21"/>
          <w:spacing w:val="-11"/>
        </w:rPr>
        <w:t>进行调整存在争议。但这种问题并不构成对反垄断法理论和规则</w:t>
      </w:r>
      <w:r>
        <w:rPr>
          <w:rFonts w:ascii="SimSun" w:hAnsi="SimSun" w:eastAsia="SimSun" w:cs="SimSun"/>
          <w:sz w:val="21"/>
          <w:szCs w:val="21"/>
          <w:spacing w:val="-12"/>
        </w:rPr>
        <w:t>的挑</w:t>
      </w:r>
      <w:r>
        <w:rPr>
          <w:rFonts w:ascii="SimSun" w:hAnsi="SimSun" w:eastAsia="SimSun" w:cs="SimSun"/>
          <w:sz w:val="21"/>
          <w:szCs w:val="21"/>
        </w:rPr>
        <w:t xml:space="preserve"> </w:t>
      </w:r>
      <w:r>
        <w:rPr>
          <w:rFonts w:ascii="SimSun" w:hAnsi="SimSun" w:eastAsia="SimSun" w:cs="SimSun"/>
          <w:sz w:val="21"/>
          <w:szCs w:val="21"/>
          <w:spacing w:val="-11"/>
        </w:rPr>
        <w:t>战，主要是对执法能力要求较高和发现成本较为高昂。</w:t>
      </w:r>
    </w:p>
    <w:p>
      <w:pPr>
        <w:ind w:right="53" w:firstLine="440"/>
        <w:spacing w:before="152" w:line="297" w:lineRule="auto"/>
        <w:jc w:val="both"/>
        <w:rPr>
          <w:rFonts w:ascii="SimSun" w:hAnsi="SimSun" w:eastAsia="SimSun" w:cs="SimSun"/>
          <w:sz w:val="21"/>
          <w:szCs w:val="21"/>
        </w:rPr>
      </w:pPr>
      <w:r>
        <w:rPr>
          <w:rFonts w:ascii="SimSun" w:hAnsi="SimSun" w:eastAsia="SimSun" w:cs="SimSun"/>
          <w:sz w:val="21"/>
          <w:szCs w:val="21"/>
          <w:spacing w:val="-4"/>
        </w:rPr>
        <w:t>第三，针对平台垄断行为的排除、限制竞争效果的分析存在困</w:t>
      </w:r>
      <w:r>
        <w:rPr>
          <w:rFonts w:ascii="SimSun" w:hAnsi="SimSun" w:eastAsia="SimSun" w:cs="SimSun"/>
          <w:sz w:val="21"/>
          <w:szCs w:val="21"/>
          <w:spacing w:val="8"/>
        </w:rPr>
        <w:t xml:space="preserve"> </w:t>
      </w:r>
      <w:r>
        <w:rPr>
          <w:rFonts w:ascii="SimSun" w:hAnsi="SimSun" w:eastAsia="SimSun" w:cs="SimSun"/>
          <w:sz w:val="21"/>
          <w:szCs w:val="21"/>
          <w:spacing w:val="-11"/>
        </w:rPr>
        <w:t>难。传统滥用市场支配地位的竞争分析依赖于相关市场的界定，由于</w:t>
      </w:r>
      <w:r>
        <w:rPr>
          <w:rFonts w:ascii="SimSun" w:hAnsi="SimSun" w:eastAsia="SimSun" w:cs="SimSun"/>
          <w:sz w:val="21"/>
          <w:szCs w:val="21"/>
        </w:rPr>
        <w:t xml:space="preserve"> </w:t>
      </w:r>
      <w:r>
        <w:rPr>
          <w:rFonts w:ascii="SimSun" w:hAnsi="SimSun" w:eastAsia="SimSun" w:cs="SimSun"/>
          <w:sz w:val="21"/>
          <w:szCs w:val="21"/>
          <w:spacing w:val="-11"/>
        </w:rPr>
        <w:t>平台具有双边市场、跨领域经营、动态竞争等特点，相关市场的界定</w:t>
      </w:r>
      <w:r>
        <w:rPr>
          <w:rFonts w:ascii="SimSun" w:hAnsi="SimSun" w:eastAsia="SimSun" w:cs="SimSun"/>
          <w:sz w:val="21"/>
          <w:szCs w:val="21"/>
          <w:spacing w:val="2"/>
        </w:rPr>
        <w:t xml:space="preserve"> </w:t>
      </w:r>
      <w:r>
        <w:rPr>
          <w:rFonts w:ascii="SimSun" w:hAnsi="SimSun" w:eastAsia="SimSun" w:cs="SimSun"/>
          <w:sz w:val="21"/>
          <w:szCs w:val="21"/>
          <w:spacing w:val="-11"/>
        </w:rPr>
        <w:t>存在困难；除此之外，网络效应、价格的非中性特征也使平台单一垄</w:t>
      </w:r>
      <w:r>
        <w:rPr>
          <w:rFonts w:ascii="SimSun" w:hAnsi="SimSun" w:eastAsia="SimSun" w:cs="SimSun"/>
          <w:sz w:val="21"/>
          <w:szCs w:val="21"/>
        </w:rPr>
        <w:t xml:space="preserve"> </w:t>
      </w:r>
      <w:r>
        <w:rPr>
          <w:rFonts w:ascii="SimSun" w:hAnsi="SimSun" w:eastAsia="SimSun" w:cs="SimSun"/>
          <w:sz w:val="21"/>
          <w:szCs w:val="21"/>
          <w:spacing w:val="-11"/>
        </w:rPr>
        <w:t>断行为的竞争损害分析存在难度。</w:t>
      </w:r>
    </w:p>
    <w:p>
      <w:pPr>
        <w:pStyle w:val="BodyText"/>
        <w:spacing w:line="39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4"/>
        </w:rPr>
        <w:t>价格歧视及其适用于平台的争议</w:t>
      </w:r>
    </w:p>
    <w:p>
      <w:pPr>
        <w:pStyle w:val="BodyText"/>
        <w:spacing w:line="336" w:lineRule="auto"/>
        <w:rPr/>
      </w:pPr>
      <w:r/>
    </w:p>
    <w:p>
      <w:pPr>
        <w:ind w:firstLine="440"/>
        <w:spacing w:before="68" w:line="306" w:lineRule="auto"/>
        <w:jc w:val="both"/>
        <w:rPr>
          <w:rFonts w:ascii="SimSun" w:hAnsi="SimSun" w:eastAsia="SimSun" w:cs="SimSun"/>
          <w:sz w:val="21"/>
          <w:szCs w:val="21"/>
        </w:rPr>
      </w:pPr>
      <w:r>
        <w:rPr>
          <w:rFonts w:ascii="SimSun" w:hAnsi="SimSun" w:eastAsia="SimSun" w:cs="SimSun"/>
          <w:sz w:val="21"/>
          <w:szCs w:val="21"/>
          <w:spacing w:val="-11"/>
        </w:rPr>
        <w:t>传统认为，价格歧视指的是商家就同一种商品对不同的消费者收</w:t>
      </w:r>
      <w:r>
        <w:rPr>
          <w:rFonts w:ascii="SimSun" w:hAnsi="SimSun" w:eastAsia="SimSun" w:cs="SimSun"/>
          <w:sz w:val="21"/>
          <w:szCs w:val="21"/>
          <w:spacing w:val="14"/>
        </w:rPr>
        <w:t xml:space="preserve"> </w:t>
      </w:r>
      <w:r>
        <w:rPr>
          <w:rFonts w:ascii="SimSun" w:hAnsi="SimSun" w:eastAsia="SimSun" w:cs="SimSun"/>
          <w:sz w:val="21"/>
          <w:szCs w:val="21"/>
          <w:spacing w:val="-11"/>
        </w:rPr>
        <w:t>取不同的费用，但这种定义忽视了两个重要</w:t>
      </w:r>
      <w:r>
        <w:rPr>
          <w:rFonts w:ascii="SimSun" w:hAnsi="SimSun" w:eastAsia="SimSun" w:cs="SimSun"/>
          <w:sz w:val="21"/>
          <w:szCs w:val="21"/>
          <w:spacing w:val="-12"/>
        </w:rPr>
        <w:t>的方面：第一，对不同消</w:t>
      </w:r>
      <w:r>
        <w:rPr>
          <w:rFonts w:ascii="SimSun" w:hAnsi="SimSun" w:eastAsia="SimSun" w:cs="SimSun"/>
          <w:sz w:val="21"/>
          <w:szCs w:val="21"/>
        </w:rPr>
        <w:t xml:space="preserve">  </w:t>
      </w:r>
      <w:r>
        <w:rPr>
          <w:rFonts w:ascii="SimSun" w:hAnsi="SimSun" w:eastAsia="SimSun" w:cs="SimSun"/>
          <w:sz w:val="21"/>
          <w:szCs w:val="21"/>
          <w:spacing w:val="-11"/>
        </w:rPr>
        <w:t>费者收取不同的费用有可能是因为交易成本不同；第二，即使对所有</w:t>
      </w:r>
      <w:r>
        <w:rPr>
          <w:rFonts w:ascii="SimSun" w:hAnsi="SimSun" w:eastAsia="SimSun" w:cs="SimSun"/>
          <w:sz w:val="21"/>
          <w:szCs w:val="21"/>
        </w:rPr>
        <w:t xml:space="preserve">  </w:t>
      </w:r>
      <w:r>
        <w:rPr>
          <w:rFonts w:ascii="SimSun" w:hAnsi="SimSun" w:eastAsia="SimSun" w:cs="SimSun"/>
          <w:sz w:val="21"/>
          <w:szCs w:val="21"/>
          <w:spacing w:val="-9"/>
        </w:rPr>
        <w:t>消费者收取相同价格，价格歧视也可能会出现。斯蒂格勒等人指出，</w:t>
      </w:r>
      <w:r>
        <w:rPr>
          <w:rFonts w:ascii="SimSun" w:hAnsi="SimSun" w:eastAsia="SimSun" w:cs="SimSun"/>
          <w:sz w:val="21"/>
          <w:szCs w:val="21"/>
          <w:spacing w:val="13"/>
        </w:rPr>
        <w:t xml:space="preserve"> </w:t>
      </w:r>
      <w:r>
        <w:rPr>
          <w:rFonts w:ascii="SimSun" w:hAnsi="SimSun" w:eastAsia="SimSun" w:cs="SimSun"/>
          <w:sz w:val="21"/>
          <w:szCs w:val="21"/>
          <w:spacing w:val="-10"/>
        </w:rPr>
        <w:t>价格歧视发生在商家卖出两种或更多相似商品</w:t>
      </w:r>
      <w:r>
        <w:rPr>
          <w:rFonts w:ascii="SimSun" w:hAnsi="SimSun" w:eastAsia="SimSun" w:cs="SimSun"/>
          <w:sz w:val="21"/>
          <w:szCs w:val="21"/>
          <w:spacing w:val="-11"/>
        </w:rPr>
        <w:t>时，此时其价格与边际 </w:t>
      </w:r>
      <w:r>
        <w:rPr>
          <w:rFonts w:ascii="SimSun" w:hAnsi="SimSun" w:eastAsia="SimSun" w:cs="SimSun"/>
          <w:sz w:val="21"/>
          <w:szCs w:val="21"/>
          <w:spacing w:val="-4"/>
        </w:rPr>
        <w:t>成本的比率是不同的。例如，书商将精装书卖到15美元一本，</w:t>
      </w:r>
      <w:r>
        <w:rPr>
          <w:rFonts w:ascii="SimSun" w:hAnsi="SimSun" w:eastAsia="SimSun" w:cs="SimSun"/>
          <w:sz w:val="21"/>
          <w:szCs w:val="21"/>
          <w:spacing w:val="-5"/>
        </w:rPr>
        <w:t>而平</w:t>
      </w:r>
      <w:r>
        <w:rPr>
          <w:rFonts w:ascii="SimSun" w:hAnsi="SimSun" w:eastAsia="SimSun" w:cs="SimSun"/>
          <w:sz w:val="21"/>
          <w:szCs w:val="21"/>
        </w:rPr>
        <w:t xml:space="preserve">  </w:t>
      </w:r>
      <w:r>
        <w:rPr>
          <w:rFonts w:ascii="SimSun" w:hAnsi="SimSun" w:eastAsia="SimSun" w:cs="SimSun"/>
          <w:sz w:val="21"/>
          <w:szCs w:val="21"/>
          <w:spacing w:val="-8"/>
        </w:rPr>
        <w:t>装书只有5美元一本，此时精装书和平装书内容一样，装订成本的差</w:t>
      </w:r>
      <w:r>
        <w:rPr>
          <w:rFonts w:ascii="SimSun" w:hAnsi="SimSun" w:eastAsia="SimSun" w:cs="SimSun"/>
          <w:sz w:val="21"/>
          <w:szCs w:val="21"/>
          <w:spacing w:val="7"/>
        </w:rPr>
        <w:t xml:space="preserve">  </w:t>
      </w:r>
      <w:r>
        <w:rPr>
          <w:rFonts w:ascii="SimSun" w:hAnsi="SimSun" w:eastAsia="SimSun" w:cs="SimSun"/>
          <w:sz w:val="21"/>
          <w:szCs w:val="21"/>
          <w:spacing w:val="-8"/>
        </w:rPr>
        <w:t>别并不能有效解释价格差异，因此认为存在价格歧视。①通常认为，</w:t>
      </w:r>
      <w:r>
        <w:rPr>
          <w:rFonts w:ascii="SimSun" w:hAnsi="SimSun" w:eastAsia="SimSun" w:cs="SimSun"/>
          <w:sz w:val="21"/>
          <w:szCs w:val="21"/>
          <w:spacing w:val="4"/>
        </w:rPr>
        <w:t xml:space="preserve"> </w:t>
      </w:r>
      <w:r>
        <w:rPr>
          <w:rFonts w:ascii="SimSun" w:hAnsi="SimSun" w:eastAsia="SimSun" w:cs="SimSun"/>
          <w:sz w:val="21"/>
          <w:szCs w:val="21"/>
          <w:spacing w:val="-11"/>
        </w:rPr>
        <w:t>对两个不同买方销售相同产品时，价格不同是因为存在差异化定价而</w:t>
      </w:r>
    </w:p>
    <w:p>
      <w:pPr>
        <w:pStyle w:val="BodyText"/>
        <w:spacing w:line="254" w:lineRule="auto"/>
        <w:rPr/>
      </w:pPr>
      <w:r/>
    </w:p>
    <w:p>
      <w:pPr>
        <w:pStyle w:val="BodyText"/>
        <w:spacing w:line="254" w:lineRule="auto"/>
        <w:rPr/>
      </w:pPr>
      <w:r/>
    </w:p>
    <w:p>
      <w:pPr>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11"/>
          <w:w w:val="97"/>
        </w:rPr>
        <w:t>①</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1"/>
          <w:w w:val="97"/>
        </w:rPr>
        <w:t>T.F.Bresnahan,P.C.Reiss,R.Willig,G.J.Stigler,</w:t>
      </w:r>
      <w:r>
        <w:rPr>
          <w:rFonts w:ascii="Times New Roman" w:hAnsi="Times New Roman" w:eastAsia="Times New Roman" w:cs="Times New Roman"/>
          <w:sz w:val="21"/>
          <w:szCs w:val="21"/>
          <w:spacing w:val="-12"/>
          <w:w w:val="97"/>
        </w:rPr>
        <w:t>“Do Entry Conditions Vary across</w:t>
      </w:r>
    </w:p>
    <w:p>
      <w:pPr>
        <w:ind w:left="320"/>
        <w:spacing w:before="9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Markets?",Brookings</w:t>
      </w:r>
      <w:r>
        <w:rPr>
          <w:rFonts w:ascii="Times New Roman" w:hAnsi="Times New Roman" w:eastAsia="Times New Roman" w:cs="Times New Roman"/>
          <w:sz w:val="16"/>
          <w:szCs w:val="16"/>
          <w:i/>
          <w:iCs/>
          <w:spacing w:val="43"/>
          <w:w w:val="101"/>
        </w:rPr>
        <w:t xml:space="preserve"> </w:t>
      </w:r>
      <w:r>
        <w:rPr>
          <w:rFonts w:ascii="Times New Roman" w:hAnsi="Times New Roman" w:eastAsia="Times New Roman" w:cs="Times New Roman"/>
          <w:sz w:val="16"/>
          <w:szCs w:val="16"/>
          <w:i/>
          <w:iCs/>
        </w:rPr>
        <w:t>Papers</w:t>
      </w:r>
      <w:r>
        <w:rPr>
          <w:rFonts w:ascii="Times New Roman" w:hAnsi="Times New Roman" w:eastAsia="Times New Roman" w:cs="Times New Roman"/>
          <w:sz w:val="16"/>
          <w:szCs w:val="16"/>
          <w:i/>
          <w:iCs/>
          <w:spacing w:val="35"/>
          <w:w w:val="101"/>
        </w:rPr>
        <w:t xml:space="preserve"> </w:t>
      </w:r>
      <w:r>
        <w:rPr>
          <w:rFonts w:ascii="Times New Roman" w:hAnsi="Times New Roman" w:eastAsia="Times New Roman" w:cs="Times New Roman"/>
          <w:sz w:val="16"/>
          <w:szCs w:val="16"/>
          <w:i/>
          <w:iCs/>
        </w:rPr>
        <w:t>on</w:t>
      </w:r>
      <w:r>
        <w:rPr>
          <w:rFonts w:ascii="Times New Roman" w:hAnsi="Times New Roman" w:eastAsia="Times New Roman" w:cs="Times New Roman"/>
          <w:sz w:val="16"/>
          <w:szCs w:val="16"/>
          <w:i/>
          <w:iCs/>
          <w:spacing w:val="27"/>
        </w:rPr>
        <w:t xml:space="preserve"> </w:t>
      </w:r>
      <w:r>
        <w:rPr>
          <w:rFonts w:ascii="Times New Roman" w:hAnsi="Times New Roman" w:eastAsia="Times New Roman" w:cs="Times New Roman"/>
          <w:sz w:val="16"/>
          <w:szCs w:val="16"/>
          <w:i/>
          <w:iCs/>
        </w:rPr>
        <w:t>Economic</w:t>
      </w:r>
      <w:r>
        <w:rPr>
          <w:rFonts w:ascii="Times New Roman" w:hAnsi="Times New Roman" w:eastAsia="Times New Roman" w:cs="Times New Roman"/>
          <w:sz w:val="16"/>
          <w:szCs w:val="16"/>
          <w:i/>
          <w:iCs/>
          <w:spacing w:val="23"/>
        </w:rPr>
        <w:t xml:space="preserve"> </w:t>
      </w:r>
      <w:r>
        <w:rPr>
          <w:rFonts w:ascii="Times New Roman" w:hAnsi="Times New Roman" w:eastAsia="Times New Roman" w:cs="Times New Roman"/>
          <w:sz w:val="16"/>
          <w:szCs w:val="16"/>
          <w:i/>
          <w:iCs/>
        </w:rPr>
        <w:t>Activity,1987(3):833-881.</w:t>
      </w:r>
    </w:p>
    <w:p>
      <w:pPr>
        <w:spacing w:line="192" w:lineRule="auto"/>
        <w:sectPr>
          <w:headerReference w:type="default" r:id="rId505"/>
          <w:pgSz w:w="7330" w:h="12480"/>
          <w:pgMar w:top="538" w:right="484" w:bottom="400" w:left="779" w:header="373" w:footer="0" w:gutter="0"/>
        </w:sectPr>
        <w:rPr>
          <w:rFonts w:ascii="Times New Roman" w:hAnsi="Times New Roman" w:eastAsia="Times New Roman" w:cs="Times New Roman"/>
          <w:sz w:val="16"/>
          <w:szCs w:val="16"/>
        </w:rPr>
      </w:pPr>
    </w:p>
    <w:p>
      <w:pPr>
        <w:ind w:left="2117"/>
        <w:spacing w:before="209" w:line="219" w:lineRule="auto"/>
        <w:rPr>
          <w:rFonts w:ascii="SimSun" w:hAnsi="SimSun" w:eastAsia="SimSun" w:cs="SimSun"/>
          <w:sz w:val="12"/>
          <w:szCs w:val="12"/>
        </w:rPr>
      </w:pPr>
      <w:r>
        <w:drawing>
          <wp:anchor distT="0" distB="0" distL="0" distR="0" simplePos="0" relativeHeight="256096256" behindDoc="0" locked="0" layoutInCell="0" allowOverlap="1">
            <wp:simplePos x="0" y="0"/>
            <wp:positionH relativeFrom="page">
              <wp:posOffset>349230</wp:posOffset>
            </wp:positionH>
            <wp:positionV relativeFrom="page">
              <wp:posOffset>6883397</wp:posOffset>
            </wp:positionV>
            <wp:extent cx="1168431" cy="6350"/>
            <wp:effectExtent l="0" t="0" r="0" b="0"/>
            <wp:wrapNone/>
            <wp:docPr id="378" name="IM 378"/>
            <wp:cNvGraphicFramePr/>
            <a:graphic>
              <a:graphicData uri="http://schemas.openxmlformats.org/drawingml/2006/picture">
                <pic:pic>
                  <pic:nvPicPr>
                    <pic:cNvPr id="378" name="IM 378"/>
                    <pic:cNvPicPr/>
                  </pic:nvPicPr>
                  <pic:blipFill>
                    <a:blip r:embed="rId507"/>
                    <a:stretch>
                      <a:fillRect/>
                    </a:stretch>
                  </pic:blipFill>
                  <pic:spPr>
                    <a:xfrm rot="0">
                      <a:off x="0" y="0"/>
                      <a:ext cx="1168431" cy="6350"/>
                    </a:xfrm>
                    <a:prstGeom prst="rect">
                      <a:avLst/>
                    </a:prstGeom>
                  </pic:spPr>
                </pic:pic>
              </a:graphicData>
            </a:graphic>
          </wp:anchor>
        </w:drawing>
      </w:r>
      <w:r>
        <w:rPr>
          <w:rFonts w:ascii="YouYuan" w:hAnsi="YouYuan" w:eastAsia="YouYuan" w:cs="YouYuan"/>
          <w:sz w:val="19"/>
          <w:szCs w:val="19"/>
          <w:b/>
          <w:bCs/>
          <w:spacing w:val="-7"/>
          <w:w w:val="83"/>
        </w:rPr>
        <w:t>第十二章</w:t>
      </w:r>
      <w:r>
        <w:rPr>
          <w:rFonts w:ascii="YouYuan" w:hAnsi="YouYuan" w:eastAsia="YouYuan" w:cs="YouYuan"/>
          <w:sz w:val="19"/>
          <w:szCs w:val="19"/>
          <w:spacing w:val="37"/>
        </w:rPr>
        <w:t xml:space="preserve"> </w:t>
      </w:r>
      <w:r>
        <w:rPr>
          <w:rFonts w:ascii="YouYuan" w:hAnsi="YouYuan" w:eastAsia="YouYuan" w:cs="YouYuan"/>
          <w:sz w:val="19"/>
          <w:szCs w:val="19"/>
          <w:b/>
          <w:bCs/>
          <w:spacing w:val="-7"/>
          <w:w w:val="83"/>
        </w:rPr>
        <w:t>平台的反垄断挑战</w:t>
      </w:r>
      <w:r>
        <w:rPr>
          <w:rFonts w:ascii="YouYuan" w:hAnsi="YouYuan" w:eastAsia="YouYuan" w:cs="YouYuan"/>
          <w:sz w:val="19"/>
          <w:szCs w:val="19"/>
          <w:spacing w:val="1"/>
        </w:rPr>
        <w:t xml:space="preserve">                  </w:t>
      </w:r>
      <w:r>
        <w:rPr>
          <w:rFonts w:ascii="SimSun" w:hAnsi="SimSun" w:eastAsia="SimSun" w:cs="SimSun"/>
          <w:sz w:val="12"/>
          <w:szCs w:val="12"/>
          <w:spacing w:val="4"/>
          <w:position w:val="-4"/>
        </w:rPr>
        <w:t>423</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95"/>
        <w:spacing w:before="62" w:line="218" w:lineRule="auto"/>
        <w:rPr>
          <w:rFonts w:ascii="SimSun" w:hAnsi="SimSun" w:eastAsia="SimSun" w:cs="SimSun"/>
          <w:sz w:val="19"/>
          <w:szCs w:val="19"/>
        </w:rPr>
      </w:pPr>
      <w:r>
        <w:rPr>
          <w:rFonts w:ascii="SimSun" w:hAnsi="SimSun" w:eastAsia="SimSun" w:cs="SimSun"/>
          <w:sz w:val="19"/>
          <w:szCs w:val="19"/>
          <w:spacing w:val="3"/>
        </w:rPr>
        <w:t>非歧视性定价。</w:t>
      </w:r>
    </w:p>
    <w:p>
      <w:pPr>
        <w:ind w:left="95" w:right="20" w:firstLine="429"/>
        <w:spacing w:before="113" w:line="350" w:lineRule="auto"/>
        <w:jc w:val="both"/>
        <w:rPr>
          <w:rFonts w:ascii="SimSun" w:hAnsi="SimSun" w:eastAsia="SimSun" w:cs="SimSun"/>
          <w:sz w:val="19"/>
          <w:szCs w:val="19"/>
        </w:rPr>
      </w:pPr>
      <w:r>
        <w:rPr>
          <w:rFonts w:ascii="SimSun" w:hAnsi="SimSun" w:eastAsia="SimSun" w:cs="SimSun"/>
          <w:sz w:val="19"/>
          <w:szCs w:val="19"/>
          <w:spacing w:val="11"/>
        </w:rPr>
        <w:t>价格歧视有三个要件：第一，企业必须存在一定的市场支配力，</w:t>
      </w:r>
      <w:r>
        <w:rPr>
          <w:rFonts w:ascii="SimSun" w:hAnsi="SimSun" w:eastAsia="SimSun" w:cs="SimSun"/>
          <w:sz w:val="19"/>
          <w:szCs w:val="19"/>
          <w:spacing w:val="6"/>
        </w:rPr>
        <w:t xml:space="preserve"> </w:t>
      </w:r>
      <w:r>
        <w:rPr>
          <w:rFonts w:ascii="SimSun" w:hAnsi="SimSun" w:eastAsia="SimSun" w:cs="SimSun"/>
          <w:sz w:val="19"/>
          <w:szCs w:val="19"/>
          <w:spacing w:val="9"/>
        </w:rPr>
        <w:t>价格歧视多发生在垄断或者寡头市场，因为此时企业可以将商品定在</w:t>
      </w:r>
      <w:r>
        <w:rPr>
          <w:rFonts w:ascii="SimSun" w:hAnsi="SimSun" w:eastAsia="SimSun" w:cs="SimSun"/>
          <w:sz w:val="19"/>
          <w:szCs w:val="19"/>
          <w:spacing w:val="4"/>
        </w:rPr>
        <w:t xml:space="preserve">  </w:t>
      </w:r>
      <w:r>
        <w:rPr>
          <w:rFonts w:ascii="SimSun" w:hAnsi="SimSun" w:eastAsia="SimSun" w:cs="SimSun"/>
          <w:sz w:val="19"/>
          <w:szCs w:val="19"/>
          <w:spacing w:val="9"/>
        </w:rPr>
        <w:t>边际成本之上，因此更有动力实施价格歧视；第二，企业必须有能力 </w:t>
      </w:r>
      <w:r>
        <w:rPr>
          <w:rFonts w:ascii="SimSun" w:hAnsi="SimSun" w:eastAsia="SimSun" w:cs="SimSun"/>
          <w:sz w:val="19"/>
          <w:szCs w:val="19"/>
          <w:spacing w:val="9"/>
        </w:rPr>
        <w:t>对消费者进行区分，为了能够对消费者实施不同的价格，企业必须能</w:t>
      </w:r>
      <w:r>
        <w:rPr>
          <w:rFonts w:ascii="SimSun" w:hAnsi="SimSun" w:eastAsia="SimSun" w:cs="SimSun"/>
          <w:sz w:val="19"/>
          <w:szCs w:val="19"/>
          <w:spacing w:val="4"/>
        </w:rPr>
        <w:t xml:space="preserve">  </w:t>
      </w:r>
      <w:r>
        <w:rPr>
          <w:rFonts w:ascii="SimSun" w:hAnsi="SimSun" w:eastAsia="SimSun" w:cs="SimSun"/>
          <w:sz w:val="19"/>
          <w:szCs w:val="19"/>
          <w:spacing w:val="9"/>
        </w:rPr>
        <w:t>够区分不同消费者；第三，企业可以防止转卖，即企业必须防止顾客</w:t>
      </w:r>
    </w:p>
    <w:p>
      <w:pPr>
        <w:ind w:left="95"/>
        <w:spacing w:line="217" w:lineRule="auto"/>
        <w:rPr>
          <w:rFonts w:ascii="SimSun" w:hAnsi="SimSun" w:eastAsia="SimSun" w:cs="SimSun"/>
          <w:sz w:val="19"/>
          <w:szCs w:val="19"/>
        </w:rPr>
      </w:pPr>
      <w:r>
        <w:rPr>
          <w:rFonts w:ascii="SimSun" w:hAnsi="SimSun" w:eastAsia="SimSun" w:cs="SimSun"/>
          <w:sz w:val="19"/>
          <w:szCs w:val="19"/>
          <w:spacing w:val="6"/>
        </w:rPr>
        <w:t>以低折扣的价格购买商品，然后转卖给其他顾客。①</w:t>
      </w:r>
    </w:p>
    <w:p>
      <w:pPr>
        <w:ind w:firstLine="524"/>
        <w:spacing w:before="157" w:line="348" w:lineRule="auto"/>
        <w:jc w:val="both"/>
        <w:rPr>
          <w:rFonts w:ascii="SimSun" w:hAnsi="SimSun" w:eastAsia="SimSun" w:cs="SimSun"/>
          <w:sz w:val="19"/>
          <w:szCs w:val="19"/>
        </w:rPr>
      </w:pPr>
      <w:r>
        <w:rPr>
          <w:rFonts w:ascii="SimSun" w:hAnsi="SimSun" w:eastAsia="SimSun" w:cs="SimSun"/>
          <w:sz w:val="19"/>
          <w:szCs w:val="19"/>
          <w:spacing w:val="15"/>
        </w:rPr>
        <w:t>美国《罗宾逊-帕特曼法》、《欧盟运行条约》第102条、我国 </w:t>
      </w:r>
      <w:r>
        <w:rPr>
          <w:rFonts w:ascii="SimSun" w:hAnsi="SimSun" w:eastAsia="SimSun" w:cs="SimSun"/>
          <w:sz w:val="19"/>
          <w:szCs w:val="19"/>
          <w:spacing w:val="19"/>
        </w:rPr>
        <w:t>《反垄断法》第十七条，均直接或间接规定了价格歧视行为。1936</w:t>
      </w:r>
      <w:r>
        <w:rPr>
          <w:rFonts w:ascii="SimSun" w:hAnsi="SimSun" w:eastAsia="SimSun" w:cs="SimSun"/>
          <w:sz w:val="19"/>
          <w:szCs w:val="19"/>
          <w:spacing w:val="14"/>
        </w:rPr>
        <w:t xml:space="preserve"> </w:t>
      </w:r>
      <w:r>
        <w:rPr>
          <w:rFonts w:ascii="SimSun" w:hAnsi="SimSun" w:eastAsia="SimSun" w:cs="SimSun"/>
          <w:sz w:val="19"/>
          <w:szCs w:val="19"/>
          <w:spacing w:val="19"/>
        </w:rPr>
        <w:t>年的《罗宾逊-帕特曼法》对《克莱顿法》第2条做</w:t>
      </w:r>
      <w:r>
        <w:rPr>
          <w:rFonts w:ascii="SimSun" w:hAnsi="SimSun" w:eastAsia="SimSun" w:cs="SimSun"/>
          <w:sz w:val="19"/>
          <w:szCs w:val="19"/>
          <w:spacing w:val="18"/>
        </w:rPr>
        <w:t>出了修改，后者</w:t>
      </w:r>
      <w:r>
        <w:rPr>
          <w:rFonts w:ascii="SimSun" w:hAnsi="SimSun" w:eastAsia="SimSun" w:cs="SimSun"/>
          <w:sz w:val="19"/>
          <w:szCs w:val="19"/>
        </w:rPr>
        <w:t xml:space="preserve">  </w:t>
      </w:r>
      <w:r>
        <w:rPr>
          <w:rFonts w:ascii="SimSun" w:hAnsi="SimSun" w:eastAsia="SimSun" w:cs="SimSun"/>
          <w:sz w:val="19"/>
          <w:szCs w:val="19"/>
          <w:spacing w:val="12"/>
        </w:rPr>
        <w:t>规定：“任何人……如果针对相同等级和质量的产品，对不同的购买</w:t>
      </w:r>
      <w:r>
        <w:rPr>
          <w:rFonts w:ascii="SimSun" w:hAnsi="SimSun" w:eastAsia="SimSun" w:cs="SimSun"/>
          <w:sz w:val="19"/>
          <w:szCs w:val="19"/>
          <w:spacing w:val="7"/>
        </w:rPr>
        <w:t xml:space="preserve">  </w:t>
      </w:r>
      <w:r>
        <w:rPr>
          <w:rFonts w:ascii="SimSun" w:hAnsi="SimSun" w:eastAsia="SimSun" w:cs="SimSun"/>
          <w:sz w:val="19"/>
          <w:szCs w:val="19"/>
          <w:spacing w:val="19"/>
        </w:rPr>
        <w:t>人采用不同的价格……而且效果可能会大大减弱竞争或倾向于产生</w:t>
      </w:r>
      <w:r>
        <w:rPr>
          <w:rFonts w:ascii="SimSun" w:hAnsi="SimSun" w:eastAsia="SimSun" w:cs="SimSun"/>
          <w:sz w:val="19"/>
          <w:szCs w:val="19"/>
          <w:spacing w:val="5"/>
        </w:rPr>
        <w:t xml:space="preserve">  </w:t>
      </w:r>
      <w:r>
        <w:rPr>
          <w:rFonts w:ascii="SimSun" w:hAnsi="SimSun" w:eastAsia="SimSun" w:cs="SimSun"/>
          <w:sz w:val="19"/>
          <w:szCs w:val="19"/>
          <w:spacing w:val="9"/>
        </w:rPr>
        <w:t>垄断，则是非法的。”《罗宾逊-帕特曼法》对价格歧视做了明确</w:t>
      </w:r>
      <w:r>
        <w:rPr>
          <w:rFonts w:ascii="SimSun" w:hAnsi="SimSun" w:eastAsia="SimSun" w:cs="SimSun"/>
          <w:sz w:val="19"/>
          <w:szCs w:val="19"/>
          <w:spacing w:val="8"/>
        </w:rPr>
        <w:t>的禁</w:t>
      </w:r>
      <w:r>
        <w:rPr>
          <w:rFonts w:ascii="SimSun" w:hAnsi="SimSun" w:eastAsia="SimSun" w:cs="SimSun"/>
          <w:sz w:val="19"/>
          <w:szCs w:val="19"/>
        </w:rPr>
        <w:t xml:space="preserve">  </w:t>
      </w:r>
      <w:r>
        <w:rPr>
          <w:rFonts w:ascii="SimSun" w:hAnsi="SimSun" w:eastAsia="SimSun" w:cs="SimSun"/>
          <w:sz w:val="19"/>
          <w:szCs w:val="19"/>
          <w:spacing w:val="26"/>
        </w:rPr>
        <w:t>止性规定，但它出台的背景是国会对小企业(特别是小零售商)的</w:t>
      </w:r>
      <w:r>
        <w:rPr>
          <w:rFonts w:ascii="SimSun" w:hAnsi="SimSun" w:eastAsia="SimSun" w:cs="SimSun"/>
          <w:sz w:val="19"/>
          <w:szCs w:val="19"/>
          <w:spacing w:val="2"/>
        </w:rPr>
        <w:t xml:space="preserve">  </w:t>
      </w:r>
      <w:r>
        <w:rPr>
          <w:rFonts w:ascii="SimSun" w:hAnsi="SimSun" w:eastAsia="SimSun" w:cs="SimSun"/>
          <w:sz w:val="19"/>
          <w:szCs w:val="19"/>
          <w:spacing w:val="19"/>
        </w:rPr>
        <w:t>保护，因为大型连锁商店的崛起，小零售商受到广泛冲击。这一法</w:t>
      </w:r>
      <w:r>
        <w:rPr>
          <w:rFonts w:ascii="SimSun" w:hAnsi="SimSun" w:eastAsia="SimSun" w:cs="SimSun"/>
          <w:sz w:val="19"/>
          <w:szCs w:val="19"/>
          <w:spacing w:val="4"/>
        </w:rPr>
        <w:t xml:space="preserve">  </w:t>
      </w:r>
      <w:r>
        <w:rPr>
          <w:rFonts w:ascii="SimSun" w:hAnsi="SimSun" w:eastAsia="SimSun" w:cs="SimSun"/>
          <w:sz w:val="19"/>
          <w:szCs w:val="19"/>
          <w:spacing w:val="19"/>
        </w:rPr>
        <w:t>律后期饱受芝加哥学派的批判，美国司法部和联邦贸易委员会也采</w:t>
      </w:r>
      <w:r>
        <w:rPr>
          <w:rFonts w:ascii="SimSun" w:hAnsi="SimSun" w:eastAsia="SimSun" w:cs="SimSun"/>
          <w:sz w:val="19"/>
          <w:szCs w:val="19"/>
          <w:spacing w:val="5"/>
        </w:rPr>
        <w:t xml:space="preserve">  </w:t>
      </w:r>
      <w:r>
        <w:rPr>
          <w:rFonts w:ascii="SimSun" w:hAnsi="SimSun" w:eastAsia="SimSun" w:cs="SimSun"/>
          <w:sz w:val="19"/>
          <w:szCs w:val="19"/>
          <w:spacing w:val="18"/>
        </w:rPr>
        <w:t>取谨慎的态度，在将近40年的时间里没有依据《罗宾逊-帕特曼法》</w:t>
      </w:r>
    </w:p>
    <w:p>
      <w:pPr>
        <w:ind w:left="95"/>
        <w:spacing w:before="1" w:line="220" w:lineRule="auto"/>
        <w:rPr>
          <w:rFonts w:ascii="SimSun" w:hAnsi="SimSun" w:eastAsia="SimSun" w:cs="SimSun"/>
          <w:sz w:val="19"/>
          <w:szCs w:val="19"/>
        </w:rPr>
      </w:pPr>
      <w:r>
        <w:rPr>
          <w:rFonts w:ascii="SimSun" w:hAnsi="SimSun" w:eastAsia="SimSun" w:cs="SimSun"/>
          <w:sz w:val="19"/>
          <w:szCs w:val="19"/>
          <w:spacing w:val="6"/>
        </w:rPr>
        <w:t>进行处罚。</w:t>
      </w:r>
    </w:p>
    <w:p>
      <w:pPr>
        <w:ind w:left="95" w:right="87" w:firstLine="429"/>
        <w:spacing w:before="151" w:line="350" w:lineRule="auto"/>
        <w:jc w:val="both"/>
        <w:rPr>
          <w:rFonts w:ascii="SimSun" w:hAnsi="SimSun" w:eastAsia="SimSun" w:cs="SimSun"/>
          <w:sz w:val="19"/>
          <w:szCs w:val="19"/>
        </w:rPr>
      </w:pPr>
      <w:r>
        <w:rPr>
          <w:rFonts w:ascii="SimSun" w:hAnsi="SimSun" w:eastAsia="SimSun" w:cs="SimSun"/>
          <w:sz w:val="19"/>
          <w:szCs w:val="19"/>
          <w:spacing w:val="9"/>
        </w:rPr>
        <w:t>与美国对价格歧视的直接规定不同，欧盟和我国并</w:t>
      </w:r>
      <w:r>
        <w:rPr>
          <w:rFonts w:ascii="SimSun" w:hAnsi="SimSun" w:eastAsia="SimSun" w:cs="SimSun"/>
          <w:sz w:val="19"/>
          <w:szCs w:val="19"/>
          <w:spacing w:val="8"/>
        </w:rPr>
        <w:t>未直接对价格</w:t>
      </w:r>
      <w:r>
        <w:rPr>
          <w:rFonts w:ascii="SimSun" w:hAnsi="SimSun" w:eastAsia="SimSun" w:cs="SimSun"/>
          <w:sz w:val="19"/>
          <w:szCs w:val="19"/>
        </w:rPr>
        <w:t xml:space="preserve"> </w:t>
      </w:r>
      <w:r>
        <w:rPr>
          <w:rFonts w:ascii="SimSun" w:hAnsi="SimSun" w:eastAsia="SimSun" w:cs="SimSun"/>
          <w:sz w:val="19"/>
          <w:szCs w:val="19"/>
          <w:spacing w:val="8"/>
        </w:rPr>
        <w:t>歧视做出规定。《欧盟运行条约》102条</w:t>
      </w:r>
      <w:r>
        <w:rPr>
          <w:rFonts w:ascii="SimSun" w:hAnsi="SimSun" w:eastAsia="SimSun" w:cs="SimSun"/>
          <w:sz w:val="19"/>
          <w:szCs w:val="19"/>
          <w:spacing w:val="-33"/>
        </w:rPr>
        <w:t xml:space="preserve"> </w:t>
      </w:r>
      <w:r>
        <w:rPr>
          <w:rFonts w:ascii="Times New Roman" w:hAnsi="Times New Roman" w:eastAsia="Times New Roman" w:cs="Times New Roman"/>
          <w:sz w:val="19"/>
          <w:szCs w:val="19"/>
          <w:spacing w:val="8"/>
        </w:rPr>
        <w:t>(c)    </w:t>
      </w:r>
      <w:r>
        <w:rPr>
          <w:rFonts w:ascii="SimSun" w:hAnsi="SimSun" w:eastAsia="SimSun" w:cs="SimSun"/>
          <w:sz w:val="19"/>
          <w:szCs w:val="19"/>
          <w:spacing w:val="8"/>
        </w:rPr>
        <w:t>禁止“对与其他贸易方</w:t>
      </w:r>
      <w:r>
        <w:rPr>
          <w:rFonts w:ascii="SimSun" w:hAnsi="SimSun" w:eastAsia="SimSun" w:cs="SimSun"/>
          <w:sz w:val="19"/>
          <w:szCs w:val="19"/>
        </w:rPr>
        <w:t xml:space="preserve"> </w:t>
      </w:r>
      <w:r>
        <w:rPr>
          <w:rFonts w:ascii="SimSun" w:hAnsi="SimSun" w:eastAsia="SimSun" w:cs="SimSun"/>
          <w:sz w:val="19"/>
          <w:szCs w:val="19"/>
          <w:spacing w:val="13"/>
        </w:rPr>
        <w:t>的同等交易采用不同的条件，从而使其处于竞争劣势”</w:t>
      </w:r>
      <w:r>
        <w:rPr>
          <w:rFonts w:ascii="SimSun" w:hAnsi="SimSun" w:eastAsia="SimSun" w:cs="SimSun"/>
          <w:sz w:val="19"/>
          <w:szCs w:val="19"/>
          <w:spacing w:val="12"/>
        </w:rPr>
        <w:t>,但在条文中</w:t>
      </w:r>
      <w:r>
        <w:rPr>
          <w:rFonts w:ascii="SimSun" w:hAnsi="SimSun" w:eastAsia="SimSun" w:cs="SimSun"/>
          <w:sz w:val="19"/>
          <w:szCs w:val="19"/>
        </w:rPr>
        <w:t xml:space="preserve"> </w:t>
      </w:r>
      <w:r>
        <w:rPr>
          <w:rFonts w:ascii="SimSun" w:hAnsi="SimSun" w:eastAsia="SimSun" w:cs="SimSun"/>
          <w:sz w:val="19"/>
          <w:szCs w:val="19"/>
          <w:spacing w:val="9"/>
        </w:rPr>
        <w:t>并没有出现“价格歧视”或者相似的词。我国《反垄断法》第十七条</w:t>
      </w:r>
      <w:r>
        <w:rPr>
          <w:rFonts w:ascii="SimSun" w:hAnsi="SimSun" w:eastAsia="SimSun" w:cs="SimSun"/>
          <w:sz w:val="19"/>
          <w:szCs w:val="19"/>
          <w:spacing w:val="7"/>
        </w:rPr>
        <w:t xml:space="preserve"> </w:t>
      </w:r>
      <w:r>
        <w:rPr>
          <w:rFonts w:ascii="SimSun" w:hAnsi="SimSun" w:eastAsia="SimSun" w:cs="SimSun"/>
          <w:sz w:val="19"/>
          <w:szCs w:val="19"/>
          <w:spacing w:val="9"/>
        </w:rPr>
        <w:t>规定：“禁止具有市场支配地位的经营者从事下列滥用市场支配地位</w:t>
      </w:r>
    </w:p>
    <w:p>
      <w:pPr>
        <w:ind w:left="95"/>
        <w:spacing w:before="1" w:line="219" w:lineRule="auto"/>
        <w:rPr>
          <w:rFonts w:ascii="SimSun" w:hAnsi="SimSun" w:eastAsia="SimSun" w:cs="SimSun"/>
          <w:sz w:val="19"/>
          <w:szCs w:val="19"/>
        </w:rPr>
      </w:pPr>
      <w:r>
        <w:rPr>
          <w:rFonts w:ascii="SimSun" w:hAnsi="SimSun" w:eastAsia="SimSun" w:cs="SimSun"/>
          <w:sz w:val="19"/>
          <w:szCs w:val="19"/>
          <w:spacing w:val="10"/>
        </w:rPr>
        <w:t>的行为：</w:t>
      </w:r>
      <w:r>
        <w:rPr>
          <w:rFonts w:ascii="SimSun" w:hAnsi="SimSun" w:eastAsia="SimSun" w:cs="SimSun"/>
          <w:sz w:val="19"/>
          <w:szCs w:val="19"/>
          <w:spacing w:val="83"/>
        </w:rPr>
        <w:t xml:space="preserve"> </w:t>
      </w:r>
      <w:r>
        <w:rPr>
          <w:rFonts w:ascii="SimSun" w:hAnsi="SimSun" w:eastAsia="SimSun" w:cs="SimSun"/>
          <w:sz w:val="19"/>
          <w:szCs w:val="19"/>
          <w:spacing w:val="10"/>
        </w:rPr>
        <w:t>……(六)没有正当理由，对条件相同的交易相对人在交易</w:t>
      </w:r>
    </w:p>
    <w:p>
      <w:pPr>
        <w:pStyle w:val="BodyText"/>
        <w:spacing w:line="248" w:lineRule="auto"/>
        <w:rPr/>
      </w:pPr>
      <w:r/>
    </w:p>
    <w:p>
      <w:pPr>
        <w:pStyle w:val="BodyText"/>
        <w:spacing w:line="249" w:lineRule="auto"/>
        <w:rPr/>
      </w:pPr>
      <w:r/>
    </w:p>
    <w:p>
      <w:pPr>
        <w:ind w:left="95"/>
        <w:spacing w:before="62" w:line="212" w:lineRule="auto"/>
        <w:rPr>
          <w:rFonts w:ascii="Times New Roman" w:hAnsi="Times New Roman" w:eastAsia="Times New Roman" w:cs="Times New Roman"/>
          <w:sz w:val="19"/>
          <w:szCs w:val="19"/>
        </w:rPr>
      </w:pPr>
      <w:r>
        <w:rPr>
          <w:rFonts w:ascii="SimSun" w:hAnsi="SimSun" w:eastAsia="SimSun" w:cs="SimSun"/>
          <w:sz w:val="19"/>
          <w:szCs w:val="19"/>
        </w:rPr>
        <w:t>① </w:t>
      </w:r>
      <w:r>
        <w:rPr>
          <w:rFonts w:ascii="Times New Roman" w:hAnsi="Times New Roman" w:eastAsia="Times New Roman" w:cs="Times New Roman"/>
          <w:sz w:val="19"/>
          <w:szCs w:val="19"/>
        </w:rPr>
        <w:t>H.R.Varian,“Price Disc</w:t>
      </w:r>
      <w:r>
        <w:rPr>
          <w:rFonts w:ascii="Times New Roman" w:hAnsi="Times New Roman" w:eastAsia="Times New Roman" w:cs="Times New Roman"/>
          <w:sz w:val="19"/>
          <w:szCs w:val="19"/>
          <w:spacing w:val="-1"/>
        </w:rPr>
        <w:t>rimination”,in Richard Schmalensee,Robert Willing,</w:t>
      </w:r>
    </w:p>
    <w:p>
      <w:pPr>
        <w:ind w:left="404"/>
        <w:spacing w:before="31"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4"/>
          <w:w w:val="93"/>
          <w:position w:val="3"/>
        </w:rPr>
        <w:t>Handbook of</w:t>
      </w:r>
      <w:r>
        <w:rPr>
          <w:rFonts w:ascii="Times New Roman" w:hAnsi="Times New Roman" w:eastAsia="Times New Roman" w:cs="Times New Roman"/>
          <w:sz w:val="19"/>
          <w:szCs w:val="19"/>
          <w:i/>
          <w:iCs/>
          <w:spacing w:val="-28"/>
          <w:position w:val="3"/>
        </w:rPr>
        <w:t xml:space="preserve"> </w:t>
      </w:r>
      <w:r>
        <w:rPr>
          <w:rFonts w:ascii="Times New Roman" w:hAnsi="Times New Roman" w:eastAsia="Times New Roman" w:cs="Times New Roman"/>
          <w:sz w:val="19"/>
          <w:szCs w:val="19"/>
          <w:i/>
          <w:iCs/>
          <w:spacing w:val="-4"/>
          <w:w w:val="93"/>
          <w:position w:val="3"/>
        </w:rPr>
        <w:t>Industrial Organization,Volume 1,North Hollard,1989:597-654.</w:t>
      </w:r>
    </w:p>
    <w:p>
      <w:pPr>
        <w:spacing w:line="252" w:lineRule="exact"/>
        <w:sectPr>
          <w:headerReference w:type="default" r:id="rId1"/>
          <w:pgSz w:w="7330" w:h="12480"/>
          <w:pgMar w:top="400" w:right="714" w:bottom="400" w:left="435" w:header="0" w:footer="0" w:gutter="0"/>
        </w:sectPr>
        <w:rPr>
          <w:rFonts w:ascii="Times New Roman" w:hAnsi="Times New Roman" w:eastAsia="Times New Roman" w:cs="Times New Roman"/>
          <w:sz w:val="19"/>
          <w:szCs w:val="19"/>
        </w:rPr>
      </w:pPr>
    </w:p>
    <w:p>
      <w:pPr>
        <w:spacing w:line="220" w:lineRule="auto"/>
        <w:rPr>
          <w:rFonts w:ascii="SimHei" w:hAnsi="SimHei" w:eastAsia="SimHei" w:cs="SimHei"/>
          <w:sz w:val="17"/>
          <w:szCs w:val="17"/>
        </w:rPr>
      </w:pPr>
      <w:r>
        <w:drawing>
          <wp:anchor distT="0" distB="0" distL="0" distR="0" simplePos="0" relativeHeight="256106496" behindDoc="0" locked="0" layoutInCell="0" allowOverlap="1">
            <wp:simplePos x="0" y="0"/>
            <wp:positionH relativeFrom="page">
              <wp:posOffset>476253</wp:posOffset>
            </wp:positionH>
            <wp:positionV relativeFrom="page">
              <wp:posOffset>5988052</wp:posOffset>
            </wp:positionV>
            <wp:extent cx="1181092" cy="6350"/>
            <wp:effectExtent l="0" t="0" r="0" b="0"/>
            <wp:wrapNone/>
            <wp:docPr id="380" name="IM 380"/>
            <wp:cNvGraphicFramePr/>
            <a:graphic>
              <a:graphicData uri="http://schemas.openxmlformats.org/drawingml/2006/picture">
                <pic:pic>
                  <pic:nvPicPr>
                    <pic:cNvPr id="380" name="IM 380"/>
                    <pic:cNvPicPr/>
                  </pic:nvPicPr>
                  <pic:blipFill>
                    <a:blip r:embed="rId508"/>
                    <a:stretch>
                      <a:fillRect/>
                    </a:stretch>
                  </pic:blipFill>
                  <pic:spPr>
                    <a:xfrm rot="0">
                      <a:off x="0" y="0"/>
                      <a:ext cx="1181092" cy="6350"/>
                    </a:xfrm>
                    <a:prstGeom prst="rect">
                      <a:avLst/>
                    </a:prstGeom>
                  </pic:spPr>
                </pic:pic>
              </a:graphicData>
            </a:graphic>
          </wp:anchor>
        </w:drawing>
      </w:r>
      <w:r>
        <w:rPr>
          <w:rFonts w:ascii="SimSun" w:hAnsi="SimSun" w:eastAsia="SimSun" w:cs="SimSun"/>
          <w:sz w:val="12"/>
          <w:szCs w:val="12"/>
          <w:spacing w:val="-7"/>
        </w:rPr>
        <w:t>424                       </w:t>
      </w:r>
      <w:r>
        <w:rPr>
          <w:rFonts w:ascii="SimSun" w:hAnsi="SimSun" w:eastAsia="SimSun" w:cs="SimSun"/>
          <w:sz w:val="12"/>
          <w:szCs w:val="12"/>
          <w:spacing w:val="-8"/>
        </w:rPr>
        <w:t xml:space="preserve">         </w:t>
      </w:r>
      <w:r>
        <w:rPr>
          <w:rFonts w:ascii="SimHei" w:hAnsi="SimHei" w:eastAsia="SimHei" w:cs="SimHei"/>
          <w:sz w:val="17"/>
          <w:szCs w:val="17"/>
          <w:spacing w:val="-8"/>
        </w:rPr>
        <w:t>平台经济——创新、治理与繁荣</w:t>
      </w:r>
    </w:p>
    <w:p>
      <w:pPr>
        <w:pStyle w:val="BodyText"/>
        <w:spacing w:line="317" w:lineRule="auto"/>
        <w:rPr/>
      </w:pPr>
      <w:r/>
    </w:p>
    <w:p>
      <w:pPr>
        <w:pStyle w:val="BodyText"/>
        <w:spacing w:line="318" w:lineRule="auto"/>
        <w:rPr/>
      </w:pPr>
      <w:r/>
    </w:p>
    <w:p>
      <w:pPr>
        <w:pStyle w:val="BodyText"/>
        <w:spacing w:line="318" w:lineRule="auto"/>
        <w:rPr/>
      </w:pPr>
      <w:r/>
    </w:p>
    <w:p>
      <w:pPr>
        <w:ind w:right="19"/>
        <w:spacing w:before="69" w:line="309" w:lineRule="auto"/>
        <w:jc w:val="both"/>
        <w:rPr>
          <w:rFonts w:ascii="SimSun" w:hAnsi="SimSun" w:eastAsia="SimSun" w:cs="SimSun"/>
          <w:sz w:val="21"/>
          <w:szCs w:val="21"/>
        </w:rPr>
      </w:pPr>
      <w:r>
        <w:rPr>
          <w:rFonts w:ascii="SimSun" w:hAnsi="SimSun" w:eastAsia="SimSun" w:cs="SimSun"/>
          <w:sz w:val="21"/>
          <w:szCs w:val="21"/>
          <w:spacing w:val="-17"/>
        </w:rPr>
        <w:t>价格等交易条件上实行差别待遇。”《禁止滥用市场支配地</w:t>
      </w:r>
      <w:r>
        <w:rPr>
          <w:rFonts w:ascii="SimSun" w:hAnsi="SimSun" w:eastAsia="SimSun" w:cs="SimSun"/>
          <w:sz w:val="21"/>
          <w:szCs w:val="21"/>
          <w:spacing w:val="-18"/>
        </w:rPr>
        <w:t>位行为暂行</w:t>
      </w:r>
      <w:r>
        <w:rPr>
          <w:rFonts w:ascii="SimSun" w:hAnsi="SimSun" w:eastAsia="SimSun" w:cs="SimSun"/>
          <w:sz w:val="21"/>
          <w:szCs w:val="21"/>
        </w:rPr>
        <w:t xml:space="preserve">  </w:t>
      </w:r>
      <w:r>
        <w:rPr>
          <w:rFonts w:ascii="SimSun" w:hAnsi="SimSun" w:eastAsia="SimSun" w:cs="SimSun"/>
          <w:sz w:val="21"/>
          <w:szCs w:val="21"/>
          <w:spacing w:val="-11"/>
        </w:rPr>
        <w:t>规定》第十九条规定：“禁止具有市场支配地位的经营者没有正当理</w:t>
      </w:r>
      <w:r>
        <w:rPr>
          <w:rFonts w:ascii="SimSun" w:hAnsi="SimSun" w:eastAsia="SimSun" w:cs="SimSun"/>
          <w:sz w:val="21"/>
          <w:szCs w:val="21"/>
          <w:spacing w:val="3"/>
        </w:rPr>
        <w:t xml:space="preserve">  </w:t>
      </w:r>
      <w:r>
        <w:rPr>
          <w:rFonts w:ascii="SimSun" w:hAnsi="SimSun" w:eastAsia="SimSun" w:cs="SimSun"/>
          <w:sz w:val="21"/>
          <w:szCs w:val="21"/>
          <w:spacing w:val="-9"/>
        </w:rPr>
        <w:t>由，对条件相同的交易相对人在交易条件上实行下列差别待遇：(一)</w:t>
      </w:r>
      <w:r>
        <w:rPr>
          <w:rFonts w:ascii="SimSun" w:hAnsi="SimSun" w:eastAsia="SimSun" w:cs="SimSun"/>
          <w:sz w:val="21"/>
          <w:szCs w:val="21"/>
          <w:spacing w:val="12"/>
        </w:rPr>
        <w:t xml:space="preserve"> </w:t>
      </w:r>
      <w:r>
        <w:rPr>
          <w:rFonts w:ascii="SimSun" w:hAnsi="SimSun" w:eastAsia="SimSun" w:cs="SimSun"/>
          <w:sz w:val="21"/>
          <w:szCs w:val="21"/>
          <w:spacing w:val="-10"/>
        </w:rPr>
        <w:t>实行不同的交易价格、数量、品种、品质等级；</w:t>
      </w:r>
      <w:r>
        <w:rPr>
          <w:rFonts w:ascii="SimSun" w:hAnsi="SimSun" w:eastAsia="SimSun" w:cs="SimSun"/>
          <w:sz w:val="21"/>
          <w:szCs w:val="21"/>
          <w:spacing w:val="80"/>
        </w:rPr>
        <w:t xml:space="preserve"> </w:t>
      </w:r>
      <w:r>
        <w:rPr>
          <w:rFonts w:ascii="SimSun" w:hAnsi="SimSun" w:eastAsia="SimSun" w:cs="SimSun"/>
          <w:sz w:val="21"/>
          <w:szCs w:val="21"/>
          <w:spacing w:val="-10"/>
        </w:rPr>
        <w:t>……”值得注意的</w:t>
      </w:r>
      <w:r>
        <w:rPr>
          <w:rFonts w:ascii="SimSun" w:hAnsi="SimSun" w:eastAsia="SimSun" w:cs="SimSun"/>
          <w:sz w:val="21"/>
          <w:szCs w:val="21"/>
        </w:rPr>
        <w:t xml:space="preserve">  </w:t>
      </w:r>
      <w:r>
        <w:rPr>
          <w:rFonts w:ascii="SimSun" w:hAnsi="SimSun" w:eastAsia="SimSun" w:cs="SimSun"/>
          <w:sz w:val="21"/>
          <w:szCs w:val="21"/>
          <w:spacing w:val="3"/>
        </w:rPr>
        <w:t>是，2021年11月18日发布的《国务院反垄断委员会关于原料药领 </w:t>
      </w:r>
      <w:r>
        <w:rPr>
          <w:rFonts w:ascii="SimSun" w:hAnsi="SimSun" w:eastAsia="SimSun" w:cs="SimSun"/>
          <w:sz w:val="21"/>
          <w:szCs w:val="21"/>
          <w:spacing w:val="-11"/>
        </w:rPr>
        <w:t>域的反垄断指南》(下称《指南》)直接使用“价格歧视”一词。第七</w:t>
      </w:r>
      <w:r>
        <w:rPr>
          <w:rFonts w:ascii="SimSun" w:hAnsi="SimSun" w:eastAsia="SimSun" w:cs="SimSun"/>
          <w:sz w:val="21"/>
          <w:szCs w:val="21"/>
          <w:spacing w:val="9"/>
        </w:rPr>
        <w:t xml:space="preserve">  </w:t>
      </w:r>
      <w:r>
        <w:rPr>
          <w:rFonts w:ascii="SimSun" w:hAnsi="SimSun" w:eastAsia="SimSun" w:cs="SimSun"/>
          <w:sz w:val="21"/>
          <w:szCs w:val="21"/>
          <w:spacing w:val="-14"/>
        </w:rPr>
        <w:t>条“纵向垄断协议”规定：“地域限制和客户限制可能导致市场分</w:t>
      </w:r>
      <w:r>
        <w:rPr>
          <w:rFonts w:ascii="SimSun" w:hAnsi="SimSun" w:eastAsia="SimSun" w:cs="SimSun"/>
          <w:sz w:val="21"/>
          <w:szCs w:val="21"/>
          <w:spacing w:val="-15"/>
        </w:rPr>
        <w:t>割、</w:t>
      </w:r>
      <w:r>
        <w:rPr>
          <w:rFonts w:ascii="SimSun" w:hAnsi="SimSun" w:eastAsia="SimSun" w:cs="SimSun"/>
          <w:sz w:val="21"/>
          <w:szCs w:val="21"/>
        </w:rPr>
        <w:t xml:space="preserve"> </w:t>
      </w:r>
      <w:r>
        <w:rPr>
          <w:rFonts w:ascii="SimSun" w:hAnsi="SimSun" w:eastAsia="SimSun" w:cs="SimSun"/>
          <w:sz w:val="21"/>
          <w:szCs w:val="21"/>
          <w:spacing w:val="-11"/>
        </w:rPr>
        <w:t>价格歧视，削弱原料药市场竞争，也可能导致其他原料药经销企业或</w:t>
      </w:r>
      <w:r>
        <w:rPr>
          <w:rFonts w:ascii="SimSun" w:hAnsi="SimSun" w:eastAsia="SimSun" w:cs="SimSun"/>
          <w:sz w:val="21"/>
          <w:szCs w:val="21"/>
          <w:spacing w:val="4"/>
        </w:rPr>
        <w:t xml:space="preserve">  </w:t>
      </w:r>
      <w:r>
        <w:rPr>
          <w:rFonts w:ascii="SimSun" w:hAnsi="SimSun" w:eastAsia="SimSun" w:cs="SimSun"/>
          <w:sz w:val="21"/>
          <w:szCs w:val="21"/>
          <w:spacing w:val="-11"/>
        </w:rPr>
        <w:t>者药品生产企业难以获得相关产品供应，使原料药和药品价格维持在</w:t>
      </w:r>
      <w:r>
        <w:rPr>
          <w:rFonts w:ascii="SimSun" w:hAnsi="SimSun" w:eastAsia="SimSun" w:cs="SimSun"/>
          <w:sz w:val="21"/>
          <w:szCs w:val="21"/>
          <w:spacing w:val="5"/>
        </w:rPr>
        <w:t xml:space="preserve">  </w:t>
      </w:r>
      <w:r>
        <w:rPr>
          <w:rFonts w:ascii="SimSun" w:hAnsi="SimSun" w:eastAsia="SimSun" w:cs="SimSun"/>
          <w:sz w:val="21"/>
          <w:szCs w:val="21"/>
          <w:spacing w:val="-11"/>
        </w:rPr>
        <w:t>高位。”但《指南》并没有明确价格歧视的要件和判断规则。与《反</w:t>
      </w:r>
      <w:r>
        <w:rPr>
          <w:rFonts w:ascii="SimSun" w:hAnsi="SimSun" w:eastAsia="SimSun" w:cs="SimSun"/>
          <w:sz w:val="21"/>
          <w:szCs w:val="21"/>
          <w:spacing w:val="3"/>
        </w:rPr>
        <w:t xml:space="preserve">  </w:t>
      </w:r>
      <w:r>
        <w:rPr>
          <w:rFonts w:ascii="SimSun" w:hAnsi="SimSun" w:eastAsia="SimSun" w:cs="SimSun"/>
          <w:sz w:val="21"/>
          <w:szCs w:val="21"/>
          <w:spacing w:val="-4"/>
        </w:rPr>
        <w:t>垄断法》的模糊相反，我国的《价格法》和2010年修订的《价格违</w:t>
      </w:r>
      <w:r>
        <w:rPr>
          <w:rFonts w:ascii="SimSun" w:hAnsi="SimSun" w:eastAsia="SimSun" w:cs="SimSun"/>
          <w:sz w:val="21"/>
          <w:szCs w:val="21"/>
          <w:spacing w:val="5"/>
        </w:rPr>
        <w:t xml:space="preserve">  </w:t>
      </w:r>
      <w:r>
        <w:rPr>
          <w:rFonts w:ascii="SimSun" w:hAnsi="SimSun" w:eastAsia="SimSun" w:cs="SimSun"/>
          <w:sz w:val="21"/>
          <w:szCs w:val="21"/>
          <w:spacing w:val="-5"/>
        </w:rPr>
        <w:t>法行为行政处罚规定》均对“价格歧视”做出明确规定。</w:t>
      </w:r>
    </w:p>
    <w:p>
      <w:pPr>
        <w:ind w:right="66" w:firstLine="450"/>
        <w:spacing w:before="100" w:line="303" w:lineRule="auto"/>
        <w:jc w:val="both"/>
        <w:rPr>
          <w:rFonts w:ascii="SimSun" w:hAnsi="SimSun" w:eastAsia="SimSun" w:cs="SimSun"/>
          <w:sz w:val="21"/>
          <w:szCs w:val="21"/>
        </w:rPr>
      </w:pPr>
      <w:r>
        <w:rPr>
          <w:rFonts w:ascii="SimSun" w:hAnsi="SimSun" w:eastAsia="SimSun" w:cs="SimSun"/>
          <w:sz w:val="21"/>
          <w:szCs w:val="21"/>
          <w:spacing w:val="-11"/>
        </w:rPr>
        <w:t>由此可见，价格歧视在我国传统属于《价格法》管制的范畴，目</w:t>
      </w:r>
      <w:r>
        <w:rPr>
          <w:rFonts w:ascii="SimSun" w:hAnsi="SimSun" w:eastAsia="SimSun" w:cs="SimSun"/>
          <w:sz w:val="21"/>
          <w:szCs w:val="21"/>
          <w:spacing w:val="5"/>
        </w:rPr>
        <w:t xml:space="preserve"> </w:t>
      </w:r>
      <w:r>
        <w:rPr>
          <w:rFonts w:ascii="SimSun" w:hAnsi="SimSun" w:eastAsia="SimSun" w:cs="SimSun"/>
          <w:sz w:val="21"/>
          <w:szCs w:val="21"/>
          <w:spacing w:val="-11"/>
        </w:rPr>
        <w:t>前的多数价格歧视案件也多是根据《价格法》和《价格违法行为行政</w:t>
      </w:r>
      <w:r>
        <w:rPr>
          <w:rFonts w:ascii="SimSun" w:hAnsi="SimSun" w:eastAsia="SimSun" w:cs="SimSun"/>
          <w:sz w:val="21"/>
          <w:szCs w:val="21"/>
          <w:spacing w:val="7"/>
        </w:rPr>
        <w:t xml:space="preserve"> </w:t>
      </w:r>
      <w:r>
        <w:rPr>
          <w:rFonts w:ascii="SimSun" w:hAnsi="SimSun" w:eastAsia="SimSun" w:cs="SimSun"/>
          <w:sz w:val="21"/>
          <w:szCs w:val="21"/>
          <w:spacing w:val="-11"/>
        </w:rPr>
        <w:t>处罚规定》做出行政处罚。在反垄断法中，价格歧视的定义、构成要</w:t>
      </w:r>
      <w:r>
        <w:rPr>
          <w:rFonts w:ascii="SimSun" w:hAnsi="SimSun" w:eastAsia="SimSun" w:cs="SimSun"/>
          <w:sz w:val="21"/>
          <w:szCs w:val="21"/>
          <w:spacing w:val="9"/>
        </w:rPr>
        <w:t xml:space="preserve"> </w:t>
      </w:r>
      <w:r>
        <w:rPr>
          <w:rFonts w:ascii="SimSun" w:hAnsi="SimSun" w:eastAsia="SimSun" w:cs="SimSun"/>
          <w:sz w:val="21"/>
          <w:szCs w:val="21"/>
          <w:spacing w:val="-4"/>
        </w:rPr>
        <w:t>件尚不清晰，适用案件较少，且国外反垄断法中的价格歧视规制已</w:t>
      </w:r>
      <w:r>
        <w:rPr>
          <w:rFonts w:ascii="SimSun" w:hAnsi="SimSun" w:eastAsia="SimSun" w:cs="SimSun"/>
          <w:sz w:val="21"/>
          <w:szCs w:val="21"/>
          <w:spacing w:val="8"/>
        </w:rPr>
        <w:t xml:space="preserve"> </w:t>
      </w:r>
      <w:r>
        <w:rPr>
          <w:rFonts w:ascii="SimSun" w:hAnsi="SimSun" w:eastAsia="SimSun" w:cs="SimSun"/>
          <w:sz w:val="21"/>
          <w:szCs w:val="21"/>
          <w:spacing w:val="-11"/>
        </w:rPr>
        <w:t>经在事实上衰落，是否有必要通过反垄断对平台的价格歧视行为进行</w:t>
      </w:r>
      <w:r>
        <w:rPr>
          <w:rFonts w:ascii="SimSun" w:hAnsi="SimSun" w:eastAsia="SimSun" w:cs="SimSun"/>
          <w:sz w:val="21"/>
          <w:szCs w:val="21"/>
          <w:spacing w:val="9"/>
        </w:rPr>
        <w:t xml:space="preserve"> </w:t>
      </w:r>
      <w:r>
        <w:rPr>
          <w:rFonts w:ascii="SimSun" w:hAnsi="SimSun" w:eastAsia="SimSun" w:cs="SimSun"/>
          <w:sz w:val="21"/>
          <w:szCs w:val="21"/>
          <w:spacing w:val="-11"/>
        </w:rPr>
        <w:t>规制，有待进一步探讨。在反垄断法上规制互联网平台的价格歧视行</w:t>
      </w:r>
      <w:r>
        <w:rPr>
          <w:rFonts w:ascii="SimSun" w:hAnsi="SimSun" w:eastAsia="SimSun" w:cs="SimSun"/>
          <w:sz w:val="21"/>
          <w:szCs w:val="21"/>
          <w:spacing w:val="9"/>
        </w:rPr>
        <w:t xml:space="preserve"> </w:t>
      </w:r>
      <w:r>
        <w:rPr>
          <w:rFonts w:ascii="SimSun" w:hAnsi="SimSun" w:eastAsia="SimSun" w:cs="SimSun"/>
          <w:sz w:val="21"/>
          <w:szCs w:val="21"/>
          <w:spacing w:val="-12"/>
        </w:rPr>
        <w:t>为，面临以下难点。</w:t>
      </w:r>
    </w:p>
    <w:p>
      <w:pPr>
        <w:ind w:firstLine="440"/>
        <w:spacing w:before="109" w:line="267" w:lineRule="auto"/>
        <w:rPr>
          <w:rFonts w:ascii="SimSun" w:hAnsi="SimSun" w:eastAsia="SimSun" w:cs="SimSun"/>
          <w:sz w:val="21"/>
          <w:szCs w:val="21"/>
        </w:rPr>
      </w:pPr>
      <w:r>
        <w:rPr>
          <w:rFonts w:ascii="SimSun" w:hAnsi="SimSun" w:eastAsia="SimSun" w:cs="SimSun"/>
          <w:sz w:val="21"/>
          <w:szCs w:val="21"/>
          <w:spacing w:val="-8"/>
        </w:rPr>
        <w:t>第一，反垄断法对价格歧视进行规制的目的仍然存在较大</w:t>
      </w:r>
      <w:r>
        <w:rPr>
          <w:rFonts w:ascii="SimSun" w:hAnsi="SimSun" w:eastAsia="SimSun" w:cs="SimSun"/>
          <w:sz w:val="21"/>
          <w:szCs w:val="21"/>
          <w:spacing w:val="-9"/>
        </w:rPr>
        <w:t>争议。</w:t>
      </w:r>
      <w:r>
        <w:rPr>
          <w:rFonts w:ascii="SimSun" w:hAnsi="SimSun" w:eastAsia="SimSun" w:cs="SimSun"/>
          <w:sz w:val="21"/>
          <w:szCs w:val="21"/>
        </w:rPr>
        <w:t xml:space="preserve"> </w:t>
      </w:r>
      <w:r>
        <w:rPr>
          <w:rFonts w:ascii="SimSun" w:hAnsi="SimSun" w:eastAsia="SimSun" w:cs="SimSun"/>
          <w:sz w:val="21"/>
          <w:szCs w:val="21"/>
          <w:spacing w:val="-4"/>
        </w:rPr>
        <w:t>反垄断法尚无法有效回应价格歧视规制的负面效果，即在寡头垄断</w:t>
      </w:r>
    </w:p>
    <w:p>
      <w:pPr>
        <w:pStyle w:val="BodyText"/>
        <w:spacing w:line="251" w:lineRule="auto"/>
        <w:rPr/>
      </w:pPr>
      <w:r/>
    </w:p>
    <w:p>
      <w:pPr>
        <w:pStyle w:val="BodyText"/>
        <w:spacing w:line="251" w:lineRule="auto"/>
        <w:rPr/>
      </w:pPr>
      <w:r/>
    </w:p>
    <w:p>
      <w:pPr>
        <w:ind w:left="330" w:right="51" w:hanging="330"/>
        <w:spacing w:before="55" w:line="283" w:lineRule="auto"/>
        <w:rPr>
          <w:rFonts w:ascii="KaiTi" w:hAnsi="KaiTi" w:eastAsia="KaiTi" w:cs="KaiTi"/>
          <w:sz w:val="17"/>
          <w:szCs w:val="17"/>
        </w:rPr>
      </w:pPr>
      <w:r>
        <w:rPr>
          <w:rFonts w:ascii="KaiTi" w:hAnsi="KaiTi" w:eastAsia="KaiTi" w:cs="KaiTi"/>
          <w:sz w:val="17"/>
          <w:szCs w:val="17"/>
          <w:spacing w:val="-6"/>
        </w:rPr>
        <w:t>①《价格法》第十四条规定：“经营者不得有下列不正当价格行为：</w:t>
      </w:r>
      <w:r>
        <w:rPr>
          <w:rFonts w:ascii="KaiTi" w:hAnsi="KaiTi" w:eastAsia="KaiTi" w:cs="KaiTi"/>
          <w:sz w:val="17"/>
          <w:szCs w:val="17"/>
          <w:spacing w:val="46"/>
          <w:w w:val="101"/>
        </w:rPr>
        <w:t xml:space="preserve"> </w:t>
      </w:r>
      <w:r>
        <w:rPr>
          <w:rFonts w:ascii="KaiTi" w:hAnsi="KaiTi" w:eastAsia="KaiTi" w:cs="KaiTi"/>
          <w:sz w:val="17"/>
          <w:szCs w:val="17"/>
          <w:spacing w:val="-6"/>
        </w:rPr>
        <w:t>……(五)提供</w:t>
      </w:r>
      <w:r>
        <w:rPr>
          <w:rFonts w:ascii="KaiTi" w:hAnsi="KaiTi" w:eastAsia="KaiTi" w:cs="KaiTi"/>
          <w:sz w:val="17"/>
          <w:szCs w:val="17"/>
        </w:rPr>
        <w:t xml:space="preserve"> </w:t>
      </w:r>
      <w:r>
        <w:rPr>
          <w:rFonts w:ascii="KaiTi" w:hAnsi="KaiTi" w:eastAsia="KaiTi" w:cs="KaiTi"/>
          <w:sz w:val="17"/>
          <w:szCs w:val="17"/>
          <w:spacing w:val="-15"/>
        </w:rPr>
        <w:t>相同商品或者服务，对具有同等交易条件的其他经营者</w:t>
      </w:r>
      <w:r>
        <w:rPr>
          <w:rFonts w:ascii="KaiTi" w:hAnsi="KaiTi" w:eastAsia="KaiTi" w:cs="KaiTi"/>
          <w:sz w:val="17"/>
          <w:szCs w:val="17"/>
          <w:spacing w:val="-16"/>
        </w:rPr>
        <w:t>实行价格歧视；</w:t>
      </w:r>
      <w:r>
        <w:rPr>
          <w:rFonts w:ascii="KaiTi" w:hAnsi="KaiTi" w:eastAsia="KaiTi" w:cs="KaiTi"/>
          <w:sz w:val="17"/>
          <w:szCs w:val="17"/>
          <w:spacing w:val="38"/>
        </w:rPr>
        <w:t xml:space="preserve"> </w:t>
      </w:r>
      <w:r>
        <w:rPr>
          <w:rFonts w:ascii="KaiTi" w:hAnsi="KaiTi" w:eastAsia="KaiTi" w:cs="KaiTi"/>
          <w:sz w:val="17"/>
          <w:szCs w:val="17"/>
          <w:spacing w:val="-16"/>
        </w:rPr>
        <w:t>……”《价</w:t>
      </w:r>
      <w:r>
        <w:rPr>
          <w:rFonts w:ascii="KaiTi" w:hAnsi="KaiTi" w:eastAsia="KaiTi" w:cs="KaiTi"/>
          <w:sz w:val="17"/>
          <w:szCs w:val="17"/>
        </w:rPr>
        <w:t xml:space="preserve"> </w:t>
      </w:r>
      <w:r>
        <w:rPr>
          <w:rFonts w:ascii="KaiTi" w:hAnsi="KaiTi" w:eastAsia="KaiTi" w:cs="KaiTi"/>
          <w:sz w:val="17"/>
          <w:szCs w:val="17"/>
          <w:spacing w:val="-2"/>
        </w:rPr>
        <w:t>格违法行为行政处罚规定》(2010年修订)第四条规定：“经营者违反价格法第</w:t>
      </w:r>
      <w:r>
        <w:rPr>
          <w:rFonts w:ascii="KaiTi" w:hAnsi="KaiTi" w:eastAsia="KaiTi" w:cs="KaiTi"/>
          <w:sz w:val="17"/>
          <w:szCs w:val="17"/>
          <w:spacing w:val="6"/>
        </w:rPr>
        <w:t xml:space="preserve"> </w:t>
      </w:r>
      <w:r>
        <w:rPr>
          <w:rFonts w:ascii="KaiTi" w:hAnsi="KaiTi" w:eastAsia="KaiTi" w:cs="KaiTi"/>
          <w:sz w:val="17"/>
          <w:szCs w:val="17"/>
          <w:spacing w:val="-5"/>
        </w:rPr>
        <w:t>十四条的规定，有下列行为之一的，责令改正，没收违法所得，并处违法所得5</w:t>
      </w:r>
      <w:r>
        <w:rPr>
          <w:rFonts w:ascii="KaiTi" w:hAnsi="KaiTi" w:eastAsia="KaiTi" w:cs="KaiTi"/>
          <w:sz w:val="17"/>
          <w:szCs w:val="17"/>
          <w:spacing w:val="8"/>
        </w:rPr>
        <w:t xml:space="preserve"> </w:t>
      </w:r>
      <w:r>
        <w:rPr>
          <w:rFonts w:ascii="KaiTi" w:hAnsi="KaiTi" w:eastAsia="KaiTi" w:cs="KaiTi"/>
          <w:sz w:val="17"/>
          <w:szCs w:val="17"/>
          <w:spacing w:val="-6"/>
        </w:rPr>
        <w:t>倍以下的罚款；</w:t>
      </w:r>
      <w:r>
        <w:rPr>
          <w:rFonts w:ascii="KaiTi" w:hAnsi="KaiTi" w:eastAsia="KaiTi" w:cs="KaiTi"/>
          <w:sz w:val="17"/>
          <w:szCs w:val="17"/>
          <w:spacing w:val="45"/>
          <w:w w:val="101"/>
        </w:rPr>
        <w:t xml:space="preserve"> </w:t>
      </w:r>
      <w:r>
        <w:rPr>
          <w:rFonts w:ascii="KaiTi" w:hAnsi="KaiTi" w:eastAsia="KaiTi" w:cs="KaiTi"/>
          <w:sz w:val="17"/>
          <w:szCs w:val="17"/>
          <w:spacing w:val="-6"/>
        </w:rPr>
        <w:t>……(二)提供相同商品或者服务，对具有同等交易条件的</w:t>
      </w:r>
      <w:r>
        <w:rPr>
          <w:rFonts w:ascii="KaiTi" w:hAnsi="KaiTi" w:eastAsia="KaiTi" w:cs="KaiTi"/>
          <w:sz w:val="17"/>
          <w:szCs w:val="17"/>
          <w:spacing w:val="-7"/>
        </w:rPr>
        <w:t>其他</w:t>
      </w:r>
      <w:r>
        <w:rPr>
          <w:rFonts w:ascii="KaiTi" w:hAnsi="KaiTi" w:eastAsia="KaiTi" w:cs="KaiTi"/>
          <w:sz w:val="17"/>
          <w:szCs w:val="17"/>
        </w:rPr>
        <w:t xml:space="preserve"> </w:t>
      </w:r>
      <w:r>
        <w:rPr>
          <w:rFonts w:ascii="KaiTi" w:hAnsi="KaiTi" w:eastAsia="KaiTi" w:cs="KaiTi"/>
          <w:sz w:val="17"/>
          <w:szCs w:val="17"/>
          <w:spacing w:val="-11"/>
        </w:rPr>
        <w:t>经营者实行价格歧视的。”</w:t>
      </w:r>
    </w:p>
    <w:p>
      <w:pPr>
        <w:spacing w:line="283" w:lineRule="auto"/>
        <w:sectPr>
          <w:pgSz w:w="7330" w:h="12480"/>
          <w:pgMar w:top="365" w:right="495" w:bottom="400" w:left="739" w:header="0" w:footer="0" w:gutter="0"/>
        </w:sectPr>
        <w:rPr>
          <w:rFonts w:ascii="KaiTi" w:hAnsi="KaiTi" w:eastAsia="KaiTi" w:cs="KaiTi"/>
          <w:sz w:val="17"/>
          <w:szCs w:val="17"/>
        </w:rPr>
      </w:pPr>
    </w:p>
    <w:p>
      <w:pPr>
        <w:pStyle w:val="BodyText"/>
        <w:spacing w:line="253" w:lineRule="auto"/>
        <w:rPr/>
      </w:pPr>
      <w:r>
        <w:drawing>
          <wp:anchor distT="0" distB="0" distL="0" distR="0" simplePos="0" relativeHeight="256116736" behindDoc="0" locked="0" layoutInCell="0" allowOverlap="1">
            <wp:simplePos x="0" y="0"/>
            <wp:positionH relativeFrom="page">
              <wp:posOffset>317487</wp:posOffset>
            </wp:positionH>
            <wp:positionV relativeFrom="page">
              <wp:posOffset>6896076</wp:posOffset>
            </wp:positionV>
            <wp:extent cx="1168431" cy="6350"/>
            <wp:effectExtent l="0" t="0" r="0" b="0"/>
            <wp:wrapNone/>
            <wp:docPr id="382" name="IM 382"/>
            <wp:cNvGraphicFramePr/>
            <a:graphic>
              <a:graphicData uri="http://schemas.openxmlformats.org/drawingml/2006/picture">
                <pic:pic>
                  <pic:nvPicPr>
                    <pic:cNvPr id="382" name="IM 382"/>
                    <pic:cNvPicPr/>
                  </pic:nvPicPr>
                  <pic:blipFill>
                    <a:blip r:embed="rId510"/>
                    <a:stretch>
                      <a:fillRect/>
                    </a:stretch>
                  </pic:blipFill>
                  <pic:spPr>
                    <a:xfrm rot="0">
                      <a:off x="0" y="0"/>
                      <a:ext cx="1168431" cy="6350"/>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ind w:right="35" w:firstLine="105"/>
        <w:spacing w:before="68" w:line="291" w:lineRule="auto"/>
        <w:jc w:val="both"/>
        <w:rPr>
          <w:rFonts w:ascii="SimSun" w:hAnsi="SimSun" w:eastAsia="SimSun" w:cs="SimSun"/>
          <w:sz w:val="21"/>
          <w:szCs w:val="21"/>
        </w:rPr>
      </w:pPr>
      <w:r>
        <w:rPr>
          <w:rFonts w:ascii="SimSun" w:hAnsi="SimSun" w:eastAsia="SimSun" w:cs="SimSun"/>
          <w:sz w:val="21"/>
          <w:szCs w:val="21"/>
          <w:spacing w:val="-9"/>
        </w:rPr>
        <w:t>市场上，任何禁止价格歧视的一般政策都是对社会有害的。实际上，</w:t>
      </w:r>
      <w:r>
        <w:rPr>
          <w:rFonts w:ascii="SimSun" w:hAnsi="SimSun" w:eastAsia="SimSun" w:cs="SimSun"/>
          <w:sz w:val="21"/>
          <w:szCs w:val="21"/>
          <w:spacing w:val="14"/>
        </w:rPr>
        <w:t xml:space="preserve"> </w:t>
      </w:r>
      <w:r>
        <w:rPr>
          <w:rFonts w:ascii="SimSun" w:hAnsi="SimSun" w:eastAsia="SimSun" w:cs="SimSun"/>
          <w:sz w:val="21"/>
          <w:szCs w:val="21"/>
          <w:spacing w:val="-3"/>
        </w:rPr>
        <w:t>《罗宾逊-帕特曼法》有两个最有害的后果：由于它禁止进行个别降</w:t>
      </w:r>
      <w:r>
        <w:rPr>
          <w:rFonts w:ascii="SimSun" w:hAnsi="SimSun" w:eastAsia="SimSun" w:cs="SimSun"/>
          <w:sz w:val="21"/>
          <w:szCs w:val="21"/>
          <w:spacing w:val="9"/>
        </w:rPr>
        <w:t xml:space="preserve"> </w:t>
      </w:r>
      <w:r>
        <w:rPr>
          <w:rFonts w:ascii="SimSun" w:hAnsi="SimSun" w:eastAsia="SimSun" w:cs="SimSun"/>
          <w:sz w:val="21"/>
          <w:szCs w:val="21"/>
        </w:rPr>
        <w:t>价，因而使得“卡特尔欺骗行为”更难；以及更普遍的是，它使得</w:t>
      </w:r>
      <w:r>
        <w:rPr>
          <w:rFonts w:ascii="SimSun" w:hAnsi="SimSun" w:eastAsia="SimSun" w:cs="SimSun"/>
          <w:sz w:val="21"/>
          <w:szCs w:val="21"/>
          <w:spacing w:val="2"/>
        </w:rPr>
        <w:t xml:space="preserve"> </w:t>
      </w:r>
      <w:r>
        <w:rPr>
          <w:rFonts w:ascii="SimSun" w:hAnsi="SimSun" w:eastAsia="SimSun" w:cs="SimSun"/>
          <w:sz w:val="21"/>
          <w:szCs w:val="21"/>
          <w:spacing w:val="-6"/>
        </w:rPr>
        <w:t>寡头们没有动力去为了争夺边际的交易机会而进行更积极的</w:t>
      </w:r>
      <w:r>
        <w:rPr>
          <w:rFonts w:ascii="SimSun" w:hAnsi="SimSun" w:eastAsia="SimSun" w:cs="SimSun"/>
          <w:sz w:val="21"/>
          <w:szCs w:val="21"/>
          <w:spacing w:val="-7"/>
        </w:rPr>
        <w:t>竞争。①</w:t>
      </w:r>
    </w:p>
    <w:p>
      <w:pPr>
        <w:ind w:left="105" w:right="15" w:firstLine="440"/>
        <w:spacing w:before="119" w:line="300" w:lineRule="auto"/>
        <w:jc w:val="both"/>
        <w:rPr>
          <w:rFonts w:ascii="SimSun" w:hAnsi="SimSun" w:eastAsia="SimSun" w:cs="SimSun"/>
          <w:sz w:val="21"/>
          <w:szCs w:val="21"/>
        </w:rPr>
      </w:pPr>
      <w:r>
        <w:rPr>
          <w:rFonts w:ascii="SimSun" w:hAnsi="SimSun" w:eastAsia="SimSun" w:cs="SimSun"/>
          <w:sz w:val="21"/>
          <w:szCs w:val="21"/>
          <w:spacing w:val="-3"/>
        </w:rPr>
        <w:t>第二，互联网平台的价格歧视种类繁多，如何区分“歧视性定</w:t>
      </w:r>
      <w:r>
        <w:rPr>
          <w:rFonts w:ascii="SimSun" w:hAnsi="SimSun" w:eastAsia="SimSun" w:cs="SimSun"/>
          <w:sz w:val="21"/>
          <w:szCs w:val="21"/>
          <w:spacing w:val="3"/>
        </w:rPr>
        <w:t xml:space="preserve"> </w:t>
      </w:r>
      <w:r>
        <w:rPr>
          <w:rFonts w:ascii="SimSun" w:hAnsi="SimSun" w:eastAsia="SimSun" w:cs="SimSun"/>
          <w:sz w:val="21"/>
          <w:szCs w:val="21"/>
          <w:spacing w:val="-10"/>
        </w:rPr>
        <w:t>价”与“差异定价”是实践中的难点。平台普</w:t>
      </w:r>
      <w:r>
        <w:rPr>
          <w:rFonts w:ascii="SimSun" w:hAnsi="SimSun" w:eastAsia="SimSun" w:cs="SimSun"/>
          <w:sz w:val="21"/>
          <w:szCs w:val="21"/>
          <w:spacing w:val="-11"/>
        </w:rPr>
        <w:t>遍采用对新老用户进行 </w:t>
      </w:r>
      <w:r>
        <w:rPr>
          <w:rFonts w:ascii="SimSun" w:hAnsi="SimSun" w:eastAsia="SimSun" w:cs="SimSun"/>
          <w:sz w:val="21"/>
          <w:szCs w:val="21"/>
          <w:spacing w:val="-10"/>
        </w:rPr>
        <w:t>区分定价的策略，例如饿了么和美团对新用户</w:t>
      </w:r>
      <w:r>
        <w:rPr>
          <w:rFonts w:ascii="SimSun" w:hAnsi="SimSun" w:eastAsia="SimSun" w:cs="SimSun"/>
          <w:sz w:val="21"/>
          <w:szCs w:val="21"/>
          <w:spacing w:val="-11"/>
        </w:rPr>
        <w:t>注册实行返减活动。根 </w:t>
      </w:r>
      <w:r>
        <w:rPr>
          <w:rFonts w:ascii="SimSun" w:hAnsi="SimSun" w:eastAsia="SimSun" w:cs="SimSun"/>
          <w:sz w:val="21"/>
          <w:szCs w:val="21"/>
        </w:rPr>
        <w:t>据《天猫2016年度各类目技术服务费年费一览</w:t>
      </w:r>
      <w:r>
        <w:rPr>
          <w:rFonts w:ascii="SimSun" w:hAnsi="SimSun" w:eastAsia="SimSun" w:cs="SimSun"/>
          <w:sz w:val="21"/>
          <w:szCs w:val="21"/>
          <w:spacing w:val="-1"/>
        </w:rPr>
        <w:t>表》,技术服务费年</w:t>
      </w:r>
      <w:r>
        <w:rPr>
          <w:rFonts w:ascii="SimSun" w:hAnsi="SimSun" w:eastAsia="SimSun" w:cs="SimSun"/>
          <w:sz w:val="21"/>
          <w:szCs w:val="21"/>
        </w:rPr>
        <w:t xml:space="preserve">  </w:t>
      </w:r>
      <w:r>
        <w:rPr>
          <w:rFonts w:ascii="SimSun" w:hAnsi="SimSun" w:eastAsia="SimSun" w:cs="SimSun"/>
          <w:sz w:val="21"/>
          <w:szCs w:val="21"/>
          <w:spacing w:val="-4"/>
        </w:rPr>
        <w:t>费根据不同的产品类别而有不同，并且根据对应年销售</w:t>
      </w:r>
      <w:r>
        <w:rPr>
          <w:rFonts w:ascii="SimSun" w:hAnsi="SimSun" w:eastAsia="SimSun" w:cs="SimSun"/>
          <w:sz w:val="21"/>
          <w:szCs w:val="21"/>
          <w:spacing w:val="-5"/>
        </w:rPr>
        <w:t>额还有50%、</w:t>
      </w:r>
      <w:r>
        <w:rPr>
          <w:rFonts w:ascii="SimSun" w:hAnsi="SimSun" w:eastAsia="SimSun" w:cs="SimSun"/>
          <w:sz w:val="21"/>
          <w:szCs w:val="21"/>
        </w:rPr>
        <w:t xml:space="preserve"> </w:t>
      </w:r>
      <w:r>
        <w:rPr>
          <w:rFonts w:ascii="SimSun" w:hAnsi="SimSun" w:eastAsia="SimSun" w:cs="SimSun"/>
          <w:sz w:val="21"/>
          <w:szCs w:val="21"/>
          <w:spacing w:val="-4"/>
        </w:rPr>
        <w:t>100%的额度返还。若按照价格歧视的严格定义，只有价格与边际成</w:t>
      </w:r>
      <w:r>
        <w:rPr>
          <w:rFonts w:ascii="SimSun" w:hAnsi="SimSun" w:eastAsia="SimSun" w:cs="SimSun"/>
          <w:sz w:val="21"/>
          <w:szCs w:val="21"/>
          <w:spacing w:val="1"/>
        </w:rPr>
        <w:t xml:space="preserve">  </w:t>
      </w:r>
      <w:r>
        <w:rPr>
          <w:rFonts w:ascii="SimSun" w:hAnsi="SimSun" w:eastAsia="SimSun" w:cs="SimSun"/>
          <w:sz w:val="21"/>
          <w:szCs w:val="21"/>
          <w:spacing w:val="-10"/>
        </w:rPr>
        <w:t>本的比率不同才存在价格歧视，而平台企业由</w:t>
      </w:r>
      <w:r>
        <w:rPr>
          <w:rFonts w:ascii="SimSun" w:hAnsi="SimSun" w:eastAsia="SimSun" w:cs="SimSun"/>
          <w:sz w:val="21"/>
          <w:szCs w:val="21"/>
          <w:spacing w:val="-11"/>
        </w:rPr>
        <w:t>于具有较强的网络外部 </w:t>
      </w:r>
      <w:r>
        <w:rPr>
          <w:rFonts w:ascii="SimSun" w:hAnsi="SimSun" w:eastAsia="SimSun" w:cs="SimSun"/>
          <w:sz w:val="21"/>
          <w:szCs w:val="21"/>
          <w:spacing w:val="-10"/>
        </w:rPr>
        <w:t>性，新用户的边际成本较低，那么对于新客户</w:t>
      </w:r>
      <w:r>
        <w:rPr>
          <w:rFonts w:ascii="SimSun" w:hAnsi="SimSun" w:eastAsia="SimSun" w:cs="SimSun"/>
          <w:sz w:val="21"/>
          <w:szCs w:val="21"/>
          <w:spacing w:val="-11"/>
        </w:rPr>
        <w:t>的价格优惠是否有经济 </w:t>
      </w:r>
      <w:r>
        <w:rPr>
          <w:rFonts w:ascii="SimSun" w:hAnsi="SimSun" w:eastAsia="SimSun" w:cs="SimSun"/>
          <w:sz w:val="21"/>
          <w:szCs w:val="21"/>
          <w:spacing w:val="-10"/>
        </w:rPr>
        <w:t>学的合理解释，仍然需要论证。此外，由于平</w:t>
      </w:r>
      <w:r>
        <w:rPr>
          <w:rFonts w:ascii="SimSun" w:hAnsi="SimSun" w:eastAsia="SimSun" w:cs="SimSun"/>
          <w:sz w:val="21"/>
          <w:szCs w:val="21"/>
          <w:spacing w:val="-11"/>
        </w:rPr>
        <w:t>台企业能通过用户注册 </w:t>
      </w:r>
      <w:r>
        <w:rPr>
          <w:rFonts w:ascii="SimSun" w:hAnsi="SimSun" w:eastAsia="SimSun" w:cs="SimSun"/>
          <w:sz w:val="21"/>
          <w:szCs w:val="21"/>
          <w:spacing w:val="-10"/>
        </w:rPr>
        <w:t>信息、浏览记录、消费数据对用户进行划分和</w:t>
      </w:r>
      <w:r>
        <w:rPr>
          <w:rFonts w:ascii="SimSun" w:hAnsi="SimSun" w:eastAsia="SimSun" w:cs="SimSun"/>
          <w:sz w:val="21"/>
          <w:szCs w:val="21"/>
          <w:spacing w:val="-11"/>
        </w:rPr>
        <w:t>定位，进而针对性地推 </w:t>
      </w:r>
      <w:r>
        <w:rPr>
          <w:rFonts w:ascii="SimSun" w:hAnsi="SimSun" w:eastAsia="SimSun" w:cs="SimSun"/>
          <w:sz w:val="21"/>
          <w:szCs w:val="21"/>
          <w:spacing w:val="-10"/>
        </w:rPr>
        <w:t>出个性化定价的特定产品，即使平台存在价格</w:t>
      </w:r>
      <w:r>
        <w:rPr>
          <w:rFonts w:ascii="SimSun" w:hAnsi="SimSun" w:eastAsia="SimSun" w:cs="SimSun"/>
          <w:sz w:val="21"/>
          <w:szCs w:val="21"/>
          <w:spacing w:val="-11"/>
        </w:rPr>
        <w:t>歧视也具有隐蔽性，在 </w:t>
      </w:r>
      <w:r>
        <w:rPr>
          <w:rFonts w:ascii="SimSun" w:hAnsi="SimSun" w:eastAsia="SimSun" w:cs="SimSun"/>
          <w:sz w:val="21"/>
          <w:szCs w:val="21"/>
          <w:spacing w:val="-13"/>
        </w:rPr>
        <w:t>法律上论证这一事实仍是难题。</w:t>
      </w:r>
    </w:p>
    <w:p>
      <w:pPr>
        <w:ind w:left="105" w:right="40" w:firstLine="449"/>
        <w:spacing w:before="231" w:line="295" w:lineRule="auto"/>
        <w:jc w:val="both"/>
        <w:rPr>
          <w:rFonts w:ascii="SimSun" w:hAnsi="SimSun" w:eastAsia="SimSun" w:cs="SimSun"/>
          <w:sz w:val="21"/>
          <w:szCs w:val="21"/>
        </w:rPr>
      </w:pPr>
      <w:r>
        <w:rPr>
          <w:rFonts w:ascii="SimSun" w:hAnsi="SimSun" w:eastAsia="SimSun" w:cs="SimSun"/>
          <w:sz w:val="21"/>
          <w:szCs w:val="21"/>
          <w:spacing w:val="-11"/>
        </w:rPr>
        <w:t>第三，平台歧视性定价行为的竞争效果难以确定。首先是交叉网</w:t>
      </w:r>
      <w:r>
        <w:rPr>
          <w:rFonts w:ascii="SimSun" w:hAnsi="SimSun" w:eastAsia="SimSun" w:cs="SimSun"/>
          <w:sz w:val="21"/>
          <w:szCs w:val="21"/>
          <w:spacing w:val="16"/>
        </w:rPr>
        <w:t xml:space="preserve"> </w:t>
      </w:r>
      <w:r>
        <w:rPr>
          <w:rFonts w:ascii="SimSun" w:hAnsi="SimSun" w:eastAsia="SimSun" w:cs="SimSun"/>
          <w:sz w:val="21"/>
          <w:szCs w:val="21"/>
          <w:spacing w:val="-11"/>
        </w:rPr>
        <w:t>络效应的影响不确定。在双边市场中，交叉网络效应在一定程度上可</w:t>
      </w:r>
      <w:r>
        <w:rPr>
          <w:rFonts w:ascii="SimSun" w:hAnsi="SimSun" w:eastAsia="SimSun" w:cs="SimSun"/>
          <w:sz w:val="21"/>
          <w:szCs w:val="21"/>
          <w:spacing w:val="17"/>
        </w:rPr>
        <w:t xml:space="preserve"> </w:t>
      </w:r>
      <w:r>
        <w:rPr>
          <w:rFonts w:ascii="SimSun" w:hAnsi="SimSun" w:eastAsia="SimSun" w:cs="SimSun"/>
          <w:sz w:val="21"/>
          <w:szCs w:val="21"/>
          <w:spacing w:val="-10"/>
        </w:rPr>
        <w:t>以对平台企业的市场地位构成限制，同时也可以对其市</w:t>
      </w:r>
      <w:r>
        <w:rPr>
          <w:rFonts w:ascii="SimSun" w:hAnsi="SimSun" w:eastAsia="SimSun" w:cs="SimSun"/>
          <w:sz w:val="21"/>
          <w:szCs w:val="21"/>
          <w:spacing w:val="-11"/>
        </w:rPr>
        <w:t>场地位进行加</w:t>
      </w:r>
      <w:r>
        <w:rPr>
          <w:rFonts w:ascii="SimSun" w:hAnsi="SimSun" w:eastAsia="SimSun" w:cs="SimSun"/>
          <w:sz w:val="21"/>
          <w:szCs w:val="21"/>
        </w:rPr>
        <w:t xml:space="preserve"> </w:t>
      </w:r>
      <w:r>
        <w:rPr>
          <w:rFonts w:ascii="SimSun" w:hAnsi="SimSun" w:eastAsia="SimSun" w:cs="SimSun"/>
          <w:sz w:val="21"/>
          <w:szCs w:val="21"/>
          <w:spacing w:val="-10"/>
        </w:rPr>
        <w:t>强，具体取决于平台企业的竞争策略是否成</w:t>
      </w:r>
      <w:r>
        <w:rPr>
          <w:rFonts w:ascii="SimSun" w:hAnsi="SimSun" w:eastAsia="SimSun" w:cs="SimSun"/>
          <w:sz w:val="21"/>
          <w:szCs w:val="21"/>
          <w:spacing w:val="-11"/>
        </w:rPr>
        <w:t>功以及双边市场运行的实</w:t>
      </w:r>
      <w:r>
        <w:rPr>
          <w:rFonts w:ascii="SimSun" w:hAnsi="SimSun" w:eastAsia="SimSun" w:cs="SimSun"/>
          <w:sz w:val="21"/>
          <w:szCs w:val="21"/>
        </w:rPr>
        <w:t xml:space="preserve"> </w:t>
      </w:r>
      <w:r>
        <w:rPr>
          <w:rFonts w:ascii="SimSun" w:hAnsi="SimSun" w:eastAsia="SimSun" w:cs="SimSun"/>
          <w:sz w:val="21"/>
          <w:szCs w:val="21"/>
          <w:spacing w:val="-10"/>
        </w:rPr>
        <w:t>际趋势。其次是市场效率的变化不确定。平</w:t>
      </w:r>
      <w:r>
        <w:rPr>
          <w:rFonts w:ascii="SimSun" w:hAnsi="SimSun" w:eastAsia="SimSun" w:cs="SimSun"/>
          <w:sz w:val="21"/>
          <w:szCs w:val="21"/>
          <w:spacing w:val="-11"/>
        </w:rPr>
        <w:t>台企业实施价格歧视的行</w:t>
      </w:r>
      <w:r>
        <w:rPr>
          <w:rFonts w:ascii="SimSun" w:hAnsi="SimSun" w:eastAsia="SimSun" w:cs="SimSun"/>
          <w:sz w:val="21"/>
          <w:szCs w:val="21"/>
        </w:rPr>
        <w:t xml:space="preserve"> </w:t>
      </w:r>
      <w:r>
        <w:rPr>
          <w:rFonts w:ascii="SimSun" w:hAnsi="SimSun" w:eastAsia="SimSun" w:cs="SimSun"/>
          <w:sz w:val="21"/>
          <w:szCs w:val="21"/>
          <w:spacing w:val="-11"/>
        </w:rPr>
        <w:t>为会给双边市场的不同主体带来不同的影响，综合起来就会导致判断</w:t>
      </w:r>
      <w:r>
        <w:rPr>
          <w:rFonts w:ascii="SimSun" w:hAnsi="SimSun" w:eastAsia="SimSun" w:cs="SimSun"/>
          <w:sz w:val="21"/>
          <w:szCs w:val="21"/>
          <w:spacing w:val="17"/>
        </w:rPr>
        <w:t xml:space="preserve"> </w:t>
      </w:r>
      <w:r>
        <w:rPr>
          <w:rFonts w:ascii="SimSun" w:hAnsi="SimSun" w:eastAsia="SimSun" w:cs="SimSun"/>
          <w:sz w:val="21"/>
          <w:szCs w:val="21"/>
          <w:spacing w:val="-12"/>
        </w:rPr>
        <w:t>总体市场效率是提升还是降低的难度较大。</w:t>
      </w:r>
    </w:p>
    <w:p>
      <w:pPr>
        <w:pStyle w:val="BodyText"/>
        <w:spacing w:line="314" w:lineRule="auto"/>
        <w:rPr/>
      </w:pPr>
      <w:r/>
    </w:p>
    <w:p>
      <w:pPr>
        <w:pStyle w:val="BodyText"/>
        <w:spacing w:line="314" w:lineRule="auto"/>
        <w:rPr/>
      </w:pPr>
      <w:r/>
    </w:p>
    <w:p>
      <w:pPr>
        <w:pStyle w:val="BodyText"/>
        <w:spacing w:line="315" w:lineRule="auto"/>
        <w:rPr/>
      </w:pPr>
      <w:r/>
    </w:p>
    <w:p>
      <w:pPr>
        <w:ind w:left="464" w:hanging="359"/>
        <w:spacing w:before="52" w:line="272" w:lineRule="auto"/>
        <w:rPr>
          <w:rFonts w:ascii="KaiTi" w:hAnsi="KaiTi" w:eastAsia="KaiTi" w:cs="KaiTi"/>
          <w:sz w:val="16"/>
          <w:szCs w:val="16"/>
        </w:rPr>
      </w:pPr>
      <w:r>
        <w:rPr>
          <w:rFonts w:ascii="KaiTi" w:hAnsi="KaiTi" w:eastAsia="KaiTi" w:cs="KaiTi"/>
          <w:sz w:val="16"/>
          <w:szCs w:val="16"/>
          <w:spacing w:val="6"/>
        </w:rPr>
        <w:t>①</w:t>
      </w:r>
      <w:r>
        <w:rPr>
          <w:rFonts w:ascii="KaiTi" w:hAnsi="KaiTi" w:eastAsia="KaiTi" w:cs="KaiTi"/>
          <w:sz w:val="16"/>
          <w:szCs w:val="16"/>
          <w:spacing w:val="26"/>
        </w:rPr>
        <w:t xml:space="preserve"> </w:t>
      </w:r>
      <w:r>
        <w:rPr>
          <w:rFonts w:ascii="KaiTi" w:hAnsi="KaiTi" w:eastAsia="KaiTi" w:cs="KaiTi"/>
          <w:sz w:val="16"/>
          <w:szCs w:val="16"/>
          <w:spacing w:val="6"/>
        </w:rPr>
        <w:t>[美]赫伯特·霍温坎普.联邦反托拉斯政策：竞</w:t>
      </w:r>
      <w:r>
        <w:rPr>
          <w:rFonts w:ascii="KaiTi" w:hAnsi="KaiTi" w:eastAsia="KaiTi" w:cs="KaiTi"/>
          <w:sz w:val="16"/>
          <w:szCs w:val="16"/>
          <w:spacing w:val="5"/>
        </w:rPr>
        <w:t>争法律及其实践.许光耀，江山，</w:t>
      </w:r>
      <w:r>
        <w:rPr>
          <w:rFonts w:ascii="KaiTi" w:hAnsi="KaiTi" w:eastAsia="KaiTi" w:cs="KaiTi"/>
          <w:sz w:val="16"/>
          <w:szCs w:val="16"/>
        </w:rPr>
        <w:t xml:space="preserve"> </w:t>
      </w:r>
      <w:r>
        <w:rPr>
          <w:rFonts w:ascii="KaiTi" w:hAnsi="KaiTi" w:eastAsia="KaiTi" w:cs="KaiTi"/>
          <w:sz w:val="16"/>
          <w:szCs w:val="16"/>
          <w:spacing w:val="5"/>
        </w:rPr>
        <w:t>王晨，译.北京：法律出版社，2009:</w:t>
      </w:r>
      <w:r>
        <w:rPr>
          <w:rFonts w:ascii="KaiTi" w:hAnsi="KaiTi" w:eastAsia="KaiTi" w:cs="KaiTi"/>
          <w:sz w:val="16"/>
          <w:szCs w:val="16"/>
          <w:spacing w:val="4"/>
        </w:rPr>
        <w:t>630.</w:t>
      </w:r>
    </w:p>
    <w:p>
      <w:pPr>
        <w:spacing w:line="272" w:lineRule="auto"/>
        <w:sectPr>
          <w:headerReference w:type="default" r:id="rId509"/>
          <w:pgSz w:w="7330" w:h="12480"/>
          <w:pgMar w:top="829" w:right="779" w:bottom="400" w:left="364" w:header="663" w:footer="0" w:gutter="0"/>
        </w:sectPr>
        <w:rPr>
          <w:rFonts w:ascii="KaiTi" w:hAnsi="KaiTi" w:eastAsia="KaiTi" w:cs="KaiTi"/>
          <w:sz w:val="16"/>
          <w:szCs w:val="16"/>
        </w:rPr>
      </w:pPr>
    </w:p>
    <w:p>
      <w:pPr>
        <w:pStyle w:val="BodyText"/>
        <w:spacing w:line="247" w:lineRule="auto"/>
        <w:rPr/>
      </w:pPr>
      <w:r>
        <w:drawing>
          <wp:anchor distT="0" distB="0" distL="0" distR="0" simplePos="0" relativeHeight="256126976" behindDoc="0" locked="0" layoutInCell="0" allowOverlap="1">
            <wp:simplePos x="0" y="0"/>
            <wp:positionH relativeFrom="page">
              <wp:posOffset>533411</wp:posOffset>
            </wp:positionH>
            <wp:positionV relativeFrom="page">
              <wp:posOffset>6807165</wp:posOffset>
            </wp:positionV>
            <wp:extent cx="1181092" cy="6418"/>
            <wp:effectExtent l="0" t="0" r="0" b="0"/>
            <wp:wrapNone/>
            <wp:docPr id="384" name="IM 384"/>
            <wp:cNvGraphicFramePr/>
            <a:graphic>
              <a:graphicData uri="http://schemas.openxmlformats.org/drawingml/2006/picture">
                <pic:pic>
                  <pic:nvPicPr>
                    <pic:cNvPr id="384" name="IM 384"/>
                    <pic:cNvPicPr/>
                  </pic:nvPicPr>
                  <pic:blipFill>
                    <a:blip r:embed="rId512"/>
                    <a:stretch>
                      <a:fillRect/>
                    </a:stretch>
                  </pic:blipFill>
                  <pic:spPr>
                    <a:xfrm rot="0">
                      <a:off x="0" y="0"/>
                      <a:ext cx="1181092" cy="6418"/>
                    </a:xfrm>
                    <a:prstGeom prst="rect">
                      <a:avLst/>
                    </a:prstGeom>
                  </pic:spPr>
                </pic:pic>
              </a:graphicData>
            </a:graphic>
          </wp:anchor>
        </w:drawing>
      </w:r>
      <w:r/>
    </w:p>
    <w:p>
      <w:pPr>
        <w:pStyle w:val="BodyText"/>
        <w:spacing w:line="247" w:lineRule="auto"/>
        <w:rPr/>
      </w:pPr>
      <w:r/>
    </w:p>
    <w:p>
      <w:pPr>
        <w:pStyle w:val="BodyText"/>
        <w:spacing w:line="247" w:lineRule="auto"/>
        <w:rPr/>
      </w:pPr>
      <w:r/>
    </w:p>
    <w:p>
      <w:pPr>
        <w:pStyle w:val="BodyText"/>
        <w:spacing w:line="248"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2"/>
        </w:rPr>
        <w:t>掠夺性定价和试图获得垄断地位</w:t>
      </w:r>
    </w:p>
    <w:p>
      <w:pPr>
        <w:pStyle w:val="BodyText"/>
        <w:spacing w:line="354" w:lineRule="auto"/>
        <w:rPr/>
      </w:pPr>
      <w:r/>
    </w:p>
    <w:p>
      <w:pPr>
        <w:ind w:right="20" w:firstLine="420"/>
        <w:spacing w:before="68" w:line="290" w:lineRule="auto"/>
        <w:jc w:val="both"/>
        <w:rPr>
          <w:rFonts w:ascii="SimSun" w:hAnsi="SimSun" w:eastAsia="SimSun" w:cs="SimSun"/>
          <w:sz w:val="21"/>
          <w:szCs w:val="21"/>
        </w:rPr>
      </w:pPr>
      <w:r>
        <w:rPr>
          <w:rFonts w:ascii="SimSun" w:hAnsi="SimSun" w:eastAsia="SimSun" w:cs="SimSun"/>
          <w:sz w:val="21"/>
          <w:szCs w:val="21"/>
          <w:spacing w:val="-8"/>
        </w:rPr>
        <w:t>掠夺性定价行为具有相当的复杂性，也是反垄断法调整的难点。</w:t>
      </w:r>
      <w:r>
        <w:rPr>
          <w:rFonts w:ascii="SimSun" w:hAnsi="SimSun" w:eastAsia="SimSun" w:cs="SimSun"/>
          <w:sz w:val="21"/>
          <w:szCs w:val="21"/>
          <w:spacing w:val="8"/>
        </w:rPr>
        <w:t xml:space="preserve"> </w:t>
      </w:r>
      <w:r>
        <w:rPr>
          <w:rFonts w:ascii="SimSun" w:hAnsi="SimSun" w:eastAsia="SimSun" w:cs="SimSun"/>
          <w:sz w:val="21"/>
          <w:szCs w:val="21"/>
          <w:spacing w:val="-8"/>
        </w:rPr>
        <w:t>中外学界对掠夺性定价的定义各不相同，但是均包括以</w:t>
      </w:r>
      <w:r>
        <w:rPr>
          <w:rFonts w:ascii="SimSun" w:hAnsi="SimSun" w:eastAsia="SimSun" w:cs="SimSun"/>
          <w:sz w:val="21"/>
          <w:szCs w:val="21"/>
          <w:spacing w:val="-9"/>
        </w:rPr>
        <w:t>下几个因素：</w:t>
      </w:r>
      <w:r>
        <w:rPr>
          <w:rFonts w:ascii="SimSun" w:hAnsi="SimSun" w:eastAsia="SimSun" w:cs="SimSun"/>
          <w:sz w:val="21"/>
          <w:szCs w:val="21"/>
        </w:rPr>
        <w:t xml:space="preserve"> </w:t>
      </w:r>
      <w:r>
        <w:rPr>
          <w:rFonts w:ascii="SimSun" w:hAnsi="SimSun" w:eastAsia="SimSun" w:cs="SimSun"/>
          <w:sz w:val="21"/>
          <w:szCs w:val="21"/>
          <w:spacing w:val="-11"/>
        </w:rPr>
        <w:t>一是价格低于成本；二是经营者具有垄断该市场的目的；三是将竞争</w:t>
      </w:r>
      <w:r>
        <w:rPr>
          <w:rFonts w:ascii="SimSun" w:hAnsi="SimSun" w:eastAsia="SimSun" w:cs="SimSun"/>
          <w:sz w:val="21"/>
          <w:szCs w:val="21"/>
          <w:spacing w:val="8"/>
        </w:rPr>
        <w:t xml:space="preserve">  </w:t>
      </w:r>
      <w:r>
        <w:rPr>
          <w:rFonts w:ascii="SimSun" w:hAnsi="SimSun" w:eastAsia="SimSun" w:cs="SimSun"/>
          <w:sz w:val="21"/>
          <w:szCs w:val="21"/>
          <w:spacing w:val="-11"/>
        </w:rPr>
        <w:t>对手排挤出市场，阻止新的经营者进入的可能性；四是抬高价格以获</w:t>
      </w:r>
      <w:r>
        <w:rPr>
          <w:rFonts w:ascii="SimSun" w:hAnsi="SimSun" w:eastAsia="SimSun" w:cs="SimSun"/>
          <w:sz w:val="21"/>
          <w:szCs w:val="21"/>
          <w:spacing w:val="8"/>
        </w:rPr>
        <w:t xml:space="preserve">  </w:t>
      </w:r>
      <w:r>
        <w:rPr>
          <w:rFonts w:ascii="SimSun" w:hAnsi="SimSun" w:eastAsia="SimSun" w:cs="SimSun"/>
          <w:sz w:val="21"/>
          <w:szCs w:val="21"/>
          <w:spacing w:val="-10"/>
        </w:rPr>
        <w:t>取垄断利润的可能性。</w:t>
      </w:r>
    </w:p>
    <w:p>
      <w:pPr>
        <w:ind w:firstLine="420"/>
        <w:spacing w:before="158" w:line="302" w:lineRule="auto"/>
        <w:jc w:val="both"/>
        <w:rPr>
          <w:rFonts w:ascii="SimSun" w:hAnsi="SimSun" w:eastAsia="SimSun" w:cs="SimSun"/>
          <w:sz w:val="21"/>
          <w:szCs w:val="21"/>
        </w:rPr>
      </w:pPr>
      <w:r>
        <w:rPr>
          <w:rFonts w:ascii="SimSun" w:hAnsi="SimSun" w:eastAsia="SimSun" w:cs="SimSun"/>
          <w:sz w:val="21"/>
          <w:szCs w:val="21"/>
          <w:spacing w:val="-11"/>
        </w:rPr>
        <w:t>我国法律中用“不公平的低价”对掠夺性定价做了规定，《反垄</w:t>
      </w:r>
      <w:r>
        <w:rPr>
          <w:rFonts w:ascii="SimSun" w:hAnsi="SimSun" w:eastAsia="SimSun" w:cs="SimSun"/>
          <w:sz w:val="21"/>
          <w:szCs w:val="21"/>
          <w:spacing w:val="8"/>
        </w:rPr>
        <w:t xml:space="preserve">  </w:t>
      </w:r>
      <w:r>
        <w:rPr>
          <w:rFonts w:ascii="SimSun" w:hAnsi="SimSun" w:eastAsia="SimSun" w:cs="SimSun"/>
          <w:sz w:val="21"/>
          <w:szCs w:val="21"/>
          <w:spacing w:val="-11"/>
        </w:rPr>
        <w:t>断法》第十七条规定：“禁止具有市场支配地位的经营者从事下列滥</w:t>
      </w:r>
      <w:r>
        <w:rPr>
          <w:rFonts w:ascii="SimSun" w:hAnsi="SimSun" w:eastAsia="SimSun" w:cs="SimSun"/>
          <w:sz w:val="21"/>
          <w:szCs w:val="21"/>
          <w:spacing w:val="8"/>
        </w:rPr>
        <w:t xml:space="preserve">  </w:t>
      </w:r>
      <w:r>
        <w:rPr>
          <w:rFonts w:ascii="SimSun" w:hAnsi="SimSun" w:eastAsia="SimSun" w:cs="SimSun"/>
          <w:sz w:val="21"/>
          <w:szCs w:val="21"/>
          <w:spacing w:val="-3"/>
        </w:rPr>
        <w:t>用市场支配地位的行为：(一)以不公平的高价</w:t>
      </w:r>
      <w:r>
        <w:rPr>
          <w:rFonts w:ascii="SimSun" w:hAnsi="SimSun" w:eastAsia="SimSun" w:cs="SimSun"/>
          <w:sz w:val="21"/>
          <w:szCs w:val="21"/>
          <w:spacing w:val="-4"/>
        </w:rPr>
        <w:t>销售商品或者以不公</w:t>
      </w:r>
      <w:r>
        <w:rPr>
          <w:rFonts w:ascii="SimSun" w:hAnsi="SimSun" w:eastAsia="SimSun" w:cs="SimSun"/>
          <w:sz w:val="21"/>
          <w:szCs w:val="21"/>
        </w:rPr>
        <w:t xml:space="preserve">  </w:t>
      </w:r>
      <w:r>
        <w:rPr>
          <w:rFonts w:ascii="SimSun" w:hAnsi="SimSun" w:eastAsia="SimSun" w:cs="SimSun"/>
          <w:sz w:val="21"/>
          <w:szCs w:val="21"/>
          <w:spacing w:val="-12"/>
        </w:rPr>
        <w:t>平的低价购买商品；</w:t>
      </w:r>
      <w:r>
        <w:rPr>
          <w:rFonts w:ascii="SimSun" w:hAnsi="SimSun" w:eastAsia="SimSun" w:cs="SimSun"/>
          <w:sz w:val="21"/>
          <w:szCs w:val="21"/>
          <w:spacing w:val="66"/>
        </w:rPr>
        <w:t xml:space="preserve"> </w:t>
      </w:r>
      <w:r>
        <w:rPr>
          <w:rFonts w:ascii="SimSun" w:hAnsi="SimSun" w:eastAsia="SimSun" w:cs="SimSun"/>
          <w:sz w:val="21"/>
          <w:szCs w:val="21"/>
          <w:spacing w:val="-12"/>
        </w:rPr>
        <w:t>……”《禁止滥用市场支配地位</w:t>
      </w:r>
      <w:r>
        <w:rPr>
          <w:rFonts w:ascii="SimSun" w:hAnsi="SimSun" w:eastAsia="SimSun" w:cs="SimSun"/>
          <w:sz w:val="21"/>
          <w:szCs w:val="21"/>
          <w:spacing w:val="-13"/>
        </w:rPr>
        <w:t>行为暂行规定》</w:t>
      </w:r>
      <w:r>
        <w:rPr>
          <w:rFonts w:ascii="SimSun" w:hAnsi="SimSun" w:eastAsia="SimSun" w:cs="SimSun"/>
          <w:sz w:val="21"/>
          <w:szCs w:val="21"/>
        </w:rPr>
        <w:t xml:space="preserve"> </w:t>
      </w:r>
      <w:r>
        <w:rPr>
          <w:rFonts w:ascii="SimSun" w:hAnsi="SimSun" w:eastAsia="SimSun" w:cs="SimSun"/>
          <w:sz w:val="21"/>
          <w:szCs w:val="21"/>
          <w:spacing w:val="-11"/>
        </w:rPr>
        <w:t>第十四条规定了认定“不公平的低价”时考虑的因素：销售或购买价</w:t>
      </w:r>
      <w:r>
        <w:rPr>
          <w:rFonts w:ascii="SimSun" w:hAnsi="SimSun" w:eastAsia="SimSun" w:cs="SimSun"/>
          <w:sz w:val="21"/>
          <w:szCs w:val="21"/>
          <w:spacing w:val="8"/>
        </w:rPr>
        <w:t xml:space="preserve">  </w:t>
      </w:r>
      <w:r>
        <w:rPr>
          <w:rFonts w:ascii="SimSun" w:hAnsi="SimSun" w:eastAsia="SimSun" w:cs="SimSun"/>
          <w:sz w:val="21"/>
          <w:szCs w:val="21"/>
          <w:spacing w:val="-11"/>
        </w:rPr>
        <w:t>格是否明显低于相似经营者在相似市场下的销售或购买价格；同一经</w:t>
      </w:r>
      <w:r>
        <w:rPr>
          <w:rFonts w:ascii="SimSun" w:hAnsi="SimSun" w:eastAsia="SimSun" w:cs="SimSun"/>
          <w:sz w:val="21"/>
          <w:szCs w:val="21"/>
          <w:spacing w:val="8"/>
        </w:rPr>
        <w:t xml:space="preserve">  </w:t>
      </w:r>
      <w:r>
        <w:rPr>
          <w:rFonts w:ascii="SimSun" w:hAnsi="SimSun" w:eastAsia="SimSun" w:cs="SimSun"/>
          <w:sz w:val="21"/>
          <w:szCs w:val="21"/>
          <w:spacing w:val="-7"/>
        </w:rPr>
        <w:t>营者在其他相同或相似市场条件下的价格；降价是否超</w:t>
      </w:r>
      <w:r>
        <w:rPr>
          <w:rFonts w:ascii="SimSun" w:hAnsi="SimSun" w:eastAsia="SimSun" w:cs="SimSun"/>
          <w:sz w:val="21"/>
          <w:szCs w:val="21"/>
          <w:spacing w:val="-8"/>
        </w:rPr>
        <w:t>过正常幅度；</w:t>
      </w:r>
      <w:r>
        <w:rPr>
          <w:rFonts w:ascii="SimSun" w:hAnsi="SimSun" w:eastAsia="SimSun" w:cs="SimSun"/>
          <w:sz w:val="21"/>
          <w:szCs w:val="21"/>
        </w:rPr>
        <w:t xml:space="preserve"> </w:t>
      </w:r>
      <w:r>
        <w:rPr>
          <w:rFonts w:ascii="SimSun" w:hAnsi="SimSun" w:eastAsia="SimSun" w:cs="SimSun"/>
          <w:sz w:val="21"/>
          <w:szCs w:val="21"/>
          <w:spacing w:val="-11"/>
        </w:rPr>
        <w:t>降价是否低于成本；其他因素。</w:t>
      </w:r>
    </w:p>
    <w:p>
      <w:pPr>
        <w:ind w:right="104" w:firstLine="420"/>
        <w:spacing w:before="108" w:line="301" w:lineRule="auto"/>
        <w:jc w:val="both"/>
        <w:rPr>
          <w:rFonts w:ascii="SimSun" w:hAnsi="SimSun" w:eastAsia="SimSun" w:cs="SimSun"/>
          <w:sz w:val="21"/>
          <w:szCs w:val="21"/>
        </w:rPr>
      </w:pPr>
      <w:r>
        <w:rPr>
          <w:rFonts w:ascii="SimSun" w:hAnsi="SimSun" w:eastAsia="SimSun" w:cs="SimSun"/>
          <w:sz w:val="21"/>
          <w:szCs w:val="21"/>
          <w:spacing w:val="-11"/>
        </w:rPr>
        <w:t>掠夺性定价往往经历两个阶段：第一个阶段是低于成本定价直到</w:t>
      </w:r>
      <w:r>
        <w:rPr>
          <w:rFonts w:ascii="SimSun" w:hAnsi="SimSun" w:eastAsia="SimSun" w:cs="SimSun"/>
          <w:sz w:val="21"/>
          <w:szCs w:val="21"/>
        </w:rPr>
        <w:t xml:space="preserve"> </w:t>
      </w:r>
      <w:r>
        <w:rPr>
          <w:rFonts w:ascii="SimSun" w:hAnsi="SimSun" w:eastAsia="SimSun" w:cs="SimSun"/>
          <w:sz w:val="21"/>
          <w:szCs w:val="21"/>
          <w:spacing w:val="-11"/>
        </w:rPr>
        <w:t>将竞争对手排挤出相关市场阶段，即掠夺阶段；第二个阶段是补偿阶</w:t>
      </w:r>
      <w:r>
        <w:rPr>
          <w:rFonts w:ascii="SimSun" w:hAnsi="SimSun" w:eastAsia="SimSun" w:cs="SimSun"/>
          <w:sz w:val="21"/>
          <w:szCs w:val="21"/>
          <w:spacing w:val="17"/>
        </w:rPr>
        <w:t xml:space="preserve"> </w:t>
      </w:r>
      <w:r>
        <w:rPr>
          <w:rFonts w:ascii="SimSun" w:hAnsi="SimSun" w:eastAsia="SimSun" w:cs="SimSun"/>
          <w:sz w:val="21"/>
          <w:szCs w:val="21"/>
          <w:spacing w:val="-4"/>
        </w:rPr>
        <w:t>段，即企业提高价格至原来(实施掠夺性定价之前)水平甚至超高水</w:t>
      </w:r>
      <w:r>
        <w:rPr>
          <w:rFonts w:ascii="SimSun" w:hAnsi="SimSun" w:eastAsia="SimSun" w:cs="SimSun"/>
          <w:sz w:val="21"/>
          <w:szCs w:val="21"/>
          <w:spacing w:val="18"/>
        </w:rPr>
        <w:t xml:space="preserve"> </w:t>
      </w:r>
      <w:r>
        <w:rPr>
          <w:rFonts w:ascii="SimSun" w:hAnsi="SimSun" w:eastAsia="SimSun" w:cs="SimSun"/>
          <w:sz w:val="21"/>
          <w:szCs w:val="21"/>
          <w:spacing w:val="-10"/>
        </w:rPr>
        <w:t>平，借此获取垄断利润以弥补此前低于成本价销售所造成的亏损。因</w:t>
      </w:r>
      <w:r>
        <w:rPr>
          <w:rFonts w:ascii="SimSun" w:hAnsi="SimSun" w:eastAsia="SimSun" w:cs="SimSun"/>
          <w:sz w:val="21"/>
          <w:szCs w:val="21"/>
        </w:rPr>
        <w:t xml:space="preserve"> </w:t>
      </w:r>
      <w:r>
        <w:rPr>
          <w:rFonts w:ascii="SimSun" w:hAnsi="SimSun" w:eastAsia="SimSun" w:cs="SimSun"/>
          <w:sz w:val="21"/>
          <w:szCs w:val="21"/>
          <w:spacing w:val="-10"/>
        </w:rPr>
        <w:t>此，在判断掠夺性定价的时候，还需要考虑成功的</w:t>
      </w:r>
      <w:r>
        <w:rPr>
          <w:rFonts w:ascii="SimSun" w:hAnsi="SimSun" w:eastAsia="SimSun" w:cs="SimSun"/>
          <w:sz w:val="21"/>
          <w:szCs w:val="21"/>
          <w:spacing w:val="-11"/>
        </w:rPr>
        <w:t>可能性，即采取第</w:t>
      </w:r>
      <w:r>
        <w:rPr>
          <w:rFonts w:ascii="SimSun" w:hAnsi="SimSun" w:eastAsia="SimSun" w:cs="SimSun"/>
          <w:sz w:val="21"/>
          <w:szCs w:val="21"/>
        </w:rPr>
        <w:t xml:space="preserve"> </w:t>
      </w:r>
      <w:r>
        <w:rPr>
          <w:rFonts w:ascii="SimSun" w:hAnsi="SimSun" w:eastAsia="SimSun" w:cs="SimSun"/>
          <w:sz w:val="21"/>
          <w:szCs w:val="21"/>
          <w:spacing w:val="-12"/>
        </w:rPr>
        <w:t>二个阶段策略是否可以成功补偿。</w:t>
      </w:r>
    </w:p>
    <w:p>
      <w:pPr>
        <w:ind w:right="94" w:firstLine="420"/>
        <w:spacing w:before="121" w:line="291" w:lineRule="auto"/>
        <w:jc w:val="both"/>
        <w:rPr>
          <w:rFonts w:ascii="SimSun" w:hAnsi="SimSun" w:eastAsia="SimSun" w:cs="SimSun"/>
          <w:sz w:val="21"/>
          <w:szCs w:val="21"/>
        </w:rPr>
      </w:pPr>
      <w:r>
        <w:rPr>
          <w:rFonts w:ascii="SimSun" w:hAnsi="SimSun" w:eastAsia="SimSun" w:cs="SimSun"/>
          <w:sz w:val="21"/>
          <w:szCs w:val="21"/>
          <w:spacing w:val="-11"/>
        </w:rPr>
        <w:t>我国的掠夺性定价是规定在滥用市场支配地位之中，即针对具有</w:t>
      </w:r>
      <w:r>
        <w:rPr>
          <w:rFonts w:ascii="SimSun" w:hAnsi="SimSun" w:eastAsia="SimSun" w:cs="SimSun"/>
          <w:sz w:val="21"/>
          <w:szCs w:val="21"/>
          <w:spacing w:val="17"/>
        </w:rPr>
        <w:t xml:space="preserve"> </w:t>
      </w:r>
      <w:r>
        <w:rPr>
          <w:rFonts w:ascii="SimSun" w:hAnsi="SimSun" w:eastAsia="SimSun" w:cs="SimSun"/>
          <w:sz w:val="21"/>
          <w:szCs w:val="21"/>
          <w:spacing w:val="-11"/>
        </w:rPr>
        <w:t>市场支配力的垄断企业而言的。对于不具有市场支配力，但是通过大</w:t>
      </w:r>
      <w:r>
        <w:rPr>
          <w:rFonts w:ascii="SimSun" w:hAnsi="SimSun" w:eastAsia="SimSun" w:cs="SimSun"/>
          <w:sz w:val="21"/>
          <w:szCs w:val="21"/>
          <w:spacing w:val="18"/>
        </w:rPr>
        <w:t xml:space="preserve"> </w:t>
      </w:r>
      <w:r>
        <w:rPr>
          <w:rFonts w:ascii="SimSun" w:hAnsi="SimSun" w:eastAsia="SimSun" w:cs="SimSun"/>
          <w:sz w:val="21"/>
          <w:szCs w:val="21"/>
          <w:spacing w:val="-10"/>
        </w:rPr>
        <w:t>规模低价以取得垄断地位的情形，《反垄断</w:t>
      </w:r>
      <w:r>
        <w:rPr>
          <w:rFonts w:ascii="SimSun" w:hAnsi="SimSun" w:eastAsia="SimSun" w:cs="SimSun"/>
          <w:sz w:val="21"/>
          <w:szCs w:val="21"/>
          <w:spacing w:val="-11"/>
        </w:rPr>
        <w:t>法》中并没有规定，但是</w:t>
      </w:r>
      <w:r>
        <w:rPr>
          <w:rFonts w:ascii="SimSun" w:hAnsi="SimSun" w:eastAsia="SimSun" w:cs="SimSun"/>
          <w:sz w:val="21"/>
          <w:szCs w:val="21"/>
        </w:rPr>
        <w:t xml:space="preserve"> </w:t>
      </w:r>
      <w:r>
        <w:rPr>
          <w:rFonts w:ascii="SimSun" w:hAnsi="SimSun" w:eastAsia="SimSun" w:cs="SimSun"/>
          <w:sz w:val="21"/>
          <w:szCs w:val="21"/>
          <w:spacing w:val="-10"/>
        </w:rPr>
        <w:t>在《价格法》①中有规定。因此在反垄断机关调整职权之后，反</w:t>
      </w:r>
      <w:r>
        <w:rPr>
          <w:rFonts w:ascii="SimSun" w:hAnsi="SimSun" w:eastAsia="SimSun" w:cs="SimSun"/>
          <w:sz w:val="21"/>
          <w:szCs w:val="21"/>
          <w:spacing w:val="-11"/>
        </w:rPr>
        <w:t>垄断</w:t>
      </w:r>
    </w:p>
    <w:p>
      <w:pPr>
        <w:pStyle w:val="BodyText"/>
        <w:spacing w:line="356" w:lineRule="auto"/>
        <w:rPr/>
      </w:pPr>
      <w:r/>
    </w:p>
    <w:p>
      <w:pPr>
        <w:ind w:left="320" w:right="79" w:hanging="320"/>
        <w:spacing w:before="53" w:line="293" w:lineRule="auto"/>
        <w:rPr>
          <w:rFonts w:ascii="KaiTi" w:hAnsi="KaiTi" w:eastAsia="KaiTi" w:cs="KaiTi"/>
          <w:sz w:val="16"/>
          <w:szCs w:val="16"/>
        </w:rPr>
      </w:pPr>
      <w:r>
        <w:rPr>
          <w:rFonts w:ascii="KaiTi" w:hAnsi="KaiTi" w:eastAsia="KaiTi" w:cs="KaiTi"/>
          <w:sz w:val="16"/>
          <w:szCs w:val="16"/>
        </w:rPr>
        <w:t>①</w:t>
      </w:r>
      <w:r>
        <w:rPr>
          <w:rFonts w:ascii="KaiTi" w:hAnsi="KaiTi" w:eastAsia="KaiTi" w:cs="KaiTi"/>
          <w:sz w:val="16"/>
          <w:szCs w:val="16"/>
          <w:spacing w:val="36"/>
          <w:w w:val="101"/>
        </w:rPr>
        <w:t xml:space="preserve"> </w:t>
      </w:r>
      <w:r>
        <w:rPr>
          <w:rFonts w:ascii="KaiTi" w:hAnsi="KaiTi" w:eastAsia="KaiTi" w:cs="KaiTi"/>
          <w:sz w:val="16"/>
          <w:szCs w:val="16"/>
        </w:rPr>
        <w:t>《价格法》第十四条规定：“经营者不得有下列不正当价格行</w:t>
      </w:r>
      <w:r>
        <w:rPr>
          <w:rFonts w:ascii="KaiTi" w:hAnsi="KaiTi" w:eastAsia="KaiTi" w:cs="KaiTi"/>
          <w:sz w:val="16"/>
          <w:szCs w:val="16"/>
          <w:spacing w:val="-1"/>
        </w:rPr>
        <w:t>为：</w:t>
      </w:r>
      <w:r>
        <w:rPr>
          <w:rFonts w:ascii="KaiTi" w:hAnsi="KaiTi" w:eastAsia="KaiTi" w:cs="KaiTi"/>
          <w:sz w:val="16"/>
          <w:szCs w:val="16"/>
          <w:spacing w:val="51"/>
          <w:w w:val="101"/>
        </w:rPr>
        <w:t xml:space="preserve"> </w:t>
      </w:r>
      <w:r>
        <w:rPr>
          <w:rFonts w:ascii="KaiTi" w:hAnsi="KaiTi" w:eastAsia="KaiTi" w:cs="KaiTi"/>
          <w:sz w:val="16"/>
          <w:szCs w:val="16"/>
          <w:spacing w:val="-1"/>
        </w:rPr>
        <w:t>……(六)采取</w:t>
      </w:r>
      <w:r>
        <w:rPr>
          <w:rFonts w:ascii="KaiTi" w:hAnsi="KaiTi" w:eastAsia="KaiTi" w:cs="KaiTi"/>
          <w:sz w:val="16"/>
          <w:szCs w:val="16"/>
        </w:rPr>
        <w:t xml:space="preserve"> </w:t>
      </w:r>
      <w:r>
        <w:rPr>
          <w:rFonts w:ascii="KaiTi" w:hAnsi="KaiTi" w:eastAsia="KaiTi" w:cs="KaiTi"/>
          <w:sz w:val="16"/>
          <w:szCs w:val="16"/>
          <w:spacing w:val="3"/>
        </w:rPr>
        <w:t>抬高等级或者压低等级等手段收购、销售商品或者提供服务，变相提高或者压低</w:t>
      </w:r>
      <w:r>
        <w:rPr>
          <w:rFonts w:ascii="KaiTi" w:hAnsi="KaiTi" w:eastAsia="KaiTi" w:cs="KaiTi"/>
          <w:sz w:val="16"/>
          <w:szCs w:val="16"/>
        </w:rPr>
        <w:t xml:space="preserve"> </w:t>
      </w:r>
      <w:r>
        <w:rPr>
          <w:rFonts w:ascii="KaiTi" w:hAnsi="KaiTi" w:eastAsia="KaiTi" w:cs="KaiTi"/>
          <w:sz w:val="16"/>
          <w:szCs w:val="16"/>
          <w:spacing w:val="-12"/>
        </w:rPr>
        <w:t>价格；</w:t>
      </w:r>
      <w:r>
        <w:rPr>
          <w:rFonts w:ascii="KaiTi" w:hAnsi="KaiTi" w:eastAsia="KaiTi" w:cs="KaiTi"/>
          <w:sz w:val="16"/>
          <w:szCs w:val="16"/>
          <w:spacing w:val="-12"/>
        </w:rPr>
        <w:t xml:space="preserve"> </w:t>
      </w:r>
      <w:r>
        <w:rPr>
          <w:rFonts w:ascii="KaiTi" w:hAnsi="KaiTi" w:eastAsia="KaiTi" w:cs="KaiTi"/>
          <w:sz w:val="16"/>
          <w:szCs w:val="16"/>
          <w:spacing w:val="-12"/>
        </w:rPr>
        <w:t>……</w:t>
      </w:r>
      <w:r>
        <w:rPr>
          <w:rFonts w:ascii="KaiTi" w:hAnsi="KaiTi" w:eastAsia="KaiTi" w:cs="KaiTi"/>
          <w:sz w:val="16"/>
          <w:szCs w:val="16"/>
          <w:spacing w:val="-56"/>
        </w:rPr>
        <w:t xml:space="preserve"> </w:t>
      </w:r>
      <w:r>
        <w:rPr>
          <w:rFonts w:ascii="KaiTi" w:hAnsi="KaiTi" w:eastAsia="KaiTi" w:cs="KaiTi"/>
          <w:sz w:val="16"/>
          <w:szCs w:val="16"/>
          <w:spacing w:val="-12"/>
        </w:rPr>
        <w:t>”</w:t>
      </w:r>
    </w:p>
    <w:p>
      <w:pPr>
        <w:spacing w:line="293" w:lineRule="auto"/>
        <w:sectPr>
          <w:headerReference w:type="default" r:id="rId511"/>
          <w:pgSz w:w="7330" w:h="12480"/>
          <w:pgMar w:top="517" w:right="394" w:bottom="400" w:left="829" w:header="355" w:footer="0" w:gutter="0"/>
        </w:sectPr>
        <w:rPr>
          <w:rFonts w:ascii="KaiTi" w:hAnsi="KaiTi" w:eastAsia="KaiTi" w:cs="KaiTi"/>
          <w:sz w:val="16"/>
          <w:szCs w:val="16"/>
        </w:rPr>
      </w:pP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spacing w:before="66" w:line="370" w:lineRule="exact"/>
        <w:rPr>
          <w:rFonts w:ascii="SimSun" w:hAnsi="SimSun" w:eastAsia="SimSun" w:cs="SimSun"/>
          <w:sz w:val="20"/>
          <w:szCs w:val="20"/>
        </w:rPr>
      </w:pPr>
      <w:r>
        <w:rPr>
          <w:rFonts w:ascii="SimSun" w:hAnsi="SimSun" w:eastAsia="SimSun" w:cs="SimSun"/>
          <w:sz w:val="20"/>
          <w:szCs w:val="20"/>
          <w:position w:val="12"/>
        </w:rPr>
        <w:t>局通过部门规章将这种情况进行了明确，但</w:t>
      </w:r>
      <w:r>
        <w:rPr>
          <w:rFonts w:ascii="SimSun" w:hAnsi="SimSun" w:eastAsia="SimSun" w:cs="SimSun"/>
          <w:sz w:val="20"/>
          <w:szCs w:val="20"/>
          <w:spacing w:val="-1"/>
          <w:position w:val="12"/>
        </w:rPr>
        <w:t>立法效力层级比较低，也</w:t>
      </w:r>
    </w:p>
    <w:p>
      <w:pPr>
        <w:spacing w:line="219" w:lineRule="auto"/>
        <w:rPr>
          <w:rFonts w:ascii="SimSun" w:hAnsi="SimSun" w:eastAsia="SimSun" w:cs="SimSun"/>
          <w:sz w:val="20"/>
          <w:szCs w:val="20"/>
        </w:rPr>
      </w:pPr>
      <w:r>
        <w:rPr>
          <w:rFonts w:ascii="SimSun" w:hAnsi="SimSun" w:eastAsia="SimSun" w:cs="SimSun"/>
          <w:sz w:val="20"/>
          <w:szCs w:val="20"/>
          <w:spacing w:val="-4"/>
        </w:rPr>
        <w:t>没有相应的执法案例。</w:t>
      </w:r>
    </w:p>
    <w:p>
      <w:pPr>
        <w:ind w:firstLine="409"/>
        <w:spacing w:before="110" w:line="333" w:lineRule="auto"/>
        <w:jc w:val="both"/>
        <w:rPr>
          <w:rFonts w:ascii="SimSun" w:hAnsi="SimSun" w:eastAsia="SimSun" w:cs="SimSun"/>
          <w:sz w:val="20"/>
          <w:szCs w:val="20"/>
        </w:rPr>
      </w:pPr>
      <w:r>
        <w:rPr>
          <w:rFonts w:ascii="SimSun" w:hAnsi="SimSun" w:eastAsia="SimSun" w:cs="SimSun"/>
          <w:sz w:val="20"/>
          <w:szCs w:val="20"/>
          <w:spacing w:val="12"/>
        </w:rPr>
        <w:t>掠夺性定价的反垄断模型主要包括阿瑞达-特纳平均变动成本</w:t>
      </w:r>
      <w:r>
        <w:rPr>
          <w:rFonts w:ascii="SimSun" w:hAnsi="SimSun" w:eastAsia="SimSun" w:cs="SimSun"/>
          <w:sz w:val="20"/>
          <w:szCs w:val="20"/>
          <w:spacing w:val="4"/>
        </w:rPr>
        <w:t xml:space="preserve"> </w:t>
      </w:r>
      <w:r>
        <w:rPr>
          <w:rFonts w:ascii="SimSun" w:hAnsi="SimSun" w:eastAsia="SimSun" w:cs="SimSun"/>
          <w:sz w:val="20"/>
          <w:szCs w:val="20"/>
          <w:spacing w:val="3"/>
        </w:rPr>
        <w:t>模型、威廉姆森产量模型、鲍莫尔-伯尔顿平均增加成本模型</w:t>
      </w:r>
      <w:r>
        <w:rPr>
          <w:rFonts w:ascii="SimSun" w:hAnsi="SimSun" w:eastAsia="SimSun" w:cs="SimSun"/>
          <w:sz w:val="20"/>
          <w:szCs w:val="20"/>
          <w:spacing w:val="2"/>
        </w:rPr>
        <w:t>、乔斯</w:t>
      </w:r>
      <w:r>
        <w:rPr>
          <w:rFonts w:ascii="SimSun" w:hAnsi="SimSun" w:eastAsia="SimSun" w:cs="SimSun"/>
          <w:sz w:val="20"/>
          <w:szCs w:val="20"/>
        </w:rPr>
        <w:t xml:space="preserve"> </w:t>
      </w:r>
      <w:r>
        <w:rPr>
          <w:rFonts w:ascii="SimSun" w:hAnsi="SimSun" w:eastAsia="SimSun" w:cs="SimSun"/>
          <w:sz w:val="20"/>
          <w:szCs w:val="20"/>
        </w:rPr>
        <w:t>科-克莱沃里克两阶段检验模型，其中阿瑞达-特</w:t>
      </w:r>
      <w:r>
        <w:rPr>
          <w:rFonts w:ascii="SimSun" w:hAnsi="SimSun" w:eastAsia="SimSun" w:cs="SimSun"/>
          <w:sz w:val="20"/>
          <w:szCs w:val="20"/>
          <w:spacing w:val="-1"/>
        </w:rPr>
        <w:t>纳平均变动成本模型</w:t>
      </w:r>
    </w:p>
    <w:p>
      <w:pPr>
        <w:spacing w:line="219" w:lineRule="auto"/>
        <w:rPr>
          <w:rFonts w:ascii="SimSun" w:hAnsi="SimSun" w:eastAsia="SimSun" w:cs="SimSun"/>
          <w:sz w:val="20"/>
          <w:szCs w:val="20"/>
        </w:rPr>
      </w:pPr>
      <w:r>
        <w:rPr>
          <w:rFonts w:ascii="SimSun" w:hAnsi="SimSun" w:eastAsia="SimSun" w:cs="SimSun"/>
          <w:sz w:val="20"/>
          <w:szCs w:val="20"/>
          <w:spacing w:val="-5"/>
        </w:rPr>
        <w:t>影响最为深远。</w:t>
      </w:r>
    </w:p>
    <w:p>
      <w:pPr>
        <w:ind w:right="21" w:firstLine="409"/>
        <w:spacing w:before="127" w:line="332" w:lineRule="auto"/>
        <w:jc w:val="both"/>
        <w:rPr>
          <w:rFonts w:ascii="SimSun" w:hAnsi="SimSun" w:eastAsia="SimSun" w:cs="SimSun"/>
          <w:sz w:val="20"/>
          <w:szCs w:val="20"/>
        </w:rPr>
      </w:pPr>
      <w:r>
        <w:rPr>
          <w:rFonts w:ascii="SimSun" w:hAnsi="SimSun" w:eastAsia="SimSun" w:cs="SimSun"/>
          <w:sz w:val="20"/>
          <w:szCs w:val="20"/>
          <w:spacing w:val="7"/>
        </w:rPr>
        <w:t>具体到平台企业而言，适用掠夺性定价的困</w:t>
      </w:r>
      <w:r>
        <w:rPr>
          <w:rFonts w:ascii="SimSun" w:hAnsi="SimSun" w:eastAsia="SimSun" w:cs="SimSun"/>
          <w:sz w:val="20"/>
          <w:szCs w:val="20"/>
          <w:spacing w:val="6"/>
        </w:rPr>
        <w:t>难主要是双边市场</w:t>
      </w:r>
      <w:r>
        <w:rPr>
          <w:rFonts w:ascii="SimSun" w:hAnsi="SimSun" w:eastAsia="SimSun" w:cs="SimSun"/>
          <w:sz w:val="20"/>
          <w:szCs w:val="20"/>
        </w:rPr>
        <w:t xml:space="preserve"> </w:t>
      </w:r>
      <w:r>
        <w:rPr>
          <w:rFonts w:ascii="SimSun" w:hAnsi="SimSun" w:eastAsia="SimSun" w:cs="SimSun"/>
          <w:sz w:val="20"/>
          <w:szCs w:val="20"/>
        </w:rPr>
        <w:t>以及交叉补贴带来的。即平台出于竞争策略的</w:t>
      </w:r>
      <w:r>
        <w:rPr>
          <w:rFonts w:ascii="SimSun" w:hAnsi="SimSun" w:eastAsia="SimSun" w:cs="SimSun"/>
          <w:sz w:val="20"/>
          <w:szCs w:val="20"/>
          <w:spacing w:val="-1"/>
        </w:rPr>
        <w:t>考虑，会在一个单边市</w:t>
      </w:r>
      <w:r>
        <w:rPr>
          <w:rFonts w:ascii="SimSun" w:hAnsi="SimSun" w:eastAsia="SimSun" w:cs="SimSun"/>
          <w:sz w:val="20"/>
          <w:szCs w:val="20"/>
        </w:rPr>
        <w:t xml:space="preserve"> </w:t>
      </w:r>
      <w:r>
        <w:rPr>
          <w:rFonts w:ascii="SimSun" w:hAnsi="SimSun" w:eastAsia="SimSun" w:cs="SimSun"/>
          <w:sz w:val="20"/>
          <w:szCs w:val="20"/>
        </w:rPr>
        <w:t>场采用高价，而在需要征服的特定单边市场采用低价，上述模型难以</w:t>
      </w:r>
      <w:r>
        <w:rPr>
          <w:rFonts w:ascii="SimSun" w:hAnsi="SimSun" w:eastAsia="SimSun" w:cs="SimSun"/>
          <w:sz w:val="20"/>
          <w:szCs w:val="20"/>
          <w:spacing w:val="16"/>
        </w:rPr>
        <w:t xml:space="preserve"> </w:t>
      </w:r>
      <w:r>
        <w:rPr>
          <w:rFonts w:ascii="SimSun" w:hAnsi="SimSun" w:eastAsia="SimSun" w:cs="SimSun"/>
          <w:sz w:val="20"/>
          <w:szCs w:val="20"/>
        </w:rPr>
        <w:t>适用，也难以发现和测量。如果要求平台公司设</w:t>
      </w:r>
      <w:r>
        <w:rPr>
          <w:rFonts w:ascii="SimSun" w:hAnsi="SimSun" w:eastAsia="SimSun" w:cs="SimSun"/>
          <w:sz w:val="20"/>
          <w:szCs w:val="20"/>
          <w:spacing w:val="-1"/>
        </w:rPr>
        <w:t>定的价格低于平均可</w:t>
      </w:r>
      <w:r>
        <w:rPr>
          <w:rFonts w:ascii="SimSun" w:hAnsi="SimSun" w:eastAsia="SimSun" w:cs="SimSun"/>
          <w:sz w:val="20"/>
          <w:szCs w:val="20"/>
        </w:rPr>
        <w:t xml:space="preserve"> </w:t>
      </w:r>
      <w:r>
        <w:rPr>
          <w:rFonts w:ascii="SimSun" w:hAnsi="SimSun" w:eastAsia="SimSun" w:cs="SimSun"/>
          <w:sz w:val="20"/>
          <w:szCs w:val="20"/>
          <w:spacing w:val="6"/>
        </w:rPr>
        <w:t>变成本，就是要求平台公司收取的价格为零或负数。但实际上，平</w:t>
      </w:r>
      <w:r>
        <w:rPr>
          <w:rFonts w:ascii="SimSun" w:hAnsi="SimSun" w:eastAsia="SimSun" w:cs="SimSun"/>
          <w:sz w:val="20"/>
          <w:szCs w:val="20"/>
          <w:spacing w:val="14"/>
        </w:rPr>
        <w:t xml:space="preserve"> </w:t>
      </w:r>
      <w:r>
        <w:rPr>
          <w:rFonts w:ascii="SimSun" w:hAnsi="SimSun" w:eastAsia="SimSun" w:cs="SimSun"/>
          <w:sz w:val="20"/>
          <w:szCs w:val="20"/>
        </w:rPr>
        <w:t>台公司同时对双边用户定价，</w:t>
      </w:r>
      <w:r>
        <w:rPr>
          <w:rFonts w:ascii="SimSun" w:hAnsi="SimSun" w:eastAsia="SimSun" w:cs="SimSun"/>
          <w:sz w:val="20"/>
          <w:szCs w:val="20"/>
          <w:spacing w:val="67"/>
        </w:rPr>
        <w:t xml:space="preserve"> </w:t>
      </w:r>
      <w:r>
        <w:rPr>
          <w:rFonts w:ascii="SimSun" w:hAnsi="SimSun" w:eastAsia="SimSun" w:cs="SimSun"/>
          <w:sz w:val="20"/>
          <w:szCs w:val="20"/>
        </w:rPr>
        <w:t>一个是免费的或者低的，另一个是高 </w:t>
      </w:r>
      <w:r>
        <w:rPr>
          <w:rFonts w:ascii="SimSun" w:hAnsi="SimSun" w:eastAsia="SimSun" w:cs="SimSun"/>
          <w:sz w:val="20"/>
          <w:szCs w:val="20"/>
          <w:spacing w:val="3"/>
        </w:rPr>
        <w:t>的。以价格的哪一边作为衡量标准?平台的价格策略，包括收费结构</w:t>
      </w:r>
      <w:r>
        <w:rPr>
          <w:rFonts w:ascii="SimSun" w:hAnsi="SimSun" w:eastAsia="SimSun" w:cs="SimSun"/>
          <w:sz w:val="20"/>
          <w:szCs w:val="20"/>
          <w:spacing w:val="1"/>
        </w:rPr>
        <w:t xml:space="preserve"> </w:t>
      </w:r>
      <w:r>
        <w:rPr>
          <w:rFonts w:ascii="SimSun" w:hAnsi="SimSun" w:eastAsia="SimSun" w:cs="SimSun"/>
          <w:sz w:val="20"/>
          <w:szCs w:val="20"/>
          <w:spacing w:val="-1"/>
        </w:rPr>
        <w:t>也会影响到这一问题，除了对双边用户采取不同的价格策略外，还可</w:t>
      </w:r>
      <w:r>
        <w:rPr>
          <w:rFonts w:ascii="SimSun" w:hAnsi="SimSun" w:eastAsia="SimSun" w:cs="SimSun"/>
          <w:sz w:val="20"/>
          <w:szCs w:val="20"/>
          <w:spacing w:val="17"/>
        </w:rPr>
        <w:t xml:space="preserve"> </w:t>
      </w:r>
      <w:r>
        <w:rPr>
          <w:rFonts w:ascii="SimSun" w:hAnsi="SimSun" w:eastAsia="SimSun" w:cs="SimSun"/>
          <w:sz w:val="20"/>
          <w:szCs w:val="20"/>
          <w:spacing w:val="7"/>
        </w:rPr>
        <w:t>以制定不同的收费项目。例如，可以仅收取注册费，或仅收取使用</w:t>
      </w:r>
      <w:r>
        <w:rPr>
          <w:rFonts w:ascii="SimSun" w:hAnsi="SimSun" w:eastAsia="SimSun" w:cs="SimSun"/>
          <w:sz w:val="20"/>
          <w:szCs w:val="20"/>
        </w:rPr>
        <w:t xml:space="preserve"> </w:t>
      </w:r>
      <w:r>
        <w:rPr>
          <w:rFonts w:ascii="SimSun" w:hAnsi="SimSun" w:eastAsia="SimSun" w:cs="SimSun"/>
          <w:sz w:val="20"/>
          <w:szCs w:val="20"/>
        </w:rPr>
        <w:t>费，或既收取注册费又收取使用费。其中，注册费按会员收费，相对</w:t>
      </w:r>
      <w:r>
        <w:rPr>
          <w:rFonts w:ascii="SimSun" w:hAnsi="SimSun" w:eastAsia="SimSun" w:cs="SimSun"/>
          <w:sz w:val="20"/>
          <w:szCs w:val="20"/>
          <w:spacing w:val="7"/>
        </w:rPr>
        <w:t xml:space="preserve"> </w:t>
      </w:r>
      <w:r>
        <w:rPr>
          <w:rFonts w:ascii="SimSun" w:hAnsi="SimSun" w:eastAsia="SimSun" w:cs="SimSun"/>
          <w:sz w:val="20"/>
          <w:szCs w:val="20"/>
        </w:rPr>
        <w:t>固定；而使用费是根据交易次数和交易金额收取的，是可变的。如何</w:t>
      </w:r>
      <w:r>
        <w:rPr>
          <w:rFonts w:ascii="SimSun" w:hAnsi="SimSun" w:eastAsia="SimSun" w:cs="SimSun"/>
          <w:sz w:val="20"/>
          <w:szCs w:val="20"/>
          <w:spacing w:val="7"/>
        </w:rPr>
        <w:t xml:space="preserve"> </w:t>
      </w:r>
      <w:r>
        <w:rPr>
          <w:rFonts w:ascii="SimSun" w:hAnsi="SimSun" w:eastAsia="SimSun" w:cs="SimSun"/>
          <w:sz w:val="20"/>
          <w:szCs w:val="20"/>
          <w:spacing w:val="4"/>
        </w:rPr>
        <w:t>衡量这个收费与成本的关系?故此，存在着许多新</w:t>
      </w:r>
      <w:r>
        <w:rPr>
          <w:rFonts w:ascii="SimSun" w:hAnsi="SimSun" w:eastAsia="SimSun" w:cs="SimSun"/>
          <w:sz w:val="20"/>
          <w:szCs w:val="20"/>
          <w:spacing w:val="3"/>
        </w:rPr>
        <w:t>的理论，仍在探索</w:t>
      </w:r>
    </w:p>
    <w:p>
      <w:pPr>
        <w:spacing w:line="220" w:lineRule="auto"/>
        <w:rPr>
          <w:rFonts w:ascii="SimSun" w:hAnsi="SimSun" w:eastAsia="SimSun" w:cs="SimSun"/>
          <w:sz w:val="20"/>
          <w:szCs w:val="20"/>
        </w:rPr>
      </w:pPr>
      <w:r>
        <w:rPr>
          <w:rFonts w:ascii="SimSun" w:hAnsi="SimSun" w:eastAsia="SimSun" w:cs="SimSun"/>
          <w:sz w:val="20"/>
          <w:szCs w:val="20"/>
          <w:spacing w:val="-9"/>
        </w:rPr>
        <w:t>之中。</w:t>
      </w:r>
    </w:p>
    <w:p>
      <w:pPr>
        <w:ind w:right="27" w:firstLine="409"/>
        <w:spacing w:before="122" w:line="332" w:lineRule="auto"/>
        <w:jc w:val="both"/>
        <w:rPr>
          <w:rFonts w:ascii="SimSun" w:hAnsi="SimSun" w:eastAsia="SimSun" w:cs="SimSun"/>
          <w:sz w:val="20"/>
          <w:szCs w:val="20"/>
        </w:rPr>
      </w:pPr>
      <w:r>
        <w:rPr>
          <w:rFonts w:ascii="SimSun" w:hAnsi="SimSun" w:eastAsia="SimSun" w:cs="SimSun"/>
          <w:sz w:val="20"/>
          <w:szCs w:val="20"/>
          <w:spacing w:val="-1"/>
        </w:rPr>
        <w:t>另外，平台企业的产品多为信息和服务，由于信息产品与传统产</w:t>
      </w:r>
      <w:r>
        <w:rPr>
          <w:rFonts w:ascii="SimSun" w:hAnsi="SimSun" w:eastAsia="SimSun" w:cs="SimSun"/>
          <w:sz w:val="20"/>
          <w:szCs w:val="20"/>
          <w:spacing w:val="14"/>
        </w:rPr>
        <w:t xml:space="preserve"> </w:t>
      </w:r>
      <w:r>
        <w:rPr>
          <w:rFonts w:ascii="SimSun" w:hAnsi="SimSun" w:eastAsia="SimSun" w:cs="SimSun"/>
          <w:sz w:val="20"/>
          <w:szCs w:val="20"/>
        </w:rPr>
        <w:t>业中的实体产品不同，其前期的固定成本通常很</w:t>
      </w:r>
      <w:r>
        <w:rPr>
          <w:rFonts w:ascii="SimSun" w:hAnsi="SimSun" w:eastAsia="SimSun" w:cs="SimSun"/>
          <w:sz w:val="20"/>
          <w:szCs w:val="20"/>
          <w:spacing w:val="-1"/>
        </w:rPr>
        <w:t>高，包括产品研发成</w:t>
      </w:r>
      <w:r>
        <w:rPr>
          <w:rFonts w:ascii="SimSun" w:hAnsi="SimSun" w:eastAsia="SimSun" w:cs="SimSun"/>
          <w:sz w:val="20"/>
          <w:szCs w:val="20"/>
        </w:rPr>
        <w:t xml:space="preserve"> </w:t>
      </w:r>
      <w:r>
        <w:rPr>
          <w:rFonts w:ascii="SimSun" w:hAnsi="SimSun" w:eastAsia="SimSun" w:cs="SimSun"/>
          <w:sz w:val="20"/>
          <w:szCs w:val="20"/>
        </w:rPr>
        <w:t>本、人力成本、知识产权许可费等。这些成本难以在短期内变动，需</w:t>
      </w:r>
      <w:r>
        <w:rPr>
          <w:rFonts w:ascii="SimSun" w:hAnsi="SimSun" w:eastAsia="SimSun" w:cs="SimSun"/>
          <w:sz w:val="20"/>
          <w:szCs w:val="20"/>
          <w:spacing w:val="11"/>
        </w:rPr>
        <w:t xml:space="preserve"> </w:t>
      </w:r>
      <w:r>
        <w:rPr>
          <w:rFonts w:ascii="SimSun" w:hAnsi="SimSun" w:eastAsia="SimSun" w:cs="SimSun"/>
          <w:sz w:val="20"/>
          <w:szCs w:val="20"/>
        </w:rPr>
        <w:t>要依靠长期的生产逐渐收回。与此相反，信息</w:t>
      </w:r>
      <w:r>
        <w:rPr>
          <w:rFonts w:ascii="SimSun" w:hAnsi="SimSun" w:eastAsia="SimSun" w:cs="SimSun"/>
          <w:sz w:val="20"/>
          <w:szCs w:val="20"/>
          <w:spacing w:val="-1"/>
        </w:rPr>
        <w:t>产品投入生产之后，其</w:t>
      </w:r>
      <w:r>
        <w:rPr>
          <w:rFonts w:ascii="SimSun" w:hAnsi="SimSun" w:eastAsia="SimSun" w:cs="SimSun"/>
          <w:sz w:val="20"/>
          <w:szCs w:val="20"/>
        </w:rPr>
        <w:t xml:space="preserve"> </w:t>
      </w:r>
      <w:r>
        <w:rPr>
          <w:rFonts w:ascii="SimSun" w:hAnsi="SimSun" w:eastAsia="SimSun" w:cs="SimSun"/>
          <w:sz w:val="20"/>
          <w:szCs w:val="20"/>
        </w:rPr>
        <w:t>产生的复制成本非常低廉，边际成本或者说可变</w:t>
      </w:r>
      <w:r>
        <w:rPr>
          <w:rFonts w:ascii="SimSun" w:hAnsi="SimSun" w:eastAsia="SimSun" w:cs="SimSun"/>
          <w:sz w:val="20"/>
          <w:szCs w:val="20"/>
          <w:spacing w:val="-1"/>
        </w:rPr>
        <w:t>成本几乎为零。平台</w:t>
      </w:r>
      <w:r>
        <w:rPr>
          <w:rFonts w:ascii="SimSun" w:hAnsi="SimSun" w:eastAsia="SimSun" w:cs="SimSun"/>
          <w:sz w:val="20"/>
          <w:szCs w:val="20"/>
        </w:rPr>
        <w:t xml:space="preserve"> </w:t>
      </w:r>
      <w:r>
        <w:rPr>
          <w:rFonts w:ascii="SimSun" w:hAnsi="SimSun" w:eastAsia="SimSun" w:cs="SimSun"/>
          <w:sz w:val="20"/>
          <w:szCs w:val="20"/>
          <w:spacing w:val="-1"/>
        </w:rPr>
        <w:t>企业需要投入大量成本来维持以平台为中心的双边市场的运行。这些</w:t>
      </w:r>
      <w:r>
        <w:rPr>
          <w:rFonts w:ascii="SimSun" w:hAnsi="SimSun" w:eastAsia="SimSun" w:cs="SimSun"/>
          <w:sz w:val="20"/>
          <w:szCs w:val="20"/>
          <w:spacing w:val="18"/>
        </w:rPr>
        <w:t xml:space="preserve"> </w:t>
      </w:r>
      <w:r>
        <w:rPr>
          <w:rFonts w:ascii="SimSun" w:hAnsi="SimSun" w:eastAsia="SimSun" w:cs="SimSun"/>
          <w:sz w:val="20"/>
          <w:szCs w:val="20"/>
          <w:spacing w:val="4"/>
        </w:rPr>
        <w:t>成本应该归类为固定成本还是可变成本?这</w:t>
      </w:r>
      <w:r>
        <w:rPr>
          <w:rFonts w:ascii="SimSun" w:hAnsi="SimSun" w:eastAsia="SimSun" w:cs="SimSun"/>
          <w:sz w:val="20"/>
          <w:szCs w:val="20"/>
          <w:spacing w:val="3"/>
        </w:rPr>
        <w:t>些问题都需要在理论和实</w:t>
      </w:r>
    </w:p>
    <w:p>
      <w:pPr>
        <w:spacing w:line="218" w:lineRule="auto"/>
        <w:rPr>
          <w:rFonts w:ascii="SimSun" w:hAnsi="SimSun" w:eastAsia="SimSun" w:cs="SimSun"/>
          <w:sz w:val="20"/>
          <w:szCs w:val="20"/>
        </w:rPr>
      </w:pPr>
      <w:r>
        <w:rPr>
          <w:rFonts w:ascii="SimSun" w:hAnsi="SimSun" w:eastAsia="SimSun" w:cs="SimSun"/>
          <w:sz w:val="20"/>
          <w:szCs w:val="20"/>
          <w:spacing w:val="-4"/>
        </w:rPr>
        <w:t>践中进一步探索和研究。</w:t>
      </w:r>
    </w:p>
    <w:p>
      <w:pPr>
        <w:spacing w:line="218" w:lineRule="auto"/>
        <w:sectPr>
          <w:headerReference w:type="default" r:id="rId513"/>
          <w:pgSz w:w="7330" w:h="12480"/>
          <w:pgMar w:top="855" w:right="620" w:bottom="400" w:left="670" w:header="713" w:footer="0" w:gutter="0"/>
        </w:sectPr>
        <w:rPr>
          <w:rFonts w:ascii="SimSun" w:hAnsi="SimSun" w:eastAsia="SimSun" w:cs="SimSun"/>
          <w:sz w:val="20"/>
          <w:szCs w:val="20"/>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left="103"/>
        <w:spacing w:before="75" w:line="224" w:lineRule="auto"/>
        <w:rPr>
          <w:rFonts w:ascii="SimHei" w:hAnsi="SimHei" w:eastAsia="SimHei" w:cs="SimHei"/>
          <w:sz w:val="23"/>
          <w:szCs w:val="23"/>
        </w:rPr>
      </w:pPr>
      <w:r>
        <w:rPr>
          <w:rFonts w:ascii="SimHei" w:hAnsi="SimHei" w:eastAsia="SimHei" w:cs="SimHei"/>
          <w:sz w:val="23"/>
          <w:szCs w:val="23"/>
          <w:b/>
          <w:bCs/>
          <w:spacing w:val="13"/>
        </w:rPr>
        <w:t>限定交易与平台“二选—</w:t>
      </w:r>
      <w:r>
        <w:rPr>
          <w:rFonts w:ascii="SimHei" w:hAnsi="SimHei" w:eastAsia="SimHei" w:cs="SimHei"/>
          <w:sz w:val="23"/>
          <w:szCs w:val="23"/>
          <w:spacing w:val="-74"/>
        </w:rPr>
        <w:t xml:space="preserve"> </w:t>
      </w:r>
      <w:r>
        <w:rPr>
          <w:rFonts w:ascii="SimHei" w:hAnsi="SimHei" w:eastAsia="SimHei" w:cs="SimHei"/>
          <w:sz w:val="23"/>
          <w:szCs w:val="23"/>
          <w:b/>
          <w:bCs/>
          <w:spacing w:val="13"/>
        </w:rPr>
        <w:t>”</w:t>
      </w:r>
    </w:p>
    <w:p>
      <w:pPr>
        <w:pStyle w:val="BodyText"/>
        <w:spacing w:line="351" w:lineRule="auto"/>
        <w:rPr/>
      </w:pPr>
      <w:r/>
    </w:p>
    <w:p>
      <w:pPr>
        <w:ind w:left="100" w:right="40" w:firstLine="420"/>
        <w:spacing w:before="65" w:line="318" w:lineRule="auto"/>
        <w:jc w:val="both"/>
        <w:rPr>
          <w:rFonts w:ascii="SimSun" w:hAnsi="SimSun" w:eastAsia="SimSun" w:cs="SimSun"/>
          <w:sz w:val="20"/>
          <w:szCs w:val="20"/>
        </w:rPr>
      </w:pPr>
      <w:r>
        <w:rPr>
          <w:rFonts w:ascii="SimSun" w:hAnsi="SimSun" w:eastAsia="SimSun" w:cs="SimSun"/>
          <w:sz w:val="20"/>
          <w:szCs w:val="20"/>
          <w:spacing w:val="-1"/>
        </w:rPr>
        <w:t>我国《反垄断法》第十七条规定：“禁止具有市场支配地位的经</w:t>
      </w:r>
      <w:r>
        <w:rPr>
          <w:rFonts w:ascii="SimSun" w:hAnsi="SimSun" w:eastAsia="SimSun" w:cs="SimSun"/>
          <w:sz w:val="20"/>
          <w:szCs w:val="20"/>
          <w:spacing w:val="17"/>
        </w:rPr>
        <w:t xml:space="preserve"> </w:t>
      </w:r>
      <w:r>
        <w:rPr>
          <w:rFonts w:ascii="SimSun" w:hAnsi="SimSun" w:eastAsia="SimSun" w:cs="SimSun"/>
          <w:sz w:val="20"/>
          <w:szCs w:val="20"/>
          <w:spacing w:val="3"/>
        </w:rPr>
        <w:t>营者从事下列滥用市场支配地位的行为：</w:t>
      </w:r>
      <w:r>
        <w:rPr>
          <w:rFonts w:ascii="SimSun" w:hAnsi="SimSun" w:eastAsia="SimSun" w:cs="SimSun"/>
          <w:sz w:val="20"/>
          <w:szCs w:val="20"/>
          <w:spacing w:val="77"/>
        </w:rPr>
        <w:t xml:space="preserve"> </w:t>
      </w:r>
      <w:r>
        <w:rPr>
          <w:rFonts w:ascii="SimSun" w:hAnsi="SimSun" w:eastAsia="SimSun" w:cs="SimSun"/>
          <w:sz w:val="20"/>
          <w:szCs w:val="20"/>
          <w:spacing w:val="3"/>
        </w:rPr>
        <w:t>……(</w:t>
      </w:r>
      <w:r>
        <w:rPr>
          <w:rFonts w:ascii="SimSun" w:hAnsi="SimSun" w:eastAsia="SimSun" w:cs="SimSun"/>
          <w:sz w:val="20"/>
          <w:szCs w:val="20"/>
          <w:spacing w:val="2"/>
        </w:rPr>
        <w:t>四)没有正当理由，</w:t>
      </w:r>
      <w:r>
        <w:rPr>
          <w:rFonts w:ascii="SimSun" w:hAnsi="SimSun" w:eastAsia="SimSun" w:cs="SimSun"/>
          <w:sz w:val="20"/>
          <w:szCs w:val="20"/>
        </w:rPr>
        <w:t xml:space="preserve"> </w:t>
      </w:r>
      <w:r>
        <w:rPr>
          <w:rFonts w:ascii="SimSun" w:hAnsi="SimSun" w:eastAsia="SimSun" w:cs="SimSun"/>
          <w:sz w:val="20"/>
          <w:szCs w:val="20"/>
          <w:spacing w:val="-1"/>
        </w:rPr>
        <w:t>限定交易相对人只能与其进行交易或者只能与其指定的经营者进行交</w:t>
      </w:r>
      <w:r>
        <w:rPr>
          <w:rFonts w:ascii="SimSun" w:hAnsi="SimSun" w:eastAsia="SimSun" w:cs="SimSun"/>
          <w:sz w:val="20"/>
          <w:szCs w:val="20"/>
          <w:spacing w:val="3"/>
        </w:rPr>
        <w:t xml:space="preserve">  </w:t>
      </w:r>
      <w:r>
        <w:rPr>
          <w:rFonts w:ascii="SimSun" w:hAnsi="SimSun" w:eastAsia="SimSun" w:cs="SimSun"/>
          <w:sz w:val="20"/>
          <w:szCs w:val="20"/>
          <w:spacing w:val="-4"/>
        </w:rPr>
        <w:t>易； ……”《禁止滥用市场支配地位行为暂行规定》第十七条对限定</w:t>
      </w:r>
      <w:r>
        <w:rPr>
          <w:rFonts w:ascii="SimSun" w:hAnsi="SimSun" w:eastAsia="SimSun" w:cs="SimSun"/>
          <w:sz w:val="20"/>
          <w:szCs w:val="20"/>
        </w:rPr>
        <w:t xml:space="preserve">  </w:t>
      </w:r>
      <w:r>
        <w:rPr>
          <w:rFonts w:ascii="SimSun" w:hAnsi="SimSun" w:eastAsia="SimSun" w:cs="SimSun"/>
          <w:sz w:val="20"/>
          <w:szCs w:val="20"/>
          <w:spacing w:val="-1"/>
        </w:rPr>
        <w:t>交易的具体行为做出规定：限定交易相对人只能与其进行交易；限定 </w:t>
      </w:r>
      <w:r>
        <w:rPr>
          <w:rFonts w:ascii="SimSun" w:hAnsi="SimSun" w:eastAsia="SimSun" w:cs="SimSun"/>
          <w:sz w:val="20"/>
          <w:szCs w:val="20"/>
          <w:spacing w:val="-1"/>
        </w:rPr>
        <w:t>交易相对人只能与其指定的经营者进行交易；限定交易相对人不得与 </w:t>
      </w:r>
      <w:r>
        <w:rPr>
          <w:rFonts w:ascii="SimSun" w:hAnsi="SimSun" w:eastAsia="SimSun" w:cs="SimSun"/>
          <w:sz w:val="20"/>
          <w:szCs w:val="20"/>
          <w:spacing w:val="2"/>
        </w:rPr>
        <w:t>特定经营者进行交易。并且规定限定交易可以是直接或者间接设定，</w:t>
      </w:r>
      <w:r>
        <w:rPr>
          <w:rFonts w:ascii="SimSun" w:hAnsi="SimSun" w:eastAsia="SimSun" w:cs="SimSun"/>
          <w:sz w:val="20"/>
          <w:szCs w:val="20"/>
        </w:rPr>
        <w:t xml:space="preserve"> </w:t>
      </w:r>
      <w:r>
        <w:rPr>
          <w:rFonts w:ascii="SimSun" w:hAnsi="SimSun" w:eastAsia="SimSun" w:cs="SimSun"/>
          <w:sz w:val="20"/>
          <w:szCs w:val="20"/>
          <w:spacing w:val="-1"/>
        </w:rPr>
        <w:t>但有正当理由⑨的除外。</w:t>
      </w:r>
    </w:p>
    <w:p>
      <w:pPr>
        <w:ind w:right="87" w:firstLine="520"/>
        <w:spacing w:before="141" w:line="331" w:lineRule="auto"/>
        <w:jc w:val="both"/>
        <w:rPr>
          <w:rFonts w:ascii="SimSun" w:hAnsi="SimSun" w:eastAsia="SimSun" w:cs="SimSun"/>
          <w:sz w:val="20"/>
          <w:szCs w:val="20"/>
        </w:rPr>
      </w:pPr>
      <w:r>
        <w:rPr>
          <w:rFonts w:ascii="SimSun" w:hAnsi="SimSun" w:eastAsia="SimSun" w:cs="SimSun"/>
          <w:sz w:val="20"/>
          <w:szCs w:val="20"/>
        </w:rPr>
        <w:t>平台“二选一”的法律焦点是平台的行为是</w:t>
      </w:r>
      <w:r>
        <w:rPr>
          <w:rFonts w:ascii="SimSun" w:hAnsi="SimSun" w:eastAsia="SimSun" w:cs="SimSun"/>
          <w:sz w:val="20"/>
          <w:szCs w:val="20"/>
          <w:spacing w:val="-1"/>
        </w:rPr>
        <w:t>否属于限定交易，即</w:t>
      </w:r>
      <w:r>
        <w:rPr>
          <w:rFonts w:ascii="SimSun" w:hAnsi="SimSun" w:eastAsia="SimSun" w:cs="SimSun"/>
          <w:sz w:val="20"/>
          <w:szCs w:val="20"/>
        </w:rPr>
        <w:t xml:space="preserve"> </w:t>
      </w:r>
      <w:r>
        <w:rPr>
          <w:rFonts w:ascii="SimSun" w:hAnsi="SimSun" w:eastAsia="SimSun" w:cs="SimSun"/>
          <w:sz w:val="20"/>
          <w:szCs w:val="20"/>
          <w:spacing w:val="9"/>
        </w:rPr>
        <w:t>平台方是否要求交易对方只能与平台或平台方指定的第三方进行交</w:t>
      </w:r>
      <w:r>
        <w:rPr>
          <w:rFonts w:ascii="SimSun" w:hAnsi="SimSun" w:eastAsia="SimSun" w:cs="SimSun"/>
          <w:sz w:val="20"/>
          <w:szCs w:val="20"/>
          <w:spacing w:val="6"/>
        </w:rPr>
        <w:t xml:space="preserve"> </w:t>
      </w:r>
      <w:r>
        <w:rPr>
          <w:rFonts w:ascii="SimSun" w:hAnsi="SimSun" w:eastAsia="SimSun" w:cs="SimSun"/>
          <w:sz w:val="20"/>
          <w:szCs w:val="20"/>
          <w:spacing w:val="2"/>
        </w:rPr>
        <w:t>易，且此种限制行为具有阻碍或者限制竞争的效果。相比于传统经营</w:t>
      </w:r>
      <w:r>
        <w:rPr>
          <w:rFonts w:ascii="SimSun" w:hAnsi="SimSun" w:eastAsia="SimSun" w:cs="SimSun"/>
          <w:sz w:val="20"/>
          <w:szCs w:val="20"/>
          <w:spacing w:val="17"/>
        </w:rPr>
        <w:t xml:space="preserve"> </w:t>
      </w:r>
      <w:r>
        <w:rPr>
          <w:rFonts w:ascii="SimSun" w:hAnsi="SimSun" w:eastAsia="SimSun" w:cs="SimSun"/>
          <w:sz w:val="20"/>
          <w:szCs w:val="20"/>
          <w:spacing w:val="3"/>
        </w:rPr>
        <w:t>者通过协议、市场支配地位对交易进行限定，平台又衍生出诸如利用</w:t>
      </w:r>
      <w:r>
        <w:rPr>
          <w:rFonts w:ascii="SimSun" w:hAnsi="SimSun" w:eastAsia="SimSun" w:cs="SimSun"/>
          <w:sz w:val="20"/>
          <w:szCs w:val="20"/>
        </w:rPr>
        <w:t xml:space="preserve"> </w:t>
      </w:r>
      <w:r>
        <w:rPr>
          <w:rFonts w:ascii="SimSun" w:hAnsi="SimSun" w:eastAsia="SimSun" w:cs="SimSun"/>
          <w:sz w:val="20"/>
          <w:szCs w:val="20"/>
          <w:spacing w:val="3"/>
        </w:rPr>
        <w:t>技术、平台规则等新的手法限定交易。平台常用的限定交易手段有两</w:t>
      </w:r>
      <w:r>
        <w:rPr>
          <w:rFonts w:ascii="SimSun" w:hAnsi="SimSun" w:eastAsia="SimSun" w:cs="SimSun"/>
          <w:sz w:val="20"/>
          <w:szCs w:val="20"/>
        </w:rPr>
        <w:t xml:space="preserve"> </w:t>
      </w:r>
      <w:r>
        <w:rPr>
          <w:rFonts w:ascii="SimSun" w:hAnsi="SimSun" w:eastAsia="SimSun" w:cs="SimSun"/>
          <w:sz w:val="20"/>
          <w:szCs w:val="20"/>
          <w:spacing w:val="2"/>
        </w:rPr>
        <w:t>种。第一，平台通过搜索降权、流量惩罚、技术障碍、扣取保证金等</w:t>
      </w:r>
      <w:r>
        <w:rPr>
          <w:rFonts w:ascii="SimSun" w:hAnsi="SimSun" w:eastAsia="SimSun" w:cs="SimSun"/>
          <w:sz w:val="20"/>
          <w:szCs w:val="20"/>
        </w:rPr>
        <w:t xml:space="preserve"> </w:t>
      </w:r>
      <w:r>
        <w:rPr>
          <w:rFonts w:ascii="SimSun" w:hAnsi="SimSun" w:eastAsia="SimSun" w:cs="SimSun"/>
          <w:sz w:val="20"/>
          <w:szCs w:val="20"/>
          <w:spacing w:val="3"/>
        </w:rPr>
        <w:t>惩罚措施实施的限制，因对市场竞争和消费者利益产生直接</w:t>
      </w:r>
      <w:r>
        <w:rPr>
          <w:rFonts w:ascii="SimSun" w:hAnsi="SimSun" w:eastAsia="SimSun" w:cs="SimSun"/>
          <w:sz w:val="20"/>
          <w:szCs w:val="20"/>
          <w:spacing w:val="2"/>
        </w:rPr>
        <w:t>损害，因</w:t>
      </w:r>
      <w:r>
        <w:rPr>
          <w:rFonts w:ascii="SimSun" w:hAnsi="SimSun" w:eastAsia="SimSun" w:cs="SimSun"/>
          <w:sz w:val="20"/>
          <w:szCs w:val="20"/>
        </w:rPr>
        <w:t xml:space="preserve"> </w:t>
      </w:r>
      <w:r>
        <w:rPr>
          <w:rFonts w:ascii="SimSun" w:hAnsi="SimSun" w:eastAsia="SimSun" w:cs="SimSun"/>
          <w:sz w:val="20"/>
          <w:szCs w:val="20"/>
          <w:spacing w:val="10"/>
        </w:rPr>
        <w:t>此这种行为和自我优待也有一定的联系；第二，平台通过补贴</w:t>
      </w:r>
      <w:r>
        <w:rPr>
          <w:rFonts w:ascii="SimSun" w:hAnsi="SimSun" w:eastAsia="SimSun" w:cs="SimSun"/>
          <w:sz w:val="20"/>
          <w:szCs w:val="20"/>
          <w:spacing w:val="9"/>
        </w:rPr>
        <w:t>、折</w:t>
      </w:r>
      <w:r>
        <w:rPr>
          <w:rFonts w:ascii="SimSun" w:hAnsi="SimSun" w:eastAsia="SimSun" w:cs="SimSun"/>
          <w:sz w:val="20"/>
          <w:szCs w:val="20"/>
        </w:rPr>
        <w:t xml:space="preserve"> </w:t>
      </w:r>
      <w:r>
        <w:rPr>
          <w:rFonts w:ascii="SimSun" w:hAnsi="SimSun" w:eastAsia="SimSun" w:cs="SimSun"/>
          <w:sz w:val="20"/>
          <w:szCs w:val="20"/>
          <w:spacing w:val="9"/>
        </w:rPr>
        <w:t>扣、优惠、流量资源支持等激励性措施实施的限制。这两种情况是</w:t>
      </w:r>
      <w:r>
        <w:rPr>
          <w:rFonts w:ascii="SimSun" w:hAnsi="SimSun" w:eastAsia="SimSun" w:cs="SimSun"/>
          <w:sz w:val="20"/>
          <w:szCs w:val="20"/>
          <w:spacing w:val="8"/>
        </w:rPr>
        <w:t xml:space="preserve"> </w:t>
      </w:r>
      <w:r>
        <w:rPr>
          <w:rFonts w:ascii="SimSun" w:hAnsi="SimSun" w:eastAsia="SimSun" w:cs="SimSun"/>
          <w:sz w:val="20"/>
          <w:szCs w:val="20"/>
          <w:spacing w:val="3"/>
        </w:rPr>
        <w:t>《国务院反垄断委员会关于平台经济领域的反垄断指南》规定的判断</w:t>
      </w:r>
    </w:p>
    <w:p>
      <w:pPr>
        <w:ind w:left="100"/>
        <w:spacing w:line="220" w:lineRule="auto"/>
        <w:rPr>
          <w:rFonts w:ascii="SimSun" w:hAnsi="SimSun" w:eastAsia="SimSun" w:cs="SimSun"/>
          <w:sz w:val="20"/>
          <w:szCs w:val="20"/>
        </w:rPr>
      </w:pPr>
      <w:r>
        <w:rPr>
          <w:rFonts w:ascii="SimSun" w:hAnsi="SimSun" w:eastAsia="SimSun" w:cs="SimSun"/>
          <w:sz w:val="20"/>
          <w:szCs w:val="20"/>
          <w:spacing w:val="-2"/>
        </w:rPr>
        <w:t>平台是否构成限定交易应当重点讨论的问题。</w:t>
      </w:r>
    </w:p>
    <w:p>
      <w:pPr>
        <w:ind w:left="100" w:right="89" w:firstLine="420"/>
        <w:spacing w:before="120" w:line="293" w:lineRule="auto"/>
        <w:jc w:val="both"/>
        <w:rPr>
          <w:rFonts w:ascii="SimSun" w:hAnsi="SimSun" w:eastAsia="SimSun" w:cs="SimSun"/>
          <w:sz w:val="20"/>
          <w:szCs w:val="20"/>
        </w:rPr>
      </w:pPr>
      <w:r>
        <w:rPr>
          <w:rFonts w:ascii="SimSun" w:hAnsi="SimSun" w:eastAsia="SimSun" w:cs="SimSun"/>
          <w:sz w:val="20"/>
          <w:szCs w:val="20"/>
          <w:spacing w:val="7"/>
        </w:rPr>
        <w:t>但“二选一”是一种通俗但不准确的表述，互联网平台的“二</w:t>
      </w:r>
      <w:r>
        <w:rPr>
          <w:rFonts w:ascii="SimSun" w:hAnsi="SimSun" w:eastAsia="SimSun" w:cs="SimSun"/>
          <w:sz w:val="20"/>
          <w:szCs w:val="20"/>
        </w:rPr>
        <w:t xml:space="preserve"> </w:t>
      </w:r>
      <w:r>
        <w:rPr>
          <w:rFonts w:ascii="SimSun" w:hAnsi="SimSun" w:eastAsia="SimSun" w:cs="SimSun"/>
          <w:sz w:val="20"/>
          <w:szCs w:val="20"/>
          <w:spacing w:val="5"/>
        </w:rPr>
        <w:t>选一”实践较为丰富。2010年，当当网向合作的出版社发函，要求</w:t>
      </w:r>
      <w:r>
        <w:rPr>
          <w:rFonts w:ascii="SimSun" w:hAnsi="SimSun" w:eastAsia="SimSun" w:cs="SimSun"/>
          <w:sz w:val="20"/>
          <w:szCs w:val="20"/>
          <w:spacing w:val="13"/>
        </w:rPr>
        <w:t xml:space="preserve"> </w:t>
      </w:r>
      <w:r>
        <w:rPr>
          <w:rFonts w:ascii="SimSun" w:hAnsi="SimSun" w:eastAsia="SimSun" w:cs="SimSun"/>
          <w:sz w:val="20"/>
          <w:szCs w:val="20"/>
          <w:spacing w:val="2"/>
        </w:rPr>
        <w:t>出版社在当当与京东之间“二选一”,阻碍京东商城进入网络图书销</w:t>
      </w:r>
    </w:p>
    <w:p>
      <w:pPr>
        <w:pStyle w:val="BodyText"/>
        <w:spacing w:line="290" w:lineRule="auto"/>
        <w:rPr/>
      </w:pPr>
      <w:r/>
    </w:p>
    <w:p>
      <w:pPr>
        <w:ind w:left="440" w:hanging="340"/>
        <w:spacing w:before="52" w:line="283" w:lineRule="auto"/>
        <w:rPr>
          <w:rFonts w:ascii="KaiTi" w:hAnsi="KaiTi" w:eastAsia="KaiTi" w:cs="KaiTi"/>
          <w:sz w:val="16"/>
          <w:szCs w:val="16"/>
        </w:rPr>
      </w:pPr>
      <w:r>
        <w:rPr>
          <w:rFonts w:ascii="KaiTi" w:hAnsi="KaiTi" w:eastAsia="KaiTi" w:cs="KaiTi"/>
          <w:sz w:val="16"/>
          <w:szCs w:val="16"/>
          <w:spacing w:val="-1"/>
        </w:rPr>
        <w:t>①</w:t>
      </w:r>
      <w:r>
        <w:rPr>
          <w:rFonts w:ascii="KaiTi" w:hAnsi="KaiTi" w:eastAsia="KaiTi" w:cs="KaiTi"/>
          <w:sz w:val="16"/>
          <w:szCs w:val="16"/>
          <w:spacing w:val="36"/>
        </w:rPr>
        <w:t xml:space="preserve"> </w:t>
      </w:r>
      <w:r>
        <w:rPr>
          <w:rFonts w:ascii="KaiTi" w:hAnsi="KaiTi" w:eastAsia="KaiTi" w:cs="KaiTi"/>
          <w:sz w:val="16"/>
          <w:szCs w:val="16"/>
          <w:spacing w:val="-1"/>
        </w:rPr>
        <w:t>《禁止滥用市场支配地位行为暂行规定》规定的“正当理由”包括：为满足产品安</w:t>
      </w:r>
      <w:r>
        <w:rPr>
          <w:rFonts w:ascii="KaiTi" w:hAnsi="KaiTi" w:eastAsia="KaiTi" w:cs="KaiTi"/>
          <w:sz w:val="16"/>
          <w:szCs w:val="16"/>
        </w:rPr>
        <w:t xml:space="preserve">  </w:t>
      </w:r>
      <w:r>
        <w:rPr>
          <w:rFonts w:ascii="KaiTi" w:hAnsi="KaiTi" w:eastAsia="KaiTi" w:cs="KaiTi"/>
          <w:sz w:val="16"/>
          <w:szCs w:val="16"/>
        </w:rPr>
        <w:t>全要求所必须；为保护知识产权所必须；为保护针对交易进行的特定投资所必须；</w:t>
      </w:r>
      <w:r>
        <w:rPr>
          <w:rFonts w:ascii="KaiTi" w:hAnsi="KaiTi" w:eastAsia="KaiTi" w:cs="KaiTi"/>
          <w:sz w:val="16"/>
          <w:szCs w:val="16"/>
        </w:rPr>
        <w:t xml:space="preserve"> </w:t>
      </w:r>
      <w:r>
        <w:rPr>
          <w:rFonts w:ascii="KaiTi" w:hAnsi="KaiTi" w:eastAsia="KaiTi" w:cs="KaiTi"/>
          <w:sz w:val="16"/>
          <w:szCs w:val="16"/>
          <w:spacing w:val="-2"/>
        </w:rPr>
        <w:t>能够证明行为具有正当性的其他理由。</w:t>
      </w:r>
    </w:p>
    <w:p>
      <w:pPr>
        <w:spacing w:line="283" w:lineRule="auto"/>
        <w:sectPr>
          <w:headerReference w:type="default" r:id="rId514"/>
          <w:pgSz w:w="7330" w:h="12480"/>
          <w:pgMar w:top="529" w:right="499" w:bottom="400" w:left="629" w:header="365" w:footer="0" w:gutter="0"/>
        </w:sectPr>
        <w:rPr>
          <w:rFonts w:ascii="KaiTi" w:hAnsi="KaiTi" w:eastAsia="KaiTi" w:cs="KaiTi"/>
          <w:sz w:val="16"/>
          <w:szCs w:val="16"/>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spacing w:before="68" w:line="312" w:lineRule="auto"/>
        <w:jc w:val="both"/>
        <w:rPr>
          <w:rFonts w:ascii="SimSun" w:hAnsi="SimSun" w:eastAsia="SimSun" w:cs="SimSun"/>
          <w:sz w:val="21"/>
          <w:szCs w:val="21"/>
        </w:rPr>
      </w:pPr>
      <w:r>
        <w:rPr>
          <w:rFonts w:ascii="SimSun" w:hAnsi="SimSun" w:eastAsia="SimSun" w:cs="SimSun"/>
          <w:sz w:val="21"/>
          <w:szCs w:val="21"/>
          <w:spacing w:val="4"/>
        </w:rPr>
        <w:t>售行业。2011年，腾讯强迫用户在</w:t>
      </w:r>
      <w:r>
        <w:rPr>
          <w:rFonts w:ascii="Times New Roman" w:hAnsi="Times New Roman" w:eastAsia="Times New Roman" w:cs="Times New Roman"/>
          <w:sz w:val="21"/>
          <w:szCs w:val="21"/>
        </w:rPr>
        <w:t>QQ</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和奇虎360之间做出选择，</w:t>
      </w:r>
      <w:r>
        <w:rPr>
          <w:rFonts w:ascii="SimSun" w:hAnsi="SimSun" w:eastAsia="SimSun" w:cs="SimSun"/>
          <w:sz w:val="21"/>
          <w:szCs w:val="21"/>
          <w:spacing w:val="9"/>
        </w:rPr>
        <w:t xml:space="preserve"> </w:t>
      </w:r>
      <w:r>
        <w:rPr>
          <w:rFonts w:ascii="SimSun" w:hAnsi="SimSun" w:eastAsia="SimSun" w:cs="SimSun"/>
          <w:sz w:val="21"/>
          <w:szCs w:val="21"/>
        </w:rPr>
        <w:t>迫使6000万用户卸载了奇虎360。2</w:t>
      </w:r>
      <w:r>
        <w:rPr>
          <w:rFonts w:ascii="SimSun" w:hAnsi="SimSun" w:eastAsia="SimSun" w:cs="SimSun"/>
          <w:sz w:val="21"/>
          <w:szCs w:val="21"/>
          <w:spacing w:val="-1"/>
        </w:rPr>
        <w:t>015年前后，在“双十一”“双 </w:t>
      </w:r>
      <w:r>
        <w:rPr>
          <w:rFonts w:ascii="SimSun" w:hAnsi="SimSun" w:eastAsia="SimSun" w:cs="SimSun"/>
          <w:sz w:val="21"/>
          <w:szCs w:val="21"/>
          <w:spacing w:val="-12"/>
        </w:rPr>
        <w:t>十二”等重大促销活动期间，天猫商城利用其在第三方交易平台服务</w:t>
      </w:r>
      <w:r>
        <w:rPr>
          <w:rFonts w:ascii="SimSun" w:hAnsi="SimSun" w:eastAsia="SimSun" w:cs="SimSun"/>
          <w:sz w:val="21"/>
          <w:szCs w:val="21"/>
          <w:spacing w:val="9"/>
        </w:rPr>
        <w:t xml:space="preserve">  </w:t>
      </w:r>
      <w:r>
        <w:rPr>
          <w:rFonts w:ascii="SimSun" w:hAnsi="SimSun" w:eastAsia="SimSun" w:cs="SimSun"/>
          <w:sz w:val="21"/>
          <w:szCs w:val="21"/>
          <w:spacing w:val="-1"/>
        </w:rPr>
        <w:t>市场中的优势地位，强制要求参加本平台促销活动的经营者(供应 </w:t>
      </w:r>
      <w:r>
        <w:rPr>
          <w:rFonts w:ascii="SimSun" w:hAnsi="SimSun" w:eastAsia="SimSun" w:cs="SimSun"/>
          <w:sz w:val="21"/>
          <w:szCs w:val="21"/>
          <w:spacing w:val="-1"/>
        </w:rPr>
        <w:t>商)不得参加其他平台的促销活动。2016年下半年，美团以“合作 </w:t>
      </w:r>
      <w:r>
        <w:rPr>
          <w:rFonts w:ascii="SimSun" w:hAnsi="SimSun" w:eastAsia="SimSun" w:cs="SimSun"/>
          <w:sz w:val="21"/>
          <w:szCs w:val="21"/>
          <w:spacing w:val="-11"/>
        </w:rPr>
        <w:t>承诺书”的方式，要求入网经营者签订协议，约定入网商户只在美团 </w:t>
      </w:r>
      <w:r>
        <w:rPr>
          <w:rFonts w:ascii="SimSun" w:hAnsi="SimSun" w:eastAsia="SimSun" w:cs="SimSun"/>
          <w:sz w:val="21"/>
          <w:szCs w:val="21"/>
          <w:spacing w:val="-11"/>
        </w:rPr>
        <w:t>独家经营。为推广线上业务，在知道其签约商户同时与饿了么、百度 </w:t>
      </w:r>
      <w:r>
        <w:rPr>
          <w:rFonts w:ascii="SimSun" w:hAnsi="SimSun" w:eastAsia="SimSun" w:cs="SimSun"/>
          <w:sz w:val="21"/>
          <w:szCs w:val="21"/>
          <w:spacing w:val="-11"/>
        </w:rPr>
        <w:t>外卖等同类在线外卖平台合作后，美团强制关停商户在美团外卖上的 </w:t>
      </w:r>
      <w:r>
        <w:rPr>
          <w:rFonts w:ascii="SimSun" w:hAnsi="SimSun" w:eastAsia="SimSun" w:cs="SimSun"/>
          <w:sz w:val="21"/>
          <w:szCs w:val="21"/>
          <w:spacing w:val="-11"/>
        </w:rPr>
        <w:t>网店，停止美团外卖商家客户端账户使用，商户只有在关闭其他外卖 </w:t>
      </w:r>
      <w:r>
        <w:rPr>
          <w:rFonts w:ascii="SimSun" w:hAnsi="SimSun" w:eastAsia="SimSun" w:cs="SimSun"/>
          <w:sz w:val="21"/>
          <w:szCs w:val="21"/>
          <w:spacing w:val="-1"/>
        </w:rPr>
        <w:t>平台上的网店后才被允许重新登入美团外卖平台。2018年4月，滴 </w:t>
      </w:r>
      <w:r>
        <w:rPr>
          <w:rFonts w:ascii="SimSun" w:hAnsi="SimSun" w:eastAsia="SimSun" w:cs="SimSun"/>
          <w:sz w:val="21"/>
          <w:szCs w:val="21"/>
          <w:spacing w:val="-7"/>
        </w:rPr>
        <w:t>滴在无锡市场上线外卖，遭到美团与饿了么“二选</w:t>
      </w:r>
      <w:r>
        <w:rPr>
          <w:rFonts w:ascii="SimSun" w:hAnsi="SimSun" w:eastAsia="SimSun" w:cs="SimSun"/>
          <w:sz w:val="21"/>
          <w:szCs w:val="21"/>
          <w:spacing w:val="-8"/>
        </w:rPr>
        <w:t>一”,如果商家上 </w:t>
      </w:r>
      <w:r>
        <w:rPr>
          <w:rFonts w:ascii="SimSun" w:hAnsi="SimSun" w:eastAsia="SimSun" w:cs="SimSun"/>
          <w:sz w:val="21"/>
          <w:szCs w:val="21"/>
          <w:spacing w:val="-4"/>
        </w:rPr>
        <w:t>线滴滴，就会被迫从美团或饿了么下线。2017年，京东在北京市高 </w:t>
      </w:r>
      <w:r>
        <w:rPr>
          <w:rFonts w:ascii="SimSun" w:hAnsi="SimSun" w:eastAsia="SimSun" w:cs="SimSun"/>
          <w:sz w:val="21"/>
          <w:szCs w:val="21"/>
          <w:spacing w:val="-10"/>
        </w:rPr>
        <w:t>级人民法院起诉阿里巴巴，认为阿里巴巴的“二选一</w:t>
      </w:r>
      <w:r>
        <w:rPr>
          <w:rFonts w:ascii="SimSun" w:hAnsi="SimSun" w:eastAsia="SimSun" w:cs="SimSun"/>
          <w:sz w:val="21"/>
          <w:szCs w:val="21"/>
          <w:spacing w:val="-11"/>
        </w:rPr>
        <w:t>”行为属于滥用</w:t>
      </w:r>
      <w:r>
        <w:rPr>
          <w:rFonts w:ascii="SimSun" w:hAnsi="SimSun" w:eastAsia="SimSun" w:cs="SimSun"/>
          <w:sz w:val="21"/>
          <w:szCs w:val="21"/>
        </w:rPr>
        <w:t xml:space="preserve"> </w:t>
      </w:r>
      <w:r>
        <w:rPr>
          <w:rFonts w:ascii="SimSun" w:hAnsi="SimSun" w:eastAsia="SimSun" w:cs="SimSun"/>
          <w:sz w:val="21"/>
          <w:szCs w:val="21"/>
          <w:spacing w:val="3"/>
        </w:rPr>
        <w:t>市场支配地位，并索赔10亿元。格兰仕在2019年10月28日向广州</w:t>
      </w:r>
      <w:r>
        <w:rPr>
          <w:rFonts w:ascii="SimSun" w:hAnsi="SimSun" w:eastAsia="SimSun" w:cs="SimSun"/>
          <w:sz w:val="21"/>
          <w:szCs w:val="21"/>
          <w:spacing w:val="13"/>
        </w:rPr>
        <w:t xml:space="preserve"> </w:t>
      </w:r>
      <w:r>
        <w:rPr>
          <w:rFonts w:ascii="SimSun" w:hAnsi="SimSun" w:eastAsia="SimSun" w:cs="SimSun"/>
          <w:sz w:val="21"/>
          <w:szCs w:val="21"/>
          <w:spacing w:val="-11"/>
        </w:rPr>
        <w:t>知识产权法院以天猫涉嫌滥用市场支配地位提出诉讼，拼多多、唯品 </w:t>
      </w:r>
      <w:r>
        <w:rPr>
          <w:rFonts w:ascii="SimSun" w:hAnsi="SimSun" w:eastAsia="SimSun" w:cs="SimSun"/>
          <w:sz w:val="21"/>
          <w:szCs w:val="21"/>
          <w:spacing w:val="-11"/>
        </w:rPr>
        <w:t>会之后加入诉讼。格兰仕诉称，格兰仕与拼多多达成长期全面战略合 </w:t>
      </w:r>
      <w:r>
        <w:rPr>
          <w:rFonts w:ascii="SimSun" w:hAnsi="SimSun" w:eastAsia="SimSun" w:cs="SimSun"/>
          <w:sz w:val="21"/>
          <w:szCs w:val="21"/>
          <w:spacing w:val="-7"/>
        </w:rPr>
        <w:t>作关系后，天猫要求格兰仕“二选一”,格兰仕未</w:t>
      </w:r>
      <w:r>
        <w:rPr>
          <w:rFonts w:ascii="SimSun" w:hAnsi="SimSun" w:eastAsia="SimSun" w:cs="SimSun"/>
          <w:sz w:val="21"/>
          <w:szCs w:val="21"/>
          <w:spacing w:val="-8"/>
        </w:rPr>
        <w:t>予同意。而后，格 </w:t>
      </w:r>
      <w:r>
        <w:rPr>
          <w:rFonts w:ascii="SimSun" w:hAnsi="SimSun" w:eastAsia="SimSun" w:cs="SimSun"/>
          <w:sz w:val="21"/>
          <w:szCs w:val="21"/>
          <w:spacing w:val="-4"/>
        </w:rPr>
        <w:t>兰仕天猫旗舰店出现跳转链接异常，页面无法正常显</w:t>
      </w:r>
      <w:r>
        <w:rPr>
          <w:rFonts w:ascii="SimSun" w:hAnsi="SimSun" w:eastAsia="SimSun" w:cs="SimSun"/>
          <w:sz w:val="21"/>
          <w:szCs w:val="21"/>
          <w:spacing w:val="-5"/>
        </w:rPr>
        <w:t>示长达半个多</w:t>
      </w:r>
      <w:r>
        <w:rPr>
          <w:rFonts w:ascii="SimSun" w:hAnsi="SimSun" w:eastAsia="SimSun" w:cs="SimSun"/>
          <w:sz w:val="21"/>
          <w:szCs w:val="21"/>
        </w:rPr>
        <w:t xml:space="preserve">  </w:t>
      </w:r>
      <w:r>
        <w:rPr>
          <w:rFonts w:ascii="SimSun" w:hAnsi="SimSun" w:eastAsia="SimSun" w:cs="SimSun"/>
          <w:sz w:val="21"/>
          <w:szCs w:val="21"/>
          <w:spacing w:val="-1"/>
        </w:rPr>
        <w:t>月，造成其在天猫平台的20万台备货形成积压。2020年6月，格兰 </w:t>
      </w:r>
      <w:r>
        <w:rPr>
          <w:rFonts w:ascii="SimSun" w:hAnsi="SimSun" w:eastAsia="SimSun" w:cs="SimSun"/>
          <w:sz w:val="21"/>
          <w:szCs w:val="21"/>
          <w:spacing w:val="-12"/>
        </w:rPr>
        <w:t>仕向广州知识产权法院申请撤诉并得到批准。</w:t>
      </w:r>
    </w:p>
    <w:p>
      <w:pPr>
        <w:ind w:right="37" w:firstLine="420"/>
        <w:spacing w:before="108" w:line="303" w:lineRule="auto"/>
        <w:jc w:val="both"/>
        <w:rPr>
          <w:rFonts w:ascii="SimSun" w:hAnsi="SimSun" w:eastAsia="SimSun" w:cs="SimSun"/>
          <w:sz w:val="21"/>
          <w:szCs w:val="21"/>
        </w:rPr>
      </w:pPr>
      <w:r>
        <w:rPr>
          <w:rFonts w:ascii="SimSun" w:hAnsi="SimSun" w:eastAsia="SimSun" w:cs="SimSun"/>
          <w:sz w:val="21"/>
          <w:szCs w:val="21"/>
          <w:spacing w:val="-3"/>
        </w:rPr>
        <w:t>2011年奇虎与腾讯的反垄断案，针对腾讯所实施的“产品不兼</w:t>
      </w:r>
      <w:r>
        <w:rPr>
          <w:rFonts w:ascii="SimSun" w:hAnsi="SimSun" w:eastAsia="SimSun" w:cs="SimSun"/>
          <w:sz w:val="21"/>
          <w:szCs w:val="21"/>
          <w:spacing w:val="14"/>
        </w:rPr>
        <w:t xml:space="preserve"> </w:t>
      </w:r>
      <w:r>
        <w:rPr>
          <w:rFonts w:ascii="SimSun" w:hAnsi="SimSun" w:eastAsia="SimSun" w:cs="SimSun"/>
          <w:sz w:val="21"/>
          <w:szCs w:val="21"/>
          <w:spacing w:val="3"/>
        </w:rPr>
        <w:t>容”行为(用户“二选一”)是否构成《反垄断法》禁止的限定交</w:t>
      </w:r>
      <w:r>
        <w:rPr>
          <w:rFonts w:ascii="SimSun" w:hAnsi="SimSun" w:eastAsia="SimSun" w:cs="SimSun"/>
          <w:sz w:val="21"/>
          <w:szCs w:val="21"/>
          <w:spacing w:val="11"/>
        </w:rPr>
        <w:t xml:space="preserve"> </w:t>
      </w:r>
      <w:r>
        <w:rPr>
          <w:rFonts w:ascii="SimSun" w:hAnsi="SimSun" w:eastAsia="SimSun" w:cs="SimSun"/>
          <w:sz w:val="21"/>
          <w:szCs w:val="21"/>
          <w:spacing w:val="-3"/>
        </w:rPr>
        <w:t>易行为，法院最终认为，虽然腾讯实施的“产</w:t>
      </w:r>
      <w:r>
        <w:rPr>
          <w:rFonts w:ascii="SimSun" w:hAnsi="SimSun" w:eastAsia="SimSun" w:cs="SimSun"/>
          <w:sz w:val="21"/>
          <w:szCs w:val="21"/>
          <w:spacing w:val="-4"/>
        </w:rPr>
        <w:t>品不兼容”行为对用</w:t>
      </w:r>
      <w:r>
        <w:rPr>
          <w:rFonts w:ascii="SimSun" w:hAnsi="SimSun" w:eastAsia="SimSun" w:cs="SimSun"/>
          <w:sz w:val="21"/>
          <w:szCs w:val="21"/>
        </w:rPr>
        <w:t xml:space="preserve"> </w:t>
      </w:r>
      <w:r>
        <w:rPr>
          <w:rFonts w:ascii="SimSun" w:hAnsi="SimSun" w:eastAsia="SimSun" w:cs="SimSun"/>
          <w:sz w:val="21"/>
          <w:szCs w:val="21"/>
          <w:spacing w:val="-4"/>
        </w:rPr>
        <w:t>户造成了不便，但是并未导致排除或者限制竞争的明显效果，即腾</w:t>
      </w:r>
      <w:r>
        <w:rPr>
          <w:rFonts w:ascii="SimSun" w:hAnsi="SimSun" w:eastAsia="SimSun" w:cs="SimSun"/>
          <w:sz w:val="21"/>
          <w:szCs w:val="21"/>
          <w:spacing w:val="4"/>
        </w:rPr>
        <w:t xml:space="preserve"> </w:t>
      </w:r>
      <w:r>
        <w:rPr>
          <w:rFonts w:ascii="SimSun" w:hAnsi="SimSun" w:eastAsia="SimSun" w:cs="SimSun"/>
          <w:sz w:val="21"/>
          <w:szCs w:val="21"/>
          <w:spacing w:val="-4"/>
        </w:rPr>
        <w:t>讯实施的“产品不兼容”行为不构成《反垄断法》所禁止的滥用市</w:t>
      </w:r>
      <w:r>
        <w:rPr>
          <w:rFonts w:ascii="SimSun" w:hAnsi="SimSun" w:eastAsia="SimSun" w:cs="SimSun"/>
          <w:sz w:val="21"/>
          <w:szCs w:val="21"/>
          <w:spacing w:val="7"/>
        </w:rPr>
        <w:t xml:space="preserve"> </w:t>
      </w:r>
      <w:r>
        <w:rPr>
          <w:rFonts w:ascii="SimSun" w:hAnsi="SimSun" w:eastAsia="SimSun" w:cs="SimSun"/>
          <w:sz w:val="21"/>
          <w:szCs w:val="21"/>
          <w:spacing w:val="-3"/>
        </w:rPr>
        <w:t>场支配地位行为。该案在业界引发“互联网领域不存在垄</w:t>
      </w:r>
      <w:r>
        <w:rPr>
          <w:rFonts w:ascii="SimSun" w:hAnsi="SimSun" w:eastAsia="SimSun" w:cs="SimSun"/>
          <w:sz w:val="21"/>
          <w:szCs w:val="21"/>
          <w:spacing w:val="-4"/>
        </w:rPr>
        <w:t>断”的误</w:t>
      </w:r>
      <w:r>
        <w:rPr>
          <w:rFonts w:ascii="SimSun" w:hAnsi="SimSun" w:eastAsia="SimSun" w:cs="SimSun"/>
          <w:sz w:val="21"/>
          <w:szCs w:val="21"/>
        </w:rPr>
        <w:t xml:space="preserve"> </w:t>
      </w:r>
      <w:r>
        <w:rPr>
          <w:rFonts w:ascii="SimSun" w:hAnsi="SimSun" w:eastAsia="SimSun" w:cs="SimSun"/>
          <w:sz w:val="21"/>
          <w:szCs w:val="21"/>
          <w:spacing w:val="-4"/>
        </w:rPr>
        <w:t>读，在很大程度上助长了互联网领域滥用市场支配地位的行为。此</w:t>
      </w:r>
    </w:p>
    <w:p>
      <w:pPr>
        <w:spacing w:line="303" w:lineRule="auto"/>
        <w:sectPr>
          <w:headerReference w:type="default" r:id="rId515"/>
          <w:pgSz w:w="7330" w:h="12480"/>
          <w:pgMar w:top="829" w:right="634" w:bottom="400" w:left="639" w:header="653" w:footer="0" w:gutter="0"/>
        </w:sectPr>
        <w:rPr>
          <w:rFonts w:ascii="SimSun" w:hAnsi="SimSun" w:eastAsia="SimSun" w:cs="SimSun"/>
          <w:sz w:val="21"/>
          <w:szCs w:val="21"/>
        </w:rPr>
      </w:pPr>
    </w:p>
    <w:p>
      <w:pPr>
        <w:spacing w:line="220" w:lineRule="auto"/>
        <w:rPr>
          <w:rFonts w:ascii="SimHei" w:hAnsi="SimHei" w:eastAsia="SimHei" w:cs="SimHei"/>
          <w:sz w:val="20"/>
          <w:szCs w:val="20"/>
        </w:rPr>
      </w:pPr>
      <w:r>
        <w:drawing>
          <wp:anchor distT="0" distB="0" distL="0" distR="0" simplePos="0" relativeHeight="256167936" behindDoc="0" locked="0" layoutInCell="0" allowOverlap="1">
            <wp:simplePos x="0" y="0"/>
            <wp:positionH relativeFrom="page">
              <wp:posOffset>501667</wp:posOffset>
            </wp:positionH>
            <wp:positionV relativeFrom="page">
              <wp:posOffset>6172225</wp:posOffset>
            </wp:positionV>
            <wp:extent cx="1181092" cy="6350"/>
            <wp:effectExtent l="0" t="0" r="0" b="0"/>
            <wp:wrapNone/>
            <wp:docPr id="386" name="IM 386"/>
            <wp:cNvGraphicFramePr/>
            <a:graphic>
              <a:graphicData uri="http://schemas.openxmlformats.org/drawingml/2006/picture">
                <pic:pic>
                  <pic:nvPicPr>
                    <pic:cNvPr id="386" name="IM 386"/>
                    <pic:cNvPicPr/>
                  </pic:nvPicPr>
                  <pic:blipFill>
                    <a:blip r:embed="rId516"/>
                    <a:stretch>
                      <a:fillRect/>
                    </a:stretch>
                  </pic:blipFill>
                  <pic:spPr>
                    <a:xfrm rot="0">
                      <a:off x="0" y="0"/>
                      <a:ext cx="1181092" cy="6350"/>
                    </a:xfrm>
                    <a:prstGeom prst="rect">
                      <a:avLst/>
                    </a:prstGeom>
                  </pic:spPr>
                </pic:pic>
              </a:graphicData>
            </a:graphic>
          </wp:anchor>
        </w:drawing>
      </w:r>
      <w:r>
        <w:rPr>
          <w:rFonts w:ascii="SimSun" w:hAnsi="SimSun" w:eastAsia="SimSun" w:cs="SimSun"/>
          <w:sz w:val="12"/>
          <w:szCs w:val="12"/>
          <w:spacing w:val="-1"/>
          <w:position w:val="-2"/>
        </w:rPr>
        <w:t>430                     </w:t>
      </w:r>
      <w:r>
        <w:rPr>
          <w:rFonts w:ascii="SimSun" w:hAnsi="SimSun" w:eastAsia="SimSun" w:cs="SimSun"/>
          <w:sz w:val="12"/>
          <w:szCs w:val="12"/>
          <w:spacing w:val="-2"/>
          <w:position w:val="-2"/>
        </w:rPr>
        <w:t xml:space="preserve">         </w:t>
      </w:r>
      <w:r>
        <w:rPr>
          <w:rFonts w:ascii="SimHei" w:hAnsi="SimHei" w:eastAsia="SimHei" w:cs="SimHei"/>
          <w:sz w:val="20"/>
          <w:szCs w:val="20"/>
          <w:spacing w:val="-17"/>
          <w:w w:val="86"/>
        </w:rPr>
        <w:t>平台经济——创新、治理与繁荣</w:t>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spacing w:before="65" w:line="322" w:lineRule="auto"/>
        <w:jc w:val="both"/>
        <w:rPr>
          <w:rFonts w:ascii="SimSun" w:hAnsi="SimSun" w:eastAsia="SimSun" w:cs="SimSun"/>
          <w:sz w:val="22"/>
          <w:szCs w:val="22"/>
        </w:rPr>
      </w:pPr>
      <w:r>
        <w:rPr>
          <w:rFonts w:ascii="SimSun" w:hAnsi="SimSun" w:eastAsia="SimSun" w:cs="SimSun"/>
          <w:sz w:val="20"/>
          <w:szCs w:val="20"/>
          <w:spacing w:val="5"/>
        </w:rPr>
        <w:t>后互联网平台广泛使用限定交易的方式，排除、限制竞争。2017年</w:t>
      </w:r>
      <w:r>
        <w:rPr>
          <w:rFonts w:ascii="SimSun" w:hAnsi="SimSun" w:eastAsia="SimSun" w:cs="SimSun"/>
          <w:sz w:val="20"/>
          <w:szCs w:val="20"/>
          <w:spacing w:val="6"/>
        </w:rPr>
        <w:t xml:space="preserve">  </w:t>
      </w:r>
      <w:r>
        <w:rPr>
          <w:rFonts w:ascii="SimSun" w:hAnsi="SimSun" w:eastAsia="SimSun" w:cs="SimSun"/>
          <w:sz w:val="20"/>
          <w:szCs w:val="20"/>
          <w:spacing w:val="5"/>
        </w:rPr>
        <w:t>6月12日，浙江省金华市市场监管局对美团网利用自身优势，阻碍、</w:t>
      </w:r>
      <w:r>
        <w:rPr>
          <w:rFonts w:ascii="SimSun" w:hAnsi="SimSun" w:eastAsia="SimSun" w:cs="SimSun"/>
          <w:sz w:val="20"/>
          <w:szCs w:val="20"/>
          <w:spacing w:val="4"/>
        </w:rPr>
        <w:t xml:space="preserve"> </w:t>
      </w:r>
      <w:r>
        <w:rPr>
          <w:rFonts w:ascii="SimSun" w:hAnsi="SimSun" w:eastAsia="SimSun" w:cs="SimSun"/>
          <w:sz w:val="20"/>
          <w:szCs w:val="20"/>
          <w:spacing w:val="5"/>
        </w:rPr>
        <w:t>胁迫他人与竞争对手发生正常交易的行为处罚52.6万元，但此次交</w:t>
      </w:r>
      <w:r>
        <w:rPr>
          <w:rFonts w:ascii="SimSun" w:hAnsi="SimSun" w:eastAsia="SimSun" w:cs="SimSun"/>
          <w:sz w:val="20"/>
          <w:szCs w:val="20"/>
          <w:spacing w:val="6"/>
        </w:rPr>
        <w:t xml:space="preserve">  </w:t>
      </w:r>
      <w:r>
        <w:rPr>
          <w:rFonts w:ascii="SimSun" w:hAnsi="SimSun" w:eastAsia="SimSun" w:cs="SimSun"/>
          <w:sz w:val="20"/>
          <w:szCs w:val="20"/>
          <w:spacing w:val="9"/>
        </w:rPr>
        <w:t>易处罚是以不正当竞争为由，未在反垄断限定交易的框架下</w:t>
      </w:r>
      <w:r>
        <w:rPr>
          <w:rFonts w:ascii="SimSun" w:hAnsi="SimSun" w:eastAsia="SimSun" w:cs="SimSun"/>
          <w:sz w:val="20"/>
          <w:szCs w:val="20"/>
          <w:spacing w:val="8"/>
        </w:rPr>
        <w:t>处理。</w:t>
      </w:r>
      <w:r>
        <w:rPr>
          <w:rFonts w:ascii="SimSun" w:hAnsi="SimSun" w:eastAsia="SimSun" w:cs="SimSun"/>
          <w:sz w:val="20"/>
          <w:szCs w:val="20"/>
        </w:rPr>
        <w:t xml:space="preserve"> </w:t>
      </w:r>
      <w:r>
        <w:rPr>
          <w:rFonts w:ascii="SimSun" w:hAnsi="SimSun" w:eastAsia="SimSun" w:cs="SimSun"/>
          <w:sz w:val="20"/>
          <w:szCs w:val="20"/>
          <w:spacing w:val="12"/>
        </w:rPr>
        <w:t>2021年2月7日《国务院反垄断委员会关于平台经济领</w:t>
      </w:r>
      <w:r>
        <w:rPr>
          <w:rFonts w:ascii="SimSun" w:hAnsi="SimSun" w:eastAsia="SimSun" w:cs="SimSun"/>
          <w:sz w:val="20"/>
          <w:szCs w:val="20"/>
          <w:spacing w:val="11"/>
        </w:rPr>
        <w:t>域的反垄断</w:t>
      </w:r>
      <w:r>
        <w:rPr>
          <w:rFonts w:ascii="SimSun" w:hAnsi="SimSun" w:eastAsia="SimSun" w:cs="SimSun"/>
          <w:sz w:val="20"/>
          <w:szCs w:val="20"/>
        </w:rPr>
        <w:t xml:space="preserve">  </w:t>
      </w:r>
      <w:r>
        <w:rPr>
          <w:rFonts w:ascii="SimSun" w:hAnsi="SimSun" w:eastAsia="SimSun" w:cs="SimSun"/>
          <w:sz w:val="20"/>
          <w:szCs w:val="20"/>
          <w:spacing w:val="2"/>
        </w:rPr>
        <w:t>指南》出台，其中第十五条专门针对“二选一”进行了规定。随后，</w:t>
      </w:r>
      <w:r>
        <w:rPr>
          <w:rFonts w:ascii="SimSun" w:hAnsi="SimSun" w:eastAsia="SimSun" w:cs="SimSun"/>
          <w:sz w:val="20"/>
          <w:szCs w:val="20"/>
        </w:rPr>
        <w:t xml:space="preserve"> </w:t>
      </w:r>
      <w:r>
        <w:rPr>
          <w:rFonts w:ascii="SimSun" w:hAnsi="SimSun" w:eastAsia="SimSun" w:cs="SimSun"/>
          <w:sz w:val="22"/>
          <w:szCs w:val="22"/>
          <w:spacing w:val="7"/>
        </w:rPr>
        <w:t>市场监管总局分别于2021年4月10日、2021年10月8日，对阿 </w:t>
      </w:r>
      <w:r>
        <w:rPr>
          <w:rFonts w:ascii="SimSun" w:hAnsi="SimSun" w:eastAsia="SimSun" w:cs="SimSun"/>
          <w:sz w:val="22"/>
          <w:szCs w:val="22"/>
          <w:spacing w:val="-14"/>
        </w:rPr>
        <w:t>里巴巴、美团的“二选一”行为做出行政处罚，要求停止实施“二 </w:t>
      </w:r>
      <w:r>
        <w:rPr>
          <w:rFonts w:ascii="SimSun" w:hAnsi="SimSun" w:eastAsia="SimSun" w:cs="SimSun"/>
          <w:sz w:val="22"/>
          <w:szCs w:val="22"/>
          <w:spacing w:val="-8"/>
        </w:rPr>
        <w:t>选一”行为，并对阿里巴巴、美团分别处以182.28亿元、34.42亿</w:t>
      </w:r>
    </w:p>
    <w:p>
      <w:pPr>
        <w:spacing w:line="220" w:lineRule="auto"/>
        <w:rPr>
          <w:rFonts w:ascii="SimSun" w:hAnsi="SimSun" w:eastAsia="SimSun" w:cs="SimSun"/>
          <w:sz w:val="20"/>
          <w:szCs w:val="20"/>
        </w:rPr>
      </w:pPr>
      <w:r>
        <w:rPr>
          <w:rFonts w:ascii="SimSun" w:hAnsi="SimSun" w:eastAsia="SimSun" w:cs="SimSun"/>
          <w:sz w:val="20"/>
          <w:szCs w:val="20"/>
          <w:spacing w:val="-2"/>
        </w:rPr>
        <w:t>元的罚款。</w:t>
      </w:r>
    </w:p>
    <w:p>
      <w:pPr>
        <w:ind w:right="71" w:firstLine="409"/>
        <w:spacing w:before="119" w:line="333" w:lineRule="auto"/>
        <w:jc w:val="both"/>
        <w:rPr>
          <w:rFonts w:ascii="SimSun" w:hAnsi="SimSun" w:eastAsia="SimSun" w:cs="SimSun"/>
          <w:sz w:val="20"/>
          <w:szCs w:val="20"/>
        </w:rPr>
      </w:pPr>
      <w:r>
        <w:rPr>
          <w:rFonts w:ascii="SimSun" w:hAnsi="SimSun" w:eastAsia="SimSun" w:cs="SimSun"/>
          <w:sz w:val="20"/>
          <w:szCs w:val="20"/>
          <w:spacing w:val="6"/>
        </w:rPr>
        <w:t>梳理我国互联网平台限定交易的商业实践、司法案例和行政处</w:t>
      </w:r>
      <w:r>
        <w:rPr>
          <w:rFonts w:ascii="SimSun" w:hAnsi="SimSun" w:eastAsia="SimSun" w:cs="SimSun"/>
          <w:sz w:val="20"/>
          <w:szCs w:val="20"/>
          <w:spacing w:val="15"/>
        </w:rPr>
        <w:t xml:space="preserve"> </w:t>
      </w:r>
      <w:r>
        <w:rPr>
          <w:rFonts w:ascii="SimSun" w:hAnsi="SimSun" w:eastAsia="SimSun" w:cs="SimSun"/>
          <w:sz w:val="20"/>
          <w:szCs w:val="20"/>
          <w:spacing w:val="-1"/>
        </w:rPr>
        <w:t>罚可以发现，对于平台限定交易的行为规制依据主要集中在《反垄断</w:t>
      </w:r>
      <w:r>
        <w:rPr>
          <w:rFonts w:ascii="SimSun" w:hAnsi="SimSun" w:eastAsia="SimSun" w:cs="SimSun"/>
          <w:sz w:val="20"/>
          <w:szCs w:val="20"/>
          <w:spacing w:val="12"/>
        </w:rPr>
        <w:t xml:space="preserve"> </w:t>
      </w:r>
      <w:r>
        <w:rPr>
          <w:rFonts w:ascii="SimSun" w:hAnsi="SimSun" w:eastAsia="SimSun" w:cs="SimSun"/>
          <w:sz w:val="20"/>
          <w:szCs w:val="20"/>
          <w:spacing w:val="2"/>
        </w:rPr>
        <w:t>法》和《反不正当竞争法》,但两部法律对此问题尚未厘清，在实践</w:t>
      </w:r>
    </w:p>
    <w:p>
      <w:pPr>
        <w:spacing w:line="220" w:lineRule="auto"/>
        <w:rPr>
          <w:rFonts w:ascii="SimSun" w:hAnsi="SimSun" w:eastAsia="SimSun" w:cs="SimSun"/>
          <w:sz w:val="20"/>
          <w:szCs w:val="20"/>
        </w:rPr>
      </w:pPr>
      <w:r>
        <w:rPr>
          <w:rFonts w:ascii="SimSun" w:hAnsi="SimSun" w:eastAsia="SimSun" w:cs="SimSun"/>
          <w:sz w:val="20"/>
          <w:szCs w:val="20"/>
          <w:spacing w:val="-5"/>
        </w:rPr>
        <w:t>中较为混乱。</w:t>
      </w:r>
    </w:p>
    <w:p>
      <w:pPr>
        <w:ind w:right="50" w:firstLine="429"/>
        <w:spacing w:before="122" w:line="332" w:lineRule="auto"/>
        <w:jc w:val="both"/>
        <w:rPr>
          <w:rFonts w:ascii="SimSun" w:hAnsi="SimSun" w:eastAsia="SimSun" w:cs="SimSun"/>
          <w:sz w:val="20"/>
          <w:szCs w:val="20"/>
        </w:rPr>
      </w:pPr>
      <w:r>
        <w:rPr>
          <w:rFonts w:ascii="SimSun" w:hAnsi="SimSun" w:eastAsia="SimSun" w:cs="SimSun"/>
          <w:sz w:val="20"/>
          <w:szCs w:val="20"/>
          <w:spacing w:val="6"/>
        </w:rPr>
        <w:t>除此之外，在反垄断法框架下分析互联网平台限定交易的行为</w:t>
      </w:r>
      <w:r>
        <w:rPr>
          <w:rFonts w:ascii="SimSun" w:hAnsi="SimSun" w:eastAsia="SimSun" w:cs="SimSun"/>
          <w:sz w:val="20"/>
          <w:szCs w:val="20"/>
          <w:spacing w:val="17"/>
        </w:rPr>
        <w:t xml:space="preserve"> </w:t>
      </w:r>
      <w:r>
        <w:rPr>
          <w:rFonts w:ascii="SimSun" w:hAnsi="SimSun" w:eastAsia="SimSun" w:cs="SimSun"/>
          <w:sz w:val="20"/>
          <w:szCs w:val="20"/>
          <w:spacing w:val="-1"/>
        </w:rPr>
        <w:t>时，需要分析行为是否产生限制或排除竞争的效果，此时需要综合考</w:t>
      </w:r>
      <w:r>
        <w:rPr>
          <w:rFonts w:ascii="SimSun" w:hAnsi="SimSun" w:eastAsia="SimSun" w:cs="SimSun"/>
          <w:sz w:val="20"/>
          <w:szCs w:val="20"/>
          <w:spacing w:val="11"/>
        </w:rPr>
        <w:t xml:space="preserve"> </w:t>
      </w:r>
      <w:r>
        <w:rPr>
          <w:rFonts w:ascii="SimSun" w:hAnsi="SimSun" w:eastAsia="SimSun" w:cs="SimSun"/>
          <w:sz w:val="20"/>
          <w:szCs w:val="20"/>
          <w:spacing w:val="-1"/>
        </w:rPr>
        <w:t>虑对竞争对手的影响、对消费者福利和竞争的损害。①首先，对现有</w:t>
      </w:r>
      <w:r>
        <w:rPr>
          <w:rFonts w:ascii="SimSun" w:hAnsi="SimSun" w:eastAsia="SimSun" w:cs="SimSun"/>
          <w:sz w:val="20"/>
          <w:szCs w:val="20"/>
        </w:rPr>
        <w:t xml:space="preserve"> </w:t>
      </w:r>
      <w:r>
        <w:rPr>
          <w:rFonts w:ascii="SimSun" w:hAnsi="SimSun" w:eastAsia="SimSun" w:cs="SimSun"/>
          <w:sz w:val="20"/>
          <w:szCs w:val="20"/>
          <w:spacing w:val="-1"/>
        </w:rPr>
        <w:t>竞争对手的排斥，平台企业通过独家交易限制经营者用户成为其</w:t>
      </w:r>
      <w:r>
        <w:rPr>
          <w:rFonts w:ascii="SimSun" w:hAnsi="SimSun" w:eastAsia="SimSun" w:cs="SimSun"/>
          <w:sz w:val="20"/>
          <w:szCs w:val="20"/>
          <w:spacing w:val="-2"/>
        </w:rPr>
        <w:t>他平</w:t>
      </w:r>
      <w:r>
        <w:rPr>
          <w:rFonts w:ascii="SimSun" w:hAnsi="SimSun" w:eastAsia="SimSun" w:cs="SimSun"/>
          <w:sz w:val="20"/>
          <w:szCs w:val="20"/>
        </w:rPr>
        <w:t xml:space="preserve"> </w:t>
      </w:r>
      <w:r>
        <w:rPr>
          <w:rFonts w:ascii="SimSun" w:hAnsi="SimSun" w:eastAsia="SimSun" w:cs="SimSun"/>
          <w:sz w:val="20"/>
          <w:szCs w:val="20"/>
          <w:spacing w:val="-1"/>
        </w:rPr>
        <w:t>台的用户，使自己的平台形成了相对封闭的销售网络和用户群，促进</w:t>
      </w:r>
      <w:r>
        <w:rPr>
          <w:rFonts w:ascii="SimSun" w:hAnsi="SimSun" w:eastAsia="SimSun" w:cs="SimSun"/>
          <w:sz w:val="20"/>
          <w:szCs w:val="20"/>
          <w:spacing w:val="5"/>
        </w:rPr>
        <w:t xml:space="preserve"> </w:t>
      </w:r>
      <w:r>
        <w:rPr>
          <w:rFonts w:ascii="SimSun" w:hAnsi="SimSun" w:eastAsia="SimSun" w:cs="SimSun"/>
          <w:sz w:val="20"/>
          <w:szCs w:val="20"/>
          <w:spacing w:val="-1"/>
        </w:rPr>
        <w:t>了平台用户单归属倾向的形成。基于平台产品的锁定效应，用户要选</w:t>
      </w:r>
      <w:r>
        <w:rPr>
          <w:rFonts w:ascii="SimSun" w:hAnsi="SimSun" w:eastAsia="SimSun" w:cs="SimSun"/>
          <w:sz w:val="20"/>
          <w:szCs w:val="20"/>
          <w:spacing w:val="3"/>
        </w:rPr>
        <w:t xml:space="preserve"> </w:t>
      </w:r>
      <w:r>
        <w:rPr>
          <w:rFonts w:ascii="SimSun" w:hAnsi="SimSun" w:eastAsia="SimSun" w:cs="SimSun"/>
          <w:sz w:val="20"/>
          <w:szCs w:val="20"/>
        </w:rPr>
        <w:t>择其他平台产品就需要付出较高的转换成本</w:t>
      </w:r>
      <w:r>
        <w:rPr>
          <w:rFonts w:ascii="SimSun" w:hAnsi="SimSun" w:eastAsia="SimSun" w:cs="SimSun"/>
          <w:sz w:val="20"/>
          <w:szCs w:val="20"/>
          <w:spacing w:val="-1"/>
        </w:rPr>
        <w:t>，这会降低用户多归属的</w:t>
      </w:r>
    </w:p>
    <w:p>
      <w:pPr>
        <w:spacing w:before="1" w:line="218" w:lineRule="auto"/>
        <w:rPr>
          <w:rFonts w:ascii="SimSun" w:hAnsi="SimSun" w:eastAsia="SimSun" w:cs="SimSun"/>
          <w:sz w:val="20"/>
          <w:szCs w:val="20"/>
        </w:rPr>
      </w:pPr>
      <w:r>
        <w:rPr>
          <w:rFonts w:ascii="SimSun" w:hAnsi="SimSun" w:eastAsia="SimSun" w:cs="SimSun"/>
          <w:sz w:val="20"/>
          <w:szCs w:val="20"/>
        </w:rPr>
        <w:t>动机，从而形成较高的市场进入壁垒。其次，</w:t>
      </w:r>
      <w:r>
        <w:rPr>
          <w:rFonts w:ascii="SimSun" w:hAnsi="SimSun" w:eastAsia="SimSun" w:cs="SimSun"/>
          <w:sz w:val="20"/>
          <w:szCs w:val="20"/>
          <w:spacing w:val="-1"/>
        </w:rPr>
        <w:t>限定交易导致经营者用</w:t>
      </w:r>
    </w:p>
    <w:p>
      <w:pPr>
        <w:pStyle w:val="BodyText"/>
        <w:spacing w:line="412" w:lineRule="auto"/>
        <w:rPr/>
      </w:pPr>
      <w:r/>
    </w:p>
    <w:p>
      <w:pPr>
        <w:ind w:left="299" w:right="19" w:hanging="299"/>
        <w:spacing w:before="66" w:line="238" w:lineRule="auto"/>
        <w:rPr>
          <w:rFonts w:ascii="Times New Roman" w:hAnsi="Times New Roman" w:eastAsia="Times New Roman" w:cs="Times New Roman"/>
          <w:sz w:val="20"/>
          <w:szCs w:val="20"/>
        </w:rPr>
      </w:pPr>
      <w:r>
        <w:rPr>
          <w:rFonts w:ascii="SimSun" w:hAnsi="SimSun" w:eastAsia="SimSun" w:cs="SimSun"/>
          <w:sz w:val="20"/>
          <w:szCs w:val="20"/>
          <w:spacing w:val="-6"/>
        </w:rPr>
        <w:t>① </w:t>
      </w:r>
      <w:r>
        <w:rPr>
          <w:rFonts w:ascii="Times New Roman" w:hAnsi="Times New Roman" w:eastAsia="Times New Roman" w:cs="Times New Roman"/>
          <w:sz w:val="20"/>
          <w:szCs w:val="20"/>
          <w:spacing w:val="-6"/>
        </w:rPr>
        <w:t>J.M.Jacobson,“Exclusi</w:t>
      </w:r>
      <w:r>
        <w:rPr>
          <w:rFonts w:ascii="Times New Roman" w:hAnsi="Times New Roman" w:eastAsia="Times New Roman" w:cs="Times New Roman"/>
          <w:sz w:val="20"/>
          <w:szCs w:val="20"/>
          <w:spacing w:val="-7"/>
        </w:rPr>
        <w:t>ve Dealing,Foreclosure,and Consumer Harm”,Antirust </w:t>
      </w:r>
      <w:r>
        <w:rPr>
          <w:rFonts w:ascii="Times New Roman" w:hAnsi="Times New Roman" w:eastAsia="Times New Roman" w:cs="Times New Roman"/>
          <w:sz w:val="20"/>
          <w:szCs w:val="20"/>
          <w:spacing w:val="-1"/>
        </w:rPr>
        <w:t>Law Journal,2002,70(2):311-369;H.Hovenkamp,“Antitrust an</w:t>
      </w:r>
      <w:r>
        <w:rPr>
          <w:rFonts w:ascii="Times New Roman" w:hAnsi="Times New Roman" w:eastAsia="Times New Roman" w:cs="Times New Roman"/>
          <w:sz w:val="20"/>
          <w:szCs w:val="20"/>
          <w:spacing w:val="-2"/>
        </w:rPr>
        <w:t>d Platform</w:t>
      </w:r>
    </w:p>
    <w:p>
      <w:pPr>
        <w:ind w:right="15"/>
        <w:spacing w:before="85" w:line="192"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i/>
          <w:iCs/>
          <w:w w:val="96"/>
        </w:rPr>
        <w:t>Monopoly",The</w:t>
      </w:r>
      <w:r>
        <w:rPr>
          <w:rFonts w:ascii="Times New Roman" w:hAnsi="Times New Roman" w:eastAsia="Times New Roman" w:cs="Times New Roman"/>
          <w:sz w:val="20"/>
          <w:szCs w:val="20"/>
          <w:i/>
          <w:iCs/>
          <w:spacing w:val="15"/>
        </w:rPr>
        <w:t xml:space="preserve"> </w:t>
      </w:r>
      <w:r>
        <w:rPr>
          <w:rFonts w:ascii="Times New Roman" w:hAnsi="Times New Roman" w:eastAsia="Times New Roman" w:cs="Times New Roman"/>
          <w:sz w:val="20"/>
          <w:szCs w:val="20"/>
          <w:i/>
          <w:iCs/>
          <w:w w:val="96"/>
        </w:rPr>
        <w:t>Yale Law Journal,20</w:t>
      </w:r>
      <w:r>
        <w:rPr>
          <w:rFonts w:ascii="Times New Roman" w:hAnsi="Times New Roman" w:eastAsia="Times New Roman" w:cs="Times New Roman"/>
          <w:sz w:val="20"/>
          <w:szCs w:val="20"/>
          <w:i/>
          <w:iCs/>
          <w:spacing w:val="-1"/>
          <w:w w:val="96"/>
        </w:rPr>
        <w:t>20,130(8):1952-2273;T.Doganoglu,J.</w:t>
      </w:r>
    </w:p>
    <w:p>
      <w:pPr>
        <w:ind w:left="299"/>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w w:val="94"/>
        </w:rPr>
        <w:t>Wright,“Exclusive Dealing with</w:t>
      </w:r>
      <w:r>
        <w:rPr>
          <w:rFonts w:ascii="Times New Roman" w:hAnsi="Times New Roman" w:eastAsia="Times New Roman" w:cs="Times New Roman"/>
          <w:sz w:val="20"/>
          <w:szCs w:val="20"/>
          <w:spacing w:val="-8"/>
          <w:w w:val="94"/>
        </w:rPr>
        <w:t xml:space="preserve"> Network Effects”,International Journal of</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8"/>
          <w:w w:val="94"/>
        </w:rPr>
        <w:t>Industrial</w:t>
      </w:r>
    </w:p>
    <w:p>
      <w:pPr>
        <w:ind w:left="297"/>
        <w:spacing w:before="72" w:line="205" w:lineRule="auto"/>
        <w:rPr>
          <w:rFonts w:ascii="SimSun" w:hAnsi="SimSun" w:eastAsia="SimSun" w:cs="SimSun"/>
          <w:sz w:val="21"/>
          <w:szCs w:val="21"/>
        </w:rPr>
      </w:pPr>
      <w:r>
        <w:rPr>
          <w:rFonts w:ascii="SimSun" w:hAnsi="SimSun" w:eastAsia="SimSun" w:cs="SimSun"/>
          <w:sz w:val="21"/>
          <w:szCs w:val="21"/>
          <w:i/>
          <w:iCs/>
          <w:spacing w:val="-23"/>
          <w:w w:val="94"/>
        </w:rPr>
        <w:t>Organization,2010,28(2):145-154.</w:t>
      </w:r>
    </w:p>
    <w:p>
      <w:pPr>
        <w:spacing w:line="205" w:lineRule="auto"/>
        <w:sectPr>
          <w:headerReference w:type="default" r:id="rId1"/>
          <w:pgSz w:w="7330" w:h="12480"/>
          <w:pgMar w:top="336" w:right="479" w:bottom="400" w:left="790" w:header="0" w:footer="0" w:gutter="0"/>
        </w:sectPr>
        <w:rPr>
          <w:rFonts w:ascii="SimSun" w:hAnsi="SimSun" w:eastAsia="SimSun" w:cs="SimSun"/>
          <w:sz w:val="21"/>
          <w:szCs w:val="21"/>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right="112"/>
        <w:spacing w:before="61" w:line="350" w:lineRule="auto"/>
        <w:jc w:val="both"/>
        <w:rPr>
          <w:rFonts w:ascii="SimSun" w:hAnsi="SimSun" w:eastAsia="SimSun" w:cs="SimSun"/>
          <w:sz w:val="19"/>
          <w:szCs w:val="19"/>
        </w:rPr>
      </w:pPr>
      <w:r>
        <w:rPr>
          <w:rFonts w:ascii="SimSun" w:hAnsi="SimSun" w:eastAsia="SimSun" w:cs="SimSun"/>
          <w:sz w:val="19"/>
          <w:szCs w:val="19"/>
          <w:spacing w:val="9"/>
        </w:rPr>
        <w:t>户被限制而减少消费者的选择自由，降低消费者福利；同时，限定交 </w:t>
      </w:r>
      <w:r>
        <w:rPr>
          <w:rFonts w:ascii="SimSun" w:hAnsi="SimSun" w:eastAsia="SimSun" w:cs="SimSun"/>
          <w:sz w:val="19"/>
          <w:szCs w:val="19"/>
          <w:spacing w:val="12"/>
        </w:rPr>
        <w:t>易进一步强化了平台的市场支配地位，消费者可能支付</w:t>
      </w:r>
      <w:r>
        <w:rPr>
          <w:rFonts w:ascii="SimSun" w:hAnsi="SimSun" w:eastAsia="SimSun" w:cs="SimSun"/>
          <w:sz w:val="19"/>
          <w:szCs w:val="19"/>
          <w:spacing w:val="11"/>
        </w:rPr>
        <w:t>更高的价格。</w:t>
      </w:r>
      <w:r>
        <w:rPr>
          <w:rFonts w:ascii="SimSun" w:hAnsi="SimSun" w:eastAsia="SimSun" w:cs="SimSun"/>
          <w:sz w:val="19"/>
          <w:szCs w:val="19"/>
        </w:rPr>
        <w:t xml:space="preserve"> </w:t>
      </w:r>
      <w:r>
        <w:rPr>
          <w:rFonts w:ascii="SimSun" w:hAnsi="SimSun" w:eastAsia="SimSun" w:cs="SimSun"/>
          <w:sz w:val="19"/>
          <w:szCs w:val="19"/>
          <w:spacing w:val="10"/>
        </w:rPr>
        <w:t>最后，限定交易行为通常与其他滥用市场支配地位行为</w:t>
      </w:r>
      <w:r>
        <w:rPr>
          <w:rFonts w:ascii="SimSun" w:hAnsi="SimSun" w:eastAsia="SimSun" w:cs="SimSun"/>
          <w:sz w:val="19"/>
          <w:szCs w:val="19"/>
          <w:spacing w:val="9"/>
        </w:rPr>
        <w:t>紧密相连，例</w:t>
      </w:r>
      <w:r>
        <w:rPr>
          <w:rFonts w:ascii="SimSun" w:hAnsi="SimSun" w:eastAsia="SimSun" w:cs="SimSun"/>
          <w:sz w:val="19"/>
          <w:szCs w:val="19"/>
        </w:rPr>
        <w:t xml:space="preserve"> </w:t>
      </w:r>
      <w:r>
        <w:rPr>
          <w:rFonts w:ascii="SimSun" w:hAnsi="SimSun" w:eastAsia="SimSun" w:cs="SimSun"/>
          <w:sz w:val="19"/>
          <w:szCs w:val="19"/>
          <w:spacing w:val="10"/>
        </w:rPr>
        <w:t>如转售价格维持、价格歧视、搭售、拒绝交易等，这些手段均具有排</w:t>
      </w:r>
    </w:p>
    <w:p>
      <w:pPr>
        <w:spacing w:line="219" w:lineRule="auto"/>
        <w:rPr>
          <w:rFonts w:ascii="SimSun" w:hAnsi="SimSun" w:eastAsia="SimSun" w:cs="SimSun"/>
          <w:sz w:val="19"/>
          <w:szCs w:val="19"/>
        </w:rPr>
      </w:pPr>
      <w:r>
        <w:rPr>
          <w:rFonts w:ascii="SimSun" w:hAnsi="SimSun" w:eastAsia="SimSun" w:cs="SimSun"/>
          <w:sz w:val="19"/>
          <w:szCs w:val="19"/>
          <w:spacing w:val="8"/>
        </w:rPr>
        <w:t>除和限制竞争的效果。</w:t>
      </w:r>
    </w:p>
    <w:p>
      <w:pPr>
        <w:ind w:firstLine="399"/>
        <w:spacing w:before="133" w:line="350" w:lineRule="auto"/>
        <w:jc w:val="both"/>
        <w:rPr>
          <w:rFonts w:ascii="SimSun" w:hAnsi="SimSun" w:eastAsia="SimSun" w:cs="SimSun"/>
          <w:sz w:val="19"/>
          <w:szCs w:val="19"/>
        </w:rPr>
      </w:pPr>
      <w:r>
        <w:rPr>
          <w:rFonts w:ascii="SimSun" w:hAnsi="SimSun" w:eastAsia="SimSun" w:cs="SimSun"/>
          <w:sz w:val="19"/>
          <w:szCs w:val="19"/>
          <w:spacing w:val="9"/>
        </w:rPr>
        <w:t>但是，判断限定交易是否成立，除了认定平台在相关市场具有垄  </w:t>
      </w:r>
      <w:r>
        <w:rPr>
          <w:rFonts w:ascii="SimSun" w:hAnsi="SimSun" w:eastAsia="SimSun" w:cs="SimSun"/>
          <w:sz w:val="19"/>
          <w:szCs w:val="19"/>
          <w:spacing w:val="15"/>
        </w:rPr>
        <w:t>断地位，还应当考虑合理的商业抗辩理由，比如是否构成用“权力”</w:t>
      </w:r>
      <w:r>
        <w:rPr>
          <w:rFonts w:ascii="SimSun" w:hAnsi="SimSun" w:eastAsia="SimSun" w:cs="SimSun"/>
          <w:sz w:val="19"/>
          <w:szCs w:val="19"/>
          <w:spacing w:val="16"/>
        </w:rPr>
        <w:t xml:space="preserve"> </w:t>
      </w:r>
      <w:r>
        <w:rPr>
          <w:rFonts w:ascii="SimSun" w:hAnsi="SimSun" w:eastAsia="SimSun" w:cs="SimSun"/>
          <w:sz w:val="19"/>
          <w:szCs w:val="19"/>
          <w:spacing w:val="10"/>
        </w:rPr>
        <w:t>限制交易，违约金是否超出一定的额度，是否属于对</w:t>
      </w:r>
      <w:r>
        <w:rPr>
          <w:rFonts w:ascii="SimSun" w:hAnsi="SimSun" w:eastAsia="SimSun" w:cs="SimSun"/>
          <w:sz w:val="19"/>
          <w:szCs w:val="19"/>
          <w:spacing w:val="9"/>
        </w:rPr>
        <w:t>平台组织成本的</w:t>
      </w:r>
    </w:p>
    <w:p>
      <w:pPr>
        <w:spacing w:line="219" w:lineRule="auto"/>
        <w:rPr>
          <w:rFonts w:ascii="SimSun" w:hAnsi="SimSun" w:eastAsia="SimSun" w:cs="SimSun"/>
          <w:sz w:val="19"/>
          <w:szCs w:val="19"/>
        </w:rPr>
      </w:pPr>
      <w:r>
        <w:rPr>
          <w:rFonts w:ascii="SimSun" w:hAnsi="SimSun" w:eastAsia="SimSun" w:cs="SimSun"/>
          <w:sz w:val="19"/>
          <w:szCs w:val="19"/>
          <w:spacing w:val="9"/>
        </w:rPr>
        <w:t>补偿，甚至需要审查平台作为市场规则制定者所制定规则的合理性。</w:t>
      </w:r>
    </w:p>
    <w:p>
      <w:pPr>
        <w:pStyle w:val="BodyText"/>
        <w:spacing w:line="433" w:lineRule="auto"/>
        <w:rPr/>
      </w:pPr>
      <w:r/>
    </w:p>
    <w:p>
      <w:pPr>
        <w:ind w:left="3"/>
        <w:spacing w:before="76" w:line="222" w:lineRule="auto"/>
        <w:rPr>
          <w:rFonts w:ascii="SimHei" w:hAnsi="SimHei" w:eastAsia="SimHei" w:cs="SimHei"/>
          <w:sz w:val="23"/>
          <w:szCs w:val="23"/>
        </w:rPr>
      </w:pPr>
      <w:r>
        <w:rPr>
          <w:rFonts w:ascii="SimHei" w:hAnsi="SimHei" w:eastAsia="SimHei" w:cs="SimHei"/>
          <w:sz w:val="23"/>
          <w:szCs w:val="23"/>
          <w:b/>
          <w:bCs/>
          <w:spacing w:val="6"/>
        </w:rPr>
        <w:t>拒绝交易及其适用于平台的争议</w:t>
      </w:r>
    </w:p>
    <w:p>
      <w:pPr>
        <w:pStyle w:val="BodyText"/>
        <w:spacing w:line="357" w:lineRule="auto"/>
        <w:rPr/>
      </w:pPr>
      <w:r/>
    </w:p>
    <w:p>
      <w:pPr>
        <w:ind w:right="91" w:firstLine="304"/>
        <w:spacing w:before="62" w:line="351" w:lineRule="auto"/>
        <w:jc w:val="both"/>
        <w:rPr>
          <w:rFonts w:ascii="SimSun" w:hAnsi="SimSun" w:eastAsia="SimSun" w:cs="SimSun"/>
          <w:sz w:val="19"/>
          <w:szCs w:val="19"/>
        </w:rPr>
      </w:pPr>
      <w:r>
        <w:rPr>
          <w:rFonts w:ascii="SimSun" w:hAnsi="SimSun" w:eastAsia="SimSun" w:cs="SimSun"/>
          <w:sz w:val="19"/>
          <w:szCs w:val="19"/>
          <w:spacing w:val="13"/>
        </w:rPr>
        <w:t>《反垄断法》第十七条规定：“禁止具有市场支配地位的经</w:t>
      </w:r>
      <w:r>
        <w:rPr>
          <w:rFonts w:ascii="SimSun" w:hAnsi="SimSun" w:eastAsia="SimSun" w:cs="SimSun"/>
          <w:sz w:val="19"/>
          <w:szCs w:val="19"/>
          <w:spacing w:val="12"/>
        </w:rPr>
        <w:t>营者 </w:t>
      </w:r>
      <w:r>
        <w:rPr>
          <w:rFonts w:ascii="SimSun" w:hAnsi="SimSun" w:eastAsia="SimSun" w:cs="SimSun"/>
          <w:sz w:val="19"/>
          <w:szCs w:val="19"/>
          <w:spacing w:val="10"/>
        </w:rPr>
        <w:t>从事下列滥用市场支配地位的行为：</w:t>
      </w:r>
      <w:r>
        <w:rPr>
          <w:rFonts w:ascii="SimSun" w:hAnsi="SimSun" w:eastAsia="SimSun" w:cs="SimSun"/>
          <w:sz w:val="19"/>
          <w:szCs w:val="19"/>
          <w:spacing w:val="83"/>
        </w:rPr>
        <w:t xml:space="preserve"> </w:t>
      </w:r>
      <w:r>
        <w:rPr>
          <w:rFonts w:ascii="SimSun" w:hAnsi="SimSun" w:eastAsia="SimSun" w:cs="SimSun"/>
          <w:sz w:val="19"/>
          <w:szCs w:val="19"/>
          <w:spacing w:val="10"/>
        </w:rPr>
        <w:t>……(三)没有正当理由，拒绝</w:t>
      </w:r>
      <w:r>
        <w:rPr>
          <w:rFonts w:ascii="SimSun" w:hAnsi="SimSun" w:eastAsia="SimSun" w:cs="SimSun"/>
          <w:sz w:val="19"/>
          <w:szCs w:val="19"/>
        </w:rPr>
        <w:t xml:space="preserve">  </w:t>
      </w:r>
      <w:r>
        <w:rPr>
          <w:rFonts w:ascii="SimSun" w:hAnsi="SimSun" w:eastAsia="SimSun" w:cs="SimSun"/>
          <w:sz w:val="19"/>
          <w:szCs w:val="19"/>
          <w:spacing w:val="11"/>
        </w:rPr>
        <w:t>与交易相对人进行交易；</w:t>
      </w:r>
      <w:r>
        <w:rPr>
          <w:rFonts w:ascii="SimSun" w:hAnsi="SimSun" w:eastAsia="SimSun" w:cs="SimSun"/>
          <w:sz w:val="19"/>
          <w:szCs w:val="19"/>
          <w:spacing w:val="93"/>
        </w:rPr>
        <w:t xml:space="preserve"> </w:t>
      </w:r>
      <w:r>
        <w:rPr>
          <w:rFonts w:ascii="SimSun" w:hAnsi="SimSun" w:eastAsia="SimSun" w:cs="SimSun"/>
          <w:sz w:val="19"/>
          <w:szCs w:val="19"/>
          <w:spacing w:val="11"/>
        </w:rPr>
        <w:t>……”2021年10月19日，《反垄断法(修</w:t>
      </w:r>
      <w:r>
        <w:rPr>
          <w:rFonts w:ascii="SimSun" w:hAnsi="SimSun" w:eastAsia="SimSun" w:cs="SimSun"/>
          <w:sz w:val="19"/>
          <w:szCs w:val="19"/>
        </w:rPr>
        <w:t xml:space="preserve">  </w:t>
      </w:r>
      <w:r>
        <w:rPr>
          <w:rFonts w:ascii="SimSun" w:hAnsi="SimSun" w:eastAsia="SimSun" w:cs="SimSun"/>
          <w:sz w:val="19"/>
          <w:szCs w:val="19"/>
          <w:spacing w:val="13"/>
        </w:rPr>
        <w:t>正草案)》提请十三届全国人大常委会第三十一次</w:t>
      </w:r>
      <w:r>
        <w:rPr>
          <w:rFonts w:ascii="SimSun" w:hAnsi="SimSun" w:eastAsia="SimSun" w:cs="SimSun"/>
          <w:sz w:val="19"/>
          <w:szCs w:val="19"/>
          <w:spacing w:val="12"/>
        </w:rPr>
        <w:t>会议初次审议。草</w:t>
      </w:r>
      <w:r>
        <w:rPr>
          <w:rFonts w:ascii="SimSun" w:hAnsi="SimSun" w:eastAsia="SimSun" w:cs="SimSun"/>
          <w:sz w:val="19"/>
          <w:szCs w:val="19"/>
        </w:rPr>
        <w:t xml:space="preserve">  </w:t>
      </w:r>
      <w:r>
        <w:rPr>
          <w:rFonts w:ascii="SimSun" w:hAnsi="SimSun" w:eastAsia="SimSun" w:cs="SimSun"/>
          <w:sz w:val="19"/>
          <w:szCs w:val="19"/>
          <w:spacing w:val="10"/>
        </w:rPr>
        <w:t>案第二十二条规定了滥用市场支配地位的行为</w:t>
      </w:r>
      <w:r>
        <w:rPr>
          <w:rFonts w:ascii="SimSun" w:hAnsi="SimSun" w:eastAsia="SimSun" w:cs="SimSun"/>
          <w:sz w:val="19"/>
          <w:szCs w:val="19"/>
          <w:spacing w:val="9"/>
        </w:rPr>
        <w:t>，第二款增加“具有市</w:t>
      </w:r>
      <w:r>
        <w:rPr>
          <w:rFonts w:ascii="SimSun" w:hAnsi="SimSun" w:eastAsia="SimSun" w:cs="SimSun"/>
          <w:sz w:val="19"/>
          <w:szCs w:val="19"/>
        </w:rPr>
        <w:t xml:space="preserve">  </w:t>
      </w:r>
      <w:r>
        <w:rPr>
          <w:rFonts w:ascii="SimSun" w:hAnsi="SimSun" w:eastAsia="SimSun" w:cs="SimSun"/>
          <w:sz w:val="19"/>
          <w:szCs w:val="19"/>
          <w:spacing w:val="16"/>
        </w:rPr>
        <w:t>场支配地位的经营者利用数据和算法、技术以及平台规则等设置障</w:t>
      </w:r>
      <w:r>
        <w:rPr>
          <w:rFonts w:ascii="SimSun" w:hAnsi="SimSun" w:eastAsia="SimSun" w:cs="SimSun"/>
          <w:sz w:val="19"/>
          <w:szCs w:val="19"/>
          <w:spacing w:val="6"/>
        </w:rPr>
        <w:t xml:space="preserve">  </w:t>
      </w:r>
      <w:r>
        <w:rPr>
          <w:rFonts w:ascii="SimSun" w:hAnsi="SimSun" w:eastAsia="SimSun" w:cs="SimSun"/>
          <w:sz w:val="19"/>
          <w:szCs w:val="19"/>
          <w:spacing w:val="9"/>
        </w:rPr>
        <w:t>碍，对其他经营者进行不合理限制的，属于前款规定的滥用市场支配</w:t>
      </w:r>
      <w:r>
        <w:rPr>
          <w:rFonts w:ascii="SimSun" w:hAnsi="SimSun" w:eastAsia="SimSun" w:cs="SimSun"/>
          <w:sz w:val="19"/>
          <w:szCs w:val="19"/>
          <w:spacing w:val="8"/>
        </w:rPr>
        <w:t xml:space="preserve">  </w:t>
      </w:r>
      <w:r>
        <w:rPr>
          <w:rFonts w:ascii="SimSun" w:hAnsi="SimSun" w:eastAsia="SimSun" w:cs="SimSun"/>
          <w:sz w:val="19"/>
          <w:szCs w:val="19"/>
          <w:spacing w:val="10"/>
        </w:rPr>
        <w:t>地位的行为”。但草案并没有明确不合理的限</w:t>
      </w:r>
      <w:r>
        <w:rPr>
          <w:rFonts w:ascii="SimSun" w:hAnsi="SimSun" w:eastAsia="SimSun" w:cs="SimSun"/>
          <w:sz w:val="19"/>
          <w:szCs w:val="19"/>
          <w:spacing w:val="9"/>
        </w:rPr>
        <w:t>制行为应当归属于滥用 </w:t>
      </w:r>
      <w:r>
        <w:rPr>
          <w:rFonts w:ascii="SimSun" w:hAnsi="SimSun" w:eastAsia="SimSun" w:cs="SimSun"/>
          <w:sz w:val="19"/>
          <w:szCs w:val="19"/>
          <w:spacing w:val="18"/>
        </w:rPr>
        <w:t>市场支配地位的哪个类别。2019年9月起施行的《禁止滥用市场支 </w:t>
      </w:r>
      <w:r>
        <w:rPr>
          <w:rFonts w:ascii="SimSun" w:hAnsi="SimSun" w:eastAsia="SimSun" w:cs="SimSun"/>
          <w:sz w:val="19"/>
          <w:szCs w:val="19"/>
          <w:spacing w:val="15"/>
        </w:rPr>
        <w:t>配地位行为暂行规定》罗列了拒绝交易的表现：(1)削减交易数量；</w:t>
      </w:r>
      <w:r>
        <w:rPr>
          <w:rFonts w:ascii="SimSun" w:hAnsi="SimSun" w:eastAsia="SimSun" w:cs="SimSun"/>
          <w:sz w:val="19"/>
          <w:szCs w:val="19"/>
          <w:spacing w:val="4"/>
        </w:rPr>
        <w:t xml:space="preserve"> </w:t>
      </w:r>
      <w:r>
        <w:rPr>
          <w:rFonts w:ascii="SimSun" w:hAnsi="SimSun" w:eastAsia="SimSun" w:cs="SimSun"/>
          <w:sz w:val="19"/>
          <w:szCs w:val="19"/>
          <w:spacing w:val="26"/>
        </w:rPr>
        <w:t>(2)拖延、中断现有交易；(3)拒绝新交易；(4)设定限制条件；</w:t>
      </w:r>
      <w:r>
        <w:rPr>
          <w:rFonts w:ascii="SimSun" w:hAnsi="SimSun" w:eastAsia="SimSun" w:cs="SimSun"/>
          <w:sz w:val="19"/>
          <w:szCs w:val="19"/>
          <w:spacing w:val="17"/>
        </w:rPr>
        <w:t xml:space="preserve"> </w:t>
      </w:r>
      <w:r>
        <w:rPr>
          <w:rFonts w:ascii="SimSun" w:hAnsi="SimSun" w:eastAsia="SimSun" w:cs="SimSun"/>
          <w:sz w:val="19"/>
          <w:szCs w:val="19"/>
          <w:spacing w:val="13"/>
        </w:rPr>
        <w:t>(5)拒绝交易相对人使用必需设施。两相结合，设置限制条件应当被</w:t>
      </w:r>
    </w:p>
    <w:p>
      <w:pPr>
        <w:spacing w:line="219" w:lineRule="auto"/>
        <w:rPr>
          <w:rFonts w:ascii="SimSun" w:hAnsi="SimSun" w:eastAsia="SimSun" w:cs="SimSun"/>
          <w:sz w:val="19"/>
          <w:szCs w:val="19"/>
        </w:rPr>
      </w:pPr>
      <w:r>
        <w:rPr>
          <w:rFonts w:ascii="SimSun" w:hAnsi="SimSun" w:eastAsia="SimSun" w:cs="SimSun"/>
          <w:sz w:val="19"/>
          <w:szCs w:val="19"/>
          <w:spacing w:val="6"/>
        </w:rPr>
        <w:t>纳入拒绝交易的框架。</w:t>
      </w:r>
    </w:p>
    <w:p>
      <w:pPr>
        <w:ind w:left="399"/>
        <w:spacing w:before="124" w:line="370" w:lineRule="exact"/>
        <w:rPr>
          <w:rFonts w:ascii="SimSun" w:hAnsi="SimSun" w:eastAsia="SimSun" w:cs="SimSun"/>
          <w:sz w:val="19"/>
          <w:szCs w:val="19"/>
        </w:rPr>
      </w:pPr>
      <w:r>
        <w:rPr>
          <w:rFonts w:ascii="SimSun" w:hAnsi="SimSun" w:eastAsia="SimSun" w:cs="SimSun"/>
          <w:sz w:val="19"/>
          <w:szCs w:val="19"/>
          <w:spacing w:val="17"/>
          <w:position w:val="13"/>
        </w:rPr>
        <w:t>如果市场被理解为属于私有领域，则经营者拥有选择交易</w:t>
      </w:r>
      <w:r>
        <w:rPr>
          <w:rFonts w:ascii="SimSun" w:hAnsi="SimSun" w:eastAsia="SimSun" w:cs="SimSun"/>
          <w:sz w:val="19"/>
          <w:szCs w:val="19"/>
          <w:spacing w:val="16"/>
          <w:position w:val="13"/>
        </w:rPr>
        <w:t>相对</w:t>
      </w:r>
    </w:p>
    <w:p>
      <w:pPr>
        <w:spacing w:line="218" w:lineRule="auto"/>
        <w:rPr>
          <w:rFonts w:ascii="SimSun" w:hAnsi="SimSun" w:eastAsia="SimSun" w:cs="SimSun"/>
          <w:sz w:val="19"/>
          <w:szCs w:val="19"/>
        </w:rPr>
      </w:pPr>
      <w:r>
        <w:rPr>
          <w:rFonts w:ascii="SimSun" w:hAnsi="SimSun" w:eastAsia="SimSun" w:cs="SimSun"/>
          <w:sz w:val="19"/>
          <w:szCs w:val="19"/>
          <w:spacing w:val="9"/>
        </w:rPr>
        <w:t>人和决定交易内容的权利，享有交易的拒绝权。提供公共产品的公共</w:t>
      </w:r>
    </w:p>
    <w:p>
      <w:pPr>
        <w:spacing w:line="218" w:lineRule="auto"/>
        <w:sectPr>
          <w:headerReference w:type="default" r:id="rId517"/>
          <w:pgSz w:w="7330" w:h="12480"/>
          <w:pgMar w:top="817" w:right="552" w:bottom="400" w:left="610" w:header="643" w:footer="0" w:gutter="0"/>
        </w:sectPr>
        <w:rPr>
          <w:rFonts w:ascii="SimSun" w:hAnsi="SimSun" w:eastAsia="SimSun" w:cs="SimSun"/>
          <w:sz w:val="19"/>
          <w:szCs w:val="19"/>
        </w:rPr>
      </w:pPr>
    </w:p>
    <w:p>
      <w:pPr>
        <w:ind w:left="105"/>
        <w:spacing w:line="221" w:lineRule="auto"/>
        <w:rPr>
          <w:rFonts w:ascii="SimHei" w:hAnsi="SimHei" w:eastAsia="SimHei" w:cs="SimHei"/>
          <w:sz w:val="17"/>
          <w:szCs w:val="17"/>
        </w:rPr>
      </w:pPr>
      <w:r>
        <w:rPr>
          <w:rFonts w:ascii="SimSun" w:hAnsi="SimSun" w:eastAsia="SimSun" w:cs="SimSun"/>
          <w:sz w:val="12"/>
          <w:szCs w:val="12"/>
          <w:spacing w:val="-8"/>
          <w:position w:val="-2"/>
        </w:rPr>
        <w:t>432                                </w:t>
      </w:r>
      <w:r>
        <w:rPr>
          <w:rFonts w:ascii="SimHei" w:hAnsi="SimHei" w:eastAsia="SimHei" w:cs="SimHei"/>
          <w:sz w:val="17"/>
          <w:szCs w:val="17"/>
          <w:spacing w:val="-8"/>
        </w:rPr>
        <w:t>平台经济——创新、治理</w:t>
      </w:r>
      <w:r>
        <w:rPr>
          <w:rFonts w:ascii="SimHei" w:hAnsi="SimHei" w:eastAsia="SimHei" w:cs="SimHei"/>
          <w:sz w:val="17"/>
          <w:szCs w:val="17"/>
          <w:spacing w:val="-9"/>
        </w:rPr>
        <w:t>与繁荣</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right="188" w:firstLine="105"/>
        <w:spacing w:before="68" w:line="293" w:lineRule="auto"/>
        <w:jc w:val="both"/>
        <w:rPr>
          <w:rFonts w:ascii="SimSun" w:hAnsi="SimSun" w:eastAsia="SimSun" w:cs="SimSun"/>
          <w:sz w:val="21"/>
          <w:szCs w:val="21"/>
        </w:rPr>
      </w:pPr>
      <w:r>
        <w:rPr>
          <w:rFonts w:ascii="SimSun" w:hAnsi="SimSun" w:eastAsia="SimSun" w:cs="SimSun"/>
          <w:sz w:val="21"/>
          <w:szCs w:val="21"/>
          <w:spacing w:val="-11"/>
        </w:rPr>
        <w:t>营运商不具有该项权利，这是由公共产品的特性造成的。对于具有市</w:t>
      </w:r>
      <w:r>
        <w:rPr>
          <w:rFonts w:ascii="SimSun" w:hAnsi="SimSun" w:eastAsia="SimSun" w:cs="SimSun"/>
          <w:sz w:val="21"/>
          <w:szCs w:val="21"/>
          <w:spacing w:val="10"/>
        </w:rPr>
        <w:t xml:space="preserve"> </w:t>
      </w:r>
      <w:r>
        <w:rPr>
          <w:rFonts w:ascii="SimSun" w:hAnsi="SimSun" w:eastAsia="SimSun" w:cs="SimSun"/>
          <w:sz w:val="21"/>
          <w:szCs w:val="21"/>
          <w:spacing w:val="-7"/>
        </w:rPr>
        <w:t>场支配地位的经营者来说，在一定条件下实施拒绝</w:t>
      </w:r>
      <w:r>
        <w:rPr>
          <w:rFonts w:ascii="SimSun" w:hAnsi="SimSun" w:eastAsia="SimSun" w:cs="SimSun"/>
          <w:sz w:val="21"/>
          <w:szCs w:val="21"/>
          <w:spacing w:val="-8"/>
        </w:rPr>
        <w:t>交易行为可能会对</w:t>
      </w:r>
      <w:r>
        <w:rPr>
          <w:rFonts w:ascii="SimSun" w:hAnsi="SimSun" w:eastAsia="SimSun" w:cs="SimSun"/>
          <w:sz w:val="21"/>
          <w:szCs w:val="21"/>
        </w:rPr>
        <w:t xml:space="preserve"> </w:t>
      </w:r>
      <w:r>
        <w:rPr>
          <w:rFonts w:ascii="SimSun" w:hAnsi="SimSun" w:eastAsia="SimSun" w:cs="SimSun"/>
          <w:sz w:val="21"/>
          <w:szCs w:val="21"/>
          <w:spacing w:val="-7"/>
        </w:rPr>
        <w:t>市场竞争和消费者福利产生影响。不过，按照各国的商业</w:t>
      </w:r>
      <w:r>
        <w:rPr>
          <w:rFonts w:ascii="SimSun" w:hAnsi="SimSun" w:eastAsia="SimSun" w:cs="SimSun"/>
          <w:sz w:val="21"/>
          <w:szCs w:val="21"/>
          <w:spacing w:val="-8"/>
        </w:rPr>
        <w:t>实践，对于</w:t>
      </w:r>
      <w:r>
        <w:rPr>
          <w:rFonts w:ascii="SimSun" w:hAnsi="SimSun" w:eastAsia="SimSun" w:cs="SimSun"/>
          <w:sz w:val="21"/>
          <w:szCs w:val="21"/>
        </w:rPr>
        <w:t xml:space="preserve"> </w:t>
      </w:r>
      <w:r>
        <w:rPr>
          <w:rFonts w:ascii="SimSun" w:hAnsi="SimSun" w:eastAsia="SimSun" w:cs="SimSun"/>
          <w:sz w:val="21"/>
          <w:szCs w:val="21"/>
          <w:spacing w:val="-8"/>
        </w:rPr>
        <w:t>市场经营者而言，很少会使用这种拒绝交易的行为，如果出现也比较</w:t>
      </w:r>
      <w:r>
        <w:rPr>
          <w:rFonts w:ascii="SimSun" w:hAnsi="SimSun" w:eastAsia="SimSun" w:cs="SimSun"/>
          <w:sz w:val="21"/>
          <w:szCs w:val="21"/>
          <w:spacing w:val="2"/>
        </w:rPr>
        <w:t xml:space="preserve"> </w:t>
      </w:r>
      <w:r>
        <w:rPr>
          <w:rFonts w:ascii="SimSun" w:hAnsi="SimSun" w:eastAsia="SimSun" w:cs="SimSun"/>
          <w:sz w:val="21"/>
          <w:szCs w:val="21"/>
          <w:spacing w:val="-7"/>
        </w:rPr>
        <w:t>容易解决。拒绝交易大多数情况下发生在上下游厂商之间，有时会和</w:t>
      </w:r>
      <w:r>
        <w:rPr>
          <w:rFonts w:ascii="SimSun" w:hAnsi="SimSun" w:eastAsia="SimSun" w:cs="SimSun"/>
          <w:sz w:val="21"/>
          <w:szCs w:val="21"/>
        </w:rPr>
        <w:t xml:space="preserve"> </w:t>
      </w:r>
      <w:r>
        <w:rPr>
          <w:rFonts w:ascii="SimSun" w:hAnsi="SimSun" w:eastAsia="SimSun" w:cs="SimSun"/>
          <w:sz w:val="21"/>
          <w:szCs w:val="21"/>
          <w:spacing w:val="-11"/>
        </w:rPr>
        <w:t>“封锁”发生重叠。</w:t>
      </w:r>
    </w:p>
    <w:p>
      <w:pPr>
        <w:ind w:left="105" w:right="99" w:firstLine="410"/>
        <w:spacing w:before="145" w:line="306" w:lineRule="auto"/>
        <w:jc w:val="both"/>
        <w:rPr>
          <w:rFonts w:ascii="SimSun" w:hAnsi="SimSun" w:eastAsia="SimSun" w:cs="SimSun"/>
          <w:sz w:val="21"/>
          <w:szCs w:val="21"/>
        </w:rPr>
      </w:pPr>
      <w:r>
        <w:rPr>
          <w:rFonts w:ascii="SimSun" w:hAnsi="SimSun" w:eastAsia="SimSun" w:cs="SimSun"/>
          <w:sz w:val="21"/>
          <w:szCs w:val="21"/>
        </w:rPr>
        <w:t>在国外，微软公司2011年曾针对谷歌公司提起过</w:t>
      </w:r>
      <w:r>
        <w:rPr>
          <w:rFonts w:ascii="SimSun" w:hAnsi="SimSun" w:eastAsia="SimSun" w:cs="SimSun"/>
          <w:sz w:val="21"/>
          <w:szCs w:val="21"/>
          <w:spacing w:val="-1"/>
        </w:rPr>
        <w:t>反垄断诉讼，</w:t>
      </w:r>
      <w:r>
        <w:rPr>
          <w:rFonts w:ascii="SimSun" w:hAnsi="SimSun" w:eastAsia="SimSun" w:cs="SimSun"/>
          <w:sz w:val="21"/>
          <w:szCs w:val="21"/>
        </w:rPr>
        <w:t xml:space="preserve"> </w:t>
      </w:r>
      <w:r>
        <w:rPr>
          <w:rFonts w:ascii="SimSun" w:hAnsi="SimSun" w:eastAsia="SimSun" w:cs="SimSun"/>
          <w:sz w:val="21"/>
          <w:szCs w:val="21"/>
          <w:spacing w:val="-5"/>
        </w:rPr>
        <w:t>诉由是谷歌旗下的视频网站</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YouTube </w:t>
      </w:r>
      <w:r>
        <w:rPr>
          <w:rFonts w:ascii="SimSun" w:hAnsi="SimSun" w:eastAsia="SimSun" w:cs="SimSun"/>
          <w:sz w:val="21"/>
          <w:szCs w:val="21"/>
          <w:spacing w:val="-5"/>
        </w:rPr>
        <w:t>拒绝微软公司开发的手</w:t>
      </w:r>
      <w:r>
        <w:rPr>
          <w:rFonts w:ascii="SimSun" w:hAnsi="SimSun" w:eastAsia="SimSun" w:cs="SimSun"/>
          <w:sz w:val="21"/>
          <w:szCs w:val="21"/>
          <w:spacing w:val="-6"/>
        </w:rPr>
        <w:t>机收集</w:t>
      </w:r>
      <w:r>
        <w:rPr>
          <w:rFonts w:ascii="SimSun" w:hAnsi="SimSun" w:eastAsia="SimSun" w:cs="SimSun"/>
          <w:sz w:val="21"/>
          <w:szCs w:val="21"/>
        </w:rPr>
        <w:t xml:space="preserve">  </w:t>
      </w:r>
      <w:r>
        <w:rPr>
          <w:rFonts w:ascii="SimSun" w:hAnsi="SimSun" w:eastAsia="SimSun" w:cs="SimSun"/>
          <w:sz w:val="21"/>
          <w:szCs w:val="21"/>
          <w:spacing w:val="-11"/>
        </w:rPr>
        <w:t>必要信息来开发应用软件。另外，欧盟针对微软公司的操作系统限制</w:t>
      </w:r>
      <w:r>
        <w:rPr>
          <w:rFonts w:ascii="SimSun" w:hAnsi="SimSun" w:eastAsia="SimSun" w:cs="SimSun"/>
          <w:sz w:val="21"/>
          <w:szCs w:val="21"/>
          <w:spacing w:val="8"/>
        </w:rPr>
        <w:t xml:space="preserve">  </w:t>
      </w:r>
      <w:r>
        <w:rPr>
          <w:rFonts w:ascii="SimSun" w:hAnsi="SimSun" w:eastAsia="SimSun" w:cs="SimSun"/>
          <w:sz w:val="21"/>
          <w:szCs w:val="21"/>
          <w:spacing w:val="-11"/>
        </w:rPr>
        <w:t>其他软件开发商开发兼容软件的问题进行过反垄断调查。在我国，互</w:t>
      </w:r>
      <w:r>
        <w:rPr>
          <w:rFonts w:ascii="SimSun" w:hAnsi="SimSun" w:eastAsia="SimSun" w:cs="SimSun"/>
          <w:sz w:val="21"/>
          <w:szCs w:val="21"/>
          <w:spacing w:val="3"/>
        </w:rPr>
        <w:t xml:space="preserve">  </w:t>
      </w:r>
      <w:r>
        <w:rPr>
          <w:rFonts w:ascii="SimSun" w:hAnsi="SimSun" w:eastAsia="SimSun" w:cs="SimSun"/>
          <w:sz w:val="21"/>
          <w:szCs w:val="21"/>
          <w:spacing w:val="-11"/>
        </w:rPr>
        <w:t>联网领域的“平台封禁”行为①也存在着争议，并且升级为关于互联</w:t>
      </w:r>
      <w:r>
        <w:rPr>
          <w:rFonts w:ascii="SimSun" w:hAnsi="SimSun" w:eastAsia="SimSun" w:cs="SimSun"/>
          <w:sz w:val="21"/>
          <w:szCs w:val="21"/>
          <w:spacing w:val="3"/>
        </w:rPr>
        <w:t xml:space="preserve">  </w:t>
      </w:r>
      <w:r>
        <w:rPr>
          <w:rFonts w:ascii="SimSun" w:hAnsi="SimSun" w:eastAsia="SimSun" w:cs="SimSun"/>
          <w:sz w:val="21"/>
          <w:szCs w:val="21"/>
          <w:spacing w:val="-11"/>
        </w:rPr>
        <w:t>互通、必需设施的争论。所针对的行为是平台通过技术手段屏蔽其他</w:t>
      </w:r>
      <w:r>
        <w:rPr>
          <w:rFonts w:ascii="SimSun" w:hAnsi="SimSun" w:eastAsia="SimSun" w:cs="SimSun"/>
          <w:sz w:val="21"/>
          <w:szCs w:val="21"/>
          <w:spacing w:val="3"/>
        </w:rPr>
        <w:t xml:space="preserve">  </w:t>
      </w:r>
      <w:r>
        <w:rPr>
          <w:rFonts w:ascii="SimSun" w:hAnsi="SimSun" w:eastAsia="SimSun" w:cs="SimSun"/>
          <w:sz w:val="21"/>
          <w:szCs w:val="21"/>
          <w:spacing w:val="-11"/>
        </w:rPr>
        <w:t>平台内容的链接，或阻止用户向其他平台的链接进行跳转，例如头条</w:t>
      </w:r>
      <w:r>
        <w:rPr>
          <w:rFonts w:ascii="SimSun" w:hAnsi="SimSun" w:eastAsia="SimSun" w:cs="SimSun"/>
          <w:sz w:val="21"/>
          <w:szCs w:val="21"/>
          <w:spacing w:val="3"/>
        </w:rPr>
        <w:t xml:space="preserve">  </w:t>
      </w:r>
      <w:r>
        <w:rPr>
          <w:rFonts w:ascii="SimSun" w:hAnsi="SimSun" w:eastAsia="SimSun" w:cs="SimSun"/>
          <w:sz w:val="21"/>
          <w:szCs w:val="21"/>
          <w:spacing w:val="-11"/>
        </w:rPr>
        <w:t>系的产品链接无法在微信打开，腾讯及其投资的电商平台无法用支付</w:t>
      </w:r>
      <w:r>
        <w:rPr>
          <w:rFonts w:ascii="SimSun" w:hAnsi="SimSun" w:eastAsia="SimSun" w:cs="SimSun"/>
          <w:sz w:val="21"/>
          <w:szCs w:val="21"/>
          <w:spacing w:val="3"/>
        </w:rPr>
        <w:t xml:space="preserve">  </w:t>
      </w:r>
      <w:r>
        <w:rPr>
          <w:rFonts w:ascii="SimSun" w:hAnsi="SimSun" w:eastAsia="SimSun" w:cs="SimSun"/>
          <w:sz w:val="21"/>
          <w:szCs w:val="21"/>
          <w:spacing w:val="-11"/>
        </w:rPr>
        <w:t>宝支付，淘宝、天猫等阿里巴巴旗下电商也无法用微信支付。</w:t>
      </w:r>
    </w:p>
    <w:p>
      <w:pPr>
        <w:ind w:left="105" w:right="100" w:firstLine="420"/>
        <w:spacing w:before="110" w:line="297" w:lineRule="auto"/>
        <w:jc w:val="both"/>
        <w:rPr>
          <w:rFonts w:ascii="SimSun" w:hAnsi="SimSun" w:eastAsia="SimSun" w:cs="SimSun"/>
          <w:sz w:val="21"/>
          <w:szCs w:val="21"/>
        </w:rPr>
      </w:pPr>
      <w:r>
        <w:rPr>
          <w:rFonts w:ascii="SimSun" w:hAnsi="SimSun" w:eastAsia="SimSun" w:cs="SimSun"/>
          <w:sz w:val="21"/>
          <w:szCs w:val="21"/>
          <w:spacing w:val="-8"/>
        </w:rPr>
        <w:t>拒绝交易行为有多个层面的争议。第一个争议是必需设施</w:t>
      </w:r>
      <w:r>
        <w:rPr>
          <w:rFonts w:ascii="SimSun" w:hAnsi="SimSun" w:eastAsia="SimSun" w:cs="SimSun"/>
          <w:sz w:val="21"/>
          <w:szCs w:val="21"/>
          <w:spacing w:val="-9"/>
        </w:rPr>
        <w:t>理论。</w:t>
      </w:r>
      <w:r>
        <w:rPr>
          <w:rFonts w:ascii="SimSun" w:hAnsi="SimSun" w:eastAsia="SimSun" w:cs="SimSun"/>
          <w:sz w:val="21"/>
          <w:szCs w:val="21"/>
        </w:rPr>
        <w:t xml:space="preserve"> </w:t>
      </w:r>
      <w:r>
        <w:rPr>
          <w:rFonts w:ascii="SimSun" w:hAnsi="SimSun" w:eastAsia="SimSun" w:cs="SimSun"/>
          <w:sz w:val="21"/>
          <w:szCs w:val="21"/>
          <w:spacing w:val="-11"/>
        </w:rPr>
        <w:t>判断的核心是控制了具有市场地位的经营者是否控制某种市场竞争所</w:t>
      </w:r>
      <w:r>
        <w:rPr>
          <w:rFonts w:ascii="SimSun" w:hAnsi="SimSun" w:eastAsia="SimSun" w:cs="SimSun"/>
          <w:sz w:val="21"/>
          <w:szCs w:val="21"/>
          <w:spacing w:val="2"/>
        </w:rPr>
        <w:t xml:space="preserve">  </w:t>
      </w:r>
      <w:r>
        <w:rPr>
          <w:rFonts w:ascii="SimSun" w:hAnsi="SimSun" w:eastAsia="SimSun" w:cs="SimSun"/>
          <w:sz w:val="21"/>
          <w:szCs w:val="21"/>
          <w:spacing w:val="-11"/>
        </w:rPr>
        <w:t>必需的、同时竞争者无法有效获取的资源，经营者不开放这种资源会</w:t>
      </w:r>
      <w:r>
        <w:rPr>
          <w:rFonts w:ascii="SimSun" w:hAnsi="SimSun" w:eastAsia="SimSun" w:cs="SimSun"/>
          <w:sz w:val="21"/>
          <w:szCs w:val="21"/>
          <w:spacing w:val="3"/>
        </w:rPr>
        <w:t xml:space="preserve">  </w:t>
      </w:r>
      <w:r>
        <w:rPr>
          <w:rFonts w:ascii="SimSun" w:hAnsi="SimSun" w:eastAsia="SimSun" w:cs="SimSun"/>
          <w:sz w:val="21"/>
          <w:szCs w:val="21"/>
          <w:spacing w:val="-3"/>
        </w:rPr>
        <w:t>严重损害竞争。该原则最早始于美国最高法院1912年关于</w:t>
      </w:r>
      <w:r>
        <w:rPr>
          <w:rFonts w:ascii="SimSun" w:hAnsi="SimSun" w:eastAsia="SimSun" w:cs="SimSun"/>
          <w:sz w:val="21"/>
          <w:szCs w:val="21"/>
          <w:spacing w:val="-4"/>
        </w:rPr>
        <w:t>铁路终端 </w:t>
      </w:r>
      <w:r>
        <w:rPr>
          <w:rFonts w:ascii="SimSun" w:hAnsi="SimSun" w:eastAsia="SimSun" w:cs="SimSun"/>
          <w:sz w:val="21"/>
          <w:szCs w:val="21"/>
          <w:spacing w:val="-10"/>
        </w:rPr>
        <w:t>一案的判决。根据该条款，如果上游市场中的一个</w:t>
      </w:r>
      <w:r>
        <w:rPr>
          <w:rFonts w:ascii="SimSun" w:hAnsi="SimSun" w:eastAsia="SimSun" w:cs="SimSun"/>
          <w:sz w:val="21"/>
          <w:szCs w:val="21"/>
          <w:spacing w:val="-11"/>
        </w:rPr>
        <w:t>主导企业控制了下</w:t>
      </w:r>
    </w:p>
    <w:p>
      <w:pPr>
        <w:pStyle w:val="BodyText"/>
        <w:spacing w:line="292" w:lineRule="auto"/>
        <w:rPr/>
      </w:pPr>
      <w:r/>
    </w:p>
    <w:p>
      <w:pPr>
        <w:ind w:left="414" w:hanging="309"/>
        <w:spacing w:before="55" w:line="294" w:lineRule="auto"/>
        <w:rPr>
          <w:rFonts w:ascii="KaiTi" w:hAnsi="KaiTi" w:eastAsia="KaiTi" w:cs="KaiTi"/>
          <w:sz w:val="17"/>
          <w:szCs w:val="17"/>
        </w:rPr>
      </w:pPr>
      <w:r>
        <w:rPr>
          <w:rFonts w:ascii="SimSun" w:hAnsi="SimSun" w:eastAsia="SimSun" w:cs="SimSun"/>
          <w:sz w:val="17"/>
          <w:szCs w:val="17"/>
          <w:spacing w:val="-11"/>
        </w:rPr>
        <w:t>①</w:t>
      </w:r>
      <w:r>
        <w:rPr>
          <w:rFonts w:ascii="SimSun" w:hAnsi="SimSun" w:eastAsia="SimSun" w:cs="SimSun"/>
          <w:sz w:val="17"/>
          <w:szCs w:val="17"/>
          <w:spacing w:val="42"/>
        </w:rPr>
        <w:t xml:space="preserve"> </w:t>
      </w:r>
      <w:r>
        <w:rPr>
          <w:rFonts w:ascii="KaiTi" w:hAnsi="KaiTi" w:eastAsia="KaiTi" w:cs="KaiTi"/>
          <w:sz w:val="17"/>
          <w:szCs w:val="17"/>
          <w:spacing w:val="-11"/>
        </w:rPr>
        <w:t>有研究认为，“平台封禁”行为在广义上包括平台经营者强迫用户在不同平台之间</w:t>
      </w:r>
      <w:r>
        <w:rPr>
          <w:rFonts w:ascii="KaiTi" w:hAnsi="KaiTi" w:eastAsia="KaiTi" w:cs="KaiTi"/>
          <w:sz w:val="17"/>
          <w:szCs w:val="17"/>
        </w:rPr>
        <w:t xml:space="preserve">   </w:t>
      </w:r>
      <w:r>
        <w:rPr>
          <w:rFonts w:ascii="KaiTi" w:hAnsi="KaiTi" w:eastAsia="KaiTi" w:cs="KaiTi"/>
          <w:sz w:val="17"/>
          <w:szCs w:val="17"/>
          <w:spacing w:val="-12"/>
        </w:rPr>
        <w:t>进行“二选一”、平台对其他平台的产品内容不予直链、平台对本平台的产品和内</w:t>
      </w:r>
      <w:r>
        <w:rPr>
          <w:rFonts w:ascii="KaiTi" w:hAnsi="KaiTi" w:eastAsia="KaiTi" w:cs="KaiTi"/>
          <w:sz w:val="17"/>
          <w:szCs w:val="17"/>
          <w:spacing w:val="5"/>
        </w:rPr>
        <w:t xml:space="preserve">   </w:t>
      </w:r>
      <w:r>
        <w:rPr>
          <w:rFonts w:ascii="KaiTi" w:hAnsi="KaiTi" w:eastAsia="KaiTi" w:cs="KaiTi"/>
          <w:sz w:val="17"/>
          <w:szCs w:val="17"/>
          <w:spacing w:val="-6"/>
        </w:rPr>
        <w:t>容进行自我优化、</w:t>
      </w:r>
      <w:r>
        <w:rPr>
          <w:rFonts w:ascii="KaiTi" w:hAnsi="KaiTi" w:eastAsia="KaiTi" w:cs="KaiTi"/>
          <w:sz w:val="17"/>
          <w:szCs w:val="17"/>
          <w:spacing w:val="31"/>
        </w:rPr>
        <w:t xml:space="preserve"> </w:t>
      </w:r>
      <w:r>
        <w:rPr>
          <w:rFonts w:ascii="KaiTi" w:hAnsi="KaiTi" w:eastAsia="KaiTi" w:cs="KaiTi"/>
          <w:sz w:val="17"/>
          <w:szCs w:val="17"/>
          <w:spacing w:val="-6"/>
        </w:rPr>
        <w:t>一方平台通过封闭</w:t>
      </w:r>
      <w:r>
        <w:rPr>
          <w:rFonts w:ascii="SimSun" w:hAnsi="SimSun" w:eastAsia="SimSun" w:cs="SimSun"/>
          <w:sz w:val="17"/>
          <w:szCs w:val="17"/>
          <w:spacing w:val="-6"/>
        </w:rPr>
        <w:t>API</w:t>
      </w:r>
      <w:r>
        <w:rPr>
          <w:rFonts w:ascii="SimSun" w:hAnsi="SimSun" w:eastAsia="SimSun" w:cs="SimSun"/>
          <w:sz w:val="17"/>
          <w:szCs w:val="17"/>
          <w:spacing w:val="-18"/>
        </w:rPr>
        <w:t xml:space="preserve"> </w:t>
      </w:r>
      <w:r>
        <w:rPr>
          <w:rFonts w:ascii="KaiTi" w:hAnsi="KaiTi" w:eastAsia="KaiTi" w:cs="KaiTi"/>
          <w:sz w:val="17"/>
          <w:szCs w:val="17"/>
          <w:spacing w:val="-6"/>
        </w:rPr>
        <w:t>(应用程序</w:t>
      </w:r>
      <w:r>
        <w:rPr>
          <w:rFonts w:ascii="KaiTi" w:hAnsi="KaiTi" w:eastAsia="KaiTi" w:cs="KaiTi"/>
          <w:sz w:val="17"/>
          <w:szCs w:val="17"/>
          <w:spacing w:val="-7"/>
        </w:rPr>
        <w:t>编程接口)政策拒绝与其他</w:t>
      </w:r>
      <w:r>
        <w:rPr>
          <w:rFonts w:ascii="KaiTi" w:hAnsi="KaiTi" w:eastAsia="KaiTi" w:cs="KaiTi"/>
          <w:sz w:val="17"/>
          <w:szCs w:val="17"/>
          <w:spacing w:val="-7"/>
        </w:rPr>
        <w:t xml:space="preserve">   </w:t>
      </w:r>
      <w:r>
        <w:rPr>
          <w:rFonts w:ascii="KaiTi" w:hAnsi="KaiTi" w:eastAsia="KaiTi" w:cs="KaiTi"/>
          <w:sz w:val="17"/>
          <w:szCs w:val="17"/>
          <w:spacing w:val="-6"/>
        </w:rPr>
        <w:t>平台互联互通四类。(张江莉，张镭.互联网“平台封禁”的反垄断法规制.竟争</w:t>
      </w:r>
      <w:r>
        <w:rPr>
          <w:rFonts w:ascii="KaiTi" w:hAnsi="KaiTi" w:eastAsia="KaiTi" w:cs="KaiTi"/>
          <w:sz w:val="17"/>
          <w:szCs w:val="17"/>
          <w:spacing w:val="-6"/>
        </w:rPr>
        <w:t xml:space="preserve"> </w:t>
      </w:r>
      <w:r>
        <w:rPr>
          <w:rFonts w:ascii="KaiTi" w:hAnsi="KaiTi" w:eastAsia="KaiTi" w:cs="KaiTi"/>
          <w:sz w:val="17"/>
          <w:szCs w:val="17"/>
          <w:spacing w:val="-7"/>
        </w:rPr>
        <w:t xml:space="preserve">  </w:t>
      </w:r>
      <w:r>
        <w:rPr>
          <w:rFonts w:ascii="KaiTi" w:hAnsi="KaiTi" w:eastAsia="KaiTi" w:cs="KaiTi"/>
          <w:sz w:val="17"/>
          <w:szCs w:val="17"/>
        </w:rPr>
        <w:t>政策研究，2020(5):21-32.)但前述分类框架显然比本书所讨论的“平台封禁”</w:t>
      </w:r>
      <w:r>
        <w:rPr>
          <w:rFonts w:ascii="KaiTi" w:hAnsi="KaiTi" w:eastAsia="KaiTi" w:cs="KaiTi"/>
          <w:sz w:val="17"/>
          <w:szCs w:val="17"/>
        </w:rPr>
        <w:t xml:space="preserve"> </w:t>
      </w:r>
      <w:r>
        <w:rPr>
          <w:rFonts w:ascii="KaiTi" w:hAnsi="KaiTi" w:eastAsia="KaiTi" w:cs="KaiTi"/>
          <w:sz w:val="17"/>
          <w:szCs w:val="17"/>
          <w:spacing w:val="-7"/>
        </w:rPr>
        <w:t>更加宽泛，例如其包含了“二选一”等针对</w:t>
      </w:r>
      <w:r>
        <w:rPr>
          <w:rFonts w:ascii="KaiTi" w:hAnsi="KaiTi" w:eastAsia="KaiTi" w:cs="KaiTi"/>
          <w:sz w:val="17"/>
          <w:szCs w:val="17"/>
          <w:spacing w:val="-8"/>
        </w:rPr>
        <w:t>用户开展的行为；且其前述研究单独</w:t>
      </w:r>
      <w:r>
        <w:rPr>
          <w:rFonts w:ascii="KaiTi" w:hAnsi="KaiTi" w:eastAsia="KaiTi" w:cs="KaiTi"/>
          <w:sz w:val="17"/>
          <w:szCs w:val="17"/>
        </w:rPr>
        <w:t xml:space="preserve">   </w:t>
      </w:r>
      <w:r>
        <w:rPr>
          <w:rFonts w:ascii="KaiTi" w:hAnsi="KaiTi" w:eastAsia="KaiTi" w:cs="KaiTi"/>
          <w:sz w:val="17"/>
          <w:szCs w:val="17"/>
          <w:spacing w:val="-7"/>
        </w:rPr>
        <w:t>成类的封闭</w:t>
      </w:r>
      <w:r>
        <w:rPr>
          <w:rFonts w:ascii="Times New Roman" w:hAnsi="Times New Roman" w:eastAsia="Times New Roman" w:cs="Times New Roman"/>
          <w:sz w:val="17"/>
          <w:szCs w:val="17"/>
          <w:spacing w:val="-7"/>
        </w:rPr>
        <w:t>API </w:t>
      </w:r>
      <w:r>
        <w:rPr>
          <w:rFonts w:ascii="KaiTi" w:hAnsi="KaiTi" w:eastAsia="KaiTi" w:cs="KaiTi"/>
          <w:sz w:val="17"/>
          <w:szCs w:val="17"/>
          <w:spacing w:val="-7"/>
        </w:rPr>
        <w:t>政策，在本书的语境下，仅仅是平台用于封禁其他平台的一种技</w:t>
      </w:r>
      <w:r>
        <w:rPr>
          <w:rFonts w:ascii="KaiTi" w:hAnsi="KaiTi" w:eastAsia="KaiTi" w:cs="KaiTi"/>
          <w:sz w:val="17"/>
          <w:szCs w:val="17"/>
          <w:spacing w:val="4"/>
        </w:rPr>
        <w:t xml:space="preserve">   </w:t>
      </w:r>
      <w:r>
        <w:rPr>
          <w:rFonts w:ascii="KaiTi" w:hAnsi="KaiTi" w:eastAsia="KaiTi" w:cs="KaiTi"/>
          <w:sz w:val="17"/>
          <w:szCs w:val="17"/>
          <w:spacing w:val="-10"/>
        </w:rPr>
        <w:t>术手段，并不单独成为一类。</w:t>
      </w:r>
    </w:p>
    <w:p>
      <w:pPr>
        <w:spacing w:line="294" w:lineRule="auto"/>
        <w:sectPr>
          <w:headerReference w:type="default" r:id="rId1"/>
          <w:pgSz w:w="7330" w:h="12480"/>
          <w:pgMar w:top="345" w:right="354" w:bottom="400" w:left="694" w:header="0" w:footer="0" w:gutter="0"/>
        </w:sectPr>
        <w:rPr>
          <w:rFonts w:ascii="KaiTi" w:hAnsi="KaiTi" w:eastAsia="KaiTi" w:cs="KaiTi"/>
          <w:sz w:val="17"/>
          <w:szCs w:val="17"/>
        </w:rPr>
      </w:pPr>
    </w:p>
    <w:p>
      <w:pPr>
        <w:pStyle w:val="BodyText"/>
        <w:spacing w:line="252" w:lineRule="auto"/>
        <w:rPr/>
      </w:pPr>
      <w:r>
        <w:drawing>
          <wp:anchor distT="0" distB="0" distL="0" distR="0" simplePos="0" relativeHeight="256198656" behindDoc="0" locked="0" layoutInCell="0" allowOverlap="1">
            <wp:simplePos x="0" y="0"/>
            <wp:positionH relativeFrom="page">
              <wp:posOffset>311156</wp:posOffset>
            </wp:positionH>
            <wp:positionV relativeFrom="page">
              <wp:posOffset>6883397</wp:posOffset>
            </wp:positionV>
            <wp:extent cx="1168384" cy="6350"/>
            <wp:effectExtent l="0" t="0" r="0" b="0"/>
            <wp:wrapNone/>
            <wp:docPr id="388" name="IM 388"/>
            <wp:cNvGraphicFramePr/>
            <a:graphic>
              <a:graphicData uri="http://schemas.openxmlformats.org/drawingml/2006/picture">
                <pic:pic>
                  <pic:nvPicPr>
                    <pic:cNvPr id="388" name="IM 388"/>
                    <pic:cNvPicPr/>
                  </pic:nvPicPr>
                  <pic:blipFill>
                    <a:blip r:embed="rId519"/>
                    <a:stretch>
                      <a:fillRect/>
                    </a:stretch>
                  </pic:blipFill>
                  <pic:spPr>
                    <a:xfrm rot="0">
                      <a:off x="0" y="0"/>
                      <a:ext cx="1168384" cy="6350"/>
                    </a:xfrm>
                    <a:prstGeom prst="rect">
                      <a:avLst/>
                    </a:prstGeom>
                  </pic:spPr>
                </pic:pic>
              </a:graphicData>
            </a:graphic>
          </wp:anchor>
        </w:drawing>
      </w:r>
      <w:r/>
    </w:p>
    <w:p>
      <w:pPr>
        <w:pStyle w:val="BodyText"/>
        <w:spacing w:line="253" w:lineRule="auto"/>
        <w:rPr/>
      </w:pPr>
      <w:r/>
    </w:p>
    <w:p>
      <w:pPr>
        <w:pStyle w:val="BodyText"/>
        <w:spacing w:line="253" w:lineRule="auto"/>
        <w:rPr/>
      </w:pPr>
      <w:r/>
    </w:p>
    <w:p>
      <w:pPr>
        <w:pStyle w:val="BodyText"/>
        <w:spacing w:line="253" w:lineRule="auto"/>
        <w:rPr/>
      </w:pPr>
      <w:r/>
    </w:p>
    <w:p>
      <w:pPr>
        <w:spacing w:before="69" w:line="312" w:lineRule="auto"/>
        <w:jc w:val="both"/>
        <w:rPr>
          <w:rFonts w:ascii="SimSun" w:hAnsi="SimSun" w:eastAsia="SimSun" w:cs="SimSun"/>
          <w:sz w:val="21"/>
          <w:szCs w:val="21"/>
        </w:rPr>
      </w:pPr>
      <w:r>
        <w:drawing>
          <wp:anchor distT="0" distB="0" distL="0" distR="0" simplePos="0" relativeHeight="256199680" behindDoc="0" locked="0" layoutInCell="1" allowOverlap="1">
            <wp:simplePos x="0" y="0"/>
            <wp:positionH relativeFrom="column">
              <wp:posOffset>355607</wp:posOffset>
            </wp:positionH>
            <wp:positionV relativeFrom="paragraph">
              <wp:posOffset>57663</wp:posOffset>
            </wp:positionV>
            <wp:extent cx="285742" cy="6350"/>
            <wp:effectExtent l="0" t="0" r="0" b="0"/>
            <wp:wrapNone/>
            <wp:docPr id="390" name="IM 390"/>
            <wp:cNvGraphicFramePr/>
            <a:graphic>
              <a:graphicData uri="http://schemas.openxmlformats.org/drawingml/2006/picture">
                <pic:pic>
                  <pic:nvPicPr>
                    <pic:cNvPr id="390" name="IM 390"/>
                    <pic:cNvPicPr/>
                  </pic:nvPicPr>
                  <pic:blipFill>
                    <a:blip r:embed="rId520"/>
                    <a:stretch>
                      <a:fillRect/>
                    </a:stretch>
                  </pic:blipFill>
                  <pic:spPr>
                    <a:xfrm rot="0">
                      <a:off x="0" y="0"/>
                      <a:ext cx="285742" cy="6350"/>
                    </a:xfrm>
                    <a:prstGeom prst="rect">
                      <a:avLst/>
                    </a:prstGeom>
                  </pic:spPr>
                </pic:pic>
              </a:graphicData>
            </a:graphic>
          </wp:anchor>
        </w:drawing>
      </w:r>
      <w:r>
        <w:drawing>
          <wp:anchor distT="0" distB="0" distL="0" distR="0" simplePos="0" relativeHeight="256200704" behindDoc="0" locked="0" layoutInCell="1" allowOverlap="1">
            <wp:simplePos x="0" y="0"/>
            <wp:positionH relativeFrom="column">
              <wp:posOffset>1009665</wp:posOffset>
            </wp:positionH>
            <wp:positionV relativeFrom="paragraph">
              <wp:posOffset>57663</wp:posOffset>
            </wp:positionV>
            <wp:extent cx="266706" cy="6350"/>
            <wp:effectExtent l="0" t="0" r="0" b="0"/>
            <wp:wrapNone/>
            <wp:docPr id="392" name="IM 392"/>
            <wp:cNvGraphicFramePr/>
            <a:graphic>
              <a:graphicData uri="http://schemas.openxmlformats.org/drawingml/2006/picture">
                <pic:pic>
                  <pic:nvPicPr>
                    <pic:cNvPr id="392" name="IM 392"/>
                    <pic:cNvPicPr/>
                  </pic:nvPicPr>
                  <pic:blipFill>
                    <a:blip r:embed="rId521"/>
                    <a:stretch>
                      <a:fillRect/>
                    </a:stretch>
                  </pic:blipFill>
                  <pic:spPr>
                    <a:xfrm rot="0">
                      <a:off x="0" y="0"/>
                      <a:ext cx="266706" cy="6350"/>
                    </a:xfrm>
                    <a:prstGeom prst="rect">
                      <a:avLst/>
                    </a:prstGeom>
                  </pic:spPr>
                </pic:pic>
              </a:graphicData>
            </a:graphic>
          </wp:anchor>
        </w:drawing>
      </w:r>
      <w:r>
        <w:rPr>
          <w:rFonts w:ascii="SimSun" w:hAnsi="SimSun" w:eastAsia="SimSun" w:cs="SimSun"/>
          <w:sz w:val="21"/>
          <w:szCs w:val="21"/>
          <w:spacing w:val="-7"/>
        </w:rPr>
        <w:t>游生产</w:t>
      </w:r>
      <w:r>
        <w:rPr>
          <w:rFonts w:ascii="SimSun" w:hAnsi="SimSun" w:eastAsia="SimSun" w:cs="SimSun"/>
          <w:sz w:val="21"/>
          <w:szCs w:val="21"/>
          <w:spacing w:val="-7"/>
        </w:rPr>
        <w:t>不可</w:t>
      </w:r>
      <w:r>
        <w:rPr>
          <w:rFonts w:ascii="SimSun" w:hAnsi="SimSun" w:eastAsia="SimSun" w:cs="SimSun"/>
          <w:sz w:val="21"/>
          <w:szCs w:val="21"/>
          <w:spacing w:val="-7"/>
        </w:rPr>
        <w:t>缺少且</w:t>
      </w:r>
      <w:r>
        <w:rPr>
          <w:rFonts w:ascii="SimSun" w:hAnsi="SimSun" w:eastAsia="SimSun" w:cs="SimSun"/>
          <w:sz w:val="21"/>
          <w:szCs w:val="21"/>
          <w:spacing w:val="-7"/>
        </w:rPr>
        <w:t>不可</w:t>
      </w:r>
      <w:r>
        <w:rPr>
          <w:rFonts w:ascii="SimSun" w:hAnsi="SimSun" w:eastAsia="SimSun" w:cs="SimSun"/>
          <w:sz w:val="21"/>
          <w:szCs w:val="21"/>
          <w:spacing w:val="-7"/>
        </w:rPr>
        <w:t>复制的必需设施(包括基础设施、技术和自然 </w:t>
      </w:r>
      <w:r>
        <w:rPr>
          <w:rFonts w:ascii="SimSun" w:hAnsi="SimSun" w:eastAsia="SimSun" w:cs="SimSun"/>
          <w:sz w:val="21"/>
          <w:szCs w:val="21"/>
          <w:spacing w:val="-4"/>
        </w:rPr>
        <w:t>条件等),则其有义务让下游厂商以适当的商业条款使用该设施，以</w:t>
      </w:r>
      <w:r>
        <w:rPr>
          <w:rFonts w:ascii="SimSun" w:hAnsi="SimSun" w:eastAsia="SimSun" w:cs="SimSun"/>
          <w:sz w:val="21"/>
          <w:szCs w:val="21"/>
          <w:spacing w:val="8"/>
        </w:rPr>
        <w:t xml:space="preserve">  </w:t>
      </w:r>
      <w:r>
        <w:rPr>
          <w:rFonts w:ascii="SimSun" w:hAnsi="SimSun" w:eastAsia="SimSun" w:cs="SimSun"/>
          <w:sz w:val="21"/>
          <w:szCs w:val="21"/>
          <w:spacing w:val="-1"/>
        </w:rPr>
        <w:t>避免反竞争的后果。欧盟在20世纪70年代开始提出必需设施原则，</w:t>
      </w:r>
      <w:r>
        <w:rPr>
          <w:rFonts w:ascii="SimSun" w:hAnsi="SimSun" w:eastAsia="SimSun" w:cs="SimSun"/>
          <w:sz w:val="21"/>
          <w:szCs w:val="21"/>
          <w:spacing w:val="15"/>
        </w:rPr>
        <w:t xml:space="preserve"> </w:t>
      </w:r>
      <w:r>
        <w:rPr>
          <w:rFonts w:ascii="SimSun" w:hAnsi="SimSun" w:eastAsia="SimSun" w:cs="SimSun"/>
          <w:sz w:val="21"/>
          <w:szCs w:val="21"/>
          <w:spacing w:val="-4"/>
        </w:rPr>
        <w:t>并在一些案例中使用该原则。1989年，著名反垄断专家阿瑞达在论</w:t>
      </w:r>
      <w:r>
        <w:rPr>
          <w:rFonts w:ascii="SimSun" w:hAnsi="SimSun" w:eastAsia="SimSun" w:cs="SimSun"/>
          <w:sz w:val="21"/>
          <w:szCs w:val="21"/>
          <w:spacing w:val="6"/>
        </w:rPr>
        <w:t xml:space="preserve">  </w:t>
      </w:r>
      <w:r>
        <w:rPr>
          <w:rFonts w:ascii="SimSun" w:hAnsi="SimSun" w:eastAsia="SimSun" w:cs="SimSun"/>
          <w:sz w:val="21"/>
          <w:szCs w:val="21"/>
          <w:spacing w:val="-11"/>
        </w:rPr>
        <w:t>文中提出了适用必需设施原则的六个准则。第一，并不存在分享设施</w:t>
      </w:r>
      <w:r>
        <w:rPr>
          <w:rFonts w:ascii="SimSun" w:hAnsi="SimSun" w:eastAsia="SimSun" w:cs="SimSun"/>
          <w:sz w:val="21"/>
          <w:szCs w:val="21"/>
        </w:rPr>
        <w:t xml:space="preserve">  </w:t>
      </w:r>
      <w:r>
        <w:rPr>
          <w:rFonts w:ascii="SimSun" w:hAnsi="SimSun" w:eastAsia="SimSun" w:cs="SimSun"/>
          <w:sz w:val="21"/>
          <w:szCs w:val="21"/>
          <w:spacing w:val="-16"/>
        </w:rPr>
        <w:t>的一般责任，强制开放应该作为例外来加以使用。第二，</w:t>
      </w:r>
      <w:r>
        <w:rPr>
          <w:rFonts w:ascii="SimSun" w:hAnsi="SimSun" w:eastAsia="SimSun" w:cs="SimSun"/>
          <w:sz w:val="21"/>
          <w:szCs w:val="21"/>
          <w:spacing w:val="55"/>
        </w:rPr>
        <w:t xml:space="preserve"> </w:t>
      </w:r>
      <w:r>
        <w:rPr>
          <w:rFonts w:ascii="SimSun" w:hAnsi="SimSun" w:eastAsia="SimSun" w:cs="SimSun"/>
          <w:sz w:val="21"/>
          <w:szCs w:val="21"/>
          <w:spacing w:val="-16"/>
        </w:rPr>
        <w:t>一种设施仅</w:t>
      </w:r>
      <w:r>
        <w:rPr>
          <w:rFonts w:ascii="SimSun" w:hAnsi="SimSun" w:eastAsia="SimSun" w:cs="SimSun"/>
          <w:sz w:val="21"/>
          <w:szCs w:val="21"/>
        </w:rPr>
        <w:t xml:space="preserve">  </w:t>
      </w:r>
      <w:r>
        <w:rPr>
          <w:rFonts w:ascii="SimSun" w:hAnsi="SimSun" w:eastAsia="SimSun" w:cs="SimSun"/>
          <w:sz w:val="21"/>
          <w:szCs w:val="21"/>
          <w:spacing w:val="-11"/>
        </w:rPr>
        <w:t>当它对原告的竞争能力是关键的，并且原告</w:t>
      </w:r>
      <w:r>
        <w:rPr>
          <w:rFonts w:ascii="SimSun" w:hAnsi="SimSun" w:eastAsia="SimSun" w:cs="SimSun"/>
          <w:sz w:val="21"/>
          <w:szCs w:val="21"/>
          <w:spacing w:val="-12"/>
        </w:rPr>
        <w:t>本身对于市场竞争而言是</w:t>
      </w:r>
      <w:r>
        <w:rPr>
          <w:rFonts w:ascii="SimSun" w:hAnsi="SimSun" w:eastAsia="SimSun" w:cs="SimSun"/>
          <w:sz w:val="21"/>
          <w:szCs w:val="21"/>
        </w:rPr>
        <w:t xml:space="preserve">  </w:t>
      </w:r>
      <w:r>
        <w:rPr>
          <w:rFonts w:ascii="SimSun" w:hAnsi="SimSun" w:eastAsia="SimSun" w:cs="SimSun"/>
          <w:sz w:val="21"/>
          <w:szCs w:val="21"/>
          <w:spacing w:val="-11"/>
        </w:rPr>
        <w:t>必需的时，才能被视为必需设施。“对原告的竞争能力是关键的”指</w:t>
      </w:r>
      <w:r>
        <w:rPr>
          <w:rFonts w:ascii="SimSun" w:hAnsi="SimSun" w:eastAsia="SimSun" w:cs="SimSun"/>
          <w:sz w:val="21"/>
          <w:szCs w:val="21"/>
          <w:spacing w:val="6"/>
        </w:rPr>
        <w:t xml:space="preserve">  </w:t>
      </w:r>
      <w:r>
        <w:rPr>
          <w:rFonts w:ascii="SimSun" w:hAnsi="SimSun" w:eastAsia="SimSun" w:cs="SimSun"/>
          <w:sz w:val="21"/>
          <w:szCs w:val="21"/>
          <w:spacing w:val="-11"/>
        </w:rPr>
        <w:t>的是原告缺乏该设施无法进行有效的竞争，并且复制该设施或者找到</w:t>
      </w:r>
      <w:r>
        <w:rPr>
          <w:rFonts w:ascii="SimSun" w:hAnsi="SimSun" w:eastAsia="SimSun" w:cs="SimSun"/>
          <w:sz w:val="21"/>
          <w:szCs w:val="21"/>
          <w:spacing w:val="6"/>
        </w:rPr>
        <w:t xml:space="preserve">  </w:t>
      </w:r>
      <w:r>
        <w:rPr>
          <w:rFonts w:ascii="SimSun" w:hAnsi="SimSun" w:eastAsia="SimSun" w:cs="SimSun"/>
          <w:sz w:val="21"/>
          <w:szCs w:val="21"/>
          <w:spacing w:val="-11"/>
        </w:rPr>
        <w:t>替代品并不可行。第三，除非强制开放设施可以带来降低价格、增加</w:t>
      </w:r>
      <w:r>
        <w:rPr>
          <w:rFonts w:ascii="SimSun" w:hAnsi="SimSun" w:eastAsia="SimSun" w:cs="SimSun"/>
          <w:sz w:val="21"/>
          <w:szCs w:val="21"/>
          <w:spacing w:val="7"/>
        </w:rPr>
        <w:t xml:space="preserve">  </w:t>
      </w:r>
      <w:r>
        <w:rPr>
          <w:rFonts w:ascii="SimSun" w:hAnsi="SimSun" w:eastAsia="SimSun" w:cs="SimSun"/>
          <w:sz w:val="21"/>
          <w:szCs w:val="21"/>
          <w:spacing w:val="-11"/>
        </w:rPr>
        <w:t>产出或者促进创新等效应，否则设施的拥有者不应该被要求强制开放</w:t>
      </w:r>
      <w:r>
        <w:rPr>
          <w:rFonts w:ascii="SimSun" w:hAnsi="SimSun" w:eastAsia="SimSun" w:cs="SimSun"/>
          <w:sz w:val="21"/>
          <w:szCs w:val="21"/>
          <w:spacing w:val="3"/>
        </w:rPr>
        <w:t xml:space="preserve">  </w:t>
      </w:r>
      <w:r>
        <w:rPr>
          <w:rFonts w:ascii="SimSun" w:hAnsi="SimSun" w:eastAsia="SimSun" w:cs="SimSun"/>
          <w:sz w:val="21"/>
          <w:szCs w:val="21"/>
          <w:spacing w:val="-7"/>
        </w:rPr>
        <w:t>设施。在如下几种情况下，以上改进是不太可能发生的：(1)当</w:t>
      </w:r>
      <w:r>
        <w:rPr>
          <w:rFonts w:ascii="SimSun" w:hAnsi="SimSun" w:eastAsia="SimSun" w:cs="SimSun"/>
          <w:sz w:val="21"/>
          <w:szCs w:val="21"/>
          <w:spacing w:val="-8"/>
        </w:rPr>
        <w:t>开放</w:t>
      </w:r>
      <w:r>
        <w:rPr>
          <w:rFonts w:ascii="SimSun" w:hAnsi="SimSun" w:eastAsia="SimSun" w:cs="SimSun"/>
          <w:sz w:val="21"/>
          <w:szCs w:val="21"/>
        </w:rPr>
        <w:t xml:space="preserve">  </w:t>
      </w:r>
      <w:r>
        <w:rPr>
          <w:rFonts w:ascii="SimSun" w:hAnsi="SimSun" w:eastAsia="SimSun" w:cs="SimSun"/>
          <w:sz w:val="21"/>
          <w:szCs w:val="21"/>
          <w:spacing w:val="-7"/>
        </w:rPr>
        <w:t>设施可能会减少有价值的行动；(2)原告并不是一个实际的或潜在的</w:t>
      </w:r>
      <w:r>
        <w:rPr>
          <w:rFonts w:ascii="SimSun" w:hAnsi="SimSun" w:eastAsia="SimSun" w:cs="SimSun"/>
          <w:sz w:val="21"/>
          <w:szCs w:val="21"/>
          <w:spacing w:val="3"/>
        </w:rPr>
        <w:t xml:space="preserve">  </w:t>
      </w:r>
      <w:r>
        <w:rPr>
          <w:rFonts w:ascii="SimSun" w:hAnsi="SimSun" w:eastAsia="SimSun" w:cs="SimSun"/>
          <w:sz w:val="21"/>
          <w:szCs w:val="21"/>
          <w:spacing w:val="-4"/>
        </w:rPr>
        <w:t>竞争者；(3)原告仅仅是垄断者的替补或者垄断的分享者；(4)垄断</w:t>
      </w:r>
      <w:r>
        <w:rPr>
          <w:rFonts w:ascii="SimSun" w:hAnsi="SimSun" w:eastAsia="SimSun" w:cs="SimSun"/>
          <w:sz w:val="21"/>
          <w:szCs w:val="21"/>
          <w:spacing w:val="7"/>
        </w:rPr>
        <w:t xml:space="preserve">  </w:t>
      </w:r>
      <w:r>
        <w:rPr>
          <w:rFonts w:ascii="SimSun" w:hAnsi="SimSun" w:eastAsia="SimSun" w:cs="SimSun"/>
          <w:sz w:val="21"/>
          <w:szCs w:val="21"/>
          <w:spacing w:val="-11"/>
        </w:rPr>
        <w:t>者已经对其资源以索取垄断价格为代价允许使用。第四，即使以上所</w:t>
      </w:r>
      <w:r>
        <w:rPr>
          <w:rFonts w:ascii="SimSun" w:hAnsi="SimSun" w:eastAsia="SimSun" w:cs="SimSun"/>
          <w:sz w:val="21"/>
          <w:szCs w:val="21"/>
          <w:spacing w:val="3"/>
        </w:rPr>
        <w:t xml:space="preserve">  </w:t>
      </w:r>
      <w:r>
        <w:rPr>
          <w:rFonts w:ascii="SimSun" w:hAnsi="SimSun" w:eastAsia="SimSun" w:cs="SimSun"/>
          <w:sz w:val="21"/>
          <w:szCs w:val="21"/>
          <w:spacing w:val="-11"/>
        </w:rPr>
        <w:t>有条件都被满足，被告拒绝开放设施也不应该被认为是违法的，他们</w:t>
      </w:r>
      <w:r>
        <w:rPr>
          <w:rFonts w:ascii="SimSun" w:hAnsi="SimSun" w:eastAsia="SimSun" w:cs="SimSun"/>
          <w:sz w:val="21"/>
          <w:szCs w:val="21"/>
          <w:spacing w:val="6"/>
        </w:rPr>
        <w:t xml:space="preserve">  </w:t>
      </w:r>
      <w:r>
        <w:rPr>
          <w:rFonts w:ascii="SimSun" w:hAnsi="SimSun" w:eastAsia="SimSun" w:cs="SimSun"/>
          <w:sz w:val="21"/>
          <w:szCs w:val="21"/>
          <w:spacing w:val="-11"/>
        </w:rPr>
        <w:t>可以以合理的商业目的为理由作为抗辩。被告需要以合理的理由来证</w:t>
      </w:r>
      <w:r>
        <w:rPr>
          <w:rFonts w:ascii="SimSun" w:hAnsi="SimSun" w:eastAsia="SimSun" w:cs="SimSun"/>
          <w:sz w:val="21"/>
          <w:szCs w:val="21"/>
          <w:spacing w:val="3"/>
        </w:rPr>
        <w:t xml:space="preserve">  </w:t>
      </w:r>
      <w:r>
        <w:rPr>
          <w:rFonts w:ascii="SimSun" w:hAnsi="SimSun" w:eastAsia="SimSun" w:cs="SimSun"/>
          <w:sz w:val="21"/>
          <w:szCs w:val="21"/>
          <w:spacing w:val="-11"/>
        </w:rPr>
        <w:t>明自己的行为是合理的，而原告则有责任证明这些理由并不足够。第</w:t>
      </w:r>
      <w:r>
        <w:rPr>
          <w:rFonts w:ascii="SimSun" w:hAnsi="SimSun" w:eastAsia="SimSun" w:cs="SimSun"/>
          <w:sz w:val="21"/>
          <w:szCs w:val="21"/>
          <w:spacing w:val="6"/>
        </w:rPr>
        <w:t xml:space="preserve">  </w:t>
      </w:r>
      <w:r>
        <w:rPr>
          <w:rFonts w:ascii="SimSun" w:hAnsi="SimSun" w:eastAsia="SimSun" w:cs="SimSun"/>
          <w:sz w:val="21"/>
          <w:szCs w:val="21"/>
          <w:spacing w:val="-11"/>
        </w:rPr>
        <w:t>五，被告的意图很少具有启发意义，因为任何拒绝向对</w:t>
      </w:r>
      <w:r>
        <w:rPr>
          <w:rFonts w:ascii="SimSun" w:hAnsi="SimSun" w:eastAsia="SimSun" w:cs="SimSun"/>
          <w:sz w:val="21"/>
          <w:szCs w:val="21"/>
          <w:spacing w:val="-12"/>
        </w:rPr>
        <w:t>手开放设施的</w:t>
      </w:r>
      <w:r>
        <w:rPr>
          <w:rFonts w:ascii="SimSun" w:hAnsi="SimSun" w:eastAsia="SimSun" w:cs="SimSun"/>
          <w:sz w:val="21"/>
          <w:szCs w:val="21"/>
        </w:rPr>
        <w:t xml:space="preserve">  </w:t>
      </w:r>
      <w:r>
        <w:rPr>
          <w:rFonts w:ascii="SimSun" w:hAnsi="SimSun" w:eastAsia="SimSun" w:cs="SimSun"/>
          <w:sz w:val="21"/>
          <w:szCs w:val="21"/>
          <w:spacing w:val="-11"/>
        </w:rPr>
        <w:t>意图都是为了限制自己面临的竞争、增加自己的利润，只有那些不适</w:t>
      </w:r>
      <w:r>
        <w:rPr>
          <w:rFonts w:ascii="SimSun" w:hAnsi="SimSun" w:eastAsia="SimSun" w:cs="SimSun"/>
          <w:sz w:val="21"/>
          <w:szCs w:val="21"/>
          <w:spacing w:val="3"/>
        </w:rPr>
        <w:t xml:space="preserve">  </w:t>
      </w:r>
      <w:r>
        <w:rPr>
          <w:rFonts w:ascii="SimSun" w:hAnsi="SimSun" w:eastAsia="SimSun" w:cs="SimSun"/>
          <w:sz w:val="21"/>
          <w:szCs w:val="21"/>
          <w:spacing w:val="-11"/>
        </w:rPr>
        <w:t>当的排除竞争意图才需要面临法律上的限制。第六，如果法院无法给</w:t>
      </w:r>
      <w:r>
        <w:rPr>
          <w:rFonts w:ascii="SimSun" w:hAnsi="SimSun" w:eastAsia="SimSun" w:cs="SimSun"/>
          <w:sz w:val="21"/>
          <w:szCs w:val="21"/>
          <w:spacing w:val="3"/>
        </w:rPr>
        <w:t xml:space="preserve">  </w:t>
      </w:r>
      <w:r>
        <w:rPr>
          <w:rFonts w:ascii="SimSun" w:hAnsi="SimSun" w:eastAsia="SimSun" w:cs="SimSun"/>
          <w:sz w:val="21"/>
          <w:szCs w:val="21"/>
          <w:spacing w:val="-11"/>
        </w:rPr>
        <w:t>出很好的解释，或者无法进行合理的监督，则不应该强制要求设施开</w:t>
      </w:r>
      <w:r>
        <w:rPr>
          <w:rFonts w:ascii="SimSun" w:hAnsi="SimSun" w:eastAsia="SimSun" w:cs="SimSun"/>
          <w:sz w:val="21"/>
          <w:szCs w:val="21"/>
          <w:spacing w:val="3"/>
        </w:rPr>
        <w:t xml:space="preserve">  </w:t>
      </w:r>
      <w:r>
        <w:rPr>
          <w:rFonts w:ascii="SimSun" w:hAnsi="SimSun" w:eastAsia="SimSun" w:cs="SimSun"/>
          <w:sz w:val="21"/>
          <w:szCs w:val="21"/>
          <w:spacing w:val="-11"/>
        </w:rPr>
        <w:t>放。如果强制开放需要法院承担监管机构的日常监管任务，这一问题</w:t>
      </w:r>
      <w:r>
        <w:rPr>
          <w:rFonts w:ascii="SimSun" w:hAnsi="SimSun" w:eastAsia="SimSun" w:cs="SimSun"/>
          <w:sz w:val="21"/>
          <w:szCs w:val="21"/>
          <w:spacing w:val="4"/>
        </w:rPr>
        <w:t xml:space="preserve">  </w:t>
      </w:r>
      <w:r>
        <w:rPr>
          <w:rFonts w:ascii="SimSun" w:hAnsi="SimSun" w:eastAsia="SimSun" w:cs="SimSun"/>
          <w:sz w:val="21"/>
          <w:szCs w:val="21"/>
          <w:spacing w:val="-15"/>
        </w:rPr>
        <w:t>就不应该从反垄断角度进行法律救济。①</w:t>
      </w:r>
    </w:p>
    <w:p>
      <w:pPr>
        <w:pStyle w:val="BodyText"/>
        <w:spacing w:line="245" w:lineRule="auto"/>
        <w:rPr/>
      </w:pPr>
      <w:r/>
    </w:p>
    <w:p>
      <w:pPr>
        <w:pStyle w:val="BodyText"/>
        <w:spacing w:line="245" w:lineRule="auto"/>
        <w:rPr/>
      </w:pPr>
      <w:r/>
    </w:p>
    <w:p>
      <w:pPr>
        <w:spacing w:before="68" w:line="212" w:lineRule="auto"/>
        <w:jc w:val="right"/>
        <w:rPr>
          <w:rFonts w:ascii="Times New Roman" w:hAnsi="Times New Roman" w:eastAsia="Times New Roman" w:cs="Times New Roman"/>
          <w:sz w:val="21"/>
          <w:szCs w:val="21"/>
        </w:rPr>
      </w:pPr>
      <w:r>
        <w:rPr>
          <w:rFonts w:ascii="SimSun" w:hAnsi="SimSun" w:eastAsia="SimSun" w:cs="SimSun"/>
          <w:sz w:val="21"/>
          <w:szCs w:val="21"/>
          <w:spacing w:val="-10"/>
        </w:rPr>
        <w:t>① </w:t>
      </w:r>
      <w:r>
        <w:rPr>
          <w:rFonts w:ascii="Times New Roman" w:hAnsi="Times New Roman" w:eastAsia="Times New Roman" w:cs="Times New Roman"/>
          <w:sz w:val="21"/>
          <w:szCs w:val="21"/>
          <w:spacing w:val="-10"/>
        </w:rPr>
        <w:t>PhillipAreeda,"Essential Facilities:A</w:t>
      </w:r>
      <w:r>
        <w:rPr>
          <w:rFonts w:ascii="Times New Roman" w:hAnsi="Times New Roman" w:eastAsia="Times New Roman" w:cs="Times New Roman"/>
          <w:sz w:val="21"/>
          <w:szCs w:val="21"/>
          <w:spacing w:val="-11"/>
        </w:rPr>
        <w:t>n Epithet in Need of</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11"/>
        </w:rPr>
        <w:t>Limiting Principles",</w:t>
      </w:r>
    </w:p>
    <w:p>
      <w:pPr>
        <w:ind w:left="300"/>
        <w:spacing w:before="9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Antitrust</w:t>
      </w:r>
      <w:r>
        <w:rPr>
          <w:rFonts w:ascii="Times New Roman" w:hAnsi="Times New Roman" w:eastAsia="Times New Roman" w:cs="Times New Roman"/>
          <w:sz w:val="16"/>
          <w:szCs w:val="16"/>
          <w:i/>
          <w:iCs/>
          <w:spacing w:val="12"/>
        </w:rPr>
        <w:t xml:space="preserve">  </w:t>
      </w:r>
      <w:r>
        <w:rPr>
          <w:rFonts w:ascii="Times New Roman" w:hAnsi="Times New Roman" w:eastAsia="Times New Roman" w:cs="Times New Roman"/>
          <w:sz w:val="16"/>
          <w:szCs w:val="16"/>
          <w:i/>
          <w:iCs/>
        </w:rPr>
        <w:t>Law</w:t>
      </w:r>
      <w:r>
        <w:rPr>
          <w:rFonts w:ascii="Times New Roman" w:hAnsi="Times New Roman" w:eastAsia="Times New Roman" w:cs="Times New Roman"/>
          <w:sz w:val="16"/>
          <w:szCs w:val="16"/>
          <w:i/>
          <w:iCs/>
          <w:spacing w:val="13"/>
          <w:w w:val="101"/>
        </w:rPr>
        <w:t xml:space="preserve">  </w:t>
      </w:r>
      <w:r>
        <w:rPr>
          <w:rFonts w:ascii="Times New Roman" w:hAnsi="Times New Roman" w:eastAsia="Times New Roman" w:cs="Times New Roman"/>
          <w:sz w:val="16"/>
          <w:szCs w:val="16"/>
          <w:i/>
          <w:iCs/>
        </w:rPr>
        <w:t>Journal</w:t>
      </w:r>
      <w:r>
        <w:rPr>
          <w:rFonts w:ascii="Times New Roman" w:hAnsi="Times New Roman" w:eastAsia="Times New Roman" w:cs="Times New Roman"/>
          <w:sz w:val="16"/>
          <w:szCs w:val="16"/>
          <w:i/>
          <w:iCs/>
          <w:spacing w:val="1"/>
        </w:rPr>
        <w:t>,1989,58(3):841-853.</w:t>
      </w:r>
    </w:p>
    <w:p>
      <w:pPr>
        <w:spacing w:line="192" w:lineRule="auto"/>
        <w:sectPr>
          <w:headerReference w:type="default" r:id="rId518"/>
          <w:pgSz w:w="7330" w:h="12480"/>
          <w:pgMar w:top="819" w:right="774" w:bottom="400" w:left="479" w:header="643" w:footer="0" w:gutter="0"/>
        </w:sectPr>
        <w:rPr>
          <w:rFonts w:ascii="Times New Roman" w:hAnsi="Times New Roman" w:eastAsia="Times New Roman" w:cs="Times New Roman"/>
          <w:sz w:val="16"/>
          <w:szCs w:val="16"/>
        </w:rPr>
      </w:pPr>
    </w:p>
    <w:p>
      <w:pPr>
        <w:pStyle w:val="BodyText"/>
        <w:spacing w:line="246" w:lineRule="auto"/>
        <w:rPr/>
      </w:pPr>
      <w:r>
        <w:drawing>
          <wp:anchor distT="0" distB="0" distL="0" distR="0" simplePos="0" relativeHeight="256208896" behindDoc="0" locked="0" layoutInCell="0" allowOverlap="1">
            <wp:simplePos x="0" y="0"/>
            <wp:positionH relativeFrom="page">
              <wp:posOffset>425472</wp:posOffset>
            </wp:positionH>
            <wp:positionV relativeFrom="page">
              <wp:posOffset>6692884</wp:posOffset>
            </wp:positionV>
            <wp:extent cx="1181092" cy="6350"/>
            <wp:effectExtent l="0" t="0" r="0" b="0"/>
            <wp:wrapNone/>
            <wp:docPr id="394" name="IM 394"/>
            <wp:cNvGraphicFramePr/>
            <a:graphic>
              <a:graphicData uri="http://schemas.openxmlformats.org/drawingml/2006/picture">
                <pic:pic>
                  <pic:nvPicPr>
                    <pic:cNvPr id="394" name="IM 394"/>
                    <pic:cNvPicPr/>
                  </pic:nvPicPr>
                  <pic:blipFill>
                    <a:blip r:embed="rId523"/>
                    <a:stretch>
                      <a:fillRect/>
                    </a:stretch>
                  </pic:blipFill>
                  <pic:spPr>
                    <a:xfrm rot="0">
                      <a:off x="0" y="0"/>
                      <a:ext cx="1181092" cy="6350"/>
                    </a:xfrm>
                    <a:prstGeom prst="rect">
                      <a:avLst/>
                    </a:prstGeom>
                  </pic:spPr>
                </pic:pic>
              </a:graphicData>
            </a:graphic>
          </wp:anchor>
        </w:drawing>
      </w:r>
      <w:r/>
    </w:p>
    <w:p>
      <w:pPr>
        <w:pStyle w:val="BodyText"/>
        <w:spacing w:line="246" w:lineRule="auto"/>
        <w:rPr/>
      </w:pPr>
      <w:r/>
    </w:p>
    <w:p>
      <w:pPr>
        <w:pStyle w:val="BodyText"/>
        <w:spacing w:line="247" w:lineRule="auto"/>
        <w:rPr/>
      </w:pPr>
      <w:r/>
    </w:p>
    <w:p>
      <w:pPr>
        <w:pStyle w:val="BodyText"/>
        <w:spacing w:line="247" w:lineRule="auto"/>
        <w:rPr/>
      </w:pPr>
      <w:r/>
    </w:p>
    <w:p>
      <w:pPr>
        <w:ind w:left="20" w:right="40" w:firstLine="410"/>
        <w:spacing w:before="68" w:line="301" w:lineRule="auto"/>
        <w:jc w:val="both"/>
        <w:rPr>
          <w:rFonts w:ascii="SimSun" w:hAnsi="SimSun" w:eastAsia="SimSun" w:cs="SimSun"/>
          <w:sz w:val="21"/>
          <w:szCs w:val="21"/>
        </w:rPr>
      </w:pPr>
      <w:r>
        <w:rPr>
          <w:rFonts w:ascii="SimSun" w:hAnsi="SimSun" w:eastAsia="SimSun" w:cs="SimSun"/>
          <w:sz w:val="21"/>
          <w:szCs w:val="21"/>
          <w:spacing w:val="-11"/>
        </w:rPr>
        <w:t>以上理论反对者的理由主要有：第一，该原则有悖于私有财</w:t>
      </w:r>
      <w:r>
        <w:rPr>
          <w:rFonts w:ascii="SimSun" w:hAnsi="SimSun" w:eastAsia="SimSun" w:cs="SimSun"/>
          <w:sz w:val="21"/>
          <w:szCs w:val="21"/>
          <w:spacing w:val="-12"/>
        </w:rPr>
        <w:t>产和 </w:t>
      </w:r>
      <w:r>
        <w:rPr>
          <w:rFonts w:ascii="SimSun" w:hAnsi="SimSun" w:eastAsia="SimSun" w:cs="SimSun"/>
          <w:sz w:val="21"/>
          <w:szCs w:val="21"/>
          <w:spacing w:val="-8"/>
        </w:rPr>
        <w:t>合同自由的理念，而这两点是一个自由市场运转的不</w:t>
      </w:r>
      <w:r>
        <w:rPr>
          <w:rFonts w:ascii="SimSun" w:hAnsi="SimSun" w:eastAsia="SimSun" w:cs="SimSun"/>
          <w:sz w:val="21"/>
          <w:szCs w:val="21"/>
          <w:spacing w:val="-9"/>
        </w:rPr>
        <w:t>可缺少的元素；</w:t>
      </w:r>
      <w:r>
        <w:rPr>
          <w:rFonts w:ascii="SimSun" w:hAnsi="SimSun" w:eastAsia="SimSun" w:cs="SimSun"/>
          <w:sz w:val="21"/>
          <w:szCs w:val="21"/>
        </w:rPr>
        <w:t xml:space="preserve"> </w:t>
      </w:r>
      <w:r>
        <w:rPr>
          <w:rFonts w:ascii="SimSun" w:hAnsi="SimSun" w:eastAsia="SimSun" w:cs="SimSun"/>
          <w:sz w:val="21"/>
          <w:szCs w:val="21"/>
          <w:spacing w:val="-11"/>
        </w:rPr>
        <w:t>第二，必需设施原则的过度使用必定伤害企业对必需设施投资和竞争 </w:t>
      </w:r>
      <w:r>
        <w:rPr>
          <w:rFonts w:ascii="SimSun" w:hAnsi="SimSun" w:eastAsia="SimSun" w:cs="SimSun"/>
          <w:sz w:val="21"/>
          <w:szCs w:val="21"/>
          <w:spacing w:val="-8"/>
        </w:rPr>
        <w:t>的愿望；第三，必需设施原则的实施使得多个竞争者</w:t>
      </w:r>
      <w:r>
        <w:rPr>
          <w:rFonts w:ascii="SimSun" w:hAnsi="SimSun" w:eastAsia="SimSun" w:cs="SimSun"/>
          <w:sz w:val="21"/>
          <w:szCs w:val="21"/>
          <w:spacing w:val="-9"/>
        </w:rPr>
        <w:t>使用同一设施，</w:t>
      </w:r>
      <w:r>
        <w:rPr>
          <w:rFonts w:ascii="SimSun" w:hAnsi="SimSun" w:eastAsia="SimSun" w:cs="SimSun"/>
          <w:sz w:val="21"/>
          <w:szCs w:val="21"/>
        </w:rPr>
        <w:t xml:space="preserve"> </w:t>
      </w:r>
      <w:r>
        <w:rPr>
          <w:rFonts w:ascii="SimSun" w:hAnsi="SimSun" w:eastAsia="SimSun" w:cs="SimSun"/>
          <w:sz w:val="21"/>
          <w:szCs w:val="21"/>
          <w:spacing w:val="-11"/>
        </w:rPr>
        <w:t>这实际上会有利于保持垄断地位，而不是消除它；第四，知识产权体 </w:t>
      </w:r>
      <w:r>
        <w:rPr>
          <w:rFonts w:ascii="SimSun" w:hAnsi="SimSun" w:eastAsia="SimSun" w:cs="SimSun"/>
          <w:sz w:val="21"/>
          <w:szCs w:val="21"/>
          <w:spacing w:val="-14"/>
        </w:rPr>
        <w:t>系本身已经照顾到垄断利益和促进竞争间的平衡。①</w:t>
      </w:r>
    </w:p>
    <w:p>
      <w:pPr>
        <w:ind w:left="20" w:right="117" w:firstLine="410"/>
        <w:spacing w:before="105" w:line="284" w:lineRule="auto"/>
        <w:jc w:val="both"/>
        <w:rPr>
          <w:rFonts w:ascii="SimSun" w:hAnsi="SimSun" w:eastAsia="SimSun" w:cs="SimSun"/>
          <w:sz w:val="21"/>
          <w:szCs w:val="21"/>
        </w:rPr>
      </w:pPr>
      <w:r>
        <w:rPr>
          <w:rFonts w:ascii="SimSun" w:hAnsi="SimSun" w:eastAsia="SimSun" w:cs="SimSun"/>
          <w:sz w:val="21"/>
          <w:szCs w:val="21"/>
          <w:spacing w:val="-11"/>
        </w:rPr>
        <w:t>第二个争议是中国《反垄断法》中的条文表述，</w:t>
      </w:r>
      <w:r>
        <w:rPr>
          <w:rFonts w:ascii="SimSun" w:hAnsi="SimSun" w:eastAsia="SimSun" w:cs="SimSun"/>
          <w:sz w:val="21"/>
          <w:szCs w:val="21"/>
          <w:spacing w:val="-12"/>
        </w:rPr>
        <w:t>即“没有正当理</w:t>
      </w:r>
      <w:r>
        <w:rPr>
          <w:rFonts w:ascii="SimSun" w:hAnsi="SimSun" w:eastAsia="SimSun" w:cs="SimSun"/>
          <w:sz w:val="21"/>
          <w:szCs w:val="21"/>
        </w:rPr>
        <w:t xml:space="preserve"> </w:t>
      </w:r>
      <w:r>
        <w:rPr>
          <w:rFonts w:ascii="SimSun" w:hAnsi="SimSun" w:eastAsia="SimSun" w:cs="SimSun"/>
          <w:sz w:val="21"/>
          <w:szCs w:val="21"/>
          <w:spacing w:val="-11"/>
        </w:rPr>
        <w:t>由，拒绝与交易相对人进行交易”。对拒绝交易的反面是不是互联互</w:t>
      </w:r>
      <w:r>
        <w:rPr>
          <w:rFonts w:ascii="SimSun" w:hAnsi="SimSun" w:eastAsia="SimSun" w:cs="SimSun"/>
          <w:sz w:val="21"/>
          <w:szCs w:val="21"/>
          <w:spacing w:val="6"/>
        </w:rPr>
        <w:t xml:space="preserve"> </w:t>
      </w:r>
      <w:r>
        <w:rPr>
          <w:rFonts w:ascii="SimSun" w:hAnsi="SimSun" w:eastAsia="SimSun" w:cs="SimSun"/>
          <w:sz w:val="21"/>
          <w:szCs w:val="21"/>
          <w:spacing w:val="-12"/>
        </w:rPr>
        <w:t>通，存在着不同层面的理解。</w:t>
      </w:r>
    </w:p>
    <w:p>
      <w:pPr>
        <w:ind w:left="20" w:firstLine="410"/>
        <w:spacing w:before="107" w:line="303" w:lineRule="auto"/>
        <w:jc w:val="both"/>
        <w:rPr>
          <w:rFonts w:ascii="SimSun" w:hAnsi="SimSun" w:eastAsia="SimSun" w:cs="SimSun"/>
          <w:sz w:val="21"/>
          <w:szCs w:val="21"/>
        </w:rPr>
      </w:pPr>
      <w:r>
        <w:rPr>
          <w:rFonts w:ascii="SimSun" w:hAnsi="SimSun" w:eastAsia="SimSun" w:cs="SimSun"/>
          <w:sz w:val="21"/>
          <w:szCs w:val="21"/>
          <w:spacing w:val="-11"/>
        </w:rPr>
        <w:t>第三个争议是：如果采用必需基础设施，显然平台企业不能被简</w:t>
      </w:r>
      <w:r>
        <w:rPr>
          <w:rFonts w:ascii="SimSun" w:hAnsi="SimSun" w:eastAsia="SimSun" w:cs="SimSun"/>
          <w:sz w:val="21"/>
          <w:szCs w:val="21"/>
        </w:rPr>
        <w:t xml:space="preserve">  </w:t>
      </w:r>
      <w:r>
        <w:rPr>
          <w:rFonts w:ascii="SimSun" w:hAnsi="SimSun" w:eastAsia="SimSun" w:cs="SimSun"/>
          <w:sz w:val="21"/>
          <w:szCs w:val="21"/>
          <w:spacing w:val="-11"/>
        </w:rPr>
        <w:t>单、直接地归入公共产品提供者之列，并且如果归入公共产品提供者</w:t>
      </w:r>
      <w:r>
        <w:rPr>
          <w:rFonts w:ascii="SimSun" w:hAnsi="SimSun" w:eastAsia="SimSun" w:cs="SimSun"/>
          <w:sz w:val="21"/>
          <w:szCs w:val="21"/>
          <w:spacing w:val="4"/>
        </w:rPr>
        <w:t xml:space="preserve">  </w:t>
      </w:r>
      <w:r>
        <w:rPr>
          <w:rFonts w:ascii="SimSun" w:hAnsi="SimSun" w:eastAsia="SimSun" w:cs="SimSun"/>
          <w:sz w:val="21"/>
          <w:szCs w:val="21"/>
          <w:spacing w:val="-11"/>
        </w:rPr>
        <w:t>之列，那么就应当得到相应的反垄断法豁免；而基于知识产权发展的</w:t>
      </w:r>
      <w:r>
        <w:rPr>
          <w:rFonts w:ascii="SimSun" w:hAnsi="SimSun" w:eastAsia="SimSun" w:cs="SimSun"/>
          <w:sz w:val="21"/>
          <w:szCs w:val="21"/>
          <w:spacing w:val="7"/>
        </w:rPr>
        <w:t xml:space="preserve">  </w:t>
      </w:r>
      <w:r>
        <w:rPr>
          <w:rFonts w:ascii="SimSun" w:hAnsi="SimSun" w:eastAsia="SimSun" w:cs="SimSun"/>
          <w:sz w:val="21"/>
          <w:szCs w:val="21"/>
          <w:spacing w:val="-6"/>
        </w:rPr>
        <w:t>必需基础设施，则应当从技术上加以认定，比如互联网</w:t>
      </w:r>
      <w:r>
        <w:rPr>
          <w:rFonts w:ascii="Times New Roman" w:hAnsi="Times New Roman" w:eastAsia="Times New Roman" w:cs="Times New Roman"/>
          <w:sz w:val="21"/>
          <w:szCs w:val="21"/>
          <w:spacing w:val="-7"/>
        </w:rPr>
        <w:t>TCP/IP</w:t>
      </w:r>
      <w:r>
        <w:rPr>
          <w:rFonts w:ascii="SimSun" w:hAnsi="SimSun" w:eastAsia="SimSun" w:cs="SimSun"/>
          <w:sz w:val="21"/>
          <w:szCs w:val="21"/>
          <w:spacing w:val="-7"/>
        </w:rPr>
        <w:t>协议，</w:t>
      </w:r>
      <w:r>
        <w:rPr>
          <w:rFonts w:ascii="SimSun" w:hAnsi="SimSun" w:eastAsia="SimSun" w:cs="SimSun"/>
          <w:sz w:val="21"/>
          <w:szCs w:val="21"/>
        </w:rPr>
        <w:t xml:space="preserve"> </w:t>
      </w:r>
      <w:r>
        <w:rPr>
          <w:rFonts w:ascii="SimSun" w:hAnsi="SimSun" w:eastAsia="SimSun" w:cs="SimSun"/>
          <w:sz w:val="21"/>
          <w:szCs w:val="21"/>
          <w:spacing w:val="-11"/>
        </w:rPr>
        <w:t>目前对平台企业的指控超出了这个层面，从而容易形成</w:t>
      </w:r>
      <w:r>
        <w:rPr>
          <w:rFonts w:ascii="SimSun" w:hAnsi="SimSun" w:eastAsia="SimSun" w:cs="SimSun"/>
          <w:sz w:val="21"/>
          <w:szCs w:val="21"/>
          <w:spacing w:val="-12"/>
        </w:rPr>
        <w:t>法律制度上的</w:t>
      </w:r>
      <w:r>
        <w:rPr>
          <w:rFonts w:ascii="SimSun" w:hAnsi="SimSun" w:eastAsia="SimSun" w:cs="SimSun"/>
          <w:sz w:val="21"/>
          <w:szCs w:val="21"/>
        </w:rPr>
        <w:t xml:space="preserve">  </w:t>
      </w:r>
      <w:r>
        <w:rPr>
          <w:rFonts w:ascii="SimSun" w:hAnsi="SimSun" w:eastAsia="SimSun" w:cs="SimSun"/>
          <w:sz w:val="21"/>
          <w:szCs w:val="21"/>
          <w:spacing w:val="-11"/>
        </w:rPr>
        <w:t>不对等。因此，对互联互通的过度解释和强化执行实际上也会替换反</w:t>
      </w:r>
      <w:r>
        <w:rPr>
          <w:rFonts w:ascii="SimSun" w:hAnsi="SimSun" w:eastAsia="SimSun" w:cs="SimSun"/>
          <w:sz w:val="21"/>
          <w:szCs w:val="21"/>
          <w:spacing w:val="2"/>
        </w:rPr>
        <w:t xml:space="preserve">  </w:t>
      </w:r>
      <w:r>
        <w:rPr>
          <w:rFonts w:ascii="SimSun" w:hAnsi="SimSun" w:eastAsia="SimSun" w:cs="SimSun"/>
          <w:sz w:val="21"/>
          <w:szCs w:val="21"/>
          <w:spacing w:val="-13"/>
        </w:rPr>
        <w:t>垄断法的执法。</w:t>
      </w:r>
    </w:p>
    <w:p>
      <w:pPr>
        <w:ind w:left="20" w:right="19" w:firstLine="410"/>
        <w:spacing w:before="105" w:line="303" w:lineRule="auto"/>
        <w:jc w:val="both"/>
        <w:rPr>
          <w:rFonts w:ascii="SimSun" w:hAnsi="SimSun" w:eastAsia="SimSun" w:cs="SimSun"/>
          <w:sz w:val="21"/>
          <w:szCs w:val="21"/>
        </w:rPr>
      </w:pPr>
      <w:r>
        <w:rPr>
          <w:rFonts w:ascii="SimSun" w:hAnsi="SimSun" w:eastAsia="SimSun" w:cs="SimSun"/>
          <w:sz w:val="21"/>
          <w:szCs w:val="21"/>
          <w:spacing w:val="-11"/>
        </w:rPr>
        <w:t>实践中，互联网企业拒绝交易的案件数量少、原告胜诉率</w:t>
      </w:r>
      <w:r>
        <w:rPr>
          <w:rFonts w:ascii="SimSun" w:hAnsi="SimSun" w:eastAsia="SimSun" w:cs="SimSun"/>
          <w:sz w:val="21"/>
          <w:szCs w:val="21"/>
          <w:spacing w:val="-12"/>
        </w:rPr>
        <w:t>低。在</w:t>
      </w:r>
      <w:r>
        <w:rPr>
          <w:rFonts w:ascii="SimSun" w:hAnsi="SimSun" w:eastAsia="SimSun" w:cs="SimSun"/>
          <w:sz w:val="21"/>
          <w:szCs w:val="21"/>
        </w:rPr>
        <w:t xml:space="preserve">  </w:t>
      </w:r>
      <w:r>
        <w:rPr>
          <w:rFonts w:ascii="SimSun" w:hAnsi="SimSun" w:eastAsia="SimSun" w:cs="SimSun"/>
          <w:sz w:val="21"/>
          <w:szCs w:val="21"/>
          <w:spacing w:val="-11"/>
        </w:rPr>
        <w:t>中国裁判文书网上以民事案由下的第五级子案由“拒绝交易纠纷”作</w:t>
      </w:r>
      <w:r>
        <w:rPr>
          <w:rFonts w:ascii="SimSun" w:hAnsi="SimSun" w:eastAsia="SimSun" w:cs="SimSun"/>
          <w:sz w:val="21"/>
          <w:szCs w:val="21"/>
          <w:spacing w:val="6"/>
        </w:rPr>
        <w:t xml:space="preserve">  </w:t>
      </w:r>
      <w:r>
        <w:rPr>
          <w:rFonts w:ascii="SimSun" w:hAnsi="SimSun" w:eastAsia="SimSun" w:cs="SimSun"/>
          <w:sz w:val="21"/>
          <w:szCs w:val="21"/>
          <w:spacing w:val="-4"/>
        </w:rPr>
        <w:t>为关键词搜索得一、二审判决书共19份，将其中涉及互联网领</w:t>
      </w:r>
      <w:r>
        <w:rPr>
          <w:rFonts w:ascii="SimSun" w:hAnsi="SimSun" w:eastAsia="SimSun" w:cs="SimSun"/>
          <w:sz w:val="21"/>
          <w:szCs w:val="21"/>
          <w:spacing w:val="-5"/>
        </w:rPr>
        <w:t>域的</w:t>
      </w:r>
      <w:r>
        <w:rPr>
          <w:rFonts w:ascii="SimSun" w:hAnsi="SimSun" w:eastAsia="SimSun" w:cs="SimSun"/>
          <w:sz w:val="21"/>
          <w:szCs w:val="21"/>
        </w:rPr>
        <w:t xml:space="preserve">  </w:t>
      </w:r>
      <w:r>
        <w:rPr>
          <w:rFonts w:ascii="SimSun" w:hAnsi="SimSun" w:eastAsia="SimSun" w:cs="SimSun"/>
          <w:sz w:val="21"/>
          <w:szCs w:val="21"/>
          <w:spacing w:val="-11"/>
        </w:rPr>
        <w:t>相同案件进行归类分析可得目前有关互联网的拒绝交易案件呈以下特</w:t>
      </w:r>
      <w:r>
        <w:rPr>
          <w:rFonts w:ascii="SimSun" w:hAnsi="SimSun" w:eastAsia="SimSun" w:cs="SimSun"/>
          <w:sz w:val="21"/>
          <w:szCs w:val="21"/>
          <w:spacing w:val="2"/>
        </w:rPr>
        <w:t xml:space="preserve">  </w:t>
      </w:r>
      <w:r>
        <w:rPr>
          <w:rFonts w:ascii="SimSun" w:hAnsi="SimSun" w:eastAsia="SimSun" w:cs="SimSun"/>
          <w:sz w:val="21"/>
          <w:szCs w:val="21"/>
          <w:spacing w:val="-15"/>
        </w:rPr>
        <w:t>点：</w:t>
      </w:r>
      <w:r>
        <w:rPr>
          <w:rFonts w:ascii="SimSun" w:hAnsi="SimSun" w:eastAsia="SimSun" w:cs="SimSun"/>
          <w:sz w:val="21"/>
          <w:szCs w:val="21"/>
          <w:spacing w:val="-34"/>
        </w:rPr>
        <w:t xml:space="preserve"> </w:t>
      </w:r>
      <w:r>
        <w:rPr>
          <w:rFonts w:ascii="SimSun" w:hAnsi="SimSun" w:eastAsia="SimSun" w:cs="SimSun"/>
          <w:sz w:val="21"/>
          <w:szCs w:val="21"/>
          <w:spacing w:val="-15"/>
        </w:rPr>
        <w:t>一是数量少，二是原告胜诉率低。在查询到的判决</w:t>
      </w:r>
      <w:r>
        <w:rPr>
          <w:rFonts w:ascii="SimSun" w:hAnsi="SimSun" w:eastAsia="SimSun" w:cs="SimSun"/>
          <w:sz w:val="21"/>
          <w:szCs w:val="21"/>
          <w:spacing w:val="-16"/>
        </w:rPr>
        <w:t>书当中，</w:t>
      </w:r>
      <w:r>
        <w:rPr>
          <w:rFonts w:ascii="SimSun" w:hAnsi="SimSun" w:eastAsia="SimSun" w:cs="SimSun"/>
          <w:sz w:val="21"/>
          <w:szCs w:val="21"/>
          <w:spacing w:val="54"/>
        </w:rPr>
        <w:t xml:space="preserve"> </w:t>
      </w:r>
      <w:r>
        <w:rPr>
          <w:rFonts w:ascii="SimSun" w:hAnsi="SimSun" w:eastAsia="SimSun" w:cs="SimSun"/>
          <w:sz w:val="21"/>
          <w:szCs w:val="21"/>
          <w:spacing w:val="-16"/>
        </w:rPr>
        <w:t>一、</w:t>
      </w:r>
      <w:r>
        <w:rPr>
          <w:rFonts w:ascii="SimSun" w:hAnsi="SimSun" w:eastAsia="SimSun" w:cs="SimSun"/>
          <w:sz w:val="21"/>
          <w:szCs w:val="21"/>
        </w:rPr>
        <w:t xml:space="preserve"> </w:t>
      </w:r>
      <w:r>
        <w:rPr>
          <w:rFonts w:ascii="SimSun" w:hAnsi="SimSun" w:eastAsia="SimSun" w:cs="SimSun"/>
          <w:sz w:val="21"/>
          <w:szCs w:val="21"/>
          <w:spacing w:val="-11"/>
        </w:rPr>
        <w:t>二审法院均认为，原告未能提供证据对相关市场进行正确的界定，也</w:t>
      </w:r>
      <w:r>
        <w:rPr>
          <w:rFonts w:ascii="SimSun" w:hAnsi="SimSun" w:eastAsia="SimSun" w:cs="SimSun"/>
          <w:sz w:val="21"/>
          <w:szCs w:val="21"/>
          <w:spacing w:val="5"/>
        </w:rPr>
        <w:t xml:space="preserve">  </w:t>
      </w:r>
      <w:r>
        <w:rPr>
          <w:rFonts w:ascii="SimSun" w:hAnsi="SimSun" w:eastAsia="SimSun" w:cs="SimSun"/>
          <w:sz w:val="21"/>
          <w:szCs w:val="21"/>
          <w:spacing w:val="-10"/>
        </w:rPr>
        <w:t>未能提供证据证明中国互联网中心的市场支配地</w:t>
      </w:r>
      <w:r>
        <w:rPr>
          <w:rFonts w:ascii="SimSun" w:hAnsi="SimSun" w:eastAsia="SimSun" w:cs="SimSun"/>
          <w:sz w:val="21"/>
          <w:szCs w:val="21"/>
          <w:spacing w:val="-11"/>
        </w:rPr>
        <w:t>位或者存在滥用市场</w:t>
      </w:r>
    </w:p>
    <w:p>
      <w:pPr>
        <w:pStyle w:val="BodyText"/>
        <w:spacing w:line="294" w:lineRule="auto"/>
        <w:rPr/>
      </w:pPr>
      <w:r/>
    </w:p>
    <w:p>
      <w:pPr>
        <w:pStyle w:val="BodyText"/>
        <w:spacing w:line="295" w:lineRule="auto"/>
        <w:rPr/>
      </w:pPr>
      <w:r/>
    </w:p>
    <w:p>
      <w:pPr>
        <w:pStyle w:val="BodyText"/>
        <w:spacing w:line="295" w:lineRule="auto"/>
        <w:rPr/>
      </w:pPr>
      <w:r/>
    </w:p>
    <w:p>
      <w:pPr>
        <w:ind w:left="349" w:right="64" w:hanging="329"/>
        <w:spacing w:before="53" w:line="289"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76"/>
        </w:rPr>
        <w:t xml:space="preserve"> </w:t>
      </w:r>
      <w:r>
        <w:rPr>
          <w:rFonts w:ascii="Times New Roman" w:hAnsi="Times New Roman" w:eastAsia="Times New Roman" w:cs="Times New Roman"/>
          <w:sz w:val="16"/>
          <w:szCs w:val="16"/>
        </w:rPr>
        <w:t>Robert</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rPr>
        <w:t>O'Donoghue,Jorge</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rPr>
        <w:t>Padill</w:t>
      </w:r>
      <w:r>
        <w:rPr>
          <w:rFonts w:ascii="Times New Roman" w:hAnsi="Times New Roman" w:eastAsia="Times New Roman" w:cs="Times New Roman"/>
          <w:sz w:val="16"/>
          <w:szCs w:val="16"/>
          <w:spacing w:val="-1"/>
        </w:rPr>
        <w:t>a,The</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spacing w:val="-1"/>
        </w:rPr>
        <w:t>Law</w:t>
      </w:r>
      <w:r>
        <w:rPr>
          <w:rFonts w:ascii="Times New Roman" w:hAnsi="Times New Roman" w:eastAsia="Times New Roman" w:cs="Times New Roman"/>
          <w:sz w:val="16"/>
          <w:szCs w:val="16"/>
          <w:spacing w:val="31"/>
          <w:w w:val="102"/>
        </w:rPr>
        <w:t xml:space="preserve"> </w:t>
      </w:r>
      <w:r>
        <w:rPr>
          <w:rFonts w:ascii="Times New Roman" w:hAnsi="Times New Roman" w:eastAsia="Times New Roman" w:cs="Times New Roman"/>
          <w:sz w:val="16"/>
          <w:szCs w:val="16"/>
          <w:spacing w:val="-1"/>
        </w:rPr>
        <w:t>and</w:t>
      </w:r>
      <w:r>
        <w:rPr>
          <w:rFonts w:ascii="Times New Roman" w:hAnsi="Times New Roman" w:eastAsia="Times New Roman" w:cs="Times New Roman"/>
          <w:sz w:val="16"/>
          <w:szCs w:val="16"/>
          <w:spacing w:val="28"/>
          <w:w w:val="102"/>
        </w:rPr>
        <w:t xml:space="preserve"> </w:t>
      </w:r>
      <w:r>
        <w:rPr>
          <w:rFonts w:ascii="Times New Roman" w:hAnsi="Times New Roman" w:eastAsia="Times New Roman" w:cs="Times New Roman"/>
          <w:sz w:val="16"/>
          <w:szCs w:val="16"/>
          <w:spacing w:val="-1"/>
        </w:rPr>
        <w:t>Economics</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spacing w:val="-1"/>
        </w:rPr>
        <w:t>Article  102</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TFEU,Hart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Publishing</w:t>
      </w:r>
      <w:r>
        <w:rPr>
          <w:rFonts w:ascii="Times New Roman" w:hAnsi="Times New Roman" w:eastAsia="Times New Roman" w:cs="Times New Roman"/>
          <w:sz w:val="16"/>
          <w:szCs w:val="16"/>
          <w:spacing w:val="1"/>
        </w:rPr>
        <w:t>,2006.</w:t>
      </w:r>
    </w:p>
    <w:p>
      <w:pPr>
        <w:spacing w:line="289" w:lineRule="auto"/>
        <w:sectPr>
          <w:headerReference w:type="default" r:id="rId522"/>
          <w:pgSz w:w="7330" w:h="12480"/>
          <w:pgMar w:top="527" w:right="575" w:bottom="400" w:left="639" w:header="365" w:footer="0" w:gutter="0"/>
        </w:sectPr>
        <w:rPr>
          <w:rFonts w:ascii="Times New Roman" w:hAnsi="Times New Roman" w:eastAsia="Times New Roman" w:cs="Times New Roman"/>
          <w:sz w:val="16"/>
          <w:szCs w:val="16"/>
        </w:rPr>
      </w:pPr>
    </w:p>
    <w:p>
      <w:pPr>
        <w:ind w:left="1999"/>
        <w:spacing w:before="222" w:line="221" w:lineRule="auto"/>
        <w:rPr>
          <w:rFonts w:ascii="SimSun" w:hAnsi="SimSun" w:eastAsia="SimSun" w:cs="SimSun"/>
          <w:sz w:val="13"/>
          <w:szCs w:val="13"/>
        </w:rPr>
      </w:pPr>
      <w:r>
        <w:drawing>
          <wp:anchor distT="0" distB="0" distL="0" distR="0" simplePos="0" relativeHeight="256219136" behindDoc="0" locked="0" layoutInCell="0" allowOverlap="1">
            <wp:simplePos x="0" y="0"/>
            <wp:positionH relativeFrom="page">
              <wp:posOffset>368313</wp:posOffset>
            </wp:positionH>
            <wp:positionV relativeFrom="page">
              <wp:posOffset>6584948</wp:posOffset>
            </wp:positionV>
            <wp:extent cx="1168384" cy="6350"/>
            <wp:effectExtent l="0" t="0" r="0" b="0"/>
            <wp:wrapNone/>
            <wp:docPr id="396" name="IM 396"/>
            <wp:cNvGraphicFramePr/>
            <a:graphic>
              <a:graphicData uri="http://schemas.openxmlformats.org/drawingml/2006/picture">
                <pic:pic>
                  <pic:nvPicPr>
                    <pic:cNvPr id="396" name="IM 396"/>
                    <pic:cNvPicPr/>
                  </pic:nvPicPr>
                  <pic:blipFill>
                    <a:blip r:embed="rId524"/>
                    <a:stretch>
                      <a:fillRect/>
                    </a:stretch>
                  </pic:blipFill>
                  <pic:spPr>
                    <a:xfrm rot="0">
                      <a:off x="0" y="0"/>
                      <a:ext cx="1168384" cy="6350"/>
                    </a:xfrm>
                    <a:prstGeom prst="rect">
                      <a:avLst/>
                    </a:prstGeom>
                  </pic:spPr>
                </pic:pic>
              </a:graphicData>
            </a:graphic>
          </wp:anchor>
        </w:drawing>
      </w:r>
      <w:r>
        <w:rPr>
          <w:rFonts w:ascii="YouYuan" w:hAnsi="YouYuan" w:eastAsia="YouYuan" w:cs="YouYuan"/>
          <w:sz w:val="20"/>
          <w:szCs w:val="20"/>
          <w:spacing w:val="-14"/>
          <w:w w:val="84"/>
        </w:rPr>
        <w:t>第十二章</w:t>
      </w:r>
      <w:r>
        <w:rPr>
          <w:rFonts w:ascii="YouYuan" w:hAnsi="YouYuan" w:eastAsia="YouYuan" w:cs="YouYuan"/>
          <w:sz w:val="20"/>
          <w:szCs w:val="20"/>
          <w:spacing w:val="-14"/>
          <w:w w:val="84"/>
        </w:rPr>
        <w:t xml:space="preserve">  </w:t>
      </w:r>
      <w:r>
        <w:rPr>
          <w:rFonts w:ascii="YouYuan" w:hAnsi="YouYuan" w:eastAsia="YouYuan" w:cs="YouYuan"/>
          <w:sz w:val="20"/>
          <w:szCs w:val="20"/>
          <w:spacing w:val="-14"/>
          <w:w w:val="84"/>
        </w:rPr>
        <w:t>平台的反垄断挑战</w:t>
      </w:r>
      <w:r>
        <w:rPr>
          <w:rFonts w:ascii="YouYuan" w:hAnsi="YouYuan" w:eastAsia="YouYuan" w:cs="YouYuan"/>
          <w:sz w:val="20"/>
          <w:szCs w:val="20"/>
          <w:spacing w:val="2"/>
        </w:rPr>
        <w:t xml:space="preserve">                 </w:t>
      </w:r>
      <w:r>
        <w:rPr>
          <w:rFonts w:ascii="SimSun" w:hAnsi="SimSun" w:eastAsia="SimSun" w:cs="SimSun"/>
          <w:sz w:val="13"/>
          <w:szCs w:val="13"/>
          <w:spacing w:val="4"/>
          <w:position w:val="-2"/>
        </w:rPr>
        <w:t>435</w:t>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65" w:line="217" w:lineRule="auto"/>
        <w:rPr>
          <w:rFonts w:ascii="SimSun" w:hAnsi="SimSun" w:eastAsia="SimSun" w:cs="SimSun"/>
          <w:sz w:val="20"/>
          <w:szCs w:val="20"/>
        </w:rPr>
      </w:pPr>
      <w:r>
        <w:rPr>
          <w:rFonts w:ascii="SimSun" w:hAnsi="SimSun" w:eastAsia="SimSun" w:cs="SimSun"/>
          <w:sz w:val="20"/>
          <w:szCs w:val="20"/>
          <w:spacing w:val="-10"/>
        </w:rPr>
        <w:t>支配地位的行为。①</w:t>
      </w:r>
    </w:p>
    <w:p>
      <w:pPr>
        <w:ind w:right="89" w:firstLine="420"/>
        <w:spacing w:before="127" w:line="332" w:lineRule="auto"/>
        <w:jc w:val="both"/>
        <w:rPr>
          <w:rFonts w:ascii="SimSun" w:hAnsi="SimSun" w:eastAsia="SimSun" w:cs="SimSun"/>
          <w:sz w:val="20"/>
          <w:szCs w:val="20"/>
        </w:rPr>
      </w:pPr>
      <w:r>
        <w:rPr>
          <w:rFonts w:ascii="SimSun" w:hAnsi="SimSun" w:eastAsia="SimSun" w:cs="SimSun"/>
          <w:sz w:val="20"/>
          <w:szCs w:val="20"/>
          <w:spacing w:val="-1"/>
        </w:rPr>
        <w:t>由于必需设施理论的争议较大、传统规制的公共承运人理论同样</w:t>
      </w:r>
      <w:r>
        <w:rPr>
          <w:rFonts w:ascii="SimSun" w:hAnsi="SimSun" w:eastAsia="SimSun" w:cs="SimSun"/>
          <w:sz w:val="20"/>
          <w:szCs w:val="20"/>
          <w:spacing w:val="17"/>
        </w:rPr>
        <w:t xml:space="preserve"> </w:t>
      </w:r>
      <w:r>
        <w:rPr>
          <w:rFonts w:ascii="SimSun" w:hAnsi="SimSun" w:eastAsia="SimSun" w:cs="SimSun"/>
          <w:sz w:val="20"/>
          <w:szCs w:val="20"/>
        </w:rPr>
        <w:t>可以实现平台的互联互通问题、竞争效果分</w:t>
      </w:r>
      <w:r>
        <w:rPr>
          <w:rFonts w:ascii="SimSun" w:hAnsi="SimSun" w:eastAsia="SimSun" w:cs="SimSun"/>
          <w:sz w:val="20"/>
          <w:szCs w:val="20"/>
          <w:spacing w:val="-1"/>
        </w:rPr>
        <w:t>析的不确性，通过拒绝交</w:t>
      </w:r>
      <w:r>
        <w:rPr>
          <w:rFonts w:ascii="SimSun" w:hAnsi="SimSun" w:eastAsia="SimSun" w:cs="SimSun"/>
          <w:sz w:val="20"/>
          <w:szCs w:val="20"/>
        </w:rPr>
        <w:t xml:space="preserve"> </w:t>
      </w:r>
      <w:r>
        <w:rPr>
          <w:rFonts w:ascii="SimSun" w:hAnsi="SimSun" w:eastAsia="SimSun" w:cs="SimSun"/>
          <w:sz w:val="20"/>
          <w:szCs w:val="20"/>
          <w:spacing w:val="-1"/>
        </w:rPr>
        <w:t>易对互联网平台企业进行规制，在理论和法律制度上存在诸多冲突和</w:t>
      </w:r>
    </w:p>
    <w:p>
      <w:pPr>
        <w:spacing w:line="219" w:lineRule="auto"/>
        <w:rPr>
          <w:rFonts w:ascii="SimSun" w:hAnsi="SimSun" w:eastAsia="SimSun" w:cs="SimSun"/>
          <w:sz w:val="20"/>
          <w:szCs w:val="20"/>
        </w:rPr>
      </w:pPr>
      <w:r>
        <w:rPr>
          <w:rFonts w:ascii="SimSun" w:hAnsi="SimSun" w:eastAsia="SimSun" w:cs="SimSun"/>
          <w:sz w:val="20"/>
          <w:szCs w:val="20"/>
          <w:spacing w:val="-3"/>
        </w:rPr>
        <w:t>障碍。</w:t>
      </w:r>
    </w:p>
    <w:p>
      <w:pPr>
        <w:pStyle w:val="BodyText"/>
        <w:spacing w:line="366" w:lineRule="auto"/>
        <w:rPr/>
      </w:pPr>
      <w:r/>
    </w:p>
    <w:p>
      <w:pPr>
        <w:ind w:left="1594"/>
        <w:spacing w:before="104" w:line="219" w:lineRule="auto"/>
        <w:rPr>
          <w:rFonts w:ascii="SimSun" w:hAnsi="SimSun" w:eastAsia="SimSun" w:cs="SimSun"/>
          <w:sz w:val="32"/>
          <w:szCs w:val="32"/>
        </w:rPr>
      </w:pPr>
      <w:r>
        <w:rPr>
          <w:rFonts w:ascii="SimSun" w:hAnsi="SimSun" w:eastAsia="SimSun" w:cs="SimSun"/>
          <w:sz w:val="32"/>
          <w:szCs w:val="32"/>
          <w:b/>
          <w:bCs/>
          <w:spacing w:val="-5"/>
        </w:rPr>
        <w:t>平台领域的合并控制</w:t>
      </w:r>
    </w:p>
    <w:p>
      <w:pPr>
        <w:pStyle w:val="BodyText"/>
        <w:spacing w:line="255" w:lineRule="auto"/>
        <w:rPr/>
      </w:pPr>
      <w:r/>
    </w:p>
    <w:p>
      <w:pPr>
        <w:ind w:left="3"/>
        <w:spacing w:before="82" w:line="219" w:lineRule="auto"/>
        <w:rPr>
          <w:rFonts w:ascii="SimSun" w:hAnsi="SimSun" w:eastAsia="SimSun" w:cs="SimSun"/>
          <w:sz w:val="25"/>
          <w:szCs w:val="25"/>
        </w:rPr>
      </w:pPr>
      <w:r>
        <w:rPr>
          <w:rFonts w:ascii="SimSun" w:hAnsi="SimSun" w:eastAsia="SimSun" w:cs="SimSun"/>
          <w:sz w:val="25"/>
          <w:szCs w:val="25"/>
          <w:b/>
          <w:bCs/>
          <w:spacing w:val="-12"/>
        </w:rPr>
        <w:t>合并控制</w:t>
      </w:r>
    </w:p>
    <w:p>
      <w:pPr>
        <w:pStyle w:val="BodyText"/>
        <w:spacing w:line="369" w:lineRule="auto"/>
        <w:rPr/>
      </w:pPr>
      <w:r/>
    </w:p>
    <w:p>
      <w:pPr>
        <w:ind w:right="88" w:firstLine="420"/>
        <w:spacing w:before="65" w:line="332" w:lineRule="auto"/>
        <w:jc w:val="both"/>
        <w:rPr>
          <w:rFonts w:ascii="SimSun" w:hAnsi="SimSun" w:eastAsia="SimSun" w:cs="SimSun"/>
          <w:sz w:val="20"/>
          <w:szCs w:val="20"/>
        </w:rPr>
      </w:pPr>
      <w:r>
        <w:rPr>
          <w:rFonts w:ascii="SimSun" w:hAnsi="SimSun" w:eastAsia="SimSun" w:cs="SimSun"/>
          <w:sz w:val="20"/>
          <w:szCs w:val="20"/>
          <w:spacing w:val="-1"/>
        </w:rPr>
        <w:t>合并控制是反垄断法中的重要制度。“当一个企业获另一个企业</w:t>
      </w:r>
      <w:r>
        <w:rPr>
          <w:rFonts w:ascii="SimSun" w:hAnsi="SimSun" w:eastAsia="SimSun" w:cs="SimSun"/>
          <w:sz w:val="20"/>
          <w:szCs w:val="20"/>
          <w:spacing w:val="18"/>
        </w:rPr>
        <w:t xml:space="preserve"> </w:t>
      </w:r>
      <w:r>
        <w:rPr>
          <w:rFonts w:ascii="SimSun" w:hAnsi="SimSun" w:eastAsia="SimSun" w:cs="SimSun"/>
          <w:sz w:val="20"/>
          <w:szCs w:val="20"/>
          <w:spacing w:val="3"/>
        </w:rPr>
        <w:t>全部或显著重要比例的生产能力时，并购就</w:t>
      </w:r>
      <w:r>
        <w:rPr>
          <w:rFonts w:ascii="SimSun" w:hAnsi="SimSun" w:eastAsia="SimSun" w:cs="SimSun"/>
          <w:sz w:val="20"/>
          <w:szCs w:val="20"/>
          <w:spacing w:val="2"/>
        </w:rPr>
        <w:t>发生了”,这是反垄断学</w:t>
      </w:r>
      <w:r>
        <w:rPr>
          <w:rFonts w:ascii="SimSun" w:hAnsi="SimSun" w:eastAsia="SimSun" w:cs="SimSun"/>
          <w:sz w:val="20"/>
          <w:szCs w:val="20"/>
        </w:rPr>
        <w:t xml:space="preserve"> </w:t>
      </w:r>
      <w:r>
        <w:rPr>
          <w:rFonts w:ascii="SimSun" w:hAnsi="SimSun" w:eastAsia="SimSun" w:cs="SimSun"/>
          <w:sz w:val="20"/>
          <w:szCs w:val="20"/>
          <w:spacing w:val="-1"/>
        </w:rPr>
        <w:t>界泰斗霍温坎普对并购的定义。他将并购进一步分为三种类型：横向</w:t>
      </w:r>
      <w:r>
        <w:rPr>
          <w:rFonts w:ascii="SimSun" w:hAnsi="SimSun" w:eastAsia="SimSun" w:cs="SimSun"/>
          <w:sz w:val="20"/>
          <w:szCs w:val="20"/>
          <w:spacing w:val="16"/>
        </w:rPr>
        <w:t xml:space="preserve"> </w:t>
      </w:r>
      <w:r>
        <w:rPr>
          <w:rFonts w:ascii="SimSun" w:hAnsi="SimSun" w:eastAsia="SimSun" w:cs="SimSun"/>
          <w:sz w:val="20"/>
          <w:szCs w:val="20"/>
          <w:spacing w:val="-1"/>
        </w:rPr>
        <w:t>并购、纵向并购、相邻市场并购。②我国在实践中的常用说法是“公</w:t>
      </w:r>
      <w:r>
        <w:rPr>
          <w:rFonts w:ascii="SimSun" w:hAnsi="SimSun" w:eastAsia="SimSun" w:cs="SimSun"/>
          <w:sz w:val="20"/>
          <w:szCs w:val="20"/>
          <w:spacing w:val="16"/>
        </w:rPr>
        <w:t xml:space="preserve"> </w:t>
      </w:r>
      <w:r>
        <w:rPr>
          <w:rFonts w:ascii="SimSun" w:hAnsi="SimSun" w:eastAsia="SimSun" w:cs="SimSun"/>
          <w:sz w:val="20"/>
          <w:szCs w:val="20"/>
          <w:spacing w:val="2"/>
        </w:rPr>
        <w:t>司收购”或“并购”,在《反垄断法》中则使用“经营者集中”的概</w:t>
      </w:r>
      <w:r>
        <w:rPr>
          <w:rFonts w:ascii="SimSun" w:hAnsi="SimSun" w:eastAsia="SimSun" w:cs="SimSun"/>
          <w:sz w:val="20"/>
          <w:szCs w:val="20"/>
          <w:spacing w:val="16"/>
        </w:rPr>
        <w:t xml:space="preserve"> </w:t>
      </w:r>
      <w:r>
        <w:rPr>
          <w:rFonts w:ascii="SimSun" w:hAnsi="SimSun" w:eastAsia="SimSun" w:cs="SimSun"/>
          <w:sz w:val="20"/>
          <w:szCs w:val="20"/>
        </w:rPr>
        <w:t>念。公司并购已经成为与公司财务、公司治理并重</w:t>
      </w:r>
      <w:r>
        <w:rPr>
          <w:rFonts w:ascii="SimSun" w:hAnsi="SimSun" w:eastAsia="SimSun" w:cs="SimSun"/>
          <w:sz w:val="20"/>
          <w:szCs w:val="20"/>
          <w:spacing w:val="-1"/>
        </w:rPr>
        <w:t>的公司法三大领域</w:t>
      </w:r>
    </w:p>
    <w:p>
      <w:pPr>
        <w:spacing w:before="1" w:line="219" w:lineRule="auto"/>
        <w:rPr>
          <w:rFonts w:ascii="SimSun" w:hAnsi="SimSun" w:eastAsia="SimSun" w:cs="SimSun"/>
          <w:sz w:val="20"/>
          <w:szCs w:val="20"/>
        </w:rPr>
      </w:pPr>
      <w:r>
        <w:rPr>
          <w:rFonts w:ascii="SimSun" w:hAnsi="SimSun" w:eastAsia="SimSun" w:cs="SimSun"/>
          <w:sz w:val="20"/>
          <w:szCs w:val="20"/>
          <w:spacing w:val="-1"/>
        </w:rPr>
        <w:t>之一，是最复杂的商业交易之一。</w:t>
      </w:r>
    </w:p>
    <w:p>
      <w:pPr>
        <w:ind w:firstLine="420"/>
        <w:spacing w:before="123" w:line="334" w:lineRule="auto"/>
        <w:jc w:val="both"/>
        <w:rPr>
          <w:rFonts w:ascii="SimSun" w:hAnsi="SimSun" w:eastAsia="SimSun" w:cs="SimSun"/>
          <w:sz w:val="20"/>
          <w:szCs w:val="20"/>
        </w:rPr>
      </w:pPr>
      <w:r>
        <w:rPr>
          <w:rFonts w:ascii="SimSun" w:hAnsi="SimSun" w:eastAsia="SimSun" w:cs="SimSun"/>
          <w:sz w:val="20"/>
          <w:szCs w:val="20"/>
          <w:spacing w:val="3"/>
        </w:rPr>
        <w:t>现行的反垄断制度通过“合并控制”或“申报”制</w:t>
      </w:r>
      <w:r>
        <w:rPr>
          <w:rFonts w:ascii="SimSun" w:hAnsi="SimSun" w:eastAsia="SimSun" w:cs="SimSun"/>
          <w:sz w:val="20"/>
          <w:szCs w:val="20"/>
          <w:spacing w:val="2"/>
        </w:rPr>
        <w:t>度做出回应。</w:t>
      </w:r>
      <w:r>
        <w:rPr>
          <w:rFonts w:ascii="SimSun" w:hAnsi="SimSun" w:eastAsia="SimSun" w:cs="SimSun"/>
          <w:sz w:val="20"/>
          <w:szCs w:val="20"/>
        </w:rPr>
        <w:t xml:space="preserve"> </w:t>
      </w:r>
      <w:r>
        <w:rPr>
          <w:rFonts w:ascii="SimSun" w:hAnsi="SimSun" w:eastAsia="SimSun" w:cs="SimSun"/>
          <w:sz w:val="20"/>
          <w:szCs w:val="20"/>
          <w:spacing w:val="6"/>
        </w:rPr>
        <w:t>例如，我国《反垄断法》第二十条至第三十一条规定了经营者集中</w:t>
      </w:r>
      <w:r>
        <w:rPr>
          <w:rFonts w:ascii="SimSun" w:hAnsi="SimSun" w:eastAsia="SimSun" w:cs="SimSun"/>
          <w:sz w:val="20"/>
          <w:szCs w:val="20"/>
          <w:spacing w:val="8"/>
        </w:rPr>
        <w:t xml:space="preserve">  </w:t>
      </w:r>
      <w:r>
        <w:rPr>
          <w:rFonts w:ascii="SimSun" w:hAnsi="SimSun" w:eastAsia="SimSun" w:cs="SimSun"/>
          <w:sz w:val="20"/>
          <w:szCs w:val="20"/>
          <w:spacing w:val="7"/>
        </w:rPr>
        <w:t>的申报与审查制度，并通过《国务院关于经营者集中申报标准的规</w:t>
      </w:r>
      <w:r>
        <w:rPr>
          <w:rFonts w:ascii="SimSun" w:hAnsi="SimSun" w:eastAsia="SimSun" w:cs="SimSun"/>
          <w:sz w:val="20"/>
          <w:szCs w:val="20"/>
          <w:spacing w:val="2"/>
        </w:rPr>
        <w:t xml:space="preserve">  </w:t>
      </w:r>
      <w:r>
        <w:rPr>
          <w:rFonts w:ascii="SimSun" w:hAnsi="SimSun" w:eastAsia="SimSun" w:cs="SimSun"/>
          <w:sz w:val="20"/>
          <w:szCs w:val="20"/>
          <w:spacing w:val="-1"/>
        </w:rPr>
        <w:t>定》《经营者集中审查暂行规定》加以细化。美国国会通过的《克莱</w:t>
      </w:r>
      <w:r>
        <w:rPr>
          <w:rFonts w:ascii="SimSun" w:hAnsi="SimSun" w:eastAsia="SimSun" w:cs="SimSun"/>
          <w:sz w:val="20"/>
          <w:szCs w:val="20"/>
          <w:spacing w:val="8"/>
        </w:rPr>
        <w:t xml:space="preserve">  </w:t>
      </w:r>
      <w:r>
        <w:rPr>
          <w:rFonts w:ascii="SimSun" w:hAnsi="SimSun" w:eastAsia="SimSun" w:cs="SimSun"/>
          <w:sz w:val="20"/>
          <w:szCs w:val="20"/>
          <w:spacing w:val="2"/>
        </w:rPr>
        <w:t>顿法》第7条中规定了并购的一般原则，即如果一项并购可能实质性</w:t>
      </w:r>
    </w:p>
    <w:p>
      <w:pPr>
        <w:spacing w:line="219" w:lineRule="auto"/>
        <w:rPr>
          <w:rFonts w:ascii="SimSun" w:hAnsi="SimSun" w:eastAsia="SimSun" w:cs="SimSun"/>
          <w:sz w:val="20"/>
          <w:szCs w:val="20"/>
        </w:rPr>
      </w:pPr>
      <w:r>
        <w:rPr>
          <w:rFonts w:ascii="SimSun" w:hAnsi="SimSun" w:eastAsia="SimSun" w:cs="SimSun"/>
          <w:sz w:val="20"/>
          <w:szCs w:val="20"/>
        </w:rPr>
        <w:t>地减少竞争或者可能产生垄断的话，并购方不得</w:t>
      </w:r>
      <w:r>
        <w:rPr>
          <w:rFonts w:ascii="SimSun" w:hAnsi="SimSun" w:eastAsia="SimSun" w:cs="SimSun"/>
          <w:sz w:val="20"/>
          <w:szCs w:val="20"/>
          <w:spacing w:val="-1"/>
        </w:rPr>
        <w:t>直接或间接地获得被</w:t>
      </w:r>
    </w:p>
    <w:p>
      <w:pPr>
        <w:pStyle w:val="BodyText"/>
        <w:spacing w:line="359" w:lineRule="auto"/>
        <w:rPr/>
      </w:pPr>
      <w:r/>
    </w:p>
    <w:p>
      <w:pPr>
        <w:ind w:left="329" w:right="51" w:hanging="329"/>
        <w:spacing w:before="66" w:line="238" w:lineRule="auto"/>
        <w:rPr>
          <w:rFonts w:ascii="SimSun" w:hAnsi="SimSun" w:eastAsia="SimSun" w:cs="SimSun"/>
          <w:sz w:val="20"/>
          <w:szCs w:val="20"/>
        </w:rPr>
      </w:pPr>
      <w:r>
        <w:rPr>
          <w:rFonts w:ascii="SimSun" w:hAnsi="SimSun" w:eastAsia="SimSun" w:cs="SimSun"/>
          <w:sz w:val="20"/>
          <w:szCs w:val="20"/>
          <w:spacing w:val="-19"/>
          <w:w w:val="93"/>
        </w:rPr>
        <w:t>①</w:t>
      </w:r>
      <w:r>
        <w:rPr>
          <w:rFonts w:ascii="SimSun" w:hAnsi="SimSun" w:eastAsia="SimSun" w:cs="SimSun"/>
          <w:sz w:val="20"/>
          <w:szCs w:val="20"/>
          <w:spacing w:val="47"/>
        </w:rPr>
        <w:t xml:space="preserve"> </w:t>
      </w:r>
      <w:r>
        <w:rPr>
          <w:rFonts w:ascii="KaiTi" w:hAnsi="KaiTi" w:eastAsia="KaiTi" w:cs="KaiTi"/>
          <w:sz w:val="20"/>
          <w:szCs w:val="20"/>
          <w:spacing w:val="-19"/>
          <w:w w:val="93"/>
        </w:rPr>
        <w:t>程旭鹏.互联网平台拒绝交易行为的竞争分析.微信公众号“互联网法治研究”,</w:t>
      </w:r>
      <w:r>
        <w:rPr>
          <w:rFonts w:ascii="KaiTi" w:hAnsi="KaiTi" w:eastAsia="KaiTi" w:cs="KaiTi"/>
          <w:sz w:val="20"/>
          <w:szCs w:val="20"/>
        </w:rPr>
        <w:t xml:space="preserve"> </w:t>
      </w:r>
      <w:r>
        <w:rPr>
          <w:rFonts w:ascii="SimSun" w:hAnsi="SimSun" w:eastAsia="SimSun" w:cs="SimSun"/>
          <w:sz w:val="20"/>
          <w:szCs w:val="20"/>
          <w:spacing w:val="-19"/>
        </w:rPr>
        <w:t>2020-05-06.</w:t>
      </w:r>
    </w:p>
    <w:p>
      <w:pPr>
        <w:ind w:left="340" w:right="67" w:hanging="340"/>
        <w:spacing w:before="51" w:line="238" w:lineRule="auto"/>
        <w:rPr>
          <w:rFonts w:ascii="KaiTi" w:hAnsi="KaiTi" w:eastAsia="KaiTi" w:cs="KaiTi"/>
          <w:sz w:val="20"/>
          <w:szCs w:val="20"/>
        </w:rPr>
      </w:pPr>
      <w:r>
        <w:rPr>
          <w:rFonts w:ascii="KaiTi" w:hAnsi="KaiTi" w:eastAsia="KaiTi" w:cs="KaiTi"/>
          <w:sz w:val="20"/>
          <w:szCs w:val="20"/>
          <w:spacing w:val="-22"/>
          <w:w w:val="93"/>
        </w:rPr>
        <w:t>②</w:t>
      </w:r>
      <w:r>
        <w:rPr>
          <w:rFonts w:ascii="KaiTi" w:hAnsi="KaiTi" w:eastAsia="KaiTi" w:cs="KaiTi"/>
          <w:sz w:val="20"/>
          <w:szCs w:val="20"/>
          <w:spacing w:val="-22"/>
          <w:w w:val="93"/>
        </w:rPr>
        <w:t xml:space="preserve">  </w:t>
      </w:r>
      <w:r>
        <w:rPr>
          <w:rFonts w:ascii="KaiTi" w:hAnsi="KaiTi" w:eastAsia="KaiTi" w:cs="KaiTi"/>
          <w:sz w:val="20"/>
          <w:szCs w:val="20"/>
          <w:spacing w:val="-22"/>
          <w:w w:val="93"/>
        </w:rPr>
        <w:t>霍温坎普对并购的定义是非常巧妙的，通过“</w:t>
      </w:r>
      <w:r>
        <w:rPr>
          <w:rFonts w:ascii="KaiTi" w:hAnsi="KaiTi" w:eastAsia="KaiTi" w:cs="KaiTi"/>
          <w:sz w:val="20"/>
          <w:szCs w:val="20"/>
          <w:spacing w:val="-23"/>
          <w:w w:val="93"/>
        </w:rPr>
        <w:t>生产能力”的描述，实际上绕开了</w:t>
      </w:r>
      <w:r>
        <w:rPr>
          <w:rFonts w:ascii="KaiTi" w:hAnsi="KaiTi" w:eastAsia="KaiTi" w:cs="KaiTi"/>
          <w:sz w:val="20"/>
          <w:szCs w:val="20"/>
        </w:rPr>
        <w:t xml:space="preserve"> </w:t>
      </w:r>
      <w:r>
        <w:rPr>
          <w:rFonts w:ascii="KaiTi" w:hAnsi="KaiTi" w:eastAsia="KaiTi" w:cs="KaiTi"/>
          <w:sz w:val="20"/>
          <w:szCs w:val="20"/>
          <w:spacing w:val="-29"/>
          <w:w w:val="95"/>
        </w:rPr>
        <w:t>较为困难的“控制力”的界定。</w:t>
      </w:r>
    </w:p>
    <w:p>
      <w:pPr>
        <w:spacing w:line="238" w:lineRule="auto"/>
        <w:sectPr>
          <w:headerReference w:type="default" r:id="rId1"/>
          <w:pgSz w:w="7330" w:h="12480"/>
          <w:pgMar w:top="400" w:right="660" w:bottom="400" w:left="569" w:header="0" w:footer="0" w:gutter="0"/>
        </w:sectPr>
        <w:rPr>
          <w:rFonts w:ascii="KaiTi" w:hAnsi="KaiTi" w:eastAsia="KaiTi" w:cs="KaiTi"/>
          <w:sz w:val="20"/>
          <w:szCs w:val="20"/>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firstLine="95"/>
        <w:spacing w:before="62" w:line="350" w:lineRule="auto"/>
        <w:jc w:val="both"/>
        <w:rPr>
          <w:rFonts w:ascii="SimSun" w:hAnsi="SimSun" w:eastAsia="SimSun" w:cs="SimSun"/>
          <w:sz w:val="19"/>
          <w:szCs w:val="19"/>
        </w:rPr>
      </w:pPr>
      <w:r>
        <w:rPr>
          <w:rFonts w:ascii="SimSun" w:hAnsi="SimSun" w:eastAsia="SimSun" w:cs="SimSun"/>
          <w:sz w:val="19"/>
          <w:szCs w:val="19"/>
          <w:spacing w:val="10"/>
        </w:rPr>
        <w:t>并购方的股份或其他形式的股本；还规定了</w:t>
      </w:r>
      <w:r>
        <w:rPr>
          <w:rFonts w:ascii="SimSun" w:hAnsi="SimSun" w:eastAsia="SimSun" w:cs="SimSun"/>
          <w:sz w:val="19"/>
          <w:szCs w:val="19"/>
          <w:spacing w:val="9"/>
        </w:rPr>
        <w:t>相应的初步禁令程序和民</w:t>
      </w:r>
      <w:r>
        <w:rPr>
          <w:rFonts w:ascii="SimSun" w:hAnsi="SimSun" w:eastAsia="SimSun" w:cs="SimSun"/>
          <w:sz w:val="19"/>
          <w:szCs w:val="19"/>
        </w:rPr>
        <w:t xml:space="preserve">  </w:t>
      </w:r>
      <w:r>
        <w:rPr>
          <w:rFonts w:ascii="SimSun" w:hAnsi="SimSun" w:eastAsia="SimSun" w:cs="SimSun"/>
          <w:sz w:val="19"/>
          <w:szCs w:val="19"/>
          <w:spacing w:val="12"/>
        </w:rPr>
        <w:t>事惩罚、合规程序，同时通过联邦贸易委员会出台的《委员会资产剥</w:t>
      </w:r>
      <w:r>
        <w:rPr>
          <w:rFonts w:ascii="SimSun" w:hAnsi="SimSun" w:eastAsia="SimSun" w:cs="SimSun"/>
          <w:sz w:val="19"/>
          <w:szCs w:val="19"/>
          <w:spacing w:val="3"/>
        </w:rPr>
        <w:t xml:space="preserve">  </w:t>
      </w:r>
      <w:r>
        <w:rPr>
          <w:rFonts w:ascii="SimSun" w:hAnsi="SimSun" w:eastAsia="SimSun" w:cs="SimSun"/>
          <w:sz w:val="19"/>
          <w:szCs w:val="19"/>
          <w:spacing w:val="11"/>
        </w:rPr>
        <w:t>离过程研究》(1999)、《关于合并救济谈判的陈</w:t>
      </w:r>
      <w:r>
        <w:rPr>
          <w:rFonts w:ascii="SimSun" w:hAnsi="SimSun" w:eastAsia="SimSun" w:cs="SimSun"/>
          <w:sz w:val="19"/>
          <w:szCs w:val="19"/>
          <w:spacing w:val="10"/>
        </w:rPr>
        <w:t>述》(2003)、司法部</w:t>
      </w:r>
      <w:r>
        <w:rPr>
          <w:rFonts w:ascii="SimSun" w:hAnsi="SimSun" w:eastAsia="SimSun" w:cs="SimSun"/>
          <w:sz w:val="19"/>
          <w:szCs w:val="19"/>
        </w:rPr>
        <w:t xml:space="preserve">  </w:t>
      </w:r>
      <w:r>
        <w:rPr>
          <w:rFonts w:ascii="SimSun" w:hAnsi="SimSun" w:eastAsia="SimSun" w:cs="SimSun"/>
          <w:sz w:val="19"/>
          <w:szCs w:val="19"/>
          <w:spacing w:val="8"/>
        </w:rPr>
        <w:t>《关于合并补救的政策指南》(2004)将整体的并购控制制度加以完善。</w:t>
      </w:r>
      <w:r>
        <w:rPr>
          <w:rFonts w:ascii="SimSun" w:hAnsi="SimSun" w:eastAsia="SimSun" w:cs="SimSun"/>
          <w:sz w:val="19"/>
          <w:szCs w:val="19"/>
          <w:spacing w:val="6"/>
        </w:rPr>
        <w:t xml:space="preserve"> </w:t>
      </w:r>
      <w:r>
        <w:rPr>
          <w:rFonts w:ascii="SimSun" w:hAnsi="SimSun" w:eastAsia="SimSun" w:cs="SimSun"/>
          <w:sz w:val="19"/>
          <w:szCs w:val="19"/>
          <w:spacing w:val="13"/>
        </w:rPr>
        <w:t>欧盟也以《欧盟运行条约》为并购申报的基本原则</w:t>
      </w:r>
      <w:r>
        <w:rPr>
          <w:rFonts w:ascii="SimSun" w:hAnsi="SimSun" w:eastAsia="SimSun" w:cs="SimSun"/>
          <w:sz w:val="19"/>
          <w:szCs w:val="19"/>
          <w:spacing w:val="12"/>
        </w:rPr>
        <w:t>，以《关于控制企</w:t>
      </w:r>
      <w:r>
        <w:rPr>
          <w:rFonts w:ascii="SimSun" w:hAnsi="SimSun" w:eastAsia="SimSun" w:cs="SimSun"/>
          <w:sz w:val="19"/>
          <w:szCs w:val="19"/>
        </w:rPr>
        <w:t xml:space="preserve">  </w:t>
      </w:r>
      <w:r>
        <w:rPr>
          <w:rFonts w:ascii="SimSun" w:hAnsi="SimSun" w:eastAsia="SimSun" w:cs="SimSun"/>
          <w:sz w:val="19"/>
          <w:szCs w:val="19"/>
          <w:spacing w:val="9"/>
        </w:rPr>
        <w:t>业集中的</w:t>
      </w:r>
      <w:r>
        <w:rPr>
          <w:rFonts w:ascii="SimSun" w:hAnsi="SimSun" w:eastAsia="SimSun" w:cs="SimSun"/>
          <w:sz w:val="19"/>
          <w:szCs w:val="19"/>
          <w:spacing w:val="-50"/>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EC</w:t>
      </w:r>
      <w:r>
        <w:rPr>
          <w:rFonts w:ascii="Times New Roman" w:hAnsi="Times New Roman" w:eastAsia="Times New Roman" w:cs="Times New Roman"/>
          <w:sz w:val="19"/>
          <w:szCs w:val="19"/>
          <w:spacing w:val="9"/>
        </w:rPr>
        <w:t>)    </w:t>
      </w:r>
      <w:r>
        <w:rPr>
          <w:rFonts w:ascii="SimSun" w:hAnsi="SimSun" w:eastAsia="SimSun" w:cs="SimSun"/>
          <w:sz w:val="19"/>
          <w:szCs w:val="19"/>
          <w:spacing w:val="9"/>
        </w:rPr>
        <w:t>第139/2004号理事会条例》(2</w:t>
      </w:r>
      <w:r>
        <w:rPr>
          <w:rFonts w:ascii="SimSun" w:hAnsi="SimSun" w:eastAsia="SimSun" w:cs="SimSun"/>
          <w:sz w:val="19"/>
          <w:szCs w:val="19"/>
          <w:spacing w:val="8"/>
        </w:rPr>
        <w:t>004)、《关于执行〈关</w:t>
      </w:r>
      <w:r>
        <w:rPr>
          <w:rFonts w:ascii="SimSun" w:hAnsi="SimSun" w:eastAsia="SimSun" w:cs="SimSun"/>
          <w:sz w:val="19"/>
          <w:szCs w:val="19"/>
        </w:rPr>
        <w:t xml:space="preserve">  </w:t>
      </w:r>
      <w:r>
        <w:rPr>
          <w:rFonts w:ascii="SimSun" w:hAnsi="SimSun" w:eastAsia="SimSun" w:cs="SimSun"/>
          <w:sz w:val="19"/>
          <w:szCs w:val="19"/>
          <w:spacing w:val="15"/>
        </w:rPr>
        <w:t>于控制企业集中的(</w:t>
      </w:r>
      <w:r>
        <w:rPr>
          <w:rFonts w:ascii="SimSun" w:hAnsi="SimSun" w:eastAsia="SimSun" w:cs="SimSun"/>
          <w:sz w:val="19"/>
          <w:szCs w:val="19"/>
        </w:rPr>
        <w:t>EC</w:t>
      </w:r>
      <w:r>
        <w:rPr>
          <w:rFonts w:ascii="SimSun" w:hAnsi="SimSun" w:eastAsia="SimSun" w:cs="SimSun"/>
          <w:sz w:val="19"/>
          <w:szCs w:val="19"/>
          <w:spacing w:val="15"/>
        </w:rPr>
        <w:t>)  第139/2004号理事会条例〉第802/2004</w:t>
      </w:r>
      <w:r>
        <w:rPr>
          <w:rFonts w:ascii="SimSun" w:hAnsi="SimSun" w:eastAsia="SimSun" w:cs="SimSun"/>
          <w:sz w:val="19"/>
          <w:szCs w:val="19"/>
          <w:spacing w:val="14"/>
        </w:rPr>
        <w:t>号 </w:t>
      </w:r>
      <w:r>
        <w:rPr>
          <w:rFonts w:ascii="SimSun" w:hAnsi="SimSun" w:eastAsia="SimSun" w:cs="SimSun"/>
          <w:sz w:val="19"/>
          <w:szCs w:val="19"/>
          <w:spacing w:val="20"/>
        </w:rPr>
        <w:t>委员会条例》(2004)为具体框架规则。此外，全球100多个法域</w:t>
      </w:r>
      <w:r>
        <w:rPr>
          <w:rFonts w:ascii="SimSun" w:hAnsi="SimSun" w:eastAsia="SimSun" w:cs="SimSun"/>
          <w:sz w:val="19"/>
          <w:szCs w:val="19"/>
          <w:spacing w:val="19"/>
        </w:rPr>
        <w:t>在 </w:t>
      </w:r>
      <w:r>
        <w:rPr>
          <w:rFonts w:ascii="SimSun" w:hAnsi="SimSun" w:eastAsia="SimSun" w:cs="SimSun"/>
          <w:sz w:val="19"/>
          <w:szCs w:val="19"/>
          <w:spacing w:val="13"/>
        </w:rPr>
        <w:t>反垄断立法中也都设置了并购控制或经营者集中申</w:t>
      </w:r>
      <w:r>
        <w:rPr>
          <w:rFonts w:ascii="SimSun" w:hAnsi="SimSun" w:eastAsia="SimSun" w:cs="SimSun"/>
          <w:sz w:val="19"/>
          <w:szCs w:val="19"/>
          <w:spacing w:val="12"/>
        </w:rPr>
        <w:t>报的具体规则，大</w:t>
      </w:r>
      <w:r>
        <w:rPr>
          <w:rFonts w:ascii="SimSun" w:hAnsi="SimSun" w:eastAsia="SimSun" w:cs="SimSun"/>
          <w:sz w:val="19"/>
          <w:szCs w:val="19"/>
        </w:rPr>
        <w:t xml:space="preserve">  </w:t>
      </w:r>
      <w:r>
        <w:rPr>
          <w:rFonts w:ascii="SimSun" w:hAnsi="SimSun" w:eastAsia="SimSun" w:cs="SimSun"/>
          <w:sz w:val="19"/>
          <w:szCs w:val="19"/>
          <w:spacing w:val="15"/>
        </w:rPr>
        <w:t>多列明了参与集中经营者交易前的强制申报义务、相应的审查时间、</w:t>
      </w:r>
      <w:r>
        <w:rPr>
          <w:rFonts w:ascii="SimSun" w:hAnsi="SimSun" w:eastAsia="SimSun" w:cs="SimSun"/>
          <w:sz w:val="19"/>
          <w:szCs w:val="19"/>
          <w:spacing w:val="18"/>
        </w:rPr>
        <w:t xml:space="preserve"> </w:t>
      </w:r>
      <w:r>
        <w:rPr>
          <w:rFonts w:ascii="SimSun" w:hAnsi="SimSun" w:eastAsia="SimSun" w:cs="SimSun"/>
          <w:sz w:val="19"/>
          <w:szCs w:val="19"/>
          <w:spacing w:val="12"/>
        </w:rPr>
        <w:t>申报门槛。各法域的反垄断执法部门也对并购控制政策较为重视，英</w:t>
      </w:r>
    </w:p>
    <w:p>
      <w:pPr>
        <w:ind w:left="95"/>
        <w:spacing w:line="217" w:lineRule="auto"/>
        <w:rPr>
          <w:rFonts w:ascii="SimSun" w:hAnsi="SimSun" w:eastAsia="SimSun" w:cs="SimSun"/>
          <w:sz w:val="19"/>
          <w:szCs w:val="19"/>
        </w:rPr>
      </w:pPr>
      <w:r>
        <w:rPr>
          <w:rFonts w:ascii="SimSun" w:hAnsi="SimSun" w:eastAsia="SimSun" w:cs="SimSun"/>
          <w:sz w:val="19"/>
          <w:szCs w:val="19"/>
          <w:spacing w:val="7"/>
        </w:rPr>
        <w:t>国、美国、加拿大等都出台了并购控制救济措</w:t>
      </w:r>
      <w:r>
        <w:rPr>
          <w:rFonts w:ascii="SimSun" w:hAnsi="SimSun" w:eastAsia="SimSun" w:cs="SimSun"/>
          <w:sz w:val="19"/>
          <w:szCs w:val="19"/>
          <w:spacing w:val="6"/>
        </w:rPr>
        <w:t>施的评估研究报告。</w:t>
      </w:r>
    </w:p>
    <w:p>
      <w:pPr>
        <w:ind w:left="95" w:firstLine="420"/>
        <w:spacing w:before="145" w:line="350" w:lineRule="auto"/>
        <w:jc w:val="both"/>
        <w:rPr>
          <w:rFonts w:ascii="SimSun" w:hAnsi="SimSun" w:eastAsia="SimSun" w:cs="SimSun"/>
          <w:sz w:val="19"/>
          <w:szCs w:val="19"/>
        </w:rPr>
      </w:pPr>
      <w:r>
        <w:rPr>
          <w:rFonts w:ascii="SimSun" w:hAnsi="SimSun" w:eastAsia="SimSun" w:cs="SimSun"/>
          <w:sz w:val="19"/>
          <w:szCs w:val="19"/>
          <w:spacing w:val="16"/>
        </w:rPr>
        <w:t>霍温坎普认为，在互联网企业、平台企业兴起引发全球反垄断 </w:t>
      </w:r>
      <w:r>
        <w:rPr>
          <w:rFonts w:ascii="SimSun" w:hAnsi="SimSun" w:eastAsia="SimSun" w:cs="SimSun"/>
          <w:sz w:val="19"/>
          <w:szCs w:val="19"/>
          <w:spacing w:val="10"/>
        </w:rPr>
        <w:t>浪潮之前，对三类并购类型的态度分别是：</w:t>
      </w:r>
      <w:r>
        <w:rPr>
          <w:rFonts w:ascii="SimSun" w:hAnsi="SimSun" w:eastAsia="SimSun" w:cs="SimSun"/>
          <w:sz w:val="19"/>
          <w:szCs w:val="19"/>
          <w:spacing w:val="9"/>
        </w:rPr>
        <w:t>第一，对同一相关市场内 </w:t>
      </w:r>
      <w:r>
        <w:rPr>
          <w:rFonts w:ascii="SimSun" w:hAnsi="SimSun" w:eastAsia="SimSun" w:cs="SimSun"/>
          <w:sz w:val="19"/>
          <w:szCs w:val="19"/>
          <w:spacing w:val="10"/>
        </w:rPr>
        <w:t>横向并购的态度较为严厉，若一桩横向并购</w:t>
      </w:r>
      <w:r>
        <w:rPr>
          <w:rFonts w:ascii="SimSun" w:hAnsi="SimSun" w:eastAsia="SimSun" w:cs="SimSun"/>
          <w:sz w:val="19"/>
          <w:szCs w:val="19"/>
          <w:spacing w:val="9"/>
        </w:rPr>
        <w:t>可能使得并购后的企业单 </w:t>
      </w:r>
      <w:r>
        <w:rPr>
          <w:rFonts w:ascii="SimSun" w:hAnsi="SimSun" w:eastAsia="SimSun" w:cs="SimSun"/>
          <w:sz w:val="19"/>
          <w:szCs w:val="19"/>
          <w:spacing w:val="10"/>
        </w:rPr>
        <w:t>边涨价或与市场内其他企业实施显性或隐性合谋，则认为其违法；第</w:t>
      </w:r>
      <w:r>
        <w:rPr>
          <w:rFonts w:ascii="SimSun" w:hAnsi="SimSun" w:eastAsia="SimSun" w:cs="SimSun"/>
          <w:sz w:val="19"/>
          <w:szCs w:val="19"/>
          <w:spacing w:val="11"/>
        </w:rPr>
        <w:t xml:space="preserve"> </w:t>
      </w:r>
      <w:r>
        <w:rPr>
          <w:rFonts w:ascii="SimSun" w:hAnsi="SimSun" w:eastAsia="SimSun" w:cs="SimSun"/>
          <w:sz w:val="19"/>
          <w:szCs w:val="19"/>
          <w:spacing w:val="9"/>
        </w:rPr>
        <w:t>二，对纵向并购的态度已经放松，虽然历史上的许多桩纵向并购</w:t>
      </w:r>
      <w:r>
        <w:rPr>
          <w:rFonts w:ascii="SimSun" w:hAnsi="SimSun" w:eastAsia="SimSun" w:cs="SimSun"/>
          <w:sz w:val="19"/>
          <w:szCs w:val="19"/>
          <w:u w:val="single" w:color="auto"/>
          <w:spacing w:val="9"/>
        </w:rPr>
        <w:t>也遭</w:t>
      </w:r>
      <w:r>
        <w:rPr>
          <w:rFonts w:ascii="SimSun" w:hAnsi="SimSun" w:eastAsia="SimSun" w:cs="SimSun"/>
          <w:sz w:val="19"/>
          <w:szCs w:val="19"/>
          <w:spacing w:val="8"/>
        </w:rPr>
        <w:t xml:space="preserve">  </w:t>
      </w:r>
      <w:r>
        <w:rPr>
          <w:rFonts w:ascii="SimSun" w:hAnsi="SimSun" w:eastAsia="SimSun" w:cs="SimSun"/>
          <w:sz w:val="19"/>
          <w:szCs w:val="19"/>
          <w:spacing w:val="9"/>
        </w:rPr>
        <w:t>到法律的“谴责”;第三，相邻市场并购则存在一些过时失效的规则，</w:t>
      </w:r>
      <w:r>
        <w:rPr>
          <w:rFonts w:ascii="SimSun" w:hAnsi="SimSun" w:eastAsia="SimSun" w:cs="SimSun"/>
          <w:sz w:val="19"/>
          <w:szCs w:val="19"/>
        </w:rPr>
        <w:t xml:space="preserve"> </w:t>
      </w:r>
      <w:r>
        <w:rPr>
          <w:rFonts w:ascii="SimSun" w:hAnsi="SimSun" w:eastAsia="SimSun" w:cs="SimSun"/>
          <w:sz w:val="19"/>
          <w:szCs w:val="19"/>
          <w:spacing w:val="10"/>
        </w:rPr>
        <w:t>但实施几乎没有。总体而言，反垄断法倾向于允许并购案发生，因为</w:t>
      </w:r>
    </w:p>
    <w:p>
      <w:pPr>
        <w:ind w:left="95"/>
        <w:spacing w:line="218" w:lineRule="auto"/>
        <w:rPr>
          <w:rFonts w:ascii="SimSun" w:hAnsi="SimSun" w:eastAsia="SimSun" w:cs="SimSun"/>
          <w:sz w:val="19"/>
          <w:szCs w:val="19"/>
        </w:rPr>
      </w:pPr>
      <w:r>
        <w:rPr>
          <w:rFonts w:ascii="SimSun" w:hAnsi="SimSun" w:eastAsia="SimSun" w:cs="SimSun"/>
          <w:sz w:val="19"/>
          <w:szCs w:val="19"/>
          <w:spacing w:val="9"/>
        </w:rPr>
        <w:t>并购让企业减少成本，从而更有效地展开竞争，甚至</w:t>
      </w:r>
      <w:r>
        <w:rPr>
          <w:rFonts w:ascii="SimSun" w:hAnsi="SimSun" w:eastAsia="SimSun" w:cs="SimSun"/>
          <w:sz w:val="19"/>
          <w:szCs w:val="19"/>
          <w:spacing w:val="8"/>
        </w:rPr>
        <w:t>增加规模经济。</w:t>
      </w:r>
    </w:p>
    <w:p>
      <w:pPr>
        <w:pStyle w:val="BodyText"/>
        <w:spacing w:line="406" w:lineRule="auto"/>
        <w:rPr/>
      </w:pPr>
      <w:r/>
    </w:p>
    <w:p>
      <w:pPr>
        <w:ind w:left="98"/>
        <w:spacing w:before="75" w:line="222" w:lineRule="auto"/>
        <w:rPr>
          <w:rFonts w:ascii="SimHei" w:hAnsi="SimHei" w:eastAsia="SimHei" w:cs="SimHei"/>
          <w:sz w:val="23"/>
          <w:szCs w:val="23"/>
        </w:rPr>
      </w:pPr>
      <w:r>
        <w:rPr>
          <w:rFonts w:ascii="SimHei" w:hAnsi="SimHei" w:eastAsia="SimHei" w:cs="SimHei"/>
          <w:sz w:val="23"/>
          <w:szCs w:val="23"/>
          <w:b/>
          <w:bCs/>
          <w:spacing w:val="6"/>
        </w:rPr>
        <w:t>平台并购活跃</w:t>
      </w:r>
    </w:p>
    <w:p>
      <w:pPr>
        <w:pStyle w:val="BodyText"/>
        <w:spacing w:line="389" w:lineRule="auto"/>
        <w:rPr/>
      </w:pPr>
      <w:r/>
    </w:p>
    <w:p>
      <w:pPr>
        <w:ind w:left="95" w:right="59" w:firstLine="420"/>
        <w:spacing w:before="62" w:line="350" w:lineRule="auto"/>
        <w:jc w:val="both"/>
        <w:rPr>
          <w:rFonts w:ascii="SimSun" w:hAnsi="SimSun" w:eastAsia="SimSun" w:cs="SimSun"/>
          <w:sz w:val="19"/>
          <w:szCs w:val="19"/>
        </w:rPr>
      </w:pPr>
      <w:r>
        <w:rPr>
          <w:rFonts w:ascii="SimSun" w:hAnsi="SimSun" w:eastAsia="SimSun" w:cs="SimSun"/>
          <w:sz w:val="19"/>
          <w:szCs w:val="19"/>
          <w:spacing w:val="16"/>
        </w:rPr>
        <w:t>平台并购潮事实上从21世纪初期就浮现了，只是最近几年由于</w:t>
      </w:r>
      <w:r>
        <w:rPr>
          <w:rFonts w:ascii="SimSun" w:hAnsi="SimSun" w:eastAsia="SimSun" w:cs="SimSun"/>
          <w:sz w:val="19"/>
          <w:szCs w:val="19"/>
          <w:spacing w:val="11"/>
        </w:rPr>
        <w:t xml:space="preserve"> </w:t>
      </w:r>
      <w:r>
        <w:rPr>
          <w:rFonts w:ascii="SimSun" w:hAnsi="SimSun" w:eastAsia="SimSun" w:cs="SimSun"/>
          <w:sz w:val="19"/>
          <w:szCs w:val="19"/>
          <w:spacing w:val="10"/>
        </w:rPr>
        <w:t>社会环境、经济形势、政策导向的转变，逐渐引起反垄断立法部门与</w:t>
      </w:r>
      <w:r>
        <w:rPr>
          <w:rFonts w:ascii="SimSun" w:hAnsi="SimSun" w:eastAsia="SimSun" w:cs="SimSun"/>
          <w:sz w:val="19"/>
          <w:szCs w:val="19"/>
          <w:spacing w:val="14"/>
        </w:rPr>
        <w:t xml:space="preserve"> </w:t>
      </w:r>
      <w:r>
        <w:rPr>
          <w:rFonts w:ascii="SimSun" w:hAnsi="SimSun" w:eastAsia="SimSun" w:cs="SimSun"/>
          <w:sz w:val="19"/>
          <w:szCs w:val="19"/>
          <w:spacing w:val="10"/>
        </w:rPr>
        <w:t>执法部门的重视，也得到了人们的关注。麻省理工学</w:t>
      </w:r>
      <w:r>
        <w:rPr>
          <w:rFonts w:ascii="SimSun" w:hAnsi="SimSun" w:eastAsia="SimSun" w:cs="SimSun"/>
          <w:sz w:val="19"/>
          <w:szCs w:val="19"/>
          <w:spacing w:val="9"/>
        </w:rPr>
        <w:t>院的杰弗里·帕</w:t>
      </w:r>
    </w:p>
    <w:p>
      <w:pPr>
        <w:ind w:left="95"/>
        <w:spacing w:before="1" w:line="218" w:lineRule="auto"/>
        <w:rPr>
          <w:rFonts w:ascii="SimSun" w:hAnsi="SimSun" w:eastAsia="SimSun" w:cs="SimSun"/>
          <w:sz w:val="19"/>
          <w:szCs w:val="19"/>
        </w:rPr>
      </w:pPr>
      <w:r>
        <w:rPr>
          <w:rFonts w:ascii="SimSun" w:hAnsi="SimSun" w:eastAsia="SimSun" w:cs="SimSun"/>
          <w:sz w:val="19"/>
          <w:szCs w:val="19"/>
          <w:spacing w:val="16"/>
        </w:rPr>
        <w:t>克教授团队的研究统计显示，谷歌、亚马逊、脸书、苹果、微软从</w:t>
      </w:r>
    </w:p>
    <w:p>
      <w:pPr>
        <w:spacing w:line="218" w:lineRule="auto"/>
        <w:sectPr>
          <w:headerReference w:type="default" r:id="rId525"/>
          <w:pgSz w:w="7330" w:h="12480"/>
          <w:pgMar w:top="517" w:right="595" w:bottom="400" w:left="564" w:header="355" w:footer="0" w:gutter="0"/>
        </w:sectPr>
        <w:rPr>
          <w:rFonts w:ascii="SimSun" w:hAnsi="SimSun" w:eastAsia="SimSun" w:cs="SimSun"/>
          <w:sz w:val="19"/>
          <w:szCs w:val="19"/>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spacing w:before="71" w:line="290" w:lineRule="auto"/>
        <w:jc w:val="both"/>
        <w:rPr>
          <w:rFonts w:ascii="SimSun" w:hAnsi="SimSun" w:eastAsia="SimSun" w:cs="SimSun"/>
          <w:sz w:val="22"/>
          <w:szCs w:val="22"/>
        </w:rPr>
      </w:pPr>
      <w:r>
        <w:rPr>
          <w:rFonts w:ascii="SimSun" w:hAnsi="SimSun" w:eastAsia="SimSun" w:cs="SimSun"/>
          <w:sz w:val="22"/>
          <w:szCs w:val="22"/>
          <w:spacing w:val="-9"/>
        </w:rPr>
        <w:t>1988年至2020年总共完成了855桩并购案，其中苹果的并购案数量</w:t>
      </w:r>
      <w:r>
        <w:rPr>
          <w:rFonts w:ascii="SimSun" w:hAnsi="SimSun" w:eastAsia="SimSun" w:cs="SimSun"/>
          <w:sz w:val="22"/>
          <w:szCs w:val="22"/>
          <w:spacing w:val="1"/>
        </w:rPr>
        <w:t xml:space="preserve">  </w:t>
      </w:r>
      <w:r>
        <w:rPr>
          <w:rFonts w:ascii="SimSun" w:hAnsi="SimSun" w:eastAsia="SimSun" w:cs="SimSun"/>
          <w:sz w:val="22"/>
          <w:szCs w:val="22"/>
          <w:spacing w:val="-9"/>
        </w:rPr>
        <w:t>为128桩，微软的并购案数量为269桩，亚马逊的并购案数量为107</w:t>
      </w:r>
      <w:r>
        <w:rPr>
          <w:rFonts w:ascii="SimSun" w:hAnsi="SimSun" w:eastAsia="SimSun" w:cs="SimSun"/>
          <w:sz w:val="22"/>
          <w:szCs w:val="22"/>
          <w:spacing w:val="9"/>
        </w:rPr>
        <w:t xml:space="preserve">  </w:t>
      </w:r>
      <w:r>
        <w:rPr>
          <w:rFonts w:ascii="SimSun" w:hAnsi="SimSun" w:eastAsia="SimSun" w:cs="SimSun"/>
          <w:sz w:val="22"/>
          <w:szCs w:val="22"/>
          <w:spacing w:val="-12"/>
        </w:rPr>
        <w:t>桩，谷歌的并购案数量为249桩，脸书的并购案数量为10</w:t>
      </w:r>
      <w:r>
        <w:rPr>
          <w:rFonts w:ascii="SimSun" w:hAnsi="SimSun" w:eastAsia="SimSun" w:cs="SimSun"/>
          <w:sz w:val="22"/>
          <w:szCs w:val="22"/>
          <w:spacing w:val="-13"/>
        </w:rPr>
        <w:t>2桩。由于</w:t>
      </w:r>
      <w:r>
        <w:rPr>
          <w:rFonts w:ascii="SimSun" w:hAnsi="SimSun" w:eastAsia="SimSun" w:cs="SimSun"/>
          <w:sz w:val="22"/>
          <w:szCs w:val="22"/>
        </w:rPr>
        <w:t xml:space="preserve">  </w:t>
      </w:r>
      <w:r>
        <w:rPr>
          <w:rFonts w:ascii="SimSun" w:hAnsi="SimSun" w:eastAsia="SimSun" w:cs="SimSun"/>
          <w:sz w:val="22"/>
          <w:szCs w:val="22"/>
          <w:spacing w:val="-20"/>
        </w:rPr>
        <w:t>前述五个平台企业开始经营的年份并不相同</w:t>
      </w:r>
      <w:r>
        <w:rPr>
          <w:rFonts w:ascii="SimSun" w:hAnsi="SimSun" w:eastAsia="SimSun" w:cs="SimSun"/>
          <w:sz w:val="22"/>
          <w:szCs w:val="22"/>
          <w:spacing w:val="-21"/>
        </w:rPr>
        <w:t>，故从并购频率来看，谷</w:t>
      </w:r>
      <w:r>
        <w:rPr>
          <w:rFonts w:ascii="SimSun" w:hAnsi="SimSun" w:eastAsia="SimSun" w:cs="SimSun"/>
          <w:sz w:val="22"/>
          <w:szCs w:val="22"/>
        </w:rPr>
        <w:t xml:space="preserve">  </w:t>
      </w:r>
      <w:r>
        <w:rPr>
          <w:rFonts w:ascii="SimSun" w:hAnsi="SimSun" w:eastAsia="SimSun" w:cs="SimSun"/>
          <w:sz w:val="22"/>
          <w:szCs w:val="22"/>
          <w:spacing w:val="-11"/>
        </w:rPr>
        <w:t>歌最多，为13.1次/年，其次是微软的9.0次1年，再次是脸书</w:t>
      </w:r>
      <w:r>
        <w:rPr>
          <w:rFonts w:ascii="SimSun" w:hAnsi="SimSun" w:eastAsia="SimSun" w:cs="SimSun"/>
          <w:sz w:val="22"/>
          <w:szCs w:val="22"/>
          <w:spacing w:val="-12"/>
        </w:rPr>
        <w:t>的6.8</w:t>
      </w:r>
      <w:r>
        <w:rPr>
          <w:rFonts w:ascii="SimSun" w:hAnsi="SimSun" w:eastAsia="SimSun" w:cs="SimSun"/>
          <w:sz w:val="22"/>
          <w:szCs w:val="22"/>
        </w:rPr>
        <w:t xml:space="preserve">  </w:t>
      </w:r>
      <w:r>
        <w:rPr>
          <w:rFonts w:ascii="SimSun" w:hAnsi="SimSun" w:eastAsia="SimSun" w:cs="SimSun"/>
          <w:sz w:val="22"/>
          <w:szCs w:val="22"/>
          <w:spacing w:val="-9"/>
        </w:rPr>
        <w:t>次/年，然后是亚马逊的4.9次/年，最后是苹果的4.0次/年。具体</w:t>
      </w:r>
      <w:r>
        <w:rPr>
          <w:rFonts w:ascii="SimSun" w:hAnsi="SimSun" w:eastAsia="SimSun" w:cs="SimSun"/>
          <w:sz w:val="22"/>
          <w:szCs w:val="22"/>
          <w:spacing w:val="7"/>
        </w:rPr>
        <w:t xml:space="preserve">  </w:t>
      </w:r>
      <w:r>
        <w:rPr>
          <w:rFonts w:ascii="SimSun" w:hAnsi="SimSun" w:eastAsia="SimSun" w:cs="SimSun"/>
          <w:sz w:val="22"/>
          <w:szCs w:val="22"/>
          <w:spacing w:val="-9"/>
        </w:rPr>
        <w:t>而言，谷歌最昂贵的并购案是2011年花费125亿美</w:t>
      </w:r>
      <w:r>
        <w:rPr>
          <w:rFonts w:ascii="SimSun" w:hAnsi="SimSun" w:eastAsia="SimSun" w:cs="SimSun"/>
          <w:sz w:val="22"/>
          <w:szCs w:val="22"/>
          <w:spacing w:val="-10"/>
        </w:rPr>
        <w:t>元对摩托罗拉的</w:t>
      </w:r>
      <w:r>
        <w:rPr>
          <w:rFonts w:ascii="SimSun" w:hAnsi="SimSun" w:eastAsia="SimSun" w:cs="SimSun"/>
          <w:sz w:val="22"/>
          <w:szCs w:val="22"/>
        </w:rPr>
        <w:t xml:space="preserve">  </w:t>
      </w:r>
      <w:r>
        <w:rPr>
          <w:rFonts w:ascii="SimSun" w:hAnsi="SimSun" w:eastAsia="SimSun" w:cs="SimSun"/>
          <w:sz w:val="22"/>
          <w:szCs w:val="22"/>
          <w:spacing w:val="-5"/>
        </w:rPr>
        <w:t>收购；亚马逊的重要并购案包括2009年对</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5"/>
        </w:rPr>
        <w:t>Zappos</w:t>
      </w:r>
      <w:r>
        <w:rPr>
          <w:rFonts w:ascii="SimSun" w:hAnsi="SimSun" w:eastAsia="SimSun" w:cs="SimSun"/>
          <w:sz w:val="22"/>
          <w:szCs w:val="22"/>
          <w:spacing w:val="-5"/>
        </w:rPr>
        <w:t>的收购、201</w:t>
      </w:r>
      <w:r>
        <w:rPr>
          <w:rFonts w:ascii="SimSun" w:hAnsi="SimSun" w:eastAsia="SimSun" w:cs="SimSun"/>
          <w:sz w:val="22"/>
          <w:szCs w:val="22"/>
          <w:spacing w:val="-6"/>
        </w:rPr>
        <w:t>2年</w:t>
      </w:r>
      <w:r>
        <w:rPr>
          <w:rFonts w:ascii="SimSun" w:hAnsi="SimSun" w:eastAsia="SimSun" w:cs="SimSun"/>
          <w:sz w:val="22"/>
          <w:szCs w:val="22"/>
        </w:rPr>
        <w:t xml:space="preserve"> </w:t>
      </w:r>
      <w:r>
        <w:rPr>
          <w:rFonts w:ascii="SimSun" w:hAnsi="SimSun" w:eastAsia="SimSun" w:cs="SimSun"/>
          <w:sz w:val="22"/>
          <w:szCs w:val="22"/>
          <w:spacing w:val="-2"/>
        </w:rPr>
        <w:t>对</w:t>
      </w:r>
      <w:r>
        <w:rPr>
          <w:rFonts w:ascii="Times New Roman" w:hAnsi="Times New Roman" w:eastAsia="Times New Roman" w:cs="Times New Roman"/>
          <w:sz w:val="22"/>
          <w:szCs w:val="22"/>
          <w:spacing w:val="-2"/>
        </w:rPr>
        <w:t>Kiva Systems </w:t>
      </w:r>
      <w:r>
        <w:rPr>
          <w:rFonts w:ascii="SimSun" w:hAnsi="SimSun" w:eastAsia="SimSun" w:cs="SimSun"/>
          <w:sz w:val="22"/>
          <w:szCs w:val="22"/>
          <w:spacing w:val="-2"/>
        </w:rPr>
        <w:t>的收购、2017年对全食超市</w:t>
      </w:r>
      <w:r>
        <w:rPr>
          <w:rFonts w:ascii="SimSun" w:hAnsi="SimSun" w:eastAsia="SimSun" w:cs="SimSun"/>
          <w:sz w:val="22"/>
          <w:szCs w:val="22"/>
          <w:spacing w:val="-3"/>
        </w:rPr>
        <w:t>的收购以及2020年对</w:t>
      </w:r>
      <w:r>
        <w:rPr>
          <w:rFonts w:ascii="SimSun" w:hAnsi="SimSun" w:eastAsia="SimSun" w:cs="SimSun"/>
          <w:sz w:val="22"/>
          <w:szCs w:val="22"/>
        </w:rPr>
        <w:t xml:space="preserve"> </w:t>
      </w:r>
      <w:r>
        <w:rPr>
          <w:rFonts w:ascii="Times New Roman" w:hAnsi="Times New Roman" w:eastAsia="Times New Roman" w:cs="Times New Roman"/>
          <w:sz w:val="22"/>
          <w:szCs w:val="22"/>
          <w:spacing w:val="-4"/>
        </w:rPr>
        <w:t>Zoox</w:t>
      </w:r>
      <w:r>
        <w:rPr>
          <w:rFonts w:ascii="SimSun" w:hAnsi="SimSun" w:eastAsia="SimSun" w:cs="SimSun"/>
          <w:sz w:val="22"/>
          <w:szCs w:val="22"/>
          <w:spacing w:val="-4"/>
        </w:rPr>
        <w:t>的收购；脸书的重要并购案包括2012年对</w:t>
      </w:r>
      <w:r>
        <w:rPr>
          <w:rFonts w:ascii="Times New Roman" w:hAnsi="Times New Roman" w:eastAsia="Times New Roman" w:cs="Times New Roman"/>
          <w:sz w:val="22"/>
          <w:szCs w:val="22"/>
          <w:spacing w:val="-4"/>
        </w:rPr>
        <w:t>Instagram</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4"/>
        </w:rPr>
        <w:t>的收购、</w:t>
      </w:r>
      <w:r>
        <w:rPr>
          <w:rFonts w:ascii="SimSun" w:hAnsi="SimSun" w:eastAsia="SimSun" w:cs="SimSun"/>
          <w:sz w:val="22"/>
          <w:szCs w:val="22"/>
        </w:rPr>
        <w:t xml:space="preserve"> </w:t>
      </w:r>
      <w:r>
        <w:rPr>
          <w:rFonts w:ascii="SimSun" w:hAnsi="SimSun" w:eastAsia="SimSun" w:cs="SimSun"/>
          <w:sz w:val="22"/>
          <w:szCs w:val="22"/>
          <w:spacing w:val="-3"/>
        </w:rPr>
        <w:t>2014年对</w:t>
      </w:r>
      <w:r>
        <w:rPr>
          <w:rFonts w:ascii="Times New Roman" w:hAnsi="Times New Roman" w:eastAsia="Times New Roman" w:cs="Times New Roman"/>
          <w:sz w:val="22"/>
          <w:szCs w:val="22"/>
          <w:spacing w:val="-3"/>
        </w:rPr>
        <w:t>WhatsApp</w:t>
      </w:r>
      <w:r>
        <w:rPr>
          <w:rFonts w:ascii="SimSun" w:hAnsi="SimSun" w:eastAsia="SimSun" w:cs="SimSun"/>
          <w:sz w:val="22"/>
          <w:szCs w:val="22"/>
          <w:spacing w:val="-3"/>
        </w:rPr>
        <w:t>的收购；苹果的大型并购案是1997年对</w:t>
      </w:r>
      <w:r>
        <w:rPr>
          <w:rFonts w:ascii="Times New Roman" w:hAnsi="Times New Roman" w:eastAsia="Times New Roman" w:cs="Times New Roman"/>
          <w:sz w:val="22"/>
          <w:szCs w:val="22"/>
          <w:spacing w:val="-3"/>
        </w:rPr>
        <w:t>Power  </w:t>
      </w:r>
      <w:r>
        <w:rPr>
          <w:rFonts w:ascii="Times New Roman" w:hAnsi="Times New Roman" w:eastAsia="Times New Roman" w:cs="Times New Roman"/>
          <w:sz w:val="22"/>
          <w:szCs w:val="22"/>
          <w:spacing w:val="-1"/>
        </w:rPr>
        <w:t>Computing Corporation</w:t>
      </w:r>
      <w:r>
        <w:rPr>
          <w:rFonts w:ascii="SimSun" w:hAnsi="SimSun" w:eastAsia="SimSun" w:cs="SimSun"/>
          <w:sz w:val="22"/>
          <w:szCs w:val="22"/>
          <w:spacing w:val="-1"/>
        </w:rPr>
        <w:t>的收购</w:t>
      </w:r>
      <w:r>
        <w:rPr>
          <w:rFonts w:ascii="SimSun" w:hAnsi="SimSun" w:eastAsia="SimSun" w:cs="SimSun"/>
          <w:sz w:val="22"/>
          <w:szCs w:val="22"/>
          <w:spacing w:val="-2"/>
        </w:rPr>
        <w:t>，以及2010年后对</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2"/>
        </w:rPr>
        <w:t>Siri</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2"/>
        </w:rPr>
        <w:t>及相关人工</w:t>
      </w:r>
      <w:r>
        <w:rPr>
          <w:rFonts w:ascii="SimSun" w:hAnsi="SimSun" w:eastAsia="SimSun" w:cs="SimSun"/>
          <w:sz w:val="22"/>
          <w:szCs w:val="22"/>
        </w:rPr>
        <w:t xml:space="preserve">  </w:t>
      </w:r>
      <w:r>
        <w:rPr>
          <w:rFonts w:ascii="SimSun" w:hAnsi="SimSun" w:eastAsia="SimSun" w:cs="SimSun"/>
          <w:sz w:val="22"/>
          <w:szCs w:val="22"/>
          <w:spacing w:val="-6"/>
        </w:rPr>
        <w:t>智能公司的大量收购；微软的重要并购案则是2013年对诺基亚的</w:t>
      </w:r>
      <w:r>
        <w:rPr>
          <w:rFonts w:ascii="SimSun" w:hAnsi="SimSun" w:eastAsia="SimSun" w:cs="SimSun"/>
          <w:sz w:val="22"/>
          <w:szCs w:val="22"/>
          <w:spacing w:val="7"/>
        </w:rPr>
        <w:t xml:space="preserve">  </w:t>
      </w:r>
      <w:r>
        <w:rPr>
          <w:rFonts w:ascii="SimSun" w:hAnsi="SimSun" w:eastAsia="SimSun" w:cs="SimSun"/>
          <w:sz w:val="22"/>
          <w:szCs w:val="22"/>
          <w:spacing w:val="-25"/>
          <w:w w:val="97"/>
        </w:rPr>
        <w:t>收购。①</w:t>
      </w:r>
    </w:p>
    <w:p>
      <w:pPr>
        <w:ind w:right="81" w:firstLine="399"/>
        <w:spacing w:before="196" w:line="283" w:lineRule="auto"/>
        <w:jc w:val="both"/>
        <w:rPr>
          <w:rFonts w:ascii="SimSun" w:hAnsi="SimSun" w:eastAsia="SimSun" w:cs="SimSun"/>
          <w:sz w:val="22"/>
          <w:szCs w:val="22"/>
        </w:rPr>
      </w:pPr>
      <w:r>
        <w:rPr>
          <w:rFonts w:ascii="SimSun" w:hAnsi="SimSun" w:eastAsia="SimSun" w:cs="SimSun"/>
          <w:sz w:val="22"/>
          <w:szCs w:val="22"/>
          <w:spacing w:val="-11"/>
        </w:rPr>
        <w:t>21世纪以来，中国平台企业的并购案数量也日趋增多</w:t>
      </w:r>
      <w:r>
        <w:rPr>
          <w:rFonts w:ascii="SimSun" w:hAnsi="SimSun" w:eastAsia="SimSun" w:cs="SimSun"/>
          <w:sz w:val="22"/>
          <w:szCs w:val="22"/>
          <w:spacing w:val="-12"/>
        </w:rPr>
        <w:t>，仅腾讯</w:t>
      </w:r>
      <w:r>
        <w:rPr>
          <w:rFonts w:ascii="SimSun" w:hAnsi="SimSun" w:eastAsia="SimSun" w:cs="SimSun"/>
          <w:sz w:val="22"/>
          <w:szCs w:val="22"/>
        </w:rPr>
        <w:t xml:space="preserve"> </w:t>
      </w:r>
      <w:r>
        <w:rPr>
          <w:rFonts w:ascii="SimSun" w:hAnsi="SimSun" w:eastAsia="SimSun" w:cs="SimSun"/>
          <w:sz w:val="22"/>
          <w:szCs w:val="22"/>
          <w:spacing w:val="-2"/>
        </w:rPr>
        <w:t>与阿里巴巴两家公司的投资并购规模就已经达到了5000亿~6000</w:t>
      </w:r>
      <w:r>
        <w:rPr>
          <w:rFonts w:ascii="SimSun" w:hAnsi="SimSun" w:eastAsia="SimSun" w:cs="SimSun"/>
          <w:sz w:val="22"/>
          <w:szCs w:val="22"/>
          <w:spacing w:val="4"/>
        </w:rPr>
        <w:t xml:space="preserve"> </w:t>
      </w:r>
      <w:r>
        <w:rPr>
          <w:rFonts w:ascii="SimSun" w:hAnsi="SimSun" w:eastAsia="SimSun" w:cs="SimSun"/>
          <w:sz w:val="22"/>
          <w:szCs w:val="22"/>
          <w:spacing w:val="-5"/>
        </w:rPr>
        <w:t>亿元。以阿里巴巴的重要并购案为例，它于2013年5月、20</w:t>
      </w:r>
      <w:r>
        <w:rPr>
          <w:rFonts w:ascii="SimSun" w:hAnsi="SimSun" w:eastAsia="SimSun" w:cs="SimSun"/>
          <w:sz w:val="22"/>
          <w:szCs w:val="22"/>
          <w:spacing w:val="-6"/>
        </w:rPr>
        <w:t>14年7</w:t>
      </w:r>
      <w:r>
        <w:rPr>
          <w:rFonts w:ascii="SimSun" w:hAnsi="SimSun" w:eastAsia="SimSun" w:cs="SimSun"/>
          <w:sz w:val="22"/>
          <w:szCs w:val="22"/>
        </w:rPr>
        <w:t xml:space="preserve"> </w:t>
      </w:r>
      <w:r>
        <w:rPr>
          <w:rFonts w:ascii="SimSun" w:hAnsi="SimSun" w:eastAsia="SimSun" w:cs="SimSun"/>
          <w:sz w:val="22"/>
          <w:szCs w:val="22"/>
          <w:spacing w:val="-9"/>
        </w:rPr>
        <w:t>月分两次对高德地图进行收购并完成私有化，于2016年4月</w:t>
      </w:r>
      <w:r>
        <w:rPr>
          <w:rFonts w:ascii="SimSun" w:hAnsi="SimSun" w:eastAsia="SimSun" w:cs="SimSun"/>
          <w:sz w:val="22"/>
          <w:szCs w:val="22"/>
          <w:spacing w:val="-10"/>
        </w:rPr>
        <w:t>完成对</w:t>
      </w:r>
      <w:r>
        <w:rPr>
          <w:rFonts w:ascii="SimSun" w:hAnsi="SimSun" w:eastAsia="SimSun" w:cs="SimSun"/>
          <w:sz w:val="22"/>
          <w:szCs w:val="22"/>
        </w:rPr>
        <w:t xml:space="preserve"> </w:t>
      </w:r>
      <w:r>
        <w:rPr>
          <w:rFonts w:ascii="SimSun" w:hAnsi="SimSun" w:eastAsia="SimSun" w:cs="SimSun"/>
          <w:sz w:val="22"/>
          <w:szCs w:val="22"/>
          <w:spacing w:val="-9"/>
        </w:rPr>
        <w:t>优酷土豆的私有化，于2017年5月取得对银泰百货的控股地位，于</w:t>
      </w:r>
      <w:r>
        <w:rPr>
          <w:rFonts w:ascii="SimSun" w:hAnsi="SimSun" w:eastAsia="SimSun" w:cs="SimSun"/>
          <w:sz w:val="22"/>
          <w:szCs w:val="22"/>
        </w:rPr>
        <w:t xml:space="preserve"> </w:t>
      </w:r>
      <w:r>
        <w:rPr>
          <w:rFonts w:ascii="SimSun" w:hAnsi="SimSun" w:eastAsia="SimSun" w:cs="SimSun"/>
          <w:sz w:val="22"/>
          <w:szCs w:val="22"/>
          <w:spacing w:val="-5"/>
        </w:rPr>
        <w:t>2018年5月取得对饿了么的控股地位，于2019年</w:t>
      </w:r>
      <w:r>
        <w:rPr>
          <w:rFonts w:ascii="SimSun" w:hAnsi="SimSun" w:eastAsia="SimSun" w:cs="SimSun"/>
          <w:sz w:val="22"/>
          <w:szCs w:val="22"/>
          <w:spacing w:val="-6"/>
        </w:rPr>
        <w:t>9月取得对网易考</w:t>
      </w:r>
      <w:r>
        <w:rPr>
          <w:rFonts w:ascii="SimSun" w:hAnsi="SimSun" w:eastAsia="SimSun" w:cs="SimSun"/>
          <w:sz w:val="22"/>
          <w:szCs w:val="22"/>
        </w:rPr>
        <w:t xml:space="preserve"> </w:t>
      </w:r>
      <w:r>
        <w:rPr>
          <w:rFonts w:ascii="SimSun" w:hAnsi="SimSun" w:eastAsia="SimSun" w:cs="SimSun"/>
          <w:sz w:val="22"/>
          <w:szCs w:val="22"/>
          <w:spacing w:val="-19"/>
        </w:rPr>
        <w:t>拉海购的控股地位。</w:t>
      </w:r>
    </w:p>
    <w:p>
      <w:pPr>
        <w:pStyle w:val="BodyText"/>
        <w:spacing w:line="479" w:lineRule="auto"/>
        <w:rPr/>
      </w:pPr>
      <w:r/>
    </w:p>
    <w:p>
      <w:pPr>
        <w:ind w:left="3"/>
        <w:spacing w:before="72" w:line="222" w:lineRule="auto"/>
        <w:rPr>
          <w:rFonts w:ascii="SimHei" w:hAnsi="SimHei" w:eastAsia="SimHei" w:cs="SimHei"/>
          <w:sz w:val="22"/>
          <w:szCs w:val="22"/>
        </w:rPr>
      </w:pPr>
      <w:r>
        <w:rPr>
          <w:rFonts w:ascii="SimHei" w:hAnsi="SimHei" w:eastAsia="SimHei" w:cs="SimHei"/>
          <w:sz w:val="22"/>
          <w:szCs w:val="22"/>
          <w:b/>
          <w:bCs/>
          <w:spacing w:val="15"/>
        </w:rPr>
        <w:t>平台并购的反垄断挑战</w:t>
      </w:r>
    </w:p>
    <w:p>
      <w:pPr>
        <w:pStyle w:val="BodyText"/>
        <w:spacing w:line="343" w:lineRule="auto"/>
        <w:rPr/>
      </w:pPr>
      <w:r/>
    </w:p>
    <w:p>
      <w:pPr>
        <w:ind w:left="429"/>
        <w:spacing w:before="72" w:line="219" w:lineRule="auto"/>
        <w:rPr>
          <w:rFonts w:ascii="SimSun" w:hAnsi="SimSun" w:eastAsia="SimSun" w:cs="SimSun"/>
          <w:sz w:val="22"/>
          <w:szCs w:val="22"/>
        </w:rPr>
      </w:pPr>
      <w:r>
        <w:rPr>
          <w:rFonts w:ascii="SimSun" w:hAnsi="SimSun" w:eastAsia="SimSun" w:cs="SimSun"/>
          <w:sz w:val="22"/>
          <w:szCs w:val="22"/>
          <w:spacing w:val="-20"/>
        </w:rPr>
        <w:t>相较于传统的公司并购问题，汹涌的平台并购浪潮在事实层</w:t>
      </w:r>
      <w:r>
        <w:rPr>
          <w:rFonts w:ascii="SimSun" w:hAnsi="SimSun" w:eastAsia="SimSun" w:cs="SimSun"/>
          <w:sz w:val="22"/>
          <w:szCs w:val="22"/>
          <w:spacing w:val="-21"/>
        </w:rPr>
        <w:t>面呈</w:t>
      </w:r>
    </w:p>
    <w:p>
      <w:pPr>
        <w:pStyle w:val="BodyText"/>
        <w:spacing w:line="285" w:lineRule="auto"/>
        <w:rPr/>
      </w:pPr>
      <w:r/>
    </w:p>
    <w:p>
      <w:pPr>
        <w:spacing w:before="52"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72"/>
        </w:rPr>
        <w:t xml:space="preserve"> </w:t>
      </w:r>
      <w:r>
        <w:rPr>
          <w:rFonts w:ascii="Times New Roman" w:hAnsi="Times New Roman" w:eastAsia="Times New Roman" w:cs="Times New Roman"/>
          <w:sz w:val="16"/>
          <w:szCs w:val="16"/>
        </w:rPr>
        <w:t>Geoffrey  Parker,Georgios  Petropoulos,Marshall  Van</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Alstyne,"Platform</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Mergers</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and</w:t>
      </w:r>
    </w:p>
    <w:p>
      <w:pPr>
        <w:ind w:left="320"/>
        <w:spacing w:before="39"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Antitrust",Industrial</w:t>
      </w:r>
      <w:r>
        <w:rPr>
          <w:rFonts w:ascii="Times New Roman" w:hAnsi="Times New Roman" w:eastAsia="Times New Roman" w:cs="Times New Roman"/>
          <w:sz w:val="16"/>
          <w:szCs w:val="16"/>
          <w:i/>
          <w:iCs/>
          <w:spacing w:val="18"/>
          <w:position w:val="3"/>
        </w:rPr>
        <w:t xml:space="preserve">  </w:t>
      </w:r>
      <w:r>
        <w:rPr>
          <w:rFonts w:ascii="Times New Roman" w:hAnsi="Times New Roman" w:eastAsia="Times New Roman" w:cs="Times New Roman"/>
          <w:sz w:val="16"/>
          <w:szCs w:val="16"/>
          <w:i/>
          <w:iCs/>
          <w:position w:val="3"/>
        </w:rPr>
        <w:t>and   Corporate   Change,2021,30(5):1307-1336.</w:t>
      </w:r>
    </w:p>
    <w:p>
      <w:pPr>
        <w:spacing w:line="213" w:lineRule="exact"/>
        <w:sectPr>
          <w:headerReference w:type="default" r:id="rId526"/>
          <w:pgSz w:w="7330" w:h="12480"/>
          <w:pgMar w:top="835" w:right="748" w:bottom="400" w:left="469" w:header="661" w:footer="0" w:gutter="0"/>
        </w:sectPr>
        <w:rPr>
          <w:rFonts w:ascii="Times New Roman" w:hAnsi="Times New Roman" w:eastAsia="Times New Roman" w:cs="Times New Roman"/>
          <w:sz w:val="16"/>
          <w:szCs w:val="16"/>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19"/>
        <w:spacing w:before="68" w:line="292" w:lineRule="auto"/>
        <w:jc w:val="both"/>
        <w:rPr>
          <w:rFonts w:ascii="SimSun" w:hAnsi="SimSun" w:eastAsia="SimSun" w:cs="SimSun"/>
          <w:sz w:val="21"/>
          <w:szCs w:val="21"/>
        </w:rPr>
      </w:pPr>
      <w:r>
        <w:rPr>
          <w:rFonts w:ascii="SimSun" w:hAnsi="SimSun" w:eastAsia="SimSun" w:cs="SimSun"/>
          <w:sz w:val="21"/>
          <w:szCs w:val="21"/>
          <w:spacing w:val="-11"/>
        </w:rPr>
        <w:t>现出数量较多、金额较小、频率较高、并购动机复杂等多重特点，也</w:t>
      </w:r>
      <w:r>
        <w:rPr>
          <w:rFonts w:ascii="SimSun" w:hAnsi="SimSun" w:eastAsia="SimSun" w:cs="SimSun"/>
          <w:sz w:val="21"/>
          <w:szCs w:val="21"/>
          <w:spacing w:val="10"/>
        </w:rPr>
        <w:t xml:space="preserve"> </w:t>
      </w:r>
      <w:r>
        <w:rPr>
          <w:rFonts w:ascii="SimSun" w:hAnsi="SimSun" w:eastAsia="SimSun" w:cs="SimSun"/>
          <w:sz w:val="21"/>
          <w:szCs w:val="21"/>
          <w:spacing w:val="-11"/>
        </w:rPr>
        <w:t>因此给反垄断法造成了理论层面和制度层面的困扰。而对于平台企业</w:t>
      </w:r>
      <w:r>
        <w:rPr>
          <w:rFonts w:ascii="SimSun" w:hAnsi="SimSun" w:eastAsia="SimSun" w:cs="SimSun"/>
          <w:sz w:val="21"/>
          <w:szCs w:val="21"/>
          <w:spacing w:val="5"/>
        </w:rPr>
        <w:t xml:space="preserve"> </w:t>
      </w:r>
      <w:r>
        <w:rPr>
          <w:rFonts w:ascii="SimSun" w:hAnsi="SimSun" w:eastAsia="SimSun" w:cs="SimSun"/>
          <w:sz w:val="21"/>
          <w:szCs w:val="21"/>
          <w:spacing w:val="-7"/>
        </w:rPr>
        <w:t>并购潮带来的种种“迷雾”,反垄断法学界也相</w:t>
      </w:r>
      <w:r>
        <w:rPr>
          <w:rFonts w:ascii="SimSun" w:hAnsi="SimSun" w:eastAsia="SimSun" w:cs="SimSun"/>
          <w:sz w:val="21"/>
          <w:szCs w:val="21"/>
          <w:spacing w:val="-8"/>
        </w:rPr>
        <w:t>应地提出了不同的解</w:t>
      </w:r>
      <w:r>
        <w:rPr>
          <w:rFonts w:ascii="SimSun" w:hAnsi="SimSun" w:eastAsia="SimSun" w:cs="SimSun"/>
          <w:sz w:val="21"/>
          <w:szCs w:val="21"/>
        </w:rPr>
        <w:t xml:space="preserve"> </w:t>
      </w:r>
      <w:r>
        <w:rPr>
          <w:rFonts w:ascii="SimSun" w:hAnsi="SimSun" w:eastAsia="SimSun" w:cs="SimSun"/>
          <w:sz w:val="21"/>
          <w:szCs w:val="21"/>
          <w:spacing w:val="-9"/>
        </w:rPr>
        <w:t>决方案。</w:t>
      </w:r>
    </w:p>
    <w:p>
      <w:pPr>
        <w:ind w:firstLine="399"/>
        <w:spacing w:before="107" w:line="306" w:lineRule="auto"/>
        <w:jc w:val="both"/>
        <w:rPr>
          <w:rFonts w:ascii="SimSun" w:hAnsi="SimSun" w:eastAsia="SimSun" w:cs="SimSun"/>
          <w:sz w:val="21"/>
          <w:szCs w:val="21"/>
        </w:rPr>
      </w:pPr>
      <w:r>
        <w:rPr>
          <w:rFonts w:ascii="SimSun" w:hAnsi="SimSun" w:eastAsia="SimSun" w:cs="SimSun"/>
          <w:sz w:val="21"/>
          <w:szCs w:val="21"/>
          <w:spacing w:val="-8"/>
        </w:rPr>
        <w:t>首先，平台企业并购案的数量较多、金额较小。</w:t>
      </w:r>
      <w:r>
        <w:rPr>
          <w:rFonts w:ascii="SimSun" w:hAnsi="SimSun" w:eastAsia="SimSun" w:cs="SimSun"/>
          <w:sz w:val="21"/>
          <w:szCs w:val="21"/>
          <w:spacing w:val="48"/>
        </w:rPr>
        <w:t xml:space="preserve"> </w:t>
      </w:r>
      <w:r>
        <w:rPr>
          <w:rFonts w:ascii="SimSun" w:hAnsi="SimSun" w:eastAsia="SimSun" w:cs="SimSun"/>
          <w:sz w:val="21"/>
          <w:szCs w:val="21"/>
          <w:spacing w:val="-8"/>
        </w:rPr>
        <w:t>一方面，从20</w:t>
      </w:r>
      <w:r>
        <w:rPr>
          <w:rFonts w:ascii="SimSun" w:hAnsi="SimSun" w:eastAsia="SimSun" w:cs="SimSun"/>
          <w:sz w:val="21"/>
          <w:szCs w:val="21"/>
        </w:rPr>
        <w:t xml:space="preserve"> </w:t>
      </w:r>
      <w:r>
        <w:rPr>
          <w:rFonts w:ascii="SimSun" w:hAnsi="SimSun" w:eastAsia="SimSun" w:cs="SimSun"/>
          <w:sz w:val="21"/>
          <w:szCs w:val="21"/>
          <w:spacing w:val="-4"/>
        </w:rPr>
        <w:t>世纪末期开始兴起的平台企业，其崛起路上伴随着大量并购案的发</w:t>
      </w:r>
      <w:r>
        <w:rPr>
          <w:rFonts w:ascii="SimSun" w:hAnsi="SimSun" w:eastAsia="SimSun" w:cs="SimSun"/>
          <w:sz w:val="21"/>
          <w:szCs w:val="21"/>
          <w:spacing w:val="3"/>
        </w:rPr>
        <w:t xml:space="preserve"> </w:t>
      </w:r>
      <w:r>
        <w:rPr>
          <w:rFonts w:ascii="SimSun" w:hAnsi="SimSun" w:eastAsia="SimSun" w:cs="SimSun"/>
          <w:sz w:val="21"/>
          <w:szCs w:val="21"/>
          <w:spacing w:val="-11"/>
        </w:rPr>
        <w:t>生；由于平台企业的跨地域性、影响广泛性，满足审查门槛的平台企</w:t>
      </w:r>
      <w:r>
        <w:rPr>
          <w:rFonts w:ascii="SimSun" w:hAnsi="SimSun" w:eastAsia="SimSun" w:cs="SimSun"/>
          <w:sz w:val="21"/>
          <w:szCs w:val="21"/>
          <w:spacing w:val="7"/>
        </w:rPr>
        <w:t xml:space="preserve"> </w:t>
      </w:r>
      <w:r>
        <w:rPr>
          <w:rFonts w:ascii="SimSun" w:hAnsi="SimSun" w:eastAsia="SimSun" w:cs="SimSun"/>
          <w:sz w:val="21"/>
          <w:szCs w:val="21"/>
          <w:spacing w:val="-10"/>
        </w:rPr>
        <w:t>业并购案将给各法域反垄断执法部门带来大量的人力</w:t>
      </w:r>
      <w:r>
        <w:rPr>
          <w:rFonts w:ascii="SimSun" w:hAnsi="SimSun" w:eastAsia="SimSun" w:cs="SimSun"/>
          <w:sz w:val="21"/>
          <w:szCs w:val="21"/>
          <w:spacing w:val="-11"/>
        </w:rPr>
        <w:t>、物力消耗。另</w:t>
      </w:r>
      <w:r>
        <w:rPr>
          <w:rFonts w:ascii="SimSun" w:hAnsi="SimSun" w:eastAsia="SimSun" w:cs="SimSun"/>
          <w:sz w:val="21"/>
          <w:szCs w:val="21"/>
        </w:rPr>
        <w:t xml:space="preserve"> </w:t>
      </w:r>
      <w:r>
        <w:rPr>
          <w:rFonts w:ascii="SimSun" w:hAnsi="SimSun" w:eastAsia="SimSun" w:cs="SimSun"/>
          <w:sz w:val="21"/>
          <w:szCs w:val="21"/>
          <w:spacing w:val="-11"/>
        </w:rPr>
        <w:t>一方面，部分平台企业并购案中的被并购方标的较小，并不满足欧盟</w:t>
      </w:r>
      <w:r>
        <w:rPr>
          <w:rFonts w:ascii="SimSun" w:hAnsi="SimSun" w:eastAsia="SimSun" w:cs="SimSun"/>
          <w:sz w:val="21"/>
          <w:szCs w:val="21"/>
          <w:spacing w:val="7"/>
        </w:rPr>
        <w:t xml:space="preserve"> </w:t>
      </w:r>
      <w:r>
        <w:rPr>
          <w:rFonts w:ascii="SimSun" w:hAnsi="SimSun" w:eastAsia="SimSun" w:cs="SimSun"/>
          <w:sz w:val="21"/>
          <w:szCs w:val="21"/>
          <w:spacing w:val="-11"/>
        </w:rPr>
        <w:t>和中国反垄断法中以“营业额”和“交易金额”为主的并购控制申报</w:t>
      </w:r>
      <w:r>
        <w:rPr>
          <w:rFonts w:ascii="SimSun" w:hAnsi="SimSun" w:eastAsia="SimSun" w:cs="SimSun"/>
          <w:sz w:val="21"/>
          <w:szCs w:val="21"/>
          <w:spacing w:val="8"/>
        </w:rPr>
        <w:t xml:space="preserve"> </w:t>
      </w:r>
      <w:r>
        <w:rPr>
          <w:rFonts w:ascii="SimSun" w:hAnsi="SimSun" w:eastAsia="SimSun" w:cs="SimSun"/>
          <w:sz w:val="21"/>
          <w:szCs w:val="21"/>
          <w:spacing w:val="-11"/>
        </w:rPr>
        <w:t>门槛，而造成部分可能对平台企业相关市场的竞争产生负面效应的并</w:t>
      </w:r>
      <w:r>
        <w:rPr>
          <w:rFonts w:ascii="SimSun" w:hAnsi="SimSun" w:eastAsia="SimSun" w:cs="SimSun"/>
          <w:sz w:val="21"/>
          <w:szCs w:val="21"/>
          <w:spacing w:val="7"/>
        </w:rPr>
        <w:t xml:space="preserve"> </w:t>
      </w:r>
      <w:r>
        <w:rPr>
          <w:rFonts w:ascii="SimSun" w:hAnsi="SimSun" w:eastAsia="SimSun" w:cs="SimSun"/>
          <w:sz w:val="21"/>
          <w:szCs w:val="21"/>
          <w:spacing w:val="-11"/>
        </w:rPr>
        <w:t>购案侥幸过关。学界对此的回应包括对申报门槛的调整、对反垄断执</w:t>
      </w:r>
      <w:r>
        <w:rPr>
          <w:rFonts w:ascii="SimSun" w:hAnsi="SimSun" w:eastAsia="SimSun" w:cs="SimSun"/>
          <w:sz w:val="21"/>
          <w:szCs w:val="21"/>
          <w:spacing w:val="7"/>
        </w:rPr>
        <w:t xml:space="preserve"> </w:t>
      </w:r>
      <w:r>
        <w:rPr>
          <w:rFonts w:ascii="SimSun" w:hAnsi="SimSun" w:eastAsia="SimSun" w:cs="SimSun"/>
          <w:sz w:val="21"/>
          <w:szCs w:val="21"/>
          <w:spacing w:val="-13"/>
        </w:rPr>
        <w:t>法部门人力资源的倾斜，以及将部分案件中的证明责任倒置。</w:t>
      </w:r>
    </w:p>
    <w:p>
      <w:pPr>
        <w:ind w:right="4" w:firstLine="399"/>
        <w:spacing w:before="106" w:line="308" w:lineRule="auto"/>
        <w:jc w:val="both"/>
        <w:rPr>
          <w:rFonts w:ascii="SimSun" w:hAnsi="SimSun" w:eastAsia="SimSun" w:cs="SimSun"/>
          <w:sz w:val="21"/>
          <w:szCs w:val="21"/>
        </w:rPr>
      </w:pPr>
      <w:r>
        <w:rPr>
          <w:rFonts w:ascii="SimSun" w:hAnsi="SimSun" w:eastAsia="SimSun" w:cs="SimSun"/>
          <w:sz w:val="21"/>
          <w:szCs w:val="21"/>
          <w:spacing w:val="-4"/>
        </w:rPr>
        <w:t>其次，平台企业的并购动机复杂。根据杰弗里·帕克等人的分</w:t>
      </w:r>
      <w:r>
        <w:rPr>
          <w:rFonts w:ascii="SimSun" w:hAnsi="SimSun" w:eastAsia="SimSun" w:cs="SimSun"/>
          <w:sz w:val="21"/>
          <w:szCs w:val="21"/>
          <w:spacing w:val="15"/>
        </w:rPr>
        <w:t xml:space="preserve"> </w:t>
      </w:r>
      <w:r>
        <w:rPr>
          <w:rFonts w:ascii="SimSun" w:hAnsi="SimSun" w:eastAsia="SimSun" w:cs="SimSun"/>
          <w:sz w:val="21"/>
          <w:szCs w:val="21"/>
          <w:spacing w:val="-11"/>
        </w:rPr>
        <w:t>类，平台企业的并购动机可以划分为四种：第一，为平台企业本身的</w:t>
      </w:r>
      <w:r>
        <w:rPr>
          <w:rFonts w:ascii="SimSun" w:hAnsi="SimSun" w:eastAsia="SimSun" w:cs="SimSun"/>
          <w:sz w:val="21"/>
          <w:szCs w:val="21"/>
        </w:rPr>
        <w:t xml:space="preserve"> </w:t>
      </w:r>
      <w:r>
        <w:rPr>
          <w:rFonts w:ascii="SimSun" w:hAnsi="SimSun" w:eastAsia="SimSun" w:cs="SimSun"/>
          <w:sz w:val="21"/>
          <w:szCs w:val="21"/>
          <w:spacing w:val="-11"/>
        </w:rPr>
        <w:t>核心业务提供额外互补功能的并购，能够帮助平台企业提升效率，如</w:t>
      </w:r>
      <w:r>
        <w:rPr>
          <w:rFonts w:ascii="SimSun" w:hAnsi="SimSun" w:eastAsia="SimSun" w:cs="SimSun"/>
          <w:sz w:val="21"/>
          <w:szCs w:val="21"/>
          <w:spacing w:val="13"/>
        </w:rPr>
        <w:t xml:space="preserve"> </w:t>
      </w:r>
      <w:r>
        <w:rPr>
          <w:rFonts w:ascii="SimSun" w:hAnsi="SimSun" w:eastAsia="SimSun" w:cs="SimSun"/>
          <w:sz w:val="21"/>
          <w:szCs w:val="21"/>
          <w:spacing w:val="-2"/>
        </w:rPr>
        <w:t>亚马逊并购</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Accept.com,</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2"/>
        </w:rPr>
        <w:t>苹果并购</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Snappy</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Labs;</w:t>
      </w:r>
      <w:r>
        <w:rPr>
          <w:rFonts w:ascii="SimSun" w:hAnsi="SimSun" w:eastAsia="SimSun" w:cs="SimSun"/>
          <w:sz w:val="21"/>
          <w:szCs w:val="21"/>
          <w:spacing w:val="-3"/>
        </w:rPr>
        <w:t>第二，对纵向产业</w:t>
      </w:r>
      <w:r>
        <w:rPr>
          <w:rFonts w:ascii="SimSun" w:hAnsi="SimSun" w:eastAsia="SimSun" w:cs="SimSun"/>
          <w:sz w:val="21"/>
          <w:szCs w:val="21"/>
        </w:rPr>
        <w:t xml:space="preserve"> </w:t>
      </w:r>
      <w:r>
        <w:rPr>
          <w:rFonts w:ascii="SimSun" w:hAnsi="SimSun" w:eastAsia="SimSun" w:cs="SimSun"/>
          <w:sz w:val="21"/>
          <w:szCs w:val="21"/>
          <w:spacing w:val="-11"/>
        </w:rPr>
        <w:t>链上一种全新的功能、产品、服务展开的并购，能够使平台企业更具</w:t>
      </w:r>
      <w:r>
        <w:rPr>
          <w:rFonts w:ascii="SimSun" w:hAnsi="SimSun" w:eastAsia="SimSun" w:cs="SimSun"/>
          <w:sz w:val="21"/>
          <w:szCs w:val="21"/>
          <w:spacing w:val="9"/>
        </w:rPr>
        <w:t xml:space="preserve"> </w:t>
      </w:r>
      <w:r>
        <w:rPr>
          <w:rFonts w:ascii="SimSun" w:hAnsi="SimSun" w:eastAsia="SimSun" w:cs="SimSun"/>
          <w:sz w:val="21"/>
          <w:szCs w:val="21"/>
          <w:spacing w:val="-1"/>
        </w:rPr>
        <w:t>吸引力，如亚马逊并购</w:t>
      </w:r>
      <w:r>
        <w:rPr>
          <w:rFonts w:ascii="Times New Roman" w:hAnsi="Times New Roman" w:eastAsia="Times New Roman" w:cs="Times New Roman"/>
          <w:sz w:val="21"/>
          <w:szCs w:val="21"/>
          <w:spacing w:val="-1"/>
        </w:rPr>
        <w:t>IMDb,  </w:t>
      </w:r>
      <w:r>
        <w:rPr>
          <w:rFonts w:ascii="SimSun" w:hAnsi="SimSun" w:eastAsia="SimSun" w:cs="SimSun"/>
          <w:sz w:val="21"/>
          <w:szCs w:val="21"/>
          <w:spacing w:val="-1"/>
        </w:rPr>
        <w:t>微软并购</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
        </w:rPr>
        <w:t>Hotmail;  </w:t>
      </w:r>
      <w:r>
        <w:rPr>
          <w:rFonts w:ascii="SimSun" w:hAnsi="SimSun" w:eastAsia="SimSun" w:cs="SimSun"/>
          <w:sz w:val="21"/>
          <w:szCs w:val="21"/>
          <w:spacing w:val="-1"/>
        </w:rPr>
        <w:t>第三，对平台企</w:t>
      </w:r>
      <w:r>
        <w:rPr>
          <w:rFonts w:ascii="SimSun" w:hAnsi="SimSun" w:eastAsia="SimSun" w:cs="SimSun"/>
          <w:sz w:val="21"/>
          <w:szCs w:val="21"/>
        </w:rPr>
        <w:t xml:space="preserve"> </w:t>
      </w:r>
      <w:r>
        <w:rPr>
          <w:rFonts w:ascii="SimSun" w:hAnsi="SimSun" w:eastAsia="SimSun" w:cs="SimSun"/>
          <w:sz w:val="21"/>
          <w:szCs w:val="21"/>
          <w:spacing w:val="-11"/>
        </w:rPr>
        <w:t>业核心的中介市场或纵向市场中可替代的竞争性服务展开的并购，能</w:t>
      </w:r>
      <w:r>
        <w:rPr>
          <w:rFonts w:ascii="SimSun" w:hAnsi="SimSun" w:eastAsia="SimSun" w:cs="SimSun"/>
          <w:sz w:val="21"/>
          <w:szCs w:val="21"/>
          <w:spacing w:val="9"/>
        </w:rPr>
        <w:t xml:space="preserve"> </w:t>
      </w:r>
      <w:r>
        <w:rPr>
          <w:rFonts w:ascii="SimSun" w:hAnsi="SimSun" w:eastAsia="SimSun" w:cs="SimSun"/>
          <w:sz w:val="21"/>
          <w:szCs w:val="21"/>
          <w:spacing w:val="-5"/>
        </w:rPr>
        <w:t>够减少平台企业面临的竞争，如脸书并购</w:t>
      </w:r>
      <w:r>
        <w:rPr>
          <w:rFonts w:ascii="Times New Roman" w:hAnsi="Times New Roman" w:eastAsia="Times New Roman" w:cs="Times New Roman"/>
          <w:sz w:val="21"/>
          <w:szCs w:val="21"/>
          <w:spacing w:val="-5"/>
        </w:rPr>
        <w:t>WhatsApp  </w:t>
      </w:r>
      <w:r>
        <w:rPr>
          <w:rFonts w:ascii="SimSun" w:hAnsi="SimSun" w:eastAsia="SimSun" w:cs="SimSun"/>
          <w:sz w:val="21"/>
          <w:szCs w:val="21"/>
          <w:spacing w:val="-5"/>
        </w:rPr>
        <w:t>和</w:t>
      </w:r>
      <w:r>
        <w:rPr>
          <w:rFonts w:ascii="Times New Roman" w:hAnsi="Times New Roman" w:eastAsia="Times New Roman" w:cs="Times New Roman"/>
          <w:sz w:val="21"/>
          <w:szCs w:val="21"/>
          <w:spacing w:val="-5"/>
        </w:rPr>
        <w:t>Instagr</w:t>
      </w:r>
      <w:r>
        <w:rPr>
          <w:rFonts w:ascii="Times New Roman" w:hAnsi="Times New Roman" w:eastAsia="Times New Roman" w:cs="Times New Roman"/>
          <w:sz w:val="21"/>
          <w:szCs w:val="21"/>
          <w:spacing w:val="-6"/>
        </w:rPr>
        <w:t>am;  </w:t>
      </w:r>
      <w:r>
        <w:rPr>
          <w:rFonts w:ascii="SimSun" w:hAnsi="SimSun" w:eastAsia="SimSun" w:cs="SimSun"/>
          <w:sz w:val="21"/>
          <w:szCs w:val="21"/>
          <w:spacing w:val="-6"/>
        </w:rPr>
        <w:t>第</w:t>
      </w:r>
      <w:r>
        <w:rPr>
          <w:rFonts w:ascii="SimSun" w:hAnsi="SimSun" w:eastAsia="SimSun" w:cs="SimSun"/>
          <w:sz w:val="21"/>
          <w:szCs w:val="21"/>
        </w:rPr>
        <w:t xml:space="preserve"> </w:t>
      </w:r>
      <w:r>
        <w:rPr>
          <w:rFonts w:ascii="SimSun" w:hAnsi="SimSun" w:eastAsia="SimSun" w:cs="SimSun"/>
          <w:sz w:val="21"/>
          <w:szCs w:val="21"/>
          <w:spacing w:val="-11"/>
        </w:rPr>
        <w:t>四，基于对目标公司中人力资本和“天才”的渴求而展开的并购。在</w:t>
      </w:r>
      <w:r>
        <w:rPr>
          <w:rFonts w:ascii="SimSun" w:hAnsi="SimSun" w:eastAsia="SimSun" w:cs="SimSun"/>
          <w:sz w:val="21"/>
          <w:szCs w:val="21"/>
          <w:spacing w:val="9"/>
        </w:rPr>
        <w:t xml:space="preserve"> </w:t>
      </w:r>
      <w:r>
        <w:rPr>
          <w:rFonts w:ascii="SimSun" w:hAnsi="SimSun" w:eastAsia="SimSun" w:cs="SimSun"/>
          <w:sz w:val="21"/>
          <w:szCs w:val="21"/>
          <w:spacing w:val="-11"/>
        </w:rPr>
        <w:t>反垄断执法部门对平台的并购进行审查时，识别平台的并购动机有助</w:t>
      </w:r>
      <w:r>
        <w:rPr>
          <w:rFonts w:ascii="SimSun" w:hAnsi="SimSun" w:eastAsia="SimSun" w:cs="SimSun"/>
          <w:sz w:val="21"/>
          <w:szCs w:val="21"/>
          <w:spacing w:val="11"/>
        </w:rPr>
        <w:t xml:space="preserve"> </w:t>
      </w:r>
      <w:r>
        <w:rPr>
          <w:rFonts w:ascii="SimSun" w:hAnsi="SimSun" w:eastAsia="SimSun" w:cs="SimSun"/>
          <w:sz w:val="21"/>
          <w:szCs w:val="21"/>
          <w:spacing w:val="-10"/>
        </w:rPr>
        <w:t>于对并购造成的竞争效应进行分析。</w:t>
      </w:r>
    </w:p>
    <w:p>
      <w:pPr>
        <w:ind w:firstLine="399"/>
        <w:spacing w:before="109" w:line="284" w:lineRule="auto"/>
        <w:jc w:val="both"/>
        <w:rPr>
          <w:rFonts w:ascii="SimSun" w:hAnsi="SimSun" w:eastAsia="SimSun" w:cs="SimSun"/>
          <w:sz w:val="21"/>
          <w:szCs w:val="21"/>
        </w:rPr>
      </w:pPr>
      <w:r>
        <w:rPr>
          <w:rFonts w:ascii="SimSun" w:hAnsi="SimSun" w:eastAsia="SimSun" w:cs="SimSun"/>
          <w:sz w:val="21"/>
          <w:szCs w:val="21"/>
          <w:spacing w:val="-3"/>
        </w:rPr>
        <w:t>再次，平台企业相关市场界定的问题。在现行的反垄断法框架</w:t>
      </w:r>
      <w:r>
        <w:rPr>
          <w:rFonts w:ascii="SimSun" w:hAnsi="SimSun" w:eastAsia="SimSun" w:cs="SimSun"/>
          <w:sz w:val="21"/>
          <w:szCs w:val="21"/>
          <w:spacing w:val="11"/>
        </w:rPr>
        <w:t xml:space="preserve"> </w:t>
      </w:r>
      <w:r>
        <w:rPr>
          <w:rFonts w:ascii="SimSun" w:hAnsi="SimSun" w:eastAsia="SimSun" w:cs="SimSun"/>
          <w:sz w:val="21"/>
          <w:szCs w:val="21"/>
          <w:spacing w:val="-11"/>
        </w:rPr>
        <w:t>下，相关市场仍是并购控制中分析竞争效应的基础，而平台企业自身</w:t>
      </w:r>
      <w:r>
        <w:rPr>
          <w:rFonts w:ascii="SimSun" w:hAnsi="SimSun" w:eastAsia="SimSun" w:cs="SimSun"/>
          <w:sz w:val="21"/>
          <w:szCs w:val="21"/>
          <w:spacing w:val="13"/>
        </w:rPr>
        <w:t xml:space="preserve"> </w:t>
      </w:r>
      <w:r>
        <w:rPr>
          <w:rFonts w:ascii="SimSun" w:hAnsi="SimSun" w:eastAsia="SimSun" w:cs="SimSun"/>
          <w:sz w:val="21"/>
          <w:szCs w:val="21"/>
          <w:spacing w:val="-4"/>
        </w:rPr>
        <w:t>区别于传统的厂商型企业，应当用“双边市场”的框架对其进行分</w:t>
      </w:r>
    </w:p>
    <w:p>
      <w:pPr>
        <w:spacing w:line="284" w:lineRule="auto"/>
        <w:sectPr>
          <w:headerReference w:type="default" r:id="rId527"/>
          <w:pgSz w:w="7330" w:h="12480"/>
          <w:pgMar w:top="507" w:right="618" w:bottom="400" w:left="709" w:header="345" w:footer="0" w:gutter="0"/>
        </w:sectPr>
        <w:rPr>
          <w:rFonts w:ascii="SimSun" w:hAnsi="SimSun" w:eastAsia="SimSun" w:cs="SimSun"/>
          <w:sz w:val="21"/>
          <w:szCs w:val="21"/>
        </w:rPr>
      </w:pPr>
    </w:p>
    <w:p>
      <w:pPr>
        <w:ind w:left="2092"/>
        <w:spacing w:before="239" w:line="220" w:lineRule="auto"/>
        <w:rPr>
          <w:rFonts w:ascii="SimSun" w:hAnsi="SimSun" w:eastAsia="SimSun" w:cs="SimSun"/>
          <w:sz w:val="12"/>
          <w:szCs w:val="12"/>
        </w:rPr>
      </w:pPr>
      <w:r>
        <w:rPr>
          <w:rFonts w:ascii="YouYuan" w:hAnsi="YouYuan" w:eastAsia="YouYuan" w:cs="YouYuan"/>
          <w:sz w:val="20"/>
          <w:szCs w:val="20"/>
          <w:b/>
          <w:bCs/>
          <w:spacing w:val="-13"/>
          <w:w w:val="83"/>
        </w:rPr>
        <w:t>第十二章</w:t>
      </w:r>
      <w:r>
        <w:rPr>
          <w:rFonts w:ascii="YouYuan" w:hAnsi="YouYuan" w:eastAsia="YouYuan" w:cs="YouYuan"/>
          <w:sz w:val="20"/>
          <w:szCs w:val="20"/>
          <w:spacing w:val="-13"/>
          <w:w w:val="83"/>
        </w:rPr>
        <w:t xml:space="preserve">  </w:t>
      </w:r>
      <w:r>
        <w:rPr>
          <w:rFonts w:ascii="YouYuan" w:hAnsi="YouYuan" w:eastAsia="YouYuan" w:cs="YouYuan"/>
          <w:sz w:val="20"/>
          <w:szCs w:val="20"/>
          <w:b/>
          <w:bCs/>
          <w:spacing w:val="-13"/>
          <w:w w:val="83"/>
        </w:rPr>
        <w:t>平台的反垄断挑战</w:t>
      </w:r>
      <w:r>
        <w:rPr>
          <w:rFonts w:ascii="YouYuan" w:hAnsi="YouYuan" w:eastAsia="YouYuan" w:cs="YouYuan"/>
          <w:sz w:val="20"/>
          <w:szCs w:val="20"/>
          <w:spacing w:val="1"/>
        </w:rPr>
        <w:t xml:space="preserve">                 </w:t>
      </w:r>
      <w:r>
        <w:rPr>
          <w:rFonts w:ascii="SimSun" w:hAnsi="SimSun" w:eastAsia="SimSun" w:cs="SimSun"/>
          <w:sz w:val="12"/>
          <w:szCs w:val="12"/>
          <w:spacing w:val="1"/>
          <w:position w:val="-4"/>
        </w:rPr>
        <w:t>439</w:t>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100" w:right="20"/>
        <w:spacing w:before="65" w:line="332" w:lineRule="auto"/>
        <w:jc w:val="both"/>
        <w:rPr>
          <w:rFonts w:ascii="SimSun" w:hAnsi="SimSun" w:eastAsia="SimSun" w:cs="SimSun"/>
          <w:sz w:val="20"/>
          <w:szCs w:val="20"/>
        </w:rPr>
      </w:pPr>
      <w:r>
        <w:rPr>
          <w:rFonts w:ascii="SimSun" w:hAnsi="SimSun" w:eastAsia="SimSun" w:cs="SimSun"/>
          <w:sz w:val="20"/>
          <w:szCs w:val="20"/>
          <w:spacing w:val="-1"/>
        </w:rPr>
        <w:t>析。在“双边市场”理论的指引下，有两个方面的变革。第一，技术 </w:t>
      </w:r>
      <w:r>
        <w:rPr>
          <w:rFonts w:ascii="SimSun" w:hAnsi="SimSun" w:eastAsia="SimSun" w:cs="SimSun"/>
          <w:sz w:val="20"/>
          <w:szCs w:val="20"/>
          <w:spacing w:val="5"/>
        </w:rPr>
        <w:t>上的变革。传统相关市场界定中的定性方法与定量方法等都要求进</w:t>
      </w:r>
      <w:r>
        <w:rPr>
          <w:rFonts w:ascii="SimSun" w:hAnsi="SimSun" w:eastAsia="SimSun" w:cs="SimSun"/>
          <w:sz w:val="20"/>
          <w:szCs w:val="20"/>
        </w:rPr>
        <w:t xml:space="preserve">  </w:t>
      </w:r>
      <w:r>
        <w:rPr>
          <w:rFonts w:ascii="SimSun" w:hAnsi="SimSun" w:eastAsia="SimSun" w:cs="SimSun"/>
          <w:sz w:val="20"/>
          <w:szCs w:val="20"/>
          <w:spacing w:val="2"/>
        </w:rPr>
        <w:t>行相应的更新，这也给各法域的执法部门带来了较大的困扰，例</w:t>
      </w:r>
      <w:r>
        <w:rPr>
          <w:rFonts w:ascii="SimSun" w:hAnsi="SimSun" w:eastAsia="SimSun" w:cs="SimSun"/>
          <w:sz w:val="20"/>
          <w:szCs w:val="20"/>
          <w:spacing w:val="1"/>
        </w:rPr>
        <w:t>如，</w:t>
      </w:r>
      <w:r>
        <w:rPr>
          <w:rFonts w:ascii="SimSun" w:hAnsi="SimSun" w:eastAsia="SimSun" w:cs="SimSun"/>
          <w:sz w:val="20"/>
          <w:szCs w:val="20"/>
        </w:rPr>
        <w:t xml:space="preserve"> </w:t>
      </w:r>
      <w:r>
        <w:rPr>
          <w:rFonts w:ascii="SimSun" w:hAnsi="SimSun" w:eastAsia="SimSun" w:cs="SimSun"/>
          <w:sz w:val="20"/>
          <w:szCs w:val="20"/>
        </w:rPr>
        <w:t>传统相关市场界定中运用的替代性分析方法、SSNIP</w:t>
      </w:r>
      <w:r>
        <w:rPr>
          <w:rFonts w:ascii="SimSun" w:hAnsi="SimSun" w:eastAsia="SimSun" w:cs="SimSun"/>
          <w:sz w:val="20"/>
          <w:szCs w:val="20"/>
          <w:spacing w:val="75"/>
        </w:rPr>
        <w:t xml:space="preserve"> </w:t>
      </w:r>
      <w:r>
        <w:rPr>
          <w:rFonts w:ascii="SimSun" w:hAnsi="SimSun" w:eastAsia="SimSun" w:cs="SimSun"/>
          <w:sz w:val="20"/>
          <w:szCs w:val="20"/>
        </w:rPr>
        <w:t>(假定垄断者测  </w:t>
      </w:r>
      <w:r>
        <w:rPr>
          <w:rFonts w:ascii="SimSun" w:hAnsi="SimSun" w:eastAsia="SimSun" w:cs="SimSun"/>
          <w:sz w:val="20"/>
          <w:szCs w:val="20"/>
          <w:spacing w:val="5"/>
        </w:rPr>
        <w:t>试</w:t>
      </w:r>
      <w:r>
        <w:rPr>
          <w:rFonts w:ascii="SimSun" w:hAnsi="SimSun" w:eastAsia="SimSun" w:cs="SimSun"/>
          <w:sz w:val="20"/>
          <w:szCs w:val="20"/>
          <w:spacing w:val="-35"/>
        </w:rPr>
        <w:t xml:space="preserve"> </w:t>
      </w:r>
      <w:r>
        <w:rPr>
          <w:rFonts w:ascii="SimSun" w:hAnsi="SimSun" w:eastAsia="SimSun" w:cs="SimSun"/>
          <w:sz w:val="20"/>
          <w:szCs w:val="20"/>
          <w:spacing w:val="5"/>
        </w:rPr>
        <w:t>)</w:t>
      </w:r>
      <w:r>
        <w:rPr>
          <w:rFonts w:ascii="SimSun" w:hAnsi="SimSun" w:eastAsia="SimSun" w:cs="SimSun"/>
          <w:sz w:val="20"/>
          <w:szCs w:val="20"/>
          <w:spacing w:val="-44"/>
        </w:rPr>
        <w:t xml:space="preserve"> </w:t>
      </w:r>
      <w:r>
        <w:rPr>
          <w:rFonts w:ascii="SimSun" w:hAnsi="SimSun" w:eastAsia="SimSun" w:cs="SimSun"/>
          <w:sz w:val="20"/>
          <w:szCs w:val="20"/>
          <w:spacing w:val="5"/>
        </w:rPr>
        <w:t>和</w:t>
      </w:r>
      <w:r>
        <w:rPr>
          <w:rFonts w:ascii="Times New Roman" w:hAnsi="Times New Roman" w:eastAsia="Times New Roman" w:cs="Times New Roman"/>
          <w:sz w:val="20"/>
          <w:szCs w:val="20"/>
        </w:rPr>
        <w:t>CLA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5"/>
        </w:rPr>
        <w:t>(临界损失分析)都过于倚重价格数据或其他传统变量，</w:t>
      </w:r>
      <w:r>
        <w:rPr>
          <w:rFonts w:ascii="SimSun" w:hAnsi="SimSun" w:eastAsia="SimSun" w:cs="SimSun"/>
          <w:sz w:val="20"/>
          <w:szCs w:val="20"/>
        </w:rPr>
        <w:t xml:space="preserve"> </w:t>
      </w:r>
      <w:r>
        <w:rPr>
          <w:rFonts w:ascii="SimSun" w:hAnsi="SimSun" w:eastAsia="SimSun" w:cs="SimSun"/>
          <w:sz w:val="20"/>
          <w:szCs w:val="20"/>
          <w:spacing w:val="-1"/>
        </w:rPr>
        <w:t>在适用于平台相关市场时都存在着失灵的风险；需要根据双边甚至多 </w:t>
      </w:r>
      <w:r>
        <w:rPr>
          <w:rFonts w:ascii="SimSun" w:hAnsi="SimSun" w:eastAsia="SimSun" w:cs="SimSun"/>
          <w:sz w:val="20"/>
          <w:szCs w:val="20"/>
          <w:spacing w:val="-1"/>
        </w:rPr>
        <w:t>变市场中价格的联动关系，调整原有的公式，设计新的计算价格、利 </w:t>
      </w:r>
      <w:r>
        <w:rPr>
          <w:rFonts w:ascii="SimSun" w:hAnsi="SimSun" w:eastAsia="SimSun" w:cs="SimSun"/>
          <w:sz w:val="20"/>
          <w:szCs w:val="20"/>
          <w:spacing w:val="-1"/>
        </w:rPr>
        <w:t>润或临界损失。①故在此领域中，已经有比较专业的针对相关</w:t>
      </w:r>
      <w:r>
        <w:rPr>
          <w:rFonts w:ascii="SimSun" w:hAnsi="SimSun" w:eastAsia="SimSun" w:cs="SimSun"/>
          <w:sz w:val="20"/>
          <w:szCs w:val="20"/>
          <w:spacing w:val="-2"/>
        </w:rPr>
        <w:t>市场界</w:t>
      </w:r>
      <w:r>
        <w:rPr>
          <w:rFonts w:ascii="SimSun" w:hAnsi="SimSun" w:eastAsia="SimSun" w:cs="SimSun"/>
          <w:sz w:val="20"/>
          <w:szCs w:val="20"/>
        </w:rPr>
        <w:t xml:space="preserve">  </w:t>
      </w:r>
      <w:r>
        <w:rPr>
          <w:rFonts w:ascii="SimSun" w:hAnsi="SimSun" w:eastAsia="SimSun" w:cs="SimSun"/>
          <w:sz w:val="20"/>
          <w:szCs w:val="20"/>
          <w:spacing w:val="-1"/>
        </w:rPr>
        <w:t>定中多边市场效应的分析。第二，观念上的变革。有学者提出应将双 </w:t>
      </w:r>
      <w:r>
        <w:rPr>
          <w:rFonts w:ascii="SimSun" w:hAnsi="SimSun" w:eastAsia="SimSun" w:cs="SimSun"/>
          <w:sz w:val="20"/>
          <w:szCs w:val="20"/>
          <w:spacing w:val="-1"/>
        </w:rPr>
        <w:t>边市场视为同一市场对待，也有学者提出平台并没有进入或者拓宽市</w:t>
      </w:r>
    </w:p>
    <w:p>
      <w:pPr>
        <w:ind w:left="100"/>
        <w:spacing w:line="219" w:lineRule="auto"/>
        <w:rPr>
          <w:rFonts w:ascii="SimSun" w:hAnsi="SimSun" w:eastAsia="SimSun" w:cs="SimSun"/>
          <w:sz w:val="20"/>
          <w:szCs w:val="20"/>
        </w:rPr>
      </w:pPr>
      <w:r>
        <w:rPr>
          <w:rFonts w:ascii="SimSun" w:hAnsi="SimSun" w:eastAsia="SimSun" w:cs="SimSun"/>
          <w:sz w:val="20"/>
          <w:szCs w:val="20"/>
          <w:spacing w:val="-4"/>
        </w:rPr>
        <w:t>场，而是取代了市场。</w:t>
      </w:r>
    </w:p>
    <w:p>
      <w:pPr>
        <w:ind w:right="39" w:firstLine="520"/>
        <w:spacing w:before="107" w:line="321" w:lineRule="auto"/>
        <w:jc w:val="both"/>
        <w:rPr>
          <w:rFonts w:ascii="SimSun" w:hAnsi="SimSun" w:eastAsia="SimSun" w:cs="SimSun"/>
          <w:sz w:val="20"/>
          <w:szCs w:val="20"/>
        </w:rPr>
      </w:pPr>
      <w:r>
        <w:rPr>
          <w:rFonts w:ascii="SimSun" w:hAnsi="SimSun" w:eastAsia="SimSun" w:cs="SimSun"/>
          <w:sz w:val="20"/>
          <w:szCs w:val="20"/>
          <w:spacing w:val="-1"/>
        </w:rPr>
        <w:t>再有，平台企业的市场支配力评估问题。传统的市场支</w:t>
      </w:r>
      <w:r>
        <w:rPr>
          <w:rFonts w:ascii="SimSun" w:hAnsi="SimSun" w:eastAsia="SimSun" w:cs="SimSun"/>
          <w:sz w:val="20"/>
          <w:szCs w:val="20"/>
          <w:spacing w:val="-2"/>
        </w:rPr>
        <w:t>配力评估</w:t>
      </w:r>
      <w:r>
        <w:rPr>
          <w:rFonts w:ascii="SimSun" w:hAnsi="SimSun" w:eastAsia="SimSun" w:cs="SimSun"/>
          <w:sz w:val="20"/>
          <w:szCs w:val="20"/>
        </w:rPr>
        <w:t xml:space="preserve"> </w:t>
      </w:r>
      <w:r>
        <w:rPr>
          <w:rFonts w:ascii="SimSun" w:hAnsi="SimSun" w:eastAsia="SimSun" w:cs="SimSun"/>
          <w:sz w:val="20"/>
          <w:szCs w:val="20"/>
          <w:spacing w:val="3"/>
        </w:rPr>
        <w:t>框架中，美国以市场份额、市场结构、进入门槛等作为间接证据，以</w:t>
      </w:r>
      <w:r>
        <w:rPr>
          <w:rFonts w:ascii="SimSun" w:hAnsi="SimSun" w:eastAsia="SimSun" w:cs="SimSun"/>
          <w:sz w:val="20"/>
          <w:szCs w:val="20"/>
          <w:spacing w:val="1"/>
        </w:rPr>
        <w:t xml:space="preserve"> </w:t>
      </w:r>
      <w:r>
        <w:rPr>
          <w:rFonts w:ascii="SimSun" w:hAnsi="SimSun" w:eastAsia="SimSun" w:cs="SimSun"/>
          <w:sz w:val="20"/>
          <w:szCs w:val="20"/>
          <w:spacing w:val="2"/>
        </w:rPr>
        <w:t>限制产出、超出垄断价格定价作为直接证据进行评估；中国则以《反</w:t>
      </w:r>
      <w:r>
        <w:rPr>
          <w:rFonts w:ascii="SimSun" w:hAnsi="SimSun" w:eastAsia="SimSun" w:cs="SimSun"/>
          <w:sz w:val="20"/>
          <w:szCs w:val="20"/>
          <w:spacing w:val="17"/>
        </w:rPr>
        <w:t xml:space="preserve"> </w:t>
      </w:r>
      <w:r>
        <w:rPr>
          <w:rFonts w:ascii="SimSun" w:hAnsi="SimSun" w:eastAsia="SimSun" w:cs="SimSun"/>
          <w:sz w:val="20"/>
          <w:szCs w:val="20"/>
          <w:spacing w:val="2"/>
        </w:rPr>
        <w:t>垄断法》第十八条所规定的五点因素为主，以其他兜底因素为辅</w:t>
      </w:r>
      <w:r>
        <w:rPr>
          <w:rFonts w:ascii="SimSun" w:hAnsi="SimSun" w:eastAsia="SimSun" w:cs="SimSun"/>
          <w:sz w:val="20"/>
          <w:szCs w:val="20"/>
          <w:spacing w:val="1"/>
        </w:rPr>
        <w:t>。然 </w:t>
      </w:r>
      <w:r>
        <w:rPr>
          <w:rFonts w:ascii="SimSun" w:hAnsi="SimSun" w:eastAsia="SimSun" w:cs="SimSun"/>
          <w:sz w:val="20"/>
          <w:szCs w:val="20"/>
          <w:spacing w:val="3"/>
        </w:rPr>
        <w:t>而，平台企业位于双边市场，具有网络效应，并伴随着互联网时代以</w:t>
      </w:r>
      <w:r>
        <w:rPr>
          <w:rFonts w:ascii="SimSun" w:hAnsi="SimSun" w:eastAsia="SimSun" w:cs="SimSun"/>
          <w:sz w:val="20"/>
          <w:szCs w:val="20"/>
        </w:rPr>
        <w:t xml:space="preserve"> </w:t>
      </w:r>
      <w:r>
        <w:rPr>
          <w:rFonts w:ascii="SimSun" w:hAnsi="SimSun" w:eastAsia="SimSun" w:cs="SimSun"/>
          <w:sz w:val="20"/>
          <w:szCs w:val="20"/>
          <w:spacing w:val="-2"/>
        </w:rPr>
        <w:t>“流量”“数据”为核心展开竞争的特性，因此应当有新的分析框架。</w:t>
      </w:r>
      <w:r>
        <w:rPr>
          <w:rFonts w:ascii="SimSun" w:hAnsi="SimSun" w:eastAsia="SimSun" w:cs="SimSun"/>
          <w:sz w:val="20"/>
          <w:szCs w:val="20"/>
          <w:spacing w:val="1"/>
        </w:rPr>
        <w:t xml:space="preserve"> </w:t>
      </w:r>
      <w:r>
        <w:rPr>
          <w:rFonts w:ascii="SimSun" w:hAnsi="SimSun" w:eastAsia="SimSun" w:cs="SimSun"/>
          <w:sz w:val="20"/>
          <w:szCs w:val="20"/>
          <w:spacing w:val="6"/>
        </w:rPr>
        <w:t>例如，有美国学者在其分析中提出了8个评估平台企业市场力量的因</w:t>
      </w:r>
      <w:r>
        <w:rPr>
          <w:rFonts w:ascii="SimSun" w:hAnsi="SimSun" w:eastAsia="SimSun" w:cs="SimSun"/>
          <w:sz w:val="20"/>
          <w:szCs w:val="20"/>
        </w:rPr>
        <w:t xml:space="preserve"> </w:t>
      </w:r>
      <w:r>
        <w:rPr>
          <w:rFonts w:ascii="SimSun" w:hAnsi="SimSun" w:eastAsia="SimSun" w:cs="SimSun"/>
          <w:sz w:val="20"/>
          <w:szCs w:val="20"/>
          <w:spacing w:val="1"/>
        </w:rPr>
        <w:t>素，包括创新、监管套利、进入门槛、交叉补贴后的定价、数字定价</w:t>
      </w:r>
      <w:r>
        <w:rPr>
          <w:rFonts w:ascii="SimSun" w:hAnsi="SimSun" w:eastAsia="SimSun" w:cs="SimSun"/>
          <w:sz w:val="20"/>
          <w:szCs w:val="20"/>
          <w:spacing w:val="8"/>
        </w:rPr>
        <w:t xml:space="preserve">  </w:t>
      </w:r>
      <w:r>
        <w:rPr>
          <w:rFonts w:ascii="SimSun" w:hAnsi="SimSun" w:eastAsia="SimSun" w:cs="SimSun"/>
          <w:sz w:val="20"/>
          <w:szCs w:val="20"/>
          <w:spacing w:val="2"/>
        </w:rPr>
        <w:t>和自动程序定价的利用、数据收集带来的市场力量、数据带来的</w:t>
      </w:r>
      <w:r>
        <w:rPr>
          <w:rFonts w:ascii="SimSun" w:hAnsi="SimSun" w:eastAsia="SimSun" w:cs="SimSun"/>
          <w:sz w:val="20"/>
          <w:szCs w:val="20"/>
          <w:spacing w:val="1"/>
        </w:rPr>
        <w:t>开发 </w:t>
      </w:r>
      <w:r>
        <w:rPr>
          <w:rFonts w:ascii="SimSun" w:hAnsi="SimSun" w:eastAsia="SimSun" w:cs="SimSun"/>
          <w:sz w:val="20"/>
          <w:szCs w:val="20"/>
        </w:rPr>
        <w:t>其他市场的能力、市场力量带来的对消费者隐私保护的威胁。②</w:t>
      </w:r>
    </w:p>
    <w:p>
      <w:pPr>
        <w:spacing w:before="127" w:line="360" w:lineRule="exact"/>
        <w:jc w:val="right"/>
        <w:rPr>
          <w:rFonts w:ascii="SimSun" w:hAnsi="SimSun" w:eastAsia="SimSun" w:cs="SimSun"/>
          <w:sz w:val="20"/>
          <w:szCs w:val="20"/>
        </w:rPr>
      </w:pPr>
      <w:r>
        <w:rPr>
          <w:rFonts w:ascii="SimSun" w:hAnsi="SimSun" w:eastAsia="SimSun" w:cs="SimSun"/>
          <w:sz w:val="20"/>
          <w:szCs w:val="20"/>
          <w:spacing w:val="2"/>
          <w:position w:val="12"/>
        </w:rPr>
        <w:t>最后，平台企业并购案的竞争效应分析是一个</w:t>
      </w:r>
      <w:r>
        <w:rPr>
          <w:rFonts w:ascii="SimSun" w:hAnsi="SimSun" w:eastAsia="SimSun" w:cs="SimSun"/>
          <w:sz w:val="20"/>
          <w:szCs w:val="20"/>
          <w:spacing w:val="1"/>
          <w:position w:val="12"/>
        </w:rPr>
        <w:t>较难处理的问题。</w:t>
      </w:r>
    </w:p>
    <w:p>
      <w:pPr>
        <w:spacing w:line="219" w:lineRule="auto"/>
        <w:rPr>
          <w:rFonts w:ascii="SimSun" w:hAnsi="SimSun" w:eastAsia="SimSun" w:cs="SimSun"/>
          <w:sz w:val="20"/>
          <w:szCs w:val="20"/>
        </w:rPr>
      </w:pPr>
      <w:r>
        <w:rPr>
          <w:rFonts w:ascii="SimSun" w:hAnsi="SimSun" w:eastAsia="SimSun" w:cs="SimSun"/>
          <w:sz w:val="20"/>
          <w:szCs w:val="20"/>
          <w:spacing w:val="3"/>
        </w:rPr>
        <w:t>“并购控制面临的基础挑战是，这是一个预测性的实践，如果执法部</w:t>
      </w:r>
    </w:p>
    <w:p>
      <w:pPr>
        <w:pStyle w:val="BodyText"/>
        <w:spacing w:line="299" w:lineRule="auto"/>
        <w:rPr/>
      </w:pPr>
      <w:r/>
    </w:p>
    <w:p>
      <w:pPr>
        <w:ind w:left="409" w:right="89" w:hanging="309"/>
        <w:spacing w:before="66" w:line="238" w:lineRule="auto"/>
        <w:rPr>
          <w:rFonts w:ascii="SimSun" w:hAnsi="SimSun" w:eastAsia="SimSun" w:cs="SimSun"/>
          <w:sz w:val="20"/>
          <w:szCs w:val="20"/>
        </w:rPr>
      </w:pPr>
      <w:r>
        <w:rPr>
          <w:rFonts w:ascii="SimSun" w:hAnsi="SimSun" w:eastAsia="SimSun" w:cs="SimSun"/>
          <w:sz w:val="20"/>
          <w:szCs w:val="20"/>
          <w:spacing w:val="-15"/>
          <w:w w:val="92"/>
        </w:rPr>
        <w:t>①</w:t>
      </w:r>
      <w:r>
        <w:rPr>
          <w:rFonts w:ascii="SimSun" w:hAnsi="SimSun" w:eastAsia="SimSun" w:cs="SimSun"/>
          <w:sz w:val="20"/>
          <w:szCs w:val="20"/>
          <w:spacing w:val="35"/>
        </w:rPr>
        <w:t xml:space="preserve"> </w:t>
      </w:r>
      <w:r>
        <w:rPr>
          <w:rFonts w:ascii="KaiTi" w:hAnsi="KaiTi" w:eastAsia="KaiTi" w:cs="KaiTi"/>
          <w:sz w:val="20"/>
          <w:szCs w:val="20"/>
          <w:spacing w:val="-15"/>
          <w:w w:val="92"/>
        </w:rPr>
        <w:t>张晨颖.平台相关市场界定方法再造.首都师范大学学报(社会科学版),</w:t>
      </w:r>
      <w:r>
        <w:rPr>
          <w:rFonts w:ascii="KaiTi" w:hAnsi="KaiTi" w:eastAsia="KaiTi" w:cs="KaiTi"/>
          <w:sz w:val="20"/>
          <w:szCs w:val="20"/>
          <w:spacing w:val="-16"/>
          <w:w w:val="92"/>
        </w:rPr>
        <w:t>2017(2)</w:t>
      </w:r>
      <w:r>
        <w:rPr>
          <w:rFonts w:ascii="Times New Roman" w:hAnsi="Times New Roman" w:eastAsia="Times New Roman" w:cs="Times New Roman"/>
          <w:sz w:val="20"/>
          <w:szCs w:val="20"/>
          <w:spacing w:val="-16"/>
          <w:w w:val="92"/>
        </w:rPr>
        <w:t>:</w:t>
      </w:r>
      <w:r>
        <w:rPr>
          <w:rFonts w:ascii="Times New Roman" w:hAnsi="Times New Roman" w:eastAsia="Times New Roman" w:cs="Times New Roman"/>
          <w:sz w:val="20"/>
          <w:szCs w:val="20"/>
        </w:rPr>
        <w:t xml:space="preserve"> </w:t>
      </w:r>
      <w:r>
        <w:rPr>
          <w:rFonts w:ascii="SimSun" w:hAnsi="SimSun" w:eastAsia="SimSun" w:cs="SimSun"/>
          <w:sz w:val="20"/>
          <w:szCs w:val="20"/>
          <w:spacing w:val="-14"/>
        </w:rPr>
        <w:t>41-51.</w:t>
      </w:r>
    </w:p>
    <w:p>
      <w:pPr>
        <w:ind w:left="100"/>
        <w:spacing w:before="47" w:line="212" w:lineRule="auto"/>
        <w:rPr>
          <w:rFonts w:ascii="Times New Roman" w:hAnsi="Times New Roman" w:eastAsia="Times New Roman" w:cs="Times New Roman"/>
          <w:sz w:val="20"/>
          <w:szCs w:val="20"/>
        </w:rPr>
      </w:pPr>
      <w:r>
        <w:rPr>
          <w:rFonts w:ascii="SimSun" w:hAnsi="SimSun" w:eastAsia="SimSun" w:cs="SimSun"/>
          <w:sz w:val="20"/>
          <w:szCs w:val="20"/>
          <w:spacing w:val="-9"/>
          <w:w w:val="96"/>
        </w:rPr>
        <w:t>②</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9"/>
          <w:w w:val="96"/>
        </w:rPr>
        <w:t>Kenneth A.Bamberger,Orly Lobel,“Platform Market Power”,Berkeley Technology</w:t>
      </w:r>
    </w:p>
    <w:p>
      <w:pPr>
        <w:ind w:left="426"/>
        <w:spacing w:before="50" w:line="208" w:lineRule="auto"/>
        <w:rPr>
          <w:rFonts w:ascii="SimSun" w:hAnsi="SimSun" w:eastAsia="SimSun" w:cs="SimSun"/>
          <w:sz w:val="21"/>
          <w:szCs w:val="21"/>
        </w:rPr>
      </w:pPr>
      <w:r>
        <w:rPr>
          <w:rFonts w:ascii="SimSun" w:hAnsi="SimSun" w:eastAsia="SimSun" w:cs="SimSun"/>
          <w:sz w:val="21"/>
          <w:szCs w:val="21"/>
          <w:i/>
          <w:iCs/>
          <w:spacing w:val="-22"/>
          <w:w w:val="96"/>
        </w:rPr>
        <w:t>Law</w:t>
      </w:r>
      <w:r>
        <w:rPr>
          <w:rFonts w:ascii="SimSun" w:hAnsi="SimSun" w:eastAsia="SimSun" w:cs="SimSun"/>
          <w:sz w:val="21"/>
          <w:szCs w:val="21"/>
          <w:spacing w:val="-79"/>
        </w:rPr>
        <w:t xml:space="preserve"> </w:t>
      </w:r>
      <w:r>
        <w:rPr>
          <w:rFonts w:ascii="SimSun" w:hAnsi="SimSun" w:eastAsia="SimSun" w:cs="SimSun"/>
          <w:sz w:val="21"/>
          <w:szCs w:val="21"/>
          <w:i/>
          <w:iCs/>
          <w:spacing w:val="-22"/>
          <w:w w:val="96"/>
        </w:rPr>
        <w:t>Journal,2017,32(3):1051-109</w:t>
      </w:r>
      <w:r>
        <w:rPr>
          <w:rFonts w:ascii="SimSun" w:hAnsi="SimSun" w:eastAsia="SimSun" w:cs="SimSun"/>
          <w:sz w:val="21"/>
          <w:szCs w:val="21"/>
          <w:i/>
          <w:iCs/>
          <w:spacing w:val="-23"/>
          <w:w w:val="96"/>
        </w:rPr>
        <w:t>2.</w:t>
      </w:r>
    </w:p>
    <w:p>
      <w:pPr>
        <w:spacing w:line="208" w:lineRule="auto"/>
        <w:sectPr>
          <w:headerReference w:type="default" r:id="rId1"/>
          <w:pgSz w:w="7330" w:h="12480"/>
          <w:pgMar w:top="400" w:right="830" w:bottom="400" w:left="320" w:header="0" w:footer="0" w:gutter="0"/>
        </w:sectPr>
        <w:rPr>
          <w:rFonts w:ascii="SimSun" w:hAnsi="SimSun" w:eastAsia="SimSun" w:cs="SimSun"/>
          <w:sz w:val="21"/>
          <w:szCs w:val="21"/>
        </w:rPr>
      </w:pPr>
    </w:p>
    <w:p>
      <w:pPr>
        <w:pStyle w:val="BodyText"/>
        <w:spacing w:line="243" w:lineRule="auto"/>
        <w:rPr/>
      </w:pPr>
      <w:r>
        <w:drawing>
          <wp:anchor distT="0" distB="0" distL="0" distR="0" simplePos="0" relativeHeight="256270336" behindDoc="0" locked="0" layoutInCell="0" allowOverlap="1">
            <wp:simplePos x="0" y="0"/>
            <wp:positionH relativeFrom="page">
              <wp:posOffset>450839</wp:posOffset>
            </wp:positionH>
            <wp:positionV relativeFrom="page">
              <wp:posOffset>6000732</wp:posOffset>
            </wp:positionV>
            <wp:extent cx="1187469" cy="6350"/>
            <wp:effectExtent l="0" t="0" r="0" b="0"/>
            <wp:wrapNone/>
            <wp:docPr id="398" name="IM 398"/>
            <wp:cNvGraphicFramePr/>
            <a:graphic>
              <a:graphicData uri="http://schemas.openxmlformats.org/drawingml/2006/picture">
                <pic:pic>
                  <pic:nvPicPr>
                    <pic:cNvPr id="398" name="IM 398"/>
                    <pic:cNvPicPr/>
                  </pic:nvPicPr>
                  <pic:blipFill>
                    <a:blip r:embed="rId529"/>
                    <a:stretch>
                      <a:fillRect/>
                    </a:stretch>
                  </pic:blipFill>
                  <pic:spPr>
                    <a:xfrm rot="0">
                      <a:off x="0" y="0"/>
                      <a:ext cx="1187469" cy="6350"/>
                    </a:xfrm>
                    <a:prstGeom prst="rect">
                      <a:avLst/>
                    </a:prstGeom>
                  </pic:spPr>
                </pic:pic>
              </a:graphicData>
            </a:graphic>
          </wp:anchor>
        </w:drawing>
      </w:r>
      <w:r/>
    </w:p>
    <w:p>
      <w:pPr>
        <w:pStyle w:val="BodyText"/>
        <w:spacing w:line="243" w:lineRule="auto"/>
        <w:rPr/>
      </w:pPr>
      <w:r/>
    </w:p>
    <w:p>
      <w:pPr>
        <w:pStyle w:val="BodyText"/>
        <w:spacing w:line="243" w:lineRule="auto"/>
        <w:rPr/>
      </w:pPr>
      <w:r/>
    </w:p>
    <w:p>
      <w:pPr>
        <w:pStyle w:val="BodyText"/>
        <w:spacing w:line="244" w:lineRule="auto"/>
        <w:rPr/>
      </w:pPr>
      <w:r/>
    </w:p>
    <w:p>
      <w:pPr>
        <w:spacing w:before="68" w:line="312" w:lineRule="auto"/>
        <w:rPr>
          <w:rFonts w:ascii="SimSun" w:hAnsi="SimSun" w:eastAsia="SimSun" w:cs="SimSun"/>
          <w:sz w:val="21"/>
          <w:szCs w:val="21"/>
        </w:rPr>
      </w:pPr>
      <w:r>
        <w:rPr>
          <w:rFonts w:ascii="SimSun" w:hAnsi="SimSun" w:eastAsia="SimSun" w:cs="SimSun"/>
          <w:sz w:val="21"/>
          <w:szCs w:val="21"/>
          <w:spacing w:val="-10"/>
        </w:rPr>
        <w:t>门正在寻求拟进行的、可能实际减少竞争的</w:t>
      </w:r>
      <w:r>
        <w:rPr>
          <w:rFonts w:ascii="SimSun" w:hAnsi="SimSun" w:eastAsia="SimSun" w:cs="SimSun"/>
          <w:sz w:val="21"/>
          <w:szCs w:val="21"/>
          <w:spacing w:val="-11"/>
        </w:rPr>
        <w:t>并购，那么执法部门必须</w:t>
      </w:r>
      <w:r>
        <w:rPr>
          <w:rFonts w:ascii="SimSun" w:hAnsi="SimSun" w:eastAsia="SimSun" w:cs="SimSun"/>
          <w:sz w:val="21"/>
          <w:szCs w:val="21"/>
        </w:rPr>
        <w:t xml:space="preserve">   </w:t>
      </w:r>
      <w:r>
        <w:rPr>
          <w:rFonts w:ascii="SimSun" w:hAnsi="SimSun" w:eastAsia="SimSun" w:cs="SimSun"/>
          <w:sz w:val="21"/>
          <w:szCs w:val="21"/>
          <w:spacing w:val="-13"/>
        </w:rPr>
        <w:t>在这个交易完成前评估其潜在的竞争效应”①,且这个问题在竞争动态  </w:t>
      </w:r>
      <w:r>
        <w:rPr>
          <w:rFonts w:ascii="SimSun" w:hAnsi="SimSun" w:eastAsia="SimSun" w:cs="SimSun"/>
          <w:sz w:val="21"/>
          <w:szCs w:val="21"/>
          <w:spacing w:val="-11"/>
        </w:rPr>
        <w:t>化的平台企业时代被放大得淋漓尽致。在平台企业并购问题刚刚兴起</w:t>
      </w:r>
      <w:r>
        <w:rPr>
          <w:rFonts w:ascii="SimSun" w:hAnsi="SimSun" w:eastAsia="SimSun" w:cs="SimSun"/>
          <w:sz w:val="21"/>
          <w:szCs w:val="21"/>
          <w:spacing w:val="5"/>
        </w:rPr>
        <w:t xml:space="preserve">   </w:t>
      </w:r>
      <w:r>
        <w:rPr>
          <w:rFonts w:ascii="SimSun" w:hAnsi="SimSun" w:eastAsia="SimSun" w:cs="SimSun"/>
          <w:sz w:val="21"/>
          <w:szCs w:val="21"/>
          <w:spacing w:val="-9"/>
        </w:rPr>
        <w:t>的21世纪头十年，学者们普遍对其持较为开放的</w:t>
      </w:r>
      <w:r>
        <w:rPr>
          <w:rFonts w:ascii="SimSun" w:hAnsi="SimSun" w:eastAsia="SimSun" w:cs="SimSun"/>
          <w:sz w:val="21"/>
          <w:szCs w:val="21"/>
          <w:spacing w:val="-10"/>
        </w:rPr>
        <w:t>态度，如戴维·埃文  </w:t>
      </w:r>
      <w:r>
        <w:rPr>
          <w:rFonts w:ascii="SimSun" w:hAnsi="SimSun" w:eastAsia="SimSun" w:cs="SimSun"/>
          <w:sz w:val="21"/>
          <w:szCs w:val="21"/>
          <w:spacing w:val="-11"/>
        </w:rPr>
        <w:t>斯教授认为，对平台的掠夺性定价要按照合理原则进行判断，因为掠</w:t>
      </w:r>
      <w:r>
        <w:rPr>
          <w:rFonts w:ascii="SimSun" w:hAnsi="SimSun" w:eastAsia="SimSun" w:cs="SimSun"/>
          <w:sz w:val="21"/>
          <w:szCs w:val="21"/>
          <w:spacing w:val="6"/>
        </w:rPr>
        <w:t xml:space="preserve">   </w:t>
      </w:r>
      <w:r>
        <w:rPr>
          <w:rFonts w:ascii="SimSun" w:hAnsi="SimSun" w:eastAsia="SimSun" w:cs="SimSun"/>
          <w:sz w:val="21"/>
          <w:szCs w:val="21"/>
          <w:spacing w:val="-11"/>
        </w:rPr>
        <w:t>夺性定价可能正是平台企业真正有效率的定价，而非一种获取垄断地</w:t>
      </w:r>
      <w:r>
        <w:rPr>
          <w:rFonts w:ascii="SimSun" w:hAnsi="SimSun" w:eastAsia="SimSun" w:cs="SimSun"/>
          <w:sz w:val="21"/>
          <w:szCs w:val="21"/>
          <w:spacing w:val="5"/>
        </w:rPr>
        <w:t xml:space="preserve">   </w:t>
      </w:r>
      <w:r>
        <w:rPr>
          <w:rFonts w:ascii="SimSun" w:hAnsi="SimSun" w:eastAsia="SimSun" w:cs="SimSun"/>
          <w:sz w:val="21"/>
          <w:szCs w:val="21"/>
          <w:spacing w:val="-11"/>
        </w:rPr>
        <w:t>位的策略。②但最近几年，学界对平台企业并购的态度更</w:t>
      </w:r>
      <w:r>
        <w:rPr>
          <w:rFonts w:ascii="SimSun" w:hAnsi="SimSun" w:eastAsia="SimSun" w:cs="SimSun"/>
          <w:sz w:val="21"/>
          <w:szCs w:val="21"/>
          <w:spacing w:val="-12"/>
        </w:rPr>
        <w:t>加严格：反</w:t>
      </w:r>
      <w:r>
        <w:rPr>
          <w:rFonts w:ascii="SimSun" w:hAnsi="SimSun" w:eastAsia="SimSun" w:cs="SimSun"/>
          <w:sz w:val="21"/>
          <w:szCs w:val="21"/>
        </w:rPr>
        <w:t xml:space="preserve">   </w:t>
      </w:r>
      <w:r>
        <w:rPr>
          <w:rFonts w:ascii="SimSun" w:hAnsi="SimSun" w:eastAsia="SimSun" w:cs="SimSun"/>
          <w:sz w:val="21"/>
          <w:szCs w:val="21"/>
          <w:spacing w:val="-11"/>
        </w:rPr>
        <w:t>垄断是否需要考虑平台企业横跨不同行业带来的合力，而非局限在单</w:t>
      </w:r>
      <w:r>
        <w:rPr>
          <w:rFonts w:ascii="SimSun" w:hAnsi="SimSun" w:eastAsia="SimSun" w:cs="SimSun"/>
          <w:sz w:val="21"/>
          <w:szCs w:val="21"/>
          <w:spacing w:val="5"/>
        </w:rPr>
        <w:t xml:space="preserve">   </w:t>
      </w:r>
      <w:r>
        <w:rPr>
          <w:rFonts w:ascii="SimSun" w:hAnsi="SimSun" w:eastAsia="SimSun" w:cs="SimSun"/>
          <w:sz w:val="21"/>
          <w:szCs w:val="21"/>
          <w:spacing w:val="-3"/>
        </w:rPr>
        <w:t>一市场界定上?基于市场份额的监管是否滞后?基于行</w:t>
      </w:r>
      <w:r>
        <w:rPr>
          <w:rFonts w:ascii="SimSun" w:hAnsi="SimSun" w:eastAsia="SimSun" w:cs="SimSun"/>
          <w:sz w:val="21"/>
          <w:szCs w:val="21"/>
          <w:spacing w:val="-4"/>
        </w:rPr>
        <w:t>为的监管是否</w:t>
      </w:r>
      <w:r>
        <w:rPr>
          <w:rFonts w:ascii="SimSun" w:hAnsi="SimSun" w:eastAsia="SimSun" w:cs="SimSun"/>
          <w:sz w:val="21"/>
          <w:szCs w:val="21"/>
        </w:rPr>
        <w:t xml:space="preserve">  </w:t>
      </w:r>
      <w:r>
        <w:rPr>
          <w:rFonts w:ascii="SimSun" w:hAnsi="SimSun" w:eastAsia="SimSun" w:cs="SimSun"/>
          <w:sz w:val="21"/>
          <w:szCs w:val="21"/>
          <w:spacing w:val="-3"/>
        </w:rPr>
        <w:t>更为重要?杰弗里·帕克等人将平台并购可能的竞争损害分</w:t>
      </w:r>
      <w:r>
        <w:rPr>
          <w:rFonts w:ascii="SimSun" w:hAnsi="SimSun" w:eastAsia="SimSun" w:cs="SimSun"/>
          <w:sz w:val="21"/>
          <w:szCs w:val="21"/>
          <w:spacing w:val="-4"/>
        </w:rPr>
        <w:t>为三类。 </w:t>
      </w:r>
      <w:r>
        <w:rPr>
          <w:rFonts w:ascii="SimSun" w:hAnsi="SimSun" w:eastAsia="SimSun" w:cs="SimSun"/>
          <w:sz w:val="21"/>
          <w:szCs w:val="21"/>
          <w:spacing w:val="-14"/>
        </w:rPr>
        <w:t>一是动态竞争中的竞争损害，包括：扼杀性并购③,即平台企业仅为遏</w:t>
      </w:r>
      <w:r>
        <w:rPr>
          <w:rFonts w:ascii="SimSun" w:hAnsi="SimSun" w:eastAsia="SimSun" w:cs="SimSun"/>
          <w:sz w:val="21"/>
          <w:szCs w:val="21"/>
          <w:spacing w:val="5"/>
        </w:rPr>
        <w:t xml:space="preserve">   </w:t>
      </w:r>
      <w:r>
        <w:rPr>
          <w:rFonts w:ascii="SimSun" w:hAnsi="SimSun" w:eastAsia="SimSun" w:cs="SimSun"/>
          <w:sz w:val="21"/>
          <w:szCs w:val="21"/>
          <w:spacing w:val="-10"/>
        </w:rPr>
        <w:t>制创新的目的收购小企业；寒蝉效应，平台企业的不断收购会使得小  </w:t>
      </w:r>
      <w:r>
        <w:rPr>
          <w:rFonts w:ascii="SimSun" w:hAnsi="SimSun" w:eastAsia="SimSun" w:cs="SimSun"/>
          <w:sz w:val="21"/>
          <w:szCs w:val="21"/>
          <w:spacing w:val="-13"/>
        </w:rPr>
        <w:t>企业们的运营目的由“独立发展并获得成功”变为“被大企业收购”,  </w:t>
      </w:r>
      <w:r>
        <w:rPr>
          <w:rFonts w:ascii="SimSun" w:hAnsi="SimSun" w:eastAsia="SimSun" w:cs="SimSun"/>
          <w:sz w:val="21"/>
          <w:szCs w:val="21"/>
          <w:spacing w:val="-11"/>
        </w:rPr>
        <w:t>对其他初创企业造成影响；平台打包理论，即平台企业通过收购平台</w:t>
      </w:r>
      <w:r>
        <w:rPr>
          <w:rFonts w:ascii="SimSun" w:hAnsi="SimSun" w:eastAsia="SimSun" w:cs="SimSun"/>
          <w:sz w:val="21"/>
          <w:szCs w:val="21"/>
          <w:spacing w:val="3"/>
        </w:rPr>
        <w:t xml:space="preserve">   </w:t>
      </w:r>
      <w:r>
        <w:rPr>
          <w:rFonts w:ascii="SimSun" w:hAnsi="SimSun" w:eastAsia="SimSun" w:cs="SimSun"/>
          <w:sz w:val="21"/>
          <w:szCs w:val="21"/>
          <w:spacing w:val="-10"/>
        </w:rPr>
        <w:t>能够一并收购相关的用户、市场份额和市场</w:t>
      </w:r>
      <w:r>
        <w:rPr>
          <w:rFonts w:ascii="SimSun" w:hAnsi="SimSun" w:eastAsia="SimSun" w:cs="SimSun"/>
          <w:sz w:val="21"/>
          <w:szCs w:val="21"/>
          <w:spacing w:val="-11"/>
        </w:rPr>
        <w:t>支配力量。二是横向并购</w:t>
      </w:r>
      <w:r>
        <w:rPr>
          <w:rFonts w:ascii="SimSun" w:hAnsi="SimSun" w:eastAsia="SimSun" w:cs="SimSun"/>
          <w:sz w:val="21"/>
          <w:szCs w:val="21"/>
        </w:rPr>
        <w:t xml:space="preserve">   </w:t>
      </w:r>
      <w:r>
        <w:rPr>
          <w:rFonts w:ascii="SimSun" w:hAnsi="SimSun" w:eastAsia="SimSun" w:cs="SimSun"/>
          <w:sz w:val="21"/>
          <w:szCs w:val="21"/>
          <w:spacing w:val="-10"/>
        </w:rPr>
        <w:t>和相邻市场并购中的竞争损害：平台企业可能通过横向并购获</w:t>
      </w:r>
      <w:r>
        <w:rPr>
          <w:rFonts w:ascii="SimSun" w:hAnsi="SimSun" w:eastAsia="SimSun" w:cs="SimSun"/>
          <w:sz w:val="21"/>
          <w:szCs w:val="21"/>
          <w:spacing w:val="-11"/>
        </w:rPr>
        <w:t>取更多</w:t>
      </w:r>
      <w:r>
        <w:rPr>
          <w:rFonts w:ascii="SimSun" w:hAnsi="SimSun" w:eastAsia="SimSun" w:cs="SimSun"/>
          <w:sz w:val="21"/>
          <w:szCs w:val="21"/>
        </w:rPr>
        <w:t xml:space="preserve">  </w:t>
      </w:r>
      <w:r>
        <w:rPr>
          <w:rFonts w:ascii="SimSun" w:hAnsi="SimSun" w:eastAsia="SimSun" w:cs="SimSun"/>
          <w:sz w:val="21"/>
          <w:szCs w:val="21"/>
          <w:spacing w:val="-4"/>
        </w:rPr>
        <w:t>用户，获取更多的剩余利润；相邻市场并购可能会使“一站式购物”</w:t>
      </w:r>
      <w:r>
        <w:rPr>
          <w:rFonts w:ascii="SimSun" w:hAnsi="SimSun" w:eastAsia="SimSun" w:cs="SimSun"/>
          <w:sz w:val="21"/>
          <w:szCs w:val="21"/>
          <w:spacing w:val="2"/>
        </w:rPr>
        <w:t xml:space="preserve"> </w:t>
      </w:r>
      <w:r>
        <w:rPr>
          <w:rFonts w:ascii="SimSun" w:hAnsi="SimSun" w:eastAsia="SimSun" w:cs="SimSun"/>
          <w:sz w:val="21"/>
          <w:szCs w:val="21"/>
          <w:spacing w:val="-11"/>
        </w:rPr>
        <w:t>的平台企业获取更多利润。三是纵向并购中的竞争损害，是平台企业</w:t>
      </w:r>
      <w:r>
        <w:rPr>
          <w:rFonts w:ascii="SimSun" w:hAnsi="SimSun" w:eastAsia="SimSun" w:cs="SimSun"/>
          <w:sz w:val="21"/>
          <w:szCs w:val="21"/>
          <w:spacing w:val="5"/>
        </w:rPr>
        <w:t xml:space="preserve">   </w:t>
      </w:r>
      <w:r>
        <w:rPr>
          <w:rFonts w:ascii="SimSun" w:hAnsi="SimSun" w:eastAsia="SimSun" w:cs="SimSun"/>
          <w:sz w:val="21"/>
          <w:szCs w:val="21"/>
          <w:spacing w:val="-10"/>
        </w:rPr>
        <w:t>可能通过自我裁判、自我选择限制消费者的选择，同</w:t>
      </w:r>
      <w:r>
        <w:rPr>
          <w:rFonts w:ascii="SimSun" w:hAnsi="SimSun" w:eastAsia="SimSun" w:cs="SimSun"/>
          <w:sz w:val="21"/>
          <w:szCs w:val="21"/>
          <w:spacing w:val="-11"/>
        </w:rPr>
        <w:t>时存在搭售、捆</w:t>
      </w:r>
      <w:r>
        <w:rPr>
          <w:rFonts w:ascii="SimSun" w:hAnsi="SimSun" w:eastAsia="SimSun" w:cs="SimSun"/>
          <w:sz w:val="21"/>
          <w:szCs w:val="21"/>
        </w:rPr>
        <w:t xml:space="preserve">  </w:t>
      </w:r>
      <w:r>
        <w:rPr>
          <w:rFonts w:ascii="SimSun" w:hAnsi="SimSun" w:eastAsia="SimSun" w:cs="SimSun"/>
          <w:sz w:val="21"/>
          <w:szCs w:val="21"/>
          <w:spacing w:val="-11"/>
        </w:rPr>
        <w:t>绑定价等其他问题。对平台企业并购的竞争效应分析，当前的并购执</w:t>
      </w:r>
      <w:r>
        <w:rPr>
          <w:rFonts w:ascii="SimSun" w:hAnsi="SimSun" w:eastAsia="SimSun" w:cs="SimSun"/>
          <w:sz w:val="21"/>
          <w:szCs w:val="21"/>
          <w:spacing w:val="5"/>
        </w:rPr>
        <w:t xml:space="preserve">   </w:t>
      </w:r>
      <w:r>
        <w:rPr>
          <w:rFonts w:ascii="SimSun" w:hAnsi="SimSun" w:eastAsia="SimSun" w:cs="SimSun"/>
          <w:sz w:val="21"/>
          <w:szCs w:val="21"/>
          <w:spacing w:val="-10"/>
        </w:rPr>
        <w:t>法工具并不适合这一新变化，急需新的方法。例如，霍温坎</w:t>
      </w:r>
      <w:r>
        <w:rPr>
          <w:rFonts w:ascii="SimSun" w:hAnsi="SimSun" w:eastAsia="SimSun" w:cs="SimSun"/>
          <w:sz w:val="21"/>
          <w:szCs w:val="21"/>
          <w:spacing w:val="-11"/>
        </w:rPr>
        <w:t>普教授给</w:t>
      </w:r>
    </w:p>
    <w:p>
      <w:pPr>
        <w:pStyle w:val="BodyText"/>
        <w:spacing w:line="267" w:lineRule="auto"/>
        <w:rPr/>
      </w:pPr>
      <w:r/>
    </w:p>
    <w:p>
      <w:pPr>
        <w:pStyle w:val="BodyText"/>
        <w:spacing w:line="267" w:lineRule="auto"/>
        <w:rPr/>
      </w:pPr>
      <w:r/>
    </w:p>
    <w:p>
      <w:pPr>
        <w:spacing w:before="53"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46"/>
        </w:rPr>
        <w:t xml:space="preserve"> </w:t>
      </w:r>
      <w:r>
        <w:rPr>
          <w:rFonts w:ascii="Times New Roman" w:hAnsi="Times New Roman" w:eastAsia="Times New Roman" w:cs="Times New Roman"/>
          <w:sz w:val="16"/>
          <w:szCs w:val="16"/>
        </w:rPr>
        <w:t>Carl</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rPr>
        <w:t>Shapiro,“Protecting</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spacing w:val="-1"/>
        </w:rPr>
        <w:t>Competition</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29"/>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28"/>
          <w:w w:val="102"/>
        </w:rPr>
        <w:t xml:space="preserve"> </w:t>
      </w:r>
      <w:r>
        <w:rPr>
          <w:rFonts w:ascii="Times New Roman" w:hAnsi="Times New Roman" w:eastAsia="Times New Roman" w:cs="Times New Roman"/>
          <w:sz w:val="16"/>
          <w:szCs w:val="16"/>
          <w:spacing w:val="-1"/>
        </w:rPr>
        <w:t>American</w:t>
      </w:r>
      <w:r>
        <w:rPr>
          <w:rFonts w:ascii="Times New Roman" w:hAnsi="Times New Roman" w:eastAsia="Times New Roman" w:cs="Times New Roman"/>
          <w:sz w:val="16"/>
          <w:szCs w:val="16"/>
          <w:spacing w:val="30"/>
          <w:w w:val="102"/>
        </w:rPr>
        <w:t xml:space="preserve"> </w:t>
      </w:r>
      <w:r>
        <w:rPr>
          <w:rFonts w:ascii="Times New Roman" w:hAnsi="Times New Roman" w:eastAsia="Times New Roman" w:cs="Times New Roman"/>
          <w:sz w:val="16"/>
          <w:szCs w:val="16"/>
          <w:spacing w:val="-1"/>
        </w:rPr>
        <w:t>Economy:Merger</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Control,Tech</w:t>
      </w:r>
    </w:p>
    <w:p>
      <w:pPr>
        <w:ind w:left="329"/>
        <w:spacing w:before="49"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Titans</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Labor</w:t>
      </w:r>
      <w:r>
        <w:rPr>
          <w:rFonts w:ascii="Times New Roman" w:hAnsi="Times New Roman" w:eastAsia="Times New Roman" w:cs="Times New Roman"/>
          <w:sz w:val="16"/>
          <w:szCs w:val="16"/>
          <w:i/>
          <w:iCs/>
          <w:spacing w:val="17"/>
          <w:position w:val="3"/>
        </w:rPr>
        <w:t xml:space="preserve">  </w:t>
      </w:r>
      <w:r>
        <w:rPr>
          <w:rFonts w:ascii="Times New Roman" w:hAnsi="Times New Roman" w:eastAsia="Times New Roman" w:cs="Times New Roman"/>
          <w:sz w:val="16"/>
          <w:szCs w:val="16"/>
          <w:i/>
          <w:iCs/>
          <w:position w:val="3"/>
        </w:rPr>
        <w:t>Markets</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Journal</w:t>
      </w:r>
      <w:r>
        <w:rPr>
          <w:rFonts w:ascii="Times New Roman" w:hAnsi="Times New Roman" w:eastAsia="Times New Roman" w:cs="Times New Roman"/>
          <w:sz w:val="16"/>
          <w:szCs w:val="16"/>
          <w:i/>
          <w:iCs/>
          <w:spacing w:val="18"/>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39"/>
          <w:w w:val="101"/>
          <w:position w:val="3"/>
        </w:rPr>
        <w:t xml:space="preserve"> </w:t>
      </w:r>
      <w:r>
        <w:rPr>
          <w:rFonts w:ascii="Times New Roman" w:hAnsi="Times New Roman" w:eastAsia="Times New Roman" w:cs="Times New Roman"/>
          <w:sz w:val="16"/>
          <w:szCs w:val="16"/>
          <w:i/>
          <w:iCs/>
          <w:position w:val="3"/>
        </w:rPr>
        <w:t>Economic</w:t>
      </w:r>
      <w:r>
        <w:rPr>
          <w:rFonts w:ascii="Times New Roman" w:hAnsi="Times New Roman" w:eastAsia="Times New Roman" w:cs="Times New Roman"/>
          <w:sz w:val="16"/>
          <w:szCs w:val="16"/>
          <w:i/>
          <w:iCs/>
          <w:spacing w:val="15"/>
          <w:w w:val="101"/>
          <w:position w:val="3"/>
        </w:rPr>
        <w:t xml:space="preserve">  </w:t>
      </w:r>
      <w:r>
        <w:rPr>
          <w:rFonts w:ascii="Times New Roman" w:hAnsi="Times New Roman" w:eastAsia="Times New Roman" w:cs="Times New Roman"/>
          <w:sz w:val="16"/>
          <w:szCs w:val="16"/>
          <w:i/>
          <w:iCs/>
          <w:position w:val="3"/>
        </w:rPr>
        <w:t>Perspectives</w:t>
      </w:r>
      <w:r>
        <w:rPr>
          <w:rFonts w:ascii="Times New Roman" w:hAnsi="Times New Roman" w:eastAsia="Times New Roman" w:cs="Times New Roman"/>
          <w:sz w:val="16"/>
          <w:szCs w:val="16"/>
          <w:i/>
          <w:iCs/>
          <w:spacing w:val="1"/>
          <w:position w:val="3"/>
        </w:rPr>
        <w:t>,2019,33(3):69-93.</w:t>
      </w:r>
    </w:p>
    <w:p>
      <w:pPr>
        <w:spacing w:before="101" w:line="212"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45"/>
        </w:rPr>
        <w:t xml:space="preserve"> </w:t>
      </w:r>
      <w:r>
        <w:rPr>
          <w:rFonts w:ascii="Times New Roman" w:hAnsi="Times New Roman" w:eastAsia="Times New Roman" w:cs="Times New Roman"/>
          <w:sz w:val="16"/>
          <w:szCs w:val="16"/>
        </w:rPr>
        <w:t>David   S.Evans,“The</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rPr>
        <w:t>Antitrust</w:t>
      </w:r>
      <w:r>
        <w:rPr>
          <w:rFonts w:ascii="Times New Roman" w:hAnsi="Times New Roman" w:eastAsia="Times New Roman" w:cs="Times New Roman"/>
          <w:sz w:val="16"/>
          <w:szCs w:val="16"/>
          <w:spacing w:val="17"/>
          <w:w w:val="102"/>
        </w:rPr>
        <w:t xml:space="preserve">  </w:t>
      </w:r>
      <w:r>
        <w:rPr>
          <w:rFonts w:ascii="Times New Roman" w:hAnsi="Times New Roman" w:eastAsia="Times New Roman" w:cs="Times New Roman"/>
          <w:sz w:val="16"/>
          <w:szCs w:val="16"/>
        </w:rPr>
        <w:t>Economics   of  Multi-Sided   Platform</w:t>
      </w:r>
      <w:r>
        <w:rPr>
          <w:rFonts w:ascii="Times New Roman" w:hAnsi="Times New Roman" w:eastAsia="Times New Roman" w:cs="Times New Roman"/>
          <w:sz w:val="16"/>
          <w:szCs w:val="16"/>
          <w:spacing w:val="-1"/>
        </w:rPr>
        <w:t xml:space="preserve">   Markets”,Yale</w:t>
      </w:r>
    </w:p>
    <w:p>
      <w:pPr>
        <w:ind w:left="329"/>
        <w:spacing w:before="11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Journal   on</w:t>
      </w:r>
      <w:r>
        <w:rPr>
          <w:rFonts w:ascii="Times New Roman" w:hAnsi="Times New Roman" w:eastAsia="Times New Roman" w:cs="Times New Roman"/>
          <w:sz w:val="16"/>
          <w:szCs w:val="16"/>
          <w:i/>
          <w:iCs/>
          <w:spacing w:val="25"/>
        </w:rPr>
        <w:t xml:space="preserve">  </w:t>
      </w:r>
      <w:r>
        <w:rPr>
          <w:rFonts w:ascii="Times New Roman" w:hAnsi="Times New Roman" w:eastAsia="Times New Roman" w:cs="Times New Roman"/>
          <w:sz w:val="16"/>
          <w:szCs w:val="16"/>
          <w:i/>
          <w:iCs/>
        </w:rPr>
        <w:t>Regulation,2003,20(2):325-381.</w:t>
      </w:r>
    </w:p>
    <w:p>
      <w:pPr>
        <w:ind w:left="329" w:right="164" w:hanging="329"/>
        <w:spacing w:before="120" w:line="268" w:lineRule="auto"/>
        <w:rPr>
          <w:rFonts w:ascii="KaiTi" w:hAnsi="KaiTi" w:eastAsia="KaiTi" w:cs="KaiTi"/>
          <w:sz w:val="16"/>
          <w:szCs w:val="16"/>
        </w:rPr>
      </w:pPr>
      <w:r>
        <w:rPr>
          <w:rFonts w:ascii="KaiTi" w:hAnsi="KaiTi" w:eastAsia="KaiTi" w:cs="KaiTi"/>
          <w:sz w:val="16"/>
          <w:szCs w:val="16"/>
          <w:spacing w:val="3"/>
        </w:rPr>
        <w:t>③</w:t>
      </w:r>
      <w:r>
        <w:rPr>
          <w:rFonts w:ascii="KaiTi" w:hAnsi="KaiTi" w:eastAsia="KaiTi" w:cs="KaiTi"/>
          <w:sz w:val="16"/>
          <w:szCs w:val="16"/>
          <w:spacing w:val="70"/>
        </w:rPr>
        <w:t xml:space="preserve"> </w:t>
      </w:r>
      <w:r>
        <w:rPr>
          <w:rFonts w:ascii="KaiTi" w:hAnsi="KaiTi" w:eastAsia="KaiTi" w:cs="KaiTi"/>
          <w:sz w:val="16"/>
          <w:szCs w:val="16"/>
          <w:spacing w:val="3"/>
        </w:rPr>
        <w:t>对于平台公司并购特征的描述，市场监督管理总局发布的《中国反垄断法执法年</w:t>
      </w:r>
      <w:r>
        <w:rPr>
          <w:rFonts w:ascii="KaiTi" w:hAnsi="KaiTi" w:eastAsia="KaiTi" w:cs="KaiTi"/>
          <w:sz w:val="16"/>
          <w:szCs w:val="16"/>
        </w:rPr>
        <w:t xml:space="preserve"> </w:t>
      </w:r>
      <w:r>
        <w:rPr>
          <w:rFonts w:ascii="KaiTi" w:hAnsi="KaiTi" w:eastAsia="KaiTi" w:cs="KaiTi"/>
          <w:sz w:val="16"/>
          <w:szCs w:val="16"/>
          <w:spacing w:val="-2"/>
        </w:rPr>
        <w:t>度报告(2020)》用的是“掐尖式并购”。</w:t>
      </w:r>
    </w:p>
    <w:p>
      <w:pPr>
        <w:spacing w:line="268" w:lineRule="auto"/>
        <w:sectPr>
          <w:headerReference w:type="default" r:id="rId528"/>
          <w:pgSz w:w="7330" w:h="12480"/>
          <w:pgMar w:top="567" w:right="456" w:bottom="400" w:left="689" w:header="405" w:footer="0" w:gutter="0"/>
        </w:sectPr>
        <w:rPr>
          <w:rFonts w:ascii="KaiTi" w:hAnsi="KaiTi" w:eastAsia="KaiTi" w:cs="KaiTi"/>
          <w:sz w:val="16"/>
          <w:szCs w:val="16"/>
        </w:rPr>
      </w:pP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right="19"/>
        <w:spacing w:before="68" w:line="292" w:lineRule="auto"/>
        <w:jc w:val="both"/>
        <w:rPr>
          <w:rFonts w:ascii="SimSun" w:hAnsi="SimSun" w:eastAsia="SimSun" w:cs="SimSun"/>
          <w:sz w:val="21"/>
          <w:szCs w:val="21"/>
        </w:rPr>
      </w:pPr>
      <w:r>
        <w:rPr>
          <w:rFonts w:ascii="SimSun" w:hAnsi="SimSun" w:eastAsia="SimSun" w:cs="SimSun"/>
          <w:sz w:val="21"/>
          <w:szCs w:val="21"/>
          <w:spacing w:val="-4"/>
        </w:rPr>
        <w:t>出了判断扼杀性并购的两种标准，第一是并购后关闭标的企业的时 </w:t>
      </w:r>
      <w:r>
        <w:rPr>
          <w:rFonts w:ascii="SimSun" w:hAnsi="SimSun" w:eastAsia="SimSun" w:cs="SimSun"/>
          <w:sz w:val="21"/>
          <w:szCs w:val="21"/>
          <w:spacing w:val="-8"/>
        </w:rPr>
        <w:t>间，第二是被并购企业被部分关停的可能性——平台企业进行并购，</w:t>
      </w:r>
      <w:r>
        <w:rPr>
          <w:rFonts w:ascii="SimSun" w:hAnsi="SimSun" w:eastAsia="SimSun" w:cs="SimSun"/>
          <w:sz w:val="21"/>
          <w:szCs w:val="21"/>
          <w:spacing w:val="3"/>
        </w:rPr>
        <w:t xml:space="preserve"> </w:t>
      </w:r>
      <w:r>
        <w:rPr>
          <w:rFonts w:ascii="SimSun" w:hAnsi="SimSun" w:eastAsia="SimSun" w:cs="SimSun"/>
          <w:sz w:val="21"/>
          <w:szCs w:val="21"/>
          <w:spacing w:val="-10"/>
        </w:rPr>
        <w:t>可能就是为了关停标的企业的某个部分；同</w:t>
      </w:r>
      <w:r>
        <w:rPr>
          <w:rFonts w:ascii="SimSun" w:hAnsi="SimSun" w:eastAsia="SimSun" w:cs="SimSun"/>
          <w:sz w:val="21"/>
          <w:szCs w:val="21"/>
          <w:spacing w:val="-11"/>
        </w:rPr>
        <w:t>时，他建议将其视为一种 </w:t>
      </w:r>
      <w:r>
        <w:rPr>
          <w:rFonts w:ascii="SimSun" w:hAnsi="SimSun" w:eastAsia="SimSun" w:cs="SimSun"/>
          <w:sz w:val="21"/>
          <w:szCs w:val="21"/>
          <w:spacing w:val="-13"/>
        </w:rPr>
        <w:t>卡特尔垄断，要求进行更严格的反垄断审查。</w:t>
      </w:r>
    </w:p>
    <w:p>
      <w:pPr>
        <w:pStyle w:val="BodyText"/>
        <w:spacing w:line="383" w:lineRule="auto"/>
        <w:rPr/>
      </w:pPr>
      <w:r/>
    </w:p>
    <w:p>
      <w:pPr>
        <w:ind w:left="3"/>
        <w:spacing w:before="81" w:line="222" w:lineRule="auto"/>
        <w:rPr>
          <w:rFonts w:ascii="SimHei" w:hAnsi="SimHei" w:eastAsia="SimHei" w:cs="SimHei"/>
          <w:sz w:val="25"/>
          <w:szCs w:val="25"/>
        </w:rPr>
      </w:pPr>
      <w:r>
        <w:rPr>
          <w:rFonts w:ascii="SimHei" w:hAnsi="SimHei" w:eastAsia="SimHei" w:cs="SimHei"/>
          <w:sz w:val="25"/>
          <w:szCs w:val="25"/>
          <w:b/>
          <w:bCs/>
          <w:spacing w:val="-14"/>
        </w:rPr>
        <w:t>各国的政策应对</w:t>
      </w:r>
    </w:p>
    <w:p>
      <w:pPr>
        <w:pStyle w:val="BodyText"/>
        <w:spacing w:line="354" w:lineRule="auto"/>
        <w:rPr/>
      </w:pPr>
      <w:r/>
    </w:p>
    <w:p>
      <w:pPr>
        <w:ind w:firstLine="399"/>
        <w:spacing w:before="68" w:line="317" w:lineRule="auto"/>
        <w:jc w:val="both"/>
        <w:rPr>
          <w:rFonts w:ascii="SimSun" w:hAnsi="SimSun" w:eastAsia="SimSun" w:cs="SimSun"/>
          <w:sz w:val="21"/>
          <w:szCs w:val="21"/>
        </w:rPr>
      </w:pPr>
      <w:r>
        <w:rPr>
          <w:rFonts w:ascii="SimSun" w:hAnsi="SimSun" w:eastAsia="SimSun" w:cs="SimSun"/>
          <w:sz w:val="21"/>
          <w:szCs w:val="21"/>
          <w:spacing w:val="-3"/>
        </w:rPr>
        <w:t>在事实和理论层面的双重冲击下，全球各法域尝试通过立法和</w:t>
      </w:r>
      <w:r>
        <w:rPr>
          <w:rFonts w:ascii="SimSun" w:hAnsi="SimSun" w:eastAsia="SimSun" w:cs="SimSun"/>
          <w:sz w:val="21"/>
          <w:szCs w:val="21"/>
          <w:spacing w:val="3"/>
        </w:rPr>
        <w:t xml:space="preserve">  </w:t>
      </w:r>
      <w:r>
        <w:rPr>
          <w:rFonts w:ascii="SimSun" w:hAnsi="SimSun" w:eastAsia="SimSun" w:cs="SimSun"/>
          <w:sz w:val="21"/>
          <w:szCs w:val="21"/>
          <w:spacing w:val="-13"/>
        </w:rPr>
        <w:t>执法回应平台企业的并购浪潮。就欧盟而言，</w:t>
      </w:r>
      <w:r>
        <w:rPr>
          <w:rFonts w:ascii="SimSun" w:hAnsi="SimSun" w:eastAsia="SimSun" w:cs="SimSun"/>
          <w:sz w:val="21"/>
          <w:szCs w:val="21"/>
          <w:spacing w:val="53"/>
        </w:rPr>
        <w:t xml:space="preserve"> </w:t>
      </w:r>
      <w:r>
        <w:rPr>
          <w:rFonts w:ascii="SimSun" w:hAnsi="SimSun" w:eastAsia="SimSun" w:cs="SimSun"/>
          <w:sz w:val="21"/>
          <w:szCs w:val="21"/>
          <w:spacing w:val="-13"/>
        </w:rPr>
        <w:t>一方面，在</w:t>
      </w:r>
      <w:r>
        <w:rPr>
          <w:rFonts w:ascii="SimSun" w:hAnsi="SimSun" w:eastAsia="SimSun" w:cs="SimSun"/>
          <w:sz w:val="21"/>
          <w:szCs w:val="21"/>
          <w:spacing w:val="-14"/>
        </w:rPr>
        <w:t>执法层面，</w:t>
      </w:r>
      <w:r>
        <w:rPr>
          <w:rFonts w:ascii="SimSun" w:hAnsi="SimSun" w:eastAsia="SimSun" w:cs="SimSun"/>
          <w:sz w:val="21"/>
          <w:szCs w:val="21"/>
        </w:rPr>
        <w:t xml:space="preserve"> </w:t>
      </w:r>
      <w:r>
        <w:rPr>
          <w:rFonts w:ascii="SimSun" w:hAnsi="SimSun" w:eastAsia="SimSun" w:cs="SimSun"/>
          <w:sz w:val="21"/>
          <w:szCs w:val="21"/>
          <w:spacing w:val="6"/>
        </w:rPr>
        <w:t>2021年8月，欧盟对脸书收购美国客户服务软件平台</w:t>
      </w:r>
      <w:r>
        <w:rPr>
          <w:rFonts w:ascii="Times New Roman" w:hAnsi="Times New Roman" w:eastAsia="Times New Roman" w:cs="Times New Roman"/>
          <w:sz w:val="21"/>
          <w:szCs w:val="21"/>
        </w:rPr>
        <w:t>Kustomer</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进</w:t>
      </w:r>
      <w:r>
        <w:rPr>
          <w:rFonts w:ascii="SimSun" w:hAnsi="SimSun" w:eastAsia="SimSun" w:cs="SimSun"/>
          <w:sz w:val="21"/>
          <w:szCs w:val="21"/>
          <w:spacing w:val="3"/>
        </w:rPr>
        <w:t xml:space="preserve">  </w:t>
      </w:r>
      <w:r>
        <w:rPr>
          <w:rFonts w:ascii="SimSun" w:hAnsi="SimSun" w:eastAsia="SimSun" w:cs="SimSun"/>
          <w:sz w:val="21"/>
          <w:szCs w:val="21"/>
          <w:spacing w:val="-3"/>
        </w:rPr>
        <w:t>行反垄断调查，认为这桩收购案可能对Kustomer所处的软</w:t>
      </w:r>
      <w:r>
        <w:rPr>
          <w:rFonts w:ascii="SimSun" w:hAnsi="SimSun" w:eastAsia="SimSun" w:cs="SimSun"/>
          <w:sz w:val="21"/>
          <w:szCs w:val="21"/>
          <w:spacing w:val="-4"/>
        </w:rPr>
        <w:t>件行业造</w:t>
      </w:r>
      <w:r>
        <w:rPr>
          <w:rFonts w:ascii="SimSun" w:hAnsi="SimSun" w:eastAsia="SimSun" w:cs="SimSun"/>
          <w:sz w:val="21"/>
          <w:szCs w:val="21"/>
        </w:rPr>
        <w:t xml:space="preserve">  </w:t>
      </w:r>
      <w:r>
        <w:rPr>
          <w:rFonts w:ascii="SimSun" w:hAnsi="SimSun" w:eastAsia="SimSun" w:cs="SimSun"/>
          <w:sz w:val="21"/>
          <w:szCs w:val="21"/>
          <w:spacing w:val="-3"/>
        </w:rPr>
        <w:t>成竞争损害；尤其值得注意的是，尽管该交易没</w:t>
      </w:r>
      <w:r>
        <w:rPr>
          <w:rFonts w:ascii="SimSun" w:hAnsi="SimSun" w:eastAsia="SimSun" w:cs="SimSun"/>
          <w:sz w:val="21"/>
          <w:szCs w:val="21"/>
          <w:spacing w:val="-4"/>
        </w:rPr>
        <w:t>有达到欧盟通常的</w:t>
      </w:r>
      <w:r>
        <w:rPr>
          <w:rFonts w:ascii="SimSun" w:hAnsi="SimSun" w:eastAsia="SimSun" w:cs="SimSun"/>
          <w:sz w:val="21"/>
          <w:szCs w:val="21"/>
        </w:rPr>
        <w:t xml:space="preserve">  </w:t>
      </w:r>
      <w:r>
        <w:rPr>
          <w:rFonts w:ascii="SimSun" w:hAnsi="SimSun" w:eastAsia="SimSun" w:cs="SimSun"/>
          <w:sz w:val="21"/>
          <w:szCs w:val="21"/>
        </w:rPr>
        <w:t>审查收入限制，但欧盟的监管机构使用了一种新的</w:t>
      </w:r>
      <w:r>
        <w:rPr>
          <w:rFonts w:ascii="SimSun" w:hAnsi="SimSun" w:eastAsia="SimSun" w:cs="SimSun"/>
          <w:sz w:val="21"/>
          <w:szCs w:val="21"/>
          <w:spacing w:val="-1"/>
        </w:rPr>
        <w:t>程序来审查它。</w:t>
      </w:r>
      <w:r>
        <w:rPr>
          <w:rFonts w:ascii="SimSun" w:hAnsi="SimSun" w:eastAsia="SimSun" w:cs="SimSun"/>
          <w:sz w:val="21"/>
          <w:szCs w:val="21"/>
        </w:rPr>
        <w:t xml:space="preserve"> </w:t>
      </w:r>
      <w:r>
        <w:rPr>
          <w:rFonts w:ascii="SimSun" w:hAnsi="SimSun" w:eastAsia="SimSun" w:cs="SimSun"/>
          <w:sz w:val="21"/>
          <w:szCs w:val="21"/>
          <w:spacing w:val="-10"/>
        </w:rPr>
        <w:t>欧盟反垄断专员玛格丽特·韦斯塔格在声明中表示</w:t>
      </w:r>
      <w:r>
        <w:rPr>
          <w:rFonts w:ascii="SimSun" w:hAnsi="SimSun" w:eastAsia="SimSun" w:cs="SimSun"/>
          <w:sz w:val="21"/>
          <w:szCs w:val="21"/>
          <w:spacing w:val="-11"/>
        </w:rPr>
        <w:t>：“要严格审查那</w:t>
      </w:r>
      <w:r>
        <w:rPr>
          <w:rFonts w:ascii="SimSun" w:hAnsi="SimSun" w:eastAsia="SimSun" w:cs="SimSun"/>
          <w:sz w:val="21"/>
          <w:szCs w:val="21"/>
        </w:rPr>
        <w:t xml:space="preserve">  </w:t>
      </w:r>
      <w:r>
        <w:rPr>
          <w:rFonts w:ascii="SimSun" w:hAnsi="SimSun" w:eastAsia="SimSun" w:cs="SimSun"/>
          <w:sz w:val="21"/>
          <w:szCs w:val="21"/>
          <w:spacing w:val="-11"/>
        </w:rPr>
        <w:t>些已经在某些市场占据主导地位的公司的收购。”另一方面，在立法</w:t>
      </w:r>
      <w:r>
        <w:rPr>
          <w:rFonts w:ascii="SimSun" w:hAnsi="SimSun" w:eastAsia="SimSun" w:cs="SimSun"/>
          <w:sz w:val="21"/>
          <w:szCs w:val="21"/>
          <w:spacing w:val="7"/>
        </w:rPr>
        <w:t xml:space="preserve">  </w:t>
      </w:r>
      <w:r>
        <w:rPr>
          <w:rFonts w:ascii="SimSun" w:hAnsi="SimSun" w:eastAsia="SimSun" w:cs="SimSun"/>
          <w:sz w:val="21"/>
          <w:szCs w:val="21"/>
          <w:spacing w:val="-3"/>
        </w:rPr>
        <w:t>层面，欧盟的《数字市场法》草案第12条对在数字领域充当“守门 </w:t>
      </w:r>
      <w:r>
        <w:rPr>
          <w:rFonts w:ascii="SimSun" w:hAnsi="SimSun" w:eastAsia="SimSun" w:cs="SimSun"/>
          <w:sz w:val="21"/>
          <w:szCs w:val="21"/>
          <w:spacing w:val="-3"/>
        </w:rPr>
        <w:t>人”的平台企业施加了有关“扼杀式并购”的</w:t>
      </w:r>
      <w:r>
        <w:rPr>
          <w:rFonts w:ascii="SimSun" w:hAnsi="SimSun" w:eastAsia="SimSun" w:cs="SimSun"/>
          <w:sz w:val="21"/>
          <w:szCs w:val="21"/>
          <w:spacing w:val="-4"/>
        </w:rPr>
        <w:t>限制，要求满足“守</w:t>
      </w:r>
      <w:r>
        <w:rPr>
          <w:rFonts w:ascii="SimSun" w:hAnsi="SimSun" w:eastAsia="SimSun" w:cs="SimSun"/>
          <w:sz w:val="21"/>
          <w:szCs w:val="21"/>
        </w:rPr>
        <w:t xml:space="preserve">  </w:t>
      </w:r>
      <w:r>
        <w:rPr>
          <w:rFonts w:ascii="SimSun" w:hAnsi="SimSun" w:eastAsia="SimSun" w:cs="SimSun"/>
          <w:sz w:val="21"/>
          <w:szCs w:val="21"/>
          <w:spacing w:val="-4"/>
        </w:rPr>
        <w:t>门人”要求的平台企业如果并购另一核心平台的服务提供者或数字</w:t>
      </w:r>
      <w:r>
        <w:rPr>
          <w:rFonts w:ascii="SimSun" w:hAnsi="SimSun" w:eastAsia="SimSun" w:cs="SimSun"/>
          <w:sz w:val="21"/>
          <w:szCs w:val="21"/>
          <w:spacing w:val="7"/>
        </w:rPr>
        <w:t xml:space="preserve">  </w:t>
      </w:r>
      <w:r>
        <w:rPr>
          <w:rFonts w:ascii="SimSun" w:hAnsi="SimSun" w:eastAsia="SimSun" w:cs="SimSun"/>
          <w:sz w:val="21"/>
          <w:szCs w:val="21"/>
          <w:spacing w:val="-3"/>
        </w:rPr>
        <w:t>领域任何其他服务提供者，则应强制性地向欧盟</w:t>
      </w:r>
      <w:r>
        <w:rPr>
          <w:rFonts w:ascii="SimSun" w:hAnsi="SimSun" w:eastAsia="SimSun" w:cs="SimSun"/>
          <w:sz w:val="21"/>
          <w:szCs w:val="21"/>
          <w:spacing w:val="-4"/>
        </w:rPr>
        <w:t>进行申报，未按照</w:t>
      </w:r>
      <w:r>
        <w:rPr>
          <w:rFonts w:ascii="SimSun" w:hAnsi="SimSun" w:eastAsia="SimSun" w:cs="SimSun"/>
          <w:sz w:val="21"/>
          <w:szCs w:val="21"/>
        </w:rPr>
        <w:t xml:space="preserve">  </w:t>
      </w:r>
      <w:r>
        <w:rPr>
          <w:rFonts w:ascii="SimSun" w:hAnsi="SimSun" w:eastAsia="SimSun" w:cs="SimSun"/>
          <w:sz w:val="21"/>
          <w:szCs w:val="21"/>
          <w:spacing w:val="-3"/>
        </w:rPr>
        <w:t>第12条进行申报的“守门人”将被处以最</w:t>
      </w:r>
      <w:r>
        <w:rPr>
          <w:rFonts w:ascii="SimSun" w:hAnsi="SimSun" w:eastAsia="SimSun" w:cs="SimSun"/>
          <w:sz w:val="21"/>
          <w:szCs w:val="21"/>
          <w:spacing w:val="-4"/>
        </w:rPr>
        <w:t>高占上一财政年度总营业</w:t>
      </w:r>
    </w:p>
    <w:p>
      <w:pPr>
        <w:spacing w:line="219" w:lineRule="auto"/>
        <w:rPr>
          <w:rFonts w:ascii="SimSun" w:hAnsi="SimSun" w:eastAsia="SimSun" w:cs="SimSun"/>
          <w:sz w:val="21"/>
          <w:szCs w:val="21"/>
        </w:rPr>
      </w:pPr>
      <w:r>
        <w:rPr>
          <w:rFonts w:ascii="SimSun" w:hAnsi="SimSun" w:eastAsia="SimSun" w:cs="SimSun"/>
          <w:sz w:val="21"/>
          <w:szCs w:val="21"/>
          <w:spacing w:val="12"/>
        </w:rPr>
        <w:t>额1%的罚款。</w:t>
      </w:r>
    </w:p>
    <w:p>
      <w:pPr>
        <w:ind w:right="74" w:firstLine="409"/>
        <w:spacing w:before="101" w:line="300" w:lineRule="auto"/>
        <w:jc w:val="both"/>
        <w:rPr>
          <w:rFonts w:ascii="SimSun" w:hAnsi="SimSun" w:eastAsia="SimSun" w:cs="SimSun"/>
          <w:sz w:val="21"/>
          <w:szCs w:val="21"/>
        </w:rPr>
      </w:pPr>
      <w:r>
        <w:rPr>
          <w:rFonts w:ascii="SimSun" w:hAnsi="SimSun" w:eastAsia="SimSun" w:cs="SimSun"/>
          <w:sz w:val="21"/>
          <w:szCs w:val="21"/>
          <w:spacing w:val="-3"/>
        </w:rPr>
        <w:t>美国对平台企业并购浪潮的主要执法应对是：第一，2020年12</w:t>
      </w:r>
      <w:r>
        <w:rPr>
          <w:rFonts w:ascii="SimSun" w:hAnsi="SimSun" w:eastAsia="SimSun" w:cs="SimSun"/>
          <w:sz w:val="21"/>
          <w:szCs w:val="21"/>
          <w:spacing w:val="9"/>
        </w:rPr>
        <w:t xml:space="preserve"> </w:t>
      </w:r>
      <w:r>
        <w:rPr>
          <w:rFonts w:ascii="SimSun" w:hAnsi="SimSun" w:eastAsia="SimSun" w:cs="SimSun"/>
          <w:sz w:val="21"/>
          <w:szCs w:val="21"/>
          <w:spacing w:val="-4"/>
        </w:rPr>
        <w:t>月，美国联邦贸易委员会和46个州、哥伦比亚特区、关岛地区总检</w:t>
      </w:r>
      <w:r>
        <w:rPr>
          <w:rFonts w:ascii="SimSun" w:hAnsi="SimSun" w:eastAsia="SimSun" w:cs="SimSun"/>
          <w:sz w:val="21"/>
          <w:szCs w:val="21"/>
          <w:spacing w:val="17"/>
        </w:rPr>
        <w:t xml:space="preserve"> </w:t>
      </w:r>
      <w:r>
        <w:rPr>
          <w:rFonts w:ascii="SimSun" w:hAnsi="SimSun" w:eastAsia="SimSun" w:cs="SimSun"/>
          <w:sz w:val="21"/>
          <w:szCs w:val="21"/>
          <w:spacing w:val="-3"/>
        </w:rPr>
        <w:t>察长分别对脸书提起了反垄断诉讼，指称之一即</w:t>
      </w:r>
      <w:r>
        <w:rPr>
          <w:rFonts w:ascii="SimSun" w:hAnsi="SimSun" w:eastAsia="SimSun" w:cs="SimSun"/>
          <w:sz w:val="21"/>
          <w:szCs w:val="21"/>
          <w:spacing w:val="-4"/>
        </w:rPr>
        <w:t>是脸书通过2012年</w:t>
      </w:r>
      <w:r>
        <w:rPr>
          <w:rFonts w:ascii="SimSun" w:hAnsi="SimSun" w:eastAsia="SimSun" w:cs="SimSun"/>
          <w:sz w:val="21"/>
          <w:szCs w:val="21"/>
        </w:rPr>
        <w:t xml:space="preserve"> </w:t>
      </w:r>
      <w:r>
        <w:rPr>
          <w:rFonts w:ascii="SimSun" w:hAnsi="SimSun" w:eastAsia="SimSun" w:cs="SimSun"/>
          <w:sz w:val="21"/>
          <w:szCs w:val="21"/>
          <w:spacing w:val="-1"/>
        </w:rPr>
        <w:t>和2014年分别收购其认为有能力削弱其垄断地位的公司</w:t>
      </w:r>
      <w:r>
        <w:rPr>
          <w:rFonts w:ascii="Times New Roman" w:hAnsi="Times New Roman" w:eastAsia="Times New Roman" w:cs="Times New Roman"/>
          <w:sz w:val="21"/>
          <w:szCs w:val="21"/>
          <w:spacing w:val="-1"/>
        </w:rPr>
        <w:t>(Instagram  </w:t>
      </w:r>
      <w:r>
        <w:rPr>
          <w:rFonts w:ascii="SimSun" w:hAnsi="SimSun" w:eastAsia="SimSun" w:cs="SimSun"/>
          <w:sz w:val="21"/>
          <w:szCs w:val="21"/>
          <w:spacing w:val="6"/>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6"/>
        </w:rPr>
        <w:t>而消除直接竞争威胁；第二，2021年9月15日，美</w:t>
      </w:r>
      <w:r>
        <w:rPr>
          <w:rFonts w:ascii="SimSun" w:hAnsi="SimSun" w:eastAsia="SimSun" w:cs="SimSun"/>
          <w:sz w:val="21"/>
          <w:szCs w:val="21"/>
        </w:rPr>
        <w:t xml:space="preserve"> </w:t>
      </w:r>
      <w:r>
        <w:rPr>
          <w:rFonts w:ascii="SimSun" w:hAnsi="SimSun" w:eastAsia="SimSun" w:cs="SimSun"/>
          <w:sz w:val="21"/>
          <w:szCs w:val="21"/>
          <w:spacing w:val="-4"/>
        </w:rPr>
        <w:t>国联邦贸易委员会决定撤回其与美国司法部联合发布的《纵向合并</w:t>
      </w:r>
    </w:p>
    <w:p>
      <w:pPr>
        <w:spacing w:line="300" w:lineRule="auto"/>
        <w:sectPr>
          <w:headerReference w:type="default" r:id="rId530"/>
          <w:pgSz w:w="7330" w:h="12480"/>
          <w:pgMar w:top="817" w:right="645" w:bottom="400" w:left="600" w:header="643" w:footer="0" w:gutter="0"/>
        </w:sectPr>
        <w:rPr>
          <w:rFonts w:ascii="SimSun" w:hAnsi="SimSun" w:eastAsia="SimSun" w:cs="SimSun"/>
          <w:sz w:val="21"/>
          <w:szCs w:val="21"/>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right="79"/>
        <w:spacing w:before="62" w:line="350" w:lineRule="auto"/>
        <w:jc w:val="both"/>
        <w:rPr>
          <w:rFonts w:ascii="SimSun" w:hAnsi="SimSun" w:eastAsia="SimSun" w:cs="SimSun"/>
          <w:sz w:val="19"/>
          <w:szCs w:val="19"/>
        </w:rPr>
      </w:pPr>
      <w:r>
        <w:rPr>
          <w:rFonts w:ascii="SimSun" w:hAnsi="SimSun" w:eastAsia="SimSun" w:cs="SimSun"/>
          <w:sz w:val="19"/>
          <w:szCs w:val="19"/>
          <w:spacing w:val="13"/>
        </w:rPr>
        <w:t>指南》,以避免平台企业的交易规模太小、</w:t>
      </w:r>
      <w:r>
        <w:rPr>
          <w:rFonts w:ascii="SimSun" w:hAnsi="SimSun" w:eastAsia="SimSun" w:cs="SimSun"/>
          <w:sz w:val="19"/>
          <w:szCs w:val="19"/>
          <w:spacing w:val="12"/>
        </w:rPr>
        <w:t>无须向反垄断机构报告的</w:t>
      </w:r>
      <w:r>
        <w:rPr>
          <w:rFonts w:ascii="SimSun" w:hAnsi="SimSun" w:eastAsia="SimSun" w:cs="SimSun"/>
          <w:sz w:val="19"/>
          <w:szCs w:val="19"/>
        </w:rPr>
        <w:t xml:space="preserve"> </w:t>
      </w:r>
      <w:r>
        <w:rPr>
          <w:rFonts w:ascii="SimSun" w:hAnsi="SimSun" w:eastAsia="SimSun" w:cs="SimSun"/>
          <w:sz w:val="19"/>
          <w:szCs w:val="19"/>
          <w:spacing w:val="24"/>
        </w:rPr>
        <w:t>情形。此外，在立法层面，美国国会众议院于2021年6月23日表</w:t>
      </w:r>
      <w:r>
        <w:rPr>
          <w:rFonts w:ascii="SimSun" w:hAnsi="SimSun" w:eastAsia="SimSun" w:cs="SimSun"/>
          <w:sz w:val="19"/>
          <w:szCs w:val="19"/>
          <w:spacing w:val="8"/>
        </w:rPr>
        <w:t xml:space="preserve"> </w:t>
      </w:r>
      <w:r>
        <w:rPr>
          <w:rFonts w:ascii="SimSun" w:hAnsi="SimSun" w:eastAsia="SimSun" w:cs="SimSun"/>
          <w:sz w:val="19"/>
          <w:szCs w:val="19"/>
          <w:spacing w:val="10"/>
        </w:rPr>
        <w:t>决通过了《终结平台垄断法案》《美国选择与创新在线法案》《平台</w:t>
      </w:r>
      <w:r>
        <w:rPr>
          <w:rFonts w:ascii="SimSun" w:hAnsi="SimSun" w:eastAsia="SimSun" w:cs="SimSun"/>
          <w:sz w:val="19"/>
          <w:szCs w:val="19"/>
          <w:spacing w:val="9"/>
        </w:rPr>
        <w:t xml:space="preserve"> </w:t>
      </w:r>
      <w:r>
        <w:rPr>
          <w:rFonts w:ascii="SimSun" w:hAnsi="SimSun" w:eastAsia="SimSun" w:cs="SimSun"/>
          <w:sz w:val="19"/>
          <w:szCs w:val="19"/>
          <w:spacing w:val="9"/>
        </w:rPr>
        <w:t>竞争与机会法案》《收购兼并申请费现代化法案</w:t>
      </w:r>
      <w:r>
        <w:rPr>
          <w:rFonts w:ascii="SimSun" w:hAnsi="SimSun" w:eastAsia="SimSun" w:cs="SimSun"/>
          <w:sz w:val="19"/>
          <w:szCs w:val="19"/>
          <w:spacing w:val="8"/>
        </w:rPr>
        <w:t>》《通过启用服务交 </w:t>
      </w:r>
      <w:r>
        <w:rPr>
          <w:rFonts w:ascii="SimSun" w:hAnsi="SimSun" w:eastAsia="SimSun" w:cs="SimSun"/>
          <w:sz w:val="19"/>
          <w:szCs w:val="19"/>
          <w:spacing w:val="9"/>
        </w:rPr>
        <w:t>换增强兼容性和竞争性法案》《州反垄断执法场</w:t>
      </w:r>
      <w:r>
        <w:rPr>
          <w:rFonts w:ascii="SimSun" w:hAnsi="SimSun" w:eastAsia="SimSun" w:cs="SimSun"/>
          <w:sz w:val="19"/>
          <w:szCs w:val="19"/>
          <w:spacing w:val="8"/>
        </w:rPr>
        <w:t>所法案》六项反垄断 </w:t>
      </w:r>
      <w:r>
        <w:rPr>
          <w:rFonts w:ascii="SimSun" w:hAnsi="SimSun" w:eastAsia="SimSun" w:cs="SimSun"/>
          <w:sz w:val="19"/>
          <w:szCs w:val="19"/>
          <w:spacing w:val="10"/>
        </w:rPr>
        <w:t>法案。其中，《平台竞争与机会法案》规定，被联邦贸易委员会或司</w:t>
      </w:r>
      <w:r>
        <w:rPr>
          <w:rFonts w:ascii="SimSun" w:hAnsi="SimSun" w:eastAsia="SimSun" w:cs="SimSun"/>
          <w:sz w:val="19"/>
          <w:szCs w:val="19"/>
          <w:spacing w:val="15"/>
        </w:rPr>
        <w:t xml:space="preserve"> </w:t>
      </w:r>
      <w:r>
        <w:rPr>
          <w:rFonts w:ascii="SimSun" w:hAnsi="SimSun" w:eastAsia="SimSun" w:cs="SimSun"/>
          <w:sz w:val="19"/>
          <w:szCs w:val="19"/>
          <w:spacing w:val="11"/>
        </w:rPr>
        <w:t>法部认定为大型在线平台的企业收购竞争对手或潜在对手是非法的，</w:t>
      </w:r>
      <w:r>
        <w:rPr>
          <w:rFonts w:ascii="SimSun" w:hAnsi="SimSun" w:eastAsia="SimSun" w:cs="SimSun"/>
          <w:sz w:val="19"/>
          <w:szCs w:val="19"/>
          <w:spacing w:val="14"/>
        </w:rPr>
        <w:t xml:space="preserve"> </w:t>
      </w:r>
      <w:r>
        <w:rPr>
          <w:rFonts w:ascii="SimSun" w:hAnsi="SimSun" w:eastAsia="SimSun" w:cs="SimSun"/>
          <w:sz w:val="19"/>
          <w:szCs w:val="19"/>
          <w:spacing w:val="17"/>
        </w:rPr>
        <w:t>除非其能够证明该项收购并不涉及任何反竞争效应，也不</w:t>
      </w:r>
      <w:r>
        <w:rPr>
          <w:rFonts w:ascii="SimSun" w:hAnsi="SimSun" w:eastAsia="SimSun" w:cs="SimSun"/>
          <w:sz w:val="19"/>
          <w:szCs w:val="19"/>
          <w:spacing w:val="16"/>
        </w:rPr>
        <w:t>会有利于</w:t>
      </w:r>
      <w:r>
        <w:rPr>
          <w:rFonts w:ascii="SimSun" w:hAnsi="SimSun" w:eastAsia="SimSun" w:cs="SimSun"/>
          <w:sz w:val="19"/>
          <w:szCs w:val="19"/>
        </w:rPr>
        <w:t xml:space="preserve"> </w:t>
      </w:r>
      <w:r>
        <w:rPr>
          <w:rFonts w:ascii="SimSun" w:hAnsi="SimSun" w:eastAsia="SimSun" w:cs="SimSun"/>
          <w:sz w:val="19"/>
          <w:szCs w:val="19"/>
          <w:spacing w:val="16"/>
        </w:rPr>
        <w:t>维持其市场支配地位；换言之，举证责任将被转移至占主导地位的</w:t>
      </w:r>
      <w:r>
        <w:rPr>
          <w:rFonts w:ascii="SimSun" w:hAnsi="SimSun" w:eastAsia="SimSun" w:cs="SimSun"/>
          <w:sz w:val="19"/>
          <w:szCs w:val="19"/>
          <w:spacing w:val="10"/>
        </w:rPr>
        <w:t xml:space="preserve"> </w:t>
      </w:r>
      <w:r>
        <w:rPr>
          <w:rFonts w:ascii="SimSun" w:hAnsi="SimSun" w:eastAsia="SimSun" w:cs="SimSun"/>
          <w:sz w:val="19"/>
          <w:szCs w:val="19"/>
          <w:spacing w:val="16"/>
        </w:rPr>
        <w:t>市场平台一方，即平台需要证明其收购合法，而不再由政府证明这</w:t>
      </w:r>
    </w:p>
    <w:p>
      <w:pPr>
        <w:spacing w:line="218" w:lineRule="auto"/>
        <w:rPr>
          <w:rFonts w:ascii="SimSun" w:hAnsi="SimSun" w:eastAsia="SimSun" w:cs="SimSun"/>
          <w:sz w:val="19"/>
          <w:szCs w:val="19"/>
        </w:rPr>
      </w:pPr>
      <w:r>
        <w:rPr>
          <w:rFonts w:ascii="SimSun" w:hAnsi="SimSun" w:eastAsia="SimSun" w:cs="SimSun"/>
          <w:sz w:val="19"/>
          <w:szCs w:val="19"/>
          <w:spacing w:val="8"/>
        </w:rPr>
        <w:t>种收购会遏制竞争。</w:t>
      </w:r>
    </w:p>
    <w:p>
      <w:pPr>
        <w:ind w:right="59" w:firstLine="439"/>
        <w:spacing w:before="135" w:line="350" w:lineRule="auto"/>
        <w:jc w:val="both"/>
        <w:rPr>
          <w:rFonts w:ascii="SimSun" w:hAnsi="SimSun" w:eastAsia="SimSun" w:cs="SimSun"/>
          <w:sz w:val="19"/>
          <w:szCs w:val="19"/>
        </w:rPr>
      </w:pPr>
      <w:r>
        <w:rPr>
          <w:rFonts w:ascii="SimSun" w:hAnsi="SimSun" w:eastAsia="SimSun" w:cs="SimSun"/>
          <w:sz w:val="19"/>
          <w:szCs w:val="19"/>
          <w:spacing w:val="10"/>
        </w:rPr>
        <w:t>就我国对平台企业并购浪潮的政策应对而言，《反垄断法》《国</w:t>
      </w:r>
      <w:r>
        <w:rPr>
          <w:rFonts w:ascii="SimSun" w:hAnsi="SimSun" w:eastAsia="SimSun" w:cs="SimSun"/>
          <w:sz w:val="19"/>
          <w:szCs w:val="19"/>
          <w:spacing w:val="8"/>
        </w:rPr>
        <w:t xml:space="preserve"> </w:t>
      </w:r>
      <w:r>
        <w:rPr>
          <w:rFonts w:ascii="SimSun" w:hAnsi="SimSun" w:eastAsia="SimSun" w:cs="SimSun"/>
          <w:sz w:val="19"/>
          <w:szCs w:val="19"/>
          <w:spacing w:val="16"/>
        </w:rPr>
        <w:t>务院反垄断委员会关于平台经济领域的反垄断指南》并未对平台企</w:t>
      </w:r>
      <w:r>
        <w:rPr>
          <w:rFonts w:ascii="SimSun" w:hAnsi="SimSun" w:eastAsia="SimSun" w:cs="SimSun"/>
          <w:sz w:val="19"/>
          <w:szCs w:val="19"/>
          <w:spacing w:val="1"/>
        </w:rPr>
        <w:t xml:space="preserve">  </w:t>
      </w:r>
      <w:r>
        <w:rPr>
          <w:rFonts w:ascii="SimSun" w:hAnsi="SimSun" w:eastAsia="SimSun" w:cs="SimSun"/>
          <w:sz w:val="19"/>
          <w:szCs w:val="19"/>
          <w:spacing w:val="16"/>
        </w:rPr>
        <w:t>业的并购行为设定单独的门槛、申报程序或者举证责任。但国家市</w:t>
      </w:r>
      <w:r>
        <w:rPr>
          <w:rFonts w:ascii="SimSun" w:hAnsi="SimSun" w:eastAsia="SimSun" w:cs="SimSun"/>
          <w:sz w:val="19"/>
          <w:szCs w:val="19"/>
          <w:spacing w:val="3"/>
        </w:rPr>
        <w:t xml:space="preserve">  </w:t>
      </w:r>
      <w:r>
        <w:rPr>
          <w:rFonts w:ascii="SimSun" w:hAnsi="SimSun" w:eastAsia="SimSun" w:cs="SimSun"/>
          <w:sz w:val="19"/>
          <w:szCs w:val="19"/>
          <w:spacing w:val="12"/>
        </w:rPr>
        <w:t>场监督管理总局的执法已经体现出对平台企业并购审查的严格趋势，</w:t>
      </w:r>
      <w:r>
        <w:rPr>
          <w:rFonts w:ascii="SimSun" w:hAnsi="SimSun" w:eastAsia="SimSun" w:cs="SimSun"/>
          <w:sz w:val="19"/>
          <w:szCs w:val="19"/>
          <w:spacing w:val="4"/>
        </w:rPr>
        <w:t xml:space="preserve"> </w:t>
      </w:r>
      <w:r>
        <w:rPr>
          <w:rFonts w:ascii="SimSun" w:hAnsi="SimSun" w:eastAsia="SimSun" w:cs="SimSun"/>
          <w:sz w:val="19"/>
          <w:szCs w:val="19"/>
          <w:spacing w:val="24"/>
        </w:rPr>
        <w:t>例如：2021年7月10日，虎牙斗鱼的合并案被国家市场监</w:t>
      </w:r>
      <w:r>
        <w:rPr>
          <w:rFonts w:ascii="SimSun" w:hAnsi="SimSun" w:eastAsia="SimSun" w:cs="SimSun"/>
          <w:sz w:val="19"/>
          <w:szCs w:val="19"/>
          <w:spacing w:val="23"/>
        </w:rPr>
        <w:t>督管理 </w:t>
      </w:r>
      <w:r>
        <w:rPr>
          <w:rFonts w:ascii="SimSun" w:hAnsi="SimSun" w:eastAsia="SimSun" w:cs="SimSun"/>
          <w:sz w:val="19"/>
          <w:szCs w:val="19"/>
          <w:spacing w:val="26"/>
        </w:rPr>
        <w:t>总局禁止；从2021年4月至2021年7月，国家市场监督管理总局 </w:t>
      </w:r>
      <w:r>
        <w:rPr>
          <w:rFonts w:ascii="SimSun" w:hAnsi="SimSun" w:eastAsia="SimSun" w:cs="SimSun"/>
          <w:sz w:val="19"/>
          <w:szCs w:val="19"/>
          <w:spacing w:val="16"/>
        </w:rPr>
        <w:t>也对阿里系、腾讯系平台企业未依法申报的经营者集中案件进行行</w:t>
      </w:r>
    </w:p>
    <w:p>
      <w:pPr>
        <w:spacing w:line="220" w:lineRule="auto"/>
        <w:rPr>
          <w:rFonts w:ascii="SimSun" w:hAnsi="SimSun" w:eastAsia="SimSun" w:cs="SimSun"/>
          <w:sz w:val="19"/>
          <w:szCs w:val="19"/>
        </w:rPr>
      </w:pPr>
      <w:r>
        <w:rPr>
          <w:rFonts w:ascii="SimSun" w:hAnsi="SimSun" w:eastAsia="SimSun" w:cs="SimSun"/>
          <w:sz w:val="19"/>
          <w:szCs w:val="19"/>
          <w:spacing w:val="11"/>
        </w:rPr>
        <w:t>政处罚。</w:t>
      </w:r>
    </w:p>
    <w:p>
      <w:pPr>
        <w:pStyle w:val="BodyText"/>
        <w:spacing w:line="379" w:lineRule="auto"/>
        <w:rPr/>
      </w:pPr>
      <w:r/>
    </w:p>
    <w:p>
      <w:pPr>
        <w:ind w:left="2274"/>
        <w:spacing w:before="102" w:line="220" w:lineRule="auto"/>
        <w:rPr>
          <w:rFonts w:ascii="SimSun" w:hAnsi="SimSun" w:eastAsia="SimSun" w:cs="SimSun"/>
          <w:sz w:val="31"/>
          <w:szCs w:val="31"/>
        </w:rPr>
      </w:pPr>
      <w:r>
        <w:rPr>
          <w:rFonts w:ascii="SimSun" w:hAnsi="SimSun" w:eastAsia="SimSun" w:cs="SimSun"/>
          <w:sz w:val="31"/>
          <w:szCs w:val="31"/>
          <w:b/>
          <w:bCs/>
          <w:spacing w:val="3"/>
        </w:rPr>
        <w:t>结论与建议</w:t>
      </w:r>
    </w:p>
    <w:p>
      <w:pPr>
        <w:pStyle w:val="BodyText"/>
        <w:spacing w:line="304" w:lineRule="auto"/>
        <w:rPr/>
      </w:pPr>
      <w:r/>
    </w:p>
    <w:p>
      <w:pPr>
        <w:ind w:firstLine="459"/>
        <w:spacing w:before="62" w:line="350" w:lineRule="auto"/>
        <w:jc w:val="both"/>
        <w:rPr>
          <w:rFonts w:ascii="SimSun" w:hAnsi="SimSun" w:eastAsia="SimSun" w:cs="SimSun"/>
          <w:sz w:val="19"/>
          <w:szCs w:val="19"/>
        </w:rPr>
      </w:pPr>
      <w:r>
        <w:rPr>
          <w:rFonts w:ascii="SimSun" w:hAnsi="SimSun" w:eastAsia="SimSun" w:cs="SimSun"/>
          <w:sz w:val="19"/>
          <w:szCs w:val="19"/>
          <w:spacing w:val="14"/>
        </w:rPr>
        <w:t>2021年10月，《反垄断法(修正草案)》提请第十三届全国人大</w:t>
      </w:r>
      <w:r>
        <w:rPr>
          <w:rFonts w:ascii="SimSun" w:hAnsi="SimSun" w:eastAsia="SimSun" w:cs="SimSun"/>
          <w:sz w:val="19"/>
          <w:szCs w:val="19"/>
          <w:spacing w:val="6"/>
        </w:rPr>
        <w:t xml:space="preserve">  </w:t>
      </w:r>
      <w:r>
        <w:rPr>
          <w:rFonts w:ascii="SimSun" w:hAnsi="SimSun" w:eastAsia="SimSun" w:cs="SimSun"/>
          <w:sz w:val="19"/>
          <w:szCs w:val="19"/>
          <w:spacing w:val="14"/>
        </w:rPr>
        <w:t>常委会第三十一次会议进行初次审议。鼓励创新被纳入《反垄断法》</w:t>
      </w:r>
      <w:r>
        <w:rPr>
          <w:rFonts w:ascii="SimSun" w:hAnsi="SimSun" w:eastAsia="SimSun" w:cs="SimSun"/>
          <w:sz w:val="19"/>
          <w:szCs w:val="19"/>
          <w:spacing w:val="3"/>
        </w:rPr>
        <w:t xml:space="preserve"> </w:t>
      </w:r>
      <w:r>
        <w:rPr>
          <w:rFonts w:ascii="SimSun" w:hAnsi="SimSun" w:eastAsia="SimSun" w:cs="SimSun"/>
          <w:sz w:val="19"/>
          <w:szCs w:val="19"/>
          <w:spacing w:val="8"/>
        </w:rPr>
        <w:t>的立法宗旨，竞争性基础地位以及公平竞争审查制度以制定法形式</w:t>
      </w:r>
      <w:r>
        <w:rPr>
          <w:rFonts w:ascii="SimSun" w:hAnsi="SimSun" w:eastAsia="SimSun" w:cs="SimSun"/>
          <w:sz w:val="19"/>
          <w:szCs w:val="19"/>
          <w:spacing w:val="7"/>
        </w:rPr>
        <w:t>得  </w:t>
      </w:r>
      <w:r>
        <w:rPr>
          <w:rFonts w:ascii="SimSun" w:hAnsi="SimSun" w:eastAsia="SimSun" w:cs="SimSun"/>
          <w:sz w:val="19"/>
          <w:szCs w:val="19"/>
          <w:spacing w:val="9"/>
        </w:rPr>
        <w:t>以明确，完善了涉及三大垄断行为的实体性制度安排，规定了竞争者</w:t>
      </w:r>
    </w:p>
    <w:p>
      <w:pPr>
        <w:spacing w:line="219" w:lineRule="auto"/>
        <w:rPr>
          <w:rFonts w:ascii="SimSun" w:hAnsi="SimSun" w:eastAsia="SimSun" w:cs="SimSun"/>
          <w:sz w:val="19"/>
          <w:szCs w:val="19"/>
        </w:rPr>
      </w:pPr>
      <w:r>
        <w:rPr>
          <w:rFonts w:ascii="SimSun" w:hAnsi="SimSun" w:eastAsia="SimSun" w:cs="SimSun"/>
          <w:sz w:val="19"/>
          <w:szCs w:val="19"/>
          <w:spacing w:val="8"/>
        </w:rPr>
        <w:t>不得用数据、算法、技术以及平台规则等因素排除、限制竞争。</w:t>
      </w:r>
    </w:p>
    <w:p>
      <w:pPr>
        <w:spacing w:line="219" w:lineRule="auto"/>
        <w:sectPr>
          <w:headerReference w:type="default" r:id="rId531"/>
          <w:pgSz w:w="7330" w:h="12480"/>
          <w:pgMar w:top="518" w:right="555" w:bottom="400" w:left="650" w:header="343" w:footer="0" w:gutter="0"/>
        </w:sectPr>
        <w:rPr>
          <w:rFonts w:ascii="SimSun" w:hAnsi="SimSun" w:eastAsia="SimSun" w:cs="SimSun"/>
          <w:sz w:val="19"/>
          <w:szCs w:val="19"/>
        </w:rPr>
      </w:pPr>
    </w:p>
    <w:p>
      <w:pPr>
        <w:pStyle w:val="BodyText"/>
        <w:spacing w:line="251" w:lineRule="auto"/>
        <w:rPr/>
      </w:pPr>
      <w:r>
        <w:drawing>
          <wp:anchor distT="0" distB="0" distL="0" distR="0" simplePos="0" relativeHeight="256301056" behindDoc="0" locked="0" layoutInCell="0" allowOverlap="1">
            <wp:simplePos x="0" y="0"/>
            <wp:positionH relativeFrom="page">
              <wp:posOffset>355607</wp:posOffset>
            </wp:positionH>
            <wp:positionV relativeFrom="page">
              <wp:posOffset>6184905</wp:posOffset>
            </wp:positionV>
            <wp:extent cx="1174761" cy="6350"/>
            <wp:effectExtent l="0" t="0" r="0" b="0"/>
            <wp:wrapNone/>
            <wp:docPr id="400" name="IM 400"/>
            <wp:cNvGraphicFramePr/>
            <a:graphic>
              <a:graphicData uri="http://schemas.openxmlformats.org/drawingml/2006/picture">
                <pic:pic>
                  <pic:nvPicPr>
                    <pic:cNvPr id="400" name="IM 400"/>
                    <pic:cNvPicPr/>
                  </pic:nvPicPr>
                  <pic:blipFill>
                    <a:blip r:embed="rId533"/>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ind w:left="104" w:firstLine="274"/>
        <w:spacing w:before="68" w:line="292" w:lineRule="auto"/>
        <w:jc w:val="both"/>
        <w:rPr>
          <w:rFonts w:ascii="SimSun" w:hAnsi="SimSun" w:eastAsia="SimSun" w:cs="SimSun"/>
          <w:sz w:val="21"/>
          <w:szCs w:val="21"/>
        </w:rPr>
      </w:pPr>
      <w:r>
        <w:rPr>
          <w:rFonts w:ascii="SimSun" w:hAnsi="SimSun" w:eastAsia="SimSun" w:cs="SimSun"/>
          <w:sz w:val="21"/>
          <w:szCs w:val="21"/>
          <w:spacing w:val="-13"/>
        </w:rPr>
        <w:t>《反垄断法》《国务院反垄断委员会关于平</w:t>
      </w:r>
      <w:r>
        <w:rPr>
          <w:rFonts w:ascii="SimSun" w:hAnsi="SimSun" w:eastAsia="SimSun" w:cs="SimSun"/>
          <w:sz w:val="21"/>
          <w:szCs w:val="21"/>
          <w:spacing w:val="-14"/>
        </w:rPr>
        <w:t>台经济领域的反垄断指</w:t>
      </w:r>
      <w:r>
        <w:rPr>
          <w:rFonts w:ascii="SimSun" w:hAnsi="SimSun" w:eastAsia="SimSun" w:cs="SimSun"/>
          <w:sz w:val="21"/>
          <w:szCs w:val="21"/>
        </w:rPr>
        <w:t xml:space="preserve">  </w:t>
      </w:r>
      <w:r>
        <w:rPr>
          <w:rFonts w:ascii="SimSun" w:hAnsi="SimSun" w:eastAsia="SimSun" w:cs="SimSun"/>
          <w:sz w:val="21"/>
          <w:szCs w:val="21"/>
          <w:spacing w:val="-10"/>
        </w:rPr>
        <w:t>南》等法律法规的出台，使我国针对平台反</w:t>
      </w:r>
      <w:r>
        <w:rPr>
          <w:rFonts w:ascii="SimSun" w:hAnsi="SimSun" w:eastAsia="SimSun" w:cs="SimSun"/>
          <w:sz w:val="21"/>
          <w:szCs w:val="21"/>
          <w:spacing w:val="-11"/>
        </w:rPr>
        <w:t>垄断问题形成一整套较为</w:t>
      </w:r>
      <w:r>
        <w:rPr>
          <w:rFonts w:ascii="SimSun" w:hAnsi="SimSun" w:eastAsia="SimSun" w:cs="SimSun"/>
          <w:sz w:val="21"/>
          <w:szCs w:val="21"/>
        </w:rPr>
        <w:t xml:space="preserve">  </w:t>
      </w:r>
      <w:r>
        <w:rPr>
          <w:rFonts w:ascii="SimSun" w:hAnsi="SimSun" w:eastAsia="SimSun" w:cs="SimSun"/>
          <w:sz w:val="21"/>
          <w:szCs w:val="21"/>
          <w:spacing w:val="-14"/>
        </w:rPr>
        <w:t>健全的法律体系，当前热议的平台“二选一”“大数据杀熟”等问题，</w:t>
      </w:r>
      <w:r>
        <w:rPr>
          <w:rFonts w:ascii="SimSun" w:hAnsi="SimSun" w:eastAsia="SimSun" w:cs="SimSun"/>
          <w:sz w:val="21"/>
          <w:szCs w:val="21"/>
          <w:spacing w:val="7"/>
        </w:rPr>
        <w:t xml:space="preserve"> </w:t>
      </w:r>
      <w:r>
        <w:rPr>
          <w:rFonts w:ascii="SimSun" w:hAnsi="SimSun" w:eastAsia="SimSun" w:cs="SimSun"/>
          <w:sz w:val="21"/>
          <w:szCs w:val="21"/>
          <w:spacing w:val="-11"/>
        </w:rPr>
        <w:t>皆可从反垄断法框架下得到解决。但仍有以下问题值得考虑。</w:t>
      </w:r>
    </w:p>
    <w:p>
      <w:pPr>
        <w:ind w:left="104" w:right="87" w:firstLine="379"/>
        <w:spacing w:before="109" w:line="300" w:lineRule="auto"/>
        <w:jc w:val="both"/>
        <w:rPr>
          <w:rFonts w:ascii="SimSun" w:hAnsi="SimSun" w:eastAsia="SimSun" w:cs="SimSun"/>
          <w:sz w:val="21"/>
          <w:szCs w:val="21"/>
        </w:rPr>
      </w:pPr>
      <w:r>
        <w:rPr>
          <w:rFonts w:ascii="SimSun" w:hAnsi="SimSun" w:eastAsia="SimSun" w:cs="SimSun"/>
          <w:sz w:val="21"/>
          <w:szCs w:val="21"/>
          <w:spacing w:val="-11"/>
        </w:rPr>
        <w:t>首先，《价格法》与《反垄断法》的关系需要进一步梳理。《价</w:t>
      </w:r>
      <w:r>
        <w:rPr>
          <w:rFonts w:ascii="SimSun" w:hAnsi="SimSun" w:eastAsia="SimSun" w:cs="SimSun"/>
          <w:sz w:val="21"/>
          <w:szCs w:val="21"/>
          <w:spacing w:val="15"/>
        </w:rPr>
        <w:t xml:space="preserve"> </w:t>
      </w:r>
      <w:r>
        <w:rPr>
          <w:rFonts w:ascii="SimSun" w:hAnsi="SimSun" w:eastAsia="SimSun" w:cs="SimSun"/>
          <w:sz w:val="21"/>
          <w:szCs w:val="21"/>
          <w:spacing w:val="-10"/>
        </w:rPr>
        <w:t>格法》对我国市场主体的价格行为做了全面规定，为稳定市</w:t>
      </w:r>
      <w:r>
        <w:rPr>
          <w:rFonts w:ascii="SimSun" w:hAnsi="SimSun" w:eastAsia="SimSun" w:cs="SimSun"/>
          <w:sz w:val="21"/>
          <w:szCs w:val="21"/>
          <w:spacing w:val="-11"/>
        </w:rPr>
        <w:t>场价格总</w:t>
      </w:r>
      <w:r>
        <w:rPr>
          <w:rFonts w:ascii="SimSun" w:hAnsi="SimSun" w:eastAsia="SimSun" w:cs="SimSun"/>
          <w:sz w:val="21"/>
          <w:szCs w:val="21"/>
        </w:rPr>
        <w:t xml:space="preserve"> </w:t>
      </w:r>
      <w:r>
        <w:rPr>
          <w:rFonts w:ascii="SimSun" w:hAnsi="SimSun" w:eastAsia="SimSun" w:cs="SimSun"/>
          <w:sz w:val="21"/>
          <w:szCs w:val="21"/>
          <w:spacing w:val="-10"/>
        </w:rPr>
        <w:t>体水平、发挥价格配置资源的作用起到积极</w:t>
      </w:r>
      <w:r>
        <w:rPr>
          <w:rFonts w:ascii="SimSun" w:hAnsi="SimSun" w:eastAsia="SimSun" w:cs="SimSun"/>
          <w:sz w:val="21"/>
          <w:szCs w:val="21"/>
          <w:spacing w:val="-11"/>
        </w:rPr>
        <w:t>效果。但《价格法》中不</w:t>
      </w:r>
      <w:r>
        <w:rPr>
          <w:rFonts w:ascii="SimSun" w:hAnsi="SimSun" w:eastAsia="SimSun" w:cs="SimSun"/>
          <w:sz w:val="21"/>
          <w:szCs w:val="21"/>
        </w:rPr>
        <w:t xml:space="preserve"> </w:t>
      </w:r>
      <w:r>
        <w:rPr>
          <w:rFonts w:ascii="SimSun" w:hAnsi="SimSun" w:eastAsia="SimSun" w:cs="SimSun"/>
          <w:sz w:val="21"/>
          <w:szCs w:val="21"/>
          <w:spacing w:val="-11"/>
        </w:rPr>
        <w:t>公平高价、价格歧视、掠夺性定价等价格行为的关键条款与《反垄断</w:t>
      </w:r>
      <w:r>
        <w:rPr>
          <w:rFonts w:ascii="SimSun" w:hAnsi="SimSun" w:eastAsia="SimSun" w:cs="SimSun"/>
          <w:sz w:val="21"/>
          <w:szCs w:val="21"/>
          <w:spacing w:val="17"/>
        </w:rPr>
        <w:t xml:space="preserve"> </w:t>
      </w:r>
      <w:r>
        <w:rPr>
          <w:rFonts w:ascii="SimSun" w:hAnsi="SimSun" w:eastAsia="SimSun" w:cs="SimSun"/>
          <w:sz w:val="21"/>
          <w:szCs w:val="21"/>
          <w:spacing w:val="-11"/>
        </w:rPr>
        <w:t>法》中规制的相关价格行为存在冲突，法律的冲突加大了行政执法成</w:t>
      </w:r>
      <w:r>
        <w:rPr>
          <w:rFonts w:ascii="SimSun" w:hAnsi="SimSun" w:eastAsia="SimSun" w:cs="SimSun"/>
          <w:sz w:val="21"/>
          <w:szCs w:val="21"/>
          <w:spacing w:val="18"/>
        </w:rPr>
        <w:t xml:space="preserve"> </w:t>
      </w:r>
      <w:r>
        <w:rPr>
          <w:rFonts w:ascii="SimSun" w:hAnsi="SimSun" w:eastAsia="SimSun" w:cs="SimSun"/>
          <w:sz w:val="21"/>
          <w:szCs w:val="21"/>
          <w:spacing w:val="-15"/>
        </w:rPr>
        <w:t>本，实际拓宽了经营者可能违法的范畴。①</w:t>
      </w:r>
    </w:p>
    <w:p>
      <w:pPr>
        <w:ind w:right="19" w:firstLine="484"/>
        <w:spacing w:before="121" w:line="293" w:lineRule="auto"/>
        <w:jc w:val="both"/>
        <w:rPr>
          <w:rFonts w:ascii="SimSun" w:hAnsi="SimSun" w:eastAsia="SimSun" w:cs="SimSun"/>
          <w:sz w:val="21"/>
          <w:szCs w:val="21"/>
        </w:rPr>
      </w:pPr>
      <w:r>
        <w:rPr>
          <w:rFonts w:ascii="SimSun" w:hAnsi="SimSun" w:eastAsia="SimSun" w:cs="SimSun"/>
          <w:sz w:val="21"/>
          <w:szCs w:val="21"/>
          <w:spacing w:val="-17"/>
        </w:rPr>
        <w:t>其次，“二选一”和“大数据杀熟”等行为的</w:t>
      </w:r>
      <w:r>
        <w:rPr>
          <w:rFonts w:ascii="SimSun" w:hAnsi="SimSun" w:eastAsia="SimSun" w:cs="SimSun"/>
          <w:sz w:val="21"/>
          <w:szCs w:val="21"/>
          <w:spacing w:val="-18"/>
        </w:rPr>
        <w:t>规制，不宜适用“本</w:t>
      </w:r>
      <w:r>
        <w:rPr>
          <w:rFonts w:ascii="SimSun" w:hAnsi="SimSun" w:eastAsia="SimSun" w:cs="SimSun"/>
          <w:sz w:val="21"/>
          <w:szCs w:val="21"/>
        </w:rPr>
        <w:t xml:space="preserve">  </w:t>
      </w:r>
      <w:r>
        <w:rPr>
          <w:rFonts w:ascii="SimSun" w:hAnsi="SimSun" w:eastAsia="SimSun" w:cs="SimSun"/>
          <w:sz w:val="21"/>
          <w:szCs w:val="21"/>
          <w:spacing w:val="-7"/>
        </w:rPr>
        <w:t>身违法”原则。“二选一”根据实施方式的不同，可以划分为滥用市 </w:t>
      </w:r>
      <w:r>
        <w:rPr>
          <w:rFonts w:ascii="SimSun" w:hAnsi="SimSun" w:eastAsia="SimSun" w:cs="SimSun"/>
          <w:sz w:val="21"/>
          <w:szCs w:val="21"/>
          <w:spacing w:val="-5"/>
        </w:rPr>
        <w:t>场支配地位下的限定交易和纵向垄断协议下的非价格垄断协议两种，</w:t>
      </w:r>
      <w:r>
        <w:rPr>
          <w:rFonts w:ascii="SimSun" w:hAnsi="SimSun" w:eastAsia="SimSun" w:cs="SimSun"/>
          <w:sz w:val="21"/>
          <w:szCs w:val="21"/>
          <w:spacing w:val="18"/>
        </w:rPr>
        <w:t xml:space="preserve"> </w:t>
      </w:r>
      <w:r>
        <w:rPr>
          <w:rFonts w:ascii="SimSun" w:hAnsi="SimSun" w:eastAsia="SimSun" w:cs="SimSun"/>
          <w:sz w:val="21"/>
          <w:szCs w:val="21"/>
          <w:spacing w:val="-7"/>
        </w:rPr>
        <w:t>“大数据杀熟”根据补贴体系和对象的不同涉及掠夺性定价、价格歧 </w:t>
      </w:r>
      <w:r>
        <w:rPr>
          <w:rFonts w:ascii="SimSun" w:hAnsi="SimSun" w:eastAsia="SimSun" w:cs="SimSun"/>
          <w:sz w:val="21"/>
          <w:szCs w:val="21"/>
          <w:spacing w:val="-7"/>
        </w:rPr>
        <w:t>视、忠诚折扣等问题，在对具体行为进行考察时，需要对限制竞争的 </w:t>
      </w:r>
      <w:r>
        <w:rPr>
          <w:rFonts w:ascii="SimSun" w:hAnsi="SimSun" w:eastAsia="SimSun" w:cs="SimSun"/>
          <w:sz w:val="21"/>
          <w:szCs w:val="21"/>
          <w:spacing w:val="-3"/>
        </w:rPr>
        <w:t>效果审慎评估，切勿一刀切。</w:t>
      </w:r>
    </w:p>
    <w:p>
      <w:pPr>
        <w:ind w:left="104" w:right="88" w:firstLine="379"/>
        <w:spacing w:before="152" w:line="297" w:lineRule="auto"/>
        <w:jc w:val="both"/>
        <w:rPr>
          <w:rFonts w:ascii="SimSun" w:hAnsi="SimSun" w:eastAsia="SimSun" w:cs="SimSun"/>
          <w:sz w:val="21"/>
          <w:szCs w:val="21"/>
        </w:rPr>
      </w:pPr>
      <w:r>
        <w:rPr>
          <w:rFonts w:ascii="SimSun" w:hAnsi="SimSun" w:eastAsia="SimSun" w:cs="SimSun"/>
          <w:sz w:val="21"/>
          <w:szCs w:val="21"/>
          <w:spacing w:val="-11"/>
        </w:rPr>
        <w:t>再次，尽管本章分析了一些大型科技平台对反垄断法的挑战，但</w:t>
      </w:r>
      <w:r>
        <w:rPr>
          <w:rFonts w:ascii="SimSun" w:hAnsi="SimSun" w:eastAsia="SimSun" w:cs="SimSun"/>
          <w:sz w:val="21"/>
          <w:szCs w:val="21"/>
          <w:spacing w:val="15"/>
        </w:rPr>
        <w:t xml:space="preserve"> </w:t>
      </w:r>
      <w:r>
        <w:rPr>
          <w:rFonts w:ascii="SimSun" w:hAnsi="SimSun" w:eastAsia="SimSun" w:cs="SimSun"/>
          <w:sz w:val="21"/>
          <w:szCs w:val="21"/>
          <w:spacing w:val="-11"/>
        </w:rPr>
        <w:t>反垄断法学界的主流看法是，如理查德·波斯纳法官早就指出的，新</w:t>
      </w:r>
      <w:r>
        <w:rPr>
          <w:rFonts w:ascii="SimSun" w:hAnsi="SimSun" w:eastAsia="SimSun" w:cs="SimSun"/>
          <w:sz w:val="21"/>
          <w:szCs w:val="21"/>
          <w:spacing w:val="17"/>
        </w:rPr>
        <w:t xml:space="preserve"> </w:t>
      </w:r>
      <w:r>
        <w:rPr>
          <w:rFonts w:ascii="SimSun" w:hAnsi="SimSun" w:eastAsia="SimSun" w:cs="SimSun"/>
          <w:sz w:val="21"/>
          <w:szCs w:val="21"/>
          <w:spacing w:val="-10"/>
        </w:rPr>
        <w:t>经济并不构成对反垄断法框架的挑战。平台带来的挑战更</w:t>
      </w:r>
      <w:r>
        <w:rPr>
          <w:rFonts w:ascii="SimSun" w:hAnsi="SimSun" w:eastAsia="SimSun" w:cs="SimSun"/>
          <w:sz w:val="21"/>
          <w:szCs w:val="21"/>
          <w:spacing w:val="-11"/>
        </w:rPr>
        <w:t>多是经济测</w:t>
      </w:r>
      <w:r>
        <w:rPr>
          <w:rFonts w:ascii="SimSun" w:hAnsi="SimSun" w:eastAsia="SimSun" w:cs="SimSun"/>
          <w:sz w:val="21"/>
          <w:szCs w:val="21"/>
        </w:rPr>
        <w:t xml:space="preserve"> </w:t>
      </w:r>
      <w:r>
        <w:rPr>
          <w:rFonts w:ascii="SimSun" w:hAnsi="SimSun" w:eastAsia="SimSun" w:cs="SimSun"/>
          <w:sz w:val="21"/>
          <w:szCs w:val="21"/>
          <w:spacing w:val="-11"/>
        </w:rPr>
        <w:t>量、成本收益分析、市场界定方面的，这些本来就是反垄断法持续面</w:t>
      </w:r>
      <w:r>
        <w:rPr>
          <w:rFonts w:ascii="SimSun" w:hAnsi="SimSun" w:eastAsia="SimSun" w:cs="SimSun"/>
          <w:sz w:val="21"/>
          <w:szCs w:val="21"/>
          <w:spacing w:val="17"/>
        </w:rPr>
        <w:t xml:space="preserve"> </w:t>
      </w:r>
      <w:r>
        <w:rPr>
          <w:rFonts w:ascii="SimSun" w:hAnsi="SimSun" w:eastAsia="SimSun" w:cs="SimSun"/>
          <w:sz w:val="21"/>
          <w:szCs w:val="21"/>
          <w:spacing w:val="-11"/>
        </w:rPr>
        <w:t>对的问题，并不会因为平台的出现而发生根本性动摇。度量问题实际</w:t>
      </w:r>
    </w:p>
    <w:p>
      <w:pPr>
        <w:pStyle w:val="BodyText"/>
        <w:spacing w:line="247" w:lineRule="auto"/>
        <w:rPr/>
      </w:pPr>
      <w:r/>
    </w:p>
    <w:p>
      <w:pPr>
        <w:pStyle w:val="BodyText"/>
        <w:spacing w:line="247" w:lineRule="auto"/>
        <w:rPr/>
      </w:pPr>
      <w:r/>
    </w:p>
    <w:p>
      <w:pPr>
        <w:ind w:left="404" w:right="61" w:hanging="299"/>
        <w:spacing w:before="55" w:line="282" w:lineRule="auto"/>
        <w:rPr>
          <w:rFonts w:ascii="KaiTi" w:hAnsi="KaiTi" w:eastAsia="KaiTi" w:cs="KaiTi"/>
          <w:sz w:val="17"/>
          <w:szCs w:val="17"/>
        </w:rPr>
      </w:pPr>
      <w:r>
        <w:rPr>
          <w:rFonts w:ascii="KaiTi" w:hAnsi="KaiTi" w:eastAsia="KaiTi" w:cs="KaiTi"/>
          <w:sz w:val="17"/>
          <w:szCs w:val="17"/>
          <w:spacing w:val="-8"/>
        </w:rPr>
        <w:t>①《反垄断法》对价格行为的规制是在垄断协议或滥用市场支配地位的前提之下，同</w:t>
      </w:r>
      <w:r>
        <w:rPr>
          <w:rFonts w:ascii="KaiTi" w:hAnsi="KaiTi" w:eastAsia="KaiTi" w:cs="KaiTi"/>
          <w:sz w:val="17"/>
          <w:szCs w:val="17"/>
          <w:spacing w:val="4"/>
        </w:rPr>
        <w:t xml:space="preserve"> </w:t>
      </w:r>
      <w:r>
        <w:rPr>
          <w:rFonts w:ascii="KaiTi" w:hAnsi="KaiTi" w:eastAsia="KaiTi" w:cs="KaiTi"/>
          <w:sz w:val="17"/>
          <w:szCs w:val="17"/>
          <w:spacing w:val="-2"/>
        </w:rPr>
        <w:t>时对不到一定经济规模、对竞争不产生损害的企业实施豁免，但《价格法》第</w:t>
      </w:r>
      <w:r>
        <w:rPr>
          <w:rFonts w:ascii="KaiTi" w:hAnsi="KaiTi" w:eastAsia="KaiTi" w:cs="KaiTi"/>
          <w:sz w:val="17"/>
          <w:szCs w:val="17"/>
          <w:spacing w:val="10"/>
        </w:rPr>
        <w:t xml:space="preserve"> </w:t>
      </w:r>
      <w:r>
        <w:rPr>
          <w:rFonts w:ascii="KaiTi" w:hAnsi="KaiTi" w:eastAsia="KaiTi" w:cs="KaiTi"/>
          <w:sz w:val="17"/>
          <w:szCs w:val="17"/>
          <w:spacing w:val="-8"/>
        </w:rPr>
        <w:t>十四条的对象是所有从事生产、经营商品或提供有偿服务的法人、其他组织和个</w:t>
      </w:r>
      <w:r>
        <w:rPr>
          <w:rFonts w:ascii="KaiTi" w:hAnsi="KaiTi" w:eastAsia="KaiTi" w:cs="KaiTi"/>
          <w:sz w:val="17"/>
          <w:szCs w:val="17"/>
          <w:spacing w:val="9"/>
        </w:rPr>
        <w:t xml:space="preserve"> </w:t>
      </w:r>
      <w:r>
        <w:rPr>
          <w:rFonts w:ascii="KaiTi" w:hAnsi="KaiTi" w:eastAsia="KaiTi" w:cs="KaiTi"/>
          <w:sz w:val="17"/>
          <w:szCs w:val="17"/>
          <w:spacing w:val="-9"/>
        </w:rPr>
        <w:t>人。《价格法》对价格的调节和限制范畴明显大于《反垄断法》</w:t>
      </w:r>
      <w:r>
        <w:rPr>
          <w:rFonts w:ascii="KaiTi" w:hAnsi="KaiTi" w:eastAsia="KaiTi" w:cs="KaiTi"/>
          <w:sz w:val="17"/>
          <w:szCs w:val="17"/>
          <w:spacing w:val="-10"/>
        </w:rPr>
        <w:t>,是否有必要对所</w:t>
      </w:r>
      <w:r>
        <w:rPr>
          <w:rFonts w:ascii="KaiTi" w:hAnsi="KaiTi" w:eastAsia="KaiTi" w:cs="KaiTi"/>
          <w:sz w:val="17"/>
          <w:szCs w:val="17"/>
        </w:rPr>
        <w:t xml:space="preserve"> </w:t>
      </w:r>
      <w:r>
        <w:rPr>
          <w:rFonts w:ascii="KaiTi" w:hAnsi="KaiTi" w:eastAsia="KaiTi" w:cs="KaiTi"/>
          <w:sz w:val="17"/>
          <w:szCs w:val="17"/>
          <w:spacing w:val="-12"/>
        </w:rPr>
        <w:t>有经营者施加如此强的价格义务尚须进一步探讨，《价格法》及出台法律的全国人</w:t>
      </w:r>
      <w:r>
        <w:rPr>
          <w:rFonts w:ascii="KaiTi" w:hAnsi="KaiTi" w:eastAsia="KaiTi" w:cs="KaiTi"/>
          <w:sz w:val="17"/>
          <w:szCs w:val="17"/>
          <w:spacing w:val="11"/>
        </w:rPr>
        <w:t xml:space="preserve"> </w:t>
      </w:r>
      <w:r>
        <w:rPr>
          <w:rFonts w:ascii="KaiTi" w:hAnsi="KaiTi" w:eastAsia="KaiTi" w:cs="KaiTi"/>
          <w:sz w:val="17"/>
          <w:szCs w:val="17"/>
          <w:spacing w:val="-12"/>
        </w:rPr>
        <w:t>大常委会对此并未给出论证。</w:t>
      </w:r>
    </w:p>
    <w:p>
      <w:pPr>
        <w:spacing w:line="282" w:lineRule="auto"/>
        <w:sectPr>
          <w:headerReference w:type="default" r:id="rId532"/>
          <w:pgSz w:w="7330" w:h="12480"/>
          <w:pgMar w:top="829" w:right="665" w:bottom="400" w:left="475" w:header="641" w:footer="0" w:gutter="0"/>
        </w:sectPr>
        <w:rPr>
          <w:rFonts w:ascii="KaiTi" w:hAnsi="KaiTi" w:eastAsia="KaiTi" w:cs="KaiTi"/>
          <w:sz w:val="17"/>
          <w:szCs w:val="17"/>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上是一个信息和情报收集问题，而非理论问题。</w:t>
      </w:r>
    </w:p>
    <w:p>
      <w:pPr>
        <w:ind w:firstLine="420"/>
        <w:spacing w:before="96" w:line="308" w:lineRule="auto"/>
        <w:jc w:val="both"/>
        <w:rPr>
          <w:rFonts w:ascii="SimSun" w:hAnsi="SimSun" w:eastAsia="SimSun" w:cs="SimSun"/>
          <w:sz w:val="21"/>
          <w:szCs w:val="21"/>
        </w:rPr>
      </w:pPr>
      <w:r>
        <w:rPr>
          <w:rFonts w:ascii="SimSun" w:hAnsi="SimSun" w:eastAsia="SimSun" w:cs="SimSun"/>
          <w:sz w:val="21"/>
          <w:szCs w:val="21"/>
          <w:spacing w:val="-11"/>
        </w:rPr>
        <w:t>最后，互联网平台发展迅速，对于平台市场势力的判断方法、多</w:t>
      </w:r>
      <w:r>
        <w:rPr>
          <w:rFonts w:ascii="SimSun" w:hAnsi="SimSun" w:eastAsia="SimSun" w:cs="SimSun"/>
          <w:sz w:val="21"/>
          <w:szCs w:val="21"/>
          <w:spacing w:val="15"/>
        </w:rPr>
        <w:t xml:space="preserve"> </w:t>
      </w:r>
      <w:r>
        <w:rPr>
          <w:rFonts w:ascii="SimSun" w:hAnsi="SimSun" w:eastAsia="SimSun" w:cs="SimSun"/>
          <w:sz w:val="21"/>
          <w:szCs w:val="21"/>
          <w:spacing w:val="-10"/>
        </w:rPr>
        <w:t>边市场下的相关市场界定、垄断行为的归类、掐尖式并购的手段等问</w:t>
      </w:r>
      <w:r>
        <w:rPr>
          <w:rFonts w:ascii="SimSun" w:hAnsi="SimSun" w:eastAsia="SimSun" w:cs="SimSun"/>
          <w:sz w:val="21"/>
          <w:szCs w:val="21"/>
          <w:spacing w:val="12"/>
        </w:rPr>
        <w:t xml:space="preserve"> </w:t>
      </w:r>
      <w:r>
        <w:rPr>
          <w:rFonts w:ascii="SimSun" w:hAnsi="SimSun" w:eastAsia="SimSun" w:cs="SimSun"/>
          <w:sz w:val="21"/>
          <w:szCs w:val="21"/>
          <w:spacing w:val="-10"/>
        </w:rPr>
        <w:t>题，需要保持开放的态度，加强国际交流。平台反垄断问题</w:t>
      </w:r>
      <w:r>
        <w:rPr>
          <w:rFonts w:ascii="SimSun" w:hAnsi="SimSun" w:eastAsia="SimSun" w:cs="SimSun"/>
          <w:sz w:val="21"/>
          <w:szCs w:val="21"/>
          <w:spacing w:val="-11"/>
        </w:rPr>
        <w:t>是世界性</w:t>
      </w:r>
      <w:r>
        <w:rPr>
          <w:rFonts w:ascii="SimSun" w:hAnsi="SimSun" w:eastAsia="SimSun" w:cs="SimSun"/>
          <w:sz w:val="21"/>
          <w:szCs w:val="21"/>
        </w:rPr>
        <w:t xml:space="preserve"> </w:t>
      </w:r>
      <w:r>
        <w:rPr>
          <w:rFonts w:ascii="SimSun" w:hAnsi="SimSun" w:eastAsia="SimSun" w:cs="SimSun"/>
          <w:sz w:val="21"/>
          <w:szCs w:val="21"/>
          <w:spacing w:val="-10"/>
        </w:rPr>
        <w:t>命题，欧盟、美国、德国、法国、加拿大、英国等区域和国</w:t>
      </w:r>
      <w:r>
        <w:rPr>
          <w:rFonts w:ascii="SimSun" w:hAnsi="SimSun" w:eastAsia="SimSun" w:cs="SimSun"/>
          <w:sz w:val="21"/>
          <w:szCs w:val="21"/>
          <w:spacing w:val="-11"/>
        </w:rPr>
        <w:t>家都对互</w:t>
      </w:r>
      <w:r>
        <w:rPr>
          <w:rFonts w:ascii="SimSun" w:hAnsi="SimSun" w:eastAsia="SimSun" w:cs="SimSun"/>
          <w:sz w:val="21"/>
          <w:szCs w:val="21"/>
        </w:rPr>
        <w:t xml:space="preserve"> </w:t>
      </w:r>
      <w:r>
        <w:rPr>
          <w:rFonts w:ascii="SimSun" w:hAnsi="SimSun" w:eastAsia="SimSun" w:cs="SimSun"/>
          <w:sz w:val="21"/>
          <w:szCs w:val="21"/>
          <w:spacing w:val="-10"/>
        </w:rPr>
        <w:t>联网平台问题密切关注。我国反垄断执法机构一方面应充分利用现有</w:t>
      </w:r>
      <w:r>
        <w:rPr>
          <w:rFonts w:ascii="SimSun" w:hAnsi="SimSun" w:eastAsia="SimSun" w:cs="SimSun"/>
          <w:sz w:val="21"/>
          <w:szCs w:val="21"/>
        </w:rPr>
        <w:t xml:space="preserve"> </w:t>
      </w:r>
      <w:r>
        <w:rPr>
          <w:rFonts w:ascii="SimSun" w:hAnsi="SimSun" w:eastAsia="SimSun" w:cs="SimSun"/>
          <w:sz w:val="21"/>
          <w:szCs w:val="21"/>
          <w:spacing w:val="-6"/>
        </w:rPr>
        <w:t>的合作平台，积极参加联合国、OECD、ICN</w:t>
      </w:r>
      <w:r>
        <w:rPr>
          <w:rFonts w:ascii="SimSun" w:hAnsi="SimSun" w:eastAsia="SimSun" w:cs="SimSun"/>
          <w:sz w:val="21"/>
          <w:szCs w:val="21"/>
          <w:spacing w:val="106"/>
        </w:rPr>
        <w:t xml:space="preserve"> </w:t>
      </w:r>
      <w:r>
        <w:rPr>
          <w:rFonts w:ascii="SimSun" w:hAnsi="SimSun" w:eastAsia="SimSun" w:cs="SimSun"/>
          <w:sz w:val="21"/>
          <w:szCs w:val="21"/>
          <w:spacing w:val="-6"/>
        </w:rPr>
        <w:t>(国际竞争网络)等国际</w:t>
      </w:r>
      <w:r>
        <w:rPr>
          <w:rFonts w:ascii="SimSun" w:hAnsi="SimSun" w:eastAsia="SimSun" w:cs="SimSun"/>
          <w:sz w:val="21"/>
          <w:szCs w:val="21"/>
        </w:rPr>
        <w:t xml:space="preserve"> </w:t>
      </w:r>
      <w:r>
        <w:rPr>
          <w:rFonts w:ascii="SimSun" w:hAnsi="SimSun" w:eastAsia="SimSun" w:cs="SimSun"/>
          <w:sz w:val="21"/>
          <w:szCs w:val="21"/>
          <w:spacing w:val="-10"/>
        </w:rPr>
        <w:t>组织和美国、德国、新加坡等举办的多双边反垄断重大国际会议，深</w:t>
      </w:r>
      <w:r>
        <w:rPr>
          <w:rFonts w:ascii="SimSun" w:hAnsi="SimSun" w:eastAsia="SimSun" w:cs="SimSun"/>
          <w:sz w:val="21"/>
          <w:szCs w:val="21"/>
        </w:rPr>
        <w:t xml:space="preserve"> </w:t>
      </w:r>
      <w:r>
        <w:rPr>
          <w:rFonts w:ascii="SimSun" w:hAnsi="SimSun" w:eastAsia="SimSun" w:cs="SimSun"/>
          <w:sz w:val="21"/>
          <w:szCs w:val="21"/>
          <w:spacing w:val="-10"/>
        </w:rPr>
        <w:t>入宣传机构改革成效，充分展示科学化专业化反垄断执法形象，发出</w:t>
      </w:r>
      <w:r>
        <w:rPr>
          <w:rFonts w:ascii="SimSun" w:hAnsi="SimSun" w:eastAsia="SimSun" w:cs="SimSun"/>
          <w:sz w:val="21"/>
          <w:szCs w:val="21"/>
          <w:spacing w:val="13"/>
        </w:rPr>
        <w:t xml:space="preserve"> </w:t>
      </w:r>
      <w:r>
        <w:rPr>
          <w:rFonts w:ascii="SimSun" w:hAnsi="SimSun" w:eastAsia="SimSun" w:cs="SimSun"/>
          <w:sz w:val="21"/>
          <w:szCs w:val="21"/>
          <w:spacing w:val="-10"/>
        </w:rPr>
        <w:t>中国声音，贡献中国智慧；另一方面，要积极探索新的对话机制，在</w:t>
      </w:r>
      <w:r>
        <w:rPr>
          <w:rFonts w:ascii="SimSun" w:hAnsi="SimSun" w:eastAsia="SimSun" w:cs="SimSun"/>
          <w:sz w:val="21"/>
          <w:szCs w:val="21"/>
        </w:rPr>
        <w:t xml:space="preserve"> </w:t>
      </w:r>
      <w:r>
        <w:rPr>
          <w:rFonts w:ascii="SimSun" w:hAnsi="SimSun" w:eastAsia="SimSun" w:cs="SimSun"/>
          <w:sz w:val="21"/>
          <w:szCs w:val="21"/>
          <w:spacing w:val="-10"/>
        </w:rPr>
        <w:t>充分利用我国对外开放的战略契机的同时，也在执法机构合作层面做</w:t>
      </w:r>
      <w:r>
        <w:rPr>
          <w:rFonts w:ascii="SimSun" w:hAnsi="SimSun" w:eastAsia="SimSun" w:cs="SimSun"/>
          <w:sz w:val="21"/>
          <w:szCs w:val="21"/>
        </w:rPr>
        <w:t xml:space="preserve"> </w:t>
      </w:r>
      <w:r>
        <w:rPr>
          <w:rFonts w:ascii="SimSun" w:hAnsi="SimSun" w:eastAsia="SimSun" w:cs="SimSun"/>
          <w:sz w:val="21"/>
          <w:szCs w:val="21"/>
          <w:spacing w:val="-11"/>
        </w:rPr>
        <w:t>出努力。</w:t>
      </w:r>
    </w:p>
    <w:p>
      <w:pPr>
        <w:spacing w:line="308" w:lineRule="auto"/>
        <w:sectPr>
          <w:headerReference w:type="default" r:id="rId534"/>
          <w:pgSz w:w="7330" w:h="12480"/>
          <w:pgMar w:top="547" w:right="595" w:bottom="400" w:left="720" w:header="385" w:footer="0" w:gutter="0"/>
        </w:sectPr>
        <w:rPr>
          <w:rFonts w:ascii="SimSun" w:hAnsi="SimSun" w:eastAsia="SimSun" w:cs="SimSun"/>
          <w:sz w:val="21"/>
          <w:szCs w:val="21"/>
        </w:rPr>
      </w:pPr>
    </w:p>
    <w:p>
      <w:pPr>
        <w:pStyle w:val="BodyText"/>
        <w:spacing w:line="266" w:lineRule="auto"/>
        <w:rPr/>
      </w:pPr>
      <w:r>
        <w:drawing>
          <wp:anchor distT="0" distB="0" distL="0" distR="0" simplePos="0" relativeHeight="256321536" behindDoc="0" locked="0" layoutInCell="0" allowOverlap="1">
            <wp:simplePos x="0" y="0"/>
            <wp:positionH relativeFrom="page">
              <wp:posOffset>349230</wp:posOffset>
            </wp:positionH>
            <wp:positionV relativeFrom="page">
              <wp:posOffset>7042131</wp:posOffset>
            </wp:positionV>
            <wp:extent cx="1174761" cy="6350"/>
            <wp:effectExtent l="0" t="0" r="0" b="0"/>
            <wp:wrapNone/>
            <wp:docPr id="402" name="IM 402"/>
            <wp:cNvGraphicFramePr/>
            <a:graphic>
              <a:graphicData uri="http://schemas.openxmlformats.org/drawingml/2006/picture">
                <pic:pic>
                  <pic:nvPicPr>
                    <pic:cNvPr id="402" name="IM 402"/>
                    <pic:cNvPicPr/>
                  </pic:nvPicPr>
                  <pic:blipFill>
                    <a:blip r:embed="rId535"/>
                    <a:stretch>
                      <a:fillRect/>
                    </a:stretch>
                  </pic:blipFill>
                  <pic:spPr>
                    <a:xfrm rot="0">
                      <a:off x="0" y="0"/>
                      <a:ext cx="1174761" cy="6350"/>
                    </a:xfrm>
                    <a:prstGeom prst="rect">
                      <a:avLst/>
                    </a:prstGeom>
                  </pic:spPr>
                </pic:pic>
              </a:graphicData>
            </a:graphic>
          </wp:anchor>
        </w:drawing>
      </w:r>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firstLine="869"/>
        <w:spacing w:line="3640" w:lineRule="exact"/>
        <w:rPr/>
      </w:pPr>
      <w:r>
        <w:rPr>
          <w:position w:val="-72"/>
        </w:rPr>
        <w:drawing>
          <wp:inline distT="0" distB="0" distL="0" distR="0">
            <wp:extent cx="2876558" cy="2311346"/>
            <wp:effectExtent l="0" t="0" r="0" b="0"/>
            <wp:docPr id="404" name="IM 404"/>
            <wp:cNvGraphicFramePr/>
            <a:graphic>
              <a:graphicData uri="http://schemas.openxmlformats.org/drawingml/2006/picture">
                <pic:pic>
                  <pic:nvPicPr>
                    <pic:cNvPr id="404" name="IM 404"/>
                    <pic:cNvPicPr/>
                  </pic:nvPicPr>
                  <pic:blipFill>
                    <a:blip r:embed="rId536"/>
                    <a:stretch>
                      <a:fillRect/>
                    </a:stretch>
                  </pic:blipFill>
                  <pic:spPr>
                    <a:xfrm rot="0">
                      <a:off x="0" y="0"/>
                      <a:ext cx="2876558" cy="2311346"/>
                    </a:xfrm>
                    <a:prstGeom prst="rect">
                      <a:avLst/>
                    </a:prstGeom>
                  </pic:spPr>
                </pic:pic>
              </a:graphicData>
            </a:graphic>
          </wp:inline>
        </w:drawing>
      </w:r>
    </w:p>
    <w:p>
      <w:pPr>
        <w:ind w:left="1180"/>
        <w:spacing w:before="270" w:line="222" w:lineRule="auto"/>
        <w:tabs>
          <w:tab w:val="left" w:pos="2550"/>
        </w:tabs>
        <w:rPr>
          <w:rFonts w:ascii="SimHei" w:hAnsi="SimHei" w:eastAsia="SimHei" w:cs="SimHei"/>
          <w:sz w:val="30"/>
          <w:szCs w:val="30"/>
        </w:rPr>
      </w:pPr>
      <w:r>
        <w:rPr>
          <w:rFonts w:ascii="SimHei" w:hAnsi="SimHei" w:eastAsia="SimHei" w:cs="SimHei"/>
          <w:sz w:val="30"/>
          <w:szCs w:val="30"/>
          <w:strike/>
        </w:rPr>
        <w:tab/>
      </w:r>
      <w:r>
        <w:rPr>
          <w:rFonts w:ascii="SimHei" w:hAnsi="SimHei" w:eastAsia="SimHei" w:cs="SimHei"/>
          <w:sz w:val="30"/>
          <w:szCs w:val="30"/>
          <w:spacing w:val="-3"/>
        </w:rPr>
        <w:t>第</w:t>
      </w:r>
      <w:r>
        <w:rPr>
          <w:rFonts w:ascii="SimHei" w:hAnsi="SimHei" w:eastAsia="SimHei" w:cs="SimHei"/>
          <w:sz w:val="30"/>
          <w:szCs w:val="30"/>
          <w:strike/>
          <w:spacing w:val="-3"/>
        </w:rPr>
        <w:t>十</w:t>
      </w:r>
      <w:r>
        <w:rPr>
          <w:rFonts w:ascii="SimHei" w:hAnsi="SimHei" w:eastAsia="SimHei" w:cs="SimHei"/>
          <w:sz w:val="30"/>
          <w:szCs w:val="30"/>
          <w:spacing w:val="-3"/>
        </w:rPr>
        <w:t>三</w:t>
      </w:r>
      <w:r>
        <w:rPr>
          <w:rFonts w:ascii="SimHei" w:hAnsi="SimHei" w:eastAsia="SimHei" w:cs="SimHei"/>
          <w:sz w:val="30"/>
          <w:szCs w:val="30"/>
          <w:strike/>
          <w:spacing w:val="-3"/>
        </w:rPr>
        <w:t>章</w:t>
      </w:r>
      <w:r>
        <w:rPr>
          <w:rFonts w:ascii="SimHei" w:hAnsi="SimHei" w:eastAsia="SimHei" w:cs="SimHei"/>
          <w:sz w:val="30"/>
          <w:szCs w:val="30"/>
          <w:strike/>
        </w:rPr>
        <w:t xml:space="preserve">         </w:t>
      </w:r>
    </w:p>
    <w:p>
      <w:pPr>
        <w:pStyle w:val="BodyText"/>
        <w:spacing w:line="299" w:lineRule="auto"/>
        <w:rPr/>
      </w:pPr>
      <w:r/>
    </w:p>
    <w:p>
      <w:pPr>
        <w:ind w:left="2155"/>
        <w:spacing w:before="117" w:line="219" w:lineRule="auto"/>
        <w:rPr>
          <w:rFonts w:ascii="SimSun" w:hAnsi="SimSun" w:eastAsia="SimSun" w:cs="SimSun"/>
          <w:sz w:val="36"/>
          <w:szCs w:val="36"/>
        </w:rPr>
      </w:pPr>
      <w:r>
        <w:rPr>
          <w:rFonts w:ascii="SimSun" w:hAnsi="SimSun" w:eastAsia="SimSun" w:cs="SimSun"/>
          <w:sz w:val="36"/>
          <w:szCs w:val="36"/>
          <w:b/>
          <w:bCs/>
          <w:spacing w:val="-12"/>
        </w:rPr>
        <w:t>回应型监管</w:t>
      </w:r>
    </w:p>
    <w:p>
      <w:pPr>
        <w:ind w:left="955"/>
        <w:spacing w:before="53" w:line="219" w:lineRule="auto"/>
        <w:rPr>
          <w:rFonts w:ascii="SimSun" w:hAnsi="SimSun" w:eastAsia="SimSun" w:cs="SimSun"/>
          <w:sz w:val="36"/>
          <w:szCs w:val="36"/>
        </w:rPr>
      </w:pPr>
      <w:r>
        <w:rPr>
          <w:rFonts w:ascii="SimSun" w:hAnsi="SimSun" w:eastAsia="SimSun" w:cs="SimSun"/>
          <w:sz w:val="36"/>
          <w:szCs w:val="36"/>
          <w:b/>
          <w:bCs/>
          <w:spacing w:val="-6"/>
        </w:rPr>
        <w:t>和未来数字经济法的框架</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30"/>
        <w:spacing w:before="56" w:line="220" w:lineRule="auto"/>
        <w:rPr>
          <w:rFonts w:ascii="KaiTi" w:hAnsi="KaiTi" w:eastAsia="KaiTi" w:cs="KaiTi"/>
          <w:sz w:val="17"/>
          <w:szCs w:val="17"/>
        </w:rPr>
      </w:pPr>
      <w:r>
        <w:rPr>
          <w:rFonts w:ascii="KaiTi" w:hAnsi="KaiTi" w:eastAsia="KaiTi" w:cs="KaiTi"/>
          <w:sz w:val="17"/>
          <w:szCs w:val="17"/>
          <w:spacing w:val="-10"/>
        </w:rPr>
        <w:t>①</w:t>
      </w:r>
      <w:r>
        <w:rPr>
          <w:rFonts w:ascii="KaiTi" w:hAnsi="KaiTi" w:eastAsia="KaiTi" w:cs="KaiTi"/>
          <w:sz w:val="17"/>
          <w:szCs w:val="17"/>
          <w:spacing w:val="60"/>
        </w:rPr>
        <w:t xml:space="preserve"> </w:t>
      </w:r>
      <w:r>
        <w:rPr>
          <w:rFonts w:ascii="KaiTi" w:hAnsi="KaiTi" w:eastAsia="KaiTi" w:cs="KaiTi"/>
          <w:sz w:val="17"/>
          <w:szCs w:val="17"/>
          <w:spacing w:val="-10"/>
        </w:rPr>
        <w:t>本章作者为邓峰课题小组，参与人员有邓峰、郭小莉、王慧群、刘昱</w:t>
      </w:r>
      <w:r>
        <w:rPr>
          <w:rFonts w:ascii="KaiTi" w:hAnsi="KaiTi" w:eastAsia="KaiTi" w:cs="KaiTi"/>
          <w:sz w:val="17"/>
          <w:szCs w:val="17"/>
          <w:spacing w:val="-11"/>
        </w:rPr>
        <w:t>池。</w:t>
      </w:r>
    </w:p>
    <w:p>
      <w:pPr>
        <w:spacing w:line="220" w:lineRule="auto"/>
        <w:sectPr>
          <w:headerReference w:type="default" r:id="rId1"/>
          <w:pgSz w:w="7330" w:h="12480"/>
          <w:pgMar w:top="400" w:right="1099" w:bottom="400" w:left="549" w:header="0" w:footer="0" w:gutter="0"/>
        </w:sectPr>
        <w:rPr>
          <w:rFonts w:ascii="KaiTi" w:hAnsi="KaiTi" w:eastAsia="KaiTi" w:cs="KaiTi"/>
          <w:sz w:val="17"/>
          <w:szCs w:val="17"/>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ind w:firstLine="690"/>
        <w:spacing w:line="2720" w:lineRule="exact"/>
        <w:rPr/>
      </w:pPr>
      <w:r>
        <w:rPr>
          <w:position w:val="-54"/>
        </w:rPr>
        <w:drawing>
          <wp:inline distT="0" distB="0" distL="0" distR="0">
            <wp:extent cx="2241537" cy="1727210"/>
            <wp:effectExtent l="0" t="0" r="0" b="0"/>
            <wp:docPr id="406" name="IM 406"/>
            <wp:cNvGraphicFramePr/>
            <a:graphic>
              <a:graphicData uri="http://schemas.openxmlformats.org/drawingml/2006/picture">
                <pic:pic>
                  <pic:nvPicPr>
                    <pic:cNvPr id="406" name="IM 406"/>
                    <pic:cNvPicPr/>
                  </pic:nvPicPr>
                  <pic:blipFill>
                    <a:blip r:embed="rId537"/>
                    <a:stretch>
                      <a:fillRect/>
                    </a:stretch>
                  </pic:blipFill>
                  <pic:spPr>
                    <a:xfrm rot="0">
                      <a:off x="0" y="0"/>
                      <a:ext cx="2241537" cy="1727210"/>
                    </a:xfrm>
                    <a:prstGeom prst="rect">
                      <a:avLst/>
                    </a:prstGeom>
                  </pic:spPr>
                </pic:pic>
              </a:graphicData>
            </a:graphic>
          </wp:inline>
        </w:drawing>
      </w:r>
    </w:p>
    <w:p>
      <w:pPr>
        <w:spacing w:line="2720" w:lineRule="exact"/>
        <w:sectPr>
          <w:pgSz w:w="7330" w:h="12480"/>
          <w:pgMar w:top="400" w:right="1099" w:bottom="400" w:left="1099" w:header="0" w:footer="0" w:gutter="0"/>
        </w:sectPr>
        <w:rPr/>
      </w:pP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1509"/>
        <w:spacing w:before="101" w:line="775" w:lineRule="exact"/>
        <w:rPr>
          <w:rFonts w:ascii="SimSun" w:hAnsi="SimSun" w:eastAsia="SimSun" w:cs="SimSun"/>
          <w:sz w:val="31"/>
          <w:szCs w:val="31"/>
        </w:rPr>
      </w:pPr>
      <w:r>
        <w:rPr>
          <w:rFonts w:ascii="SimSun" w:hAnsi="SimSun" w:eastAsia="SimSun" w:cs="SimSun"/>
          <w:sz w:val="31"/>
          <w:szCs w:val="31"/>
          <w:b/>
          <w:bCs/>
          <w:spacing w:val="5"/>
          <w:position w:val="35"/>
        </w:rPr>
        <w:t>域外平台监管模式汇总</w:t>
      </w:r>
    </w:p>
    <w:p>
      <w:pPr>
        <w:ind w:left="97"/>
        <w:spacing w:line="220" w:lineRule="auto"/>
        <w:rPr>
          <w:rFonts w:ascii="SimHei" w:hAnsi="SimHei" w:eastAsia="SimHei" w:cs="SimHei"/>
          <w:sz w:val="19"/>
          <w:szCs w:val="19"/>
        </w:rPr>
      </w:pPr>
      <w:r>
        <w:rPr>
          <w:rFonts w:ascii="SimHei" w:hAnsi="SimHei" w:eastAsia="SimHei" w:cs="SimHei"/>
          <w:sz w:val="19"/>
          <w:szCs w:val="19"/>
          <w:b/>
          <w:bCs/>
          <w:spacing w:val="-11"/>
        </w:rPr>
        <w:t>传</w:t>
      </w:r>
      <w:r>
        <w:rPr>
          <w:rFonts w:ascii="SimHei" w:hAnsi="SimHei" w:eastAsia="SimHei" w:cs="SimHei"/>
          <w:sz w:val="19"/>
          <w:szCs w:val="19"/>
          <w:spacing w:val="-33"/>
        </w:rPr>
        <w:t xml:space="preserve"> </w:t>
      </w:r>
      <w:r>
        <w:rPr>
          <w:rFonts w:ascii="SimHei" w:hAnsi="SimHei" w:eastAsia="SimHei" w:cs="SimHei"/>
          <w:sz w:val="19"/>
          <w:szCs w:val="19"/>
          <w:b/>
          <w:bCs/>
          <w:spacing w:val="-11"/>
        </w:rPr>
        <w:t>统</w:t>
      </w:r>
      <w:r>
        <w:rPr>
          <w:rFonts w:ascii="SimHei" w:hAnsi="SimHei" w:eastAsia="SimHei" w:cs="SimHei"/>
          <w:sz w:val="19"/>
          <w:szCs w:val="19"/>
          <w:spacing w:val="-30"/>
        </w:rPr>
        <w:t xml:space="preserve"> </w:t>
      </w:r>
      <w:r>
        <w:rPr>
          <w:rFonts w:ascii="SimHei" w:hAnsi="SimHei" w:eastAsia="SimHei" w:cs="SimHei"/>
          <w:sz w:val="19"/>
          <w:szCs w:val="19"/>
          <w:b/>
          <w:bCs/>
          <w:spacing w:val="-11"/>
        </w:rPr>
        <w:t>平</w:t>
      </w:r>
      <w:r>
        <w:rPr>
          <w:rFonts w:ascii="SimHei" w:hAnsi="SimHei" w:eastAsia="SimHei" w:cs="SimHei"/>
          <w:sz w:val="19"/>
          <w:szCs w:val="19"/>
          <w:spacing w:val="-23"/>
        </w:rPr>
        <w:t xml:space="preserve"> </w:t>
      </w:r>
      <w:r>
        <w:rPr>
          <w:rFonts w:ascii="SimHei" w:hAnsi="SimHei" w:eastAsia="SimHei" w:cs="SimHei"/>
          <w:sz w:val="19"/>
          <w:szCs w:val="19"/>
          <w:b/>
          <w:bCs/>
          <w:spacing w:val="-11"/>
        </w:rPr>
        <w:t>台</w:t>
      </w:r>
      <w:r>
        <w:rPr>
          <w:rFonts w:ascii="SimHei" w:hAnsi="SimHei" w:eastAsia="SimHei" w:cs="SimHei"/>
          <w:sz w:val="19"/>
          <w:szCs w:val="19"/>
          <w:spacing w:val="-31"/>
        </w:rPr>
        <w:t xml:space="preserve"> </w:t>
      </w:r>
      <w:r>
        <w:rPr>
          <w:rFonts w:ascii="SimHei" w:hAnsi="SimHei" w:eastAsia="SimHei" w:cs="SimHei"/>
          <w:sz w:val="19"/>
          <w:szCs w:val="19"/>
          <w:b/>
          <w:bCs/>
          <w:spacing w:val="-11"/>
        </w:rPr>
        <w:t>责</w:t>
      </w:r>
      <w:r>
        <w:rPr>
          <w:rFonts w:ascii="SimHei" w:hAnsi="SimHei" w:eastAsia="SimHei" w:cs="SimHei"/>
          <w:sz w:val="19"/>
          <w:szCs w:val="19"/>
          <w:spacing w:val="-36"/>
        </w:rPr>
        <w:t xml:space="preserve"> </w:t>
      </w:r>
      <w:r>
        <w:rPr>
          <w:rFonts w:ascii="SimHei" w:hAnsi="SimHei" w:eastAsia="SimHei" w:cs="SimHei"/>
          <w:sz w:val="19"/>
          <w:szCs w:val="19"/>
          <w:b/>
          <w:bCs/>
          <w:spacing w:val="-11"/>
        </w:rPr>
        <w:t>任</w:t>
      </w:r>
      <w:r>
        <w:rPr>
          <w:rFonts w:ascii="SimHei" w:hAnsi="SimHei" w:eastAsia="SimHei" w:cs="SimHei"/>
          <w:sz w:val="19"/>
          <w:szCs w:val="19"/>
          <w:spacing w:val="-35"/>
        </w:rPr>
        <w:t xml:space="preserve"> </w:t>
      </w:r>
      <w:r>
        <w:rPr>
          <w:rFonts w:ascii="SimHei" w:hAnsi="SimHei" w:eastAsia="SimHei" w:cs="SimHei"/>
          <w:sz w:val="19"/>
          <w:szCs w:val="19"/>
          <w:b/>
          <w:bCs/>
          <w:spacing w:val="-11"/>
        </w:rPr>
        <w:t>体</w:t>
      </w:r>
      <w:r>
        <w:rPr>
          <w:rFonts w:ascii="SimHei" w:hAnsi="SimHei" w:eastAsia="SimHei" w:cs="SimHei"/>
          <w:sz w:val="19"/>
          <w:szCs w:val="19"/>
          <w:spacing w:val="-31"/>
        </w:rPr>
        <w:t xml:space="preserve"> </w:t>
      </w:r>
      <w:r>
        <w:rPr>
          <w:rFonts w:ascii="SimHei" w:hAnsi="SimHei" w:eastAsia="SimHei" w:cs="SimHei"/>
          <w:sz w:val="19"/>
          <w:szCs w:val="19"/>
          <w:b/>
          <w:bCs/>
          <w:spacing w:val="-11"/>
        </w:rPr>
        <w:t>系</w:t>
      </w:r>
    </w:p>
    <w:p>
      <w:pPr>
        <w:pStyle w:val="BodyText"/>
        <w:spacing w:line="390" w:lineRule="auto"/>
        <w:rPr/>
      </w:pPr>
      <w:r/>
    </w:p>
    <w:p>
      <w:pPr>
        <w:ind w:left="507"/>
        <w:spacing w:before="61" w:line="219" w:lineRule="auto"/>
        <w:rPr>
          <w:rFonts w:ascii="SimSun" w:hAnsi="SimSun" w:eastAsia="SimSun" w:cs="SimSun"/>
          <w:sz w:val="19"/>
          <w:szCs w:val="19"/>
        </w:rPr>
      </w:pPr>
      <w:r>
        <w:rPr>
          <w:rFonts w:ascii="SimSun" w:hAnsi="SimSun" w:eastAsia="SimSun" w:cs="SimSun"/>
          <w:sz w:val="19"/>
          <w:szCs w:val="19"/>
          <w:b/>
          <w:bCs/>
          <w:spacing w:val="4"/>
        </w:rPr>
        <w:t>美国平台法律责任</w:t>
      </w:r>
    </w:p>
    <w:p>
      <w:pPr>
        <w:ind w:firstLine="504"/>
        <w:spacing w:before="115" w:line="350" w:lineRule="auto"/>
        <w:rPr>
          <w:rFonts w:ascii="SimSun" w:hAnsi="SimSun" w:eastAsia="SimSun" w:cs="SimSun"/>
          <w:sz w:val="19"/>
          <w:szCs w:val="19"/>
        </w:rPr>
      </w:pPr>
      <w:r>
        <w:rPr>
          <w:rFonts w:ascii="SimSun" w:hAnsi="SimSun" w:eastAsia="SimSun" w:cs="SimSun"/>
          <w:sz w:val="19"/>
          <w:szCs w:val="19"/>
          <w:spacing w:val="3"/>
        </w:rPr>
        <w:t>民事责任方面，</w:t>
      </w:r>
      <w:r>
        <w:rPr>
          <w:rFonts w:ascii="SimSun" w:hAnsi="SimSun" w:eastAsia="SimSun" w:cs="SimSun"/>
          <w:sz w:val="19"/>
          <w:szCs w:val="19"/>
          <w:spacing w:val="77"/>
        </w:rPr>
        <w:t xml:space="preserve"> </w:t>
      </w:r>
      <w:r>
        <w:rPr>
          <w:rFonts w:ascii="SimSun" w:hAnsi="SimSun" w:eastAsia="SimSun" w:cs="SimSun"/>
          <w:sz w:val="19"/>
          <w:szCs w:val="19"/>
          <w:spacing w:val="3"/>
        </w:rPr>
        <w:t>一般情况下，平台基于《通信规范法》而受到一 </w:t>
      </w:r>
      <w:r>
        <w:rPr>
          <w:rFonts w:ascii="SimSun" w:hAnsi="SimSun" w:eastAsia="SimSun" w:cs="SimSun"/>
          <w:sz w:val="19"/>
          <w:szCs w:val="19"/>
          <w:spacing w:val="12"/>
        </w:rPr>
        <w:t>定程度的责任豁免和保护。在美国法中，平台责任最初被提出，可追</w:t>
      </w:r>
      <w:r>
        <w:rPr>
          <w:rFonts w:ascii="SimSun" w:hAnsi="SimSun" w:eastAsia="SimSun" w:cs="SimSun"/>
          <w:sz w:val="19"/>
          <w:szCs w:val="19"/>
          <w:spacing w:val="6"/>
        </w:rPr>
        <w:t xml:space="preserve">  </w:t>
      </w:r>
      <w:r>
        <w:rPr>
          <w:rFonts w:ascii="SimSun" w:hAnsi="SimSun" w:eastAsia="SimSun" w:cs="SimSun"/>
          <w:sz w:val="19"/>
          <w:szCs w:val="19"/>
          <w:spacing w:val="17"/>
        </w:rPr>
        <w:t>溯到1991年的</w:t>
      </w:r>
      <w:r>
        <w:rPr>
          <w:rFonts w:ascii="Times New Roman" w:hAnsi="Times New Roman" w:eastAsia="Times New Roman" w:cs="Times New Roman"/>
          <w:sz w:val="19"/>
          <w:szCs w:val="19"/>
        </w:rPr>
        <w:t>Cubby</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7"/>
        </w:rPr>
        <w:t>公司诉</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CompuServe</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平台一案。</w:t>
      </w:r>
      <w:r>
        <w:rPr>
          <w:rFonts w:ascii="Times New Roman" w:hAnsi="Times New Roman" w:eastAsia="Times New Roman" w:cs="Times New Roman"/>
          <w:sz w:val="19"/>
          <w:szCs w:val="19"/>
        </w:rPr>
        <w:t>CompuServe</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17"/>
        </w:rPr>
        <w:t>是</w:t>
      </w:r>
      <w:r>
        <w:rPr>
          <w:rFonts w:ascii="SimSun" w:hAnsi="SimSun" w:eastAsia="SimSun" w:cs="SimSun"/>
          <w:sz w:val="19"/>
          <w:szCs w:val="19"/>
        </w:rPr>
        <w:t xml:space="preserve">  </w:t>
      </w:r>
      <w:r>
        <w:rPr>
          <w:rFonts w:ascii="SimSun" w:hAnsi="SimSun" w:eastAsia="SimSun" w:cs="SimSun"/>
          <w:sz w:val="19"/>
          <w:szCs w:val="19"/>
          <w:spacing w:val="16"/>
        </w:rPr>
        <w:t>一个提供社交服务的平台，因为</w:t>
      </w:r>
      <w:r>
        <w:rPr>
          <w:rFonts w:ascii="Times New Roman" w:hAnsi="Times New Roman" w:eastAsia="Times New Roman" w:cs="Times New Roman"/>
          <w:sz w:val="19"/>
          <w:szCs w:val="19"/>
        </w:rPr>
        <w:t>CompuServe</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的用户在该平台上发布</w:t>
      </w:r>
      <w:r>
        <w:rPr>
          <w:rFonts w:ascii="SimSun" w:hAnsi="SimSun" w:eastAsia="SimSun" w:cs="SimSun"/>
          <w:sz w:val="19"/>
          <w:szCs w:val="19"/>
          <w:spacing w:val="5"/>
        </w:rPr>
        <w:t xml:space="preserve">  </w:t>
      </w:r>
      <w:r>
        <w:rPr>
          <w:rFonts w:ascii="SimSun" w:hAnsi="SimSun" w:eastAsia="SimSun" w:cs="SimSun"/>
          <w:sz w:val="19"/>
          <w:szCs w:val="19"/>
          <w:spacing w:val="19"/>
        </w:rPr>
        <w:t>了针对</w:t>
      </w:r>
      <w:r>
        <w:rPr>
          <w:rFonts w:ascii="Times New Roman" w:hAnsi="Times New Roman" w:eastAsia="Times New Roman" w:cs="Times New Roman"/>
          <w:sz w:val="19"/>
          <w:szCs w:val="19"/>
        </w:rPr>
        <w:t>Cubby</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9"/>
        </w:rPr>
        <w:t>公司的诽谤言论，而被</w:t>
      </w:r>
      <w:r>
        <w:rPr>
          <w:rFonts w:ascii="Times New Roman" w:hAnsi="Times New Roman" w:eastAsia="Times New Roman" w:cs="Times New Roman"/>
          <w:sz w:val="19"/>
          <w:szCs w:val="19"/>
        </w:rPr>
        <w:t>Cubby</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9"/>
        </w:rPr>
        <w:t>诉至纽约南区</w:t>
      </w:r>
      <w:r>
        <w:rPr>
          <w:rFonts w:ascii="SimSun" w:hAnsi="SimSun" w:eastAsia="SimSun" w:cs="SimSun"/>
          <w:sz w:val="19"/>
          <w:szCs w:val="19"/>
          <w:spacing w:val="18"/>
        </w:rPr>
        <w:t>法院。法</w:t>
      </w:r>
      <w:r>
        <w:rPr>
          <w:rFonts w:ascii="SimSun" w:hAnsi="SimSun" w:eastAsia="SimSun" w:cs="SimSun"/>
          <w:sz w:val="19"/>
          <w:szCs w:val="19"/>
        </w:rPr>
        <w:t xml:space="preserve">  </w:t>
      </w:r>
      <w:r>
        <w:rPr>
          <w:rFonts w:ascii="SimSun" w:hAnsi="SimSun" w:eastAsia="SimSun" w:cs="SimSun"/>
          <w:sz w:val="19"/>
          <w:szCs w:val="19"/>
          <w:spacing w:val="24"/>
        </w:rPr>
        <w:t>院认为，因为</w:t>
      </w:r>
      <w:r>
        <w:rPr>
          <w:rFonts w:ascii="Times New Roman" w:hAnsi="Times New Roman" w:eastAsia="Times New Roman" w:cs="Times New Roman"/>
          <w:sz w:val="19"/>
          <w:szCs w:val="19"/>
        </w:rPr>
        <w:t>CompuServe</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24"/>
        </w:rPr>
        <w:t>没有对用户言论的审查义务，而可以以 </w:t>
      </w:r>
      <w:r>
        <w:rPr>
          <w:rFonts w:ascii="SimSun" w:hAnsi="SimSun" w:eastAsia="SimSun" w:cs="SimSun"/>
          <w:sz w:val="19"/>
          <w:szCs w:val="19"/>
          <w:spacing w:val="14"/>
        </w:rPr>
        <w:t>“不知情”和“缺乏实际控制”为理由免责。而在1995年的</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Stratton</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Oakmont</w:t>
      </w:r>
      <w:r>
        <w:rPr>
          <w:rFonts w:ascii="Times New Roman" w:hAnsi="Times New Roman" w:eastAsia="Times New Roman" w:cs="Times New Roman"/>
          <w:sz w:val="19"/>
          <w:szCs w:val="19"/>
          <w:spacing w:val="46"/>
          <w:w w:val="101"/>
        </w:rPr>
        <w:t xml:space="preserve"> </w:t>
      </w:r>
      <w:r>
        <w:rPr>
          <w:rFonts w:ascii="SimSun" w:hAnsi="SimSun" w:eastAsia="SimSun" w:cs="SimSun"/>
          <w:sz w:val="19"/>
          <w:szCs w:val="19"/>
          <w:spacing w:val="14"/>
        </w:rPr>
        <w:t>公司诉</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Prodigy</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Services</w:t>
      </w:r>
      <w:r>
        <w:rPr>
          <w:rFonts w:ascii="SimSun" w:hAnsi="SimSun" w:eastAsia="SimSun" w:cs="SimSun"/>
          <w:sz w:val="19"/>
          <w:szCs w:val="19"/>
          <w:spacing w:val="14"/>
        </w:rPr>
        <w:t>公司案中，法院却做出了相反判决，</w:t>
      </w:r>
      <w:r>
        <w:rPr>
          <w:rFonts w:ascii="SimSun" w:hAnsi="SimSun" w:eastAsia="SimSun" w:cs="SimSun"/>
          <w:sz w:val="19"/>
          <w:szCs w:val="19"/>
        </w:rPr>
        <w:t xml:space="preserve"> </w:t>
      </w:r>
      <w:r>
        <w:rPr>
          <w:rFonts w:ascii="SimSun" w:hAnsi="SimSun" w:eastAsia="SimSun" w:cs="SimSun"/>
          <w:sz w:val="19"/>
          <w:szCs w:val="19"/>
          <w:spacing w:val="12"/>
        </w:rPr>
        <w:t>认为：经营电子公告板的企业性质类似于出版者，因为对公告板上的</w:t>
      </w:r>
    </w:p>
    <w:p>
      <w:pPr>
        <w:ind w:left="95"/>
        <w:spacing w:before="1" w:line="219" w:lineRule="auto"/>
        <w:rPr>
          <w:rFonts w:ascii="SimSun" w:hAnsi="SimSun" w:eastAsia="SimSun" w:cs="SimSun"/>
          <w:sz w:val="19"/>
          <w:szCs w:val="19"/>
        </w:rPr>
      </w:pPr>
      <w:r>
        <w:rPr>
          <w:rFonts w:ascii="SimSun" w:hAnsi="SimSun" w:eastAsia="SimSun" w:cs="SimSun"/>
          <w:sz w:val="19"/>
          <w:szCs w:val="19"/>
          <w:spacing w:val="7"/>
        </w:rPr>
        <w:t>内容有编辑控制权，故应当承担侵权责任。</w:t>
      </w:r>
    </w:p>
    <w:p>
      <w:pPr>
        <w:ind w:right="66" w:firstLine="504"/>
        <w:spacing w:before="131" w:line="350" w:lineRule="auto"/>
        <w:rPr>
          <w:rFonts w:ascii="SimSun" w:hAnsi="SimSun" w:eastAsia="SimSun" w:cs="SimSun"/>
          <w:sz w:val="19"/>
          <w:szCs w:val="19"/>
        </w:rPr>
      </w:pPr>
      <w:r>
        <w:rPr>
          <w:rFonts w:ascii="SimSun" w:hAnsi="SimSun" w:eastAsia="SimSun" w:cs="SimSun"/>
          <w:sz w:val="19"/>
          <w:szCs w:val="19"/>
          <w:spacing w:val="16"/>
        </w:rPr>
        <w:t>由以上两例可见，美国法中平台对一般民事责任的承担，面临</w:t>
      </w:r>
      <w:r>
        <w:rPr>
          <w:rFonts w:ascii="SimSun" w:hAnsi="SimSun" w:eastAsia="SimSun" w:cs="SimSun"/>
          <w:sz w:val="19"/>
          <w:szCs w:val="19"/>
          <w:spacing w:val="11"/>
        </w:rPr>
        <w:t xml:space="preserve"> </w:t>
      </w:r>
      <w:r>
        <w:rPr>
          <w:rFonts w:ascii="SimSun" w:hAnsi="SimSun" w:eastAsia="SimSun" w:cs="SimSun"/>
          <w:sz w:val="19"/>
          <w:szCs w:val="19"/>
          <w:spacing w:val="12"/>
        </w:rPr>
        <w:t>“言论自由”和“权利保护”两种价值的矛盾与平衡。为回应该种争 </w:t>
      </w:r>
      <w:r>
        <w:rPr>
          <w:rFonts w:ascii="SimSun" w:hAnsi="SimSun" w:eastAsia="SimSun" w:cs="SimSun"/>
          <w:sz w:val="19"/>
          <w:szCs w:val="19"/>
          <w:spacing w:val="7"/>
        </w:rPr>
        <w:t>议，1996年立法者颁行《通信规范法》,分为230</w:t>
      </w:r>
      <w:r>
        <w:rPr>
          <w:rFonts w:ascii="Times New Roman" w:hAnsi="Times New Roman" w:eastAsia="Times New Roman" w:cs="Times New Roman"/>
          <w:sz w:val="19"/>
          <w:szCs w:val="19"/>
          <w:spacing w:val="7"/>
        </w:rPr>
        <w:t>(c)(1)      </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和</w:t>
      </w:r>
      <w:r>
        <w:rPr>
          <w:rFonts w:ascii="SimSun" w:hAnsi="SimSun" w:eastAsia="SimSun" w:cs="SimSun"/>
          <w:sz w:val="19"/>
          <w:szCs w:val="19"/>
          <w:spacing w:val="-41"/>
        </w:rPr>
        <w:t xml:space="preserve"> </w:t>
      </w:r>
      <w:r>
        <w:rPr>
          <w:rFonts w:ascii="SimSun" w:hAnsi="SimSun" w:eastAsia="SimSun" w:cs="SimSun"/>
          <w:sz w:val="19"/>
          <w:szCs w:val="19"/>
          <w:spacing w:val="6"/>
        </w:rPr>
        <w:t>2</w:t>
      </w:r>
      <w:r>
        <w:rPr>
          <w:rFonts w:ascii="SimSun" w:hAnsi="SimSun" w:eastAsia="SimSun" w:cs="SimSun"/>
          <w:sz w:val="19"/>
          <w:szCs w:val="19"/>
          <w:spacing w:val="-39"/>
        </w:rPr>
        <w:t xml:space="preserve"> </w:t>
      </w:r>
      <w:r>
        <w:rPr>
          <w:rFonts w:ascii="SimSun" w:hAnsi="SimSun" w:eastAsia="SimSun" w:cs="SimSun"/>
          <w:sz w:val="19"/>
          <w:szCs w:val="19"/>
          <w:spacing w:val="6"/>
        </w:rPr>
        <w:t>3</w:t>
      </w:r>
      <w:r>
        <w:rPr>
          <w:rFonts w:ascii="SimSun" w:hAnsi="SimSun" w:eastAsia="SimSun" w:cs="SimSun"/>
          <w:sz w:val="19"/>
          <w:szCs w:val="19"/>
          <w:spacing w:val="-42"/>
        </w:rPr>
        <w:t xml:space="preserve"> </w:t>
      </w:r>
      <w:r>
        <w:rPr>
          <w:rFonts w:ascii="SimSun" w:hAnsi="SimSun" w:eastAsia="SimSun" w:cs="SimSun"/>
          <w:sz w:val="19"/>
          <w:szCs w:val="19"/>
          <w:spacing w:val="6"/>
        </w:rPr>
        <w:t>0</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6"/>
        </w:rPr>
        <w:t>(c)   </w:t>
      </w:r>
      <w:r>
        <w:rPr>
          <w:rFonts w:ascii="SimSun" w:hAnsi="SimSun" w:eastAsia="SimSun" w:cs="SimSun"/>
          <w:sz w:val="19"/>
          <w:szCs w:val="19"/>
          <w:spacing w:val="13"/>
        </w:rPr>
        <w:t>(2)两条。其中，230</w:t>
      </w:r>
      <w:r>
        <w:rPr>
          <w:rFonts w:ascii="SimSun" w:hAnsi="SimSun" w:eastAsia="SimSun" w:cs="SimSun"/>
          <w:sz w:val="19"/>
          <w:szCs w:val="19"/>
          <w:spacing w:val="-51"/>
        </w:rPr>
        <w:t xml:space="preserve"> </w:t>
      </w:r>
      <w:r>
        <w:rPr>
          <w:rFonts w:ascii="Times New Roman" w:hAnsi="Times New Roman" w:eastAsia="Times New Roman" w:cs="Times New Roman"/>
          <w:sz w:val="19"/>
          <w:szCs w:val="19"/>
          <w:spacing w:val="13"/>
        </w:rPr>
        <w:t>(c)(1)       </w:t>
      </w:r>
      <w:r>
        <w:rPr>
          <w:rFonts w:ascii="SimSun" w:hAnsi="SimSun" w:eastAsia="SimSun" w:cs="SimSun"/>
          <w:sz w:val="19"/>
          <w:szCs w:val="19"/>
          <w:spacing w:val="13"/>
        </w:rPr>
        <w:t>条为网络平台的广泛免责条款：“任</w:t>
      </w:r>
      <w:r>
        <w:rPr>
          <w:rFonts w:ascii="SimSun" w:hAnsi="SimSun" w:eastAsia="SimSun" w:cs="SimSun"/>
          <w:sz w:val="19"/>
          <w:szCs w:val="19"/>
        </w:rPr>
        <w:t xml:space="preserve"> </w:t>
      </w:r>
      <w:r>
        <w:rPr>
          <w:rFonts w:ascii="SimSun" w:hAnsi="SimSun" w:eastAsia="SimSun" w:cs="SimSun"/>
          <w:sz w:val="19"/>
          <w:szCs w:val="19"/>
          <w:spacing w:val="12"/>
        </w:rPr>
        <w:t>何交互式计算机服务的提供者或用户，不应被视为由其他信息内容提 </w:t>
      </w:r>
      <w:r>
        <w:rPr>
          <w:rFonts w:ascii="SimSun" w:hAnsi="SimSun" w:eastAsia="SimSun" w:cs="SimSun"/>
          <w:sz w:val="19"/>
          <w:szCs w:val="19"/>
          <w:spacing w:val="11"/>
        </w:rPr>
        <w:t>供者提供的任何信息的发布者或出版者。”而230</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11"/>
        </w:rPr>
        <w:t>(c)(2)       </w:t>
      </w:r>
      <w:r>
        <w:rPr>
          <w:rFonts w:ascii="SimSun" w:hAnsi="SimSun" w:eastAsia="SimSun" w:cs="SimSun"/>
          <w:sz w:val="19"/>
          <w:szCs w:val="19"/>
          <w:spacing w:val="11"/>
        </w:rPr>
        <w:t>条则豁免</w:t>
      </w:r>
      <w:r>
        <w:rPr>
          <w:rFonts w:ascii="SimSun" w:hAnsi="SimSun" w:eastAsia="SimSun" w:cs="SimSun"/>
          <w:sz w:val="19"/>
          <w:szCs w:val="19"/>
        </w:rPr>
        <w:t xml:space="preserve"> </w:t>
      </w:r>
      <w:r>
        <w:rPr>
          <w:rFonts w:ascii="SimSun" w:hAnsi="SimSun" w:eastAsia="SimSun" w:cs="SimSun"/>
          <w:sz w:val="19"/>
          <w:szCs w:val="19"/>
          <w:spacing w:val="12"/>
        </w:rPr>
        <w:t>了平台因为善意、主动地采取技术限制不良信息发布导致的限制言论 </w:t>
      </w:r>
      <w:r>
        <w:rPr>
          <w:rFonts w:ascii="SimSun" w:hAnsi="SimSun" w:eastAsia="SimSun" w:cs="SimSun"/>
          <w:sz w:val="19"/>
          <w:szCs w:val="19"/>
          <w:spacing w:val="16"/>
        </w:rPr>
        <w:t>自由的责任。即230</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16"/>
        </w:rPr>
        <w:t>(c)(1)       </w:t>
      </w:r>
      <w:r>
        <w:rPr>
          <w:rFonts w:ascii="SimSun" w:hAnsi="SimSun" w:eastAsia="SimSun" w:cs="SimSun"/>
          <w:sz w:val="19"/>
          <w:szCs w:val="19"/>
          <w:spacing w:val="16"/>
        </w:rPr>
        <w:t>条规定</w:t>
      </w:r>
      <w:r>
        <w:rPr>
          <w:rFonts w:ascii="SimSun" w:hAnsi="SimSun" w:eastAsia="SimSun" w:cs="SimSun"/>
          <w:sz w:val="19"/>
          <w:szCs w:val="19"/>
          <w:spacing w:val="15"/>
        </w:rPr>
        <w:t>，只要满足特定条件，就可被</w:t>
      </w:r>
      <w:r>
        <w:rPr>
          <w:rFonts w:ascii="SimSun" w:hAnsi="SimSun" w:eastAsia="SimSun" w:cs="SimSun"/>
          <w:sz w:val="19"/>
          <w:szCs w:val="19"/>
        </w:rPr>
        <w:t xml:space="preserve"> </w:t>
      </w:r>
      <w:r>
        <w:rPr>
          <w:rFonts w:ascii="SimSun" w:hAnsi="SimSun" w:eastAsia="SimSun" w:cs="SimSun"/>
          <w:sz w:val="19"/>
          <w:szCs w:val="19"/>
          <w:spacing w:val="13"/>
        </w:rPr>
        <w:t>排除出出版者/发布者的认定范围；而230</w:t>
      </w:r>
      <w:r>
        <w:rPr>
          <w:rFonts w:ascii="SimSun" w:hAnsi="SimSun" w:eastAsia="SimSun" w:cs="SimSun"/>
          <w:sz w:val="19"/>
          <w:szCs w:val="19"/>
          <w:spacing w:val="-40"/>
        </w:rPr>
        <w:t xml:space="preserve"> </w:t>
      </w:r>
      <w:r>
        <w:rPr>
          <w:rFonts w:ascii="Times New Roman" w:hAnsi="Times New Roman" w:eastAsia="Times New Roman" w:cs="Times New Roman"/>
          <w:sz w:val="19"/>
          <w:szCs w:val="19"/>
          <w:spacing w:val="13"/>
        </w:rPr>
        <w:t>(c)(2)       </w:t>
      </w:r>
      <w:r>
        <w:rPr>
          <w:rFonts w:ascii="SimSun" w:hAnsi="SimSun" w:eastAsia="SimSun" w:cs="SimSun"/>
          <w:sz w:val="19"/>
          <w:szCs w:val="19"/>
          <w:spacing w:val="13"/>
        </w:rPr>
        <w:t>条则反映了立法</w:t>
      </w:r>
    </w:p>
    <w:p>
      <w:pPr>
        <w:ind w:left="95"/>
        <w:spacing w:before="1" w:line="218" w:lineRule="auto"/>
        <w:rPr>
          <w:rFonts w:ascii="SimSun" w:hAnsi="SimSun" w:eastAsia="SimSun" w:cs="SimSun"/>
          <w:sz w:val="19"/>
          <w:szCs w:val="19"/>
        </w:rPr>
      </w:pPr>
      <w:r>
        <w:rPr>
          <w:rFonts w:ascii="SimSun" w:hAnsi="SimSun" w:eastAsia="SimSun" w:cs="SimSun"/>
          <w:sz w:val="19"/>
          <w:szCs w:val="19"/>
          <w:spacing w:val="16"/>
        </w:rPr>
        <w:t>者对平台审核用户发布信息的鼓励态度。这两条实际是以自由市场</w:t>
      </w:r>
    </w:p>
    <w:p>
      <w:pPr>
        <w:spacing w:line="218" w:lineRule="auto"/>
        <w:sectPr>
          <w:pgSz w:w="7330" w:h="12480"/>
          <w:pgMar w:top="400" w:right="724" w:bottom="400" w:left="445" w:header="0" w:footer="0" w:gutter="0"/>
        </w:sectPr>
        <w:rPr>
          <w:rFonts w:ascii="SimSun" w:hAnsi="SimSun" w:eastAsia="SimSun" w:cs="SimSun"/>
          <w:sz w:val="19"/>
          <w:szCs w:val="19"/>
        </w:rPr>
      </w:pPr>
    </w:p>
    <w:p>
      <w:pPr>
        <w:spacing w:line="214" w:lineRule="auto"/>
        <w:rPr>
          <w:rFonts w:ascii="SimHei" w:hAnsi="SimHei" w:eastAsia="SimHei" w:cs="SimHei"/>
          <w:sz w:val="20"/>
          <w:szCs w:val="20"/>
        </w:rPr>
      </w:pPr>
      <w:r>
        <w:drawing>
          <wp:anchor distT="0" distB="0" distL="0" distR="0" simplePos="0" relativeHeight="256352256" behindDoc="0" locked="0" layoutInCell="0" allowOverlap="1">
            <wp:simplePos x="0" y="0"/>
            <wp:positionH relativeFrom="page">
              <wp:posOffset>431802</wp:posOffset>
            </wp:positionH>
            <wp:positionV relativeFrom="page">
              <wp:posOffset>6127767</wp:posOffset>
            </wp:positionV>
            <wp:extent cx="1187469" cy="6350"/>
            <wp:effectExtent l="0" t="0" r="0" b="0"/>
            <wp:wrapNone/>
            <wp:docPr id="408" name="IM 408"/>
            <wp:cNvGraphicFramePr/>
            <a:graphic>
              <a:graphicData uri="http://schemas.openxmlformats.org/drawingml/2006/picture">
                <pic:pic>
                  <pic:nvPicPr>
                    <pic:cNvPr id="408" name="IM 408"/>
                    <pic:cNvPicPr/>
                  </pic:nvPicPr>
                  <pic:blipFill>
                    <a:blip r:embed="rId538"/>
                    <a:stretch>
                      <a:fillRect/>
                    </a:stretch>
                  </pic:blipFill>
                  <pic:spPr>
                    <a:xfrm rot="0">
                      <a:off x="0" y="0"/>
                      <a:ext cx="1187469" cy="6350"/>
                    </a:xfrm>
                    <a:prstGeom prst="rect">
                      <a:avLst/>
                    </a:prstGeom>
                  </pic:spPr>
                </pic:pic>
              </a:graphicData>
            </a:graphic>
          </wp:anchor>
        </w:drawing>
      </w:r>
      <w:r>
        <w:rPr>
          <w:rFonts w:ascii="SimSun" w:hAnsi="SimSun" w:eastAsia="SimSun" w:cs="SimSun"/>
          <w:sz w:val="12"/>
          <w:szCs w:val="12"/>
          <w:spacing w:val="-2"/>
          <w:position w:val="-3"/>
        </w:rPr>
        <w:t>448</w:t>
      </w:r>
      <w:r>
        <w:rPr>
          <w:rFonts w:ascii="SimSun" w:hAnsi="SimSun" w:eastAsia="SimSun" w:cs="SimSun"/>
          <w:sz w:val="12"/>
          <w:szCs w:val="12"/>
          <w:spacing w:val="2"/>
          <w:position w:val="-3"/>
        </w:rPr>
        <w:t xml:space="preserve">                     </w:t>
      </w:r>
      <w:r>
        <w:rPr>
          <w:rFonts w:ascii="SimSun" w:hAnsi="SimSun" w:eastAsia="SimSun" w:cs="SimSun"/>
          <w:sz w:val="12"/>
          <w:szCs w:val="12"/>
          <w:spacing w:val="1"/>
          <w:position w:val="-3"/>
        </w:rPr>
        <w:t xml:space="preserve">        </w:t>
      </w:r>
      <w:r>
        <w:rPr>
          <w:rFonts w:ascii="SimHei" w:hAnsi="SimHei" w:eastAsia="SimHei" w:cs="SimHei"/>
          <w:sz w:val="20"/>
          <w:szCs w:val="20"/>
          <w:spacing w:val="-17"/>
          <w:w w:val="86"/>
        </w:rPr>
        <w:t>平台经济——创新、治理与繁荣</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right="71"/>
        <w:spacing w:before="65" w:line="290" w:lineRule="auto"/>
        <w:jc w:val="both"/>
        <w:rPr>
          <w:rFonts w:ascii="SimSun" w:hAnsi="SimSun" w:eastAsia="SimSun" w:cs="SimSun"/>
          <w:sz w:val="22"/>
          <w:szCs w:val="22"/>
        </w:rPr>
      </w:pPr>
      <w:r>
        <w:rPr>
          <w:rFonts w:ascii="SimSun" w:hAnsi="SimSun" w:eastAsia="SimSun" w:cs="SimSun"/>
          <w:sz w:val="20"/>
          <w:szCs w:val="20"/>
          <w:spacing w:val="6"/>
        </w:rPr>
        <w:t>和弱监管的态度，鼓励互联网平台审查用户内容，但为了减轻平台</w:t>
      </w:r>
      <w:r>
        <w:rPr>
          <w:rFonts w:ascii="SimSun" w:hAnsi="SimSun" w:eastAsia="SimSun" w:cs="SimSun"/>
          <w:sz w:val="20"/>
          <w:szCs w:val="20"/>
          <w:spacing w:val="16"/>
        </w:rPr>
        <w:t xml:space="preserve"> </w:t>
      </w:r>
      <w:r>
        <w:rPr>
          <w:rFonts w:ascii="SimSun" w:hAnsi="SimSun" w:eastAsia="SimSun" w:cs="SimSun"/>
          <w:sz w:val="22"/>
          <w:szCs w:val="22"/>
          <w:spacing w:val="-13"/>
        </w:rPr>
        <w:t>负担，促进互联网新兴业态发展，免除了平台因无力</w:t>
      </w:r>
      <w:r>
        <w:rPr>
          <w:rFonts w:ascii="SimSun" w:hAnsi="SimSun" w:eastAsia="SimSun" w:cs="SimSun"/>
          <w:sz w:val="22"/>
          <w:szCs w:val="22"/>
          <w:spacing w:val="-14"/>
        </w:rPr>
        <w:t>处理大量用户</w:t>
      </w:r>
      <w:r>
        <w:rPr>
          <w:rFonts w:ascii="SimSun" w:hAnsi="SimSun" w:eastAsia="SimSun" w:cs="SimSun"/>
          <w:sz w:val="22"/>
          <w:szCs w:val="22"/>
        </w:rPr>
        <w:t xml:space="preserve"> </w:t>
      </w:r>
      <w:r>
        <w:rPr>
          <w:rFonts w:ascii="SimSun" w:hAnsi="SimSun" w:eastAsia="SimSun" w:cs="SimSun"/>
          <w:sz w:val="22"/>
          <w:szCs w:val="22"/>
          <w:spacing w:val="-14"/>
        </w:rPr>
        <w:t>内容导致的责任，也在一定程度上加入了平衡“言论自由价值”的</w:t>
      </w:r>
      <w:r>
        <w:rPr>
          <w:rFonts w:ascii="SimSun" w:hAnsi="SimSun" w:eastAsia="SimSun" w:cs="SimSun"/>
          <w:sz w:val="22"/>
          <w:szCs w:val="22"/>
          <w:spacing w:val="11"/>
        </w:rPr>
        <w:t xml:space="preserve"> </w:t>
      </w:r>
      <w:r>
        <w:rPr>
          <w:rFonts w:ascii="SimSun" w:hAnsi="SimSun" w:eastAsia="SimSun" w:cs="SimSun"/>
          <w:sz w:val="22"/>
          <w:szCs w:val="22"/>
          <w:spacing w:val="-9"/>
        </w:rPr>
        <w:t>考量。</w:t>
      </w:r>
    </w:p>
    <w:p>
      <w:pPr>
        <w:ind w:firstLine="439"/>
        <w:spacing w:before="89" w:line="321" w:lineRule="auto"/>
        <w:jc w:val="both"/>
        <w:rPr>
          <w:rFonts w:ascii="SimSun" w:hAnsi="SimSun" w:eastAsia="SimSun" w:cs="SimSun"/>
          <w:sz w:val="22"/>
          <w:szCs w:val="22"/>
        </w:rPr>
      </w:pPr>
      <w:r>
        <w:rPr>
          <w:rFonts w:ascii="SimSun" w:hAnsi="SimSun" w:eastAsia="SimSun" w:cs="SimSun"/>
          <w:sz w:val="20"/>
          <w:szCs w:val="20"/>
          <w:spacing w:val="-1"/>
        </w:rPr>
        <w:t>此后，《通信规范法》在不同场景的应用中表现出对上述规则的</w:t>
      </w:r>
      <w:r>
        <w:rPr>
          <w:rFonts w:ascii="SimSun" w:hAnsi="SimSun" w:eastAsia="SimSun" w:cs="SimSun"/>
          <w:sz w:val="20"/>
          <w:szCs w:val="20"/>
          <w:spacing w:val="18"/>
        </w:rPr>
        <w:t xml:space="preserve"> </w:t>
      </w:r>
      <w:r>
        <w:rPr>
          <w:rFonts w:ascii="SimSun" w:hAnsi="SimSun" w:eastAsia="SimSun" w:cs="SimSun"/>
          <w:sz w:val="20"/>
          <w:szCs w:val="20"/>
          <w:spacing w:val="6"/>
        </w:rPr>
        <w:t>不断细化，在适用范围上，除刑法、知识产权法及电子通信隐私法</w:t>
      </w:r>
      <w:r>
        <w:rPr>
          <w:rFonts w:ascii="SimSun" w:hAnsi="SimSun" w:eastAsia="SimSun" w:cs="SimSun"/>
          <w:sz w:val="20"/>
          <w:szCs w:val="20"/>
          <w:spacing w:val="1"/>
        </w:rPr>
        <w:t xml:space="preserve">  </w:t>
      </w:r>
      <w:r>
        <w:rPr>
          <w:rFonts w:ascii="SimSun" w:hAnsi="SimSun" w:eastAsia="SimSun" w:cs="SimSun"/>
          <w:sz w:val="20"/>
          <w:szCs w:val="20"/>
          <w:spacing w:val="5"/>
        </w:rPr>
        <w:t>外，几无所限制。在齐伦(</w:t>
      </w:r>
      <w:r>
        <w:rPr>
          <w:rFonts w:ascii="SimSun" w:hAnsi="SimSun" w:eastAsia="SimSun" w:cs="SimSun"/>
          <w:sz w:val="20"/>
          <w:szCs w:val="20"/>
        </w:rPr>
        <w:t>Zeran</w:t>
      </w:r>
      <w:r>
        <w:rPr>
          <w:rFonts w:ascii="SimSun" w:hAnsi="SimSun" w:eastAsia="SimSun" w:cs="SimSun"/>
          <w:sz w:val="20"/>
          <w:szCs w:val="20"/>
          <w:spacing w:val="5"/>
        </w:rPr>
        <w:t>)</w:t>
      </w:r>
      <w:r>
        <w:rPr>
          <w:rFonts w:ascii="SimSun" w:hAnsi="SimSun" w:eastAsia="SimSun" w:cs="SimSun"/>
          <w:sz w:val="20"/>
          <w:szCs w:val="20"/>
          <w:spacing w:val="43"/>
        </w:rPr>
        <w:t xml:space="preserve"> </w:t>
      </w:r>
      <w:r>
        <w:rPr>
          <w:rFonts w:ascii="SimSun" w:hAnsi="SimSun" w:eastAsia="SimSun" w:cs="SimSun"/>
          <w:sz w:val="20"/>
          <w:szCs w:val="20"/>
          <w:spacing w:val="5"/>
        </w:rPr>
        <w:t>诉美国在线案中，法院认为</w:t>
      </w:r>
      <w:r>
        <w:rPr>
          <w:rFonts w:ascii="SimSun" w:hAnsi="SimSun" w:eastAsia="SimSun" w:cs="SimSun"/>
          <w:sz w:val="20"/>
          <w:szCs w:val="20"/>
          <w:spacing w:val="4"/>
        </w:rPr>
        <w:t>，散</w:t>
      </w:r>
      <w:r>
        <w:rPr>
          <w:rFonts w:ascii="SimSun" w:hAnsi="SimSun" w:eastAsia="SimSun" w:cs="SimSun"/>
          <w:sz w:val="20"/>
          <w:szCs w:val="20"/>
        </w:rPr>
        <w:t xml:space="preserve">  </w:t>
      </w:r>
      <w:r>
        <w:rPr>
          <w:rFonts w:ascii="SimSun" w:hAnsi="SimSun" w:eastAsia="SimSun" w:cs="SimSun"/>
          <w:sz w:val="20"/>
          <w:szCs w:val="20"/>
          <w:spacing w:val="2"/>
        </w:rPr>
        <w:t>布者与出版者同为《通信规范法》第230条规制的对象，美国在线可</w:t>
      </w:r>
      <w:r>
        <w:rPr>
          <w:rFonts w:ascii="SimSun" w:hAnsi="SimSun" w:eastAsia="SimSun" w:cs="SimSun"/>
          <w:sz w:val="20"/>
          <w:szCs w:val="20"/>
          <w:spacing w:val="7"/>
        </w:rPr>
        <w:t xml:space="preserve">  </w:t>
      </w:r>
      <w:r>
        <w:rPr>
          <w:rFonts w:ascii="SimSun" w:hAnsi="SimSun" w:eastAsia="SimSun" w:cs="SimSun"/>
          <w:sz w:val="20"/>
          <w:szCs w:val="20"/>
          <w:spacing w:val="1"/>
        </w:rPr>
        <w:t>以因此获得充足的免责保护。在格塔丘</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Getachew</w:t>
      </w:r>
      <w:r>
        <w:rPr>
          <w:rFonts w:ascii="Times New Roman" w:hAnsi="Times New Roman" w:eastAsia="Times New Roman" w:cs="Times New Roman"/>
          <w:sz w:val="20"/>
          <w:szCs w:val="20"/>
          <w:spacing w:val="1"/>
        </w:rPr>
        <w:t>)    </w:t>
      </w:r>
      <w:r>
        <w:rPr>
          <w:rFonts w:ascii="SimSun" w:hAnsi="SimSun" w:eastAsia="SimSun" w:cs="SimSun"/>
          <w:sz w:val="20"/>
          <w:szCs w:val="20"/>
          <w:spacing w:val="1"/>
        </w:rPr>
        <w:t>诉谷歌案中，法</w:t>
      </w:r>
      <w:r>
        <w:rPr>
          <w:rFonts w:ascii="SimSun" w:hAnsi="SimSun" w:eastAsia="SimSun" w:cs="SimSun"/>
          <w:sz w:val="20"/>
          <w:szCs w:val="20"/>
          <w:spacing w:val="4"/>
        </w:rPr>
        <w:t xml:space="preserve">  </w:t>
      </w:r>
      <w:r>
        <w:rPr>
          <w:rFonts w:ascii="SimSun" w:hAnsi="SimSun" w:eastAsia="SimSun" w:cs="SimSun"/>
          <w:sz w:val="20"/>
          <w:szCs w:val="20"/>
          <w:spacing w:val="-1"/>
        </w:rPr>
        <w:t>院认为，搜索引擎中出现被侵权人的负面信息时，搜索引擎属于《通</w:t>
      </w:r>
      <w:r>
        <w:rPr>
          <w:rFonts w:ascii="SimSun" w:hAnsi="SimSun" w:eastAsia="SimSun" w:cs="SimSun"/>
          <w:sz w:val="20"/>
          <w:szCs w:val="20"/>
          <w:spacing w:val="3"/>
        </w:rPr>
        <w:t xml:space="preserve">  </w:t>
      </w:r>
      <w:r>
        <w:rPr>
          <w:rFonts w:ascii="SimSun" w:hAnsi="SimSun" w:eastAsia="SimSun" w:cs="SimSun"/>
          <w:sz w:val="20"/>
          <w:szCs w:val="20"/>
          <w:spacing w:val="2"/>
        </w:rPr>
        <w:t>信规范法》第230条规定的免责范围。在多伊</w:t>
      </w:r>
      <w:r>
        <w:rPr>
          <w:rFonts w:ascii="SimSun" w:hAnsi="SimSun" w:eastAsia="SimSun" w:cs="SimSun"/>
          <w:sz w:val="20"/>
          <w:szCs w:val="20"/>
          <w:spacing w:val="-48"/>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Doe</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2"/>
        </w:rPr>
        <w:t>诉聚友网案</w:t>
      </w:r>
      <w:r>
        <w:rPr>
          <w:rFonts w:ascii="SimSun" w:hAnsi="SimSun" w:eastAsia="SimSun" w:cs="SimSun"/>
          <w:sz w:val="20"/>
          <w:szCs w:val="20"/>
          <w:spacing w:val="1"/>
        </w:rPr>
        <w:t>中，</w:t>
      </w:r>
      <w:r>
        <w:rPr>
          <w:rFonts w:ascii="SimSun" w:hAnsi="SimSun" w:eastAsia="SimSun" w:cs="SimSun"/>
          <w:sz w:val="20"/>
          <w:szCs w:val="20"/>
        </w:rPr>
        <w:t xml:space="preserve"> </w:t>
      </w:r>
      <w:r>
        <w:rPr>
          <w:rFonts w:ascii="SimSun" w:hAnsi="SimSun" w:eastAsia="SimSun" w:cs="SimSun"/>
          <w:sz w:val="20"/>
          <w:szCs w:val="20"/>
          <w:spacing w:val="6"/>
        </w:rPr>
        <w:t>法院认为社交平台未严格审核用户提交的个人信息，并不能被认为</w:t>
      </w:r>
      <w:r>
        <w:rPr>
          <w:rFonts w:ascii="SimSun" w:hAnsi="SimSun" w:eastAsia="SimSun" w:cs="SimSun"/>
          <w:sz w:val="20"/>
          <w:szCs w:val="20"/>
          <w:spacing w:val="2"/>
        </w:rPr>
        <w:t xml:space="preserve">  </w:t>
      </w:r>
      <w:r>
        <w:rPr>
          <w:rFonts w:ascii="SimSun" w:hAnsi="SimSun" w:eastAsia="SimSun" w:cs="SimSun"/>
          <w:sz w:val="20"/>
          <w:szCs w:val="20"/>
        </w:rPr>
        <w:t>是信息内容的提供者。在埃文斯</w:t>
      </w:r>
      <w:r>
        <w:rPr>
          <w:rFonts w:ascii="SimSun" w:hAnsi="SimSun" w:eastAsia="SimSun" w:cs="SimSun"/>
          <w:sz w:val="20"/>
          <w:szCs w:val="20"/>
          <w:spacing w:val="-36"/>
        </w:rPr>
        <w:t xml:space="preserve"> </w:t>
      </w:r>
      <w:r>
        <w:rPr>
          <w:rFonts w:ascii="Times New Roman" w:hAnsi="Times New Roman" w:eastAsia="Times New Roman" w:cs="Times New Roman"/>
          <w:sz w:val="20"/>
          <w:szCs w:val="20"/>
        </w:rPr>
        <w:t>(Evans)</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rPr>
        <w:t>诉</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Hewlett-Packanl</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rPr>
        <w:t>公司案  </w:t>
      </w:r>
      <w:r>
        <w:rPr>
          <w:rFonts w:ascii="SimSun" w:hAnsi="SimSun" w:eastAsia="SimSun" w:cs="SimSun"/>
          <w:sz w:val="20"/>
          <w:szCs w:val="20"/>
          <w:spacing w:val="-1"/>
        </w:rPr>
        <w:t>中，法院认为收取佣金的行为不能被视为利润分享而排除《通信规范</w:t>
      </w:r>
      <w:r>
        <w:rPr>
          <w:rFonts w:ascii="SimSun" w:hAnsi="SimSun" w:eastAsia="SimSun" w:cs="SimSun"/>
          <w:sz w:val="20"/>
          <w:szCs w:val="20"/>
          <w:spacing w:val="1"/>
        </w:rPr>
        <w:t xml:space="preserve">  </w:t>
      </w:r>
      <w:r>
        <w:rPr>
          <w:rFonts w:ascii="SimSun" w:hAnsi="SimSun" w:eastAsia="SimSun" w:cs="SimSun"/>
          <w:sz w:val="22"/>
          <w:szCs w:val="22"/>
          <w:spacing w:val="-4"/>
        </w:rPr>
        <w:t>法》第</w:t>
      </w:r>
      <w:r>
        <w:rPr>
          <w:rFonts w:ascii="Times New Roman" w:hAnsi="Times New Roman" w:eastAsia="Times New Roman" w:cs="Times New Roman"/>
          <w:sz w:val="22"/>
          <w:szCs w:val="22"/>
          <w:spacing w:val="-4"/>
        </w:rPr>
        <w:t>230</w:t>
      </w:r>
      <w:r>
        <w:rPr>
          <w:rFonts w:ascii="SimSun" w:hAnsi="SimSun" w:eastAsia="SimSun" w:cs="SimSun"/>
          <w:sz w:val="22"/>
          <w:szCs w:val="22"/>
          <w:spacing w:val="-4"/>
        </w:rPr>
        <w:t>条的适用。</w:t>
      </w:r>
    </w:p>
    <w:p>
      <w:pPr>
        <w:ind w:right="50" w:firstLine="439"/>
        <w:spacing w:before="96" w:line="334" w:lineRule="auto"/>
        <w:jc w:val="both"/>
        <w:rPr>
          <w:rFonts w:ascii="SimSun" w:hAnsi="SimSun" w:eastAsia="SimSun" w:cs="SimSun"/>
          <w:sz w:val="20"/>
          <w:szCs w:val="20"/>
        </w:rPr>
      </w:pPr>
      <w:r>
        <w:rPr>
          <w:rFonts w:ascii="SimSun" w:hAnsi="SimSun" w:eastAsia="SimSun" w:cs="SimSun"/>
          <w:sz w:val="20"/>
          <w:szCs w:val="20"/>
          <w:spacing w:val="6"/>
        </w:rPr>
        <w:t>但同时，由于免责条款的存在，平台往往缺乏足够的动力去控</w:t>
      </w:r>
      <w:r>
        <w:rPr>
          <w:rFonts w:ascii="SimSun" w:hAnsi="SimSun" w:eastAsia="SimSun" w:cs="SimSun"/>
          <w:sz w:val="20"/>
          <w:szCs w:val="20"/>
          <w:spacing w:val="15"/>
        </w:rPr>
        <w:t xml:space="preserve"> </w:t>
      </w:r>
      <w:r>
        <w:rPr>
          <w:rFonts w:ascii="SimSun" w:hAnsi="SimSun" w:eastAsia="SimSun" w:cs="SimSun"/>
          <w:sz w:val="20"/>
          <w:szCs w:val="20"/>
        </w:rPr>
        <w:t>制不良信息发布和传播。在近年的案件中，法</w:t>
      </w:r>
      <w:r>
        <w:rPr>
          <w:rFonts w:ascii="SimSun" w:hAnsi="SimSun" w:eastAsia="SimSun" w:cs="SimSun"/>
          <w:sz w:val="20"/>
          <w:szCs w:val="20"/>
          <w:spacing w:val="-1"/>
        </w:rPr>
        <w:t>院对《通信规范法》第</w:t>
      </w:r>
      <w:r>
        <w:rPr>
          <w:rFonts w:ascii="SimSun" w:hAnsi="SimSun" w:eastAsia="SimSun" w:cs="SimSun"/>
          <w:sz w:val="20"/>
          <w:szCs w:val="20"/>
        </w:rPr>
        <w:t xml:space="preserve"> </w:t>
      </w:r>
      <w:r>
        <w:rPr>
          <w:rFonts w:ascii="SimSun" w:hAnsi="SimSun" w:eastAsia="SimSun" w:cs="SimSun"/>
          <w:sz w:val="20"/>
          <w:szCs w:val="20"/>
          <w:spacing w:val="2"/>
        </w:rPr>
        <w:t>230条也趋向保守，并发展出“实质性促进”原则。①在公平租房委</w:t>
      </w:r>
      <w:r>
        <w:rPr>
          <w:rFonts w:ascii="SimSun" w:hAnsi="SimSun" w:eastAsia="SimSun" w:cs="SimSun"/>
          <w:sz w:val="20"/>
          <w:szCs w:val="20"/>
          <w:spacing w:val="15"/>
        </w:rPr>
        <w:t xml:space="preserve"> </w:t>
      </w:r>
      <w:r>
        <w:rPr>
          <w:rFonts w:ascii="SimSun" w:hAnsi="SimSun" w:eastAsia="SimSun" w:cs="SimSun"/>
          <w:sz w:val="20"/>
          <w:szCs w:val="20"/>
          <w:spacing w:val="6"/>
        </w:rPr>
        <w:t>员会诉</w:t>
      </w:r>
      <w:r>
        <w:rPr>
          <w:rFonts w:ascii="Times New Roman" w:hAnsi="Times New Roman" w:eastAsia="Times New Roman" w:cs="Times New Roman"/>
          <w:sz w:val="20"/>
          <w:szCs w:val="20"/>
        </w:rPr>
        <w:t>Roommates</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6"/>
        </w:rPr>
        <w:t>网站案中，法院认为，因为用户提交到平台的信</w:t>
      </w:r>
      <w:r>
        <w:rPr>
          <w:rFonts w:ascii="SimSun" w:hAnsi="SimSun" w:eastAsia="SimSun" w:cs="SimSun"/>
          <w:sz w:val="20"/>
          <w:szCs w:val="20"/>
        </w:rPr>
        <w:t xml:space="preserve"> </w:t>
      </w:r>
      <w:r>
        <w:rPr>
          <w:rFonts w:ascii="SimSun" w:hAnsi="SimSun" w:eastAsia="SimSun" w:cs="SimSun"/>
          <w:sz w:val="20"/>
          <w:szCs w:val="20"/>
          <w:spacing w:val="10"/>
        </w:rPr>
        <w:t>息是基于网站要求必须提供的(即做出发布决定),并因此对信息传</w:t>
      </w:r>
      <w:r>
        <w:rPr>
          <w:rFonts w:ascii="SimSun" w:hAnsi="SimSun" w:eastAsia="SimSun" w:cs="SimSun"/>
          <w:sz w:val="20"/>
          <w:szCs w:val="20"/>
          <w:spacing w:val="18"/>
        </w:rPr>
        <w:t xml:space="preserve"> </w:t>
      </w:r>
      <w:r>
        <w:rPr>
          <w:rFonts w:ascii="SimSun" w:hAnsi="SimSun" w:eastAsia="SimSun" w:cs="SimSun"/>
          <w:sz w:val="20"/>
          <w:szCs w:val="20"/>
          <w:spacing w:val="7"/>
        </w:rPr>
        <w:t>播起到了“实质性促进”的作用，那么该平台不得受到《通</w:t>
      </w:r>
      <w:r>
        <w:rPr>
          <w:rFonts w:ascii="SimSun" w:hAnsi="SimSun" w:eastAsia="SimSun" w:cs="SimSun"/>
          <w:sz w:val="20"/>
          <w:szCs w:val="20"/>
          <w:spacing w:val="6"/>
        </w:rPr>
        <w:t>信规范</w:t>
      </w:r>
    </w:p>
    <w:p>
      <w:pPr>
        <w:spacing w:before="1" w:line="219" w:lineRule="auto"/>
        <w:rPr>
          <w:rFonts w:ascii="SimSun" w:hAnsi="SimSun" w:eastAsia="SimSun" w:cs="SimSun"/>
          <w:sz w:val="20"/>
          <w:szCs w:val="20"/>
        </w:rPr>
      </w:pPr>
      <w:r>
        <w:rPr>
          <w:rFonts w:ascii="SimSun" w:hAnsi="SimSun" w:eastAsia="SimSun" w:cs="SimSun"/>
          <w:sz w:val="20"/>
          <w:szCs w:val="20"/>
          <w:spacing w:val="11"/>
        </w:rPr>
        <w:t>法》第230条的保护。</w:t>
      </w:r>
    </w:p>
    <w:p>
      <w:pPr>
        <w:pStyle w:val="BodyText"/>
        <w:spacing w:line="415" w:lineRule="auto"/>
        <w:rPr/>
      </w:pPr>
      <w:r/>
    </w:p>
    <w:p>
      <w:pPr>
        <w:ind w:left="319" w:right="35" w:hanging="319"/>
        <w:spacing w:before="65" w:line="248" w:lineRule="auto"/>
        <w:rPr>
          <w:rFonts w:ascii="Times New Roman" w:hAnsi="Times New Roman" w:eastAsia="Times New Roman" w:cs="Times New Roman"/>
          <w:sz w:val="20"/>
          <w:szCs w:val="20"/>
        </w:rPr>
      </w:pPr>
      <w:r>
        <w:rPr>
          <w:rFonts w:ascii="SimSun" w:hAnsi="SimSun" w:eastAsia="SimSun" w:cs="SimSun"/>
          <w:sz w:val="20"/>
          <w:szCs w:val="20"/>
          <w:spacing w:val="-21"/>
        </w:rPr>
        <w:t>①</w:t>
      </w:r>
      <w:r>
        <w:rPr>
          <w:rFonts w:ascii="SimSun" w:hAnsi="SimSun" w:eastAsia="SimSun" w:cs="SimSun"/>
          <w:sz w:val="20"/>
          <w:szCs w:val="20"/>
          <w:spacing w:val="34"/>
        </w:rPr>
        <w:t xml:space="preserve"> </w:t>
      </w:r>
      <w:r>
        <w:rPr>
          <w:rFonts w:ascii="KaiTi" w:hAnsi="KaiTi" w:eastAsia="KaiTi" w:cs="KaiTi"/>
          <w:sz w:val="20"/>
          <w:szCs w:val="20"/>
          <w:spacing w:val="-21"/>
        </w:rPr>
        <w:t>根据实证研究，2001—2002年间的10案中，美国法院支持了其中8案的责任</w:t>
      </w:r>
      <w:r>
        <w:rPr>
          <w:rFonts w:ascii="KaiTi" w:hAnsi="KaiTi" w:eastAsia="KaiTi" w:cs="KaiTi"/>
          <w:sz w:val="20"/>
          <w:szCs w:val="20"/>
        </w:rPr>
        <w:t xml:space="preserve"> </w:t>
      </w:r>
      <w:r>
        <w:rPr>
          <w:rFonts w:ascii="KaiTi" w:hAnsi="KaiTi" w:eastAsia="KaiTi" w:cs="KaiTi"/>
          <w:sz w:val="20"/>
          <w:szCs w:val="20"/>
          <w:spacing w:val="-21"/>
        </w:rPr>
        <w:t>豁免，剩余2案以知识产权为理由驳回。而在2015—2016年间的27案中，仅</w:t>
      </w:r>
      <w:r>
        <w:rPr>
          <w:rFonts w:ascii="KaiTi" w:hAnsi="KaiTi" w:eastAsia="KaiTi" w:cs="KaiTi"/>
          <w:sz w:val="20"/>
          <w:szCs w:val="20"/>
          <w:spacing w:val="9"/>
        </w:rPr>
        <w:t xml:space="preserve"> </w:t>
      </w:r>
      <w:r>
        <w:rPr>
          <w:rFonts w:ascii="KaiTi" w:hAnsi="KaiTi" w:eastAsia="KaiTi" w:cs="KaiTi"/>
          <w:sz w:val="20"/>
          <w:szCs w:val="20"/>
          <w:spacing w:val="-18"/>
          <w:w w:val="96"/>
        </w:rPr>
        <w:t>有14案获得完全豁免，主要驳回理由是实质性促进。</w:t>
      </w:r>
      <w:r>
        <w:rPr>
          <w:rFonts w:ascii="SimSun" w:hAnsi="SimSun" w:eastAsia="SimSun" w:cs="SimSun"/>
          <w:sz w:val="20"/>
          <w:szCs w:val="20"/>
          <w:spacing w:val="-18"/>
          <w:w w:val="96"/>
        </w:rPr>
        <w:t>(Jeff</w:t>
      </w:r>
      <w:r>
        <w:rPr>
          <w:rFonts w:ascii="SimSun" w:hAnsi="SimSun" w:eastAsia="SimSun" w:cs="SimSun"/>
          <w:sz w:val="20"/>
          <w:szCs w:val="20"/>
          <w:spacing w:val="-27"/>
        </w:rPr>
        <w:t xml:space="preserve"> </w:t>
      </w:r>
      <w:r>
        <w:rPr>
          <w:rFonts w:ascii="SimSun" w:hAnsi="SimSun" w:eastAsia="SimSun" w:cs="SimSun"/>
          <w:sz w:val="20"/>
          <w:szCs w:val="20"/>
          <w:spacing w:val="-18"/>
          <w:w w:val="96"/>
        </w:rPr>
        <w:t>Kosseff,“Twenty</w:t>
      </w:r>
      <w:r>
        <w:rPr>
          <w:rFonts w:ascii="SimSun" w:hAnsi="SimSun" w:eastAsia="SimSun" w:cs="SimSun"/>
          <w:sz w:val="20"/>
          <w:szCs w:val="20"/>
        </w:rPr>
        <w:t xml:space="preserve"> </w:t>
      </w:r>
      <w:r>
        <w:rPr>
          <w:rFonts w:ascii="Times New Roman" w:hAnsi="Times New Roman" w:eastAsia="Times New Roman" w:cs="Times New Roman"/>
          <w:sz w:val="20"/>
          <w:szCs w:val="20"/>
          <w:spacing w:val="-9"/>
        </w:rPr>
        <w:t>Years of</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9"/>
        </w:rPr>
        <w:t>Intermediary Immunity:The U</w:t>
      </w:r>
      <w:r>
        <w:rPr>
          <w:rFonts w:ascii="Times New Roman" w:hAnsi="Times New Roman" w:eastAsia="Times New Roman" w:cs="Times New Roman"/>
          <w:sz w:val="20"/>
          <w:szCs w:val="20"/>
          <w:spacing w:val="-10"/>
        </w:rPr>
        <w:t>S Experience",Social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0"/>
        </w:rPr>
        <w:t>Science Electronic </w:t>
      </w:r>
      <w:r>
        <w:rPr>
          <w:rFonts w:ascii="Times New Roman" w:hAnsi="Times New Roman" w:eastAsia="Times New Roman" w:cs="Times New Roman"/>
          <w:sz w:val="20"/>
          <w:szCs w:val="20"/>
          <w:spacing w:val="-10"/>
        </w:rPr>
        <w:t>Publishing,2017,14(1):5-36.)</w:t>
      </w:r>
    </w:p>
    <w:p>
      <w:pPr>
        <w:spacing w:line="248" w:lineRule="auto"/>
        <w:sectPr>
          <w:pgSz w:w="7330" w:h="12480"/>
          <w:pgMar w:top="266" w:right="589" w:bottom="400" w:left="670" w:header="0" w:footer="0" w:gutter="0"/>
        </w:sectPr>
        <w:rPr>
          <w:rFonts w:ascii="Times New Roman" w:hAnsi="Times New Roman" w:eastAsia="Times New Roman" w:cs="Times New Roman"/>
          <w:sz w:val="20"/>
          <w:szCs w:val="20"/>
        </w:rPr>
      </w:pPr>
    </w:p>
    <w:p>
      <w:pPr>
        <w:ind w:left="1512"/>
        <w:spacing w:before="194" w:line="222" w:lineRule="auto"/>
        <w:rPr>
          <w:rFonts w:ascii="SimSun" w:hAnsi="SimSun" w:eastAsia="SimSun" w:cs="SimSun"/>
          <w:sz w:val="11"/>
          <w:szCs w:val="11"/>
        </w:rPr>
      </w:pPr>
      <w:r>
        <w:rPr>
          <w:rFonts w:ascii="SimHei" w:hAnsi="SimHei" w:eastAsia="SimHei" w:cs="SimHei"/>
          <w:sz w:val="20"/>
          <w:szCs w:val="20"/>
          <w:b/>
          <w:bCs/>
          <w:spacing w:val="-20"/>
          <w:w w:val="86"/>
        </w:rPr>
        <w:t>第十三章</w:t>
      </w:r>
      <w:r>
        <w:rPr>
          <w:rFonts w:ascii="SimHei" w:hAnsi="SimHei" w:eastAsia="SimHei" w:cs="SimHei"/>
          <w:sz w:val="20"/>
          <w:szCs w:val="20"/>
          <w:spacing w:val="-20"/>
          <w:w w:val="86"/>
        </w:rPr>
        <w:t xml:space="preserve">  </w:t>
      </w:r>
      <w:r>
        <w:rPr>
          <w:rFonts w:ascii="SimHei" w:hAnsi="SimHei" w:eastAsia="SimHei" w:cs="SimHei"/>
          <w:sz w:val="20"/>
          <w:szCs w:val="20"/>
          <w:b/>
          <w:bCs/>
          <w:spacing w:val="-20"/>
          <w:w w:val="86"/>
        </w:rPr>
        <w:t>回应型监管和未来数字经济法的框架</w:t>
      </w:r>
      <w:r>
        <w:rPr>
          <w:rFonts w:ascii="SimHei" w:hAnsi="SimHei" w:eastAsia="SimHei" w:cs="SimHei"/>
          <w:sz w:val="20"/>
          <w:szCs w:val="20"/>
          <w:spacing w:val="3"/>
        </w:rPr>
        <w:t xml:space="preserve">           </w:t>
      </w:r>
      <w:r>
        <w:rPr>
          <w:rFonts w:ascii="SimSun" w:hAnsi="SimSun" w:eastAsia="SimSun" w:cs="SimSun"/>
          <w:sz w:val="11"/>
          <w:szCs w:val="11"/>
          <w:spacing w:val="5"/>
          <w:position w:val="-2"/>
        </w:rPr>
        <w:t>449</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right="24" w:firstLine="520"/>
        <w:spacing w:before="65" w:line="295" w:lineRule="auto"/>
        <w:jc w:val="both"/>
        <w:rPr>
          <w:rFonts w:ascii="SimSun" w:hAnsi="SimSun" w:eastAsia="SimSun" w:cs="SimSun"/>
          <w:sz w:val="20"/>
          <w:szCs w:val="20"/>
        </w:rPr>
      </w:pPr>
      <w:r>
        <w:rPr>
          <w:rFonts w:ascii="SimSun" w:hAnsi="SimSun" w:eastAsia="SimSun" w:cs="SimSun"/>
          <w:sz w:val="20"/>
          <w:szCs w:val="20"/>
          <w:spacing w:val="7"/>
        </w:rPr>
        <w:t>其次，平台责任在知识产权保护领域也有特别规则。由于知识</w:t>
      </w:r>
      <w:r>
        <w:rPr>
          <w:rFonts w:ascii="SimSun" w:hAnsi="SimSun" w:eastAsia="SimSun" w:cs="SimSun"/>
          <w:sz w:val="20"/>
          <w:szCs w:val="20"/>
          <w:spacing w:val="1"/>
        </w:rPr>
        <w:t xml:space="preserve"> </w:t>
      </w:r>
      <w:r>
        <w:rPr>
          <w:rFonts w:ascii="SimSun" w:hAnsi="SimSun" w:eastAsia="SimSun" w:cs="SimSun"/>
          <w:sz w:val="20"/>
          <w:szCs w:val="20"/>
          <w:spacing w:val="4"/>
        </w:rPr>
        <w:t>产权与普通内容发布的差异性，平台对知识产权保护的责任被排除出</w:t>
      </w:r>
      <w:r>
        <w:rPr>
          <w:rFonts w:ascii="SimSun" w:hAnsi="SimSun" w:eastAsia="SimSun" w:cs="SimSun"/>
          <w:sz w:val="20"/>
          <w:szCs w:val="20"/>
          <w:spacing w:val="3"/>
        </w:rPr>
        <w:t xml:space="preserve"> </w:t>
      </w:r>
      <w:r>
        <w:rPr>
          <w:rFonts w:ascii="SimSun" w:hAnsi="SimSun" w:eastAsia="SimSun" w:cs="SimSun"/>
          <w:sz w:val="20"/>
          <w:szCs w:val="20"/>
          <w:spacing w:val="4"/>
        </w:rPr>
        <w:t>《通信规范法》第230条的豁免范围，因此需要特別讨论。</w:t>
      </w:r>
    </w:p>
    <w:p>
      <w:pPr>
        <w:ind w:left="100" w:right="16" w:firstLine="420"/>
        <w:spacing w:before="119" w:line="318" w:lineRule="auto"/>
        <w:jc w:val="both"/>
        <w:rPr>
          <w:rFonts w:ascii="SimSun" w:hAnsi="SimSun" w:eastAsia="SimSun" w:cs="SimSun"/>
          <w:sz w:val="20"/>
          <w:szCs w:val="20"/>
        </w:rPr>
      </w:pPr>
      <w:r>
        <w:rPr>
          <w:rFonts w:ascii="SimSun" w:hAnsi="SimSun" w:eastAsia="SimSun" w:cs="SimSun"/>
          <w:sz w:val="20"/>
          <w:szCs w:val="20"/>
          <w:spacing w:val="7"/>
        </w:rPr>
        <w:t>美国的网络著作权保护制度建立在“避风港”原则之上。1998 </w:t>
      </w:r>
      <w:r>
        <w:rPr>
          <w:rFonts w:ascii="SimSun" w:hAnsi="SimSun" w:eastAsia="SimSun" w:cs="SimSun"/>
          <w:sz w:val="20"/>
          <w:szCs w:val="20"/>
          <w:spacing w:val="3"/>
        </w:rPr>
        <w:t>年，《数字千年版权法》由克林顿总统签署并正式生效，其中第5</w:t>
      </w:r>
      <w:r>
        <w:rPr>
          <w:rFonts w:ascii="SimSun" w:hAnsi="SimSun" w:eastAsia="SimSun" w:cs="SimSun"/>
          <w:sz w:val="20"/>
          <w:szCs w:val="20"/>
          <w:spacing w:val="2"/>
        </w:rPr>
        <w:t>12</w:t>
      </w:r>
      <w:r>
        <w:rPr>
          <w:rFonts w:ascii="SimSun" w:hAnsi="SimSun" w:eastAsia="SimSun" w:cs="SimSun"/>
          <w:sz w:val="20"/>
          <w:szCs w:val="20"/>
        </w:rPr>
        <w:t xml:space="preserve"> </w:t>
      </w:r>
      <w:r>
        <w:rPr>
          <w:rFonts w:ascii="SimSun" w:hAnsi="SimSun" w:eastAsia="SimSun" w:cs="SimSun"/>
          <w:sz w:val="20"/>
          <w:szCs w:val="20"/>
          <w:spacing w:val="6"/>
        </w:rPr>
        <w:t>条规定，在满足特定条件的情况下，网络服务提供商可以进入“避</w:t>
      </w:r>
      <w:r>
        <w:rPr>
          <w:rFonts w:ascii="SimSun" w:hAnsi="SimSun" w:eastAsia="SimSun" w:cs="SimSun"/>
          <w:sz w:val="20"/>
          <w:szCs w:val="20"/>
          <w:spacing w:val="12"/>
        </w:rPr>
        <w:t xml:space="preserve"> </w:t>
      </w:r>
      <w:r>
        <w:rPr>
          <w:rFonts w:ascii="SimSun" w:hAnsi="SimSun" w:eastAsia="SimSun" w:cs="SimSun"/>
          <w:sz w:val="20"/>
          <w:szCs w:val="20"/>
          <w:spacing w:val="3"/>
        </w:rPr>
        <w:t>风港”,从而免除对著作权人的侵权责任。简而言之，“避风港”原</w:t>
      </w:r>
      <w:r>
        <w:rPr>
          <w:rFonts w:ascii="SimSun" w:hAnsi="SimSun" w:eastAsia="SimSun" w:cs="SimSun"/>
          <w:sz w:val="20"/>
          <w:szCs w:val="20"/>
          <w:spacing w:val="5"/>
        </w:rPr>
        <w:t xml:space="preserve"> </w:t>
      </w:r>
      <w:r>
        <w:rPr>
          <w:rFonts w:ascii="SimSun" w:hAnsi="SimSun" w:eastAsia="SimSun" w:cs="SimSun"/>
          <w:sz w:val="20"/>
          <w:szCs w:val="20"/>
          <w:spacing w:val="14"/>
        </w:rPr>
        <w:t>则提供一种著作权人和平台之间的侵权合作机制，在“通知一必</w:t>
      </w:r>
      <w:r>
        <w:rPr>
          <w:rFonts w:ascii="SimSun" w:hAnsi="SimSun" w:eastAsia="SimSun" w:cs="SimSun"/>
          <w:sz w:val="20"/>
          <w:szCs w:val="20"/>
          <w:spacing w:val="3"/>
        </w:rPr>
        <w:t xml:space="preserve"> </w:t>
      </w:r>
      <w:r>
        <w:rPr>
          <w:rFonts w:ascii="SimSun" w:hAnsi="SimSun" w:eastAsia="SimSun" w:cs="SimSun"/>
          <w:sz w:val="20"/>
          <w:szCs w:val="20"/>
          <w:spacing w:val="10"/>
        </w:rPr>
        <w:t>要措施—反通知—恢复/诉讼”的流程中，需要由著作权人发现侵</w:t>
      </w:r>
      <w:r>
        <w:rPr>
          <w:rFonts w:ascii="SimSun" w:hAnsi="SimSun" w:eastAsia="SimSun" w:cs="SimSun"/>
          <w:sz w:val="20"/>
          <w:szCs w:val="20"/>
        </w:rPr>
        <w:t xml:space="preserve"> </w:t>
      </w:r>
      <w:r>
        <w:rPr>
          <w:rFonts w:ascii="SimSun" w:hAnsi="SimSun" w:eastAsia="SimSun" w:cs="SimSun"/>
          <w:sz w:val="20"/>
          <w:szCs w:val="20"/>
          <w:spacing w:val="14"/>
        </w:rPr>
        <w:t>权事实并通知平台，再由平台而非著作权人直接、及时采</w:t>
      </w:r>
      <w:r>
        <w:rPr>
          <w:rFonts w:ascii="SimSun" w:hAnsi="SimSun" w:eastAsia="SimSun" w:cs="SimSun"/>
          <w:sz w:val="20"/>
          <w:szCs w:val="20"/>
          <w:spacing w:val="13"/>
        </w:rPr>
        <w:t>取必要</w:t>
      </w:r>
      <w:r>
        <w:rPr>
          <w:rFonts w:ascii="SimSun" w:hAnsi="SimSun" w:eastAsia="SimSun" w:cs="SimSun"/>
          <w:sz w:val="20"/>
          <w:szCs w:val="20"/>
        </w:rPr>
        <w:t xml:space="preserve"> </w:t>
      </w:r>
      <w:r>
        <w:rPr>
          <w:rFonts w:ascii="SimSun" w:hAnsi="SimSun" w:eastAsia="SimSun" w:cs="SimSun"/>
          <w:sz w:val="20"/>
          <w:szCs w:val="20"/>
          <w:spacing w:val="-14"/>
        </w:rPr>
        <w:t>措施。①</w:t>
      </w:r>
    </w:p>
    <w:p>
      <w:pPr>
        <w:ind w:left="99" w:right="37" w:firstLine="420"/>
        <w:spacing w:before="129" w:line="332" w:lineRule="auto"/>
        <w:jc w:val="both"/>
        <w:rPr>
          <w:rFonts w:ascii="SimSun" w:hAnsi="SimSun" w:eastAsia="SimSun" w:cs="SimSun"/>
          <w:sz w:val="20"/>
          <w:szCs w:val="20"/>
        </w:rPr>
      </w:pPr>
      <w:r>
        <w:rPr>
          <w:rFonts w:ascii="SimSun" w:hAnsi="SimSun" w:eastAsia="SimSun" w:cs="SimSun"/>
          <w:sz w:val="20"/>
          <w:szCs w:val="20"/>
          <w:spacing w:val="-1"/>
        </w:rPr>
        <w:t>就责任类型来说，《数字千年版权法》规定平台主要需承担协助</w:t>
      </w:r>
      <w:r>
        <w:rPr>
          <w:rFonts w:ascii="SimSun" w:hAnsi="SimSun" w:eastAsia="SimSun" w:cs="SimSun"/>
          <w:sz w:val="20"/>
          <w:szCs w:val="20"/>
          <w:spacing w:val="17"/>
        </w:rPr>
        <w:t xml:space="preserve"> </w:t>
      </w:r>
      <w:r>
        <w:rPr>
          <w:rFonts w:ascii="SimSun" w:hAnsi="SimSun" w:eastAsia="SimSun" w:cs="SimSun"/>
          <w:sz w:val="20"/>
          <w:szCs w:val="20"/>
        </w:rPr>
        <w:t>侵权和替代侵权两种责任，后又在米高梅公司</w:t>
      </w:r>
      <w:r>
        <w:rPr>
          <w:rFonts w:ascii="SimSun" w:hAnsi="SimSun" w:eastAsia="SimSun" w:cs="SimSun"/>
          <w:sz w:val="20"/>
          <w:szCs w:val="20"/>
          <w:spacing w:val="-1"/>
        </w:rPr>
        <w:t>诉格罗斯特(Grokster)</w:t>
      </w:r>
      <w:r>
        <w:rPr>
          <w:rFonts w:ascii="SimSun" w:hAnsi="SimSun" w:eastAsia="SimSun" w:cs="SimSun"/>
          <w:sz w:val="20"/>
          <w:szCs w:val="20"/>
        </w:rPr>
        <w:t xml:space="preserve"> </w:t>
      </w:r>
      <w:r>
        <w:rPr>
          <w:rFonts w:ascii="SimSun" w:hAnsi="SimSun" w:eastAsia="SimSun" w:cs="SimSun"/>
          <w:sz w:val="20"/>
          <w:szCs w:val="20"/>
          <w:spacing w:val="-1"/>
        </w:rPr>
        <w:t>案中发展出引诱侵权责任。其中，判断协助侵权有知道和实际促</w:t>
      </w:r>
      <w:r>
        <w:rPr>
          <w:rFonts w:ascii="SimSun" w:hAnsi="SimSun" w:eastAsia="SimSun" w:cs="SimSun"/>
          <w:sz w:val="20"/>
          <w:szCs w:val="20"/>
          <w:spacing w:val="-2"/>
        </w:rPr>
        <w:t>进两</w:t>
      </w:r>
      <w:r>
        <w:rPr>
          <w:rFonts w:ascii="SimSun" w:hAnsi="SimSun" w:eastAsia="SimSun" w:cs="SimSun"/>
          <w:sz w:val="20"/>
          <w:szCs w:val="20"/>
        </w:rPr>
        <w:t xml:space="preserve"> </w:t>
      </w:r>
      <w:r>
        <w:rPr>
          <w:rFonts w:ascii="SimSun" w:hAnsi="SimSun" w:eastAsia="SimSun" w:cs="SimSun"/>
          <w:sz w:val="20"/>
          <w:szCs w:val="20"/>
          <w:spacing w:val="-1"/>
        </w:rPr>
        <w:t>个要件，而关于如何判断知道要件，又发展出“红旗标准”。替代侵</w:t>
      </w:r>
      <w:r>
        <w:rPr>
          <w:rFonts w:ascii="SimSun" w:hAnsi="SimSun" w:eastAsia="SimSun" w:cs="SimSun"/>
          <w:sz w:val="20"/>
          <w:szCs w:val="20"/>
        </w:rPr>
        <w:t xml:space="preserve"> </w:t>
      </w:r>
      <w:r>
        <w:rPr>
          <w:rFonts w:ascii="SimSun" w:hAnsi="SimSun" w:eastAsia="SimSun" w:cs="SimSun"/>
          <w:sz w:val="20"/>
          <w:szCs w:val="20"/>
        </w:rPr>
        <w:t>权责任则进一步严格化，指当平台有权利或有能</w:t>
      </w:r>
      <w:r>
        <w:rPr>
          <w:rFonts w:ascii="SimSun" w:hAnsi="SimSun" w:eastAsia="SimSun" w:cs="SimSun"/>
          <w:sz w:val="20"/>
          <w:szCs w:val="20"/>
          <w:spacing w:val="-1"/>
        </w:rPr>
        <w:t>力对直接侵权人进行</w:t>
      </w:r>
      <w:r>
        <w:rPr>
          <w:rFonts w:ascii="SimSun" w:hAnsi="SimSun" w:eastAsia="SimSun" w:cs="SimSun"/>
          <w:sz w:val="20"/>
          <w:szCs w:val="20"/>
        </w:rPr>
        <w:t xml:space="preserve"> </w:t>
      </w:r>
      <w:r>
        <w:rPr>
          <w:rFonts w:ascii="SimSun" w:hAnsi="SimSun" w:eastAsia="SimSun" w:cs="SimSun"/>
          <w:sz w:val="20"/>
          <w:szCs w:val="20"/>
        </w:rPr>
        <w:t>监督且从中获得直接经济利益时，即使其不知</w:t>
      </w:r>
      <w:r>
        <w:rPr>
          <w:rFonts w:ascii="SimSun" w:hAnsi="SimSun" w:eastAsia="SimSun" w:cs="SimSun"/>
          <w:sz w:val="20"/>
          <w:szCs w:val="20"/>
          <w:spacing w:val="-1"/>
        </w:rPr>
        <w:t>道或者没有直接参与侵</w:t>
      </w:r>
      <w:r>
        <w:rPr>
          <w:rFonts w:ascii="SimSun" w:hAnsi="SimSun" w:eastAsia="SimSun" w:cs="SimSun"/>
          <w:sz w:val="20"/>
          <w:szCs w:val="20"/>
        </w:rPr>
        <w:t xml:space="preserve"> </w:t>
      </w:r>
      <w:r>
        <w:rPr>
          <w:rFonts w:ascii="SimSun" w:hAnsi="SimSun" w:eastAsia="SimSun" w:cs="SimSun"/>
          <w:sz w:val="20"/>
          <w:szCs w:val="20"/>
        </w:rPr>
        <w:t>权行为，也应为此承担责任。在米高梅公司诉格</w:t>
      </w:r>
      <w:r>
        <w:rPr>
          <w:rFonts w:ascii="SimSun" w:hAnsi="SimSun" w:eastAsia="SimSun" w:cs="SimSun"/>
          <w:sz w:val="20"/>
          <w:szCs w:val="20"/>
          <w:spacing w:val="-1"/>
        </w:rPr>
        <w:t>罗斯特一案中，法院</w:t>
      </w:r>
      <w:r>
        <w:rPr>
          <w:rFonts w:ascii="SimSun" w:hAnsi="SimSun" w:eastAsia="SimSun" w:cs="SimSun"/>
          <w:sz w:val="20"/>
          <w:szCs w:val="20"/>
        </w:rPr>
        <w:t xml:space="preserve"> </w:t>
      </w:r>
      <w:r>
        <w:rPr>
          <w:rFonts w:ascii="SimSun" w:hAnsi="SimSun" w:eastAsia="SimSun" w:cs="SimSun"/>
          <w:sz w:val="20"/>
          <w:szCs w:val="20"/>
          <w:spacing w:val="-1"/>
        </w:rPr>
        <w:t>更明确指出，如果可以证明，平台提供产品、服务的意图是促进侵犯</w:t>
      </w:r>
      <w:r>
        <w:rPr>
          <w:rFonts w:ascii="SimSun" w:hAnsi="SimSun" w:eastAsia="SimSun" w:cs="SimSun"/>
          <w:sz w:val="20"/>
          <w:szCs w:val="20"/>
          <w:spacing w:val="18"/>
        </w:rPr>
        <w:t xml:space="preserve"> </w:t>
      </w:r>
      <w:r>
        <w:rPr>
          <w:rFonts w:ascii="SimSun" w:hAnsi="SimSun" w:eastAsia="SimSun" w:cs="SimSun"/>
          <w:sz w:val="20"/>
          <w:szCs w:val="20"/>
          <w:spacing w:val="-1"/>
        </w:rPr>
        <w:t>著作权的发生，即认为平台有“引诱”的意图和行为，则平台也应对</w:t>
      </w:r>
      <w:r>
        <w:rPr>
          <w:rFonts w:ascii="SimSun" w:hAnsi="SimSun" w:eastAsia="SimSun" w:cs="SimSun"/>
          <w:sz w:val="20"/>
          <w:szCs w:val="20"/>
          <w:spacing w:val="17"/>
        </w:rPr>
        <w:t xml:space="preserve"> </w:t>
      </w:r>
      <w:r>
        <w:rPr>
          <w:rFonts w:ascii="SimSun" w:hAnsi="SimSun" w:eastAsia="SimSun" w:cs="SimSun"/>
          <w:sz w:val="20"/>
          <w:szCs w:val="20"/>
        </w:rPr>
        <w:t>侵权行为承担责任。②在规则适用初期，法</w:t>
      </w:r>
      <w:r>
        <w:rPr>
          <w:rFonts w:ascii="SimSun" w:hAnsi="SimSun" w:eastAsia="SimSun" w:cs="SimSun"/>
          <w:sz w:val="20"/>
          <w:szCs w:val="20"/>
          <w:spacing w:val="-1"/>
        </w:rPr>
        <w:t>院倾向于严格认定运营者</w:t>
      </w:r>
      <w:r>
        <w:rPr>
          <w:rFonts w:ascii="SimSun" w:hAnsi="SimSun" w:eastAsia="SimSun" w:cs="SimSun"/>
          <w:sz w:val="20"/>
          <w:szCs w:val="20"/>
        </w:rPr>
        <w:t xml:space="preserve"> </w:t>
      </w:r>
      <w:r>
        <w:rPr>
          <w:rFonts w:ascii="SimSun" w:hAnsi="SimSun" w:eastAsia="SimSun" w:cs="SimSun"/>
          <w:sz w:val="20"/>
          <w:szCs w:val="20"/>
          <w:spacing w:val="5"/>
        </w:rPr>
        <w:t>责任。如在花花公子公司诉弗勒纳</w:t>
      </w:r>
      <w:r>
        <w:rPr>
          <w:rFonts w:ascii="SimSun" w:hAnsi="SimSun" w:eastAsia="SimSun" w:cs="SimSun"/>
          <w:sz w:val="20"/>
          <w:szCs w:val="20"/>
          <w:spacing w:val="-54"/>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Frena</w:t>
      </w:r>
      <w:r>
        <w:rPr>
          <w:rFonts w:ascii="Times New Roman" w:hAnsi="Times New Roman" w:eastAsia="Times New Roman" w:cs="Times New Roman"/>
          <w:sz w:val="20"/>
          <w:szCs w:val="20"/>
          <w:spacing w:val="5"/>
        </w:rPr>
        <w:t>)    </w:t>
      </w:r>
      <w:r>
        <w:rPr>
          <w:rFonts w:ascii="SimSun" w:hAnsi="SimSun" w:eastAsia="SimSun" w:cs="SimSun"/>
          <w:sz w:val="20"/>
          <w:szCs w:val="20"/>
          <w:spacing w:val="5"/>
        </w:rPr>
        <w:t>案中，即使运营者并不</w:t>
      </w:r>
    </w:p>
    <w:p>
      <w:pPr>
        <w:ind w:left="100"/>
        <w:spacing w:line="218" w:lineRule="auto"/>
        <w:rPr>
          <w:rFonts w:ascii="SimSun" w:hAnsi="SimSun" w:eastAsia="SimSun" w:cs="SimSun"/>
          <w:sz w:val="20"/>
          <w:szCs w:val="20"/>
        </w:rPr>
      </w:pPr>
      <w:r>
        <w:rPr>
          <w:rFonts w:ascii="SimSun" w:hAnsi="SimSun" w:eastAsia="SimSun" w:cs="SimSun"/>
          <w:sz w:val="20"/>
          <w:szCs w:val="20"/>
          <w:spacing w:val="-1"/>
        </w:rPr>
        <w:t>知道用户的侵权行为，仍需就其上传下载的行为承担侵权责任。但由</w:t>
      </w:r>
    </w:p>
    <w:p>
      <w:pPr>
        <w:pStyle w:val="BodyText"/>
        <w:spacing w:line="299" w:lineRule="auto"/>
        <w:rPr/>
      </w:pPr>
      <w:r/>
    </w:p>
    <w:p>
      <w:pPr>
        <w:ind w:left="409" w:right="28" w:hanging="309"/>
        <w:spacing w:before="66" w:line="239" w:lineRule="auto"/>
        <w:rPr>
          <w:rFonts w:ascii="KaiTi" w:hAnsi="KaiTi" w:eastAsia="KaiTi" w:cs="KaiTi"/>
          <w:sz w:val="20"/>
          <w:szCs w:val="20"/>
        </w:rPr>
      </w:pPr>
      <w:r>
        <w:rPr>
          <w:rFonts w:ascii="KaiTi" w:hAnsi="KaiTi" w:eastAsia="KaiTi" w:cs="KaiTi"/>
          <w:sz w:val="20"/>
          <w:szCs w:val="20"/>
          <w:spacing w:val="-15"/>
          <w:w w:val="88"/>
        </w:rPr>
        <w:t>①</w:t>
      </w:r>
      <w:r>
        <w:rPr>
          <w:rFonts w:ascii="KaiTi" w:hAnsi="KaiTi" w:eastAsia="KaiTi" w:cs="KaiTi"/>
          <w:sz w:val="20"/>
          <w:szCs w:val="20"/>
          <w:spacing w:val="49"/>
        </w:rPr>
        <w:t xml:space="preserve"> </w:t>
      </w:r>
      <w:r>
        <w:rPr>
          <w:rFonts w:ascii="KaiTi" w:hAnsi="KaiTi" w:eastAsia="KaiTi" w:cs="KaiTi"/>
          <w:sz w:val="20"/>
          <w:szCs w:val="20"/>
          <w:spacing w:val="-15"/>
          <w:w w:val="88"/>
        </w:rPr>
        <w:t>朱开鑫.从“通知移除规则”到“通知屏蔽規则”——《数字千年版权法》“避风</w:t>
      </w:r>
      <w:r>
        <w:rPr>
          <w:rFonts w:ascii="KaiTi" w:hAnsi="KaiTi" w:eastAsia="KaiTi" w:cs="KaiTi"/>
          <w:sz w:val="20"/>
          <w:szCs w:val="20"/>
        </w:rPr>
        <w:t xml:space="preserve"> </w:t>
      </w:r>
      <w:r>
        <w:rPr>
          <w:rFonts w:ascii="KaiTi" w:hAnsi="KaiTi" w:eastAsia="KaiTi" w:cs="KaiTi"/>
          <w:sz w:val="20"/>
          <w:szCs w:val="20"/>
          <w:spacing w:val="-14"/>
          <w:w w:val="95"/>
        </w:rPr>
        <w:t>港制度”现代化路径分析.电子知识产权，2</w:t>
      </w:r>
      <w:r>
        <w:rPr>
          <w:rFonts w:ascii="KaiTi" w:hAnsi="KaiTi" w:eastAsia="KaiTi" w:cs="KaiTi"/>
          <w:sz w:val="20"/>
          <w:szCs w:val="20"/>
          <w:spacing w:val="-15"/>
          <w:w w:val="95"/>
        </w:rPr>
        <w:t>020(5):42-52.</w:t>
      </w:r>
    </w:p>
    <w:p>
      <w:pPr>
        <w:ind w:left="420" w:hanging="320"/>
        <w:spacing w:before="42" w:line="236" w:lineRule="auto"/>
        <w:rPr>
          <w:rFonts w:ascii="SimSun" w:hAnsi="SimSun" w:eastAsia="SimSun" w:cs="SimSun"/>
          <w:sz w:val="20"/>
          <w:szCs w:val="20"/>
        </w:rPr>
      </w:pPr>
      <w:r>
        <w:rPr>
          <w:rFonts w:ascii="KaiTi" w:hAnsi="KaiTi" w:eastAsia="KaiTi" w:cs="KaiTi"/>
          <w:sz w:val="20"/>
          <w:szCs w:val="20"/>
          <w:spacing w:val="-18"/>
          <w:w w:val="93"/>
        </w:rPr>
        <w:t>②</w:t>
      </w:r>
      <w:r>
        <w:rPr>
          <w:rFonts w:ascii="KaiTi" w:hAnsi="KaiTi" w:eastAsia="KaiTi" w:cs="KaiTi"/>
          <w:sz w:val="20"/>
          <w:szCs w:val="20"/>
          <w:spacing w:val="46"/>
        </w:rPr>
        <w:t xml:space="preserve"> </w:t>
      </w:r>
      <w:r>
        <w:rPr>
          <w:rFonts w:ascii="KaiTi" w:hAnsi="KaiTi" w:eastAsia="KaiTi" w:cs="KaiTi"/>
          <w:sz w:val="20"/>
          <w:szCs w:val="20"/>
          <w:spacing w:val="-18"/>
          <w:w w:val="93"/>
        </w:rPr>
        <w:t>徐实.美国网络平台承担知识产权间接侵权责任的经验与启示.北方法学，2018,</w:t>
      </w:r>
      <w:r>
        <w:rPr>
          <w:rFonts w:ascii="KaiTi" w:hAnsi="KaiTi" w:eastAsia="KaiTi" w:cs="KaiTi"/>
          <w:sz w:val="20"/>
          <w:szCs w:val="20"/>
        </w:rPr>
        <w:t xml:space="preserve"> </w:t>
      </w:r>
      <w:r>
        <w:rPr>
          <w:rFonts w:ascii="SimSun" w:hAnsi="SimSun" w:eastAsia="SimSun" w:cs="SimSun"/>
          <w:sz w:val="20"/>
          <w:szCs w:val="20"/>
          <w:spacing w:val="-3"/>
        </w:rPr>
        <w:t>12(5):71-79</w:t>
      </w:r>
    </w:p>
    <w:p>
      <w:pPr>
        <w:spacing w:line="236" w:lineRule="auto"/>
        <w:sectPr>
          <w:pgSz w:w="7330" w:h="12480"/>
          <w:pgMar w:top="400" w:right="741" w:bottom="400" w:left="440" w:header="0" w:footer="0" w:gutter="0"/>
        </w:sectPr>
        <w:rPr>
          <w:rFonts w:ascii="SimSun" w:hAnsi="SimSun" w:eastAsia="SimSun" w:cs="SimSun"/>
          <w:sz w:val="20"/>
          <w:szCs w:val="20"/>
        </w:rPr>
      </w:pPr>
    </w:p>
    <w:p>
      <w:pPr>
        <w:pStyle w:val="BodyText"/>
        <w:spacing w:line="251" w:lineRule="auto"/>
        <w:rPr/>
      </w:pPr>
      <w:r>
        <w:drawing>
          <wp:anchor distT="0" distB="0" distL="0" distR="0" simplePos="0" relativeHeight="256372736" behindDoc="0" locked="0" layoutInCell="0" allowOverlap="1">
            <wp:simplePos x="0" y="0"/>
            <wp:positionH relativeFrom="page">
              <wp:posOffset>215878</wp:posOffset>
            </wp:positionH>
            <wp:positionV relativeFrom="page">
              <wp:posOffset>4857738</wp:posOffset>
            </wp:positionV>
            <wp:extent cx="488960" cy="6350"/>
            <wp:effectExtent l="0" t="0" r="0" b="0"/>
            <wp:wrapNone/>
            <wp:docPr id="410" name="IM 410"/>
            <wp:cNvGraphicFramePr/>
            <a:graphic>
              <a:graphicData uri="http://schemas.openxmlformats.org/drawingml/2006/picture">
                <pic:pic>
                  <pic:nvPicPr>
                    <pic:cNvPr id="410" name="IM 410"/>
                    <pic:cNvPicPr/>
                  </pic:nvPicPr>
                  <pic:blipFill>
                    <a:blip r:embed="rId540"/>
                    <a:stretch>
                      <a:fillRect/>
                    </a:stretch>
                  </pic:blipFill>
                  <pic:spPr>
                    <a:xfrm rot="0">
                      <a:off x="0" y="0"/>
                      <a:ext cx="488960"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1" w:lineRule="auto"/>
        <w:rPr/>
      </w:pPr>
      <w:r/>
    </w:p>
    <w:p>
      <w:pPr>
        <w:ind w:left="340" w:right="66"/>
        <w:spacing w:before="68" w:line="268" w:lineRule="auto"/>
        <w:rPr>
          <w:rFonts w:ascii="SimSun" w:hAnsi="SimSun" w:eastAsia="SimSun" w:cs="SimSun"/>
          <w:sz w:val="21"/>
          <w:szCs w:val="21"/>
        </w:rPr>
      </w:pPr>
      <w:r>
        <w:rPr>
          <w:rFonts w:ascii="SimSun" w:hAnsi="SimSun" w:eastAsia="SimSun" w:cs="SimSun"/>
          <w:sz w:val="21"/>
          <w:szCs w:val="21"/>
          <w:spacing w:val="-11"/>
        </w:rPr>
        <w:t>于网络平台经营的特性，在大量数据汇集的情况下，严格责任认定会</w:t>
      </w:r>
      <w:r>
        <w:rPr>
          <w:rFonts w:ascii="SimSun" w:hAnsi="SimSun" w:eastAsia="SimSun" w:cs="SimSun"/>
          <w:sz w:val="21"/>
          <w:szCs w:val="21"/>
          <w:spacing w:val="17"/>
        </w:rPr>
        <w:t xml:space="preserve"> </w:t>
      </w:r>
      <w:r>
        <w:rPr>
          <w:rFonts w:ascii="SimSun" w:hAnsi="SimSun" w:eastAsia="SimSun" w:cs="SimSun"/>
          <w:sz w:val="21"/>
          <w:szCs w:val="21"/>
          <w:spacing w:val="-11"/>
        </w:rPr>
        <w:t>导向经营者承</w:t>
      </w:r>
      <w:r>
        <w:rPr>
          <w:rFonts w:ascii="SimSun" w:hAnsi="SimSun" w:eastAsia="SimSun" w:cs="SimSun"/>
          <w:sz w:val="21"/>
          <w:szCs w:val="21"/>
          <w:u w:val="single" w:color="auto"/>
          <w:spacing w:val="-11"/>
        </w:rPr>
        <w:t>担过重</w:t>
      </w:r>
      <w:r>
        <w:rPr>
          <w:rFonts w:ascii="SimSun" w:hAnsi="SimSun" w:eastAsia="SimSun" w:cs="SimSun"/>
          <w:sz w:val="21"/>
          <w:szCs w:val="21"/>
          <w:spacing w:val="-11"/>
        </w:rPr>
        <w:t>责任，司法适用也在根据实际情况不断调整。</w:t>
      </w:r>
    </w:p>
    <w:p>
      <w:pPr>
        <w:ind w:left="340" w:firstLine="429"/>
        <w:spacing w:before="112" w:line="310" w:lineRule="auto"/>
        <w:jc w:val="both"/>
        <w:rPr>
          <w:rFonts w:ascii="SimSun" w:hAnsi="SimSun" w:eastAsia="SimSun" w:cs="SimSun"/>
          <w:sz w:val="21"/>
          <w:szCs w:val="21"/>
        </w:rPr>
      </w:pPr>
      <w:r>
        <w:rPr>
          <w:rFonts w:ascii="SimSun" w:hAnsi="SimSun" w:eastAsia="SimSun" w:cs="SimSun"/>
          <w:sz w:val="21"/>
          <w:szCs w:val="21"/>
          <w:spacing w:val="-5"/>
        </w:rPr>
        <w:t>商标权和专利权的保护，就基本原理而言，和著作权有相通之 </w:t>
      </w:r>
      <w:r>
        <w:rPr>
          <w:rFonts w:ascii="SimSun" w:hAnsi="SimSun" w:eastAsia="SimSun" w:cs="SimSun"/>
          <w:sz w:val="21"/>
          <w:szCs w:val="21"/>
          <w:spacing w:val="-10"/>
        </w:rPr>
        <w:t>处；但在判例和具体构成要件上，也有细化的特殊制</w:t>
      </w:r>
      <w:r>
        <w:rPr>
          <w:rFonts w:ascii="SimSun" w:hAnsi="SimSun" w:eastAsia="SimSun" w:cs="SimSun"/>
          <w:sz w:val="21"/>
          <w:szCs w:val="21"/>
          <w:spacing w:val="-11"/>
        </w:rPr>
        <w:t>度。商标权保护</w:t>
      </w:r>
      <w:r>
        <w:rPr>
          <w:rFonts w:ascii="SimSun" w:hAnsi="SimSun" w:eastAsia="SimSun" w:cs="SimSun"/>
          <w:sz w:val="21"/>
          <w:szCs w:val="21"/>
        </w:rPr>
        <w:t xml:space="preserve"> </w:t>
      </w:r>
      <w:r>
        <w:rPr>
          <w:rFonts w:ascii="SimSun" w:hAnsi="SimSun" w:eastAsia="SimSun" w:cs="SimSun"/>
          <w:sz w:val="21"/>
          <w:szCs w:val="21"/>
          <w:spacing w:val="-11"/>
        </w:rPr>
        <w:t>主要涉及协助侵权责任和替代侵权责任。协助侵权需由知道要件与控 </w:t>
      </w:r>
      <w:r>
        <w:rPr>
          <w:rFonts w:ascii="SimSun" w:hAnsi="SimSun" w:eastAsia="SimSun" w:cs="SimSun"/>
          <w:sz w:val="21"/>
          <w:szCs w:val="21"/>
          <w:spacing w:val="-10"/>
        </w:rPr>
        <w:t>制和监督要件构成，而知道要件又可分为故意和放任两种</w:t>
      </w:r>
      <w:r>
        <w:rPr>
          <w:rFonts w:ascii="SimSun" w:hAnsi="SimSun" w:eastAsia="SimSun" w:cs="SimSun"/>
          <w:sz w:val="21"/>
          <w:szCs w:val="21"/>
          <w:spacing w:val="-11"/>
        </w:rPr>
        <w:t>行为。在替</w:t>
      </w:r>
      <w:r>
        <w:rPr>
          <w:rFonts w:ascii="SimSun" w:hAnsi="SimSun" w:eastAsia="SimSun" w:cs="SimSun"/>
          <w:sz w:val="21"/>
          <w:szCs w:val="21"/>
        </w:rPr>
        <w:t xml:space="preserve"> </w:t>
      </w:r>
      <w:r>
        <w:rPr>
          <w:rFonts w:ascii="SimSun" w:hAnsi="SimSun" w:eastAsia="SimSun" w:cs="SimSun"/>
          <w:sz w:val="21"/>
          <w:szCs w:val="21"/>
          <w:spacing w:val="-11"/>
        </w:rPr>
        <w:t>代侵权责任的判断上，法院采取“代理原则”认定：若被告和侵权人 </w:t>
      </w:r>
      <w:r>
        <w:rPr>
          <w:rFonts w:ascii="SimSun" w:hAnsi="SimSun" w:eastAsia="SimSun" w:cs="SimSun"/>
          <w:sz w:val="21"/>
          <w:szCs w:val="21"/>
          <w:spacing w:val="-11"/>
        </w:rPr>
        <w:t>对侵权产品有共有权或行使管理行为，同样也足够使被告承担替代侵 </w:t>
      </w:r>
      <w:r>
        <w:rPr>
          <w:rFonts w:ascii="SimSun" w:hAnsi="SimSun" w:eastAsia="SimSun" w:cs="SimSun"/>
          <w:sz w:val="21"/>
          <w:szCs w:val="21"/>
          <w:spacing w:val="-10"/>
        </w:rPr>
        <w:t>权责任。但由于实践中判决较少，规则具体认定</w:t>
      </w:r>
      <w:r>
        <w:rPr>
          <w:rFonts w:ascii="SimSun" w:hAnsi="SimSun" w:eastAsia="SimSun" w:cs="SimSun"/>
          <w:sz w:val="21"/>
          <w:szCs w:val="21"/>
          <w:spacing w:val="-11"/>
        </w:rPr>
        <w:t>标准仍有待进一步细</w:t>
      </w:r>
      <w:r>
        <w:rPr>
          <w:rFonts w:ascii="SimSun" w:hAnsi="SimSun" w:eastAsia="SimSun" w:cs="SimSun"/>
          <w:sz w:val="21"/>
          <w:szCs w:val="21"/>
        </w:rPr>
        <w:t xml:space="preserve"> </w:t>
      </w:r>
      <w:r>
        <w:rPr>
          <w:rFonts w:ascii="SimSun" w:hAnsi="SimSun" w:eastAsia="SimSun" w:cs="SimSun"/>
          <w:sz w:val="21"/>
          <w:szCs w:val="21"/>
          <w:spacing w:val="-10"/>
        </w:rPr>
        <w:t>化。专利权保护中，网络平台可能会因为其服务承担协助</w:t>
      </w:r>
      <w:r>
        <w:rPr>
          <w:rFonts w:ascii="SimSun" w:hAnsi="SimSun" w:eastAsia="SimSun" w:cs="SimSun"/>
          <w:sz w:val="21"/>
          <w:szCs w:val="21"/>
          <w:spacing w:val="-11"/>
        </w:rPr>
        <w:t>侵权责任和</w:t>
      </w:r>
      <w:r>
        <w:rPr>
          <w:rFonts w:ascii="SimSun" w:hAnsi="SimSun" w:eastAsia="SimSun" w:cs="SimSun"/>
          <w:sz w:val="21"/>
          <w:szCs w:val="21"/>
        </w:rPr>
        <w:t xml:space="preserve"> </w:t>
      </w:r>
      <w:r>
        <w:rPr>
          <w:rFonts w:ascii="SimSun" w:hAnsi="SimSun" w:eastAsia="SimSun" w:cs="SimSun"/>
          <w:sz w:val="21"/>
          <w:szCs w:val="21"/>
        </w:rPr>
        <w:t>引诱侵权责任。根据《美国专利法》第271</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(c)   </w:t>
      </w:r>
      <w:r>
        <w:rPr>
          <w:rFonts w:ascii="SimSun" w:hAnsi="SimSun" w:eastAsia="SimSun" w:cs="SimSun"/>
          <w:sz w:val="21"/>
          <w:szCs w:val="21"/>
        </w:rPr>
        <w:t>条，专利协助侵权 </w:t>
      </w:r>
      <w:r>
        <w:rPr>
          <w:rFonts w:ascii="SimSun" w:hAnsi="SimSun" w:eastAsia="SimSun" w:cs="SimSun"/>
          <w:sz w:val="21"/>
          <w:szCs w:val="21"/>
          <w:spacing w:val="-2"/>
        </w:rPr>
        <w:t>有四要件，但根据华莱士</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2"/>
        </w:rPr>
        <w:t>(Wallace)</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诉霍姆斯</w:t>
      </w:r>
      <w:r>
        <w:rPr>
          <w:rFonts w:ascii="Times New Roman" w:hAnsi="Times New Roman" w:eastAsia="Times New Roman" w:cs="Times New Roman"/>
          <w:sz w:val="21"/>
          <w:szCs w:val="21"/>
          <w:spacing w:val="-2"/>
        </w:rPr>
        <w:t>(Holmes)   </w:t>
      </w:r>
      <w:r>
        <w:rPr>
          <w:rFonts w:ascii="SimSun" w:hAnsi="SimSun" w:eastAsia="SimSun" w:cs="SimSun"/>
          <w:sz w:val="21"/>
          <w:szCs w:val="21"/>
          <w:spacing w:val="-2"/>
        </w:rPr>
        <w:t>案，</w:t>
      </w:r>
      <w:r>
        <w:rPr>
          <w:rFonts w:ascii="SimSun" w:hAnsi="SimSun" w:eastAsia="SimSun" w:cs="SimSun"/>
          <w:sz w:val="21"/>
          <w:szCs w:val="21"/>
          <w:spacing w:val="-23"/>
        </w:rPr>
        <w:t xml:space="preserve"> </w:t>
      </w:r>
      <w:r>
        <w:rPr>
          <w:rFonts w:ascii="SimSun" w:hAnsi="SimSun" w:eastAsia="SimSun" w:cs="SimSun"/>
          <w:sz w:val="21"/>
          <w:szCs w:val="21"/>
          <w:spacing w:val="-2"/>
        </w:rPr>
        <w:t>一般</w:t>
      </w:r>
      <w:r>
        <w:rPr>
          <w:rFonts w:ascii="SimSun" w:hAnsi="SimSun" w:eastAsia="SimSun" w:cs="SimSun"/>
          <w:sz w:val="21"/>
          <w:szCs w:val="21"/>
        </w:rPr>
        <w:t xml:space="preserve"> </w:t>
      </w:r>
      <w:r>
        <w:rPr>
          <w:rFonts w:ascii="SimSun" w:hAnsi="SimSun" w:eastAsia="SimSun" w:cs="SimSun"/>
          <w:sz w:val="21"/>
          <w:szCs w:val="21"/>
          <w:spacing w:val="-7"/>
        </w:rPr>
        <w:t>仅需考虑紧密联系要件和通知-知道要件。专利</w:t>
      </w:r>
      <w:r>
        <w:rPr>
          <w:rFonts w:ascii="SimSun" w:hAnsi="SimSun" w:eastAsia="SimSun" w:cs="SimSun"/>
          <w:sz w:val="21"/>
          <w:szCs w:val="21"/>
          <w:spacing w:val="-8"/>
        </w:rPr>
        <w:t>权协助侵权责任的认 </w:t>
      </w:r>
      <w:r>
        <w:rPr>
          <w:rFonts w:ascii="SimSun" w:hAnsi="SimSun" w:eastAsia="SimSun" w:cs="SimSun"/>
          <w:sz w:val="21"/>
          <w:szCs w:val="21"/>
          <w:spacing w:val="-8"/>
        </w:rPr>
        <w:t>定主要考虑两个要件：被诉侵权产品与专利产品之间</w:t>
      </w:r>
      <w:r>
        <w:rPr>
          <w:rFonts w:ascii="SimSun" w:hAnsi="SimSun" w:eastAsia="SimSun" w:cs="SimSun"/>
          <w:sz w:val="21"/>
          <w:szCs w:val="21"/>
          <w:spacing w:val="-9"/>
        </w:rPr>
        <w:t>具有紧密联系；</w:t>
      </w:r>
      <w:r>
        <w:rPr>
          <w:rFonts w:ascii="SimSun" w:hAnsi="SimSun" w:eastAsia="SimSun" w:cs="SimSun"/>
          <w:sz w:val="21"/>
          <w:szCs w:val="21"/>
        </w:rPr>
        <w:t xml:space="preserve"> </w:t>
      </w:r>
      <w:r>
        <w:rPr>
          <w:rFonts w:ascii="SimSun" w:hAnsi="SimSun" w:eastAsia="SimSun" w:cs="SimSun"/>
          <w:sz w:val="21"/>
          <w:szCs w:val="21"/>
          <w:spacing w:val="-16"/>
        </w:rPr>
        <w:t>网络平台实际知道具体侵权行为，</w:t>
      </w:r>
      <w:r>
        <w:rPr>
          <w:rFonts w:ascii="SimSun" w:hAnsi="SimSun" w:eastAsia="SimSun" w:cs="SimSun"/>
          <w:sz w:val="21"/>
          <w:szCs w:val="21"/>
          <w:spacing w:val="59"/>
        </w:rPr>
        <w:t xml:space="preserve"> </w:t>
      </w:r>
      <w:r>
        <w:rPr>
          <w:rFonts w:ascii="SimSun" w:hAnsi="SimSun" w:eastAsia="SimSun" w:cs="SimSun"/>
          <w:sz w:val="21"/>
          <w:szCs w:val="21"/>
          <w:spacing w:val="-16"/>
        </w:rPr>
        <w:t>一般需原告提供全面具体的侵权通 </w:t>
      </w:r>
      <w:r>
        <w:rPr>
          <w:rFonts w:ascii="SimSun" w:hAnsi="SimSun" w:eastAsia="SimSun" w:cs="SimSun"/>
          <w:sz w:val="21"/>
          <w:szCs w:val="21"/>
          <w:spacing w:val="-10"/>
        </w:rPr>
        <w:t>知。专利权引诱侵权责任的认定亦需考虑两个要件：明知并故意；积</w:t>
      </w:r>
      <w:r>
        <w:rPr>
          <w:rFonts w:ascii="SimSun" w:hAnsi="SimSun" w:eastAsia="SimSun" w:cs="SimSun"/>
          <w:sz w:val="21"/>
          <w:szCs w:val="21"/>
          <w:spacing w:val="12"/>
        </w:rPr>
        <w:t xml:space="preserve"> </w:t>
      </w:r>
      <w:r>
        <w:rPr>
          <w:rFonts w:ascii="SimSun" w:hAnsi="SimSun" w:eastAsia="SimSun" w:cs="SimSun"/>
          <w:sz w:val="21"/>
          <w:szCs w:val="21"/>
          <w:spacing w:val="-8"/>
        </w:rPr>
        <w:t>极实施。</w:t>
      </w:r>
    </w:p>
    <w:p>
      <w:pPr>
        <w:ind w:left="340" w:right="32" w:firstLine="429"/>
        <w:spacing w:before="109" w:line="292" w:lineRule="auto"/>
        <w:jc w:val="both"/>
        <w:rPr>
          <w:rFonts w:ascii="SimSun" w:hAnsi="SimSun" w:eastAsia="SimSun" w:cs="SimSun"/>
          <w:sz w:val="21"/>
          <w:szCs w:val="21"/>
        </w:rPr>
      </w:pPr>
      <w:r>
        <w:rPr>
          <w:rFonts w:ascii="SimSun" w:hAnsi="SimSun" w:eastAsia="SimSun" w:cs="SimSun"/>
          <w:sz w:val="21"/>
          <w:szCs w:val="21"/>
          <w:spacing w:val="-10"/>
        </w:rPr>
        <w:t>在行政责任方面，对网络平台的监管主要由</w:t>
      </w:r>
      <w:r>
        <w:rPr>
          <w:rFonts w:ascii="SimSun" w:hAnsi="SimSun" w:eastAsia="SimSun" w:cs="SimSun"/>
          <w:sz w:val="21"/>
          <w:szCs w:val="21"/>
          <w:spacing w:val="-11"/>
        </w:rPr>
        <w:t>联邦贸易委员会和州</w:t>
      </w:r>
      <w:r>
        <w:rPr>
          <w:rFonts w:ascii="SimSun" w:hAnsi="SimSun" w:eastAsia="SimSun" w:cs="SimSun"/>
          <w:sz w:val="21"/>
          <w:szCs w:val="21"/>
        </w:rPr>
        <w:t xml:space="preserve"> </w:t>
      </w:r>
      <w:r>
        <w:rPr>
          <w:rFonts w:ascii="SimSun" w:hAnsi="SimSun" w:eastAsia="SimSun" w:cs="SimSun"/>
          <w:sz w:val="21"/>
          <w:szCs w:val="21"/>
          <w:spacing w:val="-10"/>
        </w:rPr>
        <w:t>政府进行，如加利福尼亚州制定了《加州消费者隐私法》和《加</w:t>
      </w:r>
      <w:r>
        <w:rPr>
          <w:rFonts w:ascii="SimSun" w:hAnsi="SimSun" w:eastAsia="SimSun" w:cs="SimSun"/>
          <w:sz w:val="21"/>
          <w:szCs w:val="21"/>
          <w:spacing w:val="-11"/>
        </w:rPr>
        <w:t>州网</w:t>
      </w:r>
      <w:r>
        <w:rPr>
          <w:rFonts w:ascii="SimSun" w:hAnsi="SimSun" w:eastAsia="SimSun" w:cs="SimSun"/>
          <w:sz w:val="21"/>
          <w:szCs w:val="21"/>
        </w:rPr>
        <w:t xml:space="preserve"> </w:t>
      </w:r>
      <w:r>
        <w:rPr>
          <w:rFonts w:ascii="SimSun" w:hAnsi="SimSun" w:eastAsia="SimSun" w:cs="SimSun"/>
          <w:sz w:val="21"/>
          <w:szCs w:val="21"/>
          <w:spacing w:val="-7"/>
        </w:rPr>
        <w:t>络隐私保护法》,用于保护网络隐私。但总体而言，联邦贸易委员会</w:t>
      </w:r>
      <w:r>
        <w:rPr>
          <w:rFonts w:ascii="SimSun" w:hAnsi="SimSun" w:eastAsia="SimSun" w:cs="SimSun"/>
          <w:sz w:val="21"/>
          <w:szCs w:val="21"/>
          <w:spacing w:val="2"/>
        </w:rPr>
        <w:t xml:space="preserve"> </w:t>
      </w:r>
      <w:r>
        <w:rPr>
          <w:rFonts w:ascii="SimSun" w:hAnsi="SimSun" w:eastAsia="SimSun" w:cs="SimSun"/>
          <w:sz w:val="21"/>
          <w:szCs w:val="21"/>
          <w:spacing w:val="-10"/>
        </w:rPr>
        <w:t>仍是平台监管之关键。</w:t>
      </w:r>
    </w:p>
    <w:p>
      <w:pPr>
        <w:ind w:left="340" w:right="43" w:firstLine="429"/>
        <w:spacing w:before="112" w:line="300" w:lineRule="auto"/>
        <w:jc w:val="both"/>
        <w:rPr>
          <w:rFonts w:ascii="SimSun" w:hAnsi="SimSun" w:eastAsia="SimSun" w:cs="SimSun"/>
          <w:sz w:val="21"/>
          <w:szCs w:val="21"/>
        </w:rPr>
      </w:pPr>
      <w:r>
        <w:rPr>
          <w:rFonts w:ascii="SimSun" w:hAnsi="SimSun" w:eastAsia="SimSun" w:cs="SimSun"/>
          <w:sz w:val="21"/>
          <w:szCs w:val="21"/>
          <w:spacing w:val="-4"/>
        </w:rPr>
        <w:t>根据《联邦贸易委员会法》的授权，联邦贸易委员会享有对不</w:t>
      </w:r>
      <w:r>
        <w:rPr>
          <w:rFonts w:ascii="SimSun" w:hAnsi="SimSun" w:eastAsia="SimSun" w:cs="SimSun"/>
          <w:sz w:val="21"/>
          <w:szCs w:val="21"/>
          <w:spacing w:val="18"/>
        </w:rPr>
        <w:t xml:space="preserve"> </w:t>
      </w:r>
      <w:r>
        <w:rPr>
          <w:rFonts w:ascii="SimSun" w:hAnsi="SimSun" w:eastAsia="SimSun" w:cs="SimSun"/>
          <w:sz w:val="21"/>
          <w:szCs w:val="21"/>
          <w:spacing w:val="-10"/>
        </w:rPr>
        <w:t>公平或欺骗行为的执法权。因为“欺骗”的判断标准以平台经营者明</w:t>
      </w:r>
      <w:r>
        <w:rPr>
          <w:rFonts w:ascii="SimSun" w:hAnsi="SimSun" w:eastAsia="SimSun" w:cs="SimSun"/>
          <w:sz w:val="21"/>
          <w:szCs w:val="21"/>
        </w:rPr>
        <w:t xml:space="preserve"> </w:t>
      </w:r>
      <w:r>
        <w:rPr>
          <w:rFonts w:ascii="SimSun" w:hAnsi="SimSun" w:eastAsia="SimSun" w:cs="SimSun"/>
          <w:sz w:val="21"/>
          <w:szCs w:val="21"/>
          <w:spacing w:val="-10"/>
        </w:rPr>
        <w:t>确表达其隐私保护政策为前提，而隐私保护政策修</w:t>
      </w:r>
      <w:r>
        <w:rPr>
          <w:rFonts w:ascii="SimSun" w:hAnsi="SimSun" w:eastAsia="SimSun" w:cs="SimSun"/>
          <w:sz w:val="21"/>
          <w:szCs w:val="21"/>
          <w:spacing w:val="-11"/>
        </w:rPr>
        <w:t>改权归于平台经营</w:t>
      </w:r>
      <w:r>
        <w:rPr>
          <w:rFonts w:ascii="SimSun" w:hAnsi="SimSun" w:eastAsia="SimSun" w:cs="SimSun"/>
          <w:sz w:val="21"/>
          <w:szCs w:val="21"/>
        </w:rPr>
        <w:t xml:space="preserve"> </w:t>
      </w:r>
      <w:r>
        <w:rPr>
          <w:rFonts w:ascii="SimSun" w:hAnsi="SimSun" w:eastAsia="SimSun" w:cs="SimSun"/>
          <w:sz w:val="21"/>
          <w:szCs w:val="21"/>
          <w:spacing w:val="-17"/>
        </w:rPr>
        <w:t>者，会对举证带来较大困难，所以其执法重心更偏于“不公平”。“不</w:t>
      </w:r>
      <w:r>
        <w:rPr>
          <w:rFonts w:ascii="SimSun" w:hAnsi="SimSun" w:eastAsia="SimSun" w:cs="SimSun"/>
          <w:sz w:val="21"/>
          <w:szCs w:val="21"/>
          <w:spacing w:val="6"/>
        </w:rPr>
        <w:t xml:space="preserve"> </w:t>
      </w:r>
      <w:r>
        <w:rPr>
          <w:rFonts w:ascii="SimSun" w:hAnsi="SimSun" w:eastAsia="SimSun" w:cs="SimSun"/>
          <w:sz w:val="21"/>
          <w:szCs w:val="21"/>
          <w:spacing w:val="-4"/>
        </w:rPr>
        <w:t>公平”的标准主要见于《联邦贸易委员会法》第45</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4"/>
        </w:rPr>
        <w:t>(n)   </w:t>
      </w:r>
      <w:r>
        <w:rPr>
          <w:rFonts w:ascii="SimSun" w:hAnsi="SimSun" w:eastAsia="SimSun" w:cs="SimSun"/>
          <w:sz w:val="21"/>
          <w:szCs w:val="21"/>
          <w:spacing w:val="-4"/>
        </w:rPr>
        <w:t>条，被限定</w:t>
      </w:r>
      <w:r>
        <w:rPr>
          <w:rFonts w:ascii="SimSun" w:hAnsi="SimSun" w:eastAsia="SimSun" w:cs="SimSun"/>
          <w:sz w:val="21"/>
          <w:szCs w:val="21"/>
        </w:rPr>
        <w:t xml:space="preserve"> </w:t>
      </w:r>
      <w:r>
        <w:rPr>
          <w:rFonts w:ascii="SimSun" w:hAnsi="SimSun" w:eastAsia="SimSun" w:cs="SimSun"/>
          <w:sz w:val="21"/>
          <w:szCs w:val="21"/>
          <w:spacing w:val="-10"/>
        </w:rPr>
        <w:t>为“有可能给消费者带来严重的损害，且消费者自身无法合理</w:t>
      </w:r>
      <w:r>
        <w:rPr>
          <w:rFonts w:ascii="SimSun" w:hAnsi="SimSun" w:eastAsia="SimSun" w:cs="SimSun"/>
          <w:sz w:val="21"/>
          <w:szCs w:val="21"/>
          <w:spacing w:val="-11"/>
        </w:rPr>
        <w:t>地避免</w:t>
      </w:r>
    </w:p>
    <w:p>
      <w:pPr>
        <w:spacing w:line="300" w:lineRule="auto"/>
        <w:sectPr>
          <w:headerReference w:type="default" r:id="rId539"/>
          <w:pgSz w:w="7330" w:h="12480"/>
          <w:pgMar w:top="479" w:right="594" w:bottom="400" w:left="339" w:header="312"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right="96"/>
        <w:spacing w:before="68" w:line="299" w:lineRule="auto"/>
        <w:jc w:val="both"/>
        <w:rPr>
          <w:rFonts w:ascii="SimSun" w:hAnsi="SimSun" w:eastAsia="SimSun" w:cs="SimSun"/>
          <w:sz w:val="21"/>
          <w:szCs w:val="21"/>
        </w:rPr>
      </w:pPr>
      <w:r>
        <w:rPr>
          <w:rFonts w:ascii="SimSun" w:hAnsi="SimSun" w:eastAsia="SimSun" w:cs="SimSun"/>
          <w:sz w:val="21"/>
          <w:szCs w:val="21"/>
          <w:spacing w:val="-11"/>
        </w:rPr>
        <w:t>此种损害，并且不存在其他更重要的有利于消费者或竞争的益处”的</w:t>
      </w:r>
      <w:r>
        <w:rPr>
          <w:rFonts w:ascii="SimSun" w:hAnsi="SimSun" w:eastAsia="SimSun" w:cs="SimSun"/>
          <w:sz w:val="21"/>
          <w:szCs w:val="21"/>
          <w:spacing w:val="14"/>
        </w:rPr>
        <w:t xml:space="preserve"> </w:t>
      </w:r>
      <w:r>
        <w:rPr>
          <w:rFonts w:ascii="SimSun" w:hAnsi="SimSun" w:eastAsia="SimSun" w:cs="SimSun"/>
          <w:sz w:val="21"/>
          <w:szCs w:val="21"/>
          <w:spacing w:val="-10"/>
        </w:rPr>
        <w:t>行为或经营方式。需要注意的是，虽然以联邦贸易委员会为核</w:t>
      </w:r>
      <w:r>
        <w:rPr>
          <w:rFonts w:ascii="SimSun" w:hAnsi="SimSun" w:eastAsia="SimSun" w:cs="SimSun"/>
          <w:sz w:val="21"/>
          <w:szCs w:val="21"/>
          <w:spacing w:val="-11"/>
        </w:rPr>
        <w:t>心的监</w:t>
      </w:r>
      <w:r>
        <w:rPr>
          <w:rFonts w:ascii="SimSun" w:hAnsi="SimSun" w:eastAsia="SimSun" w:cs="SimSun"/>
          <w:sz w:val="21"/>
          <w:szCs w:val="21"/>
        </w:rPr>
        <w:t xml:space="preserve"> </w:t>
      </w:r>
      <w:r>
        <w:rPr>
          <w:rFonts w:ascii="SimSun" w:hAnsi="SimSun" w:eastAsia="SimSun" w:cs="SimSun"/>
          <w:sz w:val="21"/>
          <w:szCs w:val="21"/>
          <w:spacing w:val="-4"/>
        </w:rPr>
        <w:t>督可以有效抑制垄断、鼓励竞争、促进创新，但行政执法规范个案</w:t>
      </w:r>
      <w:r>
        <w:rPr>
          <w:rFonts w:ascii="SimSun" w:hAnsi="SimSun" w:eastAsia="SimSun" w:cs="SimSun"/>
          <w:sz w:val="21"/>
          <w:szCs w:val="21"/>
          <w:spacing w:val="5"/>
        </w:rPr>
        <w:t xml:space="preserve"> </w:t>
      </w:r>
      <w:r>
        <w:rPr>
          <w:rFonts w:ascii="SimSun" w:hAnsi="SimSun" w:eastAsia="SimSun" w:cs="SimSun"/>
          <w:sz w:val="21"/>
          <w:szCs w:val="21"/>
          <w:spacing w:val="-4"/>
        </w:rPr>
        <w:t>性较强，不易形成统一的、权威性的制度规则。例如，1998年通过</w:t>
      </w:r>
      <w:r>
        <w:rPr>
          <w:rFonts w:ascii="SimSun" w:hAnsi="SimSun" w:eastAsia="SimSun" w:cs="SimSun"/>
          <w:sz w:val="21"/>
          <w:szCs w:val="21"/>
          <w:spacing w:val="11"/>
        </w:rPr>
        <w:t xml:space="preserve"> </w:t>
      </w:r>
      <w:r>
        <w:rPr>
          <w:rFonts w:ascii="SimSun" w:hAnsi="SimSun" w:eastAsia="SimSun" w:cs="SimSun"/>
          <w:sz w:val="21"/>
          <w:szCs w:val="21"/>
          <w:spacing w:val="-11"/>
        </w:rPr>
        <w:t>的《儿童网上隐私保护法》对儿童隐私提供了专门保护。同时，根据</w:t>
      </w:r>
      <w:r>
        <w:rPr>
          <w:rFonts w:ascii="SimSun" w:hAnsi="SimSun" w:eastAsia="SimSun" w:cs="SimSun"/>
          <w:sz w:val="21"/>
          <w:szCs w:val="21"/>
          <w:spacing w:val="10"/>
        </w:rPr>
        <w:t xml:space="preserve"> </w:t>
      </w:r>
      <w:r>
        <w:rPr>
          <w:rFonts w:ascii="SimSun" w:hAnsi="SimSun" w:eastAsia="SimSun" w:cs="SimSun"/>
          <w:sz w:val="21"/>
          <w:szCs w:val="21"/>
          <w:spacing w:val="-8"/>
        </w:rPr>
        <w:t>1994年的《通信协助执法法》,平台也有</w:t>
      </w:r>
      <w:r>
        <w:rPr>
          <w:rFonts w:ascii="SimSun" w:hAnsi="SimSun" w:eastAsia="SimSun" w:cs="SimSun"/>
          <w:sz w:val="21"/>
          <w:szCs w:val="21"/>
          <w:spacing w:val="-9"/>
        </w:rPr>
        <w:t>协助执法的义务。</w:t>
      </w:r>
    </w:p>
    <w:p>
      <w:pPr>
        <w:ind w:right="20" w:firstLine="409"/>
        <w:spacing w:before="115" w:line="319" w:lineRule="auto"/>
        <w:jc w:val="both"/>
        <w:rPr>
          <w:rFonts w:ascii="SimSun" w:hAnsi="SimSun" w:eastAsia="SimSun" w:cs="SimSun"/>
          <w:sz w:val="21"/>
          <w:szCs w:val="21"/>
        </w:rPr>
      </w:pPr>
      <w:r>
        <w:rPr>
          <w:rFonts w:ascii="SimSun" w:hAnsi="SimSun" w:eastAsia="SimSun" w:cs="SimSun"/>
          <w:sz w:val="21"/>
          <w:szCs w:val="21"/>
          <w:spacing w:val="-11"/>
        </w:rPr>
        <w:t>此外，因联邦宪法第一修正案的限制，行政部门对用户发布信息 </w:t>
      </w:r>
      <w:r>
        <w:rPr>
          <w:rFonts w:ascii="SimSun" w:hAnsi="SimSun" w:eastAsia="SimSun" w:cs="SimSun"/>
          <w:sz w:val="21"/>
          <w:szCs w:val="21"/>
          <w:spacing w:val="-8"/>
        </w:rPr>
        <w:t>内容的管制采取较为谨慎的态度，该领域立法也存在较大宪法争议。</w:t>
      </w:r>
      <w:r>
        <w:rPr>
          <w:rFonts w:ascii="SimSun" w:hAnsi="SimSun" w:eastAsia="SimSun" w:cs="SimSun"/>
          <w:sz w:val="21"/>
          <w:szCs w:val="21"/>
          <w:spacing w:val="14"/>
        </w:rPr>
        <w:t xml:space="preserve"> </w:t>
      </w:r>
      <w:r>
        <w:rPr>
          <w:rFonts w:ascii="SimSun" w:hAnsi="SimSun" w:eastAsia="SimSun" w:cs="SimSun"/>
          <w:sz w:val="21"/>
          <w:szCs w:val="21"/>
          <w:spacing w:val="-3"/>
        </w:rPr>
        <w:t>主要立法有：《通信正派法案》第223(a)(1)(B)   条(因违宪而删</w:t>
      </w:r>
      <w:r>
        <w:rPr>
          <w:rFonts w:ascii="SimSun" w:hAnsi="SimSun" w:eastAsia="SimSun" w:cs="SimSun"/>
          <w:sz w:val="21"/>
          <w:szCs w:val="21"/>
          <w:spacing w:val="1"/>
        </w:rPr>
        <w:t xml:space="preserve">  </w:t>
      </w:r>
      <w:r>
        <w:rPr>
          <w:rFonts w:ascii="SimSun" w:hAnsi="SimSun" w:eastAsia="SimSun" w:cs="SimSun"/>
          <w:sz w:val="21"/>
          <w:szCs w:val="21"/>
          <w:spacing w:val="-7"/>
        </w:rPr>
        <w:t>除“不雅”字样),《儿童上网保护法》(因违宪未实施),《通信正派</w:t>
      </w:r>
    </w:p>
    <w:p>
      <w:pPr>
        <w:spacing w:line="219" w:lineRule="auto"/>
        <w:rPr>
          <w:rFonts w:ascii="SimSun" w:hAnsi="SimSun" w:eastAsia="SimSun" w:cs="SimSun"/>
          <w:sz w:val="21"/>
          <w:szCs w:val="21"/>
        </w:rPr>
      </w:pPr>
      <w:r>
        <w:rPr>
          <w:rFonts w:ascii="SimSun" w:hAnsi="SimSun" w:eastAsia="SimSun" w:cs="SimSun"/>
          <w:sz w:val="21"/>
          <w:szCs w:val="21"/>
          <w:spacing w:val="-15"/>
        </w:rPr>
        <w:t>法案》第230条，《儿童网上隐私保护法》。</w:t>
      </w:r>
    </w:p>
    <w:p>
      <w:pPr>
        <w:ind w:right="96" w:firstLine="409"/>
        <w:spacing w:before="102" w:line="300" w:lineRule="auto"/>
        <w:jc w:val="both"/>
        <w:rPr>
          <w:rFonts w:ascii="SimSun" w:hAnsi="SimSun" w:eastAsia="SimSun" w:cs="SimSun"/>
          <w:sz w:val="21"/>
          <w:szCs w:val="21"/>
        </w:rPr>
      </w:pPr>
      <w:r>
        <w:rPr>
          <w:rFonts w:ascii="SimSun" w:hAnsi="SimSun" w:eastAsia="SimSun" w:cs="SimSun"/>
          <w:sz w:val="21"/>
          <w:szCs w:val="21"/>
          <w:spacing w:val="-3"/>
        </w:rPr>
        <w:t>在刑事责任方面，美国目前尚无对网络平台刑事责任的直</w:t>
      </w:r>
      <w:r>
        <w:rPr>
          <w:rFonts w:ascii="SimSun" w:hAnsi="SimSun" w:eastAsia="SimSun" w:cs="SimSun"/>
          <w:sz w:val="21"/>
          <w:szCs w:val="21"/>
          <w:spacing w:val="-4"/>
        </w:rPr>
        <w:t>接规</w:t>
      </w:r>
      <w:r>
        <w:rPr>
          <w:rFonts w:ascii="SimSun" w:hAnsi="SimSun" w:eastAsia="SimSun" w:cs="SimSun"/>
          <w:sz w:val="21"/>
          <w:szCs w:val="21"/>
        </w:rPr>
        <w:t xml:space="preserve"> </w:t>
      </w:r>
      <w:r>
        <w:rPr>
          <w:rFonts w:ascii="SimSun" w:hAnsi="SimSun" w:eastAsia="SimSun" w:cs="SimSun"/>
          <w:sz w:val="21"/>
          <w:szCs w:val="21"/>
          <w:spacing w:val="-11"/>
        </w:rPr>
        <w:t>定，平台经营者承担刑事责任的情况较为罕见。从学理上讲，平台经</w:t>
      </w:r>
      <w:r>
        <w:rPr>
          <w:rFonts w:ascii="SimSun" w:hAnsi="SimSun" w:eastAsia="SimSun" w:cs="SimSun"/>
          <w:sz w:val="21"/>
          <w:szCs w:val="21"/>
          <w:spacing w:val="7"/>
        </w:rPr>
        <w:t xml:space="preserve"> </w:t>
      </w:r>
      <w:r>
        <w:rPr>
          <w:rFonts w:ascii="SimSun" w:hAnsi="SimSun" w:eastAsia="SimSun" w:cs="SimSun"/>
          <w:sz w:val="21"/>
          <w:szCs w:val="21"/>
          <w:spacing w:val="-11"/>
        </w:rPr>
        <w:t>营者可能涉及的罪名有：侵犯知识产权罪，身份证件、鉴真标识或信</w:t>
      </w:r>
      <w:r>
        <w:rPr>
          <w:rFonts w:ascii="SimSun" w:hAnsi="SimSun" w:eastAsia="SimSun" w:cs="SimSun"/>
          <w:sz w:val="21"/>
          <w:szCs w:val="21"/>
          <w:spacing w:val="12"/>
        </w:rPr>
        <w:t xml:space="preserve"> </w:t>
      </w:r>
      <w:r>
        <w:rPr>
          <w:rFonts w:ascii="SimSun" w:hAnsi="SimSun" w:eastAsia="SimSun" w:cs="SimSun"/>
          <w:sz w:val="21"/>
          <w:szCs w:val="21"/>
          <w:spacing w:val="-11"/>
        </w:rPr>
        <w:t>息诈骗罪，计算机诈骗罪，监听和泄露电信、电子或口头通信罪，非</w:t>
      </w:r>
      <w:r>
        <w:rPr>
          <w:rFonts w:ascii="SimSun" w:hAnsi="SimSun" w:eastAsia="SimSun" w:cs="SimSun"/>
          <w:sz w:val="21"/>
          <w:szCs w:val="21"/>
          <w:spacing w:val="7"/>
        </w:rPr>
        <w:t xml:space="preserve"> </w:t>
      </w:r>
      <w:r>
        <w:rPr>
          <w:rFonts w:ascii="SimSun" w:hAnsi="SimSun" w:eastAsia="SimSun" w:cs="SimSun"/>
          <w:sz w:val="21"/>
          <w:szCs w:val="21"/>
          <w:spacing w:val="-4"/>
        </w:rPr>
        <w:t>法获取通信记录罪，泄露通信记录罪等。此外，网络平台配合执法</w:t>
      </w:r>
      <w:r>
        <w:rPr>
          <w:rFonts w:ascii="SimSun" w:hAnsi="SimSun" w:eastAsia="SimSun" w:cs="SimSun"/>
          <w:sz w:val="21"/>
          <w:szCs w:val="21"/>
          <w:spacing w:val="2"/>
        </w:rPr>
        <w:t xml:space="preserve"> </w:t>
      </w:r>
      <w:r>
        <w:rPr>
          <w:rFonts w:ascii="SimSun" w:hAnsi="SimSun" w:eastAsia="SimSun" w:cs="SimSun"/>
          <w:sz w:val="21"/>
          <w:szCs w:val="21"/>
          <w:spacing w:val="-6"/>
        </w:rPr>
        <w:t>(如监控、披露、备份等)也通常构成平台免责的事由。</w:t>
      </w:r>
    </w:p>
    <w:p>
      <w:pPr>
        <w:pStyle w:val="BodyText"/>
        <w:spacing w:line="397" w:lineRule="auto"/>
        <w:rPr/>
      </w:pPr>
      <w:r/>
    </w:p>
    <w:p>
      <w:pPr>
        <w:ind w:left="412"/>
        <w:spacing w:before="68" w:line="219" w:lineRule="auto"/>
        <w:rPr>
          <w:rFonts w:ascii="SimSun" w:hAnsi="SimSun" w:eastAsia="SimSun" w:cs="SimSun"/>
          <w:sz w:val="21"/>
          <w:szCs w:val="21"/>
        </w:rPr>
      </w:pPr>
      <w:r>
        <w:rPr>
          <w:rFonts w:ascii="SimSun" w:hAnsi="SimSun" w:eastAsia="SimSun" w:cs="SimSun"/>
          <w:sz w:val="21"/>
          <w:szCs w:val="21"/>
          <w:b/>
          <w:bCs/>
          <w:spacing w:val="-16"/>
        </w:rPr>
        <w:t>英国平台法律责任</w:t>
      </w:r>
    </w:p>
    <w:p>
      <w:pPr>
        <w:ind w:firstLine="409"/>
        <w:spacing w:before="115" w:line="304" w:lineRule="auto"/>
        <w:jc w:val="both"/>
        <w:rPr>
          <w:rFonts w:ascii="SimSun" w:hAnsi="SimSun" w:eastAsia="SimSun" w:cs="SimSun"/>
          <w:sz w:val="21"/>
          <w:szCs w:val="21"/>
        </w:rPr>
      </w:pPr>
      <w:r>
        <w:rPr>
          <w:rFonts w:ascii="SimSun" w:hAnsi="SimSun" w:eastAsia="SimSun" w:cs="SimSun"/>
          <w:sz w:val="21"/>
          <w:szCs w:val="21"/>
          <w:spacing w:val="-11"/>
        </w:rPr>
        <w:t>网络平台在名誉侵权中需承担民事责任。英国涉及名誉权的成文</w:t>
      </w:r>
      <w:r>
        <w:rPr>
          <w:rFonts w:ascii="SimSun" w:hAnsi="SimSun" w:eastAsia="SimSun" w:cs="SimSun"/>
          <w:sz w:val="21"/>
          <w:szCs w:val="21"/>
          <w:spacing w:val="9"/>
        </w:rPr>
        <w:t xml:space="preserve">  </w:t>
      </w:r>
      <w:r>
        <w:rPr>
          <w:rFonts w:ascii="SimSun" w:hAnsi="SimSun" w:eastAsia="SimSun" w:cs="SimSun"/>
          <w:sz w:val="21"/>
          <w:szCs w:val="21"/>
          <w:spacing w:val="-11"/>
        </w:rPr>
        <w:t>法主要包括《1952年诽谤法》、《1996年诽谤法》、《</w:t>
      </w:r>
      <w:r>
        <w:rPr>
          <w:rFonts w:ascii="SimSun" w:hAnsi="SimSun" w:eastAsia="SimSun" w:cs="SimSun"/>
          <w:sz w:val="21"/>
          <w:szCs w:val="21"/>
          <w:spacing w:val="-12"/>
        </w:rPr>
        <w:t>2013年诽谤法》</w:t>
      </w:r>
      <w:r>
        <w:rPr>
          <w:rFonts w:ascii="SimSun" w:hAnsi="SimSun" w:eastAsia="SimSun" w:cs="SimSun"/>
          <w:sz w:val="21"/>
          <w:szCs w:val="21"/>
        </w:rPr>
        <w:t xml:space="preserve"> </w:t>
      </w:r>
      <w:r>
        <w:rPr>
          <w:rFonts w:ascii="SimSun" w:hAnsi="SimSun" w:eastAsia="SimSun" w:cs="SimSun"/>
          <w:sz w:val="21"/>
          <w:szCs w:val="21"/>
          <w:spacing w:val="-9"/>
        </w:rPr>
        <w:t>和《2002年电子商务条例》。需注意的</w:t>
      </w:r>
      <w:r>
        <w:rPr>
          <w:rFonts w:ascii="SimSun" w:hAnsi="SimSun" w:eastAsia="SimSun" w:cs="SimSun"/>
          <w:sz w:val="21"/>
          <w:szCs w:val="21"/>
          <w:spacing w:val="-10"/>
        </w:rPr>
        <w:t>是，虽然《2013年诽谤法》是</w:t>
      </w:r>
      <w:r>
        <w:rPr>
          <w:rFonts w:ascii="SimSun" w:hAnsi="SimSun" w:eastAsia="SimSun" w:cs="SimSun"/>
          <w:sz w:val="21"/>
          <w:szCs w:val="21"/>
        </w:rPr>
        <w:t xml:space="preserve">  </w:t>
      </w:r>
      <w:r>
        <w:rPr>
          <w:rFonts w:ascii="SimSun" w:hAnsi="SimSun" w:eastAsia="SimSun" w:cs="SimSun"/>
          <w:sz w:val="21"/>
          <w:szCs w:val="21"/>
          <w:spacing w:val="-7"/>
        </w:rPr>
        <w:t>在《1952年诽谤法》和《1996年诽谤法》两部法律基础上修订而成，</w:t>
      </w:r>
      <w:r>
        <w:rPr>
          <w:rFonts w:ascii="SimSun" w:hAnsi="SimSun" w:eastAsia="SimSun" w:cs="SimSun"/>
          <w:sz w:val="21"/>
          <w:szCs w:val="21"/>
          <w:spacing w:val="11"/>
        </w:rPr>
        <w:t xml:space="preserve"> </w:t>
      </w:r>
      <w:r>
        <w:rPr>
          <w:rFonts w:ascii="SimSun" w:hAnsi="SimSun" w:eastAsia="SimSun" w:cs="SimSun"/>
          <w:sz w:val="21"/>
          <w:szCs w:val="21"/>
          <w:spacing w:val="-11"/>
        </w:rPr>
        <w:t>但并未因新法颁布导致旧法失效，而是三者互为补充、共同规范，以</w:t>
      </w:r>
      <w:r>
        <w:rPr>
          <w:rFonts w:ascii="SimSun" w:hAnsi="SimSun" w:eastAsia="SimSun" w:cs="SimSun"/>
          <w:sz w:val="21"/>
          <w:szCs w:val="21"/>
          <w:spacing w:val="8"/>
        </w:rPr>
        <w:t xml:space="preserve">  </w:t>
      </w:r>
      <w:r>
        <w:rPr>
          <w:rFonts w:ascii="SimSun" w:hAnsi="SimSun" w:eastAsia="SimSun" w:cs="SimSun"/>
          <w:sz w:val="21"/>
          <w:szCs w:val="21"/>
          <w:spacing w:val="-8"/>
        </w:rPr>
        <w:t>求在言论自由保护和公民名誉权保护间达成某种平衡。在普通法中，</w:t>
      </w:r>
      <w:r>
        <w:rPr>
          <w:rFonts w:ascii="SimSun" w:hAnsi="SimSun" w:eastAsia="SimSun" w:cs="SimSun"/>
          <w:sz w:val="21"/>
          <w:szCs w:val="21"/>
          <w:spacing w:val="13"/>
        </w:rPr>
        <w:t xml:space="preserve"> </w:t>
      </w:r>
      <w:r>
        <w:rPr>
          <w:rFonts w:ascii="SimSun" w:hAnsi="SimSun" w:eastAsia="SimSun" w:cs="SimSun"/>
          <w:sz w:val="21"/>
          <w:szCs w:val="21"/>
          <w:spacing w:val="-11"/>
        </w:rPr>
        <w:t>名誉权被分为书面诽谤和口头诽谤两种，其中原告若想证明构成一般</w:t>
      </w:r>
      <w:r>
        <w:rPr>
          <w:rFonts w:ascii="SimSun" w:hAnsi="SimSun" w:eastAsia="SimSun" w:cs="SimSun"/>
          <w:sz w:val="21"/>
          <w:szCs w:val="21"/>
          <w:spacing w:val="3"/>
        </w:rPr>
        <w:t xml:space="preserve">  </w:t>
      </w:r>
      <w:r>
        <w:rPr>
          <w:rFonts w:ascii="SimSun" w:hAnsi="SimSun" w:eastAsia="SimSun" w:cs="SimSun"/>
          <w:sz w:val="21"/>
          <w:szCs w:val="21"/>
          <w:spacing w:val="-12"/>
        </w:rPr>
        <w:t>的口头诽谤，必须证明自己遭受了实际损害。</w:t>
      </w:r>
    </w:p>
    <w:p>
      <w:pPr>
        <w:spacing w:line="304" w:lineRule="auto"/>
        <w:sectPr>
          <w:headerReference w:type="default" r:id="rId541"/>
          <w:pgSz w:w="7330" w:h="12480"/>
          <w:pgMar w:top="815" w:right="624" w:bottom="400" w:left="610" w:header="641" w:footer="0" w:gutter="0"/>
        </w:sectPr>
        <w:rPr>
          <w:rFonts w:ascii="SimSun" w:hAnsi="SimSun" w:eastAsia="SimSun" w:cs="SimSun"/>
          <w:sz w:val="21"/>
          <w:szCs w:val="2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right="38"/>
        <w:spacing w:before="68" w:line="370" w:lineRule="exact"/>
        <w:jc w:val="right"/>
        <w:rPr>
          <w:rFonts w:ascii="SimSun" w:hAnsi="SimSun" w:eastAsia="SimSun" w:cs="SimSun"/>
          <w:sz w:val="21"/>
          <w:szCs w:val="21"/>
        </w:rPr>
      </w:pPr>
      <w:r>
        <w:rPr>
          <w:rFonts w:ascii="SimSun" w:hAnsi="SimSun" w:eastAsia="SimSun" w:cs="SimSun"/>
          <w:sz w:val="21"/>
          <w:szCs w:val="21"/>
          <w:spacing w:val="-10"/>
          <w:position w:val="12"/>
        </w:rPr>
        <w:t>具体到平台责任的情境中，平台地位的认定也随成文</w:t>
      </w:r>
      <w:r>
        <w:rPr>
          <w:rFonts w:ascii="SimSun" w:hAnsi="SimSun" w:eastAsia="SimSun" w:cs="SimSun"/>
          <w:sz w:val="21"/>
          <w:szCs w:val="21"/>
          <w:spacing w:val="-11"/>
          <w:position w:val="12"/>
        </w:rPr>
        <w:t>法的修改和</w:t>
      </w:r>
    </w:p>
    <w:p>
      <w:pPr>
        <w:ind w:left="105"/>
        <w:spacing w:line="219" w:lineRule="auto"/>
        <w:rPr>
          <w:rFonts w:ascii="SimSun" w:hAnsi="SimSun" w:eastAsia="SimSun" w:cs="SimSun"/>
          <w:sz w:val="21"/>
          <w:szCs w:val="21"/>
        </w:rPr>
      </w:pPr>
      <w:r>
        <w:rPr>
          <w:rFonts w:ascii="SimSun" w:hAnsi="SimSun" w:eastAsia="SimSun" w:cs="SimSun"/>
          <w:sz w:val="21"/>
          <w:szCs w:val="21"/>
          <w:spacing w:val="-11"/>
        </w:rPr>
        <w:t>判例的做出，而有扩大平台责任豁免范围的趋势。</w:t>
      </w:r>
    </w:p>
    <w:p>
      <w:pPr>
        <w:ind w:left="105" w:firstLine="420"/>
        <w:spacing w:before="97" w:line="306" w:lineRule="auto"/>
        <w:rPr>
          <w:rFonts w:ascii="SimSun" w:hAnsi="SimSun" w:eastAsia="SimSun" w:cs="SimSun"/>
          <w:sz w:val="21"/>
          <w:szCs w:val="21"/>
        </w:rPr>
      </w:pPr>
      <w:r>
        <w:rPr>
          <w:rFonts w:ascii="SimSun" w:hAnsi="SimSun" w:eastAsia="SimSun" w:cs="SimSun"/>
          <w:sz w:val="21"/>
          <w:szCs w:val="21"/>
          <w:spacing w:val="-11"/>
        </w:rPr>
        <w:t>英国在名誉权保护上，同样遵循“通知—删除”模式，该模式和</w:t>
      </w:r>
      <w:r>
        <w:rPr>
          <w:rFonts w:ascii="SimSun" w:hAnsi="SimSun" w:eastAsia="SimSun" w:cs="SimSun"/>
          <w:sz w:val="21"/>
          <w:szCs w:val="21"/>
          <w:spacing w:val="13"/>
        </w:rPr>
        <w:t xml:space="preserve"> </w:t>
      </w:r>
      <w:r>
        <w:rPr>
          <w:rFonts w:ascii="SimSun" w:hAnsi="SimSun" w:eastAsia="SimSun" w:cs="SimSun"/>
          <w:sz w:val="21"/>
          <w:szCs w:val="21"/>
          <w:spacing w:val="-4"/>
        </w:rPr>
        <w:t>平台作为出版者“参与发表”的责任在戈弗雷</w:t>
      </w:r>
      <w:r>
        <w:rPr>
          <w:rFonts w:ascii="Times New Roman" w:hAnsi="Times New Roman" w:eastAsia="Times New Roman" w:cs="Times New Roman"/>
          <w:sz w:val="21"/>
          <w:szCs w:val="21"/>
          <w:spacing w:val="-4"/>
        </w:rPr>
        <w:t>(Godfrey)    </w:t>
      </w:r>
      <w:r>
        <w:rPr>
          <w:rFonts w:ascii="SimSun" w:hAnsi="SimSun" w:eastAsia="SimSun" w:cs="SimSun"/>
          <w:sz w:val="21"/>
          <w:szCs w:val="21"/>
          <w:spacing w:val="-4"/>
        </w:rPr>
        <w:t>诉</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Demon</w:t>
      </w:r>
      <w:r>
        <w:rPr>
          <w:rFonts w:ascii="Times New Roman" w:hAnsi="Times New Roman" w:eastAsia="Times New Roman" w:cs="Times New Roman"/>
          <w:sz w:val="21"/>
          <w:szCs w:val="21"/>
        </w:rPr>
        <w:t xml:space="preserve">  </w:t>
      </w:r>
      <w:r>
        <w:rPr>
          <w:rFonts w:ascii="SimSun" w:hAnsi="SimSun" w:eastAsia="SimSun" w:cs="SimSun"/>
          <w:sz w:val="21"/>
          <w:szCs w:val="21"/>
          <w:spacing w:val="-9"/>
        </w:rPr>
        <w:t>互联网公司案中可见一二。本案中，在</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9"/>
        </w:rPr>
        <w:t>Demon</w:t>
      </w:r>
      <w:r>
        <w:rPr>
          <w:rFonts w:ascii="SimSun" w:hAnsi="SimSun" w:eastAsia="SimSun" w:cs="SimSun"/>
          <w:sz w:val="21"/>
          <w:szCs w:val="21"/>
          <w:spacing w:val="-9"/>
        </w:rPr>
        <w:t>公司开设的聊天室中，</w:t>
      </w:r>
      <w:r>
        <w:rPr>
          <w:rFonts w:ascii="SimSun" w:hAnsi="SimSun" w:eastAsia="SimSun" w:cs="SimSun"/>
          <w:sz w:val="21"/>
          <w:szCs w:val="21"/>
        </w:rPr>
        <w:t xml:space="preserve"> </w:t>
      </w:r>
      <w:r>
        <w:rPr>
          <w:rFonts w:ascii="SimSun" w:hAnsi="SimSun" w:eastAsia="SimSun" w:cs="SimSun"/>
          <w:sz w:val="21"/>
          <w:szCs w:val="21"/>
          <w:spacing w:val="-11"/>
        </w:rPr>
        <w:t>有不明身份者盗用戈弗雷在聊天网站中发布的信息。戈弗雷要求网站 </w:t>
      </w:r>
      <w:r>
        <w:rPr>
          <w:rFonts w:ascii="SimSun" w:hAnsi="SimSun" w:eastAsia="SimSun" w:cs="SimSun"/>
          <w:sz w:val="21"/>
          <w:szCs w:val="21"/>
          <w:spacing w:val="-3"/>
        </w:rPr>
        <w:t>删除，但并未收到网站的回应。法院依据《1996年诽谤法》</w:t>
      </w:r>
      <w:r>
        <w:rPr>
          <w:rFonts w:ascii="SimSun" w:hAnsi="SimSun" w:eastAsia="SimSun" w:cs="SimSun"/>
          <w:sz w:val="21"/>
          <w:szCs w:val="21"/>
          <w:spacing w:val="-4"/>
        </w:rPr>
        <w:t>中的出</w:t>
      </w:r>
      <w:r>
        <w:rPr>
          <w:rFonts w:ascii="SimSun" w:hAnsi="SimSun" w:eastAsia="SimSun" w:cs="SimSun"/>
          <w:sz w:val="21"/>
          <w:szCs w:val="21"/>
        </w:rPr>
        <w:t xml:space="preserve"> </w:t>
      </w:r>
      <w:r>
        <w:rPr>
          <w:rFonts w:ascii="SimSun" w:hAnsi="SimSun" w:eastAsia="SimSun" w:cs="SimSun"/>
          <w:sz w:val="21"/>
          <w:szCs w:val="21"/>
          <w:spacing w:val="-4"/>
        </w:rPr>
        <w:t>版者责任，认为</w:t>
      </w:r>
      <w:r>
        <w:rPr>
          <w:rFonts w:ascii="Times New Roman" w:hAnsi="Times New Roman" w:eastAsia="Times New Roman" w:cs="Times New Roman"/>
          <w:sz w:val="21"/>
          <w:szCs w:val="21"/>
          <w:spacing w:val="-4"/>
        </w:rPr>
        <w:t>Demon</w:t>
      </w:r>
      <w:r>
        <w:rPr>
          <w:rFonts w:ascii="SimSun" w:hAnsi="SimSun" w:eastAsia="SimSun" w:cs="SimSun"/>
          <w:sz w:val="21"/>
          <w:szCs w:val="21"/>
          <w:spacing w:val="-4"/>
        </w:rPr>
        <w:t>对网络聊天室的诽谤言论进行存档，而其他 </w:t>
      </w:r>
      <w:r>
        <w:rPr>
          <w:rFonts w:ascii="SimSun" w:hAnsi="SimSun" w:eastAsia="SimSun" w:cs="SimSun"/>
          <w:sz w:val="21"/>
          <w:szCs w:val="21"/>
          <w:spacing w:val="-8"/>
        </w:rPr>
        <w:t>阅览者进入聊天室时，即构成了向注册用户提供诽谤出</w:t>
      </w:r>
      <w:r>
        <w:rPr>
          <w:rFonts w:ascii="SimSun" w:hAnsi="SimSun" w:eastAsia="SimSun" w:cs="SimSun"/>
          <w:sz w:val="21"/>
          <w:szCs w:val="21"/>
          <w:spacing w:val="-9"/>
        </w:rPr>
        <w:t>版物。所以，</w:t>
      </w:r>
      <w:r>
        <w:rPr>
          <w:rFonts w:ascii="SimSun" w:hAnsi="SimSun" w:eastAsia="SimSun" w:cs="SimSun"/>
          <w:sz w:val="21"/>
          <w:szCs w:val="21"/>
        </w:rPr>
        <w:t xml:space="preserve"> </w:t>
      </w:r>
      <w:r>
        <w:rPr>
          <w:rFonts w:ascii="SimSun" w:hAnsi="SimSun" w:eastAsia="SimSun" w:cs="SimSun"/>
          <w:sz w:val="21"/>
          <w:szCs w:val="21"/>
          <w:spacing w:val="-4"/>
        </w:rPr>
        <w:t>如若被告知道侵权事实，但并未删除相关内容，则需要承担出版者 </w:t>
      </w:r>
      <w:r>
        <w:rPr>
          <w:rFonts w:ascii="SimSun" w:hAnsi="SimSun" w:eastAsia="SimSun" w:cs="SimSun"/>
          <w:sz w:val="21"/>
          <w:szCs w:val="21"/>
          <w:spacing w:val="-11"/>
        </w:rPr>
        <w:t>责任。</w:t>
      </w:r>
    </w:p>
    <w:p>
      <w:pPr>
        <w:ind w:firstLine="380"/>
        <w:spacing w:before="104" w:line="308" w:lineRule="auto"/>
        <w:rPr>
          <w:rFonts w:ascii="SimSun" w:hAnsi="SimSun" w:eastAsia="SimSun" w:cs="SimSun"/>
          <w:sz w:val="21"/>
          <w:szCs w:val="21"/>
        </w:rPr>
      </w:pPr>
      <w:r>
        <w:rPr>
          <w:rFonts w:ascii="SimSun" w:hAnsi="SimSun" w:eastAsia="SimSun" w:cs="SimSun"/>
          <w:sz w:val="21"/>
          <w:szCs w:val="21"/>
          <w:spacing w:val="1"/>
        </w:rPr>
        <w:t>《2002年电子商务条例》中，平台更多被认为需承担“帮助发</w:t>
      </w:r>
      <w:r>
        <w:rPr>
          <w:rFonts w:ascii="SimSun" w:hAnsi="SimSun" w:eastAsia="SimSun" w:cs="SimSun"/>
          <w:sz w:val="21"/>
          <w:szCs w:val="21"/>
          <w:spacing w:val="15"/>
        </w:rPr>
        <w:t xml:space="preserve"> </w:t>
      </w:r>
      <w:r>
        <w:rPr>
          <w:rFonts w:ascii="SimSun" w:hAnsi="SimSun" w:eastAsia="SimSun" w:cs="SimSun"/>
          <w:sz w:val="21"/>
          <w:szCs w:val="21"/>
          <w:spacing w:val="-7"/>
        </w:rPr>
        <w:t>表”的责任，并且从反面规定了网络平台的免责条件。《2002年电子 </w:t>
      </w:r>
      <w:r>
        <w:rPr>
          <w:rFonts w:ascii="SimSun" w:hAnsi="SimSun" w:eastAsia="SimSun" w:cs="SimSun"/>
          <w:sz w:val="21"/>
          <w:szCs w:val="21"/>
          <w:spacing w:val="-1"/>
        </w:rPr>
        <w:t>商务条例》第17条“纯粹传输条款”、第18条“高速缓存条款”和 </w:t>
      </w:r>
      <w:r>
        <w:rPr>
          <w:rFonts w:ascii="SimSun" w:hAnsi="SimSun" w:eastAsia="SimSun" w:cs="SimSun"/>
          <w:sz w:val="21"/>
          <w:szCs w:val="21"/>
          <w:spacing w:val="-1"/>
        </w:rPr>
        <w:t>第19条“宿主服务条款”中，将不参与加工信息的中间机构划分为 </w:t>
      </w:r>
      <w:r>
        <w:rPr>
          <w:rFonts w:ascii="SimSun" w:hAnsi="SimSun" w:eastAsia="SimSun" w:cs="SimSun"/>
          <w:sz w:val="21"/>
          <w:szCs w:val="21"/>
          <w:spacing w:val="2"/>
        </w:rPr>
        <w:t>“帮助发表者”而非直接出版者。如在邦特</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Bunt</w:t>
      </w:r>
      <w:r>
        <w:rPr>
          <w:rFonts w:ascii="Times New Roman" w:hAnsi="Times New Roman" w:eastAsia="Times New Roman" w:cs="Times New Roman"/>
          <w:sz w:val="21"/>
          <w:szCs w:val="21"/>
          <w:spacing w:val="1"/>
        </w:rPr>
        <w:t>)   </w:t>
      </w:r>
      <w:r>
        <w:rPr>
          <w:rFonts w:ascii="SimSun" w:hAnsi="SimSun" w:eastAsia="SimSun" w:cs="SimSun"/>
          <w:sz w:val="21"/>
          <w:szCs w:val="21"/>
          <w:spacing w:val="1"/>
        </w:rPr>
        <w:t>诉蒂利</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Tilley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spacing w:val="7"/>
        </w:rPr>
        <w:t>案中，法院采取了和戈弗雷案相反的态度，认</w:t>
      </w:r>
      <w:r>
        <w:rPr>
          <w:rFonts w:ascii="SimSun" w:hAnsi="SimSun" w:eastAsia="SimSun" w:cs="SimSun"/>
          <w:sz w:val="21"/>
          <w:szCs w:val="21"/>
          <w:spacing w:val="6"/>
        </w:rPr>
        <w:t>为被告是“被动媒 </w:t>
      </w:r>
      <w:r>
        <w:rPr>
          <w:rFonts w:ascii="SimSun" w:hAnsi="SimSun" w:eastAsia="SimSun" w:cs="SimSun"/>
          <w:sz w:val="21"/>
          <w:szCs w:val="21"/>
          <w:spacing w:val="6"/>
        </w:rPr>
        <w:t>体”从而得到责任豁免，应当受到《2002年电子商务条例》的保 </w:t>
      </w:r>
      <w:r>
        <w:rPr>
          <w:rFonts w:ascii="SimSun" w:hAnsi="SimSun" w:eastAsia="SimSun" w:cs="SimSun"/>
          <w:sz w:val="21"/>
          <w:szCs w:val="21"/>
          <w:spacing w:val="4"/>
        </w:rPr>
        <w:t>护。而在谢菲尔德星期三足球俱乐部诉哈格雷夫斯(</w:t>
      </w:r>
      <w:r>
        <w:rPr>
          <w:rFonts w:ascii="SimSun" w:hAnsi="SimSun" w:eastAsia="SimSun" w:cs="SimSun"/>
          <w:sz w:val="21"/>
          <w:szCs w:val="21"/>
        </w:rPr>
        <w:t>Hargraves</w:t>
      </w:r>
      <w:r>
        <w:rPr>
          <w:rFonts w:ascii="SimSun" w:hAnsi="SimSun" w:eastAsia="SimSun" w:cs="SimSun"/>
          <w:sz w:val="21"/>
          <w:szCs w:val="21"/>
          <w:spacing w:val="4"/>
        </w:rPr>
        <w:t>)案</w:t>
      </w:r>
      <w:r>
        <w:rPr>
          <w:rFonts w:ascii="SimSun" w:hAnsi="SimSun" w:eastAsia="SimSun" w:cs="SimSun"/>
          <w:sz w:val="21"/>
          <w:szCs w:val="21"/>
          <w:spacing w:val="9"/>
        </w:rPr>
        <w:t xml:space="preserve"> </w:t>
      </w:r>
      <w:r>
        <w:rPr>
          <w:rFonts w:ascii="SimSun" w:hAnsi="SimSun" w:eastAsia="SimSun" w:cs="SimSun"/>
          <w:sz w:val="21"/>
          <w:szCs w:val="21"/>
          <w:spacing w:val="-1"/>
        </w:rPr>
        <w:t>中，法院认为，平台的谨慎义务同时涉及实体和程序两部分。又如 </w:t>
      </w:r>
      <w:r>
        <w:rPr>
          <w:rFonts w:ascii="Times New Roman" w:hAnsi="Times New Roman" w:eastAsia="Times New Roman" w:cs="Times New Roman"/>
          <w:sz w:val="21"/>
          <w:szCs w:val="21"/>
        </w:rPr>
        <w:t>Metropolitan</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Schools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公司诉</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Designtechnica</w:t>
      </w:r>
      <w:r>
        <w:rPr>
          <w:rFonts w:ascii="SimSun" w:hAnsi="SimSun" w:eastAsia="SimSun" w:cs="SimSun"/>
          <w:sz w:val="21"/>
          <w:szCs w:val="21"/>
          <w:spacing w:val="10"/>
        </w:rPr>
        <w:t>公司案中，</w:t>
      </w:r>
      <w:r>
        <w:rPr>
          <w:rFonts w:ascii="SimSun" w:hAnsi="SimSun" w:eastAsia="SimSun" w:cs="SimSun"/>
          <w:sz w:val="21"/>
          <w:szCs w:val="21"/>
        </w:rPr>
        <w:t xml:space="preserve"> </w:t>
      </w:r>
      <w:r>
        <w:rPr>
          <w:rFonts w:ascii="SimSun" w:hAnsi="SimSun" w:eastAsia="SimSun" w:cs="SimSun"/>
          <w:sz w:val="21"/>
          <w:szCs w:val="21"/>
          <w:spacing w:val="-7"/>
        </w:rPr>
        <w:t>原告同时起诉了谷歌，法院认为，谷歌公司因为对</w:t>
      </w:r>
      <w:r>
        <w:rPr>
          <w:rFonts w:ascii="SimSun" w:hAnsi="SimSun" w:eastAsia="SimSun" w:cs="SimSun"/>
          <w:sz w:val="21"/>
          <w:szCs w:val="21"/>
          <w:spacing w:val="-8"/>
        </w:rPr>
        <w:t>引擎爬取和现实的 </w:t>
      </w:r>
      <w:r>
        <w:rPr>
          <w:rFonts w:ascii="SimSun" w:hAnsi="SimSun" w:eastAsia="SimSun" w:cs="SimSun"/>
          <w:sz w:val="21"/>
          <w:szCs w:val="21"/>
          <w:spacing w:val="-7"/>
        </w:rPr>
        <w:t>内容没有控制权，所以无法承担直接责任，同时，</w:t>
      </w:r>
      <w:r>
        <w:rPr>
          <w:rFonts w:ascii="SimSun" w:hAnsi="SimSun" w:eastAsia="SimSun" w:cs="SimSun"/>
          <w:sz w:val="21"/>
          <w:szCs w:val="21"/>
          <w:spacing w:val="-8"/>
        </w:rPr>
        <w:t>该种责任也不会因 </w:t>
      </w:r>
      <w:r>
        <w:rPr>
          <w:rFonts w:ascii="SimSun" w:hAnsi="SimSun" w:eastAsia="SimSun" w:cs="SimSun"/>
          <w:sz w:val="21"/>
          <w:szCs w:val="21"/>
          <w:spacing w:val="-1"/>
        </w:rPr>
        <w:t>为默示同意而产生。</w:t>
      </w:r>
    </w:p>
    <w:p>
      <w:pPr>
        <w:ind w:left="105" w:firstLine="275"/>
        <w:spacing w:before="130" w:line="284" w:lineRule="auto"/>
        <w:rPr>
          <w:rFonts w:ascii="SimSun" w:hAnsi="SimSun" w:eastAsia="SimSun" w:cs="SimSun"/>
          <w:sz w:val="21"/>
          <w:szCs w:val="21"/>
        </w:rPr>
      </w:pPr>
      <w:r>
        <w:rPr>
          <w:rFonts w:ascii="SimSun" w:hAnsi="SimSun" w:eastAsia="SimSun" w:cs="SimSun"/>
          <w:sz w:val="21"/>
          <w:szCs w:val="21"/>
          <w:spacing w:val="-12"/>
        </w:rPr>
        <w:t>《2013年诽谤法》、《2013年网络服务提供者诽谤条例》及其附件 </w:t>
      </w:r>
      <w:r>
        <w:rPr>
          <w:rFonts w:ascii="SimSun" w:hAnsi="SimSun" w:eastAsia="SimSun" w:cs="SimSun"/>
          <w:sz w:val="21"/>
          <w:szCs w:val="21"/>
          <w:spacing w:val="-10"/>
        </w:rPr>
        <w:t>的重心放在细化网络平台在处理网络名誉权纠纷事件中的义务。虽在</w:t>
      </w:r>
      <w:r>
        <w:rPr>
          <w:rFonts w:ascii="SimSun" w:hAnsi="SimSun" w:eastAsia="SimSun" w:cs="SimSun"/>
          <w:sz w:val="21"/>
          <w:szCs w:val="21"/>
        </w:rPr>
        <w:t xml:space="preserve"> </w:t>
      </w:r>
      <w:r>
        <w:rPr>
          <w:rFonts w:ascii="SimSun" w:hAnsi="SimSun" w:eastAsia="SimSun" w:cs="SimSun"/>
          <w:sz w:val="21"/>
          <w:szCs w:val="21"/>
          <w:spacing w:val="-8"/>
        </w:rPr>
        <w:t>戈弗雷案等典型案例中，普通法已基本固定了“通知一</w:t>
      </w:r>
      <w:r>
        <w:rPr>
          <w:rFonts w:ascii="SimSun" w:hAnsi="SimSun" w:eastAsia="SimSun" w:cs="SimSun"/>
          <w:sz w:val="21"/>
          <w:szCs w:val="21"/>
          <w:spacing w:val="-9"/>
        </w:rPr>
        <w:t>删除”原则，</w:t>
      </w:r>
    </w:p>
    <w:p>
      <w:pPr>
        <w:spacing w:line="284" w:lineRule="auto"/>
        <w:sectPr>
          <w:headerReference w:type="default" r:id="rId542"/>
          <w:pgSz w:w="7330" w:h="12480"/>
          <w:pgMar w:top="507" w:right="534" w:bottom="400" w:left="634" w:header="345"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right="139"/>
        <w:spacing w:before="68" w:line="297" w:lineRule="auto"/>
        <w:jc w:val="both"/>
        <w:rPr>
          <w:rFonts w:ascii="SimSun" w:hAnsi="SimSun" w:eastAsia="SimSun" w:cs="SimSun"/>
          <w:sz w:val="21"/>
          <w:szCs w:val="21"/>
        </w:rPr>
      </w:pPr>
      <w:r>
        <w:rPr>
          <w:rFonts w:ascii="SimSun" w:hAnsi="SimSun" w:eastAsia="SimSun" w:cs="SimSun"/>
          <w:sz w:val="21"/>
          <w:szCs w:val="21"/>
        </w:rPr>
        <w:t>但该原则具体可操作的成文法依据则是在《2013</w:t>
      </w:r>
      <w:r>
        <w:rPr>
          <w:rFonts w:ascii="SimSun" w:hAnsi="SimSun" w:eastAsia="SimSun" w:cs="SimSun"/>
          <w:sz w:val="21"/>
          <w:szCs w:val="21"/>
          <w:spacing w:val="-1"/>
        </w:rPr>
        <w:t>年诽谤法》第5条</w:t>
      </w:r>
      <w:r>
        <w:rPr>
          <w:rFonts w:ascii="SimSun" w:hAnsi="SimSun" w:eastAsia="SimSun" w:cs="SimSun"/>
          <w:sz w:val="21"/>
          <w:szCs w:val="21"/>
        </w:rPr>
        <w:t xml:space="preserve"> </w:t>
      </w:r>
      <w:r>
        <w:rPr>
          <w:rFonts w:ascii="SimSun" w:hAnsi="SimSun" w:eastAsia="SimSun" w:cs="SimSun"/>
          <w:sz w:val="21"/>
          <w:szCs w:val="21"/>
          <w:spacing w:val="-9"/>
        </w:rPr>
        <w:t>中才具体提出，12项条文分别对应12个抗辩内容。在实践中，《2</w:t>
      </w:r>
      <w:r>
        <w:rPr>
          <w:rFonts w:ascii="SimSun" w:hAnsi="SimSun" w:eastAsia="SimSun" w:cs="SimSun"/>
          <w:sz w:val="21"/>
          <w:szCs w:val="21"/>
          <w:spacing w:val="-10"/>
        </w:rPr>
        <w:t>013</w:t>
      </w:r>
      <w:r>
        <w:rPr>
          <w:rFonts w:ascii="SimSun" w:hAnsi="SimSun" w:eastAsia="SimSun" w:cs="SimSun"/>
          <w:sz w:val="21"/>
          <w:szCs w:val="21"/>
        </w:rPr>
        <w:t xml:space="preserve"> </w:t>
      </w:r>
      <w:r>
        <w:rPr>
          <w:rFonts w:ascii="SimSun" w:hAnsi="SimSun" w:eastAsia="SimSun" w:cs="SimSun"/>
          <w:sz w:val="21"/>
          <w:szCs w:val="21"/>
          <w:spacing w:val="-10"/>
        </w:rPr>
        <w:t>年诽谤法》几乎豁免了互联网平台的责任，将平台对“</w:t>
      </w:r>
      <w:r>
        <w:rPr>
          <w:rFonts w:ascii="SimSun" w:hAnsi="SimSun" w:eastAsia="SimSun" w:cs="SimSun"/>
          <w:sz w:val="21"/>
          <w:szCs w:val="21"/>
          <w:spacing w:val="-11"/>
        </w:rPr>
        <w:t>非法性”的知</w:t>
      </w:r>
      <w:r>
        <w:rPr>
          <w:rFonts w:ascii="SimSun" w:hAnsi="SimSun" w:eastAsia="SimSun" w:cs="SimSun"/>
          <w:sz w:val="21"/>
          <w:szCs w:val="21"/>
        </w:rPr>
        <w:t xml:space="preserve"> </w:t>
      </w:r>
      <w:r>
        <w:rPr>
          <w:rFonts w:ascii="SimSun" w:hAnsi="SimSun" w:eastAsia="SimSun" w:cs="SimSun"/>
          <w:sz w:val="21"/>
          <w:szCs w:val="21"/>
          <w:spacing w:val="-11"/>
        </w:rPr>
        <w:t>道排除出了法律处理的框架，而这一态度和欧盟所采取的严格责任立</w:t>
      </w:r>
      <w:r>
        <w:rPr>
          <w:rFonts w:ascii="SimSun" w:hAnsi="SimSun" w:eastAsia="SimSun" w:cs="SimSun"/>
          <w:sz w:val="21"/>
          <w:szCs w:val="21"/>
          <w:spacing w:val="16"/>
        </w:rPr>
        <w:t xml:space="preserve"> </w:t>
      </w:r>
      <w:r>
        <w:rPr>
          <w:rFonts w:ascii="SimSun" w:hAnsi="SimSun" w:eastAsia="SimSun" w:cs="SimSun"/>
          <w:sz w:val="21"/>
          <w:szCs w:val="21"/>
          <w:spacing w:val="-13"/>
        </w:rPr>
        <w:t>场存在一定程度的背离。</w:t>
      </w:r>
    </w:p>
    <w:p>
      <w:pPr>
        <w:ind w:firstLine="430"/>
        <w:spacing w:before="111" w:line="318" w:lineRule="auto"/>
        <w:jc w:val="both"/>
        <w:rPr>
          <w:rFonts w:ascii="SimSun" w:hAnsi="SimSun" w:eastAsia="SimSun" w:cs="SimSun"/>
          <w:sz w:val="21"/>
          <w:szCs w:val="21"/>
        </w:rPr>
      </w:pPr>
      <w:r>
        <w:rPr>
          <w:rFonts w:ascii="SimSun" w:hAnsi="SimSun" w:eastAsia="SimSun" w:cs="SimSun"/>
          <w:sz w:val="21"/>
          <w:szCs w:val="21"/>
          <w:spacing w:val="-3"/>
        </w:rPr>
        <w:t>此外，网络平台还需在知识产权侵权中承担民</w:t>
      </w:r>
      <w:r>
        <w:rPr>
          <w:rFonts w:ascii="SimSun" w:hAnsi="SimSun" w:eastAsia="SimSun" w:cs="SimSun"/>
          <w:sz w:val="21"/>
          <w:szCs w:val="21"/>
          <w:spacing w:val="-4"/>
        </w:rPr>
        <w:t>事责任。在著作</w:t>
      </w:r>
      <w:r>
        <w:rPr>
          <w:rFonts w:ascii="SimSun" w:hAnsi="SimSun" w:eastAsia="SimSun" w:cs="SimSun"/>
          <w:sz w:val="21"/>
          <w:szCs w:val="21"/>
        </w:rPr>
        <w:t xml:space="preserve">  </w:t>
      </w:r>
      <w:r>
        <w:rPr>
          <w:rFonts w:ascii="SimSun" w:hAnsi="SimSun" w:eastAsia="SimSun" w:cs="SimSun"/>
          <w:sz w:val="21"/>
          <w:szCs w:val="21"/>
          <w:spacing w:val="-5"/>
        </w:rPr>
        <w:t>权侵权领域，英国最主要的成文法是《1988年版权、设</w:t>
      </w:r>
      <w:r>
        <w:rPr>
          <w:rFonts w:ascii="SimSun" w:hAnsi="SimSun" w:eastAsia="SimSun" w:cs="SimSun"/>
          <w:sz w:val="21"/>
          <w:szCs w:val="21"/>
          <w:spacing w:val="-6"/>
        </w:rPr>
        <w:t>计和专利法》</w:t>
      </w:r>
      <w:r>
        <w:rPr>
          <w:rFonts w:ascii="SimSun" w:hAnsi="SimSun" w:eastAsia="SimSun" w:cs="SimSun"/>
          <w:sz w:val="21"/>
          <w:szCs w:val="21"/>
        </w:rPr>
        <w:t xml:space="preserve"> </w:t>
      </w:r>
      <w:r>
        <w:rPr>
          <w:rFonts w:ascii="SimSun" w:hAnsi="SimSun" w:eastAsia="SimSun" w:cs="SimSun"/>
          <w:sz w:val="21"/>
          <w:szCs w:val="21"/>
          <w:spacing w:val="-9"/>
        </w:rPr>
        <w:t>和《2010年数字经济法》。其中，《2010年数字经济法》</w:t>
      </w:r>
      <w:r>
        <w:rPr>
          <w:rFonts w:ascii="SimSun" w:hAnsi="SimSun" w:eastAsia="SimSun" w:cs="SimSun"/>
          <w:sz w:val="21"/>
          <w:szCs w:val="21"/>
          <w:spacing w:val="-10"/>
        </w:rPr>
        <w:t>规定了逐步</w:t>
      </w:r>
      <w:r>
        <w:rPr>
          <w:rFonts w:ascii="SimSun" w:hAnsi="SimSun" w:eastAsia="SimSun" w:cs="SimSun"/>
          <w:sz w:val="21"/>
          <w:szCs w:val="21"/>
        </w:rPr>
        <w:t xml:space="preserve">  </w:t>
      </w:r>
      <w:r>
        <w:rPr>
          <w:rFonts w:ascii="SimSun" w:hAnsi="SimSun" w:eastAsia="SimSun" w:cs="SimSun"/>
          <w:sz w:val="21"/>
          <w:szCs w:val="21"/>
          <w:spacing w:val="-10"/>
        </w:rPr>
        <w:t>升级回应的解决方案：著作权人发现侵权后，</w:t>
      </w:r>
      <w:r>
        <w:rPr>
          <w:rFonts w:ascii="SimSun" w:hAnsi="SimSun" w:eastAsia="SimSun" w:cs="SimSun"/>
          <w:sz w:val="21"/>
          <w:szCs w:val="21"/>
          <w:spacing w:val="-11"/>
        </w:rPr>
        <w:t>应当先通知平台；如果</w:t>
      </w:r>
      <w:r>
        <w:rPr>
          <w:rFonts w:ascii="SimSun" w:hAnsi="SimSun" w:eastAsia="SimSun" w:cs="SimSun"/>
          <w:sz w:val="21"/>
          <w:szCs w:val="21"/>
        </w:rPr>
        <w:t xml:space="preserve">  </w:t>
      </w:r>
      <w:r>
        <w:rPr>
          <w:rFonts w:ascii="SimSun" w:hAnsi="SimSun" w:eastAsia="SimSun" w:cs="SimSun"/>
          <w:sz w:val="21"/>
          <w:szCs w:val="21"/>
          <w:spacing w:val="-6"/>
        </w:rPr>
        <w:t>在固定时间内收到第二次通知，平台应向用户发出“中间通知”;如</w:t>
      </w:r>
    </w:p>
    <w:p>
      <w:pPr>
        <w:spacing w:line="219" w:lineRule="auto"/>
        <w:rPr>
          <w:rFonts w:ascii="SimSun" w:hAnsi="SimSun" w:eastAsia="SimSun" w:cs="SimSun"/>
          <w:sz w:val="21"/>
          <w:szCs w:val="21"/>
        </w:rPr>
      </w:pPr>
      <w:r>
        <w:rPr>
          <w:rFonts w:ascii="SimSun" w:hAnsi="SimSun" w:eastAsia="SimSun" w:cs="SimSun"/>
          <w:sz w:val="21"/>
          <w:szCs w:val="21"/>
          <w:spacing w:val="-11"/>
        </w:rPr>
        <w:t>果在固定时间内收到第三次通知，平台应当限制该侵权人访问。</w:t>
      </w:r>
    </w:p>
    <w:p>
      <w:pPr>
        <w:ind w:right="122" w:firstLine="430"/>
        <w:spacing w:before="101" w:line="307" w:lineRule="auto"/>
        <w:jc w:val="both"/>
        <w:rPr>
          <w:rFonts w:ascii="SimSun" w:hAnsi="SimSun" w:eastAsia="SimSun" w:cs="SimSun"/>
          <w:sz w:val="21"/>
          <w:szCs w:val="21"/>
        </w:rPr>
      </w:pPr>
      <w:r>
        <w:rPr>
          <w:rFonts w:ascii="SimSun" w:hAnsi="SimSun" w:eastAsia="SimSun" w:cs="SimSun"/>
          <w:sz w:val="21"/>
          <w:szCs w:val="21"/>
          <w:spacing w:val="-7"/>
        </w:rPr>
        <w:t>在商标侵权领域，英国的成文法依据主要是《商标法》,主要场</w:t>
      </w:r>
      <w:r>
        <w:rPr>
          <w:rFonts w:ascii="SimSun" w:hAnsi="SimSun" w:eastAsia="SimSun" w:cs="SimSun"/>
          <w:sz w:val="21"/>
          <w:szCs w:val="21"/>
          <w:spacing w:val="2"/>
        </w:rPr>
        <w:t xml:space="preserve"> </w:t>
      </w:r>
      <w:r>
        <w:rPr>
          <w:rFonts w:ascii="SimSun" w:hAnsi="SimSun" w:eastAsia="SimSun" w:cs="SimSun"/>
          <w:sz w:val="21"/>
          <w:szCs w:val="21"/>
          <w:spacing w:val="-11"/>
        </w:rPr>
        <w:t>景是购物网站存在假冒商标的商品流通。如在欧莱雅诉易贝案中，法</w:t>
      </w:r>
      <w:r>
        <w:rPr>
          <w:rFonts w:ascii="SimSun" w:hAnsi="SimSun" w:eastAsia="SimSun" w:cs="SimSun"/>
          <w:sz w:val="21"/>
          <w:szCs w:val="21"/>
          <w:spacing w:val="16"/>
        </w:rPr>
        <w:t xml:space="preserve"> </w:t>
      </w:r>
      <w:r>
        <w:rPr>
          <w:rFonts w:ascii="SimSun" w:hAnsi="SimSun" w:eastAsia="SimSun" w:cs="SimSun"/>
          <w:sz w:val="21"/>
          <w:szCs w:val="21"/>
          <w:spacing w:val="-4"/>
        </w:rPr>
        <w:t>院认为，虽然技术上易贝可以采取更多预防措施，但技术上可行不</w:t>
      </w:r>
      <w:r>
        <w:rPr>
          <w:rFonts w:ascii="SimSun" w:hAnsi="SimSun" w:eastAsia="SimSun" w:cs="SimSun"/>
          <w:sz w:val="21"/>
          <w:szCs w:val="21"/>
          <w:spacing w:val="16"/>
        </w:rPr>
        <w:t xml:space="preserve"> </w:t>
      </w:r>
      <w:r>
        <w:rPr>
          <w:rFonts w:ascii="SimSun" w:hAnsi="SimSun" w:eastAsia="SimSun" w:cs="SimSun"/>
          <w:sz w:val="21"/>
          <w:szCs w:val="21"/>
          <w:spacing w:val="-10"/>
        </w:rPr>
        <w:t>等于其有法律义务去如此做，从而认为被告</w:t>
      </w:r>
      <w:r>
        <w:rPr>
          <w:rFonts w:ascii="SimSun" w:hAnsi="SimSun" w:eastAsia="SimSun" w:cs="SimSun"/>
          <w:sz w:val="21"/>
          <w:szCs w:val="21"/>
          <w:spacing w:val="-11"/>
        </w:rPr>
        <w:t>无须承担此等责任。在卡</w:t>
      </w:r>
      <w:r>
        <w:rPr>
          <w:rFonts w:ascii="SimSun" w:hAnsi="SimSun" w:eastAsia="SimSun" w:cs="SimSun"/>
          <w:sz w:val="21"/>
          <w:szCs w:val="21"/>
        </w:rPr>
        <w:t xml:space="preserve"> </w:t>
      </w:r>
      <w:r>
        <w:rPr>
          <w:rFonts w:ascii="SimSun" w:hAnsi="SimSun" w:eastAsia="SimSun" w:cs="SimSun"/>
          <w:sz w:val="21"/>
          <w:szCs w:val="21"/>
          <w:spacing w:val="-11"/>
        </w:rPr>
        <w:t>地亚公司等诉英国广播公司等案中，法官指出，网站在发布针对网络</w:t>
      </w:r>
      <w:r>
        <w:rPr>
          <w:rFonts w:ascii="SimSun" w:hAnsi="SimSun" w:eastAsia="SimSun" w:cs="SimSun"/>
          <w:sz w:val="21"/>
          <w:szCs w:val="21"/>
          <w:spacing w:val="18"/>
        </w:rPr>
        <w:t xml:space="preserve"> </w:t>
      </w:r>
      <w:r>
        <w:rPr>
          <w:rFonts w:ascii="SimSun" w:hAnsi="SimSun" w:eastAsia="SimSun" w:cs="SimSun"/>
          <w:sz w:val="21"/>
          <w:szCs w:val="21"/>
          <w:spacing w:val="-7"/>
        </w:rPr>
        <w:t>中介机构的禁令时要满足以下条件才需要承担责任：(1)主体为中介</w:t>
      </w:r>
      <w:r>
        <w:rPr>
          <w:rFonts w:ascii="SimSun" w:hAnsi="SimSun" w:eastAsia="SimSun" w:cs="SimSun"/>
          <w:sz w:val="21"/>
          <w:szCs w:val="21"/>
          <w:spacing w:val="13"/>
        </w:rPr>
        <w:t xml:space="preserve"> </w:t>
      </w:r>
      <w:r>
        <w:rPr>
          <w:rFonts w:ascii="SimSun" w:hAnsi="SimSun" w:eastAsia="SimSun" w:cs="SimSun"/>
          <w:sz w:val="21"/>
          <w:szCs w:val="21"/>
          <w:spacing w:val="-3"/>
        </w:rPr>
        <w:t>机构；(2)网站上存在商标侵权行为；(3)网站技术为侵权者提供帮</w:t>
      </w:r>
      <w:r>
        <w:rPr>
          <w:rFonts w:ascii="SimSun" w:hAnsi="SimSun" w:eastAsia="SimSun" w:cs="SimSun"/>
          <w:sz w:val="21"/>
          <w:szCs w:val="21"/>
          <w:spacing w:val="2"/>
        </w:rPr>
        <w:t xml:space="preserve"> </w:t>
      </w:r>
      <w:r>
        <w:rPr>
          <w:rFonts w:ascii="SimSun" w:hAnsi="SimSun" w:eastAsia="SimSun" w:cs="SimSun"/>
          <w:sz w:val="21"/>
          <w:szCs w:val="21"/>
          <w:spacing w:val="-7"/>
        </w:rPr>
        <w:t>助；(4)网站事实上知道商标侵权的事实。除此之外，适用禁令还需</w:t>
      </w:r>
      <w:r>
        <w:rPr>
          <w:rFonts w:ascii="SimSun" w:hAnsi="SimSun" w:eastAsia="SimSun" w:cs="SimSun"/>
          <w:sz w:val="21"/>
          <w:szCs w:val="21"/>
          <w:spacing w:val="13"/>
        </w:rPr>
        <w:t xml:space="preserve"> </w:t>
      </w:r>
      <w:r>
        <w:rPr>
          <w:rFonts w:ascii="SimSun" w:hAnsi="SimSun" w:eastAsia="SimSun" w:cs="SimSun"/>
          <w:sz w:val="21"/>
          <w:szCs w:val="21"/>
          <w:spacing w:val="-10"/>
        </w:rPr>
        <w:t>满足必要性原则、有效性原则、劝诫原则等基本原则，</w:t>
      </w:r>
      <w:r>
        <w:rPr>
          <w:rFonts w:ascii="SimSun" w:hAnsi="SimSun" w:eastAsia="SimSun" w:cs="SimSun"/>
          <w:sz w:val="21"/>
          <w:szCs w:val="21"/>
          <w:spacing w:val="-11"/>
        </w:rPr>
        <w:t>以防止禁令的</w:t>
      </w:r>
      <w:r>
        <w:rPr>
          <w:rFonts w:ascii="SimSun" w:hAnsi="SimSun" w:eastAsia="SimSun" w:cs="SimSun"/>
          <w:sz w:val="21"/>
          <w:szCs w:val="21"/>
        </w:rPr>
        <w:t xml:space="preserve"> </w:t>
      </w:r>
      <w:r>
        <w:rPr>
          <w:rFonts w:ascii="SimSun" w:hAnsi="SimSun" w:eastAsia="SimSun" w:cs="SimSun"/>
          <w:sz w:val="21"/>
          <w:szCs w:val="21"/>
          <w:spacing w:val="-9"/>
        </w:rPr>
        <w:t>滥用。</w:t>
      </w:r>
    </w:p>
    <w:p>
      <w:pPr>
        <w:ind w:right="120" w:firstLine="430"/>
        <w:spacing w:before="107" w:line="300" w:lineRule="auto"/>
        <w:jc w:val="both"/>
        <w:rPr>
          <w:rFonts w:ascii="SimSun" w:hAnsi="SimSun" w:eastAsia="SimSun" w:cs="SimSun"/>
          <w:sz w:val="21"/>
          <w:szCs w:val="21"/>
        </w:rPr>
      </w:pPr>
      <w:r>
        <w:rPr>
          <w:rFonts w:ascii="SimSun" w:hAnsi="SimSun" w:eastAsia="SimSun" w:cs="SimSun"/>
          <w:sz w:val="21"/>
          <w:szCs w:val="21"/>
          <w:spacing w:val="4"/>
        </w:rPr>
        <w:t>行政责任方面，英国电信监管的主要部门为英国通信办公室</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Ofcom</w:t>
      </w:r>
      <w:r>
        <w:rPr>
          <w:rFonts w:ascii="Times New Roman" w:hAnsi="Times New Roman" w:eastAsia="Times New Roman" w:cs="Times New Roman"/>
          <w:sz w:val="21"/>
          <w:szCs w:val="21"/>
          <w:spacing w:val="8"/>
        </w:rPr>
        <w:t>),   </w:t>
      </w:r>
      <w:r>
        <w:rPr>
          <w:rFonts w:ascii="SimSun" w:hAnsi="SimSun" w:eastAsia="SimSun" w:cs="SimSun"/>
          <w:sz w:val="21"/>
          <w:szCs w:val="21"/>
          <w:spacing w:val="8"/>
        </w:rPr>
        <w:t>通信办公室依据《2010年数字经济法》的授权，制定</w:t>
      </w:r>
      <w:r>
        <w:rPr>
          <w:rFonts w:ascii="SimSun" w:hAnsi="SimSun" w:eastAsia="SimSun" w:cs="SimSun"/>
          <w:sz w:val="21"/>
          <w:szCs w:val="21"/>
          <w:spacing w:val="2"/>
        </w:rPr>
        <w:t xml:space="preserve"> </w:t>
      </w:r>
      <w:r>
        <w:rPr>
          <w:rFonts w:ascii="SimSun" w:hAnsi="SimSun" w:eastAsia="SimSun" w:cs="SimSun"/>
          <w:sz w:val="21"/>
          <w:szCs w:val="21"/>
          <w:spacing w:val="-4"/>
        </w:rPr>
        <w:t>了应对网络著作权侵权的“初始义务行为准则”。但</w:t>
      </w:r>
      <w:r>
        <w:rPr>
          <w:rFonts w:ascii="SimSun" w:hAnsi="SimSun" w:eastAsia="SimSun" w:cs="SimSun"/>
          <w:sz w:val="21"/>
          <w:szCs w:val="21"/>
          <w:spacing w:val="-5"/>
        </w:rPr>
        <w:t>具体到网络平</w:t>
      </w:r>
      <w:r>
        <w:rPr>
          <w:rFonts w:ascii="SimSun" w:hAnsi="SimSun" w:eastAsia="SimSun" w:cs="SimSun"/>
          <w:sz w:val="21"/>
          <w:szCs w:val="21"/>
        </w:rPr>
        <w:t xml:space="preserve"> </w:t>
      </w:r>
      <w:r>
        <w:rPr>
          <w:rFonts w:ascii="SimSun" w:hAnsi="SimSun" w:eastAsia="SimSun" w:cs="SimSun"/>
          <w:sz w:val="21"/>
          <w:szCs w:val="21"/>
          <w:spacing w:val="-4"/>
        </w:rPr>
        <w:t>台监管的内容，则主要是通过行业自律监管，如互联网守望基金会</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2"/>
        </w:rPr>
        <w:t>(Internet  Watch  Foundation,IWF)</w:t>
      </w:r>
      <w:r>
        <w:rPr>
          <w:rFonts w:ascii="SimSun" w:hAnsi="SimSun" w:eastAsia="SimSun" w:cs="SimSun"/>
          <w:sz w:val="21"/>
          <w:szCs w:val="21"/>
          <w:spacing w:val="-2"/>
        </w:rPr>
        <w:t>。该基金会建立举报热线和黑名单</w:t>
      </w:r>
      <w:r>
        <w:rPr>
          <w:rFonts w:ascii="SimSun" w:hAnsi="SimSun" w:eastAsia="SimSun" w:cs="SimSun"/>
          <w:sz w:val="21"/>
          <w:szCs w:val="21"/>
          <w:spacing w:val="9"/>
        </w:rPr>
        <w:t xml:space="preserve"> </w:t>
      </w:r>
      <w:r>
        <w:rPr>
          <w:rFonts w:ascii="SimSun" w:hAnsi="SimSun" w:eastAsia="SimSun" w:cs="SimSun"/>
          <w:sz w:val="21"/>
          <w:szCs w:val="21"/>
          <w:spacing w:val="-10"/>
        </w:rPr>
        <w:t>制度，采取主动和被动的屏蔽措施；同时与网络服务提供商合作</w:t>
      </w:r>
      <w:r>
        <w:rPr>
          <w:rFonts w:ascii="SimSun" w:hAnsi="SimSun" w:eastAsia="SimSun" w:cs="SimSun"/>
          <w:sz w:val="21"/>
          <w:szCs w:val="21"/>
          <w:spacing w:val="-11"/>
        </w:rPr>
        <w:t>，分</w:t>
      </w:r>
    </w:p>
    <w:p>
      <w:pPr>
        <w:spacing w:line="300" w:lineRule="auto"/>
        <w:sectPr>
          <w:headerReference w:type="default" r:id="rId543"/>
          <w:pgSz w:w="7330" w:h="12480"/>
          <w:pgMar w:top="808" w:right="644" w:bottom="400" w:left="549" w:header="633" w:footer="0" w:gutter="0"/>
        </w:sectPr>
        <w:rPr>
          <w:rFonts w:ascii="SimSun" w:hAnsi="SimSun" w:eastAsia="SimSun" w:cs="SimSun"/>
          <w:sz w:val="21"/>
          <w:szCs w:val="21"/>
        </w:rPr>
      </w:pPr>
    </w:p>
    <w:p>
      <w:pPr>
        <w:pStyle w:val="BodyText"/>
        <w:spacing w:line="256" w:lineRule="auto"/>
        <w:rPr/>
      </w:pPr>
      <w:r>
        <w:drawing>
          <wp:anchor distT="0" distB="0" distL="0" distR="0" simplePos="0" relativeHeight="256413696" behindDoc="0" locked="0" layoutInCell="0" allowOverlap="1">
            <wp:simplePos x="0" y="0"/>
            <wp:positionH relativeFrom="page">
              <wp:posOffset>425472</wp:posOffset>
            </wp:positionH>
            <wp:positionV relativeFrom="page">
              <wp:posOffset>6686545</wp:posOffset>
            </wp:positionV>
            <wp:extent cx="1181092" cy="6350"/>
            <wp:effectExtent l="0" t="0" r="0" b="0"/>
            <wp:wrapNone/>
            <wp:docPr id="412" name="IM 412"/>
            <wp:cNvGraphicFramePr/>
            <a:graphic>
              <a:graphicData uri="http://schemas.openxmlformats.org/drawingml/2006/picture">
                <pic:pic>
                  <pic:nvPicPr>
                    <pic:cNvPr id="412" name="IM 412"/>
                    <pic:cNvPicPr/>
                  </pic:nvPicPr>
                  <pic:blipFill>
                    <a:blip r:embed="rId545"/>
                    <a:stretch>
                      <a:fillRect/>
                    </a:stretch>
                  </pic:blipFill>
                  <pic:spPr>
                    <a:xfrm rot="0">
                      <a:off x="0" y="0"/>
                      <a:ext cx="1181092" cy="6350"/>
                    </a:xfrm>
                    <a:prstGeom prst="rect">
                      <a:avLst/>
                    </a:prstGeom>
                  </pic:spPr>
                </pic:pic>
              </a:graphicData>
            </a:graphic>
          </wp:anchor>
        </w:drawing>
      </w:r>
      <w:r/>
    </w:p>
    <w:p>
      <w:pPr>
        <w:pStyle w:val="BodyText"/>
        <w:spacing w:line="256" w:lineRule="auto"/>
        <w:rPr/>
      </w:pPr>
      <w:r/>
    </w:p>
    <w:p>
      <w:pPr>
        <w:pStyle w:val="BodyText"/>
        <w:spacing w:line="256" w:lineRule="auto"/>
        <w:rPr/>
      </w:pPr>
      <w:r/>
    </w:p>
    <w:p>
      <w:pPr>
        <w:pStyle w:val="BodyText"/>
        <w:spacing w:line="25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级标注特定内容，将浏览选择权交给用户。</w:t>
      </w:r>
    </w:p>
    <w:p>
      <w:pPr>
        <w:ind w:firstLine="409"/>
        <w:spacing w:before="75" w:line="291" w:lineRule="auto"/>
        <w:jc w:val="both"/>
        <w:rPr>
          <w:rFonts w:ascii="SimSun" w:hAnsi="SimSun" w:eastAsia="SimSun" w:cs="SimSun"/>
          <w:sz w:val="21"/>
          <w:szCs w:val="21"/>
        </w:rPr>
      </w:pPr>
      <w:r>
        <w:rPr>
          <w:rFonts w:ascii="SimSun" w:hAnsi="SimSun" w:eastAsia="SimSun" w:cs="SimSun"/>
          <w:sz w:val="21"/>
          <w:szCs w:val="21"/>
          <w:spacing w:val="-3"/>
        </w:rPr>
        <w:t>个人数据保护方面，信息专员办公室</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(ICO)   </w:t>
      </w:r>
      <w:r>
        <w:rPr>
          <w:rFonts w:ascii="SimSun" w:hAnsi="SimSun" w:eastAsia="SimSun" w:cs="SimSun"/>
          <w:sz w:val="21"/>
          <w:szCs w:val="21"/>
          <w:spacing w:val="-3"/>
        </w:rPr>
        <w:t>发挥着主要作用。</w:t>
      </w:r>
      <w:r>
        <w:rPr>
          <w:rFonts w:ascii="SimSun" w:hAnsi="SimSun" w:eastAsia="SimSun" w:cs="SimSun"/>
          <w:sz w:val="21"/>
          <w:szCs w:val="21"/>
        </w:rPr>
        <w:t xml:space="preserve"> </w:t>
      </w:r>
      <w:r>
        <w:rPr>
          <w:rFonts w:ascii="SimSun" w:hAnsi="SimSun" w:eastAsia="SimSun" w:cs="SimSun"/>
          <w:sz w:val="21"/>
          <w:szCs w:val="21"/>
          <w:spacing w:val="-11"/>
        </w:rPr>
        <w:t>此外，英国政府还对色情和淫秽内容、仇恨言论、恐怖主义、信息过</w:t>
      </w:r>
      <w:r>
        <w:rPr>
          <w:rFonts w:ascii="SimSun" w:hAnsi="SimSun" w:eastAsia="SimSun" w:cs="SimSun"/>
          <w:sz w:val="21"/>
          <w:szCs w:val="21"/>
          <w:spacing w:val="3"/>
        </w:rPr>
        <w:t xml:space="preserve">  </w:t>
      </w:r>
      <w:r>
        <w:rPr>
          <w:rFonts w:ascii="SimSun" w:hAnsi="SimSun" w:eastAsia="SimSun" w:cs="SimSun"/>
          <w:sz w:val="21"/>
          <w:szCs w:val="21"/>
          <w:spacing w:val="-12"/>
        </w:rPr>
        <w:t>滤机制等有专门规制措施。</w:t>
      </w:r>
    </w:p>
    <w:p>
      <w:pPr>
        <w:ind w:right="97" w:firstLine="409"/>
        <w:spacing w:before="112" w:line="292" w:lineRule="auto"/>
        <w:jc w:val="both"/>
        <w:rPr>
          <w:rFonts w:ascii="SimSun" w:hAnsi="SimSun" w:eastAsia="SimSun" w:cs="SimSun"/>
          <w:sz w:val="21"/>
          <w:szCs w:val="21"/>
        </w:rPr>
      </w:pPr>
      <w:r>
        <w:rPr>
          <w:rFonts w:ascii="SimSun" w:hAnsi="SimSun" w:eastAsia="SimSun" w:cs="SimSun"/>
          <w:sz w:val="21"/>
          <w:szCs w:val="21"/>
          <w:spacing w:val="-4"/>
        </w:rPr>
        <w:t>刑事责任方面，在平台经济领域，平台经营者可能所涉罪名有</w:t>
      </w:r>
      <w:r>
        <w:rPr>
          <w:rFonts w:ascii="SimSun" w:hAnsi="SimSun" w:eastAsia="SimSun" w:cs="SimSun"/>
          <w:sz w:val="21"/>
          <w:szCs w:val="21"/>
          <w:spacing w:val="7"/>
        </w:rPr>
        <w:t xml:space="preserve"> </w:t>
      </w:r>
      <w:r>
        <w:rPr>
          <w:rFonts w:ascii="SimSun" w:hAnsi="SimSun" w:eastAsia="SimSun" w:cs="SimSun"/>
          <w:sz w:val="21"/>
          <w:szCs w:val="21"/>
          <w:spacing w:val="-11"/>
        </w:rPr>
        <w:t>侮辱诽谤罪、侵犯个人隐私罪、制作传播淫秽制品罪、发布仇恨言论</w:t>
      </w:r>
      <w:r>
        <w:rPr>
          <w:rFonts w:ascii="SimSun" w:hAnsi="SimSun" w:eastAsia="SimSun" w:cs="SimSun"/>
          <w:sz w:val="21"/>
          <w:szCs w:val="21"/>
          <w:spacing w:val="8"/>
        </w:rPr>
        <w:t xml:space="preserve"> </w:t>
      </w:r>
      <w:r>
        <w:rPr>
          <w:rFonts w:ascii="SimSun" w:hAnsi="SimSun" w:eastAsia="SimSun" w:cs="SimSun"/>
          <w:sz w:val="21"/>
          <w:szCs w:val="21"/>
          <w:spacing w:val="-11"/>
        </w:rPr>
        <w:t>罪、恐怖主义犯罪等，相关规定散见于《刑事司法和法院法》《严重</w:t>
      </w:r>
      <w:r>
        <w:rPr>
          <w:rFonts w:ascii="SimSun" w:hAnsi="SimSun" w:eastAsia="SimSun" w:cs="SimSun"/>
          <w:sz w:val="21"/>
          <w:szCs w:val="21"/>
          <w:spacing w:val="8"/>
        </w:rPr>
        <w:t xml:space="preserve"> </w:t>
      </w:r>
      <w:r>
        <w:rPr>
          <w:rFonts w:ascii="SimSun" w:hAnsi="SimSun" w:eastAsia="SimSun" w:cs="SimSun"/>
          <w:sz w:val="21"/>
          <w:szCs w:val="21"/>
          <w:spacing w:val="-16"/>
        </w:rPr>
        <w:t>犯罪法》《公共秩序法》等的条文中。</w:t>
      </w:r>
    </w:p>
    <w:p>
      <w:pPr>
        <w:pStyle w:val="BodyText"/>
        <w:spacing w:line="397" w:lineRule="auto"/>
        <w:rPr/>
      </w:pPr>
      <w:r/>
    </w:p>
    <w:p>
      <w:pPr>
        <w:ind w:left="412"/>
        <w:spacing w:before="68" w:line="219" w:lineRule="auto"/>
        <w:rPr>
          <w:rFonts w:ascii="SimSun" w:hAnsi="SimSun" w:eastAsia="SimSun" w:cs="SimSun"/>
          <w:sz w:val="21"/>
          <w:szCs w:val="21"/>
        </w:rPr>
      </w:pPr>
      <w:r>
        <w:rPr>
          <w:rFonts w:ascii="SimSun" w:hAnsi="SimSun" w:eastAsia="SimSun" w:cs="SimSun"/>
          <w:sz w:val="21"/>
          <w:szCs w:val="21"/>
          <w:b/>
          <w:bCs/>
          <w:spacing w:val="-13"/>
        </w:rPr>
        <w:t>其他法域平台法律责任</w:t>
      </w:r>
    </w:p>
    <w:p>
      <w:pPr>
        <w:ind w:right="47" w:firstLine="409"/>
        <w:spacing w:before="114" w:line="295" w:lineRule="auto"/>
        <w:jc w:val="both"/>
        <w:rPr>
          <w:rFonts w:ascii="SimSun" w:hAnsi="SimSun" w:eastAsia="SimSun" w:cs="SimSun"/>
          <w:sz w:val="21"/>
          <w:szCs w:val="21"/>
        </w:rPr>
      </w:pPr>
      <w:r>
        <w:rPr>
          <w:rFonts w:ascii="SimSun" w:hAnsi="SimSun" w:eastAsia="SimSun" w:cs="SimSun"/>
          <w:sz w:val="21"/>
          <w:szCs w:val="21"/>
          <w:spacing w:val="-13"/>
        </w:rPr>
        <w:t>在德国法律中，平台监管领域最初的立法为《德国电信服务法》,</w:t>
      </w:r>
      <w:r>
        <w:rPr>
          <w:rFonts w:ascii="SimSun" w:hAnsi="SimSun" w:eastAsia="SimSun" w:cs="SimSun"/>
          <w:sz w:val="21"/>
          <w:szCs w:val="21"/>
          <w:spacing w:val="12"/>
        </w:rPr>
        <w:t xml:space="preserve"> </w:t>
      </w:r>
      <w:r>
        <w:rPr>
          <w:rFonts w:ascii="SimSun" w:hAnsi="SimSun" w:eastAsia="SimSun" w:cs="SimSun"/>
          <w:sz w:val="21"/>
          <w:szCs w:val="21"/>
          <w:spacing w:val="-11"/>
        </w:rPr>
        <w:t>其后发展成以《欧盟电子商务指令》和《德国电信媒体法》为核心的</w:t>
      </w:r>
      <w:r>
        <w:rPr>
          <w:rFonts w:ascii="SimSun" w:hAnsi="SimSun" w:eastAsia="SimSun" w:cs="SimSun"/>
          <w:sz w:val="21"/>
          <w:szCs w:val="21"/>
          <w:spacing w:val="14"/>
        </w:rPr>
        <w:t xml:space="preserve"> </w:t>
      </w:r>
      <w:r>
        <w:rPr>
          <w:rFonts w:ascii="SimSun" w:hAnsi="SimSun" w:eastAsia="SimSun" w:cs="SimSun"/>
          <w:sz w:val="21"/>
          <w:szCs w:val="21"/>
          <w:spacing w:val="-11"/>
        </w:rPr>
        <w:t>体系，二者内容高度相关。其中，《欧盟电子商务指令》为电子商务</w:t>
      </w:r>
      <w:r>
        <w:rPr>
          <w:rFonts w:ascii="SimSun" w:hAnsi="SimSun" w:eastAsia="SimSun" w:cs="SimSun"/>
          <w:sz w:val="21"/>
          <w:szCs w:val="21"/>
          <w:spacing w:val="8"/>
        </w:rPr>
        <w:t xml:space="preserve"> </w:t>
      </w:r>
      <w:r>
        <w:rPr>
          <w:rFonts w:ascii="SimSun" w:hAnsi="SimSun" w:eastAsia="SimSun" w:cs="SimSun"/>
          <w:sz w:val="21"/>
          <w:szCs w:val="21"/>
          <w:spacing w:val="-11"/>
        </w:rPr>
        <w:t>乃至所有信息服务领域的根本法，《德国电信媒体法》是深受其影响</w:t>
      </w:r>
      <w:r>
        <w:rPr>
          <w:rFonts w:ascii="SimSun" w:hAnsi="SimSun" w:eastAsia="SimSun" w:cs="SimSun"/>
          <w:sz w:val="21"/>
          <w:szCs w:val="21"/>
          <w:spacing w:val="15"/>
        </w:rPr>
        <w:t xml:space="preserve"> </w:t>
      </w:r>
      <w:r>
        <w:rPr>
          <w:rFonts w:ascii="SimSun" w:hAnsi="SimSun" w:eastAsia="SimSun" w:cs="SimSun"/>
          <w:sz w:val="21"/>
          <w:szCs w:val="21"/>
          <w:spacing w:val="-11"/>
        </w:rPr>
        <w:t>的国内一般法。但由于该问题的复杂性，具体适用中，其要件往往见</w:t>
      </w:r>
      <w:r>
        <w:rPr>
          <w:rFonts w:ascii="SimSun" w:hAnsi="SimSun" w:eastAsia="SimSun" w:cs="SimSun"/>
          <w:sz w:val="21"/>
          <w:szCs w:val="21"/>
          <w:spacing w:val="9"/>
        </w:rPr>
        <w:t xml:space="preserve"> </w:t>
      </w:r>
      <w:r>
        <w:rPr>
          <w:rFonts w:ascii="SimSun" w:hAnsi="SimSun" w:eastAsia="SimSun" w:cs="SimSun"/>
          <w:sz w:val="21"/>
          <w:szCs w:val="21"/>
          <w:spacing w:val="-10"/>
        </w:rPr>
        <w:t>于判例等一般法律中。2017年，《网络执行法》的颁布再一次强化和</w:t>
      </w:r>
      <w:r>
        <w:rPr>
          <w:rFonts w:ascii="SimSun" w:hAnsi="SimSun" w:eastAsia="SimSun" w:cs="SimSun"/>
          <w:sz w:val="21"/>
          <w:szCs w:val="21"/>
          <w:spacing w:val="5"/>
        </w:rPr>
        <w:t xml:space="preserve"> </w:t>
      </w:r>
      <w:r>
        <w:rPr>
          <w:rFonts w:ascii="SimSun" w:hAnsi="SimSun" w:eastAsia="SimSun" w:cs="SimSun"/>
          <w:sz w:val="21"/>
          <w:szCs w:val="21"/>
          <w:spacing w:val="-11"/>
        </w:rPr>
        <w:t>系统化了平台义务，但其合理性也受到颇多</w:t>
      </w:r>
      <w:r>
        <w:rPr>
          <w:rFonts w:ascii="SimSun" w:hAnsi="SimSun" w:eastAsia="SimSun" w:cs="SimSun"/>
          <w:sz w:val="21"/>
          <w:szCs w:val="21"/>
          <w:spacing w:val="-12"/>
        </w:rPr>
        <w:t>质疑。</w:t>
      </w:r>
    </w:p>
    <w:p>
      <w:pPr>
        <w:ind w:right="23" w:firstLine="409"/>
        <w:spacing w:before="174" w:line="302" w:lineRule="auto"/>
        <w:jc w:val="both"/>
        <w:rPr>
          <w:rFonts w:ascii="SimSun" w:hAnsi="SimSun" w:eastAsia="SimSun" w:cs="SimSun"/>
          <w:sz w:val="21"/>
          <w:szCs w:val="21"/>
        </w:rPr>
      </w:pPr>
      <w:r>
        <w:rPr>
          <w:rFonts w:ascii="SimSun" w:hAnsi="SimSun" w:eastAsia="SimSun" w:cs="SimSun"/>
          <w:sz w:val="21"/>
          <w:szCs w:val="21"/>
          <w:spacing w:val="-11"/>
        </w:rPr>
        <w:t>在民事责任上，德国和欧洲对平台民事责任的规制也是基于“避</w:t>
      </w:r>
      <w:r>
        <w:rPr>
          <w:rFonts w:ascii="SimSun" w:hAnsi="SimSun" w:eastAsia="SimSun" w:cs="SimSun"/>
          <w:sz w:val="21"/>
          <w:szCs w:val="21"/>
          <w:spacing w:val="14"/>
        </w:rPr>
        <w:t xml:space="preserve"> </w:t>
      </w:r>
      <w:r>
        <w:rPr>
          <w:rFonts w:ascii="SimSun" w:hAnsi="SimSun" w:eastAsia="SimSun" w:cs="SimSun"/>
          <w:sz w:val="21"/>
          <w:szCs w:val="21"/>
          <w:spacing w:val="-11"/>
        </w:rPr>
        <w:t>风港”原则。即在信息发布后，需要满足平台提升了侵权风险、在平 </w:t>
      </w:r>
      <w:r>
        <w:rPr>
          <w:rFonts w:ascii="SimSun" w:hAnsi="SimSun" w:eastAsia="SimSun" w:cs="SimSun"/>
          <w:sz w:val="21"/>
          <w:szCs w:val="21"/>
          <w:spacing w:val="-11"/>
        </w:rPr>
        <w:t>台上侵权和存在权利人对平台的通知三个条件，平台才承担责任。又 </w:t>
      </w:r>
      <w:r>
        <w:rPr>
          <w:rFonts w:ascii="SimSun" w:hAnsi="SimSun" w:eastAsia="SimSun" w:cs="SimSun"/>
          <w:sz w:val="21"/>
          <w:szCs w:val="21"/>
          <w:spacing w:val="-11"/>
        </w:rPr>
        <w:t>因为平台处于内容提供者和技术提供者两类主体之间，所以用“妨害 </w:t>
      </w:r>
      <w:r>
        <w:rPr>
          <w:rFonts w:ascii="SimSun" w:hAnsi="SimSun" w:eastAsia="SimSun" w:cs="SimSun"/>
          <w:sz w:val="21"/>
          <w:szCs w:val="21"/>
          <w:spacing w:val="-11"/>
        </w:rPr>
        <w:t>人责任”将其具体化。由于根植于原有的侵权法体系，所以从网络拍 </w:t>
      </w:r>
      <w:r>
        <w:rPr>
          <w:rFonts w:ascii="SimSun" w:hAnsi="SimSun" w:eastAsia="SimSun" w:cs="SimSun"/>
          <w:sz w:val="21"/>
          <w:szCs w:val="21"/>
          <w:spacing w:val="-15"/>
        </w:rPr>
        <w:t>卖案起，“妨害人责任”的判定也被要求具有故意要件。在人格权法、</w:t>
      </w:r>
      <w:r>
        <w:rPr>
          <w:rFonts w:ascii="SimSun" w:hAnsi="SimSun" w:eastAsia="SimSun" w:cs="SimSun"/>
          <w:sz w:val="21"/>
          <w:szCs w:val="21"/>
          <w:spacing w:val="9"/>
        </w:rPr>
        <w:t xml:space="preserve"> </w:t>
      </w:r>
      <w:r>
        <w:rPr>
          <w:rFonts w:ascii="SimSun" w:hAnsi="SimSun" w:eastAsia="SimSun" w:cs="SimSun"/>
          <w:sz w:val="21"/>
          <w:szCs w:val="21"/>
          <w:spacing w:val="-10"/>
        </w:rPr>
        <w:t>知识产权法和反不正当竞争法中，平台多依据此种逻辑承担直接</w:t>
      </w:r>
      <w:r>
        <w:rPr>
          <w:rFonts w:ascii="SimSun" w:hAnsi="SimSun" w:eastAsia="SimSun" w:cs="SimSun"/>
          <w:sz w:val="21"/>
          <w:szCs w:val="21"/>
          <w:spacing w:val="-11"/>
        </w:rPr>
        <w:t>或间</w:t>
      </w:r>
    </w:p>
    <w:p>
      <w:pPr>
        <w:pStyle w:val="BodyText"/>
        <w:spacing w:line="268" w:lineRule="auto"/>
        <w:rPr/>
      </w:pPr>
      <w:r/>
    </w:p>
    <w:p>
      <w:pPr>
        <w:pStyle w:val="BodyText"/>
        <w:spacing w:line="269" w:lineRule="auto"/>
        <w:rPr/>
      </w:pPr>
      <w:r/>
    </w:p>
    <w:p>
      <w:pPr>
        <w:ind w:left="279" w:right="49" w:hanging="279"/>
        <w:spacing w:before="53" w:line="237" w:lineRule="auto"/>
        <w:rPr>
          <w:rFonts w:ascii="SimSun" w:hAnsi="SimSun" w:eastAsia="SimSun" w:cs="SimSun"/>
          <w:sz w:val="21"/>
          <w:szCs w:val="21"/>
        </w:rPr>
      </w:pPr>
      <w:r>
        <w:rPr>
          <w:rFonts w:ascii="KaiTi" w:hAnsi="KaiTi" w:eastAsia="KaiTi" w:cs="KaiTi"/>
          <w:sz w:val="16"/>
          <w:szCs w:val="16"/>
          <w:spacing w:val="5"/>
        </w:rPr>
        <w:t>①</w:t>
      </w:r>
      <w:r>
        <w:rPr>
          <w:rFonts w:ascii="KaiTi" w:hAnsi="KaiTi" w:eastAsia="KaiTi" w:cs="KaiTi"/>
          <w:sz w:val="16"/>
          <w:szCs w:val="16"/>
          <w:spacing w:val="66"/>
        </w:rPr>
        <w:t xml:space="preserve"> </w:t>
      </w:r>
      <w:r>
        <w:rPr>
          <w:rFonts w:ascii="KaiTi" w:hAnsi="KaiTi" w:eastAsia="KaiTi" w:cs="KaiTi"/>
          <w:sz w:val="16"/>
          <w:szCs w:val="16"/>
          <w:spacing w:val="5"/>
        </w:rPr>
        <w:t>查云飞.德国对网络平台的行政法规制</w:t>
      </w:r>
      <w:r>
        <w:rPr>
          <w:rFonts w:ascii="KaiTi" w:hAnsi="KaiTi" w:eastAsia="KaiTi" w:cs="KaiTi"/>
          <w:sz w:val="16"/>
          <w:szCs w:val="16"/>
          <w:u w:val="single" w:color="auto"/>
          <w:spacing w:val="5"/>
        </w:rPr>
        <w:t xml:space="preserve">     </w:t>
      </w:r>
      <w:r>
        <w:rPr>
          <w:rFonts w:ascii="KaiTi" w:hAnsi="KaiTi" w:eastAsia="KaiTi" w:cs="KaiTi"/>
          <w:sz w:val="16"/>
          <w:szCs w:val="16"/>
          <w:spacing w:val="-70"/>
        </w:rPr>
        <w:t xml:space="preserve"> </w:t>
      </w:r>
      <w:r>
        <w:rPr>
          <w:rFonts w:ascii="KaiTi" w:hAnsi="KaiTi" w:eastAsia="KaiTi" w:cs="KaiTi"/>
          <w:sz w:val="16"/>
          <w:szCs w:val="16"/>
          <w:spacing w:val="5"/>
        </w:rPr>
        <w:t>向合规审</w:t>
      </w:r>
      <w:r>
        <w:rPr>
          <w:rFonts w:ascii="KaiTi" w:hAnsi="KaiTi" w:eastAsia="KaiTi" w:cs="KaiTi"/>
          <w:sz w:val="16"/>
          <w:szCs w:val="16"/>
          <w:spacing w:val="4"/>
        </w:rPr>
        <w:t>查之路径.德国研究，2018</w:t>
      </w:r>
      <w:r>
        <w:rPr>
          <w:rFonts w:ascii="KaiTi" w:hAnsi="KaiTi" w:eastAsia="KaiTi" w:cs="KaiTi"/>
          <w:sz w:val="16"/>
          <w:szCs w:val="16"/>
        </w:rPr>
        <w:t xml:space="preserve"> </w:t>
      </w:r>
      <w:r>
        <w:rPr>
          <w:rFonts w:ascii="SimSun" w:hAnsi="SimSun" w:eastAsia="SimSun" w:cs="SimSun"/>
          <w:sz w:val="21"/>
          <w:szCs w:val="21"/>
          <w:spacing w:val="-6"/>
        </w:rPr>
        <w:t>(3):77-87</w:t>
      </w:r>
    </w:p>
    <w:p>
      <w:pPr>
        <w:spacing w:line="237" w:lineRule="auto"/>
        <w:sectPr>
          <w:headerReference w:type="default" r:id="rId544"/>
          <w:pgSz w:w="7330" w:h="12480"/>
          <w:pgMar w:top="498" w:right="581" w:bottom="400" w:left="670" w:header="335" w:footer="0" w:gutter="0"/>
        </w:sectPr>
        <w:rPr>
          <w:rFonts w:ascii="SimSun" w:hAnsi="SimSun" w:eastAsia="SimSun" w:cs="SimSun"/>
          <w:sz w:val="21"/>
          <w:szCs w:val="21"/>
        </w:rPr>
      </w:pPr>
    </w:p>
    <w:p>
      <w:pPr>
        <w:pStyle w:val="BodyText"/>
        <w:spacing w:line="251" w:lineRule="auto"/>
        <w:rPr/>
      </w:pPr>
      <w:r>
        <w:drawing>
          <wp:anchor distT="0" distB="0" distL="0" distR="0" simplePos="0" relativeHeight="256423936" behindDoc="0" locked="0" layoutInCell="0" allowOverlap="1">
            <wp:simplePos x="0" y="0"/>
            <wp:positionH relativeFrom="page">
              <wp:posOffset>311156</wp:posOffset>
            </wp:positionH>
            <wp:positionV relativeFrom="page">
              <wp:posOffset>6718323</wp:posOffset>
            </wp:positionV>
            <wp:extent cx="1174761" cy="6350"/>
            <wp:effectExtent l="0" t="0" r="0" b="0"/>
            <wp:wrapNone/>
            <wp:docPr id="414" name="IM 414"/>
            <wp:cNvGraphicFramePr/>
            <a:graphic>
              <a:graphicData uri="http://schemas.openxmlformats.org/drawingml/2006/picture">
                <pic:pic>
                  <pic:nvPicPr>
                    <pic:cNvPr id="414" name="IM 414"/>
                    <pic:cNvPicPr/>
                  </pic:nvPicPr>
                  <pic:blipFill>
                    <a:blip r:embed="rId547"/>
                    <a:stretch>
                      <a:fillRect/>
                    </a:stretch>
                  </pic:blipFill>
                  <pic:spPr>
                    <a:xfrm rot="0">
                      <a:off x="0" y="0"/>
                      <a:ext cx="1174761"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接责任，但具体要件和情况各有不同。</w:t>
      </w:r>
    </w:p>
    <w:p>
      <w:pPr>
        <w:ind w:right="44" w:firstLine="420"/>
        <w:spacing w:before="115" w:line="297" w:lineRule="auto"/>
        <w:jc w:val="both"/>
        <w:rPr>
          <w:rFonts w:ascii="SimSun" w:hAnsi="SimSun" w:eastAsia="SimSun" w:cs="SimSun"/>
          <w:sz w:val="21"/>
          <w:szCs w:val="21"/>
        </w:rPr>
      </w:pPr>
      <w:r>
        <w:rPr>
          <w:rFonts w:ascii="SimSun" w:hAnsi="SimSun" w:eastAsia="SimSun" w:cs="SimSun"/>
          <w:sz w:val="21"/>
          <w:szCs w:val="21"/>
          <w:spacing w:val="-11"/>
        </w:rPr>
        <w:t>而基于合宪性和基本权利的保护，德国更为重视自我</w:t>
      </w:r>
      <w:r>
        <w:rPr>
          <w:rFonts w:ascii="SimSun" w:hAnsi="SimSun" w:eastAsia="SimSun" w:cs="SimSun"/>
          <w:sz w:val="21"/>
          <w:szCs w:val="21"/>
          <w:spacing w:val="-12"/>
        </w:rPr>
        <w:t>规制的正当</w:t>
      </w:r>
      <w:r>
        <w:rPr>
          <w:rFonts w:ascii="SimSun" w:hAnsi="SimSun" w:eastAsia="SimSun" w:cs="SimSun"/>
          <w:sz w:val="21"/>
          <w:szCs w:val="21"/>
        </w:rPr>
        <w:t xml:space="preserve"> </w:t>
      </w:r>
      <w:r>
        <w:rPr>
          <w:rFonts w:ascii="SimSun" w:hAnsi="SimSun" w:eastAsia="SimSun" w:cs="SimSun"/>
          <w:sz w:val="21"/>
          <w:szCs w:val="21"/>
          <w:spacing w:val="-11"/>
        </w:rPr>
        <w:t>性，而相应地更为严格地审视政府规制的正当性。在行政法的具体判</w:t>
      </w:r>
      <w:r>
        <w:rPr>
          <w:rFonts w:ascii="SimSun" w:hAnsi="SimSun" w:eastAsia="SimSun" w:cs="SimSun"/>
          <w:sz w:val="21"/>
          <w:szCs w:val="21"/>
          <w:spacing w:val="13"/>
        </w:rPr>
        <w:t xml:space="preserve"> </w:t>
      </w:r>
      <w:r>
        <w:rPr>
          <w:rFonts w:ascii="SimSun" w:hAnsi="SimSun" w:eastAsia="SimSun" w:cs="SimSun"/>
          <w:sz w:val="21"/>
          <w:szCs w:val="21"/>
          <w:spacing w:val="-11"/>
        </w:rPr>
        <w:t>断中，平台责任认定更多依托于秩序行政法。由于德国的秩序行政法</w:t>
      </w:r>
      <w:r>
        <w:rPr>
          <w:rFonts w:ascii="SimSun" w:hAnsi="SimSun" w:eastAsia="SimSun" w:cs="SimSun"/>
          <w:sz w:val="21"/>
          <w:szCs w:val="21"/>
          <w:spacing w:val="5"/>
        </w:rPr>
        <w:t xml:space="preserve"> </w:t>
      </w:r>
      <w:r>
        <w:rPr>
          <w:rFonts w:ascii="SimSun" w:hAnsi="SimSun" w:eastAsia="SimSun" w:cs="SimSun"/>
          <w:sz w:val="21"/>
          <w:szCs w:val="21"/>
          <w:spacing w:val="-11"/>
        </w:rPr>
        <w:t>以“预防危险”为核心目的，所以国内外平台均可以作为“状态妨害</w:t>
      </w:r>
      <w:r>
        <w:rPr>
          <w:rFonts w:ascii="SimSun" w:hAnsi="SimSun" w:eastAsia="SimSun" w:cs="SimSun"/>
          <w:sz w:val="21"/>
          <w:szCs w:val="21"/>
          <w:spacing w:val="12"/>
        </w:rPr>
        <w:t xml:space="preserve"> </w:t>
      </w:r>
      <w:r>
        <w:rPr>
          <w:rFonts w:ascii="SimSun" w:hAnsi="SimSun" w:eastAsia="SimSun" w:cs="SimSun"/>
          <w:sz w:val="21"/>
          <w:szCs w:val="21"/>
          <w:spacing w:val="-11"/>
        </w:rPr>
        <w:t>人”而受到追责。①对于国内平台，虽然平台无法直接引发危险，但</w:t>
      </w:r>
      <w:r>
        <w:rPr>
          <w:rFonts w:ascii="SimSun" w:hAnsi="SimSun" w:eastAsia="SimSun" w:cs="SimSun"/>
          <w:sz w:val="21"/>
          <w:szCs w:val="21"/>
          <w:spacing w:val="7"/>
        </w:rPr>
        <w:t xml:space="preserve"> </w:t>
      </w:r>
      <w:r>
        <w:rPr>
          <w:rFonts w:ascii="SimSun" w:hAnsi="SimSun" w:eastAsia="SimSun" w:cs="SimSun"/>
          <w:sz w:val="21"/>
          <w:szCs w:val="21"/>
          <w:spacing w:val="-7"/>
        </w:rPr>
        <w:t>是由于平台构建了一般网络空间，所以可以构成“</w:t>
      </w:r>
      <w:r>
        <w:rPr>
          <w:rFonts w:ascii="SimSun" w:hAnsi="SimSun" w:eastAsia="SimSun" w:cs="SimSun"/>
          <w:sz w:val="21"/>
          <w:szCs w:val="21"/>
          <w:spacing w:val="-8"/>
        </w:rPr>
        <w:t>状态妨害人”;对</w:t>
      </w:r>
      <w:r>
        <w:rPr>
          <w:rFonts w:ascii="SimSun" w:hAnsi="SimSun" w:eastAsia="SimSun" w:cs="SimSun"/>
          <w:sz w:val="21"/>
          <w:szCs w:val="21"/>
        </w:rPr>
        <w:t xml:space="preserve"> </w:t>
      </w:r>
      <w:r>
        <w:rPr>
          <w:rFonts w:ascii="SimSun" w:hAnsi="SimSun" w:eastAsia="SimSun" w:cs="SimSun"/>
          <w:sz w:val="21"/>
          <w:szCs w:val="21"/>
          <w:spacing w:val="-11"/>
        </w:rPr>
        <w:t>于国外平台，因为跨境执法困难及法律冲突</w:t>
      </w:r>
      <w:r>
        <w:rPr>
          <w:rFonts w:ascii="SimSun" w:hAnsi="SimSun" w:eastAsia="SimSun" w:cs="SimSun"/>
          <w:sz w:val="21"/>
          <w:szCs w:val="21"/>
          <w:spacing w:val="-12"/>
        </w:rPr>
        <w:t>，德国行政机关多转而要</w:t>
      </w:r>
      <w:r>
        <w:rPr>
          <w:rFonts w:ascii="SimSun" w:hAnsi="SimSun" w:eastAsia="SimSun" w:cs="SimSun"/>
          <w:sz w:val="21"/>
          <w:szCs w:val="21"/>
        </w:rPr>
        <w:t xml:space="preserve"> </w:t>
      </w:r>
      <w:r>
        <w:rPr>
          <w:rFonts w:ascii="SimSun" w:hAnsi="SimSun" w:eastAsia="SimSun" w:cs="SimSun"/>
          <w:sz w:val="21"/>
          <w:szCs w:val="21"/>
          <w:spacing w:val="-11"/>
        </w:rPr>
        <w:t>求国内中间人屏蔽违法网站，而非直接介入外国网站治理。</w:t>
      </w:r>
    </w:p>
    <w:p>
      <w:pPr>
        <w:ind w:right="19"/>
        <w:spacing w:before="172" w:line="379" w:lineRule="exact"/>
        <w:jc w:val="right"/>
        <w:rPr>
          <w:rFonts w:ascii="SimSun" w:hAnsi="SimSun" w:eastAsia="SimSun" w:cs="SimSun"/>
          <w:sz w:val="21"/>
          <w:szCs w:val="21"/>
        </w:rPr>
      </w:pPr>
      <w:r>
        <w:rPr>
          <w:rFonts w:ascii="SimSun" w:hAnsi="SimSun" w:eastAsia="SimSun" w:cs="SimSun"/>
          <w:sz w:val="21"/>
          <w:szCs w:val="21"/>
          <w:spacing w:val="-3"/>
          <w:position w:val="12"/>
        </w:rPr>
        <w:t>虽然平台可能涉及刑事责任的情况较少，但自2017年以来，德</w:t>
      </w:r>
    </w:p>
    <w:p>
      <w:pPr>
        <w:spacing w:line="219" w:lineRule="auto"/>
        <w:rPr>
          <w:rFonts w:ascii="SimSun" w:hAnsi="SimSun" w:eastAsia="SimSun" w:cs="SimSun"/>
          <w:sz w:val="21"/>
          <w:szCs w:val="21"/>
        </w:rPr>
      </w:pPr>
      <w:r>
        <w:rPr>
          <w:rFonts w:ascii="SimSun" w:hAnsi="SimSun" w:eastAsia="SimSun" w:cs="SimSun"/>
          <w:sz w:val="21"/>
          <w:szCs w:val="21"/>
          <w:spacing w:val="-12"/>
        </w:rPr>
        <w:t>国明显加强了对网络仇恨犯罪的打击力度。</w:t>
      </w:r>
    </w:p>
    <w:p>
      <w:pPr>
        <w:pStyle w:val="BodyText"/>
        <w:spacing w:line="373"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4"/>
        </w:rPr>
        <w:t>从事后责任到事前监管的守门人责任</w:t>
      </w:r>
    </w:p>
    <w:p>
      <w:pPr>
        <w:pStyle w:val="BodyText"/>
        <w:spacing w:line="347" w:lineRule="auto"/>
        <w:rPr/>
      </w:pPr>
      <w:r/>
    </w:p>
    <w:p>
      <w:pPr>
        <w:ind w:right="45" w:firstLine="420"/>
        <w:spacing w:before="69" w:line="304" w:lineRule="auto"/>
        <w:jc w:val="both"/>
        <w:rPr>
          <w:rFonts w:ascii="SimSun" w:hAnsi="SimSun" w:eastAsia="SimSun" w:cs="SimSun"/>
          <w:sz w:val="21"/>
          <w:szCs w:val="21"/>
        </w:rPr>
      </w:pPr>
      <w:r>
        <w:rPr>
          <w:rFonts w:ascii="SimSun" w:hAnsi="SimSun" w:eastAsia="SimSun" w:cs="SimSun"/>
          <w:sz w:val="21"/>
          <w:szCs w:val="21"/>
          <w:spacing w:val="-11"/>
        </w:rPr>
        <w:t>为了应对平台造成的社会风险，责任和监管代表了</w:t>
      </w:r>
      <w:r>
        <w:rPr>
          <w:rFonts w:ascii="SimSun" w:hAnsi="SimSun" w:eastAsia="SimSun" w:cs="SimSun"/>
          <w:sz w:val="21"/>
          <w:szCs w:val="21"/>
          <w:spacing w:val="-12"/>
        </w:rPr>
        <w:t>两种截然不同</w:t>
      </w:r>
      <w:r>
        <w:rPr>
          <w:rFonts w:ascii="SimSun" w:hAnsi="SimSun" w:eastAsia="SimSun" w:cs="SimSun"/>
          <w:sz w:val="21"/>
          <w:szCs w:val="21"/>
        </w:rPr>
        <w:t xml:space="preserve"> </w:t>
      </w:r>
      <w:r>
        <w:rPr>
          <w:rFonts w:ascii="SimSun" w:hAnsi="SimSun" w:eastAsia="SimSun" w:cs="SimSun"/>
          <w:sz w:val="21"/>
          <w:szCs w:val="21"/>
          <w:spacing w:val="-11"/>
        </w:rPr>
        <w:t>的路径。责任的性质是私人的，不是通过社会命令而是通过损害赔偿</w:t>
      </w:r>
      <w:r>
        <w:rPr>
          <w:rFonts w:ascii="SimSun" w:hAnsi="SimSun" w:eastAsia="SimSun" w:cs="SimSun"/>
          <w:sz w:val="21"/>
          <w:szCs w:val="21"/>
          <w:spacing w:val="9"/>
        </w:rPr>
        <w:t xml:space="preserve"> </w:t>
      </w:r>
      <w:r>
        <w:rPr>
          <w:rFonts w:ascii="SimSun" w:hAnsi="SimSun" w:eastAsia="SimSun" w:cs="SimSun"/>
          <w:sz w:val="21"/>
          <w:szCs w:val="21"/>
          <w:spacing w:val="-11"/>
        </w:rPr>
        <w:t>的威慑力间接地发挥作用。相比之下，标准、禁令和其他形式的安全</w:t>
      </w:r>
      <w:r>
        <w:rPr>
          <w:rFonts w:ascii="SimSun" w:hAnsi="SimSun" w:eastAsia="SimSun" w:cs="SimSun"/>
          <w:sz w:val="21"/>
          <w:szCs w:val="21"/>
          <w:spacing w:val="8"/>
        </w:rPr>
        <w:t xml:space="preserve"> </w:t>
      </w:r>
      <w:r>
        <w:rPr>
          <w:rFonts w:ascii="SimSun" w:hAnsi="SimSun" w:eastAsia="SimSun" w:cs="SimSun"/>
          <w:sz w:val="21"/>
          <w:szCs w:val="21"/>
          <w:spacing w:val="-11"/>
        </w:rPr>
        <w:t>监管则具有公共性质，并在实际发生危害之</w:t>
      </w:r>
      <w:r>
        <w:rPr>
          <w:rFonts w:ascii="SimSun" w:hAnsi="SimSun" w:eastAsia="SimSun" w:cs="SimSun"/>
          <w:sz w:val="21"/>
          <w:szCs w:val="21"/>
          <w:spacing w:val="-12"/>
        </w:rPr>
        <w:t>前改变人们的行为，从而</w:t>
      </w:r>
      <w:r>
        <w:rPr>
          <w:rFonts w:ascii="SimSun" w:hAnsi="SimSun" w:eastAsia="SimSun" w:cs="SimSun"/>
          <w:sz w:val="21"/>
          <w:szCs w:val="21"/>
        </w:rPr>
        <w:t xml:space="preserve"> </w:t>
      </w:r>
      <w:r>
        <w:rPr>
          <w:rFonts w:ascii="SimSun" w:hAnsi="SimSun" w:eastAsia="SimSun" w:cs="SimSun"/>
          <w:sz w:val="21"/>
          <w:szCs w:val="21"/>
          <w:spacing w:val="-11"/>
        </w:rPr>
        <w:t>直接减少风险。②平台企业由于具有网络外部、跨行业等特征，传统</w:t>
      </w:r>
      <w:r>
        <w:rPr>
          <w:rFonts w:ascii="SimSun" w:hAnsi="SimSun" w:eastAsia="SimSun" w:cs="SimSun"/>
          <w:sz w:val="21"/>
          <w:szCs w:val="21"/>
          <w:spacing w:val="8"/>
        </w:rPr>
        <w:t xml:space="preserve"> </w:t>
      </w:r>
      <w:r>
        <w:rPr>
          <w:rFonts w:ascii="SimSun" w:hAnsi="SimSun" w:eastAsia="SimSun" w:cs="SimSun"/>
          <w:sz w:val="21"/>
          <w:szCs w:val="21"/>
          <w:spacing w:val="-11"/>
        </w:rPr>
        <w:t>民事、刑事和行政责任的事后追责体系不能对平台的自我优待、不正</w:t>
      </w:r>
      <w:r>
        <w:rPr>
          <w:rFonts w:ascii="SimSun" w:hAnsi="SimSun" w:eastAsia="SimSun" w:cs="SimSun"/>
          <w:sz w:val="21"/>
          <w:szCs w:val="21"/>
          <w:spacing w:val="10"/>
        </w:rPr>
        <w:t xml:space="preserve"> </w:t>
      </w:r>
      <w:r>
        <w:rPr>
          <w:rFonts w:ascii="SimSun" w:hAnsi="SimSun" w:eastAsia="SimSun" w:cs="SimSun"/>
          <w:sz w:val="21"/>
          <w:szCs w:val="21"/>
          <w:spacing w:val="-11"/>
        </w:rPr>
        <w:t>当接入等行为做出积极回应，因此越来越多的国家和地区转向以守门</w:t>
      </w:r>
      <w:r>
        <w:rPr>
          <w:rFonts w:ascii="SimSun" w:hAnsi="SimSun" w:eastAsia="SimSun" w:cs="SimSun"/>
          <w:sz w:val="21"/>
          <w:szCs w:val="21"/>
          <w:spacing w:val="1"/>
        </w:rPr>
        <w:t xml:space="preserve"> </w:t>
      </w:r>
      <w:r>
        <w:rPr>
          <w:rFonts w:ascii="SimSun" w:hAnsi="SimSun" w:eastAsia="SimSun" w:cs="SimSun"/>
          <w:sz w:val="21"/>
          <w:szCs w:val="21"/>
          <w:spacing w:val="-14"/>
        </w:rPr>
        <w:t>人责任为主的事前监管。</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spacing w:before="52" w:line="220" w:lineRule="auto"/>
        <w:rPr>
          <w:rFonts w:ascii="Times New Roman" w:hAnsi="Times New Roman" w:eastAsia="Times New Roman" w:cs="Times New Roman"/>
          <w:sz w:val="16"/>
          <w:szCs w:val="16"/>
        </w:rPr>
      </w:pPr>
      <w:r>
        <w:rPr>
          <w:rFonts w:ascii="SimSun" w:hAnsi="SimSun" w:eastAsia="SimSun" w:cs="SimSun"/>
          <w:sz w:val="16"/>
          <w:szCs w:val="16"/>
          <w:spacing w:val="10"/>
        </w:rPr>
        <w:t>①</w:t>
      </w:r>
      <w:r>
        <w:rPr>
          <w:rFonts w:ascii="SimSun" w:hAnsi="SimSun" w:eastAsia="SimSun" w:cs="SimSun"/>
          <w:sz w:val="16"/>
          <w:szCs w:val="16"/>
          <w:spacing w:val="66"/>
        </w:rPr>
        <w:t xml:space="preserve"> </w:t>
      </w:r>
      <w:r>
        <w:rPr>
          <w:rFonts w:ascii="KaiTi" w:hAnsi="KaiTi" w:eastAsia="KaiTi" w:cs="KaiTi"/>
          <w:sz w:val="16"/>
          <w:szCs w:val="16"/>
          <w:spacing w:val="10"/>
        </w:rPr>
        <w:t>陈鹏.公法上警察概念的变迁.法学研究，2017,39</w:t>
      </w:r>
      <w:r>
        <w:rPr>
          <w:rFonts w:ascii="KaiTi" w:hAnsi="KaiTi" w:eastAsia="KaiTi" w:cs="KaiTi"/>
          <w:sz w:val="16"/>
          <w:szCs w:val="16"/>
          <w:spacing w:val="9"/>
        </w:rPr>
        <w:t>(2):24-40</w:t>
      </w:r>
      <w:r>
        <w:rPr>
          <w:rFonts w:ascii="Times New Roman" w:hAnsi="Times New Roman" w:eastAsia="Times New Roman" w:cs="Times New Roman"/>
          <w:sz w:val="16"/>
          <w:szCs w:val="16"/>
          <w:spacing w:val="9"/>
        </w:rPr>
        <w:t>.</w:t>
      </w:r>
    </w:p>
    <w:p>
      <w:pPr>
        <w:spacing w:before="98" w:line="212" w:lineRule="auto"/>
        <w:jc w:val="right"/>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65"/>
        </w:rPr>
        <w:t xml:space="preserve"> </w:t>
      </w:r>
      <w:r>
        <w:rPr>
          <w:rFonts w:ascii="Times New Roman" w:hAnsi="Times New Roman" w:eastAsia="Times New Roman" w:cs="Times New Roman"/>
          <w:sz w:val="16"/>
          <w:szCs w:val="16"/>
        </w:rPr>
        <w:t>Steven</w:t>
      </w:r>
      <w:r>
        <w:rPr>
          <w:rFonts w:ascii="Times New Roman" w:hAnsi="Times New Roman" w:eastAsia="Times New Roman" w:cs="Times New Roman"/>
          <w:sz w:val="16"/>
          <w:szCs w:val="16"/>
          <w:spacing w:val="35"/>
        </w:rPr>
        <w:t xml:space="preserve"> </w:t>
      </w:r>
      <w:r>
        <w:rPr>
          <w:rFonts w:ascii="Times New Roman" w:hAnsi="Times New Roman" w:eastAsia="Times New Roman" w:cs="Times New Roman"/>
          <w:sz w:val="16"/>
          <w:szCs w:val="16"/>
        </w:rPr>
        <w:t>Shavell,"Liability</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26"/>
          <w:w w:val="102"/>
        </w:rPr>
        <w:t xml:space="preserve"> </w:t>
      </w:r>
      <w:r>
        <w:rPr>
          <w:rFonts w:ascii="Times New Roman" w:hAnsi="Times New Roman" w:eastAsia="Times New Roman" w:cs="Times New Roman"/>
          <w:sz w:val="16"/>
          <w:szCs w:val="16"/>
        </w:rPr>
        <w:t>Harm</w:t>
      </w:r>
      <w:r>
        <w:rPr>
          <w:rFonts w:ascii="Times New Roman" w:hAnsi="Times New Roman" w:eastAsia="Times New Roman" w:cs="Times New Roman"/>
          <w:sz w:val="16"/>
          <w:szCs w:val="16"/>
          <w:spacing w:val="26"/>
        </w:rPr>
        <w:t xml:space="preserve"> </w:t>
      </w:r>
      <w:r>
        <w:rPr>
          <w:rFonts w:ascii="Times New Roman" w:hAnsi="Times New Roman" w:eastAsia="Times New Roman" w:cs="Times New Roman"/>
          <w:sz w:val="16"/>
          <w:szCs w:val="16"/>
        </w:rPr>
        <w:t>versu</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spacing w:val="28"/>
        </w:rPr>
        <w:t xml:space="preserve"> </w:t>
      </w:r>
      <w:r>
        <w:rPr>
          <w:rFonts w:ascii="Times New Roman" w:hAnsi="Times New Roman" w:eastAsia="Times New Roman" w:cs="Times New Roman"/>
          <w:sz w:val="16"/>
          <w:szCs w:val="16"/>
          <w:spacing w:val="-1"/>
        </w:rPr>
        <w:t>Regulation</w:t>
      </w:r>
      <w:r>
        <w:rPr>
          <w:rFonts w:ascii="Times New Roman" w:hAnsi="Times New Roman" w:eastAsia="Times New Roman" w:cs="Times New Roman"/>
          <w:sz w:val="16"/>
          <w:szCs w:val="16"/>
          <w:spacing w:val="30"/>
          <w:w w:val="101"/>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spacing w:val="18"/>
          <w:w w:val="102"/>
        </w:rPr>
        <w:t xml:space="preserve"> </w:t>
      </w:r>
      <w:r>
        <w:rPr>
          <w:rFonts w:ascii="Times New Roman" w:hAnsi="Times New Roman" w:eastAsia="Times New Roman" w:cs="Times New Roman"/>
          <w:sz w:val="16"/>
          <w:szCs w:val="16"/>
          <w:spacing w:val="-1"/>
        </w:rPr>
        <w:t>Safety",The</w:t>
      </w:r>
      <w:r>
        <w:rPr>
          <w:rFonts w:ascii="Times New Roman" w:hAnsi="Times New Roman" w:eastAsia="Times New Roman" w:cs="Times New Roman"/>
          <w:sz w:val="16"/>
          <w:szCs w:val="16"/>
          <w:spacing w:val="28"/>
        </w:rPr>
        <w:t xml:space="preserve"> </w:t>
      </w:r>
      <w:r>
        <w:rPr>
          <w:rFonts w:ascii="Times New Roman" w:hAnsi="Times New Roman" w:eastAsia="Times New Roman" w:cs="Times New Roman"/>
          <w:sz w:val="16"/>
          <w:szCs w:val="16"/>
          <w:spacing w:val="-1"/>
        </w:rPr>
        <w:t>Journal</w:t>
      </w:r>
      <w:r>
        <w:rPr>
          <w:rFonts w:ascii="Times New Roman" w:hAnsi="Times New Roman" w:eastAsia="Times New Roman" w:cs="Times New Roman"/>
          <w:sz w:val="16"/>
          <w:szCs w:val="16"/>
          <w:spacing w:val="30"/>
          <w:w w:val="102"/>
        </w:rPr>
        <w:t xml:space="preserve"> </w:t>
      </w:r>
      <w:r>
        <w:rPr>
          <w:rFonts w:ascii="Times New Roman" w:hAnsi="Times New Roman" w:eastAsia="Times New Roman" w:cs="Times New Roman"/>
          <w:sz w:val="16"/>
          <w:szCs w:val="16"/>
          <w:spacing w:val="-1"/>
        </w:rPr>
        <w:t>of</w:t>
      </w:r>
      <w:r>
        <w:rPr>
          <w:rFonts w:ascii="Times New Roman" w:hAnsi="Times New Roman" w:eastAsia="Times New Roman" w:cs="Times New Roman"/>
          <w:sz w:val="16"/>
          <w:szCs w:val="16"/>
          <w:spacing w:val="11"/>
          <w:w w:val="102"/>
        </w:rPr>
        <w:t xml:space="preserve"> </w:t>
      </w:r>
      <w:r>
        <w:rPr>
          <w:rFonts w:ascii="Times New Roman" w:hAnsi="Times New Roman" w:eastAsia="Times New Roman" w:cs="Times New Roman"/>
          <w:sz w:val="16"/>
          <w:szCs w:val="16"/>
          <w:spacing w:val="-1"/>
        </w:rPr>
        <w:t>Legal</w:t>
      </w:r>
    </w:p>
    <w:p>
      <w:pPr>
        <w:ind w:left="318"/>
        <w:spacing w:before="92" w:line="216" w:lineRule="auto"/>
        <w:rPr>
          <w:rFonts w:ascii="SimSun" w:hAnsi="SimSun" w:eastAsia="SimSun" w:cs="SimSun"/>
          <w:sz w:val="16"/>
          <w:szCs w:val="16"/>
        </w:rPr>
      </w:pPr>
      <w:r>
        <w:rPr>
          <w:rFonts w:ascii="SimSun" w:hAnsi="SimSun" w:eastAsia="SimSun" w:cs="SimSun"/>
          <w:sz w:val="16"/>
          <w:szCs w:val="16"/>
          <w:i/>
          <w:iCs/>
          <w:spacing w:val="-4"/>
        </w:rPr>
        <w:t>Studies,1984,13(2):357-374.</w:t>
      </w:r>
    </w:p>
    <w:p>
      <w:pPr>
        <w:spacing w:line="216" w:lineRule="auto"/>
        <w:sectPr>
          <w:headerReference w:type="default" r:id="rId546"/>
          <w:pgSz w:w="7330" w:h="12480"/>
          <w:pgMar w:top="829" w:right="806" w:bottom="400" w:left="490" w:header="653" w:footer="0" w:gutter="0"/>
        </w:sectPr>
        <w:rPr>
          <w:rFonts w:ascii="SimSun" w:hAnsi="SimSun" w:eastAsia="SimSun" w:cs="SimSun"/>
          <w:sz w:val="16"/>
          <w:szCs w:val="16"/>
        </w:rPr>
      </w:pPr>
    </w:p>
    <w:p>
      <w:pPr>
        <w:spacing w:line="220" w:lineRule="auto"/>
        <w:rPr>
          <w:rFonts w:ascii="SimHei" w:hAnsi="SimHei" w:eastAsia="SimHei" w:cs="SimHei"/>
          <w:sz w:val="19"/>
          <w:szCs w:val="19"/>
        </w:rPr>
      </w:pPr>
      <w:r>
        <w:rPr>
          <w:rFonts w:ascii="SimSun" w:hAnsi="SimSun" w:eastAsia="SimSun" w:cs="SimSun"/>
          <w:sz w:val="12"/>
          <w:szCs w:val="12"/>
          <w:spacing w:val="-1"/>
          <w:position w:val="-2"/>
        </w:rPr>
        <w:t>456                              </w:t>
      </w:r>
      <w:r>
        <w:rPr>
          <w:rFonts w:ascii="SimHei" w:hAnsi="SimHei" w:eastAsia="SimHei" w:cs="SimHei"/>
          <w:sz w:val="19"/>
          <w:szCs w:val="19"/>
          <w:spacing w:val="-16"/>
          <w:w w:val="90"/>
        </w:rPr>
        <w:t>平台经济——创新、治理与繁荣</w:t>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402"/>
        <w:spacing w:before="62" w:line="219" w:lineRule="auto"/>
        <w:rPr>
          <w:rFonts w:ascii="SimSun" w:hAnsi="SimSun" w:eastAsia="SimSun" w:cs="SimSun"/>
          <w:sz w:val="19"/>
          <w:szCs w:val="19"/>
        </w:rPr>
      </w:pPr>
      <w:r>
        <w:rPr>
          <w:rFonts w:ascii="SimSun" w:hAnsi="SimSun" w:eastAsia="SimSun" w:cs="SimSun"/>
          <w:sz w:val="19"/>
          <w:szCs w:val="19"/>
          <w:b/>
          <w:bCs/>
          <w:spacing w:val="4"/>
        </w:rPr>
        <w:t>守门人责任</w:t>
      </w:r>
    </w:p>
    <w:p>
      <w:pPr>
        <w:ind w:firstLine="402"/>
        <w:spacing w:before="139" w:line="327" w:lineRule="auto"/>
        <w:rPr>
          <w:rFonts w:ascii="SimSun" w:hAnsi="SimSun" w:eastAsia="SimSun" w:cs="SimSun"/>
          <w:sz w:val="19"/>
          <w:szCs w:val="19"/>
        </w:rPr>
      </w:pPr>
      <w:r>
        <w:rPr>
          <w:rFonts w:ascii="SimHei" w:hAnsi="SimHei" w:eastAsia="SimHei" w:cs="SimHei"/>
          <w:sz w:val="19"/>
          <w:szCs w:val="19"/>
          <w:b/>
          <w:bCs/>
          <w:spacing w:val="12"/>
        </w:rPr>
        <w:t>守门人责任提出的背景</w:t>
      </w:r>
      <w:r>
        <w:rPr>
          <w:rFonts w:ascii="SimHei" w:hAnsi="SimHei" w:eastAsia="SimHei" w:cs="SimHei"/>
          <w:sz w:val="19"/>
          <w:szCs w:val="19"/>
          <w:spacing w:val="90"/>
        </w:rPr>
        <w:t xml:space="preserve"> </w:t>
      </w:r>
      <w:r>
        <w:rPr>
          <w:rFonts w:ascii="SimSun" w:hAnsi="SimSun" w:eastAsia="SimSun" w:cs="SimSun"/>
          <w:sz w:val="19"/>
          <w:szCs w:val="19"/>
          <w:spacing w:val="12"/>
        </w:rPr>
        <w:t>守门人具有网络外部性、中介地位(联 </w:t>
      </w:r>
      <w:r>
        <w:rPr>
          <w:rFonts w:ascii="SimSun" w:hAnsi="SimSun" w:eastAsia="SimSun" w:cs="SimSun"/>
          <w:sz w:val="19"/>
          <w:szCs w:val="19"/>
          <w:spacing w:val="16"/>
        </w:rPr>
        <w:t>通商家与消费者),并且拥有巨量的数据，这些优势让在线守门</w:t>
      </w:r>
      <w:r>
        <w:rPr>
          <w:rFonts w:ascii="SimSun" w:hAnsi="SimSun" w:eastAsia="SimSun" w:cs="SimSun"/>
          <w:sz w:val="19"/>
          <w:szCs w:val="19"/>
          <w:spacing w:val="15"/>
        </w:rPr>
        <w:t>人有</w:t>
      </w:r>
      <w:r>
        <w:rPr>
          <w:rFonts w:ascii="SimSun" w:hAnsi="SimSun" w:eastAsia="SimSun" w:cs="SimSun"/>
          <w:sz w:val="19"/>
          <w:szCs w:val="19"/>
        </w:rPr>
        <w:t xml:space="preserve"> </w:t>
      </w:r>
      <w:r>
        <w:rPr>
          <w:rFonts w:ascii="SimSun" w:hAnsi="SimSun" w:eastAsia="SimSun" w:cs="SimSun"/>
          <w:sz w:val="19"/>
          <w:szCs w:val="19"/>
          <w:spacing w:val="11"/>
        </w:rPr>
        <w:t>了支配地位和市场力量⑨,因此产生了对公平竞争的</w:t>
      </w:r>
      <w:r>
        <w:rPr>
          <w:rFonts w:ascii="SimSun" w:hAnsi="SimSun" w:eastAsia="SimSun" w:cs="SimSun"/>
          <w:sz w:val="19"/>
          <w:szCs w:val="19"/>
          <w:spacing w:val="10"/>
        </w:rPr>
        <w:t>危害。2021年11</w:t>
      </w:r>
      <w:r>
        <w:rPr>
          <w:rFonts w:ascii="SimSun" w:hAnsi="SimSun" w:eastAsia="SimSun" w:cs="SimSun"/>
          <w:sz w:val="19"/>
          <w:szCs w:val="19"/>
        </w:rPr>
        <w:t xml:space="preserve">  </w:t>
      </w:r>
      <w:r>
        <w:rPr>
          <w:rFonts w:ascii="SimSun" w:hAnsi="SimSun" w:eastAsia="SimSun" w:cs="SimSun"/>
          <w:sz w:val="19"/>
          <w:szCs w:val="19"/>
          <w:spacing w:val="11"/>
        </w:rPr>
        <w:t>月23日，欧洲议会内部市场和消费者保护委员</w:t>
      </w:r>
      <w:r>
        <w:rPr>
          <w:rFonts w:ascii="SimSun" w:hAnsi="SimSun" w:eastAsia="SimSun" w:cs="SimSun"/>
          <w:sz w:val="19"/>
          <w:szCs w:val="19"/>
          <w:spacing w:val="10"/>
        </w:rPr>
        <w:t>会</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IMCO</w:t>
      </w:r>
      <w:r>
        <w:rPr>
          <w:rFonts w:ascii="Times New Roman" w:hAnsi="Times New Roman" w:eastAsia="Times New Roman" w:cs="Times New Roman"/>
          <w:sz w:val="19"/>
          <w:szCs w:val="19"/>
          <w:spacing w:val="10"/>
        </w:rPr>
        <w:t>)    </w:t>
      </w:r>
      <w:r>
        <w:rPr>
          <w:rFonts w:ascii="SimSun" w:hAnsi="SimSun" w:eastAsia="SimSun" w:cs="SimSun"/>
          <w:sz w:val="19"/>
          <w:szCs w:val="19"/>
          <w:spacing w:val="10"/>
        </w:rPr>
        <w:t>以</w:t>
      </w:r>
      <w:r>
        <w:rPr>
          <w:rFonts w:ascii="SimSun" w:hAnsi="SimSun" w:eastAsia="SimSun" w:cs="SimSun"/>
          <w:sz w:val="19"/>
          <w:szCs w:val="19"/>
          <w:spacing w:val="-26"/>
        </w:rPr>
        <w:t xml:space="preserve"> </w:t>
      </w:r>
      <w:r>
        <w:rPr>
          <w:rFonts w:ascii="SimSun" w:hAnsi="SimSun" w:eastAsia="SimSun" w:cs="SimSun"/>
          <w:sz w:val="19"/>
          <w:szCs w:val="19"/>
          <w:spacing w:val="10"/>
        </w:rPr>
        <w:t>4</w:t>
      </w:r>
      <w:r>
        <w:rPr>
          <w:rFonts w:ascii="SimSun" w:hAnsi="SimSun" w:eastAsia="SimSun" w:cs="SimSun"/>
          <w:sz w:val="19"/>
          <w:szCs w:val="19"/>
          <w:spacing w:val="-22"/>
        </w:rPr>
        <w:t xml:space="preserve"> </w:t>
      </w:r>
      <w:r>
        <w:rPr>
          <w:rFonts w:ascii="SimSun" w:hAnsi="SimSun" w:eastAsia="SimSun" w:cs="SimSun"/>
          <w:sz w:val="19"/>
          <w:szCs w:val="19"/>
          <w:spacing w:val="10"/>
        </w:rPr>
        <w:t>2</w:t>
      </w:r>
      <w:r>
        <w:rPr>
          <w:rFonts w:ascii="SimSun" w:hAnsi="SimSun" w:eastAsia="SimSun" w:cs="SimSun"/>
          <w:sz w:val="19"/>
          <w:szCs w:val="19"/>
          <w:spacing w:val="-24"/>
        </w:rPr>
        <w:t xml:space="preserve"> </w:t>
      </w:r>
      <w:r>
        <w:rPr>
          <w:rFonts w:ascii="SimSun" w:hAnsi="SimSun" w:eastAsia="SimSun" w:cs="SimSun"/>
          <w:sz w:val="19"/>
          <w:szCs w:val="19"/>
          <w:spacing w:val="10"/>
        </w:rPr>
        <w:t>票 </w:t>
      </w:r>
      <w:r>
        <w:rPr>
          <w:rFonts w:ascii="SimSun" w:hAnsi="SimSun" w:eastAsia="SimSun" w:cs="SimSun"/>
          <w:sz w:val="19"/>
          <w:szCs w:val="19"/>
          <w:spacing w:val="16"/>
        </w:rPr>
        <w:t>赞成、2票反对和1票弃权通过了《数字市场法》草案，该草案对具</w:t>
      </w:r>
      <w:r>
        <w:rPr>
          <w:rFonts w:ascii="SimSun" w:hAnsi="SimSun" w:eastAsia="SimSun" w:cs="SimSun"/>
          <w:sz w:val="19"/>
          <w:szCs w:val="19"/>
        </w:rPr>
        <w:t xml:space="preserve"> </w:t>
      </w:r>
      <w:r>
        <w:rPr>
          <w:rFonts w:ascii="SimSun" w:hAnsi="SimSun" w:eastAsia="SimSun" w:cs="SimSun"/>
          <w:sz w:val="19"/>
          <w:szCs w:val="19"/>
          <w:spacing w:val="12"/>
        </w:rPr>
        <w:t>有“守门人”地位的互联网公司的范围和具体行为做</w:t>
      </w:r>
      <w:r>
        <w:rPr>
          <w:rFonts w:ascii="SimSun" w:hAnsi="SimSun" w:eastAsia="SimSun" w:cs="SimSun"/>
          <w:sz w:val="19"/>
          <w:szCs w:val="19"/>
          <w:spacing w:val="11"/>
        </w:rPr>
        <w:t>出规制。目前，</w:t>
      </w:r>
      <w:r>
        <w:rPr>
          <w:rFonts w:ascii="SimSun" w:hAnsi="SimSun" w:eastAsia="SimSun" w:cs="SimSun"/>
          <w:sz w:val="19"/>
          <w:szCs w:val="19"/>
        </w:rPr>
        <w:t xml:space="preserve"> </w:t>
      </w:r>
      <w:r>
        <w:rPr>
          <w:rFonts w:ascii="SimSun" w:hAnsi="SimSun" w:eastAsia="SimSun" w:cs="SimSun"/>
          <w:sz w:val="19"/>
          <w:szCs w:val="19"/>
          <w:spacing w:val="12"/>
        </w:rPr>
        <w:t>美国以及德、法等欧盟成员国都采纳了“数字守门人责</w:t>
      </w:r>
      <w:r>
        <w:rPr>
          <w:rFonts w:ascii="SimSun" w:hAnsi="SimSun" w:eastAsia="SimSun" w:cs="SimSun"/>
          <w:sz w:val="19"/>
          <w:szCs w:val="19"/>
          <w:spacing w:val="11"/>
        </w:rPr>
        <w:t>任”的思想，</w:t>
      </w:r>
      <w:r>
        <w:rPr>
          <w:rFonts w:ascii="SimSun" w:hAnsi="SimSun" w:eastAsia="SimSun" w:cs="SimSun"/>
          <w:sz w:val="19"/>
          <w:szCs w:val="19"/>
        </w:rPr>
        <w:t xml:space="preserve"> </w:t>
      </w:r>
      <w:r>
        <w:rPr>
          <w:rFonts w:ascii="SimSun" w:hAnsi="SimSun" w:eastAsia="SimSun" w:cs="SimSun"/>
          <w:sz w:val="19"/>
          <w:szCs w:val="19"/>
          <w:spacing w:val="10"/>
        </w:rPr>
        <w:t>开始以此为依据开展相关的立法。不过，在具体操作上</w:t>
      </w:r>
      <w:r>
        <w:rPr>
          <w:rFonts w:ascii="SimSun" w:hAnsi="SimSun" w:eastAsia="SimSun" w:cs="SimSun"/>
          <w:sz w:val="19"/>
          <w:szCs w:val="19"/>
          <w:spacing w:val="9"/>
        </w:rPr>
        <w:t>，各个国家和</w:t>
      </w:r>
      <w:r>
        <w:rPr>
          <w:rFonts w:ascii="SimSun" w:hAnsi="SimSun" w:eastAsia="SimSun" w:cs="SimSun"/>
          <w:sz w:val="19"/>
          <w:szCs w:val="19"/>
        </w:rPr>
        <w:t xml:space="preserve"> </w:t>
      </w:r>
      <w:r>
        <w:rPr>
          <w:rFonts w:ascii="SimSun" w:hAnsi="SimSun" w:eastAsia="SimSun" w:cs="SimSun"/>
          <w:sz w:val="19"/>
          <w:szCs w:val="19"/>
          <w:spacing w:val="5"/>
        </w:rPr>
        <w:t>地区还远没有形成足够的共识。②</w:t>
      </w:r>
    </w:p>
    <w:p>
      <w:pPr>
        <w:ind w:right="47" w:firstLine="399"/>
        <w:spacing w:before="204" w:line="344" w:lineRule="auto"/>
        <w:jc w:val="both"/>
        <w:rPr>
          <w:rFonts w:ascii="SimSun" w:hAnsi="SimSun" w:eastAsia="SimSun" w:cs="SimSun"/>
          <w:sz w:val="19"/>
          <w:szCs w:val="19"/>
        </w:rPr>
      </w:pPr>
      <w:r>
        <w:rPr>
          <w:rFonts w:ascii="SimSun" w:hAnsi="SimSun" w:eastAsia="SimSun" w:cs="SimSun"/>
          <w:sz w:val="19"/>
          <w:szCs w:val="19"/>
          <w:spacing w:val="11"/>
        </w:rPr>
        <w:t>在有关平台监管的文献中，奥拉·林斯基</w:t>
      </w:r>
      <w:r>
        <w:rPr>
          <w:rFonts w:ascii="SimSun" w:hAnsi="SimSun" w:eastAsia="SimSun" w:cs="SimSun"/>
          <w:sz w:val="19"/>
          <w:szCs w:val="19"/>
          <w:spacing w:val="-19"/>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Orla</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Lynskey</w:t>
      </w:r>
      <w:r>
        <w:rPr>
          <w:rFonts w:ascii="Times New Roman" w:hAnsi="Times New Roman" w:eastAsia="Times New Roman" w:cs="Times New Roman"/>
          <w:sz w:val="19"/>
          <w:szCs w:val="19"/>
          <w:spacing w:val="11"/>
        </w:rPr>
        <w:t>) </w:t>
      </w:r>
      <w:r>
        <w:rPr>
          <w:rFonts w:ascii="SimSun" w:hAnsi="SimSun" w:eastAsia="SimSun" w:cs="SimSun"/>
          <w:sz w:val="19"/>
          <w:szCs w:val="19"/>
          <w:spacing w:val="11"/>
        </w:rPr>
        <w:t>最早</w:t>
      </w:r>
      <w:r>
        <w:rPr>
          <w:rFonts w:ascii="SimSun" w:hAnsi="SimSun" w:eastAsia="SimSun" w:cs="SimSun"/>
          <w:sz w:val="19"/>
          <w:szCs w:val="19"/>
        </w:rPr>
        <w:t xml:space="preserve"> </w:t>
      </w:r>
      <w:r>
        <w:rPr>
          <w:rFonts w:ascii="SimSun" w:hAnsi="SimSun" w:eastAsia="SimSun" w:cs="SimSun"/>
          <w:sz w:val="19"/>
          <w:szCs w:val="19"/>
          <w:spacing w:val="9"/>
        </w:rPr>
        <w:t>建议用“守门人”代替“平台力量”作为监管的主要对象。林斯基认</w:t>
      </w:r>
      <w:r>
        <w:rPr>
          <w:rFonts w:ascii="SimSun" w:hAnsi="SimSun" w:eastAsia="SimSun" w:cs="SimSun"/>
          <w:sz w:val="19"/>
          <w:szCs w:val="19"/>
          <w:spacing w:val="18"/>
        </w:rPr>
        <w:t xml:space="preserve"> </w:t>
      </w:r>
      <w:r>
        <w:rPr>
          <w:rFonts w:ascii="SimSun" w:hAnsi="SimSun" w:eastAsia="SimSun" w:cs="SimSun"/>
          <w:sz w:val="19"/>
          <w:szCs w:val="19"/>
          <w:spacing w:val="10"/>
        </w:rPr>
        <w:t>为现有的法律机制没有充分反映数字守门人在信息流动和个人行为方</w:t>
      </w:r>
      <w:r>
        <w:rPr>
          <w:rFonts w:ascii="SimSun" w:hAnsi="SimSun" w:eastAsia="SimSun" w:cs="SimSun"/>
          <w:sz w:val="19"/>
          <w:szCs w:val="19"/>
          <w:spacing w:val="6"/>
        </w:rPr>
        <w:t xml:space="preserve"> </w:t>
      </w:r>
      <w:r>
        <w:rPr>
          <w:rFonts w:ascii="SimSun" w:hAnsi="SimSun" w:eastAsia="SimSun" w:cs="SimSun"/>
          <w:sz w:val="19"/>
          <w:szCs w:val="19"/>
          <w:spacing w:val="9"/>
        </w:rPr>
        <w:t>面施加的影响，且数字守门人对个人的权利影响并没有被纳入目前竞</w:t>
      </w:r>
      <w:r>
        <w:rPr>
          <w:rFonts w:ascii="SimSun" w:hAnsi="SimSun" w:eastAsia="SimSun" w:cs="SimSun"/>
          <w:sz w:val="19"/>
          <w:szCs w:val="19"/>
          <w:spacing w:val="18"/>
        </w:rPr>
        <w:t xml:space="preserve"> </w:t>
      </w:r>
      <w:r>
        <w:rPr>
          <w:rFonts w:ascii="SimSun" w:hAnsi="SimSun" w:eastAsia="SimSun" w:cs="SimSun"/>
          <w:sz w:val="19"/>
          <w:szCs w:val="19"/>
          <w:spacing w:val="10"/>
        </w:rPr>
        <w:t>争法和经济监管的处理范畴。同时，数字守门人的技术</w:t>
      </w:r>
      <w:r>
        <w:rPr>
          <w:rFonts w:ascii="SimSun" w:hAnsi="SimSun" w:eastAsia="SimSun" w:cs="SimSun"/>
          <w:sz w:val="19"/>
          <w:szCs w:val="19"/>
          <w:spacing w:val="9"/>
        </w:rPr>
        <w:t>特性及其复杂</w:t>
      </w:r>
      <w:r>
        <w:rPr>
          <w:rFonts w:ascii="SimSun" w:hAnsi="SimSun" w:eastAsia="SimSun" w:cs="SimSun"/>
          <w:sz w:val="19"/>
          <w:szCs w:val="19"/>
        </w:rPr>
        <w:t xml:space="preserve"> </w:t>
      </w:r>
      <w:r>
        <w:rPr>
          <w:rFonts w:ascii="SimSun" w:hAnsi="SimSun" w:eastAsia="SimSun" w:cs="SimSun"/>
          <w:sz w:val="19"/>
          <w:szCs w:val="19"/>
          <w:spacing w:val="9"/>
        </w:rPr>
        <w:t>性使得个人用户无法有效对其进行监督和审查。③因此法律需要对平</w:t>
      </w:r>
    </w:p>
    <w:p>
      <w:pPr>
        <w:spacing w:line="219" w:lineRule="auto"/>
        <w:rPr>
          <w:rFonts w:ascii="SimSun" w:hAnsi="SimSun" w:eastAsia="SimSun" w:cs="SimSun"/>
          <w:sz w:val="19"/>
          <w:szCs w:val="19"/>
        </w:rPr>
      </w:pPr>
      <w:r>
        <w:rPr>
          <w:rFonts w:ascii="SimSun" w:hAnsi="SimSun" w:eastAsia="SimSun" w:cs="SimSun"/>
          <w:sz w:val="19"/>
          <w:szCs w:val="19"/>
          <w:spacing w:val="8"/>
        </w:rPr>
        <w:t>台设置守门人义务，以更好地应对此种挑战。</w:t>
      </w:r>
    </w:p>
    <w:p>
      <w:pPr>
        <w:ind w:right="33" w:firstLine="402"/>
        <w:spacing w:before="181" w:line="342" w:lineRule="auto"/>
        <w:jc w:val="both"/>
        <w:rPr>
          <w:rFonts w:ascii="SimSun" w:hAnsi="SimSun" w:eastAsia="SimSun" w:cs="SimSun"/>
          <w:sz w:val="19"/>
          <w:szCs w:val="19"/>
        </w:rPr>
      </w:pPr>
      <w:r>
        <w:rPr>
          <w:rFonts w:ascii="SimHei" w:hAnsi="SimHei" w:eastAsia="SimHei" w:cs="SimHei"/>
          <w:sz w:val="19"/>
          <w:szCs w:val="19"/>
          <w:b/>
          <w:bCs/>
          <w:spacing w:val="10"/>
        </w:rPr>
        <w:t>守门人概念的界定</w:t>
      </w:r>
      <w:r>
        <w:rPr>
          <w:rFonts w:ascii="SimHei" w:hAnsi="SimHei" w:eastAsia="SimHei" w:cs="SimHei"/>
          <w:sz w:val="19"/>
          <w:szCs w:val="19"/>
          <w:spacing w:val="72"/>
        </w:rPr>
        <w:t xml:space="preserve"> </w:t>
      </w:r>
      <w:r>
        <w:rPr>
          <w:rFonts w:ascii="SimSun" w:hAnsi="SimSun" w:eastAsia="SimSun" w:cs="SimSun"/>
          <w:sz w:val="19"/>
          <w:szCs w:val="19"/>
          <w:spacing w:val="10"/>
        </w:rPr>
        <w:t>目前并没有一个很清晰的、公认的守门人概</w:t>
      </w:r>
      <w:r>
        <w:rPr>
          <w:rFonts w:ascii="SimSun" w:hAnsi="SimSun" w:eastAsia="SimSun" w:cs="SimSun"/>
          <w:sz w:val="19"/>
          <w:szCs w:val="19"/>
        </w:rPr>
        <w:t xml:space="preserve"> </w:t>
      </w:r>
      <w:r>
        <w:rPr>
          <w:rFonts w:ascii="SimSun" w:hAnsi="SimSun" w:eastAsia="SimSun" w:cs="SimSun"/>
          <w:sz w:val="19"/>
          <w:szCs w:val="19"/>
          <w:spacing w:val="17"/>
        </w:rPr>
        <w:t>念界定，通行的观点是这个术语指的是提供在线服务(如电商平台)</w:t>
      </w:r>
    </w:p>
    <w:p>
      <w:pPr>
        <w:spacing w:line="219" w:lineRule="auto"/>
        <w:rPr>
          <w:rFonts w:ascii="SimSun" w:hAnsi="SimSun" w:eastAsia="SimSun" w:cs="SimSun"/>
          <w:sz w:val="19"/>
          <w:szCs w:val="19"/>
        </w:rPr>
      </w:pPr>
      <w:r>
        <w:rPr>
          <w:rFonts w:ascii="SimSun" w:hAnsi="SimSun" w:eastAsia="SimSun" w:cs="SimSun"/>
          <w:sz w:val="19"/>
          <w:szCs w:val="19"/>
          <w:spacing w:val="20"/>
        </w:rPr>
        <w:t>或者控制、影响着获取在线服务的门路(如操作系统、应用软件商</w:t>
      </w:r>
    </w:p>
    <w:p>
      <w:pPr>
        <w:pStyle w:val="BodyText"/>
        <w:spacing w:line="267" w:lineRule="auto"/>
        <w:rPr/>
      </w:pPr>
      <w:r/>
    </w:p>
    <w:p>
      <w:pPr>
        <w:ind w:left="329" w:right="11" w:hanging="329"/>
        <w:spacing w:before="62" w:line="260" w:lineRule="auto"/>
        <w:rPr>
          <w:rFonts w:ascii="KaiTi" w:hAnsi="KaiTi" w:eastAsia="KaiTi" w:cs="KaiTi"/>
          <w:sz w:val="19"/>
          <w:szCs w:val="19"/>
        </w:rPr>
      </w:pPr>
      <w:r>
        <w:rPr>
          <w:rFonts w:ascii="SimSun" w:hAnsi="SimSun" w:eastAsia="SimSun" w:cs="SimSun"/>
          <w:sz w:val="19"/>
          <w:szCs w:val="19"/>
          <w:spacing w:val="-18"/>
        </w:rPr>
        <w:t>①</w:t>
      </w:r>
      <w:r>
        <w:rPr>
          <w:rFonts w:ascii="SimSun" w:hAnsi="SimSun" w:eastAsia="SimSun" w:cs="SimSun"/>
          <w:sz w:val="19"/>
          <w:szCs w:val="19"/>
          <w:spacing w:val="50"/>
        </w:rPr>
        <w:t xml:space="preserve"> </w:t>
      </w:r>
      <w:r>
        <w:rPr>
          <w:rFonts w:ascii="KaiTi" w:hAnsi="KaiTi" w:eastAsia="KaiTi" w:cs="KaiTi"/>
          <w:sz w:val="19"/>
          <w:szCs w:val="19"/>
          <w:spacing w:val="-18"/>
        </w:rPr>
        <w:t>欧盟对市场支配地位的定义(采用的是经济</w:t>
      </w:r>
      <w:r>
        <w:rPr>
          <w:rFonts w:ascii="KaiTi" w:hAnsi="KaiTi" w:eastAsia="KaiTi" w:cs="KaiTi"/>
          <w:sz w:val="19"/>
          <w:szCs w:val="19"/>
          <w:spacing w:val="-19"/>
        </w:rPr>
        <w:t>学定义):一个公司独立于其竞争对</w:t>
      </w:r>
      <w:r>
        <w:rPr>
          <w:rFonts w:ascii="KaiTi" w:hAnsi="KaiTi" w:eastAsia="KaiTi" w:cs="KaiTi"/>
          <w:sz w:val="19"/>
          <w:szCs w:val="19"/>
        </w:rPr>
        <w:t xml:space="preserve"> </w:t>
      </w:r>
      <w:r>
        <w:rPr>
          <w:rFonts w:ascii="KaiTi" w:hAnsi="KaiTi" w:eastAsia="KaiTi" w:cs="KaiTi"/>
          <w:sz w:val="19"/>
          <w:szCs w:val="19"/>
          <w:spacing w:val="-20"/>
          <w:w w:val="96"/>
        </w:rPr>
        <w:t>手、客户、供应商及最终消费者的能力。拥有市场支配力量的企业有能力将价格</w:t>
      </w:r>
      <w:r>
        <w:rPr>
          <w:rFonts w:ascii="KaiTi" w:hAnsi="KaiTi" w:eastAsia="KaiTi" w:cs="KaiTi"/>
          <w:sz w:val="19"/>
          <w:szCs w:val="19"/>
          <w:spacing w:val="15"/>
        </w:rPr>
        <w:t xml:space="preserve"> </w:t>
      </w:r>
      <w:r>
        <w:rPr>
          <w:rFonts w:ascii="KaiTi" w:hAnsi="KaiTi" w:eastAsia="KaiTi" w:cs="KaiTi"/>
          <w:sz w:val="19"/>
          <w:szCs w:val="19"/>
          <w:spacing w:val="-17"/>
          <w:w w:val="95"/>
        </w:rPr>
        <w:t>定在竞争水平之上，销售质量低劣的产品，或者将其创</w:t>
      </w:r>
      <w:r>
        <w:rPr>
          <w:rFonts w:ascii="KaiTi" w:hAnsi="KaiTi" w:eastAsia="KaiTi" w:cs="KaiTi"/>
          <w:sz w:val="19"/>
          <w:szCs w:val="19"/>
          <w:spacing w:val="-18"/>
          <w:w w:val="95"/>
        </w:rPr>
        <w:t>新速度降到低于竞争市场</w:t>
      </w:r>
      <w:r>
        <w:rPr>
          <w:rFonts w:ascii="KaiTi" w:hAnsi="KaiTi" w:eastAsia="KaiTi" w:cs="KaiTi"/>
          <w:sz w:val="19"/>
          <w:szCs w:val="19"/>
        </w:rPr>
        <w:t xml:space="preserve"> </w:t>
      </w:r>
      <w:r>
        <w:rPr>
          <w:rFonts w:ascii="KaiTi" w:hAnsi="KaiTi" w:eastAsia="KaiTi" w:cs="KaiTi"/>
          <w:sz w:val="19"/>
          <w:szCs w:val="19"/>
          <w:spacing w:val="-24"/>
        </w:rPr>
        <w:t>的水平。</w:t>
      </w:r>
    </w:p>
    <w:p>
      <w:pPr>
        <w:ind w:left="329" w:right="12" w:hanging="329"/>
        <w:spacing w:before="53" w:line="251" w:lineRule="auto"/>
        <w:rPr>
          <w:rFonts w:ascii="SimSun" w:hAnsi="SimSun" w:eastAsia="SimSun" w:cs="SimSun"/>
          <w:sz w:val="19"/>
          <w:szCs w:val="19"/>
        </w:rPr>
      </w:pPr>
      <w:r>
        <w:rPr>
          <w:rFonts w:ascii="KaiTi" w:hAnsi="KaiTi" w:eastAsia="KaiTi" w:cs="KaiTi"/>
          <w:sz w:val="19"/>
          <w:szCs w:val="19"/>
          <w:spacing w:val="-14"/>
        </w:rPr>
        <w:t>②</w:t>
      </w:r>
      <w:r>
        <w:rPr>
          <w:rFonts w:ascii="KaiTi" w:hAnsi="KaiTi" w:eastAsia="KaiTi" w:cs="KaiTi"/>
          <w:sz w:val="19"/>
          <w:szCs w:val="19"/>
          <w:spacing w:val="-14"/>
        </w:rPr>
        <w:t xml:space="preserve">  </w:t>
      </w:r>
      <w:r>
        <w:rPr>
          <w:rFonts w:ascii="KaiTi" w:hAnsi="KaiTi" w:eastAsia="KaiTi" w:cs="KaiTi"/>
          <w:sz w:val="19"/>
          <w:szCs w:val="19"/>
          <w:spacing w:val="-14"/>
        </w:rPr>
        <w:t>陈永伟.数字守门人；从概念到实践.经济观察网，2021-07-12,h</w:t>
      </w:r>
      <w:r>
        <w:rPr>
          <w:rFonts w:ascii="Times New Roman" w:hAnsi="Times New Roman" w:eastAsia="Times New Roman" w:cs="Times New Roman"/>
          <w:sz w:val="19"/>
          <w:szCs w:val="19"/>
          <w:spacing w:val="-14"/>
        </w:rPr>
        <w:t>tp:/www.eeo.</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20"/>
          <w:w w:val="99"/>
        </w:rPr>
        <w:t>com.cn/2021/0712/494523.shtml.</w:t>
      </w:r>
    </w:p>
    <w:p>
      <w:pPr>
        <w:ind w:left="329" w:right="22" w:hanging="329"/>
        <w:spacing w:before="42" w:line="251" w:lineRule="auto"/>
        <w:rPr>
          <w:rFonts w:ascii="SimSun" w:hAnsi="SimSun" w:eastAsia="SimSun" w:cs="SimSun"/>
          <w:sz w:val="19"/>
          <w:szCs w:val="19"/>
        </w:rPr>
      </w:pPr>
      <w:r>
        <w:rPr>
          <w:rFonts w:ascii="SimSun" w:hAnsi="SimSun" w:eastAsia="SimSun" w:cs="SimSun"/>
          <w:sz w:val="19"/>
          <w:szCs w:val="19"/>
          <w:spacing w:val="-10"/>
          <w:w w:val="99"/>
        </w:rPr>
        <w:t>③</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10"/>
          <w:w w:val="99"/>
        </w:rPr>
        <w:t>Orla Lynskey,"Regulating'Platform Power'",LSE Law,Society and Economy Working</w:t>
      </w:r>
      <w:r>
        <w:rPr>
          <w:rFonts w:ascii="Times New Roman" w:hAnsi="Times New Roman" w:eastAsia="Times New Roman" w:cs="Times New Roman"/>
          <w:sz w:val="19"/>
          <w:szCs w:val="19"/>
        </w:rPr>
        <w:t xml:space="preserve"> </w:t>
      </w:r>
      <w:r>
        <w:rPr>
          <w:rFonts w:ascii="SimSun" w:hAnsi="SimSun" w:eastAsia="SimSun" w:cs="SimSun"/>
          <w:sz w:val="19"/>
          <w:szCs w:val="19"/>
          <w:spacing w:val="-15"/>
        </w:rPr>
        <w:t>Papers,No.1/2017,2017.</w:t>
      </w:r>
    </w:p>
    <w:p>
      <w:pPr>
        <w:spacing w:line="251" w:lineRule="auto"/>
        <w:sectPr>
          <w:headerReference w:type="default" r:id="rId1"/>
          <w:pgSz w:w="7330" w:h="12480"/>
          <w:pgMar w:top="316" w:right="564" w:bottom="400" w:left="709" w:header="0" w:footer="0" w:gutter="0"/>
        </w:sectPr>
        <w:rPr>
          <w:rFonts w:ascii="SimSun" w:hAnsi="SimSun" w:eastAsia="SimSun" w:cs="SimSun"/>
          <w:sz w:val="19"/>
          <w:szCs w:val="19"/>
        </w:rPr>
      </w:pPr>
    </w:p>
    <w:p>
      <w:pPr>
        <w:pStyle w:val="BodyText"/>
        <w:spacing w:line="250" w:lineRule="auto"/>
        <w:rPr/>
      </w:pPr>
      <w:r>
        <w:drawing>
          <wp:anchor distT="0" distB="0" distL="0" distR="0" simplePos="0" relativeHeight="256444416" behindDoc="0" locked="0" layoutInCell="0" allowOverlap="1">
            <wp:simplePos x="0" y="0"/>
            <wp:positionH relativeFrom="page">
              <wp:posOffset>393682</wp:posOffset>
            </wp:positionH>
            <wp:positionV relativeFrom="page">
              <wp:posOffset>4464034</wp:posOffset>
            </wp:positionV>
            <wp:extent cx="1174761" cy="6350"/>
            <wp:effectExtent l="0" t="0" r="0" b="0"/>
            <wp:wrapNone/>
            <wp:docPr id="416" name="IM 416"/>
            <wp:cNvGraphicFramePr/>
            <a:graphic>
              <a:graphicData uri="http://schemas.openxmlformats.org/drawingml/2006/picture">
                <pic:pic>
                  <pic:nvPicPr>
                    <pic:cNvPr id="416" name="IM 416"/>
                    <pic:cNvPicPr/>
                  </pic:nvPicPr>
                  <pic:blipFill>
                    <a:blip r:embed="rId549"/>
                    <a:stretch>
                      <a:fillRect/>
                    </a:stretch>
                  </pic:blipFill>
                  <pic:spPr>
                    <a:xfrm rot="0">
                      <a:off x="0" y="0"/>
                      <a:ext cx="1174761" cy="6350"/>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1" w:lineRule="auto"/>
        <w:rPr/>
      </w:pPr>
      <w:r/>
    </w:p>
    <w:p>
      <w:pPr>
        <w:ind w:left="105" w:right="71"/>
        <w:spacing w:before="68" w:line="298" w:lineRule="auto"/>
        <w:jc w:val="both"/>
        <w:rPr>
          <w:rFonts w:ascii="SimSun" w:hAnsi="SimSun" w:eastAsia="SimSun" w:cs="SimSun"/>
          <w:sz w:val="21"/>
          <w:szCs w:val="21"/>
        </w:rPr>
      </w:pPr>
      <w:r>
        <w:rPr>
          <w:rFonts w:ascii="SimSun" w:hAnsi="SimSun" w:eastAsia="SimSun" w:cs="SimSun"/>
          <w:sz w:val="21"/>
          <w:szCs w:val="21"/>
          <w:spacing w:val="-4"/>
        </w:rPr>
        <w:t>店、语音助手),并且因此能够对整个系统施加影响，对整个数字领</w:t>
      </w:r>
      <w:r>
        <w:rPr>
          <w:rFonts w:ascii="SimSun" w:hAnsi="SimSun" w:eastAsia="SimSun" w:cs="SimSun"/>
          <w:sz w:val="21"/>
          <w:szCs w:val="21"/>
          <w:spacing w:val="17"/>
        </w:rPr>
        <w:t xml:space="preserve"> </w:t>
      </w:r>
      <w:r>
        <w:rPr>
          <w:rFonts w:ascii="SimSun" w:hAnsi="SimSun" w:eastAsia="SimSun" w:cs="SimSun"/>
          <w:sz w:val="21"/>
          <w:szCs w:val="21"/>
          <w:spacing w:val="-7"/>
        </w:rPr>
        <w:t>域的竞争与创新有显著影响的平台。欧盟的《数字市场法》草案第2</w:t>
      </w:r>
      <w:r>
        <w:rPr>
          <w:rFonts w:ascii="SimSun" w:hAnsi="SimSun" w:eastAsia="SimSun" w:cs="SimSun"/>
          <w:sz w:val="21"/>
          <w:szCs w:val="21"/>
          <w:spacing w:val="6"/>
        </w:rPr>
        <w:t xml:space="preserve"> </w:t>
      </w:r>
      <w:r>
        <w:rPr>
          <w:rFonts w:ascii="SimSun" w:hAnsi="SimSun" w:eastAsia="SimSun" w:cs="SimSun"/>
          <w:sz w:val="21"/>
          <w:szCs w:val="21"/>
          <w:spacing w:val="-7"/>
        </w:rPr>
        <w:t>条和第3条规定了守门人的范围，即关键平台服务的提供者且满足下</w:t>
      </w:r>
      <w:r>
        <w:rPr>
          <w:rFonts w:ascii="SimSun" w:hAnsi="SimSun" w:eastAsia="SimSun" w:cs="SimSun"/>
          <w:sz w:val="21"/>
          <w:szCs w:val="21"/>
          <w:spacing w:val="7"/>
        </w:rPr>
        <w:t xml:space="preserve"> </w:t>
      </w:r>
      <w:r>
        <w:rPr>
          <w:rFonts w:ascii="SimSun" w:hAnsi="SimSun" w:eastAsia="SimSun" w:cs="SimSun"/>
          <w:sz w:val="21"/>
          <w:szCs w:val="21"/>
          <w:spacing w:val="-3"/>
        </w:rPr>
        <w:t>列条件之一：(1)对欧盟内部市场具有显著影响；(2)运营一项</w:t>
      </w:r>
      <w:r>
        <w:rPr>
          <w:rFonts w:ascii="SimSun" w:hAnsi="SimSun" w:eastAsia="SimSun" w:cs="SimSun"/>
          <w:sz w:val="21"/>
          <w:szCs w:val="21"/>
          <w:spacing w:val="-4"/>
        </w:rPr>
        <w:t>核心</w:t>
      </w:r>
      <w:r>
        <w:rPr>
          <w:rFonts w:ascii="SimSun" w:hAnsi="SimSun" w:eastAsia="SimSun" w:cs="SimSun"/>
          <w:sz w:val="21"/>
          <w:szCs w:val="21"/>
        </w:rPr>
        <w:t xml:space="preserve"> </w:t>
      </w:r>
      <w:r>
        <w:rPr>
          <w:rFonts w:ascii="SimSun" w:hAnsi="SimSun" w:eastAsia="SimSun" w:cs="SimSun"/>
          <w:sz w:val="21"/>
          <w:szCs w:val="21"/>
          <w:spacing w:val="-7"/>
        </w:rPr>
        <w:t>平台服务，是商业用户接触终端用户的重要门户；</w:t>
      </w:r>
      <w:r>
        <w:rPr>
          <w:rFonts w:ascii="SimSun" w:hAnsi="SimSun" w:eastAsia="SimSun" w:cs="SimSun"/>
          <w:sz w:val="21"/>
          <w:szCs w:val="21"/>
          <w:spacing w:val="-8"/>
        </w:rPr>
        <w:t>(3)在运营中具有</w:t>
      </w:r>
      <w:r>
        <w:rPr>
          <w:rFonts w:ascii="SimSun" w:hAnsi="SimSun" w:eastAsia="SimSun" w:cs="SimSun"/>
          <w:sz w:val="21"/>
          <w:szCs w:val="21"/>
        </w:rPr>
        <w:t xml:space="preserve"> </w:t>
      </w:r>
      <w:r>
        <w:rPr>
          <w:rFonts w:ascii="SimSun" w:hAnsi="SimSun" w:eastAsia="SimSun" w:cs="SimSun"/>
          <w:sz w:val="21"/>
          <w:szCs w:val="21"/>
          <w:spacing w:val="-11"/>
        </w:rPr>
        <w:t>稳固和持久的地位，或者在可预见的将来能够拥有该等地位。</w:t>
      </w:r>
    </w:p>
    <w:p>
      <w:pPr>
        <w:ind w:right="72" w:firstLine="507"/>
        <w:spacing w:before="117" w:line="303" w:lineRule="auto"/>
        <w:jc w:val="both"/>
        <w:rPr>
          <w:rFonts w:ascii="SimSun" w:hAnsi="SimSun" w:eastAsia="SimSun" w:cs="SimSun"/>
          <w:sz w:val="21"/>
          <w:szCs w:val="21"/>
        </w:rPr>
      </w:pPr>
      <w:r>
        <w:rPr>
          <w:rFonts w:ascii="SimHei" w:hAnsi="SimHei" w:eastAsia="SimHei" w:cs="SimHei"/>
          <w:sz w:val="21"/>
          <w:szCs w:val="21"/>
          <w:b/>
          <w:bCs/>
          <w:spacing w:val="-4"/>
        </w:rPr>
        <w:t>守门人义务的范畴</w:t>
      </w:r>
      <w:r>
        <w:rPr>
          <w:rFonts w:ascii="SimHei" w:hAnsi="SimHei" w:eastAsia="SimHei" w:cs="SimHei"/>
          <w:sz w:val="21"/>
          <w:szCs w:val="21"/>
          <w:spacing w:val="103"/>
        </w:rPr>
        <w:t xml:space="preserve"> </w:t>
      </w:r>
      <w:r>
        <w:rPr>
          <w:rFonts w:ascii="SimSun" w:hAnsi="SimSun" w:eastAsia="SimSun" w:cs="SimSun"/>
          <w:sz w:val="21"/>
          <w:szCs w:val="21"/>
          <w:spacing w:val="-4"/>
        </w:rPr>
        <w:t>由于各国国情不同，因此在进行相关立法</w:t>
      </w:r>
      <w:r>
        <w:rPr>
          <w:rFonts w:ascii="SimSun" w:hAnsi="SimSun" w:eastAsia="SimSun" w:cs="SimSun"/>
          <w:sz w:val="21"/>
          <w:szCs w:val="21"/>
        </w:rPr>
        <w:t xml:space="preserve"> </w:t>
      </w:r>
      <w:r>
        <w:rPr>
          <w:rFonts w:ascii="SimSun" w:hAnsi="SimSun" w:eastAsia="SimSun" w:cs="SimSun"/>
          <w:sz w:val="21"/>
          <w:szCs w:val="21"/>
          <w:spacing w:val="-7"/>
        </w:rPr>
        <w:t>时，要求数字守门人承担的义务也不相同。例如，欧盟的《数字市场</w:t>
      </w:r>
      <w:r>
        <w:rPr>
          <w:rFonts w:ascii="SimSun" w:hAnsi="SimSun" w:eastAsia="SimSun" w:cs="SimSun"/>
          <w:sz w:val="21"/>
          <w:szCs w:val="21"/>
          <w:spacing w:val="6"/>
        </w:rPr>
        <w:t xml:space="preserve"> </w:t>
      </w:r>
      <w:r>
        <w:rPr>
          <w:rFonts w:ascii="SimSun" w:hAnsi="SimSun" w:eastAsia="SimSun" w:cs="SimSun"/>
          <w:sz w:val="21"/>
          <w:szCs w:val="21"/>
        </w:rPr>
        <w:t>法》草案就对数字守门人提出了7项主要义务①,以及十几项其他义</w:t>
      </w:r>
      <w:r>
        <w:rPr>
          <w:rFonts w:ascii="SimSun" w:hAnsi="SimSun" w:eastAsia="SimSun" w:cs="SimSun"/>
          <w:sz w:val="21"/>
          <w:szCs w:val="21"/>
          <w:spacing w:val="4"/>
        </w:rPr>
        <w:t xml:space="preserve"> </w:t>
      </w:r>
      <w:r>
        <w:rPr>
          <w:rFonts w:ascii="SimSun" w:hAnsi="SimSun" w:eastAsia="SimSun" w:cs="SimSun"/>
          <w:sz w:val="21"/>
          <w:szCs w:val="21"/>
        </w:rPr>
        <w:t>务；而《美国选择与创新在线法案》则规定了十几类违法行为，对</w:t>
      </w:r>
      <w:r>
        <w:rPr>
          <w:rFonts w:ascii="SimSun" w:hAnsi="SimSun" w:eastAsia="SimSun" w:cs="SimSun"/>
          <w:sz w:val="21"/>
          <w:szCs w:val="21"/>
          <w:spacing w:val="2"/>
        </w:rPr>
        <w:t xml:space="preserve"> </w:t>
      </w:r>
      <w:r>
        <w:rPr>
          <w:rFonts w:ascii="SimSun" w:hAnsi="SimSun" w:eastAsia="SimSun" w:cs="SimSun"/>
          <w:sz w:val="21"/>
          <w:szCs w:val="21"/>
          <w:spacing w:val="-7"/>
        </w:rPr>
        <w:t>“主导平台”的相关行为予以禁止。总体来说，守门人需要积极实施</w:t>
      </w:r>
      <w:r>
        <w:rPr>
          <w:rFonts w:ascii="SimSun" w:hAnsi="SimSun" w:eastAsia="SimSun" w:cs="SimSun"/>
          <w:sz w:val="21"/>
          <w:szCs w:val="21"/>
          <w:spacing w:val="3"/>
        </w:rPr>
        <w:t xml:space="preserve"> </w:t>
      </w:r>
      <w:r>
        <w:rPr>
          <w:rFonts w:ascii="SimSun" w:hAnsi="SimSun" w:eastAsia="SimSun" w:cs="SimSun"/>
          <w:sz w:val="21"/>
          <w:szCs w:val="21"/>
          <w:spacing w:val="-7"/>
        </w:rPr>
        <w:t>特定行为，避免从事不公平的行为，以确保企业和个人用户受到公平</w:t>
      </w:r>
      <w:r>
        <w:rPr>
          <w:rFonts w:ascii="SimSun" w:hAnsi="SimSun" w:eastAsia="SimSun" w:cs="SimSun"/>
          <w:sz w:val="21"/>
          <w:szCs w:val="21"/>
          <w:spacing w:val="3"/>
        </w:rPr>
        <w:t xml:space="preserve"> </w:t>
      </w:r>
      <w:r>
        <w:rPr>
          <w:rFonts w:ascii="SimSun" w:hAnsi="SimSun" w:eastAsia="SimSun" w:cs="SimSun"/>
          <w:sz w:val="21"/>
          <w:szCs w:val="21"/>
          <w:spacing w:val="-6"/>
        </w:rPr>
        <w:t>对待，进而确保互联网环境的开放和创新。</w:t>
      </w:r>
    </w:p>
    <w:p>
      <w:pPr>
        <w:pStyle w:val="BodyText"/>
        <w:spacing w:line="299" w:lineRule="auto"/>
        <w:rPr/>
      </w:pPr>
      <w:r/>
    </w:p>
    <w:p>
      <w:pPr>
        <w:pStyle w:val="BodyText"/>
        <w:spacing w:line="299" w:lineRule="auto"/>
        <w:rPr/>
      </w:pPr>
      <w:r/>
    </w:p>
    <w:p>
      <w:pPr>
        <w:ind w:left="385" w:hanging="280"/>
        <w:spacing w:before="55" w:line="279" w:lineRule="auto"/>
        <w:rPr>
          <w:rFonts w:ascii="KaiTi" w:hAnsi="KaiTi" w:eastAsia="KaiTi" w:cs="KaiTi"/>
          <w:sz w:val="17"/>
          <w:szCs w:val="17"/>
        </w:rPr>
      </w:pPr>
      <w:r>
        <w:rPr>
          <w:rFonts w:ascii="KaiTi" w:hAnsi="KaiTi" w:eastAsia="KaiTi" w:cs="KaiTi"/>
          <w:sz w:val="17"/>
          <w:szCs w:val="17"/>
          <w:spacing w:val="-5"/>
        </w:rPr>
        <w:t>①《数字市场法》草案第5条规定了守门人的责任：</w:t>
      </w:r>
      <w:r>
        <w:rPr>
          <w:rFonts w:ascii="KaiTi" w:hAnsi="KaiTi" w:eastAsia="KaiTi" w:cs="KaiTi"/>
          <w:sz w:val="17"/>
          <w:szCs w:val="17"/>
          <w:spacing w:val="-20"/>
        </w:rPr>
        <w:t xml:space="preserve"> </w:t>
      </w:r>
      <w:r>
        <w:rPr>
          <w:rFonts w:ascii="Times New Roman" w:hAnsi="Times New Roman" w:eastAsia="Times New Roman" w:cs="Times New Roman"/>
          <w:sz w:val="17"/>
          <w:szCs w:val="17"/>
          <w:spacing w:val="-5"/>
        </w:rPr>
        <w:t>a)   </w:t>
      </w:r>
      <w:r>
        <w:rPr>
          <w:rFonts w:ascii="KaiTi" w:hAnsi="KaiTi" w:eastAsia="KaiTi" w:cs="KaiTi"/>
          <w:sz w:val="17"/>
          <w:szCs w:val="17"/>
          <w:spacing w:val="-5"/>
        </w:rPr>
        <w:t>不得将从核</w:t>
      </w:r>
      <w:r>
        <w:rPr>
          <w:rFonts w:ascii="KaiTi" w:hAnsi="KaiTi" w:eastAsia="KaiTi" w:cs="KaiTi"/>
          <w:sz w:val="17"/>
          <w:szCs w:val="17"/>
          <w:spacing w:val="-6"/>
        </w:rPr>
        <w:t>心平台服务中获</w:t>
      </w:r>
      <w:r>
        <w:rPr>
          <w:rFonts w:ascii="KaiTi" w:hAnsi="KaiTi" w:eastAsia="KaiTi" w:cs="KaiTi"/>
          <w:sz w:val="17"/>
          <w:szCs w:val="17"/>
        </w:rPr>
        <w:t xml:space="preserve">  </w:t>
      </w:r>
      <w:r>
        <w:rPr>
          <w:rFonts w:ascii="KaiTi" w:hAnsi="KaiTi" w:eastAsia="KaiTi" w:cs="KaiTi"/>
          <w:sz w:val="17"/>
          <w:szCs w:val="17"/>
          <w:spacing w:val="-5"/>
        </w:rPr>
        <w:t>取的个人数据同守门人提供的其他服务或从第三方服务获得的个人数据相结合，</w:t>
      </w:r>
      <w:r>
        <w:rPr>
          <w:rFonts w:ascii="KaiTi" w:hAnsi="KaiTi" w:eastAsia="KaiTi" w:cs="KaiTi"/>
          <w:sz w:val="17"/>
          <w:szCs w:val="17"/>
          <w:spacing w:val="8"/>
        </w:rPr>
        <w:t xml:space="preserve"> </w:t>
      </w:r>
      <w:r>
        <w:rPr>
          <w:rFonts w:ascii="KaiTi" w:hAnsi="KaiTi" w:eastAsia="KaiTi" w:cs="KaiTi"/>
          <w:sz w:val="17"/>
          <w:szCs w:val="17"/>
          <w:spacing w:val="-7"/>
        </w:rPr>
        <w:t>停止以合并个人数据为目的迫使终端用户登入守门人提供的其他服务，除非终端</w:t>
      </w:r>
      <w:r>
        <w:rPr>
          <w:rFonts w:ascii="KaiTi" w:hAnsi="KaiTi" w:eastAsia="KaiTi" w:cs="KaiTi"/>
          <w:sz w:val="17"/>
          <w:szCs w:val="17"/>
          <w:spacing w:val="2"/>
        </w:rPr>
        <w:t xml:space="preserve">  </w:t>
      </w:r>
      <w:r>
        <w:rPr>
          <w:rFonts w:ascii="KaiTi" w:hAnsi="KaiTi" w:eastAsia="KaiTi" w:cs="KaiTi"/>
          <w:sz w:val="17"/>
          <w:szCs w:val="17"/>
          <w:spacing w:val="-6"/>
        </w:rPr>
        <w:t>用户被告知具体的选择且欧盟第2016/679号法令同意；</w:t>
      </w:r>
      <w:r>
        <w:rPr>
          <w:rFonts w:ascii="KaiTi" w:hAnsi="KaiTi" w:eastAsia="KaiTi" w:cs="KaiTi"/>
          <w:sz w:val="17"/>
          <w:szCs w:val="17"/>
          <w:spacing w:val="-6"/>
        </w:rPr>
        <w:t xml:space="preserve"> </w:t>
      </w:r>
      <w:r>
        <w:rPr>
          <w:rFonts w:ascii="Times New Roman" w:hAnsi="Times New Roman" w:eastAsia="Times New Roman" w:cs="Times New Roman"/>
          <w:sz w:val="17"/>
          <w:szCs w:val="17"/>
          <w:spacing w:val="-6"/>
        </w:rPr>
        <w:t>b)</w:t>
      </w:r>
      <w:r>
        <w:rPr>
          <w:rFonts w:ascii="Times New Roman" w:hAnsi="Times New Roman" w:eastAsia="Times New Roman" w:cs="Times New Roman"/>
          <w:sz w:val="17"/>
          <w:szCs w:val="17"/>
          <w:spacing w:val="18"/>
          <w:w w:val="101"/>
        </w:rPr>
        <w:t xml:space="preserve">  </w:t>
      </w:r>
      <w:r>
        <w:rPr>
          <w:rFonts w:ascii="KaiTi" w:hAnsi="KaiTi" w:eastAsia="KaiTi" w:cs="KaiTi"/>
          <w:sz w:val="17"/>
          <w:szCs w:val="17"/>
          <w:spacing w:val="-6"/>
        </w:rPr>
        <w:t>允许商业用户通过第</w:t>
      </w:r>
      <w:r>
        <w:rPr>
          <w:rFonts w:ascii="KaiTi" w:hAnsi="KaiTi" w:eastAsia="KaiTi" w:cs="KaiTi"/>
          <w:sz w:val="17"/>
          <w:szCs w:val="17"/>
        </w:rPr>
        <w:t xml:space="preserve">  </w:t>
      </w:r>
      <w:r>
        <w:rPr>
          <w:rFonts w:ascii="KaiTi" w:hAnsi="KaiTi" w:eastAsia="KaiTi" w:cs="KaiTi"/>
          <w:sz w:val="17"/>
          <w:szCs w:val="17"/>
          <w:spacing w:val="-6"/>
        </w:rPr>
        <w:t>三方在线中介服务以不同于守门人在线中介服</w:t>
      </w:r>
      <w:r>
        <w:rPr>
          <w:rFonts w:ascii="KaiTi" w:hAnsi="KaiTi" w:eastAsia="KaiTi" w:cs="KaiTi"/>
          <w:sz w:val="17"/>
          <w:szCs w:val="17"/>
          <w:spacing w:val="-7"/>
        </w:rPr>
        <w:t>务的价格或条件向终端用户提供同</w:t>
      </w:r>
      <w:r>
        <w:rPr>
          <w:rFonts w:ascii="KaiTi" w:hAnsi="KaiTi" w:eastAsia="KaiTi" w:cs="KaiTi"/>
          <w:sz w:val="17"/>
          <w:szCs w:val="17"/>
          <w:spacing w:val="-7"/>
        </w:rPr>
        <w:t xml:space="preserve"> </w:t>
      </w:r>
      <w:r>
        <w:rPr>
          <w:rFonts w:ascii="KaiTi" w:hAnsi="KaiTi" w:eastAsia="KaiTi" w:cs="KaiTi"/>
          <w:sz w:val="17"/>
          <w:szCs w:val="17"/>
          <w:spacing w:val="-9"/>
        </w:rPr>
        <w:t>样的产品或服务；</w:t>
      </w:r>
      <w:r>
        <w:rPr>
          <w:rFonts w:ascii="Times New Roman" w:hAnsi="Times New Roman" w:eastAsia="Times New Roman" w:cs="Times New Roman"/>
          <w:sz w:val="17"/>
          <w:szCs w:val="17"/>
          <w:spacing w:val="-9"/>
        </w:rPr>
        <w:t>c)</w:t>
      </w:r>
      <w:r>
        <w:rPr>
          <w:rFonts w:ascii="Times New Roman" w:hAnsi="Times New Roman" w:eastAsia="Times New Roman" w:cs="Times New Roman"/>
          <w:sz w:val="17"/>
          <w:szCs w:val="17"/>
          <w:spacing w:val="15"/>
          <w:w w:val="101"/>
        </w:rPr>
        <w:t xml:space="preserve">  </w:t>
      </w:r>
      <w:r>
        <w:rPr>
          <w:rFonts w:ascii="KaiTi" w:hAnsi="KaiTi" w:eastAsia="KaiTi" w:cs="KaiTi"/>
          <w:sz w:val="17"/>
          <w:szCs w:val="17"/>
          <w:spacing w:val="-9"/>
        </w:rPr>
        <w:t>允许商业用户向通过核心平台服务所获得的终端用户推广要</w:t>
      </w:r>
      <w:r>
        <w:rPr>
          <w:rFonts w:ascii="KaiTi" w:hAnsi="KaiTi" w:eastAsia="KaiTi" w:cs="KaiTi"/>
          <w:sz w:val="17"/>
          <w:szCs w:val="17"/>
        </w:rPr>
        <w:t xml:space="preserve">  </w:t>
      </w:r>
      <w:r>
        <w:rPr>
          <w:rFonts w:ascii="KaiTi" w:hAnsi="KaiTi" w:eastAsia="KaiTi" w:cs="KaiTi"/>
          <w:sz w:val="17"/>
          <w:szCs w:val="17"/>
          <w:spacing w:val="-7"/>
        </w:rPr>
        <w:t>约，以及同该等终端用户签订合同，不论商业用户或终端用户是否以此为</w:t>
      </w:r>
      <w:r>
        <w:rPr>
          <w:rFonts w:ascii="KaiTi" w:hAnsi="KaiTi" w:eastAsia="KaiTi" w:cs="KaiTi"/>
          <w:sz w:val="17"/>
          <w:szCs w:val="17"/>
          <w:spacing w:val="-8"/>
        </w:rPr>
        <w:t>目的使</w:t>
      </w:r>
      <w:r>
        <w:rPr>
          <w:rFonts w:ascii="KaiTi" w:hAnsi="KaiTi" w:eastAsia="KaiTi" w:cs="KaiTi"/>
          <w:sz w:val="17"/>
          <w:szCs w:val="17"/>
        </w:rPr>
        <w:t xml:space="preserve">  </w:t>
      </w:r>
      <w:r>
        <w:rPr>
          <w:rFonts w:ascii="KaiTi" w:hAnsi="KaiTi" w:eastAsia="KaiTi" w:cs="KaiTi"/>
          <w:sz w:val="17"/>
          <w:szCs w:val="17"/>
          <w:spacing w:val="-6"/>
        </w:rPr>
        <w:t>用守门人的核心平台服务，且允许终端用户通</w:t>
      </w:r>
      <w:r>
        <w:rPr>
          <w:rFonts w:ascii="KaiTi" w:hAnsi="KaiTi" w:eastAsia="KaiTi" w:cs="KaiTi"/>
          <w:sz w:val="17"/>
          <w:szCs w:val="17"/>
          <w:spacing w:val="-7"/>
        </w:rPr>
        <w:t>过守门人核心平台服务获取和使用</w:t>
      </w:r>
      <w:r>
        <w:rPr>
          <w:rFonts w:ascii="KaiTi" w:hAnsi="KaiTi" w:eastAsia="KaiTi" w:cs="KaiTi"/>
          <w:sz w:val="17"/>
          <w:szCs w:val="17"/>
          <w:spacing w:val="-7"/>
        </w:rPr>
        <w:t xml:space="preserve"> </w:t>
      </w:r>
      <w:r>
        <w:rPr>
          <w:rFonts w:ascii="KaiTi" w:hAnsi="KaiTi" w:eastAsia="KaiTi" w:cs="KaiTi"/>
          <w:sz w:val="17"/>
          <w:szCs w:val="17"/>
          <w:spacing w:val="-7"/>
        </w:rPr>
        <w:t>其他商业用户应用软件的内容、订阅、功能或其他项，即便该等项目可由终端用</w:t>
      </w:r>
      <w:r>
        <w:rPr>
          <w:rFonts w:ascii="KaiTi" w:hAnsi="KaiTi" w:eastAsia="KaiTi" w:cs="KaiTi"/>
          <w:sz w:val="17"/>
          <w:szCs w:val="17"/>
        </w:rPr>
        <w:t xml:space="preserve">  </w:t>
      </w:r>
      <w:r>
        <w:rPr>
          <w:rFonts w:ascii="KaiTi" w:hAnsi="KaiTi" w:eastAsia="KaiTi" w:cs="KaiTi"/>
          <w:sz w:val="17"/>
          <w:szCs w:val="17"/>
          <w:spacing w:val="-9"/>
        </w:rPr>
        <w:t>户从相关商业用户处取得而不需使用守门人的核心平台服务；</w:t>
      </w:r>
      <w:r>
        <w:rPr>
          <w:rFonts w:ascii="SimSun" w:hAnsi="SimSun" w:eastAsia="SimSun" w:cs="SimSun"/>
          <w:sz w:val="17"/>
          <w:szCs w:val="17"/>
          <w:spacing w:val="-9"/>
        </w:rPr>
        <w:t>d) </w:t>
      </w:r>
      <w:r>
        <w:rPr>
          <w:rFonts w:ascii="KaiTi" w:hAnsi="KaiTi" w:eastAsia="KaiTi" w:cs="KaiTi"/>
          <w:sz w:val="17"/>
          <w:szCs w:val="17"/>
          <w:spacing w:val="-9"/>
        </w:rPr>
        <w:t>不阻止或限制商</w:t>
      </w:r>
      <w:r>
        <w:rPr>
          <w:rFonts w:ascii="KaiTi" w:hAnsi="KaiTi" w:eastAsia="KaiTi" w:cs="KaiTi"/>
          <w:sz w:val="17"/>
          <w:szCs w:val="17"/>
          <w:spacing w:val="4"/>
        </w:rPr>
        <w:t xml:space="preserve">  </w:t>
      </w:r>
      <w:r>
        <w:rPr>
          <w:rFonts w:ascii="KaiTi" w:hAnsi="KaiTi" w:eastAsia="KaiTi" w:cs="KaiTi"/>
          <w:sz w:val="17"/>
          <w:szCs w:val="17"/>
          <w:spacing w:val="-8"/>
        </w:rPr>
        <w:t>业用户向任何公共主管机关提出任何有关守门人实践的问题；</w:t>
      </w:r>
      <w:r>
        <w:rPr>
          <w:rFonts w:ascii="Times New Roman" w:hAnsi="Times New Roman" w:eastAsia="Times New Roman" w:cs="Times New Roman"/>
          <w:sz w:val="17"/>
          <w:szCs w:val="17"/>
          <w:spacing w:val="-8"/>
        </w:rPr>
        <w:t>e)</w:t>
      </w:r>
      <w:r>
        <w:rPr>
          <w:rFonts w:ascii="Times New Roman" w:hAnsi="Times New Roman" w:eastAsia="Times New Roman" w:cs="Times New Roman"/>
          <w:sz w:val="17"/>
          <w:szCs w:val="17"/>
          <w:spacing w:val="18"/>
        </w:rPr>
        <w:t xml:space="preserve">  </w:t>
      </w:r>
      <w:r>
        <w:rPr>
          <w:rFonts w:ascii="KaiTi" w:hAnsi="KaiTi" w:eastAsia="KaiTi" w:cs="KaiTi"/>
          <w:sz w:val="17"/>
          <w:szCs w:val="17"/>
          <w:spacing w:val="-8"/>
        </w:rPr>
        <w:t>在商业用户使用</w:t>
      </w:r>
      <w:r>
        <w:rPr>
          <w:rFonts w:ascii="KaiTi" w:hAnsi="KaiTi" w:eastAsia="KaiTi" w:cs="KaiTi"/>
          <w:sz w:val="17"/>
          <w:szCs w:val="17"/>
        </w:rPr>
        <w:t xml:space="preserve"> </w:t>
      </w:r>
      <w:r>
        <w:rPr>
          <w:rFonts w:ascii="KaiTi" w:hAnsi="KaiTi" w:eastAsia="KaiTi" w:cs="KaiTi"/>
          <w:sz w:val="17"/>
          <w:szCs w:val="17"/>
          <w:spacing w:val="-7"/>
        </w:rPr>
        <w:t>守门人核心平台提供服务时，不得要求商业用户使用、提供守门人的</w:t>
      </w:r>
      <w:r>
        <w:rPr>
          <w:rFonts w:ascii="KaiTi" w:hAnsi="KaiTi" w:eastAsia="KaiTi" w:cs="KaiTi"/>
          <w:sz w:val="17"/>
          <w:szCs w:val="17"/>
          <w:spacing w:val="-8"/>
        </w:rPr>
        <w:t>身份认证服</w:t>
      </w:r>
      <w:r>
        <w:rPr>
          <w:rFonts w:ascii="KaiTi" w:hAnsi="KaiTi" w:eastAsia="KaiTi" w:cs="KaiTi"/>
          <w:sz w:val="17"/>
          <w:szCs w:val="17"/>
        </w:rPr>
        <w:t xml:space="preserve">  </w:t>
      </w:r>
      <w:r>
        <w:rPr>
          <w:rFonts w:ascii="KaiTi" w:hAnsi="KaiTi" w:eastAsia="KaiTi" w:cs="KaiTi"/>
          <w:sz w:val="17"/>
          <w:szCs w:val="17"/>
          <w:spacing w:val="-8"/>
        </w:rPr>
        <w:t>务或与之互通；</w:t>
      </w:r>
      <w:r>
        <w:rPr>
          <w:rFonts w:ascii="KaiTi" w:hAnsi="KaiTi" w:eastAsia="KaiTi" w:cs="KaiTi"/>
          <w:sz w:val="17"/>
          <w:szCs w:val="17"/>
          <w:spacing w:val="-8"/>
        </w:rPr>
        <w:t xml:space="preserve"> </w:t>
      </w:r>
      <w:r>
        <w:rPr>
          <w:rFonts w:ascii="Times New Roman" w:hAnsi="Times New Roman" w:eastAsia="Times New Roman" w:cs="Times New Roman"/>
          <w:sz w:val="17"/>
          <w:szCs w:val="17"/>
          <w:spacing w:val="-8"/>
        </w:rPr>
        <w:t>f)</w:t>
      </w:r>
      <w:r>
        <w:rPr>
          <w:rFonts w:ascii="Times New Roman" w:hAnsi="Times New Roman" w:eastAsia="Times New Roman" w:cs="Times New Roman"/>
          <w:sz w:val="17"/>
          <w:szCs w:val="17"/>
          <w:spacing w:val="16"/>
          <w:w w:val="101"/>
        </w:rPr>
        <w:t xml:space="preserve">  </w:t>
      </w:r>
      <w:r>
        <w:rPr>
          <w:rFonts w:ascii="KaiTi" w:hAnsi="KaiTi" w:eastAsia="KaiTi" w:cs="KaiTi"/>
          <w:sz w:val="17"/>
          <w:szCs w:val="17"/>
          <w:spacing w:val="-8"/>
        </w:rPr>
        <w:t>不得要求商业用户或者终端用户订阅或注册根据第3条认定的</w:t>
      </w:r>
      <w:r>
        <w:rPr>
          <w:rFonts w:ascii="KaiTi" w:hAnsi="KaiTi" w:eastAsia="KaiTi" w:cs="KaiTi"/>
          <w:sz w:val="17"/>
          <w:szCs w:val="17"/>
        </w:rPr>
        <w:t xml:space="preserve">  </w:t>
      </w:r>
      <w:r>
        <w:rPr>
          <w:rFonts w:ascii="KaiTi" w:hAnsi="KaiTi" w:eastAsia="KaiTi" w:cs="KaiTi"/>
          <w:sz w:val="17"/>
          <w:szCs w:val="17"/>
          <w:spacing w:val="-5"/>
        </w:rPr>
        <w:t>其他核心平台服务或达到第3(2)条标准的核心平台服务，并将其作为一项接入、</w:t>
      </w:r>
      <w:r>
        <w:rPr>
          <w:rFonts w:ascii="KaiTi" w:hAnsi="KaiTi" w:eastAsia="KaiTi" w:cs="KaiTi"/>
          <w:sz w:val="17"/>
          <w:szCs w:val="17"/>
          <w:spacing w:val="18"/>
        </w:rPr>
        <w:t xml:space="preserve"> </w:t>
      </w:r>
      <w:r>
        <w:rPr>
          <w:rFonts w:ascii="KaiTi" w:hAnsi="KaiTi" w:eastAsia="KaiTi" w:cs="KaiTi"/>
          <w:sz w:val="17"/>
          <w:szCs w:val="17"/>
          <w:spacing w:val="-11"/>
        </w:rPr>
        <w:t>注册或登记此等条款所认定的任何一项核心平台服务的条件；</w:t>
      </w:r>
      <w:r>
        <w:rPr>
          <w:rFonts w:ascii="KaiTi" w:hAnsi="KaiTi" w:eastAsia="KaiTi" w:cs="KaiTi"/>
          <w:sz w:val="17"/>
          <w:szCs w:val="17"/>
          <w:spacing w:val="-24"/>
        </w:rPr>
        <w:t xml:space="preserve"> </w:t>
      </w:r>
      <w:r>
        <w:rPr>
          <w:rFonts w:ascii="Times New Roman" w:hAnsi="Times New Roman" w:eastAsia="Times New Roman" w:cs="Times New Roman"/>
          <w:sz w:val="17"/>
          <w:szCs w:val="17"/>
          <w:spacing w:val="-11"/>
        </w:rPr>
        <w:t>g)</w:t>
      </w:r>
      <w:r>
        <w:rPr>
          <w:rFonts w:ascii="Times New Roman" w:hAnsi="Times New Roman" w:eastAsia="Times New Roman" w:cs="Times New Roman"/>
          <w:sz w:val="17"/>
          <w:szCs w:val="17"/>
          <w:spacing w:val="14"/>
        </w:rPr>
        <w:t xml:space="preserve">  </w:t>
      </w:r>
      <w:r>
        <w:rPr>
          <w:rFonts w:ascii="KaiTi" w:hAnsi="KaiTi" w:eastAsia="KaiTi" w:cs="KaiTi"/>
          <w:sz w:val="17"/>
          <w:szCs w:val="17"/>
          <w:spacing w:val="-11"/>
        </w:rPr>
        <w:t>应广告商或出版</w:t>
      </w:r>
      <w:r>
        <w:rPr>
          <w:rFonts w:ascii="KaiTi" w:hAnsi="KaiTi" w:eastAsia="KaiTi" w:cs="KaiTi"/>
          <w:sz w:val="17"/>
          <w:szCs w:val="17"/>
        </w:rPr>
        <w:t xml:space="preserve">  </w:t>
      </w:r>
      <w:r>
        <w:rPr>
          <w:rFonts w:ascii="KaiTi" w:hAnsi="KaiTi" w:eastAsia="KaiTi" w:cs="KaiTi"/>
          <w:sz w:val="17"/>
          <w:szCs w:val="17"/>
          <w:spacing w:val="-7"/>
        </w:rPr>
        <w:t>商要求，向其提供发布一个给定广告和守门人提供的每一项广告相</w:t>
      </w:r>
      <w:r>
        <w:rPr>
          <w:rFonts w:ascii="KaiTi" w:hAnsi="KaiTi" w:eastAsia="KaiTi" w:cs="KaiTi"/>
          <w:sz w:val="17"/>
          <w:szCs w:val="17"/>
          <w:spacing w:val="-8"/>
        </w:rPr>
        <w:t>关服务的价格</w:t>
      </w:r>
      <w:r>
        <w:rPr>
          <w:rFonts w:ascii="KaiTi" w:hAnsi="KaiTi" w:eastAsia="KaiTi" w:cs="KaiTi"/>
          <w:sz w:val="17"/>
          <w:szCs w:val="17"/>
        </w:rPr>
        <w:t xml:space="preserve">  </w:t>
      </w:r>
      <w:r>
        <w:rPr>
          <w:rFonts w:ascii="KaiTi" w:hAnsi="KaiTi" w:eastAsia="KaiTi" w:cs="KaiTi"/>
          <w:sz w:val="17"/>
          <w:szCs w:val="17"/>
          <w:spacing w:val="-11"/>
        </w:rPr>
        <w:t>信息，以及向出版商支付的金额和报酬的信息。</w:t>
      </w:r>
    </w:p>
    <w:p>
      <w:pPr>
        <w:spacing w:line="279" w:lineRule="auto"/>
        <w:sectPr>
          <w:headerReference w:type="default" r:id="rId548"/>
          <w:pgSz w:w="7330" w:h="12480"/>
          <w:pgMar w:top="867" w:right="615" w:bottom="400" w:left="545" w:header="683" w:footer="0" w:gutter="0"/>
        </w:sectPr>
        <w:rPr>
          <w:rFonts w:ascii="KaiTi" w:hAnsi="KaiTi" w:eastAsia="KaiTi" w:cs="KaiTi"/>
          <w:sz w:val="17"/>
          <w:szCs w:val="17"/>
        </w:rPr>
      </w:pP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537"/>
        <w:spacing w:before="68" w:line="219" w:lineRule="auto"/>
        <w:rPr>
          <w:rFonts w:ascii="SimSun" w:hAnsi="SimSun" w:eastAsia="SimSun" w:cs="SimSun"/>
          <w:sz w:val="21"/>
          <w:szCs w:val="21"/>
        </w:rPr>
      </w:pPr>
      <w:r>
        <w:rPr>
          <w:rFonts w:ascii="SimSun" w:hAnsi="SimSun" w:eastAsia="SimSun" w:cs="SimSun"/>
          <w:sz w:val="21"/>
          <w:szCs w:val="21"/>
          <w:b/>
          <w:bCs/>
          <w:spacing w:val="-14"/>
        </w:rPr>
        <w:t>个人信息保护</w:t>
      </w:r>
    </w:p>
    <w:p>
      <w:pPr>
        <w:ind w:left="104" w:firstLine="430"/>
        <w:spacing w:before="124" w:line="292" w:lineRule="auto"/>
        <w:jc w:val="both"/>
        <w:rPr>
          <w:rFonts w:ascii="SimSun" w:hAnsi="SimSun" w:eastAsia="SimSun" w:cs="SimSun"/>
          <w:sz w:val="21"/>
          <w:szCs w:val="21"/>
        </w:rPr>
      </w:pPr>
      <w:r>
        <w:rPr>
          <w:rFonts w:ascii="SimSun" w:hAnsi="SimSun" w:eastAsia="SimSun" w:cs="SimSun"/>
          <w:sz w:val="21"/>
          <w:szCs w:val="21"/>
          <w:spacing w:val="-12"/>
        </w:rPr>
        <w:t>网络平台之营运根基，在于大量用户的使用，而其中难免会涉及</w:t>
      </w:r>
      <w:r>
        <w:rPr>
          <w:rFonts w:ascii="SimSun" w:hAnsi="SimSun" w:eastAsia="SimSun" w:cs="SimSun"/>
          <w:sz w:val="21"/>
          <w:szCs w:val="21"/>
          <w:spacing w:val="5"/>
        </w:rPr>
        <w:t xml:space="preserve"> </w:t>
      </w:r>
      <w:r>
        <w:rPr>
          <w:rFonts w:ascii="SimSun" w:hAnsi="SimSun" w:eastAsia="SimSun" w:cs="SimSun"/>
          <w:sz w:val="21"/>
          <w:szCs w:val="21"/>
          <w:spacing w:val="-11"/>
        </w:rPr>
        <w:t>个人数据的收集。因为个人数据泄露涉及广大用</w:t>
      </w:r>
      <w:r>
        <w:rPr>
          <w:rFonts w:ascii="SimSun" w:hAnsi="SimSun" w:eastAsia="SimSun" w:cs="SimSun"/>
          <w:sz w:val="21"/>
          <w:szCs w:val="21"/>
          <w:spacing w:val="-12"/>
        </w:rPr>
        <w:t>户群体，平台是后台 </w:t>
      </w:r>
      <w:r>
        <w:rPr>
          <w:rFonts w:ascii="SimSun" w:hAnsi="SimSun" w:eastAsia="SimSun" w:cs="SimSun"/>
          <w:sz w:val="21"/>
          <w:szCs w:val="21"/>
          <w:spacing w:val="-11"/>
        </w:rPr>
        <w:t>数据控制者且数据权益界限不明，集团诉讼中实际损害难以得到有效</w:t>
      </w:r>
      <w:r>
        <w:rPr>
          <w:rFonts w:ascii="SimSun" w:hAnsi="SimSun" w:eastAsia="SimSun" w:cs="SimSun"/>
          <w:sz w:val="21"/>
          <w:szCs w:val="21"/>
          <w:spacing w:val="7"/>
        </w:rPr>
        <w:t xml:space="preserve"> </w:t>
      </w:r>
      <w:r>
        <w:rPr>
          <w:rFonts w:ascii="SimSun" w:hAnsi="SimSun" w:eastAsia="SimSun" w:cs="SimSun"/>
          <w:sz w:val="21"/>
          <w:szCs w:val="21"/>
          <w:spacing w:val="-15"/>
        </w:rPr>
        <w:t>论证。个人信息保护长期以来成为各国网络平</w:t>
      </w:r>
      <w:r>
        <w:rPr>
          <w:rFonts w:ascii="SimSun" w:hAnsi="SimSun" w:eastAsia="SimSun" w:cs="SimSun"/>
          <w:sz w:val="21"/>
          <w:szCs w:val="21"/>
          <w:spacing w:val="-16"/>
        </w:rPr>
        <w:t>台责任界定的重要命题。</w:t>
      </w:r>
    </w:p>
    <w:p>
      <w:pPr>
        <w:ind w:right="34" w:firstLine="535"/>
        <w:spacing w:before="109" w:line="290" w:lineRule="auto"/>
        <w:jc w:val="both"/>
        <w:rPr>
          <w:rFonts w:ascii="SimSun" w:hAnsi="SimSun" w:eastAsia="SimSun" w:cs="SimSun"/>
          <w:sz w:val="21"/>
          <w:szCs w:val="21"/>
        </w:rPr>
      </w:pPr>
      <w:r>
        <w:rPr>
          <w:rFonts w:ascii="SimSun" w:hAnsi="SimSun" w:eastAsia="SimSun" w:cs="SimSun"/>
          <w:sz w:val="21"/>
          <w:szCs w:val="21"/>
          <w:spacing w:val="-11"/>
        </w:rPr>
        <w:t>美国的《加州消费者隐私法》为世界上该领域最有影响力</w:t>
      </w:r>
      <w:r>
        <w:rPr>
          <w:rFonts w:ascii="SimSun" w:hAnsi="SimSun" w:eastAsia="SimSun" w:cs="SimSun"/>
          <w:sz w:val="21"/>
          <w:szCs w:val="21"/>
          <w:spacing w:val="-12"/>
        </w:rPr>
        <w:t>的法案</w:t>
      </w:r>
      <w:r>
        <w:rPr>
          <w:rFonts w:ascii="SimSun" w:hAnsi="SimSun" w:eastAsia="SimSun" w:cs="SimSun"/>
          <w:sz w:val="21"/>
          <w:szCs w:val="21"/>
        </w:rPr>
        <w:t xml:space="preserve"> </w:t>
      </w:r>
      <w:r>
        <w:rPr>
          <w:rFonts w:ascii="SimSun" w:hAnsi="SimSun" w:eastAsia="SimSun" w:cs="SimSun"/>
          <w:sz w:val="21"/>
          <w:szCs w:val="21"/>
          <w:spacing w:val="3"/>
        </w:rPr>
        <w:t>之一。英国的《1998年数据保护法》第13</w:t>
      </w:r>
      <w:r>
        <w:rPr>
          <w:rFonts w:ascii="SimSun" w:hAnsi="SimSun" w:eastAsia="SimSun" w:cs="SimSun"/>
          <w:sz w:val="21"/>
          <w:szCs w:val="21"/>
          <w:spacing w:val="2"/>
        </w:rPr>
        <w:t>条第1款即对平台的个人</w:t>
      </w:r>
      <w:r>
        <w:rPr>
          <w:rFonts w:ascii="SimSun" w:hAnsi="SimSun" w:eastAsia="SimSun" w:cs="SimSun"/>
          <w:sz w:val="21"/>
          <w:szCs w:val="21"/>
        </w:rPr>
        <w:t xml:space="preserve"> </w:t>
      </w:r>
      <w:r>
        <w:rPr>
          <w:rFonts w:ascii="SimSun" w:hAnsi="SimSun" w:eastAsia="SimSun" w:cs="SimSun"/>
          <w:sz w:val="21"/>
          <w:szCs w:val="21"/>
          <w:spacing w:val="-7"/>
        </w:rPr>
        <w:t>数据保护义务做出了规制，并在判例中加以应用。此外，欧洲法院的</w:t>
      </w:r>
      <w:r>
        <w:rPr>
          <w:rFonts w:ascii="SimSun" w:hAnsi="SimSun" w:eastAsia="SimSun" w:cs="SimSun"/>
          <w:sz w:val="21"/>
          <w:szCs w:val="21"/>
        </w:rPr>
        <w:t xml:space="preserve"> </w:t>
      </w:r>
      <w:r>
        <w:rPr>
          <w:rFonts w:ascii="SimSun" w:hAnsi="SimSun" w:eastAsia="SimSun" w:cs="SimSun"/>
          <w:sz w:val="21"/>
          <w:szCs w:val="21"/>
          <w:spacing w:val="-7"/>
        </w:rPr>
        <w:t>《通用数据保护条例》和英国普通法均有对“被遗忘权”的承认，并</w:t>
      </w:r>
      <w:r>
        <w:rPr>
          <w:rFonts w:ascii="SimSun" w:hAnsi="SimSun" w:eastAsia="SimSun" w:cs="SimSun"/>
          <w:sz w:val="21"/>
          <w:szCs w:val="21"/>
          <w:spacing w:val="4"/>
        </w:rPr>
        <w:t xml:space="preserve"> </w:t>
      </w:r>
      <w:r>
        <w:rPr>
          <w:rFonts w:ascii="SimSun" w:hAnsi="SimSun" w:eastAsia="SimSun" w:cs="SimSun"/>
          <w:sz w:val="21"/>
          <w:szCs w:val="21"/>
          <w:spacing w:val="-7"/>
        </w:rPr>
        <w:t>要求平台承担采取删除、屏蔽等技术措施的义务。</w:t>
      </w:r>
    </w:p>
    <w:p>
      <w:pPr>
        <w:ind w:left="104" w:right="36" w:firstLine="430"/>
        <w:spacing w:before="121" w:line="305" w:lineRule="auto"/>
        <w:jc w:val="both"/>
        <w:rPr>
          <w:rFonts w:ascii="SimSun" w:hAnsi="SimSun" w:eastAsia="SimSun" w:cs="SimSun"/>
          <w:sz w:val="21"/>
          <w:szCs w:val="21"/>
        </w:rPr>
      </w:pPr>
      <w:r>
        <w:rPr>
          <w:rFonts w:ascii="SimSun" w:hAnsi="SimSun" w:eastAsia="SimSun" w:cs="SimSun"/>
          <w:sz w:val="21"/>
          <w:szCs w:val="21"/>
        </w:rPr>
        <w:t>2021年4月，欧盟数据保护委员会</w:t>
      </w:r>
      <w:r>
        <w:rPr>
          <w:rFonts w:ascii="Times New Roman" w:hAnsi="Times New Roman" w:eastAsia="Times New Roman" w:cs="Times New Roman"/>
          <w:sz w:val="21"/>
          <w:szCs w:val="21"/>
        </w:rPr>
        <w:t>(EDPB)</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通过了《关于针对</w:t>
      </w:r>
      <w:r>
        <w:rPr>
          <w:rFonts w:ascii="SimSun" w:hAnsi="SimSun" w:eastAsia="SimSun" w:cs="SimSun"/>
          <w:sz w:val="21"/>
          <w:szCs w:val="21"/>
          <w:spacing w:val="1"/>
        </w:rPr>
        <w:t xml:space="preserve"> </w:t>
      </w:r>
      <w:r>
        <w:rPr>
          <w:rFonts w:ascii="SimSun" w:hAnsi="SimSun" w:eastAsia="SimSun" w:cs="SimSun"/>
          <w:sz w:val="21"/>
          <w:szCs w:val="21"/>
          <w:spacing w:val="-7"/>
        </w:rPr>
        <w:t>社交媒体用户的指南》,明确对社交媒体平台进行个人用户数据保护</w:t>
      </w:r>
      <w:r>
        <w:rPr>
          <w:rFonts w:ascii="SimSun" w:hAnsi="SimSun" w:eastAsia="SimSun" w:cs="SimSun"/>
          <w:sz w:val="21"/>
          <w:szCs w:val="21"/>
        </w:rPr>
        <w:t xml:space="preserve"> </w:t>
      </w:r>
      <w:r>
        <w:rPr>
          <w:rFonts w:ascii="SimSun" w:hAnsi="SimSun" w:eastAsia="SimSun" w:cs="SimSun"/>
          <w:sz w:val="21"/>
          <w:szCs w:val="21"/>
          <w:spacing w:val="3"/>
        </w:rPr>
        <w:t>的相关要求。2021年8月，美国统一法律委员会</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ULC</w:t>
      </w:r>
      <w:r>
        <w:rPr>
          <w:rFonts w:ascii="Times New Roman" w:hAnsi="Times New Roman" w:eastAsia="Times New Roman" w:cs="Times New Roman"/>
          <w:sz w:val="21"/>
          <w:szCs w:val="21"/>
          <w:spacing w:val="3"/>
        </w:rPr>
        <w:t>)   </w:t>
      </w:r>
      <w:r>
        <w:rPr>
          <w:rFonts w:ascii="SimSun" w:hAnsi="SimSun" w:eastAsia="SimSun" w:cs="SimSun"/>
          <w:sz w:val="21"/>
          <w:szCs w:val="21"/>
          <w:spacing w:val="3"/>
        </w:rPr>
        <w:t>也投票通</w:t>
      </w:r>
      <w:r>
        <w:rPr>
          <w:rFonts w:ascii="SimSun" w:hAnsi="SimSun" w:eastAsia="SimSun" w:cs="SimSun"/>
          <w:sz w:val="21"/>
          <w:szCs w:val="21"/>
          <w:spacing w:val="8"/>
        </w:rPr>
        <w:t xml:space="preserve"> </w:t>
      </w:r>
      <w:r>
        <w:rPr>
          <w:rFonts w:ascii="SimSun" w:hAnsi="SimSun" w:eastAsia="SimSun" w:cs="SimSun"/>
          <w:sz w:val="21"/>
          <w:szCs w:val="21"/>
          <w:spacing w:val="-4"/>
        </w:rPr>
        <w:t>过了《统一个人数据保护法》</w:t>
      </w:r>
      <w:r>
        <w:rPr>
          <w:rFonts w:ascii="Times New Roman" w:hAnsi="Times New Roman" w:eastAsia="Times New Roman" w:cs="Times New Roman"/>
          <w:sz w:val="21"/>
          <w:szCs w:val="21"/>
          <w:spacing w:val="-4"/>
        </w:rPr>
        <w:t>(UPDPA),</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4"/>
        </w:rPr>
        <w:t>用于规定数据</w:t>
      </w:r>
      <w:r>
        <w:rPr>
          <w:rFonts w:ascii="SimSun" w:hAnsi="SimSun" w:eastAsia="SimSun" w:cs="SimSun"/>
          <w:sz w:val="21"/>
          <w:szCs w:val="21"/>
          <w:spacing w:val="-5"/>
        </w:rPr>
        <w:t>的控制者和</w:t>
      </w:r>
      <w:r>
        <w:rPr>
          <w:rFonts w:ascii="SimSun" w:hAnsi="SimSun" w:eastAsia="SimSun" w:cs="SimSun"/>
          <w:sz w:val="21"/>
          <w:szCs w:val="21"/>
        </w:rPr>
        <w:t xml:space="preserve"> </w:t>
      </w:r>
      <w:r>
        <w:rPr>
          <w:rFonts w:ascii="SimSun" w:hAnsi="SimSun" w:eastAsia="SimSun" w:cs="SimSun"/>
          <w:sz w:val="21"/>
          <w:szCs w:val="21"/>
          <w:spacing w:val="-11"/>
        </w:rPr>
        <w:t>记录者对其持有的个人数据的保护责任。为了强化大型平台在个人信</w:t>
      </w:r>
      <w:r>
        <w:rPr>
          <w:rFonts w:ascii="SimSun" w:hAnsi="SimSun" w:eastAsia="SimSun" w:cs="SimSun"/>
          <w:sz w:val="21"/>
          <w:szCs w:val="21"/>
          <w:spacing w:val="12"/>
        </w:rPr>
        <w:t xml:space="preserve"> </w:t>
      </w:r>
      <w:r>
        <w:rPr>
          <w:rFonts w:ascii="SimSun" w:hAnsi="SimSun" w:eastAsia="SimSun" w:cs="SimSun"/>
          <w:sz w:val="21"/>
          <w:szCs w:val="21"/>
          <w:spacing w:val="-11"/>
        </w:rPr>
        <w:t>息保护中的责任，我国的《个人信息保护法》第五十八条也规定了平</w:t>
      </w:r>
      <w:r>
        <w:rPr>
          <w:rFonts w:ascii="SimSun" w:hAnsi="SimSun" w:eastAsia="SimSun" w:cs="SimSun"/>
          <w:sz w:val="21"/>
          <w:szCs w:val="21"/>
          <w:spacing w:val="8"/>
        </w:rPr>
        <w:t xml:space="preserve"> </w:t>
      </w:r>
      <w:r>
        <w:rPr>
          <w:rFonts w:ascii="SimSun" w:hAnsi="SimSun" w:eastAsia="SimSun" w:cs="SimSun"/>
          <w:sz w:val="21"/>
          <w:szCs w:val="21"/>
          <w:spacing w:val="-11"/>
        </w:rPr>
        <w:t>台在提供信息服务时的责任。</w:t>
      </w:r>
    </w:p>
    <w:p>
      <w:pPr>
        <w:pStyle w:val="BodyText"/>
        <w:spacing w:line="375" w:lineRule="auto"/>
        <w:rPr/>
      </w:pPr>
      <w:r/>
    </w:p>
    <w:p>
      <w:pPr>
        <w:ind w:left="949"/>
        <w:spacing w:before="104" w:line="707" w:lineRule="exact"/>
        <w:rPr>
          <w:rFonts w:ascii="SimSun" w:hAnsi="SimSun" w:eastAsia="SimSun" w:cs="SimSun"/>
          <w:sz w:val="32"/>
          <w:szCs w:val="32"/>
        </w:rPr>
      </w:pPr>
      <w:r>
        <w:rPr>
          <w:rFonts w:ascii="SimSun" w:hAnsi="SimSun" w:eastAsia="SimSun" w:cs="SimSun"/>
          <w:sz w:val="32"/>
          <w:szCs w:val="32"/>
          <w:b/>
          <w:bCs/>
          <w:spacing w:val="-7"/>
          <w:position w:val="29"/>
        </w:rPr>
        <w:t>平台监管权力的横向和纵向配置</w:t>
      </w:r>
    </w:p>
    <w:p>
      <w:pPr>
        <w:ind w:left="108"/>
        <w:spacing w:line="221" w:lineRule="auto"/>
        <w:rPr>
          <w:rFonts w:ascii="SimHei" w:hAnsi="SimHei" w:eastAsia="SimHei" w:cs="SimHei"/>
          <w:sz w:val="25"/>
          <w:szCs w:val="25"/>
        </w:rPr>
      </w:pPr>
      <w:r>
        <w:rPr>
          <w:rFonts w:ascii="SimHei" w:hAnsi="SimHei" w:eastAsia="SimHei" w:cs="SimHei"/>
          <w:sz w:val="25"/>
          <w:szCs w:val="25"/>
          <w:b/>
          <w:bCs/>
          <w:spacing w:val="-13"/>
        </w:rPr>
        <w:t>平台监管的混乱现状及重点</w:t>
      </w:r>
    </w:p>
    <w:p>
      <w:pPr>
        <w:pStyle w:val="BodyText"/>
        <w:spacing w:line="350" w:lineRule="auto"/>
        <w:rPr/>
      </w:pPr>
      <w:r/>
    </w:p>
    <w:p>
      <w:pPr>
        <w:ind w:left="104" w:right="17" w:firstLine="430"/>
        <w:spacing w:before="70" w:line="286" w:lineRule="auto"/>
        <w:jc w:val="both"/>
        <w:rPr>
          <w:rFonts w:ascii="SimSun" w:hAnsi="SimSun" w:eastAsia="SimSun" w:cs="SimSun"/>
          <w:sz w:val="21"/>
          <w:szCs w:val="21"/>
        </w:rPr>
      </w:pPr>
      <w:r>
        <w:rPr>
          <w:rFonts w:ascii="SimSun" w:hAnsi="SimSun" w:eastAsia="SimSun" w:cs="SimSun"/>
          <w:sz w:val="21"/>
          <w:szCs w:val="21"/>
          <w:spacing w:val="5"/>
        </w:rPr>
        <w:t>如前文所述，我国对互联网平台的监管具有多线条</w:t>
      </w:r>
      <w:r>
        <w:rPr>
          <w:rFonts w:ascii="SimSun" w:hAnsi="SimSun" w:eastAsia="SimSun" w:cs="SimSun"/>
          <w:sz w:val="21"/>
          <w:szCs w:val="21"/>
          <w:spacing w:val="4"/>
        </w:rPr>
        <w:t>和多产业</w:t>
      </w:r>
      <w:r>
        <w:rPr>
          <w:rFonts w:ascii="SimSun" w:hAnsi="SimSun" w:eastAsia="SimSun" w:cs="SimSun"/>
          <w:sz w:val="21"/>
          <w:szCs w:val="21"/>
        </w:rPr>
        <w:t xml:space="preserve"> </w:t>
      </w:r>
      <w:r>
        <w:rPr>
          <w:rFonts w:ascii="SimSun" w:hAnsi="SimSun" w:eastAsia="SimSun" w:cs="SimSun"/>
          <w:sz w:val="21"/>
          <w:szCs w:val="21"/>
          <w:spacing w:val="3"/>
        </w:rPr>
        <w:t>监管的特征。但上述监管模式无法有效应对平台的跨产业特性等</w:t>
      </w:r>
      <w:r>
        <w:rPr>
          <w:rFonts w:ascii="SimSun" w:hAnsi="SimSun" w:eastAsia="SimSun" w:cs="SimSun"/>
          <w:sz w:val="21"/>
          <w:szCs w:val="21"/>
          <w:spacing w:val="15"/>
        </w:rPr>
        <w:t xml:space="preserve"> </w:t>
      </w:r>
      <w:r>
        <w:rPr>
          <w:rFonts w:ascii="SimSun" w:hAnsi="SimSun" w:eastAsia="SimSun" w:cs="SimSun"/>
          <w:sz w:val="21"/>
          <w:szCs w:val="21"/>
          <w:spacing w:val="-14"/>
        </w:rPr>
        <w:t>问题。</w:t>
      </w:r>
    </w:p>
    <w:p>
      <w:pPr>
        <w:ind w:left="104" w:right="54" w:firstLine="430"/>
        <w:spacing w:before="105" w:line="268" w:lineRule="auto"/>
        <w:rPr>
          <w:rFonts w:ascii="SimSun" w:hAnsi="SimSun" w:eastAsia="SimSun" w:cs="SimSun"/>
          <w:sz w:val="21"/>
          <w:szCs w:val="21"/>
        </w:rPr>
      </w:pPr>
      <w:r>
        <w:rPr>
          <w:rFonts w:ascii="SimSun" w:hAnsi="SimSun" w:eastAsia="SimSun" w:cs="SimSun"/>
          <w:sz w:val="21"/>
          <w:szCs w:val="21"/>
          <w:spacing w:val="-12"/>
        </w:rPr>
        <w:t>第一，现行监管仍然延续了之前产业监管的思路，</w:t>
      </w:r>
      <w:r>
        <w:rPr>
          <w:rFonts w:ascii="SimSun" w:hAnsi="SimSun" w:eastAsia="SimSun" w:cs="SimSun"/>
          <w:sz w:val="21"/>
          <w:szCs w:val="21"/>
          <w:spacing w:val="-13"/>
        </w:rPr>
        <w:t>没有把握平台</w:t>
      </w:r>
      <w:r>
        <w:rPr>
          <w:rFonts w:ascii="SimSun" w:hAnsi="SimSun" w:eastAsia="SimSun" w:cs="SimSun"/>
          <w:sz w:val="21"/>
          <w:szCs w:val="21"/>
        </w:rPr>
        <w:t xml:space="preserve"> </w:t>
      </w:r>
      <w:r>
        <w:rPr>
          <w:rFonts w:ascii="SimSun" w:hAnsi="SimSun" w:eastAsia="SimSun" w:cs="SimSun"/>
          <w:sz w:val="21"/>
          <w:szCs w:val="21"/>
          <w:spacing w:val="-11"/>
        </w:rPr>
        <w:t>的跨产业特性，致使有些平台无法嵌进之前产业监管的框架中。事前</w:t>
      </w:r>
    </w:p>
    <w:p>
      <w:pPr>
        <w:spacing w:line="268" w:lineRule="auto"/>
        <w:sectPr>
          <w:headerReference w:type="default" r:id="rId550"/>
          <w:pgSz w:w="7330" w:h="12480"/>
          <w:pgMar w:top="575" w:right="604" w:bottom="400" w:left="584" w:header="412" w:footer="0" w:gutter="0"/>
        </w:sectPr>
        <w:rPr>
          <w:rFonts w:ascii="SimSun" w:hAnsi="SimSun" w:eastAsia="SimSun" w:cs="SimSun"/>
          <w:sz w:val="21"/>
          <w:szCs w:val="21"/>
        </w:rPr>
      </w:pPr>
    </w:p>
    <w:p>
      <w:pPr>
        <w:pStyle w:val="BodyText"/>
        <w:spacing w:line="251" w:lineRule="auto"/>
        <w:rPr/>
      </w:pPr>
      <w:r>
        <w:drawing>
          <wp:anchor distT="0" distB="0" distL="0" distR="0" simplePos="0" relativeHeight="256464896" behindDoc="0" locked="0" layoutInCell="0" allowOverlap="1">
            <wp:simplePos x="0" y="0"/>
            <wp:positionH relativeFrom="page">
              <wp:posOffset>342901</wp:posOffset>
            </wp:positionH>
            <wp:positionV relativeFrom="page">
              <wp:posOffset>6908762</wp:posOffset>
            </wp:positionV>
            <wp:extent cx="1168384" cy="6418"/>
            <wp:effectExtent l="0" t="0" r="0" b="0"/>
            <wp:wrapNone/>
            <wp:docPr id="418" name="IM 418"/>
            <wp:cNvGraphicFramePr/>
            <a:graphic>
              <a:graphicData uri="http://schemas.openxmlformats.org/drawingml/2006/picture">
                <pic:pic>
                  <pic:nvPicPr>
                    <pic:cNvPr id="418" name="IM 418"/>
                    <pic:cNvPicPr/>
                  </pic:nvPicPr>
                  <pic:blipFill>
                    <a:blip r:embed="rId552"/>
                    <a:stretch>
                      <a:fillRect/>
                    </a:stretch>
                  </pic:blipFill>
                  <pic:spPr>
                    <a:xfrm rot="0">
                      <a:off x="0" y="0"/>
                      <a:ext cx="1168384" cy="6418"/>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right="86"/>
        <w:spacing w:before="68" w:line="283" w:lineRule="auto"/>
        <w:jc w:val="both"/>
        <w:rPr>
          <w:rFonts w:ascii="SimSun" w:hAnsi="SimSun" w:eastAsia="SimSun" w:cs="SimSun"/>
          <w:sz w:val="21"/>
          <w:szCs w:val="21"/>
        </w:rPr>
      </w:pPr>
      <w:r>
        <w:rPr>
          <w:rFonts w:ascii="SimSun" w:hAnsi="SimSun" w:eastAsia="SimSun" w:cs="SimSun"/>
          <w:sz w:val="21"/>
          <w:szCs w:val="21"/>
          <w:spacing w:val="-11"/>
        </w:rPr>
        <w:t>监管的缺失，导致平台一旦出问题，各监管部门均参与到对平台的约</w:t>
      </w:r>
      <w:r>
        <w:rPr>
          <w:rFonts w:ascii="SimSun" w:hAnsi="SimSun" w:eastAsia="SimSun" w:cs="SimSun"/>
          <w:sz w:val="21"/>
          <w:szCs w:val="21"/>
          <w:spacing w:val="16"/>
        </w:rPr>
        <w:t xml:space="preserve"> </w:t>
      </w:r>
      <w:r>
        <w:rPr>
          <w:rFonts w:ascii="SimSun" w:hAnsi="SimSun" w:eastAsia="SimSun" w:cs="SimSun"/>
          <w:sz w:val="21"/>
          <w:szCs w:val="21"/>
          <w:spacing w:val="-11"/>
        </w:rPr>
        <w:t>谈与整治中，分工不明确，极容易形成过度惩罚的情形，多管齐下的</w:t>
      </w:r>
      <w:r>
        <w:rPr>
          <w:rFonts w:ascii="SimSun" w:hAnsi="SimSun" w:eastAsia="SimSun" w:cs="SimSun"/>
          <w:sz w:val="21"/>
          <w:szCs w:val="21"/>
          <w:spacing w:val="14"/>
        </w:rPr>
        <w:t xml:space="preserve"> </w:t>
      </w:r>
      <w:r>
        <w:rPr>
          <w:rFonts w:ascii="SimSun" w:hAnsi="SimSun" w:eastAsia="SimSun" w:cs="SimSun"/>
          <w:sz w:val="21"/>
          <w:szCs w:val="21"/>
          <w:spacing w:val="-12"/>
        </w:rPr>
        <w:t>监管也难以形成对监管效果的评估与问责机制。</w:t>
      </w:r>
    </w:p>
    <w:p>
      <w:pPr>
        <w:ind w:right="90" w:firstLine="409"/>
        <w:spacing w:before="123" w:line="290" w:lineRule="auto"/>
        <w:jc w:val="both"/>
        <w:rPr>
          <w:rFonts w:ascii="SimSun" w:hAnsi="SimSun" w:eastAsia="SimSun" w:cs="SimSun"/>
          <w:sz w:val="21"/>
          <w:szCs w:val="21"/>
        </w:rPr>
      </w:pPr>
      <w:r>
        <w:rPr>
          <w:rFonts w:ascii="SimSun" w:hAnsi="SimSun" w:eastAsia="SimSun" w:cs="SimSun"/>
          <w:sz w:val="21"/>
          <w:szCs w:val="21"/>
          <w:spacing w:val="-11"/>
        </w:rPr>
        <w:t>第二，在传统的产业监管思路下，何种产业需要监管，需要何种</w:t>
      </w:r>
      <w:r>
        <w:rPr>
          <w:rFonts w:ascii="SimSun" w:hAnsi="SimSun" w:eastAsia="SimSun" w:cs="SimSun"/>
          <w:sz w:val="21"/>
          <w:szCs w:val="21"/>
          <w:spacing w:val="1"/>
        </w:rPr>
        <w:t xml:space="preserve"> </w:t>
      </w:r>
      <w:r>
        <w:rPr>
          <w:rFonts w:ascii="SimSun" w:hAnsi="SimSun" w:eastAsia="SimSun" w:cs="SimSun"/>
          <w:sz w:val="21"/>
          <w:szCs w:val="21"/>
          <w:spacing w:val="-11"/>
        </w:rPr>
        <w:t>程度的监管，是由该产业的特性决定的。而对于平台而言，不同的平</w:t>
      </w:r>
      <w:r>
        <w:rPr>
          <w:rFonts w:ascii="SimSun" w:hAnsi="SimSun" w:eastAsia="SimSun" w:cs="SimSun"/>
          <w:sz w:val="21"/>
          <w:szCs w:val="21"/>
          <w:spacing w:val="8"/>
        </w:rPr>
        <w:t xml:space="preserve"> </w:t>
      </w:r>
      <w:r>
        <w:rPr>
          <w:rFonts w:ascii="SimSun" w:hAnsi="SimSun" w:eastAsia="SimSun" w:cs="SimSun"/>
          <w:sz w:val="21"/>
          <w:szCs w:val="21"/>
          <w:spacing w:val="-11"/>
        </w:rPr>
        <w:t>台涉足不同的产业，难以依据特定产业的特性建立起对所有平台的监</w:t>
      </w:r>
      <w:r>
        <w:rPr>
          <w:rFonts w:ascii="SimSun" w:hAnsi="SimSun" w:eastAsia="SimSun" w:cs="SimSun"/>
          <w:sz w:val="21"/>
          <w:szCs w:val="21"/>
          <w:spacing w:val="7"/>
        </w:rPr>
        <w:t xml:space="preserve"> </w:t>
      </w:r>
      <w:r>
        <w:rPr>
          <w:rFonts w:ascii="SimSun" w:hAnsi="SimSun" w:eastAsia="SimSun" w:cs="SimSun"/>
          <w:sz w:val="21"/>
          <w:szCs w:val="21"/>
          <w:spacing w:val="-11"/>
        </w:rPr>
        <w:t>管。在目前的平台监管体制下，平台的类型分区尚不够明晰，难以根</w:t>
      </w:r>
      <w:r>
        <w:rPr>
          <w:rFonts w:ascii="SimSun" w:hAnsi="SimSun" w:eastAsia="SimSun" w:cs="SimSun"/>
          <w:sz w:val="21"/>
          <w:szCs w:val="21"/>
          <w:spacing w:val="6"/>
        </w:rPr>
        <w:t xml:space="preserve"> </w:t>
      </w:r>
      <w:r>
        <w:rPr>
          <w:rFonts w:ascii="SimSun" w:hAnsi="SimSun" w:eastAsia="SimSun" w:cs="SimSun"/>
          <w:sz w:val="21"/>
          <w:szCs w:val="21"/>
          <w:spacing w:val="-11"/>
        </w:rPr>
        <w:t>据不同类型平台的特点确立起相应的监管框架。</w:t>
      </w:r>
    </w:p>
    <w:p>
      <w:pPr>
        <w:ind w:firstLine="409"/>
        <w:spacing w:before="143" w:line="304" w:lineRule="auto"/>
        <w:jc w:val="both"/>
        <w:rPr>
          <w:rFonts w:ascii="SimSun" w:hAnsi="SimSun" w:eastAsia="SimSun" w:cs="SimSun"/>
          <w:sz w:val="21"/>
          <w:szCs w:val="21"/>
        </w:rPr>
      </w:pPr>
      <w:r>
        <w:rPr>
          <w:rFonts w:ascii="SimSun" w:hAnsi="SimSun" w:eastAsia="SimSun" w:cs="SimSun"/>
          <w:sz w:val="21"/>
          <w:szCs w:val="21"/>
          <w:spacing w:val="-11"/>
        </w:rPr>
        <w:t>第三，平台市场准入审批与行为监管在监管权限上存在错配。目 </w:t>
      </w:r>
      <w:r>
        <w:rPr>
          <w:rFonts w:ascii="SimSun" w:hAnsi="SimSun" w:eastAsia="SimSun" w:cs="SimSun"/>
          <w:sz w:val="21"/>
          <w:szCs w:val="21"/>
          <w:spacing w:val="-10"/>
        </w:rPr>
        <w:t>前，平台市场准入审批部门往往是相对单一的</w:t>
      </w:r>
      <w:r>
        <w:rPr>
          <w:rFonts w:ascii="SimSun" w:hAnsi="SimSun" w:eastAsia="SimSun" w:cs="SimSun"/>
          <w:sz w:val="21"/>
          <w:szCs w:val="21"/>
          <w:spacing w:val="-11"/>
        </w:rPr>
        <w:t>部门主导，但是对平台</w:t>
      </w:r>
      <w:r>
        <w:rPr>
          <w:rFonts w:ascii="SimSun" w:hAnsi="SimSun" w:eastAsia="SimSun" w:cs="SimSun"/>
          <w:sz w:val="21"/>
          <w:szCs w:val="21"/>
        </w:rPr>
        <w:t xml:space="preserve"> </w:t>
      </w:r>
      <w:r>
        <w:rPr>
          <w:rFonts w:ascii="SimSun" w:hAnsi="SimSun" w:eastAsia="SimSun" w:cs="SimSun"/>
          <w:sz w:val="21"/>
          <w:szCs w:val="21"/>
          <w:spacing w:val="-11"/>
        </w:rPr>
        <w:t>进行行为监管的部门往往与审批部门不尽一致，并且可能出现多家主</w:t>
      </w:r>
      <w:r>
        <w:rPr>
          <w:rFonts w:ascii="SimSun" w:hAnsi="SimSun" w:eastAsia="SimSun" w:cs="SimSun"/>
          <w:sz w:val="21"/>
          <w:szCs w:val="21"/>
          <w:spacing w:val="4"/>
        </w:rPr>
        <w:t xml:space="preserve">  </w:t>
      </w:r>
      <w:r>
        <w:rPr>
          <w:rFonts w:ascii="SimSun" w:hAnsi="SimSun" w:eastAsia="SimSun" w:cs="SimSun"/>
          <w:sz w:val="21"/>
          <w:szCs w:val="21"/>
          <w:spacing w:val="-11"/>
        </w:rPr>
        <w:t>体。例如在网约车平台领域，市场准入审批部门为企业注册地出租汽</w:t>
      </w:r>
      <w:r>
        <w:rPr>
          <w:rFonts w:ascii="SimSun" w:hAnsi="SimSun" w:eastAsia="SimSun" w:cs="SimSun"/>
          <w:sz w:val="21"/>
          <w:szCs w:val="21"/>
          <w:spacing w:val="5"/>
        </w:rPr>
        <w:t xml:space="preserve">  </w:t>
      </w:r>
      <w:r>
        <w:rPr>
          <w:rFonts w:ascii="SimSun" w:hAnsi="SimSun" w:eastAsia="SimSun" w:cs="SimSun"/>
          <w:sz w:val="21"/>
          <w:szCs w:val="21"/>
          <w:spacing w:val="-10"/>
        </w:rPr>
        <w:t>车行政主管部门，而进行行为监管的部门则为多个主体，例如20</w:t>
      </w:r>
      <w:r>
        <w:rPr>
          <w:rFonts w:ascii="SimSun" w:hAnsi="SimSun" w:eastAsia="SimSun" w:cs="SimSun"/>
          <w:sz w:val="21"/>
          <w:szCs w:val="21"/>
          <w:spacing w:val="-11"/>
        </w:rPr>
        <w:t>21年</w:t>
      </w:r>
      <w:r>
        <w:rPr>
          <w:rFonts w:ascii="SimSun" w:hAnsi="SimSun" w:eastAsia="SimSun" w:cs="SimSun"/>
          <w:sz w:val="21"/>
          <w:szCs w:val="21"/>
        </w:rPr>
        <w:t xml:space="preserve">  </w:t>
      </w:r>
      <w:r>
        <w:rPr>
          <w:rFonts w:ascii="SimSun" w:hAnsi="SimSun" w:eastAsia="SimSun" w:cs="SimSun"/>
          <w:sz w:val="21"/>
          <w:szCs w:val="21"/>
          <w:spacing w:val="-1"/>
        </w:rPr>
        <w:t>5月14日对10家网约车平台的约谈行动中，交通运输部、中央网信</w:t>
      </w:r>
      <w:r>
        <w:rPr>
          <w:rFonts w:ascii="SimSun" w:hAnsi="SimSun" w:eastAsia="SimSun" w:cs="SimSun"/>
          <w:sz w:val="21"/>
          <w:szCs w:val="21"/>
          <w:spacing w:val="8"/>
        </w:rPr>
        <w:t xml:space="preserve">  </w:t>
      </w:r>
      <w:r>
        <w:rPr>
          <w:rFonts w:ascii="SimSun" w:hAnsi="SimSun" w:eastAsia="SimSun" w:cs="SimSun"/>
          <w:sz w:val="21"/>
          <w:szCs w:val="21"/>
          <w:spacing w:val="-11"/>
        </w:rPr>
        <w:t>办、国家发展改革委、工业和信息化部、公安部、人力资源和社会保</w:t>
      </w:r>
      <w:r>
        <w:rPr>
          <w:rFonts w:ascii="SimSun" w:hAnsi="SimSun" w:eastAsia="SimSun" w:cs="SimSun"/>
          <w:sz w:val="21"/>
          <w:szCs w:val="21"/>
          <w:spacing w:val="3"/>
        </w:rPr>
        <w:t xml:space="preserve">  </w:t>
      </w:r>
      <w:r>
        <w:rPr>
          <w:rFonts w:ascii="SimSun" w:hAnsi="SimSun" w:eastAsia="SimSun" w:cs="SimSun"/>
          <w:sz w:val="21"/>
          <w:szCs w:val="21"/>
          <w:spacing w:val="-11"/>
        </w:rPr>
        <w:t>障部、国家市场监管总局、国家信访局等8个监管部门都参与了监管。</w:t>
      </w:r>
    </w:p>
    <w:p>
      <w:pPr>
        <w:ind w:right="95" w:firstLine="409"/>
        <w:spacing w:before="108" w:line="292" w:lineRule="auto"/>
        <w:jc w:val="both"/>
        <w:rPr>
          <w:rFonts w:ascii="SimSun" w:hAnsi="SimSun" w:eastAsia="SimSun" w:cs="SimSun"/>
          <w:sz w:val="21"/>
          <w:szCs w:val="21"/>
        </w:rPr>
      </w:pPr>
      <w:r>
        <w:rPr>
          <w:rFonts w:ascii="SimSun" w:hAnsi="SimSun" w:eastAsia="SimSun" w:cs="SimSun"/>
          <w:sz w:val="21"/>
          <w:szCs w:val="21"/>
          <w:spacing w:val="-12"/>
        </w:rPr>
        <w:t>对平台进行高效的监管需要满足三个条件：第一，在对平台属性</w:t>
      </w:r>
      <w:r>
        <w:rPr>
          <w:rFonts w:ascii="SimSun" w:hAnsi="SimSun" w:eastAsia="SimSun" w:cs="SimSun"/>
          <w:sz w:val="21"/>
          <w:szCs w:val="21"/>
          <w:spacing w:val="15"/>
        </w:rPr>
        <w:t xml:space="preserve"> </w:t>
      </w:r>
      <w:r>
        <w:rPr>
          <w:rFonts w:ascii="SimSun" w:hAnsi="SimSun" w:eastAsia="SimSun" w:cs="SimSun"/>
          <w:sz w:val="21"/>
          <w:szCs w:val="21"/>
          <w:spacing w:val="-11"/>
        </w:rPr>
        <w:t>深入研究的基础上明晰平台的定位；第二，独立监管权以及不同机关</w:t>
      </w:r>
      <w:r>
        <w:rPr>
          <w:rFonts w:ascii="SimSun" w:hAnsi="SimSun" w:eastAsia="SimSun" w:cs="SimSun"/>
          <w:sz w:val="21"/>
          <w:szCs w:val="21"/>
          <w:spacing w:val="8"/>
        </w:rPr>
        <w:t xml:space="preserve"> </w:t>
      </w:r>
      <w:r>
        <w:rPr>
          <w:rFonts w:ascii="SimSun" w:hAnsi="SimSun" w:eastAsia="SimSun" w:cs="SimSun"/>
          <w:sz w:val="21"/>
          <w:szCs w:val="21"/>
          <w:spacing w:val="-11"/>
        </w:rPr>
        <w:t>监管权要进行清晰划分，特别是要明晰行业监管权与反</w:t>
      </w:r>
      <w:r>
        <w:rPr>
          <w:rFonts w:ascii="SimSun" w:hAnsi="SimSun" w:eastAsia="SimSun" w:cs="SimSun"/>
          <w:sz w:val="21"/>
          <w:szCs w:val="21"/>
          <w:spacing w:val="-12"/>
        </w:rPr>
        <w:t>垄断监管权的</w:t>
      </w:r>
      <w:r>
        <w:rPr>
          <w:rFonts w:ascii="SimSun" w:hAnsi="SimSun" w:eastAsia="SimSun" w:cs="SimSun"/>
          <w:sz w:val="21"/>
          <w:szCs w:val="21"/>
        </w:rPr>
        <w:t xml:space="preserve"> </w:t>
      </w:r>
      <w:r>
        <w:rPr>
          <w:rFonts w:ascii="SimSun" w:hAnsi="SimSun" w:eastAsia="SimSun" w:cs="SimSun"/>
          <w:sz w:val="21"/>
          <w:szCs w:val="21"/>
          <w:spacing w:val="-12"/>
        </w:rPr>
        <w:t>界限；第三，建立对监管效果的有效评估体系。</w:t>
      </w:r>
    </w:p>
    <w:p>
      <w:pPr>
        <w:pStyle w:val="BodyText"/>
        <w:spacing w:line="396" w:lineRule="auto"/>
        <w:rPr/>
      </w:pPr>
      <w:r/>
    </w:p>
    <w:p>
      <w:pPr>
        <w:ind w:left="3"/>
        <w:spacing w:before="81" w:line="221" w:lineRule="auto"/>
        <w:rPr>
          <w:rFonts w:ascii="SimHei" w:hAnsi="SimHei" w:eastAsia="SimHei" w:cs="SimHei"/>
          <w:sz w:val="25"/>
          <w:szCs w:val="25"/>
        </w:rPr>
      </w:pPr>
      <w:r>
        <w:rPr>
          <w:rFonts w:ascii="SimHei" w:hAnsi="SimHei" w:eastAsia="SimHei" w:cs="SimHei"/>
          <w:sz w:val="25"/>
          <w:szCs w:val="25"/>
          <w:b/>
          <w:bCs/>
          <w:spacing w:val="-14"/>
        </w:rPr>
        <w:t>监管权力统一的必要性分析</w:t>
      </w:r>
    </w:p>
    <w:p>
      <w:pPr>
        <w:pStyle w:val="BodyText"/>
        <w:spacing w:line="362" w:lineRule="auto"/>
        <w:rPr/>
      </w:pPr>
      <w:r/>
    </w:p>
    <w:p>
      <w:pPr>
        <w:ind w:left="409"/>
        <w:spacing w:before="69" w:line="217" w:lineRule="auto"/>
        <w:rPr>
          <w:rFonts w:ascii="SimSun" w:hAnsi="SimSun" w:eastAsia="SimSun" w:cs="SimSun"/>
          <w:sz w:val="21"/>
          <w:szCs w:val="21"/>
        </w:rPr>
      </w:pPr>
      <w:r>
        <w:rPr>
          <w:rFonts w:ascii="SimSun" w:hAnsi="SimSun" w:eastAsia="SimSun" w:cs="SimSun"/>
          <w:sz w:val="21"/>
          <w:szCs w:val="21"/>
          <w:spacing w:val="-9"/>
        </w:rPr>
        <w:t>标准的公共利益理论认为监管解决了市场失灵和外部性</w:t>
      </w:r>
      <w:r>
        <w:rPr>
          <w:rFonts w:ascii="SimSun" w:hAnsi="SimSun" w:eastAsia="SimSun" w:cs="SimSun"/>
          <w:sz w:val="21"/>
          <w:szCs w:val="21"/>
          <w:spacing w:val="-10"/>
        </w:rPr>
        <w:t>问题。①</w:t>
      </w:r>
    </w:p>
    <w:p>
      <w:pPr>
        <w:pStyle w:val="BodyText"/>
        <w:spacing w:line="254" w:lineRule="auto"/>
        <w:rPr/>
      </w:pPr>
      <w:r/>
    </w:p>
    <w:p>
      <w:pPr>
        <w:pStyle w:val="BodyText"/>
        <w:spacing w:line="255" w:lineRule="auto"/>
        <w:rPr/>
      </w:pPr>
      <w:r/>
    </w:p>
    <w:p>
      <w:pPr>
        <w:spacing w:before="52"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66"/>
        </w:rPr>
        <w:t xml:space="preserve"> </w:t>
      </w:r>
      <w:r>
        <w:rPr>
          <w:rFonts w:ascii="Times New Roman" w:hAnsi="Times New Roman" w:eastAsia="Times New Roman" w:cs="Times New Roman"/>
          <w:sz w:val="16"/>
          <w:szCs w:val="16"/>
        </w:rPr>
        <w:t>J.E.Stiglitz,“Markets,Market       Failures,and       Development”,American       Economic</w:t>
      </w:r>
    </w:p>
    <w:p>
      <w:pPr>
        <w:ind w:left="309"/>
        <w:spacing w:before="143" w:line="216" w:lineRule="auto"/>
        <w:rPr>
          <w:rFonts w:ascii="SimSun" w:hAnsi="SimSun" w:eastAsia="SimSun" w:cs="SimSun"/>
          <w:sz w:val="16"/>
          <w:szCs w:val="16"/>
        </w:rPr>
      </w:pPr>
      <w:r>
        <w:rPr>
          <w:rFonts w:ascii="SimSun" w:hAnsi="SimSun" w:eastAsia="SimSun" w:cs="SimSun"/>
          <w:sz w:val="16"/>
          <w:szCs w:val="16"/>
          <w:spacing w:val="-3"/>
        </w:rPr>
        <w:t>Review,1989,79(2):197-203.</w:t>
      </w:r>
    </w:p>
    <w:p>
      <w:pPr>
        <w:spacing w:line="216" w:lineRule="auto"/>
        <w:sectPr>
          <w:headerReference w:type="default" r:id="rId551"/>
          <w:pgSz w:w="7330" w:h="12480"/>
          <w:pgMar w:top="849" w:right="724" w:bottom="400" w:left="530" w:header="683" w:footer="0" w:gutter="0"/>
        </w:sectPr>
        <w:rPr>
          <w:rFonts w:ascii="SimSun" w:hAnsi="SimSun" w:eastAsia="SimSun" w:cs="SimSun"/>
          <w:sz w:val="16"/>
          <w:szCs w:val="16"/>
        </w:rPr>
      </w:pPr>
    </w:p>
    <w:p>
      <w:pPr>
        <w:ind w:left="3"/>
        <w:spacing w:line="220" w:lineRule="auto"/>
        <w:rPr>
          <w:rFonts w:ascii="SimHei" w:hAnsi="SimHei" w:eastAsia="SimHei" w:cs="SimHei"/>
          <w:sz w:val="19"/>
          <w:szCs w:val="19"/>
        </w:rPr>
      </w:pPr>
      <w:r>
        <w:drawing>
          <wp:anchor distT="0" distB="0" distL="0" distR="0" simplePos="0" relativeHeight="256475136" behindDoc="0" locked="0" layoutInCell="0" allowOverlap="1">
            <wp:simplePos x="0" y="0"/>
            <wp:positionH relativeFrom="page">
              <wp:posOffset>444510</wp:posOffset>
            </wp:positionH>
            <wp:positionV relativeFrom="page">
              <wp:posOffset>5118068</wp:posOffset>
            </wp:positionV>
            <wp:extent cx="1187421" cy="6350"/>
            <wp:effectExtent l="0" t="0" r="0" b="0"/>
            <wp:wrapNone/>
            <wp:docPr id="420" name="IM 420"/>
            <wp:cNvGraphicFramePr/>
            <a:graphic>
              <a:graphicData uri="http://schemas.openxmlformats.org/drawingml/2006/picture">
                <pic:pic>
                  <pic:nvPicPr>
                    <pic:cNvPr id="420" name="IM 420"/>
                    <pic:cNvPicPr/>
                  </pic:nvPicPr>
                  <pic:blipFill>
                    <a:blip r:embed="rId553"/>
                    <a:stretch>
                      <a:fillRect/>
                    </a:stretch>
                  </pic:blipFill>
                  <pic:spPr>
                    <a:xfrm rot="0">
                      <a:off x="0" y="0"/>
                      <a:ext cx="1187421" cy="6350"/>
                    </a:xfrm>
                    <a:prstGeom prst="rect">
                      <a:avLst/>
                    </a:prstGeom>
                  </pic:spPr>
                </pic:pic>
              </a:graphicData>
            </a:graphic>
          </wp:anchor>
        </w:drawing>
      </w:r>
      <w:r>
        <w:rPr>
          <w:rFonts w:ascii="SimSun" w:hAnsi="SimSun" w:eastAsia="SimSun" w:cs="SimSun"/>
          <w:sz w:val="12"/>
          <w:szCs w:val="12"/>
          <w:spacing w:val="-2"/>
          <w:position w:val="-2"/>
        </w:rPr>
        <w:t>460</w:t>
      </w:r>
      <w:r>
        <w:rPr>
          <w:rFonts w:ascii="SimSun" w:hAnsi="SimSun" w:eastAsia="SimSun" w:cs="SimSun"/>
          <w:sz w:val="12"/>
          <w:szCs w:val="12"/>
          <w:spacing w:val="2"/>
          <w:position w:val="-2"/>
        </w:rPr>
        <w:t xml:space="preserve">                    </w:t>
      </w:r>
      <w:r>
        <w:rPr>
          <w:rFonts w:ascii="SimSun" w:hAnsi="SimSun" w:eastAsia="SimSun" w:cs="SimSun"/>
          <w:sz w:val="12"/>
          <w:szCs w:val="12"/>
          <w:spacing w:val="1"/>
          <w:position w:val="-2"/>
        </w:rPr>
        <w:t xml:space="preserve">         </w:t>
      </w:r>
      <w:r>
        <w:rPr>
          <w:rFonts w:ascii="SimHei" w:hAnsi="SimHei" w:eastAsia="SimHei" w:cs="SimHei"/>
          <w:sz w:val="19"/>
          <w:szCs w:val="19"/>
          <w:spacing w:val="-16"/>
          <w:w w:val="90"/>
        </w:rPr>
        <w:t>平台经济——创新、治理与繁荣</w:t>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3" w:right="97"/>
        <w:spacing w:before="62" w:line="346" w:lineRule="auto"/>
        <w:jc w:val="both"/>
        <w:rPr>
          <w:rFonts w:ascii="SimSun" w:hAnsi="SimSun" w:eastAsia="SimSun" w:cs="SimSun"/>
          <w:sz w:val="19"/>
          <w:szCs w:val="19"/>
        </w:rPr>
      </w:pPr>
      <w:r>
        <w:rPr>
          <w:rFonts w:ascii="SimSun" w:hAnsi="SimSun" w:eastAsia="SimSun" w:cs="SimSun"/>
          <w:sz w:val="19"/>
          <w:szCs w:val="19"/>
          <w:spacing w:val="9"/>
        </w:rPr>
        <w:t>格莱泽与施莱弗在《监管型政府的崛起》中讨论了监管有效的三个原</w:t>
      </w:r>
      <w:r>
        <w:rPr>
          <w:rFonts w:ascii="SimSun" w:hAnsi="SimSun" w:eastAsia="SimSun" w:cs="SimSun"/>
          <w:sz w:val="19"/>
          <w:szCs w:val="19"/>
          <w:spacing w:val="14"/>
        </w:rPr>
        <w:t xml:space="preserve"> </w:t>
      </w:r>
      <w:r>
        <w:rPr>
          <w:rFonts w:ascii="SimSun" w:hAnsi="SimSun" w:eastAsia="SimSun" w:cs="SimSun"/>
          <w:sz w:val="19"/>
          <w:szCs w:val="19"/>
          <w:spacing w:val="9"/>
        </w:rPr>
        <w:t>因：第一，监管者有强烈的动机去进行高代价的调查以便证实出</w:t>
      </w:r>
      <w:r>
        <w:rPr>
          <w:rFonts w:ascii="SimSun" w:hAnsi="SimSun" w:eastAsia="SimSun" w:cs="SimSun"/>
          <w:sz w:val="19"/>
          <w:szCs w:val="19"/>
          <w:spacing w:val="8"/>
        </w:rPr>
        <w:t>现了</w:t>
      </w:r>
      <w:r>
        <w:rPr>
          <w:rFonts w:ascii="SimSun" w:hAnsi="SimSun" w:eastAsia="SimSun" w:cs="SimSun"/>
          <w:sz w:val="19"/>
          <w:szCs w:val="19"/>
        </w:rPr>
        <w:t xml:space="preserve"> </w:t>
      </w:r>
      <w:r>
        <w:rPr>
          <w:rFonts w:ascii="SimSun" w:hAnsi="SimSun" w:eastAsia="SimSun" w:cs="SimSun"/>
          <w:sz w:val="19"/>
          <w:szCs w:val="19"/>
          <w:spacing w:val="9"/>
        </w:rPr>
        <w:t>违法现象，这种动机可能源于对职业生涯的考虑或源于受到更加专业</w:t>
      </w:r>
      <w:r>
        <w:rPr>
          <w:rFonts w:ascii="SimSun" w:hAnsi="SimSun" w:eastAsia="SimSun" w:cs="SimSun"/>
          <w:sz w:val="19"/>
          <w:szCs w:val="19"/>
          <w:spacing w:val="5"/>
        </w:rPr>
        <w:t xml:space="preserve"> </w:t>
      </w:r>
      <w:r>
        <w:rPr>
          <w:rFonts w:ascii="SimSun" w:hAnsi="SimSun" w:eastAsia="SimSun" w:cs="SimSun"/>
          <w:sz w:val="19"/>
          <w:szCs w:val="19"/>
          <w:spacing w:val="9"/>
        </w:rPr>
        <w:t>的训练；第二，监管者能够代表受害者的共同利益；第三，监管不同</w:t>
      </w:r>
      <w:r>
        <w:rPr>
          <w:rFonts w:ascii="SimSun" w:hAnsi="SimSun" w:eastAsia="SimSun" w:cs="SimSun"/>
          <w:sz w:val="19"/>
          <w:szCs w:val="19"/>
          <w:spacing w:val="16"/>
        </w:rPr>
        <w:t xml:space="preserve"> </w:t>
      </w:r>
      <w:r>
        <w:rPr>
          <w:rFonts w:ascii="SimSun" w:hAnsi="SimSun" w:eastAsia="SimSun" w:cs="SimSun"/>
          <w:sz w:val="19"/>
          <w:szCs w:val="19"/>
          <w:spacing w:val="9"/>
        </w:rPr>
        <w:t>于传统法律的事后追责机制，事前预防能以低成本鉴别违法行为并且</w:t>
      </w:r>
      <w:r>
        <w:rPr>
          <w:rFonts w:ascii="SimSun" w:hAnsi="SimSun" w:eastAsia="SimSun" w:cs="SimSun"/>
          <w:sz w:val="19"/>
          <w:szCs w:val="19"/>
          <w:spacing w:val="7"/>
        </w:rPr>
        <w:t xml:space="preserve"> </w:t>
      </w:r>
      <w:r>
        <w:rPr>
          <w:rFonts w:ascii="SimSun" w:hAnsi="SimSun" w:eastAsia="SimSun" w:cs="SimSun"/>
          <w:sz w:val="19"/>
          <w:szCs w:val="19"/>
          <w:spacing w:val="9"/>
        </w:rPr>
        <w:t>更为确定。①桑斯坦为政府规制进行辩护，并提出法院和行政机构改</w:t>
      </w:r>
    </w:p>
    <w:p>
      <w:pPr>
        <w:ind w:left="3"/>
        <w:spacing w:line="217" w:lineRule="auto"/>
        <w:rPr>
          <w:rFonts w:ascii="SimSun" w:hAnsi="SimSun" w:eastAsia="SimSun" w:cs="SimSun"/>
          <w:sz w:val="19"/>
          <w:szCs w:val="19"/>
        </w:rPr>
      </w:pPr>
      <w:r>
        <w:rPr>
          <w:rFonts w:ascii="SimSun" w:hAnsi="SimSun" w:eastAsia="SimSun" w:cs="SimSun"/>
          <w:sz w:val="19"/>
          <w:szCs w:val="19"/>
          <w:spacing w:val="-1"/>
        </w:rPr>
        <w:t>善规制方案的理论。②</w:t>
      </w:r>
    </w:p>
    <w:p>
      <w:pPr>
        <w:ind w:left="3" w:right="19" w:firstLine="440"/>
        <w:spacing w:before="149" w:line="340" w:lineRule="auto"/>
        <w:jc w:val="both"/>
        <w:rPr>
          <w:rFonts w:ascii="SimSun" w:hAnsi="SimSun" w:eastAsia="SimSun" w:cs="SimSun"/>
          <w:sz w:val="19"/>
          <w:szCs w:val="19"/>
        </w:rPr>
      </w:pPr>
      <w:r>
        <w:rPr>
          <w:rFonts w:ascii="SimSun" w:hAnsi="SimSun" w:eastAsia="SimSun" w:cs="SimSun"/>
          <w:sz w:val="19"/>
          <w:szCs w:val="19"/>
          <w:spacing w:val="10"/>
        </w:rPr>
        <w:t>政府清晰的监管权划分是监管实施的前提，考察美国、</w:t>
      </w:r>
      <w:r>
        <w:rPr>
          <w:rFonts w:ascii="SimSun" w:hAnsi="SimSun" w:eastAsia="SimSun" w:cs="SimSun"/>
          <w:sz w:val="19"/>
          <w:szCs w:val="19"/>
          <w:spacing w:val="9"/>
        </w:rPr>
        <w:t>英国等监</w:t>
      </w:r>
      <w:r>
        <w:rPr>
          <w:rFonts w:ascii="SimSun" w:hAnsi="SimSun" w:eastAsia="SimSun" w:cs="SimSun"/>
          <w:sz w:val="19"/>
          <w:szCs w:val="19"/>
        </w:rPr>
        <w:t xml:space="preserve"> </w:t>
      </w:r>
      <w:r>
        <w:rPr>
          <w:rFonts w:ascii="SimSun" w:hAnsi="SimSun" w:eastAsia="SimSun" w:cs="SimSun"/>
          <w:sz w:val="19"/>
          <w:szCs w:val="19"/>
          <w:spacing w:val="12"/>
        </w:rPr>
        <w:t>管机构的职权，均是由法律所确立③,而且政策部门与监管机构之间 </w:t>
      </w:r>
      <w:r>
        <w:rPr>
          <w:rFonts w:ascii="SimSun" w:hAnsi="SimSun" w:eastAsia="SimSun" w:cs="SimSun"/>
          <w:sz w:val="19"/>
          <w:szCs w:val="19"/>
          <w:spacing w:val="9"/>
        </w:rPr>
        <w:t>的权力配置在政企分开的基础上，保证监管机构的独立性，避免政策</w:t>
      </w:r>
      <w:r>
        <w:rPr>
          <w:rFonts w:ascii="SimSun" w:hAnsi="SimSun" w:eastAsia="SimSun" w:cs="SimSun"/>
          <w:sz w:val="19"/>
          <w:szCs w:val="19"/>
          <w:spacing w:val="3"/>
        </w:rPr>
        <w:t xml:space="preserve">  </w:t>
      </w:r>
      <w:r>
        <w:rPr>
          <w:rFonts w:ascii="SimSun" w:hAnsi="SimSun" w:eastAsia="SimSun" w:cs="SimSun"/>
          <w:sz w:val="19"/>
          <w:szCs w:val="19"/>
          <w:spacing w:val="12"/>
        </w:rPr>
        <w:t>部门对监管权进行干预。关于政策部门与监管机构之间的权力配置，</w:t>
      </w:r>
      <w:r>
        <w:rPr>
          <w:rFonts w:ascii="SimSun" w:hAnsi="SimSun" w:eastAsia="SimSun" w:cs="SimSun"/>
          <w:sz w:val="19"/>
          <w:szCs w:val="19"/>
          <w:spacing w:val="3"/>
        </w:rPr>
        <w:t xml:space="preserve"> </w:t>
      </w:r>
      <w:r>
        <w:rPr>
          <w:rFonts w:ascii="SimSun" w:hAnsi="SimSun" w:eastAsia="SimSun" w:cs="SimSun"/>
          <w:sz w:val="19"/>
          <w:szCs w:val="19"/>
          <w:spacing w:val="9"/>
        </w:rPr>
        <w:t>有平行关系和包容关系两种。平行关系是指监管机构独立于政策部门 </w:t>
      </w:r>
      <w:r>
        <w:rPr>
          <w:rFonts w:ascii="SimSun" w:hAnsi="SimSun" w:eastAsia="SimSun" w:cs="SimSun"/>
          <w:sz w:val="19"/>
          <w:szCs w:val="19"/>
          <w:spacing w:val="10"/>
        </w:rPr>
        <w:t>之外，二者分别履行政策职能与监管职能；包容关系是指监管机构作</w:t>
      </w:r>
      <w:r>
        <w:rPr>
          <w:rFonts w:ascii="SimSun" w:hAnsi="SimSun" w:eastAsia="SimSun" w:cs="SimSun"/>
          <w:sz w:val="19"/>
          <w:szCs w:val="19"/>
          <w:spacing w:val="1"/>
        </w:rPr>
        <w:t xml:space="preserve"> </w:t>
      </w:r>
      <w:r>
        <w:rPr>
          <w:rFonts w:ascii="SimSun" w:hAnsi="SimSun" w:eastAsia="SimSun" w:cs="SimSun"/>
          <w:sz w:val="19"/>
          <w:szCs w:val="19"/>
          <w:spacing w:val="9"/>
        </w:rPr>
        <w:t>为独立机构设立于政策部门之内。此外，两者之间的权力配置主要涉</w:t>
      </w:r>
      <w:r>
        <w:rPr>
          <w:rFonts w:ascii="SimSun" w:hAnsi="SimSun" w:eastAsia="SimSun" w:cs="SimSun"/>
          <w:sz w:val="19"/>
          <w:szCs w:val="19"/>
          <w:spacing w:val="3"/>
        </w:rPr>
        <w:t xml:space="preserve">  </w:t>
      </w:r>
      <w:r>
        <w:rPr>
          <w:rFonts w:ascii="SimSun" w:hAnsi="SimSun" w:eastAsia="SimSun" w:cs="SimSun"/>
          <w:sz w:val="19"/>
          <w:szCs w:val="19"/>
          <w:spacing w:val="12"/>
        </w:rPr>
        <w:t>及规则制定权与行政裁决权。前者主要是制定一般性的规范性文件，</w:t>
      </w:r>
    </w:p>
    <w:p>
      <w:pPr>
        <w:ind w:left="3"/>
        <w:spacing w:line="219" w:lineRule="auto"/>
        <w:rPr>
          <w:rFonts w:ascii="SimSun" w:hAnsi="SimSun" w:eastAsia="SimSun" w:cs="SimSun"/>
          <w:sz w:val="19"/>
          <w:szCs w:val="19"/>
        </w:rPr>
      </w:pPr>
      <w:r>
        <w:rPr>
          <w:rFonts w:ascii="SimSun" w:hAnsi="SimSun" w:eastAsia="SimSun" w:cs="SimSun"/>
          <w:sz w:val="19"/>
          <w:szCs w:val="19"/>
          <w:spacing w:val="6"/>
        </w:rPr>
        <w:t>而后者是适用法律规定的具体行政行为。◎</w:t>
      </w:r>
    </w:p>
    <w:p>
      <w:pPr>
        <w:ind w:left="453"/>
        <w:spacing w:before="203" w:line="219" w:lineRule="auto"/>
        <w:rPr>
          <w:rFonts w:ascii="SimSun" w:hAnsi="SimSun" w:eastAsia="SimSun" w:cs="SimSun"/>
          <w:sz w:val="19"/>
          <w:szCs w:val="19"/>
        </w:rPr>
      </w:pPr>
      <w:r>
        <w:rPr>
          <w:rFonts w:ascii="SimSun" w:hAnsi="SimSun" w:eastAsia="SimSun" w:cs="SimSun"/>
          <w:sz w:val="19"/>
          <w:szCs w:val="19"/>
          <w:spacing w:val="9"/>
        </w:rPr>
        <w:t>在我国，争议比较大的是监管机构是否有独立规则制定权。目前</w:t>
      </w:r>
    </w:p>
    <w:p>
      <w:pPr>
        <w:pStyle w:val="BodyText"/>
        <w:spacing w:line="256" w:lineRule="auto"/>
        <w:rPr/>
      </w:pPr>
      <w:r/>
    </w:p>
    <w:p>
      <w:pPr>
        <w:pStyle w:val="BodyText"/>
        <w:spacing w:line="257" w:lineRule="auto"/>
        <w:rPr/>
      </w:pPr>
      <w:r/>
    </w:p>
    <w:p>
      <w:pPr>
        <w:ind w:left="332" w:right="64" w:hanging="329"/>
        <w:spacing w:before="62" w:line="241" w:lineRule="auto"/>
        <w:rPr>
          <w:rFonts w:ascii="KaiTi" w:hAnsi="KaiTi" w:eastAsia="KaiTi" w:cs="KaiTi"/>
          <w:sz w:val="19"/>
          <w:szCs w:val="19"/>
        </w:rPr>
      </w:pPr>
      <w:r>
        <w:rPr>
          <w:rFonts w:ascii="KaiTi" w:hAnsi="KaiTi" w:eastAsia="KaiTi" w:cs="KaiTi"/>
          <w:sz w:val="19"/>
          <w:szCs w:val="19"/>
          <w:spacing w:val="-22"/>
        </w:rPr>
        <w:t>①</w:t>
      </w:r>
      <w:r>
        <w:rPr>
          <w:rFonts w:ascii="KaiTi" w:hAnsi="KaiTi" w:eastAsia="KaiTi" w:cs="KaiTi"/>
          <w:sz w:val="19"/>
          <w:szCs w:val="19"/>
          <w:spacing w:val="9"/>
        </w:rPr>
        <w:t xml:space="preserve"> </w:t>
      </w:r>
      <w:r>
        <w:rPr>
          <w:rFonts w:ascii="KaiTi" w:hAnsi="KaiTi" w:eastAsia="KaiTi" w:cs="KaiTi"/>
          <w:sz w:val="19"/>
          <w:szCs w:val="19"/>
          <w:spacing w:val="-22"/>
        </w:rPr>
        <w:t>[美]爱德华·</w:t>
      </w:r>
      <w:r>
        <w:rPr>
          <w:rFonts w:ascii="Times New Roman" w:hAnsi="Times New Roman" w:eastAsia="Times New Roman" w:cs="Times New Roman"/>
          <w:sz w:val="19"/>
          <w:szCs w:val="19"/>
          <w:spacing w:val="-22"/>
        </w:rPr>
        <w:t>L.</w:t>
      </w:r>
      <w:r>
        <w:rPr>
          <w:rFonts w:ascii="KaiTi" w:hAnsi="KaiTi" w:eastAsia="KaiTi" w:cs="KaiTi"/>
          <w:sz w:val="19"/>
          <w:szCs w:val="19"/>
          <w:spacing w:val="-22"/>
        </w:rPr>
        <w:t>格莱泽，安德烈·施莱弗</w:t>
      </w:r>
      <w:r>
        <w:rPr>
          <w:rFonts w:ascii="KaiTi" w:hAnsi="KaiTi" w:eastAsia="KaiTi" w:cs="KaiTi"/>
          <w:sz w:val="19"/>
          <w:szCs w:val="19"/>
          <w:spacing w:val="-23"/>
        </w:rPr>
        <w:t>.监管型政府的崛起//比较.吴敬琏，主</w:t>
      </w:r>
      <w:r>
        <w:rPr>
          <w:rFonts w:ascii="KaiTi" w:hAnsi="KaiTi" w:eastAsia="KaiTi" w:cs="KaiTi"/>
          <w:sz w:val="19"/>
          <w:szCs w:val="19"/>
        </w:rPr>
        <w:t xml:space="preserve"> </w:t>
      </w:r>
      <w:r>
        <w:rPr>
          <w:rFonts w:ascii="KaiTi" w:hAnsi="KaiTi" w:eastAsia="KaiTi" w:cs="KaiTi"/>
          <w:sz w:val="19"/>
          <w:szCs w:val="19"/>
          <w:spacing w:val="-13"/>
        </w:rPr>
        <w:t>编.北京：中信出版社，2002:59.</w:t>
      </w:r>
    </w:p>
    <w:p>
      <w:pPr>
        <w:spacing w:before="38" w:line="253" w:lineRule="exact"/>
        <w:rPr>
          <w:rFonts w:ascii="Times New Roman" w:hAnsi="Times New Roman" w:eastAsia="Times New Roman" w:cs="Times New Roman"/>
          <w:sz w:val="19"/>
          <w:szCs w:val="19"/>
        </w:rPr>
      </w:pPr>
      <w:r>
        <w:rPr>
          <w:rFonts w:ascii="SimSun" w:hAnsi="SimSun" w:eastAsia="SimSun" w:cs="SimSun"/>
          <w:sz w:val="19"/>
          <w:szCs w:val="19"/>
          <w:i/>
          <w:iCs/>
          <w:spacing w:val="-6"/>
          <w:w w:val="96"/>
          <w:position w:val="2"/>
        </w:rPr>
        <w:t>②</w:t>
      </w:r>
      <w:r>
        <w:rPr>
          <w:rFonts w:ascii="SimSun" w:hAnsi="SimSun" w:eastAsia="SimSun" w:cs="SimSun"/>
          <w:sz w:val="19"/>
          <w:szCs w:val="19"/>
          <w:spacing w:val="-6"/>
          <w:w w:val="96"/>
          <w:position w:val="2"/>
        </w:rPr>
        <w:t xml:space="preserve"> </w:t>
      </w:r>
      <w:r>
        <w:rPr>
          <w:rFonts w:ascii="Times New Roman" w:hAnsi="Times New Roman" w:eastAsia="Times New Roman" w:cs="Times New Roman"/>
          <w:sz w:val="19"/>
          <w:szCs w:val="19"/>
          <w:i/>
          <w:iCs/>
          <w:spacing w:val="-6"/>
          <w:w w:val="96"/>
          <w:position w:val="2"/>
        </w:rPr>
        <w:t>C.R.Sunstein,After the Rights Revohution:Reconceiving the Regulatory State.Harvard</w:t>
      </w:r>
    </w:p>
    <w:p>
      <w:pPr>
        <w:ind w:left="333"/>
        <w:spacing w:before="68"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University Press,199</w:t>
      </w:r>
      <w:r>
        <w:rPr>
          <w:rFonts w:ascii="Times New Roman" w:hAnsi="Times New Roman" w:eastAsia="Times New Roman" w:cs="Times New Roman"/>
          <w:sz w:val="19"/>
          <w:szCs w:val="19"/>
          <w:spacing w:val="-9"/>
        </w:rPr>
        <w:t>3.</w:t>
      </w:r>
    </w:p>
    <w:p>
      <w:pPr>
        <w:ind w:left="332" w:right="25" w:hanging="329"/>
        <w:spacing w:before="69" w:line="259" w:lineRule="auto"/>
        <w:rPr>
          <w:rFonts w:ascii="KaiTi" w:hAnsi="KaiTi" w:eastAsia="KaiTi" w:cs="KaiTi"/>
          <w:sz w:val="19"/>
          <w:szCs w:val="19"/>
        </w:rPr>
      </w:pPr>
      <w:r>
        <w:rPr>
          <w:rFonts w:ascii="KaiTi" w:hAnsi="KaiTi" w:eastAsia="KaiTi" w:cs="KaiTi"/>
          <w:sz w:val="19"/>
          <w:szCs w:val="19"/>
          <w:spacing w:val="-25"/>
        </w:rPr>
        <w:t>③</w:t>
      </w:r>
      <w:r>
        <w:rPr>
          <w:rFonts w:ascii="KaiTi" w:hAnsi="KaiTi" w:eastAsia="KaiTi" w:cs="KaiTi"/>
          <w:sz w:val="19"/>
          <w:szCs w:val="19"/>
          <w:spacing w:val="-25"/>
        </w:rPr>
        <w:t xml:space="preserve">  </w:t>
      </w:r>
      <w:r>
        <w:rPr>
          <w:rFonts w:ascii="KaiTi" w:hAnsi="KaiTi" w:eastAsia="KaiTi" w:cs="KaiTi"/>
          <w:sz w:val="19"/>
          <w:szCs w:val="19"/>
          <w:spacing w:val="-25"/>
        </w:rPr>
        <w:t>美国从1887年开始，相继出台《州际商务法》《联邦贸易委员会法》</w:t>
      </w:r>
      <w:r>
        <w:rPr>
          <w:rFonts w:ascii="KaiTi" w:hAnsi="KaiTi" w:eastAsia="KaiTi" w:cs="KaiTi"/>
          <w:sz w:val="19"/>
          <w:szCs w:val="19"/>
          <w:spacing w:val="-26"/>
        </w:rPr>
        <w:t>等法律，相</w:t>
      </w:r>
      <w:r>
        <w:rPr>
          <w:rFonts w:ascii="KaiTi" w:hAnsi="KaiTi" w:eastAsia="KaiTi" w:cs="KaiTi"/>
          <w:sz w:val="19"/>
          <w:szCs w:val="19"/>
        </w:rPr>
        <w:t xml:space="preserve"> </w:t>
      </w:r>
      <w:r>
        <w:rPr>
          <w:rFonts w:ascii="KaiTi" w:hAnsi="KaiTi" w:eastAsia="KaiTi" w:cs="KaiTi"/>
          <w:sz w:val="19"/>
          <w:szCs w:val="19"/>
          <w:spacing w:val="-21"/>
          <w:w w:val="97"/>
        </w:rPr>
        <w:t>继建立州际商务委员会、联邦贸易委员会、食品与药品监督管理局、联邦储备系</w:t>
      </w:r>
      <w:r>
        <w:rPr>
          <w:rFonts w:ascii="KaiTi" w:hAnsi="KaiTi" w:eastAsia="KaiTi" w:cs="KaiTi"/>
          <w:sz w:val="19"/>
          <w:szCs w:val="19"/>
          <w:spacing w:val="13"/>
        </w:rPr>
        <w:t xml:space="preserve"> </w:t>
      </w:r>
      <w:r>
        <w:rPr>
          <w:rFonts w:ascii="KaiTi" w:hAnsi="KaiTi" w:eastAsia="KaiTi" w:cs="KaiTi"/>
          <w:sz w:val="19"/>
          <w:szCs w:val="19"/>
          <w:spacing w:val="-24"/>
          <w:w w:val="98"/>
        </w:rPr>
        <w:t>统、联邦电力委员会等。</w:t>
      </w:r>
    </w:p>
    <w:p>
      <w:pPr>
        <w:ind w:left="332" w:hanging="329"/>
        <w:spacing w:before="60" w:line="259" w:lineRule="auto"/>
        <w:rPr>
          <w:rFonts w:ascii="KaiTi" w:hAnsi="KaiTi" w:eastAsia="KaiTi" w:cs="KaiTi"/>
          <w:sz w:val="19"/>
          <w:szCs w:val="19"/>
        </w:rPr>
      </w:pPr>
      <w:r>
        <w:rPr>
          <w:rFonts w:ascii="KaiTi" w:hAnsi="KaiTi" w:eastAsia="KaiTi" w:cs="KaiTi"/>
          <w:sz w:val="19"/>
          <w:szCs w:val="19"/>
          <w:spacing w:val="-18"/>
        </w:rPr>
        <w:t>④</w:t>
      </w:r>
      <w:r>
        <w:rPr>
          <w:rFonts w:ascii="KaiTi" w:hAnsi="KaiTi" w:eastAsia="KaiTi" w:cs="KaiTi"/>
          <w:sz w:val="19"/>
          <w:szCs w:val="19"/>
          <w:spacing w:val="60"/>
        </w:rPr>
        <w:t xml:space="preserve"> </w:t>
      </w:r>
      <w:r>
        <w:rPr>
          <w:rFonts w:ascii="KaiTi" w:hAnsi="KaiTi" w:eastAsia="KaiTi" w:cs="KaiTi"/>
          <w:sz w:val="19"/>
          <w:szCs w:val="19"/>
          <w:spacing w:val="-18"/>
        </w:rPr>
        <w:t>周汉华.基础设施产业政府监管权的配置.国家行政学院学报，2002(2):52-</w:t>
      </w:r>
      <w:r>
        <w:rPr>
          <w:rFonts w:ascii="KaiTi" w:hAnsi="KaiTi" w:eastAsia="KaiTi" w:cs="KaiTi"/>
          <w:sz w:val="19"/>
          <w:szCs w:val="19"/>
          <w:spacing w:val="-19"/>
        </w:rPr>
        <w:t>56;</w:t>
      </w:r>
      <w:r>
        <w:rPr>
          <w:rFonts w:ascii="KaiTi" w:hAnsi="KaiTi" w:eastAsia="KaiTi" w:cs="KaiTi"/>
          <w:sz w:val="19"/>
          <w:szCs w:val="19"/>
          <w:spacing w:val="-19"/>
        </w:rPr>
        <w:t xml:space="preserve"> </w:t>
      </w:r>
      <w:r>
        <w:rPr>
          <w:rFonts w:ascii="KaiTi" w:hAnsi="KaiTi" w:eastAsia="KaiTi" w:cs="KaiTi"/>
          <w:sz w:val="19"/>
          <w:szCs w:val="19"/>
          <w:spacing w:val="-17"/>
          <w:w w:val="98"/>
        </w:rPr>
        <w:t>周汉华.行业监管机构的行政程序研究：以电力行业为例.经济社会体制比较，</w:t>
      </w:r>
      <w:r>
        <w:rPr>
          <w:rFonts w:ascii="KaiTi" w:hAnsi="KaiTi" w:eastAsia="KaiTi" w:cs="KaiTi"/>
          <w:sz w:val="19"/>
          <w:szCs w:val="19"/>
          <w:spacing w:val="18"/>
        </w:rPr>
        <w:t xml:space="preserve"> </w:t>
      </w:r>
      <w:r>
        <w:rPr>
          <w:rFonts w:ascii="KaiTi" w:hAnsi="KaiTi" w:eastAsia="KaiTi" w:cs="KaiTi"/>
          <w:sz w:val="19"/>
          <w:szCs w:val="19"/>
          <w:spacing w:val="-16"/>
        </w:rPr>
        <w:t>2004(2):39-47.(周汉华是国内最早从法学角度对行政监管权力</w:t>
      </w:r>
      <w:r>
        <w:rPr>
          <w:rFonts w:ascii="KaiTi" w:hAnsi="KaiTi" w:eastAsia="KaiTi" w:cs="KaiTi"/>
          <w:sz w:val="19"/>
          <w:szCs w:val="19"/>
          <w:spacing w:val="-17"/>
        </w:rPr>
        <w:t>配置和监管机</w:t>
      </w:r>
      <w:r>
        <w:rPr>
          <w:rFonts w:ascii="KaiTi" w:hAnsi="KaiTi" w:eastAsia="KaiTi" w:cs="KaiTi"/>
          <w:sz w:val="19"/>
          <w:szCs w:val="19"/>
        </w:rPr>
        <w:t xml:space="preserve"> </w:t>
      </w:r>
      <w:r>
        <w:rPr>
          <w:rFonts w:ascii="KaiTi" w:hAnsi="KaiTi" w:eastAsia="KaiTi" w:cs="KaiTi"/>
          <w:sz w:val="19"/>
          <w:szCs w:val="19"/>
          <w:spacing w:val="-16"/>
          <w:w w:val="92"/>
        </w:rPr>
        <w:t>构行政程序问题进行研究的学者。)</w:t>
      </w:r>
    </w:p>
    <w:p>
      <w:pPr>
        <w:spacing w:line="259" w:lineRule="auto"/>
        <w:sectPr>
          <w:headerReference w:type="default" r:id="rId1"/>
          <w:pgSz w:w="7330" w:h="12480"/>
          <w:pgMar w:top="366" w:right="555" w:bottom="400" w:left="686" w:header="0" w:footer="0" w:gutter="0"/>
        </w:sectPr>
        <w:rPr>
          <w:rFonts w:ascii="KaiTi" w:hAnsi="KaiTi" w:eastAsia="KaiTi" w:cs="KaiTi"/>
          <w:sz w:val="19"/>
          <w:szCs w:val="19"/>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11"/>
        </w:rPr>
        <w:t>各部门对平台的监管多采取部门规章、政策性文件等方式，比较有争</w:t>
      </w:r>
      <w:r>
        <w:rPr>
          <w:rFonts w:ascii="SimSun" w:hAnsi="SimSun" w:eastAsia="SimSun" w:cs="SimSun"/>
          <w:sz w:val="21"/>
          <w:szCs w:val="21"/>
          <w:spacing w:val="8"/>
        </w:rPr>
        <w:t xml:space="preserve">  </w:t>
      </w:r>
      <w:r>
        <w:rPr>
          <w:rFonts w:ascii="SimSun" w:hAnsi="SimSun" w:eastAsia="SimSun" w:cs="SimSun"/>
          <w:sz w:val="21"/>
          <w:szCs w:val="21"/>
          <w:spacing w:val="-11"/>
        </w:rPr>
        <w:t>议的是司、局红头文件的合法性问题，即在包容关系下，部门内设监</w:t>
      </w:r>
      <w:r>
        <w:rPr>
          <w:rFonts w:ascii="SimSun" w:hAnsi="SimSun" w:eastAsia="SimSun" w:cs="SimSun"/>
          <w:sz w:val="21"/>
          <w:szCs w:val="21"/>
          <w:spacing w:val="8"/>
        </w:rPr>
        <w:t xml:space="preserve">  </w:t>
      </w:r>
      <w:r>
        <w:rPr>
          <w:rFonts w:ascii="SimSun" w:hAnsi="SimSun" w:eastAsia="SimSun" w:cs="SimSun"/>
          <w:sz w:val="21"/>
          <w:szCs w:val="21"/>
          <w:spacing w:val="-6"/>
        </w:rPr>
        <w:t>管机构是否有规则制定权(需要着重指出的是，</w:t>
      </w:r>
      <w:r>
        <w:rPr>
          <w:rFonts w:ascii="SimSun" w:hAnsi="SimSun" w:eastAsia="SimSun" w:cs="SimSun"/>
          <w:sz w:val="21"/>
          <w:szCs w:val="21"/>
          <w:spacing w:val="-7"/>
        </w:rPr>
        <w:t>并非所有的司、局都 </w:t>
      </w:r>
      <w:r>
        <w:rPr>
          <w:rFonts w:ascii="SimSun" w:hAnsi="SimSun" w:eastAsia="SimSun" w:cs="SimSun"/>
          <w:sz w:val="21"/>
          <w:szCs w:val="21"/>
          <w:spacing w:val="-7"/>
        </w:rPr>
        <w:t>在部门内设监管机构，绝大部分司、局均属于纯粹的内</w:t>
      </w:r>
      <w:r>
        <w:rPr>
          <w:rFonts w:ascii="SimSun" w:hAnsi="SimSun" w:eastAsia="SimSun" w:cs="SimSun"/>
          <w:sz w:val="21"/>
          <w:szCs w:val="21"/>
          <w:spacing w:val="-8"/>
        </w:rPr>
        <w:t>部办事机构，</w:t>
      </w:r>
      <w:r>
        <w:rPr>
          <w:rFonts w:ascii="SimSun" w:hAnsi="SimSun" w:eastAsia="SimSun" w:cs="SimSun"/>
          <w:sz w:val="21"/>
          <w:szCs w:val="21"/>
        </w:rPr>
        <w:t xml:space="preserve"> </w:t>
      </w:r>
      <w:r>
        <w:rPr>
          <w:rFonts w:ascii="SimSun" w:hAnsi="SimSun" w:eastAsia="SimSun" w:cs="SimSun"/>
          <w:sz w:val="21"/>
          <w:szCs w:val="21"/>
          <w:spacing w:val="-3"/>
        </w:rPr>
        <w:t>不得对外行使任何职权),是否仅仅因为监管机构隶属于政策部门就 </w:t>
      </w:r>
      <w:r>
        <w:rPr>
          <w:rFonts w:ascii="SimSun" w:hAnsi="SimSun" w:eastAsia="SimSun" w:cs="SimSun"/>
          <w:sz w:val="21"/>
          <w:szCs w:val="21"/>
          <w:spacing w:val="-7"/>
        </w:rPr>
        <w:t>丧失了制定规则的合法性?该问题的解决可以通过对相关司局进行立</w:t>
      </w:r>
      <w:r>
        <w:rPr>
          <w:rFonts w:ascii="SimSun" w:hAnsi="SimSun" w:eastAsia="SimSun" w:cs="SimSun"/>
          <w:sz w:val="21"/>
          <w:szCs w:val="21"/>
        </w:rPr>
        <w:t xml:space="preserve">  </w:t>
      </w:r>
      <w:r>
        <w:rPr>
          <w:rFonts w:ascii="SimSun" w:hAnsi="SimSun" w:eastAsia="SimSun" w:cs="SimSun"/>
          <w:sz w:val="21"/>
          <w:szCs w:val="21"/>
          <w:spacing w:val="-11"/>
        </w:rPr>
        <w:t>法授权的方式，或者改革现有的行政框架、设立独立的监管机构并赋</w:t>
      </w:r>
      <w:r>
        <w:rPr>
          <w:rFonts w:ascii="SimSun" w:hAnsi="SimSun" w:eastAsia="SimSun" w:cs="SimSun"/>
          <w:sz w:val="21"/>
          <w:szCs w:val="21"/>
          <w:spacing w:val="8"/>
        </w:rPr>
        <w:t xml:space="preserve">  </w:t>
      </w:r>
      <w:r>
        <w:rPr>
          <w:rFonts w:ascii="SimSun" w:hAnsi="SimSun" w:eastAsia="SimSun" w:cs="SimSun"/>
          <w:sz w:val="21"/>
          <w:szCs w:val="21"/>
          <w:spacing w:val="-12"/>
        </w:rPr>
        <w:t>予制定权的方式来解决。</w:t>
      </w:r>
    </w:p>
    <w:p>
      <w:pPr>
        <w:ind w:right="74" w:firstLine="410"/>
        <w:spacing w:before="169" w:line="297" w:lineRule="auto"/>
        <w:jc w:val="both"/>
        <w:rPr>
          <w:rFonts w:ascii="SimSun" w:hAnsi="SimSun" w:eastAsia="SimSun" w:cs="SimSun"/>
          <w:sz w:val="21"/>
          <w:szCs w:val="21"/>
        </w:rPr>
      </w:pPr>
      <w:r>
        <w:rPr>
          <w:rFonts w:ascii="SimSun" w:hAnsi="SimSun" w:eastAsia="SimSun" w:cs="SimSun"/>
          <w:sz w:val="21"/>
          <w:szCs w:val="21"/>
          <w:spacing w:val="-10"/>
        </w:rPr>
        <w:t>还有政策部门与监管部门在行政决策权方面的权力配置问题。行</w:t>
      </w:r>
      <w:r>
        <w:rPr>
          <w:rFonts w:ascii="SimSun" w:hAnsi="SimSun" w:eastAsia="SimSun" w:cs="SimSun"/>
          <w:sz w:val="21"/>
          <w:szCs w:val="21"/>
        </w:rPr>
        <w:t xml:space="preserve"> </w:t>
      </w:r>
      <w:r>
        <w:rPr>
          <w:rFonts w:ascii="SimSun" w:hAnsi="SimSun" w:eastAsia="SimSun" w:cs="SimSun"/>
          <w:sz w:val="21"/>
          <w:szCs w:val="21"/>
          <w:spacing w:val="-11"/>
        </w:rPr>
        <w:t>政裁决权是行政机关对具体行为进行处理的权力，包括发放与吊销许</w:t>
      </w:r>
      <w:r>
        <w:rPr>
          <w:rFonts w:ascii="SimSun" w:hAnsi="SimSun" w:eastAsia="SimSun" w:cs="SimSun"/>
          <w:sz w:val="21"/>
          <w:szCs w:val="21"/>
          <w:spacing w:val="16"/>
        </w:rPr>
        <w:t xml:space="preserve"> </w:t>
      </w:r>
      <w:r>
        <w:rPr>
          <w:rFonts w:ascii="SimSun" w:hAnsi="SimSun" w:eastAsia="SimSun" w:cs="SimSun"/>
          <w:sz w:val="21"/>
          <w:szCs w:val="21"/>
          <w:spacing w:val="-10"/>
        </w:rPr>
        <w:t>可证、行政检查、行政处罚、裁决争议以及其他各种适</w:t>
      </w:r>
      <w:r>
        <w:rPr>
          <w:rFonts w:ascii="SimSun" w:hAnsi="SimSun" w:eastAsia="SimSun" w:cs="SimSun"/>
          <w:sz w:val="21"/>
          <w:szCs w:val="21"/>
          <w:spacing w:val="-11"/>
        </w:rPr>
        <w:t>用法律规范的</w:t>
      </w:r>
      <w:r>
        <w:rPr>
          <w:rFonts w:ascii="SimSun" w:hAnsi="SimSun" w:eastAsia="SimSun" w:cs="SimSun"/>
          <w:sz w:val="21"/>
          <w:szCs w:val="21"/>
        </w:rPr>
        <w:t xml:space="preserve"> </w:t>
      </w:r>
      <w:r>
        <w:rPr>
          <w:rFonts w:ascii="SimSun" w:hAnsi="SimSun" w:eastAsia="SimSun" w:cs="SimSun"/>
          <w:sz w:val="21"/>
          <w:szCs w:val="21"/>
          <w:spacing w:val="-10"/>
        </w:rPr>
        <w:t>活动。从监管权的统一来看，政策部门应该</w:t>
      </w:r>
      <w:r>
        <w:rPr>
          <w:rFonts w:ascii="SimSun" w:hAnsi="SimSun" w:eastAsia="SimSun" w:cs="SimSun"/>
          <w:sz w:val="21"/>
          <w:szCs w:val="21"/>
          <w:spacing w:val="-11"/>
        </w:rPr>
        <w:t>专司宏观政策职能，不行</w:t>
      </w:r>
      <w:r>
        <w:rPr>
          <w:rFonts w:ascii="SimSun" w:hAnsi="SimSun" w:eastAsia="SimSun" w:cs="SimSun"/>
          <w:sz w:val="21"/>
          <w:szCs w:val="21"/>
        </w:rPr>
        <w:t xml:space="preserve"> </w:t>
      </w:r>
      <w:r>
        <w:rPr>
          <w:rFonts w:ascii="SimSun" w:hAnsi="SimSun" w:eastAsia="SimSun" w:cs="SimSun"/>
          <w:sz w:val="21"/>
          <w:szCs w:val="21"/>
          <w:spacing w:val="-11"/>
        </w:rPr>
        <w:t>使监管权或者行政裁决权，而应由监管机构专司裁决职能。</w:t>
      </w:r>
    </w:p>
    <w:p>
      <w:pPr>
        <w:pStyle w:val="BodyText"/>
        <w:spacing w:line="353" w:lineRule="auto"/>
        <w:rPr/>
      </w:pPr>
      <w:r/>
    </w:p>
    <w:p>
      <w:pPr>
        <w:ind w:left="3"/>
        <w:spacing w:before="81" w:line="218" w:lineRule="auto"/>
        <w:rPr>
          <w:rFonts w:ascii="YouYuan" w:hAnsi="YouYuan" w:eastAsia="YouYuan" w:cs="YouYuan"/>
          <w:sz w:val="25"/>
          <w:szCs w:val="25"/>
        </w:rPr>
      </w:pPr>
      <w:r>
        <w:rPr>
          <w:rFonts w:ascii="YouYuan" w:hAnsi="YouYuan" w:eastAsia="YouYuan" w:cs="YouYuan"/>
          <w:sz w:val="25"/>
          <w:szCs w:val="25"/>
          <w:b/>
          <w:bCs/>
          <w:spacing w:val="-15"/>
        </w:rPr>
        <w:t>产业监管与反垄断执法的划分</w:t>
      </w:r>
    </w:p>
    <w:p>
      <w:pPr>
        <w:pStyle w:val="BodyText"/>
        <w:spacing w:line="386" w:lineRule="auto"/>
        <w:rPr/>
      </w:pPr>
      <w:r/>
    </w:p>
    <w:p>
      <w:pPr>
        <w:ind w:right="48" w:firstLine="410"/>
        <w:spacing w:before="68" w:line="303" w:lineRule="auto"/>
        <w:jc w:val="both"/>
        <w:rPr>
          <w:rFonts w:ascii="SimSun" w:hAnsi="SimSun" w:eastAsia="SimSun" w:cs="SimSun"/>
          <w:sz w:val="21"/>
          <w:szCs w:val="21"/>
        </w:rPr>
      </w:pPr>
      <w:r>
        <w:rPr>
          <w:rFonts w:ascii="SimSun" w:hAnsi="SimSun" w:eastAsia="SimSun" w:cs="SimSun"/>
          <w:sz w:val="21"/>
          <w:szCs w:val="21"/>
          <w:spacing w:val="-2"/>
        </w:rPr>
        <w:t>尽管我们对于监管存在着诸多的不同理解，监管也涉及不同的</w:t>
      </w:r>
      <w:r>
        <w:rPr>
          <w:rFonts w:ascii="SimSun" w:hAnsi="SimSun" w:eastAsia="SimSun" w:cs="SimSun"/>
          <w:sz w:val="21"/>
          <w:szCs w:val="21"/>
          <w:spacing w:val="9"/>
        </w:rPr>
        <w:t xml:space="preserve"> </w:t>
      </w:r>
      <w:r>
        <w:rPr>
          <w:rFonts w:ascii="SimSun" w:hAnsi="SimSun" w:eastAsia="SimSun" w:cs="SimSun"/>
          <w:sz w:val="21"/>
          <w:szCs w:val="21"/>
          <w:spacing w:val="-10"/>
        </w:rPr>
        <w:t>法律部门，但是可以大致将其划分为行政监管</w:t>
      </w:r>
      <w:r>
        <w:rPr>
          <w:rFonts w:ascii="SimSun" w:hAnsi="SimSun" w:eastAsia="SimSun" w:cs="SimSun"/>
          <w:sz w:val="21"/>
          <w:szCs w:val="21"/>
          <w:spacing w:val="-11"/>
        </w:rPr>
        <w:t>、经济监管和社会监管</w:t>
      </w:r>
      <w:r>
        <w:rPr>
          <w:rFonts w:ascii="SimSun" w:hAnsi="SimSun" w:eastAsia="SimSun" w:cs="SimSun"/>
          <w:sz w:val="21"/>
          <w:szCs w:val="21"/>
        </w:rPr>
        <w:t xml:space="preserve"> </w:t>
      </w:r>
      <w:r>
        <w:rPr>
          <w:rFonts w:ascii="SimSun" w:hAnsi="SimSun" w:eastAsia="SimSun" w:cs="SimSun"/>
          <w:sz w:val="21"/>
          <w:szCs w:val="21"/>
          <w:spacing w:val="-11"/>
        </w:rPr>
        <w:t>三类。在这些监管之中，最早的是价格监管，之后有了产业监管，进</w:t>
      </w:r>
      <w:r>
        <w:rPr>
          <w:rFonts w:ascii="SimSun" w:hAnsi="SimSun" w:eastAsia="SimSun" w:cs="SimSun"/>
          <w:sz w:val="21"/>
          <w:szCs w:val="21"/>
          <w:spacing w:val="16"/>
        </w:rPr>
        <w:t xml:space="preserve"> </w:t>
      </w:r>
      <w:r>
        <w:rPr>
          <w:rFonts w:ascii="SimSun" w:hAnsi="SimSun" w:eastAsia="SimSun" w:cs="SimSun"/>
          <w:sz w:val="21"/>
          <w:szCs w:val="21"/>
          <w:spacing w:val="-10"/>
        </w:rPr>
        <w:t>而被逐步泛化使用，延伸到经济、社会和行政等领域。</w:t>
      </w:r>
      <w:r>
        <w:rPr>
          <w:rFonts w:ascii="SimSun" w:hAnsi="SimSun" w:eastAsia="SimSun" w:cs="SimSun"/>
          <w:sz w:val="21"/>
          <w:szCs w:val="21"/>
          <w:spacing w:val="-11"/>
        </w:rPr>
        <w:t>当一个概念的</w:t>
      </w:r>
      <w:r>
        <w:rPr>
          <w:rFonts w:ascii="SimSun" w:hAnsi="SimSun" w:eastAsia="SimSun" w:cs="SimSun"/>
          <w:sz w:val="21"/>
          <w:szCs w:val="21"/>
        </w:rPr>
        <w:t xml:space="preserve"> </w:t>
      </w:r>
      <w:r>
        <w:rPr>
          <w:rFonts w:ascii="SimSun" w:hAnsi="SimSun" w:eastAsia="SimSun" w:cs="SimSun"/>
          <w:sz w:val="21"/>
          <w:szCs w:val="21"/>
          <w:spacing w:val="-10"/>
        </w:rPr>
        <w:t>外延扩大的时候，其内涵必然减少，当代对“</w:t>
      </w:r>
      <w:r>
        <w:rPr>
          <w:rFonts w:ascii="SimSun" w:hAnsi="SimSun" w:eastAsia="SimSun" w:cs="SimSun"/>
          <w:sz w:val="21"/>
          <w:szCs w:val="21"/>
          <w:spacing w:val="-11"/>
        </w:rPr>
        <w:t>监管”一词的使用尽管</w:t>
      </w:r>
      <w:r>
        <w:rPr>
          <w:rFonts w:ascii="SimSun" w:hAnsi="SimSun" w:eastAsia="SimSun" w:cs="SimSun"/>
          <w:sz w:val="21"/>
          <w:szCs w:val="21"/>
        </w:rPr>
        <w:t xml:space="preserve"> </w:t>
      </w:r>
      <w:r>
        <w:rPr>
          <w:rFonts w:ascii="SimSun" w:hAnsi="SimSun" w:eastAsia="SimSun" w:cs="SimSun"/>
          <w:sz w:val="21"/>
          <w:szCs w:val="21"/>
          <w:spacing w:val="-4"/>
        </w:rPr>
        <w:t>不断扩展，但对市场调控而言，核心的概念仍然是价格监管和产业</w:t>
      </w:r>
      <w:r>
        <w:rPr>
          <w:rFonts w:ascii="SimSun" w:hAnsi="SimSun" w:eastAsia="SimSun" w:cs="SimSun"/>
          <w:sz w:val="21"/>
          <w:szCs w:val="21"/>
          <w:spacing w:val="12"/>
        </w:rPr>
        <w:t xml:space="preserve"> </w:t>
      </w:r>
      <w:r>
        <w:rPr>
          <w:rFonts w:ascii="SimSun" w:hAnsi="SimSun" w:eastAsia="SimSun" w:cs="SimSun"/>
          <w:sz w:val="21"/>
          <w:szCs w:val="21"/>
          <w:spacing w:val="-9"/>
        </w:rPr>
        <w:t>监管。</w:t>
      </w:r>
    </w:p>
    <w:p>
      <w:pPr>
        <w:ind w:right="67" w:firstLine="410"/>
        <w:spacing w:before="101" w:line="292" w:lineRule="auto"/>
        <w:jc w:val="both"/>
        <w:rPr>
          <w:rFonts w:ascii="SimSun" w:hAnsi="SimSun" w:eastAsia="SimSun" w:cs="SimSun"/>
          <w:sz w:val="21"/>
          <w:szCs w:val="21"/>
        </w:rPr>
      </w:pPr>
      <w:r>
        <w:rPr>
          <w:rFonts w:ascii="SimSun" w:hAnsi="SimSun" w:eastAsia="SimSun" w:cs="SimSun"/>
          <w:sz w:val="21"/>
          <w:szCs w:val="21"/>
          <w:spacing w:val="-10"/>
        </w:rPr>
        <w:t>产业监管的重点是公共领域，由于基础设施产业仍然需要强有力</w:t>
      </w:r>
      <w:r>
        <w:rPr>
          <w:rFonts w:ascii="SimSun" w:hAnsi="SimSun" w:eastAsia="SimSun" w:cs="SimSun"/>
          <w:sz w:val="21"/>
          <w:szCs w:val="21"/>
          <w:spacing w:val="6"/>
        </w:rPr>
        <w:t xml:space="preserve"> </w:t>
      </w:r>
      <w:r>
        <w:rPr>
          <w:rFonts w:ascii="SimSun" w:hAnsi="SimSun" w:eastAsia="SimSun" w:cs="SimSun"/>
          <w:sz w:val="21"/>
          <w:szCs w:val="21"/>
          <w:spacing w:val="-10"/>
        </w:rPr>
        <w:t>的监管机构，竞争机构的介入在某些情况下必</w:t>
      </w:r>
      <w:r>
        <w:rPr>
          <w:rFonts w:ascii="SimSun" w:hAnsi="SimSun" w:eastAsia="SimSun" w:cs="SimSun"/>
          <w:sz w:val="21"/>
          <w:szCs w:val="21"/>
          <w:spacing w:val="-11"/>
        </w:rPr>
        <w:t>然会引起两者之间的管</w:t>
      </w:r>
      <w:r>
        <w:rPr>
          <w:rFonts w:ascii="SimSun" w:hAnsi="SimSun" w:eastAsia="SimSun" w:cs="SimSun"/>
          <w:sz w:val="21"/>
          <w:szCs w:val="21"/>
        </w:rPr>
        <w:t xml:space="preserve"> </w:t>
      </w:r>
      <w:r>
        <w:rPr>
          <w:rFonts w:ascii="SimSun" w:hAnsi="SimSun" w:eastAsia="SimSun" w:cs="SimSun"/>
          <w:sz w:val="21"/>
          <w:szCs w:val="21"/>
          <w:spacing w:val="-10"/>
        </w:rPr>
        <w:t>辖权冲突，有时甚至会出现两个机构有不同结论的情况</w:t>
      </w:r>
      <w:r>
        <w:rPr>
          <w:rFonts w:ascii="SimSun" w:hAnsi="SimSun" w:eastAsia="SimSun" w:cs="SimSun"/>
          <w:sz w:val="21"/>
          <w:szCs w:val="21"/>
          <w:spacing w:val="-11"/>
        </w:rPr>
        <w:t>，使经营者的</w:t>
      </w:r>
      <w:r>
        <w:rPr>
          <w:rFonts w:ascii="SimSun" w:hAnsi="SimSun" w:eastAsia="SimSun" w:cs="SimSun"/>
          <w:sz w:val="21"/>
          <w:szCs w:val="21"/>
        </w:rPr>
        <w:t xml:space="preserve"> </w:t>
      </w:r>
      <w:r>
        <w:rPr>
          <w:rFonts w:ascii="SimSun" w:hAnsi="SimSun" w:eastAsia="SimSun" w:cs="SimSun"/>
          <w:sz w:val="21"/>
          <w:szCs w:val="21"/>
          <w:spacing w:val="-10"/>
        </w:rPr>
        <w:t>决策面临诸多不确定性。同时，两者在目标、手段上也存在明显的差</w:t>
      </w:r>
    </w:p>
    <w:p>
      <w:pPr>
        <w:spacing w:line="292" w:lineRule="auto"/>
        <w:sectPr>
          <w:headerReference w:type="default" r:id="rId554"/>
          <w:pgSz w:w="7330" w:h="12480"/>
          <w:pgMar w:top="866" w:right="694" w:bottom="400" w:left="549" w:header="703" w:footer="0" w:gutter="0"/>
        </w:sectPr>
        <w:rPr>
          <w:rFonts w:ascii="SimSun" w:hAnsi="SimSun" w:eastAsia="SimSun" w:cs="SimSun"/>
          <w:sz w:val="21"/>
          <w:szCs w:val="21"/>
        </w:rPr>
      </w:pPr>
    </w:p>
    <w:p>
      <w:pPr>
        <w:pStyle w:val="BodyText"/>
        <w:spacing w:line="255" w:lineRule="auto"/>
        <w:rPr/>
      </w:pPr>
      <w:r>
        <w:drawing>
          <wp:anchor distT="0" distB="0" distL="0" distR="0" simplePos="0" relativeHeight="256495616" behindDoc="0" locked="0" layoutInCell="0" allowOverlap="1">
            <wp:simplePos x="0" y="0"/>
            <wp:positionH relativeFrom="page">
              <wp:posOffset>482583</wp:posOffset>
            </wp:positionH>
            <wp:positionV relativeFrom="page">
              <wp:posOffset>6915175</wp:posOffset>
            </wp:positionV>
            <wp:extent cx="1181138" cy="6350"/>
            <wp:effectExtent l="0" t="0" r="0" b="0"/>
            <wp:wrapNone/>
            <wp:docPr id="422" name="IM 422"/>
            <wp:cNvGraphicFramePr/>
            <a:graphic>
              <a:graphicData uri="http://schemas.openxmlformats.org/drawingml/2006/picture">
                <pic:pic>
                  <pic:nvPicPr>
                    <pic:cNvPr id="422" name="IM 422"/>
                    <pic:cNvPicPr/>
                  </pic:nvPicPr>
                  <pic:blipFill>
                    <a:blip r:embed="rId556"/>
                    <a:stretch>
                      <a:fillRect/>
                    </a:stretch>
                  </pic:blipFill>
                  <pic:spPr>
                    <a:xfrm rot="0">
                      <a:off x="0" y="0"/>
                      <a:ext cx="1181138" cy="6350"/>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5" w:lineRule="auto"/>
        <w:rPr/>
      </w:pPr>
      <w:r/>
    </w:p>
    <w:p>
      <w:pPr>
        <w:ind w:left="95"/>
        <w:spacing w:before="61" w:line="380" w:lineRule="exact"/>
        <w:rPr>
          <w:rFonts w:ascii="SimSun" w:hAnsi="SimSun" w:eastAsia="SimSun" w:cs="SimSun"/>
          <w:sz w:val="19"/>
          <w:szCs w:val="19"/>
        </w:rPr>
      </w:pPr>
      <w:r>
        <w:rPr>
          <w:rFonts w:ascii="SimSun" w:hAnsi="SimSun" w:eastAsia="SimSun" w:cs="SimSun"/>
          <w:sz w:val="19"/>
          <w:szCs w:val="19"/>
          <w:spacing w:val="10"/>
          <w:position w:val="14"/>
        </w:rPr>
        <w:t>异。为此，需要从制度安排上避免出现管辖权冲突，在监管机构</w:t>
      </w:r>
      <w:r>
        <w:rPr>
          <w:rFonts w:ascii="SimSun" w:hAnsi="SimSun" w:eastAsia="SimSun" w:cs="SimSun"/>
          <w:sz w:val="19"/>
          <w:szCs w:val="19"/>
          <w:spacing w:val="9"/>
          <w:position w:val="14"/>
        </w:rPr>
        <w:t>与竞</w:t>
      </w:r>
    </w:p>
    <w:p>
      <w:pPr>
        <w:ind w:left="95"/>
        <w:spacing w:line="218" w:lineRule="auto"/>
        <w:rPr>
          <w:rFonts w:ascii="SimSun" w:hAnsi="SimSun" w:eastAsia="SimSun" w:cs="SimSun"/>
          <w:sz w:val="19"/>
          <w:szCs w:val="19"/>
        </w:rPr>
      </w:pPr>
      <w:r>
        <w:rPr>
          <w:rFonts w:ascii="SimSun" w:hAnsi="SimSun" w:eastAsia="SimSun" w:cs="SimSun"/>
          <w:sz w:val="19"/>
          <w:szCs w:val="19"/>
          <w:spacing w:val="8"/>
        </w:rPr>
        <w:t>争机构之间合理配置权力，降低经营风险和社会成本。</w:t>
      </w:r>
    </w:p>
    <w:p>
      <w:pPr>
        <w:ind w:left="95" w:firstLine="440"/>
        <w:spacing w:before="116" w:line="359" w:lineRule="auto"/>
        <w:jc w:val="both"/>
        <w:rPr>
          <w:rFonts w:ascii="SimSun" w:hAnsi="SimSun" w:eastAsia="SimSun" w:cs="SimSun"/>
          <w:sz w:val="19"/>
          <w:szCs w:val="19"/>
        </w:rPr>
      </w:pPr>
      <w:r>
        <w:rPr>
          <w:rFonts w:ascii="SimSun" w:hAnsi="SimSun" w:eastAsia="SimSun" w:cs="SimSun"/>
          <w:sz w:val="19"/>
          <w:szCs w:val="19"/>
          <w:spacing w:val="11"/>
        </w:rPr>
        <w:t>监管权力与反垄断权力的冲突在我国广泛存在，在制度规则中，</w:t>
      </w:r>
      <w:r>
        <w:rPr>
          <w:rFonts w:ascii="SimSun" w:hAnsi="SimSun" w:eastAsia="SimSun" w:cs="SimSun"/>
          <w:sz w:val="19"/>
          <w:szCs w:val="19"/>
          <w:spacing w:val="15"/>
        </w:rPr>
        <w:t xml:space="preserve"> </w:t>
      </w:r>
      <w:r>
        <w:rPr>
          <w:rFonts w:ascii="SimSun" w:hAnsi="SimSun" w:eastAsia="SimSun" w:cs="SimSun"/>
          <w:sz w:val="19"/>
          <w:szCs w:val="19"/>
          <w:spacing w:val="9"/>
        </w:rPr>
        <w:t>主要体现在法律对监管与反垄断的权力划分尚不清晰，以及实践中行</w:t>
      </w:r>
    </w:p>
    <w:p>
      <w:pPr>
        <w:ind w:left="95"/>
        <w:spacing w:line="219" w:lineRule="auto"/>
        <w:rPr>
          <w:rFonts w:ascii="SimSun" w:hAnsi="SimSun" w:eastAsia="SimSun" w:cs="SimSun"/>
          <w:sz w:val="19"/>
          <w:szCs w:val="19"/>
        </w:rPr>
      </w:pPr>
      <w:r>
        <w:rPr>
          <w:rFonts w:ascii="SimSun" w:hAnsi="SimSun" w:eastAsia="SimSun" w:cs="SimSun"/>
          <w:sz w:val="19"/>
          <w:szCs w:val="19"/>
          <w:spacing w:val="7"/>
        </w:rPr>
        <w:t>业与反垄断双重监管广泛存在。</w:t>
      </w:r>
    </w:p>
    <w:p>
      <w:pPr>
        <w:ind w:left="95" w:right="56" w:firstLine="440"/>
        <w:spacing w:before="138" w:line="347" w:lineRule="auto"/>
        <w:jc w:val="both"/>
        <w:rPr>
          <w:rFonts w:ascii="SimSun" w:hAnsi="SimSun" w:eastAsia="SimSun" w:cs="SimSun"/>
          <w:sz w:val="19"/>
          <w:szCs w:val="19"/>
        </w:rPr>
      </w:pPr>
      <w:r>
        <w:rPr>
          <w:rFonts w:ascii="SimSun" w:hAnsi="SimSun" w:eastAsia="SimSun" w:cs="SimSun"/>
          <w:sz w:val="19"/>
          <w:szCs w:val="19"/>
          <w:spacing w:val="9"/>
        </w:rPr>
        <w:t>首先，监管与反垄断权力划分不明晰。《反垄断法》第五十五条</w:t>
      </w:r>
      <w:r>
        <w:rPr>
          <w:rFonts w:ascii="SimSun" w:hAnsi="SimSun" w:eastAsia="SimSun" w:cs="SimSun"/>
          <w:sz w:val="19"/>
          <w:szCs w:val="19"/>
          <w:spacing w:val="15"/>
        </w:rPr>
        <w:t xml:space="preserve"> </w:t>
      </w:r>
      <w:r>
        <w:rPr>
          <w:rFonts w:ascii="SimSun" w:hAnsi="SimSun" w:eastAsia="SimSun" w:cs="SimSun"/>
          <w:sz w:val="19"/>
          <w:szCs w:val="19"/>
          <w:spacing w:val="9"/>
        </w:rPr>
        <w:t>和第五十六条规定了知识产权行为、农业生产者及农村经济组织在农</w:t>
      </w:r>
      <w:r>
        <w:rPr>
          <w:rFonts w:ascii="SimSun" w:hAnsi="SimSun" w:eastAsia="SimSun" w:cs="SimSun"/>
          <w:sz w:val="19"/>
          <w:szCs w:val="19"/>
          <w:spacing w:val="10"/>
        </w:rPr>
        <w:t xml:space="preserve"> </w:t>
      </w:r>
      <w:r>
        <w:rPr>
          <w:rFonts w:ascii="SimSun" w:hAnsi="SimSun" w:eastAsia="SimSun" w:cs="SimSun"/>
          <w:sz w:val="19"/>
          <w:szCs w:val="19"/>
          <w:spacing w:val="9"/>
        </w:rPr>
        <w:t>产品生产、加工、销售、运输、储存等经营活动中实施的联合或者协 </w:t>
      </w:r>
      <w:r>
        <w:rPr>
          <w:rFonts w:ascii="SimSun" w:hAnsi="SimSun" w:eastAsia="SimSun" w:cs="SimSun"/>
          <w:sz w:val="19"/>
          <w:szCs w:val="19"/>
          <w:spacing w:val="9"/>
        </w:rPr>
        <w:t>同行为不适用本法的情形，《反垄断法》第七条关注的是“国有经济</w:t>
      </w:r>
      <w:r>
        <w:rPr>
          <w:rFonts w:ascii="SimSun" w:hAnsi="SimSun" w:eastAsia="SimSun" w:cs="SimSun"/>
          <w:sz w:val="19"/>
          <w:szCs w:val="19"/>
          <w:spacing w:val="8"/>
        </w:rPr>
        <w:t xml:space="preserve"> </w:t>
      </w:r>
      <w:r>
        <w:rPr>
          <w:rFonts w:ascii="SimSun" w:hAnsi="SimSun" w:eastAsia="SimSun" w:cs="SimSun"/>
          <w:sz w:val="19"/>
          <w:szCs w:val="19"/>
          <w:spacing w:val="9"/>
        </w:rPr>
        <w:t>占控制地位的关系国民经济命脉和国家安全的行业以及依法实行专营</w:t>
      </w:r>
      <w:r>
        <w:rPr>
          <w:rFonts w:ascii="SimSun" w:hAnsi="SimSun" w:eastAsia="SimSun" w:cs="SimSun"/>
          <w:sz w:val="19"/>
          <w:szCs w:val="19"/>
          <w:spacing w:val="11"/>
        </w:rPr>
        <w:t xml:space="preserve"> </w:t>
      </w:r>
      <w:r>
        <w:rPr>
          <w:rFonts w:ascii="SimSun" w:hAnsi="SimSun" w:eastAsia="SimSun" w:cs="SimSun"/>
          <w:sz w:val="19"/>
          <w:szCs w:val="19"/>
          <w:spacing w:val="9"/>
        </w:rPr>
        <w:t>专卖的行业”。但反垄断机关的地位和产业监管部门的级别不同，在 </w:t>
      </w:r>
      <w:r>
        <w:rPr>
          <w:rFonts w:ascii="SimSun" w:hAnsi="SimSun" w:eastAsia="SimSun" w:cs="SimSun"/>
          <w:sz w:val="19"/>
          <w:szCs w:val="19"/>
          <w:spacing w:val="9"/>
        </w:rPr>
        <w:t>权限划分上存在诸多不明之处，法律中也没有明确区分管制行业，对</w:t>
      </w:r>
      <w:r>
        <w:rPr>
          <w:rFonts w:ascii="SimSun" w:hAnsi="SimSun" w:eastAsia="SimSun" w:cs="SimSun"/>
          <w:sz w:val="19"/>
          <w:szCs w:val="19"/>
          <w:spacing w:val="7"/>
        </w:rPr>
        <w:t xml:space="preserve"> </w:t>
      </w:r>
      <w:r>
        <w:rPr>
          <w:rFonts w:ascii="SimSun" w:hAnsi="SimSun" w:eastAsia="SimSun" w:cs="SimSun"/>
          <w:sz w:val="19"/>
          <w:szCs w:val="19"/>
          <w:spacing w:val="9"/>
        </w:rPr>
        <w:t>管制的界定也存在着抽象、笼统地使用“行政许可”等同一概念而不</w:t>
      </w:r>
    </w:p>
    <w:p>
      <w:pPr>
        <w:ind w:left="95"/>
        <w:spacing w:line="220" w:lineRule="auto"/>
        <w:rPr>
          <w:rFonts w:ascii="SimSun" w:hAnsi="SimSun" w:eastAsia="SimSun" w:cs="SimSun"/>
          <w:sz w:val="19"/>
          <w:szCs w:val="19"/>
        </w:rPr>
      </w:pPr>
      <w:r>
        <w:rPr>
          <w:rFonts w:ascii="SimSun" w:hAnsi="SimSun" w:eastAsia="SimSun" w:cs="SimSun"/>
          <w:sz w:val="19"/>
          <w:szCs w:val="19"/>
          <w:spacing w:val="6"/>
        </w:rPr>
        <w:t>实质区分不同情形的情况。</w:t>
      </w:r>
    </w:p>
    <w:p>
      <w:pPr>
        <w:ind w:right="54" w:firstLine="535"/>
        <w:spacing w:before="121" w:line="350" w:lineRule="auto"/>
        <w:jc w:val="both"/>
        <w:rPr>
          <w:rFonts w:ascii="SimSun" w:hAnsi="SimSun" w:eastAsia="SimSun" w:cs="SimSun"/>
          <w:sz w:val="19"/>
          <w:szCs w:val="19"/>
        </w:rPr>
      </w:pPr>
      <w:r>
        <w:rPr>
          <w:rFonts w:ascii="SimSun" w:hAnsi="SimSun" w:eastAsia="SimSun" w:cs="SimSun"/>
          <w:sz w:val="19"/>
          <w:szCs w:val="19"/>
          <w:spacing w:val="17"/>
        </w:rPr>
        <w:t>其次，对于反垄断法是否当然适用于管制行业、反垄断法在管</w:t>
      </w:r>
      <w:r>
        <w:rPr>
          <w:rFonts w:ascii="SimSun" w:hAnsi="SimSun" w:eastAsia="SimSun" w:cs="SimSun"/>
          <w:sz w:val="19"/>
          <w:szCs w:val="19"/>
        </w:rPr>
        <w:t xml:space="preserve"> </w:t>
      </w:r>
      <w:r>
        <w:rPr>
          <w:rFonts w:ascii="SimSun" w:hAnsi="SimSun" w:eastAsia="SimSun" w:cs="SimSun"/>
          <w:sz w:val="19"/>
          <w:szCs w:val="19"/>
          <w:spacing w:val="12"/>
        </w:rPr>
        <w:t>制行业实施时如何协调反垄断规制与产业管制的关系等问题，尚无定</w:t>
      </w:r>
      <w:r>
        <w:rPr>
          <w:rFonts w:ascii="SimSun" w:hAnsi="SimSun" w:eastAsia="SimSun" w:cs="SimSun"/>
          <w:sz w:val="19"/>
          <w:szCs w:val="19"/>
          <w:spacing w:val="16"/>
        </w:rPr>
        <w:t xml:space="preserve"> </w:t>
      </w:r>
      <w:r>
        <w:rPr>
          <w:rFonts w:ascii="SimSun" w:hAnsi="SimSun" w:eastAsia="SimSun" w:cs="SimSun"/>
          <w:sz w:val="19"/>
          <w:szCs w:val="19"/>
          <w:spacing w:val="12"/>
        </w:rPr>
        <w:t>论。曾引起广泛讨论的管制行业尤其是专营专卖行业是否需要适用反</w:t>
      </w:r>
      <w:r>
        <w:rPr>
          <w:rFonts w:ascii="SimSun" w:hAnsi="SimSun" w:eastAsia="SimSun" w:cs="SimSun"/>
          <w:sz w:val="19"/>
          <w:szCs w:val="19"/>
          <w:spacing w:val="10"/>
        </w:rPr>
        <w:t xml:space="preserve"> </w:t>
      </w:r>
      <w:r>
        <w:rPr>
          <w:rFonts w:ascii="SimSun" w:hAnsi="SimSun" w:eastAsia="SimSun" w:cs="SimSun"/>
          <w:sz w:val="19"/>
          <w:szCs w:val="19"/>
          <w:spacing w:val="12"/>
        </w:rPr>
        <w:t>垄断法的关键在于：是否有法律明确排除反垄断法在某管制行业的适</w:t>
      </w:r>
      <w:r>
        <w:rPr>
          <w:rFonts w:ascii="SimSun" w:hAnsi="SimSun" w:eastAsia="SimSun" w:cs="SimSun"/>
          <w:sz w:val="19"/>
          <w:szCs w:val="19"/>
          <w:spacing w:val="11"/>
        </w:rPr>
        <w:t xml:space="preserve"> </w:t>
      </w:r>
      <w:r>
        <w:rPr>
          <w:rFonts w:ascii="SimSun" w:hAnsi="SimSun" w:eastAsia="SimSun" w:cs="SimSun"/>
          <w:sz w:val="19"/>
          <w:szCs w:val="19"/>
          <w:spacing w:val="13"/>
        </w:rPr>
        <w:t>用或者排除某管制行业某些行为的适用。①有学者认为，由于我国的</w:t>
      </w:r>
      <w:r>
        <w:rPr>
          <w:rFonts w:ascii="SimSun" w:hAnsi="SimSun" w:eastAsia="SimSun" w:cs="SimSun"/>
          <w:sz w:val="19"/>
          <w:szCs w:val="19"/>
          <w:spacing w:val="8"/>
        </w:rPr>
        <w:t xml:space="preserve"> </w:t>
      </w:r>
      <w:r>
        <w:rPr>
          <w:rFonts w:ascii="SimSun" w:hAnsi="SimSun" w:eastAsia="SimSun" w:cs="SimSun"/>
          <w:sz w:val="19"/>
          <w:szCs w:val="19"/>
          <w:spacing w:val="13"/>
        </w:rPr>
        <w:t>《反垄断法》没有明确对受管制行业进行豁免，因此在</w:t>
      </w:r>
      <w:r>
        <w:rPr>
          <w:rFonts w:ascii="SimSun" w:hAnsi="SimSun" w:eastAsia="SimSun" w:cs="SimSun"/>
          <w:sz w:val="19"/>
          <w:szCs w:val="19"/>
          <w:spacing w:val="12"/>
        </w:rPr>
        <w:t>管制行业也适</w:t>
      </w:r>
      <w:r>
        <w:rPr>
          <w:rFonts w:ascii="SimSun" w:hAnsi="SimSun" w:eastAsia="SimSun" w:cs="SimSun"/>
          <w:sz w:val="19"/>
          <w:szCs w:val="19"/>
        </w:rPr>
        <w:t xml:space="preserve"> </w:t>
      </w:r>
      <w:r>
        <w:rPr>
          <w:rFonts w:ascii="SimSun" w:hAnsi="SimSun" w:eastAsia="SimSun" w:cs="SimSun"/>
          <w:sz w:val="19"/>
          <w:szCs w:val="19"/>
          <w:spacing w:val="12"/>
        </w:rPr>
        <w:t>用。在这一领域中，典型的例子是欧盟试图采用反垄断法对银行业的</w:t>
      </w:r>
      <w:r>
        <w:rPr>
          <w:rFonts w:ascii="SimSun" w:hAnsi="SimSun" w:eastAsia="SimSun" w:cs="SimSun"/>
          <w:sz w:val="19"/>
          <w:szCs w:val="19"/>
          <w:spacing w:val="18"/>
        </w:rPr>
        <w:t xml:space="preserve"> </w:t>
      </w:r>
      <w:r>
        <w:rPr>
          <w:rFonts w:ascii="SimSun" w:hAnsi="SimSun" w:eastAsia="SimSun" w:cs="SimSun"/>
          <w:sz w:val="19"/>
          <w:szCs w:val="19"/>
          <w:spacing w:val="12"/>
        </w:rPr>
        <w:t>经营进行调整，但银行业是传统产业监管部门中的重点领域，从主体 </w:t>
      </w:r>
      <w:r>
        <w:rPr>
          <w:rFonts w:ascii="SimSun" w:hAnsi="SimSun" w:eastAsia="SimSun" w:cs="SimSun"/>
          <w:sz w:val="19"/>
          <w:szCs w:val="19"/>
          <w:spacing w:val="13"/>
        </w:rPr>
        <w:t>资格到具体行为都有非常全面的规则和相对独立的权限，欧盟的尝试</w:t>
      </w:r>
    </w:p>
    <w:p>
      <w:pPr>
        <w:ind w:left="95"/>
        <w:spacing w:line="219" w:lineRule="auto"/>
        <w:rPr>
          <w:rFonts w:ascii="SimSun" w:hAnsi="SimSun" w:eastAsia="SimSun" w:cs="SimSun"/>
          <w:sz w:val="19"/>
          <w:szCs w:val="19"/>
        </w:rPr>
      </w:pPr>
      <w:r>
        <w:rPr>
          <w:rFonts w:ascii="SimSun" w:hAnsi="SimSun" w:eastAsia="SimSun" w:cs="SimSun"/>
          <w:sz w:val="19"/>
          <w:szCs w:val="19"/>
          <w:spacing w:val="7"/>
        </w:rPr>
        <w:t>也停留在征求意见的阶段，仅仅处在探索之中。</w:t>
      </w:r>
    </w:p>
    <w:p>
      <w:pPr>
        <w:spacing w:before="165" w:line="219" w:lineRule="auto"/>
        <w:jc w:val="right"/>
        <w:rPr>
          <w:rFonts w:ascii="SimSun" w:hAnsi="SimSun" w:eastAsia="SimSun" w:cs="SimSun"/>
          <w:sz w:val="19"/>
          <w:szCs w:val="19"/>
        </w:rPr>
      </w:pPr>
      <w:r>
        <w:rPr>
          <w:rFonts w:ascii="SimSun" w:hAnsi="SimSun" w:eastAsia="SimSun" w:cs="SimSun"/>
          <w:sz w:val="19"/>
          <w:szCs w:val="19"/>
          <w:spacing w:val="11"/>
        </w:rPr>
        <w:t>再次，实践中的产业监管和反垄断之间的关系也是各有不同的。</w:t>
      </w:r>
    </w:p>
    <w:p>
      <w:pPr>
        <w:pStyle w:val="BodyText"/>
        <w:spacing w:line="442" w:lineRule="auto"/>
        <w:rPr/>
      </w:pPr>
      <w:r/>
    </w:p>
    <w:p>
      <w:pPr>
        <w:ind w:left="95"/>
        <w:spacing w:before="52" w:line="220" w:lineRule="auto"/>
        <w:rPr>
          <w:rFonts w:ascii="KaiTi" w:hAnsi="KaiTi" w:eastAsia="KaiTi" w:cs="KaiTi"/>
          <w:sz w:val="16"/>
          <w:szCs w:val="16"/>
        </w:rPr>
      </w:pPr>
      <w:r>
        <w:rPr>
          <w:rFonts w:ascii="KaiTi" w:hAnsi="KaiTi" w:eastAsia="KaiTi" w:cs="KaiTi"/>
          <w:sz w:val="16"/>
          <w:szCs w:val="16"/>
          <w:spacing w:val="7"/>
        </w:rPr>
        <w:t>①</w:t>
      </w:r>
      <w:r>
        <w:rPr>
          <w:rFonts w:ascii="KaiTi" w:hAnsi="KaiTi" w:eastAsia="KaiTi" w:cs="KaiTi"/>
          <w:sz w:val="16"/>
          <w:szCs w:val="16"/>
          <w:spacing w:val="57"/>
        </w:rPr>
        <w:t xml:space="preserve"> </w:t>
      </w:r>
      <w:r>
        <w:rPr>
          <w:rFonts w:ascii="KaiTi" w:hAnsi="KaiTi" w:eastAsia="KaiTi" w:cs="KaiTi"/>
          <w:sz w:val="16"/>
          <w:szCs w:val="16"/>
          <w:spacing w:val="7"/>
        </w:rPr>
        <w:t>孟雁北.论我国反垄断法在管制行业实施的特征.天津法学，2019</w:t>
      </w:r>
      <w:r>
        <w:rPr>
          <w:rFonts w:ascii="KaiTi" w:hAnsi="KaiTi" w:eastAsia="KaiTi" w:cs="KaiTi"/>
          <w:sz w:val="16"/>
          <w:szCs w:val="16"/>
          <w:spacing w:val="6"/>
        </w:rPr>
        <w:t>(3):44-49.</w:t>
      </w:r>
    </w:p>
    <w:p>
      <w:pPr>
        <w:spacing w:line="220" w:lineRule="auto"/>
        <w:sectPr>
          <w:headerReference w:type="default" r:id="rId555"/>
          <w:pgSz w:w="7330" w:h="12480"/>
          <w:pgMar w:top="578" w:right="535" w:bottom="400" w:left="614" w:header="412" w:footer="0" w:gutter="0"/>
        </w:sectPr>
        <w:rPr>
          <w:rFonts w:ascii="KaiTi" w:hAnsi="KaiTi" w:eastAsia="KaiTi" w:cs="KaiTi"/>
          <w:sz w:val="16"/>
          <w:szCs w:val="16"/>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left="104"/>
        <w:spacing w:before="69" w:line="303" w:lineRule="auto"/>
        <w:jc w:val="both"/>
        <w:rPr>
          <w:rFonts w:ascii="SimSun" w:hAnsi="SimSun" w:eastAsia="SimSun" w:cs="SimSun"/>
          <w:sz w:val="21"/>
          <w:szCs w:val="21"/>
        </w:rPr>
      </w:pPr>
      <w:r>
        <w:rPr>
          <w:rFonts w:ascii="SimSun" w:hAnsi="SimSun" w:eastAsia="SimSun" w:cs="SimSun"/>
          <w:sz w:val="21"/>
          <w:szCs w:val="21"/>
          <w:spacing w:val="-7"/>
        </w:rPr>
        <w:t>反垄断执法之中已经开始出现管制行业反垄断的情形</w:t>
      </w:r>
      <w:r>
        <w:rPr>
          <w:rFonts w:ascii="SimSun" w:hAnsi="SimSun" w:eastAsia="SimSun" w:cs="SimSun"/>
          <w:sz w:val="21"/>
          <w:szCs w:val="21"/>
          <w:spacing w:val="-8"/>
        </w:rPr>
        <w:t>。在中国，水、</w:t>
      </w:r>
      <w:r>
        <w:rPr>
          <w:rFonts w:ascii="SimSun" w:hAnsi="SimSun" w:eastAsia="SimSun" w:cs="SimSun"/>
          <w:sz w:val="21"/>
          <w:szCs w:val="21"/>
        </w:rPr>
        <w:t xml:space="preserve"> </w:t>
      </w:r>
      <w:r>
        <w:rPr>
          <w:rFonts w:ascii="SimSun" w:hAnsi="SimSun" w:eastAsia="SimSun" w:cs="SimSun"/>
          <w:sz w:val="21"/>
          <w:szCs w:val="21"/>
          <w:spacing w:val="-11"/>
        </w:rPr>
        <w:t>电、煤、气、军工、航空、机场、金融等行业存在大量价格管制和准</w:t>
      </w:r>
      <w:r>
        <w:rPr>
          <w:rFonts w:ascii="SimSun" w:hAnsi="SimSun" w:eastAsia="SimSun" w:cs="SimSun"/>
          <w:sz w:val="21"/>
          <w:szCs w:val="21"/>
          <w:spacing w:val="9"/>
        </w:rPr>
        <w:t xml:space="preserve">  </w:t>
      </w:r>
      <w:r>
        <w:rPr>
          <w:rFonts w:ascii="SimSun" w:hAnsi="SimSun" w:eastAsia="SimSun" w:cs="SimSun"/>
          <w:sz w:val="21"/>
          <w:szCs w:val="21"/>
          <w:spacing w:val="-1"/>
        </w:rPr>
        <w:t>入管制，反垄断法在这些行业仍有适用的空间。2021年11月20日，</w:t>
      </w:r>
      <w:r>
        <w:rPr>
          <w:rFonts w:ascii="SimSun" w:hAnsi="SimSun" w:eastAsia="SimSun" w:cs="SimSun"/>
          <w:sz w:val="21"/>
          <w:szCs w:val="21"/>
          <w:spacing w:val="7"/>
        </w:rPr>
        <w:t xml:space="preserve"> </w:t>
      </w:r>
      <w:r>
        <w:rPr>
          <w:rFonts w:ascii="SimSun" w:hAnsi="SimSun" w:eastAsia="SimSun" w:cs="SimSun"/>
          <w:sz w:val="21"/>
          <w:szCs w:val="21"/>
          <w:spacing w:val="-4"/>
        </w:rPr>
        <w:t>国家市场监管总局通报，因为新设百信银行未申报经营者集中的行</w:t>
      </w:r>
      <w:r>
        <w:rPr>
          <w:rFonts w:ascii="SimSun" w:hAnsi="SimSun" w:eastAsia="SimSun" w:cs="SimSun"/>
          <w:sz w:val="21"/>
          <w:szCs w:val="21"/>
          <w:spacing w:val="7"/>
        </w:rPr>
        <w:t xml:space="preserve">  </w:t>
      </w:r>
      <w:r>
        <w:rPr>
          <w:rFonts w:ascii="SimSun" w:hAnsi="SimSun" w:eastAsia="SimSun" w:cs="SimSun"/>
          <w:sz w:val="21"/>
          <w:szCs w:val="21"/>
          <w:spacing w:val="-3"/>
        </w:rPr>
        <w:t>为，对百信银行的两个股东——中信银行和百</w:t>
      </w:r>
      <w:r>
        <w:rPr>
          <w:rFonts w:ascii="SimSun" w:hAnsi="SimSun" w:eastAsia="SimSun" w:cs="SimSun"/>
          <w:sz w:val="21"/>
          <w:szCs w:val="21"/>
          <w:spacing w:val="-4"/>
        </w:rPr>
        <w:t>度各罚款50万元。在</w:t>
      </w:r>
      <w:r>
        <w:rPr>
          <w:rFonts w:ascii="SimSun" w:hAnsi="SimSun" w:eastAsia="SimSun" w:cs="SimSun"/>
          <w:sz w:val="21"/>
          <w:szCs w:val="21"/>
        </w:rPr>
        <w:t xml:space="preserve">  </w:t>
      </w:r>
      <w:r>
        <w:rPr>
          <w:rFonts w:ascii="SimSun" w:hAnsi="SimSun" w:eastAsia="SimSun" w:cs="SimSun"/>
          <w:sz w:val="21"/>
          <w:szCs w:val="21"/>
          <w:spacing w:val="-11"/>
        </w:rPr>
        <w:t>反垄断机关“三合一”之前，也曾经存在对银行收费、公路收费的各</w:t>
      </w:r>
      <w:r>
        <w:rPr>
          <w:rFonts w:ascii="SimSun" w:hAnsi="SimSun" w:eastAsia="SimSun" w:cs="SimSun"/>
          <w:sz w:val="21"/>
          <w:szCs w:val="21"/>
          <w:spacing w:val="9"/>
        </w:rPr>
        <w:t xml:space="preserve">  </w:t>
      </w:r>
      <w:r>
        <w:rPr>
          <w:rFonts w:ascii="SimSun" w:hAnsi="SimSun" w:eastAsia="SimSun" w:cs="SimSun"/>
          <w:sz w:val="21"/>
          <w:szCs w:val="21"/>
          <w:spacing w:val="-13"/>
        </w:rPr>
        <w:t>种反垄断处罚。</w:t>
      </w:r>
    </w:p>
    <w:p>
      <w:pPr>
        <w:ind w:right="67" w:firstLine="534"/>
        <w:spacing w:before="112" w:line="297" w:lineRule="auto"/>
        <w:jc w:val="both"/>
        <w:rPr>
          <w:rFonts w:ascii="SimSun" w:hAnsi="SimSun" w:eastAsia="SimSun" w:cs="SimSun"/>
          <w:sz w:val="21"/>
          <w:szCs w:val="21"/>
        </w:rPr>
      </w:pPr>
      <w:r>
        <w:rPr>
          <w:rFonts w:ascii="SimSun" w:hAnsi="SimSun" w:eastAsia="SimSun" w:cs="SimSun"/>
          <w:sz w:val="21"/>
          <w:szCs w:val="21"/>
          <w:spacing w:val="-4"/>
        </w:rPr>
        <w:t>当下我国的《反不正当竞争法》有专门对公共事业单</w:t>
      </w:r>
      <w:r>
        <w:rPr>
          <w:rFonts w:ascii="SimSun" w:hAnsi="SimSun" w:eastAsia="SimSun" w:cs="SimSun"/>
          <w:sz w:val="21"/>
          <w:szCs w:val="21"/>
          <w:spacing w:val="-5"/>
        </w:rPr>
        <w:t>位不公平</w:t>
      </w:r>
      <w:r>
        <w:rPr>
          <w:rFonts w:ascii="SimSun" w:hAnsi="SimSun" w:eastAsia="SimSun" w:cs="SimSun"/>
          <w:sz w:val="21"/>
          <w:szCs w:val="21"/>
        </w:rPr>
        <w:t xml:space="preserve"> </w:t>
      </w:r>
      <w:r>
        <w:rPr>
          <w:rFonts w:ascii="SimSun" w:hAnsi="SimSun" w:eastAsia="SimSun" w:cs="SimSun"/>
          <w:sz w:val="21"/>
          <w:szCs w:val="21"/>
          <w:spacing w:val="-7"/>
        </w:rPr>
        <w:t>竞争行为的明确界定，《反垄断法》中也明确界定了行政垄断以及公</w:t>
      </w:r>
      <w:r>
        <w:rPr>
          <w:rFonts w:ascii="SimSun" w:hAnsi="SimSun" w:eastAsia="SimSun" w:cs="SimSun"/>
          <w:sz w:val="21"/>
          <w:szCs w:val="21"/>
          <w:spacing w:val="5"/>
        </w:rPr>
        <w:t xml:space="preserve"> </w:t>
      </w:r>
      <w:r>
        <w:rPr>
          <w:rFonts w:ascii="SimSun" w:hAnsi="SimSun" w:eastAsia="SimSun" w:cs="SimSun"/>
          <w:sz w:val="21"/>
          <w:szCs w:val="21"/>
        </w:rPr>
        <w:t>平竞争审查，从而导致产业管制与反垄断的划分问题较为突出，与</w:t>
      </w:r>
      <w:r>
        <w:rPr>
          <w:rFonts w:ascii="SimSun" w:hAnsi="SimSun" w:eastAsia="SimSun" w:cs="SimSun"/>
          <w:sz w:val="21"/>
          <w:szCs w:val="21"/>
          <w:spacing w:val="10"/>
        </w:rPr>
        <w:t xml:space="preserve"> </w:t>
      </w:r>
      <w:r>
        <w:rPr>
          <w:rFonts w:ascii="SimSun" w:hAnsi="SimSun" w:eastAsia="SimSun" w:cs="SimSun"/>
          <w:sz w:val="21"/>
          <w:szCs w:val="21"/>
          <w:spacing w:val="1"/>
        </w:rPr>
        <w:t>《价格法》中的基本框架存在着分歧，并不存在统一清晰的理论和</w:t>
      </w:r>
      <w:r>
        <w:rPr>
          <w:rFonts w:ascii="SimSun" w:hAnsi="SimSun" w:eastAsia="SimSun" w:cs="SimSun"/>
          <w:sz w:val="21"/>
          <w:szCs w:val="21"/>
          <w:spacing w:val="2"/>
        </w:rPr>
        <w:t xml:space="preserve"> </w:t>
      </w:r>
      <w:r>
        <w:rPr>
          <w:rFonts w:ascii="SimSun" w:hAnsi="SimSun" w:eastAsia="SimSun" w:cs="SimSun"/>
          <w:sz w:val="21"/>
          <w:szCs w:val="21"/>
          <w:spacing w:val="20"/>
        </w:rPr>
        <w:t>界定。</w:t>
      </w:r>
    </w:p>
    <w:p>
      <w:pPr>
        <w:pStyle w:val="BodyText"/>
        <w:spacing w:line="423" w:lineRule="auto"/>
        <w:rPr/>
      </w:pPr>
      <w:r/>
    </w:p>
    <w:p>
      <w:pPr>
        <w:ind w:left="108"/>
        <w:spacing w:before="69" w:line="222" w:lineRule="auto"/>
        <w:rPr>
          <w:rFonts w:ascii="SimHei" w:hAnsi="SimHei" w:eastAsia="SimHei" w:cs="SimHei"/>
          <w:sz w:val="21"/>
          <w:szCs w:val="21"/>
        </w:rPr>
      </w:pPr>
      <w:r>
        <w:rPr>
          <w:rFonts w:ascii="SimHei" w:hAnsi="SimHei" w:eastAsia="SimHei" w:cs="SimHei"/>
          <w:sz w:val="21"/>
          <w:szCs w:val="21"/>
          <w:b/>
          <w:bCs/>
          <w:spacing w:val="26"/>
        </w:rPr>
        <w:t>从细分产业到综合性产业的监管权配置</w:t>
      </w:r>
    </w:p>
    <w:p>
      <w:pPr>
        <w:pStyle w:val="BodyText"/>
        <w:spacing w:line="389" w:lineRule="auto"/>
        <w:rPr/>
      </w:pPr>
      <w:r/>
    </w:p>
    <w:p>
      <w:pPr>
        <w:ind w:left="104" w:right="73" w:firstLine="429"/>
        <w:spacing w:before="68" w:line="290" w:lineRule="auto"/>
        <w:jc w:val="both"/>
        <w:rPr>
          <w:rFonts w:ascii="SimSun" w:hAnsi="SimSun" w:eastAsia="SimSun" w:cs="SimSun"/>
          <w:sz w:val="21"/>
          <w:szCs w:val="21"/>
        </w:rPr>
      </w:pPr>
      <w:r>
        <w:rPr>
          <w:rFonts w:ascii="SimSun" w:hAnsi="SimSun" w:eastAsia="SimSun" w:cs="SimSun"/>
          <w:sz w:val="21"/>
          <w:szCs w:val="21"/>
          <w:spacing w:val="-4"/>
        </w:rPr>
        <w:t>平台企业广泛进入与核心业务相关的相邻市场和与核心业务不</w:t>
      </w:r>
      <w:r>
        <w:rPr>
          <w:rFonts w:ascii="SimSun" w:hAnsi="SimSun" w:eastAsia="SimSun" w:cs="SimSun"/>
          <w:sz w:val="21"/>
          <w:szCs w:val="21"/>
          <w:spacing w:val="18"/>
        </w:rPr>
        <w:t xml:space="preserve"> </w:t>
      </w:r>
      <w:r>
        <w:rPr>
          <w:rFonts w:ascii="SimSun" w:hAnsi="SimSun" w:eastAsia="SimSun" w:cs="SimSun"/>
          <w:sz w:val="21"/>
          <w:szCs w:val="21"/>
          <w:spacing w:val="-11"/>
        </w:rPr>
        <w:t>存在关联或关联较弱的领域。监管机构面临的是线上线下一体化和互</w:t>
      </w:r>
      <w:r>
        <w:rPr>
          <w:rFonts w:ascii="SimSun" w:hAnsi="SimSun" w:eastAsia="SimSun" w:cs="SimSun"/>
          <w:sz w:val="21"/>
          <w:szCs w:val="21"/>
          <w:spacing w:val="16"/>
        </w:rPr>
        <w:t xml:space="preserve"> </w:t>
      </w:r>
      <w:r>
        <w:rPr>
          <w:rFonts w:ascii="SimSun" w:hAnsi="SimSun" w:eastAsia="SimSun" w:cs="SimSun"/>
          <w:sz w:val="21"/>
          <w:szCs w:val="21"/>
          <w:spacing w:val="-10"/>
        </w:rPr>
        <w:t>联网与传统行业界限模糊的现状。线上线下</w:t>
      </w:r>
      <w:r>
        <w:rPr>
          <w:rFonts w:ascii="SimSun" w:hAnsi="SimSun" w:eastAsia="SimSun" w:cs="SimSun"/>
          <w:sz w:val="21"/>
          <w:szCs w:val="21"/>
          <w:spacing w:val="-11"/>
        </w:rPr>
        <w:t>一体化，互联网企业与传</w:t>
      </w:r>
      <w:r>
        <w:rPr>
          <w:rFonts w:ascii="SimSun" w:hAnsi="SimSun" w:eastAsia="SimSun" w:cs="SimSun"/>
          <w:sz w:val="21"/>
          <w:szCs w:val="21"/>
        </w:rPr>
        <w:t xml:space="preserve"> </w:t>
      </w:r>
      <w:r>
        <w:rPr>
          <w:rFonts w:ascii="SimSun" w:hAnsi="SimSun" w:eastAsia="SimSun" w:cs="SimSun"/>
          <w:sz w:val="21"/>
          <w:szCs w:val="21"/>
          <w:spacing w:val="-11"/>
        </w:rPr>
        <w:t>统汽车、零售、房地产、服装等行业结合得越来越紧密，行业边界模</w:t>
      </w:r>
      <w:r>
        <w:rPr>
          <w:rFonts w:ascii="SimSun" w:hAnsi="SimSun" w:eastAsia="SimSun" w:cs="SimSun"/>
          <w:sz w:val="21"/>
          <w:szCs w:val="21"/>
          <w:spacing w:val="17"/>
        </w:rPr>
        <w:t xml:space="preserve"> </w:t>
      </w:r>
      <w:r>
        <w:rPr>
          <w:rFonts w:ascii="SimSun" w:hAnsi="SimSun" w:eastAsia="SimSun" w:cs="SimSun"/>
          <w:sz w:val="21"/>
          <w:szCs w:val="21"/>
          <w:spacing w:val="-11"/>
        </w:rPr>
        <w:t>糊，传统的以行业为基础划分的监管框架受到冲</w:t>
      </w:r>
      <w:r>
        <w:rPr>
          <w:rFonts w:ascii="SimSun" w:hAnsi="SimSun" w:eastAsia="SimSun" w:cs="SimSun"/>
          <w:sz w:val="21"/>
          <w:szCs w:val="21"/>
          <w:spacing w:val="-12"/>
        </w:rPr>
        <w:t>击。</w:t>
      </w:r>
    </w:p>
    <w:p>
      <w:pPr>
        <w:ind w:left="104" w:right="76" w:firstLine="429"/>
        <w:spacing w:before="130" w:line="297" w:lineRule="auto"/>
        <w:jc w:val="both"/>
        <w:rPr>
          <w:rFonts w:ascii="SimSun" w:hAnsi="SimSun" w:eastAsia="SimSun" w:cs="SimSun"/>
          <w:sz w:val="21"/>
          <w:szCs w:val="21"/>
        </w:rPr>
      </w:pPr>
      <w:r>
        <w:rPr>
          <w:rFonts w:ascii="SimSun" w:hAnsi="SimSun" w:eastAsia="SimSun" w:cs="SimSun"/>
          <w:sz w:val="21"/>
          <w:szCs w:val="21"/>
          <w:spacing w:val="4"/>
        </w:rPr>
        <w:t>值得注意的是，2021年10月29日发布的《互联网平台</w:t>
      </w:r>
      <w:r>
        <w:rPr>
          <w:rFonts w:ascii="SimSun" w:hAnsi="SimSun" w:eastAsia="SimSun" w:cs="SimSun"/>
          <w:sz w:val="21"/>
          <w:szCs w:val="21"/>
          <w:spacing w:val="3"/>
        </w:rPr>
        <w:t>分类分</w:t>
      </w:r>
      <w:r>
        <w:rPr>
          <w:rFonts w:ascii="SimSun" w:hAnsi="SimSun" w:eastAsia="SimSun" w:cs="SimSun"/>
          <w:sz w:val="21"/>
          <w:szCs w:val="21"/>
        </w:rPr>
        <w:t xml:space="preserve"> </w:t>
      </w:r>
      <w:r>
        <w:rPr>
          <w:rFonts w:ascii="SimSun" w:hAnsi="SimSun" w:eastAsia="SimSun" w:cs="SimSun"/>
          <w:sz w:val="21"/>
          <w:szCs w:val="21"/>
          <w:spacing w:val="-3"/>
        </w:rPr>
        <w:t>级指南(征求意见稿)》(以下简称《指南》)</w:t>
      </w:r>
      <w:r>
        <w:rPr>
          <w:rFonts w:ascii="SimSun" w:hAnsi="SimSun" w:eastAsia="SimSun" w:cs="SimSun"/>
          <w:sz w:val="21"/>
          <w:szCs w:val="21"/>
          <w:spacing w:val="-4"/>
        </w:rPr>
        <w:t>是监管机构对平台所处</w:t>
      </w:r>
      <w:r>
        <w:rPr>
          <w:rFonts w:ascii="SimSun" w:hAnsi="SimSun" w:eastAsia="SimSun" w:cs="SimSun"/>
          <w:sz w:val="21"/>
          <w:szCs w:val="21"/>
        </w:rPr>
        <w:t xml:space="preserve"> </w:t>
      </w:r>
      <w:r>
        <w:rPr>
          <w:rFonts w:ascii="SimSun" w:hAnsi="SimSun" w:eastAsia="SimSun" w:cs="SimSun"/>
          <w:sz w:val="21"/>
          <w:szCs w:val="21"/>
          <w:spacing w:val="-10"/>
        </w:rPr>
        <w:t>行业较为系统的梳理，它根据平台的连接属</w:t>
      </w:r>
      <w:r>
        <w:rPr>
          <w:rFonts w:ascii="SimSun" w:hAnsi="SimSun" w:eastAsia="SimSun" w:cs="SimSun"/>
          <w:sz w:val="21"/>
          <w:szCs w:val="21"/>
          <w:spacing w:val="-11"/>
        </w:rPr>
        <w:t>性和主要功能把平台分为</w:t>
      </w:r>
      <w:r>
        <w:rPr>
          <w:rFonts w:ascii="SimSun" w:hAnsi="SimSun" w:eastAsia="SimSun" w:cs="SimSun"/>
          <w:sz w:val="21"/>
          <w:szCs w:val="21"/>
        </w:rPr>
        <w:t xml:space="preserve"> </w:t>
      </w:r>
      <w:r>
        <w:rPr>
          <w:rFonts w:ascii="SimSun" w:hAnsi="SimSun" w:eastAsia="SimSun" w:cs="SimSun"/>
          <w:sz w:val="21"/>
          <w:szCs w:val="21"/>
          <w:spacing w:val="-10"/>
        </w:rPr>
        <w:t>网络销售类、生活服务类、社交娱乐类、信息资讯类、金</w:t>
      </w:r>
      <w:r>
        <w:rPr>
          <w:rFonts w:ascii="SimSun" w:hAnsi="SimSun" w:eastAsia="SimSun" w:cs="SimSun"/>
          <w:sz w:val="21"/>
          <w:szCs w:val="21"/>
          <w:spacing w:val="-11"/>
        </w:rPr>
        <w:t>融服务类和</w:t>
      </w:r>
      <w:r>
        <w:rPr>
          <w:rFonts w:ascii="SimSun" w:hAnsi="SimSun" w:eastAsia="SimSun" w:cs="SimSun"/>
          <w:sz w:val="21"/>
          <w:szCs w:val="21"/>
        </w:rPr>
        <w:t xml:space="preserve"> </w:t>
      </w:r>
      <w:r>
        <w:rPr>
          <w:rFonts w:ascii="SimSun" w:hAnsi="SimSun" w:eastAsia="SimSun" w:cs="SimSun"/>
          <w:sz w:val="21"/>
          <w:szCs w:val="21"/>
          <w:spacing w:val="-8"/>
        </w:rPr>
        <w:t>计算机应用类六大类，具体见表13-1。</w:t>
      </w:r>
    </w:p>
    <w:p>
      <w:pPr>
        <w:spacing w:line="297" w:lineRule="auto"/>
        <w:sectPr>
          <w:headerReference w:type="default" r:id="rId557"/>
          <w:pgSz w:w="7330" w:h="12480"/>
          <w:pgMar w:top="849" w:right="685" w:bottom="400" w:left="455" w:header="683" w:footer="0" w:gutter="0"/>
        </w:sectPr>
        <w:rPr>
          <w:rFonts w:ascii="SimSun" w:hAnsi="SimSun" w:eastAsia="SimSun" w:cs="SimSun"/>
          <w:sz w:val="21"/>
          <w:szCs w:val="21"/>
        </w:rPr>
      </w:pP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842"/>
        <w:spacing w:before="58" w:line="221" w:lineRule="auto"/>
        <w:rPr>
          <w:rFonts w:ascii="SimHei" w:hAnsi="SimHei" w:eastAsia="SimHei" w:cs="SimHei"/>
          <w:sz w:val="18"/>
          <w:szCs w:val="18"/>
        </w:rPr>
      </w:pPr>
      <w:r>
        <w:rPr>
          <w:rFonts w:ascii="SimHei" w:hAnsi="SimHei" w:eastAsia="SimHei" w:cs="SimHei"/>
          <w:sz w:val="18"/>
          <w:szCs w:val="18"/>
          <w:b/>
          <w:bCs/>
          <w:spacing w:val="3"/>
        </w:rPr>
        <w:t>表13-1</w:t>
      </w:r>
      <w:r>
        <w:rPr>
          <w:rFonts w:ascii="SimHei" w:hAnsi="SimHei" w:eastAsia="SimHei" w:cs="SimHei"/>
          <w:sz w:val="18"/>
          <w:szCs w:val="18"/>
          <w:spacing w:val="82"/>
        </w:rPr>
        <w:t xml:space="preserve"> </w:t>
      </w:r>
      <w:r>
        <w:rPr>
          <w:rFonts w:ascii="SimHei" w:hAnsi="SimHei" w:eastAsia="SimHei" w:cs="SimHei"/>
          <w:sz w:val="18"/>
          <w:szCs w:val="18"/>
          <w:b/>
          <w:bCs/>
          <w:spacing w:val="3"/>
        </w:rPr>
        <w:t>互联网平台分类分级</w:t>
      </w:r>
    </w:p>
    <w:p>
      <w:pPr>
        <w:spacing w:line="106" w:lineRule="exact"/>
        <w:rPr/>
      </w:pPr>
      <w:r/>
    </w:p>
    <w:tbl>
      <w:tblPr>
        <w:tblStyle w:val="TableNormal"/>
        <w:tblW w:w="6030"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4"/>
        <w:gridCol w:w="1238"/>
        <w:gridCol w:w="4028"/>
      </w:tblGrid>
      <w:tr>
        <w:trPr>
          <w:trHeight w:val="334" w:hRule="atLeast"/>
        </w:trPr>
        <w:tc>
          <w:tcPr>
            <w:tcW w:w="764" w:type="dxa"/>
            <w:vAlign w:val="top"/>
          </w:tcPr>
          <w:p>
            <w:pPr>
              <w:pStyle w:val="TableText"/>
              <w:ind w:left="217"/>
              <w:spacing w:before="89" w:line="219" w:lineRule="auto"/>
              <w:rPr>
                <w:sz w:val="16"/>
                <w:szCs w:val="16"/>
              </w:rPr>
            </w:pPr>
            <w:r>
              <w:rPr>
                <w:sz w:val="16"/>
                <w:szCs w:val="16"/>
                <w:b/>
                <w:bCs/>
                <w:spacing w:val="-4"/>
              </w:rPr>
              <w:t>大类</w:t>
            </w:r>
          </w:p>
        </w:tc>
        <w:tc>
          <w:tcPr>
            <w:tcW w:w="1238" w:type="dxa"/>
            <w:vAlign w:val="top"/>
          </w:tcPr>
          <w:p>
            <w:pPr>
              <w:pStyle w:val="TableText"/>
              <w:ind w:left="303"/>
              <w:spacing w:before="89" w:line="220" w:lineRule="auto"/>
              <w:rPr>
                <w:sz w:val="16"/>
                <w:szCs w:val="16"/>
              </w:rPr>
            </w:pPr>
            <w:r>
              <w:rPr>
                <w:sz w:val="16"/>
                <w:szCs w:val="16"/>
                <w:b/>
                <w:bCs/>
                <w:spacing w:val="-3"/>
              </w:rPr>
              <w:t>平台细分</w:t>
            </w:r>
          </w:p>
        </w:tc>
        <w:tc>
          <w:tcPr>
            <w:tcW w:w="4028" w:type="dxa"/>
            <w:vAlign w:val="top"/>
          </w:tcPr>
          <w:p>
            <w:pPr>
              <w:pStyle w:val="TableText"/>
              <w:ind w:left="1715"/>
              <w:spacing w:before="89" w:line="220" w:lineRule="auto"/>
              <w:rPr>
                <w:sz w:val="16"/>
                <w:szCs w:val="16"/>
              </w:rPr>
            </w:pPr>
            <w:r>
              <w:rPr>
                <w:sz w:val="16"/>
                <w:szCs w:val="16"/>
                <w:b/>
                <w:bCs/>
                <w:spacing w:val="-3"/>
              </w:rPr>
              <w:t>涵盖领域</w:t>
            </w:r>
          </w:p>
        </w:tc>
      </w:tr>
      <w:tr>
        <w:trPr>
          <w:trHeight w:val="310" w:hRule="atLeast"/>
        </w:trPr>
        <w:tc>
          <w:tcPr>
            <w:tcW w:w="764" w:type="dxa"/>
            <w:vAlign w:val="top"/>
            <w:vMerge w:val="restart"/>
            <w:tcBorders>
              <w:bottom w:val="nil"/>
            </w:tcBorders>
          </w:tcPr>
          <w:p>
            <w:pPr>
              <w:spacing w:line="254" w:lineRule="auto"/>
              <w:rPr>
                <w:rFonts w:ascii="Arial"/>
                <w:sz w:val="21"/>
              </w:rPr>
            </w:pPr>
            <w:r/>
          </w:p>
          <w:p>
            <w:pPr>
              <w:pStyle w:val="TableText"/>
              <w:ind w:left="44" w:right="50" w:firstLine="10"/>
              <w:spacing w:before="52" w:line="242" w:lineRule="auto"/>
              <w:rPr>
                <w:sz w:val="16"/>
                <w:szCs w:val="16"/>
              </w:rPr>
            </w:pPr>
            <w:r>
              <w:rPr>
                <w:sz w:val="16"/>
                <w:szCs w:val="16"/>
                <w:spacing w:val="2"/>
              </w:rPr>
              <w:t>网络销售</w:t>
            </w:r>
            <w:r>
              <w:rPr>
                <w:sz w:val="16"/>
                <w:szCs w:val="16"/>
              </w:rPr>
              <w:t xml:space="preserve"> </w:t>
            </w:r>
            <w:r>
              <w:rPr>
                <w:sz w:val="16"/>
                <w:szCs w:val="16"/>
                <w:spacing w:val="5"/>
              </w:rPr>
              <w:t>类平台</w:t>
            </w:r>
          </w:p>
        </w:tc>
        <w:tc>
          <w:tcPr>
            <w:tcW w:w="1238" w:type="dxa"/>
            <w:vAlign w:val="top"/>
          </w:tcPr>
          <w:p>
            <w:pPr>
              <w:pStyle w:val="TableText"/>
              <w:ind w:left="51"/>
              <w:spacing w:before="77" w:line="219" w:lineRule="auto"/>
              <w:rPr>
                <w:sz w:val="16"/>
                <w:szCs w:val="16"/>
              </w:rPr>
            </w:pPr>
            <w:r>
              <w:rPr>
                <w:sz w:val="16"/>
                <w:szCs w:val="16"/>
                <w:spacing w:val="-1"/>
              </w:rPr>
              <w:t>综合商品交易类</w:t>
            </w:r>
          </w:p>
        </w:tc>
        <w:tc>
          <w:tcPr>
            <w:tcW w:w="4028" w:type="dxa"/>
            <w:vAlign w:val="top"/>
          </w:tcPr>
          <w:p>
            <w:pPr>
              <w:pStyle w:val="TableText"/>
              <w:ind w:left="53"/>
              <w:spacing w:before="76" w:line="219" w:lineRule="auto"/>
              <w:rPr>
                <w:sz w:val="16"/>
                <w:szCs w:val="16"/>
              </w:rPr>
            </w:pPr>
            <w:r>
              <w:rPr>
                <w:sz w:val="16"/>
                <w:szCs w:val="16"/>
                <w:spacing w:val="-1"/>
              </w:rPr>
              <w:t>衣帽鞋靴、箱包饰品、数码电器</w:t>
            </w:r>
          </w:p>
        </w:tc>
      </w:tr>
      <w:tr>
        <w:trPr>
          <w:trHeight w:val="329"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41"/>
              <w:spacing w:before="87" w:line="219" w:lineRule="auto"/>
              <w:rPr>
                <w:sz w:val="16"/>
                <w:szCs w:val="16"/>
              </w:rPr>
            </w:pPr>
            <w:r>
              <w:rPr>
                <w:sz w:val="16"/>
                <w:szCs w:val="16"/>
                <w:spacing w:val="-1"/>
              </w:rPr>
              <w:t>垂直商品交易类</w:t>
            </w:r>
          </w:p>
        </w:tc>
        <w:tc>
          <w:tcPr>
            <w:tcW w:w="4028" w:type="dxa"/>
            <w:vAlign w:val="top"/>
          </w:tcPr>
          <w:p>
            <w:pPr>
              <w:pStyle w:val="TableText"/>
              <w:ind w:left="53"/>
              <w:spacing w:before="86" w:line="219" w:lineRule="auto"/>
              <w:rPr>
                <w:sz w:val="16"/>
                <w:szCs w:val="16"/>
              </w:rPr>
            </w:pPr>
            <w:r>
              <w:rPr>
                <w:sz w:val="16"/>
                <w:szCs w:val="16"/>
                <w:spacing w:val="-1"/>
              </w:rPr>
              <w:t>专门从事、某一类型、精准定位、独特附加值</w:t>
            </w:r>
          </w:p>
        </w:tc>
      </w:tr>
      <w:tr>
        <w:trPr>
          <w:trHeight w:val="329" w:hRule="atLeast"/>
        </w:trPr>
        <w:tc>
          <w:tcPr>
            <w:tcW w:w="764" w:type="dxa"/>
            <w:vAlign w:val="top"/>
            <w:vMerge w:val="continue"/>
            <w:tcBorders>
              <w:top w:val="nil"/>
            </w:tcBorders>
          </w:tcPr>
          <w:p>
            <w:pPr>
              <w:rPr>
                <w:rFonts w:ascii="Arial"/>
                <w:sz w:val="21"/>
              </w:rPr>
            </w:pPr>
            <w:r/>
          </w:p>
        </w:tc>
        <w:tc>
          <w:tcPr>
            <w:tcW w:w="1238" w:type="dxa"/>
            <w:vAlign w:val="top"/>
          </w:tcPr>
          <w:p>
            <w:pPr>
              <w:pStyle w:val="TableText"/>
              <w:ind w:left="51"/>
              <w:spacing w:before="88" w:line="219" w:lineRule="auto"/>
              <w:rPr>
                <w:sz w:val="16"/>
                <w:szCs w:val="16"/>
              </w:rPr>
            </w:pPr>
            <w:r>
              <w:rPr>
                <w:sz w:val="16"/>
                <w:szCs w:val="16"/>
                <w:spacing w:val="-2"/>
              </w:rPr>
              <w:t>商超团购类</w:t>
            </w:r>
          </w:p>
        </w:tc>
        <w:tc>
          <w:tcPr>
            <w:tcW w:w="4028" w:type="dxa"/>
            <w:vAlign w:val="top"/>
          </w:tcPr>
          <w:p>
            <w:pPr>
              <w:pStyle w:val="TableText"/>
              <w:ind w:left="53"/>
              <w:spacing w:before="87" w:line="219" w:lineRule="auto"/>
              <w:rPr>
                <w:sz w:val="16"/>
                <w:szCs w:val="16"/>
              </w:rPr>
            </w:pPr>
            <w:r>
              <w:rPr>
                <w:sz w:val="16"/>
                <w:szCs w:val="16"/>
              </w:rPr>
              <w:t>蔬菜水果、肉蛋水产、粮油调味、酒水饮料、日用百货</w:t>
            </w:r>
          </w:p>
        </w:tc>
      </w:tr>
      <w:tr>
        <w:trPr>
          <w:trHeight w:val="310" w:hRule="atLeast"/>
        </w:trPr>
        <w:tc>
          <w:tcPr>
            <w:tcW w:w="764" w:type="dxa"/>
            <w:vAlign w:val="top"/>
            <w:vMerge w:val="restart"/>
            <w:tcBorders>
              <w:bottom w:val="nil"/>
            </w:tcBorders>
          </w:tcPr>
          <w:p>
            <w:pPr>
              <w:spacing w:line="287" w:lineRule="auto"/>
              <w:rPr>
                <w:rFonts w:ascii="Arial"/>
                <w:sz w:val="21"/>
              </w:rPr>
            </w:pPr>
            <w:r/>
          </w:p>
          <w:p>
            <w:pPr>
              <w:spacing w:line="287" w:lineRule="auto"/>
              <w:rPr>
                <w:rFonts w:ascii="Arial"/>
                <w:sz w:val="21"/>
              </w:rPr>
            </w:pPr>
            <w:r/>
          </w:p>
          <w:p>
            <w:pPr>
              <w:pStyle w:val="TableText"/>
              <w:ind w:left="44" w:right="66" w:firstLine="10"/>
              <w:spacing w:before="52" w:line="248" w:lineRule="auto"/>
              <w:rPr>
                <w:sz w:val="16"/>
                <w:szCs w:val="16"/>
              </w:rPr>
            </w:pPr>
            <w:r>
              <w:rPr>
                <w:sz w:val="16"/>
                <w:szCs w:val="16"/>
                <w:spacing w:val="-2"/>
              </w:rPr>
              <w:t>生活服务</w:t>
            </w:r>
            <w:r>
              <w:rPr>
                <w:sz w:val="16"/>
                <w:szCs w:val="16"/>
              </w:rPr>
              <w:t xml:space="preserve"> </w:t>
            </w:r>
            <w:r>
              <w:rPr>
                <w:sz w:val="16"/>
                <w:szCs w:val="16"/>
                <w:spacing w:val="5"/>
              </w:rPr>
              <w:t>类平台</w:t>
            </w:r>
          </w:p>
        </w:tc>
        <w:tc>
          <w:tcPr>
            <w:tcW w:w="1238" w:type="dxa"/>
            <w:vAlign w:val="top"/>
          </w:tcPr>
          <w:p>
            <w:pPr>
              <w:pStyle w:val="TableText"/>
              <w:ind w:left="51"/>
              <w:spacing w:before="79" w:line="219" w:lineRule="auto"/>
              <w:rPr>
                <w:sz w:val="16"/>
                <w:szCs w:val="16"/>
              </w:rPr>
            </w:pPr>
            <w:r>
              <w:rPr>
                <w:sz w:val="16"/>
                <w:szCs w:val="16"/>
                <w:spacing w:val="1"/>
              </w:rPr>
              <w:t>出行服务类</w:t>
            </w:r>
          </w:p>
        </w:tc>
        <w:tc>
          <w:tcPr>
            <w:tcW w:w="4028" w:type="dxa"/>
            <w:vAlign w:val="top"/>
          </w:tcPr>
          <w:p>
            <w:pPr>
              <w:pStyle w:val="TableText"/>
              <w:ind w:left="53"/>
              <w:spacing w:before="79" w:line="219" w:lineRule="auto"/>
              <w:rPr>
                <w:sz w:val="16"/>
                <w:szCs w:val="16"/>
              </w:rPr>
            </w:pPr>
            <w:r>
              <w:rPr>
                <w:sz w:val="16"/>
                <w:szCs w:val="16"/>
                <w:spacing w:val="-1"/>
              </w:rPr>
              <w:t>共享单车、打车软件、公交地铁</w:t>
            </w:r>
          </w:p>
        </w:tc>
      </w:tr>
      <w:tr>
        <w:trPr>
          <w:trHeight w:val="33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9" w:line="219" w:lineRule="auto"/>
              <w:rPr>
                <w:sz w:val="16"/>
                <w:szCs w:val="16"/>
              </w:rPr>
            </w:pPr>
            <w:r>
              <w:rPr>
                <w:sz w:val="16"/>
                <w:szCs w:val="16"/>
                <w:spacing w:val="-1"/>
              </w:rPr>
              <w:t>旅游服务类</w:t>
            </w:r>
          </w:p>
        </w:tc>
        <w:tc>
          <w:tcPr>
            <w:tcW w:w="4028" w:type="dxa"/>
            <w:vAlign w:val="top"/>
          </w:tcPr>
          <w:p>
            <w:pPr>
              <w:pStyle w:val="TableText"/>
              <w:ind w:left="53"/>
              <w:spacing w:before="89" w:line="219" w:lineRule="auto"/>
              <w:rPr>
                <w:sz w:val="16"/>
                <w:szCs w:val="16"/>
              </w:rPr>
            </w:pPr>
            <w:r>
              <w:rPr>
                <w:sz w:val="16"/>
                <w:szCs w:val="16"/>
                <w:spacing w:val="-1"/>
              </w:rPr>
              <w:t>旅游定制、门票购买、酒店预订</w:t>
            </w:r>
          </w:p>
        </w:tc>
      </w:tr>
      <w:tr>
        <w:trPr>
          <w:trHeight w:val="32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79" w:line="219" w:lineRule="auto"/>
              <w:rPr>
                <w:sz w:val="16"/>
                <w:szCs w:val="16"/>
              </w:rPr>
            </w:pPr>
            <w:r>
              <w:rPr>
                <w:sz w:val="16"/>
                <w:szCs w:val="16"/>
                <w:spacing w:val="-1"/>
              </w:rPr>
              <w:t>配送服务类</w:t>
            </w:r>
          </w:p>
        </w:tc>
        <w:tc>
          <w:tcPr>
            <w:tcW w:w="4028" w:type="dxa"/>
            <w:vAlign w:val="top"/>
          </w:tcPr>
          <w:p>
            <w:pPr>
              <w:pStyle w:val="TableText"/>
              <w:ind w:left="53"/>
              <w:spacing w:before="79" w:line="219" w:lineRule="auto"/>
              <w:rPr>
                <w:sz w:val="16"/>
                <w:szCs w:val="16"/>
              </w:rPr>
            </w:pPr>
            <w:r>
              <w:rPr>
                <w:sz w:val="16"/>
                <w:szCs w:val="16"/>
                <w:spacing w:val="-1"/>
              </w:rPr>
              <w:t>外卖送餐、同城配送、快递配送</w:t>
            </w:r>
          </w:p>
        </w:tc>
      </w:tr>
      <w:tr>
        <w:trPr>
          <w:trHeight w:val="32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79" w:line="219" w:lineRule="auto"/>
              <w:rPr>
                <w:sz w:val="16"/>
                <w:szCs w:val="16"/>
              </w:rPr>
            </w:pPr>
            <w:r>
              <w:rPr>
                <w:sz w:val="16"/>
                <w:szCs w:val="16"/>
                <w:spacing w:val="-2"/>
              </w:rPr>
              <w:t>家政服务类</w:t>
            </w:r>
          </w:p>
        </w:tc>
        <w:tc>
          <w:tcPr>
            <w:tcW w:w="4028" w:type="dxa"/>
            <w:vAlign w:val="top"/>
          </w:tcPr>
          <w:p>
            <w:pPr>
              <w:pStyle w:val="TableText"/>
              <w:ind w:left="53"/>
              <w:spacing w:before="79" w:line="219" w:lineRule="auto"/>
              <w:rPr>
                <w:sz w:val="16"/>
                <w:szCs w:val="16"/>
              </w:rPr>
            </w:pPr>
            <w:r>
              <w:rPr>
                <w:sz w:val="16"/>
                <w:szCs w:val="16"/>
                <w:spacing w:val="-1"/>
              </w:rPr>
              <w:t>保姆保洁、家庭管理</w:t>
            </w:r>
          </w:p>
        </w:tc>
      </w:tr>
      <w:tr>
        <w:trPr>
          <w:trHeight w:val="319" w:hRule="atLeast"/>
        </w:trPr>
        <w:tc>
          <w:tcPr>
            <w:tcW w:w="764" w:type="dxa"/>
            <w:vAlign w:val="top"/>
            <w:vMerge w:val="continue"/>
            <w:tcBorders>
              <w:top w:val="nil"/>
            </w:tcBorders>
          </w:tcPr>
          <w:p>
            <w:pPr>
              <w:rPr>
                <w:rFonts w:ascii="Arial"/>
                <w:sz w:val="21"/>
              </w:rPr>
            </w:pPr>
            <w:r/>
          </w:p>
        </w:tc>
        <w:tc>
          <w:tcPr>
            <w:tcW w:w="1238" w:type="dxa"/>
            <w:vAlign w:val="top"/>
          </w:tcPr>
          <w:p>
            <w:pPr>
              <w:pStyle w:val="TableText"/>
              <w:ind w:left="51"/>
              <w:spacing w:before="79" w:line="219" w:lineRule="auto"/>
              <w:rPr>
                <w:sz w:val="16"/>
                <w:szCs w:val="16"/>
              </w:rPr>
            </w:pPr>
            <w:r>
              <w:rPr>
                <w:sz w:val="16"/>
                <w:szCs w:val="16"/>
                <w:spacing w:val="-2"/>
              </w:rPr>
              <w:t>房屋经纪类</w:t>
            </w:r>
          </w:p>
        </w:tc>
        <w:tc>
          <w:tcPr>
            <w:tcW w:w="4028" w:type="dxa"/>
            <w:vAlign w:val="top"/>
          </w:tcPr>
          <w:p>
            <w:pPr>
              <w:pStyle w:val="TableText"/>
              <w:ind w:left="53"/>
              <w:spacing w:before="80" w:line="220" w:lineRule="auto"/>
              <w:rPr>
                <w:sz w:val="16"/>
                <w:szCs w:val="16"/>
              </w:rPr>
            </w:pPr>
            <w:r>
              <w:rPr>
                <w:sz w:val="16"/>
                <w:szCs w:val="16"/>
                <w:spacing w:val="-1"/>
              </w:rPr>
              <w:t>房屋买卖、房屋租赁</w:t>
            </w:r>
          </w:p>
        </w:tc>
      </w:tr>
      <w:tr>
        <w:trPr>
          <w:trHeight w:val="330" w:hRule="atLeast"/>
        </w:trPr>
        <w:tc>
          <w:tcPr>
            <w:tcW w:w="764" w:type="dxa"/>
            <w:vAlign w:val="top"/>
            <w:vMerge w:val="restart"/>
            <w:tcBorders>
              <w:bottom w:val="nil"/>
            </w:tcBorders>
          </w:tcPr>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55" w:right="66"/>
              <w:spacing w:before="52" w:line="254" w:lineRule="auto"/>
              <w:rPr>
                <w:sz w:val="16"/>
                <w:szCs w:val="16"/>
              </w:rPr>
            </w:pPr>
            <w:r>
              <w:rPr>
                <w:sz w:val="16"/>
                <w:szCs w:val="16"/>
                <w:spacing w:val="-2"/>
              </w:rPr>
              <w:t>社交娱乐</w:t>
            </w:r>
            <w:r>
              <w:rPr>
                <w:sz w:val="16"/>
                <w:szCs w:val="16"/>
              </w:rPr>
              <w:t xml:space="preserve"> </w:t>
            </w:r>
            <w:r>
              <w:rPr>
                <w:sz w:val="16"/>
                <w:szCs w:val="16"/>
                <w:spacing w:val="5"/>
              </w:rPr>
              <w:t>类平台</w:t>
            </w:r>
          </w:p>
        </w:tc>
        <w:tc>
          <w:tcPr>
            <w:tcW w:w="1238" w:type="dxa"/>
            <w:vAlign w:val="top"/>
          </w:tcPr>
          <w:p>
            <w:pPr>
              <w:pStyle w:val="TableText"/>
              <w:ind w:left="51"/>
              <w:spacing w:before="90" w:line="219" w:lineRule="auto"/>
              <w:rPr>
                <w:sz w:val="16"/>
                <w:szCs w:val="16"/>
              </w:rPr>
            </w:pPr>
            <w:r>
              <w:rPr>
                <w:sz w:val="16"/>
                <w:szCs w:val="16"/>
                <w:spacing w:val="1"/>
              </w:rPr>
              <w:t>即时通信类</w:t>
            </w:r>
          </w:p>
        </w:tc>
        <w:tc>
          <w:tcPr>
            <w:tcW w:w="4028" w:type="dxa"/>
            <w:vAlign w:val="top"/>
          </w:tcPr>
          <w:p>
            <w:pPr>
              <w:pStyle w:val="TableText"/>
              <w:ind w:left="53"/>
              <w:spacing w:before="90" w:line="219" w:lineRule="auto"/>
              <w:rPr>
                <w:sz w:val="16"/>
                <w:szCs w:val="16"/>
              </w:rPr>
            </w:pPr>
            <w:r>
              <w:rPr>
                <w:sz w:val="16"/>
                <w:szCs w:val="16"/>
                <w:spacing w:val="-1"/>
              </w:rPr>
              <w:t>文字、语音、视频交流</w:t>
            </w:r>
          </w:p>
        </w:tc>
      </w:tr>
      <w:tr>
        <w:trPr>
          <w:trHeight w:val="32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0" w:line="219" w:lineRule="auto"/>
              <w:rPr>
                <w:sz w:val="16"/>
                <w:szCs w:val="16"/>
              </w:rPr>
            </w:pPr>
            <w:r>
              <w:rPr>
                <w:sz w:val="16"/>
                <w:szCs w:val="16"/>
                <w:spacing w:val="-1"/>
              </w:rPr>
              <w:t>游戏休闲类</w:t>
            </w:r>
          </w:p>
        </w:tc>
        <w:tc>
          <w:tcPr>
            <w:tcW w:w="4028" w:type="dxa"/>
            <w:vAlign w:val="top"/>
          </w:tcPr>
          <w:p>
            <w:pPr>
              <w:pStyle w:val="TableText"/>
              <w:ind w:left="53"/>
              <w:spacing w:before="79" w:line="219" w:lineRule="auto"/>
              <w:rPr>
                <w:sz w:val="16"/>
                <w:szCs w:val="16"/>
              </w:rPr>
            </w:pPr>
            <w:r>
              <w:rPr>
                <w:sz w:val="16"/>
                <w:szCs w:val="16"/>
              </w:rPr>
              <w:t>网页游戏、PC端游戏、手机游戏</w:t>
            </w:r>
          </w:p>
        </w:tc>
      </w:tr>
      <w:tr>
        <w:trPr>
          <w:trHeight w:val="319"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0" w:line="219" w:lineRule="auto"/>
              <w:rPr>
                <w:sz w:val="16"/>
                <w:szCs w:val="16"/>
              </w:rPr>
            </w:pPr>
            <w:r>
              <w:rPr>
                <w:sz w:val="16"/>
                <w:szCs w:val="16"/>
                <w:spacing w:val="-1"/>
              </w:rPr>
              <w:t>视听服务类</w:t>
            </w:r>
          </w:p>
        </w:tc>
        <w:tc>
          <w:tcPr>
            <w:tcW w:w="4028" w:type="dxa"/>
            <w:vAlign w:val="top"/>
          </w:tcPr>
          <w:p>
            <w:pPr>
              <w:pStyle w:val="TableText"/>
              <w:ind w:left="53"/>
              <w:spacing w:before="79" w:line="219" w:lineRule="auto"/>
              <w:rPr>
                <w:sz w:val="16"/>
                <w:szCs w:val="16"/>
              </w:rPr>
            </w:pPr>
            <w:r>
              <w:rPr>
                <w:sz w:val="16"/>
                <w:szCs w:val="16"/>
                <w:spacing w:val="-2"/>
              </w:rPr>
              <w:t>歌曲、电影</w:t>
            </w:r>
          </w:p>
        </w:tc>
      </w:tr>
      <w:tr>
        <w:trPr>
          <w:trHeight w:val="33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91" w:line="219" w:lineRule="auto"/>
              <w:rPr>
                <w:sz w:val="16"/>
                <w:szCs w:val="16"/>
              </w:rPr>
            </w:pPr>
            <w:r>
              <w:rPr>
                <w:sz w:val="16"/>
                <w:szCs w:val="16"/>
                <w:spacing w:val="-2"/>
              </w:rPr>
              <w:t>直播视频类</w:t>
            </w:r>
          </w:p>
        </w:tc>
        <w:tc>
          <w:tcPr>
            <w:tcW w:w="4028" w:type="dxa"/>
            <w:vAlign w:val="top"/>
          </w:tcPr>
          <w:p>
            <w:pPr>
              <w:pStyle w:val="TableText"/>
              <w:ind w:left="53"/>
              <w:spacing w:before="91" w:line="219" w:lineRule="auto"/>
              <w:rPr>
                <w:sz w:val="16"/>
                <w:szCs w:val="16"/>
              </w:rPr>
            </w:pPr>
            <w:r>
              <w:rPr>
                <w:sz w:val="16"/>
                <w:szCs w:val="16"/>
                <w:spacing w:val="-2"/>
              </w:rPr>
              <w:t>直播</w:t>
            </w:r>
          </w:p>
        </w:tc>
      </w:tr>
      <w:tr>
        <w:trPr>
          <w:trHeight w:val="31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1" w:line="219" w:lineRule="auto"/>
              <w:rPr>
                <w:sz w:val="16"/>
                <w:szCs w:val="16"/>
              </w:rPr>
            </w:pPr>
            <w:r>
              <w:rPr>
                <w:sz w:val="16"/>
                <w:szCs w:val="16"/>
                <w:spacing w:val="-2"/>
              </w:rPr>
              <w:t>短视频类</w:t>
            </w:r>
          </w:p>
        </w:tc>
        <w:tc>
          <w:tcPr>
            <w:tcW w:w="4028" w:type="dxa"/>
            <w:vAlign w:val="top"/>
          </w:tcPr>
          <w:p>
            <w:pPr>
              <w:pStyle w:val="TableText"/>
              <w:ind w:left="53"/>
              <w:spacing w:before="82" w:line="220" w:lineRule="auto"/>
              <w:rPr>
                <w:sz w:val="16"/>
                <w:szCs w:val="16"/>
              </w:rPr>
            </w:pPr>
            <w:r>
              <w:rPr>
                <w:sz w:val="16"/>
                <w:szCs w:val="16"/>
                <w:spacing w:val="-2"/>
              </w:rPr>
              <w:t>短视频</w:t>
            </w:r>
          </w:p>
        </w:tc>
      </w:tr>
      <w:tr>
        <w:trPr>
          <w:trHeight w:val="329" w:hRule="atLeast"/>
        </w:trPr>
        <w:tc>
          <w:tcPr>
            <w:tcW w:w="764" w:type="dxa"/>
            <w:vAlign w:val="top"/>
            <w:vMerge w:val="continue"/>
            <w:tcBorders>
              <w:top w:val="nil"/>
            </w:tcBorders>
          </w:tcPr>
          <w:p>
            <w:pPr>
              <w:rPr>
                <w:rFonts w:ascii="Arial"/>
                <w:sz w:val="21"/>
              </w:rPr>
            </w:pPr>
            <w:r/>
          </w:p>
        </w:tc>
        <w:tc>
          <w:tcPr>
            <w:tcW w:w="1238" w:type="dxa"/>
            <w:vAlign w:val="top"/>
          </w:tcPr>
          <w:p>
            <w:pPr>
              <w:pStyle w:val="TableText"/>
              <w:ind w:left="51"/>
              <w:spacing w:before="91" w:line="219" w:lineRule="auto"/>
              <w:rPr>
                <w:sz w:val="16"/>
                <w:szCs w:val="16"/>
              </w:rPr>
            </w:pPr>
            <w:r>
              <w:rPr>
                <w:sz w:val="16"/>
                <w:szCs w:val="16"/>
                <w:spacing w:val="-2"/>
              </w:rPr>
              <w:t>文学类</w:t>
            </w:r>
          </w:p>
        </w:tc>
        <w:tc>
          <w:tcPr>
            <w:tcW w:w="4028" w:type="dxa"/>
            <w:vAlign w:val="top"/>
          </w:tcPr>
          <w:p>
            <w:pPr>
              <w:pStyle w:val="TableText"/>
              <w:ind w:left="53"/>
              <w:spacing w:before="91" w:line="219" w:lineRule="auto"/>
              <w:rPr>
                <w:sz w:val="16"/>
                <w:szCs w:val="16"/>
              </w:rPr>
            </w:pPr>
            <w:r>
              <w:rPr>
                <w:sz w:val="16"/>
                <w:szCs w:val="16"/>
              </w:rPr>
              <w:t>网络文学、数字出版物</w:t>
            </w:r>
          </w:p>
        </w:tc>
      </w:tr>
      <w:tr>
        <w:trPr>
          <w:trHeight w:val="319" w:hRule="atLeast"/>
        </w:trPr>
        <w:tc>
          <w:tcPr>
            <w:tcW w:w="764" w:type="dxa"/>
            <w:vAlign w:val="top"/>
            <w:vMerge w:val="restart"/>
            <w:tcBorders>
              <w:bottom w:val="nil"/>
            </w:tcBorders>
          </w:tcPr>
          <w:p>
            <w:pPr>
              <w:spacing w:line="357" w:lineRule="auto"/>
              <w:rPr>
                <w:rFonts w:ascii="Arial"/>
                <w:sz w:val="21"/>
              </w:rPr>
            </w:pPr>
            <w:r/>
          </w:p>
          <w:p>
            <w:pPr>
              <w:spacing w:line="358" w:lineRule="auto"/>
              <w:rPr>
                <w:rFonts w:ascii="Arial"/>
                <w:sz w:val="21"/>
              </w:rPr>
            </w:pPr>
            <w:r/>
          </w:p>
          <w:p>
            <w:pPr>
              <w:pStyle w:val="TableText"/>
              <w:ind w:left="55" w:right="65"/>
              <w:spacing w:before="52" w:line="254" w:lineRule="auto"/>
              <w:rPr>
                <w:sz w:val="16"/>
                <w:szCs w:val="16"/>
              </w:rPr>
            </w:pPr>
            <w:r>
              <w:rPr>
                <w:sz w:val="16"/>
                <w:szCs w:val="16"/>
                <w:spacing w:val="-2"/>
              </w:rPr>
              <w:t>信息资讯</w:t>
            </w:r>
            <w:r>
              <w:rPr>
                <w:sz w:val="16"/>
                <w:szCs w:val="16"/>
              </w:rPr>
              <w:t xml:space="preserve"> </w:t>
            </w:r>
            <w:r>
              <w:rPr>
                <w:sz w:val="16"/>
                <w:szCs w:val="16"/>
                <w:spacing w:val="5"/>
              </w:rPr>
              <w:t>类平台</w:t>
            </w:r>
          </w:p>
        </w:tc>
        <w:tc>
          <w:tcPr>
            <w:tcW w:w="1238" w:type="dxa"/>
            <w:vAlign w:val="top"/>
          </w:tcPr>
          <w:p>
            <w:pPr>
              <w:pStyle w:val="TableText"/>
              <w:ind w:left="51"/>
              <w:spacing w:before="82" w:line="219" w:lineRule="auto"/>
              <w:rPr>
                <w:sz w:val="16"/>
                <w:szCs w:val="16"/>
              </w:rPr>
            </w:pPr>
            <w:r>
              <w:rPr>
                <w:sz w:val="16"/>
                <w:szCs w:val="16"/>
                <w:spacing w:val="-2"/>
              </w:rPr>
              <w:t>新闻门户类</w:t>
            </w:r>
          </w:p>
        </w:tc>
        <w:tc>
          <w:tcPr>
            <w:tcW w:w="4028" w:type="dxa"/>
            <w:vAlign w:val="top"/>
          </w:tcPr>
          <w:p>
            <w:pPr>
              <w:pStyle w:val="TableText"/>
              <w:ind w:left="53"/>
              <w:spacing w:before="82" w:line="219" w:lineRule="auto"/>
              <w:rPr>
                <w:sz w:val="16"/>
                <w:szCs w:val="16"/>
              </w:rPr>
            </w:pPr>
            <w:r>
              <w:rPr>
                <w:sz w:val="16"/>
                <w:szCs w:val="16"/>
                <w:spacing w:val="-1"/>
              </w:rPr>
              <w:t>新闻信息、娱乐资讯</w:t>
            </w:r>
          </w:p>
        </w:tc>
      </w:tr>
      <w:tr>
        <w:trPr>
          <w:trHeight w:val="33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93" w:line="219" w:lineRule="auto"/>
              <w:rPr>
                <w:sz w:val="16"/>
                <w:szCs w:val="16"/>
              </w:rPr>
            </w:pPr>
            <w:r>
              <w:rPr>
                <w:sz w:val="16"/>
                <w:szCs w:val="16"/>
                <w:spacing w:val="-1"/>
              </w:rPr>
              <w:t>搜索引擎类</w:t>
            </w:r>
          </w:p>
        </w:tc>
        <w:tc>
          <w:tcPr>
            <w:tcW w:w="4028" w:type="dxa"/>
            <w:vAlign w:val="top"/>
          </w:tcPr>
          <w:p>
            <w:pPr>
              <w:pStyle w:val="TableText"/>
              <w:ind w:left="53"/>
              <w:spacing w:before="93" w:line="219" w:lineRule="auto"/>
              <w:rPr>
                <w:sz w:val="16"/>
                <w:szCs w:val="16"/>
              </w:rPr>
            </w:pPr>
            <w:r>
              <w:rPr>
                <w:sz w:val="16"/>
                <w:szCs w:val="16"/>
                <w:spacing w:val="-2"/>
              </w:rPr>
              <w:t>检索服务</w:t>
            </w:r>
          </w:p>
        </w:tc>
      </w:tr>
      <w:tr>
        <w:trPr>
          <w:trHeight w:val="569"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right="224"/>
              <w:spacing w:before="112" w:line="237" w:lineRule="auto"/>
              <w:rPr>
                <w:sz w:val="16"/>
                <w:szCs w:val="16"/>
              </w:rPr>
            </w:pPr>
            <w:r>
              <w:rPr>
                <w:sz w:val="16"/>
                <w:szCs w:val="16"/>
                <w:spacing w:val="-2"/>
              </w:rPr>
              <w:t>用户内容生成</w:t>
            </w:r>
            <w:r>
              <w:rPr>
                <w:sz w:val="16"/>
                <w:szCs w:val="16"/>
                <w:spacing w:val="3"/>
              </w:rPr>
              <w:t xml:space="preserve"> </w:t>
            </w:r>
            <w:r>
              <w:rPr>
                <w:sz w:val="16"/>
                <w:szCs w:val="16"/>
                <w:spacing w:val="-9"/>
              </w:rPr>
              <w:t>(</w:t>
            </w:r>
            <w:r>
              <w:rPr>
                <w:sz w:val="16"/>
                <w:szCs w:val="16"/>
                <w:spacing w:val="-30"/>
              </w:rPr>
              <w:t xml:space="preserve"> </w:t>
            </w:r>
            <w:r>
              <w:rPr>
                <w:sz w:val="16"/>
                <w:szCs w:val="16"/>
                <w:spacing w:val="-9"/>
              </w:rPr>
              <w:t>U</w:t>
            </w:r>
            <w:r>
              <w:rPr>
                <w:sz w:val="16"/>
                <w:szCs w:val="16"/>
                <w:spacing w:val="-27"/>
              </w:rPr>
              <w:t xml:space="preserve"> </w:t>
            </w:r>
            <w:r>
              <w:rPr>
                <w:sz w:val="16"/>
                <w:szCs w:val="16"/>
                <w:spacing w:val="-9"/>
              </w:rPr>
              <w:t>G</w:t>
            </w:r>
            <w:r>
              <w:rPr>
                <w:sz w:val="16"/>
                <w:szCs w:val="16"/>
                <w:spacing w:val="-27"/>
              </w:rPr>
              <w:t xml:space="preserve"> </w:t>
            </w:r>
            <w:r>
              <w:rPr>
                <w:sz w:val="16"/>
                <w:szCs w:val="16"/>
                <w:spacing w:val="-9"/>
              </w:rPr>
              <w:t>C</w:t>
            </w:r>
            <w:r>
              <w:rPr>
                <w:sz w:val="16"/>
                <w:szCs w:val="16"/>
                <w:spacing w:val="-25"/>
              </w:rPr>
              <w:t xml:space="preserve"> </w:t>
            </w:r>
            <w:r>
              <w:rPr>
                <w:sz w:val="16"/>
                <w:szCs w:val="16"/>
                <w:spacing w:val="-9"/>
              </w:rPr>
              <w:t>)</w:t>
            </w:r>
            <w:r>
              <w:rPr>
                <w:sz w:val="16"/>
                <w:szCs w:val="16"/>
                <w:spacing w:val="-25"/>
              </w:rPr>
              <w:t xml:space="preserve"> </w:t>
            </w:r>
            <w:r>
              <w:rPr>
                <w:sz w:val="16"/>
                <w:szCs w:val="16"/>
                <w:spacing w:val="-9"/>
              </w:rPr>
              <w:t>类</w:t>
            </w:r>
          </w:p>
        </w:tc>
        <w:tc>
          <w:tcPr>
            <w:tcW w:w="4028" w:type="dxa"/>
            <w:vAlign w:val="top"/>
          </w:tcPr>
          <w:p>
            <w:pPr>
              <w:pStyle w:val="TableText"/>
              <w:ind w:left="53"/>
              <w:spacing w:before="212" w:line="219" w:lineRule="auto"/>
              <w:rPr>
                <w:sz w:val="16"/>
                <w:szCs w:val="16"/>
              </w:rPr>
            </w:pPr>
            <w:r>
              <w:rPr>
                <w:sz w:val="16"/>
                <w:szCs w:val="16"/>
                <w:spacing w:val="-1"/>
              </w:rPr>
              <w:t>原创内容上传或分享</w:t>
            </w:r>
          </w:p>
        </w:tc>
      </w:tr>
      <w:tr>
        <w:trPr>
          <w:trHeight w:val="32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4" w:line="219" w:lineRule="auto"/>
              <w:rPr>
                <w:sz w:val="16"/>
                <w:szCs w:val="16"/>
              </w:rPr>
            </w:pPr>
            <w:r>
              <w:rPr>
                <w:sz w:val="16"/>
                <w:szCs w:val="16"/>
                <w:spacing w:val="-1"/>
              </w:rPr>
              <w:t>视听资讯类</w:t>
            </w:r>
          </w:p>
        </w:tc>
        <w:tc>
          <w:tcPr>
            <w:tcW w:w="4028" w:type="dxa"/>
            <w:vAlign w:val="top"/>
          </w:tcPr>
          <w:p>
            <w:pPr>
              <w:pStyle w:val="TableText"/>
              <w:ind w:left="53"/>
              <w:spacing w:before="84" w:line="219" w:lineRule="auto"/>
              <w:rPr>
                <w:sz w:val="16"/>
                <w:szCs w:val="16"/>
              </w:rPr>
            </w:pPr>
            <w:r>
              <w:rPr>
                <w:sz w:val="16"/>
                <w:szCs w:val="16"/>
                <w:spacing w:val="-1"/>
              </w:rPr>
              <w:t>广播电台、音频分享</w:t>
            </w:r>
          </w:p>
        </w:tc>
      </w:tr>
      <w:tr>
        <w:trPr>
          <w:trHeight w:val="330" w:hRule="atLeast"/>
        </w:trPr>
        <w:tc>
          <w:tcPr>
            <w:tcW w:w="764" w:type="dxa"/>
            <w:vAlign w:val="top"/>
            <w:vMerge w:val="continue"/>
            <w:tcBorders>
              <w:top w:val="nil"/>
            </w:tcBorders>
          </w:tcPr>
          <w:p>
            <w:pPr>
              <w:rPr>
                <w:rFonts w:ascii="Arial"/>
                <w:sz w:val="21"/>
              </w:rPr>
            </w:pPr>
            <w:r/>
          </w:p>
        </w:tc>
        <w:tc>
          <w:tcPr>
            <w:tcW w:w="1238" w:type="dxa"/>
            <w:vAlign w:val="top"/>
          </w:tcPr>
          <w:p>
            <w:pPr>
              <w:pStyle w:val="TableText"/>
              <w:ind w:left="51"/>
              <w:spacing w:before="93" w:line="219" w:lineRule="auto"/>
              <w:rPr>
                <w:sz w:val="16"/>
                <w:szCs w:val="16"/>
              </w:rPr>
            </w:pPr>
            <w:r>
              <w:rPr>
                <w:sz w:val="16"/>
                <w:szCs w:val="16"/>
                <w:spacing w:val="-2"/>
              </w:rPr>
              <w:t>新闻机构类</w:t>
            </w:r>
          </w:p>
        </w:tc>
        <w:tc>
          <w:tcPr>
            <w:tcW w:w="4028" w:type="dxa"/>
            <w:vAlign w:val="top"/>
          </w:tcPr>
          <w:p>
            <w:pPr>
              <w:pStyle w:val="TableText"/>
              <w:ind w:left="53"/>
              <w:spacing w:before="93" w:line="219" w:lineRule="auto"/>
              <w:rPr>
                <w:sz w:val="16"/>
                <w:szCs w:val="16"/>
              </w:rPr>
            </w:pPr>
            <w:r>
              <w:rPr>
                <w:sz w:val="16"/>
                <w:szCs w:val="16"/>
                <w:spacing w:val="-1"/>
              </w:rPr>
              <w:t>新闻采集、制作、发布、经营</w:t>
            </w:r>
          </w:p>
        </w:tc>
      </w:tr>
      <w:tr>
        <w:trPr>
          <w:trHeight w:val="319" w:hRule="atLeast"/>
        </w:trPr>
        <w:tc>
          <w:tcPr>
            <w:tcW w:w="764" w:type="dxa"/>
            <w:vAlign w:val="top"/>
            <w:vMerge w:val="restart"/>
            <w:tcBorders>
              <w:bottom w:val="nil"/>
            </w:tcBorders>
          </w:tcPr>
          <w:p>
            <w:pPr>
              <w:spacing w:line="354" w:lineRule="auto"/>
              <w:rPr>
                <w:rFonts w:ascii="Arial"/>
                <w:sz w:val="21"/>
              </w:rPr>
            </w:pPr>
            <w:r/>
          </w:p>
          <w:p>
            <w:pPr>
              <w:spacing w:line="354" w:lineRule="auto"/>
              <w:rPr>
                <w:rFonts w:ascii="Arial"/>
                <w:sz w:val="21"/>
              </w:rPr>
            </w:pPr>
            <w:r/>
          </w:p>
          <w:p>
            <w:pPr>
              <w:pStyle w:val="TableText"/>
              <w:ind w:left="44" w:right="66" w:firstLine="10"/>
              <w:spacing w:before="52" w:line="242" w:lineRule="auto"/>
              <w:rPr>
                <w:sz w:val="16"/>
                <w:szCs w:val="16"/>
              </w:rPr>
            </w:pPr>
            <w:r>
              <w:rPr>
                <w:sz w:val="16"/>
                <w:szCs w:val="16"/>
                <w:spacing w:val="-2"/>
              </w:rPr>
              <w:t>金融服务</w:t>
            </w:r>
            <w:r>
              <w:rPr>
                <w:sz w:val="16"/>
                <w:szCs w:val="16"/>
              </w:rPr>
              <w:t xml:space="preserve"> </w:t>
            </w:r>
            <w:r>
              <w:rPr>
                <w:sz w:val="16"/>
                <w:szCs w:val="16"/>
                <w:spacing w:val="5"/>
              </w:rPr>
              <w:t>类平台</w:t>
            </w:r>
          </w:p>
        </w:tc>
        <w:tc>
          <w:tcPr>
            <w:tcW w:w="1238" w:type="dxa"/>
            <w:vAlign w:val="top"/>
          </w:tcPr>
          <w:p>
            <w:pPr>
              <w:pStyle w:val="TableText"/>
              <w:ind w:left="51"/>
              <w:spacing w:before="84" w:line="219" w:lineRule="auto"/>
              <w:rPr>
                <w:sz w:val="16"/>
                <w:szCs w:val="16"/>
              </w:rPr>
            </w:pPr>
            <w:r>
              <w:rPr>
                <w:sz w:val="16"/>
                <w:szCs w:val="16"/>
                <w:spacing w:val="-2"/>
              </w:rPr>
              <w:t>综合金融服务</w:t>
            </w:r>
          </w:p>
        </w:tc>
        <w:tc>
          <w:tcPr>
            <w:tcW w:w="4028" w:type="dxa"/>
            <w:vAlign w:val="top"/>
          </w:tcPr>
          <w:p>
            <w:pPr>
              <w:pStyle w:val="TableText"/>
              <w:ind w:left="53"/>
              <w:spacing w:before="84" w:line="219" w:lineRule="auto"/>
              <w:rPr>
                <w:sz w:val="16"/>
                <w:szCs w:val="16"/>
              </w:rPr>
            </w:pPr>
            <w:r>
              <w:rPr>
                <w:sz w:val="16"/>
                <w:szCs w:val="16"/>
                <w:spacing w:val="-1"/>
              </w:rPr>
              <w:t>小微企业、个人消费者、普惠金融</w:t>
            </w:r>
          </w:p>
        </w:tc>
      </w:tr>
      <w:tr>
        <w:trPr>
          <w:trHeight w:val="32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5" w:line="219" w:lineRule="auto"/>
              <w:rPr>
                <w:sz w:val="16"/>
                <w:szCs w:val="16"/>
              </w:rPr>
            </w:pPr>
            <w:r>
              <w:rPr>
                <w:sz w:val="16"/>
                <w:szCs w:val="16"/>
                <w:spacing w:val="-2"/>
              </w:rPr>
              <w:t>支付结算类</w:t>
            </w:r>
          </w:p>
        </w:tc>
        <w:tc>
          <w:tcPr>
            <w:tcW w:w="4028" w:type="dxa"/>
            <w:vAlign w:val="top"/>
          </w:tcPr>
          <w:p>
            <w:pPr>
              <w:pStyle w:val="TableText"/>
              <w:ind w:left="53"/>
              <w:spacing w:before="85" w:line="219" w:lineRule="auto"/>
              <w:rPr>
                <w:sz w:val="16"/>
                <w:szCs w:val="16"/>
              </w:rPr>
            </w:pPr>
            <w:r>
              <w:rPr>
                <w:sz w:val="16"/>
                <w:szCs w:val="16"/>
                <w:spacing w:val="-1"/>
              </w:rPr>
              <w:t>互联网支付、电话支付</w:t>
            </w:r>
          </w:p>
        </w:tc>
      </w:tr>
      <w:tr>
        <w:trPr>
          <w:trHeight w:val="32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85" w:line="219" w:lineRule="auto"/>
              <w:rPr>
                <w:sz w:val="16"/>
                <w:szCs w:val="16"/>
              </w:rPr>
            </w:pPr>
            <w:r>
              <w:rPr>
                <w:sz w:val="16"/>
                <w:szCs w:val="16"/>
                <w:spacing w:val="-2"/>
              </w:rPr>
              <w:t>消费金融类</w:t>
            </w:r>
          </w:p>
        </w:tc>
        <w:tc>
          <w:tcPr>
            <w:tcW w:w="4028" w:type="dxa"/>
            <w:vAlign w:val="top"/>
          </w:tcPr>
          <w:p>
            <w:pPr>
              <w:pStyle w:val="TableText"/>
              <w:ind w:left="53"/>
              <w:spacing w:before="85" w:line="219" w:lineRule="auto"/>
              <w:rPr>
                <w:sz w:val="16"/>
                <w:szCs w:val="16"/>
              </w:rPr>
            </w:pPr>
            <w:r>
              <w:rPr>
                <w:sz w:val="16"/>
                <w:szCs w:val="16"/>
                <w:spacing w:val="-2"/>
              </w:rPr>
              <w:t>消费贷款</w:t>
            </w:r>
          </w:p>
        </w:tc>
      </w:tr>
      <w:tr>
        <w:trPr>
          <w:trHeight w:val="330" w:hRule="atLeast"/>
        </w:trPr>
        <w:tc>
          <w:tcPr>
            <w:tcW w:w="764" w:type="dxa"/>
            <w:vAlign w:val="top"/>
            <w:vMerge w:val="continue"/>
            <w:tcBorders>
              <w:top w:val="nil"/>
              <w:bottom w:val="nil"/>
            </w:tcBorders>
          </w:tcPr>
          <w:p>
            <w:pPr>
              <w:rPr>
                <w:rFonts w:ascii="Arial"/>
                <w:sz w:val="21"/>
              </w:rPr>
            </w:pPr>
            <w:r/>
          </w:p>
        </w:tc>
        <w:tc>
          <w:tcPr>
            <w:tcW w:w="1238" w:type="dxa"/>
            <w:vAlign w:val="top"/>
          </w:tcPr>
          <w:p>
            <w:pPr>
              <w:pStyle w:val="TableText"/>
              <w:ind w:left="51"/>
              <w:spacing w:before="95" w:line="219" w:lineRule="auto"/>
              <w:rPr>
                <w:sz w:val="16"/>
                <w:szCs w:val="16"/>
              </w:rPr>
            </w:pPr>
            <w:r>
              <w:rPr>
                <w:sz w:val="16"/>
                <w:szCs w:val="16"/>
                <w:spacing w:val="-2"/>
              </w:rPr>
              <w:t>金融资讯类</w:t>
            </w:r>
          </w:p>
        </w:tc>
        <w:tc>
          <w:tcPr>
            <w:tcW w:w="4028" w:type="dxa"/>
            <w:vAlign w:val="top"/>
          </w:tcPr>
          <w:p>
            <w:pPr>
              <w:pStyle w:val="TableText"/>
              <w:ind w:left="53"/>
              <w:spacing w:before="94" w:line="218" w:lineRule="auto"/>
              <w:rPr>
                <w:sz w:val="16"/>
                <w:szCs w:val="16"/>
              </w:rPr>
            </w:pPr>
            <w:r>
              <w:rPr>
                <w:sz w:val="16"/>
                <w:szCs w:val="16"/>
                <w:spacing w:val="-1"/>
              </w:rPr>
              <w:t>行情报价、财经信息、金融数据</w:t>
            </w:r>
          </w:p>
        </w:tc>
      </w:tr>
      <w:tr>
        <w:trPr>
          <w:trHeight w:val="564" w:hRule="atLeast"/>
        </w:trPr>
        <w:tc>
          <w:tcPr>
            <w:tcW w:w="764" w:type="dxa"/>
            <w:vAlign w:val="top"/>
            <w:vMerge w:val="continue"/>
            <w:tcBorders>
              <w:top w:val="nil"/>
            </w:tcBorders>
          </w:tcPr>
          <w:p>
            <w:pPr>
              <w:rPr>
                <w:rFonts w:ascii="Arial"/>
                <w:sz w:val="21"/>
              </w:rPr>
            </w:pPr>
            <w:r/>
          </w:p>
        </w:tc>
        <w:tc>
          <w:tcPr>
            <w:tcW w:w="1238" w:type="dxa"/>
            <w:vAlign w:val="top"/>
          </w:tcPr>
          <w:p>
            <w:pPr>
              <w:pStyle w:val="TableText"/>
              <w:ind w:left="51"/>
              <w:spacing w:before="205" w:line="219" w:lineRule="auto"/>
              <w:rPr>
                <w:sz w:val="16"/>
                <w:szCs w:val="16"/>
              </w:rPr>
            </w:pPr>
            <w:r>
              <w:rPr>
                <w:sz w:val="16"/>
                <w:szCs w:val="16"/>
                <w:spacing w:val="-1"/>
              </w:rPr>
              <w:t>证券投资类</w:t>
            </w:r>
          </w:p>
        </w:tc>
        <w:tc>
          <w:tcPr>
            <w:tcW w:w="4028" w:type="dxa"/>
            <w:vAlign w:val="top"/>
          </w:tcPr>
          <w:p>
            <w:pPr>
              <w:pStyle w:val="TableText"/>
              <w:ind w:left="53" w:right="113" w:firstLine="20"/>
              <w:spacing w:before="94" w:line="256" w:lineRule="auto"/>
              <w:rPr>
                <w:sz w:val="16"/>
                <w:szCs w:val="16"/>
              </w:rPr>
            </w:pPr>
            <w:r>
              <w:rPr>
                <w:sz w:val="16"/>
                <w:szCs w:val="16"/>
                <w:spacing w:val="-1"/>
              </w:rPr>
              <w:t>为金融机构提供IT解决方案、为个人投资者提供财富管</w:t>
            </w:r>
            <w:r>
              <w:rPr>
                <w:sz w:val="16"/>
                <w:szCs w:val="16"/>
                <w:spacing w:val="15"/>
              </w:rPr>
              <w:t xml:space="preserve"> </w:t>
            </w:r>
            <w:r>
              <w:rPr>
                <w:sz w:val="16"/>
                <w:szCs w:val="16"/>
                <w:spacing w:val="-2"/>
              </w:rPr>
              <w:t>理工具</w:t>
            </w:r>
          </w:p>
        </w:tc>
      </w:tr>
    </w:tbl>
    <w:p>
      <w:pPr>
        <w:pStyle w:val="BodyText"/>
        <w:rPr/>
      </w:pPr>
      <w:r/>
    </w:p>
    <w:p>
      <w:pPr>
        <w:sectPr>
          <w:headerReference w:type="default" r:id="rId558"/>
          <w:pgSz w:w="7330" w:h="12480"/>
          <w:pgMar w:top="549" w:right="605" w:bottom="400" w:left="650" w:header="385" w:footer="0" w:gutter="0"/>
        </w:sectPr>
        <w:rPr/>
      </w:pPr>
    </w:p>
    <w:p>
      <w:pPr>
        <w:pStyle w:val="BodyText"/>
        <w:spacing w:line="315" w:lineRule="auto"/>
        <w:rPr/>
      </w:pPr>
      <w:r/>
    </w:p>
    <w:p>
      <w:pPr>
        <w:pStyle w:val="BodyText"/>
        <w:spacing w:line="315" w:lineRule="auto"/>
        <w:rPr/>
      </w:pPr>
      <w:r/>
    </w:p>
    <w:p>
      <w:pPr>
        <w:pStyle w:val="BodyText"/>
        <w:spacing w:line="316" w:lineRule="auto"/>
        <w:rPr/>
      </w:pPr>
      <w:r/>
    </w:p>
    <w:p>
      <w:pPr>
        <w:ind w:right="6"/>
        <w:spacing w:before="69" w:line="220" w:lineRule="auto"/>
        <w:jc w:val="right"/>
        <w:rPr>
          <w:rFonts w:ascii="SimSun" w:hAnsi="SimSun" w:eastAsia="SimSun" w:cs="SimSun"/>
          <w:sz w:val="21"/>
          <w:szCs w:val="21"/>
        </w:rPr>
      </w:pPr>
      <w:r>
        <w:rPr>
          <w:rFonts w:ascii="SimSun" w:hAnsi="SimSun" w:eastAsia="SimSun" w:cs="SimSun"/>
          <w:sz w:val="21"/>
          <w:szCs w:val="21"/>
          <w:spacing w:val="-17"/>
          <w:w w:val="97"/>
        </w:rPr>
        <w:t>(续表)</w:t>
      </w:r>
    </w:p>
    <w:p>
      <w:pPr>
        <w:spacing w:line="85" w:lineRule="exact"/>
        <w:rPr/>
      </w:pPr>
      <w:r/>
    </w:p>
    <w:tbl>
      <w:tblPr>
        <w:tblStyle w:val="TableNormal"/>
        <w:tblW w:w="60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74"/>
        <w:gridCol w:w="1228"/>
        <w:gridCol w:w="4048"/>
      </w:tblGrid>
      <w:tr>
        <w:trPr>
          <w:trHeight w:val="334" w:hRule="atLeast"/>
        </w:trPr>
        <w:tc>
          <w:tcPr>
            <w:tcW w:w="774" w:type="dxa"/>
            <w:vAlign w:val="top"/>
          </w:tcPr>
          <w:p>
            <w:pPr>
              <w:pStyle w:val="TableText"/>
              <w:ind w:left="217"/>
              <w:spacing w:before="89" w:line="219" w:lineRule="auto"/>
              <w:rPr>
                <w:sz w:val="16"/>
                <w:szCs w:val="16"/>
              </w:rPr>
            </w:pPr>
            <w:r>
              <w:rPr>
                <w:sz w:val="16"/>
                <w:szCs w:val="16"/>
                <w:b/>
                <w:bCs/>
                <w:spacing w:val="-4"/>
              </w:rPr>
              <w:t>大类</w:t>
            </w:r>
          </w:p>
        </w:tc>
        <w:tc>
          <w:tcPr>
            <w:tcW w:w="1228" w:type="dxa"/>
            <w:vAlign w:val="top"/>
          </w:tcPr>
          <w:p>
            <w:pPr>
              <w:pStyle w:val="TableText"/>
              <w:ind w:left="293"/>
              <w:spacing w:before="89" w:line="220" w:lineRule="auto"/>
              <w:rPr>
                <w:sz w:val="16"/>
                <w:szCs w:val="16"/>
              </w:rPr>
            </w:pPr>
            <w:r>
              <w:rPr>
                <w:sz w:val="16"/>
                <w:szCs w:val="16"/>
                <w:b/>
                <w:bCs/>
                <w:spacing w:val="-3"/>
              </w:rPr>
              <w:t>平台细分</w:t>
            </w:r>
          </w:p>
        </w:tc>
        <w:tc>
          <w:tcPr>
            <w:tcW w:w="4048" w:type="dxa"/>
            <w:vAlign w:val="top"/>
          </w:tcPr>
          <w:p>
            <w:pPr>
              <w:pStyle w:val="TableText"/>
              <w:ind w:left="1705"/>
              <w:spacing w:before="89" w:line="220" w:lineRule="auto"/>
              <w:rPr>
                <w:sz w:val="16"/>
                <w:szCs w:val="16"/>
              </w:rPr>
            </w:pPr>
            <w:r>
              <w:rPr>
                <w:sz w:val="16"/>
                <w:szCs w:val="16"/>
                <w:b/>
                <w:bCs/>
                <w:spacing w:val="-3"/>
              </w:rPr>
              <w:t>涵盖领域</w:t>
            </w:r>
          </w:p>
        </w:tc>
      </w:tr>
      <w:tr>
        <w:trPr>
          <w:trHeight w:val="558" w:hRule="atLeast"/>
        </w:trPr>
        <w:tc>
          <w:tcPr>
            <w:tcW w:w="774" w:type="dxa"/>
            <w:vAlign w:val="top"/>
            <w:vMerge w:val="restart"/>
            <w:tcBorders>
              <w:bottom w:val="nil"/>
            </w:tcBorders>
          </w:tcPr>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pStyle w:val="TableText"/>
              <w:ind w:left="55" w:right="51"/>
              <w:spacing w:before="52" w:line="248" w:lineRule="auto"/>
              <w:rPr>
                <w:sz w:val="16"/>
                <w:szCs w:val="16"/>
              </w:rPr>
            </w:pPr>
            <w:r>
              <w:rPr>
                <w:sz w:val="16"/>
                <w:szCs w:val="16"/>
                <w:spacing w:val="-2"/>
              </w:rPr>
              <w:t>计算机应</w:t>
            </w:r>
            <w:r>
              <w:rPr>
                <w:sz w:val="16"/>
                <w:szCs w:val="16"/>
              </w:rPr>
              <w:t xml:space="preserve"> </w:t>
            </w:r>
            <w:r>
              <w:rPr>
                <w:sz w:val="16"/>
                <w:szCs w:val="16"/>
                <w:spacing w:val="4"/>
              </w:rPr>
              <w:t>用类平台</w:t>
            </w:r>
          </w:p>
        </w:tc>
        <w:tc>
          <w:tcPr>
            <w:tcW w:w="1228" w:type="dxa"/>
            <w:vAlign w:val="top"/>
          </w:tcPr>
          <w:p>
            <w:pPr>
              <w:pStyle w:val="TableText"/>
              <w:ind w:left="31"/>
              <w:spacing w:before="197" w:line="219" w:lineRule="auto"/>
              <w:rPr>
                <w:sz w:val="16"/>
                <w:szCs w:val="16"/>
              </w:rPr>
            </w:pPr>
            <w:r>
              <w:rPr>
                <w:sz w:val="16"/>
                <w:szCs w:val="16"/>
                <w:spacing w:val="-2"/>
              </w:rPr>
              <w:t>智能终端类</w:t>
            </w:r>
          </w:p>
        </w:tc>
        <w:tc>
          <w:tcPr>
            <w:tcW w:w="4048" w:type="dxa"/>
            <w:vAlign w:val="top"/>
          </w:tcPr>
          <w:p>
            <w:pPr>
              <w:pStyle w:val="TableText"/>
              <w:ind w:left="62" w:right="312" w:hanging="9"/>
              <w:spacing w:before="97" w:line="248" w:lineRule="auto"/>
              <w:rPr>
                <w:sz w:val="16"/>
                <w:szCs w:val="16"/>
              </w:rPr>
            </w:pPr>
            <w:r>
              <w:rPr>
                <w:sz w:val="16"/>
                <w:szCs w:val="16"/>
                <w:spacing w:val="-1"/>
              </w:rPr>
              <w:t>数据通信设备、信息系统、智能系统、无线数据的开</w:t>
            </w:r>
            <w:r>
              <w:rPr>
                <w:sz w:val="16"/>
                <w:szCs w:val="16"/>
                <w:spacing w:val="14"/>
              </w:rPr>
              <w:t xml:space="preserve"> </w:t>
            </w:r>
            <w:r>
              <w:rPr>
                <w:sz w:val="16"/>
                <w:szCs w:val="16"/>
                <w:spacing w:val="-2"/>
              </w:rPr>
              <w:t>发、生产、销售</w:t>
            </w:r>
          </w:p>
        </w:tc>
      </w:tr>
      <w:tr>
        <w:trPr>
          <w:trHeight w:val="558" w:hRule="atLeast"/>
        </w:trPr>
        <w:tc>
          <w:tcPr>
            <w:tcW w:w="774" w:type="dxa"/>
            <w:vAlign w:val="top"/>
            <w:vMerge w:val="continue"/>
            <w:tcBorders>
              <w:top w:val="nil"/>
              <w:bottom w:val="nil"/>
            </w:tcBorders>
          </w:tcPr>
          <w:p>
            <w:pPr>
              <w:rPr>
                <w:rFonts w:ascii="Arial"/>
                <w:sz w:val="21"/>
              </w:rPr>
            </w:pPr>
            <w:r/>
          </w:p>
        </w:tc>
        <w:tc>
          <w:tcPr>
            <w:tcW w:w="1228" w:type="dxa"/>
            <w:vAlign w:val="top"/>
          </w:tcPr>
          <w:p>
            <w:pPr>
              <w:pStyle w:val="TableText"/>
              <w:ind w:left="31"/>
              <w:spacing w:before="199" w:line="219" w:lineRule="auto"/>
              <w:rPr>
                <w:sz w:val="16"/>
                <w:szCs w:val="16"/>
              </w:rPr>
            </w:pPr>
            <w:r>
              <w:rPr>
                <w:sz w:val="16"/>
                <w:szCs w:val="16"/>
                <w:spacing w:val="-1"/>
              </w:rPr>
              <w:t>操作系统类</w:t>
            </w:r>
          </w:p>
        </w:tc>
        <w:tc>
          <w:tcPr>
            <w:tcW w:w="4048" w:type="dxa"/>
            <w:vAlign w:val="top"/>
          </w:tcPr>
          <w:p>
            <w:pPr>
              <w:pStyle w:val="TableText"/>
              <w:ind w:left="62" w:right="545" w:hanging="9"/>
              <w:spacing w:before="88" w:line="250" w:lineRule="auto"/>
              <w:rPr>
                <w:sz w:val="16"/>
                <w:szCs w:val="16"/>
              </w:rPr>
            </w:pPr>
            <w:r>
              <w:rPr>
                <w:sz w:val="16"/>
                <w:szCs w:val="16"/>
                <w:spacing w:val="3"/>
              </w:rPr>
              <w:t>移动操作系统、分布式操作系统的研发、生成、</w:t>
            </w:r>
            <w:r>
              <w:rPr>
                <w:sz w:val="16"/>
                <w:szCs w:val="16"/>
                <w:spacing w:val="15"/>
              </w:rPr>
              <w:t xml:space="preserve"> </w:t>
            </w:r>
            <w:r>
              <w:rPr>
                <w:sz w:val="16"/>
                <w:szCs w:val="16"/>
                <w:spacing w:val="-2"/>
              </w:rPr>
              <w:t>销售</w:t>
            </w:r>
          </w:p>
        </w:tc>
      </w:tr>
      <w:tr>
        <w:trPr>
          <w:trHeight w:val="329" w:hRule="atLeast"/>
        </w:trPr>
        <w:tc>
          <w:tcPr>
            <w:tcW w:w="774" w:type="dxa"/>
            <w:vAlign w:val="top"/>
            <w:vMerge w:val="continue"/>
            <w:tcBorders>
              <w:top w:val="nil"/>
              <w:bottom w:val="nil"/>
            </w:tcBorders>
          </w:tcPr>
          <w:p>
            <w:pPr>
              <w:rPr>
                <w:rFonts w:ascii="Arial"/>
                <w:sz w:val="21"/>
              </w:rPr>
            </w:pPr>
            <w:r/>
          </w:p>
        </w:tc>
        <w:tc>
          <w:tcPr>
            <w:tcW w:w="1228" w:type="dxa"/>
            <w:vAlign w:val="top"/>
          </w:tcPr>
          <w:p>
            <w:pPr>
              <w:pStyle w:val="TableText"/>
              <w:ind w:left="31"/>
              <w:spacing w:before="87" w:line="214" w:lineRule="auto"/>
              <w:rPr>
                <w:sz w:val="16"/>
                <w:szCs w:val="16"/>
              </w:rPr>
            </w:pPr>
            <w:r>
              <w:rPr>
                <w:sz w:val="16"/>
                <w:szCs w:val="16"/>
                <w:spacing w:val="-1"/>
              </w:rPr>
              <w:t>App应用商店类</w:t>
            </w:r>
          </w:p>
        </w:tc>
        <w:tc>
          <w:tcPr>
            <w:tcW w:w="4048" w:type="dxa"/>
            <w:vAlign w:val="top"/>
          </w:tcPr>
          <w:p>
            <w:pPr>
              <w:pStyle w:val="TableText"/>
              <w:ind w:left="62"/>
              <w:spacing w:before="87" w:line="214" w:lineRule="auto"/>
              <w:rPr>
                <w:sz w:val="16"/>
                <w:szCs w:val="16"/>
              </w:rPr>
            </w:pPr>
            <w:r>
              <w:rPr>
                <w:sz w:val="16"/>
                <w:szCs w:val="16"/>
                <w:spacing w:val="-1"/>
              </w:rPr>
              <w:t>分析、设计、编码、生成App软件</w:t>
            </w:r>
          </w:p>
        </w:tc>
      </w:tr>
      <w:tr>
        <w:trPr>
          <w:trHeight w:val="309" w:hRule="atLeast"/>
        </w:trPr>
        <w:tc>
          <w:tcPr>
            <w:tcW w:w="774" w:type="dxa"/>
            <w:vAlign w:val="top"/>
            <w:vMerge w:val="continue"/>
            <w:tcBorders>
              <w:top w:val="nil"/>
              <w:bottom w:val="nil"/>
            </w:tcBorders>
          </w:tcPr>
          <w:p>
            <w:pPr>
              <w:rPr>
                <w:rFonts w:ascii="Arial"/>
                <w:sz w:val="21"/>
              </w:rPr>
            </w:pPr>
            <w:r/>
          </w:p>
        </w:tc>
        <w:tc>
          <w:tcPr>
            <w:tcW w:w="1228" w:type="dxa"/>
            <w:vAlign w:val="top"/>
          </w:tcPr>
          <w:p>
            <w:pPr>
              <w:pStyle w:val="TableText"/>
              <w:ind w:left="31"/>
              <w:spacing w:before="82" w:line="219" w:lineRule="auto"/>
              <w:rPr>
                <w:sz w:val="16"/>
                <w:szCs w:val="16"/>
              </w:rPr>
            </w:pPr>
            <w:r>
              <w:rPr>
                <w:sz w:val="16"/>
                <w:szCs w:val="16"/>
                <w:spacing w:val="-1"/>
              </w:rPr>
              <w:t>信息管理类</w:t>
            </w:r>
          </w:p>
        </w:tc>
        <w:tc>
          <w:tcPr>
            <w:tcW w:w="4048" w:type="dxa"/>
            <w:vAlign w:val="top"/>
          </w:tcPr>
          <w:p>
            <w:pPr>
              <w:pStyle w:val="TableText"/>
              <w:ind w:left="62"/>
              <w:spacing w:before="82" w:line="219" w:lineRule="auto"/>
              <w:rPr>
                <w:sz w:val="16"/>
                <w:szCs w:val="16"/>
              </w:rPr>
            </w:pPr>
            <w:r>
              <w:rPr>
                <w:sz w:val="16"/>
                <w:szCs w:val="16"/>
                <w:spacing w:val="-1"/>
              </w:rPr>
              <w:t>ERP管理软件、财务系统、IT资讯</w:t>
            </w:r>
          </w:p>
        </w:tc>
      </w:tr>
      <w:tr>
        <w:trPr>
          <w:trHeight w:val="329" w:hRule="atLeast"/>
        </w:trPr>
        <w:tc>
          <w:tcPr>
            <w:tcW w:w="774" w:type="dxa"/>
            <w:vAlign w:val="top"/>
            <w:vMerge w:val="continue"/>
            <w:tcBorders>
              <w:top w:val="nil"/>
              <w:bottom w:val="nil"/>
            </w:tcBorders>
          </w:tcPr>
          <w:p>
            <w:pPr>
              <w:rPr>
                <w:rFonts w:ascii="Arial"/>
                <w:sz w:val="21"/>
              </w:rPr>
            </w:pPr>
            <w:r/>
          </w:p>
        </w:tc>
        <w:tc>
          <w:tcPr>
            <w:tcW w:w="1228" w:type="dxa"/>
            <w:vAlign w:val="top"/>
          </w:tcPr>
          <w:p>
            <w:pPr>
              <w:pStyle w:val="TableText"/>
              <w:ind w:left="31"/>
              <w:spacing w:before="93" w:line="219" w:lineRule="auto"/>
              <w:rPr>
                <w:sz w:val="16"/>
                <w:szCs w:val="16"/>
              </w:rPr>
            </w:pPr>
            <w:r>
              <w:rPr>
                <w:sz w:val="16"/>
                <w:szCs w:val="16"/>
                <w:spacing w:val="-2"/>
              </w:rPr>
              <w:t>云计算类</w:t>
            </w:r>
          </w:p>
        </w:tc>
        <w:tc>
          <w:tcPr>
            <w:tcW w:w="4048" w:type="dxa"/>
            <w:vAlign w:val="top"/>
          </w:tcPr>
          <w:p>
            <w:pPr>
              <w:pStyle w:val="TableText"/>
              <w:ind w:left="62"/>
              <w:spacing w:before="93" w:line="219" w:lineRule="auto"/>
              <w:rPr>
                <w:sz w:val="16"/>
                <w:szCs w:val="16"/>
              </w:rPr>
            </w:pPr>
            <w:r>
              <w:rPr>
                <w:sz w:val="16"/>
                <w:szCs w:val="16"/>
                <w:spacing w:val="-3"/>
              </w:rPr>
              <w:t>云计算</w:t>
            </w:r>
          </w:p>
        </w:tc>
      </w:tr>
      <w:tr>
        <w:trPr>
          <w:trHeight w:val="559" w:hRule="atLeast"/>
        </w:trPr>
        <w:tc>
          <w:tcPr>
            <w:tcW w:w="774" w:type="dxa"/>
            <w:vAlign w:val="top"/>
            <w:vMerge w:val="continue"/>
            <w:tcBorders>
              <w:top w:val="nil"/>
              <w:bottom w:val="nil"/>
            </w:tcBorders>
          </w:tcPr>
          <w:p>
            <w:pPr>
              <w:rPr>
                <w:rFonts w:ascii="Arial"/>
                <w:sz w:val="21"/>
              </w:rPr>
            </w:pPr>
            <w:r/>
          </w:p>
        </w:tc>
        <w:tc>
          <w:tcPr>
            <w:tcW w:w="1228" w:type="dxa"/>
            <w:vAlign w:val="top"/>
          </w:tcPr>
          <w:p>
            <w:pPr>
              <w:pStyle w:val="TableText"/>
              <w:ind w:left="31"/>
              <w:spacing w:before="204" w:line="219" w:lineRule="auto"/>
              <w:rPr>
                <w:sz w:val="16"/>
                <w:szCs w:val="16"/>
              </w:rPr>
            </w:pPr>
            <w:r>
              <w:rPr>
                <w:sz w:val="16"/>
                <w:szCs w:val="16"/>
                <w:spacing w:val="1"/>
              </w:rPr>
              <w:t>网络服务类</w:t>
            </w:r>
          </w:p>
        </w:tc>
        <w:tc>
          <w:tcPr>
            <w:tcW w:w="4048" w:type="dxa"/>
            <w:vAlign w:val="top"/>
          </w:tcPr>
          <w:p>
            <w:pPr>
              <w:pStyle w:val="TableText"/>
              <w:ind w:left="62" w:right="161" w:hanging="20"/>
              <w:spacing w:before="94" w:line="254" w:lineRule="auto"/>
              <w:rPr>
                <w:sz w:val="16"/>
                <w:szCs w:val="16"/>
              </w:rPr>
            </w:pPr>
            <w:r>
              <w:rPr>
                <w:sz w:val="16"/>
                <w:szCs w:val="16"/>
                <w:spacing w:val="-1"/>
              </w:rPr>
              <w:t>域名服务、动态主机配置协议、文件传输协议、远程终</w:t>
            </w:r>
            <w:r>
              <w:rPr>
                <w:sz w:val="16"/>
                <w:szCs w:val="16"/>
                <w:spacing w:val="16"/>
              </w:rPr>
              <w:t xml:space="preserve"> </w:t>
            </w:r>
            <w:r>
              <w:rPr>
                <w:sz w:val="16"/>
                <w:szCs w:val="16"/>
                <w:spacing w:val="-2"/>
              </w:rPr>
              <w:t>端协议</w:t>
            </w:r>
          </w:p>
        </w:tc>
      </w:tr>
      <w:tr>
        <w:trPr>
          <w:trHeight w:val="324" w:hRule="atLeast"/>
        </w:trPr>
        <w:tc>
          <w:tcPr>
            <w:tcW w:w="774" w:type="dxa"/>
            <w:vAlign w:val="top"/>
            <w:vMerge w:val="continue"/>
            <w:tcBorders>
              <w:top w:val="nil"/>
            </w:tcBorders>
          </w:tcPr>
          <w:p>
            <w:pPr>
              <w:rPr>
                <w:rFonts w:ascii="Arial"/>
                <w:sz w:val="21"/>
              </w:rPr>
            </w:pPr>
            <w:r/>
          </w:p>
        </w:tc>
        <w:tc>
          <w:tcPr>
            <w:tcW w:w="1228" w:type="dxa"/>
            <w:vAlign w:val="top"/>
          </w:tcPr>
          <w:p>
            <w:pPr>
              <w:pStyle w:val="TableText"/>
              <w:ind w:left="31"/>
              <w:spacing w:before="85" w:line="219" w:lineRule="auto"/>
              <w:rPr>
                <w:sz w:val="16"/>
                <w:szCs w:val="16"/>
              </w:rPr>
            </w:pPr>
            <w:r>
              <w:rPr>
                <w:sz w:val="16"/>
                <w:szCs w:val="16"/>
                <w:spacing w:val="-2"/>
              </w:rPr>
              <w:t>工业互联网类</w:t>
            </w:r>
          </w:p>
        </w:tc>
        <w:tc>
          <w:tcPr>
            <w:tcW w:w="4048" w:type="dxa"/>
            <w:vAlign w:val="top"/>
          </w:tcPr>
          <w:p>
            <w:pPr>
              <w:pStyle w:val="TableText"/>
              <w:ind w:left="62"/>
              <w:spacing w:before="85" w:line="219" w:lineRule="auto"/>
              <w:rPr>
                <w:sz w:val="16"/>
                <w:szCs w:val="16"/>
              </w:rPr>
            </w:pPr>
            <w:r>
              <w:rPr>
                <w:sz w:val="16"/>
                <w:szCs w:val="16"/>
                <w:spacing w:val="-1"/>
              </w:rPr>
              <w:t>平台设计、智能制造、网络协同、个性定制、数字管理</w:t>
            </w:r>
          </w:p>
        </w:tc>
      </w:tr>
    </w:tbl>
    <w:p>
      <w:pPr>
        <w:ind w:left="4" w:firstLine="285"/>
        <w:spacing w:before="285" w:line="303" w:lineRule="auto"/>
        <w:jc w:val="both"/>
        <w:rPr>
          <w:rFonts w:ascii="SimSun" w:hAnsi="SimSun" w:eastAsia="SimSun" w:cs="SimSun"/>
          <w:sz w:val="21"/>
          <w:szCs w:val="21"/>
        </w:rPr>
      </w:pPr>
      <w:r>
        <w:rPr>
          <w:rFonts w:ascii="SimSun" w:hAnsi="SimSun" w:eastAsia="SimSun" w:cs="SimSun"/>
          <w:sz w:val="21"/>
          <w:szCs w:val="21"/>
          <w:spacing w:val="-2"/>
        </w:rPr>
        <w:t>《指南》在行业界定的基础上，依据用户规模(平</w:t>
      </w:r>
      <w:r>
        <w:rPr>
          <w:rFonts w:ascii="SimSun" w:hAnsi="SimSun" w:eastAsia="SimSun" w:cs="SimSun"/>
          <w:sz w:val="21"/>
          <w:szCs w:val="21"/>
          <w:spacing w:val="-3"/>
        </w:rPr>
        <w:t>台在中国年活</w:t>
      </w:r>
      <w:r>
        <w:rPr>
          <w:rFonts w:ascii="SimSun" w:hAnsi="SimSun" w:eastAsia="SimSun" w:cs="SimSun"/>
          <w:sz w:val="21"/>
          <w:szCs w:val="21"/>
        </w:rPr>
        <w:t xml:space="preserve"> </w:t>
      </w:r>
      <w:r>
        <w:rPr>
          <w:rFonts w:ascii="SimSun" w:hAnsi="SimSun" w:eastAsia="SimSun" w:cs="SimSun"/>
          <w:sz w:val="21"/>
          <w:szCs w:val="21"/>
          <w:spacing w:val="3"/>
        </w:rPr>
        <w:t>跃用户数)、业务种类(平台分类涉及的平台业务)和限制能力(平 </w:t>
      </w:r>
      <w:r>
        <w:rPr>
          <w:rFonts w:ascii="SimSun" w:hAnsi="SimSun" w:eastAsia="SimSun" w:cs="SimSun"/>
          <w:sz w:val="21"/>
          <w:szCs w:val="21"/>
          <w:spacing w:val="-8"/>
        </w:rPr>
        <w:t>台具有的限制或阻碍商户接触消费者的能力),将平台分为超级平台、</w:t>
      </w:r>
      <w:r>
        <w:rPr>
          <w:rFonts w:ascii="SimSun" w:hAnsi="SimSun" w:eastAsia="SimSun" w:cs="SimSun"/>
          <w:sz w:val="21"/>
          <w:szCs w:val="21"/>
          <w:spacing w:val="12"/>
        </w:rPr>
        <w:t xml:space="preserve"> </w:t>
      </w:r>
      <w:r>
        <w:rPr>
          <w:rFonts w:ascii="SimSun" w:hAnsi="SimSun" w:eastAsia="SimSun" w:cs="SimSun"/>
          <w:sz w:val="21"/>
          <w:szCs w:val="21"/>
          <w:spacing w:val="-10"/>
        </w:rPr>
        <w:t>大型平台和中小型平台。其中超级平台是指在</w:t>
      </w:r>
      <w:r>
        <w:rPr>
          <w:rFonts w:ascii="SimSun" w:hAnsi="SimSun" w:eastAsia="SimSun" w:cs="SimSun"/>
          <w:sz w:val="21"/>
          <w:szCs w:val="21"/>
          <w:spacing w:val="-11"/>
        </w:rPr>
        <w:t>中国上年度活跃用户不 </w:t>
      </w:r>
      <w:r>
        <w:rPr>
          <w:rFonts w:ascii="SimSun" w:hAnsi="SimSun" w:eastAsia="SimSun" w:cs="SimSun"/>
          <w:sz w:val="21"/>
          <w:szCs w:val="21"/>
        </w:rPr>
        <w:t>低于5亿、核心业务至少涉及两类平台、上年底</w:t>
      </w:r>
      <w:r>
        <w:rPr>
          <w:rFonts w:ascii="SimSun" w:hAnsi="SimSun" w:eastAsia="SimSun" w:cs="SimSun"/>
          <w:sz w:val="21"/>
          <w:szCs w:val="21"/>
          <w:spacing w:val="-1"/>
        </w:rPr>
        <w:t>市值(估值)不低于</w:t>
      </w:r>
      <w:r>
        <w:rPr>
          <w:rFonts w:ascii="SimSun" w:hAnsi="SimSun" w:eastAsia="SimSun" w:cs="SimSun"/>
          <w:sz w:val="21"/>
          <w:szCs w:val="21"/>
        </w:rPr>
        <w:t xml:space="preserve">  </w:t>
      </w:r>
      <w:r>
        <w:rPr>
          <w:rFonts w:ascii="SimSun" w:hAnsi="SimSun" w:eastAsia="SimSun" w:cs="SimSun"/>
          <w:sz w:val="21"/>
          <w:szCs w:val="21"/>
          <w:spacing w:val="7"/>
        </w:rPr>
        <w:t>人民币1万亿元和具有超强的限制商户接触消费者(用户)能力的</w:t>
      </w:r>
      <w:r>
        <w:rPr>
          <w:rFonts w:ascii="SimSun" w:hAnsi="SimSun" w:eastAsia="SimSun" w:cs="SimSun"/>
          <w:sz w:val="21"/>
          <w:szCs w:val="21"/>
          <w:spacing w:val="17"/>
        </w:rPr>
        <w:t xml:space="preserve"> </w:t>
      </w:r>
      <w:r>
        <w:rPr>
          <w:rFonts w:ascii="SimSun" w:hAnsi="SimSun" w:eastAsia="SimSun" w:cs="SimSun"/>
          <w:sz w:val="21"/>
          <w:szCs w:val="21"/>
          <w:spacing w:val="-9"/>
        </w:rPr>
        <w:t>平台。</w:t>
      </w:r>
    </w:p>
    <w:p>
      <w:pPr>
        <w:ind w:left="4" w:right="50" w:firstLine="440"/>
        <w:spacing w:before="106" w:line="285" w:lineRule="auto"/>
        <w:jc w:val="both"/>
        <w:rPr>
          <w:rFonts w:ascii="SimSun" w:hAnsi="SimSun" w:eastAsia="SimSun" w:cs="SimSun"/>
          <w:sz w:val="21"/>
          <w:szCs w:val="21"/>
        </w:rPr>
      </w:pPr>
      <w:r>
        <w:rPr>
          <w:rFonts w:ascii="SimSun" w:hAnsi="SimSun" w:eastAsia="SimSun" w:cs="SimSun"/>
          <w:sz w:val="21"/>
          <w:szCs w:val="21"/>
          <w:spacing w:val="-11"/>
        </w:rPr>
        <w:t>上述分类的目标似乎是试图区分不同的法律关系，即对平台是否</w:t>
      </w:r>
      <w:r>
        <w:rPr>
          <w:rFonts w:ascii="SimSun" w:hAnsi="SimSun" w:eastAsia="SimSun" w:cs="SimSun"/>
          <w:sz w:val="21"/>
          <w:szCs w:val="21"/>
          <w:spacing w:val="1"/>
        </w:rPr>
        <w:t xml:space="preserve"> </w:t>
      </w:r>
      <w:r>
        <w:rPr>
          <w:rFonts w:ascii="SimSun" w:hAnsi="SimSun" w:eastAsia="SimSun" w:cs="SimSun"/>
          <w:sz w:val="21"/>
          <w:szCs w:val="21"/>
          <w:spacing w:val="-11"/>
        </w:rPr>
        <w:t>涉及产品质量、消费者权益保护、知识产权保护以及竞争关系等方面</w:t>
      </w:r>
      <w:r>
        <w:rPr>
          <w:rFonts w:ascii="SimSun" w:hAnsi="SimSun" w:eastAsia="SimSun" w:cs="SimSun"/>
          <w:sz w:val="21"/>
          <w:szCs w:val="21"/>
          <w:spacing w:val="17"/>
        </w:rPr>
        <w:t xml:space="preserve"> </w:t>
      </w:r>
      <w:r>
        <w:rPr>
          <w:rFonts w:ascii="SimSun" w:hAnsi="SimSun" w:eastAsia="SimSun" w:cs="SimSun"/>
          <w:sz w:val="21"/>
          <w:szCs w:val="21"/>
          <w:spacing w:val="-11"/>
        </w:rPr>
        <w:t>的初步探索。但上述划分尽管具有一定的理论价值，其制度价值却值</w:t>
      </w:r>
      <w:r>
        <w:rPr>
          <w:rFonts w:ascii="SimSun" w:hAnsi="SimSun" w:eastAsia="SimSun" w:cs="SimSun"/>
          <w:sz w:val="21"/>
          <w:szCs w:val="21"/>
          <w:spacing w:val="16"/>
        </w:rPr>
        <w:t xml:space="preserve"> </w:t>
      </w:r>
      <w:r>
        <w:rPr>
          <w:rFonts w:ascii="SimSun" w:hAnsi="SimSun" w:eastAsia="SimSun" w:cs="SimSun"/>
          <w:sz w:val="21"/>
          <w:szCs w:val="21"/>
          <w:spacing w:val="-11"/>
        </w:rPr>
        <w:t>得商榷，对于平台的细分无法从根本上解决平台监管的问题。</w:t>
      </w:r>
    </w:p>
    <w:p>
      <w:pPr>
        <w:ind w:left="4" w:right="63" w:firstLine="429"/>
        <w:spacing w:before="132" w:line="297" w:lineRule="auto"/>
        <w:jc w:val="both"/>
        <w:rPr>
          <w:rFonts w:ascii="SimSun" w:hAnsi="SimSun" w:eastAsia="SimSun" w:cs="SimSun"/>
          <w:sz w:val="21"/>
          <w:szCs w:val="21"/>
        </w:rPr>
      </w:pPr>
      <w:r>
        <w:rPr>
          <w:rFonts w:ascii="SimSun" w:hAnsi="SimSun" w:eastAsia="SimSun" w:cs="SimSun"/>
          <w:sz w:val="21"/>
          <w:szCs w:val="21"/>
          <w:spacing w:val="-11"/>
        </w:rPr>
        <w:t>第一，平台具有双边市场、跨行业竞争和动态竞争的特点</w:t>
      </w:r>
      <w:r>
        <w:rPr>
          <w:rFonts w:ascii="SimSun" w:hAnsi="SimSun" w:eastAsia="SimSun" w:cs="SimSun"/>
          <w:sz w:val="21"/>
          <w:szCs w:val="21"/>
          <w:spacing w:val="-12"/>
        </w:rPr>
        <w:t>，以腾</w:t>
      </w:r>
      <w:r>
        <w:rPr>
          <w:rFonts w:ascii="SimSun" w:hAnsi="SimSun" w:eastAsia="SimSun" w:cs="SimSun"/>
          <w:sz w:val="21"/>
          <w:szCs w:val="21"/>
        </w:rPr>
        <w:t xml:space="preserve"> </w:t>
      </w:r>
      <w:r>
        <w:rPr>
          <w:rFonts w:ascii="SimSun" w:hAnsi="SimSun" w:eastAsia="SimSun" w:cs="SimSun"/>
          <w:sz w:val="21"/>
          <w:szCs w:val="21"/>
          <w:spacing w:val="-10"/>
        </w:rPr>
        <w:t>讯的微信产品为例，微信的主营业务是即时通信服务，但在微信平台</w:t>
      </w:r>
      <w:r>
        <w:rPr>
          <w:rFonts w:ascii="SimSun" w:hAnsi="SimSun" w:eastAsia="SimSun" w:cs="SimSun"/>
          <w:sz w:val="21"/>
          <w:szCs w:val="21"/>
        </w:rPr>
        <w:t xml:space="preserve"> </w:t>
      </w:r>
      <w:r>
        <w:rPr>
          <w:rFonts w:ascii="SimSun" w:hAnsi="SimSun" w:eastAsia="SimSun" w:cs="SimSun"/>
          <w:sz w:val="21"/>
          <w:szCs w:val="21"/>
          <w:spacing w:val="-12"/>
        </w:rPr>
        <w:t>上衍生出的微信小程序、公众号、朋友圈广告、微商、微信支付等都</w:t>
      </w:r>
      <w:r>
        <w:rPr>
          <w:rFonts w:ascii="SimSun" w:hAnsi="SimSun" w:eastAsia="SimSun" w:cs="SimSun"/>
          <w:sz w:val="21"/>
          <w:szCs w:val="21"/>
          <w:spacing w:val="7"/>
        </w:rPr>
        <w:t xml:space="preserve"> </w:t>
      </w:r>
      <w:r>
        <w:rPr>
          <w:rFonts w:ascii="SimSun" w:hAnsi="SimSun" w:eastAsia="SimSun" w:cs="SimSun"/>
          <w:sz w:val="21"/>
          <w:szCs w:val="21"/>
          <w:spacing w:val="-10"/>
        </w:rPr>
        <w:t>属于单独的行业和领域，因此，就微信及其</w:t>
      </w:r>
      <w:r>
        <w:rPr>
          <w:rFonts w:ascii="SimSun" w:hAnsi="SimSun" w:eastAsia="SimSun" w:cs="SimSun"/>
          <w:sz w:val="21"/>
          <w:szCs w:val="21"/>
          <w:spacing w:val="-11"/>
        </w:rPr>
        <w:t>衍生的产品和服务，需要</w:t>
      </w:r>
      <w:r>
        <w:rPr>
          <w:rFonts w:ascii="SimSun" w:hAnsi="SimSun" w:eastAsia="SimSun" w:cs="SimSun"/>
          <w:sz w:val="21"/>
          <w:szCs w:val="21"/>
        </w:rPr>
        <w:t xml:space="preserve"> </w:t>
      </w:r>
      <w:r>
        <w:rPr>
          <w:rFonts w:ascii="SimSun" w:hAnsi="SimSun" w:eastAsia="SimSun" w:cs="SimSun"/>
          <w:sz w:val="21"/>
          <w:szCs w:val="21"/>
          <w:spacing w:val="-10"/>
        </w:rPr>
        <w:t>网信办、工信部、工商局、中国人民银行等多个部门监管，监管</w:t>
      </w:r>
      <w:r>
        <w:rPr>
          <w:rFonts w:ascii="SimSun" w:hAnsi="SimSun" w:eastAsia="SimSun" w:cs="SimSun"/>
          <w:sz w:val="21"/>
          <w:szCs w:val="21"/>
          <w:spacing w:val="-11"/>
        </w:rPr>
        <w:t>服务</w:t>
      </w:r>
    </w:p>
    <w:p>
      <w:pPr>
        <w:spacing w:line="297" w:lineRule="auto"/>
        <w:sectPr>
          <w:headerReference w:type="default" r:id="rId559"/>
          <w:pgSz w:w="7330" w:h="12480"/>
          <w:pgMar w:top="858" w:right="674" w:bottom="400" w:left="584" w:header="695" w:footer="0" w:gutter="0"/>
        </w:sectPr>
        <w:rPr>
          <w:rFonts w:ascii="SimSun" w:hAnsi="SimSun" w:eastAsia="SimSun" w:cs="SimSun"/>
          <w:sz w:val="21"/>
          <w:szCs w:val="21"/>
        </w:rPr>
      </w:pPr>
    </w:p>
    <w:p>
      <w:pPr>
        <w:pStyle w:val="BodyText"/>
        <w:spacing w:line="248" w:lineRule="auto"/>
        <w:rPr/>
      </w:pPr>
      <w:r>
        <w:drawing>
          <wp:anchor distT="0" distB="0" distL="0" distR="0" simplePos="0" relativeHeight="256536576" behindDoc="0" locked="0" layoutInCell="0" allowOverlap="1">
            <wp:simplePos x="0" y="0"/>
            <wp:positionH relativeFrom="page">
              <wp:posOffset>438132</wp:posOffset>
            </wp:positionH>
            <wp:positionV relativeFrom="page">
              <wp:posOffset>6718323</wp:posOffset>
            </wp:positionV>
            <wp:extent cx="1181138" cy="6350"/>
            <wp:effectExtent l="0" t="0" r="0" b="0"/>
            <wp:wrapNone/>
            <wp:docPr id="424" name="IM 424"/>
            <wp:cNvGraphicFramePr/>
            <a:graphic>
              <a:graphicData uri="http://schemas.openxmlformats.org/drawingml/2006/picture">
                <pic:pic>
                  <pic:nvPicPr>
                    <pic:cNvPr id="424" name="IM 424"/>
                    <pic:cNvPicPr/>
                  </pic:nvPicPr>
                  <pic:blipFill>
                    <a:blip r:embed="rId561"/>
                    <a:stretch>
                      <a:fillRect/>
                    </a:stretch>
                  </pic:blipFill>
                  <pic:spPr>
                    <a:xfrm rot="0">
                      <a:off x="0" y="0"/>
                      <a:ext cx="1181138" cy="6350"/>
                    </a:xfrm>
                    <a:prstGeom prst="rect">
                      <a:avLst/>
                    </a:prstGeom>
                  </pic:spPr>
                </pic:pic>
              </a:graphicData>
            </a:graphic>
          </wp:anchor>
        </w:drawing>
      </w:r>
      <w:r/>
    </w:p>
    <w:p>
      <w:pPr>
        <w:pStyle w:val="BodyText"/>
        <w:spacing w:line="248" w:lineRule="auto"/>
        <w:rPr/>
      </w:pPr>
      <w:r/>
    </w:p>
    <w:p>
      <w:pPr>
        <w:pStyle w:val="BodyText"/>
        <w:spacing w:line="249" w:lineRule="auto"/>
        <w:rPr/>
      </w:pPr>
      <w:r/>
    </w:p>
    <w:p>
      <w:pPr>
        <w:pStyle w:val="BodyText"/>
        <w:spacing w:line="249" w:lineRule="auto"/>
        <w:rPr/>
      </w:pPr>
      <w:r/>
    </w:p>
    <w:p>
      <w:pPr>
        <w:ind w:right="163"/>
        <w:spacing w:before="69" w:line="290" w:lineRule="auto"/>
        <w:jc w:val="both"/>
        <w:rPr>
          <w:rFonts w:ascii="SimSun" w:hAnsi="SimSun" w:eastAsia="SimSun" w:cs="SimSun"/>
          <w:sz w:val="21"/>
          <w:szCs w:val="21"/>
        </w:rPr>
      </w:pPr>
      <w:r>
        <w:rPr>
          <w:rFonts w:ascii="SimSun" w:hAnsi="SimSun" w:eastAsia="SimSun" w:cs="SimSun"/>
          <w:sz w:val="21"/>
          <w:szCs w:val="21"/>
          <w:spacing w:val="-11"/>
        </w:rPr>
        <w:t>复杂，涉及部门繁多，若多个部门之间无法有效沟通，就无法形成有</w:t>
      </w:r>
      <w:r>
        <w:rPr>
          <w:rFonts w:ascii="SimSun" w:hAnsi="SimSun" w:eastAsia="SimSun" w:cs="SimSun"/>
          <w:sz w:val="21"/>
          <w:szCs w:val="21"/>
          <w:spacing w:val="9"/>
        </w:rPr>
        <w:t xml:space="preserve"> </w:t>
      </w:r>
      <w:r>
        <w:rPr>
          <w:rFonts w:ascii="SimSun" w:hAnsi="SimSun" w:eastAsia="SimSun" w:cs="SimSun"/>
          <w:sz w:val="21"/>
          <w:szCs w:val="21"/>
          <w:spacing w:val="-11"/>
        </w:rPr>
        <w:t>效监管。且根据目前的监管状况，监管部门容易产生运动性治理，在</w:t>
      </w:r>
      <w:r>
        <w:rPr>
          <w:rFonts w:ascii="SimSun" w:hAnsi="SimSun" w:eastAsia="SimSun" w:cs="SimSun"/>
          <w:sz w:val="21"/>
          <w:szCs w:val="21"/>
          <w:spacing w:val="9"/>
        </w:rPr>
        <w:t xml:space="preserve"> </w:t>
      </w:r>
      <w:r>
        <w:rPr>
          <w:rFonts w:ascii="SimSun" w:hAnsi="SimSun" w:eastAsia="SimSun" w:cs="SimSun"/>
          <w:sz w:val="21"/>
          <w:szCs w:val="21"/>
          <w:spacing w:val="-11"/>
        </w:rPr>
        <w:t>出现热点社会事件时显著加大监管力度。</w:t>
      </w:r>
    </w:p>
    <w:p>
      <w:pPr>
        <w:ind w:right="89" w:firstLine="429"/>
        <w:spacing w:before="92" w:line="292" w:lineRule="auto"/>
        <w:jc w:val="both"/>
        <w:rPr>
          <w:rFonts w:ascii="SimSun" w:hAnsi="SimSun" w:eastAsia="SimSun" w:cs="SimSun"/>
          <w:sz w:val="21"/>
          <w:szCs w:val="21"/>
        </w:rPr>
      </w:pPr>
      <w:r>
        <w:rPr>
          <w:rFonts w:ascii="SimSun" w:hAnsi="SimSun" w:eastAsia="SimSun" w:cs="SimSun"/>
          <w:sz w:val="21"/>
          <w:szCs w:val="21"/>
          <w:spacing w:val="-11"/>
        </w:rPr>
        <w:t>第二，平台多个市场之间的紧密联系需要综合性监管机构。如前</w:t>
      </w:r>
      <w:r>
        <w:rPr>
          <w:rFonts w:ascii="SimSun" w:hAnsi="SimSun" w:eastAsia="SimSun" w:cs="SimSun"/>
          <w:sz w:val="21"/>
          <w:szCs w:val="21"/>
          <w:spacing w:val="17"/>
        </w:rPr>
        <w:t xml:space="preserve"> </w:t>
      </w:r>
      <w:r>
        <w:rPr>
          <w:rFonts w:ascii="SimSun" w:hAnsi="SimSun" w:eastAsia="SimSun" w:cs="SimSun"/>
          <w:sz w:val="21"/>
          <w:szCs w:val="21"/>
          <w:spacing w:val="-8"/>
        </w:rPr>
        <w:t>所述，平台的权力来自基础设施、权力的跨界传递以及</w:t>
      </w:r>
      <w:r>
        <w:rPr>
          <w:rFonts w:ascii="SimSun" w:hAnsi="SimSun" w:eastAsia="SimSun" w:cs="SimSun"/>
          <w:sz w:val="21"/>
          <w:szCs w:val="21"/>
          <w:spacing w:val="-9"/>
        </w:rPr>
        <w:t>信息的利用，</w:t>
      </w:r>
      <w:r>
        <w:rPr>
          <w:rFonts w:ascii="SimSun" w:hAnsi="SimSun" w:eastAsia="SimSun" w:cs="SimSun"/>
          <w:sz w:val="21"/>
          <w:szCs w:val="21"/>
        </w:rPr>
        <w:t xml:space="preserve"> </w:t>
      </w:r>
      <w:r>
        <w:rPr>
          <w:rFonts w:ascii="SimSun" w:hAnsi="SimSun" w:eastAsia="SimSun" w:cs="SimSun"/>
          <w:sz w:val="21"/>
          <w:szCs w:val="21"/>
          <w:spacing w:val="-10"/>
        </w:rPr>
        <w:t>这三个方面内部存在紧密联系，分割式的监管容易使监管机构无法有</w:t>
      </w:r>
      <w:r>
        <w:rPr>
          <w:rFonts w:ascii="SimSun" w:hAnsi="SimSun" w:eastAsia="SimSun" w:cs="SimSun"/>
          <w:sz w:val="21"/>
          <w:szCs w:val="21"/>
        </w:rPr>
        <w:t xml:space="preserve"> </w:t>
      </w:r>
      <w:r>
        <w:rPr>
          <w:rFonts w:ascii="SimSun" w:hAnsi="SimSun" w:eastAsia="SimSun" w:cs="SimSun"/>
          <w:sz w:val="21"/>
          <w:szCs w:val="21"/>
          <w:spacing w:val="-11"/>
        </w:rPr>
        <w:t>效掌握充分信息，从而做出有效的监管决策。</w:t>
      </w:r>
    </w:p>
    <w:p>
      <w:pPr>
        <w:pStyle w:val="BodyText"/>
        <w:spacing w:line="44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6"/>
        </w:rPr>
        <w:t>成本收益审查与公平竞争审查</w:t>
      </w:r>
    </w:p>
    <w:p>
      <w:pPr>
        <w:pStyle w:val="BodyText"/>
        <w:spacing w:line="368" w:lineRule="auto"/>
        <w:rPr/>
      </w:pPr>
      <w:r/>
    </w:p>
    <w:p>
      <w:pPr>
        <w:ind w:firstLine="429"/>
        <w:spacing w:before="69" w:line="278" w:lineRule="auto"/>
        <w:jc w:val="both"/>
        <w:rPr>
          <w:rFonts w:ascii="SimSun" w:hAnsi="SimSun" w:eastAsia="SimSun" w:cs="SimSun"/>
          <w:sz w:val="21"/>
          <w:szCs w:val="21"/>
        </w:rPr>
      </w:pPr>
      <w:r>
        <w:rPr>
          <w:rFonts w:ascii="SimSun" w:hAnsi="SimSun" w:eastAsia="SimSun" w:cs="SimSun"/>
          <w:sz w:val="21"/>
          <w:szCs w:val="21"/>
          <w:spacing w:val="1"/>
        </w:rPr>
        <w:t>2010年国务院发布的《国务院关于加强法治政府建设的意见》</w:t>
      </w:r>
      <w:r>
        <w:rPr>
          <w:rFonts w:ascii="SimSun" w:hAnsi="SimSun" w:eastAsia="SimSun" w:cs="SimSun"/>
          <w:sz w:val="21"/>
          <w:szCs w:val="21"/>
          <w:spacing w:val="14"/>
        </w:rPr>
        <w:t xml:space="preserve"> </w:t>
      </w:r>
      <w:r>
        <w:rPr>
          <w:rFonts w:ascii="SimSun" w:hAnsi="SimSun" w:eastAsia="SimSun" w:cs="SimSun"/>
          <w:sz w:val="21"/>
          <w:szCs w:val="21"/>
          <w:spacing w:val="-10"/>
        </w:rPr>
        <w:t>相关条文规定：“积极探索开展政府立法成本效益分析、社会风险评</w:t>
      </w:r>
      <w:r>
        <w:rPr>
          <w:rFonts w:ascii="SimSun" w:hAnsi="SimSun" w:eastAsia="SimSun" w:cs="SimSun"/>
          <w:sz w:val="21"/>
          <w:szCs w:val="21"/>
          <w:spacing w:val="8"/>
        </w:rPr>
        <w:t xml:space="preserve">  </w:t>
      </w:r>
      <w:r>
        <w:rPr>
          <w:rFonts w:ascii="SimSun" w:hAnsi="SimSun" w:eastAsia="SimSun" w:cs="SimSun"/>
          <w:sz w:val="21"/>
          <w:szCs w:val="21"/>
          <w:spacing w:val="-11"/>
        </w:rPr>
        <w:t>估、实施情况后评估工作。”</w:t>
      </w:r>
    </w:p>
    <w:p>
      <w:pPr>
        <w:ind w:right="69" w:firstLine="429"/>
        <w:spacing w:before="125" w:line="304" w:lineRule="auto"/>
        <w:jc w:val="both"/>
        <w:rPr>
          <w:rFonts w:ascii="SimSun" w:hAnsi="SimSun" w:eastAsia="SimSun" w:cs="SimSun"/>
          <w:sz w:val="21"/>
          <w:szCs w:val="21"/>
        </w:rPr>
      </w:pPr>
      <w:r>
        <w:rPr>
          <w:rFonts w:ascii="SimSun" w:hAnsi="SimSun" w:eastAsia="SimSun" w:cs="SimSun"/>
          <w:sz w:val="21"/>
          <w:szCs w:val="21"/>
          <w:spacing w:val="-11"/>
        </w:rPr>
        <w:t>成本收益分析是美国经济监管领域的有效分析工具。有效运用成</w:t>
      </w:r>
      <w:r>
        <w:rPr>
          <w:rFonts w:ascii="SimSun" w:hAnsi="SimSun" w:eastAsia="SimSun" w:cs="SimSun"/>
          <w:sz w:val="21"/>
          <w:szCs w:val="21"/>
          <w:spacing w:val="16"/>
        </w:rPr>
        <w:t xml:space="preserve"> </w:t>
      </w:r>
      <w:r>
        <w:rPr>
          <w:rFonts w:ascii="SimSun" w:hAnsi="SimSun" w:eastAsia="SimSun" w:cs="SimSun"/>
          <w:sz w:val="21"/>
          <w:szCs w:val="21"/>
          <w:spacing w:val="-14"/>
        </w:rPr>
        <w:t>本收益分析，不仅可以起到提高资源配置效率、优化行政规制的</w:t>
      </w:r>
      <w:r>
        <w:rPr>
          <w:rFonts w:ascii="SimSun" w:hAnsi="SimSun" w:eastAsia="SimSun" w:cs="SimSun"/>
          <w:sz w:val="21"/>
          <w:szCs w:val="21"/>
          <w:spacing w:val="-15"/>
        </w:rPr>
        <w:t>作用，</w:t>
      </w:r>
      <w:r>
        <w:rPr>
          <w:rFonts w:ascii="SimSun" w:hAnsi="SimSun" w:eastAsia="SimSun" w:cs="SimSun"/>
          <w:sz w:val="21"/>
          <w:szCs w:val="21"/>
        </w:rPr>
        <w:t xml:space="preserve"> </w:t>
      </w:r>
      <w:r>
        <w:rPr>
          <w:rFonts w:ascii="SimSun" w:hAnsi="SimSun" w:eastAsia="SimSun" w:cs="SimSun"/>
          <w:sz w:val="21"/>
          <w:szCs w:val="21"/>
          <w:spacing w:val="-11"/>
        </w:rPr>
        <w:t>而且还能提升现代行政的合法性。美国司法审查对成本收益分析的态</w:t>
      </w:r>
      <w:r>
        <w:rPr>
          <w:rFonts w:ascii="SimSun" w:hAnsi="SimSun" w:eastAsia="SimSun" w:cs="SimSun"/>
          <w:sz w:val="21"/>
          <w:szCs w:val="21"/>
          <w:spacing w:val="4"/>
        </w:rPr>
        <w:t xml:space="preserve">  </w:t>
      </w:r>
      <w:r>
        <w:rPr>
          <w:rFonts w:ascii="SimSun" w:hAnsi="SimSun" w:eastAsia="SimSun" w:cs="SimSun"/>
          <w:sz w:val="21"/>
          <w:szCs w:val="21"/>
          <w:spacing w:val="-10"/>
        </w:rPr>
        <w:t>度是一个从否定到肯定的渐进过程，经历了从</w:t>
      </w:r>
      <w:r>
        <w:rPr>
          <w:rFonts w:ascii="SimSun" w:hAnsi="SimSun" w:eastAsia="SimSun" w:cs="SimSun"/>
          <w:sz w:val="21"/>
          <w:szCs w:val="21"/>
          <w:spacing w:val="-11"/>
        </w:rPr>
        <w:t>“如果国会法律没有明</w:t>
      </w:r>
      <w:r>
        <w:rPr>
          <w:rFonts w:ascii="SimSun" w:hAnsi="SimSun" w:eastAsia="SimSun" w:cs="SimSun"/>
          <w:sz w:val="21"/>
          <w:szCs w:val="21"/>
        </w:rPr>
        <w:t xml:space="preserve"> </w:t>
      </w:r>
      <w:r>
        <w:rPr>
          <w:rFonts w:ascii="SimSun" w:hAnsi="SimSun" w:eastAsia="SimSun" w:cs="SimSun"/>
          <w:sz w:val="21"/>
          <w:szCs w:val="21"/>
          <w:spacing w:val="-11"/>
        </w:rPr>
        <w:t>确规定，行政机关就不能使用”到“如果国会法律没有明确规定，行</w:t>
      </w:r>
      <w:r>
        <w:rPr>
          <w:rFonts w:ascii="SimSun" w:hAnsi="SimSun" w:eastAsia="SimSun" w:cs="SimSun"/>
          <w:sz w:val="21"/>
          <w:szCs w:val="21"/>
          <w:spacing w:val="4"/>
        </w:rPr>
        <w:t xml:space="preserve">  </w:t>
      </w:r>
      <w:r>
        <w:rPr>
          <w:rFonts w:ascii="SimSun" w:hAnsi="SimSun" w:eastAsia="SimSun" w:cs="SimSun"/>
          <w:sz w:val="21"/>
          <w:szCs w:val="21"/>
          <w:spacing w:val="-13"/>
        </w:rPr>
        <w:t>政机关可以不使用”,再到“如果国会法律没有明确禁止，行政机关就 </w:t>
      </w:r>
      <w:r>
        <w:rPr>
          <w:rFonts w:ascii="SimSun" w:hAnsi="SimSun" w:eastAsia="SimSun" w:cs="SimSun"/>
          <w:sz w:val="21"/>
          <w:szCs w:val="21"/>
          <w:spacing w:val="-14"/>
        </w:rPr>
        <w:t>能使用”的变化过程。由于美国的行政机构承担着行政和监管的</w:t>
      </w:r>
      <w:r>
        <w:rPr>
          <w:rFonts w:ascii="SimSun" w:hAnsi="SimSun" w:eastAsia="SimSun" w:cs="SimSun"/>
          <w:sz w:val="21"/>
          <w:szCs w:val="21"/>
          <w:spacing w:val="-15"/>
        </w:rPr>
        <w:t>职能，</w:t>
      </w:r>
      <w:r>
        <w:rPr>
          <w:rFonts w:ascii="SimSun" w:hAnsi="SimSun" w:eastAsia="SimSun" w:cs="SimSun"/>
          <w:sz w:val="21"/>
          <w:szCs w:val="21"/>
        </w:rPr>
        <w:t xml:space="preserve"> </w:t>
      </w:r>
      <w:r>
        <w:rPr>
          <w:rFonts w:ascii="SimSun" w:hAnsi="SimSun" w:eastAsia="SimSun" w:cs="SimSun"/>
          <w:sz w:val="21"/>
          <w:szCs w:val="21"/>
          <w:spacing w:val="-15"/>
        </w:rPr>
        <w:t>因此监管机构适用成本收益分析的方法也经历了上述过程。</w:t>
      </w:r>
    </w:p>
    <w:p>
      <w:pPr>
        <w:ind w:right="106" w:firstLine="429"/>
        <w:spacing w:before="100" w:line="287" w:lineRule="auto"/>
        <w:jc w:val="both"/>
        <w:rPr>
          <w:rFonts w:ascii="SimSun" w:hAnsi="SimSun" w:eastAsia="SimSun" w:cs="SimSun"/>
          <w:sz w:val="21"/>
          <w:szCs w:val="21"/>
        </w:rPr>
      </w:pPr>
      <w:r>
        <w:rPr>
          <w:rFonts w:ascii="SimSun" w:hAnsi="SimSun" w:eastAsia="SimSun" w:cs="SimSun"/>
          <w:sz w:val="21"/>
          <w:szCs w:val="21"/>
          <w:spacing w:val="-9"/>
        </w:rPr>
        <w:t>对于成本收益分析的内涵，不同学者有不同看法。凯斯·</w:t>
      </w:r>
      <w:r>
        <w:rPr>
          <w:rFonts w:ascii="Times New Roman" w:hAnsi="Times New Roman" w:eastAsia="Times New Roman" w:cs="Times New Roman"/>
          <w:sz w:val="21"/>
          <w:szCs w:val="21"/>
          <w:spacing w:val="-9"/>
        </w:rPr>
        <w:t>R.</w:t>
      </w:r>
      <w:r>
        <w:rPr>
          <w:rFonts w:ascii="SimSun" w:hAnsi="SimSun" w:eastAsia="SimSun" w:cs="SimSun"/>
          <w:sz w:val="21"/>
          <w:szCs w:val="21"/>
          <w:spacing w:val="-9"/>
        </w:rPr>
        <w:t>桑斯</w:t>
      </w:r>
      <w:r>
        <w:rPr>
          <w:rFonts w:ascii="SimSun" w:hAnsi="SimSun" w:eastAsia="SimSun" w:cs="SimSun"/>
          <w:sz w:val="21"/>
          <w:szCs w:val="21"/>
          <w:spacing w:val="5"/>
        </w:rPr>
        <w:t xml:space="preserve"> </w:t>
      </w:r>
      <w:r>
        <w:rPr>
          <w:rFonts w:ascii="SimSun" w:hAnsi="SimSun" w:eastAsia="SimSun" w:cs="SimSun"/>
          <w:sz w:val="21"/>
          <w:szCs w:val="21"/>
          <w:spacing w:val="-6"/>
        </w:rPr>
        <w:t>坦认为成本收益分析是一项原则，其内容包</w:t>
      </w:r>
      <w:r>
        <w:rPr>
          <w:rFonts w:ascii="SimSun" w:hAnsi="SimSun" w:eastAsia="SimSun" w:cs="SimSun"/>
          <w:sz w:val="21"/>
          <w:szCs w:val="21"/>
          <w:spacing w:val="-7"/>
        </w:rPr>
        <w:t>括：(1)允许可忽略的规</w:t>
      </w:r>
      <w:r>
        <w:rPr>
          <w:rFonts w:ascii="SimSun" w:hAnsi="SimSun" w:eastAsia="SimSun" w:cs="SimSun"/>
          <w:sz w:val="21"/>
          <w:szCs w:val="21"/>
        </w:rPr>
        <w:t xml:space="preserve"> </w:t>
      </w:r>
      <w:r>
        <w:rPr>
          <w:rFonts w:ascii="SimSun" w:hAnsi="SimSun" w:eastAsia="SimSun" w:cs="SimSun"/>
          <w:sz w:val="21"/>
          <w:szCs w:val="21"/>
          <w:spacing w:val="-7"/>
        </w:rPr>
        <w:t>制需求；(2)授权行政机关准许“可接受”风险，远离“绝对”安全</w:t>
      </w:r>
    </w:p>
    <w:p>
      <w:pPr>
        <w:pStyle w:val="BodyText"/>
        <w:spacing w:line="258" w:lineRule="auto"/>
        <w:rPr/>
      </w:pPr>
      <w:r/>
    </w:p>
    <w:p>
      <w:pPr>
        <w:pStyle w:val="BodyText"/>
        <w:spacing w:line="259" w:lineRule="auto"/>
        <w:rPr/>
      </w:pPr>
      <w:r/>
    </w:p>
    <w:p>
      <w:pPr>
        <w:ind w:left="350" w:right="74" w:hanging="350"/>
        <w:spacing w:before="53" w:line="278"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69"/>
        </w:rPr>
        <w:t xml:space="preserve"> </w:t>
      </w:r>
      <w:r>
        <w:rPr>
          <w:rFonts w:ascii="KaiTi" w:hAnsi="KaiTi" w:eastAsia="KaiTi" w:cs="KaiTi"/>
          <w:sz w:val="16"/>
          <w:szCs w:val="16"/>
        </w:rPr>
        <w:t>刘权.作为规制工具的成本收益分析——以美国的理论与实践为例.行政法学研究，</w:t>
      </w:r>
      <w:r>
        <w:rPr>
          <w:rFonts w:ascii="KaiTi" w:hAnsi="KaiTi" w:eastAsia="KaiTi" w:cs="KaiTi"/>
          <w:sz w:val="16"/>
          <w:szCs w:val="16"/>
        </w:rPr>
        <w:t xml:space="preserve"> </w:t>
      </w:r>
      <w:r>
        <w:rPr>
          <w:rFonts w:ascii="SimSun" w:hAnsi="SimSun" w:eastAsia="SimSun" w:cs="SimSun"/>
          <w:sz w:val="16"/>
          <w:szCs w:val="16"/>
          <w:spacing w:val="-1"/>
        </w:rPr>
        <w:t>2015(1):135-144.</w:t>
      </w:r>
    </w:p>
    <w:p>
      <w:pPr>
        <w:spacing w:line="278" w:lineRule="auto"/>
        <w:sectPr>
          <w:headerReference w:type="default" r:id="rId560"/>
          <w:pgSz w:w="7330" w:h="12480"/>
          <w:pgMar w:top="567" w:right="525" w:bottom="400" w:left="659" w:header="405" w:footer="0" w:gutter="0"/>
        </w:sectPr>
        <w:rPr>
          <w:rFonts w:ascii="SimSun" w:hAnsi="SimSun" w:eastAsia="SimSun" w:cs="SimSun"/>
          <w:sz w:val="16"/>
          <w:szCs w:val="16"/>
        </w:rPr>
      </w:pPr>
    </w:p>
    <w:p>
      <w:pPr>
        <w:pStyle w:val="BodyText"/>
        <w:spacing w:line="248" w:lineRule="auto"/>
        <w:rPr/>
      </w:pPr>
      <w:r>
        <w:drawing>
          <wp:anchor distT="0" distB="0" distL="0" distR="0" simplePos="0" relativeHeight="256546816" behindDoc="0" locked="0" layoutInCell="0" allowOverlap="1">
            <wp:simplePos x="0" y="0"/>
            <wp:positionH relativeFrom="page">
              <wp:posOffset>400058</wp:posOffset>
            </wp:positionH>
            <wp:positionV relativeFrom="page">
              <wp:posOffset>6889737</wp:posOffset>
            </wp:positionV>
            <wp:extent cx="1162055" cy="6350"/>
            <wp:effectExtent l="0" t="0" r="0" b="0"/>
            <wp:wrapNone/>
            <wp:docPr id="426" name="IM 426"/>
            <wp:cNvGraphicFramePr/>
            <a:graphic>
              <a:graphicData uri="http://schemas.openxmlformats.org/drawingml/2006/picture">
                <pic:pic>
                  <pic:nvPicPr>
                    <pic:cNvPr id="426" name="IM 426"/>
                    <pic:cNvPicPr/>
                  </pic:nvPicPr>
                  <pic:blipFill>
                    <a:blip r:embed="rId563"/>
                    <a:stretch>
                      <a:fillRect/>
                    </a:stretch>
                  </pic:blipFill>
                  <pic:spPr>
                    <a:xfrm rot="0">
                      <a:off x="0" y="0"/>
                      <a:ext cx="1162055" cy="6350"/>
                    </a:xfrm>
                    <a:prstGeom prst="rect">
                      <a:avLst/>
                    </a:prstGeom>
                  </pic:spPr>
                </pic:pic>
              </a:graphicData>
            </a:graphic>
          </wp:anchor>
        </w:drawing>
      </w:r>
      <w:r/>
    </w:p>
    <w:p>
      <w:pPr>
        <w:pStyle w:val="BodyText"/>
        <w:spacing w:line="248" w:lineRule="auto"/>
        <w:rPr/>
      </w:pPr>
      <w:r/>
    </w:p>
    <w:p>
      <w:pPr>
        <w:pStyle w:val="BodyText"/>
        <w:spacing w:line="249" w:lineRule="auto"/>
        <w:rPr/>
      </w:pPr>
      <w:r/>
    </w:p>
    <w:p>
      <w:pPr>
        <w:pStyle w:val="BodyText"/>
        <w:spacing w:line="249" w:lineRule="auto"/>
        <w:rPr/>
      </w:pPr>
      <w:r/>
    </w:p>
    <w:p>
      <w:pPr>
        <w:ind w:right="70"/>
        <w:spacing w:before="65" w:line="316" w:lineRule="auto"/>
        <w:jc w:val="both"/>
        <w:rPr>
          <w:rFonts w:ascii="SimSun" w:hAnsi="SimSun" w:eastAsia="SimSun" w:cs="SimSun"/>
          <w:sz w:val="20"/>
          <w:szCs w:val="20"/>
        </w:rPr>
      </w:pPr>
      <w:r>
        <w:rPr>
          <w:rFonts w:ascii="SimSun" w:hAnsi="SimSun" w:eastAsia="SimSun" w:cs="SimSun"/>
          <w:sz w:val="20"/>
          <w:szCs w:val="20"/>
          <w:spacing w:val="5"/>
        </w:rPr>
        <w:t>需求；(3)允许行政机关同时考虑成本与可行性；(4)允许行政机关</w:t>
      </w:r>
      <w:r>
        <w:rPr>
          <w:rFonts w:ascii="SimSun" w:hAnsi="SimSun" w:eastAsia="SimSun" w:cs="SimSun"/>
          <w:sz w:val="20"/>
          <w:szCs w:val="20"/>
          <w:spacing w:val="18"/>
        </w:rPr>
        <w:t xml:space="preserve"> </w:t>
      </w:r>
      <w:r>
        <w:rPr>
          <w:rFonts w:ascii="SimSun" w:hAnsi="SimSun" w:eastAsia="SimSun" w:cs="SimSun"/>
          <w:sz w:val="20"/>
          <w:szCs w:val="20"/>
          <w:spacing w:val="-5"/>
        </w:rPr>
        <w:t>权衡成本与收益。马修·</w:t>
      </w:r>
      <w:r>
        <w:rPr>
          <w:rFonts w:ascii="Times New Roman" w:hAnsi="Times New Roman" w:eastAsia="Times New Roman" w:cs="Times New Roman"/>
          <w:sz w:val="20"/>
          <w:szCs w:val="20"/>
          <w:spacing w:val="-5"/>
        </w:rPr>
        <w:t>D.</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5"/>
        </w:rPr>
        <w:t>阿德勒和埃里克·</w:t>
      </w:r>
      <w:r>
        <w:rPr>
          <w:rFonts w:ascii="Times New Roman" w:hAnsi="Times New Roman" w:eastAsia="Times New Roman" w:cs="Times New Roman"/>
          <w:sz w:val="20"/>
          <w:szCs w:val="20"/>
          <w:spacing w:val="-5"/>
        </w:rPr>
        <w:t>A.</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5"/>
        </w:rPr>
        <w:t>波斯纳认为，成本</w:t>
      </w:r>
      <w:r>
        <w:rPr>
          <w:rFonts w:ascii="SimSun" w:hAnsi="SimSun" w:eastAsia="SimSun" w:cs="SimSun"/>
          <w:sz w:val="20"/>
          <w:szCs w:val="20"/>
          <w:spacing w:val="-6"/>
        </w:rPr>
        <w:t>收 </w:t>
      </w:r>
      <w:r>
        <w:rPr>
          <w:rFonts w:ascii="SimSun" w:hAnsi="SimSun" w:eastAsia="SimSun" w:cs="SimSun"/>
          <w:sz w:val="20"/>
          <w:szCs w:val="20"/>
          <w:spacing w:val="4"/>
        </w:rPr>
        <w:t>益分析只是一个福利主义决定程序：(1)如果没有道义上的决定性，</w:t>
      </w:r>
      <w:r>
        <w:rPr>
          <w:rFonts w:ascii="SimSun" w:hAnsi="SimSun" w:eastAsia="SimSun" w:cs="SimSun"/>
          <w:sz w:val="20"/>
          <w:szCs w:val="20"/>
          <w:spacing w:val="14"/>
        </w:rPr>
        <w:t xml:space="preserve"> </w:t>
      </w:r>
      <w:r>
        <w:rPr>
          <w:rFonts w:ascii="SimSun" w:hAnsi="SimSun" w:eastAsia="SimSun" w:cs="SimSun"/>
          <w:sz w:val="20"/>
          <w:szCs w:val="20"/>
          <w:spacing w:val="3"/>
        </w:rPr>
        <w:t>政府工程的总体福利效果只是一个参考性因素；(2)在行</w:t>
      </w:r>
      <w:r>
        <w:rPr>
          <w:rFonts w:ascii="SimSun" w:hAnsi="SimSun" w:eastAsia="SimSun" w:cs="SimSun"/>
          <w:sz w:val="20"/>
          <w:szCs w:val="20"/>
          <w:spacing w:val="2"/>
        </w:rPr>
        <w:t>政机关的多</w:t>
      </w:r>
      <w:r>
        <w:rPr>
          <w:rFonts w:ascii="SimSun" w:hAnsi="SimSun" w:eastAsia="SimSun" w:cs="SimSun"/>
          <w:sz w:val="20"/>
          <w:szCs w:val="20"/>
        </w:rPr>
        <w:t xml:space="preserve"> </w:t>
      </w:r>
      <w:r>
        <w:rPr>
          <w:rFonts w:ascii="SimSun" w:hAnsi="SimSun" w:eastAsia="SimSun" w:cs="SimSun"/>
          <w:sz w:val="20"/>
          <w:szCs w:val="20"/>
        </w:rPr>
        <w:t>种选择情形下，成本收益分析是正当化总体福利</w:t>
      </w:r>
      <w:r>
        <w:rPr>
          <w:rFonts w:ascii="SimSun" w:hAnsi="SimSun" w:eastAsia="SimSun" w:cs="SimSun"/>
          <w:sz w:val="20"/>
          <w:szCs w:val="20"/>
          <w:spacing w:val="-1"/>
        </w:rPr>
        <w:t>的最佳决定程序。事</w:t>
      </w:r>
      <w:r>
        <w:rPr>
          <w:rFonts w:ascii="SimSun" w:hAnsi="SimSun" w:eastAsia="SimSun" w:cs="SimSun"/>
          <w:sz w:val="20"/>
          <w:szCs w:val="20"/>
        </w:rPr>
        <w:t xml:space="preserve"> </w:t>
      </w:r>
      <w:r>
        <w:rPr>
          <w:rFonts w:ascii="SimSun" w:hAnsi="SimSun" w:eastAsia="SimSun" w:cs="SimSun"/>
          <w:sz w:val="20"/>
          <w:szCs w:val="20"/>
          <w:spacing w:val="-1"/>
        </w:rPr>
        <w:t>实上，成本收益分析有多重属性，这种方法既是一种科学的规划影响</w:t>
      </w:r>
      <w:r>
        <w:rPr>
          <w:rFonts w:ascii="SimSun" w:hAnsi="SimSun" w:eastAsia="SimSun" w:cs="SimSun"/>
          <w:sz w:val="20"/>
          <w:szCs w:val="20"/>
          <w:spacing w:val="16"/>
        </w:rPr>
        <w:t xml:space="preserve"> </w:t>
      </w:r>
      <w:r>
        <w:rPr>
          <w:rFonts w:ascii="SimSun" w:hAnsi="SimSun" w:eastAsia="SimSun" w:cs="SimSun"/>
          <w:sz w:val="20"/>
          <w:szCs w:val="20"/>
          <w:spacing w:val="-3"/>
        </w:rPr>
        <w:t>分析工具，也是一项决策性程序，还是一种实体</w:t>
      </w:r>
      <w:r>
        <w:rPr>
          <w:rFonts w:ascii="SimSun" w:hAnsi="SimSun" w:eastAsia="SimSun" w:cs="SimSun"/>
          <w:sz w:val="20"/>
          <w:szCs w:val="20"/>
          <w:spacing w:val="-4"/>
        </w:rPr>
        <w:t>性标准。①</w:t>
      </w:r>
    </w:p>
    <w:p>
      <w:pPr>
        <w:ind w:right="117" w:firstLine="410"/>
        <w:spacing w:before="126" w:line="342" w:lineRule="auto"/>
        <w:jc w:val="both"/>
        <w:rPr>
          <w:rFonts w:ascii="SimSun" w:hAnsi="SimSun" w:eastAsia="SimSun" w:cs="SimSun"/>
          <w:sz w:val="20"/>
          <w:szCs w:val="20"/>
        </w:rPr>
      </w:pPr>
      <w:r>
        <w:rPr>
          <w:rFonts w:ascii="SimSun" w:hAnsi="SimSun" w:eastAsia="SimSun" w:cs="SimSun"/>
          <w:sz w:val="20"/>
          <w:szCs w:val="20"/>
          <w:spacing w:val="6"/>
        </w:rPr>
        <w:t>美国通过纺织制造业协会诉多诺万、惠特曼诉美国卡车运输协</w:t>
      </w:r>
      <w:r>
        <w:rPr>
          <w:rFonts w:ascii="SimSun" w:hAnsi="SimSun" w:eastAsia="SimSun" w:cs="SimSun"/>
          <w:sz w:val="20"/>
          <w:szCs w:val="20"/>
          <w:spacing w:val="8"/>
        </w:rPr>
        <w:t xml:space="preserve"> </w:t>
      </w:r>
      <w:r>
        <w:rPr>
          <w:rFonts w:ascii="SimSun" w:hAnsi="SimSun" w:eastAsia="SimSun" w:cs="SimSun"/>
          <w:sz w:val="20"/>
          <w:szCs w:val="20"/>
        </w:rPr>
        <w:t>会、安特吉公司诉河流看护者等案例确立了成本</w:t>
      </w:r>
      <w:r>
        <w:rPr>
          <w:rFonts w:ascii="SimSun" w:hAnsi="SimSun" w:eastAsia="SimSun" w:cs="SimSun"/>
          <w:sz w:val="20"/>
          <w:szCs w:val="20"/>
          <w:spacing w:val="-1"/>
        </w:rPr>
        <w:t>收益规则在实际中的</w:t>
      </w:r>
    </w:p>
    <w:p>
      <w:pPr>
        <w:spacing w:line="220" w:lineRule="auto"/>
        <w:rPr>
          <w:rFonts w:ascii="SimSun" w:hAnsi="SimSun" w:eastAsia="SimSun" w:cs="SimSun"/>
          <w:sz w:val="20"/>
          <w:szCs w:val="20"/>
        </w:rPr>
      </w:pPr>
      <w:r>
        <w:rPr>
          <w:rFonts w:ascii="SimSun" w:hAnsi="SimSun" w:eastAsia="SimSun" w:cs="SimSun"/>
          <w:sz w:val="20"/>
          <w:szCs w:val="20"/>
          <w:spacing w:val="-2"/>
        </w:rPr>
        <w:t>应用规则。</w:t>
      </w:r>
    </w:p>
    <w:p>
      <w:pPr>
        <w:ind w:right="109" w:firstLine="410"/>
        <w:spacing w:before="99" w:line="342" w:lineRule="auto"/>
        <w:jc w:val="both"/>
        <w:rPr>
          <w:rFonts w:ascii="SimSun" w:hAnsi="SimSun" w:eastAsia="SimSun" w:cs="SimSun"/>
          <w:sz w:val="20"/>
          <w:szCs w:val="20"/>
        </w:rPr>
      </w:pPr>
      <w:r>
        <w:rPr>
          <w:rFonts w:ascii="SimSun" w:hAnsi="SimSun" w:eastAsia="SimSun" w:cs="SimSun"/>
          <w:sz w:val="20"/>
          <w:szCs w:val="20"/>
          <w:spacing w:val="-1"/>
        </w:rPr>
        <w:t>成本收益分析方法的有效运用不仅提高了资源配置效率，阻止了</w:t>
      </w:r>
      <w:r>
        <w:rPr>
          <w:rFonts w:ascii="SimSun" w:hAnsi="SimSun" w:eastAsia="SimSun" w:cs="SimSun"/>
          <w:sz w:val="20"/>
          <w:szCs w:val="20"/>
          <w:spacing w:val="17"/>
        </w:rPr>
        <w:t xml:space="preserve"> </w:t>
      </w:r>
      <w:r>
        <w:rPr>
          <w:rFonts w:ascii="SimSun" w:hAnsi="SimSun" w:eastAsia="SimSun" w:cs="SimSun"/>
          <w:sz w:val="20"/>
          <w:szCs w:val="20"/>
        </w:rPr>
        <w:t>大量不正当的规制，激励了许多被长期忽视</w:t>
      </w:r>
      <w:r>
        <w:rPr>
          <w:rFonts w:ascii="SimSun" w:hAnsi="SimSun" w:eastAsia="SimSun" w:cs="SimSun"/>
          <w:sz w:val="20"/>
          <w:szCs w:val="20"/>
          <w:spacing w:val="-1"/>
        </w:rPr>
        <w:t>的规制，而且也大大提升</w:t>
      </w:r>
    </w:p>
    <w:p>
      <w:pPr>
        <w:spacing w:line="219" w:lineRule="auto"/>
        <w:rPr>
          <w:rFonts w:ascii="SimSun" w:hAnsi="SimSun" w:eastAsia="SimSun" w:cs="SimSun"/>
          <w:sz w:val="20"/>
          <w:szCs w:val="20"/>
        </w:rPr>
      </w:pPr>
      <w:r>
        <w:rPr>
          <w:rFonts w:ascii="SimSun" w:hAnsi="SimSun" w:eastAsia="SimSun" w:cs="SimSun"/>
          <w:sz w:val="20"/>
          <w:szCs w:val="20"/>
          <w:spacing w:val="-4"/>
        </w:rPr>
        <w:t>了现代行政和监管的合法性。</w:t>
      </w:r>
    </w:p>
    <w:p>
      <w:pPr>
        <w:ind w:firstLine="410"/>
        <w:spacing w:before="99" w:line="333" w:lineRule="auto"/>
        <w:jc w:val="both"/>
        <w:rPr>
          <w:rFonts w:ascii="SimSun" w:hAnsi="SimSun" w:eastAsia="SimSun" w:cs="SimSun"/>
          <w:sz w:val="20"/>
          <w:szCs w:val="20"/>
        </w:rPr>
      </w:pPr>
      <w:r>
        <w:rPr>
          <w:rFonts w:ascii="SimSun" w:hAnsi="SimSun" w:eastAsia="SimSun" w:cs="SimSun"/>
          <w:sz w:val="20"/>
          <w:szCs w:val="20"/>
          <w:spacing w:val="3"/>
        </w:rPr>
        <w:t>长期以来，我国对于产业监管没有建立起一套科学的评估机制，</w:t>
      </w:r>
      <w:r>
        <w:rPr>
          <w:rFonts w:ascii="SimSun" w:hAnsi="SimSun" w:eastAsia="SimSun" w:cs="SimSun"/>
          <w:sz w:val="20"/>
          <w:szCs w:val="20"/>
          <w:spacing w:val="15"/>
        </w:rPr>
        <w:t xml:space="preserve"> </w:t>
      </w:r>
      <w:r>
        <w:rPr>
          <w:rFonts w:ascii="SimSun" w:hAnsi="SimSun" w:eastAsia="SimSun" w:cs="SimSun"/>
          <w:sz w:val="20"/>
          <w:szCs w:val="20"/>
        </w:rPr>
        <w:t>无论是立法前评估还是立法后评估，均比较</w:t>
      </w:r>
      <w:r>
        <w:rPr>
          <w:rFonts w:ascii="SimSun" w:hAnsi="SimSun" w:eastAsia="SimSun" w:cs="SimSun"/>
          <w:sz w:val="20"/>
          <w:szCs w:val="20"/>
          <w:spacing w:val="-1"/>
        </w:rPr>
        <w:t>缺乏。这是行政监管替代</w:t>
      </w:r>
      <w:r>
        <w:rPr>
          <w:rFonts w:ascii="SimSun" w:hAnsi="SimSun" w:eastAsia="SimSun" w:cs="SimSun"/>
          <w:sz w:val="20"/>
          <w:szCs w:val="20"/>
        </w:rPr>
        <w:t xml:space="preserve">  </w:t>
      </w:r>
      <w:r>
        <w:rPr>
          <w:rFonts w:ascii="SimSun" w:hAnsi="SimSun" w:eastAsia="SimSun" w:cs="SimSun"/>
          <w:sz w:val="20"/>
          <w:szCs w:val="20"/>
          <w:spacing w:val="-2"/>
        </w:rPr>
        <w:t>了经济监管、社会监管的一种表现形式，也体现为监管仅</w:t>
      </w:r>
      <w:r>
        <w:rPr>
          <w:rFonts w:ascii="SimSun" w:hAnsi="SimSun" w:eastAsia="SimSun" w:cs="SimSun"/>
          <w:sz w:val="20"/>
          <w:szCs w:val="20"/>
          <w:spacing w:val="-3"/>
        </w:rPr>
        <w:t>仅关注市场  </w:t>
      </w:r>
      <w:r>
        <w:rPr>
          <w:rFonts w:ascii="SimSun" w:hAnsi="SimSun" w:eastAsia="SimSun" w:cs="SimSun"/>
          <w:sz w:val="20"/>
          <w:szCs w:val="20"/>
        </w:rPr>
        <w:t>准入，是事前控制导向的，而忽略了对市场</w:t>
      </w:r>
      <w:r>
        <w:rPr>
          <w:rFonts w:ascii="SimSun" w:hAnsi="SimSun" w:eastAsia="SimSun" w:cs="SimSun"/>
          <w:sz w:val="20"/>
          <w:szCs w:val="20"/>
          <w:spacing w:val="-1"/>
        </w:rPr>
        <w:t>结构、竞争状况以及监管</w:t>
      </w:r>
      <w:r>
        <w:rPr>
          <w:rFonts w:ascii="SimSun" w:hAnsi="SimSun" w:eastAsia="SimSun" w:cs="SimSun"/>
          <w:sz w:val="20"/>
          <w:szCs w:val="20"/>
        </w:rPr>
        <w:t xml:space="preserve">  </w:t>
      </w:r>
      <w:r>
        <w:rPr>
          <w:rFonts w:ascii="SimSun" w:hAnsi="SimSun" w:eastAsia="SimSun" w:cs="SimSun"/>
          <w:sz w:val="20"/>
          <w:szCs w:val="20"/>
          <w:spacing w:val="-1"/>
        </w:rPr>
        <w:t>效果的判断。这样也就造成监管目的单一，手段简单，仅仅起到了压</w:t>
      </w:r>
    </w:p>
    <w:p>
      <w:pPr>
        <w:spacing w:line="220" w:lineRule="auto"/>
        <w:rPr>
          <w:rFonts w:ascii="SimSun" w:hAnsi="SimSun" w:eastAsia="SimSun" w:cs="SimSun"/>
          <w:sz w:val="20"/>
          <w:szCs w:val="20"/>
        </w:rPr>
      </w:pPr>
      <w:r>
        <w:rPr>
          <w:rFonts w:ascii="SimSun" w:hAnsi="SimSun" w:eastAsia="SimSun" w:cs="SimSun"/>
          <w:sz w:val="20"/>
          <w:szCs w:val="20"/>
          <w:spacing w:val="-5"/>
        </w:rPr>
        <w:t>制型法的作用。</w:t>
      </w:r>
    </w:p>
    <w:p>
      <w:pPr>
        <w:ind w:right="117" w:firstLine="410"/>
        <w:spacing w:before="123" w:line="332" w:lineRule="auto"/>
        <w:jc w:val="both"/>
        <w:rPr>
          <w:rFonts w:ascii="SimSun" w:hAnsi="SimSun" w:eastAsia="SimSun" w:cs="SimSun"/>
          <w:sz w:val="20"/>
          <w:szCs w:val="20"/>
        </w:rPr>
      </w:pPr>
      <w:r>
        <w:rPr>
          <w:rFonts w:ascii="SimSun" w:hAnsi="SimSun" w:eastAsia="SimSun" w:cs="SimSun"/>
          <w:sz w:val="20"/>
          <w:szCs w:val="20"/>
          <w:spacing w:val="-1"/>
        </w:rPr>
        <w:t>随着反垄断法的实施，反垄断部门基于该法的特性和规定，具体</w:t>
      </w:r>
      <w:r>
        <w:rPr>
          <w:rFonts w:ascii="SimSun" w:hAnsi="SimSun" w:eastAsia="SimSun" w:cs="SimSun"/>
          <w:sz w:val="20"/>
          <w:szCs w:val="20"/>
          <w:spacing w:val="8"/>
        </w:rPr>
        <w:t xml:space="preserve"> </w:t>
      </w:r>
      <w:r>
        <w:rPr>
          <w:rFonts w:ascii="SimSun" w:hAnsi="SimSun" w:eastAsia="SimSun" w:cs="SimSun"/>
          <w:sz w:val="20"/>
          <w:szCs w:val="20"/>
        </w:rPr>
        <w:t>执法时，在个案、整体制度上陆续采用了经济分</w:t>
      </w:r>
      <w:r>
        <w:rPr>
          <w:rFonts w:ascii="SimSun" w:hAnsi="SimSun" w:eastAsia="SimSun" w:cs="SimSun"/>
          <w:sz w:val="20"/>
          <w:szCs w:val="20"/>
          <w:spacing w:val="-1"/>
        </w:rPr>
        <w:t>析、成本收益评估等</w:t>
      </w:r>
      <w:r>
        <w:rPr>
          <w:rFonts w:ascii="SimSun" w:hAnsi="SimSun" w:eastAsia="SimSun" w:cs="SimSun"/>
          <w:sz w:val="20"/>
          <w:szCs w:val="20"/>
        </w:rPr>
        <w:t xml:space="preserve"> </w:t>
      </w:r>
      <w:r>
        <w:rPr>
          <w:rFonts w:ascii="SimSun" w:hAnsi="SimSun" w:eastAsia="SimSun" w:cs="SimSun"/>
          <w:sz w:val="20"/>
          <w:szCs w:val="20"/>
        </w:rPr>
        <w:t>方法，在重大案件、重要市场中通过成本收益</w:t>
      </w:r>
      <w:r>
        <w:rPr>
          <w:rFonts w:ascii="SimSun" w:hAnsi="SimSun" w:eastAsia="SimSun" w:cs="SimSun"/>
          <w:sz w:val="20"/>
          <w:szCs w:val="20"/>
          <w:spacing w:val="-1"/>
        </w:rPr>
        <w:t>评估等进行了有益的探</w:t>
      </w:r>
      <w:r>
        <w:rPr>
          <w:rFonts w:ascii="SimSun" w:hAnsi="SimSun" w:eastAsia="SimSun" w:cs="SimSun"/>
          <w:sz w:val="20"/>
          <w:szCs w:val="20"/>
        </w:rPr>
        <w:t xml:space="preserve"> </w:t>
      </w:r>
      <w:r>
        <w:rPr>
          <w:rFonts w:ascii="SimSun" w:hAnsi="SimSun" w:eastAsia="SimSun" w:cs="SimSun"/>
          <w:sz w:val="20"/>
          <w:szCs w:val="20"/>
          <w:spacing w:val="-1"/>
        </w:rPr>
        <w:t>索。随着公平竞争制度、营商环境评估等制度的确立，可以扩展上述</w:t>
      </w:r>
    </w:p>
    <w:p>
      <w:pPr>
        <w:spacing w:line="219" w:lineRule="auto"/>
        <w:rPr>
          <w:rFonts w:ascii="SimSun" w:hAnsi="SimSun" w:eastAsia="SimSun" w:cs="SimSun"/>
          <w:sz w:val="20"/>
          <w:szCs w:val="20"/>
        </w:rPr>
      </w:pPr>
      <w:r>
        <w:rPr>
          <w:rFonts w:ascii="SimSun" w:hAnsi="SimSun" w:eastAsia="SimSun" w:cs="SimSun"/>
          <w:sz w:val="20"/>
          <w:szCs w:val="20"/>
        </w:rPr>
        <w:t>方法，延伸到具体的竞争领域，探索例如公平</w:t>
      </w:r>
      <w:r>
        <w:rPr>
          <w:rFonts w:ascii="SimSun" w:hAnsi="SimSun" w:eastAsia="SimSun" w:cs="SimSun"/>
          <w:sz w:val="20"/>
          <w:szCs w:val="20"/>
          <w:spacing w:val="-1"/>
        </w:rPr>
        <w:t>竞争审查制度的切实可</w:t>
      </w:r>
    </w:p>
    <w:p>
      <w:pPr>
        <w:pStyle w:val="BodyText"/>
        <w:spacing w:line="297" w:lineRule="auto"/>
        <w:rPr/>
      </w:pPr>
      <w:r/>
    </w:p>
    <w:p>
      <w:pPr>
        <w:pStyle w:val="BodyText"/>
        <w:spacing w:line="297" w:lineRule="auto"/>
        <w:rPr/>
      </w:pPr>
      <w:r/>
    </w:p>
    <w:p>
      <w:pPr>
        <w:ind w:left="329" w:right="50" w:hanging="329"/>
        <w:spacing w:before="46" w:line="288" w:lineRule="auto"/>
        <w:rPr>
          <w:rFonts w:ascii="SimSun" w:hAnsi="SimSun" w:eastAsia="SimSun" w:cs="SimSun"/>
          <w:sz w:val="14"/>
          <w:szCs w:val="14"/>
        </w:rPr>
      </w:pPr>
      <w:r>
        <w:rPr>
          <w:rFonts w:ascii="KaiTi" w:hAnsi="KaiTi" w:eastAsia="KaiTi" w:cs="KaiTi"/>
          <w:sz w:val="14"/>
          <w:szCs w:val="14"/>
          <w:spacing w:val="14"/>
        </w:rPr>
        <w:t>①</w:t>
      </w:r>
      <w:r>
        <w:rPr>
          <w:rFonts w:ascii="KaiTi" w:hAnsi="KaiTi" w:eastAsia="KaiTi" w:cs="KaiTi"/>
          <w:sz w:val="14"/>
          <w:szCs w:val="14"/>
          <w:spacing w:val="14"/>
        </w:rPr>
        <w:t xml:space="preserve">  </w:t>
      </w:r>
      <w:r>
        <w:rPr>
          <w:rFonts w:ascii="KaiTi" w:hAnsi="KaiTi" w:eastAsia="KaiTi" w:cs="KaiTi"/>
          <w:sz w:val="14"/>
          <w:szCs w:val="14"/>
          <w:spacing w:val="14"/>
        </w:rPr>
        <w:t>刘权</w:t>
      </w:r>
      <w:r>
        <w:rPr>
          <w:rFonts w:ascii="KaiTi" w:hAnsi="KaiTi" w:eastAsia="KaiTi" w:cs="KaiTi"/>
          <w:sz w:val="14"/>
          <w:szCs w:val="14"/>
          <w:spacing w:val="-39"/>
        </w:rPr>
        <w:t xml:space="preserve"> </w:t>
      </w:r>
      <w:r>
        <w:rPr>
          <w:rFonts w:ascii="KaiTi" w:hAnsi="KaiTi" w:eastAsia="KaiTi" w:cs="KaiTi"/>
          <w:sz w:val="14"/>
          <w:szCs w:val="14"/>
          <w:spacing w:val="14"/>
        </w:rPr>
        <w:t>.作为规制工具的成本收益分析</w:t>
      </w:r>
      <w:r>
        <w:rPr>
          <w:rFonts w:ascii="KaiTi" w:hAnsi="KaiTi" w:eastAsia="KaiTi" w:cs="KaiTi"/>
          <w:sz w:val="14"/>
          <w:szCs w:val="14"/>
          <w:spacing w:val="-48"/>
        </w:rPr>
        <w:t xml:space="preserve"> </w:t>
      </w:r>
      <w:r>
        <w:rPr>
          <w:rFonts w:ascii="KaiTi" w:hAnsi="KaiTi" w:eastAsia="KaiTi" w:cs="KaiTi"/>
          <w:sz w:val="14"/>
          <w:szCs w:val="14"/>
          <w:spacing w:val="14"/>
        </w:rPr>
        <w:t>—</w:t>
      </w:r>
      <w:r>
        <w:rPr>
          <w:rFonts w:ascii="KaiTi" w:hAnsi="KaiTi" w:eastAsia="KaiTi" w:cs="KaiTi"/>
          <w:sz w:val="14"/>
          <w:szCs w:val="14"/>
          <w:spacing w:val="-49"/>
        </w:rPr>
        <w:t xml:space="preserve"> </w:t>
      </w:r>
      <w:r>
        <w:rPr>
          <w:rFonts w:ascii="KaiTi" w:hAnsi="KaiTi" w:eastAsia="KaiTi" w:cs="KaiTi"/>
          <w:sz w:val="14"/>
          <w:szCs w:val="14"/>
          <w:spacing w:val="14"/>
        </w:rPr>
        <w:t>—</w:t>
      </w:r>
      <w:r>
        <w:rPr>
          <w:rFonts w:ascii="KaiTi" w:hAnsi="KaiTi" w:eastAsia="KaiTi" w:cs="KaiTi"/>
          <w:sz w:val="14"/>
          <w:szCs w:val="14"/>
          <w:spacing w:val="-26"/>
        </w:rPr>
        <w:t xml:space="preserve"> </w:t>
      </w:r>
      <w:r>
        <w:rPr>
          <w:rFonts w:ascii="KaiTi" w:hAnsi="KaiTi" w:eastAsia="KaiTi" w:cs="KaiTi"/>
          <w:sz w:val="14"/>
          <w:szCs w:val="14"/>
          <w:spacing w:val="14"/>
        </w:rPr>
        <w:t>以美国的理论与实践为例</w:t>
      </w:r>
      <w:r>
        <w:rPr>
          <w:rFonts w:ascii="KaiTi" w:hAnsi="KaiTi" w:eastAsia="KaiTi" w:cs="KaiTi"/>
          <w:sz w:val="14"/>
          <w:szCs w:val="14"/>
          <w:spacing w:val="-39"/>
        </w:rPr>
        <w:t xml:space="preserve"> </w:t>
      </w:r>
      <w:r>
        <w:rPr>
          <w:rFonts w:ascii="KaiTi" w:hAnsi="KaiTi" w:eastAsia="KaiTi" w:cs="KaiTi"/>
          <w:sz w:val="14"/>
          <w:szCs w:val="14"/>
          <w:spacing w:val="14"/>
        </w:rPr>
        <w:t>.</w:t>
      </w:r>
      <w:r>
        <w:rPr>
          <w:rFonts w:ascii="KaiTi" w:hAnsi="KaiTi" w:eastAsia="KaiTi" w:cs="KaiTi"/>
          <w:sz w:val="14"/>
          <w:szCs w:val="14"/>
          <w:spacing w:val="-41"/>
        </w:rPr>
        <w:t xml:space="preserve"> </w:t>
      </w:r>
      <w:r>
        <w:rPr>
          <w:rFonts w:ascii="KaiTi" w:hAnsi="KaiTi" w:eastAsia="KaiTi" w:cs="KaiTi"/>
          <w:sz w:val="14"/>
          <w:szCs w:val="14"/>
          <w:spacing w:val="14"/>
        </w:rPr>
        <w:t>行政法学研究，</w:t>
      </w:r>
      <w:r>
        <w:rPr>
          <w:rFonts w:ascii="KaiTi" w:hAnsi="KaiTi" w:eastAsia="KaiTi" w:cs="KaiTi"/>
          <w:sz w:val="14"/>
          <w:szCs w:val="14"/>
        </w:rPr>
        <w:t xml:space="preserve"> </w:t>
      </w:r>
      <w:r>
        <w:rPr>
          <w:rFonts w:ascii="SimSun" w:hAnsi="SimSun" w:eastAsia="SimSun" w:cs="SimSun"/>
          <w:sz w:val="14"/>
          <w:szCs w:val="14"/>
          <w:spacing w:val="-1"/>
        </w:rPr>
        <w:t>2015(1):135-144.</w:t>
      </w:r>
    </w:p>
    <w:p>
      <w:pPr>
        <w:spacing w:line="288" w:lineRule="auto"/>
        <w:sectPr>
          <w:headerReference w:type="default" r:id="rId562"/>
          <w:pgSz w:w="7330" w:h="12480"/>
          <w:pgMar w:top="819" w:right="599" w:bottom="400" w:left="619" w:header="662" w:footer="0" w:gutter="0"/>
        </w:sectPr>
        <w:rPr>
          <w:rFonts w:ascii="SimSun" w:hAnsi="SimSun" w:eastAsia="SimSun" w:cs="SimSun"/>
          <w:sz w:val="14"/>
          <w:szCs w:val="14"/>
        </w:rPr>
      </w:pPr>
    </w:p>
    <w:p>
      <w:pPr>
        <w:pStyle w:val="BodyText"/>
        <w:spacing w:line="246" w:lineRule="auto"/>
        <w:rPr/>
      </w:pPr>
      <w:r>
        <w:drawing>
          <wp:anchor distT="0" distB="0" distL="0" distR="0" simplePos="0" relativeHeight="256557056" behindDoc="0" locked="0" layoutInCell="0" allowOverlap="1">
            <wp:simplePos x="0" y="0"/>
            <wp:positionH relativeFrom="page">
              <wp:posOffset>361937</wp:posOffset>
            </wp:positionH>
            <wp:positionV relativeFrom="page">
              <wp:posOffset>6870717</wp:posOffset>
            </wp:positionV>
            <wp:extent cx="1181092" cy="6350"/>
            <wp:effectExtent l="0" t="0" r="0" b="0"/>
            <wp:wrapNone/>
            <wp:docPr id="428" name="IM 428"/>
            <wp:cNvGraphicFramePr/>
            <a:graphic>
              <a:graphicData uri="http://schemas.openxmlformats.org/drawingml/2006/picture">
                <pic:pic>
                  <pic:nvPicPr>
                    <pic:cNvPr id="428" name="IM 428"/>
                    <pic:cNvPicPr/>
                  </pic:nvPicPr>
                  <pic:blipFill>
                    <a:blip r:embed="rId565"/>
                    <a:stretch>
                      <a:fillRect/>
                    </a:stretch>
                  </pic:blipFill>
                  <pic:spPr>
                    <a:xfrm rot="0">
                      <a:off x="0" y="0"/>
                      <a:ext cx="1181092" cy="6350"/>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spacing w:before="69" w:line="218" w:lineRule="auto"/>
        <w:rPr>
          <w:rFonts w:ascii="SimSun" w:hAnsi="SimSun" w:eastAsia="SimSun" w:cs="SimSun"/>
          <w:sz w:val="21"/>
          <w:szCs w:val="21"/>
        </w:rPr>
      </w:pPr>
      <w:r>
        <w:rPr>
          <w:rFonts w:ascii="SimSun" w:hAnsi="SimSun" w:eastAsia="SimSun" w:cs="SimSun"/>
          <w:sz w:val="21"/>
          <w:szCs w:val="21"/>
          <w:spacing w:val="-12"/>
        </w:rPr>
        <w:t>行的评估制度。</w:t>
      </w:r>
    </w:p>
    <w:p>
      <w:pPr>
        <w:ind w:right="24" w:firstLine="410"/>
        <w:spacing w:before="124" w:line="296" w:lineRule="auto"/>
        <w:jc w:val="both"/>
        <w:rPr>
          <w:rFonts w:ascii="SimSun" w:hAnsi="SimSun" w:eastAsia="SimSun" w:cs="SimSun"/>
          <w:sz w:val="21"/>
          <w:szCs w:val="21"/>
        </w:rPr>
      </w:pPr>
      <w:r>
        <w:rPr>
          <w:rFonts w:ascii="SimSun" w:hAnsi="SimSun" w:eastAsia="SimSun" w:cs="SimSun"/>
          <w:sz w:val="21"/>
          <w:szCs w:val="21"/>
          <w:spacing w:val="-11"/>
        </w:rPr>
        <w:t>公平竞争审查是实施竞争政策的重要工具，也是有效贯彻公平竞</w:t>
      </w:r>
      <w:r>
        <w:rPr>
          <w:rFonts w:ascii="SimSun" w:hAnsi="SimSun" w:eastAsia="SimSun" w:cs="SimSun"/>
          <w:sz w:val="21"/>
          <w:szCs w:val="21"/>
          <w:spacing w:val="7"/>
        </w:rPr>
        <w:t xml:space="preserve"> </w:t>
      </w:r>
      <w:r>
        <w:rPr>
          <w:rFonts w:ascii="SimSun" w:hAnsi="SimSun" w:eastAsia="SimSun" w:cs="SimSun"/>
          <w:sz w:val="21"/>
          <w:szCs w:val="21"/>
          <w:spacing w:val="-10"/>
        </w:rPr>
        <w:t>争理念、倡导竞争文化的重要手段。公平竞争审查</w:t>
      </w:r>
      <w:r>
        <w:rPr>
          <w:rFonts w:ascii="SimSun" w:hAnsi="SimSun" w:eastAsia="SimSun" w:cs="SimSun"/>
          <w:sz w:val="21"/>
          <w:szCs w:val="21"/>
          <w:spacing w:val="-11"/>
        </w:rPr>
        <w:t>制度是指政策制定</w:t>
      </w:r>
      <w:r>
        <w:rPr>
          <w:rFonts w:ascii="SimSun" w:hAnsi="SimSun" w:eastAsia="SimSun" w:cs="SimSun"/>
          <w:sz w:val="21"/>
          <w:szCs w:val="21"/>
        </w:rPr>
        <w:t xml:space="preserve"> </w:t>
      </w:r>
      <w:r>
        <w:rPr>
          <w:rFonts w:ascii="SimSun" w:hAnsi="SimSun" w:eastAsia="SimSun" w:cs="SimSun"/>
          <w:sz w:val="21"/>
          <w:szCs w:val="21"/>
          <w:spacing w:val="-11"/>
        </w:rPr>
        <w:t>部门或者竞争执法机构通过分析、评价拟订中的或现行的公共政策可</w:t>
      </w:r>
      <w:r>
        <w:rPr>
          <w:rFonts w:ascii="SimSun" w:hAnsi="SimSun" w:eastAsia="SimSun" w:cs="SimSun"/>
          <w:sz w:val="21"/>
          <w:szCs w:val="21"/>
          <w:spacing w:val="17"/>
        </w:rPr>
        <w:t xml:space="preserve"> </w:t>
      </w:r>
      <w:r>
        <w:rPr>
          <w:rFonts w:ascii="SimSun" w:hAnsi="SimSun" w:eastAsia="SimSun" w:cs="SimSun"/>
          <w:sz w:val="21"/>
          <w:szCs w:val="21"/>
          <w:spacing w:val="-10"/>
        </w:rPr>
        <w:t>能或已经产生的竞争影响，提出不妨碍政策目标实现而对</w:t>
      </w:r>
      <w:r>
        <w:rPr>
          <w:rFonts w:ascii="SimSun" w:hAnsi="SimSun" w:eastAsia="SimSun" w:cs="SimSun"/>
          <w:sz w:val="21"/>
          <w:szCs w:val="21"/>
          <w:spacing w:val="-11"/>
        </w:rPr>
        <w:t>市场竞争损</w:t>
      </w:r>
      <w:r>
        <w:rPr>
          <w:rFonts w:ascii="SimSun" w:hAnsi="SimSun" w:eastAsia="SimSun" w:cs="SimSun"/>
          <w:sz w:val="21"/>
          <w:szCs w:val="21"/>
        </w:rPr>
        <w:t xml:space="preserve"> </w:t>
      </w:r>
      <w:r>
        <w:rPr>
          <w:rFonts w:ascii="SimSun" w:hAnsi="SimSun" w:eastAsia="SimSun" w:cs="SimSun"/>
          <w:sz w:val="21"/>
          <w:szCs w:val="21"/>
          <w:spacing w:val="-15"/>
        </w:rPr>
        <w:t>害最小的替代方案的制度。①</w:t>
      </w:r>
    </w:p>
    <w:p>
      <w:pPr>
        <w:ind w:firstLine="410"/>
        <w:spacing w:before="123" w:line="299" w:lineRule="auto"/>
        <w:jc w:val="both"/>
        <w:rPr>
          <w:rFonts w:ascii="SimSun" w:hAnsi="SimSun" w:eastAsia="SimSun" w:cs="SimSun"/>
          <w:sz w:val="21"/>
          <w:szCs w:val="21"/>
        </w:rPr>
      </w:pPr>
      <w:r>
        <w:rPr>
          <w:rFonts w:ascii="SimSun" w:hAnsi="SimSun" w:eastAsia="SimSun" w:cs="SimSun"/>
          <w:sz w:val="21"/>
          <w:szCs w:val="21"/>
          <w:spacing w:val="4"/>
        </w:rPr>
        <w:t>在制度建立方面，2017年10月，国家发改委、财政部、商务</w:t>
      </w:r>
      <w:r>
        <w:rPr>
          <w:rFonts w:ascii="SimSun" w:hAnsi="SimSun" w:eastAsia="SimSun" w:cs="SimSun"/>
          <w:sz w:val="21"/>
          <w:szCs w:val="21"/>
          <w:spacing w:val="2"/>
        </w:rPr>
        <w:t xml:space="preserve"> </w:t>
      </w:r>
      <w:r>
        <w:rPr>
          <w:rFonts w:ascii="SimSun" w:hAnsi="SimSun" w:eastAsia="SimSun" w:cs="SimSun"/>
          <w:sz w:val="21"/>
          <w:szCs w:val="21"/>
          <w:spacing w:val="-10"/>
        </w:rPr>
        <w:t>部、工商总局、国务院法制办联合印发了《公平</w:t>
      </w:r>
      <w:r>
        <w:rPr>
          <w:rFonts w:ascii="SimSun" w:hAnsi="SimSun" w:eastAsia="SimSun" w:cs="SimSun"/>
          <w:sz w:val="21"/>
          <w:szCs w:val="21"/>
          <w:spacing w:val="-11"/>
        </w:rPr>
        <w:t>竞争审查制度实施细</w:t>
      </w:r>
      <w:r>
        <w:rPr>
          <w:rFonts w:ascii="SimSun" w:hAnsi="SimSun" w:eastAsia="SimSun" w:cs="SimSun"/>
          <w:sz w:val="21"/>
          <w:szCs w:val="21"/>
        </w:rPr>
        <w:t xml:space="preserve"> </w:t>
      </w:r>
      <w:r>
        <w:rPr>
          <w:rFonts w:ascii="SimSun" w:hAnsi="SimSun" w:eastAsia="SimSun" w:cs="SimSun"/>
          <w:sz w:val="21"/>
          <w:szCs w:val="21"/>
          <w:spacing w:val="-3"/>
        </w:rPr>
        <w:t>则(暂行)》。2017年12月，国家发改委等部委发布《2017—2018年</w:t>
      </w:r>
      <w:r>
        <w:rPr>
          <w:rFonts w:ascii="SimSun" w:hAnsi="SimSun" w:eastAsia="SimSun" w:cs="SimSun"/>
          <w:sz w:val="21"/>
          <w:szCs w:val="21"/>
          <w:spacing w:val="8"/>
        </w:rPr>
        <w:t xml:space="preserve"> </w:t>
      </w:r>
      <w:r>
        <w:rPr>
          <w:rFonts w:ascii="SimSun" w:hAnsi="SimSun" w:eastAsia="SimSun" w:cs="SimSun"/>
          <w:sz w:val="21"/>
          <w:szCs w:val="21"/>
          <w:spacing w:val="-7"/>
        </w:rPr>
        <w:t>清理现行排除限制竞争政策措施的工作方案》,明确清理现行排除限</w:t>
      </w:r>
      <w:r>
        <w:rPr>
          <w:rFonts w:ascii="SimSun" w:hAnsi="SimSun" w:eastAsia="SimSun" w:cs="SimSun"/>
          <w:sz w:val="21"/>
          <w:szCs w:val="21"/>
          <w:spacing w:val="5"/>
        </w:rPr>
        <w:t xml:space="preserve"> </w:t>
      </w:r>
      <w:r>
        <w:rPr>
          <w:rFonts w:ascii="SimSun" w:hAnsi="SimSun" w:eastAsia="SimSun" w:cs="SimSun"/>
          <w:sz w:val="21"/>
          <w:szCs w:val="21"/>
          <w:spacing w:val="-4"/>
        </w:rPr>
        <w:t>制竞争的政策措施是2018年反垄断相关的重要工作之一。2018年11</w:t>
      </w:r>
      <w:r>
        <w:rPr>
          <w:rFonts w:ascii="SimSun" w:hAnsi="SimSun" w:eastAsia="SimSun" w:cs="SimSun"/>
          <w:sz w:val="21"/>
          <w:szCs w:val="21"/>
          <w:spacing w:val="5"/>
        </w:rPr>
        <w:t xml:space="preserve"> </w:t>
      </w:r>
      <w:r>
        <w:rPr>
          <w:rFonts w:ascii="SimSun" w:hAnsi="SimSun" w:eastAsia="SimSun" w:cs="SimSun"/>
          <w:sz w:val="21"/>
          <w:szCs w:val="21"/>
          <w:spacing w:val="-11"/>
        </w:rPr>
        <w:t>月，新成立的市场监管总局发布了《市场监管总局办公厅关</w:t>
      </w:r>
      <w:r>
        <w:rPr>
          <w:rFonts w:ascii="SimSun" w:hAnsi="SimSun" w:eastAsia="SimSun" w:cs="SimSun"/>
          <w:sz w:val="21"/>
          <w:szCs w:val="21"/>
          <w:spacing w:val="-12"/>
        </w:rPr>
        <w:t>于请提供</w:t>
      </w:r>
      <w:r>
        <w:rPr>
          <w:rFonts w:ascii="SimSun" w:hAnsi="SimSun" w:eastAsia="SimSun" w:cs="SimSun"/>
          <w:sz w:val="21"/>
          <w:szCs w:val="21"/>
        </w:rPr>
        <w:t xml:space="preserve"> </w:t>
      </w:r>
      <w:r>
        <w:rPr>
          <w:rFonts w:ascii="SimSun" w:hAnsi="SimSun" w:eastAsia="SimSun" w:cs="SimSun"/>
          <w:sz w:val="21"/>
          <w:szCs w:val="21"/>
          <w:spacing w:val="-13"/>
        </w:rPr>
        <w:t>清理现行排除限制竞争政策措施和执行公平竞争审查制度情况的函》,</w:t>
      </w:r>
      <w:r>
        <w:rPr>
          <w:rFonts w:ascii="SimSun" w:hAnsi="SimSun" w:eastAsia="SimSun" w:cs="SimSun"/>
          <w:sz w:val="21"/>
          <w:szCs w:val="21"/>
          <w:spacing w:val="18"/>
        </w:rPr>
        <w:t xml:space="preserve"> </w:t>
      </w:r>
      <w:r>
        <w:rPr>
          <w:rFonts w:ascii="SimSun" w:hAnsi="SimSun" w:eastAsia="SimSun" w:cs="SimSun"/>
          <w:sz w:val="21"/>
          <w:szCs w:val="21"/>
          <w:spacing w:val="-3"/>
        </w:rPr>
        <w:t>要求各省、自治区、直辖市及各部门对本地区、本部</w:t>
      </w:r>
      <w:r>
        <w:rPr>
          <w:rFonts w:ascii="SimSun" w:hAnsi="SimSun" w:eastAsia="SimSun" w:cs="SimSun"/>
          <w:sz w:val="21"/>
          <w:szCs w:val="21"/>
          <w:spacing w:val="-4"/>
        </w:rPr>
        <w:t>门2018年执行</w:t>
      </w:r>
      <w:r>
        <w:rPr>
          <w:rFonts w:ascii="SimSun" w:hAnsi="SimSun" w:eastAsia="SimSun" w:cs="SimSun"/>
          <w:sz w:val="21"/>
          <w:szCs w:val="21"/>
        </w:rPr>
        <w:t xml:space="preserve"> </w:t>
      </w:r>
      <w:r>
        <w:rPr>
          <w:rFonts w:ascii="SimSun" w:hAnsi="SimSun" w:eastAsia="SimSun" w:cs="SimSun"/>
          <w:sz w:val="21"/>
          <w:szCs w:val="21"/>
          <w:spacing w:val="-11"/>
        </w:rPr>
        <w:t>公平竞争审查制度的情况展开自查，并将相关情况向社会公示，接受</w:t>
      </w:r>
      <w:r>
        <w:rPr>
          <w:rFonts w:ascii="SimSun" w:hAnsi="SimSun" w:eastAsia="SimSun" w:cs="SimSun"/>
          <w:sz w:val="21"/>
          <w:szCs w:val="21"/>
          <w:spacing w:val="17"/>
        </w:rPr>
        <w:t xml:space="preserve"> </w:t>
      </w:r>
      <w:r>
        <w:rPr>
          <w:rFonts w:ascii="SimSun" w:hAnsi="SimSun" w:eastAsia="SimSun" w:cs="SimSun"/>
          <w:sz w:val="21"/>
          <w:szCs w:val="21"/>
          <w:spacing w:val="-8"/>
        </w:rPr>
        <w:t>公众监督。</w:t>
      </w:r>
    </w:p>
    <w:p>
      <w:pPr>
        <w:ind w:right="30" w:firstLine="410"/>
        <w:spacing w:before="190" w:line="290" w:lineRule="auto"/>
        <w:jc w:val="both"/>
        <w:rPr>
          <w:rFonts w:ascii="SimSun" w:hAnsi="SimSun" w:eastAsia="SimSun" w:cs="SimSun"/>
          <w:sz w:val="21"/>
          <w:szCs w:val="21"/>
        </w:rPr>
      </w:pPr>
      <w:r>
        <w:rPr>
          <w:rFonts w:ascii="SimSun" w:hAnsi="SimSun" w:eastAsia="SimSun" w:cs="SimSun"/>
          <w:sz w:val="21"/>
          <w:szCs w:val="21"/>
          <w:spacing w:val="-11"/>
        </w:rPr>
        <w:t>在制度执行方面，公平竞争审查制度出台以来，相关部门采取集</w:t>
      </w:r>
      <w:r>
        <w:rPr>
          <w:rFonts w:ascii="SimSun" w:hAnsi="SimSun" w:eastAsia="SimSun" w:cs="SimSun"/>
          <w:sz w:val="21"/>
          <w:szCs w:val="21"/>
          <w:spacing w:val="4"/>
        </w:rPr>
        <w:t xml:space="preserve"> </w:t>
      </w:r>
      <w:r>
        <w:rPr>
          <w:rFonts w:ascii="SimSun" w:hAnsi="SimSun" w:eastAsia="SimSun" w:cs="SimSun"/>
          <w:sz w:val="21"/>
          <w:szCs w:val="21"/>
          <w:spacing w:val="-3"/>
        </w:rPr>
        <w:t>中授课、业务指导等方式，累计培训各级、各部</w:t>
      </w:r>
      <w:r>
        <w:rPr>
          <w:rFonts w:ascii="SimSun" w:hAnsi="SimSun" w:eastAsia="SimSun" w:cs="SimSun"/>
          <w:sz w:val="21"/>
          <w:szCs w:val="21"/>
          <w:spacing w:val="-4"/>
        </w:rPr>
        <w:t>门政府官员4000余</w:t>
      </w:r>
      <w:r>
        <w:rPr>
          <w:rFonts w:ascii="SimSun" w:hAnsi="SimSun" w:eastAsia="SimSun" w:cs="SimSun"/>
          <w:sz w:val="21"/>
          <w:szCs w:val="21"/>
        </w:rPr>
        <w:t xml:space="preserve"> </w:t>
      </w:r>
      <w:r>
        <w:rPr>
          <w:rFonts w:ascii="SimSun" w:hAnsi="SimSun" w:eastAsia="SimSun" w:cs="SimSun"/>
          <w:sz w:val="21"/>
          <w:szCs w:val="21"/>
          <w:spacing w:val="-11"/>
        </w:rPr>
        <w:t>人次，通过培训、督查、调研、召开新闻发布会、刊发系列文章等方</w:t>
      </w:r>
      <w:r>
        <w:rPr>
          <w:rFonts w:ascii="SimSun" w:hAnsi="SimSun" w:eastAsia="SimSun" w:cs="SimSun"/>
          <w:sz w:val="21"/>
          <w:szCs w:val="21"/>
          <w:spacing w:val="16"/>
        </w:rPr>
        <w:t xml:space="preserve"> </w:t>
      </w:r>
      <w:r>
        <w:rPr>
          <w:rFonts w:ascii="SimSun" w:hAnsi="SimSun" w:eastAsia="SimSun" w:cs="SimSun"/>
          <w:sz w:val="21"/>
          <w:szCs w:val="21"/>
          <w:spacing w:val="-10"/>
        </w:rPr>
        <w:t>式，提高各级政府部门对公平竞争审查制度</w:t>
      </w:r>
      <w:r>
        <w:rPr>
          <w:rFonts w:ascii="SimSun" w:hAnsi="SimSun" w:eastAsia="SimSun" w:cs="SimSun"/>
          <w:sz w:val="21"/>
          <w:szCs w:val="21"/>
          <w:spacing w:val="-11"/>
        </w:rPr>
        <w:t>的理解和认识，提升审查</w:t>
      </w:r>
      <w:r>
        <w:rPr>
          <w:rFonts w:ascii="SimSun" w:hAnsi="SimSun" w:eastAsia="SimSun" w:cs="SimSun"/>
          <w:sz w:val="21"/>
          <w:szCs w:val="21"/>
        </w:rPr>
        <w:t xml:space="preserve"> </w:t>
      </w:r>
      <w:r>
        <w:rPr>
          <w:rFonts w:ascii="SimSun" w:hAnsi="SimSun" w:eastAsia="SimSun" w:cs="SimSun"/>
          <w:sz w:val="21"/>
          <w:szCs w:val="21"/>
          <w:spacing w:val="-12"/>
        </w:rPr>
        <w:t>能力和水平，推动制度有效落地实施。</w:t>
      </w:r>
    </w:p>
    <w:p>
      <w:pPr>
        <w:ind w:right="30" w:firstLine="410"/>
        <w:spacing w:before="139" w:line="284" w:lineRule="auto"/>
        <w:jc w:val="both"/>
        <w:rPr>
          <w:rFonts w:ascii="SimSun" w:hAnsi="SimSun" w:eastAsia="SimSun" w:cs="SimSun"/>
          <w:sz w:val="21"/>
          <w:szCs w:val="21"/>
        </w:rPr>
      </w:pPr>
      <w:r>
        <w:rPr>
          <w:rFonts w:ascii="SimSun" w:hAnsi="SimSun" w:eastAsia="SimSun" w:cs="SimSun"/>
          <w:sz w:val="21"/>
          <w:szCs w:val="21"/>
          <w:spacing w:val="-11"/>
        </w:rPr>
        <w:t>目前，公平竞争审查已成为出台涉及市场主体经济活动的政策措</w:t>
      </w:r>
      <w:r>
        <w:rPr>
          <w:rFonts w:ascii="SimSun" w:hAnsi="SimSun" w:eastAsia="SimSun" w:cs="SimSun"/>
          <w:sz w:val="21"/>
          <w:szCs w:val="21"/>
          <w:spacing w:val="8"/>
        </w:rPr>
        <w:t xml:space="preserve"> </w:t>
      </w:r>
      <w:r>
        <w:rPr>
          <w:rFonts w:ascii="SimSun" w:hAnsi="SimSun" w:eastAsia="SimSun" w:cs="SimSun"/>
          <w:sz w:val="21"/>
          <w:szCs w:val="21"/>
          <w:spacing w:val="-10"/>
        </w:rPr>
        <w:t>施的必经程序，在有效防止出台排除、限制竞</w:t>
      </w:r>
      <w:r>
        <w:rPr>
          <w:rFonts w:ascii="SimSun" w:hAnsi="SimSun" w:eastAsia="SimSun" w:cs="SimSun"/>
          <w:sz w:val="21"/>
          <w:szCs w:val="21"/>
          <w:spacing w:val="-11"/>
        </w:rPr>
        <w:t>争政策措施的同时，不</w:t>
      </w:r>
      <w:r>
        <w:rPr>
          <w:rFonts w:ascii="SimSun" w:hAnsi="SimSun" w:eastAsia="SimSun" w:cs="SimSun"/>
          <w:sz w:val="21"/>
          <w:szCs w:val="21"/>
        </w:rPr>
        <w:t xml:space="preserve"> </w:t>
      </w:r>
      <w:r>
        <w:rPr>
          <w:rFonts w:ascii="SimSun" w:hAnsi="SimSun" w:eastAsia="SimSun" w:cs="SimSun"/>
          <w:sz w:val="21"/>
          <w:szCs w:val="21"/>
          <w:spacing w:val="-11"/>
        </w:rPr>
        <w:t>断增强各级政府部门的公平竞争意识，推动政府职能加快转变。</w:t>
      </w:r>
    </w:p>
    <w:p>
      <w:pPr>
        <w:pStyle w:val="BodyText"/>
        <w:spacing w:line="275" w:lineRule="auto"/>
        <w:rPr/>
      </w:pPr>
      <w:r/>
    </w:p>
    <w:p>
      <w:pPr>
        <w:pStyle w:val="BodyText"/>
        <w:spacing w:line="275" w:lineRule="auto"/>
        <w:rPr/>
      </w:pPr>
      <w:r/>
    </w:p>
    <w:p>
      <w:pPr>
        <w:pStyle w:val="BodyText"/>
        <w:spacing w:line="276" w:lineRule="auto"/>
        <w:rPr/>
      </w:pPr>
      <w:r/>
    </w:p>
    <w:p>
      <w:pPr>
        <w:spacing w:before="53" w:line="220" w:lineRule="auto"/>
        <w:rPr>
          <w:rFonts w:ascii="Times New Roman" w:hAnsi="Times New Roman" w:eastAsia="Times New Roman" w:cs="Times New Roman"/>
          <w:sz w:val="16"/>
          <w:szCs w:val="16"/>
        </w:rPr>
      </w:pPr>
      <w:r>
        <w:rPr>
          <w:rFonts w:ascii="KaiTi" w:hAnsi="KaiTi" w:eastAsia="KaiTi" w:cs="KaiTi"/>
          <w:sz w:val="16"/>
          <w:szCs w:val="16"/>
          <w:spacing w:val="6"/>
        </w:rPr>
        <w:t>①</w:t>
      </w:r>
      <w:r>
        <w:rPr>
          <w:rFonts w:ascii="KaiTi" w:hAnsi="KaiTi" w:eastAsia="KaiTi" w:cs="KaiTi"/>
          <w:sz w:val="16"/>
          <w:szCs w:val="16"/>
          <w:spacing w:val="59"/>
          <w:w w:val="101"/>
        </w:rPr>
        <w:t xml:space="preserve"> </w:t>
      </w:r>
      <w:r>
        <w:rPr>
          <w:rFonts w:ascii="KaiTi" w:hAnsi="KaiTi" w:eastAsia="KaiTi" w:cs="KaiTi"/>
          <w:sz w:val="16"/>
          <w:szCs w:val="16"/>
          <w:spacing w:val="6"/>
        </w:rPr>
        <w:t>孟雁北.论我国反垄断法在管制行业实施的特征.天津法学，2019(3):</w:t>
      </w:r>
      <w:r>
        <w:rPr>
          <w:rFonts w:ascii="KaiTi" w:hAnsi="KaiTi" w:eastAsia="KaiTi" w:cs="KaiTi"/>
          <w:sz w:val="16"/>
          <w:szCs w:val="16"/>
          <w:spacing w:val="-44"/>
        </w:rPr>
        <w:t xml:space="preserve"> </w:t>
      </w:r>
      <w:r>
        <w:rPr>
          <w:rFonts w:ascii="Times New Roman" w:hAnsi="Times New Roman" w:eastAsia="Times New Roman" w:cs="Times New Roman"/>
          <w:sz w:val="16"/>
          <w:szCs w:val="16"/>
          <w:spacing w:val="6"/>
        </w:rPr>
        <w:t>44-49.</w:t>
      </w:r>
    </w:p>
    <w:p>
      <w:pPr>
        <w:spacing w:line="220" w:lineRule="auto"/>
        <w:sectPr>
          <w:headerReference w:type="default" r:id="rId564"/>
          <w:pgSz w:w="7330" w:h="12480"/>
          <w:pgMar w:top="527" w:right="738" w:bottom="400" w:left="569" w:header="365" w:footer="0" w:gutter="0"/>
        </w:sectPr>
        <w:rPr>
          <w:rFonts w:ascii="Times New Roman" w:hAnsi="Times New Roman" w:eastAsia="Times New Roman" w:cs="Times New Roman"/>
          <w:sz w:val="16"/>
          <w:szCs w:val="16"/>
        </w:rPr>
      </w:pPr>
    </w:p>
    <w:p>
      <w:pPr>
        <w:pStyle w:val="BodyText"/>
        <w:spacing w:line="248" w:lineRule="auto"/>
        <w:rPr/>
      </w:pPr>
      <w:r>
        <w:drawing>
          <wp:anchor distT="0" distB="0" distL="0" distR="0" simplePos="0" relativeHeight="256567296" behindDoc="0" locked="0" layoutInCell="0" allowOverlap="1">
            <wp:simplePos x="0" y="0"/>
            <wp:positionH relativeFrom="page">
              <wp:posOffset>323863</wp:posOffset>
            </wp:positionH>
            <wp:positionV relativeFrom="page">
              <wp:posOffset>6191244</wp:posOffset>
            </wp:positionV>
            <wp:extent cx="1174715" cy="6350"/>
            <wp:effectExtent l="0" t="0" r="0" b="0"/>
            <wp:wrapNone/>
            <wp:docPr id="430" name="IM 430"/>
            <wp:cNvGraphicFramePr/>
            <a:graphic>
              <a:graphicData uri="http://schemas.openxmlformats.org/drawingml/2006/picture">
                <pic:pic>
                  <pic:nvPicPr>
                    <pic:cNvPr id="430" name="IM 430"/>
                    <pic:cNvPicPr/>
                  </pic:nvPicPr>
                  <pic:blipFill>
                    <a:blip r:embed="rId567"/>
                    <a:stretch>
                      <a:fillRect/>
                    </a:stretch>
                  </pic:blipFill>
                  <pic:spPr>
                    <a:xfrm rot="0">
                      <a:off x="0" y="0"/>
                      <a:ext cx="1174715" cy="6350"/>
                    </a:xfrm>
                    <a:prstGeom prst="rect">
                      <a:avLst/>
                    </a:prstGeom>
                  </pic:spPr>
                </pic:pic>
              </a:graphicData>
            </a:graphic>
          </wp:anchor>
        </w:drawing>
      </w:r>
      <w:r/>
    </w:p>
    <w:p>
      <w:pPr>
        <w:pStyle w:val="BodyText"/>
        <w:spacing w:line="248" w:lineRule="auto"/>
        <w:rPr/>
      </w:pPr>
      <w:r/>
    </w:p>
    <w:p>
      <w:pPr>
        <w:pStyle w:val="BodyText"/>
        <w:spacing w:line="248" w:lineRule="auto"/>
        <w:rPr/>
      </w:pPr>
      <w:r/>
    </w:p>
    <w:p>
      <w:pPr>
        <w:pStyle w:val="BodyText"/>
        <w:spacing w:line="248" w:lineRule="auto"/>
        <w:rPr/>
      </w:pPr>
      <w:r/>
    </w:p>
    <w:p>
      <w:pPr>
        <w:ind w:left="656"/>
        <w:spacing w:before="100" w:line="717" w:lineRule="exact"/>
        <w:rPr>
          <w:rFonts w:ascii="SimSun" w:hAnsi="SimSun" w:eastAsia="SimSun" w:cs="SimSun"/>
          <w:sz w:val="31"/>
          <w:szCs w:val="31"/>
        </w:rPr>
      </w:pPr>
      <w:r>
        <w:rPr>
          <w:rFonts w:ascii="SimSun" w:hAnsi="SimSun" w:eastAsia="SimSun" w:cs="SimSun"/>
          <w:sz w:val="31"/>
          <w:szCs w:val="31"/>
          <w:b/>
          <w:bCs/>
          <w:spacing w:val="4"/>
          <w:position w:val="31"/>
        </w:rPr>
        <w:t>回应型监管、反垄断和数字经济法</w:t>
      </w:r>
    </w:p>
    <w:p>
      <w:pPr>
        <w:ind w:left="5"/>
        <w:spacing w:before="1" w:line="220" w:lineRule="auto"/>
        <w:rPr>
          <w:rFonts w:ascii="SimHei" w:hAnsi="SimHei" w:eastAsia="SimHei" w:cs="SimHei"/>
          <w:sz w:val="23"/>
          <w:szCs w:val="23"/>
        </w:rPr>
      </w:pPr>
      <w:r>
        <w:rPr>
          <w:rFonts w:ascii="SimHei" w:hAnsi="SimHei" w:eastAsia="SimHei" w:cs="SimHei"/>
          <w:sz w:val="23"/>
          <w:szCs w:val="23"/>
          <w:b/>
          <w:bCs/>
          <w:spacing w:val="3"/>
        </w:rPr>
        <w:t>回应型监管研究概述</w:t>
      </w:r>
    </w:p>
    <w:p>
      <w:pPr>
        <w:pStyle w:val="BodyText"/>
        <w:spacing w:line="382" w:lineRule="auto"/>
        <w:rPr/>
      </w:pPr>
      <w:r/>
    </w:p>
    <w:p>
      <w:pPr>
        <w:ind w:left="2" w:right="39" w:firstLine="429"/>
        <w:spacing w:before="62" w:line="350" w:lineRule="auto"/>
        <w:jc w:val="both"/>
        <w:rPr>
          <w:rFonts w:ascii="SimSun" w:hAnsi="SimSun" w:eastAsia="SimSun" w:cs="SimSun"/>
          <w:sz w:val="19"/>
          <w:szCs w:val="19"/>
        </w:rPr>
      </w:pPr>
      <w:r>
        <w:rPr>
          <w:rFonts w:ascii="SimSun" w:hAnsi="SimSun" w:eastAsia="SimSun" w:cs="SimSun"/>
          <w:sz w:val="19"/>
          <w:szCs w:val="19"/>
          <w:spacing w:val="9"/>
        </w:rPr>
        <w:t>回应型监管是回应型法的具体化，回应型法是由塞尔兹尼克和诺</w:t>
      </w:r>
      <w:r>
        <w:rPr>
          <w:rFonts w:ascii="SimSun" w:hAnsi="SimSun" w:eastAsia="SimSun" w:cs="SimSun"/>
          <w:sz w:val="19"/>
          <w:szCs w:val="19"/>
          <w:spacing w:val="15"/>
        </w:rPr>
        <w:t xml:space="preserve"> </w:t>
      </w:r>
      <w:r>
        <w:rPr>
          <w:rFonts w:ascii="SimSun" w:hAnsi="SimSun" w:eastAsia="SimSun" w:cs="SimSun"/>
          <w:sz w:val="19"/>
          <w:szCs w:val="19"/>
          <w:spacing w:val="6"/>
        </w:rPr>
        <w:t>内特两位学者最早提出的⑨,之后美国和澳大利亚的两位学者</w:t>
      </w:r>
      <w:r>
        <w:rPr>
          <w:rFonts w:ascii="SimSun" w:hAnsi="SimSun" w:eastAsia="SimSun" w:cs="SimSun"/>
          <w:sz w:val="19"/>
          <w:szCs w:val="19"/>
          <w:spacing w:val="5"/>
        </w:rPr>
        <w:t>伊恩·艾</w:t>
      </w:r>
      <w:r>
        <w:rPr>
          <w:rFonts w:ascii="SimSun" w:hAnsi="SimSun" w:eastAsia="SimSun" w:cs="SimSun"/>
          <w:sz w:val="19"/>
          <w:szCs w:val="19"/>
        </w:rPr>
        <w:t xml:space="preserve"> </w:t>
      </w:r>
      <w:r>
        <w:rPr>
          <w:rFonts w:ascii="SimSun" w:hAnsi="SimSun" w:eastAsia="SimSun" w:cs="SimSun"/>
          <w:sz w:val="19"/>
          <w:szCs w:val="19"/>
          <w:spacing w:val="15"/>
        </w:rPr>
        <w:t>尔斯和约翰·布雷斯维特于1992年出版的《回应型监管：超越放松</w:t>
      </w:r>
      <w:r>
        <w:rPr>
          <w:rFonts w:ascii="SimSun" w:hAnsi="SimSun" w:eastAsia="SimSun" w:cs="SimSun"/>
          <w:sz w:val="19"/>
          <w:szCs w:val="19"/>
          <w:spacing w:val="4"/>
        </w:rPr>
        <w:t xml:space="preserve"> </w:t>
      </w:r>
      <w:r>
        <w:rPr>
          <w:rFonts w:ascii="SimSun" w:hAnsi="SimSun" w:eastAsia="SimSun" w:cs="SimSun"/>
          <w:sz w:val="19"/>
          <w:szCs w:val="19"/>
          <w:spacing w:val="9"/>
        </w:rPr>
        <w:t>监管的争论》②一书中提出了在监管上的延伸。该理论的提出是由于</w:t>
      </w:r>
      <w:r>
        <w:rPr>
          <w:rFonts w:ascii="SimSun" w:hAnsi="SimSun" w:eastAsia="SimSun" w:cs="SimSun"/>
          <w:sz w:val="19"/>
          <w:szCs w:val="19"/>
          <w:spacing w:val="10"/>
        </w:rPr>
        <w:t xml:space="preserve"> </w:t>
      </w:r>
      <w:r>
        <w:rPr>
          <w:rFonts w:ascii="SimSun" w:hAnsi="SimSun" w:eastAsia="SimSun" w:cs="SimSun"/>
          <w:sz w:val="19"/>
          <w:szCs w:val="19"/>
          <w:spacing w:val="9"/>
        </w:rPr>
        <w:t>占主流的管制经济学、传统的政治与行政学无法有效解决社会性监管 </w:t>
      </w:r>
      <w:r>
        <w:rPr>
          <w:rFonts w:ascii="SimSun" w:hAnsi="SimSun" w:eastAsia="SimSun" w:cs="SimSun"/>
          <w:sz w:val="19"/>
          <w:szCs w:val="19"/>
          <w:spacing w:val="12"/>
        </w:rPr>
        <w:t>问题，而且研究视角局限于“政府管制”,把监管看作“政府”或公</w:t>
      </w:r>
      <w:r>
        <w:rPr>
          <w:rFonts w:ascii="SimSun" w:hAnsi="SimSun" w:eastAsia="SimSun" w:cs="SimSun"/>
          <w:sz w:val="19"/>
          <w:szCs w:val="19"/>
          <w:spacing w:val="14"/>
        </w:rPr>
        <w:t xml:space="preserve"> </w:t>
      </w:r>
      <w:r>
        <w:rPr>
          <w:rFonts w:ascii="SimSun" w:hAnsi="SimSun" w:eastAsia="SimSun" w:cs="SimSun"/>
          <w:sz w:val="19"/>
          <w:szCs w:val="19"/>
          <w:spacing w:val="9"/>
        </w:rPr>
        <w:t>共机构通过制定法律或颁布行政命令来调整可能造成负面影响的社会</w:t>
      </w:r>
      <w:r>
        <w:rPr>
          <w:rFonts w:ascii="SimSun" w:hAnsi="SimSun" w:eastAsia="SimSun" w:cs="SimSun"/>
          <w:sz w:val="19"/>
          <w:szCs w:val="19"/>
          <w:spacing w:val="7"/>
        </w:rPr>
        <w:t xml:space="preserve"> </w:t>
      </w:r>
      <w:r>
        <w:rPr>
          <w:rFonts w:ascii="SimSun" w:hAnsi="SimSun" w:eastAsia="SimSun" w:cs="SimSun"/>
          <w:sz w:val="19"/>
          <w:szCs w:val="19"/>
          <w:spacing w:val="16"/>
        </w:rPr>
        <w:t>行为。这些理论把公私机构明显区分开来，认为公共机构就是监管</w:t>
      </w:r>
      <w:r>
        <w:rPr>
          <w:rFonts w:ascii="SimSun" w:hAnsi="SimSun" w:eastAsia="SimSun" w:cs="SimSun"/>
          <w:sz w:val="19"/>
          <w:szCs w:val="19"/>
          <w:spacing w:val="5"/>
        </w:rPr>
        <w:t xml:space="preserve"> </w:t>
      </w:r>
      <w:r>
        <w:rPr>
          <w:rFonts w:ascii="SimSun" w:hAnsi="SimSun" w:eastAsia="SimSun" w:cs="SimSun"/>
          <w:sz w:val="19"/>
          <w:szCs w:val="19"/>
          <w:spacing w:val="12"/>
        </w:rPr>
        <w:t>者，而私营部门就是被监管者，而对非政府机构(比如行业协会、专</w:t>
      </w:r>
      <w:r>
        <w:rPr>
          <w:rFonts w:ascii="SimSun" w:hAnsi="SimSun" w:eastAsia="SimSun" w:cs="SimSun"/>
          <w:sz w:val="19"/>
          <w:szCs w:val="19"/>
          <w:spacing w:val="14"/>
        </w:rPr>
        <w:t xml:space="preserve"> </w:t>
      </w:r>
      <w:r>
        <w:rPr>
          <w:rFonts w:ascii="SimSun" w:hAnsi="SimSun" w:eastAsia="SimSun" w:cs="SimSun"/>
          <w:sz w:val="19"/>
          <w:szCs w:val="19"/>
          <w:spacing w:val="12"/>
        </w:rPr>
        <w:t>业机构、公益机构，甚至被监管的企业本身)如何发挥监管作用没有</w:t>
      </w:r>
    </w:p>
    <w:p>
      <w:pPr>
        <w:ind w:left="2"/>
        <w:spacing w:line="220" w:lineRule="auto"/>
        <w:rPr>
          <w:rFonts w:ascii="SimSun" w:hAnsi="SimSun" w:eastAsia="SimSun" w:cs="SimSun"/>
          <w:sz w:val="19"/>
          <w:szCs w:val="19"/>
        </w:rPr>
      </w:pPr>
      <w:r>
        <w:rPr>
          <w:rFonts w:ascii="SimSun" w:hAnsi="SimSun" w:eastAsia="SimSun" w:cs="SimSun"/>
          <w:sz w:val="19"/>
          <w:szCs w:val="19"/>
          <w:spacing w:val="4"/>
        </w:rPr>
        <w:t>给予足够重视。</w:t>
      </w:r>
    </w:p>
    <w:p>
      <w:pPr>
        <w:ind w:left="2" w:right="44" w:firstLine="439"/>
        <w:spacing w:before="142" w:line="340" w:lineRule="auto"/>
        <w:jc w:val="both"/>
        <w:rPr>
          <w:rFonts w:ascii="SimSun" w:hAnsi="SimSun" w:eastAsia="SimSun" w:cs="SimSun"/>
          <w:sz w:val="19"/>
          <w:szCs w:val="19"/>
        </w:rPr>
      </w:pPr>
      <w:r>
        <w:rPr>
          <w:rFonts w:ascii="SimSun" w:hAnsi="SimSun" w:eastAsia="SimSun" w:cs="SimSun"/>
          <w:sz w:val="19"/>
          <w:szCs w:val="19"/>
          <w:spacing w:val="9"/>
        </w:rPr>
        <w:t>面对加强政府监管和放松监管的争论，艾尔斯和布雷斯维特提出</w:t>
      </w:r>
      <w:r>
        <w:rPr>
          <w:rFonts w:ascii="SimSun" w:hAnsi="SimSun" w:eastAsia="SimSun" w:cs="SimSun"/>
          <w:sz w:val="19"/>
          <w:szCs w:val="19"/>
        </w:rPr>
        <w:t xml:space="preserve"> </w:t>
      </w:r>
      <w:r>
        <w:rPr>
          <w:rFonts w:ascii="SimSun" w:hAnsi="SimSun" w:eastAsia="SimSun" w:cs="SimSun"/>
          <w:sz w:val="19"/>
          <w:szCs w:val="19"/>
          <w:spacing w:val="9"/>
        </w:rPr>
        <w:t>了介于两者之间的第三条道路，即发展政府监管和非</w:t>
      </w:r>
      <w:r>
        <w:rPr>
          <w:rFonts w:ascii="SimSun" w:hAnsi="SimSun" w:eastAsia="SimSun" w:cs="SimSun"/>
          <w:sz w:val="19"/>
          <w:szCs w:val="19"/>
          <w:spacing w:val="8"/>
        </w:rPr>
        <w:t>政府干预手段的</w:t>
      </w:r>
      <w:r>
        <w:rPr>
          <w:rFonts w:ascii="SimSun" w:hAnsi="SimSun" w:eastAsia="SimSun" w:cs="SimSun"/>
          <w:sz w:val="19"/>
          <w:szCs w:val="19"/>
        </w:rPr>
        <w:t xml:space="preserve"> </w:t>
      </w:r>
      <w:r>
        <w:rPr>
          <w:rFonts w:ascii="SimSun" w:hAnsi="SimSun" w:eastAsia="SimSun" w:cs="SimSun"/>
          <w:sz w:val="19"/>
          <w:szCs w:val="19"/>
          <w:spacing w:val="9"/>
        </w:rPr>
        <w:t>混合模式。他们分别从经济学博弈论和社会学的角度得出了相同的结</w:t>
      </w:r>
      <w:r>
        <w:rPr>
          <w:rFonts w:ascii="SimSun" w:hAnsi="SimSun" w:eastAsia="SimSun" w:cs="SimSun"/>
          <w:sz w:val="19"/>
          <w:szCs w:val="19"/>
          <w:spacing w:val="10"/>
        </w:rPr>
        <w:t xml:space="preserve"> </w:t>
      </w:r>
      <w:r>
        <w:rPr>
          <w:rFonts w:ascii="SimSun" w:hAnsi="SimSun" w:eastAsia="SimSun" w:cs="SimSun"/>
          <w:sz w:val="19"/>
          <w:szCs w:val="19"/>
          <w:spacing w:val="9"/>
        </w:rPr>
        <w:t>论，就是单纯使用政府监管或市场调节都不会取得最佳效果，最佳效</w:t>
      </w:r>
      <w:r>
        <w:rPr>
          <w:rFonts w:ascii="SimSun" w:hAnsi="SimSun" w:eastAsia="SimSun" w:cs="SimSun"/>
          <w:sz w:val="19"/>
          <w:szCs w:val="19"/>
          <w:spacing w:val="7"/>
        </w:rPr>
        <w:t xml:space="preserve"> </w:t>
      </w:r>
      <w:r>
        <w:rPr>
          <w:rFonts w:ascii="SimSun" w:hAnsi="SimSun" w:eastAsia="SimSun" w:cs="SimSun"/>
          <w:sz w:val="19"/>
          <w:szCs w:val="19"/>
          <w:spacing w:val="9"/>
        </w:rPr>
        <w:t>果必须通过混合使用政府和非政府监管手段才能获得。③理论上，回</w:t>
      </w:r>
    </w:p>
    <w:p>
      <w:pPr>
        <w:ind w:left="2"/>
        <w:spacing w:line="218" w:lineRule="auto"/>
        <w:rPr>
          <w:rFonts w:ascii="SimSun" w:hAnsi="SimSun" w:eastAsia="SimSun" w:cs="SimSun"/>
          <w:sz w:val="19"/>
          <w:szCs w:val="19"/>
        </w:rPr>
      </w:pPr>
      <w:r>
        <w:rPr>
          <w:rFonts w:ascii="SimSun" w:hAnsi="SimSun" w:eastAsia="SimSun" w:cs="SimSun"/>
          <w:sz w:val="19"/>
          <w:szCs w:val="19"/>
          <w:spacing w:val="17"/>
        </w:rPr>
        <w:t>应型监管理论受到博弈论、社会学、犯罪学和美国学者塞</w:t>
      </w:r>
      <w:r>
        <w:rPr>
          <w:rFonts w:ascii="SimSun" w:hAnsi="SimSun" w:eastAsia="SimSun" w:cs="SimSun"/>
          <w:sz w:val="19"/>
          <w:szCs w:val="19"/>
          <w:spacing w:val="16"/>
        </w:rPr>
        <w:t>尔兹尼克</w:t>
      </w:r>
    </w:p>
    <w:p>
      <w:pPr>
        <w:pStyle w:val="BodyText"/>
        <w:spacing w:line="270" w:lineRule="auto"/>
        <w:rPr/>
      </w:pPr>
      <w:r/>
    </w:p>
    <w:p>
      <w:pPr>
        <w:pStyle w:val="BodyText"/>
        <w:spacing w:line="270" w:lineRule="auto"/>
        <w:rPr/>
      </w:pPr>
      <w:r/>
    </w:p>
    <w:p>
      <w:pPr>
        <w:spacing w:before="52" w:line="212" w:lineRule="auto"/>
        <w:jc w:val="right"/>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75"/>
        </w:rPr>
        <w:t xml:space="preserve"> </w:t>
      </w:r>
      <w:r>
        <w:rPr>
          <w:rFonts w:ascii="Times New Roman" w:hAnsi="Times New Roman" w:eastAsia="Times New Roman" w:cs="Times New Roman"/>
          <w:sz w:val="16"/>
          <w:szCs w:val="16"/>
        </w:rPr>
        <w:t>Philippe  Nonet,Philip</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rPr>
        <w:t>Selznick,Law&amp;Society  in</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Transition:Toward  Responsive</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Law,</w:t>
      </w:r>
    </w:p>
    <w:p>
      <w:pPr>
        <w:ind w:left="332"/>
        <w:spacing w:before="13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Routledge</w:t>
      </w:r>
      <w:r>
        <w:rPr>
          <w:rFonts w:ascii="Times New Roman" w:hAnsi="Times New Roman" w:eastAsia="Times New Roman" w:cs="Times New Roman"/>
          <w:sz w:val="16"/>
          <w:szCs w:val="16"/>
          <w:spacing w:val="1"/>
        </w:rPr>
        <w:t>,1978.</w:t>
      </w:r>
    </w:p>
    <w:p>
      <w:pPr>
        <w:spacing w:before="72" w:line="213" w:lineRule="exact"/>
        <w:rPr>
          <w:rFonts w:ascii="Times New Roman" w:hAnsi="Times New Roman" w:eastAsia="Times New Roman" w:cs="Times New Roman"/>
          <w:sz w:val="16"/>
          <w:szCs w:val="16"/>
        </w:rPr>
      </w:pPr>
      <w:r>
        <w:rPr>
          <w:rFonts w:ascii="SimSun" w:hAnsi="SimSun" w:eastAsia="SimSun" w:cs="SimSun"/>
          <w:sz w:val="16"/>
          <w:szCs w:val="16"/>
          <w:i/>
          <w:iCs/>
          <w:spacing w:val="5"/>
          <w:position w:val="2"/>
        </w:rPr>
        <w:t>②</w:t>
      </w:r>
      <w:r>
        <w:rPr>
          <w:rFonts w:ascii="SimSun" w:hAnsi="SimSun" w:eastAsia="SimSun" w:cs="SimSun"/>
          <w:sz w:val="16"/>
          <w:szCs w:val="16"/>
          <w:spacing w:val="66"/>
          <w:position w:val="2"/>
        </w:rPr>
        <w:t xml:space="preserve"> </w:t>
      </w:r>
      <w:r>
        <w:rPr>
          <w:rFonts w:ascii="Times New Roman" w:hAnsi="Times New Roman" w:eastAsia="Times New Roman" w:cs="Times New Roman"/>
          <w:sz w:val="16"/>
          <w:szCs w:val="16"/>
          <w:i/>
          <w:iCs/>
          <w:spacing w:val="5"/>
          <w:position w:val="2"/>
        </w:rPr>
        <w:t>I.</w:t>
      </w:r>
      <w:r>
        <w:rPr>
          <w:rFonts w:ascii="Times New Roman" w:hAnsi="Times New Roman" w:eastAsia="Times New Roman" w:cs="Times New Roman"/>
          <w:sz w:val="16"/>
          <w:szCs w:val="16"/>
          <w:i/>
          <w:iCs/>
          <w:position w:val="2"/>
        </w:rPr>
        <w:t>Ayres</w:t>
      </w:r>
      <w:r>
        <w:rPr>
          <w:rFonts w:ascii="Times New Roman" w:hAnsi="Times New Roman" w:eastAsia="Times New Roman" w:cs="Times New Roman"/>
          <w:sz w:val="16"/>
          <w:szCs w:val="16"/>
          <w:i/>
          <w:iCs/>
          <w:spacing w:val="5"/>
          <w:position w:val="2"/>
        </w:rPr>
        <w:t>,J.</w:t>
      </w:r>
      <w:r>
        <w:rPr>
          <w:rFonts w:ascii="Times New Roman" w:hAnsi="Times New Roman" w:eastAsia="Times New Roman" w:cs="Times New Roman"/>
          <w:sz w:val="16"/>
          <w:szCs w:val="16"/>
          <w:i/>
          <w:iCs/>
          <w:position w:val="2"/>
        </w:rPr>
        <w:t>Braithwaite</w:t>
      </w:r>
      <w:r>
        <w:rPr>
          <w:rFonts w:ascii="Times New Roman" w:hAnsi="Times New Roman" w:eastAsia="Times New Roman" w:cs="Times New Roman"/>
          <w:sz w:val="16"/>
          <w:szCs w:val="16"/>
          <w:i/>
          <w:iCs/>
          <w:spacing w:val="5"/>
          <w:position w:val="2"/>
        </w:rPr>
        <w:t>,</w:t>
      </w:r>
      <w:r>
        <w:rPr>
          <w:rFonts w:ascii="Times New Roman" w:hAnsi="Times New Roman" w:eastAsia="Times New Roman" w:cs="Times New Roman"/>
          <w:sz w:val="16"/>
          <w:szCs w:val="16"/>
          <w:i/>
          <w:iCs/>
          <w:position w:val="2"/>
        </w:rPr>
        <w:t>Responsive</w:t>
      </w:r>
      <w:r>
        <w:rPr>
          <w:rFonts w:ascii="Times New Roman" w:hAnsi="Times New Roman" w:eastAsia="Times New Roman" w:cs="Times New Roman"/>
          <w:sz w:val="16"/>
          <w:szCs w:val="16"/>
          <w:i/>
          <w:iCs/>
          <w:spacing w:val="10"/>
          <w:w w:val="101"/>
          <w:position w:val="2"/>
        </w:rPr>
        <w:t xml:space="preserve">  </w:t>
      </w:r>
      <w:r>
        <w:rPr>
          <w:rFonts w:ascii="Times New Roman" w:hAnsi="Times New Roman" w:eastAsia="Times New Roman" w:cs="Times New Roman"/>
          <w:sz w:val="16"/>
          <w:szCs w:val="16"/>
          <w:i/>
          <w:iCs/>
          <w:position w:val="2"/>
        </w:rPr>
        <w:t>Regulation</w:t>
      </w:r>
      <w:r>
        <w:rPr>
          <w:rFonts w:ascii="Times New Roman" w:hAnsi="Times New Roman" w:eastAsia="Times New Roman" w:cs="Times New Roman"/>
          <w:sz w:val="16"/>
          <w:szCs w:val="16"/>
          <w:i/>
          <w:iCs/>
          <w:spacing w:val="5"/>
          <w:position w:val="2"/>
        </w:rPr>
        <w:t>:</w:t>
      </w:r>
      <w:r>
        <w:rPr>
          <w:rFonts w:ascii="Times New Roman" w:hAnsi="Times New Roman" w:eastAsia="Times New Roman" w:cs="Times New Roman"/>
          <w:sz w:val="16"/>
          <w:szCs w:val="16"/>
          <w:i/>
          <w:iCs/>
          <w:position w:val="2"/>
        </w:rPr>
        <w:t>Transcending</w:t>
      </w:r>
      <w:r>
        <w:rPr>
          <w:rFonts w:ascii="Times New Roman" w:hAnsi="Times New Roman" w:eastAsia="Times New Roman" w:cs="Times New Roman"/>
          <w:sz w:val="16"/>
          <w:szCs w:val="16"/>
          <w:i/>
          <w:iCs/>
          <w:spacing w:val="14"/>
          <w:position w:val="2"/>
        </w:rPr>
        <w:t xml:space="preserve">  </w:t>
      </w:r>
      <w:r>
        <w:rPr>
          <w:rFonts w:ascii="Times New Roman" w:hAnsi="Times New Roman" w:eastAsia="Times New Roman" w:cs="Times New Roman"/>
          <w:sz w:val="16"/>
          <w:szCs w:val="16"/>
          <w:i/>
          <w:iCs/>
          <w:position w:val="2"/>
        </w:rPr>
        <w:t>the</w:t>
      </w:r>
      <w:r>
        <w:rPr>
          <w:rFonts w:ascii="Times New Roman" w:hAnsi="Times New Roman" w:eastAsia="Times New Roman" w:cs="Times New Roman"/>
          <w:sz w:val="16"/>
          <w:szCs w:val="16"/>
          <w:i/>
          <w:iCs/>
          <w:spacing w:val="5"/>
          <w:position w:val="2"/>
        </w:rPr>
        <w:t xml:space="preserve">  </w:t>
      </w:r>
      <w:r>
        <w:rPr>
          <w:rFonts w:ascii="Times New Roman" w:hAnsi="Times New Roman" w:eastAsia="Times New Roman" w:cs="Times New Roman"/>
          <w:sz w:val="16"/>
          <w:szCs w:val="16"/>
          <w:i/>
          <w:iCs/>
          <w:position w:val="2"/>
        </w:rPr>
        <w:t>Deregulation</w:t>
      </w:r>
      <w:r>
        <w:rPr>
          <w:rFonts w:ascii="Times New Roman" w:hAnsi="Times New Roman" w:eastAsia="Times New Roman" w:cs="Times New Roman"/>
          <w:sz w:val="16"/>
          <w:szCs w:val="16"/>
          <w:i/>
          <w:iCs/>
          <w:spacing w:val="5"/>
          <w:position w:val="2"/>
        </w:rPr>
        <w:t xml:space="preserve">  </w:t>
      </w:r>
      <w:r>
        <w:rPr>
          <w:rFonts w:ascii="Times New Roman" w:hAnsi="Times New Roman" w:eastAsia="Times New Roman" w:cs="Times New Roman"/>
          <w:sz w:val="16"/>
          <w:szCs w:val="16"/>
          <w:i/>
          <w:iCs/>
          <w:position w:val="2"/>
        </w:rPr>
        <w:t>Debate</w:t>
      </w:r>
      <w:r>
        <w:rPr>
          <w:rFonts w:ascii="Times New Roman" w:hAnsi="Times New Roman" w:eastAsia="Times New Roman" w:cs="Times New Roman"/>
          <w:sz w:val="16"/>
          <w:szCs w:val="16"/>
          <w:i/>
          <w:iCs/>
          <w:spacing w:val="5"/>
          <w:position w:val="2"/>
        </w:rPr>
        <w:t>,</w:t>
      </w:r>
    </w:p>
    <w:p>
      <w:pPr>
        <w:ind w:left="332"/>
        <w:spacing w:before="10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Oxford</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University</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Press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USA</w:t>
      </w:r>
      <w:r>
        <w:rPr>
          <w:rFonts w:ascii="Times New Roman" w:hAnsi="Times New Roman" w:eastAsia="Times New Roman" w:cs="Times New Roman"/>
          <w:sz w:val="16"/>
          <w:szCs w:val="16"/>
          <w:spacing w:val="1"/>
        </w:rPr>
        <w:t>,1992.</w:t>
      </w:r>
    </w:p>
    <w:p>
      <w:pPr>
        <w:ind w:left="331" w:right="41" w:hanging="329"/>
        <w:spacing w:before="123" w:line="264" w:lineRule="auto"/>
        <w:rPr>
          <w:rFonts w:ascii="KaiTi" w:hAnsi="KaiTi" w:eastAsia="KaiTi" w:cs="KaiTi"/>
          <w:sz w:val="16"/>
          <w:szCs w:val="16"/>
        </w:rPr>
      </w:pPr>
      <w:r>
        <w:rPr>
          <w:rFonts w:ascii="KaiTi" w:hAnsi="KaiTi" w:eastAsia="KaiTi" w:cs="KaiTi"/>
          <w:sz w:val="16"/>
          <w:szCs w:val="16"/>
          <w:spacing w:val="10"/>
        </w:rPr>
        <w:t>③</w:t>
      </w:r>
      <w:r>
        <w:rPr>
          <w:rFonts w:ascii="KaiTi" w:hAnsi="KaiTi" w:eastAsia="KaiTi" w:cs="KaiTi"/>
          <w:sz w:val="16"/>
          <w:szCs w:val="16"/>
          <w:spacing w:val="65"/>
        </w:rPr>
        <w:t xml:space="preserve"> </w:t>
      </w:r>
      <w:r>
        <w:rPr>
          <w:rFonts w:ascii="KaiTi" w:hAnsi="KaiTi" w:eastAsia="KaiTi" w:cs="KaiTi"/>
          <w:sz w:val="16"/>
          <w:szCs w:val="16"/>
          <w:spacing w:val="10"/>
        </w:rPr>
        <w:t>杨炳霖.监管治理体系建设理论范式与实施路径研究——回应性监管理论的启</w:t>
      </w:r>
      <w:r>
        <w:rPr>
          <w:rFonts w:ascii="KaiTi" w:hAnsi="KaiTi" w:eastAsia="KaiTi" w:cs="KaiTi"/>
          <w:sz w:val="16"/>
          <w:szCs w:val="16"/>
        </w:rPr>
        <w:t xml:space="preserve"> </w:t>
      </w:r>
      <w:r>
        <w:rPr>
          <w:rFonts w:ascii="KaiTi" w:hAnsi="KaiTi" w:eastAsia="KaiTi" w:cs="KaiTi"/>
          <w:sz w:val="16"/>
          <w:szCs w:val="16"/>
          <w:spacing w:val="10"/>
        </w:rPr>
        <w:t>示.中国行政管理，2014(6):47-54.</w:t>
      </w:r>
    </w:p>
    <w:p>
      <w:pPr>
        <w:spacing w:line="264" w:lineRule="auto"/>
        <w:sectPr>
          <w:headerReference w:type="default" r:id="rId566"/>
          <w:pgSz w:w="7330" w:h="12480"/>
          <w:pgMar w:top="859" w:right="761" w:bottom="400" w:left="507" w:header="695" w:footer="0" w:gutter="0"/>
        </w:sectPr>
        <w:rPr>
          <w:rFonts w:ascii="KaiTi" w:hAnsi="KaiTi" w:eastAsia="KaiTi" w:cs="KaiTi"/>
          <w:sz w:val="16"/>
          <w:szCs w:val="16"/>
        </w:rPr>
      </w:pPr>
    </w:p>
    <w:p>
      <w:pPr>
        <w:ind w:left="90"/>
        <w:spacing w:line="220" w:lineRule="auto"/>
        <w:rPr>
          <w:rFonts w:ascii="SimHei" w:hAnsi="SimHei" w:eastAsia="SimHei" w:cs="SimHei"/>
          <w:sz w:val="18"/>
          <w:szCs w:val="18"/>
        </w:rPr>
      </w:pPr>
      <w:r>
        <w:rPr>
          <w:rFonts w:ascii="SimSun" w:hAnsi="SimSun" w:eastAsia="SimSun" w:cs="SimSun"/>
          <w:sz w:val="13"/>
          <w:szCs w:val="13"/>
          <w:spacing w:val="-16"/>
          <w:w w:val="97"/>
          <w:position w:val="-1"/>
        </w:rPr>
        <w:t>470</w:t>
      </w:r>
      <w:r>
        <w:rPr>
          <w:rFonts w:ascii="SimSun" w:hAnsi="SimSun" w:eastAsia="SimSun" w:cs="SimSun"/>
          <w:sz w:val="13"/>
          <w:szCs w:val="13"/>
          <w:spacing w:val="2"/>
          <w:position w:val="-1"/>
        </w:rPr>
        <w:t xml:space="preserve">                          </w:t>
      </w:r>
      <w:r>
        <w:rPr>
          <w:rFonts w:ascii="SimHei" w:hAnsi="SimHei" w:eastAsia="SimHei" w:cs="SimHei"/>
          <w:sz w:val="18"/>
          <w:szCs w:val="18"/>
          <w:spacing w:val="-16"/>
          <w:w w:val="97"/>
        </w:rPr>
        <w:t>平台经济——创新、治理与繁荣</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spacing w:before="58" w:line="370" w:lineRule="exact"/>
        <w:rPr>
          <w:rFonts w:ascii="SimSun" w:hAnsi="SimSun" w:eastAsia="SimSun" w:cs="SimSun"/>
          <w:sz w:val="18"/>
          <w:szCs w:val="18"/>
        </w:rPr>
      </w:pPr>
      <w:r>
        <w:rPr>
          <w:rFonts w:ascii="SimSun" w:hAnsi="SimSun" w:eastAsia="SimSun" w:cs="SimSun"/>
          <w:sz w:val="18"/>
          <w:szCs w:val="18"/>
          <w:spacing w:val="22"/>
          <w:position w:val="14"/>
        </w:rPr>
        <w:t>“回应型法”理念的影响。实践上，回应型监管融入了对药品、煤矿</w:t>
      </w:r>
    </w:p>
    <w:p>
      <w:pPr>
        <w:ind w:left="89"/>
        <w:spacing w:line="219" w:lineRule="auto"/>
        <w:rPr>
          <w:rFonts w:ascii="SimSun" w:hAnsi="SimSun" w:eastAsia="SimSun" w:cs="SimSun"/>
          <w:sz w:val="18"/>
          <w:szCs w:val="18"/>
        </w:rPr>
      </w:pPr>
      <w:r>
        <w:rPr>
          <w:rFonts w:ascii="SimSun" w:hAnsi="SimSun" w:eastAsia="SimSun" w:cs="SimSun"/>
          <w:sz w:val="18"/>
          <w:szCs w:val="18"/>
          <w:spacing w:val="18"/>
        </w:rPr>
        <w:t>安全、消费者保护等领域的监管实践的切身观察。</w:t>
      </w:r>
    </w:p>
    <w:p>
      <w:pPr>
        <w:ind w:left="89" w:firstLine="300"/>
        <w:spacing w:before="138" w:line="369" w:lineRule="auto"/>
        <w:rPr>
          <w:rFonts w:ascii="SimSun" w:hAnsi="SimSun" w:eastAsia="SimSun" w:cs="SimSun"/>
          <w:sz w:val="18"/>
          <w:szCs w:val="18"/>
        </w:rPr>
      </w:pPr>
      <w:r>
        <w:rPr>
          <w:rFonts w:ascii="SimSun" w:hAnsi="SimSun" w:eastAsia="SimSun" w:cs="SimSun"/>
          <w:sz w:val="18"/>
          <w:szCs w:val="18"/>
          <w:spacing w:val="17"/>
        </w:rPr>
        <w:t>《回应型监管》</w:t>
      </w:r>
      <w:r>
        <w:rPr>
          <w:rFonts w:ascii="SimSun" w:hAnsi="SimSun" w:eastAsia="SimSun" w:cs="SimSun"/>
          <w:sz w:val="18"/>
          <w:szCs w:val="18"/>
          <w:spacing w:val="56"/>
        </w:rPr>
        <w:t xml:space="preserve"> </w:t>
      </w:r>
      <w:r>
        <w:rPr>
          <w:rFonts w:ascii="SimSun" w:hAnsi="SimSun" w:eastAsia="SimSun" w:cs="SimSun"/>
          <w:sz w:val="18"/>
          <w:szCs w:val="18"/>
          <w:spacing w:val="17"/>
        </w:rPr>
        <w:t>一书提出在综合运用政府与非政府监管手段时应  </w:t>
      </w:r>
      <w:r>
        <w:rPr>
          <w:rFonts w:ascii="SimSun" w:hAnsi="SimSun" w:eastAsia="SimSun" w:cs="SimSun"/>
          <w:sz w:val="18"/>
          <w:szCs w:val="18"/>
          <w:spacing w:val="29"/>
        </w:rPr>
        <w:t>遵循以下规范性原则：(1)针锋相对法；(2)首先考虑运用说服教  </w:t>
      </w:r>
      <w:r>
        <w:rPr>
          <w:rFonts w:ascii="SimSun" w:hAnsi="SimSun" w:eastAsia="SimSun" w:cs="SimSun"/>
          <w:sz w:val="18"/>
          <w:szCs w:val="18"/>
          <w:spacing w:val="27"/>
        </w:rPr>
        <w:t>育或自我监管等“软”措施；(3)把最有力的强制手段作为最后选  </w:t>
      </w:r>
      <w:r>
        <w:rPr>
          <w:rFonts w:ascii="SimSun" w:hAnsi="SimSun" w:eastAsia="SimSun" w:cs="SimSun"/>
          <w:sz w:val="18"/>
          <w:szCs w:val="18"/>
          <w:spacing w:val="27"/>
        </w:rPr>
        <w:t>择；(4)逐步提高监管强度。这一套思路被形象地描述为“金字塔”</w:t>
      </w:r>
      <w:r>
        <w:rPr>
          <w:rFonts w:ascii="SimSun" w:hAnsi="SimSun" w:eastAsia="SimSun" w:cs="SimSun"/>
          <w:sz w:val="18"/>
          <w:szCs w:val="18"/>
          <w:spacing w:val="9"/>
        </w:rPr>
        <w:t xml:space="preserve"> </w:t>
      </w:r>
      <w:r>
        <w:rPr>
          <w:rFonts w:ascii="SimSun" w:hAnsi="SimSun" w:eastAsia="SimSun" w:cs="SimSun"/>
          <w:sz w:val="18"/>
          <w:szCs w:val="18"/>
          <w:spacing w:val="19"/>
        </w:rPr>
        <w:t>理论，包括“强制手段金字塔”和“监管策略</w:t>
      </w:r>
      <w:r>
        <w:rPr>
          <w:rFonts w:ascii="SimSun" w:hAnsi="SimSun" w:eastAsia="SimSun" w:cs="SimSun"/>
          <w:sz w:val="18"/>
          <w:szCs w:val="18"/>
          <w:spacing w:val="18"/>
        </w:rPr>
        <w:t>金字塔”。前者主要针  </w:t>
      </w:r>
      <w:r>
        <w:rPr>
          <w:rFonts w:ascii="SimSun" w:hAnsi="SimSun" w:eastAsia="SimSun" w:cs="SimSun"/>
          <w:sz w:val="18"/>
          <w:szCs w:val="18"/>
          <w:spacing w:val="19"/>
        </w:rPr>
        <w:t>对政府监管者面对被监管个体时采用什么样的</w:t>
      </w:r>
      <w:r>
        <w:rPr>
          <w:rFonts w:ascii="SimSun" w:hAnsi="SimSun" w:eastAsia="SimSun" w:cs="SimSun"/>
          <w:sz w:val="18"/>
          <w:szCs w:val="18"/>
          <w:spacing w:val="18"/>
        </w:rPr>
        <w:t>强制手段，后者是针对  </w:t>
      </w:r>
      <w:r>
        <w:rPr>
          <w:rFonts w:ascii="SimSun" w:hAnsi="SimSun" w:eastAsia="SimSun" w:cs="SimSun"/>
          <w:sz w:val="18"/>
          <w:szCs w:val="18"/>
          <w:spacing w:val="19"/>
        </w:rPr>
        <w:t>整个行业监管政策的设计，也就是决定在多大程度上把政府监管权下</w:t>
      </w:r>
      <w:r>
        <w:rPr>
          <w:rFonts w:ascii="SimSun" w:hAnsi="SimSun" w:eastAsia="SimSun" w:cs="SimSun"/>
          <w:sz w:val="18"/>
          <w:szCs w:val="18"/>
        </w:rPr>
        <w:t xml:space="preserve">   </w:t>
      </w:r>
      <w:r>
        <w:rPr>
          <w:rFonts w:ascii="SimSun" w:hAnsi="SimSun" w:eastAsia="SimSun" w:cs="SimSun"/>
          <w:sz w:val="18"/>
          <w:szCs w:val="18"/>
          <w:spacing w:val="22"/>
        </w:rPr>
        <w:t>放给非政府部门来行使。如图13-</w:t>
      </w:r>
      <w:r>
        <w:rPr>
          <w:rFonts w:ascii="SimSun" w:hAnsi="SimSun" w:eastAsia="SimSun" w:cs="SimSun"/>
          <w:sz w:val="18"/>
          <w:szCs w:val="18"/>
          <w:spacing w:val="-40"/>
        </w:rPr>
        <w:t xml:space="preserve"> </w:t>
      </w:r>
      <w:r>
        <w:rPr>
          <w:rFonts w:ascii="SimSun" w:hAnsi="SimSun" w:eastAsia="SimSun" w:cs="SimSun"/>
          <w:sz w:val="18"/>
          <w:szCs w:val="18"/>
          <w:spacing w:val="22"/>
        </w:rPr>
        <w:t>1所示，多数政府措施应该是位于  </w:t>
      </w:r>
      <w:r>
        <w:rPr>
          <w:rFonts w:ascii="SimSun" w:hAnsi="SimSun" w:eastAsia="SimSun" w:cs="SimSun"/>
          <w:sz w:val="18"/>
          <w:szCs w:val="18"/>
          <w:spacing w:val="19"/>
        </w:rPr>
        <w:t>金字塔底端的教育和说服，当其无效时，政府</w:t>
      </w:r>
      <w:r>
        <w:rPr>
          <w:rFonts w:ascii="SimSun" w:hAnsi="SimSun" w:eastAsia="SimSun" w:cs="SimSun"/>
          <w:sz w:val="18"/>
          <w:szCs w:val="18"/>
          <w:spacing w:val="18"/>
        </w:rPr>
        <w:t>开始逐步提高强制措施  </w:t>
      </w:r>
      <w:r>
        <w:rPr>
          <w:rFonts w:ascii="SimSun" w:hAnsi="SimSun" w:eastAsia="SimSun" w:cs="SimSun"/>
          <w:sz w:val="18"/>
          <w:szCs w:val="18"/>
          <w:spacing w:val="19"/>
        </w:rPr>
        <w:t>的等级，从警告到民事处罚，再到刑事处罚，</w:t>
      </w:r>
      <w:r>
        <w:rPr>
          <w:rFonts w:ascii="SimSun" w:hAnsi="SimSun" w:eastAsia="SimSun" w:cs="SimSun"/>
          <w:sz w:val="18"/>
          <w:szCs w:val="18"/>
          <w:spacing w:val="18"/>
        </w:rPr>
        <w:t>直到最严厉的吊销营业  </w:t>
      </w:r>
      <w:r>
        <w:rPr>
          <w:rFonts w:ascii="SimSun" w:hAnsi="SimSun" w:eastAsia="SimSun" w:cs="SimSun"/>
          <w:sz w:val="18"/>
          <w:szCs w:val="18"/>
          <w:spacing w:val="19"/>
        </w:rPr>
        <w:t>执照。同理，“监管策略金字塔”是说政府应</w:t>
      </w:r>
      <w:r>
        <w:rPr>
          <w:rFonts w:ascii="SimSun" w:hAnsi="SimSun" w:eastAsia="SimSun" w:cs="SimSun"/>
          <w:sz w:val="18"/>
          <w:szCs w:val="18"/>
          <w:spacing w:val="18"/>
        </w:rPr>
        <w:t>首先鼓励自我监管，如  </w:t>
      </w:r>
      <w:r>
        <w:rPr>
          <w:rFonts w:ascii="SimSun" w:hAnsi="SimSun" w:eastAsia="SimSun" w:cs="SimSun"/>
          <w:sz w:val="18"/>
          <w:szCs w:val="18"/>
          <w:spacing w:val="19"/>
        </w:rPr>
        <w:t>果不能达到目的，可以采用强化型自我监管，就是让政府对自我监管</w:t>
      </w:r>
    </w:p>
    <w:p>
      <w:pPr>
        <w:ind w:left="90"/>
        <w:spacing w:line="218" w:lineRule="auto"/>
        <w:rPr>
          <w:rFonts w:ascii="SimSun" w:hAnsi="SimSun" w:eastAsia="SimSun" w:cs="SimSun"/>
          <w:sz w:val="18"/>
          <w:szCs w:val="18"/>
        </w:rPr>
      </w:pPr>
      <w:r>
        <w:rPr>
          <w:rFonts w:ascii="SimSun" w:hAnsi="SimSun" w:eastAsia="SimSun" w:cs="SimSun"/>
          <w:sz w:val="18"/>
          <w:szCs w:val="18"/>
          <w:spacing w:val="18"/>
        </w:rPr>
        <w:t>进行监督，如果还不奏效，就采用更为严厉的命令控</w:t>
      </w:r>
      <w:r>
        <w:rPr>
          <w:rFonts w:ascii="SimSun" w:hAnsi="SimSun" w:eastAsia="SimSun" w:cs="SimSun"/>
          <w:sz w:val="18"/>
          <w:szCs w:val="18"/>
          <w:spacing w:val="17"/>
        </w:rPr>
        <w:t>制型监管。</w:t>
      </w:r>
    </w:p>
    <w:p>
      <w:pPr>
        <w:pStyle w:val="BodyText"/>
        <w:spacing w:line="283" w:lineRule="auto"/>
        <w:rPr/>
      </w:pPr>
      <w:r/>
    </w:p>
    <w:p>
      <w:pPr>
        <w:pStyle w:val="BodyText"/>
        <w:spacing w:line="284" w:lineRule="auto"/>
        <w:rPr/>
      </w:pPr>
      <w:r/>
    </w:p>
    <w:p>
      <w:pPr>
        <w:ind w:left="2970"/>
        <w:spacing w:before="59" w:line="190" w:lineRule="auto"/>
        <w:rPr>
          <w:rFonts w:ascii="SimSun" w:hAnsi="SimSun" w:eastAsia="SimSun" w:cs="SimSun"/>
          <w:sz w:val="18"/>
          <w:szCs w:val="18"/>
        </w:rPr>
      </w:pPr>
      <w:r>
        <w:drawing>
          <wp:anchor distT="0" distB="0" distL="0" distR="0" simplePos="0" relativeHeight="256577536" behindDoc="1" locked="0" layoutInCell="1" allowOverlap="1">
            <wp:simplePos x="0" y="0"/>
            <wp:positionH relativeFrom="column">
              <wp:posOffset>508036</wp:posOffset>
            </wp:positionH>
            <wp:positionV relativeFrom="paragraph">
              <wp:posOffset>-247694</wp:posOffset>
            </wp:positionV>
            <wp:extent cx="2952753" cy="2419282"/>
            <wp:effectExtent l="0" t="0" r="0" b="0"/>
            <wp:wrapNone/>
            <wp:docPr id="432" name="IM 432"/>
            <wp:cNvGraphicFramePr/>
            <a:graphic>
              <a:graphicData uri="http://schemas.openxmlformats.org/drawingml/2006/picture">
                <pic:pic>
                  <pic:nvPicPr>
                    <pic:cNvPr id="432" name="IM 432"/>
                    <pic:cNvPicPr/>
                  </pic:nvPicPr>
                  <pic:blipFill>
                    <a:blip r:embed="rId568"/>
                    <a:stretch>
                      <a:fillRect/>
                    </a:stretch>
                  </pic:blipFill>
                  <pic:spPr>
                    <a:xfrm rot="0">
                      <a:off x="0" y="0"/>
                      <a:ext cx="2952753" cy="2419282"/>
                    </a:xfrm>
                    <a:prstGeom prst="rect">
                      <a:avLst/>
                    </a:prstGeom>
                  </pic:spPr>
                </pic:pic>
              </a:graphicData>
            </a:graphic>
          </wp:anchor>
        </w:drawing>
      </w:r>
      <w:r>
        <w:rPr>
          <w:rFonts w:ascii="SimSun" w:hAnsi="SimSun" w:eastAsia="SimSun" w:cs="SimSun"/>
          <w:sz w:val="18"/>
          <w:szCs w:val="18"/>
          <w:spacing w:val="-18"/>
        </w:rPr>
        <w:t>吊销</w:t>
      </w:r>
    </w:p>
    <w:p>
      <w:pPr>
        <w:ind w:left="2830"/>
        <w:spacing w:before="1" w:line="201" w:lineRule="auto"/>
        <w:rPr>
          <w:rFonts w:ascii="SimSun" w:hAnsi="SimSun" w:eastAsia="SimSun" w:cs="SimSun"/>
          <w:sz w:val="18"/>
          <w:szCs w:val="18"/>
        </w:rPr>
      </w:pPr>
      <w:r>
        <w:rPr>
          <w:rFonts w:ascii="SimSun" w:hAnsi="SimSun" w:eastAsia="SimSun" w:cs="SimSun"/>
          <w:sz w:val="18"/>
          <w:szCs w:val="18"/>
          <w:spacing w:val="-18"/>
          <w:w w:val="95"/>
        </w:rPr>
        <w:t>营业执照</w:t>
      </w:r>
    </w:p>
    <w:p>
      <w:pPr>
        <w:ind w:left="2970"/>
        <w:spacing w:before="96" w:line="215" w:lineRule="auto"/>
        <w:rPr>
          <w:rFonts w:ascii="SimSun" w:hAnsi="SimSun" w:eastAsia="SimSun" w:cs="SimSun"/>
          <w:sz w:val="18"/>
          <w:szCs w:val="18"/>
        </w:rPr>
      </w:pPr>
      <w:r>
        <w:rPr>
          <w:rFonts w:ascii="SimSun" w:hAnsi="SimSun" w:eastAsia="SimSun" w:cs="SimSun"/>
          <w:sz w:val="18"/>
          <w:szCs w:val="18"/>
          <w:spacing w:val="-15"/>
          <w:w w:val="98"/>
        </w:rPr>
        <w:t>暂停</w:t>
      </w:r>
    </w:p>
    <w:p>
      <w:pPr>
        <w:ind w:left="2830"/>
        <w:spacing w:before="1" w:line="219" w:lineRule="auto"/>
        <w:rPr>
          <w:rFonts w:ascii="SimSun" w:hAnsi="SimSun" w:eastAsia="SimSun" w:cs="SimSun"/>
          <w:sz w:val="18"/>
          <w:szCs w:val="18"/>
        </w:rPr>
      </w:pPr>
      <w:r>
        <w:rPr>
          <w:rFonts w:ascii="SimSun" w:hAnsi="SimSun" w:eastAsia="SimSun" w:cs="SimSun"/>
          <w:sz w:val="18"/>
          <w:szCs w:val="18"/>
          <w:spacing w:val="-17"/>
          <w:w w:val="91"/>
        </w:rPr>
        <w:t>营业执照</w:t>
      </w:r>
    </w:p>
    <w:p>
      <w:pPr>
        <w:ind w:left="2830"/>
        <w:spacing w:before="177" w:line="220" w:lineRule="auto"/>
        <w:rPr>
          <w:rFonts w:ascii="SimSun" w:hAnsi="SimSun" w:eastAsia="SimSun" w:cs="SimSun"/>
          <w:sz w:val="18"/>
          <w:szCs w:val="18"/>
        </w:rPr>
      </w:pPr>
      <w:r>
        <w:rPr>
          <w:rFonts w:ascii="SimSun" w:hAnsi="SimSun" w:eastAsia="SimSun" w:cs="SimSun"/>
          <w:sz w:val="18"/>
          <w:szCs w:val="18"/>
          <w:spacing w:val="-18"/>
          <w:w w:val="96"/>
        </w:rPr>
        <w:t>刑事处罚</w:t>
      </w:r>
    </w:p>
    <w:p>
      <w:pPr>
        <w:ind w:left="2830"/>
        <w:spacing w:before="275" w:line="220" w:lineRule="auto"/>
        <w:rPr>
          <w:rFonts w:ascii="SimSun" w:hAnsi="SimSun" w:eastAsia="SimSun" w:cs="SimSun"/>
          <w:sz w:val="18"/>
          <w:szCs w:val="18"/>
        </w:rPr>
      </w:pPr>
      <w:r>
        <w:rPr>
          <w:rFonts w:ascii="SimSun" w:hAnsi="SimSun" w:eastAsia="SimSun" w:cs="SimSun"/>
          <w:sz w:val="18"/>
          <w:szCs w:val="18"/>
          <w:spacing w:val="-18"/>
          <w:w w:val="96"/>
        </w:rPr>
        <w:t>民事处罚</w:t>
      </w:r>
    </w:p>
    <w:p>
      <w:pPr>
        <w:pStyle w:val="BodyText"/>
        <w:spacing w:line="263" w:lineRule="auto"/>
        <w:rPr/>
      </w:pPr>
      <w:r/>
    </w:p>
    <w:p>
      <w:pPr>
        <w:ind w:left="2970"/>
        <w:spacing w:before="59" w:line="218" w:lineRule="auto"/>
        <w:rPr>
          <w:rFonts w:ascii="SimSun" w:hAnsi="SimSun" w:eastAsia="SimSun" w:cs="SimSun"/>
          <w:sz w:val="18"/>
          <w:szCs w:val="18"/>
        </w:rPr>
      </w:pPr>
      <w:r>
        <w:rPr>
          <w:rFonts w:ascii="SimSun" w:hAnsi="SimSun" w:eastAsia="SimSun" w:cs="SimSun"/>
          <w:sz w:val="18"/>
          <w:szCs w:val="18"/>
          <w:spacing w:val="-18"/>
        </w:rPr>
        <w:t>警告</w:t>
      </w:r>
    </w:p>
    <w:p>
      <w:pPr>
        <w:pStyle w:val="BodyText"/>
        <w:spacing w:line="477" w:lineRule="auto"/>
        <w:rPr/>
      </w:pPr>
      <w:r/>
    </w:p>
    <w:p>
      <w:pPr>
        <w:ind w:left="2769"/>
        <w:spacing w:before="59" w:line="219" w:lineRule="auto"/>
        <w:rPr>
          <w:rFonts w:ascii="SimSun" w:hAnsi="SimSun" w:eastAsia="SimSun" w:cs="SimSun"/>
          <w:sz w:val="18"/>
          <w:szCs w:val="18"/>
        </w:rPr>
      </w:pPr>
      <w:r>
        <w:rPr>
          <w:rFonts w:ascii="SimSun" w:hAnsi="SimSun" w:eastAsia="SimSun" w:cs="SimSun"/>
          <w:sz w:val="18"/>
          <w:szCs w:val="18"/>
          <w:spacing w:val="-15"/>
          <w:w w:val="91"/>
        </w:rPr>
        <w:t>教育和说服</w:t>
      </w:r>
    </w:p>
    <w:p>
      <w:pPr>
        <w:pStyle w:val="BodyText"/>
        <w:spacing w:line="411" w:lineRule="auto"/>
        <w:rPr/>
      </w:pPr>
      <w:r/>
    </w:p>
    <w:p>
      <w:pPr>
        <w:ind w:left="2112"/>
        <w:spacing w:before="59" w:line="222" w:lineRule="auto"/>
        <w:rPr>
          <w:rFonts w:ascii="SimHei" w:hAnsi="SimHei" w:eastAsia="SimHei" w:cs="SimHei"/>
          <w:sz w:val="18"/>
          <w:szCs w:val="18"/>
        </w:rPr>
      </w:pPr>
      <w:r>
        <w:rPr>
          <w:rFonts w:ascii="SimHei" w:hAnsi="SimHei" w:eastAsia="SimHei" w:cs="SimHei"/>
          <w:sz w:val="18"/>
          <w:szCs w:val="18"/>
          <w:b/>
          <w:bCs/>
          <w:spacing w:val="1"/>
        </w:rPr>
        <w:t>图13-1</w:t>
      </w:r>
      <w:r>
        <w:rPr>
          <w:rFonts w:ascii="SimHei" w:hAnsi="SimHei" w:eastAsia="SimHei" w:cs="SimHei"/>
          <w:sz w:val="18"/>
          <w:szCs w:val="18"/>
          <w:spacing w:val="94"/>
        </w:rPr>
        <w:t xml:space="preserve"> </w:t>
      </w:r>
      <w:r>
        <w:rPr>
          <w:rFonts w:ascii="SimHei" w:hAnsi="SimHei" w:eastAsia="SimHei" w:cs="SimHei"/>
          <w:sz w:val="18"/>
          <w:szCs w:val="18"/>
          <w:b/>
          <w:bCs/>
          <w:spacing w:val="1"/>
        </w:rPr>
        <w:t>强制手段金字塔</w:t>
      </w:r>
    </w:p>
    <w:p>
      <w:pPr>
        <w:spacing w:line="222" w:lineRule="auto"/>
        <w:sectPr>
          <w:headerReference w:type="default" r:id="rId1"/>
          <w:pgSz w:w="7330" w:h="12480"/>
          <w:pgMar w:top="355" w:right="552" w:bottom="400" w:left="529" w:header="0" w:footer="0" w:gutter="0"/>
        </w:sectPr>
        <w:rPr>
          <w:rFonts w:ascii="SimHei" w:hAnsi="SimHei" w:eastAsia="SimHei" w:cs="SimHei"/>
          <w:sz w:val="18"/>
          <w:szCs w:val="18"/>
        </w:rPr>
      </w:pPr>
    </w:p>
    <w:p>
      <w:pPr>
        <w:pStyle w:val="BodyText"/>
        <w:spacing w:line="257" w:lineRule="auto"/>
        <w:rPr/>
      </w:pPr>
      <w:r>
        <w:drawing>
          <wp:anchor distT="0" distB="0" distL="0" distR="0" simplePos="0" relativeHeight="256588800" behindDoc="0" locked="0" layoutInCell="0" allowOverlap="1">
            <wp:simplePos x="0" y="0"/>
            <wp:positionH relativeFrom="page">
              <wp:posOffset>361937</wp:posOffset>
            </wp:positionH>
            <wp:positionV relativeFrom="page">
              <wp:posOffset>7061229</wp:posOffset>
            </wp:positionV>
            <wp:extent cx="1162055" cy="6350"/>
            <wp:effectExtent l="0" t="0" r="0" b="0"/>
            <wp:wrapNone/>
            <wp:docPr id="434" name="IM 434"/>
            <wp:cNvGraphicFramePr/>
            <a:graphic>
              <a:graphicData uri="http://schemas.openxmlformats.org/drawingml/2006/picture">
                <pic:pic>
                  <pic:nvPicPr>
                    <pic:cNvPr id="434" name="IM 434"/>
                    <pic:cNvPicPr/>
                  </pic:nvPicPr>
                  <pic:blipFill>
                    <a:blip r:embed="rId570"/>
                    <a:stretch>
                      <a:fillRect/>
                    </a:stretch>
                  </pic:blipFill>
                  <pic:spPr>
                    <a:xfrm rot="0">
                      <a:off x="0" y="0"/>
                      <a:ext cx="1162055" cy="6350"/>
                    </a:xfrm>
                    <a:prstGeom prst="rect">
                      <a:avLst/>
                    </a:prstGeom>
                  </pic:spPr>
                </pic:pic>
              </a:graphicData>
            </a:graphic>
          </wp:anchor>
        </w:drawing>
      </w:r>
      <w:r/>
    </w:p>
    <w:p>
      <w:pPr>
        <w:pStyle w:val="BodyText"/>
        <w:spacing w:line="257" w:lineRule="auto"/>
        <w:rPr/>
      </w:pPr>
      <w:r/>
    </w:p>
    <w:p>
      <w:pPr>
        <w:pStyle w:val="BodyText"/>
        <w:spacing w:line="257" w:lineRule="auto"/>
        <w:rPr/>
      </w:pPr>
      <w:r/>
    </w:p>
    <w:p>
      <w:pPr>
        <w:pStyle w:val="BodyText"/>
        <w:spacing w:line="258" w:lineRule="auto"/>
        <w:rPr/>
      </w:pPr>
      <w:r/>
    </w:p>
    <w:p>
      <w:pPr>
        <w:ind w:right="70" w:firstLine="409"/>
        <w:spacing w:before="69" w:line="302" w:lineRule="auto"/>
        <w:jc w:val="both"/>
        <w:rPr>
          <w:rFonts w:ascii="SimSun" w:hAnsi="SimSun" w:eastAsia="SimSun" w:cs="SimSun"/>
          <w:sz w:val="21"/>
          <w:szCs w:val="21"/>
        </w:rPr>
      </w:pPr>
      <w:r>
        <w:rPr>
          <w:rFonts w:ascii="SimSun" w:hAnsi="SimSun" w:eastAsia="SimSun" w:cs="SimSun"/>
          <w:sz w:val="21"/>
          <w:szCs w:val="21"/>
          <w:spacing w:val="-11"/>
        </w:rPr>
        <w:t>监管权在政府和其他非政府机构之间分配有三种方案。第一种叫</w:t>
      </w:r>
      <w:r>
        <w:rPr>
          <w:rFonts w:ascii="SimSun" w:hAnsi="SimSun" w:eastAsia="SimSun" w:cs="SimSun"/>
          <w:sz w:val="21"/>
          <w:szCs w:val="21"/>
          <w:spacing w:val="9"/>
        </w:rPr>
        <w:t xml:space="preserve"> </w:t>
      </w:r>
      <w:r>
        <w:rPr>
          <w:rFonts w:ascii="SimSun" w:hAnsi="SimSun" w:eastAsia="SimSun" w:cs="SimSun"/>
          <w:sz w:val="21"/>
          <w:szCs w:val="21"/>
          <w:spacing w:val="-7"/>
        </w:rPr>
        <w:t>作“三方主义”,就是把部分监管权让渡给第三方</w:t>
      </w:r>
      <w:r>
        <w:rPr>
          <w:rFonts w:ascii="SimSun" w:hAnsi="SimSun" w:eastAsia="SimSun" w:cs="SimSun"/>
          <w:sz w:val="21"/>
          <w:szCs w:val="21"/>
          <w:spacing w:val="-8"/>
        </w:rPr>
        <w:t>公益团体，让其对</w:t>
      </w:r>
      <w:r>
        <w:rPr>
          <w:rFonts w:ascii="SimSun" w:hAnsi="SimSun" w:eastAsia="SimSun" w:cs="SimSun"/>
          <w:sz w:val="21"/>
          <w:szCs w:val="21"/>
        </w:rPr>
        <w:t xml:space="preserve"> </w:t>
      </w:r>
      <w:r>
        <w:rPr>
          <w:rFonts w:ascii="SimSun" w:hAnsi="SimSun" w:eastAsia="SimSun" w:cs="SimSun"/>
          <w:sz w:val="21"/>
          <w:szCs w:val="21"/>
          <w:spacing w:val="-11"/>
        </w:rPr>
        <w:t>政府和被监管的企业进行监督。第二种是强化型自我监管，就是把部</w:t>
      </w:r>
      <w:r>
        <w:rPr>
          <w:rFonts w:ascii="SimSun" w:hAnsi="SimSun" w:eastAsia="SimSun" w:cs="SimSun"/>
          <w:sz w:val="21"/>
          <w:szCs w:val="21"/>
          <w:spacing w:val="9"/>
        </w:rPr>
        <w:t xml:space="preserve"> </w:t>
      </w:r>
      <w:r>
        <w:rPr>
          <w:rFonts w:ascii="SimSun" w:hAnsi="SimSun" w:eastAsia="SimSun" w:cs="SimSun"/>
          <w:sz w:val="21"/>
          <w:szCs w:val="21"/>
          <w:spacing w:val="-3"/>
        </w:rPr>
        <w:t>分监管权(规则制定或者监督处罚)让渡给企业，首先让企业根据自</w:t>
      </w:r>
      <w:r>
        <w:rPr>
          <w:rFonts w:ascii="SimSun" w:hAnsi="SimSun" w:eastAsia="SimSun" w:cs="SimSun"/>
          <w:sz w:val="21"/>
          <w:szCs w:val="21"/>
          <w:spacing w:val="3"/>
        </w:rPr>
        <w:t xml:space="preserve"> </w:t>
      </w:r>
      <w:r>
        <w:rPr>
          <w:rFonts w:ascii="SimSun" w:hAnsi="SimSun" w:eastAsia="SimSun" w:cs="SimSun"/>
          <w:sz w:val="21"/>
          <w:szCs w:val="21"/>
          <w:spacing w:val="-11"/>
        </w:rPr>
        <w:t>己的情况来制定规则、自我监督，然后政府再对其规则和自我监督行</w:t>
      </w:r>
      <w:r>
        <w:rPr>
          <w:rFonts w:ascii="SimSun" w:hAnsi="SimSun" w:eastAsia="SimSun" w:cs="SimSun"/>
          <w:sz w:val="21"/>
          <w:szCs w:val="21"/>
          <w:spacing w:val="9"/>
        </w:rPr>
        <w:t xml:space="preserve"> </w:t>
      </w:r>
      <w:r>
        <w:rPr>
          <w:rFonts w:ascii="SimSun" w:hAnsi="SimSun" w:eastAsia="SimSun" w:cs="SimSun"/>
          <w:sz w:val="21"/>
          <w:szCs w:val="21"/>
          <w:spacing w:val="-11"/>
        </w:rPr>
        <w:t>为进行监督。第三种是不对称监管，就是只对行业中的主导企业进行</w:t>
      </w:r>
      <w:r>
        <w:rPr>
          <w:rFonts w:ascii="SimSun" w:hAnsi="SimSun" w:eastAsia="SimSun" w:cs="SimSun"/>
          <w:sz w:val="21"/>
          <w:szCs w:val="21"/>
          <w:spacing w:val="9"/>
        </w:rPr>
        <w:t xml:space="preserve"> </w:t>
      </w:r>
      <w:r>
        <w:rPr>
          <w:rFonts w:ascii="SimSun" w:hAnsi="SimSun" w:eastAsia="SimSun" w:cs="SimSun"/>
          <w:sz w:val="21"/>
          <w:szCs w:val="21"/>
          <w:spacing w:val="-11"/>
        </w:rPr>
        <w:t>监管，然后鼓励其他竞争企业的发展。这是一种把部分监管权让渡给</w:t>
      </w:r>
      <w:r>
        <w:rPr>
          <w:rFonts w:ascii="SimSun" w:hAnsi="SimSun" w:eastAsia="SimSun" w:cs="SimSun"/>
          <w:sz w:val="21"/>
          <w:szCs w:val="21"/>
          <w:spacing w:val="6"/>
        </w:rPr>
        <w:t xml:space="preserve"> </w:t>
      </w:r>
      <w:r>
        <w:rPr>
          <w:rFonts w:ascii="SimSun" w:hAnsi="SimSun" w:eastAsia="SimSun" w:cs="SimSun"/>
          <w:sz w:val="21"/>
          <w:szCs w:val="21"/>
          <w:spacing w:val="-14"/>
        </w:rPr>
        <w:t>竞争企业的方法。</w:t>
      </w:r>
    </w:p>
    <w:p>
      <w:pPr>
        <w:ind w:firstLine="420"/>
        <w:spacing w:before="104" w:line="311" w:lineRule="auto"/>
        <w:jc w:val="both"/>
        <w:rPr>
          <w:rFonts w:ascii="SimSun" w:hAnsi="SimSun" w:eastAsia="SimSun" w:cs="SimSun"/>
          <w:sz w:val="21"/>
          <w:szCs w:val="21"/>
        </w:rPr>
      </w:pPr>
      <w:r>
        <w:rPr>
          <w:rFonts w:ascii="SimSun" w:hAnsi="SimSun" w:eastAsia="SimSun" w:cs="SimSun"/>
          <w:sz w:val="21"/>
          <w:szCs w:val="21"/>
          <w:spacing w:val="-11"/>
        </w:rPr>
        <w:t>上述是监管手段的扩展，但是回应型监管的核心观念应当在回应 </w:t>
      </w:r>
      <w:r>
        <w:rPr>
          <w:rFonts w:ascii="SimSun" w:hAnsi="SimSun" w:eastAsia="SimSun" w:cs="SimSun"/>
          <w:sz w:val="21"/>
          <w:szCs w:val="21"/>
          <w:spacing w:val="-11"/>
        </w:rPr>
        <w:t>型法的框架下理解。回应型监管的核心是对压制型监管、自治型监管</w:t>
      </w:r>
      <w:r>
        <w:rPr>
          <w:rFonts w:ascii="SimSun" w:hAnsi="SimSun" w:eastAsia="SimSun" w:cs="SimSun"/>
          <w:sz w:val="21"/>
          <w:szCs w:val="21"/>
          <w:spacing w:val="4"/>
        </w:rPr>
        <w:t xml:space="preserve">  </w:t>
      </w:r>
      <w:r>
        <w:rPr>
          <w:rFonts w:ascii="SimSun" w:hAnsi="SimSun" w:eastAsia="SimSun" w:cs="SimSun"/>
          <w:sz w:val="21"/>
          <w:szCs w:val="21"/>
          <w:spacing w:val="-11"/>
        </w:rPr>
        <w:t>两种模式的升级，包括以下几个核心思想、原则或者视角。第一</w:t>
      </w:r>
      <w:r>
        <w:rPr>
          <w:rFonts w:ascii="SimSun" w:hAnsi="SimSun" w:eastAsia="SimSun" w:cs="SimSun"/>
          <w:sz w:val="21"/>
          <w:szCs w:val="21"/>
          <w:spacing w:val="-12"/>
        </w:rPr>
        <w:t>，监</w:t>
      </w:r>
      <w:r>
        <w:rPr>
          <w:rFonts w:ascii="SimSun" w:hAnsi="SimSun" w:eastAsia="SimSun" w:cs="SimSun"/>
          <w:sz w:val="21"/>
          <w:szCs w:val="21"/>
        </w:rPr>
        <w:t xml:space="preserve">  </w:t>
      </w:r>
      <w:r>
        <w:rPr>
          <w:rFonts w:ascii="SimSun" w:hAnsi="SimSun" w:eastAsia="SimSun" w:cs="SimSun"/>
          <w:sz w:val="21"/>
          <w:szCs w:val="21"/>
          <w:spacing w:val="-11"/>
        </w:rPr>
        <w:t>管应当突破现有手段的切割、分裂，以目标管理为模式，注重结果导</w:t>
      </w:r>
      <w:r>
        <w:rPr>
          <w:rFonts w:ascii="SimSun" w:hAnsi="SimSun" w:eastAsia="SimSun" w:cs="SimSun"/>
          <w:sz w:val="21"/>
          <w:szCs w:val="21"/>
          <w:spacing w:val="6"/>
        </w:rPr>
        <w:t xml:space="preserve">  </w:t>
      </w:r>
      <w:r>
        <w:rPr>
          <w:rFonts w:ascii="SimSun" w:hAnsi="SimSun" w:eastAsia="SimSun" w:cs="SimSun"/>
          <w:sz w:val="21"/>
          <w:szCs w:val="21"/>
          <w:spacing w:val="-11"/>
        </w:rPr>
        <w:t>向。第二，监管应当是整体监管和系统监管，而不是要件监管，即监</w:t>
      </w:r>
      <w:r>
        <w:rPr>
          <w:rFonts w:ascii="SimSun" w:hAnsi="SimSun" w:eastAsia="SimSun" w:cs="SimSun"/>
          <w:sz w:val="21"/>
          <w:szCs w:val="21"/>
          <w:spacing w:val="3"/>
        </w:rPr>
        <w:t xml:space="preserve">  </w:t>
      </w:r>
      <w:r>
        <w:rPr>
          <w:rFonts w:ascii="SimSun" w:hAnsi="SimSun" w:eastAsia="SimSun" w:cs="SimSun"/>
          <w:sz w:val="21"/>
          <w:szCs w:val="21"/>
          <w:spacing w:val="-11"/>
        </w:rPr>
        <w:t>管部门仅仅关注行为符合法定要件，而不是关注后果的整体、系统判</w:t>
      </w:r>
      <w:r>
        <w:rPr>
          <w:rFonts w:ascii="SimSun" w:hAnsi="SimSun" w:eastAsia="SimSun" w:cs="SimSun"/>
          <w:sz w:val="21"/>
          <w:szCs w:val="21"/>
          <w:spacing w:val="6"/>
        </w:rPr>
        <w:t xml:space="preserve">  </w:t>
      </w:r>
      <w:r>
        <w:rPr>
          <w:rFonts w:ascii="SimSun" w:hAnsi="SimSun" w:eastAsia="SimSun" w:cs="SimSun"/>
          <w:sz w:val="21"/>
          <w:szCs w:val="21"/>
          <w:spacing w:val="-11"/>
        </w:rPr>
        <w:t>断。换言之，“回应”的意思是看到了企业、组织、机构作为一个整</w:t>
      </w:r>
      <w:r>
        <w:rPr>
          <w:rFonts w:ascii="SimSun" w:hAnsi="SimSun" w:eastAsia="SimSun" w:cs="SimSun"/>
          <w:sz w:val="21"/>
          <w:szCs w:val="21"/>
          <w:spacing w:val="4"/>
        </w:rPr>
        <w:t xml:space="preserve">  </w:t>
      </w:r>
      <w:r>
        <w:rPr>
          <w:rFonts w:ascii="SimSun" w:hAnsi="SimSun" w:eastAsia="SimSun" w:cs="SimSun"/>
          <w:sz w:val="21"/>
          <w:szCs w:val="21"/>
          <w:spacing w:val="-8"/>
        </w:rPr>
        <w:t>体系统运作的特点，而借助于公司合规、内部治理的权力配置调整、</w:t>
      </w:r>
      <w:r>
        <w:rPr>
          <w:rFonts w:ascii="SimSun" w:hAnsi="SimSun" w:eastAsia="SimSun" w:cs="SimSun"/>
          <w:sz w:val="21"/>
          <w:szCs w:val="21"/>
          <w:spacing w:val="14"/>
        </w:rPr>
        <w:t xml:space="preserve"> </w:t>
      </w:r>
      <w:r>
        <w:rPr>
          <w:rFonts w:ascii="SimSun" w:hAnsi="SimSun" w:eastAsia="SimSun" w:cs="SimSun"/>
          <w:sz w:val="21"/>
          <w:szCs w:val="21"/>
          <w:spacing w:val="-12"/>
        </w:rPr>
        <w:t>自我规制、自律规制，对被监管者的结构、行为、绩效进行评估。比</w:t>
      </w:r>
      <w:r>
        <w:rPr>
          <w:rFonts w:ascii="SimSun" w:hAnsi="SimSun" w:eastAsia="SimSun" w:cs="SimSun"/>
          <w:sz w:val="21"/>
          <w:szCs w:val="21"/>
          <w:spacing w:val="5"/>
        </w:rPr>
        <w:t xml:space="preserve">  </w:t>
      </w:r>
      <w:r>
        <w:rPr>
          <w:rFonts w:ascii="SimSun" w:hAnsi="SimSun" w:eastAsia="SimSun" w:cs="SimSun"/>
          <w:sz w:val="21"/>
          <w:szCs w:val="21"/>
          <w:spacing w:val="-3"/>
        </w:rPr>
        <w:t>较容易理解的例子是现有法律制度、理论和规则对于</w:t>
      </w:r>
      <w:r>
        <w:rPr>
          <w:rFonts w:ascii="SimSun" w:hAnsi="SimSun" w:eastAsia="SimSun" w:cs="SimSun"/>
          <w:sz w:val="21"/>
          <w:szCs w:val="21"/>
          <w:spacing w:val="-4"/>
        </w:rPr>
        <w:t>富士康的“14 </w:t>
      </w:r>
      <w:r>
        <w:rPr>
          <w:rFonts w:ascii="SimSun" w:hAnsi="SimSun" w:eastAsia="SimSun" w:cs="SimSun"/>
          <w:sz w:val="21"/>
          <w:szCs w:val="21"/>
          <w:spacing w:val="-11"/>
        </w:rPr>
        <w:t>连跳”束手无策，而其他国家则会采用职业心理健康评估的方式对公</w:t>
      </w:r>
      <w:r>
        <w:rPr>
          <w:rFonts w:ascii="SimSun" w:hAnsi="SimSun" w:eastAsia="SimSun" w:cs="SimSun"/>
          <w:sz w:val="21"/>
          <w:szCs w:val="21"/>
          <w:spacing w:val="5"/>
        </w:rPr>
        <w:t xml:space="preserve">  </w:t>
      </w:r>
      <w:r>
        <w:rPr>
          <w:rFonts w:ascii="SimSun" w:hAnsi="SimSun" w:eastAsia="SimSun" w:cs="SimSun"/>
          <w:sz w:val="21"/>
          <w:szCs w:val="21"/>
          <w:spacing w:val="-9"/>
        </w:rPr>
        <w:t>司的整体运作进行评估。在苏州苹果代工厂的劳动健康案件发生后，</w:t>
      </w:r>
      <w:r>
        <w:rPr>
          <w:rFonts w:ascii="SimSun" w:hAnsi="SimSun" w:eastAsia="SimSun" w:cs="SimSun"/>
          <w:sz w:val="21"/>
          <w:szCs w:val="21"/>
          <w:spacing w:val="13"/>
        </w:rPr>
        <w:t xml:space="preserve"> </w:t>
      </w:r>
      <w:r>
        <w:rPr>
          <w:rFonts w:ascii="SimSun" w:hAnsi="SimSun" w:eastAsia="SimSun" w:cs="SimSun"/>
          <w:sz w:val="21"/>
          <w:szCs w:val="21"/>
          <w:spacing w:val="-11"/>
        </w:rPr>
        <w:t>美国也采用整体评估的方式对苹果的生产过程进行评估，以评价其是</w:t>
      </w:r>
      <w:r>
        <w:rPr>
          <w:rFonts w:ascii="SimSun" w:hAnsi="SimSun" w:eastAsia="SimSun" w:cs="SimSun"/>
          <w:sz w:val="21"/>
          <w:szCs w:val="21"/>
          <w:spacing w:val="4"/>
        </w:rPr>
        <w:t xml:space="preserve">  </w:t>
      </w:r>
      <w:r>
        <w:rPr>
          <w:rFonts w:ascii="SimSun" w:hAnsi="SimSun" w:eastAsia="SimSun" w:cs="SimSun"/>
          <w:sz w:val="21"/>
          <w:szCs w:val="21"/>
          <w:spacing w:val="-11"/>
        </w:rPr>
        <w:t>否违反了劳工保护的原则。美国的经济监管、公司犯罪，以及反垄断</w:t>
      </w:r>
      <w:r>
        <w:rPr>
          <w:rFonts w:ascii="SimSun" w:hAnsi="SimSun" w:eastAsia="SimSun" w:cs="SimSun"/>
          <w:sz w:val="21"/>
          <w:szCs w:val="21"/>
          <w:spacing w:val="3"/>
        </w:rPr>
        <w:t xml:space="preserve">  </w:t>
      </w:r>
      <w:r>
        <w:rPr>
          <w:rFonts w:ascii="SimSun" w:hAnsi="SimSun" w:eastAsia="SimSun" w:cs="SimSun"/>
          <w:sz w:val="21"/>
          <w:szCs w:val="21"/>
          <w:spacing w:val="-11"/>
        </w:rPr>
        <w:t>法之中也越来越多地采用公司合规评估、监督的方式去执行监管或者</w:t>
      </w:r>
      <w:r>
        <w:rPr>
          <w:rFonts w:ascii="SimSun" w:hAnsi="SimSun" w:eastAsia="SimSun" w:cs="SimSun"/>
          <w:sz w:val="21"/>
          <w:szCs w:val="21"/>
          <w:spacing w:val="4"/>
        </w:rPr>
        <w:t xml:space="preserve">  </w:t>
      </w:r>
      <w:r>
        <w:rPr>
          <w:rFonts w:ascii="SimSun" w:hAnsi="SimSun" w:eastAsia="SimSun" w:cs="SimSun"/>
          <w:sz w:val="21"/>
          <w:szCs w:val="21"/>
          <w:spacing w:val="-11"/>
        </w:rPr>
        <w:t>法律制裁。这是回应型监管的一个重要原则。①第三，鼓励市场机制</w:t>
      </w:r>
      <w:r>
        <w:rPr>
          <w:rFonts w:ascii="SimSun" w:hAnsi="SimSun" w:eastAsia="SimSun" w:cs="SimSun"/>
          <w:sz w:val="21"/>
          <w:szCs w:val="21"/>
          <w:spacing w:val="8"/>
        </w:rPr>
        <w:t xml:space="preserve">  </w:t>
      </w:r>
      <w:r>
        <w:rPr>
          <w:rFonts w:ascii="SimSun" w:hAnsi="SimSun" w:eastAsia="SimSun" w:cs="SimSun"/>
          <w:sz w:val="21"/>
          <w:szCs w:val="21"/>
          <w:spacing w:val="-12"/>
        </w:rPr>
        <w:t>下的创新和监管政策的明确性之间的政企互动。市场创新机制和企业</w:t>
      </w:r>
    </w:p>
    <w:p>
      <w:pPr>
        <w:pStyle w:val="BodyText"/>
        <w:spacing w:line="439" w:lineRule="auto"/>
        <w:rPr/>
      </w:pPr>
      <w:r/>
    </w:p>
    <w:p>
      <w:pPr>
        <w:spacing w:before="52" w:line="220" w:lineRule="auto"/>
        <w:rPr>
          <w:rFonts w:ascii="Times New Roman" w:hAnsi="Times New Roman" w:eastAsia="Times New Roman" w:cs="Times New Roman"/>
          <w:sz w:val="16"/>
          <w:szCs w:val="16"/>
        </w:rPr>
      </w:pPr>
      <w:r>
        <w:rPr>
          <w:rFonts w:ascii="KaiTi" w:hAnsi="KaiTi" w:eastAsia="KaiTi" w:cs="KaiTi"/>
          <w:sz w:val="16"/>
          <w:szCs w:val="16"/>
          <w:spacing w:val="6"/>
        </w:rPr>
        <w:t>①</w:t>
      </w:r>
      <w:r>
        <w:rPr>
          <w:rFonts w:ascii="KaiTi" w:hAnsi="KaiTi" w:eastAsia="KaiTi" w:cs="KaiTi"/>
          <w:sz w:val="16"/>
          <w:szCs w:val="16"/>
          <w:spacing w:val="73"/>
        </w:rPr>
        <w:t xml:space="preserve"> </w:t>
      </w:r>
      <w:r>
        <w:rPr>
          <w:rFonts w:ascii="KaiTi" w:hAnsi="KaiTi" w:eastAsia="KaiTi" w:cs="KaiTi"/>
          <w:sz w:val="16"/>
          <w:szCs w:val="16"/>
          <w:spacing w:val="6"/>
        </w:rPr>
        <w:t>邓峰.公司合规的源流及中国的制度局限.比较法研究，2020(1):</w:t>
      </w:r>
      <w:r>
        <w:rPr>
          <w:rFonts w:ascii="Times New Roman" w:hAnsi="Times New Roman" w:eastAsia="Times New Roman" w:cs="Times New Roman"/>
          <w:sz w:val="16"/>
          <w:szCs w:val="16"/>
          <w:spacing w:val="6"/>
        </w:rPr>
        <w:t>34-45.</w:t>
      </w:r>
    </w:p>
    <w:p>
      <w:pPr>
        <w:spacing w:line="220" w:lineRule="auto"/>
        <w:sectPr>
          <w:headerReference w:type="default" r:id="rId569"/>
          <w:pgSz w:w="7330" w:h="12480"/>
          <w:pgMar w:top="815" w:right="694" w:bottom="400" w:left="560" w:header="641" w:footer="0" w:gutter="0"/>
        </w:sectPr>
        <w:rPr>
          <w:rFonts w:ascii="Times New Roman" w:hAnsi="Times New Roman" w:eastAsia="Times New Roman" w:cs="Times New Roman"/>
          <w:sz w:val="16"/>
          <w:szCs w:val="16"/>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spacing w:before="61" w:line="352" w:lineRule="auto"/>
        <w:jc w:val="both"/>
        <w:rPr>
          <w:rFonts w:ascii="SimSun" w:hAnsi="SimSun" w:eastAsia="SimSun" w:cs="SimSun"/>
          <w:sz w:val="19"/>
          <w:szCs w:val="19"/>
        </w:rPr>
      </w:pPr>
      <w:r>
        <w:rPr>
          <w:rFonts w:ascii="SimSun" w:hAnsi="SimSun" w:eastAsia="SimSun" w:cs="SimSun"/>
          <w:sz w:val="19"/>
          <w:szCs w:val="19"/>
          <w:spacing w:val="10"/>
        </w:rPr>
        <w:t>家精神密不可分，因此，在鼓励企业家在现有</w:t>
      </w:r>
      <w:r>
        <w:rPr>
          <w:rFonts w:ascii="SimSun" w:hAnsi="SimSun" w:eastAsia="SimSun" w:cs="SimSun"/>
          <w:sz w:val="19"/>
          <w:szCs w:val="19"/>
          <w:spacing w:val="9"/>
        </w:rPr>
        <w:t>政策空间和基于后果不 </w:t>
      </w:r>
      <w:r>
        <w:rPr>
          <w:rFonts w:ascii="SimSun" w:hAnsi="SimSun" w:eastAsia="SimSun" w:cs="SimSun"/>
          <w:sz w:val="19"/>
          <w:szCs w:val="19"/>
          <w:spacing w:val="10"/>
        </w:rPr>
        <w:t>断增加的监管调整的矛盾之中，采用一些新的监</w:t>
      </w:r>
      <w:r>
        <w:rPr>
          <w:rFonts w:ascii="SimSun" w:hAnsi="SimSun" w:eastAsia="SimSun" w:cs="SimSun"/>
          <w:sz w:val="19"/>
          <w:szCs w:val="19"/>
          <w:spacing w:val="9"/>
        </w:rPr>
        <w:t>管措施。比如“无异</w:t>
      </w:r>
      <w:r>
        <w:rPr>
          <w:rFonts w:ascii="SimSun" w:hAnsi="SimSun" w:eastAsia="SimSun" w:cs="SimSun"/>
          <w:sz w:val="19"/>
          <w:szCs w:val="19"/>
        </w:rPr>
        <w:t xml:space="preserve">  </w:t>
      </w:r>
      <w:r>
        <w:rPr>
          <w:rFonts w:ascii="SimSun" w:hAnsi="SimSun" w:eastAsia="SimSun" w:cs="SimSun"/>
          <w:sz w:val="19"/>
          <w:szCs w:val="19"/>
          <w:spacing w:val="13"/>
        </w:rPr>
        <w:t>议函”,当公司不明白某种市场行为是否合法的时</w:t>
      </w:r>
      <w:r>
        <w:rPr>
          <w:rFonts w:ascii="SimSun" w:hAnsi="SimSun" w:eastAsia="SimSun" w:cs="SimSun"/>
          <w:sz w:val="19"/>
          <w:szCs w:val="19"/>
          <w:spacing w:val="12"/>
        </w:rPr>
        <w:t>候，监管部门应明 </w:t>
      </w:r>
      <w:r>
        <w:rPr>
          <w:rFonts w:ascii="SimSun" w:hAnsi="SimSun" w:eastAsia="SimSun" w:cs="SimSun"/>
          <w:sz w:val="19"/>
          <w:szCs w:val="19"/>
          <w:spacing w:val="10"/>
        </w:rPr>
        <w:t>确给出答案，如果没有现有的监管依据或者法</w:t>
      </w:r>
      <w:r>
        <w:rPr>
          <w:rFonts w:ascii="SimSun" w:hAnsi="SimSun" w:eastAsia="SimSun" w:cs="SimSun"/>
          <w:sz w:val="19"/>
          <w:szCs w:val="19"/>
          <w:spacing w:val="9"/>
        </w:rPr>
        <w:t>律规则，应出具“无异</w:t>
      </w:r>
      <w:r>
        <w:rPr>
          <w:rFonts w:ascii="SimSun" w:hAnsi="SimSun" w:eastAsia="SimSun" w:cs="SimSun"/>
          <w:sz w:val="19"/>
          <w:szCs w:val="19"/>
        </w:rPr>
        <w:t xml:space="preserve">  </w:t>
      </w:r>
      <w:r>
        <w:rPr>
          <w:rFonts w:ascii="SimSun" w:hAnsi="SimSun" w:eastAsia="SimSun" w:cs="SimSun"/>
          <w:sz w:val="19"/>
          <w:szCs w:val="19"/>
          <w:spacing w:val="13"/>
        </w:rPr>
        <w:t>议函”,表明公司可以实施该行为，如果基于市场效</w:t>
      </w:r>
      <w:r>
        <w:rPr>
          <w:rFonts w:ascii="SimSun" w:hAnsi="SimSun" w:eastAsia="SimSun" w:cs="SimSun"/>
          <w:sz w:val="19"/>
          <w:szCs w:val="19"/>
          <w:spacing w:val="12"/>
        </w:rPr>
        <w:t>果、社会后果有</w:t>
      </w:r>
      <w:r>
        <w:rPr>
          <w:rFonts w:ascii="SimSun" w:hAnsi="SimSun" w:eastAsia="SimSun" w:cs="SimSun"/>
          <w:sz w:val="19"/>
          <w:szCs w:val="19"/>
        </w:rPr>
        <w:t xml:space="preserve">  </w:t>
      </w:r>
      <w:r>
        <w:rPr>
          <w:rFonts w:ascii="SimSun" w:hAnsi="SimSun" w:eastAsia="SimSun" w:cs="SimSun"/>
          <w:sz w:val="19"/>
          <w:szCs w:val="19"/>
          <w:spacing w:val="11"/>
        </w:rPr>
        <w:t>了法律变化，那么公司在两年内免责。第四，更多地鼓励行业自律，</w:t>
      </w:r>
      <w:r>
        <w:rPr>
          <w:rFonts w:ascii="SimSun" w:hAnsi="SimSun" w:eastAsia="SimSun" w:cs="SimSun"/>
          <w:sz w:val="19"/>
          <w:szCs w:val="19"/>
          <w:spacing w:val="4"/>
        </w:rPr>
        <w:t xml:space="preserve"> </w:t>
      </w:r>
      <w:r>
        <w:rPr>
          <w:rFonts w:ascii="SimSun" w:hAnsi="SimSun" w:eastAsia="SimSun" w:cs="SimSun"/>
          <w:sz w:val="19"/>
          <w:szCs w:val="19"/>
          <w:spacing w:val="10"/>
        </w:rPr>
        <w:t>设定标准，采用自组织的方式设定行业标准，</w:t>
      </w:r>
      <w:r>
        <w:rPr>
          <w:rFonts w:ascii="SimSun" w:hAnsi="SimSun" w:eastAsia="SimSun" w:cs="SimSun"/>
          <w:sz w:val="19"/>
          <w:szCs w:val="19"/>
          <w:spacing w:val="9"/>
        </w:rPr>
        <w:t>并接受法律和监管部门 </w:t>
      </w:r>
      <w:r>
        <w:rPr>
          <w:rFonts w:ascii="SimSun" w:hAnsi="SimSun" w:eastAsia="SimSun" w:cs="SimSun"/>
          <w:sz w:val="19"/>
          <w:szCs w:val="19"/>
          <w:spacing w:val="12"/>
        </w:rPr>
        <w:t>的审查。第五，监管规则的出台和执行应当接受公众问责，有解释、</w:t>
      </w:r>
    </w:p>
    <w:p>
      <w:pPr>
        <w:spacing w:line="219" w:lineRule="auto"/>
        <w:rPr>
          <w:rFonts w:ascii="SimSun" w:hAnsi="SimSun" w:eastAsia="SimSun" w:cs="SimSun"/>
          <w:sz w:val="19"/>
          <w:szCs w:val="19"/>
        </w:rPr>
      </w:pPr>
      <w:r>
        <w:rPr>
          <w:rFonts w:ascii="SimSun" w:hAnsi="SimSun" w:eastAsia="SimSun" w:cs="SimSun"/>
          <w:sz w:val="19"/>
          <w:szCs w:val="19"/>
          <w:spacing w:val="6"/>
        </w:rPr>
        <w:t>说明、及时改进、承担责任的义务。</w:t>
      </w:r>
    </w:p>
    <w:p>
      <w:pPr>
        <w:ind w:right="52" w:firstLine="420"/>
        <w:spacing w:before="133" w:line="350" w:lineRule="auto"/>
        <w:jc w:val="both"/>
        <w:rPr>
          <w:rFonts w:ascii="SimSun" w:hAnsi="SimSun" w:eastAsia="SimSun" w:cs="SimSun"/>
          <w:sz w:val="19"/>
          <w:szCs w:val="19"/>
        </w:rPr>
      </w:pPr>
      <w:r>
        <w:rPr>
          <w:rFonts w:ascii="SimSun" w:hAnsi="SimSun" w:eastAsia="SimSun" w:cs="SimSun"/>
          <w:sz w:val="19"/>
          <w:szCs w:val="19"/>
          <w:spacing w:val="17"/>
        </w:rPr>
        <w:t>这些都对监管目标、行为、方式、工作流程、问责体系等提出</w:t>
      </w:r>
      <w:r>
        <w:rPr>
          <w:rFonts w:ascii="SimSun" w:hAnsi="SimSun" w:eastAsia="SimSun" w:cs="SimSun"/>
          <w:sz w:val="19"/>
          <w:szCs w:val="19"/>
          <w:spacing w:val="12"/>
        </w:rPr>
        <w:t xml:space="preserve"> </w:t>
      </w:r>
      <w:r>
        <w:rPr>
          <w:rFonts w:ascii="SimSun" w:hAnsi="SimSun" w:eastAsia="SimSun" w:cs="SimSun"/>
          <w:sz w:val="19"/>
          <w:szCs w:val="19"/>
          <w:spacing w:val="16"/>
        </w:rPr>
        <w:t>了更高的要求。平台经济是新生事物，其监管也应当</w:t>
      </w:r>
      <w:r>
        <w:rPr>
          <w:rFonts w:ascii="SimSun" w:hAnsi="SimSun" w:eastAsia="SimSun" w:cs="SimSun"/>
          <w:sz w:val="19"/>
          <w:szCs w:val="19"/>
          <w:spacing w:val="15"/>
        </w:rPr>
        <w:t>提高相应的能</w:t>
      </w:r>
      <w:r>
        <w:rPr>
          <w:rFonts w:ascii="SimSun" w:hAnsi="SimSun" w:eastAsia="SimSun" w:cs="SimSun"/>
          <w:sz w:val="19"/>
          <w:szCs w:val="19"/>
        </w:rPr>
        <w:t xml:space="preserve"> </w:t>
      </w:r>
      <w:r>
        <w:rPr>
          <w:rFonts w:ascii="SimSun" w:hAnsi="SimSun" w:eastAsia="SimSun" w:cs="SimSun"/>
          <w:sz w:val="19"/>
          <w:szCs w:val="19"/>
          <w:spacing w:val="17"/>
        </w:rPr>
        <w:t>力和水平，应增强对市场竞争状态等信息的</w:t>
      </w:r>
      <w:r>
        <w:rPr>
          <w:rFonts w:ascii="SimSun" w:hAnsi="SimSun" w:eastAsia="SimSun" w:cs="SimSun"/>
          <w:sz w:val="19"/>
          <w:szCs w:val="19"/>
          <w:spacing w:val="16"/>
        </w:rPr>
        <w:t>获取能力。防止资本的</w:t>
      </w:r>
      <w:r>
        <w:rPr>
          <w:rFonts w:ascii="SimSun" w:hAnsi="SimSun" w:eastAsia="SimSun" w:cs="SimSun"/>
          <w:sz w:val="19"/>
          <w:szCs w:val="19"/>
        </w:rPr>
        <w:t xml:space="preserve"> </w:t>
      </w:r>
      <w:r>
        <w:rPr>
          <w:rFonts w:ascii="SimSun" w:hAnsi="SimSun" w:eastAsia="SimSun" w:cs="SimSun"/>
          <w:sz w:val="19"/>
          <w:szCs w:val="19"/>
          <w:spacing w:val="17"/>
        </w:rPr>
        <w:t>无序扩张，也体现了这一结果导向的监管要求，与“无序”相对应</w:t>
      </w:r>
      <w:r>
        <w:rPr>
          <w:rFonts w:ascii="SimSun" w:hAnsi="SimSun" w:eastAsia="SimSun" w:cs="SimSun"/>
          <w:sz w:val="19"/>
          <w:szCs w:val="19"/>
          <w:spacing w:val="3"/>
        </w:rPr>
        <w:t xml:space="preserve"> </w:t>
      </w:r>
      <w:r>
        <w:rPr>
          <w:rFonts w:ascii="SimSun" w:hAnsi="SimSun" w:eastAsia="SimSun" w:cs="SimSun"/>
          <w:sz w:val="19"/>
          <w:szCs w:val="19"/>
          <w:spacing w:val="13"/>
        </w:rPr>
        <w:t>的“合规”,也需要更具备知识和能力的全过程监管。</w:t>
      </w:r>
      <w:r>
        <w:rPr>
          <w:rFonts w:ascii="SimSun" w:hAnsi="SimSun" w:eastAsia="SimSun" w:cs="SimSun"/>
          <w:sz w:val="19"/>
          <w:szCs w:val="19"/>
          <w:spacing w:val="12"/>
        </w:rPr>
        <w:t>这些都对监管</w:t>
      </w:r>
    </w:p>
    <w:p>
      <w:pPr>
        <w:spacing w:line="219" w:lineRule="auto"/>
        <w:rPr>
          <w:rFonts w:ascii="SimSun" w:hAnsi="SimSun" w:eastAsia="SimSun" w:cs="SimSun"/>
          <w:sz w:val="19"/>
          <w:szCs w:val="19"/>
        </w:rPr>
      </w:pPr>
      <w:r>
        <w:rPr>
          <w:rFonts w:ascii="SimSun" w:hAnsi="SimSun" w:eastAsia="SimSun" w:cs="SimSun"/>
          <w:sz w:val="19"/>
          <w:szCs w:val="19"/>
          <w:spacing w:val="9"/>
        </w:rPr>
        <w:t>作为现代国家治理能力提出了更高的要求。</w:t>
      </w:r>
    </w:p>
    <w:p>
      <w:pPr>
        <w:ind w:right="20" w:firstLine="440"/>
        <w:spacing w:before="121" w:line="350" w:lineRule="auto"/>
        <w:jc w:val="both"/>
        <w:rPr>
          <w:rFonts w:ascii="SimSun" w:hAnsi="SimSun" w:eastAsia="SimSun" w:cs="SimSun"/>
          <w:sz w:val="19"/>
          <w:szCs w:val="19"/>
        </w:rPr>
      </w:pPr>
      <w:r>
        <w:rPr>
          <w:rFonts w:ascii="SimSun" w:hAnsi="SimSun" w:eastAsia="SimSun" w:cs="SimSun"/>
          <w:sz w:val="19"/>
          <w:szCs w:val="19"/>
          <w:spacing w:val="13"/>
        </w:rPr>
        <w:t>强监管不是单纯的“从重从快”,而是对目标、过程和结果导向</w:t>
      </w:r>
      <w:r>
        <w:rPr>
          <w:rFonts w:ascii="SimSun" w:hAnsi="SimSun" w:eastAsia="SimSun" w:cs="SimSun"/>
          <w:sz w:val="19"/>
          <w:szCs w:val="19"/>
          <w:spacing w:val="9"/>
        </w:rPr>
        <w:t xml:space="preserve"> </w:t>
      </w:r>
      <w:r>
        <w:rPr>
          <w:rFonts w:ascii="SimSun" w:hAnsi="SimSun" w:eastAsia="SimSun" w:cs="SimSun"/>
          <w:sz w:val="19"/>
          <w:szCs w:val="19"/>
          <w:spacing w:val="10"/>
        </w:rPr>
        <w:t>的更高要求。竞争政策的实施者，要明确分工职责，也</w:t>
      </w:r>
      <w:r>
        <w:rPr>
          <w:rFonts w:ascii="SimSun" w:hAnsi="SimSun" w:eastAsia="SimSun" w:cs="SimSun"/>
          <w:sz w:val="19"/>
          <w:szCs w:val="19"/>
          <w:spacing w:val="9"/>
        </w:rPr>
        <w:t>要彼此认同和</w:t>
      </w:r>
      <w:r>
        <w:rPr>
          <w:rFonts w:ascii="SimSun" w:hAnsi="SimSun" w:eastAsia="SimSun" w:cs="SimSun"/>
          <w:sz w:val="19"/>
          <w:szCs w:val="19"/>
        </w:rPr>
        <w:t xml:space="preserve"> </w:t>
      </w:r>
      <w:r>
        <w:rPr>
          <w:rFonts w:ascii="SimSun" w:hAnsi="SimSun" w:eastAsia="SimSun" w:cs="SimSun"/>
          <w:sz w:val="19"/>
          <w:szCs w:val="19"/>
          <w:spacing w:val="9"/>
        </w:rPr>
        <w:t>协调支持，乃至于改变监管目标，加入竞争考量；要将行政监管升级 </w:t>
      </w:r>
      <w:r>
        <w:rPr>
          <w:rFonts w:ascii="SimSun" w:hAnsi="SimSun" w:eastAsia="SimSun" w:cs="SimSun"/>
          <w:sz w:val="19"/>
          <w:szCs w:val="19"/>
          <w:spacing w:val="9"/>
        </w:rPr>
        <w:t>为经济监管，将经济法中的“责权利效相统一”作为超越仅仅强调程 </w:t>
      </w:r>
      <w:r>
        <w:rPr>
          <w:rFonts w:ascii="SimSun" w:hAnsi="SimSun" w:eastAsia="SimSun" w:cs="SimSun"/>
          <w:sz w:val="19"/>
          <w:szCs w:val="19"/>
          <w:spacing w:val="9"/>
        </w:rPr>
        <w:t>序公平的行政监管的更高准则；在市场相关的领域，用更好地回应平 </w:t>
      </w:r>
      <w:r>
        <w:rPr>
          <w:rFonts w:ascii="SimSun" w:hAnsi="SimSun" w:eastAsia="SimSun" w:cs="SimSun"/>
          <w:sz w:val="19"/>
          <w:szCs w:val="19"/>
          <w:spacing w:val="8"/>
        </w:rPr>
        <w:t>等和效率诉求的“回应型监管”,替换仅仅强调市场准入的行政监管。</w:t>
      </w:r>
      <w:r>
        <w:rPr>
          <w:rFonts w:ascii="SimSun" w:hAnsi="SimSun" w:eastAsia="SimSun" w:cs="SimSun"/>
          <w:sz w:val="19"/>
          <w:szCs w:val="19"/>
          <w:spacing w:val="10"/>
        </w:rPr>
        <w:t xml:space="preserve"> </w:t>
      </w:r>
      <w:r>
        <w:rPr>
          <w:rFonts w:ascii="SimSun" w:hAnsi="SimSun" w:eastAsia="SimSun" w:cs="SimSun"/>
          <w:sz w:val="19"/>
          <w:szCs w:val="19"/>
          <w:spacing w:val="9"/>
        </w:rPr>
        <w:t>实现促进市场统一和扩大、主体多元、竞争充分的结果导向的高标准 </w:t>
      </w:r>
      <w:r>
        <w:rPr>
          <w:rFonts w:ascii="SimSun" w:hAnsi="SimSun" w:eastAsia="SimSun" w:cs="SimSun"/>
          <w:sz w:val="19"/>
          <w:szCs w:val="19"/>
          <w:spacing w:val="9"/>
        </w:rPr>
        <w:t>监管，需要更新观念，增强学习，改进治理。立意高就需要更深入的</w:t>
      </w:r>
      <w:r>
        <w:rPr>
          <w:rFonts w:ascii="SimSun" w:hAnsi="SimSun" w:eastAsia="SimSun" w:cs="SimSun"/>
          <w:sz w:val="19"/>
          <w:szCs w:val="19"/>
          <w:spacing w:val="1"/>
        </w:rPr>
        <w:t xml:space="preserve">  </w:t>
      </w:r>
      <w:r>
        <w:rPr>
          <w:rFonts w:ascii="SimSun" w:hAnsi="SimSun" w:eastAsia="SimSun" w:cs="SimSun"/>
          <w:sz w:val="19"/>
          <w:szCs w:val="19"/>
          <w:spacing w:val="9"/>
        </w:rPr>
        <w:t>制度和规则改进，仅仅简单地加强旧手段，只会让立意低的以监管错</w:t>
      </w:r>
    </w:p>
    <w:p>
      <w:pPr>
        <w:spacing w:before="1" w:line="218" w:lineRule="auto"/>
        <w:rPr>
          <w:rFonts w:ascii="SimSun" w:hAnsi="SimSun" w:eastAsia="SimSun" w:cs="SimSun"/>
          <w:sz w:val="19"/>
          <w:szCs w:val="19"/>
        </w:rPr>
      </w:pPr>
      <w:r>
        <w:rPr>
          <w:rFonts w:ascii="SimSun" w:hAnsi="SimSun" w:eastAsia="SimSun" w:cs="SimSun"/>
          <w:sz w:val="19"/>
          <w:szCs w:val="19"/>
          <w:spacing w:val="8"/>
        </w:rPr>
        <w:t>误和成本为导向的监管大行其道。</w:t>
      </w:r>
    </w:p>
    <w:p>
      <w:pPr>
        <w:spacing w:line="218" w:lineRule="auto"/>
        <w:sectPr>
          <w:headerReference w:type="default" r:id="rId571"/>
          <w:pgSz w:w="7330" w:h="12480"/>
          <w:pgMar w:top="519" w:right="644" w:bottom="400" w:left="610" w:header="364" w:footer="0" w:gutter="0"/>
        </w:sectPr>
        <w:rPr>
          <w:rFonts w:ascii="SimSun" w:hAnsi="SimSun" w:eastAsia="SimSun" w:cs="SimSun"/>
          <w:sz w:val="19"/>
          <w:szCs w:val="19"/>
        </w:rPr>
      </w:pP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ind w:left="3"/>
        <w:spacing w:before="82" w:line="222" w:lineRule="auto"/>
        <w:rPr>
          <w:rFonts w:ascii="SimHei" w:hAnsi="SimHei" w:eastAsia="SimHei" w:cs="SimHei"/>
          <w:sz w:val="25"/>
          <w:szCs w:val="25"/>
        </w:rPr>
      </w:pPr>
      <w:r>
        <w:rPr>
          <w:rFonts w:ascii="SimHei" w:hAnsi="SimHei" w:eastAsia="SimHei" w:cs="SimHei"/>
          <w:sz w:val="25"/>
          <w:szCs w:val="25"/>
          <w:b/>
          <w:bCs/>
          <w:spacing w:val="-13"/>
        </w:rPr>
        <w:t>监管和反垄断的权力配置</w:t>
      </w:r>
    </w:p>
    <w:p>
      <w:pPr>
        <w:pStyle w:val="BodyText"/>
        <w:spacing w:line="347" w:lineRule="auto"/>
        <w:rPr/>
      </w:pPr>
      <w:r/>
    </w:p>
    <w:p>
      <w:pPr>
        <w:ind w:right="69" w:firstLine="399"/>
        <w:spacing w:before="69" w:line="308" w:lineRule="auto"/>
        <w:jc w:val="both"/>
        <w:rPr>
          <w:rFonts w:ascii="SimSun" w:hAnsi="SimSun" w:eastAsia="SimSun" w:cs="SimSun"/>
          <w:sz w:val="21"/>
          <w:szCs w:val="21"/>
        </w:rPr>
      </w:pPr>
      <w:r>
        <w:rPr>
          <w:rFonts w:ascii="SimSun" w:hAnsi="SimSun" w:eastAsia="SimSun" w:cs="SimSun"/>
          <w:sz w:val="21"/>
          <w:szCs w:val="21"/>
          <w:spacing w:val="-3"/>
        </w:rPr>
        <w:t>中央颁布的《关于强化反垄断深入推进公平竞争政策实施的意</w:t>
      </w:r>
      <w:r>
        <w:rPr>
          <w:rFonts w:ascii="SimSun" w:hAnsi="SimSun" w:eastAsia="SimSun" w:cs="SimSun"/>
          <w:sz w:val="21"/>
          <w:szCs w:val="21"/>
          <w:spacing w:val="3"/>
        </w:rPr>
        <w:t xml:space="preserve"> </w:t>
      </w:r>
      <w:r>
        <w:rPr>
          <w:rFonts w:ascii="SimSun" w:hAnsi="SimSun" w:eastAsia="SimSun" w:cs="SimSun"/>
          <w:sz w:val="21"/>
          <w:szCs w:val="21"/>
          <w:spacing w:val="-11"/>
        </w:rPr>
        <w:t>见》是一份完整的政策表述，清晰明白地围绕着平等和效率两个目标</w:t>
      </w:r>
      <w:r>
        <w:rPr>
          <w:rFonts w:ascii="SimSun" w:hAnsi="SimSun" w:eastAsia="SimSun" w:cs="SimSun"/>
          <w:sz w:val="21"/>
          <w:szCs w:val="21"/>
          <w:spacing w:val="16"/>
        </w:rPr>
        <w:t xml:space="preserve"> </w:t>
      </w:r>
      <w:r>
        <w:rPr>
          <w:rFonts w:ascii="SimSun" w:hAnsi="SimSun" w:eastAsia="SimSun" w:cs="SimSun"/>
          <w:sz w:val="21"/>
          <w:szCs w:val="21"/>
          <w:spacing w:val="-10"/>
        </w:rPr>
        <w:t>展开，其中的关键是强化反垄断监管，防止资本无序扩张。强化反垄</w:t>
      </w:r>
      <w:r>
        <w:rPr>
          <w:rFonts w:ascii="SimSun" w:hAnsi="SimSun" w:eastAsia="SimSun" w:cs="SimSun"/>
          <w:sz w:val="21"/>
          <w:szCs w:val="21"/>
          <w:spacing w:val="9"/>
        </w:rPr>
        <w:t xml:space="preserve"> </w:t>
      </w:r>
      <w:r>
        <w:rPr>
          <w:rFonts w:ascii="SimSun" w:hAnsi="SimSun" w:eastAsia="SimSun" w:cs="SimSun"/>
          <w:sz w:val="21"/>
          <w:szCs w:val="21"/>
          <w:spacing w:val="-10"/>
        </w:rPr>
        <w:t>断监管是监管的具体行为要求，市场结构和竞争状况的现实需要反垄</w:t>
      </w:r>
      <w:r>
        <w:rPr>
          <w:rFonts w:ascii="SimSun" w:hAnsi="SimSun" w:eastAsia="SimSun" w:cs="SimSun"/>
          <w:sz w:val="21"/>
          <w:szCs w:val="21"/>
          <w:spacing w:val="9"/>
        </w:rPr>
        <w:t xml:space="preserve"> </w:t>
      </w:r>
      <w:r>
        <w:rPr>
          <w:rFonts w:ascii="SimSun" w:hAnsi="SimSun" w:eastAsia="SimSun" w:cs="SimSun"/>
          <w:sz w:val="21"/>
          <w:szCs w:val="21"/>
          <w:spacing w:val="-10"/>
        </w:rPr>
        <w:t>断的加强，通过反垄断改变市场结构，增加中小企业进入市场竞争的</w:t>
      </w:r>
      <w:r>
        <w:rPr>
          <w:rFonts w:ascii="SimSun" w:hAnsi="SimSun" w:eastAsia="SimSun" w:cs="SimSun"/>
          <w:sz w:val="21"/>
          <w:szCs w:val="21"/>
          <w:spacing w:val="14"/>
        </w:rPr>
        <w:t xml:space="preserve"> </w:t>
      </w:r>
      <w:r>
        <w:rPr>
          <w:rFonts w:ascii="SimSun" w:hAnsi="SimSun" w:eastAsia="SimSun" w:cs="SimSun"/>
          <w:sz w:val="21"/>
          <w:szCs w:val="21"/>
          <w:spacing w:val="-10"/>
        </w:rPr>
        <w:t>机会和降低事实上被抬高的市场壁垒，促进更</w:t>
      </w:r>
      <w:r>
        <w:rPr>
          <w:rFonts w:ascii="SimSun" w:hAnsi="SimSun" w:eastAsia="SimSun" w:cs="SimSun"/>
          <w:sz w:val="21"/>
          <w:szCs w:val="21"/>
          <w:spacing w:val="-11"/>
        </w:rPr>
        <w:t>有活力的竞争。比如市</w:t>
      </w:r>
      <w:r>
        <w:rPr>
          <w:rFonts w:ascii="SimSun" w:hAnsi="SimSun" w:eastAsia="SimSun" w:cs="SimSun"/>
          <w:sz w:val="21"/>
          <w:szCs w:val="21"/>
        </w:rPr>
        <w:t xml:space="preserve"> </w:t>
      </w:r>
      <w:r>
        <w:rPr>
          <w:rFonts w:ascii="SimSun" w:hAnsi="SimSun" w:eastAsia="SimSun" w:cs="SimSun"/>
          <w:sz w:val="21"/>
          <w:szCs w:val="21"/>
          <w:spacing w:val="-11"/>
        </w:rPr>
        <w:t>场监管总局要求腾讯解除独家音乐版权协议，恢复市场竞争状态，就</w:t>
      </w:r>
      <w:r>
        <w:rPr>
          <w:rFonts w:ascii="SimSun" w:hAnsi="SimSun" w:eastAsia="SimSun" w:cs="SimSun"/>
          <w:sz w:val="21"/>
          <w:szCs w:val="21"/>
          <w:spacing w:val="18"/>
        </w:rPr>
        <w:t xml:space="preserve"> </w:t>
      </w:r>
      <w:r>
        <w:rPr>
          <w:rFonts w:ascii="SimSun" w:hAnsi="SimSun" w:eastAsia="SimSun" w:cs="SimSun"/>
          <w:sz w:val="21"/>
          <w:szCs w:val="21"/>
          <w:spacing w:val="-11"/>
        </w:rPr>
        <w:t>是体现这种政策目标最为典型的手段。防止资本的无序扩张，要求采</w:t>
      </w:r>
      <w:r>
        <w:rPr>
          <w:rFonts w:ascii="SimSun" w:hAnsi="SimSun" w:eastAsia="SimSun" w:cs="SimSun"/>
          <w:sz w:val="21"/>
          <w:szCs w:val="21"/>
          <w:spacing w:val="17"/>
        </w:rPr>
        <w:t xml:space="preserve"> </w:t>
      </w:r>
      <w:r>
        <w:rPr>
          <w:rFonts w:ascii="SimSun" w:hAnsi="SimSun" w:eastAsia="SimSun" w:cs="SimSun"/>
          <w:sz w:val="21"/>
          <w:szCs w:val="21"/>
          <w:spacing w:val="-11"/>
        </w:rPr>
        <w:t>用制度化的规则改进去预防，这并不意味着一味打击、限制甚至剥夺</w:t>
      </w:r>
      <w:r>
        <w:rPr>
          <w:rFonts w:ascii="SimSun" w:hAnsi="SimSun" w:eastAsia="SimSun" w:cs="SimSun"/>
          <w:sz w:val="21"/>
          <w:szCs w:val="21"/>
          <w:spacing w:val="17"/>
        </w:rPr>
        <w:t xml:space="preserve"> </w:t>
      </w:r>
      <w:r>
        <w:rPr>
          <w:rFonts w:ascii="SimSun" w:hAnsi="SimSun" w:eastAsia="SimSun" w:cs="SimSun"/>
          <w:sz w:val="21"/>
          <w:szCs w:val="21"/>
          <w:spacing w:val="-7"/>
        </w:rPr>
        <w:t>资本，防止无序扩张所针对的是“野蛮生长”,最终“推动形成大中</w:t>
      </w:r>
      <w:r>
        <w:rPr>
          <w:rFonts w:ascii="SimSun" w:hAnsi="SimSun" w:eastAsia="SimSun" w:cs="SimSun"/>
          <w:sz w:val="21"/>
          <w:szCs w:val="21"/>
          <w:spacing w:val="16"/>
        </w:rPr>
        <w:t xml:space="preserve"> </w:t>
      </w:r>
      <w:r>
        <w:rPr>
          <w:rFonts w:ascii="SimSun" w:hAnsi="SimSun" w:eastAsia="SimSun" w:cs="SimSun"/>
          <w:sz w:val="21"/>
          <w:szCs w:val="21"/>
          <w:spacing w:val="-17"/>
        </w:rPr>
        <w:t>小企业良性互动、协同发展的良好格局”。</w:t>
      </w:r>
    </w:p>
    <w:p>
      <w:pPr>
        <w:ind w:firstLine="399"/>
        <w:spacing w:before="126" w:line="308" w:lineRule="auto"/>
        <w:jc w:val="both"/>
        <w:rPr>
          <w:rFonts w:ascii="SimSun" w:hAnsi="SimSun" w:eastAsia="SimSun" w:cs="SimSun"/>
          <w:sz w:val="21"/>
          <w:szCs w:val="21"/>
        </w:rPr>
      </w:pPr>
      <w:r>
        <w:rPr>
          <w:rFonts w:ascii="SimSun" w:hAnsi="SimSun" w:eastAsia="SimSun" w:cs="SimSun"/>
          <w:sz w:val="21"/>
          <w:szCs w:val="21"/>
          <w:spacing w:val="-10"/>
        </w:rPr>
        <w:t>强化反垄断执法首先是反垄断部门应当充分发挥职责，地位和能 </w:t>
      </w:r>
      <w:r>
        <w:rPr>
          <w:rFonts w:ascii="SimSun" w:hAnsi="SimSun" w:eastAsia="SimSun" w:cs="SimSun"/>
          <w:sz w:val="21"/>
          <w:szCs w:val="21"/>
          <w:spacing w:val="-11"/>
        </w:rPr>
        <w:t>力需要得到强化，但监管部门也应当提高国家治理能力，将竞</w:t>
      </w:r>
      <w:r>
        <w:rPr>
          <w:rFonts w:ascii="SimSun" w:hAnsi="SimSun" w:eastAsia="SimSun" w:cs="SimSun"/>
          <w:sz w:val="21"/>
          <w:szCs w:val="21"/>
          <w:spacing w:val="-12"/>
        </w:rPr>
        <w:t>争政策</w:t>
      </w:r>
      <w:r>
        <w:rPr>
          <w:rFonts w:ascii="SimSun" w:hAnsi="SimSun" w:eastAsia="SimSun" w:cs="SimSun"/>
          <w:sz w:val="21"/>
          <w:szCs w:val="21"/>
        </w:rPr>
        <w:t xml:space="preserve">  </w:t>
      </w:r>
      <w:r>
        <w:rPr>
          <w:rFonts w:ascii="SimSun" w:hAnsi="SimSun" w:eastAsia="SimSun" w:cs="SimSun"/>
          <w:sz w:val="21"/>
          <w:szCs w:val="21"/>
          <w:spacing w:val="-10"/>
        </w:rPr>
        <w:t>纳入监管目标。高标准的市场要求高标准的监</w:t>
      </w:r>
      <w:r>
        <w:rPr>
          <w:rFonts w:ascii="SimSun" w:hAnsi="SimSun" w:eastAsia="SimSun" w:cs="SimSun"/>
          <w:sz w:val="21"/>
          <w:szCs w:val="21"/>
          <w:spacing w:val="-11"/>
        </w:rPr>
        <w:t>管，竞争政策和过去依</w:t>
      </w:r>
      <w:r>
        <w:rPr>
          <w:rFonts w:ascii="SimSun" w:hAnsi="SimSun" w:eastAsia="SimSun" w:cs="SimSun"/>
          <w:sz w:val="21"/>
          <w:szCs w:val="21"/>
        </w:rPr>
        <w:t xml:space="preserve">  </w:t>
      </w:r>
      <w:r>
        <w:rPr>
          <w:rFonts w:ascii="SimSun" w:hAnsi="SimSun" w:eastAsia="SimSun" w:cs="SimSun"/>
          <w:sz w:val="21"/>
          <w:szCs w:val="21"/>
          <w:spacing w:val="-11"/>
        </w:rPr>
        <w:t>赖的行政监管不同，是基于结果导向的，目标是维护一个市场的竞争</w:t>
      </w:r>
      <w:r>
        <w:rPr>
          <w:rFonts w:ascii="SimSun" w:hAnsi="SimSun" w:eastAsia="SimSun" w:cs="SimSun"/>
          <w:sz w:val="21"/>
          <w:szCs w:val="21"/>
          <w:spacing w:val="8"/>
        </w:rPr>
        <w:t xml:space="preserve">  </w:t>
      </w:r>
      <w:r>
        <w:rPr>
          <w:rFonts w:ascii="SimSun" w:hAnsi="SimSun" w:eastAsia="SimSun" w:cs="SimSun"/>
          <w:sz w:val="21"/>
          <w:szCs w:val="21"/>
          <w:spacing w:val="-7"/>
        </w:rPr>
        <w:t>状态，而传统的行政监管更多是针对市场准入的，对</w:t>
      </w:r>
      <w:r>
        <w:rPr>
          <w:rFonts w:ascii="SimSun" w:hAnsi="SimSun" w:eastAsia="SimSun" w:cs="SimSun"/>
          <w:sz w:val="21"/>
          <w:szCs w:val="21"/>
          <w:spacing w:val="-8"/>
        </w:rPr>
        <w:t>入口进行控制。</w:t>
      </w:r>
      <w:r>
        <w:rPr>
          <w:rFonts w:ascii="SimSun" w:hAnsi="SimSun" w:eastAsia="SimSun" w:cs="SimSun"/>
          <w:sz w:val="21"/>
          <w:szCs w:val="21"/>
        </w:rPr>
        <w:t xml:space="preserve"> </w:t>
      </w:r>
      <w:r>
        <w:rPr>
          <w:rFonts w:ascii="SimSun" w:hAnsi="SimSun" w:eastAsia="SimSun" w:cs="SimSun"/>
          <w:sz w:val="21"/>
          <w:szCs w:val="21"/>
          <w:spacing w:val="-7"/>
        </w:rPr>
        <w:t>竞争政策是用来整体评估市场的，是“宏观政策执法”,而行政监管</w:t>
      </w:r>
      <w:r>
        <w:rPr>
          <w:rFonts w:ascii="SimSun" w:hAnsi="SimSun" w:eastAsia="SimSun" w:cs="SimSun"/>
          <w:sz w:val="21"/>
          <w:szCs w:val="21"/>
          <w:spacing w:val="2"/>
        </w:rPr>
        <w:t xml:space="preserve">  </w:t>
      </w:r>
      <w:r>
        <w:rPr>
          <w:rFonts w:ascii="SimSun" w:hAnsi="SimSun" w:eastAsia="SimSun" w:cs="SimSun"/>
          <w:sz w:val="21"/>
          <w:szCs w:val="21"/>
          <w:spacing w:val="-11"/>
        </w:rPr>
        <w:t>更多是一事一议的，是基于行为的。竞争政策需要以更多经济和行业</w:t>
      </w:r>
      <w:r>
        <w:rPr>
          <w:rFonts w:ascii="SimSun" w:hAnsi="SimSun" w:eastAsia="SimSun" w:cs="SimSun"/>
          <w:sz w:val="21"/>
          <w:szCs w:val="21"/>
          <w:spacing w:val="7"/>
        </w:rPr>
        <w:t xml:space="preserve">  </w:t>
      </w:r>
      <w:r>
        <w:rPr>
          <w:rFonts w:ascii="SimSun" w:hAnsi="SimSun" w:eastAsia="SimSun" w:cs="SimSun"/>
          <w:sz w:val="21"/>
          <w:szCs w:val="21"/>
          <w:spacing w:val="-11"/>
        </w:rPr>
        <w:t>分析为基础，而不能仅仅以行政监管的程序为导向。比如央行《非银</w:t>
      </w:r>
      <w:r>
        <w:rPr>
          <w:rFonts w:ascii="SimSun" w:hAnsi="SimSun" w:eastAsia="SimSun" w:cs="SimSun"/>
          <w:sz w:val="21"/>
          <w:szCs w:val="21"/>
          <w:spacing w:val="8"/>
        </w:rPr>
        <w:t xml:space="preserve">  </w:t>
      </w:r>
      <w:r>
        <w:rPr>
          <w:rFonts w:ascii="SimSun" w:hAnsi="SimSun" w:eastAsia="SimSun" w:cs="SimSun"/>
          <w:sz w:val="21"/>
          <w:szCs w:val="21"/>
          <w:spacing w:val="-4"/>
        </w:rPr>
        <w:t>行支付机构条例(征求意见稿)》中规定一个企业的市场份额达到三</w:t>
      </w:r>
      <w:r>
        <w:rPr>
          <w:rFonts w:ascii="SimSun" w:hAnsi="SimSun" w:eastAsia="SimSun" w:cs="SimSun"/>
          <w:sz w:val="21"/>
          <w:szCs w:val="21"/>
          <w:spacing w:val="8"/>
        </w:rPr>
        <w:t xml:space="preserve">  </w:t>
      </w:r>
      <w:r>
        <w:rPr>
          <w:rFonts w:ascii="SimSun" w:hAnsi="SimSun" w:eastAsia="SimSun" w:cs="SimSun"/>
          <w:sz w:val="21"/>
          <w:szCs w:val="21"/>
          <w:spacing w:val="-10"/>
        </w:rPr>
        <w:t>分之一则向其发出市场支配地位预警，此处</w:t>
      </w:r>
      <w:r>
        <w:rPr>
          <w:rFonts w:ascii="SimSun" w:hAnsi="SimSun" w:eastAsia="SimSun" w:cs="SimSun"/>
          <w:sz w:val="21"/>
          <w:szCs w:val="21"/>
          <w:spacing w:val="-11"/>
        </w:rPr>
        <w:t>将《反垄断法》规定的二</w:t>
      </w:r>
      <w:r>
        <w:rPr>
          <w:rFonts w:ascii="SimSun" w:hAnsi="SimSun" w:eastAsia="SimSun" w:cs="SimSun"/>
          <w:sz w:val="21"/>
          <w:szCs w:val="21"/>
        </w:rPr>
        <w:t xml:space="preserve">  </w:t>
      </w:r>
      <w:r>
        <w:rPr>
          <w:rFonts w:ascii="SimSun" w:hAnsi="SimSun" w:eastAsia="SimSun" w:cs="SimSun"/>
          <w:sz w:val="21"/>
          <w:szCs w:val="21"/>
          <w:spacing w:val="-10"/>
        </w:rPr>
        <w:t>分之一份额改为三分之一，就是体现这种政策导向的一个例子。</w:t>
      </w:r>
    </w:p>
    <w:p>
      <w:pPr>
        <w:ind w:right="74" w:firstLine="399"/>
        <w:spacing w:before="100" w:line="284" w:lineRule="auto"/>
        <w:jc w:val="both"/>
        <w:rPr>
          <w:rFonts w:ascii="SimSun" w:hAnsi="SimSun" w:eastAsia="SimSun" w:cs="SimSun"/>
          <w:sz w:val="21"/>
          <w:szCs w:val="21"/>
        </w:rPr>
      </w:pPr>
      <w:r>
        <w:rPr>
          <w:rFonts w:ascii="SimSun" w:hAnsi="SimSun" w:eastAsia="SimSun" w:cs="SimSun"/>
          <w:sz w:val="21"/>
          <w:szCs w:val="21"/>
          <w:spacing w:val="-10"/>
        </w:rPr>
        <w:t>现在所实施的基于“加强反垄断执法，防止资本无序扩张”的强</w:t>
      </w:r>
      <w:r>
        <w:rPr>
          <w:rFonts w:ascii="SimSun" w:hAnsi="SimSun" w:eastAsia="SimSun" w:cs="SimSun"/>
          <w:sz w:val="21"/>
          <w:szCs w:val="21"/>
          <w:spacing w:val="9"/>
        </w:rPr>
        <w:t xml:space="preserve"> </w:t>
      </w:r>
      <w:r>
        <w:rPr>
          <w:rFonts w:ascii="SimSun" w:hAnsi="SimSun" w:eastAsia="SimSun" w:cs="SimSun"/>
          <w:sz w:val="21"/>
          <w:szCs w:val="21"/>
          <w:spacing w:val="-11"/>
        </w:rPr>
        <w:t>监管，出现了三种情况：第一种是联合执法行为，诸如七部委联合进</w:t>
      </w:r>
      <w:r>
        <w:rPr>
          <w:rFonts w:ascii="SimSun" w:hAnsi="SimSun" w:eastAsia="SimSun" w:cs="SimSun"/>
          <w:sz w:val="21"/>
          <w:szCs w:val="21"/>
          <w:spacing w:val="16"/>
        </w:rPr>
        <w:t xml:space="preserve"> </w:t>
      </w:r>
      <w:r>
        <w:rPr>
          <w:rFonts w:ascii="SimSun" w:hAnsi="SimSun" w:eastAsia="SimSun" w:cs="SimSun"/>
          <w:sz w:val="21"/>
          <w:szCs w:val="21"/>
          <w:spacing w:val="-10"/>
        </w:rPr>
        <w:t>驻滴滴公司对其是否存在违法违规行为进行调查，是一种近期出现的</w:t>
      </w:r>
    </w:p>
    <w:p>
      <w:pPr>
        <w:spacing w:line="284" w:lineRule="auto"/>
        <w:sectPr>
          <w:headerReference w:type="default" r:id="rId572"/>
          <w:pgSz w:w="7330" w:h="12480"/>
          <w:pgMar w:top="798" w:right="685" w:bottom="400" w:left="560" w:header="633" w:footer="0" w:gutter="0"/>
        </w:sectPr>
        <w:rPr>
          <w:rFonts w:ascii="SimSun" w:hAnsi="SimSun" w:eastAsia="SimSun" w:cs="SimSun"/>
          <w:sz w:val="21"/>
          <w:szCs w:val="2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right="20"/>
        <w:spacing w:before="68" w:line="300" w:lineRule="auto"/>
        <w:jc w:val="both"/>
        <w:rPr>
          <w:rFonts w:ascii="SimSun" w:hAnsi="SimSun" w:eastAsia="SimSun" w:cs="SimSun"/>
          <w:sz w:val="21"/>
          <w:szCs w:val="21"/>
        </w:rPr>
      </w:pPr>
      <w:r>
        <w:rPr>
          <w:rFonts w:ascii="SimSun" w:hAnsi="SimSun" w:eastAsia="SimSun" w:cs="SimSun"/>
          <w:sz w:val="21"/>
          <w:szCs w:val="21"/>
          <w:spacing w:val="-11"/>
        </w:rPr>
        <w:t>对持续已久的执法实践的政策式加强。这种执法模式当然是基于现有 </w:t>
      </w:r>
      <w:r>
        <w:rPr>
          <w:rFonts w:ascii="SimSun" w:hAnsi="SimSun" w:eastAsia="SimSun" w:cs="SimSun"/>
          <w:sz w:val="21"/>
          <w:szCs w:val="21"/>
          <w:spacing w:val="-11"/>
        </w:rPr>
        <w:t>的监管权力配置不足的状况，在面对平台经济跨市场、跨行业、跨领 </w:t>
      </w:r>
      <w:r>
        <w:rPr>
          <w:rFonts w:ascii="SimSun" w:hAnsi="SimSun" w:eastAsia="SimSun" w:cs="SimSun"/>
          <w:sz w:val="21"/>
          <w:szCs w:val="21"/>
          <w:spacing w:val="-11"/>
        </w:rPr>
        <w:t>域经营模式时的必然反应。但是这种联合执法也有可能产生重复或者 </w:t>
      </w:r>
      <w:r>
        <w:rPr>
          <w:rFonts w:ascii="SimSun" w:hAnsi="SimSun" w:eastAsia="SimSun" w:cs="SimSun"/>
          <w:sz w:val="21"/>
          <w:szCs w:val="21"/>
          <w:spacing w:val="-11"/>
        </w:rPr>
        <w:t>过度处罚问题。第二种是运动式执法，导致监管执法时轻时重，相应 </w:t>
      </w:r>
      <w:r>
        <w:rPr>
          <w:rFonts w:ascii="SimSun" w:hAnsi="SimSun" w:eastAsia="SimSun" w:cs="SimSun"/>
          <w:sz w:val="21"/>
          <w:szCs w:val="21"/>
          <w:spacing w:val="-8"/>
        </w:rPr>
        <w:t>的公司、企业或组织缺乏稳定的经营预期。第三种是监</w:t>
      </w:r>
      <w:r>
        <w:rPr>
          <w:rFonts w:ascii="SimSun" w:hAnsi="SimSun" w:eastAsia="SimSun" w:cs="SimSun"/>
          <w:sz w:val="21"/>
          <w:szCs w:val="21"/>
          <w:spacing w:val="-9"/>
        </w:rPr>
        <w:t>管上的竞争，</w:t>
      </w:r>
      <w:r>
        <w:rPr>
          <w:rFonts w:ascii="SimSun" w:hAnsi="SimSun" w:eastAsia="SimSun" w:cs="SimSun"/>
          <w:sz w:val="21"/>
          <w:szCs w:val="21"/>
        </w:rPr>
        <w:t xml:space="preserve"> </w:t>
      </w:r>
      <w:r>
        <w:rPr>
          <w:rFonts w:ascii="SimSun" w:hAnsi="SimSun" w:eastAsia="SimSun" w:cs="SimSun"/>
          <w:sz w:val="21"/>
          <w:szCs w:val="21"/>
          <w:spacing w:val="-4"/>
        </w:rPr>
        <w:t>各个部门在2021年增加了诸多的监管制度、政策和规则，竞相强化 </w:t>
      </w:r>
      <w:r>
        <w:rPr>
          <w:rFonts w:ascii="SimSun" w:hAnsi="SimSun" w:eastAsia="SimSun" w:cs="SimSun"/>
          <w:sz w:val="21"/>
          <w:szCs w:val="21"/>
          <w:spacing w:val="-11"/>
        </w:rPr>
        <w:t>监管和反垄断，表现出一种比较、追赶的局面，事实上造成了目标重 </w:t>
      </w:r>
      <w:r>
        <w:rPr>
          <w:rFonts w:ascii="SimSun" w:hAnsi="SimSun" w:eastAsia="SimSun" w:cs="SimSun"/>
          <w:sz w:val="21"/>
          <w:szCs w:val="21"/>
          <w:spacing w:val="-11"/>
        </w:rPr>
        <w:t>叠或者冲突。</w:t>
      </w:r>
    </w:p>
    <w:p>
      <w:pPr>
        <w:ind w:firstLine="430"/>
        <w:spacing w:before="156" w:line="302" w:lineRule="auto"/>
        <w:jc w:val="both"/>
        <w:rPr>
          <w:rFonts w:ascii="SimSun" w:hAnsi="SimSun" w:eastAsia="SimSun" w:cs="SimSun"/>
          <w:sz w:val="21"/>
          <w:szCs w:val="21"/>
        </w:rPr>
      </w:pPr>
      <w:r>
        <w:rPr>
          <w:rFonts w:ascii="SimSun" w:hAnsi="SimSun" w:eastAsia="SimSun" w:cs="SimSun"/>
          <w:sz w:val="21"/>
          <w:szCs w:val="21"/>
          <w:spacing w:val="-11"/>
        </w:rPr>
        <w:t>就目前的监管政策而言，应当围绕着“加强反垄断执法，防止</w:t>
      </w:r>
      <w:r>
        <w:rPr>
          <w:rFonts w:ascii="SimSun" w:hAnsi="SimSun" w:eastAsia="SimSun" w:cs="SimSun"/>
          <w:sz w:val="21"/>
          <w:szCs w:val="21"/>
          <w:spacing w:val="-12"/>
        </w:rPr>
        <w:t>资 </w:t>
      </w:r>
      <w:r>
        <w:rPr>
          <w:rFonts w:ascii="SimSun" w:hAnsi="SimSun" w:eastAsia="SimSun" w:cs="SimSun"/>
          <w:sz w:val="21"/>
          <w:szCs w:val="21"/>
          <w:spacing w:val="-16"/>
        </w:rPr>
        <w:t>本无序扩张”展开，但对市场竞争状态的维护，</w:t>
      </w:r>
      <w:r>
        <w:rPr>
          <w:rFonts w:ascii="SimSun" w:hAnsi="SimSun" w:eastAsia="SimSun" w:cs="SimSun"/>
          <w:sz w:val="21"/>
          <w:szCs w:val="21"/>
          <w:spacing w:val="59"/>
        </w:rPr>
        <w:t xml:space="preserve"> </w:t>
      </w:r>
      <w:r>
        <w:rPr>
          <w:rFonts w:ascii="SimSun" w:hAnsi="SimSun" w:eastAsia="SimSun" w:cs="SimSun"/>
          <w:sz w:val="21"/>
          <w:szCs w:val="21"/>
          <w:spacing w:val="-16"/>
        </w:rPr>
        <w:t>一些监管部门出台的</w:t>
      </w:r>
      <w:r>
        <w:rPr>
          <w:rFonts w:ascii="SimSun" w:hAnsi="SimSun" w:eastAsia="SimSun" w:cs="SimSun"/>
          <w:sz w:val="21"/>
          <w:szCs w:val="21"/>
        </w:rPr>
        <w:t xml:space="preserve">  </w:t>
      </w:r>
      <w:r>
        <w:rPr>
          <w:rFonts w:ascii="SimSun" w:hAnsi="SimSun" w:eastAsia="SimSun" w:cs="SimSun"/>
          <w:sz w:val="21"/>
          <w:szCs w:val="21"/>
          <w:spacing w:val="-11"/>
        </w:rPr>
        <w:t>政策之中，通过对反垄断目标的解释，诸如以提升消费者体验等为理</w:t>
      </w:r>
      <w:r>
        <w:rPr>
          <w:rFonts w:ascii="SimSun" w:hAnsi="SimSun" w:eastAsia="SimSun" w:cs="SimSun"/>
          <w:sz w:val="21"/>
          <w:szCs w:val="21"/>
          <w:spacing w:val="3"/>
        </w:rPr>
        <w:t xml:space="preserve">  </w:t>
      </w:r>
      <w:r>
        <w:rPr>
          <w:rFonts w:ascii="SimSun" w:hAnsi="SimSun" w:eastAsia="SimSun" w:cs="SimSun"/>
          <w:sz w:val="21"/>
          <w:szCs w:val="21"/>
          <w:spacing w:val="-12"/>
        </w:rPr>
        <w:t>由，采取了过度监管的措施。比如工信部提出的“互联互通”要求手</w:t>
      </w:r>
      <w:r>
        <w:rPr>
          <w:rFonts w:ascii="SimSun" w:hAnsi="SimSun" w:eastAsia="SimSun" w:cs="SimSun"/>
          <w:sz w:val="21"/>
          <w:szCs w:val="21"/>
          <w:spacing w:val="8"/>
        </w:rPr>
        <w:t xml:space="preserve">  </w:t>
      </w:r>
      <w:r>
        <w:rPr>
          <w:rFonts w:ascii="SimSun" w:hAnsi="SimSun" w:eastAsia="SimSun" w:cs="SimSun"/>
          <w:sz w:val="21"/>
          <w:szCs w:val="21"/>
        </w:rPr>
        <w:t>机用户可以直接在一个</w:t>
      </w:r>
      <w:r>
        <w:rPr>
          <w:rFonts w:ascii="Times New Roman" w:hAnsi="Times New Roman" w:eastAsia="Times New Roman" w:cs="Times New Roman"/>
          <w:sz w:val="21"/>
          <w:szCs w:val="21"/>
        </w:rPr>
        <w:t>App</w:t>
      </w:r>
      <w:r>
        <w:rPr>
          <w:rFonts w:ascii="SimSun" w:hAnsi="SimSun" w:eastAsia="SimSun" w:cs="SimSun"/>
          <w:sz w:val="21"/>
          <w:szCs w:val="21"/>
        </w:rPr>
        <w:t>中打开另外一个</w:t>
      </w:r>
      <w:r>
        <w:rPr>
          <w:rFonts w:ascii="Times New Roman" w:hAnsi="Times New Roman" w:eastAsia="Times New Roman" w:cs="Times New Roman"/>
          <w:sz w:val="21"/>
          <w:szCs w:val="21"/>
        </w:rPr>
        <w:t>App</w:t>
      </w:r>
      <w:r>
        <w:rPr>
          <w:rFonts w:ascii="SimSun" w:hAnsi="SimSun" w:eastAsia="SimSun" w:cs="SimSun"/>
          <w:sz w:val="21"/>
          <w:szCs w:val="21"/>
        </w:rPr>
        <w:t>的链接，就是基于</w:t>
      </w:r>
      <w:r>
        <w:rPr>
          <w:rFonts w:ascii="SimSun" w:hAnsi="SimSun" w:eastAsia="SimSun" w:cs="SimSun"/>
          <w:sz w:val="21"/>
          <w:szCs w:val="21"/>
          <w:spacing w:val="3"/>
        </w:rPr>
        <w:t xml:space="preserve">  </w:t>
      </w:r>
      <w:r>
        <w:rPr>
          <w:rFonts w:ascii="SimSun" w:hAnsi="SimSun" w:eastAsia="SimSun" w:cs="SimSun"/>
          <w:sz w:val="21"/>
          <w:szCs w:val="21"/>
          <w:spacing w:val="-11"/>
        </w:rPr>
        <w:t>反垄断理由的监管，但实际上非常可能造成市场竞争状态的恶化，导</w:t>
      </w:r>
      <w:r>
        <w:rPr>
          <w:rFonts w:ascii="SimSun" w:hAnsi="SimSun" w:eastAsia="SimSun" w:cs="SimSun"/>
          <w:sz w:val="21"/>
          <w:szCs w:val="21"/>
          <w:spacing w:val="6"/>
        </w:rPr>
        <w:t xml:space="preserve">  </w:t>
      </w:r>
      <w:r>
        <w:rPr>
          <w:rFonts w:ascii="SimSun" w:hAnsi="SimSun" w:eastAsia="SimSun" w:cs="SimSun"/>
          <w:sz w:val="21"/>
          <w:szCs w:val="21"/>
          <w:spacing w:val="-11"/>
        </w:rPr>
        <w:t>致头部企业更加努力地维持或者巩固其领先地位，与反垄断法的调整</w:t>
      </w:r>
      <w:r>
        <w:rPr>
          <w:rFonts w:ascii="SimSun" w:hAnsi="SimSun" w:eastAsia="SimSun" w:cs="SimSun"/>
          <w:sz w:val="21"/>
          <w:szCs w:val="21"/>
          <w:spacing w:val="4"/>
        </w:rPr>
        <w:t xml:space="preserve">  </w:t>
      </w:r>
      <w:r>
        <w:rPr>
          <w:rFonts w:ascii="SimSun" w:hAnsi="SimSun" w:eastAsia="SimSun" w:cs="SimSun"/>
          <w:sz w:val="21"/>
          <w:szCs w:val="21"/>
          <w:spacing w:val="-12"/>
        </w:rPr>
        <w:t>目标背道而驰。而中国人民银行正在征求意见的反垄断预警</w:t>
      </w:r>
      <w:r>
        <w:rPr>
          <w:rFonts w:ascii="SimSun" w:hAnsi="SimSun" w:eastAsia="SimSun" w:cs="SimSun"/>
          <w:sz w:val="21"/>
          <w:szCs w:val="21"/>
          <w:spacing w:val="-13"/>
        </w:rPr>
        <w:t>制度，则</w:t>
      </w:r>
      <w:r>
        <w:rPr>
          <w:rFonts w:ascii="SimSun" w:hAnsi="SimSun" w:eastAsia="SimSun" w:cs="SimSun"/>
          <w:sz w:val="21"/>
          <w:szCs w:val="21"/>
        </w:rPr>
        <w:t xml:space="preserve">  </w:t>
      </w:r>
      <w:r>
        <w:rPr>
          <w:rFonts w:ascii="SimSun" w:hAnsi="SimSun" w:eastAsia="SimSun" w:cs="SimSun"/>
          <w:sz w:val="21"/>
          <w:szCs w:val="21"/>
          <w:spacing w:val="-11"/>
        </w:rPr>
        <w:t>尝试针对过去被忽略的竞争目标在管制产业之中可能引发的风险，进</w:t>
      </w:r>
      <w:r>
        <w:rPr>
          <w:rFonts w:ascii="SimSun" w:hAnsi="SimSun" w:eastAsia="SimSun" w:cs="SimSun"/>
          <w:sz w:val="21"/>
          <w:szCs w:val="21"/>
          <w:spacing w:val="3"/>
        </w:rPr>
        <w:t xml:space="preserve">  </w:t>
      </w:r>
      <w:r>
        <w:rPr>
          <w:rFonts w:ascii="SimSun" w:hAnsi="SimSun" w:eastAsia="SimSun" w:cs="SimSun"/>
          <w:sz w:val="21"/>
          <w:szCs w:val="21"/>
          <w:spacing w:val="-11"/>
        </w:rPr>
        <w:t>行反垄断介入和审查。尽管三分之一的市场份额在法律依据和理论理</w:t>
      </w:r>
      <w:r>
        <w:rPr>
          <w:rFonts w:ascii="SimSun" w:hAnsi="SimSun" w:eastAsia="SimSun" w:cs="SimSun"/>
          <w:sz w:val="21"/>
          <w:szCs w:val="21"/>
          <w:spacing w:val="3"/>
        </w:rPr>
        <w:t xml:space="preserve">  </w:t>
      </w:r>
      <w:r>
        <w:rPr>
          <w:rFonts w:ascii="SimSun" w:hAnsi="SimSun" w:eastAsia="SimSun" w:cs="SimSun"/>
          <w:sz w:val="21"/>
          <w:szCs w:val="21"/>
          <w:spacing w:val="-8"/>
        </w:rPr>
        <w:t>由上还需要进一步论证，反垄断机关如何介入还有待于</w:t>
      </w:r>
      <w:r>
        <w:rPr>
          <w:rFonts w:ascii="SimSun" w:hAnsi="SimSun" w:eastAsia="SimSun" w:cs="SimSun"/>
          <w:sz w:val="21"/>
          <w:szCs w:val="21"/>
          <w:spacing w:val="-9"/>
        </w:rPr>
        <w:t>细化和研究，</w:t>
      </w:r>
      <w:r>
        <w:rPr>
          <w:rFonts w:ascii="SimSun" w:hAnsi="SimSun" w:eastAsia="SimSun" w:cs="SimSun"/>
          <w:sz w:val="21"/>
          <w:szCs w:val="21"/>
        </w:rPr>
        <w:t xml:space="preserve"> </w:t>
      </w:r>
      <w:r>
        <w:rPr>
          <w:rFonts w:ascii="SimSun" w:hAnsi="SimSun" w:eastAsia="SimSun" w:cs="SimSun"/>
          <w:sz w:val="21"/>
          <w:szCs w:val="21"/>
          <w:spacing w:val="-11"/>
        </w:rPr>
        <w:t>但不同的监管部门明显表现出对反垄断法的理解差异。同样，在市场</w:t>
      </w:r>
      <w:r>
        <w:rPr>
          <w:rFonts w:ascii="SimSun" w:hAnsi="SimSun" w:eastAsia="SimSun" w:cs="SimSun"/>
          <w:sz w:val="21"/>
          <w:szCs w:val="21"/>
          <w:spacing w:val="5"/>
        </w:rPr>
        <w:t xml:space="preserve">  </w:t>
      </w:r>
      <w:r>
        <w:rPr>
          <w:rFonts w:ascii="SimSun" w:hAnsi="SimSun" w:eastAsia="SimSun" w:cs="SimSun"/>
          <w:sz w:val="21"/>
          <w:szCs w:val="21"/>
          <w:spacing w:val="-11"/>
        </w:rPr>
        <w:t>监督管理总局内，执行反垄断的反垄断部门和执行消费者权益保护的</w:t>
      </w:r>
      <w:r>
        <w:rPr>
          <w:rFonts w:ascii="SimSun" w:hAnsi="SimSun" w:eastAsia="SimSun" w:cs="SimSun"/>
          <w:sz w:val="21"/>
          <w:szCs w:val="21"/>
          <w:spacing w:val="7"/>
        </w:rPr>
        <w:t xml:space="preserve">  </w:t>
      </w:r>
      <w:r>
        <w:rPr>
          <w:rFonts w:ascii="SimSun" w:hAnsi="SimSun" w:eastAsia="SimSun" w:cs="SimSun"/>
          <w:sz w:val="21"/>
          <w:szCs w:val="21"/>
          <w:spacing w:val="-8"/>
        </w:rPr>
        <w:t>公平竞争部门的思路也不一致，比如正在征求意见的平台分类标准，</w:t>
      </w:r>
      <w:r>
        <w:rPr>
          <w:rFonts w:ascii="SimSun" w:hAnsi="SimSun" w:eastAsia="SimSun" w:cs="SimSun"/>
          <w:sz w:val="21"/>
          <w:szCs w:val="21"/>
          <w:spacing w:val="14"/>
        </w:rPr>
        <w:t xml:space="preserve"> </w:t>
      </w:r>
      <w:r>
        <w:rPr>
          <w:rFonts w:ascii="SimSun" w:hAnsi="SimSun" w:eastAsia="SimSun" w:cs="SimSun"/>
          <w:sz w:val="21"/>
          <w:szCs w:val="21"/>
          <w:spacing w:val="-11"/>
        </w:rPr>
        <w:t>将不同的平台按照不同的规模、经营活动设定不同的义务，切割了平</w:t>
      </w:r>
      <w:r>
        <w:rPr>
          <w:rFonts w:ascii="SimSun" w:hAnsi="SimSun" w:eastAsia="SimSun" w:cs="SimSun"/>
          <w:sz w:val="21"/>
          <w:szCs w:val="21"/>
          <w:spacing w:val="4"/>
        </w:rPr>
        <w:t xml:space="preserve">  </w:t>
      </w:r>
      <w:r>
        <w:rPr>
          <w:rFonts w:ascii="SimSun" w:hAnsi="SimSun" w:eastAsia="SimSun" w:cs="SimSun"/>
          <w:sz w:val="21"/>
          <w:szCs w:val="21"/>
          <w:spacing w:val="-11"/>
        </w:rPr>
        <w:t>台的类型，造成了权利义务的分级，和反垄断内在要求的平等竞争形</w:t>
      </w:r>
      <w:r>
        <w:rPr>
          <w:rFonts w:ascii="SimSun" w:hAnsi="SimSun" w:eastAsia="SimSun" w:cs="SimSun"/>
          <w:sz w:val="21"/>
          <w:szCs w:val="21"/>
          <w:spacing w:val="4"/>
        </w:rPr>
        <w:t xml:space="preserve">  </w:t>
      </w:r>
      <w:r>
        <w:rPr>
          <w:rFonts w:ascii="SimSun" w:hAnsi="SimSun" w:eastAsia="SimSun" w:cs="SimSun"/>
          <w:sz w:val="21"/>
          <w:szCs w:val="21"/>
          <w:spacing w:val="-12"/>
        </w:rPr>
        <w:t>成了紧张关系。</w:t>
      </w:r>
    </w:p>
    <w:p>
      <w:pPr>
        <w:ind w:right="48" w:firstLine="440"/>
        <w:spacing w:before="269" w:line="264" w:lineRule="auto"/>
        <w:rPr>
          <w:rFonts w:ascii="SimSun" w:hAnsi="SimSun" w:eastAsia="SimSun" w:cs="SimSun"/>
          <w:sz w:val="21"/>
          <w:szCs w:val="21"/>
        </w:rPr>
      </w:pPr>
      <w:r>
        <w:rPr>
          <w:rFonts w:ascii="SimSun" w:hAnsi="SimSun" w:eastAsia="SimSun" w:cs="SimSun"/>
          <w:sz w:val="21"/>
          <w:szCs w:val="21"/>
          <w:spacing w:val="-11"/>
        </w:rPr>
        <w:t>在这种情况下，应当坚持将反垄断和维护市场竞争的权力归于反</w:t>
      </w:r>
      <w:r>
        <w:rPr>
          <w:rFonts w:ascii="SimSun" w:hAnsi="SimSun" w:eastAsia="SimSun" w:cs="SimSun"/>
          <w:sz w:val="21"/>
          <w:szCs w:val="21"/>
          <w:spacing w:val="14"/>
        </w:rPr>
        <w:t xml:space="preserve"> </w:t>
      </w:r>
      <w:r>
        <w:rPr>
          <w:rFonts w:ascii="SimSun" w:hAnsi="SimSun" w:eastAsia="SimSun" w:cs="SimSun"/>
          <w:sz w:val="21"/>
          <w:szCs w:val="21"/>
          <w:spacing w:val="-13"/>
        </w:rPr>
        <w:t>垄断部门。 一方面，反垄断执法属于“宏观</w:t>
      </w:r>
      <w:r>
        <w:rPr>
          <w:rFonts w:ascii="SimSun" w:hAnsi="SimSun" w:eastAsia="SimSun" w:cs="SimSun"/>
          <w:sz w:val="21"/>
          <w:szCs w:val="21"/>
          <w:spacing w:val="-14"/>
        </w:rPr>
        <w:t>调控”执法，更注重市场</w:t>
      </w:r>
    </w:p>
    <w:p>
      <w:pPr>
        <w:spacing w:line="264" w:lineRule="auto"/>
        <w:sectPr>
          <w:headerReference w:type="default" r:id="rId573"/>
          <w:pgSz w:w="7330" w:h="12480"/>
          <w:pgMar w:top="507" w:right="634" w:bottom="400" w:left="619" w:header="345"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right="20"/>
        <w:spacing w:before="68" w:line="306" w:lineRule="auto"/>
        <w:jc w:val="both"/>
        <w:rPr>
          <w:rFonts w:ascii="SimSun" w:hAnsi="SimSun" w:eastAsia="SimSun" w:cs="SimSun"/>
          <w:sz w:val="21"/>
          <w:szCs w:val="21"/>
        </w:rPr>
      </w:pPr>
      <w:r>
        <w:rPr>
          <w:rFonts w:ascii="SimSun" w:hAnsi="SimSun" w:eastAsia="SimSun" w:cs="SimSun"/>
          <w:sz w:val="21"/>
          <w:szCs w:val="21"/>
          <w:spacing w:val="-10"/>
        </w:rPr>
        <w:t>结构、发展和竞争状态，更依赖于成本收益分</w:t>
      </w:r>
      <w:r>
        <w:rPr>
          <w:rFonts w:ascii="SimSun" w:hAnsi="SimSun" w:eastAsia="SimSun" w:cs="SimSun"/>
          <w:sz w:val="21"/>
          <w:szCs w:val="21"/>
          <w:spacing w:val="-11"/>
        </w:rPr>
        <w:t>析等专业的经济分析方 </w:t>
      </w:r>
      <w:r>
        <w:rPr>
          <w:rFonts w:ascii="SimSun" w:hAnsi="SimSun" w:eastAsia="SimSun" w:cs="SimSun"/>
          <w:sz w:val="21"/>
          <w:szCs w:val="21"/>
          <w:spacing w:val="-10"/>
        </w:rPr>
        <w:t>法，并且对企业竞争和公司组织的商业活动有更多更深入的理解。另</w:t>
      </w:r>
      <w:r>
        <w:rPr>
          <w:rFonts w:ascii="SimSun" w:hAnsi="SimSun" w:eastAsia="SimSun" w:cs="SimSun"/>
          <w:sz w:val="21"/>
          <w:szCs w:val="21"/>
          <w:spacing w:val="3"/>
        </w:rPr>
        <w:t xml:space="preserve"> </w:t>
      </w:r>
      <w:r>
        <w:rPr>
          <w:rFonts w:ascii="SimSun" w:hAnsi="SimSun" w:eastAsia="SimSun" w:cs="SimSun"/>
          <w:sz w:val="21"/>
          <w:szCs w:val="21"/>
          <w:spacing w:val="-10"/>
        </w:rPr>
        <w:t>一方面，我国的《反垄断法》已经完整地确</w:t>
      </w:r>
      <w:r>
        <w:rPr>
          <w:rFonts w:ascii="SimSun" w:hAnsi="SimSun" w:eastAsia="SimSun" w:cs="SimSun"/>
          <w:sz w:val="21"/>
          <w:szCs w:val="21"/>
          <w:spacing w:val="-11"/>
        </w:rPr>
        <w:t>立了其在规则和制度上约 </w:t>
      </w:r>
      <w:r>
        <w:rPr>
          <w:rFonts w:ascii="SimSun" w:hAnsi="SimSun" w:eastAsia="SimSun" w:cs="SimSun"/>
          <w:sz w:val="21"/>
          <w:szCs w:val="21"/>
          <w:spacing w:val="-10"/>
        </w:rPr>
        <w:t>束行政行为的地位和角色，包括行政垄断，已</w:t>
      </w:r>
      <w:r>
        <w:rPr>
          <w:rFonts w:ascii="SimSun" w:hAnsi="SimSun" w:eastAsia="SimSun" w:cs="SimSun"/>
          <w:sz w:val="21"/>
          <w:szCs w:val="21"/>
          <w:spacing w:val="-11"/>
        </w:rPr>
        <w:t>经被明确规定在了《反 </w:t>
      </w:r>
      <w:r>
        <w:rPr>
          <w:rFonts w:ascii="SimSun" w:hAnsi="SimSun" w:eastAsia="SimSun" w:cs="SimSun"/>
          <w:sz w:val="21"/>
          <w:szCs w:val="21"/>
          <w:spacing w:val="-4"/>
        </w:rPr>
        <w:t>垄断法》之中，以及《反垄断法(修正草案)》的公平竞争审查制度 </w:t>
      </w:r>
      <w:r>
        <w:rPr>
          <w:rFonts w:ascii="SimSun" w:hAnsi="SimSun" w:eastAsia="SimSun" w:cs="SimSun"/>
          <w:sz w:val="21"/>
          <w:szCs w:val="21"/>
          <w:spacing w:val="-10"/>
        </w:rPr>
        <w:t>之中；已经颁布的《优化营商环境条例》未能</w:t>
      </w:r>
      <w:r>
        <w:rPr>
          <w:rFonts w:ascii="SimSun" w:hAnsi="SimSun" w:eastAsia="SimSun" w:cs="SimSun"/>
          <w:sz w:val="21"/>
          <w:szCs w:val="21"/>
          <w:spacing w:val="-11"/>
        </w:rPr>
        <w:t>明确相应的实施、监督 </w:t>
      </w:r>
      <w:r>
        <w:rPr>
          <w:rFonts w:ascii="SimSun" w:hAnsi="SimSun" w:eastAsia="SimSun" w:cs="SimSun"/>
          <w:sz w:val="21"/>
          <w:szCs w:val="21"/>
          <w:spacing w:val="-8"/>
        </w:rPr>
        <w:t>和执法机关，但也可以有序、有机地结合《反垄断法》运用。因此，</w:t>
      </w:r>
      <w:r>
        <w:rPr>
          <w:rFonts w:ascii="SimSun" w:hAnsi="SimSun" w:eastAsia="SimSun" w:cs="SimSun"/>
          <w:sz w:val="21"/>
          <w:szCs w:val="21"/>
          <w:spacing w:val="4"/>
        </w:rPr>
        <w:t xml:space="preserve"> </w:t>
      </w:r>
      <w:r>
        <w:rPr>
          <w:rFonts w:ascii="SimSun" w:hAnsi="SimSun" w:eastAsia="SimSun" w:cs="SimSun"/>
          <w:sz w:val="21"/>
          <w:szCs w:val="21"/>
          <w:spacing w:val="-10"/>
        </w:rPr>
        <w:t>在这种情况下，其他执法或者监管机关要么将</w:t>
      </w:r>
      <w:r>
        <w:rPr>
          <w:rFonts w:ascii="SimSun" w:hAnsi="SimSun" w:eastAsia="SimSun" w:cs="SimSun"/>
          <w:sz w:val="21"/>
          <w:szCs w:val="21"/>
          <w:spacing w:val="-11"/>
        </w:rPr>
        <w:t>反垄断目标从其职权中 </w:t>
      </w:r>
      <w:r>
        <w:rPr>
          <w:rFonts w:ascii="SimSun" w:hAnsi="SimSun" w:eastAsia="SimSun" w:cs="SimSun"/>
          <w:sz w:val="21"/>
          <w:szCs w:val="21"/>
          <w:spacing w:val="-11"/>
        </w:rPr>
        <w:t>剥离，要么协调与反垄断执法机关之间的界限、分工和合作。</w:t>
      </w:r>
    </w:p>
    <w:p>
      <w:pPr>
        <w:ind w:firstLine="420"/>
        <w:spacing w:before="113" w:line="311" w:lineRule="auto"/>
        <w:jc w:val="both"/>
        <w:rPr>
          <w:rFonts w:ascii="SimSun" w:hAnsi="SimSun" w:eastAsia="SimSun" w:cs="SimSun"/>
          <w:sz w:val="21"/>
          <w:szCs w:val="21"/>
        </w:rPr>
      </w:pPr>
      <w:r>
        <w:rPr>
          <w:rFonts w:ascii="SimSun" w:hAnsi="SimSun" w:eastAsia="SimSun" w:cs="SimSun"/>
          <w:sz w:val="21"/>
          <w:szCs w:val="21"/>
          <w:spacing w:val="-11"/>
        </w:rPr>
        <w:t>就产业监管和反垄断的关系而言，在权力配置上，各国基于不同</w:t>
      </w:r>
      <w:r>
        <w:rPr>
          <w:rFonts w:ascii="SimSun" w:hAnsi="SimSun" w:eastAsia="SimSun" w:cs="SimSun"/>
          <w:sz w:val="21"/>
          <w:szCs w:val="21"/>
          <w:spacing w:val="2"/>
        </w:rPr>
        <w:t xml:space="preserve">  </w:t>
      </w:r>
      <w:r>
        <w:rPr>
          <w:rFonts w:ascii="SimSun" w:hAnsi="SimSun" w:eastAsia="SimSun" w:cs="SimSun"/>
          <w:sz w:val="21"/>
          <w:szCs w:val="21"/>
          <w:spacing w:val="-10"/>
        </w:rPr>
        <w:t>的法律模式以及历史背景，存在着不同的模式。按照学者周</w:t>
      </w:r>
      <w:r>
        <w:rPr>
          <w:rFonts w:ascii="SimSun" w:hAnsi="SimSun" w:eastAsia="SimSun" w:cs="SimSun"/>
          <w:sz w:val="21"/>
          <w:szCs w:val="21"/>
          <w:spacing w:val="-11"/>
        </w:rPr>
        <w:t>汉华的总</w:t>
      </w:r>
      <w:r>
        <w:rPr>
          <w:rFonts w:ascii="SimSun" w:hAnsi="SimSun" w:eastAsia="SimSun" w:cs="SimSun"/>
          <w:sz w:val="21"/>
          <w:szCs w:val="21"/>
        </w:rPr>
        <w:t xml:space="preserve">  </w:t>
      </w:r>
      <w:r>
        <w:rPr>
          <w:rFonts w:ascii="SimSun" w:hAnsi="SimSun" w:eastAsia="SimSun" w:cs="SimSun"/>
          <w:sz w:val="21"/>
          <w:szCs w:val="21"/>
          <w:spacing w:val="-11"/>
        </w:rPr>
        <w:t>结，可简化为三种模式。第一种，监管机构作为主要的反垄断执法机</w:t>
      </w:r>
      <w:r>
        <w:rPr>
          <w:rFonts w:ascii="SimSun" w:hAnsi="SimSun" w:eastAsia="SimSun" w:cs="SimSun"/>
          <w:sz w:val="21"/>
          <w:szCs w:val="21"/>
          <w:spacing w:val="8"/>
        </w:rPr>
        <w:t xml:space="preserve">  </w:t>
      </w:r>
      <w:r>
        <w:rPr>
          <w:rFonts w:ascii="SimSun" w:hAnsi="SimSun" w:eastAsia="SimSun" w:cs="SimSun"/>
          <w:sz w:val="21"/>
          <w:szCs w:val="21"/>
          <w:spacing w:val="-10"/>
        </w:rPr>
        <w:t>构，此种模式可以有效避免产业监管机构与反垄断机构</w:t>
      </w:r>
      <w:r>
        <w:rPr>
          <w:rFonts w:ascii="SimSun" w:hAnsi="SimSun" w:eastAsia="SimSun" w:cs="SimSun"/>
          <w:sz w:val="21"/>
          <w:szCs w:val="21"/>
          <w:spacing w:val="-11"/>
        </w:rPr>
        <w:t>意见不一致的</w:t>
      </w:r>
      <w:r>
        <w:rPr>
          <w:rFonts w:ascii="SimSun" w:hAnsi="SimSun" w:eastAsia="SimSun" w:cs="SimSun"/>
          <w:sz w:val="21"/>
          <w:szCs w:val="21"/>
        </w:rPr>
        <w:t xml:space="preserve">  </w:t>
      </w:r>
      <w:r>
        <w:rPr>
          <w:rFonts w:ascii="SimSun" w:hAnsi="SimSun" w:eastAsia="SimSun" w:cs="SimSun"/>
          <w:sz w:val="21"/>
          <w:szCs w:val="21"/>
          <w:spacing w:val="-11"/>
        </w:rPr>
        <w:t>情况，避免部门之间的重复执法。例如根据美国《克莱顿法》第7条，</w:t>
      </w:r>
      <w:r>
        <w:rPr>
          <w:rFonts w:ascii="SimSun" w:hAnsi="SimSun" w:eastAsia="SimSun" w:cs="SimSun"/>
          <w:sz w:val="21"/>
          <w:szCs w:val="21"/>
        </w:rPr>
        <w:t xml:space="preserve"> </w:t>
      </w:r>
      <w:r>
        <w:rPr>
          <w:rFonts w:ascii="SimSun" w:hAnsi="SimSun" w:eastAsia="SimSun" w:cs="SimSun"/>
          <w:sz w:val="21"/>
          <w:szCs w:val="21"/>
          <w:spacing w:val="-7"/>
        </w:rPr>
        <w:t>某些受到监管机构规制的交易可以免受反垄断机构的审查(例如美国</w:t>
      </w:r>
      <w:r>
        <w:rPr>
          <w:rFonts w:ascii="SimSun" w:hAnsi="SimSun" w:eastAsia="SimSun" w:cs="SimSun"/>
          <w:sz w:val="21"/>
          <w:szCs w:val="21"/>
          <w:spacing w:val="14"/>
        </w:rPr>
        <w:t xml:space="preserve"> </w:t>
      </w:r>
      <w:r>
        <w:rPr>
          <w:rFonts w:ascii="SimSun" w:hAnsi="SimSun" w:eastAsia="SimSun" w:cs="SimSun"/>
          <w:sz w:val="21"/>
          <w:szCs w:val="21"/>
          <w:spacing w:val="-6"/>
        </w:rPr>
        <w:t>证券交易委员会批准的交易)。最为典型的是联邦通信委员会</w:t>
      </w:r>
      <w:r>
        <w:rPr>
          <w:rFonts w:ascii="Times New Roman" w:hAnsi="Times New Roman" w:eastAsia="Times New Roman" w:cs="Times New Roman"/>
          <w:sz w:val="21"/>
          <w:szCs w:val="21"/>
          <w:spacing w:val="-6"/>
        </w:rPr>
        <w:t>(FCC)    </w:t>
      </w:r>
      <w:r>
        <w:rPr>
          <w:rFonts w:ascii="SimSun" w:hAnsi="SimSun" w:eastAsia="SimSun" w:cs="SimSun"/>
          <w:sz w:val="21"/>
          <w:szCs w:val="21"/>
          <w:spacing w:val="-14"/>
        </w:rPr>
        <w:t>的模式，即</w:t>
      </w:r>
      <w:r>
        <w:rPr>
          <w:rFonts w:ascii="Times New Roman" w:hAnsi="Times New Roman" w:eastAsia="Times New Roman" w:cs="Times New Roman"/>
          <w:sz w:val="21"/>
          <w:szCs w:val="21"/>
          <w:spacing w:val="-14"/>
        </w:rPr>
        <w:t>FCC</w:t>
      </w:r>
      <w:r>
        <w:rPr>
          <w:rFonts w:ascii="SimSun" w:hAnsi="SimSun" w:eastAsia="SimSun" w:cs="SimSun"/>
          <w:sz w:val="21"/>
          <w:szCs w:val="21"/>
          <w:spacing w:val="-14"/>
        </w:rPr>
        <w:t>对各地方市场的监管采用监管和反垄断两种模式。</w:t>
      </w:r>
      <w:r>
        <w:rPr>
          <w:rFonts w:ascii="SimSun" w:hAnsi="SimSun" w:eastAsia="SimSun" w:cs="SimSun"/>
          <w:sz w:val="21"/>
          <w:szCs w:val="21"/>
          <w:spacing w:val="42"/>
        </w:rPr>
        <w:t xml:space="preserve"> </w:t>
      </w:r>
      <w:r>
        <w:rPr>
          <w:rFonts w:ascii="SimSun" w:hAnsi="SimSun" w:eastAsia="SimSun" w:cs="SimSun"/>
          <w:sz w:val="21"/>
          <w:szCs w:val="21"/>
          <w:spacing w:val="-14"/>
        </w:rPr>
        <w:t>一</w:t>
      </w:r>
      <w:r>
        <w:rPr>
          <w:rFonts w:ascii="SimSun" w:hAnsi="SimSun" w:eastAsia="SimSun" w:cs="SimSun"/>
          <w:sz w:val="21"/>
          <w:szCs w:val="21"/>
        </w:rPr>
        <w:t xml:space="preserve">  </w:t>
      </w:r>
      <w:r>
        <w:rPr>
          <w:rFonts w:ascii="SimSun" w:hAnsi="SimSun" w:eastAsia="SimSun" w:cs="SimSun"/>
          <w:sz w:val="21"/>
          <w:szCs w:val="21"/>
          <w:spacing w:val="-10"/>
        </w:rPr>
        <w:t>个地方市场自行决定是采用价格和产业监管还</w:t>
      </w:r>
      <w:r>
        <w:rPr>
          <w:rFonts w:ascii="SimSun" w:hAnsi="SimSun" w:eastAsia="SimSun" w:cs="SimSun"/>
          <w:sz w:val="21"/>
          <w:szCs w:val="21"/>
          <w:spacing w:val="-11"/>
        </w:rPr>
        <w:t>是反垄断，当然，这也</w:t>
      </w:r>
      <w:r>
        <w:rPr>
          <w:rFonts w:ascii="SimSun" w:hAnsi="SimSun" w:eastAsia="SimSun" w:cs="SimSun"/>
          <w:sz w:val="21"/>
          <w:szCs w:val="21"/>
        </w:rPr>
        <w:t xml:space="preserve">  </w:t>
      </w:r>
      <w:r>
        <w:rPr>
          <w:rFonts w:ascii="SimSun" w:hAnsi="SimSun" w:eastAsia="SimSun" w:cs="SimSun"/>
          <w:sz w:val="21"/>
          <w:szCs w:val="21"/>
          <w:spacing w:val="-11"/>
        </w:rPr>
        <w:t>由该地的市场状况决定。</w:t>
      </w:r>
      <w:r>
        <w:rPr>
          <w:rFonts w:ascii="Times New Roman" w:hAnsi="Times New Roman" w:eastAsia="Times New Roman" w:cs="Times New Roman"/>
          <w:sz w:val="21"/>
          <w:szCs w:val="21"/>
          <w:spacing w:val="-11"/>
        </w:rPr>
        <w:t>FCC</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1"/>
        </w:rPr>
        <w:t>确立了基本框架规则，以保证该规则的</w:t>
      </w:r>
      <w:r>
        <w:rPr>
          <w:rFonts w:ascii="SimSun" w:hAnsi="SimSun" w:eastAsia="SimSun" w:cs="SimSun"/>
          <w:sz w:val="21"/>
          <w:szCs w:val="21"/>
        </w:rPr>
        <w:t xml:space="preserve">  </w:t>
      </w:r>
      <w:r>
        <w:rPr>
          <w:rFonts w:ascii="SimSun" w:hAnsi="SimSun" w:eastAsia="SimSun" w:cs="SimSun"/>
          <w:sz w:val="21"/>
          <w:szCs w:val="21"/>
          <w:spacing w:val="-11"/>
        </w:rPr>
        <w:t>实施。类似的还有美联储作为央行系统而进行的监管模式。这对监管</w:t>
      </w:r>
      <w:r>
        <w:rPr>
          <w:rFonts w:ascii="SimSun" w:hAnsi="SimSun" w:eastAsia="SimSun" w:cs="SimSun"/>
          <w:sz w:val="21"/>
          <w:szCs w:val="21"/>
        </w:rPr>
        <w:t xml:space="preserve">  </w:t>
      </w:r>
      <w:r>
        <w:rPr>
          <w:rFonts w:ascii="SimSun" w:hAnsi="SimSun" w:eastAsia="SimSun" w:cs="SimSun"/>
          <w:sz w:val="21"/>
          <w:szCs w:val="21"/>
          <w:spacing w:val="-11"/>
        </w:rPr>
        <w:t>者的市场竞争状态目标考量及监管能力提出了较高的要求，其</w:t>
      </w:r>
      <w:r>
        <w:rPr>
          <w:rFonts w:ascii="SimSun" w:hAnsi="SimSun" w:eastAsia="SimSun" w:cs="SimSun"/>
          <w:sz w:val="21"/>
          <w:szCs w:val="21"/>
          <w:spacing w:val="-12"/>
        </w:rPr>
        <w:t>中一个</w:t>
      </w:r>
      <w:r>
        <w:rPr>
          <w:rFonts w:ascii="SimSun" w:hAnsi="SimSun" w:eastAsia="SimSun" w:cs="SimSun"/>
          <w:sz w:val="21"/>
          <w:szCs w:val="21"/>
        </w:rPr>
        <w:t xml:space="preserve">  </w:t>
      </w:r>
      <w:r>
        <w:rPr>
          <w:rFonts w:ascii="SimSun" w:hAnsi="SimSun" w:eastAsia="SimSun" w:cs="SimSun"/>
          <w:sz w:val="21"/>
          <w:szCs w:val="21"/>
          <w:spacing w:val="-10"/>
        </w:rPr>
        <w:t>必要条件是监管部门不能仅仅使用行政许可或者市场准入</w:t>
      </w:r>
      <w:r>
        <w:rPr>
          <w:rFonts w:ascii="SimSun" w:hAnsi="SimSun" w:eastAsia="SimSun" w:cs="SimSun"/>
          <w:sz w:val="21"/>
          <w:szCs w:val="21"/>
          <w:spacing w:val="-11"/>
        </w:rPr>
        <w:t>的方法去调</w:t>
      </w:r>
      <w:r>
        <w:rPr>
          <w:rFonts w:ascii="SimSun" w:hAnsi="SimSun" w:eastAsia="SimSun" w:cs="SimSun"/>
          <w:sz w:val="21"/>
          <w:szCs w:val="21"/>
        </w:rPr>
        <w:t xml:space="preserve">  </w:t>
      </w:r>
      <w:r>
        <w:rPr>
          <w:rFonts w:ascii="SimSun" w:hAnsi="SimSun" w:eastAsia="SimSun" w:cs="SimSun"/>
          <w:sz w:val="21"/>
          <w:szCs w:val="21"/>
          <w:spacing w:val="-11"/>
        </w:rPr>
        <w:t>整市场竞争，而是应当对行为、产品质量、生产过程等进行全面的法</w:t>
      </w:r>
      <w:r>
        <w:rPr>
          <w:rFonts w:ascii="SimSun" w:hAnsi="SimSun" w:eastAsia="SimSun" w:cs="SimSun"/>
          <w:sz w:val="21"/>
          <w:szCs w:val="21"/>
          <w:spacing w:val="8"/>
        </w:rPr>
        <w:t xml:space="preserve">  </w:t>
      </w:r>
      <w:r>
        <w:rPr>
          <w:rFonts w:ascii="SimSun" w:hAnsi="SimSun" w:eastAsia="SimSun" w:cs="SimSun"/>
          <w:sz w:val="21"/>
          <w:szCs w:val="21"/>
          <w:spacing w:val="-10"/>
        </w:rPr>
        <w:t>律调整。第二种是随着新公共管理而出现的探</w:t>
      </w:r>
      <w:r>
        <w:rPr>
          <w:rFonts w:ascii="SimSun" w:hAnsi="SimSun" w:eastAsia="SimSun" w:cs="SimSun"/>
          <w:sz w:val="21"/>
          <w:szCs w:val="21"/>
          <w:spacing w:val="-11"/>
        </w:rPr>
        <w:t>索，提出废除产业监管</w:t>
      </w:r>
      <w:r>
        <w:rPr>
          <w:rFonts w:ascii="SimSun" w:hAnsi="SimSun" w:eastAsia="SimSun" w:cs="SimSun"/>
          <w:sz w:val="21"/>
          <w:szCs w:val="21"/>
        </w:rPr>
        <w:t xml:space="preserve">  </w:t>
      </w:r>
      <w:r>
        <w:rPr>
          <w:rFonts w:ascii="SimSun" w:hAnsi="SimSun" w:eastAsia="SimSun" w:cs="SimSun"/>
          <w:sz w:val="21"/>
          <w:szCs w:val="21"/>
          <w:spacing w:val="-11"/>
        </w:rPr>
        <w:t>机构，由反垄断机构行使监管。例如新西兰废除了产业监管机构，反</w:t>
      </w:r>
      <w:r>
        <w:rPr>
          <w:rFonts w:ascii="SimSun" w:hAnsi="SimSun" w:eastAsia="SimSun" w:cs="SimSun"/>
          <w:sz w:val="21"/>
          <w:szCs w:val="21"/>
          <w:spacing w:val="8"/>
        </w:rPr>
        <w:t xml:space="preserve">  </w:t>
      </w:r>
      <w:r>
        <w:rPr>
          <w:rFonts w:ascii="SimSun" w:hAnsi="SimSun" w:eastAsia="SimSun" w:cs="SimSun"/>
          <w:sz w:val="21"/>
          <w:szCs w:val="21"/>
          <w:spacing w:val="-14"/>
        </w:rPr>
        <w:t>垄断机构集反垄断权与监管权于一身。当然，这符合回应型法的情形，</w:t>
      </w:r>
      <w:r>
        <w:rPr>
          <w:rFonts w:ascii="SimSun" w:hAnsi="SimSun" w:eastAsia="SimSun" w:cs="SimSun"/>
          <w:sz w:val="21"/>
          <w:szCs w:val="21"/>
          <w:spacing w:val="8"/>
        </w:rPr>
        <w:t xml:space="preserve"> </w:t>
      </w:r>
      <w:r>
        <w:rPr>
          <w:rFonts w:ascii="SimSun" w:hAnsi="SimSun" w:eastAsia="SimSun" w:cs="SimSun"/>
          <w:sz w:val="21"/>
          <w:szCs w:val="21"/>
          <w:spacing w:val="-10"/>
        </w:rPr>
        <w:t>但是其效果还有待进一步观察，毕竟这样的实践比较少。第三种</w:t>
      </w:r>
      <w:r>
        <w:rPr>
          <w:rFonts w:ascii="SimSun" w:hAnsi="SimSun" w:eastAsia="SimSun" w:cs="SimSun"/>
          <w:sz w:val="21"/>
          <w:szCs w:val="21"/>
          <w:spacing w:val="-11"/>
        </w:rPr>
        <w:t>是大</w:t>
      </w:r>
    </w:p>
    <w:p>
      <w:pPr>
        <w:spacing w:line="311" w:lineRule="auto"/>
        <w:sectPr>
          <w:headerReference w:type="default" r:id="rId574"/>
          <w:pgSz w:w="7330" w:h="12480"/>
          <w:pgMar w:top="819" w:right="674" w:bottom="400" w:left="569" w:header="653" w:footer="0" w:gutter="0"/>
        </w:sectPr>
        <w:rPr>
          <w:rFonts w:ascii="SimSun" w:hAnsi="SimSun" w:eastAsia="SimSun" w:cs="SimSun"/>
          <w:sz w:val="21"/>
          <w:szCs w:val="2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9"/>
        <w:spacing w:before="68" w:line="303" w:lineRule="auto"/>
        <w:jc w:val="both"/>
        <w:rPr>
          <w:rFonts w:ascii="SimSun" w:hAnsi="SimSun" w:eastAsia="SimSun" w:cs="SimSun"/>
          <w:sz w:val="21"/>
          <w:szCs w:val="21"/>
        </w:rPr>
      </w:pPr>
      <w:r>
        <w:rPr>
          <w:rFonts w:ascii="SimSun" w:hAnsi="SimSun" w:eastAsia="SimSun" w:cs="SimSun"/>
          <w:sz w:val="21"/>
          <w:szCs w:val="21"/>
          <w:spacing w:val="-11"/>
        </w:rPr>
        <w:t>多数国家采用的方式，但存在着两种机构能力和权限的不同组合。反 </w:t>
      </w:r>
      <w:r>
        <w:rPr>
          <w:rFonts w:ascii="SimSun" w:hAnsi="SimSun" w:eastAsia="SimSun" w:cs="SimSun"/>
          <w:sz w:val="21"/>
          <w:szCs w:val="21"/>
          <w:spacing w:val="-11"/>
        </w:rPr>
        <w:t>垄断机构与监管机构分权型的合作机制是指反垄断机构与监管机构各 </w:t>
      </w:r>
      <w:r>
        <w:rPr>
          <w:rFonts w:ascii="SimSun" w:hAnsi="SimSun" w:eastAsia="SimSun" w:cs="SimSun"/>
          <w:sz w:val="21"/>
          <w:szCs w:val="21"/>
          <w:spacing w:val="-15"/>
        </w:rPr>
        <w:t>自行使自己的职权，反垄断机构执行反垄断法</w:t>
      </w:r>
      <w:r>
        <w:rPr>
          <w:rFonts w:ascii="SimSun" w:hAnsi="SimSun" w:eastAsia="SimSun" w:cs="SimSun"/>
          <w:sz w:val="21"/>
          <w:szCs w:val="21"/>
          <w:spacing w:val="-16"/>
        </w:rPr>
        <w:t>律，监管机构执行监管。</w:t>
      </w:r>
      <w:r>
        <w:rPr>
          <w:rFonts w:ascii="SimSun" w:hAnsi="SimSun" w:eastAsia="SimSun" w:cs="SimSun"/>
          <w:sz w:val="21"/>
          <w:szCs w:val="21"/>
        </w:rPr>
        <w:t xml:space="preserve"> </w:t>
      </w:r>
      <w:r>
        <w:rPr>
          <w:rFonts w:ascii="SimSun" w:hAnsi="SimSun" w:eastAsia="SimSun" w:cs="SimSun"/>
          <w:sz w:val="21"/>
          <w:szCs w:val="21"/>
          <w:spacing w:val="-11"/>
        </w:rPr>
        <w:t>在基础设施产业，这种模式应该是最基本的。经营者既要受到反垄断 </w:t>
      </w:r>
      <w:r>
        <w:rPr>
          <w:rFonts w:ascii="SimSun" w:hAnsi="SimSun" w:eastAsia="SimSun" w:cs="SimSun"/>
          <w:sz w:val="21"/>
          <w:szCs w:val="21"/>
          <w:spacing w:val="-11"/>
        </w:rPr>
        <w:t>法的规范，同时也要受到监管机构的监管，经营者不能因为受到监管 </w:t>
      </w:r>
      <w:r>
        <w:rPr>
          <w:rFonts w:ascii="SimSun" w:hAnsi="SimSun" w:eastAsia="SimSun" w:cs="SimSun"/>
          <w:sz w:val="21"/>
          <w:szCs w:val="21"/>
          <w:spacing w:val="-11"/>
        </w:rPr>
        <w:t>机构的监管就享受反垄断豁免。但是这种模式的问题在于可能会造成 </w:t>
      </w:r>
      <w:r>
        <w:rPr>
          <w:rFonts w:ascii="SimSun" w:hAnsi="SimSun" w:eastAsia="SimSun" w:cs="SimSun"/>
          <w:sz w:val="21"/>
          <w:szCs w:val="21"/>
          <w:spacing w:val="-15"/>
        </w:rPr>
        <w:t>重叠执法，区分两者又会造成目标冲突，还会造成理论上的重大争议。</w:t>
      </w:r>
    </w:p>
    <w:p>
      <w:pPr>
        <w:ind w:left="29" w:right="53" w:firstLine="399"/>
        <w:spacing w:before="115" w:line="304" w:lineRule="auto"/>
        <w:jc w:val="both"/>
        <w:rPr>
          <w:rFonts w:ascii="SimSun" w:hAnsi="SimSun" w:eastAsia="SimSun" w:cs="SimSun"/>
          <w:sz w:val="21"/>
          <w:szCs w:val="21"/>
        </w:rPr>
      </w:pPr>
      <w:r>
        <w:rPr>
          <w:rFonts w:ascii="SimSun" w:hAnsi="SimSun" w:eastAsia="SimSun" w:cs="SimSun"/>
          <w:sz w:val="21"/>
          <w:szCs w:val="21"/>
          <w:spacing w:val="-16"/>
        </w:rPr>
        <w:t>我国的情况非常特殊，</w:t>
      </w:r>
      <w:r>
        <w:rPr>
          <w:rFonts w:ascii="SimSun" w:hAnsi="SimSun" w:eastAsia="SimSun" w:cs="SimSun"/>
          <w:sz w:val="21"/>
          <w:szCs w:val="21"/>
          <w:spacing w:val="50"/>
        </w:rPr>
        <w:t xml:space="preserve"> </w:t>
      </w:r>
      <w:r>
        <w:rPr>
          <w:rFonts w:ascii="SimSun" w:hAnsi="SimSun" w:eastAsia="SimSun" w:cs="SimSun"/>
          <w:sz w:val="21"/>
          <w:szCs w:val="21"/>
          <w:spacing w:val="-16"/>
        </w:rPr>
        <w:t>一方面，传统经济体制转轨而来的产业政</w:t>
      </w:r>
      <w:r>
        <w:rPr>
          <w:rFonts w:ascii="SimSun" w:hAnsi="SimSun" w:eastAsia="SimSun" w:cs="SimSun"/>
          <w:sz w:val="21"/>
          <w:szCs w:val="21"/>
        </w:rPr>
        <w:t xml:space="preserve"> </w:t>
      </w:r>
      <w:r>
        <w:rPr>
          <w:rFonts w:ascii="SimSun" w:hAnsi="SimSun" w:eastAsia="SimSun" w:cs="SimSun"/>
          <w:sz w:val="21"/>
          <w:szCs w:val="21"/>
          <w:spacing w:val="-10"/>
        </w:rPr>
        <w:t>策占据了经济政策的主导地位，产业监管部门</w:t>
      </w:r>
      <w:r>
        <w:rPr>
          <w:rFonts w:ascii="SimSun" w:hAnsi="SimSun" w:eastAsia="SimSun" w:cs="SimSun"/>
          <w:sz w:val="21"/>
          <w:szCs w:val="21"/>
          <w:spacing w:val="-11"/>
        </w:rPr>
        <w:t>在其中扮演的角色非常</w:t>
      </w:r>
      <w:r>
        <w:rPr>
          <w:rFonts w:ascii="SimSun" w:hAnsi="SimSun" w:eastAsia="SimSun" w:cs="SimSun"/>
          <w:sz w:val="21"/>
          <w:szCs w:val="21"/>
        </w:rPr>
        <w:t xml:space="preserve"> </w:t>
      </w:r>
      <w:r>
        <w:rPr>
          <w:rFonts w:ascii="SimSun" w:hAnsi="SimSun" w:eastAsia="SimSun" w:cs="SimSun"/>
          <w:sz w:val="21"/>
          <w:szCs w:val="21"/>
          <w:spacing w:val="-10"/>
        </w:rPr>
        <w:t>复杂，不仅是市场的监管者，更多时候是市场的</w:t>
      </w:r>
      <w:r>
        <w:rPr>
          <w:rFonts w:ascii="SimSun" w:hAnsi="SimSun" w:eastAsia="SimSun" w:cs="SimSun"/>
          <w:sz w:val="21"/>
          <w:szCs w:val="21"/>
          <w:spacing w:val="-11"/>
        </w:rPr>
        <w:t>培育者和发展者，比</w:t>
      </w:r>
      <w:r>
        <w:rPr>
          <w:rFonts w:ascii="SimSun" w:hAnsi="SimSun" w:eastAsia="SimSun" w:cs="SimSun"/>
          <w:sz w:val="21"/>
          <w:szCs w:val="21"/>
        </w:rPr>
        <w:t xml:space="preserve"> </w:t>
      </w:r>
      <w:r>
        <w:rPr>
          <w:rFonts w:ascii="SimSun" w:hAnsi="SimSun" w:eastAsia="SimSun" w:cs="SimSun"/>
          <w:sz w:val="21"/>
          <w:szCs w:val="21"/>
          <w:spacing w:val="-11"/>
        </w:rPr>
        <w:t>如交通运输部长期以来属于产品的规划者。另一方面，从法律规则来</w:t>
      </w:r>
      <w:r>
        <w:rPr>
          <w:rFonts w:ascii="SimSun" w:hAnsi="SimSun" w:eastAsia="SimSun" w:cs="SimSun"/>
          <w:sz w:val="21"/>
          <w:szCs w:val="21"/>
          <w:spacing w:val="17"/>
        </w:rPr>
        <w:t xml:space="preserve"> </w:t>
      </w:r>
      <w:r>
        <w:rPr>
          <w:rFonts w:ascii="SimSun" w:hAnsi="SimSun" w:eastAsia="SimSun" w:cs="SimSun"/>
          <w:sz w:val="21"/>
          <w:szCs w:val="21"/>
          <w:spacing w:val="-10"/>
        </w:rPr>
        <w:t>看，《反垄断法》被赋予了最大权限，法律</w:t>
      </w:r>
      <w:r>
        <w:rPr>
          <w:rFonts w:ascii="SimSun" w:hAnsi="SimSun" w:eastAsia="SimSun" w:cs="SimSun"/>
          <w:sz w:val="21"/>
          <w:szCs w:val="21"/>
          <w:spacing w:val="-11"/>
        </w:rPr>
        <w:t>条文并没有对实施领域有</w:t>
      </w:r>
      <w:r>
        <w:rPr>
          <w:rFonts w:ascii="SimSun" w:hAnsi="SimSun" w:eastAsia="SimSun" w:cs="SimSun"/>
          <w:sz w:val="21"/>
          <w:szCs w:val="21"/>
        </w:rPr>
        <w:t xml:space="preserve"> </w:t>
      </w:r>
      <w:r>
        <w:rPr>
          <w:rFonts w:ascii="SimSun" w:hAnsi="SimSun" w:eastAsia="SimSun" w:cs="SimSun"/>
          <w:sz w:val="21"/>
          <w:szCs w:val="21"/>
          <w:spacing w:val="-10"/>
        </w:rPr>
        <w:t>实际限制，还配置了反行政垄断和公平竞争审查的权力，但是现实中</w:t>
      </w:r>
      <w:r>
        <w:rPr>
          <w:rFonts w:ascii="SimSun" w:hAnsi="SimSun" w:eastAsia="SimSun" w:cs="SimSun"/>
          <w:sz w:val="21"/>
          <w:szCs w:val="21"/>
        </w:rPr>
        <w:t xml:space="preserve"> </w:t>
      </w:r>
      <w:r>
        <w:rPr>
          <w:rFonts w:ascii="SimSun" w:hAnsi="SimSun" w:eastAsia="SimSun" w:cs="SimSun"/>
          <w:sz w:val="21"/>
          <w:szCs w:val="21"/>
          <w:spacing w:val="-11"/>
        </w:rPr>
        <w:t>的机构配置和权限及其在政府机关中的序列和地位与这种名义上的权</w:t>
      </w:r>
      <w:r>
        <w:rPr>
          <w:rFonts w:ascii="SimSun" w:hAnsi="SimSun" w:eastAsia="SimSun" w:cs="SimSun"/>
          <w:sz w:val="21"/>
          <w:szCs w:val="21"/>
          <w:spacing w:val="16"/>
        </w:rPr>
        <w:t xml:space="preserve"> </w:t>
      </w:r>
      <w:r>
        <w:rPr>
          <w:rFonts w:ascii="SimSun" w:hAnsi="SimSun" w:eastAsia="SimSun" w:cs="SimSun"/>
          <w:sz w:val="21"/>
          <w:szCs w:val="21"/>
          <w:spacing w:val="-10"/>
        </w:rPr>
        <w:t>力并不对等。</w:t>
      </w:r>
    </w:p>
    <w:p>
      <w:pPr>
        <w:ind w:left="29" w:right="58" w:firstLine="399"/>
        <w:spacing w:before="110" w:line="295" w:lineRule="auto"/>
        <w:jc w:val="both"/>
        <w:rPr>
          <w:rFonts w:ascii="SimSun" w:hAnsi="SimSun" w:eastAsia="SimSun" w:cs="SimSun"/>
          <w:sz w:val="21"/>
          <w:szCs w:val="21"/>
        </w:rPr>
      </w:pPr>
      <w:r>
        <w:rPr>
          <w:rFonts w:ascii="SimSun" w:hAnsi="SimSun" w:eastAsia="SimSun" w:cs="SimSun"/>
          <w:sz w:val="21"/>
          <w:szCs w:val="21"/>
          <w:spacing w:val="-11"/>
        </w:rPr>
        <w:t>随着平台经济的发展，大型科技平台开始淡化行业、产业链条之</w:t>
      </w:r>
      <w:r>
        <w:rPr>
          <w:rFonts w:ascii="SimSun" w:hAnsi="SimSun" w:eastAsia="SimSun" w:cs="SimSun"/>
          <w:sz w:val="21"/>
          <w:szCs w:val="21"/>
          <w:spacing w:val="14"/>
        </w:rPr>
        <w:t xml:space="preserve"> </w:t>
      </w:r>
      <w:r>
        <w:rPr>
          <w:rFonts w:ascii="SimSun" w:hAnsi="SimSun" w:eastAsia="SimSun" w:cs="SimSun"/>
          <w:sz w:val="21"/>
          <w:szCs w:val="21"/>
          <w:spacing w:val="-10"/>
        </w:rPr>
        <w:t>间的关系，挑战传统的产业监管部门之间的界限，更挑战</w:t>
      </w:r>
      <w:r>
        <w:rPr>
          <w:rFonts w:ascii="SimSun" w:hAnsi="SimSun" w:eastAsia="SimSun" w:cs="SimSun"/>
          <w:sz w:val="21"/>
          <w:szCs w:val="21"/>
          <w:spacing w:val="-11"/>
        </w:rPr>
        <w:t>产业监管和</w:t>
      </w:r>
      <w:r>
        <w:rPr>
          <w:rFonts w:ascii="SimSun" w:hAnsi="SimSun" w:eastAsia="SimSun" w:cs="SimSun"/>
          <w:sz w:val="21"/>
          <w:szCs w:val="21"/>
        </w:rPr>
        <w:t xml:space="preserve"> </w:t>
      </w:r>
      <w:r>
        <w:rPr>
          <w:rFonts w:ascii="SimSun" w:hAnsi="SimSun" w:eastAsia="SimSun" w:cs="SimSun"/>
          <w:sz w:val="21"/>
          <w:szCs w:val="21"/>
          <w:spacing w:val="-11"/>
        </w:rPr>
        <w:t>反垄断之间的关系。对此我们认为：第一，应当制定数字经济法，确</w:t>
      </w:r>
      <w:r>
        <w:rPr>
          <w:rFonts w:ascii="SimSun" w:hAnsi="SimSun" w:eastAsia="SimSun" w:cs="SimSun"/>
          <w:sz w:val="21"/>
          <w:szCs w:val="21"/>
          <w:spacing w:val="9"/>
        </w:rPr>
        <w:t xml:space="preserve"> </w:t>
      </w:r>
      <w:r>
        <w:rPr>
          <w:rFonts w:ascii="SimSun" w:hAnsi="SimSun" w:eastAsia="SimSun" w:cs="SimSun"/>
          <w:sz w:val="21"/>
          <w:szCs w:val="21"/>
          <w:spacing w:val="-10"/>
        </w:rPr>
        <w:t>立一个统一的监管和反垄断融合的新模式；第二，将</w:t>
      </w:r>
      <w:r>
        <w:rPr>
          <w:rFonts w:ascii="SimSun" w:hAnsi="SimSun" w:eastAsia="SimSun" w:cs="SimSun"/>
          <w:sz w:val="21"/>
          <w:szCs w:val="21"/>
          <w:spacing w:val="-11"/>
        </w:rPr>
        <w:t>反垄断作为最后</w:t>
      </w:r>
      <w:r>
        <w:rPr>
          <w:rFonts w:ascii="SimSun" w:hAnsi="SimSun" w:eastAsia="SimSun" w:cs="SimSun"/>
          <w:sz w:val="21"/>
          <w:szCs w:val="21"/>
        </w:rPr>
        <w:t xml:space="preserve"> </w:t>
      </w:r>
      <w:r>
        <w:rPr>
          <w:rFonts w:ascii="SimSun" w:hAnsi="SimSun" w:eastAsia="SimSun" w:cs="SimSun"/>
          <w:sz w:val="21"/>
          <w:szCs w:val="21"/>
          <w:spacing w:val="-11"/>
        </w:rPr>
        <w:t>的调整模式，即确立反垄断执法更高的、更统一的定位；第三，在特</w:t>
      </w:r>
      <w:r>
        <w:rPr>
          <w:rFonts w:ascii="SimSun" w:hAnsi="SimSun" w:eastAsia="SimSun" w:cs="SimSun"/>
          <w:sz w:val="21"/>
          <w:szCs w:val="21"/>
          <w:spacing w:val="16"/>
        </w:rPr>
        <w:t xml:space="preserve"> </w:t>
      </w:r>
      <w:r>
        <w:rPr>
          <w:rFonts w:ascii="SimSun" w:hAnsi="SimSun" w:eastAsia="SimSun" w:cs="SimSun"/>
          <w:sz w:val="21"/>
          <w:szCs w:val="21"/>
          <w:spacing w:val="-11"/>
        </w:rPr>
        <w:t>定的金融、文化领域，可以探索培养更有能力实施包括市场竞争目标</w:t>
      </w:r>
      <w:r>
        <w:rPr>
          <w:rFonts w:ascii="SimSun" w:hAnsi="SimSun" w:eastAsia="SimSun" w:cs="SimSun"/>
          <w:sz w:val="21"/>
          <w:szCs w:val="21"/>
          <w:spacing w:val="16"/>
        </w:rPr>
        <w:t xml:space="preserve"> </w:t>
      </w:r>
      <w:r>
        <w:rPr>
          <w:rFonts w:ascii="SimSun" w:hAnsi="SimSun" w:eastAsia="SimSun" w:cs="SimSun"/>
          <w:sz w:val="21"/>
          <w:szCs w:val="21"/>
          <w:spacing w:val="-11"/>
        </w:rPr>
        <w:t>在内的回应型监管。</w:t>
      </w:r>
    </w:p>
    <w:p>
      <w:pPr>
        <w:pStyle w:val="BodyText"/>
        <w:spacing w:line="443" w:lineRule="auto"/>
        <w:rPr/>
      </w:pPr>
      <w:r/>
    </w:p>
    <w:p>
      <w:pPr>
        <w:ind w:left="33"/>
        <w:spacing w:before="81" w:line="222" w:lineRule="auto"/>
        <w:rPr>
          <w:rFonts w:ascii="SimHei" w:hAnsi="SimHei" w:eastAsia="SimHei" w:cs="SimHei"/>
          <w:sz w:val="25"/>
          <w:szCs w:val="25"/>
        </w:rPr>
      </w:pPr>
      <w:r>
        <w:rPr>
          <w:rFonts w:ascii="SimHei" w:hAnsi="SimHei" w:eastAsia="SimHei" w:cs="SimHei"/>
          <w:sz w:val="25"/>
          <w:szCs w:val="25"/>
          <w:b/>
          <w:bCs/>
          <w:spacing w:val="-14"/>
        </w:rPr>
        <w:t>多目标监管与自律监管</w:t>
      </w:r>
    </w:p>
    <w:p>
      <w:pPr>
        <w:pStyle w:val="BodyText"/>
        <w:spacing w:line="359" w:lineRule="auto"/>
        <w:rPr/>
      </w:pPr>
      <w:r/>
    </w:p>
    <w:p>
      <w:pPr>
        <w:ind w:left="432"/>
        <w:spacing w:before="69" w:line="219" w:lineRule="auto"/>
        <w:rPr>
          <w:rFonts w:ascii="SimSun" w:hAnsi="SimSun" w:eastAsia="SimSun" w:cs="SimSun"/>
          <w:sz w:val="21"/>
          <w:szCs w:val="21"/>
        </w:rPr>
      </w:pPr>
      <w:r>
        <w:rPr>
          <w:rFonts w:ascii="SimSun" w:hAnsi="SimSun" w:eastAsia="SimSun" w:cs="SimSun"/>
          <w:sz w:val="21"/>
          <w:szCs w:val="21"/>
          <w:b/>
          <w:bCs/>
          <w:spacing w:val="-10"/>
        </w:rPr>
        <w:t>多目标监管</w:t>
      </w:r>
    </w:p>
    <w:p>
      <w:pPr>
        <w:ind w:left="429"/>
        <w:spacing w:before="103" w:line="219" w:lineRule="auto"/>
        <w:rPr>
          <w:rFonts w:ascii="SimSun" w:hAnsi="SimSun" w:eastAsia="SimSun" w:cs="SimSun"/>
          <w:sz w:val="21"/>
          <w:szCs w:val="21"/>
        </w:rPr>
      </w:pPr>
      <w:r>
        <w:rPr>
          <w:rFonts w:ascii="SimSun" w:hAnsi="SimSun" w:eastAsia="SimSun" w:cs="SimSun"/>
          <w:sz w:val="21"/>
          <w:szCs w:val="21"/>
          <w:spacing w:val="-10"/>
        </w:rPr>
        <w:t>多目标监管源于金融业，是指对被监管方的多重监管，例如我国</w:t>
      </w:r>
    </w:p>
    <w:p>
      <w:pPr>
        <w:spacing w:line="219" w:lineRule="auto"/>
        <w:sectPr>
          <w:headerReference w:type="default" r:id="rId575"/>
          <w:pgSz w:w="7330" w:h="12480"/>
          <w:pgMar w:top="519" w:right="634" w:bottom="400" w:left="610" w:header="353" w:footer="0" w:gutter="0"/>
        </w:sectPr>
        <w:rPr>
          <w:rFonts w:ascii="SimSun" w:hAnsi="SimSun" w:eastAsia="SimSun" w:cs="SimSun"/>
          <w:sz w:val="21"/>
          <w:szCs w:val="21"/>
        </w:rPr>
      </w:pPr>
    </w:p>
    <w:p>
      <w:pPr>
        <w:pStyle w:val="BodyText"/>
        <w:spacing w:line="251" w:lineRule="auto"/>
        <w:rPr/>
      </w:pPr>
      <w:r>
        <w:drawing>
          <wp:anchor distT="0" distB="0" distL="0" distR="0" simplePos="0" relativeHeight="256650240" behindDoc="0" locked="0" layoutInCell="0" allowOverlap="1">
            <wp:simplePos x="0" y="0"/>
            <wp:positionH relativeFrom="page">
              <wp:posOffset>387351</wp:posOffset>
            </wp:positionH>
            <wp:positionV relativeFrom="page">
              <wp:posOffset>6883397</wp:posOffset>
            </wp:positionV>
            <wp:extent cx="1168384" cy="6350"/>
            <wp:effectExtent l="0" t="0" r="0" b="0"/>
            <wp:wrapNone/>
            <wp:docPr id="436" name="IM 436"/>
            <wp:cNvGraphicFramePr/>
            <a:graphic>
              <a:graphicData uri="http://schemas.openxmlformats.org/drawingml/2006/picture">
                <pic:pic>
                  <pic:nvPicPr>
                    <pic:cNvPr id="436" name="IM 436"/>
                    <pic:cNvPicPr/>
                  </pic:nvPicPr>
                  <pic:blipFill>
                    <a:blip r:embed="rId577"/>
                    <a:stretch>
                      <a:fillRect/>
                    </a:stretch>
                  </pic:blipFill>
                  <pic:spPr>
                    <a:xfrm rot="0">
                      <a:off x="0" y="0"/>
                      <a:ext cx="1168384" cy="6350"/>
                    </a:xfrm>
                    <a:prstGeom prst="rect">
                      <a:avLst/>
                    </a:prstGeom>
                  </pic:spPr>
                </pic:pic>
              </a:graphicData>
            </a:graphic>
          </wp:anchor>
        </w:drawing>
      </w:r>
      <w:r/>
    </w:p>
    <w:p>
      <w:pPr>
        <w:pStyle w:val="BodyText"/>
        <w:spacing w:line="251" w:lineRule="auto"/>
        <w:rPr/>
      </w:pPr>
      <w:r/>
    </w:p>
    <w:p>
      <w:pPr>
        <w:pStyle w:val="BodyText"/>
        <w:spacing w:line="251" w:lineRule="auto"/>
        <w:rPr/>
      </w:pPr>
      <w:r/>
    </w:p>
    <w:p>
      <w:pPr>
        <w:pStyle w:val="BodyText"/>
        <w:spacing w:line="252" w:lineRule="auto"/>
        <w:rPr/>
      </w:pPr>
      <w:r/>
    </w:p>
    <w:p>
      <w:pPr>
        <w:ind w:left="105" w:right="87"/>
        <w:spacing w:before="68" w:line="284" w:lineRule="auto"/>
        <w:jc w:val="both"/>
        <w:rPr>
          <w:rFonts w:ascii="SimSun" w:hAnsi="SimSun" w:eastAsia="SimSun" w:cs="SimSun"/>
          <w:sz w:val="21"/>
          <w:szCs w:val="21"/>
        </w:rPr>
      </w:pPr>
      <w:r>
        <w:rPr>
          <w:rFonts w:ascii="SimSun" w:hAnsi="SimSun" w:eastAsia="SimSun" w:cs="SimSun"/>
          <w:sz w:val="21"/>
          <w:szCs w:val="21"/>
          <w:spacing w:val="-11"/>
        </w:rPr>
        <w:t>对保险行业的监管属于证券监管和金融监管的叠加，是最严格的监管</w:t>
      </w:r>
      <w:r>
        <w:rPr>
          <w:rFonts w:ascii="SimSun" w:hAnsi="SimSun" w:eastAsia="SimSun" w:cs="SimSun"/>
          <w:sz w:val="21"/>
          <w:szCs w:val="21"/>
          <w:spacing w:val="9"/>
        </w:rPr>
        <w:t xml:space="preserve"> </w:t>
      </w:r>
      <w:r>
        <w:rPr>
          <w:rFonts w:ascii="SimSun" w:hAnsi="SimSun" w:eastAsia="SimSun" w:cs="SimSun"/>
          <w:sz w:val="21"/>
          <w:szCs w:val="21"/>
          <w:spacing w:val="-11"/>
        </w:rPr>
        <w:t>模式。我国目前逐渐在事实上形成了规制与反垄断的叠加监管，重点</w:t>
      </w:r>
      <w:r>
        <w:rPr>
          <w:rFonts w:ascii="SimSun" w:hAnsi="SimSun" w:eastAsia="SimSun" w:cs="SimSun"/>
          <w:sz w:val="21"/>
          <w:szCs w:val="21"/>
          <w:spacing w:val="16"/>
        </w:rPr>
        <w:t xml:space="preserve"> </w:t>
      </w:r>
      <w:r>
        <w:rPr>
          <w:rFonts w:ascii="SimSun" w:hAnsi="SimSun" w:eastAsia="SimSun" w:cs="SimSun"/>
          <w:sz w:val="21"/>
          <w:szCs w:val="21"/>
          <w:spacing w:val="-11"/>
        </w:rPr>
        <w:t>表现为从事公共事业的企业、国有企业被纳入反垄断的监管范畴。</w:t>
      </w:r>
    </w:p>
    <w:p>
      <w:pPr>
        <w:ind w:left="105" w:right="47" w:firstLine="420"/>
        <w:spacing w:before="107" w:line="306" w:lineRule="auto"/>
        <w:jc w:val="both"/>
        <w:rPr>
          <w:rFonts w:ascii="SimSun" w:hAnsi="SimSun" w:eastAsia="SimSun" w:cs="SimSun"/>
          <w:sz w:val="21"/>
          <w:szCs w:val="21"/>
        </w:rPr>
      </w:pPr>
      <w:r>
        <w:rPr>
          <w:rFonts w:ascii="SimSun" w:hAnsi="SimSun" w:eastAsia="SimSun" w:cs="SimSun"/>
          <w:sz w:val="21"/>
          <w:szCs w:val="21"/>
          <w:spacing w:val="-10"/>
        </w:rPr>
        <w:t>传统认为规制多适用于公共事业领域，这些领域享有反垄断的豁</w:t>
      </w:r>
      <w:r>
        <w:rPr>
          <w:rFonts w:ascii="SimSun" w:hAnsi="SimSun" w:eastAsia="SimSun" w:cs="SimSun"/>
          <w:sz w:val="21"/>
          <w:szCs w:val="21"/>
          <w:spacing w:val="6"/>
        </w:rPr>
        <w:t xml:space="preserve"> </w:t>
      </w:r>
      <w:r>
        <w:rPr>
          <w:rFonts w:ascii="SimSun" w:hAnsi="SimSun" w:eastAsia="SimSun" w:cs="SimSun"/>
          <w:sz w:val="21"/>
          <w:szCs w:val="21"/>
          <w:spacing w:val="-10"/>
        </w:rPr>
        <w:t>免，由专门的监管机构监管。我国对国有企业实行多头监管，</w:t>
      </w:r>
      <w:r>
        <w:rPr>
          <w:rFonts w:ascii="SimSun" w:hAnsi="SimSun" w:eastAsia="SimSun" w:cs="SimSun"/>
          <w:sz w:val="21"/>
          <w:szCs w:val="21"/>
          <w:spacing w:val="-11"/>
        </w:rPr>
        <w:t>国有企</w:t>
      </w:r>
      <w:r>
        <w:rPr>
          <w:rFonts w:ascii="SimSun" w:hAnsi="SimSun" w:eastAsia="SimSun" w:cs="SimSun"/>
          <w:sz w:val="21"/>
          <w:szCs w:val="21"/>
        </w:rPr>
        <w:t xml:space="preserve"> </w:t>
      </w:r>
      <w:r>
        <w:rPr>
          <w:rFonts w:ascii="SimSun" w:hAnsi="SimSun" w:eastAsia="SimSun" w:cs="SimSun"/>
          <w:sz w:val="21"/>
          <w:szCs w:val="21"/>
          <w:spacing w:val="-11"/>
        </w:rPr>
        <w:t>业的监管主体除了国资委，还包括财政部门等经本级人民政府授权的</w:t>
      </w:r>
      <w:r>
        <w:rPr>
          <w:rFonts w:ascii="SimSun" w:hAnsi="SimSun" w:eastAsia="SimSun" w:cs="SimSun"/>
          <w:sz w:val="21"/>
          <w:szCs w:val="21"/>
          <w:spacing w:val="14"/>
        </w:rPr>
        <w:t xml:space="preserve"> </w:t>
      </w:r>
      <w:r>
        <w:rPr>
          <w:rFonts w:ascii="SimSun" w:hAnsi="SimSun" w:eastAsia="SimSun" w:cs="SimSun"/>
          <w:sz w:val="21"/>
          <w:szCs w:val="21"/>
          <w:spacing w:val="-10"/>
        </w:rPr>
        <w:t>其他代表本级人民政府对国有企业履行出资</w:t>
      </w:r>
      <w:r>
        <w:rPr>
          <w:rFonts w:ascii="SimSun" w:hAnsi="SimSun" w:eastAsia="SimSun" w:cs="SimSun"/>
          <w:sz w:val="21"/>
          <w:szCs w:val="21"/>
          <w:spacing w:val="-11"/>
        </w:rPr>
        <w:t>人职责的部门、机构，国</w:t>
      </w:r>
      <w:r>
        <w:rPr>
          <w:rFonts w:ascii="SimSun" w:hAnsi="SimSun" w:eastAsia="SimSun" w:cs="SimSun"/>
          <w:sz w:val="21"/>
          <w:szCs w:val="21"/>
        </w:rPr>
        <w:t xml:space="preserve"> </w:t>
      </w:r>
      <w:r>
        <w:rPr>
          <w:rFonts w:ascii="SimSun" w:hAnsi="SimSun" w:eastAsia="SimSun" w:cs="SimSun"/>
          <w:sz w:val="21"/>
          <w:szCs w:val="21"/>
          <w:spacing w:val="-11"/>
        </w:rPr>
        <w:t>有企业的监管格局是由两条脉络交叉构成的。纵向上，国有企业分为</w:t>
      </w:r>
      <w:r>
        <w:rPr>
          <w:rFonts w:ascii="SimSun" w:hAnsi="SimSun" w:eastAsia="SimSun" w:cs="SimSun"/>
          <w:sz w:val="21"/>
          <w:szCs w:val="21"/>
          <w:spacing w:val="9"/>
        </w:rPr>
        <w:t xml:space="preserve"> </w:t>
      </w:r>
      <w:r>
        <w:rPr>
          <w:rFonts w:ascii="SimSun" w:hAnsi="SimSun" w:eastAsia="SimSun" w:cs="SimSun"/>
          <w:sz w:val="21"/>
          <w:szCs w:val="21"/>
          <w:spacing w:val="-10"/>
        </w:rPr>
        <w:t>中央国有企业和地方国有企业，分别由中央和地</w:t>
      </w:r>
      <w:r>
        <w:rPr>
          <w:rFonts w:ascii="SimSun" w:hAnsi="SimSun" w:eastAsia="SimSun" w:cs="SimSun"/>
          <w:sz w:val="21"/>
          <w:szCs w:val="21"/>
          <w:spacing w:val="-11"/>
        </w:rPr>
        <w:t>方国有资产监管部门</w:t>
      </w:r>
      <w:r>
        <w:rPr>
          <w:rFonts w:ascii="SimSun" w:hAnsi="SimSun" w:eastAsia="SimSun" w:cs="SimSun"/>
          <w:sz w:val="21"/>
          <w:szCs w:val="21"/>
        </w:rPr>
        <w:t xml:space="preserve"> </w:t>
      </w:r>
      <w:r>
        <w:rPr>
          <w:rFonts w:ascii="SimSun" w:hAnsi="SimSun" w:eastAsia="SimSun" w:cs="SimSun"/>
          <w:sz w:val="21"/>
          <w:szCs w:val="21"/>
          <w:spacing w:val="-7"/>
        </w:rPr>
        <w:t>监管。横向上，国有企业又可分为一般国有企业和特殊国有企业(如</w:t>
      </w:r>
      <w:r>
        <w:rPr>
          <w:rFonts w:ascii="SimSun" w:hAnsi="SimSun" w:eastAsia="SimSun" w:cs="SimSun"/>
          <w:sz w:val="21"/>
          <w:szCs w:val="21"/>
        </w:rPr>
        <w:t xml:space="preserve"> </w:t>
      </w:r>
      <w:r>
        <w:rPr>
          <w:rFonts w:ascii="SimSun" w:hAnsi="SimSun" w:eastAsia="SimSun" w:cs="SimSun"/>
          <w:sz w:val="21"/>
          <w:szCs w:val="21"/>
          <w:spacing w:val="-4"/>
        </w:rPr>
        <w:t>金融类国有企业、文化类国有企业),分别由相应的国有资产监管部</w:t>
      </w:r>
      <w:r>
        <w:rPr>
          <w:rFonts w:ascii="SimSun" w:hAnsi="SimSun" w:eastAsia="SimSun" w:cs="SimSun"/>
          <w:sz w:val="21"/>
          <w:szCs w:val="21"/>
          <w:spacing w:val="10"/>
        </w:rPr>
        <w:t xml:space="preserve"> </w:t>
      </w:r>
      <w:r>
        <w:rPr>
          <w:rFonts w:ascii="SimSun" w:hAnsi="SimSun" w:eastAsia="SimSun" w:cs="SimSun"/>
          <w:sz w:val="21"/>
          <w:szCs w:val="21"/>
          <w:spacing w:val="-12"/>
        </w:rPr>
        <w:t>门监管。</w:t>
      </w:r>
    </w:p>
    <w:p>
      <w:pPr>
        <w:ind w:firstLine="525"/>
        <w:spacing w:before="115" w:line="298" w:lineRule="auto"/>
        <w:jc w:val="both"/>
        <w:rPr>
          <w:rFonts w:ascii="SimSun" w:hAnsi="SimSun" w:eastAsia="SimSun" w:cs="SimSun"/>
          <w:sz w:val="21"/>
          <w:szCs w:val="21"/>
        </w:rPr>
      </w:pPr>
      <w:r>
        <w:rPr>
          <w:rFonts w:ascii="SimSun" w:hAnsi="SimSun" w:eastAsia="SimSun" w:cs="SimSun"/>
          <w:sz w:val="21"/>
          <w:szCs w:val="21"/>
          <w:spacing w:val="-11"/>
        </w:rPr>
        <w:t>国有企业是否适用于反垄断，目前还存在激烈争论。我国《反垄 </w:t>
      </w:r>
      <w:r>
        <w:rPr>
          <w:rFonts w:ascii="SimSun" w:hAnsi="SimSun" w:eastAsia="SimSun" w:cs="SimSun"/>
          <w:sz w:val="21"/>
          <w:szCs w:val="21"/>
          <w:spacing w:val="-7"/>
        </w:rPr>
        <w:t>断法》实施前期，国有企业被认为享有事实上</w:t>
      </w:r>
      <w:r>
        <w:rPr>
          <w:rFonts w:ascii="SimSun" w:hAnsi="SimSun" w:eastAsia="SimSun" w:cs="SimSun"/>
          <w:sz w:val="21"/>
          <w:szCs w:val="21"/>
          <w:spacing w:val="-8"/>
        </w:rPr>
        <w:t>的反垄断豁免权。《反</w:t>
      </w:r>
      <w:r>
        <w:rPr>
          <w:rFonts w:ascii="SimSun" w:hAnsi="SimSun" w:eastAsia="SimSun" w:cs="SimSun"/>
          <w:sz w:val="21"/>
          <w:szCs w:val="21"/>
        </w:rPr>
        <w:t xml:space="preserve">  </w:t>
      </w:r>
      <w:r>
        <w:rPr>
          <w:rFonts w:ascii="SimSun" w:hAnsi="SimSun" w:eastAsia="SimSun" w:cs="SimSun"/>
          <w:sz w:val="21"/>
          <w:szCs w:val="21"/>
          <w:spacing w:val="-7"/>
        </w:rPr>
        <w:t>垄断法》制定时，关于国有企业是否应当获得</w:t>
      </w:r>
      <w:r>
        <w:rPr>
          <w:rFonts w:ascii="SimSun" w:hAnsi="SimSun" w:eastAsia="SimSun" w:cs="SimSun"/>
          <w:sz w:val="21"/>
          <w:szCs w:val="21"/>
          <w:spacing w:val="-8"/>
        </w:rPr>
        <w:t>特殊待遇的问题引起了</w:t>
      </w:r>
      <w:r>
        <w:rPr>
          <w:rFonts w:ascii="SimSun" w:hAnsi="SimSun" w:eastAsia="SimSun" w:cs="SimSun"/>
          <w:sz w:val="21"/>
          <w:szCs w:val="21"/>
        </w:rPr>
        <w:t xml:space="preserve">  </w:t>
      </w:r>
      <w:r>
        <w:rPr>
          <w:rFonts w:ascii="SimSun" w:hAnsi="SimSun" w:eastAsia="SimSun" w:cs="SimSun"/>
          <w:sz w:val="21"/>
          <w:szCs w:val="21"/>
          <w:spacing w:val="-4"/>
        </w:rPr>
        <w:t>激烈的争论，最终立法机关不得不采取模糊化的手段暂时平息争</w:t>
      </w:r>
      <w:r>
        <w:rPr>
          <w:rFonts w:ascii="SimSun" w:hAnsi="SimSun" w:eastAsia="SimSun" w:cs="SimSun"/>
          <w:sz w:val="21"/>
          <w:szCs w:val="21"/>
          <w:spacing w:val="-5"/>
        </w:rPr>
        <w:t>论，</w:t>
      </w:r>
      <w:r>
        <w:rPr>
          <w:rFonts w:ascii="SimSun" w:hAnsi="SimSun" w:eastAsia="SimSun" w:cs="SimSun"/>
          <w:sz w:val="21"/>
          <w:szCs w:val="21"/>
        </w:rPr>
        <w:t xml:space="preserve"> </w:t>
      </w:r>
      <w:r>
        <w:rPr>
          <w:rFonts w:ascii="SimSun" w:hAnsi="SimSun" w:eastAsia="SimSun" w:cs="SimSun"/>
          <w:sz w:val="21"/>
          <w:szCs w:val="21"/>
        </w:rPr>
        <w:t>这种模糊化处理的结果反映为《反垄断法》第七条的模</w:t>
      </w:r>
      <w:r>
        <w:rPr>
          <w:rFonts w:ascii="SimSun" w:hAnsi="SimSun" w:eastAsia="SimSun" w:cs="SimSun"/>
          <w:sz w:val="21"/>
          <w:szCs w:val="21"/>
          <w:spacing w:val="-1"/>
        </w:rPr>
        <w:t>糊用词。在</w:t>
      </w:r>
      <w:r>
        <w:rPr>
          <w:rFonts w:ascii="SimSun" w:hAnsi="SimSun" w:eastAsia="SimSun" w:cs="SimSun"/>
          <w:sz w:val="21"/>
          <w:szCs w:val="21"/>
        </w:rPr>
        <w:t xml:space="preserve">  </w:t>
      </w:r>
      <w:r>
        <w:rPr>
          <w:rFonts w:ascii="SimSun" w:hAnsi="SimSun" w:eastAsia="SimSun" w:cs="SimSun"/>
          <w:sz w:val="21"/>
          <w:szCs w:val="21"/>
          <w:spacing w:val="-7"/>
        </w:rPr>
        <w:t>《反垄断法》实施的现实语境下，有观点认为国有企业享有事实上的</w:t>
      </w:r>
      <w:r>
        <w:rPr>
          <w:rFonts w:ascii="SimSun" w:hAnsi="SimSun" w:eastAsia="SimSun" w:cs="SimSun"/>
          <w:sz w:val="21"/>
          <w:szCs w:val="21"/>
          <w:spacing w:val="3"/>
        </w:rPr>
        <w:t xml:space="preserve"> </w:t>
      </w:r>
      <w:r>
        <w:rPr>
          <w:rFonts w:ascii="SimSun" w:hAnsi="SimSun" w:eastAsia="SimSun" w:cs="SimSun"/>
          <w:sz w:val="21"/>
          <w:szCs w:val="21"/>
        </w:rPr>
        <w:t>反垄断豁免，具体表现为2011年中国移动和中国</w:t>
      </w:r>
      <w:r>
        <w:rPr>
          <w:rFonts w:ascii="SimSun" w:hAnsi="SimSun" w:eastAsia="SimSun" w:cs="SimSun"/>
          <w:sz w:val="21"/>
          <w:szCs w:val="21"/>
          <w:spacing w:val="-1"/>
        </w:rPr>
        <w:t>联通被国家发改委</w:t>
      </w:r>
      <w:r>
        <w:rPr>
          <w:rFonts w:ascii="SimSun" w:hAnsi="SimSun" w:eastAsia="SimSun" w:cs="SimSun"/>
          <w:sz w:val="21"/>
          <w:szCs w:val="21"/>
        </w:rPr>
        <w:t xml:space="preserve">  </w:t>
      </w:r>
      <w:r>
        <w:rPr>
          <w:rFonts w:ascii="SimSun" w:hAnsi="SimSun" w:eastAsia="SimSun" w:cs="SimSun"/>
          <w:sz w:val="21"/>
          <w:szCs w:val="21"/>
          <w:spacing w:val="-7"/>
        </w:rPr>
        <w:t>调查最终却无下文，这被国内外的反垄断观察者</w:t>
      </w:r>
      <w:r>
        <w:rPr>
          <w:rFonts w:ascii="SimSun" w:hAnsi="SimSun" w:eastAsia="SimSun" w:cs="SimSun"/>
          <w:sz w:val="21"/>
          <w:szCs w:val="21"/>
          <w:spacing w:val="-8"/>
        </w:rPr>
        <w:t>批评为反垄断主管机</w:t>
      </w:r>
      <w:r>
        <w:rPr>
          <w:rFonts w:ascii="SimSun" w:hAnsi="SimSun" w:eastAsia="SimSun" w:cs="SimSun"/>
          <w:sz w:val="21"/>
          <w:szCs w:val="21"/>
        </w:rPr>
        <w:t xml:space="preserve">  </w:t>
      </w:r>
      <w:r>
        <w:rPr>
          <w:rFonts w:ascii="SimSun" w:hAnsi="SimSun" w:eastAsia="SimSun" w:cs="SimSun"/>
          <w:sz w:val="21"/>
          <w:szCs w:val="21"/>
          <w:spacing w:val="-7"/>
        </w:rPr>
        <w:t>关对国有企业给予了特殊待遇，“以约谈教育代</w:t>
      </w:r>
      <w:r>
        <w:rPr>
          <w:rFonts w:ascii="SimSun" w:hAnsi="SimSun" w:eastAsia="SimSun" w:cs="SimSun"/>
          <w:sz w:val="21"/>
          <w:szCs w:val="21"/>
          <w:spacing w:val="-8"/>
        </w:rPr>
        <w:t>替处罚”的背后体现</w:t>
      </w:r>
      <w:r>
        <w:rPr>
          <w:rFonts w:ascii="SimSun" w:hAnsi="SimSun" w:eastAsia="SimSun" w:cs="SimSun"/>
          <w:sz w:val="21"/>
          <w:szCs w:val="21"/>
        </w:rPr>
        <w:t xml:space="preserve">  </w:t>
      </w:r>
      <w:r>
        <w:rPr>
          <w:rFonts w:ascii="SimSun" w:hAnsi="SimSun" w:eastAsia="SimSun" w:cs="SimSun"/>
          <w:sz w:val="21"/>
          <w:szCs w:val="21"/>
          <w:spacing w:val="-10"/>
        </w:rPr>
        <w:t>了国有企业在《反垄断法》上的超然地位。①</w:t>
      </w:r>
    </w:p>
    <w:p>
      <w:pPr>
        <w:ind w:left="525"/>
        <w:spacing w:before="195" w:line="370" w:lineRule="exact"/>
        <w:rPr>
          <w:rFonts w:ascii="SimSun" w:hAnsi="SimSun" w:eastAsia="SimSun" w:cs="SimSun"/>
          <w:sz w:val="21"/>
          <w:szCs w:val="21"/>
        </w:rPr>
      </w:pPr>
      <w:r>
        <w:rPr>
          <w:rFonts w:ascii="SimSun" w:hAnsi="SimSun" w:eastAsia="SimSun" w:cs="SimSun"/>
          <w:sz w:val="21"/>
          <w:szCs w:val="21"/>
          <w:spacing w:val="-3"/>
          <w:position w:val="12"/>
        </w:rPr>
        <w:t>然后，2018年以来，国有企业、公共事业的反垄断审查日</w:t>
      </w:r>
      <w:r>
        <w:rPr>
          <w:rFonts w:ascii="SimSun" w:hAnsi="SimSun" w:eastAsia="SimSun" w:cs="SimSun"/>
          <w:sz w:val="21"/>
          <w:szCs w:val="21"/>
          <w:spacing w:val="-4"/>
          <w:position w:val="12"/>
        </w:rPr>
        <w:t>趋严</w:t>
      </w:r>
    </w:p>
    <w:p>
      <w:pPr>
        <w:ind w:left="105"/>
        <w:spacing w:line="219" w:lineRule="auto"/>
        <w:rPr>
          <w:rFonts w:ascii="SimSun" w:hAnsi="SimSun" w:eastAsia="SimSun" w:cs="SimSun"/>
          <w:sz w:val="21"/>
          <w:szCs w:val="21"/>
        </w:rPr>
      </w:pPr>
      <w:r>
        <w:rPr>
          <w:rFonts w:ascii="SimSun" w:hAnsi="SimSun" w:eastAsia="SimSun" w:cs="SimSun"/>
          <w:sz w:val="21"/>
          <w:szCs w:val="21"/>
          <w:spacing w:val="-3"/>
        </w:rPr>
        <w:t>格，事实上反垄断豁免逐渐消失。2018年12</w:t>
      </w:r>
      <w:r>
        <w:rPr>
          <w:rFonts w:ascii="SimSun" w:hAnsi="SimSun" w:eastAsia="SimSun" w:cs="SimSun"/>
          <w:sz w:val="21"/>
          <w:szCs w:val="21"/>
          <w:spacing w:val="-4"/>
        </w:rPr>
        <w:t>月，在新组建的国家市</w:t>
      </w:r>
    </w:p>
    <w:p>
      <w:pPr>
        <w:pStyle w:val="BodyText"/>
        <w:spacing w:line="268" w:lineRule="auto"/>
        <w:rPr/>
      </w:pPr>
      <w:r/>
    </w:p>
    <w:p>
      <w:pPr>
        <w:pStyle w:val="BodyText"/>
        <w:spacing w:line="269" w:lineRule="auto"/>
        <w:rPr/>
      </w:pPr>
      <w:r/>
    </w:p>
    <w:p>
      <w:pPr>
        <w:ind w:left="425" w:right="48" w:hanging="320"/>
        <w:spacing w:before="52" w:line="267" w:lineRule="auto"/>
        <w:rPr>
          <w:rFonts w:ascii="KaiTi" w:hAnsi="KaiTi" w:eastAsia="KaiTi" w:cs="KaiTi"/>
          <w:sz w:val="16"/>
          <w:szCs w:val="16"/>
        </w:rPr>
      </w:pPr>
      <w:r>
        <w:rPr>
          <w:rFonts w:ascii="SimSun" w:hAnsi="SimSun" w:eastAsia="SimSun" w:cs="SimSun"/>
          <w:sz w:val="16"/>
          <w:szCs w:val="16"/>
          <w:spacing w:val="3"/>
        </w:rPr>
        <w:t>①</w:t>
      </w:r>
      <w:r>
        <w:rPr>
          <w:rFonts w:ascii="SimSun" w:hAnsi="SimSun" w:eastAsia="SimSun" w:cs="SimSun"/>
          <w:sz w:val="16"/>
          <w:szCs w:val="16"/>
          <w:spacing w:val="76"/>
        </w:rPr>
        <w:t xml:space="preserve"> </w:t>
      </w:r>
      <w:r>
        <w:rPr>
          <w:rFonts w:ascii="KaiTi" w:hAnsi="KaiTi" w:eastAsia="KaiTi" w:cs="KaiTi"/>
          <w:sz w:val="16"/>
          <w:szCs w:val="16"/>
          <w:spacing w:val="3"/>
        </w:rPr>
        <w:t>李国海.反垄断法适用于国有企业的基本理据与立法模式选择，中南大学学报</w:t>
      </w:r>
      <w:r>
        <w:rPr>
          <w:rFonts w:ascii="KaiTi" w:hAnsi="KaiTi" w:eastAsia="KaiTi" w:cs="KaiTi"/>
          <w:sz w:val="16"/>
          <w:szCs w:val="16"/>
          <w:spacing w:val="2"/>
        </w:rPr>
        <w:t>(社</w:t>
      </w:r>
      <w:r>
        <w:rPr>
          <w:rFonts w:ascii="KaiTi" w:hAnsi="KaiTi" w:eastAsia="KaiTi" w:cs="KaiTi"/>
          <w:sz w:val="16"/>
          <w:szCs w:val="16"/>
        </w:rPr>
        <w:t xml:space="preserve"> </w:t>
      </w:r>
      <w:r>
        <w:rPr>
          <w:rFonts w:ascii="KaiTi" w:hAnsi="KaiTi" w:eastAsia="KaiTi" w:cs="KaiTi"/>
          <w:sz w:val="16"/>
          <w:szCs w:val="16"/>
          <w:spacing w:val="14"/>
        </w:rPr>
        <w:t>会科学版),2017(4):37-43.</w:t>
      </w:r>
    </w:p>
    <w:p>
      <w:pPr>
        <w:spacing w:line="267" w:lineRule="auto"/>
        <w:sectPr>
          <w:headerReference w:type="default" r:id="rId576"/>
          <w:pgSz w:w="7330" w:h="12480"/>
          <w:pgMar w:top="829" w:right="645" w:bottom="400" w:left="505" w:header="665" w:footer="0" w:gutter="0"/>
        </w:sectPr>
        <w:rPr>
          <w:rFonts w:ascii="KaiTi" w:hAnsi="KaiTi" w:eastAsia="KaiTi" w:cs="KaiTi"/>
          <w:sz w:val="16"/>
          <w:szCs w:val="16"/>
        </w:rPr>
      </w:pPr>
    </w:p>
    <w:p>
      <w:pPr>
        <w:pStyle w:val="BodyText"/>
        <w:spacing w:line="253" w:lineRule="auto"/>
        <w:rPr/>
      </w:pPr>
      <w:r>
        <w:drawing>
          <wp:anchor distT="0" distB="0" distL="0" distR="0" simplePos="0" relativeHeight="256660480" behindDoc="0" locked="0" layoutInCell="0" allowOverlap="1">
            <wp:simplePos x="0" y="0"/>
            <wp:positionH relativeFrom="page">
              <wp:posOffset>381021</wp:posOffset>
            </wp:positionH>
            <wp:positionV relativeFrom="page">
              <wp:posOffset>6807165</wp:posOffset>
            </wp:positionV>
            <wp:extent cx="1174715" cy="6418"/>
            <wp:effectExtent l="0" t="0" r="0" b="0"/>
            <wp:wrapNone/>
            <wp:docPr id="438" name="IM 438"/>
            <wp:cNvGraphicFramePr/>
            <a:graphic>
              <a:graphicData uri="http://schemas.openxmlformats.org/drawingml/2006/picture">
                <pic:pic>
                  <pic:nvPicPr>
                    <pic:cNvPr id="438" name="IM 438"/>
                    <pic:cNvPicPr/>
                  </pic:nvPicPr>
                  <pic:blipFill>
                    <a:blip r:embed="rId579"/>
                    <a:stretch>
                      <a:fillRect/>
                    </a:stretch>
                  </pic:blipFill>
                  <pic:spPr>
                    <a:xfrm rot="0">
                      <a:off x="0" y="0"/>
                      <a:ext cx="1174715" cy="6418"/>
                    </a:xfrm>
                    <a:prstGeom prst="rect">
                      <a:avLst/>
                    </a:prstGeom>
                  </pic:spPr>
                </pic:pic>
              </a:graphicData>
            </a:graphic>
          </wp:anchor>
        </w:drawing>
      </w:r>
      <w:r/>
    </w:p>
    <w:p>
      <w:pPr>
        <w:pStyle w:val="BodyText"/>
        <w:spacing w:line="254" w:lineRule="auto"/>
        <w:rPr/>
      </w:pPr>
      <w:r/>
    </w:p>
    <w:p>
      <w:pPr>
        <w:pStyle w:val="BodyText"/>
        <w:spacing w:line="254" w:lineRule="auto"/>
        <w:rPr/>
      </w:pPr>
      <w:r/>
    </w:p>
    <w:p>
      <w:pPr>
        <w:pStyle w:val="BodyText"/>
        <w:spacing w:line="254"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10"/>
        </w:rPr>
        <w:t>场监管总局召开的首次全国市场监管工作会议上，国家市场监</w:t>
      </w:r>
      <w:r>
        <w:rPr>
          <w:rFonts w:ascii="SimSun" w:hAnsi="SimSun" w:eastAsia="SimSun" w:cs="SimSun"/>
          <w:sz w:val="21"/>
          <w:szCs w:val="21"/>
          <w:spacing w:val="-11"/>
        </w:rPr>
        <w:t>管总局</w:t>
      </w:r>
      <w:r>
        <w:rPr>
          <w:rFonts w:ascii="SimSun" w:hAnsi="SimSun" w:eastAsia="SimSun" w:cs="SimSun"/>
          <w:sz w:val="21"/>
          <w:szCs w:val="21"/>
        </w:rPr>
        <w:t xml:space="preserve">  </w:t>
      </w:r>
      <w:r>
        <w:rPr>
          <w:rFonts w:ascii="SimSun" w:hAnsi="SimSun" w:eastAsia="SimSun" w:cs="SimSun"/>
          <w:sz w:val="21"/>
          <w:szCs w:val="21"/>
          <w:spacing w:val="-14"/>
        </w:rPr>
        <w:t>局长、党组书记张茅表示“反垄断不要老讲国企民企，要一视同仁”。</w:t>
      </w:r>
      <w:r>
        <w:rPr>
          <w:rFonts w:ascii="SimSun" w:hAnsi="SimSun" w:eastAsia="SimSun" w:cs="SimSun"/>
          <w:sz w:val="21"/>
          <w:szCs w:val="21"/>
          <w:spacing w:val="8"/>
        </w:rPr>
        <w:t xml:space="preserve"> </w:t>
      </w:r>
      <w:r>
        <w:rPr>
          <w:rFonts w:ascii="SimSun" w:hAnsi="SimSun" w:eastAsia="SimSun" w:cs="SimSun"/>
          <w:sz w:val="21"/>
          <w:szCs w:val="21"/>
        </w:rPr>
        <w:t>2020年，多地经营者反垄断合规指引均提出，供水</w:t>
      </w:r>
      <w:r>
        <w:rPr>
          <w:rFonts w:ascii="SimSun" w:hAnsi="SimSun" w:eastAsia="SimSun" w:cs="SimSun"/>
          <w:sz w:val="21"/>
          <w:szCs w:val="21"/>
          <w:spacing w:val="-1"/>
        </w:rPr>
        <w:t>、供电、供热、</w:t>
      </w:r>
      <w:r>
        <w:rPr>
          <w:rFonts w:ascii="SimSun" w:hAnsi="SimSun" w:eastAsia="SimSun" w:cs="SimSun"/>
          <w:sz w:val="21"/>
          <w:szCs w:val="21"/>
        </w:rPr>
        <w:t xml:space="preserve"> </w:t>
      </w:r>
      <w:r>
        <w:rPr>
          <w:rFonts w:ascii="SimSun" w:hAnsi="SimSun" w:eastAsia="SimSun" w:cs="SimSun"/>
          <w:sz w:val="21"/>
          <w:szCs w:val="21"/>
          <w:spacing w:val="-11"/>
        </w:rPr>
        <w:t>供气、邮政、电信、交通运输等公共事业经营者，在相关市场易被推</w:t>
      </w:r>
      <w:r>
        <w:rPr>
          <w:rFonts w:ascii="SimSun" w:hAnsi="SimSun" w:eastAsia="SimSun" w:cs="SimSun"/>
          <w:sz w:val="21"/>
          <w:szCs w:val="21"/>
          <w:spacing w:val="8"/>
        </w:rPr>
        <w:t xml:space="preserve">  </w:t>
      </w:r>
      <w:r>
        <w:rPr>
          <w:rFonts w:ascii="SimSun" w:hAnsi="SimSun" w:eastAsia="SimSun" w:cs="SimSun"/>
          <w:sz w:val="21"/>
          <w:szCs w:val="21"/>
          <w:spacing w:val="-11"/>
        </w:rPr>
        <w:t>定具有市场支配地位，应特别注意不得滥用市场支配地位。</w:t>
      </w:r>
    </w:p>
    <w:p>
      <w:pPr>
        <w:ind w:right="59" w:firstLine="429"/>
        <w:spacing w:before="114" w:line="296" w:lineRule="auto"/>
        <w:jc w:val="both"/>
        <w:rPr>
          <w:rFonts w:ascii="SimSun" w:hAnsi="SimSun" w:eastAsia="SimSun" w:cs="SimSun"/>
          <w:sz w:val="21"/>
          <w:szCs w:val="21"/>
        </w:rPr>
      </w:pPr>
      <w:r>
        <w:rPr>
          <w:rFonts w:ascii="SimSun" w:hAnsi="SimSun" w:eastAsia="SimSun" w:cs="SimSun"/>
          <w:sz w:val="21"/>
          <w:szCs w:val="21"/>
          <w:spacing w:val="-10"/>
        </w:rPr>
        <w:t>国有企业和公共事业企业被纳入反垄断审查还体现</w:t>
      </w:r>
      <w:r>
        <w:rPr>
          <w:rFonts w:ascii="SimSun" w:hAnsi="SimSun" w:eastAsia="SimSun" w:cs="SimSun"/>
          <w:sz w:val="21"/>
          <w:szCs w:val="21"/>
          <w:spacing w:val="-11"/>
        </w:rPr>
        <w:t>为国有资产的</w:t>
      </w:r>
      <w:r>
        <w:rPr>
          <w:rFonts w:ascii="SimSun" w:hAnsi="SimSun" w:eastAsia="SimSun" w:cs="SimSun"/>
          <w:sz w:val="21"/>
          <w:szCs w:val="21"/>
        </w:rPr>
        <w:t xml:space="preserve"> </w:t>
      </w:r>
      <w:r>
        <w:rPr>
          <w:rFonts w:ascii="SimSun" w:hAnsi="SimSun" w:eastAsia="SimSun" w:cs="SimSun"/>
          <w:sz w:val="21"/>
          <w:szCs w:val="21"/>
          <w:spacing w:val="-11"/>
        </w:rPr>
        <w:t>进场交易不能豁免反垄断的申报。根据《企业国有资产交易监督管理</w:t>
      </w:r>
      <w:r>
        <w:rPr>
          <w:rFonts w:ascii="SimSun" w:hAnsi="SimSun" w:eastAsia="SimSun" w:cs="SimSun"/>
          <w:sz w:val="21"/>
          <w:szCs w:val="21"/>
          <w:spacing w:val="15"/>
        </w:rPr>
        <w:t xml:space="preserve"> </w:t>
      </w:r>
      <w:r>
        <w:rPr>
          <w:rFonts w:ascii="SimSun" w:hAnsi="SimSun" w:eastAsia="SimSun" w:cs="SimSun"/>
          <w:sz w:val="21"/>
          <w:szCs w:val="21"/>
          <w:spacing w:val="-7"/>
        </w:rPr>
        <w:t>办法》,为防止国有资产流失，国有资产交易应当遵循一定的交易程</w:t>
      </w:r>
      <w:r>
        <w:rPr>
          <w:rFonts w:ascii="SimSun" w:hAnsi="SimSun" w:eastAsia="SimSun" w:cs="SimSun"/>
          <w:sz w:val="21"/>
          <w:szCs w:val="21"/>
          <w:spacing w:val="1"/>
        </w:rPr>
        <w:t xml:space="preserve"> </w:t>
      </w:r>
      <w:r>
        <w:rPr>
          <w:rFonts w:ascii="SimSun" w:hAnsi="SimSun" w:eastAsia="SimSun" w:cs="SimSun"/>
          <w:sz w:val="21"/>
          <w:szCs w:val="21"/>
          <w:spacing w:val="-10"/>
        </w:rPr>
        <w:t>序，例如，国企产权转让、增资和资产转让原则</w:t>
      </w:r>
      <w:r>
        <w:rPr>
          <w:rFonts w:ascii="SimSun" w:hAnsi="SimSun" w:eastAsia="SimSun" w:cs="SimSun"/>
          <w:sz w:val="21"/>
          <w:szCs w:val="21"/>
          <w:spacing w:val="-11"/>
        </w:rPr>
        <w:t>上应当在产权交易场</w:t>
      </w:r>
      <w:r>
        <w:rPr>
          <w:rFonts w:ascii="SimSun" w:hAnsi="SimSun" w:eastAsia="SimSun" w:cs="SimSun"/>
          <w:sz w:val="21"/>
          <w:szCs w:val="21"/>
        </w:rPr>
        <w:t xml:space="preserve"> </w:t>
      </w:r>
      <w:r>
        <w:rPr>
          <w:rFonts w:ascii="SimSun" w:hAnsi="SimSun" w:eastAsia="SimSun" w:cs="SimSun"/>
          <w:sz w:val="21"/>
          <w:szCs w:val="21"/>
          <w:spacing w:val="-11"/>
        </w:rPr>
        <w:t>所公开交易，即“进场交易”。对于应履行“进场交易”程序的股权</w:t>
      </w:r>
      <w:r>
        <w:rPr>
          <w:rFonts w:ascii="SimSun" w:hAnsi="SimSun" w:eastAsia="SimSun" w:cs="SimSun"/>
          <w:sz w:val="21"/>
          <w:szCs w:val="21"/>
          <w:spacing w:val="16"/>
        </w:rPr>
        <w:t xml:space="preserve"> </w:t>
      </w:r>
      <w:r>
        <w:rPr>
          <w:rFonts w:ascii="SimSun" w:hAnsi="SimSun" w:eastAsia="SimSun" w:cs="SimSun"/>
          <w:sz w:val="21"/>
          <w:szCs w:val="21"/>
          <w:spacing w:val="-11"/>
        </w:rPr>
        <w:t>并购、资产收购等交易，仍应该评估交易方是否属于《反垄断法》规</w:t>
      </w:r>
      <w:r>
        <w:rPr>
          <w:rFonts w:ascii="SimSun" w:hAnsi="SimSun" w:eastAsia="SimSun" w:cs="SimSun"/>
          <w:sz w:val="21"/>
          <w:szCs w:val="21"/>
          <w:spacing w:val="17"/>
        </w:rPr>
        <w:t xml:space="preserve"> </w:t>
      </w:r>
      <w:r>
        <w:rPr>
          <w:rFonts w:ascii="SimSun" w:hAnsi="SimSun" w:eastAsia="SimSun" w:cs="SimSun"/>
          <w:sz w:val="21"/>
          <w:szCs w:val="21"/>
          <w:spacing w:val="-11"/>
        </w:rPr>
        <w:t>制下的经营者集中，并判断是否达到反垄断申报的营业额标准。符合</w:t>
      </w:r>
      <w:r>
        <w:rPr>
          <w:rFonts w:ascii="SimSun" w:hAnsi="SimSun" w:eastAsia="SimSun" w:cs="SimSun"/>
          <w:sz w:val="21"/>
          <w:szCs w:val="21"/>
          <w:spacing w:val="17"/>
        </w:rPr>
        <w:t xml:space="preserve"> </w:t>
      </w:r>
      <w:r>
        <w:rPr>
          <w:rFonts w:ascii="SimSun" w:hAnsi="SimSun" w:eastAsia="SimSun" w:cs="SimSun"/>
          <w:sz w:val="21"/>
          <w:szCs w:val="21"/>
          <w:spacing w:val="-12"/>
        </w:rPr>
        <w:t>申报标准的，应当向反垄断执法机构提交反垄断申报。</w:t>
      </w:r>
    </w:p>
    <w:p>
      <w:pPr>
        <w:pStyle w:val="BodyText"/>
        <w:spacing w:line="448" w:lineRule="auto"/>
        <w:rPr/>
      </w:pPr>
      <w:r/>
    </w:p>
    <w:p>
      <w:pPr>
        <w:ind w:left="432"/>
        <w:spacing w:before="68" w:line="219" w:lineRule="auto"/>
        <w:rPr>
          <w:rFonts w:ascii="SimSun" w:hAnsi="SimSun" w:eastAsia="SimSun" w:cs="SimSun"/>
          <w:sz w:val="21"/>
          <w:szCs w:val="21"/>
        </w:rPr>
      </w:pPr>
      <w:r>
        <w:rPr>
          <w:rFonts w:ascii="SimSun" w:hAnsi="SimSun" w:eastAsia="SimSun" w:cs="SimSun"/>
          <w:sz w:val="21"/>
          <w:szCs w:val="21"/>
          <w:b/>
          <w:bCs/>
          <w:spacing w:val="-11"/>
        </w:rPr>
        <w:t>自律监管</w:t>
      </w:r>
    </w:p>
    <w:p>
      <w:pPr>
        <w:ind w:right="92" w:firstLine="429"/>
        <w:spacing w:before="144" w:line="289" w:lineRule="auto"/>
        <w:jc w:val="both"/>
        <w:rPr>
          <w:rFonts w:ascii="SimSun" w:hAnsi="SimSun" w:eastAsia="SimSun" w:cs="SimSun"/>
          <w:sz w:val="21"/>
          <w:szCs w:val="21"/>
        </w:rPr>
      </w:pPr>
      <w:r>
        <w:rPr>
          <w:rFonts w:ascii="SimSun" w:hAnsi="SimSun" w:eastAsia="SimSun" w:cs="SimSun"/>
          <w:sz w:val="21"/>
          <w:szCs w:val="21"/>
          <w:spacing w:val="-4"/>
        </w:rPr>
        <w:t>自律监管虽然在一定的领域内(比如金融业)因为其实践结果产</w:t>
      </w:r>
      <w:r>
        <w:rPr>
          <w:rFonts w:ascii="SimSun" w:hAnsi="SimSun" w:eastAsia="SimSun" w:cs="SimSun"/>
          <w:sz w:val="21"/>
          <w:szCs w:val="21"/>
          <w:spacing w:val="3"/>
        </w:rPr>
        <w:t xml:space="preserve"> </w:t>
      </w:r>
      <w:r>
        <w:rPr>
          <w:rFonts w:ascii="SimSun" w:hAnsi="SimSun" w:eastAsia="SimSun" w:cs="SimSun"/>
          <w:sz w:val="21"/>
          <w:szCs w:val="21"/>
          <w:spacing w:val="-10"/>
        </w:rPr>
        <w:t>生了争议，但在多数领域内仍然是非常重要</w:t>
      </w:r>
      <w:r>
        <w:rPr>
          <w:rFonts w:ascii="SimSun" w:hAnsi="SimSun" w:eastAsia="SimSun" w:cs="SimSun"/>
          <w:sz w:val="21"/>
          <w:szCs w:val="21"/>
          <w:spacing w:val="-11"/>
        </w:rPr>
        <w:t>并且有效的。行业协会是</w:t>
      </w:r>
      <w:r>
        <w:rPr>
          <w:rFonts w:ascii="SimSun" w:hAnsi="SimSun" w:eastAsia="SimSun" w:cs="SimSun"/>
          <w:sz w:val="21"/>
          <w:szCs w:val="21"/>
        </w:rPr>
        <w:t xml:space="preserve"> </w:t>
      </w:r>
      <w:r>
        <w:rPr>
          <w:rFonts w:ascii="SimSun" w:hAnsi="SimSun" w:eastAsia="SimSun" w:cs="SimSun"/>
          <w:sz w:val="21"/>
          <w:szCs w:val="21"/>
          <w:spacing w:val="-11"/>
        </w:rPr>
        <w:t>一种典型的自律监管。鉴于行业协会具有的中介性、自律性和社会性</w:t>
      </w:r>
      <w:r>
        <w:rPr>
          <w:rFonts w:ascii="SimSun" w:hAnsi="SimSun" w:eastAsia="SimSun" w:cs="SimSun"/>
          <w:sz w:val="21"/>
          <w:szCs w:val="21"/>
          <w:spacing w:val="16"/>
        </w:rPr>
        <w:t xml:space="preserve"> </w:t>
      </w:r>
      <w:r>
        <w:rPr>
          <w:rFonts w:ascii="SimSun" w:hAnsi="SimSun" w:eastAsia="SimSun" w:cs="SimSun"/>
          <w:sz w:val="21"/>
          <w:szCs w:val="21"/>
          <w:spacing w:val="-10"/>
        </w:rPr>
        <w:t>特征，它在市场、政府和社会组织三元主体构</w:t>
      </w:r>
      <w:r>
        <w:rPr>
          <w:rFonts w:ascii="SimSun" w:hAnsi="SimSun" w:eastAsia="SimSun" w:cs="SimSun"/>
          <w:sz w:val="21"/>
          <w:szCs w:val="21"/>
          <w:spacing w:val="-11"/>
        </w:rPr>
        <w:t>成的现代市场经济框架</w:t>
      </w:r>
      <w:r>
        <w:rPr>
          <w:rFonts w:ascii="SimSun" w:hAnsi="SimSun" w:eastAsia="SimSun" w:cs="SimSun"/>
          <w:sz w:val="21"/>
          <w:szCs w:val="21"/>
        </w:rPr>
        <w:t xml:space="preserve"> </w:t>
      </w:r>
      <w:r>
        <w:rPr>
          <w:rFonts w:ascii="SimSun" w:hAnsi="SimSun" w:eastAsia="SimSun" w:cs="SimSun"/>
          <w:sz w:val="21"/>
          <w:szCs w:val="21"/>
          <w:spacing w:val="-15"/>
        </w:rPr>
        <w:t>中的功能越来越受到重视。①</w:t>
      </w:r>
    </w:p>
    <w:p>
      <w:pPr>
        <w:ind w:right="64" w:firstLine="429"/>
        <w:spacing w:before="132" w:line="297" w:lineRule="auto"/>
        <w:jc w:val="both"/>
        <w:rPr>
          <w:rFonts w:ascii="SimSun" w:hAnsi="SimSun" w:eastAsia="SimSun" w:cs="SimSun"/>
          <w:sz w:val="21"/>
          <w:szCs w:val="21"/>
        </w:rPr>
      </w:pPr>
      <w:r>
        <w:rPr>
          <w:rFonts w:ascii="SimSun" w:hAnsi="SimSun" w:eastAsia="SimSun" w:cs="SimSun"/>
          <w:sz w:val="21"/>
          <w:szCs w:val="21"/>
          <w:spacing w:val="-11"/>
        </w:rPr>
        <w:t>实践中，行业协会的反竞争行为频发，行业协会所涉横向垄断协</w:t>
      </w:r>
      <w:r>
        <w:rPr>
          <w:rFonts w:ascii="SimSun" w:hAnsi="SimSun" w:eastAsia="SimSun" w:cs="SimSun"/>
          <w:sz w:val="21"/>
          <w:szCs w:val="21"/>
          <w:spacing w:val="18"/>
        </w:rPr>
        <w:t xml:space="preserve"> </w:t>
      </w:r>
      <w:r>
        <w:rPr>
          <w:rFonts w:ascii="SimSun" w:hAnsi="SimSun" w:eastAsia="SimSun" w:cs="SimSun"/>
          <w:sz w:val="21"/>
          <w:szCs w:val="21"/>
          <w:spacing w:val="-4"/>
        </w:rPr>
        <w:t>议大致可分为四个类别：价格卡特尔(固定、限制价格协议)、数量</w:t>
      </w:r>
      <w:r>
        <w:rPr>
          <w:rFonts w:ascii="SimSun" w:hAnsi="SimSun" w:eastAsia="SimSun" w:cs="SimSun"/>
          <w:sz w:val="21"/>
          <w:szCs w:val="21"/>
          <w:spacing w:val="17"/>
        </w:rPr>
        <w:t xml:space="preserve"> </w:t>
      </w:r>
      <w:r>
        <w:rPr>
          <w:rFonts w:ascii="SimSun" w:hAnsi="SimSun" w:eastAsia="SimSun" w:cs="SimSun"/>
          <w:sz w:val="21"/>
          <w:szCs w:val="21"/>
        </w:rPr>
        <w:t>卡特尔(限制商品的生产数量或者销售数量)、地域卡特尔(分割销</w:t>
      </w:r>
      <w:r>
        <w:rPr>
          <w:rFonts w:ascii="SimSun" w:hAnsi="SimSun" w:eastAsia="SimSun" w:cs="SimSun"/>
          <w:sz w:val="21"/>
          <w:szCs w:val="21"/>
          <w:spacing w:val="9"/>
        </w:rPr>
        <w:t xml:space="preserve"> </w:t>
      </w:r>
      <w:r>
        <w:rPr>
          <w:rFonts w:ascii="SimSun" w:hAnsi="SimSun" w:eastAsia="SimSun" w:cs="SimSun"/>
          <w:sz w:val="21"/>
          <w:szCs w:val="21"/>
          <w:spacing w:val="-7"/>
        </w:rPr>
        <w:t>售市场或者原材料采购市场)和联合抵制交易。此外，行业协会还会</w:t>
      </w:r>
      <w:r>
        <w:rPr>
          <w:rFonts w:ascii="SimSun" w:hAnsi="SimSun" w:eastAsia="SimSun" w:cs="SimSun"/>
          <w:sz w:val="21"/>
          <w:szCs w:val="21"/>
          <w:spacing w:val="2"/>
        </w:rPr>
        <w:t xml:space="preserve"> </w:t>
      </w:r>
      <w:r>
        <w:rPr>
          <w:rFonts w:ascii="SimSun" w:hAnsi="SimSun" w:eastAsia="SimSun" w:cs="SimSun"/>
          <w:sz w:val="21"/>
          <w:szCs w:val="21"/>
          <w:spacing w:val="-11"/>
        </w:rPr>
        <w:t>涉及维持转售价格等纵向垄断协议。</w:t>
      </w:r>
    </w:p>
    <w:p>
      <w:pPr>
        <w:pStyle w:val="BodyText"/>
        <w:spacing w:line="364" w:lineRule="auto"/>
        <w:rPr/>
      </w:pPr>
      <w:r/>
    </w:p>
    <w:p>
      <w:pPr>
        <w:ind w:left="350" w:right="58" w:hanging="350"/>
        <w:spacing w:before="53" w:line="264" w:lineRule="auto"/>
        <w:rPr>
          <w:rFonts w:ascii="KaiTi" w:hAnsi="KaiTi" w:eastAsia="KaiTi" w:cs="KaiTi"/>
          <w:sz w:val="16"/>
          <w:szCs w:val="16"/>
        </w:rPr>
      </w:pPr>
      <w:r>
        <w:rPr>
          <w:rFonts w:ascii="SimSun" w:hAnsi="SimSun" w:eastAsia="SimSun" w:cs="SimSun"/>
          <w:sz w:val="16"/>
          <w:szCs w:val="16"/>
          <w:spacing w:val="6"/>
        </w:rPr>
        <w:t>①</w:t>
      </w:r>
      <w:r>
        <w:rPr>
          <w:rFonts w:ascii="SimSun" w:hAnsi="SimSun" w:eastAsia="SimSun" w:cs="SimSun"/>
          <w:sz w:val="16"/>
          <w:szCs w:val="16"/>
          <w:spacing w:val="55"/>
        </w:rPr>
        <w:t xml:space="preserve"> </w:t>
      </w:r>
      <w:r>
        <w:rPr>
          <w:rFonts w:ascii="KaiTi" w:hAnsi="KaiTi" w:eastAsia="KaiTi" w:cs="KaiTi"/>
          <w:sz w:val="16"/>
          <w:szCs w:val="16"/>
          <w:spacing w:val="6"/>
        </w:rPr>
        <w:t>徐士英.行业协会限制竞争行为的法律调整——解读《反垄断法》</w:t>
      </w:r>
      <w:r>
        <w:rPr>
          <w:rFonts w:ascii="KaiTi" w:hAnsi="KaiTi" w:eastAsia="KaiTi" w:cs="KaiTi"/>
          <w:sz w:val="16"/>
          <w:szCs w:val="16"/>
          <w:spacing w:val="5"/>
        </w:rPr>
        <w:t>对行业协会的</w:t>
      </w:r>
      <w:r>
        <w:rPr>
          <w:rFonts w:ascii="KaiTi" w:hAnsi="KaiTi" w:eastAsia="KaiTi" w:cs="KaiTi"/>
          <w:sz w:val="16"/>
          <w:szCs w:val="16"/>
        </w:rPr>
        <w:t xml:space="preserve"> </w:t>
      </w:r>
      <w:r>
        <w:rPr>
          <w:rFonts w:ascii="KaiTi" w:hAnsi="KaiTi" w:eastAsia="KaiTi" w:cs="KaiTi"/>
          <w:sz w:val="16"/>
          <w:szCs w:val="16"/>
          <w:spacing w:val="12"/>
        </w:rPr>
        <w:t>规制.法学，2007(12):28-36.</w:t>
      </w:r>
    </w:p>
    <w:p>
      <w:pPr>
        <w:spacing w:line="264" w:lineRule="auto"/>
        <w:sectPr>
          <w:headerReference w:type="default" r:id="rId578"/>
          <w:pgSz w:w="7330" w:h="12480"/>
          <w:pgMar w:top="519" w:right="654" w:bottom="400" w:left="589" w:header="355" w:footer="0" w:gutter="0"/>
        </w:sectPr>
        <w:rPr>
          <w:rFonts w:ascii="KaiTi" w:hAnsi="KaiTi" w:eastAsia="KaiTi" w:cs="KaiTi"/>
          <w:sz w:val="16"/>
          <w:szCs w:val="16"/>
        </w:rPr>
      </w:pP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ind w:right="92" w:firstLine="409"/>
        <w:spacing w:before="69" w:line="306" w:lineRule="auto"/>
        <w:jc w:val="both"/>
        <w:rPr>
          <w:rFonts w:ascii="SimSun" w:hAnsi="SimSun" w:eastAsia="SimSun" w:cs="SimSun"/>
          <w:sz w:val="21"/>
          <w:szCs w:val="21"/>
        </w:rPr>
      </w:pPr>
      <w:r>
        <w:rPr>
          <w:rFonts w:ascii="SimSun" w:hAnsi="SimSun" w:eastAsia="SimSun" w:cs="SimSun"/>
          <w:sz w:val="21"/>
          <w:szCs w:val="21"/>
          <w:spacing w:val="-11"/>
        </w:rPr>
        <w:t>由于行业协会的成员大多是某一行业的经营者，相互之间往</w:t>
      </w:r>
      <w:r>
        <w:rPr>
          <w:rFonts w:ascii="SimSun" w:hAnsi="SimSun" w:eastAsia="SimSun" w:cs="SimSun"/>
          <w:sz w:val="21"/>
          <w:szCs w:val="21"/>
          <w:spacing w:val="-12"/>
        </w:rPr>
        <w:t>往具</w:t>
      </w:r>
      <w:r>
        <w:rPr>
          <w:rFonts w:ascii="SimSun" w:hAnsi="SimSun" w:eastAsia="SimSun" w:cs="SimSun"/>
          <w:sz w:val="21"/>
          <w:szCs w:val="21"/>
        </w:rPr>
        <w:t xml:space="preserve"> </w:t>
      </w:r>
      <w:r>
        <w:rPr>
          <w:rFonts w:ascii="SimSun" w:hAnsi="SimSun" w:eastAsia="SimSun" w:cs="SimSun"/>
          <w:sz w:val="21"/>
          <w:szCs w:val="21"/>
          <w:spacing w:val="-11"/>
        </w:rPr>
        <w:t>有竞争关系。行业协会又是行业的自律与自治机构，承载着管理、监</w:t>
      </w:r>
      <w:r>
        <w:rPr>
          <w:rFonts w:ascii="SimSun" w:hAnsi="SimSun" w:eastAsia="SimSun" w:cs="SimSun"/>
          <w:sz w:val="21"/>
          <w:szCs w:val="21"/>
          <w:spacing w:val="7"/>
        </w:rPr>
        <w:t xml:space="preserve"> </w:t>
      </w:r>
      <w:r>
        <w:rPr>
          <w:rFonts w:ascii="SimSun" w:hAnsi="SimSun" w:eastAsia="SimSun" w:cs="SimSun"/>
          <w:sz w:val="21"/>
          <w:szCs w:val="21"/>
          <w:spacing w:val="-11"/>
        </w:rPr>
        <w:t>督、协调各成员企业的职能。当具有竞争关系的经营者汇聚于行业协</w:t>
      </w:r>
      <w:r>
        <w:rPr>
          <w:rFonts w:ascii="SimSun" w:hAnsi="SimSun" w:eastAsia="SimSun" w:cs="SimSun"/>
          <w:sz w:val="21"/>
          <w:szCs w:val="21"/>
          <w:spacing w:val="9"/>
        </w:rPr>
        <w:t xml:space="preserve"> </w:t>
      </w:r>
      <w:r>
        <w:rPr>
          <w:rFonts w:ascii="SimSun" w:hAnsi="SimSun" w:eastAsia="SimSun" w:cs="SimSun"/>
          <w:sz w:val="21"/>
          <w:szCs w:val="21"/>
          <w:spacing w:val="-11"/>
        </w:rPr>
        <w:t>会这个平台，就极有可能借助行业自治规范有意或无意达成限制市场</w:t>
      </w:r>
      <w:r>
        <w:rPr>
          <w:rFonts w:ascii="SimSun" w:hAnsi="SimSun" w:eastAsia="SimSun" w:cs="SimSun"/>
          <w:sz w:val="21"/>
          <w:szCs w:val="21"/>
          <w:spacing w:val="11"/>
        </w:rPr>
        <w:t xml:space="preserve"> </w:t>
      </w:r>
      <w:r>
        <w:rPr>
          <w:rFonts w:ascii="SimSun" w:hAnsi="SimSun" w:eastAsia="SimSun" w:cs="SimSun"/>
          <w:sz w:val="21"/>
          <w:szCs w:val="21"/>
          <w:spacing w:val="-11"/>
        </w:rPr>
        <w:t>竞争的垄断协议。因此，行业协议针对垄断协议的行为进行自查与促</w:t>
      </w:r>
      <w:r>
        <w:rPr>
          <w:rFonts w:ascii="SimSun" w:hAnsi="SimSun" w:eastAsia="SimSun" w:cs="SimSun"/>
          <w:sz w:val="21"/>
          <w:szCs w:val="21"/>
          <w:spacing w:val="7"/>
        </w:rPr>
        <w:t xml:space="preserve"> </w:t>
      </w:r>
      <w:r>
        <w:rPr>
          <w:rFonts w:ascii="SimSun" w:hAnsi="SimSun" w:eastAsia="SimSun" w:cs="SimSun"/>
          <w:sz w:val="21"/>
          <w:szCs w:val="21"/>
        </w:rPr>
        <w:t>进行业内成员企业的合规显得尤为重要。2021年1</w:t>
      </w:r>
      <w:r>
        <w:rPr>
          <w:rFonts w:ascii="SimSun" w:hAnsi="SimSun" w:eastAsia="SimSun" w:cs="SimSun"/>
          <w:sz w:val="21"/>
          <w:szCs w:val="21"/>
          <w:spacing w:val="-1"/>
        </w:rPr>
        <w:t>月26日，中国水</w:t>
      </w:r>
      <w:r>
        <w:rPr>
          <w:rFonts w:ascii="SimSun" w:hAnsi="SimSun" w:eastAsia="SimSun" w:cs="SimSun"/>
          <w:sz w:val="21"/>
          <w:szCs w:val="21"/>
        </w:rPr>
        <w:t xml:space="preserve"> </w:t>
      </w:r>
      <w:r>
        <w:rPr>
          <w:rFonts w:ascii="SimSun" w:hAnsi="SimSun" w:eastAsia="SimSun" w:cs="SimSun"/>
          <w:sz w:val="21"/>
          <w:szCs w:val="21"/>
          <w:spacing w:val="-11"/>
        </w:rPr>
        <w:t>泥协会发布《关于进一步学习贯彻〈反垄断法》切实维护水泥市场公</w:t>
      </w:r>
      <w:r>
        <w:rPr>
          <w:rFonts w:ascii="SimSun" w:hAnsi="SimSun" w:eastAsia="SimSun" w:cs="SimSun"/>
          <w:sz w:val="21"/>
          <w:szCs w:val="21"/>
          <w:spacing w:val="10"/>
        </w:rPr>
        <w:t xml:space="preserve"> </w:t>
      </w:r>
      <w:r>
        <w:rPr>
          <w:rFonts w:ascii="SimSun" w:hAnsi="SimSun" w:eastAsia="SimSun" w:cs="SimSun"/>
          <w:sz w:val="21"/>
          <w:szCs w:val="21"/>
          <w:spacing w:val="-7"/>
        </w:rPr>
        <w:t>平竞争的通知》,要求规范水泥市场价格，抵制不</w:t>
      </w:r>
      <w:r>
        <w:rPr>
          <w:rFonts w:ascii="SimSun" w:hAnsi="SimSun" w:eastAsia="SimSun" w:cs="SimSun"/>
          <w:sz w:val="21"/>
          <w:szCs w:val="21"/>
          <w:spacing w:val="-8"/>
        </w:rPr>
        <w:t>正当竞争行为，严</w:t>
      </w:r>
      <w:r>
        <w:rPr>
          <w:rFonts w:ascii="SimSun" w:hAnsi="SimSun" w:eastAsia="SimSun" w:cs="SimSun"/>
          <w:sz w:val="21"/>
          <w:szCs w:val="21"/>
        </w:rPr>
        <w:t xml:space="preserve"> </w:t>
      </w:r>
      <w:r>
        <w:rPr>
          <w:rFonts w:ascii="SimSun" w:hAnsi="SimSun" w:eastAsia="SimSun" w:cs="SimSun"/>
          <w:sz w:val="21"/>
          <w:szCs w:val="21"/>
          <w:spacing w:val="-12"/>
        </w:rPr>
        <w:t>格执行反垄断和反不正当竞争相关法律法规。</w:t>
      </w:r>
    </w:p>
    <w:p>
      <w:pPr>
        <w:ind w:firstLine="409"/>
        <w:spacing w:before="106" w:line="308" w:lineRule="auto"/>
        <w:jc w:val="both"/>
        <w:rPr>
          <w:rFonts w:ascii="SimSun" w:hAnsi="SimSun" w:eastAsia="SimSun" w:cs="SimSun"/>
          <w:sz w:val="21"/>
          <w:szCs w:val="21"/>
        </w:rPr>
      </w:pPr>
      <w:r>
        <w:rPr>
          <w:rFonts w:ascii="SimSun" w:hAnsi="SimSun" w:eastAsia="SimSun" w:cs="SimSun"/>
          <w:sz w:val="21"/>
          <w:szCs w:val="21"/>
        </w:rPr>
        <w:t>2021年7月，中国互联网大会“创新和知识产权发展论坛”在 </w:t>
      </w:r>
      <w:r>
        <w:rPr>
          <w:rFonts w:ascii="SimSun" w:hAnsi="SimSun" w:eastAsia="SimSun" w:cs="SimSun"/>
          <w:sz w:val="21"/>
          <w:szCs w:val="21"/>
          <w:spacing w:val="-11"/>
        </w:rPr>
        <w:t>北京举行，阿里巴巴、腾讯、字节跳动、华为、百度、京东、科大讯</w:t>
      </w:r>
      <w:r>
        <w:rPr>
          <w:rFonts w:ascii="SimSun" w:hAnsi="SimSun" w:eastAsia="SimSun" w:cs="SimSun"/>
          <w:sz w:val="21"/>
          <w:szCs w:val="21"/>
          <w:spacing w:val="4"/>
        </w:rPr>
        <w:t xml:space="preserve">  </w:t>
      </w:r>
      <w:r>
        <w:rPr>
          <w:rFonts w:ascii="SimSun" w:hAnsi="SimSun" w:eastAsia="SimSun" w:cs="SimSun"/>
          <w:sz w:val="21"/>
          <w:szCs w:val="21"/>
          <w:spacing w:val="-4"/>
        </w:rPr>
        <w:t>飞等33家互联网企业在会上签订《互联网平台经营者反垄断自律公</w:t>
      </w:r>
      <w:r>
        <w:rPr>
          <w:rFonts w:ascii="SimSun" w:hAnsi="SimSun" w:eastAsia="SimSun" w:cs="SimSun"/>
          <w:sz w:val="21"/>
          <w:szCs w:val="21"/>
          <w:spacing w:val="5"/>
        </w:rPr>
        <w:t xml:space="preserve">  </w:t>
      </w:r>
      <w:r>
        <w:rPr>
          <w:rFonts w:ascii="SimSun" w:hAnsi="SimSun" w:eastAsia="SimSun" w:cs="SimSun"/>
          <w:sz w:val="21"/>
          <w:szCs w:val="21"/>
          <w:spacing w:val="-14"/>
        </w:rPr>
        <w:t>约》(以下简称《公约》)。《公约》分为总则、基本原则、自律内容、</w:t>
      </w:r>
      <w:r>
        <w:rPr>
          <w:rFonts w:ascii="SimSun" w:hAnsi="SimSun" w:eastAsia="SimSun" w:cs="SimSun"/>
          <w:sz w:val="21"/>
          <w:szCs w:val="21"/>
          <w:spacing w:val="11"/>
        </w:rPr>
        <w:t xml:space="preserve"> </w:t>
      </w:r>
      <w:r>
        <w:rPr>
          <w:rFonts w:ascii="SimSun" w:hAnsi="SimSun" w:eastAsia="SimSun" w:cs="SimSun"/>
          <w:sz w:val="21"/>
          <w:szCs w:val="21"/>
          <w:spacing w:val="-10"/>
        </w:rPr>
        <w:t>公约执行、附则等五个章节共十四个条款，主要涵盖</w:t>
      </w:r>
      <w:r>
        <w:rPr>
          <w:rFonts w:ascii="SimSun" w:hAnsi="SimSun" w:eastAsia="SimSun" w:cs="SimSun"/>
          <w:sz w:val="21"/>
          <w:szCs w:val="21"/>
          <w:spacing w:val="-11"/>
        </w:rPr>
        <w:t>垄断协议、滥用</w:t>
      </w:r>
      <w:r>
        <w:rPr>
          <w:rFonts w:ascii="SimSun" w:hAnsi="SimSun" w:eastAsia="SimSun" w:cs="SimSun"/>
          <w:sz w:val="21"/>
          <w:szCs w:val="21"/>
        </w:rPr>
        <w:t xml:space="preserve"> </w:t>
      </w:r>
      <w:r>
        <w:rPr>
          <w:rFonts w:ascii="SimSun" w:hAnsi="SimSun" w:eastAsia="SimSun" w:cs="SimSun"/>
          <w:sz w:val="21"/>
          <w:szCs w:val="21"/>
          <w:spacing w:val="-11"/>
        </w:rPr>
        <w:t>市场支配地位、经营者集中等内容。垄断协议方面，《公约》规定具</w:t>
      </w:r>
      <w:r>
        <w:rPr>
          <w:rFonts w:ascii="SimSun" w:hAnsi="SimSun" w:eastAsia="SimSun" w:cs="SimSun"/>
          <w:sz w:val="21"/>
          <w:szCs w:val="21"/>
          <w:spacing w:val="5"/>
        </w:rPr>
        <w:t xml:space="preserve">  </w:t>
      </w:r>
      <w:r>
        <w:rPr>
          <w:rFonts w:ascii="SimSun" w:hAnsi="SimSun" w:eastAsia="SimSun" w:cs="SimSun"/>
          <w:sz w:val="21"/>
          <w:szCs w:val="21"/>
          <w:spacing w:val="-11"/>
        </w:rPr>
        <w:t>有竞争关系的互联网平台经营者不得利用技术手段、平台规则等形式</w:t>
      </w:r>
      <w:r>
        <w:rPr>
          <w:rFonts w:ascii="SimSun" w:hAnsi="SimSun" w:eastAsia="SimSun" w:cs="SimSun"/>
          <w:sz w:val="21"/>
          <w:szCs w:val="21"/>
          <w:spacing w:val="3"/>
        </w:rPr>
        <w:t xml:space="preserve">  </w:t>
      </w:r>
      <w:r>
        <w:rPr>
          <w:rFonts w:ascii="SimSun" w:hAnsi="SimSun" w:eastAsia="SimSun" w:cs="SimSun"/>
          <w:sz w:val="21"/>
          <w:szCs w:val="21"/>
          <w:spacing w:val="-11"/>
        </w:rPr>
        <w:t>达成固定价格、分割市场、联合抵制交易等横向垄断协议。另外，互</w:t>
      </w:r>
      <w:r>
        <w:rPr>
          <w:rFonts w:ascii="SimSun" w:hAnsi="SimSun" w:eastAsia="SimSun" w:cs="SimSun"/>
          <w:sz w:val="21"/>
          <w:szCs w:val="21"/>
          <w:spacing w:val="3"/>
        </w:rPr>
        <w:t xml:space="preserve">  </w:t>
      </w:r>
      <w:r>
        <w:rPr>
          <w:rFonts w:ascii="SimSun" w:hAnsi="SimSun" w:eastAsia="SimSun" w:cs="SimSun"/>
          <w:sz w:val="21"/>
          <w:szCs w:val="21"/>
          <w:spacing w:val="-8"/>
        </w:rPr>
        <w:t>联网平台经营者不得利用技术手段、平台规则、数据、算法等形式，</w:t>
      </w:r>
      <w:r>
        <w:rPr>
          <w:rFonts w:ascii="SimSun" w:hAnsi="SimSun" w:eastAsia="SimSun" w:cs="SimSun"/>
          <w:sz w:val="21"/>
          <w:szCs w:val="21"/>
          <w:spacing w:val="14"/>
        </w:rPr>
        <w:t xml:space="preserve"> </w:t>
      </w:r>
      <w:r>
        <w:rPr>
          <w:rFonts w:ascii="SimSun" w:hAnsi="SimSun" w:eastAsia="SimSun" w:cs="SimSun"/>
          <w:sz w:val="21"/>
          <w:szCs w:val="21"/>
          <w:spacing w:val="-4"/>
        </w:rPr>
        <w:t>与交易相对人达成固定转售价格、限定最低转售价格等纵向垄断协</w:t>
      </w:r>
      <w:r>
        <w:rPr>
          <w:rFonts w:ascii="SimSun" w:hAnsi="SimSun" w:eastAsia="SimSun" w:cs="SimSun"/>
          <w:sz w:val="21"/>
          <w:szCs w:val="21"/>
          <w:spacing w:val="3"/>
        </w:rPr>
        <w:t xml:space="preserve">  </w:t>
      </w:r>
      <w:r>
        <w:rPr>
          <w:rFonts w:ascii="SimSun" w:hAnsi="SimSun" w:eastAsia="SimSun" w:cs="SimSun"/>
          <w:sz w:val="21"/>
          <w:szCs w:val="21"/>
          <w:spacing w:val="-9"/>
        </w:rPr>
        <w:t>议等。</w:t>
      </w:r>
    </w:p>
    <w:p>
      <w:pPr>
        <w:ind w:right="89" w:firstLine="409"/>
        <w:spacing w:before="110" w:line="268" w:lineRule="auto"/>
        <w:jc w:val="both"/>
        <w:rPr>
          <w:rFonts w:ascii="SimSun" w:hAnsi="SimSun" w:eastAsia="SimSun" w:cs="SimSun"/>
          <w:sz w:val="21"/>
          <w:szCs w:val="21"/>
        </w:rPr>
      </w:pPr>
      <w:r>
        <w:rPr>
          <w:rFonts w:ascii="SimSun" w:hAnsi="SimSun" w:eastAsia="SimSun" w:cs="SimSun"/>
          <w:sz w:val="21"/>
          <w:szCs w:val="21"/>
          <w:spacing w:val="-11"/>
        </w:rPr>
        <w:t>行业协会应当成为真正的会员制自律组织，由此提高行业协会的</w:t>
      </w:r>
      <w:r>
        <w:rPr>
          <w:rFonts w:ascii="SimSun" w:hAnsi="SimSun" w:eastAsia="SimSun" w:cs="SimSun"/>
          <w:sz w:val="21"/>
          <w:szCs w:val="21"/>
          <w:spacing w:val="2"/>
        </w:rPr>
        <w:t xml:space="preserve"> </w:t>
      </w:r>
      <w:r>
        <w:rPr>
          <w:rFonts w:ascii="SimSun" w:hAnsi="SimSun" w:eastAsia="SimSun" w:cs="SimSun"/>
          <w:sz w:val="21"/>
          <w:szCs w:val="21"/>
          <w:spacing w:val="-12"/>
        </w:rPr>
        <w:t>管理水平和自律能力，这是我国实行自我监管的必由之路。</w:t>
      </w:r>
    </w:p>
    <w:p>
      <w:pPr>
        <w:pStyle w:val="BodyText"/>
        <w:spacing w:line="391" w:lineRule="auto"/>
        <w:rPr/>
      </w:pPr>
      <w:r/>
    </w:p>
    <w:p>
      <w:pPr>
        <w:ind w:left="3"/>
        <w:spacing w:before="81" w:line="219" w:lineRule="auto"/>
        <w:rPr>
          <w:rFonts w:ascii="SimHei" w:hAnsi="SimHei" w:eastAsia="SimHei" w:cs="SimHei"/>
          <w:sz w:val="25"/>
          <w:szCs w:val="25"/>
        </w:rPr>
      </w:pPr>
      <w:r>
        <w:rPr>
          <w:rFonts w:ascii="SimHei" w:hAnsi="SimHei" w:eastAsia="SimHei" w:cs="SimHei"/>
          <w:sz w:val="25"/>
          <w:szCs w:val="25"/>
          <w:b/>
          <w:bCs/>
          <w:spacing w:val="-15"/>
        </w:rPr>
        <w:t>公司合规和社会执行</w:t>
      </w:r>
    </w:p>
    <w:p>
      <w:pPr>
        <w:pStyle w:val="BodyText"/>
        <w:spacing w:line="348" w:lineRule="auto"/>
        <w:rPr/>
      </w:pPr>
      <w:r/>
    </w:p>
    <w:p>
      <w:pPr>
        <w:ind w:firstLine="409"/>
        <w:spacing w:before="68" w:line="265" w:lineRule="auto"/>
        <w:rPr>
          <w:rFonts w:ascii="SimSun" w:hAnsi="SimSun" w:eastAsia="SimSun" w:cs="SimSun"/>
          <w:sz w:val="21"/>
          <w:szCs w:val="21"/>
        </w:rPr>
      </w:pPr>
      <w:r>
        <w:rPr>
          <w:rFonts w:ascii="SimSun" w:hAnsi="SimSun" w:eastAsia="SimSun" w:cs="SimSun"/>
          <w:sz w:val="21"/>
          <w:szCs w:val="21"/>
          <w:spacing w:val="1"/>
        </w:rPr>
        <w:t>国务院反垄断委员会于2020年9月出台了《经营者反垄断合规</w:t>
      </w:r>
      <w:r>
        <w:rPr>
          <w:rFonts w:ascii="SimSun" w:hAnsi="SimSun" w:eastAsia="SimSun" w:cs="SimSun"/>
          <w:sz w:val="21"/>
          <w:szCs w:val="21"/>
          <w:spacing w:val="14"/>
        </w:rPr>
        <w:t xml:space="preserve"> </w:t>
      </w:r>
      <w:r>
        <w:rPr>
          <w:rFonts w:ascii="SimSun" w:hAnsi="SimSun" w:eastAsia="SimSun" w:cs="SimSun"/>
          <w:sz w:val="21"/>
          <w:szCs w:val="21"/>
          <w:spacing w:val="-4"/>
        </w:rPr>
        <w:t>指南》,此后浙江、天津、上海、四川、贵州、河北、河南、湖</w:t>
      </w:r>
      <w:r>
        <w:rPr>
          <w:rFonts w:ascii="SimSun" w:hAnsi="SimSun" w:eastAsia="SimSun" w:cs="SimSun"/>
          <w:sz w:val="21"/>
          <w:szCs w:val="21"/>
          <w:spacing w:val="-5"/>
        </w:rPr>
        <w:t>北、</w:t>
      </w:r>
    </w:p>
    <w:p>
      <w:pPr>
        <w:spacing w:line="265" w:lineRule="auto"/>
        <w:sectPr>
          <w:headerReference w:type="default" r:id="rId580"/>
          <w:pgSz w:w="7330" w:h="12480"/>
          <w:pgMar w:top="805" w:right="674" w:bottom="400" w:left="580" w:header="643" w:footer="0" w:gutter="0"/>
        </w:sectPr>
        <w:rPr>
          <w:rFonts w:ascii="SimSun" w:hAnsi="SimSun" w:eastAsia="SimSun" w:cs="SimSun"/>
          <w:sz w:val="21"/>
          <w:szCs w:val="21"/>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104" w:right="96"/>
        <w:spacing w:before="68" w:line="284" w:lineRule="auto"/>
        <w:jc w:val="both"/>
        <w:rPr>
          <w:rFonts w:ascii="SimSun" w:hAnsi="SimSun" w:eastAsia="SimSun" w:cs="SimSun"/>
          <w:sz w:val="21"/>
          <w:szCs w:val="21"/>
        </w:rPr>
      </w:pPr>
      <w:r>
        <w:rPr>
          <w:rFonts w:ascii="SimSun" w:hAnsi="SimSun" w:eastAsia="SimSun" w:cs="SimSun"/>
          <w:sz w:val="21"/>
          <w:szCs w:val="21"/>
          <w:spacing w:val="-11"/>
        </w:rPr>
        <w:t>湖南、山东等地相继推出地方经营者反垄断合规指引。目前企业的反</w:t>
      </w:r>
      <w:r>
        <w:rPr>
          <w:rFonts w:ascii="SimSun" w:hAnsi="SimSun" w:eastAsia="SimSun" w:cs="SimSun"/>
          <w:sz w:val="21"/>
          <w:szCs w:val="21"/>
          <w:spacing w:val="5"/>
        </w:rPr>
        <w:t xml:space="preserve"> </w:t>
      </w:r>
      <w:r>
        <w:rPr>
          <w:rFonts w:ascii="SimSun" w:hAnsi="SimSun" w:eastAsia="SimSun" w:cs="SimSun"/>
          <w:sz w:val="21"/>
          <w:szCs w:val="21"/>
          <w:spacing w:val="-11"/>
        </w:rPr>
        <w:t>垄断合规主要聚焦于完善合规组织架构、重点领域风险识别、平台企</w:t>
      </w:r>
      <w:r>
        <w:rPr>
          <w:rFonts w:ascii="SimSun" w:hAnsi="SimSun" w:eastAsia="SimSun" w:cs="SimSun"/>
          <w:sz w:val="21"/>
          <w:szCs w:val="21"/>
          <w:spacing w:val="7"/>
        </w:rPr>
        <w:t xml:space="preserve"> </w:t>
      </w:r>
      <w:r>
        <w:rPr>
          <w:rFonts w:ascii="SimSun" w:hAnsi="SimSun" w:eastAsia="SimSun" w:cs="SimSun"/>
          <w:sz w:val="21"/>
          <w:szCs w:val="21"/>
          <w:spacing w:val="-11"/>
        </w:rPr>
        <w:t>业高风险敏感行为、建立健全风险处置机制四个方面。</w:t>
      </w:r>
    </w:p>
    <w:p>
      <w:pPr>
        <w:ind w:left="104" w:firstLine="429"/>
        <w:spacing w:before="110" w:line="303" w:lineRule="auto"/>
        <w:jc w:val="both"/>
        <w:rPr>
          <w:rFonts w:ascii="SimSun" w:hAnsi="SimSun" w:eastAsia="SimSun" w:cs="SimSun"/>
          <w:sz w:val="21"/>
          <w:szCs w:val="21"/>
        </w:rPr>
      </w:pPr>
      <w:r>
        <w:rPr>
          <w:rFonts w:ascii="SimSun" w:hAnsi="SimSun" w:eastAsia="SimSun" w:cs="SimSun"/>
          <w:sz w:val="21"/>
          <w:szCs w:val="21"/>
          <w:spacing w:val="-12"/>
        </w:rPr>
        <w:t>第一，完善合规组织架构，企业可根据业务状况、规模大小、行</w:t>
      </w:r>
      <w:r>
        <w:rPr>
          <w:rFonts w:ascii="SimSun" w:hAnsi="SimSun" w:eastAsia="SimSun" w:cs="SimSun"/>
          <w:sz w:val="21"/>
          <w:szCs w:val="21"/>
          <w:spacing w:val="7"/>
        </w:rPr>
        <w:t xml:space="preserve">  </w:t>
      </w:r>
      <w:r>
        <w:rPr>
          <w:rFonts w:ascii="SimSun" w:hAnsi="SimSun" w:eastAsia="SimSun" w:cs="SimSun"/>
          <w:sz w:val="21"/>
          <w:szCs w:val="21"/>
          <w:spacing w:val="-11"/>
        </w:rPr>
        <w:t>业特性等，建立反垄断合规管理制度，或将其嵌入现有合规管理制度</w:t>
      </w:r>
      <w:r>
        <w:rPr>
          <w:rFonts w:ascii="SimSun" w:hAnsi="SimSun" w:eastAsia="SimSun" w:cs="SimSun"/>
          <w:sz w:val="21"/>
          <w:szCs w:val="21"/>
          <w:spacing w:val="5"/>
        </w:rPr>
        <w:t xml:space="preserve">  </w:t>
      </w:r>
      <w:r>
        <w:rPr>
          <w:rFonts w:ascii="SimSun" w:hAnsi="SimSun" w:eastAsia="SimSun" w:cs="SimSun"/>
          <w:sz w:val="21"/>
          <w:szCs w:val="21"/>
          <w:spacing w:val="-8"/>
        </w:rPr>
        <w:t>框架。多地合规指引也鼓励企业对职员进行持续且定期的相关培训，</w:t>
      </w:r>
      <w:r>
        <w:rPr>
          <w:rFonts w:ascii="SimSun" w:hAnsi="SimSun" w:eastAsia="SimSun" w:cs="SimSun"/>
          <w:sz w:val="21"/>
          <w:szCs w:val="21"/>
          <w:spacing w:val="13"/>
        </w:rPr>
        <w:t xml:space="preserve"> </w:t>
      </w:r>
      <w:r>
        <w:rPr>
          <w:rFonts w:ascii="SimSun" w:hAnsi="SimSun" w:eastAsia="SimSun" w:cs="SimSun"/>
          <w:sz w:val="21"/>
          <w:szCs w:val="21"/>
          <w:spacing w:val="-8"/>
        </w:rPr>
        <w:t>确保其知悉不可为的事项以及正确的应对处置方式。其中，上海市、</w:t>
      </w:r>
      <w:r>
        <w:rPr>
          <w:rFonts w:ascii="SimSun" w:hAnsi="SimSun" w:eastAsia="SimSun" w:cs="SimSun"/>
          <w:sz w:val="21"/>
          <w:szCs w:val="21"/>
          <w:spacing w:val="14"/>
        </w:rPr>
        <w:t xml:space="preserve"> </w:t>
      </w:r>
      <w:r>
        <w:rPr>
          <w:rFonts w:ascii="SimSun" w:hAnsi="SimSun" w:eastAsia="SimSun" w:cs="SimSun"/>
          <w:sz w:val="21"/>
          <w:szCs w:val="21"/>
          <w:spacing w:val="-11"/>
        </w:rPr>
        <w:t>浙江省的指引特别提出，应对负责销售、采购、销售网络管理、联络</w:t>
      </w:r>
      <w:r>
        <w:rPr>
          <w:rFonts w:ascii="SimSun" w:hAnsi="SimSun" w:eastAsia="SimSun" w:cs="SimSun"/>
          <w:sz w:val="21"/>
          <w:szCs w:val="21"/>
          <w:spacing w:val="4"/>
        </w:rPr>
        <w:t xml:space="preserve">  </w:t>
      </w:r>
      <w:r>
        <w:rPr>
          <w:rFonts w:ascii="SimSun" w:hAnsi="SimSun" w:eastAsia="SimSun" w:cs="SimSun"/>
          <w:sz w:val="21"/>
          <w:szCs w:val="21"/>
          <w:spacing w:val="-4"/>
        </w:rPr>
        <w:t>行业协会及参加行业活动、价格及商务政策制定等高风险岗位的职</w:t>
      </w:r>
      <w:r>
        <w:rPr>
          <w:rFonts w:ascii="SimSun" w:hAnsi="SimSun" w:eastAsia="SimSun" w:cs="SimSun"/>
          <w:sz w:val="21"/>
          <w:szCs w:val="21"/>
          <w:spacing w:val="3"/>
        </w:rPr>
        <w:t xml:space="preserve">  </w:t>
      </w:r>
      <w:r>
        <w:rPr>
          <w:rFonts w:ascii="SimSun" w:hAnsi="SimSun" w:eastAsia="SimSun" w:cs="SimSun"/>
          <w:sz w:val="21"/>
          <w:szCs w:val="21"/>
          <w:spacing w:val="-12"/>
        </w:rPr>
        <w:t>员，进行更为细致而深入的专门培训。</w:t>
      </w:r>
    </w:p>
    <w:p>
      <w:pPr>
        <w:ind w:left="104" w:right="76" w:firstLine="429"/>
        <w:spacing w:before="112" w:line="308" w:lineRule="auto"/>
        <w:jc w:val="both"/>
        <w:rPr>
          <w:rFonts w:ascii="SimSun" w:hAnsi="SimSun" w:eastAsia="SimSun" w:cs="SimSun"/>
          <w:sz w:val="21"/>
          <w:szCs w:val="21"/>
        </w:rPr>
      </w:pPr>
      <w:r>
        <w:rPr>
          <w:rFonts w:ascii="SimSun" w:hAnsi="SimSun" w:eastAsia="SimSun" w:cs="SimSun"/>
          <w:sz w:val="21"/>
          <w:szCs w:val="21"/>
          <w:spacing w:val="-11"/>
        </w:rPr>
        <w:t>第二，对公共事业、工程建设上游企业和药品行业重</w:t>
      </w:r>
      <w:r>
        <w:rPr>
          <w:rFonts w:ascii="SimSun" w:hAnsi="SimSun" w:eastAsia="SimSun" w:cs="SimSun"/>
          <w:sz w:val="21"/>
          <w:szCs w:val="21"/>
          <w:spacing w:val="-12"/>
        </w:rPr>
        <w:t>点关注。上</w:t>
      </w:r>
      <w:r>
        <w:rPr>
          <w:rFonts w:ascii="SimSun" w:hAnsi="SimSun" w:eastAsia="SimSun" w:cs="SimSun"/>
          <w:sz w:val="21"/>
          <w:szCs w:val="21"/>
        </w:rPr>
        <w:t xml:space="preserve"> </w:t>
      </w:r>
      <w:r>
        <w:rPr>
          <w:rFonts w:ascii="SimSun" w:hAnsi="SimSun" w:eastAsia="SimSun" w:cs="SimSun"/>
          <w:sz w:val="21"/>
          <w:szCs w:val="21"/>
          <w:spacing w:val="-4"/>
        </w:rPr>
        <w:t>海市、湖北省等多地的指引均提出，供水、供电、供热、供气、邮</w:t>
      </w:r>
      <w:r>
        <w:rPr>
          <w:rFonts w:ascii="SimSun" w:hAnsi="SimSun" w:eastAsia="SimSun" w:cs="SimSun"/>
          <w:sz w:val="21"/>
          <w:szCs w:val="21"/>
          <w:spacing w:val="7"/>
        </w:rPr>
        <w:t xml:space="preserve"> </w:t>
      </w:r>
      <w:r>
        <w:rPr>
          <w:rFonts w:ascii="SimSun" w:hAnsi="SimSun" w:eastAsia="SimSun" w:cs="SimSun"/>
          <w:sz w:val="21"/>
          <w:szCs w:val="21"/>
          <w:spacing w:val="-11"/>
        </w:rPr>
        <w:t>政、电信、交通运输等公共事业经营者在相关市场易被推定具有市场</w:t>
      </w:r>
      <w:r>
        <w:rPr>
          <w:rFonts w:ascii="SimSun" w:hAnsi="SimSun" w:eastAsia="SimSun" w:cs="SimSun"/>
          <w:sz w:val="21"/>
          <w:szCs w:val="21"/>
          <w:spacing w:val="11"/>
        </w:rPr>
        <w:t xml:space="preserve"> </w:t>
      </w:r>
      <w:r>
        <w:rPr>
          <w:rFonts w:ascii="SimSun" w:hAnsi="SimSun" w:eastAsia="SimSun" w:cs="SimSun"/>
          <w:sz w:val="21"/>
          <w:szCs w:val="21"/>
          <w:spacing w:val="-11"/>
        </w:rPr>
        <w:t>支配地位，应特别注意不得滥用市场支配地位。生产水泥、砂石、混</w:t>
      </w:r>
      <w:r>
        <w:rPr>
          <w:rFonts w:ascii="SimSun" w:hAnsi="SimSun" w:eastAsia="SimSun" w:cs="SimSun"/>
          <w:sz w:val="21"/>
          <w:szCs w:val="21"/>
          <w:spacing w:val="7"/>
        </w:rPr>
        <w:t xml:space="preserve"> </w:t>
      </w:r>
      <w:r>
        <w:rPr>
          <w:rFonts w:ascii="SimSun" w:hAnsi="SimSun" w:eastAsia="SimSun" w:cs="SimSun"/>
          <w:sz w:val="21"/>
          <w:szCs w:val="21"/>
          <w:spacing w:val="-11"/>
        </w:rPr>
        <w:t>凝土等的企业，由于商品自身特点，无法运送到较远地方销售，本地</w:t>
      </w:r>
      <w:r>
        <w:rPr>
          <w:rFonts w:ascii="SimSun" w:hAnsi="SimSun" w:eastAsia="SimSun" w:cs="SimSun"/>
          <w:sz w:val="21"/>
          <w:szCs w:val="21"/>
          <w:spacing w:val="6"/>
        </w:rPr>
        <w:t xml:space="preserve"> </w:t>
      </w:r>
      <w:r>
        <w:rPr>
          <w:rFonts w:ascii="SimSun" w:hAnsi="SimSun" w:eastAsia="SimSun" w:cs="SimSun"/>
          <w:sz w:val="21"/>
          <w:szCs w:val="21"/>
          <w:spacing w:val="-11"/>
        </w:rPr>
        <w:t>化销售特征明显，各相关市场经营主体应当根据市场情况，独立行使</w:t>
      </w:r>
      <w:r>
        <w:rPr>
          <w:rFonts w:ascii="SimSun" w:hAnsi="SimSun" w:eastAsia="SimSun" w:cs="SimSun"/>
          <w:sz w:val="21"/>
          <w:szCs w:val="21"/>
          <w:spacing w:val="9"/>
        </w:rPr>
        <w:t xml:space="preserve"> </w:t>
      </w:r>
      <w:r>
        <w:rPr>
          <w:rFonts w:ascii="SimSun" w:hAnsi="SimSun" w:eastAsia="SimSun" w:cs="SimSun"/>
          <w:sz w:val="21"/>
          <w:szCs w:val="21"/>
          <w:spacing w:val="-11"/>
        </w:rPr>
        <w:t>定价、销售决策，严禁达成垄断协议。原料药产业由于对生产药品具</w:t>
      </w:r>
      <w:r>
        <w:rPr>
          <w:rFonts w:ascii="SimSun" w:hAnsi="SimSun" w:eastAsia="SimSun" w:cs="SimSun"/>
          <w:sz w:val="21"/>
          <w:szCs w:val="21"/>
          <w:spacing w:val="9"/>
        </w:rPr>
        <w:t xml:space="preserve"> </w:t>
      </w:r>
      <w:r>
        <w:rPr>
          <w:rFonts w:ascii="SimSun" w:hAnsi="SimSun" w:eastAsia="SimSun" w:cs="SimSun"/>
          <w:sz w:val="21"/>
          <w:szCs w:val="21"/>
          <w:spacing w:val="-11"/>
        </w:rPr>
        <w:t>有特殊作用，特别是短缺药、小品种药的原料药生产和销售，有经营</w:t>
      </w:r>
      <w:r>
        <w:rPr>
          <w:rFonts w:ascii="SimSun" w:hAnsi="SimSun" w:eastAsia="SimSun" w:cs="SimSun"/>
          <w:sz w:val="21"/>
          <w:szCs w:val="21"/>
          <w:spacing w:val="12"/>
        </w:rPr>
        <w:t xml:space="preserve"> </w:t>
      </w:r>
      <w:r>
        <w:rPr>
          <w:rFonts w:ascii="SimSun" w:hAnsi="SimSun" w:eastAsia="SimSun" w:cs="SimSun"/>
          <w:sz w:val="21"/>
          <w:szCs w:val="21"/>
          <w:spacing w:val="-11"/>
        </w:rPr>
        <w:t>者数量少、市场集中度高的特点，具有较高的反垄断合规风险，因此</w:t>
      </w:r>
      <w:r>
        <w:rPr>
          <w:rFonts w:ascii="SimSun" w:hAnsi="SimSun" w:eastAsia="SimSun" w:cs="SimSun"/>
          <w:sz w:val="21"/>
          <w:szCs w:val="21"/>
          <w:spacing w:val="6"/>
        </w:rPr>
        <w:t xml:space="preserve"> </w:t>
      </w:r>
      <w:r>
        <w:rPr>
          <w:rFonts w:ascii="SimSun" w:hAnsi="SimSun" w:eastAsia="SimSun" w:cs="SimSun"/>
          <w:sz w:val="21"/>
          <w:szCs w:val="21"/>
          <w:spacing w:val="-11"/>
        </w:rPr>
        <w:t>也被多地的指引提及。需要指出的是，各地针对公共事业的指引，未</w:t>
      </w:r>
      <w:r>
        <w:rPr>
          <w:rFonts w:ascii="SimSun" w:hAnsi="SimSun" w:eastAsia="SimSun" w:cs="SimSun"/>
          <w:sz w:val="21"/>
          <w:szCs w:val="21"/>
          <w:spacing w:val="9"/>
        </w:rPr>
        <w:t xml:space="preserve"> </w:t>
      </w:r>
      <w:r>
        <w:rPr>
          <w:rFonts w:ascii="SimSun" w:hAnsi="SimSun" w:eastAsia="SimSun" w:cs="SimSun"/>
          <w:sz w:val="21"/>
          <w:szCs w:val="21"/>
          <w:spacing w:val="-11"/>
        </w:rPr>
        <w:t>梳理清楚监管部门与反垄断部门的管辖权限，在未经充分论证的情况</w:t>
      </w:r>
      <w:r>
        <w:rPr>
          <w:rFonts w:ascii="SimSun" w:hAnsi="SimSun" w:eastAsia="SimSun" w:cs="SimSun"/>
          <w:sz w:val="21"/>
          <w:szCs w:val="21"/>
          <w:spacing w:val="7"/>
        </w:rPr>
        <w:t xml:space="preserve"> </w:t>
      </w:r>
      <w:r>
        <w:rPr>
          <w:rFonts w:ascii="SimSun" w:hAnsi="SimSun" w:eastAsia="SimSun" w:cs="SimSun"/>
          <w:sz w:val="21"/>
          <w:szCs w:val="21"/>
          <w:spacing w:val="-12"/>
        </w:rPr>
        <w:t>下将公共事业纳入了反垄断的管辖范围。</w:t>
      </w:r>
    </w:p>
    <w:p>
      <w:pPr>
        <w:ind w:right="51" w:firstLine="534"/>
        <w:spacing w:before="112" w:line="297" w:lineRule="auto"/>
        <w:jc w:val="both"/>
        <w:rPr>
          <w:rFonts w:ascii="SimSun" w:hAnsi="SimSun" w:eastAsia="SimSun" w:cs="SimSun"/>
          <w:sz w:val="21"/>
          <w:szCs w:val="21"/>
        </w:rPr>
      </w:pPr>
      <w:r>
        <w:rPr>
          <w:rFonts w:ascii="SimSun" w:hAnsi="SimSun" w:eastAsia="SimSun" w:cs="SimSun"/>
          <w:sz w:val="21"/>
          <w:szCs w:val="21"/>
          <w:spacing w:val="-10"/>
        </w:rPr>
        <w:t>第三，高风险敏感行为。各地的合规指引针对</w:t>
      </w:r>
      <w:r>
        <w:rPr>
          <w:rFonts w:ascii="SimSun" w:hAnsi="SimSun" w:eastAsia="SimSun" w:cs="SimSun"/>
          <w:sz w:val="21"/>
          <w:szCs w:val="21"/>
          <w:spacing w:val="-11"/>
        </w:rPr>
        <w:t>平台经营者重点指</w:t>
      </w:r>
      <w:r>
        <w:rPr>
          <w:rFonts w:ascii="SimSun" w:hAnsi="SimSun" w:eastAsia="SimSun" w:cs="SimSun"/>
          <w:sz w:val="21"/>
          <w:szCs w:val="21"/>
        </w:rPr>
        <w:t xml:space="preserve"> </w:t>
      </w:r>
      <w:r>
        <w:rPr>
          <w:rFonts w:ascii="SimSun" w:hAnsi="SimSun" w:eastAsia="SimSun" w:cs="SimSun"/>
          <w:sz w:val="21"/>
          <w:szCs w:val="21"/>
          <w:spacing w:val="-7"/>
        </w:rPr>
        <w:t>出，平台应避免限定交易、价格歧视、强制收集用户信息等行为。例</w:t>
      </w:r>
      <w:r>
        <w:rPr>
          <w:rFonts w:ascii="SimSun" w:hAnsi="SimSun" w:eastAsia="SimSun" w:cs="SimSun"/>
          <w:sz w:val="21"/>
          <w:szCs w:val="21"/>
        </w:rPr>
        <w:t xml:space="preserve"> </w:t>
      </w:r>
      <w:r>
        <w:rPr>
          <w:rFonts w:ascii="SimSun" w:hAnsi="SimSun" w:eastAsia="SimSun" w:cs="SimSun"/>
          <w:sz w:val="21"/>
          <w:szCs w:val="21"/>
          <w:spacing w:val="-7"/>
        </w:rPr>
        <w:t>如，《浙江省平台企业竞争合规指引》第十一条列举了具有鲜明平台</w:t>
      </w:r>
      <w:r>
        <w:rPr>
          <w:rFonts w:ascii="SimSun" w:hAnsi="SimSun" w:eastAsia="SimSun" w:cs="SimSun"/>
          <w:sz w:val="21"/>
          <w:szCs w:val="21"/>
          <w:spacing w:val="5"/>
        </w:rPr>
        <w:t xml:space="preserve"> </w:t>
      </w:r>
      <w:r>
        <w:rPr>
          <w:rFonts w:ascii="SimSun" w:hAnsi="SimSun" w:eastAsia="SimSun" w:cs="SimSun"/>
          <w:sz w:val="21"/>
          <w:szCs w:val="21"/>
          <w:spacing w:val="-7"/>
        </w:rPr>
        <w:t>企业特性的竞争违法行为。但值得注意的是，各地合规指引仍在沿用</w:t>
      </w:r>
      <w:r>
        <w:rPr>
          <w:rFonts w:ascii="SimSun" w:hAnsi="SimSun" w:eastAsia="SimSun" w:cs="SimSun"/>
          <w:sz w:val="21"/>
          <w:szCs w:val="21"/>
          <w:spacing w:val="8"/>
        </w:rPr>
        <w:t xml:space="preserve"> </w:t>
      </w:r>
      <w:r>
        <w:rPr>
          <w:rFonts w:ascii="SimSun" w:hAnsi="SimSun" w:eastAsia="SimSun" w:cs="SimSun"/>
          <w:sz w:val="21"/>
          <w:szCs w:val="21"/>
          <w:spacing w:val="-13"/>
        </w:rPr>
        <w:t>“大数据杀熟”“二选一”等不规范的术语，不利于</w:t>
      </w:r>
      <w:r>
        <w:rPr>
          <w:rFonts w:ascii="SimSun" w:hAnsi="SimSun" w:eastAsia="SimSun" w:cs="SimSun"/>
          <w:sz w:val="21"/>
          <w:szCs w:val="21"/>
          <w:spacing w:val="-14"/>
        </w:rPr>
        <w:t>反垄断合规的规范</w:t>
      </w:r>
    </w:p>
    <w:p>
      <w:pPr>
        <w:spacing w:line="297" w:lineRule="auto"/>
        <w:sectPr>
          <w:headerReference w:type="default" r:id="rId581"/>
          <w:pgSz w:w="7330" w:h="12480"/>
          <w:pgMar w:top="507" w:right="654" w:bottom="400" w:left="495" w:header="345" w:footer="0" w:gutter="0"/>
        </w:sectPr>
        <w:rPr>
          <w:rFonts w:ascii="SimSun" w:hAnsi="SimSun" w:eastAsia="SimSun" w:cs="SimSun"/>
          <w:sz w:val="21"/>
          <w:szCs w:val="2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15"/>
        </w:rPr>
        <w:t>性审查。</w:t>
      </w:r>
    </w:p>
    <w:p>
      <w:pPr>
        <w:ind w:right="169" w:firstLine="410"/>
        <w:spacing w:before="79" w:line="292" w:lineRule="auto"/>
        <w:jc w:val="both"/>
        <w:rPr>
          <w:rFonts w:ascii="SimSun" w:hAnsi="SimSun" w:eastAsia="SimSun" w:cs="SimSun"/>
          <w:sz w:val="21"/>
          <w:szCs w:val="21"/>
        </w:rPr>
      </w:pPr>
      <w:r>
        <w:rPr>
          <w:rFonts w:ascii="SimSun" w:hAnsi="SimSun" w:eastAsia="SimSun" w:cs="SimSun"/>
          <w:sz w:val="21"/>
          <w:szCs w:val="21"/>
          <w:spacing w:val="-10"/>
        </w:rPr>
        <w:t>第四，《经营者反垄断合规指南》和地方指引都鼓励企业建立健</w:t>
      </w:r>
      <w:r>
        <w:rPr>
          <w:rFonts w:ascii="SimSun" w:hAnsi="SimSun" w:eastAsia="SimSun" w:cs="SimSun"/>
          <w:sz w:val="21"/>
          <w:szCs w:val="21"/>
          <w:spacing w:val="6"/>
        </w:rPr>
        <w:t xml:space="preserve"> </w:t>
      </w:r>
      <w:r>
        <w:rPr>
          <w:rFonts w:ascii="SimSun" w:hAnsi="SimSun" w:eastAsia="SimSun" w:cs="SimSun"/>
          <w:sz w:val="21"/>
          <w:szCs w:val="21"/>
          <w:spacing w:val="-10"/>
        </w:rPr>
        <w:t>全风险处置机制，可以分为以下几个步骤：立即停止</w:t>
      </w:r>
      <w:r>
        <w:rPr>
          <w:rFonts w:ascii="SimSun" w:hAnsi="SimSun" w:eastAsia="SimSun" w:cs="SimSun"/>
          <w:sz w:val="21"/>
          <w:szCs w:val="21"/>
          <w:spacing w:val="-11"/>
        </w:rPr>
        <w:t>违法行为并主动</w:t>
      </w:r>
      <w:r>
        <w:rPr>
          <w:rFonts w:ascii="SimSun" w:hAnsi="SimSun" w:eastAsia="SimSun" w:cs="SimSun"/>
          <w:sz w:val="21"/>
          <w:szCs w:val="21"/>
        </w:rPr>
        <w:t xml:space="preserve"> </w:t>
      </w:r>
      <w:r>
        <w:rPr>
          <w:rFonts w:ascii="SimSun" w:hAnsi="SimSun" w:eastAsia="SimSun" w:cs="SimSun"/>
          <w:sz w:val="21"/>
          <w:szCs w:val="21"/>
          <w:spacing w:val="-11"/>
        </w:rPr>
        <w:t>向反垄断执法机构报告；积极配合反垄断执法机构的调查；采取有益</w:t>
      </w:r>
      <w:r>
        <w:rPr>
          <w:rFonts w:ascii="SimSun" w:hAnsi="SimSun" w:eastAsia="SimSun" w:cs="SimSun"/>
          <w:sz w:val="21"/>
          <w:szCs w:val="21"/>
          <w:spacing w:val="18"/>
        </w:rPr>
        <w:t xml:space="preserve"> </w:t>
      </w:r>
      <w:r>
        <w:rPr>
          <w:rFonts w:ascii="SimSun" w:hAnsi="SimSun" w:eastAsia="SimSun" w:cs="SimSun"/>
          <w:sz w:val="21"/>
          <w:szCs w:val="21"/>
          <w:spacing w:val="-12"/>
        </w:rPr>
        <w:t>措施积极应对，争取减轻甚至免除处罚。</w:t>
      </w:r>
    </w:p>
    <w:p>
      <w:pPr>
        <w:ind w:right="142" w:firstLine="410"/>
        <w:spacing w:before="121" w:line="292" w:lineRule="auto"/>
        <w:jc w:val="both"/>
        <w:rPr>
          <w:rFonts w:ascii="SimSun" w:hAnsi="SimSun" w:eastAsia="SimSun" w:cs="SimSun"/>
          <w:sz w:val="21"/>
          <w:szCs w:val="21"/>
        </w:rPr>
      </w:pPr>
      <w:r>
        <w:rPr>
          <w:rFonts w:ascii="SimSun" w:hAnsi="SimSun" w:eastAsia="SimSun" w:cs="SimSun"/>
          <w:sz w:val="21"/>
          <w:szCs w:val="21"/>
          <w:spacing w:val="-11"/>
        </w:rPr>
        <w:t>公司合规最早就是产生在反垄断法的实施之中，之后逐步扩张到</w:t>
      </w:r>
      <w:r>
        <w:rPr>
          <w:rFonts w:ascii="SimSun" w:hAnsi="SimSun" w:eastAsia="SimSun" w:cs="SimSun"/>
          <w:sz w:val="21"/>
          <w:szCs w:val="21"/>
          <w:spacing w:val="11"/>
        </w:rPr>
        <w:t xml:space="preserve"> </w:t>
      </w:r>
      <w:r>
        <w:rPr>
          <w:rFonts w:ascii="SimSun" w:hAnsi="SimSun" w:eastAsia="SimSun" w:cs="SimSun"/>
          <w:sz w:val="21"/>
          <w:szCs w:val="21"/>
          <w:spacing w:val="-15"/>
        </w:rPr>
        <w:t>了不同的领域，其至最后用于解决公司犯罪。中国也在经历这一过程。</w:t>
      </w:r>
      <w:r>
        <w:rPr>
          <w:rFonts w:ascii="SimSun" w:hAnsi="SimSun" w:eastAsia="SimSun" w:cs="SimSun"/>
          <w:sz w:val="21"/>
          <w:szCs w:val="21"/>
        </w:rPr>
        <w:t xml:space="preserve"> </w:t>
      </w:r>
      <w:r>
        <w:rPr>
          <w:rFonts w:ascii="SimSun" w:hAnsi="SimSun" w:eastAsia="SimSun" w:cs="SimSun"/>
          <w:sz w:val="21"/>
          <w:szCs w:val="21"/>
          <w:spacing w:val="-10"/>
        </w:rPr>
        <w:t>无论是哪一种监管和反垄断执法，公司合规都属于对加</w:t>
      </w:r>
      <w:r>
        <w:rPr>
          <w:rFonts w:ascii="SimSun" w:hAnsi="SimSun" w:eastAsia="SimSun" w:cs="SimSun"/>
          <w:sz w:val="21"/>
          <w:szCs w:val="21"/>
          <w:spacing w:val="-11"/>
        </w:rPr>
        <w:t>害人的行为的</w:t>
      </w:r>
      <w:r>
        <w:rPr>
          <w:rFonts w:ascii="SimSun" w:hAnsi="SimSun" w:eastAsia="SimSun" w:cs="SimSun"/>
          <w:sz w:val="21"/>
          <w:szCs w:val="21"/>
        </w:rPr>
        <w:t xml:space="preserve"> </w:t>
      </w:r>
      <w:r>
        <w:rPr>
          <w:rFonts w:ascii="SimSun" w:hAnsi="SimSun" w:eastAsia="SimSun" w:cs="SimSun"/>
          <w:sz w:val="21"/>
          <w:szCs w:val="21"/>
          <w:spacing w:val="-15"/>
        </w:rPr>
        <w:t>制约，不存在赔偿悖论问题，也和大多数的法律责任不存在冲突。</w:t>
      </w:r>
    </w:p>
    <w:p>
      <w:pPr>
        <w:ind w:right="102" w:firstLine="410"/>
        <w:spacing w:before="102" w:line="300" w:lineRule="auto"/>
        <w:jc w:val="both"/>
        <w:rPr>
          <w:rFonts w:ascii="SimSun" w:hAnsi="SimSun" w:eastAsia="SimSun" w:cs="SimSun"/>
          <w:sz w:val="21"/>
          <w:szCs w:val="21"/>
        </w:rPr>
      </w:pPr>
      <w:r>
        <w:rPr>
          <w:rFonts w:ascii="SimSun" w:hAnsi="SimSun" w:eastAsia="SimSun" w:cs="SimSun"/>
          <w:sz w:val="21"/>
          <w:szCs w:val="21"/>
          <w:spacing w:val="-10"/>
        </w:rPr>
        <w:t>现在的公司合规来源过于单一，主要是产生于政府监管部门或者 </w:t>
      </w:r>
      <w:r>
        <w:rPr>
          <w:rFonts w:ascii="SimSun" w:hAnsi="SimSun" w:eastAsia="SimSun" w:cs="SimSun"/>
          <w:sz w:val="21"/>
          <w:szCs w:val="21"/>
          <w:spacing w:val="-10"/>
        </w:rPr>
        <w:t>反垄断机关，从而导致其规则含糊不清，不够明确</w:t>
      </w:r>
      <w:r>
        <w:rPr>
          <w:rFonts w:ascii="SimSun" w:hAnsi="SimSun" w:eastAsia="SimSun" w:cs="SimSun"/>
          <w:sz w:val="21"/>
          <w:szCs w:val="21"/>
          <w:spacing w:val="-11"/>
        </w:rPr>
        <w:t>，且更多是结果导</w:t>
      </w:r>
      <w:r>
        <w:rPr>
          <w:rFonts w:ascii="SimSun" w:hAnsi="SimSun" w:eastAsia="SimSun" w:cs="SimSun"/>
          <w:sz w:val="21"/>
          <w:szCs w:val="21"/>
        </w:rPr>
        <w:t xml:space="preserve">  </w:t>
      </w:r>
      <w:r>
        <w:rPr>
          <w:rFonts w:ascii="SimSun" w:hAnsi="SimSun" w:eastAsia="SimSun" w:cs="SimSun"/>
          <w:sz w:val="21"/>
          <w:szCs w:val="21"/>
          <w:spacing w:val="-9"/>
        </w:rPr>
        <w:t>向，等于将监管责任施加给了被监管者，而非通过明确的行为约束，</w:t>
      </w:r>
      <w:r>
        <w:rPr>
          <w:rFonts w:ascii="SimSun" w:hAnsi="SimSun" w:eastAsia="SimSun" w:cs="SimSun"/>
          <w:sz w:val="21"/>
          <w:szCs w:val="21"/>
          <w:spacing w:val="14"/>
        </w:rPr>
        <w:t xml:space="preserve"> </w:t>
      </w:r>
      <w:r>
        <w:rPr>
          <w:rFonts w:ascii="SimSun" w:hAnsi="SimSun" w:eastAsia="SimSun" w:cs="SimSun"/>
          <w:sz w:val="21"/>
          <w:szCs w:val="21"/>
          <w:spacing w:val="-11"/>
        </w:rPr>
        <w:t>通过不断调整监管规则和治理体系，由监管者对结果负责。当然，监</w:t>
      </w:r>
      <w:r>
        <w:rPr>
          <w:rFonts w:ascii="SimSun" w:hAnsi="SimSun" w:eastAsia="SimSun" w:cs="SimSun"/>
          <w:sz w:val="21"/>
          <w:szCs w:val="21"/>
          <w:spacing w:val="8"/>
        </w:rPr>
        <w:t xml:space="preserve">  </w:t>
      </w:r>
      <w:r>
        <w:rPr>
          <w:rFonts w:ascii="SimSun" w:hAnsi="SimSun" w:eastAsia="SimSun" w:cs="SimSun"/>
          <w:sz w:val="21"/>
          <w:szCs w:val="21"/>
          <w:spacing w:val="-10"/>
        </w:rPr>
        <w:t>管者在现有的不够清晰的规则下，更多是禁止</w:t>
      </w:r>
      <w:r>
        <w:rPr>
          <w:rFonts w:ascii="SimSun" w:hAnsi="SimSun" w:eastAsia="SimSun" w:cs="SimSun"/>
          <w:sz w:val="21"/>
          <w:szCs w:val="21"/>
          <w:spacing w:val="-11"/>
        </w:rPr>
        <w:t>、说“不”,而非允许、</w:t>
      </w:r>
      <w:r>
        <w:rPr>
          <w:rFonts w:ascii="SimSun" w:hAnsi="SimSun" w:eastAsia="SimSun" w:cs="SimSun"/>
          <w:sz w:val="21"/>
          <w:szCs w:val="21"/>
        </w:rPr>
        <w:t xml:space="preserve"> </w:t>
      </w:r>
      <w:r>
        <w:rPr>
          <w:rFonts w:ascii="SimSun" w:hAnsi="SimSun" w:eastAsia="SimSun" w:cs="SimSun"/>
          <w:sz w:val="21"/>
          <w:szCs w:val="21"/>
          <w:spacing w:val="-11"/>
        </w:rPr>
        <w:t>赞成，从而形成事实上的监管扩张，进而形成不良的激励。</w:t>
      </w:r>
    </w:p>
    <w:p>
      <w:pPr>
        <w:ind w:right="191" w:firstLine="410"/>
        <w:spacing w:before="121" w:line="297" w:lineRule="auto"/>
        <w:jc w:val="both"/>
        <w:rPr>
          <w:rFonts w:ascii="SimSun" w:hAnsi="SimSun" w:eastAsia="SimSun" w:cs="SimSun"/>
          <w:sz w:val="21"/>
          <w:szCs w:val="21"/>
        </w:rPr>
      </w:pPr>
      <w:r>
        <w:rPr>
          <w:rFonts w:ascii="SimSun" w:hAnsi="SimSun" w:eastAsia="SimSun" w:cs="SimSun"/>
          <w:sz w:val="21"/>
          <w:szCs w:val="21"/>
          <w:spacing w:val="-11"/>
        </w:rPr>
        <w:t>同时，公司合规应当最终走向社会执行，即由非政府组织、专业</w:t>
      </w:r>
      <w:r>
        <w:rPr>
          <w:rFonts w:ascii="SimSun" w:hAnsi="SimSun" w:eastAsia="SimSun" w:cs="SimSun"/>
          <w:sz w:val="21"/>
          <w:szCs w:val="21"/>
          <w:spacing w:val="3"/>
        </w:rPr>
        <w:t xml:space="preserve"> </w:t>
      </w:r>
      <w:r>
        <w:rPr>
          <w:rFonts w:ascii="SimSun" w:hAnsi="SimSun" w:eastAsia="SimSun" w:cs="SimSun"/>
          <w:sz w:val="21"/>
          <w:szCs w:val="21"/>
          <w:spacing w:val="-11"/>
        </w:rPr>
        <w:t>中介机构形成规范，进行专业评估，尤其是对单个公司进行某个方面</w:t>
      </w:r>
      <w:r>
        <w:rPr>
          <w:rFonts w:ascii="SimSun" w:hAnsi="SimSun" w:eastAsia="SimSun" w:cs="SimSun"/>
          <w:sz w:val="21"/>
          <w:szCs w:val="21"/>
          <w:spacing w:val="17"/>
        </w:rPr>
        <w:t xml:space="preserve"> </w:t>
      </w:r>
      <w:r>
        <w:rPr>
          <w:rFonts w:ascii="SimSun" w:hAnsi="SimSun" w:eastAsia="SimSun" w:cs="SimSun"/>
          <w:sz w:val="21"/>
          <w:szCs w:val="21"/>
          <w:spacing w:val="-10"/>
        </w:rPr>
        <w:t>的系统评估，作为监管和反垄断的依据和基础。这就要</w:t>
      </w:r>
      <w:r>
        <w:rPr>
          <w:rFonts w:ascii="SimSun" w:hAnsi="SimSun" w:eastAsia="SimSun" w:cs="SimSun"/>
          <w:sz w:val="21"/>
          <w:szCs w:val="21"/>
          <w:spacing w:val="-11"/>
        </w:rPr>
        <w:t>求公司治理的</w:t>
      </w:r>
      <w:r>
        <w:rPr>
          <w:rFonts w:ascii="SimSun" w:hAnsi="SimSun" w:eastAsia="SimSun" w:cs="SimSun"/>
          <w:sz w:val="21"/>
          <w:szCs w:val="21"/>
        </w:rPr>
        <w:t xml:space="preserve"> </w:t>
      </w:r>
      <w:r>
        <w:rPr>
          <w:rFonts w:ascii="SimSun" w:hAnsi="SimSun" w:eastAsia="SimSun" w:cs="SimSun"/>
          <w:sz w:val="21"/>
          <w:szCs w:val="21"/>
          <w:spacing w:val="-10"/>
        </w:rPr>
        <w:t>改进、透明化和更大程度的信息公开，也同样</w:t>
      </w:r>
      <w:r>
        <w:rPr>
          <w:rFonts w:ascii="SimSun" w:hAnsi="SimSun" w:eastAsia="SimSun" w:cs="SimSun"/>
          <w:sz w:val="21"/>
          <w:szCs w:val="21"/>
          <w:spacing w:val="-11"/>
        </w:rPr>
        <w:t>对法院的裁判质量和公</w:t>
      </w:r>
      <w:r>
        <w:rPr>
          <w:rFonts w:ascii="SimSun" w:hAnsi="SimSun" w:eastAsia="SimSun" w:cs="SimSun"/>
          <w:sz w:val="21"/>
          <w:szCs w:val="21"/>
        </w:rPr>
        <w:t xml:space="preserve"> </w:t>
      </w:r>
      <w:r>
        <w:rPr>
          <w:rFonts w:ascii="SimSun" w:hAnsi="SimSun" w:eastAsia="SimSun" w:cs="SimSun"/>
          <w:sz w:val="21"/>
          <w:szCs w:val="21"/>
          <w:spacing w:val="-15"/>
        </w:rPr>
        <w:t>开程度提出了更高的要求。</w:t>
      </w:r>
    </w:p>
    <w:p>
      <w:pPr>
        <w:pStyle w:val="BodyText"/>
        <w:spacing w:line="435"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spacing w:val="25"/>
        </w:rPr>
        <w:t>数字经济法及其展望</w:t>
      </w:r>
    </w:p>
    <w:p>
      <w:pPr>
        <w:pStyle w:val="BodyText"/>
        <w:spacing w:line="370" w:lineRule="auto"/>
        <w:rPr/>
      </w:pPr>
      <w:r/>
    </w:p>
    <w:p>
      <w:pPr>
        <w:ind w:firstLine="410"/>
        <w:spacing w:before="69" w:line="292" w:lineRule="auto"/>
        <w:jc w:val="both"/>
        <w:rPr>
          <w:rFonts w:ascii="SimSun" w:hAnsi="SimSun" w:eastAsia="SimSun" w:cs="SimSun"/>
          <w:sz w:val="21"/>
          <w:szCs w:val="21"/>
        </w:rPr>
      </w:pPr>
      <w:r>
        <w:rPr>
          <w:rFonts w:ascii="SimSun" w:hAnsi="SimSun" w:eastAsia="SimSun" w:cs="SimSun"/>
          <w:sz w:val="21"/>
          <w:szCs w:val="21"/>
          <w:spacing w:val="-3"/>
        </w:rPr>
        <w:t>随着第四次工业革命的兴起，经济发展与信息技术之间的关系</w:t>
      </w:r>
      <w:r>
        <w:rPr>
          <w:rFonts w:ascii="SimSun" w:hAnsi="SimSun" w:eastAsia="SimSun" w:cs="SimSun"/>
          <w:sz w:val="21"/>
          <w:szCs w:val="21"/>
        </w:rPr>
        <w:t xml:space="preserve">  </w:t>
      </w:r>
      <w:r>
        <w:rPr>
          <w:rFonts w:ascii="SimSun" w:hAnsi="SimSun" w:eastAsia="SimSun" w:cs="SimSun"/>
          <w:sz w:val="21"/>
          <w:szCs w:val="21"/>
          <w:spacing w:val="3"/>
        </w:rPr>
        <w:t>越发密切，也因此形成了许多新的经济模式。近年来“数字经济”</w:t>
      </w:r>
      <w:r>
        <w:rPr>
          <w:rFonts w:ascii="SimSun" w:hAnsi="SimSun" w:eastAsia="SimSun" w:cs="SimSun"/>
          <w:sz w:val="21"/>
          <w:szCs w:val="21"/>
          <w:spacing w:val="9"/>
        </w:rPr>
        <w:t xml:space="preserve"> </w:t>
      </w:r>
      <w:r>
        <w:rPr>
          <w:rFonts w:ascii="SimSun" w:hAnsi="SimSun" w:eastAsia="SimSun" w:cs="SimSun"/>
          <w:sz w:val="21"/>
          <w:szCs w:val="21"/>
          <w:spacing w:val="-3"/>
        </w:rPr>
        <w:t>一词尤为夺目，不仅成为大众传媒的常用语，也</w:t>
      </w:r>
      <w:r>
        <w:rPr>
          <w:rFonts w:ascii="SimSun" w:hAnsi="SimSun" w:eastAsia="SimSun" w:cs="SimSun"/>
          <w:sz w:val="21"/>
          <w:szCs w:val="21"/>
          <w:spacing w:val="-4"/>
        </w:rPr>
        <w:t>逐渐出现在各国的</w:t>
      </w:r>
      <w:r>
        <w:rPr>
          <w:rFonts w:ascii="SimSun" w:hAnsi="SimSun" w:eastAsia="SimSun" w:cs="SimSun"/>
          <w:sz w:val="21"/>
          <w:szCs w:val="21"/>
        </w:rPr>
        <w:t xml:space="preserve">   </w:t>
      </w:r>
      <w:r>
        <w:rPr>
          <w:rFonts w:ascii="SimSun" w:hAnsi="SimSun" w:eastAsia="SimSun" w:cs="SimSun"/>
          <w:sz w:val="21"/>
          <w:szCs w:val="21"/>
          <w:spacing w:val="-2"/>
        </w:rPr>
        <w:t>政策、法律文件之中。美国自20世纪90年代就开始布局数字经济，</w:t>
      </w:r>
    </w:p>
    <w:p>
      <w:pPr>
        <w:spacing w:line="292" w:lineRule="auto"/>
        <w:sectPr>
          <w:headerReference w:type="default" r:id="rId582"/>
          <w:pgSz w:w="7330" w:h="12480"/>
          <w:pgMar w:top="785" w:right="482" w:bottom="400" w:left="659" w:header="611" w:footer="0" w:gutter="0"/>
        </w:sectPr>
        <w:rPr>
          <w:rFonts w:ascii="SimSun" w:hAnsi="SimSun" w:eastAsia="SimSun" w:cs="SimSun"/>
          <w:sz w:val="21"/>
          <w:szCs w:val="21"/>
        </w:rPr>
      </w:pPr>
    </w:p>
    <w:p>
      <w:pPr>
        <w:spacing w:line="220" w:lineRule="auto"/>
        <w:rPr>
          <w:rFonts w:ascii="SimHei" w:hAnsi="SimHei" w:eastAsia="SimHei" w:cs="SimHei"/>
          <w:sz w:val="17"/>
          <w:szCs w:val="17"/>
        </w:rPr>
      </w:pPr>
      <w:r>
        <w:drawing>
          <wp:anchor distT="0" distB="0" distL="0" distR="0" simplePos="0" relativeHeight="256701440" behindDoc="0" locked="0" layoutInCell="0" allowOverlap="1">
            <wp:simplePos x="0" y="0"/>
            <wp:positionH relativeFrom="page">
              <wp:posOffset>368313</wp:posOffset>
            </wp:positionH>
            <wp:positionV relativeFrom="page">
              <wp:posOffset>5264122</wp:posOffset>
            </wp:positionV>
            <wp:extent cx="1174715" cy="6350"/>
            <wp:effectExtent l="0" t="0" r="0" b="0"/>
            <wp:wrapNone/>
            <wp:docPr id="440" name="IM 440"/>
            <wp:cNvGraphicFramePr/>
            <a:graphic>
              <a:graphicData uri="http://schemas.openxmlformats.org/drawingml/2006/picture">
                <pic:pic>
                  <pic:nvPicPr>
                    <pic:cNvPr id="440" name="IM 440"/>
                    <pic:cNvPicPr/>
                  </pic:nvPicPr>
                  <pic:blipFill>
                    <a:blip r:embed="rId583"/>
                    <a:stretch>
                      <a:fillRect/>
                    </a:stretch>
                  </pic:blipFill>
                  <pic:spPr>
                    <a:xfrm rot="0">
                      <a:off x="0" y="0"/>
                      <a:ext cx="1174715" cy="6350"/>
                    </a:xfrm>
                    <a:prstGeom prst="rect">
                      <a:avLst/>
                    </a:prstGeom>
                  </pic:spPr>
                </pic:pic>
              </a:graphicData>
            </a:graphic>
          </wp:anchor>
        </w:drawing>
      </w:r>
      <w:r>
        <w:rPr>
          <w:rFonts w:ascii="SimSun" w:hAnsi="SimSun" w:eastAsia="SimSun" w:cs="SimSun"/>
          <w:sz w:val="12"/>
          <w:szCs w:val="12"/>
          <w:spacing w:val="-7"/>
        </w:rPr>
        <w:t>482                       </w:t>
      </w:r>
      <w:r>
        <w:rPr>
          <w:rFonts w:ascii="SimSun" w:hAnsi="SimSun" w:eastAsia="SimSun" w:cs="SimSun"/>
          <w:sz w:val="12"/>
          <w:szCs w:val="12"/>
          <w:spacing w:val="-8"/>
        </w:rPr>
        <w:t xml:space="preserve">         </w:t>
      </w:r>
      <w:r>
        <w:rPr>
          <w:rFonts w:ascii="SimHei" w:hAnsi="SimHei" w:eastAsia="SimHei" w:cs="SimHei"/>
          <w:sz w:val="17"/>
          <w:szCs w:val="17"/>
          <w:spacing w:val="-8"/>
        </w:rPr>
        <w:t>平台经济——创新、治理与繁荣</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ind w:right="78"/>
        <w:spacing w:before="69" w:line="294" w:lineRule="auto"/>
        <w:jc w:val="both"/>
        <w:rPr>
          <w:rFonts w:ascii="SimSun" w:hAnsi="SimSun" w:eastAsia="SimSun" w:cs="SimSun"/>
          <w:sz w:val="21"/>
          <w:szCs w:val="21"/>
        </w:rPr>
      </w:pPr>
      <w:r>
        <w:rPr>
          <w:rFonts w:ascii="SimSun" w:hAnsi="SimSun" w:eastAsia="SimSun" w:cs="SimSun"/>
          <w:sz w:val="21"/>
          <w:szCs w:val="21"/>
          <w:spacing w:val="-10"/>
        </w:rPr>
        <w:t>陆续发布《浮现中的数字经济》《新兴的数字经济1999》《数字</w:t>
      </w:r>
      <w:r>
        <w:rPr>
          <w:rFonts w:ascii="SimSun" w:hAnsi="SimSun" w:eastAsia="SimSun" w:cs="SimSun"/>
          <w:sz w:val="21"/>
          <w:szCs w:val="21"/>
          <w:spacing w:val="-11"/>
        </w:rPr>
        <w:t>经济</w:t>
      </w:r>
      <w:r>
        <w:rPr>
          <w:rFonts w:ascii="SimSun" w:hAnsi="SimSun" w:eastAsia="SimSun" w:cs="SimSun"/>
          <w:sz w:val="21"/>
          <w:szCs w:val="21"/>
        </w:rPr>
        <w:t xml:space="preserve">  </w:t>
      </w:r>
      <w:r>
        <w:rPr>
          <w:rFonts w:ascii="SimSun" w:hAnsi="SimSun" w:eastAsia="SimSun" w:cs="SimSun"/>
          <w:sz w:val="21"/>
          <w:szCs w:val="21"/>
          <w:spacing w:val="-3"/>
        </w:rPr>
        <w:t>2000》《数字经济2002》《数字经济2003》等报告。英国2009</w:t>
      </w:r>
      <w:r>
        <w:rPr>
          <w:rFonts w:ascii="SimSun" w:hAnsi="SimSun" w:eastAsia="SimSun" w:cs="SimSun"/>
          <w:sz w:val="21"/>
          <w:szCs w:val="21"/>
          <w:spacing w:val="-4"/>
        </w:rPr>
        <w:t>年发</w:t>
      </w:r>
      <w:r>
        <w:rPr>
          <w:rFonts w:ascii="SimSun" w:hAnsi="SimSun" w:eastAsia="SimSun" w:cs="SimSun"/>
          <w:sz w:val="21"/>
          <w:szCs w:val="21"/>
        </w:rPr>
        <w:t xml:space="preserve">  </w:t>
      </w:r>
      <w:r>
        <w:rPr>
          <w:rFonts w:ascii="SimSun" w:hAnsi="SimSun" w:eastAsia="SimSun" w:cs="SimSun"/>
          <w:sz w:val="21"/>
          <w:szCs w:val="21"/>
          <w:spacing w:val="-6"/>
        </w:rPr>
        <w:t>布“数字英国”计划，随后又发布《英国数字经济战略2015—20</w:t>
      </w:r>
      <w:r>
        <w:rPr>
          <w:rFonts w:ascii="SimSun" w:hAnsi="SimSun" w:eastAsia="SimSun" w:cs="SimSun"/>
          <w:sz w:val="21"/>
          <w:szCs w:val="21"/>
          <w:spacing w:val="-7"/>
        </w:rPr>
        <w:t>18》</w:t>
      </w:r>
      <w:r>
        <w:rPr>
          <w:rFonts w:ascii="SimSun" w:hAnsi="SimSun" w:eastAsia="SimSun" w:cs="SimSun"/>
          <w:sz w:val="21"/>
          <w:szCs w:val="21"/>
        </w:rPr>
        <w:t xml:space="preserve"> </w:t>
      </w:r>
      <w:r>
        <w:rPr>
          <w:rFonts w:ascii="SimSun" w:hAnsi="SimSun" w:eastAsia="SimSun" w:cs="SimSun"/>
          <w:sz w:val="21"/>
          <w:szCs w:val="21"/>
          <w:spacing w:val="3"/>
        </w:rPr>
        <w:t>等。俄罗斯于2017年将数字经济列入《俄罗斯联邦2018—2</w:t>
      </w:r>
      <w:r>
        <w:rPr>
          <w:rFonts w:ascii="SimSun" w:hAnsi="SimSun" w:eastAsia="SimSun" w:cs="SimSun"/>
          <w:sz w:val="21"/>
          <w:szCs w:val="21"/>
          <w:spacing w:val="2"/>
        </w:rPr>
        <w:t>025年</w:t>
      </w:r>
      <w:r>
        <w:rPr>
          <w:rFonts w:ascii="SimSun" w:hAnsi="SimSun" w:eastAsia="SimSun" w:cs="SimSun"/>
          <w:sz w:val="21"/>
          <w:szCs w:val="21"/>
        </w:rPr>
        <w:t xml:space="preserve">  </w:t>
      </w:r>
      <w:r>
        <w:rPr>
          <w:rFonts w:ascii="SimSun" w:hAnsi="SimSun" w:eastAsia="SimSun" w:cs="SimSun"/>
          <w:sz w:val="21"/>
          <w:szCs w:val="21"/>
          <w:spacing w:val="-12"/>
        </w:rPr>
        <w:t>主要战略发展方向目录》,并出台《俄罗斯联邦数字经济规划》。</w:t>
      </w:r>
    </w:p>
    <w:p>
      <w:pPr>
        <w:ind w:firstLine="329"/>
        <w:spacing w:before="131" w:line="307" w:lineRule="auto"/>
        <w:rPr>
          <w:rFonts w:ascii="SimSun" w:hAnsi="SimSun" w:eastAsia="SimSun" w:cs="SimSun"/>
          <w:sz w:val="21"/>
          <w:szCs w:val="21"/>
        </w:rPr>
      </w:pPr>
      <w:r>
        <w:rPr>
          <w:rFonts w:ascii="SimSun" w:hAnsi="SimSun" w:eastAsia="SimSun" w:cs="SimSun"/>
          <w:sz w:val="21"/>
          <w:szCs w:val="21"/>
          <w:spacing w:val="-3"/>
        </w:rPr>
        <w:t>在我国，发展数字经济的政策已被写入顶层设计。2016年，中</w:t>
      </w:r>
      <w:r>
        <w:rPr>
          <w:rFonts w:ascii="SimSun" w:hAnsi="SimSun" w:eastAsia="SimSun" w:cs="SimSun"/>
          <w:sz w:val="21"/>
          <w:szCs w:val="21"/>
          <w:spacing w:val="6"/>
        </w:rPr>
        <w:t xml:space="preserve">   </w:t>
      </w:r>
      <w:r>
        <w:rPr>
          <w:rFonts w:ascii="SimSun" w:hAnsi="SimSun" w:eastAsia="SimSun" w:cs="SimSun"/>
          <w:sz w:val="21"/>
          <w:szCs w:val="21"/>
          <w:spacing w:val="-4"/>
        </w:rPr>
        <w:t>共中央政治局进行第36次集体学习时，习近平总书记提出要“加快</w:t>
      </w:r>
      <w:r>
        <w:rPr>
          <w:rFonts w:ascii="SimSun" w:hAnsi="SimSun" w:eastAsia="SimSun" w:cs="SimSun"/>
          <w:sz w:val="21"/>
          <w:szCs w:val="21"/>
          <w:spacing w:val="2"/>
        </w:rPr>
        <w:t xml:space="preserve">   </w:t>
      </w:r>
      <w:r>
        <w:rPr>
          <w:rFonts w:ascii="SimSun" w:hAnsi="SimSun" w:eastAsia="SimSun" w:cs="SimSun"/>
          <w:sz w:val="21"/>
          <w:szCs w:val="21"/>
          <w:spacing w:val="-16"/>
        </w:rPr>
        <w:t>数字经济对经济发展的推动”“做大做强数字经济”。①201</w:t>
      </w:r>
      <w:r>
        <w:rPr>
          <w:rFonts w:ascii="SimSun" w:hAnsi="SimSun" w:eastAsia="SimSun" w:cs="SimSun"/>
          <w:sz w:val="21"/>
          <w:szCs w:val="21"/>
          <w:spacing w:val="-17"/>
        </w:rPr>
        <w:t>7年，“数</w:t>
      </w:r>
      <w:r>
        <w:rPr>
          <w:rFonts w:ascii="SimSun" w:hAnsi="SimSun" w:eastAsia="SimSun" w:cs="SimSun"/>
          <w:sz w:val="21"/>
          <w:szCs w:val="21"/>
        </w:rPr>
        <w:t xml:space="preserve">   </w:t>
      </w:r>
      <w:r>
        <w:rPr>
          <w:rFonts w:ascii="SimSun" w:hAnsi="SimSun" w:eastAsia="SimSun" w:cs="SimSun"/>
          <w:sz w:val="21"/>
          <w:szCs w:val="21"/>
          <w:spacing w:val="-11"/>
        </w:rPr>
        <w:t>字经济”一词首次出现在政府工作报告中，报告将“促进数字经济加</w:t>
      </w:r>
      <w:r>
        <w:rPr>
          <w:rFonts w:ascii="SimSun" w:hAnsi="SimSun" w:eastAsia="SimSun" w:cs="SimSun"/>
          <w:sz w:val="21"/>
          <w:szCs w:val="21"/>
          <w:spacing w:val="7"/>
        </w:rPr>
        <w:t xml:space="preserve">  </w:t>
      </w:r>
      <w:r>
        <w:rPr>
          <w:rFonts w:ascii="SimSun" w:hAnsi="SimSun" w:eastAsia="SimSun" w:cs="SimSun"/>
          <w:sz w:val="21"/>
          <w:szCs w:val="21"/>
        </w:rPr>
        <w:t>快成长”写入2017年重点工作任务。201</w:t>
      </w:r>
      <w:r>
        <w:rPr>
          <w:rFonts w:ascii="SimSun" w:hAnsi="SimSun" w:eastAsia="SimSun" w:cs="SimSun"/>
          <w:sz w:val="21"/>
          <w:szCs w:val="21"/>
          <w:spacing w:val="-1"/>
        </w:rPr>
        <w:t>8年3月，全国人大决议提</w:t>
      </w:r>
      <w:r>
        <w:rPr>
          <w:rFonts w:ascii="SimSun" w:hAnsi="SimSun" w:eastAsia="SimSun" w:cs="SimSun"/>
          <w:sz w:val="21"/>
          <w:szCs w:val="21"/>
        </w:rPr>
        <w:t xml:space="preserve">   </w:t>
      </w:r>
      <w:r>
        <w:rPr>
          <w:rFonts w:ascii="SimSun" w:hAnsi="SimSun" w:eastAsia="SimSun" w:cs="SimSun"/>
          <w:sz w:val="21"/>
          <w:szCs w:val="21"/>
          <w:spacing w:val="-7"/>
        </w:rPr>
        <w:t>出，要“制定出台数字经济发展纲要”,“组织实施</w:t>
      </w:r>
      <w:r>
        <w:rPr>
          <w:rFonts w:ascii="SimSun" w:hAnsi="SimSun" w:eastAsia="SimSun" w:cs="SimSun"/>
          <w:sz w:val="21"/>
          <w:szCs w:val="21"/>
          <w:spacing w:val="-8"/>
        </w:rPr>
        <w:t>数字经济试点重</w:t>
      </w:r>
      <w:r>
        <w:rPr>
          <w:rFonts w:ascii="SimSun" w:hAnsi="SimSun" w:eastAsia="SimSun" w:cs="SimSun"/>
          <w:sz w:val="21"/>
          <w:szCs w:val="21"/>
        </w:rPr>
        <w:t xml:space="preserve">   </w:t>
      </w:r>
      <w:r>
        <w:rPr>
          <w:rFonts w:ascii="SimSun" w:hAnsi="SimSun" w:eastAsia="SimSun" w:cs="SimSun"/>
          <w:sz w:val="21"/>
          <w:szCs w:val="21"/>
        </w:rPr>
        <w:t>大工程”。2018年9月，发改委、教育</w:t>
      </w:r>
      <w:r>
        <w:rPr>
          <w:rFonts w:ascii="SimSun" w:hAnsi="SimSun" w:eastAsia="SimSun" w:cs="SimSun"/>
          <w:sz w:val="21"/>
          <w:szCs w:val="21"/>
          <w:spacing w:val="-1"/>
        </w:rPr>
        <w:t>部、科技部等多部门联合发</w:t>
      </w:r>
      <w:r>
        <w:rPr>
          <w:rFonts w:ascii="SimSun" w:hAnsi="SimSun" w:eastAsia="SimSun" w:cs="SimSun"/>
          <w:sz w:val="21"/>
          <w:szCs w:val="21"/>
        </w:rPr>
        <w:t xml:space="preserve">   </w:t>
      </w:r>
      <w:r>
        <w:rPr>
          <w:rFonts w:ascii="SimSun" w:hAnsi="SimSun" w:eastAsia="SimSun" w:cs="SimSun"/>
          <w:sz w:val="21"/>
          <w:szCs w:val="21"/>
          <w:spacing w:val="-7"/>
        </w:rPr>
        <w:t>布《关于发展数字经济稳定并扩大就业的指导意见》,指出要“大力</w:t>
      </w:r>
      <w:r>
        <w:rPr>
          <w:rFonts w:ascii="SimSun" w:hAnsi="SimSun" w:eastAsia="SimSun" w:cs="SimSun"/>
          <w:sz w:val="21"/>
          <w:szCs w:val="21"/>
        </w:rPr>
        <w:t xml:space="preserve">  </w:t>
      </w:r>
      <w:r>
        <w:rPr>
          <w:rFonts w:ascii="SimSun" w:hAnsi="SimSun" w:eastAsia="SimSun" w:cs="SimSun"/>
          <w:sz w:val="21"/>
          <w:szCs w:val="21"/>
          <w:spacing w:val="-4"/>
        </w:rPr>
        <w:t>发展数字经济稳定并扩大就业，促进经济转型升级和就业提质扩面</w:t>
      </w:r>
      <w:r>
        <w:rPr>
          <w:rFonts w:ascii="SimSun" w:hAnsi="SimSun" w:eastAsia="SimSun" w:cs="SimSun"/>
          <w:sz w:val="21"/>
          <w:szCs w:val="21"/>
          <w:spacing w:val="1"/>
        </w:rPr>
        <w:t xml:space="preserve">   </w:t>
      </w:r>
      <w:r>
        <w:rPr>
          <w:rFonts w:ascii="SimSun" w:hAnsi="SimSun" w:eastAsia="SimSun" w:cs="SimSun"/>
          <w:sz w:val="21"/>
          <w:szCs w:val="21"/>
          <w:spacing w:val="-1"/>
        </w:rPr>
        <w:t>互促共进”。截至2021年3月，明确提出“数字经济”的国家层面</w:t>
      </w:r>
      <w:r>
        <w:rPr>
          <w:rFonts w:ascii="SimSun" w:hAnsi="SimSun" w:eastAsia="SimSun" w:cs="SimSun"/>
          <w:sz w:val="21"/>
          <w:szCs w:val="21"/>
          <w:spacing w:val="6"/>
        </w:rPr>
        <w:t xml:space="preserve">   </w:t>
      </w:r>
      <w:r>
        <w:rPr>
          <w:rFonts w:ascii="SimSun" w:hAnsi="SimSun" w:eastAsia="SimSun" w:cs="SimSun"/>
          <w:sz w:val="21"/>
          <w:szCs w:val="21"/>
          <w:spacing w:val="-4"/>
        </w:rPr>
        <w:t>上的政策文件已有百余篇。各地方也不断出台文件</w:t>
      </w:r>
      <w:r>
        <w:rPr>
          <w:rFonts w:ascii="SimSun" w:hAnsi="SimSun" w:eastAsia="SimSun" w:cs="SimSun"/>
          <w:sz w:val="21"/>
          <w:szCs w:val="21"/>
          <w:spacing w:val="-5"/>
        </w:rPr>
        <w:t>促进“数字经济”</w:t>
      </w:r>
      <w:r>
        <w:rPr>
          <w:rFonts w:ascii="SimSun" w:hAnsi="SimSun" w:eastAsia="SimSun" w:cs="SimSun"/>
          <w:sz w:val="21"/>
          <w:szCs w:val="21"/>
        </w:rPr>
        <w:t xml:space="preserve"> </w:t>
      </w:r>
      <w:r>
        <w:rPr>
          <w:rFonts w:ascii="SimSun" w:hAnsi="SimSun" w:eastAsia="SimSun" w:cs="SimSun"/>
          <w:sz w:val="21"/>
          <w:szCs w:val="21"/>
          <w:spacing w:val="-1"/>
        </w:rPr>
        <w:t>发展，迄今已有2390篇地方性政策法规提及“数字经济”,仅标题</w:t>
      </w:r>
      <w:r>
        <w:rPr>
          <w:rFonts w:ascii="SimSun" w:hAnsi="SimSun" w:eastAsia="SimSun" w:cs="SimSun"/>
          <w:sz w:val="21"/>
          <w:szCs w:val="21"/>
          <w:spacing w:val="6"/>
        </w:rPr>
        <w:t xml:space="preserve">   </w:t>
      </w:r>
      <w:r>
        <w:rPr>
          <w:rFonts w:ascii="SimSun" w:hAnsi="SimSun" w:eastAsia="SimSun" w:cs="SimSun"/>
          <w:sz w:val="21"/>
          <w:szCs w:val="21"/>
          <w:spacing w:val="-6"/>
        </w:rPr>
        <w:t>中含有“数字经济”的就有123篇。②</w:t>
      </w:r>
    </w:p>
    <w:p>
      <w:pPr>
        <w:pStyle w:val="BodyText"/>
        <w:spacing w:line="451" w:lineRule="auto"/>
        <w:rPr/>
      </w:pPr>
      <w:r/>
    </w:p>
    <w:p>
      <w:pPr>
        <w:ind w:left="329" w:right="152" w:hanging="329"/>
        <w:spacing w:before="56" w:line="266" w:lineRule="auto"/>
        <w:rPr>
          <w:rFonts w:ascii="KaiTi" w:hAnsi="KaiTi" w:eastAsia="KaiTi" w:cs="KaiTi"/>
          <w:sz w:val="17"/>
          <w:szCs w:val="17"/>
        </w:rPr>
      </w:pPr>
      <w:r>
        <w:rPr>
          <w:rFonts w:ascii="KaiTi" w:hAnsi="KaiTi" w:eastAsia="KaiTi" w:cs="KaiTi"/>
          <w:sz w:val="17"/>
          <w:szCs w:val="17"/>
          <w:spacing w:val="-6"/>
        </w:rPr>
        <w:t>①</w:t>
      </w:r>
      <w:r>
        <w:rPr>
          <w:rFonts w:ascii="KaiTi" w:hAnsi="KaiTi" w:eastAsia="KaiTi" w:cs="KaiTi"/>
          <w:sz w:val="17"/>
          <w:szCs w:val="17"/>
          <w:spacing w:val="61"/>
        </w:rPr>
        <w:t xml:space="preserve"> </w:t>
      </w:r>
      <w:r>
        <w:rPr>
          <w:rFonts w:ascii="KaiTi" w:hAnsi="KaiTi" w:eastAsia="KaiTi" w:cs="KaiTi"/>
          <w:sz w:val="17"/>
          <w:szCs w:val="17"/>
          <w:spacing w:val="-6"/>
        </w:rPr>
        <w:t>习近平.加快推进网络信息技术自主创新</w:t>
      </w:r>
      <w:r>
        <w:rPr>
          <w:rFonts w:ascii="KaiTi" w:hAnsi="KaiTi" w:eastAsia="KaiTi" w:cs="KaiTi"/>
          <w:sz w:val="17"/>
          <w:szCs w:val="17"/>
          <w:spacing w:val="-7"/>
        </w:rPr>
        <w:t xml:space="preserve">  </w:t>
      </w:r>
      <w:r>
        <w:rPr>
          <w:rFonts w:ascii="KaiTi" w:hAnsi="KaiTi" w:eastAsia="KaiTi" w:cs="KaiTi"/>
          <w:sz w:val="17"/>
          <w:szCs w:val="17"/>
          <w:spacing w:val="-7"/>
        </w:rPr>
        <w:t>朝着建设网络强国目标不懈努力.人民</w:t>
      </w:r>
      <w:r>
        <w:rPr>
          <w:rFonts w:ascii="KaiTi" w:hAnsi="KaiTi" w:eastAsia="KaiTi" w:cs="KaiTi"/>
          <w:sz w:val="17"/>
          <w:szCs w:val="17"/>
        </w:rPr>
        <w:t xml:space="preserve"> </w:t>
      </w:r>
      <w:r>
        <w:rPr>
          <w:rFonts w:ascii="KaiTi" w:hAnsi="KaiTi" w:eastAsia="KaiTi" w:cs="KaiTi"/>
          <w:sz w:val="17"/>
          <w:szCs w:val="17"/>
          <w:spacing w:val="2"/>
        </w:rPr>
        <w:t>日报，2016-10-10(01).</w:t>
      </w:r>
    </w:p>
    <w:p>
      <w:pPr>
        <w:ind w:left="329" w:right="78" w:hanging="329"/>
        <w:spacing w:before="64" w:line="294" w:lineRule="auto"/>
        <w:rPr>
          <w:rFonts w:ascii="KaiTi" w:hAnsi="KaiTi" w:eastAsia="KaiTi" w:cs="KaiTi"/>
          <w:sz w:val="17"/>
          <w:szCs w:val="17"/>
        </w:rPr>
      </w:pPr>
      <w:r>
        <w:rPr>
          <w:rFonts w:ascii="KaiTi" w:hAnsi="KaiTi" w:eastAsia="KaiTi" w:cs="KaiTi"/>
          <w:sz w:val="17"/>
          <w:szCs w:val="17"/>
          <w:spacing w:val="-2"/>
        </w:rPr>
        <w:t>②</w:t>
      </w:r>
      <w:r>
        <w:rPr>
          <w:rFonts w:ascii="KaiTi" w:hAnsi="KaiTi" w:eastAsia="KaiTi" w:cs="KaiTi"/>
          <w:sz w:val="17"/>
          <w:szCs w:val="17"/>
          <w:spacing w:val="55"/>
        </w:rPr>
        <w:t xml:space="preserve"> </w:t>
      </w:r>
      <w:r>
        <w:rPr>
          <w:rFonts w:ascii="KaiTi" w:hAnsi="KaiTi" w:eastAsia="KaiTi" w:cs="KaiTi"/>
          <w:sz w:val="17"/>
          <w:szCs w:val="17"/>
          <w:spacing w:val="-2"/>
        </w:rPr>
        <w:t>截至2021年3月1日，在北大法宝数据库上以“数字经济”为全文关键词进行搜</w:t>
      </w:r>
      <w:r>
        <w:rPr>
          <w:rFonts w:ascii="KaiTi" w:hAnsi="KaiTi" w:eastAsia="KaiTi" w:cs="KaiTi"/>
          <w:sz w:val="17"/>
          <w:szCs w:val="17"/>
        </w:rPr>
        <w:t xml:space="preserve">  </w:t>
      </w:r>
      <w:r>
        <w:rPr>
          <w:rFonts w:ascii="KaiTi" w:hAnsi="KaiTi" w:eastAsia="KaiTi" w:cs="KaiTi"/>
          <w:sz w:val="17"/>
          <w:szCs w:val="17"/>
        </w:rPr>
        <w:t>索，共检索到151篇中央政策法规，其中法律(主要是全国人大工作文件)共11</w:t>
      </w:r>
      <w:r>
        <w:rPr>
          <w:rFonts w:ascii="KaiTi" w:hAnsi="KaiTi" w:eastAsia="KaiTi" w:cs="KaiTi"/>
          <w:sz w:val="17"/>
          <w:szCs w:val="17"/>
          <w:spacing w:val="18"/>
        </w:rPr>
        <w:t xml:space="preserve"> </w:t>
      </w:r>
      <w:r>
        <w:rPr>
          <w:rFonts w:ascii="KaiTi" w:hAnsi="KaiTi" w:eastAsia="KaiTi" w:cs="KaiTi"/>
          <w:sz w:val="17"/>
          <w:szCs w:val="17"/>
          <w:spacing w:val="1"/>
        </w:rPr>
        <w:t>篇，行政法规共21篇，司法解释共7篇，部门规章共86篇，党内法规共12篇，</w:t>
      </w:r>
      <w:r>
        <w:rPr>
          <w:rFonts w:ascii="KaiTi" w:hAnsi="KaiTi" w:eastAsia="KaiTi" w:cs="KaiTi"/>
          <w:sz w:val="17"/>
          <w:szCs w:val="17"/>
          <w:spacing w:val="12"/>
        </w:rPr>
        <w:t xml:space="preserve"> </w:t>
      </w:r>
      <w:r>
        <w:rPr>
          <w:rFonts w:ascii="KaiTi" w:hAnsi="KaiTi" w:eastAsia="KaiTi" w:cs="KaiTi"/>
          <w:sz w:val="17"/>
          <w:szCs w:val="17"/>
          <w:spacing w:val="-5"/>
        </w:rPr>
        <w:t>团体规定共8篇，行业规定共6篇。共搜索到2390篇地方政策法规。从时间上看，</w:t>
      </w:r>
      <w:r>
        <w:rPr>
          <w:rFonts w:ascii="KaiTi" w:hAnsi="KaiTi" w:eastAsia="KaiTi" w:cs="KaiTi"/>
          <w:sz w:val="17"/>
          <w:szCs w:val="17"/>
          <w:spacing w:val="4"/>
        </w:rPr>
        <w:t xml:space="preserve"> </w:t>
      </w:r>
      <w:r>
        <w:rPr>
          <w:rFonts w:ascii="KaiTi" w:hAnsi="KaiTi" w:eastAsia="KaiTi" w:cs="KaiTi"/>
          <w:sz w:val="17"/>
          <w:szCs w:val="17"/>
          <w:spacing w:val="2"/>
        </w:rPr>
        <w:t>绝大多数系2017年以后发布，2017年发布139篇，2018年发布</w:t>
      </w:r>
      <w:r>
        <w:rPr>
          <w:rFonts w:ascii="KaiTi" w:hAnsi="KaiTi" w:eastAsia="KaiTi" w:cs="KaiTi"/>
          <w:sz w:val="17"/>
          <w:szCs w:val="17"/>
          <w:spacing w:val="1"/>
        </w:rPr>
        <w:t>534篇，2019年</w:t>
      </w:r>
      <w:r>
        <w:rPr>
          <w:rFonts w:ascii="KaiTi" w:hAnsi="KaiTi" w:eastAsia="KaiTi" w:cs="KaiTi"/>
          <w:sz w:val="17"/>
          <w:szCs w:val="17"/>
        </w:rPr>
        <w:t xml:space="preserve">  </w:t>
      </w:r>
      <w:r>
        <w:rPr>
          <w:rFonts w:ascii="KaiTi" w:hAnsi="KaiTi" w:eastAsia="KaiTi" w:cs="KaiTi"/>
          <w:sz w:val="17"/>
          <w:szCs w:val="17"/>
          <w:spacing w:val="3"/>
        </w:rPr>
        <w:t>发布764篇，2020年发布843篇，20</w:t>
      </w:r>
      <w:r>
        <w:rPr>
          <w:rFonts w:ascii="KaiTi" w:hAnsi="KaiTi" w:eastAsia="KaiTi" w:cs="KaiTi"/>
          <w:sz w:val="17"/>
          <w:szCs w:val="17"/>
          <w:spacing w:val="2"/>
        </w:rPr>
        <w:t>21年发布59篇。从地域上看，以下省份发</w:t>
      </w:r>
      <w:r>
        <w:rPr>
          <w:rFonts w:ascii="KaiTi" w:hAnsi="KaiTi" w:eastAsia="KaiTi" w:cs="KaiTi"/>
          <w:sz w:val="17"/>
          <w:szCs w:val="17"/>
        </w:rPr>
        <w:t xml:space="preserve"> </w:t>
      </w:r>
      <w:r>
        <w:rPr>
          <w:rFonts w:ascii="KaiTi" w:hAnsi="KaiTi" w:eastAsia="KaiTi" w:cs="KaiTi"/>
          <w:sz w:val="17"/>
          <w:szCs w:val="17"/>
          <w:spacing w:val="2"/>
        </w:rPr>
        <w:t>文较多，均超过100篇：浙江省384篇，福建省179篇，广东省</w:t>
      </w:r>
      <w:r>
        <w:rPr>
          <w:rFonts w:ascii="KaiTi" w:hAnsi="KaiTi" w:eastAsia="KaiTi" w:cs="KaiTi"/>
          <w:sz w:val="17"/>
          <w:szCs w:val="17"/>
          <w:spacing w:val="1"/>
        </w:rPr>
        <w:t>167篇，贵州省</w:t>
      </w:r>
      <w:r>
        <w:rPr>
          <w:rFonts w:ascii="KaiTi" w:hAnsi="KaiTi" w:eastAsia="KaiTi" w:cs="KaiTi"/>
          <w:sz w:val="17"/>
          <w:szCs w:val="17"/>
        </w:rPr>
        <w:t xml:space="preserve">  </w:t>
      </w:r>
      <w:r>
        <w:rPr>
          <w:rFonts w:ascii="KaiTi" w:hAnsi="KaiTi" w:eastAsia="KaiTi" w:cs="KaiTi"/>
          <w:sz w:val="17"/>
          <w:szCs w:val="17"/>
        </w:rPr>
        <w:t>153篇，山东省120篇，广西壮族自治区114篇，四川省114篇，云南省113篇。</w:t>
      </w:r>
    </w:p>
    <w:p>
      <w:pPr>
        <w:spacing w:line="294" w:lineRule="auto"/>
        <w:sectPr>
          <w:headerReference w:type="default" r:id="rId1"/>
          <w:pgSz w:w="7330" w:h="12480"/>
          <w:pgMar w:top="345" w:right="586" w:bottom="400" w:left="569" w:header="0" w:footer="0" w:gutter="0"/>
        </w:sectPr>
        <w:rPr>
          <w:rFonts w:ascii="KaiTi" w:hAnsi="KaiTi" w:eastAsia="KaiTi" w:cs="KaiTi"/>
          <w:sz w:val="17"/>
          <w:szCs w:val="17"/>
        </w:rPr>
      </w:pPr>
    </w:p>
    <w:p>
      <w:pPr>
        <w:pStyle w:val="BodyText"/>
        <w:spacing w:line="254" w:lineRule="auto"/>
        <w:rPr/>
      </w:pPr>
      <w:r>
        <w:drawing>
          <wp:anchor distT="0" distB="0" distL="0" distR="0" simplePos="0" relativeHeight="256711680" behindDoc="0" locked="0" layoutInCell="0" allowOverlap="1">
            <wp:simplePos x="0" y="0"/>
            <wp:positionH relativeFrom="page">
              <wp:posOffset>336570</wp:posOffset>
            </wp:positionH>
            <wp:positionV relativeFrom="page">
              <wp:posOffset>7054815</wp:posOffset>
            </wp:positionV>
            <wp:extent cx="1168384" cy="6418"/>
            <wp:effectExtent l="0" t="0" r="0" b="0"/>
            <wp:wrapNone/>
            <wp:docPr id="442" name="IM 442"/>
            <wp:cNvGraphicFramePr/>
            <a:graphic>
              <a:graphicData uri="http://schemas.openxmlformats.org/drawingml/2006/picture">
                <pic:pic>
                  <pic:nvPicPr>
                    <pic:cNvPr id="442" name="IM 442"/>
                    <pic:cNvPicPr/>
                  </pic:nvPicPr>
                  <pic:blipFill>
                    <a:blip r:embed="rId585"/>
                    <a:stretch>
                      <a:fillRect/>
                    </a:stretch>
                  </pic:blipFill>
                  <pic:spPr>
                    <a:xfrm rot="0">
                      <a:off x="0" y="0"/>
                      <a:ext cx="1168384" cy="6418"/>
                    </a:xfrm>
                    <a:prstGeom prst="rect">
                      <a:avLst/>
                    </a:prstGeom>
                  </pic:spPr>
                </pic:pic>
              </a:graphicData>
            </a:graphic>
          </wp:anchor>
        </w:drawing>
      </w:r>
      <w:r/>
    </w:p>
    <w:p>
      <w:pPr>
        <w:pStyle w:val="BodyText"/>
        <w:spacing w:line="255" w:lineRule="auto"/>
        <w:rPr/>
      </w:pPr>
      <w:r/>
    </w:p>
    <w:p>
      <w:pPr>
        <w:pStyle w:val="BodyText"/>
        <w:spacing w:line="255" w:lineRule="auto"/>
        <w:rPr/>
      </w:pPr>
      <w:r/>
    </w:p>
    <w:p>
      <w:pPr>
        <w:pStyle w:val="BodyText"/>
        <w:spacing w:line="255" w:lineRule="auto"/>
        <w:rPr/>
      </w:pPr>
      <w:r/>
    </w:p>
    <w:p>
      <w:pPr>
        <w:ind w:firstLine="389"/>
        <w:spacing w:before="66" w:line="309" w:lineRule="auto"/>
        <w:jc w:val="both"/>
        <w:rPr>
          <w:rFonts w:ascii="SimSun" w:hAnsi="SimSun" w:eastAsia="SimSun" w:cs="SimSun"/>
          <w:sz w:val="20"/>
          <w:szCs w:val="20"/>
        </w:rPr>
      </w:pPr>
      <w:r>
        <w:rPr>
          <w:rFonts w:ascii="SimSun" w:hAnsi="SimSun" w:eastAsia="SimSun" w:cs="SimSun"/>
          <w:sz w:val="20"/>
          <w:szCs w:val="20"/>
          <w:spacing w:val="-1"/>
        </w:rPr>
        <w:t>但数字经济的内涵式定义尚不明确，其外延也处于不断扩充变化 </w:t>
      </w:r>
      <w:r>
        <w:rPr>
          <w:rFonts w:ascii="SimSun" w:hAnsi="SimSun" w:eastAsia="SimSun" w:cs="SimSun"/>
          <w:sz w:val="20"/>
          <w:szCs w:val="20"/>
          <w:spacing w:val="2"/>
        </w:rPr>
        <w:t>的过程之中。数字经济作为新兴事物，对现行立法提出了诸多挑</w:t>
      </w:r>
      <w:r>
        <w:rPr>
          <w:rFonts w:ascii="SimSun" w:hAnsi="SimSun" w:eastAsia="SimSun" w:cs="SimSun"/>
          <w:sz w:val="20"/>
          <w:szCs w:val="20"/>
          <w:spacing w:val="1"/>
        </w:rPr>
        <w:t>战，</w:t>
      </w:r>
      <w:r>
        <w:rPr>
          <w:rFonts w:ascii="SimSun" w:hAnsi="SimSun" w:eastAsia="SimSun" w:cs="SimSun"/>
          <w:sz w:val="20"/>
          <w:szCs w:val="20"/>
        </w:rPr>
        <w:t xml:space="preserve"> </w:t>
      </w:r>
      <w:r>
        <w:rPr>
          <w:rFonts w:ascii="SimSun" w:hAnsi="SimSun" w:eastAsia="SimSun" w:cs="SimSun"/>
          <w:sz w:val="20"/>
          <w:szCs w:val="20"/>
          <w:spacing w:val="-1"/>
        </w:rPr>
        <w:t>仍然有着急迫的立法需求。当“数字经济”概念的模糊性与法律规则 </w:t>
      </w:r>
      <w:r>
        <w:rPr>
          <w:rFonts w:ascii="SimSun" w:hAnsi="SimSun" w:eastAsia="SimSun" w:cs="SimSun"/>
          <w:sz w:val="20"/>
          <w:szCs w:val="20"/>
          <w:spacing w:val="-1"/>
        </w:rPr>
        <w:t>的精确性相冲突时，我们应当采取一种较为务实的态度，根据法律的</w:t>
      </w:r>
      <w:r>
        <w:rPr>
          <w:rFonts w:ascii="SimSun" w:hAnsi="SimSun" w:eastAsia="SimSun" w:cs="SimSun"/>
          <w:sz w:val="20"/>
          <w:szCs w:val="20"/>
          <w:spacing w:val="2"/>
        </w:rPr>
        <w:t xml:space="preserve">  </w:t>
      </w:r>
      <w:r>
        <w:rPr>
          <w:rFonts w:ascii="SimSun" w:hAnsi="SimSun" w:eastAsia="SimSun" w:cs="SimSun"/>
          <w:sz w:val="20"/>
          <w:szCs w:val="20"/>
          <w:spacing w:val="-6"/>
        </w:rPr>
        <w:t>目标来界定不同法律中的“数字经济”概念。①</w:t>
      </w:r>
    </w:p>
    <w:p>
      <w:pPr>
        <w:pStyle w:val="BodyText"/>
        <w:spacing w:line="349" w:lineRule="auto"/>
        <w:rPr/>
      </w:pPr>
      <w:r/>
    </w:p>
    <w:p>
      <w:pPr>
        <w:ind w:left="2194"/>
        <w:spacing w:before="107" w:line="220" w:lineRule="auto"/>
        <w:rPr>
          <w:rFonts w:ascii="SimSun" w:hAnsi="SimSun" w:eastAsia="SimSun" w:cs="SimSun"/>
          <w:sz w:val="33"/>
          <w:szCs w:val="33"/>
        </w:rPr>
      </w:pPr>
      <w:r>
        <w:rPr>
          <w:rFonts w:ascii="SimSun" w:hAnsi="SimSun" w:eastAsia="SimSun" w:cs="SimSun"/>
          <w:sz w:val="33"/>
          <w:szCs w:val="33"/>
          <w:b/>
          <w:bCs/>
          <w:spacing w:val="-14"/>
        </w:rPr>
        <w:t>结论与建议</w:t>
      </w:r>
    </w:p>
    <w:p>
      <w:pPr>
        <w:pStyle w:val="BodyText"/>
        <w:spacing w:line="288" w:lineRule="auto"/>
        <w:rPr/>
      </w:pPr>
      <w:r/>
    </w:p>
    <w:p>
      <w:pPr>
        <w:ind w:right="77" w:firstLine="389"/>
        <w:spacing w:before="65" w:line="332" w:lineRule="auto"/>
        <w:jc w:val="both"/>
        <w:rPr>
          <w:rFonts w:ascii="SimSun" w:hAnsi="SimSun" w:eastAsia="SimSun" w:cs="SimSun"/>
          <w:sz w:val="20"/>
          <w:szCs w:val="20"/>
        </w:rPr>
      </w:pPr>
      <w:r>
        <w:rPr>
          <w:rFonts w:ascii="SimSun" w:hAnsi="SimSun" w:eastAsia="SimSun" w:cs="SimSun"/>
          <w:sz w:val="20"/>
          <w:szCs w:val="20"/>
        </w:rPr>
        <w:t>根据上文对目前平台监管现状的描述，基于</w:t>
      </w:r>
      <w:r>
        <w:rPr>
          <w:rFonts w:ascii="SimSun" w:hAnsi="SimSun" w:eastAsia="SimSun" w:cs="SimSun"/>
          <w:sz w:val="20"/>
          <w:szCs w:val="20"/>
          <w:spacing w:val="-1"/>
        </w:rPr>
        <w:t>行业的监管和联合监</w:t>
      </w:r>
      <w:r>
        <w:rPr>
          <w:rFonts w:ascii="SimSun" w:hAnsi="SimSun" w:eastAsia="SimSun" w:cs="SimSun"/>
          <w:sz w:val="20"/>
          <w:szCs w:val="20"/>
        </w:rPr>
        <w:t xml:space="preserve"> </w:t>
      </w:r>
      <w:r>
        <w:rPr>
          <w:rFonts w:ascii="SimSun" w:hAnsi="SimSun" w:eastAsia="SimSun" w:cs="SimSun"/>
          <w:sz w:val="20"/>
          <w:szCs w:val="20"/>
          <w:spacing w:val="-7"/>
        </w:rPr>
        <w:t>管容易造成运动式执法，从而演变成各部门权力扩张而无法形成</w:t>
      </w:r>
      <w:r>
        <w:rPr>
          <w:rFonts w:ascii="SimSun" w:hAnsi="SimSun" w:eastAsia="SimSun" w:cs="SimSun"/>
          <w:sz w:val="20"/>
          <w:szCs w:val="20"/>
          <w:spacing w:val="-8"/>
        </w:rPr>
        <w:t>对平台</w:t>
      </w:r>
    </w:p>
    <w:p>
      <w:pPr>
        <w:spacing w:line="219" w:lineRule="auto"/>
        <w:rPr>
          <w:rFonts w:ascii="SimSun" w:hAnsi="SimSun" w:eastAsia="SimSun" w:cs="SimSun"/>
          <w:sz w:val="20"/>
          <w:szCs w:val="20"/>
        </w:rPr>
      </w:pPr>
      <w:r>
        <w:rPr>
          <w:rFonts w:ascii="SimSun" w:hAnsi="SimSun" w:eastAsia="SimSun" w:cs="SimSun"/>
          <w:sz w:val="20"/>
          <w:szCs w:val="20"/>
          <w:spacing w:val="-8"/>
        </w:rPr>
        <w:t>统一高效的监管，因此，短期来看，对平台的监管需要更具有规划性。</w:t>
      </w:r>
    </w:p>
    <w:p>
      <w:pPr>
        <w:ind w:right="72" w:firstLine="389"/>
        <w:spacing w:before="123" w:line="332" w:lineRule="auto"/>
        <w:jc w:val="both"/>
        <w:rPr>
          <w:rFonts w:ascii="SimSun" w:hAnsi="SimSun" w:eastAsia="SimSun" w:cs="SimSun"/>
          <w:sz w:val="20"/>
          <w:szCs w:val="20"/>
        </w:rPr>
      </w:pPr>
      <w:r>
        <w:rPr>
          <w:rFonts w:ascii="SimSun" w:hAnsi="SimSun" w:eastAsia="SimSun" w:cs="SimSun"/>
          <w:sz w:val="20"/>
          <w:szCs w:val="20"/>
        </w:rPr>
        <w:t>但有规划的平台监管仍无法解决监管权不独立</w:t>
      </w:r>
      <w:r>
        <w:rPr>
          <w:rFonts w:ascii="SimSun" w:hAnsi="SimSun" w:eastAsia="SimSun" w:cs="SimSun"/>
          <w:sz w:val="20"/>
          <w:szCs w:val="20"/>
          <w:spacing w:val="-1"/>
        </w:rPr>
        <w:t>、行业监管与反垄</w:t>
      </w:r>
      <w:r>
        <w:rPr>
          <w:rFonts w:ascii="SimSun" w:hAnsi="SimSun" w:eastAsia="SimSun" w:cs="SimSun"/>
          <w:sz w:val="20"/>
          <w:szCs w:val="20"/>
        </w:rPr>
        <w:t xml:space="preserve"> </w:t>
      </w:r>
      <w:r>
        <w:rPr>
          <w:rFonts w:ascii="SimSun" w:hAnsi="SimSun" w:eastAsia="SimSun" w:cs="SimSun"/>
          <w:sz w:val="20"/>
          <w:szCs w:val="20"/>
          <w:spacing w:val="-1"/>
        </w:rPr>
        <w:t>断监管权限界定不清的问题，因此，监管权独立，较为清晰的行业监</w:t>
      </w:r>
      <w:r>
        <w:rPr>
          <w:rFonts w:ascii="SimSun" w:hAnsi="SimSun" w:eastAsia="SimSun" w:cs="SimSun"/>
          <w:sz w:val="20"/>
          <w:szCs w:val="20"/>
          <w:spacing w:val="13"/>
        </w:rPr>
        <w:t xml:space="preserve"> </w:t>
      </w:r>
      <w:r>
        <w:rPr>
          <w:rFonts w:ascii="SimSun" w:hAnsi="SimSun" w:eastAsia="SimSun" w:cs="SimSun"/>
          <w:sz w:val="20"/>
          <w:szCs w:val="20"/>
          <w:spacing w:val="-1"/>
        </w:rPr>
        <w:t>管和反垄断监管权划分是高效监管的必经之路。在此基础之上，基于</w:t>
      </w:r>
      <w:r>
        <w:rPr>
          <w:rFonts w:ascii="SimSun" w:hAnsi="SimSun" w:eastAsia="SimSun" w:cs="SimSun"/>
          <w:sz w:val="20"/>
          <w:szCs w:val="20"/>
          <w:spacing w:val="16"/>
        </w:rPr>
        <w:t xml:space="preserve"> </w:t>
      </w:r>
      <w:r>
        <w:rPr>
          <w:rFonts w:ascii="SimSun" w:hAnsi="SimSun" w:eastAsia="SimSun" w:cs="SimSun"/>
          <w:sz w:val="20"/>
          <w:szCs w:val="20"/>
          <w:spacing w:val="-1"/>
        </w:rPr>
        <w:t>平台的跨行业特性，打破传统行业监管模式，成立基于平台产业</w:t>
      </w:r>
      <w:r>
        <w:rPr>
          <w:rFonts w:ascii="SimSun" w:hAnsi="SimSun" w:eastAsia="SimSun" w:cs="SimSun"/>
          <w:sz w:val="20"/>
          <w:szCs w:val="20"/>
          <w:spacing w:val="-2"/>
        </w:rPr>
        <w:t>的综</w:t>
      </w:r>
    </w:p>
    <w:p>
      <w:pPr>
        <w:spacing w:line="218" w:lineRule="auto"/>
        <w:rPr>
          <w:rFonts w:ascii="SimSun" w:hAnsi="SimSun" w:eastAsia="SimSun" w:cs="SimSun"/>
          <w:sz w:val="20"/>
          <w:szCs w:val="20"/>
        </w:rPr>
      </w:pPr>
      <w:r>
        <w:rPr>
          <w:rFonts w:ascii="SimSun" w:hAnsi="SimSun" w:eastAsia="SimSun" w:cs="SimSun"/>
          <w:sz w:val="20"/>
          <w:szCs w:val="20"/>
          <w:spacing w:val="-3"/>
        </w:rPr>
        <w:t>合性、专门性监管机构是长期来看较为可行的模式。</w:t>
      </w:r>
    </w:p>
    <w:p>
      <w:pPr>
        <w:ind w:right="66" w:firstLine="389"/>
        <w:spacing w:before="125" w:line="332" w:lineRule="auto"/>
        <w:jc w:val="both"/>
        <w:rPr>
          <w:rFonts w:ascii="SimSun" w:hAnsi="SimSun" w:eastAsia="SimSun" w:cs="SimSun"/>
          <w:sz w:val="20"/>
          <w:szCs w:val="20"/>
        </w:rPr>
      </w:pPr>
      <w:r>
        <w:rPr>
          <w:rFonts w:ascii="SimSun" w:hAnsi="SimSun" w:eastAsia="SimSun" w:cs="SimSun"/>
          <w:sz w:val="20"/>
          <w:szCs w:val="20"/>
          <w:spacing w:val="6"/>
        </w:rPr>
        <w:t>平台经济方兴未艾，理论分析和制度探索也刚刚起步，但其对</w:t>
      </w:r>
      <w:r>
        <w:rPr>
          <w:rFonts w:ascii="SimSun" w:hAnsi="SimSun" w:eastAsia="SimSun" w:cs="SimSun"/>
          <w:sz w:val="20"/>
          <w:szCs w:val="20"/>
          <w:spacing w:val="15"/>
        </w:rPr>
        <w:t xml:space="preserve"> </w:t>
      </w:r>
      <w:r>
        <w:rPr>
          <w:rFonts w:ascii="SimSun" w:hAnsi="SimSun" w:eastAsia="SimSun" w:cs="SimSun"/>
          <w:sz w:val="20"/>
          <w:szCs w:val="20"/>
        </w:rPr>
        <w:t>整体国家治理能力的挑战已经摆在案头。数字</w:t>
      </w:r>
      <w:r>
        <w:rPr>
          <w:rFonts w:ascii="SimSun" w:hAnsi="SimSun" w:eastAsia="SimSun" w:cs="SimSun"/>
          <w:sz w:val="20"/>
          <w:szCs w:val="20"/>
          <w:spacing w:val="-1"/>
        </w:rPr>
        <w:t>经济法的制定、争论和</w:t>
      </w:r>
      <w:r>
        <w:rPr>
          <w:rFonts w:ascii="SimSun" w:hAnsi="SimSun" w:eastAsia="SimSun" w:cs="SimSun"/>
          <w:sz w:val="20"/>
          <w:szCs w:val="20"/>
        </w:rPr>
        <w:t xml:space="preserve"> </w:t>
      </w:r>
      <w:r>
        <w:rPr>
          <w:rFonts w:ascii="SimSun" w:hAnsi="SimSun" w:eastAsia="SimSun" w:cs="SimSun"/>
          <w:sz w:val="20"/>
          <w:szCs w:val="20"/>
        </w:rPr>
        <w:t>探讨未必能够解决问题，但公开规则和制度的演</w:t>
      </w:r>
      <w:r>
        <w:rPr>
          <w:rFonts w:ascii="SimSun" w:hAnsi="SimSun" w:eastAsia="SimSun" w:cs="SimSun"/>
          <w:sz w:val="20"/>
          <w:szCs w:val="20"/>
          <w:spacing w:val="-1"/>
        </w:rPr>
        <w:t>进需要一个契机和动</w:t>
      </w:r>
      <w:r>
        <w:rPr>
          <w:rFonts w:ascii="SimSun" w:hAnsi="SimSun" w:eastAsia="SimSun" w:cs="SimSun"/>
          <w:sz w:val="20"/>
          <w:szCs w:val="20"/>
        </w:rPr>
        <w:t xml:space="preserve"> </w:t>
      </w:r>
      <w:r>
        <w:rPr>
          <w:rFonts w:ascii="SimSun" w:hAnsi="SimSun" w:eastAsia="SimSun" w:cs="SimSun"/>
          <w:sz w:val="20"/>
          <w:szCs w:val="20"/>
          <w:spacing w:val="-1"/>
        </w:rPr>
        <w:t>力。因此，启动这一立法进程，进行集中争论和理论研究，是我们的</w:t>
      </w:r>
    </w:p>
    <w:p>
      <w:pPr>
        <w:spacing w:before="1" w:line="219" w:lineRule="auto"/>
        <w:rPr>
          <w:rFonts w:ascii="SimSun" w:hAnsi="SimSun" w:eastAsia="SimSun" w:cs="SimSun"/>
          <w:sz w:val="20"/>
          <w:szCs w:val="20"/>
        </w:rPr>
      </w:pPr>
      <w:r>
        <w:rPr>
          <w:rFonts w:ascii="SimSun" w:hAnsi="SimSun" w:eastAsia="SimSun" w:cs="SimSun"/>
          <w:sz w:val="20"/>
          <w:szCs w:val="20"/>
          <w:spacing w:val="-3"/>
        </w:rPr>
        <w:t>另一个建议。</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spacing w:before="53" w:line="220" w:lineRule="auto"/>
        <w:rPr>
          <w:rFonts w:ascii="Times New Roman" w:hAnsi="Times New Roman" w:eastAsia="Times New Roman" w:cs="Times New Roman"/>
          <w:sz w:val="16"/>
          <w:szCs w:val="16"/>
        </w:rPr>
      </w:pPr>
      <w:r>
        <w:rPr>
          <w:rFonts w:ascii="SimSun" w:hAnsi="SimSun" w:eastAsia="SimSun" w:cs="SimSun"/>
          <w:sz w:val="16"/>
          <w:szCs w:val="16"/>
          <w:spacing w:val="7"/>
        </w:rPr>
        <w:t>①</w:t>
      </w:r>
      <w:r>
        <w:rPr>
          <w:rFonts w:ascii="SimSun" w:hAnsi="SimSun" w:eastAsia="SimSun" w:cs="SimSun"/>
          <w:sz w:val="16"/>
          <w:szCs w:val="16"/>
          <w:spacing w:val="56"/>
        </w:rPr>
        <w:t xml:space="preserve"> </w:t>
      </w:r>
      <w:r>
        <w:rPr>
          <w:rFonts w:ascii="KaiTi" w:hAnsi="KaiTi" w:eastAsia="KaiTi" w:cs="KaiTi"/>
          <w:sz w:val="16"/>
          <w:szCs w:val="16"/>
          <w:spacing w:val="7"/>
        </w:rPr>
        <w:t>王旭.数字经济立法的概念选择.广西政法管理干部学院学报，</w:t>
      </w:r>
      <w:r>
        <w:rPr>
          <w:rFonts w:ascii="KaiTi" w:hAnsi="KaiTi" w:eastAsia="KaiTi" w:cs="KaiTi"/>
          <w:sz w:val="16"/>
          <w:szCs w:val="16"/>
          <w:spacing w:val="6"/>
        </w:rPr>
        <w:t>2021(5):5-13</w:t>
      </w:r>
      <w:r>
        <w:rPr>
          <w:rFonts w:ascii="Times New Roman" w:hAnsi="Times New Roman" w:eastAsia="Times New Roman" w:cs="Times New Roman"/>
          <w:sz w:val="16"/>
          <w:szCs w:val="16"/>
          <w:spacing w:val="6"/>
        </w:rPr>
        <w:t>.</w:t>
      </w:r>
    </w:p>
    <w:p>
      <w:pPr>
        <w:spacing w:line="220" w:lineRule="auto"/>
        <w:sectPr>
          <w:headerReference w:type="default" r:id="rId584"/>
          <w:pgSz w:w="7330" w:h="12480"/>
          <w:pgMar w:top="796" w:right="760" w:bottom="400" w:left="510" w:header="633" w:footer="0" w:gutter="0"/>
        </w:sectPr>
        <w:rPr>
          <w:rFonts w:ascii="Times New Roman" w:hAnsi="Times New Roman" w:eastAsia="Times New Roman" w:cs="Times New Roman"/>
          <w:sz w:val="16"/>
          <w:szCs w:val="16"/>
        </w:rPr>
      </w:pPr>
    </w:p>
    <w:p>
      <w:pPr>
        <w:pStyle w:val="BodyText"/>
        <w:rPr/>
      </w:pPr>
      <w:r/>
    </w:p>
    <w:p>
      <w:pPr>
        <w:sectPr>
          <w:headerReference w:type="default" r:id="rId1"/>
          <w:pgSz w:w="7330" w:h="12480"/>
          <w:pgMar w:top="0" w:right="0" w:bottom="0" w:left="0" w:header="0" w:footer="0" w:gutter="0"/>
        </w:sectPr>
        <w:rPr/>
      </w:pP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8" w:lineRule="auto"/>
        <w:rPr/>
      </w:pPr>
      <w:r/>
    </w:p>
    <w:p>
      <w:pPr>
        <w:pStyle w:val="BodyText"/>
        <w:spacing w:line="268" w:lineRule="auto"/>
        <w:rPr/>
      </w:pPr>
      <w:r/>
    </w:p>
    <w:p>
      <w:pPr>
        <w:ind w:left="3"/>
        <w:spacing w:before="81" w:line="219" w:lineRule="auto"/>
        <w:rPr>
          <w:rFonts w:ascii="SimSun" w:hAnsi="SimSun" w:eastAsia="SimSun" w:cs="SimSun"/>
          <w:sz w:val="25"/>
          <w:szCs w:val="25"/>
        </w:rPr>
      </w:pPr>
      <w:r>
        <w:rPr>
          <w:rFonts w:ascii="SimSun" w:hAnsi="SimSun" w:eastAsia="SimSun" w:cs="SimSun"/>
          <w:sz w:val="25"/>
          <w:szCs w:val="25"/>
          <w:b/>
          <w:bCs/>
          <w:spacing w:val="-13"/>
        </w:rPr>
        <w:t>北京大学平台经济创新与治理课题组成员</w:t>
      </w:r>
    </w:p>
    <w:p>
      <w:pPr>
        <w:spacing w:before="103" w:line="219" w:lineRule="auto"/>
        <w:rPr>
          <w:rFonts w:ascii="SimSun" w:hAnsi="SimSun" w:eastAsia="SimSun" w:cs="SimSun"/>
          <w:sz w:val="21"/>
          <w:szCs w:val="21"/>
        </w:rPr>
      </w:pPr>
      <w:r>
        <w:rPr>
          <w:rFonts w:ascii="SimSun" w:hAnsi="SimSun" w:eastAsia="SimSun" w:cs="SimSun"/>
          <w:sz w:val="21"/>
          <w:szCs w:val="21"/>
          <w:spacing w:val="-4"/>
        </w:rPr>
        <w:t>(按本书章节先后排序)</w:t>
      </w:r>
    </w:p>
    <w:p>
      <w:pPr>
        <w:pStyle w:val="BodyText"/>
        <w:spacing w:line="388" w:lineRule="auto"/>
        <w:rPr/>
      </w:pPr>
      <w:r/>
    </w:p>
    <w:p>
      <w:pPr>
        <w:ind w:left="3"/>
        <w:spacing w:before="68" w:line="382" w:lineRule="exact"/>
        <w:rPr>
          <w:rFonts w:ascii="SimSun" w:hAnsi="SimSun" w:eastAsia="SimSun" w:cs="SimSun"/>
          <w:sz w:val="21"/>
          <w:szCs w:val="21"/>
        </w:rPr>
      </w:pPr>
      <w:r>
        <w:rPr>
          <w:rFonts w:ascii="SimSun" w:hAnsi="SimSun" w:eastAsia="SimSun" w:cs="SimSun"/>
          <w:sz w:val="21"/>
          <w:szCs w:val="21"/>
          <w:b/>
          <w:bCs/>
          <w:spacing w:val="-6"/>
          <w:position w:val="13"/>
        </w:rPr>
        <w:t>黄益平</w:t>
      </w:r>
      <w:r>
        <w:rPr>
          <w:rFonts w:ascii="SimSun" w:hAnsi="SimSun" w:eastAsia="SimSun" w:cs="SimSun"/>
          <w:sz w:val="21"/>
          <w:szCs w:val="21"/>
          <w:spacing w:val="-6"/>
          <w:position w:val="13"/>
        </w:rPr>
        <w:t xml:space="preserve"> 北京大学国家发展研究院金光金融学与经济学讲席教授、副</w:t>
      </w:r>
    </w:p>
    <w:p>
      <w:pPr>
        <w:ind w:left="809"/>
        <w:spacing w:before="1" w:line="218" w:lineRule="auto"/>
        <w:rPr>
          <w:rFonts w:ascii="SimSun" w:hAnsi="SimSun" w:eastAsia="SimSun" w:cs="SimSun"/>
          <w:sz w:val="21"/>
          <w:szCs w:val="21"/>
        </w:rPr>
      </w:pPr>
      <w:r>
        <w:rPr>
          <w:rFonts w:ascii="SimSun" w:hAnsi="SimSun" w:eastAsia="SimSun" w:cs="SimSun"/>
          <w:sz w:val="21"/>
          <w:szCs w:val="21"/>
          <w:spacing w:val="-11"/>
        </w:rPr>
        <w:t>院长，北京大学数字金融研究中心主任</w:t>
      </w:r>
    </w:p>
    <w:p>
      <w:pPr>
        <w:pStyle w:val="BodyText"/>
        <w:spacing w:line="387" w:lineRule="auto"/>
        <w:rPr/>
      </w:pPr>
      <w:r/>
    </w:p>
    <w:p>
      <w:pPr>
        <w:ind w:left="809" w:right="22" w:hanging="806"/>
        <w:spacing w:before="69" w:line="260" w:lineRule="auto"/>
        <w:rPr>
          <w:rFonts w:ascii="SimSun" w:hAnsi="SimSun" w:eastAsia="SimSun" w:cs="SimSun"/>
          <w:sz w:val="21"/>
          <w:szCs w:val="21"/>
        </w:rPr>
      </w:pPr>
      <w:r>
        <w:rPr>
          <w:rFonts w:ascii="SimSun" w:hAnsi="SimSun" w:eastAsia="SimSun" w:cs="SimSun"/>
          <w:sz w:val="21"/>
          <w:szCs w:val="21"/>
          <w:b/>
          <w:bCs/>
          <w:spacing w:val="-6"/>
        </w:rPr>
        <w:t>邓</w:t>
      </w:r>
      <w:r>
        <w:rPr>
          <w:rFonts w:ascii="SimSun" w:hAnsi="SimSun" w:eastAsia="SimSun" w:cs="SimSun"/>
          <w:sz w:val="21"/>
          <w:szCs w:val="21"/>
          <w:spacing w:val="-6"/>
        </w:rPr>
        <w:t xml:space="preserve">  </w:t>
      </w:r>
      <w:r>
        <w:rPr>
          <w:rFonts w:ascii="SimSun" w:hAnsi="SimSun" w:eastAsia="SimSun" w:cs="SimSun"/>
          <w:sz w:val="21"/>
          <w:szCs w:val="21"/>
          <w:b/>
          <w:bCs/>
          <w:spacing w:val="-6"/>
        </w:rPr>
        <w:t>峰</w:t>
      </w:r>
      <w:r>
        <w:rPr>
          <w:rFonts w:ascii="SimSun" w:hAnsi="SimSun" w:eastAsia="SimSun" w:cs="SimSun"/>
          <w:sz w:val="21"/>
          <w:szCs w:val="21"/>
          <w:spacing w:val="-6"/>
        </w:rPr>
        <w:t xml:space="preserve"> 北京大学法学院教授、博士生导师，北</w:t>
      </w:r>
      <w:r>
        <w:rPr>
          <w:rFonts w:ascii="SimSun" w:hAnsi="SimSun" w:eastAsia="SimSun" w:cs="SimSun"/>
          <w:sz w:val="21"/>
          <w:szCs w:val="21"/>
          <w:spacing w:val="-7"/>
        </w:rPr>
        <w:t>京大学法律经济学研</w:t>
      </w:r>
      <w:r>
        <w:rPr>
          <w:rFonts w:ascii="SimSun" w:hAnsi="SimSun" w:eastAsia="SimSun" w:cs="SimSun"/>
          <w:sz w:val="21"/>
          <w:szCs w:val="21"/>
        </w:rPr>
        <w:t xml:space="preserve"> </w:t>
      </w:r>
      <w:r>
        <w:rPr>
          <w:rFonts w:ascii="SimSun" w:hAnsi="SimSun" w:eastAsia="SimSun" w:cs="SimSun"/>
          <w:sz w:val="21"/>
          <w:szCs w:val="21"/>
          <w:spacing w:val="-9"/>
        </w:rPr>
        <w:t>究中心主任</w:t>
      </w:r>
    </w:p>
    <w:p>
      <w:pPr>
        <w:pStyle w:val="BodyText"/>
        <w:spacing w:line="420" w:lineRule="auto"/>
        <w:rPr/>
      </w:pPr>
      <w:r/>
    </w:p>
    <w:p>
      <w:pPr>
        <w:ind w:left="809" w:right="17" w:hanging="806"/>
        <w:spacing w:before="68" w:line="264" w:lineRule="auto"/>
        <w:rPr>
          <w:rFonts w:ascii="SimSun" w:hAnsi="SimSun" w:eastAsia="SimSun" w:cs="SimSun"/>
          <w:sz w:val="21"/>
          <w:szCs w:val="21"/>
        </w:rPr>
      </w:pPr>
      <w:r>
        <w:rPr>
          <w:rFonts w:ascii="SimSun" w:hAnsi="SimSun" w:eastAsia="SimSun" w:cs="SimSun"/>
          <w:sz w:val="21"/>
          <w:szCs w:val="21"/>
          <w:b/>
          <w:bCs/>
          <w:spacing w:val="-6"/>
        </w:rPr>
        <w:t>沈</w:t>
      </w:r>
      <w:r>
        <w:rPr>
          <w:rFonts w:ascii="SimSun" w:hAnsi="SimSun" w:eastAsia="SimSun" w:cs="SimSun"/>
          <w:sz w:val="21"/>
          <w:szCs w:val="21"/>
          <w:spacing w:val="-6"/>
        </w:rPr>
        <w:t xml:space="preserve">  </w:t>
      </w:r>
      <w:r>
        <w:rPr>
          <w:rFonts w:ascii="SimSun" w:hAnsi="SimSun" w:eastAsia="SimSun" w:cs="SimSun"/>
          <w:sz w:val="21"/>
          <w:szCs w:val="21"/>
          <w:b/>
          <w:bCs/>
          <w:spacing w:val="-6"/>
        </w:rPr>
        <w:t>艳</w:t>
      </w:r>
      <w:r>
        <w:rPr>
          <w:rFonts w:ascii="SimSun" w:hAnsi="SimSun" w:eastAsia="SimSun" w:cs="SimSun"/>
          <w:sz w:val="21"/>
          <w:szCs w:val="21"/>
          <w:spacing w:val="-6"/>
        </w:rPr>
        <w:t xml:space="preserve"> 北京大学国家发展研究院教授，北京大学数字金</w:t>
      </w:r>
      <w:r>
        <w:rPr>
          <w:rFonts w:ascii="SimSun" w:hAnsi="SimSun" w:eastAsia="SimSun" w:cs="SimSun"/>
          <w:sz w:val="21"/>
          <w:szCs w:val="21"/>
          <w:spacing w:val="-7"/>
        </w:rPr>
        <w:t>融研究中心</w:t>
      </w:r>
      <w:r>
        <w:rPr>
          <w:rFonts w:ascii="SimSun" w:hAnsi="SimSun" w:eastAsia="SimSun" w:cs="SimSun"/>
          <w:sz w:val="21"/>
          <w:szCs w:val="21"/>
        </w:rPr>
        <w:t xml:space="preserve"> </w:t>
      </w:r>
      <w:r>
        <w:rPr>
          <w:rFonts w:ascii="SimSun" w:hAnsi="SimSun" w:eastAsia="SimSun" w:cs="SimSun"/>
          <w:sz w:val="21"/>
          <w:szCs w:val="21"/>
          <w:spacing w:val="-3"/>
        </w:rPr>
        <w:t>副主任</w:t>
      </w:r>
    </w:p>
    <w:p>
      <w:pPr>
        <w:pStyle w:val="BodyText"/>
        <w:spacing w:line="387" w:lineRule="auto"/>
        <w:rPr/>
      </w:pPr>
      <w:r/>
    </w:p>
    <w:p>
      <w:pPr>
        <w:ind w:left="3"/>
        <w:spacing w:before="69" w:line="219" w:lineRule="auto"/>
        <w:rPr>
          <w:rFonts w:ascii="SimSun" w:hAnsi="SimSun" w:eastAsia="SimSun" w:cs="SimSun"/>
          <w:sz w:val="21"/>
          <w:szCs w:val="21"/>
        </w:rPr>
      </w:pPr>
      <w:r>
        <w:rPr>
          <w:rFonts w:ascii="SimSun" w:hAnsi="SimSun" w:eastAsia="SimSun" w:cs="SimSun"/>
          <w:sz w:val="21"/>
          <w:szCs w:val="21"/>
          <w:b/>
          <w:bCs/>
          <w:spacing w:val="-8"/>
        </w:rPr>
        <w:t>汪</w:t>
      </w:r>
      <w:r>
        <w:rPr>
          <w:rFonts w:ascii="SimSun" w:hAnsi="SimSun" w:eastAsia="SimSun" w:cs="SimSun"/>
          <w:sz w:val="21"/>
          <w:szCs w:val="21"/>
          <w:spacing w:val="-8"/>
        </w:rPr>
        <w:t xml:space="preserve">  </w:t>
      </w:r>
      <w:r>
        <w:rPr>
          <w:rFonts w:ascii="SimSun" w:hAnsi="SimSun" w:eastAsia="SimSun" w:cs="SimSun"/>
          <w:sz w:val="21"/>
          <w:szCs w:val="21"/>
          <w:b/>
          <w:bCs/>
          <w:spacing w:val="-8"/>
        </w:rPr>
        <w:t>浩</w:t>
      </w:r>
      <w:r>
        <w:rPr>
          <w:rFonts w:ascii="SimSun" w:hAnsi="SimSun" w:eastAsia="SimSun" w:cs="SimSun"/>
          <w:sz w:val="21"/>
          <w:szCs w:val="21"/>
          <w:spacing w:val="69"/>
        </w:rPr>
        <w:t xml:space="preserve"> </w:t>
      </w:r>
      <w:r>
        <w:rPr>
          <w:rFonts w:ascii="SimSun" w:hAnsi="SimSun" w:eastAsia="SimSun" w:cs="SimSun"/>
          <w:sz w:val="21"/>
          <w:szCs w:val="21"/>
          <w:spacing w:val="-8"/>
        </w:rPr>
        <w:t>北京大学国家发展研究院教授</w:t>
      </w:r>
    </w:p>
    <w:p>
      <w:pPr>
        <w:pStyle w:val="BodyText"/>
        <w:spacing w:line="399"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0"/>
        </w:rPr>
        <w:t>伍晓鹰</w:t>
      </w:r>
      <w:r>
        <w:rPr>
          <w:rFonts w:ascii="SimSun" w:hAnsi="SimSun" w:eastAsia="SimSun" w:cs="SimSun"/>
          <w:sz w:val="21"/>
          <w:szCs w:val="21"/>
          <w:spacing w:val="92"/>
        </w:rPr>
        <w:t xml:space="preserve"> </w:t>
      </w:r>
      <w:r>
        <w:rPr>
          <w:rFonts w:ascii="SimSun" w:hAnsi="SimSun" w:eastAsia="SimSun" w:cs="SimSun"/>
          <w:sz w:val="21"/>
          <w:szCs w:val="21"/>
          <w:spacing w:val="-10"/>
        </w:rPr>
        <w:t>北京大学国家发展研究院经济学研究教授</w:t>
      </w:r>
    </w:p>
    <w:p>
      <w:pPr>
        <w:pStyle w:val="BodyText"/>
        <w:spacing w:line="401" w:lineRule="auto"/>
        <w:rPr/>
      </w:pPr>
      <w:r/>
    </w:p>
    <w:p>
      <w:pPr>
        <w:ind w:left="3"/>
        <w:spacing w:before="69" w:line="374" w:lineRule="exact"/>
        <w:rPr>
          <w:rFonts w:ascii="SimSun" w:hAnsi="SimSun" w:eastAsia="SimSun" w:cs="SimSun"/>
          <w:sz w:val="21"/>
          <w:szCs w:val="21"/>
        </w:rPr>
      </w:pPr>
      <w:r>
        <w:rPr>
          <w:rFonts w:ascii="SimSun" w:hAnsi="SimSun" w:eastAsia="SimSun" w:cs="SimSun"/>
          <w:sz w:val="21"/>
          <w:szCs w:val="21"/>
          <w:b/>
          <w:bCs/>
          <w:position w:val="12"/>
        </w:rPr>
        <w:t>余昌华</w:t>
      </w:r>
      <w:r>
        <w:rPr>
          <w:rFonts w:ascii="SimSun" w:hAnsi="SimSun" w:eastAsia="SimSun" w:cs="SimSun"/>
          <w:sz w:val="21"/>
          <w:szCs w:val="21"/>
          <w:spacing w:val="31"/>
          <w:position w:val="12"/>
        </w:rPr>
        <w:t xml:space="preserve"> </w:t>
      </w:r>
      <w:r>
        <w:rPr>
          <w:rFonts w:ascii="SimSun" w:hAnsi="SimSun" w:eastAsia="SimSun" w:cs="SimSun"/>
          <w:sz w:val="21"/>
          <w:szCs w:val="21"/>
          <w:position w:val="12"/>
        </w:rPr>
        <w:t>北京大学国家发展研究院长聘副教授、</w:t>
      </w:r>
      <w:r>
        <w:rPr>
          <w:rFonts w:ascii="SimSun" w:hAnsi="SimSun" w:eastAsia="SimSun" w:cs="SimSun"/>
          <w:sz w:val="21"/>
          <w:szCs w:val="21"/>
          <w:spacing w:val="-1"/>
          <w:position w:val="12"/>
        </w:rPr>
        <w:t>博士生导师、金光</w:t>
      </w:r>
    </w:p>
    <w:p>
      <w:pPr>
        <w:ind w:left="809"/>
        <w:spacing w:before="1" w:line="220" w:lineRule="auto"/>
        <w:rPr>
          <w:rFonts w:ascii="SimSun" w:hAnsi="SimSun" w:eastAsia="SimSun" w:cs="SimSun"/>
          <w:sz w:val="21"/>
          <w:szCs w:val="21"/>
        </w:rPr>
      </w:pPr>
      <w:r>
        <w:rPr>
          <w:rFonts w:ascii="SimSun" w:hAnsi="SimSun" w:eastAsia="SimSun" w:cs="SimSun"/>
          <w:sz w:val="21"/>
          <w:szCs w:val="21"/>
          <w:spacing w:val="-4"/>
        </w:rPr>
        <w:t>学者</w:t>
      </w:r>
    </w:p>
    <w:p>
      <w:pPr>
        <w:pStyle w:val="BodyText"/>
        <w:spacing w:line="392" w:lineRule="auto"/>
        <w:rPr/>
      </w:pPr>
      <w:r/>
    </w:p>
    <w:p>
      <w:pPr>
        <w:spacing w:before="69" w:line="383" w:lineRule="exact"/>
        <w:jc w:val="right"/>
        <w:rPr>
          <w:rFonts w:ascii="SimSun" w:hAnsi="SimSun" w:eastAsia="SimSun" w:cs="SimSun"/>
          <w:sz w:val="21"/>
          <w:szCs w:val="21"/>
        </w:rPr>
      </w:pPr>
      <w:r>
        <w:rPr>
          <w:rFonts w:ascii="SimSun" w:hAnsi="SimSun" w:eastAsia="SimSun" w:cs="SimSun"/>
          <w:sz w:val="21"/>
          <w:szCs w:val="21"/>
          <w:b/>
          <w:bCs/>
          <w:spacing w:val="-6"/>
          <w:position w:val="13"/>
        </w:rPr>
        <w:t>胡佳胤</w:t>
      </w:r>
      <w:r>
        <w:rPr>
          <w:rFonts w:ascii="SimSun" w:hAnsi="SimSun" w:eastAsia="SimSun" w:cs="SimSun"/>
          <w:sz w:val="21"/>
          <w:szCs w:val="21"/>
          <w:spacing w:val="-6"/>
          <w:position w:val="13"/>
        </w:rPr>
        <w:t xml:space="preserve"> 北京大学国家发展研究院助理教授，北京大学数字金融研究</w:t>
      </w:r>
    </w:p>
    <w:p>
      <w:pPr>
        <w:ind w:left="809"/>
        <w:spacing w:line="218" w:lineRule="auto"/>
        <w:rPr>
          <w:rFonts w:ascii="SimSun" w:hAnsi="SimSun" w:eastAsia="SimSun" w:cs="SimSun"/>
          <w:sz w:val="21"/>
          <w:szCs w:val="21"/>
        </w:rPr>
      </w:pPr>
      <w:r>
        <w:rPr>
          <w:rFonts w:ascii="SimSun" w:hAnsi="SimSun" w:eastAsia="SimSun" w:cs="SimSun"/>
          <w:sz w:val="21"/>
          <w:szCs w:val="21"/>
          <w:spacing w:val="-10"/>
        </w:rPr>
        <w:t>中心研究员，北京大学中国经济研究中心研究员</w:t>
      </w:r>
    </w:p>
    <w:p>
      <w:pPr>
        <w:pStyle w:val="BodyText"/>
        <w:spacing w:line="369" w:lineRule="auto"/>
        <w:rPr/>
      </w:pPr>
      <w:r/>
    </w:p>
    <w:p>
      <w:pPr>
        <w:ind w:left="809" w:right="23" w:hanging="807"/>
        <w:spacing w:before="69" w:line="268" w:lineRule="auto"/>
        <w:rPr>
          <w:rFonts w:ascii="SimSun" w:hAnsi="SimSun" w:eastAsia="SimSun" w:cs="SimSun"/>
          <w:sz w:val="21"/>
          <w:szCs w:val="21"/>
        </w:rPr>
      </w:pPr>
      <w:r>
        <w:rPr>
          <w:rFonts w:ascii="SimSun" w:hAnsi="SimSun" w:eastAsia="SimSun" w:cs="SimSun"/>
          <w:sz w:val="21"/>
          <w:szCs w:val="21"/>
          <w:b/>
          <w:bCs/>
          <w:spacing w:val="-1"/>
        </w:rPr>
        <w:t>李力行</w:t>
      </w:r>
      <w:r>
        <w:rPr>
          <w:rFonts w:ascii="SimSun" w:hAnsi="SimSun" w:eastAsia="SimSun" w:cs="SimSun"/>
          <w:sz w:val="21"/>
          <w:szCs w:val="21"/>
          <w:spacing w:val="41"/>
        </w:rPr>
        <w:t xml:space="preserve"> </w:t>
      </w:r>
      <w:r>
        <w:rPr>
          <w:rFonts w:ascii="SimSun" w:hAnsi="SimSun" w:eastAsia="SimSun" w:cs="SimSun"/>
          <w:sz w:val="21"/>
          <w:szCs w:val="21"/>
          <w:spacing w:val="-1"/>
        </w:rPr>
        <w:t>北京大学国家发展研究院教授，《经济学》(季刊)国际版</w:t>
      </w:r>
      <w:r>
        <w:rPr>
          <w:rFonts w:ascii="SimSun" w:hAnsi="SimSun" w:eastAsia="SimSun" w:cs="SimSun"/>
          <w:sz w:val="21"/>
          <w:szCs w:val="21"/>
        </w:rPr>
        <w:t xml:space="preserve"> </w:t>
      </w:r>
      <w:r>
        <w:rPr>
          <w:rFonts w:ascii="Times New Roman" w:hAnsi="Times New Roman" w:eastAsia="Times New Roman" w:cs="Times New Roman"/>
          <w:sz w:val="21"/>
          <w:szCs w:val="21"/>
          <w:spacing w:val="-3"/>
        </w:rPr>
        <w:t>China Economic Quarterly Internati</w:t>
      </w:r>
      <w:r>
        <w:rPr>
          <w:rFonts w:ascii="Times New Roman" w:hAnsi="Times New Roman" w:eastAsia="Times New Roman" w:cs="Times New Roman"/>
          <w:sz w:val="21"/>
          <w:szCs w:val="21"/>
          <w:spacing w:val="-4"/>
        </w:rPr>
        <w:t>onal </w:t>
      </w:r>
      <w:r>
        <w:rPr>
          <w:rFonts w:ascii="SimSun" w:hAnsi="SimSun" w:eastAsia="SimSun" w:cs="SimSun"/>
          <w:sz w:val="21"/>
          <w:szCs w:val="21"/>
          <w:spacing w:val="-4"/>
        </w:rPr>
        <w:t>执行主编</w:t>
      </w:r>
    </w:p>
    <w:p>
      <w:pPr>
        <w:pStyle w:val="BodyText"/>
        <w:spacing w:line="419" w:lineRule="auto"/>
        <w:rPr/>
      </w:pPr>
      <w:r/>
    </w:p>
    <w:p>
      <w:pPr>
        <w:ind w:left="809" w:right="41" w:hanging="807"/>
        <w:spacing w:before="68" w:line="264" w:lineRule="auto"/>
        <w:rPr>
          <w:rFonts w:ascii="SimSun" w:hAnsi="SimSun" w:eastAsia="SimSun" w:cs="SimSun"/>
          <w:sz w:val="21"/>
          <w:szCs w:val="21"/>
        </w:rPr>
      </w:pPr>
      <w:r>
        <w:rPr>
          <w:rFonts w:ascii="SimSun" w:hAnsi="SimSun" w:eastAsia="SimSun" w:cs="SimSun"/>
          <w:sz w:val="21"/>
          <w:szCs w:val="21"/>
          <w:b/>
          <w:bCs/>
          <w:spacing w:val="-10"/>
        </w:rPr>
        <w:t>周广肃</w:t>
      </w:r>
      <w:r>
        <w:rPr>
          <w:rFonts w:ascii="SimSun" w:hAnsi="SimSun" w:eastAsia="SimSun" w:cs="SimSun"/>
          <w:sz w:val="21"/>
          <w:szCs w:val="21"/>
          <w:spacing w:val="-10"/>
        </w:rPr>
        <w:t xml:space="preserve">  中国人民大学劳动人事学院副教授</w:t>
      </w:r>
      <w:r>
        <w:rPr>
          <w:rFonts w:ascii="SimSun" w:hAnsi="SimSun" w:eastAsia="SimSun" w:cs="SimSun"/>
          <w:sz w:val="21"/>
          <w:szCs w:val="21"/>
          <w:spacing w:val="-11"/>
        </w:rPr>
        <w:t>，中国人民大学共同富裕</w:t>
      </w:r>
      <w:r>
        <w:rPr>
          <w:rFonts w:ascii="SimSun" w:hAnsi="SimSun" w:eastAsia="SimSun" w:cs="SimSun"/>
          <w:sz w:val="21"/>
          <w:szCs w:val="21"/>
        </w:rPr>
        <w:t xml:space="preserve"> </w:t>
      </w:r>
      <w:r>
        <w:rPr>
          <w:rFonts w:ascii="SimSun" w:hAnsi="SimSun" w:eastAsia="SimSun" w:cs="SimSun"/>
          <w:sz w:val="21"/>
          <w:szCs w:val="21"/>
          <w:spacing w:val="-5"/>
        </w:rPr>
        <w:t>研究院研究员</w:t>
      </w:r>
    </w:p>
    <w:p>
      <w:pPr>
        <w:spacing w:line="264" w:lineRule="auto"/>
        <w:sectPr>
          <w:pgSz w:w="7330" w:h="12480"/>
          <w:pgMar w:top="400" w:right="718" w:bottom="400" w:left="580" w:header="0" w:footer="0" w:gutter="0"/>
        </w:sectPr>
        <w:rPr>
          <w:rFonts w:ascii="SimSun" w:hAnsi="SimSun" w:eastAsia="SimSun" w:cs="SimSun"/>
          <w:sz w:val="21"/>
          <w:szCs w:val="21"/>
        </w:rPr>
      </w:pP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0"/>
        </w:rPr>
        <w:t>席天扬</w:t>
      </w:r>
      <w:r>
        <w:rPr>
          <w:rFonts w:ascii="SimSun" w:hAnsi="SimSun" w:eastAsia="SimSun" w:cs="SimSun"/>
          <w:sz w:val="21"/>
          <w:szCs w:val="21"/>
          <w:spacing w:val="-10"/>
        </w:rPr>
        <w:t xml:space="preserve">  北京大学国家发展研究院长聘副教授</w:t>
      </w:r>
    </w:p>
    <w:p>
      <w:pPr>
        <w:pStyle w:val="BodyText"/>
        <w:spacing w:line="419" w:lineRule="auto"/>
        <w:rPr/>
      </w:pPr>
      <w:r/>
    </w:p>
    <w:p>
      <w:pPr>
        <w:ind w:left="810" w:right="19" w:hanging="807"/>
        <w:spacing w:before="68" w:line="260" w:lineRule="auto"/>
        <w:rPr>
          <w:rFonts w:ascii="SimSun" w:hAnsi="SimSun" w:eastAsia="SimSun" w:cs="SimSun"/>
          <w:sz w:val="21"/>
          <w:szCs w:val="21"/>
        </w:rPr>
      </w:pPr>
      <w:r>
        <w:rPr>
          <w:rFonts w:ascii="SimSun" w:hAnsi="SimSun" w:eastAsia="SimSun" w:cs="SimSun"/>
          <w:sz w:val="21"/>
          <w:szCs w:val="21"/>
          <w:b/>
          <w:bCs/>
          <w:spacing w:val="-7"/>
        </w:rPr>
        <w:t>黄</w:t>
      </w:r>
      <w:r>
        <w:rPr>
          <w:rFonts w:ascii="SimSun" w:hAnsi="SimSun" w:eastAsia="SimSun" w:cs="SimSun"/>
          <w:sz w:val="21"/>
          <w:szCs w:val="21"/>
          <w:spacing w:val="-7"/>
        </w:rPr>
        <w:t xml:space="preserve">  </w:t>
      </w:r>
      <w:r>
        <w:rPr>
          <w:rFonts w:ascii="SimSun" w:hAnsi="SimSun" w:eastAsia="SimSun" w:cs="SimSun"/>
          <w:sz w:val="21"/>
          <w:szCs w:val="21"/>
          <w:b/>
          <w:bCs/>
          <w:spacing w:val="-7"/>
        </w:rPr>
        <w:t>卓</w:t>
      </w:r>
      <w:r>
        <w:rPr>
          <w:rFonts w:ascii="SimSun" w:hAnsi="SimSun" w:eastAsia="SimSun" w:cs="SimSun"/>
          <w:sz w:val="21"/>
          <w:szCs w:val="21"/>
          <w:spacing w:val="-7"/>
        </w:rPr>
        <w:t xml:space="preserve"> 北京大学国家发展研究院长聘副教授，北京大学数字金融研</w:t>
      </w:r>
      <w:r>
        <w:rPr>
          <w:rFonts w:ascii="SimSun" w:hAnsi="SimSun" w:eastAsia="SimSun" w:cs="SimSun"/>
          <w:sz w:val="21"/>
          <w:szCs w:val="21"/>
          <w:spacing w:val="12"/>
        </w:rPr>
        <w:t xml:space="preserve"> </w:t>
      </w:r>
      <w:r>
        <w:rPr>
          <w:rFonts w:ascii="SimSun" w:hAnsi="SimSun" w:eastAsia="SimSun" w:cs="SimSun"/>
          <w:sz w:val="21"/>
          <w:szCs w:val="21"/>
          <w:spacing w:val="-9"/>
        </w:rPr>
        <w:t>究中心副主任</w:t>
      </w:r>
    </w:p>
    <w:p>
      <w:pPr>
        <w:pStyle w:val="BodyText"/>
        <w:spacing w:line="407" w:lineRule="auto"/>
        <w:rPr/>
      </w:pPr>
      <w:r/>
    </w:p>
    <w:p>
      <w:pPr>
        <w:ind w:left="810" w:right="17" w:hanging="807"/>
        <w:spacing w:before="68" w:line="260" w:lineRule="auto"/>
        <w:rPr>
          <w:rFonts w:ascii="SimSun" w:hAnsi="SimSun" w:eastAsia="SimSun" w:cs="SimSun"/>
          <w:sz w:val="21"/>
          <w:szCs w:val="21"/>
        </w:rPr>
      </w:pPr>
      <w:r>
        <w:rPr>
          <w:rFonts w:ascii="SimSun" w:hAnsi="SimSun" w:eastAsia="SimSun" w:cs="SimSun"/>
          <w:sz w:val="21"/>
          <w:szCs w:val="21"/>
          <w:b/>
          <w:bCs/>
          <w:spacing w:val="-7"/>
        </w:rPr>
        <w:t>朱</w:t>
      </w:r>
      <w:r>
        <w:rPr>
          <w:rFonts w:ascii="SimSun" w:hAnsi="SimSun" w:eastAsia="SimSun" w:cs="SimSun"/>
          <w:sz w:val="21"/>
          <w:szCs w:val="21"/>
          <w:spacing w:val="105"/>
        </w:rPr>
        <w:t xml:space="preserve"> </w:t>
      </w:r>
      <w:r>
        <w:rPr>
          <w:rFonts w:ascii="SimSun" w:hAnsi="SimSun" w:eastAsia="SimSun" w:cs="SimSun"/>
          <w:sz w:val="21"/>
          <w:szCs w:val="21"/>
          <w:b/>
          <w:bCs/>
          <w:spacing w:val="-7"/>
        </w:rPr>
        <w:t>丽</w:t>
      </w:r>
      <w:r>
        <w:rPr>
          <w:rFonts w:ascii="SimSun" w:hAnsi="SimSun" w:eastAsia="SimSun" w:cs="SimSun"/>
          <w:sz w:val="21"/>
          <w:szCs w:val="21"/>
          <w:spacing w:val="-7"/>
        </w:rPr>
        <w:t xml:space="preserve"> 北京大学国家发展研究院助理研究员，北京大学未来教育管</w:t>
      </w:r>
      <w:r>
        <w:rPr>
          <w:rFonts w:ascii="SimSun" w:hAnsi="SimSun" w:eastAsia="SimSun" w:cs="SimSun"/>
          <w:sz w:val="21"/>
          <w:szCs w:val="21"/>
        </w:rPr>
        <w:t xml:space="preserve"> </w:t>
      </w:r>
      <w:r>
        <w:rPr>
          <w:rFonts w:ascii="SimSun" w:hAnsi="SimSun" w:eastAsia="SimSun" w:cs="SimSun"/>
          <w:sz w:val="21"/>
          <w:szCs w:val="21"/>
          <w:spacing w:val="-9"/>
        </w:rPr>
        <w:t>理研究中心助理研究员</w:t>
      </w:r>
    </w:p>
    <w:p>
      <w:pPr>
        <w:pStyle w:val="BodyText"/>
        <w:spacing w:line="410"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0"/>
        </w:rPr>
        <w:t>查道炯</w:t>
      </w:r>
      <w:r>
        <w:rPr>
          <w:rFonts w:ascii="SimSun" w:hAnsi="SimSun" w:eastAsia="SimSun" w:cs="SimSun"/>
          <w:sz w:val="21"/>
          <w:szCs w:val="21"/>
          <w:spacing w:val="-10"/>
        </w:rPr>
        <w:t xml:space="preserve">  北京大学国际关系学院、南南合作与发展学院双聘教授</w:t>
      </w:r>
    </w:p>
    <w:p>
      <w:pPr>
        <w:pStyle w:val="BodyText"/>
        <w:spacing w:line="411" w:lineRule="auto"/>
        <w:rPr/>
      </w:pPr>
      <w:r/>
    </w:p>
    <w:p>
      <w:pPr>
        <w:ind w:left="810" w:right="19" w:hanging="807"/>
        <w:spacing w:before="69" w:line="259" w:lineRule="auto"/>
        <w:rPr>
          <w:rFonts w:ascii="SimSun" w:hAnsi="SimSun" w:eastAsia="SimSun" w:cs="SimSun"/>
          <w:sz w:val="21"/>
          <w:szCs w:val="21"/>
        </w:rPr>
      </w:pPr>
      <w:r>
        <w:rPr>
          <w:rFonts w:ascii="SimSun" w:hAnsi="SimSun" w:eastAsia="SimSun" w:cs="SimSun"/>
          <w:sz w:val="21"/>
          <w:szCs w:val="21"/>
          <w:b/>
          <w:bCs/>
          <w:spacing w:val="-8"/>
        </w:rPr>
        <w:t>巫和懋</w:t>
      </w:r>
      <w:r>
        <w:rPr>
          <w:rFonts w:ascii="SimSun" w:hAnsi="SimSun" w:eastAsia="SimSun" w:cs="SimSun"/>
          <w:sz w:val="21"/>
          <w:szCs w:val="21"/>
          <w:spacing w:val="34"/>
        </w:rPr>
        <w:t xml:space="preserve"> </w:t>
      </w:r>
      <w:r>
        <w:rPr>
          <w:rFonts w:ascii="SimSun" w:hAnsi="SimSun" w:eastAsia="SimSun" w:cs="SimSun"/>
          <w:sz w:val="21"/>
          <w:szCs w:val="21"/>
          <w:spacing w:val="-8"/>
        </w:rPr>
        <w:t>中欧国际工商学院经济学教授，北京大</w:t>
      </w:r>
      <w:r>
        <w:rPr>
          <w:rFonts w:ascii="SimSun" w:hAnsi="SimSun" w:eastAsia="SimSun" w:cs="SimSun"/>
          <w:sz w:val="21"/>
          <w:szCs w:val="21"/>
          <w:spacing w:val="-9"/>
        </w:rPr>
        <w:t>学国家发展研究院经</w:t>
      </w:r>
      <w:r>
        <w:rPr>
          <w:rFonts w:ascii="SimSun" w:hAnsi="SimSun" w:eastAsia="SimSun" w:cs="SimSun"/>
          <w:sz w:val="21"/>
          <w:szCs w:val="21"/>
        </w:rPr>
        <w:t xml:space="preserve"> </w:t>
      </w:r>
      <w:r>
        <w:rPr>
          <w:rFonts w:ascii="SimSun" w:hAnsi="SimSun" w:eastAsia="SimSun" w:cs="SimSun"/>
          <w:sz w:val="21"/>
          <w:szCs w:val="21"/>
          <w:spacing w:val="-9"/>
        </w:rPr>
        <w:t>济学退休教授</w:t>
      </w:r>
    </w:p>
    <w:p>
      <w:pPr>
        <w:pStyle w:val="BodyText"/>
        <w:spacing w:line="407" w:lineRule="auto"/>
        <w:rPr/>
      </w:pPr>
      <w:r/>
    </w:p>
    <w:p>
      <w:pPr>
        <w:ind w:left="3"/>
        <w:spacing w:before="68" w:line="219" w:lineRule="auto"/>
        <w:rPr>
          <w:rFonts w:ascii="SimSun" w:hAnsi="SimSun" w:eastAsia="SimSun" w:cs="SimSun"/>
          <w:sz w:val="21"/>
          <w:szCs w:val="21"/>
        </w:rPr>
      </w:pPr>
      <w:r>
        <w:rPr>
          <w:rFonts w:ascii="SimSun" w:hAnsi="SimSun" w:eastAsia="SimSun" w:cs="SimSun"/>
          <w:sz w:val="21"/>
          <w:szCs w:val="21"/>
          <w:b/>
          <w:bCs/>
          <w:spacing w:val="-8"/>
        </w:rPr>
        <w:t>刘</w:t>
      </w:r>
      <w:r>
        <w:rPr>
          <w:rFonts w:ascii="SimSun" w:hAnsi="SimSun" w:eastAsia="SimSun" w:cs="SimSun"/>
          <w:sz w:val="21"/>
          <w:szCs w:val="21"/>
          <w:spacing w:val="-8"/>
        </w:rPr>
        <w:t xml:space="preserve">  </w:t>
      </w:r>
      <w:r>
        <w:rPr>
          <w:rFonts w:ascii="SimSun" w:hAnsi="SimSun" w:eastAsia="SimSun" w:cs="SimSun"/>
          <w:sz w:val="21"/>
          <w:szCs w:val="21"/>
          <w:b/>
          <w:bCs/>
          <w:spacing w:val="-8"/>
        </w:rPr>
        <w:t>航</w:t>
      </w:r>
      <w:r>
        <w:rPr>
          <w:rFonts w:ascii="SimSun" w:hAnsi="SimSun" w:eastAsia="SimSun" w:cs="SimSun"/>
          <w:sz w:val="21"/>
          <w:szCs w:val="21"/>
          <w:spacing w:val="76"/>
        </w:rPr>
        <w:t xml:space="preserve"> </w:t>
      </w:r>
      <w:r>
        <w:rPr>
          <w:rFonts w:ascii="SimSun" w:hAnsi="SimSun" w:eastAsia="SimSun" w:cs="SimSun"/>
          <w:sz w:val="21"/>
          <w:szCs w:val="21"/>
          <w:spacing w:val="-8"/>
        </w:rPr>
        <w:t>中央财经大学中国互联网经济研究院研究员</w:t>
      </w:r>
    </w:p>
    <w:p>
      <w:pPr>
        <w:pStyle w:val="BodyText"/>
        <w:spacing w:line="401" w:lineRule="auto"/>
        <w:rPr/>
      </w:pPr>
      <w:r/>
    </w:p>
    <w:p>
      <w:pPr>
        <w:ind w:left="810" w:right="17" w:hanging="807"/>
        <w:spacing w:before="69" w:line="265" w:lineRule="auto"/>
        <w:rPr>
          <w:rFonts w:ascii="SimSun" w:hAnsi="SimSun" w:eastAsia="SimSun" w:cs="SimSun"/>
          <w:sz w:val="21"/>
          <w:szCs w:val="21"/>
        </w:rPr>
      </w:pPr>
      <w:r>
        <w:rPr>
          <w:rFonts w:ascii="SimSun" w:hAnsi="SimSun" w:eastAsia="SimSun" w:cs="SimSun"/>
          <w:sz w:val="21"/>
          <w:szCs w:val="21"/>
          <w:b/>
          <w:bCs/>
          <w:spacing w:val="-8"/>
        </w:rPr>
        <w:t>张俊妮</w:t>
      </w:r>
      <w:r>
        <w:rPr>
          <w:rFonts w:ascii="SimSun" w:hAnsi="SimSun" w:eastAsia="SimSun" w:cs="SimSun"/>
          <w:sz w:val="21"/>
          <w:szCs w:val="21"/>
          <w:spacing w:val="27"/>
        </w:rPr>
        <w:t xml:space="preserve"> </w:t>
      </w:r>
      <w:r>
        <w:rPr>
          <w:rFonts w:ascii="SimSun" w:hAnsi="SimSun" w:eastAsia="SimSun" w:cs="SimSun"/>
          <w:sz w:val="21"/>
          <w:szCs w:val="21"/>
          <w:spacing w:val="-8"/>
        </w:rPr>
        <w:t>北京大学国家发展研究院长聘副教授，美国哈佛大学统计学</w:t>
      </w:r>
      <w:r>
        <w:rPr>
          <w:rFonts w:ascii="SimSun" w:hAnsi="SimSun" w:eastAsia="SimSun" w:cs="SimSun"/>
          <w:sz w:val="21"/>
          <w:szCs w:val="21"/>
        </w:rPr>
        <w:t xml:space="preserve"> </w:t>
      </w:r>
      <w:r>
        <w:rPr>
          <w:rFonts w:ascii="SimSun" w:hAnsi="SimSun" w:eastAsia="SimSun" w:cs="SimSun"/>
          <w:sz w:val="21"/>
          <w:szCs w:val="21"/>
          <w:spacing w:val="-3"/>
        </w:rPr>
        <w:t>博士</w:t>
      </w:r>
    </w:p>
    <w:p>
      <w:pPr>
        <w:pStyle w:val="BodyText"/>
        <w:spacing w:line="404" w:lineRule="auto"/>
        <w:rPr/>
      </w:pPr>
      <w:r/>
    </w:p>
    <w:p>
      <w:pPr>
        <w:ind w:left="810" w:hanging="807"/>
        <w:spacing w:before="69" w:line="265" w:lineRule="auto"/>
        <w:rPr>
          <w:rFonts w:ascii="SimSun" w:hAnsi="SimSun" w:eastAsia="SimSun" w:cs="SimSun"/>
          <w:sz w:val="21"/>
          <w:szCs w:val="21"/>
        </w:rPr>
      </w:pPr>
      <w:r>
        <w:rPr>
          <w:rFonts w:ascii="SimSun" w:hAnsi="SimSun" w:eastAsia="SimSun" w:cs="SimSun"/>
          <w:sz w:val="21"/>
          <w:szCs w:val="21"/>
          <w:b/>
          <w:bCs/>
          <w:spacing w:val="-1"/>
        </w:rPr>
        <w:t>杨</w:t>
      </w:r>
      <w:r>
        <w:rPr>
          <w:rFonts w:ascii="SimSun" w:hAnsi="SimSun" w:eastAsia="SimSun" w:cs="SimSun"/>
          <w:sz w:val="21"/>
          <w:szCs w:val="21"/>
          <w:spacing w:val="-1"/>
        </w:rPr>
        <w:t xml:space="preserve">  </w:t>
      </w:r>
      <w:r>
        <w:rPr>
          <w:rFonts w:ascii="SimSun" w:hAnsi="SimSun" w:eastAsia="SimSun" w:cs="SimSun"/>
          <w:sz w:val="21"/>
          <w:szCs w:val="21"/>
          <w:b/>
          <w:bCs/>
          <w:spacing w:val="-1"/>
        </w:rPr>
        <w:t>明</w:t>
      </w:r>
      <w:r>
        <w:rPr>
          <w:rFonts w:ascii="SimSun" w:hAnsi="SimSun" w:eastAsia="SimSun" w:cs="SimSun"/>
          <w:sz w:val="21"/>
          <w:szCs w:val="21"/>
          <w:spacing w:val="59"/>
        </w:rPr>
        <w:t xml:space="preserve"> </w:t>
      </w:r>
      <w:r>
        <w:rPr>
          <w:rFonts w:ascii="SimSun" w:hAnsi="SimSun" w:eastAsia="SimSun" w:cs="SimSun"/>
          <w:sz w:val="21"/>
          <w:szCs w:val="21"/>
          <w:spacing w:val="-1"/>
        </w:rPr>
        <w:t>北京大学法学院教授，北京大学国际知识产权</w:t>
      </w:r>
      <w:r>
        <w:rPr>
          <w:rFonts w:ascii="SimSun" w:hAnsi="SimSun" w:eastAsia="SimSun" w:cs="SimSun"/>
          <w:sz w:val="21"/>
          <w:szCs w:val="21"/>
          <w:spacing w:val="-2"/>
        </w:rPr>
        <w:t>研究中心副</w:t>
      </w:r>
      <w:r>
        <w:rPr>
          <w:rFonts w:ascii="SimSun" w:hAnsi="SimSun" w:eastAsia="SimSun" w:cs="SimSun"/>
          <w:sz w:val="21"/>
          <w:szCs w:val="21"/>
        </w:rPr>
        <w:t xml:space="preserve"> </w:t>
      </w:r>
      <w:r>
        <w:rPr>
          <w:rFonts w:ascii="SimSun" w:hAnsi="SimSun" w:eastAsia="SimSun" w:cs="SimSun"/>
          <w:sz w:val="21"/>
          <w:szCs w:val="21"/>
          <w:spacing w:val="-3"/>
        </w:rPr>
        <w:t>主任</w:t>
      </w:r>
    </w:p>
    <w:p>
      <w:pPr>
        <w:spacing w:line="265" w:lineRule="auto"/>
        <w:sectPr>
          <w:headerReference w:type="default" r:id="rId586"/>
          <w:pgSz w:w="7330" w:h="12480"/>
          <w:pgMar w:top="497" w:right="761" w:bottom="400" w:left="549" w:header="335" w:footer="0" w:gutter="0"/>
        </w:sectPr>
        <w:rPr>
          <w:rFonts w:ascii="SimSun" w:hAnsi="SimSun" w:eastAsia="SimSun" w:cs="SimSun"/>
          <w:sz w:val="21"/>
          <w:szCs w:val="21"/>
        </w:rPr>
      </w:pPr>
    </w:p>
    <w:p>
      <w:pPr>
        <w:pStyle w:val="BodyText"/>
        <w:spacing w:line="354" w:lineRule="auto"/>
        <w:rPr/>
      </w:pPr>
      <w:r>
        <mc:AlternateContent xmlns:mc="http://schemas.openxmlformats.org/markup-compatibility/2006">
          <mc:Choice Requires="wps">
            <w:drawing>
              <wp:anchor distT="0" distB="0" distL="0" distR="0" simplePos="0" relativeHeight="256754688" behindDoc="0" locked="0" layoutInCell="0" allowOverlap="1">
                <wp:simplePos x="0" y="0"/>
                <wp:positionH relativeFrom="page">
                  <wp:posOffset>24410</wp:posOffset>
                </wp:positionH>
                <wp:positionV relativeFrom="page">
                  <wp:posOffset>7641163</wp:posOffset>
                </wp:positionV>
                <wp:extent cx="150495" cy="95885"/>
                <wp:effectExtent l="0" t="0" r="0" b="0"/>
                <wp:wrapNone/>
                <wp:docPr id="444" name="TextBox 444"/>
                <wp:cNvGraphicFramePr/>
                <a:graphic>
                  <a:graphicData uri="http://schemas.microsoft.com/office/word/2010/wordprocessingShape">
                    <wps:wsp>
                      <wps:cNvSpPr txBox="1"/>
                      <wps:spPr>
                        <a:xfrm rot="5400000">
                          <a:off x="24410" y="7641163"/>
                          <a:ext cx="150495" cy="958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5" w:line="219" w:lineRule="auto"/>
                              <w:rPr>
                                <w:rFonts w:ascii="SimSun" w:hAnsi="SimSun" w:eastAsia="SimSun" w:cs="SimSun"/>
                                <w:sz w:val="8"/>
                                <w:szCs w:val="8"/>
                              </w:rPr>
                            </w:pPr>
                            <w:r>
                              <w:rPr>
                                <w:rFonts w:ascii="SimSun" w:hAnsi="SimSun" w:eastAsia="SimSun" w:cs="SimSun"/>
                                <w:sz w:val="8"/>
                                <w:szCs w:val="8"/>
                                <w:spacing w:val="-6"/>
                              </w:rPr>
                              <w:t>国</w:t>
                            </w:r>
                            <w:r>
                              <w:rPr>
                                <w:rFonts w:ascii="SimSun" w:hAnsi="SimSun" w:eastAsia="SimSun" w:cs="SimSun"/>
                                <w:sz w:val="8"/>
                                <w:szCs w:val="8"/>
                                <w:spacing w:val="14"/>
                              </w:rPr>
                              <w:t xml:space="preserve"> </w:t>
                            </w:r>
                            <w:r>
                              <w:rPr>
                                <w:rFonts w:ascii="SimSun" w:hAnsi="SimSun" w:eastAsia="SimSun" w:cs="SimSun"/>
                                <w:sz w:val="8"/>
                                <w:szCs w:val="8"/>
                                <w:spacing w:val="-6"/>
                              </w:rPr>
                              <w:t>归</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6" style="position:absolute;margin-left:1.9221pt;margin-top:601.666pt;mso-position-vertical-relative:page;mso-position-horizontal-relative:page;width:11.85pt;height:7.55pt;z-index:256754688;rotation:90;" o:allowincell="f" filled="false" stroked="false" type="#_x0000_t202">
                <v:fill on="false"/>
                <v:stroke on="false"/>
                <v:path/>
                <v:imagedata o:title=""/>
                <o:lock v:ext="edit" aspectratio="false"/>
                <v:textbox inset="0mm,0mm,0mm,0mm">
                  <w:txbxContent>
                    <w:p>
                      <w:pPr>
                        <w:ind w:left="20"/>
                        <w:spacing w:before="35" w:line="219" w:lineRule="auto"/>
                        <w:rPr>
                          <w:rFonts w:ascii="SimSun" w:hAnsi="SimSun" w:eastAsia="SimSun" w:cs="SimSun"/>
                          <w:sz w:val="8"/>
                          <w:szCs w:val="8"/>
                        </w:rPr>
                      </w:pPr>
                      <w:r>
                        <w:rPr>
                          <w:rFonts w:ascii="SimSun" w:hAnsi="SimSun" w:eastAsia="SimSun" w:cs="SimSun"/>
                          <w:sz w:val="8"/>
                          <w:szCs w:val="8"/>
                          <w:spacing w:val="-6"/>
                        </w:rPr>
                        <w:t>国</w:t>
                      </w:r>
                      <w:r>
                        <w:rPr>
                          <w:rFonts w:ascii="SimSun" w:hAnsi="SimSun" w:eastAsia="SimSun" w:cs="SimSun"/>
                          <w:sz w:val="8"/>
                          <w:szCs w:val="8"/>
                          <w:spacing w:val="14"/>
                        </w:rPr>
                        <w:t xml:space="preserve"> </w:t>
                      </w:r>
                      <w:r>
                        <w:rPr>
                          <w:rFonts w:ascii="SimSun" w:hAnsi="SimSun" w:eastAsia="SimSun" w:cs="SimSun"/>
                          <w:sz w:val="8"/>
                          <w:szCs w:val="8"/>
                          <w:spacing w:val="-6"/>
                        </w:rPr>
                        <w:t>归</w:t>
                      </w:r>
                    </w:p>
                  </w:txbxContent>
                </v:textbox>
              </v:shape>
            </w:pict>
          </mc:Fallback>
        </mc:AlternateContent>
      </w:r>
      <w:r>
        <w:drawing>
          <wp:anchor distT="0" distB="0" distL="0" distR="0" simplePos="0" relativeHeight="256752640" behindDoc="0" locked="0" layoutInCell="0" allowOverlap="1">
            <wp:simplePos x="0" y="0"/>
            <wp:positionH relativeFrom="page">
              <wp:posOffset>0</wp:posOffset>
            </wp:positionH>
            <wp:positionV relativeFrom="page">
              <wp:posOffset>2901113</wp:posOffset>
            </wp:positionV>
            <wp:extent cx="381418" cy="1595259"/>
            <wp:effectExtent l="0" t="0" r="0" b="0"/>
            <wp:wrapNone/>
            <wp:docPr id="446" name="IM 446"/>
            <wp:cNvGraphicFramePr/>
            <a:graphic>
              <a:graphicData uri="http://schemas.openxmlformats.org/drawingml/2006/picture">
                <pic:pic>
                  <pic:nvPicPr>
                    <pic:cNvPr id="446" name="IM 446"/>
                    <pic:cNvPicPr/>
                  </pic:nvPicPr>
                  <pic:blipFill>
                    <a:blip r:embed="rId587"/>
                    <a:stretch>
                      <a:fillRect/>
                    </a:stretch>
                  </pic:blipFill>
                  <pic:spPr>
                    <a:xfrm rot="0">
                      <a:off x="0" y="0"/>
                      <a:ext cx="381418" cy="1595259"/>
                    </a:xfrm>
                    <a:prstGeom prst="rect">
                      <a:avLst/>
                    </a:prstGeom>
                  </pic:spPr>
                </pic:pic>
              </a:graphicData>
            </a:graphic>
          </wp:anchor>
        </w:drawing>
      </w:r>
      <w:r/>
    </w:p>
    <w:p>
      <w:pPr>
        <w:ind w:left="753"/>
        <w:spacing w:before="78" w:line="221" w:lineRule="auto"/>
        <w:rPr>
          <w:rFonts w:ascii="SimHei" w:hAnsi="SimHei" w:eastAsia="SimHei" w:cs="SimHei"/>
          <w:sz w:val="24"/>
          <w:szCs w:val="24"/>
        </w:rPr>
      </w:pPr>
      <w:r>
        <w:rPr>
          <w:rFonts w:ascii="SimHei" w:hAnsi="SimHei" w:eastAsia="SimHei" w:cs="SimHei"/>
          <w:sz w:val="24"/>
          <w:szCs w:val="24"/>
          <w:b/>
          <w:bCs/>
          <w:spacing w:val="-6"/>
        </w:rPr>
        <w:t>北京大学国家发展研究院院长姚洋教授作序推荐</w:t>
      </w:r>
    </w:p>
    <w:p>
      <w:pPr>
        <w:pStyle w:val="BodyText"/>
        <w:spacing w:line="392" w:lineRule="auto"/>
        <w:rPr/>
      </w:pPr>
      <w:r/>
    </w:p>
    <w:p>
      <w:pPr>
        <w:ind w:left="753"/>
        <w:spacing w:before="78" w:line="420" w:lineRule="exact"/>
        <w:rPr>
          <w:rFonts w:ascii="SimHei" w:hAnsi="SimHei" w:eastAsia="SimHei" w:cs="SimHei"/>
          <w:sz w:val="24"/>
          <w:szCs w:val="24"/>
        </w:rPr>
      </w:pPr>
      <w:r>
        <w:rPr>
          <w:rFonts w:ascii="SimHei" w:hAnsi="SimHei" w:eastAsia="SimHei" w:cs="SimHei"/>
          <w:sz w:val="24"/>
          <w:szCs w:val="24"/>
          <w:b/>
          <w:bCs/>
          <w:color w:val="FC772A"/>
          <w:spacing w:val="-6"/>
          <w:position w:val="13"/>
        </w:rPr>
        <w:t>2021年，平台经济迎来“强监管”政策元年。</w:t>
      </w:r>
    </w:p>
    <w:p>
      <w:pPr>
        <w:ind w:left="753"/>
        <w:spacing w:before="1" w:line="212" w:lineRule="auto"/>
        <w:rPr>
          <w:rFonts w:ascii="SimHei" w:hAnsi="SimHei" w:eastAsia="SimHei" w:cs="SimHei"/>
          <w:sz w:val="24"/>
          <w:szCs w:val="24"/>
        </w:rPr>
      </w:pPr>
      <w:r>
        <w:rPr>
          <w:rFonts w:ascii="SimHei" w:hAnsi="SimHei" w:eastAsia="SimHei" w:cs="SimHei"/>
          <w:sz w:val="24"/>
          <w:szCs w:val="24"/>
          <w:b/>
          <w:bCs/>
          <w:color w:val="FC772A"/>
          <w:spacing w:val="-14"/>
        </w:rPr>
        <w:t>各级会议、多个文件，</w:t>
      </w:r>
    </w:p>
    <w:p>
      <w:pPr>
        <w:ind w:left="753"/>
        <w:spacing w:before="153" w:line="221" w:lineRule="auto"/>
        <w:rPr>
          <w:rFonts w:ascii="SimHei" w:hAnsi="SimHei" w:eastAsia="SimHei" w:cs="SimHei"/>
          <w:sz w:val="24"/>
          <w:szCs w:val="24"/>
        </w:rPr>
      </w:pPr>
      <w:r>
        <w:rPr>
          <w:rFonts w:ascii="SimHei" w:hAnsi="SimHei" w:eastAsia="SimHei" w:cs="SimHei"/>
          <w:sz w:val="24"/>
          <w:szCs w:val="24"/>
          <w:b/>
          <w:bCs/>
          <w:color w:val="FC772A"/>
          <w:spacing w:val="-10"/>
        </w:rPr>
        <w:t>明确提出“强化反垄断和防止资本无序扩张”。</w:t>
      </w:r>
    </w:p>
    <w:p>
      <w:pPr>
        <w:pStyle w:val="BodyText"/>
        <w:spacing w:line="379" w:lineRule="auto"/>
        <w:rPr/>
      </w:pPr>
      <w:r/>
    </w:p>
    <w:p>
      <w:pPr>
        <w:ind w:left="752"/>
        <w:spacing w:before="62" w:line="339" w:lineRule="exact"/>
        <w:rPr>
          <w:rFonts w:ascii="SimSun" w:hAnsi="SimSun" w:eastAsia="SimSun" w:cs="SimSun"/>
          <w:sz w:val="19"/>
          <w:szCs w:val="19"/>
        </w:rPr>
      </w:pPr>
      <w:r>
        <w:rPr>
          <w:rFonts w:ascii="SimSun" w:hAnsi="SimSun" w:eastAsia="SimSun" w:cs="SimSun"/>
          <w:sz w:val="19"/>
          <w:szCs w:val="19"/>
          <w:b/>
          <w:bCs/>
          <w:spacing w:val="19"/>
          <w:position w:val="11"/>
        </w:rPr>
        <w:t>平台经济12项重要议题的深入探讨</w:t>
      </w:r>
    </w:p>
    <w:p>
      <w:pPr>
        <w:ind w:left="752"/>
        <w:spacing w:line="219" w:lineRule="auto"/>
        <w:rPr>
          <w:rFonts w:ascii="SimSun" w:hAnsi="SimSun" w:eastAsia="SimSun" w:cs="SimSun"/>
          <w:sz w:val="19"/>
          <w:szCs w:val="19"/>
        </w:rPr>
      </w:pPr>
      <w:r>
        <w:rPr>
          <w:rFonts w:ascii="SimSun" w:hAnsi="SimSun" w:eastAsia="SimSun" w:cs="SimSun"/>
          <w:sz w:val="19"/>
          <w:szCs w:val="19"/>
          <w:b/>
          <w:bCs/>
          <w:spacing w:val="16"/>
        </w:rPr>
        <w:t>针对性的解决方案与政策建议</w:t>
      </w:r>
    </w:p>
    <w:p>
      <w:pPr>
        <w:ind w:left="752"/>
        <w:spacing w:before="114" w:line="219" w:lineRule="auto"/>
        <w:rPr>
          <w:rFonts w:ascii="SimSun" w:hAnsi="SimSun" w:eastAsia="SimSun" w:cs="SimSun"/>
          <w:sz w:val="19"/>
          <w:szCs w:val="19"/>
        </w:rPr>
      </w:pPr>
      <w:r>
        <w:rPr>
          <w:rFonts w:ascii="SimSun" w:hAnsi="SimSun" w:eastAsia="SimSun" w:cs="SimSun"/>
          <w:sz w:val="19"/>
          <w:szCs w:val="19"/>
          <w:b/>
          <w:bCs/>
          <w:spacing w:val="16"/>
        </w:rPr>
        <w:t>明晰在规范中发展的有序繁荣路径</w:t>
      </w:r>
    </w:p>
    <w:p>
      <w:pPr>
        <w:pStyle w:val="BodyText"/>
        <w:spacing w:line="393" w:lineRule="auto"/>
        <w:rPr/>
      </w:pPr>
      <w:r/>
    </w:p>
    <w:p>
      <w:pPr>
        <w:ind w:left="749" w:right="1002"/>
        <w:spacing w:before="62" w:line="265" w:lineRule="auto"/>
        <w:rPr>
          <w:rFonts w:ascii="SimSun" w:hAnsi="SimSun" w:eastAsia="SimSun" w:cs="SimSun"/>
          <w:sz w:val="19"/>
          <w:szCs w:val="19"/>
        </w:rPr>
      </w:pPr>
      <w:r>
        <w:rPr>
          <w:rFonts w:ascii="SimSun" w:hAnsi="SimSun" w:eastAsia="SimSun" w:cs="SimSun"/>
          <w:sz w:val="19"/>
          <w:szCs w:val="19"/>
          <w:spacing w:val="-2"/>
        </w:rPr>
        <w:t>如何保障包括平台企业在内的民营企业在资源配置与市场竞争中的平等地</w:t>
      </w:r>
      <w:r>
        <w:rPr>
          <w:rFonts w:ascii="SimSun" w:hAnsi="SimSun" w:eastAsia="SimSun" w:cs="SimSun"/>
          <w:sz w:val="19"/>
          <w:szCs w:val="19"/>
        </w:rPr>
        <w:t xml:space="preserve"> </w:t>
      </w:r>
      <w:r>
        <w:rPr>
          <w:rFonts w:ascii="SimSun" w:hAnsi="SimSun" w:eastAsia="SimSun" w:cs="SimSun"/>
          <w:sz w:val="19"/>
          <w:szCs w:val="19"/>
          <w:spacing w:val="-7"/>
        </w:rPr>
        <w:t>位，已经成为关系我国经济增长可持续性的头等大事。</w:t>
      </w:r>
    </w:p>
    <w:p>
      <w:pPr>
        <w:ind w:left="749" w:right="1029"/>
        <w:spacing w:before="283" w:line="265" w:lineRule="auto"/>
        <w:rPr>
          <w:rFonts w:ascii="SimSun" w:hAnsi="SimSun" w:eastAsia="SimSun" w:cs="SimSun"/>
          <w:sz w:val="19"/>
          <w:szCs w:val="19"/>
        </w:rPr>
      </w:pPr>
      <w:r>
        <w:rPr>
          <w:rFonts w:ascii="SimSun" w:hAnsi="SimSun" w:eastAsia="SimSun" w:cs="SimSun"/>
          <w:sz w:val="19"/>
          <w:szCs w:val="19"/>
          <w:spacing w:val="-3"/>
        </w:rPr>
        <w:t>只有保持强劲的创新能力，我国的平台企业才有可能持续健康地发展，未</w:t>
      </w:r>
      <w:r>
        <w:rPr>
          <w:rFonts w:ascii="SimSun" w:hAnsi="SimSun" w:eastAsia="SimSun" w:cs="SimSun"/>
          <w:sz w:val="19"/>
          <w:szCs w:val="19"/>
          <w:spacing w:val="4"/>
        </w:rPr>
        <w:t xml:space="preserve"> </w:t>
      </w:r>
      <w:r>
        <w:rPr>
          <w:rFonts w:ascii="SimSun" w:hAnsi="SimSun" w:eastAsia="SimSun" w:cs="SimSun"/>
          <w:sz w:val="19"/>
          <w:szCs w:val="19"/>
          <w:spacing w:val="-8"/>
        </w:rPr>
        <w:t>来也才有可能从容地应对国际竞争。</w:t>
      </w:r>
    </w:p>
    <w:p>
      <w:pPr>
        <w:ind w:left="749" w:right="1002"/>
        <w:spacing w:before="254" w:line="276" w:lineRule="auto"/>
        <w:rPr>
          <w:rFonts w:ascii="SimSun" w:hAnsi="SimSun" w:eastAsia="SimSun" w:cs="SimSun"/>
          <w:sz w:val="19"/>
          <w:szCs w:val="19"/>
        </w:rPr>
      </w:pPr>
      <w:r>
        <w:rPr>
          <w:rFonts w:ascii="SimSun" w:hAnsi="SimSun" w:eastAsia="SimSun" w:cs="SimSun"/>
          <w:sz w:val="19"/>
          <w:szCs w:val="19"/>
          <w:spacing w:val="-2"/>
        </w:rPr>
        <w:t>消费者权益是经济活动的终极目的，归根结底，平台经济的价值也要体现</w:t>
      </w:r>
      <w:r>
        <w:rPr>
          <w:rFonts w:ascii="SimSun" w:hAnsi="SimSun" w:eastAsia="SimSun" w:cs="SimSun"/>
          <w:sz w:val="19"/>
          <w:szCs w:val="19"/>
        </w:rPr>
        <w:t xml:space="preserve"> </w:t>
      </w:r>
      <w:r>
        <w:rPr>
          <w:rFonts w:ascii="SimSun" w:hAnsi="SimSun" w:eastAsia="SimSun" w:cs="SimSun"/>
          <w:sz w:val="19"/>
          <w:szCs w:val="19"/>
          <w:spacing w:val="-6"/>
        </w:rPr>
        <w:t>在能够满足人民群众不断增长的对美好生活的需要。</w:t>
      </w:r>
    </w:p>
    <w:p>
      <w:pPr>
        <w:ind w:left="749" w:right="1000"/>
        <w:spacing w:before="264" w:line="270" w:lineRule="auto"/>
        <w:rPr>
          <w:rFonts w:ascii="SimSun" w:hAnsi="SimSun" w:eastAsia="SimSun" w:cs="SimSun"/>
          <w:sz w:val="19"/>
          <w:szCs w:val="19"/>
        </w:rPr>
      </w:pPr>
      <w:r>
        <w:rPr>
          <w:rFonts w:ascii="SimSun" w:hAnsi="SimSun" w:eastAsia="SimSun" w:cs="SimSun"/>
          <w:sz w:val="19"/>
          <w:szCs w:val="19"/>
          <w:spacing w:val="-2"/>
        </w:rPr>
        <w:t>算法治理的目标是既要加强算法的可解释性，同时也要推动平台公布相关</w:t>
      </w:r>
      <w:r>
        <w:rPr>
          <w:rFonts w:ascii="SimSun" w:hAnsi="SimSun" w:eastAsia="SimSun" w:cs="SimSun"/>
          <w:sz w:val="19"/>
          <w:szCs w:val="19"/>
          <w:spacing w:val="1"/>
        </w:rPr>
        <w:t xml:space="preserve"> </w:t>
      </w:r>
      <w:r>
        <w:rPr>
          <w:rFonts w:ascii="SimSun" w:hAnsi="SimSun" w:eastAsia="SimSun" w:cs="SimSun"/>
          <w:sz w:val="19"/>
          <w:szCs w:val="19"/>
          <w:spacing w:val="-7"/>
        </w:rPr>
        <w:t>规则，减少信息不对称性。</w:t>
      </w:r>
    </w:p>
    <w:p>
      <w:pPr>
        <w:spacing w:before="15"/>
        <w:rPr/>
      </w:pPr>
      <w:r/>
    </w:p>
    <w:p>
      <w:pPr>
        <w:spacing w:before="15"/>
        <w:rPr/>
      </w:pPr>
      <w:r/>
    </w:p>
    <w:p>
      <w:pPr>
        <w:spacing w:before="15"/>
        <w:rPr/>
      </w:pPr>
      <w:r/>
    </w:p>
    <w:p>
      <w:pPr>
        <w:spacing w:before="15"/>
        <w:rPr/>
      </w:pPr>
      <w:r/>
    </w:p>
    <w:p>
      <w:pPr>
        <w:spacing w:before="15"/>
        <w:rPr/>
      </w:pPr>
      <w:r/>
    </w:p>
    <w:p>
      <w:pPr>
        <w:spacing w:before="15"/>
        <w:rPr/>
      </w:pPr>
      <w:r/>
    </w:p>
    <w:p>
      <w:pPr>
        <w:spacing w:before="15"/>
        <w:rPr/>
      </w:pPr>
      <w:r/>
    </w:p>
    <w:p>
      <w:pPr>
        <w:spacing w:before="15"/>
        <w:rPr/>
      </w:pPr>
      <w:r/>
    </w:p>
    <w:p>
      <w:pPr>
        <w:spacing w:before="15"/>
        <w:rPr/>
      </w:pPr>
      <w:r/>
    </w:p>
    <w:p>
      <w:pPr>
        <w:spacing w:before="15"/>
        <w:rPr/>
      </w:pPr>
      <w:r/>
    </w:p>
    <w:p>
      <w:pPr>
        <w:spacing w:before="15"/>
        <w:rPr/>
      </w:pPr>
      <w:r/>
    </w:p>
    <w:p>
      <w:pPr>
        <w:spacing w:before="14"/>
        <w:rPr/>
      </w:pPr>
      <w:r/>
    </w:p>
    <w:tbl>
      <w:tblPr>
        <w:tblStyle w:val="TableNormal"/>
        <w:tblW w:w="7699" w:type="dxa"/>
        <w:tblInd w:w="70" w:type="dxa"/>
        <w:tblLayout w:type="fixed"/>
      </w:tblPr>
      <w:tblGrid>
        <w:gridCol w:w="3225"/>
        <w:gridCol w:w="4474"/>
      </w:tblGrid>
      <w:tr>
        <w:trPr>
          <w:trHeight w:val="1618" w:hRule="atLeast"/>
        </w:trPr>
        <w:tc>
          <w:tcPr>
            <w:tcW w:w="3225" w:type="dxa"/>
            <w:vAlign w:val="top"/>
            <w:textDirection w:val="tbRlV"/>
          </w:tcPr>
          <w:p>
            <w:pPr>
              <w:spacing w:line="266" w:lineRule="auto"/>
              <w:rPr>
                <w:rFonts w:ascii="Arial"/>
                <w:sz w:val="21"/>
              </w:rPr>
            </w:pPr>
            <w:r>
              <w:drawing>
                <wp:anchor distT="0" distB="0" distL="0" distR="0" simplePos="0" relativeHeight="256753664" behindDoc="0" locked="0" layoutInCell="1" allowOverlap="1">
                  <wp:simplePos x="0" y="0"/>
                  <wp:positionH relativeFrom="rightMargin">
                    <wp:posOffset>-2047875</wp:posOffset>
                  </wp:positionH>
                  <wp:positionV relativeFrom="topMargin">
                    <wp:posOffset>362004</wp:posOffset>
                  </wp:positionV>
                  <wp:extent cx="507981" cy="495300"/>
                  <wp:effectExtent l="0" t="0" r="0" b="0"/>
                  <wp:wrapNone/>
                  <wp:docPr id="448" name="IM 448"/>
                  <wp:cNvGraphicFramePr/>
                  <a:graphic>
                    <a:graphicData uri="http://schemas.openxmlformats.org/drawingml/2006/picture">
                      <pic:pic>
                        <pic:nvPicPr>
                          <pic:cNvPr id="448" name="IM 448"/>
                          <pic:cNvPicPr/>
                        </pic:nvPicPr>
                        <pic:blipFill>
                          <a:blip r:embed="rId588"/>
                          <a:stretch>
                            <a:fillRect/>
                          </a:stretch>
                        </pic:blipFill>
                        <pic:spPr>
                          <a:xfrm rot="0">
                            <a:off x="0" y="0"/>
                            <a:ext cx="507981" cy="495300"/>
                          </a:xfrm>
                          <a:prstGeom prst="rect">
                            <a:avLst/>
                          </a:prstGeom>
                        </pic:spPr>
                      </pic:pic>
                    </a:graphicData>
                  </a:graphic>
                </wp:anchor>
              </w:drawing>
            </w: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pStyle w:val="TableText"/>
              <w:ind w:left="1375" w:right="45" w:hanging="1"/>
              <w:spacing w:before="27" w:line="306" w:lineRule="auto"/>
              <w:jc w:val="both"/>
              <w:rPr>
                <w:sz w:val="8"/>
                <w:szCs w:val="8"/>
              </w:rPr>
            </w:pPr>
            <w:r>
              <w:rPr>
                <w:sz w:val="8"/>
                <w:szCs w:val="8"/>
              </w:rPr>
              <w:t>界</w:t>
            </w:r>
            <w:r>
              <w:rPr>
                <w:sz w:val="8"/>
                <w:szCs w:val="8"/>
                <w:spacing w:val="-3"/>
              </w:rPr>
              <w:t xml:space="preserve"> </w:t>
            </w:r>
            <w:r>
              <w:rPr>
                <w:sz w:val="8"/>
                <w:szCs w:val="8"/>
              </w:rPr>
              <w:t>札 </w:t>
            </w:r>
            <w:r>
              <w:rPr>
                <w:sz w:val="8"/>
                <w:szCs w:val="8"/>
              </w:rPr>
              <w:t>世</w:t>
            </w:r>
            <w:r>
              <w:rPr>
                <w:sz w:val="8"/>
                <w:szCs w:val="8"/>
                <w:spacing w:val="-4"/>
              </w:rPr>
              <w:t xml:space="preserve"> </w:t>
            </w:r>
            <w:r>
              <w:rPr>
                <w:sz w:val="8"/>
                <w:szCs w:val="8"/>
              </w:rPr>
              <w:t>好 </w:t>
            </w:r>
            <w:r>
              <w:rPr>
                <w:sz w:val="8"/>
                <w:szCs w:val="8"/>
              </w:rPr>
              <w:t>斯</w:t>
            </w:r>
            <w:r>
              <w:rPr>
                <w:sz w:val="8"/>
                <w:szCs w:val="8"/>
                <w:spacing w:val="-5"/>
              </w:rPr>
              <w:t xml:space="preserve"> </w:t>
            </w:r>
            <w:r>
              <w:rPr>
                <w:sz w:val="8"/>
                <w:szCs w:val="8"/>
              </w:rPr>
              <w:t>得 </w:t>
            </w:r>
            <w:r>
              <w:rPr>
                <w:sz w:val="8"/>
                <w:szCs w:val="8"/>
              </w:rPr>
              <w:t>请</w:t>
            </w:r>
            <w:r>
              <w:rPr>
                <w:sz w:val="8"/>
                <w:szCs w:val="8"/>
                <w:spacing w:val="-4"/>
              </w:rPr>
              <w:t xml:space="preserve"> </w:t>
            </w:r>
            <w:r>
              <w:rPr>
                <w:sz w:val="8"/>
                <w:szCs w:val="8"/>
              </w:rPr>
              <w:t>码</w:t>
            </w:r>
          </w:p>
        </w:tc>
        <w:tc>
          <w:tcPr>
            <w:tcW w:w="4474" w:type="dxa"/>
            <w:vAlign w:val="top"/>
          </w:tcPr>
          <w:p>
            <w:pPr>
              <w:ind w:firstLine="2424"/>
              <w:spacing w:line="1350" w:lineRule="exact"/>
              <w:rPr/>
            </w:pPr>
            <w:r>
              <w:pict>
                <v:shape id="_x0000_s138" style="position:absolute;margin-left:-9.38178pt;margin-top:36.6376pt;mso-position-vertical-relative:top-margin-area;mso-position-horizontal-relative:right-margin-area;width:10.45pt;height:27pt;z-index:256755712;"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4"/>
                            <w:szCs w:val="14"/>
                          </w:rPr>
                        </w:pPr>
                        <w:r>
                          <w:rPr>
                            <w:rFonts w:ascii="SimHei" w:hAnsi="SimHei" w:eastAsia="SimHei" w:cs="SimHei"/>
                            <w:sz w:val="14"/>
                            <w:szCs w:val="14"/>
                            <w:spacing w:val="26"/>
                          </w:rPr>
                          <w:t>商业家</w:t>
                        </w:r>
                      </w:p>
                    </w:txbxContent>
                  </v:textbox>
                </v:shape>
              </w:pict>
            </w:r>
            <w:r>
              <w:rPr>
                <w:position w:val="-27"/>
              </w:rPr>
              <w:drawing>
                <wp:inline distT="0" distB="0" distL="0" distR="0">
                  <wp:extent cx="1130325" cy="857304"/>
                  <wp:effectExtent l="0" t="0" r="0" b="0"/>
                  <wp:docPr id="450" name="IM 450"/>
                  <wp:cNvGraphicFramePr/>
                  <a:graphic>
                    <a:graphicData uri="http://schemas.openxmlformats.org/drawingml/2006/picture">
                      <pic:pic>
                        <pic:nvPicPr>
                          <pic:cNvPr id="450" name="IM 450"/>
                          <pic:cNvPicPr/>
                        </pic:nvPicPr>
                        <pic:blipFill>
                          <a:blip r:embed="rId589"/>
                          <a:stretch>
                            <a:fillRect/>
                          </a:stretch>
                        </pic:blipFill>
                        <pic:spPr>
                          <a:xfrm rot="0">
                            <a:off x="0" y="0"/>
                            <a:ext cx="1130325" cy="857304"/>
                          </a:xfrm>
                          <a:prstGeom prst="rect">
                            <a:avLst/>
                          </a:prstGeom>
                        </pic:spPr>
                      </pic:pic>
                    </a:graphicData>
                  </a:graphic>
                </wp:inline>
              </w:drawing>
            </w:r>
          </w:p>
          <w:p>
            <w:pPr>
              <w:ind w:left="2804"/>
              <w:spacing w:before="116" w:line="174" w:lineRule="auto"/>
              <w:rPr>
                <w:rFonts w:ascii="YouYuan" w:hAnsi="YouYuan" w:eastAsia="YouYuan" w:cs="YouYuan"/>
                <w:sz w:val="15"/>
                <w:szCs w:val="15"/>
              </w:rPr>
            </w:pPr>
            <w:r>
              <w:rPr>
                <w:rFonts w:ascii="YouYuan" w:hAnsi="YouYuan" w:eastAsia="YouYuan" w:cs="YouYuan"/>
                <w:sz w:val="15"/>
                <w:szCs w:val="15"/>
                <w:spacing w:val="-1"/>
              </w:rPr>
              <w:t>定价：89.00元</w:t>
            </w:r>
          </w:p>
        </w:tc>
      </w:tr>
    </w:tbl>
    <w:p>
      <w:pPr>
        <w:pStyle w:val="BodyText"/>
        <w:spacing w:line="14" w:lineRule="auto"/>
        <w:rPr>
          <w:sz w:val="2"/>
        </w:rPr>
      </w:pPr>
      <w:r/>
    </w:p>
    <w:sectPr>
      <w:headerReference w:type="default" r:id="rId1"/>
      <w:pgSz w:w="8220" w:h="12480"/>
      <w:pgMar w:top="400" w:right="450" w:bottom="22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9"/>
      <w:spacing w:before="94" w:line="209" w:lineRule="auto"/>
      <w:rPr>
        <w:rFonts w:ascii="KaiTi" w:hAnsi="KaiTi" w:eastAsia="KaiTi" w:cs="KaiTi"/>
        <w:sz w:val="16"/>
        <w:szCs w:val="16"/>
      </w:rPr>
    </w:pPr>
    <w:r>
      <w:pict>
        <v:shape id="_x0000_s26" style="position:absolute;margin-left:22.001pt;margin-top:555.753pt;mso-position-vertical-relative:page;mso-position-horizontal-relative:page;width:304.05pt;height:0.5pt;z-index:251746304;" o:allowincell="f" filled="false" strokecolor="#000000" strokeweight="0.50pt" coordsize="6080,10" coordorigin="0,0" path="m0,5l1319,5m1319,5l2379,5m2379,5l3599,5m3599,5l4809,5m4809,5l6080,5e">
          <v:stroke joinstyle="miter" miterlimit="10"/>
        </v:shape>
      </w:pict>
    </w:r>
    <w:r>
      <w:rPr>
        <w:rFonts w:ascii="KaiTi" w:hAnsi="KaiTi" w:eastAsia="KaiTi" w:cs="KaiTi"/>
        <w:sz w:val="16"/>
        <w:szCs w:val="16"/>
        <w:spacing w:val="-2"/>
      </w:rPr>
      <w:t>资料来源：作者计算，数据出处及构建方法见本章第三节。</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07" w:lineRule="exact"/>
      <w:rPr>
        <w:sz w:val="18"/>
      </w:rPr>
    </w:pPr>
    <w:r>
      <mc:AlternateContent xmlns:mc="http://schemas.openxmlformats.org/markup-compatibility/2006">
        <mc:Choice Requires="wps">
          <w:drawing>
            <wp:anchor distT="0" distB="0" distL="0" distR="0" simplePos="0" relativeHeight="251752448" behindDoc="0" locked="0" layoutInCell="0" allowOverlap="1">
              <wp:simplePos x="0" y="0"/>
              <wp:positionH relativeFrom="page">
                <wp:posOffset>7375025</wp:posOffset>
              </wp:positionH>
              <wp:positionV relativeFrom="page">
                <wp:posOffset>3849502</wp:posOffset>
              </wp:positionV>
              <wp:extent cx="163829" cy="148589"/>
              <wp:effectExtent l="0" t="0" r="0" b="0"/>
              <wp:wrapNone/>
              <wp:docPr id="100" name="TextBox 100"/>
              <wp:cNvGraphicFramePr/>
              <a:graphic>
                <a:graphicData uri="http://schemas.microsoft.com/office/word/2010/wordprocessingShape">
                  <wps:wsp>
                    <wps:cNvSpPr txBox="1"/>
                    <wps:spPr>
                      <a:xfrm rot="5400000">
                        <a:off x="7375025" y="3849502"/>
                        <a:ext cx="163829"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087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 style="position:absolute;margin-left:580.711pt;margin-top:303.11pt;mso-position-vertical-relative:page;mso-position-horizontal-relative:page;width:12.9pt;height:11.7pt;z-index:251752448;rotation:90;" o:allowincell="f"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087</w:t>
                    </w:r>
                  </w:p>
                </w:txbxContent>
              </v:textbox>
            </v:shape>
          </w:pict>
        </mc:Fallback>
      </mc:AlternateContent>
    </w: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07" w:lineRule="exact"/>
      <w:rPr>
        <w:sz w:val="18"/>
      </w:rPr>
    </w:pPr>
    <w:r>
      <mc:AlternateContent xmlns:mc="http://schemas.openxmlformats.org/markup-compatibility/2006">
        <mc:Choice Requires="wps">
          <w:drawing>
            <wp:anchor distT="0" distB="0" distL="0" distR="0" simplePos="0" relativeHeight="251759616" behindDoc="0" locked="0" layoutInCell="0" allowOverlap="1">
              <wp:simplePos x="0" y="0"/>
              <wp:positionH relativeFrom="page">
                <wp:posOffset>7336907</wp:posOffset>
              </wp:positionH>
              <wp:positionV relativeFrom="page">
                <wp:posOffset>3786013</wp:posOffset>
              </wp:positionV>
              <wp:extent cx="163829" cy="148589"/>
              <wp:effectExtent l="0" t="0" r="0" b="0"/>
              <wp:wrapNone/>
              <wp:docPr id="110" name="TextBox 110"/>
              <wp:cNvGraphicFramePr/>
              <a:graphic>
                <a:graphicData uri="http://schemas.microsoft.com/office/word/2010/wordprocessingShape">
                  <wps:wsp>
                    <wps:cNvSpPr txBox="1"/>
                    <wps:spPr>
                      <a:xfrm rot="5400000">
                        <a:off x="7336907" y="3786013"/>
                        <a:ext cx="163829"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093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8" style="position:absolute;margin-left:577.709pt;margin-top:298.111pt;mso-position-vertical-relative:page;mso-position-horizontal-relative:page;width:12.9pt;height:11.7pt;z-index:251759616;rotation:90;" o:allowincell="f"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093</w:t>
                    </w:r>
                  </w:p>
                </w:txbxContent>
              </v:textbox>
            </v:shape>
          </w:pict>
        </mc:Fallback>
      </mc:AlternateContent>
    </w: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9"/>
      <w:spacing w:before="154" w:line="209" w:lineRule="auto"/>
      <w:rPr>
        <w:rFonts w:ascii="KaiTi" w:hAnsi="KaiTi" w:eastAsia="KaiTi" w:cs="KaiTi"/>
        <w:sz w:val="16"/>
        <w:szCs w:val="16"/>
      </w:rPr>
    </w:pPr>
    <w:r>
      <w:pict>
        <v:shape id="_x0000_s54" style="position:absolute;margin-left:21.0005pt;margin-top:546.748pt;mso-position-vertical-relative:page;mso-position-horizontal-relative:page;width:303.05pt;height:0.5pt;z-index:251770880;" o:allowincell="f" filled="false" strokecolor="#000000" strokeweight="0.50pt" coordsize="6060,10" coordorigin="0,0" path="m0,5l1439,5m1439,5l2440,5m2440,5l3619,5m3619,5l4799,5m4799,5l6060,5e">
          <v:stroke joinstyle="miter" miterlimit="10"/>
        </v:shape>
      </w:pict>
    </w:r>
    <w:r>
      <w:rPr>
        <w:rFonts w:ascii="KaiTi" w:hAnsi="KaiTi" w:eastAsia="KaiTi" w:cs="KaiTi"/>
        <w:sz w:val="16"/>
        <w:szCs w:val="16"/>
        <w:spacing w:val="-2"/>
      </w:rPr>
      <w:t>资料来源：作者计算，数据出处及构建方法见本章第三节。</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06" w:lineRule="exact"/>
      <w:rPr>
        <w:sz w:val="17"/>
      </w:rPr>
    </w:pPr>
    <w:r>
      <mc:AlternateContent xmlns:mc="http://schemas.openxmlformats.org/markup-compatibility/2006">
        <mc:Choice Requires="wps">
          <w:drawing>
            <wp:anchor distT="0" distB="0" distL="0" distR="0" simplePos="0" relativeHeight="252348416" behindDoc="0" locked="0" layoutInCell="0" allowOverlap="1">
              <wp:simplePos x="0" y="0"/>
              <wp:positionH relativeFrom="page">
                <wp:posOffset>7318650</wp:posOffset>
              </wp:positionH>
              <wp:positionV relativeFrom="page">
                <wp:posOffset>3810664</wp:posOffset>
              </wp:positionV>
              <wp:extent cx="163195" cy="149225"/>
              <wp:effectExtent l="0" t="0" r="0" b="0"/>
              <wp:wrapNone/>
              <wp:docPr id="330" name="TextBox 330"/>
              <wp:cNvGraphicFramePr/>
              <a:graphic>
                <a:graphicData uri="http://schemas.microsoft.com/office/word/2010/wordprocessingShape">
                  <wps:wsp>
                    <wps:cNvSpPr txBox="1"/>
                    <wps:spPr>
                      <a:xfrm rot="5400000">
                        <a:off x="7318650" y="3810664"/>
                        <a:ext cx="163195" cy="1492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4" w:lineRule="auto"/>
                            <w:rPr>
                              <w:rFonts w:ascii="SimSun" w:hAnsi="SimSun" w:eastAsia="SimSun" w:cs="SimSun"/>
                              <w:sz w:val="15"/>
                              <w:szCs w:val="15"/>
                            </w:rPr>
                          </w:pPr>
                          <w:r>
                            <w:rPr>
                              <w:rFonts w:ascii="SimSun" w:hAnsi="SimSun" w:eastAsia="SimSun" w:cs="SimSun"/>
                              <w:sz w:val="15"/>
                              <w:szCs w:val="15"/>
                              <w:spacing w:val="-2"/>
                            </w:rPr>
                            <w:t>381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4" style="position:absolute;margin-left:576.272pt;margin-top:300.052pt;mso-position-vertical-relative:page;mso-position-horizontal-relative:page;width:12.85pt;height:11.75pt;z-index:252348416;rotation:90;" o:allowincell="f" filled="false" stroked="false" type="#_x0000_t202">
              <v:fill on="false"/>
              <v:stroke on="false"/>
              <v:path/>
              <v:imagedata o:title=""/>
              <o:lock v:ext="edit" aspectratio="false"/>
              <v:textbox inset="0mm,0mm,0mm,0mm">
                <w:txbxContent>
                  <w:p>
                    <w:pPr>
                      <w:ind w:left="20"/>
                      <w:spacing w:before="64" w:line="184" w:lineRule="auto"/>
                      <w:rPr>
                        <w:rFonts w:ascii="SimSun" w:hAnsi="SimSun" w:eastAsia="SimSun" w:cs="SimSun"/>
                        <w:sz w:val="15"/>
                        <w:szCs w:val="15"/>
                      </w:rPr>
                    </w:pPr>
                    <w:r>
                      <w:rPr>
                        <w:rFonts w:ascii="SimSun" w:hAnsi="SimSun" w:eastAsia="SimSun" w:cs="SimSun"/>
                        <w:sz w:val="15"/>
                        <w:szCs w:val="15"/>
                        <w:spacing w:val="-2"/>
                      </w:rPr>
                      <w:t>381</w:t>
                    </w:r>
                  </w:p>
                </w:txbxContent>
              </v:textbox>
            </v:shape>
          </w:pict>
        </mc:Fallback>
      </mc:AlternateContent>
    </w: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91" w:lineRule="exact"/>
      <w:rPr>
        <w:sz w:val="16"/>
      </w:rPr>
    </w:pPr>
    <w:r>
      <mc:AlternateContent xmlns:mc="http://schemas.openxmlformats.org/markup-compatibility/2006">
        <mc:Choice Requires="wps">
          <w:drawing>
            <wp:anchor distT="0" distB="0" distL="0" distR="0" simplePos="0" relativeHeight="252352512" behindDoc="0" locked="0" layoutInCell="0" allowOverlap="1">
              <wp:simplePos x="0" y="0"/>
              <wp:positionH relativeFrom="page">
                <wp:posOffset>7320784</wp:posOffset>
              </wp:positionH>
              <wp:positionV relativeFrom="page">
                <wp:posOffset>3899277</wp:posOffset>
              </wp:positionV>
              <wp:extent cx="153670" cy="140335"/>
              <wp:effectExtent l="0" t="0" r="0" b="0"/>
              <wp:wrapNone/>
              <wp:docPr id="338" name="TextBox 338"/>
              <wp:cNvGraphicFramePr/>
              <a:graphic>
                <a:graphicData uri="http://schemas.microsoft.com/office/word/2010/wordprocessingShape">
                  <wps:wsp>
                    <wps:cNvSpPr txBox="1"/>
                    <wps:spPr>
                      <a:xfrm rot="5400000">
                        <a:off x="7320784" y="3899277"/>
                        <a:ext cx="153670" cy="1403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1" w:line="183" w:lineRule="auto"/>
                            <w:rPr>
                              <w:rFonts w:ascii="SimSun" w:hAnsi="SimSun" w:eastAsia="SimSun" w:cs="SimSun"/>
                              <w:sz w:val="14"/>
                              <w:szCs w:val="14"/>
                            </w:rPr>
                          </w:pPr>
                          <w:r>
                            <w:rPr>
                              <w:rFonts w:ascii="SimSun" w:hAnsi="SimSun" w:eastAsia="SimSun" w:cs="SimSun"/>
                              <w:sz w:val="14"/>
                              <w:szCs w:val="14"/>
                              <w:spacing w:val="-2"/>
                            </w:rPr>
                            <w:t>383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2" style="position:absolute;margin-left:576.44pt;margin-top:307.03pt;mso-position-vertical-relative:page;mso-position-horizontal-relative:page;width:12.1pt;height:11.05pt;z-index:252352512;rotation:90;" o:allowincell="f" filled="false" stroked="false" type="#_x0000_t202">
              <v:fill on="false"/>
              <v:stroke on="false"/>
              <v:path/>
              <v:imagedata o:title=""/>
              <o:lock v:ext="edit" aspectratio="false"/>
              <v:textbox inset="0mm,0mm,0mm,0mm">
                <w:txbxContent>
                  <w:p>
                    <w:pPr>
                      <w:ind w:left="20"/>
                      <w:spacing w:before="61" w:line="183" w:lineRule="auto"/>
                      <w:rPr>
                        <w:rFonts w:ascii="SimSun" w:hAnsi="SimSun" w:eastAsia="SimSun" w:cs="SimSun"/>
                        <w:sz w:val="14"/>
                        <w:szCs w:val="14"/>
                      </w:rPr>
                    </w:pPr>
                    <w:r>
                      <w:rPr>
                        <w:rFonts w:ascii="SimSun" w:hAnsi="SimSun" w:eastAsia="SimSun" w:cs="SimSun"/>
                        <w:sz w:val="14"/>
                        <w:szCs w:val="14"/>
                        <w:spacing w:val="-2"/>
                      </w:rPr>
                      <w:t>383</w:t>
                    </w:r>
                  </w:p>
                </w:txbxContent>
              </v:textbox>
            </v:shape>
          </w:pict>
        </mc:Fallback>
      </mc:AlternateContent>
    </w: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206" w:lineRule="exact"/>
      <w:rPr>
        <w:sz w:val="17"/>
      </w:rPr>
    </w:pPr>
    <w:r>
      <mc:AlternateContent xmlns:mc="http://schemas.openxmlformats.org/markup-compatibility/2006">
        <mc:Choice Requires="wps">
          <w:drawing>
            <wp:anchor distT="0" distB="0" distL="0" distR="0" simplePos="0" relativeHeight="252364800" behindDoc="0" locked="0" layoutInCell="0" allowOverlap="1">
              <wp:simplePos x="0" y="0"/>
              <wp:positionH relativeFrom="page">
                <wp:posOffset>7324800</wp:posOffset>
              </wp:positionH>
              <wp:positionV relativeFrom="page">
                <wp:posOffset>4071184</wp:posOffset>
              </wp:positionV>
              <wp:extent cx="163195" cy="148589"/>
              <wp:effectExtent l="0" t="0" r="0" b="0"/>
              <wp:wrapNone/>
              <wp:docPr id="352" name="TextBox 352"/>
              <wp:cNvGraphicFramePr/>
              <a:graphic>
                <a:graphicData uri="http://schemas.microsoft.com/office/word/2010/wordprocessingShape">
                  <wps:wsp>
                    <wps:cNvSpPr txBox="1"/>
                    <wps:spPr>
                      <a:xfrm rot="5400000">
                        <a:off x="7324800" y="4071184"/>
                        <a:ext cx="163195"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389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6" style="position:absolute;margin-left:576.756pt;margin-top:320.566pt;mso-position-vertical-relative:page;mso-position-horizontal-relative:page;width:12.85pt;height:11.7pt;z-index:252364800;rotation:90;" o:allowincell="f" filled="false" stroked="false" type="#_x0000_t202">
              <v:fill on="false"/>
              <v:stroke on="false"/>
              <v:path/>
              <v:imagedata o:title=""/>
              <o:lock v:ext="edit" aspectratio="false"/>
              <v:textbox inset="0mm,0mm,0mm,0mm">
                <w:txbxContent>
                  <w:p>
                    <w:pPr>
                      <w:ind w:left="20"/>
                      <w:spacing w:before="64" w:line="183" w:lineRule="auto"/>
                      <w:rPr>
                        <w:rFonts w:ascii="SimSun" w:hAnsi="SimSun" w:eastAsia="SimSun" w:cs="SimSun"/>
                        <w:sz w:val="15"/>
                        <w:szCs w:val="15"/>
                      </w:rPr>
                    </w:pPr>
                    <w:r>
                      <w:rPr>
                        <w:rFonts w:ascii="SimSun" w:hAnsi="SimSun" w:eastAsia="SimSun" w:cs="SimSun"/>
                        <w:sz w:val="15"/>
                        <w:szCs w:val="15"/>
                        <w:spacing w:val="-2"/>
                      </w:rPr>
                      <w:t>389</w:t>
                    </w:r>
                  </w:p>
                </w:txbxContent>
              </v:textbox>
            </v:shape>
          </w:pict>
        </mc:Fallback>
      </mc:AlternateContent>
    </w: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14" w:lineRule="auto"/>
      <w:rPr>
        <w:rFonts w:ascii="KaiTi" w:hAnsi="KaiTi" w:eastAsia="KaiTi" w:cs="KaiTi"/>
        <w:sz w:val="21"/>
        <w:szCs w:val="21"/>
      </w:rPr>
    </w:pPr>
    <w:r>
      <w:rPr>
        <w:rFonts w:ascii="KaiTi" w:hAnsi="KaiTi" w:eastAsia="KaiTi" w:cs="KaiTi"/>
        <w:sz w:val="21"/>
        <w:szCs w:val="21"/>
        <w:spacing w:val="-35"/>
        <w:w w:val="97"/>
      </w:rPr>
      <w:t>②</w:t>
    </w:r>
    <w:r>
      <w:rPr>
        <w:rFonts w:ascii="KaiTi" w:hAnsi="KaiTi" w:eastAsia="KaiTi" w:cs="KaiTi"/>
        <w:sz w:val="21"/>
        <w:szCs w:val="21"/>
        <w:spacing w:val="62"/>
      </w:rPr>
      <w:t xml:space="preserve"> </w:t>
    </w:r>
    <w:r>
      <w:rPr>
        <w:rFonts w:ascii="KaiTi" w:hAnsi="KaiTi" w:eastAsia="KaiTi" w:cs="KaiTi"/>
        <w:sz w:val="21"/>
        <w:szCs w:val="21"/>
        <w:spacing w:val="-35"/>
        <w:w w:val="97"/>
      </w:rPr>
      <w:t>同上。</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2"/>
      <w:spacing w:line="166" w:lineRule="auto"/>
      <w:rPr>
        <w:rFonts w:ascii="SimSun" w:hAnsi="SimSun" w:eastAsia="SimSun" w:cs="SimSun"/>
        <w:sz w:val="12"/>
        <w:szCs w:val="12"/>
      </w:rPr>
    </w:pPr>
    <w:r>
      <w:rPr>
        <w:rFonts w:ascii="SimHei" w:hAnsi="SimHei" w:eastAsia="SimHei" w:cs="SimHei"/>
        <w:sz w:val="16"/>
        <w:szCs w:val="16"/>
        <w:b/>
        <w:bCs/>
        <w:spacing w:val="-2"/>
      </w:rPr>
      <w:t>第一章</w:t>
    </w:r>
    <w:r>
      <w:rPr>
        <w:rFonts w:ascii="SimHei" w:hAnsi="SimHei" w:eastAsia="SimHei" w:cs="SimHei"/>
        <w:sz w:val="16"/>
        <w:szCs w:val="16"/>
        <w:spacing w:val="-2"/>
      </w:rPr>
      <w:t xml:space="preserve"> </w:t>
    </w:r>
    <w:r>
      <w:rPr>
        <w:rFonts w:ascii="SimHei" w:hAnsi="SimHei" w:eastAsia="SimHei" w:cs="SimHei"/>
        <w:sz w:val="16"/>
        <w:szCs w:val="16"/>
        <w:b/>
        <w:bCs/>
        <w:spacing w:val="-2"/>
      </w:rPr>
      <w:t>重塑平台经济；走向有序发展与共同富裕</w:t>
    </w:r>
    <w:r>
      <w:rPr>
        <w:rFonts w:ascii="SimHei" w:hAnsi="SimHei" w:eastAsia="SimHei" w:cs="SimHei"/>
        <w:sz w:val="16"/>
        <w:szCs w:val="16"/>
        <w:spacing w:val="-2"/>
      </w:rPr>
      <w:t xml:space="preserve">             </w:t>
    </w:r>
    <w:r>
      <w:rPr>
        <w:rFonts w:ascii="SimSun" w:hAnsi="SimSun" w:eastAsia="SimSun" w:cs="SimSun"/>
        <w:sz w:val="12"/>
        <w:szCs w:val="12"/>
        <w:spacing w:val="-2"/>
        <w:position w:val="-3"/>
      </w:rPr>
      <w:t>011</w:t>
    </w:r>
  </w:p>
</w:hdr>
</file>

<file path=word/header1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2"/>
      </w:rPr>
      <w:t>130                              </w:t>
    </w:r>
    <w:r>
      <w:rPr>
        <w:rFonts w:ascii="SimHei" w:hAnsi="SimHei" w:eastAsia="SimHei" w:cs="SimHei"/>
        <w:sz w:val="16"/>
        <w:szCs w:val="16"/>
        <w:spacing w:val="-3"/>
      </w:rPr>
      <w:t>平台经济——创新、治理与繁荣</w:t>
    </w:r>
  </w:p>
</w:hdr>
</file>

<file path=word/header1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75" w:lineRule="auto"/>
          <w:rPr>
            <w:rFonts w:ascii="SimSun" w:hAnsi="SimSun" w:eastAsia="SimSun" w:cs="SimSun"/>
            <w:sz w:val="12"/>
            <w:szCs w:val="12"/>
          </w:rPr>
        </w:pPr>
        <w:r>
          <w:rPr>
            <w:rFonts w:ascii="SimHei" w:hAnsi="SimHei" w:eastAsia="SimHei" w:cs="SimHei"/>
            <w:sz w:val="16"/>
            <w:szCs w:val="16"/>
            <w:b/>
            <w:bCs/>
            <w:spacing w:val="-7"/>
          </w:rPr>
          <w:t>第三章</w:t>
        </w:r>
        <w:r>
          <w:rPr>
            <w:rFonts w:ascii="SimHei" w:hAnsi="SimHei" w:eastAsia="SimHei" w:cs="SimHei"/>
            <w:sz w:val="16"/>
            <w:szCs w:val="16"/>
            <w:spacing w:val="-7"/>
          </w:rPr>
          <w:t xml:space="preserve">  </w:t>
        </w:r>
        <w:r>
          <w:rPr>
            <w:rFonts w:ascii="SimHei" w:hAnsi="SimHei" w:eastAsia="SimHei" w:cs="SimHei"/>
            <w:sz w:val="16"/>
            <w:szCs w:val="16"/>
            <w:b/>
            <w:bCs/>
            <w:spacing w:val="-7"/>
          </w:rPr>
          <w:t>平台经济与平台企业的中美比较</w:t>
        </w:r>
        <w:r>
          <w:rPr>
            <w:rFonts w:ascii="SimHei" w:hAnsi="SimHei" w:eastAsia="SimHei" w:cs="SimHei"/>
            <w:sz w:val="16"/>
            <w:szCs w:val="16"/>
          </w:rPr>
          <w:t xml:space="preserve">                 </w:t>
        </w:r>
        <w:hyperlink w:history="true" w:anchor="bookmark29">
          <w:r>
            <w:rPr>
              <w:rFonts w:ascii="SimSun" w:hAnsi="SimSun" w:eastAsia="SimSun" w:cs="SimSun"/>
              <w:sz w:val="12"/>
              <w:szCs w:val="12"/>
              <w:spacing w:val="-7"/>
              <w:position w:val="-1"/>
            </w:rPr>
            <w:t>131</w:t>
          </w:r>
        </w:hyperlink>
      </w:p>
    </w:sdtContent>
  </w:sdt>
</w:hdr>
</file>

<file path=word/header1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
      <w:spacing w:line="175" w:lineRule="auto"/>
      <w:rPr>
        <w:rFonts w:ascii="SimHei" w:hAnsi="SimHei" w:eastAsia="SimHei" w:cs="SimHei"/>
        <w:sz w:val="16"/>
        <w:szCs w:val="16"/>
      </w:rPr>
    </w:pPr>
    <w:r>
      <w:rPr>
        <w:rFonts w:ascii="SimSun" w:hAnsi="SimSun" w:eastAsia="SimSun" w:cs="SimSun"/>
        <w:sz w:val="12"/>
        <w:szCs w:val="12"/>
        <w:spacing w:val="-3"/>
        <w:position w:val="-1"/>
      </w:rPr>
      <w:t>132                              </w:t>
    </w:r>
    <w:r>
      <w:rPr>
        <w:rFonts w:ascii="SimHei" w:hAnsi="SimHei" w:eastAsia="SimHei" w:cs="SimHei"/>
        <w:sz w:val="16"/>
        <w:szCs w:val="16"/>
        <w:spacing w:val="-3"/>
      </w:rPr>
      <w:t>平台经济——创新、治理与繁荣</w:t>
    </w:r>
  </w:p>
</w:hdr>
</file>

<file path=word/header1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592"/>
          <w:spacing w:line="170" w:lineRule="auto"/>
          <w:rPr>
            <w:rFonts w:ascii="SimSun" w:hAnsi="SimSun" w:eastAsia="SimSun" w:cs="SimSun"/>
            <w:sz w:val="12"/>
            <w:szCs w:val="12"/>
          </w:rPr>
        </w:pPr>
        <w:r>
          <w:rPr>
            <w:rFonts w:ascii="SimHei" w:hAnsi="SimHei" w:eastAsia="SimHei" w:cs="SimHei"/>
            <w:sz w:val="16"/>
            <w:szCs w:val="16"/>
            <w:b/>
            <w:bCs/>
            <w:spacing w:val="-5"/>
          </w:rPr>
          <w:t>第三章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平台经济与平台企业的中美比较</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30">
          <w:r>
            <w:rPr>
              <w:rFonts w:ascii="SimSun" w:hAnsi="SimSun" w:eastAsia="SimSun" w:cs="SimSun"/>
              <w:sz w:val="12"/>
              <w:szCs w:val="12"/>
              <w:spacing w:val="-6"/>
              <w:position w:val="-2"/>
            </w:rPr>
            <w:t>133</w:t>
          </w:r>
        </w:hyperlink>
      </w:p>
    </w:sdtContent>
  </w:sdt>
</w:hdr>
</file>

<file path=word/header1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67" w:lineRule="auto"/>
      <w:rPr>
        <w:rFonts w:ascii="SimHei" w:hAnsi="SimHei" w:eastAsia="SimHei" w:cs="SimHei"/>
        <w:sz w:val="16"/>
        <w:szCs w:val="16"/>
      </w:rPr>
    </w:pPr>
    <w:r>
      <w:rPr>
        <w:rFonts w:ascii="SimSun" w:hAnsi="SimSun" w:eastAsia="SimSun" w:cs="SimSun"/>
        <w:sz w:val="12"/>
        <w:szCs w:val="12"/>
        <w:spacing w:val="-4"/>
        <w:position w:val="-3"/>
      </w:rPr>
      <w:t>134</w:t>
    </w:r>
    <w:r>
      <w:rPr>
        <w:rFonts w:ascii="SimSun" w:hAnsi="SimSun" w:eastAsia="SimSun" w:cs="SimSun"/>
        <w:sz w:val="12"/>
        <w:szCs w:val="12"/>
        <w:position w:val="-3"/>
      </w:rPr>
      <w:t xml:space="preserve">                             </w:t>
    </w:r>
    <w:r>
      <w:rPr>
        <w:rFonts w:ascii="SimSun" w:hAnsi="SimSun" w:eastAsia="SimSun" w:cs="SimSun"/>
        <w:sz w:val="16"/>
        <w:szCs w:val="16"/>
        <w:spacing w:val="-4"/>
      </w:rPr>
      <w:t>平台经济</w:t>
    </w:r>
    <w:r>
      <w:rPr>
        <w:rFonts w:ascii="SimSun" w:hAnsi="SimSun" w:eastAsia="SimSun" w:cs="SimSun"/>
        <w:sz w:val="16"/>
        <w:szCs w:val="16"/>
        <w:u w:val="single" w:color="auto"/>
        <w:spacing w:val="17"/>
      </w:rPr>
      <w:t xml:space="preserve">   </w:t>
    </w:r>
    <w:r>
      <w:rPr>
        <w:rFonts w:ascii="SimSun" w:hAnsi="SimSun" w:eastAsia="SimSun" w:cs="SimSun"/>
        <w:sz w:val="16"/>
        <w:szCs w:val="16"/>
        <w:spacing w:val="-68"/>
      </w:rPr>
      <w:t xml:space="preserve"> </w:t>
    </w:r>
    <w:r>
      <w:rPr>
        <w:rFonts w:ascii="SimHei" w:hAnsi="SimHei" w:eastAsia="SimHei" w:cs="SimHei"/>
        <w:sz w:val="16"/>
        <w:szCs w:val="16"/>
        <w:spacing w:val="-4"/>
      </w:rPr>
      <w:t>创新、治理与繁荣</w:t>
    </w:r>
  </w:p>
</w:hdr>
</file>

<file path=word/header1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22"/>
          <w:spacing w:line="171" w:lineRule="auto"/>
          <w:rPr>
            <w:rFonts w:ascii="SimSun" w:hAnsi="SimSun" w:eastAsia="SimSun" w:cs="SimSun"/>
            <w:sz w:val="12"/>
            <w:szCs w:val="12"/>
          </w:rPr>
        </w:pPr>
        <w:r>
          <w:rPr>
            <w:rFonts w:ascii="YouYuan" w:hAnsi="YouYuan" w:eastAsia="YouYuan" w:cs="YouYuan"/>
            <w:sz w:val="16"/>
            <w:szCs w:val="16"/>
            <w:b/>
            <w:bCs/>
            <w:spacing w:val="-2"/>
          </w:rPr>
          <w:t>第三章</w:t>
        </w:r>
        <w:r>
          <w:rPr>
            <w:rFonts w:ascii="YouYuan" w:hAnsi="YouYuan" w:eastAsia="YouYuan" w:cs="YouYuan"/>
            <w:sz w:val="16"/>
            <w:szCs w:val="16"/>
            <w:spacing w:val="-2"/>
          </w:rPr>
          <w:t xml:space="preserve"> </w:t>
        </w:r>
        <w:r>
          <w:rPr>
            <w:rFonts w:ascii="YouYuan" w:hAnsi="YouYuan" w:eastAsia="YouYuan" w:cs="YouYuan"/>
            <w:sz w:val="16"/>
            <w:szCs w:val="16"/>
            <w:b/>
            <w:bCs/>
            <w:spacing w:val="-2"/>
          </w:rPr>
          <w:t>平台经济与平台企业的中美比较</w:t>
        </w:r>
        <w:r>
          <w:rPr>
            <w:rFonts w:ascii="YouYuan" w:hAnsi="YouYuan" w:eastAsia="YouYuan" w:cs="YouYuan"/>
            <w:sz w:val="16"/>
            <w:szCs w:val="16"/>
            <w:spacing w:val="-2"/>
          </w:rPr>
          <w:t xml:space="preserve">                 </w:t>
        </w:r>
        <w:hyperlink w:history="true" w:anchor="bookmark31">
          <w:r>
            <w:rPr>
              <w:rFonts w:ascii="SimSun" w:hAnsi="SimSun" w:eastAsia="SimSun" w:cs="SimSun"/>
              <w:sz w:val="12"/>
              <w:szCs w:val="12"/>
              <w:spacing w:val="-2"/>
              <w:position w:val="-3"/>
            </w:rPr>
            <w:t>135</w:t>
          </w:r>
        </w:hyperlink>
      </w:p>
    </w:sdtContent>
  </w:sdt>
</w:hdr>
</file>

<file path=word/header1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7"/>
        <w:position w:val="-2"/>
      </w:rPr>
      <w:t>136</w:t>
    </w:r>
    <w:r>
      <w:rPr>
        <w:rFonts w:ascii="SimSun" w:hAnsi="SimSun" w:eastAsia="SimSun" w:cs="SimSun"/>
        <w:sz w:val="12"/>
        <w:szCs w:val="12"/>
        <w:spacing w:val="1"/>
        <w:position w:val="-2"/>
      </w:rPr>
      <w:t xml:space="preserve">                             </w:t>
    </w:r>
    <w:r>
      <w:rPr>
        <w:rFonts w:ascii="SimHei" w:hAnsi="SimHei" w:eastAsia="SimHei" w:cs="SimHei"/>
        <w:sz w:val="16"/>
        <w:szCs w:val="16"/>
        <w:spacing w:val="-7"/>
      </w:rPr>
      <w:t>平台经济——创新、治理与繁荣</w:t>
    </w:r>
  </w:p>
</w:hdr>
</file>

<file path=word/header10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4"/>
        <w:szCs w:val="14"/>
      </w:rPr>
      <w:docPartObj>
        <w:docPartGallery w:val="Table of Contents"/>
        <w:docPartUnique/>
      </w:docPartObj>
    </w:sdtPr>
    <w:sdtEndPr>
      <w:rPr>
        <w:rFonts w:ascii="SimSun" w:hAnsi="SimSun" w:eastAsia="SimSun" w:cs="SimSun"/>
        <w:sz w:val="10"/>
        <w:szCs w:val="10"/>
      </w:rPr>
    </w:sdtEndPr>
    <w:sdtContent>
      <w:p>
        <w:pPr>
          <w:ind w:left="1612"/>
          <w:spacing w:line="176" w:lineRule="auto"/>
          <w:rPr>
            <w:rFonts w:ascii="SimSun" w:hAnsi="SimSun" w:eastAsia="SimSun" w:cs="SimSun"/>
            <w:sz w:val="10"/>
            <w:szCs w:val="10"/>
          </w:rPr>
        </w:pPr>
        <w:r>
          <w:rPr>
            <w:rFonts w:ascii="YouYuan" w:hAnsi="YouYuan" w:eastAsia="YouYuan" w:cs="YouYuan"/>
            <w:sz w:val="14"/>
            <w:szCs w:val="14"/>
            <w:b/>
            <w:bCs/>
            <w:spacing w:val="8"/>
          </w:rPr>
          <w:t>第三章</w:t>
        </w:r>
        <w:r>
          <w:rPr>
            <w:rFonts w:ascii="YouYuan" w:hAnsi="YouYuan" w:eastAsia="YouYuan" w:cs="YouYuan"/>
            <w:sz w:val="14"/>
            <w:szCs w:val="14"/>
            <w:spacing w:val="22"/>
            <w:w w:val="101"/>
          </w:rPr>
          <w:t xml:space="preserve">  </w:t>
        </w:r>
        <w:r>
          <w:rPr>
            <w:rFonts w:ascii="YouYuan" w:hAnsi="YouYuan" w:eastAsia="YouYuan" w:cs="YouYuan"/>
            <w:sz w:val="14"/>
            <w:szCs w:val="14"/>
            <w:b/>
            <w:bCs/>
            <w:spacing w:val="8"/>
          </w:rPr>
          <w:t>平台经济与平台企业的中美比较</w:t>
        </w:r>
        <w:r>
          <w:rPr>
            <w:rFonts w:ascii="YouYuan" w:hAnsi="YouYuan" w:eastAsia="YouYuan" w:cs="YouYuan"/>
            <w:sz w:val="14"/>
            <w:szCs w:val="14"/>
            <w:spacing w:val="3"/>
          </w:rPr>
          <w:t xml:space="preserve">                   </w:t>
        </w:r>
        <w:hyperlink w:history="true" w:anchor="bookmark32">
          <w:r>
            <w:rPr>
              <w:rFonts w:ascii="SimSun" w:hAnsi="SimSun" w:eastAsia="SimSun" w:cs="SimSun"/>
              <w:sz w:val="10"/>
              <w:szCs w:val="10"/>
              <w:spacing w:val="8"/>
              <w:position w:val="-2"/>
            </w:rPr>
            <w:t>137</w:t>
          </w:r>
        </w:hyperlink>
      </w:p>
    </w:sdtContent>
  </w:sdt>
</w:hdr>
</file>

<file path=word/header10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7"/>
        <w:position w:val="-2"/>
      </w:rPr>
      <w:t>138</w:t>
    </w:r>
    <w:r>
      <w:rPr>
        <w:rFonts w:ascii="SimSun" w:hAnsi="SimSun" w:eastAsia="SimSun" w:cs="SimSun"/>
        <w:sz w:val="12"/>
        <w:szCs w:val="12"/>
        <w:spacing w:val="1"/>
        <w:position w:val="-2"/>
      </w:rPr>
      <w:t xml:space="preserve">                             </w:t>
    </w:r>
    <w:r>
      <w:rPr>
        <w:rFonts w:ascii="SimHei" w:hAnsi="SimHei" w:eastAsia="SimHei" w:cs="SimHei"/>
        <w:sz w:val="16"/>
        <w:szCs w:val="16"/>
        <w:spacing w:val="-7"/>
      </w:rPr>
      <w:t>平台经济——创新、治理与繁荣</w:t>
    </w:r>
  </w:p>
</w:hdr>
</file>

<file path=word/header10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7"/>
        <w:position w:val="-1"/>
      </w:rPr>
      <w:t>140</w:t>
    </w:r>
    <w:r>
      <w:rPr>
        <w:rFonts w:ascii="SimSun" w:hAnsi="SimSun" w:eastAsia="SimSun" w:cs="SimSun"/>
        <w:sz w:val="12"/>
        <w:szCs w:val="12"/>
        <w:spacing w:val="1"/>
        <w:position w:val="-1"/>
      </w:rPr>
      <w:t xml:space="preserve">                             </w:t>
    </w:r>
    <w:r>
      <w:rPr>
        <w:rFonts w:ascii="SimHei" w:hAnsi="SimHei" w:eastAsia="SimHei" w:cs="SimHei"/>
        <w:sz w:val="16"/>
        <w:szCs w:val="16"/>
        <w:spacing w:val="-7"/>
      </w:rPr>
      <w:t>平台经济——创新、治理与繁荣</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012                               </w:t>
    </w:r>
    <w:r>
      <w:rPr>
        <w:rFonts w:ascii="SimHei" w:hAnsi="SimHei" w:eastAsia="SimHei" w:cs="SimHei"/>
        <w:sz w:val="16"/>
        <w:szCs w:val="16"/>
        <w:b/>
        <w:bCs/>
        <w:spacing w:val="-4"/>
      </w:rPr>
      <w:t>平台经济——创新、治理与繁荣</w:t>
    </w:r>
  </w:p>
</w:hdr>
</file>

<file path=word/header1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75" w:lineRule="auto"/>
          <w:rPr>
            <w:rFonts w:ascii="SimSun" w:hAnsi="SimSun" w:eastAsia="SimSun" w:cs="SimSun"/>
            <w:sz w:val="12"/>
            <w:szCs w:val="12"/>
          </w:rPr>
        </w:pPr>
        <w:r>
          <w:rPr>
            <w:rFonts w:ascii="SimHei" w:hAnsi="SimHei" w:eastAsia="SimHei" w:cs="SimHei"/>
            <w:sz w:val="16"/>
            <w:szCs w:val="16"/>
            <w:b/>
            <w:bCs/>
            <w:spacing w:val="-5"/>
          </w:rPr>
          <w:t>第三章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平台经济与平台企业的中美比较</w:t>
        </w:r>
        <w:r>
          <w:rPr>
            <w:rFonts w:ascii="SimHei" w:hAnsi="SimHei" w:eastAsia="SimHei" w:cs="SimHei"/>
            <w:sz w:val="16"/>
            <w:szCs w:val="16"/>
            <w:spacing w:val="-6"/>
          </w:rPr>
          <w:t xml:space="preserve">                  </w:t>
        </w:r>
        <w:hyperlink w:history="true" w:anchor="bookmark33">
          <w:r>
            <w:rPr>
              <w:rFonts w:ascii="SimSun" w:hAnsi="SimSun" w:eastAsia="SimSun" w:cs="SimSun"/>
              <w:sz w:val="12"/>
              <w:szCs w:val="12"/>
              <w:spacing w:val="-6"/>
            </w:rPr>
            <w:t>141</w:t>
          </w:r>
        </w:hyperlink>
      </w:p>
    </w:sdtContent>
  </w:sdt>
</w:hdr>
</file>

<file path=word/header1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142                              </w:t>
    </w:r>
    <w:r>
      <w:rPr>
        <w:rFonts w:ascii="SimHei" w:hAnsi="SimHei" w:eastAsia="SimHei" w:cs="SimHei"/>
        <w:sz w:val="16"/>
        <w:szCs w:val="16"/>
        <w:spacing w:val="-3"/>
      </w:rPr>
      <w:t>平台经济——创新、治理与繁荣</w:t>
    </w:r>
  </w:p>
</w:hdr>
</file>

<file path=word/header1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02"/>
          <w:spacing w:line="179" w:lineRule="auto"/>
          <w:rPr>
            <w:rFonts w:ascii="SimSun" w:hAnsi="SimSun" w:eastAsia="SimSun" w:cs="SimSun"/>
            <w:sz w:val="12"/>
            <w:szCs w:val="12"/>
          </w:rPr>
        </w:pPr>
        <w:r>
          <w:rPr>
            <w:rFonts w:ascii="YouYuan" w:hAnsi="YouYuan" w:eastAsia="YouYuan" w:cs="YouYuan"/>
            <w:sz w:val="16"/>
            <w:szCs w:val="16"/>
            <w:b/>
            <w:bCs/>
            <w:spacing w:val="-5"/>
          </w:rPr>
          <w:t>第三章</w:t>
        </w:r>
        <w:r>
          <w:rPr>
            <w:rFonts w:ascii="YouYuan" w:hAnsi="YouYuan" w:eastAsia="YouYuan" w:cs="YouYuan"/>
            <w:sz w:val="16"/>
            <w:szCs w:val="16"/>
            <w:spacing w:val="-5"/>
          </w:rPr>
          <w:t xml:space="preserve">  </w:t>
        </w:r>
        <w:r>
          <w:rPr>
            <w:rFonts w:ascii="YouYuan" w:hAnsi="YouYuan" w:eastAsia="YouYuan" w:cs="YouYuan"/>
            <w:sz w:val="16"/>
            <w:szCs w:val="16"/>
            <w:b/>
            <w:bCs/>
            <w:spacing w:val="-5"/>
          </w:rPr>
          <w:t>平台经济与平台企业的中美比较</w:t>
        </w:r>
        <w:r>
          <w:rPr>
            <w:rFonts w:ascii="YouYuan" w:hAnsi="YouYuan" w:eastAsia="YouYuan" w:cs="YouYuan"/>
            <w:sz w:val="16"/>
            <w:szCs w:val="16"/>
            <w:spacing w:val="-6"/>
          </w:rPr>
          <w:t xml:space="preserve">                  </w:t>
        </w:r>
        <w:hyperlink w:history="true" w:anchor="bookmark34">
          <w:r>
            <w:rPr>
              <w:rFonts w:ascii="SimSun" w:hAnsi="SimSun" w:eastAsia="SimSun" w:cs="SimSun"/>
              <w:sz w:val="12"/>
              <w:szCs w:val="12"/>
              <w:spacing w:val="-6"/>
              <w:position w:val="-2"/>
            </w:rPr>
            <w:t>143</w:t>
          </w:r>
        </w:hyperlink>
      </w:p>
    </w:sdtContent>
  </w:sdt>
</w:hdr>
</file>

<file path=word/header1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144                              </w:t>
    </w:r>
    <w:r>
      <w:rPr>
        <w:rFonts w:ascii="SimHei" w:hAnsi="SimHei" w:eastAsia="SimHei" w:cs="SimHei"/>
        <w:sz w:val="16"/>
        <w:szCs w:val="16"/>
        <w:spacing w:val="-3"/>
      </w:rPr>
      <w:t>平台经济——创新、治理与繁荣</w:t>
    </w:r>
  </w:p>
</w:hdr>
</file>

<file path=word/header1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7"/>
        <w:position w:val="-1"/>
      </w:rPr>
      <w:t>148</w:t>
    </w:r>
    <w:r>
      <w:rPr>
        <w:rFonts w:ascii="SimSun" w:hAnsi="SimSun" w:eastAsia="SimSun" w:cs="SimSun"/>
        <w:sz w:val="12"/>
        <w:szCs w:val="12"/>
        <w:spacing w:val="1"/>
        <w:position w:val="-1"/>
      </w:rPr>
      <w:t xml:space="preserve">                             </w:t>
    </w:r>
    <w:r>
      <w:rPr>
        <w:rFonts w:ascii="SimHei" w:hAnsi="SimHei" w:eastAsia="SimHei" w:cs="SimHei"/>
        <w:sz w:val="16"/>
        <w:szCs w:val="16"/>
        <w:spacing w:val="-7"/>
      </w:rPr>
      <w:t>平台经济——创新、治理与繁荣</w:t>
    </w:r>
  </w:p>
</w:hdr>
</file>

<file path=word/header1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152</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1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40"/>
      <w:spacing w:line="167" w:lineRule="auto"/>
      <w:rPr>
        <w:rFonts w:ascii="SimSun" w:hAnsi="SimSun" w:eastAsia="SimSun" w:cs="SimSun"/>
        <w:sz w:val="12"/>
        <w:szCs w:val="12"/>
      </w:rPr>
    </w:pPr>
    <w:r>
      <w:rPr>
        <w:rFonts w:ascii="YouYuan" w:hAnsi="YouYuan" w:eastAsia="YouYuan" w:cs="YouYuan"/>
        <w:sz w:val="17"/>
        <w:szCs w:val="17"/>
        <w:spacing w:val="-14"/>
      </w:rPr>
      <w:t>第四章</w:t>
    </w:r>
    <w:r>
      <w:rPr>
        <w:rFonts w:ascii="YouYuan" w:hAnsi="YouYuan" w:eastAsia="YouYuan" w:cs="YouYuan"/>
        <w:sz w:val="17"/>
        <w:szCs w:val="17"/>
        <w:spacing w:val="-14"/>
      </w:rPr>
      <w:t xml:space="preserve">  </w:t>
    </w:r>
    <w:r>
      <w:rPr>
        <w:rFonts w:ascii="YouYuan" w:hAnsi="YouYuan" w:eastAsia="YouYuan" w:cs="YouYuan"/>
        <w:sz w:val="17"/>
        <w:szCs w:val="17"/>
        <w:spacing w:val="-14"/>
      </w:rPr>
      <w:t>平台经济对劳动力市场和收入分配</w:t>
    </w:r>
    <w:r>
      <w:rPr>
        <w:rFonts w:ascii="YouYuan" w:hAnsi="YouYuan" w:eastAsia="YouYuan" w:cs="YouYuan"/>
        <w:sz w:val="17"/>
        <w:szCs w:val="17"/>
        <w:spacing w:val="-15"/>
      </w:rPr>
      <w:t>的影响</w:t>
    </w:r>
    <w:r>
      <w:rPr>
        <w:rFonts w:ascii="YouYuan" w:hAnsi="YouYuan" w:eastAsia="YouYuan" w:cs="YouYuan"/>
        <w:sz w:val="17"/>
        <w:szCs w:val="17"/>
        <w:spacing w:val="4"/>
      </w:rPr>
      <w:t xml:space="preserve">            </w:t>
    </w:r>
    <w:r>
      <w:rPr>
        <w:rFonts w:ascii="SimSun" w:hAnsi="SimSun" w:eastAsia="SimSun" w:cs="SimSun"/>
        <w:sz w:val="12"/>
        <w:szCs w:val="12"/>
        <w:spacing w:val="-15"/>
        <w:position w:val="-4"/>
      </w:rPr>
      <w:t>153</w:t>
    </w:r>
  </w:p>
</w:hdr>
</file>

<file path=word/header1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4"/>
        <w:position w:val="-3"/>
      </w:rPr>
      <w:t>154                               </w:t>
    </w:r>
    <w:r>
      <w:rPr>
        <w:rFonts w:ascii="SimHei" w:hAnsi="SimHei" w:eastAsia="SimHei" w:cs="SimHei"/>
        <w:sz w:val="16"/>
        <w:szCs w:val="16"/>
        <w:spacing w:val="-4"/>
      </w:rPr>
      <w:t>平台经济——创新、治理与繁荣</w:t>
    </w:r>
  </w:p>
</w:hdr>
</file>

<file path=word/header1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0"/>
      <w:spacing w:line="162" w:lineRule="auto"/>
      <w:rPr>
        <w:rFonts w:ascii="SimSun" w:hAnsi="SimSun" w:eastAsia="SimSun" w:cs="SimSun"/>
        <w:sz w:val="12"/>
        <w:szCs w:val="12"/>
      </w:rPr>
    </w:pPr>
    <w:r>
      <w:rPr>
        <w:rFonts w:ascii="YouYuan" w:hAnsi="YouYuan" w:eastAsia="YouYuan" w:cs="YouYuan"/>
        <w:sz w:val="16"/>
        <w:szCs w:val="16"/>
        <w:spacing w:val="-6"/>
      </w:rPr>
      <w:t>第四章</w:t>
    </w:r>
    <w:r>
      <w:rPr>
        <w:rFonts w:ascii="YouYuan" w:hAnsi="YouYuan" w:eastAsia="YouYuan" w:cs="YouYuan"/>
        <w:sz w:val="16"/>
        <w:szCs w:val="16"/>
        <w:spacing w:val="-6"/>
      </w:rPr>
      <w:t xml:space="preserve">  </w:t>
    </w:r>
    <w:r>
      <w:rPr>
        <w:rFonts w:ascii="YouYuan" w:hAnsi="YouYuan" w:eastAsia="YouYuan" w:cs="YouYuan"/>
        <w:sz w:val="16"/>
        <w:szCs w:val="16"/>
        <w:spacing w:val="-6"/>
      </w:rPr>
      <w:t>平台经济对劳动力市场和收入分配的影响</w:t>
    </w:r>
    <w:r>
      <w:rPr>
        <w:rFonts w:ascii="YouYuan" w:hAnsi="YouYuan" w:eastAsia="YouYuan" w:cs="YouYuan"/>
        <w:sz w:val="16"/>
        <w:szCs w:val="16"/>
        <w:spacing w:val="2"/>
      </w:rPr>
      <w:t xml:space="preserve">             </w:t>
    </w:r>
    <w:r>
      <w:rPr>
        <w:rFonts w:ascii="SimSun" w:hAnsi="SimSun" w:eastAsia="SimSun" w:cs="SimSun"/>
        <w:sz w:val="12"/>
        <w:szCs w:val="12"/>
        <w:spacing w:val="-6"/>
        <w:position w:val="-4"/>
      </w:rPr>
      <w:t>155</w:t>
    </w:r>
  </w:p>
</w:hdr>
</file>

<file path=word/header1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2"/>
        <w:szCs w:val="12"/>
        <w:spacing w:val="-3"/>
        <w:position w:val="-1"/>
      </w:rPr>
      <w:t>156                              </w:t>
    </w:r>
    <w:r>
      <w:rPr>
        <w:rFonts w:ascii="SimHei" w:hAnsi="SimHei" w:eastAsia="SimHei" w:cs="SimHei"/>
        <w:sz w:val="16"/>
        <w:szCs w:val="16"/>
        <w:spacing w:val="-3"/>
      </w:rPr>
      <w:t>平台经济——创新、治理与繁荣</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2"/>
      <w:spacing w:line="172" w:lineRule="auto"/>
      <w:rPr>
        <w:rFonts w:ascii="SimSun" w:hAnsi="SimSun" w:eastAsia="SimSun" w:cs="SimSun"/>
        <w:sz w:val="12"/>
        <w:szCs w:val="12"/>
      </w:rPr>
    </w:pPr>
    <w:r>
      <w:rPr>
        <w:rFonts w:ascii="SimSun" w:hAnsi="SimSun" w:eastAsia="SimSun" w:cs="SimSun"/>
        <w:sz w:val="16"/>
        <w:szCs w:val="16"/>
        <w:b/>
        <w:bCs/>
        <w:spacing w:val="-4"/>
      </w:rPr>
      <w:t>第一章</w:t>
    </w:r>
    <w:r>
      <w:rPr>
        <w:rFonts w:ascii="SimSun" w:hAnsi="SimSun" w:eastAsia="SimSun" w:cs="SimSun"/>
        <w:sz w:val="16"/>
        <w:szCs w:val="16"/>
        <w:spacing w:val="-4"/>
      </w:rPr>
      <w:t xml:space="preserve">  </w:t>
    </w:r>
    <w:r>
      <w:rPr>
        <w:rFonts w:ascii="SimSun" w:hAnsi="SimSun" w:eastAsia="SimSun" w:cs="SimSun"/>
        <w:sz w:val="16"/>
        <w:szCs w:val="16"/>
        <w:b/>
        <w:bCs/>
        <w:spacing w:val="-4"/>
      </w:rPr>
      <w:t>重塑平台经济：走向有序发展与共同富</w:t>
    </w:r>
    <w:r>
      <w:rPr>
        <w:rFonts w:ascii="SimSun" w:hAnsi="SimSun" w:eastAsia="SimSun" w:cs="SimSun"/>
        <w:sz w:val="16"/>
        <w:szCs w:val="16"/>
        <w:b/>
        <w:bCs/>
        <w:spacing w:val="-5"/>
      </w:rPr>
      <w:t>裕</w:t>
    </w:r>
    <w:r>
      <w:rPr>
        <w:rFonts w:ascii="SimSun" w:hAnsi="SimSun" w:eastAsia="SimSun" w:cs="SimSun"/>
        <w:sz w:val="16"/>
        <w:szCs w:val="16"/>
        <w:spacing w:val="-5"/>
      </w:rPr>
      <w:t xml:space="preserve">             </w:t>
    </w:r>
    <w:r>
      <w:rPr>
        <w:rFonts w:ascii="SimSun" w:hAnsi="SimSun" w:eastAsia="SimSun" w:cs="SimSun"/>
        <w:sz w:val="12"/>
        <w:szCs w:val="12"/>
        <w:spacing w:val="-5"/>
        <w:position w:val="-1"/>
      </w:rPr>
      <w:t>013</w:t>
    </w:r>
  </w:p>
</w:hdr>
</file>

<file path=word/header1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2"/>
      <w:spacing w:line="176" w:lineRule="auto"/>
      <w:rPr>
        <w:rFonts w:ascii="SimSun" w:hAnsi="SimSun" w:eastAsia="SimSun" w:cs="SimSun"/>
        <w:sz w:val="13"/>
        <w:szCs w:val="13"/>
      </w:rPr>
    </w:pPr>
    <w:r>
      <w:rPr>
        <w:rFonts w:ascii="SimHei" w:hAnsi="SimHei" w:eastAsia="SimHei" w:cs="SimHei"/>
        <w:sz w:val="17"/>
        <w:szCs w:val="17"/>
        <w:b/>
        <w:bCs/>
        <w:spacing w:val="-13"/>
      </w:rPr>
      <w:t>第四章</w:t>
    </w:r>
    <w:r>
      <w:rPr>
        <w:rFonts w:ascii="SimHei" w:hAnsi="SimHei" w:eastAsia="SimHei" w:cs="SimHei"/>
        <w:sz w:val="17"/>
        <w:szCs w:val="17"/>
        <w:spacing w:val="-13"/>
      </w:rPr>
      <w:t xml:space="preserve">  </w:t>
    </w:r>
    <w:r>
      <w:rPr>
        <w:rFonts w:ascii="SimHei" w:hAnsi="SimHei" w:eastAsia="SimHei" w:cs="SimHei"/>
        <w:sz w:val="17"/>
        <w:szCs w:val="17"/>
        <w:b/>
        <w:bCs/>
        <w:spacing w:val="-13"/>
      </w:rPr>
      <w:t>平台经济对劳动力市场和收入分配的影响</w:t>
    </w:r>
    <w:r>
      <w:rPr>
        <w:rFonts w:ascii="SimHei" w:hAnsi="SimHei" w:eastAsia="SimHei" w:cs="SimHei"/>
        <w:sz w:val="17"/>
        <w:szCs w:val="17"/>
        <w:spacing w:val="-13"/>
      </w:rPr>
      <w:t xml:space="preserve">              </w:t>
    </w:r>
    <w:r>
      <w:rPr>
        <w:rFonts w:ascii="SimSun" w:hAnsi="SimSun" w:eastAsia="SimSun" w:cs="SimSun"/>
        <w:sz w:val="13"/>
        <w:szCs w:val="13"/>
        <w:spacing w:val="-13"/>
        <w:position w:val="-1"/>
      </w:rPr>
      <w:t>157</w:t>
    </w:r>
  </w:p>
</w:hdr>
</file>

<file path=word/header1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3"/>
      </w:rPr>
      <w:t>158                              </w:t>
    </w:r>
    <w:r>
      <w:rPr>
        <w:rFonts w:ascii="SimHei" w:hAnsi="SimHei" w:eastAsia="SimHei" w:cs="SimHei"/>
        <w:sz w:val="16"/>
        <w:szCs w:val="16"/>
        <w:b/>
        <w:bCs/>
        <w:spacing w:val="-4"/>
      </w:rPr>
      <w:t>平台经济——创新、治理与繁荣</w:t>
    </w:r>
  </w:p>
</w:hdr>
</file>

<file path=word/header1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2"/>
      <w:spacing w:line="174" w:lineRule="auto"/>
      <w:rPr>
        <w:rFonts w:ascii="SimSun" w:hAnsi="SimSun" w:eastAsia="SimSun" w:cs="SimSun"/>
        <w:sz w:val="13"/>
        <w:szCs w:val="13"/>
      </w:rPr>
    </w:pPr>
    <w:r>
      <w:rPr>
        <w:rFonts w:ascii="SimHei" w:hAnsi="SimHei" w:eastAsia="SimHei" w:cs="SimHei"/>
        <w:sz w:val="16"/>
        <w:szCs w:val="16"/>
        <w:b/>
        <w:bCs/>
        <w:spacing w:val="-6"/>
      </w:rPr>
      <w:t>第四章</w:t>
    </w:r>
    <w:r>
      <w:rPr>
        <w:rFonts w:ascii="SimHei" w:hAnsi="SimHei" w:eastAsia="SimHei" w:cs="SimHei"/>
        <w:sz w:val="16"/>
        <w:szCs w:val="16"/>
        <w:spacing w:val="-6"/>
      </w:rPr>
      <w:t xml:space="preserve">  </w:t>
    </w:r>
    <w:r>
      <w:rPr>
        <w:rFonts w:ascii="SimHei" w:hAnsi="SimHei" w:eastAsia="SimHei" w:cs="SimHei"/>
        <w:sz w:val="16"/>
        <w:szCs w:val="16"/>
        <w:b/>
        <w:bCs/>
        <w:spacing w:val="-6"/>
      </w:rPr>
      <w:t>平台经济对劳动力市场和收入分配的影响</w:t>
    </w:r>
    <w:r>
      <w:rPr>
        <w:rFonts w:ascii="SimHei" w:hAnsi="SimHei" w:eastAsia="SimHei" w:cs="SimHei"/>
        <w:sz w:val="16"/>
        <w:szCs w:val="16"/>
        <w:spacing w:val="-6"/>
      </w:rPr>
      <w:t xml:space="preserve">              </w:t>
    </w:r>
    <w:r>
      <w:rPr>
        <w:rFonts w:ascii="SimSun" w:hAnsi="SimSun" w:eastAsia="SimSun" w:cs="SimSun"/>
        <w:sz w:val="13"/>
        <w:szCs w:val="13"/>
        <w:spacing w:val="-6"/>
        <w:position w:val="-1"/>
      </w:rPr>
      <w:t>159</w:t>
    </w:r>
  </w:p>
</w:hdr>
</file>

<file path=word/header1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2"/>
        <w:position w:val="-3"/>
      </w:rPr>
      <w:t>160                </w:t>
    </w:r>
    <w:r>
      <w:rPr>
        <w:rFonts w:ascii="SimSun" w:hAnsi="SimSun" w:eastAsia="SimSun" w:cs="SimSun"/>
        <w:sz w:val="12"/>
        <w:szCs w:val="12"/>
        <w:spacing w:val="-3"/>
        <w:position w:val="-3"/>
      </w:rPr>
      <w:t xml:space="preserve">              </w:t>
    </w:r>
    <w:r>
      <w:rPr>
        <w:rFonts w:ascii="SimHei" w:hAnsi="SimHei" w:eastAsia="SimHei" w:cs="SimHei"/>
        <w:sz w:val="16"/>
        <w:szCs w:val="16"/>
        <w:spacing w:val="-3"/>
      </w:rPr>
      <w:t>平台经济</w:t>
    </w:r>
    <w:r>
      <w:rPr>
        <w:rFonts w:ascii="SimHei" w:hAnsi="SimHei" w:eastAsia="SimHei" w:cs="SimHei"/>
        <w:sz w:val="16"/>
        <w:szCs w:val="16"/>
        <w:u w:val="single" w:color="auto"/>
        <w:spacing w:val="10"/>
      </w:rPr>
      <w:t xml:space="preserve">   </w:t>
    </w:r>
    <w:r>
      <w:rPr>
        <w:rFonts w:ascii="SimHei" w:hAnsi="SimHei" w:eastAsia="SimHei" w:cs="SimHei"/>
        <w:sz w:val="16"/>
        <w:szCs w:val="16"/>
        <w:spacing w:val="-70"/>
      </w:rPr>
      <w:t xml:space="preserve"> </w:t>
    </w:r>
    <w:r>
      <w:rPr>
        <w:rFonts w:ascii="SimHei" w:hAnsi="SimHei" w:eastAsia="SimHei" w:cs="SimHei"/>
        <w:sz w:val="16"/>
        <w:szCs w:val="16"/>
        <w:spacing w:val="-3"/>
      </w:rPr>
      <w:t>创新、治理与繁荣</w:t>
    </w:r>
  </w:p>
</w:hdr>
</file>

<file path=word/header1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2"/>
      <w:spacing w:line="176" w:lineRule="auto"/>
      <w:rPr>
        <w:rFonts w:ascii="SimSun" w:hAnsi="SimSun" w:eastAsia="SimSun" w:cs="SimSun"/>
        <w:sz w:val="12"/>
        <w:szCs w:val="12"/>
      </w:rPr>
    </w:pPr>
    <w:r>
      <w:rPr>
        <w:rFonts w:ascii="SimHei" w:hAnsi="SimHei" w:eastAsia="SimHei" w:cs="SimHei"/>
        <w:sz w:val="17"/>
        <w:szCs w:val="17"/>
        <w:b/>
        <w:bCs/>
        <w:spacing w:val="-13"/>
      </w:rPr>
      <w:t>第四章</w:t>
    </w:r>
    <w:r>
      <w:rPr>
        <w:rFonts w:ascii="SimHei" w:hAnsi="SimHei" w:eastAsia="SimHei" w:cs="SimHei"/>
        <w:sz w:val="17"/>
        <w:szCs w:val="17"/>
        <w:spacing w:val="-13"/>
      </w:rPr>
      <w:t xml:space="preserve">  </w:t>
    </w:r>
    <w:r>
      <w:rPr>
        <w:rFonts w:ascii="SimHei" w:hAnsi="SimHei" w:eastAsia="SimHei" w:cs="SimHei"/>
        <w:sz w:val="17"/>
        <w:szCs w:val="17"/>
        <w:b/>
        <w:bCs/>
        <w:spacing w:val="-13"/>
      </w:rPr>
      <w:t>平台经济对劳动力市场和收入分配的影响</w:t>
    </w:r>
    <w:r>
      <w:rPr>
        <w:rFonts w:ascii="SimHei" w:hAnsi="SimHei" w:eastAsia="SimHei" w:cs="SimHei"/>
        <w:sz w:val="17"/>
        <w:szCs w:val="17"/>
        <w:spacing w:val="-13"/>
      </w:rPr>
      <w:t xml:space="preserve">              </w:t>
    </w:r>
    <w:r>
      <w:rPr>
        <w:rFonts w:ascii="SimSun" w:hAnsi="SimSun" w:eastAsia="SimSun" w:cs="SimSun"/>
        <w:sz w:val="12"/>
        <w:szCs w:val="12"/>
        <w:spacing w:val="-13"/>
        <w:position w:val="-1"/>
      </w:rPr>
      <w:t>161</w:t>
    </w:r>
  </w:p>
</w:hdr>
</file>

<file path=word/header1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1"/>
        <w:szCs w:val="11"/>
        <w:spacing w:val="-4"/>
        <w:position w:val="-1"/>
      </w:rPr>
      <w:t>162                                  </w:t>
    </w:r>
    <w:r>
      <w:rPr>
        <w:rFonts w:ascii="SimHei" w:hAnsi="SimHei" w:eastAsia="SimHei" w:cs="SimHei"/>
        <w:sz w:val="16"/>
        <w:szCs w:val="16"/>
        <w:b/>
        <w:bCs/>
        <w:spacing w:val="-4"/>
      </w:rPr>
      <w:t>平台</w:t>
    </w:r>
    <w:r>
      <w:rPr>
        <w:rFonts w:ascii="SimHei" w:hAnsi="SimHei" w:eastAsia="SimHei" w:cs="SimHei"/>
        <w:sz w:val="16"/>
        <w:szCs w:val="16"/>
        <w:b/>
        <w:bCs/>
        <w:spacing w:val="-5"/>
      </w:rPr>
      <w:t>经济——创新、治理与繁荣</w:t>
    </w:r>
  </w:p>
</w:hdr>
</file>

<file path=word/header1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1"/>
        <w:szCs w:val="11"/>
      </w:rPr>
    </w:sdtEndPr>
    <w:sdtContent>
      <w:p>
        <w:pPr>
          <w:ind w:left="1312"/>
          <w:spacing w:line="172" w:lineRule="auto"/>
          <w:rPr>
            <w:rFonts w:ascii="SimSun" w:hAnsi="SimSun" w:eastAsia="SimSun" w:cs="SimSun"/>
            <w:sz w:val="11"/>
            <w:szCs w:val="11"/>
          </w:rPr>
        </w:pPr>
        <w:r>
          <w:rPr>
            <w:rFonts w:ascii="SimHei" w:hAnsi="SimHei" w:eastAsia="SimHei" w:cs="SimHei"/>
            <w:sz w:val="14"/>
            <w:szCs w:val="14"/>
            <w:b/>
            <w:bCs/>
            <w:spacing w:val="8"/>
          </w:rPr>
          <w:t>第四章</w:t>
        </w:r>
        <w:r>
          <w:rPr>
            <w:rFonts w:ascii="SimHei" w:hAnsi="SimHei" w:eastAsia="SimHei" w:cs="SimHei"/>
            <w:sz w:val="14"/>
            <w:szCs w:val="14"/>
            <w:spacing w:val="24"/>
            <w:w w:val="101"/>
          </w:rPr>
          <w:t xml:space="preserve">  </w:t>
        </w:r>
        <w:r>
          <w:rPr>
            <w:rFonts w:ascii="SimHei" w:hAnsi="SimHei" w:eastAsia="SimHei" w:cs="SimHei"/>
            <w:sz w:val="14"/>
            <w:szCs w:val="14"/>
            <w:b/>
            <w:bCs/>
            <w:spacing w:val="8"/>
          </w:rPr>
          <w:t>平台经济对劳动力市场和收入分配的影响</w:t>
        </w:r>
        <w:r>
          <w:rPr>
            <w:rFonts w:ascii="SimHei" w:hAnsi="SimHei" w:eastAsia="SimHei" w:cs="SimHei"/>
            <w:sz w:val="14"/>
            <w:szCs w:val="14"/>
            <w:spacing w:val="8"/>
          </w:rPr>
          <w:t xml:space="preserve"> </w:t>
        </w:r>
        <w:r>
          <w:rPr>
            <w:rFonts w:ascii="SimHei" w:hAnsi="SimHei" w:eastAsia="SimHei" w:cs="SimHei"/>
            <w:sz w:val="14"/>
            <w:szCs w:val="14"/>
            <w:spacing w:val="7"/>
          </w:rPr>
          <w:t xml:space="preserve">             </w:t>
        </w:r>
        <w:hyperlink w:history="true" w:anchor="bookmark35">
          <w:r>
            <w:rPr>
              <w:rFonts w:ascii="SimSun" w:hAnsi="SimSun" w:eastAsia="SimSun" w:cs="SimSun"/>
              <w:sz w:val="11"/>
              <w:szCs w:val="11"/>
              <w:spacing w:val="7"/>
              <w:position w:val="-1"/>
            </w:rPr>
            <w:t>163</w:t>
          </w:r>
        </w:hyperlink>
      </w:p>
    </w:sdtContent>
  </w:sdt>
</w:hdr>
</file>

<file path=word/header1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1"/>
        <w:szCs w:val="11"/>
        <w:spacing w:val="-3"/>
      </w:rPr>
      <w:t>164                                 </w:t>
    </w:r>
    <w:r>
      <w:rPr>
        <w:rFonts w:ascii="SimHei" w:hAnsi="SimHei" w:eastAsia="SimHei" w:cs="SimHei"/>
        <w:sz w:val="16"/>
        <w:szCs w:val="16"/>
        <w:spacing w:val="-3"/>
      </w:rPr>
      <w:t>平台经济——创新、治理与繁荣</w:t>
    </w:r>
  </w:p>
</w:hdr>
</file>

<file path=word/header1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20"/>
      <w:spacing w:line="167" w:lineRule="auto"/>
      <w:rPr>
        <w:rFonts w:ascii="SimSun" w:hAnsi="SimSun" w:eastAsia="SimSun" w:cs="SimSun"/>
        <w:sz w:val="12"/>
        <w:szCs w:val="12"/>
      </w:rPr>
    </w:pPr>
    <w:r>
      <w:rPr>
        <w:rFonts w:ascii="YouYuan" w:hAnsi="YouYuan" w:eastAsia="YouYuan" w:cs="YouYuan"/>
        <w:sz w:val="17"/>
        <w:szCs w:val="17"/>
        <w:spacing w:val="-14"/>
      </w:rPr>
      <w:t>第四章</w:t>
    </w:r>
    <w:r>
      <w:rPr>
        <w:rFonts w:ascii="YouYuan" w:hAnsi="YouYuan" w:eastAsia="YouYuan" w:cs="YouYuan"/>
        <w:sz w:val="17"/>
        <w:szCs w:val="17"/>
        <w:spacing w:val="-14"/>
      </w:rPr>
      <w:t xml:space="preserve">  </w:t>
    </w:r>
    <w:r>
      <w:rPr>
        <w:rFonts w:ascii="YouYuan" w:hAnsi="YouYuan" w:eastAsia="YouYuan" w:cs="YouYuan"/>
        <w:sz w:val="17"/>
        <w:szCs w:val="17"/>
        <w:spacing w:val="-14"/>
      </w:rPr>
      <w:t>平台经济对劳动力市场和收入分配</w:t>
    </w:r>
    <w:r>
      <w:rPr>
        <w:rFonts w:ascii="YouYuan" w:hAnsi="YouYuan" w:eastAsia="YouYuan" w:cs="YouYuan"/>
        <w:sz w:val="17"/>
        <w:szCs w:val="17"/>
        <w:spacing w:val="-15"/>
      </w:rPr>
      <w:t>的影响</w:t>
    </w:r>
    <w:r>
      <w:rPr>
        <w:rFonts w:ascii="YouYuan" w:hAnsi="YouYuan" w:eastAsia="YouYuan" w:cs="YouYuan"/>
        <w:sz w:val="17"/>
        <w:szCs w:val="17"/>
        <w:spacing w:val="4"/>
      </w:rPr>
      <w:t xml:space="preserve">            </w:t>
    </w:r>
    <w:r>
      <w:rPr>
        <w:rFonts w:ascii="SimSun" w:hAnsi="SimSun" w:eastAsia="SimSun" w:cs="SimSun"/>
        <w:sz w:val="12"/>
        <w:szCs w:val="12"/>
        <w:spacing w:val="-15"/>
        <w:position w:val="-4"/>
      </w:rPr>
      <w:t>165</w:t>
    </w:r>
  </w:p>
</w:hdr>
</file>

<file path=word/header1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3" w:lineRule="auto"/>
      <w:rPr>
        <w:rFonts w:ascii="SimHei" w:hAnsi="SimHei" w:eastAsia="SimHei" w:cs="SimHei"/>
        <w:sz w:val="15"/>
        <w:szCs w:val="15"/>
      </w:rPr>
    </w:pPr>
    <w:r>
      <w:rPr>
        <w:rFonts w:ascii="SimSun" w:hAnsi="SimSun" w:eastAsia="SimSun" w:cs="SimSun"/>
        <w:sz w:val="12"/>
        <w:szCs w:val="12"/>
        <w:spacing w:val="1"/>
        <w:position w:val="-2"/>
      </w:rPr>
      <w:t>166                             </w:t>
    </w:r>
    <w:r>
      <w:rPr>
        <w:rFonts w:ascii="SimHei" w:hAnsi="SimHei" w:eastAsia="SimHei" w:cs="SimHei"/>
        <w:sz w:val="15"/>
        <w:szCs w:val="15"/>
        <w:spacing w:val="1"/>
      </w:rPr>
      <w:t>平台经济——创新、治理与繁荣</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5"/>
        <w:position w:val="-2"/>
      </w:rPr>
      <w:t>014</w:t>
    </w:r>
    <w:r>
      <w:rPr>
        <w:rFonts w:ascii="SimSun" w:hAnsi="SimSun" w:eastAsia="SimSun" w:cs="SimSun"/>
        <w:sz w:val="12"/>
        <w:szCs w:val="12"/>
        <w:spacing w:val="1"/>
        <w:position w:val="-2"/>
      </w:rPr>
      <w:t xml:space="preserve">                             </w:t>
    </w:r>
    <w:r>
      <w:rPr>
        <w:rFonts w:ascii="SimHei" w:hAnsi="SimHei" w:eastAsia="SimHei" w:cs="SimHei"/>
        <w:sz w:val="16"/>
        <w:szCs w:val="16"/>
        <w:spacing w:val="-5"/>
      </w:rPr>
      <w:t>平台经济——创新、治理与繁荣</w:t>
    </w:r>
  </w:p>
</w:hdr>
</file>

<file path=word/header1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30"/>
      <w:spacing w:line="175" w:lineRule="auto"/>
      <w:rPr>
        <w:rFonts w:ascii="SimSun" w:hAnsi="SimSun" w:eastAsia="SimSun" w:cs="SimSun"/>
        <w:sz w:val="12"/>
        <w:szCs w:val="12"/>
      </w:rPr>
    </w:pPr>
    <w:r>
      <w:rPr>
        <w:rFonts w:ascii="SimHei" w:hAnsi="SimHei" w:eastAsia="SimHei" w:cs="SimHei"/>
        <w:sz w:val="16"/>
        <w:szCs w:val="16"/>
        <w:spacing w:val="-6"/>
      </w:rPr>
      <w:t>第四章</w:t>
    </w:r>
    <w:r>
      <w:rPr>
        <w:rFonts w:ascii="SimHei" w:hAnsi="SimHei" w:eastAsia="SimHei" w:cs="SimHei"/>
        <w:sz w:val="16"/>
        <w:szCs w:val="16"/>
        <w:spacing w:val="-6"/>
      </w:rPr>
      <w:t xml:space="preserve">  </w:t>
    </w:r>
    <w:r>
      <w:rPr>
        <w:rFonts w:ascii="SimHei" w:hAnsi="SimHei" w:eastAsia="SimHei" w:cs="SimHei"/>
        <w:sz w:val="16"/>
        <w:szCs w:val="16"/>
        <w:spacing w:val="-6"/>
      </w:rPr>
      <w:t>平台经济对劳动力市场和收入分配的影响</w:t>
    </w:r>
    <w:r>
      <w:rPr>
        <w:rFonts w:ascii="SimHei" w:hAnsi="SimHei" w:eastAsia="SimHei" w:cs="SimHei"/>
        <w:sz w:val="16"/>
        <w:szCs w:val="16"/>
        <w:spacing w:val="1"/>
      </w:rPr>
      <w:t xml:space="preserve">             </w:t>
    </w:r>
    <w:r>
      <w:rPr>
        <w:rFonts w:ascii="SimSun" w:hAnsi="SimSun" w:eastAsia="SimSun" w:cs="SimSun"/>
        <w:sz w:val="12"/>
        <w:szCs w:val="12"/>
        <w:spacing w:val="-6"/>
        <w:position w:val="-1"/>
      </w:rPr>
      <w:t>167</w:t>
    </w:r>
  </w:p>
</w:hdr>
</file>

<file path=word/header1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9"/>
      <w:spacing w:line="175" w:lineRule="auto"/>
      <w:rPr>
        <w:rFonts w:ascii="SimSun" w:hAnsi="SimSun" w:eastAsia="SimSun" w:cs="SimSun"/>
        <w:sz w:val="12"/>
        <w:szCs w:val="12"/>
      </w:rPr>
    </w:pPr>
    <w:r>
      <w:rPr>
        <w:rFonts w:ascii="SimHei" w:hAnsi="SimHei" w:eastAsia="SimHei" w:cs="SimHei"/>
        <w:sz w:val="16"/>
        <w:szCs w:val="16"/>
        <w:spacing w:val="-5"/>
      </w:rPr>
      <w:t>第四章</w:t>
    </w:r>
    <w:r>
      <w:rPr>
        <w:rFonts w:ascii="SimHei" w:hAnsi="SimHei" w:eastAsia="SimHei" w:cs="SimHei"/>
        <w:sz w:val="16"/>
        <w:szCs w:val="16"/>
        <w:spacing w:val="-5"/>
      </w:rPr>
      <w:t xml:space="preserve">  </w:t>
    </w:r>
    <w:r>
      <w:rPr>
        <w:rFonts w:ascii="SimHei" w:hAnsi="SimHei" w:eastAsia="SimHei" w:cs="SimHei"/>
        <w:sz w:val="16"/>
        <w:szCs w:val="16"/>
        <w:spacing w:val="-5"/>
      </w:rPr>
      <w:t>平台经济对劳动力市场和收入分配的影响</w:t>
    </w:r>
    <w:r>
      <w:rPr>
        <w:rFonts w:ascii="SimHei" w:hAnsi="SimHei" w:eastAsia="SimHei" w:cs="SimHei"/>
        <w:sz w:val="16"/>
        <w:szCs w:val="16"/>
        <w:spacing w:val="-5"/>
      </w:rPr>
      <w:t xml:space="preserve">              </w:t>
    </w:r>
    <w:r>
      <w:rPr>
        <w:rFonts w:ascii="SimSun" w:hAnsi="SimSun" w:eastAsia="SimSun" w:cs="SimSun"/>
        <w:sz w:val="12"/>
        <w:szCs w:val="12"/>
        <w:spacing w:val="-5"/>
        <w:position w:val="-1"/>
      </w:rPr>
      <w:t>169</w:t>
    </w:r>
  </w:p>
</w:hdr>
</file>

<file path=word/header1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7"/>
        <w:position w:val="-1"/>
      </w:rPr>
      <w:t>170</w:t>
    </w:r>
    <w:r>
      <w:rPr>
        <w:rFonts w:ascii="SimSun" w:hAnsi="SimSun" w:eastAsia="SimSun" w:cs="SimSun"/>
        <w:sz w:val="12"/>
        <w:szCs w:val="12"/>
        <w:spacing w:val="1"/>
        <w:position w:val="-1"/>
      </w:rPr>
      <w:t xml:space="preserve">                             </w:t>
    </w:r>
    <w:r>
      <w:rPr>
        <w:rFonts w:ascii="SimHei" w:hAnsi="SimHei" w:eastAsia="SimHei" w:cs="SimHei"/>
        <w:sz w:val="16"/>
        <w:szCs w:val="16"/>
        <w:spacing w:val="-7"/>
      </w:rPr>
      <w:t>平台经济——创新、治理与繁荣</w:t>
    </w:r>
  </w:p>
</w:hdr>
</file>

<file path=word/header1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1"/>
        <w:szCs w:val="11"/>
      </w:rPr>
    </w:sdtEndPr>
    <w:sdtContent>
      <w:p>
        <w:pPr>
          <w:ind w:left="1292"/>
          <w:spacing w:line="175" w:lineRule="auto"/>
          <w:rPr>
            <w:rFonts w:ascii="SimSun" w:hAnsi="SimSun" w:eastAsia="SimSun" w:cs="SimSun"/>
            <w:sz w:val="11"/>
            <w:szCs w:val="11"/>
          </w:rPr>
        </w:pPr>
        <w:r>
          <w:rPr>
            <w:rFonts w:ascii="SimHei" w:hAnsi="SimHei" w:eastAsia="SimHei" w:cs="SimHei"/>
            <w:sz w:val="16"/>
            <w:szCs w:val="16"/>
            <w:b/>
            <w:bCs/>
            <w:spacing w:val="-6"/>
          </w:rPr>
          <w:t>第四章</w:t>
        </w:r>
        <w:r>
          <w:rPr>
            <w:rFonts w:ascii="SimHei" w:hAnsi="SimHei" w:eastAsia="SimHei" w:cs="SimHei"/>
            <w:sz w:val="16"/>
            <w:szCs w:val="16"/>
            <w:spacing w:val="-6"/>
          </w:rPr>
          <w:t xml:space="preserve">  </w:t>
        </w:r>
        <w:r>
          <w:rPr>
            <w:rFonts w:ascii="SimHei" w:hAnsi="SimHei" w:eastAsia="SimHei" w:cs="SimHei"/>
            <w:sz w:val="16"/>
            <w:szCs w:val="16"/>
            <w:b/>
            <w:bCs/>
            <w:spacing w:val="-6"/>
          </w:rPr>
          <w:t>平台经济对劳动力市场和收入分配的影响</w:t>
        </w:r>
        <w:r>
          <w:rPr>
            <w:rFonts w:ascii="SimHei" w:hAnsi="SimHei" w:eastAsia="SimHei" w:cs="SimHei"/>
            <w:sz w:val="16"/>
            <w:szCs w:val="16"/>
            <w:spacing w:val="-6"/>
          </w:rPr>
          <w:t xml:space="preserve">              </w:t>
        </w:r>
        <w:hyperlink w:history="true" w:anchor="bookmark36">
          <w:r>
            <w:rPr>
              <w:rFonts w:ascii="SimSun" w:hAnsi="SimSun" w:eastAsia="SimSun" w:cs="SimSun"/>
              <w:sz w:val="11"/>
              <w:szCs w:val="11"/>
              <w:spacing w:val="-6"/>
            </w:rPr>
            <w:t>171</w:t>
          </w:r>
        </w:hyperlink>
      </w:p>
    </w:sdtContent>
  </w:sdt>
</w:hdr>
</file>

<file path=word/header1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4" w:lineRule="auto"/>
      <w:rPr>
        <w:rFonts w:ascii="SimHei" w:hAnsi="SimHei" w:eastAsia="SimHei" w:cs="SimHei"/>
        <w:sz w:val="16"/>
        <w:szCs w:val="16"/>
      </w:rPr>
    </w:pPr>
    <w:r>
      <w:rPr>
        <w:rFonts w:ascii="SimSun" w:hAnsi="SimSun" w:eastAsia="SimSun" w:cs="SimSun"/>
        <w:sz w:val="13"/>
        <w:szCs w:val="13"/>
        <w:spacing w:val="-8"/>
        <w:position w:val="-1"/>
      </w:rPr>
      <w:t>172</w:t>
    </w:r>
    <w:r>
      <w:rPr>
        <w:rFonts w:ascii="SimSun" w:hAnsi="SimSun" w:eastAsia="SimSun" w:cs="SimSun"/>
        <w:sz w:val="13"/>
        <w:szCs w:val="13"/>
        <w:spacing w:val="2"/>
        <w:position w:val="-1"/>
      </w:rPr>
      <w:t xml:space="preserve">                          </w:t>
    </w:r>
    <w:r>
      <w:rPr>
        <w:rFonts w:ascii="SimHei" w:hAnsi="SimHei" w:eastAsia="SimHei" w:cs="SimHei"/>
        <w:sz w:val="16"/>
        <w:szCs w:val="16"/>
        <w:b/>
        <w:bCs/>
        <w:spacing w:val="-8"/>
      </w:rPr>
      <w:t>平台经济——创新、治理与繁荣</w:t>
    </w:r>
  </w:p>
</w:hdr>
</file>

<file path=word/header1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1"/>
        <w:szCs w:val="11"/>
      </w:rPr>
    </w:sdtEndPr>
    <w:sdtContent>
      <w:p>
        <w:pPr>
          <w:ind w:left="1299"/>
          <w:spacing w:line="172" w:lineRule="auto"/>
          <w:rPr>
            <w:rFonts w:ascii="SimSun" w:hAnsi="SimSun" w:eastAsia="SimSun" w:cs="SimSun"/>
            <w:sz w:val="11"/>
            <w:szCs w:val="11"/>
          </w:rPr>
        </w:pPr>
        <w:r>
          <w:rPr>
            <w:rFonts w:ascii="SimHei" w:hAnsi="SimHei" w:eastAsia="SimHei" w:cs="SimHei"/>
            <w:sz w:val="14"/>
            <w:szCs w:val="14"/>
            <w:spacing w:val="9"/>
          </w:rPr>
          <w:t>第四章</w:t>
        </w:r>
        <w:r>
          <w:rPr>
            <w:rFonts w:ascii="SimHei" w:hAnsi="SimHei" w:eastAsia="SimHei" w:cs="SimHei"/>
            <w:sz w:val="14"/>
            <w:szCs w:val="14"/>
            <w:spacing w:val="25"/>
            <w:w w:val="101"/>
          </w:rPr>
          <w:t xml:space="preserve">  </w:t>
        </w:r>
        <w:r>
          <w:rPr>
            <w:rFonts w:ascii="SimHei" w:hAnsi="SimHei" w:eastAsia="SimHei" w:cs="SimHei"/>
            <w:sz w:val="14"/>
            <w:szCs w:val="14"/>
            <w:spacing w:val="9"/>
          </w:rPr>
          <w:t>平台经济对劳动力市场和收入分配的影响</w:t>
        </w:r>
        <w:r>
          <w:rPr>
            <w:rFonts w:ascii="SimHei" w:hAnsi="SimHei" w:eastAsia="SimHei" w:cs="SimHei"/>
            <w:sz w:val="14"/>
            <w:szCs w:val="14"/>
            <w:spacing w:val="9"/>
          </w:rPr>
          <w:t xml:space="preserve">              </w:t>
        </w:r>
        <w:hyperlink w:history="true" w:anchor="bookmark37">
          <w:r>
            <w:rPr>
              <w:rFonts w:ascii="SimSun" w:hAnsi="SimSun" w:eastAsia="SimSun" w:cs="SimSun"/>
              <w:sz w:val="11"/>
              <w:szCs w:val="11"/>
              <w:spacing w:val="8"/>
              <w:position w:val="-1"/>
            </w:rPr>
            <w:t>173</w:t>
          </w:r>
        </w:hyperlink>
      </w:p>
    </w:sdtContent>
  </w:sdt>
</w:hdr>
</file>

<file path=word/header1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2"/>
        <w:szCs w:val="12"/>
        <w:spacing w:val="-4"/>
        <w:position w:val="-1"/>
      </w:rPr>
      <w:t>178                               </w:t>
    </w:r>
    <w:r>
      <w:rPr>
        <w:rFonts w:ascii="SimHei" w:hAnsi="SimHei" w:eastAsia="SimHei" w:cs="SimHei"/>
        <w:sz w:val="16"/>
        <w:szCs w:val="16"/>
        <w:spacing w:val="-4"/>
      </w:rPr>
      <w:t>平台经济——创新、治理与繁荣</w:t>
    </w:r>
  </w:p>
</w:hdr>
</file>

<file path=word/header1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12"/>
          <w:spacing w:line="169" w:lineRule="auto"/>
          <w:rPr>
            <w:rFonts w:ascii="SimSun" w:hAnsi="SimSun" w:eastAsia="SimSun" w:cs="SimSun"/>
            <w:sz w:val="12"/>
            <w:szCs w:val="12"/>
          </w:rPr>
        </w:pPr>
        <w:r>
          <w:rPr>
            <w:rFonts w:ascii="SimHei" w:hAnsi="SimHei" w:eastAsia="SimHei" w:cs="SimHei"/>
            <w:sz w:val="16"/>
            <w:szCs w:val="16"/>
            <w:b/>
            <w:bCs/>
            <w:spacing w:val="-5"/>
          </w:rPr>
          <w:t>第五章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平台经济和国家治理</w:t>
        </w:r>
        <w:r>
          <w:rPr>
            <w:rFonts w:ascii="SimHei" w:hAnsi="SimHei" w:eastAsia="SimHei" w:cs="SimHei"/>
            <w:sz w:val="16"/>
            <w:szCs w:val="16"/>
            <w:spacing w:val="-5"/>
          </w:rPr>
          <w:t xml:space="preserve">                       </w:t>
        </w:r>
        <w:hyperlink w:history="true" w:anchor="bookmark38">
          <w:r>
            <w:rPr>
              <w:rFonts w:ascii="SimSun" w:hAnsi="SimSun" w:eastAsia="SimSun" w:cs="SimSun"/>
              <w:sz w:val="12"/>
              <w:szCs w:val="12"/>
              <w:spacing w:val="-6"/>
              <w:position w:val="-2"/>
            </w:rPr>
            <w:t>179</w:t>
          </w:r>
        </w:hyperlink>
      </w:p>
    </w:sdtContent>
  </w:sdt>
</w:hdr>
</file>

<file path=word/header1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7"/>
        <w:position w:val="-2"/>
      </w:rPr>
      <w:t>180</w:t>
    </w:r>
    <w:r>
      <w:rPr>
        <w:rFonts w:ascii="SimSun" w:hAnsi="SimSun" w:eastAsia="SimSun" w:cs="SimSun"/>
        <w:sz w:val="12"/>
        <w:szCs w:val="12"/>
        <w:spacing w:val="1"/>
        <w:position w:val="-2"/>
      </w:rPr>
      <w:t xml:space="preserve">                             </w:t>
    </w:r>
    <w:r>
      <w:rPr>
        <w:rFonts w:ascii="SimHei" w:hAnsi="SimHei" w:eastAsia="SimHei" w:cs="SimHei"/>
        <w:sz w:val="16"/>
        <w:szCs w:val="16"/>
        <w:spacing w:val="-7"/>
      </w:rPr>
      <w:t>平台经济——创新、治理与繁荣</w:t>
    </w:r>
  </w:p>
</w:hdr>
</file>

<file path=word/header1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12"/>
          <w:spacing w:line="169" w:lineRule="auto"/>
          <w:rPr>
            <w:rFonts w:ascii="SimSun" w:hAnsi="SimSun" w:eastAsia="SimSun" w:cs="SimSun"/>
            <w:sz w:val="12"/>
            <w:szCs w:val="12"/>
          </w:rPr>
        </w:pPr>
        <w:r>
          <w:rPr>
            <w:rFonts w:ascii="SimHei" w:hAnsi="SimHei" w:eastAsia="SimHei" w:cs="SimHei"/>
            <w:sz w:val="16"/>
            <w:szCs w:val="16"/>
            <w:b/>
            <w:bCs/>
            <w:spacing w:val="-5"/>
          </w:rPr>
          <w:t>第五章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平台经济和国家治理</w:t>
        </w:r>
        <w:r>
          <w:rPr>
            <w:rFonts w:ascii="SimHei" w:hAnsi="SimHei" w:eastAsia="SimHei" w:cs="SimHei"/>
            <w:sz w:val="16"/>
            <w:szCs w:val="16"/>
            <w:spacing w:val="-5"/>
          </w:rPr>
          <w:t xml:space="preserve">                       </w:t>
        </w:r>
        <w:hyperlink w:history="true" w:anchor="bookmark39">
          <w:r>
            <w:rPr>
              <w:rFonts w:ascii="SimSun" w:hAnsi="SimSun" w:eastAsia="SimSun" w:cs="SimSun"/>
              <w:sz w:val="12"/>
              <w:szCs w:val="12"/>
              <w:spacing w:val="-5"/>
              <w:position w:val="-2"/>
            </w:rPr>
            <w:t>181</w:t>
          </w:r>
        </w:hyperlink>
      </w:p>
    </w:sdtContent>
  </w:sdt>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2"/>
      <w:spacing w:line="174" w:lineRule="auto"/>
      <w:rPr>
        <w:rFonts w:ascii="SimSun" w:hAnsi="SimSun" w:eastAsia="SimSun" w:cs="SimSun"/>
        <w:sz w:val="13"/>
        <w:szCs w:val="13"/>
      </w:rPr>
    </w:pPr>
    <w:r>
      <w:rPr>
        <w:rFonts w:ascii="SimHei" w:hAnsi="SimHei" w:eastAsia="SimHei" w:cs="SimHei"/>
        <w:sz w:val="16"/>
        <w:szCs w:val="16"/>
        <w:b/>
        <w:bCs/>
        <w:spacing w:val="-7"/>
      </w:rPr>
      <w:t>第一章</w:t>
    </w:r>
    <w:r>
      <w:rPr>
        <w:rFonts w:ascii="SimHei" w:hAnsi="SimHei" w:eastAsia="SimHei" w:cs="SimHei"/>
        <w:sz w:val="16"/>
        <w:szCs w:val="16"/>
        <w:spacing w:val="-7"/>
      </w:rPr>
      <w:t xml:space="preserve">  </w:t>
    </w:r>
    <w:r>
      <w:rPr>
        <w:rFonts w:ascii="SimHei" w:hAnsi="SimHei" w:eastAsia="SimHei" w:cs="SimHei"/>
        <w:sz w:val="16"/>
        <w:szCs w:val="16"/>
        <w:b/>
        <w:bCs/>
        <w:spacing w:val="-7"/>
      </w:rPr>
      <w:t>重塑平台经济：走向有序发展与共同富裕</w:t>
    </w:r>
    <w:r>
      <w:rPr>
        <w:rFonts w:ascii="SimHei" w:hAnsi="SimHei" w:eastAsia="SimHei" w:cs="SimHei"/>
        <w:sz w:val="16"/>
        <w:szCs w:val="16"/>
        <w:spacing w:val="1"/>
      </w:rPr>
      <w:t xml:space="preserve">             </w:t>
    </w:r>
    <w:r>
      <w:rPr>
        <w:rFonts w:ascii="SimSun" w:hAnsi="SimSun" w:eastAsia="SimSun" w:cs="SimSun"/>
        <w:sz w:val="13"/>
        <w:szCs w:val="13"/>
        <w:spacing w:val="-7"/>
        <w:position w:val="-1"/>
      </w:rPr>
      <w:t>015</w:t>
    </w:r>
  </w:p>
</w:hdr>
</file>

<file path=word/header1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7"/>
        <w:position w:val="-1"/>
      </w:rPr>
      <w:t>182</w:t>
    </w:r>
    <w:r>
      <w:rPr>
        <w:rFonts w:ascii="SimSun" w:hAnsi="SimSun" w:eastAsia="SimSun" w:cs="SimSun"/>
        <w:sz w:val="12"/>
        <w:szCs w:val="12"/>
        <w:spacing w:val="1"/>
        <w:position w:val="-1"/>
      </w:rPr>
      <w:t xml:space="preserve">                             </w:t>
    </w:r>
    <w:r>
      <w:rPr>
        <w:rFonts w:ascii="SimHei" w:hAnsi="SimHei" w:eastAsia="SimHei" w:cs="SimHei"/>
        <w:sz w:val="16"/>
        <w:szCs w:val="16"/>
        <w:spacing w:val="-7"/>
      </w:rPr>
      <w:t>平台经济——创新、治理与繁荣</w:t>
    </w:r>
  </w:p>
</w:hdr>
</file>

<file path=word/header1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67" w:lineRule="auto"/>
      <w:rPr>
        <w:rFonts w:ascii="SimHei" w:hAnsi="SimHei" w:eastAsia="SimHei" w:cs="SimHei"/>
        <w:sz w:val="16"/>
        <w:szCs w:val="16"/>
      </w:rPr>
    </w:pPr>
    <w:r>
      <w:rPr>
        <w:rFonts w:ascii="SimSun" w:hAnsi="SimSun" w:eastAsia="SimSun" w:cs="SimSun"/>
        <w:sz w:val="12"/>
        <w:szCs w:val="12"/>
        <w:spacing w:val="-6"/>
        <w:position w:val="-2"/>
      </w:rPr>
      <w:t>184</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1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2000"/>
          <w:spacing w:line="179" w:lineRule="auto"/>
          <w:rPr>
            <w:rFonts w:ascii="SimSun" w:hAnsi="SimSun" w:eastAsia="SimSun" w:cs="SimSun"/>
            <w:sz w:val="12"/>
            <w:szCs w:val="12"/>
          </w:rPr>
        </w:pPr>
        <w:r>
          <w:rPr>
            <w:rFonts w:ascii="YouYuan" w:hAnsi="YouYuan" w:eastAsia="YouYuan" w:cs="YouYuan"/>
            <w:sz w:val="16"/>
            <w:szCs w:val="16"/>
          </w:rPr>
          <w:t>第五章</w:t>
        </w:r>
        <w:r>
          <w:rPr>
            <w:rFonts w:ascii="YouYuan" w:hAnsi="YouYuan" w:eastAsia="YouYuan" w:cs="YouYuan"/>
            <w:sz w:val="16"/>
            <w:szCs w:val="16"/>
          </w:rPr>
          <w:t xml:space="preserve"> </w:t>
        </w:r>
        <w:r>
          <w:rPr>
            <w:rFonts w:ascii="YouYuan" w:hAnsi="YouYuan" w:eastAsia="YouYuan" w:cs="YouYuan"/>
            <w:sz w:val="16"/>
            <w:szCs w:val="16"/>
          </w:rPr>
          <w:t>平台经济和国家治理</w:t>
        </w:r>
        <w:r>
          <w:rPr>
            <w:rFonts w:ascii="YouYuan" w:hAnsi="YouYuan" w:eastAsia="YouYuan" w:cs="YouYuan"/>
            <w:sz w:val="16"/>
            <w:szCs w:val="16"/>
          </w:rPr>
          <w:t xml:space="preserve">              </w:t>
        </w:r>
        <w:r>
          <w:rPr>
            <w:rFonts w:ascii="YouYuan" w:hAnsi="YouYuan" w:eastAsia="YouYuan" w:cs="YouYuan"/>
            <w:sz w:val="16"/>
            <w:szCs w:val="16"/>
            <w:spacing w:val="-1"/>
          </w:rPr>
          <w:t xml:space="preserve">        </w:t>
        </w:r>
        <w:hyperlink w:history="true" w:anchor="bookmark40">
          <w:r>
            <w:rPr>
              <w:rFonts w:ascii="SimSun" w:hAnsi="SimSun" w:eastAsia="SimSun" w:cs="SimSun"/>
              <w:sz w:val="12"/>
              <w:szCs w:val="12"/>
              <w:spacing w:val="-1"/>
              <w:position w:val="-2"/>
            </w:rPr>
            <w:t>185</w:t>
          </w:r>
        </w:hyperlink>
      </w:p>
    </w:sdtContent>
  </w:sdt>
</w:hdr>
</file>

<file path=word/header1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4" w:lineRule="auto"/>
      <w:rPr>
        <w:rFonts w:ascii="YouYuan" w:hAnsi="YouYuan" w:eastAsia="YouYuan" w:cs="YouYuan"/>
        <w:sz w:val="15"/>
        <w:szCs w:val="15"/>
      </w:rPr>
    </w:pPr>
    <w:r>
      <w:rPr>
        <w:rFonts w:ascii="SimSun" w:hAnsi="SimSun" w:eastAsia="SimSun" w:cs="SimSun"/>
        <w:sz w:val="12"/>
        <w:szCs w:val="12"/>
        <w:spacing w:val="1"/>
        <w:position w:val="-3"/>
      </w:rPr>
      <w:t>186                             </w:t>
    </w:r>
    <w:r>
      <w:rPr>
        <w:rFonts w:ascii="YouYuan" w:hAnsi="YouYuan" w:eastAsia="YouYuan" w:cs="YouYuan"/>
        <w:sz w:val="15"/>
        <w:szCs w:val="15"/>
        <w:spacing w:val="1"/>
      </w:rPr>
      <w:t>平台经济——创新、治理与繁荣</w:t>
    </w:r>
  </w:p>
</w:hdr>
</file>

<file path=word/header1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12"/>
          <w:spacing w:line="169" w:lineRule="auto"/>
          <w:rPr>
            <w:rFonts w:ascii="SimSun" w:hAnsi="SimSun" w:eastAsia="SimSun" w:cs="SimSun"/>
            <w:sz w:val="12"/>
            <w:szCs w:val="12"/>
          </w:rPr>
        </w:pPr>
        <w:r>
          <w:rPr>
            <w:rFonts w:ascii="SimHei" w:hAnsi="SimHei" w:eastAsia="SimHei" w:cs="SimHei"/>
            <w:sz w:val="16"/>
            <w:szCs w:val="16"/>
            <w:b/>
            <w:bCs/>
            <w:spacing w:val="-5"/>
          </w:rPr>
          <w:t>第五章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平台经济和国家治理</w:t>
        </w:r>
        <w:r>
          <w:rPr>
            <w:rFonts w:ascii="SimHei" w:hAnsi="SimHei" w:eastAsia="SimHei" w:cs="SimHei"/>
            <w:sz w:val="16"/>
            <w:szCs w:val="16"/>
            <w:spacing w:val="-5"/>
          </w:rPr>
          <w:t xml:space="preserve">                       </w:t>
        </w:r>
        <w:hyperlink w:history="true" w:anchor="bookmark41">
          <w:r>
            <w:rPr>
              <w:rFonts w:ascii="SimSun" w:hAnsi="SimSun" w:eastAsia="SimSun" w:cs="SimSun"/>
              <w:sz w:val="12"/>
              <w:szCs w:val="12"/>
              <w:spacing w:val="-6"/>
              <w:position w:val="-2"/>
            </w:rPr>
            <w:t>187</w:t>
          </w:r>
        </w:hyperlink>
      </w:p>
    </w:sdtContent>
  </w:sdt>
</w:hdr>
</file>

<file path=word/header1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188</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1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7"/>
        <w:szCs w:val="17"/>
      </w:rPr>
      <w:docPartObj>
        <w:docPartGallery w:val="Table of Contents"/>
        <w:docPartUnique/>
      </w:docPartObj>
    </w:sdtPr>
    <w:sdtEndPr>
      <w:rPr>
        <w:rFonts w:ascii="SimSun" w:hAnsi="SimSun" w:eastAsia="SimSun" w:cs="SimSun"/>
        <w:sz w:val="12"/>
        <w:szCs w:val="12"/>
      </w:rPr>
    </w:sdtEndPr>
    <w:sdtContent>
      <w:p>
        <w:pPr>
          <w:ind w:left="2097"/>
          <w:spacing w:line="173" w:lineRule="auto"/>
          <w:rPr>
            <w:rFonts w:ascii="SimSun" w:hAnsi="SimSun" w:eastAsia="SimSun" w:cs="SimSun"/>
            <w:sz w:val="12"/>
            <w:szCs w:val="12"/>
          </w:rPr>
        </w:pPr>
        <w:r>
          <w:rPr>
            <w:rFonts w:ascii="SimHei" w:hAnsi="SimHei" w:eastAsia="SimHei" w:cs="SimHei"/>
            <w:sz w:val="17"/>
            <w:szCs w:val="17"/>
            <w:b/>
            <w:bCs/>
            <w:spacing w:val="-2"/>
          </w:rPr>
          <w:t>第五章平台经济和国家治理</w:t>
        </w:r>
        <w:r>
          <w:rPr>
            <w:rFonts w:ascii="SimHei" w:hAnsi="SimHei" w:eastAsia="SimHei" w:cs="SimHei"/>
            <w:sz w:val="17"/>
            <w:szCs w:val="17"/>
            <w:spacing w:val="-2"/>
          </w:rPr>
          <w:t xml:space="preserve">       </w:t>
        </w:r>
        <w:r>
          <w:rPr>
            <w:rFonts w:ascii="SimHei" w:hAnsi="SimHei" w:eastAsia="SimHei" w:cs="SimHei"/>
            <w:sz w:val="17"/>
            <w:szCs w:val="17"/>
            <w:spacing w:val="-3"/>
          </w:rPr>
          <w:t xml:space="preserve">              </w:t>
        </w:r>
        <w:hyperlink w:history="true" w:anchor="bookmark42">
          <w:r>
            <w:rPr>
              <w:rFonts w:ascii="SimSun" w:hAnsi="SimSun" w:eastAsia="SimSun" w:cs="SimSun"/>
              <w:sz w:val="12"/>
              <w:szCs w:val="12"/>
              <w:spacing w:val="-3"/>
              <w:position w:val="-2"/>
            </w:rPr>
            <w:t>189</w:t>
          </w:r>
        </w:hyperlink>
      </w:p>
    </w:sdtContent>
  </w:sdt>
</w:hdr>
</file>

<file path=word/header1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3"/>
      </w:rPr>
      <w:t>190                              </w:t>
    </w:r>
    <w:r>
      <w:rPr>
        <w:rFonts w:ascii="SimHei" w:hAnsi="SimHei" w:eastAsia="SimHei" w:cs="SimHei"/>
        <w:sz w:val="16"/>
        <w:szCs w:val="16"/>
        <w:spacing w:val="-3"/>
      </w:rPr>
      <w:t>平台经济——创新</w:t>
    </w:r>
    <w:r>
      <w:rPr>
        <w:rFonts w:ascii="SimHei" w:hAnsi="SimHei" w:eastAsia="SimHei" w:cs="SimHei"/>
        <w:sz w:val="16"/>
        <w:szCs w:val="16"/>
        <w:spacing w:val="-4"/>
      </w:rPr>
      <w:t>、治理与繁荣</w:t>
    </w:r>
  </w:p>
</w:hdr>
</file>

<file path=word/header1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00"/>
          <w:spacing w:line="175" w:lineRule="auto"/>
          <w:rPr>
            <w:rFonts w:ascii="SimSun" w:hAnsi="SimSun" w:eastAsia="SimSun" w:cs="SimSun"/>
            <w:sz w:val="12"/>
            <w:szCs w:val="12"/>
          </w:rPr>
        </w:pPr>
        <w:r>
          <w:rPr>
            <w:rFonts w:ascii="SimHei" w:hAnsi="SimHei" w:eastAsia="SimHei" w:cs="SimHei"/>
            <w:sz w:val="16"/>
            <w:szCs w:val="16"/>
            <w:spacing w:val="-4"/>
          </w:rPr>
          <w:t>第五章</w:t>
        </w:r>
        <w:r>
          <w:rPr>
            <w:rFonts w:ascii="SimHei" w:hAnsi="SimHei" w:eastAsia="SimHei" w:cs="SimHei"/>
            <w:sz w:val="16"/>
            <w:szCs w:val="16"/>
            <w:spacing w:val="-4"/>
          </w:rPr>
          <w:t xml:space="preserve">  </w:t>
        </w:r>
        <w:r>
          <w:rPr>
            <w:rFonts w:ascii="SimHei" w:hAnsi="SimHei" w:eastAsia="SimHei" w:cs="SimHei"/>
            <w:sz w:val="16"/>
            <w:szCs w:val="16"/>
            <w:spacing w:val="-4"/>
          </w:rPr>
          <w:t>平台经济和国家治理</w:t>
        </w:r>
        <w:r>
          <w:rPr>
            <w:rFonts w:ascii="SimHei" w:hAnsi="SimHei" w:eastAsia="SimHei" w:cs="SimHei"/>
            <w:sz w:val="16"/>
            <w:szCs w:val="16"/>
            <w:spacing w:val="-4"/>
          </w:rPr>
          <w:t xml:space="preserve">               </w:t>
        </w:r>
        <w:r>
          <w:rPr>
            <w:rFonts w:ascii="SimHei" w:hAnsi="SimHei" w:eastAsia="SimHei" w:cs="SimHei"/>
            <w:sz w:val="16"/>
            <w:szCs w:val="16"/>
            <w:spacing w:val="-5"/>
          </w:rPr>
          <w:t xml:space="preserve">        </w:t>
        </w:r>
        <w:hyperlink w:history="true" w:anchor="bookmark43">
          <w:r>
            <w:rPr>
              <w:rFonts w:ascii="SimSun" w:hAnsi="SimSun" w:eastAsia="SimSun" w:cs="SimSun"/>
              <w:sz w:val="12"/>
              <w:szCs w:val="12"/>
              <w:spacing w:val="-5"/>
            </w:rPr>
            <w:t>191</w:t>
          </w:r>
        </w:hyperlink>
      </w:p>
    </w:sdtContent>
  </w:sdt>
</w:hdr>
</file>

<file path=word/header1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rPr>
      <w:t>192                               </w:t>
    </w:r>
    <w:r>
      <w:rPr>
        <w:rFonts w:ascii="SimHei" w:hAnsi="SimHei" w:eastAsia="SimHei" w:cs="SimHei"/>
        <w:sz w:val="16"/>
        <w:szCs w:val="16"/>
        <w:spacing w:val="-4"/>
      </w:rPr>
      <w:t>平台经济——创新、治理与繁荣</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016                               </w:t>
    </w:r>
    <w:r>
      <w:rPr>
        <w:rFonts w:ascii="SimHei" w:hAnsi="SimHei" w:eastAsia="SimHei" w:cs="SimHei"/>
        <w:sz w:val="16"/>
        <w:szCs w:val="16"/>
        <w:spacing w:val="-4"/>
      </w:rPr>
      <w:t>平台经济——创新、治理与繁荣</w:t>
    </w:r>
  </w:p>
</w:hdr>
</file>

<file path=word/header1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02"/>
          <w:spacing w:line="169" w:lineRule="auto"/>
          <w:rPr>
            <w:rFonts w:ascii="SimSun" w:hAnsi="SimSun" w:eastAsia="SimSun" w:cs="SimSun"/>
            <w:sz w:val="12"/>
            <w:szCs w:val="12"/>
          </w:rPr>
        </w:pPr>
        <w:r>
          <w:rPr>
            <w:rFonts w:ascii="SimHei" w:hAnsi="SimHei" w:eastAsia="SimHei" w:cs="SimHei"/>
            <w:sz w:val="16"/>
            <w:szCs w:val="16"/>
            <w:b/>
            <w:bCs/>
            <w:spacing w:val="-6"/>
          </w:rPr>
          <w:t>第五章</w:t>
        </w:r>
        <w:r>
          <w:rPr>
            <w:rFonts w:ascii="SimHei" w:hAnsi="SimHei" w:eastAsia="SimHei" w:cs="SimHei"/>
            <w:sz w:val="16"/>
            <w:szCs w:val="16"/>
            <w:spacing w:val="-6"/>
          </w:rPr>
          <w:t xml:space="preserve">  </w:t>
        </w:r>
        <w:r>
          <w:rPr>
            <w:rFonts w:ascii="SimHei" w:hAnsi="SimHei" w:eastAsia="SimHei" w:cs="SimHei"/>
            <w:sz w:val="16"/>
            <w:szCs w:val="16"/>
            <w:b/>
            <w:bCs/>
            <w:spacing w:val="-6"/>
          </w:rPr>
          <w:t>平台经济和国家治理</w:t>
        </w:r>
        <w:r>
          <w:rPr>
            <w:rFonts w:ascii="SimHei" w:hAnsi="SimHei" w:eastAsia="SimHei" w:cs="SimHei"/>
            <w:sz w:val="16"/>
            <w:szCs w:val="16"/>
            <w:spacing w:val="3"/>
          </w:rPr>
          <w:t xml:space="preserve">                     </w:t>
        </w:r>
        <w:hyperlink w:history="true" w:anchor="bookmark44">
          <w:r>
            <w:rPr>
              <w:rFonts w:ascii="SimSun" w:hAnsi="SimSun" w:eastAsia="SimSun" w:cs="SimSun"/>
              <w:sz w:val="12"/>
              <w:szCs w:val="12"/>
              <w:spacing w:val="-6"/>
              <w:position w:val="-2"/>
            </w:rPr>
            <w:t>193</w:t>
          </w:r>
        </w:hyperlink>
      </w:p>
    </w:sdtContent>
  </w:sdt>
</w:hdr>
</file>

<file path=word/header1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5"/>
        <w:szCs w:val="15"/>
      </w:rPr>
      <w:docPartObj>
        <w:docPartGallery w:val="Table of Contents"/>
        <w:docPartUnique/>
      </w:docPartObj>
    </w:sdtPr>
    <w:sdtEndPr>
      <w:rPr>
        <w:rFonts w:ascii="SimSun" w:hAnsi="SimSun" w:eastAsia="SimSun" w:cs="SimSun"/>
        <w:sz w:val="12"/>
        <w:szCs w:val="12"/>
      </w:rPr>
    </w:sdtEndPr>
    <w:sdtContent>
      <w:p>
        <w:pPr>
          <w:ind w:left="2002"/>
          <w:spacing w:line="165" w:lineRule="auto"/>
          <w:rPr>
            <w:rFonts w:ascii="SimSun" w:hAnsi="SimSun" w:eastAsia="SimSun" w:cs="SimSun"/>
            <w:sz w:val="12"/>
            <w:szCs w:val="12"/>
          </w:rPr>
        </w:pPr>
        <w:r>
          <w:rPr>
            <w:rFonts w:ascii="SimHei" w:hAnsi="SimHei" w:eastAsia="SimHei" w:cs="SimHei"/>
            <w:sz w:val="15"/>
            <w:szCs w:val="15"/>
            <w:b/>
            <w:bCs/>
          </w:rPr>
          <w:t>第五章</w:t>
        </w:r>
        <w:r>
          <w:rPr>
            <w:rFonts w:ascii="SimHei" w:hAnsi="SimHei" w:eastAsia="SimHei" w:cs="SimHei"/>
            <w:sz w:val="15"/>
            <w:szCs w:val="15"/>
          </w:rPr>
          <w:t xml:space="preserve">  </w:t>
        </w:r>
        <w:r>
          <w:rPr>
            <w:rFonts w:ascii="SimHei" w:hAnsi="SimHei" w:eastAsia="SimHei" w:cs="SimHei"/>
            <w:sz w:val="15"/>
            <w:szCs w:val="15"/>
            <w:b/>
            <w:bCs/>
          </w:rPr>
          <w:t>平台经济和国家治理</w:t>
        </w:r>
        <w:r>
          <w:rPr>
            <w:rFonts w:ascii="SimHei" w:hAnsi="SimHei" w:eastAsia="SimHei" w:cs="SimHei"/>
            <w:sz w:val="15"/>
            <w:szCs w:val="15"/>
            <w:spacing w:val="2"/>
          </w:rPr>
          <w:t xml:space="preserve">                   </w:t>
        </w:r>
        <w:r>
          <w:rPr>
            <w:rFonts w:ascii="SimHei" w:hAnsi="SimHei" w:eastAsia="SimHei" w:cs="SimHei"/>
            <w:sz w:val="15"/>
            <w:szCs w:val="15"/>
            <w:spacing w:val="1"/>
          </w:rPr>
          <w:t xml:space="preserve">    </w:t>
        </w:r>
        <w:hyperlink w:history="true" w:anchor="bookmark45">
          <w:r>
            <w:rPr>
              <w:rFonts w:ascii="SimSun" w:hAnsi="SimSun" w:eastAsia="SimSun" w:cs="SimSun"/>
              <w:sz w:val="12"/>
              <w:szCs w:val="12"/>
              <w:position w:val="-2"/>
            </w:rPr>
            <w:t>195</w:t>
          </w:r>
        </w:hyperlink>
      </w:p>
    </w:sdtContent>
  </w:sdt>
</w:hdr>
</file>

<file path=word/header1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2"/>
        <w:szCs w:val="12"/>
        <w:spacing w:val="-7"/>
        <w:position w:val="-1"/>
      </w:rPr>
      <w:t>196</w:t>
    </w:r>
    <w:r>
      <w:rPr>
        <w:rFonts w:ascii="SimSun" w:hAnsi="SimSun" w:eastAsia="SimSun" w:cs="SimSun"/>
        <w:sz w:val="12"/>
        <w:szCs w:val="12"/>
        <w:spacing w:val="1"/>
        <w:position w:val="-1"/>
      </w:rPr>
      <w:t xml:space="preserve">                             </w:t>
    </w:r>
    <w:r>
      <w:rPr>
        <w:rFonts w:ascii="SimHei" w:hAnsi="SimHei" w:eastAsia="SimHei" w:cs="SimHei"/>
        <w:sz w:val="16"/>
        <w:szCs w:val="16"/>
        <w:spacing w:val="-7"/>
      </w:rPr>
      <w:t>平台经济——创新、治理与繁荣</w:t>
    </w:r>
  </w:p>
</w:hdr>
</file>

<file path=word/header1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992"/>
          <w:spacing w:line="175" w:lineRule="auto"/>
          <w:rPr>
            <w:rFonts w:ascii="SimSun" w:hAnsi="SimSun" w:eastAsia="SimSun" w:cs="SimSun"/>
            <w:sz w:val="12"/>
            <w:szCs w:val="12"/>
          </w:rPr>
        </w:pPr>
        <w:r>
          <w:rPr>
            <w:rFonts w:ascii="SimHei" w:hAnsi="SimHei" w:eastAsia="SimHei" w:cs="SimHei"/>
            <w:sz w:val="16"/>
            <w:szCs w:val="16"/>
            <w:b/>
            <w:bCs/>
            <w:spacing w:val="-4"/>
          </w:rPr>
          <w:t>第五章</w:t>
        </w:r>
        <w:r>
          <w:rPr>
            <w:rFonts w:ascii="SimHei" w:hAnsi="SimHei" w:eastAsia="SimHei" w:cs="SimHei"/>
            <w:sz w:val="16"/>
            <w:szCs w:val="16"/>
            <w:spacing w:val="-4"/>
          </w:rPr>
          <w:t xml:space="preserve">  </w:t>
        </w:r>
        <w:r>
          <w:rPr>
            <w:rFonts w:ascii="SimHei" w:hAnsi="SimHei" w:eastAsia="SimHei" w:cs="SimHei"/>
            <w:sz w:val="16"/>
            <w:szCs w:val="16"/>
            <w:b/>
            <w:bCs/>
            <w:spacing w:val="-4"/>
          </w:rPr>
          <w:t>平台经济和国家治理</w:t>
        </w:r>
        <w:r>
          <w:rPr>
            <w:rFonts w:ascii="SimHei" w:hAnsi="SimHei" w:eastAsia="SimHei" w:cs="SimHei"/>
            <w:sz w:val="16"/>
            <w:szCs w:val="16"/>
            <w:spacing w:val="-4"/>
          </w:rPr>
          <w:t xml:space="preserve">             </w:t>
        </w:r>
        <w:r>
          <w:rPr>
            <w:rFonts w:ascii="SimHei" w:hAnsi="SimHei" w:eastAsia="SimHei" w:cs="SimHei"/>
            <w:sz w:val="16"/>
            <w:szCs w:val="16"/>
            <w:spacing w:val="-5"/>
          </w:rPr>
          <w:t xml:space="preserve">          </w:t>
        </w:r>
        <w:hyperlink w:history="true" w:anchor="bookmark46">
          <w:r>
            <w:rPr>
              <w:rFonts w:ascii="SimSun" w:hAnsi="SimSun" w:eastAsia="SimSun" w:cs="SimSun"/>
              <w:sz w:val="12"/>
              <w:szCs w:val="12"/>
              <w:spacing w:val="-5"/>
              <w:position w:val="-1"/>
            </w:rPr>
            <w:t>197</w:t>
          </w:r>
        </w:hyperlink>
      </w:p>
    </w:sdtContent>
  </w:sdt>
</w:hdr>
</file>

<file path=word/header1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Hei" w:hAnsi="SimHei" w:eastAsia="SimHei" w:cs="SimHei"/>
        <w:sz w:val="16"/>
        <w:szCs w:val="16"/>
      </w:rPr>
    </w:pPr>
    <w:r>
      <w:rPr>
        <w:rFonts w:ascii="SimSun" w:hAnsi="SimSun" w:eastAsia="SimSun" w:cs="SimSun"/>
        <w:sz w:val="12"/>
        <w:szCs w:val="12"/>
        <w:b/>
        <w:bCs/>
        <w:spacing w:val="-7"/>
        <w:position w:val="-2"/>
      </w:rPr>
      <w:t>198</w:t>
    </w:r>
    <w:r>
      <w:rPr>
        <w:rFonts w:ascii="SimSun" w:hAnsi="SimSun" w:eastAsia="SimSun" w:cs="SimSun"/>
        <w:sz w:val="12"/>
        <w:szCs w:val="12"/>
        <w:spacing w:val="1"/>
        <w:position w:val="-2"/>
      </w:rPr>
      <w:t xml:space="preserve">                           </w:t>
    </w:r>
    <w:r>
      <w:rPr>
        <w:rFonts w:ascii="SimSun" w:hAnsi="SimSun" w:eastAsia="SimSun" w:cs="SimSun"/>
        <w:sz w:val="12"/>
        <w:szCs w:val="12"/>
        <w:position w:val="-2"/>
      </w:rPr>
      <w:t xml:space="preserve">  </w:t>
    </w:r>
    <w:r>
      <w:rPr>
        <w:rFonts w:ascii="SimHei" w:hAnsi="SimHei" w:eastAsia="SimHei" w:cs="SimHei"/>
        <w:sz w:val="16"/>
        <w:szCs w:val="16"/>
        <w:spacing w:val="-7"/>
      </w:rPr>
      <w:t>平台经济——创新、治理与繁荣</w:t>
    </w:r>
  </w:p>
</w:hdr>
</file>

<file path=word/header1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202                       </w:t>
    </w:r>
    <w:r>
      <w:rPr>
        <w:rFonts w:ascii="SimSun" w:hAnsi="SimSun" w:eastAsia="SimSun" w:cs="SimSun"/>
        <w:sz w:val="12"/>
        <w:szCs w:val="12"/>
        <w:spacing w:val="-4"/>
        <w:position w:val="-1"/>
      </w:rPr>
      <w:t xml:space="preserve">        </w:t>
    </w:r>
    <w:r>
      <w:rPr>
        <w:rFonts w:ascii="SimHei" w:hAnsi="SimHei" w:eastAsia="SimHei" w:cs="SimHei"/>
        <w:sz w:val="16"/>
        <w:szCs w:val="16"/>
        <w:spacing w:val="-4"/>
      </w:rPr>
      <w:t>平台经济——创新、治理与繁荣</w:t>
    </w:r>
  </w:p>
</w:hdr>
</file>

<file path=word/header1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1"/>
        <w:szCs w:val="11"/>
      </w:rPr>
    </w:sdtEndPr>
    <w:sdtContent>
      <w:p>
        <w:pPr>
          <w:ind w:left="1632"/>
          <w:spacing w:line="175" w:lineRule="auto"/>
          <w:rPr>
            <w:rFonts w:ascii="SimSun" w:hAnsi="SimSun" w:eastAsia="SimSun" w:cs="SimSun"/>
            <w:sz w:val="11"/>
            <w:szCs w:val="11"/>
          </w:rPr>
        </w:pPr>
        <w:r>
          <w:rPr>
            <w:rFonts w:ascii="SimHei" w:hAnsi="SimHei" w:eastAsia="SimHei" w:cs="SimHei"/>
            <w:sz w:val="16"/>
            <w:szCs w:val="16"/>
            <w:b/>
            <w:bCs/>
            <w:spacing w:val="-5"/>
          </w:rPr>
          <w:t>第六章</w:t>
        </w:r>
        <w:r>
          <w:rPr>
            <w:rFonts w:ascii="SimHei" w:hAnsi="SimHei" w:eastAsia="SimHei" w:cs="SimHei"/>
            <w:sz w:val="16"/>
            <w:szCs w:val="16"/>
            <w:spacing w:val="-5"/>
          </w:rPr>
          <w:t xml:space="preserve">  </w:t>
        </w:r>
        <w:r>
          <w:rPr>
            <w:rFonts w:ascii="SimHei" w:hAnsi="SimHei" w:eastAsia="SimHei" w:cs="SimHei"/>
            <w:sz w:val="16"/>
            <w:szCs w:val="16"/>
            <w:b/>
            <w:bCs/>
            <w:spacing w:val="-5"/>
          </w:rPr>
          <w:t>数字金融平台的创新发展与监管</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47">
          <w:r>
            <w:rPr>
              <w:rFonts w:ascii="SimSun" w:hAnsi="SimSun" w:eastAsia="SimSun" w:cs="SimSun"/>
              <w:sz w:val="11"/>
              <w:szCs w:val="11"/>
              <w:spacing w:val="-6"/>
            </w:rPr>
            <w:t>203</w:t>
          </w:r>
        </w:hyperlink>
      </w:p>
    </w:sdtContent>
  </w:sdt>
</w:hdr>
</file>

<file path=word/header1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204</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1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2"/>
          <w:spacing w:line="175" w:lineRule="auto"/>
          <w:rPr>
            <w:rFonts w:ascii="SimSun" w:hAnsi="SimSun" w:eastAsia="SimSun" w:cs="SimSun"/>
            <w:sz w:val="12"/>
            <w:szCs w:val="12"/>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rPr>
          <w:t xml:space="preserve">                 </w:t>
        </w:r>
        <w:hyperlink w:history="true" w:anchor="bookmark48">
          <w:r>
            <w:rPr>
              <w:rFonts w:ascii="SimSun" w:hAnsi="SimSun" w:eastAsia="SimSun" w:cs="SimSun"/>
              <w:sz w:val="12"/>
              <w:szCs w:val="12"/>
              <w:spacing w:val="-7"/>
              <w:position w:val="-1"/>
            </w:rPr>
            <w:t>205</w:t>
          </w:r>
        </w:hyperlink>
      </w:p>
    </w:sdtContent>
  </w:sdt>
</w:hdr>
</file>

<file path=word/header1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50"/>
      <w:spacing w:line="164" w:lineRule="auto"/>
      <w:rPr>
        <w:rFonts w:ascii="SimHei" w:hAnsi="SimHei" w:eastAsia="SimHei" w:cs="SimHei"/>
        <w:sz w:val="16"/>
        <w:szCs w:val="16"/>
      </w:rPr>
    </w:pPr>
    <w:r>
      <w:rPr>
        <w:rFonts w:ascii="SimSun" w:hAnsi="SimSun" w:eastAsia="SimSun" w:cs="SimSun"/>
        <w:sz w:val="13"/>
        <w:szCs w:val="13"/>
        <w:spacing w:val="-3"/>
        <w:position w:val="-2"/>
      </w:rPr>
      <w:t>206                         </w:t>
    </w:r>
    <w:r>
      <w:rPr>
        <w:rFonts w:ascii="SimSun" w:hAnsi="SimSun" w:eastAsia="SimSun" w:cs="SimSun"/>
        <w:sz w:val="13"/>
        <w:szCs w:val="13"/>
        <w:spacing w:val="-4"/>
        <w:position w:val="-2"/>
      </w:rPr>
      <w:t xml:space="preserve">   </w:t>
    </w:r>
    <w:r>
      <w:rPr>
        <w:rFonts w:ascii="SimHei" w:hAnsi="SimHei" w:eastAsia="SimHei" w:cs="SimHei"/>
        <w:sz w:val="16"/>
        <w:szCs w:val="16"/>
        <w:spacing w:val="-4"/>
      </w:rPr>
      <w:t>平台经济——创新、治理与繁荣</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020                               </w:t>
    </w:r>
    <w:r>
      <w:rPr>
        <w:rFonts w:ascii="SimHei" w:hAnsi="SimHei" w:eastAsia="SimHei" w:cs="SimHei"/>
        <w:sz w:val="16"/>
        <w:szCs w:val="16"/>
        <w:spacing w:val="-4"/>
      </w:rPr>
      <w:t>平台经济——创新、治理与繁荣</w:t>
    </w:r>
  </w:p>
</w:hdr>
</file>

<file path=word/header1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2"/>
          <w:spacing w:line="175" w:lineRule="auto"/>
          <w:rPr>
            <w:rFonts w:ascii="SimSun" w:hAnsi="SimSun" w:eastAsia="SimSun" w:cs="SimSun"/>
            <w:sz w:val="12"/>
            <w:szCs w:val="12"/>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spacing w:val="4"/>
          </w:rPr>
          <w:t xml:space="preserve">                </w:t>
        </w:r>
        <w:hyperlink w:history="true" w:anchor="bookmark49">
          <w:r>
            <w:rPr>
              <w:rFonts w:ascii="SimSun" w:hAnsi="SimSun" w:eastAsia="SimSun" w:cs="SimSun"/>
              <w:sz w:val="12"/>
              <w:szCs w:val="12"/>
              <w:spacing w:val="-7"/>
            </w:rPr>
            <w:t>207</w:t>
          </w:r>
        </w:hyperlink>
      </w:p>
    </w:sdtContent>
  </w:sdt>
</w:hdr>
</file>

<file path=word/header1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2"/>
        <w:szCs w:val="12"/>
        <w:spacing w:val="-6"/>
        <w:position w:val="-1"/>
      </w:rPr>
      <w:t>208</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1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32"/>
          <w:spacing w:line="170" w:lineRule="auto"/>
          <w:rPr>
            <w:rFonts w:ascii="SimSun" w:hAnsi="SimSun" w:eastAsia="SimSun" w:cs="SimSun"/>
            <w:sz w:val="12"/>
            <w:szCs w:val="12"/>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spacing w:val="4"/>
          </w:rPr>
          <w:t xml:space="preserve">                </w:t>
        </w:r>
        <w:hyperlink w:history="true" w:anchor="bookmark50">
          <w:r>
            <w:rPr>
              <w:rFonts w:ascii="SimSun" w:hAnsi="SimSun" w:eastAsia="SimSun" w:cs="SimSun"/>
              <w:sz w:val="12"/>
              <w:szCs w:val="12"/>
              <w:spacing w:val="-7"/>
              <w:position w:val="-2"/>
            </w:rPr>
            <w:t>209</w:t>
          </w:r>
        </w:hyperlink>
      </w:p>
    </w:sdtContent>
  </w:sdt>
</w:hdr>
</file>

<file path=word/header1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Hei" w:hAnsi="SimHei" w:eastAsia="SimHei" w:cs="SimHei"/>
        <w:sz w:val="15"/>
        <w:szCs w:val="15"/>
      </w:rPr>
    </w:pPr>
    <w:r>
      <w:rPr>
        <w:rFonts w:ascii="SimSun" w:hAnsi="SimSun" w:eastAsia="SimSun" w:cs="SimSun"/>
        <w:sz w:val="12"/>
        <w:szCs w:val="12"/>
        <w:spacing w:val="2"/>
        <w:position w:val="-1"/>
      </w:rPr>
      <w:t>210                            </w:t>
    </w:r>
    <w:r>
      <w:rPr>
        <w:rFonts w:ascii="SimSun" w:hAnsi="SimSun" w:eastAsia="SimSun" w:cs="SimSun"/>
        <w:sz w:val="12"/>
        <w:szCs w:val="12"/>
        <w:spacing w:val="1"/>
        <w:position w:val="-1"/>
      </w:rPr>
      <w:t xml:space="preserve"> </w:t>
    </w:r>
    <w:r>
      <w:rPr>
        <w:rFonts w:ascii="SimHei" w:hAnsi="SimHei" w:eastAsia="SimHei" w:cs="SimHei"/>
        <w:sz w:val="15"/>
        <w:szCs w:val="15"/>
        <w:spacing w:val="1"/>
      </w:rPr>
      <w:t>平台经济——创新、治理与繁荣</w:t>
    </w:r>
  </w:p>
</w:hdr>
</file>

<file path=word/header1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12"/>
          <w:spacing w:line="175" w:lineRule="auto"/>
          <w:rPr>
            <w:rFonts w:ascii="SimSun" w:hAnsi="SimSun" w:eastAsia="SimSun" w:cs="SimSun"/>
            <w:sz w:val="13"/>
            <w:szCs w:val="13"/>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rPr>
          <w:t xml:space="preserve">                 </w:t>
        </w:r>
        <w:hyperlink w:history="true" w:anchor="bookmark51">
          <w:r>
            <w:rPr>
              <w:rFonts w:ascii="SimSun" w:hAnsi="SimSun" w:eastAsia="SimSun" w:cs="SimSun"/>
              <w:sz w:val="13"/>
              <w:szCs w:val="13"/>
              <w:spacing w:val="-7"/>
            </w:rPr>
            <w:t>211</w:t>
          </w:r>
        </w:hyperlink>
      </w:p>
    </w:sdtContent>
  </w:sdt>
</w:hdr>
</file>

<file path=word/header1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212                       </w:t>
    </w:r>
    <w:r>
      <w:rPr>
        <w:rFonts w:ascii="SimSun" w:hAnsi="SimSun" w:eastAsia="SimSun" w:cs="SimSun"/>
        <w:sz w:val="12"/>
        <w:szCs w:val="12"/>
        <w:spacing w:val="-4"/>
        <w:position w:val="-1"/>
      </w:rPr>
      <w:t xml:space="preserve">        </w:t>
    </w:r>
    <w:r>
      <w:rPr>
        <w:rFonts w:ascii="SimHei" w:hAnsi="SimHei" w:eastAsia="SimHei" w:cs="SimHei"/>
        <w:sz w:val="16"/>
        <w:szCs w:val="16"/>
        <w:spacing w:val="-4"/>
      </w:rPr>
      <w:t>平台经济——创新、治理与繁荣</w:t>
    </w:r>
  </w:p>
</w:hdr>
</file>

<file path=word/header1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2"/>
          <w:spacing w:line="170" w:lineRule="auto"/>
          <w:rPr>
            <w:rFonts w:ascii="SimSun" w:hAnsi="SimSun" w:eastAsia="SimSun" w:cs="SimSun"/>
            <w:sz w:val="12"/>
            <w:szCs w:val="12"/>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rPr>
          <w:t xml:space="preserve">                 </w:t>
        </w:r>
        <w:hyperlink w:history="true" w:anchor="bookmark52">
          <w:r>
            <w:rPr>
              <w:rFonts w:ascii="SimSun" w:hAnsi="SimSun" w:eastAsia="SimSun" w:cs="SimSun"/>
              <w:sz w:val="12"/>
              <w:szCs w:val="12"/>
              <w:spacing w:val="-7"/>
              <w:position w:val="-2"/>
            </w:rPr>
            <w:t>213</w:t>
          </w:r>
        </w:hyperlink>
      </w:p>
    </w:sdtContent>
  </w:sdt>
</w:hdr>
</file>

<file path=word/header1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Hei" w:hAnsi="SimHei" w:eastAsia="SimHei" w:cs="SimHei"/>
        <w:sz w:val="16"/>
        <w:szCs w:val="16"/>
      </w:rPr>
    </w:pPr>
    <w:r>
      <w:rPr>
        <w:rFonts w:ascii="SimSun" w:hAnsi="SimSun" w:eastAsia="SimSun" w:cs="SimSun"/>
        <w:sz w:val="12"/>
        <w:szCs w:val="12"/>
        <w:spacing w:val="-4"/>
        <w:position w:val="-2"/>
      </w:rPr>
      <w:t>214                               </w:t>
    </w:r>
    <w:r>
      <w:rPr>
        <w:rFonts w:ascii="SimHei" w:hAnsi="SimHei" w:eastAsia="SimHei" w:cs="SimHei"/>
        <w:sz w:val="16"/>
        <w:szCs w:val="16"/>
        <w:spacing w:val="-4"/>
      </w:rPr>
      <w:t>平台经济——创新、治理与繁荣</w:t>
    </w:r>
  </w:p>
</w:hdr>
</file>

<file path=word/header1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592"/>
          <w:spacing w:line="170" w:lineRule="auto"/>
          <w:rPr>
            <w:rFonts w:ascii="SimSun" w:hAnsi="SimSun" w:eastAsia="SimSun" w:cs="SimSun"/>
            <w:sz w:val="12"/>
            <w:szCs w:val="12"/>
          </w:rPr>
        </w:pPr>
        <w:r>
          <w:rPr>
            <w:rFonts w:ascii="SimHei" w:hAnsi="SimHei" w:eastAsia="SimHei" w:cs="SimHei"/>
            <w:sz w:val="16"/>
            <w:szCs w:val="16"/>
            <w:b/>
            <w:bCs/>
            <w:spacing w:val="-2"/>
          </w:rPr>
          <w:t>第六章</w:t>
        </w:r>
        <w:r>
          <w:rPr>
            <w:rFonts w:ascii="SimHei" w:hAnsi="SimHei" w:eastAsia="SimHei" w:cs="SimHei"/>
            <w:sz w:val="16"/>
            <w:szCs w:val="16"/>
            <w:spacing w:val="-2"/>
          </w:rPr>
          <w:t xml:space="preserve"> </w:t>
        </w:r>
        <w:r>
          <w:rPr>
            <w:rFonts w:ascii="SimHei" w:hAnsi="SimHei" w:eastAsia="SimHei" w:cs="SimHei"/>
            <w:sz w:val="16"/>
            <w:szCs w:val="16"/>
            <w:b/>
            <w:bCs/>
            <w:spacing w:val="-2"/>
          </w:rPr>
          <w:t>数字金融平台的创新发展与监管</w:t>
        </w:r>
        <w:r>
          <w:rPr>
            <w:rFonts w:ascii="SimHei" w:hAnsi="SimHei" w:eastAsia="SimHei" w:cs="SimHei"/>
            <w:sz w:val="16"/>
            <w:szCs w:val="16"/>
            <w:spacing w:val="-2"/>
          </w:rPr>
          <w:t xml:space="preserve">                 </w:t>
        </w:r>
        <w:hyperlink w:history="true" w:anchor="bookmark53">
          <w:r>
            <w:rPr>
              <w:rFonts w:ascii="SimSun" w:hAnsi="SimSun" w:eastAsia="SimSun" w:cs="SimSun"/>
              <w:sz w:val="12"/>
              <w:szCs w:val="12"/>
              <w:spacing w:val="-2"/>
              <w:position w:val="-2"/>
            </w:rPr>
            <w:t>215</w:t>
          </w:r>
        </w:hyperlink>
      </w:p>
    </w:sdtContent>
  </w:sdt>
</w:hdr>
</file>

<file path=word/header1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216                       </w:t>
    </w:r>
    <w:r>
      <w:rPr>
        <w:rFonts w:ascii="SimSun" w:hAnsi="SimSun" w:eastAsia="SimSun" w:cs="SimSun"/>
        <w:sz w:val="12"/>
        <w:szCs w:val="12"/>
        <w:spacing w:val="-4"/>
        <w:position w:val="-1"/>
      </w:rPr>
      <w:t xml:space="preserve">        </w:t>
    </w:r>
    <w:r>
      <w:rPr>
        <w:rFonts w:ascii="SimHei" w:hAnsi="SimHei" w:eastAsia="SimHei" w:cs="SimHei"/>
        <w:sz w:val="16"/>
        <w:szCs w:val="16"/>
        <w:spacing w:val="-4"/>
      </w:rPr>
      <w:t>平台经济——创新、治理与繁荣</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17"/>
      <w:spacing w:line="174" w:lineRule="auto"/>
      <w:rPr>
        <w:rFonts w:ascii="SimSun" w:hAnsi="SimSun" w:eastAsia="SimSun" w:cs="SimSun"/>
        <w:sz w:val="13"/>
        <w:szCs w:val="13"/>
      </w:rPr>
    </w:pPr>
    <w:r>
      <w:rPr>
        <w:rFonts w:ascii="SimHei" w:hAnsi="SimHei" w:eastAsia="SimHei" w:cs="SimHei"/>
        <w:sz w:val="16"/>
        <w:szCs w:val="16"/>
        <w:b/>
        <w:bCs/>
        <w:spacing w:val="-7"/>
      </w:rPr>
      <w:t>第一章</w:t>
    </w:r>
    <w:r>
      <w:rPr>
        <w:rFonts w:ascii="SimHei" w:hAnsi="SimHei" w:eastAsia="SimHei" w:cs="SimHei"/>
        <w:sz w:val="16"/>
        <w:szCs w:val="16"/>
        <w:spacing w:val="-7"/>
      </w:rPr>
      <w:t xml:space="preserve">  </w:t>
    </w:r>
    <w:r>
      <w:rPr>
        <w:rFonts w:ascii="SimHei" w:hAnsi="SimHei" w:eastAsia="SimHei" w:cs="SimHei"/>
        <w:sz w:val="16"/>
        <w:szCs w:val="16"/>
        <w:b/>
        <w:bCs/>
        <w:spacing w:val="-7"/>
      </w:rPr>
      <w:t>重塑平台经济：走向有序发展与共同富裕</w:t>
    </w:r>
    <w:r>
      <w:rPr>
        <w:rFonts w:ascii="SimHei" w:hAnsi="SimHei" w:eastAsia="SimHei" w:cs="SimHei"/>
        <w:sz w:val="16"/>
        <w:szCs w:val="16"/>
        <w:spacing w:val="1"/>
      </w:rPr>
      <w:t xml:space="preserve">             </w:t>
    </w:r>
    <w:r>
      <w:rPr>
        <w:rFonts w:ascii="SimSun" w:hAnsi="SimSun" w:eastAsia="SimSun" w:cs="SimSun"/>
        <w:sz w:val="13"/>
        <w:szCs w:val="13"/>
        <w:spacing w:val="-7"/>
        <w:position w:val="-1"/>
      </w:rPr>
      <w:t>021</w:t>
    </w:r>
  </w:p>
</w:hdr>
</file>

<file path=word/header1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02"/>
          <w:spacing w:line="175" w:lineRule="auto"/>
          <w:rPr>
            <w:rFonts w:ascii="SimSun" w:hAnsi="SimSun" w:eastAsia="SimSun" w:cs="SimSun"/>
            <w:sz w:val="12"/>
            <w:szCs w:val="12"/>
          </w:rPr>
        </w:pPr>
        <w:r>
          <w:rPr>
            <w:rFonts w:ascii="SimHei" w:hAnsi="SimHei" w:eastAsia="SimHei" w:cs="SimHei"/>
            <w:sz w:val="16"/>
            <w:szCs w:val="16"/>
            <w:b/>
            <w:bCs/>
            <w:spacing w:val="-5"/>
          </w:rPr>
          <w:t>第六章</w:t>
        </w:r>
        <w:r>
          <w:rPr>
            <w:rFonts w:ascii="SimHei" w:hAnsi="SimHei" w:eastAsia="SimHei" w:cs="SimHei"/>
            <w:sz w:val="16"/>
            <w:szCs w:val="16"/>
            <w:spacing w:val="-5"/>
          </w:rPr>
          <w:t xml:space="preserve">  </w:t>
        </w:r>
        <w:r>
          <w:rPr>
            <w:rFonts w:ascii="SimHei" w:hAnsi="SimHei" w:eastAsia="SimHei" w:cs="SimHei"/>
            <w:sz w:val="16"/>
            <w:szCs w:val="16"/>
            <w:b/>
            <w:bCs/>
            <w:spacing w:val="-5"/>
          </w:rPr>
          <w:t>数字金融平台的创新发展与监管</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54">
          <w:r>
            <w:rPr>
              <w:rFonts w:ascii="SimSun" w:hAnsi="SimSun" w:eastAsia="SimSun" w:cs="SimSun"/>
              <w:sz w:val="12"/>
              <w:szCs w:val="12"/>
              <w:spacing w:val="-6"/>
            </w:rPr>
            <w:t>217</w:t>
          </w:r>
        </w:hyperlink>
      </w:p>
    </w:sdtContent>
  </w:sdt>
</w:hdr>
</file>

<file path=word/header1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4"/>
        <w:position w:val="-2"/>
      </w:rPr>
      <w:t>218                               </w:t>
    </w:r>
    <w:r>
      <w:rPr>
        <w:rFonts w:ascii="SimHei" w:hAnsi="SimHei" w:eastAsia="SimHei" w:cs="SimHei"/>
        <w:sz w:val="16"/>
        <w:szCs w:val="16"/>
        <w:spacing w:val="-4"/>
      </w:rPr>
      <w:t>平台经济——创新、治理与繁荣</w:t>
    </w:r>
  </w:p>
</w:hdr>
</file>

<file path=word/header1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0"/>
          <w:spacing w:line="167" w:lineRule="auto"/>
          <w:rPr>
            <w:rFonts w:ascii="SimSun" w:hAnsi="SimSun" w:eastAsia="SimSun" w:cs="SimSun"/>
            <w:sz w:val="12"/>
            <w:szCs w:val="12"/>
          </w:rPr>
        </w:pPr>
        <w:r>
          <w:rPr>
            <w:rFonts w:ascii="SimHei" w:hAnsi="SimHei" w:eastAsia="SimHei" w:cs="SimHei"/>
            <w:sz w:val="16"/>
            <w:szCs w:val="16"/>
            <w:spacing w:val="-6"/>
          </w:rPr>
          <w:t>第六章</w:t>
        </w:r>
        <w:r>
          <w:rPr>
            <w:rFonts w:ascii="SimHei" w:hAnsi="SimHei" w:eastAsia="SimHei" w:cs="SimHei"/>
            <w:sz w:val="16"/>
            <w:szCs w:val="16"/>
            <w:spacing w:val="-6"/>
          </w:rPr>
          <w:t xml:space="preserve">  </w:t>
        </w:r>
        <w:r>
          <w:rPr>
            <w:rFonts w:ascii="SimHei" w:hAnsi="SimHei" w:eastAsia="SimHei" w:cs="SimHei"/>
            <w:sz w:val="16"/>
            <w:szCs w:val="16"/>
            <w:spacing w:val="-6"/>
          </w:rPr>
          <w:t>数字金融平台的创新发展与监管</w:t>
        </w:r>
        <w:r>
          <w:rPr>
            <w:rFonts w:ascii="SimHei" w:hAnsi="SimHei" w:eastAsia="SimHei" w:cs="SimHei"/>
            <w:sz w:val="16"/>
            <w:szCs w:val="16"/>
          </w:rPr>
          <w:t xml:space="preserve">                 </w:t>
        </w:r>
        <w:hyperlink w:history="true" w:anchor="bookmark55">
          <w:r>
            <w:rPr>
              <w:rFonts w:ascii="SimSun" w:hAnsi="SimSun" w:eastAsia="SimSun" w:cs="SimSun"/>
              <w:sz w:val="12"/>
              <w:szCs w:val="12"/>
              <w:spacing w:val="-6"/>
              <w:position w:val="-2"/>
            </w:rPr>
            <w:t>219</w:t>
          </w:r>
        </w:hyperlink>
      </w:p>
    </w:sdtContent>
  </w:sdt>
</w:hdr>
</file>

<file path=word/header1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220                              </w:t>
    </w:r>
    <w:r>
      <w:rPr>
        <w:rFonts w:ascii="SimHei" w:hAnsi="SimHei" w:eastAsia="SimHei" w:cs="SimHei"/>
        <w:sz w:val="16"/>
        <w:szCs w:val="16"/>
        <w:spacing w:val="-3"/>
      </w:rPr>
      <w:t>平台经济——创新、治理与繁荣</w:t>
    </w:r>
  </w:p>
</w:hdr>
</file>

<file path=word/header1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12"/>
          <w:spacing w:line="174" w:lineRule="auto"/>
          <w:rPr>
            <w:rFonts w:ascii="SimSun" w:hAnsi="SimSun" w:eastAsia="SimSun" w:cs="SimSun"/>
            <w:sz w:val="13"/>
            <w:szCs w:val="13"/>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spacing w:val="1"/>
          </w:rPr>
          <w:t xml:space="preserve">                 </w:t>
        </w:r>
        <w:hyperlink w:history="true" w:anchor="bookmark56">
          <w:r>
            <w:rPr>
              <w:rFonts w:ascii="SimSun" w:hAnsi="SimSun" w:eastAsia="SimSun" w:cs="SimSun"/>
              <w:sz w:val="13"/>
              <w:szCs w:val="13"/>
              <w:spacing w:val="-7"/>
              <w:position w:val="-1"/>
            </w:rPr>
            <w:t>221</w:t>
          </w:r>
        </w:hyperlink>
      </w:p>
    </w:sdtContent>
  </w:sdt>
</w:hdr>
</file>

<file path=word/header1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222</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1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2"/>
          <w:spacing w:line="170" w:lineRule="auto"/>
          <w:rPr>
            <w:rFonts w:ascii="SimSun" w:hAnsi="SimSun" w:eastAsia="SimSun" w:cs="SimSun"/>
            <w:sz w:val="12"/>
            <w:szCs w:val="12"/>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spacing w:val="4"/>
          </w:rPr>
          <w:t xml:space="preserve">                </w:t>
        </w:r>
        <w:hyperlink w:history="true" w:anchor="bookmark57">
          <w:r>
            <w:rPr>
              <w:rFonts w:ascii="SimSun" w:hAnsi="SimSun" w:eastAsia="SimSun" w:cs="SimSun"/>
              <w:sz w:val="12"/>
              <w:szCs w:val="12"/>
              <w:spacing w:val="-7"/>
              <w:position w:val="-2"/>
            </w:rPr>
            <w:t>223</w:t>
          </w:r>
        </w:hyperlink>
      </w:p>
    </w:sdtContent>
  </w:sdt>
</w:hdr>
</file>

<file path=word/header1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Hei" w:hAnsi="SimHei" w:eastAsia="SimHei" w:cs="SimHei"/>
        <w:sz w:val="16"/>
        <w:szCs w:val="16"/>
      </w:rPr>
    </w:pPr>
    <w:r>
      <w:rPr>
        <w:rFonts w:ascii="SimSun" w:hAnsi="SimSun" w:eastAsia="SimSun" w:cs="SimSun"/>
        <w:sz w:val="12"/>
        <w:szCs w:val="12"/>
        <w:spacing w:val="-5"/>
        <w:position w:val="-2"/>
      </w:rPr>
      <w:t>224</w:t>
    </w:r>
    <w:r>
      <w:rPr>
        <w:rFonts w:ascii="SimSun" w:hAnsi="SimSun" w:eastAsia="SimSun" w:cs="SimSun"/>
        <w:sz w:val="12"/>
        <w:szCs w:val="12"/>
        <w:spacing w:val="2"/>
        <w:position w:val="-2"/>
      </w:rPr>
      <w:t xml:space="preserve">                           </w:t>
    </w:r>
    <w:r>
      <w:rPr>
        <w:rFonts w:ascii="SimSun" w:hAnsi="SimSun" w:eastAsia="SimSun" w:cs="SimSun"/>
        <w:sz w:val="12"/>
        <w:szCs w:val="12"/>
        <w:spacing w:val="1"/>
        <w:position w:val="-2"/>
      </w:rPr>
      <w:t xml:space="preserve">  </w:t>
    </w:r>
    <w:r>
      <w:rPr>
        <w:rFonts w:ascii="SimHei" w:hAnsi="SimHei" w:eastAsia="SimHei" w:cs="SimHei"/>
        <w:sz w:val="16"/>
        <w:szCs w:val="16"/>
        <w:spacing w:val="-5"/>
      </w:rPr>
      <w:t>平台经济——创新、治理与繁荣</w:t>
    </w:r>
  </w:p>
</w:hdr>
</file>

<file path=word/header1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717"/>
          <w:spacing w:line="175" w:lineRule="auto"/>
          <w:rPr>
            <w:rFonts w:ascii="SimSun" w:hAnsi="SimSun" w:eastAsia="SimSun" w:cs="SimSun"/>
            <w:sz w:val="12"/>
            <w:szCs w:val="12"/>
          </w:rPr>
        </w:pPr>
        <w:r>
          <w:rPr>
            <w:rFonts w:ascii="SimHei" w:hAnsi="SimHei" w:eastAsia="SimHei" w:cs="SimHei"/>
            <w:sz w:val="16"/>
            <w:szCs w:val="16"/>
            <w:b/>
            <w:bCs/>
            <w:spacing w:val="-6"/>
          </w:rPr>
          <w:t>第六章</w:t>
        </w:r>
        <w:r>
          <w:rPr>
            <w:rFonts w:ascii="SimHei" w:hAnsi="SimHei" w:eastAsia="SimHei" w:cs="SimHei"/>
            <w:sz w:val="16"/>
            <w:szCs w:val="16"/>
            <w:spacing w:val="-6"/>
          </w:rPr>
          <w:t xml:space="preserve">  </w:t>
        </w:r>
        <w:r>
          <w:rPr>
            <w:rFonts w:ascii="SimHei" w:hAnsi="SimHei" w:eastAsia="SimHei" w:cs="SimHei"/>
            <w:sz w:val="16"/>
            <w:szCs w:val="16"/>
            <w:b/>
            <w:bCs/>
            <w:spacing w:val="-6"/>
          </w:rPr>
          <w:t>数字金融平台的创新发展与监管</w:t>
        </w:r>
        <w:r>
          <w:rPr>
            <w:rFonts w:ascii="SimHei" w:hAnsi="SimHei" w:eastAsia="SimHei" w:cs="SimHei"/>
            <w:sz w:val="16"/>
            <w:szCs w:val="16"/>
            <w:spacing w:val="4"/>
          </w:rPr>
          <w:t xml:space="preserve">                </w:t>
        </w:r>
        <w:hyperlink w:history="true" w:anchor="bookmark58">
          <w:r>
            <w:rPr>
              <w:rFonts w:ascii="SimSun" w:hAnsi="SimSun" w:eastAsia="SimSun" w:cs="SimSun"/>
              <w:sz w:val="12"/>
              <w:szCs w:val="12"/>
              <w:spacing w:val="-6"/>
              <w:position w:val="-1"/>
            </w:rPr>
            <w:t>225</w:t>
          </w:r>
        </w:hyperlink>
      </w:p>
    </w:sdtContent>
  </w:sdt>
</w:hdr>
</file>

<file path=word/header1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rPr>
      <w:t>226</w:t>
    </w:r>
    <w:r>
      <w:rPr>
        <w:rFonts w:ascii="SimSun" w:hAnsi="SimSun" w:eastAsia="SimSun" w:cs="SimSun"/>
        <w:sz w:val="12"/>
        <w:szCs w:val="12"/>
        <w:spacing w:val="1"/>
      </w:rPr>
      <w:t xml:space="preserve">                             </w:t>
    </w:r>
    <w:r>
      <w:rPr>
        <w:rFonts w:ascii="SimHei" w:hAnsi="SimHei" w:eastAsia="SimHei" w:cs="SimHei"/>
        <w:sz w:val="16"/>
        <w:szCs w:val="16"/>
        <w:spacing w:val="-6"/>
      </w:rPr>
      <w:t>平台经济——创新、治理与繁荣</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YouYuan" w:hAnsi="YouYuan" w:eastAsia="YouYuan" w:cs="YouYuan"/>
        <w:sz w:val="16"/>
        <w:szCs w:val="16"/>
      </w:rPr>
    </w:pPr>
    <w:r>
      <w:rPr>
        <w:rFonts w:ascii="SimSun" w:hAnsi="SimSun" w:eastAsia="SimSun" w:cs="SimSun"/>
        <w:sz w:val="13"/>
        <w:szCs w:val="13"/>
        <w:spacing w:val="-3"/>
        <w:position w:val="-2"/>
      </w:rPr>
      <w:t>022                        </w:t>
    </w:r>
    <w:r>
      <w:rPr>
        <w:rFonts w:ascii="SimSun" w:hAnsi="SimSun" w:eastAsia="SimSun" w:cs="SimSun"/>
        <w:sz w:val="13"/>
        <w:szCs w:val="13"/>
        <w:spacing w:val="-4"/>
        <w:position w:val="-2"/>
      </w:rPr>
      <w:t xml:space="preserve">    </w:t>
    </w:r>
    <w:r>
      <w:rPr>
        <w:rFonts w:ascii="YouYuan" w:hAnsi="YouYuan" w:eastAsia="YouYuan" w:cs="YouYuan"/>
        <w:sz w:val="16"/>
        <w:szCs w:val="16"/>
        <w:spacing w:val="-4"/>
      </w:rPr>
      <w:t>平台经济——创新、治理与繁荣</w:t>
    </w:r>
  </w:p>
</w:hdr>
</file>

<file path=word/header1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02"/>
          <w:spacing w:line="170" w:lineRule="auto"/>
          <w:rPr>
            <w:rFonts w:ascii="SimSun" w:hAnsi="SimSun" w:eastAsia="SimSun" w:cs="SimSun"/>
            <w:sz w:val="12"/>
            <w:szCs w:val="12"/>
          </w:rPr>
        </w:pPr>
        <w:r>
          <w:rPr>
            <w:rFonts w:ascii="SimHei" w:hAnsi="SimHei" w:eastAsia="SimHei" w:cs="SimHei"/>
            <w:sz w:val="16"/>
            <w:szCs w:val="16"/>
            <w:b/>
            <w:bCs/>
            <w:spacing w:val="-7"/>
          </w:rPr>
          <w:t>第六章</w:t>
        </w:r>
        <w:r>
          <w:rPr>
            <w:rFonts w:ascii="SimHei" w:hAnsi="SimHei" w:eastAsia="SimHei" w:cs="SimHei"/>
            <w:sz w:val="16"/>
            <w:szCs w:val="16"/>
            <w:spacing w:val="-7"/>
          </w:rPr>
          <w:t xml:space="preserve">  </w:t>
        </w:r>
        <w:r>
          <w:rPr>
            <w:rFonts w:ascii="SimHei" w:hAnsi="SimHei" w:eastAsia="SimHei" w:cs="SimHei"/>
            <w:sz w:val="16"/>
            <w:szCs w:val="16"/>
            <w:b/>
            <w:bCs/>
            <w:spacing w:val="-7"/>
          </w:rPr>
          <w:t>数字金融平台的创新发展与监管</w:t>
        </w:r>
        <w:r>
          <w:rPr>
            <w:rFonts w:ascii="SimHei" w:hAnsi="SimHei" w:eastAsia="SimHei" w:cs="SimHei"/>
            <w:sz w:val="16"/>
            <w:szCs w:val="16"/>
          </w:rPr>
          <w:t xml:space="preserve">                 </w:t>
        </w:r>
        <w:hyperlink w:history="true" w:anchor="bookmark59">
          <w:r>
            <w:rPr>
              <w:rFonts w:ascii="SimSun" w:hAnsi="SimSun" w:eastAsia="SimSun" w:cs="SimSun"/>
              <w:sz w:val="12"/>
              <w:szCs w:val="12"/>
              <w:spacing w:val="-7"/>
              <w:position w:val="-2"/>
            </w:rPr>
            <w:t>227</w:t>
          </w:r>
        </w:hyperlink>
      </w:p>
    </w:sdtContent>
  </w:sdt>
</w:hdr>
</file>

<file path=word/header1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2"/>
        <w:szCs w:val="12"/>
        <w:spacing w:val="-6"/>
        <w:position w:val="-1"/>
      </w:rPr>
      <w:t>232</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1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450"/>
          <w:spacing w:line="167" w:lineRule="auto"/>
          <w:rPr>
            <w:rFonts w:ascii="SimSun" w:hAnsi="SimSun" w:eastAsia="SimSun" w:cs="SimSun"/>
            <w:sz w:val="12"/>
            <w:szCs w:val="12"/>
          </w:rPr>
        </w:pPr>
        <w:r>
          <w:rPr>
            <w:rFonts w:ascii="SimHei" w:hAnsi="SimHei" w:eastAsia="SimHei" w:cs="SimHei"/>
            <w:sz w:val="16"/>
            <w:szCs w:val="16"/>
            <w:spacing w:val="-3"/>
          </w:rPr>
          <w:t>第七章</w:t>
        </w:r>
        <w:r>
          <w:rPr>
            <w:rFonts w:ascii="SimHei" w:hAnsi="SimHei" w:eastAsia="SimHei" w:cs="SimHei"/>
            <w:sz w:val="16"/>
            <w:szCs w:val="16"/>
            <w:spacing w:val="-3"/>
          </w:rPr>
          <w:t xml:space="preserve">  </w:t>
        </w:r>
        <w:r>
          <w:rPr>
            <w:rFonts w:ascii="SimHei" w:hAnsi="SimHei" w:eastAsia="SimHei" w:cs="SimHei"/>
            <w:sz w:val="16"/>
            <w:szCs w:val="16"/>
            <w:spacing w:val="-3"/>
          </w:rPr>
          <w:t>数字经济治理：国际政治经济学视角</w:t>
        </w:r>
        <w:r>
          <w:rPr>
            <w:rFonts w:ascii="SimHei" w:hAnsi="SimHei" w:eastAsia="SimHei" w:cs="SimHei"/>
            <w:sz w:val="16"/>
            <w:szCs w:val="16"/>
            <w:spacing w:val="-3"/>
          </w:rPr>
          <w:t xml:space="preserve">               </w:t>
        </w:r>
        <w:hyperlink w:history="true" w:anchor="bookmark60">
          <w:r>
            <w:rPr>
              <w:rFonts w:ascii="SimSun" w:hAnsi="SimSun" w:eastAsia="SimSun" w:cs="SimSun"/>
              <w:sz w:val="12"/>
              <w:szCs w:val="12"/>
              <w:spacing w:val="-3"/>
              <w:position w:val="-2"/>
            </w:rPr>
            <w:t>233</w:t>
          </w:r>
        </w:hyperlink>
      </w:p>
    </w:sdtContent>
  </w:sdt>
</w:hdr>
</file>

<file path=word/header1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Hei" w:hAnsi="SimHei" w:eastAsia="SimHei" w:cs="SimHei"/>
        <w:sz w:val="15"/>
        <w:szCs w:val="15"/>
      </w:rPr>
    </w:pPr>
    <w:r>
      <w:rPr>
        <w:rFonts w:ascii="SimSun" w:hAnsi="SimSun" w:eastAsia="SimSun" w:cs="SimSun"/>
        <w:sz w:val="12"/>
        <w:szCs w:val="12"/>
        <w:spacing w:val="2"/>
        <w:position w:val="-1"/>
      </w:rPr>
      <w:t>234                             </w:t>
    </w:r>
    <w:r>
      <w:rPr>
        <w:rFonts w:ascii="SimHei" w:hAnsi="SimHei" w:eastAsia="SimHei" w:cs="SimHei"/>
        <w:sz w:val="15"/>
        <w:szCs w:val="15"/>
        <w:spacing w:val="2"/>
      </w:rPr>
      <w:t>平台经济——创新、</w:t>
    </w:r>
    <w:r>
      <w:rPr>
        <w:rFonts w:ascii="SimHei" w:hAnsi="SimHei" w:eastAsia="SimHei" w:cs="SimHei"/>
        <w:sz w:val="15"/>
        <w:szCs w:val="15"/>
        <w:spacing w:val="1"/>
      </w:rPr>
      <w:t>治理与繁荣</w:t>
    </w:r>
  </w:p>
</w:hdr>
</file>

<file path=word/header1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462"/>
          <w:spacing w:line="170" w:lineRule="auto"/>
          <w:rPr>
            <w:rFonts w:ascii="SimSun" w:hAnsi="SimSun" w:eastAsia="SimSun" w:cs="SimSun"/>
            <w:sz w:val="12"/>
            <w:szCs w:val="12"/>
          </w:rPr>
        </w:pPr>
        <w:r>
          <w:rPr>
            <w:rFonts w:ascii="YouYuan" w:hAnsi="YouYuan" w:eastAsia="YouYuan" w:cs="YouYuan"/>
            <w:sz w:val="16"/>
            <w:szCs w:val="16"/>
            <w:b/>
            <w:bCs/>
            <w:spacing w:val="-7"/>
          </w:rPr>
          <w:t>第七章</w:t>
        </w:r>
        <w:r>
          <w:rPr>
            <w:rFonts w:ascii="YouYuan" w:hAnsi="YouYuan" w:eastAsia="YouYuan" w:cs="YouYuan"/>
            <w:sz w:val="16"/>
            <w:szCs w:val="16"/>
            <w:spacing w:val="-7"/>
          </w:rPr>
          <w:t xml:space="preserve">  </w:t>
        </w:r>
        <w:r>
          <w:rPr>
            <w:rFonts w:ascii="YouYuan" w:hAnsi="YouYuan" w:eastAsia="YouYuan" w:cs="YouYuan"/>
            <w:sz w:val="16"/>
            <w:szCs w:val="16"/>
            <w:b/>
            <w:bCs/>
            <w:spacing w:val="-7"/>
          </w:rPr>
          <w:t>数字经济治理：国际政治经济学视角</w:t>
        </w:r>
        <w:r>
          <w:rPr>
            <w:rFonts w:ascii="YouYuan" w:hAnsi="YouYuan" w:eastAsia="YouYuan" w:cs="YouYuan"/>
            <w:sz w:val="16"/>
            <w:szCs w:val="16"/>
            <w:spacing w:val="1"/>
          </w:rPr>
          <w:t xml:space="preserve">               </w:t>
        </w:r>
        <w:hyperlink w:history="true" w:anchor="bookmark61">
          <w:r>
            <w:rPr>
              <w:rFonts w:ascii="SimSun" w:hAnsi="SimSun" w:eastAsia="SimSun" w:cs="SimSun"/>
              <w:sz w:val="12"/>
              <w:szCs w:val="12"/>
              <w:spacing w:val="-7"/>
              <w:position w:val="-3"/>
            </w:rPr>
            <w:t>235</w:t>
          </w:r>
        </w:hyperlink>
      </w:p>
    </w:sdtContent>
  </w:sdt>
</w:hdr>
</file>

<file path=word/header1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236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1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482"/>
          <w:spacing w:line="170" w:lineRule="auto"/>
          <w:rPr>
            <w:rFonts w:ascii="SimSun" w:hAnsi="SimSun" w:eastAsia="SimSun" w:cs="SimSun"/>
            <w:sz w:val="12"/>
            <w:szCs w:val="12"/>
          </w:rPr>
        </w:pPr>
        <w:r>
          <w:rPr>
            <w:rFonts w:ascii="SimHei" w:hAnsi="SimHei" w:eastAsia="SimHei" w:cs="SimHei"/>
            <w:sz w:val="16"/>
            <w:szCs w:val="16"/>
            <w:b/>
            <w:bCs/>
            <w:spacing w:val="-4"/>
          </w:rPr>
          <w:t>第七章</w:t>
        </w:r>
        <w:r>
          <w:rPr>
            <w:rFonts w:ascii="SimHei" w:hAnsi="SimHei" w:eastAsia="SimHei" w:cs="SimHei"/>
            <w:sz w:val="16"/>
            <w:szCs w:val="16"/>
            <w:spacing w:val="-4"/>
          </w:rPr>
          <w:t xml:space="preserve">  </w:t>
        </w:r>
        <w:r>
          <w:rPr>
            <w:rFonts w:ascii="SimHei" w:hAnsi="SimHei" w:eastAsia="SimHei" w:cs="SimHei"/>
            <w:sz w:val="16"/>
            <w:szCs w:val="16"/>
            <w:b/>
            <w:bCs/>
            <w:spacing w:val="-4"/>
          </w:rPr>
          <w:t>数字经济治理：国际政治经济学视角</w:t>
        </w:r>
        <w:r>
          <w:rPr>
            <w:rFonts w:ascii="SimHei" w:hAnsi="SimHei" w:eastAsia="SimHei" w:cs="SimHei"/>
            <w:sz w:val="16"/>
            <w:szCs w:val="16"/>
            <w:spacing w:val="-4"/>
          </w:rPr>
          <w:t xml:space="preserve">    </w:t>
        </w:r>
        <w:r>
          <w:rPr>
            <w:rFonts w:ascii="SimHei" w:hAnsi="SimHei" w:eastAsia="SimHei" w:cs="SimHei"/>
            <w:sz w:val="16"/>
            <w:szCs w:val="16"/>
            <w:spacing w:val="-5"/>
          </w:rPr>
          <w:t xml:space="preserve">           </w:t>
        </w:r>
        <w:hyperlink w:history="true" w:anchor="bookmark62">
          <w:r>
            <w:rPr>
              <w:rFonts w:ascii="SimSun" w:hAnsi="SimSun" w:eastAsia="SimSun" w:cs="SimSun"/>
              <w:sz w:val="12"/>
              <w:szCs w:val="12"/>
              <w:spacing w:val="-5"/>
              <w:position w:val="-2"/>
            </w:rPr>
            <w:t>237</w:t>
          </w:r>
        </w:hyperlink>
      </w:p>
    </w:sdtContent>
  </w:sdt>
</w:hdr>
</file>

<file path=word/header1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2"/>
      </w:rPr>
      <w:t>238                       </w:t>
    </w:r>
    <w:r>
      <w:rPr>
        <w:rFonts w:ascii="SimSun" w:hAnsi="SimSun" w:eastAsia="SimSun" w:cs="SimSun"/>
        <w:sz w:val="12"/>
        <w:szCs w:val="12"/>
        <w:spacing w:val="-4"/>
        <w:position w:val="-2"/>
      </w:rPr>
      <w:t xml:space="preserve">        </w:t>
    </w:r>
    <w:r>
      <w:rPr>
        <w:rFonts w:ascii="SimHei" w:hAnsi="SimHei" w:eastAsia="SimHei" w:cs="SimHei"/>
        <w:sz w:val="16"/>
        <w:szCs w:val="16"/>
        <w:spacing w:val="-4"/>
      </w:rPr>
      <w:t>平台经济——创新、治理与繁荣</w:t>
    </w:r>
  </w:p>
</w:hdr>
</file>

<file path=word/header1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442"/>
          <w:spacing w:line="179" w:lineRule="auto"/>
          <w:rPr>
            <w:rFonts w:ascii="SimSun" w:hAnsi="SimSun" w:eastAsia="SimSun" w:cs="SimSun"/>
            <w:sz w:val="12"/>
            <w:szCs w:val="12"/>
          </w:rPr>
        </w:pPr>
        <w:r>
          <w:rPr>
            <w:rFonts w:ascii="YouYuan" w:hAnsi="YouYuan" w:eastAsia="YouYuan" w:cs="YouYuan"/>
            <w:sz w:val="16"/>
            <w:szCs w:val="16"/>
            <w:b/>
            <w:bCs/>
            <w:spacing w:val="-4"/>
          </w:rPr>
          <w:t>第七章</w:t>
        </w:r>
        <w:r>
          <w:rPr>
            <w:rFonts w:ascii="YouYuan" w:hAnsi="YouYuan" w:eastAsia="YouYuan" w:cs="YouYuan"/>
            <w:sz w:val="16"/>
            <w:szCs w:val="16"/>
            <w:spacing w:val="-4"/>
          </w:rPr>
          <w:t xml:space="preserve">  </w:t>
        </w:r>
        <w:r>
          <w:rPr>
            <w:rFonts w:ascii="YouYuan" w:hAnsi="YouYuan" w:eastAsia="YouYuan" w:cs="YouYuan"/>
            <w:sz w:val="16"/>
            <w:szCs w:val="16"/>
            <w:b/>
            <w:bCs/>
            <w:spacing w:val="-4"/>
          </w:rPr>
          <w:t>数字经济治理：国际政治经济学视角</w:t>
        </w:r>
        <w:r>
          <w:rPr>
            <w:rFonts w:ascii="YouYuan" w:hAnsi="YouYuan" w:eastAsia="YouYuan" w:cs="YouYuan"/>
            <w:sz w:val="16"/>
            <w:szCs w:val="16"/>
            <w:spacing w:val="-4"/>
          </w:rPr>
          <w:t xml:space="preserve">               </w:t>
        </w:r>
        <w:hyperlink w:history="true" w:anchor="bookmark63">
          <w:r>
            <w:rPr>
              <w:rFonts w:ascii="SimSun" w:hAnsi="SimSun" w:eastAsia="SimSun" w:cs="SimSun"/>
              <w:sz w:val="12"/>
              <w:szCs w:val="12"/>
              <w:spacing w:val="-4"/>
              <w:position w:val="-2"/>
            </w:rPr>
            <w:t>239</w:t>
          </w:r>
        </w:hyperlink>
      </w:p>
    </w:sdtContent>
  </w:sdt>
</w:hdr>
</file>

<file path=word/header1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6"/>
        <w:position w:val="-3"/>
      </w:rPr>
      <w:t>240</w:t>
    </w:r>
    <w:r>
      <w:rPr>
        <w:rFonts w:ascii="SimSun" w:hAnsi="SimSun" w:eastAsia="SimSun" w:cs="SimSun"/>
        <w:sz w:val="12"/>
        <w:szCs w:val="12"/>
        <w:spacing w:val="1"/>
        <w:position w:val="-3"/>
      </w:rPr>
      <w:t xml:space="preserve">                             </w:t>
    </w:r>
    <w:r>
      <w:rPr>
        <w:rFonts w:ascii="YouYuan" w:hAnsi="YouYuan" w:eastAsia="YouYuan" w:cs="YouYuan"/>
        <w:sz w:val="16"/>
        <w:szCs w:val="16"/>
        <w:spacing w:val="-6"/>
      </w:rPr>
      <w:t>平台经济——创新、治理与繁荣</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30"/>
      <w:spacing w:line="166" w:lineRule="auto"/>
      <w:rPr>
        <w:rFonts w:ascii="SimSun" w:hAnsi="SimSun" w:eastAsia="SimSun" w:cs="SimSun"/>
        <w:sz w:val="12"/>
        <w:szCs w:val="12"/>
      </w:rPr>
    </w:pPr>
    <w:r>
      <w:rPr>
        <w:rFonts w:ascii="SimSun" w:hAnsi="SimSun" w:eastAsia="SimSun" w:cs="SimSun"/>
        <w:sz w:val="16"/>
        <w:szCs w:val="16"/>
        <w:spacing w:val="-6"/>
      </w:rPr>
      <w:t>第一章  重塑平台经济：走向有序发展与共同富裕</w:t>
    </w:r>
    <w:r>
      <w:rPr>
        <w:rFonts w:ascii="SimSun" w:hAnsi="SimSun" w:eastAsia="SimSun" w:cs="SimSun"/>
        <w:sz w:val="16"/>
        <w:szCs w:val="16"/>
      </w:rPr>
      <w:t xml:space="preserve">             </w:t>
    </w:r>
    <w:r>
      <w:rPr>
        <w:rFonts w:ascii="SimSun" w:hAnsi="SimSun" w:eastAsia="SimSun" w:cs="SimSun"/>
        <w:sz w:val="12"/>
        <w:szCs w:val="12"/>
        <w:spacing w:val="-6"/>
        <w:position w:val="-2"/>
      </w:rPr>
      <w:t>023</w:t>
    </w:r>
  </w:p>
</w:hdr>
</file>

<file path=word/header1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575"/>
          <w:spacing w:line="175" w:lineRule="auto"/>
          <w:rPr>
            <w:rFonts w:ascii="SimSun" w:hAnsi="SimSun" w:eastAsia="SimSun" w:cs="SimSun"/>
            <w:sz w:val="12"/>
            <w:szCs w:val="12"/>
          </w:rPr>
        </w:pPr>
        <w:r>
          <w:rPr>
            <w:rFonts w:ascii="SimHei" w:hAnsi="SimHei" w:eastAsia="SimHei" w:cs="SimHei"/>
            <w:sz w:val="16"/>
            <w:szCs w:val="16"/>
            <w:spacing w:val="-3"/>
          </w:rPr>
          <w:t>第七章</w:t>
        </w:r>
        <w:r>
          <w:rPr>
            <w:rFonts w:ascii="SimHei" w:hAnsi="SimHei" w:eastAsia="SimHei" w:cs="SimHei"/>
            <w:sz w:val="16"/>
            <w:szCs w:val="16"/>
            <w:spacing w:val="-3"/>
          </w:rPr>
          <w:t xml:space="preserve">  </w:t>
        </w:r>
        <w:r>
          <w:rPr>
            <w:rFonts w:ascii="SimHei" w:hAnsi="SimHei" w:eastAsia="SimHei" w:cs="SimHei"/>
            <w:sz w:val="16"/>
            <w:szCs w:val="16"/>
            <w:spacing w:val="-3"/>
          </w:rPr>
          <w:t>数字经济治理：国际政治经济学视角</w:t>
        </w:r>
        <w:r>
          <w:rPr>
            <w:rFonts w:ascii="SimHei" w:hAnsi="SimHei" w:eastAsia="SimHei" w:cs="SimHei"/>
            <w:sz w:val="16"/>
            <w:szCs w:val="16"/>
            <w:spacing w:val="-3"/>
          </w:rPr>
          <w:t xml:space="preserve">               </w:t>
        </w:r>
        <w:hyperlink w:history="true" w:anchor="bookmark64">
          <w:r>
            <w:rPr>
              <w:rFonts w:ascii="SimSun" w:hAnsi="SimSun" w:eastAsia="SimSun" w:cs="SimSun"/>
              <w:sz w:val="12"/>
              <w:szCs w:val="12"/>
              <w:spacing w:val="-3"/>
              <w:position w:val="-1"/>
            </w:rPr>
            <w:t>241</w:t>
          </w:r>
        </w:hyperlink>
      </w:p>
    </w:sdtContent>
  </w:sdt>
</w:hdr>
</file>

<file path=word/header1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242</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1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5"/>
        <w:szCs w:val="15"/>
      </w:rPr>
      <w:docPartObj>
        <w:docPartGallery w:val="Table of Contents"/>
        <w:docPartUnique/>
      </w:docPartObj>
    </w:sdtPr>
    <w:sdtEndPr>
      <w:rPr>
        <w:rFonts w:ascii="SimSun" w:hAnsi="SimSun" w:eastAsia="SimSun" w:cs="SimSun"/>
        <w:sz w:val="12"/>
        <w:szCs w:val="12"/>
      </w:rPr>
    </w:sdtEndPr>
    <w:sdtContent>
      <w:p>
        <w:pPr>
          <w:ind w:left="1462"/>
          <w:spacing w:line="173" w:lineRule="auto"/>
          <w:rPr>
            <w:rFonts w:ascii="SimSun" w:hAnsi="SimSun" w:eastAsia="SimSun" w:cs="SimSun"/>
            <w:sz w:val="12"/>
            <w:szCs w:val="12"/>
          </w:rPr>
        </w:pPr>
        <w:r>
          <w:rPr>
            <w:rFonts w:ascii="SimHei" w:hAnsi="SimHei" w:eastAsia="SimHei" w:cs="SimHei"/>
            <w:sz w:val="15"/>
            <w:szCs w:val="15"/>
            <w:b/>
            <w:bCs/>
            <w:spacing w:val="2"/>
          </w:rPr>
          <w:t>第七章</w:t>
        </w:r>
        <w:r>
          <w:rPr>
            <w:rFonts w:ascii="SimHei" w:hAnsi="SimHei" w:eastAsia="SimHei" w:cs="SimHei"/>
            <w:sz w:val="15"/>
            <w:szCs w:val="15"/>
            <w:spacing w:val="2"/>
          </w:rPr>
          <w:t xml:space="preserve">  </w:t>
        </w:r>
        <w:r>
          <w:rPr>
            <w:rFonts w:ascii="SimHei" w:hAnsi="SimHei" w:eastAsia="SimHei" w:cs="SimHei"/>
            <w:sz w:val="15"/>
            <w:szCs w:val="15"/>
            <w:b/>
            <w:bCs/>
            <w:spacing w:val="2"/>
          </w:rPr>
          <w:t>数字经济治理：国际政治经济学视角</w:t>
        </w:r>
        <w:r>
          <w:rPr>
            <w:rFonts w:ascii="SimHei" w:hAnsi="SimHei" w:eastAsia="SimHei" w:cs="SimHei"/>
            <w:sz w:val="15"/>
            <w:szCs w:val="15"/>
          </w:rPr>
          <w:t xml:space="preserve">                </w:t>
        </w:r>
        <w:hyperlink w:history="true" w:anchor="bookmark65">
          <w:r>
            <w:rPr>
              <w:rFonts w:ascii="SimSun" w:hAnsi="SimSun" w:eastAsia="SimSun" w:cs="SimSun"/>
              <w:sz w:val="12"/>
              <w:szCs w:val="12"/>
              <w:spacing w:val="2"/>
              <w:position w:val="-1"/>
            </w:rPr>
            <w:t>243</w:t>
          </w:r>
        </w:hyperlink>
      </w:p>
    </w:sdtContent>
  </w:sdt>
</w:hdr>
</file>

<file path=word/header1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5" w:lineRule="auto"/>
      <w:rPr>
        <w:rFonts w:ascii="SimHei" w:hAnsi="SimHei" w:eastAsia="SimHei" w:cs="SimHei"/>
        <w:sz w:val="14"/>
        <w:szCs w:val="14"/>
      </w:rPr>
    </w:pPr>
    <w:r>
      <w:rPr>
        <w:rFonts w:ascii="SimSun" w:hAnsi="SimSun" w:eastAsia="SimSun" w:cs="SimSun"/>
        <w:sz w:val="10"/>
        <w:szCs w:val="10"/>
        <w:spacing w:val="7"/>
        <w:position w:val="-2"/>
      </w:rPr>
      <w:t>244                                 </w:t>
    </w:r>
    <w:r>
      <w:rPr>
        <w:rFonts w:ascii="SimHei" w:hAnsi="SimHei" w:eastAsia="SimHei" w:cs="SimHei"/>
        <w:sz w:val="14"/>
        <w:szCs w:val="14"/>
        <w:spacing w:val="7"/>
      </w:rPr>
      <w:t>平台经济——创新、治理</w:t>
    </w:r>
    <w:r>
      <w:rPr>
        <w:rFonts w:ascii="SimHei" w:hAnsi="SimHei" w:eastAsia="SimHei" w:cs="SimHei"/>
        <w:sz w:val="14"/>
        <w:szCs w:val="14"/>
        <w:spacing w:val="6"/>
      </w:rPr>
      <w:t>与繁荣</w:t>
    </w:r>
  </w:p>
</w:hdr>
</file>

<file path=word/header1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470"/>
          <w:spacing w:line="167" w:lineRule="auto"/>
          <w:rPr>
            <w:rFonts w:ascii="SimSun" w:hAnsi="SimSun" w:eastAsia="SimSun" w:cs="SimSun"/>
            <w:sz w:val="12"/>
            <w:szCs w:val="12"/>
          </w:rPr>
        </w:pPr>
        <w:r>
          <w:rPr>
            <w:rFonts w:ascii="SimHei" w:hAnsi="SimHei" w:eastAsia="SimHei" w:cs="SimHei"/>
            <w:sz w:val="16"/>
            <w:szCs w:val="16"/>
            <w:spacing w:val="-3"/>
          </w:rPr>
          <w:t>第七章</w:t>
        </w:r>
        <w:r>
          <w:rPr>
            <w:rFonts w:ascii="SimHei" w:hAnsi="SimHei" w:eastAsia="SimHei" w:cs="SimHei"/>
            <w:sz w:val="16"/>
            <w:szCs w:val="16"/>
            <w:spacing w:val="-3"/>
          </w:rPr>
          <w:t xml:space="preserve">  </w:t>
        </w:r>
        <w:r>
          <w:rPr>
            <w:rFonts w:ascii="SimHei" w:hAnsi="SimHei" w:eastAsia="SimHei" w:cs="SimHei"/>
            <w:sz w:val="16"/>
            <w:szCs w:val="16"/>
            <w:spacing w:val="-3"/>
          </w:rPr>
          <w:t>数字经济治理：国际政治经济学视角</w:t>
        </w:r>
        <w:r>
          <w:rPr>
            <w:rFonts w:ascii="SimHei" w:hAnsi="SimHei" w:eastAsia="SimHei" w:cs="SimHei"/>
            <w:sz w:val="16"/>
            <w:szCs w:val="16"/>
            <w:spacing w:val="-3"/>
          </w:rPr>
          <w:t xml:space="preserve">         </w:t>
        </w:r>
        <w:r>
          <w:rPr>
            <w:rFonts w:ascii="SimHei" w:hAnsi="SimHei" w:eastAsia="SimHei" w:cs="SimHei"/>
            <w:sz w:val="16"/>
            <w:szCs w:val="16"/>
            <w:spacing w:val="-4"/>
          </w:rPr>
          <w:t xml:space="preserve">      </w:t>
        </w:r>
        <w:hyperlink w:history="true" w:anchor="bookmark66">
          <w:r>
            <w:rPr>
              <w:rFonts w:ascii="SimSun" w:hAnsi="SimSun" w:eastAsia="SimSun" w:cs="SimSun"/>
              <w:sz w:val="12"/>
              <w:szCs w:val="12"/>
              <w:spacing w:val="-4"/>
              <w:position w:val="-2"/>
            </w:rPr>
            <w:t>245</w:t>
          </w:r>
        </w:hyperlink>
      </w:p>
    </w:sdtContent>
  </w:sdt>
</w:hdr>
</file>

<file path=word/header1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69" w:lineRule="auto"/>
      <w:rPr>
        <w:rFonts w:ascii="YouYuan" w:hAnsi="YouYuan" w:eastAsia="YouYuan" w:cs="YouYuan"/>
        <w:sz w:val="16"/>
        <w:szCs w:val="16"/>
      </w:rPr>
    </w:pPr>
    <w:r>
      <w:rPr>
        <w:rFonts w:ascii="SimSun" w:hAnsi="SimSun" w:eastAsia="SimSun" w:cs="SimSun"/>
        <w:sz w:val="12"/>
        <w:szCs w:val="12"/>
        <w:spacing w:val="-3"/>
        <w:position w:val="-3"/>
      </w:rPr>
      <w:t>246                      </w:t>
    </w:r>
    <w:r>
      <w:rPr>
        <w:rFonts w:ascii="SimSun" w:hAnsi="SimSun" w:eastAsia="SimSun" w:cs="SimSun"/>
        <w:sz w:val="12"/>
        <w:szCs w:val="12"/>
        <w:spacing w:val="-4"/>
        <w:position w:val="-3"/>
      </w:rPr>
      <w:t xml:space="preserve">         </w:t>
    </w:r>
    <w:r>
      <w:rPr>
        <w:rFonts w:ascii="YouYuan" w:hAnsi="YouYuan" w:eastAsia="YouYuan" w:cs="YouYuan"/>
        <w:sz w:val="16"/>
        <w:szCs w:val="16"/>
        <w:spacing w:val="-4"/>
      </w:rPr>
      <w:t>平台经济——创新、治理与繁荣</w:t>
    </w:r>
  </w:p>
</w:hdr>
</file>

<file path=word/header1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82"/>
      <w:spacing w:line="175" w:lineRule="auto"/>
      <w:rPr>
        <w:rFonts w:ascii="SimSun" w:hAnsi="SimSun" w:eastAsia="SimSun" w:cs="SimSun"/>
        <w:sz w:val="13"/>
        <w:szCs w:val="13"/>
      </w:rPr>
    </w:pPr>
    <w:r>
      <w:rPr>
        <w:rFonts w:ascii="SimHei" w:hAnsi="SimHei" w:eastAsia="SimHei" w:cs="SimHei"/>
        <w:sz w:val="16"/>
        <w:szCs w:val="16"/>
        <w:b/>
        <w:bCs/>
        <w:spacing w:val="-6"/>
      </w:rPr>
      <w:t>第七章</w:t>
    </w:r>
    <w:r>
      <w:rPr>
        <w:rFonts w:ascii="SimHei" w:hAnsi="SimHei" w:eastAsia="SimHei" w:cs="SimHei"/>
        <w:sz w:val="16"/>
        <w:szCs w:val="16"/>
        <w:spacing w:val="-6"/>
      </w:rPr>
      <w:t xml:space="preserve">  </w:t>
    </w:r>
    <w:r>
      <w:rPr>
        <w:rFonts w:ascii="SimHei" w:hAnsi="SimHei" w:eastAsia="SimHei" w:cs="SimHei"/>
        <w:sz w:val="16"/>
        <w:szCs w:val="16"/>
        <w:b/>
        <w:bCs/>
        <w:spacing w:val="-6"/>
      </w:rPr>
      <w:t>数字经济治理：国际政治经济学视角</w:t>
    </w:r>
    <w:r>
      <w:rPr>
        <w:rFonts w:ascii="SimHei" w:hAnsi="SimHei" w:eastAsia="SimHei" w:cs="SimHei"/>
        <w:sz w:val="16"/>
        <w:szCs w:val="16"/>
      </w:rPr>
      <w:t xml:space="preserve">               </w:t>
    </w:r>
    <w:r>
      <w:rPr>
        <w:rFonts w:ascii="SimSun" w:hAnsi="SimSun" w:eastAsia="SimSun" w:cs="SimSun"/>
        <w:sz w:val="13"/>
        <w:szCs w:val="13"/>
        <w:spacing w:val="-6"/>
      </w:rPr>
      <w:t>247</w:t>
    </w:r>
  </w:p>
</w:hdr>
</file>

<file path=word/header1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4"/>
        <w:position w:val="-2"/>
      </w:rPr>
      <w:t>248                               </w:t>
    </w:r>
    <w:r>
      <w:rPr>
        <w:rFonts w:ascii="SimHei" w:hAnsi="SimHei" w:eastAsia="SimHei" w:cs="SimHei"/>
        <w:sz w:val="16"/>
        <w:szCs w:val="16"/>
        <w:spacing w:val="-4"/>
      </w:rPr>
      <w:t>平台经济——创新、治理与繁荣</w:t>
    </w:r>
  </w:p>
</w:hdr>
</file>

<file path=word/header1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500"/>
          <w:spacing w:line="175" w:lineRule="auto"/>
          <w:rPr>
            <w:rFonts w:ascii="SimSun" w:hAnsi="SimSun" w:eastAsia="SimSun" w:cs="SimSun"/>
            <w:sz w:val="12"/>
            <w:szCs w:val="12"/>
          </w:rPr>
        </w:pPr>
        <w:r>
          <w:rPr>
            <w:rFonts w:ascii="SimHei" w:hAnsi="SimHei" w:eastAsia="SimHei" w:cs="SimHei"/>
            <w:sz w:val="16"/>
            <w:szCs w:val="16"/>
            <w:spacing w:val="-3"/>
          </w:rPr>
          <w:t>第七章</w:t>
        </w:r>
        <w:r>
          <w:rPr>
            <w:rFonts w:ascii="SimHei" w:hAnsi="SimHei" w:eastAsia="SimHei" w:cs="SimHei"/>
            <w:sz w:val="16"/>
            <w:szCs w:val="16"/>
            <w:spacing w:val="-3"/>
          </w:rPr>
          <w:t xml:space="preserve">  </w:t>
        </w:r>
        <w:r>
          <w:rPr>
            <w:rFonts w:ascii="SimHei" w:hAnsi="SimHei" w:eastAsia="SimHei" w:cs="SimHei"/>
            <w:sz w:val="16"/>
            <w:szCs w:val="16"/>
            <w:spacing w:val="-3"/>
          </w:rPr>
          <w:t>数字经济治理：国际政治经济学视角</w:t>
        </w:r>
        <w:r>
          <w:rPr>
            <w:rFonts w:ascii="SimHei" w:hAnsi="SimHei" w:eastAsia="SimHei" w:cs="SimHei"/>
            <w:sz w:val="16"/>
            <w:szCs w:val="16"/>
            <w:spacing w:val="-3"/>
          </w:rPr>
          <w:t xml:space="preserve">         </w:t>
        </w:r>
        <w:r>
          <w:rPr>
            <w:rFonts w:ascii="SimHei" w:hAnsi="SimHei" w:eastAsia="SimHei" w:cs="SimHei"/>
            <w:sz w:val="16"/>
            <w:szCs w:val="16"/>
            <w:spacing w:val="-4"/>
          </w:rPr>
          <w:t xml:space="preserve">      </w:t>
        </w:r>
        <w:hyperlink w:history="true" w:anchor="bookmark67">
          <w:r>
            <w:rPr>
              <w:rFonts w:ascii="SimSun" w:hAnsi="SimSun" w:eastAsia="SimSun" w:cs="SimSun"/>
              <w:sz w:val="12"/>
              <w:szCs w:val="12"/>
              <w:spacing w:val="-4"/>
              <w:position w:val="-1"/>
            </w:rPr>
            <w:t>249</w:t>
          </w:r>
        </w:hyperlink>
      </w:p>
    </w:sdtContent>
  </w:sdt>
</w:hdr>
</file>

<file path=word/header1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4"/>
        <w:position w:val="-3"/>
      </w:rPr>
      <w:t>250                               </w:t>
    </w:r>
    <w:r>
      <w:rPr>
        <w:rFonts w:ascii="YouYuan" w:hAnsi="YouYuan" w:eastAsia="YouYuan" w:cs="YouYuan"/>
        <w:sz w:val="16"/>
        <w:szCs w:val="16"/>
        <w:spacing w:val="-4"/>
      </w:rPr>
      <w:t>平台经济——创新、治理与繁荣</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6" w:lineRule="auto"/>
      <w:rPr>
        <w:rFonts w:ascii="SimHei" w:hAnsi="SimHei" w:eastAsia="SimHei" w:cs="SimHei"/>
        <w:sz w:val="16"/>
        <w:szCs w:val="16"/>
      </w:rPr>
    </w:pPr>
    <w:r>
      <w:rPr>
        <w:rFonts w:ascii="Times New Roman" w:hAnsi="Times New Roman" w:eastAsia="Times New Roman" w:cs="Times New Roman"/>
        <w:sz w:val="13"/>
        <w:szCs w:val="13"/>
        <w:spacing w:val="-2"/>
        <w:position w:val="-2"/>
      </w:rPr>
      <w:t>VI                                                         </w:t>
    </w:r>
    <w:r>
      <w:rPr>
        <w:rFonts w:ascii="SimHei" w:hAnsi="SimHei" w:eastAsia="SimHei" w:cs="SimHei"/>
        <w:sz w:val="16"/>
        <w:szCs w:val="16"/>
        <w:spacing w:val="-2"/>
      </w:rPr>
      <w:t>平台经济</w:t>
    </w:r>
    <w:r>
      <w:rPr>
        <w:rFonts w:ascii="SimHei" w:hAnsi="SimHei" w:eastAsia="SimHei" w:cs="SimHei"/>
        <w:sz w:val="16"/>
        <w:szCs w:val="16"/>
        <w:spacing w:val="-3"/>
      </w:rPr>
      <w:t>——创新、治理与繁荣</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1"/>
        <w:szCs w:val="11"/>
        <w:spacing w:val="-5"/>
      </w:rPr>
      <w:t>024</w:t>
    </w:r>
    <w:r>
      <w:rPr>
        <w:rFonts w:ascii="SimSun" w:hAnsi="SimSun" w:eastAsia="SimSun" w:cs="SimSun"/>
        <w:sz w:val="11"/>
        <w:szCs w:val="11"/>
        <w:spacing w:val="1"/>
      </w:rPr>
      <w:t xml:space="preserve">                                </w:t>
    </w:r>
    <w:r>
      <w:rPr>
        <w:rFonts w:ascii="SimHei" w:hAnsi="SimHei" w:eastAsia="SimHei" w:cs="SimHei"/>
        <w:sz w:val="16"/>
        <w:szCs w:val="16"/>
        <w:spacing w:val="-5"/>
      </w:rPr>
      <w:t>平台经济——创新、治理与繁荣</w:t>
    </w:r>
  </w:p>
</w:hdr>
</file>

<file path=word/header2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62"/>
      <w:spacing w:line="175" w:lineRule="auto"/>
      <w:rPr>
        <w:rFonts w:ascii="SimSun" w:hAnsi="SimSun" w:eastAsia="SimSun" w:cs="SimSun"/>
        <w:sz w:val="13"/>
        <w:szCs w:val="13"/>
      </w:rPr>
    </w:pPr>
    <w:r>
      <w:rPr>
        <w:rFonts w:ascii="YouYuan" w:hAnsi="YouYuan" w:eastAsia="YouYuan" w:cs="YouYuan"/>
        <w:sz w:val="16"/>
        <w:szCs w:val="16"/>
        <w:b/>
        <w:bCs/>
        <w:spacing w:val="-6"/>
      </w:rPr>
      <w:t>第七章</w:t>
    </w:r>
    <w:r>
      <w:rPr>
        <w:rFonts w:ascii="YouYuan" w:hAnsi="YouYuan" w:eastAsia="YouYuan" w:cs="YouYuan"/>
        <w:sz w:val="16"/>
        <w:szCs w:val="16"/>
        <w:spacing w:val="-6"/>
      </w:rPr>
      <w:t xml:space="preserve">  </w:t>
    </w:r>
    <w:r>
      <w:rPr>
        <w:rFonts w:ascii="YouYuan" w:hAnsi="YouYuan" w:eastAsia="YouYuan" w:cs="YouYuan"/>
        <w:sz w:val="16"/>
        <w:szCs w:val="16"/>
        <w:b/>
        <w:bCs/>
        <w:spacing w:val="-6"/>
      </w:rPr>
      <w:t>数字经济治理：国际政治经济学视</w:t>
    </w:r>
    <w:r>
      <w:rPr>
        <w:rFonts w:ascii="YouYuan" w:hAnsi="YouYuan" w:eastAsia="YouYuan" w:cs="YouYuan"/>
        <w:sz w:val="16"/>
        <w:szCs w:val="16"/>
        <w:b/>
        <w:bCs/>
        <w:spacing w:val="-7"/>
      </w:rPr>
      <w:t>角</w:t>
    </w:r>
    <w:r>
      <w:rPr>
        <w:rFonts w:ascii="YouYuan" w:hAnsi="YouYuan" w:eastAsia="YouYuan" w:cs="YouYuan"/>
        <w:sz w:val="16"/>
        <w:szCs w:val="16"/>
        <w:spacing w:val="1"/>
      </w:rPr>
      <w:t xml:space="preserve">               </w:t>
    </w:r>
    <w:r>
      <w:rPr>
        <w:rFonts w:ascii="SimSun" w:hAnsi="SimSun" w:eastAsia="SimSun" w:cs="SimSun"/>
        <w:sz w:val="13"/>
        <w:szCs w:val="13"/>
        <w:spacing w:val="-7"/>
        <w:position w:val="-2"/>
      </w:rPr>
      <w:t>251</w:t>
    </w:r>
  </w:p>
</w:hdr>
</file>

<file path=word/header2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252                       </w:t>
    </w:r>
    <w:r>
      <w:rPr>
        <w:rFonts w:ascii="SimSun" w:hAnsi="SimSun" w:eastAsia="SimSun" w:cs="SimSun"/>
        <w:sz w:val="12"/>
        <w:szCs w:val="12"/>
        <w:spacing w:val="-4"/>
        <w:position w:val="-1"/>
      </w:rPr>
      <w:t xml:space="preserve">        </w:t>
    </w:r>
    <w:r>
      <w:rPr>
        <w:rFonts w:ascii="SimHei" w:hAnsi="SimHei" w:eastAsia="SimHei" w:cs="SimHei"/>
        <w:sz w:val="16"/>
        <w:szCs w:val="16"/>
        <w:spacing w:val="-4"/>
      </w:rPr>
      <w:t>平台经济——创新、治理与繁荣</w:t>
    </w:r>
  </w:p>
</w:hdr>
</file>

<file path=word/header2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440"/>
          <w:spacing w:line="167" w:lineRule="auto"/>
          <w:rPr>
            <w:rFonts w:ascii="SimSun" w:hAnsi="SimSun" w:eastAsia="SimSun" w:cs="SimSun"/>
            <w:sz w:val="12"/>
            <w:szCs w:val="12"/>
          </w:rPr>
        </w:pPr>
        <w:r>
          <w:rPr>
            <w:rFonts w:ascii="YouYuan" w:hAnsi="YouYuan" w:eastAsia="YouYuan" w:cs="YouYuan"/>
            <w:sz w:val="16"/>
            <w:szCs w:val="16"/>
            <w:spacing w:val="-5"/>
          </w:rPr>
          <w:t>第七章</w:t>
        </w:r>
        <w:r>
          <w:rPr>
            <w:rFonts w:ascii="YouYuan" w:hAnsi="YouYuan" w:eastAsia="YouYuan" w:cs="YouYuan"/>
            <w:sz w:val="16"/>
            <w:szCs w:val="16"/>
            <w:spacing w:val="-5"/>
          </w:rPr>
          <w:t xml:space="preserve">  </w:t>
        </w:r>
        <w:r>
          <w:rPr>
            <w:rFonts w:ascii="YouYuan" w:hAnsi="YouYuan" w:eastAsia="YouYuan" w:cs="YouYuan"/>
            <w:sz w:val="16"/>
            <w:szCs w:val="16"/>
            <w:spacing w:val="-5"/>
          </w:rPr>
          <w:t>数字经济治理：国际政治经济学视角</w:t>
        </w:r>
        <w:r>
          <w:rPr>
            <w:rFonts w:ascii="YouYuan" w:hAnsi="YouYuan" w:eastAsia="YouYuan" w:cs="YouYuan"/>
            <w:sz w:val="16"/>
            <w:szCs w:val="16"/>
          </w:rPr>
          <w:t xml:space="preserve">               </w:t>
        </w:r>
        <w:hyperlink w:history="true" w:anchor="bookmark68">
          <w:r>
            <w:rPr>
              <w:rFonts w:ascii="SimSun" w:hAnsi="SimSun" w:eastAsia="SimSun" w:cs="SimSun"/>
              <w:sz w:val="12"/>
              <w:szCs w:val="12"/>
              <w:spacing w:val="-5"/>
              <w:position w:val="-3"/>
            </w:rPr>
            <w:t>253</w:t>
          </w:r>
        </w:hyperlink>
      </w:p>
    </w:sdtContent>
  </w:sdt>
</w:hdr>
</file>

<file path=word/header2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67"/>
      <w:spacing w:line="174" w:lineRule="auto"/>
      <w:rPr>
        <w:rFonts w:ascii="SimSun" w:hAnsi="SimSun" w:eastAsia="SimSun" w:cs="SimSun"/>
        <w:sz w:val="13"/>
        <w:szCs w:val="13"/>
      </w:rPr>
    </w:pPr>
    <w:r>
      <w:rPr>
        <w:rFonts w:ascii="SimHei" w:hAnsi="SimHei" w:eastAsia="SimHei" w:cs="SimHei"/>
        <w:sz w:val="16"/>
        <w:szCs w:val="16"/>
        <w:b/>
        <w:bCs/>
        <w:spacing w:val="-4"/>
      </w:rPr>
      <w:t>第七章</w:t>
    </w:r>
    <w:r>
      <w:rPr>
        <w:rFonts w:ascii="SimHei" w:hAnsi="SimHei" w:eastAsia="SimHei" w:cs="SimHei"/>
        <w:sz w:val="16"/>
        <w:szCs w:val="16"/>
        <w:spacing w:val="-4"/>
      </w:rPr>
      <w:t xml:space="preserve">  </w:t>
    </w:r>
    <w:r>
      <w:rPr>
        <w:rFonts w:ascii="SimHei" w:hAnsi="SimHei" w:eastAsia="SimHei" w:cs="SimHei"/>
        <w:sz w:val="16"/>
        <w:szCs w:val="16"/>
        <w:b/>
        <w:bCs/>
        <w:spacing w:val="-4"/>
      </w:rPr>
      <w:t>数字经济治理：国际政治经济学视角</w:t>
    </w:r>
    <w:r>
      <w:rPr>
        <w:rFonts w:ascii="SimHei" w:hAnsi="SimHei" w:eastAsia="SimHei" w:cs="SimHei"/>
        <w:sz w:val="16"/>
        <w:szCs w:val="16"/>
        <w:spacing w:val="-4"/>
      </w:rPr>
      <w:t xml:space="preserve">               </w:t>
    </w:r>
    <w:r>
      <w:rPr>
        <w:rFonts w:ascii="SimSun" w:hAnsi="SimSun" w:eastAsia="SimSun" w:cs="SimSun"/>
        <w:sz w:val="13"/>
        <w:szCs w:val="13"/>
        <w:spacing w:val="-4"/>
        <w:position w:val="-1"/>
      </w:rPr>
      <w:t>255</w:t>
    </w:r>
  </w:p>
</w:hdr>
</file>

<file path=word/header2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6" w:lineRule="auto"/>
      <w:rPr>
        <w:rFonts w:ascii="SimHei" w:hAnsi="SimHei" w:eastAsia="SimHei" w:cs="SimHei"/>
        <w:sz w:val="16"/>
        <w:szCs w:val="16"/>
      </w:rPr>
    </w:pPr>
    <w:r>
      <w:rPr>
        <w:rFonts w:ascii="SimSun" w:hAnsi="SimSun" w:eastAsia="SimSun" w:cs="SimSun"/>
        <w:sz w:val="12"/>
        <w:szCs w:val="12"/>
        <w:b/>
        <w:bCs/>
        <w:spacing w:val="-6"/>
        <w:position w:val="-2"/>
      </w:rPr>
      <w:t>256</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2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1"/>
        <w:szCs w:val="11"/>
        <w:spacing w:val="-4"/>
      </w:rPr>
      <w:t>258                                  </w:t>
    </w:r>
    <w:r>
      <w:rPr>
        <w:rFonts w:ascii="SimHei" w:hAnsi="SimHei" w:eastAsia="SimHei" w:cs="SimHei"/>
        <w:sz w:val="16"/>
        <w:szCs w:val="16"/>
        <w:spacing w:val="-4"/>
      </w:rPr>
      <w:t>平台经济——创新、治理与繁荣</w:t>
    </w:r>
  </w:p>
</w:hdr>
</file>

<file path=word/header2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
      <w:spacing w:line="175" w:lineRule="auto"/>
      <w:rPr>
        <w:rFonts w:ascii="SimHei" w:hAnsi="SimHei" w:eastAsia="SimHei" w:cs="SimHei"/>
        <w:sz w:val="16"/>
        <w:szCs w:val="16"/>
      </w:rPr>
    </w:pPr>
    <w:r>
      <w:rPr>
        <w:rFonts w:ascii="SimSun" w:hAnsi="SimSun" w:eastAsia="SimSun" w:cs="SimSun"/>
        <w:sz w:val="12"/>
        <w:szCs w:val="12"/>
        <w:spacing w:val="-4"/>
        <w:position w:val="-1"/>
      </w:rPr>
      <w:t>262                               </w:t>
    </w:r>
    <w:r>
      <w:rPr>
        <w:rFonts w:ascii="SimHei" w:hAnsi="SimHei" w:eastAsia="SimHei" w:cs="SimHei"/>
        <w:sz w:val="16"/>
        <w:szCs w:val="16"/>
        <w:spacing w:val="-4"/>
      </w:rPr>
      <w:t>平台经济——创新、治理与繁荣</w:t>
    </w:r>
  </w:p>
</w:hdr>
</file>

<file path=word/header20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82"/>
          <w:spacing w:line="175" w:lineRule="auto"/>
          <w:rPr>
            <w:rFonts w:ascii="SimSun" w:hAnsi="SimSun" w:eastAsia="SimSun" w:cs="SimSun"/>
            <w:sz w:val="12"/>
            <w:szCs w:val="12"/>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69">
          <w:r>
            <w:rPr>
              <w:rFonts w:ascii="SimSun" w:hAnsi="SimSun" w:eastAsia="SimSun" w:cs="SimSun"/>
              <w:sz w:val="12"/>
              <w:szCs w:val="12"/>
              <w:spacing w:val="-5"/>
            </w:rPr>
            <w:t>263</w:t>
          </w:r>
        </w:hyperlink>
      </w:p>
    </w:sdtContent>
  </w:sdt>
</w:hdr>
</file>

<file path=word/header20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2"/>
        <w:szCs w:val="12"/>
        <w:spacing w:val="-3"/>
        <w:position w:val="-1"/>
      </w:rPr>
      <w:t>264                       </w:t>
    </w:r>
    <w:r>
      <w:rPr>
        <w:rFonts w:ascii="SimSun" w:hAnsi="SimSun" w:eastAsia="SimSun" w:cs="SimSun"/>
        <w:sz w:val="12"/>
        <w:szCs w:val="12"/>
        <w:spacing w:val="-4"/>
        <w:position w:val="-1"/>
      </w:rPr>
      <w:t xml:space="preserve">        </w:t>
    </w:r>
    <w:r>
      <w:rPr>
        <w:rFonts w:ascii="SimHei" w:hAnsi="SimHei" w:eastAsia="SimHei" w:cs="SimHei"/>
        <w:sz w:val="16"/>
        <w:szCs w:val="16"/>
        <w:spacing w:val="-4"/>
      </w:rPr>
      <w:t>平台经济——创新、治理与繁荣</w:t>
    </w:r>
  </w:p>
</w:hdr>
</file>

<file path=word/header20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92"/>
          <w:spacing w:line="170" w:lineRule="auto"/>
          <w:rPr>
            <w:rFonts w:ascii="SimSun" w:hAnsi="SimSun" w:eastAsia="SimSun" w:cs="SimSun"/>
            <w:sz w:val="12"/>
            <w:szCs w:val="12"/>
          </w:rPr>
        </w:pPr>
        <w:r>
          <w:rPr>
            <w:rFonts w:ascii="SimHei" w:hAnsi="SimHei" w:eastAsia="SimHei" w:cs="SimHei"/>
            <w:sz w:val="16"/>
            <w:szCs w:val="16"/>
            <w:b/>
            <w:bCs/>
            <w:spacing w:val="-7"/>
          </w:rPr>
          <w:t>第八章</w:t>
        </w:r>
        <w:r>
          <w:rPr>
            <w:rFonts w:ascii="SimHei" w:hAnsi="SimHei" w:eastAsia="SimHei" w:cs="SimHei"/>
            <w:sz w:val="16"/>
            <w:szCs w:val="16"/>
            <w:spacing w:val="-7"/>
          </w:rPr>
          <w:t xml:space="preserve">  </w:t>
        </w:r>
        <w:r>
          <w:rPr>
            <w:rFonts w:ascii="SimHei" w:hAnsi="SimHei" w:eastAsia="SimHei" w:cs="SimHei"/>
            <w:sz w:val="16"/>
            <w:szCs w:val="16"/>
            <w:b/>
            <w:bCs/>
            <w:spacing w:val="-7"/>
          </w:rPr>
          <w:t>平台的经济学分析</w:t>
        </w:r>
        <w:r>
          <w:rPr>
            <w:rFonts w:ascii="SimHei" w:hAnsi="SimHei" w:eastAsia="SimHei" w:cs="SimHei"/>
            <w:sz w:val="16"/>
            <w:szCs w:val="16"/>
            <w:spacing w:val="2"/>
          </w:rPr>
          <w:t xml:space="preserve">                      </w:t>
        </w:r>
        <w:hyperlink w:history="true" w:anchor="bookmark70">
          <w:r>
            <w:rPr>
              <w:rFonts w:ascii="SimSun" w:hAnsi="SimSun" w:eastAsia="SimSun" w:cs="SimSun"/>
              <w:sz w:val="12"/>
              <w:szCs w:val="12"/>
              <w:spacing w:val="-7"/>
              <w:position w:val="-2"/>
            </w:rPr>
            <w:t>265</w:t>
          </w:r>
        </w:hyperlink>
      </w:p>
    </w:sdtContent>
  </w:sdt>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17"/>
      <w:spacing w:line="161" w:lineRule="auto"/>
      <w:rPr>
        <w:rFonts w:ascii="SimSun" w:hAnsi="SimSun" w:eastAsia="SimSun" w:cs="SimSun"/>
        <w:sz w:val="12"/>
        <w:szCs w:val="12"/>
      </w:rPr>
    </w:pPr>
    <w:r>
      <w:rPr>
        <w:rFonts w:ascii="YouYuan" w:hAnsi="YouYuan" w:eastAsia="YouYuan" w:cs="YouYuan"/>
        <w:sz w:val="16"/>
        <w:szCs w:val="16"/>
        <w:b/>
        <w:bCs/>
        <w:spacing w:val="-4"/>
      </w:rPr>
      <w:t>第一章</w:t>
    </w:r>
    <w:r>
      <w:rPr>
        <w:rFonts w:ascii="YouYuan" w:hAnsi="YouYuan" w:eastAsia="YouYuan" w:cs="YouYuan"/>
        <w:sz w:val="16"/>
        <w:szCs w:val="16"/>
        <w:spacing w:val="-4"/>
      </w:rPr>
      <w:t xml:space="preserve">  </w:t>
    </w:r>
    <w:r>
      <w:rPr>
        <w:rFonts w:ascii="YouYuan" w:hAnsi="YouYuan" w:eastAsia="YouYuan" w:cs="YouYuan"/>
        <w:sz w:val="16"/>
        <w:szCs w:val="16"/>
        <w:b/>
        <w:bCs/>
        <w:spacing w:val="-4"/>
      </w:rPr>
      <w:t>重塑平台经济：走向有序发展与共同富裕</w:t>
    </w:r>
    <w:r>
      <w:rPr>
        <w:rFonts w:ascii="YouYuan" w:hAnsi="YouYuan" w:eastAsia="YouYuan" w:cs="YouYuan"/>
        <w:sz w:val="16"/>
        <w:szCs w:val="16"/>
        <w:spacing w:val="-4"/>
      </w:rPr>
      <w:t xml:space="preserve">             </w:t>
    </w:r>
    <w:r>
      <w:rPr>
        <w:rFonts w:ascii="SimSun" w:hAnsi="SimSun" w:eastAsia="SimSun" w:cs="SimSun"/>
        <w:sz w:val="12"/>
        <w:szCs w:val="12"/>
        <w:spacing w:val="-4"/>
        <w:position w:val="-4"/>
      </w:rPr>
      <w:t>025</w:t>
    </w:r>
  </w:p>
</w:hdr>
</file>

<file path=word/header2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266</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2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92"/>
          <w:spacing w:line="170" w:lineRule="auto"/>
          <w:rPr>
            <w:rFonts w:ascii="SimSun" w:hAnsi="SimSun" w:eastAsia="SimSun" w:cs="SimSun"/>
            <w:sz w:val="12"/>
            <w:szCs w:val="12"/>
          </w:rPr>
        </w:pPr>
        <w:r>
          <w:rPr>
            <w:rFonts w:ascii="SimHei" w:hAnsi="SimHei" w:eastAsia="SimHei" w:cs="SimHei"/>
            <w:sz w:val="16"/>
            <w:szCs w:val="16"/>
            <w:b/>
            <w:bCs/>
            <w:spacing w:val="-7"/>
          </w:rPr>
          <w:t>第八章</w:t>
        </w:r>
        <w:r>
          <w:rPr>
            <w:rFonts w:ascii="SimHei" w:hAnsi="SimHei" w:eastAsia="SimHei" w:cs="SimHei"/>
            <w:sz w:val="16"/>
            <w:szCs w:val="16"/>
            <w:spacing w:val="-7"/>
          </w:rPr>
          <w:t xml:space="preserve">  </w:t>
        </w:r>
        <w:r>
          <w:rPr>
            <w:rFonts w:ascii="SimHei" w:hAnsi="SimHei" w:eastAsia="SimHei" w:cs="SimHei"/>
            <w:sz w:val="16"/>
            <w:szCs w:val="16"/>
            <w:b/>
            <w:bCs/>
            <w:spacing w:val="-7"/>
          </w:rPr>
          <w:t>平台的经济学分析</w:t>
        </w:r>
        <w:r>
          <w:rPr>
            <w:rFonts w:ascii="SimHei" w:hAnsi="SimHei" w:eastAsia="SimHei" w:cs="SimHei"/>
            <w:sz w:val="16"/>
            <w:szCs w:val="16"/>
            <w:spacing w:val="2"/>
          </w:rPr>
          <w:t xml:space="preserve">                      </w:t>
        </w:r>
        <w:hyperlink w:history="true" w:anchor="bookmark71">
          <w:r>
            <w:rPr>
              <w:rFonts w:ascii="SimSun" w:hAnsi="SimSun" w:eastAsia="SimSun" w:cs="SimSun"/>
              <w:sz w:val="12"/>
              <w:szCs w:val="12"/>
              <w:spacing w:val="-7"/>
              <w:position w:val="-2"/>
            </w:rPr>
            <w:t>267</w:t>
          </w:r>
        </w:hyperlink>
      </w:p>
    </w:sdtContent>
  </w:sdt>
</w:hdr>
</file>

<file path=word/header2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4"/>
        <w:position w:val="-2"/>
      </w:rPr>
      <w:t>268                               </w:t>
    </w:r>
    <w:r>
      <w:rPr>
        <w:rFonts w:ascii="SimHei" w:hAnsi="SimHei" w:eastAsia="SimHei" w:cs="SimHei"/>
        <w:sz w:val="16"/>
        <w:szCs w:val="16"/>
        <w:spacing w:val="-4"/>
      </w:rPr>
      <w:t>平台经济——创新、治理与繁荣</w:t>
    </w:r>
  </w:p>
</w:hdr>
</file>

<file path=word/header2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5"/>
        <w:szCs w:val="15"/>
      </w:rPr>
      <w:docPartObj>
        <w:docPartGallery w:val="Table of Contents"/>
        <w:docPartUnique/>
      </w:docPartObj>
    </w:sdtPr>
    <w:sdtEndPr>
      <w:rPr>
        <w:rFonts w:ascii="SimSun" w:hAnsi="SimSun" w:eastAsia="SimSun" w:cs="SimSun"/>
        <w:sz w:val="12"/>
        <w:szCs w:val="12"/>
      </w:rPr>
    </w:sdtEndPr>
    <w:sdtContent>
      <w:p>
        <w:pPr>
          <w:ind w:left="2102"/>
          <w:spacing w:line="166" w:lineRule="auto"/>
          <w:rPr>
            <w:rFonts w:ascii="SimSun" w:hAnsi="SimSun" w:eastAsia="SimSun" w:cs="SimSun"/>
            <w:sz w:val="12"/>
            <w:szCs w:val="12"/>
          </w:rPr>
        </w:pPr>
        <w:r>
          <w:rPr>
            <w:rFonts w:ascii="YouYuan" w:hAnsi="YouYuan" w:eastAsia="YouYuan" w:cs="YouYuan"/>
            <w:sz w:val="15"/>
            <w:szCs w:val="15"/>
            <w:b/>
            <w:bCs/>
            <w:spacing w:val="1"/>
          </w:rPr>
          <w:t>第八章</w:t>
        </w:r>
        <w:r>
          <w:rPr>
            <w:rFonts w:ascii="YouYuan" w:hAnsi="YouYuan" w:eastAsia="YouYuan" w:cs="YouYuan"/>
            <w:sz w:val="15"/>
            <w:szCs w:val="15"/>
            <w:spacing w:val="1"/>
          </w:rPr>
          <w:t xml:space="preserve">  </w:t>
        </w:r>
        <w:r>
          <w:rPr>
            <w:rFonts w:ascii="YouYuan" w:hAnsi="YouYuan" w:eastAsia="YouYuan" w:cs="YouYuan"/>
            <w:sz w:val="15"/>
            <w:szCs w:val="15"/>
            <w:b/>
            <w:bCs/>
            <w:spacing w:val="1"/>
          </w:rPr>
          <w:t>平台的经济学分析</w:t>
        </w:r>
        <w:r>
          <w:rPr>
            <w:rFonts w:ascii="YouYuan" w:hAnsi="YouYuan" w:eastAsia="YouYuan" w:cs="YouYuan"/>
            <w:sz w:val="15"/>
            <w:szCs w:val="15"/>
            <w:spacing w:val="1"/>
          </w:rPr>
          <w:t xml:space="preserve">                        </w:t>
        </w:r>
        <w:hyperlink w:history="true" w:anchor="bookmark72">
          <w:r>
            <w:rPr>
              <w:rFonts w:ascii="SimSun" w:hAnsi="SimSun" w:eastAsia="SimSun" w:cs="SimSun"/>
              <w:sz w:val="12"/>
              <w:szCs w:val="12"/>
              <w:spacing w:val="1"/>
              <w:position w:val="-3"/>
            </w:rPr>
            <w:t>269</w:t>
          </w:r>
        </w:hyperlink>
      </w:p>
    </w:sdtContent>
  </w:sdt>
</w:hdr>
</file>

<file path=word/header2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4"/>
        <w:position w:val="-1"/>
      </w:rPr>
      <w:t>270                          </w:t>
    </w:r>
    <w:r>
      <w:rPr>
        <w:rFonts w:ascii="SimSun" w:hAnsi="SimSun" w:eastAsia="SimSun" w:cs="SimSun"/>
        <w:sz w:val="13"/>
        <w:szCs w:val="13"/>
        <w:spacing w:val="-5"/>
        <w:position w:val="-1"/>
      </w:rPr>
      <w:t xml:space="preserve">  </w:t>
    </w:r>
    <w:r>
      <w:rPr>
        <w:rFonts w:ascii="SimHei" w:hAnsi="SimHei" w:eastAsia="SimHei" w:cs="SimHei"/>
        <w:sz w:val="16"/>
        <w:szCs w:val="16"/>
        <w:b/>
        <w:bCs/>
        <w:spacing w:val="-5"/>
      </w:rPr>
      <w:t>平台经济——创新、治理与繁荣</w:t>
    </w:r>
  </w:p>
</w:hdr>
</file>

<file path=word/header2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92"/>
          <w:spacing w:line="170" w:lineRule="auto"/>
          <w:rPr>
            <w:rFonts w:ascii="SimSun" w:hAnsi="SimSun" w:eastAsia="SimSun" w:cs="SimSun"/>
            <w:sz w:val="12"/>
            <w:szCs w:val="12"/>
          </w:rPr>
        </w:pPr>
        <w:r>
          <w:rPr>
            <w:rFonts w:ascii="SimHei" w:hAnsi="SimHei" w:eastAsia="SimHei" w:cs="SimHei"/>
            <w:sz w:val="16"/>
            <w:szCs w:val="16"/>
            <w:b/>
            <w:bCs/>
            <w:spacing w:val="-3"/>
          </w:rPr>
          <w:t>第八章</w:t>
        </w:r>
        <w:r>
          <w:rPr>
            <w:rFonts w:ascii="SimHei" w:hAnsi="SimHei" w:eastAsia="SimHei" w:cs="SimHei"/>
            <w:sz w:val="16"/>
            <w:szCs w:val="16"/>
            <w:spacing w:val="-3"/>
          </w:rPr>
          <w:t xml:space="preserve">  </w:t>
        </w:r>
        <w:r>
          <w:rPr>
            <w:rFonts w:ascii="SimHei" w:hAnsi="SimHei" w:eastAsia="SimHei" w:cs="SimHei"/>
            <w:sz w:val="16"/>
            <w:szCs w:val="16"/>
            <w:b/>
            <w:bCs/>
            <w:spacing w:val="-3"/>
          </w:rPr>
          <w:t>平台的经济学分析</w:t>
        </w:r>
        <w:r>
          <w:rPr>
            <w:rFonts w:ascii="SimHei" w:hAnsi="SimHei" w:eastAsia="SimHei" w:cs="SimHei"/>
            <w:sz w:val="16"/>
            <w:szCs w:val="16"/>
            <w:spacing w:val="-3"/>
          </w:rPr>
          <w:t xml:space="preserve">                 </w:t>
        </w:r>
        <w:r>
          <w:rPr>
            <w:rFonts w:ascii="SimHei" w:hAnsi="SimHei" w:eastAsia="SimHei" w:cs="SimHei"/>
            <w:sz w:val="16"/>
            <w:szCs w:val="16"/>
            <w:spacing w:val="-4"/>
          </w:rPr>
          <w:t xml:space="preserve">      </w:t>
        </w:r>
        <w:hyperlink w:history="true" w:anchor="bookmark73">
          <w:r>
            <w:rPr>
              <w:rFonts w:ascii="SimSun" w:hAnsi="SimSun" w:eastAsia="SimSun" w:cs="SimSun"/>
              <w:sz w:val="12"/>
              <w:szCs w:val="12"/>
              <w:spacing w:val="-4"/>
              <w:position w:val="-2"/>
            </w:rPr>
            <w:t>271</w:t>
          </w:r>
        </w:hyperlink>
      </w:p>
    </w:sdtContent>
  </w:sdt>
</w:hdr>
</file>

<file path=word/header2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272                               </w:t>
    </w:r>
    <w:r>
      <w:rPr>
        <w:rFonts w:ascii="SimHei" w:hAnsi="SimHei" w:eastAsia="SimHei" w:cs="SimHei"/>
        <w:sz w:val="16"/>
        <w:szCs w:val="16"/>
        <w:spacing w:val="-4"/>
      </w:rPr>
      <w:t>平台经济——创新、治理与繁荣</w:t>
    </w:r>
  </w:p>
</w:hdr>
</file>

<file path=word/header2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1"/>
        <w:szCs w:val="11"/>
      </w:rPr>
    </w:sdtEndPr>
    <w:sdtContent>
      <w:p>
        <w:pPr>
          <w:ind w:left="2061"/>
          <w:spacing w:line="172" w:lineRule="auto"/>
          <w:rPr>
            <w:rFonts w:ascii="SimSun" w:hAnsi="SimSun" w:eastAsia="SimSun" w:cs="SimSun"/>
            <w:sz w:val="11"/>
            <w:szCs w:val="11"/>
          </w:rPr>
        </w:pPr>
        <w:r>
          <w:rPr>
            <w:rFonts w:ascii="SimHei" w:hAnsi="SimHei" w:eastAsia="SimHei" w:cs="SimHei"/>
            <w:sz w:val="14"/>
            <w:szCs w:val="14"/>
            <w:b/>
            <w:bCs/>
            <w:spacing w:val="6"/>
          </w:rPr>
          <w:t>第八章</w:t>
        </w:r>
        <w:r>
          <w:rPr>
            <w:rFonts w:ascii="SimHei" w:hAnsi="SimHei" w:eastAsia="SimHei" w:cs="SimHei"/>
            <w:sz w:val="14"/>
            <w:szCs w:val="14"/>
            <w:spacing w:val="28"/>
          </w:rPr>
          <w:t xml:space="preserve">  </w:t>
        </w:r>
        <w:r>
          <w:rPr>
            <w:rFonts w:ascii="SimHei" w:hAnsi="SimHei" w:eastAsia="SimHei" w:cs="SimHei"/>
            <w:sz w:val="14"/>
            <w:szCs w:val="14"/>
            <w:b/>
            <w:bCs/>
            <w:spacing w:val="6"/>
          </w:rPr>
          <w:t>平台的经济学分析</w:t>
        </w:r>
        <w:r>
          <w:rPr>
            <w:rFonts w:ascii="SimHei" w:hAnsi="SimHei" w:eastAsia="SimHei" w:cs="SimHei"/>
            <w:sz w:val="14"/>
            <w:szCs w:val="14"/>
          </w:rPr>
          <w:t xml:space="preserve">                          </w:t>
        </w:r>
        <w:hyperlink w:history="true" w:anchor="bookmark74">
          <w:r>
            <w:rPr>
              <w:rFonts w:ascii="SimSun" w:hAnsi="SimSun" w:eastAsia="SimSun" w:cs="SimSun"/>
              <w:sz w:val="11"/>
              <w:szCs w:val="11"/>
              <w:spacing w:val="6"/>
              <w:position w:val="-1"/>
            </w:rPr>
            <w:t>273</w:t>
          </w:r>
        </w:hyperlink>
      </w:p>
    </w:sdtContent>
  </w:sdt>
</w:hdr>
</file>

<file path=word/header2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rPr>
      <w:t>274                       </w:t>
    </w:r>
    <w:r>
      <w:rPr>
        <w:rFonts w:ascii="SimSun" w:hAnsi="SimSun" w:eastAsia="SimSun" w:cs="SimSun"/>
        <w:sz w:val="12"/>
        <w:szCs w:val="12"/>
        <w:spacing w:val="-4"/>
      </w:rPr>
      <w:t xml:space="preserve">        </w:t>
    </w:r>
    <w:r>
      <w:rPr>
        <w:rFonts w:ascii="SimHei" w:hAnsi="SimHei" w:eastAsia="SimHei" w:cs="SimHei"/>
        <w:sz w:val="16"/>
        <w:szCs w:val="16"/>
        <w:spacing w:val="-4"/>
      </w:rPr>
      <w:t>平台经济——创新、治理与繁荣</w:t>
    </w:r>
  </w:p>
</w:hdr>
</file>

<file path=word/header2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2072"/>
          <w:spacing w:line="175" w:lineRule="auto"/>
          <w:rPr>
            <w:rFonts w:ascii="SimSun" w:hAnsi="SimSun" w:eastAsia="SimSun" w:cs="SimSun"/>
            <w:sz w:val="13"/>
            <w:szCs w:val="13"/>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75">
          <w:r>
            <w:rPr>
              <w:rFonts w:ascii="SimSun" w:hAnsi="SimSun" w:eastAsia="SimSun" w:cs="SimSun"/>
              <w:sz w:val="13"/>
              <w:szCs w:val="13"/>
              <w:spacing w:val="-6"/>
            </w:rPr>
            <w:t>275</w:t>
          </w:r>
        </w:hyperlink>
      </w:p>
    </w:sdtContent>
  </w:sdt>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5"/>
        <w:position w:val="-4"/>
      </w:rPr>
      <w:t>026</w:t>
    </w:r>
    <w:r>
      <w:rPr>
        <w:rFonts w:ascii="SimSun" w:hAnsi="SimSun" w:eastAsia="SimSun" w:cs="SimSun"/>
        <w:sz w:val="12"/>
        <w:szCs w:val="12"/>
        <w:spacing w:val="2"/>
        <w:position w:val="-4"/>
      </w:rPr>
      <w:t xml:space="preserve">                          </w:t>
    </w:r>
    <w:r>
      <w:rPr>
        <w:rFonts w:ascii="SimSun" w:hAnsi="SimSun" w:eastAsia="SimSun" w:cs="SimSun"/>
        <w:sz w:val="12"/>
        <w:szCs w:val="12"/>
        <w:spacing w:val="1"/>
        <w:position w:val="-4"/>
      </w:rPr>
      <w:t xml:space="preserve">   </w:t>
    </w:r>
    <w:r>
      <w:rPr>
        <w:rFonts w:ascii="YouYuan" w:hAnsi="YouYuan" w:eastAsia="YouYuan" w:cs="YouYuan"/>
        <w:sz w:val="16"/>
        <w:szCs w:val="16"/>
        <w:spacing w:val="-5"/>
      </w:rPr>
      <w:t>平台经济——创新、治理与繁荣</w:t>
    </w:r>
  </w:p>
</w:hdr>
</file>

<file path=word/header2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110"/>
          <w:spacing w:line="175" w:lineRule="auto"/>
          <w:rPr>
            <w:rFonts w:ascii="SimSun" w:hAnsi="SimSun" w:eastAsia="SimSun" w:cs="SimSun"/>
            <w:sz w:val="12"/>
            <w:szCs w:val="12"/>
          </w:rPr>
        </w:pPr>
        <w:r>
          <w:rPr>
            <w:rFonts w:ascii="SimHei" w:hAnsi="SimHei" w:eastAsia="SimHei" w:cs="SimHei"/>
            <w:sz w:val="16"/>
            <w:szCs w:val="16"/>
            <w:spacing w:val="-5"/>
          </w:rPr>
          <w:t>第八章</w:t>
        </w:r>
        <w:r>
          <w:rPr>
            <w:rFonts w:ascii="SimHei" w:hAnsi="SimHei" w:eastAsia="SimHei" w:cs="SimHei"/>
            <w:sz w:val="16"/>
            <w:szCs w:val="16"/>
            <w:spacing w:val="-5"/>
          </w:rPr>
          <w:t xml:space="preserve">  </w:t>
        </w:r>
        <w:r>
          <w:rPr>
            <w:rFonts w:ascii="SimHei" w:hAnsi="SimHei" w:eastAsia="SimHei" w:cs="SimHei"/>
            <w:sz w:val="16"/>
            <w:szCs w:val="16"/>
            <w:spacing w:val="-5"/>
          </w:rPr>
          <w:t>平台的经济学分析</w:t>
        </w:r>
        <w:r>
          <w:rPr>
            <w:rFonts w:ascii="SimHei" w:hAnsi="SimHei" w:eastAsia="SimHei" w:cs="SimHei"/>
            <w:sz w:val="16"/>
            <w:szCs w:val="16"/>
            <w:spacing w:val="-5"/>
          </w:rPr>
          <w:t xml:space="preserve">                        </w:t>
        </w:r>
        <w:hyperlink w:history="true" w:anchor="bookmark76">
          <w:r>
            <w:rPr>
              <w:rFonts w:ascii="SimSun" w:hAnsi="SimSun" w:eastAsia="SimSun" w:cs="SimSun"/>
              <w:sz w:val="12"/>
              <w:szCs w:val="12"/>
              <w:spacing w:val="-5"/>
              <w:position w:val="-1"/>
            </w:rPr>
            <w:t>277</w:t>
          </w:r>
        </w:hyperlink>
      </w:p>
    </w:sdtContent>
  </w:sdt>
</w:hdr>
</file>

<file path=word/header2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5"/>
        <w:szCs w:val="15"/>
      </w:rPr>
      <w:docPartObj>
        <w:docPartGallery w:val="Table of Contents"/>
        <w:docPartUnique/>
      </w:docPartObj>
    </w:sdtPr>
    <w:sdtEndPr>
      <w:rPr>
        <w:rFonts w:ascii="SimSun" w:hAnsi="SimSun" w:eastAsia="SimSun" w:cs="SimSun"/>
        <w:sz w:val="12"/>
        <w:szCs w:val="12"/>
      </w:rPr>
    </w:sdtEndPr>
    <w:sdtContent>
      <w:p>
        <w:pPr>
          <w:ind w:left="2072"/>
          <w:spacing w:line="166" w:lineRule="auto"/>
          <w:rPr>
            <w:rFonts w:ascii="SimSun" w:hAnsi="SimSun" w:eastAsia="SimSun" w:cs="SimSun"/>
            <w:sz w:val="12"/>
            <w:szCs w:val="12"/>
          </w:rPr>
        </w:pPr>
        <w:r>
          <w:rPr>
            <w:rFonts w:ascii="SimHei" w:hAnsi="SimHei" w:eastAsia="SimHei" w:cs="SimHei"/>
            <w:sz w:val="15"/>
            <w:szCs w:val="15"/>
            <w:b/>
            <w:bCs/>
          </w:rPr>
          <w:t>第八章</w:t>
        </w:r>
        <w:r>
          <w:rPr>
            <w:rFonts w:ascii="SimHei" w:hAnsi="SimHei" w:eastAsia="SimHei" w:cs="SimHei"/>
            <w:sz w:val="15"/>
            <w:szCs w:val="15"/>
          </w:rPr>
          <w:t xml:space="preserve">  </w:t>
        </w:r>
        <w:r>
          <w:rPr>
            <w:rFonts w:ascii="SimHei" w:hAnsi="SimHei" w:eastAsia="SimHei" w:cs="SimHei"/>
            <w:sz w:val="15"/>
            <w:szCs w:val="15"/>
            <w:b/>
            <w:bCs/>
          </w:rPr>
          <w:t>平台的经济学分析</w:t>
        </w:r>
        <w:r>
          <w:rPr>
            <w:rFonts w:ascii="SimHei" w:hAnsi="SimHei" w:eastAsia="SimHei" w:cs="SimHei"/>
            <w:sz w:val="15"/>
            <w:szCs w:val="15"/>
            <w:spacing w:val="1"/>
          </w:rPr>
          <w:t xml:space="preserve">                        </w:t>
        </w:r>
        <w:hyperlink w:history="true" w:anchor="bookmark77">
          <w:r>
            <w:rPr>
              <w:rFonts w:ascii="SimSun" w:hAnsi="SimSun" w:eastAsia="SimSun" w:cs="SimSun"/>
              <w:sz w:val="12"/>
              <w:szCs w:val="12"/>
              <w:position w:val="-2"/>
            </w:rPr>
            <w:t>279</w:t>
          </w:r>
        </w:hyperlink>
      </w:p>
    </w:sdtContent>
  </w:sdt>
</w:hdr>
</file>

<file path=word/header2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7"/>
      </w:rPr>
      <w:t>280</w:t>
    </w:r>
    <w:r>
      <w:rPr>
        <w:rFonts w:ascii="SimSun" w:hAnsi="SimSun" w:eastAsia="SimSun" w:cs="SimSun"/>
        <w:sz w:val="12"/>
        <w:szCs w:val="12"/>
        <w:spacing w:val="1"/>
      </w:rPr>
      <w:t xml:space="preserve">                           </w:t>
    </w:r>
    <w:r>
      <w:rPr>
        <w:rFonts w:ascii="SimSun" w:hAnsi="SimSun" w:eastAsia="SimSun" w:cs="SimSun"/>
        <w:sz w:val="12"/>
        <w:szCs w:val="12"/>
      </w:rPr>
      <w:t xml:space="preserve">   </w:t>
    </w:r>
    <w:r>
      <w:rPr>
        <w:rFonts w:ascii="SimHei" w:hAnsi="SimHei" w:eastAsia="SimHei" w:cs="SimHei"/>
        <w:sz w:val="16"/>
        <w:szCs w:val="16"/>
        <w:b/>
        <w:bCs/>
        <w:spacing w:val="-7"/>
      </w:rPr>
      <w:t>平台经济——创新、治理与繁荣</w:t>
    </w:r>
  </w:p>
</w:hdr>
</file>

<file path=word/header2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82"/>
          <w:spacing w:line="175" w:lineRule="auto"/>
          <w:rPr>
            <w:rFonts w:ascii="SimSun" w:hAnsi="SimSun" w:eastAsia="SimSun" w:cs="SimSun"/>
            <w:sz w:val="12"/>
            <w:szCs w:val="12"/>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78">
          <w:r>
            <w:rPr>
              <w:rFonts w:ascii="SimSun" w:hAnsi="SimSun" w:eastAsia="SimSun" w:cs="SimSun"/>
              <w:sz w:val="12"/>
              <w:szCs w:val="12"/>
              <w:spacing w:val="-5"/>
              <w:position w:val="-1"/>
            </w:rPr>
            <w:t>281</w:t>
          </w:r>
        </w:hyperlink>
      </w:p>
    </w:sdtContent>
  </w:sdt>
</w:hdr>
</file>

<file path=word/header2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53" w:lineRule="exact"/>
      <w:rPr>
        <w:rFonts w:ascii="SimHei" w:hAnsi="SimHei" w:eastAsia="SimHei" w:cs="SimHei"/>
        <w:sz w:val="15"/>
        <w:szCs w:val="15"/>
      </w:rPr>
    </w:pPr>
    <w:r>
      <w:rPr>
        <w:rFonts w:ascii="SimSun" w:hAnsi="SimSun" w:eastAsia="SimSun" w:cs="SimSun"/>
        <w:sz w:val="15"/>
        <w:szCs w:val="15"/>
        <w:spacing w:val="1"/>
        <w:position w:val="-3"/>
      </w:rPr>
      <w:t>282</w:t>
    </w:r>
    <w:r>
      <w:rPr>
        <w:rFonts w:ascii="SimSun" w:hAnsi="SimSun" w:eastAsia="SimSun" w:cs="SimSun"/>
        <w:sz w:val="15"/>
        <w:szCs w:val="15"/>
        <w:position w:val="-3"/>
      </w:rPr>
      <w:t xml:space="preserve">                       </w:t>
    </w:r>
    <w:r>
      <w:rPr>
        <w:rFonts w:ascii="SimHei" w:hAnsi="SimHei" w:eastAsia="SimHei" w:cs="SimHei"/>
        <w:sz w:val="15"/>
        <w:szCs w:val="15"/>
        <w:spacing w:val="1"/>
      </w:rPr>
      <w:t>平台经济——创新、治理与繁荣</w:t>
    </w:r>
  </w:p>
</w:hdr>
</file>

<file path=word/header2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177"/>
          <w:spacing w:line="175" w:lineRule="auto"/>
          <w:rPr>
            <w:rFonts w:ascii="SimSun" w:hAnsi="SimSun" w:eastAsia="SimSun" w:cs="SimSun"/>
            <w:sz w:val="12"/>
            <w:szCs w:val="12"/>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79">
          <w:r>
            <w:rPr>
              <w:rFonts w:ascii="SimSun" w:hAnsi="SimSun" w:eastAsia="SimSun" w:cs="SimSun"/>
              <w:sz w:val="12"/>
              <w:szCs w:val="12"/>
              <w:spacing w:val="-5"/>
              <w:position w:val="-1"/>
            </w:rPr>
            <w:t>283</w:t>
          </w:r>
        </w:hyperlink>
      </w:p>
    </w:sdtContent>
  </w:sdt>
</w:hdr>
</file>

<file path=word/header2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YouYuan" w:hAnsi="YouYuan" w:eastAsia="YouYuan" w:cs="YouYuan"/>
        <w:sz w:val="16"/>
        <w:szCs w:val="16"/>
      </w:rPr>
    </w:pPr>
    <w:r>
      <w:rPr>
        <w:rFonts w:ascii="SimSun" w:hAnsi="SimSun" w:eastAsia="SimSun" w:cs="SimSun"/>
        <w:sz w:val="12"/>
        <w:szCs w:val="12"/>
        <w:spacing w:val="-8"/>
        <w:position w:val="-4"/>
      </w:rPr>
      <w:t>284</w:t>
    </w:r>
    <w:r>
      <w:rPr>
        <w:rFonts w:ascii="SimSun" w:hAnsi="SimSun" w:eastAsia="SimSun" w:cs="SimSun"/>
        <w:sz w:val="12"/>
        <w:szCs w:val="12"/>
        <w:spacing w:val="2"/>
        <w:position w:val="-4"/>
      </w:rPr>
      <w:t xml:space="preserve">                       </w:t>
    </w:r>
    <w:r>
      <w:rPr>
        <w:rFonts w:ascii="SimSun" w:hAnsi="SimSun" w:eastAsia="SimSun" w:cs="SimSun"/>
        <w:sz w:val="12"/>
        <w:szCs w:val="12"/>
        <w:spacing w:val="1"/>
        <w:position w:val="-4"/>
      </w:rPr>
      <w:t xml:space="preserve">      </w:t>
    </w:r>
    <w:r>
      <w:rPr>
        <w:rFonts w:ascii="YouYuan" w:hAnsi="YouYuan" w:eastAsia="YouYuan" w:cs="YouYuan"/>
        <w:sz w:val="16"/>
        <w:szCs w:val="16"/>
        <w:b/>
        <w:bCs/>
        <w:spacing w:val="-8"/>
      </w:rPr>
      <w:t>平台经济——创新、治理与繁荣</w:t>
    </w:r>
  </w:p>
</w:hdr>
</file>

<file path=word/header2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29"/>
          <w:spacing w:line="175" w:lineRule="auto"/>
          <w:rPr>
            <w:rFonts w:ascii="SimSun" w:hAnsi="SimSun" w:eastAsia="SimSun" w:cs="SimSun"/>
            <w:sz w:val="12"/>
            <w:szCs w:val="12"/>
          </w:rPr>
        </w:pPr>
        <w:r>
          <w:rPr>
            <w:rFonts w:ascii="SimHei" w:hAnsi="SimHei" w:eastAsia="SimHei" w:cs="SimHei"/>
            <w:sz w:val="16"/>
            <w:szCs w:val="16"/>
            <w:spacing w:val="-5"/>
          </w:rPr>
          <w:t>第八章</w:t>
        </w:r>
        <w:r>
          <w:rPr>
            <w:rFonts w:ascii="SimHei" w:hAnsi="SimHei" w:eastAsia="SimHei" w:cs="SimHei"/>
            <w:sz w:val="16"/>
            <w:szCs w:val="16"/>
            <w:spacing w:val="-5"/>
          </w:rPr>
          <w:t xml:space="preserve">  </w:t>
        </w:r>
        <w:r>
          <w:rPr>
            <w:rFonts w:ascii="SimHei" w:hAnsi="SimHei" w:eastAsia="SimHei" w:cs="SimHei"/>
            <w:sz w:val="16"/>
            <w:szCs w:val="16"/>
            <w:spacing w:val="-5"/>
          </w:rPr>
          <w:t>平台的经济学分析</w:t>
        </w:r>
        <w:r>
          <w:rPr>
            <w:rFonts w:ascii="SimHei" w:hAnsi="SimHei" w:eastAsia="SimHei" w:cs="SimHei"/>
            <w:sz w:val="16"/>
            <w:szCs w:val="16"/>
            <w:spacing w:val="3"/>
          </w:rPr>
          <w:t xml:space="preserve">                   </w:t>
        </w:r>
        <w:r>
          <w:rPr>
            <w:rFonts w:ascii="SimHei" w:hAnsi="SimHei" w:eastAsia="SimHei" w:cs="SimHei"/>
            <w:sz w:val="16"/>
            <w:szCs w:val="16"/>
            <w:spacing w:val="2"/>
          </w:rPr>
          <w:t xml:space="preserve">   </w:t>
        </w:r>
        <w:hyperlink w:history="true" w:anchor="bookmark80">
          <w:r>
            <w:rPr>
              <w:rFonts w:ascii="SimSun" w:hAnsi="SimSun" w:eastAsia="SimSun" w:cs="SimSun"/>
              <w:sz w:val="12"/>
              <w:szCs w:val="12"/>
              <w:spacing w:val="-5"/>
              <w:position w:val="-1"/>
            </w:rPr>
            <w:t>285</w:t>
          </w:r>
        </w:hyperlink>
      </w:p>
    </w:sdtContent>
  </w:sdt>
</w:hdr>
</file>

<file path=word/header2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9" w:lineRule="auto"/>
      <w:rPr>
        <w:rFonts w:ascii="SimHei" w:hAnsi="SimHei" w:eastAsia="SimHei" w:cs="SimHei"/>
        <w:sz w:val="16"/>
        <w:szCs w:val="16"/>
      </w:rPr>
    </w:pPr>
    <w:r>
      <w:rPr>
        <w:rFonts w:ascii="SimSun" w:hAnsi="SimSun" w:eastAsia="SimSun" w:cs="SimSun"/>
        <w:sz w:val="12"/>
        <w:szCs w:val="12"/>
        <w:b/>
        <w:bCs/>
        <w:spacing w:val="-3"/>
        <w:position w:val="-2"/>
      </w:rPr>
      <w:t>286</w:t>
    </w:r>
    <w:r>
      <w:rPr>
        <w:rFonts w:ascii="SimSun" w:hAnsi="SimSun" w:eastAsia="SimSun" w:cs="SimSun"/>
        <w:sz w:val="12"/>
        <w:szCs w:val="12"/>
        <w:spacing w:val="-3"/>
        <w:position w:val="-2"/>
      </w:rPr>
      <w:t xml:space="preserve">                           </w:t>
    </w:r>
    <w:r>
      <w:rPr>
        <w:rFonts w:ascii="SimSun" w:hAnsi="SimSun" w:eastAsia="SimSun" w:cs="SimSun"/>
        <w:sz w:val="12"/>
        <w:szCs w:val="12"/>
        <w:spacing w:val="-4"/>
        <w:position w:val="-2"/>
      </w:rPr>
      <w:t xml:space="preserve">   </w:t>
    </w:r>
    <w:r>
      <w:rPr>
        <w:rFonts w:ascii="SimHei" w:hAnsi="SimHei" w:eastAsia="SimHei" w:cs="SimHei"/>
        <w:sz w:val="16"/>
        <w:szCs w:val="16"/>
        <w:b/>
        <w:bCs/>
        <w:spacing w:val="-4"/>
      </w:rPr>
      <w:t>平台经济——创新、治理与繁荣</w:t>
    </w:r>
  </w:p>
</w:hdr>
</file>

<file path=word/header2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72"/>
          <w:spacing w:line="175" w:lineRule="auto"/>
          <w:rPr>
            <w:rFonts w:ascii="SimSun" w:hAnsi="SimSun" w:eastAsia="SimSun" w:cs="SimSun"/>
            <w:sz w:val="12"/>
            <w:szCs w:val="12"/>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81">
          <w:r>
            <w:rPr>
              <w:rFonts w:ascii="SimSun" w:hAnsi="SimSun" w:eastAsia="SimSun" w:cs="SimSun"/>
              <w:sz w:val="12"/>
              <w:szCs w:val="12"/>
              <w:spacing w:val="-5"/>
              <w:position w:val="-1"/>
            </w:rPr>
            <w:t>287</w:t>
          </w:r>
        </w:hyperlink>
      </w:p>
    </w:sdtContent>
  </w:sdt>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37"/>
      <w:spacing w:line="170" w:lineRule="auto"/>
      <w:rPr>
        <w:rFonts w:ascii="SimSun" w:hAnsi="SimSun" w:eastAsia="SimSun" w:cs="SimSun"/>
        <w:sz w:val="12"/>
        <w:szCs w:val="12"/>
      </w:rPr>
    </w:pPr>
    <w:r>
      <w:rPr>
        <w:rFonts w:ascii="SimHei" w:hAnsi="SimHei" w:eastAsia="SimHei" w:cs="SimHei"/>
        <w:sz w:val="16"/>
        <w:szCs w:val="16"/>
        <w:b/>
        <w:bCs/>
        <w:spacing w:val="-7"/>
      </w:rPr>
      <w:t>第一章</w:t>
    </w:r>
    <w:r>
      <w:rPr>
        <w:rFonts w:ascii="SimHei" w:hAnsi="SimHei" w:eastAsia="SimHei" w:cs="SimHei"/>
        <w:sz w:val="16"/>
        <w:szCs w:val="16"/>
        <w:spacing w:val="-7"/>
      </w:rPr>
      <w:t xml:space="preserve">  </w:t>
    </w:r>
    <w:r>
      <w:rPr>
        <w:rFonts w:ascii="SimHei" w:hAnsi="SimHei" w:eastAsia="SimHei" w:cs="SimHei"/>
        <w:sz w:val="16"/>
        <w:szCs w:val="16"/>
        <w:b/>
        <w:bCs/>
        <w:spacing w:val="-7"/>
      </w:rPr>
      <w:t>重塑平台经济：走向有序发展与共同富裕</w:t>
    </w:r>
    <w:r>
      <w:rPr>
        <w:rFonts w:ascii="SimHei" w:hAnsi="SimHei" w:eastAsia="SimHei" w:cs="SimHei"/>
        <w:sz w:val="16"/>
        <w:szCs w:val="16"/>
      </w:rPr>
      <w:t xml:space="preserve">             </w:t>
    </w:r>
    <w:r>
      <w:rPr>
        <w:rFonts w:ascii="SimSun" w:hAnsi="SimSun" w:eastAsia="SimSun" w:cs="SimSun"/>
        <w:sz w:val="12"/>
        <w:szCs w:val="12"/>
        <w:spacing w:val="-7"/>
        <w:position w:val="-2"/>
      </w:rPr>
      <w:t>027</w:t>
    </w:r>
  </w:p>
</w:hdr>
</file>

<file path=word/header2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1"/>
      <w:spacing w:line="174" w:lineRule="auto"/>
      <w:rPr>
        <w:rFonts w:ascii="SimHei" w:hAnsi="SimHei" w:eastAsia="SimHei" w:cs="SimHei"/>
        <w:sz w:val="16"/>
        <w:szCs w:val="16"/>
      </w:rPr>
    </w:pPr>
    <w:r>
      <w:rPr>
        <w:rFonts w:ascii="SimSun" w:hAnsi="SimSun" w:eastAsia="SimSun" w:cs="SimSun"/>
        <w:sz w:val="13"/>
        <w:szCs w:val="13"/>
        <w:spacing w:val="-3"/>
        <w:position w:val="-1"/>
      </w:rPr>
      <w:t>288                </w:t>
    </w:r>
    <w:r>
      <w:rPr>
        <w:rFonts w:ascii="SimSun" w:hAnsi="SimSun" w:eastAsia="SimSun" w:cs="SimSun"/>
        <w:sz w:val="13"/>
        <w:szCs w:val="13"/>
        <w:spacing w:val="-4"/>
        <w:position w:val="-1"/>
      </w:rPr>
      <w:t xml:space="preserve">            </w:t>
    </w:r>
    <w:r>
      <w:rPr>
        <w:rFonts w:ascii="SimHei" w:hAnsi="SimHei" w:eastAsia="SimHei" w:cs="SimHei"/>
        <w:sz w:val="16"/>
        <w:szCs w:val="16"/>
        <w:spacing w:val="-4"/>
      </w:rPr>
      <w:t>平台经济——创新、治理与繁荣</w:t>
    </w:r>
  </w:p>
</w:hdr>
</file>

<file path=word/header2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72"/>
          <w:spacing w:line="175" w:lineRule="auto"/>
          <w:rPr>
            <w:rFonts w:ascii="SimSun" w:hAnsi="SimSun" w:eastAsia="SimSun" w:cs="SimSun"/>
            <w:sz w:val="12"/>
            <w:szCs w:val="12"/>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82">
          <w:r>
            <w:rPr>
              <w:rFonts w:ascii="SimSun" w:hAnsi="SimSun" w:eastAsia="SimSun" w:cs="SimSun"/>
              <w:sz w:val="12"/>
              <w:szCs w:val="12"/>
              <w:spacing w:val="-5"/>
            </w:rPr>
            <w:t>289</w:t>
          </w:r>
        </w:hyperlink>
      </w:p>
    </w:sdtContent>
  </w:sdt>
</w:hdr>
</file>

<file path=word/header2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1"/>
      <w:spacing w:line="175" w:lineRule="auto"/>
      <w:rPr>
        <w:rFonts w:ascii="SimHei" w:hAnsi="SimHei" w:eastAsia="SimHei" w:cs="SimHei"/>
        <w:sz w:val="16"/>
        <w:szCs w:val="16"/>
      </w:rPr>
    </w:pPr>
    <w:r>
      <w:rPr>
        <w:rFonts w:ascii="SimSun" w:hAnsi="SimSun" w:eastAsia="SimSun" w:cs="SimSun"/>
        <w:sz w:val="11"/>
        <w:szCs w:val="11"/>
        <w:spacing w:val="-3"/>
      </w:rPr>
      <w:t>290                              </w:t>
    </w:r>
    <w:r>
      <w:rPr>
        <w:rFonts w:ascii="SimSun" w:hAnsi="SimSun" w:eastAsia="SimSun" w:cs="SimSun"/>
        <w:sz w:val="11"/>
        <w:szCs w:val="11"/>
        <w:spacing w:val="-4"/>
      </w:rPr>
      <w:t xml:space="preserve">    </w:t>
    </w:r>
    <w:r>
      <w:rPr>
        <w:rFonts w:ascii="SimHei" w:hAnsi="SimHei" w:eastAsia="SimHei" w:cs="SimHei"/>
        <w:sz w:val="16"/>
        <w:szCs w:val="16"/>
        <w:spacing w:val="-4"/>
      </w:rPr>
      <w:t>平台经济——创新、治理与繁荣</w:t>
    </w:r>
  </w:p>
</w:hdr>
</file>

<file path=word/header2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1"/>
        <w:szCs w:val="11"/>
      </w:rPr>
    </w:sdtEndPr>
    <w:sdtContent>
      <w:p>
        <w:pPr>
          <w:ind w:left="2072"/>
          <w:spacing w:line="175" w:lineRule="auto"/>
          <w:rPr>
            <w:rFonts w:ascii="SimSun" w:hAnsi="SimSun" w:eastAsia="SimSun" w:cs="SimSun"/>
            <w:sz w:val="11"/>
            <w:szCs w:val="11"/>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83">
          <w:r>
            <w:rPr>
              <w:rFonts w:ascii="SimSun" w:hAnsi="SimSun" w:eastAsia="SimSun" w:cs="SimSun"/>
              <w:sz w:val="11"/>
              <w:szCs w:val="11"/>
              <w:spacing w:val="-5"/>
            </w:rPr>
            <w:t>291</w:t>
          </w:r>
        </w:hyperlink>
      </w:p>
    </w:sdtContent>
  </w:sdt>
</w:hdr>
</file>

<file path=word/header2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3"/>
      </w:rPr>
      <w:t>292</w:t>
    </w:r>
    <w:r>
      <w:rPr>
        <w:rFonts w:ascii="SimSun" w:hAnsi="SimSun" w:eastAsia="SimSun" w:cs="SimSun"/>
        <w:sz w:val="12"/>
        <w:szCs w:val="12"/>
        <w:spacing w:val="1"/>
        <w:position w:val="-3"/>
      </w:rPr>
      <w:t xml:space="preserve">                             </w:t>
    </w:r>
    <w:r>
      <w:rPr>
        <w:rFonts w:ascii="SimHei" w:hAnsi="SimHei" w:eastAsia="SimHei" w:cs="SimHei"/>
        <w:sz w:val="16"/>
        <w:szCs w:val="16"/>
        <w:spacing w:val="-6"/>
      </w:rPr>
      <w:t>平台经济——创新、治理与繁荣</w:t>
    </w:r>
  </w:p>
</w:hdr>
</file>

<file path=word/header2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72"/>
          <w:spacing w:line="175" w:lineRule="auto"/>
          <w:rPr>
            <w:rFonts w:ascii="SimSun" w:hAnsi="SimSun" w:eastAsia="SimSun" w:cs="SimSun"/>
            <w:sz w:val="12"/>
            <w:szCs w:val="12"/>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84">
          <w:r>
            <w:rPr>
              <w:rFonts w:ascii="SimSun" w:hAnsi="SimSun" w:eastAsia="SimSun" w:cs="SimSun"/>
              <w:sz w:val="12"/>
              <w:szCs w:val="12"/>
              <w:spacing w:val="-5"/>
            </w:rPr>
            <w:t>293</w:t>
          </w:r>
        </w:hyperlink>
      </w:p>
    </w:sdtContent>
  </w:sdt>
</w:hdr>
</file>

<file path=word/header2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1"/>
      <w:spacing w:line="167" w:lineRule="auto"/>
      <w:rPr>
        <w:rFonts w:ascii="SimHei" w:hAnsi="SimHei" w:eastAsia="SimHei" w:cs="SimHei"/>
        <w:sz w:val="16"/>
        <w:szCs w:val="16"/>
      </w:rPr>
    </w:pPr>
    <w:r>
      <w:rPr>
        <w:rFonts w:ascii="SimSun" w:hAnsi="SimSun" w:eastAsia="SimSun" w:cs="SimSun"/>
        <w:sz w:val="12"/>
        <w:szCs w:val="12"/>
        <w:spacing w:val="-4"/>
        <w:position w:val="-2"/>
      </w:rPr>
      <w:t>294                               </w:t>
    </w:r>
    <w:r>
      <w:rPr>
        <w:rFonts w:ascii="SimHei" w:hAnsi="SimHei" w:eastAsia="SimHei" w:cs="SimHei"/>
        <w:sz w:val="16"/>
        <w:szCs w:val="16"/>
        <w:spacing w:val="-4"/>
      </w:rPr>
      <w:t>平台经济——创新、治理与繁荣</w:t>
    </w:r>
  </w:p>
</w:hdr>
</file>

<file path=word/header2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92"/>
          <w:spacing w:line="175" w:lineRule="auto"/>
          <w:rPr>
            <w:rFonts w:ascii="SimSun" w:hAnsi="SimSun" w:eastAsia="SimSun" w:cs="SimSun"/>
            <w:sz w:val="12"/>
            <w:szCs w:val="12"/>
          </w:rPr>
        </w:pPr>
        <w:r>
          <w:rPr>
            <w:rFonts w:ascii="SimHei" w:hAnsi="SimHei" w:eastAsia="SimHei" w:cs="SimHei"/>
            <w:sz w:val="16"/>
            <w:szCs w:val="16"/>
            <w:b/>
            <w:bCs/>
            <w:spacing w:val="-7"/>
          </w:rPr>
          <w:t>第八章</w:t>
        </w:r>
        <w:r>
          <w:rPr>
            <w:rFonts w:ascii="SimHei" w:hAnsi="SimHei" w:eastAsia="SimHei" w:cs="SimHei"/>
            <w:sz w:val="16"/>
            <w:szCs w:val="16"/>
            <w:spacing w:val="-7"/>
          </w:rPr>
          <w:t xml:space="preserve">  </w:t>
        </w:r>
        <w:r>
          <w:rPr>
            <w:rFonts w:ascii="SimHei" w:hAnsi="SimHei" w:eastAsia="SimHei" w:cs="SimHei"/>
            <w:sz w:val="16"/>
            <w:szCs w:val="16"/>
            <w:b/>
            <w:bCs/>
            <w:spacing w:val="-7"/>
          </w:rPr>
          <w:t>平台的经济学分析</w:t>
        </w:r>
        <w:r>
          <w:rPr>
            <w:rFonts w:ascii="SimHei" w:hAnsi="SimHei" w:eastAsia="SimHei" w:cs="SimHei"/>
            <w:sz w:val="16"/>
            <w:szCs w:val="16"/>
            <w:spacing w:val="2"/>
          </w:rPr>
          <w:t xml:space="preserve">                      </w:t>
        </w:r>
        <w:hyperlink w:history="true" w:anchor="bookmark85">
          <w:r>
            <w:rPr>
              <w:rFonts w:ascii="SimSun" w:hAnsi="SimSun" w:eastAsia="SimSun" w:cs="SimSun"/>
              <w:sz w:val="12"/>
              <w:szCs w:val="12"/>
              <w:spacing w:val="-7"/>
              <w:position w:val="-1"/>
            </w:rPr>
            <w:t>295</w:t>
          </w:r>
        </w:hyperlink>
      </w:p>
    </w:sdtContent>
  </w:sdt>
</w:hdr>
</file>

<file path=word/header2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296</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2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80"/>
          <w:spacing w:line="167" w:lineRule="auto"/>
          <w:rPr>
            <w:rFonts w:ascii="SimSun" w:hAnsi="SimSun" w:eastAsia="SimSun" w:cs="SimSun"/>
            <w:sz w:val="12"/>
            <w:szCs w:val="12"/>
          </w:rPr>
        </w:pPr>
        <w:r>
          <w:rPr>
            <w:rFonts w:ascii="SimHei" w:hAnsi="SimHei" w:eastAsia="SimHei" w:cs="SimHei"/>
            <w:sz w:val="16"/>
            <w:szCs w:val="16"/>
            <w:spacing w:val="-5"/>
          </w:rPr>
          <w:t>第八章</w:t>
        </w:r>
        <w:r>
          <w:rPr>
            <w:rFonts w:ascii="SimHei" w:hAnsi="SimHei" w:eastAsia="SimHei" w:cs="SimHei"/>
            <w:sz w:val="16"/>
            <w:szCs w:val="16"/>
            <w:spacing w:val="-5"/>
          </w:rPr>
          <w:t xml:space="preserve">  </w:t>
        </w:r>
        <w:r>
          <w:rPr>
            <w:rFonts w:ascii="SimHei" w:hAnsi="SimHei" w:eastAsia="SimHei" w:cs="SimHei"/>
            <w:sz w:val="16"/>
            <w:szCs w:val="16"/>
            <w:spacing w:val="-5"/>
          </w:rPr>
          <w:t>平台的经济学分析</w:t>
        </w:r>
        <w:r>
          <w:rPr>
            <w:rFonts w:ascii="SimHei" w:hAnsi="SimHei" w:eastAsia="SimHei" w:cs="SimHei"/>
            <w:sz w:val="16"/>
            <w:szCs w:val="16"/>
            <w:spacing w:val="2"/>
          </w:rPr>
          <w:t xml:space="preserve">                      </w:t>
        </w:r>
        <w:hyperlink w:history="true" w:anchor="bookmark86">
          <w:r>
            <w:rPr>
              <w:rFonts w:ascii="SimSun" w:hAnsi="SimSun" w:eastAsia="SimSun" w:cs="SimSun"/>
              <w:sz w:val="12"/>
              <w:szCs w:val="12"/>
              <w:spacing w:val="-5"/>
              <w:position w:val="-2"/>
            </w:rPr>
            <w:t>297</w:t>
          </w:r>
        </w:hyperlink>
      </w:p>
    </w:sdtContent>
  </w:sdt>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7" w:lineRule="auto"/>
      <w:rPr>
        <w:rFonts w:ascii="SimHei" w:hAnsi="SimHei" w:eastAsia="SimHei" w:cs="SimHei"/>
        <w:sz w:val="16"/>
        <w:szCs w:val="16"/>
      </w:rPr>
    </w:pPr>
    <w:r>
      <w:rPr>
        <w:rFonts w:ascii="SimSun" w:hAnsi="SimSun" w:eastAsia="SimSun" w:cs="SimSun"/>
        <w:sz w:val="12"/>
        <w:szCs w:val="12"/>
        <w:spacing w:val="-5"/>
        <w:position w:val="-2"/>
      </w:rPr>
      <w:t>028</w:t>
    </w:r>
    <w:r>
      <w:rPr>
        <w:rFonts w:ascii="SimSun" w:hAnsi="SimSun" w:eastAsia="SimSun" w:cs="SimSun"/>
        <w:sz w:val="12"/>
        <w:szCs w:val="12"/>
        <w:spacing w:val="1"/>
        <w:position w:val="-2"/>
      </w:rPr>
      <w:t xml:space="preserve">                             </w:t>
    </w:r>
    <w:r>
      <w:rPr>
        <w:rFonts w:ascii="SimHei" w:hAnsi="SimHei" w:eastAsia="SimHei" w:cs="SimHei"/>
        <w:sz w:val="16"/>
        <w:szCs w:val="16"/>
        <w:spacing w:val="-5"/>
      </w:rPr>
      <w:t>平台经济——创新、治理与繁荣</w:t>
    </w:r>
  </w:p>
</w:hdr>
</file>

<file path=word/header2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68" w:lineRule="auto"/>
      <w:rPr>
        <w:rFonts w:ascii="YouYuan" w:hAnsi="YouYuan" w:eastAsia="YouYuan" w:cs="YouYuan"/>
        <w:sz w:val="16"/>
        <w:szCs w:val="16"/>
      </w:rPr>
    </w:pPr>
    <w:r>
      <w:rPr>
        <w:rFonts w:ascii="SimSun" w:hAnsi="SimSun" w:eastAsia="SimSun" w:cs="SimSun"/>
        <w:sz w:val="12"/>
        <w:szCs w:val="12"/>
        <w:b/>
        <w:bCs/>
        <w:spacing w:val="-3"/>
        <w:position w:val="-3"/>
      </w:rPr>
      <w:t>298</w:t>
    </w:r>
    <w:r>
      <w:rPr>
        <w:rFonts w:ascii="SimSun" w:hAnsi="SimSun" w:eastAsia="SimSun" w:cs="SimSun"/>
        <w:sz w:val="12"/>
        <w:szCs w:val="12"/>
        <w:spacing w:val="-3"/>
        <w:position w:val="-3"/>
      </w:rPr>
      <w:t xml:space="preserve">                              </w:t>
    </w:r>
    <w:r>
      <w:rPr>
        <w:rFonts w:ascii="YouYuan" w:hAnsi="YouYuan" w:eastAsia="YouYuan" w:cs="YouYuan"/>
        <w:sz w:val="16"/>
        <w:szCs w:val="16"/>
        <w:spacing w:val="-3"/>
      </w:rPr>
      <w:t>平台经济——创新、治理与繁荣</w:t>
    </w:r>
  </w:p>
</w:hdr>
</file>

<file path=word/header2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2062"/>
          <w:spacing w:line="174" w:lineRule="auto"/>
          <w:rPr>
            <w:rFonts w:ascii="SimSun" w:hAnsi="SimSun" w:eastAsia="SimSun" w:cs="SimSun"/>
            <w:sz w:val="13"/>
            <w:szCs w:val="13"/>
          </w:rPr>
        </w:pPr>
        <w:r>
          <w:rPr>
            <w:rFonts w:ascii="SimHei" w:hAnsi="SimHei" w:eastAsia="SimHei" w:cs="SimHei"/>
            <w:sz w:val="16"/>
            <w:szCs w:val="16"/>
            <w:b/>
            <w:bCs/>
            <w:spacing w:val="-5"/>
          </w:rPr>
          <w:t>第八章</w:t>
        </w:r>
        <w:r>
          <w:rPr>
            <w:rFonts w:ascii="SimHei" w:hAnsi="SimHei" w:eastAsia="SimHei" w:cs="SimHei"/>
            <w:sz w:val="16"/>
            <w:szCs w:val="16"/>
            <w:spacing w:val="-5"/>
          </w:rPr>
          <w:t xml:space="preserve">  </w:t>
        </w:r>
        <w:r>
          <w:rPr>
            <w:rFonts w:ascii="SimHei" w:hAnsi="SimHei" w:eastAsia="SimHei" w:cs="SimHei"/>
            <w:sz w:val="16"/>
            <w:szCs w:val="16"/>
            <w:b/>
            <w:bCs/>
            <w:spacing w:val="-5"/>
          </w:rPr>
          <w:t>平台的经济学分析</w:t>
        </w:r>
        <w:r>
          <w:rPr>
            <w:rFonts w:ascii="SimHei" w:hAnsi="SimHei" w:eastAsia="SimHei" w:cs="SimHei"/>
            <w:sz w:val="16"/>
            <w:szCs w:val="16"/>
            <w:spacing w:val="-5"/>
          </w:rPr>
          <w:t xml:space="preserve">                        </w:t>
        </w:r>
        <w:hyperlink w:history="true" w:anchor="bookmark87">
          <w:r>
            <w:rPr>
              <w:rFonts w:ascii="SimSun" w:hAnsi="SimSun" w:eastAsia="SimSun" w:cs="SimSun"/>
              <w:sz w:val="13"/>
              <w:szCs w:val="13"/>
              <w:spacing w:val="-5"/>
              <w:position w:val="-1"/>
            </w:rPr>
            <w:t>299</w:t>
          </w:r>
        </w:hyperlink>
      </w:p>
    </w:sdtContent>
  </w:sdt>
</w:hdr>
</file>

<file path=word/header2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300                              </w:t>
    </w:r>
    <w:r>
      <w:rPr>
        <w:rFonts w:ascii="SimHei" w:hAnsi="SimHei" w:eastAsia="SimHei" w:cs="SimHei"/>
        <w:sz w:val="16"/>
        <w:szCs w:val="16"/>
        <w:spacing w:val="-3"/>
      </w:rPr>
      <w:t>平台经济——创新、治理与繁荣</w:t>
    </w:r>
  </w:p>
</w:hdr>
</file>

<file path=word/header2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1"/>
        <w:szCs w:val="11"/>
      </w:rPr>
    </w:sdtEndPr>
    <w:sdtContent>
      <w:p>
        <w:pPr>
          <w:ind w:left="2071"/>
          <w:spacing w:line="174" w:lineRule="auto"/>
          <w:rPr>
            <w:rFonts w:ascii="SimSun" w:hAnsi="SimSun" w:eastAsia="SimSun" w:cs="SimSun"/>
            <w:sz w:val="11"/>
            <w:szCs w:val="11"/>
          </w:rPr>
        </w:pPr>
        <w:r>
          <w:rPr>
            <w:rFonts w:ascii="SimHei" w:hAnsi="SimHei" w:eastAsia="SimHei" w:cs="SimHei"/>
            <w:sz w:val="14"/>
            <w:szCs w:val="14"/>
            <w:b/>
            <w:bCs/>
            <w:spacing w:val="6"/>
          </w:rPr>
          <w:t>第八章</w:t>
        </w:r>
        <w:r>
          <w:rPr>
            <w:rFonts w:ascii="SimHei" w:hAnsi="SimHei" w:eastAsia="SimHei" w:cs="SimHei"/>
            <w:sz w:val="14"/>
            <w:szCs w:val="14"/>
            <w:spacing w:val="27"/>
            <w:w w:val="101"/>
          </w:rPr>
          <w:t xml:space="preserve">  </w:t>
        </w:r>
        <w:r>
          <w:rPr>
            <w:rFonts w:ascii="SimHei" w:hAnsi="SimHei" w:eastAsia="SimHei" w:cs="SimHei"/>
            <w:sz w:val="14"/>
            <w:szCs w:val="14"/>
            <w:b/>
            <w:bCs/>
            <w:spacing w:val="6"/>
          </w:rPr>
          <w:t>平台的经济学分析</w:t>
        </w:r>
        <w:r>
          <w:rPr>
            <w:rFonts w:ascii="SimHei" w:hAnsi="SimHei" w:eastAsia="SimHei" w:cs="SimHei"/>
            <w:sz w:val="14"/>
            <w:szCs w:val="14"/>
            <w:spacing w:val="2"/>
          </w:rPr>
          <w:t xml:space="preserve">                         </w:t>
        </w:r>
        <w:hyperlink w:history="true" w:anchor="bookmark88">
          <w:r>
            <w:rPr>
              <w:rFonts w:ascii="SimSun" w:hAnsi="SimSun" w:eastAsia="SimSun" w:cs="SimSun"/>
              <w:sz w:val="11"/>
              <w:szCs w:val="11"/>
              <w:spacing w:val="6"/>
            </w:rPr>
            <w:t>301</w:t>
          </w:r>
        </w:hyperlink>
      </w:p>
    </w:sdtContent>
  </w:sdt>
</w:hdr>
</file>

<file path=word/header2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7"/>
        <w:position w:val="-1"/>
      </w:rPr>
      <w:t>306</w:t>
    </w:r>
    <w:r>
      <w:rPr>
        <w:rFonts w:ascii="SimSun" w:hAnsi="SimSun" w:eastAsia="SimSun" w:cs="SimSun"/>
        <w:sz w:val="13"/>
        <w:szCs w:val="13"/>
        <w:spacing w:val="1"/>
        <w:position w:val="-1"/>
      </w:rPr>
      <w:t xml:space="preserve">                           </w:t>
    </w:r>
    <w:r>
      <w:rPr>
        <w:rFonts w:ascii="SimHei" w:hAnsi="SimHei" w:eastAsia="SimHei" w:cs="SimHei"/>
        <w:sz w:val="16"/>
        <w:szCs w:val="16"/>
        <w:spacing w:val="-7"/>
      </w:rPr>
      <w:t>平台经济——创新、治理与繁荣</w:t>
    </w:r>
  </w:p>
</w:hdr>
</file>

<file path=word/header2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1"/>
        <w:szCs w:val="11"/>
      </w:rPr>
    </w:sdtEndPr>
    <w:sdtContent>
      <w:p>
        <w:pPr>
          <w:ind w:left="1950"/>
          <w:spacing w:line="175" w:lineRule="auto"/>
          <w:rPr>
            <w:rFonts w:ascii="SimSun" w:hAnsi="SimSun" w:eastAsia="SimSun" w:cs="SimSun"/>
            <w:sz w:val="11"/>
            <w:szCs w:val="11"/>
          </w:rPr>
        </w:pPr>
        <w:r>
          <w:rPr>
            <w:rFonts w:ascii="SimHei" w:hAnsi="SimHei" w:eastAsia="SimHei" w:cs="SimHei"/>
            <w:sz w:val="16"/>
            <w:szCs w:val="16"/>
            <w:spacing w:val="-5"/>
          </w:rPr>
          <w:t>第九章</w:t>
        </w:r>
        <w:r>
          <w:rPr>
            <w:rFonts w:ascii="SimHei" w:hAnsi="SimHei" w:eastAsia="SimHei" w:cs="SimHei"/>
            <w:sz w:val="16"/>
            <w:szCs w:val="16"/>
            <w:spacing w:val="-5"/>
          </w:rPr>
          <w:t xml:space="preserve">  </w:t>
        </w:r>
        <w:r>
          <w:rPr>
            <w:rFonts w:ascii="SimHei" w:hAnsi="SimHei" w:eastAsia="SimHei" w:cs="SimHei"/>
            <w:sz w:val="16"/>
            <w:szCs w:val="16"/>
            <w:spacing w:val="-5"/>
          </w:rPr>
          <w:t>平台经济中的数据治理</w:t>
        </w:r>
        <w:r>
          <w:rPr>
            <w:rFonts w:ascii="SimHei" w:hAnsi="SimHei" w:eastAsia="SimHei" w:cs="SimHei"/>
            <w:sz w:val="16"/>
            <w:szCs w:val="16"/>
            <w:spacing w:val="3"/>
          </w:rPr>
          <w:t xml:space="preserve">                    </w:t>
        </w:r>
        <w:hyperlink w:history="true" w:anchor="bookmark89">
          <w:r>
            <w:rPr>
              <w:rFonts w:ascii="SimSun" w:hAnsi="SimSun" w:eastAsia="SimSun" w:cs="SimSun"/>
              <w:sz w:val="11"/>
              <w:szCs w:val="11"/>
              <w:spacing w:val="-5"/>
            </w:rPr>
            <w:t>307</w:t>
          </w:r>
        </w:hyperlink>
      </w:p>
    </w:sdtContent>
  </w:sdt>
</w:hdr>
</file>

<file path=word/header2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75" w:lineRule="auto"/>
      <w:rPr>
        <w:rFonts w:ascii="SimHei" w:hAnsi="SimHei" w:eastAsia="SimHei" w:cs="SimHei"/>
        <w:sz w:val="16"/>
        <w:szCs w:val="16"/>
      </w:rPr>
    </w:pPr>
    <w:r>
      <w:rPr>
        <w:rFonts w:ascii="SimSun" w:hAnsi="SimSun" w:eastAsia="SimSun" w:cs="SimSun"/>
        <w:sz w:val="12"/>
        <w:szCs w:val="12"/>
        <w:b/>
        <w:bCs/>
        <w:spacing w:val="-4"/>
        <w:position w:val="-1"/>
      </w:rPr>
      <w:t>308</w:t>
    </w:r>
    <w:r>
      <w:rPr>
        <w:rFonts w:ascii="SimSun" w:hAnsi="SimSun" w:eastAsia="SimSun" w:cs="SimSun"/>
        <w:sz w:val="12"/>
        <w:szCs w:val="12"/>
        <w:spacing w:val="-4"/>
        <w:position w:val="-1"/>
      </w:rPr>
      <w:t xml:space="preserve">                              </w:t>
    </w:r>
    <w:r>
      <w:rPr>
        <w:rFonts w:ascii="SimSun" w:hAnsi="SimSun" w:eastAsia="SimSun" w:cs="SimSun"/>
        <w:sz w:val="12"/>
        <w:szCs w:val="12"/>
        <w:spacing w:val="-5"/>
        <w:position w:val="-1"/>
      </w:rPr>
      <w:t xml:space="preserve"> </w:t>
    </w:r>
    <w:r>
      <w:rPr>
        <w:rFonts w:ascii="SimHei" w:hAnsi="SimHei" w:eastAsia="SimHei" w:cs="SimHei"/>
        <w:sz w:val="16"/>
        <w:szCs w:val="16"/>
        <w:b/>
        <w:bCs/>
        <w:spacing w:val="-5"/>
      </w:rPr>
      <w:t>平台经济——创新、治理与繁荣</w:t>
    </w:r>
  </w:p>
</w:hdr>
</file>

<file path=word/header2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922"/>
          <w:spacing w:line="169" w:lineRule="auto"/>
          <w:rPr>
            <w:rFonts w:ascii="SimSun" w:hAnsi="SimSun" w:eastAsia="SimSun" w:cs="SimSun"/>
            <w:sz w:val="12"/>
            <w:szCs w:val="12"/>
          </w:rPr>
        </w:pPr>
        <w:r>
          <w:rPr>
            <w:rFonts w:ascii="SimHei" w:hAnsi="SimHei" w:eastAsia="SimHei" w:cs="SimHei"/>
            <w:sz w:val="16"/>
            <w:szCs w:val="16"/>
            <w:b/>
            <w:bCs/>
            <w:spacing w:val="-1"/>
          </w:rPr>
          <w:t>第九章</w:t>
        </w:r>
        <w:r>
          <w:rPr>
            <w:rFonts w:ascii="SimHei" w:hAnsi="SimHei" w:eastAsia="SimHei" w:cs="SimHei"/>
            <w:sz w:val="16"/>
            <w:szCs w:val="16"/>
            <w:spacing w:val="-1"/>
          </w:rPr>
          <w:t xml:space="preserve"> </w:t>
        </w:r>
        <w:r>
          <w:rPr>
            <w:rFonts w:ascii="SimHei" w:hAnsi="SimHei" w:eastAsia="SimHei" w:cs="SimHei"/>
            <w:sz w:val="16"/>
            <w:szCs w:val="16"/>
            <w:b/>
            <w:bCs/>
            <w:spacing w:val="-1"/>
          </w:rPr>
          <w:t>平台经济中的数据治理</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90">
          <w:r>
            <w:rPr>
              <w:rFonts w:ascii="SimSun" w:hAnsi="SimSun" w:eastAsia="SimSun" w:cs="SimSun"/>
              <w:sz w:val="12"/>
              <w:szCs w:val="12"/>
              <w:spacing w:val="-2"/>
              <w:position w:val="-2"/>
            </w:rPr>
            <w:t>309</w:t>
          </w:r>
        </w:hyperlink>
      </w:p>
    </w:sdtContent>
  </w:sdt>
</w:hdr>
</file>

<file path=word/header2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310                          </w:t>
    </w:r>
    <w:r>
      <w:rPr>
        <w:rFonts w:ascii="SimSun" w:hAnsi="SimSun" w:eastAsia="SimSun" w:cs="SimSun"/>
        <w:sz w:val="12"/>
        <w:szCs w:val="12"/>
        <w:spacing w:val="-5"/>
        <w:position w:val="-2"/>
      </w:rPr>
      <w:t xml:space="preserve">     </w:t>
    </w:r>
    <w:r>
      <w:rPr>
        <w:rFonts w:ascii="SimHei" w:hAnsi="SimHei" w:eastAsia="SimHei" w:cs="SimHei"/>
        <w:sz w:val="16"/>
        <w:szCs w:val="16"/>
        <w:b/>
        <w:bCs/>
        <w:spacing w:val="-5"/>
      </w:rPr>
      <w:t>平台经济——创新、治理与繁荣</w:t>
    </w:r>
  </w:p>
</w:hdr>
</file>

<file path=word/header2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922"/>
          <w:spacing w:line="175" w:lineRule="auto"/>
          <w:rPr>
            <w:rFonts w:ascii="SimSun" w:hAnsi="SimSun" w:eastAsia="SimSun" w:cs="SimSun"/>
            <w:sz w:val="13"/>
            <w:szCs w:val="13"/>
          </w:rPr>
        </w:pPr>
        <w:r>
          <w:rPr>
            <w:rFonts w:ascii="YouYuan" w:hAnsi="YouYuan" w:eastAsia="YouYuan" w:cs="YouYuan"/>
            <w:sz w:val="16"/>
            <w:szCs w:val="16"/>
            <w:b/>
            <w:bCs/>
            <w:spacing w:val="-7"/>
          </w:rPr>
          <w:t>第九章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平台经济中的数据治理</w:t>
        </w:r>
        <w:r>
          <w:rPr>
            <w:rFonts w:ascii="YouYuan" w:hAnsi="YouYuan" w:eastAsia="YouYuan" w:cs="YouYuan"/>
            <w:sz w:val="16"/>
            <w:szCs w:val="16"/>
            <w:spacing w:val="3"/>
          </w:rPr>
          <w:t xml:space="preserve">                    </w:t>
        </w:r>
        <w:hyperlink w:history="true" w:anchor="bookmark91">
          <w:r>
            <w:rPr>
              <w:rFonts w:ascii="SimSun" w:hAnsi="SimSun" w:eastAsia="SimSun" w:cs="SimSun"/>
              <w:sz w:val="13"/>
              <w:szCs w:val="13"/>
              <w:spacing w:val="-7"/>
              <w:position w:val="-2"/>
            </w:rPr>
            <w:t>311</w:t>
          </w:r>
        </w:hyperlink>
      </w:p>
    </w:sdtContent>
  </w:sdt>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2"/>
      <w:spacing w:line="161" w:lineRule="auto"/>
      <w:rPr>
        <w:rFonts w:ascii="SimSun" w:hAnsi="SimSun" w:eastAsia="SimSun" w:cs="SimSun"/>
        <w:sz w:val="12"/>
        <w:szCs w:val="12"/>
      </w:rPr>
    </w:pPr>
    <w:r>
      <w:rPr>
        <w:rFonts w:ascii="YouYuan" w:hAnsi="YouYuan" w:eastAsia="YouYuan" w:cs="YouYuan"/>
        <w:sz w:val="16"/>
        <w:szCs w:val="16"/>
        <w:b/>
        <w:bCs/>
        <w:spacing w:val="-7"/>
      </w:rPr>
      <w:t>第一章</w:t>
    </w:r>
    <w:r>
      <w:rPr>
        <w:rFonts w:ascii="YouYuan" w:hAnsi="YouYuan" w:eastAsia="YouYuan" w:cs="YouYuan"/>
        <w:sz w:val="16"/>
        <w:szCs w:val="16"/>
        <w:spacing w:val="-7"/>
      </w:rPr>
      <w:t xml:space="preserve">  </w:t>
    </w:r>
    <w:r>
      <w:rPr>
        <w:rFonts w:ascii="YouYuan" w:hAnsi="YouYuan" w:eastAsia="YouYuan" w:cs="YouYuan"/>
        <w:sz w:val="16"/>
        <w:szCs w:val="16"/>
        <w:b/>
        <w:bCs/>
        <w:spacing w:val="-7"/>
      </w:rPr>
      <w:t>重塑平台经济：走向有序发展与共同富裕</w:t>
    </w:r>
    <w:r>
      <w:rPr>
        <w:rFonts w:ascii="YouYuan" w:hAnsi="YouYuan" w:eastAsia="YouYuan" w:cs="YouYuan"/>
        <w:sz w:val="16"/>
        <w:szCs w:val="16"/>
        <w:spacing w:val="1"/>
      </w:rPr>
      <w:t xml:space="preserve">             </w:t>
    </w:r>
    <w:r>
      <w:rPr>
        <w:rFonts w:ascii="SimSun" w:hAnsi="SimSun" w:eastAsia="SimSun" w:cs="SimSun"/>
        <w:sz w:val="12"/>
        <w:szCs w:val="12"/>
        <w:spacing w:val="-7"/>
        <w:position w:val="-4"/>
      </w:rPr>
      <w:t>029</w:t>
    </w:r>
  </w:p>
</w:hdr>
</file>

<file path=word/header2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4"/>
        <w:position w:val="-2"/>
      </w:rPr>
      <w:t>312                               </w:t>
    </w:r>
    <w:r>
      <w:rPr>
        <w:rFonts w:ascii="SimHei" w:hAnsi="SimHei" w:eastAsia="SimHei" w:cs="SimHei"/>
        <w:sz w:val="16"/>
        <w:szCs w:val="16"/>
        <w:spacing w:val="-4"/>
      </w:rPr>
      <w:t>平台经济——创新、治理与繁荣</w:t>
    </w:r>
  </w:p>
</w:hdr>
</file>

<file path=word/header2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37"/>
          <w:spacing w:line="175" w:lineRule="auto"/>
          <w:rPr>
            <w:rFonts w:ascii="SimSun" w:hAnsi="SimSun" w:eastAsia="SimSun" w:cs="SimSun"/>
            <w:sz w:val="12"/>
            <w:szCs w:val="12"/>
          </w:rPr>
        </w:pPr>
        <w:r>
          <w:rPr>
            <w:rFonts w:ascii="SimHei" w:hAnsi="SimHei" w:eastAsia="SimHei" w:cs="SimHei"/>
            <w:sz w:val="16"/>
            <w:szCs w:val="16"/>
            <w:b/>
            <w:bCs/>
            <w:spacing w:val="-5"/>
          </w:rPr>
          <w:t>第九章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平台经济中的数据治理</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92">
          <w:r>
            <w:rPr>
              <w:rFonts w:ascii="SimSun" w:hAnsi="SimSun" w:eastAsia="SimSun" w:cs="SimSun"/>
              <w:sz w:val="12"/>
              <w:szCs w:val="12"/>
              <w:spacing w:val="-6"/>
              <w:position w:val="-1"/>
            </w:rPr>
            <w:t>313</w:t>
          </w:r>
        </w:hyperlink>
      </w:p>
    </w:sdtContent>
  </w:sdt>
</w:hdr>
</file>

<file path=word/header2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9" w:lineRule="auto"/>
      <w:rPr>
        <w:rFonts w:ascii="YouYuan" w:hAnsi="YouYuan" w:eastAsia="YouYuan" w:cs="YouYuan"/>
        <w:sz w:val="16"/>
        <w:szCs w:val="16"/>
      </w:rPr>
    </w:pPr>
    <w:r>
      <w:rPr>
        <w:rFonts w:ascii="SimSun" w:hAnsi="SimSun" w:eastAsia="SimSun" w:cs="SimSun"/>
        <w:sz w:val="12"/>
        <w:szCs w:val="12"/>
        <w:spacing w:val="-3"/>
        <w:position w:val="-2"/>
      </w:rPr>
      <w:t>314                              </w:t>
    </w:r>
    <w:r>
      <w:rPr>
        <w:rFonts w:ascii="YouYuan" w:hAnsi="YouYuan" w:eastAsia="YouYuan" w:cs="YouYuan"/>
        <w:sz w:val="16"/>
        <w:szCs w:val="16"/>
        <w:spacing w:val="-3"/>
      </w:rPr>
      <w:t>平台经济——创新、治理与繁荣</w:t>
    </w:r>
  </w:p>
</w:hdr>
</file>

<file path=word/header2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922"/>
          <w:spacing w:line="169" w:lineRule="auto"/>
          <w:rPr>
            <w:rFonts w:ascii="SimSun" w:hAnsi="SimSun" w:eastAsia="SimSun" w:cs="SimSun"/>
            <w:sz w:val="12"/>
            <w:szCs w:val="12"/>
          </w:rPr>
        </w:pPr>
        <w:r>
          <w:rPr>
            <w:rFonts w:ascii="SimHei" w:hAnsi="SimHei" w:eastAsia="SimHei" w:cs="SimHei"/>
            <w:sz w:val="16"/>
            <w:szCs w:val="16"/>
            <w:b/>
            <w:bCs/>
            <w:spacing w:val="-7"/>
          </w:rPr>
          <w:t>第九章</w:t>
        </w:r>
        <w:r>
          <w:rPr>
            <w:rFonts w:ascii="SimHei" w:hAnsi="SimHei" w:eastAsia="SimHei" w:cs="SimHei"/>
            <w:sz w:val="16"/>
            <w:szCs w:val="16"/>
            <w:spacing w:val="-7"/>
          </w:rPr>
          <w:t xml:space="preserve">  </w:t>
        </w:r>
        <w:r>
          <w:rPr>
            <w:rFonts w:ascii="SimHei" w:hAnsi="SimHei" w:eastAsia="SimHei" w:cs="SimHei"/>
            <w:sz w:val="16"/>
            <w:szCs w:val="16"/>
            <w:b/>
            <w:bCs/>
            <w:spacing w:val="-7"/>
          </w:rPr>
          <w:t>平台经济中的数据治理</w:t>
        </w:r>
        <w:r>
          <w:rPr>
            <w:rFonts w:ascii="SimHei" w:hAnsi="SimHei" w:eastAsia="SimHei" w:cs="SimHei"/>
            <w:sz w:val="16"/>
            <w:szCs w:val="16"/>
            <w:spacing w:val="3"/>
          </w:rPr>
          <w:t xml:space="preserve">                    </w:t>
        </w:r>
        <w:hyperlink w:history="true" w:anchor="bookmark93">
          <w:r>
            <w:rPr>
              <w:rFonts w:ascii="SimSun" w:hAnsi="SimSun" w:eastAsia="SimSun" w:cs="SimSun"/>
              <w:sz w:val="12"/>
              <w:szCs w:val="12"/>
              <w:spacing w:val="-7"/>
              <w:position w:val="-2"/>
            </w:rPr>
            <w:t>315</w:t>
          </w:r>
        </w:hyperlink>
      </w:p>
    </w:sdtContent>
  </w:sdt>
</w:hdr>
</file>

<file path=word/header2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316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2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932"/>
          <w:spacing w:line="174" w:lineRule="auto"/>
          <w:rPr>
            <w:rFonts w:ascii="SimSun" w:hAnsi="SimSun" w:eastAsia="SimSun" w:cs="SimSun"/>
            <w:sz w:val="13"/>
            <w:szCs w:val="13"/>
          </w:rPr>
        </w:pPr>
        <w:r>
          <w:rPr>
            <w:rFonts w:ascii="SimHei" w:hAnsi="SimHei" w:eastAsia="SimHei" w:cs="SimHei"/>
            <w:sz w:val="16"/>
            <w:szCs w:val="16"/>
            <w:b/>
            <w:bCs/>
            <w:spacing w:val="-6"/>
          </w:rPr>
          <w:t>第九章</w:t>
        </w:r>
        <w:r>
          <w:rPr>
            <w:rFonts w:ascii="SimHei" w:hAnsi="SimHei" w:eastAsia="SimHei" w:cs="SimHei"/>
            <w:sz w:val="16"/>
            <w:szCs w:val="16"/>
            <w:spacing w:val="-6"/>
          </w:rPr>
          <w:t xml:space="preserve">  </w:t>
        </w:r>
        <w:r>
          <w:rPr>
            <w:rFonts w:ascii="SimHei" w:hAnsi="SimHei" w:eastAsia="SimHei" w:cs="SimHei"/>
            <w:sz w:val="16"/>
            <w:szCs w:val="16"/>
            <w:b/>
            <w:bCs/>
            <w:spacing w:val="-6"/>
          </w:rPr>
          <w:t>平台经济中的数据治理</w:t>
        </w:r>
        <w:r>
          <w:rPr>
            <w:rFonts w:ascii="SimHei" w:hAnsi="SimHei" w:eastAsia="SimHei" w:cs="SimHei"/>
            <w:sz w:val="16"/>
            <w:szCs w:val="16"/>
            <w:spacing w:val="2"/>
          </w:rPr>
          <w:t xml:space="preserve">                    </w:t>
        </w:r>
        <w:hyperlink w:history="true" w:anchor="bookmark94">
          <w:r>
            <w:rPr>
              <w:rFonts w:ascii="SimSun" w:hAnsi="SimSun" w:eastAsia="SimSun" w:cs="SimSun"/>
              <w:sz w:val="13"/>
              <w:szCs w:val="13"/>
              <w:spacing w:val="-6"/>
              <w:position w:val="-1"/>
            </w:rPr>
            <w:t>317</w:t>
          </w:r>
        </w:hyperlink>
      </w:p>
    </w:sdtContent>
  </w:sdt>
</w:hdr>
</file>

<file path=word/header2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6"/>
        <w:position w:val="-3"/>
      </w:rPr>
      <w:t>318</w:t>
    </w:r>
    <w:r>
      <w:rPr>
        <w:rFonts w:ascii="SimSun" w:hAnsi="SimSun" w:eastAsia="SimSun" w:cs="SimSun"/>
        <w:sz w:val="12"/>
        <w:szCs w:val="12"/>
        <w:spacing w:val="1"/>
        <w:position w:val="-3"/>
      </w:rPr>
      <w:t xml:space="preserve">                             </w:t>
    </w:r>
    <w:r>
      <w:rPr>
        <w:rFonts w:ascii="YouYuan" w:hAnsi="YouYuan" w:eastAsia="YouYuan" w:cs="YouYuan"/>
        <w:sz w:val="16"/>
        <w:szCs w:val="16"/>
        <w:spacing w:val="-6"/>
      </w:rPr>
      <w:t>平台经济——创新、治理与繁荣</w:t>
    </w:r>
  </w:p>
</w:hdr>
</file>

<file path=word/header2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932"/>
          <w:spacing w:line="175" w:lineRule="auto"/>
          <w:rPr>
            <w:rFonts w:ascii="SimSun" w:hAnsi="SimSun" w:eastAsia="SimSun" w:cs="SimSun"/>
            <w:sz w:val="13"/>
            <w:szCs w:val="13"/>
          </w:rPr>
        </w:pPr>
        <w:r>
          <w:rPr>
            <w:rFonts w:ascii="SimHei" w:hAnsi="SimHei" w:eastAsia="SimHei" w:cs="SimHei"/>
            <w:sz w:val="16"/>
            <w:szCs w:val="16"/>
            <w:b/>
            <w:bCs/>
            <w:spacing w:val="-5"/>
          </w:rPr>
          <w:t>第九章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平台经济中的数据治理</w:t>
        </w:r>
        <w:r>
          <w:rPr>
            <w:rFonts w:ascii="SimHei" w:hAnsi="SimHei" w:eastAsia="SimHei" w:cs="SimHei"/>
            <w:sz w:val="16"/>
            <w:szCs w:val="16"/>
            <w:spacing w:val="-5"/>
          </w:rPr>
          <w:t xml:space="preserve">                      </w:t>
        </w:r>
        <w:hyperlink w:history="true" w:anchor="bookmark95">
          <w:r>
            <w:rPr>
              <w:rFonts w:ascii="SimSun" w:hAnsi="SimSun" w:eastAsia="SimSun" w:cs="SimSun"/>
              <w:sz w:val="13"/>
              <w:szCs w:val="13"/>
              <w:spacing w:val="-5"/>
            </w:rPr>
            <w:t>319</w:t>
          </w:r>
        </w:hyperlink>
      </w:p>
    </w:sdtContent>
  </w:sdt>
</w:hdr>
</file>

<file path=word/header2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3"/>
        <w:szCs w:val="13"/>
        <w:spacing w:val="-3"/>
      </w:rPr>
      <w:t>320                          </w:t>
    </w:r>
    <w:r>
      <w:rPr>
        <w:rFonts w:ascii="SimSun" w:hAnsi="SimSun" w:eastAsia="SimSun" w:cs="SimSun"/>
        <w:sz w:val="13"/>
        <w:szCs w:val="13"/>
        <w:spacing w:val="-4"/>
      </w:rPr>
      <w:t xml:space="preserve">  </w:t>
    </w:r>
    <w:r>
      <w:rPr>
        <w:rFonts w:ascii="SimHei" w:hAnsi="SimHei" w:eastAsia="SimHei" w:cs="SimHei"/>
        <w:sz w:val="16"/>
        <w:szCs w:val="16"/>
        <w:spacing w:val="-4"/>
      </w:rPr>
      <w:t>平台经济——创新、治理与繁荣</w:t>
    </w:r>
  </w:p>
</w:hdr>
</file>

<file path=word/header2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922"/>
          <w:spacing w:line="169" w:lineRule="auto"/>
          <w:rPr>
            <w:rFonts w:ascii="SimSun" w:hAnsi="SimSun" w:eastAsia="SimSun" w:cs="SimSun"/>
            <w:sz w:val="12"/>
            <w:szCs w:val="12"/>
          </w:rPr>
        </w:pPr>
        <w:r>
          <w:rPr>
            <w:rFonts w:ascii="SimHei" w:hAnsi="SimHei" w:eastAsia="SimHei" w:cs="SimHei"/>
            <w:sz w:val="16"/>
            <w:szCs w:val="16"/>
            <w:b/>
            <w:bCs/>
            <w:spacing w:val="-6"/>
          </w:rPr>
          <w:t>第九章</w:t>
        </w:r>
        <w:r>
          <w:rPr>
            <w:rFonts w:ascii="SimHei" w:hAnsi="SimHei" w:eastAsia="SimHei" w:cs="SimHei"/>
            <w:sz w:val="16"/>
            <w:szCs w:val="16"/>
            <w:spacing w:val="-6"/>
          </w:rPr>
          <w:t xml:space="preserve">  </w:t>
        </w:r>
        <w:r>
          <w:rPr>
            <w:rFonts w:ascii="SimHei" w:hAnsi="SimHei" w:eastAsia="SimHei" w:cs="SimHei"/>
            <w:sz w:val="16"/>
            <w:szCs w:val="16"/>
            <w:b/>
            <w:bCs/>
            <w:spacing w:val="-6"/>
          </w:rPr>
          <w:t>平台经济中的数据治理</w:t>
        </w:r>
        <w:r>
          <w:rPr>
            <w:rFonts w:ascii="SimHei" w:hAnsi="SimHei" w:eastAsia="SimHei" w:cs="SimHei"/>
            <w:sz w:val="16"/>
            <w:szCs w:val="16"/>
            <w:spacing w:val="2"/>
          </w:rPr>
          <w:t xml:space="preserve">                    </w:t>
        </w:r>
        <w:hyperlink w:history="true" w:anchor="bookmark96">
          <w:r>
            <w:rPr>
              <w:rFonts w:ascii="SimSun" w:hAnsi="SimSun" w:eastAsia="SimSun" w:cs="SimSun"/>
              <w:sz w:val="12"/>
              <w:szCs w:val="12"/>
              <w:spacing w:val="-6"/>
              <w:position w:val="-2"/>
            </w:rPr>
            <w:t>321</w:t>
          </w:r>
        </w:hyperlink>
      </w:p>
    </w:sdtContent>
  </w:sdt>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7" w:lineRule="auto"/>
      <w:rPr>
        <w:rFonts w:ascii="SimHei" w:hAnsi="SimHei" w:eastAsia="SimHei" w:cs="SimHei"/>
        <w:sz w:val="16"/>
        <w:szCs w:val="16"/>
      </w:rPr>
    </w:pPr>
    <w:r>
      <w:rPr>
        <w:rFonts w:ascii="SimSun" w:hAnsi="SimSun" w:eastAsia="SimSun" w:cs="SimSun"/>
        <w:sz w:val="12"/>
        <w:szCs w:val="12"/>
        <w:spacing w:val="-3"/>
        <w:position w:val="-2"/>
      </w:rPr>
      <w:t>030                              </w:t>
    </w:r>
    <w:r>
      <w:rPr>
        <w:rFonts w:ascii="SimHei" w:hAnsi="SimHei" w:eastAsia="SimHei" w:cs="SimHei"/>
        <w:sz w:val="16"/>
        <w:szCs w:val="16"/>
        <w:spacing w:val="-3"/>
      </w:rPr>
      <w:t>平台经济——创新、治理与繁荣</w:t>
    </w:r>
  </w:p>
</w:hdr>
</file>

<file path=word/header2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Sun" w:hAnsi="SimSun" w:eastAsia="SimSun" w:cs="SimSun"/>
        <w:sz w:val="12"/>
        <w:szCs w:val="12"/>
        <w:spacing w:val="2"/>
      </w:rPr>
      <w:t>322                            </w:t>
    </w:r>
    <w:r>
      <w:rPr>
        <w:rFonts w:ascii="SimSun" w:hAnsi="SimSun" w:eastAsia="SimSun" w:cs="SimSun"/>
        <w:sz w:val="12"/>
        <w:szCs w:val="12"/>
        <w:spacing w:val="1"/>
      </w:rPr>
      <w:t xml:space="preserve"> </w:t>
    </w:r>
    <w:r>
      <w:rPr>
        <w:rFonts w:ascii="SimHei" w:hAnsi="SimHei" w:eastAsia="SimHei" w:cs="SimHei"/>
        <w:sz w:val="15"/>
        <w:szCs w:val="15"/>
        <w:spacing w:val="1"/>
      </w:rPr>
      <w:t>平台经济——创新、治理与繁荣</w:t>
    </w:r>
  </w:p>
</w:hdr>
</file>

<file path=word/header2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932"/>
          <w:spacing w:line="175" w:lineRule="auto"/>
          <w:rPr>
            <w:rFonts w:ascii="SimSun" w:hAnsi="SimSun" w:eastAsia="SimSun" w:cs="SimSun"/>
            <w:sz w:val="12"/>
            <w:szCs w:val="12"/>
          </w:rPr>
        </w:pPr>
        <w:r>
          <w:rPr>
            <w:rFonts w:ascii="SimHei" w:hAnsi="SimHei" w:eastAsia="SimHei" w:cs="SimHei"/>
            <w:sz w:val="16"/>
            <w:szCs w:val="16"/>
            <w:b/>
            <w:bCs/>
            <w:spacing w:val="-1"/>
          </w:rPr>
          <w:t>第九章</w:t>
        </w:r>
        <w:r>
          <w:rPr>
            <w:rFonts w:ascii="SimHei" w:hAnsi="SimHei" w:eastAsia="SimHei" w:cs="SimHei"/>
            <w:sz w:val="16"/>
            <w:szCs w:val="16"/>
            <w:spacing w:val="-1"/>
          </w:rPr>
          <w:t xml:space="preserve"> </w:t>
        </w:r>
        <w:r>
          <w:rPr>
            <w:rFonts w:ascii="SimHei" w:hAnsi="SimHei" w:eastAsia="SimHei" w:cs="SimHei"/>
            <w:sz w:val="16"/>
            <w:szCs w:val="16"/>
            <w:b/>
            <w:bCs/>
            <w:spacing w:val="-1"/>
          </w:rPr>
          <w:t>平台经济中的数据治理</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97">
          <w:r>
            <w:rPr>
              <w:rFonts w:ascii="SimSun" w:hAnsi="SimSun" w:eastAsia="SimSun" w:cs="SimSun"/>
              <w:sz w:val="12"/>
              <w:szCs w:val="12"/>
              <w:spacing w:val="-2"/>
              <w:position w:val="-1"/>
            </w:rPr>
            <w:t>323</w:t>
          </w:r>
        </w:hyperlink>
      </w:p>
    </w:sdtContent>
  </w:sdt>
</w:hdr>
</file>

<file path=word/header2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0" w:lineRule="auto"/>
      <w:rPr>
        <w:rFonts w:ascii="SimHei" w:hAnsi="SimHei" w:eastAsia="SimHei" w:cs="SimHei"/>
        <w:sz w:val="16"/>
        <w:szCs w:val="16"/>
      </w:rPr>
    </w:pPr>
    <w:r>
      <w:rPr>
        <w:rFonts w:ascii="SimSun" w:hAnsi="SimSun" w:eastAsia="SimSun" w:cs="SimSun"/>
        <w:sz w:val="12"/>
        <w:szCs w:val="12"/>
        <w:spacing w:val="-4"/>
        <w:position w:val="-2"/>
      </w:rPr>
      <w:t>324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2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67"/>
          <w:spacing w:line="169" w:lineRule="auto"/>
          <w:rPr>
            <w:rFonts w:ascii="SimSun" w:hAnsi="SimSun" w:eastAsia="SimSun" w:cs="SimSun"/>
            <w:sz w:val="12"/>
            <w:szCs w:val="12"/>
          </w:rPr>
        </w:pPr>
        <w:r>
          <w:rPr>
            <w:rFonts w:ascii="SimHei" w:hAnsi="SimHei" w:eastAsia="SimHei" w:cs="SimHei"/>
            <w:sz w:val="16"/>
            <w:szCs w:val="16"/>
            <w:b/>
            <w:bCs/>
            <w:spacing w:val="-6"/>
          </w:rPr>
          <w:t>第九章</w:t>
        </w:r>
        <w:r>
          <w:rPr>
            <w:rFonts w:ascii="SimHei" w:hAnsi="SimHei" w:eastAsia="SimHei" w:cs="SimHei"/>
            <w:sz w:val="16"/>
            <w:szCs w:val="16"/>
            <w:spacing w:val="-6"/>
          </w:rPr>
          <w:t xml:space="preserve">  </w:t>
        </w:r>
        <w:r>
          <w:rPr>
            <w:rFonts w:ascii="SimHei" w:hAnsi="SimHei" w:eastAsia="SimHei" w:cs="SimHei"/>
            <w:sz w:val="16"/>
            <w:szCs w:val="16"/>
            <w:b/>
            <w:bCs/>
            <w:spacing w:val="-6"/>
          </w:rPr>
          <w:t>平台经济中的数据治理</w:t>
        </w:r>
        <w:r>
          <w:rPr>
            <w:rFonts w:ascii="SimHei" w:hAnsi="SimHei" w:eastAsia="SimHei" w:cs="SimHei"/>
            <w:sz w:val="16"/>
            <w:szCs w:val="16"/>
            <w:spacing w:val="-6"/>
          </w:rPr>
          <w:t xml:space="preserve">                      </w:t>
        </w:r>
        <w:hyperlink w:history="true" w:anchor="bookmark98">
          <w:r>
            <w:rPr>
              <w:rFonts w:ascii="SimSun" w:hAnsi="SimSun" w:eastAsia="SimSun" w:cs="SimSun"/>
              <w:sz w:val="12"/>
              <w:szCs w:val="12"/>
              <w:spacing w:val="-6"/>
              <w:position w:val="-2"/>
            </w:rPr>
            <w:t>325</w:t>
          </w:r>
        </w:hyperlink>
      </w:p>
    </w:sdtContent>
  </w:sdt>
</w:hdr>
</file>

<file path=word/header2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4"/>
        <w:position w:val="-3"/>
      </w:rPr>
      <w:t>326                               </w:t>
    </w:r>
    <w:r>
      <w:rPr>
        <w:rFonts w:ascii="YouYuan" w:hAnsi="YouYuan" w:eastAsia="YouYuan" w:cs="YouYuan"/>
        <w:sz w:val="16"/>
        <w:szCs w:val="16"/>
        <w:spacing w:val="-4"/>
      </w:rPr>
      <w:t>平台经济——创新、治理与繁荣</w:t>
    </w:r>
  </w:p>
</w:hdr>
</file>

<file path=word/header2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942"/>
          <w:spacing w:line="171" w:lineRule="auto"/>
          <w:rPr>
            <w:rFonts w:ascii="SimSun" w:hAnsi="SimSun" w:eastAsia="SimSun" w:cs="SimSun"/>
            <w:sz w:val="12"/>
            <w:szCs w:val="12"/>
          </w:rPr>
        </w:pPr>
        <w:r>
          <w:rPr>
            <w:rFonts w:ascii="YouYuan" w:hAnsi="YouYuan" w:eastAsia="YouYuan" w:cs="YouYuan"/>
            <w:sz w:val="16"/>
            <w:szCs w:val="16"/>
            <w:b/>
            <w:bCs/>
            <w:spacing w:val="-7"/>
          </w:rPr>
          <w:t>第九章</w:t>
        </w:r>
        <w:r>
          <w:rPr>
            <w:rFonts w:ascii="YouYuan" w:hAnsi="YouYuan" w:eastAsia="YouYuan" w:cs="YouYuan"/>
            <w:sz w:val="16"/>
            <w:szCs w:val="16"/>
            <w:spacing w:val="62"/>
          </w:rPr>
          <w:t xml:space="preserve"> </w:t>
        </w:r>
        <w:r>
          <w:rPr>
            <w:rFonts w:ascii="YouYuan" w:hAnsi="YouYuan" w:eastAsia="YouYuan" w:cs="YouYuan"/>
            <w:sz w:val="16"/>
            <w:szCs w:val="16"/>
            <w:b/>
            <w:bCs/>
            <w:spacing w:val="-7"/>
          </w:rPr>
          <w:t>平台经济中的数据治理</w:t>
        </w:r>
        <w:r>
          <w:rPr>
            <w:rFonts w:ascii="YouYuan" w:hAnsi="YouYuan" w:eastAsia="YouYuan" w:cs="YouYuan"/>
            <w:sz w:val="16"/>
            <w:szCs w:val="16"/>
            <w:spacing w:val="4"/>
          </w:rPr>
          <w:t xml:space="preserve">                    </w:t>
        </w:r>
        <w:hyperlink w:history="true" w:anchor="bookmark99">
          <w:r>
            <w:rPr>
              <w:rFonts w:ascii="SimSun" w:hAnsi="SimSun" w:eastAsia="SimSun" w:cs="SimSun"/>
              <w:sz w:val="12"/>
              <w:szCs w:val="12"/>
              <w:spacing w:val="-7"/>
              <w:position w:val="-3"/>
            </w:rPr>
            <w:t>327</w:t>
          </w:r>
        </w:hyperlink>
      </w:p>
    </w:sdtContent>
  </w:sdt>
</w:hdr>
</file>

<file path=word/header2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2"/>
        <w:szCs w:val="12"/>
        <w:spacing w:val="-3"/>
      </w:rPr>
      <w:t>328                              </w:t>
    </w:r>
    <w:r>
      <w:rPr>
        <w:rFonts w:ascii="SimHei" w:hAnsi="SimHei" w:eastAsia="SimHei" w:cs="SimHei"/>
        <w:sz w:val="16"/>
        <w:szCs w:val="16"/>
        <w:spacing w:val="-3"/>
      </w:rPr>
      <w:t>平台经济——创新、治理与繁荣</w:t>
    </w:r>
  </w:p>
</w:hdr>
</file>

<file path=word/header2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0"/>
        <w:szCs w:val="10"/>
      </w:rPr>
    </w:sdtEndPr>
    <w:sdtContent>
      <w:p>
        <w:pPr>
          <w:ind w:left="2034"/>
          <w:spacing w:line="174" w:lineRule="auto"/>
          <w:rPr>
            <w:rFonts w:ascii="SimSun" w:hAnsi="SimSun" w:eastAsia="SimSun" w:cs="SimSun"/>
            <w:sz w:val="10"/>
            <w:szCs w:val="10"/>
          </w:rPr>
        </w:pPr>
        <w:r>
          <w:rPr>
            <w:rFonts w:ascii="SimHei" w:hAnsi="SimHei" w:eastAsia="SimHei" w:cs="SimHei"/>
            <w:sz w:val="14"/>
            <w:szCs w:val="14"/>
            <w:spacing w:val="7"/>
          </w:rPr>
          <w:t>第九章</w:t>
        </w:r>
        <w:r>
          <w:rPr>
            <w:rFonts w:ascii="SimHei" w:hAnsi="SimHei" w:eastAsia="SimHei" w:cs="SimHei"/>
            <w:sz w:val="14"/>
            <w:szCs w:val="14"/>
            <w:spacing w:val="29"/>
          </w:rPr>
          <w:t xml:space="preserve">  </w:t>
        </w:r>
        <w:r>
          <w:rPr>
            <w:rFonts w:ascii="SimHei" w:hAnsi="SimHei" w:eastAsia="SimHei" w:cs="SimHei"/>
            <w:sz w:val="14"/>
            <w:szCs w:val="14"/>
            <w:spacing w:val="7"/>
          </w:rPr>
          <w:t>平台经济中的数据治理</w:t>
        </w:r>
        <w:r>
          <w:rPr>
            <w:rFonts w:ascii="SimHei" w:hAnsi="SimHei" w:eastAsia="SimHei" w:cs="SimHei"/>
            <w:sz w:val="14"/>
            <w:szCs w:val="14"/>
            <w:spacing w:val="7"/>
          </w:rPr>
          <w:t xml:space="preserve">                      </w:t>
        </w:r>
        <w:hyperlink w:history="true" w:anchor="bookmark100">
          <w:r>
            <w:rPr>
              <w:rFonts w:ascii="SimSun" w:hAnsi="SimSun" w:eastAsia="SimSun" w:cs="SimSun"/>
              <w:sz w:val="10"/>
              <w:szCs w:val="10"/>
              <w:spacing w:val="7"/>
              <w:position w:val="-1"/>
            </w:rPr>
            <w:t>329</w:t>
          </w:r>
        </w:hyperlink>
      </w:p>
    </w:sdtContent>
  </w:sdt>
</w:hdr>
</file>

<file path=word/header2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7"/>
        <w:position w:val="-3"/>
      </w:rPr>
      <w:t>330</w:t>
    </w:r>
    <w:r>
      <w:rPr>
        <w:rFonts w:ascii="SimSun" w:hAnsi="SimSun" w:eastAsia="SimSun" w:cs="SimSun"/>
        <w:sz w:val="12"/>
        <w:szCs w:val="12"/>
        <w:spacing w:val="2"/>
        <w:position w:val="-3"/>
      </w:rPr>
      <w:t xml:space="preserve">                      </w:t>
    </w:r>
    <w:r>
      <w:rPr>
        <w:rFonts w:ascii="SimSun" w:hAnsi="SimSun" w:eastAsia="SimSun" w:cs="SimSun"/>
        <w:sz w:val="12"/>
        <w:szCs w:val="12"/>
        <w:spacing w:val="1"/>
        <w:position w:val="-3"/>
      </w:rPr>
      <w:t xml:space="preserve">       </w:t>
    </w:r>
    <w:r>
      <w:rPr>
        <w:rFonts w:ascii="YouYuan" w:hAnsi="YouYuan" w:eastAsia="YouYuan" w:cs="YouYuan"/>
        <w:sz w:val="16"/>
        <w:szCs w:val="16"/>
        <w:spacing w:val="-7"/>
      </w:rPr>
      <w:t>平台经济——创新、治理与繁荣</w:t>
    </w:r>
  </w:p>
</w:hdr>
</file>

<file path=word/header2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922"/>
          <w:spacing w:line="175" w:lineRule="auto"/>
          <w:rPr>
            <w:rFonts w:ascii="SimSun" w:hAnsi="SimSun" w:eastAsia="SimSun" w:cs="SimSun"/>
            <w:sz w:val="12"/>
            <w:szCs w:val="12"/>
          </w:rPr>
        </w:pPr>
        <w:r>
          <w:rPr>
            <w:rFonts w:ascii="SimHei" w:hAnsi="SimHei" w:eastAsia="SimHei" w:cs="SimHei"/>
            <w:sz w:val="16"/>
            <w:szCs w:val="16"/>
            <w:b/>
            <w:bCs/>
            <w:spacing w:val="-5"/>
          </w:rPr>
          <w:t>第九章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平台经济中的数据治理</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101">
          <w:r>
            <w:rPr>
              <w:rFonts w:ascii="SimSun" w:hAnsi="SimSun" w:eastAsia="SimSun" w:cs="SimSun"/>
              <w:sz w:val="12"/>
              <w:szCs w:val="12"/>
              <w:spacing w:val="-6"/>
              <w:position w:val="-1"/>
            </w:rPr>
            <w:t>331</w:t>
          </w:r>
        </w:hyperlink>
      </w:p>
    </w:sdtContent>
  </w:sdt>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27"/>
      <w:spacing w:line="174" w:lineRule="auto"/>
      <w:rPr>
        <w:rFonts w:ascii="SimSun" w:hAnsi="SimSun" w:eastAsia="SimSun" w:cs="SimSun"/>
        <w:sz w:val="13"/>
        <w:szCs w:val="13"/>
      </w:rPr>
    </w:pPr>
    <w:r>
      <w:rPr>
        <w:rFonts w:ascii="SimHei" w:hAnsi="SimHei" w:eastAsia="SimHei" w:cs="SimHei"/>
        <w:sz w:val="16"/>
        <w:szCs w:val="16"/>
        <w:b/>
        <w:bCs/>
        <w:spacing w:val="-2"/>
      </w:rPr>
      <w:t>第一章</w:t>
    </w:r>
    <w:r>
      <w:rPr>
        <w:rFonts w:ascii="SimHei" w:hAnsi="SimHei" w:eastAsia="SimHei" w:cs="SimHei"/>
        <w:sz w:val="16"/>
        <w:szCs w:val="16"/>
        <w:spacing w:val="-2"/>
      </w:rPr>
      <w:t xml:space="preserve"> </w:t>
    </w:r>
    <w:r>
      <w:rPr>
        <w:rFonts w:ascii="SimHei" w:hAnsi="SimHei" w:eastAsia="SimHei" w:cs="SimHei"/>
        <w:sz w:val="16"/>
        <w:szCs w:val="16"/>
        <w:b/>
        <w:bCs/>
        <w:spacing w:val="-2"/>
      </w:rPr>
      <w:t>重塑平台经济：走向有序发展与共同富</w:t>
    </w:r>
    <w:r>
      <w:rPr>
        <w:rFonts w:ascii="SimHei" w:hAnsi="SimHei" w:eastAsia="SimHei" w:cs="SimHei"/>
        <w:sz w:val="16"/>
        <w:szCs w:val="16"/>
        <w:b/>
        <w:bCs/>
        <w:spacing w:val="-3"/>
      </w:rPr>
      <w:t>裕</w:t>
    </w:r>
    <w:r>
      <w:rPr>
        <w:rFonts w:ascii="SimHei" w:hAnsi="SimHei" w:eastAsia="SimHei" w:cs="SimHei"/>
        <w:sz w:val="16"/>
        <w:szCs w:val="16"/>
        <w:spacing w:val="-3"/>
      </w:rPr>
      <w:t xml:space="preserve">             </w:t>
    </w:r>
    <w:r>
      <w:rPr>
        <w:rFonts w:ascii="SimSun" w:hAnsi="SimSun" w:eastAsia="SimSun" w:cs="SimSun"/>
        <w:sz w:val="13"/>
        <w:szCs w:val="13"/>
        <w:spacing w:val="-3"/>
        <w:position w:val="-1"/>
      </w:rPr>
      <w:t>031</w:t>
    </w:r>
  </w:p>
</w:hdr>
</file>

<file path=word/header2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4"/>
        <w:position w:val="-1"/>
      </w:rPr>
      <w:t>332                            </w:t>
    </w:r>
    <w:r>
      <w:rPr>
        <w:rFonts w:ascii="SimHei" w:hAnsi="SimHei" w:eastAsia="SimHei" w:cs="SimHei"/>
        <w:sz w:val="16"/>
        <w:szCs w:val="16"/>
        <w:b/>
        <w:bCs/>
        <w:spacing w:val="-4"/>
      </w:rPr>
      <w:t>平台经济——创新、治理与繁荣</w:t>
    </w:r>
  </w:p>
</w:hdr>
</file>

<file path=word/header2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1"/>
        <w:szCs w:val="11"/>
      </w:rPr>
    </w:sdtEndPr>
    <w:sdtContent>
      <w:p>
        <w:pPr>
          <w:ind w:left="1942"/>
          <w:spacing w:line="172" w:lineRule="auto"/>
          <w:rPr>
            <w:rFonts w:ascii="SimSun" w:hAnsi="SimSun" w:eastAsia="SimSun" w:cs="SimSun"/>
            <w:sz w:val="11"/>
            <w:szCs w:val="11"/>
          </w:rPr>
        </w:pPr>
        <w:r>
          <w:rPr>
            <w:rFonts w:ascii="SimHei" w:hAnsi="SimHei" w:eastAsia="SimHei" w:cs="SimHei"/>
            <w:sz w:val="14"/>
            <w:szCs w:val="14"/>
            <w:b/>
            <w:bCs/>
            <w:spacing w:val="6"/>
          </w:rPr>
          <w:t>第九章</w:t>
        </w:r>
        <w:r>
          <w:rPr>
            <w:rFonts w:ascii="SimHei" w:hAnsi="SimHei" w:eastAsia="SimHei" w:cs="SimHei"/>
            <w:sz w:val="14"/>
            <w:szCs w:val="14"/>
            <w:spacing w:val="25"/>
          </w:rPr>
          <w:t xml:space="preserve">  </w:t>
        </w:r>
        <w:r>
          <w:rPr>
            <w:rFonts w:ascii="SimHei" w:hAnsi="SimHei" w:eastAsia="SimHei" w:cs="SimHei"/>
            <w:sz w:val="14"/>
            <w:szCs w:val="14"/>
            <w:b/>
            <w:bCs/>
            <w:spacing w:val="6"/>
          </w:rPr>
          <w:t>平台经济中的数据治理</w:t>
        </w:r>
        <w:r>
          <w:rPr>
            <w:rFonts w:ascii="SimHei" w:hAnsi="SimHei" w:eastAsia="SimHei" w:cs="SimHei"/>
            <w:sz w:val="14"/>
            <w:szCs w:val="14"/>
            <w:spacing w:val="3"/>
          </w:rPr>
          <w:t xml:space="preserve">                    </w:t>
        </w:r>
        <w:r>
          <w:rPr>
            <w:rFonts w:ascii="SimHei" w:hAnsi="SimHei" w:eastAsia="SimHei" w:cs="SimHei"/>
            <w:sz w:val="14"/>
            <w:szCs w:val="14"/>
            <w:spacing w:val="2"/>
          </w:rPr>
          <w:t xml:space="preserve">   </w:t>
        </w:r>
        <w:hyperlink w:history="true" w:anchor="bookmark102">
          <w:r>
            <w:rPr>
              <w:rFonts w:ascii="SimSun" w:hAnsi="SimSun" w:eastAsia="SimSun" w:cs="SimSun"/>
              <w:sz w:val="11"/>
              <w:szCs w:val="11"/>
              <w:spacing w:val="6"/>
              <w:position w:val="-1"/>
            </w:rPr>
            <w:t>333</w:t>
          </w:r>
        </w:hyperlink>
      </w:p>
    </w:sdtContent>
  </w:sdt>
</w:hdr>
</file>

<file path=word/header2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3"/>
        <w:position w:val="-1"/>
      </w:rPr>
      <w:t>338                          </w:t>
    </w:r>
    <w:r>
      <w:rPr>
        <w:rFonts w:ascii="SimSun" w:hAnsi="SimSun" w:eastAsia="SimSun" w:cs="SimSun"/>
        <w:sz w:val="13"/>
        <w:szCs w:val="13"/>
        <w:spacing w:val="-4"/>
        <w:position w:val="-1"/>
      </w:rPr>
      <w:t xml:space="preserve">  </w:t>
    </w:r>
    <w:r>
      <w:rPr>
        <w:rFonts w:ascii="SimHei" w:hAnsi="SimHei" w:eastAsia="SimHei" w:cs="SimHei"/>
        <w:sz w:val="16"/>
        <w:szCs w:val="16"/>
        <w:spacing w:val="-4"/>
      </w:rPr>
      <w:t>平台经济——创新、治理与繁荣</w:t>
    </w:r>
  </w:p>
</w:hdr>
</file>

<file path=word/header2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612"/>
          <w:spacing w:line="175" w:lineRule="auto"/>
          <w:rPr>
            <w:rFonts w:ascii="SimSun" w:hAnsi="SimSun" w:eastAsia="SimSun" w:cs="SimSun"/>
            <w:sz w:val="13"/>
            <w:szCs w:val="13"/>
          </w:rPr>
        </w:pPr>
        <w:r>
          <w:rPr>
            <w:rFonts w:ascii="YouYuan" w:hAnsi="YouYuan" w:eastAsia="YouYuan" w:cs="YouYuan"/>
            <w:sz w:val="16"/>
            <w:szCs w:val="16"/>
            <w:b/>
            <w:bCs/>
            <w:spacing w:val="-7"/>
          </w:rPr>
          <w:t>第十章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平台创新治理的数据与算法维度</w:t>
        </w:r>
        <w:r>
          <w:rPr>
            <w:rFonts w:ascii="YouYuan" w:hAnsi="YouYuan" w:eastAsia="YouYuan" w:cs="YouYuan"/>
            <w:sz w:val="16"/>
            <w:szCs w:val="16"/>
          </w:rPr>
          <w:t xml:space="preserve">                 </w:t>
        </w:r>
        <w:hyperlink w:history="true" w:anchor="bookmark103">
          <w:r>
            <w:rPr>
              <w:rFonts w:ascii="SimSun" w:hAnsi="SimSun" w:eastAsia="SimSun" w:cs="SimSun"/>
              <w:sz w:val="13"/>
              <w:szCs w:val="13"/>
              <w:spacing w:val="-8"/>
              <w:position w:val="-2"/>
            </w:rPr>
            <w:t>339</w:t>
          </w:r>
        </w:hyperlink>
      </w:p>
    </w:sdtContent>
  </w:sdt>
</w:hdr>
</file>

<file path=word/header2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340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2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32"/>
          <w:spacing w:line="175" w:lineRule="auto"/>
          <w:rPr>
            <w:rFonts w:ascii="SimSun" w:hAnsi="SimSun" w:eastAsia="SimSun" w:cs="SimSun"/>
            <w:sz w:val="13"/>
            <w:szCs w:val="13"/>
          </w:rPr>
        </w:pPr>
        <w:r>
          <w:rPr>
            <w:rFonts w:ascii="SimHei" w:hAnsi="SimHei" w:eastAsia="SimHei" w:cs="SimHei"/>
            <w:sz w:val="16"/>
            <w:szCs w:val="16"/>
            <w:b/>
            <w:bCs/>
            <w:spacing w:val="-7"/>
          </w:rPr>
          <w:t>第十章</w:t>
        </w:r>
        <w:r>
          <w:rPr>
            <w:rFonts w:ascii="SimHei" w:hAnsi="SimHei" w:eastAsia="SimHei" w:cs="SimHei"/>
            <w:sz w:val="16"/>
            <w:szCs w:val="16"/>
            <w:spacing w:val="-7"/>
          </w:rPr>
          <w:t xml:space="preserve">  </w:t>
        </w:r>
        <w:r>
          <w:rPr>
            <w:rFonts w:ascii="SimHei" w:hAnsi="SimHei" w:eastAsia="SimHei" w:cs="SimHei"/>
            <w:sz w:val="16"/>
            <w:szCs w:val="16"/>
            <w:b/>
            <w:bCs/>
            <w:spacing w:val="-7"/>
          </w:rPr>
          <w:t>平台创新治理的数据与算法维度</w:t>
        </w:r>
        <w:r>
          <w:rPr>
            <w:rFonts w:ascii="SimHei" w:hAnsi="SimHei" w:eastAsia="SimHei" w:cs="SimHei"/>
            <w:sz w:val="16"/>
            <w:szCs w:val="16"/>
          </w:rPr>
          <w:t xml:space="preserve">                 </w:t>
        </w:r>
        <w:hyperlink w:history="true" w:anchor="bookmark104">
          <w:r>
            <w:rPr>
              <w:rFonts w:ascii="SimSun" w:hAnsi="SimSun" w:eastAsia="SimSun" w:cs="SimSun"/>
              <w:sz w:val="13"/>
              <w:szCs w:val="13"/>
              <w:spacing w:val="-7"/>
            </w:rPr>
            <w:t>341</w:t>
          </w:r>
        </w:hyperlink>
      </w:p>
    </w:sdtContent>
  </w:sdt>
</w:hdr>
</file>

<file path=word/header2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6"/>
        <w:position w:val="-1"/>
      </w:rPr>
      <w:t>344</w:t>
    </w:r>
    <w:r>
      <w:rPr>
        <w:rFonts w:ascii="SimSun" w:hAnsi="SimSun" w:eastAsia="SimSun" w:cs="SimSun"/>
        <w:sz w:val="13"/>
        <w:szCs w:val="13"/>
        <w:spacing w:val="2"/>
        <w:position w:val="-1"/>
      </w:rPr>
      <w:t xml:space="preserve">                          </w:t>
    </w:r>
    <w:r>
      <w:rPr>
        <w:rFonts w:ascii="SimHei" w:hAnsi="SimHei" w:eastAsia="SimHei" w:cs="SimHei"/>
        <w:sz w:val="16"/>
        <w:szCs w:val="16"/>
        <w:spacing w:val="-6"/>
      </w:rPr>
      <w:t>平台经济——创新、治理与繁荣</w:t>
    </w:r>
  </w:p>
</w:hdr>
</file>

<file path=word/header2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75" w:lineRule="auto"/>
          <w:rPr>
            <w:rFonts w:ascii="SimSun" w:hAnsi="SimSun" w:eastAsia="SimSun" w:cs="SimSun"/>
            <w:sz w:val="12"/>
            <w:szCs w:val="12"/>
          </w:rPr>
        </w:pPr>
        <w:r>
          <w:rPr>
            <w:rFonts w:ascii="SimHei" w:hAnsi="SimHei" w:eastAsia="SimHei" w:cs="SimHei"/>
            <w:sz w:val="16"/>
            <w:szCs w:val="16"/>
            <w:b/>
            <w:bCs/>
            <w:spacing w:val="-7"/>
          </w:rPr>
          <w:t>第十章</w:t>
        </w:r>
        <w:r>
          <w:rPr>
            <w:rFonts w:ascii="SimHei" w:hAnsi="SimHei" w:eastAsia="SimHei" w:cs="SimHei"/>
            <w:sz w:val="16"/>
            <w:szCs w:val="16"/>
            <w:spacing w:val="-7"/>
          </w:rPr>
          <w:t xml:space="preserve">  </w:t>
        </w:r>
        <w:r>
          <w:rPr>
            <w:rFonts w:ascii="SimHei" w:hAnsi="SimHei" w:eastAsia="SimHei" w:cs="SimHei"/>
            <w:sz w:val="16"/>
            <w:szCs w:val="16"/>
            <w:b/>
            <w:bCs/>
            <w:spacing w:val="-7"/>
          </w:rPr>
          <w:t>平台创新治理的数据与算法维度</w:t>
        </w:r>
        <w:r>
          <w:rPr>
            <w:rFonts w:ascii="SimHei" w:hAnsi="SimHei" w:eastAsia="SimHei" w:cs="SimHei"/>
            <w:sz w:val="16"/>
            <w:szCs w:val="16"/>
            <w:spacing w:val="4"/>
          </w:rPr>
          <w:t xml:space="preserve">                </w:t>
        </w:r>
        <w:hyperlink w:history="true" w:anchor="bookmark105">
          <w:r>
            <w:rPr>
              <w:rFonts w:ascii="SimSun" w:hAnsi="SimSun" w:eastAsia="SimSun" w:cs="SimSun"/>
              <w:sz w:val="12"/>
              <w:szCs w:val="12"/>
              <w:spacing w:val="-7"/>
              <w:position w:val="-1"/>
            </w:rPr>
            <w:t>345</w:t>
          </w:r>
        </w:hyperlink>
      </w:p>
    </w:sdtContent>
  </w:sdt>
</w:hdr>
</file>

<file path=word/header2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346                              </w:t>
    </w:r>
    <w:r>
      <w:rPr>
        <w:rFonts w:ascii="SimHei" w:hAnsi="SimHei" w:eastAsia="SimHei" w:cs="SimHei"/>
        <w:sz w:val="16"/>
        <w:szCs w:val="16"/>
        <w:spacing w:val="-3"/>
      </w:rPr>
      <w:t>平台经济——创新、治理与繁荣</w:t>
    </w:r>
  </w:p>
</w:hdr>
</file>

<file path=word/header2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12"/>
          <w:spacing w:line="171" w:lineRule="auto"/>
          <w:rPr>
            <w:rFonts w:ascii="SimSun" w:hAnsi="SimSun" w:eastAsia="SimSun" w:cs="SimSun"/>
            <w:sz w:val="12"/>
            <w:szCs w:val="12"/>
          </w:rPr>
        </w:pPr>
        <w:r>
          <w:rPr>
            <w:rFonts w:ascii="YouYuan" w:hAnsi="YouYuan" w:eastAsia="YouYuan" w:cs="YouYuan"/>
            <w:sz w:val="16"/>
            <w:szCs w:val="16"/>
            <w:b/>
            <w:bCs/>
            <w:spacing w:val="-7"/>
          </w:rPr>
          <w:t>第十章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平台创新治理的数据与算法维度</w:t>
        </w:r>
        <w:r>
          <w:rPr>
            <w:rFonts w:ascii="YouYuan" w:hAnsi="YouYuan" w:eastAsia="YouYuan" w:cs="YouYuan"/>
            <w:sz w:val="16"/>
            <w:szCs w:val="16"/>
          </w:rPr>
          <w:t xml:space="preserve">                 </w:t>
        </w:r>
        <w:hyperlink w:history="true" w:anchor="bookmark106">
          <w:r>
            <w:rPr>
              <w:rFonts w:ascii="SimSun" w:hAnsi="SimSun" w:eastAsia="SimSun" w:cs="SimSun"/>
              <w:sz w:val="12"/>
              <w:szCs w:val="12"/>
              <w:spacing w:val="-8"/>
              <w:position w:val="-3"/>
            </w:rPr>
            <w:t>347</w:t>
          </w:r>
        </w:hyperlink>
      </w:p>
    </w:sdtContent>
  </w:sdt>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032</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2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22"/>
          <w:spacing w:line="174" w:lineRule="auto"/>
          <w:rPr>
            <w:rFonts w:ascii="SimSun" w:hAnsi="SimSun" w:eastAsia="SimSun" w:cs="SimSun"/>
            <w:sz w:val="13"/>
            <w:szCs w:val="13"/>
          </w:rPr>
        </w:pPr>
        <w:r>
          <w:rPr>
            <w:rFonts w:ascii="SimHei" w:hAnsi="SimHei" w:eastAsia="SimHei" w:cs="SimHei"/>
            <w:sz w:val="16"/>
            <w:szCs w:val="16"/>
            <w:b/>
            <w:bCs/>
            <w:spacing w:val="-7"/>
          </w:rPr>
          <w:t>第十章</w:t>
        </w:r>
        <w:r>
          <w:rPr>
            <w:rFonts w:ascii="SimHei" w:hAnsi="SimHei" w:eastAsia="SimHei" w:cs="SimHei"/>
            <w:sz w:val="16"/>
            <w:szCs w:val="16"/>
            <w:spacing w:val="-7"/>
          </w:rPr>
          <w:t xml:space="preserve">  </w:t>
        </w:r>
        <w:r>
          <w:rPr>
            <w:rFonts w:ascii="SimHei" w:hAnsi="SimHei" w:eastAsia="SimHei" w:cs="SimHei"/>
            <w:sz w:val="16"/>
            <w:szCs w:val="16"/>
            <w:b/>
            <w:bCs/>
            <w:spacing w:val="-7"/>
          </w:rPr>
          <w:t>平台创新治理的数据与算法维度</w:t>
        </w:r>
        <w:r>
          <w:rPr>
            <w:rFonts w:ascii="SimHei" w:hAnsi="SimHei" w:eastAsia="SimHei" w:cs="SimHei"/>
            <w:sz w:val="16"/>
            <w:szCs w:val="16"/>
            <w:spacing w:val="5"/>
          </w:rPr>
          <w:t xml:space="preserve">                </w:t>
        </w:r>
        <w:hyperlink w:history="true" w:anchor="bookmark107">
          <w:r>
            <w:rPr>
              <w:rFonts w:ascii="SimSun" w:hAnsi="SimSun" w:eastAsia="SimSun" w:cs="SimSun"/>
              <w:sz w:val="13"/>
              <w:szCs w:val="13"/>
              <w:spacing w:val="-7"/>
              <w:position w:val="-1"/>
            </w:rPr>
            <w:t>353</w:t>
          </w:r>
        </w:hyperlink>
      </w:p>
    </w:sdtContent>
  </w:sdt>
</w:hdr>
</file>

<file path=word/header2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354</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2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356</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2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717"/>
          <w:spacing w:line="174" w:lineRule="auto"/>
          <w:rPr>
            <w:rFonts w:ascii="SimSun" w:hAnsi="SimSun" w:eastAsia="SimSun" w:cs="SimSun"/>
            <w:sz w:val="13"/>
            <w:szCs w:val="13"/>
          </w:rPr>
        </w:pPr>
        <w:r>
          <w:rPr>
            <w:rFonts w:ascii="SimHei" w:hAnsi="SimHei" w:eastAsia="SimHei" w:cs="SimHei"/>
            <w:sz w:val="16"/>
            <w:szCs w:val="16"/>
            <w:b/>
            <w:bCs/>
            <w:spacing w:val="-7"/>
          </w:rPr>
          <w:t>第十章</w:t>
        </w:r>
        <w:r>
          <w:rPr>
            <w:rFonts w:ascii="SimHei" w:hAnsi="SimHei" w:eastAsia="SimHei" w:cs="SimHei"/>
            <w:sz w:val="16"/>
            <w:szCs w:val="16"/>
            <w:spacing w:val="-7"/>
          </w:rPr>
          <w:t xml:space="preserve">  </w:t>
        </w:r>
        <w:r>
          <w:rPr>
            <w:rFonts w:ascii="SimHei" w:hAnsi="SimHei" w:eastAsia="SimHei" w:cs="SimHei"/>
            <w:sz w:val="16"/>
            <w:szCs w:val="16"/>
            <w:b/>
            <w:bCs/>
            <w:spacing w:val="-7"/>
          </w:rPr>
          <w:t>平台创新治理的数据与算法维度</w:t>
        </w:r>
        <w:r>
          <w:rPr>
            <w:rFonts w:ascii="SimHei" w:hAnsi="SimHei" w:eastAsia="SimHei" w:cs="SimHei"/>
            <w:sz w:val="16"/>
            <w:szCs w:val="16"/>
            <w:spacing w:val="5"/>
          </w:rPr>
          <w:t xml:space="preserve">                </w:t>
        </w:r>
        <w:hyperlink w:history="true" w:anchor="bookmark108">
          <w:r>
            <w:rPr>
              <w:rFonts w:ascii="SimSun" w:hAnsi="SimSun" w:eastAsia="SimSun" w:cs="SimSun"/>
              <w:sz w:val="13"/>
              <w:szCs w:val="13"/>
              <w:spacing w:val="-7"/>
              <w:position w:val="-1"/>
            </w:rPr>
            <w:t>357</w:t>
          </w:r>
        </w:hyperlink>
      </w:p>
    </w:sdtContent>
  </w:sdt>
</w:hdr>
</file>

<file path=word/header2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4"/>
      <w:spacing w:line="164" w:lineRule="auto"/>
      <w:rPr>
        <w:rFonts w:ascii="SimHei" w:hAnsi="SimHei" w:eastAsia="SimHei" w:cs="SimHei"/>
        <w:sz w:val="16"/>
        <w:szCs w:val="16"/>
      </w:rPr>
    </w:pPr>
    <w:r>
      <w:rPr>
        <w:rFonts w:ascii="SimSun" w:hAnsi="SimSun" w:eastAsia="SimSun" w:cs="SimSun"/>
        <w:sz w:val="13"/>
        <w:szCs w:val="13"/>
        <w:spacing w:val="-3"/>
        <w:position w:val="-2"/>
      </w:rPr>
      <w:t>358                          </w:t>
    </w:r>
    <w:r>
      <w:rPr>
        <w:rFonts w:ascii="SimSun" w:hAnsi="SimSun" w:eastAsia="SimSun" w:cs="SimSun"/>
        <w:sz w:val="13"/>
        <w:szCs w:val="13"/>
        <w:spacing w:val="-4"/>
        <w:position w:val="-2"/>
      </w:rPr>
      <w:t xml:space="preserve">  </w:t>
    </w:r>
    <w:r>
      <w:rPr>
        <w:rFonts w:ascii="SimHei" w:hAnsi="SimHei" w:eastAsia="SimHei" w:cs="SimHei"/>
        <w:sz w:val="16"/>
        <w:szCs w:val="16"/>
        <w:spacing w:val="-4"/>
      </w:rPr>
      <w:t>平台经济——创新、治理与繁荣</w:t>
    </w:r>
  </w:p>
</w:hdr>
</file>

<file path=word/header2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5"/>
        <w:szCs w:val="15"/>
      </w:rPr>
      <w:docPartObj>
        <w:docPartGallery w:val="Table of Contents"/>
        <w:docPartUnique/>
      </w:docPartObj>
    </w:sdtPr>
    <w:sdtEndPr>
      <w:rPr>
        <w:rFonts w:ascii="SimSun" w:hAnsi="SimSun" w:eastAsia="SimSun" w:cs="SimSun"/>
        <w:sz w:val="12"/>
        <w:szCs w:val="12"/>
      </w:rPr>
    </w:sdtEndPr>
    <w:sdtContent>
      <w:p>
        <w:pPr>
          <w:ind w:left="1602"/>
          <w:spacing w:line="175" w:lineRule="auto"/>
          <w:rPr>
            <w:rFonts w:ascii="SimSun" w:hAnsi="SimSun" w:eastAsia="SimSun" w:cs="SimSun"/>
            <w:sz w:val="12"/>
            <w:szCs w:val="12"/>
          </w:rPr>
        </w:pPr>
        <w:r>
          <w:rPr>
            <w:rFonts w:ascii="SimHei" w:hAnsi="SimHei" w:eastAsia="SimHei" w:cs="SimHei"/>
            <w:sz w:val="15"/>
            <w:szCs w:val="15"/>
            <w:b/>
            <w:bCs/>
            <w:spacing w:val="1"/>
          </w:rPr>
          <w:t>第十章</w:t>
        </w:r>
        <w:r>
          <w:rPr>
            <w:rFonts w:ascii="SimHei" w:hAnsi="SimHei" w:eastAsia="SimHei" w:cs="SimHei"/>
            <w:sz w:val="15"/>
            <w:szCs w:val="15"/>
            <w:spacing w:val="1"/>
          </w:rPr>
          <w:t xml:space="preserve">  </w:t>
        </w:r>
        <w:r>
          <w:rPr>
            <w:rFonts w:ascii="SimHei" w:hAnsi="SimHei" w:eastAsia="SimHei" w:cs="SimHei"/>
            <w:sz w:val="15"/>
            <w:szCs w:val="15"/>
            <w:b/>
            <w:bCs/>
            <w:spacing w:val="1"/>
          </w:rPr>
          <w:t>平台创新治理的数据与算法维度</w:t>
        </w:r>
        <w:r>
          <w:rPr>
            <w:rFonts w:ascii="SimHei" w:hAnsi="SimHei" w:eastAsia="SimHei" w:cs="SimHei"/>
            <w:sz w:val="15"/>
            <w:szCs w:val="15"/>
            <w:spacing w:val="1"/>
          </w:rPr>
          <w:t xml:space="preserve">                  </w:t>
        </w:r>
        <w:hyperlink w:history="true" w:anchor="bookmark109">
          <w:r>
            <w:rPr>
              <w:rFonts w:ascii="SimSun" w:hAnsi="SimSun" w:eastAsia="SimSun" w:cs="SimSun"/>
              <w:sz w:val="12"/>
              <w:szCs w:val="12"/>
              <w:spacing w:val="1"/>
            </w:rPr>
            <w:t>359</w:t>
          </w:r>
        </w:hyperlink>
      </w:p>
    </w:sdtContent>
  </w:sdt>
</w:hdr>
</file>

<file path=word/header2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3" w:lineRule="auto"/>
      <w:rPr>
        <w:rFonts w:ascii="SimHei" w:hAnsi="SimHei" w:eastAsia="SimHei" w:cs="SimHei"/>
        <w:sz w:val="15"/>
        <w:szCs w:val="15"/>
      </w:rPr>
    </w:pPr>
    <w:r>
      <w:rPr>
        <w:rFonts w:ascii="SimSun" w:hAnsi="SimSun" w:eastAsia="SimSun" w:cs="SimSun"/>
        <w:sz w:val="12"/>
        <w:szCs w:val="12"/>
        <w:spacing w:val="2"/>
        <w:position w:val="-3"/>
      </w:rPr>
      <w:t>360</w:t>
    </w:r>
    <w:r>
      <w:rPr>
        <w:rFonts w:ascii="SimSun" w:hAnsi="SimSun" w:eastAsia="SimSun" w:cs="SimSun"/>
        <w:sz w:val="12"/>
        <w:szCs w:val="12"/>
        <w:spacing w:val="1"/>
        <w:position w:val="-3"/>
      </w:rPr>
      <w:t xml:space="preserve">                             </w:t>
    </w:r>
    <w:r>
      <w:rPr>
        <w:rFonts w:ascii="SimHei" w:hAnsi="SimHei" w:eastAsia="SimHei" w:cs="SimHei"/>
        <w:sz w:val="15"/>
        <w:szCs w:val="15"/>
        <w:spacing w:val="2"/>
      </w:rPr>
      <w:t>平台经济——创新、治理与繁荣</w:t>
    </w:r>
  </w:p>
</w:hdr>
</file>

<file path=word/header2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632"/>
          <w:spacing w:line="187" w:lineRule="auto"/>
          <w:rPr>
            <w:rFonts w:ascii="SimSun" w:hAnsi="SimSun" w:eastAsia="SimSun" w:cs="SimSun"/>
            <w:sz w:val="13"/>
            <w:szCs w:val="13"/>
          </w:rPr>
        </w:pPr>
        <w:r>
          <w:rPr>
            <w:rFonts w:ascii="YouYuan" w:hAnsi="YouYuan" w:eastAsia="YouYuan" w:cs="YouYuan"/>
            <w:sz w:val="16"/>
            <w:szCs w:val="16"/>
            <w:b/>
            <w:bCs/>
            <w:spacing w:val="-5"/>
          </w:rPr>
          <w:t>第十章</w:t>
        </w:r>
        <w:r>
          <w:rPr>
            <w:rFonts w:ascii="YouYuan" w:hAnsi="YouYuan" w:eastAsia="YouYuan" w:cs="YouYuan"/>
            <w:sz w:val="16"/>
            <w:szCs w:val="16"/>
            <w:spacing w:val="-5"/>
          </w:rPr>
          <w:t xml:space="preserve">  </w:t>
        </w:r>
        <w:r>
          <w:rPr>
            <w:rFonts w:ascii="YouYuan" w:hAnsi="YouYuan" w:eastAsia="YouYuan" w:cs="YouYuan"/>
            <w:sz w:val="16"/>
            <w:szCs w:val="16"/>
            <w:b/>
            <w:bCs/>
            <w:spacing w:val="-5"/>
          </w:rPr>
          <w:t>平台创新治理的数据与算法维度</w:t>
        </w:r>
        <w:r>
          <w:rPr>
            <w:rFonts w:ascii="YouYuan" w:hAnsi="YouYuan" w:eastAsia="YouYuan" w:cs="YouYuan"/>
            <w:sz w:val="16"/>
            <w:szCs w:val="16"/>
            <w:spacing w:val="-5"/>
          </w:rPr>
          <w:t xml:space="preserve">    </w:t>
        </w:r>
        <w:r>
          <w:rPr>
            <w:rFonts w:ascii="YouYuan" w:hAnsi="YouYuan" w:eastAsia="YouYuan" w:cs="YouYuan"/>
            <w:sz w:val="16"/>
            <w:szCs w:val="16"/>
            <w:spacing w:val="-6"/>
          </w:rPr>
          <w:t xml:space="preserve">              </w:t>
        </w:r>
        <w:hyperlink w:history="true" w:anchor="bookmark110">
          <w:r>
            <w:rPr>
              <w:rFonts w:ascii="SimSun" w:hAnsi="SimSun" w:eastAsia="SimSun" w:cs="SimSun"/>
              <w:sz w:val="13"/>
              <w:szCs w:val="13"/>
              <w:spacing w:val="-6"/>
              <w:position w:val="-1"/>
            </w:rPr>
            <w:t>361</w:t>
          </w:r>
        </w:hyperlink>
      </w:p>
    </w:sdtContent>
  </w:sdt>
</w:hdr>
</file>

<file path=word/header2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362</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2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32"/>
          <w:spacing w:line="175" w:lineRule="auto"/>
          <w:rPr>
            <w:rFonts w:ascii="SimSun" w:hAnsi="SimSun" w:eastAsia="SimSun" w:cs="SimSun"/>
            <w:sz w:val="12"/>
            <w:szCs w:val="12"/>
          </w:rPr>
        </w:pPr>
        <w:r>
          <w:rPr>
            <w:rFonts w:ascii="SimHei" w:hAnsi="SimHei" w:eastAsia="SimHei" w:cs="SimHei"/>
            <w:sz w:val="16"/>
            <w:szCs w:val="16"/>
            <w:b/>
            <w:bCs/>
            <w:spacing w:val="-7"/>
          </w:rPr>
          <w:t>第十章</w:t>
        </w:r>
        <w:r>
          <w:rPr>
            <w:rFonts w:ascii="SimHei" w:hAnsi="SimHei" w:eastAsia="SimHei" w:cs="SimHei"/>
            <w:sz w:val="16"/>
            <w:szCs w:val="16"/>
            <w:spacing w:val="-7"/>
          </w:rPr>
          <w:t xml:space="preserve">  </w:t>
        </w:r>
        <w:r>
          <w:rPr>
            <w:rFonts w:ascii="SimHei" w:hAnsi="SimHei" w:eastAsia="SimHei" w:cs="SimHei"/>
            <w:sz w:val="16"/>
            <w:szCs w:val="16"/>
            <w:b/>
            <w:bCs/>
            <w:spacing w:val="-7"/>
          </w:rPr>
          <w:t>平台创新治理的数据与算法维度</w:t>
        </w:r>
        <w:r>
          <w:rPr>
            <w:rFonts w:ascii="SimHei" w:hAnsi="SimHei" w:eastAsia="SimHei" w:cs="SimHei"/>
            <w:sz w:val="16"/>
            <w:szCs w:val="16"/>
          </w:rPr>
          <w:t xml:space="preserve">                 </w:t>
        </w:r>
        <w:hyperlink w:history="true" w:anchor="bookmark111">
          <w:r>
            <w:rPr>
              <w:rFonts w:ascii="SimSun" w:hAnsi="SimSun" w:eastAsia="SimSun" w:cs="SimSun"/>
              <w:sz w:val="12"/>
              <w:szCs w:val="12"/>
              <w:spacing w:val="-7"/>
              <w:position w:val="-1"/>
            </w:rPr>
            <w:t>363</w:t>
          </w:r>
        </w:hyperlink>
      </w:p>
    </w:sdtContent>
  </w:sdt>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9"/>
      <w:spacing w:line="175" w:lineRule="auto"/>
      <w:rPr>
        <w:rFonts w:ascii="SimSun" w:hAnsi="SimSun" w:eastAsia="SimSun" w:cs="SimSun"/>
        <w:sz w:val="12"/>
        <w:szCs w:val="12"/>
      </w:rPr>
    </w:pPr>
    <w:r>
      <w:rPr>
        <w:rFonts w:ascii="SimHei" w:hAnsi="SimHei" w:eastAsia="SimHei" w:cs="SimHei"/>
        <w:sz w:val="16"/>
        <w:szCs w:val="16"/>
        <w:spacing w:val="-5"/>
      </w:rPr>
      <w:t>第一章</w:t>
    </w:r>
    <w:r>
      <w:rPr>
        <w:rFonts w:ascii="SimHei" w:hAnsi="SimHei" w:eastAsia="SimHei" w:cs="SimHei"/>
        <w:sz w:val="16"/>
        <w:szCs w:val="16"/>
        <w:spacing w:val="-5"/>
      </w:rPr>
      <w:t xml:space="preserve">  </w:t>
    </w:r>
    <w:r>
      <w:rPr>
        <w:rFonts w:ascii="SimHei" w:hAnsi="SimHei" w:eastAsia="SimHei" w:cs="SimHei"/>
        <w:sz w:val="16"/>
        <w:szCs w:val="16"/>
        <w:spacing w:val="-5"/>
      </w:rPr>
      <w:t>重塑平台经济：走向有序发展与共同富裕</w:t>
    </w:r>
    <w:r>
      <w:rPr>
        <w:rFonts w:ascii="SimHei" w:hAnsi="SimHei" w:eastAsia="SimHei" w:cs="SimHei"/>
        <w:sz w:val="16"/>
        <w:szCs w:val="16"/>
      </w:rPr>
      <w:t xml:space="preserve">             </w:t>
    </w:r>
    <w:r>
      <w:rPr>
        <w:rFonts w:ascii="SimSun" w:hAnsi="SimSun" w:eastAsia="SimSun" w:cs="SimSun"/>
        <w:sz w:val="12"/>
        <w:szCs w:val="12"/>
        <w:spacing w:val="-5"/>
        <w:position w:val="-1"/>
      </w:rPr>
      <w:t>033</w:t>
    </w:r>
  </w:p>
</w:hdr>
</file>

<file path=word/header2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364</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2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3"/>
        <w:position w:val="-1"/>
      </w:rPr>
      <w:t>366                          </w:t>
    </w:r>
    <w:r>
      <w:rPr>
        <w:rFonts w:ascii="SimSun" w:hAnsi="SimSun" w:eastAsia="SimSun" w:cs="SimSun"/>
        <w:sz w:val="13"/>
        <w:szCs w:val="13"/>
        <w:spacing w:val="-4"/>
        <w:position w:val="-1"/>
      </w:rPr>
      <w:t xml:space="preserve">  </w:t>
    </w:r>
    <w:r>
      <w:rPr>
        <w:rFonts w:ascii="SimHei" w:hAnsi="SimHei" w:eastAsia="SimHei" w:cs="SimHei"/>
        <w:sz w:val="16"/>
        <w:szCs w:val="16"/>
        <w:spacing w:val="-4"/>
      </w:rPr>
      <w:t>平台经济——创新、治理与繁荣</w:t>
    </w:r>
  </w:p>
</w:hdr>
</file>

<file path=word/header2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32"/>
          <w:spacing w:line="175" w:lineRule="auto"/>
          <w:rPr>
            <w:rFonts w:ascii="SimSun" w:hAnsi="SimSun" w:eastAsia="SimSun" w:cs="SimSun"/>
            <w:sz w:val="13"/>
            <w:szCs w:val="13"/>
          </w:rPr>
        </w:pPr>
        <w:r>
          <w:rPr>
            <w:rFonts w:ascii="SimHei" w:hAnsi="SimHei" w:eastAsia="SimHei" w:cs="SimHei"/>
            <w:sz w:val="16"/>
            <w:szCs w:val="16"/>
            <w:b/>
            <w:bCs/>
            <w:spacing w:val="-5"/>
          </w:rPr>
          <w:t>第十章</w:t>
        </w:r>
        <w:r>
          <w:rPr>
            <w:rFonts w:ascii="SimHei" w:hAnsi="SimHei" w:eastAsia="SimHei" w:cs="SimHei"/>
            <w:sz w:val="16"/>
            <w:szCs w:val="16"/>
            <w:spacing w:val="-5"/>
          </w:rPr>
          <w:t xml:space="preserve">  </w:t>
        </w:r>
        <w:r>
          <w:rPr>
            <w:rFonts w:ascii="SimHei" w:hAnsi="SimHei" w:eastAsia="SimHei" w:cs="SimHei"/>
            <w:sz w:val="16"/>
            <w:szCs w:val="16"/>
            <w:b/>
            <w:bCs/>
            <w:spacing w:val="-5"/>
          </w:rPr>
          <w:t>平台创新治理的数据与算法维度</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112">
          <w:r>
            <w:rPr>
              <w:rFonts w:ascii="SimSun" w:hAnsi="SimSun" w:eastAsia="SimSun" w:cs="SimSun"/>
              <w:sz w:val="13"/>
              <w:szCs w:val="13"/>
              <w:spacing w:val="-6"/>
            </w:rPr>
            <w:t>367</w:t>
          </w:r>
        </w:hyperlink>
      </w:p>
    </w:sdtContent>
  </w:sdt>
</w:hdr>
</file>

<file path=word/header2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4"/>
        <w:position w:val="-2"/>
      </w:rPr>
      <w:t>368                               </w:t>
    </w:r>
    <w:r>
      <w:rPr>
        <w:rFonts w:ascii="SimHei" w:hAnsi="SimHei" w:eastAsia="SimHei" w:cs="SimHei"/>
        <w:sz w:val="16"/>
        <w:szCs w:val="16"/>
        <w:spacing w:val="-4"/>
      </w:rPr>
      <w:t>平台经济——创新、治理与繁荣</w:t>
    </w:r>
  </w:p>
</w:hdr>
</file>

<file path=word/header2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1"/>
        <w:szCs w:val="11"/>
      </w:rPr>
    </w:sdtEndPr>
    <w:sdtContent>
      <w:p>
        <w:pPr>
          <w:ind w:left="1632"/>
          <w:spacing w:line="182" w:lineRule="auto"/>
          <w:rPr>
            <w:rFonts w:ascii="SimSun" w:hAnsi="SimSun" w:eastAsia="SimSun" w:cs="SimSun"/>
            <w:sz w:val="11"/>
            <w:szCs w:val="11"/>
          </w:rPr>
        </w:pPr>
        <w:r>
          <w:rPr>
            <w:rFonts w:ascii="YouYuan" w:hAnsi="YouYuan" w:eastAsia="YouYuan" w:cs="YouYuan"/>
            <w:sz w:val="16"/>
            <w:szCs w:val="16"/>
            <w:b/>
            <w:bCs/>
            <w:spacing w:val="-7"/>
          </w:rPr>
          <w:t>第十章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平台创新治理的数据与算法维度</w:t>
        </w:r>
        <w:r>
          <w:rPr>
            <w:rFonts w:ascii="YouYuan" w:hAnsi="YouYuan" w:eastAsia="YouYuan" w:cs="YouYuan"/>
            <w:sz w:val="16"/>
            <w:szCs w:val="16"/>
          </w:rPr>
          <w:t xml:space="preserve">                 </w:t>
        </w:r>
        <w:hyperlink w:history="true" w:anchor="bookmark113">
          <w:r>
            <w:rPr>
              <w:rFonts w:ascii="SimSun" w:hAnsi="SimSun" w:eastAsia="SimSun" w:cs="SimSun"/>
              <w:sz w:val="11"/>
              <w:szCs w:val="11"/>
              <w:spacing w:val="-7"/>
              <w:position w:val="-2"/>
            </w:rPr>
            <w:t>3</w:t>
          </w:r>
          <w:r>
            <w:rPr>
              <w:rFonts w:ascii="SimSun" w:hAnsi="SimSun" w:eastAsia="SimSun" w:cs="SimSun"/>
              <w:sz w:val="11"/>
              <w:szCs w:val="11"/>
              <w:spacing w:val="-8"/>
              <w:position w:val="-2"/>
            </w:rPr>
            <w:t>69</w:t>
          </w:r>
        </w:hyperlink>
      </w:p>
    </w:sdtContent>
  </w:sdt>
</w:hdr>
</file>

<file path=word/header2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374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2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754"/>
          <w:spacing w:line="187" w:lineRule="auto"/>
          <w:rPr>
            <w:rFonts w:ascii="SimSun" w:hAnsi="SimSun" w:eastAsia="SimSun" w:cs="SimSun"/>
            <w:sz w:val="13"/>
            <w:szCs w:val="13"/>
          </w:rPr>
        </w:pPr>
        <w:r>
          <w:rPr>
            <w:rFonts w:ascii="YouYuan" w:hAnsi="YouYuan" w:eastAsia="YouYuan" w:cs="YouYuan"/>
            <w:sz w:val="16"/>
            <w:szCs w:val="16"/>
            <w:spacing w:val="-6"/>
          </w:rPr>
          <w:t>第十一章</w:t>
        </w:r>
        <w:r>
          <w:rPr>
            <w:rFonts w:ascii="YouYuan" w:hAnsi="YouYuan" w:eastAsia="YouYuan" w:cs="YouYuan"/>
            <w:sz w:val="16"/>
            <w:szCs w:val="16"/>
            <w:spacing w:val="-6"/>
          </w:rPr>
          <w:t xml:space="preserve">  </w:t>
        </w:r>
        <w:r>
          <w:rPr>
            <w:rFonts w:ascii="YouYuan" w:hAnsi="YouYuan" w:eastAsia="YouYuan" w:cs="YouYuan"/>
            <w:sz w:val="16"/>
            <w:szCs w:val="16"/>
            <w:spacing w:val="-6"/>
          </w:rPr>
          <w:t>平台的挑战与失焦的监管</w:t>
        </w:r>
        <w:r>
          <w:rPr>
            <w:rFonts w:ascii="YouYuan" w:hAnsi="YouYuan" w:eastAsia="YouYuan" w:cs="YouYuan"/>
            <w:sz w:val="16"/>
            <w:szCs w:val="16"/>
            <w:spacing w:val="4"/>
          </w:rPr>
          <w:t xml:space="preserve">                  </w:t>
        </w:r>
        <w:hyperlink w:history="true" w:anchor="bookmark114">
          <w:r>
            <w:rPr>
              <w:rFonts w:ascii="SimSun" w:hAnsi="SimSun" w:eastAsia="SimSun" w:cs="SimSun"/>
              <w:sz w:val="13"/>
              <w:szCs w:val="13"/>
              <w:spacing w:val="-6"/>
              <w:position w:val="-1"/>
            </w:rPr>
            <w:t>375</w:t>
          </w:r>
        </w:hyperlink>
      </w:p>
    </w:sdtContent>
  </w:sdt>
</w:hdr>
</file>

<file path=word/header2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376</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2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887"/>
          <w:spacing w:line="171" w:lineRule="auto"/>
          <w:rPr>
            <w:rFonts w:ascii="SimSun" w:hAnsi="SimSun" w:eastAsia="SimSun" w:cs="SimSun"/>
            <w:sz w:val="12"/>
            <w:szCs w:val="12"/>
          </w:rPr>
        </w:pPr>
        <w:r>
          <w:rPr>
            <w:rFonts w:ascii="YouYuan" w:hAnsi="YouYuan" w:eastAsia="YouYuan" w:cs="YouYuan"/>
            <w:sz w:val="16"/>
            <w:szCs w:val="16"/>
            <w:b/>
            <w:bCs/>
            <w:spacing w:val="-4"/>
          </w:rPr>
          <w:t>第十一章</w:t>
        </w:r>
        <w:r>
          <w:rPr>
            <w:rFonts w:ascii="YouYuan" w:hAnsi="YouYuan" w:eastAsia="YouYuan" w:cs="YouYuan"/>
            <w:sz w:val="16"/>
            <w:szCs w:val="16"/>
            <w:spacing w:val="-4"/>
          </w:rPr>
          <w:t xml:space="preserve"> </w:t>
        </w:r>
        <w:r>
          <w:rPr>
            <w:rFonts w:ascii="YouYuan" w:hAnsi="YouYuan" w:eastAsia="YouYuan" w:cs="YouYuan"/>
            <w:sz w:val="16"/>
            <w:szCs w:val="16"/>
            <w:b/>
            <w:bCs/>
            <w:spacing w:val="-4"/>
          </w:rPr>
          <w:t>平台的挑战与失焦的监管</w:t>
        </w:r>
        <w:r>
          <w:rPr>
            <w:rFonts w:ascii="YouYuan" w:hAnsi="YouYuan" w:eastAsia="YouYuan" w:cs="YouYuan"/>
            <w:sz w:val="16"/>
            <w:szCs w:val="16"/>
          </w:rPr>
          <w:t xml:space="preserve">                   </w:t>
        </w:r>
        <w:hyperlink w:history="true" w:anchor="bookmark115">
          <w:r>
            <w:rPr>
              <w:rFonts w:ascii="SimSun" w:hAnsi="SimSun" w:eastAsia="SimSun" w:cs="SimSun"/>
              <w:sz w:val="12"/>
              <w:szCs w:val="12"/>
              <w:spacing w:val="-4"/>
              <w:position w:val="-3"/>
            </w:rPr>
            <w:t>377</w:t>
          </w:r>
        </w:hyperlink>
      </w:p>
    </w:sdtContent>
  </w:sdt>
</w:hdr>
</file>

<file path=word/header2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Hei" w:hAnsi="SimHei" w:eastAsia="SimHei" w:cs="SimHei"/>
        <w:sz w:val="15"/>
        <w:szCs w:val="15"/>
      </w:rPr>
    </w:pPr>
    <w:r>
      <w:rPr>
        <w:rFonts w:ascii="SimSun" w:hAnsi="SimSun" w:eastAsia="SimSun" w:cs="SimSun"/>
        <w:sz w:val="12"/>
        <w:szCs w:val="12"/>
        <w:spacing w:val="2"/>
        <w:position w:val="-1"/>
      </w:rPr>
      <w:t>378                            </w:t>
    </w:r>
    <w:r>
      <w:rPr>
        <w:rFonts w:ascii="SimSun" w:hAnsi="SimSun" w:eastAsia="SimSun" w:cs="SimSun"/>
        <w:sz w:val="12"/>
        <w:szCs w:val="12"/>
        <w:spacing w:val="1"/>
        <w:position w:val="-1"/>
      </w:rPr>
      <w:t xml:space="preserve"> </w:t>
    </w:r>
    <w:r>
      <w:rPr>
        <w:rFonts w:ascii="SimHei" w:hAnsi="SimHei" w:eastAsia="SimHei" w:cs="SimHei"/>
        <w:sz w:val="15"/>
        <w:szCs w:val="15"/>
        <w:spacing w:val="1"/>
      </w:rPr>
      <w:t>平台经济——创新、治理与繁荣</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49"/>
      <w:spacing w:line="174" w:lineRule="auto"/>
      <w:rPr>
        <w:rFonts w:ascii="SimHei" w:hAnsi="SimHei" w:eastAsia="SimHei" w:cs="SimHei"/>
        <w:sz w:val="13"/>
        <w:szCs w:val="13"/>
      </w:rPr>
    </w:pPr>
    <w:r>
      <w:pict>
        <v:shape id="_x0000_s4" style="position:absolute;margin-left:290.499pt;margin-top:2.60916pt;mso-position-vertical-relative:text;mso-position-horizontal-relative:text;width:8.5pt;height:6pt;z-index:25165824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VH</w:t>
                </w:r>
              </w:p>
            </w:txbxContent>
          </v:textbox>
        </v:shape>
      </w:pict>
    </w:r>
    <w:r>
      <w:rPr>
        <w:rFonts w:ascii="SimHei" w:hAnsi="SimHei" w:eastAsia="SimHei" w:cs="SimHei"/>
        <w:sz w:val="13"/>
        <w:szCs w:val="13"/>
      </w:rPr>
      <w:t>序</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
      <w:spacing w:line="175" w:lineRule="auto"/>
      <w:rPr>
        <w:rFonts w:ascii="SimHei" w:hAnsi="SimHei" w:eastAsia="SimHei" w:cs="SimHei"/>
        <w:sz w:val="16"/>
        <w:szCs w:val="16"/>
      </w:rPr>
    </w:pPr>
    <w:r>
      <w:rPr>
        <w:rFonts w:ascii="SimSun" w:hAnsi="SimSun" w:eastAsia="SimSun" w:cs="SimSun"/>
        <w:sz w:val="12"/>
        <w:szCs w:val="12"/>
        <w:spacing w:val="-4"/>
        <w:position w:val="-1"/>
      </w:rPr>
      <w:t>034                               </w:t>
    </w:r>
    <w:r>
      <w:rPr>
        <w:rFonts w:ascii="SimHei" w:hAnsi="SimHei" w:eastAsia="SimHei" w:cs="SimHei"/>
        <w:sz w:val="16"/>
        <w:szCs w:val="16"/>
        <w:b/>
        <w:bCs/>
        <w:spacing w:val="-4"/>
      </w:rPr>
      <w:t>平台经济——创新、治理与繁荣</w:t>
    </w:r>
  </w:p>
</w:hdr>
</file>

<file path=word/header3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772"/>
          <w:spacing w:line="174" w:lineRule="auto"/>
          <w:rPr>
            <w:rFonts w:ascii="SimSun" w:hAnsi="SimSun" w:eastAsia="SimSun" w:cs="SimSun"/>
            <w:sz w:val="13"/>
            <w:szCs w:val="13"/>
          </w:rPr>
        </w:pPr>
        <w:r>
          <w:rPr>
            <w:rFonts w:ascii="SimHei" w:hAnsi="SimHei" w:eastAsia="SimHei" w:cs="SimHei"/>
            <w:sz w:val="16"/>
            <w:szCs w:val="16"/>
            <w:b/>
            <w:bCs/>
            <w:spacing w:val="-1"/>
          </w:rPr>
          <w:t>第十一章</w:t>
        </w:r>
        <w:r>
          <w:rPr>
            <w:rFonts w:ascii="SimHei" w:hAnsi="SimHei" w:eastAsia="SimHei" w:cs="SimHei"/>
            <w:sz w:val="16"/>
            <w:szCs w:val="16"/>
            <w:spacing w:val="-1"/>
          </w:rPr>
          <w:t xml:space="preserve"> </w:t>
        </w:r>
        <w:r>
          <w:rPr>
            <w:rFonts w:ascii="SimHei" w:hAnsi="SimHei" w:eastAsia="SimHei" w:cs="SimHei"/>
            <w:sz w:val="16"/>
            <w:szCs w:val="16"/>
            <w:b/>
            <w:bCs/>
            <w:spacing w:val="-1"/>
          </w:rPr>
          <w:t>平台的挑战与失焦的监管</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116">
          <w:r>
            <w:rPr>
              <w:rFonts w:ascii="SimSun" w:hAnsi="SimSun" w:eastAsia="SimSun" w:cs="SimSun"/>
              <w:sz w:val="13"/>
              <w:szCs w:val="13"/>
              <w:spacing w:val="-2"/>
              <w:position w:val="-1"/>
            </w:rPr>
            <w:t>385</w:t>
          </w:r>
        </w:hyperlink>
      </w:p>
    </w:sdtContent>
  </w:sdt>
</w:hdr>
</file>

<file path=word/header3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893"/>
          <w:spacing w:line="172" w:lineRule="auto"/>
          <w:rPr>
            <w:rFonts w:ascii="SimSun" w:hAnsi="SimSun" w:eastAsia="SimSun" w:cs="SimSun"/>
            <w:sz w:val="12"/>
            <w:szCs w:val="12"/>
          </w:rPr>
        </w:pPr>
        <w:r>
          <w:rPr>
            <w:rFonts w:ascii="YouYuan" w:hAnsi="YouYuan" w:eastAsia="YouYuan" w:cs="YouYuan"/>
            <w:sz w:val="16"/>
            <w:szCs w:val="16"/>
            <w:b/>
            <w:bCs/>
            <w:spacing w:val="-6"/>
          </w:rPr>
          <w:t>第十一章</w:t>
        </w:r>
        <w:r>
          <w:rPr>
            <w:rFonts w:ascii="YouYuan" w:hAnsi="YouYuan" w:eastAsia="YouYuan" w:cs="YouYuan"/>
            <w:sz w:val="16"/>
            <w:szCs w:val="16"/>
            <w:spacing w:val="-6"/>
          </w:rPr>
          <w:t xml:space="preserve">  </w:t>
        </w:r>
        <w:r>
          <w:rPr>
            <w:rFonts w:ascii="YouYuan" w:hAnsi="YouYuan" w:eastAsia="YouYuan" w:cs="YouYuan"/>
            <w:sz w:val="16"/>
            <w:szCs w:val="16"/>
            <w:b/>
            <w:bCs/>
            <w:spacing w:val="-6"/>
          </w:rPr>
          <w:t>平台的挑战与失焦的监管</w:t>
        </w:r>
        <w:r>
          <w:rPr>
            <w:rFonts w:ascii="YouYuan" w:hAnsi="YouYuan" w:eastAsia="YouYuan" w:cs="YouYuan"/>
            <w:sz w:val="16"/>
            <w:szCs w:val="16"/>
            <w:spacing w:val="-6"/>
          </w:rPr>
          <w:t xml:space="preserve">                    </w:t>
        </w:r>
        <w:hyperlink w:history="true" w:anchor="bookmark117">
          <w:r>
            <w:rPr>
              <w:rFonts w:ascii="SimSun" w:hAnsi="SimSun" w:eastAsia="SimSun" w:cs="SimSun"/>
              <w:sz w:val="12"/>
              <w:szCs w:val="12"/>
              <w:spacing w:val="-6"/>
              <w:position w:val="-4"/>
            </w:rPr>
            <w:t>391</w:t>
          </w:r>
        </w:hyperlink>
      </w:p>
    </w:sdtContent>
  </w:sdt>
</w:hdr>
</file>

<file path=word/header3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5"/>
      <w:spacing w:line="174" w:lineRule="auto"/>
      <w:rPr>
        <w:rFonts w:ascii="SimHei" w:hAnsi="SimHei" w:eastAsia="SimHei" w:cs="SimHei"/>
        <w:sz w:val="16"/>
        <w:szCs w:val="16"/>
      </w:rPr>
    </w:pPr>
    <w:r>
      <w:rPr>
        <w:rFonts w:ascii="SimSun" w:hAnsi="SimSun" w:eastAsia="SimSun" w:cs="SimSun"/>
        <w:sz w:val="13"/>
        <w:szCs w:val="13"/>
        <w:spacing w:val="-8"/>
        <w:position w:val="-1"/>
      </w:rPr>
      <w:t>392</w:t>
    </w:r>
    <w:r>
      <w:rPr>
        <w:rFonts w:ascii="SimSun" w:hAnsi="SimSun" w:eastAsia="SimSun" w:cs="SimSun"/>
        <w:sz w:val="13"/>
        <w:szCs w:val="13"/>
        <w:spacing w:val="1"/>
        <w:position w:val="-1"/>
      </w:rPr>
      <w:t xml:space="preserve">                           </w:t>
    </w:r>
    <w:r>
      <w:rPr>
        <w:rFonts w:ascii="SimHei" w:hAnsi="SimHei" w:eastAsia="SimHei" w:cs="SimHei"/>
        <w:sz w:val="16"/>
        <w:szCs w:val="16"/>
        <w:b/>
        <w:bCs/>
        <w:spacing w:val="-8"/>
      </w:rPr>
      <w:t>平台经济——创新、治理与繁荣</w:t>
    </w:r>
  </w:p>
</w:hdr>
</file>

<file path=word/header3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897"/>
          <w:spacing w:line="175" w:lineRule="auto"/>
          <w:rPr>
            <w:rFonts w:ascii="SimSun" w:hAnsi="SimSun" w:eastAsia="SimSun" w:cs="SimSun"/>
            <w:sz w:val="13"/>
            <w:szCs w:val="13"/>
          </w:rPr>
        </w:pPr>
        <w:r>
          <w:rPr>
            <w:rFonts w:ascii="SimHei" w:hAnsi="SimHei" w:eastAsia="SimHei" w:cs="SimHei"/>
            <w:sz w:val="16"/>
            <w:szCs w:val="16"/>
            <w:b/>
            <w:bCs/>
            <w:spacing w:val="-7"/>
          </w:rPr>
          <w:t>第十一章</w:t>
        </w:r>
        <w:r>
          <w:rPr>
            <w:rFonts w:ascii="SimHei" w:hAnsi="SimHei" w:eastAsia="SimHei" w:cs="SimHei"/>
            <w:sz w:val="16"/>
            <w:szCs w:val="16"/>
            <w:spacing w:val="-7"/>
          </w:rPr>
          <w:t xml:space="preserve">  </w:t>
        </w:r>
        <w:r>
          <w:rPr>
            <w:rFonts w:ascii="SimHei" w:hAnsi="SimHei" w:eastAsia="SimHei" w:cs="SimHei"/>
            <w:sz w:val="16"/>
            <w:szCs w:val="16"/>
            <w:b/>
            <w:bCs/>
            <w:spacing w:val="-7"/>
          </w:rPr>
          <w:t>平台的挑战与失焦的监管</w:t>
        </w:r>
        <w:r>
          <w:rPr>
            <w:rFonts w:ascii="SimHei" w:hAnsi="SimHei" w:eastAsia="SimHei" w:cs="SimHei"/>
            <w:sz w:val="16"/>
            <w:szCs w:val="16"/>
            <w:spacing w:val="3"/>
          </w:rPr>
          <w:t xml:space="preserve">                  </w:t>
        </w:r>
        <w:hyperlink w:history="true" w:anchor="bookmark118">
          <w:r>
            <w:rPr>
              <w:rFonts w:ascii="SimSun" w:hAnsi="SimSun" w:eastAsia="SimSun" w:cs="SimSun"/>
              <w:sz w:val="13"/>
              <w:szCs w:val="13"/>
              <w:spacing w:val="-7"/>
            </w:rPr>
            <w:t>393</w:t>
          </w:r>
        </w:hyperlink>
      </w:p>
    </w:sdtContent>
  </w:sdt>
</w:hdr>
</file>

<file path=word/header3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2"/>
        <w:szCs w:val="12"/>
        <w:spacing w:val="-4"/>
        <w:position w:val="-1"/>
      </w:rPr>
      <w:t>394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3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792"/>
          <w:spacing w:line="170" w:lineRule="auto"/>
          <w:rPr>
            <w:rFonts w:ascii="SimSun" w:hAnsi="SimSun" w:eastAsia="SimSun" w:cs="SimSun"/>
            <w:sz w:val="12"/>
            <w:szCs w:val="12"/>
          </w:rPr>
        </w:pPr>
        <w:r>
          <w:rPr>
            <w:rFonts w:ascii="SimHei" w:hAnsi="SimHei" w:eastAsia="SimHei" w:cs="SimHei"/>
            <w:sz w:val="16"/>
            <w:szCs w:val="16"/>
            <w:b/>
            <w:bCs/>
            <w:spacing w:val="-5"/>
          </w:rPr>
          <w:t>第十一章</w:t>
        </w:r>
        <w:r>
          <w:rPr>
            <w:rFonts w:ascii="SimHei" w:hAnsi="SimHei" w:eastAsia="SimHei" w:cs="SimHei"/>
            <w:sz w:val="16"/>
            <w:szCs w:val="16"/>
            <w:spacing w:val="-5"/>
          </w:rPr>
          <w:t xml:space="preserve">  </w:t>
        </w:r>
        <w:r>
          <w:rPr>
            <w:rFonts w:ascii="SimHei" w:hAnsi="SimHei" w:eastAsia="SimHei" w:cs="SimHei"/>
            <w:sz w:val="16"/>
            <w:szCs w:val="16"/>
            <w:b/>
            <w:bCs/>
            <w:spacing w:val="-5"/>
          </w:rPr>
          <w:t>平台的挑战与失焦的监管</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119">
          <w:r>
            <w:rPr>
              <w:rFonts w:ascii="SimSun" w:hAnsi="SimSun" w:eastAsia="SimSun" w:cs="SimSun"/>
              <w:sz w:val="12"/>
              <w:szCs w:val="12"/>
              <w:spacing w:val="-6"/>
              <w:position w:val="-2"/>
            </w:rPr>
            <w:t>395</w:t>
          </w:r>
        </w:hyperlink>
      </w:p>
    </w:sdtContent>
  </w:sdt>
</w:hdr>
</file>

<file path=word/header3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1"/>
      <w:spacing w:line="167" w:lineRule="auto"/>
      <w:rPr>
        <w:rFonts w:ascii="SimHei" w:hAnsi="SimHei" w:eastAsia="SimHei" w:cs="SimHei"/>
        <w:sz w:val="16"/>
        <w:szCs w:val="16"/>
      </w:rPr>
    </w:pPr>
    <w:r>
      <w:rPr>
        <w:rFonts w:ascii="SimSun" w:hAnsi="SimSun" w:eastAsia="SimSun" w:cs="SimSun"/>
        <w:sz w:val="12"/>
        <w:szCs w:val="12"/>
        <w:spacing w:val="-6"/>
        <w:position w:val="-2"/>
      </w:rPr>
      <w:t>396</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30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762"/>
          <w:spacing w:line="169" w:lineRule="auto"/>
          <w:rPr>
            <w:rFonts w:ascii="SimSun" w:hAnsi="SimSun" w:eastAsia="SimSun" w:cs="SimSun"/>
            <w:sz w:val="12"/>
            <w:szCs w:val="12"/>
          </w:rPr>
        </w:pPr>
        <w:r>
          <w:rPr>
            <w:rFonts w:ascii="SimHei" w:hAnsi="SimHei" w:eastAsia="SimHei" w:cs="SimHei"/>
            <w:sz w:val="16"/>
            <w:szCs w:val="16"/>
            <w:b/>
            <w:bCs/>
            <w:spacing w:val="-7"/>
          </w:rPr>
          <w:t>第十一章</w:t>
        </w:r>
        <w:r>
          <w:rPr>
            <w:rFonts w:ascii="SimHei" w:hAnsi="SimHei" w:eastAsia="SimHei" w:cs="SimHei"/>
            <w:sz w:val="16"/>
            <w:szCs w:val="16"/>
            <w:spacing w:val="-7"/>
          </w:rPr>
          <w:t xml:space="preserve">  </w:t>
        </w:r>
        <w:r>
          <w:rPr>
            <w:rFonts w:ascii="SimHei" w:hAnsi="SimHei" w:eastAsia="SimHei" w:cs="SimHei"/>
            <w:sz w:val="16"/>
            <w:szCs w:val="16"/>
            <w:b/>
            <w:bCs/>
            <w:spacing w:val="-7"/>
          </w:rPr>
          <w:t>平台的挑战与失焦的监管</w:t>
        </w:r>
        <w:r>
          <w:rPr>
            <w:rFonts w:ascii="SimHei" w:hAnsi="SimHei" w:eastAsia="SimHei" w:cs="SimHei"/>
            <w:sz w:val="16"/>
            <w:szCs w:val="16"/>
            <w:spacing w:val="4"/>
          </w:rPr>
          <w:t xml:space="preserve">                  </w:t>
        </w:r>
        <w:hyperlink w:history="true" w:anchor="bookmark120">
          <w:r>
            <w:rPr>
              <w:rFonts w:ascii="SimSun" w:hAnsi="SimSun" w:eastAsia="SimSun" w:cs="SimSun"/>
              <w:sz w:val="12"/>
              <w:szCs w:val="12"/>
              <w:b/>
              <w:bCs/>
              <w:spacing w:val="-7"/>
              <w:position w:val="-2"/>
            </w:rPr>
            <w:t>397</w:t>
          </w:r>
        </w:hyperlink>
      </w:p>
    </w:sdtContent>
  </w:sdt>
</w:hdr>
</file>

<file path=word/header30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772"/>
          <w:spacing w:line="171" w:lineRule="auto"/>
          <w:rPr>
            <w:rFonts w:ascii="SimSun" w:hAnsi="SimSun" w:eastAsia="SimSun" w:cs="SimSun"/>
            <w:sz w:val="12"/>
            <w:szCs w:val="12"/>
          </w:rPr>
        </w:pPr>
        <w:r>
          <w:rPr>
            <w:rFonts w:ascii="YouYuan" w:hAnsi="YouYuan" w:eastAsia="YouYuan" w:cs="YouYuan"/>
            <w:sz w:val="16"/>
            <w:szCs w:val="16"/>
            <w:b/>
            <w:bCs/>
            <w:spacing w:val="-5"/>
          </w:rPr>
          <w:t>第十一章</w:t>
        </w:r>
        <w:r>
          <w:rPr>
            <w:rFonts w:ascii="YouYuan" w:hAnsi="YouYuan" w:eastAsia="YouYuan" w:cs="YouYuan"/>
            <w:sz w:val="16"/>
            <w:szCs w:val="16"/>
            <w:spacing w:val="-5"/>
          </w:rPr>
          <w:t xml:space="preserve">  </w:t>
        </w:r>
        <w:r>
          <w:rPr>
            <w:rFonts w:ascii="YouYuan" w:hAnsi="YouYuan" w:eastAsia="YouYuan" w:cs="YouYuan"/>
            <w:sz w:val="16"/>
            <w:szCs w:val="16"/>
            <w:b/>
            <w:bCs/>
            <w:spacing w:val="-5"/>
          </w:rPr>
          <w:t>平台的挑战与失焦的监管</w:t>
        </w:r>
        <w:r>
          <w:rPr>
            <w:rFonts w:ascii="YouYuan" w:hAnsi="YouYuan" w:eastAsia="YouYuan" w:cs="YouYuan"/>
            <w:sz w:val="16"/>
            <w:szCs w:val="16"/>
            <w:spacing w:val="-5"/>
          </w:rPr>
          <w:t xml:space="preserve">         </w:t>
        </w:r>
        <w:r>
          <w:rPr>
            <w:rFonts w:ascii="YouYuan" w:hAnsi="YouYuan" w:eastAsia="YouYuan" w:cs="YouYuan"/>
            <w:sz w:val="16"/>
            <w:szCs w:val="16"/>
            <w:spacing w:val="-6"/>
          </w:rPr>
          <w:t xml:space="preserve">           </w:t>
        </w:r>
        <w:hyperlink w:history="true" w:anchor="bookmark121">
          <w:r>
            <w:rPr>
              <w:rFonts w:ascii="SimSun" w:hAnsi="SimSun" w:eastAsia="SimSun" w:cs="SimSun"/>
              <w:sz w:val="12"/>
              <w:szCs w:val="12"/>
              <w:spacing w:val="-6"/>
              <w:position w:val="-3"/>
            </w:rPr>
            <w:t>399</w:t>
          </w:r>
        </w:hyperlink>
      </w:p>
    </w:sdtContent>
  </w:sdt>
</w:hdr>
</file>

<file path=word/header30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67" w:lineRule="auto"/>
      <w:rPr>
        <w:rFonts w:ascii="SimHei" w:hAnsi="SimHei" w:eastAsia="SimHei" w:cs="SimHei"/>
        <w:sz w:val="16"/>
        <w:szCs w:val="16"/>
      </w:rPr>
    </w:pPr>
    <w:r>
      <w:rPr>
        <w:rFonts w:ascii="SimSun" w:hAnsi="SimSun" w:eastAsia="SimSun" w:cs="SimSun"/>
        <w:sz w:val="12"/>
        <w:szCs w:val="12"/>
        <w:spacing w:val="-3"/>
        <w:position w:val="-2"/>
      </w:rPr>
      <w:t>400                              </w:t>
    </w:r>
    <w:r>
      <w:rPr>
        <w:rFonts w:ascii="SimHei" w:hAnsi="SimHei" w:eastAsia="SimHei" w:cs="SimHei"/>
        <w:sz w:val="16"/>
        <w:szCs w:val="16"/>
        <w:spacing w:val="-3"/>
      </w:rPr>
      <w:t>平台经济——创新、治理与繁荣</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4"/>
        <w:szCs w:val="14"/>
      </w:rPr>
      <w:docPartObj>
        <w:docPartGallery w:val="Table of Contents"/>
        <w:docPartUnique/>
      </w:docPartObj>
    </w:sdtPr>
    <w:sdtEndPr>
      <w:rPr>
        <w:rFonts w:ascii="SimSun" w:hAnsi="SimSun" w:eastAsia="SimSun" w:cs="SimSun"/>
        <w:sz w:val="10"/>
        <w:szCs w:val="10"/>
      </w:rPr>
    </w:sdtEndPr>
    <w:sdtContent>
      <w:p>
        <w:pPr>
          <w:ind w:left="1396"/>
          <w:spacing w:line="176" w:lineRule="auto"/>
          <w:rPr>
            <w:rFonts w:ascii="SimSun" w:hAnsi="SimSun" w:eastAsia="SimSun" w:cs="SimSun"/>
            <w:sz w:val="10"/>
            <w:szCs w:val="10"/>
          </w:rPr>
        </w:pPr>
        <w:r>
          <w:rPr>
            <w:rFonts w:ascii="YouYuan" w:hAnsi="YouYuan" w:eastAsia="YouYuan" w:cs="YouYuan"/>
            <w:sz w:val="14"/>
            <w:szCs w:val="14"/>
            <w:b/>
            <w:bCs/>
            <w:spacing w:val="10"/>
          </w:rPr>
          <w:t>第一章</w:t>
        </w:r>
        <w:r>
          <w:rPr>
            <w:rFonts w:ascii="YouYuan" w:hAnsi="YouYuan" w:eastAsia="YouYuan" w:cs="YouYuan"/>
            <w:sz w:val="14"/>
            <w:szCs w:val="14"/>
            <w:spacing w:val="26"/>
            <w:w w:val="101"/>
          </w:rPr>
          <w:t xml:space="preserve">  </w:t>
        </w:r>
        <w:r>
          <w:rPr>
            <w:rFonts w:ascii="YouYuan" w:hAnsi="YouYuan" w:eastAsia="YouYuan" w:cs="YouYuan"/>
            <w:sz w:val="14"/>
            <w:szCs w:val="14"/>
            <w:b/>
            <w:bCs/>
            <w:spacing w:val="10"/>
          </w:rPr>
          <w:t>重塑平台经济：走向有序发展与共同富裕</w:t>
        </w:r>
        <w:r>
          <w:rPr>
            <w:rFonts w:ascii="YouYuan" w:hAnsi="YouYuan" w:eastAsia="YouYuan" w:cs="YouYuan"/>
            <w:sz w:val="14"/>
            <w:szCs w:val="14"/>
            <w:spacing w:val="3"/>
          </w:rPr>
          <w:t xml:space="preserve">              </w:t>
        </w:r>
        <w:hyperlink w:history="true" w:anchor="bookmark1">
          <w:r>
            <w:rPr>
              <w:rFonts w:ascii="SimSun" w:hAnsi="SimSun" w:eastAsia="SimSun" w:cs="SimSun"/>
              <w:sz w:val="10"/>
              <w:szCs w:val="10"/>
              <w:spacing w:val="10"/>
              <w:position w:val="-2"/>
            </w:rPr>
            <w:t>035</w:t>
          </w:r>
        </w:hyperlink>
      </w:p>
    </w:sdtContent>
  </w:sdt>
</w:hdr>
</file>

<file path=word/header3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4"/>
        <w:szCs w:val="14"/>
      </w:rPr>
      <w:docPartObj>
        <w:docPartGallery w:val="Table of Contents"/>
        <w:docPartUnique/>
      </w:docPartObj>
    </w:sdtPr>
    <w:sdtEndPr>
      <w:rPr>
        <w:rFonts w:ascii="SimSun" w:hAnsi="SimSun" w:eastAsia="SimSun" w:cs="SimSun"/>
        <w:sz w:val="10"/>
        <w:szCs w:val="10"/>
      </w:rPr>
    </w:sdtEndPr>
    <w:sdtContent>
      <w:p>
        <w:pPr>
          <w:ind w:left="1772"/>
          <w:spacing w:line="168" w:lineRule="auto"/>
          <w:rPr>
            <w:rFonts w:ascii="SimSun" w:hAnsi="SimSun" w:eastAsia="SimSun" w:cs="SimSun"/>
            <w:sz w:val="10"/>
            <w:szCs w:val="10"/>
          </w:rPr>
        </w:pPr>
        <w:r>
          <w:rPr>
            <w:rFonts w:ascii="YouYuan" w:hAnsi="YouYuan" w:eastAsia="YouYuan" w:cs="YouYuan"/>
            <w:sz w:val="14"/>
            <w:szCs w:val="14"/>
            <w:b/>
            <w:bCs/>
            <w:spacing w:val="7"/>
          </w:rPr>
          <w:t>第十一章</w:t>
        </w:r>
        <w:r>
          <w:rPr>
            <w:rFonts w:ascii="YouYuan" w:hAnsi="YouYuan" w:eastAsia="YouYuan" w:cs="YouYuan"/>
            <w:sz w:val="14"/>
            <w:szCs w:val="14"/>
            <w:spacing w:val="21"/>
          </w:rPr>
          <w:t xml:space="preserve">  </w:t>
        </w:r>
        <w:r>
          <w:rPr>
            <w:rFonts w:ascii="YouYuan" w:hAnsi="YouYuan" w:eastAsia="YouYuan" w:cs="YouYuan"/>
            <w:sz w:val="14"/>
            <w:szCs w:val="14"/>
            <w:b/>
            <w:bCs/>
            <w:spacing w:val="7"/>
          </w:rPr>
          <w:t>平台的挑战与失焦的监管</w:t>
        </w:r>
        <w:r>
          <w:rPr>
            <w:rFonts w:ascii="YouYuan" w:hAnsi="YouYuan" w:eastAsia="YouYuan" w:cs="YouYuan"/>
            <w:sz w:val="14"/>
            <w:szCs w:val="14"/>
            <w:spacing w:val="7"/>
          </w:rPr>
          <w:t xml:space="preserve">       </w:t>
        </w:r>
        <w:r>
          <w:rPr>
            <w:rFonts w:ascii="YouYuan" w:hAnsi="YouYuan" w:eastAsia="YouYuan" w:cs="YouYuan"/>
            <w:sz w:val="14"/>
            <w:szCs w:val="14"/>
            <w:spacing w:val="6"/>
          </w:rPr>
          <w:t xml:space="preserve">             </w:t>
        </w:r>
        <w:hyperlink w:history="true" w:anchor="bookmark122">
          <w:r>
            <w:rPr>
              <w:rFonts w:ascii="SimSun" w:hAnsi="SimSun" w:eastAsia="SimSun" w:cs="SimSun"/>
              <w:sz w:val="10"/>
              <w:szCs w:val="10"/>
              <w:spacing w:val="6"/>
              <w:position w:val="-3"/>
            </w:rPr>
            <w:t>401</w:t>
          </w:r>
        </w:hyperlink>
      </w:p>
    </w:sdtContent>
  </w:sdt>
</w:hdr>
</file>

<file path=word/header3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75" w:lineRule="auto"/>
      <w:rPr>
        <w:rFonts w:ascii="SimHei" w:hAnsi="SimHei" w:eastAsia="SimHei" w:cs="SimHei"/>
        <w:sz w:val="15"/>
        <w:szCs w:val="15"/>
      </w:rPr>
    </w:pPr>
    <w:r>
      <w:rPr>
        <w:rFonts w:ascii="SimSun" w:hAnsi="SimSun" w:eastAsia="SimSun" w:cs="SimSun"/>
        <w:sz w:val="12"/>
        <w:szCs w:val="12"/>
        <w:b/>
        <w:bCs/>
        <w:spacing w:val="1"/>
      </w:rPr>
      <w:t>402</w:t>
    </w:r>
    <w:r>
      <w:rPr>
        <w:rFonts w:ascii="SimSun" w:hAnsi="SimSun" w:eastAsia="SimSun" w:cs="SimSun"/>
        <w:sz w:val="12"/>
        <w:szCs w:val="12"/>
        <w:spacing w:val="1"/>
      </w:rPr>
      <w:t xml:space="preserve">                             </w:t>
    </w:r>
    <w:r>
      <w:rPr>
        <w:rFonts w:ascii="SimHei" w:hAnsi="SimHei" w:eastAsia="SimHei" w:cs="SimHei"/>
        <w:sz w:val="15"/>
        <w:szCs w:val="15"/>
        <w:spacing w:val="1"/>
      </w:rPr>
      <w:t>平台经济——创新、治理与繁荣</w:t>
    </w:r>
  </w:p>
</w:hdr>
</file>

<file path=word/header3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772"/>
          <w:spacing w:line="171" w:lineRule="auto"/>
          <w:rPr>
            <w:rFonts w:ascii="SimSun" w:hAnsi="SimSun" w:eastAsia="SimSun" w:cs="SimSun"/>
            <w:sz w:val="12"/>
            <w:szCs w:val="12"/>
          </w:rPr>
        </w:pPr>
        <w:r>
          <w:rPr>
            <w:rFonts w:ascii="YouYuan" w:hAnsi="YouYuan" w:eastAsia="YouYuan" w:cs="YouYuan"/>
            <w:sz w:val="16"/>
            <w:szCs w:val="16"/>
            <w:b/>
            <w:bCs/>
            <w:spacing w:val="-7"/>
          </w:rPr>
          <w:t>第十一章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平台的挑战与失焦的监管</w:t>
        </w:r>
        <w:r>
          <w:rPr>
            <w:rFonts w:ascii="YouYuan" w:hAnsi="YouYuan" w:eastAsia="YouYuan" w:cs="YouYuan"/>
            <w:sz w:val="16"/>
            <w:szCs w:val="16"/>
            <w:spacing w:val="3"/>
          </w:rPr>
          <w:t xml:space="preserve">                  </w:t>
        </w:r>
        <w:hyperlink w:history="true" w:anchor="bookmark123">
          <w:r>
            <w:rPr>
              <w:rFonts w:ascii="SimSun" w:hAnsi="SimSun" w:eastAsia="SimSun" w:cs="SimSun"/>
              <w:sz w:val="12"/>
              <w:szCs w:val="12"/>
              <w:spacing w:val="-7"/>
              <w:position w:val="-3"/>
            </w:rPr>
            <w:t>403</w:t>
          </w:r>
        </w:hyperlink>
      </w:p>
    </w:sdtContent>
  </w:sdt>
</w:hdr>
</file>

<file path=word/header3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4"/>
        <w:szCs w:val="14"/>
      </w:rPr>
    </w:pPr>
    <w:r>
      <w:rPr>
        <w:rFonts w:ascii="SimSun" w:hAnsi="SimSun" w:eastAsia="SimSun" w:cs="SimSun"/>
        <w:sz w:val="11"/>
        <w:szCs w:val="11"/>
        <w:spacing w:val="10"/>
      </w:rPr>
      <w:t>404</w:t>
    </w:r>
    <w:r>
      <w:rPr>
        <w:rFonts w:ascii="SimSun" w:hAnsi="SimSun" w:eastAsia="SimSun" w:cs="SimSun"/>
        <w:sz w:val="11"/>
        <w:szCs w:val="11"/>
        <w:spacing w:val="1"/>
      </w:rPr>
      <w:t xml:space="preserve">                                </w:t>
    </w:r>
    <w:r>
      <w:rPr>
        <w:rFonts w:ascii="SimHei" w:hAnsi="SimHei" w:eastAsia="SimHei" w:cs="SimHei"/>
        <w:sz w:val="14"/>
        <w:szCs w:val="14"/>
        <w:spacing w:val="10"/>
      </w:rPr>
      <w:t>平台经济——创新、治理与繁荣</w:t>
    </w:r>
  </w:p>
</w:hdr>
</file>

<file path=word/header3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887"/>
          <w:spacing w:line="188" w:lineRule="auto"/>
          <w:rPr>
            <w:rFonts w:ascii="SimSun" w:hAnsi="SimSun" w:eastAsia="SimSun" w:cs="SimSun"/>
            <w:sz w:val="12"/>
            <w:szCs w:val="12"/>
          </w:rPr>
        </w:pPr>
        <w:r>
          <w:rPr>
            <w:rFonts w:ascii="YouYuan" w:hAnsi="YouYuan" w:eastAsia="YouYuan" w:cs="YouYuan"/>
            <w:sz w:val="16"/>
            <w:szCs w:val="16"/>
            <w:b/>
            <w:bCs/>
            <w:spacing w:val="-5"/>
          </w:rPr>
          <w:t>第十一章</w:t>
        </w:r>
        <w:r>
          <w:rPr>
            <w:rFonts w:ascii="YouYuan" w:hAnsi="YouYuan" w:eastAsia="YouYuan" w:cs="YouYuan"/>
            <w:sz w:val="16"/>
            <w:szCs w:val="16"/>
            <w:spacing w:val="-5"/>
          </w:rPr>
          <w:t xml:space="preserve">  </w:t>
        </w:r>
        <w:r>
          <w:rPr>
            <w:rFonts w:ascii="YouYuan" w:hAnsi="YouYuan" w:eastAsia="YouYuan" w:cs="YouYuan"/>
            <w:sz w:val="16"/>
            <w:szCs w:val="16"/>
            <w:b/>
            <w:bCs/>
            <w:spacing w:val="-5"/>
          </w:rPr>
          <w:t>平台的挑战与失焦的监管</w:t>
        </w:r>
        <w:r>
          <w:rPr>
            <w:rFonts w:ascii="YouYuan" w:hAnsi="YouYuan" w:eastAsia="YouYuan" w:cs="YouYuan"/>
            <w:sz w:val="16"/>
            <w:szCs w:val="16"/>
            <w:spacing w:val="-5"/>
          </w:rPr>
          <w:t xml:space="preserve">           </w:t>
        </w:r>
        <w:r>
          <w:rPr>
            <w:rFonts w:ascii="YouYuan" w:hAnsi="YouYuan" w:eastAsia="YouYuan" w:cs="YouYuan"/>
            <w:sz w:val="16"/>
            <w:szCs w:val="16"/>
            <w:spacing w:val="-6"/>
          </w:rPr>
          <w:t xml:space="preserve">         </w:t>
        </w:r>
        <w:hyperlink w:history="true" w:anchor="bookmark124">
          <w:r>
            <w:rPr>
              <w:rFonts w:ascii="SimSun" w:hAnsi="SimSun" w:eastAsia="SimSun" w:cs="SimSun"/>
              <w:sz w:val="12"/>
              <w:szCs w:val="12"/>
              <w:spacing w:val="-6"/>
              <w:position w:val="-1"/>
            </w:rPr>
            <w:t>405</w:t>
          </w:r>
        </w:hyperlink>
      </w:p>
    </w:sdtContent>
  </w:sdt>
</w:hdr>
</file>

<file path=word/header3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0"/>
      <w:spacing w:line="175" w:lineRule="auto"/>
      <w:rPr>
        <w:rFonts w:ascii="SimHei" w:hAnsi="SimHei" w:eastAsia="SimHei" w:cs="SimHei"/>
        <w:sz w:val="16"/>
        <w:szCs w:val="16"/>
      </w:rPr>
    </w:pPr>
    <w:r>
      <w:rPr>
        <w:rFonts w:ascii="SimSun" w:hAnsi="SimSun" w:eastAsia="SimSun" w:cs="SimSun"/>
        <w:sz w:val="13"/>
        <w:szCs w:val="13"/>
        <w:spacing w:val="-3"/>
      </w:rPr>
      <w:t>406                         </w:t>
    </w:r>
    <w:r>
      <w:rPr>
        <w:rFonts w:ascii="SimSun" w:hAnsi="SimSun" w:eastAsia="SimSun" w:cs="SimSun"/>
        <w:sz w:val="13"/>
        <w:szCs w:val="13"/>
        <w:spacing w:val="-4"/>
      </w:rPr>
      <w:t xml:space="preserve">   </w:t>
    </w:r>
    <w:r>
      <w:rPr>
        <w:rFonts w:ascii="SimHei" w:hAnsi="SimHei" w:eastAsia="SimHei" w:cs="SimHei"/>
        <w:sz w:val="16"/>
        <w:szCs w:val="16"/>
        <w:spacing w:val="-4"/>
      </w:rPr>
      <w:t>平台经济——创新、治理与繁荣</w:t>
    </w:r>
  </w:p>
</w:hdr>
</file>

<file path=word/header3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762"/>
          <w:spacing w:line="170" w:lineRule="auto"/>
          <w:rPr>
            <w:rFonts w:ascii="SimSun" w:hAnsi="SimSun" w:eastAsia="SimSun" w:cs="SimSun"/>
            <w:sz w:val="12"/>
            <w:szCs w:val="12"/>
          </w:rPr>
        </w:pPr>
        <w:r>
          <w:rPr>
            <w:rFonts w:ascii="SimHei" w:hAnsi="SimHei" w:eastAsia="SimHei" w:cs="SimHei"/>
            <w:sz w:val="16"/>
            <w:szCs w:val="16"/>
            <w:b/>
            <w:bCs/>
            <w:spacing w:val="-7"/>
          </w:rPr>
          <w:t>第十一章</w:t>
        </w:r>
        <w:r>
          <w:rPr>
            <w:rFonts w:ascii="SimHei" w:hAnsi="SimHei" w:eastAsia="SimHei" w:cs="SimHei"/>
            <w:sz w:val="16"/>
            <w:szCs w:val="16"/>
            <w:spacing w:val="-7"/>
          </w:rPr>
          <w:t xml:space="preserve">  </w:t>
        </w:r>
        <w:r>
          <w:rPr>
            <w:rFonts w:ascii="SimHei" w:hAnsi="SimHei" w:eastAsia="SimHei" w:cs="SimHei"/>
            <w:sz w:val="16"/>
            <w:szCs w:val="16"/>
            <w:b/>
            <w:bCs/>
            <w:spacing w:val="-7"/>
          </w:rPr>
          <w:t>平台的挑战与失焦的监管</w:t>
        </w:r>
        <w:r>
          <w:rPr>
            <w:rFonts w:ascii="SimHei" w:hAnsi="SimHei" w:eastAsia="SimHei" w:cs="SimHei"/>
            <w:sz w:val="16"/>
            <w:szCs w:val="16"/>
            <w:spacing w:val="4"/>
          </w:rPr>
          <w:t xml:space="preserve">                  </w:t>
        </w:r>
        <w:hyperlink w:history="true" w:anchor="bookmark125">
          <w:r>
            <w:rPr>
              <w:rFonts w:ascii="SimSun" w:hAnsi="SimSun" w:eastAsia="SimSun" w:cs="SimSun"/>
              <w:sz w:val="12"/>
              <w:szCs w:val="12"/>
              <w:spacing w:val="-7"/>
              <w:position w:val="-2"/>
            </w:rPr>
            <w:t>407</w:t>
          </w:r>
        </w:hyperlink>
      </w:p>
    </w:sdtContent>
  </w:sdt>
</w:hdr>
</file>

<file path=word/header3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3"/>
        <w:szCs w:val="13"/>
        <w:spacing w:val="-4"/>
      </w:rPr>
      <w:t>408                            </w:t>
    </w:r>
    <w:r>
      <w:rPr>
        <w:rFonts w:ascii="SimHei" w:hAnsi="SimHei" w:eastAsia="SimHei" w:cs="SimHei"/>
        <w:sz w:val="16"/>
        <w:szCs w:val="16"/>
        <w:spacing w:val="-4"/>
      </w:rPr>
      <w:t>平台经济——创新、治理与繁荣</w:t>
    </w:r>
  </w:p>
</w:hdr>
</file>

<file path=word/header3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772"/>
          <w:spacing w:line="175" w:lineRule="auto"/>
          <w:rPr>
            <w:rFonts w:ascii="SimSun" w:hAnsi="SimSun" w:eastAsia="SimSun" w:cs="SimSun"/>
            <w:sz w:val="12"/>
            <w:szCs w:val="12"/>
          </w:rPr>
        </w:pPr>
        <w:r>
          <w:rPr>
            <w:rFonts w:ascii="SimHei" w:hAnsi="SimHei" w:eastAsia="SimHei" w:cs="SimHei"/>
            <w:sz w:val="16"/>
            <w:szCs w:val="16"/>
            <w:b/>
            <w:bCs/>
            <w:spacing w:val="-6"/>
          </w:rPr>
          <w:t>第十一章</w:t>
        </w:r>
        <w:r>
          <w:rPr>
            <w:rFonts w:ascii="SimHei" w:hAnsi="SimHei" w:eastAsia="SimHei" w:cs="SimHei"/>
            <w:sz w:val="16"/>
            <w:szCs w:val="16"/>
            <w:spacing w:val="-6"/>
          </w:rPr>
          <w:t xml:space="preserve">  </w:t>
        </w:r>
        <w:r>
          <w:rPr>
            <w:rFonts w:ascii="SimHei" w:hAnsi="SimHei" w:eastAsia="SimHei" w:cs="SimHei"/>
            <w:sz w:val="16"/>
            <w:szCs w:val="16"/>
            <w:b/>
            <w:bCs/>
            <w:spacing w:val="-6"/>
          </w:rPr>
          <w:t>平台的挑战与失焦的监管</w:t>
        </w:r>
        <w:r>
          <w:rPr>
            <w:rFonts w:ascii="SimHei" w:hAnsi="SimHei" w:eastAsia="SimHei" w:cs="SimHei"/>
            <w:sz w:val="16"/>
            <w:szCs w:val="16"/>
            <w:spacing w:val="-6"/>
          </w:rPr>
          <w:t xml:space="preserve">                    </w:t>
        </w:r>
        <w:hyperlink w:history="true" w:anchor="bookmark126">
          <w:r>
            <w:rPr>
              <w:rFonts w:ascii="SimSun" w:hAnsi="SimSun" w:eastAsia="SimSun" w:cs="SimSun"/>
              <w:sz w:val="12"/>
              <w:szCs w:val="12"/>
              <w:spacing w:val="-6"/>
              <w:position w:val="-1"/>
            </w:rPr>
            <w:t>409</w:t>
          </w:r>
        </w:hyperlink>
      </w:p>
    </w:sdtContent>
  </w:sdt>
</w:hdr>
</file>

<file path=word/header3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2"/>
        <w:szCs w:val="12"/>
        <w:spacing w:val="-6"/>
        <w:position w:val="-1"/>
      </w:rPr>
      <w:t>410</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2"/>
        <w:position w:val="-3"/>
      </w:rPr>
      <w:t>036                              </w:t>
    </w:r>
    <w:r>
      <w:rPr>
        <w:rFonts w:ascii="SimHei" w:hAnsi="SimHei" w:eastAsia="SimHei" w:cs="SimHei"/>
        <w:sz w:val="16"/>
        <w:szCs w:val="16"/>
        <w:spacing w:val="-2"/>
      </w:rPr>
      <w:t>平台经济——创新、治</w:t>
    </w:r>
    <w:r>
      <w:rPr>
        <w:rFonts w:ascii="SimHei" w:hAnsi="SimHei" w:eastAsia="SimHei" w:cs="SimHei"/>
        <w:sz w:val="16"/>
        <w:szCs w:val="16"/>
        <w:spacing w:val="-3"/>
      </w:rPr>
      <w:t>理与繁荣</w:t>
    </w:r>
  </w:p>
</w:hdr>
</file>

<file path=word/header3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rPr>
      <w:t>414                              </w:t>
    </w:r>
    <w:r>
      <w:rPr>
        <w:rFonts w:ascii="SimHei" w:hAnsi="SimHei" w:eastAsia="SimHei" w:cs="SimHei"/>
        <w:sz w:val="16"/>
        <w:szCs w:val="16"/>
        <w:spacing w:val="-3"/>
      </w:rPr>
      <w:t>平台经济——创新、治理与繁荣</w:t>
    </w:r>
  </w:p>
</w:hdr>
</file>

<file path=word/header3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4"/>
        <w:szCs w:val="14"/>
      </w:rPr>
      <w:docPartObj>
        <w:docPartGallery w:val="Table of Contents"/>
        <w:docPartUnique/>
      </w:docPartObj>
    </w:sdtPr>
    <w:sdtEndPr>
      <w:rPr>
        <w:rFonts w:ascii="SimSun" w:hAnsi="SimSun" w:eastAsia="SimSun" w:cs="SimSun"/>
        <w:sz w:val="10"/>
        <w:szCs w:val="10"/>
      </w:rPr>
    </w:sdtEndPr>
    <w:sdtContent>
      <w:p>
        <w:pPr>
          <w:ind w:left="2002"/>
          <w:spacing w:line="168" w:lineRule="auto"/>
          <w:rPr>
            <w:rFonts w:ascii="SimSun" w:hAnsi="SimSun" w:eastAsia="SimSun" w:cs="SimSun"/>
            <w:sz w:val="10"/>
            <w:szCs w:val="10"/>
          </w:rPr>
        </w:pPr>
        <w:r>
          <w:rPr>
            <w:rFonts w:ascii="YouYuan" w:hAnsi="YouYuan" w:eastAsia="YouYuan" w:cs="YouYuan"/>
            <w:sz w:val="14"/>
            <w:szCs w:val="14"/>
            <w:b/>
            <w:bCs/>
            <w:spacing w:val="11"/>
          </w:rPr>
          <w:t>第十二章</w:t>
        </w:r>
        <w:r>
          <w:rPr>
            <w:rFonts w:ascii="YouYuan" w:hAnsi="YouYuan" w:eastAsia="YouYuan" w:cs="YouYuan"/>
            <w:sz w:val="14"/>
            <w:szCs w:val="14"/>
            <w:spacing w:val="44"/>
          </w:rPr>
          <w:t xml:space="preserve"> </w:t>
        </w:r>
        <w:r>
          <w:rPr>
            <w:rFonts w:ascii="YouYuan" w:hAnsi="YouYuan" w:eastAsia="YouYuan" w:cs="YouYuan"/>
            <w:sz w:val="14"/>
            <w:szCs w:val="14"/>
            <w:b/>
            <w:bCs/>
            <w:spacing w:val="11"/>
          </w:rPr>
          <w:t>平台的反垄断挑战</w:t>
        </w:r>
        <w:r>
          <w:rPr>
            <w:rFonts w:ascii="YouYuan" w:hAnsi="YouYuan" w:eastAsia="YouYuan" w:cs="YouYuan"/>
            <w:sz w:val="14"/>
            <w:szCs w:val="14"/>
            <w:spacing w:val="2"/>
          </w:rPr>
          <w:t xml:space="preserve">                        </w:t>
        </w:r>
        <w:hyperlink w:history="true" w:anchor="bookmark127">
          <w:r>
            <w:rPr>
              <w:rFonts w:ascii="SimSun" w:hAnsi="SimSun" w:eastAsia="SimSun" w:cs="SimSun"/>
              <w:sz w:val="10"/>
              <w:szCs w:val="10"/>
              <w:spacing w:val="11"/>
              <w:position w:val="-3"/>
            </w:rPr>
            <w:t>415</w:t>
          </w:r>
        </w:hyperlink>
      </w:p>
    </w:sdtContent>
  </w:sdt>
</w:hdr>
</file>

<file path=word/header3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416</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3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002"/>
          <w:spacing w:line="169" w:lineRule="auto"/>
          <w:rPr>
            <w:rFonts w:ascii="SimSun" w:hAnsi="SimSun" w:eastAsia="SimSun" w:cs="SimSun"/>
            <w:sz w:val="12"/>
            <w:szCs w:val="12"/>
          </w:rPr>
        </w:pPr>
        <w:r>
          <w:rPr>
            <w:rFonts w:ascii="SimHei" w:hAnsi="SimHei" w:eastAsia="SimHei" w:cs="SimHei"/>
            <w:sz w:val="16"/>
            <w:szCs w:val="16"/>
            <w:b/>
            <w:bCs/>
            <w:spacing w:val="-7"/>
          </w:rPr>
          <w:t>第十二章</w:t>
        </w:r>
        <w:r>
          <w:rPr>
            <w:rFonts w:ascii="SimHei" w:hAnsi="SimHei" w:eastAsia="SimHei" w:cs="SimHei"/>
            <w:sz w:val="16"/>
            <w:szCs w:val="16"/>
            <w:spacing w:val="-7"/>
          </w:rPr>
          <w:t xml:space="preserve">  </w:t>
        </w:r>
        <w:r>
          <w:rPr>
            <w:rFonts w:ascii="SimHei" w:hAnsi="SimHei" w:eastAsia="SimHei" w:cs="SimHei"/>
            <w:sz w:val="16"/>
            <w:szCs w:val="16"/>
            <w:b/>
            <w:bCs/>
            <w:spacing w:val="-7"/>
          </w:rPr>
          <w:t>平台的反垄断挑战</w:t>
        </w:r>
        <w:r>
          <w:rPr>
            <w:rFonts w:ascii="SimHei" w:hAnsi="SimHei" w:eastAsia="SimHei" w:cs="SimHei"/>
            <w:sz w:val="16"/>
            <w:szCs w:val="16"/>
            <w:spacing w:val="3"/>
          </w:rPr>
          <w:t xml:space="preserve">                     </w:t>
        </w:r>
        <w:hyperlink w:history="true" w:anchor="bookmark128">
          <w:r>
            <w:rPr>
              <w:rFonts w:ascii="SimSun" w:hAnsi="SimSun" w:eastAsia="SimSun" w:cs="SimSun"/>
              <w:sz w:val="12"/>
              <w:szCs w:val="12"/>
              <w:spacing w:val="-7"/>
              <w:position w:val="-2"/>
            </w:rPr>
            <w:t>417</w:t>
          </w:r>
        </w:hyperlink>
      </w:p>
    </w:sdtContent>
  </w:sdt>
</w:hdr>
</file>

<file path=word/header3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418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3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967"/>
          <w:spacing w:line="187" w:lineRule="auto"/>
          <w:rPr>
            <w:rFonts w:ascii="SimSun" w:hAnsi="SimSun" w:eastAsia="SimSun" w:cs="SimSun"/>
            <w:sz w:val="13"/>
            <w:szCs w:val="13"/>
          </w:rPr>
        </w:pPr>
        <w:r>
          <w:rPr>
            <w:rFonts w:ascii="YouYuan" w:hAnsi="YouYuan" w:eastAsia="YouYuan" w:cs="YouYuan"/>
            <w:sz w:val="16"/>
            <w:szCs w:val="16"/>
            <w:b/>
            <w:bCs/>
            <w:spacing w:val="-7"/>
          </w:rPr>
          <w:t>第十二章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平台的反垄断挑战</w:t>
        </w:r>
        <w:r>
          <w:rPr>
            <w:rFonts w:ascii="YouYuan" w:hAnsi="YouYuan" w:eastAsia="YouYuan" w:cs="YouYuan"/>
            <w:sz w:val="16"/>
            <w:szCs w:val="16"/>
            <w:spacing w:val="3"/>
          </w:rPr>
          <w:t xml:space="preserve">                     </w:t>
        </w:r>
        <w:hyperlink w:history="true" w:anchor="bookmark129">
          <w:r>
            <w:rPr>
              <w:rFonts w:ascii="SimSun" w:hAnsi="SimSun" w:eastAsia="SimSun" w:cs="SimSun"/>
              <w:sz w:val="13"/>
              <w:szCs w:val="13"/>
              <w:spacing w:val="-7"/>
              <w:position w:val="-1"/>
            </w:rPr>
            <w:t>419</w:t>
          </w:r>
        </w:hyperlink>
      </w:p>
    </w:sdtContent>
  </w:sdt>
</w:hdr>
</file>

<file path=word/header3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420</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3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2012"/>
          <w:spacing w:line="164" w:lineRule="auto"/>
          <w:rPr>
            <w:rFonts w:ascii="SimSun" w:hAnsi="SimSun" w:eastAsia="SimSun" w:cs="SimSun"/>
            <w:sz w:val="13"/>
            <w:szCs w:val="13"/>
          </w:rPr>
        </w:pPr>
        <w:r>
          <w:rPr>
            <w:rFonts w:ascii="SimHei" w:hAnsi="SimHei" w:eastAsia="SimHei" w:cs="SimHei"/>
            <w:sz w:val="16"/>
            <w:szCs w:val="16"/>
            <w:b/>
            <w:bCs/>
            <w:spacing w:val="-6"/>
          </w:rPr>
          <w:t>第十二章</w:t>
        </w:r>
        <w:r>
          <w:rPr>
            <w:rFonts w:ascii="SimHei" w:hAnsi="SimHei" w:eastAsia="SimHei" w:cs="SimHei"/>
            <w:sz w:val="16"/>
            <w:szCs w:val="16"/>
            <w:spacing w:val="-6"/>
          </w:rPr>
          <w:t xml:space="preserve">  </w:t>
        </w:r>
        <w:r>
          <w:rPr>
            <w:rFonts w:ascii="SimHei" w:hAnsi="SimHei" w:eastAsia="SimHei" w:cs="SimHei"/>
            <w:sz w:val="16"/>
            <w:szCs w:val="16"/>
            <w:b/>
            <w:bCs/>
            <w:spacing w:val="-6"/>
          </w:rPr>
          <w:t>平台的反垄断挑战</w:t>
        </w:r>
        <w:r>
          <w:rPr>
            <w:rFonts w:ascii="SimHei" w:hAnsi="SimHei" w:eastAsia="SimHei" w:cs="SimHei"/>
            <w:sz w:val="16"/>
            <w:szCs w:val="16"/>
            <w:spacing w:val="2"/>
          </w:rPr>
          <w:t xml:space="preserve">                     </w:t>
        </w:r>
        <w:hyperlink w:history="true" w:anchor="bookmark130">
          <w:r>
            <w:rPr>
              <w:rFonts w:ascii="SimSun" w:hAnsi="SimSun" w:eastAsia="SimSun" w:cs="SimSun"/>
              <w:sz w:val="13"/>
              <w:szCs w:val="13"/>
              <w:spacing w:val="-6"/>
              <w:position w:val="-2"/>
            </w:rPr>
            <w:t>421</w:t>
          </w:r>
        </w:hyperlink>
      </w:p>
    </w:sdtContent>
  </w:sdt>
</w:hdr>
</file>

<file path=word/header3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Hei" w:hAnsi="SimHei" w:eastAsia="SimHei" w:cs="SimHei"/>
        <w:sz w:val="16"/>
        <w:szCs w:val="16"/>
      </w:rPr>
    </w:pPr>
    <w:r>
      <w:rPr>
        <w:rFonts w:ascii="SimSun" w:hAnsi="SimSun" w:eastAsia="SimSun" w:cs="SimSun"/>
        <w:sz w:val="12"/>
        <w:szCs w:val="12"/>
        <w:spacing w:val="-8"/>
        <w:position w:val="-2"/>
      </w:rPr>
      <w:t>422</w:t>
    </w:r>
    <w:r>
      <w:rPr>
        <w:rFonts w:ascii="SimSun" w:hAnsi="SimSun" w:eastAsia="SimSun" w:cs="SimSun"/>
        <w:sz w:val="12"/>
        <w:szCs w:val="12"/>
        <w:spacing w:val="1"/>
        <w:position w:val="-2"/>
      </w:rPr>
      <w:t xml:space="preserve">                             </w:t>
    </w:r>
    <w:r>
      <w:rPr>
        <w:rFonts w:ascii="SimHei" w:hAnsi="SimHei" w:eastAsia="SimHei" w:cs="SimHei"/>
        <w:sz w:val="16"/>
        <w:szCs w:val="16"/>
        <w:b/>
        <w:bCs/>
        <w:spacing w:val="-8"/>
      </w:rPr>
      <w:t>平台经济——创新、治理与繁荣</w:t>
    </w:r>
  </w:p>
</w:hdr>
</file>

<file path=word/header3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2127"/>
          <w:spacing w:line="169" w:lineRule="auto"/>
          <w:rPr>
            <w:rFonts w:ascii="SimSun" w:hAnsi="SimSun" w:eastAsia="SimSun" w:cs="SimSun"/>
            <w:sz w:val="12"/>
            <w:szCs w:val="12"/>
          </w:rPr>
        </w:pPr>
        <w:r>
          <w:rPr>
            <w:rFonts w:ascii="SimHei" w:hAnsi="SimHei" w:eastAsia="SimHei" w:cs="SimHei"/>
            <w:sz w:val="16"/>
            <w:szCs w:val="16"/>
            <w:b/>
            <w:bCs/>
            <w:spacing w:val="-5"/>
          </w:rPr>
          <w:t>第十二章</w:t>
        </w:r>
        <w:r>
          <w:rPr>
            <w:rFonts w:ascii="SimHei" w:hAnsi="SimHei" w:eastAsia="SimHei" w:cs="SimHei"/>
            <w:sz w:val="16"/>
            <w:szCs w:val="16"/>
            <w:spacing w:val="-5"/>
          </w:rPr>
          <w:t xml:space="preserve">  </w:t>
        </w:r>
        <w:r>
          <w:rPr>
            <w:rFonts w:ascii="SimHei" w:hAnsi="SimHei" w:eastAsia="SimHei" w:cs="SimHei"/>
            <w:sz w:val="16"/>
            <w:szCs w:val="16"/>
            <w:b/>
            <w:bCs/>
            <w:spacing w:val="-5"/>
          </w:rPr>
          <w:t>平台的反垄断挑战</w:t>
        </w:r>
        <w:r>
          <w:rPr>
            <w:rFonts w:ascii="SimHei" w:hAnsi="SimHei" w:eastAsia="SimHei" w:cs="SimHei"/>
            <w:sz w:val="16"/>
            <w:szCs w:val="16"/>
            <w:spacing w:val="-5"/>
          </w:rPr>
          <w:t xml:space="preserve">                       </w:t>
        </w:r>
        <w:hyperlink w:history="true" w:anchor="bookmark131">
          <w:r>
            <w:rPr>
              <w:rFonts w:ascii="SimSun" w:hAnsi="SimSun" w:eastAsia="SimSun" w:cs="SimSun"/>
              <w:sz w:val="12"/>
              <w:szCs w:val="12"/>
              <w:spacing w:val="-5"/>
              <w:position w:val="-2"/>
            </w:rPr>
            <w:t>425</w:t>
          </w:r>
        </w:hyperlink>
      </w:p>
    </w:sdtContent>
  </w:sdt>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2"/>
      <w:spacing w:line="158" w:lineRule="auto"/>
      <w:rPr>
        <w:rFonts w:ascii="SimSun" w:hAnsi="SimSun" w:eastAsia="SimSun" w:cs="SimSun"/>
        <w:sz w:val="13"/>
        <w:szCs w:val="13"/>
      </w:rPr>
    </w:pPr>
    <w:r>
      <w:rPr>
        <w:rFonts w:ascii="YouYuan" w:hAnsi="YouYuan" w:eastAsia="YouYuan" w:cs="YouYuan"/>
        <w:sz w:val="16"/>
        <w:szCs w:val="16"/>
        <w:b/>
        <w:bCs/>
        <w:spacing w:val="-7"/>
      </w:rPr>
      <w:t>第一章</w:t>
    </w:r>
    <w:r>
      <w:rPr>
        <w:rFonts w:ascii="YouYuan" w:hAnsi="YouYuan" w:eastAsia="YouYuan" w:cs="YouYuan"/>
        <w:sz w:val="16"/>
        <w:szCs w:val="16"/>
        <w:spacing w:val="-7"/>
      </w:rPr>
      <w:t xml:space="preserve">  </w:t>
    </w:r>
    <w:r>
      <w:rPr>
        <w:rFonts w:ascii="YouYuan" w:hAnsi="YouYuan" w:eastAsia="YouYuan" w:cs="YouYuan"/>
        <w:sz w:val="16"/>
        <w:szCs w:val="16"/>
        <w:b/>
        <w:bCs/>
        <w:spacing w:val="-7"/>
      </w:rPr>
      <w:t>重塑平台经济：走向有序发展与共同富裕</w:t>
    </w:r>
    <w:r>
      <w:rPr>
        <w:rFonts w:ascii="YouYuan" w:hAnsi="YouYuan" w:eastAsia="YouYuan" w:cs="YouYuan"/>
        <w:sz w:val="16"/>
        <w:szCs w:val="16"/>
        <w:spacing w:val="1"/>
      </w:rPr>
      <w:t xml:space="preserve">             </w:t>
    </w:r>
    <w:r>
      <w:rPr>
        <w:rFonts w:ascii="SimSun" w:hAnsi="SimSun" w:eastAsia="SimSun" w:cs="SimSun"/>
        <w:sz w:val="13"/>
        <w:szCs w:val="13"/>
        <w:spacing w:val="-7"/>
        <w:position w:val="-4"/>
      </w:rPr>
      <w:t>037</w:t>
    </w:r>
  </w:p>
</w:hdr>
</file>

<file path=word/header3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6"/>
        <w:position w:val="-1"/>
      </w:rPr>
      <w:t>426</w:t>
    </w:r>
    <w:r>
      <w:rPr>
        <w:rFonts w:ascii="SimSun" w:hAnsi="SimSun" w:eastAsia="SimSun" w:cs="SimSun"/>
        <w:sz w:val="13"/>
        <w:szCs w:val="13"/>
        <w:spacing w:val="2"/>
        <w:position w:val="-1"/>
      </w:rPr>
      <w:t xml:space="preserve">                          </w:t>
    </w:r>
    <w:r>
      <w:rPr>
        <w:rFonts w:ascii="SimHei" w:hAnsi="SimHei" w:eastAsia="SimHei" w:cs="SimHei"/>
        <w:sz w:val="16"/>
        <w:szCs w:val="16"/>
        <w:spacing w:val="-6"/>
      </w:rPr>
      <w:t>平台经济——创新、治理与繁荣</w:t>
    </w:r>
  </w:p>
</w:hdr>
</file>

<file path=word/header3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0"/>
        <w:szCs w:val="10"/>
      </w:rPr>
    </w:sdtEndPr>
    <w:sdtContent>
      <w:p>
        <w:pPr>
          <w:ind w:left="2021"/>
          <w:spacing w:line="174" w:lineRule="auto"/>
          <w:rPr>
            <w:rFonts w:ascii="SimSun" w:hAnsi="SimSun" w:eastAsia="SimSun" w:cs="SimSun"/>
            <w:sz w:val="10"/>
            <w:szCs w:val="10"/>
          </w:rPr>
        </w:pPr>
        <w:r>
          <w:rPr>
            <w:rFonts w:ascii="SimHei" w:hAnsi="SimHei" w:eastAsia="SimHei" w:cs="SimHei"/>
            <w:sz w:val="14"/>
            <w:szCs w:val="14"/>
            <w:b/>
            <w:bCs/>
            <w:spacing w:val="6"/>
          </w:rPr>
          <w:t>第十二章</w:t>
        </w:r>
        <w:r>
          <w:rPr>
            <w:rFonts w:ascii="SimHei" w:hAnsi="SimHei" w:eastAsia="SimHei" w:cs="SimHei"/>
            <w:sz w:val="14"/>
            <w:szCs w:val="14"/>
            <w:spacing w:val="34"/>
          </w:rPr>
          <w:t xml:space="preserve">  </w:t>
        </w:r>
        <w:r>
          <w:rPr>
            <w:rFonts w:ascii="SimHei" w:hAnsi="SimHei" w:eastAsia="SimHei" w:cs="SimHei"/>
            <w:sz w:val="14"/>
            <w:szCs w:val="14"/>
            <w:b/>
            <w:bCs/>
            <w:spacing w:val="6"/>
          </w:rPr>
          <w:t>平台的反垄断挑战</w:t>
        </w:r>
        <w:r>
          <w:rPr>
            <w:rFonts w:ascii="SimHei" w:hAnsi="SimHei" w:eastAsia="SimHei" w:cs="SimHei"/>
            <w:sz w:val="14"/>
            <w:szCs w:val="14"/>
            <w:spacing w:val="6"/>
          </w:rPr>
          <w:t xml:space="preserve">                       </w:t>
        </w:r>
        <w:hyperlink w:history="true" w:anchor="bookmark132">
          <w:r>
            <w:rPr>
              <w:rFonts w:ascii="SimSun" w:hAnsi="SimSun" w:eastAsia="SimSun" w:cs="SimSun"/>
              <w:sz w:val="10"/>
              <w:szCs w:val="10"/>
              <w:spacing w:val="6"/>
              <w:position w:val="-1"/>
            </w:rPr>
            <w:t>427</w:t>
          </w:r>
        </w:hyperlink>
      </w:p>
    </w:sdtContent>
  </w:sdt>
</w:hdr>
</file>

<file path=word/header3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0"/>
      <w:spacing w:line="167" w:lineRule="auto"/>
      <w:rPr>
        <w:rFonts w:ascii="SimHei" w:hAnsi="SimHei" w:eastAsia="SimHei" w:cs="SimHei"/>
        <w:sz w:val="16"/>
        <w:szCs w:val="16"/>
      </w:rPr>
    </w:pPr>
    <w:r>
      <w:rPr>
        <w:rFonts w:ascii="SimSun" w:hAnsi="SimSun" w:eastAsia="SimSun" w:cs="SimSun"/>
        <w:sz w:val="12"/>
        <w:szCs w:val="12"/>
        <w:spacing w:val="-6"/>
        <w:position w:val="-2"/>
      </w:rPr>
      <w:t>428</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3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2010"/>
          <w:spacing w:line="169" w:lineRule="auto"/>
          <w:rPr>
            <w:rFonts w:ascii="SimSun" w:hAnsi="SimSun" w:eastAsia="SimSun" w:cs="SimSun"/>
            <w:sz w:val="12"/>
            <w:szCs w:val="12"/>
          </w:rPr>
        </w:pPr>
        <w:r>
          <w:rPr>
            <w:rFonts w:ascii="YouYuan" w:hAnsi="YouYuan" w:eastAsia="YouYuan" w:cs="YouYuan"/>
            <w:sz w:val="16"/>
            <w:szCs w:val="16"/>
            <w:spacing w:val="-6"/>
          </w:rPr>
          <w:t>第十二章</w:t>
        </w:r>
        <w:r>
          <w:rPr>
            <w:rFonts w:ascii="YouYuan" w:hAnsi="YouYuan" w:eastAsia="YouYuan" w:cs="YouYuan"/>
            <w:sz w:val="16"/>
            <w:szCs w:val="16"/>
            <w:spacing w:val="-6"/>
          </w:rPr>
          <w:t xml:space="preserve">  </w:t>
        </w:r>
        <w:r>
          <w:rPr>
            <w:rFonts w:ascii="YouYuan" w:hAnsi="YouYuan" w:eastAsia="YouYuan" w:cs="YouYuan"/>
            <w:sz w:val="16"/>
            <w:szCs w:val="16"/>
            <w:spacing w:val="-6"/>
          </w:rPr>
          <w:t>平台的反垄断挑战</w:t>
        </w:r>
        <w:r>
          <w:rPr>
            <w:rFonts w:ascii="YouYuan" w:hAnsi="YouYuan" w:eastAsia="YouYuan" w:cs="YouYuan"/>
            <w:sz w:val="16"/>
            <w:szCs w:val="16"/>
            <w:spacing w:val="3"/>
          </w:rPr>
          <w:t xml:space="preserve">                     </w:t>
        </w:r>
        <w:hyperlink w:history="true" w:anchor="bookmark133">
          <w:r>
            <w:rPr>
              <w:rFonts w:ascii="SimSun" w:hAnsi="SimSun" w:eastAsia="SimSun" w:cs="SimSun"/>
              <w:sz w:val="12"/>
              <w:szCs w:val="12"/>
              <w:spacing w:val="-6"/>
              <w:position w:val="-3"/>
            </w:rPr>
            <w:t>429</w:t>
          </w:r>
        </w:hyperlink>
      </w:p>
    </w:sdtContent>
  </w:sdt>
</w:hdr>
</file>

<file path=word/header3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990"/>
          <w:spacing w:line="179" w:lineRule="auto"/>
          <w:rPr>
            <w:rFonts w:ascii="SimSun" w:hAnsi="SimSun" w:eastAsia="SimSun" w:cs="SimSun"/>
            <w:sz w:val="12"/>
            <w:szCs w:val="12"/>
          </w:rPr>
        </w:pPr>
        <w:r>
          <w:rPr>
            <w:rFonts w:ascii="YouYuan" w:hAnsi="YouYuan" w:eastAsia="YouYuan" w:cs="YouYuan"/>
            <w:sz w:val="16"/>
            <w:szCs w:val="16"/>
            <w:spacing w:val="-5"/>
          </w:rPr>
          <w:t>第十二章</w:t>
        </w:r>
        <w:r>
          <w:rPr>
            <w:rFonts w:ascii="YouYuan" w:hAnsi="YouYuan" w:eastAsia="YouYuan" w:cs="YouYuan"/>
            <w:sz w:val="16"/>
            <w:szCs w:val="16"/>
            <w:spacing w:val="-5"/>
          </w:rPr>
          <w:t xml:space="preserve">  </w:t>
        </w:r>
        <w:r>
          <w:rPr>
            <w:rFonts w:ascii="YouYuan" w:hAnsi="YouYuan" w:eastAsia="YouYuan" w:cs="YouYuan"/>
            <w:sz w:val="16"/>
            <w:szCs w:val="16"/>
            <w:spacing w:val="-5"/>
          </w:rPr>
          <w:t>平台的反垄断挑战</w:t>
        </w:r>
        <w:r>
          <w:rPr>
            <w:rFonts w:ascii="YouYuan" w:hAnsi="YouYuan" w:eastAsia="YouYuan" w:cs="YouYuan"/>
            <w:sz w:val="16"/>
            <w:szCs w:val="16"/>
            <w:spacing w:val="3"/>
          </w:rPr>
          <w:t xml:space="preserve">                     </w:t>
        </w:r>
        <w:hyperlink w:history="true" w:anchor="bookmark134">
          <w:r>
            <w:rPr>
              <w:rFonts w:ascii="SimSun" w:hAnsi="SimSun" w:eastAsia="SimSun" w:cs="SimSun"/>
              <w:sz w:val="12"/>
              <w:szCs w:val="12"/>
              <w:spacing w:val="-5"/>
              <w:position w:val="-2"/>
            </w:rPr>
            <w:t>431</w:t>
          </w:r>
        </w:hyperlink>
      </w:p>
    </w:sdtContent>
  </w:sdt>
</w:hdr>
</file>

<file path=word/header3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2020"/>
          <w:spacing w:line="169" w:lineRule="auto"/>
          <w:rPr>
            <w:rFonts w:ascii="SimSun" w:hAnsi="SimSun" w:eastAsia="SimSun" w:cs="SimSun"/>
            <w:sz w:val="12"/>
            <w:szCs w:val="12"/>
          </w:rPr>
        </w:pPr>
        <w:r>
          <w:rPr>
            <w:rFonts w:ascii="YouYuan" w:hAnsi="YouYuan" w:eastAsia="YouYuan" w:cs="YouYuan"/>
            <w:sz w:val="16"/>
            <w:szCs w:val="16"/>
            <w:spacing w:val="-5"/>
          </w:rPr>
          <w:t>第十二章</w:t>
        </w:r>
        <w:r>
          <w:rPr>
            <w:rFonts w:ascii="YouYuan" w:hAnsi="YouYuan" w:eastAsia="YouYuan" w:cs="YouYuan"/>
            <w:sz w:val="16"/>
            <w:szCs w:val="16"/>
            <w:spacing w:val="-5"/>
          </w:rPr>
          <w:t xml:space="preserve">  </w:t>
        </w:r>
        <w:r>
          <w:rPr>
            <w:rFonts w:ascii="YouYuan" w:hAnsi="YouYuan" w:eastAsia="YouYuan" w:cs="YouYuan"/>
            <w:sz w:val="16"/>
            <w:szCs w:val="16"/>
            <w:spacing w:val="-5"/>
          </w:rPr>
          <w:t>平台的反垄断挑战</w:t>
        </w:r>
        <w:r>
          <w:rPr>
            <w:rFonts w:ascii="YouYuan" w:hAnsi="YouYuan" w:eastAsia="YouYuan" w:cs="YouYuan"/>
            <w:sz w:val="16"/>
            <w:szCs w:val="16"/>
            <w:spacing w:val="-5"/>
          </w:rPr>
          <w:t xml:space="preserve">                       </w:t>
        </w:r>
        <w:hyperlink w:history="true" w:anchor="bookmark135">
          <w:r>
            <w:rPr>
              <w:rFonts w:ascii="SimSun" w:hAnsi="SimSun" w:eastAsia="SimSun" w:cs="SimSun"/>
              <w:sz w:val="12"/>
              <w:szCs w:val="12"/>
              <w:spacing w:val="-5"/>
              <w:position w:val="-3"/>
            </w:rPr>
            <w:t>433</w:t>
          </w:r>
        </w:hyperlink>
      </w:p>
    </w:sdtContent>
  </w:sdt>
</w:hdr>
</file>

<file path=word/header3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rPr>
      <w:t>434                               </w:t>
    </w:r>
    <w:r>
      <w:rPr>
        <w:rFonts w:ascii="SimHei" w:hAnsi="SimHei" w:eastAsia="SimHei" w:cs="SimHei"/>
        <w:sz w:val="16"/>
        <w:szCs w:val="16"/>
        <w:spacing w:val="-4"/>
      </w:rPr>
      <w:t>平台经济——创新、治理与繁荣</w:t>
    </w:r>
  </w:p>
</w:hdr>
</file>

<file path=word/header3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
      <w:spacing w:line="175" w:lineRule="auto"/>
      <w:rPr>
        <w:rFonts w:ascii="SimHei" w:hAnsi="SimHei" w:eastAsia="SimHei" w:cs="SimHei"/>
        <w:sz w:val="16"/>
        <w:szCs w:val="16"/>
      </w:rPr>
    </w:pPr>
    <w:r>
      <w:rPr>
        <w:rFonts w:ascii="SimSun" w:hAnsi="SimSun" w:eastAsia="SimSun" w:cs="SimSun"/>
        <w:sz w:val="12"/>
        <w:szCs w:val="12"/>
        <w:spacing w:val="-4"/>
        <w:position w:val="-1"/>
      </w:rPr>
      <w:t>436                               </w:t>
    </w:r>
    <w:r>
      <w:rPr>
        <w:rFonts w:ascii="SimHei" w:hAnsi="SimHei" w:eastAsia="SimHei" w:cs="SimHei"/>
        <w:sz w:val="16"/>
        <w:szCs w:val="16"/>
        <w:spacing w:val="-4"/>
      </w:rPr>
      <w:t>平台经济——创新、治理与繁荣</w:t>
    </w:r>
  </w:p>
</w:hdr>
</file>

<file path=word/header3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2002"/>
          <w:spacing w:line="187" w:lineRule="auto"/>
          <w:rPr>
            <w:rFonts w:ascii="SimSun" w:hAnsi="SimSun" w:eastAsia="SimSun" w:cs="SimSun"/>
            <w:sz w:val="13"/>
            <w:szCs w:val="13"/>
          </w:rPr>
        </w:pPr>
        <w:r>
          <w:rPr>
            <w:rFonts w:ascii="YouYuan" w:hAnsi="YouYuan" w:eastAsia="YouYuan" w:cs="YouYuan"/>
            <w:sz w:val="16"/>
            <w:szCs w:val="16"/>
            <w:b/>
            <w:bCs/>
            <w:spacing w:val="-7"/>
          </w:rPr>
          <w:t>第十二章</w:t>
        </w:r>
        <w:r>
          <w:rPr>
            <w:rFonts w:ascii="YouYuan" w:hAnsi="YouYuan" w:eastAsia="YouYuan" w:cs="YouYuan"/>
            <w:sz w:val="16"/>
            <w:szCs w:val="16"/>
            <w:spacing w:val="-7"/>
          </w:rPr>
          <w:t xml:space="preserve">  </w:t>
        </w:r>
        <w:r>
          <w:rPr>
            <w:rFonts w:ascii="YouYuan" w:hAnsi="YouYuan" w:eastAsia="YouYuan" w:cs="YouYuan"/>
            <w:sz w:val="16"/>
            <w:szCs w:val="16"/>
            <w:b/>
            <w:bCs/>
            <w:spacing w:val="-7"/>
          </w:rPr>
          <w:t>平台的反垄断挑战</w:t>
        </w:r>
        <w:r>
          <w:rPr>
            <w:rFonts w:ascii="YouYuan" w:hAnsi="YouYuan" w:eastAsia="YouYuan" w:cs="YouYuan"/>
            <w:sz w:val="16"/>
            <w:szCs w:val="16"/>
            <w:spacing w:val="4"/>
          </w:rPr>
          <w:t xml:space="preserve">                     </w:t>
        </w:r>
        <w:hyperlink w:history="true" w:anchor="bookmark136">
          <w:r>
            <w:rPr>
              <w:rFonts w:ascii="SimSun" w:hAnsi="SimSun" w:eastAsia="SimSun" w:cs="SimSun"/>
              <w:sz w:val="13"/>
              <w:szCs w:val="13"/>
              <w:spacing w:val="-7"/>
              <w:position w:val="-1"/>
            </w:rPr>
            <w:t>437</w:t>
          </w:r>
        </w:hyperlink>
      </w:p>
    </w:sdtContent>
  </w:sdt>
</w:hdr>
</file>

<file path=word/header3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438                              </w:t>
    </w:r>
    <w:r>
      <w:rPr>
        <w:rFonts w:ascii="SimHei" w:hAnsi="SimHei" w:eastAsia="SimHei" w:cs="SimHei"/>
        <w:sz w:val="16"/>
        <w:szCs w:val="16"/>
        <w:spacing w:val="-3"/>
      </w:rPr>
      <w:t>平台经济——创新、治理与繁荣</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SimHei" w:hAnsi="SimHei" w:eastAsia="SimHei" w:cs="SimHei"/>
        <w:sz w:val="16"/>
        <w:szCs w:val="16"/>
      </w:rPr>
    </w:pPr>
    <w:r>
      <w:rPr>
        <w:rFonts w:ascii="SimSun" w:hAnsi="SimSun" w:eastAsia="SimSun" w:cs="SimSun"/>
        <w:sz w:val="13"/>
        <w:szCs w:val="13"/>
        <w:spacing w:val="-3"/>
        <w:position w:val="-2"/>
      </w:rPr>
      <w:t>038                          </w:t>
    </w:r>
    <w:r>
      <w:rPr>
        <w:rFonts w:ascii="SimSun" w:hAnsi="SimSun" w:eastAsia="SimSun" w:cs="SimSun"/>
        <w:sz w:val="13"/>
        <w:szCs w:val="13"/>
        <w:spacing w:val="-4"/>
        <w:position w:val="-2"/>
      </w:rPr>
      <w:t xml:space="preserve">  </w:t>
    </w:r>
    <w:r>
      <w:rPr>
        <w:rFonts w:ascii="SimHei" w:hAnsi="SimHei" w:eastAsia="SimHei" w:cs="SimHei"/>
        <w:sz w:val="16"/>
        <w:szCs w:val="16"/>
        <w:spacing w:val="-4"/>
      </w:rPr>
      <w:t>平台经济——创新、治理与繁荣</w:t>
    </w:r>
  </w:p>
</w:hdr>
</file>

<file path=word/header3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440                               </w:t>
    </w:r>
    <w:r>
      <w:rPr>
        <w:rFonts w:ascii="SimHei" w:hAnsi="SimHei" w:eastAsia="SimHei" w:cs="SimHei"/>
        <w:sz w:val="16"/>
        <w:szCs w:val="16"/>
        <w:spacing w:val="-4"/>
      </w:rPr>
      <w:t>平台经济——创新、治理与繁荣</w:t>
    </w:r>
  </w:p>
</w:hdr>
</file>

<file path=word/header3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979"/>
          <w:spacing w:line="179" w:lineRule="auto"/>
          <w:rPr>
            <w:rFonts w:ascii="SimSun" w:hAnsi="SimSun" w:eastAsia="SimSun" w:cs="SimSun"/>
            <w:sz w:val="12"/>
            <w:szCs w:val="12"/>
          </w:rPr>
        </w:pPr>
        <w:r>
          <w:rPr>
            <w:rFonts w:ascii="YouYuan" w:hAnsi="YouYuan" w:eastAsia="YouYuan" w:cs="YouYuan"/>
            <w:sz w:val="16"/>
            <w:szCs w:val="16"/>
          </w:rPr>
          <w:t>第十二章</w:t>
        </w:r>
        <w:r>
          <w:rPr>
            <w:rFonts w:ascii="YouYuan" w:hAnsi="YouYuan" w:eastAsia="YouYuan" w:cs="YouYuan"/>
            <w:sz w:val="16"/>
            <w:szCs w:val="16"/>
          </w:rPr>
          <w:t xml:space="preserve"> </w:t>
        </w:r>
        <w:r>
          <w:rPr>
            <w:rFonts w:ascii="YouYuan" w:hAnsi="YouYuan" w:eastAsia="YouYuan" w:cs="YouYuan"/>
            <w:sz w:val="16"/>
            <w:szCs w:val="16"/>
          </w:rPr>
          <w:t>平台的反垄断挑战</w:t>
        </w:r>
        <w:r>
          <w:rPr>
            <w:rFonts w:ascii="YouYuan" w:hAnsi="YouYuan" w:eastAsia="YouYuan" w:cs="YouYuan"/>
            <w:sz w:val="16"/>
            <w:szCs w:val="16"/>
          </w:rPr>
          <w:t xml:space="preserve">                     </w:t>
        </w:r>
        <w:r>
          <w:rPr>
            <w:rFonts w:ascii="YouYuan" w:hAnsi="YouYuan" w:eastAsia="YouYuan" w:cs="YouYuan"/>
            <w:sz w:val="16"/>
            <w:szCs w:val="16"/>
            <w:spacing w:val="-1"/>
          </w:rPr>
          <w:t xml:space="preserve"> </w:t>
        </w:r>
        <w:hyperlink w:history="true" w:anchor="bookmark137">
          <w:r>
            <w:rPr>
              <w:rFonts w:ascii="SimSun" w:hAnsi="SimSun" w:eastAsia="SimSun" w:cs="SimSun"/>
              <w:sz w:val="12"/>
              <w:szCs w:val="12"/>
              <w:spacing w:val="-1"/>
              <w:position w:val="-2"/>
            </w:rPr>
            <w:t>441</w:t>
          </w:r>
        </w:hyperlink>
      </w:p>
    </w:sdtContent>
  </w:sdt>
</w:hdr>
</file>

<file path=word/header3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8" w:lineRule="auto"/>
      <w:rPr>
        <w:rFonts w:ascii="YouYuan" w:hAnsi="YouYuan" w:eastAsia="YouYuan" w:cs="YouYuan"/>
        <w:sz w:val="16"/>
        <w:szCs w:val="16"/>
      </w:rPr>
    </w:pPr>
    <w:r>
      <w:rPr>
        <w:rFonts w:ascii="SimSun" w:hAnsi="SimSun" w:eastAsia="SimSun" w:cs="SimSun"/>
        <w:sz w:val="12"/>
        <w:szCs w:val="12"/>
        <w:spacing w:val="-6"/>
        <w:position w:val="-3"/>
      </w:rPr>
      <w:t>442</w:t>
    </w:r>
    <w:r>
      <w:rPr>
        <w:rFonts w:ascii="SimSun" w:hAnsi="SimSun" w:eastAsia="SimSun" w:cs="SimSun"/>
        <w:sz w:val="12"/>
        <w:szCs w:val="12"/>
        <w:spacing w:val="1"/>
        <w:position w:val="-3"/>
      </w:rPr>
      <w:t xml:space="preserve">                             </w:t>
    </w:r>
    <w:r>
      <w:rPr>
        <w:rFonts w:ascii="YouYuan" w:hAnsi="YouYuan" w:eastAsia="YouYuan" w:cs="YouYuan"/>
        <w:sz w:val="16"/>
        <w:szCs w:val="16"/>
        <w:spacing w:val="-6"/>
      </w:rPr>
      <w:t>平台经济——创新、治理与繁荣</w:t>
    </w:r>
  </w:p>
</w:hdr>
</file>

<file path=word/header3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7"/>
        <w:szCs w:val="17"/>
      </w:rPr>
      <w:docPartObj>
        <w:docPartGallery w:val="Table of Contents"/>
        <w:docPartUnique/>
      </w:docPartObj>
    </w:sdtPr>
    <w:sdtEndPr>
      <w:rPr>
        <w:rFonts w:ascii="SimSun" w:hAnsi="SimSun" w:eastAsia="SimSun" w:cs="SimSun"/>
        <w:sz w:val="12"/>
        <w:szCs w:val="12"/>
      </w:rPr>
    </w:sdtEndPr>
    <w:sdtContent>
      <w:p>
        <w:pPr>
          <w:ind w:left="2097"/>
          <w:spacing w:line="165" w:lineRule="auto"/>
          <w:rPr>
            <w:rFonts w:ascii="SimSun" w:hAnsi="SimSun" w:eastAsia="SimSun" w:cs="SimSun"/>
            <w:sz w:val="12"/>
            <w:szCs w:val="12"/>
          </w:rPr>
        </w:pPr>
        <w:r>
          <w:rPr>
            <w:rFonts w:ascii="YouYuan" w:hAnsi="YouYuan" w:eastAsia="YouYuan" w:cs="YouYuan"/>
            <w:sz w:val="17"/>
            <w:szCs w:val="17"/>
            <w:b/>
            <w:bCs/>
            <w:spacing w:val="-9"/>
          </w:rPr>
          <w:t>第十二章</w:t>
        </w:r>
        <w:r>
          <w:rPr>
            <w:rFonts w:ascii="YouYuan" w:hAnsi="YouYuan" w:eastAsia="YouYuan" w:cs="YouYuan"/>
            <w:sz w:val="17"/>
            <w:szCs w:val="17"/>
            <w:spacing w:val="-9"/>
          </w:rPr>
          <w:t xml:space="preserve">  </w:t>
        </w:r>
        <w:r>
          <w:rPr>
            <w:rFonts w:ascii="YouYuan" w:hAnsi="YouYuan" w:eastAsia="YouYuan" w:cs="YouYuan"/>
            <w:sz w:val="17"/>
            <w:szCs w:val="17"/>
            <w:b/>
            <w:bCs/>
            <w:spacing w:val="-9"/>
          </w:rPr>
          <w:t>平台的反垄断挑战</w:t>
        </w:r>
        <w:r>
          <w:rPr>
            <w:rFonts w:ascii="YouYuan" w:hAnsi="YouYuan" w:eastAsia="YouYuan" w:cs="YouYuan"/>
            <w:sz w:val="17"/>
            <w:szCs w:val="17"/>
            <w:spacing w:val="-9"/>
          </w:rPr>
          <w:t xml:space="preserve">                  </w:t>
        </w:r>
        <w:r>
          <w:rPr>
            <w:rFonts w:ascii="YouYuan" w:hAnsi="YouYuan" w:eastAsia="YouYuan" w:cs="YouYuan"/>
            <w:sz w:val="17"/>
            <w:szCs w:val="17"/>
            <w:spacing w:val="-10"/>
          </w:rPr>
          <w:t xml:space="preserve">    </w:t>
        </w:r>
        <w:hyperlink w:history="true" w:anchor="bookmark138">
          <w:r>
            <w:rPr>
              <w:rFonts w:ascii="SimSun" w:hAnsi="SimSun" w:eastAsia="SimSun" w:cs="SimSun"/>
              <w:sz w:val="12"/>
              <w:szCs w:val="12"/>
              <w:spacing w:val="-10"/>
              <w:position w:val="-4"/>
            </w:rPr>
            <w:t>443</w:t>
          </w:r>
        </w:hyperlink>
      </w:p>
    </w:sdtContent>
  </w:sdt>
</w:hdr>
</file>

<file path=word/header3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Hei" w:hAnsi="SimHei" w:eastAsia="SimHei" w:cs="SimHei"/>
        <w:sz w:val="16"/>
        <w:szCs w:val="16"/>
      </w:rPr>
    </w:pPr>
    <w:r>
      <w:rPr>
        <w:rFonts w:ascii="SimSun" w:hAnsi="SimSun" w:eastAsia="SimSun" w:cs="SimSun"/>
        <w:sz w:val="13"/>
        <w:szCs w:val="13"/>
        <w:spacing w:val="-4"/>
        <w:position w:val="-1"/>
      </w:rPr>
      <w:t>444                            </w:t>
    </w:r>
    <w:r>
      <w:rPr>
        <w:rFonts w:ascii="SimHei" w:hAnsi="SimHei" w:eastAsia="SimHei" w:cs="SimHei"/>
        <w:sz w:val="16"/>
        <w:szCs w:val="16"/>
        <w:spacing w:val="-4"/>
      </w:rPr>
      <w:t>平台经济——创新、治理与繁荣</w:t>
    </w:r>
  </w:p>
</w:hdr>
</file>

<file path=word/header3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
      <w:spacing w:line="170" w:lineRule="auto"/>
      <w:rPr>
        <w:rFonts w:ascii="SimHei" w:hAnsi="SimHei" w:eastAsia="SimHei" w:cs="SimHei"/>
        <w:sz w:val="16"/>
        <w:szCs w:val="16"/>
      </w:rPr>
    </w:pPr>
    <w:r>
      <w:rPr>
        <w:rFonts w:ascii="SimSun" w:hAnsi="SimSun" w:eastAsia="SimSun" w:cs="SimSun"/>
        <w:sz w:val="12"/>
        <w:szCs w:val="12"/>
        <w:spacing w:val="-3"/>
        <w:position w:val="-2"/>
      </w:rPr>
      <w:t>450                              </w:t>
    </w:r>
    <w:r>
      <w:rPr>
        <w:rFonts w:ascii="SimHei" w:hAnsi="SimHei" w:eastAsia="SimHei" w:cs="SimHei"/>
        <w:sz w:val="16"/>
        <w:szCs w:val="16"/>
        <w:b/>
        <w:bCs/>
        <w:spacing w:val="-3"/>
      </w:rPr>
      <w:t>平台经济——创新、治理与繁荣</w:t>
    </w:r>
  </w:p>
</w:hdr>
</file>

<file path=word/header3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72"/>
      <w:spacing w:line="179" w:lineRule="auto"/>
      <w:rPr>
        <w:rFonts w:ascii="SimSun" w:hAnsi="SimSun" w:eastAsia="SimSun" w:cs="SimSun"/>
        <w:sz w:val="12"/>
        <w:szCs w:val="12"/>
      </w:rPr>
    </w:pPr>
    <w:r>
      <w:rPr>
        <w:rFonts w:ascii="YouYuan" w:hAnsi="YouYuan" w:eastAsia="YouYuan" w:cs="YouYuan"/>
        <w:sz w:val="16"/>
        <w:szCs w:val="16"/>
        <w:b/>
        <w:bCs/>
        <w:spacing w:val="-2"/>
      </w:rPr>
      <w:t>第十三章</w:t>
    </w:r>
    <w:r>
      <w:rPr>
        <w:rFonts w:ascii="YouYuan" w:hAnsi="YouYuan" w:eastAsia="YouYuan" w:cs="YouYuan"/>
        <w:sz w:val="16"/>
        <w:szCs w:val="16"/>
        <w:spacing w:val="-2"/>
      </w:rPr>
      <w:t xml:space="preserve"> </w:t>
    </w:r>
    <w:r>
      <w:rPr>
        <w:rFonts w:ascii="YouYuan" w:hAnsi="YouYuan" w:eastAsia="YouYuan" w:cs="YouYuan"/>
        <w:sz w:val="16"/>
        <w:szCs w:val="16"/>
        <w:b/>
        <w:bCs/>
        <w:spacing w:val="-2"/>
      </w:rPr>
      <w:t>回应型监管和未来数字经济法的框架</w:t>
    </w:r>
    <w:r>
      <w:rPr>
        <w:rFonts w:ascii="YouYuan" w:hAnsi="YouYuan" w:eastAsia="YouYuan" w:cs="YouYuan"/>
        <w:sz w:val="16"/>
        <w:szCs w:val="16"/>
        <w:spacing w:val="-2"/>
      </w:rPr>
      <w:t xml:space="preserve">             </w:t>
    </w:r>
    <w:r>
      <w:rPr>
        <w:rFonts w:ascii="YouYuan" w:hAnsi="YouYuan" w:eastAsia="YouYuan" w:cs="YouYuan"/>
        <w:sz w:val="16"/>
        <w:szCs w:val="16"/>
        <w:spacing w:val="-3"/>
      </w:rPr>
      <w:t xml:space="preserve"> </w:t>
    </w:r>
    <w:r>
      <w:rPr>
        <w:rFonts w:ascii="SimSun" w:hAnsi="SimSun" w:eastAsia="SimSun" w:cs="SimSun"/>
        <w:sz w:val="12"/>
        <w:szCs w:val="12"/>
        <w:spacing w:val="-3"/>
        <w:position w:val="-2"/>
      </w:rPr>
      <w:t>451</w:t>
    </w:r>
  </w:p>
</w:hdr>
</file>

<file path=word/header3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2"/>
        <w:szCs w:val="12"/>
        <w:spacing w:val="-3"/>
      </w:rPr>
      <w:t>452                              </w:t>
    </w:r>
    <w:r>
      <w:rPr>
        <w:rFonts w:ascii="SimHei" w:hAnsi="SimHei" w:eastAsia="SimHei" w:cs="SimHei"/>
        <w:sz w:val="16"/>
        <w:szCs w:val="16"/>
        <w:spacing w:val="-3"/>
      </w:rPr>
      <w:t>平台经济——创新、</w:t>
    </w:r>
    <w:r>
      <w:rPr>
        <w:rFonts w:ascii="SimHei" w:hAnsi="SimHei" w:eastAsia="SimHei" w:cs="SimHei"/>
        <w:sz w:val="16"/>
        <w:szCs w:val="16"/>
        <w:spacing w:val="-4"/>
      </w:rPr>
      <w:t>治理与繁荣</w:t>
    </w:r>
  </w:p>
</w:hdr>
</file>

<file path=word/header3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20"/>
      <w:spacing w:line="169" w:lineRule="auto"/>
      <w:rPr>
        <w:rFonts w:ascii="SimSun" w:hAnsi="SimSun" w:eastAsia="SimSun" w:cs="SimSun"/>
        <w:sz w:val="12"/>
        <w:szCs w:val="12"/>
      </w:rPr>
    </w:pPr>
    <w:r>
      <w:rPr>
        <w:rFonts w:ascii="YouYuan" w:hAnsi="YouYuan" w:eastAsia="YouYuan" w:cs="YouYuan"/>
        <w:sz w:val="16"/>
        <w:szCs w:val="16"/>
        <w:spacing w:val="-1"/>
      </w:rPr>
      <w:t>第十三章</w:t>
    </w:r>
    <w:r>
      <w:rPr>
        <w:rFonts w:ascii="YouYuan" w:hAnsi="YouYuan" w:eastAsia="YouYuan" w:cs="YouYuan"/>
        <w:sz w:val="16"/>
        <w:szCs w:val="16"/>
        <w:spacing w:val="-1"/>
      </w:rPr>
      <w:t xml:space="preserve"> </w:t>
    </w:r>
    <w:r>
      <w:rPr>
        <w:rFonts w:ascii="YouYuan" w:hAnsi="YouYuan" w:eastAsia="YouYuan" w:cs="YouYuan"/>
        <w:sz w:val="16"/>
        <w:szCs w:val="16"/>
        <w:spacing w:val="-1"/>
      </w:rPr>
      <w:t>回应型监管和未来数字经济法的框架</w:t>
    </w:r>
    <w:r>
      <w:rPr>
        <w:rFonts w:ascii="YouYuan" w:hAnsi="YouYuan" w:eastAsia="YouYuan" w:cs="YouYuan"/>
        <w:sz w:val="16"/>
        <w:szCs w:val="16"/>
        <w:spacing w:val="-1"/>
      </w:rPr>
      <w:t xml:space="preserve"> </w:t>
    </w:r>
    <w:r>
      <w:rPr>
        <w:rFonts w:ascii="YouYuan" w:hAnsi="YouYuan" w:eastAsia="YouYuan" w:cs="YouYuan"/>
        <w:sz w:val="16"/>
        <w:szCs w:val="16"/>
        <w:spacing w:val="-2"/>
      </w:rPr>
      <w:t xml:space="preserve">             </w:t>
    </w:r>
    <w:r>
      <w:rPr>
        <w:rFonts w:ascii="SimSun" w:hAnsi="SimSun" w:eastAsia="SimSun" w:cs="SimSun"/>
        <w:sz w:val="12"/>
        <w:szCs w:val="12"/>
        <w:spacing w:val="-2"/>
        <w:position w:val="-3"/>
      </w:rPr>
      <w:t>453</w:t>
    </w:r>
  </w:p>
</w:hdr>
</file>

<file path=word/header3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2"/>
      </w:rPr>
      <w:t>454                              </w:t>
    </w:r>
    <w:r>
      <w:rPr>
        <w:rFonts w:ascii="SimHei" w:hAnsi="SimHei" w:eastAsia="SimHei" w:cs="SimHei"/>
        <w:sz w:val="16"/>
        <w:szCs w:val="16"/>
        <w:spacing w:val="-3"/>
      </w:rPr>
      <w:t>平台经济——创新、治理与繁荣</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2"/>
      <w:spacing w:line="175" w:lineRule="auto"/>
      <w:rPr>
        <w:rFonts w:ascii="SimSun" w:hAnsi="SimSun" w:eastAsia="SimSun" w:cs="SimSun"/>
        <w:sz w:val="12"/>
        <w:szCs w:val="12"/>
      </w:rPr>
    </w:pPr>
    <w:r>
      <w:rPr>
        <w:rFonts w:ascii="SimHei" w:hAnsi="SimHei" w:eastAsia="SimHei" w:cs="SimHei"/>
        <w:sz w:val="16"/>
        <w:szCs w:val="16"/>
        <w:b/>
        <w:bCs/>
        <w:spacing w:val="-4"/>
      </w:rPr>
      <w:t>第一章</w:t>
    </w:r>
    <w:r>
      <w:rPr>
        <w:rFonts w:ascii="SimHei" w:hAnsi="SimHei" w:eastAsia="SimHei" w:cs="SimHei"/>
        <w:sz w:val="16"/>
        <w:szCs w:val="16"/>
        <w:spacing w:val="-4"/>
      </w:rPr>
      <w:t xml:space="preserve">  </w:t>
    </w:r>
    <w:r>
      <w:rPr>
        <w:rFonts w:ascii="SimHei" w:hAnsi="SimHei" w:eastAsia="SimHei" w:cs="SimHei"/>
        <w:sz w:val="16"/>
        <w:szCs w:val="16"/>
        <w:b/>
        <w:bCs/>
        <w:spacing w:val="-4"/>
      </w:rPr>
      <w:t>重塑平台经济：走向有序发展与共同富裕</w:t>
    </w:r>
    <w:r>
      <w:rPr>
        <w:rFonts w:ascii="SimHei" w:hAnsi="SimHei" w:eastAsia="SimHei" w:cs="SimHei"/>
        <w:sz w:val="16"/>
        <w:szCs w:val="16"/>
        <w:spacing w:val="-4"/>
      </w:rPr>
      <w:t xml:space="preserve">             </w:t>
    </w:r>
    <w:r>
      <w:rPr>
        <w:rFonts w:ascii="SimSun" w:hAnsi="SimSun" w:eastAsia="SimSun" w:cs="SimSun"/>
        <w:sz w:val="12"/>
        <w:szCs w:val="12"/>
        <w:spacing w:val="-4"/>
        <w:position w:val="-1"/>
      </w:rPr>
      <w:t>039</w:t>
    </w:r>
  </w:p>
</w:hdr>
</file>

<file path=word/header3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99"/>
      <w:spacing w:line="169" w:lineRule="auto"/>
      <w:rPr>
        <w:rFonts w:ascii="SimSun" w:hAnsi="SimSun" w:eastAsia="SimSun" w:cs="SimSun"/>
        <w:sz w:val="12"/>
        <w:szCs w:val="12"/>
      </w:rPr>
    </w:pPr>
    <w:r>
      <w:rPr>
        <w:rFonts w:ascii="YouYuan" w:hAnsi="YouYuan" w:eastAsia="YouYuan" w:cs="YouYuan"/>
        <w:sz w:val="16"/>
        <w:szCs w:val="16"/>
        <w:spacing w:val="-6"/>
      </w:rPr>
      <w:t>第十三章</w:t>
    </w:r>
    <w:r>
      <w:rPr>
        <w:rFonts w:ascii="YouYuan" w:hAnsi="YouYuan" w:eastAsia="YouYuan" w:cs="YouYuan"/>
        <w:sz w:val="16"/>
        <w:szCs w:val="16"/>
        <w:spacing w:val="-6"/>
      </w:rPr>
      <w:t xml:space="preserve">  </w:t>
    </w:r>
    <w:r>
      <w:rPr>
        <w:rFonts w:ascii="YouYuan" w:hAnsi="YouYuan" w:eastAsia="YouYuan" w:cs="YouYuan"/>
        <w:sz w:val="16"/>
        <w:szCs w:val="16"/>
        <w:spacing w:val="-6"/>
      </w:rPr>
      <w:t>回应型监管和未来数字经济法的框架</w:t>
    </w:r>
    <w:r>
      <w:rPr>
        <w:rFonts w:ascii="YouYuan" w:hAnsi="YouYuan" w:eastAsia="YouYuan" w:cs="YouYuan"/>
        <w:sz w:val="16"/>
        <w:szCs w:val="16"/>
      </w:rPr>
      <w:t xml:space="preserve">              </w:t>
    </w:r>
    <w:r>
      <w:rPr>
        <w:rFonts w:ascii="SimSun" w:hAnsi="SimSun" w:eastAsia="SimSun" w:cs="SimSun"/>
        <w:sz w:val="12"/>
        <w:szCs w:val="12"/>
        <w:spacing w:val="-6"/>
        <w:position w:val="-3"/>
      </w:rPr>
      <w:t>4</w:t>
    </w:r>
    <w:r>
      <w:rPr>
        <w:rFonts w:ascii="SimSun" w:hAnsi="SimSun" w:eastAsia="SimSun" w:cs="SimSun"/>
        <w:sz w:val="12"/>
        <w:szCs w:val="12"/>
        <w:spacing w:val="-7"/>
        <w:position w:val="-3"/>
      </w:rPr>
      <w:t>55</w:t>
    </w:r>
  </w:p>
</w:hdr>
</file>

<file path=word/header3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74"/>
      <w:spacing w:line="180" w:lineRule="auto"/>
      <w:rPr>
        <w:rFonts w:ascii="SimSun" w:hAnsi="SimSun" w:eastAsia="SimSun" w:cs="SimSun"/>
        <w:sz w:val="13"/>
        <w:szCs w:val="13"/>
      </w:rPr>
    </w:pPr>
    <w:r>
      <w:rPr>
        <w:rFonts w:ascii="YouYuan" w:hAnsi="YouYuan" w:eastAsia="YouYuan" w:cs="YouYuan"/>
        <w:sz w:val="17"/>
        <w:szCs w:val="17"/>
        <w:spacing w:val="-12"/>
        <w:w w:val="99"/>
      </w:rPr>
      <w:t>第十三章</w:t>
    </w:r>
    <w:r>
      <w:rPr>
        <w:rFonts w:ascii="YouYuan" w:hAnsi="YouYuan" w:eastAsia="YouYuan" w:cs="YouYuan"/>
        <w:sz w:val="17"/>
        <w:szCs w:val="17"/>
        <w:spacing w:val="-12"/>
        <w:w w:val="99"/>
      </w:rPr>
      <w:t xml:space="preserve">  </w:t>
    </w:r>
    <w:r>
      <w:rPr>
        <w:rFonts w:ascii="YouYuan" w:hAnsi="YouYuan" w:eastAsia="YouYuan" w:cs="YouYuan"/>
        <w:sz w:val="17"/>
        <w:szCs w:val="17"/>
        <w:spacing w:val="-12"/>
        <w:w w:val="99"/>
      </w:rPr>
      <w:t>回应型监管和未来数字经济法的框架</w:t>
    </w:r>
    <w:r>
      <w:rPr>
        <w:rFonts w:ascii="YouYuan" w:hAnsi="YouYuan" w:eastAsia="YouYuan" w:cs="YouYuan"/>
        <w:sz w:val="17"/>
        <w:szCs w:val="17"/>
        <w:spacing w:val="2"/>
      </w:rPr>
      <w:t xml:space="preserve">             </w:t>
    </w:r>
    <w:r>
      <w:rPr>
        <w:rFonts w:ascii="SimSun" w:hAnsi="SimSun" w:eastAsia="SimSun" w:cs="SimSun"/>
        <w:sz w:val="13"/>
        <w:szCs w:val="13"/>
        <w:spacing w:val="-12"/>
        <w:w w:val="99"/>
        <w:position w:val="-2"/>
      </w:rPr>
      <w:t>457</w:t>
    </w:r>
  </w:p>
</w:hdr>
</file>

<file path=word/header3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6"/>
      <w:spacing w:line="175" w:lineRule="auto"/>
      <w:rPr>
        <w:rFonts w:ascii="SimHei" w:hAnsi="SimHei" w:eastAsia="SimHei" w:cs="SimHei"/>
        <w:sz w:val="16"/>
        <w:szCs w:val="16"/>
      </w:rPr>
    </w:pPr>
    <w:r>
      <w:rPr>
        <w:rFonts w:ascii="SimSun" w:hAnsi="SimSun" w:eastAsia="SimSun" w:cs="SimSun"/>
        <w:sz w:val="12"/>
        <w:szCs w:val="12"/>
        <w:b/>
        <w:bCs/>
        <w:spacing w:val="-3"/>
        <w:position w:val="-1"/>
      </w:rPr>
      <w:t>458</w:t>
    </w:r>
    <w:r>
      <w:rPr>
        <w:rFonts w:ascii="SimSun" w:hAnsi="SimSun" w:eastAsia="SimSun" w:cs="SimSun"/>
        <w:sz w:val="12"/>
        <w:szCs w:val="12"/>
        <w:spacing w:val="-3"/>
        <w:position w:val="-1"/>
      </w:rPr>
      <w:t xml:space="preserve">                            </w:t>
    </w:r>
    <w:r>
      <w:rPr>
        <w:rFonts w:ascii="SimSun" w:hAnsi="SimSun" w:eastAsia="SimSun" w:cs="SimSun"/>
        <w:sz w:val="12"/>
        <w:szCs w:val="12"/>
        <w:spacing w:val="-4"/>
        <w:position w:val="-1"/>
      </w:rPr>
      <w:t xml:space="preserve">  </w:t>
    </w:r>
    <w:r>
      <w:rPr>
        <w:rFonts w:ascii="SimHei" w:hAnsi="SimHei" w:eastAsia="SimHei" w:cs="SimHei"/>
        <w:sz w:val="16"/>
        <w:szCs w:val="16"/>
        <w:b/>
        <w:bCs/>
        <w:spacing w:val="-4"/>
      </w:rPr>
      <w:t>平台经济——创新、治理与繁荣</w:t>
    </w:r>
  </w:p>
</w:hdr>
</file>

<file path=word/header3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2"/>
      <w:spacing w:line="169" w:lineRule="auto"/>
      <w:rPr>
        <w:rFonts w:ascii="SimSun" w:hAnsi="SimSun" w:eastAsia="SimSun" w:cs="SimSun"/>
        <w:sz w:val="12"/>
        <w:szCs w:val="12"/>
      </w:rPr>
    </w:pPr>
    <w:r>
      <w:rPr>
        <w:rFonts w:ascii="SimHei" w:hAnsi="SimHei" w:eastAsia="SimHei" w:cs="SimHei"/>
        <w:sz w:val="16"/>
        <w:szCs w:val="16"/>
        <w:b/>
        <w:bCs/>
        <w:spacing w:val="-6"/>
      </w:rPr>
      <w:t>第十三章</w:t>
    </w:r>
    <w:r>
      <w:rPr>
        <w:rFonts w:ascii="SimHei" w:hAnsi="SimHei" w:eastAsia="SimHei" w:cs="SimHei"/>
        <w:sz w:val="16"/>
        <w:szCs w:val="16"/>
        <w:spacing w:val="-6"/>
      </w:rPr>
      <w:t xml:space="preserve">  </w:t>
    </w:r>
    <w:r>
      <w:rPr>
        <w:rFonts w:ascii="SimHei" w:hAnsi="SimHei" w:eastAsia="SimHei" w:cs="SimHei"/>
        <w:sz w:val="16"/>
        <w:szCs w:val="16"/>
        <w:b/>
        <w:bCs/>
        <w:spacing w:val="-6"/>
      </w:rPr>
      <w:t>回应型监管和未来数字经济法的框架</w:t>
    </w:r>
    <w:r>
      <w:rPr>
        <w:rFonts w:ascii="SimHei" w:hAnsi="SimHei" w:eastAsia="SimHei" w:cs="SimHei"/>
        <w:sz w:val="16"/>
        <w:szCs w:val="16"/>
        <w:spacing w:val="-6"/>
      </w:rPr>
      <w:t xml:space="preserve">        </w:t>
    </w:r>
    <w:r>
      <w:rPr>
        <w:rFonts w:ascii="SimHei" w:hAnsi="SimHei" w:eastAsia="SimHei" w:cs="SimHei"/>
        <w:sz w:val="16"/>
        <w:szCs w:val="16"/>
        <w:spacing w:val="-7"/>
      </w:rPr>
      <w:t xml:space="preserve">       </w:t>
    </w:r>
    <w:r>
      <w:rPr>
        <w:rFonts w:ascii="SimSun" w:hAnsi="SimSun" w:eastAsia="SimSun" w:cs="SimSun"/>
        <w:sz w:val="12"/>
        <w:szCs w:val="12"/>
        <w:spacing w:val="-7"/>
        <w:position w:val="-2"/>
      </w:rPr>
      <w:t>459</w:t>
    </w:r>
  </w:p>
</w:hdr>
</file>

<file path=word/header3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1"/>
        <w:szCs w:val="11"/>
      </w:rPr>
    </w:sdtEndPr>
    <w:sdtContent>
      <w:p>
        <w:pPr>
          <w:ind w:left="1402"/>
          <w:spacing w:line="175" w:lineRule="auto"/>
          <w:rPr>
            <w:rFonts w:ascii="SimSun" w:hAnsi="SimSun" w:eastAsia="SimSun" w:cs="SimSun"/>
            <w:sz w:val="11"/>
            <w:szCs w:val="11"/>
          </w:rPr>
        </w:pPr>
        <w:r>
          <w:rPr>
            <w:rFonts w:ascii="SimHei" w:hAnsi="SimHei" w:eastAsia="SimHei" w:cs="SimHei"/>
            <w:sz w:val="16"/>
            <w:szCs w:val="16"/>
            <w:b/>
            <w:bCs/>
            <w:spacing w:val="-4"/>
          </w:rPr>
          <w:t>第十三章</w:t>
        </w:r>
        <w:r>
          <w:rPr>
            <w:rFonts w:ascii="SimHei" w:hAnsi="SimHei" w:eastAsia="SimHei" w:cs="SimHei"/>
            <w:sz w:val="16"/>
            <w:szCs w:val="16"/>
            <w:spacing w:val="-4"/>
          </w:rPr>
          <w:t xml:space="preserve"> </w:t>
        </w:r>
        <w:r>
          <w:rPr>
            <w:rFonts w:ascii="SimHei" w:hAnsi="SimHei" w:eastAsia="SimHei" w:cs="SimHei"/>
            <w:sz w:val="16"/>
            <w:szCs w:val="16"/>
            <w:b/>
            <w:bCs/>
            <w:spacing w:val="-4"/>
          </w:rPr>
          <w:t>回应型监管和未来数字经济法的框架</w:t>
        </w:r>
        <w:r>
          <w:rPr>
            <w:rFonts w:ascii="SimHei" w:hAnsi="SimHei" w:eastAsia="SimHei" w:cs="SimHei"/>
            <w:sz w:val="16"/>
            <w:szCs w:val="16"/>
            <w:spacing w:val="1"/>
          </w:rPr>
          <w:t xml:space="preserve">              </w:t>
        </w:r>
        <w:hyperlink w:history="true" w:anchor="bookmark139">
          <w:r>
            <w:rPr>
              <w:rFonts w:ascii="SimSun" w:hAnsi="SimSun" w:eastAsia="SimSun" w:cs="SimSun"/>
              <w:sz w:val="11"/>
              <w:szCs w:val="11"/>
              <w:spacing w:val="-4"/>
              <w:position w:val="-1"/>
            </w:rPr>
            <w:t>461</w:t>
          </w:r>
        </w:hyperlink>
      </w:p>
    </w:sdtContent>
  </w:sdt>
</w:hdr>
</file>

<file path=word/header3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
      <w:spacing w:line="170" w:lineRule="auto"/>
      <w:rPr>
        <w:rFonts w:ascii="SimHei" w:hAnsi="SimHei" w:eastAsia="SimHei" w:cs="SimHei"/>
        <w:sz w:val="16"/>
        <w:szCs w:val="16"/>
      </w:rPr>
    </w:pPr>
    <w:r>
      <w:rPr>
        <w:rFonts w:ascii="SimSun" w:hAnsi="SimSun" w:eastAsia="SimSun" w:cs="SimSun"/>
        <w:sz w:val="12"/>
        <w:szCs w:val="12"/>
        <w:spacing w:val="-4"/>
        <w:position w:val="-2"/>
      </w:rPr>
      <w:t>462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3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07"/>
      <w:spacing w:line="169" w:lineRule="auto"/>
      <w:rPr>
        <w:rFonts w:ascii="SimSun" w:hAnsi="SimSun" w:eastAsia="SimSun" w:cs="SimSun"/>
        <w:sz w:val="12"/>
        <w:szCs w:val="12"/>
      </w:rPr>
    </w:pPr>
    <w:r>
      <w:rPr>
        <w:rFonts w:ascii="SimHei" w:hAnsi="SimHei" w:eastAsia="SimHei" w:cs="SimHei"/>
        <w:sz w:val="16"/>
        <w:szCs w:val="16"/>
        <w:b/>
        <w:bCs/>
        <w:spacing w:val="-6"/>
      </w:rPr>
      <w:t>第十三章</w:t>
    </w:r>
    <w:r>
      <w:rPr>
        <w:rFonts w:ascii="SimHei" w:hAnsi="SimHei" w:eastAsia="SimHei" w:cs="SimHei"/>
        <w:sz w:val="16"/>
        <w:szCs w:val="16"/>
        <w:spacing w:val="-6"/>
      </w:rPr>
      <w:t xml:space="preserve">  </w:t>
    </w:r>
    <w:r>
      <w:rPr>
        <w:rFonts w:ascii="SimHei" w:hAnsi="SimHei" w:eastAsia="SimHei" w:cs="SimHei"/>
        <w:sz w:val="16"/>
        <w:szCs w:val="16"/>
        <w:b/>
        <w:bCs/>
        <w:spacing w:val="-6"/>
      </w:rPr>
      <w:t>回应型监管和未来数字经济法的框架</w:t>
    </w:r>
    <w:r>
      <w:rPr>
        <w:rFonts w:ascii="SimHei" w:hAnsi="SimHei" w:eastAsia="SimHei" w:cs="SimHei"/>
        <w:sz w:val="16"/>
        <w:szCs w:val="16"/>
        <w:spacing w:val="-6"/>
      </w:rPr>
      <w:t xml:space="preserve">               </w:t>
    </w:r>
    <w:r>
      <w:rPr>
        <w:rFonts w:ascii="SimSun" w:hAnsi="SimSun" w:eastAsia="SimSun" w:cs="SimSun"/>
        <w:sz w:val="12"/>
        <w:szCs w:val="12"/>
        <w:spacing w:val="-6"/>
        <w:position w:val="-2"/>
      </w:rPr>
      <w:t>463</w:t>
    </w:r>
  </w:p>
</w:hdr>
</file>

<file path=word/header3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2"/>
      </w:rPr>
      <w:t>464</w:t>
    </w:r>
    <w:r>
      <w:rPr>
        <w:rFonts w:ascii="SimSun" w:hAnsi="SimSun" w:eastAsia="SimSun" w:cs="SimSun"/>
        <w:sz w:val="12"/>
        <w:szCs w:val="12"/>
        <w:spacing w:val="1"/>
        <w:position w:val="-2"/>
      </w:rPr>
      <w:t xml:space="preserve">                             </w:t>
    </w:r>
    <w:r>
      <w:rPr>
        <w:rFonts w:ascii="SimHei" w:hAnsi="SimHei" w:eastAsia="SimHei" w:cs="SimHei"/>
        <w:sz w:val="16"/>
        <w:szCs w:val="16"/>
        <w:spacing w:val="-6"/>
      </w:rPr>
      <w:t>平台经济——创新、治理与繁荣</w:t>
    </w:r>
  </w:p>
</w:hdr>
</file>

<file path=word/header3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85"/>
      <w:spacing w:line="175" w:lineRule="auto"/>
      <w:rPr>
        <w:rFonts w:ascii="SimSun" w:hAnsi="SimSun" w:eastAsia="SimSun" w:cs="SimSun"/>
        <w:sz w:val="12"/>
        <w:szCs w:val="12"/>
      </w:rPr>
    </w:pPr>
    <w:r>
      <w:rPr>
        <w:rFonts w:ascii="SimHei" w:hAnsi="SimHei" w:eastAsia="SimHei" w:cs="SimHei"/>
        <w:sz w:val="16"/>
        <w:szCs w:val="16"/>
        <w:spacing w:val="-5"/>
      </w:rPr>
      <w:t>第十三章</w:t>
    </w:r>
    <w:r>
      <w:rPr>
        <w:rFonts w:ascii="SimHei" w:hAnsi="SimHei" w:eastAsia="SimHei" w:cs="SimHei"/>
        <w:sz w:val="16"/>
        <w:szCs w:val="16"/>
        <w:spacing w:val="-5"/>
      </w:rPr>
      <w:t xml:space="preserve">  </w:t>
    </w:r>
    <w:r>
      <w:rPr>
        <w:rFonts w:ascii="SimHei" w:hAnsi="SimHei" w:eastAsia="SimHei" w:cs="SimHei"/>
        <w:sz w:val="16"/>
        <w:szCs w:val="16"/>
        <w:spacing w:val="-5"/>
      </w:rPr>
      <w:t>回应型监管和未来数字经济法的框架</w:t>
    </w:r>
    <w:r>
      <w:rPr>
        <w:rFonts w:ascii="SimHei" w:hAnsi="SimHei" w:eastAsia="SimHei" w:cs="SimHei"/>
        <w:sz w:val="16"/>
        <w:szCs w:val="16"/>
      </w:rPr>
      <w:t xml:space="preserve">              </w:t>
    </w:r>
    <w:r>
      <w:rPr>
        <w:rFonts w:ascii="SimSun" w:hAnsi="SimSun" w:eastAsia="SimSun" w:cs="SimSun"/>
        <w:sz w:val="12"/>
        <w:szCs w:val="12"/>
        <w:spacing w:val="-5"/>
        <w:position w:val="-1"/>
      </w:rPr>
      <w:t>4</w:t>
    </w:r>
    <w:r>
      <w:rPr>
        <w:rFonts w:ascii="SimSun" w:hAnsi="SimSun" w:eastAsia="SimSun" w:cs="SimSun"/>
        <w:sz w:val="12"/>
        <w:szCs w:val="12"/>
        <w:spacing w:val="-6"/>
        <w:position w:val="-1"/>
      </w:rPr>
      <w:t>65</w:t>
    </w:r>
  </w:p>
</w:hdr>
</file>

<file path=word/header3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75" w:lineRule="auto"/>
      <w:rPr>
        <w:rFonts w:ascii="SimHei" w:hAnsi="SimHei" w:eastAsia="SimHei" w:cs="SimHei"/>
        <w:sz w:val="16"/>
        <w:szCs w:val="16"/>
      </w:rPr>
    </w:pPr>
    <w:r>
      <w:rPr>
        <w:rFonts w:ascii="SimSun" w:hAnsi="SimSun" w:eastAsia="SimSun" w:cs="SimSun"/>
        <w:sz w:val="10"/>
        <w:szCs w:val="10"/>
        <w:b/>
        <w:bCs/>
        <w:spacing w:val="-3"/>
        <w:position w:val="-1"/>
      </w:rPr>
      <w:t>466</w:t>
    </w:r>
    <w:r>
      <w:rPr>
        <w:rFonts w:ascii="SimSun" w:hAnsi="SimSun" w:eastAsia="SimSun" w:cs="SimSun"/>
        <w:sz w:val="10"/>
        <w:szCs w:val="10"/>
        <w:spacing w:val="-3"/>
        <w:position w:val="-1"/>
      </w:rPr>
      <w:t xml:space="preserve">                                     </w:t>
    </w:r>
    <w:r>
      <w:rPr>
        <w:rFonts w:ascii="SimHei" w:hAnsi="SimHei" w:eastAsia="SimHei" w:cs="SimHei"/>
        <w:sz w:val="16"/>
        <w:szCs w:val="16"/>
        <w:spacing w:val="-3"/>
      </w:rPr>
      <w:t>平台经济——创新、治理与繁荣</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040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3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82"/>
      <w:spacing w:line="161" w:lineRule="auto"/>
      <w:rPr>
        <w:rFonts w:ascii="SimSun" w:hAnsi="SimSun" w:eastAsia="SimSun" w:cs="SimSun"/>
        <w:sz w:val="12"/>
        <w:szCs w:val="12"/>
      </w:rPr>
    </w:pPr>
    <w:r>
      <w:rPr>
        <w:rFonts w:ascii="YouYuan" w:hAnsi="YouYuan" w:eastAsia="YouYuan" w:cs="YouYuan"/>
        <w:sz w:val="14"/>
        <w:szCs w:val="14"/>
        <w:b/>
        <w:bCs/>
        <w:spacing w:val="7"/>
      </w:rPr>
      <w:t>第十三章</w:t>
    </w:r>
    <w:r>
      <w:rPr>
        <w:rFonts w:ascii="YouYuan" w:hAnsi="YouYuan" w:eastAsia="YouYuan" w:cs="YouYuan"/>
        <w:sz w:val="14"/>
        <w:szCs w:val="14"/>
        <w:spacing w:val="34"/>
      </w:rPr>
      <w:t xml:space="preserve">  </w:t>
    </w:r>
    <w:r>
      <w:rPr>
        <w:rFonts w:ascii="YouYuan" w:hAnsi="YouYuan" w:eastAsia="YouYuan" w:cs="YouYuan"/>
        <w:sz w:val="14"/>
        <w:szCs w:val="14"/>
        <w:b/>
        <w:bCs/>
        <w:spacing w:val="7"/>
      </w:rPr>
      <w:t>回应型监管和未来数字经济法的框架</w:t>
    </w:r>
    <w:r>
      <w:rPr>
        <w:rFonts w:ascii="YouYuan" w:hAnsi="YouYuan" w:eastAsia="YouYuan" w:cs="YouYuan"/>
        <w:sz w:val="14"/>
        <w:szCs w:val="14"/>
        <w:spacing w:val="7"/>
      </w:rPr>
      <w:t xml:space="preserve">               </w:t>
    </w:r>
    <w:r>
      <w:rPr>
        <w:rFonts w:ascii="SimSun" w:hAnsi="SimSun" w:eastAsia="SimSun" w:cs="SimSun"/>
        <w:sz w:val="12"/>
        <w:szCs w:val="12"/>
        <w:spacing w:val="7"/>
        <w:position w:val="-3"/>
      </w:rPr>
      <w:t>467</w:t>
    </w:r>
  </w:p>
</w:hdr>
</file>

<file path=word/header3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1"/>
        <w:szCs w:val="11"/>
        <w:spacing w:val="-6"/>
      </w:rPr>
      <w:t>468</w:t>
    </w:r>
    <w:r>
      <w:rPr>
        <w:rFonts w:ascii="SimSun" w:hAnsi="SimSun" w:eastAsia="SimSun" w:cs="SimSun"/>
        <w:sz w:val="11"/>
        <w:szCs w:val="11"/>
        <w:spacing w:val="1"/>
      </w:rPr>
      <w:t xml:space="preserve">                              </w:t>
    </w:r>
    <w:r>
      <w:rPr>
        <w:rFonts w:ascii="SimSun" w:hAnsi="SimSun" w:eastAsia="SimSun" w:cs="SimSun"/>
        <w:sz w:val="11"/>
        <w:szCs w:val="11"/>
      </w:rPr>
      <w:t xml:space="preserve">  </w:t>
    </w:r>
    <w:r>
      <w:rPr>
        <w:rFonts w:ascii="SimHei" w:hAnsi="SimHei" w:eastAsia="SimHei" w:cs="SimHei"/>
        <w:sz w:val="16"/>
        <w:szCs w:val="16"/>
        <w:spacing w:val="-6"/>
      </w:rPr>
      <w:t>平台经济——创新、治理与繁荣</w:t>
    </w:r>
  </w:p>
</w:hdr>
</file>

<file path=word/header3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2"/>
      <w:spacing w:line="166" w:lineRule="auto"/>
      <w:rPr>
        <w:rFonts w:ascii="SimSun" w:hAnsi="SimSun" w:eastAsia="SimSun" w:cs="SimSun"/>
        <w:sz w:val="12"/>
        <w:szCs w:val="12"/>
      </w:rPr>
    </w:pPr>
    <w:r>
      <w:rPr>
        <w:rFonts w:ascii="SimHei" w:hAnsi="SimHei" w:eastAsia="SimHei" w:cs="SimHei"/>
        <w:sz w:val="16"/>
        <w:szCs w:val="16"/>
        <w:spacing w:val="-5"/>
      </w:rPr>
      <w:t>第十三章</w:t>
    </w:r>
    <w:r>
      <w:rPr>
        <w:rFonts w:ascii="SimHei" w:hAnsi="SimHei" w:eastAsia="SimHei" w:cs="SimHei"/>
        <w:sz w:val="16"/>
        <w:szCs w:val="16"/>
        <w:spacing w:val="-5"/>
      </w:rPr>
      <w:t xml:space="preserve">  </w:t>
    </w:r>
    <w:r>
      <w:rPr>
        <w:rFonts w:ascii="SimHei" w:hAnsi="SimHei" w:eastAsia="SimHei" w:cs="SimHei"/>
        <w:sz w:val="16"/>
        <w:szCs w:val="16"/>
        <w:spacing w:val="-5"/>
      </w:rPr>
      <w:t>回应型监管和未来数字经济法的框架</w:t>
    </w:r>
    <w:r>
      <w:rPr>
        <w:rFonts w:ascii="SimHei" w:hAnsi="SimHei" w:eastAsia="SimHei" w:cs="SimHei"/>
        <w:sz w:val="16"/>
        <w:szCs w:val="16"/>
        <w:spacing w:val="1"/>
      </w:rPr>
      <w:t xml:space="preserve">              </w:t>
    </w:r>
    <w:r>
      <w:rPr>
        <w:rFonts w:ascii="SimSun" w:hAnsi="SimSun" w:eastAsia="SimSun" w:cs="SimSun"/>
        <w:sz w:val="12"/>
        <w:szCs w:val="12"/>
        <w:spacing w:val="-5"/>
        <w:position w:val="-2"/>
      </w:rPr>
      <w:t>469</w:t>
    </w:r>
  </w:p>
</w:hdr>
</file>

<file path=word/header3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62"/>
      <w:spacing w:line="179" w:lineRule="auto"/>
      <w:rPr>
        <w:rFonts w:ascii="SimSun" w:hAnsi="SimSun" w:eastAsia="SimSun" w:cs="SimSun"/>
        <w:sz w:val="12"/>
        <w:szCs w:val="12"/>
      </w:rPr>
    </w:pPr>
    <w:r>
      <w:rPr>
        <w:rFonts w:ascii="YouYuan" w:hAnsi="YouYuan" w:eastAsia="YouYuan" w:cs="YouYuan"/>
        <w:sz w:val="16"/>
        <w:szCs w:val="16"/>
        <w:b/>
        <w:bCs/>
        <w:spacing w:val="-3"/>
      </w:rPr>
      <w:t>第十三章</w:t>
    </w:r>
    <w:r>
      <w:rPr>
        <w:rFonts w:ascii="YouYuan" w:hAnsi="YouYuan" w:eastAsia="YouYuan" w:cs="YouYuan"/>
        <w:sz w:val="16"/>
        <w:szCs w:val="16"/>
        <w:spacing w:val="41"/>
      </w:rPr>
      <w:t xml:space="preserve"> </w:t>
    </w:r>
    <w:r>
      <w:rPr>
        <w:rFonts w:ascii="YouYuan" w:hAnsi="YouYuan" w:eastAsia="YouYuan" w:cs="YouYuan"/>
        <w:sz w:val="16"/>
        <w:szCs w:val="16"/>
        <w:b/>
        <w:bCs/>
        <w:spacing w:val="-3"/>
      </w:rPr>
      <w:t>回应型监管和未来数字经济法的框架</w:t>
    </w:r>
    <w:r>
      <w:rPr>
        <w:rFonts w:ascii="YouYuan" w:hAnsi="YouYuan" w:eastAsia="YouYuan" w:cs="YouYuan"/>
        <w:sz w:val="16"/>
        <w:szCs w:val="16"/>
        <w:spacing w:val="-3"/>
      </w:rPr>
      <w:t xml:space="preserve">              </w:t>
    </w:r>
    <w:r>
      <w:rPr>
        <w:rFonts w:ascii="SimSun" w:hAnsi="SimSun" w:eastAsia="SimSun" w:cs="SimSun"/>
        <w:sz w:val="12"/>
        <w:szCs w:val="12"/>
        <w:spacing w:val="-3"/>
        <w:position w:val="-2"/>
      </w:rPr>
      <w:t>471</w:t>
    </w:r>
  </w:p>
</w:hdr>
</file>

<file path=word/header3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YouYuan" w:hAnsi="YouYuan" w:eastAsia="YouYuan" w:cs="YouYuan"/>
        <w:sz w:val="14"/>
        <w:szCs w:val="14"/>
      </w:rPr>
    </w:pPr>
    <w:r>
      <w:rPr>
        <w:rFonts w:ascii="SimSun" w:hAnsi="SimSun" w:eastAsia="SimSun" w:cs="SimSun"/>
        <w:sz w:val="10"/>
        <w:szCs w:val="10"/>
        <w:spacing w:val="10"/>
        <w:position w:val="-3"/>
      </w:rPr>
      <w:t>472</w:t>
    </w:r>
    <w:r>
      <w:rPr>
        <w:rFonts w:ascii="SimSun" w:hAnsi="SimSun" w:eastAsia="SimSun" w:cs="SimSun"/>
        <w:sz w:val="10"/>
        <w:szCs w:val="10"/>
        <w:spacing w:val="1"/>
        <w:position w:val="-3"/>
      </w:rPr>
      <w:t xml:space="preserve">                                   </w:t>
    </w:r>
    <w:r>
      <w:rPr>
        <w:rFonts w:ascii="YouYuan" w:hAnsi="YouYuan" w:eastAsia="YouYuan" w:cs="YouYuan"/>
        <w:sz w:val="14"/>
        <w:szCs w:val="14"/>
        <w:spacing w:val="10"/>
      </w:rPr>
      <w:t>平台经济——创新、治理与繁荣</w:t>
    </w:r>
  </w:p>
</w:hdr>
</file>

<file path=word/header3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2"/>
      <w:spacing w:line="166" w:lineRule="auto"/>
      <w:rPr>
        <w:rFonts w:ascii="SimSun" w:hAnsi="SimSun" w:eastAsia="SimSun" w:cs="SimSun"/>
        <w:sz w:val="13"/>
        <w:szCs w:val="13"/>
      </w:rPr>
    </w:pPr>
    <w:r>
      <w:rPr>
        <w:rFonts w:ascii="SimHei" w:hAnsi="SimHei" w:eastAsia="SimHei" w:cs="SimHei"/>
        <w:sz w:val="16"/>
        <w:szCs w:val="16"/>
        <w:b/>
        <w:bCs/>
        <w:spacing w:val="-6"/>
      </w:rPr>
      <w:t>第十三章</w:t>
    </w:r>
    <w:r>
      <w:rPr>
        <w:rFonts w:ascii="SimHei" w:hAnsi="SimHei" w:eastAsia="SimHei" w:cs="SimHei"/>
        <w:sz w:val="16"/>
        <w:szCs w:val="16"/>
        <w:spacing w:val="-6"/>
      </w:rPr>
      <w:t xml:space="preserve">  </w:t>
    </w:r>
    <w:r>
      <w:rPr>
        <w:rFonts w:ascii="SimHei" w:hAnsi="SimHei" w:eastAsia="SimHei" w:cs="SimHei"/>
        <w:sz w:val="16"/>
        <w:szCs w:val="16"/>
        <w:b/>
        <w:bCs/>
        <w:spacing w:val="-6"/>
      </w:rPr>
      <w:t>回应型监管和未来数字经济法的框架</w:t>
    </w:r>
    <w:r>
      <w:rPr>
        <w:rFonts w:ascii="SimHei" w:hAnsi="SimHei" w:eastAsia="SimHei" w:cs="SimHei"/>
        <w:sz w:val="16"/>
        <w:szCs w:val="16"/>
        <w:spacing w:val="-6"/>
      </w:rPr>
      <w:t xml:space="preserve">               </w:t>
    </w:r>
    <w:r>
      <w:rPr>
        <w:rFonts w:ascii="SimSun" w:hAnsi="SimSun" w:eastAsia="SimSun" w:cs="SimSun"/>
        <w:sz w:val="13"/>
        <w:szCs w:val="13"/>
        <w:spacing w:val="-6"/>
        <w:position w:val="-2"/>
      </w:rPr>
      <w:t>473</w:t>
    </w:r>
  </w:p>
</w:hdr>
</file>

<file path=word/header3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474                               </w:t>
    </w:r>
    <w:r>
      <w:rPr>
        <w:rFonts w:ascii="SimHei" w:hAnsi="SimHei" w:eastAsia="SimHei" w:cs="SimHei"/>
        <w:sz w:val="16"/>
        <w:szCs w:val="16"/>
        <w:spacing w:val="-4"/>
      </w:rPr>
      <w:t>平台经济——创新、治理与繁荣</w:t>
    </w:r>
  </w:p>
</w:hdr>
</file>

<file path=word/header3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82"/>
      <w:spacing w:line="169" w:lineRule="auto"/>
      <w:rPr>
        <w:rFonts w:ascii="SimSun" w:hAnsi="SimSun" w:eastAsia="SimSun" w:cs="SimSun"/>
        <w:sz w:val="12"/>
        <w:szCs w:val="12"/>
      </w:rPr>
    </w:pPr>
    <w:r>
      <w:rPr>
        <w:rFonts w:ascii="SimHei" w:hAnsi="SimHei" w:eastAsia="SimHei" w:cs="SimHei"/>
        <w:sz w:val="16"/>
        <w:szCs w:val="16"/>
        <w:b/>
        <w:bCs/>
        <w:spacing w:val="-6"/>
      </w:rPr>
      <w:t>第十三章</w:t>
    </w:r>
    <w:r>
      <w:rPr>
        <w:rFonts w:ascii="SimHei" w:hAnsi="SimHei" w:eastAsia="SimHei" w:cs="SimHei"/>
        <w:sz w:val="16"/>
        <w:szCs w:val="16"/>
        <w:spacing w:val="-6"/>
      </w:rPr>
      <w:t xml:space="preserve">  </w:t>
    </w:r>
    <w:r>
      <w:rPr>
        <w:rFonts w:ascii="SimHei" w:hAnsi="SimHei" w:eastAsia="SimHei" w:cs="SimHei"/>
        <w:sz w:val="16"/>
        <w:szCs w:val="16"/>
        <w:b/>
        <w:bCs/>
        <w:spacing w:val="-6"/>
      </w:rPr>
      <w:t>回应型监管和未来数字经济法的框架</w:t>
    </w:r>
    <w:r>
      <w:rPr>
        <w:rFonts w:ascii="SimHei" w:hAnsi="SimHei" w:eastAsia="SimHei" w:cs="SimHei"/>
        <w:sz w:val="16"/>
        <w:szCs w:val="16"/>
        <w:spacing w:val="-6"/>
      </w:rPr>
      <w:t xml:space="preserve">               </w:t>
    </w:r>
    <w:r>
      <w:rPr>
        <w:rFonts w:ascii="SimSun" w:hAnsi="SimSun" w:eastAsia="SimSun" w:cs="SimSun"/>
        <w:sz w:val="12"/>
        <w:szCs w:val="12"/>
        <w:spacing w:val="-6"/>
        <w:position w:val="-2"/>
      </w:rPr>
      <w:t>475</w:t>
    </w:r>
  </w:p>
</w:hdr>
</file>

<file path=word/header3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476                               </w:t>
    </w:r>
    <w:r>
      <w:rPr>
        <w:rFonts w:ascii="SimHei" w:hAnsi="SimHei" w:eastAsia="SimHei" w:cs="SimHei"/>
        <w:sz w:val="16"/>
        <w:szCs w:val="16"/>
        <w:b/>
        <w:bCs/>
        <w:spacing w:val="-4"/>
      </w:rPr>
      <w:t>平台经济——创新、治理与繁荣</w:t>
    </w:r>
  </w:p>
</w:hdr>
</file>

<file path=word/header3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4"/>
      <w:spacing w:line="166" w:lineRule="auto"/>
      <w:rPr>
        <w:rFonts w:ascii="SimSun" w:hAnsi="SimSun" w:eastAsia="SimSun" w:cs="SimSun"/>
        <w:sz w:val="12"/>
        <w:szCs w:val="12"/>
      </w:rPr>
    </w:pPr>
    <w:r>
      <w:rPr>
        <w:rFonts w:ascii="SimHei" w:hAnsi="SimHei" w:eastAsia="SimHei" w:cs="SimHei"/>
        <w:sz w:val="16"/>
        <w:szCs w:val="16"/>
        <w:spacing w:val="-2"/>
      </w:rPr>
      <w:t>第十三章</w:t>
    </w:r>
    <w:r>
      <w:rPr>
        <w:rFonts w:ascii="SimHei" w:hAnsi="SimHei" w:eastAsia="SimHei" w:cs="SimHei"/>
        <w:sz w:val="16"/>
        <w:szCs w:val="16"/>
        <w:spacing w:val="-2"/>
      </w:rPr>
      <w:t xml:space="preserve"> </w:t>
    </w:r>
    <w:r>
      <w:rPr>
        <w:rFonts w:ascii="SimHei" w:hAnsi="SimHei" w:eastAsia="SimHei" w:cs="SimHei"/>
        <w:sz w:val="16"/>
        <w:szCs w:val="16"/>
        <w:spacing w:val="-2"/>
      </w:rPr>
      <w:t>回应型监管和未来数字经济法的框架</w:t>
    </w:r>
    <w:r>
      <w:rPr>
        <w:rFonts w:ascii="SimHei" w:hAnsi="SimHei" w:eastAsia="SimHei" w:cs="SimHei"/>
        <w:sz w:val="16"/>
        <w:szCs w:val="16"/>
        <w:spacing w:val="2"/>
      </w:rPr>
      <w:t xml:space="preserve">              </w:t>
    </w:r>
    <w:r>
      <w:rPr>
        <w:rFonts w:ascii="SimSun" w:hAnsi="SimSun" w:eastAsia="SimSun" w:cs="SimSun"/>
        <w:sz w:val="12"/>
        <w:szCs w:val="12"/>
        <w:spacing w:val="-2"/>
        <w:position w:val="-2"/>
      </w:rPr>
      <w:t>477</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7"/>
      <w:spacing w:line="175" w:lineRule="auto"/>
      <w:rPr>
        <w:rFonts w:ascii="SimSun" w:hAnsi="SimSun" w:eastAsia="SimSun" w:cs="SimSun"/>
        <w:sz w:val="12"/>
        <w:szCs w:val="12"/>
      </w:rPr>
    </w:pPr>
    <w:r>
      <w:rPr>
        <w:rFonts w:ascii="SimHei" w:hAnsi="SimHei" w:eastAsia="SimHei" w:cs="SimHei"/>
        <w:sz w:val="16"/>
        <w:szCs w:val="16"/>
        <w:b/>
        <w:bCs/>
        <w:spacing w:val="-7"/>
      </w:rPr>
      <w:t>第一章</w:t>
    </w:r>
    <w:r>
      <w:rPr>
        <w:rFonts w:ascii="SimHei" w:hAnsi="SimHei" w:eastAsia="SimHei" w:cs="SimHei"/>
        <w:sz w:val="16"/>
        <w:szCs w:val="16"/>
        <w:spacing w:val="-7"/>
      </w:rPr>
      <w:t xml:space="preserve">  </w:t>
    </w:r>
    <w:r>
      <w:rPr>
        <w:rFonts w:ascii="SimHei" w:hAnsi="SimHei" w:eastAsia="SimHei" w:cs="SimHei"/>
        <w:sz w:val="16"/>
        <w:szCs w:val="16"/>
        <w:b/>
        <w:bCs/>
        <w:spacing w:val="-7"/>
      </w:rPr>
      <w:t>重塑平台经济：走向有序发展与共同富裕</w:t>
    </w:r>
    <w:r>
      <w:rPr>
        <w:rFonts w:ascii="SimHei" w:hAnsi="SimHei" w:eastAsia="SimHei" w:cs="SimHei"/>
        <w:sz w:val="16"/>
        <w:szCs w:val="16"/>
        <w:spacing w:val="1"/>
      </w:rPr>
      <w:t xml:space="preserve">             </w:t>
    </w:r>
    <w:r>
      <w:rPr>
        <w:rFonts w:ascii="SimSun" w:hAnsi="SimSun" w:eastAsia="SimSun" w:cs="SimSun"/>
        <w:sz w:val="12"/>
        <w:szCs w:val="12"/>
        <w:spacing w:val="-7"/>
        <w:position w:val="-1"/>
      </w:rPr>
      <w:t>041</w:t>
    </w:r>
  </w:p>
</w:hdr>
</file>

<file path=word/header3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2"/>
      </w:rPr>
      <w:t>478                              </w:t>
    </w:r>
    <w:r>
      <w:rPr>
        <w:rFonts w:ascii="SimHei" w:hAnsi="SimHei" w:eastAsia="SimHei" w:cs="SimHei"/>
        <w:sz w:val="16"/>
        <w:szCs w:val="16"/>
        <w:spacing w:val="-3"/>
      </w:rPr>
      <w:t>平台经济——创新、治理与繁荣</w:t>
    </w:r>
  </w:p>
</w:hdr>
</file>

<file path=word/header3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82"/>
      <w:spacing w:line="175" w:lineRule="auto"/>
      <w:rPr>
        <w:rFonts w:ascii="SimSun" w:hAnsi="SimSun" w:eastAsia="SimSun" w:cs="SimSun"/>
        <w:sz w:val="12"/>
        <w:szCs w:val="12"/>
      </w:rPr>
    </w:pPr>
    <w:r>
      <w:rPr>
        <w:rFonts w:ascii="SimHei" w:hAnsi="SimHei" w:eastAsia="SimHei" w:cs="SimHei"/>
        <w:sz w:val="16"/>
        <w:szCs w:val="16"/>
        <w:b/>
        <w:bCs/>
        <w:spacing w:val="-7"/>
      </w:rPr>
      <w:t>第十三章</w:t>
    </w:r>
    <w:r>
      <w:rPr>
        <w:rFonts w:ascii="SimHei" w:hAnsi="SimHei" w:eastAsia="SimHei" w:cs="SimHei"/>
        <w:sz w:val="16"/>
        <w:szCs w:val="16"/>
        <w:spacing w:val="-7"/>
      </w:rPr>
      <w:t xml:space="preserve">  </w:t>
    </w:r>
    <w:r>
      <w:rPr>
        <w:rFonts w:ascii="SimHei" w:hAnsi="SimHei" w:eastAsia="SimHei" w:cs="SimHei"/>
        <w:sz w:val="16"/>
        <w:szCs w:val="16"/>
        <w:b/>
        <w:bCs/>
        <w:spacing w:val="-7"/>
      </w:rPr>
      <w:t>回应型监管和未来数字经济法的框架</w:t>
    </w:r>
    <w:r>
      <w:rPr>
        <w:rFonts w:ascii="SimHei" w:hAnsi="SimHei" w:eastAsia="SimHei" w:cs="SimHei"/>
        <w:sz w:val="16"/>
        <w:szCs w:val="16"/>
      </w:rPr>
      <w:t xml:space="preserve">              </w:t>
    </w:r>
    <w:r>
      <w:rPr>
        <w:rFonts w:ascii="SimSun" w:hAnsi="SimSun" w:eastAsia="SimSun" w:cs="SimSun"/>
        <w:sz w:val="12"/>
        <w:szCs w:val="12"/>
        <w:spacing w:val="-7"/>
        <w:position w:val="-1"/>
      </w:rPr>
      <w:t>479</w:t>
    </w:r>
  </w:p>
</w:hdr>
</file>

<file path=word/header3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4" w:lineRule="auto"/>
      <w:rPr>
        <w:rFonts w:ascii="SimHei" w:hAnsi="SimHei" w:eastAsia="SimHei" w:cs="SimHei"/>
        <w:sz w:val="16"/>
        <w:szCs w:val="16"/>
      </w:rPr>
    </w:pPr>
    <w:r>
      <w:rPr>
        <w:rFonts w:ascii="SimSun" w:hAnsi="SimSun" w:eastAsia="SimSun" w:cs="SimSun"/>
        <w:sz w:val="13"/>
        <w:szCs w:val="13"/>
        <w:spacing w:val="-3"/>
        <w:position w:val="-1"/>
      </w:rPr>
      <w:t>480                          </w:t>
    </w:r>
    <w:r>
      <w:rPr>
        <w:rFonts w:ascii="SimSun" w:hAnsi="SimSun" w:eastAsia="SimSun" w:cs="SimSun"/>
        <w:sz w:val="13"/>
        <w:szCs w:val="13"/>
        <w:spacing w:val="-4"/>
        <w:position w:val="-1"/>
      </w:rPr>
      <w:t xml:space="preserve">  </w:t>
    </w:r>
    <w:r>
      <w:rPr>
        <w:rFonts w:ascii="SimHei" w:hAnsi="SimHei" w:eastAsia="SimHei" w:cs="SimHei"/>
        <w:sz w:val="16"/>
        <w:szCs w:val="16"/>
        <w:spacing w:val="-4"/>
      </w:rPr>
      <w:t>平台经济——创新、治理与繁荣</w:t>
    </w:r>
  </w:p>
</w:hdr>
</file>

<file path=word/header3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02"/>
      <w:spacing w:line="175" w:lineRule="auto"/>
      <w:rPr>
        <w:rFonts w:ascii="SimSun" w:hAnsi="SimSun" w:eastAsia="SimSun" w:cs="SimSun"/>
        <w:sz w:val="13"/>
        <w:szCs w:val="13"/>
      </w:rPr>
    </w:pPr>
    <w:r>
      <w:rPr>
        <w:rFonts w:ascii="YouYuan" w:hAnsi="YouYuan" w:eastAsia="YouYuan" w:cs="YouYuan"/>
        <w:sz w:val="16"/>
        <w:szCs w:val="16"/>
        <w:b/>
        <w:bCs/>
        <w:spacing w:val="-6"/>
      </w:rPr>
      <w:t>第十三章</w:t>
    </w:r>
    <w:r>
      <w:rPr>
        <w:rFonts w:ascii="YouYuan" w:hAnsi="YouYuan" w:eastAsia="YouYuan" w:cs="YouYuan"/>
        <w:sz w:val="16"/>
        <w:szCs w:val="16"/>
        <w:spacing w:val="-6"/>
      </w:rPr>
      <w:t xml:space="preserve">  </w:t>
    </w:r>
    <w:r>
      <w:rPr>
        <w:rFonts w:ascii="YouYuan" w:hAnsi="YouYuan" w:eastAsia="YouYuan" w:cs="YouYuan"/>
        <w:sz w:val="16"/>
        <w:szCs w:val="16"/>
        <w:b/>
        <w:bCs/>
        <w:spacing w:val="-6"/>
      </w:rPr>
      <w:t>回应型监管和未来数字经济法的</w:t>
    </w:r>
    <w:r>
      <w:rPr>
        <w:rFonts w:ascii="YouYuan" w:hAnsi="YouYuan" w:eastAsia="YouYuan" w:cs="YouYuan"/>
        <w:sz w:val="16"/>
        <w:szCs w:val="16"/>
        <w:b/>
        <w:bCs/>
        <w:spacing w:val="-7"/>
      </w:rPr>
      <w:t>框架</w:t>
    </w:r>
    <w:r>
      <w:rPr>
        <w:rFonts w:ascii="YouYuan" w:hAnsi="YouYuan" w:eastAsia="YouYuan" w:cs="YouYuan"/>
        <w:sz w:val="16"/>
        <w:szCs w:val="16"/>
        <w:spacing w:val="-7"/>
      </w:rPr>
      <w:t xml:space="preserve">               </w:t>
    </w:r>
    <w:r>
      <w:rPr>
        <w:rFonts w:ascii="SimSun" w:hAnsi="SimSun" w:eastAsia="SimSun" w:cs="SimSun"/>
        <w:sz w:val="13"/>
        <w:szCs w:val="13"/>
        <w:spacing w:val="-7"/>
        <w:position w:val="-2"/>
      </w:rPr>
      <w:t>481</w:t>
    </w:r>
  </w:p>
</w:hdr>
</file>

<file path=word/header3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72"/>
      <w:spacing w:line="175" w:lineRule="auto"/>
      <w:rPr>
        <w:rFonts w:ascii="SimSun" w:hAnsi="SimSun" w:eastAsia="SimSun" w:cs="SimSun"/>
        <w:sz w:val="12"/>
        <w:szCs w:val="12"/>
      </w:rPr>
    </w:pPr>
    <w:r>
      <w:rPr>
        <w:rFonts w:ascii="SimHei" w:hAnsi="SimHei" w:eastAsia="SimHei" w:cs="SimHei"/>
        <w:sz w:val="16"/>
        <w:szCs w:val="16"/>
        <w:b/>
        <w:bCs/>
        <w:spacing w:val="-7"/>
      </w:rPr>
      <w:t>第十三章</w:t>
    </w:r>
    <w:r>
      <w:rPr>
        <w:rFonts w:ascii="SimHei" w:hAnsi="SimHei" w:eastAsia="SimHei" w:cs="SimHei"/>
        <w:sz w:val="16"/>
        <w:szCs w:val="16"/>
        <w:spacing w:val="-7"/>
      </w:rPr>
      <w:t xml:space="preserve">  </w:t>
    </w:r>
    <w:r>
      <w:rPr>
        <w:rFonts w:ascii="SimHei" w:hAnsi="SimHei" w:eastAsia="SimHei" w:cs="SimHei"/>
        <w:sz w:val="16"/>
        <w:szCs w:val="16"/>
        <w:b/>
        <w:bCs/>
        <w:spacing w:val="-7"/>
      </w:rPr>
      <w:t>回应型监管和未来数字经济法的框架</w:t>
    </w:r>
    <w:r>
      <w:rPr>
        <w:rFonts w:ascii="SimHei" w:hAnsi="SimHei" w:eastAsia="SimHei" w:cs="SimHei"/>
        <w:sz w:val="16"/>
        <w:szCs w:val="16"/>
      </w:rPr>
      <w:t xml:space="preserve">              </w:t>
    </w:r>
    <w:r>
      <w:rPr>
        <w:rFonts w:ascii="SimSun" w:hAnsi="SimSun" w:eastAsia="SimSun" w:cs="SimSun"/>
        <w:sz w:val="12"/>
        <w:szCs w:val="12"/>
        <w:spacing w:val="-7"/>
        <w:position w:val="-1"/>
      </w:rPr>
      <w:t>483</w:t>
    </w:r>
  </w:p>
</w:hdr>
</file>

<file path=word/header3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1"/>
        <w:szCs w:val="11"/>
        <w:spacing w:val="-3"/>
      </w:rPr>
      <w:t>486                                 </w:t>
    </w:r>
    <w:r>
      <w:rPr>
        <w:rFonts w:ascii="SimHei" w:hAnsi="SimHei" w:eastAsia="SimHei" w:cs="SimHei"/>
        <w:sz w:val="16"/>
        <w:szCs w:val="16"/>
        <w:spacing w:val="-3"/>
      </w:rPr>
      <w:t>平台经济——创新、</w:t>
    </w:r>
    <w:r>
      <w:rPr>
        <w:rFonts w:ascii="SimHei" w:hAnsi="SimHei" w:eastAsia="SimHei" w:cs="SimHei"/>
        <w:sz w:val="16"/>
        <w:szCs w:val="16"/>
        <w:spacing w:val="-4"/>
      </w:rPr>
      <w:t>治理与繁荣</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position w:val="-1"/>
      </w:rPr>
      <w:t>042                               </w:t>
    </w:r>
    <w:r>
      <w:rPr>
        <w:rFonts w:ascii="SimHei" w:hAnsi="SimHei" w:eastAsia="SimHei" w:cs="SimHei"/>
        <w:sz w:val="16"/>
        <w:szCs w:val="16"/>
        <w:b/>
        <w:bCs/>
        <w:spacing w:val="-4"/>
      </w:rPr>
      <w:t>平台经济——创新、治理与繁荣</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2"/>
      <w:spacing w:line="170" w:lineRule="auto"/>
      <w:rPr>
        <w:rFonts w:ascii="SimSun" w:hAnsi="SimSun" w:eastAsia="SimSun" w:cs="SimSun"/>
        <w:sz w:val="12"/>
        <w:szCs w:val="12"/>
      </w:rPr>
    </w:pPr>
    <w:r>
      <w:rPr>
        <w:rFonts w:ascii="SimHei" w:hAnsi="SimHei" w:eastAsia="SimHei" w:cs="SimHei"/>
        <w:sz w:val="16"/>
        <w:szCs w:val="16"/>
        <w:b/>
        <w:bCs/>
        <w:spacing w:val="-7"/>
      </w:rPr>
      <w:t>第一章</w:t>
    </w:r>
    <w:r>
      <w:rPr>
        <w:rFonts w:ascii="SimHei" w:hAnsi="SimHei" w:eastAsia="SimHei" w:cs="SimHei"/>
        <w:sz w:val="16"/>
        <w:szCs w:val="16"/>
        <w:spacing w:val="-7"/>
      </w:rPr>
      <w:t xml:space="preserve">  </w:t>
    </w:r>
    <w:r>
      <w:rPr>
        <w:rFonts w:ascii="SimHei" w:hAnsi="SimHei" w:eastAsia="SimHei" w:cs="SimHei"/>
        <w:sz w:val="16"/>
        <w:szCs w:val="16"/>
        <w:b/>
        <w:bCs/>
        <w:spacing w:val="-7"/>
      </w:rPr>
      <w:t>重塑平台经济：走向有序发展与共同富裕</w:t>
    </w:r>
    <w:r>
      <w:rPr>
        <w:rFonts w:ascii="SimHei" w:hAnsi="SimHei" w:eastAsia="SimHei" w:cs="SimHei"/>
        <w:sz w:val="16"/>
        <w:szCs w:val="16"/>
        <w:spacing w:val="1"/>
      </w:rPr>
      <w:t xml:space="preserve">             </w:t>
    </w:r>
    <w:r>
      <w:rPr>
        <w:rFonts w:ascii="SimSun" w:hAnsi="SimSun" w:eastAsia="SimSun" w:cs="SimSun"/>
        <w:sz w:val="12"/>
        <w:szCs w:val="12"/>
        <w:spacing w:val="-7"/>
        <w:position w:val="-2"/>
      </w:rPr>
      <w:t>043</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6"/>
        <w:szCs w:val="16"/>
      </w:rPr>
    </w:pPr>
    <w:r>
      <w:rPr>
        <w:rFonts w:ascii="SimSun" w:hAnsi="SimSun" w:eastAsia="SimSun" w:cs="SimSun"/>
        <w:sz w:val="12"/>
        <w:szCs w:val="12"/>
        <w:spacing w:val="-6"/>
      </w:rPr>
      <w:t>004</w:t>
    </w:r>
    <w:r>
      <w:rPr>
        <w:rFonts w:ascii="SimSun" w:hAnsi="SimSun" w:eastAsia="SimSun" w:cs="SimSun"/>
        <w:sz w:val="12"/>
        <w:szCs w:val="12"/>
        <w:spacing w:val="2"/>
      </w:rPr>
      <w:t xml:space="preserve">                         </w:t>
    </w:r>
    <w:r>
      <w:rPr>
        <w:rFonts w:ascii="SimSun" w:hAnsi="SimSun" w:eastAsia="SimSun" w:cs="SimSun"/>
        <w:sz w:val="12"/>
        <w:szCs w:val="12"/>
        <w:spacing w:val="1"/>
      </w:rPr>
      <w:t xml:space="preserve">    </w:t>
    </w:r>
    <w:r>
      <w:rPr>
        <w:rFonts w:ascii="SimHei" w:hAnsi="SimHei" w:eastAsia="SimHei" w:cs="SimHei"/>
        <w:sz w:val="16"/>
        <w:szCs w:val="16"/>
        <w:spacing w:val="-6"/>
      </w:rPr>
      <w:t>平台经济——创新、治理与繁荣</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0" w:lineRule="auto"/>
      <w:rPr>
        <w:rFonts w:ascii="SimHei" w:hAnsi="SimHei" w:eastAsia="SimHei" w:cs="SimHei"/>
        <w:sz w:val="16"/>
        <w:szCs w:val="16"/>
      </w:rPr>
    </w:pPr>
    <w:r>
      <w:rPr>
        <w:rFonts w:ascii="SimSun" w:hAnsi="SimSun" w:eastAsia="SimSun" w:cs="SimSun"/>
        <w:sz w:val="12"/>
        <w:szCs w:val="12"/>
        <w:spacing w:val="-7"/>
        <w:position w:val="-2"/>
      </w:rPr>
      <w:t>044</w:t>
    </w:r>
    <w:r>
      <w:rPr>
        <w:rFonts w:ascii="SimSun" w:hAnsi="SimSun" w:eastAsia="SimSun" w:cs="SimSun"/>
        <w:sz w:val="12"/>
        <w:szCs w:val="12"/>
        <w:spacing w:val="1"/>
        <w:position w:val="-2"/>
      </w:rPr>
      <w:t xml:space="preserve">                             </w:t>
    </w:r>
    <w:r>
      <w:rPr>
        <w:rFonts w:ascii="SimHei" w:hAnsi="SimHei" w:eastAsia="SimHei" w:cs="SimHei"/>
        <w:sz w:val="16"/>
        <w:szCs w:val="16"/>
        <w:b/>
        <w:bCs/>
        <w:spacing w:val="-7"/>
      </w:rPr>
      <w:t>平台经济——创新、治理与繁荣</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2"/>
      <w:spacing w:line="167" w:lineRule="auto"/>
      <w:rPr>
        <w:rFonts w:ascii="SimSun" w:hAnsi="SimSun" w:eastAsia="SimSun" w:cs="SimSun"/>
        <w:sz w:val="12"/>
        <w:szCs w:val="12"/>
      </w:rPr>
    </w:pPr>
    <w:r>
      <w:rPr>
        <w:rFonts w:ascii="YouYuan" w:hAnsi="YouYuan" w:eastAsia="YouYuan" w:cs="YouYuan"/>
        <w:sz w:val="16"/>
        <w:szCs w:val="16"/>
        <w:b/>
        <w:bCs/>
        <w:spacing w:val="-4"/>
      </w:rPr>
      <w:t>第一章</w:t>
    </w:r>
    <w:r>
      <w:rPr>
        <w:rFonts w:ascii="YouYuan" w:hAnsi="YouYuan" w:eastAsia="YouYuan" w:cs="YouYuan"/>
        <w:sz w:val="16"/>
        <w:szCs w:val="16"/>
        <w:spacing w:val="-4"/>
      </w:rPr>
      <w:t xml:space="preserve">  </w:t>
    </w:r>
    <w:r>
      <w:rPr>
        <w:rFonts w:ascii="YouYuan" w:hAnsi="YouYuan" w:eastAsia="YouYuan" w:cs="YouYuan"/>
        <w:sz w:val="16"/>
        <w:szCs w:val="16"/>
        <w:b/>
        <w:bCs/>
        <w:spacing w:val="-4"/>
      </w:rPr>
      <w:t>重塑平台经济：走向有序发展与共同富裕</w:t>
    </w:r>
    <w:r>
      <w:rPr>
        <w:rFonts w:ascii="YouYuan" w:hAnsi="YouYuan" w:eastAsia="YouYuan" w:cs="YouYuan"/>
        <w:sz w:val="16"/>
        <w:szCs w:val="16"/>
        <w:spacing w:val="-4"/>
      </w:rPr>
      <w:t xml:space="preserve">         </w:t>
    </w:r>
    <w:r>
      <w:rPr>
        <w:rFonts w:ascii="YouYuan" w:hAnsi="YouYuan" w:eastAsia="YouYuan" w:cs="YouYuan"/>
        <w:sz w:val="16"/>
        <w:szCs w:val="16"/>
        <w:spacing w:val="-5"/>
      </w:rPr>
      <w:t xml:space="preserve">    </w:t>
    </w:r>
    <w:r>
      <w:rPr>
        <w:rFonts w:ascii="SimSun" w:hAnsi="SimSun" w:eastAsia="SimSun" w:cs="SimSun"/>
        <w:sz w:val="12"/>
        <w:szCs w:val="12"/>
        <w:spacing w:val="-5"/>
        <w:position w:val="-3"/>
      </w:rPr>
      <w:t>045</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046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2"/>
      <w:spacing w:line="164" w:lineRule="auto"/>
      <w:rPr>
        <w:rFonts w:ascii="SimSun" w:hAnsi="SimSun" w:eastAsia="SimSun" w:cs="SimSun"/>
        <w:sz w:val="13"/>
        <w:szCs w:val="13"/>
      </w:rPr>
    </w:pPr>
    <w:r>
      <w:rPr>
        <w:rFonts w:ascii="YouYuan" w:hAnsi="YouYuan" w:eastAsia="YouYuan" w:cs="YouYuan"/>
        <w:sz w:val="16"/>
        <w:szCs w:val="16"/>
        <w:b/>
        <w:bCs/>
        <w:spacing w:val="-6"/>
      </w:rPr>
      <w:t>第一章</w:t>
    </w:r>
    <w:r>
      <w:rPr>
        <w:rFonts w:ascii="YouYuan" w:hAnsi="YouYuan" w:eastAsia="YouYuan" w:cs="YouYuan"/>
        <w:sz w:val="16"/>
        <w:szCs w:val="16"/>
        <w:spacing w:val="-6"/>
      </w:rPr>
      <w:t xml:space="preserve">  </w:t>
    </w:r>
    <w:r>
      <w:rPr>
        <w:rFonts w:ascii="YouYuan" w:hAnsi="YouYuan" w:eastAsia="YouYuan" w:cs="YouYuan"/>
        <w:sz w:val="16"/>
        <w:szCs w:val="16"/>
        <w:b/>
        <w:bCs/>
        <w:spacing w:val="-6"/>
      </w:rPr>
      <w:t>重塑平台经济：走向有序发展与共同富裕</w:t>
    </w:r>
    <w:r>
      <w:rPr>
        <w:rFonts w:ascii="YouYuan" w:hAnsi="YouYuan" w:eastAsia="YouYuan" w:cs="YouYuan"/>
        <w:sz w:val="16"/>
        <w:szCs w:val="16"/>
        <w:spacing w:val="-6"/>
      </w:rPr>
      <w:t xml:space="preserve">              </w:t>
    </w:r>
    <w:r>
      <w:rPr>
        <w:rFonts w:ascii="SimSun" w:hAnsi="SimSun" w:eastAsia="SimSun" w:cs="SimSun"/>
        <w:sz w:val="13"/>
        <w:szCs w:val="13"/>
        <w:spacing w:val="-6"/>
        <w:position w:val="-3"/>
      </w:rPr>
      <w:t>047</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7"/>
        <w:position w:val="-2"/>
      </w:rPr>
      <w:t>048</w:t>
    </w:r>
    <w:r>
      <w:rPr>
        <w:rFonts w:ascii="SimSun" w:hAnsi="SimSun" w:eastAsia="SimSun" w:cs="SimSun"/>
        <w:sz w:val="12"/>
        <w:szCs w:val="12"/>
        <w:spacing w:val="2"/>
        <w:position w:val="-2"/>
      </w:rPr>
      <w:t xml:space="preserve">                          </w:t>
    </w:r>
    <w:r>
      <w:rPr>
        <w:rFonts w:ascii="SimSun" w:hAnsi="SimSun" w:eastAsia="SimSun" w:cs="SimSun"/>
        <w:sz w:val="12"/>
        <w:szCs w:val="12"/>
        <w:spacing w:val="1"/>
        <w:position w:val="-2"/>
      </w:rPr>
      <w:t xml:space="preserve">   </w:t>
    </w:r>
    <w:r>
      <w:rPr>
        <w:rFonts w:ascii="SimHei" w:hAnsi="SimHei" w:eastAsia="SimHei" w:cs="SimHei"/>
        <w:sz w:val="16"/>
        <w:szCs w:val="16"/>
        <w:b/>
        <w:bCs/>
        <w:spacing w:val="-7"/>
      </w:rPr>
      <w:t>平台经济——创新、治理与繁荣</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0"/>
        <w:szCs w:val="10"/>
      </w:rPr>
    </w:sdtEndPr>
    <w:sdtContent>
      <w:p>
        <w:pPr>
          <w:ind w:left="1292"/>
          <w:spacing w:line="174" w:lineRule="auto"/>
          <w:rPr>
            <w:rFonts w:ascii="SimSun" w:hAnsi="SimSun" w:eastAsia="SimSun" w:cs="SimSun"/>
            <w:sz w:val="10"/>
            <w:szCs w:val="10"/>
          </w:rPr>
        </w:pPr>
        <w:r>
          <w:rPr>
            <w:rFonts w:ascii="SimHei" w:hAnsi="SimHei" w:eastAsia="SimHei" w:cs="SimHei"/>
            <w:sz w:val="14"/>
            <w:szCs w:val="14"/>
            <w:b/>
            <w:bCs/>
            <w:spacing w:val="12"/>
          </w:rPr>
          <w:t>第一章</w:t>
        </w:r>
        <w:r>
          <w:rPr>
            <w:rFonts w:ascii="SimHei" w:hAnsi="SimHei" w:eastAsia="SimHei" w:cs="SimHei"/>
            <w:sz w:val="14"/>
            <w:szCs w:val="14"/>
            <w:spacing w:val="48"/>
            <w:w w:val="101"/>
          </w:rPr>
          <w:t xml:space="preserve"> </w:t>
        </w:r>
        <w:r>
          <w:rPr>
            <w:rFonts w:ascii="SimHei" w:hAnsi="SimHei" w:eastAsia="SimHei" w:cs="SimHei"/>
            <w:sz w:val="14"/>
            <w:szCs w:val="14"/>
            <w:b/>
            <w:bCs/>
            <w:spacing w:val="12"/>
          </w:rPr>
          <w:t>重塑平台经济：走向有序发展与共同富裕</w:t>
        </w:r>
        <w:r>
          <w:rPr>
            <w:rFonts w:ascii="SimHei" w:hAnsi="SimHei" w:eastAsia="SimHei" w:cs="SimHei"/>
            <w:sz w:val="14"/>
            <w:szCs w:val="14"/>
            <w:spacing w:val="12"/>
          </w:rPr>
          <w:t xml:space="preserve">             </w:t>
        </w:r>
        <w:hyperlink w:history="true" w:anchor="bookmark2">
          <w:r>
            <w:rPr>
              <w:rFonts w:ascii="SimSun" w:hAnsi="SimSun" w:eastAsia="SimSun" w:cs="SimSun"/>
              <w:sz w:val="10"/>
              <w:szCs w:val="10"/>
              <w:spacing w:val="12"/>
            </w:rPr>
            <w:t>049</w:t>
          </w:r>
        </w:hyperlink>
      </w:p>
    </w:sdtContent>
  </w:sdt>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54" w:lineRule="exact"/>
      <w:rPr>
        <w:rFonts w:ascii="YouYuan" w:hAnsi="YouYuan" w:eastAsia="YouYuan" w:cs="YouYuan"/>
        <w:sz w:val="15"/>
        <w:szCs w:val="15"/>
      </w:rPr>
    </w:pPr>
    <w:r>
      <w:rPr>
        <w:rFonts w:ascii="SimSun" w:hAnsi="SimSun" w:eastAsia="SimSun" w:cs="SimSun"/>
        <w:sz w:val="15"/>
        <w:szCs w:val="15"/>
        <w:spacing w:val="3"/>
        <w:position w:val="-3"/>
      </w:rPr>
      <w:t>050                    </w:t>
    </w:r>
    <w:r>
      <w:rPr>
        <w:rFonts w:ascii="SimSun" w:hAnsi="SimSun" w:eastAsia="SimSun" w:cs="SimSun"/>
        <w:sz w:val="15"/>
        <w:szCs w:val="15"/>
        <w:spacing w:val="2"/>
        <w:position w:val="-3"/>
      </w:rPr>
      <w:t xml:space="preserve">  </w:t>
    </w:r>
    <w:r>
      <w:rPr>
        <w:rFonts w:ascii="YouYuan" w:hAnsi="YouYuan" w:eastAsia="YouYuan" w:cs="YouYuan"/>
        <w:sz w:val="15"/>
        <w:szCs w:val="15"/>
        <w:spacing w:val="2"/>
      </w:rPr>
      <w:t>平台经济——创新、治理与繁荣</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610"/>
          <w:spacing w:line="175" w:lineRule="auto"/>
          <w:rPr>
            <w:rFonts w:ascii="SimSun" w:hAnsi="SimSun" w:eastAsia="SimSun" w:cs="SimSun"/>
            <w:sz w:val="13"/>
            <w:szCs w:val="13"/>
          </w:rPr>
        </w:pPr>
        <w:r>
          <w:rPr>
            <w:rFonts w:ascii="YouYuan" w:hAnsi="YouYuan" w:eastAsia="YouYuan" w:cs="YouYuan"/>
            <w:sz w:val="16"/>
            <w:szCs w:val="16"/>
            <w:spacing w:val="-6"/>
          </w:rPr>
          <w:t>第二章</w:t>
        </w:r>
        <w:r>
          <w:rPr>
            <w:rFonts w:ascii="YouYuan" w:hAnsi="YouYuan" w:eastAsia="YouYuan" w:cs="YouYuan"/>
            <w:sz w:val="16"/>
            <w:szCs w:val="16"/>
            <w:spacing w:val="-6"/>
          </w:rPr>
          <w:t xml:space="preserve">  </w:t>
        </w:r>
        <w:r>
          <w:rPr>
            <w:rFonts w:ascii="YouYuan" w:hAnsi="YouYuan" w:eastAsia="YouYuan" w:cs="YouYuan"/>
            <w:sz w:val="16"/>
            <w:szCs w:val="16"/>
            <w:spacing w:val="-6"/>
          </w:rPr>
          <w:t>数字经济对中国经济增长的影响</w:t>
        </w:r>
        <w:r>
          <w:rPr>
            <w:rFonts w:ascii="YouYuan" w:hAnsi="YouYuan" w:eastAsia="YouYuan" w:cs="YouYuan"/>
            <w:sz w:val="16"/>
            <w:szCs w:val="16"/>
            <w:spacing w:val="6"/>
          </w:rPr>
          <w:t xml:space="preserve">                </w:t>
        </w:r>
        <w:hyperlink w:history="true" w:anchor="bookmark3">
          <w:r>
            <w:rPr>
              <w:rFonts w:ascii="SimSun" w:hAnsi="SimSun" w:eastAsia="SimSun" w:cs="SimSun"/>
              <w:sz w:val="13"/>
              <w:szCs w:val="13"/>
              <w:spacing w:val="-6"/>
              <w:position w:val="-2"/>
            </w:rPr>
            <w:t>055</w:t>
          </w:r>
        </w:hyperlink>
      </w:p>
    </w:sdtContent>
  </w:sdt>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3"/>
      </w:rPr>
      <w:t>056</w:t>
    </w:r>
    <w:r>
      <w:rPr>
        <w:rFonts w:ascii="SimSun" w:hAnsi="SimSun" w:eastAsia="SimSun" w:cs="SimSun"/>
        <w:sz w:val="12"/>
        <w:szCs w:val="12"/>
        <w:spacing w:val="1"/>
        <w:position w:val="-3"/>
      </w:rPr>
      <w:t xml:space="preserve">                             </w:t>
    </w:r>
    <w:r>
      <w:rPr>
        <w:rFonts w:ascii="SimHei" w:hAnsi="SimHei" w:eastAsia="SimHei" w:cs="SimHei"/>
        <w:sz w:val="16"/>
        <w:szCs w:val="16"/>
        <w:spacing w:val="-6"/>
      </w:rPr>
      <w:t>平台经济——创新、治理与繁荣</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4"/>
        <w:szCs w:val="14"/>
      </w:rPr>
      <w:docPartObj>
        <w:docPartGallery w:val="Table of Contents"/>
        <w:docPartUnique/>
      </w:docPartObj>
    </w:sdtPr>
    <w:sdtEndPr>
      <w:rPr>
        <w:rFonts w:ascii="SimSun" w:hAnsi="SimSun" w:eastAsia="SimSun" w:cs="SimSun"/>
        <w:sz w:val="14"/>
        <w:szCs w:val="14"/>
      </w:rPr>
    </w:sdtEndPr>
    <w:sdtContent>
      <w:p>
        <w:pPr>
          <w:ind w:left="1622"/>
          <w:spacing w:line="161" w:lineRule="auto"/>
          <w:rPr>
            <w:rFonts w:ascii="SimSun" w:hAnsi="SimSun" w:eastAsia="SimSun" w:cs="SimSun"/>
            <w:sz w:val="14"/>
            <w:szCs w:val="14"/>
          </w:rPr>
        </w:pPr>
        <w:r>
          <w:rPr>
            <w:rFonts w:ascii="SimHei" w:hAnsi="SimHei" w:eastAsia="SimHei" w:cs="SimHei"/>
            <w:sz w:val="14"/>
            <w:szCs w:val="14"/>
            <w:b/>
            <w:bCs/>
            <w:spacing w:val="12"/>
          </w:rPr>
          <w:t>第二章</w:t>
        </w:r>
        <w:r>
          <w:rPr>
            <w:rFonts w:ascii="SimHei" w:hAnsi="SimHei" w:eastAsia="SimHei" w:cs="SimHei"/>
            <w:sz w:val="14"/>
            <w:szCs w:val="14"/>
            <w:spacing w:val="47"/>
          </w:rPr>
          <w:t xml:space="preserve"> </w:t>
        </w:r>
        <w:r>
          <w:rPr>
            <w:rFonts w:ascii="SimHei" w:hAnsi="SimHei" w:eastAsia="SimHei" w:cs="SimHei"/>
            <w:sz w:val="14"/>
            <w:szCs w:val="14"/>
            <w:b/>
            <w:bCs/>
            <w:spacing w:val="12"/>
          </w:rPr>
          <w:t>数字经济对中国经济增长的影响</w:t>
        </w:r>
        <w:r>
          <w:rPr>
            <w:rFonts w:ascii="SimHei" w:hAnsi="SimHei" w:eastAsia="SimHei" w:cs="SimHei"/>
            <w:sz w:val="14"/>
            <w:szCs w:val="14"/>
            <w:spacing w:val="1"/>
          </w:rPr>
          <w:t xml:space="preserve">                   </w:t>
        </w:r>
        <w:hyperlink w:history="true" w:anchor="bookmark4">
          <w:r>
            <w:rPr>
              <w:rFonts w:ascii="SimSun" w:hAnsi="SimSun" w:eastAsia="SimSun" w:cs="SimSun"/>
              <w:sz w:val="14"/>
              <w:szCs w:val="14"/>
              <w:spacing w:val="12"/>
              <w:position w:val="-1"/>
            </w:rPr>
            <w:t>057</w:t>
          </w:r>
        </w:hyperlink>
      </w:p>
    </w:sdtContent>
  </w:sdt>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2"/>
      <w:spacing w:line="161" w:lineRule="auto"/>
      <w:rPr>
        <w:rFonts w:ascii="SimSun" w:hAnsi="SimSun" w:eastAsia="SimSun" w:cs="SimSun"/>
        <w:sz w:val="12"/>
        <w:szCs w:val="12"/>
      </w:rPr>
    </w:pPr>
    <w:r>
      <w:rPr>
        <w:rFonts w:ascii="YouYuan" w:hAnsi="YouYuan" w:eastAsia="YouYuan" w:cs="YouYuan"/>
        <w:sz w:val="16"/>
        <w:szCs w:val="16"/>
        <w:b/>
        <w:bCs/>
        <w:spacing w:val="-4"/>
      </w:rPr>
      <w:t>第一章</w:t>
    </w:r>
    <w:r>
      <w:rPr>
        <w:rFonts w:ascii="YouYuan" w:hAnsi="YouYuan" w:eastAsia="YouYuan" w:cs="YouYuan"/>
        <w:sz w:val="16"/>
        <w:szCs w:val="16"/>
        <w:spacing w:val="-4"/>
      </w:rPr>
      <w:t xml:space="preserve">  </w:t>
    </w:r>
    <w:r>
      <w:rPr>
        <w:rFonts w:ascii="YouYuan" w:hAnsi="YouYuan" w:eastAsia="YouYuan" w:cs="YouYuan"/>
        <w:sz w:val="16"/>
        <w:szCs w:val="16"/>
        <w:b/>
        <w:bCs/>
        <w:spacing w:val="-4"/>
      </w:rPr>
      <w:t>重塑平台经济：走向有序发展与共同富裕</w:t>
    </w:r>
    <w:r>
      <w:rPr>
        <w:rFonts w:ascii="YouYuan" w:hAnsi="YouYuan" w:eastAsia="YouYuan" w:cs="YouYuan"/>
        <w:sz w:val="16"/>
        <w:szCs w:val="16"/>
        <w:spacing w:val="-4"/>
      </w:rPr>
      <w:t xml:space="preserve">             </w:t>
    </w:r>
    <w:r>
      <w:rPr>
        <w:rFonts w:ascii="SimSun" w:hAnsi="SimSun" w:eastAsia="SimSun" w:cs="SimSun"/>
        <w:sz w:val="12"/>
        <w:szCs w:val="12"/>
        <w:spacing w:val="-4"/>
        <w:position w:val="-4"/>
      </w:rPr>
      <w:t>005</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7"/>
        <w:szCs w:val="17"/>
      </w:rPr>
      <w:docPartObj>
        <w:docPartGallery w:val="Table of Contents"/>
        <w:docPartUnique/>
      </w:docPartObj>
    </w:sdtPr>
    <w:sdtEndPr>
      <w:rPr>
        <w:rFonts w:ascii="SimSun" w:hAnsi="SimSun" w:eastAsia="SimSun" w:cs="SimSun"/>
        <w:sz w:val="12"/>
        <w:szCs w:val="12"/>
      </w:rPr>
    </w:sdtEndPr>
    <w:sdtContent>
      <w:p>
        <w:pPr>
          <w:ind w:left="1632"/>
          <w:spacing w:line="172" w:lineRule="auto"/>
          <w:rPr>
            <w:rFonts w:ascii="SimSun" w:hAnsi="SimSun" w:eastAsia="SimSun" w:cs="SimSun"/>
            <w:sz w:val="12"/>
            <w:szCs w:val="12"/>
          </w:rPr>
        </w:pPr>
        <w:r>
          <w:rPr>
            <w:rFonts w:ascii="YouYuan" w:hAnsi="YouYuan" w:eastAsia="YouYuan" w:cs="YouYuan"/>
            <w:sz w:val="17"/>
            <w:szCs w:val="17"/>
            <w:b/>
            <w:bCs/>
            <w:spacing w:val="-15"/>
          </w:rPr>
          <w:t>第二章</w:t>
        </w:r>
        <w:r>
          <w:rPr>
            <w:rFonts w:ascii="YouYuan" w:hAnsi="YouYuan" w:eastAsia="YouYuan" w:cs="YouYuan"/>
            <w:sz w:val="17"/>
            <w:szCs w:val="17"/>
            <w:spacing w:val="-15"/>
          </w:rPr>
          <w:t xml:space="preserve">  </w:t>
        </w:r>
        <w:r>
          <w:rPr>
            <w:rFonts w:ascii="YouYuan" w:hAnsi="YouYuan" w:eastAsia="YouYuan" w:cs="YouYuan"/>
            <w:sz w:val="17"/>
            <w:szCs w:val="17"/>
            <w:b/>
            <w:bCs/>
            <w:spacing w:val="-15"/>
          </w:rPr>
          <w:t>数字经济对中国经济增长的影响</w:t>
        </w:r>
        <w:r>
          <w:rPr>
            <w:rFonts w:ascii="YouYuan" w:hAnsi="YouYuan" w:eastAsia="YouYuan" w:cs="YouYuan"/>
            <w:sz w:val="17"/>
            <w:szCs w:val="17"/>
          </w:rPr>
          <w:t xml:space="preserve">                </w:t>
        </w:r>
        <w:hyperlink w:history="true" w:anchor="bookmark5">
          <w:r>
            <w:rPr>
              <w:rFonts w:ascii="SimSun" w:hAnsi="SimSun" w:eastAsia="SimSun" w:cs="SimSun"/>
              <w:sz w:val="12"/>
              <w:szCs w:val="12"/>
              <w:spacing w:val="-15"/>
              <w:position w:val="-3"/>
            </w:rPr>
            <w:t>059</w:t>
          </w:r>
        </w:hyperlink>
      </w:p>
    </w:sdtContent>
  </w:sdt>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7"/>
        <w:position w:val="-2"/>
      </w:rPr>
      <w:t>060</w:t>
    </w:r>
    <w:r>
      <w:rPr>
        <w:rFonts w:ascii="SimSun" w:hAnsi="SimSun" w:eastAsia="SimSun" w:cs="SimSun"/>
        <w:sz w:val="12"/>
        <w:szCs w:val="12"/>
        <w:spacing w:val="1"/>
        <w:position w:val="-2"/>
      </w:rPr>
      <w:t xml:space="preserve">                          </w:t>
    </w:r>
    <w:r>
      <w:rPr>
        <w:rFonts w:ascii="SimSun" w:hAnsi="SimSun" w:eastAsia="SimSun" w:cs="SimSun"/>
        <w:sz w:val="12"/>
        <w:szCs w:val="12"/>
        <w:position w:val="-2"/>
      </w:rPr>
      <w:t xml:space="preserve">   </w:t>
    </w:r>
    <w:r>
      <w:rPr>
        <w:rFonts w:ascii="SimHei" w:hAnsi="SimHei" w:eastAsia="SimHei" w:cs="SimHei"/>
        <w:sz w:val="16"/>
        <w:szCs w:val="16"/>
        <w:b/>
        <w:bCs/>
        <w:spacing w:val="-7"/>
      </w:rPr>
      <w:t>平台经济——创新、治理与繁荣</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Hei" w:hAnsi="SimHei" w:eastAsia="SimHei" w:cs="SimHei"/>
        <w:sz w:val="17"/>
        <w:szCs w:val="17"/>
      </w:rPr>
    </w:pPr>
    <w:r>
      <w:rPr>
        <w:rFonts w:ascii="SimSun" w:hAnsi="SimSun" w:eastAsia="SimSun" w:cs="SimSun"/>
        <w:sz w:val="12"/>
        <w:szCs w:val="12"/>
        <w:spacing w:val="-8"/>
        <w:position w:val="-3"/>
      </w:rPr>
      <w:t>062                                </w:t>
    </w:r>
    <w:r>
      <w:rPr>
        <w:rFonts w:ascii="SimHei" w:hAnsi="SimHei" w:eastAsia="SimHei" w:cs="SimHei"/>
        <w:sz w:val="17"/>
        <w:szCs w:val="17"/>
        <w:spacing w:val="-8"/>
      </w:rPr>
      <w:t>平台经济</w:t>
    </w:r>
    <w:r>
      <w:rPr>
        <w:rFonts w:ascii="SimHei" w:hAnsi="SimHei" w:eastAsia="SimHei" w:cs="SimHei"/>
        <w:sz w:val="17"/>
        <w:szCs w:val="17"/>
        <w:spacing w:val="-54"/>
      </w:rPr>
      <w:t xml:space="preserve"> </w:t>
    </w:r>
    <w:r>
      <w:rPr>
        <w:rFonts w:ascii="SimHei" w:hAnsi="SimHei" w:eastAsia="SimHei" w:cs="SimHei"/>
        <w:sz w:val="17"/>
        <w:szCs w:val="17"/>
        <w:u w:val="single" w:color="auto"/>
        <w:spacing w:val="-8"/>
      </w:rPr>
      <w:t xml:space="preserve">    </w:t>
    </w:r>
    <w:r>
      <w:rPr>
        <w:rFonts w:ascii="SimHei" w:hAnsi="SimHei" w:eastAsia="SimHei" w:cs="SimHei"/>
        <w:sz w:val="17"/>
        <w:szCs w:val="17"/>
        <w:spacing w:val="-8"/>
      </w:rPr>
      <w:t>创新、治理与繁荣</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69"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1"/>
          </w:rPr>
          <w:t xml:space="preserve">                 </w:t>
        </w:r>
        <w:hyperlink w:history="true" w:anchor="bookmark6">
          <w:r>
            <w:rPr>
              <w:rFonts w:ascii="SimSun" w:hAnsi="SimSun" w:eastAsia="SimSun" w:cs="SimSun"/>
              <w:sz w:val="12"/>
              <w:szCs w:val="12"/>
              <w:spacing w:val="-7"/>
              <w:position w:val="-2"/>
            </w:rPr>
            <w:t>063</w:t>
          </w:r>
        </w:hyperlink>
      </w:p>
    </w:sdtContent>
  </w:sdt>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YouYuan" w:hAnsi="YouYuan" w:eastAsia="YouYuan" w:cs="YouYuan"/>
        <w:sz w:val="16"/>
        <w:szCs w:val="16"/>
      </w:rPr>
    </w:pPr>
    <w:r>
      <w:rPr>
        <w:rFonts w:ascii="SimSun" w:hAnsi="SimSun" w:eastAsia="SimSun" w:cs="SimSun"/>
        <w:sz w:val="12"/>
        <w:szCs w:val="12"/>
        <w:spacing w:val="-7"/>
        <w:position w:val="-3"/>
      </w:rPr>
      <w:t>064</w:t>
    </w:r>
    <w:r>
      <w:rPr>
        <w:rFonts w:ascii="SimSun" w:hAnsi="SimSun" w:eastAsia="SimSun" w:cs="SimSun"/>
        <w:sz w:val="12"/>
        <w:szCs w:val="12"/>
        <w:spacing w:val="1"/>
        <w:position w:val="-3"/>
      </w:rPr>
      <w:t xml:space="preserve">                             </w:t>
    </w:r>
    <w:r>
      <w:rPr>
        <w:rFonts w:ascii="YouYuan" w:hAnsi="YouYuan" w:eastAsia="YouYuan" w:cs="YouYuan"/>
        <w:sz w:val="16"/>
        <w:szCs w:val="16"/>
        <w:b/>
        <w:bCs/>
        <w:spacing w:val="-7"/>
      </w:rPr>
      <w:t>平台经济——创新、治理与繁荣</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42"/>
          <w:spacing w:line="175"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4"/>
          </w:rPr>
          <w:t xml:space="preserve">                </w:t>
        </w:r>
        <w:hyperlink w:history="true" w:anchor="bookmark7">
          <w:r>
            <w:rPr>
              <w:rFonts w:ascii="SimSun" w:hAnsi="SimSun" w:eastAsia="SimSun" w:cs="SimSun"/>
              <w:sz w:val="12"/>
              <w:szCs w:val="12"/>
              <w:spacing w:val="-7"/>
              <w:position w:val="-1"/>
            </w:rPr>
            <w:t>069</w:t>
          </w:r>
        </w:hyperlink>
      </w:p>
    </w:sdtContent>
  </w:sdt>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75"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4"/>
          </w:rPr>
          <w:t xml:space="preserve">                </w:t>
        </w:r>
        <w:hyperlink w:history="true" w:anchor="bookmark8">
          <w:r>
            <w:rPr>
              <w:rFonts w:ascii="SimSun" w:hAnsi="SimSun" w:eastAsia="SimSun" w:cs="SimSun"/>
              <w:sz w:val="12"/>
              <w:szCs w:val="12"/>
              <w:spacing w:val="-7"/>
              <w:position w:val="-1"/>
            </w:rPr>
            <w:t>071</w:t>
          </w:r>
        </w:hyperlink>
      </w:p>
    </w:sdtContent>
  </w:sdt>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SimHei" w:hAnsi="SimHei" w:eastAsia="SimHei" w:cs="SimHei"/>
        <w:sz w:val="16"/>
        <w:szCs w:val="16"/>
      </w:rPr>
    </w:pPr>
    <w:r>
      <w:rPr>
        <w:rFonts w:ascii="SimSun" w:hAnsi="SimSun" w:eastAsia="SimSun" w:cs="SimSun"/>
        <w:sz w:val="13"/>
        <w:szCs w:val="13"/>
        <w:spacing w:val="-3"/>
        <w:position w:val="-2"/>
      </w:rPr>
      <w:t>072                         </w:t>
    </w:r>
    <w:r>
      <w:rPr>
        <w:rFonts w:ascii="SimSun" w:hAnsi="SimSun" w:eastAsia="SimSun" w:cs="SimSun"/>
        <w:sz w:val="13"/>
        <w:szCs w:val="13"/>
        <w:spacing w:val="-4"/>
        <w:position w:val="-2"/>
      </w:rPr>
      <w:t xml:space="preserve">   </w:t>
    </w:r>
    <w:r>
      <w:rPr>
        <w:rFonts w:ascii="SimHei" w:hAnsi="SimHei" w:eastAsia="SimHei" w:cs="SimHei"/>
        <w:sz w:val="16"/>
        <w:szCs w:val="16"/>
        <w:spacing w:val="-4"/>
      </w:rPr>
      <w:t>平台经济——创新、治理与繁荣</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707"/>
          <w:spacing w:line="175"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5"/>
          </w:rPr>
          <w:t xml:space="preserve">                </w:t>
        </w:r>
        <w:hyperlink w:history="true" w:anchor="bookmark9">
          <w:r>
            <w:rPr>
              <w:rFonts w:ascii="SimSun" w:hAnsi="SimSun" w:eastAsia="SimSun" w:cs="SimSun"/>
              <w:sz w:val="12"/>
              <w:szCs w:val="12"/>
              <w:spacing w:val="-7"/>
            </w:rPr>
            <w:t>073</w:t>
          </w:r>
        </w:hyperlink>
      </w:p>
    </w:sdtContent>
  </w:sdt>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
      <w:spacing w:line="170" w:lineRule="auto"/>
      <w:rPr>
        <w:rFonts w:ascii="SimHei" w:hAnsi="SimHei" w:eastAsia="SimHei" w:cs="SimHei"/>
        <w:sz w:val="16"/>
        <w:szCs w:val="16"/>
      </w:rPr>
    </w:pPr>
    <w:r>
      <w:rPr>
        <w:rFonts w:ascii="SimSun" w:hAnsi="SimSun" w:eastAsia="SimSun" w:cs="SimSun"/>
        <w:sz w:val="12"/>
        <w:szCs w:val="12"/>
        <w:spacing w:val="-7"/>
        <w:position w:val="-2"/>
      </w:rPr>
      <w:t>074</w:t>
    </w:r>
    <w:r>
      <w:rPr>
        <w:rFonts w:ascii="SimSun" w:hAnsi="SimSun" w:eastAsia="SimSun" w:cs="SimSun"/>
        <w:sz w:val="12"/>
        <w:szCs w:val="12"/>
        <w:spacing w:val="1"/>
        <w:position w:val="-2"/>
      </w:rPr>
      <w:t xml:space="preserve">                             </w:t>
    </w:r>
    <w:r>
      <w:rPr>
        <w:rFonts w:ascii="SimHei" w:hAnsi="SimHei" w:eastAsia="SimHei" w:cs="SimHei"/>
        <w:sz w:val="16"/>
        <w:szCs w:val="16"/>
        <w:b/>
        <w:bCs/>
        <w:spacing w:val="-7"/>
      </w:rPr>
      <w:t>平台经济——创新、治理与繁荣</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5"/>
      <w:spacing w:line="175" w:lineRule="auto"/>
      <w:rPr>
        <w:rFonts w:ascii="SimHei" w:hAnsi="SimHei" w:eastAsia="SimHei" w:cs="SimHei"/>
        <w:sz w:val="16"/>
        <w:szCs w:val="16"/>
      </w:rPr>
    </w:pPr>
    <w:r>
      <w:rPr>
        <w:rFonts w:ascii="SimSun" w:hAnsi="SimSun" w:eastAsia="SimSun" w:cs="SimSun"/>
        <w:sz w:val="11"/>
        <w:szCs w:val="11"/>
        <w:spacing w:val="-7"/>
      </w:rPr>
      <w:t>006</w:t>
    </w:r>
    <w:r>
      <w:rPr>
        <w:rFonts w:ascii="SimSun" w:hAnsi="SimSun" w:eastAsia="SimSun" w:cs="SimSun"/>
        <w:sz w:val="11"/>
        <w:szCs w:val="11"/>
        <w:spacing w:val="1"/>
      </w:rPr>
      <w:t xml:space="preserve">                                </w:t>
    </w:r>
    <w:r>
      <w:rPr>
        <w:rFonts w:ascii="SimHei" w:hAnsi="SimHei" w:eastAsia="SimHei" w:cs="SimHei"/>
        <w:sz w:val="16"/>
        <w:szCs w:val="16"/>
        <w:b/>
        <w:bCs/>
        <w:spacing w:val="-7"/>
      </w:rPr>
      <w:t>平台经济——创新、治理与繁荣</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3"/>
        <w:szCs w:val="13"/>
      </w:rPr>
    </w:sdtEndPr>
    <w:sdtContent>
      <w:p>
        <w:pPr>
          <w:ind w:left="1612"/>
          <w:spacing w:line="175" w:lineRule="auto"/>
          <w:rPr>
            <w:rFonts w:ascii="SimSun" w:hAnsi="SimSun" w:eastAsia="SimSun" w:cs="SimSun"/>
            <w:sz w:val="13"/>
            <w:szCs w:val="13"/>
          </w:rPr>
        </w:pPr>
        <w:r>
          <w:rPr>
            <w:rFonts w:ascii="YouYuan" w:hAnsi="YouYuan" w:eastAsia="YouYuan" w:cs="YouYuan"/>
            <w:sz w:val="16"/>
            <w:szCs w:val="16"/>
            <w:b/>
            <w:bCs/>
            <w:spacing w:val="-4"/>
          </w:rPr>
          <w:t>第二章</w:t>
        </w:r>
        <w:r>
          <w:rPr>
            <w:rFonts w:ascii="YouYuan" w:hAnsi="YouYuan" w:eastAsia="YouYuan" w:cs="YouYuan"/>
            <w:sz w:val="16"/>
            <w:szCs w:val="16"/>
            <w:spacing w:val="-4"/>
          </w:rPr>
          <w:t xml:space="preserve">  </w:t>
        </w:r>
        <w:r>
          <w:rPr>
            <w:rFonts w:ascii="YouYuan" w:hAnsi="YouYuan" w:eastAsia="YouYuan" w:cs="YouYuan"/>
            <w:sz w:val="16"/>
            <w:szCs w:val="16"/>
            <w:b/>
            <w:bCs/>
            <w:spacing w:val="-4"/>
          </w:rPr>
          <w:t>数字经济对中国经济增长的影响</w:t>
        </w:r>
        <w:r>
          <w:rPr>
            <w:rFonts w:ascii="YouYuan" w:hAnsi="YouYuan" w:eastAsia="YouYuan" w:cs="YouYuan"/>
            <w:sz w:val="16"/>
            <w:szCs w:val="16"/>
            <w:spacing w:val="-4"/>
          </w:rPr>
          <w:t xml:space="preserve">                 </w:t>
        </w:r>
        <w:hyperlink w:history="true" w:anchor="bookmark10">
          <w:r>
            <w:rPr>
              <w:rFonts w:ascii="SimSun" w:hAnsi="SimSun" w:eastAsia="SimSun" w:cs="SimSun"/>
              <w:sz w:val="13"/>
              <w:szCs w:val="13"/>
              <w:spacing w:val="-4"/>
              <w:position w:val="-2"/>
            </w:rPr>
            <w:t>075</w:t>
          </w:r>
        </w:hyperlink>
      </w:p>
    </w:sdtContent>
  </w:sdt>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2"/>
        <w:position w:val="-1"/>
      </w:rPr>
      <w:t>076                              </w:t>
    </w:r>
    <w:r>
      <w:rPr>
        <w:rFonts w:ascii="SimHei" w:hAnsi="SimHei" w:eastAsia="SimHei" w:cs="SimHei"/>
        <w:sz w:val="16"/>
        <w:szCs w:val="16"/>
        <w:spacing w:val="-2"/>
      </w:rPr>
      <w:t>平</w:t>
    </w:r>
    <w:r>
      <w:rPr>
        <w:rFonts w:ascii="SimHei" w:hAnsi="SimHei" w:eastAsia="SimHei" w:cs="SimHei"/>
        <w:sz w:val="16"/>
        <w:szCs w:val="16"/>
        <w:spacing w:val="-3"/>
      </w:rPr>
      <w:t>台经济——创新、治理与繁荣</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32"/>
          <w:spacing w:line="171" w:lineRule="auto"/>
          <w:rPr>
            <w:rFonts w:ascii="SimSun" w:hAnsi="SimSun" w:eastAsia="SimSun" w:cs="SimSun"/>
            <w:sz w:val="12"/>
            <w:szCs w:val="12"/>
          </w:rPr>
        </w:pPr>
        <w:r>
          <w:rPr>
            <w:rFonts w:ascii="YouYuan" w:hAnsi="YouYuan" w:eastAsia="YouYuan" w:cs="YouYuan"/>
            <w:sz w:val="16"/>
            <w:szCs w:val="16"/>
            <w:b/>
            <w:bCs/>
            <w:spacing w:val="-4"/>
          </w:rPr>
          <w:t>第二章</w:t>
        </w:r>
        <w:r>
          <w:rPr>
            <w:rFonts w:ascii="YouYuan" w:hAnsi="YouYuan" w:eastAsia="YouYuan" w:cs="YouYuan"/>
            <w:sz w:val="16"/>
            <w:szCs w:val="16"/>
            <w:spacing w:val="-4"/>
          </w:rPr>
          <w:t xml:space="preserve">  </w:t>
        </w:r>
        <w:r>
          <w:rPr>
            <w:rFonts w:ascii="YouYuan" w:hAnsi="YouYuan" w:eastAsia="YouYuan" w:cs="YouYuan"/>
            <w:sz w:val="16"/>
            <w:szCs w:val="16"/>
            <w:b/>
            <w:bCs/>
            <w:spacing w:val="-4"/>
          </w:rPr>
          <w:t>数字经济对中国经济增长的影响</w:t>
        </w:r>
        <w:r>
          <w:rPr>
            <w:rFonts w:ascii="YouYuan" w:hAnsi="YouYuan" w:eastAsia="YouYuan" w:cs="YouYuan"/>
            <w:sz w:val="16"/>
            <w:szCs w:val="16"/>
            <w:spacing w:val="-4"/>
          </w:rPr>
          <w:t xml:space="preserve">          </w:t>
        </w:r>
        <w:r>
          <w:rPr>
            <w:rFonts w:ascii="YouYuan" w:hAnsi="YouYuan" w:eastAsia="YouYuan" w:cs="YouYuan"/>
            <w:sz w:val="16"/>
            <w:szCs w:val="16"/>
            <w:spacing w:val="-5"/>
          </w:rPr>
          <w:t xml:space="preserve">       </w:t>
        </w:r>
        <w:hyperlink w:history="true" w:anchor="bookmark11">
          <w:r>
            <w:rPr>
              <w:rFonts w:ascii="SimSun" w:hAnsi="SimSun" w:eastAsia="SimSun" w:cs="SimSun"/>
              <w:sz w:val="12"/>
              <w:szCs w:val="12"/>
              <w:spacing w:val="-5"/>
              <w:position w:val="-3"/>
            </w:rPr>
            <w:t>077</w:t>
          </w:r>
        </w:hyperlink>
      </w:p>
    </w:sdtContent>
  </w:sdt>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6"/>
        <w:position w:val="-3"/>
      </w:rPr>
      <w:t>080</w:t>
    </w:r>
    <w:r>
      <w:rPr>
        <w:rFonts w:ascii="SimSun" w:hAnsi="SimSun" w:eastAsia="SimSun" w:cs="SimSun"/>
        <w:sz w:val="12"/>
        <w:szCs w:val="12"/>
        <w:spacing w:val="1"/>
        <w:position w:val="-3"/>
      </w:rPr>
      <w:t xml:space="preserve">                             </w:t>
    </w:r>
    <w:r>
      <w:rPr>
        <w:rFonts w:ascii="SimHei" w:hAnsi="SimHei" w:eastAsia="SimHei" w:cs="SimHei"/>
        <w:sz w:val="16"/>
        <w:szCs w:val="16"/>
        <w:spacing w:val="-6"/>
      </w:rPr>
      <w:t>平台经济——创新、治理与繁荣</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75"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1"/>
          </w:rPr>
          <w:t xml:space="preserve">                 </w:t>
        </w:r>
        <w:hyperlink w:history="true" w:anchor="bookmark12">
          <w:r>
            <w:rPr>
              <w:rFonts w:ascii="SimSun" w:hAnsi="SimSun" w:eastAsia="SimSun" w:cs="SimSun"/>
              <w:sz w:val="12"/>
              <w:szCs w:val="12"/>
              <w:spacing w:val="-7"/>
              <w:position w:val="-1"/>
            </w:rPr>
            <w:t>081</w:t>
          </w:r>
        </w:hyperlink>
      </w:p>
    </w:sdtContent>
  </w:sdt>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
      <w:spacing w:line="175" w:lineRule="auto"/>
      <w:rPr>
        <w:rFonts w:ascii="SimHei" w:hAnsi="SimHei" w:eastAsia="SimHei" w:cs="SimHei"/>
        <w:sz w:val="16"/>
        <w:szCs w:val="16"/>
      </w:rPr>
    </w:pPr>
    <w:r>
      <w:rPr>
        <w:rFonts w:ascii="SimSun" w:hAnsi="SimSun" w:eastAsia="SimSun" w:cs="SimSun"/>
        <w:sz w:val="13"/>
        <w:szCs w:val="13"/>
        <w:b/>
        <w:bCs/>
        <w:spacing w:val="-4"/>
      </w:rPr>
      <w:t>082</w:t>
    </w:r>
    <w:r>
      <w:rPr>
        <w:rFonts w:ascii="SimSun" w:hAnsi="SimSun" w:eastAsia="SimSun" w:cs="SimSun"/>
        <w:sz w:val="13"/>
        <w:szCs w:val="13"/>
        <w:spacing w:val="-4"/>
      </w:rPr>
      <w:t xml:space="preserve">                            </w:t>
    </w:r>
    <w:r>
      <w:rPr>
        <w:rFonts w:ascii="SimHei" w:hAnsi="SimHei" w:eastAsia="SimHei" w:cs="SimHei"/>
        <w:sz w:val="16"/>
        <w:szCs w:val="16"/>
        <w:b/>
        <w:bCs/>
        <w:spacing w:val="-4"/>
      </w:rPr>
      <w:t>平台经济——创新、治理</w:t>
    </w:r>
    <w:r>
      <w:rPr>
        <w:rFonts w:ascii="SimHei" w:hAnsi="SimHei" w:eastAsia="SimHei" w:cs="SimHei"/>
        <w:sz w:val="16"/>
        <w:szCs w:val="16"/>
        <w:b/>
        <w:bCs/>
        <w:spacing w:val="-5"/>
      </w:rPr>
      <w:t>与繁荣</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1"/>
        <w:szCs w:val="11"/>
      </w:rPr>
    </w:sdtEndPr>
    <w:sdtContent>
      <w:p>
        <w:pPr>
          <w:ind w:left="1622"/>
          <w:spacing w:line="182" w:lineRule="auto"/>
          <w:rPr>
            <w:rFonts w:ascii="SimSun" w:hAnsi="SimSun" w:eastAsia="SimSun" w:cs="SimSun"/>
            <w:sz w:val="11"/>
            <w:szCs w:val="11"/>
          </w:rPr>
        </w:pPr>
        <w:r>
          <w:rPr>
            <w:rFonts w:ascii="YouYuan" w:hAnsi="YouYuan" w:eastAsia="YouYuan" w:cs="YouYuan"/>
            <w:sz w:val="16"/>
            <w:szCs w:val="16"/>
            <w:b/>
            <w:bCs/>
            <w:spacing w:val="-7"/>
          </w:rPr>
          <w:t>第二章</w:t>
        </w:r>
        <w:r>
          <w:rPr>
            <w:rFonts w:ascii="YouYuan" w:hAnsi="YouYuan" w:eastAsia="YouYuan" w:cs="YouYuan"/>
            <w:sz w:val="16"/>
            <w:szCs w:val="16"/>
            <w:spacing w:val="-7"/>
          </w:rPr>
          <w:t xml:space="preserve">  </w:t>
        </w:r>
        <w:r>
          <w:rPr>
            <w:rFonts w:ascii="YouYuan" w:hAnsi="YouYuan" w:eastAsia="YouYuan" w:cs="YouYuan"/>
            <w:sz w:val="16"/>
            <w:szCs w:val="16"/>
            <w:b/>
            <w:bCs/>
            <w:spacing w:val="-7"/>
          </w:rPr>
          <w:t>数字经济对中国经济增长的影响</w:t>
        </w:r>
        <w:r>
          <w:rPr>
            <w:rFonts w:ascii="YouYuan" w:hAnsi="YouYuan" w:eastAsia="YouYuan" w:cs="YouYuan"/>
            <w:sz w:val="16"/>
            <w:szCs w:val="16"/>
            <w:spacing w:val="1"/>
          </w:rPr>
          <w:t xml:space="preserve">                 </w:t>
        </w:r>
        <w:hyperlink w:history="true" w:anchor="bookmark13">
          <w:r>
            <w:rPr>
              <w:rFonts w:ascii="SimSun" w:hAnsi="SimSun" w:eastAsia="SimSun" w:cs="SimSun"/>
              <w:sz w:val="11"/>
              <w:szCs w:val="11"/>
              <w:spacing w:val="-7"/>
              <w:position w:val="-2"/>
            </w:rPr>
            <w:t>083</w:t>
          </w:r>
        </w:hyperlink>
      </w:p>
    </w:sdtContent>
  </w:sdt>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YouYuan" w:hAnsi="YouYuan" w:eastAsia="YouYuan" w:cs="YouYuan"/>
        <w:sz w:val="16"/>
        <w:szCs w:val="16"/>
      </w:rPr>
    </w:pPr>
    <w:r>
      <w:rPr>
        <w:rFonts w:ascii="SimSun" w:hAnsi="SimSun" w:eastAsia="SimSun" w:cs="SimSun"/>
        <w:sz w:val="12"/>
        <w:szCs w:val="12"/>
        <w:spacing w:val="-5"/>
        <w:position w:val="-3"/>
      </w:rPr>
      <w:t>084</w:t>
    </w:r>
    <w:r>
      <w:rPr>
        <w:rFonts w:ascii="SimSun" w:hAnsi="SimSun" w:eastAsia="SimSun" w:cs="SimSun"/>
        <w:sz w:val="12"/>
        <w:szCs w:val="12"/>
        <w:spacing w:val="1"/>
        <w:position w:val="-3"/>
      </w:rPr>
      <w:t xml:space="preserve">                             </w:t>
    </w:r>
    <w:r>
      <w:rPr>
        <w:rFonts w:ascii="YouYuan" w:hAnsi="YouYuan" w:eastAsia="YouYuan" w:cs="YouYuan"/>
        <w:sz w:val="16"/>
        <w:szCs w:val="16"/>
        <w:spacing w:val="-5"/>
      </w:rPr>
      <w:t>平台经济——创新、治理与繁荣</w:t>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32"/>
          <w:spacing w:line="171" w:lineRule="auto"/>
          <w:rPr>
            <w:rFonts w:ascii="SimSun" w:hAnsi="SimSun" w:eastAsia="SimSun" w:cs="SimSun"/>
            <w:sz w:val="12"/>
            <w:szCs w:val="12"/>
          </w:rPr>
        </w:pPr>
        <w:r>
          <w:rPr>
            <w:rFonts w:ascii="YouYuan" w:hAnsi="YouYuan" w:eastAsia="YouYuan" w:cs="YouYuan"/>
            <w:sz w:val="16"/>
            <w:szCs w:val="16"/>
            <w:b/>
            <w:bCs/>
            <w:spacing w:val="-7"/>
          </w:rPr>
          <w:t>第二章</w:t>
        </w:r>
        <w:r>
          <w:rPr>
            <w:rFonts w:ascii="YouYuan" w:hAnsi="YouYuan" w:eastAsia="YouYuan" w:cs="YouYuan"/>
            <w:sz w:val="16"/>
            <w:szCs w:val="16"/>
            <w:spacing w:val="-7"/>
          </w:rPr>
          <w:t xml:space="preserve">  </w:t>
        </w:r>
        <w:r>
          <w:rPr>
            <w:rFonts w:ascii="YouYuan" w:hAnsi="YouYuan" w:eastAsia="YouYuan" w:cs="YouYuan"/>
            <w:sz w:val="16"/>
            <w:szCs w:val="16"/>
            <w:b/>
            <w:bCs/>
            <w:spacing w:val="-7"/>
          </w:rPr>
          <w:t>数字经济对中国经济增长的影响</w:t>
        </w:r>
        <w:r>
          <w:rPr>
            <w:rFonts w:ascii="YouYuan" w:hAnsi="YouYuan" w:eastAsia="YouYuan" w:cs="YouYuan"/>
            <w:sz w:val="16"/>
            <w:szCs w:val="16"/>
          </w:rPr>
          <w:t xml:space="preserve">                 </w:t>
        </w:r>
        <w:hyperlink w:history="true" w:anchor="bookmark14">
          <w:r>
            <w:rPr>
              <w:rFonts w:ascii="SimSun" w:hAnsi="SimSun" w:eastAsia="SimSun" w:cs="SimSun"/>
              <w:sz w:val="12"/>
              <w:szCs w:val="12"/>
              <w:spacing w:val="-7"/>
              <w:position w:val="-3"/>
            </w:rPr>
            <w:t>085</w:t>
          </w:r>
        </w:hyperlink>
      </w:p>
    </w:sdtContent>
  </w:sdt>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086</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2"/>
      <w:spacing w:line="164" w:lineRule="auto"/>
      <w:rPr>
        <w:rFonts w:ascii="SimSun" w:hAnsi="SimSun" w:eastAsia="SimSun" w:cs="SimSun"/>
        <w:sz w:val="13"/>
        <w:szCs w:val="13"/>
      </w:rPr>
    </w:pPr>
    <w:r>
      <w:rPr>
        <w:rFonts w:ascii="YouYuan" w:hAnsi="YouYuan" w:eastAsia="YouYuan" w:cs="YouYuan"/>
        <w:sz w:val="16"/>
        <w:szCs w:val="16"/>
        <w:b/>
        <w:bCs/>
        <w:spacing w:val="-6"/>
      </w:rPr>
      <w:t>第一章</w:t>
    </w:r>
    <w:r>
      <w:rPr>
        <w:rFonts w:ascii="YouYuan" w:hAnsi="YouYuan" w:eastAsia="YouYuan" w:cs="YouYuan"/>
        <w:sz w:val="16"/>
        <w:szCs w:val="16"/>
        <w:spacing w:val="-6"/>
      </w:rPr>
      <w:t xml:space="preserve">  </w:t>
    </w:r>
    <w:r>
      <w:rPr>
        <w:rFonts w:ascii="YouYuan" w:hAnsi="YouYuan" w:eastAsia="YouYuan" w:cs="YouYuan"/>
        <w:sz w:val="16"/>
        <w:szCs w:val="16"/>
        <w:b/>
        <w:bCs/>
        <w:spacing w:val="-6"/>
      </w:rPr>
      <w:t>重塑平台经济：走向有序发展与共同富裕</w:t>
    </w:r>
    <w:r>
      <w:rPr>
        <w:rFonts w:ascii="YouYuan" w:hAnsi="YouYuan" w:eastAsia="YouYuan" w:cs="YouYuan"/>
        <w:sz w:val="16"/>
        <w:szCs w:val="16"/>
        <w:spacing w:val="-6"/>
      </w:rPr>
      <w:t xml:space="preserve">    </w:t>
    </w:r>
    <w:r>
      <w:rPr>
        <w:rFonts w:ascii="YouYuan" w:hAnsi="YouYuan" w:eastAsia="YouYuan" w:cs="YouYuan"/>
        <w:sz w:val="16"/>
        <w:szCs w:val="16"/>
        <w:spacing w:val="-7"/>
      </w:rPr>
      <w:t xml:space="preserve">          </w:t>
    </w:r>
    <w:r>
      <w:rPr>
        <w:rFonts w:ascii="SimSun" w:hAnsi="SimSun" w:eastAsia="SimSun" w:cs="SimSun"/>
        <w:sz w:val="13"/>
        <w:szCs w:val="13"/>
        <w:spacing w:val="-7"/>
        <w:position w:val="-3"/>
      </w:rPr>
      <w:t>007</w:t>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2"/>
          <w:spacing w:line="175"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1"/>
          </w:rPr>
          <w:t xml:space="preserve">                 </w:t>
        </w:r>
        <w:hyperlink w:history="true" w:anchor="bookmark15">
          <w:r>
            <w:rPr>
              <w:rFonts w:ascii="SimSun" w:hAnsi="SimSun" w:eastAsia="SimSun" w:cs="SimSun"/>
              <w:sz w:val="12"/>
              <w:szCs w:val="12"/>
              <w:spacing w:val="-7"/>
            </w:rPr>
            <w:t>089</w:t>
          </w:r>
        </w:hyperlink>
      </w:p>
    </w:sdtContent>
  </w:sdt>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12"/>
          <w:spacing w:line="169" w:lineRule="auto"/>
          <w:rPr>
            <w:rFonts w:ascii="SimSun" w:hAnsi="SimSun" w:eastAsia="SimSun" w:cs="SimSun"/>
            <w:sz w:val="12"/>
            <w:szCs w:val="12"/>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1"/>
          </w:rPr>
          <w:t xml:space="preserve">                 </w:t>
        </w:r>
        <w:hyperlink w:history="true" w:anchor="bookmark16">
          <w:r>
            <w:rPr>
              <w:rFonts w:ascii="SimSun" w:hAnsi="SimSun" w:eastAsia="SimSun" w:cs="SimSun"/>
              <w:sz w:val="12"/>
              <w:szCs w:val="12"/>
              <w:spacing w:val="-7"/>
              <w:position w:val="-2"/>
            </w:rPr>
            <w:t>091</w:t>
          </w:r>
        </w:hyperlink>
      </w:p>
    </w:sdtContent>
  </w:sdt>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3"/>
        <w:position w:val="-1"/>
      </w:rPr>
      <w:t>092                              </w:t>
    </w:r>
    <w:r>
      <w:rPr>
        <w:rFonts w:ascii="SimHei" w:hAnsi="SimHei" w:eastAsia="SimHei" w:cs="SimHei"/>
        <w:sz w:val="16"/>
        <w:szCs w:val="16"/>
        <w:spacing w:val="-3"/>
      </w:rPr>
      <w:t>平台经济——创新、治理与繁荣</w:t>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452"/>
      <w:spacing w:line="221" w:lineRule="auto"/>
      <w:rPr>
        <w:rFonts w:ascii="SimHei" w:hAnsi="SimHei" w:eastAsia="SimHei" w:cs="SimHei"/>
        <w:sz w:val="17"/>
        <w:szCs w:val="17"/>
      </w:rPr>
    </w:pPr>
    <w:r>
      <w:pict>
        <v:shape id="_x0000_s46" style="position:absolute;margin-left:48.4973pt;margin-top:26.2516pt;mso-position-vertical-relative:page;mso-position-horizontal-relative:page;width:479.05pt;height:0.5pt;z-index:251758592;" o:allowincell="f" filled="false" strokecolor="#000000" strokeweight="0.50pt" coordsize="9580,10" coordorigin="0,0" path="m0,5l1270,5m1270,5l4730,5m4730,5l8360,5m8360,5l9580,5e">
          <v:stroke joinstyle="miter" miterlimit="10"/>
        </v:shape>
      </w:pict>
    </w:r>
    <w:r>
      <w:rPr>
        <w:rFonts w:ascii="SimHei" w:hAnsi="SimHei" w:eastAsia="SimHei" w:cs="SimHei"/>
        <w:sz w:val="17"/>
        <w:szCs w:val="17"/>
        <w:b/>
        <w:bCs/>
        <w:spacing w:val="8"/>
      </w:rPr>
      <w:t>表2-</w:t>
    </w:r>
    <w:r>
      <w:rPr>
        <w:rFonts w:ascii="SimHei" w:hAnsi="SimHei" w:eastAsia="SimHei" w:cs="SimHei"/>
        <w:sz w:val="17"/>
        <w:szCs w:val="17"/>
        <w:spacing w:val="-41"/>
      </w:rPr>
      <w:t xml:space="preserve"> </w:t>
    </w:r>
    <w:r>
      <w:rPr>
        <w:rFonts w:ascii="SimHei" w:hAnsi="SimHei" w:eastAsia="SimHei" w:cs="SimHei"/>
        <w:sz w:val="17"/>
        <w:szCs w:val="17"/>
        <w:b/>
        <w:bCs/>
        <w:spacing w:val="8"/>
      </w:rPr>
      <w:t>10</w:t>
    </w:r>
    <w:r>
      <w:rPr>
        <w:rFonts w:ascii="SimHei" w:hAnsi="SimHei" w:eastAsia="SimHei" w:cs="SimHei"/>
        <w:sz w:val="17"/>
        <w:szCs w:val="17"/>
        <w:spacing w:val="81"/>
        <w:w w:val="101"/>
      </w:rPr>
      <w:t xml:space="preserve"> </w:t>
    </w:r>
    <w:r>
      <w:rPr>
        <w:rFonts w:ascii="SimHei" w:hAnsi="SimHei" w:eastAsia="SimHei" w:cs="SimHei"/>
        <w:sz w:val="17"/>
        <w:szCs w:val="17"/>
        <w:b/>
        <w:bCs/>
        <w:spacing w:val="8"/>
      </w:rPr>
      <w:t>各行业名义劳动报酬水平及其变化：数字经济视角</w:t>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rPr>
      <w:t>096</w:t>
    </w:r>
    <w:r>
      <w:rPr>
        <w:rFonts w:ascii="SimSun" w:hAnsi="SimSun" w:eastAsia="SimSun" w:cs="SimSun"/>
        <w:sz w:val="12"/>
        <w:szCs w:val="12"/>
        <w:spacing w:val="2"/>
      </w:rPr>
      <w:t xml:space="preserve">                         </w:t>
    </w:r>
    <w:r>
      <w:rPr>
        <w:rFonts w:ascii="SimSun" w:hAnsi="SimSun" w:eastAsia="SimSun" w:cs="SimSun"/>
        <w:sz w:val="12"/>
        <w:szCs w:val="12"/>
        <w:spacing w:val="1"/>
      </w:rPr>
      <w:t xml:space="preserve">    </w:t>
    </w:r>
    <w:r>
      <w:rPr>
        <w:rFonts w:ascii="SimHei" w:hAnsi="SimHei" w:eastAsia="SimHei" w:cs="SimHei"/>
        <w:sz w:val="16"/>
        <w:szCs w:val="16"/>
        <w:spacing w:val="-6"/>
      </w:rPr>
      <w:t>平台经济——创新、治理与繁荣</w:t>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32"/>
          <w:spacing w:line="179" w:lineRule="auto"/>
          <w:rPr>
            <w:rFonts w:ascii="SimSun" w:hAnsi="SimSun" w:eastAsia="SimSun" w:cs="SimSun"/>
            <w:sz w:val="12"/>
            <w:szCs w:val="12"/>
          </w:rPr>
        </w:pPr>
        <w:r>
          <w:rPr>
            <w:rFonts w:ascii="YouYuan" w:hAnsi="YouYuan" w:eastAsia="YouYuan" w:cs="YouYuan"/>
            <w:sz w:val="16"/>
            <w:szCs w:val="16"/>
            <w:b/>
            <w:bCs/>
            <w:spacing w:val="-7"/>
          </w:rPr>
          <w:t>第二章</w:t>
        </w:r>
        <w:r>
          <w:rPr>
            <w:rFonts w:ascii="YouYuan" w:hAnsi="YouYuan" w:eastAsia="YouYuan" w:cs="YouYuan"/>
            <w:sz w:val="16"/>
            <w:szCs w:val="16"/>
            <w:spacing w:val="-7"/>
          </w:rPr>
          <w:t xml:space="preserve">  </w:t>
        </w:r>
        <w:r>
          <w:rPr>
            <w:rFonts w:ascii="YouYuan" w:hAnsi="YouYuan" w:eastAsia="YouYuan" w:cs="YouYuan"/>
            <w:sz w:val="16"/>
            <w:szCs w:val="16"/>
            <w:b/>
            <w:bCs/>
            <w:spacing w:val="-7"/>
          </w:rPr>
          <w:t>数字经济对中国经济增长的影响</w:t>
        </w:r>
        <w:r>
          <w:rPr>
            <w:rFonts w:ascii="YouYuan" w:hAnsi="YouYuan" w:eastAsia="YouYuan" w:cs="YouYuan"/>
            <w:sz w:val="16"/>
            <w:szCs w:val="16"/>
          </w:rPr>
          <w:t xml:space="preserve">                 </w:t>
        </w:r>
        <w:hyperlink w:history="true" w:anchor="bookmark17">
          <w:r>
            <w:rPr>
              <w:rFonts w:ascii="SimSun" w:hAnsi="SimSun" w:eastAsia="SimSun" w:cs="SimSun"/>
              <w:sz w:val="12"/>
              <w:szCs w:val="12"/>
              <w:spacing w:val="-7"/>
              <w:position w:val="-2"/>
            </w:rPr>
            <w:t>097</w:t>
          </w:r>
        </w:hyperlink>
      </w:p>
    </w:sdtContent>
  </w:sdt>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4"/>
      <w:spacing w:line="175" w:lineRule="auto"/>
      <w:rPr>
        <w:rFonts w:ascii="SimHei" w:hAnsi="SimHei" w:eastAsia="SimHei" w:cs="SimHei"/>
        <w:sz w:val="15"/>
        <w:szCs w:val="15"/>
      </w:rPr>
    </w:pPr>
    <w:r>
      <w:rPr>
        <w:rFonts w:ascii="SimSun" w:hAnsi="SimSun" w:eastAsia="SimSun" w:cs="SimSun"/>
        <w:sz w:val="13"/>
        <w:szCs w:val="13"/>
        <w:spacing w:val="2"/>
      </w:rPr>
      <w:t>098</w:t>
    </w:r>
    <w:r>
      <w:rPr>
        <w:rFonts w:ascii="SimSun" w:hAnsi="SimSun" w:eastAsia="SimSun" w:cs="SimSun"/>
        <w:sz w:val="13"/>
        <w:szCs w:val="13"/>
      </w:rPr>
      <w:t xml:space="preserve">                           </w:t>
    </w:r>
    <w:r>
      <w:rPr>
        <w:rFonts w:ascii="SimHei" w:hAnsi="SimHei" w:eastAsia="SimHei" w:cs="SimHei"/>
        <w:sz w:val="15"/>
        <w:szCs w:val="15"/>
        <w:spacing w:val="2"/>
      </w:rPr>
      <w:t>平台经济——创新、治理与繁荣</w:t>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32"/>
          <w:spacing w:line="175" w:lineRule="auto"/>
          <w:rPr>
            <w:rFonts w:ascii="SimSun" w:hAnsi="SimSun" w:eastAsia="SimSun" w:cs="SimSun"/>
            <w:sz w:val="13"/>
            <w:szCs w:val="13"/>
          </w:rPr>
        </w:pPr>
        <w:r>
          <w:rPr>
            <w:rFonts w:ascii="SimHei" w:hAnsi="SimHei" w:eastAsia="SimHei" w:cs="SimHei"/>
            <w:sz w:val="16"/>
            <w:szCs w:val="16"/>
            <w:b/>
            <w:bCs/>
            <w:spacing w:val="-7"/>
          </w:rPr>
          <w:t>第二章</w:t>
        </w:r>
        <w:r>
          <w:rPr>
            <w:rFonts w:ascii="SimHei" w:hAnsi="SimHei" w:eastAsia="SimHei" w:cs="SimHei"/>
            <w:sz w:val="16"/>
            <w:szCs w:val="16"/>
            <w:spacing w:val="-7"/>
          </w:rPr>
          <w:t xml:space="preserve">  </w:t>
        </w:r>
        <w:r>
          <w:rPr>
            <w:rFonts w:ascii="SimHei" w:hAnsi="SimHei" w:eastAsia="SimHei" w:cs="SimHei"/>
            <w:sz w:val="16"/>
            <w:szCs w:val="16"/>
            <w:b/>
            <w:bCs/>
            <w:spacing w:val="-7"/>
          </w:rPr>
          <w:t>数字经济对中国经济增长的影响</w:t>
        </w:r>
        <w:r>
          <w:rPr>
            <w:rFonts w:ascii="SimHei" w:hAnsi="SimHei" w:eastAsia="SimHei" w:cs="SimHei"/>
            <w:sz w:val="16"/>
            <w:szCs w:val="16"/>
            <w:spacing w:val="4"/>
          </w:rPr>
          <w:t xml:space="preserve">                </w:t>
        </w:r>
        <w:hyperlink w:history="true" w:anchor="bookmark18">
          <w:r>
            <w:rPr>
              <w:rFonts w:ascii="SimSun" w:hAnsi="SimSun" w:eastAsia="SimSun" w:cs="SimSun"/>
              <w:sz w:val="13"/>
              <w:szCs w:val="13"/>
              <w:spacing w:val="-7"/>
            </w:rPr>
            <w:t>099</w:t>
          </w:r>
        </w:hyperlink>
      </w:p>
    </w:sdtContent>
  </w:sdt>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4" w:lineRule="auto"/>
      <w:rPr>
        <w:rFonts w:ascii="SimHei" w:hAnsi="SimHei" w:eastAsia="SimHei" w:cs="SimHei"/>
        <w:sz w:val="16"/>
        <w:szCs w:val="16"/>
      </w:rPr>
    </w:pPr>
    <w:r>
      <w:rPr>
        <w:rFonts w:ascii="SimSun" w:hAnsi="SimSun" w:eastAsia="SimSun" w:cs="SimSun"/>
        <w:sz w:val="13"/>
        <w:szCs w:val="13"/>
        <w:spacing w:val="-4"/>
        <w:position w:val="-2"/>
      </w:rPr>
      <w:t>100                            </w:t>
    </w:r>
    <w:r>
      <w:rPr>
        <w:rFonts w:ascii="SimHei" w:hAnsi="SimHei" w:eastAsia="SimHei" w:cs="SimHei"/>
        <w:sz w:val="16"/>
        <w:szCs w:val="16"/>
        <w:spacing w:val="-4"/>
      </w:rPr>
      <w:t>平台经济——创新、治理与繁荣</w:t>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60"/>
          <w:spacing w:line="169" w:lineRule="auto"/>
          <w:rPr>
            <w:rFonts w:ascii="SimSun" w:hAnsi="SimSun" w:eastAsia="SimSun" w:cs="SimSun"/>
            <w:sz w:val="12"/>
            <w:szCs w:val="12"/>
          </w:rPr>
        </w:pPr>
        <w:r>
          <w:rPr>
            <w:rFonts w:ascii="YouYuan" w:hAnsi="YouYuan" w:eastAsia="YouYuan" w:cs="YouYuan"/>
            <w:sz w:val="16"/>
            <w:szCs w:val="16"/>
            <w:spacing w:val="-4"/>
          </w:rPr>
          <w:t>第二章</w:t>
        </w:r>
        <w:r>
          <w:rPr>
            <w:rFonts w:ascii="YouYuan" w:hAnsi="YouYuan" w:eastAsia="YouYuan" w:cs="YouYuan"/>
            <w:sz w:val="16"/>
            <w:szCs w:val="16"/>
            <w:spacing w:val="-4"/>
          </w:rPr>
          <w:t xml:space="preserve">  </w:t>
        </w:r>
        <w:r>
          <w:rPr>
            <w:rFonts w:ascii="YouYuan" w:hAnsi="YouYuan" w:eastAsia="YouYuan" w:cs="YouYuan"/>
            <w:sz w:val="16"/>
            <w:szCs w:val="16"/>
            <w:spacing w:val="-4"/>
          </w:rPr>
          <w:t>数字经济对中国经济增长的影响</w:t>
        </w:r>
        <w:r>
          <w:rPr>
            <w:rFonts w:ascii="YouYuan" w:hAnsi="YouYuan" w:eastAsia="YouYuan" w:cs="YouYuan"/>
            <w:sz w:val="16"/>
            <w:szCs w:val="16"/>
            <w:spacing w:val="-5"/>
          </w:rPr>
          <w:t xml:space="preserve">                  </w:t>
        </w:r>
        <w:hyperlink w:history="true" w:anchor="bookmark19">
          <w:r>
            <w:rPr>
              <w:rFonts w:ascii="SimSun" w:hAnsi="SimSun" w:eastAsia="SimSun" w:cs="SimSun"/>
              <w:sz w:val="12"/>
              <w:szCs w:val="12"/>
              <w:spacing w:val="-5"/>
              <w:position w:val="-3"/>
            </w:rPr>
            <w:t>101</w:t>
          </w:r>
        </w:hyperlink>
      </w:p>
    </w:sdtContent>
  </w:sdt>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12"/>
      <w:spacing w:line="170" w:lineRule="auto"/>
      <w:rPr>
        <w:rFonts w:ascii="SimSun" w:hAnsi="SimSun" w:eastAsia="SimSun" w:cs="SimSun"/>
        <w:sz w:val="12"/>
        <w:szCs w:val="12"/>
      </w:rPr>
    </w:pPr>
    <w:r>
      <w:rPr>
        <w:rFonts w:ascii="SimHei" w:hAnsi="SimHei" w:eastAsia="SimHei" w:cs="SimHei"/>
        <w:sz w:val="16"/>
        <w:szCs w:val="16"/>
        <w:b/>
        <w:bCs/>
        <w:spacing w:val="-7"/>
      </w:rPr>
      <w:t>第一章</w:t>
    </w:r>
    <w:r>
      <w:rPr>
        <w:rFonts w:ascii="SimHei" w:hAnsi="SimHei" w:eastAsia="SimHei" w:cs="SimHei"/>
        <w:sz w:val="16"/>
        <w:szCs w:val="16"/>
        <w:spacing w:val="-7"/>
      </w:rPr>
      <w:t xml:space="preserve">  </w:t>
    </w:r>
    <w:r>
      <w:rPr>
        <w:rFonts w:ascii="SimHei" w:hAnsi="SimHei" w:eastAsia="SimHei" w:cs="SimHei"/>
        <w:sz w:val="16"/>
        <w:szCs w:val="16"/>
        <w:b/>
        <w:bCs/>
        <w:spacing w:val="-7"/>
      </w:rPr>
      <w:t>重塑平台经济：走向有序发展与共同富裕</w:t>
    </w:r>
    <w:r>
      <w:rPr>
        <w:rFonts w:ascii="SimHei" w:hAnsi="SimHei" w:eastAsia="SimHei" w:cs="SimHei"/>
        <w:sz w:val="16"/>
        <w:szCs w:val="16"/>
        <w:spacing w:val="1"/>
      </w:rPr>
      <w:t xml:space="preserve">             </w:t>
    </w:r>
    <w:r>
      <w:rPr>
        <w:rFonts w:ascii="SimSun" w:hAnsi="SimSun" w:eastAsia="SimSun" w:cs="SimSun"/>
        <w:sz w:val="12"/>
        <w:szCs w:val="12"/>
        <w:spacing w:val="-7"/>
        <w:position w:val="-2"/>
      </w:rPr>
      <w:t>009</w:t>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Hei" w:hAnsi="SimHei" w:eastAsia="SimHei" w:cs="SimHei"/>
        <w:sz w:val="14"/>
        <w:szCs w:val="14"/>
      </w:rPr>
    </w:pPr>
    <w:r>
      <w:rPr>
        <w:rFonts w:ascii="SimSun" w:hAnsi="SimSun" w:eastAsia="SimSun" w:cs="SimSun"/>
        <w:sz w:val="10"/>
        <w:szCs w:val="10"/>
        <w:spacing w:val="6"/>
        <w:position w:val="-2"/>
      </w:rPr>
      <w:t>102                                 </w:t>
    </w:r>
    <w:r>
      <w:rPr>
        <w:rFonts w:ascii="SimHei" w:hAnsi="SimHei" w:eastAsia="SimHei" w:cs="SimHei"/>
        <w:sz w:val="14"/>
        <w:szCs w:val="14"/>
        <w:spacing w:val="6"/>
      </w:rPr>
      <w:t>平台经济——创新、治理与繁荣</w:t>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10"/>
          <w:spacing w:line="188" w:lineRule="auto"/>
          <w:rPr>
            <w:rFonts w:ascii="SimSun" w:hAnsi="SimSun" w:eastAsia="SimSun" w:cs="SimSun"/>
            <w:sz w:val="12"/>
            <w:szCs w:val="12"/>
          </w:rPr>
        </w:pPr>
        <w:r>
          <w:rPr>
            <w:rFonts w:ascii="YouYuan" w:hAnsi="YouYuan" w:eastAsia="YouYuan" w:cs="YouYuan"/>
            <w:sz w:val="16"/>
            <w:szCs w:val="16"/>
            <w:spacing w:val="-5"/>
          </w:rPr>
          <w:t>第二章</w:t>
        </w:r>
        <w:r>
          <w:rPr>
            <w:rFonts w:ascii="YouYuan" w:hAnsi="YouYuan" w:eastAsia="YouYuan" w:cs="YouYuan"/>
            <w:sz w:val="16"/>
            <w:szCs w:val="16"/>
            <w:spacing w:val="-5"/>
          </w:rPr>
          <w:t xml:space="preserve">  </w:t>
        </w:r>
        <w:r>
          <w:rPr>
            <w:rFonts w:ascii="YouYuan" w:hAnsi="YouYuan" w:eastAsia="YouYuan" w:cs="YouYuan"/>
            <w:sz w:val="16"/>
            <w:szCs w:val="16"/>
            <w:spacing w:val="-5"/>
          </w:rPr>
          <w:t>数字经济对中国经济增长的影响</w:t>
        </w:r>
        <w:r>
          <w:rPr>
            <w:rFonts w:ascii="YouYuan" w:hAnsi="YouYuan" w:eastAsia="YouYuan" w:cs="YouYuan"/>
            <w:sz w:val="16"/>
            <w:szCs w:val="16"/>
            <w:spacing w:val="4"/>
          </w:rPr>
          <w:t xml:space="preserve">                </w:t>
        </w:r>
        <w:hyperlink w:history="true" w:anchor="bookmark20">
          <w:r>
            <w:rPr>
              <w:rFonts w:ascii="SimSun" w:hAnsi="SimSun" w:eastAsia="SimSun" w:cs="SimSun"/>
              <w:sz w:val="12"/>
              <w:szCs w:val="12"/>
              <w:spacing w:val="-5"/>
              <w:position w:val="-1"/>
            </w:rPr>
            <w:t>103</w:t>
          </w:r>
        </w:hyperlink>
      </w:p>
    </w:sdtContent>
  </w:sdt>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6"/>
        <w:position w:val="-1"/>
      </w:rPr>
      <w:t>104</w:t>
    </w:r>
    <w:r>
      <w:rPr>
        <w:rFonts w:ascii="SimSun" w:hAnsi="SimSun" w:eastAsia="SimSun" w:cs="SimSun"/>
        <w:sz w:val="12"/>
        <w:szCs w:val="12"/>
        <w:spacing w:val="2"/>
        <w:position w:val="-1"/>
      </w:rPr>
      <w:t xml:space="preserve">                         </w:t>
    </w:r>
    <w:r>
      <w:rPr>
        <w:rFonts w:ascii="SimSun" w:hAnsi="SimSun" w:eastAsia="SimSun" w:cs="SimSun"/>
        <w:sz w:val="12"/>
        <w:szCs w:val="12"/>
        <w:spacing w:val="1"/>
        <w:position w:val="-1"/>
      </w:rPr>
      <w:t xml:space="preserve">    </w:t>
    </w:r>
    <w:r>
      <w:rPr>
        <w:rFonts w:ascii="SimHei" w:hAnsi="SimHei" w:eastAsia="SimHei" w:cs="SimHei"/>
        <w:sz w:val="16"/>
        <w:szCs w:val="16"/>
        <w:spacing w:val="-6"/>
      </w:rPr>
      <w:t>平台经济——创新、治理与繁荣</w:t>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3"/>
      </w:rPr>
      <w:t>108                              </w:t>
    </w:r>
    <w:r>
      <w:rPr>
        <w:rFonts w:ascii="SimHei" w:hAnsi="SimHei" w:eastAsia="SimHei" w:cs="SimHei"/>
        <w:sz w:val="16"/>
        <w:szCs w:val="16"/>
        <w:spacing w:val="-3"/>
      </w:rPr>
      <w:t>平台经济——创新、治理与繁荣</w:t>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1"/>
        <w:szCs w:val="11"/>
      </w:rPr>
    </w:sdtEndPr>
    <w:sdtContent>
      <w:p>
        <w:pPr>
          <w:ind w:left="1697"/>
          <w:spacing w:line="188" w:lineRule="auto"/>
          <w:rPr>
            <w:rFonts w:ascii="SimSun" w:hAnsi="SimSun" w:eastAsia="SimSun" w:cs="SimSun"/>
            <w:sz w:val="11"/>
            <w:szCs w:val="11"/>
          </w:rPr>
        </w:pPr>
        <w:r>
          <w:rPr>
            <w:rFonts w:ascii="YouYuan" w:hAnsi="YouYuan" w:eastAsia="YouYuan" w:cs="YouYuan"/>
            <w:sz w:val="16"/>
            <w:szCs w:val="16"/>
            <w:b/>
            <w:bCs/>
            <w:spacing w:val="-4"/>
          </w:rPr>
          <w:t>第二章</w:t>
        </w:r>
        <w:r>
          <w:rPr>
            <w:rFonts w:ascii="YouYuan" w:hAnsi="YouYuan" w:eastAsia="YouYuan" w:cs="YouYuan"/>
            <w:sz w:val="16"/>
            <w:szCs w:val="16"/>
            <w:spacing w:val="-4"/>
          </w:rPr>
          <w:t xml:space="preserve">  </w:t>
        </w:r>
        <w:r>
          <w:rPr>
            <w:rFonts w:ascii="YouYuan" w:hAnsi="YouYuan" w:eastAsia="YouYuan" w:cs="YouYuan"/>
            <w:sz w:val="16"/>
            <w:szCs w:val="16"/>
            <w:b/>
            <w:bCs/>
            <w:spacing w:val="-4"/>
          </w:rPr>
          <w:t>数字经济对中国经济增长的影响</w:t>
        </w:r>
        <w:r>
          <w:rPr>
            <w:rFonts w:ascii="YouYuan" w:hAnsi="YouYuan" w:eastAsia="YouYuan" w:cs="YouYuan"/>
            <w:sz w:val="16"/>
            <w:szCs w:val="16"/>
            <w:spacing w:val="-5"/>
          </w:rPr>
          <w:t xml:space="preserve">                  </w:t>
        </w:r>
        <w:hyperlink w:history="true" w:anchor="bookmark21">
          <w:r>
            <w:rPr>
              <w:rFonts w:ascii="SimSun" w:hAnsi="SimSun" w:eastAsia="SimSun" w:cs="SimSun"/>
              <w:sz w:val="11"/>
              <w:szCs w:val="11"/>
              <w:spacing w:val="-5"/>
              <w:position w:val="-1"/>
            </w:rPr>
            <w:t>109</w:t>
          </w:r>
        </w:hyperlink>
      </w:p>
    </w:sdtContent>
  </w:sdt>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6" w:lineRule="auto"/>
      <w:rPr>
        <w:rFonts w:ascii="SimHei" w:hAnsi="SimHei" w:eastAsia="SimHei" w:cs="SimHei"/>
        <w:sz w:val="16"/>
        <w:szCs w:val="16"/>
      </w:rPr>
    </w:pPr>
    <w:r>
      <w:rPr>
        <w:rFonts w:ascii="SimSun" w:hAnsi="SimSun" w:eastAsia="SimSun" w:cs="SimSun"/>
        <w:sz w:val="13"/>
        <w:szCs w:val="13"/>
        <w:spacing w:val="-8"/>
        <w:position w:val="-3"/>
      </w:rPr>
      <w:t>110</w:t>
    </w:r>
    <w:r>
      <w:rPr>
        <w:rFonts w:ascii="SimSun" w:hAnsi="SimSun" w:eastAsia="SimSun" w:cs="SimSun"/>
        <w:sz w:val="13"/>
        <w:szCs w:val="13"/>
        <w:spacing w:val="1"/>
        <w:position w:val="-3"/>
      </w:rPr>
      <w:t xml:space="preserve">                          </w:t>
    </w:r>
    <w:r>
      <w:rPr>
        <w:rFonts w:ascii="SimHei" w:hAnsi="SimHei" w:eastAsia="SimHei" w:cs="SimHei"/>
        <w:sz w:val="16"/>
        <w:szCs w:val="16"/>
        <w:b/>
        <w:bCs/>
        <w:spacing w:val="-8"/>
      </w:rPr>
      <w:t>平台经济——创新、治理与繁荣</w:t>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rPr>
        <w:rFonts w:ascii="SimHei" w:hAnsi="SimHei" w:eastAsia="SimHei" w:cs="SimHei"/>
        <w:sz w:val="16"/>
        <w:szCs w:val="16"/>
      </w:rPr>
    </w:pPr>
    <w:r>
      <w:rPr>
        <w:rFonts w:ascii="SimSun" w:hAnsi="SimSun" w:eastAsia="SimSun" w:cs="SimSun"/>
        <w:sz w:val="12"/>
        <w:szCs w:val="12"/>
        <w:spacing w:val="-3"/>
        <w:position w:val="-2"/>
      </w:rPr>
      <w:t>116                              </w:t>
    </w:r>
    <w:r>
      <w:rPr>
        <w:rFonts w:ascii="SimHei" w:hAnsi="SimHei" w:eastAsia="SimHei" w:cs="SimHei"/>
        <w:sz w:val="16"/>
        <w:szCs w:val="16"/>
        <w:spacing w:val="-3"/>
      </w:rPr>
      <w:t>平台经济——创新、治理与繁荣</w:t>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737"/>
          <w:spacing w:line="175" w:lineRule="auto"/>
          <w:rPr>
            <w:rFonts w:ascii="SimSun" w:hAnsi="SimSun" w:eastAsia="SimSun" w:cs="SimSun"/>
            <w:sz w:val="13"/>
            <w:szCs w:val="13"/>
          </w:rPr>
        </w:pPr>
        <w:r>
          <w:rPr>
            <w:rFonts w:ascii="SimHei" w:hAnsi="SimHei" w:eastAsia="SimHei" w:cs="SimHei"/>
            <w:sz w:val="16"/>
            <w:szCs w:val="16"/>
            <w:b/>
            <w:bCs/>
            <w:spacing w:val="-7"/>
          </w:rPr>
          <w:t>第三章</w:t>
        </w:r>
        <w:r>
          <w:rPr>
            <w:rFonts w:ascii="SimHei" w:hAnsi="SimHei" w:eastAsia="SimHei" w:cs="SimHei"/>
            <w:sz w:val="16"/>
            <w:szCs w:val="16"/>
            <w:spacing w:val="-7"/>
          </w:rPr>
          <w:t xml:space="preserve">  </w:t>
        </w:r>
        <w:r>
          <w:rPr>
            <w:rFonts w:ascii="SimHei" w:hAnsi="SimHei" w:eastAsia="SimHei" w:cs="SimHei"/>
            <w:sz w:val="16"/>
            <w:szCs w:val="16"/>
            <w:b/>
            <w:bCs/>
            <w:spacing w:val="-7"/>
          </w:rPr>
          <w:t>平台经济与平台企业的中美比较</w:t>
        </w:r>
        <w:r>
          <w:rPr>
            <w:rFonts w:ascii="SimHei" w:hAnsi="SimHei" w:eastAsia="SimHei" w:cs="SimHei"/>
            <w:sz w:val="16"/>
            <w:szCs w:val="16"/>
          </w:rPr>
          <w:t xml:space="preserve">                 </w:t>
        </w:r>
        <w:hyperlink w:history="true" w:anchor="bookmark22">
          <w:r>
            <w:rPr>
              <w:rFonts w:ascii="SimSun" w:hAnsi="SimSun" w:eastAsia="SimSun" w:cs="SimSun"/>
              <w:sz w:val="13"/>
              <w:szCs w:val="13"/>
              <w:spacing w:val="-7"/>
            </w:rPr>
            <w:t>117</w:t>
          </w:r>
        </w:hyperlink>
      </w:p>
    </w:sdtContent>
  </w:sdt>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3"/>
        <w:position w:val="-3"/>
      </w:rPr>
      <w:t>118                              </w:t>
    </w:r>
    <w:r>
      <w:rPr>
        <w:rFonts w:ascii="SimHei" w:hAnsi="SimHei" w:eastAsia="SimHei" w:cs="SimHei"/>
        <w:sz w:val="16"/>
        <w:szCs w:val="16"/>
        <w:b/>
        <w:bCs/>
        <w:spacing w:val="-3"/>
      </w:rPr>
      <w:t>平台经济——创新、治理与</w:t>
    </w:r>
    <w:r>
      <w:rPr>
        <w:rFonts w:ascii="SimHei" w:hAnsi="SimHei" w:eastAsia="SimHei" w:cs="SimHei"/>
        <w:sz w:val="16"/>
        <w:szCs w:val="16"/>
        <w:b/>
        <w:bCs/>
        <w:spacing w:val="-4"/>
      </w:rPr>
      <w:t>繁荣</w:t>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4"/>
        <w:szCs w:val="14"/>
      </w:rPr>
      <w:docPartObj>
        <w:docPartGallery w:val="Table of Contents"/>
        <w:docPartUnique/>
      </w:docPartObj>
    </w:sdtPr>
    <w:sdtEndPr>
      <w:rPr>
        <w:rFonts w:ascii="SimSun" w:hAnsi="SimSun" w:eastAsia="SimSun" w:cs="SimSun"/>
        <w:sz w:val="10"/>
        <w:szCs w:val="10"/>
      </w:rPr>
    </w:sdtEndPr>
    <w:sdtContent>
      <w:p>
        <w:pPr>
          <w:ind w:left="1611"/>
          <w:spacing w:line="169" w:lineRule="auto"/>
          <w:rPr>
            <w:rFonts w:ascii="SimSun" w:hAnsi="SimSun" w:eastAsia="SimSun" w:cs="SimSun"/>
            <w:sz w:val="10"/>
            <w:szCs w:val="10"/>
          </w:rPr>
        </w:pPr>
        <w:r>
          <w:rPr>
            <w:rFonts w:ascii="YouYuan" w:hAnsi="YouYuan" w:eastAsia="YouYuan" w:cs="YouYuan"/>
            <w:sz w:val="14"/>
            <w:szCs w:val="14"/>
            <w:b/>
            <w:bCs/>
            <w:spacing w:val="8"/>
          </w:rPr>
          <w:t>第三章</w:t>
        </w:r>
        <w:r>
          <w:rPr>
            <w:rFonts w:ascii="YouYuan" w:hAnsi="YouYuan" w:eastAsia="YouYuan" w:cs="YouYuan"/>
            <w:sz w:val="14"/>
            <w:szCs w:val="14"/>
            <w:spacing w:val="22"/>
            <w:w w:val="101"/>
          </w:rPr>
          <w:t xml:space="preserve">  </w:t>
        </w:r>
        <w:r>
          <w:rPr>
            <w:rFonts w:ascii="YouYuan" w:hAnsi="YouYuan" w:eastAsia="YouYuan" w:cs="YouYuan"/>
            <w:sz w:val="14"/>
            <w:szCs w:val="14"/>
            <w:b/>
            <w:bCs/>
            <w:spacing w:val="8"/>
          </w:rPr>
          <w:t>平台经济与平台企业的中美比较</w:t>
        </w:r>
        <w:r>
          <w:rPr>
            <w:rFonts w:ascii="YouYuan" w:hAnsi="YouYuan" w:eastAsia="YouYuan" w:cs="YouYuan"/>
            <w:sz w:val="14"/>
            <w:szCs w:val="14"/>
            <w:spacing w:val="3"/>
          </w:rPr>
          <w:t xml:space="preserve">                   </w:t>
        </w:r>
        <w:hyperlink w:history="true" w:anchor="bookmark23">
          <w:r>
            <w:rPr>
              <w:rFonts w:ascii="SimSun" w:hAnsi="SimSun" w:eastAsia="SimSun" w:cs="SimSun"/>
              <w:sz w:val="10"/>
              <w:szCs w:val="10"/>
              <w:spacing w:val="8"/>
              <w:position w:val="-3"/>
            </w:rPr>
            <w:t>119</w:t>
          </w:r>
        </w:hyperlink>
      </w:p>
    </w:sdtContent>
  </w:sdt>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Hei" w:hAnsi="SimHei" w:eastAsia="SimHei" w:cs="SimHei"/>
        <w:sz w:val="16"/>
        <w:szCs w:val="16"/>
      </w:rPr>
    </w:pPr>
    <w:r>
      <w:rPr>
        <w:rFonts w:ascii="SimSun" w:hAnsi="SimSun" w:eastAsia="SimSun" w:cs="SimSun"/>
        <w:sz w:val="12"/>
        <w:szCs w:val="12"/>
        <w:spacing w:val="-4"/>
        <w:position w:val="-2"/>
      </w:rPr>
      <w:t>010                               </w:t>
    </w:r>
    <w:r>
      <w:rPr>
        <w:rFonts w:ascii="SimHei" w:hAnsi="SimHei" w:eastAsia="SimHei" w:cs="SimHei"/>
        <w:sz w:val="16"/>
        <w:szCs w:val="16"/>
        <w:b/>
        <w:bCs/>
        <w:spacing w:val="-4"/>
      </w:rPr>
      <w:t>平台经济—</w:t>
    </w:r>
    <w:r>
      <w:rPr>
        <w:rFonts w:ascii="SimHei" w:hAnsi="SimHei" w:eastAsia="SimHei" w:cs="SimHei"/>
        <w:sz w:val="16"/>
        <w:szCs w:val="16"/>
        <w:b/>
        <w:bCs/>
        <w:spacing w:val="-5"/>
      </w:rPr>
      <w:t>—创新、治理与繁荣</w:t>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6"/>
        <w:szCs w:val="16"/>
      </w:rPr>
    </w:pPr>
    <w:r>
      <w:rPr>
        <w:rFonts w:ascii="SimSun" w:hAnsi="SimSun" w:eastAsia="SimSun" w:cs="SimSun"/>
        <w:sz w:val="12"/>
        <w:szCs w:val="12"/>
        <w:spacing w:val="-4"/>
      </w:rPr>
      <w:t>120                </w:t>
    </w:r>
    <w:r>
      <w:rPr>
        <w:rFonts w:ascii="SimSun" w:hAnsi="SimSun" w:eastAsia="SimSun" w:cs="SimSun"/>
        <w:sz w:val="12"/>
        <w:szCs w:val="12"/>
        <w:spacing w:val="-5"/>
      </w:rPr>
      <w:t xml:space="preserve">               </w:t>
    </w:r>
    <w:r>
      <w:rPr>
        <w:rFonts w:ascii="SimHei" w:hAnsi="SimHei" w:eastAsia="SimHei" w:cs="SimHei"/>
        <w:sz w:val="16"/>
        <w:szCs w:val="16"/>
        <w:b/>
        <w:bCs/>
        <w:spacing w:val="-5"/>
      </w:rPr>
      <w:t>平台经济——创新、治理与繁荣</w:t>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1"/>
        <w:szCs w:val="11"/>
      </w:rPr>
    </w:sdtEndPr>
    <w:sdtContent>
      <w:p>
        <w:pPr>
          <w:ind w:left="1612"/>
          <w:spacing w:line="182" w:lineRule="auto"/>
          <w:rPr>
            <w:rFonts w:ascii="SimSun" w:hAnsi="SimSun" w:eastAsia="SimSun" w:cs="SimSun"/>
            <w:sz w:val="11"/>
            <w:szCs w:val="11"/>
          </w:rPr>
        </w:pPr>
        <w:r>
          <w:rPr>
            <w:rFonts w:ascii="YouYuan" w:hAnsi="YouYuan" w:eastAsia="YouYuan" w:cs="YouYuan"/>
            <w:sz w:val="16"/>
            <w:szCs w:val="16"/>
            <w:b/>
            <w:bCs/>
            <w:spacing w:val="-7"/>
          </w:rPr>
          <w:t>第三章</w:t>
        </w:r>
        <w:r>
          <w:rPr>
            <w:rFonts w:ascii="YouYuan" w:hAnsi="YouYuan" w:eastAsia="YouYuan" w:cs="YouYuan"/>
            <w:sz w:val="16"/>
            <w:szCs w:val="16"/>
            <w:spacing w:val="61"/>
          </w:rPr>
          <w:t xml:space="preserve"> </w:t>
        </w:r>
        <w:r>
          <w:rPr>
            <w:rFonts w:ascii="YouYuan" w:hAnsi="YouYuan" w:eastAsia="YouYuan" w:cs="YouYuan"/>
            <w:sz w:val="16"/>
            <w:szCs w:val="16"/>
            <w:b/>
            <w:bCs/>
            <w:spacing w:val="-7"/>
          </w:rPr>
          <w:t>平台经济与平台企业的中美比较</w:t>
        </w:r>
        <w:r>
          <w:rPr>
            <w:rFonts w:ascii="YouYuan" w:hAnsi="YouYuan" w:eastAsia="YouYuan" w:cs="YouYuan"/>
            <w:sz w:val="16"/>
            <w:szCs w:val="16"/>
            <w:spacing w:val="1"/>
          </w:rPr>
          <w:t xml:space="preserve">                 </w:t>
        </w:r>
        <w:hyperlink w:history="true" w:anchor="bookmark24">
          <w:r>
            <w:rPr>
              <w:rFonts w:ascii="SimSun" w:hAnsi="SimSun" w:eastAsia="SimSun" w:cs="SimSun"/>
              <w:sz w:val="11"/>
              <w:szCs w:val="11"/>
              <w:spacing w:val="-7"/>
              <w:position w:val="-2"/>
            </w:rPr>
            <w:t>121</w:t>
          </w:r>
        </w:hyperlink>
      </w:p>
    </w:sdtContent>
  </w:sdt>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3" w:lineRule="auto"/>
      <w:rPr>
        <w:rFonts w:ascii="SimHei" w:hAnsi="SimHei" w:eastAsia="SimHei" w:cs="SimHei"/>
        <w:sz w:val="16"/>
        <w:szCs w:val="16"/>
      </w:rPr>
    </w:pPr>
    <w:r>
      <w:rPr>
        <w:rFonts w:ascii="SimSun" w:hAnsi="SimSun" w:eastAsia="SimSun" w:cs="SimSun"/>
        <w:sz w:val="13"/>
        <w:szCs w:val="13"/>
        <w:spacing w:val="-4"/>
        <w:position w:val="-2"/>
      </w:rPr>
      <w:t>122                            </w:t>
    </w:r>
    <w:r>
      <w:rPr>
        <w:rFonts w:ascii="SimHei" w:hAnsi="SimHei" w:eastAsia="SimHei" w:cs="SimHei"/>
        <w:sz w:val="16"/>
        <w:szCs w:val="16"/>
        <w:spacing w:val="-4"/>
      </w:rPr>
      <w:t>平台经济——创新、治理与繁荣</w:t>
    </w:r>
  </w:p>
</w:hdr>
</file>

<file path=word/header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3"/>
        <w:szCs w:val="13"/>
      </w:rPr>
    </w:sdtEndPr>
    <w:sdtContent>
      <w:p>
        <w:pPr>
          <w:ind w:left="1622"/>
          <w:spacing w:line="174" w:lineRule="auto"/>
          <w:rPr>
            <w:rFonts w:ascii="SimSun" w:hAnsi="SimSun" w:eastAsia="SimSun" w:cs="SimSun"/>
            <w:sz w:val="13"/>
            <w:szCs w:val="13"/>
          </w:rPr>
        </w:pPr>
        <w:r>
          <w:rPr>
            <w:rFonts w:ascii="SimHei" w:hAnsi="SimHei" w:eastAsia="SimHei" w:cs="SimHei"/>
            <w:sz w:val="16"/>
            <w:szCs w:val="16"/>
            <w:b/>
            <w:bCs/>
            <w:spacing w:val="-5"/>
          </w:rPr>
          <w:t>第三章</w:t>
        </w:r>
        <w:r>
          <w:rPr>
            <w:rFonts w:ascii="SimHei" w:hAnsi="SimHei" w:eastAsia="SimHei" w:cs="SimHei"/>
            <w:sz w:val="16"/>
            <w:szCs w:val="16"/>
            <w:spacing w:val="-5"/>
          </w:rPr>
          <w:t xml:space="preserve">  </w:t>
        </w:r>
        <w:r>
          <w:rPr>
            <w:rFonts w:ascii="SimHei" w:hAnsi="SimHei" w:eastAsia="SimHei" w:cs="SimHei"/>
            <w:sz w:val="16"/>
            <w:szCs w:val="16"/>
            <w:b/>
            <w:bCs/>
            <w:spacing w:val="-5"/>
          </w:rPr>
          <w:t>平台经济与平台企业的中美比较</w:t>
        </w:r>
        <w:r>
          <w:rPr>
            <w:rFonts w:ascii="SimHei" w:hAnsi="SimHei" w:eastAsia="SimHei" w:cs="SimHei"/>
            <w:sz w:val="16"/>
            <w:szCs w:val="16"/>
            <w:spacing w:val="-5"/>
          </w:rPr>
          <w:t xml:space="preserve">         </w:t>
        </w:r>
        <w:r>
          <w:rPr>
            <w:rFonts w:ascii="SimHei" w:hAnsi="SimHei" w:eastAsia="SimHei" w:cs="SimHei"/>
            <w:sz w:val="16"/>
            <w:szCs w:val="16"/>
            <w:spacing w:val="-6"/>
          </w:rPr>
          <w:t xml:space="preserve">         </w:t>
        </w:r>
        <w:hyperlink w:history="true" w:anchor="bookmark25">
          <w:r>
            <w:rPr>
              <w:rFonts w:ascii="SimSun" w:hAnsi="SimSun" w:eastAsia="SimSun" w:cs="SimSun"/>
              <w:sz w:val="13"/>
              <w:szCs w:val="13"/>
              <w:spacing w:val="-6"/>
              <w:position w:val="-1"/>
            </w:rPr>
            <w:t>123</w:t>
          </w:r>
        </w:hyperlink>
      </w:p>
    </w:sdtContent>
  </w:sdt>
</w:hdr>
</file>

<file path=word/header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3" w:lineRule="auto"/>
      <w:rPr>
        <w:rFonts w:ascii="SimHei" w:hAnsi="SimHei" w:eastAsia="SimHei" w:cs="SimHei"/>
        <w:sz w:val="16"/>
        <w:szCs w:val="16"/>
      </w:rPr>
    </w:pPr>
    <w:r>
      <w:rPr>
        <w:rFonts w:ascii="SimSun" w:hAnsi="SimSun" w:eastAsia="SimSun" w:cs="SimSun"/>
        <w:sz w:val="13"/>
        <w:szCs w:val="13"/>
        <w:spacing w:val="-3"/>
        <w:position w:val="-2"/>
      </w:rPr>
      <w:t>124                            </w:t>
    </w:r>
    <w:r>
      <w:rPr>
        <w:rFonts w:ascii="SimHei" w:hAnsi="SimHei" w:eastAsia="SimHei" w:cs="SimHei"/>
        <w:sz w:val="16"/>
        <w:szCs w:val="16"/>
        <w:spacing w:val="-3"/>
      </w:rPr>
      <w:t>平台经济——</w:t>
    </w:r>
    <w:r>
      <w:rPr>
        <w:rFonts w:ascii="SimHei" w:hAnsi="SimHei" w:eastAsia="SimHei" w:cs="SimHei"/>
        <w:sz w:val="16"/>
        <w:szCs w:val="16"/>
        <w:spacing w:val="-4"/>
      </w:rPr>
      <w:t>创新、治理与繁荣</w:t>
    </w:r>
  </w:p>
</w:hdr>
</file>

<file path=word/header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SimHei" w:hAnsi="SimHei" w:eastAsia="SimHei" w:cs="SimHei"/>
        <w:sz w:val="16"/>
        <w:szCs w:val="16"/>
      </w:rPr>
      <w:docPartObj>
        <w:docPartGallery w:val="Table of Contents"/>
        <w:docPartUnique/>
      </w:docPartObj>
    </w:sdtPr>
    <w:sdtEndPr>
      <w:rPr>
        <w:rFonts w:ascii="SimSun" w:hAnsi="SimSun" w:eastAsia="SimSun" w:cs="SimSun"/>
        <w:sz w:val="12"/>
        <w:szCs w:val="12"/>
      </w:rPr>
    </w:sdtEndPr>
    <w:sdtContent>
      <w:p>
        <w:pPr>
          <w:ind w:left="1622"/>
          <w:spacing w:line="170" w:lineRule="auto"/>
          <w:rPr>
            <w:rFonts w:ascii="SimSun" w:hAnsi="SimSun" w:eastAsia="SimSun" w:cs="SimSun"/>
            <w:sz w:val="12"/>
            <w:szCs w:val="12"/>
          </w:rPr>
        </w:pPr>
        <w:r>
          <w:rPr>
            <w:rFonts w:ascii="SimHei" w:hAnsi="SimHei" w:eastAsia="SimHei" w:cs="SimHei"/>
            <w:sz w:val="16"/>
            <w:szCs w:val="16"/>
            <w:b/>
            <w:bCs/>
            <w:spacing w:val="-6"/>
          </w:rPr>
          <w:t>第三章</w:t>
        </w:r>
        <w:r>
          <w:rPr>
            <w:rFonts w:ascii="SimHei" w:hAnsi="SimHei" w:eastAsia="SimHei" w:cs="SimHei"/>
            <w:sz w:val="16"/>
            <w:szCs w:val="16"/>
            <w:spacing w:val="51"/>
          </w:rPr>
          <w:t xml:space="preserve"> </w:t>
        </w:r>
        <w:r>
          <w:rPr>
            <w:rFonts w:ascii="SimHei" w:hAnsi="SimHei" w:eastAsia="SimHei" w:cs="SimHei"/>
            <w:sz w:val="16"/>
            <w:szCs w:val="16"/>
            <w:b/>
            <w:bCs/>
            <w:spacing w:val="-6"/>
          </w:rPr>
          <w:t>平台经济与平台企业的中美比较</w:t>
        </w:r>
        <w:r>
          <w:rPr>
            <w:rFonts w:ascii="SimHei" w:hAnsi="SimHei" w:eastAsia="SimHei" w:cs="SimHei"/>
            <w:sz w:val="16"/>
            <w:szCs w:val="16"/>
          </w:rPr>
          <w:t xml:space="preserve">                 </w:t>
        </w:r>
        <w:hyperlink w:history="true" w:anchor="bookmark26">
          <w:r>
            <w:rPr>
              <w:rFonts w:ascii="SimSun" w:hAnsi="SimSun" w:eastAsia="SimSun" w:cs="SimSun"/>
              <w:sz w:val="12"/>
              <w:szCs w:val="12"/>
              <w:spacing w:val="-6"/>
              <w:position w:val="-2"/>
            </w:rPr>
            <w:t>125</w:t>
          </w:r>
        </w:hyperlink>
      </w:p>
    </w:sdtContent>
  </w:sdt>
</w:hdr>
</file>

<file path=word/header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4" w:lineRule="auto"/>
      <w:rPr>
        <w:rFonts w:ascii="SimHei" w:hAnsi="SimHei" w:eastAsia="SimHei" w:cs="SimHei"/>
        <w:sz w:val="16"/>
        <w:szCs w:val="16"/>
      </w:rPr>
    </w:pPr>
    <w:r>
      <w:rPr>
        <w:rFonts w:ascii="SimSun" w:hAnsi="SimSun" w:eastAsia="SimSun" w:cs="SimSun"/>
        <w:sz w:val="13"/>
        <w:szCs w:val="13"/>
        <w:spacing w:val="-4"/>
        <w:position w:val="-1"/>
      </w:rPr>
      <w:t>126                            </w:t>
    </w:r>
    <w:r>
      <w:rPr>
        <w:rFonts w:ascii="SimHei" w:hAnsi="SimHei" w:eastAsia="SimHei" w:cs="SimHei"/>
        <w:sz w:val="16"/>
        <w:szCs w:val="16"/>
        <w:spacing w:val="-4"/>
      </w:rPr>
      <w:t>平台经济——创新、治理与繁荣</w:t>
    </w:r>
  </w:p>
</w:hdr>
</file>

<file path=word/header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22"/>
          <w:spacing w:line="171" w:lineRule="auto"/>
          <w:rPr>
            <w:rFonts w:ascii="SimSun" w:hAnsi="SimSun" w:eastAsia="SimSun" w:cs="SimSun"/>
            <w:sz w:val="12"/>
            <w:szCs w:val="12"/>
          </w:rPr>
        </w:pPr>
        <w:r>
          <w:rPr>
            <w:rFonts w:ascii="YouYuan" w:hAnsi="YouYuan" w:eastAsia="YouYuan" w:cs="YouYuan"/>
            <w:sz w:val="16"/>
            <w:szCs w:val="16"/>
            <w:b/>
            <w:bCs/>
            <w:spacing w:val="-5"/>
          </w:rPr>
          <w:t>第三章</w:t>
        </w:r>
        <w:r>
          <w:rPr>
            <w:rFonts w:ascii="YouYuan" w:hAnsi="YouYuan" w:eastAsia="YouYuan" w:cs="YouYuan"/>
            <w:sz w:val="16"/>
            <w:szCs w:val="16"/>
            <w:spacing w:val="-5"/>
          </w:rPr>
          <w:t xml:space="preserve">  </w:t>
        </w:r>
        <w:r>
          <w:rPr>
            <w:rFonts w:ascii="YouYuan" w:hAnsi="YouYuan" w:eastAsia="YouYuan" w:cs="YouYuan"/>
            <w:sz w:val="16"/>
            <w:szCs w:val="16"/>
            <w:b/>
            <w:bCs/>
            <w:spacing w:val="-5"/>
          </w:rPr>
          <w:t>平台经济与平台企业的中美比较</w:t>
        </w:r>
        <w:r>
          <w:rPr>
            <w:rFonts w:ascii="YouYuan" w:hAnsi="YouYuan" w:eastAsia="YouYuan" w:cs="YouYuan"/>
            <w:sz w:val="16"/>
            <w:szCs w:val="16"/>
            <w:spacing w:val="-5"/>
          </w:rPr>
          <w:t xml:space="preserve">                  </w:t>
        </w:r>
        <w:hyperlink w:history="true" w:anchor="bookmark27">
          <w:r>
            <w:rPr>
              <w:rFonts w:ascii="SimSun" w:hAnsi="SimSun" w:eastAsia="SimSun" w:cs="SimSun"/>
              <w:sz w:val="12"/>
              <w:szCs w:val="12"/>
              <w:spacing w:val="-5"/>
              <w:position w:val="-3"/>
            </w:rPr>
            <w:t>127</w:t>
          </w:r>
        </w:hyperlink>
      </w:p>
    </w:sdtContent>
  </w:sdt>
</w:hdr>
</file>

<file path=word/header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
      <w:spacing w:line="169" w:lineRule="auto"/>
      <w:rPr>
        <w:rFonts w:ascii="SimHei" w:hAnsi="SimHei" w:eastAsia="SimHei" w:cs="SimHei"/>
        <w:sz w:val="16"/>
        <w:szCs w:val="16"/>
      </w:rPr>
    </w:pPr>
    <w:r>
      <w:rPr>
        <w:rFonts w:ascii="SimSun" w:hAnsi="SimSun" w:eastAsia="SimSun" w:cs="SimSun"/>
        <w:sz w:val="12"/>
        <w:szCs w:val="12"/>
        <w:b/>
        <w:bCs/>
        <w:spacing w:val="-8"/>
        <w:position w:val="-2"/>
      </w:rPr>
      <w:t>128</w:t>
    </w:r>
    <w:r>
      <w:rPr>
        <w:rFonts w:ascii="SimSun" w:hAnsi="SimSun" w:eastAsia="SimSun" w:cs="SimSun"/>
        <w:sz w:val="12"/>
        <w:szCs w:val="12"/>
        <w:spacing w:val="1"/>
        <w:position w:val="-2"/>
      </w:rPr>
      <w:t xml:space="preserve">                           </w:t>
    </w:r>
    <w:r>
      <w:rPr>
        <w:rFonts w:ascii="SimSun" w:hAnsi="SimSun" w:eastAsia="SimSun" w:cs="SimSun"/>
        <w:sz w:val="12"/>
        <w:szCs w:val="12"/>
        <w:position w:val="-2"/>
      </w:rPr>
      <w:t xml:space="preserve">  </w:t>
    </w:r>
    <w:r>
      <w:rPr>
        <w:rFonts w:ascii="SimHei" w:hAnsi="SimHei" w:eastAsia="SimHei" w:cs="SimHei"/>
        <w:sz w:val="16"/>
        <w:szCs w:val="16"/>
        <w:b/>
        <w:bCs/>
        <w:spacing w:val="-8"/>
      </w:rPr>
      <w:t>平台经济——创新、治理与繁荣</w:t>
    </w:r>
  </w:p>
</w:hdr>
</file>

<file path=word/header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sdt>
    <w:sdtPr>
      <w:rPr>
        <w:rFonts w:ascii="YouYuan" w:hAnsi="YouYuan" w:eastAsia="YouYuan" w:cs="YouYuan"/>
        <w:sz w:val="16"/>
        <w:szCs w:val="16"/>
      </w:rPr>
      <w:docPartObj>
        <w:docPartGallery w:val="Table of Contents"/>
        <w:docPartUnique/>
      </w:docPartObj>
    </w:sdtPr>
    <w:sdtEndPr>
      <w:rPr>
        <w:rFonts w:ascii="SimSun" w:hAnsi="SimSun" w:eastAsia="SimSun" w:cs="SimSun"/>
        <w:sz w:val="12"/>
        <w:szCs w:val="12"/>
      </w:rPr>
    </w:sdtEndPr>
    <w:sdtContent>
      <w:p>
        <w:pPr>
          <w:ind w:left="1632"/>
          <w:spacing w:line="179" w:lineRule="auto"/>
          <w:rPr>
            <w:rFonts w:ascii="SimSun" w:hAnsi="SimSun" w:eastAsia="SimSun" w:cs="SimSun"/>
            <w:sz w:val="12"/>
            <w:szCs w:val="12"/>
          </w:rPr>
        </w:pPr>
        <w:r>
          <w:rPr>
            <w:rFonts w:ascii="YouYuan" w:hAnsi="YouYuan" w:eastAsia="YouYuan" w:cs="YouYuan"/>
            <w:sz w:val="16"/>
            <w:szCs w:val="16"/>
            <w:b/>
            <w:bCs/>
            <w:spacing w:val="-5"/>
          </w:rPr>
          <w:t>第三章</w:t>
        </w:r>
        <w:r>
          <w:rPr>
            <w:rFonts w:ascii="YouYuan" w:hAnsi="YouYuan" w:eastAsia="YouYuan" w:cs="YouYuan"/>
            <w:sz w:val="16"/>
            <w:szCs w:val="16"/>
            <w:spacing w:val="-5"/>
          </w:rPr>
          <w:t xml:space="preserve">  </w:t>
        </w:r>
        <w:r>
          <w:rPr>
            <w:rFonts w:ascii="YouYuan" w:hAnsi="YouYuan" w:eastAsia="YouYuan" w:cs="YouYuan"/>
            <w:sz w:val="16"/>
            <w:szCs w:val="16"/>
            <w:b/>
            <w:bCs/>
            <w:spacing w:val="-5"/>
          </w:rPr>
          <w:t>平台经济与平台企业的中美比较</w:t>
        </w:r>
        <w:r>
          <w:rPr>
            <w:rFonts w:ascii="YouYuan" w:hAnsi="YouYuan" w:eastAsia="YouYuan" w:cs="YouYuan"/>
            <w:sz w:val="16"/>
            <w:szCs w:val="16"/>
            <w:spacing w:val="-5"/>
          </w:rPr>
          <w:t xml:space="preserve">          </w:t>
        </w:r>
        <w:r>
          <w:rPr>
            <w:rFonts w:ascii="YouYuan" w:hAnsi="YouYuan" w:eastAsia="YouYuan" w:cs="YouYuan"/>
            <w:sz w:val="16"/>
            <w:szCs w:val="16"/>
            <w:spacing w:val="-6"/>
          </w:rPr>
          <w:t xml:space="preserve">        </w:t>
        </w:r>
        <w:hyperlink w:history="true" w:anchor="bookmark28">
          <w:r>
            <w:rPr>
              <w:rFonts w:ascii="SimSun" w:hAnsi="SimSun" w:eastAsia="SimSun" w:cs="SimSun"/>
              <w:sz w:val="12"/>
              <w:szCs w:val="12"/>
              <w:spacing w:val="-6"/>
              <w:position w:val="-2"/>
            </w:rPr>
            <w:t>129</w:t>
          </w:r>
        </w:hyperlink>
      </w:p>
    </w:sdtContent>
  </w:sdt>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3.jpeg"/><Relationship Id="rId98" Type="http://schemas.openxmlformats.org/officeDocument/2006/relationships/image" Target="media/image42.jpeg"/><Relationship Id="rId97" Type="http://schemas.openxmlformats.org/officeDocument/2006/relationships/image" Target="media/image41.jpeg"/><Relationship Id="rId96" Type="http://schemas.openxmlformats.org/officeDocument/2006/relationships/image" Target="media/image40.jpeg"/><Relationship Id="rId95" Type="http://schemas.openxmlformats.org/officeDocument/2006/relationships/image" Target="media/image39.png"/><Relationship Id="rId94" Type="http://schemas.openxmlformats.org/officeDocument/2006/relationships/image" Target="media/image38.jpeg"/><Relationship Id="rId93" Type="http://schemas.openxmlformats.org/officeDocument/2006/relationships/image" Target="media/image37.png"/><Relationship Id="rId92" Type="http://schemas.openxmlformats.org/officeDocument/2006/relationships/header" Target="header54.xml"/><Relationship Id="rId91" Type="http://schemas.openxmlformats.org/officeDocument/2006/relationships/image" Target="media/image36.png"/><Relationship Id="rId90" Type="http://schemas.openxmlformats.org/officeDocument/2006/relationships/header" Target="header53.xml"/><Relationship Id="rId9" Type="http://schemas.openxmlformats.org/officeDocument/2006/relationships/image" Target="media/image7.jpeg"/><Relationship Id="rId89" Type="http://schemas.openxmlformats.org/officeDocument/2006/relationships/header" Target="header52.xml"/><Relationship Id="rId88" Type="http://schemas.openxmlformats.org/officeDocument/2006/relationships/image" Target="media/image35.png"/><Relationship Id="rId87" Type="http://schemas.openxmlformats.org/officeDocument/2006/relationships/header" Target="header51.xml"/><Relationship Id="rId86" Type="http://schemas.openxmlformats.org/officeDocument/2006/relationships/header" Target="header50.xml"/><Relationship Id="rId85" Type="http://schemas.openxmlformats.org/officeDocument/2006/relationships/header" Target="header49.xml"/><Relationship Id="rId84" Type="http://schemas.openxmlformats.org/officeDocument/2006/relationships/header" Target="header48.xml"/><Relationship Id="rId83" Type="http://schemas.openxmlformats.org/officeDocument/2006/relationships/hyperlink" Target="https://www.oecd.org/sti/roadmap" TargetMode="External"/><Relationship Id="rId82" Type="http://schemas.openxmlformats.org/officeDocument/2006/relationships/header" Target="header47.xml"/><Relationship Id="rId81" Type="http://schemas.openxmlformats.org/officeDocument/2006/relationships/image" Target="media/image34.jpeg"/><Relationship Id="rId80" Type="http://schemas.openxmlformats.org/officeDocument/2006/relationships/image" Target="media/image33.png"/><Relationship Id="rId8" Type="http://schemas.openxmlformats.org/officeDocument/2006/relationships/image" Target="media/image6.jpeg"/><Relationship Id="rId79" Type="http://schemas.openxmlformats.org/officeDocument/2006/relationships/image" Target="media/image32.jpeg"/><Relationship Id="rId78" Type="http://schemas.openxmlformats.org/officeDocument/2006/relationships/image" Target="media/image31.png"/><Relationship Id="rId77" Type="http://schemas.openxmlformats.org/officeDocument/2006/relationships/header" Target="header46.xml"/><Relationship Id="rId76" Type="http://schemas.openxmlformats.org/officeDocument/2006/relationships/header" Target="header45.xml"/><Relationship Id="rId75" Type="http://schemas.openxmlformats.org/officeDocument/2006/relationships/header" Target="header44.xml"/><Relationship Id="rId74" Type="http://schemas.openxmlformats.org/officeDocument/2006/relationships/header" Target="header43.xml"/><Relationship Id="rId73" Type="http://schemas.openxmlformats.org/officeDocument/2006/relationships/header" Target="header42.xml"/><Relationship Id="rId72" Type="http://schemas.openxmlformats.org/officeDocument/2006/relationships/header" Target="header41.xml"/><Relationship Id="rId71" Type="http://schemas.openxmlformats.org/officeDocument/2006/relationships/header" Target="header40.xml"/><Relationship Id="rId70" Type="http://schemas.openxmlformats.org/officeDocument/2006/relationships/header" Target="header39.xml"/><Relationship Id="rId7" Type="http://schemas.openxmlformats.org/officeDocument/2006/relationships/image" Target="media/image5.jpeg"/><Relationship Id="rId69" Type="http://schemas.openxmlformats.org/officeDocument/2006/relationships/header" Target="header38.xml"/><Relationship Id="rId68" Type="http://schemas.openxmlformats.org/officeDocument/2006/relationships/header" Target="header37.xml"/><Relationship Id="rId67" Type="http://schemas.openxmlformats.org/officeDocument/2006/relationships/header" Target="header36.xml"/><Relationship Id="rId66" Type="http://schemas.openxmlformats.org/officeDocument/2006/relationships/header" Target="header35.xml"/><Relationship Id="rId65" Type="http://schemas.openxmlformats.org/officeDocument/2006/relationships/header" Target="header34.xml"/><Relationship Id="rId64" Type="http://schemas.openxmlformats.org/officeDocument/2006/relationships/header" Target="header33.xml"/><Relationship Id="rId63" Type="http://schemas.openxmlformats.org/officeDocument/2006/relationships/header" Target="header32.xml"/><Relationship Id="rId62" Type="http://schemas.openxmlformats.org/officeDocument/2006/relationships/header" Target="header31.xml"/><Relationship Id="rId61" Type="http://schemas.openxmlformats.org/officeDocument/2006/relationships/image" Target="media/image30.png"/><Relationship Id="rId60" Type="http://schemas.openxmlformats.org/officeDocument/2006/relationships/header" Target="header30.xml"/><Relationship Id="rId6" Type="http://schemas.openxmlformats.org/officeDocument/2006/relationships/image" Target="media/image4.jpeg"/><Relationship Id="rId592" Type="http://schemas.openxmlformats.org/officeDocument/2006/relationships/fontTable" Target="fontTable.xml"/><Relationship Id="rId591" Type="http://schemas.openxmlformats.org/officeDocument/2006/relationships/styles" Target="styles.xml"/><Relationship Id="rId590" Type="http://schemas.openxmlformats.org/officeDocument/2006/relationships/settings" Target="settings.xml"/><Relationship Id="rId59" Type="http://schemas.openxmlformats.org/officeDocument/2006/relationships/image" Target="media/image29.png"/><Relationship Id="rId589" Type="http://schemas.openxmlformats.org/officeDocument/2006/relationships/image" Target="media/image199.jpeg"/><Relationship Id="rId588" Type="http://schemas.openxmlformats.org/officeDocument/2006/relationships/image" Target="media/image198.jpeg"/><Relationship Id="rId587" Type="http://schemas.openxmlformats.org/officeDocument/2006/relationships/image" Target="media/image197.png"/><Relationship Id="rId586" Type="http://schemas.openxmlformats.org/officeDocument/2006/relationships/header" Target="header375.xml"/><Relationship Id="rId585" Type="http://schemas.openxmlformats.org/officeDocument/2006/relationships/image" Target="media/image196.png"/><Relationship Id="rId584" Type="http://schemas.openxmlformats.org/officeDocument/2006/relationships/header" Target="header374.xml"/><Relationship Id="rId583" Type="http://schemas.openxmlformats.org/officeDocument/2006/relationships/image" Target="media/image195.png"/><Relationship Id="rId582" Type="http://schemas.openxmlformats.org/officeDocument/2006/relationships/header" Target="header373.xml"/><Relationship Id="rId581" Type="http://schemas.openxmlformats.org/officeDocument/2006/relationships/header" Target="header372.xml"/><Relationship Id="rId580" Type="http://schemas.openxmlformats.org/officeDocument/2006/relationships/header" Target="header371.xml"/><Relationship Id="rId58" Type="http://schemas.openxmlformats.org/officeDocument/2006/relationships/header" Target="header29.xml"/><Relationship Id="rId579" Type="http://schemas.openxmlformats.org/officeDocument/2006/relationships/image" Target="media/image194.png"/><Relationship Id="rId578" Type="http://schemas.openxmlformats.org/officeDocument/2006/relationships/header" Target="header370.xml"/><Relationship Id="rId577" Type="http://schemas.openxmlformats.org/officeDocument/2006/relationships/image" Target="media/image193.jpeg"/><Relationship Id="rId576" Type="http://schemas.openxmlformats.org/officeDocument/2006/relationships/header" Target="header369.xml"/><Relationship Id="rId575" Type="http://schemas.openxmlformats.org/officeDocument/2006/relationships/header" Target="header368.xml"/><Relationship Id="rId574" Type="http://schemas.openxmlformats.org/officeDocument/2006/relationships/header" Target="header367.xml"/><Relationship Id="rId573" Type="http://schemas.openxmlformats.org/officeDocument/2006/relationships/header" Target="header366.xml"/><Relationship Id="rId572" Type="http://schemas.openxmlformats.org/officeDocument/2006/relationships/header" Target="header365.xml"/><Relationship Id="rId571" Type="http://schemas.openxmlformats.org/officeDocument/2006/relationships/header" Target="header364.xml"/><Relationship Id="rId570" Type="http://schemas.openxmlformats.org/officeDocument/2006/relationships/image" Target="media/image192.png"/><Relationship Id="rId57" Type="http://schemas.openxmlformats.org/officeDocument/2006/relationships/header" Target="header28.xml"/><Relationship Id="rId569" Type="http://schemas.openxmlformats.org/officeDocument/2006/relationships/header" Target="header363.xml"/><Relationship Id="rId568" Type="http://schemas.openxmlformats.org/officeDocument/2006/relationships/image" Target="media/image191.jpeg"/><Relationship Id="rId567" Type="http://schemas.openxmlformats.org/officeDocument/2006/relationships/image" Target="media/image190.jpeg"/><Relationship Id="rId566" Type="http://schemas.openxmlformats.org/officeDocument/2006/relationships/header" Target="header362.xml"/><Relationship Id="rId565" Type="http://schemas.openxmlformats.org/officeDocument/2006/relationships/image" Target="media/image189.png"/><Relationship Id="rId564" Type="http://schemas.openxmlformats.org/officeDocument/2006/relationships/header" Target="header361.xml"/><Relationship Id="rId563" Type="http://schemas.openxmlformats.org/officeDocument/2006/relationships/image" Target="media/image188.png"/><Relationship Id="rId562" Type="http://schemas.openxmlformats.org/officeDocument/2006/relationships/header" Target="header360.xml"/><Relationship Id="rId561" Type="http://schemas.openxmlformats.org/officeDocument/2006/relationships/image" Target="media/image187.png"/><Relationship Id="rId560" Type="http://schemas.openxmlformats.org/officeDocument/2006/relationships/header" Target="header359.xml"/><Relationship Id="rId56" Type="http://schemas.openxmlformats.org/officeDocument/2006/relationships/image" Target="media/image28.png"/><Relationship Id="rId559" Type="http://schemas.openxmlformats.org/officeDocument/2006/relationships/header" Target="header358.xml"/><Relationship Id="rId558" Type="http://schemas.openxmlformats.org/officeDocument/2006/relationships/header" Target="header357.xml"/><Relationship Id="rId557" Type="http://schemas.openxmlformats.org/officeDocument/2006/relationships/header" Target="header356.xml"/><Relationship Id="rId556" Type="http://schemas.openxmlformats.org/officeDocument/2006/relationships/image" Target="media/image186.png"/><Relationship Id="rId555" Type="http://schemas.openxmlformats.org/officeDocument/2006/relationships/header" Target="header355.xml"/><Relationship Id="rId554" Type="http://schemas.openxmlformats.org/officeDocument/2006/relationships/header" Target="header354.xml"/><Relationship Id="rId553" Type="http://schemas.openxmlformats.org/officeDocument/2006/relationships/image" Target="media/image185.png"/><Relationship Id="rId552" Type="http://schemas.openxmlformats.org/officeDocument/2006/relationships/image" Target="media/image184.png"/><Relationship Id="rId551" Type="http://schemas.openxmlformats.org/officeDocument/2006/relationships/header" Target="header353.xml"/><Relationship Id="rId550" Type="http://schemas.openxmlformats.org/officeDocument/2006/relationships/header" Target="header352.xml"/><Relationship Id="rId55" Type="http://schemas.openxmlformats.org/officeDocument/2006/relationships/header" Target="header27.xml"/><Relationship Id="rId549" Type="http://schemas.openxmlformats.org/officeDocument/2006/relationships/image" Target="media/image183.png"/><Relationship Id="rId548" Type="http://schemas.openxmlformats.org/officeDocument/2006/relationships/header" Target="header351.xml"/><Relationship Id="rId547" Type="http://schemas.openxmlformats.org/officeDocument/2006/relationships/image" Target="media/image182.png"/><Relationship Id="rId546" Type="http://schemas.openxmlformats.org/officeDocument/2006/relationships/header" Target="header350.xml"/><Relationship Id="rId545" Type="http://schemas.openxmlformats.org/officeDocument/2006/relationships/image" Target="media/image181.jpeg"/><Relationship Id="rId544" Type="http://schemas.openxmlformats.org/officeDocument/2006/relationships/header" Target="header349.xml"/><Relationship Id="rId543" Type="http://schemas.openxmlformats.org/officeDocument/2006/relationships/header" Target="header348.xml"/><Relationship Id="rId542" Type="http://schemas.openxmlformats.org/officeDocument/2006/relationships/header" Target="header347.xml"/><Relationship Id="rId541" Type="http://schemas.openxmlformats.org/officeDocument/2006/relationships/header" Target="header346.xml"/><Relationship Id="rId540" Type="http://schemas.openxmlformats.org/officeDocument/2006/relationships/image" Target="media/image180.png"/><Relationship Id="rId54" Type="http://schemas.openxmlformats.org/officeDocument/2006/relationships/header" Target="header26.xml"/><Relationship Id="rId539" Type="http://schemas.openxmlformats.org/officeDocument/2006/relationships/header" Target="header345.xml"/><Relationship Id="rId538" Type="http://schemas.openxmlformats.org/officeDocument/2006/relationships/image" Target="media/image179.png"/><Relationship Id="rId537" Type="http://schemas.openxmlformats.org/officeDocument/2006/relationships/image" Target="media/image178.png"/><Relationship Id="rId536" Type="http://schemas.openxmlformats.org/officeDocument/2006/relationships/image" Target="media/image177.jpeg"/><Relationship Id="rId535" Type="http://schemas.openxmlformats.org/officeDocument/2006/relationships/image" Target="media/image176.png"/><Relationship Id="rId534" Type="http://schemas.openxmlformats.org/officeDocument/2006/relationships/header" Target="header344.xml"/><Relationship Id="rId533" Type="http://schemas.openxmlformats.org/officeDocument/2006/relationships/image" Target="media/image175.png"/><Relationship Id="rId532" Type="http://schemas.openxmlformats.org/officeDocument/2006/relationships/header" Target="header343.xml"/><Relationship Id="rId531" Type="http://schemas.openxmlformats.org/officeDocument/2006/relationships/header" Target="header342.xml"/><Relationship Id="rId530" Type="http://schemas.openxmlformats.org/officeDocument/2006/relationships/header" Target="header341.xml"/><Relationship Id="rId53" Type="http://schemas.openxmlformats.org/officeDocument/2006/relationships/header" Target="header25.xml"/><Relationship Id="rId529" Type="http://schemas.openxmlformats.org/officeDocument/2006/relationships/image" Target="media/image174.png"/><Relationship Id="rId528" Type="http://schemas.openxmlformats.org/officeDocument/2006/relationships/header" Target="header340.xml"/><Relationship Id="rId527" Type="http://schemas.openxmlformats.org/officeDocument/2006/relationships/header" Target="header339.xml"/><Relationship Id="rId526" Type="http://schemas.openxmlformats.org/officeDocument/2006/relationships/header" Target="header338.xml"/><Relationship Id="rId525" Type="http://schemas.openxmlformats.org/officeDocument/2006/relationships/header" Target="header337.xml"/><Relationship Id="rId524" Type="http://schemas.openxmlformats.org/officeDocument/2006/relationships/image" Target="media/image173.jpeg"/><Relationship Id="rId523" Type="http://schemas.openxmlformats.org/officeDocument/2006/relationships/image" Target="media/image172.png"/><Relationship Id="rId522" Type="http://schemas.openxmlformats.org/officeDocument/2006/relationships/header" Target="header336.xml"/><Relationship Id="rId521" Type="http://schemas.openxmlformats.org/officeDocument/2006/relationships/image" Target="media/image171.png"/><Relationship Id="rId520" Type="http://schemas.openxmlformats.org/officeDocument/2006/relationships/image" Target="media/image170.png"/><Relationship Id="rId52" Type="http://schemas.openxmlformats.org/officeDocument/2006/relationships/header" Target="header24.xml"/><Relationship Id="rId519" Type="http://schemas.openxmlformats.org/officeDocument/2006/relationships/image" Target="media/image169.jpeg"/><Relationship Id="rId518" Type="http://schemas.openxmlformats.org/officeDocument/2006/relationships/header" Target="header335.xml"/><Relationship Id="rId517" Type="http://schemas.openxmlformats.org/officeDocument/2006/relationships/header" Target="header334.xml"/><Relationship Id="rId516" Type="http://schemas.openxmlformats.org/officeDocument/2006/relationships/image" Target="media/image168.png"/><Relationship Id="rId515" Type="http://schemas.openxmlformats.org/officeDocument/2006/relationships/header" Target="header333.xml"/><Relationship Id="rId514" Type="http://schemas.openxmlformats.org/officeDocument/2006/relationships/header" Target="header332.xml"/><Relationship Id="rId513" Type="http://schemas.openxmlformats.org/officeDocument/2006/relationships/header" Target="header331.xml"/><Relationship Id="rId512" Type="http://schemas.openxmlformats.org/officeDocument/2006/relationships/image" Target="media/image167.png"/><Relationship Id="rId511" Type="http://schemas.openxmlformats.org/officeDocument/2006/relationships/header" Target="header330.xml"/><Relationship Id="rId510" Type="http://schemas.openxmlformats.org/officeDocument/2006/relationships/image" Target="media/image166.png"/><Relationship Id="rId51" Type="http://schemas.openxmlformats.org/officeDocument/2006/relationships/header" Target="header23.xml"/><Relationship Id="rId509" Type="http://schemas.openxmlformats.org/officeDocument/2006/relationships/header" Target="header329.xml"/><Relationship Id="rId508" Type="http://schemas.openxmlformats.org/officeDocument/2006/relationships/image" Target="media/image165.jpeg"/><Relationship Id="rId507" Type="http://schemas.openxmlformats.org/officeDocument/2006/relationships/image" Target="media/image164.jpeg"/><Relationship Id="rId506" Type="http://schemas.openxmlformats.org/officeDocument/2006/relationships/image" Target="media/image163.png"/><Relationship Id="rId505" Type="http://schemas.openxmlformats.org/officeDocument/2006/relationships/header" Target="header328.xml"/><Relationship Id="rId504" Type="http://schemas.openxmlformats.org/officeDocument/2006/relationships/image" Target="media/image162.jpeg"/><Relationship Id="rId503" Type="http://schemas.openxmlformats.org/officeDocument/2006/relationships/header" Target="header327.xml"/><Relationship Id="rId502" Type="http://schemas.openxmlformats.org/officeDocument/2006/relationships/header" Target="header326.xml"/><Relationship Id="rId501" Type="http://schemas.openxmlformats.org/officeDocument/2006/relationships/header" Target="header325.xml"/><Relationship Id="rId500" Type="http://schemas.openxmlformats.org/officeDocument/2006/relationships/image" Target="media/image161.png"/><Relationship Id="rId50" Type="http://schemas.openxmlformats.org/officeDocument/2006/relationships/header" Target="header22.xml"/><Relationship Id="rId5" Type="http://schemas.openxmlformats.org/officeDocument/2006/relationships/image" Target="media/image3.jpeg"/><Relationship Id="rId499" Type="http://schemas.openxmlformats.org/officeDocument/2006/relationships/footer" Target="footer9.xml"/><Relationship Id="rId498" Type="http://schemas.openxmlformats.org/officeDocument/2006/relationships/header" Target="header324.xml"/><Relationship Id="rId497" Type="http://schemas.openxmlformats.org/officeDocument/2006/relationships/image" Target="media/image160.png"/><Relationship Id="rId496" Type="http://schemas.openxmlformats.org/officeDocument/2006/relationships/header" Target="header323.xml"/><Relationship Id="rId495" Type="http://schemas.openxmlformats.org/officeDocument/2006/relationships/header" Target="header322.xml"/><Relationship Id="rId494" Type="http://schemas.openxmlformats.org/officeDocument/2006/relationships/header" Target="header321.xml"/><Relationship Id="rId493" Type="http://schemas.openxmlformats.org/officeDocument/2006/relationships/header" Target="header320.xml"/><Relationship Id="rId492" Type="http://schemas.openxmlformats.org/officeDocument/2006/relationships/image" Target="media/image159.png"/><Relationship Id="rId491" Type="http://schemas.openxmlformats.org/officeDocument/2006/relationships/image" Target="media/image158.jpeg"/><Relationship Id="rId490" Type="http://schemas.openxmlformats.org/officeDocument/2006/relationships/image" Target="media/image157.jpeg"/><Relationship Id="rId49" Type="http://schemas.openxmlformats.org/officeDocument/2006/relationships/header" Target="header21.xml"/><Relationship Id="rId489" Type="http://schemas.openxmlformats.org/officeDocument/2006/relationships/header" Target="header319.xml"/><Relationship Id="rId488" Type="http://schemas.openxmlformats.org/officeDocument/2006/relationships/header" Target="header318.xml"/><Relationship Id="rId487" Type="http://schemas.openxmlformats.org/officeDocument/2006/relationships/header" Target="header317.xml"/><Relationship Id="rId486" Type="http://schemas.openxmlformats.org/officeDocument/2006/relationships/header" Target="header316.xml"/><Relationship Id="rId485" Type="http://schemas.openxmlformats.org/officeDocument/2006/relationships/image" Target="media/image156.png"/><Relationship Id="rId484" Type="http://schemas.openxmlformats.org/officeDocument/2006/relationships/header" Target="header315.xml"/><Relationship Id="rId483" Type="http://schemas.openxmlformats.org/officeDocument/2006/relationships/header" Target="header314.xml"/><Relationship Id="rId482" Type="http://schemas.openxmlformats.org/officeDocument/2006/relationships/header" Target="header313.xml"/><Relationship Id="rId481" Type="http://schemas.openxmlformats.org/officeDocument/2006/relationships/header" Target="header312.xml"/><Relationship Id="rId480" Type="http://schemas.openxmlformats.org/officeDocument/2006/relationships/image" Target="media/image155.png"/><Relationship Id="rId48" Type="http://schemas.openxmlformats.org/officeDocument/2006/relationships/image" Target="media/image27.png"/><Relationship Id="rId479" Type="http://schemas.openxmlformats.org/officeDocument/2006/relationships/header" Target="header311.xml"/><Relationship Id="rId478" Type="http://schemas.openxmlformats.org/officeDocument/2006/relationships/header" Target="header310.xml"/><Relationship Id="rId477" Type="http://schemas.openxmlformats.org/officeDocument/2006/relationships/header" Target="header309.xml"/><Relationship Id="rId476" Type="http://schemas.openxmlformats.org/officeDocument/2006/relationships/header" Target="header308.xml"/><Relationship Id="rId475" Type="http://schemas.openxmlformats.org/officeDocument/2006/relationships/header" Target="header307.xml"/><Relationship Id="rId474" Type="http://schemas.openxmlformats.org/officeDocument/2006/relationships/header" Target="header306.xml"/><Relationship Id="rId473" Type="http://schemas.openxmlformats.org/officeDocument/2006/relationships/header" Target="header305.xml"/><Relationship Id="rId472" Type="http://schemas.openxmlformats.org/officeDocument/2006/relationships/header" Target="header304.xml"/><Relationship Id="rId471" Type="http://schemas.openxmlformats.org/officeDocument/2006/relationships/header" Target="header303.xml"/><Relationship Id="rId470" Type="http://schemas.openxmlformats.org/officeDocument/2006/relationships/header" Target="header302.xml"/><Relationship Id="rId47" Type="http://schemas.openxmlformats.org/officeDocument/2006/relationships/header" Target="header20.xml"/><Relationship Id="rId469" Type="http://schemas.openxmlformats.org/officeDocument/2006/relationships/header" Target="header301.xml"/><Relationship Id="rId468" Type="http://schemas.openxmlformats.org/officeDocument/2006/relationships/footer" Target="footer8.xml"/><Relationship Id="rId467" Type="http://schemas.openxmlformats.org/officeDocument/2006/relationships/header" Target="header300.xml"/><Relationship Id="rId466" Type="http://schemas.openxmlformats.org/officeDocument/2006/relationships/footer" Target="footer7.xml"/><Relationship Id="rId465" Type="http://schemas.openxmlformats.org/officeDocument/2006/relationships/footer" Target="footer6.xml"/><Relationship Id="rId464" Type="http://schemas.openxmlformats.org/officeDocument/2006/relationships/header" Target="header299.xml"/><Relationship Id="rId463" Type="http://schemas.openxmlformats.org/officeDocument/2006/relationships/header" Target="header298.xml"/><Relationship Id="rId462" Type="http://schemas.openxmlformats.org/officeDocument/2006/relationships/header" Target="header297.xml"/><Relationship Id="rId461" Type="http://schemas.openxmlformats.org/officeDocument/2006/relationships/header" Target="header296.xml"/><Relationship Id="rId460" Type="http://schemas.openxmlformats.org/officeDocument/2006/relationships/header" Target="header295.xml"/><Relationship Id="rId46" Type="http://schemas.openxmlformats.org/officeDocument/2006/relationships/header" Target="header19.xml"/><Relationship Id="rId459" Type="http://schemas.openxmlformats.org/officeDocument/2006/relationships/image" Target="media/image154.png"/><Relationship Id="rId458" Type="http://schemas.openxmlformats.org/officeDocument/2006/relationships/image" Target="media/image153.jpeg"/><Relationship Id="rId457" Type="http://schemas.openxmlformats.org/officeDocument/2006/relationships/image" Target="media/image152.png"/><Relationship Id="rId456" Type="http://schemas.openxmlformats.org/officeDocument/2006/relationships/header" Target="header294.xml"/><Relationship Id="rId455" Type="http://schemas.openxmlformats.org/officeDocument/2006/relationships/header" Target="header293.xml"/><Relationship Id="rId454" Type="http://schemas.openxmlformats.org/officeDocument/2006/relationships/image" Target="media/image151.png"/><Relationship Id="rId453" Type="http://schemas.openxmlformats.org/officeDocument/2006/relationships/header" Target="header292.xml"/><Relationship Id="rId452" Type="http://schemas.openxmlformats.org/officeDocument/2006/relationships/image" Target="media/image150.png"/><Relationship Id="rId451" Type="http://schemas.openxmlformats.org/officeDocument/2006/relationships/header" Target="header291.xml"/><Relationship Id="rId450" Type="http://schemas.openxmlformats.org/officeDocument/2006/relationships/image" Target="media/image149.png"/><Relationship Id="rId45" Type="http://schemas.openxmlformats.org/officeDocument/2006/relationships/header" Target="header18.xml"/><Relationship Id="rId449" Type="http://schemas.openxmlformats.org/officeDocument/2006/relationships/image" Target="media/image148.jpeg"/><Relationship Id="rId448" Type="http://schemas.openxmlformats.org/officeDocument/2006/relationships/header" Target="header290.xml"/><Relationship Id="rId447" Type="http://schemas.openxmlformats.org/officeDocument/2006/relationships/image" Target="media/image147.png"/><Relationship Id="rId446" Type="http://schemas.openxmlformats.org/officeDocument/2006/relationships/header" Target="header289.xml"/><Relationship Id="rId445" Type="http://schemas.openxmlformats.org/officeDocument/2006/relationships/header" Target="header288.xml"/><Relationship Id="rId444" Type="http://schemas.openxmlformats.org/officeDocument/2006/relationships/image" Target="media/image146.png"/><Relationship Id="rId443" Type="http://schemas.openxmlformats.org/officeDocument/2006/relationships/header" Target="header287.xml"/><Relationship Id="rId442" Type="http://schemas.openxmlformats.org/officeDocument/2006/relationships/image" Target="media/image145.png"/><Relationship Id="rId441" Type="http://schemas.openxmlformats.org/officeDocument/2006/relationships/header" Target="header286.xml"/><Relationship Id="rId440" Type="http://schemas.openxmlformats.org/officeDocument/2006/relationships/header" Target="header285.xml"/><Relationship Id="rId44" Type="http://schemas.openxmlformats.org/officeDocument/2006/relationships/header" Target="header17.xml"/><Relationship Id="rId439" Type="http://schemas.openxmlformats.org/officeDocument/2006/relationships/image" Target="media/image144.png"/><Relationship Id="rId438" Type="http://schemas.openxmlformats.org/officeDocument/2006/relationships/header" Target="header284.xml"/><Relationship Id="rId437" Type="http://schemas.openxmlformats.org/officeDocument/2006/relationships/header" Target="header283.xml"/><Relationship Id="rId436" Type="http://schemas.openxmlformats.org/officeDocument/2006/relationships/image" Target="media/image143.jpeg"/><Relationship Id="rId435" Type="http://schemas.openxmlformats.org/officeDocument/2006/relationships/header" Target="header282.xml"/><Relationship Id="rId434" Type="http://schemas.openxmlformats.org/officeDocument/2006/relationships/image" Target="media/image142.png"/><Relationship Id="rId433" Type="http://schemas.openxmlformats.org/officeDocument/2006/relationships/image" Target="media/image141.jpeg"/><Relationship Id="rId432" Type="http://schemas.openxmlformats.org/officeDocument/2006/relationships/header" Target="header281.xml"/><Relationship Id="rId431" Type="http://schemas.openxmlformats.org/officeDocument/2006/relationships/image" Target="media/image140.png"/><Relationship Id="rId430" Type="http://schemas.openxmlformats.org/officeDocument/2006/relationships/header" Target="header280.xml"/><Relationship Id="rId43" Type="http://schemas.openxmlformats.org/officeDocument/2006/relationships/header" Target="header16.xml"/><Relationship Id="rId429" Type="http://schemas.openxmlformats.org/officeDocument/2006/relationships/image" Target="media/image139.png"/><Relationship Id="rId428" Type="http://schemas.openxmlformats.org/officeDocument/2006/relationships/image" Target="media/image138.jpeg"/><Relationship Id="rId427" Type="http://schemas.openxmlformats.org/officeDocument/2006/relationships/image" Target="media/image137.png"/><Relationship Id="rId426" Type="http://schemas.openxmlformats.org/officeDocument/2006/relationships/image" Target="media/image136.png"/><Relationship Id="rId425" Type="http://schemas.openxmlformats.org/officeDocument/2006/relationships/header" Target="header279.xml"/><Relationship Id="rId424" Type="http://schemas.openxmlformats.org/officeDocument/2006/relationships/image" Target="media/image135.jpeg"/><Relationship Id="rId423" Type="http://schemas.openxmlformats.org/officeDocument/2006/relationships/header" Target="header278.xml"/><Relationship Id="rId422" Type="http://schemas.openxmlformats.org/officeDocument/2006/relationships/image" Target="media/image134.png"/><Relationship Id="rId421" Type="http://schemas.openxmlformats.org/officeDocument/2006/relationships/header" Target="header277.xml"/><Relationship Id="rId420" Type="http://schemas.openxmlformats.org/officeDocument/2006/relationships/image" Target="media/image133.png"/><Relationship Id="rId42" Type="http://schemas.openxmlformats.org/officeDocument/2006/relationships/image" Target="media/image26.jpeg"/><Relationship Id="rId419" Type="http://schemas.openxmlformats.org/officeDocument/2006/relationships/header" Target="header276.xml"/><Relationship Id="rId418" Type="http://schemas.openxmlformats.org/officeDocument/2006/relationships/hyperlink" Target="https://hbr.org/2013/11/the-pace-of-technology-adoption-is-speeding-up" TargetMode="External"/><Relationship Id="rId417" Type="http://schemas.openxmlformats.org/officeDocument/2006/relationships/image" Target="media/image132.png"/><Relationship Id="rId416" Type="http://schemas.openxmlformats.org/officeDocument/2006/relationships/image" Target="media/image131.png"/><Relationship Id="rId415" Type="http://schemas.openxmlformats.org/officeDocument/2006/relationships/image" Target="media/image130.png"/><Relationship Id="rId414" Type="http://schemas.openxmlformats.org/officeDocument/2006/relationships/header" Target="header275.xml"/><Relationship Id="rId413" Type="http://schemas.openxmlformats.org/officeDocument/2006/relationships/header" Target="header274.xml"/><Relationship Id="rId412" Type="http://schemas.openxmlformats.org/officeDocument/2006/relationships/header" Target="header273.xml"/><Relationship Id="rId411" Type="http://schemas.openxmlformats.org/officeDocument/2006/relationships/image" Target="media/image129.png"/><Relationship Id="rId410" Type="http://schemas.openxmlformats.org/officeDocument/2006/relationships/header" Target="header272.xml"/><Relationship Id="rId41" Type="http://schemas.openxmlformats.org/officeDocument/2006/relationships/image" Target="media/image25.png"/><Relationship Id="rId409" Type="http://schemas.openxmlformats.org/officeDocument/2006/relationships/image" Target="media/image128.png"/><Relationship Id="rId408" Type="http://schemas.openxmlformats.org/officeDocument/2006/relationships/image" Target="media/image127.jpeg"/><Relationship Id="rId407" Type="http://schemas.openxmlformats.org/officeDocument/2006/relationships/image" Target="media/image126.png"/><Relationship Id="rId406" Type="http://schemas.openxmlformats.org/officeDocument/2006/relationships/image" Target="media/image125.png"/><Relationship Id="rId405" Type="http://schemas.openxmlformats.org/officeDocument/2006/relationships/header" Target="header271.xml"/><Relationship Id="rId404" Type="http://schemas.openxmlformats.org/officeDocument/2006/relationships/header" Target="header270.xml"/><Relationship Id="rId403" Type="http://schemas.openxmlformats.org/officeDocument/2006/relationships/header" Target="header269.xml"/><Relationship Id="rId402" Type="http://schemas.openxmlformats.org/officeDocument/2006/relationships/header" Target="header268.xml"/><Relationship Id="rId401" Type="http://schemas.openxmlformats.org/officeDocument/2006/relationships/header" Target="header267.xml"/><Relationship Id="rId400" Type="http://schemas.openxmlformats.org/officeDocument/2006/relationships/header" Target="header266.xml"/><Relationship Id="rId40" Type="http://schemas.openxmlformats.org/officeDocument/2006/relationships/image" Target="media/image24.jpeg"/><Relationship Id="rId4" Type="http://schemas.openxmlformats.org/officeDocument/2006/relationships/image" Target="media/image2.jpeg"/><Relationship Id="rId399" Type="http://schemas.openxmlformats.org/officeDocument/2006/relationships/header" Target="header265.xml"/><Relationship Id="rId398" Type="http://schemas.openxmlformats.org/officeDocument/2006/relationships/header" Target="header264.xml"/><Relationship Id="rId397" Type="http://schemas.openxmlformats.org/officeDocument/2006/relationships/header" Target="header263.xml"/><Relationship Id="rId396" Type="http://schemas.openxmlformats.org/officeDocument/2006/relationships/header" Target="header262.xml"/><Relationship Id="rId395" Type="http://schemas.openxmlformats.org/officeDocument/2006/relationships/header" Target="header261.xml"/><Relationship Id="rId394" Type="http://schemas.openxmlformats.org/officeDocument/2006/relationships/image" Target="media/image124.png"/><Relationship Id="rId393" Type="http://schemas.openxmlformats.org/officeDocument/2006/relationships/header" Target="header260.xml"/><Relationship Id="rId392" Type="http://schemas.openxmlformats.org/officeDocument/2006/relationships/header" Target="header259.xml"/><Relationship Id="rId391" Type="http://schemas.openxmlformats.org/officeDocument/2006/relationships/header" Target="header258.xml"/><Relationship Id="rId390" Type="http://schemas.openxmlformats.org/officeDocument/2006/relationships/header" Target="header257.xml"/><Relationship Id="rId39" Type="http://schemas.openxmlformats.org/officeDocument/2006/relationships/image" Target="media/image23.png"/><Relationship Id="rId389" Type="http://schemas.openxmlformats.org/officeDocument/2006/relationships/header" Target="header256.xml"/><Relationship Id="rId388" Type="http://schemas.openxmlformats.org/officeDocument/2006/relationships/header" Target="header255.xml"/><Relationship Id="rId387" Type="http://schemas.openxmlformats.org/officeDocument/2006/relationships/header" Target="header254.xml"/><Relationship Id="rId386" Type="http://schemas.openxmlformats.org/officeDocument/2006/relationships/header" Target="header253.xml"/><Relationship Id="rId385" Type="http://schemas.openxmlformats.org/officeDocument/2006/relationships/header" Target="header252.xml"/><Relationship Id="rId384" Type="http://schemas.openxmlformats.org/officeDocument/2006/relationships/header" Target="header251.xml"/><Relationship Id="rId383" Type="http://schemas.openxmlformats.org/officeDocument/2006/relationships/header" Target="header250.xml"/><Relationship Id="rId382" Type="http://schemas.openxmlformats.org/officeDocument/2006/relationships/header" Target="header249.xml"/><Relationship Id="rId381" Type="http://schemas.openxmlformats.org/officeDocument/2006/relationships/header" Target="header248.xml"/><Relationship Id="rId380" Type="http://schemas.openxmlformats.org/officeDocument/2006/relationships/header" Target="header247.xml"/><Relationship Id="rId38" Type="http://schemas.openxmlformats.org/officeDocument/2006/relationships/image" Target="media/image22.jpeg"/><Relationship Id="rId379" Type="http://schemas.openxmlformats.org/officeDocument/2006/relationships/header" Target="header246.xml"/><Relationship Id="rId378" Type="http://schemas.openxmlformats.org/officeDocument/2006/relationships/header" Target="header245.xml"/><Relationship Id="rId377" Type="http://schemas.openxmlformats.org/officeDocument/2006/relationships/header" Target="header244.xml"/><Relationship Id="rId376" Type="http://schemas.openxmlformats.org/officeDocument/2006/relationships/image" Target="media/image123.png"/><Relationship Id="rId375" Type="http://schemas.openxmlformats.org/officeDocument/2006/relationships/image" Target="media/image122.jpeg"/><Relationship Id="rId374" Type="http://schemas.openxmlformats.org/officeDocument/2006/relationships/image" Target="media/image121.png"/><Relationship Id="rId373" Type="http://schemas.openxmlformats.org/officeDocument/2006/relationships/image" Target="media/image120.png"/><Relationship Id="rId372" Type="http://schemas.openxmlformats.org/officeDocument/2006/relationships/header" Target="header243.xml"/><Relationship Id="rId371" Type="http://schemas.openxmlformats.org/officeDocument/2006/relationships/header" Target="header242.xml"/><Relationship Id="rId370" Type="http://schemas.openxmlformats.org/officeDocument/2006/relationships/image" Target="media/image119.png"/><Relationship Id="rId37" Type="http://schemas.openxmlformats.org/officeDocument/2006/relationships/header" Target="header15.xml"/><Relationship Id="rId369" Type="http://schemas.openxmlformats.org/officeDocument/2006/relationships/header" Target="header241.xml"/><Relationship Id="rId368" Type="http://schemas.openxmlformats.org/officeDocument/2006/relationships/header" Target="header240.xml"/><Relationship Id="rId367" Type="http://schemas.openxmlformats.org/officeDocument/2006/relationships/header" Target="header239.xml"/><Relationship Id="rId366" Type="http://schemas.openxmlformats.org/officeDocument/2006/relationships/header" Target="header238.xml"/><Relationship Id="rId365" Type="http://schemas.openxmlformats.org/officeDocument/2006/relationships/image" Target="media/image118.png"/><Relationship Id="rId364" Type="http://schemas.openxmlformats.org/officeDocument/2006/relationships/header" Target="header237.xml"/><Relationship Id="rId363" Type="http://schemas.openxmlformats.org/officeDocument/2006/relationships/header" Target="header236.xml"/><Relationship Id="rId362" Type="http://schemas.openxmlformats.org/officeDocument/2006/relationships/header" Target="header235.xml"/><Relationship Id="rId361" Type="http://schemas.openxmlformats.org/officeDocument/2006/relationships/header" Target="header234.xml"/><Relationship Id="rId360" Type="http://schemas.openxmlformats.org/officeDocument/2006/relationships/header" Target="header233.xml"/><Relationship Id="rId36" Type="http://schemas.openxmlformats.org/officeDocument/2006/relationships/header" Target="header14.xml"/><Relationship Id="rId359" Type="http://schemas.openxmlformats.org/officeDocument/2006/relationships/header" Target="header232.xml"/><Relationship Id="rId358" Type="http://schemas.openxmlformats.org/officeDocument/2006/relationships/header" Target="header231.xml"/><Relationship Id="rId357" Type="http://schemas.openxmlformats.org/officeDocument/2006/relationships/header" Target="header230.xml"/><Relationship Id="rId356" Type="http://schemas.openxmlformats.org/officeDocument/2006/relationships/header" Target="header229.xml"/><Relationship Id="rId355" Type="http://schemas.openxmlformats.org/officeDocument/2006/relationships/header" Target="header228.xml"/><Relationship Id="rId354" Type="http://schemas.openxmlformats.org/officeDocument/2006/relationships/header" Target="header227.xml"/><Relationship Id="rId353" Type="http://schemas.openxmlformats.org/officeDocument/2006/relationships/header" Target="header226.xml"/><Relationship Id="rId352" Type="http://schemas.openxmlformats.org/officeDocument/2006/relationships/header" Target="header225.xml"/><Relationship Id="rId351" Type="http://schemas.openxmlformats.org/officeDocument/2006/relationships/header" Target="header224.xml"/><Relationship Id="rId350" Type="http://schemas.openxmlformats.org/officeDocument/2006/relationships/image" Target="media/image117.jpeg"/><Relationship Id="rId35" Type="http://schemas.openxmlformats.org/officeDocument/2006/relationships/image" Target="media/image21.jpeg"/><Relationship Id="rId349" Type="http://schemas.openxmlformats.org/officeDocument/2006/relationships/header" Target="header223.xml"/><Relationship Id="rId348" Type="http://schemas.openxmlformats.org/officeDocument/2006/relationships/header" Target="header222.xml"/><Relationship Id="rId347" Type="http://schemas.openxmlformats.org/officeDocument/2006/relationships/image" Target="media/image116.jpeg"/><Relationship Id="rId346" Type="http://schemas.openxmlformats.org/officeDocument/2006/relationships/header" Target="header221.xml"/><Relationship Id="rId345" Type="http://schemas.openxmlformats.org/officeDocument/2006/relationships/image" Target="media/image115.png"/><Relationship Id="rId344" Type="http://schemas.openxmlformats.org/officeDocument/2006/relationships/image" Target="media/image114.png"/><Relationship Id="rId343" Type="http://schemas.openxmlformats.org/officeDocument/2006/relationships/header" Target="header220.xml"/><Relationship Id="rId342" Type="http://schemas.openxmlformats.org/officeDocument/2006/relationships/image" Target="media/image113.png"/><Relationship Id="rId341" Type="http://schemas.openxmlformats.org/officeDocument/2006/relationships/image" Target="media/image112.jpeg"/><Relationship Id="rId340" Type="http://schemas.openxmlformats.org/officeDocument/2006/relationships/header" Target="header219.xml"/><Relationship Id="rId34" Type="http://schemas.openxmlformats.org/officeDocument/2006/relationships/header" Target="header13.xml"/><Relationship Id="rId339" Type="http://schemas.openxmlformats.org/officeDocument/2006/relationships/header" Target="header218.xml"/><Relationship Id="rId338" Type="http://schemas.openxmlformats.org/officeDocument/2006/relationships/header" Target="header217.xml"/><Relationship Id="rId337" Type="http://schemas.openxmlformats.org/officeDocument/2006/relationships/header" Target="header216.xml"/><Relationship Id="rId336" Type="http://schemas.openxmlformats.org/officeDocument/2006/relationships/header" Target="header215.xml"/><Relationship Id="rId335" Type="http://schemas.openxmlformats.org/officeDocument/2006/relationships/header" Target="header214.xml"/><Relationship Id="rId334" Type="http://schemas.openxmlformats.org/officeDocument/2006/relationships/image" Target="media/image111.png"/><Relationship Id="rId333" Type="http://schemas.openxmlformats.org/officeDocument/2006/relationships/header" Target="header213.xml"/><Relationship Id="rId332" Type="http://schemas.openxmlformats.org/officeDocument/2006/relationships/image" Target="media/image110.jpeg"/><Relationship Id="rId331" Type="http://schemas.openxmlformats.org/officeDocument/2006/relationships/header" Target="header212.xml"/><Relationship Id="rId330" Type="http://schemas.openxmlformats.org/officeDocument/2006/relationships/header" Target="header211.xml"/><Relationship Id="rId33" Type="http://schemas.openxmlformats.org/officeDocument/2006/relationships/header" Target="header12.xml"/><Relationship Id="rId329" Type="http://schemas.openxmlformats.org/officeDocument/2006/relationships/header" Target="header210.xml"/><Relationship Id="rId328" Type="http://schemas.openxmlformats.org/officeDocument/2006/relationships/header" Target="header209.xml"/><Relationship Id="rId327" Type="http://schemas.openxmlformats.org/officeDocument/2006/relationships/header" Target="header208.xml"/><Relationship Id="rId326" Type="http://schemas.openxmlformats.org/officeDocument/2006/relationships/header" Target="header207.xml"/><Relationship Id="rId325" Type="http://schemas.openxmlformats.org/officeDocument/2006/relationships/image" Target="media/image109.png"/><Relationship Id="rId324" Type="http://schemas.openxmlformats.org/officeDocument/2006/relationships/header" Target="header206.xml"/><Relationship Id="rId323" Type="http://schemas.openxmlformats.org/officeDocument/2006/relationships/image" Target="media/image108.png"/><Relationship Id="rId322" Type="http://schemas.openxmlformats.org/officeDocument/2006/relationships/image" Target="media/image107.jpeg"/><Relationship Id="rId321" Type="http://schemas.openxmlformats.org/officeDocument/2006/relationships/image" Target="media/image106.png"/><Relationship Id="rId320" Type="http://schemas.openxmlformats.org/officeDocument/2006/relationships/header" Target="header205.xml"/><Relationship Id="rId32" Type="http://schemas.openxmlformats.org/officeDocument/2006/relationships/header" Target="header11.xml"/><Relationship Id="rId319" Type="http://schemas.openxmlformats.org/officeDocument/2006/relationships/image" Target="media/image105.png"/><Relationship Id="rId318" Type="http://schemas.openxmlformats.org/officeDocument/2006/relationships/header" Target="header204.xml"/><Relationship Id="rId317" Type="http://schemas.openxmlformats.org/officeDocument/2006/relationships/header" Target="header203.xml"/><Relationship Id="rId316" Type="http://schemas.openxmlformats.org/officeDocument/2006/relationships/image" Target="media/image104.jpeg"/><Relationship Id="rId315" Type="http://schemas.openxmlformats.org/officeDocument/2006/relationships/header" Target="header202.xml"/><Relationship Id="rId314" Type="http://schemas.openxmlformats.org/officeDocument/2006/relationships/image" Target="media/image103.png"/><Relationship Id="rId313" Type="http://schemas.openxmlformats.org/officeDocument/2006/relationships/header" Target="header201.xml"/><Relationship Id="rId312" Type="http://schemas.openxmlformats.org/officeDocument/2006/relationships/hyperlink" Target="https://crsreports.congress.gov/product/pdf/R/R46875" TargetMode="External"/><Relationship Id="rId311" Type="http://schemas.openxmlformats.org/officeDocument/2006/relationships/image" Target="media/image102.png"/><Relationship Id="rId310" Type="http://schemas.openxmlformats.org/officeDocument/2006/relationships/header" Target="header200.xml"/><Relationship Id="rId31" Type="http://schemas.openxmlformats.org/officeDocument/2006/relationships/header" Target="header10.xml"/><Relationship Id="rId309" Type="http://schemas.openxmlformats.org/officeDocument/2006/relationships/header" Target="header199.xml"/><Relationship Id="rId308" Type="http://schemas.openxmlformats.org/officeDocument/2006/relationships/hyperlink" Target="https://som.yale.edu/faculty" TargetMode="External"/><Relationship Id="rId307" Type="http://schemas.openxmlformats.org/officeDocument/2006/relationships/image" Target="media/image101.jpeg"/><Relationship Id="rId306" Type="http://schemas.openxmlformats.org/officeDocument/2006/relationships/header" Target="header198.xml"/><Relationship Id="rId305" Type="http://schemas.openxmlformats.org/officeDocument/2006/relationships/header" Target="header197.xml"/><Relationship Id="rId304" Type="http://schemas.openxmlformats.org/officeDocument/2006/relationships/header" Target="header196.xml"/><Relationship Id="rId303" Type="http://schemas.openxmlformats.org/officeDocument/2006/relationships/header" Target="header195.xml"/><Relationship Id="rId302" Type="http://schemas.openxmlformats.org/officeDocument/2006/relationships/header" Target="header194.xml"/><Relationship Id="rId301" Type="http://schemas.openxmlformats.org/officeDocument/2006/relationships/header" Target="header193.xml"/><Relationship Id="rId300" Type="http://schemas.openxmlformats.org/officeDocument/2006/relationships/header" Target="header192.xml"/><Relationship Id="rId30" Type="http://schemas.openxmlformats.org/officeDocument/2006/relationships/header" Target="header9.xml"/><Relationship Id="rId3" Type="http://schemas.openxmlformats.org/officeDocument/2006/relationships/image" Target="media/image1.jpeg"/><Relationship Id="rId299" Type="http://schemas.openxmlformats.org/officeDocument/2006/relationships/header" Target="header191.xml"/><Relationship Id="rId298" Type="http://schemas.openxmlformats.org/officeDocument/2006/relationships/header" Target="header190.xml"/><Relationship Id="rId297" Type="http://schemas.openxmlformats.org/officeDocument/2006/relationships/header" Target="header189.xml"/><Relationship Id="rId296" Type="http://schemas.openxmlformats.org/officeDocument/2006/relationships/header" Target="header188.xml"/><Relationship Id="rId295" Type="http://schemas.openxmlformats.org/officeDocument/2006/relationships/header" Target="header187.xml"/><Relationship Id="rId294" Type="http://schemas.openxmlformats.org/officeDocument/2006/relationships/header" Target="header186.xml"/><Relationship Id="rId293" Type="http://schemas.openxmlformats.org/officeDocument/2006/relationships/image" Target="media/image100.png"/><Relationship Id="rId292" Type="http://schemas.openxmlformats.org/officeDocument/2006/relationships/header" Target="header185.xml"/><Relationship Id="rId291" Type="http://schemas.openxmlformats.org/officeDocument/2006/relationships/header" Target="header184.xml"/><Relationship Id="rId290" Type="http://schemas.openxmlformats.org/officeDocument/2006/relationships/image" Target="media/image99.png"/><Relationship Id="rId29" Type="http://schemas.openxmlformats.org/officeDocument/2006/relationships/image" Target="media/image20.png"/><Relationship Id="rId289" Type="http://schemas.openxmlformats.org/officeDocument/2006/relationships/header" Target="header183.xml"/><Relationship Id="rId288" Type="http://schemas.openxmlformats.org/officeDocument/2006/relationships/header" Target="header182.xml"/><Relationship Id="rId287" Type="http://schemas.openxmlformats.org/officeDocument/2006/relationships/image" Target="media/image98.png"/><Relationship Id="rId286" Type="http://schemas.openxmlformats.org/officeDocument/2006/relationships/header" Target="header181.xml"/><Relationship Id="rId285" Type="http://schemas.openxmlformats.org/officeDocument/2006/relationships/image" Target="media/image97.png"/><Relationship Id="rId284" Type="http://schemas.openxmlformats.org/officeDocument/2006/relationships/image" Target="media/image96.jpeg"/><Relationship Id="rId283" Type="http://schemas.openxmlformats.org/officeDocument/2006/relationships/image" Target="media/image95.png"/><Relationship Id="rId282" Type="http://schemas.openxmlformats.org/officeDocument/2006/relationships/image" Target="media/image94.png"/><Relationship Id="rId281" Type="http://schemas.openxmlformats.org/officeDocument/2006/relationships/header" Target="header180.xml"/><Relationship Id="rId280" Type="http://schemas.openxmlformats.org/officeDocument/2006/relationships/header" Target="header179.xml"/><Relationship Id="rId28" Type="http://schemas.openxmlformats.org/officeDocument/2006/relationships/header" Target="header8.xml"/><Relationship Id="rId279" Type="http://schemas.openxmlformats.org/officeDocument/2006/relationships/header" Target="header178.xml"/><Relationship Id="rId278" Type="http://schemas.openxmlformats.org/officeDocument/2006/relationships/header" Target="header177.xml"/><Relationship Id="rId277" Type="http://schemas.openxmlformats.org/officeDocument/2006/relationships/header" Target="header176.xml"/><Relationship Id="rId276" Type="http://schemas.openxmlformats.org/officeDocument/2006/relationships/header" Target="header175.xml"/><Relationship Id="rId275" Type="http://schemas.openxmlformats.org/officeDocument/2006/relationships/header" Target="header174.xml"/><Relationship Id="rId274" Type="http://schemas.openxmlformats.org/officeDocument/2006/relationships/header" Target="header173.xml"/><Relationship Id="rId273" Type="http://schemas.openxmlformats.org/officeDocument/2006/relationships/header" Target="header172.xml"/><Relationship Id="rId272" Type="http://schemas.openxmlformats.org/officeDocument/2006/relationships/image" Target="media/image93.png"/><Relationship Id="rId271" Type="http://schemas.openxmlformats.org/officeDocument/2006/relationships/header" Target="header171.xml"/><Relationship Id="rId270" Type="http://schemas.openxmlformats.org/officeDocument/2006/relationships/header" Target="header170.xml"/><Relationship Id="rId27" Type="http://schemas.openxmlformats.org/officeDocument/2006/relationships/header" Target="header7.xml"/><Relationship Id="rId269" Type="http://schemas.openxmlformats.org/officeDocument/2006/relationships/header" Target="header169.xml"/><Relationship Id="rId268" Type="http://schemas.openxmlformats.org/officeDocument/2006/relationships/header" Target="header168.xml"/><Relationship Id="rId267" Type="http://schemas.openxmlformats.org/officeDocument/2006/relationships/header" Target="header167.xml"/><Relationship Id="rId266" Type="http://schemas.openxmlformats.org/officeDocument/2006/relationships/header" Target="header166.xml"/><Relationship Id="rId265" Type="http://schemas.openxmlformats.org/officeDocument/2006/relationships/header" Target="header165.xml"/><Relationship Id="rId264" Type="http://schemas.openxmlformats.org/officeDocument/2006/relationships/header" Target="header164.xml"/><Relationship Id="rId263" Type="http://schemas.openxmlformats.org/officeDocument/2006/relationships/header" Target="header163.xml"/><Relationship Id="rId262" Type="http://schemas.openxmlformats.org/officeDocument/2006/relationships/image" Target="media/image92.png"/><Relationship Id="rId261" Type="http://schemas.openxmlformats.org/officeDocument/2006/relationships/header" Target="header162.xml"/><Relationship Id="rId260" Type="http://schemas.openxmlformats.org/officeDocument/2006/relationships/header" Target="header161.xml"/><Relationship Id="rId26" Type="http://schemas.openxmlformats.org/officeDocument/2006/relationships/header" Target="header6.xml"/><Relationship Id="rId259" Type="http://schemas.openxmlformats.org/officeDocument/2006/relationships/header" Target="header160.xml"/><Relationship Id="rId258" Type="http://schemas.openxmlformats.org/officeDocument/2006/relationships/image" Target="media/image91.png"/><Relationship Id="rId257" Type="http://schemas.openxmlformats.org/officeDocument/2006/relationships/header" Target="header159.xml"/><Relationship Id="rId256" Type="http://schemas.openxmlformats.org/officeDocument/2006/relationships/image" Target="media/image90.png"/><Relationship Id="rId255" Type="http://schemas.openxmlformats.org/officeDocument/2006/relationships/header" Target="header158.xml"/><Relationship Id="rId254" Type="http://schemas.openxmlformats.org/officeDocument/2006/relationships/header" Target="header157.xml"/><Relationship Id="rId253" Type="http://schemas.openxmlformats.org/officeDocument/2006/relationships/header" Target="header156.xml"/><Relationship Id="rId252" Type="http://schemas.openxmlformats.org/officeDocument/2006/relationships/header" Target="header155.xml"/><Relationship Id="rId251" Type="http://schemas.openxmlformats.org/officeDocument/2006/relationships/image" Target="media/image89.jpeg"/><Relationship Id="rId250" Type="http://schemas.openxmlformats.org/officeDocument/2006/relationships/image" Target="media/image88.png"/><Relationship Id="rId25" Type="http://schemas.openxmlformats.org/officeDocument/2006/relationships/header" Target="header5.xml"/><Relationship Id="rId249" Type="http://schemas.openxmlformats.org/officeDocument/2006/relationships/header" Target="header154.xml"/><Relationship Id="rId248" Type="http://schemas.openxmlformats.org/officeDocument/2006/relationships/header" Target="header153.xml"/><Relationship Id="rId247" Type="http://schemas.openxmlformats.org/officeDocument/2006/relationships/header" Target="header152.xml"/><Relationship Id="rId246" Type="http://schemas.openxmlformats.org/officeDocument/2006/relationships/header" Target="header151.xml"/><Relationship Id="rId245" Type="http://schemas.openxmlformats.org/officeDocument/2006/relationships/image" Target="media/image87.png"/><Relationship Id="rId244" Type="http://schemas.openxmlformats.org/officeDocument/2006/relationships/header" Target="header150.xml"/><Relationship Id="rId243" Type="http://schemas.openxmlformats.org/officeDocument/2006/relationships/header" Target="header149.xml"/><Relationship Id="rId242" Type="http://schemas.openxmlformats.org/officeDocument/2006/relationships/header" Target="header148.xml"/><Relationship Id="rId241" Type="http://schemas.openxmlformats.org/officeDocument/2006/relationships/header" Target="header147.xml"/><Relationship Id="rId240" Type="http://schemas.openxmlformats.org/officeDocument/2006/relationships/header" Target="header146.xml"/><Relationship Id="rId24" Type="http://schemas.openxmlformats.org/officeDocument/2006/relationships/image" Target="media/image19.png"/><Relationship Id="rId239" Type="http://schemas.openxmlformats.org/officeDocument/2006/relationships/image" Target="media/image86.png"/><Relationship Id="rId238" Type="http://schemas.openxmlformats.org/officeDocument/2006/relationships/header" Target="header145.xml"/><Relationship Id="rId237" Type="http://schemas.openxmlformats.org/officeDocument/2006/relationships/image" Target="media/image85.jpeg"/><Relationship Id="rId236" Type="http://schemas.openxmlformats.org/officeDocument/2006/relationships/header" Target="header144.xml"/><Relationship Id="rId235" Type="http://schemas.openxmlformats.org/officeDocument/2006/relationships/hyperlink" Target="https://news.stcn.com/news/202101/12021" TargetMode="External"/><Relationship Id="rId234" Type="http://schemas.openxmlformats.org/officeDocument/2006/relationships/image" Target="media/image84.png"/><Relationship Id="rId233" Type="http://schemas.openxmlformats.org/officeDocument/2006/relationships/header" Target="header143.xml"/><Relationship Id="rId232" Type="http://schemas.openxmlformats.org/officeDocument/2006/relationships/header" Target="header142.xml"/><Relationship Id="rId231" Type="http://schemas.openxmlformats.org/officeDocument/2006/relationships/header" Target="header141.xml"/><Relationship Id="rId230" Type="http://schemas.openxmlformats.org/officeDocument/2006/relationships/image" Target="media/image83.png"/><Relationship Id="rId23" Type="http://schemas.openxmlformats.org/officeDocument/2006/relationships/header" Target="header4.xml"/><Relationship Id="rId229" Type="http://schemas.openxmlformats.org/officeDocument/2006/relationships/header" Target="header140.xml"/><Relationship Id="rId228" Type="http://schemas.openxmlformats.org/officeDocument/2006/relationships/header" Target="header139.xml"/><Relationship Id="rId227" Type="http://schemas.openxmlformats.org/officeDocument/2006/relationships/header" Target="header138.xml"/><Relationship Id="rId226" Type="http://schemas.openxmlformats.org/officeDocument/2006/relationships/header" Target="header137.xml"/><Relationship Id="rId225" Type="http://schemas.openxmlformats.org/officeDocument/2006/relationships/header" Target="header136.xml"/><Relationship Id="rId224" Type="http://schemas.openxmlformats.org/officeDocument/2006/relationships/image" Target="media/image82.png"/><Relationship Id="rId223" Type="http://schemas.openxmlformats.org/officeDocument/2006/relationships/image" Target="media/image81.jpeg"/><Relationship Id="rId222" Type="http://schemas.openxmlformats.org/officeDocument/2006/relationships/image" Target="media/image80.png"/><Relationship Id="rId221" Type="http://schemas.openxmlformats.org/officeDocument/2006/relationships/image" Target="media/image79.png"/><Relationship Id="rId220" Type="http://schemas.openxmlformats.org/officeDocument/2006/relationships/header" Target="header135.xml"/><Relationship Id="rId22" Type="http://schemas.openxmlformats.org/officeDocument/2006/relationships/image" Target="media/image18.png"/><Relationship Id="rId219" Type="http://schemas.openxmlformats.org/officeDocument/2006/relationships/image" Target="media/image78.png"/><Relationship Id="rId218" Type="http://schemas.openxmlformats.org/officeDocument/2006/relationships/header" Target="header134.xml"/><Relationship Id="rId217" Type="http://schemas.openxmlformats.org/officeDocument/2006/relationships/header" Target="header133.xml"/><Relationship Id="rId216" Type="http://schemas.openxmlformats.org/officeDocument/2006/relationships/header" Target="header132.xml"/><Relationship Id="rId215" Type="http://schemas.openxmlformats.org/officeDocument/2006/relationships/image" Target="media/image77.png"/><Relationship Id="rId214" Type="http://schemas.openxmlformats.org/officeDocument/2006/relationships/header" Target="header131.xml"/><Relationship Id="rId213" Type="http://schemas.openxmlformats.org/officeDocument/2006/relationships/image" Target="media/image76.png"/><Relationship Id="rId212" Type="http://schemas.openxmlformats.org/officeDocument/2006/relationships/image" Target="media/image75.png"/><Relationship Id="rId211" Type="http://schemas.openxmlformats.org/officeDocument/2006/relationships/header" Target="header130.xml"/><Relationship Id="rId210" Type="http://schemas.openxmlformats.org/officeDocument/2006/relationships/image" Target="media/image74.jpeg"/><Relationship Id="rId21" Type="http://schemas.openxmlformats.org/officeDocument/2006/relationships/image" Target="media/image17.jpeg"/><Relationship Id="rId209" Type="http://schemas.openxmlformats.org/officeDocument/2006/relationships/header" Target="header129.xml"/><Relationship Id="rId208" Type="http://schemas.openxmlformats.org/officeDocument/2006/relationships/header" Target="header128.xml"/><Relationship Id="rId207" Type="http://schemas.openxmlformats.org/officeDocument/2006/relationships/header" Target="header127.xml"/><Relationship Id="rId206" Type="http://schemas.openxmlformats.org/officeDocument/2006/relationships/header" Target="header126.xml"/><Relationship Id="rId205" Type="http://schemas.openxmlformats.org/officeDocument/2006/relationships/header" Target="header125.xml"/><Relationship Id="rId204" Type="http://schemas.openxmlformats.org/officeDocument/2006/relationships/image" Target="media/image73.png"/><Relationship Id="rId203" Type="http://schemas.openxmlformats.org/officeDocument/2006/relationships/header" Target="header124.xml"/><Relationship Id="rId202" Type="http://schemas.openxmlformats.org/officeDocument/2006/relationships/image" Target="media/image72.png"/><Relationship Id="rId201" Type="http://schemas.openxmlformats.org/officeDocument/2006/relationships/header" Target="header123.xml"/><Relationship Id="rId200" Type="http://schemas.openxmlformats.org/officeDocument/2006/relationships/header" Target="header122.xml"/><Relationship Id="rId20" Type="http://schemas.openxmlformats.org/officeDocument/2006/relationships/image" Target="media/image16.png"/><Relationship Id="rId2" Type="http://schemas.openxmlformats.org/officeDocument/2006/relationships/footer" Target="footer1.xml"/><Relationship Id="rId199" Type="http://schemas.openxmlformats.org/officeDocument/2006/relationships/header" Target="header121.xml"/><Relationship Id="rId198" Type="http://schemas.openxmlformats.org/officeDocument/2006/relationships/image" Target="media/image71.png"/><Relationship Id="rId197" Type="http://schemas.openxmlformats.org/officeDocument/2006/relationships/header" Target="header120.xml"/><Relationship Id="rId196" Type="http://schemas.openxmlformats.org/officeDocument/2006/relationships/header" Target="header119.xml"/><Relationship Id="rId195" Type="http://schemas.openxmlformats.org/officeDocument/2006/relationships/header" Target="header118.xml"/><Relationship Id="rId194" Type="http://schemas.openxmlformats.org/officeDocument/2006/relationships/header" Target="header117.xml"/><Relationship Id="rId193" Type="http://schemas.openxmlformats.org/officeDocument/2006/relationships/image" Target="media/image70.png"/><Relationship Id="rId192" Type="http://schemas.openxmlformats.org/officeDocument/2006/relationships/header" Target="header116.xml"/><Relationship Id="rId191" Type="http://schemas.openxmlformats.org/officeDocument/2006/relationships/image" Target="media/image69.png"/><Relationship Id="rId190" Type="http://schemas.openxmlformats.org/officeDocument/2006/relationships/header" Target="header115.xml"/><Relationship Id="rId19" Type="http://schemas.openxmlformats.org/officeDocument/2006/relationships/image" Target="media/image15.jpeg"/><Relationship Id="rId189" Type="http://schemas.openxmlformats.org/officeDocument/2006/relationships/image" Target="media/image68.png"/><Relationship Id="rId188" Type="http://schemas.openxmlformats.org/officeDocument/2006/relationships/image" Target="media/image67.png"/><Relationship Id="rId187" Type="http://schemas.openxmlformats.org/officeDocument/2006/relationships/header" Target="header114.xml"/><Relationship Id="rId186" Type="http://schemas.openxmlformats.org/officeDocument/2006/relationships/image" Target="media/image66.png"/><Relationship Id="rId185" Type="http://schemas.openxmlformats.org/officeDocument/2006/relationships/image" Target="media/image65.jpeg"/><Relationship Id="rId184" Type="http://schemas.openxmlformats.org/officeDocument/2006/relationships/image" Target="media/image64.jpeg"/><Relationship Id="rId183" Type="http://schemas.openxmlformats.org/officeDocument/2006/relationships/image" Target="media/image63.png"/><Relationship Id="rId182" Type="http://schemas.openxmlformats.org/officeDocument/2006/relationships/header" Target="header113.xml"/><Relationship Id="rId181" Type="http://schemas.openxmlformats.org/officeDocument/2006/relationships/header" Target="header112.xml"/><Relationship Id="rId180" Type="http://schemas.openxmlformats.org/officeDocument/2006/relationships/header" Target="header111.xml"/><Relationship Id="rId18" Type="http://schemas.openxmlformats.org/officeDocument/2006/relationships/image" Target="media/image14.png"/><Relationship Id="rId179" Type="http://schemas.openxmlformats.org/officeDocument/2006/relationships/header" Target="header110.xml"/><Relationship Id="rId178" Type="http://schemas.openxmlformats.org/officeDocument/2006/relationships/header" Target="header109.xml"/><Relationship Id="rId177" Type="http://schemas.openxmlformats.org/officeDocument/2006/relationships/image" Target="media/image62.jpeg"/><Relationship Id="rId176" Type="http://schemas.openxmlformats.org/officeDocument/2006/relationships/image" Target="media/image61.jpeg"/><Relationship Id="rId175" Type="http://schemas.openxmlformats.org/officeDocument/2006/relationships/header" Target="header108.xml"/><Relationship Id="rId174" Type="http://schemas.openxmlformats.org/officeDocument/2006/relationships/header" Target="header107.xml"/><Relationship Id="rId173" Type="http://schemas.openxmlformats.org/officeDocument/2006/relationships/header" Target="header106.xml"/><Relationship Id="rId172" Type="http://schemas.openxmlformats.org/officeDocument/2006/relationships/header" Target="header105.xml"/><Relationship Id="rId171" Type="http://schemas.openxmlformats.org/officeDocument/2006/relationships/header" Target="header104.xml"/><Relationship Id="rId170" Type="http://schemas.openxmlformats.org/officeDocument/2006/relationships/header" Target="header103.xml"/><Relationship Id="rId17" Type="http://schemas.openxmlformats.org/officeDocument/2006/relationships/header" Target="header3.xml"/><Relationship Id="rId169" Type="http://schemas.openxmlformats.org/officeDocument/2006/relationships/header" Target="header102.xml"/><Relationship Id="rId168" Type="http://schemas.openxmlformats.org/officeDocument/2006/relationships/header" Target="header101.xml"/><Relationship Id="rId167" Type="http://schemas.openxmlformats.org/officeDocument/2006/relationships/header" Target="header100.xml"/><Relationship Id="rId166" Type="http://schemas.openxmlformats.org/officeDocument/2006/relationships/header" Target="header99.xml"/><Relationship Id="rId165" Type="http://schemas.openxmlformats.org/officeDocument/2006/relationships/header" Target="header98.xml"/><Relationship Id="rId164" Type="http://schemas.openxmlformats.org/officeDocument/2006/relationships/header" Target="header97.xml"/><Relationship Id="rId163" Type="http://schemas.openxmlformats.org/officeDocument/2006/relationships/header" Target="header96.xml"/><Relationship Id="rId162" Type="http://schemas.openxmlformats.org/officeDocument/2006/relationships/header" Target="header95.xml"/><Relationship Id="rId161" Type="http://schemas.openxmlformats.org/officeDocument/2006/relationships/header" Target="header94.xml"/><Relationship Id="rId160" Type="http://schemas.openxmlformats.org/officeDocument/2006/relationships/header" Target="header93.xml"/><Relationship Id="rId16" Type="http://schemas.openxmlformats.org/officeDocument/2006/relationships/header" Target="header2.xml"/><Relationship Id="rId159" Type="http://schemas.openxmlformats.org/officeDocument/2006/relationships/header" Target="header92.xml"/><Relationship Id="rId158" Type="http://schemas.openxmlformats.org/officeDocument/2006/relationships/image" Target="media/image60.jpeg"/><Relationship Id="rId157" Type="http://schemas.openxmlformats.org/officeDocument/2006/relationships/header" Target="header91.xml"/><Relationship Id="rId156" Type="http://schemas.openxmlformats.org/officeDocument/2006/relationships/image" Target="media/image59.png"/><Relationship Id="rId155" Type="http://schemas.openxmlformats.org/officeDocument/2006/relationships/header" Target="header90.xml"/><Relationship Id="rId154" Type="http://schemas.openxmlformats.org/officeDocument/2006/relationships/header" Target="header89.xml"/><Relationship Id="rId153" Type="http://schemas.openxmlformats.org/officeDocument/2006/relationships/header" Target="header88.xml"/><Relationship Id="rId152" Type="http://schemas.openxmlformats.org/officeDocument/2006/relationships/hyperlink" Target="https://www.bea.gov/data/special-topics/digital" TargetMode="External"/><Relationship Id="rId151" Type="http://schemas.openxmlformats.org/officeDocument/2006/relationships/header" Target="header87.xml"/><Relationship Id="rId150" Type="http://schemas.openxmlformats.org/officeDocument/2006/relationships/image" Target="media/image58.png"/><Relationship Id="rId15" Type="http://schemas.openxmlformats.org/officeDocument/2006/relationships/image" Target="media/image13.jpeg"/><Relationship Id="rId149" Type="http://schemas.openxmlformats.org/officeDocument/2006/relationships/header" Target="header86.xml"/><Relationship Id="rId148" Type="http://schemas.openxmlformats.org/officeDocument/2006/relationships/image" Target="media/image57.png"/><Relationship Id="rId147" Type="http://schemas.openxmlformats.org/officeDocument/2006/relationships/image" Target="media/image56.jpeg"/><Relationship Id="rId146" Type="http://schemas.openxmlformats.org/officeDocument/2006/relationships/image" Target="media/image55.png"/><Relationship Id="rId145" Type="http://schemas.openxmlformats.org/officeDocument/2006/relationships/header" Target="header85.xml"/><Relationship Id="rId144" Type="http://schemas.openxmlformats.org/officeDocument/2006/relationships/header" Target="header84.xml"/><Relationship Id="rId143" Type="http://schemas.openxmlformats.org/officeDocument/2006/relationships/header" Target="header83.xml"/><Relationship Id="rId142" Type="http://schemas.openxmlformats.org/officeDocument/2006/relationships/image" Target="media/image54.jpeg"/><Relationship Id="rId141" Type="http://schemas.openxmlformats.org/officeDocument/2006/relationships/image" Target="media/image53.png"/><Relationship Id="rId140" Type="http://schemas.openxmlformats.org/officeDocument/2006/relationships/header" Target="header82.xml"/><Relationship Id="rId14" Type="http://schemas.openxmlformats.org/officeDocument/2006/relationships/image" Target="media/image12.jpeg"/><Relationship Id="rId139" Type="http://schemas.openxmlformats.org/officeDocument/2006/relationships/image" Target="media/image52.jpeg"/><Relationship Id="rId138" Type="http://schemas.openxmlformats.org/officeDocument/2006/relationships/header" Target="header81.xml"/><Relationship Id="rId137" Type="http://schemas.openxmlformats.org/officeDocument/2006/relationships/header" Target="header80.xml"/><Relationship Id="rId136" Type="http://schemas.openxmlformats.org/officeDocument/2006/relationships/header" Target="header79.xml"/><Relationship Id="rId135" Type="http://schemas.openxmlformats.org/officeDocument/2006/relationships/header" Target="header78.xml"/><Relationship Id="rId134" Type="http://schemas.openxmlformats.org/officeDocument/2006/relationships/footer" Target="footer5.xml"/><Relationship Id="rId133" Type="http://schemas.openxmlformats.org/officeDocument/2006/relationships/header" Target="header77.xml"/><Relationship Id="rId132" Type="http://schemas.openxmlformats.org/officeDocument/2006/relationships/image" Target="media/image51.jpeg"/><Relationship Id="rId131" Type="http://schemas.openxmlformats.org/officeDocument/2006/relationships/header" Target="header76.xml"/><Relationship Id="rId130" Type="http://schemas.openxmlformats.org/officeDocument/2006/relationships/image" Target="media/image50.png"/><Relationship Id="rId13" Type="http://schemas.openxmlformats.org/officeDocument/2006/relationships/image" Target="media/image11.jpeg"/><Relationship Id="rId129" Type="http://schemas.openxmlformats.org/officeDocument/2006/relationships/header" Target="header75.xml"/><Relationship Id="rId128" Type="http://schemas.openxmlformats.org/officeDocument/2006/relationships/image" Target="media/image49.png"/><Relationship Id="rId127" Type="http://schemas.openxmlformats.org/officeDocument/2006/relationships/header" Target="header74.xml"/><Relationship Id="rId126" Type="http://schemas.openxmlformats.org/officeDocument/2006/relationships/image" Target="media/image48.png"/><Relationship Id="rId125" Type="http://schemas.openxmlformats.org/officeDocument/2006/relationships/footer" Target="footer4.xml"/><Relationship Id="rId124" Type="http://schemas.openxmlformats.org/officeDocument/2006/relationships/header" Target="header73.xml"/><Relationship Id="rId123" Type="http://schemas.openxmlformats.org/officeDocument/2006/relationships/header" Target="header72.xml"/><Relationship Id="rId122" Type="http://schemas.openxmlformats.org/officeDocument/2006/relationships/header" Target="header71.xml"/><Relationship Id="rId121" Type="http://schemas.openxmlformats.org/officeDocument/2006/relationships/header" Target="header70.xml"/><Relationship Id="rId120" Type="http://schemas.openxmlformats.org/officeDocument/2006/relationships/footer" Target="footer3.xml"/><Relationship Id="rId12" Type="http://schemas.openxmlformats.org/officeDocument/2006/relationships/image" Target="media/image10.jpeg"/><Relationship Id="rId119" Type="http://schemas.openxmlformats.org/officeDocument/2006/relationships/header" Target="header69.xml"/><Relationship Id="rId118" Type="http://schemas.openxmlformats.org/officeDocument/2006/relationships/header" Target="header68.xml"/><Relationship Id="rId117" Type="http://schemas.openxmlformats.org/officeDocument/2006/relationships/header" Target="header67.xml"/><Relationship Id="rId116" Type="http://schemas.openxmlformats.org/officeDocument/2006/relationships/header" Target="header66.xml"/><Relationship Id="rId115" Type="http://schemas.openxmlformats.org/officeDocument/2006/relationships/header" Target="header65.xml"/><Relationship Id="rId114" Type="http://schemas.openxmlformats.org/officeDocument/2006/relationships/footer" Target="footer2.xml"/><Relationship Id="rId113" Type="http://schemas.openxmlformats.org/officeDocument/2006/relationships/header" Target="header64.xml"/><Relationship Id="rId112" Type="http://schemas.openxmlformats.org/officeDocument/2006/relationships/header" Target="header63.xml"/><Relationship Id="rId111" Type="http://schemas.openxmlformats.org/officeDocument/2006/relationships/image" Target="media/image47.png"/><Relationship Id="rId110" Type="http://schemas.openxmlformats.org/officeDocument/2006/relationships/header" Target="header62.xml"/><Relationship Id="rId11" Type="http://schemas.openxmlformats.org/officeDocument/2006/relationships/image" Target="media/image9.jpeg"/><Relationship Id="rId109" Type="http://schemas.openxmlformats.org/officeDocument/2006/relationships/header" Target="header61.xml"/><Relationship Id="rId108" Type="http://schemas.openxmlformats.org/officeDocument/2006/relationships/header" Target="header60.xml"/><Relationship Id="rId107" Type="http://schemas.openxmlformats.org/officeDocument/2006/relationships/header" Target="header59.xml"/><Relationship Id="rId106" Type="http://schemas.openxmlformats.org/officeDocument/2006/relationships/header" Target="header58.xml"/><Relationship Id="rId105" Type="http://schemas.openxmlformats.org/officeDocument/2006/relationships/image" Target="media/image46.png"/><Relationship Id="rId104" Type="http://schemas.openxmlformats.org/officeDocument/2006/relationships/header" Target="header57.xml"/><Relationship Id="rId103" Type="http://schemas.openxmlformats.org/officeDocument/2006/relationships/header" Target="header56.xml"/><Relationship Id="rId102" Type="http://schemas.openxmlformats.org/officeDocument/2006/relationships/image" Target="media/image45.jpeg"/><Relationship Id="rId101" Type="http://schemas.openxmlformats.org/officeDocument/2006/relationships/image" Target="media/image44.png"/><Relationship Id="rId100" Type="http://schemas.openxmlformats.org/officeDocument/2006/relationships/header" Target="header55.xml"/><Relationship Id="rId10" Type="http://schemas.openxmlformats.org/officeDocument/2006/relationships/image" Target="media/image8.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2023-11-14T16:54:16Z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2023-11-14T16:54:59</vt:filetime>
  </property>
  <property fmtid="{D5CDD505-2E9C-101B-9397-08002B2CF9AE}" pid="4" name="UsrData">
    <vt:lpwstr>6553356301f672001f8ee9b2wl</vt:lpwstr>
  </property>
</Properties>
</file>